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6369D" w14:textId="284ABF37" w:rsidR="00FE02EF" w:rsidRPr="00CC19F7" w:rsidRDefault="00E97D0D" w:rsidP="00CA1D23">
      <w:pPr>
        <w:pStyle w:val="is-dep"/>
      </w:pPr>
      <w:r w:rsidRPr="00CC19F7">
        <w:t>Olje- og energidepartementet</w:t>
      </w:r>
    </w:p>
    <w:p w14:paraId="1CF9E64D" w14:textId="77777777" w:rsidR="00FE02EF" w:rsidRPr="00CC19F7" w:rsidRDefault="00881E58" w:rsidP="00CC19F7">
      <w:pPr>
        <w:pStyle w:val="i-hode"/>
      </w:pPr>
      <w:r w:rsidRPr="00CC19F7">
        <w:t>Prop. 1 S</w:t>
      </w:r>
    </w:p>
    <w:p w14:paraId="3A04D377" w14:textId="77777777" w:rsidR="00FE02EF" w:rsidRPr="00CC19F7" w:rsidRDefault="00881E58" w:rsidP="00CC19F7">
      <w:pPr>
        <w:pStyle w:val="i-sesjon"/>
      </w:pPr>
      <w:r w:rsidRPr="00CC19F7">
        <w:t>(2023–2024)</w:t>
      </w:r>
    </w:p>
    <w:p w14:paraId="66315E9C" w14:textId="77777777" w:rsidR="00FE02EF" w:rsidRPr="00CC19F7" w:rsidRDefault="00881E58" w:rsidP="00CC19F7">
      <w:pPr>
        <w:pStyle w:val="i-hode-tit"/>
      </w:pPr>
      <w:r w:rsidRPr="00CC19F7">
        <w:t>Proposisjon til Stortinget (forslag til stortingsvedtak)</w:t>
      </w:r>
    </w:p>
    <w:p w14:paraId="0F077379" w14:textId="77777777" w:rsidR="00FE02EF" w:rsidRPr="00CC19F7" w:rsidRDefault="00881E58" w:rsidP="00CC19F7">
      <w:pPr>
        <w:pStyle w:val="i-termin"/>
      </w:pPr>
      <w:r w:rsidRPr="00CC19F7">
        <w:t>FOR BUDSJETTÅRET 2024</w:t>
      </w:r>
    </w:p>
    <w:p w14:paraId="2BE5928B" w14:textId="77777777" w:rsidR="00FE02EF" w:rsidRPr="00CC19F7" w:rsidRDefault="00881E58" w:rsidP="00CC19F7">
      <w:pPr>
        <w:pStyle w:val="i-undertit"/>
      </w:pPr>
      <w:r w:rsidRPr="00CC19F7">
        <w:t>Utgiftskapittel: 1800, 1810, 1820, 1825, 1850 og 1860</w:t>
      </w:r>
    </w:p>
    <w:p w14:paraId="2133B112" w14:textId="77777777" w:rsidR="00FE02EF" w:rsidRPr="00CC19F7" w:rsidRDefault="00881E58" w:rsidP="00CC19F7">
      <w:pPr>
        <w:pStyle w:val="i-undertit"/>
      </w:pPr>
      <w:r w:rsidRPr="00CC19F7">
        <w:t>Inntektskapittel: 4800, 4810, 4820, 4860, 5582 og 5680</w:t>
      </w:r>
    </w:p>
    <w:p w14:paraId="571CB975" w14:textId="77777777" w:rsidR="00FE02EF" w:rsidRPr="00CC19F7" w:rsidRDefault="00881E58" w:rsidP="00CC19F7">
      <w:pPr>
        <w:pStyle w:val="i-saerskilt-vedl"/>
      </w:pPr>
      <w:r w:rsidRPr="00CC19F7">
        <w:t xml:space="preserve">Meddelte </w:t>
      </w:r>
      <w:proofErr w:type="spellStart"/>
      <w:r w:rsidRPr="00CC19F7">
        <w:t>vassdragskonsesjonar</w:t>
      </w:r>
      <w:proofErr w:type="spellEnd"/>
      <w:r w:rsidRPr="00CC19F7">
        <w:t>, løyve meddelte i 2022</w:t>
      </w:r>
    </w:p>
    <w:p w14:paraId="0403A702" w14:textId="5137B201" w:rsidR="00FE02EF" w:rsidRPr="00CC19F7" w:rsidRDefault="00E97D0D" w:rsidP="00CC19F7">
      <w:pPr>
        <w:pStyle w:val="i-dep"/>
      </w:pPr>
      <w:r w:rsidRPr="00CC19F7">
        <w:t>Olje- og energidepartementet</w:t>
      </w:r>
    </w:p>
    <w:p w14:paraId="1B2AA19D" w14:textId="77777777" w:rsidR="00FE02EF" w:rsidRPr="00CC19F7" w:rsidRDefault="00881E58" w:rsidP="00CC19F7">
      <w:pPr>
        <w:pStyle w:val="i-hode"/>
      </w:pPr>
      <w:r w:rsidRPr="00CC19F7">
        <w:t>Prop. 1 S</w:t>
      </w:r>
    </w:p>
    <w:p w14:paraId="4D86CC1E" w14:textId="77777777" w:rsidR="00FE02EF" w:rsidRPr="00CC19F7" w:rsidRDefault="00881E58" w:rsidP="00CC19F7">
      <w:pPr>
        <w:pStyle w:val="i-sesjon"/>
      </w:pPr>
      <w:r w:rsidRPr="00CC19F7">
        <w:t>(2023–2024)</w:t>
      </w:r>
    </w:p>
    <w:p w14:paraId="47516AB2" w14:textId="77777777" w:rsidR="00FE02EF" w:rsidRPr="00CC19F7" w:rsidRDefault="00881E58" w:rsidP="00CC19F7">
      <w:pPr>
        <w:pStyle w:val="i-hode-tit"/>
      </w:pPr>
      <w:r w:rsidRPr="00CC19F7">
        <w:t>Proposisjon til Stortinget (forslag til stortingsvedtak)</w:t>
      </w:r>
    </w:p>
    <w:p w14:paraId="197719AA" w14:textId="77777777" w:rsidR="00FE02EF" w:rsidRPr="00CC19F7" w:rsidRDefault="00881E58" w:rsidP="00CC19F7">
      <w:pPr>
        <w:pStyle w:val="i-termin"/>
      </w:pPr>
      <w:r w:rsidRPr="00CC19F7">
        <w:t>FOR BUDSJETTÅRET 2024</w:t>
      </w:r>
    </w:p>
    <w:p w14:paraId="092050EC" w14:textId="77777777" w:rsidR="00FE02EF" w:rsidRPr="00CC19F7" w:rsidRDefault="00881E58" w:rsidP="00CC19F7">
      <w:pPr>
        <w:pStyle w:val="i-undertit"/>
      </w:pPr>
      <w:r w:rsidRPr="00CC19F7">
        <w:t>Utgiftskapittel: 1800, 1810, 1820, 1825, 1850 og 1860</w:t>
      </w:r>
    </w:p>
    <w:p w14:paraId="37CD301F" w14:textId="77777777" w:rsidR="00FE02EF" w:rsidRPr="00CC19F7" w:rsidRDefault="00881E58" w:rsidP="00CC19F7">
      <w:pPr>
        <w:pStyle w:val="i-undertit"/>
      </w:pPr>
      <w:r w:rsidRPr="00CC19F7">
        <w:t>Inntektskapittel: 4800, 4810, 4820, 4860, 5582 og 5680</w:t>
      </w:r>
    </w:p>
    <w:p w14:paraId="55BBEC8D" w14:textId="77777777" w:rsidR="00FE02EF" w:rsidRPr="00CC19F7" w:rsidRDefault="00881E58" w:rsidP="00CC19F7">
      <w:pPr>
        <w:pStyle w:val="i-statsrdato"/>
      </w:pPr>
      <w:r w:rsidRPr="00CC19F7">
        <w:t xml:space="preserve">Tilråding frå </w:t>
      </w:r>
      <w:bookmarkStart w:id="0" w:name="_Hlk146800348"/>
      <w:r w:rsidRPr="00CC19F7">
        <w:t xml:space="preserve">Olje- og energidepartementet </w:t>
      </w:r>
      <w:bookmarkEnd w:id="0"/>
      <w:r w:rsidRPr="00CC19F7">
        <w:t xml:space="preserve">21. september 2023, </w:t>
      </w:r>
      <w:r w:rsidRPr="00CC19F7">
        <w:br/>
        <w:t xml:space="preserve">godkjend i statsråd same dagen. </w:t>
      </w:r>
      <w:r w:rsidRPr="00CC19F7">
        <w:br/>
        <w:t>(Regjeringa Støre)</w:t>
      </w:r>
    </w:p>
    <w:p w14:paraId="256ECE84" w14:textId="14906E8B" w:rsidR="00FE02EF" w:rsidRPr="00CC19F7" w:rsidRDefault="00CC19F7" w:rsidP="00CC19F7">
      <w:pPr>
        <w:pStyle w:val="del-nr"/>
      </w:pPr>
      <w:r w:rsidRPr="00CC19F7">
        <w:t>Del I</w:t>
      </w:r>
    </w:p>
    <w:p w14:paraId="26F56A02" w14:textId="77777777" w:rsidR="00FE02EF" w:rsidRPr="00CC19F7" w:rsidRDefault="00881E58" w:rsidP="00CC19F7">
      <w:pPr>
        <w:pStyle w:val="del-tittel"/>
      </w:pPr>
      <w:proofErr w:type="spellStart"/>
      <w:r w:rsidRPr="00CC19F7">
        <w:t>Innleiande</w:t>
      </w:r>
      <w:proofErr w:type="spellEnd"/>
      <w:r w:rsidRPr="00CC19F7">
        <w:t xml:space="preserve"> del</w:t>
      </w:r>
    </w:p>
    <w:p w14:paraId="2FF09037" w14:textId="77777777" w:rsidR="00FE02EF" w:rsidRPr="00CC19F7" w:rsidRDefault="00881E58" w:rsidP="00CC19F7">
      <w:pPr>
        <w:pStyle w:val="Overskrift1"/>
      </w:pPr>
      <w:r w:rsidRPr="00CC19F7">
        <w:lastRenderedPageBreak/>
        <w:t>Regjeringas petroleums- og energipolitikk</w:t>
      </w:r>
    </w:p>
    <w:p w14:paraId="3AD95E61" w14:textId="77777777" w:rsidR="00FE02EF" w:rsidRPr="00CC19F7" w:rsidRDefault="00881E58" w:rsidP="00CC19F7">
      <w:r w:rsidRPr="00CC19F7">
        <w:t xml:space="preserve">I Meld. St. 11 (2021–2022) </w:t>
      </w:r>
      <w:r w:rsidRPr="00CC19F7">
        <w:rPr>
          <w:rStyle w:val="kursiv"/>
        </w:rPr>
        <w:t>Tilleggsmelding til Meld. St. 36 (2020–2021) Energi til arbeid – langsiktig verdiskaping fra norske energiressurser</w:t>
      </w:r>
      <w:r w:rsidRPr="00CC19F7">
        <w:t xml:space="preserve"> blei </w:t>
      </w:r>
      <w:proofErr w:type="spellStart"/>
      <w:r w:rsidRPr="00CC19F7">
        <w:t>ambisjonane</w:t>
      </w:r>
      <w:proofErr w:type="spellEnd"/>
      <w:r w:rsidRPr="00CC19F7">
        <w:t xml:space="preserve"> til regjeringa og </w:t>
      </w:r>
      <w:proofErr w:type="spellStart"/>
      <w:r w:rsidRPr="00CC19F7">
        <w:t>prioriteringar</w:t>
      </w:r>
      <w:proofErr w:type="spellEnd"/>
      <w:r w:rsidRPr="00CC19F7">
        <w:t xml:space="preserve"> i energi- og petroleumspolitikken, i ei </w:t>
      </w:r>
      <w:proofErr w:type="spellStart"/>
      <w:r w:rsidRPr="00CC19F7">
        <w:t>krevjande</w:t>
      </w:r>
      <w:proofErr w:type="spellEnd"/>
      <w:r w:rsidRPr="00CC19F7">
        <w:t xml:space="preserve"> tid med stor uro i </w:t>
      </w:r>
      <w:proofErr w:type="spellStart"/>
      <w:r w:rsidRPr="00CC19F7">
        <w:t>energimarknadene</w:t>
      </w:r>
      <w:proofErr w:type="spellEnd"/>
      <w:r w:rsidRPr="00CC19F7">
        <w:t xml:space="preserve">, gjorde </w:t>
      </w:r>
      <w:proofErr w:type="spellStart"/>
      <w:r w:rsidRPr="00CC19F7">
        <w:t>tydelege</w:t>
      </w:r>
      <w:proofErr w:type="spellEnd"/>
      <w:r w:rsidRPr="00CC19F7">
        <w:t xml:space="preserve">. I </w:t>
      </w:r>
      <w:proofErr w:type="spellStart"/>
      <w:r w:rsidRPr="00CC19F7">
        <w:t>Prop</w:t>
      </w:r>
      <w:proofErr w:type="spellEnd"/>
      <w:r w:rsidRPr="00CC19F7">
        <w:t xml:space="preserve">. 97 S (2022–2023) </w:t>
      </w:r>
      <w:r w:rsidRPr="00CC19F7">
        <w:rPr>
          <w:rStyle w:val="kursiv"/>
        </w:rPr>
        <w:t xml:space="preserve">Utbygging og drift av Yggdrasil-området og </w:t>
      </w:r>
      <w:proofErr w:type="spellStart"/>
      <w:r w:rsidRPr="00CC19F7">
        <w:rPr>
          <w:rStyle w:val="kursiv"/>
        </w:rPr>
        <w:t>Fenris</w:t>
      </w:r>
      <w:proofErr w:type="spellEnd"/>
      <w:r w:rsidRPr="00CC19F7">
        <w:rPr>
          <w:rStyle w:val="kursiv"/>
        </w:rPr>
        <w:t>, samt videreutvikling av Valhall, med status for olje- og gassvirksomheten mv.</w:t>
      </w:r>
      <w:r w:rsidRPr="00CC19F7">
        <w:t xml:space="preserve"> blei det gitt ei oppdatering av status for </w:t>
      </w:r>
      <w:proofErr w:type="spellStart"/>
      <w:r w:rsidRPr="00CC19F7">
        <w:t>petroleumsverksemda</w:t>
      </w:r>
      <w:proofErr w:type="spellEnd"/>
      <w:r w:rsidRPr="00CC19F7">
        <w:t>.</w:t>
      </w:r>
    </w:p>
    <w:p w14:paraId="40068542" w14:textId="77777777" w:rsidR="00FE02EF" w:rsidRPr="00CC19F7" w:rsidRDefault="00881E58" w:rsidP="00CC19F7">
      <w:proofErr w:type="spellStart"/>
      <w:r w:rsidRPr="00CC19F7">
        <w:t>Noreg</w:t>
      </w:r>
      <w:proofErr w:type="spellEnd"/>
      <w:r w:rsidRPr="00CC19F7">
        <w:t xml:space="preserve"> er </w:t>
      </w:r>
      <w:proofErr w:type="spellStart"/>
      <w:r w:rsidRPr="00CC19F7">
        <w:t>ein</w:t>
      </w:r>
      <w:proofErr w:type="spellEnd"/>
      <w:r w:rsidRPr="00CC19F7">
        <w:t xml:space="preserve"> energinasjon som har to ulike </w:t>
      </w:r>
      <w:proofErr w:type="spellStart"/>
      <w:r w:rsidRPr="00CC19F7">
        <w:t>energinæringar</w:t>
      </w:r>
      <w:proofErr w:type="spellEnd"/>
      <w:r w:rsidRPr="00CC19F7">
        <w:t xml:space="preserve"> med ulike formål og </w:t>
      </w:r>
      <w:proofErr w:type="spellStart"/>
      <w:r w:rsidRPr="00CC19F7">
        <w:t>oppgåver</w:t>
      </w:r>
      <w:proofErr w:type="spellEnd"/>
      <w:r w:rsidRPr="00CC19F7">
        <w:t xml:space="preserve">. Vi har </w:t>
      </w:r>
      <w:proofErr w:type="spellStart"/>
      <w:r w:rsidRPr="00CC19F7">
        <w:t>ein</w:t>
      </w:r>
      <w:proofErr w:type="spellEnd"/>
      <w:r w:rsidRPr="00CC19F7">
        <w:t xml:space="preserve"> stor kraftsektor som i all </w:t>
      </w:r>
      <w:proofErr w:type="spellStart"/>
      <w:r w:rsidRPr="00CC19F7">
        <w:t>hovudsak</w:t>
      </w:r>
      <w:proofErr w:type="spellEnd"/>
      <w:r w:rsidRPr="00CC19F7">
        <w:t xml:space="preserve"> er dimensjonert etter våre nasjonale energibehov. Vi har </w:t>
      </w:r>
      <w:proofErr w:type="spellStart"/>
      <w:r w:rsidRPr="00CC19F7">
        <w:t>ein</w:t>
      </w:r>
      <w:proofErr w:type="spellEnd"/>
      <w:r w:rsidRPr="00CC19F7">
        <w:t xml:space="preserve"> </w:t>
      </w:r>
      <w:proofErr w:type="spellStart"/>
      <w:r w:rsidRPr="00CC19F7">
        <w:t>vesentleg</w:t>
      </w:r>
      <w:proofErr w:type="spellEnd"/>
      <w:r w:rsidRPr="00CC19F7">
        <w:t xml:space="preserve"> større petroleumssektor som produserer </w:t>
      </w:r>
      <w:proofErr w:type="spellStart"/>
      <w:r w:rsidRPr="00CC19F7">
        <w:t>betydelege</w:t>
      </w:r>
      <w:proofErr w:type="spellEnd"/>
      <w:r w:rsidRPr="00CC19F7">
        <w:t xml:space="preserve"> mengder olje og gass. Petroleumssektoren i </w:t>
      </w:r>
      <w:proofErr w:type="spellStart"/>
      <w:r w:rsidRPr="00CC19F7">
        <w:t>Noreg</w:t>
      </w:r>
      <w:proofErr w:type="spellEnd"/>
      <w:r w:rsidRPr="00CC19F7">
        <w:t xml:space="preserve"> er ei </w:t>
      </w:r>
      <w:proofErr w:type="spellStart"/>
      <w:r w:rsidRPr="00CC19F7">
        <w:t>eksportverksemd</w:t>
      </w:r>
      <w:proofErr w:type="spellEnd"/>
      <w:r w:rsidRPr="00CC19F7">
        <w:t xml:space="preserve"> som bidrar til å dekke det </w:t>
      </w:r>
      <w:proofErr w:type="spellStart"/>
      <w:r w:rsidRPr="00CC19F7">
        <w:t>grunnleggande</w:t>
      </w:r>
      <w:proofErr w:type="spellEnd"/>
      <w:r w:rsidRPr="00CC19F7">
        <w:t xml:space="preserve"> behovet for energi i verda, </w:t>
      </w:r>
      <w:proofErr w:type="spellStart"/>
      <w:r w:rsidRPr="00CC19F7">
        <w:t>ikkje</w:t>
      </w:r>
      <w:proofErr w:type="spellEnd"/>
      <w:r w:rsidRPr="00CC19F7">
        <w:t xml:space="preserve"> minst i Europa.</w:t>
      </w:r>
    </w:p>
    <w:p w14:paraId="5532FC88" w14:textId="77777777" w:rsidR="00FE02EF" w:rsidRPr="00CC19F7" w:rsidRDefault="00881E58" w:rsidP="00CC19F7">
      <w:r w:rsidRPr="00CC19F7">
        <w:t xml:space="preserve">Regjeringa vil føre </w:t>
      </w:r>
      <w:proofErr w:type="spellStart"/>
      <w:r w:rsidRPr="00CC19F7">
        <w:t>ein</w:t>
      </w:r>
      <w:proofErr w:type="spellEnd"/>
      <w:r w:rsidRPr="00CC19F7">
        <w:t xml:space="preserve"> energi- og petroleumspolitikk som bidrar til </w:t>
      </w:r>
      <w:proofErr w:type="spellStart"/>
      <w:r w:rsidRPr="00CC19F7">
        <w:t>auka</w:t>
      </w:r>
      <w:proofErr w:type="spellEnd"/>
      <w:r w:rsidRPr="00CC19F7">
        <w:t xml:space="preserve"> verdiskaping og til å innfri </w:t>
      </w:r>
      <w:proofErr w:type="spellStart"/>
      <w:r w:rsidRPr="00CC19F7">
        <w:t>Noregs</w:t>
      </w:r>
      <w:proofErr w:type="spellEnd"/>
      <w:r w:rsidRPr="00CC19F7">
        <w:t xml:space="preserve"> internasjonale </w:t>
      </w:r>
      <w:proofErr w:type="spellStart"/>
      <w:r w:rsidRPr="00CC19F7">
        <w:t>klimaforpliktingar</w:t>
      </w:r>
      <w:proofErr w:type="spellEnd"/>
      <w:r w:rsidRPr="00CC19F7">
        <w:t xml:space="preserve">. Energi- og petroleumspolitikken skal bidra til </w:t>
      </w:r>
      <w:proofErr w:type="spellStart"/>
      <w:r w:rsidRPr="00CC19F7">
        <w:t>arbeidsplassar</w:t>
      </w:r>
      <w:proofErr w:type="spellEnd"/>
      <w:r w:rsidRPr="00CC19F7">
        <w:t xml:space="preserve"> og </w:t>
      </w:r>
      <w:proofErr w:type="spellStart"/>
      <w:r w:rsidRPr="00CC19F7">
        <w:t>auka</w:t>
      </w:r>
      <w:proofErr w:type="spellEnd"/>
      <w:r w:rsidRPr="00CC19F7">
        <w:t xml:space="preserve"> eksport </w:t>
      </w:r>
      <w:proofErr w:type="spellStart"/>
      <w:r w:rsidRPr="00CC19F7">
        <w:t>frå</w:t>
      </w:r>
      <w:proofErr w:type="spellEnd"/>
      <w:r w:rsidRPr="00CC19F7">
        <w:t xml:space="preserve"> norsk industri.</w:t>
      </w:r>
    </w:p>
    <w:p w14:paraId="200ED928" w14:textId="77777777" w:rsidR="00FE02EF" w:rsidRPr="00CC19F7" w:rsidRDefault="00881E58" w:rsidP="00CC19F7">
      <w:r w:rsidRPr="00CC19F7">
        <w:t xml:space="preserve">Situasjonen i </w:t>
      </w:r>
      <w:proofErr w:type="spellStart"/>
      <w:r w:rsidRPr="00CC19F7">
        <w:t>energimarknadene</w:t>
      </w:r>
      <w:proofErr w:type="spellEnd"/>
      <w:r w:rsidRPr="00CC19F7">
        <w:t xml:space="preserve">, både her heime og </w:t>
      </w:r>
      <w:proofErr w:type="spellStart"/>
      <w:r w:rsidRPr="00CC19F7">
        <w:t>ikkje</w:t>
      </w:r>
      <w:proofErr w:type="spellEnd"/>
      <w:r w:rsidRPr="00CC19F7">
        <w:t xml:space="preserve"> minst i Europa </w:t>
      </w:r>
      <w:proofErr w:type="spellStart"/>
      <w:r w:rsidRPr="00CC19F7">
        <w:t>elles</w:t>
      </w:r>
      <w:proofErr w:type="spellEnd"/>
      <w:r w:rsidRPr="00CC19F7">
        <w:t>, gir oss ei viktig påminning om betydninga av stabil tilgang på energi.</w:t>
      </w:r>
    </w:p>
    <w:p w14:paraId="74AD8EA6" w14:textId="77777777" w:rsidR="00FE02EF" w:rsidRPr="00CC19F7" w:rsidRDefault="00881E58" w:rsidP="00CC19F7">
      <w:r w:rsidRPr="00CC19F7">
        <w:t xml:space="preserve">Regjeringa vil </w:t>
      </w:r>
      <w:proofErr w:type="spellStart"/>
      <w:r w:rsidRPr="00CC19F7">
        <w:t>halde</w:t>
      </w:r>
      <w:proofErr w:type="spellEnd"/>
      <w:r w:rsidRPr="00CC19F7">
        <w:t xml:space="preserve"> fram arbeidet med å styrke den norske kraftforsyninga gjennom å </w:t>
      </w:r>
      <w:proofErr w:type="spellStart"/>
      <w:r w:rsidRPr="00CC19F7">
        <w:t>auke</w:t>
      </w:r>
      <w:proofErr w:type="spellEnd"/>
      <w:r w:rsidRPr="00CC19F7">
        <w:t xml:space="preserve"> tilgangen på fornybar produksjon, styrke overføringsnettet og arbeide for energieffektivisering. Dei første stega i utviklinga av ei storstilt utbygging av vindkraft til havs står </w:t>
      </w:r>
      <w:proofErr w:type="spellStart"/>
      <w:r w:rsidRPr="00CC19F7">
        <w:t>no</w:t>
      </w:r>
      <w:proofErr w:type="spellEnd"/>
      <w:r w:rsidRPr="00CC19F7">
        <w:t xml:space="preserve"> for døra. Regjeringa har styrkt og foreslår å </w:t>
      </w:r>
      <w:proofErr w:type="spellStart"/>
      <w:r w:rsidRPr="00CC19F7">
        <w:t>auke</w:t>
      </w:r>
      <w:proofErr w:type="spellEnd"/>
      <w:r w:rsidRPr="00CC19F7">
        <w:t xml:space="preserve"> </w:t>
      </w:r>
      <w:proofErr w:type="spellStart"/>
      <w:r w:rsidRPr="00CC19F7">
        <w:t>løyvingane</w:t>
      </w:r>
      <w:proofErr w:type="spellEnd"/>
      <w:r w:rsidRPr="00CC19F7">
        <w:t xml:space="preserve"> til </w:t>
      </w:r>
      <w:proofErr w:type="spellStart"/>
      <w:r w:rsidRPr="00CC19F7">
        <w:t>energimyndigheitene</w:t>
      </w:r>
      <w:proofErr w:type="spellEnd"/>
      <w:r w:rsidRPr="00CC19F7">
        <w:t xml:space="preserve"> </w:t>
      </w:r>
      <w:proofErr w:type="spellStart"/>
      <w:r w:rsidRPr="00CC19F7">
        <w:t>ytterlegare</w:t>
      </w:r>
      <w:proofErr w:type="spellEnd"/>
      <w:r w:rsidRPr="00CC19F7">
        <w:t xml:space="preserve"> i 2024.</w:t>
      </w:r>
    </w:p>
    <w:p w14:paraId="41465C35" w14:textId="77777777" w:rsidR="00FE02EF" w:rsidRPr="00CC19F7" w:rsidRDefault="00881E58" w:rsidP="00CC19F7">
      <w:r w:rsidRPr="00CC19F7">
        <w:t xml:space="preserve">Regjeringa legg vekt på at effektiv bruk av energi står sentralt i ei kostnadseffektiv utvikling av kraftsystemet. Regjeringa foreslår å styrke </w:t>
      </w:r>
      <w:proofErr w:type="spellStart"/>
      <w:r w:rsidRPr="00CC19F7">
        <w:t>verkemidla</w:t>
      </w:r>
      <w:proofErr w:type="spellEnd"/>
      <w:r w:rsidRPr="00CC19F7">
        <w:t xml:space="preserve"> for energieffektiviseringstiltak og </w:t>
      </w:r>
      <w:proofErr w:type="spellStart"/>
      <w:r w:rsidRPr="00CC19F7">
        <w:t>eigenproduksjon</w:t>
      </w:r>
      <w:proofErr w:type="spellEnd"/>
      <w:r w:rsidRPr="00CC19F7">
        <w:t xml:space="preserve"> av energi i både </w:t>
      </w:r>
      <w:proofErr w:type="spellStart"/>
      <w:r w:rsidRPr="00CC19F7">
        <w:t>bustader</w:t>
      </w:r>
      <w:proofErr w:type="spellEnd"/>
      <w:r w:rsidRPr="00CC19F7">
        <w:t xml:space="preserve"> og næringsbygg.</w:t>
      </w:r>
    </w:p>
    <w:p w14:paraId="434C384B" w14:textId="77777777" w:rsidR="00FE02EF" w:rsidRPr="00CC19F7" w:rsidRDefault="00881E58" w:rsidP="00CC19F7">
      <w:r w:rsidRPr="00CC19F7">
        <w:t xml:space="preserve">Regjeringa tar klimautfordringa på alvor, og fører </w:t>
      </w:r>
      <w:proofErr w:type="spellStart"/>
      <w:r w:rsidRPr="00CC19F7">
        <w:t>ein</w:t>
      </w:r>
      <w:proofErr w:type="spellEnd"/>
      <w:r w:rsidRPr="00CC19F7">
        <w:t xml:space="preserve"> ambisiøs politikk for </w:t>
      </w:r>
      <w:proofErr w:type="spellStart"/>
      <w:r w:rsidRPr="00CC19F7">
        <w:t>utsleppsreduksjonar</w:t>
      </w:r>
      <w:proofErr w:type="spellEnd"/>
      <w:r w:rsidRPr="00CC19F7">
        <w:t xml:space="preserve">, </w:t>
      </w:r>
      <w:proofErr w:type="spellStart"/>
      <w:r w:rsidRPr="00CC19F7">
        <w:t>grøn</w:t>
      </w:r>
      <w:proofErr w:type="spellEnd"/>
      <w:r w:rsidRPr="00CC19F7">
        <w:t xml:space="preserve"> vekst og verdiskaping i heile landet. </w:t>
      </w:r>
      <w:proofErr w:type="spellStart"/>
      <w:r w:rsidRPr="00CC19F7">
        <w:t>Noregs</w:t>
      </w:r>
      <w:proofErr w:type="spellEnd"/>
      <w:r w:rsidRPr="00CC19F7">
        <w:t xml:space="preserve"> mål under Parisavtalen er å redusere </w:t>
      </w:r>
      <w:proofErr w:type="spellStart"/>
      <w:r w:rsidRPr="00CC19F7">
        <w:t>dei</w:t>
      </w:r>
      <w:proofErr w:type="spellEnd"/>
      <w:r w:rsidRPr="00CC19F7">
        <w:t xml:space="preserve"> totale utsleppa med minst 55 prosent i 2030 </w:t>
      </w:r>
      <w:proofErr w:type="spellStart"/>
      <w:r w:rsidRPr="00CC19F7">
        <w:t>samanlikna</w:t>
      </w:r>
      <w:proofErr w:type="spellEnd"/>
      <w:r w:rsidRPr="00CC19F7">
        <w:t xml:space="preserve"> med 1990. I 2050 er det </w:t>
      </w:r>
      <w:proofErr w:type="spellStart"/>
      <w:r w:rsidRPr="00CC19F7">
        <w:t>eit</w:t>
      </w:r>
      <w:proofErr w:type="spellEnd"/>
      <w:r w:rsidRPr="00CC19F7">
        <w:t xml:space="preserve"> mål at </w:t>
      </w:r>
      <w:proofErr w:type="spellStart"/>
      <w:r w:rsidRPr="00CC19F7">
        <w:t>Noreg</w:t>
      </w:r>
      <w:proofErr w:type="spellEnd"/>
      <w:r w:rsidRPr="00CC19F7">
        <w:t xml:space="preserve"> skal </w:t>
      </w:r>
      <w:proofErr w:type="spellStart"/>
      <w:r w:rsidRPr="00CC19F7">
        <w:t>vere</w:t>
      </w:r>
      <w:proofErr w:type="spellEnd"/>
      <w:r w:rsidRPr="00CC19F7">
        <w:t xml:space="preserve"> </w:t>
      </w:r>
      <w:proofErr w:type="spellStart"/>
      <w:r w:rsidRPr="00CC19F7">
        <w:t>eit</w:t>
      </w:r>
      <w:proofErr w:type="spellEnd"/>
      <w:r w:rsidRPr="00CC19F7">
        <w:t xml:space="preserve"> </w:t>
      </w:r>
      <w:proofErr w:type="spellStart"/>
      <w:r w:rsidRPr="00CC19F7">
        <w:t>lågutsleppssamfunn</w:t>
      </w:r>
      <w:proofErr w:type="spellEnd"/>
      <w:r w:rsidRPr="00CC19F7">
        <w:t xml:space="preserve">, og at klimagassutsleppa er reduserte med 90–95 prosent </w:t>
      </w:r>
      <w:proofErr w:type="spellStart"/>
      <w:r w:rsidRPr="00CC19F7">
        <w:t>samanlikna</w:t>
      </w:r>
      <w:proofErr w:type="spellEnd"/>
      <w:r w:rsidRPr="00CC19F7">
        <w:t xml:space="preserve"> med nivået i 1990. Regjeringa vil føre </w:t>
      </w:r>
      <w:proofErr w:type="spellStart"/>
      <w:r w:rsidRPr="00CC19F7">
        <w:t>ein</w:t>
      </w:r>
      <w:proofErr w:type="spellEnd"/>
      <w:r w:rsidRPr="00CC19F7">
        <w:t xml:space="preserve"> effektiv klimapolitikk som tar omsyn til sosiale </w:t>
      </w:r>
      <w:proofErr w:type="spellStart"/>
      <w:r w:rsidRPr="00CC19F7">
        <w:t>forskjellar</w:t>
      </w:r>
      <w:proofErr w:type="spellEnd"/>
      <w:r w:rsidRPr="00CC19F7">
        <w:t xml:space="preserve"> og </w:t>
      </w:r>
      <w:proofErr w:type="spellStart"/>
      <w:r w:rsidRPr="00CC19F7">
        <w:t>legg</w:t>
      </w:r>
      <w:proofErr w:type="spellEnd"/>
      <w:r w:rsidRPr="00CC19F7">
        <w:t xml:space="preserve"> til rette for verdiskaping i heile landet.</w:t>
      </w:r>
    </w:p>
    <w:p w14:paraId="5E186352" w14:textId="77777777" w:rsidR="00FE02EF" w:rsidRPr="00CC19F7" w:rsidRDefault="00881E58" w:rsidP="00CC19F7">
      <w:r w:rsidRPr="00CC19F7">
        <w:t xml:space="preserve">Regjeringa ønsker å legge til rette for nye </w:t>
      </w:r>
      <w:proofErr w:type="spellStart"/>
      <w:r w:rsidRPr="00CC19F7">
        <w:t>næringar</w:t>
      </w:r>
      <w:proofErr w:type="spellEnd"/>
      <w:r w:rsidRPr="00CC19F7">
        <w:t xml:space="preserve"> og har lansert </w:t>
      </w:r>
      <w:proofErr w:type="spellStart"/>
      <w:r w:rsidRPr="00CC19F7">
        <w:t>eit</w:t>
      </w:r>
      <w:proofErr w:type="spellEnd"/>
      <w:r w:rsidRPr="00CC19F7">
        <w:t xml:space="preserve"> grønt industriløft med satsing på mellom anna havvind, hydrogen og CO</w:t>
      </w:r>
      <w:r w:rsidRPr="00CC19F7">
        <w:rPr>
          <w:rStyle w:val="skrift-senket"/>
        </w:rPr>
        <w:t>2</w:t>
      </w:r>
      <w:r w:rsidRPr="00CC19F7">
        <w:t xml:space="preserve">-handtering. Gjennom kraftsystemet, olje- og </w:t>
      </w:r>
      <w:proofErr w:type="spellStart"/>
      <w:r w:rsidRPr="00CC19F7">
        <w:t>gassverksemda</w:t>
      </w:r>
      <w:proofErr w:type="spellEnd"/>
      <w:r w:rsidRPr="00CC19F7">
        <w:t xml:space="preserve"> og satsinga på nye, </w:t>
      </w:r>
      <w:proofErr w:type="spellStart"/>
      <w:r w:rsidRPr="00CC19F7">
        <w:t>grøne</w:t>
      </w:r>
      <w:proofErr w:type="spellEnd"/>
      <w:r w:rsidRPr="00CC19F7">
        <w:t xml:space="preserve"> </w:t>
      </w:r>
      <w:proofErr w:type="spellStart"/>
      <w:r w:rsidRPr="00CC19F7">
        <w:t>næringar</w:t>
      </w:r>
      <w:proofErr w:type="spellEnd"/>
      <w:r w:rsidRPr="00CC19F7">
        <w:t xml:space="preserve"> vil regjeringa bidra til å utvikle </w:t>
      </w:r>
      <w:proofErr w:type="spellStart"/>
      <w:r w:rsidRPr="00CC19F7">
        <w:t>energiressursane</w:t>
      </w:r>
      <w:proofErr w:type="spellEnd"/>
      <w:r w:rsidRPr="00CC19F7">
        <w:t xml:space="preserve"> våre slik at </w:t>
      </w:r>
      <w:proofErr w:type="spellStart"/>
      <w:r w:rsidRPr="00CC19F7">
        <w:t>Noreg</w:t>
      </w:r>
      <w:proofErr w:type="spellEnd"/>
      <w:r w:rsidRPr="00CC19F7">
        <w:t xml:space="preserve"> kan bidra aktivt til og dra nytte av den globale energiomstillinga. Regjeringa fører </w:t>
      </w:r>
      <w:proofErr w:type="spellStart"/>
      <w:r w:rsidRPr="00CC19F7">
        <w:t>ein</w:t>
      </w:r>
      <w:proofErr w:type="spellEnd"/>
      <w:r w:rsidRPr="00CC19F7">
        <w:t xml:space="preserve"> politikk som skaper lønnsame og attraktive </w:t>
      </w:r>
      <w:proofErr w:type="spellStart"/>
      <w:r w:rsidRPr="00CC19F7">
        <w:t>arbeidsplassar</w:t>
      </w:r>
      <w:proofErr w:type="spellEnd"/>
      <w:r w:rsidRPr="00CC19F7">
        <w:t xml:space="preserve"> i heile landet, </w:t>
      </w:r>
      <w:proofErr w:type="spellStart"/>
      <w:r w:rsidRPr="00CC19F7">
        <w:t>aukar</w:t>
      </w:r>
      <w:proofErr w:type="spellEnd"/>
      <w:r w:rsidRPr="00CC19F7">
        <w:t xml:space="preserve"> </w:t>
      </w:r>
      <w:proofErr w:type="spellStart"/>
      <w:r w:rsidRPr="00CC19F7">
        <w:t>dei</w:t>
      </w:r>
      <w:proofErr w:type="spellEnd"/>
      <w:r w:rsidRPr="00CC19F7">
        <w:t xml:space="preserve"> </w:t>
      </w:r>
      <w:proofErr w:type="spellStart"/>
      <w:r w:rsidRPr="00CC19F7">
        <w:t>grøne</w:t>
      </w:r>
      <w:proofErr w:type="spellEnd"/>
      <w:r w:rsidRPr="00CC19F7">
        <w:t xml:space="preserve"> </w:t>
      </w:r>
      <w:proofErr w:type="spellStart"/>
      <w:r w:rsidRPr="00CC19F7">
        <w:t>investeringane</w:t>
      </w:r>
      <w:proofErr w:type="spellEnd"/>
      <w:r w:rsidRPr="00CC19F7">
        <w:t xml:space="preserve">, styrker eksporten </w:t>
      </w:r>
      <w:proofErr w:type="spellStart"/>
      <w:r w:rsidRPr="00CC19F7">
        <w:t>utanom</w:t>
      </w:r>
      <w:proofErr w:type="spellEnd"/>
      <w:r w:rsidRPr="00CC19F7">
        <w:t xml:space="preserve"> olje og gass og </w:t>
      </w:r>
      <w:proofErr w:type="spellStart"/>
      <w:r w:rsidRPr="00CC19F7">
        <w:t>kuttar</w:t>
      </w:r>
      <w:proofErr w:type="spellEnd"/>
      <w:r w:rsidRPr="00CC19F7">
        <w:t xml:space="preserve"> klimagassutsleppa.</w:t>
      </w:r>
    </w:p>
    <w:p w14:paraId="68A724F7" w14:textId="77777777" w:rsidR="00FE02EF" w:rsidRPr="00CC19F7" w:rsidRDefault="00881E58" w:rsidP="00CC19F7">
      <w:r w:rsidRPr="00CC19F7">
        <w:t xml:space="preserve">Regjeringas mål om </w:t>
      </w:r>
      <w:proofErr w:type="spellStart"/>
      <w:r w:rsidRPr="00CC19F7">
        <w:t>lågare</w:t>
      </w:r>
      <w:proofErr w:type="spellEnd"/>
      <w:r w:rsidRPr="00CC19F7">
        <w:t xml:space="preserve"> utslepp, etablering av nye, </w:t>
      </w:r>
      <w:proofErr w:type="spellStart"/>
      <w:r w:rsidRPr="00CC19F7">
        <w:t>grøne</w:t>
      </w:r>
      <w:proofErr w:type="spellEnd"/>
      <w:r w:rsidRPr="00CC19F7">
        <w:t xml:space="preserve"> </w:t>
      </w:r>
      <w:proofErr w:type="spellStart"/>
      <w:r w:rsidRPr="00CC19F7">
        <w:t>næringar</w:t>
      </w:r>
      <w:proofErr w:type="spellEnd"/>
      <w:r w:rsidRPr="00CC19F7">
        <w:t xml:space="preserve"> og industriutvikling krev </w:t>
      </w:r>
      <w:proofErr w:type="spellStart"/>
      <w:r w:rsidRPr="00CC19F7">
        <w:t>tilstrekkeleg</w:t>
      </w:r>
      <w:proofErr w:type="spellEnd"/>
      <w:r w:rsidRPr="00CC19F7">
        <w:t xml:space="preserve"> tilgang på kraft og overføringsnett. Regjeringa </w:t>
      </w:r>
      <w:proofErr w:type="spellStart"/>
      <w:r w:rsidRPr="00CC19F7">
        <w:t>legg</w:t>
      </w:r>
      <w:proofErr w:type="spellEnd"/>
      <w:r w:rsidRPr="00CC19F7">
        <w:t xml:space="preserve"> til grunn at dette må skje på </w:t>
      </w:r>
      <w:proofErr w:type="spellStart"/>
      <w:r w:rsidRPr="00CC19F7">
        <w:t>ein</w:t>
      </w:r>
      <w:proofErr w:type="spellEnd"/>
      <w:r w:rsidRPr="00CC19F7">
        <w:t xml:space="preserve"> måte som bevarer </w:t>
      </w:r>
      <w:proofErr w:type="spellStart"/>
      <w:r w:rsidRPr="00CC19F7">
        <w:t>forsyningssikkerheita</w:t>
      </w:r>
      <w:proofErr w:type="spellEnd"/>
      <w:r w:rsidRPr="00CC19F7">
        <w:t xml:space="preserve"> for </w:t>
      </w:r>
      <w:proofErr w:type="spellStart"/>
      <w:r w:rsidRPr="00CC19F7">
        <w:t>straum</w:t>
      </w:r>
      <w:proofErr w:type="spellEnd"/>
      <w:r w:rsidRPr="00CC19F7">
        <w:t xml:space="preserve">, gir </w:t>
      </w:r>
      <w:proofErr w:type="spellStart"/>
      <w:r w:rsidRPr="00CC19F7">
        <w:t>føreseielege</w:t>
      </w:r>
      <w:proofErr w:type="spellEnd"/>
      <w:r w:rsidRPr="00CC19F7">
        <w:t xml:space="preserve"> straumutgifter for </w:t>
      </w:r>
      <w:r w:rsidRPr="00CC19F7">
        <w:lastRenderedPageBreak/>
        <w:t xml:space="preserve">norske </w:t>
      </w:r>
      <w:proofErr w:type="spellStart"/>
      <w:r w:rsidRPr="00CC19F7">
        <w:t>forbrukarar</w:t>
      </w:r>
      <w:proofErr w:type="spellEnd"/>
      <w:r w:rsidRPr="00CC19F7">
        <w:t xml:space="preserve"> og </w:t>
      </w:r>
      <w:proofErr w:type="spellStart"/>
      <w:r w:rsidRPr="00CC19F7">
        <w:t>forvaltar</w:t>
      </w:r>
      <w:proofErr w:type="spellEnd"/>
      <w:r w:rsidRPr="00CC19F7">
        <w:t xml:space="preserve"> norske </w:t>
      </w:r>
      <w:proofErr w:type="spellStart"/>
      <w:r w:rsidRPr="00CC19F7">
        <w:t>naturressursar</w:t>
      </w:r>
      <w:proofErr w:type="spellEnd"/>
      <w:r w:rsidRPr="00CC19F7">
        <w:t xml:space="preserve"> på </w:t>
      </w:r>
      <w:proofErr w:type="spellStart"/>
      <w:r w:rsidRPr="00CC19F7">
        <w:t>ein</w:t>
      </w:r>
      <w:proofErr w:type="spellEnd"/>
      <w:r w:rsidRPr="00CC19F7">
        <w:t xml:space="preserve"> </w:t>
      </w:r>
      <w:proofErr w:type="spellStart"/>
      <w:r w:rsidRPr="00CC19F7">
        <w:t>berekraftig</w:t>
      </w:r>
      <w:proofErr w:type="spellEnd"/>
      <w:r w:rsidRPr="00CC19F7">
        <w:t xml:space="preserve"> måte. Tilgang på </w:t>
      </w:r>
      <w:proofErr w:type="spellStart"/>
      <w:r w:rsidRPr="00CC19F7">
        <w:t>rikeleg</w:t>
      </w:r>
      <w:proofErr w:type="spellEnd"/>
      <w:r w:rsidRPr="00CC19F7">
        <w:t xml:space="preserve"> med rein og </w:t>
      </w:r>
      <w:proofErr w:type="spellStart"/>
      <w:r w:rsidRPr="00CC19F7">
        <w:t>rimeleg</w:t>
      </w:r>
      <w:proofErr w:type="spellEnd"/>
      <w:r w:rsidRPr="00CC19F7">
        <w:t xml:space="preserve"> kraft har i tiår </w:t>
      </w:r>
      <w:proofErr w:type="spellStart"/>
      <w:r w:rsidRPr="00CC19F7">
        <w:t>vore</w:t>
      </w:r>
      <w:proofErr w:type="spellEnd"/>
      <w:r w:rsidRPr="00CC19F7">
        <w:t xml:space="preserve"> det fremste konkurransefortrinnet i norsk industri og </w:t>
      </w:r>
      <w:proofErr w:type="spellStart"/>
      <w:r w:rsidRPr="00CC19F7">
        <w:t>eit</w:t>
      </w:r>
      <w:proofErr w:type="spellEnd"/>
      <w:r w:rsidRPr="00CC19F7">
        <w:t xml:space="preserve"> gode for norske </w:t>
      </w:r>
      <w:proofErr w:type="spellStart"/>
      <w:r w:rsidRPr="00CC19F7">
        <w:t>forbrukarar</w:t>
      </w:r>
      <w:proofErr w:type="spellEnd"/>
      <w:r w:rsidRPr="00CC19F7">
        <w:t xml:space="preserve">. Regjeringa vil føre </w:t>
      </w:r>
      <w:proofErr w:type="spellStart"/>
      <w:r w:rsidRPr="00CC19F7">
        <w:t>ein</w:t>
      </w:r>
      <w:proofErr w:type="spellEnd"/>
      <w:r w:rsidRPr="00CC19F7">
        <w:t xml:space="preserve"> politikk som </w:t>
      </w:r>
      <w:proofErr w:type="spellStart"/>
      <w:r w:rsidRPr="00CC19F7">
        <w:t>legg</w:t>
      </w:r>
      <w:proofErr w:type="spellEnd"/>
      <w:r w:rsidRPr="00CC19F7">
        <w:t xml:space="preserve"> til rette for at dette også i framtida skal </w:t>
      </w:r>
      <w:proofErr w:type="spellStart"/>
      <w:r w:rsidRPr="00CC19F7">
        <w:t>vere</w:t>
      </w:r>
      <w:proofErr w:type="spellEnd"/>
      <w:r w:rsidRPr="00CC19F7">
        <w:t xml:space="preserve"> </w:t>
      </w:r>
      <w:proofErr w:type="spellStart"/>
      <w:r w:rsidRPr="00CC19F7">
        <w:t>eit</w:t>
      </w:r>
      <w:proofErr w:type="spellEnd"/>
      <w:r w:rsidRPr="00CC19F7">
        <w:t xml:space="preserve"> gode for norske </w:t>
      </w:r>
      <w:proofErr w:type="spellStart"/>
      <w:r w:rsidRPr="00CC19F7">
        <w:t>forbrukarar</w:t>
      </w:r>
      <w:proofErr w:type="spellEnd"/>
      <w:r w:rsidRPr="00CC19F7">
        <w:t xml:space="preserve"> og </w:t>
      </w:r>
      <w:proofErr w:type="spellStart"/>
      <w:r w:rsidRPr="00CC19F7">
        <w:t>eit</w:t>
      </w:r>
      <w:proofErr w:type="spellEnd"/>
      <w:r w:rsidRPr="00CC19F7">
        <w:t xml:space="preserve"> fortrinn for norsk industri og bidra til ei positiv samfunnsutvikling. Det blir derfor foreslått </w:t>
      </w:r>
      <w:proofErr w:type="spellStart"/>
      <w:r w:rsidRPr="00CC19F7">
        <w:t>auka</w:t>
      </w:r>
      <w:proofErr w:type="spellEnd"/>
      <w:r w:rsidRPr="00CC19F7">
        <w:t xml:space="preserve"> </w:t>
      </w:r>
      <w:proofErr w:type="spellStart"/>
      <w:r w:rsidRPr="00CC19F7">
        <w:t>ressursar</w:t>
      </w:r>
      <w:proofErr w:type="spellEnd"/>
      <w:r w:rsidRPr="00CC19F7">
        <w:t xml:space="preserve"> til arbeidet med konsesjonsbehandling av nett og produksjon av kraft, både på land og til havs, for å bidra til at viktige prosjekt kan </w:t>
      </w:r>
      <w:proofErr w:type="spellStart"/>
      <w:r w:rsidRPr="00CC19F7">
        <w:t>realiserast</w:t>
      </w:r>
      <w:proofErr w:type="spellEnd"/>
      <w:r w:rsidRPr="00CC19F7">
        <w:t xml:space="preserve"> </w:t>
      </w:r>
      <w:proofErr w:type="spellStart"/>
      <w:r w:rsidRPr="00CC19F7">
        <w:t>raskare</w:t>
      </w:r>
      <w:proofErr w:type="spellEnd"/>
      <w:r w:rsidRPr="00CC19F7">
        <w:t>.</w:t>
      </w:r>
    </w:p>
    <w:p w14:paraId="6F421250" w14:textId="77777777" w:rsidR="00FE02EF" w:rsidRPr="00CC19F7" w:rsidRDefault="00881E58" w:rsidP="00CC19F7">
      <w:proofErr w:type="spellStart"/>
      <w:r w:rsidRPr="00CC19F7">
        <w:t>Energinæringane</w:t>
      </w:r>
      <w:proofErr w:type="spellEnd"/>
      <w:r w:rsidRPr="00CC19F7">
        <w:t xml:space="preserve"> er, og har i </w:t>
      </w:r>
      <w:proofErr w:type="spellStart"/>
      <w:r w:rsidRPr="00CC19F7">
        <w:t>fleire</w:t>
      </w:r>
      <w:proofErr w:type="spellEnd"/>
      <w:r w:rsidRPr="00CC19F7">
        <w:t xml:space="preserve"> tiår, </w:t>
      </w:r>
      <w:proofErr w:type="spellStart"/>
      <w:r w:rsidRPr="00CC19F7">
        <w:t>vore</w:t>
      </w:r>
      <w:proofErr w:type="spellEnd"/>
      <w:r w:rsidRPr="00CC19F7">
        <w:t xml:space="preserve"> </w:t>
      </w:r>
      <w:proofErr w:type="spellStart"/>
      <w:r w:rsidRPr="00CC19F7">
        <w:t>Noregs</w:t>
      </w:r>
      <w:proofErr w:type="spellEnd"/>
      <w:r w:rsidRPr="00CC19F7">
        <w:t xml:space="preserve"> største </w:t>
      </w:r>
      <w:proofErr w:type="spellStart"/>
      <w:r w:rsidRPr="00CC19F7">
        <w:t>næringar</w:t>
      </w:r>
      <w:proofErr w:type="spellEnd"/>
      <w:r w:rsidRPr="00CC19F7">
        <w:t xml:space="preserve">. </w:t>
      </w:r>
      <w:proofErr w:type="spellStart"/>
      <w:r w:rsidRPr="00CC19F7">
        <w:t>Næringane</w:t>
      </w:r>
      <w:proofErr w:type="spellEnd"/>
      <w:r w:rsidRPr="00CC19F7">
        <w:t xml:space="preserve"> har gitt store, positive ringverknader i form av sysselsetting og vekst over heile landet. Utviklinga av nye </w:t>
      </w:r>
      <w:proofErr w:type="spellStart"/>
      <w:r w:rsidRPr="00CC19F7">
        <w:t>næringar</w:t>
      </w:r>
      <w:proofErr w:type="spellEnd"/>
      <w:r w:rsidRPr="00CC19F7">
        <w:t xml:space="preserve"> som havvind, hydrogen og CO</w:t>
      </w:r>
      <w:r w:rsidRPr="00CC19F7">
        <w:rPr>
          <w:rStyle w:val="skrift-senket"/>
        </w:rPr>
        <w:t>2</w:t>
      </w:r>
      <w:r w:rsidRPr="00CC19F7">
        <w:t xml:space="preserve">-handtering kan bygge på og </w:t>
      </w:r>
      <w:proofErr w:type="spellStart"/>
      <w:r w:rsidRPr="00CC19F7">
        <w:t>vidareutvikle</w:t>
      </w:r>
      <w:proofErr w:type="spellEnd"/>
      <w:r w:rsidRPr="00CC19F7">
        <w:t xml:space="preserve"> kompetanse </w:t>
      </w:r>
      <w:proofErr w:type="spellStart"/>
      <w:r w:rsidRPr="00CC19F7">
        <w:t>frå</w:t>
      </w:r>
      <w:proofErr w:type="spellEnd"/>
      <w:r w:rsidRPr="00CC19F7">
        <w:t xml:space="preserve"> </w:t>
      </w:r>
      <w:proofErr w:type="spellStart"/>
      <w:r w:rsidRPr="00CC19F7">
        <w:t>dei</w:t>
      </w:r>
      <w:proofErr w:type="spellEnd"/>
      <w:r w:rsidRPr="00CC19F7">
        <w:t xml:space="preserve"> etablerte </w:t>
      </w:r>
      <w:proofErr w:type="spellStart"/>
      <w:r w:rsidRPr="00CC19F7">
        <w:t>næringane</w:t>
      </w:r>
      <w:proofErr w:type="spellEnd"/>
      <w:r w:rsidRPr="00CC19F7">
        <w:t xml:space="preserve">. Tilgang på fornybar kraft vil </w:t>
      </w:r>
      <w:proofErr w:type="spellStart"/>
      <w:r w:rsidRPr="00CC19F7">
        <w:t>vere</w:t>
      </w:r>
      <w:proofErr w:type="spellEnd"/>
      <w:r w:rsidRPr="00CC19F7">
        <w:t xml:space="preserve"> </w:t>
      </w:r>
      <w:proofErr w:type="spellStart"/>
      <w:r w:rsidRPr="00CC19F7">
        <w:t>ein</w:t>
      </w:r>
      <w:proofErr w:type="spellEnd"/>
      <w:r w:rsidRPr="00CC19F7">
        <w:t xml:space="preserve"> </w:t>
      </w:r>
      <w:proofErr w:type="spellStart"/>
      <w:r w:rsidRPr="00CC19F7">
        <w:t>føresetnad</w:t>
      </w:r>
      <w:proofErr w:type="spellEnd"/>
      <w:r w:rsidRPr="00CC19F7">
        <w:t xml:space="preserve"> for at prosjekt som skal bidra til </w:t>
      </w:r>
      <w:proofErr w:type="spellStart"/>
      <w:r w:rsidRPr="00CC19F7">
        <w:t>lågare</w:t>
      </w:r>
      <w:proofErr w:type="spellEnd"/>
      <w:r w:rsidRPr="00CC19F7">
        <w:t xml:space="preserve"> utslepp </w:t>
      </w:r>
      <w:proofErr w:type="spellStart"/>
      <w:r w:rsidRPr="00CC19F7">
        <w:t>frå</w:t>
      </w:r>
      <w:proofErr w:type="spellEnd"/>
      <w:r w:rsidRPr="00CC19F7">
        <w:t xml:space="preserve"> fastlandsindustrien og utvikling av nye </w:t>
      </w:r>
      <w:proofErr w:type="spellStart"/>
      <w:r w:rsidRPr="00CC19F7">
        <w:t>næringar</w:t>
      </w:r>
      <w:proofErr w:type="spellEnd"/>
      <w:r w:rsidRPr="00CC19F7">
        <w:t xml:space="preserve">, skal </w:t>
      </w:r>
      <w:proofErr w:type="spellStart"/>
      <w:r w:rsidRPr="00CC19F7">
        <w:t>vere</w:t>
      </w:r>
      <w:proofErr w:type="spellEnd"/>
      <w:r w:rsidRPr="00CC19F7">
        <w:t xml:space="preserve"> lønnsame. </w:t>
      </w:r>
      <w:proofErr w:type="spellStart"/>
      <w:r w:rsidRPr="00CC19F7">
        <w:t>Noreg</w:t>
      </w:r>
      <w:proofErr w:type="spellEnd"/>
      <w:r w:rsidRPr="00CC19F7">
        <w:t xml:space="preserve"> har gode </w:t>
      </w:r>
      <w:proofErr w:type="spellStart"/>
      <w:r w:rsidRPr="00CC19F7">
        <w:t>føresetnader</w:t>
      </w:r>
      <w:proofErr w:type="spellEnd"/>
      <w:r w:rsidRPr="00CC19F7">
        <w:t xml:space="preserve"> for å </w:t>
      </w:r>
      <w:proofErr w:type="spellStart"/>
      <w:r w:rsidRPr="00CC19F7">
        <w:t>lykkast</w:t>
      </w:r>
      <w:proofErr w:type="spellEnd"/>
      <w:r w:rsidRPr="00CC19F7">
        <w:t xml:space="preserve"> i omstillinga til </w:t>
      </w:r>
      <w:proofErr w:type="spellStart"/>
      <w:r w:rsidRPr="00CC19F7">
        <w:t>eit</w:t>
      </w:r>
      <w:proofErr w:type="spellEnd"/>
      <w:r w:rsidRPr="00CC19F7">
        <w:t xml:space="preserve"> </w:t>
      </w:r>
      <w:proofErr w:type="spellStart"/>
      <w:r w:rsidRPr="00CC19F7">
        <w:t>lågutsleppssamfunn</w:t>
      </w:r>
      <w:proofErr w:type="spellEnd"/>
      <w:r w:rsidRPr="00CC19F7">
        <w:t xml:space="preserve">, samtidig som vi </w:t>
      </w:r>
      <w:proofErr w:type="spellStart"/>
      <w:r w:rsidRPr="00CC19F7">
        <w:t>utviklar</w:t>
      </w:r>
      <w:proofErr w:type="spellEnd"/>
      <w:r w:rsidRPr="00CC19F7">
        <w:t xml:space="preserve"> </w:t>
      </w:r>
      <w:proofErr w:type="spellStart"/>
      <w:r w:rsidRPr="00CC19F7">
        <w:t>vidare</w:t>
      </w:r>
      <w:proofErr w:type="spellEnd"/>
      <w:r w:rsidRPr="00CC19F7">
        <w:t xml:space="preserve"> </w:t>
      </w:r>
      <w:proofErr w:type="spellStart"/>
      <w:r w:rsidRPr="00CC19F7">
        <w:t>eksisterande</w:t>
      </w:r>
      <w:proofErr w:type="spellEnd"/>
      <w:r w:rsidRPr="00CC19F7">
        <w:t xml:space="preserve"> industri og etablerer nye </w:t>
      </w:r>
      <w:proofErr w:type="spellStart"/>
      <w:r w:rsidRPr="00CC19F7">
        <w:t>næringar</w:t>
      </w:r>
      <w:proofErr w:type="spellEnd"/>
      <w:r w:rsidRPr="00CC19F7">
        <w:t xml:space="preserve"> og ny industri på </w:t>
      </w:r>
      <w:proofErr w:type="spellStart"/>
      <w:r w:rsidRPr="00CC19F7">
        <w:t>ein</w:t>
      </w:r>
      <w:proofErr w:type="spellEnd"/>
      <w:r w:rsidRPr="00CC19F7">
        <w:t xml:space="preserve"> måte som kjem heile landet til gode.</w:t>
      </w:r>
    </w:p>
    <w:p w14:paraId="54C56732" w14:textId="77777777" w:rsidR="00FE02EF" w:rsidRPr="00CC19F7" w:rsidRDefault="00881E58" w:rsidP="00CC19F7">
      <w:pPr>
        <w:pStyle w:val="Overskrift2"/>
      </w:pPr>
      <w:r w:rsidRPr="00CC19F7">
        <w:t>Petroleum</w:t>
      </w:r>
    </w:p>
    <w:p w14:paraId="3414C4CD" w14:textId="77777777" w:rsidR="00FE02EF" w:rsidRPr="00CC19F7" w:rsidRDefault="00881E58" w:rsidP="00CC19F7">
      <w:proofErr w:type="spellStart"/>
      <w:r w:rsidRPr="00CC19F7">
        <w:t>Hovudmålet</w:t>
      </w:r>
      <w:proofErr w:type="spellEnd"/>
      <w:r w:rsidRPr="00CC19F7">
        <w:t xml:space="preserve"> i petroleumspolitikken er å legge til rette for </w:t>
      </w:r>
      <w:proofErr w:type="spellStart"/>
      <w:r w:rsidRPr="00CC19F7">
        <w:t>lønnsam</w:t>
      </w:r>
      <w:proofErr w:type="spellEnd"/>
      <w:r w:rsidRPr="00CC19F7">
        <w:t xml:space="preserve"> produksjon av olje og gass i </w:t>
      </w:r>
      <w:proofErr w:type="spellStart"/>
      <w:r w:rsidRPr="00CC19F7">
        <w:t>eit</w:t>
      </w:r>
      <w:proofErr w:type="spellEnd"/>
      <w:r w:rsidRPr="00CC19F7">
        <w:t xml:space="preserve"> langsiktig perspektiv. Ressursforvaltninga skal gi </w:t>
      </w:r>
      <w:proofErr w:type="spellStart"/>
      <w:r w:rsidRPr="00CC19F7">
        <w:t>Noreg</w:t>
      </w:r>
      <w:proofErr w:type="spellEnd"/>
      <w:r w:rsidRPr="00CC19F7">
        <w:t xml:space="preserve"> inntekter og bidra til å sikre sysselsetting og velferd for både </w:t>
      </w:r>
      <w:proofErr w:type="spellStart"/>
      <w:r w:rsidRPr="00CC19F7">
        <w:t>noverande</w:t>
      </w:r>
      <w:proofErr w:type="spellEnd"/>
      <w:r w:rsidRPr="00CC19F7">
        <w:t xml:space="preserve"> og framtidige </w:t>
      </w:r>
      <w:proofErr w:type="spellStart"/>
      <w:r w:rsidRPr="00CC19F7">
        <w:t>generasjonar</w:t>
      </w:r>
      <w:proofErr w:type="spellEnd"/>
      <w:r w:rsidRPr="00CC19F7">
        <w:t xml:space="preserve">. Regjeringa vil </w:t>
      </w:r>
      <w:proofErr w:type="spellStart"/>
      <w:r w:rsidRPr="00CC19F7">
        <w:t>halde</w:t>
      </w:r>
      <w:proofErr w:type="spellEnd"/>
      <w:r w:rsidRPr="00CC19F7">
        <w:t xml:space="preserve"> fram med å utvikle petroleumspolitikken og legge til rette for at norsk kontinentalsokkel framleis skal </w:t>
      </w:r>
      <w:proofErr w:type="spellStart"/>
      <w:r w:rsidRPr="00CC19F7">
        <w:t>vere</w:t>
      </w:r>
      <w:proofErr w:type="spellEnd"/>
      <w:r w:rsidRPr="00CC19F7">
        <w:t xml:space="preserve"> </w:t>
      </w:r>
      <w:proofErr w:type="spellStart"/>
      <w:r w:rsidRPr="00CC19F7">
        <w:t>ein</w:t>
      </w:r>
      <w:proofErr w:type="spellEnd"/>
      <w:r w:rsidRPr="00CC19F7">
        <w:t xml:space="preserve"> stabil og langsiktig leverandør av olje og gass til Europa.</w:t>
      </w:r>
    </w:p>
    <w:p w14:paraId="1BCECBEF" w14:textId="77777777" w:rsidR="00FE02EF" w:rsidRPr="00CC19F7" w:rsidRDefault="00881E58" w:rsidP="00CC19F7">
      <w:r w:rsidRPr="00CC19F7">
        <w:t xml:space="preserve">Forvaltninga av </w:t>
      </w:r>
      <w:proofErr w:type="spellStart"/>
      <w:r w:rsidRPr="00CC19F7">
        <w:t>petroleumsressursane</w:t>
      </w:r>
      <w:proofErr w:type="spellEnd"/>
      <w:r w:rsidRPr="00CC19F7">
        <w:t xml:space="preserve"> skal skje </w:t>
      </w:r>
      <w:proofErr w:type="spellStart"/>
      <w:r w:rsidRPr="00CC19F7">
        <w:t>innanfor</w:t>
      </w:r>
      <w:proofErr w:type="spellEnd"/>
      <w:r w:rsidRPr="00CC19F7">
        <w:t xml:space="preserve"> </w:t>
      </w:r>
      <w:proofErr w:type="spellStart"/>
      <w:r w:rsidRPr="00CC19F7">
        <w:t>forsvarlege</w:t>
      </w:r>
      <w:proofErr w:type="spellEnd"/>
      <w:r w:rsidRPr="00CC19F7">
        <w:t xml:space="preserve"> rammer når det </w:t>
      </w:r>
      <w:proofErr w:type="spellStart"/>
      <w:r w:rsidRPr="00CC19F7">
        <w:t>gjeld</w:t>
      </w:r>
      <w:proofErr w:type="spellEnd"/>
      <w:r w:rsidRPr="00CC19F7">
        <w:t xml:space="preserve"> helse, miljø og </w:t>
      </w:r>
      <w:proofErr w:type="spellStart"/>
      <w:r w:rsidRPr="00CC19F7">
        <w:t>sikkerheit</w:t>
      </w:r>
      <w:proofErr w:type="spellEnd"/>
      <w:r w:rsidRPr="00CC19F7">
        <w:t xml:space="preserve">. Regjeringa vil legge til rette for at norsk petroleumsindustri framleis skal </w:t>
      </w:r>
      <w:proofErr w:type="spellStart"/>
      <w:r w:rsidRPr="00CC19F7">
        <w:t>vere</w:t>
      </w:r>
      <w:proofErr w:type="spellEnd"/>
      <w:r w:rsidRPr="00CC19F7">
        <w:t xml:space="preserve"> </w:t>
      </w:r>
      <w:proofErr w:type="spellStart"/>
      <w:r w:rsidRPr="00CC19F7">
        <w:t>leiande</w:t>
      </w:r>
      <w:proofErr w:type="spellEnd"/>
      <w:r w:rsidRPr="00CC19F7">
        <w:t xml:space="preserve">, også </w:t>
      </w:r>
      <w:proofErr w:type="spellStart"/>
      <w:r w:rsidRPr="00CC19F7">
        <w:t>innanfor</w:t>
      </w:r>
      <w:proofErr w:type="spellEnd"/>
      <w:r w:rsidRPr="00CC19F7">
        <w:t xml:space="preserve"> helse, miljø og </w:t>
      </w:r>
      <w:proofErr w:type="spellStart"/>
      <w:r w:rsidRPr="00CC19F7">
        <w:t>sikkerheit</w:t>
      </w:r>
      <w:proofErr w:type="spellEnd"/>
      <w:r w:rsidRPr="00CC19F7">
        <w:t xml:space="preserve">. Rolla som petroleumsprodusent skal </w:t>
      </w:r>
      <w:proofErr w:type="spellStart"/>
      <w:r w:rsidRPr="00CC19F7">
        <w:t>utøvast</w:t>
      </w:r>
      <w:proofErr w:type="spellEnd"/>
      <w:r w:rsidRPr="00CC19F7">
        <w:t xml:space="preserve"> i tråd med måla i klima- og miljøpolitikken. Regjeringa skal i samarbeid med næringa jobbe for at utsleppa </w:t>
      </w:r>
      <w:proofErr w:type="spellStart"/>
      <w:r w:rsidRPr="00CC19F7">
        <w:t>frå</w:t>
      </w:r>
      <w:proofErr w:type="spellEnd"/>
      <w:r w:rsidRPr="00CC19F7">
        <w:t xml:space="preserve"> olje- og gassproduksjonen på norsk sokkel blir </w:t>
      </w:r>
      <w:proofErr w:type="spellStart"/>
      <w:r w:rsidRPr="00CC19F7">
        <w:t>ytterlegare</w:t>
      </w:r>
      <w:proofErr w:type="spellEnd"/>
      <w:r w:rsidRPr="00CC19F7">
        <w:t xml:space="preserve"> reduserte. Det blir gitt ei </w:t>
      </w:r>
      <w:proofErr w:type="spellStart"/>
      <w:r w:rsidRPr="00CC19F7">
        <w:t>årleg</w:t>
      </w:r>
      <w:proofErr w:type="spellEnd"/>
      <w:r w:rsidRPr="00CC19F7">
        <w:t xml:space="preserve"> statusoppdatering for utsleppsutviklinga i </w:t>
      </w:r>
      <w:proofErr w:type="spellStart"/>
      <w:r w:rsidRPr="00CC19F7">
        <w:t>petroleumsverksemda</w:t>
      </w:r>
      <w:proofErr w:type="spellEnd"/>
      <w:r w:rsidRPr="00CC19F7">
        <w:t xml:space="preserve">, jf. kapittel 6.3 Status for utsleppsutviklinga </w:t>
      </w:r>
      <w:proofErr w:type="spellStart"/>
      <w:r w:rsidRPr="00CC19F7">
        <w:t>frå</w:t>
      </w:r>
      <w:proofErr w:type="spellEnd"/>
      <w:r w:rsidRPr="00CC19F7">
        <w:t xml:space="preserve"> </w:t>
      </w:r>
      <w:proofErr w:type="spellStart"/>
      <w:r w:rsidRPr="00CC19F7">
        <w:t>petroleumsverksemda</w:t>
      </w:r>
      <w:proofErr w:type="spellEnd"/>
      <w:r w:rsidRPr="00CC19F7">
        <w:t xml:space="preserve"> i Del III av proposisjonen. Det skal </w:t>
      </w:r>
      <w:proofErr w:type="spellStart"/>
      <w:r w:rsidRPr="00CC19F7">
        <w:t>leggast</w:t>
      </w:r>
      <w:proofErr w:type="spellEnd"/>
      <w:r w:rsidRPr="00CC19F7">
        <w:t xml:space="preserve"> til rette for god sameksistens på havet, der både olje- og </w:t>
      </w:r>
      <w:proofErr w:type="spellStart"/>
      <w:r w:rsidRPr="00CC19F7">
        <w:t>gassverksemda</w:t>
      </w:r>
      <w:proofErr w:type="spellEnd"/>
      <w:r w:rsidRPr="00CC19F7">
        <w:t xml:space="preserve"> og andre </w:t>
      </w:r>
      <w:proofErr w:type="spellStart"/>
      <w:r w:rsidRPr="00CC19F7">
        <w:t>havnæringar</w:t>
      </w:r>
      <w:proofErr w:type="spellEnd"/>
      <w:r w:rsidRPr="00CC19F7">
        <w:t xml:space="preserve"> blir </w:t>
      </w:r>
      <w:proofErr w:type="spellStart"/>
      <w:r w:rsidRPr="00CC19F7">
        <w:t>vidareutvikla</w:t>
      </w:r>
      <w:proofErr w:type="spellEnd"/>
      <w:r w:rsidRPr="00CC19F7">
        <w:t>.</w:t>
      </w:r>
    </w:p>
    <w:p w14:paraId="67725308" w14:textId="77777777" w:rsidR="00FE02EF" w:rsidRPr="00CC19F7" w:rsidRDefault="00881E58" w:rsidP="00CC19F7">
      <w:r w:rsidRPr="00CC19F7">
        <w:t xml:space="preserve">Petroleumssektoren i </w:t>
      </w:r>
      <w:proofErr w:type="spellStart"/>
      <w:r w:rsidRPr="00CC19F7">
        <w:t>Noreg</w:t>
      </w:r>
      <w:proofErr w:type="spellEnd"/>
      <w:r w:rsidRPr="00CC19F7">
        <w:t xml:space="preserve"> </w:t>
      </w:r>
      <w:proofErr w:type="spellStart"/>
      <w:r w:rsidRPr="00CC19F7">
        <w:t>skapar</w:t>
      </w:r>
      <w:proofErr w:type="spellEnd"/>
      <w:r w:rsidRPr="00CC19F7">
        <w:t xml:space="preserve"> store </w:t>
      </w:r>
      <w:proofErr w:type="spellStart"/>
      <w:r w:rsidRPr="00CC19F7">
        <w:t>verdiar</w:t>
      </w:r>
      <w:proofErr w:type="spellEnd"/>
      <w:r w:rsidRPr="00CC19F7">
        <w:t xml:space="preserve"> for landet og ei </w:t>
      </w:r>
      <w:proofErr w:type="spellStart"/>
      <w:r w:rsidRPr="00CC19F7">
        <w:t>eksportverksemd</w:t>
      </w:r>
      <w:proofErr w:type="spellEnd"/>
      <w:r w:rsidRPr="00CC19F7">
        <w:t xml:space="preserve"> som bidrar til å dekke verdas, og </w:t>
      </w:r>
      <w:proofErr w:type="spellStart"/>
      <w:r w:rsidRPr="00CC19F7">
        <w:t>ikkje</w:t>
      </w:r>
      <w:proofErr w:type="spellEnd"/>
      <w:r w:rsidRPr="00CC19F7">
        <w:t xml:space="preserve"> minst Europas, </w:t>
      </w:r>
      <w:proofErr w:type="spellStart"/>
      <w:r w:rsidRPr="00CC19F7">
        <w:t>grunnleggande</w:t>
      </w:r>
      <w:proofErr w:type="spellEnd"/>
      <w:r w:rsidRPr="00CC19F7">
        <w:t xml:space="preserve"> behov for energi. </w:t>
      </w:r>
      <w:proofErr w:type="spellStart"/>
      <w:r w:rsidRPr="00CC19F7">
        <w:t>Noreg</w:t>
      </w:r>
      <w:proofErr w:type="spellEnd"/>
      <w:r w:rsidRPr="00CC19F7">
        <w:t xml:space="preserve"> er den største produsenten og </w:t>
      </w:r>
      <w:proofErr w:type="spellStart"/>
      <w:r w:rsidRPr="00CC19F7">
        <w:t>einaste</w:t>
      </w:r>
      <w:proofErr w:type="spellEnd"/>
      <w:r w:rsidRPr="00CC19F7">
        <w:t xml:space="preserve"> nettoeksportør av olje og gass i Vest-Europa. Produksjonen </w:t>
      </w:r>
      <w:proofErr w:type="spellStart"/>
      <w:r w:rsidRPr="00CC19F7">
        <w:t>rettshavarane</w:t>
      </w:r>
      <w:proofErr w:type="spellEnd"/>
      <w:r w:rsidRPr="00CC19F7">
        <w:t xml:space="preserve"> på norsk sokkel har </w:t>
      </w:r>
      <w:proofErr w:type="spellStart"/>
      <w:r w:rsidRPr="00CC19F7">
        <w:t>frå</w:t>
      </w:r>
      <w:proofErr w:type="spellEnd"/>
      <w:r w:rsidRPr="00CC19F7">
        <w:t xml:space="preserve"> norske olje- og gassfelt, er derfor viktig for europeisk </w:t>
      </w:r>
      <w:proofErr w:type="spellStart"/>
      <w:r w:rsidRPr="00CC19F7">
        <w:t>energisikkerheit</w:t>
      </w:r>
      <w:proofErr w:type="spellEnd"/>
      <w:r w:rsidRPr="00CC19F7">
        <w:t xml:space="preserve">. I 2022 blei felta på norsk kontinentalsokkel den største </w:t>
      </w:r>
      <w:proofErr w:type="spellStart"/>
      <w:r w:rsidRPr="00CC19F7">
        <w:t>enkeltkjelda</w:t>
      </w:r>
      <w:proofErr w:type="spellEnd"/>
      <w:r w:rsidRPr="00CC19F7">
        <w:t xml:space="preserve"> til gass til Europa som følge av bortfallet av russiske </w:t>
      </w:r>
      <w:proofErr w:type="spellStart"/>
      <w:r w:rsidRPr="00CC19F7">
        <w:t>gassrøyrleidningsleveransar</w:t>
      </w:r>
      <w:proofErr w:type="spellEnd"/>
      <w:r w:rsidRPr="00CC19F7">
        <w:t>.</w:t>
      </w:r>
    </w:p>
    <w:p w14:paraId="27E8577D" w14:textId="77777777" w:rsidR="00FE02EF" w:rsidRPr="00CC19F7" w:rsidRDefault="00881E58" w:rsidP="00CC19F7">
      <w:r w:rsidRPr="00CC19F7">
        <w:t>Totalt blei det produsert og selt 122 mrd. Sm</w:t>
      </w:r>
      <w:r w:rsidRPr="00CC19F7">
        <w:rPr>
          <w:rStyle w:val="skrift-hevet"/>
        </w:rPr>
        <w:t>3</w:t>
      </w:r>
      <w:r w:rsidRPr="00CC19F7">
        <w:t xml:space="preserve"> gass </w:t>
      </w:r>
      <w:proofErr w:type="spellStart"/>
      <w:r w:rsidRPr="00CC19F7">
        <w:t>frå</w:t>
      </w:r>
      <w:proofErr w:type="spellEnd"/>
      <w:r w:rsidRPr="00CC19F7">
        <w:t xml:space="preserve"> norske felt i 2022, </w:t>
      </w:r>
      <w:proofErr w:type="spellStart"/>
      <w:r w:rsidRPr="00CC19F7">
        <w:t>noko</w:t>
      </w:r>
      <w:proofErr w:type="spellEnd"/>
      <w:r w:rsidRPr="00CC19F7">
        <w:t xml:space="preserve"> som var </w:t>
      </w:r>
      <w:proofErr w:type="spellStart"/>
      <w:r w:rsidRPr="00CC19F7">
        <w:t>ein</w:t>
      </w:r>
      <w:proofErr w:type="spellEnd"/>
      <w:r w:rsidRPr="00CC19F7">
        <w:t xml:space="preserve"> </w:t>
      </w:r>
      <w:proofErr w:type="spellStart"/>
      <w:r w:rsidRPr="00CC19F7">
        <w:t>auke</w:t>
      </w:r>
      <w:proofErr w:type="spellEnd"/>
      <w:r w:rsidRPr="00CC19F7">
        <w:t xml:space="preserve"> på rundt 8 prosent </w:t>
      </w:r>
      <w:proofErr w:type="spellStart"/>
      <w:r w:rsidRPr="00CC19F7">
        <w:t>frå</w:t>
      </w:r>
      <w:proofErr w:type="spellEnd"/>
      <w:r w:rsidRPr="00CC19F7">
        <w:t xml:space="preserve"> 2021. Auken aleine svarer til om lag 100 </w:t>
      </w:r>
      <w:proofErr w:type="spellStart"/>
      <w:r w:rsidRPr="00CC19F7">
        <w:t>TWh</w:t>
      </w:r>
      <w:proofErr w:type="spellEnd"/>
      <w:r w:rsidRPr="00CC19F7">
        <w:t xml:space="preserve"> i energi. Til </w:t>
      </w:r>
      <w:proofErr w:type="spellStart"/>
      <w:r w:rsidRPr="00CC19F7">
        <w:t>samanlikning</w:t>
      </w:r>
      <w:proofErr w:type="spellEnd"/>
      <w:r w:rsidRPr="00CC19F7">
        <w:t xml:space="preserve"> var norsk vasskraftproduksjon i 2022 på 129 </w:t>
      </w:r>
      <w:proofErr w:type="spellStart"/>
      <w:r w:rsidRPr="00CC19F7">
        <w:t>TWh</w:t>
      </w:r>
      <w:proofErr w:type="spellEnd"/>
      <w:r w:rsidRPr="00CC19F7">
        <w:t xml:space="preserve">. Dei norske </w:t>
      </w:r>
      <w:proofErr w:type="spellStart"/>
      <w:r w:rsidRPr="00CC19F7">
        <w:t>leveransane</w:t>
      </w:r>
      <w:proofErr w:type="spellEnd"/>
      <w:r w:rsidRPr="00CC19F7">
        <w:t xml:space="preserve"> i 2022 var </w:t>
      </w:r>
      <w:proofErr w:type="spellStart"/>
      <w:r w:rsidRPr="00CC19F7">
        <w:t>særleg</w:t>
      </w:r>
      <w:proofErr w:type="spellEnd"/>
      <w:r w:rsidRPr="00CC19F7">
        <w:t xml:space="preserve"> </w:t>
      </w:r>
      <w:proofErr w:type="spellStart"/>
      <w:r w:rsidRPr="00CC19F7">
        <w:t>avgjerande</w:t>
      </w:r>
      <w:proofErr w:type="spellEnd"/>
      <w:r w:rsidRPr="00CC19F7">
        <w:t xml:space="preserve"> for Europas energiforsyning som følge av Russlands angrep og </w:t>
      </w:r>
      <w:proofErr w:type="spellStart"/>
      <w:r w:rsidRPr="00CC19F7">
        <w:t>påfølgande</w:t>
      </w:r>
      <w:proofErr w:type="spellEnd"/>
      <w:r w:rsidRPr="00CC19F7">
        <w:t xml:space="preserve"> </w:t>
      </w:r>
      <w:r w:rsidRPr="00CC19F7">
        <w:lastRenderedPageBreak/>
        <w:t xml:space="preserve">krig i Ukraina. </w:t>
      </w:r>
      <w:proofErr w:type="spellStart"/>
      <w:r w:rsidRPr="00CC19F7">
        <w:t>Utan</w:t>
      </w:r>
      <w:proofErr w:type="spellEnd"/>
      <w:r w:rsidRPr="00CC19F7">
        <w:t xml:space="preserve"> denne </w:t>
      </w:r>
      <w:proofErr w:type="spellStart"/>
      <w:r w:rsidRPr="00CC19F7">
        <w:t>auken</w:t>
      </w:r>
      <w:proofErr w:type="spellEnd"/>
      <w:r w:rsidRPr="00CC19F7">
        <w:t xml:space="preserve"> ville Europa stått overfor ei enda verre krise, med enda </w:t>
      </w:r>
      <w:proofErr w:type="spellStart"/>
      <w:r w:rsidRPr="00CC19F7">
        <w:t>høgare</w:t>
      </w:r>
      <w:proofErr w:type="spellEnd"/>
      <w:r w:rsidRPr="00CC19F7">
        <w:t xml:space="preserve"> </w:t>
      </w:r>
      <w:proofErr w:type="spellStart"/>
      <w:r w:rsidRPr="00CC19F7">
        <w:t>energiprisar</w:t>
      </w:r>
      <w:proofErr w:type="spellEnd"/>
      <w:r w:rsidRPr="00CC19F7">
        <w:t>.</w:t>
      </w:r>
    </w:p>
    <w:p w14:paraId="17711A5F" w14:textId="77777777" w:rsidR="00FE02EF" w:rsidRPr="00CC19F7" w:rsidRDefault="00881E58" w:rsidP="00CC19F7">
      <w:proofErr w:type="spellStart"/>
      <w:r w:rsidRPr="00CC19F7">
        <w:t>Petroleumsverksemda</w:t>
      </w:r>
      <w:proofErr w:type="spellEnd"/>
      <w:r w:rsidRPr="00CC19F7">
        <w:t xml:space="preserve"> er </w:t>
      </w:r>
      <w:proofErr w:type="spellStart"/>
      <w:r w:rsidRPr="00CC19F7">
        <w:t>Noregs</w:t>
      </w:r>
      <w:proofErr w:type="spellEnd"/>
      <w:r w:rsidRPr="00CC19F7">
        <w:t xml:space="preserve"> klart største næring målt i verdiskaping, </w:t>
      </w:r>
      <w:proofErr w:type="spellStart"/>
      <w:r w:rsidRPr="00CC19F7">
        <w:t>statlege</w:t>
      </w:r>
      <w:proofErr w:type="spellEnd"/>
      <w:r w:rsidRPr="00CC19F7">
        <w:t xml:space="preserve"> inntekter, </w:t>
      </w:r>
      <w:proofErr w:type="spellStart"/>
      <w:r w:rsidRPr="00CC19F7">
        <w:t>investeringar</w:t>
      </w:r>
      <w:proofErr w:type="spellEnd"/>
      <w:r w:rsidRPr="00CC19F7">
        <w:t xml:space="preserve"> og eksportverdi. Det har ho </w:t>
      </w:r>
      <w:proofErr w:type="spellStart"/>
      <w:r w:rsidRPr="00CC19F7">
        <w:t>vore</w:t>
      </w:r>
      <w:proofErr w:type="spellEnd"/>
      <w:r w:rsidRPr="00CC19F7">
        <w:t xml:space="preserve"> </w:t>
      </w:r>
      <w:proofErr w:type="spellStart"/>
      <w:r w:rsidRPr="00CC19F7">
        <w:t>dei</w:t>
      </w:r>
      <w:proofErr w:type="spellEnd"/>
      <w:r w:rsidRPr="00CC19F7">
        <w:t xml:space="preserve"> siste tiåra og er forventa å </w:t>
      </w:r>
      <w:proofErr w:type="spellStart"/>
      <w:r w:rsidRPr="00CC19F7">
        <w:t>vere</w:t>
      </w:r>
      <w:proofErr w:type="spellEnd"/>
      <w:r w:rsidRPr="00CC19F7">
        <w:t xml:space="preserve"> det i mange år framover. I 2022 stod </w:t>
      </w:r>
      <w:proofErr w:type="spellStart"/>
      <w:r w:rsidRPr="00CC19F7">
        <w:t>petroleumsverksemda</w:t>
      </w:r>
      <w:proofErr w:type="spellEnd"/>
      <w:r w:rsidRPr="00CC19F7">
        <w:t xml:space="preserve"> for rundt 35 prosent av all verdiskaping i landet, og utgjorde om lag 64 prosent av </w:t>
      </w:r>
      <w:proofErr w:type="spellStart"/>
      <w:r w:rsidRPr="00CC19F7">
        <w:t>eksportverdiane</w:t>
      </w:r>
      <w:proofErr w:type="spellEnd"/>
      <w:r w:rsidRPr="00CC19F7">
        <w:t xml:space="preserve">, ifølge tal </w:t>
      </w:r>
      <w:proofErr w:type="spellStart"/>
      <w:r w:rsidRPr="00CC19F7">
        <w:t>frå</w:t>
      </w:r>
      <w:proofErr w:type="spellEnd"/>
      <w:r w:rsidRPr="00CC19F7">
        <w:t xml:space="preserve"> SSB. Sektoren bidrar til at BNP per </w:t>
      </w:r>
      <w:proofErr w:type="spellStart"/>
      <w:r w:rsidRPr="00CC19F7">
        <w:t>innbyggar</w:t>
      </w:r>
      <w:proofErr w:type="spellEnd"/>
      <w:r w:rsidRPr="00CC19F7">
        <w:t xml:space="preserve"> er </w:t>
      </w:r>
      <w:proofErr w:type="spellStart"/>
      <w:r w:rsidRPr="00CC19F7">
        <w:t>vesentleg</w:t>
      </w:r>
      <w:proofErr w:type="spellEnd"/>
      <w:r w:rsidRPr="00CC19F7">
        <w:t xml:space="preserve"> </w:t>
      </w:r>
      <w:proofErr w:type="spellStart"/>
      <w:r w:rsidRPr="00CC19F7">
        <w:t>høgare</w:t>
      </w:r>
      <w:proofErr w:type="spellEnd"/>
      <w:r w:rsidRPr="00CC19F7">
        <w:t xml:space="preserve"> i </w:t>
      </w:r>
      <w:proofErr w:type="spellStart"/>
      <w:r w:rsidRPr="00CC19F7">
        <w:t>Noreg</w:t>
      </w:r>
      <w:proofErr w:type="spellEnd"/>
      <w:r w:rsidRPr="00CC19F7">
        <w:t xml:space="preserve"> enn for </w:t>
      </w:r>
      <w:proofErr w:type="spellStart"/>
      <w:r w:rsidRPr="00CC19F7">
        <w:t>dei</w:t>
      </w:r>
      <w:proofErr w:type="spellEnd"/>
      <w:r w:rsidRPr="00CC19F7">
        <w:t xml:space="preserve"> aller fleste av </w:t>
      </w:r>
      <w:proofErr w:type="spellStart"/>
      <w:r w:rsidRPr="00CC19F7">
        <w:t>handelspartnarane</w:t>
      </w:r>
      <w:proofErr w:type="spellEnd"/>
      <w:r w:rsidRPr="00CC19F7">
        <w:t xml:space="preserve"> våre.</w:t>
      </w:r>
    </w:p>
    <w:p w14:paraId="690D7EAF" w14:textId="77777777" w:rsidR="00FE02EF" w:rsidRPr="00CC19F7" w:rsidRDefault="00881E58" w:rsidP="00CC19F7">
      <w:proofErr w:type="spellStart"/>
      <w:r w:rsidRPr="00CC19F7">
        <w:t>Petroleumsressursane</w:t>
      </w:r>
      <w:proofErr w:type="spellEnd"/>
      <w:r w:rsidRPr="00CC19F7">
        <w:t xml:space="preserve"> </w:t>
      </w:r>
      <w:proofErr w:type="spellStart"/>
      <w:r w:rsidRPr="00CC19F7">
        <w:t>tilhøyrer</w:t>
      </w:r>
      <w:proofErr w:type="spellEnd"/>
      <w:r w:rsidRPr="00CC19F7">
        <w:t xml:space="preserve"> </w:t>
      </w:r>
      <w:proofErr w:type="spellStart"/>
      <w:r w:rsidRPr="00CC19F7">
        <w:t>fellesskapen</w:t>
      </w:r>
      <w:proofErr w:type="spellEnd"/>
      <w:r w:rsidRPr="00CC19F7">
        <w:t xml:space="preserve">, og </w:t>
      </w:r>
      <w:proofErr w:type="spellStart"/>
      <w:r w:rsidRPr="00CC19F7">
        <w:t>verksemda</w:t>
      </w:r>
      <w:proofErr w:type="spellEnd"/>
      <w:r w:rsidRPr="00CC19F7">
        <w:t xml:space="preserve"> er viktig for finansieringa av velferdsstaten. Verdiskapinga på norsk kontinentalsokkel var i 2022 på </w:t>
      </w:r>
      <w:proofErr w:type="spellStart"/>
      <w:r w:rsidRPr="00CC19F7">
        <w:t>eit</w:t>
      </w:r>
      <w:proofErr w:type="spellEnd"/>
      <w:r w:rsidRPr="00CC19F7">
        <w:t xml:space="preserve"> historisk høgt nivå. Netto </w:t>
      </w:r>
      <w:proofErr w:type="spellStart"/>
      <w:r w:rsidRPr="00CC19F7">
        <w:t>kontantstraum</w:t>
      </w:r>
      <w:proofErr w:type="spellEnd"/>
      <w:r w:rsidRPr="00CC19F7">
        <w:t xml:space="preserve"> til staten </w:t>
      </w:r>
      <w:proofErr w:type="spellStart"/>
      <w:r w:rsidRPr="00CC19F7">
        <w:t>frå</w:t>
      </w:r>
      <w:proofErr w:type="spellEnd"/>
      <w:r w:rsidRPr="00CC19F7">
        <w:t xml:space="preserve"> </w:t>
      </w:r>
      <w:proofErr w:type="spellStart"/>
      <w:r w:rsidRPr="00CC19F7">
        <w:t>petroleumsverksemda</w:t>
      </w:r>
      <w:proofErr w:type="spellEnd"/>
      <w:r w:rsidRPr="00CC19F7">
        <w:t xml:space="preserve"> i 2022 var 1 285 mrd. kroner. I 2023 er anslaget for netto </w:t>
      </w:r>
      <w:proofErr w:type="spellStart"/>
      <w:r w:rsidRPr="00CC19F7">
        <w:t>kontantstraum</w:t>
      </w:r>
      <w:proofErr w:type="spellEnd"/>
      <w:r w:rsidRPr="00CC19F7">
        <w:t xml:space="preserve"> til staten 903 mrd. kroner. Dette bidraget til Statens pensjonsfond utland (SPU) er </w:t>
      </w:r>
      <w:proofErr w:type="spellStart"/>
      <w:r w:rsidRPr="00CC19F7">
        <w:t>vesentleg</w:t>
      </w:r>
      <w:proofErr w:type="spellEnd"/>
      <w:r w:rsidRPr="00CC19F7">
        <w:t xml:space="preserve"> også i forhold til størrelsen på fondet.</w:t>
      </w:r>
    </w:p>
    <w:p w14:paraId="45C1E70D" w14:textId="77777777" w:rsidR="00FE02EF" w:rsidRPr="00CC19F7" w:rsidRDefault="00881E58" w:rsidP="00CC19F7">
      <w:r w:rsidRPr="00CC19F7">
        <w:t xml:space="preserve">Næringa er </w:t>
      </w:r>
      <w:proofErr w:type="spellStart"/>
      <w:r w:rsidRPr="00CC19F7">
        <w:t>ein</w:t>
      </w:r>
      <w:proofErr w:type="spellEnd"/>
      <w:r w:rsidRPr="00CC19F7">
        <w:t xml:space="preserve"> viktig </w:t>
      </w:r>
      <w:proofErr w:type="spellStart"/>
      <w:r w:rsidRPr="00CC19F7">
        <w:t>bidragsytar</w:t>
      </w:r>
      <w:proofErr w:type="spellEnd"/>
      <w:r w:rsidRPr="00CC19F7">
        <w:t xml:space="preserve"> til økonomisk aktivitet og sysselsetting over heile landet. Ringverknadene på fastlandet er store </w:t>
      </w:r>
      <w:proofErr w:type="spellStart"/>
      <w:r w:rsidRPr="00CC19F7">
        <w:t>frå</w:t>
      </w:r>
      <w:proofErr w:type="spellEnd"/>
      <w:r w:rsidRPr="00CC19F7">
        <w:t xml:space="preserve"> både utbygging og drift. Menon </w:t>
      </w:r>
      <w:proofErr w:type="spellStart"/>
      <w:r w:rsidRPr="00CC19F7">
        <w:t>Economics</w:t>
      </w:r>
      <w:proofErr w:type="spellEnd"/>
      <w:r w:rsidRPr="00CC19F7">
        <w:t xml:space="preserve"> (2023) har gjort </w:t>
      </w:r>
      <w:proofErr w:type="spellStart"/>
      <w:r w:rsidRPr="00CC19F7">
        <w:t>berekningar</w:t>
      </w:r>
      <w:proofErr w:type="spellEnd"/>
      <w:r w:rsidRPr="00CC19F7">
        <w:t xml:space="preserve"> av den totale sysselsettinga knytt til næringa i 2021. Om lag 204 000 </w:t>
      </w:r>
      <w:proofErr w:type="spellStart"/>
      <w:r w:rsidRPr="00CC19F7">
        <w:t>personar</w:t>
      </w:r>
      <w:proofErr w:type="spellEnd"/>
      <w:r w:rsidRPr="00CC19F7">
        <w:t xml:space="preserve"> busette over heile landet var direkte eller indirekte knytte til næringa.</w:t>
      </w:r>
    </w:p>
    <w:p w14:paraId="3AC9B1A5" w14:textId="77777777" w:rsidR="00FE02EF" w:rsidRPr="00CC19F7" w:rsidRDefault="00881E58" w:rsidP="00CC19F7">
      <w:r w:rsidRPr="00CC19F7">
        <w:t xml:space="preserve">Regjeringa har i Meld. St. 11 (2021–2022) og </w:t>
      </w:r>
      <w:proofErr w:type="spellStart"/>
      <w:r w:rsidRPr="00CC19F7">
        <w:t>Prop</w:t>
      </w:r>
      <w:proofErr w:type="spellEnd"/>
      <w:r w:rsidRPr="00CC19F7">
        <w:t xml:space="preserve">. 97 S (2022–2023) lagt fram sin politikk for å </w:t>
      </w:r>
      <w:proofErr w:type="spellStart"/>
      <w:r w:rsidRPr="00CC19F7">
        <w:t>vidareutvikle</w:t>
      </w:r>
      <w:proofErr w:type="spellEnd"/>
      <w:r w:rsidRPr="00CC19F7">
        <w:t xml:space="preserve"> norsk petroleumsindustri, der </w:t>
      </w:r>
      <w:proofErr w:type="spellStart"/>
      <w:r w:rsidRPr="00CC19F7">
        <w:t>hovudmålet</w:t>
      </w:r>
      <w:proofErr w:type="spellEnd"/>
      <w:r w:rsidRPr="00CC19F7">
        <w:t xml:space="preserve"> er å legge til rette for </w:t>
      </w:r>
      <w:proofErr w:type="spellStart"/>
      <w:r w:rsidRPr="00CC19F7">
        <w:t>lønnsam</w:t>
      </w:r>
      <w:proofErr w:type="spellEnd"/>
      <w:r w:rsidRPr="00CC19F7">
        <w:t xml:space="preserve"> produksjon av olje og gass i </w:t>
      </w:r>
      <w:proofErr w:type="spellStart"/>
      <w:r w:rsidRPr="00CC19F7">
        <w:t>eit</w:t>
      </w:r>
      <w:proofErr w:type="spellEnd"/>
      <w:r w:rsidRPr="00CC19F7">
        <w:t xml:space="preserve"> langsiktig perspektiv. </w:t>
      </w:r>
      <w:proofErr w:type="spellStart"/>
      <w:r w:rsidRPr="00CC19F7">
        <w:t>Vidareutviklinga</w:t>
      </w:r>
      <w:proofErr w:type="spellEnd"/>
      <w:r w:rsidRPr="00CC19F7">
        <w:t xml:space="preserve"> av petroleumssektoren vil bidra til å styrke norsk næringsliv og den industrielle utviklinga i landet. I forvaltninga skal det </w:t>
      </w:r>
      <w:proofErr w:type="spellStart"/>
      <w:r w:rsidRPr="00CC19F7">
        <w:t>takast</w:t>
      </w:r>
      <w:proofErr w:type="spellEnd"/>
      <w:r w:rsidRPr="00CC19F7">
        <w:t xml:space="preserve"> nødvendige omsyn til det ytre miljøet, distriktspolitiske interesser og anna </w:t>
      </w:r>
      <w:proofErr w:type="spellStart"/>
      <w:r w:rsidRPr="00CC19F7">
        <w:t>verksemd</w:t>
      </w:r>
      <w:proofErr w:type="spellEnd"/>
      <w:r w:rsidRPr="00CC19F7">
        <w:t xml:space="preserve">. </w:t>
      </w:r>
      <w:proofErr w:type="spellStart"/>
      <w:r w:rsidRPr="00CC19F7">
        <w:t>Energimarknadene</w:t>
      </w:r>
      <w:proofErr w:type="spellEnd"/>
      <w:r w:rsidRPr="00CC19F7">
        <w:t xml:space="preserve"> går gjennom store </w:t>
      </w:r>
      <w:proofErr w:type="spellStart"/>
      <w:r w:rsidRPr="00CC19F7">
        <w:t>endringar</w:t>
      </w:r>
      <w:proofErr w:type="spellEnd"/>
      <w:r w:rsidRPr="00CC19F7">
        <w:t xml:space="preserve">, både på kort og lang sikt. Norsk petroleumsnæring, som ei høgkompetent og teknologitung næring, er godt rusta til å handtere </w:t>
      </w:r>
      <w:proofErr w:type="spellStart"/>
      <w:r w:rsidRPr="00CC19F7">
        <w:t>endringane</w:t>
      </w:r>
      <w:proofErr w:type="spellEnd"/>
      <w:r w:rsidRPr="00CC19F7">
        <w:t xml:space="preserve"> vi </w:t>
      </w:r>
      <w:proofErr w:type="spellStart"/>
      <w:r w:rsidRPr="00CC19F7">
        <w:t>no</w:t>
      </w:r>
      <w:proofErr w:type="spellEnd"/>
      <w:r w:rsidRPr="00CC19F7">
        <w:t xml:space="preserve"> står overfor. Regjeringa vil legge til rette for </w:t>
      </w:r>
      <w:proofErr w:type="spellStart"/>
      <w:r w:rsidRPr="00CC19F7">
        <w:t>eit</w:t>
      </w:r>
      <w:proofErr w:type="spellEnd"/>
      <w:r w:rsidRPr="00CC19F7">
        <w:t xml:space="preserve"> stabilt aktivitetsnivå på norsk sokkel av olje- og </w:t>
      </w:r>
      <w:proofErr w:type="spellStart"/>
      <w:r w:rsidRPr="00CC19F7">
        <w:t>gassverksemd</w:t>
      </w:r>
      <w:proofErr w:type="spellEnd"/>
      <w:r w:rsidRPr="00CC19F7">
        <w:t xml:space="preserve">, med </w:t>
      </w:r>
      <w:proofErr w:type="spellStart"/>
      <w:r w:rsidRPr="00CC19F7">
        <w:t>auka</w:t>
      </w:r>
      <w:proofErr w:type="spellEnd"/>
      <w:r w:rsidRPr="00CC19F7">
        <w:t xml:space="preserve"> innslag av </w:t>
      </w:r>
      <w:proofErr w:type="spellStart"/>
      <w:r w:rsidRPr="00CC19F7">
        <w:t>næringar</w:t>
      </w:r>
      <w:proofErr w:type="spellEnd"/>
      <w:r w:rsidRPr="00CC19F7">
        <w:t xml:space="preserve"> knytte til karbonfangst og -lagring, hydrogen, havvind, havbruk og mineral.</w:t>
      </w:r>
    </w:p>
    <w:p w14:paraId="66B0CB33" w14:textId="77777777" w:rsidR="00FE02EF" w:rsidRPr="00CC19F7" w:rsidRDefault="00881E58" w:rsidP="00CC19F7">
      <w:proofErr w:type="spellStart"/>
      <w:r w:rsidRPr="00CC19F7">
        <w:t>Ein</w:t>
      </w:r>
      <w:proofErr w:type="spellEnd"/>
      <w:r w:rsidRPr="00CC19F7">
        <w:t xml:space="preserve"> aktiv leitepolitikk vil bidra til å </w:t>
      </w:r>
      <w:proofErr w:type="spellStart"/>
      <w:r w:rsidRPr="00CC19F7">
        <w:t>oppretthalde</w:t>
      </w:r>
      <w:proofErr w:type="spellEnd"/>
      <w:r w:rsidRPr="00CC19F7">
        <w:t xml:space="preserve"> dette. Dei </w:t>
      </w:r>
      <w:proofErr w:type="spellStart"/>
      <w:r w:rsidRPr="00CC19F7">
        <w:t>årlege</w:t>
      </w:r>
      <w:proofErr w:type="spellEnd"/>
      <w:r w:rsidRPr="00CC19F7">
        <w:t xml:space="preserve"> </w:t>
      </w:r>
      <w:proofErr w:type="spellStart"/>
      <w:r w:rsidRPr="00CC19F7">
        <w:t>konsesjonsrundane</w:t>
      </w:r>
      <w:proofErr w:type="spellEnd"/>
      <w:r w:rsidRPr="00CC19F7">
        <w:t xml:space="preserve"> i førehandsdefinerte område (TFO) vil gi næringa tilgang på nye og attraktive </w:t>
      </w:r>
      <w:proofErr w:type="spellStart"/>
      <w:r w:rsidRPr="00CC19F7">
        <w:t>leiteareal</w:t>
      </w:r>
      <w:proofErr w:type="spellEnd"/>
      <w:r w:rsidRPr="00CC19F7">
        <w:t xml:space="preserve">. Nye lønnsame funn vil legge til rette for </w:t>
      </w:r>
      <w:proofErr w:type="spellStart"/>
      <w:r w:rsidRPr="00CC19F7">
        <w:t>statlege</w:t>
      </w:r>
      <w:proofErr w:type="spellEnd"/>
      <w:r w:rsidRPr="00CC19F7">
        <w:t xml:space="preserve"> inntekter, verdiskaping og sysselsetting, </w:t>
      </w:r>
      <w:proofErr w:type="spellStart"/>
      <w:r w:rsidRPr="00CC19F7">
        <w:t>noko</w:t>
      </w:r>
      <w:proofErr w:type="spellEnd"/>
      <w:r w:rsidRPr="00CC19F7">
        <w:t xml:space="preserve"> som er viktig for å </w:t>
      </w:r>
      <w:proofErr w:type="spellStart"/>
      <w:r w:rsidRPr="00CC19F7">
        <w:t>oppretthalde</w:t>
      </w:r>
      <w:proofErr w:type="spellEnd"/>
      <w:r w:rsidRPr="00CC19F7">
        <w:t xml:space="preserve"> velferda i landet vårt.</w:t>
      </w:r>
    </w:p>
    <w:p w14:paraId="27704F93" w14:textId="77777777" w:rsidR="00FE02EF" w:rsidRPr="00CC19F7" w:rsidRDefault="00881E58" w:rsidP="00CC19F7">
      <w:r w:rsidRPr="00CC19F7">
        <w:t xml:space="preserve">Sentralt for å nå måla i petroleumspolitikken er å </w:t>
      </w:r>
      <w:proofErr w:type="spellStart"/>
      <w:r w:rsidRPr="00CC19F7">
        <w:t>oppretthalde</w:t>
      </w:r>
      <w:proofErr w:type="spellEnd"/>
      <w:r w:rsidRPr="00CC19F7">
        <w:t xml:space="preserve"> </w:t>
      </w:r>
      <w:proofErr w:type="spellStart"/>
      <w:r w:rsidRPr="00CC19F7">
        <w:t>eit</w:t>
      </w:r>
      <w:proofErr w:type="spellEnd"/>
      <w:r w:rsidRPr="00CC19F7">
        <w:t xml:space="preserve"> </w:t>
      </w:r>
      <w:proofErr w:type="spellStart"/>
      <w:r w:rsidRPr="00CC19F7">
        <w:t>føreseieleg</w:t>
      </w:r>
      <w:proofErr w:type="spellEnd"/>
      <w:r w:rsidRPr="00CC19F7">
        <w:t xml:space="preserve">, effektivt og </w:t>
      </w:r>
      <w:proofErr w:type="spellStart"/>
      <w:r w:rsidRPr="00CC19F7">
        <w:t>heilskapleg</w:t>
      </w:r>
      <w:proofErr w:type="spellEnd"/>
      <w:r w:rsidRPr="00CC19F7">
        <w:t xml:space="preserve"> rammeverk som er basert på kunnskap og fakta. Det er </w:t>
      </w:r>
      <w:proofErr w:type="spellStart"/>
      <w:r w:rsidRPr="00CC19F7">
        <w:t>avgjerande</w:t>
      </w:r>
      <w:proofErr w:type="spellEnd"/>
      <w:r w:rsidRPr="00CC19F7">
        <w:t xml:space="preserve"> å ha </w:t>
      </w:r>
      <w:proofErr w:type="spellStart"/>
      <w:r w:rsidRPr="00CC19F7">
        <w:t>eit</w:t>
      </w:r>
      <w:proofErr w:type="spellEnd"/>
      <w:r w:rsidRPr="00CC19F7">
        <w:t xml:space="preserve"> </w:t>
      </w:r>
      <w:proofErr w:type="spellStart"/>
      <w:r w:rsidRPr="00CC19F7">
        <w:t>mangfald</w:t>
      </w:r>
      <w:proofErr w:type="spellEnd"/>
      <w:r w:rsidRPr="00CC19F7">
        <w:t xml:space="preserve"> av </w:t>
      </w:r>
      <w:proofErr w:type="spellStart"/>
      <w:r w:rsidRPr="00CC19F7">
        <w:t>rettshavarar</w:t>
      </w:r>
      <w:proofErr w:type="spellEnd"/>
      <w:r w:rsidRPr="00CC19F7">
        <w:t xml:space="preserve"> som kan og vil hente ut </w:t>
      </w:r>
      <w:proofErr w:type="spellStart"/>
      <w:r w:rsidRPr="00CC19F7">
        <w:t>verdiane</w:t>
      </w:r>
      <w:proofErr w:type="spellEnd"/>
      <w:r w:rsidRPr="00CC19F7">
        <w:t xml:space="preserve"> i bakken på </w:t>
      </w:r>
      <w:proofErr w:type="spellStart"/>
      <w:r w:rsidRPr="00CC19F7">
        <w:t>ein</w:t>
      </w:r>
      <w:proofErr w:type="spellEnd"/>
      <w:r w:rsidRPr="00CC19F7">
        <w:t xml:space="preserve"> sikker og effektiv måte.</w:t>
      </w:r>
    </w:p>
    <w:p w14:paraId="1AA99166" w14:textId="77777777" w:rsidR="00FE02EF" w:rsidRPr="00CC19F7" w:rsidRDefault="00881E58" w:rsidP="00CC19F7">
      <w:r w:rsidRPr="00CC19F7">
        <w:t xml:space="preserve">Oljedirektoratet har kartlagt </w:t>
      </w:r>
      <w:proofErr w:type="spellStart"/>
      <w:r w:rsidRPr="00CC19F7">
        <w:t>moglege</w:t>
      </w:r>
      <w:proofErr w:type="spellEnd"/>
      <w:r w:rsidRPr="00CC19F7">
        <w:t xml:space="preserve"> CO</w:t>
      </w:r>
      <w:r w:rsidRPr="00CC19F7">
        <w:rPr>
          <w:rStyle w:val="skrift-senket"/>
        </w:rPr>
        <w:t>2</w:t>
      </w:r>
      <w:r w:rsidRPr="00CC19F7">
        <w:t xml:space="preserve">-lager på norsk sokkel og hjelper departementet med å legge til rette for </w:t>
      </w:r>
      <w:proofErr w:type="spellStart"/>
      <w:r w:rsidRPr="00CC19F7">
        <w:t>vidareutvikling</w:t>
      </w:r>
      <w:proofErr w:type="spellEnd"/>
      <w:r w:rsidRPr="00CC19F7">
        <w:t xml:space="preserve"> av kommersiell transport og lagring av CO</w:t>
      </w:r>
      <w:r w:rsidRPr="00CC19F7">
        <w:rPr>
          <w:rStyle w:val="skrift-senket"/>
        </w:rPr>
        <w:t>2</w:t>
      </w:r>
      <w:r w:rsidRPr="00CC19F7">
        <w:t xml:space="preserve">. Direktoratet har ansvar og </w:t>
      </w:r>
      <w:proofErr w:type="spellStart"/>
      <w:r w:rsidRPr="00CC19F7">
        <w:t>oppgåver</w:t>
      </w:r>
      <w:proofErr w:type="spellEnd"/>
      <w:r w:rsidRPr="00CC19F7">
        <w:t xml:space="preserve"> knytt til forvaltninga av </w:t>
      </w:r>
      <w:proofErr w:type="spellStart"/>
      <w:r w:rsidRPr="00CC19F7">
        <w:t>havbotnmineralressursar</w:t>
      </w:r>
      <w:proofErr w:type="spellEnd"/>
      <w:r w:rsidRPr="00CC19F7">
        <w:t xml:space="preserve">. Oljedirektoratet har ansvaret for å kartlegge slike </w:t>
      </w:r>
      <w:proofErr w:type="spellStart"/>
      <w:r w:rsidRPr="00CC19F7">
        <w:t>ressursar</w:t>
      </w:r>
      <w:proofErr w:type="spellEnd"/>
      <w:r w:rsidRPr="00CC19F7">
        <w:t xml:space="preserve"> og har hatt ei sentral rolle i </w:t>
      </w:r>
      <w:proofErr w:type="spellStart"/>
      <w:r w:rsidRPr="00CC19F7">
        <w:t>opningsprosessen</w:t>
      </w:r>
      <w:proofErr w:type="spellEnd"/>
      <w:r w:rsidRPr="00CC19F7">
        <w:t xml:space="preserve"> for havbotnmineral. Oljedirektoratet bør ha </w:t>
      </w:r>
      <w:proofErr w:type="spellStart"/>
      <w:r w:rsidRPr="00CC19F7">
        <w:t>eit</w:t>
      </w:r>
      <w:proofErr w:type="spellEnd"/>
      <w:r w:rsidRPr="00CC19F7">
        <w:t xml:space="preserve"> </w:t>
      </w:r>
      <w:proofErr w:type="spellStart"/>
      <w:r w:rsidRPr="00CC19F7">
        <w:t>namn</w:t>
      </w:r>
      <w:proofErr w:type="spellEnd"/>
      <w:r w:rsidRPr="00CC19F7">
        <w:t xml:space="preserve"> som i større grad signaliserer </w:t>
      </w:r>
      <w:proofErr w:type="spellStart"/>
      <w:r w:rsidRPr="00CC19F7">
        <w:t>breidda</w:t>
      </w:r>
      <w:proofErr w:type="spellEnd"/>
      <w:r w:rsidRPr="00CC19F7">
        <w:t xml:space="preserve"> i ansvarsområdet sitt. Ved </w:t>
      </w:r>
      <w:proofErr w:type="spellStart"/>
      <w:r w:rsidRPr="00CC19F7">
        <w:t>kongeleg</w:t>
      </w:r>
      <w:proofErr w:type="spellEnd"/>
      <w:r w:rsidRPr="00CC19F7">
        <w:t xml:space="preserve"> resolusjon av 15. september 2023 </w:t>
      </w:r>
      <w:proofErr w:type="spellStart"/>
      <w:r w:rsidRPr="00CC19F7">
        <w:t>endrar</w:t>
      </w:r>
      <w:proofErr w:type="spellEnd"/>
      <w:r w:rsidRPr="00CC19F7">
        <w:t xml:space="preserve"> Oljedirektoratet navn til Sokkeldirektoratet </w:t>
      </w:r>
      <w:proofErr w:type="spellStart"/>
      <w:r w:rsidRPr="00CC19F7">
        <w:t>frå</w:t>
      </w:r>
      <w:proofErr w:type="spellEnd"/>
      <w:r w:rsidRPr="00CC19F7">
        <w:t xml:space="preserve"> 1. januar 2024. </w:t>
      </w:r>
      <w:proofErr w:type="spellStart"/>
      <w:r w:rsidRPr="00CC19F7">
        <w:t>Vidare</w:t>
      </w:r>
      <w:proofErr w:type="spellEnd"/>
      <w:r w:rsidRPr="00CC19F7">
        <w:t xml:space="preserve"> i proposisjonen vil Oljedirektoratet bli omtalt ved det nye </w:t>
      </w:r>
      <w:proofErr w:type="spellStart"/>
      <w:r w:rsidRPr="00CC19F7">
        <w:t>namnet</w:t>
      </w:r>
      <w:proofErr w:type="spellEnd"/>
      <w:r w:rsidRPr="00CC19F7">
        <w:t xml:space="preserve"> – også når det blir referert til tida før 1. januar 2024.</w:t>
      </w:r>
    </w:p>
    <w:p w14:paraId="763BA51B" w14:textId="77777777" w:rsidR="00FE02EF" w:rsidRPr="00CC19F7" w:rsidRDefault="00881E58" w:rsidP="00CC19F7">
      <w:pPr>
        <w:pStyle w:val="tittel-ramme"/>
      </w:pPr>
      <w:r w:rsidRPr="00CC19F7">
        <w:t xml:space="preserve">Forslag til </w:t>
      </w:r>
      <w:proofErr w:type="spellStart"/>
      <w:r w:rsidRPr="00CC19F7">
        <w:t>løyvingar</w:t>
      </w:r>
      <w:proofErr w:type="spellEnd"/>
      <w:r w:rsidRPr="00CC19F7">
        <w:t xml:space="preserve"> til petroleum</w:t>
      </w:r>
    </w:p>
    <w:p w14:paraId="6939FFB5" w14:textId="77777777" w:rsidR="00FE02EF" w:rsidRPr="00CC19F7" w:rsidRDefault="00881E58" w:rsidP="00CC19F7">
      <w:r w:rsidRPr="00CC19F7">
        <w:t xml:space="preserve">Til </w:t>
      </w:r>
      <w:proofErr w:type="spellStart"/>
      <w:r w:rsidRPr="00CC19F7">
        <w:t>saman</w:t>
      </w:r>
      <w:proofErr w:type="spellEnd"/>
      <w:r w:rsidRPr="00CC19F7">
        <w:t xml:space="preserve"> blir det foreslått om lag 487 mill. kroner til Sokkeldirektoratets forvaltning av </w:t>
      </w:r>
      <w:proofErr w:type="spellStart"/>
      <w:r w:rsidRPr="00CC19F7">
        <w:t>ressursane</w:t>
      </w:r>
      <w:proofErr w:type="spellEnd"/>
      <w:r w:rsidRPr="00CC19F7">
        <w:t xml:space="preserve"> på norsk kontinentalsokkel, under dette:</w:t>
      </w:r>
    </w:p>
    <w:p w14:paraId="7113A92E" w14:textId="77777777" w:rsidR="00FE02EF" w:rsidRPr="00CC19F7" w:rsidRDefault="00881E58" w:rsidP="00CC19F7">
      <w:pPr>
        <w:pStyle w:val="Liste"/>
      </w:pPr>
      <w:r w:rsidRPr="00CC19F7">
        <w:t xml:space="preserve">347 mill. kroner til drift av Sokkeldirektoratet, der </w:t>
      </w:r>
      <w:proofErr w:type="spellStart"/>
      <w:r w:rsidRPr="00CC19F7">
        <w:t>hovudmålet</w:t>
      </w:r>
      <w:proofErr w:type="spellEnd"/>
      <w:r w:rsidRPr="00CC19F7">
        <w:t xml:space="preserve"> er å bidra til størst </w:t>
      </w:r>
      <w:proofErr w:type="spellStart"/>
      <w:r w:rsidRPr="00CC19F7">
        <w:t>moglege</w:t>
      </w:r>
      <w:proofErr w:type="spellEnd"/>
      <w:r w:rsidRPr="00CC19F7">
        <w:t xml:space="preserve"> </w:t>
      </w:r>
      <w:proofErr w:type="spellStart"/>
      <w:r w:rsidRPr="00CC19F7">
        <w:t>verdiar</w:t>
      </w:r>
      <w:proofErr w:type="spellEnd"/>
      <w:r w:rsidRPr="00CC19F7">
        <w:t xml:space="preserve"> for samfunnet </w:t>
      </w:r>
      <w:proofErr w:type="spellStart"/>
      <w:r w:rsidRPr="00CC19F7">
        <w:t>frå</w:t>
      </w:r>
      <w:proofErr w:type="spellEnd"/>
      <w:r w:rsidRPr="00CC19F7">
        <w:t xml:space="preserve"> olje- og </w:t>
      </w:r>
      <w:proofErr w:type="spellStart"/>
      <w:r w:rsidRPr="00CC19F7">
        <w:t>gassverksemda</w:t>
      </w:r>
      <w:proofErr w:type="spellEnd"/>
      <w:r w:rsidRPr="00CC19F7">
        <w:t xml:space="preserve"> på norsk kontinentalsokkel gjennom ei effektiv og </w:t>
      </w:r>
      <w:proofErr w:type="spellStart"/>
      <w:r w:rsidRPr="00CC19F7">
        <w:t>forsvarleg</w:t>
      </w:r>
      <w:proofErr w:type="spellEnd"/>
      <w:r w:rsidRPr="00CC19F7">
        <w:t xml:space="preserve"> ressursforvaltning, der det blir tatt omsyn til helse, miljø og </w:t>
      </w:r>
      <w:proofErr w:type="spellStart"/>
      <w:r w:rsidRPr="00CC19F7">
        <w:t>sikkerheit</w:t>
      </w:r>
      <w:proofErr w:type="spellEnd"/>
      <w:r w:rsidRPr="00CC19F7">
        <w:t xml:space="preserve"> og til andre </w:t>
      </w:r>
      <w:proofErr w:type="spellStart"/>
      <w:r w:rsidRPr="00CC19F7">
        <w:t>brukarar</w:t>
      </w:r>
      <w:proofErr w:type="spellEnd"/>
      <w:r w:rsidRPr="00CC19F7">
        <w:t xml:space="preserve"> av havet</w:t>
      </w:r>
    </w:p>
    <w:p w14:paraId="1A4E2F2B" w14:textId="77777777" w:rsidR="00FE02EF" w:rsidRPr="00CC19F7" w:rsidRDefault="00881E58" w:rsidP="00CC19F7">
      <w:pPr>
        <w:pStyle w:val="Liste"/>
      </w:pPr>
      <w:r w:rsidRPr="00CC19F7">
        <w:t xml:space="preserve">42 mill. kroner til </w:t>
      </w:r>
      <w:proofErr w:type="spellStart"/>
      <w:r w:rsidRPr="00CC19F7">
        <w:t>studiar</w:t>
      </w:r>
      <w:proofErr w:type="spellEnd"/>
      <w:r w:rsidRPr="00CC19F7">
        <w:t xml:space="preserve">, analyser og geologisk kartlegging av kontinentalsokkelen, mellom anna </w:t>
      </w:r>
      <w:proofErr w:type="spellStart"/>
      <w:r w:rsidRPr="00CC19F7">
        <w:t>petroleumsressursar</w:t>
      </w:r>
      <w:proofErr w:type="spellEnd"/>
      <w:r w:rsidRPr="00CC19F7">
        <w:t xml:space="preserve"> og mineral på havbotnen</w:t>
      </w:r>
    </w:p>
    <w:p w14:paraId="44743600" w14:textId="77777777" w:rsidR="00FE02EF" w:rsidRPr="00CC19F7" w:rsidRDefault="00881E58" w:rsidP="00CC19F7">
      <w:pPr>
        <w:pStyle w:val="Liste"/>
      </w:pPr>
      <w:r w:rsidRPr="00CC19F7">
        <w:t xml:space="preserve">40 mill. kroner til Sokkeldirektoratets digitaliseringsprogram, som </w:t>
      </w:r>
      <w:proofErr w:type="spellStart"/>
      <w:r w:rsidRPr="00CC19F7">
        <w:t>omfattar</w:t>
      </w:r>
      <w:proofErr w:type="spellEnd"/>
      <w:r w:rsidRPr="00CC19F7">
        <w:t xml:space="preserve"> etablering av ny arkitektur, deling av data, </w:t>
      </w:r>
      <w:proofErr w:type="spellStart"/>
      <w:r w:rsidRPr="00CC19F7">
        <w:t>forbetring</w:t>
      </w:r>
      <w:proofErr w:type="spellEnd"/>
      <w:r w:rsidRPr="00CC19F7">
        <w:t xml:space="preserve"> og </w:t>
      </w:r>
      <w:proofErr w:type="spellStart"/>
      <w:r w:rsidRPr="00CC19F7">
        <w:t>vidareutvikling</w:t>
      </w:r>
      <w:proofErr w:type="spellEnd"/>
      <w:r w:rsidRPr="00CC19F7">
        <w:t xml:space="preserve"> av </w:t>
      </w:r>
      <w:proofErr w:type="spellStart"/>
      <w:r w:rsidRPr="00CC19F7">
        <w:t>prosessar</w:t>
      </w:r>
      <w:proofErr w:type="spellEnd"/>
      <w:r w:rsidRPr="00CC19F7">
        <w:t xml:space="preserve"> og funksjonalitet som skal betre samhandlinga internt og mot næringa</w:t>
      </w:r>
    </w:p>
    <w:p w14:paraId="39486C60" w14:textId="77777777" w:rsidR="00FE02EF" w:rsidRPr="00CC19F7" w:rsidRDefault="00881E58" w:rsidP="00CC19F7">
      <w:pPr>
        <w:pStyle w:val="Ramme-slutt"/>
      </w:pPr>
      <w:r w:rsidRPr="00CC19F7">
        <w:t>[Boks slutt]</w:t>
      </w:r>
    </w:p>
    <w:p w14:paraId="2A727891" w14:textId="77777777" w:rsidR="00FE02EF" w:rsidRPr="00CC19F7" w:rsidRDefault="00881E58" w:rsidP="00CC19F7">
      <w:pPr>
        <w:pStyle w:val="Overskrift2"/>
      </w:pPr>
      <w:r w:rsidRPr="00CC19F7">
        <w:t xml:space="preserve">Energi og </w:t>
      </w:r>
      <w:proofErr w:type="spellStart"/>
      <w:r w:rsidRPr="00CC19F7">
        <w:t>vassressursar</w:t>
      </w:r>
      <w:proofErr w:type="spellEnd"/>
    </w:p>
    <w:p w14:paraId="0488166A" w14:textId="77777777" w:rsidR="00FE02EF" w:rsidRPr="00CC19F7" w:rsidRDefault="00881E58" w:rsidP="00CC19F7">
      <w:r w:rsidRPr="00CC19F7">
        <w:t xml:space="preserve">Energi- og vassressurspolitikken skal legge til rette for ei effektiv, sikker og </w:t>
      </w:r>
      <w:proofErr w:type="spellStart"/>
      <w:r w:rsidRPr="00CC19F7">
        <w:t>miljøvennleg</w:t>
      </w:r>
      <w:proofErr w:type="spellEnd"/>
      <w:r w:rsidRPr="00CC19F7">
        <w:t xml:space="preserve"> energiforsyning. Det vil </w:t>
      </w:r>
      <w:proofErr w:type="spellStart"/>
      <w:r w:rsidRPr="00CC19F7">
        <w:t>seie</w:t>
      </w:r>
      <w:proofErr w:type="spellEnd"/>
      <w:r w:rsidRPr="00CC19F7">
        <w:t xml:space="preserve"> </w:t>
      </w:r>
      <w:proofErr w:type="spellStart"/>
      <w:r w:rsidRPr="00CC19F7">
        <w:t>lønnsam</w:t>
      </w:r>
      <w:proofErr w:type="spellEnd"/>
      <w:r w:rsidRPr="00CC19F7">
        <w:t xml:space="preserve"> utbygging av fornybar energi og nett, effektiv bruk av energi, ei </w:t>
      </w:r>
      <w:proofErr w:type="spellStart"/>
      <w:r w:rsidRPr="00CC19F7">
        <w:t>heilskapleg</w:t>
      </w:r>
      <w:proofErr w:type="spellEnd"/>
      <w:r w:rsidRPr="00CC19F7">
        <w:t xml:space="preserve"> og </w:t>
      </w:r>
      <w:proofErr w:type="spellStart"/>
      <w:r w:rsidRPr="00CC19F7">
        <w:t>miljøvennleg</w:t>
      </w:r>
      <w:proofErr w:type="spellEnd"/>
      <w:r w:rsidRPr="00CC19F7">
        <w:t xml:space="preserve"> forvaltning av </w:t>
      </w:r>
      <w:proofErr w:type="spellStart"/>
      <w:r w:rsidRPr="00CC19F7">
        <w:t>vassressursane</w:t>
      </w:r>
      <w:proofErr w:type="spellEnd"/>
      <w:r w:rsidRPr="00CC19F7">
        <w:t xml:space="preserve"> og </w:t>
      </w:r>
      <w:proofErr w:type="spellStart"/>
      <w:r w:rsidRPr="00CC19F7">
        <w:t>forbetring</w:t>
      </w:r>
      <w:proofErr w:type="spellEnd"/>
      <w:r w:rsidRPr="00CC19F7">
        <w:t xml:space="preserve"> av evna til å handtere </w:t>
      </w:r>
      <w:proofErr w:type="spellStart"/>
      <w:r w:rsidRPr="00CC19F7">
        <w:t>flaum</w:t>
      </w:r>
      <w:proofErr w:type="spellEnd"/>
      <w:r w:rsidRPr="00CC19F7">
        <w:t>- og skredrisiko.</w:t>
      </w:r>
    </w:p>
    <w:p w14:paraId="73D09BC6" w14:textId="77777777" w:rsidR="00FE02EF" w:rsidRPr="00CC19F7" w:rsidRDefault="00881E58" w:rsidP="00CC19F7">
      <w:r w:rsidRPr="00CC19F7">
        <w:t xml:space="preserve">Den </w:t>
      </w:r>
      <w:proofErr w:type="spellStart"/>
      <w:r w:rsidRPr="00CC19F7">
        <w:t>krevjande</w:t>
      </w:r>
      <w:proofErr w:type="spellEnd"/>
      <w:r w:rsidRPr="00CC19F7">
        <w:t xml:space="preserve"> situasjonen i </w:t>
      </w:r>
      <w:proofErr w:type="spellStart"/>
      <w:r w:rsidRPr="00CC19F7">
        <w:t>energimarknadene</w:t>
      </w:r>
      <w:proofErr w:type="spellEnd"/>
      <w:r w:rsidRPr="00CC19F7">
        <w:t xml:space="preserve"> </w:t>
      </w:r>
      <w:proofErr w:type="spellStart"/>
      <w:r w:rsidRPr="00CC19F7">
        <w:t>dei</w:t>
      </w:r>
      <w:proofErr w:type="spellEnd"/>
      <w:r w:rsidRPr="00CC19F7">
        <w:t xml:space="preserve"> siste åra har ført til stor </w:t>
      </w:r>
      <w:proofErr w:type="spellStart"/>
      <w:r w:rsidRPr="00CC19F7">
        <w:t>merksemd</w:t>
      </w:r>
      <w:proofErr w:type="spellEnd"/>
      <w:r w:rsidRPr="00CC19F7">
        <w:t xml:space="preserve"> på utviklinga i </w:t>
      </w:r>
      <w:proofErr w:type="spellStart"/>
      <w:r w:rsidRPr="00CC19F7">
        <w:t>prisar</w:t>
      </w:r>
      <w:proofErr w:type="spellEnd"/>
      <w:r w:rsidRPr="00CC19F7">
        <w:t xml:space="preserve"> og </w:t>
      </w:r>
      <w:proofErr w:type="spellStart"/>
      <w:r w:rsidRPr="00CC19F7">
        <w:t>forsyningssikkerheita</w:t>
      </w:r>
      <w:proofErr w:type="spellEnd"/>
      <w:r w:rsidRPr="00CC19F7">
        <w:t xml:space="preserve"> for kraft. Situasjonen i </w:t>
      </w:r>
      <w:proofErr w:type="spellStart"/>
      <w:r w:rsidRPr="00CC19F7">
        <w:t>dei</w:t>
      </w:r>
      <w:proofErr w:type="spellEnd"/>
      <w:r w:rsidRPr="00CC19F7">
        <w:t xml:space="preserve"> europeiske </w:t>
      </w:r>
      <w:proofErr w:type="spellStart"/>
      <w:r w:rsidRPr="00CC19F7">
        <w:t>energimarknadene</w:t>
      </w:r>
      <w:proofErr w:type="spellEnd"/>
      <w:r w:rsidRPr="00CC19F7">
        <w:t xml:space="preserve"> er </w:t>
      </w:r>
      <w:proofErr w:type="spellStart"/>
      <w:r w:rsidRPr="00CC19F7">
        <w:t>no</w:t>
      </w:r>
      <w:proofErr w:type="spellEnd"/>
      <w:r w:rsidRPr="00CC19F7">
        <w:t xml:space="preserve"> betre enn i fjor, og fyllinga i norske vassmagasin er på </w:t>
      </w:r>
      <w:proofErr w:type="spellStart"/>
      <w:r w:rsidRPr="00CC19F7">
        <w:t>eit</w:t>
      </w:r>
      <w:proofErr w:type="spellEnd"/>
      <w:r w:rsidRPr="00CC19F7">
        <w:t xml:space="preserve"> </w:t>
      </w:r>
      <w:proofErr w:type="spellStart"/>
      <w:r w:rsidRPr="00CC19F7">
        <w:t>betydeleg</w:t>
      </w:r>
      <w:proofErr w:type="spellEnd"/>
      <w:r w:rsidRPr="00CC19F7">
        <w:t xml:space="preserve"> </w:t>
      </w:r>
      <w:proofErr w:type="spellStart"/>
      <w:r w:rsidRPr="00CC19F7">
        <w:t>høgare</w:t>
      </w:r>
      <w:proofErr w:type="spellEnd"/>
      <w:r w:rsidRPr="00CC19F7">
        <w:t xml:space="preserve"> nivå i år enn på same tid i fjor. Rapporteringsordninga for </w:t>
      </w:r>
      <w:proofErr w:type="spellStart"/>
      <w:r w:rsidRPr="00CC19F7">
        <w:t>vasskraftprodusentane</w:t>
      </w:r>
      <w:proofErr w:type="spellEnd"/>
      <w:r w:rsidRPr="00CC19F7">
        <w:t xml:space="preserve"> som blei innført i august 2022, og gode forhold for tilsig har </w:t>
      </w:r>
      <w:proofErr w:type="spellStart"/>
      <w:r w:rsidRPr="00CC19F7">
        <w:t>vore</w:t>
      </w:r>
      <w:proofErr w:type="spellEnd"/>
      <w:r w:rsidRPr="00CC19F7">
        <w:t xml:space="preserve"> viktige </w:t>
      </w:r>
      <w:proofErr w:type="spellStart"/>
      <w:r w:rsidRPr="00CC19F7">
        <w:t>føresetnader</w:t>
      </w:r>
      <w:proofErr w:type="spellEnd"/>
      <w:r w:rsidRPr="00CC19F7">
        <w:t xml:space="preserve"> for at forsyningssituasjonen i </w:t>
      </w:r>
      <w:proofErr w:type="spellStart"/>
      <w:r w:rsidRPr="00CC19F7">
        <w:t>dei</w:t>
      </w:r>
      <w:proofErr w:type="spellEnd"/>
      <w:r w:rsidRPr="00CC19F7">
        <w:t xml:space="preserve"> norske vassmagasina har </w:t>
      </w:r>
      <w:proofErr w:type="spellStart"/>
      <w:r w:rsidRPr="00CC19F7">
        <w:t>betra</w:t>
      </w:r>
      <w:proofErr w:type="spellEnd"/>
      <w:r w:rsidRPr="00CC19F7">
        <w:t xml:space="preserve"> seg </w:t>
      </w:r>
      <w:proofErr w:type="spellStart"/>
      <w:r w:rsidRPr="00CC19F7">
        <w:t>frå</w:t>
      </w:r>
      <w:proofErr w:type="spellEnd"/>
      <w:r w:rsidRPr="00CC19F7">
        <w:t xml:space="preserve"> 2022 fram til </w:t>
      </w:r>
      <w:proofErr w:type="spellStart"/>
      <w:r w:rsidRPr="00CC19F7">
        <w:t>hausten</w:t>
      </w:r>
      <w:proofErr w:type="spellEnd"/>
      <w:r w:rsidRPr="00CC19F7">
        <w:t xml:space="preserve"> 2023. </w:t>
      </w:r>
      <w:proofErr w:type="spellStart"/>
      <w:r w:rsidRPr="00CC19F7">
        <w:t>Usikkerheit</w:t>
      </w:r>
      <w:proofErr w:type="spellEnd"/>
      <w:r w:rsidRPr="00CC19F7">
        <w:t xml:space="preserve"> om utviklinga framover er likevel stor, og </w:t>
      </w:r>
      <w:proofErr w:type="spellStart"/>
      <w:r w:rsidRPr="00CC19F7">
        <w:t>ein</w:t>
      </w:r>
      <w:proofErr w:type="spellEnd"/>
      <w:r w:rsidRPr="00CC19F7">
        <w:t xml:space="preserve"> kan </w:t>
      </w:r>
      <w:proofErr w:type="spellStart"/>
      <w:r w:rsidRPr="00CC19F7">
        <w:t>ikkje</w:t>
      </w:r>
      <w:proofErr w:type="spellEnd"/>
      <w:r w:rsidRPr="00CC19F7">
        <w:t xml:space="preserve"> sjå bort </w:t>
      </w:r>
      <w:proofErr w:type="spellStart"/>
      <w:r w:rsidRPr="00CC19F7">
        <w:t>frå</w:t>
      </w:r>
      <w:proofErr w:type="spellEnd"/>
      <w:r w:rsidRPr="00CC19F7">
        <w:t xml:space="preserve"> at vi står overfor </w:t>
      </w:r>
      <w:proofErr w:type="spellStart"/>
      <w:r w:rsidRPr="00CC19F7">
        <w:t>fleire</w:t>
      </w:r>
      <w:proofErr w:type="spellEnd"/>
      <w:r w:rsidRPr="00CC19F7">
        <w:t xml:space="preserve"> år med </w:t>
      </w:r>
      <w:proofErr w:type="spellStart"/>
      <w:r w:rsidRPr="00CC19F7">
        <w:t>ein</w:t>
      </w:r>
      <w:proofErr w:type="spellEnd"/>
      <w:r w:rsidRPr="00CC19F7">
        <w:t xml:space="preserve"> </w:t>
      </w:r>
      <w:proofErr w:type="spellStart"/>
      <w:r w:rsidRPr="00CC19F7">
        <w:t>krevjande</w:t>
      </w:r>
      <w:proofErr w:type="spellEnd"/>
      <w:r w:rsidRPr="00CC19F7">
        <w:t xml:space="preserve"> situasjon i energi- og </w:t>
      </w:r>
      <w:proofErr w:type="spellStart"/>
      <w:r w:rsidRPr="00CC19F7">
        <w:t>kraftmarknadene</w:t>
      </w:r>
      <w:proofErr w:type="spellEnd"/>
      <w:r w:rsidRPr="00CC19F7">
        <w:t xml:space="preserve">. Målet til regjeringa er </w:t>
      </w:r>
      <w:proofErr w:type="spellStart"/>
      <w:r w:rsidRPr="00CC19F7">
        <w:t>lågare</w:t>
      </w:r>
      <w:proofErr w:type="spellEnd"/>
      <w:r w:rsidRPr="00CC19F7">
        <w:t xml:space="preserve"> og </w:t>
      </w:r>
      <w:proofErr w:type="spellStart"/>
      <w:r w:rsidRPr="00CC19F7">
        <w:t>meir</w:t>
      </w:r>
      <w:proofErr w:type="spellEnd"/>
      <w:r w:rsidRPr="00CC19F7">
        <w:t xml:space="preserve"> </w:t>
      </w:r>
      <w:proofErr w:type="spellStart"/>
      <w:r w:rsidRPr="00CC19F7">
        <w:t>føreseielege</w:t>
      </w:r>
      <w:proofErr w:type="spellEnd"/>
      <w:r w:rsidRPr="00CC19F7">
        <w:t xml:space="preserve"> </w:t>
      </w:r>
      <w:proofErr w:type="spellStart"/>
      <w:r w:rsidRPr="00CC19F7">
        <w:t>prisar</w:t>
      </w:r>
      <w:proofErr w:type="spellEnd"/>
      <w:r w:rsidRPr="00CC19F7">
        <w:t xml:space="preserve"> på </w:t>
      </w:r>
      <w:proofErr w:type="spellStart"/>
      <w:r w:rsidRPr="00CC19F7">
        <w:t>straum</w:t>
      </w:r>
      <w:proofErr w:type="spellEnd"/>
      <w:r w:rsidRPr="00CC19F7">
        <w:t xml:space="preserve"> for </w:t>
      </w:r>
      <w:proofErr w:type="spellStart"/>
      <w:r w:rsidRPr="00CC19F7">
        <w:t>hushaldningar</w:t>
      </w:r>
      <w:proofErr w:type="spellEnd"/>
      <w:r w:rsidRPr="00CC19F7">
        <w:t xml:space="preserve"> og bedrifter.</w:t>
      </w:r>
    </w:p>
    <w:p w14:paraId="24F4EEC5" w14:textId="77777777" w:rsidR="00FE02EF" w:rsidRPr="00CC19F7" w:rsidRDefault="00881E58" w:rsidP="00CC19F7">
      <w:r w:rsidRPr="00CC19F7">
        <w:t xml:space="preserve">Regjeringa har i lys av den </w:t>
      </w:r>
      <w:proofErr w:type="spellStart"/>
      <w:r w:rsidRPr="00CC19F7">
        <w:t>krevjande</w:t>
      </w:r>
      <w:proofErr w:type="spellEnd"/>
      <w:r w:rsidRPr="00CC19F7">
        <w:t xml:space="preserve"> situasjonen som har </w:t>
      </w:r>
      <w:proofErr w:type="spellStart"/>
      <w:r w:rsidRPr="00CC19F7">
        <w:t>vore</w:t>
      </w:r>
      <w:proofErr w:type="spellEnd"/>
      <w:r w:rsidRPr="00CC19F7">
        <w:t xml:space="preserve"> </w:t>
      </w:r>
      <w:proofErr w:type="spellStart"/>
      <w:r w:rsidRPr="00CC19F7">
        <w:t>dei</w:t>
      </w:r>
      <w:proofErr w:type="spellEnd"/>
      <w:r w:rsidRPr="00CC19F7">
        <w:t xml:space="preserve"> siste åra, lagt fram </w:t>
      </w:r>
      <w:proofErr w:type="spellStart"/>
      <w:r w:rsidRPr="00CC19F7">
        <w:t>ein</w:t>
      </w:r>
      <w:proofErr w:type="spellEnd"/>
      <w:r w:rsidRPr="00CC19F7">
        <w:t xml:space="preserve"> mekanisme for betre styring av </w:t>
      </w:r>
      <w:proofErr w:type="spellStart"/>
      <w:r w:rsidRPr="00CC19F7">
        <w:t>forsyningssikkerheita</w:t>
      </w:r>
      <w:proofErr w:type="spellEnd"/>
      <w:r w:rsidRPr="00CC19F7">
        <w:t xml:space="preserve">. Styringsmekanismen vil </w:t>
      </w:r>
      <w:proofErr w:type="spellStart"/>
      <w:r w:rsidRPr="00CC19F7">
        <w:t>gjere</w:t>
      </w:r>
      <w:proofErr w:type="spellEnd"/>
      <w:r w:rsidRPr="00CC19F7">
        <w:t xml:space="preserve"> at det blir stilt større krav til </w:t>
      </w:r>
      <w:proofErr w:type="spellStart"/>
      <w:r w:rsidRPr="00CC19F7">
        <w:t>produsentane</w:t>
      </w:r>
      <w:proofErr w:type="spellEnd"/>
      <w:r w:rsidRPr="00CC19F7">
        <w:t xml:space="preserve"> i </w:t>
      </w:r>
      <w:proofErr w:type="spellStart"/>
      <w:r w:rsidRPr="00CC19F7">
        <w:t>situasjonar</w:t>
      </w:r>
      <w:proofErr w:type="spellEnd"/>
      <w:r w:rsidRPr="00CC19F7">
        <w:t xml:space="preserve"> der det er utsikter til at magasinfyllinga kan nå låge nivå. </w:t>
      </w:r>
      <w:proofErr w:type="spellStart"/>
      <w:r w:rsidRPr="00CC19F7">
        <w:t>Ein</w:t>
      </w:r>
      <w:proofErr w:type="spellEnd"/>
      <w:r w:rsidRPr="00CC19F7">
        <w:t xml:space="preserve"> viktig del av mekanismen er ei lovfesting av ansvaret </w:t>
      </w:r>
      <w:proofErr w:type="spellStart"/>
      <w:r w:rsidRPr="00CC19F7">
        <w:t>produsentane</w:t>
      </w:r>
      <w:proofErr w:type="spellEnd"/>
      <w:r w:rsidRPr="00CC19F7">
        <w:t xml:space="preserve"> har for å bidra til </w:t>
      </w:r>
      <w:proofErr w:type="spellStart"/>
      <w:r w:rsidRPr="00CC19F7">
        <w:t>forsyningssikkerheita</w:t>
      </w:r>
      <w:proofErr w:type="spellEnd"/>
      <w:r w:rsidRPr="00CC19F7">
        <w:t xml:space="preserve"> for kraft. </w:t>
      </w:r>
      <w:proofErr w:type="spellStart"/>
      <w:r w:rsidRPr="00CC19F7">
        <w:t>Eit</w:t>
      </w:r>
      <w:proofErr w:type="spellEnd"/>
      <w:r w:rsidRPr="00CC19F7">
        <w:t xml:space="preserve"> forslag til lov- og </w:t>
      </w:r>
      <w:proofErr w:type="spellStart"/>
      <w:r w:rsidRPr="00CC19F7">
        <w:t>forskriftsendringar</w:t>
      </w:r>
      <w:proofErr w:type="spellEnd"/>
      <w:r w:rsidRPr="00CC19F7">
        <w:t xml:space="preserve"> har </w:t>
      </w:r>
      <w:proofErr w:type="spellStart"/>
      <w:r w:rsidRPr="00CC19F7">
        <w:t>vore</w:t>
      </w:r>
      <w:proofErr w:type="spellEnd"/>
      <w:r w:rsidRPr="00CC19F7">
        <w:t xml:space="preserve"> på </w:t>
      </w:r>
      <w:proofErr w:type="spellStart"/>
      <w:r w:rsidRPr="00CC19F7">
        <w:t>høyring</w:t>
      </w:r>
      <w:proofErr w:type="spellEnd"/>
      <w:r w:rsidRPr="00CC19F7">
        <w:t>.</w:t>
      </w:r>
    </w:p>
    <w:p w14:paraId="6378CE83" w14:textId="77777777" w:rsidR="00FE02EF" w:rsidRPr="00CC19F7" w:rsidRDefault="00881E58" w:rsidP="00CC19F7">
      <w:r w:rsidRPr="00CC19F7">
        <w:t xml:space="preserve">Regjeringa har også sett ned </w:t>
      </w:r>
      <w:proofErr w:type="spellStart"/>
      <w:r w:rsidRPr="00CC19F7">
        <w:t>eit</w:t>
      </w:r>
      <w:proofErr w:type="spellEnd"/>
      <w:r w:rsidRPr="00CC19F7">
        <w:t xml:space="preserve"> </w:t>
      </w:r>
      <w:proofErr w:type="spellStart"/>
      <w:r w:rsidRPr="00CC19F7">
        <w:t>ekspertutval</w:t>
      </w:r>
      <w:proofErr w:type="spellEnd"/>
      <w:r w:rsidRPr="00CC19F7">
        <w:t xml:space="preserve"> som skal vurdere dagens system for prisfastsettinga på </w:t>
      </w:r>
      <w:proofErr w:type="spellStart"/>
      <w:r w:rsidRPr="00CC19F7">
        <w:t>straum</w:t>
      </w:r>
      <w:proofErr w:type="spellEnd"/>
      <w:r w:rsidRPr="00CC19F7">
        <w:t xml:space="preserve">. </w:t>
      </w:r>
      <w:proofErr w:type="spellStart"/>
      <w:r w:rsidRPr="00CC19F7">
        <w:t>Utvalet</w:t>
      </w:r>
      <w:proofErr w:type="spellEnd"/>
      <w:r w:rsidRPr="00CC19F7">
        <w:t xml:space="preserve"> skal vurdere kva tiltak på kort og lang sikt som kan sikre </w:t>
      </w:r>
      <w:proofErr w:type="spellStart"/>
      <w:r w:rsidRPr="00CC19F7">
        <w:t>brukarane</w:t>
      </w:r>
      <w:proofErr w:type="spellEnd"/>
      <w:r w:rsidRPr="00CC19F7">
        <w:t xml:space="preserve"> av </w:t>
      </w:r>
      <w:proofErr w:type="spellStart"/>
      <w:r w:rsidRPr="00CC19F7">
        <w:t>straum</w:t>
      </w:r>
      <w:proofErr w:type="spellEnd"/>
      <w:r w:rsidRPr="00CC19F7">
        <w:t xml:space="preserve"> </w:t>
      </w:r>
      <w:proofErr w:type="spellStart"/>
      <w:r w:rsidRPr="00CC19F7">
        <w:t>lågare</w:t>
      </w:r>
      <w:proofErr w:type="spellEnd"/>
      <w:r w:rsidRPr="00CC19F7">
        <w:t xml:space="preserve"> og </w:t>
      </w:r>
      <w:proofErr w:type="spellStart"/>
      <w:r w:rsidRPr="00CC19F7">
        <w:t>meir</w:t>
      </w:r>
      <w:proofErr w:type="spellEnd"/>
      <w:r w:rsidRPr="00CC19F7">
        <w:t xml:space="preserve"> </w:t>
      </w:r>
      <w:proofErr w:type="spellStart"/>
      <w:r w:rsidRPr="00CC19F7">
        <w:t>føreseielege</w:t>
      </w:r>
      <w:proofErr w:type="spellEnd"/>
      <w:r w:rsidRPr="00CC19F7">
        <w:t xml:space="preserve"> </w:t>
      </w:r>
      <w:proofErr w:type="spellStart"/>
      <w:r w:rsidRPr="00CC19F7">
        <w:t>prisar</w:t>
      </w:r>
      <w:proofErr w:type="spellEnd"/>
      <w:r w:rsidRPr="00CC19F7">
        <w:t xml:space="preserve">, </w:t>
      </w:r>
      <w:proofErr w:type="spellStart"/>
      <w:r w:rsidRPr="00CC19F7">
        <w:t>innanfor</w:t>
      </w:r>
      <w:proofErr w:type="spellEnd"/>
      <w:r w:rsidRPr="00CC19F7">
        <w:t xml:space="preserve"> handlingsrommet i EØS-avtalen. </w:t>
      </w:r>
      <w:proofErr w:type="spellStart"/>
      <w:r w:rsidRPr="00CC19F7">
        <w:t>Utvalet</w:t>
      </w:r>
      <w:proofErr w:type="spellEnd"/>
      <w:r w:rsidRPr="00CC19F7">
        <w:t xml:space="preserve"> skal levere rapporten sin til departementet </w:t>
      </w:r>
      <w:proofErr w:type="spellStart"/>
      <w:r w:rsidRPr="00CC19F7">
        <w:t>innan</w:t>
      </w:r>
      <w:proofErr w:type="spellEnd"/>
      <w:r w:rsidRPr="00CC19F7">
        <w:t xml:space="preserve"> 15. oktober 2023.</w:t>
      </w:r>
    </w:p>
    <w:p w14:paraId="2C97545A" w14:textId="77777777" w:rsidR="00FE02EF" w:rsidRPr="00CC19F7" w:rsidRDefault="00881E58" w:rsidP="00CC19F7">
      <w:r w:rsidRPr="00CC19F7">
        <w:t xml:space="preserve">Regjeringa </w:t>
      </w:r>
      <w:proofErr w:type="spellStart"/>
      <w:r w:rsidRPr="00CC19F7">
        <w:t>førar</w:t>
      </w:r>
      <w:proofErr w:type="spellEnd"/>
      <w:r w:rsidRPr="00CC19F7">
        <w:t xml:space="preserve"> </w:t>
      </w:r>
      <w:proofErr w:type="spellStart"/>
      <w:r w:rsidRPr="00CC19F7">
        <w:t>vidare</w:t>
      </w:r>
      <w:proofErr w:type="spellEnd"/>
      <w:r w:rsidRPr="00CC19F7">
        <w:t xml:space="preserve"> straumstønadsordninga for </w:t>
      </w:r>
      <w:proofErr w:type="spellStart"/>
      <w:r w:rsidRPr="00CC19F7">
        <w:t>hushaldningar</w:t>
      </w:r>
      <w:proofErr w:type="spellEnd"/>
      <w:r w:rsidRPr="00CC19F7">
        <w:t xml:space="preserve"> ut 2024. Ordninga er endra </w:t>
      </w:r>
      <w:proofErr w:type="spellStart"/>
      <w:r w:rsidRPr="00CC19F7">
        <w:t>frå</w:t>
      </w:r>
      <w:proofErr w:type="spellEnd"/>
      <w:r w:rsidRPr="00CC19F7">
        <w:t xml:space="preserve"> </w:t>
      </w:r>
      <w:proofErr w:type="spellStart"/>
      <w:r w:rsidRPr="00CC19F7">
        <w:t>månadsbasert</w:t>
      </w:r>
      <w:proofErr w:type="spellEnd"/>
      <w:r w:rsidRPr="00CC19F7">
        <w:t xml:space="preserve"> til timebasert straumstønad. Departementet tar sikte på at omlegginga til timebasert straumstønad skal gjelde for forbruket </w:t>
      </w:r>
      <w:proofErr w:type="spellStart"/>
      <w:r w:rsidRPr="00CC19F7">
        <w:t>frå</w:t>
      </w:r>
      <w:proofErr w:type="spellEnd"/>
      <w:r w:rsidRPr="00CC19F7">
        <w:t xml:space="preserve"> september 2023. Endringa vil bidra til </w:t>
      </w:r>
      <w:proofErr w:type="spellStart"/>
      <w:r w:rsidRPr="00CC19F7">
        <w:t>meir</w:t>
      </w:r>
      <w:proofErr w:type="spellEnd"/>
      <w:r w:rsidRPr="00CC19F7">
        <w:t xml:space="preserve"> </w:t>
      </w:r>
      <w:proofErr w:type="spellStart"/>
      <w:r w:rsidRPr="00CC19F7">
        <w:t>føreseieleg</w:t>
      </w:r>
      <w:proofErr w:type="spellEnd"/>
      <w:r w:rsidRPr="00CC19F7">
        <w:t xml:space="preserve"> og treffsikker støtteordning for </w:t>
      </w:r>
      <w:proofErr w:type="spellStart"/>
      <w:r w:rsidRPr="00CC19F7">
        <w:t>hushaldningar</w:t>
      </w:r>
      <w:proofErr w:type="spellEnd"/>
      <w:r w:rsidRPr="00CC19F7">
        <w:t xml:space="preserve">. Regjeringa foreslår at terskelverdien for stønad blir prisjustert </w:t>
      </w:r>
      <w:proofErr w:type="spellStart"/>
      <w:r w:rsidRPr="00CC19F7">
        <w:t>frå</w:t>
      </w:r>
      <w:proofErr w:type="spellEnd"/>
      <w:r w:rsidRPr="00CC19F7">
        <w:t xml:space="preserve"> 70 øre/kWh til 73 øre/kWh </w:t>
      </w:r>
      <w:proofErr w:type="spellStart"/>
      <w:r w:rsidRPr="00CC19F7">
        <w:t>frå</w:t>
      </w:r>
      <w:proofErr w:type="spellEnd"/>
      <w:r w:rsidRPr="00CC19F7">
        <w:t xml:space="preserve"> 1. januar 2024.</w:t>
      </w:r>
    </w:p>
    <w:p w14:paraId="448BD597" w14:textId="77777777" w:rsidR="00FE02EF" w:rsidRPr="00CC19F7" w:rsidRDefault="00881E58" w:rsidP="00CC19F7">
      <w:r w:rsidRPr="00CC19F7">
        <w:t xml:space="preserve">Det er nødvendig å styrke arbeidet med </w:t>
      </w:r>
      <w:proofErr w:type="spellStart"/>
      <w:r w:rsidRPr="00CC19F7">
        <w:t>dei</w:t>
      </w:r>
      <w:proofErr w:type="spellEnd"/>
      <w:r w:rsidRPr="00CC19F7">
        <w:t xml:space="preserve"> langsiktige </w:t>
      </w:r>
      <w:proofErr w:type="spellStart"/>
      <w:r w:rsidRPr="00CC19F7">
        <w:t>utfordringane</w:t>
      </w:r>
      <w:proofErr w:type="spellEnd"/>
      <w:r w:rsidRPr="00CC19F7">
        <w:t xml:space="preserve"> i norsk kraftforsyning. Regjeringa vil føre </w:t>
      </w:r>
      <w:proofErr w:type="spellStart"/>
      <w:r w:rsidRPr="00CC19F7">
        <w:t>ein</w:t>
      </w:r>
      <w:proofErr w:type="spellEnd"/>
      <w:r w:rsidRPr="00CC19F7">
        <w:t xml:space="preserve"> energipolitikk som bygger på at tilgang til </w:t>
      </w:r>
      <w:proofErr w:type="spellStart"/>
      <w:r w:rsidRPr="00CC19F7">
        <w:t>rikeleg</w:t>
      </w:r>
      <w:proofErr w:type="spellEnd"/>
      <w:r w:rsidRPr="00CC19F7">
        <w:t xml:space="preserve"> med fornybar energi skal </w:t>
      </w:r>
      <w:proofErr w:type="spellStart"/>
      <w:r w:rsidRPr="00CC19F7">
        <w:t>vere</w:t>
      </w:r>
      <w:proofErr w:type="spellEnd"/>
      <w:r w:rsidRPr="00CC19F7">
        <w:t xml:space="preserve"> </w:t>
      </w:r>
      <w:proofErr w:type="spellStart"/>
      <w:r w:rsidRPr="00CC19F7">
        <w:t>eit</w:t>
      </w:r>
      <w:proofErr w:type="spellEnd"/>
      <w:r w:rsidRPr="00CC19F7">
        <w:t xml:space="preserve"> gode for norske </w:t>
      </w:r>
      <w:proofErr w:type="spellStart"/>
      <w:r w:rsidRPr="00CC19F7">
        <w:t>forbrukarar</w:t>
      </w:r>
      <w:proofErr w:type="spellEnd"/>
      <w:r w:rsidRPr="00CC19F7">
        <w:t xml:space="preserve"> og </w:t>
      </w:r>
      <w:proofErr w:type="spellStart"/>
      <w:r w:rsidRPr="00CC19F7">
        <w:t>eit</w:t>
      </w:r>
      <w:proofErr w:type="spellEnd"/>
      <w:r w:rsidRPr="00CC19F7">
        <w:t xml:space="preserve"> konkurransefortrinn for norsk industri og gi grunnlag for industriutvikling, verdiskaping og ei positiv samfunnsutvikling i åra framover. For å </w:t>
      </w:r>
      <w:proofErr w:type="spellStart"/>
      <w:r w:rsidRPr="00CC19F7">
        <w:t>lykkast</w:t>
      </w:r>
      <w:proofErr w:type="spellEnd"/>
      <w:r w:rsidRPr="00CC19F7">
        <w:t xml:space="preserve"> med det treng vi </w:t>
      </w:r>
      <w:proofErr w:type="spellStart"/>
      <w:r w:rsidRPr="00CC19F7">
        <w:t>meir</w:t>
      </w:r>
      <w:proofErr w:type="spellEnd"/>
      <w:r w:rsidRPr="00CC19F7">
        <w:t xml:space="preserve"> fornybar kraftproduksjon, </w:t>
      </w:r>
      <w:proofErr w:type="spellStart"/>
      <w:r w:rsidRPr="00CC19F7">
        <w:t>auka</w:t>
      </w:r>
      <w:proofErr w:type="spellEnd"/>
      <w:r w:rsidRPr="00CC19F7">
        <w:t xml:space="preserve"> utbyggingstakt for nett og styrking av arbeidet med energieffektivisering.</w:t>
      </w:r>
    </w:p>
    <w:p w14:paraId="438DD3FA" w14:textId="77777777" w:rsidR="00FE02EF" w:rsidRPr="00CC19F7" w:rsidRDefault="00881E58" w:rsidP="00CC19F7">
      <w:r w:rsidRPr="00CC19F7">
        <w:t xml:space="preserve">Når det </w:t>
      </w:r>
      <w:proofErr w:type="spellStart"/>
      <w:r w:rsidRPr="00CC19F7">
        <w:t>gjeld</w:t>
      </w:r>
      <w:proofErr w:type="spellEnd"/>
      <w:r w:rsidRPr="00CC19F7">
        <w:t xml:space="preserve"> skatte- og avgiftsopplegget viser departementet til </w:t>
      </w:r>
      <w:proofErr w:type="spellStart"/>
      <w:r w:rsidRPr="00CC19F7">
        <w:t>Prop</w:t>
      </w:r>
      <w:proofErr w:type="spellEnd"/>
      <w:r w:rsidRPr="00CC19F7">
        <w:t xml:space="preserve">. 1 LS (2023–2024) </w:t>
      </w:r>
      <w:r w:rsidRPr="00CC19F7">
        <w:rPr>
          <w:rStyle w:val="kursiv"/>
        </w:rPr>
        <w:t>Skatter og avgifter 2024</w:t>
      </w:r>
      <w:r w:rsidRPr="00CC19F7">
        <w:t>.</w:t>
      </w:r>
    </w:p>
    <w:p w14:paraId="3309FAA8" w14:textId="77777777" w:rsidR="00FE02EF" w:rsidRPr="00CC19F7" w:rsidRDefault="00881E58" w:rsidP="00CC19F7">
      <w:r w:rsidRPr="00CC19F7">
        <w:t xml:space="preserve">Det er </w:t>
      </w:r>
      <w:proofErr w:type="spellStart"/>
      <w:r w:rsidRPr="00CC19F7">
        <w:t>framleis</w:t>
      </w:r>
      <w:proofErr w:type="spellEnd"/>
      <w:r w:rsidRPr="00CC19F7">
        <w:t xml:space="preserve"> store </w:t>
      </w:r>
      <w:proofErr w:type="spellStart"/>
      <w:r w:rsidRPr="00CC19F7">
        <w:t>moglegheiter</w:t>
      </w:r>
      <w:proofErr w:type="spellEnd"/>
      <w:r w:rsidRPr="00CC19F7">
        <w:t xml:space="preserve"> for utbygging av fornybar kraftproduksjon i </w:t>
      </w:r>
      <w:proofErr w:type="spellStart"/>
      <w:r w:rsidRPr="00CC19F7">
        <w:t>Noreg</w:t>
      </w:r>
      <w:proofErr w:type="spellEnd"/>
      <w:r w:rsidRPr="00CC19F7">
        <w:t xml:space="preserve">. Regjeringa vil i konsesjonsbehandlinga, gjennom gode </w:t>
      </w:r>
      <w:proofErr w:type="spellStart"/>
      <w:r w:rsidRPr="00CC19F7">
        <w:t>vurderingar</w:t>
      </w:r>
      <w:proofErr w:type="spellEnd"/>
      <w:r w:rsidRPr="00CC19F7">
        <w:t xml:space="preserve"> av </w:t>
      </w:r>
      <w:proofErr w:type="spellStart"/>
      <w:r w:rsidRPr="00CC19F7">
        <w:t>lønnsemd</w:t>
      </w:r>
      <w:proofErr w:type="spellEnd"/>
      <w:r w:rsidRPr="00CC19F7">
        <w:t xml:space="preserve"> og verknader for miljø og andre viktige samfunnsinteresser, legge til rette for nytt nett og ny fornybar kraftproduksjon. Våre fornybare </w:t>
      </w:r>
      <w:proofErr w:type="spellStart"/>
      <w:r w:rsidRPr="00CC19F7">
        <w:t>energiressursar</w:t>
      </w:r>
      <w:proofErr w:type="spellEnd"/>
      <w:r w:rsidRPr="00CC19F7">
        <w:t xml:space="preserve"> skal </w:t>
      </w:r>
      <w:proofErr w:type="spellStart"/>
      <w:r w:rsidRPr="00CC19F7">
        <w:t>forvaltast</w:t>
      </w:r>
      <w:proofErr w:type="spellEnd"/>
      <w:r w:rsidRPr="00CC19F7">
        <w:t xml:space="preserve"> slik at </w:t>
      </w:r>
      <w:proofErr w:type="spellStart"/>
      <w:r w:rsidRPr="00CC19F7">
        <w:t>dei</w:t>
      </w:r>
      <w:proofErr w:type="spellEnd"/>
      <w:r w:rsidRPr="00CC19F7">
        <w:t xml:space="preserve"> kjem lokalsamfunn, heile landet og framtidige </w:t>
      </w:r>
      <w:proofErr w:type="spellStart"/>
      <w:r w:rsidRPr="00CC19F7">
        <w:t>generasjonar</w:t>
      </w:r>
      <w:proofErr w:type="spellEnd"/>
      <w:r w:rsidRPr="00CC19F7">
        <w:t xml:space="preserve"> til gode.</w:t>
      </w:r>
    </w:p>
    <w:p w14:paraId="20E1DAE5" w14:textId="77777777" w:rsidR="00FE02EF" w:rsidRPr="00CC19F7" w:rsidRDefault="00881E58" w:rsidP="00CC19F7">
      <w:r w:rsidRPr="00CC19F7">
        <w:t xml:space="preserve">Rolla den store regulerbare vasskrafta har i kraftforsyninga, blir </w:t>
      </w:r>
      <w:proofErr w:type="spellStart"/>
      <w:r w:rsidRPr="00CC19F7">
        <w:t>viktigare</w:t>
      </w:r>
      <w:proofErr w:type="spellEnd"/>
      <w:r w:rsidRPr="00CC19F7">
        <w:t xml:space="preserve"> i åra framover, etter som behovet for regulerbar og fleksibel kraftproduksjon </w:t>
      </w:r>
      <w:proofErr w:type="spellStart"/>
      <w:r w:rsidRPr="00CC19F7">
        <w:t>aukar</w:t>
      </w:r>
      <w:proofErr w:type="spellEnd"/>
      <w:r w:rsidRPr="00CC19F7">
        <w:t xml:space="preserve">. Regjeringa vil legge til rette for ei </w:t>
      </w:r>
      <w:proofErr w:type="spellStart"/>
      <w:r w:rsidRPr="00CC19F7">
        <w:t>forsvarleg</w:t>
      </w:r>
      <w:proofErr w:type="spellEnd"/>
      <w:r w:rsidRPr="00CC19F7">
        <w:t xml:space="preserve"> utnytting av det </w:t>
      </w:r>
      <w:proofErr w:type="spellStart"/>
      <w:r w:rsidRPr="00CC19F7">
        <w:t>gjenverande</w:t>
      </w:r>
      <w:proofErr w:type="spellEnd"/>
      <w:r w:rsidRPr="00CC19F7">
        <w:t xml:space="preserve"> potensialet for ny vasskraft. I konsesjonsbehandlinga av ny vasskraft skal det </w:t>
      </w:r>
      <w:proofErr w:type="spellStart"/>
      <w:r w:rsidRPr="00CC19F7">
        <w:t>leggast</w:t>
      </w:r>
      <w:proofErr w:type="spellEnd"/>
      <w:r w:rsidRPr="00CC19F7">
        <w:t xml:space="preserve"> vekt på evna til å produsere når etterspørselen er størst.</w:t>
      </w:r>
    </w:p>
    <w:p w14:paraId="13975132" w14:textId="77777777" w:rsidR="00FE02EF" w:rsidRPr="00CC19F7" w:rsidRDefault="00881E58" w:rsidP="00CC19F7">
      <w:r w:rsidRPr="00CC19F7">
        <w:t xml:space="preserve">Regjeringa vil samtidig legge til rette for </w:t>
      </w:r>
      <w:proofErr w:type="spellStart"/>
      <w:r w:rsidRPr="00CC19F7">
        <w:t>miljøforbetringar</w:t>
      </w:r>
      <w:proofErr w:type="spellEnd"/>
      <w:r w:rsidRPr="00CC19F7">
        <w:t xml:space="preserve"> i </w:t>
      </w:r>
      <w:proofErr w:type="spellStart"/>
      <w:r w:rsidRPr="00CC19F7">
        <w:t>allereie</w:t>
      </w:r>
      <w:proofErr w:type="spellEnd"/>
      <w:r w:rsidRPr="00CC19F7">
        <w:t xml:space="preserve"> utbygde vassdrag. </w:t>
      </w:r>
      <w:proofErr w:type="spellStart"/>
      <w:r w:rsidRPr="00CC19F7">
        <w:t>Miljøforbetringane</w:t>
      </w:r>
      <w:proofErr w:type="spellEnd"/>
      <w:r w:rsidRPr="00CC19F7">
        <w:t xml:space="preserve"> må </w:t>
      </w:r>
      <w:proofErr w:type="spellStart"/>
      <w:r w:rsidRPr="00CC19F7">
        <w:t>vegast</w:t>
      </w:r>
      <w:proofErr w:type="spellEnd"/>
      <w:r w:rsidRPr="00CC19F7">
        <w:t xml:space="preserve"> opp mot tapt kraftproduksjon og reguleringsevne.</w:t>
      </w:r>
    </w:p>
    <w:p w14:paraId="2F12A203" w14:textId="77777777" w:rsidR="00FE02EF" w:rsidRPr="00CC19F7" w:rsidRDefault="00881E58" w:rsidP="00CC19F7">
      <w:r w:rsidRPr="00CC19F7">
        <w:t xml:space="preserve">Vindkraft på land er </w:t>
      </w:r>
      <w:proofErr w:type="spellStart"/>
      <w:r w:rsidRPr="00CC19F7">
        <w:t>ein</w:t>
      </w:r>
      <w:proofErr w:type="spellEnd"/>
      <w:r w:rsidRPr="00CC19F7">
        <w:t xml:space="preserve"> viktig del av energiforsyninga vår. </w:t>
      </w:r>
      <w:proofErr w:type="spellStart"/>
      <w:r w:rsidRPr="00CC19F7">
        <w:t>Noreg</w:t>
      </w:r>
      <w:proofErr w:type="spellEnd"/>
      <w:r w:rsidRPr="00CC19F7">
        <w:t xml:space="preserve"> har svært gode </w:t>
      </w:r>
      <w:proofErr w:type="spellStart"/>
      <w:r w:rsidRPr="00CC19F7">
        <w:t>vindressursar</w:t>
      </w:r>
      <w:proofErr w:type="spellEnd"/>
      <w:r w:rsidRPr="00CC19F7">
        <w:t xml:space="preserve">, og vindkraft på land er i dag blant </w:t>
      </w:r>
      <w:proofErr w:type="spellStart"/>
      <w:r w:rsidRPr="00CC19F7">
        <w:t>dei</w:t>
      </w:r>
      <w:proofErr w:type="spellEnd"/>
      <w:r w:rsidRPr="00CC19F7">
        <w:t xml:space="preserve"> </w:t>
      </w:r>
      <w:proofErr w:type="spellStart"/>
      <w:r w:rsidRPr="00CC19F7">
        <w:t>teknologiane</w:t>
      </w:r>
      <w:proofErr w:type="spellEnd"/>
      <w:r w:rsidRPr="00CC19F7">
        <w:t xml:space="preserve"> med </w:t>
      </w:r>
      <w:proofErr w:type="spellStart"/>
      <w:r w:rsidRPr="00CC19F7">
        <w:t>lågast</w:t>
      </w:r>
      <w:proofErr w:type="spellEnd"/>
      <w:r w:rsidRPr="00CC19F7">
        <w:t xml:space="preserve"> utbyggingskostnad. Regjeringa vil legge til rette for ei langsiktig utvikling av </w:t>
      </w:r>
      <w:proofErr w:type="spellStart"/>
      <w:r w:rsidRPr="00CC19F7">
        <w:t>lønnsam</w:t>
      </w:r>
      <w:proofErr w:type="spellEnd"/>
      <w:r w:rsidRPr="00CC19F7">
        <w:t xml:space="preserve"> vindkraft. I juni 2023 slutta Stortinget seg til regjeringas forslag om </w:t>
      </w:r>
      <w:proofErr w:type="spellStart"/>
      <w:r w:rsidRPr="00CC19F7">
        <w:t>endringar</w:t>
      </w:r>
      <w:proofErr w:type="spellEnd"/>
      <w:r w:rsidRPr="00CC19F7">
        <w:t xml:space="preserve"> i energilova og plan- og bygningslova knytte til vindkraft på land, jf. </w:t>
      </w:r>
      <w:proofErr w:type="spellStart"/>
      <w:r w:rsidRPr="00CC19F7">
        <w:t>Prop</w:t>
      </w:r>
      <w:proofErr w:type="spellEnd"/>
      <w:r w:rsidRPr="00CC19F7">
        <w:t xml:space="preserve">. 111 L (2022–2023) og </w:t>
      </w:r>
      <w:proofErr w:type="spellStart"/>
      <w:r w:rsidRPr="00CC19F7">
        <w:t>Innst</w:t>
      </w:r>
      <w:proofErr w:type="spellEnd"/>
      <w:r w:rsidRPr="00CC19F7">
        <w:t xml:space="preserve">. 483 L (2022–2023). Det skal framover </w:t>
      </w:r>
      <w:proofErr w:type="spellStart"/>
      <w:r w:rsidRPr="00CC19F7">
        <w:t>vere</w:t>
      </w:r>
      <w:proofErr w:type="spellEnd"/>
      <w:r w:rsidRPr="00CC19F7">
        <w:t xml:space="preserve"> ei overordna kommunal områderegulering før </w:t>
      </w:r>
      <w:proofErr w:type="spellStart"/>
      <w:r w:rsidRPr="00CC19F7">
        <w:t>eit</w:t>
      </w:r>
      <w:proofErr w:type="spellEnd"/>
      <w:r w:rsidRPr="00CC19F7">
        <w:t xml:space="preserve"> konsesjonsvedtak blir gjort. Dette skal gi betre lokal forankring og styrke rolla til </w:t>
      </w:r>
      <w:proofErr w:type="spellStart"/>
      <w:r w:rsidRPr="00CC19F7">
        <w:t>kommunane</w:t>
      </w:r>
      <w:proofErr w:type="spellEnd"/>
      <w:r w:rsidRPr="00CC19F7">
        <w:t xml:space="preserve"> i prosessen når det </w:t>
      </w:r>
      <w:proofErr w:type="spellStart"/>
      <w:r w:rsidRPr="00CC19F7">
        <w:t>gjeld</w:t>
      </w:r>
      <w:proofErr w:type="spellEnd"/>
      <w:r w:rsidRPr="00CC19F7">
        <w:t xml:space="preserve"> vindkraft på land. Departementet vil også legge til rette for solkraft og vurdere om </w:t>
      </w:r>
      <w:proofErr w:type="spellStart"/>
      <w:r w:rsidRPr="00CC19F7">
        <w:t>dei</w:t>
      </w:r>
      <w:proofErr w:type="spellEnd"/>
      <w:r w:rsidRPr="00CC19F7">
        <w:t xml:space="preserve"> nye </w:t>
      </w:r>
      <w:proofErr w:type="spellStart"/>
      <w:r w:rsidRPr="00CC19F7">
        <w:t>reglane</w:t>
      </w:r>
      <w:proofErr w:type="spellEnd"/>
      <w:r w:rsidRPr="00CC19F7">
        <w:t xml:space="preserve"> for behandling av vindkraft også skal </w:t>
      </w:r>
      <w:proofErr w:type="spellStart"/>
      <w:r w:rsidRPr="00CC19F7">
        <w:t>gjerast</w:t>
      </w:r>
      <w:proofErr w:type="spellEnd"/>
      <w:r w:rsidRPr="00CC19F7">
        <w:t xml:space="preserve"> </w:t>
      </w:r>
      <w:proofErr w:type="spellStart"/>
      <w:r w:rsidRPr="00CC19F7">
        <w:t>gjeldande</w:t>
      </w:r>
      <w:proofErr w:type="spellEnd"/>
      <w:r w:rsidRPr="00CC19F7">
        <w:t xml:space="preserve"> for bakkemonterte anlegg for solkraft.</w:t>
      </w:r>
    </w:p>
    <w:p w14:paraId="78DE256D" w14:textId="77777777" w:rsidR="00FE02EF" w:rsidRPr="00CC19F7" w:rsidRDefault="00881E58" w:rsidP="00CC19F7">
      <w:r w:rsidRPr="00CC19F7">
        <w:t xml:space="preserve">Regjeringa vil legge til rette for at lokalsamfunn som stiller </w:t>
      </w:r>
      <w:proofErr w:type="spellStart"/>
      <w:r w:rsidRPr="00CC19F7">
        <w:t>naturressursane</w:t>
      </w:r>
      <w:proofErr w:type="spellEnd"/>
      <w:r w:rsidRPr="00CC19F7">
        <w:t xml:space="preserve"> sine til disposisjon for utbygging, får </w:t>
      </w:r>
      <w:proofErr w:type="spellStart"/>
      <w:r w:rsidRPr="00CC19F7">
        <w:t>meir</w:t>
      </w:r>
      <w:proofErr w:type="spellEnd"/>
      <w:r w:rsidRPr="00CC19F7">
        <w:t xml:space="preserve"> igjen for det og blir sikra </w:t>
      </w:r>
      <w:proofErr w:type="spellStart"/>
      <w:r w:rsidRPr="00CC19F7">
        <w:t>ein</w:t>
      </w:r>
      <w:proofErr w:type="spellEnd"/>
      <w:r w:rsidRPr="00CC19F7">
        <w:t xml:space="preserve"> rettmessig del av verdiskapinga.</w:t>
      </w:r>
    </w:p>
    <w:p w14:paraId="7D4ECCB7" w14:textId="77777777" w:rsidR="00FE02EF" w:rsidRPr="00CC19F7" w:rsidRDefault="00881E58" w:rsidP="00CC19F7">
      <w:r w:rsidRPr="00CC19F7">
        <w:t xml:space="preserve">I tillegg til vindkraft på land blei </w:t>
      </w:r>
      <w:proofErr w:type="spellStart"/>
      <w:r w:rsidRPr="00CC19F7">
        <w:t>dei</w:t>
      </w:r>
      <w:proofErr w:type="spellEnd"/>
      <w:r w:rsidRPr="00CC19F7">
        <w:t xml:space="preserve"> første områda for havvind utlyste i 2023, og tildeling av areal er </w:t>
      </w:r>
      <w:proofErr w:type="spellStart"/>
      <w:r w:rsidRPr="00CC19F7">
        <w:t>planlagd</w:t>
      </w:r>
      <w:proofErr w:type="spellEnd"/>
      <w:r w:rsidRPr="00CC19F7">
        <w:t xml:space="preserve"> i 2024. Prosjekta vil bli tilkopla </w:t>
      </w:r>
      <w:proofErr w:type="spellStart"/>
      <w:r w:rsidRPr="00CC19F7">
        <w:t>Noreg</w:t>
      </w:r>
      <w:proofErr w:type="spellEnd"/>
      <w:r w:rsidRPr="00CC19F7">
        <w:t xml:space="preserve"> med </w:t>
      </w:r>
      <w:proofErr w:type="spellStart"/>
      <w:r w:rsidRPr="00CC19F7">
        <w:t>radialar</w:t>
      </w:r>
      <w:proofErr w:type="spellEnd"/>
      <w:r w:rsidRPr="00CC19F7">
        <w:t xml:space="preserve"> og vil bli </w:t>
      </w:r>
      <w:proofErr w:type="spellStart"/>
      <w:r w:rsidRPr="00CC19F7">
        <w:t>ein</w:t>
      </w:r>
      <w:proofErr w:type="spellEnd"/>
      <w:r w:rsidRPr="00CC19F7">
        <w:t xml:space="preserve"> del av den norske kraftforsyninga.</w:t>
      </w:r>
    </w:p>
    <w:p w14:paraId="53108E14" w14:textId="77777777" w:rsidR="00FE02EF" w:rsidRPr="00CC19F7" w:rsidRDefault="00881E58" w:rsidP="00CC19F7">
      <w:r w:rsidRPr="00CC19F7">
        <w:t xml:space="preserve">Elektrifisering og utvikling av industri kan føre til </w:t>
      </w:r>
      <w:proofErr w:type="spellStart"/>
      <w:r w:rsidRPr="00CC19F7">
        <w:t>ein</w:t>
      </w:r>
      <w:proofErr w:type="spellEnd"/>
      <w:r w:rsidRPr="00CC19F7">
        <w:t xml:space="preserve"> rask framvekst av stort forbruk i ulike </w:t>
      </w:r>
      <w:proofErr w:type="spellStart"/>
      <w:r w:rsidRPr="00CC19F7">
        <w:t>delar</w:t>
      </w:r>
      <w:proofErr w:type="spellEnd"/>
      <w:r w:rsidRPr="00CC19F7">
        <w:t xml:space="preserve"> av landet. Planlegging og utbygging av nett tar tid og har </w:t>
      </w:r>
      <w:proofErr w:type="spellStart"/>
      <w:r w:rsidRPr="00CC19F7">
        <w:t>konsekvensar</w:t>
      </w:r>
      <w:proofErr w:type="spellEnd"/>
      <w:r w:rsidRPr="00CC19F7">
        <w:t xml:space="preserve"> for miljø og andre samfunnsinteresser. Departementet følger opp NOU 2022: 6 </w:t>
      </w:r>
      <w:r w:rsidRPr="00CC19F7">
        <w:rPr>
          <w:rStyle w:val="kursiv"/>
        </w:rPr>
        <w:t>Nett i tide – om utvikling av strømnettet</w:t>
      </w:r>
      <w:r w:rsidRPr="00CC19F7">
        <w:t xml:space="preserve"> og la fram </w:t>
      </w:r>
      <w:r w:rsidRPr="00CC19F7">
        <w:rPr>
          <w:rStyle w:val="kursiv"/>
        </w:rPr>
        <w:t>Regjeringens handlingsplan for raskere nettutbygging og bedre utnyttelse av nettet</w:t>
      </w:r>
      <w:r w:rsidRPr="00CC19F7">
        <w:t xml:space="preserve"> våren 2023. Handlingsplanen </w:t>
      </w:r>
      <w:proofErr w:type="spellStart"/>
      <w:r w:rsidRPr="00CC19F7">
        <w:t>varslar</w:t>
      </w:r>
      <w:proofErr w:type="spellEnd"/>
      <w:r w:rsidRPr="00CC19F7">
        <w:t xml:space="preserve"> ei rekke tiltak for å utløyse </w:t>
      </w:r>
      <w:proofErr w:type="spellStart"/>
      <w:r w:rsidRPr="00CC19F7">
        <w:t>raskare</w:t>
      </w:r>
      <w:proofErr w:type="spellEnd"/>
      <w:r w:rsidRPr="00CC19F7">
        <w:t xml:space="preserve"> konsesjonsbehandling hos </w:t>
      </w:r>
      <w:proofErr w:type="spellStart"/>
      <w:r w:rsidRPr="00CC19F7">
        <w:t>myndigheitene</w:t>
      </w:r>
      <w:proofErr w:type="spellEnd"/>
      <w:r w:rsidRPr="00CC19F7">
        <w:t xml:space="preserve">, </w:t>
      </w:r>
      <w:proofErr w:type="spellStart"/>
      <w:r w:rsidRPr="00CC19F7">
        <w:t>meir</w:t>
      </w:r>
      <w:proofErr w:type="spellEnd"/>
      <w:r w:rsidRPr="00CC19F7">
        <w:t xml:space="preserve"> effektive </w:t>
      </w:r>
      <w:proofErr w:type="spellStart"/>
      <w:r w:rsidRPr="00CC19F7">
        <w:t>prosessar</w:t>
      </w:r>
      <w:proofErr w:type="spellEnd"/>
      <w:r w:rsidRPr="00CC19F7">
        <w:t xml:space="preserve"> for </w:t>
      </w:r>
      <w:proofErr w:type="spellStart"/>
      <w:r w:rsidRPr="00CC19F7">
        <w:t>tilknyting</w:t>
      </w:r>
      <w:proofErr w:type="spellEnd"/>
      <w:r w:rsidRPr="00CC19F7">
        <w:t xml:space="preserve"> til straumnettet og betre utnytting av nettkapasiteten. </w:t>
      </w:r>
      <w:proofErr w:type="spellStart"/>
      <w:r w:rsidRPr="00CC19F7">
        <w:t>Ressursane</w:t>
      </w:r>
      <w:proofErr w:type="spellEnd"/>
      <w:r w:rsidRPr="00CC19F7">
        <w:t xml:space="preserve"> til behandling av </w:t>
      </w:r>
      <w:proofErr w:type="spellStart"/>
      <w:r w:rsidRPr="00CC19F7">
        <w:t>konsesjonar</w:t>
      </w:r>
      <w:proofErr w:type="spellEnd"/>
      <w:r w:rsidRPr="00CC19F7">
        <w:t xml:space="preserve"> er </w:t>
      </w:r>
      <w:proofErr w:type="spellStart"/>
      <w:r w:rsidRPr="00CC19F7">
        <w:t>vesentleg</w:t>
      </w:r>
      <w:proofErr w:type="spellEnd"/>
      <w:r w:rsidRPr="00CC19F7">
        <w:t xml:space="preserve"> styrkte, og NVE </w:t>
      </w:r>
      <w:proofErr w:type="spellStart"/>
      <w:r w:rsidRPr="00CC19F7">
        <w:t>gjer</w:t>
      </w:r>
      <w:proofErr w:type="spellEnd"/>
      <w:r w:rsidRPr="00CC19F7">
        <w:t xml:space="preserve"> </w:t>
      </w:r>
      <w:proofErr w:type="spellStart"/>
      <w:r w:rsidRPr="00CC19F7">
        <w:t>eit</w:t>
      </w:r>
      <w:proofErr w:type="spellEnd"/>
      <w:r w:rsidRPr="00CC19F7">
        <w:t xml:space="preserve"> viktig arbeid med å bidra til digitalisering av </w:t>
      </w:r>
      <w:proofErr w:type="spellStart"/>
      <w:r w:rsidRPr="00CC19F7">
        <w:t>prosessane</w:t>
      </w:r>
      <w:proofErr w:type="spellEnd"/>
      <w:r w:rsidRPr="00CC19F7">
        <w:t xml:space="preserve">. Ei </w:t>
      </w:r>
      <w:proofErr w:type="spellStart"/>
      <w:r w:rsidRPr="00CC19F7">
        <w:t>raskare</w:t>
      </w:r>
      <w:proofErr w:type="spellEnd"/>
      <w:r w:rsidRPr="00CC19F7">
        <w:t xml:space="preserve"> utvikling av nettet krev </w:t>
      </w:r>
      <w:proofErr w:type="spellStart"/>
      <w:r w:rsidRPr="00CC19F7">
        <w:t>eit</w:t>
      </w:r>
      <w:proofErr w:type="spellEnd"/>
      <w:r w:rsidRPr="00CC19F7">
        <w:t xml:space="preserve"> nært samarbeid mellom </w:t>
      </w:r>
      <w:proofErr w:type="spellStart"/>
      <w:r w:rsidRPr="00CC19F7">
        <w:t>myndigheitene</w:t>
      </w:r>
      <w:proofErr w:type="spellEnd"/>
      <w:r w:rsidRPr="00CC19F7">
        <w:t xml:space="preserve">, nettselskapa og andre </w:t>
      </w:r>
      <w:proofErr w:type="spellStart"/>
      <w:r w:rsidRPr="00CC19F7">
        <w:t>aktørar</w:t>
      </w:r>
      <w:proofErr w:type="spellEnd"/>
      <w:r w:rsidRPr="00CC19F7">
        <w:t>.</w:t>
      </w:r>
    </w:p>
    <w:p w14:paraId="3D276A03" w14:textId="77777777" w:rsidR="00FE02EF" w:rsidRPr="00CC19F7" w:rsidRDefault="00881E58" w:rsidP="00CC19F7">
      <w:r w:rsidRPr="00CC19F7">
        <w:t xml:space="preserve">Regjeringa vil også styrke arbeidet med energieffektivisering framover og legg fram </w:t>
      </w:r>
      <w:proofErr w:type="spellStart"/>
      <w:r w:rsidRPr="00CC19F7">
        <w:t>ein</w:t>
      </w:r>
      <w:proofErr w:type="spellEnd"/>
      <w:r w:rsidRPr="00CC19F7">
        <w:t xml:space="preserve"> handlingsplan som </w:t>
      </w:r>
      <w:proofErr w:type="spellStart"/>
      <w:r w:rsidRPr="00CC19F7">
        <w:t>inneheld</w:t>
      </w:r>
      <w:proofErr w:type="spellEnd"/>
      <w:r w:rsidRPr="00CC19F7">
        <w:t xml:space="preserve"> </w:t>
      </w:r>
      <w:proofErr w:type="spellStart"/>
      <w:r w:rsidRPr="00CC19F7">
        <w:t>fleire</w:t>
      </w:r>
      <w:proofErr w:type="spellEnd"/>
      <w:r w:rsidRPr="00CC19F7">
        <w:t xml:space="preserve"> viktige tiltak for energieffektivisering i alle </w:t>
      </w:r>
      <w:proofErr w:type="spellStart"/>
      <w:r w:rsidRPr="00CC19F7">
        <w:t>delar</w:t>
      </w:r>
      <w:proofErr w:type="spellEnd"/>
      <w:r w:rsidRPr="00CC19F7">
        <w:t xml:space="preserve"> av norsk økonomi, mellom anna konkrete grep for </w:t>
      </w:r>
      <w:proofErr w:type="spellStart"/>
      <w:r w:rsidRPr="00CC19F7">
        <w:t>meir</w:t>
      </w:r>
      <w:proofErr w:type="spellEnd"/>
      <w:r w:rsidRPr="00CC19F7">
        <w:t xml:space="preserve"> energieffektivisering i bygg og industri, at det </w:t>
      </w:r>
      <w:proofErr w:type="spellStart"/>
      <w:r w:rsidRPr="00CC19F7">
        <w:t>offentlege</w:t>
      </w:r>
      <w:proofErr w:type="spellEnd"/>
      <w:r w:rsidRPr="00CC19F7">
        <w:t xml:space="preserve"> skal gå foran med energieffektivisering i eiga </w:t>
      </w:r>
      <w:proofErr w:type="spellStart"/>
      <w:r w:rsidRPr="00CC19F7">
        <w:t>verksemd</w:t>
      </w:r>
      <w:proofErr w:type="spellEnd"/>
      <w:r w:rsidRPr="00CC19F7">
        <w:t xml:space="preserve"> og ei styrking av </w:t>
      </w:r>
      <w:proofErr w:type="spellStart"/>
      <w:r w:rsidRPr="00CC19F7">
        <w:t>tilskotsordningar</w:t>
      </w:r>
      <w:proofErr w:type="spellEnd"/>
      <w:r w:rsidRPr="00CC19F7">
        <w:t xml:space="preserve"> gjennom Husbanken og </w:t>
      </w:r>
      <w:proofErr w:type="spellStart"/>
      <w:r w:rsidRPr="00CC19F7">
        <w:t>Enova</w:t>
      </w:r>
      <w:proofErr w:type="spellEnd"/>
      <w:r w:rsidRPr="00CC19F7">
        <w:t xml:space="preserve">. Effektiviseringstiltak kan bidra til å redusere maksimalbelastninga i nettet og dermed behovet for </w:t>
      </w:r>
      <w:proofErr w:type="spellStart"/>
      <w:r w:rsidRPr="00CC19F7">
        <w:t>nettutbyggingar</w:t>
      </w:r>
      <w:proofErr w:type="spellEnd"/>
      <w:r w:rsidRPr="00CC19F7">
        <w:t xml:space="preserve">. Det er viktig for å unngå kostnader og unødige naturinngrep. Regjeringa vil arbeide for </w:t>
      </w:r>
      <w:proofErr w:type="spellStart"/>
      <w:r w:rsidRPr="00CC19F7">
        <w:t>eit</w:t>
      </w:r>
      <w:proofErr w:type="spellEnd"/>
      <w:r w:rsidRPr="00CC19F7">
        <w:t xml:space="preserve"> betre </w:t>
      </w:r>
      <w:proofErr w:type="spellStart"/>
      <w:r w:rsidRPr="00CC19F7">
        <w:t>samspel</w:t>
      </w:r>
      <w:proofErr w:type="spellEnd"/>
      <w:r w:rsidRPr="00CC19F7">
        <w:t xml:space="preserve"> mellom kraftsystemet, fjernvarmesystemet og </w:t>
      </w:r>
      <w:proofErr w:type="spellStart"/>
      <w:r w:rsidRPr="00CC19F7">
        <w:t>moglegheitene</w:t>
      </w:r>
      <w:proofErr w:type="spellEnd"/>
      <w:r w:rsidRPr="00CC19F7">
        <w:t xml:space="preserve"> for fleksibilitet i bruken av energi.</w:t>
      </w:r>
    </w:p>
    <w:p w14:paraId="2C1AB947" w14:textId="77777777" w:rsidR="00FE02EF" w:rsidRPr="00CC19F7" w:rsidRDefault="00881E58" w:rsidP="00CC19F7">
      <w:r w:rsidRPr="00CC19F7">
        <w:t xml:space="preserve">I NVEs rapport om den kortsiktige kraftbalansen i </w:t>
      </w:r>
      <w:proofErr w:type="spellStart"/>
      <w:r w:rsidRPr="00CC19F7">
        <w:t>Noreg</w:t>
      </w:r>
      <w:proofErr w:type="spellEnd"/>
      <w:r w:rsidRPr="00CC19F7">
        <w:t xml:space="preserve"> fram mot 2028, som blei lagd fram 14. august 2023, er </w:t>
      </w:r>
      <w:proofErr w:type="spellStart"/>
      <w:r w:rsidRPr="00CC19F7">
        <w:t>hovudkonklusjonen</w:t>
      </w:r>
      <w:proofErr w:type="spellEnd"/>
      <w:r w:rsidRPr="00CC19F7">
        <w:t xml:space="preserve"> at </w:t>
      </w:r>
      <w:proofErr w:type="spellStart"/>
      <w:r w:rsidRPr="00CC19F7">
        <w:t>kraftoverskotet</w:t>
      </w:r>
      <w:proofErr w:type="spellEnd"/>
      <w:r w:rsidRPr="00CC19F7">
        <w:t xml:space="preserve"> i </w:t>
      </w:r>
      <w:proofErr w:type="spellStart"/>
      <w:r w:rsidRPr="00CC19F7">
        <w:t>Noreg</w:t>
      </w:r>
      <w:proofErr w:type="spellEnd"/>
      <w:r w:rsidRPr="00CC19F7">
        <w:t xml:space="preserve"> held fram </w:t>
      </w:r>
      <w:proofErr w:type="spellStart"/>
      <w:r w:rsidRPr="00CC19F7">
        <w:t>dei</w:t>
      </w:r>
      <w:proofErr w:type="spellEnd"/>
      <w:r w:rsidRPr="00CC19F7">
        <w:t xml:space="preserve"> neste fem åra. NVE </w:t>
      </w:r>
      <w:proofErr w:type="spellStart"/>
      <w:r w:rsidRPr="00CC19F7">
        <w:t>peikar</w:t>
      </w:r>
      <w:proofErr w:type="spellEnd"/>
      <w:r w:rsidRPr="00CC19F7">
        <w:t xml:space="preserve"> likevel på at </w:t>
      </w:r>
      <w:proofErr w:type="spellStart"/>
      <w:r w:rsidRPr="00CC19F7">
        <w:t>ein</w:t>
      </w:r>
      <w:proofErr w:type="spellEnd"/>
      <w:r w:rsidRPr="00CC19F7">
        <w:t xml:space="preserve"> sterk vekst i forbruket </w:t>
      </w:r>
      <w:proofErr w:type="spellStart"/>
      <w:r w:rsidRPr="00CC19F7">
        <w:t>saman</w:t>
      </w:r>
      <w:proofErr w:type="spellEnd"/>
      <w:r w:rsidRPr="00CC19F7">
        <w:t xml:space="preserve"> med svak vekst i produksjonen vil redusere </w:t>
      </w:r>
      <w:proofErr w:type="spellStart"/>
      <w:r w:rsidRPr="00CC19F7">
        <w:t>kraftoverskotet</w:t>
      </w:r>
      <w:proofErr w:type="spellEnd"/>
      <w:r w:rsidRPr="00CC19F7">
        <w:t xml:space="preserve"> fram mot 2028, og at dette kan gå mot null i 2030. Samtidig </w:t>
      </w:r>
      <w:proofErr w:type="spellStart"/>
      <w:r w:rsidRPr="00CC19F7">
        <w:t>understrekar</w:t>
      </w:r>
      <w:proofErr w:type="spellEnd"/>
      <w:r w:rsidRPr="00CC19F7">
        <w:t xml:space="preserve"> NVE at det er stor </w:t>
      </w:r>
      <w:proofErr w:type="spellStart"/>
      <w:r w:rsidRPr="00CC19F7">
        <w:t>usikkerheit</w:t>
      </w:r>
      <w:proofErr w:type="spellEnd"/>
      <w:r w:rsidRPr="00CC19F7">
        <w:t xml:space="preserve"> rundt veksten i forbruket og takten i solkraftutbygginga framover.</w:t>
      </w:r>
    </w:p>
    <w:p w14:paraId="18429783" w14:textId="77777777" w:rsidR="00FE02EF" w:rsidRPr="00CC19F7" w:rsidRDefault="00881E58" w:rsidP="00CC19F7">
      <w:r w:rsidRPr="00CC19F7">
        <w:t xml:space="preserve">Regjeringa tar klimautfordringa på alvor, og har </w:t>
      </w:r>
      <w:proofErr w:type="spellStart"/>
      <w:r w:rsidRPr="00CC19F7">
        <w:t>ein</w:t>
      </w:r>
      <w:proofErr w:type="spellEnd"/>
      <w:r w:rsidRPr="00CC19F7">
        <w:t xml:space="preserve"> ambisjon om at alle </w:t>
      </w:r>
      <w:proofErr w:type="spellStart"/>
      <w:r w:rsidRPr="00CC19F7">
        <w:t>sektorar</w:t>
      </w:r>
      <w:proofErr w:type="spellEnd"/>
      <w:r w:rsidRPr="00CC19F7">
        <w:t xml:space="preserve"> skal ta omsyn til klima. Å stimulere til bruk av alternativ til fossil energi er </w:t>
      </w:r>
      <w:proofErr w:type="spellStart"/>
      <w:r w:rsidRPr="00CC19F7">
        <w:t>ein</w:t>
      </w:r>
      <w:proofErr w:type="spellEnd"/>
      <w:r w:rsidRPr="00CC19F7">
        <w:t xml:space="preserve"> viktig del av energipolitikken. Dei fornybare </w:t>
      </w:r>
      <w:proofErr w:type="spellStart"/>
      <w:r w:rsidRPr="00CC19F7">
        <w:t>energiressursane</w:t>
      </w:r>
      <w:proofErr w:type="spellEnd"/>
      <w:r w:rsidRPr="00CC19F7">
        <w:t xml:space="preserve"> og tilgang på kraft er </w:t>
      </w:r>
      <w:proofErr w:type="spellStart"/>
      <w:r w:rsidRPr="00CC19F7">
        <w:t>avgjerande</w:t>
      </w:r>
      <w:proofErr w:type="spellEnd"/>
      <w:r w:rsidRPr="00CC19F7">
        <w:t xml:space="preserve"> for å skape ei </w:t>
      </w:r>
      <w:proofErr w:type="spellStart"/>
      <w:r w:rsidRPr="00CC19F7">
        <w:t>grøn</w:t>
      </w:r>
      <w:proofErr w:type="spellEnd"/>
      <w:r w:rsidRPr="00CC19F7">
        <w:t xml:space="preserve"> framtid. Elektrifisering eller bruk av andre </w:t>
      </w:r>
      <w:proofErr w:type="spellStart"/>
      <w:r w:rsidRPr="00CC19F7">
        <w:t>energiberarar</w:t>
      </w:r>
      <w:proofErr w:type="spellEnd"/>
      <w:r w:rsidRPr="00CC19F7">
        <w:t xml:space="preserve"> baserte på fornybar energi, som for eksempel hydrogen, er viktig for å redusere klimagassutsleppa.</w:t>
      </w:r>
    </w:p>
    <w:p w14:paraId="4DBB3157" w14:textId="77777777" w:rsidR="00FE02EF" w:rsidRPr="00CC19F7" w:rsidRDefault="00881E58" w:rsidP="00CC19F7">
      <w:proofErr w:type="spellStart"/>
      <w:r w:rsidRPr="00CC19F7">
        <w:t>Noregs</w:t>
      </w:r>
      <w:proofErr w:type="spellEnd"/>
      <w:r w:rsidRPr="00CC19F7">
        <w:t xml:space="preserve"> </w:t>
      </w:r>
      <w:proofErr w:type="spellStart"/>
      <w:r w:rsidRPr="00CC19F7">
        <w:t>kraftoverskot</w:t>
      </w:r>
      <w:proofErr w:type="spellEnd"/>
      <w:r w:rsidRPr="00CC19F7">
        <w:t xml:space="preserve"> gir </w:t>
      </w:r>
      <w:proofErr w:type="spellStart"/>
      <w:r w:rsidRPr="00CC19F7">
        <w:t>eit</w:t>
      </w:r>
      <w:proofErr w:type="spellEnd"/>
      <w:r w:rsidRPr="00CC19F7">
        <w:t xml:space="preserve"> godt utgangspunkt for å ta i bruk den fornybare krafta til elektrifisering av samfunnet. Men </w:t>
      </w:r>
      <w:proofErr w:type="spellStart"/>
      <w:r w:rsidRPr="00CC19F7">
        <w:t>eit</w:t>
      </w:r>
      <w:proofErr w:type="spellEnd"/>
      <w:r w:rsidRPr="00CC19F7">
        <w:t xml:space="preserve"> langt </w:t>
      </w:r>
      <w:proofErr w:type="spellStart"/>
      <w:r w:rsidRPr="00CC19F7">
        <w:t>høgare</w:t>
      </w:r>
      <w:proofErr w:type="spellEnd"/>
      <w:r w:rsidRPr="00CC19F7">
        <w:t xml:space="preserve"> kraftforbruk enn i dag vil måtte </w:t>
      </w:r>
      <w:proofErr w:type="spellStart"/>
      <w:r w:rsidRPr="00CC19F7">
        <w:t>dekkast</w:t>
      </w:r>
      <w:proofErr w:type="spellEnd"/>
      <w:r w:rsidRPr="00CC19F7">
        <w:t xml:space="preserve"> også i </w:t>
      </w:r>
      <w:proofErr w:type="spellStart"/>
      <w:r w:rsidRPr="00CC19F7">
        <w:t>periodar</w:t>
      </w:r>
      <w:proofErr w:type="spellEnd"/>
      <w:r w:rsidRPr="00CC19F7">
        <w:t xml:space="preserve"> der </w:t>
      </w:r>
      <w:proofErr w:type="spellStart"/>
      <w:r w:rsidRPr="00CC19F7">
        <w:t>vêrforholda</w:t>
      </w:r>
      <w:proofErr w:type="spellEnd"/>
      <w:r w:rsidRPr="00CC19F7">
        <w:t xml:space="preserve"> i </w:t>
      </w:r>
      <w:proofErr w:type="spellStart"/>
      <w:r w:rsidRPr="00CC19F7">
        <w:t>Noreg</w:t>
      </w:r>
      <w:proofErr w:type="spellEnd"/>
      <w:r w:rsidRPr="00CC19F7">
        <w:t xml:space="preserve"> og Norden gir </w:t>
      </w:r>
      <w:proofErr w:type="spellStart"/>
      <w:r w:rsidRPr="00CC19F7">
        <w:t>lågare</w:t>
      </w:r>
      <w:proofErr w:type="spellEnd"/>
      <w:r w:rsidRPr="00CC19F7">
        <w:t xml:space="preserve"> vind- og vasskraftproduksjon enn normalt. Det er derfor viktig at elektrifiseringa skjer på </w:t>
      </w:r>
      <w:proofErr w:type="spellStart"/>
      <w:r w:rsidRPr="00CC19F7">
        <w:t>ein</w:t>
      </w:r>
      <w:proofErr w:type="spellEnd"/>
      <w:r w:rsidRPr="00CC19F7">
        <w:t xml:space="preserve"> måte som </w:t>
      </w:r>
      <w:proofErr w:type="spellStart"/>
      <w:r w:rsidRPr="00CC19F7">
        <w:t>ikkje</w:t>
      </w:r>
      <w:proofErr w:type="spellEnd"/>
      <w:r w:rsidRPr="00CC19F7">
        <w:t xml:space="preserve"> </w:t>
      </w:r>
      <w:proofErr w:type="spellStart"/>
      <w:r w:rsidRPr="00CC19F7">
        <w:t>utfordrar</w:t>
      </w:r>
      <w:proofErr w:type="spellEnd"/>
      <w:r w:rsidRPr="00CC19F7">
        <w:t xml:space="preserve"> </w:t>
      </w:r>
      <w:proofErr w:type="spellStart"/>
      <w:r w:rsidRPr="00CC19F7">
        <w:t>forsyningssikkerheita</w:t>
      </w:r>
      <w:proofErr w:type="spellEnd"/>
      <w:r w:rsidRPr="00CC19F7">
        <w:t xml:space="preserve"> for </w:t>
      </w:r>
      <w:proofErr w:type="spellStart"/>
      <w:r w:rsidRPr="00CC19F7">
        <w:t>straum</w:t>
      </w:r>
      <w:proofErr w:type="spellEnd"/>
      <w:r w:rsidRPr="00CC19F7">
        <w:t xml:space="preserve"> eller påfører kraftforsyninga og </w:t>
      </w:r>
      <w:proofErr w:type="spellStart"/>
      <w:r w:rsidRPr="00CC19F7">
        <w:t>forbrukarane</w:t>
      </w:r>
      <w:proofErr w:type="spellEnd"/>
      <w:r w:rsidRPr="00CC19F7">
        <w:t xml:space="preserve"> for store kostnader.</w:t>
      </w:r>
    </w:p>
    <w:p w14:paraId="2160ABA7" w14:textId="77777777" w:rsidR="00FE02EF" w:rsidRPr="00CC19F7" w:rsidRDefault="00881E58" w:rsidP="00CC19F7">
      <w:proofErr w:type="spellStart"/>
      <w:r w:rsidRPr="00CC19F7">
        <w:t>Ein</w:t>
      </w:r>
      <w:proofErr w:type="spellEnd"/>
      <w:r w:rsidRPr="00CC19F7">
        <w:t xml:space="preserve"> </w:t>
      </w:r>
      <w:proofErr w:type="spellStart"/>
      <w:r w:rsidRPr="00CC19F7">
        <w:t>føresetnad</w:t>
      </w:r>
      <w:proofErr w:type="spellEnd"/>
      <w:r w:rsidRPr="00CC19F7">
        <w:t xml:space="preserve"> for å nå </w:t>
      </w:r>
      <w:proofErr w:type="spellStart"/>
      <w:r w:rsidRPr="00CC19F7">
        <w:t>ambisjonane</w:t>
      </w:r>
      <w:proofErr w:type="spellEnd"/>
      <w:r w:rsidRPr="00CC19F7">
        <w:t xml:space="preserve"> på energi- og klimaområdet er tilgang på kraft og </w:t>
      </w:r>
      <w:proofErr w:type="spellStart"/>
      <w:r w:rsidRPr="00CC19F7">
        <w:t>eit</w:t>
      </w:r>
      <w:proofErr w:type="spellEnd"/>
      <w:r w:rsidRPr="00CC19F7">
        <w:t xml:space="preserve"> </w:t>
      </w:r>
      <w:proofErr w:type="spellStart"/>
      <w:r w:rsidRPr="00CC19F7">
        <w:t>velfungerande</w:t>
      </w:r>
      <w:proofErr w:type="spellEnd"/>
      <w:r w:rsidRPr="00CC19F7">
        <w:t xml:space="preserve"> kraftsystem. Det er behov for betre kunnskapsgrunnlag om kva ulike mål og utviklingstrekk vil </w:t>
      </w:r>
      <w:proofErr w:type="spellStart"/>
      <w:r w:rsidRPr="00CC19F7">
        <w:t>krevje</w:t>
      </w:r>
      <w:proofErr w:type="spellEnd"/>
      <w:r w:rsidRPr="00CC19F7">
        <w:t xml:space="preserve"> av kraftsystemet på kort og lang sikt, slik også Energikommisjonen (NOU 2023: 3 </w:t>
      </w:r>
      <w:r w:rsidRPr="00CC19F7">
        <w:rPr>
          <w:rStyle w:val="kursiv"/>
        </w:rPr>
        <w:t>Mer av alt – raskere</w:t>
      </w:r>
      <w:r w:rsidRPr="00CC19F7">
        <w:t xml:space="preserve">) </w:t>
      </w:r>
      <w:proofErr w:type="spellStart"/>
      <w:r w:rsidRPr="00CC19F7">
        <w:t>peikar</w:t>
      </w:r>
      <w:proofErr w:type="spellEnd"/>
      <w:r w:rsidRPr="00CC19F7">
        <w:t xml:space="preserve"> på. Regjeringa vil styrke innsatsen i arbeidet med </w:t>
      </w:r>
      <w:proofErr w:type="spellStart"/>
      <w:r w:rsidRPr="00CC19F7">
        <w:t>meir</w:t>
      </w:r>
      <w:proofErr w:type="spellEnd"/>
      <w:r w:rsidRPr="00CC19F7">
        <w:t xml:space="preserve"> </w:t>
      </w:r>
      <w:proofErr w:type="spellStart"/>
      <w:r w:rsidRPr="00CC19F7">
        <w:t>heilskaplege</w:t>
      </w:r>
      <w:proofErr w:type="spellEnd"/>
      <w:r w:rsidRPr="00CC19F7">
        <w:t xml:space="preserve"> </w:t>
      </w:r>
      <w:proofErr w:type="spellStart"/>
      <w:r w:rsidRPr="00CC19F7">
        <w:t>analysar</w:t>
      </w:r>
      <w:proofErr w:type="spellEnd"/>
      <w:r w:rsidRPr="00CC19F7">
        <w:t xml:space="preserve"> av kraftsystemet, mellom anna gjennom nye </w:t>
      </w:r>
      <w:proofErr w:type="spellStart"/>
      <w:r w:rsidRPr="00CC19F7">
        <w:t>oppgåver</w:t>
      </w:r>
      <w:proofErr w:type="spellEnd"/>
      <w:r w:rsidRPr="00CC19F7">
        <w:t xml:space="preserve"> til NVE.</w:t>
      </w:r>
    </w:p>
    <w:p w14:paraId="14A5DF5E" w14:textId="77777777" w:rsidR="00FE02EF" w:rsidRPr="00CC19F7" w:rsidRDefault="00881E58" w:rsidP="00CC19F7">
      <w:r w:rsidRPr="00CC19F7">
        <w:t xml:space="preserve">Samtidig med godkjenninga av Snøkvit </w:t>
      </w:r>
      <w:proofErr w:type="spellStart"/>
      <w:r w:rsidRPr="00CC19F7">
        <w:t>Future</w:t>
      </w:r>
      <w:proofErr w:type="spellEnd"/>
      <w:r w:rsidRPr="00CC19F7">
        <w:t xml:space="preserve">-prosjektet lanserte regjeringa </w:t>
      </w:r>
      <w:proofErr w:type="spellStart"/>
      <w:r w:rsidRPr="00CC19F7">
        <w:t>ein</w:t>
      </w:r>
      <w:proofErr w:type="spellEnd"/>
      <w:r w:rsidRPr="00CC19F7">
        <w:t xml:space="preserve"> plan for </w:t>
      </w:r>
      <w:proofErr w:type="spellStart"/>
      <w:r w:rsidRPr="00CC19F7">
        <w:t>betydeleg</w:t>
      </w:r>
      <w:proofErr w:type="spellEnd"/>
      <w:r w:rsidRPr="00CC19F7">
        <w:t xml:space="preserve"> utbygging av kraftproduksjon og nett i Finnmark. Den fornybare kraftproduksjonen i Finnmark skal </w:t>
      </w:r>
      <w:proofErr w:type="spellStart"/>
      <w:r w:rsidRPr="00CC19F7">
        <w:t>innan</w:t>
      </w:r>
      <w:proofErr w:type="spellEnd"/>
      <w:r w:rsidRPr="00CC19F7">
        <w:t xml:space="preserve"> 2030 </w:t>
      </w:r>
      <w:proofErr w:type="spellStart"/>
      <w:r w:rsidRPr="00CC19F7">
        <w:t>auke</w:t>
      </w:r>
      <w:proofErr w:type="spellEnd"/>
      <w:r w:rsidRPr="00CC19F7">
        <w:t xml:space="preserve"> minst like mye som den </w:t>
      </w:r>
      <w:proofErr w:type="spellStart"/>
      <w:r w:rsidRPr="00CC19F7">
        <w:t>planlagde</w:t>
      </w:r>
      <w:proofErr w:type="spellEnd"/>
      <w:r w:rsidRPr="00CC19F7">
        <w:t xml:space="preserve"> </w:t>
      </w:r>
      <w:proofErr w:type="spellStart"/>
      <w:r w:rsidRPr="00CC19F7">
        <w:t>forbruksauken</w:t>
      </w:r>
      <w:proofErr w:type="spellEnd"/>
      <w:r w:rsidRPr="00CC19F7">
        <w:t xml:space="preserve"> ved Hammerfest LNG, </w:t>
      </w:r>
      <w:proofErr w:type="spellStart"/>
      <w:r w:rsidRPr="00CC19F7">
        <w:t>føresett</w:t>
      </w:r>
      <w:proofErr w:type="spellEnd"/>
      <w:r w:rsidRPr="00CC19F7">
        <w:t xml:space="preserve"> konsesjon.</w:t>
      </w:r>
    </w:p>
    <w:p w14:paraId="3A76C761" w14:textId="77777777" w:rsidR="00FE02EF" w:rsidRPr="00CC19F7" w:rsidRDefault="00881E58" w:rsidP="00CC19F7">
      <w:r w:rsidRPr="00CC19F7">
        <w:t xml:space="preserve">Ved utbygging av straumnett og ny kraftproduksjon er regjeringa opptatt av å vareta interessene til reindrifta og legge til rette for å sikre driftsgrunnlaget for reindrifta også framover. Prosjekt for nett og kraft skal </w:t>
      </w:r>
      <w:proofErr w:type="spellStart"/>
      <w:r w:rsidRPr="00CC19F7">
        <w:t>ikkje</w:t>
      </w:r>
      <w:proofErr w:type="spellEnd"/>
      <w:r w:rsidRPr="00CC19F7">
        <w:t xml:space="preserve"> gå på bekostning av </w:t>
      </w:r>
      <w:proofErr w:type="spellStart"/>
      <w:r w:rsidRPr="00CC19F7">
        <w:t>rettigheitane</w:t>
      </w:r>
      <w:proofErr w:type="spellEnd"/>
      <w:r w:rsidRPr="00CC19F7">
        <w:t xml:space="preserve"> til reindrifta etter artikkel 27 i konvensjonen om sivile og politiske </w:t>
      </w:r>
      <w:proofErr w:type="spellStart"/>
      <w:r w:rsidRPr="00CC19F7">
        <w:t>rettigheitar</w:t>
      </w:r>
      <w:proofErr w:type="spellEnd"/>
      <w:r w:rsidRPr="00CC19F7">
        <w:t xml:space="preserve">. Dette er </w:t>
      </w:r>
      <w:proofErr w:type="spellStart"/>
      <w:r w:rsidRPr="00CC19F7">
        <w:t>eit</w:t>
      </w:r>
      <w:proofErr w:type="spellEnd"/>
      <w:r w:rsidRPr="00CC19F7">
        <w:t xml:space="preserve"> heilt sentralt spørsmål i konsesjonsbehandlinga i område med reindrift.</w:t>
      </w:r>
    </w:p>
    <w:p w14:paraId="79CBB0D9" w14:textId="77777777" w:rsidR="00FE02EF" w:rsidRPr="00CC19F7" w:rsidRDefault="00881E58" w:rsidP="00CC19F7">
      <w:proofErr w:type="spellStart"/>
      <w:r w:rsidRPr="00CC19F7">
        <w:t>Eit</w:t>
      </w:r>
      <w:proofErr w:type="spellEnd"/>
      <w:r w:rsidRPr="00CC19F7">
        <w:t xml:space="preserve"> klimatilpassa samfunn er i stand til å avgrense eller unngå </w:t>
      </w:r>
      <w:proofErr w:type="spellStart"/>
      <w:r w:rsidRPr="00CC19F7">
        <w:t>skadar</w:t>
      </w:r>
      <w:proofErr w:type="spellEnd"/>
      <w:r w:rsidRPr="00CC19F7">
        <w:t xml:space="preserve"> som følge av endra klima. </w:t>
      </w:r>
      <w:proofErr w:type="spellStart"/>
      <w:r w:rsidRPr="00CC19F7">
        <w:t>Flaum</w:t>
      </w:r>
      <w:proofErr w:type="spellEnd"/>
      <w:r w:rsidRPr="00CC19F7">
        <w:t xml:space="preserve"> og skred kan medføre fare for liv og helse og skade på </w:t>
      </w:r>
      <w:proofErr w:type="spellStart"/>
      <w:r w:rsidRPr="00CC19F7">
        <w:t>eigedom</w:t>
      </w:r>
      <w:proofErr w:type="spellEnd"/>
      <w:r w:rsidRPr="00CC19F7">
        <w:t xml:space="preserve">, infrastruktur og miljø. Det er viktig at folk opplever </w:t>
      </w:r>
      <w:proofErr w:type="spellStart"/>
      <w:r w:rsidRPr="00CC19F7">
        <w:t>sikkerheit</w:t>
      </w:r>
      <w:proofErr w:type="spellEnd"/>
      <w:r w:rsidRPr="00CC19F7">
        <w:t xml:space="preserve"> for liv og </w:t>
      </w:r>
      <w:proofErr w:type="spellStart"/>
      <w:r w:rsidRPr="00CC19F7">
        <w:t>eigedom</w:t>
      </w:r>
      <w:proofErr w:type="spellEnd"/>
      <w:r w:rsidRPr="00CC19F7">
        <w:t xml:space="preserve">. Samtidig vil det </w:t>
      </w:r>
      <w:proofErr w:type="spellStart"/>
      <w:r w:rsidRPr="00CC19F7">
        <w:t>ikkje</w:t>
      </w:r>
      <w:proofErr w:type="spellEnd"/>
      <w:r w:rsidRPr="00CC19F7">
        <w:t xml:space="preserve"> </w:t>
      </w:r>
      <w:proofErr w:type="spellStart"/>
      <w:r w:rsidRPr="00CC19F7">
        <w:t>vere</w:t>
      </w:r>
      <w:proofErr w:type="spellEnd"/>
      <w:r w:rsidRPr="00CC19F7">
        <w:t xml:space="preserve"> </w:t>
      </w:r>
      <w:proofErr w:type="spellStart"/>
      <w:r w:rsidRPr="00CC19F7">
        <w:t>mogleg</w:t>
      </w:r>
      <w:proofErr w:type="spellEnd"/>
      <w:r w:rsidRPr="00CC19F7">
        <w:t xml:space="preserve"> å sikre seg fullt ut, og vi må leve med at </w:t>
      </w:r>
      <w:proofErr w:type="spellStart"/>
      <w:r w:rsidRPr="00CC19F7">
        <w:t>flaum</w:t>
      </w:r>
      <w:proofErr w:type="spellEnd"/>
      <w:r w:rsidRPr="00CC19F7">
        <w:t xml:space="preserve"> og skred kan føre til </w:t>
      </w:r>
      <w:proofErr w:type="spellStart"/>
      <w:r w:rsidRPr="00CC19F7">
        <w:t>skadar</w:t>
      </w:r>
      <w:proofErr w:type="spellEnd"/>
      <w:r w:rsidRPr="00CC19F7">
        <w:t xml:space="preserve">. NVE skal prioritere å bistå </w:t>
      </w:r>
      <w:proofErr w:type="spellStart"/>
      <w:r w:rsidRPr="00CC19F7">
        <w:t>kommunane</w:t>
      </w:r>
      <w:proofErr w:type="spellEnd"/>
      <w:r w:rsidRPr="00CC19F7">
        <w:t xml:space="preserve"> etter samfunnsøkonomiske kriterium, slik at samfunnet får mest </w:t>
      </w:r>
      <w:proofErr w:type="spellStart"/>
      <w:r w:rsidRPr="00CC19F7">
        <w:t>mogleg</w:t>
      </w:r>
      <w:proofErr w:type="spellEnd"/>
      <w:r w:rsidRPr="00CC19F7">
        <w:t xml:space="preserve"> igjen i form av redusert risiko for </w:t>
      </w:r>
      <w:proofErr w:type="spellStart"/>
      <w:r w:rsidRPr="00CC19F7">
        <w:t>flaum</w:t>
      </w:r>
      <w:proofErr w:type="spellEnd"/>
      <w:r w:rsidRPr="00CC19F7">
        <w:t xml:space="preserve">- og </w:t>
      </w:r>
      <w:proofErr w:type="spellStart"/>
      <w:r w:rsidRPr="00CC19F7">
        <w:t>skredskadar</w:t>
      </w:r>
      <w:proofErr w:type="spellEnd"/>
      <w:r w:rsidRPr="00CC19F7">
        <w:t>.</w:t>
      </w:r>
    </w:p>
    <w:p w14:paraId="164C6228" w14:textId="77777777" w:rsidR="00FE02EF" w:rsidRPr="00CC19F7" w:rsidRDefault="00881E58" w:rsidP="00CC19F7">
      <w:proofErr w:type="spellStart"/>
      <w:r w:rsidRPr="00CC19F7">
        <w:t>Gjerdrumutvalet</w:t>
      </w:r>
      <w:proofErr w:type="spellEnd"/>
      <w:r w:rsidRPr="00CC19F7">
        <w:t xml:space="preserve"> la i mars 2022 fram NOU 2022: 3 </w:t>
      </w:r>
      <w:r w:rsidRPr="00CC19F7">
        <w:rPr>
          <w:rStyle w:val="kursiv"/>
        </w:rPr>
        <w:t>På trygg grunn – Bedre håndtering av kvikkleirerisiko</w:t>
      </w:r>
      <w:r w:rsidRPr="00CC19F7">
        <w:t xml:space="preserve">, med </w:t>
      </w:r>
      <w:proofErr w:type="spellStart"/>
      <w:r w:rsidRPr="00CC19F7">
        <w:t>vurderingar</w:t>
      </w:r>
      <w:proofErr w:type="spellEnd"/>
      <w:r w:rsidRPr="00CC19F7">
        <w:t xml:space="preserve"> og </w:t>
      </w:r>
      <w:proofErr w:type="spellStart"/>
      <w:r w:rsidRPr="00CC19F7">
        <w:t>anbefalingar</w:t>
      </w:r>
      <w:proofErr w:type="spellEnd"/>
      <w:r w:rsidRPr="00CC19F7">
        <w:t xml:space="preserve"> om tiltak som kan bidra til å </w:t>
      </w:r>
      <w:proofErr w:type="spellStart"/>
      <w:r w:rsidRPr="00CC19F7">
        <w:t>førebygge</w:t>
      </w:r>
      <w:proofErr w:type="spellEnd"/>
      <w:r w:rsidRPr="00CC19F7">
        <w:t xml:space="preserve"> skredulykker. Utgreiinga blei send på ei brei </w:t>
      </w:r>
      <w:proofErr w:type="spellStart"/>
      <w:r w:rsidRPr="00CC19F7">
        <w:t>høyring</w:t>
      </w:r>
      <w:proofErr w:type="spellEnd"/>
      <w:r w:rsidRPr="00CC19F7">
        <w:t xml:space="preserve">. Regjeringa vil gjennomgå heile </w:t>
      </w:r>
      <w:proofErr w:type="spellStart"/>
      <w:r w:rsidRPr="00CC19F7">
        <w:t>flaum</w:t>
      </w:r>
      <w:proofErr w:type="spellEnd"/>
      <w:r w:rsidRPr="00CC19F7">
        <w:t xml:space="preserve">- og skredpolitikken i samband med ei stortingsmelding som er varsla i 2024. I august 2023 førte </w:t>
      </w:r>
      <w:proofErr w:type="spellStart"/>
      <w:r w:rsidRPr="00CC19F7">
        <w:t>ekstremvêret</w:t>
      </w:r>
      <w:proofErr w:type="spellEnd"/>
      <w:r w:rsidRPr="00CC19F7">
        <w:t xml:space="preserve"> «Hans» til store </w:t>
      </w:r>
      <w:proofErr w:type="spellStart"/>
      <w:r w:rsidRPr="00CC19F7">
        <w:t>øydeleggingar</w:t>
      </w:r>
      <w:proofErr w:type="spellEnd"/>
      <w:r w:rsidRPr="00CC19F7">
        <w:t xml:space="preserve"> på Austlandet. </w:t>
      </w:r>
      <w:proofErr w:type="spellStart"/>
      <w:r w:rsidRPr="00CC19F7">
        <w:t>Erfaringar</w:t>
      </w:r>
      <w:proofErr w:type="spellEnd"/>
      <w:r w:rsidRPr="00CC19F7">
        <w:t xml:space="preserve"> </w:t>
      </w:r>
      <w:proofErr w:type="spellStart"/>
      <w:r w:rsidRPr="00CC19F7">
        <w:t>frå</w:t>
      </w:r>
      <w:proofErr w:type="spellEnd"/>
      <w:r w:rsidRPr="00CC19F7">
        <w:t xml:space="preserve"> denne situasjonen vil også </w:t>
      </w:r>
      <w:proofErr w:type="spellStart"/>
      <w:r w:rsidRPr="00CC19F7">
        <w:t>vere</w:t>
      </w:r>
      <w:proofErr w:type="spellEnd"/>
      <w:r w:rsidRPr="00CC19F7">
        <w:t xml:space="preserve"> viktige i arbeidet med stortingsmeldinga om </w:t>
      </w:r>
      <w:proofErr w:type="spellStart"/>
      <w:r w:rsidRPr="00CC19F7">
        <w:t>flaum</w:t>
      </w:r>
      <w:proofErr w:type="spellEnd"/>
      <w:r w:rsidRPr="00CC19F7">
        <w:t xml:space="preserve"> og skred.</w:t>
      </w:r>
    </w:p>
    <w:p w14:paraId="0B5E4C9C" w14:textId="77777777" w:rsidR="00FE02EF" w:rsidRPr="00CC19F7" w:rsidRDefault="00881E58" w:rsidP="00CC19F7">
      <w:pPr>
        <w:pStyle w:val="tittel-ramme"/>
      </w:pPr>
      <w:r w:rsidRPr="00CC19F7">
        <w:t xml:space="preserve">Forslag til </w:t>
      </w:r>
      <w:proofErr w:type="spellStart"/>
      <w:r w:rsidRPr="00CC19F7">
        <w:t>løyvingar</w:t>
      </w:r>
      <w:proofErr w:type="spellEnd"/>
      <w:r w:rsidRPr="00CC19F7">
        <w:t xml:space="preserve"> til forvaltning av energi og </w:t>
      </w:r>
      <w:proofErr w:type="spellStart"/>
      <w:r w:rsidRPr="00CC19F7">
        <w:t>vassressursane</w:t>
      </w:r>
      <w:proofErr w:type="spellEnd"/>
    </w:p>
    <w:p w14:paraId="3BADB95D" w14:textId="77777777" w:rsidR="00FE02EF" w:rsidRPr="00CC19F7" w:rsidRDefault="00881E58" w:rsidP="00CC19F7">
      <w:r w:rsidRPr="00CC19F7">
        <w:t xml:space="preserve">Det blir foreslått å styrke </w:t>
      </w:r>
      <w:proofErr w:type="spellStart"/>
      <w:r w:rsidRPr="00CC19F7">
        <w:t>energimyndigheitene</w:t>
      </w:r>
      <w:proofErr w:type="spellEnd"/>
      <w:r w:rsidRPr="00CC19F7">
        <w:t xml:space="preserve"> gjennom å </w:t>
      </w:r>
      <w:proofErr w:type="spellStart"/>
      <w:r w:rsidRPr="00CC19F7">
        <w:t>auke</w:t>
      </w:r>
      <w:proofErr w:type="spellEnd"/>
      <w:r w:rsidRPr="00CC19F7">
        <w:t xml:space="preserve"> </w:t>
      </w:r>
      <w:proofErr w:type="spellStart"/>
      <w:r w:rsidRPr="00CC19F7">
        <w:t>løyvingane</w:t>
      </w:r>
      <w:proofErr w:type="spellEnd"/>
      <w:r w:rsidRPr="00CC19F7">
        <w:t xml:space="preserve"> til drift av OED, NVE og RME med om lag 95 mill. kroner for å </w:t>
      </w:r>
      <w:proofErr w:type="spellStart"/>
      <w:r w:rsidRPr="00CC19F7">
        <w:t>auke</w:t>
      </w:r>
      <w:proofErr w:type="spellEnd"/>
      <w:r w:rsidRPr="00CC19F7">
        <w:t xml:space="preserve"> saksbehandlings- og analysekapasiteten til forvaltninga av energi og </w:t>
      </w:r>
      <w:proofErr w:type="spellStart"/>
      <w:r w:rsidRPr="00CC19F7">
        <w:t>vassressursane</w:t>
      </w:r>
      <w:proofErr w:type="spellEnd"/>
      <w:r w:rsidRPr="00CC19F7">
        <w:t xml:space="preserve"> (</w:t>
      </w:r>
      <w:proofErr w:type="spellStart"/>
      <w:r w:rsidRPr="00CC19F7">
        <w:t>utanom</w:t>
      </w:r>
      <w:proofErr w:type="spellEnd"/>
      <w:r w:rsidRPr="00CC19F7">
        <w:t xml:space="preserve"> arbeid med havvind som blir styrkt med 45 mill. kroner, jf. boks 1.7):</w:t>
      </w:r>
    </w:p>
    <w:p w14:paraId="12AD0393" w14:textId="77777777" w:rsidR="00FE02EF" w:rsidRPr="00CC19F7" w:rsidRDefault="00881E58" w:rsidP="00CC19F7">
      <w:pPr>
        <w:pStyle w:val="Liste"/>
      </w:pPr>
      <w:r w:rsidRPr="00CC19F7">
        <w:t xml:space="preserve">30 mill. kroner til å </w:t>
      </w:r>
      <w:proofErr w:type="spellStart"/>
      <w:r w:rsidRPr="00CC19F7">
        <w:t>auke</w:t>
      </w:r>
      <w:proofErr w:type="spellEnd"/>
      <w:r w:rsidRPr="00CC19F7">
        <w:t xml:space="preserve"> saksbehandlingskapasiteten og digitalisering for å bidra til </w:t>
      </w:r>
      <w:proofErr w:type="spellStart"/>
      <w:r w:rsidRPr="00CC19F7">
        <w:t>raskare</w:t>
      </w:r>
      <w:proofErr w:type="spellEnd"/>
      <w:r w:rsidRPr="00CC19F7">
        <w:t xml:space="preserve"> konsesjonsbehandling av nett og produksjon av kraft</w:t>
      </w:r>
    </w:p>
    <w:p w14:paraId="126EC944" w14:textId="77777777" w:rsidR="00FE02EF" w:rsidRPr="00CC19F7" w:rsidRDefault="00881E58" w:rsidP="00CC19F7">
      <w:pPr>
        <w:pStyle w:val="Liste"/>
      </w:pPr>
      <w:r w:rsidRPr="00CC19F7">
        <w:t>25 mill. kroner til detaljplanbehandling, tilsyn og oppfølging av energianlegg i bygge- og driftsfasen etter at konsesjon er gitt</w:t>
      </w:r>
    </w:p>
    <w:p w14:paraId="3F2BE548" w14:textId="77777777" w:rsidR="00FE02EF" w:rsidRPr="00CC19F7" w:rsidRDefault="00881E58" w:rsidP="00CC19F7">
      <w:pPr>
        <w:pStyle w:val="Liste"/>
      </w:pPr>
      <w:r w:rsidRPr="00CC19F7">
        <w:t xml:space="preserve">25 mill. kroner til utvikling av nye </w:t>
      </w:r>
      <w:proofErr w:type="spellStart"/>
      <w:r w:rsidRPr="00CC19F7">
        <w:t>kraftmarknadsmodellar</w:t>
      </w:r>
      <w:proofErr w:type="spellEnd"/>
      <w:r w:rsidRPr="00CC19F7">
        <w:t xml:space="preserve"> og til å </w:t>
      </w:r>
      <w:proofErr w:type="spellStart"/>
      <w:r w:rsidRPr="00CC19F7">
        <w:t>auke</w:t>
      </w:r>
      <w:proofErr w:type="spellEnd"/>
      <w:r w:rsidRPr="00CC19F7">
        <w:t xml:space="preserve"> analysekapasiteten </w:t>
      </w:r>
      <w:proofErr w:type="spellStart"/>
      <w:r w:rsidRPr="00CC19F7">
        <w:t>innanfor</w:t>
      </w:r>
      <w:proofErr w:type="spellEnd"/>
      <w:r w:rsidRPr="00CC19F7">
        <w:t xml:space="preserve"> kraftsystem, </w:t>
      </w:r>
      <w:proofErr w:type="spellStart"/>
      <w:r w:rsidRPr="00CC19F7">
        <w:t>nettilknyting</w:t>
      </w:r>
      <w:proofErr w:type="spellEnd"/>
      <w:r w:rsidRPr="00CC19F7">
        <w:t xml:space="preserve"> og </w:t>
      </w:r>
      <w:proofErr w:type="spellStart"/>
      <w:r w:rsidRPr="00CC19F7">
        <w:t>kraftmarknad</w:t>
      </w:r>
      <w:proofErr w:type="spellEnd"/>
    </w:p>
    <w:p w14:paraId="1207E21C" w14:textId="77777777" w:rsidR="00FE02EF" w:rsidRPr="00CC19F7" w:rsidRDefault="00881E58" w:rsidP="00CC19F7">
      <w:pPr>
        <w:pStyle w:val="Liste"/>
      </w:pPr>
      <w:r w:rsidRPr="00CC19F7">
        <w:t xml:space="preserve">15 mill. kroner til oppfølging av styringsmekanismen for </w:t>
      </w:r>
      <w:proofErr w:type="spellStart"/>
      <w:r w:rsidRPr="00CC19F7">
        <w:t>forsyningssikkerheit</w:t>
      </w:r>
      <w:proofErr w:type="spellEnd"/>
      <w:r w:rsidRPr="00CC19F7">
        <w:t xml:space="preserve"> for kraft, </w:t>
      </w:r>
      <w:proofErr w:type="spellStart"/>
      <w:r w:rsidRPr="00CC19F7">
        <w:t>auka</w:t>
      </w:r>
      <w:proofErr w:type="spellEnd"/>
      <w:r w:rsidRPr="00CC19F7">
        <w:t xml:space="preserve"> saksbehandlingskapasitet i departementet og RME</w:t>
      </w:r>
    </w:p>
    <w:p w14:paraId="537A15AD" w14:textId="77777777" w:rsidR="00FE02EF" w:rsidRPr="00CC19F7" w:rsidRDefault="00881E58" w:rsidP="00CC19F7">
      <w:r w:rsidRPr="00CC19F7">
        <w:t xml:space="preserve">Til </w:t>
      </w:r>
      <w:proofErr w:type="spellStart"/>
      <w:r w:rsidRPr="00CC19F7">
        <w:t>saman</w:t>
      </w:r>
      <w:proofErr w:type="spellEnd"/>
      <w:r w:rsidRPr="00CC19F7">
        <w:t xml:space="preserve"> blir det foreslått 60 mill. kroner til </w:t>
      </w:r>
      <w:proofErr w:type="spellStart"/>
      <w:r w:rsidRPr="00CC19F7">
        <w:t>forbetring</w:t>
      </w:r>
      <w:proofErr w:type="spellEnd"/>
      <w:r w:rsidRPr="00CC19F7">
        <w:t xml:space="preserve"> av analyseverktøy og </w:t>
      </w:r>
      <w:proofErr w:type="spellStart"/>
      <w:r w:rsidRPr="00CC19F7">
        <w:t>vidareutvikling</w:t>
      </w:r>
      <w:proofErr w:type="spellEnd"/>
      <w:r w:rsidRPr="00CC19F7">
        <w:t xml:space="preserve"> av </w:t>
      </w:r>
      <w:proofErr w:type="spellStart"/>
      <w:r w:rsidRPr="00CC19F7">
        <w:t>kraftmarknadsmodellar</w:t>
      </w:r>
      <w:proofErr w:type="spellEnd"/>
      <w:r w:rsidRPr="00CC19F7">
        <w:t xml:space="preserve"> og digitalisering av </w:t>
      </w:r>
      <w:proofErr w:type="spellStart"/>
      <w:r w:rsidRPr="00CC19F7">
        <w:t>arbeidsprosessar</w:t>
      </w:r>
      <w:proofErr w:type="spellEnd"/>
      <w:r w:rsidRPr="00CC19F7">
        <w:t xml:space="preserve"> mv. i NVE, under dette:</w:t>
      </w:r>
    </w:p>
    <w:p w14:paraId="0D9E6EF5" w14:textId="77777777" w:rsidR="00FE02EF" w:rsidRPr="00CC19F7" w:rsidRDefault="00881E58" w:rsidP="00CC19F7">
      <w:pPr>
        <w:pStyle w:val="Liste"/>
      </w:pPr>
      <w:r w:rsidRPr="00CC19F7">
        <w:t xml:space="preserve">40 mill. kroner til direktoratets digitaliseringsprogram, som </w:t>
      </w:r>
      <w:proofErr w:type="spellStart"/>
      <w:r w:rsidRPr="00CC19F7">
        <w:t>omfattar</w:t>
      </w:r>
      <w:proofErr w:type="spellEnd"/>
      <w:r w:rsidRPr="00CC19F7">
        <w:t xml:space="preserve"> oppgradering og </w:t>
      </w:r>
      <w:proofErr w:type="spellStart"/>
      <w:r w:rsidRPr="00CC19F7">
        <w:t>vidareutvikling</w:t>
      </w:r>
      <w:proofErr w:type="spellEnd"/>
      <w:r w:rsidRPr="00CC19F7">
        <w:t xml:space="preserve"> av IKT-systema, slik som </w:t>
      </w:r>
      <w:proofErr w:type="spellStart"/>
      <w:r w:rsidRPr="00CC19F7">
        <w:t>forbetringar</w:t>
      </w:r>
      <w:proofErr w:type="spellEnd"/>
      <w:r w:rsidRPr="00CC19F7">
        <w:t xml:space="preserve"> og </w:t>
      </w:r>
      <w:proofErr w:type="spellStart"/>
      <w:r w:rsidRPr="00CC19F7">
        <w:t>vidareutvikling</w:t>
      </w:r>
      <w:proofErr w:type="spellEnd"/>
      <w:r w:rsidRPr="00CC19F7">
        <w:t xml:space="preserve"> av </w:t>
      </w:r>
      <w:proofErr w:type="spellStart"/>
      <w:r w:rsidRPr="00CC19F7">
        <w:t>arbeidsprosessar</w:t>
      </w:r>
      <w:proofErr w:type="spellEnd"/>
      <w:r w:rsidRPr="00CC19F7">
        <w:t xml:space="preserve"> og funksjonalitet</w:t>
      </w:r>
    </w:p>
    <w:p w14:paraId="12137011" w14:textId="77777777" w:rsidR="00FE02EF" w:rsidRPr="00CC19F7" w:rsidRDefault="00881E58" w:rsidP="00CC19F7">
      <w:pPr>
        <w:pStyle w:val="Liste"/>
      </w:pPr>
      <w:r w:rsidRPr="00CC19F7">
        <w:t xml:space="preserve">20 mill. kroner til </w:t>
      </w:r>
      <w:proofErr w:type="spellStart"/>
      <w:r w:rsidRPr="00CC19F7">
        <w:t>forbetring</w:t>
      </w:r>
      <w:proofErr w:type="spellEnd"/>
      <w:r w:rsidRPr="00CC19F7">
        <w:t xml:space="preserve"> av analyse og utvikling av </w:t>
      </w:r>
      <w:proofErr w:type="spellStart"/>
      <w:r w:rsidRPr="00CC19F7">
        <w:t>kraftmarknadsmodellar</w:t>
      </w:r>
      <w:proofErr w:type="spellEnd"/>
    </w:p>
    <w:p w14:paraId="0EBF0576" w14:textId="77777777" w:rsidR="00FE02EF" w:rsidRPr="00CC19F7" w:rsidRDefault="00881E58" w:rsidP="00CC19F7">
      <w:pPr>
        <w:pStyle w:val="Ramme-slutt"/>
      </w:pPr>
      <w:r w:rsidRPr="00CC19F7">
        <w:t>[Boks slutt]</w:t>
      </w:r>
    </w:p>
    <w:p w14:paraId="514125B5" w14:textId="77777777" w:rsidR="00FE02EF" w:rsidRPr="00CC19F7" w:rsidRDefault="00881E58" w:rsidP="00CC19F7">
      <w:pPr>
        <w:pStyle w:val="tittel-ramme"/>
      </w:pPr>
      <w:r w:rsidRPr="00CC19F7">
        <w:t xml:space="preserve">Forslag til </w:t>
      </w:r>
      <w:proofErr w:type="spellStart"/>
      <w:r w:rsidRPr="00CC19F7">
        <w:t>løyvingar</w:t>
      </w:r>
      <w:proofErr w:type="spellEnd"/>
      <w:r w:rsidRPr="00CC19F7">
        <w:t xml:space="preserve"> til stønads- og </w:t>
      </w:r>
      <w:proofErr w:type="spellStart"/>
      <w:r w:rsidRPr="00CC19F7">
        <w:t>overføringsordningar</w:t>
      </w:r>
      <w:proofErr w:type="spellEnd"/>
    </w:p>
    <w:p w14:paraId="4B50602D" w14:textId="77777777" w:rsidR="00FE02EF" w:rsidRPr="00CC19F7" w:rsidRDefault="00881E58" w:rsidP="00CC19F7">
      <w:r w:rsidRPr="00CC19F7">
        <w:t xml:space="preserve">Det blir foreslått 10 128,5 mill. kroner til stønads- og </w:t>
      </w:r>
      <w:proofErr w:type="spellStart"/>
      <w:r w:rsidRPr="00CC19F7">
        <w:t>overføringsordningar</w:t>
      </w:r>
      <w:proofErr w:type="spellEnd"/>
      <w:r w:rsidRPr="00CC19F7">
        <w:t>, under dette:</w:t>
      </w:r>
    </w:p>
    <w:p w14:paraId="65868CDD" w14:textId="77777777" w:rsidR="00FE02EF" w:rsidRPr="00CC19F7" w:rsidRDefault="00881E58" w:rsidP="00CC19F7">
      <w:pPr>
        <w:pStyle w:val="Liste"/>
      </w:pPr>
      <w:r w:rsidRPr="00CC19F7">
        <w:t xml:space="preserve">9 772,5 mill. kroner til å føre </w:t>
      </w:r>
      <w:proofErr w:type="spellStart"/>
      <w:r w:rsidRPr="00CC19F7">
        <w:t>vidare</w:t>
      </w:r>
      <w:proofErr w:type="spellEnd"/>
      <w:r w:rsidRPr="00CC19F7">
        <w:t xml:space="preserve"> </w:t>
      </w:r>
      <w:proofErr w:type="spellStart"/>
      <w:r w:rsidRPr="00CC19F7">
        <w:t>straumstønadsordningane</w:t>
      </w:r>
      <w:proofErr w:type="spellEnd"/>
      <w:r w:rsidRPr="00CC19F7">
        <w:t xml:space="preserve"> til </w:t>
      </w:r>
      <w:proofErr w:type="spellStart"/>
      <w:r w:rsidRPr="00CC19F7">
        <w:t>hushaldningskundar</w:t>
      </w:r>
      <w:proofErr w:type="spellEnd"/>
      <w:r w:rsidRPr="00CC19F7">
        <w:t xml:space="preserve">, burettslag og nærvarmeanlegg ut 2024. </w:t>
      </w:r>
      <w:proofErr w:type="spellStart"/>
      <w:r w:rsidRPr="00CC19F7">
        <w:t>Ordningane</w:t>
      </w:r>
      <w:proofErr w:type="spellEnd"/>
      <w:r w:rsidRPr="00CC19F7">
        <w:t xml:space="preserve"> </w:t>
      </w:r>
      <w:proofErr w:type="spellStart"/>
      <w:r w:rsidRPr="00CC19F7">
        <w:t>bidreg</w:t>
      </w:r>
      <w:proofErr w:type="spellEnd"/>
      <w:r w:rsidRPr="00CC19F7">
        <w:t xml:space="preserve"> til </w:t>
      </w:r>
      <w:proofErr w:type="spellStart"/>
      <w:r w:rsidRPr="00CC19F7">
        <w:t>ein</w:t>
      </w:r>
      <w:proofErr w:type="spellEnd"/>
      <w:r w:rsidRPr="00CC19F7">
        <w:t xml:space="preserve"> reduksjon av </w:t>
      </w:r>
      <w:proofErr w:type="spellStart"/>
      <w:r w:rsidRPr="00CC19F7">
        <w:t>dei</w:t>
      </w:r>
      <w:proofErr w:type="spellEnd"/>
      <w:r w:rsidRPr="00CC19F7">
        <w:t xml:space="preserve"> </w:t>
      </w:r>
      <w:proofErr w:type="spellStart"/>
      <w:r w:rsidRPr="00CC19F7">
        <w:t>månadlege</w:t>
      </w:r>
      <w:proofErr w:type="spellEnd"/>
      <w:r w:rsidRPr="00CC19F7">
        <w:t xml:space="preserve"> straumutgiftene for </w:t>
      </w:r>
      <w:proofErr w:type="spellStart"/>
      <w:r w:rsidRPr="00CC19F7">
        <w:t>hushaldningskundar</w:t>
      </w:r>
      <w:proofErr w:type="spellEnd"/>
      <w:r w:rsidRPr="00CC19F7">
        <w:t xml:space="preserve"> og burettslag. Straumstøtta på 90 prosent er endra </w:t>
      </w:r>
      <w:proofErr w:type="spellStart"/>
      <w:r w:rsidRPr="00CC19F7">
        <w:t>frå</w:t>
      </w:r>
      <w:proofErr w:type="spellEnd"/>
      <w:r w:rsidRPr="00CC19F7">
        <w:t xml:space="preserve"> å basere seg på </w:t>
      </w:r>
      <w:proofErr w:type="spellStart"/>
      <w:r w:rsidRPr="00CC19F7">
        <w:t>gjennomsnittleg</w:t>
      </w:r>
      <w:proofErr w:type="spellEnd"/>
      <w:r w:rsidRPr="00CC19F7">
        <w:t xml:space="preserve"> spotpris gjennom </w:t>
      </w:r>
      <w:proofErr w:type="spellStart"/>
      <w:r w:rsidRPr="00CC19F7">
        <w:t>månaden</w:t>
      </w:r>
      <w:proofErr w:type="spellEnd"/>
      <w:r w:rsidRPr="00CC19F7">
        <w:t xml:space="preserve"> til å basere seg på spotprisen time for time i det prisområdet </w:t>
      </w:r>
      <w:proofErr w:type="spellStart"/>
      <w:r w:rsidRPr="00CC19F7">
        <w:t>hushaldet</w:t>
      </w:r>
      <w:proofErr w:type="spellEnd"/>
      <w:r w:rsidRPr="00CC19F7">
        <w:t xml:space="preserve"> </w:t>
      </w:r>
      <w:proofErr w:type="spellStart"/>
      <w:r w:rsidRPr="00CC19F7">
        <w:t>tilhøyrer</w:t>
      </w:r>
      <w:proofErr w:type="spellEnd"/>
      <w:r w:rsidRPr="00CC19F7">
        <w:t xml:space="preserve">. Prisjustert terskelverdi for stønad blir foreslått sett til </w:t>
      </w:r>
      <w:proofErr w:type="spellStart"/>
      <w:r w:rsidRPr="00CC19F7">
        <w:t>ein</w:t>
      </w:r>
      <w:proofErr w:type="spellEnd"/>
      <w:r w:rsidRPr="00CC19F7">
        <w:t xml:space="preserve"> straumpris på 73 øre per kilowattime før avgifter </w:t>
      </w:r>
      <w:proofErr w:type="spellStart"/>
      <w:r w:rsidRPr="00CC19F7">
        <w:t>frå</w:t>
      </w:r>
      <w:proofErr w:type="spellEnd"/>
      <w:r w:rsidRPr="00CC19F7">
        <w:t xml:space="preserve"> 1. januar 2024.</w:t>
      </w:r>
    </w:p>
    <w:p w14:paraId="75D6F76A" w14:textId="77777777" w:rsidR="00FE02EF" w:rsidRPr="00CC19F7" w:rsidRDefault="00881E58" w:rsidP="00CC19F7">
      <w:pPr>
        <w:pStyle w:val="Liste"/>
      </w:pPr>
      <w:r w:rsidRPr="00CC19F7">
        <w:t xml:space="preserve">338 mill. kroner i tilbakeføring av inntekter </w:t>
      </w:r>
      <w:proofErr w:type="spellStart"/>
      <w:r w:rsidRPr="00CC19F7">
        <w:t>frå</w:t>
      </w:r>
      <w:proofErr w:type="spellEnd"/>
      <w:r w:rsidRPr="00CC19F7">
        <w:t xml:space="preserve"> produksjonsavgift på 2 øre/kWh </w:t>
      </w:r>
      <w:proofErr w:type="spellStart"/>
      <w:r w:rsidRPr="00CC19F7">
        <w:t>frå</w:t>
      </w:r>
      <w:proofErr w:type="spellEnd"/>
      <w:r w:rsidRPr="00CC19F7">
        <w:t xml:space="preserve"> landbasert vindkraft til </w:t>
      </w:r>
      <w:proofErr w:type="spellStart"/>
      <w:r w:rsidRPr="00CC19F7">
        <w:t>vertskommunane</w:t>
      </w:r>
      <w:proofErr w:type="spellEnd"/>
    </w:p>
    <w:p w14:paraId="52DE8462" w14:textId="77777777" w:rsidR="00FE02EF" w:rsidRPr="00CC19F7" w:rsidRDefault="00881E58" w:rsidP="00CC19F7">
      <w:pPr>
        <w:pStyle w:val="Liste"/>
      </w:pPr>
      <w:r w:rsidRPr="00CC19F7">
        <w:t xml:space="preserve">18 mill. kroner i støtte for å redusere </w:t>
      </w:r>
      <w:proofErr w:type="spellStart"/>
      <w:r w:rsidRPr="00CC19F7">
        <w:t>forskjellar</w:t>
      </w:r>
      <w:proofErr w:type="spellEnd"/>
      <w:r w:rsidRPr="00CC19F7">
        <w:t xml:space="preserve"> i </w:t>
      </w:r>
      <w:proofErr w:type="spellStart"/>
      <w:r w:rsidRPr="00CC19F7">
        <w:t>nettleiga</w:t>
      </w:r>
      <w:proofErr w:type="spellEnd"/>
      <w:r w:rsidRPr="00CC19F7">
        <w:t xml:space="preserve"> for </w:t>
      </w:r>
      <w:proofErr w:type="spellStart"/>
      <w:r w:rsidRPr="00CC19F7">
        <w:t>dei</w:t>
      </w:r>
      <w:proofErr w:type="spellEnd"/>
      <w:r w:rsidRPr="00CC19F7">
        <w:t xml:space="preserve"> med </w:t>
      </w:r>
      <w:proofErr w:type="spellStart"/>
      <w:r w:rsidRPr="00CC19F7">
        <w:t>høgast</w:t>
      </w:r>
      <w:proofErr w:type="spellEnd"/>
      <w:r w:rsidRPr="00CC19F7">
        <w:t xml:space="preserve"> overføringskostnad</w:t>
      </w:r>
    </w:p>
    <w:p w14:paraId="3D898C94" w14:textId="77777777" w:rsidR="00FE02EF" w:rsidRPr="00CC19F7" w:rsidRDefault="00881E58" w:rsidP="00CC19F7">
      <w:pPr>
        <w:pStyle w:val="Ramme-slutt"/>
      </w:pPr>
      <w:r w:rsidRPr="00CC19F7">
        <w:t>[Boks slutt]</w:t>
      </w:r>
    </w:p>
    <w:p w14:paraId="60E2CF99" w14:textId="77777777" w:rsidR="00FE02EF" w:rsidRPr="00CC19F7" w:rsidRDefault="00881E58" w:rsidP="00CC19F7">
      <w:pPr>
        <w:pStyle w:val="tittel-ramme"/>
      </w:pPr>
      <w:r w:rsidRPr="00CC19F7">
        <w:t xml:space="preserve">Forslag til </w:t>
      </w:r>
      <w:proofErr w:type="spellStart"/>
      <w:r w:rsidRPr="00CC19F7">
        <w:t>løyvingar</w:t>
      </w:r>
      <w:proofErr w:type="spellEnd"/>
      <w:r w:rsidRPr="00CC19F7">
        <w:t xml:space="preserve"> til </w:t>
      </w:r>
      <w:proofErr w:type="spellStart"/>
      <w:r w:rsidRPr="00CC19F7">
        <w:t>flaum</w:t>
      </w:r>
      <w:proofErr w:type="spellEnd"/>
      <w:r w:rsidRPr="00CC19F7">
        <w:t xml:space="preserve">- og </w:t>
      </w:r>
      <w:proofErr w:type="spellStart"/>
      <w:r w:rsidRPr="00CC19F7">
        <w:t>skredførebygging</w:t>
      </w:r>
      <w:proofErr w:type="spellEnd"/>
    </w:p>
    <w:p w14:paraId="78430582" w14:textId="77777777" w:rsidR="00FE02EF" w:rsidRPr="00CC19F7" w:rsidRDefault="00881E58" w:rsidP="00CC19F7">
      <w:r w:rsidRPr="00CC19F7">
        <w:t xml:space="preserve">Det blir foreslått å </w:t>
      </w:r>
      <w:proofErr w:type="spellStart"/>
      <w:r w:rsidRPr="00CC19F7">
        <w:t>auke</w:t>
      </w:r>
      <w:proofErr w:type="spellEnd"/>
      <w:r w:rsidRPr="00CC19F7">
        <w:t xml:space="preserve"> NVEs løyving til drift med 34,5 mill. kroner for å </w:t>
      </w:r>
      <w:proofErr w:type="spellStart"/>
      <w:r w:rsidRPr="00CC19F7">
        <w:t>auke</w:t>
      </w:r>
      <w:proofErr w:type="spellEnd"/>
      <w:r w:rsidRPr="00CC19F7">
        <w:t xml:space="preserve"> saksbehandlingskapasiteten og evna til å bistå </w:t>
      </w:r>
      <w:proofErr w:type="spellStart"/>
      <w:r w:rsidRPr="00CC19F7">
        <w:t>kommunane</w:t>
      </w:r>
      <w:proofErr w:type="spellEnd"/>
      <w:r w:rsidRPr="00CC19F7">
        <w:t xml:space="preserve"> når det gjeld </w:t>
      </w:r>
      <w:proofErr w:type="spellStart"/>
      <w:r w:rsidRPr="00CC19F7">
        <w:t>flaum</w:t>
      </w:r>
      <w:proofErr w:type="spellEnd"/>
      <w:r w:rsidRPr="00CC19F7">
        <w:t xml:space="preserve">- og </w:t>
      </w:r>
      <w:proofErr w:type="spellStart"/>
      <w:r w:rsidRPr="00CC19F7">
        <w:t>skredførebygging</w:t>
      </w:r>
      <w:proofErr w:type="spellEnd"/>
      <w:r w:rsidRPr="00CC19F7">
        <w:t>.</w:t>
      </w:r>
    </w:p>
    <w:p w14:paraId="3E373FC4" w14:textId="77777777" w:rsidR="00FE02EF" w:rsidRPr="00CC19F7" w:rsidRDefault="00881E58" w:rsidP="00CC19F7">
      <w:r w:rsidRPr="00CC19F7">
        <w:t xml:space="preserve">I tillegg blir det foreslått til </w:t>
      </w:r>
      <w:proofErr w:type="spellStart"/>
      <w:r w:rsidRPr="00CC19F7">
        <w:t>saman</w:t>
      </w:r>
      <w:proofErr w:type="spellEnd"/>
      <w:r w:rsidRPr="00CC19F7">
        <w:t xml:space="preserve"> 703 mill. kroner, under dette:</w:t>
      </w:r>
    </w:p>
    <w:p w14:paraId="68961FA3" w14:textId="77777777" w:rsidR="00FE02EF" w:rsidRPr="00CC19F7" w:rsidRDefault="00881E58" w:rsidP="00CC19F7">
      <w:pPr>
        <w:pStyle w:val="Liste"/>
      </w:pPr>
      <w:r w:rsidRPr="00CC19F7">
        <w:t xml:space="preserve">455 mill. kroner til gjennomføring av sikringstiltak og kartlegging av </w:t>
      </w:r>
      <w:proofErr w:type="spellStart"/>
      <w:r w:rsidRPr="00CC19F7">
        <w:t>flaum</w:t>
      </w:r>
      <w:proofErr w:type="spellEnd"/>
      <w:r w:rsidRPr="00CC19F7">
        <w:t xml:space="preserve">- og skredfare, under dette 35 mill. kroner til </w:t>
      </w:r>
      <w:proofErr w:type="spellStart"/>
      <w:r w:rsidRPr="00CC19F7">
        <w:t>vidareføring</w:t>
      </w:r>
      <w:proofErr w:type="spellEnd"/>
      <w:r w:rsidRPr="00CC19F7">
        <w:t xml:space="preserve"> av skredsikringstiltak i Vannledningsdalen over Svalbardbudsjettet</w:t>
      </w:r>
    </w:p>
    <w:p w14:paraId="62489D75" w14:textId="77777777" w:rsidR="00FE02EF" w:rsidRPr="00CC19F7" w:rsidRDefault="00881E58" w:rsidP="00CC19F7">
      <w:pPr>
        <w:pStyle w:val="Liste"/>
      </w:pPr>
      <w:r w:rsidRPr="00CC19F7">
        <w:t xml:space="preserve">200 mill. kroner til krise- og hastetiltak, under dette oppfølging av </w:t>
      </w:r>
      <w:proofErr w:type="spellStart"/>
      <w:r w:rsidRPr="00CC19F7">
        <w:t>ekstremvêret</w:t>
      </w:r>
      <w:proofErr w:type="spellEnd"/>
      <w:r w:rsidRPr="00CC19F7">
        <w:t xml:space="preserve"> «Hans»</w:t>
      </w:r>
    </w:p>
    <w:p w14:paraId="16CD8B44" w14:textId="77777777" w:rsidR="00FE02EF" w:rsidRPr="00CC19F7" w:rsidRDefault="00881E58" w:rsidP="00CC19F7">
      <w:pPr>
        <w:pStyle w:val="Liste"/>
      </w:pPr>
      <w:r w:rsidRPr="00CC19F7">
        <w:t xml:space="preserve">48 mill. kroner til drift og </w:t>
      </w:r>
      <w:proofErr w:type="spellStart"/>
      <w:r w:rsidRPr="00CC19F7">
        <w:t>investeringar</w:t>
      </w:r>
      <w:proofErr w:type="spellEnd"/>
      <w:r w:rsidRPr="00CC19F7">
        <w:t xml:space="preserve"> knytte til fjellskredovervaking av ustabile fjellparti og </w:t>
      </w:r>
      <w:proofErr w:type="spellStart"/>
      <w:r w:rsidRPr="00CC19F7">
        <w:t>investeringar</w:t>
      </w:r>
      <w:proofErr w:type="spellEnd"/>
      <w:r w:rsidRPr="00CC19F7">
        <w:t xml:space="preserve"> i </w:t>
      </w:r>
      <w:proofErr w:type="spellStart"/>
      <w:r w:rsidRPr="00CC19F7">
        <w:t>målestasjonar</w:t>
      </w:r>
      <w:proofErr w:type="spellEnd"/>
    </w:p>
    <w:p w14:paraId="6664698C" w14:textId="77777777" w:rsidR="00FE02EF" w:rsidRPr="00CC19F7" w:rsidRDefault="00881E58" w:rsidP="00CC19F7">
      <w:pPr>
        <w:pStyle w:val="Ramme-slutt"/>
      </w:pPr>
      <w:r w:rsidRPr="00CC19F7">
        <w:t>[Boks slutt]</w:t>
      </w:r>
    </w:p>
    <w:p w14:paraId="35320264" w14:textId="77777777" w:rsidR="00FE02EF" w:rsidRPr="00CC19F7" w:rsidRDefault="00881E58" w:rsidP="00CC19F7">
      <w:pPr>
        <w:pStyle w:val="tittel-ramme"/>
      </w:pPr>
      <w:r w:rsidRPr="00CC19F7">
        <w:t xml:space="preserve">Forslag til </w:t>
      </w:r>
      <w:proofErr w:type="spellStart"/>
      <w:r w:rsidRPr="00CC19F7">
        <w:t>løyvingar</w:t>
      </w:r>
      <w:proofErr w:type="spellEnd"/>
      <w:r w:rsidRPr="00CC19F7">
        <w:t xml:space="preserve"> til energieffektivisering og energiomlegging</w:t>
      </w:r>
    </w:p>
    <w:p w14:paraId="5A928AB2" w14:textId="77777777" w:rsidR="00FE02EF" w:rsidRPr="00CC19F7" w:rsidRDefault="00881E58" w:rsidP="00CC19F7">
      <w:r w:rsidRPr="00CC19F7">
        <w:t xml:space="preserve">Regjeringa vil styrke arbeidet med energieffektivisering framover og legg fram </w:t>
      </w:r>
      <w:proofErr w:type="spellStart"/>
      <w:r w:rsidRPr="00CC19F7">
        <w:t>ein</w:t>
      </w:r>
      <w:proofErr w:type="spellEnd"/>
      <w:r w:rsidRPr="00CC19F7">
        <w:t xml:space="preserve"> handlingsplan som </w:t>
      </w:r>
      <w:proofErr w:type="spellStart"/>
      <w:r w:rsidRPr="00CC19F7">
        <w:t>inneheld</w:t>
      </w:r>
      <w:proofErr w:type="spellEnd"/>
      <w:r w:rsidRPr="00CC19F7">
        <w:t xml:space="preserve"> </w:t>
      </w:r>
      <w:proofErr w:type="spellStart"/>
      <w:r w:rsidRPr="00CC19F7">
        <w:t>fleire</w:t>
      </w:r>
      <w:proofErr w:type="spellEnd"/>
      <w:r w:rsidRPr="00CC19F7">
        <w:t xml:space="preserve"> viktige tiltak for energieffektivisering i alle </w:t>
      </w:r>
      <w:proofErr w:type="spellStart"/>
      <w:r w:rsidRPr="00CC19F7">
        <w:t>delar</w:t>
      </w:r>
      <w:proofErr w:type="spellEnd"/>
      <w:r w:rsidRPr="00CC19F7">
        <w:t xml:space="preserve"> av norsk økonomi. Det blir foreslått 495 mill. kroner til oppfølging av regjeringas handlingsplan for </w:t>
      </w:r>
      <w:proofErr w:type="spellStart"/>
      <w:r w:rsidRPr="00CC19F7">
        <w:t>auka</w:t>
      </w:r>
      <w:proofErr w:type="spellEnd"/>
      <w:r w:rsidRPr="00CC19F7">
        <w:t xml:space="preserve"> energieffektivisering og tiltak for å redusere energibruken i bygg, under dette:</w:t>
      </w:r>
    </w:p>
    <w:p w14:paraId="42DFBCBC" w14:textId="77777777" w:rsidR="00FE02EF" w:rsidRPr="00CC19F7" w:rsidRDefault="00881E58" w:rsidP="00CC19F7">
      <w:pPr>
        <w:pStyle w:val="Liste"/>
      </w:pPr>
      <w:r w:rsidRPr="00CC19F7">
        <w:t xml:space="preserve">300 mill. kroner gjennom Husbanken i </w:t>
      </w:r>
      <w:proofErr w:type="spellStart"/>
      <w:r w:rsidRPr="00CC19F7">
        <w:t>tilskot</w:t>
      </w:r>
      <w:proofErr w:type="spellEnd"/>
      <w:r w:rsidRPr="00CC19F7">
        <w:t xml:space="preserve"> til energitiltak i kommunale bygg, som skal bidra til gjennomføring av energieffektiviseringstiltak og tiltak for å </w:t>
      </w:r>
      <w:proofErr w:type="spellStart"/>
      <w:r w:rsidRPr="00CC19F7">
        <w:t>auke</w:t>
      </w:r>
      <w:proofErr w:type="spellEnd"/>
      <w:r w:rsidRPr="00CC19F7">
        <w:t xml:space="preserve"> energifleksibiliteten i </w:t>
      </w:r>
      <w:proofErr w:type="spellStart"/>
      <w:r w:rsidRPr="00CC19F7">
        <w:t>utleigebustader</w:t>
      </w:r>
      <w:proofErr w:type="spellEnd"/>
      <w:r w:rsidRPr="00CC19F7">
        <w:t xml:space="preserve">, </w:t>
      </w:r>
      <w:proofErr w:type="spellStart"/>
      <w:r w:rsidRPr="00CC19F7">
        <w:t>omsorgsbustader</w:t>
      </w:r>
      <w:proofErr w:type="spellEnd"/>
      <w:r w:rsidRPr="00CC19F7">
        <w:t xml:space="preserve"> og </w:t>
      </w:r>
      <w:proofErr w:type="spellStart"/>
      <w:r w:rsidRPr="00CC19F7">
        <w:t>sjukeheimar</w:t>
      </w:r>
      <w:proofErr w:type="spellEnd"/>
    </w:p>
    <w:p w14:paraId="1C584B9F" w14:textId="77777777" w:rsidR="00FE02EF" w:rsidRPr="00CC19F7" w:rsidRDefault="00881E58" w:rsidP="00CC19F7">
      <w:pPr>
        <w:pStyle w:val="Liste"/>
      </w:pPr>
      <w:r w:rsidRPr="00CC19F7">
        <w:t xml:space="preserve">180 mill. kroner gjennom </w:t>
      </w:r>
      <w:proofErr w:type="spellStart"/>
      <w:r w:rsidRPr="00CC19F7">
        <w:t>Enova</w:t>
      </w:r>
      <w:proofErr w:type="spellEnd"/>
      <w:r w:rsidRPr="00CC19F7">
        <w:t xml:space="preserve"> til tiltak for </w:t>
      </w:r>
      <w:proofErr w:type="spellStart"/>
      <w:r w:rsidRPr="00CC19F7">
        <w:t>meir</w:t>
      </w:r>
      <w:proofErr w:type="spellEnd"/>
      <w:r w:rsidRPr="00CC19F7">
        <w:t xml:space="preserve"> effektiv energibruk og </w:t>
      </w:r>
      <w:proofErr w:type="spellStart"/>
      <w:r w:rsidRPr="00CC19F7">
        <w:t>eit</w:t>
      </w:r>
      <w:proofErr w:type="spellEnd"/>
      <w:r w:rsidRPr="00CC19F7">
        <w:t xml:space="preserve"> </w:t>
      </w:r>
      <w:proofErr w:type="spellStart"/>
      <w:r w:rsidRPr="00CC19F7">
        <w:t>meir</w:t>
      </w:r>
      <w:proofErr w:type="spellEnd"/>
      <w:r w:rsidRPr="00CC19F7">
        <w:t xml:space="preserve"> fleksibelt energisystem, som skal bidra til å styrke </w:t>
      </w:r>
      <w:proofErr w:type="spellStart"/>
      <w:r w:rsidRPr="00CC19F7">
        <w:t>Enovas</w:t>
      </w:r>
      <w:proofErr w:type="spellEnd"/>
      <w:r w:rsidRPr="00CC19F7">
        <w:t xml:space="preserve"> satsing på energieffektivitet mellom anna i bygg</w:t>
      </w:r>
    </w:p>
    <w:p w14:paraId="0259C5A4" w14:textId="77777777" w:rsidR="00FE02EF" w:rsidRPr="00CC19F7" w:rsidRDefault="00881E58" w:rsidP="00CC19F7">
      <w:pPr>
        <w:pStyle w:val="Liste"/>
      </w:pPr>
      <w:r w:rsidRPr="00CC19F7">
        <w:t xml:space="preserve">15 mill. kroner til NVE, Direktoratet for </w:t>
      </w:r>
      <w:proofErr w:type="spellStart"/>
      <w:r w:rsidRPr="00CC19F7">
        <w:t>byggkvalitet</w:t>
      </w:r>
      <w:proofErr w:type="spellEnd"/>
      <w:r w:rsidRPr="00CC19F7">
        <w:t xml:space="preserve"> og Husbanken for å følge opp tiltak i handlingsplanen for energieffektivisering</w:t>
      </w:r>
    </w:p>
    <w:p w14:paraId="48FFE4DE" w14:textId="77777777" w:rsidR="00FE02EF" w:rsidRPr="00CC19F7" w:rsidRDefault="00881E58" w:rsidP="00CC19F7">
      <w:pPr>
        <w:pStyle w:val="Ramme-slutt"/>
      </w:pPr>
      <w:r w:rsidRPr="00CC19F7">
        <w:t>[Boks slutt]</w:t>
      </w:r>
    </w:p>
    <w:p w14:paraId="1BFBECA6" w14:textId="77777777" w:rsidR="00FE02EF" w:rsidRPr="00CC19F7" w:rsidRDefault="00881E58" w:rsidP="00CC19F7">
      <w:pPr>
        <w:pStyle w:val="Overskrift2"/>
      </w:pPr>
      <w:r w:rsidRPr="00CC19F7">
        <w:t>Klima, industri og teknologi</w:t>
      </w:r>
    </w:p>
    <w:p w14:paraId="2AB2582D" w14:textId="77777777" w:rsidR="00FE02EF" w:rsidRPr="00CC19F7" w:rsidRDefault="00881E58" w:rsidP="00CC19F7">
      <w:proofErr w:type="spellStart"/>
      <w:r w:rsidRPr="00CC19F7">
        <w:t>Energinæringane</w:t>
      </w:r>
      <w:proofErr w:type="spellEnd"/>
      <w:r w:rsidRPr="00CC19F7">
        <w:t xml:space="preserve"> er og har i mange tiår </w:t>
      </w:r>
      <w:proofErr w:type="spellStart"/>
      <w:r w:rsidRPr="00CC19F7">
        <w:t>vore</w:t>
      </w:r>
      <w:proofErr w:type="spellEnd"/>
      <w:r w:rsidRPr="00CC19F7">
        <w:t xml:space="preserve"> </w:t>
      </w:r>
      <w:proofErr w:type="spellStart"/>
      <w:r w:rsidRPr="00CC19F7">
        <w:t>Noregs</w:t>
      </w:r>
      <w:proofErr w:type="spellEnd"/>
      <w:r w:rsidRPr="00CC19F7">
        <w:t xml:space="preserve"> største </w:t>
      </w:r>
      <w:proofErr w:type="spellStart"/>
      <w:r w:rsidRPr="00CC19F7">
        <w:t>næringar</w:t>
      </w:r>
      <w:proofErr w:type="spellEnd"/>
      <w:r w:rsidRPr="00CC19F7">
        <w:t xml:space="preserve">. I tillegg til å sørge for </w:t>
      </w:r>
      <w:proofErr w:type="spellStart"/>
      <w:r w:rsidRPr="00CC19F7">
        <w:t>forsyningssikkerheita</w:t>
      </w:r>
      <w:proofErr w:type="spellEnd"/>
      <w:r w:rsidRPr="00CC19F7">
        <w:t xml:space="preserve"> for energi har </w:t>
      </w:r>
      <w:proofErr w:type="spellStart"/>
      <w:r w:rsidRPr="00CC19F7">
        <w:t>næringane</w:t>
      </w:r>
      <w:proofErr w:type="spellEnd"/>
      <w:r w:rsidRPr="00CC19F7">
        <w:t xml:space="preserve"> </w:t>
      </w:r>
      <w:proofErr w:type="spellStart"/>
      <w:r w:rsidRPr="00CC19F7">
        <w:t>sidan</w:t>
      </w:r>
      <w:proofErr w:type="spellEnd"/>
      <w:r w:rsidRPr="00CC19F7">
        <w:t xml:space="preserve"> starten av </w:t>
      </w:r>
      <w:proofErr w:type="spellStart"/>
      <w:r w:rsidRPr="00CC19F7">
        <w:t>førre</w:t>
      </w:r>
      <w:proofErr w:type="spellEnd"/>
      <w:r w:rsidRPr="00CC19F7">
        <w:t xml:space="preserve"> hundreåret gitt store, positive ringverknader i form av sysselsetting, industribygging og vekst over heile landet.</w:t>
      </w:r>
    </w:p>
    <w:p w14:paraId="16ED6ED9" w14:textId="77777777" w:rsidR="00FE02EF" w:rsidRPr="00CC19F7" w:rsidRDefault="00881E58" w:rsidP="00CC19F7">
      <w:r w:rsidRPr="00CC19F7">
        <w:t xml:space="preserve">Regjeringa fører </w:t>
      </w:r>
      <w:proofErr w:type="spellStart"/>
      <w:r w:rsidRPr="00CC19F7">
        <w:t>ein</w:t>
      </w:r>
      <w:proofErr w:type="spellEnd"/>
      <w:r w:rsidRPr="00CC19F7">
        <w:t xml:space="preserve"> ambisiøs politikk for </w:t>
      </w:r>
      <w:proofErr w:type="spellStart"/>
      <w:r w:rsidRPr="00CC19F7">
        <w:t>utsleppsreduksjonar</w:t>
      </w:r>
      <w:proofErr w:type="spellEnd"/>
      <w:r w:rsidRPr="00CC19F7">
        <w:t xml:space="preserve">, </w:t>
      </w:r>
      <w:proofErr w:type="spellStart"/>
      <w:r w:rsidRPr="00CC19F7">
        <w:t>grøn</w:t>
      </w:r>
      <w:proofErr w:type="spellEnd"/>
      <w:r w:rsidRPr="00CC19F7">
        <w:t xml:space="preserve"> vekst og verdiskaping i heile landet. Det er sett ambisiøse klimamål for 2030 og 2050, og Europa står i ei energiomstilling. Overgangen til </w:t>
      </w:r>
      <w:proofErr w:type="spellStart"/>
      <w:r w:rsidRPr="00CC19F7">
        <w:t>eit</w:t>
      </w:r>
      <w:proofErr w:type="spellEnd"/>
      <w:r w:rsidRPr="00CC19F7">
        <w:t xml:space="preserve"> </w:t>
      </w:r>
      <w:proofErr w:type="spellStart"/>
      <w:r w:rsidRPr="00CC19F7">
        <w:t>lågutsleppssamfunn</w:t>
      </w:r>
      <w:proofErr w:type="spellEnd"/>
      <w:r w:rsidRPr="00CC19F7">
        <w:t xml:space="preserve"> krev forsking og teknologiutvikling, effektiv ressursbruk, tilgang på kapital og andre sentrale </w:t>
      </w:r>
      <w:proofErr w:type="spellStart"/>
      <w:r w:rsidRPr="00CC19F7">
        <w:t>innsatsfaktorar</w:t>
      </w:r>
      <w:proofErr w:type="spellEnd"/>
      <w:r w:rsidRPr="00CC19F7">
        <w:t xml:space="preserve">, og </w:t>
      </w:r>
      <w:proofErr w:type="spellStart"/>
      <w:r w:rsidRPr="00CC19F7">
        <w:t>føreseielege</w:t>
      </w:r>
      <w:proofErr w:type="spellEnd"/>
      <w:r w:rsidRPr="00CC19F7">
        <w:t xml:space="preserve"> rammevilkår. Regjeringa vil legge til rette for at </w:t>
      </w:r>
      <w:proofErr w:type="spellStart"/>
      <w:r w:rsidRPr="00CC19F7">
        <w:t>Noreg</w:t>
      </w:r>
      <w:proofErr w:type="spellEnd"/>
      <w:r w:rsidRPr="00CC19F7">
        <w:t xml:space="preserve"> skal bidra aktivt til og dra nytte av den globale energiomstillinga som er nødvendig for at verda og </w:t>
      </w:r>
      <w:proofErr w:type="spellStart"/>
      <w:r w:rsidRPr="00CC19F7">
        <w:t>Noreg</w:t>
      </w:r>
      <w:proofErr w:type="spellEnd"/>
      <w:r w:rsidRPr="00CC19F7">
        <w:t xml:space="preserve"> skal nå klimamåla.</w:t>
      </w:r>
    </w:p>
    <w:p w14:paraId="2DC22CA9" w14:textId="77777777" w:rsidR="00FE02EF" w:rsidRPr="00CC19F7" w:rsidRDefault="00881E58" w:rsidP="00CC19F7">
      <w:r w:rsidRPr="00CC19F7">
        <w:t xml:space="preserve">Regjeringa </w:t>
      </w:r>
      <w:proofErr w:type="spellStart"/>
      <w:r w:rsidRPr="00CC19F7">
        <w:t>legg</w:t>
      </w:r>
      <w:proofErr w:type="spellEnd"/>
      <w:r w:rsidRPr="00CC19F7">
        <w:t xml:space="preserve"> til rette for nye </w:t>
      </w:r>
      <w:proofErr w:type="spellStart"/>
      <w:r w:rsidRPr="00CC19F7">
        <w:t>næringar</w:t>
      </w:r>
      <w:proofErr w:type="spellEnd"/>
      <w:r w:rsidRPr="00CC19F7">
        <w:t xml:space="preserve"> som havvind, hydrogen og CO</w:t>
      </w:r>
      <w:r w:rsidRPr="00CC19F7">
        <w:rPr>
          <w:rStyle w:val="skrift-senket"/>
        </w:rPr>
        <w:t>2</w:t>
      </w:r>
      <w:r w:rsidRPr="00CC19F7">
        <w:t xml:space="preserve">-handtering som </w:t>
      </w:r>
      <w:proofErr w:type="spellStart"/>
      <w:r w:rsidRPr="00CC19F7">
        <w:t>ein</w:t>
      </w:r>
      <w:proofErr w:type="spellEnd"/>
      <w:r w:rsidRPr="00CC19F7">
        <w:t xml:space="preserve"> del av omstillinga av økonomien til </w:t>
      </w:r>
      <w:proofErr w:type="spellStart"/>
      <w:r w:rsidRPr="00CC19F7">
        <w:t>eit</w:t>
      </w:r>
      <w:proofErr w:type="spellEnd"/>
      <w:r w:rsidRPr="00CC19F7">
        <w:t xml:space="preserve"> </w:t>
      </w:r>
      <w:proofErr w:type="spellStart"/>
      <w:r w:rsidRPr="00CC19F7">
        <w:t>lågutsleppssamfunn</w:t>
      </w:r>
      <w:proofErr w:type="spellEnd"/>
      <w:r w:rsidRPr="00CC19F7">
        <w:t xml:space="preserve">. </w:t>
      </w:r>
      <w:proofErr w:type="spellStart"/>
      <w:r w:rsidRPr="00CC19F7">
        <w:t>Noreg</w:t>
      </w:r>
      <w:proofErr w:type="spellEnd"/>
      <w:r w:rsidRPr="00CC19F7">
        <w:t xml:space="preserve"> har industriell, teknologisk og </w:t>
      </w:r>
      <w:proofErr w:type="spellStart"/>
      <w:r w:rsidRPr="00CC19F7">
        <w:t>vitskapleg</w:t>
      </w:r>
      <w:proofErr w:type="spellEnd"/>
      <w:r w:rsidRPr="00CC19F7">
        <w:t xml:space="preserve"> kompetanse, store </w:t>
      </w:r>
      <w:proofErr w:type="spellStart"/>
      <w:r w:rsidRPr="00CC19F7">
        <w:t>fornybarressursar</w:t>
      </w:r>
      <w:proofErr w:type="spellEnd"/>
      <w:r w:rsidRPr="00CC19F7">
        <w:t xml:space="preserve"> og infrastruktur og erfaring </w:t>
      </w:r>
      <w:proofErr w:type="spellStart"/>
      <w:r w:rsidRPr="00CC19F7">
        <w:t>frå</w:t>
      </w:r>
      <w:proofErr w:type="spellEnd"/>
      <w:r w:rsidRPr="00CC19F7">
        <w:t xml:space="preserve"> produksjon og foredling av energi. Dette gir </w:t>
      </w:r>
      <w:proofErr w:type="spellStart"/>
      <w:r w:rsidRPr="00CC19F7">
        <w:t>Noreg</w:t>
      </w:r>
      <w:proofErr w:type="spellEnd"/>
      <w:r w:rsidRPr="00CC19F7">
        <w:t xml:space="preserve"> og norske </w:t>
      </w:r>
      <w:proofErr w:type="spellStart"/>
      <w:r w:rsidRPr="00CC19F7">
        <w:t>aktørar</w:t>
      </w:r>
      <w:proofErr w:type="spellEnd"/>
      <w:r w:rsidRPr="00CC19F7">
        <w:t xml:space="preserve"> </w:t>
      </w:r>
      <w:proofErr w:type="spellStart"/>
      <w:r w:rsidRPr="00CC19F7">
        <w:t>eit</w:t>
      </w:r>
      <w:proofErr w:type="spellEnd"/>
      <w:r w:rsidRPr="00CC19F7">
        <w:t xml:space="preserve"> godt utgangspunkt.</w:t>
      </w:r>
    </w:p>
    <w:p w14:paraId="0D382138" w14:textId="77777777" w:rsidR="00FE02EF" w:rsidRPr="00CC19F7" w:rsidRDefault="00881E58" w:rsidP="00CC19F7">
      <w:proofErr w:type="spellStart"/>
      <w:r w:rsidRPr="00CC19F7">
        <w:t>Eit</w:t>
      </w:r>
      <w:proofErr w:type="spellEnd"/>
      <w:r w:rsidRPr="00CC19F7">
        <w:t xml:space="preserve"> </w:t>
      </w:r>
      <w:proofErr w:type="spellStart"/>
      <w:r w:rsidRPr="00CC19F7">
        <w:t>velfungerande</w:t>
      </w:r>
      <w:proofErr w:type="spellEnd"/>
      <w:r w:rsidRPr="00CC19F7">
        <w:t xml:space="preserve"> og sikkert kraftsystem er </w:t>
      </w:r>
      <w:proofErr w:type="spellStart"/>
      <w:r w:rsidRPr="00CC19F7">
        <w:t>grunnleggande</w:t>
      </w:r>
      <w:proofErr w:type="spellEnd"/>
      <w:r w:rsidRPr="00CC19F7">
        <w:t xml:space="preserve"> for å møte den </w:t>
      </w:r>
      <w:proofErr w:type="spellStart"/>
      <w:r w:rsidRPr="00CC19F7">
        <w:t>aukande</w:t>
      </w:r>
      <w:proofErr w:type="spellEnd"/>
      <w:r w:rsidRPr="00CC19F7">
        <w:t xml:space="preserve"> overgangen </w:t>
      </w:r>
      <w:proofErr w:type="spellStart"/>
      <w:r w:rsidRPr="00CC19F7">
        <w:t>frå</w:t>
      </w:r>
      <w:proofErr w:type="spellEnd"/>
      <w:r w:rsidRPr="00CC19F7">
        <w:t xml:space="preserve"> fossil energi til elektrisitet og for å legge til rette for ny, </w:t>
      </w:r>
      <w:proofErr w:type="spellStart"/>
      <w:r w:rsidRPr="00CC19F7">
        <w:t>grøn</w:t>
      </w:r>
      <w:proofErr w:type="spellEnd"/>
      <w:r w:rsidRPr="00CC19F7">
        <w:t xml:space="preserve"> industri. </w:t>
      </w:r>
      <w:proofErr w:type="spellStart"/>
      <w:r w:rsidRPr="00CC19F7">
        <w:t>Ein</w:t>
      </w:r>
      <w:proofErr w:type="spellEnd"/>
      <w:r w:rsidRPr="00CC19F7">
        <w:t xml:space="preserve"> stor del av </w:t>
      </w:r>
      <w:proofErr w:type="spellStart"/>
      <w:r w:rsidRPr="00CC19F7">
        <w:t>dei</w:t>
      </w:r>
      <w:proofErr w:type="spellEnd"/>
      <w:r w:rsidRPr="00CC19F7">
        <w:t xml:space="preserve"> nye, </w:t>
      </w:r>
      <w:proofErr w:type="spellStart"/>
      <w:r w:rsidRPr="00CC19F7">
        <w:t>grøne</w:t>
      </w:r>
      <w:proofErr w:type="spellEnd"/>
      <w:r w:rsidRPr="00CC19F7">
        <w:t xml:space="preserve"> </w:t>
      </w:r>
      <w:proofErr w:type="spellStart"/>
      <w:r w:rsidRPr="00CC19F7">
        <w:t>industrinæringane</w:t>
      </w:r>
      <w:proofErr w:type="spellEnd"/>
      <w:r w:rsidRPr="00CC19F7">
        <w:t>, som batteriproduksjon, produksjon av hydrogen og CO</w:t>
      </w:r>
      <w:r w:rsidRPr="00CC19F7">
        <w:rPr>
          <w:rStyle w:val="skrift-senket"/>
        </w:rPr>
        <w:t>2</w:t>
      </w:r>
      <w:r w:rsidRPr="00CC19F7">
        <w:t xml:space="preserve">-handtering, krev </w:t>
      </w:r>
      <w:proofErr w:type="spellStart"/>
      <w:r w:rsidRPr="00CC19F7">
        <w:t>mykje</w:t>
      </w:r>
      <w:proofErr w:type="spellEnd"/>
      <w:r w:rsidRPr="00CC19F7">
        <w:t xml:space="preserve"> kraft. Samtidig er det å </w:t>
      </w:r>
      <w:proofErr w:type="spellStart"/>
      <w:r w:rsidRPr="00CC19F7">
        <w:t>auke</w:t>
      </w:r>
      <w:proofErr w:type="spellEnd"/>
      <w:r w:rsidRPr="00CC19F7">
        <w:t xml:space="preserve"> bruken av elektrisk kraft til </w:t>
      </w:r>
      <w:proofErr w:type="spellStart"/>
      <w:r w:rsidRPr="00CC19F7">
        <w:t>fleire</w:t>
      </w:r>
      <w:proofErr w:type="spellEnd"/>
      <w:r w:rsidRPr="00CC19F7">
        <w:t xml:space="preserve"> formål viktige tiltak i klimapolitikken. Å nå </w:t>
      </w:r>
      <w:proofErr w:type="spellStart"/>
      <w:r w:rsidRPr="00CC19F7">
        <w:t>desse</w:t>
      </w:r>
      <w:proofErr w:type="spellEnd"/>
      <w:r w:rsidRPr="00CC19F7">
        <w:t xml:space="preserve"> måla og </w:t>
      </w:r>
      <w:proofErr w:type="spellStart"/>
      <w:r w:rsidRPr="00CC19F7">
        <w:t>ambisjonane</w:t>
      </w:r>
      <w:proofErr w:type="spellEnd"/>
      <w:r w:rsidRPr="00CC19F7">
        <w:t xml:space="preserve"> vil </w:t>
      </w:r>
      <w:proofErr w:type="spellStart"/>
      <w:r w:rsidRPr="00CC19F7">
        <w:t>krevje</w:t>
      </w:r>
      <w:proofErr w:type="spellEnd"/>
      <w:r w:rsidRPr="00CC19F7">
        <w:t xml:space="preserve"> betre overføringskapasitet i straumnettet, </w:t>
      </w:r>
      <w:proofErr w:type="spellStart"/>
      <w:r w:rsidRPr="00CC19F7">
        <w:t>auka</w:t>
      </w:r>
      <w:proofErr w:type="spellEnd"/>
      <w:r w:rsidRPr="00CC19F7">
        <w:t xml:space="preserve"> kraftproduksjon og </w:t>
      </w:r>
      <w:proofErr w:type="spellStart"/>
      <w:r w:rsidRPr="00CC19F7">
        <w:t>eit</w:t>
      </w:r>
      <w:proofErr w:type="spellEnd"/>
      <w:r w:rsidRPr="00CC19F7">
        <w:t xml:space="preserve"> kraftsystem som har evne til å møte forbruket i </w:t>
      </w:r>
      <w:proofErr w:type="spellStart"/>
      <w:r w:rsidRPr="00CC19F7">
        <w:t>periodar</w:t>
      </w:r>
      <w:proofErr w:type="spellEnd"/>
      <w:r w:rsidRPr="00CC19F7">
        <w:t xml:space="preserve"> med </w:t>
      </w:r>
      <w:proofErr w:type="spellStart"/>
      <w:r w:rsidRPr="00CC19F7">
        <w:t>høg</w:t>
      </w:r>
      <w:proofErr w:type="spellEnd"/>
      <w:r w:rsidRPr="00CC19F7">
        <w:t xml:space="preserve"> belastning.</w:t>
      </w:r>
    </w:p>
    <w:p w14:paraId="3D5F224F" w14:textId="77777777" w:rsidR="00FE02EF" w:rsidRPr="00CC19F7" w:rsidRDefault="00881E58" w:rsidP="00CC19F7">
      <w:r w:rsidRPr="00CC19F7">
        <w:t xml:space="preserve">Regjeringas satsing på havvind er </w:t>
      </w:r>
      <w:proofErr w:type="spellStart"/>
      <w:r w:rsidRPr="00CC19F7">
        <w:t>ein</w:t>
      </w:r>
      <w:proofErr w:type="spellEnd"/>
      <w:r w:rsidRPr="00CC19F7">
        <w:t xml:space="preserve"> viktig del av innsatsen for å </w:t>
      </w:r>
      <w:proofErr w:type="spellStart"/>
      <w:r w:rsidRPr="00CC19F7">
        <w:t>auke</w:t>
      </w:r>
      <w:proofErr w:type="spellEnd"/>
      <w:r w:rsidRPr="00CC19F7">
        <w:t xml:space="preserve"> </w:t>
      </w:r>
      <w:proofErr w:type="spellStart"/>
      <w:r w:rsidRPr="00CC19F7">
        <w:t>Noregs</w:t>
      </w:r>
      <w:proofErr w:type="spellEnd"/>
      <w:r w:rsidRPr="00CC19F7">
        <w:t xml:space="preserve"> fornybare kraftproduksjon. Regjeringas mål for arbeidet med havvind er industriutvikling, tilrettelegging for innovasjon og teknologiutvikling og at havvind skal bidra til </w:t>
      </w:r>
      <w:proofErr w:type="spellStart"/>
      <w:r w:rsidRPr="00CC19F7">
        <w:t>auka</w:t>
      </w:r>
      <w:proofErr w:type="spellEnd"/>
      <w:r w:rsidRPr="00CC19F7">
        <w:t xml:space="preserve"> utsleppsfri kraftproduksjon i </w:t>
      </w:r>
      <w:proofErr w:type="spellStart"/>
      <w:r w:rsidRPr="00CC19F7">
        <w:t>Noreg</w:t>
      </w:r>
      <w:proofErr w:type="spellEnd"/>
      <w:r w:rsidRPr="00CC19F7">
        <w:t xml:space="preserve">. Regjeringa har </w:t>
      </w:r>
      <w:proofErr w:type="spellStart"/>
      <w:r w:rsidRPr="00CC19F7">
        <w:t>ein</w:t>
      </w:r>
      <w:proofErr w:type="spellEnd"/>
      <w:r w:rsidRPr="00CC19F7">
        <w:t xml:space="preserve"> ambisjon om å tildele areal med potensial for 30 GW havvindproduksjon på norsk sokkel </w:t>
      </w:r>
      <w:proofErr w:type="spellStart"/>
      <w:r w:rsidRPr="00CC19F7">
        <w:t>innan</w:t>
      </w:r>
      <w:proofErr w:type="spellEnd"/>
      <w:r w:rsidRPr="00CC19F7">
        <w:t xml:space="preserve"> 2040. Dei første prosjektområda for havvind på norsk sokkel blei lyste ut i første kvartal 2023. Regjeringa planlegg for neste </w:t>
      </w:r>
      <w:proofErr w:type="spellStart"/>
      <w:r w:rsidRPr="00CC19F7">
        <w:t>utlysingsrunde</w:t>
      </w:r>
      <w:proofErr w:type="spellEnd"/>
      <w:r w:rsidRPr="00CC19F7">
        <w:t xml:space="preserve"> av prosjektområde for havvind i 2025.</w:t>
      </w:r>
    </w:p>
    <w:p w14:paraId="05B3F6B0" w14:textId="77777777" w:rsidR="00FE02EF" w:rsidRPr="00CC19F7" w:rsidRDefault="00881E58" w:rsidP="00CC19F7">
      <w:proofErr w:type="spellStart"/>
      <w:r w:rsidRPr="00CC19F7">
        <w:t>Noreg</w:t>
      </w:r>
      <w:proofErr w:type="spellEnd"/>
      <w:r w:rsidRPr="00CC19F7">
        <w:t xml:space="preserve"> er </w:t>
      </w:r>
      <w:proofErr w:type="spellStart"/>
      <w:r w:rsidRPr="00CC19F7">
        <w:t>verdsleiande</w:t>
      </w:r>
      <w:proofErr w:type="spellEnd"/>
      <w:r w:rsidRPr="00CC19F7">
        <w:t xml:space="preserve"> </w:t>
      </w:r>
      <w:proofErr w:type="spellStart"/>
      <w:r w:rsidRPr="00CC19F7">
        <w:t>innanfor</w:t>
      </w:r>
      <w:proofErr w:type="spellEnd"/>
      <w:r w:rsidRPr="00CC19F7">
        <w:t xml:space="preserve"> industrielle </w:t>
      </w:r>
      <w:proofErr w:type="spellStart"/>
      <w:r w:rsidRPr="00CC19F7">
        <w:t>løysingar</w:t>
      </w:r>
      <w:proofErr w:type="spellEnd"/>
      <w:r w:rsidRPr="00CC19F7">
        <w:t xml:space="preserve"> for fangst og lagring av CO</w:t>
      </w:r>
      <w:r w:rsidRPr="00CC19F7">
        <w:rPr>
          <w:rStyle w:val="skrift-senket"/>
        </w:rPr>
        <w:t>2</w:t>
      </w:r>
      <w:r w:rsidRPr="00CC19F7">
        <w:t xml:space="preserve">. Regjeringa vil </w:t>
      </w:r>
      <w:proofErr w:type="spellStart"/>
      <w:r w:rsidRPr="00CC19F7">
        <w:t>halde</w:t>
      </w:r>
      <w:proofErr w:type="spellEnd"/>
      <w:r w:rsidRPr="00CC19F7">
        <w:t xml:space="preserve"> fram med å fremme CO</w:t>
      </w:r>
      <w:r w:rsidRPr="00CC19F7">
        <w:rPr>
          <w:rStyle w:val="skrift-senket"/>
        </w:rPr>
        <w:t>2</w:t>
      </w:r>
      <w:r w:rsidRPr="00CC19F7">
        <w:t xml:space="preserve">-fangst og lagring som </w:t>
      </w:r>
      <w:proofErr w:type="spellStart"/>
      <w:r w:rsidRPr="00CC19F7">
        <w:t>eit</w:t>
      </w:r>
      <w:proofErr w:type="spellEnd"/>
      <w:r w:rsidRPr="00CC19F7">
        <w:t xml:space="preserve"> kostnadseffektivt klimatiltak i </w:t>
      </w:r>
      <w:proofErr w:type="spellStart"/>
      <w:r w:rsidRPr="00CC19F7">
        <w:t>eit</w:t>
      </w:r>
      <w:proofErr w:type="spellEnd"/>
      <w:r w:rsidRPr="00CC19F7">
        <w:t xml:space="preserve"> internasjonalt perspektiv. Langskip er </w:t>
      </w:r>
      <w:proofErr w:type="spellStart"/>
      <w:r w:rsidRPr="00CC19F7">
        <w:t>ein</w:t>
      </w:r>
      <w:proofErr w:type="spellEnd"/>
      <w:r w:rsidRPr="00CC19F7">
        <w:t xml:space="preserve"> sentral del av regjeringas politikk for CO</w:t>
      </w:r>
      <w:r w:rsidRPr="00CC19F7">
        <w:rPr>
          <w:rStyle w:val="skrift-senket"/>
        </w:rPr>
        <w:t>2</w:t>
      </w:r>
      <w:r w:rsidRPr="00CC19F7">
        <w:t xml:space="preserve">-handtering og </w:t>
      </w:r>
      <w:proofErr w:type="spellStart"/>
      <w:r w:rsidRPr="00CC19F7">
        <w:t>ein</w:t>
      </w:r>
      <w:proofErr w:type="spellEnd"/>
      <w:r w:rsidRPr="00CC19F7">
        <w:t xml:space="preserve"> del av </w:t>
      </w:r>
      <w:proofErr w:type="spellStart"/>
      <w:r w:rsidRPr="00CC19F7">
        <w:t>Noregs</w:t>
      </w:r>
      <w:proofErr w:type="spellEnd"/>
      <w:r w:rsidRPr="00CC19F7">
        <w:t xml:space="preserve"> bidrag til å utvikle nødvendige </w:t>
      </w:r>
      <w:proofErr w:type="spellStart"/>
      <w:r w:rsidRPr="00CC19F7">
        <w:t>klimateknologiar</w:t>
      </w:r>
      <w:proofErr w:type="spellEnd"/>
      <w:r w:rsidRPr="00CC19F7">
        <w:t xml:space="preserve">. Langskip er under bygging og vil </w:t>
      </w:r>
      <w:proofErr w:type="spellStart"/>
      <w:r w:rsidRPr="00CC19F7">
        <w:t>vere</w:t>
      </w:r>
      <w:proofErr w:type="spellEnd"/>
      <w:r w:rsidRPr="00CC19F7">
        <w:t xml:space="preserve"> i drift i 2025. Regjeringa vil </w:t>
      </w:r>
      <w:proofErr w:type="spellStart"/>
      <w:r w:rsidRPr="00CC19F7">
        <w:t>halde</w:t>
      </w:r>
      <w:proofErr w:type="spellEnd"/>
      <w:r w:rsidRPr="00CC19F7">
        <w:t xml:space="preserve"> fram arbeidet med å fremme CO</w:t>
      </w:r>
      <w:r w:rsidRPr="00CC19F7">
        <w:rPr>
          <w:rStyle w:val="skrift-senket"/>
        </w:rPr>
        <w:t>2</w:t>
      </w:r>
      <w:r w:rsidRPr="00CC19F7">
        <w:t xml:space="preserve">-handtering som </w:t>
      </w:r>
      <w:proofErr w:type="spellStart"/>
      <w:r w:rsidRPr="00CC19F7">
        <w:t>eit</w:t>
      </w:r>
      <w:proofErr w:type="spellEnd"/>
      <w:r w:rsidRPr="00CC19F7">
        <w:t xml:space="preserve"> viktig bidrag til å nå klimamåla.</w:t>
      </w:r>
    </w:p>
    <w:p w14:paraId="640B6413" w14:textId="77777777" w:rsidR="00FE02EF" w:rsidRPr="00CC19F7" w:rsidRDefault="00881E58" w:rsidP="00CC19F7">
      <w:r w:rsidRPr="00CC19F7">
        <w:t xml:space="preserve">Regjeringa har </w:t>
      </w:r>
      <w:proofErr w:type="spellStart"/>
      <w:r w:rsidRPr="00CC19F7">
        <w:t>ein</w:t>
      </w:r>
      <w:proofErr w:type="spellEnd"/>
      <w:r w:rsidRPr="00CC19F7">
        <w:t xml:space="preserve"> ambisjon om å bidra til å bygge opp ei </w:t>
      </w:r>
      <w:proofErr w:type="spellStart"/>
      <w:r w:rsidRPr="00CC19F7">
        <w:t>samanhengande</w:t>
      </w:r>
      <w:proofErr w:type="spellEnd"/>
      <w:r w:rsidRPr="00CC19F7">
        <w:t xml:space="preserve"> verdikjede for hydrogen produsert med låge eller ingen utslepp, der produksjon, distribusjon og bruk blir utvikla parallelt. Regjeringa ønsker også å bidra til utviklinga av </w:t>
      </w:r>
      <w:proofErr w:type="spellStart"/>
      <w:r w:rsidRPr="00CC19F7">
        <w:t>ein</w:t>
      </w:r>
      <w:proofErr w:type="spellEnd"/>
      <w:r w:rsidRPr="00CC19F7">
        <w:t xml:space="preserve"> </w:t>
      </w:r>
      <w:proofErr w:type="spellStart"/>
      <w:r w:rsidRPr="00CC19F7">
        <w:t>marknad</w:t>
      </w:r>
      <w:proofErr w:type="spellEnd"/>
      <w:r w:rsidRPr="00CC19F7">
        <w:t xml:space="preserve"> for hydrogen i Europa. Det </w:t>
      </w:r>
      <w:proofErr w:type="spellStart"/>
      <w:r w:rsidRPr="00CC19F7">
        <w:t>finst</w:t>
      </w:r>
      <w:proofErr w:type="spellEnd"/>
      <w:r w:rsidRPr="00CC19F7">
        <w:t xml:space="preserve"> i dag mange norske hydrogen- og ammoniakkprosjekt. Dei fleste er i startfasen og har mottatt støtte </w:t>
      </w:r>
      <w:proofErr w:type="spellStart"/>
      <w:r w:rsidRPr="00CC19F7">
        <w:t>frå</w:t>
      </w:r>
      <w:proofErr w:type="spellEnd"/>
      <w:r w:rsidRPr="00CC19F7">
        <w:t xml:space="preserve"> staten gjennom ulike </w:t>
      </w:r>
      <w:proofErr w:type="spellStart"/>
      <w:r w:rsidRPr="00CC19F7">
        <w:t>ordningar</w:t>
      </w:r>
      <w:proofErr w:type="spellEnd"/>
      <w:r w:rsidRPr="00CC19F7">
        <w:t xml:space="preserve">. For å nå </w:t>
      </w:r>
      <w:proofErr w:type="spellStart"/>
      <w:r w:rsidRPr="00CC19F7">
        <w:t>ambisjonane</w:t>
      </w:r>
      <w:proofErr w:type="spellEnd"/>
      <w:r w:rsidRPr="00CC19F7">
        <w:t xml:space="preserve"> bidrar staten gjennom ei lang rekke </w:t>
      </w:r>
      <w:proofErr w:type="spellStart"/>
      <w:r w:rsidRPr="00CC19F7">
        <w:t>verkemiddel</w:t>
      </w:r>
      <w:proofErr w:type="spellEnd"/>
      <w:r w:rsidRPr="00CC19F7">
        <w:t xml:space="preserve">, mellom anna støtte til forsking, teknologiutvikling og demonstrasjon, støtte til etablering av knutepunkt og infrastruktur og gjennom krav til </w:t>
      </w:r>
      <w:proofErr w:type="spellStart"/>
      <w:r w:rsidRPr="00CC19F7">
        <w:t>offentlege</w:t>
      </w:r>
      <w:proofErr w:type="spellEnd"/>
      <w:r w:rsidRPr="00CC19F7">
        <w:t xml:space="preserve"> innkjøp.</w:t>
      </w:r>
    </w:p>
    <w:p w14:paraId="240B1834" w14:textId="77777777" w:rsidR="00FE02EF" w:rsidRPr="00CC19F7" w:rsidRDefault="00881E58" w:rsidP="00CC19F7">
      <w:r w:rsidRPr="00CC19F7">
        <w:t xml:space="preserve">Det har over mange år </w:t>
      </w:r>
      <w:proofErr w:type="spellStart"/>
      <w:r w:rsidRPr="00CC19F7">
        <w:t>vore</w:t>
      </w:r>
      <w:proofErr w:type="spellEnd"/>
      <w:r w:rsidRPr="00CC19F7">
        <w:t xml:space="preserve"> satsa store </w:t>
      </w:r>
      <w:proofErr w:type="spellStart"/>
      <w:r w:rsidRPr="00CC19F7">
        <w:t>offentlege</w:t>
      </w:r>
      <w:proofErr w:type="spellEnd"/>
      <w:r w:rsidRPr="00CC19F7">
        <w:t xml:space="preserve"> </w:t>
      </w:r>
      <w:proofErr w:type="spellStart"/>
      <w:r w:rsidRPr="00CC19F7">
        <w:t>ressursar</w:t>
      </w:r>
      <w:proofErr w:type="spellEnd"/>
      <w:r w:rsidRPr="00CC19F7">
        <w:t xml:space="preserve"> på å utvikle ny kunnskap, ny teknologi og nye </w:t>
      </w:r>
      <w:proofErr w:type="spellStart"/>
      <w:r w:rsidRPr="00CC19F7">
        <w:t>løysingar</w:t>
      </w:r>
      <w:proofErr w:type="spellEnd"/>
      <w:r w:rsidRPr="00CC19F7">
        <w:t xml:space="preserve"> for å </w:t>
      </w:r>
      <w:proofErr w:type="spellStart"/>
      <w:r w:rsidRPr="00CC19F7">
        <w:t>auke</w:t>
      </w:r>
      <w:proofErr w:type="spellEnd"/>
      <w:r w:rsidRPr="00CC19F7">
        <w:t xml:space="preserve"> verdiskapinga og redusere klimagassutslepp </w:t>
      </w:r>
      <w:proofErr w:type="spellStart"/>
      <w:r w:rsidRPr="00CC19F7">
        <w:t>frå</w:t>
      </w:r>
      <w:proofErr w:type="spellEnd"/>
      <w:r w:rsidRPr="00CC19F7">
        <w:t xml:space="preserve"> energi- og </w:t>
      </w:r>
      <w:proofErr w:type="spellStart"/>
      <w:r w:rsidRPr="00CC19F7">
        <w:t>petroleumsverksemda</w:t>
      </w:r>
      <w:proofErr w:type="spellEnd"/>
      <w:r w:rsidRPr="00CC19F7">
        <w:t xml:space="preserve">. Denne langsiktige satsinga har </w:t>
      </w:r>
      <w:proofErr w:type="spellStart"/>
      <w:r w:rsidRPr="00CC19F7">
        <w:t>vore</w:t>
      </w:r>
      <w:proofErr w:type="spellEnd"/>
      <w:r w:rsidRPr="00CC19F7">
        <w:t xml:space="preserve"> viktig for utviklinga av energi- og petroleumsnæringa i </w:t>
      </w:r>
      <w:proofErr w:type="spellStart"/>
      <w:r w:rsidRPr="00CC19F7">
        <w:t>Noreg</w:t>
      </w:r>
      <w:proofErr w:type="spellEnd"/>
      <w:r w:rsidRPr="00CC19F7">
        <w:t xml:space="preserve">. Den langsiktige og </w:t>
      </w:r>
      <w:proofErr w:type="spellStart"/>
      <w:r w:rsidRPr="00CC19F7">
        <w:t>omfattande</w:t>
      </w:r>
      <w:proofErr w:type="spellEnd"/>
      <w:r w:rsidRPr="00CC19F7">
        <w:t xml:space="preserve"> satsinga på forsking og utvikling på energi og petroleum har resultert i internasjonalt konkurransedyktige bedrifter og forskings- og teknologimiljø i </w:t>
      </w:r>
      <w:proofErr w:type="spellStart"/>
      <w:r w:rsidRPr="00CC19F7">
        <w:t>Noreg</w:t>
      </w:r>
      <w:proofErr w:type="spellEnd"/>
      <w:r w:rsidRPr="00CC19F7">
        <w:t>.</w:t>
      </w:r>
    </w:p>
    <w:p w14:paraId="58AC3A90" w14:textId="77777777" w:rsidR="00FE02EF" w:rsidRPr="00CC19F7" w:rsidRDefault="00881E58" w:rsidP="00CC19F7">
      <w:r w:rsidRPr="00CC19F7">
        <w:t xml:space="preserve">Regjeringa vil </w:t>
      </w:r>
      <w:proofErr w:type="spellStart"/>
      <w:r w:rsidRPr="00CC19F7">
        <w:t>halde</w:t>
      </w:r>
      <w:proofErr w:type="spellEnd"/>
      <w:r w:rsidRPr="00CC19F7">
        <w:t xml:space="preserve"> fram med å satse på energi- og petroleumsforsking mellom anna for å kunne nå måla om reduserte klimagassutslepp i </w:t>
      </w:r>
      <w:proofErr w:type="spellStart"/>
      <w:r w:rsidRPr="00CC19F7">
        <w:t>Noreg</w:t>
      </w:r>
      <w:proofErr w:type="spellEnd"/>
      <w:r w:rsidRPr="00CC19F7">
        <w:t xml:space="preserve"> i 2030 og 2050 og for å nå måla for omstilling, nye, </w:t>
      </w:r>
      <w:proofErr w:type="spellStart"/>
      <w:r w:rsidRPr="00CC19F7">
        <w:t>grøne</w:t>
      </w:r>
      <w:proofErr w:type="spellEnd"/>
      <w:r w:rsidRPr="00CC19F7">
        <w:t xml:space="preserve"> </w:t>
      </w:r>
      <w:proofErr w:type="spellStart"/>
      <w:r w:rsidRPr="00CC19F7">
        <w:t>næringar</w:t>
      </w:r>
      <w:proofErr w:type="spellEnd"/>
      <w:r w:rsidRPr="00CC19F7">
        <w:t xml:space="preserve"> og </w:t>
      </w:r>
      <w:proofErr w:type="spellStart"/>
      <w:r w:rsidRPr="00CC19F7">
        <w:t>auka</w:t>
      </w:r>
      <w:proofErr w:type="spellEnd"/>
      <w:r w:rsidRPr="00CC19F7">
        <w:t xml:space="preserve"> eksportinntekter. </w:t>
      </w:r>
      <w:proofErr w:type="spellStart"/>
      <w:r w:rsidRPr="00CC19F7">
        <w:t>Vidare</w:t>
      </w:r>
      <w:proofErr w:type="spellEnd"/>
      <w:r w:rsidRPr="00CC19F7">
        <w:t xml:space="preserve"> skal satsinga bidra til å utvikle </w:t>
      </w:r>
      <w:proofErr w:type="spellStart"/>
      <w:r w:rsidRPr="00CC19F7">
        <w:t>næringane</w:t>
      </w:r>
      <w:proofErr w:type="spellEnd"/>
      <w:r w:rsidRPr="00CC19F7">
        <w:t xml:space="preserve"> </w:t>
      </w:r>
      <w:proofErr w:type="spellStart"/>
      <w:r w:rsidRPr="00CC19F7">
        <w:t>vidare</w:t>
      </w:r>
      <w:proofErr w:type="spellEnd"/>
      <w:r w:rsidRPr="00CC19F7">
        <w:t xml:space="preserve"> og </w:t>
      </w:r>
      <w:proofErr w:type="spellStart"/>
      <w:r w:rsidRPr="00CC19F7">
        <w:t>gjere</w:t>
      </w:r>
      <w:proofErr w:type="spellEnd"/>
      <w:r w:rsidRPr="00CC19F7">
        <w:t xml:space="preserve"> </w:t>
      </w:r>
      <w:proofErr w:type="spellStart"/>
      <w:r w:rsidRPr="00CC19F7">
        <w:t>dei</w:t>
      </w:r>
      <w:proofErr w:type="spellEnd"/>
      <w:r w:rsidRPr="00CC19F7">
        <w:t xml:space="preserve"> lønnsame også i framtida. Satsinga skal også bidra til å utvikle kunnskapsgrunnlaget om </w:t>
      </w:r>
      <w:proofErr w:type="spellStart"/>
      <w:r w:rsidRPr="00CC19F7">
        <w:t>sikkerheit</w:t>
      </w:r>
      <w:proofErr w:type="spellEnd"/>
      <w:r w:rsidRPr="00CC19F7">
        <w:t>, sikring, arbeidsmiljø, arbeidshelse og risikoforhold i petroleumsnæringa.</w:t>
      </w:r>
    </w:p>
    <w:p w14:paraId="624F7E94" w14:textId="77777777" w:rsidR="00FE02EF" w:rsidRPr="00CC19F7" w:rsidRDefault="00881E58" w:rsidP="00CC19F7">
      <w:pPr>
        <w:pStyle w:val="tittel-ramme"/>
      </w:pPr>
      <w:r w:rsidRPr="00CC19F7">
        <w:t xml:space="preserve">Forslag til </w:t>
      </w:r>
      <w:proofErr w:type="spellStart"/>
      <w:r w:rsidRPr="00CC19F7">
        <w:t>løyvingar</w:t>
      </w:r>
      <w:proofErr w:type="spellEnd"/>
      <w:r w:rsidRPr="00CC19F7">
        <w:t xml:space="preserve"> til forsking, teknologi- og næringsutvikling</w:t>
      </w:r>
    </w:p>
    <w:p w14:paraId="1EB7CC8F" w14:textId="77777777" w:rsidR="00FE02EF" w:rsidRPr="00CC19F7" w:rsidRDefault="00881E58" w:rsidP="00CC19F7">
      <w:r w:rsidRPr="00CC19F7">
        <w:t xml:space="preserve">Til </w:t>
      </w:r>
      <w:proofErr w:type="spellStart"/>
      <w:r w:rsidRPr="00CC19F7">
        <w:t>saman</w:t>
      </w:r>
      <w:proofErr w:type="spellEnd"/>
      <w:r w:rsidRPr="00CC19F7">
        <w:t xml:space="preserve"> blir det foreslått om lag 1 012 mill. kroner i forslag til </w:t>
      </w:r>
      <w:proofErr w:type="spellStart"/>
      <w:r w:rsidRPr="00CC19F7">
        <w:t>løyvingar</w:t>
      </w:r>
      <w:proofErr w:type="spellEnd"/>
      <w:r w:rsidRPr="00CC19F7">
        <w:t xml:space="preserve"> til forsking, teknologi- og næringsutvikling, under dette:</w:t>
      </w:r>
    </w:p>
    <w:p w14:paraId="0C2F46CB" w14:textId="77777777" w:rsidR="00FE02EF" w:rsidRPr="00CC19F7" w:rsidRDefault="00881E58" w:rsidP="00CC19F7">
      <w:pPr>
        <w:pStyle w:val="Liste"/>
      </w:pPr>
      <w:r w:rsidRPr="00CC19F7">
        <w:t xml:space="preserve">716 mill. kroner til oppfølging av Energi21-strategien gjennom </w:t>
      </w:r>
      <w:proofErr w:type="spellStart"/>
      <w:r w:rsidRPr="00CC19F7">
        <w:t>Noregs</w:t>
      </w:r>
      <w:proofErr w:type="spellEnd"/>
      <w:r w:rsidRPr="00CC19F7">
        <w:t xml:space="preserve"> forskingsråd og Gassnova SF, som skal bidra til større verdiskaping og sikker, kostnadseffektiv og </w:t>
      </w:r>
      <w:proofErr w:type="spellStart"/>
      <w:r w:rsidRPr="00CC19F7">
        <w:t>berekraftig</w:t>
      </w:r>
      <w:proofErr w:type="spellEnd"/>
      <w:r w:rsidRPr="00CC19F7">
        <w:t xml:space="preserve"> utnytting av </w:t>
      </w:r>
      <w:proofErr w:type="spellStart"/>
      <w:r w:rsidRPr="00CC19F7">
        <w:t>energiressursane</w:t>
      </w:r>
      <w:proofErr w:type="spellEnd"/>
      <w:r w:rsidRPr="00CC19F7">
        <w:t xml:space="preserve"> i </w:t>
      </w:r>
      <w:proofErr w:type="spellStart"/>
      <w:r w:rsidRPr="00CC19F7">
        <w:t>eit</w:t>
      </w:r>
      <w:proofErr w:type="spellEnd"/>
      <w:r w:rsidRPr="00CC19F7">
        <w:t xml:space="preserve"> </w:t>
      </w:r>
      <w:proofErr w:type="spellStart"/>
      <w:r w:rsidRPr="00CC19F7">
        <w:t>lågutsleppssamfunn</w:t>
      </w:r>
      <w:proofErr w:type="spellEnd"/>
    </w:p>
    <w:p w14:paraId="0CBBA01B" w14:textId="77777777" w:rsidR="00FE02EF" w:rsidRPr="00CC19F7" w:rsidRDefault="00881E58" w:rsidP="00CC19F7">
      <w:pPr>
        <w:pStyle w:val="Liste"/>
      </w:pPr>
      <w:r w:rsidRPr="00CC19F7">
        <w:t xml:space="preserve">250 mill. kroner til oppfølging av OG21-strategien gjennom </w:t>
      </w:r>
      <w:proofErr w:type="spellStart"/>
      <w:r w:rsidRPr="00CC19F7">
        <w:t>Noregs</w:t>
      </w:r>
      <w:proofErr w:type="spellEnd"/>
      <w:r w:rsidRPr="00CC19F7">
        <w:t xml:space="preserve"> forskingsråd, som skal bidra til større verdiskaping og sikker, kostnadseffektiv og </w:t>
      </w:r>
      <w:proofErr w:type="spellStart"/>
      <w:r w:rsidRPr="00CC19F7">
        <w:t>berekraftig</w:t>
      </w:r>
      <w:proofErr w:type="spellEnd"/>
      <w:r w:rsidRPr="00CC19F7">
        <w:t xml:space="preserve"> utnytting av </w:t>
      </w:r>
      <w:proofErr w:type="spellStart"/>
      <w:r w:rsidRPr="00CC19F7">
        <w:t>petroleumsressursane</w:t>
      </w:r>
      <w:proofErr w:type="spellEnd"/>
      <w:r w:rsidRPr="00CC19F7">
        <w:t xml:space="preserve"> i </w:t>
      </w:r>
      <w:proofErr w:type="spellStart"/>
      <w:r w:rsidRPr="00CC19F7">
        <w:t>eit</w:t>
      </w:r>
      <w:proofErr w:type="spellEnd"/>
      <w:r w:rsidRPr="00CC19F7">
        <w:t xml:space="preserve"> </w:t>
      </w:r>
      <w:proofErr w:type="spellStart"/>
      <w:r w:rsidRPr="00CC19F7">
        <w:t>lågutsleppssamfunn</w:t>
      </w:r>
      <w:proofErr w:type="spellEnd"/>
    </w:p>
    <w:p w14:paraId="14F9F4CB" w14:textId="77777777" w:rsidR="00FE02EF" w:rsidRPr="00CC19F7" w:rsidRDefault="00881E58" w:rsidP="00CC19F7">
      <w:pPr>
        <w:pStyle w:val="Liste"/>
      </w:pPr>
      <w:r w:rsidRPr="00CC19F7">
        <w:t>20 mill. kroner til internasjonalt forskings- og teknologisamarbeid, under dette 10 mill. kroner til Nordisk Energiforsking, som skal støtte opp under det nordiske energisamarbeidet</w:t>
      </w:r>
    </w:p>
    <w:p w14:paraId="5430C013" w14:textId="77777777" w:rsidR="00FE02EF" w:rsidRPr="00CC19F7" w:rsidRDefault="00881E58" w:rsidP="00CC19F7">
      <w:pPr>
        <w:pStyle w:val="Liste"/>
      </w:pPr>
      <w:r w:rsidRPr="00CC19F7">
        <w:t xml:space="preserve">26 mill. kroner til Norwegian Energy Partners, som skal styrke det langsiktige grunnlaget for norsk verdiskaping og sysselsetting i energirelaterte </w:t>
      </w:r>
      <w:proofErr w:type="spellStart"/>
      <w:r w:rsidRPr="00CC19F7">
        <w:t>verksemder</w:t>
      </w:r>
      <w:proofErr w:type="spellEnd"/>
      <w:r w:rsidRPr="00CC19F7">
        <w:t xml:space="preserve"> ved å legge til rette for internasjonal forretningsutvikling. I tillegg vil det bli gitt </w:t>
      </w:r>
      <w:proofErr w:type="spellStart"/>
      <w:r w:rsidRPr="00CC19F7">
        <w:t>eit</w:t>
      </w:r>
      <w:proofErr w:type="spellEnd"/>
      <w:r w:rsidRPr="00CC19F7">
        <w:t xml:space="preserve"> særskilt oppdrag til NORWEP om eksportfremme over Nærings- og fiskeridepartementets budsjett i tett samarbeid med resten av </w:t>
      </w:r>
      <w:proofErr w:type="spellStart"/>
      <w:r w:rsidRPr="00CC19F7">
        <w:t>dei</w:t>
      </w:r>
      <w:proofErr w:type="spellEnd"/>
      <w:r w:rsidRPr="00CC19F7">
        <w:t xml:space="preserve"> næringsretta </w:t>
      </w:r>
      <w:proofErr w:type="spellStart"/>
      <w:r w:rsidRPr="00CC19F7">
        <w:t>verkemiddelaktørane</w:t>
      </w:r>
      <w:proofErr w:type="spellEnd"/>
      <w:r w:rsidRPr="00CC19F7">
        <w:t xml:space="preserve"> og </w:t>
      </w:r>
      <w:proofErr w:type="spellStart"/>
      <w:r w:rsidRPr="00CC19F7">
        <w:t>utanrikstenesta</w:t>
      </w:r>
      <w:proofErr w:type="spellEnd"/>
      <w:r w:rsidRPr="00CC19F7">
        <w:t>.</w:t>
      </w:r>
    </w:p>
    <w:p w14:paraId="6D4578CF" w14:textId="77777777" w:rsidR="00FE02EF" w:rsidRPr="00CC19F7" w:rsidRDefault="00881E58" w:rsidP="00CC19F7">
      <w:pPr>
        <w:pStyle w:val="Ramme-slutt"/>
      </w:pPr>
      <w:r w:rsidRPr="00CC19F7">
        <w:t>[Boks slutt]</w:t>
      </w:r>
    </w:p>
    <w:p w14:paraId="1D388A39" w14:textId="77777777" w:rsidR="00FE02EF" w:rsidRPr="00CC19F7" w:rsidRDefault="00881E58" w:rsidP="00CC19F7">
      <w:pPr>
        <w:pStyle w:val="tittel-ramme"/>
      </w:pPr>
      <w:r w:rsidRPr="00CC19F7">
        <w:t xml:space="preserve">Forslag til </w:t>
      </w:r>
      <w:proofErr w:type="spellStart"/>
      <w:r w:rsidRPr="00CC19F7">
        <w:t>løyvingar</w:t>
      </w:r>
      <w:proofErr w:type="spellEnd"/>
      <w:r w:rsidRPr="00CC19F7">
        <w:t xml:space="preserve"> til havvind</w:t>
      </w:r>
    </w:p>
    <w:p w14:paraId="1D1B6B46" w14:textId="77777777" w:rsidR="00FE02EF" w:rsidRPr="00CC19F7" w:rsidRDefault="00881E58" w:rsidP="00CC19F7">
      <w:r w:rsidRPr="00CC19F7">
        <w:t xml:space="preserve">I tillegg til den generelle styrkinga av </w:t>
      </w:r>
      <w:proofErr w:type="spellStart"/>
      <w:r w:rsidRPr="00CC19F7">
        <w:t>energimyndigheitene</w:t>
      </w:r>
      <w:proofErr w:type="spellEnd"/>
      <w:r w:rsidRPr="00CC19F7">
        <w:t xml:space="preserve"> foreslår regjeringa å </w:t>
      </w:r>
      <w:proofErr w:type="spellStart"/>
      <w:r w:rsidRPr="00CC19F7">
        <w:t>auke</w:t>
      </w:r>
      <w:proofErr w:type="spellEnd"/>
      <w:r w:rsidRPr="00CC19F7">
        <w:t xml:space="preserve"> </w:t>
      </w:r>
      <w:proofErr w:type="spellStart"/>
      <w:r w:rsidRPr="00CC19F7">
        <w:t>løyvingane</w:t>
      </w:r>
      <w:proofErr w:type="spellEnd"/>
      <w:r w:rsidRPr="00CC19F7">
        <w:t xml:space="preserve"> til departementet, NVE og RME med totalt om lag 45 mill. kroner til arbeidet med havvind. Det blir også foreslått å løyve:</w:t>
      </w:r>
    </w:p>
    <w:p w14:paraId="3FEF299B" w14:textId="77777777" w:rsidR="00FE02EF" w:rsidRPr="00CC19F7" w:rsidRDefault="00881E58" w:rsidP="00CC19F7">
      <w:pPr>
        <w:pStyle w:val="Liste"/>
      </w:pPr>
      <w:r w:rsidRPr="00CC19F7">
        <w:t xml:space="preserve">118 mill. kroner til natur- og miljøkartlegging og førebuing av havvindutlysing i 2025, mellom anna strategisk konsekvensutgreiing og </w:t>
      </w:r>
      <w:proofErr w:type="spellStart"/>
      <w:r w:rsidRPr="00CC19F7">
        <w:t>feltundersøkingar</w:t>
      </w:r>
      <w:proofErr w:type="spellEnd"/>
      <w:r w:rsidRPr="00CC19F7">
        <w:t xml:space="preserve"> som </w:t>
      </w:r>
      <w:proofErr w:type="spellStart"/>
      <w:r w:rsidRPr="00CC19F7">
        <w:t>aukar</w:t>
      </w:r>
      <w:proofErr w:type="spellEnd"/>
      <w:r w:rsidRPr="00CC19F7">
        <w:t xml:space="preserve"> kunnskapsnivået om </w:t>
      </w:r>
      <w:proofErr w:type="spellStart"/>
      <w:r w:rsidRPr="00CC19F7">
        <w:t>naturmangfald</w:t>
      </w:r>
      <w:proofErr w:type="spellEnd"/>
      <w:r w:rsidRPr="00CC19F7">
        <w:t xml:space="preserve"> og miljø i </w:t>
      </w:r>
      <w:proofErr w:type="spellStart"/>
      <w:r w:rsidRPr="00CC19F7">
        <w:t>dei</w:t>
      </w:r>
      <w:proofErr w:type="spellEnd"/>
      <w:r w:rsidRPr="00CC19F7">
        <w:t xml:space="preserve"> områda som er aktuelle for utlysing i 2025</w:t>
      </w:r>
    </w:p>
    <w:p w14:paraId="551BFC98" w14:textId="77777777" w:rsidR="00FE02EF" w:rsidRPr="00CC19F7" w:rsidRDefault="00881E58" w:rsidP="00CC19F7">
      <w:pPr>
        <w:pStyle w:val="Liste"/>
      </w:pPr>
      <w:r w:rsidRPr="00CC19F7">
        <w:t xml:space="preserve">20 mill. kroner til ferdigstilling av </w:t>
      </w:r>
      <w:proofErr w:type="spellStart"/>
      <w:r w:rsidRPr="00CC19F7">
        <w:t>grunnundersøkingar</w:t>
      </w:r>
      <w:proofErr w:type="spellEnd"/>
      <w:r w:rsidRPr="00CC19F7">
        <w:t xml:space="preserve"> for den delen av havvindområdet Utsira Nord som er lyst ut</w:t>
      </w:r>
    </w:p>
    <w:p w14:paraId="2DB63287" w14:textId="77777777" w:rsidR="00FE02EF" w:rsidRPr="00CC19F7" w:rsidRDefault="00881E58" w:rsidP="00CC19F7">
      <w:pPr>
        <w:pStyle w:val="Liste"/>
      </w:pPr>
      <w:r w:rsidRPr="00CC19F7">
        <w:t xml:space="preserve">10 mill. kroner i </w:t>
      </w:r>
      <w:proofErr w:type="spellStart"/>
      <w:r w:rsidRPr="00CC19F7">
        <w:t>tilskot</w:t>
      </w:r>
      <w:proofErr w:type="spellEnd"/>
      <w:r w:rsidRPr="00CC19F7">
        <w:t xml:space="preserve"> for å styrke kompetansemiljø for havvind</w:t>
      </w:r>
    </w:p>
    <w:p w14:paraId="41BD40AE" w14:textId="77777777" w:rsidR="00FE02EF" w:rsidRPr="00CC19F7" w:rsidRDefault="00881E58" w:rsidP="00CC19F7">
      <w:pPr>
        <w:pStyle w:val="Ramme-slutt"/>
      </w:pPr>
      <w:r w:rsidRPr="00CC19F7">
        <w:t>[Boks slutt]</w:t>
      </w:r>
    </w:p>
    <w:p w14:paraId="146732AC" w14:textId="77777777" w:rsidR="00FE02EF" w:rsidRPr="00CC19F7" w:rsidRDefault="00881E58" w:rsidP="00CC19F7">
      <w:pPr>
        <w:pStyle w:val="tittel-ramme"/>
      </w:pPr>
      <w:r w:rsidRPr="00CC19F7">
        <w:t xml:space="preserve">Forslag til </w:t>
      </w:r>
      <w:proofErr w:type="spellStart"/>
      <w:r w:rsidRPr="00CC19F7">
        <w:t>løyvingar</w:t>
      </w:r>
      <w:proofErr w:type="spellEnd"/>
      <w:r w:rsidRPr="00CC19F7">
        <w:t xml:space="preserve"> til CO</w:t>
      </w:r>
      <w:r w:rsidRPr="00CC19F7">
        <w:rPr>
          <w:rStyle w:val="skrift-senket"/>
        </w:rPr>
        <w:t>2</w:t>
      </w:r>
      <w:r w:rsidRPr="00CC19F7">
        <w:t>-handtering</w:t>
      </w:r>
    </w:p>
    <w:p w14:paraId="560FB3B2" w14:textId="77777777" w:rsidR="00FE02EF" w:rsidRPr="00CC19F7" w:rsidRDefault="00881E58" w:rsidP="00CC19F7">
      <w:r w:rsidRPr="00CC19F7">
        <w:t xml:space="preserve">Til </w:t>
      </w:r>
      <w:proofErr w:type="spellStart"/>
      <w:r w:rsidRPr="00CC19F7">
        <w:t>saman</w:t>
      </w:r>
      <w:proofErr w:type="spellEnd"/>
      <w:r w:rsidRPr="00CC19F7">
        <w:t xml:space="preserve"> blir det foreslått om lag 2 800 mill. kroner i </w:t>
      </w:r>
      <w:proofErr w:type="spellStart"/>
      <w:r w:rsidRPr="00CC19F7">
        <w:t>løyvingar</w:t>
      </w:r>
      <w:proofErr w:type="spellEnd"/>
      <w:r w:rsidRPr="00CC19F7">
        <w:t xml:space="preserve"> til arbeidet med CO</w:t>
      </w:r>
      <w:r w:rsidRPr="00CC19F7">
        <w:rPr>
          <w:rStyle w:val="skrift-senket"/>
        </w:rPr>
        <w:t>2</w:t>
      </w:r>
      <w:r w:rsidRPr="00CC19F7">
        <w:t>-handtering, under dette:</w:t>
      </w:r>
    </w:p>
    <w:p w14:paraId="336D8AE2" w14:textId="77777777" w:rsidR="00FE02EF" w:rsidRPr="00CC19F7" w:rsidRDefault="00881E58" w:rsidP="00CC19F7">
      <w:pPr>
        <w:pStyle w:val="Liste"/>
      </w:pPr>
      <w:r w:rsidRPr="00CC19F7">
        <w:t>2 600 mill. kroner til det norske fullskalaprosjektet for CO</w:t>
      </w:r>
      <w:r w:rsidRPr="00CC19F7">
        <w:rPr>
          <w:rStyle w:val="skrift-senket"/>
        </w:rPr>
        <w:t>2</w:t>
      </w:r>
      <w:r w:rsidRPr="00CC19F7">
        <w:t>-handtering, Langskip, som består av ei heil kjede med fangst, transport og lagring av CO</w:t>
      </w:r>
      <w:r w:rsidRPr="00CC19F7">
        <w:rPr>
          <w:rStyle w:val="skrift-senket"/>
        </w:rPr>
        <w:t>2</w:t>
      </w:r>
    </w:p>
    <w:p w14:paraId="0C75C411" w14:textId="77777777" w:rsidR="00FE02EF" w:rsidRPr="00CC19F7" w:rsidRDefault="00881E58" w:rsidP="00CC19F7">
      <w:pPr>
        <w:pStyle w:val="Liste"/>
      </w:pPr>
      <w:r w:rsidRPr="00CC19F7">
        <w:t xml:space="preserve">107 mill. kroner til Gassnova SF, som skal fremme teknologiutvikling og kompetanseoppbygging for kostnadseffektive og framtidsretta </w:t>
      </w:r>
      <w:proofErr w:type="spellStart"/>
      <w:r w:rsidRPr="00CC19F7">
        <w:t>løysingar</w:t>
      </w:r>
      <w:proofErr w:type="spellEnd"/>
      <w:r w:rsidRPr="00CC19F7">
        <w:t xml:space="preserve"> for CO</w:t>
      </w:r>
      <w:r w:rsidRPr="00CC19F7">
        <w:rPr>
          <w:rStyle w:val="skrift-senket"/>
        </w:rPr>
        <w:t>2</w:t>
      </w:r>
      <w:r w:rsidRPr="00CC19F7">
        <w:t>-handtering og følge opp Langskip, TCM og CLIMIT-Demo</w:t>
      </w:r>
    </w:p>
    <w:p w14:paraId="1CEF69FD" w14:textId="77777777" w:rsidR="00FE02EF" w:rsidRPr="00CC19F7" w:rsidRDefault="00881E58" w:rsidP="00CC19F7">
      <w:pPr>
        <w:pStyle w:val="Liste"/>
      </w:pPr>
      <w:r w:rsidRPr="00CC19F7">
        <w:t xml:space="preserve">90 mill. kroner til Teknologisenter Mongstad (TCM), som skal bidra til teknologiutvikling og kvalifisering av teknologi for </w:t>
      </w:r>
      <w:proofErr w:type="spellStart"/>
      <w:r w:rsidRPr="00CC19F7">
        <w:t>auka</w:t>
      </w:r>
      <w:proofErr w:type="spellEnd"/>
      <w:r w:rsidRPr="00CC19F7">
        <w:t xml:space="preserve"> CO</w:t>
      </w:r>
      <w:r w:rsidRPr="00CC19F7">
        <w:rPr>
          <w:rStyle w:val="skrift-senket"/>
        </w:rPr>
        <w:t>2</w:t>
      </w:r>
      <w:r w:rsidRPr="00CC19F7">
        <w:t>-fangst globalt</w:t>
      </w:r>
    </w:p>
    <w:p w14:paraId="27C1D006" w14:textId="77777777" w:rsidR="00FE02EF" w:rsidRPr="00CC19F7" w:rsidRDefault="00881E58" w:rsidP="00CC19F7">
      <w:pPr>
        <w:pStyle w:val="Ramme-slutt"/>
      </w:pPr>
      <w:r w:rsidRPr="00CC19F7">
        <w:t>[Boks slutt]</w:t>
      </w:r>
    </w:p>
    <w:p w14:paraId="51564A19" w14:textId="77777777" w:rsidR="00FE02EF" w:rsidRPr="00CC19F7" w:rsidRDefault="00881E58" w:rsidP="00CC19F7">
      <w:pPr>
        <w:pStyle w:val="Overskrift2"/>
      </w:pPr>
      <w:proofErr w:type="spellStart"/>
      <w:r w:rsidRPr="00CC19F7">
        <w:t>Sikkerheit</w:t>
      </w:r>
      <w:proofErr w:type="spellEnd"/>
      <w:r w:rsidRPr="00CC19F7">
        <w:t xml:space="preserve"> og arbeidsmiljø</w:t>
      </w:r>
    </w:p>
    <w:p w14:paraId="76658BB4" w14:textId="77777777" w:rsidR="00FE02EF" w:rsidRPr="00CC19F7" w:rsidRDefault="00881E58" w:rsidP="00CC19F7">
      <w:r w:rsidRPr="00CC19F7">
        <w:t xml:space="preserve">Ved </w:t>
      </w:r>
      <w:proofErr w:type="spellStart"/>
      <w:r w:rsidRPr="00CC19F7">
        <w:t>kongeleg</w:t>
      </w:r>
      <w:proofErr w:type="spellEnd"/>
      <w:r w:rsidRPr="00CC19F7">
        <w:t xml:space="preserve"> resolusjon 11. mai og 20. juni 2023 </w:t>
      </w:r>
      <w:proofErr w:type="spellStart"/>
      <w:r w:rsidRPr="00CC19F7">
        <w:t>fekk</w:t>
      </w:r>
      <w:proofErr w:type="spellEnd"/>
      <w:r w:rsidRPr="00CC19F7">
        <w:t xml:space="preserve"> Olje- og energidepartementet ansvaret for etatsstyring av Petroleumstilsynet, for forvaltning av arbeidsmiljø, </w:t>
      </w:r>
      <w:proofErr w:type="spellStart"/>
      <w:r w:rsidRPr="00CC19F7">
        <w:t>sikkerheit</w:t>
      </w:r>
      <w:proofErr w:type="spellEnd"/>
      <w:r w:rsidRPr="00CC19F7">
        <w:t xml:space="preserve">, beredskap og sikring i petroleumsnæringa og anna </w:t>
      </w:r>
      <w:proofErr w:type="spellStart"/>
      <w:r w:rsidRPr="00CC19F7">
        <w:t>industriverksemd</w:t>
      </w:r>
      <w:proofErr w:type="spellEnd"/>
      <w:r w:rsidRPr="00CC19F7">
        <w:t xml:space="preserve"> til havs. Departementet skal </w:t>
      </w:r>
      <w:proofErr w:type="spellStart"/>
      <w:r w:rsidRPr="00CC19F7">
        <w:t>innanfor</w:t>
      </w:r>
      <w:proofErr w:type="spellEnd"/>
      <w:r w:rsidRPr="00CC19F7">
        <w:t xml:space="preserve"> ansvarsområdet sitt sørge for ei </w:t>
      </w:r>
      <w:proofErr w:type="spellStart"/>
      <w:r w:rsidRPr="00CC19F7">
        <w:t>heilskapleg</w:t>
      </w:r>
      <w:proofErr w:type="spellEnd"/>
      <w:r w:rsidRPr="00CC19F7">
        <w:t xml:space="preserve"> forvaltning av </w:t>
      </w:r>
      <w:proofErr w:type="spellStart"/>
      <w:r w:rsidRPr="00CC19F7">
        <w:t>lovreglar</w:t>
      </w:r>
      <w:proofErr w:type="spellEnd"/>
      <w:r w:rsidRPr="00CC19F7">
        <w:t xml:space="preserve"> som </w:t>
      </w:r>
      <w:proofErr w:type="spellStart"/>
      <w:r w:rsidRPr="00CC19F7">
        <w:t>omhandlar</w:t>
      </w:r>
      <w:proofErr w:type="spellEnd"/>
      <w:r w:rsidRPr="00CC19F7">
        <w:t xml:space="preserve"> krav til og tilsyn med arbeidsmiljø, </w:t>
      </w:r>
      <w:proofErr w:type="spellStart"/>
      <w:r w:rsidRPr="00CC19F7">
        <w:t>sikkerheit</w:t>
      </w:r>
      <w:proofErr w:type="spellEnd"/>
      <w:r w:rsidRPr="00CC19F7">
        <w:t>, beredskap og sikring.</w:t>
      </w:r>
    </w:p>
    <w:p w14:paraId="30AD6470" w14:textId="77777777" w:rsidR="00FE02EF" w:rsidRPr="00CC19F7" w:rsidRDefault="00881E58" w:rsidP="00CC19F7">
      <w:r w:rsidRPr="00CC19F7">
        <w:t xml:space="preserve">Ved </w:t>
      </w:r>
      <w:proofErr w:type="spellStart"/>
      <w:r w:rsidRPr="00CC19F7">
        <w:t>kongeleg</w:t>
      </w:r>
      <w:proofErr w:type="spellEnd"/>
      <w:r w:rsidRPr="00CC19F7">
        <w:t xml:space="preserve"> resolusjon 15. september 2023 </w:t>
      </w:r>
      <w:proofErr w:type="spellStart"/>
      <w:r w:rsidRPr="00CC19F7">
        <w:t>endrar</w:t>
      </w:r>
      <w:proofErr w:type="spellEnd"/>
      <w:r w:rsidRPr="00CC19F7">
        <w:t xml:space="preserve"> Petroleumstilsynet navn til Havvindustritilsynet </w:t>
      </w:r>
      <w:proofErr w:type="spellStart"/>
      <w:r w:rsidRPr="00CC19F7">
        <w:t>frå</w:t>
      </w:r>
      <w:proofErr w:type="spellEnd"/>
      <w:r w:rsidRPr="00CC19F7">
        <w:t xml:space="preserve"> og med 1. januar 2024. </w:t>
      </w:r>
      <w:proofErr w:type="spellStart"/>
      <w:r w:rsidRPr="00CC19F7">
        <w:t>Namneendringa</w:t>
      </w:r>
      <w:proofErr w:type="spellEnd"/>
      <w:r w:rsidRPr="00CC19F7">
        <w:t xml:space="preserve"> skal reflektere Petroleumstilsynets utvida ansvarsområde. </w:t>
      </w:r>
      <w:proofErr w:type="spellStart"/>
      <w:r w:rsidRPr="00CC19F7">
        <w:t>Vidare</w:t>
      </w:r>
      <w:proofErr w:type="spellEnd"/>
      <w:r w:rsidRPr="00CC19F7">
        <w:t xml:space="preserve"> i proposisjonen vil Petroleumstilsynet bli omtalt ved det nye </w:t>
      </w:r>
      <w:proofErr w:type="spellStart"/>
      <w:r w:rsidRPr="00CC19F7">
        <w:t>namnet</w:t>
      </w:r>
      <w:proofErr w:type="spellEnd"/>
      <w:r w:rsidRPr="00CC19F7">
        <w:t xml:space="preserve"> Havindustritilsynet – også når det blir referert til tida før 1. januar 2024.</w:t>
      </w:r>
    </w:p>
    <w:p w14:paraId="06F2F3D5" w14:textId="77777777" w:rsidR="00FE02EF" w:rsidRPr="00CC19F7" w:rsidRDefault="00881E58" w:rsidP="00CC19F7">
      <w:r w:rsidRPr="00CC19F7">
        <w:t xml:space="preserve">Havindustritilsynet har i tillegg til oppfølging av petroleumsnæringa tilsynsansvar for </w:t>
      </w:r>
      <w:proofErr w:type="spellStart"/>
      <w:r w:rsidRPr="00CC19F7">
        <w:t>sikkerheita</w:t>
      </w:r>
      <w:proofErr w:type="spellEnd"/>
      <w:r w:rsidRPr="00CC19F7">
        <w:t xml:space="preserve"> for transport og lagring av CO</w:t>
      </w:r>
      <w:r w:rsidRPr="00CC19F7">
        <w:rPr>
          <w:rStyle w:val="skrift-senket"/>
        </w:rPr>
        <w:t>2</w:t>
      </w:r>
      <w:r w:rsidRPr="00CC19F7">
        <w:t xml:space="preserve"> i undersjøiske geologiske </w:t>
      </w:r>
      <w:proofErr w:type="spellStart"/>
      <w:r w:rsidRPr="00CC19F7">
        <w:t>formasjonar</w:t>
      </w:r>
      <w:proofErr w:type="spellEnd"/>
      <w:r w:rsidRPr="00CC19F7">
        <w:t xml:space="preserve"> på kontinentalsokkelen. Havindustritilsynet har også ansvar knytte til havenergilova § 5-1 om beredskap, </w:t>
      </w:r>
      <w:proofErr w:type="spellStart"/>
      <w:r w:rsidRPr="00CC19F7">
        <w:t>sikkerheit</w:t>
      </w:r>
      <w:proofErr w:type="spellEnd"/>
      <w:r w:rsidRPr="00CC19F7">
        <w:t xml:space="preserve"> og arbeidsmiljø, og havbotnminerallova kapittel 6 og § 9-1 om </w:t>
      </w:r>
      <w:proofErr w:type="spellStart"/>
      <w:r w:rsidRPr="00CC19F7">
        <w:t>sikkerheit</w:t>
      </w:r>
      <w:proofErr w:type="spellEnd"/>
      <w:r w:rsidRPr="00CC19F7">
        <w:t xml:space="preserve"> og beredskap. På denne måten bidrar Havindustritilsynet til å </w:t>
      </w:r>
      <w:proofErr w:type="spellStart"/>
      <w:r w:rsidRPr="00CC19F7">
        <w:t>vidareutvikle</w:t>
      </w:r>
      <w:proofErr w:type="spellEnd"/>
      <w:r w:rsidRPr="00CC19F7">
        <w:t xml:space="preserve"> norsk sokkel, både </w:t>
      </w:r>
      <w:proofErr w:type="spellStart"/>
      <w:r w:rsidRPr="00CC19F7">
        <w:t>innan</w:t>
      </w:r>
      <w:proofErr w:type="spellEnd"/>
      <w:r w:rsidRPr="00CC19F7">
        <w:t xml:space="preserve"> olje og gass og </w:t>
      </w:r>
      <w:proofErr w:type="spellStart"/>
      <w:r w:rsidRPr="00CC19F7">
        <w:t>innan</w:t>
      </w:r>
      <w:proofErr w:type="spellEnd"/>
      <w:r w:rsidRPr="00CC19F7">
        <w:t xml:space="preserve"> nye </w:t>
      </w:r>
      <w:proofErr w:type="spellStart"/>
      <w:r w:rsidRPr="00CC19F7">
        <w:t>næringar</w:t>
      </w:r>
      <w:proofErr w:type="spellEnd"/>
      <w:r w:rsidRPr="00CC19F7">
        <w:t xml:space="preserve">. </w:t>
      </w:r>
    </w:p>
    <w:p w14:paraId="3180EF5F" w14:textId="77777777" w:rsidR="00FE02EF" w:rsidRPr="00CC19F7" w:rsidRDefault="00881E58" w:rsidP="00CC19F7">
      <w:r w:rsidRPr="00CC19F7">
        <w:t xml:space="preserve">Regjeringa har som ambisjon at norsk </w:t>
      </w:r>
      <w:proofErr w:type="spellStart"/>
      <w:r w:rsidRPr="00CC19F7">
        <w:t>petroleumsverksemd</w:t>
      </w:r>
      <w:proofErr w:type="spellEnd"/>
      <w:r w:rsidRPr="00CC19F7">
        <w:t xml:space="preserve"> skal </w:t>
      </w:r>
      <w:proofErr w:type="spellStart"/>
      <w:r w:rsidRPr="00CC19F7">
        <w:t>vere</w:t>
      </w:r>
      <w:proofErr w:type="spellEnd"/>
      <w:r w:rsidRPr="00CC19F7">
        <w:t xml:space="preserve"> </w:t>
      </w:r>
      <w:proofErr w:type="spellStart"/>
      <w:r w:rsidRPr="00CC19F7">
        <w:t>verdsleiande</w:t>
      </w:r>
      <w:proofErr w:type="spellEnd"/>
      <w:r w:rsidRPr="00CC19F7">
        <w:t xml:space="preserve"> </w:t>
      </w:r>
      <w:proofErr w:type="spellStart"/>
      <w:r w:rsidRPr="00CC19F7">
        <w:t>innan</w:t>
      </w:r>
      <w:proofErr w:type="spellEnd"/>
      <w:r w:rsidRPr="00CC19F7">
        <w:t xml:space="preserve"> helse, miljø og </w:t>
      </w:r>
      <w:proofErr w:type="spellStart"/>
      <w:r w:rsidRPr="00CC19F7">
        <w:t>sikkerheit</w:t>
      </w:r>
      <w:proofErr w:type="spellEnd"/>
      <w:r w:rsidRPr="00CC19F7">
        <w:t xml:space="preserve"> (HMS). I det ligg ei </w:t>
      </w:r>
      <w:proofErr w:type="spellStart"/>
      <w:r w:rsidRPr="00CC19F7">
        <w:t>tydeleg</w:t>
      </w:r>
      <w:proofErr w:type="spellEnd"/>
      <w:r w:rsidRPr="00CC19F7">
        <w:t xml:space="preserve"> forventning om at petroleumsnæringa må </w:t>
      </w:r>
      <w:proofErr w:type="spellStart"/>
      <w:r w:rsidRPr="00CC19F7">
        <w:t>halde</w:t>
      </w:r>
      <w:proofErr w:type="spellEnd"/>
      <w:r w:rsidRPr="00CC19F7">
        <w:t xml:space="preserve"> fram med å jobbe for stadig </w:t>
      </w:r>
      <w:proofErr w:type="spellStart"/>
      <w:r w:rsidRPr="00CC19F7">
        <w:t>forbetring</w:t>
      </w:r>
      <w:proofErr w:type="spellEnd"/>
      <w:r w:rsidRPr="00CC19F7">
        <w:t xml:space="preserve"> og </w:t>
      </w:r>
      <w:proofErr w:type="spellStart"/>
      <w:r w:rsidRPr="00CC19F7">
        <w:t>ikkje</w:t>
      </w:r>
      <w:proofErr w:type="spellEnd"/>
      <w:r w:rsidRPr="00CC19F7">
        <w:t xml:space="preserve"> slå seg til ro med </w:t>
      </w:r>
      <w:proofErr w:type="spellStart"/>
      <w:r w:rsidRPr="00CC19F7">
        <w:t>eit</w:t>
      </w:r>
      <w:proofErr w:type="spellEnd"/>
      <w:r w:rsidRPr="00CC19F7">
        <w:t xml:space="preserve"> godt nok HMS-nivå. HMS-nivået i petroleumsnæringa har over tid utvikla seg i positiv retning, og </w:t>
      </w:r>
      <w:proofErr w:type="spellStart"/>
      <w:r w:rsidRPr="00CC19F7">
        <w:t>myndigheitene</w:t>
      </w:r>
      <w:proofErr w:type="spellEnd"/>
      <w:r w:rsidRPr="00CC19F7">
        <w:t xml:space="preserve"> og </w:t>
      </w:r>
      <w:proofErr w:type="spellStart"/>
      <w:r w:rsidRPr="00CC19F7">
        <w:t>partane</w:t>
      </w:r>
      <w:proofErr w:type="spellEnd"/>
      <w:r w:rsidRPr="00CC19F7">
        <w:t xml:space="preserve"> er </w:t>
      </w:r>
      <w:proofErr w:type="spellStart"/>
      <w:r w:rsidRPr="00CC19F7">
        <w:t>einige</w:t>
      </w:r>
      <w:proofErr w:type="spellEnd"/>
      <w:r w:rsidRPr="00CC19F7">
        <w:t xml:space="preserve"> om at HMS-nivået er høgt. Utviklinga i petroleumsnæringa knytt til storulykkepotensial og arbeidsmiljø </w:t>
      </w:r>
      <w:proofErr w:type="spellStart"/>
      <w:r w:rsidRPr="00CC19F7">
        <w:t>dei</w:t>
      </w:r>
      <w:proofErr w:type="spellEnd"/>
      <w:r w:rsidRPr="00CC19F7">
        <w:t xml:space="preserve"> siste åra tyder likevel på at det </w:t>
      </w:r>
      <w:proofErr w:type="spellStart"/>
      <w:r w:rsidRPr="00CC19F7">
        <w:t>framleis</w:t>
      </w:r>
      <w:proofErr w:type="spellEnd"/>
      <w:r w:rsidRPr="00CC19F7">
        <w:t xml:space="preserve"> er behov for å rette stor </w:t>
      </w:r>
      <w:proofErr w:type="spellStart"/>
      <w:r w:rsidRPr="00CC19F7">
        <w:t>merksemd</w:t>
      </w:r>
      <w:proofErr w:type="spellEnd"/>
      <w:r w:rsidRPr="00CC19F7">
        <w:t xml:space="preserve"> mot stadig </w:t>
      </w:r>
      <w:proofErr w:type="spellStart"/>
      <w:r w:rsidRPr="00CC19F7">
        <w:t>forbetring</w:t>
      </w:r>
      <w:proofErr w:type="spellEnd"/>
      <w:r w:rsidRPr="00CC19F7">
        <w:t xml:space="preserve"> og </w:t>
      </w:r>
      <w:proofErr w:type="spellStart"/>
      <w:r w:rsidRPr="00CC19F7">
        <w:t>førebyggande</w:t>
      </w:r>
      <w:proofErr w:type="spellEnd"/>
      <w:r w:rsidRPr="00CC19F7">
        <w:t xml:space="preserve"> arbeid knytt til HMS og sikring. </w:t>
      </w:r>
    </w:p>
    <w:p w14:paraId="3A6BE3CF" w14:textId="77777777" w:rsidR="00FE02EF" w:rsidRPr="00CC19F7" w:rsidRDefault="00881E58" w:rsidP="00CC19F7">
      <w:r w:rsidRPr="00CC19F7">
        <w:t xml:space="preserve">Regjeringa </w:t>
      </w:r>
      <w:proofErr w:type="spellStart"/>
      <w:r w:rsidRPr="00CC19F7">
        <w:t>forventar</w:t>
      </w:r>
      <w:proofErr w:type="spellEnd"/>
      <w:r w:rsidRPr="00CC19F7">
        <w:t xml:space="preserve"> også at det blir etablert </w:t>
      </w:r>
      <w:proofErr w:type="spellStart"/>
      <w:r w:rsidRPr="00CC19F7">
        <w:t>eit</w:t>
      </w:r>
      <w:proofErr w:type="spellEnd"/>
      <w:r w:rsidRPr="00CC19F7">
        <w:t xml:space="preserve"> høgt HMS-nivå for nye </w:t>
      </w:r>
      <w:proofErr w:type="spellStart"/>
      <w:r w:rsidRPr="00CC19F7">
        <w:t>industriverksemder</w:t>
      </w:r>
      <w:proofErr w:type="spellEnd"/>
      <w:r w:rsidRPr="00CC19F7">
        <w:t xml:space="preserve"> til havs.</w:t>
      </w:r>
    </w:p>
    <w:p w14:paraId="580F3CF0" w14:textId="77777777" w:rsidR="00FE02EF" w:rsidRPr="00CC19F7" w:rsidRDefault="00881E58" w:rsidP="00CC19F7">
      <w:r w:rsidRPr="00CC19F7">
        <w:t xml:space="preserve">Russlands invasjon av Ukraina har </w:t>
      </w:r>
      <w:proofErr w:type="spellStart"/>
      <w:r w:rsidRPr="00CC19F7">
        <w:t>påverka</w:t>
      </w:r>
      <w:proofErr w:type="spellEnd"/>
      <w:r w:rsidRPr="00CC19F7">
        <w:t xml:space="preserve"> </w:t>
      </w:r>
      <w:proofErr w:type="spellStart"/>
      <w:r w:rsidRPr="00CC19F7">
        <w:t>trusselbiletet</w:t>
      </w:r>
      <w:proofErr w:type="spellEnd"/>
      <w:r w:rsidRPr="00CC19F7">
        <w:t xml:space="preserve"> i petroleumsnæringa og </w:t>
      </w:r>
      <w:proofErr w:type="spellStart"/>
      <w:r w:rsidRPr="00CC19F7">
        <w:t>ytterlegare</w:t>
      </w:r>
      <w:proofErr w:type="spellEnd"/>
      <w:r w:rsidRPr="00CC19F7">
        <w:t xml:space="preserve"> aktualisert </w:t>
      </w:r>
      <w:proofErr w:type="spellStart"/>
      <w:r w:rsidRPr="00CC19F7">
        <w:t>viktigheita</w:t>
      </w:r>
      <w:proofErr w:type="spellEnd"/>
      <w:r w:rsidRPr="00CC19F7">
        <w:t xml:space="preserve"> av sikker drift på norsk sokkel. Samtidig tar næringa i bruk stadig </w:t>
      </w:r>
      <w:proofErr w:type="spellStart"/>
      <w:r w:rsidRPr="00CC19F7">
        <w:t>meir</w:t>
      </w:r>
      <w:proofErr w:type="spellEnd"/>
      <w:r w:rsidRPr="00CC19F7">
        <w:t xml:space="preserve"> ressurseffektive og </w:t>
      </w:r>
      <w:proofErr w:type="spellStart"/>
      <w:r w:rsidRPr="00CC19F7">
        <w:t>miljøvennlege</w:t>
      </w:r>
      <w:proofErr w:type="spellEnd"/>
      <w:r w:rsidRPr="00CC19F7">
        <w:t xml:space="preserve"> </w:t>
      </w:r>
      <w:proofErr w:type="spellStart"/>
      <w:r w:rsidRPr="00CC19F7">
        <w:t>løysingar</w:t>
      </w:r>
      <w:proofErr w:type="spellEnd"/>
      <w:r w:rsidRPr="00CC19F7">
        <w:t xml:space="preserve"> og omstiller seg for å bidra til nye energiformer. </w:t>
      </w:r>
      <w:proofErr w:type="spellStart"/>
      <w:r w:rsidRPr="00CC19F7">
        <w:t>Omstillingane</w:t>
      </w:r>
      <w:proofErr w:type="spellEnd"/>
      <w:r w:rsidRPr="00CC19F7">
        <w:t xml:space="preserve"> er ofte komplekse og kan ha betydning for HMS-nivået på sokkelen. </w:t>
      </w:r>
      <w:proofErr w:type="spellStart"/>
      <w:r w:rsidRPr="00CC19F7">
        <w:t>Sikkerheits</w:t>
      </w:r>
      <w:proofErr w:type="spellEnd"/>
      <w:r w:rsidRPr="00CC19F7">
        <w:t xml:space="preserve">- og beredskapsarbeid og arbeidet med oppfølging av </w:t>
      </w:r>
      <w:proofErr w:type="spellStart"/>
      <w:r w:rsidRPr="00CC19F7">
        <w:t>sikkerheitslova</w:t>
      </w:r>
      <w:proofErr w:type="spellEnd"/>
      <w:r w:rsidRPr="00CC19F7">
        <w:t xml:space="preserve"> er mellom anna omtalt i kapittel 7 i Del III av proposisjonen.</w:t>
      </w:r>
    </w:p>
    <w:p w14:paraId="5BA19AA1" w14:textId="77777777" w:rsidR="00FE02EF" w:rsidRPr="00CC19F7" w:rsidRDefault="00881E58" w:rsidP="00CC19F7">
      <w:r w:rsidRPr="00CC19F7">
        <w:t xml:space="preserve">Departementet vil gjennom etatsstyringa av Havindustritilsynet, og gjennom gjennomføring av </w:t>
      </w:r>
      <w:proofErr w:type="spellStart"/>
      <w:r w:rsidRPr="00CC19F7">
        <w:t>konsesjonsrundar</w:t>
      </w:r>
      <w:proofErr w:type="spellEnd"/>
      <w:r w:rsidRPr="00CC19F7">
        <w:t xml:space="preserve"> og godkjenning av </w:t>
      </w:r>
      <w:proofErr w:type="spellStart"/>
      <w:r w:rsidRPr="00CC19F7">
        <w:t>utbyggingsplanar</w:t>
      </w:r>
      <w:proofErr w:type="spellEnd"/>
      <w:r w:rsidRPr="00CC19F7">
        <w:t xml:space="preserve">, jobbe for aktiv oppfølging av næringa og bidra til å </w:t>
      </w:r>
      <w:proofErr w:type="spellStart"/>
      <w:r w:rsidRPr="00CC19F7">
        <w:t>halde</w:t>
      </w:r>
      <w:proofErr w:type="spellEnd"/>
      <w:r w:rsidRPr="00CC19F7">
        <w:t xml:space="preserve"> oppe </w:t>
      </w:r>
      <w:proofErr w:type="spellStart"/>
      <w:r w:rsidRPr="00CC19F7">
        <w:t>eit</w:t>
      </w:r>
      <w:proofErr w:type="spellEnd"/>
      <w:r w:rsidRPr="00CC19F7">
        <w:t xml:space="preserve"> høgt HMS-nivå på norsk sokkel. Departementet vil også legge vekt på at Havindustritilsynet i samarbeid med næringa held fram med å legge til rette for </w:t>
      </w:r>
      <w:proofErr w:type="spellStart"/>
      <w:r w:rsidRPr="00CC19F7">
        <w:t>eit</w:t>
      </w:r>
      <w:proofErr w:type="spellEnd"/>
      <w:r w:rsidRPr="00CC19F7">
        <w:t xml:space="preserve"> godt partssamarbeid og for kunnskapsutvikling og dokumentasjon om HMS i petroleumsnæringa.</w:t>
      </w:r>
    </w:p>
    <w:p w14:paraId="61B5EB5A" w14:textId="77777777" w:rsidR="00FE02EF" w:rsidRPr="00CC19F7" w:rsidRDefault="00881E58" w:rsidP="00CC19F7">
      <w:pPr>
        <w:pStyle w:val="tittel-ramme"/>
      </w:pPr>
      <w:r w:rsidRPr="00CC19F7">
        <w:t xml:space="preserve">Forslag til </w:t>
      </w:r>
      <w:proofErr w:type="spellStart"/>
      <w:r w:rsidRPr="00CC19F7">
        <w:t>løyvingar</w:t>
      </w:r>
      <w:proofErr w:type="spellEnd"/>
      <w:r w:rsidRPr="00CC19F7">
        <w:t xml:space="preserve"> til </w:t>
      </w:r>
      <w:proofErr w:type="spellStart"/>
      <w:r w:rsidRPr="00CC19F7">
        <w:t>sikkerheit</w:t>
      </w:r>
      <w:proofErr w:type="spellEnd"/>
      <w:r w:rsidRPr="00CC19F7">
        <w:t xml:space="preserve"> og arbeidsmiljø i </w:t>
      </w:r>
      <w:proofErr w:type="spellStart"/>
      <w:r w:rsidRPr="00CC19F7">
        <w:t>petroleumsverksemda</w:t>
      </w:r>
      <w:proofErr w:type="spellEnd"/>
      <w:r w:rsidRPr="00CC19F7">
        <w:t xml:space="preserve"> og anna </w:t>
      </w:r>
      <w:proofErr w:type="spellStart"/>
      <w:r w:rsidRPr="00CC19F7">
        <w:t>industriverksemd</w:t>
      </w:r>
      <w:proofErr w:type="spellEnd"/>
      <w:r w:rsidRPr="00CC19F7">
        <w:t xml:space="preserve"> til havs</w:t>
      </w:r>
    </w:p>
    <w:p w14:paraId="1B12C5DF" w14:textId="77777777" w:rsidR="00FE02EF" w:rsidRPr="00CC19F7" w:rsidRDefault="00881E58" w:rsidP="00CC19F7">
      <w:r w:rsidRPr="00CC19F7">
        <w:t xml:space="preserve">Til </w:t>
      </w:r>
      <w:proofErr w:type="spellStart"/>
      <w:r w:rsidRPr="00CC19F7">
        <w:t>saman</w:t>
      </w:r>
      <w:proofErr w:type="spellEnd"/>
      <w:r w:rsidRPr="00CC19F7">
        <w:t xml:space="preserve"> blir det foreslått om lag 384 mill. kroner til Havindustritilsynet, som skal legge </w:t>
      </w:r>
      <w:proofErr w:type="spellStart"/>
      <w:r w:rsidRPr="00CC19F7">
        <w:t>premissar</w:t>
      </w:r>
      <w:proofErr w:type="spellEnd"/>
      <w:r w:rsidRPr="00CC19F7">
        <w:t xml:space="preserve"> for </w:t>
      </w:r>
      <w:proofErr w:type="spellStart"/>
      <w:r w:rsidRPr="00CC19F7">
        <w:t>og</w:t>
      </w:r>
      <w:proofErr w:type="spellEnd"/>
      <w:r w:rsidRPr="00CC19F7">
        <w:t xml:space="preserve"> følge opp at </w:t>
      </w:r>
      <w:proofErr w:type="spellStart"/>
      <w:r w:rsidRPr="00CC19F7">
        <w:t>aktørane</w:t>
      </w:r>
      <w:proofErr w:type="spellEnd"/>
      <w:r w:rsidRPr="00CC19F7">
        <w:t xml:space="preserve"> </w:t>
      </w:r>
      <w:proofErr w:type="spellStart"/>
      <w:r w:rsidRPr="00CC19F7">
        <w:t>innanfor</w:t>
      </w:r>
      <w:proofErr w:type="spellEnd"/>
      <w:r w:rsidRPr="00CC19F7">
        <w:t xml:space="preserve"> tilsynets </w:t>
      </w:r>
      <w:proofErr w:type="spellStart"/>
      <w:r w:rsidRPr="00CC19F7">
        <w:t>myndigheitsområde</w:t>
      </w:r>
      <w:proofErr w:type="spellEnd"/>
      <w:r w:rsidRPr="00CC19F7">
        <w:t xml:space="preserve"> held </w:t>
      </w:r>
      <w:proofErr w:type="spellStart"/>
      <w:r w:rsidRPr="00CC19F7">
        <w:t>eit</w:t>
      </w:r>
      <w:proofErr w:type="spellEnd"/>
      <w:r w:rsidRPr="00CC19F7">
        <w:t xml:space="preserve"> høgt nivå når det </w:t>
      </w:r>
      <w:proofErr w:type="spellStart"/>
      <w:r w:rsidRPr="00CC19F7">
        <w:t>gjeld</w:t>
      </w:r>
      <w:proofErr w:type="spellEnd"/>
      <w:r w:rsidRPr="00CC19F7">
        <w:t xml:space="preserve"> arbeidsmiljø, </w:t>
      </w:r>
      <w:proofErr w:type="spellStart"/>
      <w:r w:rsidRPr="00CC19F7">
        <w:t>sikkerheit</w:t>
      </w:r>
      <w:proofErr w:type="spellEnd"/>
      <w:r w:rsidRPr="00CC19F7">
        <w:t>, beredskap og sikring.</w:t>
      </w:r>
    </w:p>
    <w:p w14:paraId="3A3DBE40" w14:textId="77777777" w:rsidR="00FE02EF" w:rsidRPr="00CC19F7" w:rsidRDefault="00881E58" w:rsidP="00CC19F7">
      <w:pPr>
        <w:pStyle w:val="Ramme-slutt"/>
      </w:pPr>
      <w:r w:rsidRPr="00CC19F7">
        <w:t>[Boks slutt]</w:t>
      </w:r>
    </w:p>
    <w:p w14:paraId="6DB8669A" w14:textId="77777777" w:rsidR="00FE02EF" w:rsidRPr="00CC19F7" w:rsidRDefault="00881E58" w:rsidP="00CC19F7">
      <w:pPr>
        <w:pStyle w:val="Overskrift1"/>
      </w:pPr>
      <w:r w:rsidRPr="00CC19F7">
        <w:t>Oversikt over budsjettforslaget</w:t>
      </w:r>
    </w:p>
    <w:p w14:paraId="56451B7A" w14:textId="77777777" w:rsidR="00FE02EF" w:rsidRPr="00CC19F7" w:rsidRDefault="00881E58" w:rsidP="00CC19F7">
      <w:pPr>
        <w:pStyle w:val="Undertittel"/>
      </w:pPr>
      <w:r w:rsidRPr="00CC19F7">
        <w:t>Utgifter fordelte på kapittel</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405"/>
        <w:gridCol w:w="1195"/>
        <w:gridCol w:w="1300"/>
      </w:tblGrid>
      <w:tr w:rsidR="00FE02EF" w:rsidRPr="00CC19F7" w14:paraId="4D2866E1" w14:textId="77777777" w:rsidTr="00CC19F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43C0923" w14:textId="77777777" w:rsidR="00FE02EF" w:rsidRPr="00CC19F7" w:rsidRDefault="00881E58" w:rsidP="00CC19F7">
            <w:pPr>
              <w:pStyle w:val="Tabellnavn"/>
            </w:pPr>
            <w:r w:rsidRPr="00CC19F7">
              <w:t>UIPOKL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7E375A2E" w14:textId="77777777" w:rsidR="00FE02EF" w:rsidRPr="00CC19F7" w:rsidRDefault="00FE02EF" w:rsidP="00CC19F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C8B8814" w14:textId="77777777" w:rsidR="00FE02EF" w:rsidRPr="00CC19F7" w:rsidRDefault="00FE02EF" w:rsidP="00CC19F7">
            <w:pPr>
              <w:jc w:val="right"/>
            </w:pPr>
          </w:p>
        </w:tc>
        <w:tc>
          <w:tcPr>
            <w:tcW w:w="1405" w:type="dxa"/>
            <w:tcBorders>
              <w:top w:val="nil"/>
              <w:left w:val="nil"/>
              <w:bottom w:val="single" w:sz="4" w:space="0" w:color="000000"/>
              <w:right w:val="nil"/>
            </w:tcBorders>
            <w:tcMar>
              <w:top w:w="128" w:type="dxa"/>
              <w:left w:w="43" w:type="dxa"/>
              <w:bottom w:w="43" w:type="dxa"/>
              <w:right w:w="43" w:type="dxa"/>
            </w:tcMar>
            <w:vAlign w:val="bottom"/>
          </w:tcPr>
          <w:p w14:paraId="7FF03A5C" w14:textId="77777777" w:rsidR="00FE02EF" w:rsidRPr="00CC19F7" w:rsidRDefault="00FE02EF" w:rsidP="00CC19F7">
            <w:pPr>
              <w:jc w:val="right"/>
            </w:pPr>
          </w:p>
        </w:tc>
        <w:tc>
          <w:tcPr>
            <w:tcW w:w="1195" w:type="dxa"/>
            <w:tcBorders>
              <w:top w:val="nil"/>
              <w:left w:val="nil"/>
              <w:bottom w:val="single" w:sz="4" w:space="0" w:color="000000"/>
              <w:right w:val="nil"/>
            </w:tcBorders>
            <w:tcMar>
              <w:top w:w="128" w:type="dxa"/>
              <w:left w:w="43" w:type="dxa"/>
              <w:bottom w:w="43" w:type="dxa"/>
              <w:right w:w="43" w:type="dxa"/>
            </w:tcMar>
            <w:vAlign w:val="bottom"/>
          </w:tcPr>
          <w:p w14:paraId="3DFBC61F" w14:textId="77777777" w:rsidR="00FE02EF" w:rsidRPr="00CC19F7" w:rsidRDefault="00FE02EF" w:rsidP="00CC19F7">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EEC5FE9" w14:textId="77777777" w:rsidR="00FE02EF" w:rsidRPr="00CC19F7" w:rsidRDefault="00881E58" w:rsidP="00CC19F7">
            <w:pPr>
              <w:jc w:val="right"/>
            </w:pPr>
            <w:r w:rsidRPr="00CC19F7">
              <w:t>(i 1 000 kr)</w:t>
            </w:r>
          </w:p>
        </w:tc>
      </w:tr>
      <w:tr w:rsidR="00FE02EF" w:rsidRPr="00CC19F7" w14:paraId="071EE40F" w14:textId="77777777" w:rsidTr="00CC19F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1FF9BAF" w14:textId="77777777" w:rsidR="00FE02EF" w:rsidRPr="00CC19F7" w:rsidRDefault="00881E58" w:rsidP="00CC19F7">
            <w:r w:rsidRPr="00CC19F7">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66044929" w14:textId="77777777" w:rsidR="00FE02EF" w:rsidRPr="00CC19F7" w:rsidRDefault="00881E58" w:rsidP="00CC19F7">
            <w:proofErr w:type="spellStart"/>
            <w:r w:rsidRPr="00CC19F7">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D7799C3" w14:textId="77777777" w:rsidR="00FE02EF" w:rsidRPr="00CC19F7" w:rsidRDefault="00881E58" w:rsidP="00CC19F7">
            <w:pPr>
              <w:jc w:val="right"/>
            </w:pPr>
            <w:proofErr w:type="spellStart"/>
            <w:r w:rsidRPr="00CC19F7">
              <w:t>Rekneskap</w:t>
            </w:r>
            <w:proofErr w:type="spellEnd"/>
            <w:r w:rsidRPr="00CC19F7">
              <w:br/>
              <w:t>2022</w:t>
            </w:r>
          </w:p>
        </w:tc>
        <w:tc>
          <w:tcPr>
            <w:tcW w:w="1405" w:type="dxa"/>
            <w:tcBorders>
              <w:top w:val="nil"/>
              <w:left w:val="nil"/>
              <w:bottom w:val="single" w:sz="4" w:space="0" w:color="000000"/>
              <w:right w:val="nil"/>
            </w:tcBorders>
            <w:tcMar>
              <w:top w:w="128" w:type="dxa"/>
              <w:left w:w="43" w:type="dxa"/>
              <w:bottom w:w="43" w:type="dxa"/>
              <w:right w:w="43" w:type="dxa"/>
            </w:tcMar>
            <w:vAlign w:val="bottom"/>
          </w:tcPr>
          <w:p w14:paraId="0052AEF3" w14:textId="77777777" w:rsidR="00FE02EF" w:rsidRPr="00CC19F7" w:rsidRDefault="00881E58" w:rsidP="00CC19F7">
            <w:pPr>
              <w:jc w:val="right"/>
            </w:pPr>
            <w:r w:rsidRPr="00CC19F7">
              <w:t>Saldert</w:t>
            </w:r>
            <w:r w:rsidRPr="00CC19F7">
              <w:br/>
              <w:t>budsjett 2023</w:t>
            </w:r>
          </w:p>
        </w:tc>
        <w:tc>
          <w:tcPr>
            <w:tcW w:w="1195" w:type="dxa"/>
            <w:tcBorders>
              <w:top w:val="nil"/>
              <w:left w:val="nil"/>
              <w:bottom w:val="single" w:sz="4" w:space="0" w:color="000000"/>
              <w:right w:val="nil"/>
            </w:tcBorders>
            <w:tcMar>
              <w:top w:w="128" w:type="dxa"/>
              <w:left w:w="43" w:type="dxa"/>
              <w:bottom w:w="43" w:type="dxa"/>
              <w:right w:w="43" w:type="dxa"/>
            </w:tcMar>
            <w:vAlign w:val="bottom"/>
          </w:tcPr>
          <w:p w14:paraId="7F0E6356" w14:textId="77777777" w:rsidR="00FE02EF" w:rsidRPr="00CC19F7" w:rsidRDefault="00881E58" w:rsidP="00CC19F7">
            <w:pPr>
              <w:jc w:val="right"/>
            </w:pPr>
            <w:r w:rsidRPr="00CC19F7">
              <w:t>Forslag</w:t>
            </w:r>
            <w:r w:rsidRPr="00CC19F7">
              <w:br/>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605C9E3" w14:textId="77777777" w:rsidR="00FE02EF" w:rsidRPr="00CC19F7" w:rsidRDefault="00881E58" w:rsidP="00CC19F7">
            <w:pPr>
              <w:jc w:val="right"/>
            </w:pPr>
            <w:r w:rsidRPr="00CC19F7">
              <w:t>Endring</w:t>
            </w:r>
            <w:r w:rsidRPr="00CC19F7">
              <w:br/>
              <w:t>i pst.</w:t>
            </w:r>
          </w:p>
        </w:tc>
      </w:tr>
      <w:tr w:rsidR="00FE02EF" w:rsidRPr="00CC19F7" w14:paraId="0B3AB181" w14:textId="77777777" w:rsidTr="00CC19F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471FB7B7" w14:textId="77777777" w:rsidR="00FE02EF" w:rsidRPr="00CC19F7" w:rsidRDefault="00FE02EF" w:rsidP="00CC19F7"/>
        </w:tc>
        <w:tc>
          <w:tcPr>
            <w:tcW w:w="3500" w:type="dxa"/>
            <w:tcBorders>
              <w:top w:val="single" w:sz="4" w:space="0" w:color="000000"/>
              <w:left w:val="nil"/>
              <w:bottom w:val="nil"/>
              <w:right w:val="nil"/>
            </w:tcBorders>
            <w:tcMar>
              <w:top w:w="128" w:type="dxa"/>
              <w:left w:w="43" w:type="dxa"/>
              <w:bottom w:w="43" w:type="dxa"/>
              <w:right w:w="43" w:type="dxa"/>
            </w:tcMar>
          </w:tcPr>
          <w:p w14:paraId="26D7BE06" w14:textId="77777777" w:rsidR="00FE02EF" w:rsidRPr="00CC19F7" w:rsidRDefault="00881E58" w:rsidP="00CC19F7">
            <w:r w:rsidRPr="00CC19F7">
              <w:rPr>
                <w:rStyle w:val="halvfet0"/>
              </w:rPr>
              <w:t>Administrasjon</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DA1BE27" w14:textId="77777777" w:rsidR="00FE02EF" w:rsidRPr="00CC19F7" w:rsidRDefault="00FE02EF" w:rsidP="00CC19F7">
            <w:pPr>
              <w:jc w:val="right"/>
            </w:pPr>
          </w:p>
        </w:tc>
        <w:tc>
          <w:tcPr>
            <w:tcW w:w="1405" w:type="dxa"/>
            <w:tcBorders>
              <w:top w:val="single" w:sz="4" w:space="0" w:color="000000"/>
              <w:left w:val="nil"/>
              <w:bottom w:val="nil"/>
              <w:right w:val="nil"/>
            </w:tcBorders>
            <w:tcMar>
              <w:top w:w="128" w:type="dxa"/>
              <w:left w:w="43" w:type="dxa"/>
              <w:bottom w:w="43" w:type="dxa"/>
              <w:right w:w="43" w:type="dxa"/>
            </w:tcMar>
            <w:vAlign w:val="bottom"/>
          </w:tcPr>
          <w:p w14:paraId="0108AD12" w14:textId="77777777" w:rsidR="00FE02EF" w:rsidRPr="00CC19F7" w:rsidRDefault="00FE02EF" w:rsidP="00CC19F7">
            <w:pPr>
              <w:jc w:val="right"/>
            </w:pPr>
          </w:p>
        </w:tc>
        <w:tc>
          <w:tcPr>
            <w:tcW w:w="1195" w:type="dxa"/>
            <w:tcBorders>
              <w:top w:val="single" w:sz="4" w:space="0" w:color="000000"/>
              <w:left w:val="nil"/>
              <w:bottom w:val="nil"/>
              <w:right w:val="nil"/>
            </w:tcBorders>
            <w:tcMar>
              <w:top w:w="128" w:type="dxa"/>
              <w:left w:w="43" w:type="dxa"/>
              <w:bottom w:w="43" w:type="dxa"/>
              <w:right w:w="43" w:type="dxa"/>
            </w:tcMar>
            <w:vAlign w:val="bottom"/>
          </w:tcPr>
          <w:p w14:paraId="44E44948" w14:textId="77777777" w:rsidR="00FE02EF" w:rsidRPr="00CC19F7" w:rsidRDefault="00FE02EF" w:rsidP="00CC19F7">
            <w:pPr>
              <w:jc w:val="right"/>
            </w:pP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4DC1C6A" w14:textId="77777777" w:rsidR="00FE02EF" w:rsidRPr="00CC19F7" w:rsidRDefault="00FE02EF" w:rsidP="00CC19F7">
            <w:pPr>
              <w:jc w:val="right"/>
            </w:pPr>
          </w:p>
        </w:tc>
      </w:tr>
      <w:tr w:rsidR="00FE02EF" w:rsidRPr="00CC19F7" w14:paraId="40263FFF" w14:textId="77777777" w:rsidTr="00CC19F7">
        <w:trPr>
          <w:trHeight w:val="380"/>
        </w:trPr>
        <w:tc>
          <w:tcPr>
            <w:tcW w:w="840" w:type="dxa"/>
            <w:tcBorders>
              <w:top w:val="nil"/>
              <w:left w:val="nil"/>
              <w:bottom w:val="nil"/>
              <w:right w:val="nil"/>
            </w:tcBorders>
            <w:tcMar>
              <w:top w:w="128" w:type="dxa"/>
              <w:left w:w="43" w:type="dxa"/>
              <w:bottom w:w="43" w:type="dxa"/>
              <w:right w:w="43" w:type="dxa"/>
            </w:tcMar>
          </w:tcPr>
          <w:p w14:paraId="65B84EAB" w14:textId="77777777" w:rsidR="00FE02EF" w:rsidRPr="00CC19F7" w:rsidRDefault="00881E58" w:rsidP="00CC19F7">
            <w:r w:rsidRPr="00CC19F7">
              <w:t>1800</w:t>
            </w:r>
          </w:p>
        </w:tc>
        <w:tc>
          <w:tcPr>
            <w:tcW w:w="3500" w:type="dxa"/>
            <w:tcBorders>
              <w:top w:val="nil"/>
              <w:left w:val="nil"/>
              <w:bottom w:val="nil"/>
              <w:right w:val="nil"/>
            </w:tcBorders>
            <w:tcMar>
              <w:top w:w="128" w:type="dxa"/>
              <w:left w:w="43" w:type="dxa"/>
              <w:bottom w:w="43" w:type="dxa"/>
              <w:right w:w="43" w:type="dxa"/>
            </w:tcMar>
          </w:tcPr>
          <w:p w14:paraId="6AAEE7C9" w14:textId="77777777" w:rsidR="00FE02EF" w:rsidRPr="00CC19F7" w:rsidRDefault="00881E58" w:rsidP="00CC19F7">
            <w:r w:rsidRPr="00CC19F7">
              <w:t>Olje- og energidepartementet</w:t>
            </w:r>
          </w:p>
        </w:tc>
        <w:tc>
          <w:tcPr>
            <w:tcW w:w="1300" w:type="dxa"/>
            <w:tcBorders>
              <w:top w:val="nil"/>
              <w:left w:val="nil"/>
              <w:bottom w:val="nil"/>
              <w:right w:val="nil"/>
            </w:tcBorders>
            <w:tcMar>
              <w:top w:w="128" w:type="dxa"/>
              <w:left w:w="43" w:type="dxa"/>
              <w:bottom w:w="43" w:type="dxa"/>
              <w:right w:w="43" w:type="dxa"/>
            </w:tcMar>
            <w:vAlign w:val="bottom"/>
          </w:tcPr>
          <w:p w14:paraId="52FEF8EA" w14:textId="77777777" w:rsidR="00FE02EF" w:rsidRPr="00CC19F7" w:rsidRDefault="00881E58" w:rsidP="00CC19F7">
            <w:pPr>
              <w:jc w:val="right"/>
            </w:pPr>
            <w:r w:rsidRPr="00CC19F7">
              <w:t>258 603</w:t>
            </w:r>
          </w:p>
        </w:tc>
        <w:tc>
          <w:tcPr>
            <w:tcW w:w="1405" w:type="dxa"/>
            <w:tcBorders>
              <w:top w:val="nil"/>
              <w:left w:val="nil"/>
              <w:bottom w:val="nil"/>
              <w:right w:val="nil"/>
            </w:tcBorders>
            <w:tcMar>
              <w:top w:w="128" w:type="dxa"/>
              <w:left w:w="43" w:type="dxa"/>
              <w:bottom w:w="43" w:type="dxa"/>
              <w:right w:w="43" w:type="dxa"/>
            </w:tcMar>
            <w:vAlign w:val="bottom"/>
          </w:tcPr>
          <w:p w14:paraId="1A9FFC41" w14:textId="77777777" w:rsidR="00FE02EF" w:rsidRPr="00CC19F7" w:rsidRDefault="00881E58" w:rsidP="00CC19F7">
            <w:pPr>
              <w:jc w:val="right"/>
            </w:pPr>
            <w:r w:rsidRPr="00CC19F7">
              <w:t>279 737</w:t>
            </w:r>
          </w:p>
        </w:tc>
        <w:tc>
          <w:tcPr>
            <w:tcW w:w="1195" w:type="dxa"/>
            <w:tcBorders>
              <w:top w:val="nil"/>
              <w:left w:val="nil"/>
              <w:bottom w:val="nil"/>
              <w:right w:val="nil"/>
            </w:tcBorders>
            <w:tcMar>
              <w:top w:w="128" w:type="dxa"/>
              <w:left w:w="43" w:type="dxa"/>
              <w:bottom w:w="43" w:type="dxa"/>
              <w:right w:w="43" w:type="dxa"/>
            </w:tcMar>
            <w:vAlign w:val="bottom"/>
          </w:tcPr>
          <w:p w14:paraId="069D1BE3" w14:textId="77777777" w:rsidR="00FE02EF" w:rsidRPr="00CC19F7" w:rsidRDefault="00881E58" w:rsidP="00CC19F7">
            <w:pPr>
              <w:jc w:val="right"/>
            </w:pPr>
            <w:r w:rsidRPr="00CC19F7">
              <w:t>324 000</w:t>
            </w:r>
          </w:p>
        </w:tc>
        <w:tc>
          <w:tcPr>
            <w:tcW w:w="1300" w:type="dxa"/>
            <w:tcBorders>
              <w:top w:val="nil"/>
              <w:left w:val="nil"/>
              <w:bottom w:val="nil"/>
              <w:right w:val="nil"/>
            </w:tcBorders>
            <w:tcMar>
              <w:top w:w="128" w:type="dxa"/>
              <w:left w:w="43" w:type="dxa"/>
              <w:bottom w:w="43" w:type="dxa"/>
              <w:right w:w="43" w:type="dxa"/>
            </w:tcMar>
            <w:vAlign w:val="bottom"/>
          </w:tcPr>
          <w:p w14:paraId="544397E0" w14:textId="77777777" w:rsidR="00FE02EF" w:rsidRPr="00CC19F7" w:rsidRDefault="00881E58" w:rsidP="00CC19F7">
            <w:pPr>
              <w:jc w:val="right"/>
            </w:pPr>
            <w:r w:rsidRPr="00CC19F7">
              <w:t>15,8</w:t>
            </w:r>
          </w:p>
        </w:tc>
      </w:tr>
      <w:tr w:rsidR="00FE02EF" w:rsidRPr="00CC19F7" w14:paraId="0129D84E" w14:textId="77777777" w:rsidTr="00CC19F7">
        <w:trPr>
          <w:trHeight w:val="380"/>
        </w:trPr>
        <w:tc>
          <w:tcPr>
            <w:tcW w:w="840" w:type="dxa"/>
            <w:tcBorders>
              <w:top w:val="nil"/>
              <w:left w:val="nil"/>
              <w:bottom w:val="nil"/>
              <w:right w:val="nil"/>
            </w:tcBorders>
            <w:tcMar>
              <w:top w:w="128" w:type="dxa"/>
              <w:left w:w="43" w:type="dxa"/>
              <w:bottom w:w="43" w:type="dxa"/>
              <w:right w:w="43" w:type="dxa"/>
            </w:tcMar>
          </w:tcPr>
          <w:p w14:paraId="1671E864" w14:textId="77777777" w:rsidR="00FE02EF" w:rsidRPr="00CC19F7" w:rsidRDefault="00FE02EF" w:rsidP="00CC19F7"/>
        </w:tc>
        <w:tc>
          <w:tcPr>
            <w:tcW w:w="3500" w:type="dxa"/>
            <w:tcBorders>
              <w:top w:val="nil"/>
              <w:left w:val="nil"/>
              <w:bottom w:val="nil"/>
              <w:right w:val="nil"/>
            </w:tcBorders>
            <w:tcMar>
              <w:top w:w="128" w:type="dxa"/>
              <w:left w:w="43" w:type="dxa"/>
              <w:bottom w:w="43" w:type="dxa"/>
              <w:right w:w="43" w:type="dxa"/>
            </w:tcMar>
          </w:tcPr>
          <w:p w14:paraId="2AECF422" w14:textId="77777777" w:rsidR="00FE02EF" w:rsidRPr="00CC19F7" w:rsidRDefault="00881E58" w:rsidP="00CC19F7">
            <w:r w:rsidRPr="00CC19F7">
              <w:rPr>
                <w:rStyle w:val="kursiv"/>
              </w:rPr>
              <w:t>Sum kategori 18.00</w:t>
            </w:r>
          </w:p>
        </w:tc>
        <w:tc>
          <w:tcPr>
            <w:tcW w:w="1300" w:type="dxa"/>
            <w:tcBorders>
              <w:top w:val="nil"/>
              <w:left w:val="nil"/>
              <w:bottom w:val="nil"/>
              <w:right w:val="nil"/>
            </w:tcBorders>
            <w:tcMar>
              <w:top w:w="128" w:type="dxa"/>
              <w:left w:w="43" w:type="dxa"/>
              <w:bottom w:w="43" w:type="dxa"/>
              <w:right w:w="43" w:type="dxa"/>
            </w:tcMar>
            <w:vAlign w:val="bottom"/>
          </w:tcPr>
          <w:p w14:paraId="5F5E91D8" w14:textId="77777777" w:rsidR="00FE02EF" w:rsidRPr="00CC19F7" w:rsidRDefault="00881E58" w:rsidP="00CC19F7">
            <w:pPr>
              <w:jc w:val="right"/>
            </w:pPr>
            <w:r w:rsidRPr="00CC19F7">
              <w:rPr>
                <w:rStyle w:val="kursiv"/>
              </w:rPr>
              <w:t>258 603</w:t>
            </w:r>
          </w:p>
        </w:tc>
        <w:tc>
          <w:tcPr>
            <w:tcW w:w="1405" w:type="dxa"/>
            <w:tcBorders>
              <w:top w:val="nil"/>
              <w:left w:val="nil"/>
              <w:bottom w:val="nil"/>
              <w:right w:val="nil"/>
            </w:tcBorders>
            <w:tcMar>
              <w:top w:w="128" w:type="dxa"/>
              <w:left w:w="43" w:type="dxa"/>
              <w:bottom w:w="43" w:type="dxa"/>
              <w:right w:w="43" w:type="dxa"/>
            </w:tcMar>
            <w:vAlign w:val="bottom"/>
          </w:tcPr>
          <w:p w14:paraId="4A0DEEF9" w14:textId="77777777" w:rsidR="00FE02EF" w:rsidRPr="00CC19F7" w:rsidRDefault="00881E58" w:rsidP="00CC19F7">
            <w:pPr>
              <w:jc w:val="right"/>
            </w:pPr>
            <w:r w:rsidRPr="00CC19F7">
              <w:rPr>
                <w:rStyle w:val="kursiv"/>
              </w:rPr>
              <w:t>279 737</w:t>
            </w:r>
          </w:p>
        </w:tc>
        <w:tc>
          <w:tcPr>
            <w:tcW w:w="1195" w:type="dxa"/>
            <w:tcBorders>
              <w:top w:val="nil"/>
              <w:left w:val="nil"/>
              <w:bottom w:val="nil"/>
              <w:right w:val="nil"/>
            </w:tcBorders>
            <w:tcMar>
              <w:top w:w="128" w:type="dxa"/>
              <w:left w:w="43" w:type="dxa"/>
              <w:bottom w:w="43" w:type="dxa"/>
              <w:right w:w="43" w:type="dxa"/>
            </w:tcMar>
            <w:vAlign w:val="bottom"/>
          </w:tcPr>
          <w:p w14:paraId="1395A8B1" w14:textId="77777777" w:rsidR="00FE02EF" w:rsidRPr="00CC19F7" w:rsidRDefault="00881E58" w:rsidP="00CC19F7">
            <w:pPr>
              <w:jc w:val="right"/>
            </w:pPr>
            <w:r w:rsidRPr="00CC19F7">
              <w:rPr>
                <w:rStyle w:val="kursiv"/>
              </w:rPr>
              <w:t>324 000</w:t>
            </w:r>
          </w:p>
        </w:tc>
        <w:tc>
          <w:tcPr>
            <w:tcW w:w="1300" w:type="dxa"/>
            <w:tcBorders>
              <w:top w:val="nil"/>
              <w:left w:val="nil"/>
              <w:bottom w:val="nil"/>
              <w:right w:val="nil"/>
            </w:tcBorders>
            <w:tcMar>
              <w:top w:w="128" w:type="dxa"/>
              <w:left w:w="43" w:type="dxa"/>
              <w:bottom w:w="43" w:type="dxa"/>
              <w:right w:w="43" w:type="dxa"/>
            </w:tcMar>
            <w:vAlign w:val="bottom"/>
          </w:tcPr>
          <w:p w14:paraId="6F7546CB" w14:textId="77777777" w:rsidR="00FE02EF" w:rsidRPr="00CC19F7" w:rsidRDefault="00881E58" w:rsidP="00CC19F7">
            <w:pPr>
              <w:jc w:val="right"/>
            </w:pPr>
            <w:r w:rsidRPr="00CC19F7">
              <w:rPr>
                <w:rStyle w:val="kursiv"/>
              </w:rPr>
              <w:t>15,8</w:t>
            </w:r>
          </w:p>
        </w:tc>
      </w:tr>
      <w:tr w:rsidR="00FE02EF" w:rsidRPr="00CC19F7" w14:paraId="3EFDA6A4" w14:textId="77777777" w:rsidTr="00CC19F7">
        <w:trPr>
          <w:trHeight w:val="380"/>
        </w:trPr>
        <w:tc>
          <w:tcPr>
            <w:tcW w:w="840" w:type="dxa"/>
            <w:tcBorders>
              <w:top w:val="nil"/>
              <w:left w:val="nil"/>
              <w:bottom w:val="nil"/>
              <w:right w:val="nil"/>
            </w:tcBorders>
            <w:tcMar>
              <w:top w:w="128" w:type="dxa"/>
              <w:left w:w="43" w:type="dxa"/>
              <w:bottom w:w="43" w:type="dxa"/>
              <w:right w:w="43" w:type="dxa"/>
            </w:tcMar>
          </w:tcPr>
          <w:p w14:paraId="3D5BD3DF" w14:textId="77777777" w:rsidR="00FE02EF" w:rsidRPr="00CC19F7" w:rsidRDefault="00FE02EF" w:rsidP="00CC19F7"/>
        </w:tc>
        <w:tc>
          <w:tcPr>
            <w:tcW w:w="3500" w:type="dxa"/>
            <w:tcBorders>
              <w:top w:val="nil"/>
              <w:left w:val="nil"/>
              <w:bottom w:val="nil"/>
              <w:right w:val="nil"/>
            </w:tcBorders>
            <w:tcMar>
              <w:top w:w="128" w:type="dxa"/>
              <w:left w:w="43" w:type="dxa"/>
              <w:bottom w:w="43" w:type="dxa"/>
              <w:right w:w="43" w:type="dxa"/>
            </w:tcMar>
          </w:tcPr>
          <w:p w14:paraId="06DBD9F3" w14:textId="77777777" w:rsidR="00FE02EF" w:rsidRPr="00CC19F7" w:rsidRDefault="00881E58" w:rsidP="00CC19F7">
            <w:r w:rsidRPr="00CC19F7">
              <w:rPr>
                <w:rStyle w:val="halvfet0"/>
              </w:rPr>
              <w:t>Petroleum</w:t>
            </w:r>
          </w:p>
        </w:tc>
        <w:tc>
          <w:tcPr>
            <w:tcW w:w="1300" w:type="dxa"/>
            <w:tcBorders>
              <w:top w:val="nil"/>
              <w:left w:val="nil"/>
              <w:bottom w:val="nil"/>
              <w:right w:val="nil"/>
            </w:tcBorders>
            <w:tcMar>
              <w:top w:w="128" w:type="dxa"/>
              <w:left w:w="43" w:type="dxa"/>
              <w:bottom w:w="43" w:type="dxa"/>
              <w:right w:w="43" w:type="dxa"/>
            </w:tcMar>
            <w:vAlign w:val="bottom"/>
          </w:tcPr>
          <w:p w14:paraId="3B44E63E" w14:textId="77777777" w:rsidR="00FE02EF" w:rsidRPr="00CC19F7" w:rsidRDefault="00FE02EF" w:rsidP="00CC19F7">
            <w:pPr>
              <w:jc w:val="right"/>
            </w:pPr>
          </w:p>
        </w:tc>
        <w:tc>
          <w:tcPr>
            <w:tcW w:w="1405" w:type="dxa"/>
            <w:tcBorders>
              <w:top w:val="nil"/>
              <w:left w:val="nil"/>
              <w:bottom w:val="nil"/>
              <w:right w:val="nil"/>
            </w:tcBorders>
            <w:tcMar>
              <w:top w:w="128" w:type="dxa"/>
              <w:left w:w="43" w:type="dxa"/>
              <w:bottom w:w="43" w:type="dxa"/>
              <w:right w:w="43" w:type="dxa"/>
            </w:tcMar>
            <w:vAlign w:val="bottom"/>
          </w:tcPr>
          <w:p w14:paraId="5D419D62" w14:textId="77777777" w:rsidR="00FE02EF" w:rsidRPr="00CC19F7" w:rsidRDefault="00FE02EF" w:rsidP="00CC19F7">
            <w:pPr>
              <w:jc w:val="right"/>
            </w:pPr>
          </w:p>
        </w:tc>
        <w:tc>
          <w:tcPr>
            <w:tcW w:w="1195" w:type="dxa"/>
            <w:tcBorders>
              <w:top w:val="nil"/>
              <w:left w:val="nil"/>
              <w:bottom w:val="nil"/>
              <w:right w:val="nil"/>
            </w:tcBorders>
            <w:tcMar>
              <w:top w:w="128" w:type="dxa"/>
              <w:left w:w="43" w:type="dxa"/>
              <w:bottom w:w="43" w:type="dxa"/>
              <w:right w:w="43" w:type="dxa"/>
            </w:tcMar>
            <w:vAlign w:val="bottom"/>
          </w:tcPr>
          <w:p w14:paraId="393F8FAB" w14:textId="77777777" w:rsidR="00FE02EF" w:rsidRPr="00CC19F7" w:rsidRDefault="00FE02EF" w:rsidP="00CC19F7">
            <w:pPr>
              <w:jc w:val="right"/>
            </w:pPr>
          </w:p>
        </w:tc>
        <w:tc>
          <w:tcPr>
            <w:tcW w:w="1300" w:type="dxa"/>
            <w:tcBorders>
              <w:top w:val="nil"/>
              <w:left w:val="nil"/>
              <w:bottom w:val="nil"/>
              <w:right w:val="nil"/>
            </w:tcBorders>
            <w:tcMar>
              <w:top w:w="128" w:type="dxa"/>
              <w:left w:w="43" w:type="dxa"/>
              <w:bottom w:w="43" w:type="dxa"/>
              <w:right w:w="43" w:type="dxa"/>
            </w:tcMar>
            <w:vAlign w:val="bottom"/>
          </w:tcPr>
          <w:p w14:paraId="56776F82" w14:textId="77777777" w:rsidR="00FE02EF" w:rsidRPr="00CC19F7" w:rsidRDefault="00FE02EF" w:rsidP="00CC19F7">
            <w:pPr>
              <w:jc w:val="right"/>
            </w:pPr>
          </w:p>
        </w:tc>
      </w:tr>
      <w:tr w:rsidR="00FE02EF" w:rsidRPr="00CC19F7" w14:paraId="7AF26042" w14:textId="77777777" w:rsidTr="00CC19F7">
        <w:trPr>
          <w:trHeight w:val="380"/>
        </w:trPr>
        <w:tc>
          <w:tcPr>
            <w:tcW w:w="840" w:type="dxa"/>
            <w:tcBorders>
              <w:top w:val="nil"/>
              <w:left w:val="nil"/>
              <w:bottom w:val="nil"/>
              <w:right w:val="nil"/>
            </w:tcBorders>
            <w:tcMar>
              <w:top w:w="128" w:type="dxa"/>
              <w:left w:w="43" w:type="dxa"/>
              <w:bottom w:w="43" w:type="dxa"/>
              <w:right w:w="43" w:type="dxa"/>
            </w:tcMar>
          </w:tcPr>
          <w:p w14:paraId="23EEC84F" w14:textId="77777777" w:rsidR="00FE02EF" w:rsidRPr="00CC19F7" w:rsidRDefault="00881E58" w:rsidP="00CC19F7">
            <w:r w:rsidRPr="00CC19F7">
              <w:t>1810</w:t>
            </w:r>
          </w:p>
        </w:tc>
        <w:tc>
          <w:tcPr>
            <w:tcW w:w="3500" w:type="dxa"/>
            <w:tcBorders>
              <w:top w:val="nil"/>
              <w:left w:val="nil"/>
              <w:bottom w:val="nil"/>
              <w:right w:val="nil"/>
            </w:tcBorders>
            <w:tcMar>
              <w:top w:w="128" w:type="dxa"/>
              <w:left w:w="43" w:type="dxa"/>
              <w:bottom w:w="43" w:type="dxa"/>
              <w:right w:w="43" w:type="dxa"/>
            </w:tcMar>
          </w:tcPr>
          <w:p w14:paraId="1A87334D" w14:textId="77777777" w:rsidR="00FE02EF" w:rsidRPr="00CC19F7" w:rsidRDefault="00881E58" w:rsidP="00CC19F7">
            <w:r w:rsidRPr="00CC19F7">
              <w:t>Sokkeldirektoratet</w:t>
            </w:r>
          </w:p>
        </w:tc>
        <w:tc>
          <w:tcPr>
            <w:tcW w:w="1300" w:type="dxa"/>
            <w:tcBorders>
              <w:top w:val="nil"/>
              <w:left w:val="nil"/>
              <w:bottom w:val="nil"/>
              <w:right w:val="nil"/>
            </w:tcBorders>
            <w:tcMar>
              <w:top w:w="128" w:type="dxa"/>
              <w:left w:w="43" w:type="dxa"/>
              <w:bottom w:w="43" w:type="dxa"/>
              <w:right w:w="43" w:type="dxa"/>
            </w:tcMar>
            <w:vAlign w:val="bottom"/>
          </w:tcPr>
          <w:p w14:paraId="4FC7D814" w14:textId="77777777" w:rsidR="00FE02EF" w:rsidRPr="00CC19F7" w:rsidRDefault="00881E58" w:rsidP="00CC19F7">
            <w:pPr>
              <w:jc w:val="right"/>
            </w:pPr>
            <w:r w:rsidRPr="00CC19F7">
              <w:t>486 894</w:t>
            </w:r>
          </w:p>
        </w:tc>
        <w:tc>
          <w:tcPr>
            <w:tcW w:w="1405" w:type="dxa"/>
            <w:tcBorders>
              <w:top w:val="nil"/>
              <w:left w:val="nil"/>
              <w:bottom w:val="nil"/>
              <w:right w:val="nil"/>
            </w:tcBorders>
            <w:tcMar>
              <w:top w:w="128" w:type="dxa"/>
              <w:left w:w="43" w:type="dxa"/>
              <w:bottom w:w="43" w:type="dxa"/>
              <w:right w:w="43" w:type="dxa"/>
            </w:tcMar>
            <w:vAlign w:val="bottom"/>
          </w:tcPr>
          <w:p w14:paraId="40B95F91" w14:textId="77777777" w:rsidR="00FE02EF" w:rsidRPr="00CC19F7" w:rsidRDefault="00881E58" w:rsidP="00CC19F7">
            <w:pPr>
              <w:jc w:val="right"/>
            </w:pPr>
            <w:r w:rsidRPr="00CC19F7">
              <w:t>499 400</w:t>
            </w:r>
          </w:p>
        </w:tc>
        <w:tc>
          <w:tcPr>
            <w:tcW w:w="1195" w:type="dxa"/>
            <w:tcBorders>
              <w:top w:val="nil"/>
              <w:left w:val="nil"/>
              <w:bottom w:val="nil"/>
              <w:right w:val="nil"/>
            </w:tcBorders>
            <w:tcMar>
              <w:top w:w="128" w:type="dxa"/>
              <w:left w:w="43" w:type="dxa"/>
              <w:bottom w:w="43" w:type="dxa"/>
              <w:right w:w="43" w:type="dxa"/>
            </w:tcMar>
            <w:vAlign w:val="bottom"/>
          </w:tcPr>
          <w:p w14:paraId="22941186" w14:textId="77777777" w:rsidR="00FE02EF" w:rsidRPr="00CC19F7" w:rsidRDefault="00881E58" w:rsidP="00CC19F7">
            <w:pPr>
              <w:jc w:val="right"/>
            </w:pPr>
            <w:r w:rsidRPr="00CC19F7">
              <w:t>506 800</w:t>
            </w:r>
          </w:p>
        </w:tc>
        <w:tc>
          <w:tcPr>
            <w:tcW w:w="1300" w:type="dxa"/>
            <w:tcBorders>
              <w:top w:val="nil"/>
              <w:left w:val="nil"/>
              <w:bottom w:val="nil"/>
              <w:right w:val="nil"/>
            </w:tcBorders>
            <w:tcMar>
              <w:top w:w="128" w:type="dxa"/>
              <w:left w:w="43" w:type="dxa"/>
              <w:bottom w:w="43" w:type="dxa"/>
              <w:right w:w="43" w:type="dxa"/>
            </w:tcMar>
            <w:vAlign w:val="bottom"/>
          </w:tcPr>
          <w:p w14:paraId="2570FEF9" w14:textId="77777777" w:rsidR="00FE02EF" w:rsidRPr="00CC19F7" w:rsidRDefault="00881E58" w:rsidP="00CC19F7">
            <w:pPr>
              <w:jc w:val="right"/>
            </w:pPr>
            <w:r w:rsidRPr="00CC19F7">
              <w:t>1,5</w:t>
            </w:r>
          </w:p>
        </w:tc>
      </w:tr>
      <w:tr w:rsidR="00FE02EF" w:rsidRPr="00CC19F7" w14:paraId="5BB0B6B7" w14:textId="77777777" w:rsidTr="00CC19F7">
        <w:trPr>
          <w:trHeight w:val="380"/>
        </w:trPr>
        <w:tc>
          <w:tcPr>
            <w:tcW w:w="840" w:type="dxa"/>
            <w:tcBorders>
              <w:top w:val="nil"/>
              <w:left w:val="nil"/>
              <w:bottom w:val="nil"/>
              <w:right w:val="nil"/>
            </w:tcBorders>
            <w:tcMar>
              <w:top w:w="128" w:type="dxa"/>
              <w:left w:w="43" w:type="dxa"/>
              <w:bottom w:w="43" w:type="dxa"/>
              <w:right w:w="43" w:type="dxa"/>
            </w:tcMar>
          </w:tcPr>
          <w:p w14:paraId="3F63C0F5" w14:textId="77777777" w:rsidR="00FE02EF" w:rsidRPr="00CC19F7" w:rsidRDefault="00FE02EF" w:rsidP="00CC19F7"/>
        </w:tc>
        <w:tc>
          <w:tcPr>
            <w:tcW w:w="3500" w:type="dxa"/>
            <w:tcBorders>
              <w:top w:val="nil"/>
              <w:left w:val="nil"/>
              <w:bottom w:val="nil"/>
              <w:right w:val="nil"/>
            </w:tcBorders>
            <w:tcMar>
              <w:top w:w="128" w:type="dxa"/>
              <w:left w:w="43" w:type="dxa"/>
              <w:bottom w:w="43" w:type="dxa"/>
              <w:right w:w="43" w:type="dxa"/>
            </w:tcMar>
          </w:tcPr>
          <w:p w14:paraId="70EE4FF1" w14:textId="77777777" w:rsidR="00FE02EF" w:rsidRPr="00CC19F7" w:rsidRDefault="00881E58" w:rsidP="00CC19F7">
            <w:r w:rsidRPr="00CC19F7">
              <w:rPr>
                <w:rStyle w:val="kursiv"/>
              </w:rPr>
              <w:t>Sum kategori 18.10</w:t>
            </w:r>
          </w:p>
        </w:tc>
        <w:tc>
          <w:tcPr>
            <w:tcW w:w="1300" w:type="dxa"/>
            <w:tcBorders>
              <w:top w:val="nil"/>
              <w:left w:val="nil"/>
              <w:bottom w:val="nil"/>
              <w:right w:val="nil"/>
            </w:tcBorders>
            <w:tcMar>
              <w:top w:w="128" w:type="dxa"/>
              <w:left w:w="43" w:type="dxa"/>
              <w:bottom w:w="43" w:type="dxa"/>
              <w:right w:w="43" w:type="dxa"/>
            </w:tcMar>
            <w:vAlign w:val="bottom"/>
          </w:tcPr>
          <w:p w14:paraId="017DC1B2" w14:textId="77777777" w:rsidR="00FE02EF" w:rsidRPr="00CC19F7" w:rsidRDefault="00881E58" w:rsidP="00CC19F7">
            <w:pPr>
              <w:jc w:val="right"/>
            </w:pPr>
            <w:r w:rsidRPr="00CC19F7">
              <w:rPr>
                <w:rStyle w:val="kursiv"/>
              </w:rPr>
              <w:t>486 894</w:t>
            </w:r>
          </w:p>
        </w:tc>
        <w:tc>
          <w:tcPr>
            <w:tcW w:w="1405" w:type="dxa"/>
            <w:tcBorders>
              <w:top w:val="nil"/>
              <w:left w:val="nil"/>
              <w:bottom w:val="nil"/>
              <w:right w:val="nil"/>
            </w:tcBorders>
            <w:tcMar>
              <w:top w:w="128" w:type="dxa"/>
              <w:left w:w="43" w:type="dxa"/>
              <w:bottom w:w="43" w:type="dxa"/>
              <w:right w:w="43" w:type="dxa"/>
            </w:tcMar>
            <w:vAlign w:val="bottom"/>
          </w:tcPr>
          <w:p w14:paraId="507C87EE" w14:textId="77777777" w:rsidR="00FE02EF" w:rsidRPr="00CC19F7" w:rsidRDefault="00881E58" w:rsidP="00CC19F7">
            <w:pPr>
              <w:jc w:val="right"/>
            </w:pPr>
            <w:r w:rsidRPr="00CC19F7">
              <w:rPr>
                <w:rStyle w:val="kursiv"/>
              </w:rPr>
              <w:t>499 400</w:t>
            </w:r>
          </w:p>
        </w:tc>
        <w:tc>
          <w:tcPr>
            <w:tcW w:w="1195" w:type="dxa"/>
            <w:tcBorders>
              <w:top w:val="nil"/>
              <w:left w:val="nil"/>
              <w:bottom w:val="nil"/>
              <w:right w:val="nil"/>
            </w:tcBorders>
            <w:tcMar>
              <w:top w:w="128" w:type="dxa"/>
              <w:left w:w="43" w:type="dxa"/>
              <w:bottom w:w="43" w:type="dxa"/>
              <w:right w:w="43" w:type="dxa"/>
            </w:tcMar>
            <w:vAlign w:val="bottom"/>
          </w:tcPr>
          <w:p w14:paraId="54778D21" w14:textId="77777777" w:rsidR="00FE02EF" w:rsidRPr="00CC19F7" w:rsidRDefault="00881E58" w:rsidP="00CC19F7">
            <w:pPr>
              <w:jc w:val="right"/>
            </w:pPr>
            <w:r w:rsidRPr="00CC19F7">
              <w:rPr>
                <w:rStyle w:val="kursiv"/>
              </w:rPr>
              <w:t>506 800</w:t>
            </w:r>
          </w:p>
        </w:tc>
        <w:tc>
          <w:tcPr>
            <w:tcW w:w="1300" w:type="dxa"/>
            <w:tcBorders>
              <w:top w:val="nil"/>
              <w:left w:val="nil"/>
              <w:bottom w:val="nil"/>
              <w:right w:val="nil"/>
            </w:tcBorders>
            <w:tcMar>
              <w:top w:w="128" w:type="dxa"/>
              <w:left w:w="43" w:type="dxa"/>
              <w:bottom w:w="43" w:type="dxa"/>
              <w:right w:w="43" w:type="dxa"/>
            </w:tcMar>
            <w:vAlign w:val="bottom"/>
          </w:tcPr>
          <w:p w14:paraId="096DFDDD" w14:textId="77777777" w:rsidR="00FE02EF" w:rsidRPr="00CC19F7" w:rsidRDefault="00881E58" w:rsidP="00CC19F7">
            <w:pPr>
              <w:jc w:val="right"/>
            </w:pPr>
            <w:r w:rsidRPr="00CC19F7">
              <w:rPr>
                <w:rStyle w:val="kursiv"/>
              </w:rPr>
              <w:t>1,5</w:t>
            </w:r>
          </w:p>
        </w:tc>
      </w:tr>
      <w:tr w:rsidR="00FE02EF" w:rsidRPr="00CC19F7" w14:paraId="3043328E" w14:textId="77777777" w:rsidTr="00CC19F7">
        <w:trPr>
          <w:trHeight w:val="380"/>
        </w:trPr>
        <w:tc>
          <w:tcPr>
            <w:tcW w:w="840" w:type="dxa"/>
            <w:tcBorders>
              <w:top w:val="nil"/>
              <w:left w:val="nil"/>
              <w:bottom w:val="nil"/>
              <w:right w:val="nil"/>
            </w:tcBorders>
            <w:tcMar>
              <w:top w:w="128" w:type="dxa"/>
              <w:left w:w="43" w:type="dxa"/>
              <w:bottom w:w="43" w:type="dxa"/>
              <w:right w:w="43" w:type="dxa"/>
            </w:tcMar>
          </w:tcPr>
          <w:p w14:paraId="255E637F" w14:textId="77777777" w:rsidR="00FE02EF" w:rsidRPr="00CC19F7" w:rsidRDefault="00FE02EF" w:rsidP="00CC19F7"/>
        </w:tc>
        <w:tc>
          <w:tcPr>
            <w:tcW w:w="3500" w:type="dxa"/>
            <w:tcBorders>
              <w:top w:val="nil"/>
              <w:left w:val="nil"/>
              <w:bottom w:val="nil"/>
              <w:right w:val="nil"/>
            </w:tcBorders>
            <w:tcMar>
              <w:top w:w="128" w:type="dxa"/>
              <w:left w:w="43" w:type="dxa"/>
              <w:bottom w:w="43" w:type="dxa"/>
              <w:right w:w="43" w:type="dxa"/>
            </w:tcMar>
          </w:tcPr>
          <w:p w14:paraId="311BD0E2" w14:textId="77777777" w:rsidR="00FE02EF" w:rsidRPr="00CC19F7" w:rsidRDefault="00881E58" w:rsidP="00CC19F7">
            <w:r w:rsidRPr="00CC19F7">
              <w:rPr>
                <w:rStyle w:val="halvfet0"/>
              </w:rPr>
              <w:t xml:space="preserve">Energi og </w:t>
            </w:r>
            <w:proofErr w:type="spellStart"/>
            <w:r w:rsidRPr="00CC19F7">
              <w:rPr>
                <w:rStyle w:val="halvfet0"/>
              </w:rPr>
              <w:t>vassressursar</w:t>
            </w:r>
            <w:proofErr w:type="spellEnd"/>
          </w:p>
        </w:tc>
        <w:tc>
          <w:tcPr>
            <w:tcW w:w="1300" w:type="dxa"/>
            <w:tcBorders>
              <w:top w:val="nil"/>
              <w:left w:val="nil"/>
              <w:bottom w:val="nil"/>
              <w:right w:val="nil"/>
            </w:tcBorders>
            <w:tcMar>
              <w:top w:w="128" w:type="dxa"/>
              <w:left w:w="43" w:type="dxa"/>
              <w:bottom w:w="43" w:type="dxa"/>
              <w:right w:w="43" w:type="dxa"/>
            </w:tcMar>
            <w:vAlign w:val="bottom"/>
          </w:tcPr>
          <w:p w14:paraId="13294E76" w14:textId="77777777" w:rsidR="00FE02EF" w:rsidRPr="00CC19F7" w:rsidRDefault="00FE02EF" w:rsidP="00CC19F7">
            <w:pPr>
              <w:jc w:val="right"/>
            </w:pPr>
          </w:p>
        </w:tc>
        <w:tc>
          <w:tcPr>
            <w:tcW w:w="1405" w:type="dxa"/>
            <w:tcBorders>
              <w:top w:val="nil"/>
              <w:left w:val="nil"/>
              <w:bottom w:val="nil"/>
              <w:right w:val="nil"/>
            </w:tcBorders>
            <w:tcMar>
              <w:top w:w="128" w:type="dxa"/>
              <w:left w:w="43" w:type="dxa"/>
              <w:bottom w:w="43" w:type="dxa"/>
              <w:right w:w="43" w:type="dxa"/>
            </w:tcMar>
            <w:vAlign w:val="bottom"/>
          </w:tcPr>
          <w:p w14:paraId="32B3CEF9" w14:textId="77777777" w:rsidR="00FE02EF" w:rsidRPr="00CC19F7" w:rsidRDefault="00FE02EF" w:rsidP="00CC19F7">
            <w:pPr>
              <w:jc w:val="right"/>
            </w:pPr>
          </w:p>
        </w:tc>
        <w:tc>
          <w:tcPr>
            <w:tcW w:w="1195" w:type="dxa"/>
            <w:tcBorders>
              <w:top w:val="nil"/>
              <w:left w:val="nil"/>
              <w:bottom w:val="nil"/>
              <w:right w:val="nil"/>
            </w:tcBorders>
            <w:tcMar>
              <w:top w:w="128" w:type="dxa"/>
              <w:left w:w="43" w:type="dxa"/>
              <w:bottom w:w="43" w:type="dxa"/>
              <w:right w:w="43" w:type="dxa"/>
            </w:tcMar>
            <w:vAlign w:val="bottom"/>
          </w:tcPr>
          <w:p w14:paraId="3717F296" w14:textId="77777777" w:rsidR="00FE02EF" w:rsidRPr="00CC19F7" w:rsidRDefault="00FE02EF" w:rsidP="00CC19F7">
            <w:pPr>
              <w:jc w:val="right"/>
            </w:pPr>
          </w:p>
        </w:tc>
        <w:tc>
          <w:tcPr>
            <w:tcW w:w="1300" w:type="dxa"/>
            <w:tcBorders>
              <w:top w:val="nil"/>
              <w:left w:val="nil"/>
              <w:bottom w:val="nil"/>
              <w:right w:val="nil"/>
            </w:tcBorders>
            <w:tcMar>
              <w:top w:w="128" w:type="dxa"/>
              <w:left w:w="43" w:type="dxa"/>
              <w:bottom w:w="43" w:type="dxa"/>
              <w:right w:w="43" w:type="dxa"/>
            </w:tcMar>
            <w:vAlign w:val="bottom"/>
          </w:tcPr>
          <w:p w14:paraId="2CC22CF3" w14:textId="77777777" w:rsidR="00FE02EF" w:rsidRPr="00CC19F7" w:rsidRDefault="00FE02EF" w:rsidP="00CC19F7">
            <w:pPr>
              <w:jc w:val="right"/>
            </w:pPr>
          </w:p>
        </w:tc>
      </w:tr>
      <w:tr w:rsidR="00FE02EF" w:rsidRPr="00CC19F7" w14:paraId="5B286EC9" w14:textId="77777777" w:rsidTr="00CC19F7">
        <w:trPr>
          <w:trHeight w:val="640"/>
        </w:trPr>
        <w:tc>
          <w:tcPr>
            <w:tcW w:w="840" w:type="dxa"/>
            <w:tcBorders>
              <w:top w:val="nil"/>
              <w:left w:val="nil"/>
              <w:bottom w:val="nil"/>
              <w:right w:val="nil"/>
            </w:tcBorders>
            <w:tcMar>
              <w:top w:w="128" w:type="dxa"/>
              <w:left w:w="43" w:type="dxa"/>
              <w:bottom w:w="43" w:type="dxa"/>
              <w:right w:w="43" w:type="dxa"/>
            </w:tcMar>
          </w:tcPr>
          <w:p w14:paraId="1CF747FB" w14:textId="77777777" w:rsidR="00FE02EF" w:rsidRPr="00CC19F7" w:rsidRDefault="00881E58" w:rsidP="00CC19F7">
            <w:r w:rsidRPr="00CC19F7">
              <w:t>1820</w:t>
            </w:r>
          </w:p>
        </w:tc>
        <w:tc>
          <w:tcPr>
            <w:tcW w:w="3500" w:type="dxa"/>
            <w:tcBorders>
              <w:top w:val="nil"/>
              <w:left w:val="nil"/>
              <w:bottom w:val="nil"/>
              <w:right w:val="nil"/>
            </w:tcBorders>
            <w:tcMar>
              <w:top w:w="128" w:type="dxa"/>
              <w:left w:w="43" w:type="dxa"/>
              <w:bottom w:w="43" w:type="dxa"/>
              <w:right w:w="43" w:type="dxa"/>
            </w:tcMar>
          </w:tcPr>
          <w:p w14:paraId="55912C38" w14:textId="77777777" w:rsidR="00FE02EF" w:rsidRPr="00CC19F7" w:rsidRDefault="00881E58" w:rsidP="00CC19F7">
            <w:proofErr w:type="spellStart"/>
            <w:r w:rsidRPr="00CC19F7">
              <w:t>Noregs</w:t>
            </w:r>
            <w:proofErr w:type="spellEnd"/>
            <w:r w:rsidRPr="00CC19F7">
              <w:t xml:space="preserve"> vassdrags- og energidirektorat</w:t>
            </w:r>
          </w:p>
        </w:tc>
        <w:tc>
          <w:tcPr>
            <w:tcW w:w="1300" w:type="dxa"/>
            <w:tcBorders>
              <w:top w:val="nil"/>
              <w:left w:val="nil"/>
              <w:bottom w:val="nil"/>
              <w:right w:val="nil"/>
            </w:tcBorders>
            <w:tcMar>
              <w:top w:w="128" w:type="dxa"/>
              <w:left w:w="43" w:type="dxa"/>
              <w:bottom w:w="43" w:type="dxa"/>
              <w:right w:w="43" w:type="dxa"/>
            </w:tcMar>
            <w:vAlign w:val="bottom"/>
          </w:tcPr>
          <w:p w14:paraId="3D5A377C" w14:textId="77777777" w:rsidR="00FE02EF" w:rsidRPr="00CC19F7" w:rsidRDefault="00881E58" w:rsidP="00CC19F7">
            <w:pPr>
              <w:jc w:val="right"/>
            </w:pPr>
            <w:r w:rsidRPr="00CC19F7">
              <w:t>27 693 101</w:t>
            </w:r>
          </w:p>
        </w:tc>
        <w:tc>
          <w:tcPr>
            <w:tcW w:w="1405" w:type="dxa"/>
            <w:tcBorders>
              <w:top w:val="nil"/>
              <w:left w:val="nil"/>
              <w:bottom w:val="nil"/>
              <w:right w:val="nil"/>
            </w:tcBorders>
            <w:tcMar>
              <w:top w:w="128" w:type="dxa"/>
              <w:left w:w="43" w:type="dxa"/>
              <w:bottom w:w="43" w:type="dxa"/>
              <w:right w:w="43" w:type="dxa"/>
            </w:tcMar>
            <w:vAlign w:val="bottom"/>
          </w:tcPr>
          <w:p w14:paraId="490F7367" w14:textId="77777777" w:rsidR="00FE02EF" w:rsidRPr="00CC19F7" w:rsidRDefault="00881E58" w:rsidP="00CC19F7">
            <w:pPr>
              <w:jc w:val="right"/>
            </w:pPr>
            <w:r w:rsidRPr="00CC19F7">
              <w:t>46 241 600</w:t>
            </w:r>
          </w:p>
        </w:tc>
        <w:tc>
          <w:tcPr>
            <w:tcW w:w="1195" w:type="dxa"/>
            <w:tcBorders>
              <w:top w:val="nil"/>
              <w:left w:val="nil"/>
              <w:bottom w:val="nil"/>
              <w:right w:val="nil"/>
            </w:tcBorders>
            <w:tcMar>
              <w:top w:w="128" w:type="dxa"/>
              <w:left w:w="43" w:type="dxa"/>
              <w:bottom w:w="43" w:type="dxa"/>
              <w:right w:w="43" w:type="dxa"/>
            </w:tcMar>
            <w:vAlign w:val="bottom"/>
          </w:tcPr>
          <w:p w14:paraId="70CB0AB6" w14:textId="77777777" w:rsidR="00FE02EF" w:rsidRPr="00CC19F7" w:rsidRDefault="00881E58" w:rsidP="00CC19F7">
            <w:pPr>
              <w:jc w:val="right"/>
            </w:pPr>
            <w:r w:rsidRPr="00CC19F7">
              <w:t>11 948 800</w:t>
            </w:r>
          </w:p>
        </w:tc>
        <w:tc>
          <w:tcPr>
            <w:tcW w:w="1300" w:type="dxa"/>
            <w:tcBorders>
              <w:top w:val="nil"/>
              <w:left w:val="nil"/>
              <w:bottom w:val="nil"/>
              <w:right w:val="nil"/>
            </w:tcBorders>
            <w:tcMar>
              <w:top w:w="128" w:type="dxa"/>
              <w:left w:w="43" w:type="dxa"/>
              <w:bottom w:w="43" w:type="dxa"/>
              <w:right w:w="43" w:type="dxa"/>
            </w:tcMar>
            <w:vAlign w:val="bottom"/>
          </w:tcPr>
          <w:p w14:paraId="3866CF38" w14:textId="77777777" w:rsidR="00FE02EF" w:rsidRPr="00CC19F7" w:rsidRDefault="00881E58" w:rsidP="00CC19F7">
            <w:pPr>
              <w:jc w:val="right"/>
            </w:pPr>
            <w:r w:rsidRPr="00CC19F7">
              <w:t>-74,2</w:t>
            </w:r>
          </w:p>
        </w:tc>
      </w:tr>
      <w:tr w:rsidR="00FE02EF" w:rsidRPr="00CC19F7" w14:paraId="0BB959BA" w14:textId="77777777" w:rsidTr="00CC19F7">
        <w:trPr>
          <w:trHeight w:val="380"/>
        </w:trPr>
        <w:tc>
          <w:tcPr>
            <w:tcW w:w="840" w:type="dxa"/>
            <w:tcBorders>
              <w:top w:val="nil"/>
              <w:left w:val="nil"/>
              <w:bottom w:val="nil"/>
              <w:right w:val="nil"/>
            </w:tcBorders>
            <w:tcMar>
              <w:top w:w="128" w:type="dxa"/>
              <w:left w:w="43" w:type="dxa"/>
              <w:bottom w:w="43" w:type="dxa"/>
              <w:right w:w="43" w:type="dxa"/>
            </w:tcMar>
          </w:tcPr>
          <w:p w14:paraId="392EEDE3" w14:textId="77777777" w:rsidR="00FE02EF" w:rsidRPr="00CC19F7" w:rsidRDefault="00881E58" w:rsidP="00CC19F7">
            <w:r w:rsidRPr="00CC19F7">
              <w:t>1825</w:t>
            </w:r>
          </w:p>
        </w:tc>
        <w:tc>
          <w:tcPr>
            <w:tcW w:w="3500" w:type="dxa"/>
            <w:tcBorders>
              <w:top w:val="nil"/>
              <w:left w:val="nil"/>
              <w:bottom w:val="nil"/>
              <w:right w:val="nil"/>
            </w:tcBorders>
            <w:tcMar>
              <w:top w:w="128" w:type="dxa"/>
              <w:left w:w="43" w:type="dxa"/>
              <w:bottom w:w="43" w:type="dxa"/>
              <w:right w:w="43" w:type="dxa"/>
            </w:tcMar>
          </w:tcPr>
          <w:p w14:paraId="5868E146" w14:textId="77777777" w:rsidR="00FE02EF" w:rsidRPr="00CC19F7" w:rsidRDefault="00881E58" w:rsidP="00CC19F7">
            <w:r w:rsidRPr="00CC19F7">
              <w:t>Energieffektivisering og -omlegging</w:t>
            </w:r>
          </w:p>
        </w:tc>
        <w:tc>
          <w:tcPr>
            <w:tcW w:w="1300" w:type="dxa"/>
            <w:tcBorders>
              <w:top w:val="nil"/>
              <w:left w:val="nil"/>
              <w:bottom w:val="nil"/>
              <w:right w:val="nil"/>
            </w:tcBorders>
            <w:tcMar>
              <w:top w:w="128" w:type="dxa"/>
              <w:left w:w="43" w:type="dxa"/>
              <w:bottom w:w="43" w:type="dxa"/>
              <w:right w:w="43" w:type="dxa"/>
            </w:tcMar>
            <w:vAlign w:val="bottom"/>
          </w:tcPr>
          <w:p w14:paraId="4A972307" w14:textId="77777777" w:rsidR="00FE02EF" w:rsidRPr="00CC19F7" w:rsidRDefault="00FE02EF" w:rsidP="00CC19F7">
            <w:pPr>
              <w:jc w:val="right"/>
            </w:pPr>
          </w:p>
        </w:tc>
        <w:tc>
          <w:tcPr>
            <w:tcW w:w="1405" w:type="dxa"/>
            <w:tcBorders>
              <w:top w:val="nil"/>
              <w:left w:val="nil"/>
              <w:bottom w:val="nil"/>
              <w:right w:val="nil"/>
            </w:tcBorders>
            <w:tcMar>
              <w:top w:w="128" w:type="dxa"/>
              <w:left w:w="43" w:type="dxa"/>
              <w:bottom w:w="43" w:type="dxa"/>
              <w:right w:w="43" w:type="dxa"/>
            </w:tcMar>
            <w:vAlign w:val="bottom"/>
          </w:tcPr>
          <w:p w14:paraId="2327B343" w14:textId="77777777" w:rsidR="00FE02EF" w:rsidRPr="00CC19F7" w:rsidRDefault="00FE02EF" w:rsidP="00CC19F7">
            <w:pPr>
              <w:jc w:val="right"/>
            </w:pPr>
          </w:p>
        </w:tc>
        <w:tc>
          <w:tcPr>
            <w:tcW w:w="1195" w:type="dxa"/>
            <w:tcBorders>
              <w:top w:val="nil"/>
              <w:left w:val="nil"/>
              <w:bottom w:val="nil"/>
              <w:right w:val="nil"/>
            </w:tcBorders>
            <w:tcMar>
              <w:top w:w="128" w:type="dxa"/>
              <w:left w:w="43" w:type="dxa"/>
              <w:bottom w:w="43" w:type="dxa"/>
              <w:right w:w="43" w:type="dxa"/>
            </w:tcMar>
            <w:vAlign w:val="bottom"/>
          </w:tcPr>
          <w:p w14:paraId="4514E483" w14:textId="77777777" w:rsidR="00FE02EF" w:rsidRPr="00CC19F7" w:rsidRDefault="00881E58" w:rsidP="00CC19F7">
            <w:pPr>
              <w:jc w:val="right"/>
            </w:pPr>
            <w:r w:rsidRPr="00CC19F7">
              <w:t>495 000</w:t>
            </w:r>
          </w:p>
        </w:tc>
        <w:tc>
          <w:tcPr>
            <w:tcW w:w="1300" w:type="dxa"/>
            <w:tcBorders>
              <w:top w:val="nil"/>
              <w:left w:val="nil"/>
              <w:bottom w:val="nil"/>
              <w:right w:val="nil"/>
            </w:tcBorders>
            <w:tcMar>
              <w:top w:w="128" w:type="dxa"/>
              <w:left w:w="43" w:type="dxa"/>
              <w:bottom w:w="43" w:type="dxa"/>
              <w:right w:w="43" w:type="dxa"/>
            </w:tcMar>
            <w:vAlign w:val="bottom"/>
          </w:tcPr>
          <w:p w14:paraId="4D8F40E4" w14:textId="77777777" w:rsidR="00FE02EF" w:rsidRPr="00CC19F7" w:rsidRDefault="00881E58" w:rsidP="00CC19F7">
            <w:pPr>
              <w:jc w:val="right"/>
            </w:pPr>
            <w:r w:rsidRPr="00CC19F7">
              <w:t>100,0</w:t>
            </w:r>
          </w:p>
        </w:tc>
      </w:tr>
      <w:tr w:rsidR="00FE02EF" w:rsidRPr="00CC19F7" w14:paraId="1C54B408" w14:textId="77777777" w:rsidTr="00CC19F7">
        <w:trPr>
          <w:trHeight w:val="380"/>
        </w:trPr>
        <w:tc>
          <w:tcPr>
            <w:tcW w:w="840" w:type="dxa"/>
            <w:tcBorders>
              <w:top w:val="nil"/>
              <w:left w:val="nil"/>
              <w:bottom w:val="nil"/>
              <w:right w:val="nil"/>
            </w:tcBorders>
            <w:tcMar>
              <w:top w:w="128" w:type="dxa"/>
              <w:left w:w="43" w:type="dxa"/>
              <w:bottom w:w="43" w:type="dxa"/>
              <w:right w:w="43" w:type="dxa"/>
            </w:tcMar>
          </w:tcPr>
          <w:p w14:paraId="60B3E173" w14:textId="77777777" w:rsidR="00FE02EF" w:rsidRPr="00CC19F7" w:rsidRDefault="00FE02EF" w:rsidP="00CC19F7"/>
        </w:tc>
        <w:tc>
          <w:tcPr>
            <w:tcW w:w="3500" w:type="dxa"/>
            <w:tcBorders>
              <w:top w:val="nil"/>
              <w:left w:val="nil"/>
              <w:bottom w:val="nil"/>
              <w:right w:val="nil"/>
            </w:tcBorders>
            <w:tcMar>
              <w:top w:w="128" w:type="dxa"/>
              <w:left w:w="43" w:type="dxa"/>
              <w:bottom w:w="43" w:type="dxa"/>
              <w:right w:w="43" w:type="dxa"/>
            </w:tcMar>
          </w:tcPr>
          <w:p w14:paraId="6FDCF169" w14:textId="77777777" w:rsidR="00FE02EF" w:rsidRPr="00CC19F7" w:rsidRDefault="00881E58" w:rsidP="00CC19F7">
            <w:r w:rsidRPr="00CC19F7">
              <w:rPr>
                <w:rStyle w:val="kursiv"/>
              </w:rPr>
              <w:t>Sum kategori 18.20</w:t>
            </w:r>
          </w:p>
        </w:tc>
        <w:tc>
          <w:tcPr>
            <w:tcW w:w="1300" w:type="dxa"/>
            <w:tcBorders>
              <w:top w:val="nil"/>
              <w:left w:val="nil"/>
              <w:bottom w:val="nil"/>
              <w:right w:val="nil"/>
            </w:tcBorders>
            <w:tcMar>
              <w:top w:w="128" w:type="dxa"/>
              <w:left w:w="43" w:type="dxa"/>
              <w:bottom w:w="43" w:type="dxa"/>
              <w:right w:w="43" w:type="dxa"/>
            </w:tcMar>
            <w:vAlign w:val="bottom"/>
          </w:tcPr>
          <w:p w14:paraId="0A2633EC" w14:textId="77777777" w:rsidR="00FE02EF" w:rsidRPr="00CC19F7" w:rsidRDefault="00881E58" w:rsidP="00CC19F7">
            <w:pPr>
              <w:jc w:val="right"/>
            </w:pPr>
            <w:r w:rsidRPr="00CC19F7">
              <w:rPr>
                <w:rStyle w:val="kursiv"/>
              </w:rPr>
              <w:t>27 693 101</w:t>
            </w:r>
          </w:p>
        </w:tc>
        <w:tc>
          <w:tcPr>
            <w:tcW w:w="1405" w:type="dxa"/>
            <w:tcBorders>
              <w:top w:val="nil"/>
              <w:left w:val="nil"/>
              <w:bottom w:val="nil"/>
              <w:right w:val="nil"/>
            </w:tcBorders>
            <w:tcMar>
              <w:top w:w="128" w:type="dxa"/>
              <w:left w:w="43" w:type="dxa"/>
              <w:bottom w:w="43" w:type="dxa"/>
              <w:right w:w="43" w:type="dxa"/>
            </w:tcMar>
            <w:vAlign w:val="bottom"/>
          </w:tcPr>
          <w:p w14:paraId="76A29210" w14:textId="77777777" w:rsidR="00FE02EF" w:rsidRPr="00CC19F7" w:rsidRDefault="00881E58" w:rsidP="00CC19F7">
            <w:pPr>
              <w:jc w:val="right"/>
            </w:pPr>
            <w:r w:rsidRPr="00CC19F7">
              <w:rPr>
                <w:rStyle w:val="kursiv"/>
              </w:rPr>
              <w:t>46 241 600</w:t>
            </w:r>
          </w:p>
        </w:tc>
        <w:tc>
          <w:tcPr>
            <w:tcW w:w="1195" w:type="dxa"/>
            <w:tcBorders>
              <w:top w:val="nil"/>
              <w:left w:val="nil"/>
              <w:bottom w:val="nil"/>
              <w:right w:val="nil"/>
            </w:tcBorders>
            <w:tcMar>
              <w:top w:w="128" w:type="dxa"/>
              <w:left w:w="43" w:type="dxa"/>
              <w:bottom w:w="43" w:type="dxa"/>
              <w:right w:w="43" w:type="dxa"/>
            </w:tcMar>
            <w:vAlign w:val="bottom"/>
          </w:tcPr>
          <w:p w14:paraId="55CA6BE5" w14:textId="77777777" w:rsidR="00FE02EF" w:rsidRPr="00CC19F7" w:rsidRDefault="00881E58" w:rsidP="00CC19F7">
            <w:pPr>
              <w:jc w:val="right"/>
            </w:pPr>
            <w:r w:rsidRPr="00CC19F7">
              <w:rPr>
                <w:rStyle w:val="kursiv"/>
              </w:rPr>
              <w:t>12 443 800</w:t>
            </w:r>
          </w:p>
        </w:tc>
        <w:tc>
          <w:tcPr>
            <w:tcW w:w="1300" w:type="dxa"/>
            <w:tcBorders>
              <w:top w:val="nil"/>
              <w:left w:val="nil"/>
              <w:bottom w:val="nil"/>
              <w:right w:val="nil"/>
            </w:tcBorders>
            <w:tcMar>
              <w:top w:w="128" w:type="dxa"/>
              <w:left w:w="43" w:type="dxa"/>
              <w:bottom w:w="43" w:type="dxa"/>
              <w:right w:w="43" w:type="dxa"/>
            </w:tcMar>
            <w:vAlign w:val="bottom"/>
          </w:tcPr>
          <w:p w14:paraId="519A023D" w14:textId="77777777" w:rsidR="00FE02EF" w:rsidRPr="00CC19F7" w:rsidRDefault="00881E58" w:rsidP="00CC19F7">
            <w:pPr>
              <w:jc w:val="right"/>
            </w:pPr>
            <w:r w:rsidRPr="00CC19F7">
              <w:rPr>
                <w:rStyle w:val="kursiv"/>
              </w:rPr>
              <w:t>-73,1</w:t>
            </w:r>
          </w:p>
        </w:tc>
      </w:tr>
      <w:tr w:rsidR="00FE02EF" w:rsidRPr="00CC19F7" w14:paraId="476F585A" w14:textId="77777777" w:rsidTr="00CC19F7">
        <w:trPr>
          <w:trHeight w:val="380"/>
        </w:trPr>
        <w:tc>
          <w:tcPr>
            <w:tcW w:w="840" w:type="dxa"/>
            <w:tcBorders>
              <w:top w:val="nil"/>
              <w:left w:val="nil"/>
              <w:bottom w:val="nil"/>
              <w:right w:val="nil"/>
            </w:tcBorders>
            <w:tcMar>
              <w:top w:w="128" w:type="dxa"/>
              <w:left w:w="43" w:type="dxa"/>
              <w:bottom w:w="43" w:type="dxa"/>
              <w:right w:w="43" w:type="dxa"/>
            </w:tcMar>
          </w:tcPr>
          <w:p w14:paraId="788B5086" w14:textId="77777777" w:rsidR="00FE02EF" w:rsidRPr="00CC19F7" w:rsidRDefault="00FE02EF" w:rsidP="00CC19F7"/>
        </w:tc>
        <w:tc>
          <w:tcPr>
            <w:tcW w:w="3500" w:type="dxa"/>
            <w:tcBorders>
              <w:top w:val="nil"/>
              <w:left w:val="nil"/>
              <w:bottom w:val="nil"/>
              <w:right w:val="nil"/>
            </w:tcBorders>
            <w:tcMar>
              <w:top w:w="128" w:type="dxa"/>
              <w:left w:w="43" w:type="dxa"/>
              <w:bottom w:w="43" w:type="dxa"/>
              <w:right w:w="43" w:type="dxa"/>
            </w:tcMar>
          </w:tcPr>
          <w:p w14:paraId="139D18AC" w14:textId="77777777" w:rsidR="00FE02EF" w:rsidRPr="00CC19F7" w:rsidRDefault="00881E58" w:rsidP="00CC19F7">
            <w:r w:rsidRPr="00CC19F7">
              <w:rPr>
                <w:rStyle w:val="halvfet0"/>
              </w:rPr>
              <w:t>Klima, industri og teknologi</w:t>
            </w:r>
          </w:p>
        </w:tc>
        <w:tc>
          <w:tcPr>
            <w:tcW w:w="1300" w:type="dxa"/>
            <w:tcBorders>
              <w:top w:val="nil"/>
              <w:left w:val="nil"/>
              <w:bottom w:val="nil"/>
              <w:right w:val="nil"/>
            </w:tcBorders>
            <w:tcMar>
              <w:top w:w="128" w:type="dxa"/>
              <w:left w:w="43" w:type="dxa"/>
              <w:bottom w:w="43" w:type="dxa"/>
              <w:right w:w="43" w:type="dxa"/>
            </w:tcMar>
            <w:vAlign w:val="bottom"/>
          </w:tcPr>
          <w:p w14:paraId="0CC838DB" w14:textId="77777777" w:rsidR="00FE02EF" w:rsidRPr="00CC19F7" w:rsidRDefault="00FE02EF" w:rsidP="00CC19F7">
            <w:pPr>
              <w:jc w:val="right"/>
            </w:pPr>
          </w:p>
        </w:tc>
        <w:tc>
          <w:tcPr>
            <w:tcW w:w="1405" w:type="dxa"/>
            <w:tcBorders>
              <w:top w:val="nil"/>
              <w:left w:val="nil"/>
              <w:bottom w:val="nil"/>
              <w:right w:val="nil"/>
            </w:tcBorders>
            <w:tcMar>
              <w:top w:w="128" w:type="dxa"/>
              <w:left w:w="43" w:type="dxa"/>
              <w:bottom w:w="43" w:type="dxa"/>
              <w:right w:w="43" w:type="dxa"/>
            </w:tcMar>
            <w:vAlign w:val="bottom"/>
          </w:tcPr>
          <w:p w14:paraId="7839F023" w14:textId="77777777" w:rsidR="00FE02EF" w:rsidRPr="00CC19F7" w:rsidRDefault="00FE02EF" w:rsidP="00CC19F7">
            <w:pPr>
              <w:jc w:val="right"/>
            </w:pPr>
          </w:p>
        </w:tc>
        <w:tc>
          <w:tcPr>
            <w:tcW w:w="1195" w:type="dxa"/>
            <w:tcBorders>
              <w:top w:val="nil"/>
              <w:left w:val="nil"/>
              <w:bottom w:val="nil"/>
              <w:right w:val="nil"/>
            </w:tcBorders>
            <w:tcMar>
              <w:top w:w="128" w:type="dxa"/>
              <w:left w:w="43" w:type="dxa"/>
              <w:bottom w:w="43" w:type="dxa"/>
              <w:right w:w="43" w:type="dxa"/>
            </w:tcMar>
            <w:vAlign w:val="bottom"/>
          </w:tcPr>
          <w:p w14:paraId="61BE72F6" w14:textId="77777777" w:rsidR="00FE02EF" w:rsidRPr="00CC19F7" w:rsidRDefault="00FE02EF" w:rsidP="00CC19F7">
            <w:pPr>
              <w:jc w:val="right"/>
            </w:pPr>
          </w:p>
        </w:tc>
        <w:tc>
          <w:tcPr>
            <w:tcW w:w="1300" w:type="dxa"/>
            <w:tcBorders>
              <w:top w:val="nil"/>
              <w:left w:val="nil"/>
              <w:bottom w:val="nil"/>
              <w:right w:val="nil"/>
            </w:tcBorders>
            <w:tcMar>
              <w:top w:w="128" w:type="dxa"/>
              <w:left w:w="43" w:type="dxa"/>
              <w:bottom w:w="43" w:type="dxa"/>
              <w:right w:w="43" w:type="dxa"/>
            </w:tcMar>
            <w:vAlign w:val="bottom"/>
          </w:tcPr>
          <w:p w14:paraId="624D3822" w14:textId="77777777" w:rsidR="00FE02EF" w:rsidRPr="00CC19F7" w:rsidRDefault="00FE02EF" w:rsidP="00CC19F7">
            <w:pPr>
              <w:jc w:val="right"/>
            </w:pPr>
          </w:p>
        </w:tc>
      </w:tr>
      <w:tr w:rsidR="00FE02EF" w:rsidRPr="00CC19F7" w14:paraId="6A090CE4" w14:textId="77777777" w:rsidTr="00CC19F7">
        <w:trPr>
          <w:trHeight w:val="380"/>
        </w:trPr>
        <w:tc>
          <w:tcPr>
            <w:tcW w:w="840" w:type="dxa"/>
            <w:tcBorders>
              <w:top w:val="nil"/>
              <w:left w:val="nil"/>
              <w:bottom w:val="nil"/>
              <w:right w:val="nil"/>
            </w:tcBorders>
            <w:tcMar>
              <w:top w:w="128" w:type="dxa"/>
              <w:left w:w="43" w:type="dxa"/>
              <w:bottom w:w="43" w:type="dxa"/>
              <w:right w:w="43" w:type="dxa"/>
            </w:tcMar>
          </w:tcPr>
          <w:p w14:paraId="159D5308" w14:textId="77777777" w:rsidR="00FE02EF" w:rsidRPr="00CC19F7" w:rsidRDefault="00881E58" w:rsidP="00CC19F7">
            <w:r w:rsidRPr="00CC19F7">
              <w:t>1850</w:t>
            </w:r>
          </w:p>
        </w:tc>
        <w:tc>
          <w:tcPr>
            <w:tcW w:w="3500" w:type="dxa"/>
            <w:tcBorders>
              <w:top w:val="nil"/>
              <w:left w:val="nil"/>
              <w:bottom w:val="nil"/>
              <w:right w:val="nil"/>
            </w:tcBorders>
            <w:tcMar>
              <w:top w:w="128" w:type="dxa"/>
              <w:left w:w="43" w:type="dxa"/>
              <w:bottom w:w="43" w:type="dxa"/>
              <w:right w:w="43" w:type="dxa"/>
            </w:tcMar>
          </w:tcPr>
          <w:p w14:paraId="4F8727AE" w14:textId="77777777" w:rsidR="00FE02EF" w:rsidRPr="00CC19F7" w:rsidRDefault="00881E58" w:rsidP="00CC19F7">
            <w:r w:rsidRPr="00CC19F7">
              <w:t>Klima, industri og teknologi</w:t>
            </w:r>
          </w:p>
        </w:tc>
        <w:tc>
          <w:tcPr>
            <w:tcW w:w="1300" w:type="dxa"/>
            <w:tcBorders>
              <w:top w:val="nil"/>
              <w:left w:val="nil"/>
              <w:bottom w:val="nil"/>
              <w:right w:val="nil"/>
            </w:tcBorders>
            <w:tcMar>
              <w:top w:w="128" w:type="dxa"/>
              <w:left w:w="43" w:type="dxa"/>
              <w:bottom w:w="43" w:type="dxa"/>
              <w:right w:w="43" w:type="dxa"/>
            </w:tcMar>
            <w:vAlign w:val="bottom"/>
          </w:tcPr>
          <w:p w14:paraId="0F0A2CE2" w14:textId="77777777" w:rsidR="00FE02EF" w:rsidRPr="00CC19F7" w:rsidRDefault="00881E58" w:rsidP="00CC19F7">
            <w:pPr>
              <w:jc w:val="right"/>
            </w:pPr>
            <w:r w:rsidRPr="00CC19F7">
              <w:t>4 786 742</w:t>
            </w:r>
            <w:r w:rsidRPr="00CC19F7">
              <w:rPr>
                <w:rStyle w:val="skrift-hevet"/>
              </w:rPr>
              <w:t>1</w:t>
            </w:r>
          </w:p>
        </w:tc>
        <w:tc>
          <w:tcPr>
            <w:tcW w:w="1405" w:type="dxa"/>
            <w:tcBorders>
              <w:top w:val="nil"/>
              <w:left w:val="nil"/>
              <w:bottom w:val="nil"/>
              <w:right w:val="nil"/>
            </w:tcBorders>
            <w:tcMar>
              <w:top w:w="128" w:type="dxa"/>
              <w:left w:w="43" w:type="dxa"/>
              <w:bottom w:w="43" w:type="dxa"/>
              <w:right w:w="43" w:type="dxa"/>
            </w:tcMar>
            <w:vAlign w:val="bottom"/>
          </w:tcPr>
          <w:p w14:paraId="14689872" w14:textId="77777777" w:rsidR="00FE02EF" w:rsidRPr="00CC19F7" w:rsidRDefault="00881E58" w:rsidP="00CC19F7">
            <w:pPr>
              <w:jc w:val="right"/>
            </w:pPr>
            <w:r w:rsidRPr="00CC19F7">
              <w:t>4 866 500</w:t>
            </w:r>
          </w:p>
        </w:tc>
        <w:tc>
          <w:tcPr>
            <w:tcW w:w="1195" w:type="dxa"/>
            <w:tcBorders>
              <w:top w:val="nil"/>
              <w:left w:val="nil"/>
              <w:bottom w:val="nil"/>
              <w:right w:val="nil"/>
            </w:tcBorders>
            <w:tcMar>
              <w:top w:w="128" w:type="dxa"/>
              <w:left w:w="43" w:type="dxa"/>
              <w:bottom w:w="43" w:type="dxa"/>
              <w:right w:w="43" w:type="dxa"/>
            </w:tcMar>
            <w:vAlign w:val="bottom"/>
          </w:tcPr>
          <w:p w14:paraId="0BAD05B0" w14:textId="77777777" w:rsidR="00FE02EF" w:rsidRPr="00CC19F7" w:rsidRDefault="00881E58" w:rsidP="00CC19F7">
            <w:pPr>
              <w:jc w:val="right"/>
            </w:pPr>
            <w:r w:rsidRPr="00CC19F7">
              <w:t>3 912 400</w:t>
            </w:r>
          </w:p>
        </w:tc>
        <w:tc>
          <w:tcPr>
            <w:tcW w:w="1300" w:type="dxa"/>
            <w:tcBorders>
              <w:top w:val="nil"/>
              <w:left w:val="nil"/>
              <w:bottom w:val="nil"/>
              <w:right w:val="nil"/>
            </w:tcBorders>
            <w:tcMar>
              <w:top w:w="128" w:type="dxa"/>
              <w:left w:w="43" w:type="dxa"/>
              <w:bottom w:w="43" w:type="dxa"/>
              <w:right w:w="43" w:type="dxa"/>
            </w:tcMar>
            <w:vAlign w:val="bottom"/>
          </w:tcPr>
          <w:p w14:paraId="07BFF43A" w14:textId="77777777" w:rsidR="00FE02EF" w:rsidRPr="00CC19F7" w:rsidRDefault="00881E58" w:rsidP="00CC19F7">
            <w:pPr>
              <w:jc w:val="right"/>
            </w:pPr>
            <w:r w:rsidRPr="00CC19F7">
              <w:t>-19,6</w:t>
            </w:r>
          </w:p>
        </w:tc>
      </w:tr>
      <w:tr w:rsidR="00FE02EF" w:rsidRPr="00CC19F7" w14:paraId="107F19CD" w14:textId="77777777" w:rsidTr="00CC19F7">
        <w:trPr>
          <w:trHeight w:val="380"/>
        </w:trPr>
        <w:tc>
          <w:tcPr>
            <w:tcW w:w="840" w:type="dxa"/>
            <w:tcBorders>
              <w:top w:val="nil"/>
              <w:left w:val="nil"/>
              <w:bottom w:val="nil"/>
              <w:right w:val="nil"/>
            </w:tcBorders>
            <w:tcMar>
              <w:top w:w="128" w:type="dxa"/>
              <w:left w:w="43" w:type="dxa"/>
              <w:bottom w:w="43" w:type="dxa"/>
              <w:right w:w="43" w:type="dxa"/>
            </w:tcMar>
          </w:tcPr>
          <w:p w14:paraId="78406D07" w14:textId="77777777" w:rsidR="00FE02EF" w:rsidRPr="00CC19F7" w:rsidRDefault="00FE02EF" w:rsidP="00CC19F7"/>
        </w:tc>
        <w:tc>
          <w:tcPr>
            <w:tcW w:w="3500" w:type="dxa"/>
            <w:tcBorders>
              <w:top w:val="nil"/>
              <w:left w:val="nil"/>
              <w:bottom w:val="nil"/>
              <w:right w:val="nil"/>
            </w:tcBorders>
            <w:tcMar>
              <w:top w:w="128" w:type="dxa"/>
              <w:left w:w="43" w:type="dxa"/>
              <w:bottom w:w="43" w:type="dxa"/>
              <w:right w:w="43" w:type="dxa"/>
            </w:tcMar>
          </w:tcPr>
          <w:p w14:paraId="5AA39C74" w14:textId="77777777" w:rsidR="00FE02EF" w:rsidRPr="00CC19F7" w:rsidRDefault="00881E58" w:rsidP="00CC19F7">
            <w:r w:rsidRPr="00CC19F7">
              <w:rPr>
                <w:rStyle w:val="kursiv"/>
              </w:rPr>
              <w:t>Sum kategori 18.30</w:t>
            </w:r>
          </w:p>
        </w:tc>
        <w:tc>
          <w:tcPr>
            <w:tcW w:w="1300" w:type="dxa"/>
            <w:tcBorders>
              <w:top w:val="nil"/>
              <w:left w:val="nil"/>
              <w:bottom w:val="nil"/>
              <w:right w:val="nil"/>
            </w:tcBorders>
            <w:tcMar>
              <w:top w:w="128" w:type="dxa"/>
              <w:left w:w="43" w:type="dxa"/>
              <w:bottom w:w="43" w:type="dxa"/>
              <w:right w:w="43" w:type="dxa"/>
            </w:tcMar>
            <w:vAlign w:val="bottom"/>
          </w:tcPr>
          <w:p w14:paraId="51B5F22B" w14:textId="77777777" w:rsidR="00FE02EF" w:rsidRPr="00CC19F7" w:rsidRDefault="00881E58" w:rsidP="00CC19F7">
            <w:pPr>
              <w:jc w:val="right"/>
            </w:pPr>
            <w:r w:rsidRPr="00CC19F7">
              <w:rPr>
                <w:rStyle w:val="kursiv"/>
              </w:rPr>
              <w:t>4 786 742</w:t>
            </w:r>
          </w:p>
        </w:tc>
        <w:tc>
          <w:tcPr>
            <w:tcW w:w="1405" w:type="dxa"/>
            <w:tcBorders>
              <w:top w:val="nil"/>
              <w:left w:val="nil"/>
              <w:bottom w:val="nil"/>
              <w:right w:val="nil"/>
            </w:tcBorders>
            <w:tcMar>
              <w:top w:w="128" w:type="dxa"/>
              <w:left w:w="43" w:type="dxa"/>
              <w:bottom w:w="43" w:type="dxa"/>
              <w:right w:w="43" w:type="dxa"/>
            </w:tcMar>
            <w:vAlign w:val="bottom"/>
          </w:tcPr>
          <w:p w14:paraId="4C184844" w14:textId="77777777" w:rsidR="00FE02EF" w:rsidRPr="00CC19F7" w:rsidRDefault="00881E58" w:rsidP="00CC19F7">
            <w:pPr>
              <w:jc w:val="right"/>
            </w:pPr>
            <w:r w:rsidRPr="00CC19F7">
              <w:rPr>
                <w:rStyle w:val="kursiv"/>
              </w:rPr>
              <w:t>4 866 500</w:t>
            </w:r>
          </w:p>
        </w:tc>
        <w:tc>
          <w:tcPr>
            <w:tcW w:w="1195" w:type="dxa"/>
            <w:tcBorders>
              <w:top w:val="nil"/>
              <w:left w:val="nil"/>
              <w:bottom w:val="nil"/>
              <w:right w:val="nil"/>
            </w:tcBorders>
            <w:tcMar>
              <w:top w:w="128" w:type="dxa"/>
              <w:left w:w="43" w:type="dxa"/>
              <w:bottom w:w="43" w:type="dxa"/>
              <w:right w:w="43" w:type="dxa"/>
            </w:tcMar>
            <w:vAlign w:val="bottom"/>
          </w:tcPr>
          <w:p w14:paraId="5A994114" w14:textId="77777777" w:rsidR="00FE02EF" w:rsidRPr="00CC19F7" w:rsidRDefault="00881E58" w:rsidP="00CC19F7">
            <w:pPr>
              <w:jc w:val="right"/>
            </w:pPr>
            <w:r w:rsidRPr="00CC19F7">
              <w:rPr>
                <w:rStyle w:val="kursiv"/>
              </w:rPr>
              <w:t>3 912 400</w:t>
            </w:r>
          </w:p>
        </w:tc>
        <w:tc>
          <w:tcPr>
            <w:tcW w:w="1300" w:type="dxa"/>
            <w:tcBorders>
              <w:top w:val="nil"/>
              <w:left w:val="nil"/>
              <w:bottom w:val="nil"/>
              <w:right w:val="nil"/>
            </w:tcBorders>
            <w:tcMar>
              <w:top w:w="128" w:type="dxa"/>
              <w:left w:w="43" w:type="dxa"/>
              <w:bottom w:w="43" w:type="dxa"/>
              <w:right w:w="43" w:type="dxa"/>
            </w:tcMar>
            <w:vAlign w:val="bottom"/>
          </w:tcPr>
          <w:p w14:paraId="44627714" w14:textId="77777777" w:rsidR="00FE02EF" w:rsidRPr="00CC19F7" w:rsidRDefault="00881E58" w:rsidP="00CC19F7">
            <w:pPr>
              <w:jc w:val="right"/>
            </w:pPr>
            <w:r w:rsidRPr="00CC19F7">
              <w:rPr>
                <w:rStyle w:val="kursiv"/>
              </w:rPr>
              <w:t>-19,6</w:t>
            </w:r>
          </w:p>
        </w:tc>
      </w:tr>
      <w:tr w:rsidR="00FE02EF" w:rsidRPr="00CC19F7" w14:paraId="1B595626" w14:textId="77777777" w:rsidTr="00CC19F7">
        <w:trPr>
          <w:trHeight w:val="380"/>
        </w:trPr>
        <w:tc>
          <w:tcPr>
            <w:tcW w:w="840" w:type="dxa"/>
            <w:tcBorders>
              <w:top w:val="nil"/>
              <w:left w:val="nil"/>
              <w:bottom w:val="nil"/>
              <w:right w:val="nil"/>
            </w:tcBorders>
            <w:tcMar>
              <w:top w:w="128" w:type="dxa"/>
              <w:left w:w="43" w:type="dxa"/>
              <w:bottom w:w="43" w:type="dxa"/>
              <w:right w:w="43" w:type="dxa"/>
            </w:tcMar>
          </w:tcPr>
          <w:p w14:paraId="770D97A6" w14:textId="77777777" w:rsidR="00FE02EF" w:rsidRPr="00CC19F7" w:rsidRDefault="00FE02EF" w:rsidP="00CC19F7"/>
        </w:tc>
        <w:tc>
          <w:tcPr>
            <w:tcW w:w="3500" w:type="dxa"/>
            <w:tcBorders>
              <w:top w:val="nil"/>
              <w:left w:val="nil"/>
              <w:bottom w:val="nil"/>
              <w:right w:val="nil"/>
            </w:tcBorders>
            <w:tcMar>
              <w:top w:w="128" w:type="dxa"/>
              <w:left w:w="43" w:type="dxa"/>
              <w:bottom w:w="43" w:type="dxa"/>
              <w:right w:w="43" w:type="dxa"/>
            </w:tcMar>
          </w:tcPr>
          <w:p w14:paraId="5F7FB4C3" w14:textId="77777777" w:rsidR="00FE02EF" w:rsidRPr="00CC19F7" w:rsidRDefault="00881E58" w:rsidP="00CC19F7">
            <w:proofErr w:type="spellStart"/>
            <w:r w:rsidRPr="00CC19F7">
              <w:rPr>
                <w:rStyle w:val="halvfet0"/>
              </w:rPr>
              <w:t>Sikkerheit</w:t>
            </w:r>
            <w:proofErr w:type="spellEnd"/>
            <w:r w:rsidRPr="00CC19F7">
              <w:rPr>
                <w:rStyle w:val="halvfet0"/>
              </w:rPr>
              <w:t xml:space="preserve"> og arbeidsmiljø</w:t>
            </w:r>
          </w:p>
        </w:tc>
        <w:tc>
          <w:tcPr>
            <w:tcW w:w="1300" w:type="dxa"/>
            <w:tcBorders>
              <w:top w:val="nil"/>
              <w:left w:val="nil"/>
              <w:bottom w:val="nil"/>
              <w:right w:val="nil"/>
            </w:tcBorders>
            <w:tcMar>
              <w:top w:w="128" w:type="dxa"/>
              <w:left w:w="43" w:type="dxa"/>
              <w:bottom w:w="43" w:type="dxa"/>
              <w:right w:w="43" w:type="dxa"/>
            </w:tcMar>
            <w:vAlign w:val="bottom"/>
          </w:tcPr>
          <w:p w14:paraId="4146879D" w14:textId="77777777" w:rsidR="00FE02EF" w:rsidRPr="00CC19F7" w:rsidRDefault="00FE02EF" w:rsidP="00CC19F7">
            <w:pPr>
              <w:jc w:val="right"/>
            </w:pPr>
          </w:p>
        </w:tc>
        <w:tc>
          <w:tcPr>
            <w:tcW w:w="1405" w:type="dxa"/>
            <w:tcBorders>
              <w:top w:val="nil"/>
              <w:left w:val="nil"/>
              <w:bottom w:val="nil"/>
              <w:right w:val="nil"/>
            </w:tcBorders>
            <w:tcMar>
              <w:top w:w="128" w:type="dxa"/>
              <w:left w:w="43" w:type="dxa"/>
              <w:bottom w:w="43" w:type="dxa"/>
              <w:right w:w="43" w:type="dxa"/>
            </w:tcMar>
            <w:vAlign w:val="bottom"/>
          </w:tcPr>
          <w:p w14:paraId="49CD65A8" w14:textId="77777777" w:rsidR="00FE02EF" w:rsidRPr="00CC19F7" w:rsidRDefault="00FE02EF" w:rsidP="00CC19F7">
            <w:pPr>
              <w:jc w:val="right"/>
            </w:pPr>
          </w:p>
        </w:tc>
        <w:tc>
          <w:tcPr>
            <w:tcW w:w="1195" w:type="dxa"/>
            <w:tcBorders>
              <w:top w:val="nil"/>
              <w:left w:val="nil"/>
              <w:bottom w:val="nil"/>
              <w:right w:val="nil"/>
            </w:tcBorders>
            <w:tcMar>
              <w:top w:w="128" w:type="dxa"/>
              <w:left w:w="43" w:type="dxa"/>
              <w:bottom w:w="43" w:type="dxa"/>
              <w:right w:w="43" w:type="dxa"/>
            </w:tcMar>
            <w:vAlign w:val="bottom"/>
          </w:tcPr>
          <w:p w14:paraId="67C1ACC7" w14:textId="77777777" w:rsidR="00FE02EF" w:rsidRPr="00CC19F7" w:rsidRDefault="00FE02EF" w:rsidP="00CC19F7">
            <w:pPr>
              <w:jc w:val="right"/>
            </w:pPr>
          </w:p>
        </w:tc>
        <w:tc>
          <w:tcPr>
            <w:tcW w:w="1300" w:type="dxa"/>
            <w:tcBorders>
              <w:top w:val="nil"/>
              <w:left w:val="nil"/>
              <w:bottom w:val="nil"/>
              <w:right w:val="nil"/>
            </w:tcBorders>
            <w:tcMar>
              <w:top w:w="128" w:type="dxa"/>
              <w:left w:w="43" w:type="dxa"/>
              <w:bottom w:w="43" w:type="dxa"/>
              <w:right w:w="43" w:type="dxa"/>
            </w:tcMar>
            <w:vAlign w:val="bottom"/>
          </w:tcPr>
          <w:p w14:paraId="0C0E4AD4" w14:textId="77777777" w:rsidR="00FE02EF" w:rsidRPr="00CC19F7" w:rsidRDefault="00FE02EF" w:rsidP="00CC19F7">
            <w:pPr>
              <w:jc w:val="right"/>
            </w:pPr>
          </w:p>
        </w:tc>
      </w:tr>
      <w:tr w:rsidR="00FE02EF" w:rsidRPr="00CC19F7" w14:paraId="04EAB819" w14:textId="77777777" w:rsidTr="00CC19F7">
        <w:trPr>
          <w:trHeight w:val="380"/>
        </w:trPr>
        <w:tc>
          <w:tcPr>
            <w:tcW w:w="840" w:type="dxa"/>
            <w:tcBorders>
              <w:top w:val="nil"/>
              <w:left w:val="nil"/>
              <w:bottom w:val="nil"/>
              <w:right w:val="nil"/>
            </w:tcBorders>
            <w:tcMar>
              <w:top w:w="128" w:type="dxa"/>
              <w:left w:w="43" w:type="dxa"/>
              <w:bottom w:w="43" w:type="dxa"/>
              <w:right w:w="43" w:type="dxa"/>
            </w:tcMar>
          </w:tcPr>
          <w:p w14:paraId="4D4AACF2" w14:textId="77777777" w:rsidR="00FE02EF" w:rsidRPr="00CC19F7" w:rsidRDefault="00881E58" w:rsidP="00CC19F7">
            <w:r w:rsidRPr="00CC19F7">
              <w:t>1860</w:t>
            </w:r>
          </w:p>
        </w:tc>
        <w:tc>
          <w:tcPr>
            <w:tcW w:w="3500" w:type="dxa"/>
            <w:tcBorders>
              <w:top w:val="nil"/>
              <w:left w:val="nil"/>
              <w:bottom w:val="nil"/>
              <w:right w:val="nil"/>
            </w:tcBorders>
            <w:tcMar>
              <w:top w:w="128" w:type="dxa"/>
              <w:left w:w="43" w:type="dxa"/>
              <w:bottom w:w="43" w:type="dxa"/>
              <w:right w:w="43" w:type="dxa"/>
            </w:tcMar>
          </w:tcPr>
          <w:p w14:paraId="44D9A225" w14:textId="77777777" w:rsidR="00FE02EF" w:rsidRPr="00CC19F7" w:rsidRDefault="00881E58" w:rsidP="00CC19F7">
            <w:r w:rsidRPr="00CC19F7">
              <w:t>Havindustritilsynet</w:t>
            </w:r>
          </w:p>
        </w:tc>
        <w:tc>
          <w:tcPr>
            <w:tcW w:w="1300" w:type="dxa"/>
            <w:tcBorders>
              <w:top w:val="nil"/>
              <w:left w:val="nil"/>
              <w:bottom w:val="nil"/>
              <w:right w:val="nil"/>
            </w:tcBorders>
            <w:tcMar>
              <w:top w:w="128" w:type="dxa"/>
              <w:left w:w="43" w:type="dxa"/>
              <w:bottom w:w="43" w:type="dxa"/>
              <w:right w:w="43" w:type="dxa"/>
            </w:tcMar>
            <w:vAlign w:val="bottom"/>
          </w:tcPr>
          <w:p w14:paraId="6C2E444C" w14:textId="77777777" w:rsidR="00FE02EF" w:rsidRPr="00CC19F7" w:rsidRDefault="00FE02EF" w:rsidP="00CC19F7">
            <w:pPr>
              <w:jc w:val="right"/>
            </w:pPr>
          </w:p>
        </w:tc>
        <w:tc>
          <w:tcPr>
            <w:tcW w:w="1405" w:type="dxa"/>
            <w:tcBorders>
              <w:top w:val="nil"/>
              <w:left w:val="nil"/>
              <w:bottom w:val="nil"/>
              <w:right w:val="nil"/>
            </w:tcBorders>
            <w:tcMar>
              <w:top w:w="128" w:type="dxa"/>
              <w:left w:w="43" w:type="dxa"/>
              <w:bottom w:w="43" w:type="dxa"/>
              <w:right w:w="43" w:type="dxa"/>
            </w:tcMar>
            <w:vAlign w:val="bottom"/>
          </w:tcPr>
          <w:p w14:paraId="45FF162A" w14:textId="77777777" w:rsidR="00FE02EF" w:rsidRPr="00CC19F7" w:rsidRDefault="00FE02EF" w:rsidP="00CC19F7">
            <w:pPr>
              <w:jc w:val="right"/>
            </w:pPr>
          </w:p>
        </w:tc>
        <w:tc>
          <w:tcPr>
            <w:tcW w:w="1195" w:type="dxa"/>
            <w:tcBorders>
              <w:top w:val="nil"/>
              <w:left w:val="nil"/>
              <w:bottom w:val="nil"/>
              <w:right w:val="nil"/>
            </w:tcBorders>
            <w:tcMar>
              <w:top w:w="128" w:type="dxa"/>
              <w:left w:w="43" w:type="dxa"/>
              <w:bottom w:w="43" w:type="dxa"/>
              <w:right w:w="43" w:type="dxa"/>
            </w:tcMar>
            <w:vAlign w:val="bottom"/>
          </w:tcPr>
          <w:p w14:paraId="66021B27" w14:textId="77777777" w:rsidR="00FE02EF" w:rsidRPr="00CC19F7" w:rsidRDefault="00881E58" w:rsidP="00CC19F7">
            <w:pPr>
              <w:jc w:val="right"/>
            </w:pPr>
            <w:r w:rsidRPr="00CC19F7">
              <w:t>383 724</w:t>
            </w:r>
          </w:p>
        </w:tc>
        <w:tc>
          <w:tcPr>
            <w:tcW w:w="1300" w:type="dxa"/>
            <w:tcBorders>
              <w:top w:val="nil"/>
              <w:left w:val="nil"/>
              <w:bottom w:val="nil"/>
              <w:right w:val="nil"/>
            </w:tcBorders>
            <w:tcMar>
              <w:top w:w="128" w:type="dxa"/>
              <w:left w:w="43" w:type="dxa"/>
              <w:bottom w:w="43" w:type="dxa"/>
              <w:right w:w="43" w:type="dxa"/>
            </w:tcMar>
            <w:vAlign w:val="bottom"/>
          </w:tcPr>
          <w:p w14:paraId="79D89576" w14:textId="77777777" w:rsidR="00FE02EF" w:rsidRPr="00CC19F7" w:rsidRDefault="00FE02EF" w:rsidP="00CC19F7">
            <w:pPr>
              <w:jc w:val="right"/>
            </w:pPr>
          </w:p>
        </w:tc>
      </w:tr>
      <w:tr w:rsidR="00FE02EF" w:rsidRPr="00CC19F7" w14:paraId="49E565A5" w14:textId="77777777" w:rsidTr="00CC19F7">
        <w:trPr>
          <w:trHeight w:val="380"/>
        </w:trPr>
        <w:tc>
          <w:tcPr>
            <w:tcW w:w="840" w:type="dxa"/>
            <w:tcBorders>
              <w:top w:val="nil"/>
              <w:left w:val="nil"/>
              <w:bottom w:val="nil"/>
              <w:right w:val="nil"/>
            </w:tcBorders>
            <w:tcMar>
              <w:top w:w="128" w:type="dxa"/>
              <w:left w:w="43" w:type="dxa"/>
              <w:bottom w:w="43" w:type="dxa"/>
              <w:right w:w="43" w:type="dxa"/>
            </w:tcMar>
          </w:tcPr>
          <w:p w14:paraId="3BA53DAC" w14:textId="77777777" w:rsidR="00FE02EF" w:rsidRPr="00CC19F7" w:rsidRDefault="00FE02EF" w:rsidP="00CC19F7"/>
        </w:tc>
        <w:tc>
          <w:tcPr>
            <w:tcW w:w="3500" w:type="dxa"/>
            <w:tcBorders>
              <w:top w:val="nil"/>
              <w:left w:val="nil"/>
              <w:bottom w:val="nil"/>
              <w:right w:val="nil"/>
            </w:tcBorders>
            <w:tcMar>
              <w:top w:w="128" w:type="dxa"/>
              <w:left w:w="43" w:type="dxa"/>
              <w:bottom w:w="43" w:type="dxa"/>
              <w:right w:w="43" w:type="dxa"/>
            </w:tcMar>
          </w:tcPr>
          <w:p w14:paraId="4D3BB7DD" w14:textId="77777777" w:rsidR="00FE02EF" w:rsidRPr="00CC19F7" w:rsidRDefault="00881E58" w:rsidP="00CC19F7">
            <w:r w:rsidRPr="00CC19F7">
              <w:rPr>
                <w:rStyle w:val="kursiv"/>
              </w:rPr>
              <w:t>Sum kategori 18.60</w:t>
            </w:r>
          </w:p>
        </w:tc>
        <w:tc>
          <w:tcPr>
            <w:tcW w:w="1300" w:type="dxa"/>
            <w:tcBorders>
              <w:top w:val="nil"/>
              <w:left w:val="nil"/>
              <w:bottom w:val="nil"/>
              <w:right w:val="nil"/>
            </w:tcBorders>
            <w:tcMar>
              <w:top w:w="128" w:type="dxa"/>
              <w:left w:w="43" w:type="dxa"/>
              <w:bottom w:w="43" w:type="dxa"/>
              <w:right w:w="43" w:type="dxa"/>
            </w:tcMar>
            <w:vAlign w:val="bottom"/>
          </w:tcPr>
          <w:p w14:paraId="070984F6" w14:textId="77777777" w:rsidR="00FE02EF" w:rsidRPr="00CC19F7" w:rsidRDefault="00FE02EF" w:rsidP="00CC19F7">
            <w:pPr>
              <w:jc w:val="right"/>
            </w:pPr>
          </w:p>
        </w:tc>
        <w:tc>
          <w:tcPr>
            <w:tcW w:w="1405" w:type="dxa"/>
            <w:tcBorders>
              <w:top w:val="nil"/>
              <w:left w:val="nil"/>
              <w:bottom w:val="nil"/>
              <w:right w:val="nil"/>
            </w:tcBorders>
            <w:tcMar>
              <w:top w:w="128" w:type="dxa"/>
              <w:left w:w="43" w:type="dxa"/>
              <w:bottom w:w="43" w:type="dxa"/>
              <w:right w:w="43" w:type="dxa"/>
            </w:tcMar>
            <w:vAlign w:val="bottom"/>
          </w:tcPr>
          <w:p w14:paraId="133E8585" w14:textId="77777777" w:rsidR="00FE02EF" w:rsidRPr="00CC19F7" w:rsidRDefault="00FE02EF" w:rsidP="00CC19F7">
            <w:pPr>
              <w:jc w:val="right"/>
            </w:pPr>
          </w:p>
        </w:tc>
        <w:tc>
          <w:tcPr>
            <w:tcW w:w="1195" w:type="dxa"/>
            <w:tcBorders>
              <w:top w:val="nil"/>
              <w:left w:val="nil"/>
              <w:bottom w:val="nil"/>
              <w:right w:val="nil"/>
            </w:tcBorders>
            <w:tcMar>
              <w:top w:w="128" w:type="dxa"/>
              <w:left w:w="43" w:type="dxa"/>
              <w:bottom w:w="43" w:type="dxa"/>
              <w:right w:w="43" w:type="dxa"/>
            </w:tcMar>
            <w:vAlign w:val="bottom"/>
          </w:tcPr>
          <w:p w14:paraId="609502FA" w14:textId="77777777" w:rsidR="00FE02EF" w:rsidRPr="00CC19F7" w:rsidRDefault="00881E58" w:rsidP="00CC19F7">
            <w:pPr>
              <w:jc w:val="right"/>
            </w:pPr>
            <w:r w:rsidRPr="00CC19F7">
              <w:rPr>
                <w:rStyle w:val="kursiv"/>
              </w:rPr>
              <w:t>383 724</w:t>
            </w:r>
          </w:p>
        </w:tc>
        <w:tc>
          <w:tcPr>
            <w:tcW w:w="1300" w:type="dxa"/>
            <w:tcBorders>
              <w:top w:val="nil"/>
              <w:left w:val="nil"/>
              <w:bottom w:val="nil"/>
              <w:right w:val="nil"/>
            </w:tcBorders>
            <w:tcMar>
              <w:top w:w="128" w:type="dxa"/>
              <w:left w:w="43" w:type="dxa"/>
              <w:bottom w:w="43" w:type="dxa"/>
              <w:right w:w="43" w:type="dxa"/>
            </w:tcMar>
            <w:vAlign w:val="bottom"/>
          </w:tcPr>
          <w:p w14:paraId="4FA00B7C" w14:textId="77777777" w:rsidR="00FE02EF" w:rsidRPr="00CC19F7" w:rsidRDefault="00FE02EF" w:rsidP="00CC19F7">
            <w:pPr>
              <w:jc w:val="right"/>
            </w:pPr>
          </w:p>
        </w:tc>
      </w:tr>
      <w:tr w:rsidR="00FE02EF" w:rsidRPr="00CC19F7" w14:paraId="3B0ADF82" w14:textId="77777777" w:rsidTr="00CC19F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0793D5E" w14:textId="77777777" w:rsidR="00FE02EF" w:rsidRPr="00CC19F7" w:rsidRDefault="00FE02EF" w:rsidP="00CC19F7"/>
        </w:tc>
        <w:tc>
          <w:tcPr>
            <w:tcW w:w="3500" w:type="dxa"/>
            <w:tcBorders>
              <w:top w:val="nil"/>
              <w:left w:val="nil"/>
              <w:bottom w:val="single" w:sz="4" w:space="0" w:color="000000"/>
              <w:right w:val="nil"/>
            </w:tcBorders>
            <w:tcMar>
              <w:top w:w="128" w:type="dxa"/>
              <w:left w:w="43" w:type="dxa"/>
              <w:bottom w:w="43" w:type="dxa"/>
              <w:right w:w="43" w:type="dxa"/>
            </w:tcMar>
          </w:tcPr>
          <w:p w14:paraId="4633EB22" w14:textId="77777777" w:rsidR="00FE02EF" w:rsidRPr="00CC19F7" w:rsidRDefault="00881E58" w:rsidP="00CC19F7">
            <w:r w:rsidRPr="00CC19F7">
              <w:t>Sum programområde 18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0D042BB" w14:textId="77777777" w:rsidR="00FE02EF" w:rsidRPr="00CC19F7" w:rsidRDefault="00881E58" w:rsidP="00CC19F7">
            <w:pPr>
              <w:jc w:val="right"/>
            </w:pPr>
            <w:r w:rsidRPr="00CC19F7">
              <w:t>33 225 340</w:t>
            </w:r>
          </w:p>
        </w:tc>
        <w:tc>
          <w:tcPr>
            <w:tcW w:w="1405" w:type="dxa"/>
            <w:tcBorders>
              <w:top w:val="nil"/>
              <w:left w:val="nil"/>
              <w:bottom w:val="single" w:sz="4" w:space="0" w:color="000000"/>
              <w:right w:val="nil"/>
            </w:tcBorders>
            <w:tcMar>
              <w:top w:w="128" w:type="dxa"/>
              <w:left w:w="43" w:type="dxa"/>
              <w:bottom w:w="43" w:type="dxa"/>
              <w:right w:w="43" w:type="dxa"/>
            </w:tcMar>
            <w:vAlign w:val="bottom"/>
          </w:tcPr>
          <w:p w14:paraId="609CDAE5" w14:textId="77777777" w:rsidR="00FE02EF" w:rsidRPr="00CC19F7" w:rsidRDefault="00881E58" w:rsidP="00CC19F7">
            <w:pPr>
              <w:jc w:val="right"/>
            </w:pPr>
            <w:r w:rsidRPr="00CC19F7">
              <w:t>51 887 237</w:t>
            </w:r>
          </w:p>
        </w:tc>
        <w:tc>
          <w:tcPr>
            <w:tcW w:w="1195" w:type="dxa"/>
            <w:tcBorders>
              <w:top w:val="nil"/>
              <w:left w:val="nil"/>
              <w:bottom w:val="single" w:sz="4" w:space="0" w:color="000000"/>
              <w:right w:val="nil"/>
            </w:tcBorders>
            <w:tcMar>
              <w:top w:w="128" w:type="dxa"/>
              <w:left w:w="43" w:type="dxa"/>
              <w:bottom w:w="43" w:type="dxa"/>
              <w:right w:w="43" w:type="dxa"/>
            </w:tcMar>
            <w:vAlign w:val="bottom"/>
          </w:tcPr>
          <w:p w14:paraId="7C8670A9" w14:textId="77777777" w:rsidR="00FE02EF" w:rsidRPr="00CC19F7" w:rsidRDefault="00881E58" w:rsidP="00CC19F7">
            <w:pPr>
              <w:jc w:val="right"/>
            </w:pPr>
            <w:r w:rsidRPr="00CC19F7">
              <w:t>17 570 724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C9CEBB2" w14:textId="77777777" w:rsidR="00FE02EF" w:rsidRPr="00CC19F7" w:rsidRDefault="00881E58" w:rsidP="00CC19F7">
            <w:pPr>
              <w:jc w:val="right"/>
            </w:pPr>
            <w:r w:rsidRPr="00CC19F7">
              <w:t>-66,1</w:t>
            </w:r>
          </w:p>
        </w:tc>
      </w:tr>
      <w:tr w:rsidR="00FE02EF" w:rsidRPr="00CC19F7" w14:paraId="0341C625" w14:textId="77777777" w:rsidTr="00CC19F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B2D61E2" w14:textId="77777777" w:rsidR="00FE02EF" w:rsidRPr="00CC19F7" w:rsidRDefault="00FE02EF" w:rsidP="00CC19F7"/>
        </w:tc>
        <w:tc>
          <w:tcPr>
            <w:tcW w:w="3500" w:type="dxa"/>
            <w:tcBorders>
              <w:top w:val="nil"/>
              <w:left w:val="nil"/>
              <w:bottom w:val="single" w:sz="4" w:space="0" w:color="000000"/>
              <w:right w:val="nil"/>
            </w:tcBorders>
            <w:tcMar>
              <w:top w:w="128" w:type="dxa"/>
              <w:left w:w="43" w:type="dxa"/>
              <w:bottom w:w="43" w:type="dxa"/>
              <w:right w:w="43" w:type="dxa"/>
            </w:tcMar>
          </w:tcPr>
          <w:p w14:paraId="0710E4E9" w14:textId="77777777" w:rsidR="00FE02EF" w:rsidRPr="00CC19F7" w:rsidRDefault="00881E58" w:rsidP="00CC19F7">
            <w:r w:rsidRPr="00CC19F7">
              <w:t>Sum utgifter</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E2A6EE6" w14:textId="77777777" w:rsidR="00FE02EF" w:rsidRPr="00CC19F7" w:rsidRDefault="00881E58" w:rsidP="00CC19F7">
            <w:pPr>
              <w:jc w:val="right"/>
            </w:pPr>
            <w:r w:rsidRPr="00CC19F7">
              <w:t>33 225 340</w:t>
            </w:r>
          </w:p>
        </w:tc>
        <w:tc>
          <w:tcPr>
            <w:tcW w:w="1405" w:type="dxa"/>
            <w:tcBorders>
              <w:top w:val="nil"/>
              <w:left w:val="nil"/>
              <w:bottom w:val="single" w:sz="4" w:space="0" w:color="000000"/>
              <w:right w:val="nil"/>
            </w:tcBorders>
            <w:tcMar>
              <w:top w:w="128" w:type="dxa"/>
              <w:left w:w="43" w:type="dxa"/>
              <w:bottom w:w="43" w:type="dxa"/>
              <w:right w:w="43" w:type="dxa"/>
            </w:tcMar>
            <w:vAlign w:val="bottom"/>
          </w:tcPr>
          <w:p w14:paraId="2CED467F" w14:textId="77777777" w:rsidR="00FE02EF" w:rsidRPr="00CC19F7" w:rsidRDefault="00881E58" w:rsidP="00CC19F7">
            <w:pPr>
              <w:jc w:val="right"/>
            </w:pPr>
            <w:r w:rsidRPr="00CC19F7">
              <w:t>51 887 237</w:t>
            </w:r>
          </w:p>
        </w:tc>
        <w:tc>
          <w:tcPr>
            <w:tcW w:w="1195" w:type="dxa"/>
            <w:tcBorders>
              <w:top w:val="nil"/>
              <w:left w:val="nil"/>
              <w:bottom w:val="single" w:sz="4" w:space="0" w:color="000000"/>
              <w:right w:val="nil"/>
            </w:tcBorders>
            <w:tcMar>
              <w:top w:w="128" w:type="dxa"/>
              <w:left w:w="43" w:type="dxa"/>
              <w:bottom w:w="43" w:type="dxa"/>
              <w:right w:w="43" w:type="dxa"/>
            </w:tcMar>
            <w:vAlign w:val="bottom"/>
          </w:tcPr>
          <w:p w14:paraId="25B640EB" w14:textId="77777777" w:rsidR="00FE02EF" w:rsidRPr="00CC19F7" w:rsidRDefault="00881E58" w:rsidP="00CC19F7">
            <w:pPr>
              <w:jc w:val="right"/>
            </w:pPr>
            <w:r w:rsidRPr="00CC19F7">
              <w:t>17 570 724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BE5357C" w14:textId="77777777" w:rsidR="00FE02EF" w:rsidRPr="00CC19F7" w:rsidRDefault="00881E58" w:rsidP="00CC19F7">
            <w:pPr>
              <w:jc w:val="right"/>
            </w:pPr>
            <w:r w:rsidRPr="00CC19F7">
              <w:t>-66,1</w:t>
            </w:r>
          </w:p>
        </w:tc>
      </w:tr>
    </w:tbl>
    <w:p w14:paraId="7C5016A1" w14:textId="77777777" w:rsidR="00FE02EF" w:rsidRPr="00CC19F7" w:rsidRDefault="00881E58" w:rsidP="00CC19F7">
      <w:pPr>
        <w:pStyle w:val="tabell-noter"/>
      </w:pPr>
      <w:r w:rsidRPr="00CC19F7">
        <w:rPr>
          <w:rStyle w:val="skrift-hevet"/>
        </w:rPr>
        <w:t>1</w:t>
      </w:r>
      <w:r w:rsidRPr="00CC19F7">
        <w:tab/>
        <w:t>Budsjettert under kap. 1830 Forsking og næringsutvikling og kap. 1840 CO</w:t>
      </w:r>
      <w:r w:rsidRPr="00CC19F7">
        <w:rPr>
          <w:rStyle w:val="skrift-senket"/>
        </w:rPr>
        <w:t>2</w:t>
      </w:r>
      <w:r w:rsidRPr="00CC19F7">
        <w:t>-handtering i 2022.</w:t>
      </w:r>
    </w:p>
    <w:p w14:paraId="27812643" w14:textId="77777777" w:rsidR="00FE02EF" w:rsidRPr="00CC19F7" w:rsidRDefault="00881E58" w:rsidP="00CC19F7">
      <w:pPr>
        <w:pStyle w:val="Undertittel"/>
      </w:pPr>
      <w:r w:rsidRPr="00CC19F7">
        <w:t>Inntekter fordelte på kapittel</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405"/>
        <w:gridCol w:w="1195"/>
        <w:gridCol w:w="1300"/>
      </w:tblGrid>
      <w:tr w:rsidR="00FE02EF" w:rsidRPr="00CC19F7" w14:paraId="3EAF8A29" w14:textId="77777777" w:rsidTr="00CC19F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0A590EA" w14:textId="77777777" w:rsidR="00FE02EF" w:rsidRPr="00CC19F7" w:rsidRDefault="00881E58" w:rsidP="00CC19F7">
            <w:pPr>
              <w:pStyle w:val="Tabellnavn"/>
            </w:pPr>
            <w:r w:rsidRPr="00CC19F7">
              <w:t>UIPOKL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0AB519CF" w14:textId="77777777" w:rsidR="00FE02EF" w:rsidRPr="00CC19F7" w:rsidRDefault="00FE02EF" w:rsidP="00CC19F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0ABC189" w14:textId="77777777" w:rsidR="00FE02EF" w:rsidRPr="00CC19F7" w:rsidRDefault="00FE02EF" w:rsidP="00CC19F7">
            <w:pPr>
              <w:jc w:val="right"/>
            </w:pPr>
          </w:p>
        </w:tc>
        <w:tc>
          <w:tcPr>
            <w:tcW w:w="1405" w:type="dxa"/>
            <w:tcBorders>
              <w:top w:val="nil"/>
              <w:left w:val="nil"/>
              <w:bottom w:val="single" w:sz="4" w:space="0" w:color="000000"/>
              <w:right w:val="nil"/>
            </w:tcBorders>
            <w:tcMar>
              <w:top w:w="128" w:type="dxa"/>
              <w:left w:w="43" w:type="dxa"/>
              <w:bottom w:w="43" w:type="dxa"/>
              <w:right w:w="43" w:type="dxa"/>
            </w:tcMar>
            <w:vAlign w:val="bottom"/>
          </w:tcPr>
          <w:p w14:paraId="382C8C79" w14:textId="77777777" w:rsidR="00FE02EF" w:rsidRPr="00CC19F7" w:rsidRDefault="00FE02EF" w:rsidP="00CC19F7">
            <w:pPr>
              <w:jc w:val="right"/>
            </w:pPr>
          </w:p>
        </w:tc>
        <w:tc>
          <w:tcPr>
            <w:tcW w:w="1195" w:type="dxa"/>
            <w:tcBorders>
              <w:top w:val="nil"/>
              <w:left w:val="nil"/>
              <w:bottom w:val="single" w:sz="4" w:space="0" w:color="000000"/>
              <w:right w:val="nil"/>
            </w:tcBorders>
            <w:tcMar>
              <w:top w:w="128" w:type="dxa"/>
              <w:left w:w="43" w:type="dxa"/>
              <w:bottom w:w="43" w:type="dxa"/>
              <w:right w:w="43" w:type="dxa"/>
            </w:tcMar>
            <w:vAlign w:val="bottom"/>
          </w:tcPr>
          <w:p w14:paraId="2015C06C" w14:textId="77777777" w:rsidR="00FE02EF" w:rsidRPr="00CC19F7" w:rsidRDefault="00FE02EF" w:rsidP="00CC19F7">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D83A721" w14:textId="77777777" w:rsidR="00FE02EF" w:rsidRPr="00CC19F7" w:rsidRDefault="00881E58" w:rsidP="00CC19F7">
            <w:pPr>
              <w:jc w:val="right"/>
            </w:pPr>
            <w:r w:rsidRPr="00CC19F7">
              <w:t>(i 1 000 kr)</w:t>
            </w:r>
          </w:p>
        </w:tc>
      </w:tr>
      <w:tr w:rsidR="00FE02EF" w:rsidRPr="00CC19F7" w14:paraId="22E15F1D" w14:textId="77777777" w:rsidTr="00CC19F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F541365" w14:textId="77777777" w:rsidR="00FE02EF" w:rsidRPr="00CC19F7" w:rsidRDefault="00881E58" w:rsidP="00CC19F7">
            <w:r w:rsidRPr="00CC19F7">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0778F4FE" w14:textId="77777777" w:rsidR="00FE02EF" w:rsidRPr="00CC19F7" w:rsidRDefault="00881E58" w:rsidP="00CC19F7">
            <w:proofErr w:type="spellStart"/>
            <w:r w:rsidRPr="00CC19F7">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65B6BF2" w14:textId="77777777" w:rsidR="00FE02EF" w:rsidRPr="00CC19F7" w:rsidRDefault="00881E58" w:rsidP="00CC19F7">
            <w:pPr>
              <w:jc w:val="right"/>
            </w:pPr>
            <w:proofErr w:type="spellStart"/>
            <w:r w:rsidRPr="00CC19F7">
              <w:t>Rekneskap</w:t>
            </w:r>
            <w:proofErr w:type="spellEnd"/>
            <w:r w:rsidRPr="00CC19F7">
              <w:br/>
              <w:t>2022</w:t>
            </w:r>
          </w:p>
        </w:tc>
        <w:tc>
          <w:tcPr>
            <w:tcW w:w="1405" w:type="dxa"/>
            <w:tcBorders>
              <w:top w:val="nil"/>
              <w:left w:val="nil"/>
              <w:bottom w:val="single" w:sz="4" w:space="0" w:color="000000"/>
              <w:right w:val="nil"/>
            </w:tcBorders>
            <w:tcMar>
              <w:top w:w="128" w:type="dxa"/>
              <w:left w:w="43" w:type="dxa"/>
              <w:bottom w:w="43" w:type="dxa"/>
              <w:right w:w="43" w:type="dxa"/>
            </w:tcMar>
            <w:vAlign w:val="bottom"/>
          </w:tcPr>
          <w:p w14:paraId="3C48FB2E" w14:textId="77777777" w:rsidR="00FE02EF" w:rsidRPr="00CC19F7" w:rsidRDefault="00881E58" w:rsidP="00CC19F7">
            <w:pPr>
              <w:jc w:val="right"/>
            </w:pPr>
            <w:r w:rsidRPr="00CC19F7">
              <w:t>Saldert</w:t>
            </w:r>
            <w:r w:rsidRPr="00CC19F7">
              <w:br/>
              <w:t>budsjett 2023</w:t>
            </w:r>
          </w:p>
        </w:tc>
        <w:tc>
          <w:tcPr>
            <w:tcW w:w="1195" w:type="dxa"/>
            <w:tcBorders>
              <w:top w:val="nil"/>
              <w:left w:val="nil"/>
              <w:bottom w:val="single" w:sz="4" w:space="0" w:color="000000"/>
              <w:right w:val="nil"/>
            </w:tcBorders>
            <w:tcMar>
              <w:top w:w="128" w:type="dxa"/>
              <w:left w:w="43" w:type="dxa"/>
              <w:bottom w:w="43" w:type="dxa"/>
              <w:right w:w="43" w:type="dxa"/>
            </w:tcMar>
            <w:vAlign w:val="bottom"/>
          </w:tcPr>
          <w:p w14:paraId="56D8EC80" w14:textId="77777777" w:rsidR="00FE02EF" w:rsidRPr="00CC19F7" w:rsidRDefault="00881E58" w:rsidP="00CC19F7">
            <w:pPr>
              <w:jc w:val="right"/>
            </w:pPr>
            <w:r w:rsidRPr="00CC19F7">
              <w:t>Forslag</w:t>
            </w:r>
            <w:r w:rsidRPr="00CC19F7">
              <w:br/>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AF5CDB4" w14:textId="77777777" w:rsidR="00FE02EF" w:rsidRPr="00CC19F7" w:rsidRDefault="00881E58" w:rsidP="00CC19F7">
            <w:pPr>
              <w:jc w:val="right"/>
            </w:pPr>
            <w:r w:rsidRPr="00CC19F7">
              <w:t>Endring</w:t>
            </w:r>
            <w:r w:rsidRPr="00CC19F7">
              <w:br/>
              <w:t>i pst.</w:t>
            </w:r>
          </w:p>
        </w:tc>
      </w:tr>
      <w:tr w:rsidR="00FE02EF" w:rsidRPr="00CC19F7" w14:paraId="30E59B9C" w14:textId="77777777" w:rsidTr="00CC19F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3B0AA484" w14:textId="77777777" w:rsidR="00FE02EF" w:rsidRPr="00CC19F7" w:rsidRDefault="00FE02EF" w:rsidP="00CC19F7"/>
        </w:tc>
        <w:tc>
          <w:tcPr>
            <w:tcW w:w="3500" w:type="dxa"/>
            <w:tcBorders>
              <w:top w:val="single" w:sz="4" w:space="0" w:color="000000"/>
              <w:left w:val="nil"/>
              <w:bottom w:val="nil"/>
              <w:right w:val="nil"/>
            </w:tcBorders>
            <w:tcMar>
              <w:top w:w="128" w:type="dxa"/>
              <w:left w:w="43" w:type="dxa"/>
              <w:bottom w:w="43" w:type="dxa"/>
              <w:right w:w="43" w:type="dxa"/>
            </w:tcMar>
          </w:tcPr>
          <w:p w14:paraId="225632A6" w14:textId="77777777" w:rsidR="00FE02EF" w:rsidRPr="00CC19F7" w:rsidRDefault="00881E58" w:rsidP="00CC19F7">
            <w:r w:rsidRPr="00CC19F7">
              <w:rPr>
                <w:rStyle w:val="halvfet0"/>
              </w:rPr>
              <w:t>Administrasjon</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FE1C3D9" w14:textId="77777777" w:rsidR="00FE02EF" w:rsidRPr="00CC19F7" w:rsidRDefault="00FE02EF" w:rsidP="00CC19F7">
            <w:pPr>
              <w:jc w:val="right"/>
            </w:pPr>
          </w:p>
        </w:tc>
        <w:tc>
          <w:tcPr>
            <w:tcW w:w="1405" w:type="dxa"/>
            <w:tcBorders>
              <w:top w:val="single" w:sz="4" w:space="0" w:color="000000"/>
              <w:left w:val="nil"/>
              <w:bottom w:val="nil"/>
              <w:right w:val="nil"/>
            </w:tcBorders>
            <w:tcMar>
              <w:top w:w="128" w:type="dxa"/>
              <w:left w:w="43" w:type="dxa"/>
              <w:bottom w:w="43" w:type="dxa"/>
              <w:right w:w="43" w:type="dxa"/>
            </w:tcMar>
            <w:vAlign w:val="bottom"/>
          </w:tcPr>
          <w:p w14:paraId="732348DA" w14:textId="77777777" w:rsidR="00FE02EF" w:rsidRPr="00CC19F7" w:rsidRDefault="00FE02EF" w:rsidP="00CC19F7">
            <w:pPr>
              <w:jc w:val="right"/>
            </w:pPr>
          </w:p>
        </w:tc>
        <w:tc>
          <w:tcPr>
            <w:tcW w:w="1195" w:type="dxa"/>
            <w:tcBorders>
              <w:top w:val="single" w:sz="4" w:space="0" w:color="000000"/>
              <w:left w:val="nil"/>
              <w:bottom w:val="nil"/>
              <w:right w:val="nil"/>
            </w:tcBorders>
            <w:tcMar>
              <w:top w:w="128" w:type="dxa"/>
              <w:left w:w="43" w:type="dxa"/>
              <w:bottom w:w="43" w:type="dxa"/>
              <w:right w:w="43" w:type="dxa"/>
            </w:tcMar>
            <w:vAlign w:val="bottom"/>
          </w:tcPr>
          <w:p w14:paraId="2BAEB80D" w14:textId="77777777" w:rsidR="00FE02EF" w:rsidRPr="00CC19F7" w:rsidRDefault="00FE02EF" w:rsidP="00CC19F7">
            <w:pPr>
              <w:jc w:val="right"/>
            </w:pP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8D79114" w14:textId="77777777" w:rsidR="00FE02EF" w:rsidRPr="00CC19F7" w:rsidRDefault="00FE02EF" w:rsidP="00CC19F7">
            <w:pPr>
              <w:jc w:val="right"/>
            </w:pPr>
          </w:p>
        </w:tc>
      </w:tr>
      <w:tr w:rsidR="00FE02EF" w:rsidRPr="00CC19F7" w14:paraId="38395F8D" w14:textId="77777777" w:rsidTr="00CC19F7">
        <w:trPr>
          <w:trHeight w:val="380"/>
        </w:trPr>
        <w:tc>
          <w:tcPr>
            <w:tcW w:w="840" w:type="dxa"/>
            <w:tcBorders>
              <w:top w:val="nil"/>
              <w:left w:val="nil"/>
              <w:bottom w:val="nil"/>
              <w:right w:val="nil"/>
            </w:tcBorders>
            <w:tcMar>
              <w:top w:w="128" w:type="dxa"/>
              <w:left w:w="43" w:type="dxa"/>
              <w:bottom w:w="43" w:type="dxa"/>
              <w:right w:w="43" w:type="dxa"/>
            </w:tcMar>
          </w:tcPr>
          <w:p w14:paraId="738F865C" w14:textId="77777777" w:rsidR="00FE02EF" w:rsidRPr="00CC19F7" w:rsidRDefault="00881E58" w:rsidP="00CC19F7">
            <w:r w:rsidRPr="00CC19F7">
              <w:t>4800</w:t>
            </w:r>
          </w:p>
        </w:tc>
        <w:tc>
          <w:tcPr>
            <w:tcW w:w="3500" w:type="dxa"/>
            <w:tcBorders>
              <w:top w:val="nil"/>
              <w:left w:val="nil"/>
              <w:bottom w:val="nil"/>
              <w:right w:val="nil"/>
            </w:tcBorders>
            <w:tcMar>
              <w:top w:w="128" w:type="dxa"/>
              <w:left w:w="43" w:type="dxa"/>
              <w:bottom w:w="43" w:type="dxa"/>
              <w:right w:w="43" w:type="dxa"/>
            </w:tcMar>
          </w:tcPr>
          <w:p w14:paraId="64227DB1" w14:textId="77777777" w:rsidR="00FE02EF" w:rsidRPr="00CC19F7" w:rsidRDefault="00881E58" w:rsidP="00CC19F7">
            <w:r w:rsidRPr="00CC19F7">
              <w:t>Olje- og energidepartementet</w:t>
            </w:r>
          </w:p>
        </w:tc>
        <w:tc>
          <w:tcPr>
            <w:tcW w:w="1300" w:type="dxa"/>
            <w:tcBorders>
              <w:top w:val="nil"/>
              <w:left w:val="nil"/>
              <w:bottom w:val="nil"/>
              <w:right w:val="nil"/>
            </w:tcBorders>
            <w:tcMar>
              <w:top w:w="128" w:type="dxa"/>
              <w:left w:w="43" w:type="dxa"/>
              <w:bottom w:w="43" w:type="dxa"/>
              <w:right w:w="43" w:type="dxa"/>
            </w:tcMar>
            <w:vAlign w:val="bottom"/>
          </w:tcPr>
          <w:p w14:paraId="1A3CDC53" w14:textId="77777777" w:rsidR="00FE02EF" w:rsidRPr="00CC19F7" w:rsidRDefault="00881E58" w:rsidP="00CC19F7">
            <w:pPr>
              <w:jc w:val="right"/>
            </w:pPr>
            <w:r w:rsidRPr="00CC19F7">
              <w:t>2 117</w:t>
            </w:r>
          </w:p>
        </w:tc>
        <w:tc>
          <w:tcPr>
            <w:tcW w:w="1405" w:type="dxa"/>
            <w:tcBorders>
              <w:top w:val="nil"/>
              <w:left w:val="nil"/>
              <w:bottom w:val="nil"/>
              <w:right w:val="nil"/>
            </w:tcBorders>
            <w:tcMar>
              <w:top w:w="128" w:type="dxa"/>
              <w:left w:w="43" w:type="dxa"/>
              <w:bottom w:w="43" w:type="dxa"/>
              <w:right w:w="43" w:type="dxa"/>
            </w:tcMar>
            <w:vAlign w:val="bottom"/>
          </w:tcPr>
          <w:p w14:paraId="2BDD1AA5" w14:textId="77777777" w:rsidR="00FE02EF" w:rsidRPr="00CC19F7" w:rsidRDefault="00881E58" w:rsidP="00CC19F7">
            <w:pPr>
              <w:jc w:val="right"/>
            </w:pPr>
            <w:r w:rsidRPr="00CC19F7">
              <w:t>1 700</w:t>
            </w:r>
          </w:p>
        </w:tc>
        <w:tc>
          <w:tcPr>
            <w:tcW w:w="1195" w:type="dxa"/>
            <w:tcBorders>
              <w:top w:val="nil"/>
              <w:left w:val="nil"/>
              <w:bottom w:val="nil"/>
              <w:right w:val="nil"/>
            </w:tcBorders>
            <w:tcMar>
              <w:top w:w="128" w:type="dxa"/>
              <w:left w:w="43" w:type="dxa"/>
              <w:bottom w:w="43" w:type="dxa"/>
              <w:right w:w="43" w:type="dxa"/>
            </w:tcMar>
            <w:vAlign w:val="bottom"/>
          </w:tcPr>
          <w:p w14:paraId="5C53F226" w14:textId="77777777" w:rsidR="00FE02EF" w:rsidRPr="00CC19F7" w:rsidRDefault="00881E58" w:rsidP="00CC19F7">
            <w:pPr>
              <w:jc w:val="right"/>
            </w:pPr>
            <w:r w:rsidRPr="00CC19F7">
              <w:t>2 000</w:t>
            </w:r>
          </w:p>
        </w:tc>
        <w:tc>
          <w:tcPr>
            <w:tcW w:w="1300" w:type="dxa"/>
            <w:tcBorders>
              <w:top w:val="nil"/>
              <w:left w:val="nil"/>
              <w:bottom w:val="nil"/>
              <w:right w:val="nil"/>
            </w:tcBorders>
            <w:tcMar>
              <w:top w:w="128" w:type="dxa"/>
              <w:left w:w="43" w:type="dxa"/>
              <w:bottom w:w="43" w:type="dxa"/>
              <w:right w:w="43" w:type="dxa"/>
            </w:tcMar>
            <w:vAlign w:val="bottom"/>
          </w:tcPr>
          <w:p w14:paraId="1B7D7D37" w14:textId="77777777" w:rsidR="00FE02EF" w:rsidRPr="00CC19F7" w:rsidRDefault="00881E58" w:rsidP="00CC19F7">
            <w:pPr>
              <w:jc w:val="right"/>
            </w:pPr>
            <w:r w:rsidRPr="00CC19F7">
              <w:t>17,6</w:t>
            </w:r>
          </w:p>
        </w:tc>
      </w:tr>
      <w:tr w:rsidR="00FE02EF" w:rsidRPr="00CC19F7" w14:paraId="1138A2DA" w14:textId="77777777" w:rsidTr="00CC19F7">
        <w:trPr>
          <w:trHeight w:val="640"/>
        </w:trPr>
        <w:tc>
          <w:tcPr>
            <w:tcW w:w="840" w:type="dxa"/>
            <w:tcBorders>
              <w:top w:val="nil"/>
              <w:left w:val="nil"/>
              <w:bottom w:val="nil"/>
              <w:right w:val="nil"/>
            </w:tcBorders>
            <w:tcMar>
              <w:top w:w="128" w:type="dxa"/>
              <w:left w:w="43" w:type="dxa"/>
              <w:bottom w:w="43" w:type="dxa"/>
              <w:right w:w="43" w:type="dxa"/>
            </w:tcMar>
          </w:tcPr>
          <w:p w14:paraId="0C138363" w14:textId="77777777" w:rsidR="00FE02EF" w:rsidRPr="00CC19F7" w:rsidRDefault="00881E58" w:rsidP="00CC19F7">
            <w:r w:rsidRPr="00CC19F7">
              <w:t>5582</w:t>
            </w:r>
          </w:p>
        </w:tc>
        <w:tc>
          <w:tcPr>
            <w:tcW w:w="3500" w:type="dxa"/>
            <w:tcBorders>
              <w:top w:val="nil"/>
              <w:left w:val="nil"/>
              <w:bottom w:val="nil"/>
              <w:right w:val="nil"/>
            </w:tcBorders>
            <w:tcMar>
              <w:top w:w="128" w:type="dxa"/>
              <w:left w:w="43" w:type="dxa"/>
              <w:bottom w:w="43" w:type="dxa"/>
              <w:right w:w="43" w:type="dxa"/>
            </w:tcMar>
          </w:tcPr>
          <w:p w14:paraId="63A4144D" w14:textId="77777777" w:rsidR="00FE02EF" w:rsidRPr="00CC19F7" w:rsidRDefault="00881E58" w:rsidP="00CC19F7">
            <w:r w:rsidRPr="00CC19F7">
              <w:t>Sektoravgifter under Olje- og energidepartementet</w:t>
            </w:r>
          </w:p>
        </w:tc>
        <w:tc>
          <w:tcPr>
            <w:tcW w:w="1300" w:type="dxa"/>
            <w:tcBorders>
              <w:top w:val="nil"/>
              <w:left w:val="nil"/>
              <w:bottom w:val="nil"/>
              <w:right w:val="nil"/>
            </w:tcBorders>
            <w:tcMar>
              <w:top w:w="128" w:type="dxa"/>
              <w:left w:w="43" w:type="dxa"/>
              <w:bottom w:w="43" w:type="dxa"/>
              <w:right w:w="43" w:type="dxa"/>
            </w:tcMar>
            <w:vAlign w:val="bottom"/>
          </w:tcPr>
          <w:p w14:paraId="28ABB5AD" w14:textId="77777777" w:rsidR="00FE02EF" w:rsidRPr="00CC19F7" w:rsidRDefault="00881E58" w:rsidP="00CC19F7">
            <w:pPr>
              <w:jc w:val="right"/>
            </w:pPr>
            <w:r w:rsidRPr="00CC19F7">
              <w:t>305 100</w:t>
            </w:r>
          </w:p>
        </w:tc>
        <w:tc>
          <w:tcPr>
            <w:tcW w:w="1405" w:type="dxa"/>
            <w:tcBorders>
              <w:top w:val="nil"/>
              <w:left w:val="nil"/>
              <w:bottom w:val="nil"/>
              <w:right w:val="nil"/>
            </w:tcBorders>
            <w:tcMar>
              <w:top w:w="128" w:type="dxa"/>
              <w:left w:w="43" w:type="dxa"/>
              <w:bottom w:w="43" w:type="dxa"/>
              <w:right w:w="43" w:type="dxa"/>
            </w:tcMar>
            <w:vAlign w:val="bottom"/>
          </w:tcPr>
          <w:p w14:paraId="5E65704F" w14:textId="77777777" w:rsidR="00FE02EF" w:rsidRPr="00CC19F7" w:rsidRDefault="00881E58" w:rsidP="00CC19F7">
            <w:pPr>
              <w:jc w:val="right"/>
            </w:pPr>
            <w:r w:rsidRPr="00CC19F7">
              <w:t>312 000</w:t>
            </w:r>
          </w:p>
        </w:tc>
        <w:tc>
          <w:tcPr>
            <w:tcW w:w="1195" w:type="dxa"/>
            <w:tcBorders>
              <w:top w:val="nil"/>
              <w:left w:val="nil"/>
              <w:bottom w:val="nil"/>
              <w:right w:val="nil"/>
            </w:tcBorders>
            <w:tcMar>
              <w:top w:w="128" w:type="dxa"/>
              <w:left w:w="43" w:type="dxa"/>
              <w:bottom w:w="43" w:type="dxa"/>
              <w:right w:w="43" w:type="dxa"/>
            </w:tcMar>
            <w:vAlign w:val="bottom"/>
          </w:tcPr>
          <w:p w14:paraId="749264F5" w14:textId="77777777" w:rsidR="00FE02EF" w:rsidRPr="00CC19F7" w:rsidRDefault="00881E58" w:rsidP="00CC19F7">
            <w:pPr>
              <w:jc w:val="right"/>
            </w:pPr>
            <w:r w:rsidRPr="00CC19F7">
              <w:t>463 533</w:t>
            </w:r>
          </w:p>
        </w:tc>
        <w:tc>
          <w:tcPr>
            <w:tcW w:w="1300" w:type="dxa"/>
            <w:tcBorders>
              <w:top w:val="nil"/>
              <w:left w:val="nil"/>
              <w:bottom w:val="nil"/>
              <w:right w:val="nil"/>
            </w:tcBorders>
            <w:tcMar>
              <w:top w:w="128" w:type="dxa"/>
              <w:left w:w="43" w:type="dxa"/>
              <w:bottom w:w="43" w:type="dxa"/>
              <w:right w:w="43" w:type="dxa"/>
            </w:tcMar>
            <w:vAlign w:val="bottom"/>
          </w:tcPr>
          <w:p w14:paraId="2F37F82D" w14:textId="77777777" w:rsidR="00FE02EF" w:rsidRPr="00CC19F7" w:rsidRDefault="00881E58" w:rsidP="00CC19F7">
            <w:pPr>
              <w:jc w:val="right"/>
            </w:pPr>
            <w:r w:rsidRPr="00CC19F7">
              <w:t>48,6</w:t>
            </w:r>
          </w:p>
        </w:tc>
      </w:tr>
      <w:tr w:rsidR="00FE02EF" w:rsidRPr="00CC19F7" w14:paraId="5FA7E0F0" w14:textId="77777777" w:rsidTr="00CC19F7">
        <w:trPr>
          <w:trHeight w:val="380"/>
        </w:trPr>
        <w:tc>
          <w:tcPr>
            <w:tcW w:w="840" w:type="dxa"/>
            <w:tcBorders>
              <w:top w:val="nil"/>
              <w:left w:val="nil"/>
              <w:bottom w:val="nil"/>
              <w:right w:val="nil"/>
            </w:tcBorders>
            <w:tcMar>
              <w:top w:w="128" w:type="dxa"/>
              <w:left w:w="43" w:type="dxa"/>
              <w:bottom w:w="43" w:type="dxa"/>
              <w:right w:w="43" w:type="dxa"/>
            </w:tcMar>
          </w:tcPr>
          <w:p w14:paraId="44CC4A21" w14:textId="77777777" w:rsidR="00FE02EF" w:rsidRPr="00CC19F7" w:rsidRDefault="00FE02EF" w:rsidP="00CC19F7"/>
        </w:tc>
        <w:tc>
          <w:tcPr>
            <w:tcW w:w="3500" w:type="dxa"/>
            <w:tcBorders>
              <w:top w:val="nil"/>
              <w:left w:val="nil"/>
              <w:bottom w:val="nil"/>
              <w:right w:val="nil"/>
            </w:tcBorders>
            <w:tcMar>
              <w:top w:w="128" w:type="dxa"/>
              <w:left w:w="43" w:type="dxa"/>
              <w:bottom w:w="43" w:type="dxa"/>
              <w:right w:w="43" w:type="dxa"/>
            </w:tcMar>
          </w:tcPr>
          <w:p w14:paraId="6C44B205" w14:textId="77777777" w:rsidR="00FE02EF" w:rsidRPr="00CC19F7" w:rsidRDefault="00881E58" w:rsidP="00CC19F7">
            <w:r w:rsidRPr="00CC19F7">
              <w:rPr>
                <w:rStyle w:val="kursiv"/>
              </w:rPr>
              <w:t>Sum kategori 18.00</w:t>
            </w:r>
          </w:p>
        </w:tc>
        <w:tc>
          <w:tcPr>
            <w:tcW w:w="1300" w:type="dxa"/>
            <w:tcBorders>
              <w:top w:val="nil"/>
              <w:left w:val="nil"/>
              <w:bottom w:val="nil"/>
              <w:right w:val="nil"/>
            </w:tcBorders>
            <w:tcMar>
              <w:top w:w="128" w:type="dxa"/>
              <w:left w:w="43" w:type="dxa"/>
              <w:bottom w:w="43" w:type="dxa"/>
              <w:right w:w="43" w:type="dxa"/>
            </w:tcMar>
            <w:vAlign w:val="bottom"/>
          </w:tcPr>
          <w:p w14:paraId="226E6873" w14:textId="77777777" w:rsidR="00FE02EF" w:rsidRPr="00CC19F7" w:rsidRDefault="00881E58" w:rsidP="00CC19F7">
            <w:pPr>
              <w:jc w:val="right"/>
            </w:pPr>
            <w:r w:rsidRPr="00CC19F7">
              <w:rPr>
                <w:rStyle w:val="kursiv"/>
              </w:rPr>
              <w:t>307 117</w:t>
            </w:r>
          </w:p>
        </w:tc>
        <w:tc>
          <w:tcPr>
            <w:tcW w:w="1405" w:type="dxa"/>
            <w:tcBorders>
              <w:top w:val="nil"/>
              <w:left w:val="nil"/>
              <w:bottom w:val="nil"/>
              <w:right w:val="nil"/>
            </w:tcBorders>
            <w:tcMar>
              <w:top w:w="128" w:type="dxa"/>
              <w:left w:w="43" w:type="dxa"/>
              <w:bottom w:w="43" w:type="dxa"/>
              <w:right w:w="43" w:type="dxa"/>
            </w:tcMar>
            <w:vAlign w:val="bottom"/>
          </w:tcPr>
          <w:p w14:paraId="00A9B65C" w14:textId="77777777" w:rsidR="00FE02EF" w:rsidRPr="00CC19F7" w:rsidRDefault="00881E58" w:rsidP="00CC19F7">
            <w:pPr>
              <w:jc w:val="right"/>
            </w:pPr>
            <w:r w:rsidRPr="00CC19F7">
              <w:rPr>
                <w:rStyle w:val="kursiv"/>
              </w:rPr>
              <w:t>313 700</w:t>
            </w:r>
          </w:p>
        </w:tc>
        <w:tc>
          <w:tcPr>
            <w:tcW w:w="1195" w:type="dxa"/>
            <w:tcBorders>
              <w:top w:val="nil"/>
              <w:left w:val="nil"/>
              <w:bottom w:val="nil"/>
              <w:right w:val="nil"/>
            </w:tcBorders>
            <w:tcMar>
              <w:top w:w="128" w:type="dxa"/>
              <w:left w:w="43" w:type="dxa"/>
              <w:bottom w:w="43" w:type="dxa"/>
              <w:right w:w="43" w:type="dxa"/>
            </w:tcMar>
            <w:vAlign w:val="bottom"/>
          </w:tcPr>
          <w:p w14:paraId="09C58BD7" w14:textId="77777777" w:rsidR="00FE02EF" w:rsidRPr="00CC19F7" w:rsidRDefault="00881E58" w:rsidP="00CC19F7">
            <w:pPr>
              <w:jc w:val="right"/>
            </w:pPr>
            <w:r w:rsidRPr="00CC19F7">
              <w:rPr>
                <w:rStyle w:val="kursiv"/>
              </w:rPr>
              <w:t>465 533</w:t>
            </w:r>
          </w:p>
        </w:tc>
        <w:tc>
          <w:tcPr>
            <w:tcW w:w="1300" w:type="dxa"/>
            <w:tcBorders>
              <w:top w:val="nil"/>
              <w:left w:val="nil"/>
              <w:bottom w:val="nil"/>
              <w:right w:val="nil"/>
            </w:tcBorders>
            <w:tcMar>
              <w:top w:w="128" w:type="dxa"/>
              <w:left w:w="43" w:type="dxa"/>
              <w:bottom w:w="43" w:type="dxa"/>
              <w:right w:w="43" w:type="dxa"/>
            </w:tcMar>
            <w:vAlign w:val="bottom"/>
          </w:tcPr>
          <w:p w14:paraId="7A927538" w14:textId="77777777" w:rsidR="00FE02EF" w:rsidRPr="00CC19F7" w:rsidRDefault="00881E58" w:rsidP="00CC19F7">
            <w:pPr>
              <w:jc w:val="right"/>
            </w:pPr>
            <w:r w:rsidRPr="00CC19F7">
              <w:rPr>
                <w:rStyle w:val="kursiv"/>
              </w:rPr>
              <w:t>48,4</w:t>
            </w:r>
          </w:p>
        </w:tc>
      </w:tr>
      <w:tr w:rsidR="00FE02EF" w:rsidRPr="00CC19F7" w14:paraId="29D28B33" w14:textId="77777777" w:rsidTr="00CC19F7">
        <w:trPr>
          <w:trHeight w:val="380"/>
        </w:trPr>
        <w:tc>
          <w:tcPr>
            <w:tcW w:w="840" w:type="dxa"/>
            <w:tcBorders>
              <w:top w:val="nil"/>
              <w:left w:val="nil"/>
              <w:bottom w:val="nil"/>
              <w:right w:val="nil"/>
            </w:tcBorders>
            <w:tcMar>
              <w:top w:w="128" w:type="dxa"/>
              <w:left w:w="43" w:type="dxa"/>
              <w:bottom w:w="43" w:type="dxa"/>
              <w:right w:w="43" w:type="dxa"/>
            </w:tcMar>
          </w:tcPr>
          <w:p w14:paraId="466D3586" w14:textId="77777777" w:rsidR="00FE02EF" w:rsidRPr="00CC19F7" w:rsidRDefault="00FE02EF" w:rsidP="00CC19F7"/>
        </w:tc>
        <w:tc>
          <w:tcPr>
            <w:tcW w:w="3500" w:type="dxa"/>
            <w:tcBorders>
              <w:top w:val="nil"/>
              <w:left w:val="nil"/>
              <w:bottom w:val="nil"/>
              <w:right w:val="nil"/>
            </w:tcBorders>
            <w:tcMar>
              <w:top w:w="128" w:type="dxa"/>
              <w:left w:w="43" w:type="dxa"/>
              <w:bottom w:w="43" w:type="dxa"/>
              <w:right w:w="43" w:type="dxa"/>
            </w:tcMar>
          </w:tcPr>
          <w:p w14:paraId="66AB2374" w14:textId="77777777" w:rsidR="00FE02EF" w:rsidRPr="00CC19F7" w:rsidRDefault="00881E58" w:rsidP="00CC19F7">
            <w:r w:rsidRPr="00CC19F7">
              <w:rPr>
                <w:rStyle w:val="halvfet0"/>
              </w:rPr>
              <w:t>Petroleum</w:t>
            </w:r>
          </w:p>
        </w:tc>
        <w:tc>
          <w:tcPr>
            <w:tcW w:w="1300" w:type="dxa"/>
            <w:tcBorders>
              <w:top w:val="nil"/>
              <w:left w:val="nil"/>
              <w:bottom w:val="nil"/>
              <w:right w:val="nil"/>
            </w:tcBorders>
            <w:tcMar>
              <w:top w:w="128" w:type="dxa"/>
              <w:left w:w="43" w:type="dxa"/>
              <w:bottom w:w="43" w:type="dxa"/>
              <w:right w:w="43" w:type="dxa"/>
            </w:tcMar>
            <w:vAlign w:val="bottom"/>
          </w:tcPr>
          <w:p w14:paraId="4E7C07CF" w14:textId="77777777" w:rsidR="00FE02EF" w:rsidRPr="00CC19F7" w:rsidRDefault="00FE02EF" w:rsidP="00CC19F7">
            <w:pPr>
              <w:jc w:val="right"/>
            </w:pPr>
          </w:p>
        </w:tc>
        <w:tc>
          <w:tcPr>
            <w:tcW w:w="1405" w:type="dxa"/>
            <w:tcBorders>
              <w:top w:val="nil"/>
              <w:left w:val="nil"/>
              <w:bottom w:val="nil"/>
              <w:right w:val="nil"/>
            </w:tcBorders>
            <w:tcMar>
              <w:top w:w="128" w:type="dxa"/>
              <w:left w:w="43" w:type="dxa"/>
              <w:bottom w:w="43" w:type="dxa"/>
              <w:right w:w="43" w:type="dxa"/>
            </w:tcMar>
            <w:vAlign w:val="bottom"/>
          </w:tcPr>
          <w:p w14:paraId="074474E8" w14:textId="77777777" w:rsidR="00FE02EF" w:rsidRPr="00CC19F7" w:rsidRDefault="00FE02EF" w:rsidP="00CC19F7">
            <w:pPr>
              <w:jc w:val="right"/>
            </w:pPr>
          </w:p>
        </w:tc>
        <w:tc>
          <w:tcPr>
            <w:tcW w:w="1195" w:type="dxa"/>
            <w:tcBorders>
              <w:top w:val="nil"/>
              <w:left w:val="nil"/>
              <w:bottom w:val="nil"/>
              <w:right w:val="nil"/>
            </w:tcBorders>
            <w:tcMar>
              <w:top w:w="128" w:type="dxa"/>
              <w:left w:w="43" w:type="dxa"/>
              <w:bottom w:w="43" w:type="dxa"/>
              <w:right w:w="43" w:type="dxa"/>
            </w:tcMar>
            <w:vAlign w:val="bottom"/>
          </w:tcPr>
          <w:p w14:paraId="6845A08D" w14:textId="77777777" w:rsidR="00FE02EF" w:rsidRPr="00CC19F7" w:rsidRDefault="00FE02EF" w:rsidP="00CC19F7">
            <w:pPr>
              <w:jc w:val="right"/>
            </w:pPr>
          </w:p>
        </w:tc>
        <w:tc>
          <w:tcPr>
            <w:tcW w:w="1300" w:type="dxa"/>
            <w:tcBorders>
              <w:top w:val="nil"/>
              <w:left w:val="nil"/>
              <w:bottom w:val="nil"/>
              <w:right w:val="nil"/>
            </w:tcBorders>
            <w:tcMar>
              <w:top w:w="128" w:type="dxa"/>
              <w:left w:w="43" w:type="dxa"/>
              <w:bottom w:w="43" w:type="dxa"/>
              <w:right w:w="43" w:type="dxa"/>
            </w:tcMar>
            <w:vAlign w:val="bottom"/>
          </w:tcPr>
          <w:p w14:paraId="522D2ADF" w14:textId="77777777" w:rsidR="00FE02EF" w:rsidRPr="00CC19F7" w:rsidRDefault="00FE02EF" w:rsidP="00CC19F7">
            <w:pPr>
              <w:jc w:val="right"/>
            </w:pPr>
          </w:p>
        </w:tc>
      </w:tr>
      <w:tr w:rsidR="00FE02EF" w:rsidRPr="00CC19F7" w14:paraId="1EF8513D" w14:textId="77777777" w:rsidTr="00CC19F7">
        <w:trPr>
          <w:trHeight w:val="380"/>
        </w:trPr>
        <w:tc>
          <w:tcPr>
            <w:tcW w:w="840" w:type="dxa"/>
            <w:tcBorders>
              <w:top w:val="nil"/>
              <w:left w:val="nil"/>
              <w:bottom w:val="nil"/>
              <w:right w:val="nil"/>
            </w:tcBorders>
            <w:tcMar>
              <w:top w:w="128" w:type="dxa"/>
              <w:left w:w="43" w:type="dxa"/>
              <w:bottom w:w="43" w:type="dxa"/>
              <w:right w:w="43" w:type="dxa"/>
            </w:tcMar>
          </w:tcPr>
          <w:p w14:paraId="0D32E35F" w14:textId="77777777" w:rsidR="00FE02EF" w:rsidRPr="00CC19F7" w:rsidRDefault="00881E58" w:rsidP="00CC19F7">
            <w:r w:rsidRPr="00CC19F7">
              <w:t>4810</w:t>
            </w:r>
          </w:p>
        </w:tc>
        <w:tc>
          <w:tcPr>
            <w:tcW w:w="3500" w:type="dxa"/>
            <w:tcBorders>
              <w:top w:val="nil"/>
              <w:left w:val="nil"/>
              <w:bottom w:val="nil"/>
              <w:right w:val="nil"/>
            </w:tcBorders>
            <w:tcMar>
              <w:top w:w="128" w:type="dxa"/>
              <w:left w:w="43" w:type="dxa"/>
              <w:bottom w:w="43" w:type="dxa"/>
              <w:right w:w="43" w:type="dxa"/>
            </w:tcMar>
          </w:tcPr>
          <w:p w14:paraId="74495DB2" w14:textId="77777777" w:rsidR="00FE02EF" w:rsidRPr="00CC19F7" w:rsidRDefault="00881E58" w:rsidP="00CC19F7">
            <w:r w:rsidRPr="00CC19F7">
              <w:t>Sokkeldirektoratet</w:t>
            </w:r>
          </w:p>
        </w:tc>
        <w:tc>
          <w:tcPr>
            <w:tcW w:w="1300" w:type="dxa"/>
            <w:tcBorders>
              <w:top w:val="nil"/>
              <w:left w:val="nil"/>
              <w:bottom w:val="nil"/>
              <w:right w:val="nil"/>
            </w:tcBorders>
            <w:tcMar>
              <w:top w:w="128" w:type="dxa"/>
              <w:left w:w="43" w:type="dxa"/>
              <w:bottom w:w="43" w:type="dxa"/>
              <w:right w:w="43" w:type="dxa"/>
            </w:tcMar>
            <w:vAlign w:val="bottom"/>
          </w:tcPr>
          <w:p w14:paraId="3D9C599E" w14:textId="77777777" w:rsidR="00FE02EF" w:rsidRPr="00CC19F7" w:rsidRDefault="00881E58" w:rsidP="00CC19F7">
            <w:pPr>
              <w:jc w:val="right"/>
            </w:pPr>
            <w:r w:rsidRPr="00CC19F7">
              <w:t>94 543</w:t>
            </w:r>
          </w:p>
        </w:tc>
        <w:tc>
          <w:tcPr>
            <w:tcW w:w="1405" w:type="dxa"/>
            <w:tcBorders>
              <w:top w:val="nil"/>
              <w:left w:val="nil"/>
              <w:bottom w:val="nil"/>
              <w:right w:val="nil"/>
            </w:tcBorders>
            <w:tcMar>
              <w:top w:w="128" w:type="dxa"/>
              <w:left w:w="43" w:type="dxa"/>
              <w:bottom w:w="43" w:type="dxa"/>
              <w:right w:w="43" w:type="dxa"/>
            </w:tcMar>
            <w:vAlign w:val="bottom"/>
          </w:tcPr>
          <w:p w14:paraId="3226E83A" w14:textId="77777777" w:rsidR="00FE02EF" w:rsidRPr="00CC19F7" w:rsidRDefault="00881E58" w:rsidP="00CC19F7">
            <w:pPr>
              <w:jc w:val="right"/>
            </w:pPr>
            <w:r w:rsidRPr="00CC19F7">
              <w:t>94 800</w:t>
            </w:r>
          </w:p>
        </w:tc>
        <w:tc>
          <w:tcPr>
            <w:tcW w:w="1195" w:type="dxa"/>
            <w:tcBorders>
              <w:top w:val="nil"/>
              <w:left w:val="nil"/>
              <w:bottom w:val="nil"/>
              <w:right w:val="nil"/>
            </w:tcBorders>
            <w:tcMar>
              <w:top w:w="128" w:type="dxa"/>
              <w:left w:w="43" w:type="dxa"/>
              <w:bottom w:w="43" w:type="dxa"/>
              <w:right w:w="43" w:type="dxa"/>
            </w:tcMar>
            <w:vAlign w:val="bottom"/>
          </w:tcPr>
          <w:p w14:paraId="19A7CD24" w14:textId="77777777" w:rsidR="00FE02EF" w:rsidRPr="00CC19F7" w:rsidRDefault="00881E58" w:rsidP="00CC19F7">
            <w:pPr>
              <w:jc w:val="right"/>
            </w:pPr>
            <w:r w:rsidRPr="00CC19F7">
              <w:t>88 500</w:t>
            </w:r>
          </w:p>
        </w:tc>
        <w:tc>
          <w:tcPr>
            <w:tcW w:w="1300" w:type="dxa"/>
            <w:tcBorders>
              <w:top w:val="nil"/>
              <w:left w:val="nil"/>
              <w:bottom w:val="nil"/>
              <w:right w:val="nil"/>
            </w:tcBorders>
            <w:tcMar>
              <w:top w:w="128" w:type="dxa"/>
              <w:left w:w="43" w:type="dxa"/>
              <w:bottom w:w="43" w:type="dxa"/>
              <w:right w:w="43" w:type="dxa"/>
            </w:tcMar>
            <w:vAlign w:val="bottom"/>
          </w:tcPr>
          <w:p w14:paraId="5575B046" w14:textId="77777777" w:rsidR="00FE02EF" w:rsidRPr="00CC19F7" w:rsidRDefault="00881E58" w:rsidP="00CC19F7">
            <w:pPr>
              <w:jc w:val="right"/>
            </w:pPr>
            <w:r w:rsidRPr="00CC19F7">
              <w:t>-6,6</w:t>
            </w:r>
          </w:p>
        </w:tc>
      </w:tr>
      <w:tr w:rsidR="00FE02EF" w:rsidRPr="00CC19F7" w14:paraId="30F127FD" w14:textId="77777777" w:rsidTr="00CC19F7">
        <w:trPr>
          <w:trHeight w:val="380"/>
        </w:trPr>
        <w:tc>
          <w:tcPr>
            <w:tcW w:w="840" w:type="dxa"/>
            <w:tcBorders>
              <w:top w:val="nil"/>
              <w:left w:val="nil"/>
              <w:bottom w:val="nil"/>
              <w:right w:val="nil"/>
            </w:tcBorders>
            <w:tcMar>
              <w:top w:w="128" w:type="dxa"/>
              <w:left w:w="43" w:type="dxa"/>
              <w:bottom w:w="43" w:type="dxa"/>
              <w:right w:w="43" w:type="dxa"/>
            </w:tcMar>
          </w:tcPr>
          <w:p w14:paraId="3751428A" w14:textId="77777777" w:rsidR="00FE02EF" w:rsidRPr="00CC19F7" w:rsidRDefault="00FE02EF" w:rsidP="00CC19F7"/>
        </w:tc>
        <w:tc>
          <w:tcPr>
            <w:tcW w:w="3500" w:type="dxa"/>
            <w:tcBorders>
              <w:top w:val="nil"/>
              <w:left w:val="nil"/>
              <w:bottom w:val="nil"/>
              <w:right w:val="nil"/>
            </w:tcBorders>
            <w:tcMar>
              <w:top w:w="128" w:type="dxa"/>
              <w:left w:w="43" w:type="dxa"/>
              <w:bottom w:w="43" w:type="dxa"/>
              <w:right w:w="43" w:type="dxa"/>
            </w:tcMar>
          </w:tcPr>
          <w:p w14:paraId="43727682" w14:textId="77777777" w:rsidR="00FE02EF" w:rsidRPr="00CC19F7" w:rsidRDefault="00881E58" w:rsidP="00CC19F7">
            <w:r w:rsidRPr="00CC19F7">
              <w:rPr>
                <w:rStyle w:val="kursiv"/>
              </w:rPr>
              <w:t>Sum kategori 18.10</w:t>
            </w:r>
          </w:p>
        </w:tc>
        <w:tc>
          <w:tcPr>
            <w:tcW w:w="1300" w:type="dxa"/>
            <w:tcBorders>
              <w:top w:val="nil"/>
              <w:left w:val="nil"/>
              <w:bottom w:val="nil"/>
              <w:right w:val="nil"/>
            </w:tcBorders>
            <w:tcMar>
              <w:top w:w="128" w:type="dxa"/>
              <w:left w:w="43" w:type="dxa"/>
              <w:bottom w:w="43" w:type="dxa"/>
              <w:right w:w="43" w:type="dxa"/>
            </w:tcMar>
            <w:vAlign w:val="bottom"/>
          </w:tcPr>
          <w:p w14:paraId="193932EB" w14:textId="77777777" w:rsidR="00FE02EF" w:rsidRPr="00CC19F7" w:rsidRDefault="00881E58" w:rsidP="00CC19F7">
            <w:pPr>
              <w:jc w:val="right"/>
            </w:pPr>
            <w:r w:rsidRPr="00CC19F7">
              <w:rPr>
                <w:rStyle w:val="kursiv"/>
              </w:rPr>
              <w:t>94 543</w:t>
            </w:r>
          </w:p>
        </w:tc>
        <w:tc>
          <w:tcPr>
            <w:tcW w:w="1405" w:type="dxa"/>
            <w:tcBorders>
              <w:top w:val="nil"/>
              <w:left w:val="nil"/>
              <w:bottom w:val="nil"/>
              <w:right w:val="nil"/>
            </w:tcBorders>
            <w:tcMar>
              <w:top w:w="128" w:type="dxa"/>
              <w:left w:w="43" w:type="dxa"/>
              <w:bottom w:w="43" w:type="dxa"/>
              <w:right w:w="43" w:type="dxa"/>
            </w:tcMar>
            <w:vAlign w:val="bottom"/>
          </w:tcPr>
          <w:p w14:paraId="4263251B" w14:textId="77777777" w:rsidR="00FE02EF" w:rsidRPr="00CC19F7" w:rsidRDefault="00881E58" w:rsidP="00CC19F7">
            <w:pPr>
              <w:jc w:val="right"/>
            </w:pPr>
            <w:r w:rsidRPr="00CC19F7">
              <w:rPr>
                <w:rStyle w:val="kursiv"/>
              </w:rPr>
              <w:t>94 800</w:t>
            </w:r>
          </w:p>
        </w:tc>
        <w:tc>
          <w:tcPr>
            <w:tcW w:w="1195" w:type="dxa"/>
            <w:tcBorders>
              <w:top w:val="nil"/>
              <w:left w:val="nil"/>
              <w:bottom w:val="nil"/>
              <w:right w:val="nil"/>
            </w:tcBorders>
            <w:tcMar>
              <w:top w:w="128" w:type="dxa"/>
              <w:left w:w="43" w:type="dxa"/>
              <w:bottom w:w="43" w:type="dxa"/>
              <w:right w:w="43" w:type="dxa"/>
            </w:tcMar>
            <w:vAlign w:val="bottom"/>
          </w:tcPr>
          <w:p w14:paraId="70935E70" w14:textId="77777777" w:rsidR="00FE02EF" w:rsidRPr="00CC19F7" w:rsidRDefault="00881E58" w:rsidP="00CC19F7">
            <w:pPr>
              <w:jc w:val="right"/>
            </w:pPr>
            <w:r w:rsidRPr="00CC19F7">
              <w:rPr>
                <w:rStyle w:val="kursiv"/>
              </w:rPr>
              <w:t>88 500</w:t>
            </w:r>
          </w:p>
        </w:tc>
        <w:tc>
          <w:tcPr>
            <w:tcW w:w="1300" w:type="dxa"/>
            <w:tcBorders>
              <w:top w:val="nil"/>
              <w:left w:val="nil"/>
              <w:bottom w:val="nil"/>
              <w:right w:val="nil"/>
            </w:tcBorders>
            <w:tcMar>
              <w:top w:w="128" w:type="dxa"/>
              <w:left w:w="43" w:type="dxa"/>
              <w:bottom w:w="43" w:type="dxa"/>
              <w:right w:w="43" w:type="dxa"/>
            </w:tcMar>
            <w:vAlign w:val="bottom"/>
          </w:tcPr>
          <w:p w14:paraId="609AE286" w14:textId="77777777" w:rsidR="00FE02EF" w:rsidRPr="00CC19F7" w:rsidRDefault="00881E58" w:rsidP="00CC19F7">
            <w:pPr>
              <w:jc w:val="right"/>
            </w:pPr>
            <w:r w:rsidRPr="00CC19F7">
              <w:rPr>
                <w:rStyle w:val="kursiv"/>
              </w:rPr>
              <w:t>-6,6</w:t>
            </w:r>
          </w:p>
        </w:tc>
      </w:tr>
      <w:tr w:rsidR="00FE02EF" w:rsidRPr="00CC19F7" w14:paraId="748E9F04" w14:textId="77777777" w:rsidTr="00CC19F7">
        <w:trPr>
          <w:trHeight w:val="380"/>
        </w:trPr>
        <w:tc>
          <w:tcPr>
            <w:tcW w:w="840" w:type="dxa"/>
            <w:tcBorders>
              <w:top w:val="nil"/>
              <w:left w:val="nil"/>
              <w:bottom w:val="nil"/>
              <w:right w:val="nil"/>
            </w:tcBorders>
            <w:tcMar>
              <w:top w:w="128" w:type="dxa"/>
              <w:left w:w="43" w:type="dxa"/>
              <w:bottom w:w="43" w:type="dxa"/>
              <w:right w:w="43" w:type="dxa"/>
            </w:tcMar>
          </w:tcPr>
          <w:p w14:paraId="2E97F1AC" w14:textId="77777777" w:rsidR="00FE02EF" w:rsidRPr="00CC19F7" w:rsidRDefault="00FE02EF" w:rsidP="00CC19F7"/>
        </w:tc>
        <w:tc>
          <w:tcPr>
            <w:tcW w:w="3500" w:type="dxa"/>
            <w:tcBorders>
              <w:top w:val="nil"/>
              <w:left w:val="nil"/>
              <w:bottom w:val="nil"/>
              <w:right w:val="nil"/>
            </w:tcBorders>
            <w:tcMar>
              <w:top w:w="128" w:type="dxa"/>
              <w:left w:w="43" w:type="dxa"/>
              <w:bottom w:w="43" w:type="dxa"/>
              <w:right w:w="43" w:type="dxa"/>
            </w:tcMar>
          </w:tcPr>
          <w:p w14:paraId="161F2862" w14:textId="77777777" w:rsidR="00FE02EF" w:rsidRPr="00CC19F7" w:rsidRDefault="00881E58" w:rsidP="00CC19F7">
            <w:r w:rsidRPr="00CC19F7">
              <w:rPr>
                <w:rStyle w:val="halvfet0"/>
              </w:rPr>
              <w:t xml:space="preserve">Energi og </w:t>
            </w:r>
            <w:proofErr w:type="spellStart"/>
            <w:r w:rsidRPr="00CC19F7">
              <w:rPr>
                <w:rStyle w:val="halvfet0"/>
              </w:rPr>
              <w:t>vassressursar</w:t>
            </w:r>
            <w:proofErr w:type="spellEnd"/>
          </w:p>
        </w:tc>
        <w:tc>
          <w:tcPr>
            <w:tcW w:w="1300" w:type="dxa"/>
            <w:tcBorders>
              <w:top w:val="nil"/>
              <w:left w:val="nil"/>
              <w:bottom w:val="nil"/>
              <w:right w:val="nil"/>
            </w:tcBorders>
            <w:tcMar>
              <w:top w:w="128" w:type="dxa"/>
              <w:left w:w="43" w:type="dxa"/>
              <w:bottom w:w="43" w:type="dxa"/>
              <w:right w:w="43" w:type="dxa"/>
            </w:tcMar>
            <w:vAlign w:val="bottom"/>
          </w:tcPr>
          <w:p w14:paraId="445CE35C" w14:textId="77777777" w:rsidR="00FE02EF" w:rsidRPr="00CC19F7" w:rsidRDefault="00FE02EF" w:rsidP="00CC19F7">
            <w:pPr>
              <w:jc w:val="right"/>
            </w:pPr>
          </w:p>
        </w:tc>
        <w:tc>
          <w:tcPr>
            <w:tcW w:w="1405" w:type="dxa"/>
            <w:tcBorders>
              <w:top w:val="nil"/>
              <w:left w:val="nil"/>
              <w:bottom w:val="nil"/>
              <w:right w:val="nil"/>
            </w:tcBorders>
            <w:tcMar>
              <w:top w:w="128" w:type="dxa"/>
              <w:left w:w="43" w:type="dxa"/>
              <w:bottom w:w="43" w:type="dxa"/>
              <w:right w:w="43" w:type="dxa"/>
            </w:tcMar>
            <w:vAlign w:val="bottom"/>
          </w:tcPr>
          <w:p w14:paraId="3A8B1D42" w14:textId="77777777" w:rsidR="00FE02EF" w:rsidRPr="00CC19F7" w:rsidRDefault="00FE02EF" w:rsidP="00CC19F7">
            <w:pPr>
              <w:jc w:val="right"/>
            </w:pPr>
          </w:p>
        </w:tc>
        <w:tc>
          <w:tcPr>
            <w:tcW w:w="1195" w:type="dxa"/>
            <w:tcBorders>
              <w:top w:val="nil"/>
              <w:left w:val="nil"/>
              <w:bottom w:val="nil"/>
              <w:right w:val="nil"/>
            </w:tcBorders>
            <w:tcMar>
              <w:top w:w="128" w:type="dxa"/>
              <w:left w:w="43" w:type="dxa"/>
              <w:bottom w:w="43" w:type="dxa"/>
              <w:right w:w="43" w:type="dxa"/>
            </w:tcMar>
            <w:vAlign w:val="bottom"/>
          </w:tcPr>
          <w:p w14:paraId="05EE48D8" w14:textId="77777777" w:rsidR="00FE02EF" w:rsidRPr="00CC19F7" w:rsidRDefault="00FE02EF" w:rsidP="00CC19F7">
            <w:pPr>
              <w:jc w:val="right"/>
            </w:pPr>
          </w:p>
        </w:tc>
        <w:tc>
          <w:tcPr>
            <w:tcW w:w="1300" w:type="dxa"/>
            <w:tcBorders>
              <w:top w:val="nil"/>
              <w:left w:val="nil"/>
              <w:bottom w:val="nil"/>
              <w:right w:val="nil"/>
            </w:tcBorders>
            <w:tcMar>
              <w:top w:w="128" w:type="dxa"/>
              <w:left w:w="43" w:type="dxa"/>
              <w:bottom w:w="43" w:type="dxa"/>
              <w:right w:w="43" w:type="dxa"/>
            </w:tcMar>
            <w:vAlign w:val="bottom"/>
          </w:tcPr>
          <w:p w14:paraId="216D2E1C" w14:textId="77777777" w:rsidR="00FE02EF" w:rsidRPr="00CC19F7" w:rsidRDefault="00FE02EF" w:rsidP="00CC19F7">
            <w:pPr>
              <w:jc w:val="right"/>
            </w:pPr>
          </w:p>
        </w:tc>
      </w:tr>
      <w:tr w:rsidR="00FE02EF" w:rsidRPr="00CC19F7" w14:paraId="4ED2D478" w14:textId="77777777" w:rsidTr="00CC19F7">
        <w:trPr>
          <w:trHeight w:val="640"/>
        </w:trPr>
        <w:tc>
          <w:tcPr>
            <w:tcW w:w="840" w:type="dxa"/>
            <w:tcBorders>
              <w:top w:val="nil"/>
              <w:left w:val="nil"/>
              <w:bottom w:val="nil"/>
              <w:right w:val="nil"/>
            </w:tcBorders>
            <w:tcMar>
              <w:top w:w="128" w:type="dxa"/>
              <w:left w:w="43" w:type="dxa"/>
              <w:bottom w:w="43" w:type="dxa"/>
              <w:right w:w="43" w:type="dxa"/>
            </w:tcMar>
          </w:tcPr>
          <w:p w14:paraId="1E775B29" w14:textId="77777777" w:rsidR="00FE02EF" w:rsidRPr="00CC19F7" w:rsidRDefault="00881E58" w:rsidP="00CC19F7">
            <w:r w:rsidRPr="00CC19F7">
              <w:t>4820</w:t>
            </w:r>
          </w:p>
        </w:tc>
        <w:tc>
          <w:tcPr>
            <w:tcW w:w="3500" w:type="dxa"/>
            <w:tcBorders>
              <w:top w:val="nil"/>
              <w:left w:val="nil"/>
              <w:bottom w:val="nil"/>
              <w:right w:val="nil"/>
            </w:tcBorders>
            <w:tcMar>
              <w:top w:w="128" w:type="dxa"/>
              <w:left w:w="43" w:type="dxa"/>
              <w:bottom w:w="43" w:type="dxa"/>
              <w:right w:w="43" w:type="dxa"/>
            </w:tcMar>
          </w:tcPr>
          <w:p w14:paraId="63F0ED5D" w14:textId="77777777" w:rsidR="00FE02EF" w:rsidRPr="00CC19F7" w:rsidRDefault="00881E58" w:rsidP="00CC19F7">
            <w:proofErr w:type="spellStart"/>
            <w:r w:rsidRPr="00CC19F7">
              <w:t>Noregs</w:t>
            </w:r>
            <w:proofErr w:type="spellEnd"/>
            <w:r w:rsidRPr="00CC19F7">
              <w:t xml:space="preserve"> vassdrags- og energidirektorat</w:t>
            </w:r>
          </w:p>
        </w:tc>
        <w:tc>
          <w:tcPr>
            <w:tcW w:w="1300" w:type="dxa"/>
            <w:tcBorders>
              <w:top w:val="nil"/>
              <w:left w:val="nil"/>
              <w:bottom w:val="nil"/>
              <w:right w:val="nil"/>
            </w:tcBorders>
            <w:tcMar>
              <w:top w:w="128" w:type="dxa"/>
              <w:left w:w="43" w:type="dxa"/>
              <w:bottom w:w="43" w:type="dxa"/>
              <w:right w:w="43" w:type="dxa"/>
            </w:tcMar>
            <w:vAlign w:val="bottom"/>
          </w:tcPr>
          <w:p w14:paraId="2CCEEED7" w14:textId="77777777" w:rsidR="00FE02EF" w:rsidRPr="00CC19F7" w:rsidRDefault="00881E58" w:rsidP="00CC19F7">
            <w:pPr>
              <w:jc w:val="right"/>
            </w:pPr>
            <w:r w:rsidRPr="00CC19F7">
              <w:t>130 894</w:t>
            </w:r>
          </w:p>
        </w:tc>
        <w:tc>
          <w:tcPr>
            <w:tcW w:w="1405" w:type="dxa"/>
            <w:tcBorders>
              <w:top w:val="nil"/>
              <w:left w:val="nil"/>
              <w:bottom w:val="nil"/>
              <w:right w:val="nil"/>
            </w:tcBorders>
            <w:tcMar>
              <w:top w:w="128" w:type="dxa"/>
              <w:left w:w="43" w:type="dxa"/>
              <w:bottom w:w="43" w:type="dxa"/>
              <w:right w:w="43" w:type="dxa"/>
            </w:tcMar>
            <w:vAlign w:val="bottom"/>
          </w:tcPr>
          <w:p w14:paraId="19AD70B8" w14:textId="77777777" w:rsidR="00FE02EF" w:rsidRPr="00CC19F7" w:rsidRDefault="00881E58" w:rsidP="00CC19F7">
            <w:pPr>
              <w:jc w:val="right"/>
            </w:pPr>
            <w:r w:rsidRPr="00CC19F7">
              <w:t>147 653</w:t>
            </w:r>
          </w:p>
        </w:tc>
        <w:tc>
          <w:tcPr>
            <w:tcW w:w="1195" w:type="dxa"/>
            <w:tcBorders>
              <w:top w:val="nil"/>
              <w:left w:val="nil"/>
              <w:bottom w:val="nil"/>
              <w:right w:val="nil"/>
            </w:tcBorders>
            <w:tcMar>
              <w:top w:w="128" w:type="dxa"/>
              <w:left w:w="43" w:type="dxa"/>
              <w:bottom w:w="43" w:type="dxa"/>
              <w:right w:w="43" w:type="dxa"/>
            </w:tcMar>
            <w:vAlign w:val="bottom"/>
          </w:tcPr>
          <w:p w14:paraId="2DCA08AE" w14:textId="77777777" w:rsidR="00FE02EF" w:rsidRPr="00CC19F7" w:rsidRDefault="00881E58" w:rsidP="00CC19F7">
            <w:pPr>
              <w:jc w:val="right"/>
            </w:pPr>
            <w:r w:rsidRPr="00CC19F7">
              <w:t>119 500</w:t>
            </w:r>
          </w:p>
        </w:tc>
        <w:tc>
          <w:tcPr>
            <w:tcW w:w="1300" w:type="dxa"/>
            <w:tcBorders>
              <w:top w:val="nil"/>
              <w:left w:val="nil"/>
              <w:bottom w:val="nil"/>
              <w:right w:val="nil"/>
            </w:tcBorders>
            <w:tcMar>
              <w:top w:w="128" w:type="dxa"/>
              <w:left w:w="43" w:type="dxa"/>
              <w:bottom w:w="43" w:type="dxa"/>
              <w:right w:w="43" w:type="dxa"/>
            </w:tcMar>
            <w:vAlign w:val="bottom"/>
          </w:tcPr>
          <w:p w14:paraId="3ABBB9C7" w14:textId="77777777" w:rsidR="00FE02EF" w:rsidRPr="00CC19F7" w:rsidRDefault="00881E58" w:rsidP="00CC19F7">
            <w:pPr>
              <w:jc w:val="right"/>
            </w:pPr>
            <w:r w:rsidRPr="00CC19F7">
              <w:t>-19,1</w:t>
            </w:r>
          </w:p>
        </w:tc>
      </w:tr>
      <w:tr w:rsidR="00FE02EF" w:rsidRPr="00CC19F7" w14:paraId="5A5CFB30" w14:textId="77777777" w:rsidTr="00CC19F7">
        <w:trPr>
          <w:trHeight w:val="380"/>
        </w:trPr>
        <w:tc>
          <w:tcPr>
            <w:tcW w:w="840" w:type="dxa"/>
            <w:tcBorders>
              <w:top w:val="nil"/>
              <w:left w:val="nil"/>
              <w:bottom w:val="nil"/>
              <w:right w:val="nil"/>
            </w:tcBorders>
            <w:tcMar>
              <w:top w:w="128" w:type="dxa"/>
              <w:left w:w="43" w:type="dxa"/>
              <w:bottom w:w="43" w:type="dxa"/>
              <w:right w:w="43" w:type="dxa"/>
            </w:tcMar>
          </w:tcPr>
          <w:p w14:paraId="092DDCE2" w14:textId="77777777" w:rsidR="00FE02EF" w:rsidRPr="00CC19F7" w:rsidRDefault="00881E58" w:rsidP="00CC19F7">
            <w:r w:rsidRPr="00CC19F7">
              <w:t>5680</w:t>
            </w:r>
          </w:p>
        </w:tc>
        <w:tc>
          <w:tcPr>
            <w:tcW w:w="3500" w:type="dxa"/>
            <w:tcBorders>
              <w:top w:val="nil"/>
              <w:left w:val="nil"/>
              <w:bottom w:val="nil"/>
              <w:right w:val="nil"/>
            </w:tcBorders>
            <w:tcMar>
              <w:top w:w="128" w:type="dxa"/>
              <w:left w:w="43" w:type="dxa"/>
              <w:bottom w:w="43" w:type="dxa"/>
              <w:right w:w="43" w:type="dxa"/>
            </w:tcMar>
          </w:tcPr>
          <w:p w14:paraId="3F7F830C" w14:textId="77777777" w:rsidR="00FE02EF" w:rsidRPr="00CC19F7" w:rsidRDefault="00881E58" w:rsidP="00CC19F7">
            <w:r w:rsidRPr="00CC19F7">
              <w:t>Statnett SF</w:t>
            </w:r>
          </w:p>
        </w:tc>
        <w:tc>
          <w:tcPr>
            <w:tcW w:w="1300" w:type="dxa"/>
            <w:tcBorders>
              <w:top w:val="nil"/>
              <w:left w:val="nil"/>
              <w:bottom w:val="nil"/>
              <w:right w:val="nil"/>
            </w:tcBorders>
            <w:tcMar>
              <w:top w:w="128" w:type="dxa"/>
              <w:left w:w="43" w:type="dxa"/>
              <w:bottom w:w="43" w:type="dxa"/>
              <w:right w:w="43" w:type="dxa"/>
            </w:tcMar>
            <w:vAlign w:val="bottom"/>
          </w:tcPr>
          <w:p w14:paraId="19D33F00" w14:textId="77777777" w:rsidR="00FE02EF" w:rsidRPr="00CC19F7" w:rsidRDefault="00881E58" w:rsidP="00CC19F7">
            <w:pPr>
              <w:jc w:val="right"/>
            </w:pPr>
            <w:r w:rsidRPr="00CC19F7">
              <w:t>737 000</w:t>
            </w:r>
          </w:p>
        </w:tc>
        <w:tc>
          <w:tcPr>
            <w:tcW w:w="1405" w:type="dxa"/>
            <w:tcBorders>
              <w:top w:val="nil"/>
              <w:left w:val="nil"/>
              <w:bottom w:val="nil"/>
              <w:right w:val="nil"/>
            </w:tcBorders>
            <w:tcMar>
              <w:top w:w="128" w:type="dxa"/>
              <w:left w:w="43" w:type="dxa"/>
              <w:bottom w:w="43" w:type="dxa"/>
              <w:right w:w="43" w:type="dxa"/>
            </w:tcMar>
            <w:vAlign w:val="bottom"/>
          </w:tcPr>
          <w:p w14:paraId="58249C18" w14:textId="77777777" w:rsidR="00FE02EF" w:rsidRPr="00CC19F7" w:rsidRDefault="00881E58" w:rsidP="00CC19F7">
            <w:pPr>
              <w:jc w:val="right"/>
            </w:pPr>
            <w:r w:rsidRPr="00CC19F7">
              <w:t>882 000</w:t>
            </w:r>
          </w:p>
        </w:tc>
        <w:tc>
          <w:tcPr>
            <w:tcW w:w="1195" w:type="dxa"/>
            <w:tcBorders>
              <w:top w:val="nil"/>
              <w:left w:val="nil"/>
              <w:bottom w:val="nil"/>
              <w:right w:val="nil"/>
            </w:tcBorders>
            <w:tcMar>
              <w:top w:w="128" w:type="dxa"/>
              <w:left w:w="43" w:type="dxa"/>
              <w:bottom w:w="43" w:type="dxa"/>
              <w:right w:w="43" w:type="dxa"/>
            </w:tcMar>
            <w:vAlign w:val="bottom"/>
          </w:tcPr>
          <w:p w14:paraId="0F852E4C" w14:textId="77777777" w:rsidR="00FE02EF" w:rsidRPr="00CC19F7" w:rsidRDefault="00881E58" w:rsidP="00CC19F7">
            <w:pPr>
              <w:jc w:val="right"/>
            </w:pPr>
            <w:r w:rsidRPr="00CC19F7">
              <w:t>744 000</w:t>
            </w:r>
          </w:p>
        </w:tc>
        <w:tc>
          <w:tcPr>
            <w:tcW w:w="1300" w:type="dxa"/>
            <w:tcBorders>
              <w:top w:val="nil"/>
              <w:left w:val="nil"/>
              <w:bottom w:val="nil"/>
              <w:right w:val="nil"/>
            </w:tcBorders>
            <w:tcMar>
              <w:top w:w="128" w:type="dxa"/>
              <w:left w:w="43" w:type="dxa"/>
              <w:bottom w:w="43" w:type="dxa"/>
              <w:right w:w="43" w:type="dxa"/>
            </w:tcMar>
            <w:vAlign w:val="bottom"/>
          </w:tcPr>
          <w:p w14:paraId="034DCA77" w14:textId="77777777" w:rsidR="00FE02EF" w:rsidRPr="00CC19F7" w:rsidRDefault="00881E58" w:rsidP="00CC19F7">
            <w:pPr>
              <w:jc w:val="right"/>
            </w:pPr>
            <w:r w:rsidRPr="00CC19F7">
              <w:t>-15,6</w:t>
            </w:r>
          </w:p>
        </w:tc>
      </w:tr>
      <w:tr w:rsidR="00FE02EF" w:rsidRPr="00CC19F7" w14:paraId="7824F464" w14:textId="77777777" w:rsidTr="00CC19F7">
        <w:trPr>
          <w:trHeight w:val="380"/>
        </w:trPr>
        <w:tc>
          <w:tcPr>
            <w:tcW w:w="840" w:type="dxa"/>
            <w:tcBorders>
              <w:top w:val="nil"/>
              <w:left w:val="nil"/>
              <w:bottom w:val="nil"/>
              <w:right w:val="nil"/>
            </w:tcBorders>
            <w:tcMar>
              <w:top w:w="128" w:type="dxa"/>
              <w:left w:w="43" w:type="dxa"/>
              <w:bottom w:w="43" w:type="dxa"/>
              <w:right w:w="43" w:type="dxa"/>
            </w:tcMar>
          </w:tcPr>
          <w:p w14:paraId="3C1D56FA" w14:textId="77777777" w:rsidR="00FE02EF" w:rsidRPr="00CC19F7" w:rsidRDefault="00FE02EF" w:rsidP="00CC19F7"/>
        </w:tc>
        <w:tc>
          <w:tcPr>
            <w:tcW w:w="3500" w:type="dxa"/>
            <w:tcBorders>
              <w:top w:val="nil"/>
              <w:left w:val="nil"/>
              <w:bottom w:val="nil"/>
              <w:right w:val="nil"/>
            </w:tcBorders>
            <w:tcMar>
              <w:top w:w="128" w:type="dxa"/>
              <w:left w:w="43" w:type="dxa"/>
              <w:bottom w:w="43" w:type="dxa"/>
              <w:right w:w="43" w:type="dxa"/>
            </w:tcMar>
          </w:tcPr>
          <w:p w14:paraId="4C9E8CEF" w14:textId="77777777" w:rsidR="00FE02EF" w:rsidRPr="00CC19F7" w:rsidRDefault="00881E58" w:rsidP="00CC19F7">
            <w:r w:rsidRPr="00CC19F7">
              <w:rPr>
                <w:rStyle w:val="kursiv"/>
              </w:rPr>
              <w:t>Sum kategori 18.20</w:t>
            </w:r>
          </w:p>
        </w:tc>
        <w:tc>
          <w:tcPr>
            <w:tcW w:w="1300" w:type="dxa"/>
            <w:tcBorders>
              <w:top w:val="nil"/>
              <w:left w:val="nil"/>
              <w:bottom w:val="nil"/>
              <w:right w:val="nil"/>
            </w:tcBorders>
            <w:tcMar>
              <w:top w:w="128" w:type="dxa"/>
              <w:left w:w="43" w:type="dxa"/>
              <w:bottom w:w="43" w:type="dxa"/>
              <w:right w:w="43" w:type="dxa"/>
            </w:tcMar>
            <w:vAlign w:val="bottom"/>
          </w:tcPr>
          <w:p w14:paraId="79919E0A" w14:textId="77777777" w:rsidR="00FE02EF" w:rsidRPr="00CC19F7" w:rsidRDefault="00881E58" w:rsidP="00CC19F7">
            <w:pPr>
              <w:jc w:val="right"/>
            </w:pPr>
            <w:r w:rsidRPr="00CC19F7">
              <w:rPr>
                <w:rStyle w:val="kursiv"/>
              </w:rPr>
              <w:t>1 172 994</w:t>
            </w:r>
          </w:p>
        </w:tc>
        <w:tc>
          <w:tcPr>
            <w:tcW w:w="1405" w:type="dxa"/>
            <w:tcBorders>
              <w:top w:val="nil"/>
              <w:left w:val="nil"/>
              <w:bottom w:val="nil"/>
              <w:right w:val="nil"/>
            </w:tcBorders>
            <w:tcMar>
              <w:top w:w="128" w:type="dxa"/>
              <w:left w:w="43" w:type="dxa"/>
              <w:bottom w:w="43" w:type="dxa"/>
              <w:right w:w="43" w:type="dxa"/>
            </w:tcMar>
            <w:vAlign w:val="bottom"/>
          </w:tcPr>
          <w:p w14:paraId="6268D114" w14:textId="77777777" w:rsidR="00FE02EF" w:rsidRPr="00CC19F7" w:rsidRDefault="00881E58" w:rsidP="00CC19F7">
            <w:pPr>
              <w:jc w:val="right"/>
            </w:pPr>
            <w:r w:rsidRPr="00CC19F7">
              <w:rPr>
                <w:rStyle w:val="kursiv"/>
              </w:rPr>
              <w:t>1 029 653</w:t>
            </w:r>
          </w:p>
        </w:tc>
        <w:tc>
          <w:tcPr>
            <w:tcW w:w="1195" w:type="dxa"/>
            <w:tcBorders>
              <w:top w:val="nil"/>
              <w:left w:val="nil"/>
              <w:bottom w:val="nil"/>
              <w:right w:val="nil"/>
            </w:tcBorders>
            <w:tcMar>
              <w:top w:w="128" w:type="dxa"/>
              <w:left w:w="43" w:type="dxa"/>
              <w:bottom w:w="43" w:type="dxa"/>
              <w:right w:w="43" w:type="dxa"/>
            </w:tcMar>
            <w:vAlign w:val="bottom"/>
          </w:tcPr>
          <w:p w14:paraId="6A29D863" w14:textId="77777777" w:rsidR="00FE02EF" w:rsidRPr="00CC19F7" w:rsidRDefault="00881E58" w:rsidP="00CC19F7">
            <w:pPr>
              <w:jc w:val="right"/>
            </w:pPr>
            <w:r w:rsidRPr="00CC19F7">
              <w:rPr>
                <w:rStyle w:val="kursiv"/>
              </w:rPr>
              <w:t>863 500</w:t>
            </w:r>
          </w:p>
        </w:tc>
        <w:tc>
          <w:tcPr>
            <w:tcW w:w="1300" w:type="dxa"/>
            <w:tcBorders>
              <w:top w:val="nil"/>
              <w:left w:val="nil"/>
              <w:bottom w:val="nil"/>
              <w:right w:val="nil"/>
            </w:tcBorders>
            <w:tcMar>
              <w:top w:w="128" w:type="dxa"/>
              <w:left w:w="43" w:type="dxa"/>
              <w:bottom w:w="43" w:type="dxa"/>
              <w:right w:w="43" w:type="dxa"/>
            </w:tcMar>
            <w:vAlign w:val="bottom"/>
          </w:tcPr>
          <w:p w14:paraId="625F2BEC" w14:textId="77777777" w:rsidR="00FE02EF" w:rsidRPr="00CC19F7" w:rsidRDefault="00881E58" w:rsidP="00CC19F7">
            <w:pPr>
              <w:jc w:val="right"/>
            </w:pPr>
            <w:r w:rsidRPr="00CC19F7">
              <w:rPr>
                <w:rStyle w:val="kursiv"/>
              </w:rPr>
              <w:t>-16,1</w:t>
            </w:r>
          </w:p>
        </w:tc>
      </w:tr>
      <w:tr w:rsidR="00FE02EF" w:rsidRPr="00CC19F7" w14:paraId="1A0BFBDD" w14:textId="77777777" w:rsidTr="00CC19F7">
        <w:trPr>
          <w:trHeight w:val="380"/>
        </w:trPr>
        <w:tc>
          <w:tcPr>
            <w:tcW w:w="840" w:type="dxa"/>
            <w:tcBorders>
              <w:top w:val="nil"/>
              <w:left w:val="nil"/>
              <w:bottom w:val="nil"/>
              <w:right w:val="nil"/>
            </w:tcBorders>
            <w:tcMar>
              <w:top w:w="128" w:type="dxa"/>
              <w:left w:w="43" w:type="dxa"/>
              <w:bottom w:w="43" w:type="dxa"/>
              <w:right w:w="43" w:type="dxa"/>
            </w:tcMar>
          </w:tcPr>
          <w:p w14:paraId="3CC0A39A" w14:textId="77777777" w:rsidR="00FE02EF" w:rsidRPr="00CC19F7" w:rsidRDefault="00FE02EF" w:rsidP="00CC19F7"/>
        </w:tc>
        <w:tc>
          <w:tcPr>
            <w:tcW w:w="3500" w:type="dxa"/>
            <w:tcBorders>
              <w:top w:val="nil"/>
              <w:left w:val="nil"/>
              <w:bottom w:val="nil"/>
              <w:right w:val="nil"/>
            </w:tcBorders>
            <w:tcMar>
              <w:top w:w="128" w:type="dxa"/>
              <w:left w:w="43" w:type="dxa"/>
              <w:bottom w:w="43" w:type="dxa"/>
              <w:right w:w="43" w:type="dxa"/>
            </w:tcMar>
          </w:tcPr>
          <w:p w14:paraId="45512DC7" w14:textId="77777777" w:rsidR="00FE02EF" w:rsidRPr="00CC19F7" w:rsidRDefault="00881E58" w:rsidP="00CC19F7">
            <w:proofErr w:type="spellStart"/>
            <w:r w:rsidRPr="00CC19F7">
              <w:rPr>
                <w:rStyle w:val="halvfet0"/>
              </w:rPr>
              <w:t>Sikkerheit</w:t>
            </w:r>
            <w:proofErr w:type="spellEnd"/>
            <w:r w:rsidRPr="00CC19F7">
              <w:rPr>
                <w:rStyle w:val="halvfet0"/>
              </w:rPr>
              <w:t xml:space="preserve"> og arbeidsmiljø</w:t>
            </w:r>
          </w:p>
        </w:tc>
        <w:tc>
          <w:tcPr>
            <w:tcW w:w="1300" w:type="dxa"/>
            <w:tcBorders>
              <w:top w:val="nil"/>
              <w:left w:val="nil"/>
              <w:bottom w:val="nil"/>
              <w:right w:val="nil"/>
            </w:tcBorders>
            <w:tcMar>
              <w:top w:w="128" w:type="dxa"/>
              <w:left w:w="43" w:type="dxa"/>
              <w:bottom w:w="43" w:type="dxa"/>
              <w:right w:w="43" w:type="dxa"/>
            </w:tcMar>
            <w:vAlign w:val="bottom"/>
          </w:tcPr>
          <w:p w14:paraId="5655F52C" w14:textId="77777777" w:rsidR="00FE02EF" w:rsidRPr="00CC19F7" w:rsidRDefault="00FE02EF" w:rsidP="00CC19F7">
            <w:pPr>
              <w:jc w:val="right"/>
            </w:pPr>
          </w:p>
        </w:tc>
        <w:tc>
          <w:tcPr>
            <w:tcW w:w="1405" w:type="dxa"/>
            <w:tcBorders>
              <w:top w:val="nil"/>
              <w:left w:val="nil"/>
              <w:bottom w:val="nil"/>
              <w:right w:val="nil"/>
            </w:tcBorders>
            <w:tcMar>
              <w:top w:w="128" w:type="dxa"/>
              <w:left w:w="43" w:type="dxa"/>
              <w:bottom w:w="43" w:type="dxa"/>
              <w:right w:w="43" w:type="dxa"/>
            </w:tcMar>
            <w:vAlign w:val="bottom"/>
          </w:tcPr>
          <w:p w14:paraId="3AAB7692" w14:textId="77777777" w:rsidR="00FE02EF" w:rsidRPr="00CC19F7" w:rsidRDefault="00FE02EF" w:rsidP="00CC19F7">
            <w:pPr>
              <w:jc w:val="right"/>
            </w:pPr>
          </w:p>
        </w:tc>
        <w:tc>
          <w:tcPr>
            <w:tcW w:w="1195" w:type="dxa"/>
            <w:tcBorders>
              <w:top w:val="nil"/>
              <w:left w:val="nil"/>
              <w:bottom w:val="nil"/>
              <w:right w:val="nil"/>
            </w:tcBorders>
            <w:tcMar>
              <w:top w:w="128" w:type="dxa"/>
              <w:left w:w="43" w:type="dxa"/>
              <w:bottom w:w="43" w:type="dxa"/>
              <w:right w:w="43" w:type="dxa"/>
            </w:tcMar>
            <w:vAlign w:val="bottom"/>
          </w:tcPr>
          <w:p w14:paraId="5EF093DB" w14:textId="77777777" w:rsidR="00FE02EF" w:rsidRPr="00CC19F7" w:rsidRDefault="00FE02EF" w:rsidP="00CC19F7">
            <w:pPr>
              <w:jc w:val="right"/>
            </w:pPr>
          </w:p>
        </w:tc>
        <w:tc>
          <w:tcPr>
            <w:tcW w:w="1300" w:type="dxa"/>
            <w:tcBorders>
              <w:top w:val="nil"/>
              <w:left w:val="nil"/>
              <w:bottom w:val="nil"/>
              <w:right w:val="nil"/>
            </w:tcBorders>
            <w:tcMar>
              <w:top w:w="128" w:type="dxa"/>
              <w:left w:w="43" w:type="dxa"/>
              <w:bottom w:w="43" w:type="dxa"/>
              <w:right w:w="43" w:type="dxa"/>
            </w:tcMar>
            <w:vAlign w:val="bottom"/>
          </w:tcPr>
          <w:p w14:paraId="4E652A13" w14:textId="77777777" w:rsidR="00FE02EF" w:rsidRPr="00CC19F7" w:rsidRDefault="00FE02EF" w:rsidP="00CC19F7">
            <w:pPr>
              <w:jc w:val="right"/>
            </w:pPr>
          </w:p>
        </w:tc>
      </w:tr>
      <w:tr w:rsidR="00FE02EF" w:rsidRPr="00CC19F7" w14:paraId="5545EE8E" w14:textId="77777777" w:rsidTr="00CC19F7">
        <w:trPr>
          <w:trHeight w:val="380"/>
        </w:trPr>
        <w:tc>
          <w:tcPr>
            <w:tcW w:w="840" w:type="dxa"/>
            <w:tcBorders>
              <w:top w:val="nil"/>
              <w:left w:val="nil"/>
              <w:bottom w:val="nil"/>
              <w:right w:val="nil"/>
            </w:tcBorders>
            <w:tcMar>
              <w:top w:w="128" w:type="dxa"/>
              <w:left w:w="43" w:type="dxa"/>
              <w:bottom w:w="43" w:type="dxa"/>
              <w:right w:w="43" w:type="dxa"/>
            </w:tcMar>
          </w:tcPr>
          <w:p w14:paraId="58CA0268" w14:textId="77777777" w:rsidR="00FE02EF" w:rsidRPr="00CC19F7" w:rsidRDefault="00881E58" w:rsidP="00CC19F7">
            <w:r w:rsidRPr="00CC19F7">
              <w:t>4860</w:t>
            </w:r>
          </w:p>
        </w:tc>
        <w:tc>
          <w:tcPr>
            <w:tcW w:w="3500" w:type="dxa"/>
            <w:tcBorders>
              <w:top w:val="nil"/>
              <w:left w:val="nil"/>
              <w:bottom w:val="nil"/>
              <w:right w:val="nil"/>
            </w:tcBorders>
            <w:tcMar>
              <w:top w:w="128" w:type="dxa"/>
              <w:left w:w="43" w:type="dxa"/>
              <w:bottom w:w="43" w:type="dxa"/>
              <w:right w:w="43" w:type="dxa"/>
            </w:tcMar>
          </w:tcPr>
          <w:p w14:paraId="58CB47AA" w14:textId="77777777" w:rsidR="00FE02EF" w:rsidRPr="00CC19F7" w:rsidRDefault="00881E58" w:rsidP="00CC19F7">
            <w:r w:rsidRPr="00CC19F7">
              <w:t>Havindustritilsynet</w:t>
            </w:r>
          </w:p>
        </w:tc>
        <w:tc>
          <w:tcPr>
            <w:tcW w:w="1300" w:type="dxa"/>
            <w:tcBorders>
              <w:top w:val="nil"/>
              <w:left w:val="nil"/>
              <w:bottom w:val="nil"/>
              <w:right w:val="nil"/>
            </w:tcBorders>
            <w:tcMar>
              <w:top w:w="128" w:type="dxa"/>
              <w:left w:w="43" w:type="dxa"/>
              <w:bottom w:w="43" w:type="dxa"/>
              <w:right w:w="43" w:type="dxa"/>
            </w:tcMar>
            <w:vAlign w:val="bottom"/>
          </w:tcPr>
          <w:p w14:paraId="09893694" w14:textId="77777777" w:rsidR="00FE02EF" w:rsidRPr="00CC19F7" w:rsidRDefault="00FE02EF" w:rsidP="00CC19F7">
            <w:pPr>
              <w:jc w:val="right"/>
            </w:pPr>
          </w:p>
        </w:tc>
        <w:tc>
          <w:tcPr>
            <w:tcW w:w="1405" w:type="dxa"/>
            <w:tcBorders>
              <w:top w:val="nil"/>
              <w:left w:val="nil"/>
              <w:bottom w:val="nil"/>
              <w:right w:val="nil"/>
            </w:tcBorders>
            <w:tcMar>
              <w:top w:w="128" w:type="dxa"/>
              <w:left w:w="43" w:type="dxa"/>
              <w:bottom w:w="43" w:type="dxa"/>
              <w:right w:w="43" w:type="dxa"/>
            </w:tcMar>
            <w:vAlign w:val="bottom"/>
          </w:tcPr>
          <w:p w14:paraId="6FFF7BDE" w14:textId="77777777" w:rsidR="00FE02EF" w:rsidRPr="00CC19F7" w:rsidRDefault="00FE02EF" w:rsidP="00CC19F7">
            <w:pPr>
              <w:jc w:val="right"/>
            </w:pPr>
          </w:p>
        </w:tc>
        <w:tc>
          <w:tcPr>
            <w:tcW w:w="1195" w:type="dxa"/>
            <w:tcBorders>
              <w:top w:val="nil"/>
              <w:left w:val="nil"/>
              <w:bottom w:val="nil"/>
              <w:right w:val="nil"/>
            </w:tcBorders>
            <w:tcMar>
              <w:top w:w="128" w:type="dxa"/>
              <w:left w:w="43" w:type="dxa"/>
              <w:bottom w:w="43" w:type="dxa"/>
              <w:right w:w="43" w:type="dxa"/>
            </w:tcMar>
            <w:vAlign w:val="bottom"/>
          </w:tcPr>
          <w:p w14:paraId="373FE504" w14:textId="77777777" w:rsidR="00FE02EF" w:rsidRPr="00CC19F7" w:rsidRDefault="00881E58" w:rsidP="00CC19F7">
            <w:pPr>
              <w:jc w:val="right"/>
            </w:pPr>
            <w:r w:rsidRPr="00CC19F7">
              <w:t>94 700</w:t>
            </w:r>
          </w:p>
        </w:tc>
        <w:tc>
          <w:tcPr>
            <w:tcW w:w="1300" w:type="dxa"/>
            <w:tcBorders>
              <w:top w:val="nil"/>
              <w:left w:val="nil"/>
              <w:bottom w:val="nil"/>
              <w:right w:val="nil"/>
            </w:tcBorders>
            <w:tcMar>
              <w:top w:w="128" w:type="dxa"/>
              <w:left w:w="43" w:type="dxa"/>
              <w:bottom w:w="43" w:type="dxa"/>
              <w:right w:w="43" w:type="dxa"/>
            </w:tcMar>
            <w:vAlign w:val="bottom"/>
          </w:tcPr>
          <w:p w14:paraId="29419D8D" w14:textId="77777777" w:rsidR="00FE02EF" w:rsidRPr="00CC19F7" w:rsidRDefault="00FE02EF" w:rsidP="00CC19F7">
            <w:pPr>
              <w:jc w:val="right"/>
            </w:pPr>
          </w:p>
        </w:tc>
      </w:tr>
      <w:tr w:rsidR="00FE02EF" w:rsidRPr="00CC19F7" w14:paraId="729E4486" w14:textId="77777777" w:rsidTr="00CC19F7">
        <w:trPr>
          <w:trHeight w:val="380"/>
        </w:trPr>
        <w:tc>
          <w:tcPr>
            <w:tcW w:w="840" w:type="dxa"/>
            <w:tcBorders>
              <w:top w:val="nil"/>
              <w:left w:val="nil"/>
              <w:bottom w:val="nil"/>
              <w:right w:val="nil"/>
            </w:tcBorders>
            <w:tcMar>
              <w:top w:w="128" w:type="dxa"/>
              <w:left w:w="43" w:type="dxa"/>
              <w:bottom w:w="43" w:type="dxa"/>
              <w:right w:w="43" w:type="dxa"/>
            </w:tcMar>
          </w:tcPr>
          <w:p w14:paraId="76DDB099" w14:textId="77777777" w:rsidR="00FE02EF" w:rsidRPr="00CC19F7" w:rsidRDefault="00FE02EF" w:rsidP="00CC19F7"/>
        </w:tc>
        <w:tc>
          <w:tcPr>
            <w:tcW w:w="3500" w:type="dxa"/>
            <w:tcBorders>
              <w:top w:val="nil"/>
              <w:left w:val="nil"/>
              <w:bottom w:val="nil"/>
              <w:right w:val="nil"/>
            </w:tcBorders>
            <w:tcMar>
              <w:top w:w="128" w:type="dxa"/>
              <w:left w:w="43" w:type="dxa"/>
              <w:bottom w:w="43" w:type="dxa"/>
              <w:right w:w="43" w:type="dxa"/>
            </w:tcMar>
          </w:tcPr>
          <w:p w14:paraId="31CCD6D1" w14:textId="77777777" w:rsidR="00FE02EF" w:rsidRPr="00CC19F7" w:rsidRDefault="00881E58" w:rsidP="00CC19F7">
            <w:r w:rsidRPr="00CC19F7">
              <w:rPr>
                <w:rStyle w:val="kursiv"/>
              </w:rPr>
              <w:t>Sum kategori 18.60</w:t>
            </w:r>
          </w:p>
        </w:tc>
        <w:tc>
          <w:tcPr>
            <w:tcW w:w="1300" w:type="dxa"/>
            <w:tcBorders>
              <w:top w:val="nil"/>
              <w:left w:val="nil"/>
              <w:bottom w:val="nil"/>
              <w:right w:val="nil"/>
            </w:tcBorders>
            <w:tcMar>
              <w:top w:w="128" w:type="dxa"/>
              <w:left w:w="43" w:type="dxa"/>
              <w:bottom w:w="43" w:type="dxa"/>
              <w:right w:w="43" w:type="dxa"/>
            </w:tcMar>
            <w:vAlign w:val="bottom"/>
          </w:tcPr>
          <w:p w14:paraId="1A59E5DF" w14:textId="77777777" w:rsidR="00FE02EF" w:rsidRPr="00CC19F7" w:rsidRDefault="00FE02EF" w:rsidP="00CC19F7">
            <w:pPr>
              <w:jc w:val="right"/>
            </w:pPr>
          </w:p>
        </w:tc>
        <w:tc>
          <w:tcPr>
            <w:tcW w:w="1405" w:type="dxa"/>
            <w:tcBorders>
              <w:top w:val="nil"/>
              <w:left w:val="nil"/>
              <w:bottom w:val="nil"/>
              <w:right w:val="nil"/>
            </w:tcBorders>
            <w:tcMar>
              <w:top w:w="128" w:type="dxa"/>
              <w:left w:w="43" w:type="dxa"/>
              <w:bottom w:w="43" w:type="dxa"/>
              <w:right w:w="43" w:type="dxa"/>
            </w:tcMar>
            <w:vAlign w:val="bottom"/>
          </w:tcPr>
          <w:p w14:paraId="05D45C9B" w14:textId="77777777" w:rsidR="00FE02EF" w:rsidRPr="00CC19F7" w:rsidRDefault="00FE02EF" w:rsidP="00CC19F7">
            <w:pPr>
              <w:jc w:val="right"/>
            </w:pPr>
          </w:p>
        </w:tc>
        <w:tc>
          <w:tcPr>
            <w:tcW w:w="1195" w:type="dxa"/>
            <w:tcBorders>
              <w:top w:val="nil"/>
              <w:left w:val="nil"/>
              <w:bottom w:val="nil"/>
              <w:right w:val="nil"/>
            </w:tcBorders>
            <w:tcMar>
              <w:top w:w="128" w:type="dxa"/>
              <w:left w:w="43" w:type="dxa"/>
              <w:bottom w:w="43" w:type="dxa"/>
              <w:right w:w="43" w:type="dxa"/>
            </w:tcMar>
            <w:vAlign w:val="bottom"/>
          </w:tcPr>
          <w:p w14:paraId="3EF14973" w14:textId="77777777" w:rsidR="00FE02EF" w:rsidRPr="00CC19F7" w:rsidRDefault="00881E58" w:rsidP="00CC19F7">
            <w:pPr>
              <w:jc w:val="right"/>
            </w:pPr>
            <w:r w:rsidRPr="00CC19F7">
              <w:rPr>
                <w:rStyle w:val="kursiv"/>
              </w:rPr>
              <w:t>94 700</w:t>
            </w:r>
          </w:p>
        </w:tc>
        <w:tc>
          <w:tcPr>
            <w:tcW w:w="1300" w:type="dxa"/>
            <w:tcBorders>
              <w:top w:val="nil"/>
              <w:left w:val="nil"/>
              <w:bottom w:val="nil"/>
              <w:right w:val="nil"/>
            </w:tcBorders>
            <w:tcMar>
              <w:top w:w="128" w:type="dxa"/>
              <w:left w:w="43" w:type="dxa"/>
              <w:bottom w:w="43" w:type="dxa"/>
              <w:right w:w="43" w:type="dxa"/>
            </w:tcMar>
            <w:vAlign w:val="bottom"/>
          </w:tcPr>
          <w:p w14:paraId="499BA1E2" w14:textId="77777777" w:rsidR="00FE02EF" w:rsidRPr="00CC19F7" w:rsidRDefault="00FE02EF" w:rsidP="00CC19F7">
            <w:pPr>
              <w:jc w:val="right"/>
            </w:pPr>
          </w:p>
        </w:tc>
      </w:tr>
      <w:tr w:rsidR="00FE02EF" w:rsidRPr="00CC19F7" w14:paraId="38E28A66" w14:textId="77777777" w:rsidTr="00CC19F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CB7B853" w14:textId="77777777" w:rsidR="00FE02EF" w:rsidRPr="00CC19F7" w:rsidRDefault="00FE02EF" w:rsidP="00CC19F7"/>
        </w:tc>
        <w:tc>
          <w:tcPr>
            <w:tcW w:w="3500" w:type="dxa"/>
            <w:tcBorders>
              <w:top w:val="nil"/>
              <w:left w:val="nil"/>
              <w:bottom w:val="single" w:sz="4" w:space="0" w:color="000000"/>
              <w:right w:val="nil"/>
            </w:tcBorders>
            <w:tcMar>
              <w:top w:w="128" w:type="dxa"/>
              <w:left w:w="43" w:type="dxa"/>
              <w:bottom w:w="43" w:type="dxa"/>
              <w:right w:w="43" w:type="dxa"/>
            </w:tcMar>
          </w:tcPr>
          <w:p w14:paraId="6F271480" w14:textId="77777777" w:rsidR="00FE02EF" w:rsidRPr="00CC19F7" w:rsidRDefault="00881E58" w:rsidP="00CC19F7">
            <w:r w:rsidRPr="00CC19F7">
              <w:t>Sum programområde 18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94A7639" w14:textId="77777777" w:rsidR="00FE02EF" w:rsidRPr="00CC19F7" w:rsidRDefault="00881E58" w:rsidP="00CC19F7">
            <w:pPr>
              <w:jc w:val="right"/>
            </w:pPr>
            <w:r w:rsidRPr="00CC19F7">
              <w:t>1 269 654</w:t>
            </w:r>
          </w:p>
        </w:tc>
        <w:tc>
          <w:tcPr>
            <w:tcW w:w="1405" w:type="dxa"/>
            <w:tcBorders>
              <w:top w:val="nil"/>
              <w:left w:val="nil"/>
              <w:bottom w:val="single" w:sz="4" w:space="0" w:color="000000"/>
              <w:right w:val="nil"/>
            </w:tcBorders>
            <w:tcMar>
              <w:top w:w="128" w:type="dxa"/>
              <w:left w:w="43" w:type="dxa"/>
              <w:bottom w:w="43" w:type="dxa"/>
              <w:right w:w="43" w:type="dxa"/>
            </w:tcMar>
            <w:vAlign w:val="bottom"/>
          </w:tcPr>
          <w:p w14:paraId="48A64F22" w14:textId="77777777" w:rsidR="00FE02EF" w:rsidRPr="00CC19F7" w:rsidRDefault="00881E58" w:rsidP="00CC19F7">
            <w:pPr>
              <w:jc w:val="right"/>
            </w:pPr>
            <w:r w:rsidRPr="00CC19F7">
              <w:t>1 438 153</w:t>
            </w:r>
          </w:p>
        </w:tc>
        <w:tc>
          <w:tcPr>
            <w:tcW w:w="1195" w:type="dxa"/>
            <w:tcBorders>
              <w:top w:val="nil"/>
              <w:left w:val="nil"/>
              <w:bottom w:val="single" w:sz="4" w:space="0" w:color="000000"/>
              <w:right w:val="nil"/>
            </w:tcBorders>
            <w:tcMar>
              <w:top w:w="128" w:type="dxa"/>
              <w:left w:w="43" w:type="dxa"/>
              <w:bottom w:w="43" w:type="dxa"/>
              <w:right w:w="43" w:type="dxa"/>
            </w:tcMar>
            <w:vAlign w:val="bottom"/>
          </w:tcPr>
          <w:p w14:paraId="2F36B0CE" w14:textId="77777777" w:rsidR="00FE02EF" w:rsidRPr="00CC19F7" w:rsidRDefault="00881E58" w:rsidP="00CC19F7">
            <w:pPr>
              <w:jc w:val="right"/>
            </w:pPr>
            <w:r w:rsidRPr="00CC19F7">
              <w:t>1 512 233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029A66D" w14:textId="77777777" w:rsidR="00FE02EF" w:rsidRPr="00CC19F7" w:rsidRDefault="00881E58" w:rsidP="00CC19F7">
            <w:pPr>
              <w:jc w:val="right"/>
            </w:pPr>
            <w:r w:rsidRPr="00CC19F7">
              <w:t>5,2</w:t>
            </w:r>
          </w:p>
        </w:tc>
      </w:tr>
      <w:tr w:rsidR="00FE02EF" w:rsidRPr="00CC19F7" w14:paraId="0942DFCD" w14:textId="77777777" w:rsidTr="00CC19F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5E44CFC" w14:textId="77777777" w:rsidR="00FE02EF" w:rsidRPr="00CC19F7" w:rsidRDefault="00FE02EF" w:rsidP="00CC19F7"/>
        </w:tc>
        <w:tc>
          <w:tcPr>
            <w:tcW w:w="3500" w:type="dxa"/>
            <w:tcBorders>
              <w:top w:val="nil"/>
              <w:left w:val="nil"/>
              <w:bottom w:val="single" w:sz="4" w:space="0" w:color="000000"/>
              <w:right w:val="nil"/>
            </w:tcBorders>
            <w:tcMar>
              <w:top w:w="128" w:type="dxa"/>
              <w:left w:w="43" w:type="dxa"/>
              <w:bottom w:w="43" w:type="dxa"/>
              <w:right w:w="43" w:type="dxa"/>
            </w:tcMar>
          </w:tcPr>
          <w:p w14:paraId="026A48E6" w14:textId="77777777" w:rsidR="00FE02EF" w:rsidRPr="00CC19F7" w:rsidRDefault="00881E58" w:rsidP="00CC19F7">
            <w:r w:rsidRPr="00CC19F7">
              <w:t>Sum inntekter</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27B61DE" w14:textId="77777777" w:rsidR="00FE02EF" w:rsidRPr="00CC19F7" w:rsidRDefault="00881E58" w:rsidP="00CC19F7">
            <w:pPr>
              <w:jc w:val="right"/>
            </w:pPr>
            <w:r w:rsidRPr="00CC19F7">
              <w:t>1 269 654</w:t>
            </w:r>
          </w:p>
        </w:tc>
        <w:tc>
          <w:tcPr>
            <w:tcW w:w="1405" w:type="dxa"/>
            <w:tcBorders>
              <w:top w:val="nil"/>
              <w:left w:val="nil"/>
              <w:bottom w:val="single" w:sz="4" w:space="0" w:color="000000"/>
              <w:right w:val="nil"/>
            </w:tcBorders>
            <w:tcMar>
              <w:top w:w="128" w:type="dxa"/>
              <w:left w:w="43" w:type="dxa"/>
              <w:bottom w:w="43" w:type="dxa"/>
              <w:right w:w="43" w:type="dxa"/>
            </w:tcMar>
            <w:vAlign w:val="bottom"/>
          </w:tcPr>
          <w:p w14:paraId="126651FA" w14:textId="77777777" w:rsidR="00FE02EF" w:rsidRPr="00CC19F7" w:rsidRDefault="00881E58" w:rsidP="00CC19F7">
            <w:pPr>
              <w:jc w:val="right"/>
            </w:pPr>
            <w:r w:rsidRPr="00CC19F7">
              <w:t>1 438 153</w:t>
            </w:r>
          </w:p>
        </w:tc>
        <w:tc>
          <w:tcPr>
            <w:tcW w:w="1195" w:type="dxa"/>
            <w:tcBorders>
              <w:top w:val="nil"/>
              <w:left w:val="nil"/>
              <w:bottom w:val="single" w:sz="4" w:space="0" w:color="000000"/>
              <w:right w:val="nil"/>
            </w:tcBorders>
            <w:tcMar>
              <w:top w:w="128" w:type="dxa"/>
              <w:left w:w="43" w:type="dxa"/>
              <w:bottom w:w="43" w:type="dxa"/>
              <w:right w:w="43" w:type="dxa"/>
            </w:tcMar>
            <w:vAlign w:val="bottom"/>
          </w:tcPr>
          <w:p w14:paraId="7A63A382" w14:textId="77777777" w:rsidR="00FE02EF" w:rsidRPr="00CC19F7" w:rsidRDefault="00881E58" w:rsidP="00CC19F7">
            <w:pPr>
              <w:jc w:val="right"/>
            </w:pPr>
            <w:r w:rsidRPr="00CC19F7">
              <w:t>1 512 233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B849B33" w14:textId="77777777" w:rsidR="00FE02EF" w:rsidRPr="00CC19F7" w:rsidRDefault="00881E58" w:rsidP="00CC19F7">
            <w:pPr>
              <w:jc w:val="right"/>
            </w:pPr>
            <w:r w:rsidRPr="00CC19F7">
              <w:t>5,2</w:t>
            </w:r>
          </w:p>
        </w:tc>
      </w:tr>
    </w:tbl>
    <w:p w14:paraId="73B1F2C7" w14:textId="77777777" w:rsidR="00FE02EF" w:rsidRPr="00CC19F7" w:rsidRDefault="00881E58" w:rsidP="00CC19F7">
      <w:pPr>
        <w:pStyle w:val="Overskrift1"/>
      </w:pPr>
      <w:r w:rsidRPr="00CC19F7">
        <w:t>Oppfølging av oppmodings- og utgreiingsvedtak</w:t>
      </w:r>
    </w:p>
    <w:p w14:paraId="0CBBC052" w14:textId="78F31A0D" w:rsidR="00FE02EF" w:rsidRDefault="00881E58" w:rsidP="00CC19F7">
      <w:proofErr w:type="spellStart"/>
      <w:r w:rsidRPr="00CC19F7">
        <w:t>Nedanfor</w:t>
      </w:r>
      <w:proofErr w:type="spellEnd"/>
      <w:r w:rsidRPr="00CC19F7">
        <w:t xml:space="preserve"> blir det gitt </w:t>
      </w:r>
      <w:proofErr w:type="gramStart"/>
      <w:r w:rsidRPr="00CC19F7">
        <w:t>ei oversikt</w:t>
      </w:r>
      <w:proofErr w:type="gramEnd"/>
      <w:r w:rsidRPr="00CC19F7">
        <w:t xml:space="preserve"> over oppfølging av oppmodings- og utgreiingsvedtak under Olje- og energidepartementet. </w:t>
      </w:r>
      <w:proofErr w:type="spellStart"/>
      <w:r w:rsidRPr="00CC19F7">
        <w:t>Oversikta</w:t>
      </w:r>
      <w:proofErr w:type="spellEnd"/>
      <w:r w:rsidRPr="00CC19F7">
        <w:t xml:space="preserve"> inkluderer alle vedtak </w:t>
      </w:r>
      <w:proofErr w:type="spellStart"/>
      <w:r w:rsidRPr="00CC19F7">
        <w:t>frå</w:t>
      </w:r>
      <w:proofErr w:type="spellEnd"/>
      <w:r w:rsidRPr="00CC19F7">
        <w:t xml:space="preserve"> stortingssesjonen 2022–2023, i tillegg til </w:t>
      </w:r>
      <w:proofErr w:type="spellStart"/>
      <w:r w:rsidRPr="00CC19F7">
        <w:t>dei</w:t>
      </w:r>
      <w:proofErr w:type="spellEnd"/>
      <w:r w:rsidRPr="00CC19F7">
        <w:t xml:space="preserve"> vedtaka </w:t>
      </w:r>
      <w:proofErr w:type="spellStart"/>
      <w:r w:rsidRPr="00CC19F7">
        <w:t>frå</w:t>
      </w:r>
      <w:proofErr w:type="spellEnd"/>
      <w:r w:rsidRPr="00CC19F7">
        <w:t xml:space="preserve"> </w:t>
      </w:r>
      <w:proofErr w:type="spellStart"/>
      <w:r w:rsidRPr="00CC19F7">
        <w:t>tidlegare</w:t>
      </w:r>
      <w:proofErr w:type="spellEnd"/>
      <w:r w:rsidRPr="00CC19F7">
        <w:t xml:space="preserve"> </w:t>
      </w:r>
      <w:proofErr w:type="spellStart"/>
      <w:r w:rsidRPr="00CC19F7">
        <w:t>stortingssesjonar</w:t>
      </w:r>
      <w:proofErr w:type="spellEnd"/>
      <w:r w:rsidRPr="00CC19F7">
        <w:t xml:space="preserve"> som kontroll- og konstitusjonskomiteen i </w:t>
      </w:r>
      <w:proofErr w:type="spellStart"/>
      <w:r w:rsidRPr="00CC19F7">
        <w:t>Innst</w:t>
      </w:r>
      <w:proofErr w:type="spellEnd"/>
      <w:r w:rsidRPr="00CC19F7">
        <w:t xml:space="preserve">. 186 S (2022–2023) meinte </w:t>
      </w:r>
      <w:proofErr w:type="spellStart"/>
      <w:r w:rsidRPr="00CC19F7">
        <w:t>ikkje</w:t>
      </w:r>
      <w:proofErr w:type="spellEnd"/>
      <w:r w:rsidRPr="00CC19F7">
        <w:t xml:space="preserve"> var kvitterte ut. I tabellen under blir det angitt om departementet planlegg at rapporteringa knytt til oppmodings- og utgreiingsvedtaket </w:t>
      </w:r>
      <w:proofErr w:type="spellStart"/>
      <w:r w:rsidRPr="00CC19F7">
        <w:t>no</w:t>
      </w:r>
      <w:proofErr w:type="spellEnd"/>
      <w:r w:rsidRPr="00CC19F7">
        <w:t xml:space="preserve"> blir avslutta, eller om departementet vil rapportere konkret på vedtaket også i budsjettproposisjonen for neste år.</w:t>
      </w:r>
    </w:p>
    <w:p w14:paraId="213B5125" w14:textId="7BA4CBFC" w:rsidR="00CC19F7" w:rsidRPr="00CC19F7" w:rsidRDefault="00CC19F7" w:rsidP="00CC19F7">
      <w:pPr>
        <w:pStyle w:val="tabell-tittel"/>
      </w:pPr>
      <w:r w:rsidRPr="00CC19F7">
        <w:t>Oversikt over oppmodings- og utgreiingsvedtak, ordna etter sesjon og nummer</w:t>
      </w:r>
    </w:p>
    <w:p w14:paraId="19CDBF5E" w14:textId="77777777" w:rsidR="00FE02EF" w:rsidRPr="00CC19F7" w:rsidRDefault="00881E58" w:rsidP="00CC19F7">
      <w:pPr>
        <w:pStyle w:val="Tabellnavn"/>
      </w:pPr>
      <w:r w:rsidRPr="00CC19F7">
        <w:t>04J1xt2</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1180"/>
        <w:gridCol w:w="1045"/>
        <w:gridCol w:w="5670"/>
        <w:gridCol w:w="1645"/>
      </w:tblGrid>
      <w:tr w:rsidR="00FE02EF" w:rsidRPr="00CC19F7" w14:paraId="30EF99D5" w14:textId="77777777" w:rsidTr="005F29B2">
        <w:trPr>
          <w:trHeight w:val="860"/>
        </w:trPr>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E73D39C" w14:textId="77777777" w:rsidR="00FE02EF" w:rsidRPr="00CC19F7" w:rsidRDefault="00881E58" w:rsidP="00CC19F7">
            <w:r w:rsidRPr="00CC19F7">
              <w:t>Sesjon</w:t>
            </w:r>
          </w:p>
        </w:tc>
        <w:tc>
          <w:tcPr>
            <w:tcW w:w="104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C89BD8B" w14:textId="77777777" w:rsidR="00FE02EF" w:rsidRPr="00CC19F7" w:rsidRDefault="00881E58" w:rsidP="00CC19F7">
            <w:pPr>
              <w:jc w:val="center"/>
            </w:pPr>
            <w:r w:rsidRPr="00CC19F7">
              <w:t>Vedtak</w:t>
            </w:r>
          </w:p>
        </w:tc>
        <w:tc>
          <w:tcPr>
            <w:tcW w:w="567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B396E57" w14:textId="77777777" w:rsidR="00FE02EF" w:rsidRPr="00CC19F7" w:rsidRDefault="00881E58" w:rsidP="00CC19F7">
            <w:r w:rsidRPr="00CC19F7">
              <w:t>Stikkord</w:t>
            </w:r>
          </w:p>
        </w:tc>
        <w:tc>
          <w:tcPr>
            <w:tcW w:w="164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54AC836" w14:textId="77777777" w:rsidR="00FE02EF" w:rsidRPr="00CC19F7" w:rsidRDefault="00881E58" w:rsidP="00CC19F7">
            <w:pPr>
              <w:jc w:val="right"/>
            </w:pPr>
            <w:r w:rsidRPr="00CC19F7">
              <w:t xml:space="preserve">Rapporteringa blir avslutta </w:t>
            </w:r>
            <w:r w:rsidRPr="00CC19F7">
              <w:br/>
              <w:t>(Ja/Nei)</w:t>
            </w:r>
          </w:p>
        </w:tc>
      </w:tr>
      <w:tr w:rsidR="00FE02EF" w:rsidRPr="00CC19F7" w14:paraId="68F114A2" w14:textId="77777777" w:rsidTr="005F29B2">
        <w:trPr>
          <w:trHeight w:val="640"/>
        </w:trPr>
        <w:tc>
          <w:tcPr>
            <w:tcW w:w="1180" w:type="dxa"/>
            <w:tcBorders>
              <w:top w:val="single" w:sz="4" w:space="0" w:color="000000"/>
              <w:left w:val="nil"/>
              <w:bottom w:val="nil"/>
              <w:right w:val="nil"/>
            </w:tcBorders>
            <w:tcMar>
              <w:top w:w="128" w:type="dxa"/>
              <w:left w:w="43" w:type="dxa"/>
              <w:bottom w:w="43" w:type="dxa"/>
              <w:right w:w="43" w:type="dxa"/>
            </w:tcMar>
          </w:tcPr>
          <w:p w14:paraId="72ED4E87" w14:textId="77777777" w:rsidR="00FE02EF" w:rsidRPr="00CC19F7" w:rsidRDefault="00881E58" w:rsidP="00CC19F7">
            <w:r w:rsidRPr="00CC19F7">
              <w:t>2022–2023</w:t>
            </w:r>
          </w:p>
        </w:tc>
        <w:tc>
          <w:tcPr>
            <w:tcW w:w="1045" w:type="dxa"/>
            <w:tcBorders>
              <w:top w:val="single" w:sz="4" w:space="0" w:color="000000"/>
              <w:left w:val="nil"/>
              <w:bottom w:val="nil"/>
              <w:right w:val="nil"/>
            </w:tcBorders>
            <w:tcMar>
              <w:top w:w="128" w:type="dxa"/>
              <w:left w:w="43" w:type="dxa"/>
              <w:bottom w:w="43" w:type="dxa"/>
              <w:right w:w="43" w:type="dxa"/>
            </w:tcMar>
          </w:tcPr>
          <w:p w14:paraId="14EA7C32" w14:textId="77777777" w:rsidR="00FE02EF" w:rsidRPr="00CC19F7" w:rsidRDefault="00881E58" w:rsidP="00CC19F7">
            <w:pPr>
              <w:ind w:right="284"/>
              <w:jc w:val="right"/>
            </w:pPr>
            <w:r w:rsidRPr="00CC19F7">
              <w:t>13</w:t>
            </w:r>
          </w:p>
        </w:tc>
        <w:tc>
          <w:tcPr>
            <w:tcW w:w="5670" w:type="dxa"/>
            <w:tcBorders>
              <w:top w:val="single" w:sz="4" w:space="0" w:color="000000"/>
              <w:left w:val="nil"/>
              <w:bottom w:val="nil"/>
              <w:right w:val="nil"/>
            </w:tcBorders>
            <w:tcMar>
              <w:top w:w="128" w:type="dxa"/>
              <w:left w:w="43" w:type="dxa"/>
              <w:bottom w:w="43" w:type="dxa"/>
              <w:right w:w="43" w:type="dxa"/>
            </w:tcMar>
          </w:tcPr>
          <w:p w14:paraId="02AB340E" w14:textId="77777777" w:rsidR="00FE02EF" w:rsidRPr="00CC19F7" w:rsidRDefault="00881E58" w:rsidP="00CC19F7">
            <w:r w:rsidRPr="00CC19F7">
              <w:t xml:space="preserve">Kartlegging av potensialet for solenergiproduksjon på </w:t>
            </w:r>
            <w:proofErr w:type="spellStart"/>
            <w:r w:rsidRPr="00CC19F7">
              <w:t>eksisterande</w:t>
            </w:r>
            <w:proofErr w:type="spellEnd"/>
            <w:r w:rsidRPr="00CC19F7">
              <w:t xml:space="preserve"> infrastruktur</w:t>
            </w:r>
          </w:p>
        </w:tc>
        <w:tc>
          <w:tcPr>
            <w:tcW w:w="1645" w:type="dxa"/>
            <w:tcBorders>
              <w:top w:val="single" w:sz="4" w:space="0" w:color="000000"/>
              <w:left w:val="nil"/>
              <w:bottom w:val="nil"/>
              <w:right w:val="nil"/>
            </w:tcBorders>
            <w:tcMar>
              <w:top w:w="128" w:type="dxa"/>
              <w:left w:w="43" w:type="dxa"/>
              <w:bottom w:w="43" w:type="dxa"/>
              <w:right w:w="43" w:type="dxa"/>
            </w:tcMar>
            <w:vAlign w:val="bottom"/>
          </w:tcPr>
          <w:p w14:paraId="7CF89ECD" w14:textId="77777777" w:rsidR="00FE02EF" w:rsidRPr="00CC19F7" w:rsidRDefault="00881E58" w:rsidP="00CC19F7">
            <w:pPr>
              <w:jc w:val="right"/>
            </w:pPr>
            <w:r w:rsidRPr="00CC19F7">
              <w:t>Ja</w:t>
            </w:r>
          </w:p>
        </w:tc>
      </w:tr>
      <w:tr w:rsidR="00FE02EF" w:rsidRPr="00CC19F7" w14:paraId="6B0DA7FB" w14:textId="77777777" w:rsidTr="005F29B2">
        <w:trPr>
          <w:trHeight w:val="380"/>
        </w:trPr>
        <w:tc>
          <w:tcPr>
            <w:tcW w:w="1180" w:type="dxa"/>
            <w:tcBorders>
              <w:top w:val="nil"/>
              <w:left w:val="nil"/>
              <w:bottom w:val="nil"/>
              <w:right w:val="nil"/>
            </w:tcBorders>
            <w:tcMar>
              <w:top w:w="128" w:type="dxa"/>
              <w:left w:w="43" w:type="dxa"/>
              <w:bottom w:w="43" w:type="dxa"/>
              <w:right w:w="43" w:type="dxa"/>
            </w:tcMar>
          </w:tcPr>
          <w:p w14:paraId="03B18CDB" w14:textId="77777777" w:rsidR="00FE02EF" w:rsidRPr="00CC19F7" w:rsidRDefault="00881E58" w:rsidP="00CC19F7">
            <w:r w:rsidRPr="00CC19F7">
              <w:t>2022–2023</w:t>
            </w:r>
          </w:p>
        </w:tc>
        <w:tc>
          <w:tcPr>
            <w:tcW w:w="1045" w:type="dxa"/>
            <w:tcBorders>
              <w:top w:val="nil"/>
              <w:left w:val="nil"/>
              <w:bottom w:val="nil"/>
              <w:right w:val="nil"/>
            </w:tcBorders>
            <w:tcMar>
              <w:top w:w="128" w:type="dxa"/>
              <w:left w:w="43" w:type="dxa"/>
              <w:bottom w:w="43" w:type="dxa"/>
              <w:right w:w="43" w:type="dxa"/>
            </w:tcMar>
          </w:tcPr>
          <w:p w14:paraId="4D7566A7" w14:textId="77777777" w:rsidR="00FE02EF" w:rsidRPr="00CC19F7" w:rsidRDefault="00881E58" w:rsidP="00CC19F7">
            <w:pPr>
              <w:ind w:right="284"/>
              <w:jc w:val="right"/>
            </w:pPr>
            <w:r w:rsidRPr="00CC19F7">
              <w:t>16</w:t>
            </w:r>
          </w:p>
        </w:tc>
        <w:tc>
          <w:tcPr>
            <w:tcW w:w="5670" w:type="dxa"/>
            <w:tcBorders>
              <w:top w:val="nil"/>
              <w:left w:val="nil"/>
              <w:bottom w:val="nil"/>
              <w:right w:val="nil"/>
            </w:tcBorders>
            <w:tcMar>
              <w:top w:w="128" w:type="dxa"/>
              <w:left w:w="43" w:type="dxa"/>
              <w:bottom w:w="43" w:type="dxa"/>
              <w:right w:w="43" w:type="dxa"/>
            </w:tcMar>
          </w:tcPr>
          <w:p w14:paraId="2BEFFE3E" w14:textId="77777777" w:rsidR="00FE02EF" w:rsidRPr="00CC19F7" w:rsidRDefault="00881E58" w:rsidP="00CC19F7">
            <w:r w:rsidRPr="00CC19F7">
              <w:t xml:space="preserve">Mellombels eller tidsavgrensa fritak </w:t>
            </w:r>
            <w:proofErr w:type="spellStart"/>
            <w:r w:rsidRPr="00CC19F7">
              <w:t>frå</w:t>
            </w:r>
            <w:proofErr w:type="spellEnd"/>
            <w:r w:rsidRPr="00CC19F7">
              <w:t xml:space="preserve"> konsesjonsplikt</w:t>
            </w:r>
          </w:p>
        </w:tc>
        <w:tc>
          <w:tcPr>
            <w:tcW w:w="1645" w:type="dxa"/>
            <w:tcBorders>
              <w:top w:val="nil"/>
              <w:left w:val="nil"/>
              <w:bottom w:val="nil"/>
              <w:right w:val="nil"/>
            </w:tcBorders>
            <w:tcMar>
              <w:top w:w="128" w:type="dxa"/>
              <w:left w:w="43" w:type="dxa"/>
              <w:bottom w:w="43" w:type="dxa"/>
              <w:right w:w="43" w:type="dxa"/>
            </w:tcMar>
            <w:vAlign w:val="bottom"/>
          </w:tcPr>
          <w:p w14:paraId="30F967BE" w14:textId="77777777" w:rsidR="00FE02EF" w:rsidRPr="00CC19F7" w:rsidRDefault="00881E58" w:rsidP="00CC19F7">
            <w:pPr>
              <w:jc w:val="right"/>
            </w:pPr>
            <w:r w:rsidRPr="00CC19F7">
              <w:t>Ja</w:t>
            </w:r>
          </w:p>
        </w:tc>
      </w:tr>
      <w:tr w:rsidR="00FE02EF" w:rsidRPr="00CC19F7" w14:paraId="2BAD5654" w14:textId="77777777" w:rsidTr="005F29B2">
        <w:trPr>
          <w:trHeight w:val="380"/>
        </w:trPr>
        <w:tc>
          <w:tcPr>
            <w:tcW w:w="1180" w:type="dxa"/>
            <w:tcBorders>
              <w:top w:val="nil"/>
              <w:left w:val="nil"/>
              <w:bottom w:val="nil"/>
              <w:right w:val="nil"/>
            </w:tcBorders>
            <w:tcMar>
              <w:top w:w="128" w:type="dxa"/>
              <w:left w:w="43" w:type="dxa"/>
              <w:bottom w:w="43" w:type="dxa"/>
              <w:right w:w="43" w:type="dxa"/>
            </w:tcMar>
          </w:tcPr>
          <w:p w14:paraId="05F23EB9" w14:textId="77777777" w:rsidR="00FE02EF" w:rsidRPr="00CC19F7" w:rsidRDefault="00881E58" w:rsidP="00CC19F7">
            <w:r w:rsidRPr="00CC19F7">
              <w:t>2022–2023</w:t>
            </w:r>
          </w:p>
        </w:tc>
        <w:tc>
          <w:tcPr>
            <w:tcW w:w="1045" w:type="dxa"/>
            <w:tcBorders>
              <w:top w:val="nil"/>
              <w:left w:val="nil"/>
              <w:bottom w:val="nil"/>
              <w:right w:val="nil"/>
            </w:tcBorders>
            <w:tcMar>
              <w:top w:w="128" w:type="dxa"/>
              <w:left w:w="43" w:type="dxa"/>
              <w:bottom w:w="43" w:type="dxa"/>
              <w:right w:w="43" w:type="dxa"/>
            </w:tcMar>
          </w:tcPr>
          <w:p w14:paraId="395D0078" w14:textId="77777777" w:rsidR="00FE02EF" w:rsidRPr="00CC19F7" w:rsidRDefault="00881E58" w:rsidP="00CC19F7">
            <w:pPr>
              <w:ind w:right="284"/>
              <w:jc w:val="right"/>
            </w:pPr>
            <w:r w:rsidRPr="00CC19F7">
              <w:t>17</w:t>
            </w:r>
          </w:p>
        </w:tc>
        <w:tc>
          <w:tcPr>
            <w:tcW w:w="5670" w:type="dxa"/>
            <w:tcBorders>
              <w:top w:val="nil"/>
              <w:left w:val="nil"/>
              <w:bottom w:val="nil"/>
              <w:right w:val="nil"/>
            </w:tcBorders>
            <w:tcMar>
              <w:top w:w="128" w:type="dxa"/>
              <w:left w:w="43" w:type="dxa"/>
              <w:bottom w:w="43" w:type="dxa"/>
              <w:right w:w="43" w:type="dxa"/>
            </w:tcMar>
          </w:tcPr>
          <w:p w14:paraId="3FE7DD73" w14:textId="77777777" w:rsidR="00FE02EF" w:rsidRPr="00CC19F7" w:rsidRDefault="00881E58" w:rsidP="00CC19F7">
            <w:r w:rsidRPr="00CC19F7">
              <w:t xml:space="preserve">Fjerne fritaksgrensa på 500 kW for </w:t>
            </w:r>
            <w:proofErr w:type="spellStart"/>
            <w:r w:rsidRPr="00CC19F7">
              <w:t>nettleige</w:t>
            </w:r>
            <w:proofErr w:type="spellEnd"/>
            <w:r w:rsidRPr="00CC19F7">
              <w:t xml:space="preserve"> på </w:t>
            </w:r>
            <w:proofErr w:type="spellStart"/>
            <w:r w:rsidRPr="00CC19F7">
              <w:t>straum</w:t>
            </w:r>
            <w:proofErr w:type="spellEnd"/>
            <w:r w:rsidRPr="00CC19F7">
              <w:t xml:space="preserve"> mv.</w:t>
            </w:r>
          </w:p>
        </w:tc>
        <w:tc>
          <w:tcPr>
            <w:tcW w:w="1645" w:type="dxa"/>
            <w:tcBorders>
              <w:top w:val="nil"/>
              <w:left w:val="nil"/>
              <w:bottom w:val="nil"/>
              <w:right w:val="nil"/>
            </w:tcBorders>
            <w:tcMar>
              <w:top w:w="128" w:type="dxa"/>
              <w:left w:w="43" w:type="dxa"/>
              <w:bottom w:w="43" w:type="dxa"/>
              <w:right w:w="43" w:type="dxa"/>
            </w:tcMar>
            <w:vAlign w:val="bottom"/>
          </w:tcPr>
          <w:p w14:paraId="3D276729" w14:textId="77777777" w:rsidR="00FE02EF" w:rsidRPr="00CC19F7" w:rsidRDefault="00881E58" w:rsidP="00CC19F7">
            <w:pPr>
              <w:jc w:val="right"/>
            </w:pPr>
            <w:r w:rsidRPr="00CC19F7">
              <w:t>Ja</w:t>
            </w:r>
          </w:p>
        </w:tc>
      </w:tr>
      <w:tr w:rsidR="00FE02EF" w:rsidRPr="00CC19F7" w14:paraId="00DF374A" w14:textId="77777777" w:rsidTr="005F29B2">
        <w:trPr>
          <w:trHeight w:val="380"/>
        </w:trPr>
        <w:tc>
          <w:tcPr>
            <w:tcW w:w="1180" w:type="dxa"/>
            <w:tcBorders>
              <w:top w:val="nil"/>
              <w:left w:val="nil"/>
              <w:bottom w:val="nil"/>
              <w:right w:val="nil"/>
            </w:tcBorders>
            <w:tcMar>
              <w:top w:w="128" w:type="dxa"/>
              <w:left w:w="43" w:type="dxa"/>
              <w:bottom w:w="43" w:type="dxa"/>
              <w:right w:w="43" w:type="dxa"/>
            </w:tcMar>
          </w:tcPr>
          <w:p w14:paraId="33D5A477" w14:textId="77777777" w:rsidR="00FE02EF" w:rsidRPr="00CC19F7" w:rsidRDefault="00881E58" w:rsidP="00CC19F7">
            <w:r w:rsidRPr="00CC19F7">
              <w:t>2022–2023</w:t>
            </w:r>
          </w:p>
        </w:tc>
        <w:tc>
          <w:tcPr>
            <w:tcW w:w="1045" w:type="dxa"/>
            <w:tcBorders>
              <w:top w:val="nil"/>
              <w:left w:val="nil"/>
              <w:bottom w:val="nil"/>
              <w:right w:val="nil"/>
            </w:tcBorders>
            <w:tcMar>
              <w:top w:w="128" w:type="dxa"/>
              <w:left w:w="43" w:type="dxa"/>
              <w:bottom w:w="43" w:type="dxa"/>
              <w:right w:w="43" w:type="dxa"/>
            </w:tcMar>
          </w:tcPr>
          <w:p w14:paraId="26133BCE" w14:textId="77777777" w:rsidR="00FE02EF" w:rsidRPr="00CC19F7" w:rsidRDefault="00881E58" w:rsidP="00CC19F7">
            <w:pPr>
              <w:ind w:right="284"/>
              <w:jc w:val="right"/>
            </w:pPr>
            <w:r w:rsidRPr="00CC19F7">
              <w:t>18</w:t>
            </w:r>
          </w:p>
        </w:tc>
        <w:tc>
          <w:tcPr>
            <w:tcW w:w="5670" w:type="dxa"/>
            <w:tcBorders>
              <w:top w:val="nil"/>
              <w:left w:val="nil"/>
              <w:bottom w:val="nil"/>
              <w:right w:val="nil"/>
            </w:tcBorders>
            <w:tcMar>
              <w:top w:w="128" w:type="dxa"/>
              <w:left w:w="43" w:type="dxa"/>
              <w:bottom w:w="43" w:type="dxa"/>
              <w:right w:w="43" w:type="dxa"/>
            </w:tcMar>
          </w:tcPr>
          <w:p w14:paraId="4AEA07C1" w14:textId="77777777" w:rsidR="00FE02EF" w:rsidRPr="00CC19F7" w:rsidRDefault="00881E58" w:rsidP="00CC19F7">
            <w:r w:rsidRPr="00CC19F7">
              <w:t>Effektgrense for konsesjonsplikt for solenergianlegg</w:t>
            </w:r>
          </w:p>
        </w:tc>
        <w:tc>
          <w:tcPr>
            <w:tcW w:w="1645" w:type="dxa"/>
            <w:tcBorders>
              <w:top w:val="nil"/>
              <w:left w:val="nil"/>
              <w:bottom w:val="nil"/>
              <w:right w:val="nil"/>
            </w:tcBorders>
            <w:tcMar>
              <w:top w:w="128" w:type="dxa"/>
              <w:left w:w="43" w:type="dxa"/>
              <w:bottom w:w="43" w:type="dxa"/>
              <w:right w:w="43" w:type="dxa"/>
            </w:tcMar>
            <w:vAlign w:val="bottom"/>
          </w:tcPr>
          <w:p w14:paraId="0F38609E" w14:textId="77777777" w:rsidR="00FE02EF" w:rsidRPr="00CC19F7" w:rsidRDefault="00881E58" w:rsidP="00CC19F7">
            <w:pPr>
              <w:jc w:val="right"/>
            </w:pPr>
            <w:r w:rsidRPr="00CC19F7">
              <w:t>Nei</w:t>
            </w:r>
          </w:p>
        </w:tc>
      </w:tr>
      <w:tr w:rsidR="00FE02EF" w:rsidRPr="00CC19F7" w14:paraId="0407FE83" w14:textId="77777777" w:rsidTr="005F29B2">
        <w:trPr>
          <w:trHeight w:val="380"/>
        </w:trPr>
        <w:tc>
          <w:tcPr>
            <w:tcW w:w="1180" w:type="dxa"/>
            <w:tcBorders>
              <w:top w:val="nil"/>
              <w:left w:val="nil"/>
              <w:bottom w:val="nil"/>
              <w:right w:val="nil"/>
            </w:tcBorders>
            <w:tcMar>
              <w:top w:w="128" w:type="dxa"/>
              <w:left w:w="43" w:type="dxa"/>
              <w:bottom w:w="43" w:type="dxa"/>
              <w:right w:w="43" w:type="dxa"/>
            </w:tcMar>
          </w:tcPr>
          <w:p w14:paraId="0E58B39B" w14:textId="77777777" w:rsidR="00FE02EF" w:rsidRPr="00CC19F7" w:rsidRDefault="00881E58" w:rsidP="00CC19F7">
            <w:r w:rsidRPr="00CC19F7">
              <w:t>2022–2023</w:t>
            </w:r>
          </w:p>
        </w:tc>
        <w:tc>
          <w:tcPr>
            <w:tcW w:w="1045" w:type="dxa"/>
            <w:tcBorders>
              <w:top w:val="nil"/>
              <w:left w:val="nil"/>
              <w:bottom w:val="nil"/>
              <w:right w:val="nil"/>
            </w:tcBorders>
            <w:tcMar>
              <w:top w:w="128" w:type="dxa"/>
              <w:left w:w="43" w:type="dxa"/>
              <w:bottom w:w="43" w:type="dxa"/>
              <w:right w:w="43" w:type="dxa"/>
            </w:tcMar>
          </w:tcPr>
          <w:p w14:paraId="7BEEEABE" w14:textId="77777777" w:rsidR="00FE02EF" w:rsidRPr="00CC19F7" w:rsidRDefault="00881E58" w:rsidP="00CC19F7">
            <w:pPr>
              <w:ind w:right="284"/>
              <w:jc w:val="right"/>
            </w:pPr>
            <w:r w:rsidRPr="00CC19F7">
              <w:t>19</w:t>
            </w:r>
          </w:p>
        </w:tc>
        <w:tc>
          <w:tcPr>
            <w:tcW w:w="5670" w:type="dxa"/>
            <w:tcBorders>
              <w:top w:val="nil"/>
              <w:left w:val="nil"/>
              <w:bottom w:val="nil"/>
              <w:right w:val="nil"/>
            </w:tcBorders>
            <w:tcMar>
              <w:top w:w="128" w:type="dxa"/>
              <w:left w:w="43" w:type="dxa"/>
              <w:bottom w:w="43" w:type="dxa"/>
              <w:right w:w="43" w:type="dxa"/>
            </w:tcMar>
          </w:tcPr>
          <w:p w14:paraId="17B07186" w14:textId="77777777" w:rsidR="00FE02EF" w:rsidRPr="00CC19F7" w:rsidRDefault="00881E58" w:rsidP="00CC19F7">
            <w:r w:rsidRPr="00CC19F7">
              <w:t xml:space="preserve">Ny teknologi som </w:t>
            </w:r>
            <w:proofErr w:type="spellStart"/>
            <w:r w:rsidRPr="00CC19F7">
              <w:t>aukar</w:t>
            </w:r>
            <w:proofErr w:type="spellEnd"/>
            <w:r w:rsidRPr="00CC19F7">
              <w:t xml:space="preserve"> utnyttinga av </w:t>
            </w:r>
            <w:proofErr w:type="spellStart"/>
            <w:r w:rsidRPr="00CC19F7">
              <w:t>eksisterande</w:t>
            </w:r>
            <w:proofErr w:type="spellEnd"/>
            <w:r w:rsidRPr="00CC19F7">
              <w:t xml:space="preserve"> infrastruktur</w:t>
            </w:r>
          </w:p>
        </w:tc>
        <w:tc>
          <w:tcPr>
            <w:tcW w:w="1645" w:type="dxa"/>
            <w:tcBorders>
              <w:top w:val="nil"/>
              <w:left w:val="nil"/>
              <w:bottom w:val="nil"/>
              <w:right w:val="nil"/>
            </w:tcBorders>
            <w:tcMar>
              <w:top w:w="128" w:type="dxa"/>
              <w:left w:w="43" w:type="dxa"/>
              <w:bottom w:w="43" w:type="dxa"/>
              <w:right w:w="43" w:type="dxa"/>
            </w:tcMar>
            <w:vAlign w:val="bottom"/>
          </w:tcPr>
          <w:p w14:paraId="66FFF286" w14:textId="77777777" w:rsidR="00FE02EF" w:rsidRPr="00CC19F7" w:rsidRDefault="00881E58" w:rsidP="00CC19F7">
            <w:pPr>
              <w:jc w:val="right"/>
            </w:pPr>
            <w:r w:rsidRPr="00CC19F7">
              <w:t>Ja</w:t>
            </w:r>
          </w:p>
        </w:tc>
      </w:tr>
      <w:tr w:rsidR="00FE02EF" w:rsidRPr="00CC19F7" w14:paraId="2D8D95B3" w14:textId="77777777" w:rsidTr="005F29B2">
        <w:trPr>
          <w:trHeight w:val="380"/>
        </w:trPr>
        <w:tc>
          <w:tcPr>
            <w:tcW w:w="1180" w:type="dxa"/>
            <w:tcBorders>
              <w:top w:val="nil"/>
              <w:left w:val="nil"/>
              <w:bottom w:val="nil"/>
              <w:right w:val="nil"/>
            </w:tcBorders>
            <w:tcMar>
              <w:top w:w="128" w:type="dxa"/>
              <w:left w:w="43" w:type="dxa"/>
              <w:bottom w:w="43" w:type="dxa"/>
              <w:right w:w="43" w:type="dxa"/>
            </w:tcMar>
          </w:tcPr>
          <w:p w14:paraId="41BB966C" w14:textId="77777777" w:rsidR="00FE02EF" w:rsidRPr="00CC19F7" w:rsidRDefault="00881E58" w:rsidP="00CC19F7">
            <w:r w:rsidRPr="00CC19F7">
              <w:t>2022–2023</w:t>
            </w:r>
          </w:p>
        </w:tc>
        <w:tc>
          <w:tcPr>
            <w:tcW w:w="1045" w:type="dxa"/>
            <w:tcBorders>
              <w:top w:val="nil"/>
              <w:left w:val="nil"/>
              <w:bottom w:val="nil"/>
              <w:right w:val="nil"/>
            </w:tcBorders>
            <w:tcMar>
              <w:top w:w="128" w:type="dxa"/>
              <w:left w:w="43" w:type="dxa"/>
              <w:bottom w:w="43" w:type="dxa"/>
              <w:right w:w="43" w:type="dxa"/>
            </w:tcMar>
          </w:tcPr>
          <w:p w14:paraId="548674DD" w14:textId="77777777" w:rsidR="00FE02EF" w:rsidRPr="00CC19F7" w:rsidRDefault="00881E58" w:rsidP="00CC19F7">
            <w:pPr>
              <w:ind w:right="284"/>
              <w:jc w:val="right"/>
            </w:pPr>
            <w:r w:rsidRPr="00CC19F7">
              <w:t>20</w:t>
            </w:r>
          </w:p>
        </w:tc>
        <w:tc>
          <w:tcPr>
            <w:tcW w:w="5670" w:type="dxa"/>
            <w:tcBorders>
              <w:top w:val="nil"/>
              <w:left w:val="nil"/>
              <w:bottom w:val="nil"/>
              <w:right w:val="nil"/>
            </w:tcBorders>
            <w:tcMar>
              <w:top w:w="128" w:type="dxa"/>
              <w:left w:w="43" w:type="dxa"/>
              <w:bottom w:w="43" w:type="dxa"/>
              <w:right w:w="43" w:type="dxa"/>
            </w:tcMar>
          </w:tcPr>
          <w:p w14:paraId="453E3500" w14:textId="77777777" w:rsidR="00FE02EF" w:rsidRPr="00CC19F7" w:rsidRDefault="00881E58" w:rsidP="00CC19F7">
            <w:r w:rsidRPr="00CC19F7">
              <w:t>Straumstønadsordning for nærvarmeanlegg</w:t>
            </w:r>
          </w:p>
        </w:tc>
        <w:tc>
          <w:tcPr>
            <w:tcW w:w="1645" w:type="dxa"/>
            <w:tcBorders>
              <w:top w:val="nil"/>
              <w:left w:val="nil"/>
              <w:bottom w:val="nil"/>
              <w:right w:val="nil"/>
            </w:tcBorders>
            <w:tcMar>
              <w:top w:w="128" w:type="dxa"/>
              <w:left w:w="43" w:type="dxa"/>
              <w:bottom w:w="43" w:type="dxa"/>
              <w:right w:w="43" w:type="dxa"/>
            </w:tcMar>
            <w:vAlign w:val="bottom"/>
          </w:tcPr>
          <w:p w14:paraId="7E841E5B" w14:textId="77777777" w:rsidR="00FE02EF" w:rsidRPr="00CC19F7" w:rsidRDefault="00881E58" w:rsidP="00CC19F7">
            <w:pPr>
              <w:jc w:val="right"/>
            </w:pPr>
            <w:r w:rsidRPr="00CC19F7">
              <w:t>Ja</w:t>
            </w:r>
          </w:p>
        </w:tc>
      </w:tr>
      <w:tr w:rsidR="00FE02EF" w:rsidRPr="00CC19F7" w14:paraId="41AB75DF" w14:textId="77777777" w:rsidTr="005F29B2">
        <w:trPr>
          <w:trHeight w:val="380"/>
        </w:trPr>
        <w:tc>
          <w:tcPr>
            <w:tcW w:w="1180" w:type="dxa"/>
            <w:tcBorders>
              <w:top w:val="nil"/>
              <w:left w:val="nil"/>
              <w:bottom w:val="nil"/>
              <w:right w:val="nil"/>
            </w:tcBorders>
            <w:tcMar>
              <w:top w:w="128" w:type="dxa"/>
              <w:left w:w="43" w:type="dxa"/>
              <w:bottom w:w="43" w:type="dxa"/>
              <w:right w:w="43" w:type="dxa"/>
            </w:tcMar>
          </w:tcPr>
          <w:p w14:paraId="2BB4CB9F" w14:textId="77777777" w:rsidR="00FE02EF" w:rsidRPr="00CC19F7" w:rsidRDefault="00881E58" w:rsidP="00CC19F7">
            <w:r w:rsidRPr="00CC19F7">
              <w:t>2022–2023</w:t>
            </w:r>
          </w:p>
        </w:tc>
        <w:tc>
          <w:tcPr>
            <w:tcW w:w="1045" w:type="dxa"/>
            <w:tcBorders>
              <w:top w:val="nil"/>
              <w:left w:val="nil"/>
              <w:bottom w:val="nil"/>
              <w:right w:val="nil"/>
            </w:tcBorders>
            <w:tcMar>
              <w:top w:w="128" w:type="dxa"/>
              <w:left w:w="43" w:type="dxa"/>
              <w:bottom w:w="43" w:type="dxa"/>
              <w:right w:w="43" w:type="dxa"/>
            </w:tcMar>
          </w:tcPr>
          <w:p w14:paraId="51F45333" w14:textId="77777777" w:rsidR="00FE02EF" w:rsidRPr="00CC19F7" w:rsidRDefault="00881E58" w:rsidP="00CC19F7">
            <w:pPr>
              <w:ind w:right="284"/>
              <w:jc w:val="right"/>
            </w:pPr>
            <w:r w:rsidRPr="00CC19F7">
              <w:t>102</w:t>
            </w:r>
          </w:p>
        </w:tc>
        <w:tc>
          <w:tcPr>
            <w:tcW w:w="5670" w:type="dxa"/>
            <w:tcBorders>
              <w:top w:val="nil"/>
              <w:left w:val="nil"/>
              <w:bottom w:val="nil"/>
              <w:right w:val="nil"/>
            </w:tcBorders>
            <w:tcMar>
              <w:top w:w="128" w:type="dxa"/>
              <w:left w:w="43" w:type="dxa"/>
              <w:bottom w:w="43" w:type="dxa"/>
              <w:right w:w="43" w:type="dxa"/>
            </w:tcMar>
          </w:tcPr>
          <w:p w14:paraId="2528AD76" w14:textId="77777777" w:rsidR="00FE02EF" w:rsidRPr="00CC19F7" w:rsidRDefault="00881E58" w:rsidP="00CC19F7">
            <w:proofErr w:type="spellStart"/>
            <w:r w:rsidRPr="00CC19F7">
              <w:t>Ikkje</w:t>
            </w:r>
            <w:proofErr w:type="spellEnd"/>
            <w:r w:rsidRPr="00CC19F7">
              <w:t xml:space="preserve"> lyse ut 26. konsesjonsrunde i denne stortingsperioden</w:t>
            </w:r>
          </w:p>
        </w:tc>
        <w:tc>
          <w:tcPr>
            <w:tcW w:w="1645" w:type="dxa"/>
            <w:tcBorders>
              <w:top w:val="nil"/>
              <w:left w:val="nil"/>
              <w:bottom w:val="nil"/>
              <w:right w:val="nil"/>
            </w:tcBorders>
            <w:tcMar>
              <w:top w:w="128" w:type="dxa"/>
              <w:left w:w="43" w:type="dxa"/>
              <w:bottom w:w="43" w:type="dxa"/>
              <w:right w:w="43" w:type="dxa"/>
            </w:tcMar>
            <w:vAlign w:val="bottom"/>
          </w:tcPr>
          <w:p w14:paraId="24934ADB" w14:textId="77777777" w:rsidR="00FE02EF" w:rsidRPr="00CC19F7" w:rsidRDefault="00881E58" w:rsidP="00CC19F7">
            <w:pPr>
              <w:jc w:val="right"/>
            </w:pPr>
            <w:r w:rsidRPr="00CC19F7">
              <w:t>Ja</w:t>
            </w:r>
          </w:p>
        </w:tc>
      </w:tr>
      <w:tr w:rsidR="00FE02EF" w:rsidRPr="00CC19F7" w14:paraId="58EAB3E3" w14:textId="77777777" w:rsidTr="005F29B2">
        <w:trPr>
          <w:trHeight w:val="380"/>
        </w:trPr>
        <w:tc>
          <w:tcPr>
            <w:tcW w:w="1180" w:type="dxa"/>
            <w:tcBorders>
              <w:top w:val="nil"/>
              <w:left w:val="nil"/>
              <w:bottom w:val="nil"/>
              <w:right w:val="nil"/>
            </w:tcBorders>
            <w:tcMar>
              <w:top w:w="128" w:type="dxa"/>
              <w:left w:w="43" w:type="dxa"/>
              <w:bottom w:w="43" w:type="dxa"/>
              <w:right w:w="43" w:type="dxa"/>
            </w:tcMar>
          </w:tcPr>
          <w:p w14:paraId="69D5BC55" w14:textId="77777777" w:rsidR="00FE02EF" w:rsidRPr="00CC19F7" w:rsidRDefault="00881E58" w:rsidP="00CC19F7">
            <w:r w:rsidRPr="00CC19F7">
              <w:t>2022–2023</w:t>
            </w:r>
          </w:p>
        </w:tc>
        <w:tc>
          <w:tcPr>
            <w:tcW w:w="1045" w:type="dxa"/>
            <w:tcBorders>
              <w:top w:val="nil"/>
              <w:left w:val="nil"/>
              <w:bottom w:val="nil"/>
              <w:right w:val="nil"/>
            </w:tcBorders>
            <w:tcMar>
              <w:top w:w="128" w:type="dxa"/>
              <w:left w:w="43" w:type="dxa"/>
              <w:bottom w:w="43" w:type="dxa"/>
              <w:right w:w="43" w:type="dxa"/>
            </w:tcMar>
          </w:tcPr>
          <w:p w14:paraId="47A6FE4B" w14:textId="77777777" w:rsidR="00FE02EF" w:rsidRPr="00CC19F7" w:rsidRDefault="00881E58" w:rsidP="00CC19F7">
            <w:pPr>
              <w:ind w:right="284"/>
              <w:jc w:val="right"/>
            </w:pPr>
            <w:r w:rsidRPr="00CC19F7">
              <w:t>103</w:t>
            </w:r>
          </w:p>
        </w:tc>
        <w:tc>
          <w:tcPr>
            <w:tcW w:w="5670" w:type="dxa"/>
            <w:tcBorders>
              <w:top w:val="nil"/>
              <w:left w:val="nil"/>
              <w:bottom w:val="nil"/>
              <w:right w:val="nil"/>
            </w:tcBorders>
            <w:tcMar>
              <w:top w:w="128" w:type="dxa"/>
              <w:left w:w="43" w:type="dxa"/>
              <w:bottom w:w="43" w:type="dxa"/>
              <w:right w:w="43" w:type="dxa"/>
            </w:tcMar>
          </w:tcPr>
          <w:p w14:paraId="6C764EEC" w14:textId="77777777" w:rsidR="00FE02EF" w:rsidRPr="00CC19F7" w:rsidRDefault="00881E58" w:rsidP="00CC19F7">
            <w:proofErr w:type="spellStart"/>
            <w:r w:rsidRPr="00CC19F7">
              <w:t>Ikkje</w:t>
            </w:r>
            <w:proofErr w:type="spellEnd"/>
            <w:r w:rsidRPr="00CC19F7">
              <w:t xml:space="preserve"> ta inn tre angitte TFO-blokker i 2023</w:t>
            </w:r>
          </w:p>
        </w:tc>
        <w:tc>
          <w:tcPr>
            <w:tcW w:w="1645" w:type="dxa"/>
            <w:tcBorders>
              <w:top w:val="nil"/>
              <w:left w:val="nil"/>
              <w:bottom w:val="nil"/>
              <w:right w:val="nil"/>
            </w:tcBorders>
            <w:tcMar>
              <w:top w:w="128" w:type="dxa"/>
              <w:left w:w="43" w:type="dxa"/>
              <w:bottom w:w="43" w:type="dxa"/>
              <w:right w:w="43" w:type="dxa"/>
            </w:tcMar>
            <w:vAlign w:val="bottom"/>
          </w:tcPr>
          <w:p w14:paraId="11BE9F1C" w14:textId="77777777" w:rsidR="00FE02EF" w:rsidRPr="00CC19F7" w:rsidRDefault="00881E58" w:rsidP="00CC19F7">
            <w:pPr>
              <w:jc w:val="right"/>
            </w:pPr>
            <w:r w:rsidRPr="00CC19F7">
              <w:t>Ja</w:t>
            </w:r>
          </w:p>
        </w:tc>
      </w:tr>
      <w:tr w:rsidR="00FE02EF" w:rsidRPr="00CC19F7" w14:paraId="353332A7" w14:textId="77777777" w:rsidTr="005F29B2">
        <w:trPr>
          <w:trHeight w:val="380"/>
        </w:trPr>
        <w:tc>
          <w:tcPr>
            <w:tcW w:w="1180" w:type="dxa"/>
            <w:tcBorders>
              <w:top w:val="nil"/>
              <w:left w:val="nil"/>
              <w:bottom w:val="nil"/>
              <w:right w:val="nil"/>
            </w:tcBorders>
            <w:tcMar>
              <w:top w:w="128" w:type="dxa"/>
              <w:left w:w="43" w:type="dxa"/>
              <w:bottom w:w="43" w:type="dxa"/>
              <w:right w:w="43" w:type="dxa"/>
            </w:tcMar>
          </w:tcPr>
          <w:p w14:paraId="3F03E694" w14:textId="77777777" w:rsidR="00FE02EF" w:rsidRPr="00CC19F7" w:rsidRDefault="00881E58" w:rsidP="00CC19F7">
            <w:r w:rsidRPr="00CC19F7">
              <w:t>2022–2023</w:t>
            </w:r>
          </w:p>
        </w:tc>
        <w:tc>
          <w:tcPr>
            <w:tcW w:w="1045" w:type="dxa"/>
            <w:tcBorders>
              <w:top w:val="nil"/>
              <w:left w:val="nil"/>
              <w:bottom w:val="nil"/>
              <w:right w:val="nil"/>
            </w:tcBorders>
            <w:tcMar>
              <w:top w:w="128" w:type="dxa"/>
              <w:left w:w="43" w:type="dxa"/>
              <w:bottom w:w="43" w:type="dxa"/>
              <w:right w:w="43" w:type="dxa"/>
            </w:tcMar>
          </w:tcPr>
          <w:p w14:paraId="13B190D0" w14:textId="77777777" w:rsidR="00FE02EF" w:rsidRPr="00CC19F7" w:rsidRDefault="00881E58" w:rsidP="00CC19F7">
            <w:pPr>
              <w:ind w:right="284"/>
              <w:jc w:val="right"/>
            </w:pPr>
            <w:r w:rsidRPr="00CC19F7">
              <w:t>106</w:t>
            </w:r>
          </w:p>
        </w:tc>
        <w:tc>
          <w:tcPr>
            <w:tcW w:w="5670" w:type="dxa"/>
            <w:tcBorders>
              <w:top w:val="nil"/>
              <w:left w:val="nil"/>
              <w:bottom w:val="nil"/>
              <w:right w:val="nil"/>
            </w:tcBorders>
            <w:tcMar>
              <w:top w:w="128" w:type="dxa"/>
              <w:left w:w="43" w:type="dxa"/>
              <w:bottom w:w="43" w:type="dxa"/>
              <w:right w:w="43" w:type="dxa"/>
            </w:tcMar>
          </w:tcPr>
          <w:p w14:paraId="1E0D3542" w14:textId="77777777" w:rsidR="00FE02EF" w:rsidRPr="00CC19F7" w:rsidRDefault="00881E58" w:rsidP="00CC19F7">
            <w:proofErr w:type="spellStart"/>
            <w:r w:rsidRPr="00CC19F7">
              <w:t>Differansekontraktar</w:t>
            </w:r>
            <w:proofErr w:type="spellEnd"/>
            <w:r w:rsidRPr="00CC19F7">
              <w:t xml:space="preserve"> for hydrogen</w:t>
            </w:r>
          </w:p>
        </w:tc>
        <w:tc>
          <w:tcPr>
            <w:tcW w:w="1645" w:type="dxa"/>
            <w:tcBorders>
              <w:top w:val="nil"/>
              <w:left w:val="nil"/>
              <w:bottom w:val="nil"/>
              <w:right w:val="nil"/>
            </w:tcBorders>
            <w:tcMar>
              <w:top w:w="128" w:type="dxa"/>
              <w:left w:w="43" w:type="dxa"/>
              <w:bottom w:w="43" w:type="dxa"/>
              <w:right w:w="43" w:type="dxa"/>
            </w:tcMar>
            <w:vAlign w:val="bottom"/>
          </w:tcPr>
          <w:p w14:paraId="7BC0F991" w14:textId="77777777" w:rsidR="00FE02EF" w:rsidRPr="00CC19F7" w:rsidRDefault="00881E58" w:rsidP="00CC19F7">
            <w:pPr>
              <w:jc w:val="right"/>
            </w:pPr>
            <w:r w:rsidRPr="00CC19F7">
              <w:t>Ja</w:t>
            </w:r>
          </w:p>
        </w:tc>
      </w:tr>
      <w:tr w:rsidR="00FE02EF" w:rsidRPr="00CC19F7" w14:paraId="57A10FB7" w14:textId="77777777" w:rsidTr="005F29B2">
        <w:trPr>
          <w:trHeight w:val="380"/>
        </w:trPr>
        <w:tc>
          <w:tcPr>
            <w:tcW w:w="1180" w:type="dxa"/>
            <w:tcBorders>
              <w:top w:val="nil"/>
              <w:left w:val="nil"/>
              <w:bottom w:val="nil"/>
              <w:right w:val="nil"/>
            </w:tcBorders>
            <w:tcMar>
              <w:top w:w="128" w:type="dxa"/>
              <w:left w:w="43" w:type="dxa"/>
              <w:bottom w:w="43" w:type="dxa"/>
              <w:right w:w="43" w:type="dxa"/>
            </w:tcMar>
          </w:tcPr>
          <w:p w14:paraId="082AF7A1" w14:textId="77777777" w:rsidR="00FE02EF" w:rsidRPr="00CC19F7" w:rsidRDefault="00881E58" w:rsidP="00CC19F7">
            <w:r w:rsidRPr="00CC19F7">
              <w:t>2022–2023</w:t>
            </w:r>
          </w:p>
        </w:tc>
        <w:tc>
          <w:tcPr>
            <w:tcW w:w="1045" w:type="dxa"/>
            <w:tcBorders>
              <w:top w:val="nil"/>
              <w:left w:val="nil"/>
              <w:bottom w:val="nil"/>
              <w:right w:val="nil"/>
            </w:tcBorders>
            <w:tcMar>
              <w:top w:w="128" w:type="dxa"/>
              <w:left w:w="43" w:type="dxa"/>
              <w:bottom w:w="43" w:type="dxa"/>
              <w:right w:w="43" w:type="dxa"/>
            </w:tcMar>
          </w:tcPr>
          <w:p w14:paraId="736A8F7C" w14:textId="77777777" w:rsidR="00FE02EF" w:rsidRPr="00CC19F7" w:rsidRDefault="00881E58" w:rsidP="00CC19F7">
            <w:pPr>
              <w:ind w:right="284"/>
              <w:jc w:val="right"/>
            </w:pPr>
            <w:r w:rsidRPr="00CC19F7">
              <w:t>158</w:t>
            </w:r>
          </w:p>
        </w:tc>
        <w:tc>
          <w:tcPr>
            <w:tcW w:w="5670" w:type="dxa"/>
            <w:tcBorders>
              <w:top w:val="nil"/>
              <w:left w:val="nil"/>
              <w:bottom w:val="nil"/>
              <w:right w:val="nil"/>
            </w:tcBorders>
            <w:tcMar>
              <w:top w:w="128" w:type="dxa"/>
              <w:left w:w="43" w:type="dxa"/>
              <w:bottom w:w="43" w:type="dxa"/>
              <w:right w:w="43" w:type="dxa"/>
            </w:tcMar>
          </w:tcPr>
          <w:p w14:paraId="5A0F8A7F" w14:textId="77777777" w:rsidR="00FE02EF" w:rsidRPr="00CC19F7" w:rsidRDefault="00881E58" w:rsidP="00CC19F7">
            <w:r w:rsidRPr="00CC19F7">
              <w:t>Straumstønad for mindre, private straumnett</w:t>
            </w:r>
          </w:p>
        </w:tc>
        <w:tc>
          <w:tcPr>
            <w:tcW w:w="1645" w:type="dxa"/>
            <w:tcBorders>
              <w:top w:val="nil"/>
              <w:left w:val="nil"/>
              <w:bottom w:val="nil"/>
              <w:right w:val="nil"/>
            </w:tcBorders>
            <w:tcMar>
              <w:top w:w="128" w:type="dxa"/>
              <w:left w:w="43" w:type="dxa"/>
              <w:bottom w:w="43" w:type="dxa"/>
              <w:right w:w="43" w:type="dxa"/>
            </w:tcMar>
            <w:vAlign w:val="bottom"/>
          </w:tcPr>
          <w:p w14:paraId="21410D1F" w14:textId="77777777" w:rsidR="00FE02EF" w:rsidRPr="00CC19F7" w:rsidRDefault="00881E58" w:rsidP="00CC19F7">
            <w:pPr>
              <w:jc w:val="right"/>
            </w:pPr>
            <w:r w:rsidRPr="00CC19F7">
              <w:t xml:space="preserve">Ja </w:t>
            </w:r>
          </w:p>
        </w:tc>
      </w:tr>
      <w:tr w:rsidR="00FE02EF" w:rsidRPr="00CC19F7" w14:paraId="2F2D1E81" w14:textId="77777777" w:rsidTr="005F29B2">
        <w:trPr>
          <w:trHeight w:val="380"/>
        </w:trPr>
        <w:tc>
          <w:tcPr>
            <w:tcW w:w="1180" w:type="dxa"/>
            <w:tcBorders>
              <w:top w:val="nil"/>
              <w:left w:val="nil"/>
              <w:bottom w:val="nil"/>
              <w:right w:val="nil"/>
            </w:tcBorders>
            <w:tcMar>
              <w:top w:w="128" w:type="dxa"/>
              <w:left w:w="43" w:type="dxa"/>
              <w:bottom w:w="43" w:type="dxa"/>
              <w:right w:w="43" w:type="dxa"/>
            </w:tcMar>
          </w:tcPr>
          <w:p w14:paraId="58E4B4D3" w14:textId="77777777" w:rsidR="00FE02EF" w:rsidRPr="00CC19F7" w:rsidRDefault="00881E58" w:rsidP="00CC19F7">
            <w:r w:rsidRPr="00CC19F7">
              <w:t>2022–2023</w:t>
            </w:r>
          </w:p>
        </w:tc>
        <w:tc>
          <w:tcPr>
            <w:tcW w:w="1045" w:type="dxa"/>
            <w:tcBorders>
              <w:top w:val="nil"/>
              <w:left w:val="nil"/>
              <w:bottom w:val="nil"/>
              <w:right w:val="nil"/>
            </w:tcBorders>
            <w:tcMar>
              <w:top w:w="128" w:type="dxa"/>
              <w:left w:w="43" w:type="dxa"/>
              <w:bottom w:w="43" w:type="dxa"/>
              <w:right w:w="43" w:type="dxa"/>
            </w:tcMar>
          </w:tcPr>
          <w:p w14:paraId="58F9D838" w14:textId="77777777" w:rsidR="00FE02EF" w:rsidRPr="00CC19F7" w:rsidRDefault="00881E58" w:rsidP="00CC19F7">
            <w:pPr>
              <w:ind w:right="284"/>
              <w:jc w:val="right"/>
            </w:pPr>
            <w:r w:rsidRPr="00CC19F7">
              <w:t>159</w:t>
            </w:r>
          </w:p>
        </w:tc>
        <w:tc>
          <w:tcPr>
            <w:tcW w:w="5670" w:type="dxa"/>
            <w:tcBorders>
              <w:top w:val="nil"/>
              <w:left w:val="nil"/>
              <w:bottom w:val="nil"/>
              <w:right w:val="nil"/>
            </w:tcBorders>
            <w:tcMar>
              <w:top w:w="128" w:type="dxa"/>
              <w:left w:w="43" w:type="dxa"/>
              <w:bottom w:w="43" w:type="dxa"/>
              <w:right w:w="43" w:type="dxa"/>
            </w:tcMar>
          </w:tcPr>
          <w:p w14:paraId="03E8C6D2" w14:textId="77777777" w:rsidR="00FE02EF" w:rsidRPr="00CC19F7" w:rsidRDefault="00881E58" w:rsidP="00CC19F7">
            <w:r w:rsidRPr="00CC19F7">
              <w:t>Straumstønadsordning for nærvarmeanlegg</w:t>
            </w:r>
          </w:p>
        </w:tc>
        <w:tc>
          <w:tcPr>
            <w:tcW w:w="1645" w:type="dxa"/>
            <w:tcBorders>
              <w:top w:val="nil"/>
              <w:left w:val="nil"/>
              <w:bottom w:val="nil"/>
              <w:right w:val="nil"/>
            </w:tcBorders>
            <w:tcMar>
              <w:top w:w="128" w:type="dxa"/>
              <w:left w:w="43" w:type="dxa"/>
              <w:bottom w:w="43" w:type="dxa"/>
              <w:right w:w="43" w:type="dxa"/>
            </w:tcMar>
            <w:vAlign w:val="bottom"/>
          </w:tcPr>
          <w:p w14:paraId="14201E0A" w14:textId="77777777" w:rsidR="00FE02EF" w:rsidRPr="00CC19F7" w:rsidRDefault="00881E58" w:rsidP="00CC19F7">
            <w:pPr>
              <w:jc w:val="right"/>
            </w:pPr>
            <w:r w:rsidRPr="00CC19F7">
              <w:t>Ja</w:t>
            </w:r>
          </w:p>
        </w:tc>
      </w:tr>
      <w:tr w:rsidR="00FE02EF" w:rsidRPr="00CC19F7" w14:paraId="20A0DF07" w14:textId="77777777" w:rsidTr="005F29B2">
        <w:trPr>
          <w:trHeight w:val="380"/>
        </w:trPr>
        <w:tc>
          <w:tcPr>
            <w:tcW w:w="1180" w:type="dxa"/>
            <w:tcBorders>
              <w:top w:val="nil"/>
              <w:left w:val="nil"/>
              <w:bottom w:val="nil"/>
              <w:right w:val="nil"/>
            </w:tcBorders>
            <w:tcMar>
              <w:top w:w="128" w:type="dxa"/>
              <w:left w:w="43" w:type="dxa"/>
              <w:bottom w:w="43" w:type="dxa"/>
              <w:right w:w="43" w:type="dxa"/>
            </w:tcMar>
          </w:tcPr>
          <w:p w14:paraId="70F80F88" w14:textId="77777777" w:rsidR="00FE02EF" w:rsidRPr="00CC19F7" w:rsidRDefault="00881E58" w:rsidP="00CC19F7">
            <w:r w:rsidRPr="00CC19F7">
              <w:t>2022–2023</w:t>
            </w:r>
          </w:p>
        </w:tc>
        <w:tc>
          <w:tcPr>
            <w:tcW w:w="1045" w:type="dxa"/>
            <w:tcBorders>
              <w:top w:val="nil"/>
              <w:left w:val="nil"/>
              <w:bottom w:val="nil"/>
              <w:right w:val="nil"/>
            </w:tcBorders>
            <w:tcMar>
              <w:top w:w="128" w:type="dxa"/>
              <w:left w:w="43" w:type="dxa"/>
              <w:bottom w:w="43" w:type="dxa"/>
              <w:right w:w="43" w:type="dxa"/>
            </w:tcMar>
          </w:tcPr>
          <w:p w14:paraId="7778B7FC" w14:textId="77777777" w:rsidR="00FE02EF" w:rsidRPr="00CC19F7" w:rsidRDefault="00881E58" w:rsidP="00CC19F7">
            <w:pPr>
              <w:ind w:right="284"/>
              <w:jc w:val="right"/>
            </w:pPr>
            <w:r w:rsidRPr="00CC19F7">
              <w:t>160</w:t>
            </w:r>
          </w:p>
        </w:tc>
        <w:tc>
          <w:tcPr>
            <w:tcW w:w="5670" w:type="dxa"/>
            <w:tcBorders>
              <w:top w:val="nil"/>
              <w:left w:val="nil"/>
              <w:bottom w:val="nil"/>
              <w:right w:val="nil"/>
            </w:tcBorders>
            <w:tcMar>
              <w:top w:w="128" w:type="dxa"/>
              <w:left w:w="43" w:type="dxa"/>
              <w:bottom w:w="43" w:type="dxa"/>
              <w:right w:w="43" w:type="dxa"/>
            </w:tcMar>
          </w:tcPr>
          <w:p w14:paraId="6D3727D2" w14:textId="77777777" w:rsidR="00FE02EF" w:rsidRPr="00CC19F7" w:rsidRDefault="00881E58" w:rsidP="00CC19F7">
            <w:r w:rsidRPr="00CC19F7">
              <w:t xml:space="preserve">Straumstønad for </w:t>
            </w:r>
            <w:proofErr w:type="spellStart"/>
            <w:r w:rsidRPr="00CC19F7">
              <w:t>fritidsbustader</w:t>
            </w:r>
            <w:proofErr w:type="spellEnd"/>
          </w:p>
        </w:tc>
        <w:tc>
          <w:tcPr>
            <w:tcW w:w="1645" w:type="dxa"/>
            <w:tcBorders>
              <w:top w:val="nil"/>
              <w:left w:val="nil"/>
              <w:bottom w:val="nil"/>
              <w:right w:val="nil"/>
            </w:tcBorders>
            <w:tcMar>
              <w:top w:w="128" w:type="dxa"/>
              <w:left w:w="43" w:type="dxa"/>
              <w:bottom w:w="43" w:type="dxa"/>
              <w:right w:w="43" w:type="dxa"/>
            </w:tcMar>
            <w:vAlign w:val="bottom"/>
          </w:tcPr>
          <w:p w14:paraId="77FF8511" w14:textId="77777777" w:rsidR="00FE02EF" w:rsidRPr="00CC19F7" w:rsidRDefault="00881E58" w:rsidP="00CC19F7">
            <w:pPr>
              <w:jc w:val="right"/>
            </w:pPr>
            <w:r w:rsidRPr="00CC19F7">
              <w:t>Ja</w:t>
            </w:r>
          </w:p>
        </w:tc>
      </w:tr>
      <w:tr w:rsidR="00FE02EF" w:rsidRPr="00CC19F7" w14:paraId="0D34BB1F" w14:textId="77777777" w:rsidTr="005F29B2">
        <w:trPr>
          <w:trHeight w:val="380"/>
        </w:trPr>
        <w:tc>
          <w:tcPr>
            <w:tcW w:w="1180" w:type="dxa"/>
            <w:tcBorders>
              <w:top w:val="nil"/>
              <w:left w:val="nil"/>
              <w:bottom w:val="nil"/>
              <w:right w:val="nil"/>
            </w:tcBorders>
            <w:tcMar>
              <w:top w:w="128" w:type="dxa"/>
              <w:left w:w="43" w:type="dxa"/>
              <w:bottom w:w="43" w:type="dxa"/>
              <w:right w:w="43" w:type="dxa"/>
            </w:tcMar>
          </w:tcPr>
          <w:p w14:paraId="5698E124" w14:textId="77777777" w:rsidR="00FE02EF" w:rsidRPr="00CC19F7" w:rsidRDefault="00881E58" w:rsidP="00CC19F7">
            <w:r w:rsidRPr="00CC19F7">
              <w:t>2022–2023</w:t>
            </w:r>
          </w:p>
        </w:tc>
        <w:tc>
          <w:tcPr>
            <w:tcW w:w="1045" w:type="dxa"/>
            <w:tcBorders>
              <w:top w:val="nil"/>
              <w:left w:val="nil"/>
              <w:bottom w:val="nil"/>
              <w:right w:val="nil"/>
            </w:tcBorders>
            <w:tcMar>
              <w:top w:w="128" w:type="dxa"/>
              <w:left w:w="43" w:type="dxa"/>
              <w:bottom w:w="43" w:type="dxa"/>
              <w:right w:w="43" w:type="dxa"/>
            </w:tcMar>
          </w:tcPr>
          <w:p w14:paraId="4201F480" w14:textId="77777777" w:rsidR="00FE02EF" w:rsidRPr="00CC19F7" w:rsidRDefault="00881E58" w:rsidP="00CC19F7">
            <w:pPr>
              <w:ind w:right="284"/>
              <w:jc w:val="right"/>
            </w:pPr>
            <w:r w:rsidRPr="00CC19F7">
              <w:t>596</w:t>
            </w:r>
          </w:p>
        </w:tc>
        <w:tc>
          <w:tcPr>
            <w:tcW w:w="5670" w:type="dxa"/>
            <w:tcBorders>
              <w:top w:val="nil"/>
              <w:left w:val="nil"/>
              <w:bottom w:val="nil"/>
              <w:right w:val="nil"/>
            </w:tcBorders>
            <w:tcMar>
              <w:top w:w="128" w:type="dxa"/>
              <w:left w:w="43" w:type="dxa"/>
              <w:bottom w:w="43" w:type="dxa"/>
              <w:right w:w="43" w:type="dxa"/>
            </w:tcMar>
          </w:tcPr>
          <w:p w14:paraId="600DA4D8" w14:textId="77777777" w:rsidR="00FE02EF" w:rsidRPr="00CC19F7" w:rsidRDefault="00881E58" w:rsidP="00CC19F7">
            <w:r w:rsidRPr="00CC19F7">
              <w:t>Melkøya – CO</w:t>
            </w:r>
            <w:r w:rsidRPr="00CC19F7">
              <w:rPr>
                <w:rStyle w:val="skrift-senket"/>
              </w:rPr>
              <w:t>2</w:t>
            </w:r>
            <w:r w:rsidRPr="00CC19F7">
              <w:t>-handtering som alternativ til elektrifisering</w:t>
            </w:r>
          </w:p>
        </w:tc>
        <w:tc>
          <w:tcPr>
            <w:tcW w:w="1645" w:type="dxa"/>
            <w:tcBorders>
              <w:top w:val="nil"/>
              <w:left w:val="nil"/>
              <w:bottom w:val="nil"/>
              <w:right w:val="nil"/>
            </w:tcBorders>
            <w:tcMar>
              <w:top w:w="128" w:type="dxa"/>
              <w:left w:w="43" w:type="dxa"/>
              <w:bottom w:w="43" w:type="dxa"/>
              <w:right w:w="43" w:type="dxa"/>
            </w:tcMar>
            <w:vAlign w:val="bottom"/>
          </w:tcPr>
          <w:p w14:paraId="0679E437" w14:textId="77777777" w:rsidR="00FE02EF" w:rsidRPr="00CC19F7" w:rsidRDefault="00881E58" w:rsidP="00CC19F7">
            <w:pPr>
              <w:jc w:val="right"/>
            </w:pPr>
            <w:r w:rsidRPr="00CC19F7">
              <w:t>Ja</w:t>
            </w:r>
          </w:p>
        </w:tc>
      </w:tr>
      <w:tr w:rsidR="00FE02EF" w:rsidRPr="00CC19F7" w14:paraId="3B9E9D3C" w14:textId="77777777" w:rsidTr="005F29B2">
        <w:trPr>
          <w:trHeight w:val="380"/>
        </w:trPr>
        <w:tc>
          <w:tcPr>
            <w:tcW w:w="1180" w:type="dxa"/>
            <w:tcBorders>
              <w:top w:val="nil"/>
              <w:left w:val="nil"/>
              <w:bottom w:val="nil"/>
              <w:right w:val="nil"/>
            </w:tcBorders>
            <w:tcMar>
              <w:top w:w="128" w:type="dxa"/>
              <w:left w:w="43" w:type="dxa"/>
              <w:bottom w:w="43" w:type="dxa"/>
              <w:right w:w="43" w:type="dxa"/>
            </w:tcMar>
          </w:tcPr>
          <w:p w14:paraId="3AFB3D06" w14:textId="77777777" w:rsidR="00FE02EF" w:rsidRPr="00CC19F7" w:rsidRDefault="00881E58" w:rsidP="00CC19F7">
            <w:r w:rsidRPr="00CC19F7">
              <w:t>2022–2023</w:t>
            </w:r>
          </w:p>
        </w:tc>
        <w:tc>
          <w:tcPr>
            <w:tcW w:w="1045" w:type="dxa"/>
            <w:tcBorders>
              <w:top w:val="nil"/>
              <w:left w:val="nil"/>
              <w:bottom w:val="nil"/>
              <w:right w:val="nil"/>
            </w:tcBorders>
            <w:tcMar>
              <w:top w:w="128" w:type="dxa"/>
              <w:left w:w="43" w:type="dxa"/>
              <w:bottom w:w="43" w:type="dxa"/>
              <w:right w:w="43" w:type="dxa"/>
            </w:tcMar>
          </w:tcPr>
          <w:p w14:paraId="5360E1D3" w14:textId="77777777" w:rsidR="00FE02EF" w:rsidRPr="00CC19F7" w:rsidRDefault="00881E58" w:rsidP="00CC19F7">
            <w:pPr>
              <w:ind w:right="284"/>
              <w:jc w:val="right"/>
            </w:pPr>
            <w:r w:rsidRPr="00CC19F7">
              <w:t>764</w:t>
            </w:r>
          </w:p>
        </w:tc>
        <w:tc>
          <w:tcPr>
            <w:tcW w:w="5670" w:type="dxa"/>
            <w:tcBorders>
              <w:top w:val="nil"/>
              <w:left w:val="nil"/>
              <w:bottom w:val="nil"/>
              <w:right w:val="nil"/>
            </w:tcBorders>
            <w:tcMar>
              <w:top w:w="128" w:type="dxa"/>
              <w:left w:w="43" w:type="dxa"/>
              <w:bottom w:w="43" w:type="dxa"/>
              <w:right w:w="43" w:type="dxa"/>
            </w:tcMar>
          </w:tcPr>
          <w:p w14:paraId="46C442E7" w14:textId="77777777" w:rsidR="00FE02EF" w:rsidRPr="00CC19F7" w:rsidRDefault="00881E58" w:rsidP="00CC19F7">
            <w:r w:rsidRPr="00CC19F7">
              <w:t xml:space="preserve">Framtidige </w:t>
            </w:r>
            <w:proofErr w:type="spellStart"/>
            <w:r w:rsidRPr="00CC19F7">
              <w:t>tildelingar</w:t>
            </w:r>
            <w:proofErr w:type="spellEnd"/>
            <w:r w:rsidRPr="00CC19F7">
              <w:t xml:space="preserve"> knytte til CO</w:t>
            </w:r>
            <w:r w:rsidRPr="00CC19F7">
              <w:rPr>
                <w:rStyle w:val="skrift-senket"/>
              </w:rPr>
              <w:t>2</w:t>
            </w:r>
            <w:r w:rsidRPr="00CC19F7">
              <w:t>-lagring</w:t>
            </w:r>
          </w:p>
        </w:tc>
        <w:tc>
          <w:tcPr>
            <w:tcW w:w="1645" w:type="dxa"/>
            <w:tcBorders>
              <w:top w:val="nil"/>
              <w:left w:val="nil"/>
              <w:bottom w:val="nil"/>
              <w:right w:val="nil"/>
            </w:tcBorders>
            <w:tcMar>
              <w:top w:w="128" w:type="dxa"/>
              <w:left w:w="43" w:type="dxa"/>
              <w:bottom w:w="43" w:type="dxa"/>
              <w:right w:w="43" w:type="dxa"/>
            </w:tcMar>
            <w:vAlign w:val="bottom"/>
          </w:tcPr>
          <w:p w14:paraId="72477D4B" w14:textId="77777777" w:rsidR="00FE02EF" w:rsidRPr="00CC19F7" w:rsidRDefault="00881E58" w:rsidP="00CC19F7">
            <w:pPr>
              <w:jc w:val="right"/>
            </w:pPr>
            <w:r w:rsidRPr="00CC19F7">
              <w:t>Ja</w:t>
            </w:r>
          </w:p>
        </w:tc>
      </w:tr>
      <w:tr w:rsidR="00FE02EF" w:rsidRPr="00CC19F7" w14:paraId="1D805BFB" w14:textId="77777777" w:rsidTr="005F29B2">
        <w:trPr>
          <w:trHeight w:val="880"/>
        </w:trPr>
        <w:tc>
          <w:tcPr>
            <w:tcW w:w="1180" w:type="dxa"/>
            <w:tcBorders>
              <w:top w:val="nil"/>
              <w:left w:val="nil"/>
              <w:bottom w:val="nil"/>
              <w:right w:val="nil"/>
            </w:tcBorders>
            <w:tcMar>
              <w:top w:w="128" w:type="dxa"/>
              <w:left w:w="43" w:type="dxa"/>
              <w:bottom w:w="43" w:type="dxa"/>
              <w:right w:w="43" w:type="dxa"/>
            </w:tcMar>
          </w:tcPr>
          <w:p w14:paraId="4F02CB5B" w14:textId="77777777" w:rsidR="00FE02EF" w:rsidRPr="00CC19F7" w:rsidRDefault="00881E58" w:rsidP="00CC19F7">
            <w:r w:rsidRPr="00CC19F7">
              <w:t>2022–2023</w:t>
            </w:r>
          </w:p>
        </w:tc>
        <w:tc>
          <w:tcPr>
            <w:tcW w:w="1045" w:type="dxa"/>
            <w:tcBorders>
              <w:top w:val="nil"/>
              <w:left w:val="nil"/>
              <w:bottom w:val="nil"/>
              <w:right w:val="nil"/>
            </w:tcBorders>
            <w:tcMar>
              <w:top w:w="128" w:type="dxa"/>
              <w:left w:w="43" w:type="dxa"/>
              <w:bottom w:w="43" w:type="dxa"/>
              <w:right w:w="43" w:type="dxa"/>
            </w:tcMar>
          </w:tcPr>
          <w:p w14:paraId="3940439E" w14:textId="77777777" w:rsidR="00FE02EF" w:rsidRPr="00CC19F7" w:rsidRDefault="00881E58" w:rsidP="00CC19F7">
            <w:pPr>
              <w:ind w:right="284"/>
              <w:jc w:val="right"/>
            </w:pPr>
            <w:r w:rsidRPr="00CC19F7">
              <w:t>765</w:t>
            </w:r>
          </w:p>
        </w:tc>
        <w:tc>
          <w:tcPr>
            <w:tcW w:w="5670" w:type="dxa"/>
            <w:tcBorders>
              <w:top w:val="nil"/>
              <w:left w:val="nil"/>
              <w:bottom w:val="nil"/>
              <w:right w:val="nil"/>
            </w:tcBorders>
            <w:tcMar>
              <w:top w:w="128" w:type="dxa"/>
              <w:left w:w="43" w:type="dxa"/>
              <w:bottom w:w="43" w:type="dxa"/>
              <w:right w:w="43" w:type="dxa"/>
            </w:tcMar>
          </w:tcPr>
          <w:p w14:paraId="716ECAE7" w14:textId="77777777" w:rsidR="00FE02EF" w:rsidRPr="00CC19F7" w:rsidRDefault="00881E58" w:rsidP="00CC19F7">
            <w:r w:rsidRPr="00CC19F7">
              <w:t xml:space="preserve">Forslag til </w:t>
            </w:r>
            <w:proofErr w:type="spellStart"/>
            <w:r w:rsidRPr="00CC19F7">
              <w:t>endringar</w:t>
            </w:r>
            <w:proofErr w:type="spellEnd"/>
            <w:r w:rsidRPr="00CC19F7">
              <w:t xml:space="preserve"> som </w:t>
            </w:r>
            <w:proofErr w:type="spellStart"/>
            <w:r w:rsidRPr="00CC19F7">
              <w:t>tillèt</w:t>
            </w:r>
            <w:proofErr w:type="spellEnd"/>
            <w:r w:rsidRPr="00CC19F7">
              <w:t xml:space="preserve"> </w:t>
            </w:r>
            <w:proofErr w:type="spellStart"/>
            <w:r w:rsidRPr="00CC19F7">
              <w:t>områdeløysingar</w:t>
            </w:r>
            <w:proofErr w:type="spellEnd"/>
            <w:r w:rsidRPr="00CC19F7">
              <w:t xml:space="preserve"> og deling av lokalprodusert </w:t>
            </w:r>
            <w:proofErr w:type="spellStart"/>
            <w:r w:rsidRPr="00CC19F7">
              <w:t>straum</w:t>
            </w:r>
            <w:proofErr w:type="spellEnd"/>
            <w:r w:rsidRPr="00CC19F7">
              <w:t xml:space="preserve"> og energilagring mellom bygg med ulike gards- og bruksnummer</w:t>
            </w:r>
          </w:p>
        </w:tc>
        <w:tc>
          <w:tcPr>
            <w:tcW w:w="1645" w:type="dxa"/>
            <w:tcBorders>
              <w:top w:val="nil"/>
              <w:left w:val="nil"/>
              <w:bottom w:val="nil"/>
              <w:right w:val="nil"/>
            </w:tcBorders>
            <w:tcMar>
              <w:top w:w="128" w:type="dxa"/>
              <w:left w:w="43" w:type="dxa"/>
              <w:bottom w:w="43" w:type="dxa"/>
              <w:right w:w="43" w:type="dxa"/>
            </w:tcMar>
            <w:vAlign w:val="bottom"/>
          </w:tcPr>
          <w:p w14:paraId="426AFD33" w14:textId="77777777" w:rsidR="00FE02EF" w:rsidRPr="00CC19F7" w:rsidRDefault="00881E58" w:rsidP="00CC19F7">
            <w:pPr>
              <w:jc w:val="right"/>
            </w:pPr>
            <w:r w:rsidRPr="00CC19F7">
              <w:t>Nei</w:t>
            </w:r>
          </w:p>
        </w:tc>
      </w:tr>
      <w:tr w:rsidR="00FE02EF" w:rsidRPr="00CC19F7" w14:paraId="1C50F540" w14:textId="77777777" w:rsidTr="005F29B2">
        <w:trPr>
          <w:trHeight w:val="880"/>
        </w:trPr>
        <w:tc>
          <w:tcPr>
            <w:tcW w:w="1180" w:type="dxa"/>
            <w:tcBorders>
              <w:top w:val="nil"/>
              <w:left w:val="nil"/>
              <w:bottom w:val="nil"/>
              <w:right w:val="nil"/>
            </w:tcBorders>
            <w:tcMar>
              <w:top w:w="128" w:type="dxa"/>
              <w:left w:w="43" w:type="dxa"/>
              <w:bottom w:w="43" w:type="dxa"/>
              <w:right w:w="43" w:type="dxa"/>
            </w:tcMar>
          </w:tcPr>
          <w:p w14:paraId="6055667A" w14:textId="77777777" w:rsidR="00FE02EF" w:rsidRPr="00CC19F7" w:rsidRDefault="00881E58" w:rsidP="00CC19F7">
            <w:r w:rsidRPr="00CC19F7">
              <w:t>2022–2023</w:t>
            </w:r>
          </w:p>
        </w:tc>
        <w:tc>
          <w:tcPr>
            <w:tcW w:w="1045" w:type="dxa"/>
            <w:tcBorders>
              <w:top w:val="nil"/>
              <w:left w:val="nil"/>
              <w:bottom w:val="nil"/>
              <w:right w:val="nil"/>
            </w:tcBorders>
            <w:tcMar>
              <w:top w:w="128" w:type="dxa"/>
              <w:left w:w="43" w:type="dxa"/>
              <w:bottom w:w="43" w:type="dxa"/>
              <w:right w:w="43" w:type="dxa"/>
            </w:tcMar>
          </w:tcPr>
          <w:p w14:paraId="47493C4C" w14:textId="77777777" w:rsidR="00FE02EF" w:rsidRPr="00CC19F7" w:rsidRDefault="00881E58" w:rsidP="00CC19F7">
            <w:pPr>
              <w:ind w:right="284"/>
              <w:jc w:val="right"/>
            </w:pPr>
            <w:r w:rsidRPr="00CC19F7">
              <w:t>766</w:t>
            </w:r>
          </w:p>
        </w:tc>
        <w:tc>
          <w:tcPr>
            <w:tcW w:w="5670" w:type="dxa"/>
            <w:tcBorders>
              <w:top w:val="nil"/>
              <w:left w:val="nil"/>
              <w:bottom w:val="nil"/>
              <w:right w:val="nil"/>
            </w:tcBorders>
            <w:tcMar>
              <w:top w:w="128" w:type="dxa"/>
              <w:left w:w="43" w:type="dxa"/>
              <w:bottom w:w="43" w:type="dxa"/>
              <w:right w:w="43" w:type="dxa"/>
            </w:tcMar>
          </w:tcPr>
          <w:p w14:paraId="5F9B119D" w14:textId="77777777" w:rsidR="00FE02EF" w:rsidRPr="00CC19F7" w:rsidRDefault="00881E58" w:rsidP="00CC19F7">
            <w:r w:rsidRPr="00CC19F7">
              <w:t xml:space="preserve">Plan med mål og </w:t>
            </w:r>
            <w:proofErr w:type="spellStart"/>
            <w:r w:rsidRPr="00CC19F7">
              <w:t>verkemiddel</w:t>
            </w:r>
            <w:proofErr w:type="spellEnd"/>
            <w:r w:rsidRPr="00CC19F7">
              <w:t xml:space="preserve"> for å fremme utbygging av </w:t>
            </w:r>
            <w:r w:rsidRPr="00CC19F7">
              <w:br/>
              <w:t xml:space="preserve">produksjon av fornybar kraft i næringsareal, langs </w:t>
            </w:r>
            <w:proofErr w:type="spellStart"/>
            <w:r w:rsidRPr="00CC19F7">
              <w:t>motorvegar</w:t>
            </w:r>
            <w:proofErr w:type="spellEnd"/>
            <w:r w:rsidRPr="00CC19F7">
              <w:t xml:space="preserve"> </w:t>
            </w:r>
            <w:r w:rsidRPr="00CC19F7">
              <w:br/>
              <w:t>og i andre nedbygde areal</w:t>
            </w:r>
          </w:p>
        </w:tc>
        <w:tc>
          <w:tcPr>
            <w:tcW w:w="1645" w:type="dxa"/>
            <w:tcBorders>
              <w:top w:val="nil"/>
              <w:left w:val="nil"/>
              <w:bottom w:val="nil"/>
              <w:right w:val="nil"/>
            </w:tcBorders>
            <w:tcMar>
              <w:top w:w="128" w:type="dxa"/>
              <w:left w:w="43" w:type="dxa"/>
              <w:bottom w:w="43" w:type="dxa"/>
              <w:right w:w="43" w:type="dxa"/>
            </w:tcMar>
            <w:vAlign w:val="bottom"/>
          </w:tcPr>
          <w:p w14:paraId="5AFFA45A" w14:textId="77777777" w:rsidR="00FE02EF" w:rsidRPr="00CC19F7" w:rsidRDefault="00881E58" w:rsidP="00CC19F7">
            <w:pPr>
              <w:jc w:val="right"/>
            </w:pPr>
            <w:r w:rsidRPr="00CC19F7">
              <w:t>Nei</w:t>
            </w:r>
          </w:p>
        </w:tc>
      </w:tr>
      <w:tr w:rsidR="00FE02EF" w:rsidRPr="00CC19F7" w14:paraId="23BF1176" w14:textId="77777777" w:rsidTr="005F29B2">
        <w:trPr>
          <w:trHeight w:val="640"/>
        </w:trPr>
        <w:tc>
          <w:tcPr>
            <w:tcW w:w="1180" w:type="dxa"/>
            <w:tcBorders>
              <w:top w:val="nil"/>
              <w:left w:val="nil"/>
              <w:bottom w:val="nil"/>
              <w:right w:val="nil"/>
            </w:tcBorders>
            <w:tcMar>
              <w:top w:w="128" w:type="dxa"/>
              <w:left w:w="43" w:type="dxa"/>
              <w:bottom w:w="43" w:type="dxa"/>
              <w:right w:w="43" w:type="dxa"/>
            </w:tcMar>
          </w:tcPr>
          <w:p w14:paraId="68DD68F2" w14:textId="77777777" w:rsidR="00FE02EF" w:rsidRPr="00CC19F7" w:rsidRDefault="00881E58" w:rsidP="00CC19F7">
            <w:r w:rsidRPr="00CC19F7">
              <w:t>2022–2023</w:t>
            </w:r>
          </w:p>
        </w:tc>
        <w:tc>
          <w:tcPr>
            <w:tcW w:w="1045" w:type="dxa"/>
            <w:tcBorders>
              <w:top w:val="nil"/>
              <w:left w:val="nil"/>
              <w:bottom w:val="nil"/>
              <w:right w:val="nil"/>
            </w:tcBorders>
            <w:tcMar>
              <w:top w:w="128" w:type="dxa"/>
              <w:left w:w="43" w:type="dxa"/>
              <w:bottom w:w="43" w:type="dxa"/>
              <w:right w:w="43" w:type="dxa"/>
            </w:tcMar>
          </w:tcPr>
          <w:p w14:paraId="110FFDCF" w14:textId="77777777" w:rsidR="00FE02EF" w:rsidRPr="00CC19F7" w:rsidRDefault="00881E58" w:rsidP="00CC19F7">
            <w:pPr>
              <w:ind w:right="284"/>
              <w:jc w:val="right"/>
            </w:pPr>
            <w:r w:rsidRPr="00CC19F7">
              <w:t>767</w:t>
            </w:r>
          </w:p>
        </w:tc>
        <w:tc>
          <w:tcPr>
            <w:tcW w:w="5670" w:type="dxa"/>
            <w:tcBorders>
              <w:top w:val="nil"/>
              <w:left w:val="nil"/>
              <w:bottom w:val="nil"/>
              <w:right w:val="nil"/>
            </w:tcBorders>
            <w:tcMar>
              <w:top w:w="128" w:type="dxa"/>
              <w:left w:w="43" w:type="dxa"/>
              <w:bottom w:w="43" w:type="dxa"/>
              <w:right w:w="43" w:type="dxa"/>
            </w:tcMar>
          </w:tcPr>
          <w:p w14:paraId="2D88A546" w14:textId="77777777" w:rsidR="00FE02EF" w:rsidRPr="00CC19F7" w:rsidRDefault="00881E58" w:rsidP="00CC19F7">
            <w:r w:rsidRPr="00CC19F7">
              <w:t>Fjerne regulatoriske hinder for energiproduksjon på næringsareal og andre nedbygde areal</w:t>
            </w:r>
          </w:p>
        </w:tc>
        <w:tc>
          <w:tcPr>
            <w:tcW w:w="1645" w:type="dxa"/>
            <w:tcBorders>
              <w:top w:val="nil"/>
              <w:left w:val="nil"/>
              <w:bottom w:val="nil"/>
              <w:right w:val="nil"/>
            </w:tcBorders>
            <w:tcMar>
              <w:top w:w="128" w:type="dxa"/>
              <w:left w:w="43" w:type="dxa"/>
              <w:bottom w:w="43" w:type="dxa"/>
              <w:right w:w="43" w:type="dxa"/>
            </w:tcMar>
            <w:vAlign w:val="bottom"/>
          </w:tcPr>
          <w:p w14:paraId="6E39354F" w14:textId="77777777" w:rsidR="00FE02EF" w:rsidRPr="00CC19F7" w:rsidRDefault="00881E58" w:rsidP="00CC19F7">
            <w:pPr>
              <w:jc w:val="right"/>
            </w:pPr>
            <w:r w:rsidRPr="00CC19F7">
              <w:t>Nei</w:t>
            </w:r>
          </w:p>
        </w:tc>
      </w:tr>
      <w:tr w:rsidR="00FE02EF" w:rsidRPr="00CC19F7" w14:paraId="651B1746" w14:textId="77777777" w:rsidTr="005F29B2">
        <w:trPr>
          <w:trHeight w:val="640"/>
        </w:trPr>
        <w:tc>
          <w:tcPr>
            <w:tcW w:w="1180" w:type="dxa"/>
            <w:tcBorders>
              <w:top w:val="nil"/>
              <w:left w:val="nil"/>
              <w:bottom w:val="nil"/>
              <w:right w:val="nil"/>
            </w:tcBorders>
            <w:tcMar>
              <w:top w:w="128" w:type="dxa"/>
              <w:left w:w="43" w:type="dxa"/>
              <w:bottom w:w="43" w:type="dxa"/>
              <w:right w:w="43" w:type="dxa"/>
            </w:tcMar>
          </w:tcPr>
          <w:p w14:paraId="740D95C9" w14:textId="77777777" w:rsidR="00FE02EF" w:rsidRPr="00CC19F7" w:rsidRDefault="00881E58" w:rsidP="00CC19F7">
            <w:r w:rsidRPr="00CC19F7">
              <w:t>2022–2023</w:t>
            </w:r>
          </w:p>
        </w:tc>
        <w:tc>
          <w:tcPr>
            <w:tcW w:w="1045" w:type="dxa"/>
            <w:tcBorders>
              <w:top w:val="nil"/>
              <w:left w:val="nil"/>
              <w:bottom w:val="nil"/>
              <w:right w:val="nil"/>
            </w:tcBorders>
            <w:tcMar>
              <w:top w:w="128" w:type="dxa"/>
              <w:left w:w="43" w:type="dxa"/>
              <w:bottom w:w="43" w:type="dxa"/>
              <w:right w:w="43" w:type="dxa"/>
            </w:tcMar>
          </w:tcPr>
          <w:p w14:paraId="48382985" w14:textId="77777777" w:rsidR="00FE02EF" w:rsidRPr="00CC19F7" w:rsidRDefault="00881E58" w:rsidP="00CC19F7">
            <w:pPr>
              <w:ind w:right="284"/>
              <w:jc w:val="right"/>
            </w:pPr>
            <w:r w:rsidRPr="00CC19F7">
              <w:t>768</w:t>
            </w:r>
          </w:p>
        </w:tc>
        <w:tc>
          <w:tcPr>
            <w:tcW w:w="5670" w:type="dxa"/>
            <w:tcBorders>
              <w:top w:val="nil"/>
              <w:left w:val="nil"/>
              <w:bottom w:val="nil"/>
              <w:right w:val="nil"/>
            </w:tcBorders>
            <w:tcMar>
              <w:top w:w="128" w:type="dxa"/>
              <w:left w:w="43" w:type="dxa"/>
              <w:bottom w:w="43" w:type="dxa"/>
              <w:right w:w="43" w:type="dxa"/>
            </w:tcMar>
          </w:tcPr>
          <w:p w14:paraId="2D9DA391" w14:textId="77777777" w:rsidR="00FE02EF" w:rsidRPr="00CC19F7" w:rsidRDefault="00881E58" w:rsidP="00CC19F7">
            <w:r w:rsidRPr="00CC19F7">
              <w:t xml:space="preserve">Heve grensa for kor </w:t>
            </w:r>
            <w:proofErr w:type="spellStart"/>
            <w:r w:rsidRPr="00CC19F7">
              <w:t>mykje</w:t>
            </w:r>
            <w:proofErr w:type="spellEnd"/>
            <w:r w:rsidRPr="00CC19F7">
              <w:t xml:space="preserve"> eigenprodusert, fornybar energi som kan </w:t>
            </w:r>
            <w:proofErr w:type="spellStart"/>
            <w:r w:rsidRPr="00CC19F7">
              <w:t>delast</w:t>
            </w:r>
            <w:proofErr w:type="spellEnd"/>
            <w:r w:rsidRPr="00CC19F7">
              <w:t xml:space="preserve"> </w:t>
            </w:r>
            <w:proofErr w:type="spellStart"/>
            <w:r w:rsidRPr="00CC19F7">
              <w:t>frå</w:t>
            </w:r>
            <w:proofErr w:type="spellEnd"/>
            <w:r w:rsidRPr="00CC19F7">
              <w:t xml:space="preserve"> næringsbygg</w:t>
            </w:r>
          </w:p>
        </w:tc>
        <w:tc>
          <w:tcPr>
            <w:tcW w:w="1645" w:type="dxa"/>
            <w:tcBorders>
              <w:top w:val="nil"/>
              <w:left w:val="nil"/>
              <w:bottom w:val="nil"/>
              <w:right w:val="nil"/>
            </w:tcBorders>
            <w:tcMar>
              <w:top w:w="128" w:type="dxa"/>
              <w:left w:w="43" w:type="dxa"/>
              <w:bottom w:w="43" w:type="dxa"/>
              <w:right w:w="43" w:type="dxa"/>
            </w:tcMar>
            <w:vAlign w:val="bottom"/>
          </w:tcPr>
          <w:p w14:paraId="1398B9C3" w14:textId="77777777" w:rsidR="00FE02EF" w:rsidRPr="00CC19F7" w:rsidRDefault="00881E58" w:rsidP="00CC19F7">
            <w:pPr>
              <w:jc w:val="right"/>
            </w:pPr>
            <w:r w:rsidRPr="00CC19F7">
              <w:t>Nei</w:t>
            </w:r>
          </w:p>
        </w:tc>
      </w:tr>
      <w:tr w:rsidR="00FE02EF" w:rsidRPr="00CC19F7" w14:paraId="347E0346" w14:textId="77777777" w:rsidTr="005F29B2">
        <w:trPr>
          <w:trHeight w:val="640"/>
        </w:trPr>
        <w:tc>
          <w:tcPr>
            <w:tcW w:w="1180" w:type="dxa"/>
            <w:tcBorders>
              <w:top w:val="nil"/>
              <w:left w:val="nil"/>
              <w:bottom w:val="nil"/>
              <w:right w:val="nil"/>
            </w:tcBorders>
            <w:tcMar>
              <w:top w:w="128" w:type="dxa"/>
              <w:left w:w="43" w:type="dxa"/>
              <w:bottom w:w="43" w:type="dxa"/>
              <w:right w:w="43" w:type="dxa"/>
            </w:tcMar>
          </w:tcPr>
          <w:p w14:paraId="5B58C36D" w14:textId="77777777" w:rsidR="00FE02EF" w:rsidRPr="00CC19F7" w:rsidRDefault="00881E58" w:rsidP="00CC19F7">
            <w:r w:rsidRPr="00CC19F7">
              <w:t>2022–2023</w:t>
            </w:r>
          </w:p>
        </w:tc>
        <w:tc>
          <w:tcPr>
            <w:tcW w:w="1045" w:type="dxa"/>
            <w:tcBorders>
              <w:top w:val="nil"/>
              <w:left w:val="nil"/>
              <w:bottom w:val="nil"/>
              <w:right w:val="nil"/>
            </w:tcBorders>
            <w:tcMar>
              <w:top w:w="128" w:type="dxa"/>
              <w:left w:w="43" w:type="dxa"/>
              <w:bottom w:w="43" w:type="dxa"/>
              <w:right w:w="43" w:type="dxa"/>
            </w:tcMar>
          </w:tcPr>
          <w:p w14:paraId="774E151F" w14:textId="77777777" w:rsidR="00FE02EF" w:rsidRPr="00CC19F7" w:rsidRDefault="00881E58" w:rsidP="00CC19F7">
            <w:pPr>
              <w:ind w:right="284"/>
              <w:jc w:val="right"/>
            </w:pPr>
            <w:r w:rsidRPr="00CC19F7">
              <w:t>812</w:t>
            </w:r>
          </w:p>
        </w:tc>
        <w:tc>
          <w:tcPr>
            <w:tcW w:w="5670" w:type="dxa"/>
            <w:tcBorders>
              <w:top w:val="nil"/>
              <w:left w:val="nil"/>
              <w:bottom w:val="nil"/>
              <w:right w:val="nil"/>
            </w:tcBorders>
            <w:tcMar>
              <w:top w:w="128" w:type="dxa"/>
              <w:left w:w="43" w:type="dxa"/>
              <w:bottom w:w="43" w:type="dxa"/>
              <w:right w:w="43" w:type="dxa"/>
            </w:tcMar>
          </w:tcPr>
          <w:p w14:paraId="098D2F04" w14:textId="77777777" w:rsidR="00FE02EF" w:rsidRPr="00CC19F7" w:rsidRDefault="00881E58" w:rsidP="00CC19F7">
            <w:r w:rsidRPr="00CC19F7">
              <w:t xml:space="preserve">Straumstønadsordninga – avgrensing for kjøp av </w:t>
            </w:r>
            <w:proofErr w:type="spellStart"/>
            <w:r w:rsidRPr="00CC19F7">
              <w:t>rimeleg</w:t>
            </w:r>
            <w:proofErr w:type="spellEnd"/>
            <w:r w:rsidRPr="00CC19F7">
              <w:t xml:space="preserve"> konsesjonskraft</w:t>
            </w:r>
          </w:p>
        </w:tc>
        <w:tc>
          <w:tcPr>
            <w:tcW w:w="1645" w:type="dxa"/>
            <w:tcBorders>
              <w:top w:val="nil"/>
              <w:left w:val="nil"/>
              <w:bottom w:val="nil"/>
              <w:right w:val="nil"/>
            </w:tcBorders>
            <w:tcMar>
              <w:top w:w="128" w:type="dxa"/>
              <w:left w:w="43" w:type="dxa"/>
              <w:bottom w:w="43" w:type="dxa"/>
              <w:right w:w="43" w:type="dxa"/>
            </w:tcMar>
            <w:vAlign w:val="bottom"/>
          </w:tcPr>
          <w:p w14:paraId="08515D89" w14:textId="77777777" w:rsidR="00FE02EF" w:rsidRPr="00CC19F7" w:rsidRDefault="00881E58" w:rsidP="00CC19F7">
            <w:pPr>
              <w:jc w:val="right"/>
            </w:pPr>
            <w:r w:rsidRPr="00CC19F7">
              <w:t>Nei</w:t>
            </w:r>
          </w:p>
        </w:tc>
      </w:tr>
      <w:tr w:rsidR="00FE02EF" w:rsidRPr="00CC19F7" w14:paraId="35C4C18C" w14:textId="77777777" w:rsidTr="005F29B2">
        <w:trPr>
          <w:trHeight w:val="640"/>
        </w:trPr>
        <w:tc>
          <w:tcPr>
            <w:tcW w:w="1180" w:type="dxa"/>
            <w:tcBorders>
              <w:top w:val="nil"/>
              <w:left w:val="nil"/>
              <w:bottom w:val="nil"/>
              <w:right w:val="nil"/>
            </w:tcBorders>
            <w:tcMar>
              <w:top w:w="128" w:type="dxa"/>
              <w:left w:w="43" w:type="dxa"/>
              <w:bottom w:w="43" w:type="dxa"/>
              <w:right w:w="43" w:type="dxa"/>
            </w:tcMar>
          </w:tcPr>
          <w:p w14:paraId="6150583D" w14:textId="77777777" w:rsidR="00FE02EF" w:rsidRPr="00CC19F7" w:rsidRDefault="00881E58" w:rsidP="00CC19F7">
            <w:r w:rsidRPr="00CC19F7">
              <w:t>2022–2023</w:t>
            </w:r>
          </w:p>
        </w:tc>
        <w:tc>
          <w:tcPr>
            <w:tcW w:w="1045" w:type="dxa"/>
            <w:tcBorders>
              <w:top w:val="nil"/>
              <w:left w:val="nil"/>
              <w:bottom w:val="nil"/>
              <w:right w:val="nil"/>
            </w:tcBorders>
            <w:tcMar>
              <w:top w:w="128" w:type="dxa"/>
              <w:left w:w="43" w:type="dxa"/>
              <w:bottom w:w="43" w:type="dxa"/>
              <w:right w:w="43" w:type="dxa"/>
            </w:tcMar>
          </w:tcPr>
          <w:p w14:paraId="625604C2" w14:textId="77777777" w:rsidR="00FE02EF" w:rsidRPr="00CC19F7" w:rsidRDefault="00881E58" w:rsidP="00CC19F7">
            <w:pPr>
              <w:ind w:right="284"/>
              <w:jc w:val="right"/>
            </w:pPr>
            <w:r w:rsidRPr="00CC19F7">
              <w:t>813</w:t>
            </w:r>
          </w:p>
        </w:tc>
        <w:tc>
          <w:tcPr>
            <w:tcW w:w="5670" w:type="dxa"/>
            <w:tcBorders>
              <w:top w:val="nil"/>
              <w:left w:val="nil"/>
              <w:bottom w:val="nil"/>
              <w:right w:val="nil"/>
            </w:tcBorders>
            <w:tcMar>
              <w:top w:w="128" w:type="dxa"/>
              <w:left w:w="43" w:type="dxa"/>
              <w:bottom w:w="43" w:type="dxa"/>
              <w:right w:w="43" w:type="dxa"/>
            </w:tcMar>
          </w:tcPr>
          <w:p w14:paraId="19017633" w14:textId="77777777" w:rsidR="00FE02EF" w:rsidRPr="00CC19F7" w:rsidRDefault="00881E58" w:rsidP="00CC19F7">
            <w:r w:rsidRPr="00CC19F7">
              <w:t>Inkludering av bakkemonterte solenergianlegg i plan- og bygningslova</w:t>
            </w:r>
          </w:p>
        </w:tc>
        <w:tc>
          <w:tcPr>
            <w:tcW w:w="1645" w:type="dxa"/>
            <w:tcBorders>
              <w:top w:val="nil"/>
              <w:left w:val="nil"/>
              <w:bottom w:val="nil"/>
              <w:right w:val="nil"/>
            </w:tcBorders>
            <w:tcMar>
              <w:top w:w="128" w:type="dxa"/>
              <w:left w:w="43" w:type="dxa"/>
              <w:bottom w:w="43" w:type="dxa"/>
              <w:right w:w="43" w:type="dxa"/>
            </w:tcMar>
            <w:vAlign w:val="bottom"/>
          </w:tcPr>
          <w:p w14:paraId="68202F55" w14:textId="77777777" w:rsidR="00FE02EF" w:rsidRPr="00CC19F7" w:rsidRDefault="00881E58" w:rsidP="00CC19F7">
            <w:pPr>
              <w:jc w:val="right"/>
            </w:pPr>
            <w:r w:rsidRPr="00CC19F7">
              <w:t>Nei</w:t>
            </w:r>
          </w:p>
        </w:tc>
      </w:tr>
      <w:tr w:rsidR="00FE02EF" w:rsidRPr="00CC19F7" w14:paraId="132D1057" w14:textId="77777777" w:rsidTr="005F29B2">
        <w:trPr>
          <w:trHeight w:val="380"/>
        </w:trPr>
        <w:tc>
          <w:tcPr>
            <w:tcW w:w="1180" w:type="dxa"/>
            <w:tcBorders>
              <w:top w:val="nil"/>
              <w:left w:val="nil"/>
              <w:bottom w:val="nil"/>
              <w:right w:val="nil"/>
            </w:tcBorders>
            <w:tcMar>
              <w:top w:w="128" w:type="dxa"/>
              <w:left w:w="43" w:type="dxa"/>
              <w:bottom w:w="43" w:type="dxa"/>
              <w:right w:w="43" w:type="dxa"/>
            </w:tcMar>
          </w:tcPr>
          <w:p w14:paraId="5841E064" w14:textId="77777777" w:rsidR="00FE02EF" w:rsidRPr="00CC19F7" w:rsidRDefault="00881E58" w:rsidP="00CC19F7">
            <w:r w:rsidRPr="00CC19F7">
              <w:t>2022–2023</w:t>
            </w:r>
          </w:p>
        </w:tc>
        <w:tc>
          <w:tcPr>
            <w:tcW w:w="1045" w:type="dxa"/>
            <w:tcBorders>
              <w:top w:val="nil"/>
              <w:left w:val="nil"/>
              <w:bottom w:val="nil"/>
              <w:right w:val="nil"/>
            </w:tcBorders>
            <w:tcMar>
              <w:top w:w="128" w:type="dxa"/>
              <w:left w:w="43" w:type="dxa"/>
              <w:bottom w:w="43" w:type="dxa"/>
              <w:right w:w="43" w:type="dxa"/>
            </w:tcMar>
          </w:tcPr>
          <w:p w14:paraId="724A2F92" w14:textId="77777777" w:rsidR="00FE02EF" w:rsidRPr="00CC19F7" w:rsidRDefault="00881E58" w:rsidP="00CC19F7">
            <w:pPr>
              <w:ind w:right="284"/>
              <w:jc w:val="right"/>
            </w:pPr>
            <w:r w:rsidRPr="00CC19F7">
              <w:t>836</w:t>
            </w:r>
          </w:p>
        </w:tc>
        <w:tc>
          <w:tcPr>
            <w:tcW w:w="5670" w:type="dxa"/>
            <w:tcBorders>
              <w:top w:val="nil"/>
              <w:left w:val="nil"/>
              <w:bottom w:val="nil"/>
              <w:right w:val="nil"/>
            </w:tcBorders>
            <w:tcMar>
              <w:top w:w="128" w:type="dxa"/>
              <w:left w:w="43" w:type="dxa"/>
              <w:bottom w:w="43" w:type="dxa"/>
              <w:right w:w="43" w:type="dxa"/>
            </w:tcMar>
          </w:tcPr>
          <w:p w14:paraId="230FECAD" w14:textId="77777777" w:rsidR="00FE02EF" w:rsidRPr="00CC19F7" w:rsidRDefault="00881E58" w:rsidP="00CC19F7">
            <w:r w:rsidRPr="00CC19F7">
              <w:t xml:space="preserve">Havvind – elektrifisering av </w:t>
            </w:r>
            <w:proofErr w:type="spellStart"/>
            <w:r w:rsidRPr="00CC19F7">
              <w:t>oljeinstallasjonar</w:t>
            </w:r>
            <w:proofErr w:type="spellEnd"/>
          </w:p>
        </w:tc>
        <w:tc>
          <w:tcPr>
            <w:tcW w:w="1645" w:type="dxa"/>
            <w:tcBorders>
              <w:top w:val="nil"/>
              <w:left w:val="nil"/>
              <w:bottom w:val="nil"/>
              <w:right w:val="nil"/>
            </w:tcBorders>
            <w:tcMar>
              <w:top w:w="128" w:type="dxa"/>
              <w:left w:w="43" w:type="dxa"/>
              <w:bottom w:w="43" w:type="dxa"/>
              <w:right w:w="43" w:type="dxa"/>
            </w:tcMar>
            <w:vAlign w:val="bottom"/>
          </w:tcPr>
          <w:p w14:paraId="34F76D68" w14:textId="77777777" w:rsidR="00FE02EF" w:rsidRPr="00CC19F7" w:rsidRDefault="00881E58" w:rsidP="00CC19F7">
            <w:pPr>
              <w:jc w:val="right"/>
            </w:pPr>
            <w:r w:rsidRPr="00CC19F7">
              <w:t>Nei</w:t>
            </w:r>
          </w:p>
        </w:tc>
      </w:tr>
      <w:tr w:rsidR="00FE02EF" w:rsidRPr="00CC19F7" w14:paraId="0C989F92" w14:textId="77777777" w:rsidTr="005F29B2">
        <w:trPr>
          <w:trHeight w:val="380"/>
        </w:trPr>
        <w:tc>
          <w:tcPr>
            <w:tcW w:w="1180" w:type="dxa"/>
            <w:tcBorders>
              <w:top w:val="nil"/>
              <w:left w:val="nil"/>
              <w:bottom w:val="nil"/>
              <w:right w:val="nil"/>
            </w:tcBorders>
            <w:tcMar>
              <w:top w:w="128" w:type="dxa"/>
              <w:left w:w="43" w:type="dxa"/>
              <w:bottom w:w="43" w:type="dxa"/>
              <w:right w:w="43" w:type="dxa"/>
            </w:tcMar>
          </w:tcPr>
          <w:p w14:paraId="42D8A01D" w14:textId="77777777" w:rsidR="00FE02EF" w:rsidRPr="00CC19F7" w:rsidRDefault="00881E58" w:rsidP="00CC19F7">
            <w:r w:rsidRPr="00CC19F7">
              <w:t>2022–2023</w:t>
            </w:r>
          </w:p>
        </w:tc>
        <w:tc>
          <w:tcPr>
            <w:tcW w:w="1045" w:type="dxa"/>
            <w:tcBorders>
              <w:top w:val="nil"/>
              <w:left w:val="nil"/>
              <w:bottom w:val="nil"/>
              <w:right w:val="nil"/>
            </w:tcBorders>
            <w:tcMar>
              <w:top w:w="128" w:type="dxa"/>
              <w:left w:w="43" w:type="dxa"/>
              <w:bottom w:w="43" w:type="dxa"/>
              <w:right w:w="43" w:type="dxa"/>
            </w:tcMar>
          </w:tcPr>
          <w:p w14:paraId="0B834F75" w14:textId="77777777" w:rsidR="00FE02EF" w:rsidRPr="00CC19F7" w:rsidRDefault="00881E58" w:rsidP="00CC19F7">
            <w:pPr>
              <w:ind w:right="284"/>
              <w:jc w:val="right"/>
            </w:pPr>
            <w:r w:rsidRPr="00CC19F7">
              <w:t>838</w:t>
            </w:r>
          </w:p>
        </w:tc>
        <w:tc>
          <w:tcPr>
            <w:tcW w:w="5670" w:type="dxa"/>
            <w:tcBorders>
              <w:top w:val="nil"/>
              <w:left w:val="nil"/>
              <w:bottom w:val="nil"/>
              <w:right w:val="nil"/>
            </w:tcBorders>
            <w:tcMar>
              <w:top w:w="128" w:type="dxa"/>
              <w:left w:w="43" w:type="dxa"/>
              <w:bottom w:w="43" w:type="dxa"/>
              <w:right w:w="43" w:type="dxa"/>
            </w:tcMar>
          </w:tcPr>
          <w:p w14:paraId="478BE397" w14:textId="77777777" w:rsidR="00FE02EF" w:rsidRPr="00CC19F7" w:rsidRDefault="00881E58" w:rsidP="00CC19F7">
            <w:r w:rsidRPr="00CC19F7">
              <w:t>Havvind – kartlegging av havmiljø og sjøfugl</w:t>
            </w:r>
          </w:p>
        </w:tc>
        <w:tc>
          <w:tcPr>
            <w:tcW w:w="1645" w:type="dxa"/>
            <w:tcBorders>
              <w:top w:val="nil"/>
              <w:left w:val="nil"/>
              <w:bottom w:val="nil"/>
              <w:right w:val="nil"/>
            </w:tcBorders>
            <w:tcMar>
              <w:top w:w="128" w:type="dxa"/>
              <w:left w:w="43" w:type="dxa"/>
              <w:bottom w:w="43" w:type="dxa"/>
              <w:right w:w="43" w:type="dxa"/>
            </w:tcMar>
            <w:vAlign w:val="bottom"/>
          </w:tcPr>
          <w:p w14:paraId="5CA6F883" w14:textId="77777777" w:rsidR="00FE02EF" w:rsidRPr="00CC19F7" w:rsidRDefault="00881E58" w:rsidP="00CC19F7">
            <w:pPr>
              <w:jc w:val="right"/>
            </w:pPr>
            <w:r w:rsidRPr="00CC19F7">
              <w:t>Ja</w:t>
            </w:r>
          </w:p>
        </w:tc>
      </w:tr>
      <w:tr w:rsidR="00FE02EF" w:rsidRPr="00CC19F7" w14:paraId="065B90B0" w14:textId="77777777" w:rsidTr="005F29B2">
        <w:trPr>
          <w:trHeight w:val="380"/>
        </w:trPr>
        <w:tc>
          <w:tcPr>
            <w:tcW w:w="1180" w:type="dxa"/>
            <w:tcBorders>
              <w:top w:val="nil"/>
              <w:left w:val="nil"/>
              <w:bottom w:val="nil"/>
              <w:right w:val="nil"/>
            </w:tcBorders>
            <w:tcMar>
              <w:top w:w="128" w:type="dxa"/>
              <w:left w:w="43" w:type="dxa"/>
              <w:bottom w:w="43" w:type="dxa"/>
              <w:right w:w="43" w:type="dxa"/>
            </w:tcMar>
          </w:tcPr>
          <w:p w14:paraId="562E5FAE" w14:textId="77777777" w:rsidR="00FE02EF" w:rsidRPr="00CC19F7" w:rsidRDefault="00881E58" w:rsidP="00CC19F7">
            <w:r w:rsidRPr="00CC19F7">
              <w:t>2022–2023</w:t>
            </w:r>
          </w:p>
        </w:tc>
        <w:tc>
          <w:tcPr>
            <w:tcW w:w="1045" w:type="dxa"/>
            <w:tcBorders>
              <w:top w:val="nil"/>
              <w:left w:val="nil"/>
              <w:bottom w:val="nil"/>
              <w:right w:val="nil"/>
            </w:tcBorders>
            <w:tcMar>
              <w:top w:w="128" w:type="dxa"/>
              <w:left w:w="43" w:type="dxa"/>
              <w:bottom w:w="43" w:type="dxa"/>
              <w:right w:w="43" w:type="dxa"/>
            </w:tcMar>
          </w:tcPr>
          <w:p w14:paraId="4C198687" w14:textId="77777777" w:rsidR="00FE02EF" w:rsidRPr="00CC19F7" w:rsidRDefault="00881E58" w:rsidP="00CC19F7">
            <w:pPr>
              <w:ind w:right="284"/>
              <w:jc w:val="right"/>
            </w:pPr>
            <w:r w:rsidRPr="00CC19F7">
              <w:t>839</w:t>
            </w:r>
          </w:p>
        </w:tc>
        <w:tc>
          <w:tcPr>
            <w:tcW w:w="5670" w:type="dxa"/>
            <w:tcBorders>
              <w:top w:val="nil"/>
              <w:left w:val="nil"/>
              <w:bottom w:val="nil"/>
              <w:right w:val="nil"/>
            </w:tcBorders>
            <w:tcMar>
              <w:top w:w="128" w:type="dxa"/>
              <w:left w:w="43" w:type="dxa"/>
              <w:bottom w:w="43" w:type="dxa"/>
              <w:right w:w="43" w:type="dxa"/>
            </w:tcMar>
          </w:tcPr>
          <w:p w14:paraId="0A4ACD9A" w14:textId="77777777" w:rsidR="00FE02EF" w:rsidRPr="00CC19F7" w:rsidRDefault="00881E58" w:rsidP="00CC19F7">
            <w:r w:rsidRPr="00CC19F7">
              <w:t xml:space="preserve">Havvind – </w:t>
            </w:r>
            <w:proofErr w:type="spellStart"/>
            <w:r w:rsidRPr="00CC19F7">
              <w:t>heilskapleg</w:t>
            </w:r>
            <w:proofErr w:type="spellEnd"/>
            <w:r w:rsidRPr="00CC19F7">
              <w:t xml:space="preserve"> plan for naturkartlegging</w:t>
            </w:r>
          </w:p>
        </w:tc>
        <w:tc>
          <w:tcPr>
            <w:tcW w:w="1645" w:type="dxa"/>
            <w:tcBorders>
              <w:top w:val="nil"/>
              <w:left w:val="nil"/>
              <w:bottom w:val="nil"/>
              <w:right w:val="nil"/>
            </w:tcBorders>
            <w:tcMar>
              <w:top w:w="128" w:type="dxa"/>
              <w:left w:w="43" w:type="dxa"/>
              <w:bottom w:w="43" w:type="dxa"/>
              <w:right w:w="43" w:type="dxa"/>
            </w:tcMar>
            <w:vAlign w:val="bottom"/>
          </w:tcPr>
          <w:p w14:paraId="72BE3747" w14:textId="77777777" w:rsidR="00FE02EF" w:rsidRPr="00CC19F7" w:rsidRDefault="00881E58" w:rsidP="00CC19F7">
            <w:pPr>
              <w:jc w:val="right"/>
            </w:pPr>
            <w:r w:rsidRPr="00CC19F7">
              <w:t>Ja</w:t>
            </w:r>
          </w:p>
        </w:tc>
      </w:tr>
      <w:tr w:rsidR="00FE02EF" w:rsidRPr="00CC19F7" w14:paraId="5869F83F" w14:textId="77777777" w:rsidTr="005F29B2">
        <w:trPr>
          <w:trHeight w:val="380"/>
        </w:trPr>
        <w:tc>
          <w:tcPr>
            <w:tcW w:w="1180" w:type="dxa"/>
            <w:tcBorders>
              <w:top w:val="nil"/>
              <w:left w:val="nil"/>
              <w:bottom w:val="nil"/>
              <w:right w:val="nil"/>
            </w:tcBorders>
            <w:tcMar>
              <w:top w:w="128" w:type="dxa"/>
              <w:left w:w="43" w:type="dxa"/>
              <w:bottom w:w="43" w:type="dxa"/>
              <w:right w:w="43" w:type="dxa"/>
            </w:tcMar>
          </w:tcPr>
          <w:p w14:paraId="01CA6704" w14:textId="77777777" w:rsidR="00FE02EF" w:rsidRPr="00CC19F7" w:rsidRDefault="00881E58" w:rsidP="00CC19F7">
            <w:r w:rsidRPr="00CC19F7">
              <w:t>2022–2023</w:t>
            </w:r>
          </w:p>
        </w:tc>
        <w:tc>
          <w:tcPr>
            <w:tcW w:w="1045" w:type="dxa"/>
            <w:tcBorders>
              <w:top w:val="nil"/>
              <w:left w:val="nil"/>
              <w:bottom w:val="nil"/>
              <w:right w:val="nil"/>
            </w:tcBorders>
            <w:tcMar>
              <w:top w:w="128" w:type="dxa"/>
              <w:left w:w="43" w:type="dxa"/>
              <w:bottom w:w="43" w:type="dxa"/>
              <w:right w:w="43" w:type="dxa"/>
            </w:tcMar>
          </w:tcPr>
          <w:p w14:paraId="4CDEA4F9" w14:textId="77777777" w:rsidR="00FE02EF" w:rsidRPr="00CC19F7" w:rsidRDefault="00881E58" w:rsidP="00CC19F7">
            <w:pPr>
              <w:ind w:right="284"/>
              <w:jc w:val="right"/>
            </w:pPr>
            <w:r w:rsidRPr="00CC19F7">
              <w:t>840</w:t>
            </w:r>
          </w:p>
        </w:tc>
        <w:tc>
          <w:tcPr>
            <w:tcW w:w="5670" w:type="dxa"/>
            <w:tcBorders>
              <w:top w:val="nil"/>
              <w:left w:val="nil"/>
              <w:bottom w:val="nil"/>
              <w:right w:val="nil"/>
            </w:tcBorders>
            <w:tcMar>
              <w:top w:w="128" w:type="dxa"/>
              <w:left w:w="43" w:type="dxa"/>
              <w:bottom w:w="43" w:type="dxa"/>
              <w:right w:w="43" w:type="dxa"/>
            </w:tcMar>
          </w:tcPr>
          <w:p w14:paraId="146BB7DC" w14:textId="77777777" w:rsidR="00FE02EF" w:rsidRPr="00CC19F7" w:rsidRDefault="00881E58" w:rsidP="00CC19F7">
            <w:r w:rsidRPr="00CC19F7">
              <w:t xml:space="preserve">Havvind – følgeforsking i </w:t>
            </w:r>
            <w:proofErr w:type="spellStart"/>
            <w:r w:rsidRPr="00CC19F7">
              <w:t>Sørlege</w:t>
            </w:r>
            <w:proofErr w:type="spellEnd"/>
            <w:r w:rsidRPr="00CC19F7">
              <w:t xml:space="preserve"> </w:t>
            </w:r>
            <w:proofErr w:type="spellStart"/>
            <w:r w:rsidRPr="00CC19F7">
              <w:t>Nordsjø</w:t>
            </w:r>
            <w:proofErr w:type="spellEnd"/>
            <w:r w:rsidRPr="00CC19F7">
              <w:t xml:space="preserve"> II</w:t>
            </w:r>
          </w:p>
        </w:tc>
        <w:tc>
          <w:tcPr>
            <w:tcW w:w="1645" w:type="dxa"/>
            <w:tcBorders>
              <w:top w:val="nil"/>
              <w:left w:val="nil"/>
              <w:bottom w:val="nil"/>
              <w:right w:val="nil"/>
            </w:tcBorders>
            <w:tcMar>
              <w:top w:w="128" w:type="dxa"/>
              <w:left w:w="43" w:type="dxa"/>
              <w:bottom w:w="43" w:type="dxa"/>
              <w:right w:w="43" w:type="dxa"/>
            </w:tcMar>
            <w:vAlign w:val="bottom"/>
          </w:tcPr>
          <w:p w14:paraId="03791D69" w14:textId="77777777" w:rsidR="00FE02EF" w:rsidRPr="00CC19F7" w:rsidRDefault="00881E58" w:rsidP="00CC19F7">
            <w:pPr>
              <w:jc w:val="right"/>
            </w:pPr>
            <w:r w:rsidRPr="00CC19F7">
              <w:t>Ja</w:t>
            </w:r>
          </w:p>
        </w:tc>
      </w:tr>
      <w:tr w:rsidR="00FE02EF" w:rsidRPr="00CC19F7" w14:paraId="7B21758A" w14:textId="77777777" w:rsidTr="005F29B2">
        <w:trPr>
          <w:trHeight w:val="640"/>
        </w:trPr>
        <w:tc>
          <w:tcPr>
            <w:tcW w:w="1180" w:type="dxa"/>
            <w:tcBorders>
              <w:top w:val="nil"/>
              <w:left w:val="nil"/>
              <w:bottom w:val="nil"/>
              <w:right w:val="nil"/>
            </w:tcBorders>
            <w:tcMar>
              <w:top w:w="128" w:type="dxa"/>
              <w:left w:w="43" w:type="dxa"/>
              <w:bottom w:w="43" w:type="dxa"/>
              <w:right w:w="43" w:type="dxa"/>
            </w:tcMar>
          </w:tcPr>
          <w:p w14:paraId="74655E14" w14:textId="77777777" w:rsidR="00FE02EF" w:rsidRPr="00CC19F7" w:rsidRDefault="00881E58" w:rsidP="00CC19F7">
            <w:r w:rsidRPr="00CC19F7">
              <w:t>2022–2023</w:t>
            </w:r>
          </w:p>
        </w:tc>
        <w:tc>
          <w:tcPr>
            <w:tcW w:w="1045" w:type="dxa"/>
            <w:tcBorders>
              <w:top w:val="nil"/>
              <w:left w:val="nil"/>
              <w:bottom w:val="nil"/>
              <w:right w:val="nil"/>
            </w:tcBorders>
            <w:tcMar>
              <w:top w:w="128" w:type="dxa"/>
              <w:left w:w="43" w:type="dxa"/>
              <w:bottom w:w="43" w:type="dxa"/>
              <w:right w:w="43" w:type="dxa"/>
            </w:tcMar>
          </w:tcPr>
          <w:p w14:paraId="6FD71342" w14:textId="77777777" w:rsidR="00FE02EF" w:rsidRPr="00CC19F7" w:rsidRDefault="00881E58" w:rsidP="00CC19F7">
            <w:pPr>
              <w:ind w:right="284"/>
              <w:jc w:val="right"/>
            </w:pPr>
            <w:r w:rsidRPr="00CC19F7">
              <w:t>841</w:t>
            </w:r>
          </w:p>
        </w:tc>
        <w:tc>
          <w:tcPr>
            <w:tcW w:w="5670" w:type="dxa"/>
            <w:tcBorders>
              <w:top w:val="nil"/>
              <w:left w:val="nil"/>
              <w:bottom w:val="nil"/>
              <w:right w:val="nil"/>
            </w:tcBorders>
            <w:tcMar>
              <w:top w:w="128" w:type="dxa"/>
              <w:left w:w="43" w:type="dxa"/>
              <w:bottom w:w="43" w:type="dxa"/>
              <w:right w:w="43" w:type="dxa"/>
            </w:tcMar>
          </w:tcPr>
          <w:p w14:paraId="290ABDB2" w14:textId="77777777" w:rsidR="00FE02EF" w:rsidRPr="00CC19F7" w:rsidRDefault="00881E58" w:rsidP="00CC19F7">
            <w:r w:rsidRPr="00CC19F7">
              <w:t xml:space="preserve">Havvind – </w:t>
            </w:r>
            <w:proofErr w:type="spellStart"/>
            <w:r w:rsidRPr="00CC19F7">
              <w:t>auka</w:t>
            </w:r>
            <w:proofErr w:type="spellEnd"/>
            <w:r w:rsidRPr="00CC19F7">
              <w:t xml:space="preserve"> vekting av </w:t>
            </w:r>
            <w:proofErr w:type="spellStart"/>
            <w:r w:rsidRPr="00CC19F7">
              <w:t>berekraftskriteria</w:t>
            </w:r>
            <w:proofErr w:type="spellEnd"/>
            <w:r w:rsidRPr="00CC19F7">
              <w:t xml:space="preserve"> og positive lokale ringverknader</w:t>
            </w:r>
          </w:p>
        </w:tc>
        <w:tc>
          <w:tcPr>
            <w:tcW w:w="1645" w:type="dxa"/>
            <w:tcBorders>
              <w:top w:val="nil"/>
              <w:left w:val="nil"/>
              <w:bottom w:val="nil"/>
              <w:right w:val="nil"/>
            </w:tcBorders>
            <w:tcMar>
              <w:top w:w="128" w:type="dxa"/>
              <w:left w:w="43" w:type="dxa"/>
              <w:bottom w:w="43" w:type="dxa"/>
              <w:right w:w="43" w:type="dxa"/>
            </w:tcMar>
            <w:vAlign w:val="bottom"/>
          </w:tcPr>
          <w:p w14:paraId="1C1C0CBD" w14:textId="77777777" w:rsidR="00FE02EF" w:rsidRPr="00CC19F7" w:rsidRDefault="00881E58" w:rsidP="00CC19F7">
            <w:pPr>
              <w:jc w:val="right"/>
            </w:pPr>
            <w:r w:rsidRPr="00CC19F7">
              <w:t>Nei</w:t>
            </w:r>
          </w:p>
        </w:tc>
      </w:tr>
      <w:tr w:rsidR="00FE02EF" w:rsidRPr="00CC19F7" w14:paraId="38E18461" w14:textId="77777777" w:rsidTr="005F29B2">
        <w:trPr>
          <w:trHeight w:val="640"/>
        </w:trPr>
        <w:tc>
          <w:tcPr>
            <w:tcW w:w="1180" w:type="dxa"/>
            <w:tcBorders>
              <w:top w:val="nil"/>
              <w:left w:val="nil"/>
              <w:bottom w:val="nil"/>
              <w:right w:val="nil"/>
            </w:tcBorders>
            <w:tcMar>
              <w:top w:w="128" w:type="dxa"/>
              <w:left w:w="43" w:type="dxa"/>
              <w:bottom w:w="43" w:type="dxa"/>
              <w:right w:w="43" w:type="dxa"/>
            </w:tcMar>
          </w:tcPr>
          <w:p w14:paraId="4DA728E4" w14:textId="77777777" w:rsidR="00FE02EF" w:rsidRPr="00CC19F7" w:rsidRDefault="00881E58" w:rsidP="00CC19F7">
            <w:r w:rsidRPr="00CC19F7">
              <w:t>2022–2023</w:t>
            </w:r>
          </w:p>
        </w:tc>
        <w:tc>
          <w:tcPr>
            <w:tcW w:w="1045" w:type="dxa"/>
            <w:tcBorders>
              <w:top w:val="nil"/>
              <w:left w:val="nil"/>
              <w:bottom w:val="nil"/>
              <w:right w:val="nil"/>
            </w:tcBorders>
            <w:tcMar>
              <w:top w:w="128" w:type="dxa"/>
              <w:left w:w="43" w:type="dxa"/>
              <w:bottom w:w="43" w:type="dxa"/>
              <w:right w:w="43" w:type="dxa"/>
            </w:tcMar>
          </w:tcPr>
          <w:p w14:paraId="20D8931D" w14:textId="77777777" w:rsidR="00FE02EF" w:rsidRPr="00CC19F7" w:rsidRDefault="00881E58" w:rsidP="00CC19F7">
            <w:pPr>
              <w:ind w:right="284"/>
              <w:jc w:val="right"/>
            </w:pPr>
            <w:r w:rsidRPr="00CC19F7">
              <w:t>842</w:t>
            </w:r>
          </w:p>
        </w:tc>
        <w:tc>
          <w:tcPr>
            <w:tcW w:w="5670" w:type="dxa"/>
            <w:tcBorders>
              <w:top w:val="nil"/>
              <w:left w:val="nil"/>
              <w:bottom w:val="nil"/>
              <w:right w:val="nil"/>
            </w:tcBorders>
            <w:tcMar>
              <w:top w:w="128" w:type="dxa"/>
              <w:left w:w="43" w:type="dxa"/>
              <w:bottom w:w="43" w:type="dxa"/>
              <w:right w:w="43" w:type="dxa"/>
            </w:tcMar>
          </w:tcPr>
          <w:p w14:paraId="2F9082AC" w14:textId="77777777" w:rsidR="00FE02EF" w:rsidRPr="00CC19F7" w:rsidRDefault="00881E58" w:rsidP="00CC19F7">
            <w:r w:rsidRPr="00CC19F7">
              <w:t xml:space="preserve">Havvind – vurdere andre og </w:t>
            </w:r>
            <w:proofErr w:type="spellStart"/>
            <w:r w:rsidRPr="00CC19F7">
              <w:t>meir</w:t>
            </w:r>
            <w:proofErr w:type="spellEnd"/>
            <w:r w:rsidRPr="00CC19F7">
              <w:t xml:space="preserve"> </w:t>
            </w:r>
            <w:proofErr w:type="spellStart"/>
            <w:r w:rsidRPr="00CC19F7">
              <w:t>formålstenlege</w:t>
            </w:r>
            <w:proofErr w:type="spellEnd"/>
            <w:r w:rsidRPr="00CC19F7">
              <w:t xml:space="preserve"> </w:t>
            </w:r>
            <w:proofErr w:type="spellStart"/>
            <w:r w:rsidRPr="00CC19F7">
              <w:t>løyvingsløysingar</w:t>
            </w:r>
            <w:proofErr w:type="spellEnd"/>
            <w:r w:rsidRPr="00CC19F7">
              <w:t xml:space="preserve"> for </w:t>
            </w:r>
            <w:proofErr w:type="spellStart"/>
            <w:r w:rsidRPr="00CC19F7">
              <w:t>differansekontraktar</w:t>
            </w:r>
            <w:proofErr w:type="spellEnd"/>
            <w:r w:rsidRPr="00CC19F7">
              <w:t xml:space="preserve"> enn OPS-rammeverket</w:t>
            </w:r>
          </w:p>
        </w:tc>
        <w:tc>
          <w:tcPr>
            <w:tcW w:w="1645" w:type="dxa"/>
            <w:tcBorders>
              <w:top w:val="nil"/>
              <w:left w:val="nil"/>
              <w:bottom w:val="nil"/>
              <w:right w:val="nil"/>
            </w:tcBorders>
            <w:tcMar>
              <w:top w:w="128" w:type="dxa"/>
              <w:left w:w="43" w:type="dxa"/>
              <w:bottom w:w="43" w:type="dxa"/>
              <w:right w:w="43" w:type="dxa"/>
            </w:tcMar>
            <w:vAlign w:val="bottom"/>
          </w:tcPr>
          <w:p w14:paraId="55F1D0BB" w14:textId="77777777" w:rsidR="00FE02EF" w:rsidRPr="00CC19F7" w:rsidRDefault="00881E58" w:rsidP="00CC19F7">
            <w:pPr>
              <w:jc w:val="right"/>
            </w:pPr>
            <w:r w:rsidRPr="00CC19F7">
              <w:t>Nei</w:t>
            </w:r>
          </w:p>
        </w:tc>
      </w:tr>
      <w:tr w:rsidR="00FE02EF" w:rsidRPr="00CC19F7" w14:paraId="1893B695" w14:textId="77777777" w:rsidTr="005F29B2">
        <w:trPr>
          <w:trHeight w:val="380"/>
        </w:trPr>
        <w:tc>
          <w:tcPr>
            <w:tcW w:w="1180" w:type="dxa"/>
            <w:tcBorders>
              <w:top w:val="nil"/>
              <w:left w:val="nil"/>
              <w:bottom w:val="nil"/>
              <w:right w:val="nil"/>
            </w:tcBorders>
            <w:tcMar>
              <w:top w:w="128" w:type="dxa"/>
              <w:left w:w="43" w:type="dxa"/>
              <w:bottom w:w="43" w:type="dxa"/>
              <w:right w:w="43" w:type="dxa"/>
            </w:tcMar>
          </w:tcPr>
          <w:p w14:paraId="3EA04D0A" w14:textId="77777777" w:rsidR="00FE02EF" w:rsidRPr="00CC19F7" w:rsidRDefault="00881E58" w:rsidP="00CC19F7">
            <w:r w:rsidRPr="00CC19F7">
              <w:t>2022–2023</w:t>
            </w:r>
          </w:p>
        </w:tc>
        <w:tc>
          <w:tcPr>
            <w:tcW w:w="1045" w:type="dxa"/>
            <w:tcBorders>
              <w:top w:val="nil"/>
              <w:left w:val="nil"/>
              <w:bottom w:val="nil"/>
              <w:right w:val="nil"/>
            </w:tcBorders>
            <w:tcMar>
              <w:top w:w="128" w:type="dxa"/>
              <w:left w:w="43" w:type="dxa"/>
              <w:bottom w:w="43" w:type="dxa"/>
              <w:right w:w="43" w:type="dxa"/>
            </w:tcMar>
          </w:tcPr>
          <w:p w14:paraId="26B83D45" w14:textId="77777777" w:rsidR="00FE02EF" w:rsidRPr="00CC19F7" w:rsidRDefault="00881E58" w:rsidP="00CC19F7">
            <w:pPr>
              <w:ind w:right="284"/>
              <w:jc w:val="right"/>
            </w:pPr>
            <w:r w:rsidRPr="00CC19F7">
              <w:t>914</w:t>
            </w:r>
          </w:p>
        </w:tc>
        <w:tc>
          <w:tcPr>
            <w:tcW w:w="5670" w:type="dxa"/>
            <w:tcBorders>
              <w:top w:val="nil"/>
              <w:left w:val="nil"/>
              <w:bottom w:val="nil"/>
              <w:right w:val="nil"/>
            </w:tcBorders>
            <w:tcMar>
              <w:top w:w="128" w:type="dxa"/>
              <w:left w:w="43" w:type="dxa"/>
              <w:bottom w:w="43" w:type="dxa"/>
              <w:right w:w="43" w:type="dxa"/>
            </w:tcMar>
          </w:tcPr>
          <w:p w14:paraId="0513423B" w14:textId="77777777" w:rsidR="00FE02EF" w:rsidRPr="00CC19F7" w:rsidRDefault="00881E58" w:rsidP="00CC19F7">
            <w:r w:rsidRPr="00CC19F7">
              <w:t xml:space="preserve">Havvind – elektrifisering av </w:t>
            </w:r>
            <w:proofErr w:type="spellStart"/>
            <w:r w:rsidRPr="00CC19F7">
              <w:t>offshoreinstallasjonar</w:t>
            </w:r>
            <w:proofErr w:type="spellEnd"/>
          </w:p>
        </w:tc>
        <w:tc>
          <w:tcPr>
            <w:tcW w:w="1645" w:type="dxa"/>
            <w:tcBorders>
              <w:top w:val="nil"/>
              <w:left w:val="nil"/>
              <w:bottom w:val="nil"/>
              <w:right w:val="nil"/>
            </w:tcBorders>
            <w:tcMar>
              <w:top w:w="128" w:type="dxa"/>
              <w:left w:w="43" w:type="dxa"/>
              <w:bottom w:w="43" w:type="dxa"/>
              <w:right w:w="43" w:type="dxa"/>
            </w:tcMar>
            <w:vAlign w:val="bottom"/>
          </w:tcPr>
          <w:p w14:paraId="4EE093D2" w14:textId="77777777" w:rsidR="00FE02EF" w:rsidRPr="00CC19F7" w:rsidRDefault="00881E58" w:rsidP="00CC19F7">
            <w:pPr>
              <w:jc w:val="right"/>
            </w:pPr>
            <w:r w:rsidRPr="00CC19F7">
              <w:t>Nei</w:t>
            </w:r>
          </w:p>
        </w:tc>
      </w:tr>
      <w:tr w:rsidR="00FE02EF" w:rsidRPr="00CC19F7" w14:paraId="20321BC7" w14:textId="77777777" w:rsidTr="005F29B2">
        <w:trPr>
          <w:trHeight w:val="380"/>
        </w:trPr>
        <w:tc>
          <w:tcPr>
            <w:tcW w:w="1180" w:type="dxa"/>
            <w:tcBorders>
              <w:top w:val="nil"/>
              <w:left w:val="nil"/>
              <w:bottom w:val="nil"/>
              <w:right w:val="nil"/>
            </w:tcBorders>
            <w:tcMar>
              <w:top w:w="128" w:type="dxa"/>
              <w:left w:w="43" w:type="dxa"/>
              <w:bottom w:w="43" w:type="dxa"/>
              <w:right w:w="43" w:type="dxa"/>
            </w:tcMar>
          </w:tcPr>
          <w:p w14:paraId="75D03D0E" w14:textId="77777777" w:rsidR="00FE02EF" w:rsidRPr="00CC19F7" w:rsidRDefault="00881E58" w:rsidP="00CC19F7">
            <w:r w:rsidRPr="00CC19F7">
              <w:t>2022–2023</w:t>
            </w:r>
          </w:p>
        </w:tc>
        <w:tc>
          <w:tcPr>
            <w:tcW w:w="1045" w:type="dxa"/>
            <w:tcBorders>
              <w:top w:val="nil"/>
              <w:left w:val="nil"/>
              <w:bottom w:val="nil"/>
              <w:right w:val="nil"/>
            </w:tcBorders>
            <w:tcMar>
              <w:top w:w="128" w:type="dxa"/>
              <w:left w:w="43" w:type="dxa"/>
              <w:bottom w:w="43" w:type="dxa"/>
              <w:right w:w="43" w:type="dxa"/>
            </w:tcMar>
          </w:tcPr>
          <w:p w14:paraId="50C33480" w14:textId="77777777" w:rsidR="00FE02EF" w:rsidRPr="00CC19F7" w:rsidRDefault="00881E58" w:rsidP="00CC19F7">
            <w:pPr>
              <w:ind w:right="284"/>
              <w:jc w:val="right"/>
            </w:pPr>
            <w:r w:rsidRPr="00CC19F7">
              <w:t>923</w:t>
            </w:r>
          </w:p>
        </w:tc>
        <w:tc>
          <w:tcPr>
            <w:tcW w:w="5670" w:type="dxa"/>
            <w:tcBorders>
              <w:top w:val="nil"/>
              <w:left w:val="nil"/>
              <w:bottom w:val="nil"/>
              <w:right w:val="nil"/>
            </w:tcBorders>
            <w:tcMar>
              <w:top w:w="128" w:type="dxa"/>
              <w:left w:w="43" w:type="dxa"/>
              <w:bottom w:w="43" w:type="dxa"/>
              <w:right w:w="43" w:type="dxa"/>
            </w:tcMar>
          </w:tcPr>
          <w:p w14:paraId="6BC1FA6C" w14:textId="77777777" w:rsidR="00FE02EF" w:rsidRPr="00CC19F7" w:rsidRDefault="00881E58" w:rsidP="00CC19F7">
            <w:r w:rsidRPr="00CC19F7">
              <w:t xml:space="preserve">Solenergi – mål om 8 </w:t>
            </w:r>
            <w:proofErr w:type="spellStart"/>
            <w:r w:rsidRPr="00CC19F7">
              <w:t>TWh</w:t>
            </w:r>
            <w:proofErr w:type="spellEnd"/>
            <w:r w:rsidRPr="00CC19F7">
              <w:t xml:space="preserve"> </w:t>
            </w:r>
            <w:proofErr w:type="spellStart"/>
            <w:r w:rsidRPr="00CC19F7">
              <w:t>innan</w:t>
            </w:r>
            <w:proofErr w:type="spellEnd"/>
            <w:r w:rsidRPr="00CC19F7">
              <w:t xml:space="preserve"> 2030</w:t>
            </w:r>
          </w:p>
        </w:tc>
        <w:tc>
          <w:tcPr>
            <w:tcW w:w="1645" w:type="dxa"/>
            <w:tcBorders>
              <w:top w:val="nil"/>
              <w:left w:val="nil"/>
              <w:bottom w:val="nil"/>
              <w:right w:val="nil"/>
            </w:tcBorders>
            <w:tcMar>
              <w:top w:w="128" w:type="dxa"/>
              <w:left w:w="43" w:type="dxa"/>
              <w:bottom w:w="43" w:type="dxa"/>
              <w:right w:w="43" w:type="dxa"/>
            </w:tcMar>
            <w:vAlign w:val="bottom"/>
          </w:tcPr>
          <w:p w14:paraId="0BB0FEF8" w14:textId="77777777" w:rsidR="00FE02EF" w:rsidRPr="00CC19F7" w:rsidRDefault="00881E58" w:rsidP="00CC19F7">
            <w:pPr>
              <w:jc w:val="right"/>
            </w:pPr>
            <w:r w:rsidRPr="00CC19F7">
              <w:t>Nei</w:t>
            </w:r>
          </w:p>
        </w:tc>
      </w:tr>
      <w:tr w:rsidR="00FE02EF" w:rsidRPr="00CC19F7" w14:paraId="5396ECF9" w14:textId="77777777" w:rsidTr="005F29B2">
        <w:trPr>
          <w:trHeight w:val="380"/>
        </w:trPr>
        <w:tc>
          <w:tcPr>
            <w:tcW w:w="1180" w:type="dxa"/>
            <w:tcBorders>
              <w:top w:val="nil"/>
              <w:left w:val="nil"/>
              <w:bottom w:val="nil"/>
              <w:right w:val="nil"/>
            </w:tcBorders>
            <w:tcMar>
              <w:top w:w="128" w:type="dxa"/>
              <w:left w:w="43" w:type="dxa"/>
              <w:bottom w:w="43" w:type="dxa"/>
              <w:right w:w="43" w:type="dxa"/>
            </w:tcMar>
          </w:tcPr>
          <w:p w14:paraId="3D607729" w14:textId="77777777" w:rsidR="00FE02EF" w:rsidRPr="00CC19F7" w:rsidRDefault="00881E58" w:rsidP="00CC19F7">
            <w:r w:rsidRPr="00CC19F7">
              <w:t>2022–2023</w:t>
            </w:r>
          </w:p>
        </w:tc>
        <w:tc>
          <w:tcPr>
            <w:tcW w:w="1045" w:type="dxa"/>
            <w:tcBorders>
              <w:top w:val="nil"/>
              <w:left w:val="nil"/>
              <w:bottom w:val="nil"/>
              <w:right w:val="nil"/>
            </w:tcBorders>
            <w:tcMar>
              <w:top w:w="128" w:type="dxa"/>
              <w:left w:w="43" w:type="dxa"/>
              <w:bottom w:w="43" w:type="dxa"/>
              <w:right w:w="43" w:type="dxa"/>
            </w:tcMar>
          </w:tcPr>
          <w:p w14:paraId="38C83FE1" w14:textId="77777777" w:rsidR="00FE02EF" w:rsidRPr="00CC19F7" w:rsidRDefault="00881E58" w:rsidP="00CC19F7">
            <w:pPr>
              <w:ind w:right="284"/>
              <w:jc w:val="right"/>
            </w:pPr>
            <w:r w:rsidRPr="00CC19F7">
              <w:t>924</w:t>
            </w:r>
          </w:p>
        </w:tc>
        <w:tc>
          <w:tcPr>
            <w:tcW w:w="5670" w:type="dxa"/>
            <w:tcBorders>
              <w:top w:val="nil"/>
              <w:left w:val="nil"/>
              <w:bottom w:val="nil"/>
              <w:right w:val="nil"/>
            </w:tcBorders>
            <w:tcMar>
              <w:top w:w="128" w:type="dxa"/>
              <w:left w:w="43" w:type="dxa"/>
              <w:bottom w:w="43" w:type="dxa"/>
              <w:right w:w="43" w:type="dxa"/>
            </w:tcMar>
          </w:tcPr>
          <w:p w14:paraId="7547685C" w14:textId="77777777" w:rsidR="00FE02EF" w:rsidRPr="00CC19F7" w:rsidRDefault="00881E58" w:rsidP="00CC19F7">
            <w:r w:rsidRPr="00CC19F7">
              <w:t xml:space="preserve">Solkraft – deling med </w:t>
            </w:r>
            <w:proofErr w:type="spellStart"/>
            <w:r w:rsidRPr="00CC19F7">
              <w:t>høgare</w:t>
            </w:r>
            <w:proofErr w:type="spellEnd"/>
            <w:r w:rsidRPr="00CC19F7">
              <w:t xml:space="preserve"> grense enn 1 MW</w:t>
            </w:r>
          </w:p>
        </w:tc>
        <w:tc>
          <w:tcPr>
            <w:tcW w:w="1645" w:type="dxa"/>
            <w:tcBorders>
              <w:top w:val="nil"/>
              <w:left w:val="nil"/>
              <w:bottom w:val="nil"/>
              <w:right w:val="nil"/>
            </w:tcBorders>
            <w:tcMar>
              <w:top w:w="128" w:type="dxa"/>
              <w:left w:w="43" w:type="dxa"/>
              <w:bottom w:w="43" w:type="dxa"/>
              <w:right w:w="43" w:type="dxa"/>
            </w:tcMar>
            <w:vAlign w:val="bottom"/>
          </w:tcPr>
          <w:p w14:paraId="4F7B9884" w14:textId="77777777" w:rsidR="00FE02EF" w:rsidRPr="00CC19F7" w:rsidRDefault="00881E58" w:rsidP="00CC19F7">
            <w:pPr>
              <w:jc w:val="right"/>
            </w:pPr>
            <w:r w:rsidRPr="00CC19F7">
              <w:t>Nei</w:t>
            </w:r>
          </w:p>
        </w:tc>
      </w:tr>
      <w:tr w:rsidR="00FE02EF" w:rsidRPr="00CC19F7" w14:paraId="013191FE" w14:textId="77777777" w:rsidTr="005F29B2">
        <w:trPr>
          <w:trHeight w:val="640"/>
        </w:trPr>
        <w:tc>
          <w:tcPr>
            <w:tcW w:w="1180" w:type="dxa"/>
            <w:tcBorders>
              <w:top w:val="nil"/>
              <w:left w:val="nil"/>
              <w:bottom w:val="nil"/>
              <w:right w:val="nil"/>
            </w:tcBorders>
            <w:tcMar>
              <w:top w:w="128" w:type="dxa"/>
              <w:left w:w="43" w:type="dxa"/>
              <w:bottom w:w="43" w:type="dxa"/>
              <w:right w:w="43" w:type="dxa"/>
            </w:tcMar>
          </w:tcPr>
          <w:p w14:paraId="600DF14F" w14:textId="77777777" w:rsidR="00FE02EF" w:rsidRPr="00CC19F7" w:rsidRDefault="00881E58" w:rsidP="00CC19F7">
            <w:r w:rsidRPr="00CC19F7">
              <w:t>2022–2023</w:t>
            </w:r>
          </w:p>
        </w:tc>
        <w:tc>
          <w:tcPr>
            <w:tcW w:w="1045" w:type="dxa"/>
            <w:tcBorders>
              <w:top w:val="nil"/>
              <w:left w:val="nil"/>
              <w:bottom w:val="nil"/>
              <w:right w:val="nil"/>
            </w:tcBorders>
            <w:tcMar>
              <w:top w:w="128" w:type="dxa"/>
              <w:left w:w="43" w:type="dxa"/>
              <w:bottom w:w="43" w:type="dxa"/>
              <w:right w:w="43" w:type="dxa"/>
            </w:tcMar>
          </w:tcPr>
          <w:p w14:paraId="11EF5046" w14:textId="77777777" w:rsidR="00FE02EF" w:rsidRPr="00CC19F7" w:rsidRDefault="00881E58" w:rsidP="00CC19F7">
            <w:pPr>
              <w:ind w:right="284"/>
              <w:jc w:val="right"/>
            </w:pPr>
            <w:r w:rsidRPr="00CC19F7">
              <w:t>925</w:t>
            </w:r>
          </w:p>
        </w:tc>
        <w:tc>
          <w:tcPr>
            <w:tcW w:w="5670" w:type="dxa"/>
            <w:tcBorders>
              <w:top w:val="nil"/>
              <w:left w:val="nil"/>
              <w:bottom w:val="nil"/>
              <w:right w:val="nil"/>
            </w:tcBorders>
            <w:tcMar>
              <w:top w:w="128" w:type="dxa"/>
              <w:left w:w="43" w:type="dxa"/>
              <w:bottom w:w="43" w:type="dxa"/>
              <w:right w:w="43" w:type="dxa"/>
            </w:tcMar>
          </w:tcPr>
          <w:p w14:paraId="24E7487A" w14:textId="77777777" w:rsidR="00FE02EF" w:rsidRPr="00CC19F7" w:rsidRDefault="00881E58" w:rsidP="00CC19F7">
            <w:proofErr w:type="spellStart"/>
            <w:r w:rsidRPr="00CC19F7">
              <w:t>Solenergiparkar</w:t>
            </w:r>
            <w:proofErr w:type="spellEnd"/>
            <w:r w:rsidRPr="00CC19F7">
              <w:t xml:space="preserve"> – fjerne konsesjonsplikt for enkeltprosjekt med lågt konfliktnivå</w:t>
            </w:r>
          </w:p>
        </w:tc>
        <w:tc>
          <w:tcPr>
            <w:tcW w:w="1645" w:type="dxa"/>
            <w:tcBorders>
              <w:top w:val="nil"/>
              <w:left w:val="nil"/>
              <w:bottom w:val="nil"/>
              <w:right w:val="nil"/>
            </w:tcBorders>
            <w:tcMar>
              <w:top w:w="128" w:type="dxa"/>
              <w:left w:w="43" w:type="dxa"/>
              <w:bottom w:w="43" w:type="dxa"/>
              <w:right w:w="43" w:type="dxa"/>
            </w:tcMar>
            <w:vAlign w:val="bottom"/>
          </w:tcPr>
          <w:p w14:paraId="57D428E4" w14:textId="77777777" w:rsidR="00FE02EF" w:rsidRPr="00CC19F7" w:rsidRDefault="00881E58" w:rsidP="00CC19F7">
            <w:pPr>
              <w:jc w:val="right"/>
            </w:pPr>
            <w:r w:rsidRPr="00CC19F7">
              <w:t>Nei</w:t>
            </w:r>
          </w:p>
        </w:tc>
      </w:tr>
      <w:tr w:rsidR="00FE02EF" w:rsidRPr="00CC19F7" w14:paraId="5F349B04" w14:textId="77777777" w:rsidTr="005F29B2">
        <w:trPr>
          <w:trHeight w:val="380"/>
        </w:trPr>
        <w:tc>
          <w:tcPr>
            <w:tcW w:w="1180" w:type="dxa"/>
            <w:tcBorders>
              <w:top w:val="nil"/>
              <w:left w:val="nil"/>
              <w:bottom w:val="nil"/>
              <w:right w:val="nil"/>
            </w:tcBorders>
            <w:tcMar>
              <w:top w:w="128" w:type="dxa"/>
              <w:left w:w="43" w:type="dxa"/>
              <w:bottom w:w="43" w:type="dxa"/>
              <w:right w:w="43" w:type="dxa"/>
            </w:tcMar>
          </w:tcPr>
          <w:p w14:paraId="65BA649C" w14:textId="77777777" w:rsidR="00FE02EF" w:rsidRPr="00CC19F7" w:rsidRDefault="00881E58" w:rsidP="00CC19F7">
            <w:r w:rsidRPr="00CC19F7">
              <w:t>2022–2023</w:t>
            </w:r>
          </w:p>
        </w:tc>
        <w:tc>
          <w:tcPr>
            <w:tcW w:w="1045" w:type="dxa"/>
            <w:tcBorders>
              <w:top w:val="nil"/>
              <w:left w:val="nil"/>
              <w:bottom w:val="nil"/>
              <w:right w:val="nil"/>
            </w:tcBorders>
            <w:tcMar>
              <w:top w:w="128" w:type="dxa"/>
              <w:left w:w="43" w:type="dxa"/>
              <w:bottom w:w="43" w:type="dxa"/>
              <w:right w:w="43" w:type="dxa"/>
            </w:tcMar>
          </w:tcPr>
          <w:p w14:paraId="3AB29C60" w14:textId="77777777" w:rsidR="00FE02EF" w:rsidRPr="00CC19F7" w:rsidRDefault="00881E58" w:rsidP="00CC19F7">
            <w:pPr>
              <w:ind w:right="284"/>
              <w:jc w:val="right"/>
            </w:pPr>
            <w:r w:rsidRPr="00CC19F7">
              <w:t>926</w:t>
            </w:r>
          </w:p>
        </w:tc>
        <w:tc>
          <w:tcPr>
            <w:tcW w:w="5670" w:type="dxa"/>
            <w:tcBorders>
              <w:top w:val="nil"/>
              <w:left w:val="nil"/>
              <w:bottom w:val="nil"/>
              <w:right w:val="nil"/>
            </w:tcBorders>
            <w:tcMar>
              <w:top w:w="128" w:type="dxa"/>
              <w:left w:w="43" w:type="dxa"/>
              <w:bottom w:w="43" w:type="dxa"/>
              <w:right w:w="43" w:type="dxa"/>
            </w:tcMar>
          </w:tcPr>
          <w:p w14:paraId="7125DCCC" w14:textId="77777777" w:rsidR="00FE02EF" w:rsidRPr="00CC19F7" w:rsidRDefault="00881E58" w:rsidP="00CC19F7">
            <w:proofErr w:type="spellStart"/>
            <w:r w:rsidRPr="00CC19F7">
              <w:t>Solenergiparkar</w:t>
            </w:r>
            <w:proofErr w:type="spellEnd"/>
            <w:r w:rsidRPr="00CC19F7">
              <w:t xml:space="preserve"> – fjerne konsesjonsplikt opp til 1 MW</w:t>
            </w:r>
          </w:p>
        </w:tc>
        <w:tc>
          <w:tcPr>
            <w:tcW w:w="1645" w:type="dxa"/>
            <w:tcBorders>
              <w:top w:val="nil"/>
              <w:left w:val="nil"/>
              <w:bottom w:val="nil"/>
              <w:right w:val="nil"/>
            </w:tcBorders>
            <w:tcMar>
              <w:top w:w="128" w:type="dxa"/>
              <w:left w:w="43" w:type="dxa"/>
              <w:bottom w:w="43" w:type="dxa"/>
              <w:right w:w="43" w:type="dxa"/>
            </w:tcMar>
            <w:vAlign w:val="bottom"/>
          </w:tcPr>
          <w:p w14:paraId="54947AB7" w14:textId="77777777" w:rsidR="00FE02EF" w:rsidRPr="00CC19F7" w:rsidRDefault="00881E58" w:rsidP="00CC19F7">
            <w:pPr>
              <w:jc w:val="right"/>
            </w:pPr>
            <w:r w:rsidRPr="00CC19F7">
              <w:t>Nei</w:t>
            </w:r>
          </w:p>
        </w:tc>
      </w:tr>
      <w:tr w:rsidR="00FE02EF" w:rsidRPr="00CC19F7" w14:paraId="2B2E80B9" w14:textId="77777777" w:rsidTr="005F29B2">
        <w:trPr>
          <w:trHeight w:val="640"/>
        </w:trPr>
        <w:tc>
          <w:tcPr>
            <w:tcW w:w="1180" w:type="dxa"/>
            <w:tcBorders>
              <w:top w:val="nil"/>
              <w:left w:val="nil"/>
              <w:bottom w:val="nil"/>
              <w:right w:val="nil"/>
            </w:tcBorders>
            <w:tcMar>
              <w:top w:w="128" w:type="dxa"/>
              <w:left w:w="43" w:type="dxa"/>
              <w:bottom w:w="43" w:type="dxa"/>
              <w:right w:w="43" w:type="dxa"/>
            </w:tcMar>
          </w:tcPr>
          <w:p w14:paraId="002BCECF" w14:textId="77777777" w:rsidR="00FE02EF" w:rsidRPr="00CC19F7" w:rsidRDefault="00881E58" w:rsidP="00CC19F7">
            <w:r w:rsidRPr="00CC19F7">
              <w:t>2021–2022</w:t>
            </w:r>
          </w:p>
        </w:tc>
        <w:tc>
          <w:tcPr>
            <w:tcW w:w="1045" w:type="dxa"/>
            <w:tcBorders>
              <w:top w:val="nil"/>
              <w:left w:val="nil"/>
              <w:bottom w:val="nil"/>
              <w:right w:val="nil"/>
            </w:tcBorders>
            <w:tcMar>
              <w:top w:w="128" w:type="dxa"/>
              <w:left w:w="43" w:type="dxa"/>
              <w:bottom w:w="43" w:type="dxa"/>
              <w:right w:w="43" w:type="dxa"/>
            </w:tcMar>
          </w:tcPr>
          <w:p w14:paraId="2BA99352" w14:textId="77777777" w:rsidR="00FE02EF" w:rsidRPr="00CC19F7" w:rsidRDefault="00881E58" w:rsidP="00CC19F7">
            <w:pPr>
              <w:ind w:right="284"/>
              <w:jc w:val="right"/>
            </w:pPr>
            <w:r w:rsidRPr="00CC19F7">
              <w:t>35-5</w:t>
            </w:r>
          </w:p>
        </w:tc>
        <w:tc>
          <w:tcPr>
            <w:tcW w:w="5670" w:type="dxa"/>
            <w:tcBorders>
              <w:top w:val="nil"/>
              <w:left w:val="nil"/>
              <w:bottom w:val="nil"/>
              <w:right w:val="nil"/>
            </w:tcBorders>
            <w:tcMar>
              <w:top w:w="128" w:type="dxa"/>
              <w:left w:w="43" w:type="dxa"/>
              <w:bottom w:w="43" w:type="dxa"/>
              <w:right w:w="43" w:type="dxa"/>
            </w:tcMar>
          </w:tcPr>
          <w:p w14:paraId="23858C81" w14:textId="77777777" w:rsidR="00FE02EF" w:rsidRPr="00CC19F7" w:rsidRDefault="00881E58" w:rsidP="00CC19F7">
            <w:r w:rsidRPr="00CC19F7">
              <w:t xml:space="preserve">Redusere energibruken i bygg med minst 10 </w:t>
            </w:r>
            <w:proofErr w:type="spellStart"/>
            <w:r w:rsidRPr="00CC19F7">
              <w:t>TWh</w:t>
            </w:r>
            <w:proofErr w:type="spellEnd"/>
            <w:r w:rsidRPr="00CC19F7">
              <w:t xml:space="preserve"> og </w:t>
            </w:r>
            <w:proofErr w:type="spellStart"/>
            <w:r w:rsidRPr="00CC19F7">
              <w:t>auke</w:t>
            </w:r>
            <w:proofErr w:type="spellEnd"/>
            <w:r w:rsidRPr="00CC19F7">
              <w:t xml:space="preserve"> straumproduksjonen i bygg</w:t>
            </w:r>
          </w:p>
        </w:tc>
        <w:tc>
          <w:tcPr>
            <w:tcW w:w="1645" w:type="dxa"/>
            <w:tcBorders>
              <w:top w:val="nil"/>
              <w:left w:val="nil"/>
              <w:bottom w:val="nil"/>
              <w:right w:val="nil"/>
            </w:tcBorders>
            <w:tcMar>
              <w:top w:w="128" w:type="dxa"/>
              <w:left w:w="43" w:type="dxa"/>
              <w:bottom w:w="43" w:type="dxa"/>
              <w:right w:w="43" w:type="dxa"/>
            </w:tcMar>
            <w:vAlign w:val="bottom"/>
          </w:tcPr>
          <w:p w14:paraId="556BFF50" w14:textId="77777777" w:rsidR="00FE02EF" w:rsidRPr="00CC19F7" w:rsidRDefault="00881E58" w:rsidP="00CC19F7">
            <w:pPr>
              <w:jc w:val="right"/>
            </w:pPr>
            <w:r w:rsidRPr="00CC19F7">
              <w:t>Ja</w:t>
            </w:r>
          </w:p>
        </w:tc>
      </w:tr>
      <w:tr w:rsidR="00FE02EF" w:rsidRPr="00CC19F7" w14:paraId="37443C7F" w14:textId="77777777" w:rsidTr="005F29B2">
        <w:trPr>
          <w:trHeight w:val="640"/>
        </w:trPr>
        <w:tc>
          <w:tcPr>
            <w:tcW w:w="1180" w:type="dxa"/>
            <w:tcBorders>
              <w:top w:val="nil"/>
              <w:left w:val="nil"/>
              <w:bottom w:val="nil"/>
              <w:right w:val="nil"/>
            </w:tcBorders>
            <w:tcMar>
              <w:top w:w="128" w:type="dxa"/>
              <w:left w:w="43" w:type="dxa"/>
              <w:bottom w:w="43" w:type="dxa"/>
              <w:right w:w="43" w:type="dxa"/>
            </w:tcMar>
          </w:tcPr>
          <w:p w14:paraId="320CF8D3" w14:textId="77777777" w:rsidR="00FE02EF" w:rsidRPr="00CC19F7" w:rsidRDefault="00881E58" w:rsidP="00CC19F7">
            <w:r w:rsidRPr="00CC19F7">
              <w:t>2021–2022</w:t>
            </w:r>
          </w:p>
        </w:tc>
        <w:tc>
          <w:tcPr>
            <w:tcW w:w="1045" w:type="dxa"/>
            <w:tcBorders>
              <w:top w:val="nil"/>
              <w:left w:val="nil"/>
              <w:bottom w:val="nil"/>
              <w:right w:val="nil"/>
            </w:tcBorders>
            <w:tcMar>
              <w:top w:w="128" w:type="dxa"/>
              <w:left w:w="43" w:type="dxa"/>
              <w:bottom w:w="43" w:type="dxa"/>
              <w:right w:w="43" w:type="dxa"/>
            </w:tcMar>
          </w:tcPr>
          <w:p w14:paraId="36B2724C" w14:textId="77777777" w:rsidR="00FE02EF" w:rsidRPr="00CC19F7" w:rsidRDefault="00881E58" w:rsidP="00CC19F7">
            <w:pPr>
              <w:ind w:right="284"/>
              <w:jc w:val="right"/>
            </w:pPr>
            <w:r w:rsidRPr="00CC19F7">
              <w:t>385</w:t>
            </w:r>
          </w:p>
        </w:tc>
        <w:tc>
          <w:tcPr>
            <w:tcW w:w="5670" w:type="dxa"/>
            <w:tcBorders>
              <w:top w:val="nil"/>
              <w:left w:val="nil"/>
              <w:bottom w:val="nil"/>
              <w:right w:val="nil"/>
            </w:tcBorders>
            <w:tcMar>
              <w:top w:w="128" w:type="dxa"/>
              <w:left w:w="43" w:type="dxa"/>
              <w:bottom w:w="43" w:type="dxa"/>
              <w:right w:w="43" w:type="dxa"/>
            </w:tcMar>
          </w:tcPr>
          <w:p w14:paraId="76D79790" w14:textId="77777777" w:rsidR="00FE02EF" w:rsidRPr="00CC19F7" w:rsidRDefault="00881E58" w:rsidP="00CC19F7">
            <w:proofErr w:type="spellStart"/>
            <w:r w:rsidRPr="00CC19F7">
              <w:t>Klimavennleg</w:t>
            </w:r>
            <w:proofErr w:type="spellEnd"/>
            <w:r w:rsidRPr="00CC19F7">
              <w:t xml:space="preserve"> kraftbehov for næringsutvikling i Geiranger, Nærøyfjorden og </w:t>
            </w:r>
            <w:proofErr w:type="spellStart"/>
            <w:r w:rsidRPr="00CC19F7">
              <w:t>tilhøyrande</w:t>
            </w:r>
            <w:proofErr w:type="spellEnd"/>
            <w:r w:rsidRPr="00CC19F7">
              <w:t xml:space="preserve"> ferjesamband</w:t>
            </w:r>
          </w:p>
        </w:tc>
        <w:tc>
          <w:tcPr>
            <w:tcW w:w="1645" w:type="dxa"/>
            <w:tcBorders>
              <w:top w:val="nil"/>
              <w:left w:val="nil"/>
              <w:bottom w:val="nil"/>
              <w:right w:val="nil"/>
            </w:tcBorders>
            <w:tcMar>
              <w:top w:w="128" w:type="dxa"/>
              <w:left w:w="43" w:type="dxa"/>
              <w:bottom w:w="43" w:type="dxa"/>
              <w:right w:w="43" w:type="dxa"/>
            </w:tcMar>
            <w:vAlign w:val="bottom"/>
          </w:tcPr>
          <w:p w14:paraId="47DE53DE" w14:textId="77777777" w:rsidR="00FE02EF" w:rsidRPr="00CC19F7" w:rsidRDefault="00881E58" w:rsidP="00CC19F7">
            <w:pPr>
              <w:jc w:val="right"/>
            </w:pPr>
            <w:r w:rsidRPr="00CC19F7">
              <w:t>Nei</w:t>
            </w:r>
          </w:p>
        </w:tc>
      </w:tr>
      <w:tr w:rsidR="00FE02EF" w:rsidRPr="00CC19F7" w14:paraId="329EB8F5" w14:textId="77777777" w:rsidTr="005F29B2">
        <w:trPr>
          <w:trHeight w:val="640"/>
        </w:trPr>
        <w:tc>
          <w:tcPr>
            <w:tcW w:w="1180" w:type="dxa"/>
            <w:tcBorders>
              <w:top w:val="nil"/>
              <w:left w:val="nil"/>
              <w:bottom w:val="nil"/>
              <w:right w:val="nil"/>
            </w:tcBorders>
            <w:tcMar>
              <w:top w:w="128" w:type="dxa"/>
              <w:left w:w="43" w:type="dxa"/>
              <w:bottom w:w="43" w:type="dxa"/>
              <w:right w:w="43" w:type="dxa"/>
            </w:tcMar>
          </w:tcPr>
          <w:p w14:paraId="4FD1AD9A" w14:textId="77777777" w:rsidR="00FE02EF" w:rsidRPr="00CC19F7" w:rsidRDefault="00881E58" w:rsidP="00CC19F7">
            <w:r w:rsidRPr="00CC19F7">
              <w:t>2021–2022</w:t>
            </w:r>
          </w:p>
        </w:tc>
        <w:tc>
          <w:tcPr>
            <w:tcW w:w="1045" w:type="dxa"/>
            <w:tcBorders>
              <w:top w:val="nil"/>
              <w:left w:val="nil"/>
              <w:bottom w:val="nil"/>
              <w:right w:val="nil"/>
            </w:tcBorders>
            <w:tcMar>
              <w:top w:w="128" w:type="dxa"/>
              <w:left w:w="43" w:type="dxa"/>
              <w:bottom w:w="43" w:type="dxa"/>
              <w:right w:w="43" w:type="dxa"/>
            </w:tcMar>
          </w:tcPr>
          <w:p w14:paraId="39FDC224" w14:textId="77777777" w:rsidR="00FE02EF" w:rsidRPr="00CC19F7" w:rsidRDefault="00881E58" w:rsidP="00CC19F7">
            <w:pPr>
              <w:ind w:right="284"/>
              <w:jc w:val="right"/>
            </w:pPr>
            <w:r w:rsidRPr="00CC19F7">
              <w:t>548</w:t>
            </w:r>
          </w:p>
        </w:tc>
        <w:tc>
          <w:tcPr>
            <w:tcW w:w="5670" w:type="dxa"/>
            <w:tcBorders>
              <w:top w:val="nil"/>
              <w:left w:val="nil"/>
              <w:bottom w:val="nil"/>
              <w:right w:val="nil"/>
            </w:tcBorders>
            <w:tcMar>
              <w:top w:w="128" w:type="dxa"/>
              <w:left w:w="43" w:type="dxa"/>
              <w:bottom w:w="43" w:type="dxa"/>
              <w:right w:w="43" w:type="dxa"/>
            </w:tcMar>
          </w:tcPr>
          <w:p w14:paraId="570DA6B5" w14:textId="77777777" w:rsidR="00FE02EF" w:rsidRPr="00CC19F7" w:rsidRDefault="00881E58" w:rsidP="00CC19F7">
            <w:r w:rsidRPr="00CC19F7">
              <w:t xml:space="preserve">Fjerne regulatoriske </w:t>
            </w:r>
            <w:proofErr w:type="spellStart"/>
            <w:r w:rsidRPr="00CC19F7">
              <w:t>barrierar</w:t>
            </w:r>
            <w:proofErr w:type="spellEnd"/>
            <w:r w:rsidRPr="00CC19F7">
              <w:t xml:space="preserve"> som </w:t>
            </w:r>
            <w:proofErr w:type="spellStart"/>
            <w:r w:rsidRPr="00CC19F7">
              <w:t>hindrar</w:t>
            </w:r>
            <w:proofErr w:type="spellEnd"/>
            <w:r w:rsidRPr="00CC19F7">
              <w:t xml:space="preserve"> lokal energiproduksjon, energilagring og omsetning av energi mellom bygg</w:t>
            </w:r>
          </w:p>
        </w:tc>
        <w:tc>
          <w:tcPr>
            <w:tcW w:w="1645" w:type="dxa"/>
            <w:tcBorders>
              <w:top w:val="nil"/>
              <w:left w:val="nil"/>
              <w:bottom w:val="nil"/>
              <w:right w:val="nil"/>
            </w:tcBorders>
            <w:tcMar>
              <w:top w:w="128" w:type="dxa"/>
              <w:left w:w="43" w:type="dxa"/>
              <w:bottom w:w="43" w:type="dxa"/>
              <w:right w:w="43" w:type="dxa"/>
            </w:tcMar>
            <w:vAlign w:val="bottom"/>
          </w:tcPr>
          <w:p w14:paraId="41C16078" w14:textId="77777777" w:rsidR="00FE02EF" w:rsidRPr="00CC19F7" w:rsidRDefault="00881E58" w:rsidP="00CC19F7">
            <w:pPr>
              <w:jc w:val="right"/>
            </w:pPr>
            <w:r w:rsidRPr="00CC19F7">
              <w:t>Nei</w:t>
            </w:r>
          </w:p>
        </w:tc>
      </w:tr>
      <w:tr w:rsidR="00FE02EF" w:rsidRPr="00CC19F7" w14:paraId="12BFB95F" w14:textId="77777777" w:rsidTr="005F29B2">
        <w:trPr>
          <w:trHeight w:val="380"/>
        </w:trPr>
        <w:tc>
          <w:tcPr>
            <w:tcW w:w="1180" w:type="dxa"/>
            <w:tcBorders>
              <w:top w:val="nil"/>
              <w:left w:val="nil"/>
              <w:bottom w:val="nil"/>
              <w:right w:val="nil"/>
            </w:tcBorders>
            <w:tcMar>
              <w:top w:w="128" w:type="dxa"/>
              <w:left w:w="43" w:type="dxa"/>
              <w:bottom w:w="43" w:type="dxa"/>
              <w:right w:w="43" w:type="dxa"/>
            </w:tcMar>
          </w:tcPr>
          <w:p w14:paraId="0E2A4EEC" w14:textId="77777777" w:rsidR="00FE02EF" w:rsidRPr="00CC19F7" w:rsidRDefault="00881E58" w:rsidP="00CC19F7">
            <w:r w:rsidRPr="00CC19F7">
              <w:t>2021–2022</w:t>
            </w:r>
          </w:p>
        </w:tc>
        <w:tc>
          <w:tcPr>
            <w:tcW w:w="1045" w:type="dxa"/>
            <w:tcBorders>
              <w:top w:val="nil"/>
              <w:left w:val="nil"/>
              <w:bottom w:val="nil"/>
              <w:right w:val="nil"/>
            </w:tcBorders>
            <w:tcMar>
              <w:top w:w="128" w:type="dxa"/>
              <w:left w:w="43" w:type="dxa"/>
              <w:bottom w:w="43" w:type="dxa"/>
              <w:right w:w="43" w:type="dxa"/>
            </w:tcMar>
          </w:tcPr>
          <w:p w14:paraId="082264E4" w14:textId="77777777" w:rsidR="00FE02EF" w:rsidRPr="00CC19F7" w:rsidRDefault="00881E58" w:rsidP="00CC19F7">
            <w:pPr>
              <w:ind w:right="284"/>
              <w:jc w:val="right"/>
            </w:pPr>
            <w:r w:rsidRPr="00CC19F7">
              <w:t>701</w:t>
            </w:r>
          </w:p>
        </w:tc>
        <w:tc>
          <w:tcPr>
            <w:tcW w:w="5670" w:type="dxa"/>
            <w:tcBorders>
              <w:top w:val="nil"/>
              <w:left w:val="nil"/>
              <w:bottom w:val="nil"/>
              <w:right w:val="nil"/>
            </w:tcBorders>
            <w:tcMar>
              <w:top w:w="128" w:type="dxa"/>
              <w:left w:w="43" w:type="dxa"/>
              <w:bottom w:w="43" w:type="dxa"/>
              <w:right w:w="43" w:type="dxa"/>
            </w:tcMar>
          </w:tcPr>
          <w:p w14:paraId="2A85384D" w14:textId="77777777" w:rsidR="00FE02EF" w:rsidRPr="00CC19F7" w:rsidRDefault="00881E58" w:rsidP="00CC19F7">
            <w:r w:rsidRPr="00CC19F7">
              <w:t xml:space="preserve">Kraft- og nettutbygging knytt til store </w:t>
            </w:r>
            <w:proofErr w:type="spellStart"/>
            <w:r w:rsidRPr="00CC19F7">
              <w:t>industrietableringar</w:t>
            </w:r>
            <w:proofErr w:type="spellEnd"/>
          </w:p>
        </w:tc>
        <w:tc>
          <w:tcPr>
            <w:tcW w:w="1645" w:type="dxa"/>
            <w:tcBorders>
              <w:top w:val="nil"/>
              <w:left w:val="nil"/>
              <w:bottom w:val="nil"/>
              <w:right w:val="nil"/>
            </w:tcBorders>
            <w:tcMar>
              <w:top w:w="128" w:type="dxa"/>
              <w:left w:w="43" w:type="dxa"/>
              <w:bottom w:w="43" w:type="dxa"/>
              <w:right w:w="43" w:type="dxa"/>
            </w:tcMar>
            <w:vAlign w:val="bottom"/>
          </w:tcPr>
          <w:p w14:paraId="53CDA1A9" w14:textId="77777777" w:rsidR="00FE02EF" w:rsidRPr="00CC19F7" w:rsidRDefault="00881E58" w:rsidP="00CC19F7">
            <w:pPr>
              <w:jc w:val="right"/>
            </w:pPr>
            <w:r w:rsidRPr="00CC19F7">
              <w:t>Ja</w:t>
            </w:r>
          </w:p>
        </w:tc>
      </w:tr>
      <w:tr w:rsidR="00FE02EF" w:rsidRPr="00CC19F7" w14:paraId="0B4969A8" w14:textId="77777777" w:rsidTr="005F29B2">
        <w:trPr>
          <w:trHeight w:val="380"/>
        </w:trPr>
        <w:tc>
          <w:tcPr>
            <w:tcW w:w="1180" w:type="dxa"/>
            <w:tcBorders>
              <w:top w:val="nil"/>
              <w:left w:val="nil"/>
              <w:bottom w:val="nil"/>
              <w:right w:val="nil"/>
            </w:tcBorders>
            <w:tcMar>
              <w:top w:w="128" w:type="dxa"/>
              <w:left w:w="43" w:type="dxa"/>
              <w:bottom w:w="43" w:type="dxa"/>
              <w:right w:w="43" w:type="dxa"/>
            </w:tcMar>
          </w:tcPr>
          <w:p w14:paraId="60373758" w14:textId="77777777" w:rsidR="00FE02EF" w:rsidRPr="00CC19F7" w:rsidRDefault="00881E58" w:rsidP="00CC19F7">
            <w:r w:rsidRPr="00CC19F7">
              <w:t>2021–2022</w:t>
            </w:r>
          </w:p>
        </w:tc>
        <w:tc>
          <w:tcPr>
            <w:tcW w:w="1045" w:type="dxa"/>
            <w:tcBorders>
              <w:top w:val="nil"/>
              <w:left w:val="nil"/>
              <w:bottom w:val="nil"/>
              <w:right w:val="nil"/>
            </w:tcBorders>
            <w:tcMar>
              <w:top w:w="128" w:type="dxa"/>
              <w:left w:w="43" w:type="dxa"/>
              <w:bottom w:w="43" w:type="dxa"/>
              <w:right w:w="43" w:type="dxa"/>
            </w:tcMar>
          </w:tcPr>
          <w:p w14:paraId="41530FE6" w14:textId="77777777" w:rsidR="00FE02EF" w:rsidRPr="00CC19F7" w:rsidRDefault="00881E58" w:rsidP="00CC19F7">
            <w:pPr>
              <w:ind w:right="284"/>
              <w:jc w:val="right"/>
            </w:pPr>
            <w:r w:rsidRPr="00CC19F7">
              <w:t>702</w:t>
            </w:r>
          </w:p>
        </w:tc>
        <w:tc>
          <w:tcPr>
            <w:tcW w:w="5670" w:type="dxa"/>
            <w:tcBorders>
              <w:top w:val="nil"/>
              <w:left w:val="nil"/>
              <w:bottom w:val="nil"/>
              <w:right w:val="nil"/>
            </w:tcBorders>
            <w:tcMar>
              <w:top w:w="128" w:type="dxa"/>
              <w:left w:w="43" w:type="dxa"/>
              <w:bottom w:w="43" w:type="dxa"/>
              <w:right w:w="43" w:type="dxa"/>
            </w:tcMar>
          </w:tcPr>
          <w:p w14:paraId="2A95B7BC" w14:textId="77777777" w:rsidR="00FE02EF" w:rsidRPr="00CC19F7" w:rsidRDefault="00881E58" w:rsidP="00CC19F7">
            <w:r w:rsidRPr="00CC19F7">
              <w:t>Regulering av energifeltet</w:t>
            </w:r>
          </w:p>
        </w:tc>
        <w:tc>
          <w:tcPr>
            <w:tcW w:w="1645" w:type="dxa"/>
            <w:tcBorders>
              <w:top w:val="nil"/>
              <w:left w:val="nil"/>
              <w:bottom w:val="nil"/>
              <w:right w:val="nil"/>
            </w:tcBorders>
            <w:tcMar>
              <w:top w:w="128" w:type="dxa"/>
              <w:left w:w="43" w:type="dxa"/>
              <w:bottom w:w="43" w:type="dxa"/>
              <w:right w:w="43" w:type="dxa"/>
            </w:tcMar>
            <w:vAlign w:val="bottom"/>
          </w:tcPr>
          <w:p w14:paraId="4CB65E38" w14:textId="77777777" w:rsidR="00FE02EF" w:rsidRPr="00CC19F7" w:rsidRDefault="00881E58" w:rsidP="00CC19F7">
            <w:pPr>
              <w:jc w:val="right"/>
            </w:pPr>
            <w:r w:rsidRPr="00CC19F7">
              <w:t>Ja</w:t>
            </w:r>
          </w:p>
        </w:tc>
      </w:tr>
      <w:tr w:rsidR="00FE02EF" w:rsidRPr="00CC19F7" w14:paraId="61FE2C8E" w14:textId="77777777" w:rsidTr="005F29B2">
        <w:trPr>
          <w:trHeight w:val="380"/>
        </w:trPr>
        <w:tc>
          <w:tcPr>
            <w:tcW w:w="1180" w:type="dxa"/>
            <w:tcBorders>
              <w:top w:val="nil"/>
              <w:left w:val="nil"/>
              <w:bottom w:val="nil"/>
              <w:right w:val="nil"/>
            </w:tcBorders>
            <w:tcMar>
              <w:top w:w="128" w:type="dxa"/>
              <w:left w:w="43" w:type="dxa"/>
              <w:bottom w:w="43" w:type="dxa"/>
              <w:right w:w="43" w:type="dxa"/>
            </w:tcMar>
          </w:tcPr>
          <w:p w14:paraId="1A67074F" w14:textId="77777777" w:rsidR="00FE02EF" w:rsidRPr="00CC19F7" w:rsidRDefault="00881E58" w:rsidP="00CC19F7">
            <w:r w:rsidRPr="00CC19F7">
              <w:t>2021–2022</w:t>
            </w:r>
          </w:p>
        </w:tc>
        <w:tc>
          <w:tcPr>
            <w:tcW w:w="1045" w:type="dxa"/>
            <w:tcBorders>
              <w:top w:val="nil"/>
              <w:left w:val="nil"/>
              <w:bottom w:val="nil"/>
              <w:right w:val="nil"/>
            </w:tcBorders>
            <w:tcMar>
              <w:top w:w="128" w:type="dxa"/>
              <w:left w:w="43" w:type="dxa"/>
              <w:bottom w:w="43" w:type="dxa"/>
              <w:right w:w="43" w:type="dxa"/>
            </w:tcMar>
          </w:tcPr>
          <w:p w14:paraId="7D901ACB" w14:textId="77777777" w:rsidR="00FE02EF" w:rsidRPr="00CC19F7" w:rsidRDefault="00881E58" w:rsidP="00CC19F7">
            <w:pPr>
              <w:ind w:right="284"/>
              <w:jc w:val="right"/>
            </w:pPr>
            <w:r w:rsidRPr="00CC19F7">
              <w:t>703</w:t>
            </w:r>
          </w:p>
        </w:tc>
        <w:tc>
          <w:tcPr>
            <w:tcW w:w="5670" w:type="dxa"/>
            <w:tcBorders>
              <w:top w:val="nil"/>
              <w:left w:val="nil"/>
              <w:bottom w:val="nil"/>
              <w:right w:val="nil"/>
            </w:tcBorders>
            <w:tcMar>
              <w:top w:w="128" w:type="dxa"/>
              <w:left w:w="43" w:type="dxa"/>
              <w:bottom w:w="43" w:type="dxa"/>
              <w:right w:w="43" w:type="dxa"/>
            </w:tcMar>
          </w:tcPr>
          <w:p w14:paraId="1C60C753" w14:textId="77777777" w:rsidR="00FE02EF" w:rsidRPr="00CC19F7" w:rsidRDefault="00881E58" w:rsidP="00CC19F7">
            <w:r w:rsidRPr="00CC19F7">
              <w:t>Havvind – tildeling av areal</w:t>
            </w:r>
          </w:p>
        </w:tc>
        <w:tc>
          <w:tcPr>
            <w:tcW w:w="1645" w:type="dxa"/>
            <w:tcBorders>
              <w:top w:val="nil"/>
              <w:left w:val="nil"/>
              <w:bottom w:val="nil"/>
              <w:right w:val="nil"/>
            </w:tcBorders>
            <w:tcMar>
              <w:top w:w="128" w:type="dxa"/>
              <w:left w:w="43" w:type="dxa"/>
              <w:bottom w:w="43" w:type="dxa"/>
              <w:right w:w="43" w:type="dxa"/>
            </w:tcMar>
            <w:vAlign w:val="bottom"/>
          </w:tcPr>
          <w:p w14:paraId="47CB6C15" w14:textId="77777777" w:rsidR="00FE02EF" w:rsidRPr="00CC19F7" w:rsidRDefault="00881E58" w:rsidP="00CC19F7">
            <w:pPr>
              <w:jc w:val="right"/>
            </w:pPr>
            <w:r w:rsidRPr="00CC19F7">
              <w:t>Nei</w:t>
            </w:r>
          </w:p>
        </w:tc>
      </w:tr>
      <w:tr w:rsidR="00FE02EF" w:rsidRPr="00CC19F7" w14:paraId="4206D472" w14:textId="77777777" w:rsidTr="005F29B2">
        <w:trPr>
          <w:trHeight w:val="640"/>
        </w:trPr>
        <w:tc>
          <w:tcPr>
            <w:tcW w:w="1180" w:type="dxa"/>
            <w:tcBorders>
              <w:top w:val="nil"/>
              <w:left w:val="nil"/>
              <w:bottom w:val="nil"/>
              <w:right w:val="nil"/>
            </w:tcBorders>
            <w:tcMar>
              <w:top w:w="128" w:type="dxa"/>
              <w:left w:w="43" w:type="dxa"/>
              <w:bottom w:w="43" w:type="dxa"/>
              <w:right w:w="43" w:type="dxa"/>
            </w:tcMar>
          </w:tcPr>
          <w:p w14:paraId="6F003600" w14:textId="77777777" w:rsidR="00FE02EF" w:rsidRPr="00CC19F7" w:rsidRDefault="00881E58" w:rsidP="00CC19F7">
            <w:r w:rsidRPr="00CC19F7">
              <w:t>2021–2022</w:t>
            </w:r>
          </w:p>
        </w:tc>
        <w:tc>
          <w:tcPr>
            <w:tcW w:w="1045" w:type="dxa"/>
            <w:tcBorders>
              <w:top w:val="nil"/>
              <w:left w:val="nil"/>
              <w:bottom w:val="nil"/>
              <w:right w:val="nil"/>
            </w:tcBorders>
            <w:tcMar>
              <w:top w:w="128" w:type="dxa"/>
              <w:left w:w="43" w:type="dxa"/>
              <w:bottom w:w="43" w:type="dxa"/>
              <w:right w:w="43" w:type="dxa"/>
            </w:tcMar>
          </w:tcPr>
          <w:p w14:paraId="762485D9" w14:textId="77777777" w:rsidR="00FE02EF" w:rsidRPr="00CC19F7" w:rsidRDefault="00881E58" w:rsidP="00CC19F7">
            <w:pPr>
              <w:ind w:right="284"/>
              <w:jc w:val="right"/>
            </w:pPr>
            <w:r w:rsidRPr="00CC19F7">
              <w:t>704</w:t>
            </w:r>
          </w:p>
        </w:tc>
        <w:tc>
          <w:tcPr>
            <w:tcW w:w="5670" w:type="dxa"/>
            <w:tcBorders>
              <w:top w:val="nil"/>
              <w:left w:val="nil"/>
              <w:bottom w:val="nil"/>
              <w:right w:val="nil"/>
            </w:tcBorders>
            <w:tcMar>
              <w:top w:w="128" w:type="dxa"/>
              <w:left w:w="43" w:type="dxa"/>
              <w:bottom w:w="43" w:type="dxa"/>
              <w:right w:w="43" w:type="dxa"/>
            </w:tcMar>
          </w:tcPr>
          <w:p w14:paraId="722FCCBE" w14:textId="77777777" w:rsidR="00FE02EF" w:rsidRPr="00CC19F7" w:rsidRDefault="00881E58" w:rsidP="00CC19F7">
            <w:r w:rsidRPr="00CC19F7">
              <w:t xml:space="preserve">Havvind – greie ut </w:t>
            </w:r>
            <w:proofErr w:type="spellStart"/>
            <w:r w:rsidRPr="00CC19F7">
              <w:t>støtteordningar</w:t>
            </w:r>
            <w:proofErr w:type="spellEnd"/>
            <w:r w:rsidRPr="00CC19F7">
              <w:t xml:space="preserve"> og </w:t>
            </w:r>
            <w:proofErr w:type="spellStart"/>
            <w:r w:rsidRPr="00CC19F7">
              <w:t>verkemiddel</w:t>
            </w:r>
            <w:proofErr w:type="spellEnd"/>
            <w:r w:rsidRPr="00CC19F7">
              <w:t xml:space="preserve">, deriblant </w:t>
            </w:r>
            <w:proofErr w:type="spellStart"/>
            <w:r w:rsidRPr="00CC19F7">
              <w:t>differansekontraktar</w:t>
            </w:r>
            <w:proofErr w:type="spellEnd"/>
          </w:p>
        </w:tc>
        <w:tc>
          <w:tcPr>
            <w:tcW w:w="1645" w:type="dxa"/>
            <w:tcBorders>
              <w:top w:val="nil"/>
              <w:left w:val="nil"/>
              <w:bottom w:val="nil"/>
              <w:right w:val="nil"/>
            </w:tcBorders>
            <w:tcMar>
              <w:top w:w="128" w:type="dxa"/>
              <w:left w:w="43" w:type="dxa"/>
              <w:bottom w:w="43" w:type="dxa"/>
              <w:right w:w="43" w:type="dxa"/>
            </w:tcMar>
            <w:vAlign w:val="bottom"/>
          </w:tcPr>
          <w:p w14:paraId="2ECE790E" w14:textId="77777777" w:rsidR="00FE02EF" w:rsidRPr="00CC19F7" w:rsidRDefault="00881E58" w:rsidP="00CC19F7">
            <w:pPr>
              <w:jc w:val="right"/>
            </w:pPr>
            <w:r w:rsidRPr="00CC19F7">
              <w:t>Ja</w:t>
            </w:r>
          </w:p>
        </w:tc>
      </w:tr>
      <w:tr w:rsidR="00FE02EF" w:rsidRPr="00CC19F7" w14:paraId="584CC3D0" w14:textId="77777777" w:rsidTr="005F29B2">
        <w:trPr>
          <w:trHeight w:val="380"/>
        </w:trPr>
        <w:tc>
          <w:tcPr>
            <w:tcW w:w="1180" w:type="dxa"/>
            <w:tcBorders>
              <w:top w:val="nil"/>
              <w:left w:val="nil"/>
              <w:bottom w:val="nil"/>
              <w:right w:val="nil"/>
            </w:tcBorders>
            <w:tcMar>
              <w:top w:w="128" w:type="dxa"/>
              <w:left w:w="43" w:type="dxa"/>
              <w:bottom w:w="43" w:type="dxa"/>
              <w:right w:w="43" w:type="dxa"/>
            </w:tcMar>
          </w:tcPr>
          <w:p w14:paraId="1B10E266" w14:textId="77777777" w:rsidR="00FE02EF" w:rsidRPr="00CC19F7" w:rsidRDefault="00881E58" w:rsidP="00CC19F7">
            <w:r w:rsidRPr="00CC19F7">
              <w:t>2021–2022</w:t>
            </w:r>
          </w:p>
        </w:tc>
        <w:tc>
          <w:tcPr>
            <w:tcW w:w="1045" w:type="dxa"/>
            <w:tcBorders>
              <w:top w:val="nil"/>
              <w:left w:val="nil"/>
              <w:bottom w:val="nil"/>
              <w:right w:val="nil"/>
            </w:tcBorders>
            <w:tcMar>
              <w:top w:w="128" w:type="dxa"/>
              <w:left w:w="43" w:type="dxa"/>
              <w:bottom w:w="43" w:type="dxa"/>
              <w:right w:w="43" w:type="dxa"/>
            </w:tcMar>
          </w:tcPr>
          <w:p w14:paraId="71CA1361" w14:textId="77777777" w:rsidR="00FE02EF" w:rsidRPr="00CC19F7" w:rsidRDefault="00881E58" w:rsidP="00CC19F7">
            <w:pPr>
              <w:ind w:right="284"/>
              <w:jc w:val="right"/>
            </w:pPr>
            <w:r w:rsidRPr="00CC19F7">
              <w:t>705</w:t>
            </w:r>
          </w:p>
        </w:tc>
        <w:tc>
          <w:tcPr>
            <w:tcW w:w="5670" w:type="dxa"/>
            <w:tcBorders>
              <w:top w:val="nil"/>
              <w:left w:val="nil"/>
              <w:bottom w:val="nil"/>
              <w:right w:val="nil"/>
            </w:tcBorders>
            <w:tcMar>
              <w:top w:w="128" w:type="dxa"/>
              <w:left w:w="43" w:type="dxa"/>
              <w:bottom w:w="43" w:type="dxa"/>
              <w:right w:w="43" w:type="dxa"/>
            </w:tcMar>
          </w:tcPr>
          <w:p w14:paraId="70567682" w14:textId="77777777" w:rsidR="00FE02EF" w:rsidRPr="00CC19F7" w:rsidRDefault="00881E58" w:rsidP="00CC19F7">
            <w:r w:rsidRPr="00CC19F7">
              <w:t xml:space="preserve">Kraftpotensial </w:t>
            </w:r>
            <w:proofErr w:type="spellStart"/>
            <w:r w:rsidRPr="00CC19F7">
              <w:t>frå</w:t>
            </w:r>
            <w:proofErr w:type="spellEnd"/>
            <w:r w:rsidRPr="00CC19F7">
              <w:t xml:space="preserve"> mindre vindmøller på gardsbruk</w:t>
            </w:r>
          </w:p>
        </w:tc>
        <w:tc>
          <w:tcPr>
            <w:tcW w:w="1645" w:type="dxa"/>
            <w:tcBorders>
              <w:top w:val="nil"/>
              <w:left w:val="nil"/>
              <w:bottom w:val="nil"/>
              <w:right w:val="nil"/>
            </w:tcBorders>
            <w:tcMar>
              <w:top w:w="128" w:type="dxa"/>
              <w:left w:w="43" w:type="dxa"/>
              <w:bottom w:w="43" w:type="dxa"/>
              <w:right w:w="43" w:type="dxa"/>
            </w:tcMar>
            <w:vAlign w:val="bottom"/>
          </w:tcPr>
          <w:p w14:paraId="400D463F" w14:textId="77777777" w:rsidR="00FE02EF" w:rsidRPr="00CC19F7" w:rsidRDefault="00881E58" w:rsidP="00CC19F7">
            <w:pPr>
              <w:jc w:val="right"/>
            </w:pPr>
            <w:r w:rsidRPr="00CC19F7">
              <w:t>Ja</w:t>
            </w:r>
          </w:p>
        </w:tc>
      </w:tr>
      <w:tr w:rsidR="00FE02EF" w:rsidRPr="00CC19F7" w14:paraId="17963F5B" w14:textId="77777777" w:rsidTr="005F29B2">
        <w:trPr>
          <w:trHeight w:val="640"/>
        </w:trPr>
        <w:tc>
          <w:tcPr>
            <w:tcW w:w="1180" w:type="dxa"/>
            <w:tcBorders>
              <w:top w:val="nil"/>
              <w:left w:val="nil"/>
              <w:bottom w:val="nil"/>
              <w:right w:val="nil"/>
            </w:tcBorders>
            <w:tcMar>
              <w:top w:w="128" w:type="dxa"/>
              <w:left w:w="43" w:type="dxa"/>
              <w:bottom w:w="43" w:type="dxa"/>
              <w:right w:w="43" w:type="dxa"/>
            </w:tcMar>
          </w:tcPr>
          <w:p w14:paraId="1400F61B" w14:textId="77777777" w:rsidR="00FE02EF" w:rsidRPr="00CC19F7" w:rsidRDefault="00881E58" w:rsidP="00CC19F7">
            <w:r w:rsidRPr="00CC19F7">
              <w:t>2021–2022</w:t>
            </w:r>
          </w:p>
        </w:tc>
        <w:tc>
          <w:tcPr>
            <w:tcW w:w="1045" w:type="dxa"/>
            <w:tcBorders>
              <w:top w:val="nil"/>
              <w:left w:val="nil"/>
              <w:bottom w:val="nil"/>
              <w:right w:val="nil"/>
            </w:tcBorders>
            <w:tcMar>
              <w:top w:w="128" w:type="dxa"/>
              <w:left w:w="43" w:type="dxa"/>
              <w:bottom w:w="43" w:type="dxa"/>
              <w:right w:w="43" w:type="dxa"/>
            </w:tcMar>
          </w:tcPr>
          <w:p w14:paraId="03EE20BC" w14:textId="77777777" w:rsidR="00FE02EF" w:rsidRPr="00CC19F7" w:rsidRDefault="00881E58" w:rsidP="00CC19F7">
            <w:pPr>
              <w:ind w:right="284"/>
              <w:jc w:val="right"/>
            </w:pPr>
            <w:r w:rsidRPr="00CC19F7">
              <w:t>708</w:t>
            </w:r>
          </w:p>
        </w:tc>
        <w:tc>
          <w:tcPr>
            <w:tcW w:w="5670" w:type="dxa"/>
            <w:tcBorders>
              <w:top w:val="nil"/>
              <w:left w:val="nil"/>
              <w:bottom w:val="nil"/>
              <w:right w:val="nil"/>
            </w:tcBorders>
            <w:tcMar>
              <w:top w:w="128" w:type="dxa"/>
              <w:left w:w="43" w:type="dxa"/>
              <w:bottom w:w="43" w:type="dxa"/>
              <w:right w:w="43" w:type="dxa"/>
            </w:tcMar>
          </w:tcPr>
          <w:p w14:paraId="616A853E" w14:textId="77777777" w:rsidR="00FE02EF" w:rsidRPr="00CC19F7" w:rsidRDefault="00881E58" w:rsidP="00CC19F7">
            <w:r w:rsidRPr="00CC19F7">
              <w:t xml:space="preserve">Havvind – etablere eigna regime for </w:t>
            </w:r>
            <w:proofErr w:type="spellStart"/>
            <w:r w:rsidRPr="00CC19F7">
              <w:t>risikoavlasting</w:t>
            </w:r>
            <w:proofErr w:type="spellEnd"/>
            <w:r w:rsidRPr="00CC19F7">
              <w:t xml:space="preserve"> og statsstøtte, </w:t>
            </w:r>
            <w:proofErr w:type="spellStart"/>
            <w:r w:rsidRPr="00CC19F7">
              <w:t>medrekna</w:t>
            </w:r>
            <w:proofErr w:type="spellEnd"/>
            <w:r w:rsidRPr="00CC19F7">
              <w:t xml:space="preserve"> </w:t>
            </w:r>
            <w:proofErr w:type="spellStart"/>
            <w:r w:rsidRPr="00CC19F7">
              <w:t>differansekontraktar</w:t>
            </w:r>
            <w:proofErr w:type="spellEnd"/>
          </w:p>
        </w:tc>
        <w:tc>
          <w:tcPr>
            <w:tcW w:w="1645" w:type="dxa"/>
            <w:tcBorders>
              <w:top w:val="nil"/>
              <w:left w:val="nil"/>
              <w:bottom w:val="nil"/>
              <w:right w:val="nil"/>
            </w:tcBorders>
            <w:tcMar>
              <w:top w:w="128" w:type="dxa"/>
              <w:left w:w="43" w:type="dxa"/>
              <w:bottom w:w="43" w:type="dxa"/>
              <w:right w:w="43" w:type="dxa"/>
            </w:tcMar>
            <w:vAlign w:val="bottom"/>
          </w:tcPr>
          <w:p w14:paraId="4E867729" w14:textId="77777777" w:rsidR="00FE02EF" w:rsidRPr="00CC19F7" w:rsidRDefault="00881E58" w:rsidP="00CC19F7">
            <w:pPr>
              <w:jc w:val="right"/>
            </w:pPr>
            <w:r w:rsidRPr="00CC19F7">
              <w:t>Ja</w:t>
            </w:r>
          </w:p>
        </w:tc>
      </w:tr>
      <w:tr w:rsidR="00FE02EF" w:rsidRPr="00CC19F7" w14:paraId="35931209" w14:textId="77777777" w:rsidTr="005F29B2">
        <w:trPr>
          <w:trHeight w:val="380"/>
        </w:trPr>
        <w:tc>
          <w:tcPr>
            <w:tcW w:w="1180" w:type="dxa"/>
            <w:tcBorders>
              <w:top w:val="nil"/>
              <w:left w:val="nil"/>
              <w:bottom w:val="nil"/>
              <w:right w:val="nil"/>
            </w:tcBorders>
            <w:tcMar>
              <w:top w:w="128" w:type="dxa"/>
              <w:left w:w="43" w:type="dxa"/>
              <w:bottom w:w="43" w:type="dxa"/>
              <w:right w:w="43" w:type="dxa"/>
            </w:tcMar>
          </w:tcPr>
          <w:p w14:paraId="7A094944" w14:textId="77777777" w:rsidR="00FE02EF" w:rsidRPr="00CC19F7" w:rsidRDefault="00881E58" w:rsidP="00CC19F7">
            <w:r w:rsidRPr="00CC19F7">
              <w:t>2021–2022</w:t>
            </w:r>
          </w:p>
        </w:tc>
        <w:tc>
          <w:tcPr>
            <w:tcW w:w="1045" w:type="dxa"/>
            <w:tcBorders>
              <w:top w:val="nil"/>
              <w:left w:val="nil"/>
              <w:bottom w:val="nil"/>
              <w:right w:val="nil"/>
            </w:tcBorders>
            <w:tcMar>
              <w:top w:w="128" w:type="dxa"/>
              <w:left w:w="43" w:type="dxa"/>
              <w:bottom w:w="43" w:type="dxa"/>
              <w:right w:w="43" w:type="dxa"/>
            </w:tcMar>
          </w:tcPr>
          <w:p w14:paraId="514CB348" w14:textId="77777777" w:rsidR="00FE02EF" w:rsidRPr="00CC19F7" w:rsidRDefault="00881E58" w:rsidP="00CC19F7">
            <w:pPr>
              <w:ind w:right="284"/>
              <w:jc w:val="right"/>
            </w:pPr>
            <w:r w:rsidRPr="00CC19F7">
              <w:t>716</w:t>
            </w:r>
          </w:p>
        </w:tc>
        <w:tc>
          <w:tcPr>
            <w:tcW w:w="5670" w:type="dxa"/>
            <w:tcBorders>
              <w:top w:val="nil"/>
              <w:left w:val="nil"/>
              <w:bottom w:val="nil"/>
              <w:right w:val="nil"/>
            </w:tcBorders>
            <w:tcMar>
              <w:top w:w="128" w:type="dxa"/>
              <w:left w:w="43" w:type="dxa"/>
              <w:bottom w:w="43" w:type="dxa"/>
              <w:right w:w="43" w:type="dxa"/>
            </w:tcMar>
          </w:tcPr>
          <w:p w14:paraId="0686BB7C" w14:textId="77777777" w:rsidR="00FE02EF" w:rsidRPr="00CC19F7" w:rsidRDefault="00881E58" w:rsidP="00CC19F7">
            <w:r w:rsidRPr="00CC19F7">
              <w:t xml:space="preserve">Havvind – vurdere å fastsette delmål for arealtildeling </w:t>
            </w:r>
            <w:proofErr w:type="spellStart"/>
            <w:r w:rsidRPr="00CC19F7">
              <w:t>innan</w:t>
            </w:r>
            <w:proofErr w:type="spellEnd"/>
            <w:r w:rsidRPr="00CC19F7">
              <w:t xml:space="preserve"> 2030</w:t>
            </w:r>
          </w:p>
        </w:tc>
        <w:tc>
          <w:tcPr>
            <w:tcW w:w="1645" w:type="dxa"/>
            <w:tcBorders>
              <w:top w:val="nil"/>
              <w:left w:val="nil"/>
              <w:bottom w:val="nil"/>
              <w:right w:val="nil"/>
            </w:tcBorders>
            <w:tcMar>
              <w:top w:w="128" w:type="dxa"/>
              <w:left w:w="43" w:type="dxa"/>
              <w:bottom w:w="43" w:type="dxa"/>
              <w:right w:w="43" w:type="dxa"/>
            </w:tcMar>
            <w:vAlign w:val="bottom"/>
          </w:tcPr>
          <w:p w14:paraId="79D32DDB" w14:textId="77777777" w:rsidR="00FE02EF" w:rsidRPr="00CC19F7" w:rsidRDefault="00881E58" w:rsidP="00CC19F7">
            <w:pPr>
              <w:jc w:val="right"/>
            </w:pPr>
            <w:r w:rsidRPr="00CC19F7">
              <w:t>Nei</w:t>
            </w:r>
          </w:p>
        </w:tc>
      </w:tr>
      <w:tr w:rsidR="00FE02EF" w:rsidRPr="00CC19F7" w14:paraId="505A57ED" w14:textId="77777777" w:rsidTr="005F29B2">
        <w:trPr>
          <w:trHeight w:val="380"/>
        </w:trPr>
        <w:tc>
          <w:tcPr>
            <w:tcW w:w="1180" w:type="dxa"/>
            <w:tcBorders>
              <w:top w:val="nil"/>
              <w:left w:val="nil"/>
              <w:bottom w:val="nil"/>
              <w:right w:val="nil"/>
            </w:tcBorders>
            <w:tcMar>
              <w:top w:w="128" w:type="dxa"/>
              <w:left w:w="43" w:type="dxa"/>
              <w:bottom w:w="43" w:type="dxa"/>
              <w:right w:w="43" w:type="dxa"/>
            </w:tcMar>
          </w:tcPr>
          <w:p w14:paraId="6627B743" w14:textId="77777777" w:rsidR="00FE02EF" w:rsidRPr="00CC19F7" w:rsidRDefault="00881E58" w:rsidP="00CC19F7">
            <w:r w:rsidRPr="00CC19F7">
              <w:t>2021–2022</w:t>
            </w:r>
          </w:p>
        </w:tc>
        <w:tc>
          <w:tcPr>
            <w:tcW w:w="1045" w:type="dxa"/>
            <w:tcBorders>
              <w:top w:val="nil"/>
              <w:left w:val="nil"/>
              <w:bottom w:val="nil"/>
              <w:right w:val="nil"/>
            </w:tcBorders>
            <w:tcMar>
              <w:top w:w="128" w:type="dxa"/>
              <w:left w:w="43" w:type="dxa"/>
              <w:bottom w:w="43" w:type="dxa"/>
              <w:right w:w="43" w:type="dxa"/>
            </w:tcMar>
          </w:tcPr>
          <w:p w14:paraId="1CAE76EF" w14:textId="77777777" w:rsidR="00FE02EF" w:rsidRPr="00CC19F7" w:rsidRDefault="00881E58" w:rsidP="00CC19F7">
            <w:pPr>
              <w:ind w:right="284"/>
              <w:jc w:val="right"/>
            </w:pPr>
            <w:r w:rsidRPr="00CC19F7">
              <w:t>724</w:t>
            </w:r>
          </w:p>
        </w:tc>
        <w:tc>
          <w:tcPr>
            <w:tcW w:w="5670" w:type="dxa"/>
            <w:tcBorders>
              <w:top w:val="nil"/>
              <w:left w:val="nil"/>
              <w:bottom w:val="nil"/>
              <w:right w:val="nil"/>
            </w:tcBorders>
            <w:tcMar>
              <w:top w:w="128" w:type="dxa"/>
              <w:left w:w="43" w:type="dxa"/>
              <w:bottom w:w="43" w:type="dxa"/>
              <w:right w:w="43" w:type="dxa"/>
            </w:tcMar>
          </w:tcPr>
          <w:p w14:paraId="6C157062" w14:textId="77777777" w:rsidR="00FE02EF" w:rsidRPr="00CC19F7" w:rsidRDefault="00881E58" w:rsidP="00CC19F7">
            <w:r w:rsidRPr="00CC19F7">
              <w:t>Vurdere potensialet for småskala vindkraft-produksjon</w:t>
            </w:r>
          </w:p>
        </w:tc>
        <w:tc>
          <w:tcPr>
            <w:tcW w:w="1645" w:type="dxa"/>
            <w:tcBorders>
              <w:top w:val="nil"/>
              <w:left w:val="nil"/>
              <w:bottom w:val="nil"/>
              <w:right w:val="nil"/>
            </w:tcBorders>
            <w:tcMar>
              <w:top w:w="128" w:type="dxa"/>
              <w:left w:w="43" w:type="dxa"/>
              <w:bottom w:w="43" w:type="dxa"/>
              <w:right w:w="43" w:type="dxa"/>
            </w:tcMar>
            <w:vAlign w:val="bottom"/>
          </w:tcPr>
          <w:p w14:paraId="0D855D56" w14:textId="77777777" w:rsidR="00FE02EF" w:rsidRPr="00CC19F7" w:rsidRDefault="00881E58" w:rsidP="00CC19F7">
            <w:pPr>
              <w:jc w:val="right"/>
            </w:pPr>
            <w:r w:rsidRPr="00CC19F7">
              <w:t>Ja</w:t>
            </w:r>
          </w:p>
        </w:tc>
      </w:tr>
      <w:tr w:rsidR="00FE02EF" w:rsidRPr="00CC19F7" w14:paraId="7CD68413" w14:textId="77777777" w:rsidTr="005F29B2">
        <w:trPr>
          <w:trHeight w:val="640"/>
        </w:trPr>
        <w:tc>
          <w:tcPr>
            <w:tcW w:w="1180" w:type="dxa"/>
            <w:tcBorders>
              <w:top w:val="nil"/>
              <w:left w:val="nil"/>
              <w:bottom w:val="nil"/>
              <w:right w:val="nil"/>
            </w:tcBorders>
            <w:tcMar>
              <w:top w:w="128" w:type="dxa"/>
              <w:left w:w="43" w:type="dxa"/>
              <w:bottom w:w="43" w:type="dxa"/>
              <w:right w:w="43" w:type="dxa"/>
            </w:tcMar>
          </w:tcPr>
          <w:p w14:paraId="34EBF4F7" w14:textId="77777777" w:rsidR="00FE02EF" w:rsidRPr="00CC19F7" w:rsidRDefault="00881E58" w:rsidP="00CC19F7">
            <w:r w:rsidRPr="00CC19F7">
              <w:t>2021–2022</w:t>
            </w:r>
          </w:p>
        </w:tc>
        <w:tc>
          <w:tcPr>
            <w:tcW w:w="1045" w:type="dxa"/>
            <w:tcBorders>
              <w:top w:val="nil"/>
              <w:left w:val="nil"/>
              <w:bottom w:val="nil"/>
              <w:right w:val="nil"/>
            </w:tcBorders>
            <w:tcMar>
              <w:top w:w="128" w:type="dxa"/>
              <w:left w:w="43" w:type="dxa"/>
              <w:bottom w:w="43" w:type="dxa"/>
              <w:right w:w="43" w:type="dxa"/>
            </w:tcMar>
          </w:tcPr>
          <w:p w14:paraId="5B2187B6" w14:textId="77777777" w:rsidR="00FE02EF" w:rsidRPr="00CC19F7" w:rsidRDefault="00881E58" w:rsidP="00CC19F7">
            <w:pPr>
              <w:ind w:right="284"/>
              <w:jc w:val="right"/>
            </w:pPr>
            <w:r w:rsidRPr="00CC19F7">
              <w:t>727</w:t>
            </w:r>
          </w:p>
        </w:tc>
        <w:tc>
          <w:tcPr>
            <w:tcW w:w="5670" w:type="dxa"/>
            <w:tcBorders>
              <w:top w:val="nil"/>
              <w:left w:val="nil"/>
              <w:bottom w:val="nil"/>
              <w:right w:val="nil"/>
            </w:tcBorders>
            <w:tcMar>
              <w:top w:w="128" w:type="dxa"/>
              <w:left w:w="43" w:type="dxa"/>
              <w:bottom w:w="43" w:type="dxa"/>
              <w:right w:w="43" w:type="dxa"/>
            </w:tcMar>
          </w:tcPr>
          <w:p w14:paraId="3060451C" w14:textId="77777777" w:rsidR="00FE02EF" w:rsidRPr="00CC19F7" w:rsidRDefault="00881E58" w:rsidP="00CC19F7">
            <w:r w:rsidRPr="00CC19F7">
              <w:t xml:space="preserve">Mål om </w:t>
            </w:r>
            <w:proofErr w:type="spellStart"/>
            <w:r w:rsidRPr="00CC19F7">
              <w:t>auka</w:t>
            </w:r>
            <w:proofErr w:type="spellEnd"/>
            <w:r w:rsidRPr="00CC19F7">
              <w:t xml:space="preserve"> energisparing – greie ut ulike </w:t>
            </w:r>
            <w:proofErr w:type="spellStart"/>
            <w:r w:rsidRPr="00CC19F7">
              <w:t>ordningar</w:t>
            </w:r>
            <w:proofErr w:type="spellEnd"/>
            <w:r w:rsidRPr="00CC19F7">
              <w:t xml:space="preserve"> med energisparesertifikat</w:t>
            </w:r>
          </w:p>
        </w:tc>
        <w:tc>
          <w:tcPr>
            <w:tcW w:w="1645" w:type="dxa"/>
            <w:tcBorders>
              <w:top w:val="nil"/>
              <w:left w:val="nil"/>
              <w:bottom w:val="nil"/>
              <w:right w:val="nil"/>
            </w:tcBorders>
            <w:tcMar>
              <w:top w:w="128" w:type="dxa"/>
              <w:left w:w="43" w:type="dxa"/>
              <w:bottom w:w="43" w:type="dxa"/>
              <w:right w:w="43" w:type="dxa"/>
            </w:tcMar>
            <w:vAlign w:val="bottom"/>
          </w:tcPr>
          <w:p w14:paraId="7847FD8A" w14:textId="77777777" w:rsidR="00FE02EF" w:rsidRPr="00CC19F7" w:rsidRDefault="00881E58" w:rsidP="00CC19F7">
            <w:pPr>
              <w:jc w:val="right"/>
            </w:pPr>
            <w:r w:rsidRPr="00CC19F7">
              <w:t>Nei</w:t>
            </w:r>
          </w:p>
        </w:tc>
      </w:tr>
      <w:tr w:rsidR="00FE02EF" w:rsidRPr="00CC19F7" w14:paraId="1B820B9C" w14:textId="77777777" w:rsidTr="005F29B2">
        <w:trPr>
          <w:trHeight w:val="640"/>
        </w:trPr>
        <w:tc>
          <w:tcPr>
            <w:tcW w:w="1180" w:type="dxa"/>
            <w:tcBorders>
              <w:top w:val="nil"/>
              <w:left w:val="nil"/>
              <w:bottom w:val="nil"/>
              <w:right w:val="nil"/>
            </w:tcBorders>
            <w:tcMar>
              <w:top w:w="128" w:type="dxa"/>
              <w:left w:w="43" w:type="dxa"/>
              <w:bottom w:w="43" w:type="dxa"/>
              <w:right w:w="43" w:type="dxa"/>
            </w:tcMar>
          </w:tcPr>
          <w:p w14:paraId="4C95D14D" w14:textId="77777777" w:rsidR="00FE02EF" w:rsidRPr="00CC19F7" w:rsidRDefault="00881E58" w:rsidP="00CC19F7">
            <w:r w:rsidRPr="00CC19F7">
              <w:t>2021–2022</w:t>
            </w:r>
          </w:p>
        </w:tc>
        <w:tc>
          <w:tcPr>
            <w:tcW w:w="1045" w:type="dxa"/>
            <w:tcBorders>
              <w:top w:val="nil"/>
              <w:left w:val="nil"/>
              <w:bottom w:val="nil"/>
              <w:right w:val="nil"/>
            </w:tcBorders>
            <w:tcMar>
              <w:top w:w="128" w:type="dxa"/>
              <w:left w:w="43" w:type="dxa"/>
              <w:bottom w:w="43" w:type="dxa"/>
              <w:right w:w="43" w:type="dxa"/>
            </w:tcMar>
          </w:tcPr>
          <w:p w14:paraId="2A8B4F51" w14:textId="77777777" w:rsidR="00FE02EF" w:rsidRPr="00CC19F7" w:rsidRDefault="00881E58" w:rsidP="00CC19F7">
            <w:pPr>
              <w:ind w:right="284"/>
              <w:jc w:val="right"/>
            </w:pPr>
            <w:r w:rsidRPr="00CC19F7">
              <w:t>731</w:t>
            </w:r>
          </w:p>
        </w:tc>
        <w:tc>
          <w:tcPr>
            <w:tcW w:w="5670" w:type="dxa"/>
            <w:tcBorders>
              <w:top w:val="nil"/>
              <w:left w:val="nil"/>
              <w:bottom w:val="nil"/>
              <w:right w:val="nil"/>
            </w:tcBorders>
            <w:tcMar>
              <w:top w:w="128" w:type="dxa"/>
              <w:left w:w="43" w:type="dxa"/>
              <w:bottom w:w="43" w:type="dxa"/>
              <w:right w:w="43" w:type="dxa"/>
            </w:tcMar>
          </w:tcPr>
          <w:p w14:paraId="3D6E8FD2" w14:textId="77777777" w:rsidR="00FE02EF" w:rsidRPr="00CC19F7" w:rsidRDefault="00881E58" w:rsidP="00CC19F7">
            <w:r w:rsidRPr="00CC19F7">
              <w:t xml:space="preserve">Prioritere kven som får </w:t>
            </w:r>
            <w:proofErr w:type="spellStart"/>
            <w:r w:rsidRPr="00CC19F7">
              <w:t>tilknyting</w:t>
            </w:r>
            <w:proofErr w:type="spellEnd"/>
            <w:r w:rsidRPr="00CC19F7">
              <w:t xml:space="preserve"> til og uttak </w:t>
            </w:r>
            <w:proofErr w:type="spellStart"/>
            <w:r w:rsidRPr="00CC19F7">
              <w:t>frå</w:t>
            </w:r>
            <w:proofErr w:type="spellEnd"/>
            <w:r w:rsidRPr="00CC19F7">
              <w:t xml:space="preserve"> nettet av større nye </w:t>
            </w:r>
            <w:proofErr w:type="spellStart"/>
            <w:r w:rsidRPr="00CC19F7">
              <w:t>forbrukarar</w:t>
            </w:r>
            <w:proofErr w:type="spellEnd"/>
          </w:p>
        </w:tc>
        <w:tc>
          <w:tcPr>
            <w:tcW w:w="1645" w:type="dxa"/>
            <w:tcBorders>
              <w:top w:val="nil"/>
              <w:left w:val="nil"/>
              <w:bottom w:val="nil"/>
              <w:right w:val="nil"/>
            </w:tcBorders>
            <w:tcMar>
              <w:top w:w="128" w:type="dxa"/>
              <w:left w:w="43" w:type="dxa"/>
              <w:bottom w:w="43" w:type="dxa"/>
              <w:right w:w="43" w:type="dxa"/>
            </w:tcMar>
            <w:vAlign w:val="bottom"/>
          </w:tcPr>
          <w:p w14:paraId="55904A5F" w14:textId="77777777" w:rsidR="00FE02EF" w:rsidRPr="00CC19F7" w:rsidRDefault="00881E58" w:rsidP="00CC19F7">
            <w:pPr>
              <w:jc w:val="right"/>
            </w:pPr>
            <w:r w:rsidRPr="00CC19F7">
              <w:t>Ja</w:t>
            </w:r>
          </w:p>
        </w:tc>
      </w:tr>
      <w:tr w:rsidR="00FE02EF" w:rsidRPr="00CC19F7" w14:paraId="1CE62348" w14:textId="77777777" w:rsidTr="005F29B2">
        <w:trPr>
          <w:trHeight w:val="640"/>
        </w:trPr>
        <w:tc>
          <w:tcPr>
            <w:tcW w:w="1180" w:type="dxa"/>
            <w:tcBorders>
              <w:top w:val="nil"/>
              <w:left w:val="nil"/>
              <w:bottom w:val="nil"/>
              <w:right w:val="nil"/>
            </w:tcBorders>
            <w:tcMar>
              <w:top w:w="128" w:type="dxa"/>
              <w:left w:w="43" w:type="dxa"/>
              <w:bottom w:w="43" w:type="dxa"/>
              <w:right w:w="43" w:type="dxa"/>
            </w:tcMar>
          </w:tcPr>
          <w:p w14:paraId="67042521" w14:textId="77777777" w:rsidR="00FE02EF" w:rsidRPr="00CC19F7" w:rsidRDefault="00881E58" w:rsidP="00CC19F7">
            <w:r w:rsidRPr="00CC19F7">
              <w:t>2021–2022</w:t>
            </w:r>
          </w:p>
        </w:tc>
        <w:tc>
          <w:tcPr>
            <w:tcW w:w="1045" w:type="dxa"/>
            <w:tcBorders>
              <w:top w:val="nil"/>
              <w:left w:val="nil"/>
              <w:bottom w:val="nil"/>
              <w:right w:val="nil"/>
            </w:tcBorders>
            <w:tcMar>
              <w:top w:w="128" w:type="dxa"/>
              <w:left w:w="43" w:type="dxa"/>
              <w:bottom w:w="43" w:type="dxa"/>
              <w:right w:w="43" w:type="dxa"/>
            </w:tcMar>
          </w:tcPr>
          <w:p w14:paraId="25114B71" w14:textId="77777777" w:rsidR="00FE02EF" w:rsidRPr="00CC19F7" w:rsidRDefault="00881E58" w:rsidP="00CC19F7">
            <w:pPr>
              <w:ind w:right="284"/>
              <w:jc w:val="right"/>
            </w:pPr>
            <w:r w:rsidRPr="00CC19F7">
              <w:t>742</w:t>
            </w:r>
          </w:p>
        </w:tc>
        <w:tc>
          <w:tcPr>
            <w:tcW w:w="5670" w:type="dxa"/>
            <w:tcBorders>
              <w:top w:val="nil"/>
              <w:left w:val="nil"/>
              <w:bottom w:val="nil"/>
              <w:right w:val="nil"/>
            </w:tcBorders>
            <w:tcMar>
              <w:top w:w="128" w:type="dxa"/>
              <w:left w:w="43" w:type="dxa"/>
              <w:bottom w:w="43" w:type="dxa"/>
              <w:right w:w="43" w:type="dxa"/>
            </w:tcMar>
          </w:tcPr>
          <w:p w14:paraId="2387E979" w14:textId="5F81C0F1" w:rsidR="00FE02EF" w:rsidRPr="00CC19F7" w:rsidRDefault="00881E58" w:rsidP="00CC19F7">
            <w:r w:rsidRPr="00CC19F7">
              <w:t xml:space="preserve">Hydrogen – utvikle </w:t>
            </w:r>
            <w:proofErr w:type="spellStart"/>
            <w:r w:rsidRPr="00CC19F7">
              <w:t>eit</w:t>
            </w:r>
            <w:proofErr w:type="spellEnd"/>
            <w:r w:rsidRPr="00CC19F7">
              <w:t xml:space="preserve"> </w:t>
            </w:r>
            <w:proofErr w:type="spellStart"/>
            <w:r w:rsidRPr="00CC19F7">
              <w:t>landsdekkande</w:t>
            </w:r>
            <w:proofErr w:type="spellEnd"/>
            <w:r w:rsidRPr="00CC19F7">
              <w:t xml:space="preserve"> nettverk av </w:t>
            </w:r>
            <w:proofErr w:type="spellStart"/>
            <w:r w:rsidRPr="00CC19F7">
              <w:t>fyllestasjonar</w:t>
            </w:r>
            <w:proofErr w:type="spellEnd"/>
            <w:r w:rsidRPr="00CC19F7">
              <w:t xml:space="preserve"> og knutepunkt</w:t>
            </w:r>
          </w:p>
        </w:tc>
        <w:tc>
          <w:tcPr>
            <w:tcW w:w="1645" w:type="dxa"/>
            <w:tcBorders>
              <w:top w:val="nil"/>
              <w:left w:val="nil"/>
              <w:bottom w:val="nil"/>
              <w:right w:val="nil"/>
            </w:tcBorders>
            <w:tcMar>
              <w:top w:w="128" w:type="dxa"/>
              <w:left w:w="43" w:type="dxa"/>
              <w:bottom w:w="43" w:type="dxa"/>
              <w:right w:w="43" w:type="dxa"/>
            </w:tcMar>
            <w:vAlign w:val="bottom"/>
          </w:tcPr>
          <w:p w14:paraId="30147C02" w14:textId="77777777" w:rsidR="00FE02EF" w:rsidRPr="00CC19F7" w:rsidRDefault="00881E58" w:rsidP="00CC19F7">
            <w:pPr>
              <w:jc w:val="right"/>
            </w:pPr>
            <w:r w:rsidRPr="00CC19F7">
              <w:t>Ja</w:t>
            </w:r>
          </w:p>
        </w:tc>
      </w:tr>
      <w:tr w:rsidR="00FE02EF" w:rsidRPr="00CC19F7" w14:paraId="29ABF055" w14:textId="77777777" w:rsidTr="005F29B2">
        <w:trPr>
          <w:trHeight w:val="380"/>
        </w:trPr>
        <w:tc>
          <w:tcPr>
            <w:tcW w:w="1180" w:type="dxa"/>
            <w:tcBorders>
              <w:top w:val="nil"/>
              <w:left w:val="nil"/>
              <w:bottom w:val="nil"/>
              <w:right w:val="nil"/>
            </w:tcBorders>
            <w:tcMar>
              <w:top w:w="128" w:type="dxa"/>
              <w:left w:w="43" w:type="dxa"/>
              <w:bottom w:w="43" w:type="dxa"/>
              <w:right w:w="43" w:type="dxa"/>
            </w:tcMar>
          </w:tcPr>
          <w:p w14:paraId="43E450BB" w14:textId="77777777" w:rsidR="00FE02EF" w:rsidRPr="00CC19F7" w:rsidRDefault="00881E58" w:rsidP="00CC19F7">
            <w:r w:rsidRPr="00CC19F7">
              <w:t>2021–2022</w:t>
            </w:r>
          </w:p>
        </w:tc>
        <w:tc>
          <w:tcPr>
            <w:tcW w:w="1045" w:type="dxa"/>
            <w:tcBorders>
              <w:top w:val="nil"/>
              <w:left w:val="nil"/>
              <w:bottom w:val="nil"/>
              <w:right w:val="nil"/>
            </w:tcBorders>
            <w:tcMar>
              <w:top w:w="128" w:type="dxa"/>
              <w:left w:w="43" w:type="dxa"/>
              <w:bottom w:w="43" w:type="dxa"/>
              <w:right w:w="43" w:type="dxa"/>
            </w:tcMar>
          </w:tcPr>
          <w:p w14:paraId="28F9EC07" w14:textId="77777777" w:rsidR="00FE02EF" w:rsidRPr="00CC19F7" w:rsidRDefault="00881E58" w:rsidP="00CC19F7">
            <w:pPr>
              <w:ind w:right="284"/>
              <w:jc w:val="right"/>
            </w:pPr>
            <w:r w:rsidRPr="00CC19F7">
              <w:t>743</w:t>
            </w:r>
          </w:p>
        </w:tc>
        <w:tc>
          <w:tcPr>
            <w:tcW w:w="5670" w:type="dxa"/>
            <w:tcBorders>
              <w:top w:val="nil"/>
              <w:left w:val="nil"/>
              <w:bottom w:val="nil"/>
              <w:right w:val="nil"/>
            </w:tcBorders>
            <w:tcMar>
              <w:top w:w="128" w:type="dxa"/>
              <w:left w:w="43" w:type="dxa"/>
              <w:bottom w:w="43" w:type="dxa"/>
              <w:right w:w="43" w:type="dxa"/>
            </w:tcMar>
          </w:tcPr>
          <w:p w14:paraId="16E09712" w14:textId="77777777" w:rsidR="00FE02EF" w:rsidRPr="00CC19F7" w:rsidRDefault="00881E58" w:rsidP="00CC19F7">
            <w:r w:rsidRPr="00CC19F7">
              <w:t xml:space="preserve">Krav om utnytting av </w:t>
            </w:r>
            <w:proofErr w:type="spellStart"/>
            <w:r w:rsidRPr="00CC19F7">
              <w:t>overskotsvarme</w:t>
            </w:r>
            <w:proofErr w:type="spellEnd"/>
          </w:p>
        </w:tc>
        <w:tc>
          <w:tcPr>
            <w:tcW w:w="1645" w:type="dxa"/>
            <w:tcBorders>
              <w:top w:val="nil"/>
              <w:left w:val="nil"/>
              <w:bottom w:val="nil"/>
              <w:right w:val="nil"/>
            </w:tcBorders>
            <w:tcMar>
              <w:top w:w="128" w:type="dxa"/>
              <w:left w:w="43" w:type="dxa"/>
              <w:bottom w:w="43" w:type="dxa"/>
              <w:right w:w="43" w:type="dxa"/>
            </w:tcMar>
            <w:vAlign w:val="bottom"/>
          </w:tcPr>
          <w:p w14:paraId="41104ECD" w14:textId="77777777" w:rsidR="00FE02EF" w:rsidRPr="00CC19F7" w:rsidRDefault="00881E58" w:rsidP="00CC19F7">
            <w:pPr>
              <w:jc w:val="right"/>
            </w:pPr>
            <w:r w:rsidRPr="00CC19F7">
              <w:t>Ja</w:t>
            </w:r>
          </w:p>
        </w:tc>
      </w:tr>
      <w:tr w:rsidR="00FE02EF" w:rsidRPr="00CC19F7" w14:paraId="293D9DEE" w14:textId="77777777" w:rsidTr="005F29B2">
        <w:trPr>
          <w:trHeight w:val="380"/>
        </w:trPr>
        <w:tc>
          <w:tcPr>
            <w:tcW w:w="1180" w:type="dxa"/>
            <w:tcBorders>
              <w:top w:val="nil"/>
              <w:left w:val="nil"/>
              <w:bottom w:val="nil"/>
              <w:right w:val="nil"/>
            </w:tcBorders>
            <w:tcMar>
              <w:top w:w="128" w:type="dxa"/>
              <w:left w:w="43" w:type="dxa"/>
              <w:bottom w:w="43" w:type="dxa"/>
              <w:right w:w="43" w:type="dxa"/>
            </w:tcMar>
          </w:tcPr>
          <w:p w14:paraId="442FA8E6" w14:textId="77777777" w:rsidR="00FE02EF" w:rsidRPr="00CC19F7" w:rsidRDefault="00881E58" w:rsidP="00CC19F7">
            <w:r w:rsidRPr="00CC19F7">
              <w:t>2021–2022</w:t>
            </w:r>
          </w:p>
        </w:tc>
        <w:tc>
          <w:tcPr>
            <w:tcW w:w="1045" w:type="dxa"/>
            <w:tcBorders>
              <w:top w:val="nil"/>
              <w:left w:val="nil"/>
              <w:bottom w:val="nil"/>
              <w:right w:val="nil"/>
            </w:tcBorders>
            <w:tcMar>
              <w:top w:w="128" w:type="dxa"/>
              <w:left w:w="43" w:type="dxa"/>
              <w:bottom w:w="43" w:type="dxa"/>
              <w:right w:w="43" w:type="dxa"/>
            </w:tcMar>
          </w:tcPr>
          <w:p w14:paraId="736F45FC" w14:textId="77777777" w:rsidR="00FE02EF" w:rsidRPr="00CC19F7" w:rsidRDefault="00881E58" w:rsidP="00CC19F7">
            <w:pPr>
              <w:ind w:right="284"/>
              <w:jc w:val="right"/>
            </w:pPr>
            <w:r w:rsidRPr="00CC19F7">
              <w:t>746</w:t>
            </w:r>
          </w:p>
        </w:tc>
        <w:tc>
          <w:tcPr>
            <w:tcW w:w="5670" w:type="dxa"/>
            <w:tcBorders>
              <w:top w:val="nil"/>
              <w:left w:val="nil"/>
              <w:bottom w:val="nil"/>
              <w:right w:val="nil"/>
            </w:tcBorders>
            <w:tcMar>
              <w:top w:w="128" w:type="dxa"/>
              <w:left w:w="43" w:type="dxa"/>
              <w:bottom w:w="43" w:type="dxa"/>
              <w:right w:w="43" w:type="dxa"/>
            </w:tcMar>
          </w:tcPr>
          <w:p w14:paraId="0EDCCADD" w14:textId="77777777" w:rsidR="00FE02EF" w:rsidRPr="00CC19F7" w:rsidRDefault="00881E58" w:rsidP="00CC19F7">
            <w:r w:rsidRPr="00CC19F7">
              <w:t xml:space="preserve">Prøveordning for </w:t>
            </w:r>
            <w:proofErr w:type="spellStart"/>
            <w:r w:rsidRPr="00CC19F7">
              <w:t>handverksbedrifter</w:t>
            </w:r>
            <w:proofErr w:type="spellEnd"/>
            <w:r w:rsidRPr="00CC19F7">
              <w:t xml:space="preserve"> – energitiltak</w:t>
            </w:r>
          </w:p>
        </w:tc>
        <w:tc>
          <w:tcPr>
            <w:tcW w:w="1645" w:type="dxa"/>
            <w:tcBorders>
              <w:top w:val="nil"/>
              <w:left w:val="nil"/>
              <w:bottom w:val="nil"/>
              <w:right w:val="nil"/>
            </w:tcBorders>
            <w:tcMar>
              <w:top w:w="128" w:type="dxa"/>
              <w:left w:w="43" w:type="dxa"/>
              <w:bottom w:w="43" w:type="dxa"/>
              <w:right w:w="43" w:type="dxa"/>
            </w:tcMar>
            <w:vAlign w:val="bottom"/>
          </w:tcPr>
          <w:p w14:paraId="475F2C91" w14:textId="77777777" w:rsidR="00FE02EF" w:rsidRPr="00CC19F7" w:rsidRDefault="00881E58" w:rsidP="00CC19F7">
            <w:pPr>
              <w:jc w:val="right"/>
            </w:pPr>
            <w:r w:rsidRPr="00CC19F7">
              <w:t>Nei</w:t>
            </w:r>
          </w:p>
        </w:tc>
      </w:tr>
      <w:tr w:rsidR="00FE02EF" w:rsidRPr="00CC19F7" w14:paraId="1EB47777" w14:textId="77777777" w:rsidTr="005F29B2">
        <w:trPr>
          <w:trHeight w:val="380"/>
        </w:trPr>
        <w:tc>
          <w:tcPr>
            <w:tcW w:w="1180" w:type="dxa"/>
            <w:tcBorders>
              <w:top w:val="nil"/>
              <w:left w:val="nil"/>
              <w:bottom w:val="nil"/>
              <w:right w:val="nil"/>
            </w:tcBorders>
            <w:tcMar>
              <w:top w:w="128" w:type="dxa"/>
              <w:left w:w="43" w:type="dxa"/>
              <w:bottom w:w="43" w:type="dxa"/>
              <w:right w:w="43" w:type="dxa"/>
            </w:tcMar>
          </w:tcPr>
          <w:p w14:paraId="3BE0727A" w14:textId="77777777" w:rsidR="00FE02EF" w:rsidRPr="00CC19F7" w:rsidRDefault="00881E58" w:rsidP="00CC19F7">
            <w:r w:rsidRPr="00CC19F7">
              <w:t>2021–2022</w:t>
            </w:r>
          </w:p>
        </w:tc>
        <w:tc>
          <w:tcPr>
            <w:tcW w:w="1045" w:type="dxa"/>
            <w:tcBorders>
              <w:top w:val="nil"/>
              <w:left w:val="nil"/>
              <w:bottom w:val="nil"/>
              <w:right w:val="nil"/>
            </w:tcBorders>
            <w:tcMar>
              <w:top w:w="128" w:type="dxa"/>
              <w:left w:w="43" w:type="dxa"/>
              <w:bottom w:w="43" w:type="dxa"/>
              <w:right w:w="43" w:type="dxa"/>
            </w:tcMar>
          </w:tcPr>
          <w:p w14:paraId="2C9482F2" w14:textId="77777777" w:rsidR="00FE02EF" w:rsidRPr="00CC19F7" w:rsidRDefault="00881E58" w:rsidP="00CC19F7">
            <w:pPr>
              <w:ind w:right="284"/>
              <w:jc w:val="right"/>
            </w:pPr>
            <w:r w:rsidRPr="00CC19F7">
              <w:t>747</w:t>
            </w:r>
          </w:p>
        </w:tc>
        <w:tc>
          <w:tcPr>
            <w:tcW w:w="5670" w:type="dxa"/>
            <w:tcBorders>
              <w:top w:val="nil"/>
              <w:left w:val="nil"/>
              <w:bottom w:val="nil"/>
              <w:right w:val="nil"/>
            </w:tcBorders>
            <w:tcMar>
              <w:top w:w="128" w:type="dxa"/>
              <w:left w:w="43" w:type="dxa"/>
              <w:bottom w:w="43" w:type="dxa"/>
              <w:right w:w="43" w:type="dxa"/>
            </w:tcMar>
          </w:tcPr>
          <w:p w14:paraId="58704279" w14:textId="77777777" w:rsidR="00FE02EF" w:rsidRPr="00CC19F7" w:rsidRDefault="00881E58" w:rsidP="00CC19F7">
            <w:r w:rsidRPr="00CC19F7">
              <w:t xml:space="preserve">Solenergi – </w:t>
            </w:r>
            <w:proofErr w:type="spellStart"/>
            <w:r w:rsidRPr="00CC19F7">
              <w:t>auka</w:t>
            </w:r>
            <w:proofErr w:type="spellEnd"/>
            <w:r w:rsidRPr="00CC19F7">
              <w:t xml:space="preserve"> bruk</w:t>
            </w:r>
          </w:p>
        </w:tc>
        <w:tc>
          <w:tcPr>
            <w:tcW w:w="1645" w:type="dxa"/>
            <w:tcBorders>
              <w:top w:val="nil"/>
              <w:left w:val="nil"/>
              <w:bottom w:val="nil"/>
              <w:right w:val="nil"/>
            </w:tcBorders>
            <w:tcMar>
              <w:top w:w="128" w:type="dxa"/>
              <w:left w:w="43" w:type="dxa"/>
              <w:bottom w:w="43" w:type="dxa"/>
              <w:right w:w="43" w:type="dxa"/>
            </w:tcMar>
            <w:vAlign w:val="bottom"/>
          </w:tcPr>
          <w:p w14:paraId="65B2FD83" w14:textId="77777777" w:rsidR="00FE02EF" w:rsidRPr="00CC19F7" w:rsidRDefault="00881E58" w:rsidP="00CC19F7">
            <w:pPr>
              <w:jc w:val="right"/>
            </w:pPr>
            <w:r w:rsidRPr="00CC19F7">
              <w:t>Ja</w:t>
            </w:r>
          </w:p>
        </w:tc>
      </w:tr>
      <w:tr w:rsidR="00FE02EF" w:rsidRPr="00CC19F7" w14:paraId="4A581914" w14:textId="77777777" w:rsidTr="005F29B2">
        <w:trPr>
          <w:trHeight w:val="640"/>
        </w:trPr>
        <w:tc>
          <w:tcPr>
            <w:tcW w:w="1180" w:type="dxa"/>
            <w:tcBorders>
              <w:top w:val="nil"/>
              <w:left w:val="nil"/>
              <w:bottom w:val="nil"/>
              <w:right w:val="nil"/>
            </w:tcBorders>
            <w:tcMar>
              <w:top w:w="128" w:type="dxa"/>
              <w:left w:w="43" w:type="dxa"/>
              <w:bottom w:w="43" w:type="dxa"/>
              <w:right w:w="43" w:type="dxa"/>
            </w:tcMar>
          </w:tcPr>
          <w:p w14:paraId="0C57C0CA" w14:textId="77777777" w:rsidR="00FE02EF" w:rsidRPr="00CC19F7" w:rsidRDefault="00881E58" w:rsidP="00CC19F7">
            <w:r w:rsidRPr="00CC19F7">
              <w:t>2021–2022</w:t>
            </w:r>
          </w:p>
        </w:tc>
        <w:tc>
          <w:tcPr>
            <w:tcW w:w="1045" w:type="dxa"/>
            <w:tcBorders>
              <w:top w:val="nil"/>
              <w:left w:val="nil"/>
              <w:bottom w:val="nil"/>
              <w:right w:val="nil"/>
            </w:tcBorders>
            <w:tcMar>
              <w:top w:w="128" w:type="dxa"/>
              <w:left w:w="43" w:type="dxa"/>
              <w:bottom w:w="43" w:type="dxa"/>
              <w:right w:w="43" w:type="dxa"/>
            </w:tcMar>
          </w:tcPr>
          <w:p w14:paraId="1D8BAD79" w14:textId="77777777" w:rsidR="00FE02EF" w:rsidRPr="00CC19F7" w:rsidRDefault="00881E58" w:rsidP="00CC19F7">
            <w:pPr>
              <w:ind w:right="284"/>
              <w:jc w:val="right"/>
            </w:pPr>
            <w:r w:rsidRPr="00CC19F7">
              <w:t>751</w:t>
            </w:r>
          </w:p>
        </w:tc>
        <w:tc>
          <w:tcPr>
            <w:tcW w:w="5670" w:type="dxa"/>
            <w:tcBorders>
              <w:top w:val="nil"/>
              <w:left w:val="nil"/>
              <w:bottom w:val="nil"/>
              <w:right w:val="nil"/>
            </w:tcBorders>
            <w:tcMar>
              <w:top w:w="128" w:type="dxa"/>
              <w:left w:w="43" w:type="dxa"/>
              <w:bottom w:w="43" w:type="dxa"/>
              <w:right w:w="43" w:type="dxa"/>
            </w:tcMar>
          </w:tcPr>
          <w:p w14:paraId="128AB541" w14:textId="77777777" w:rsidR="00FE02EF" w:rsidRPr="00CC19F7" w:rsidRDefault="00881E58" w:rsidP="00CC19F7">
            <w:r w:rsidRPr="00CC19F7">
              <w:t>Solenergi – kartlegging av potensialet for produksjon på landbruksareal</w:t>
            </w:r>
          </w:p>
        </w:tc>
        <w:tc>
          <w:tcPr>
            <w:tcW w:w="1645" w:type="dxa"/>
            <w:tcBorders>
              <w:top w:val="nil"/>
              <w:left w:val="nil"/>
              <w:bottom w:val="nil"/>
              <w:right w:val="nil"/>
            </w:tcBorders>
            <w:tcMar>
              <w:top w:w="128" w:type="dxa"/>
              <w:left w:w="43" w:type="dxa"/>
              <w:bottom w:w="43" w:type="dxa"/>
              <w:right w:w="43" w:type="dxa"/>
            </w:tcMar>
            <w:vAlign w:val="bottom"/>
          </w:tcPr>
          <w:p w14:paraId="6E583E3A" w14:textId="77777777" w:rsidR="00FE02EF" w:rsidRPr="00CC19F7" w:rsidRDefault="00881E58" w:rsidP="00CC19F7">
            <w:pPr>
              <w:jc w:val="right"/>
            </w:pPr>
            <w:r w:rsidRPr="00CC19F7">
              <w:t>Ja</w:t>
            </w:r>
          </w:p>
        </w:tc>
      </w:tr>
      <w:tr w:rsidR="00FE02EF" w:rsidRPr="00CC19F7" w14:paraId="58373583" w14:textId="77777777" w:rsidTr="005F29B2">
        <w:trPr>
          <w:trHeight w:val="640"/>
        </w:trPr>
        <w:tc>
          <w:tcPr>
            <w:tcW w:w="1180" w:type="dxa"/>
            <w:tcBorders>
              <w:top w:val="nil"/>
              <w:left w:val="nil"/>
              <w:bottom w:val="nil"/>
              <w:right w:val="nil"/>
            </w:tcBorders>
            <w:tcMar>
              <w:top w:w="128" w:type="dxa"/>
              <w:left w:w="43" w:type="dxa"/>
              <w:bottom w:w="43" w:type="dxa"/>
              <w:right w:w="43" w:type="dxa"/>
            </w:tcMar>
          </w:tcPr>
          <w:p w14:paraId="30C6DE39" w14:textId="77777777" w:rsidR="00FE02EF" w:rsidRPr="00CC19F7" w:rsidRDefault="00881E58" w:rsidP="00CC19F7">
            <w:r w:rsidRPr="00CC19F7">
              <w:t>2021–2022</w:t>
            </w:r>
          </w:p>
        </w:tc>
        <w:tc>
          <w:tcPr>
            <w:tcW w:w="1045" w:type="dxa"/>
            <w:tcBorders>
              <w:top w:val="nil"/>
              <w:left w:val="nil"/>
              <w:bottom w:val="nil"/>
              <w:right w:val="nil"/>
            </w:tcBorders>
            <w:tcMar>
              <w:top w:w="128" w:type="dxa"/>
              <w:left w:w="43" w:type="dxa"/>
              <w:bottom w:w="43" w:type="dxa"/>
              <w:right w:w="43" w:type="dxa"/>
            </w:tcMar>
          </w:tcPr>
          <w:p w14:paraId="5847EEE5" w14:textId="77777777" w:rsidR="00FE02EF" w:rsidRPr="00CC19F7" w:rsidRDefault="00881E58" w:rsidP="00CC19F7">
            <w:pPr>
              <w:ind w:right="284"/>
              <w:jc w:val="right"/>
            </w:pPr>
            <w:r w:rsidRPr="00CC19F7">
              <w:t>752</w:t>
            </w:r>
          </w:p>
        </w:tc>
        <w:tc>
          <w:tcPr>
            <w:tcW w:w="5670" w:type="dxa"/>
            <w:tcBorders>
              <w:top w:val="nil"/>
              <w:left w:val="nil"/>
              <w:bottom w:val="nil"/>
              <w:right w:val="nil"/>
            </w:tcBorders>
            <w:tcMar>
              <w:top w:w="128" w:type="dxa"/>
              <w:left w:w="43" w:type="dxa"/>
              <w:bottom w:w="43" w:type="dxa"/>
              <w:right w:w="43" w:type="dxa"/>
            </w:tcMar>
          </w:tcPr>
          <w:p w14:paraId="5AA4BE40" w14:textId="77777777" w:rsidR="00FE02EF" w:rsidRPr="00CC19F7" w:rsidRDefault="00881E58" w:rsidP="00CC19F7">
            <w:r w:rsidRPr="00CC19F7">
              <w:t xml:space="preserve">Solenergi – kartlegge potensialet og tilrettelegging for solenergiproduksjon på </w:t>
            </w:r>
            <w:proofErr w:type="spellStart"/>
            <w:r w:rsidRPr="00CC19F7">
              <w:t>eksisterande</w:t>
            </w:r>
            <w:proofErr w:type="spellEnd"/>
            <w:r w:rsidRPr="00CC19F7">
              <w:t xml:space="preserve"> infrastruktur</w:t>
            </w:r>
          </w:p>
        </w:tc>
        <w:tc>
          <w:tcPr>
            <w:tcW w:w="1645" w:type="dxa"/>
            <w:tcBorders>
              <w:top w:val="nil"/>
              <w:left w:val="nil"/>
              <w:bottom w:val="nil"/>
              <w:right w:val="nil"/>
            </w:tcBorders>
            <w:tcMar>
              <w:top w:w="128" w:type="dxa"/>
              <w:left w:w="43" w:type="dxa"/>
              <w:bottom w:w="43" w:type="dxa"/>
              <w:right w:w="43" w:type="dxa"/>
            </w:tcMar>
            <w:vAlign w:val="bottom"/>
          </w:tcPr>
          <w:p w14:paraId="7D238F23" w14:textId="77777777" w:rsidR="00FE02EF" w:rsidRPr="00CC19F7" w:rsidRDefault="00881E58" w:rsidP="00CC19F7">
            <w:pPr>
              <w:jc w:val="right"/>
            </w:pPr>
            <w:r w:rsidRPr="00CC19F7">
              <w:t>Ja</w:t>
            </w:r>
          </w:p>
        </w:tc>
      </w:tr>
      <w:tr w:rsidR="00FE02EF" w:rsidRPr="00CC19F7" w14:paraId="43A52271" w14:textId="77777777" w:rsidTr="005F29B2">
        <w:trPr>
          <w:trHeight w:val="640"/>
        </w:trPr>
        <w:tc>
          <w:tcPr>
            <w:tcW w:w="1180" w:type="dxa"/>
            <w:tcBorders>
              <w:top w:val="nil"/>
              <w:left w:val="nil"/>
              <w:bottom w:val="nil"/>
              <w:right w:val="nil"/>
            </w:tcBorders>
            <w:tcMar>
              <w:top w:w="128" w:type="dxa"/>
              <w:left w:w="43" w:type="dxa"/>
              <w:bottom w:w="43" w:type="dxa"/>
              <w:right w:w="43" w:type="dxa"/>
            </w:tcMar>
          </w:tcPr>
          <w:p w14:paraId="590CCFE9" w14:textId="77777777" w:rsidR="00FE02EF" w:rsidRPr="00CC19F7" w:rsidRDefault="00881E58" w:rsidP="00CC19F7">
            <w:r w:rsidRPr="00CC19F7">
              <w:t>2020–2021</w:t>
            </w:r>
          </w:p>
        </w:tc>
        <w:tc>
          <w:tcPr>
            <w:tcW w:w="1045" w:type="dxa"/>
            <w:tcBorders>
              <w:top w:val="nil"/>
              <w:left w:val="nil"/>
              <w:bottom w:val="nil"/>
              <w:right w:val="nil"/>
            </w:tcBorders>
            <w:tcMar>
              <w:top w:w="128" w:type="dxa"/>
              <w:left w:w="43" w:type="dxa"/>
              <w:bottom w:w="43" w:type="dxa"/>
              <w:right w:w="43" w:type="dxa"/>
            </w:tcMar>
          </w:tcPr>
          <w:p w14:paraId="5B90F802" w14:textId="77777777" w:rsidR="00FE02EF" w:rsidRPr="00CC19F7" w:rsidRDefault="00881E58" w:rsidP="00CC19F7">
            <w:pPr>
              <w:ind w:right="284"/>
              <w:jc w:val="right"/>
            </w:pPr>
            <w:r w:rsidRPr="00CC19F7">
              <w:t>143</w:t>
            </w:r>
          </w:p>
        </w:tc>
        <w:tc>
          <w:tcPr>
            <w:tcW w:w="5670" w:type="dxa"/>
            <w:tcBorders>
              <w:top w:val="nil"/>
              <w:left w:val="nil"/>
              <w:bottom w:val="nil"/>
              <w:right w:val="nil"/>
            </w:tcBorders>
            <w:tcMar>
              <w:top w:w="128" w:type="dxa"/>
              <w:left w:w="43" w:type="dxa"/>
              <w:bottom w:w="43" w:type="dxa"/>
              <w:right w:w="43" w:type="dxa"/>
            </w:tcMar>
          </w:tcPr>
          <w:p w14:paraId="638740D0" w14:textId="77777777" w:rsidR="00FE02EF" w:rsidRPr="00CC19F7" w:rsidRDefault="00881E58" w:rsidP="00CC19F7">
            <w:r w:rsidRPr="00CC19F7">
              <w:t>Vindkraft på land – innlemme planlegging og bygging av vindkraftanlegg i plan- og bygningslova</w:t>
            </w:r>
          </w:p>
        </w:tc>
        <w:tc>
          <w:tcPr>
            <w:tcW w:w="1645" w:type="dxa"/>
            <w:tcBorders>
              <w:top w:val="nil"/>
              <w:left w:val="nil"/>
              <w:bottom w:val="nil"/>
              <w:right w:val="nil"/>
            </w:tcBorders>
            <w:tcMar>
              <w:top w:w="128" w:type="dxa"/>
              <w:left w:w="43" w:type="dxa"/>
              <w:bottom w:w="43" w:type="dxa"/>
              <w:right w:w="43" w:type="dxa"/>
            </w:tcMar>
            <w:vAlign w:val="bottom"/>
          </w:tcPr>
          <w:p w14:paraId="56CE4E77" w14:textId="77777777" w:rsidR="00FE02EF" w:rsidRPr="00CC19F7" w:rsidRDefault="00881E58" w:rsidP="00CC19F7">
            <w:pPr>
              <w:jc w:val="right"/>
            </w:pPr>
            <w:r w:rsidRPr="00CC19F7">
              <w:t>Ja</w:t>
            </w:r>
          </w:p>
        </w:tc>
      </w:tr>
      <w:tr w:rsidR="00FE02EF" w:rsidRPr="00CC19F7" w14:paraId="0DAD51FF" w14:textId="77777777" w:rsidTr="005F29B2">
        <w:trPr>
          <w:trHeight w:val="640"/>
        </w:trPr>
        <w:tc>
          <w:tcPr>
            <w:tcW w:w="1180" w:type="dxa"/>
            <w:tcBorders>
              <w:top w:val="nil"/>
              <w:left w:val="nil"/>
              <w:bottom w:val="nil"/>
              <w:right w:val="nil"/>
            </w:tcBorders>
            <w:tcMar>
              <w:top w:w="128" w:type="dxa"/>
              <w:left w:w="43" w:type="dxa"/>
              <w:bottom w:w="43" w:type="dxa"/>
              <w:right w:w="43" w:type="dxa"/>
            </w:tcMar>
          </w:tcPr>
          <w:p w14:paraId="31272284" w14:textId="77777777" w:rsidR="00FE02EF" w:rsidRPr="00CC19F7" w:rsidRDefault="00881E58" w:rsidP="00CC19F7">
            <w:r w:rsidRPr="00CC19F7">
              <w:t>2019–2020</w:t>
            </w:r>
          </w:p>
        </w:tc>
        <w:tc>
          <w:tcPr>
            <w:tcW w:w="1045" w:type="dxa"/>
            <w:tcBorders>
              <w:top w:val="nil"/>
              <w:left w:val="nil"/>
              <w:bottom w:val="nil"/>
              <w:right w:val="nil"/>
            </w:tcBorders>
            <w:tcMar>
              <w:top w:w="128" w:type="dxa"/>
              <w:left w:w="43" w:type="dxa"/>
              <w:bottom w:w="43" w:type="dxa"/>
              <w:right w:w="43" w:type="dxa"/>
            </w:tcMar>
          </w:tcPr>
          <w:p w14:paraId="4563F726" w14:textId="77777777" w:rsidR="00FE02EF" w:rsidRPr="00CC19F7" w:rsidRDefault="00881E58" w:rsidP="00CC19F7">
            <w:pPr>
              <w:ind w:right="284"/>
              <w:jc w:val="right"/>
            </w:pPr>
            <w:r w:rsidRPr="00CC19F7">
              <w:t>683</w:t>
            </w:r>
          </w:p>
        </w:tc>
        <w:tc>
          <w:tcPr>
            <w:tcW w:w="5670" w:type="dxa"/>
            <w:tcBorders>
              <w:top w:val="nil"/>
              <w:left w:val="nil"/>
              <w:bottom w:val="nil"/>
              <w:right w:val="nil"/>
            </w:tcBorders>
            <w:tcMar>
              <w:top w:w="128" w:type="dxa"/>
              <w:left w:w="43" w:type="dxa"/>
              <w:bottom w:w="43" w:type="dxa"/>
              <w:right w:w="43" w:type="dxa"/>
            </w:tcMar>
          </w:tcPr>
          <w:p w14:paraId="270D3470" w14:textId="77777777" w:rsidR="00FE02EF" w:rsidRPr="00CC19F7" w:rsidRDefault="00881E58" w:rsidP="00CC19F7">
            <w:r w:rsidRPr="00CC19F7">
              <w:t xml:space="preserve">Null- og </w:t>
            </w:r>
            <w:proofErr w:type="spellStart"/>
            <w:r w:rsidRPr="00CC19F7">
              <w:t>lågutsleppsløysingar</w:t>
            </w:r>
            <w:proofErr w:type="spellEnd"/>
            <w:r w:rsidRPr="00CC19F7">
              <w:t xml:space="preserve"> for offshorefartøy i petroleumsproduksjon</w:t>
            </w:r>
          </w:p>
        </w:tc>
        <w:tc>
          <w:tcPr>
            <w:tcW w:w="1645" w:type="dxa"/>
            <w:tcBorders>
              <w:top w:val="nil"/>
              <w:left w:val="nil"/>
              <w:bottom w:val="nil"/>
              <w:right w:val="nil"/>
            </w:tcBorders>
            <w:tcMar>
              <w:top w:w="128" w:type="dxa"/>
              <w:left w:w="43" w:type="dxa"/>
              <w:bottom w:w="43" w:type="dxa"/>
              <w:right w:w="43" w:type="dxa"/>
            </w:tcMar>
            <w:vAlign w:val="bottom"/>
          </w:tcPr>
          <w:p w14:paraId="40A1790A" w14:textId="77777777" w:rsidR="00FE02EF" w:rsidRPr="00CC19F7" w:rsidRDefault="00881E58" w:rsidP="00CC19F7">
            <w:pPr>
              <w:jc w:val="right"/>
            </w:pPr>
            <w:r w:rsidRPr="00CC19F7">
              <w:t>Ja</w:t>
            </w:r>
          </w:p>
        </w:tc>
      </w:tr>
      <w:tr w:rsidR="00FE02EF" w:rsidRPr="00CC19F7" w14:paraId="2672BFC7" w14:textId="77777777" w:rsidTr="005F29B2">
        <w:trPr>
          <w:trHeight w:val="640"/>
        </w:trPr>
        <w:tc>
          <w:tcPr>
            <w:tcW w:w="1180" w:type="dxa"/>
            <w:tcBorders>
              <w:top w:val="nil"/>
              <w:left w:val="nil"/>
              <w:bottom w:val="single" w:sz="4" w:space="0" w:color="000000"/>
              <w:right w:val="nil"/>
            </w:tcBorders>
            <w:tcMar>
              <w:top w:w="128" w:type="dxa"/>
              <w:left w:w="43" w:type="dxa"/>
              <w:bottom w:w="43" w:type="dxa"/>
              <w:right w:w="43" w:type="dxa"/>
            </w:tcMar>
          </w:tcPr>
          <w:p w14:paraId="4D2F638D" w14:textId="77777777" w:rsidR="00FE02EF" w:rsidRPr="00CC19F7" w:rsidRDefault="00881E58" w:rsidP="00CC19F7">
            <w:r w:rsidRPr="00CC19F7">
              <w:t>2019–2020</w:t>
            </w:r>
          </w:p>
        </w:tc>
        <w:tc>
          <w:tcPr>
            <w:tcW w:w="1045" w:type="dxa"/>
            <w:tcBorders>
              <w:top w:val="nil"/>
              <w:left w:val="nil"/>
              <w:bottom w:val="single" w:sz="4" w:space="0" w:color="000000"/>
              <w:right w:val="nil"/>
            </w:tcBorders>
            <w:tcMar>
              <w:top w:w="128" w:type="dxa"/>
              <w:left w:w="43" w:type="dxa"/>
              <w:bottom w:w="43" w:type="dxa"/>
              <w:right w:w="43" w:type="dxa"/>
            </w:tcMar>
          </w:tcPr>
          <w:p w14:paraId="2E0AEFBE" w14:textId="77777777" w:rsidR="00FE02EF" w:rsidRPr="00CC19F7" w:rsidRDefault="00881E58" w:rsidP="00CC19F7">
            <w:pPr>
              <w:ind w:right="284"/>
              <w:jc w:val="right"/>
            </w:pPr>
            <w:r w:rsidRPr="00CC19F7">
              <w:t>687</w:t>
            </w:r>
          </w:p>
        </w:tc>
        <w:tc>
          <w:tcPr>
            <w:tcW w:w="5670" w:type="dxa"/>
            <w:tcBorders>
              <w:top w:val="nil"/>
              <w:left w:val="nil"/>
              <w:bottom w:val="single" w:sz="4" w:space="0" w:color="000000"/>
              <w:right w:val="nil"/>
            </w:tcBorders>
            <w:tcMar>
              <w:top w:w="128" w:type="dxa"/>
              <w:left w:w="43" w:type="dxa"/>
              <w:bottom w:w="43" w:type="dxa"/>
              <w:right w:w="43" w:type="dxa"/>
            </w:tcMar>
          </w:tcPr>
          <w:p w14:paraId="749C057E" w14:textId="77777777" w:rsidR="00FE02EF" w:rsidRPr="00CC19F7" w:rsidRDefault="00881E58" w:rsidP="00CC19F7">
            <w:r w:rsidRPr="00CC19F7">
              <w:t xml:space="preserve">Greie ut ringverknader på fastlandet ved nye </w:t>
            </w:r>
            <w:proofErr w:type="spellStart"/>
            <w:r w:rsidRPr="00CC19F7">
              <w:t>utbyggingar</w:t>
            </w:r>
            <w:proofErr w:type="spellEnd"/>
            <w:r w:rsidRPr="00CC19F7">
              <w:t xml:space="preserve"> som blir omfatta av </w:t>
            </w:r>
            <w:proofErr w:type="spellStart"/>
            <w:r w:rsidRPr="00CC19F7">
              <w:t>dei</w:t>
            </w:r>
            <w:proofErr w:type="spellEnd"/>
            <w:r w:rsidRPr="00CC19F7">
              <w:t xml:space="preserve"> </w:t>
            </w:r>
            <w:proofErr w:type="spellStart"/>
            <w:r w:rsidRPr="00CC19F7">
              <w:t>mellombelse</w:t>
            </w:r>
            <w:proofErr w:type="spellEnd"/>
            <w:r w:rsidRPr="00CC19F7">
              <w:t xml:space="preserve"> </w:t>
            </w:r>
            <w:proofErr w:type="spellStart"/>
            <w:r w:rsidRPr="00CC19F7">
              <w:t>endringane</w:t>
            </w:r>
            <w:proofErr w:type="spellEnd"/>
            <w:r w:rsidRPr="00CC19F7">
              <w:t xml:space="preserve"> i petroleumsskatten</w:t>
            </w:r>
          </w:p>
        </w:tc>
        <w:tc>
          <w:tcPr>
            <w:tcW w:w="1645" w:type="dxa"/>
            <w:tcBorders>
              <w:top w:val="nil"/>
              <w:left w:val="nil"/>
              <w:bottom w:val="single" w:sz="4" w:space="0" w:color="000000"/>
              <w:right w:val="nil"/>
            </w:tcBorders>
            <w:tcMar>
              <w:top w:w="128" w:type="dxa"/>
              <w:left w:w="43" w:type="dxa"/>
              <w:bottom w:w="43" w:type="dxa"/>
              <w:right w:w="43" w:type="dxa"/>
            </w:tcMar>
            <w:vAlign w:val="bottom"/>
          </w:tcPr>
          <w:p w14:paraId="208B98D4" w14:textId="77777777" w:rsidR="00FE02EF" w:rsidRPr="00CC19F7" w:rsidRDefault="00881E58" w:rsidP="00CC19F7">
            <w:pPr>
              <w:jc w:val="right"/>
            </w:pPr>
            <w:r w:rsidRPr="00CC19F7">
              <w:t>Ja</w:t>
            </w:r>
          </w:p>
        </w:tc>
      </w:tr>
    </w:tbl>
    <w:p w14:paraId="364C8780" w14:textId="77777777" w:rsidR="00FE02EF" w:rsidRPr="00CC19F7" w:rsidRDefault="00881E58" w:rsidP="00CC19F7">
      <w:pPr>
        <w:pStyle w:val="Overskrift2"/>
        <w:numPr>
          <w:ilvl w:val="1"/>
          <w:numId w:val="20"/>
        </w:numPr>
      </w:pPr>
      <w:r w:rsidRPr="00CC19F7">
        <w:t>Stortingssesjon 2022–2023</w:t>
      </w:r>
    </w:p>
    <w:p w14:paraId="30F7076D" w14:textId="77777777" w:rsidR="00FE02EF" w:rsidRPr="00CC19F7" w:rsidRDefault="00881E58" w:rsidP="00CC19F7">
      <w:pPr>
        <w:pStyle w:val="avsnitt-tittel"/>
      </w:pPr>
      <w:r w:rsidRPr="00CC19F7">
        <w:t xml:space="preserve">Kartlegging av potensialet for solenergiproduksjon på </w:t>
      </w:r>
      <w:proofErr w:type="spellStart"/>
      <w:r w:rsidRPr="00CC19F7">
        <w:t>eksisterande</w:t>
      </w:r>
      <w:proofErr w:type="spellEnd"/>
      <w:r w:rsidRPr="00CC19F7">
        <w:t xml:space="preserve"> infrastruktur</w:t>
      </w:r>
    </w:p>
    <w:p w14:paraId="0FE4B6D8" w14:textId="77777777" w:rsidR="00FE02EF" w:rsidRPr="00CC19F7" w:rsidRDefault="00881E58" w:rsidP="00CC19F7">
      <w:pPr>
        <w:pStyle w:val="avsnitt-undertittel"/>
      </w:pPr>
      <w:r w:rsidRPr="00CC19F7">
        <w:t>Vedtak 13, 18. oktober 2022</w:t>
      </w:r>
    </w:p>
    <w:p w14:paraId="54473291" w14:textId="77777777" w:rsidR="00FE02EF" w:rsidRPr="00CC19F7" w:rsidRDefault="00881E58" w:rsidP="00CC19F7">
      <w:pPr>
        <w:pStyle w:val="blokksit"/>
      </w:pPr>
      <w:r w:rsidRPr="00CC19F7">
        <w:t>«</w:t>
      </w:r>
      <w:r w:rsidRPr="00CC19F7">
        <w:rPr>
          <w:rStyle w:val="kursiv"/>
        </w:rPr>
        <w:t>Stortinget ber regjeringen kartlegge potensialet for solenergiproduksjon på eksisterende infrastruktur der solparker kan etableres uten vesentlige naturinngrep, som for eksempel på parkeringsplasser, i industriområder og lignende.</w:t>
      </w:r>
      <w:r w:rsidRPr="00CC19F7">
        <w:t>»</w:t>
      </w:r>
    </w:p>
    <w:p w14:paraId="4A6BC40F" w14:textId="77777777" w:rsidR="00FE02EF" w:rsidRPr="00CC19F7" w:rsidRDefault="00881E58" w:rsidP="00CC19F7">
      <w:r w:rsidRPr="00CC19F7">
        <w:t xml:space="preserve">Dokumentet som ligg til grunn for vedtaket er </w:t>
      </w:r>
      <w:proofErr w:type="spellStart"/>
      <w:r w:rsidRPr="00CC19F7">
        <w:t>Innst</w:t>
      </w:r>
      <w:proofErr w:type="spellEnd"/>
      <w:r w:rsidRPr="00CC19F7">
        <w:t>. 25 S (2022–2023).</w:t>
      </w:r>
    </w:p>
    <w:p w14:paraId="234D560F" w14:textId="77777777" w:rsidR="00FE02EF" w:rsidRPr="00CC19F7" w:rsidRDefault="00881E58" w:rsidP="00CC19F7">
      <w:r w:rsidRPr="00CC19F7">
        <w:t xml:space="preserve">Departementet har i oppfølginga av vedtaket bedt NVE vurdere potensialet for utbygging av fornybar kraftproduksjon på næringsareal, langs </w:t>
      </w:r>
      <w:proofErr w:type="spellStart"/>
      <w:r w:rsidRPr="00CC19F7">
        <w:t>motorvegar</w:t>
      </w:r>
      <w:proofErr w:type="spellEnd"/>
      <w:r w:rsidRPr="00CC19F7">
        <w:t xml:space="preserve"> og i andre nedbygde areal mot 2030. Vurderinga skal </w:t>
      </w:r>
      <w:proofErr w:type="spellStart"/>
      <w:r w:rsidRPr="00CC19F7">
        <w:t>skilje</w:t>
      </w:r>
      <w:proofErr w:type="spellEnd"/>
      <w:r w:rsidRPr="00CC19F7">
        <w:t xml:space="preserve"> mellom produksjonsformer, som sol- og vindkraft.</w:t>
      </w:r>
    </w:p>
    <w:p w14:paraId="68EB326C" w14:textId="77777777" w:rsidR="00FE02EF" w:rsidRPr="00CC19F7" w:rsidRDefault="00881E58" w:rsidP="00CC19F7">
      <w:r w:rsidRPr="00CC19F7">
        <w:t xml:space="preserve">Departementet </w:t>
      </w:r>
      <w:proofErr w:type="spellStart"/>
      <w:r w:rsidRPr="00CC19F7">
        <w:t>reknar</w:t>
      </w:r>
      <w:proofErr w:type="spellEnd"/>
      <w:r w:rsidRPr="00CC19F7">
        <w:t xml:space="preserve"> med dette oppmodingsvedtaket som </w:t>
      </w:r>
      <w:proofErr w:type="spellStart"/>
      <w:r w:rsidRPr="00CC19F7">
        <w:t>følgt</w:t>
      </w:r>
      <w:proofErr w:type="spellEnd"/>
      <w:r w:rsidRPr="00CC19F7">
        <w:t xml:space="preserve"> opp.</w:t>
      </w:r>
    </w:p>
    <w:p w14:paraId="21FA432F" w14:textId="77777777" w:rsidR="00FE02EF" w:rsidRPr="00CC19F7" w:rsidRDefault="00881E58" w:rsidP="00CC19F7">
      <w:pPr>
        <w:pStyle w:val="avsnitt-tittel"/>
      </w:pPr>
      <w:r w:rsidRPr="00CC19F7">
        <w:t xml:space="preserve">Mellombels eller tidsavgrensa fritak </w:t>
      </w:r>
      <w:proofErr w:type="spellStart"/>
      <w:r w:rsidRPr="00CC19F7">
        <w:t>frå</w:t>
      </w:r>
      <w:proofErr w:type="spellEnd"/>
      <w:r w:rsidRPr="00CC19F7">
        <w:t xml:space="preserve"> konsesjonsplikt</w:t>
      </w:r>
    </w:p>
    <w:p w14:paraId="18F035C6" w14:textId="77777777" w:rsidR="00FE02EF" w:rsidRPr="00CC19F7" w:rsidRDefault="00881E58" w:rsidP="00CC19F7">
      <w:pPr>
        <w:pStyle w:val="avsnitt-undertittel"/>
      </w:pPr>
      <w:r w:rsidRPr="00CC19F7">
        <w:t>Vedtak 16, 18. oktober 2022</w:t>
      </w:r>
    </w:p>
    <w:p w14:paraId="524B9C49" w14:textId="77777777" w:rsidR="00FE02EF" w:rsidRPr="00CC19F7" w:rsidRDefault="00881E58" w:rsidP="00CC19F7">
      <w:pPr>
        <w:pStyle w:val="blokksit"/>
      </w:pPr>
      <w:r w:rsidRPr="00CC19F7">
        <w:t>«</w:t>
      </w:r>
      <w:r w:rsidRPr="00CC19F7">
        <w:rPr>
          <w:rStyle w:val="kursiv"/>
        </w:rPr>
        <w:t>Stortinget ber regjeringen vurdere et midlertidig eller tidsbegrenset fritak fra konsesjonsplikt for å etablere lavspenningsledninger til nabobygg for salg av kraft.</w:t>
      </w:r>
      <w:r w:rsidRPr="00CC19F7">
        <w:t>»</w:t>
      </w:r>
    </w:p>
    <w:p w14:paraId="39B76E91" w14:textId="77777777" w:rsidR="00FE02EF" w:rsidRPr="00CC19F7" w:rsidRDefault="00881E58" w:rsidP="00CC19F7">
      <w:r w:rsidRPr="00CC19F7">
        <w:t xml:space="preserve">Dokumentet som ligg til grunn for vedtaket er </w:t>
      </w:r>
      <w:proofErr w:type="spellStart"/>
      <w:r w:rsidRPr="00CC19F7">
        <w:t>Innst</w:t>
      </w:r>
      <w:proofErr w:type="spellEnd"/>
      <w:r w:rsidRPr="00CC19F7">
        <w:t>. 25 S (2022–2023).</w:t>
      </w:r>
    </w:p>
    <w:p w14:paraId="4D19868B" w14:textId="77777777" w:rsidR="00FE02EF" w:rsidRPr="00CC19F7" w:rsidRDefault="00881E58" w:rsidP="00CC19F7">
      <w:r w:rsidRPr="00CC19F7">
        <w:t xml:space="preserve">Departementet har i oppfølginga av vedtaket bedt NVE og RME om å gi ei vurdering av </w:t>
      </w:r>
      <w:proofErr w:type="spellStart"/>
      <w:r w:rsidRPr="00CC19F7">
        <w:t>eit</w:t>
      </w:r>
      <w:proofErr w:type="spellEnd"/>
      <w:r w:rsidRPr="00CC19F7">
        <w:t xml:space="preserve"> mellombels eller tidsavgrensa fritak </w:t>
      </w:r>
      <w:proofErr w:type="spellStart"/>
      <w:r w:rsidRPr="00CC19F7">
        <w:t>frå</w:t>
      </w:r>
      <w:proofErr w:type="spellEnd"/>
      <w:r w:rsidRPr="00CC19F7">
        <w:t xml:space="preserve"> konsesjonsplikt for å etablere </w:t>
      </w:r>
      <w:proofErr w:type="spellStart"/>
      <w:r w:rsidRPr="00CC19F7">
        <w:t>lågspenningsleidningar</w:t>
      </w:r>
      <w:proofErr w:type="spellEnd"/>
      <w:r w:rsidRPr="00CC19F7">
        <w:t xml:space="preserve"> til nabobygg for sal av kraft. Departementet vil vurdere korleis </w:t>
      </w:r>
      <w:proofErr w:type="spellStart"/>
      <w:r w:rsidRPr="00CC19F7">
        <w:t>innspelet</w:t>
      </w:r>
      <w:proofErr w:type="spellEnd"/>
      <w:r w:rsidRPr="00CC19F7">
        <w:t xml:space="preserve"> </w:t>
      </w:r>
      <w:proofErr w:type="spellStart"/>
      <w:r w:rsidRPr="00CC19F7">
        <w:t>frå</w:t>
      </w:r>
      <w:proofErr w:type="spellEnd"/>
      <w:r w:rsidRPr="00CC19F7">
        <w:t xml:space="preserve"> NVE og RME skal </w:t>
      </w:r>
      <w:proofErr w:type="spellStart"/>
      <w:r w:rsidRPr="00CC19F7">
        <w:t>følgast</w:t>
      </w:r>
      <w:proofErr w:type="spellEnd"/>
      <w:r w:rsidRPr="00CC19F7">
        <w:t xml:space="preserve"> opp </w:t>
      </w:r>
      <w:proofErr w:type="spellStart"/>
      <w:r w:rsidRPr="00CC19F7">
        <w:t>vidare</w:t>
      </w:r>
      <w:proofErr w:type="spellEnd"/>
      <w:r w:rsidRPr="00CC19F7">
        <w:t xml:space="preserve"> når det ligg føre.</w:t>
      </w:r>
    </w:p>
    <w:p w14:paraId="674B627A" w14:textId="77777777" w:rsidR="00FE02EF" w:rsidRPr="00CC19F7" w:rsidRDefault="00881E58" w:rsidP="00CC19F7">
      <w:r w:rsidRPr="00CC19F7">
        <w:t xml:space="preserve">Departementet </w:t>
      </w:r>
      <w:proofErr w:type="spellStart"/>
      <w:r w:rsidRPr="00CC19F7">
        <w:t>reknar</w:t>
      </w:r>
      <w:proofErr w:type="spellEnd"/>
      <w:r w:rsidRPr="00CC19F7">
        <w:t xml:space="preserve"> med dette oppmodingsvedtaket som </w:t>
      </w:r>
      <w:proofErr w:type="spellStart"/>
      <w:r w:rsidRPr="00CC19F7">
        <w:t>følgt</w:t>
      </w:r>
      <w:proofErr w:type="spellEnd"/>
      <w:r w:rsidRPr="00CC19F7">
        <w:t xml:space="preserve"> opp.</w:t>
      </w:r>
    </w:p>
    <w:p w14:paraId="520DD64F" w14:textId="77777777" w:rsidR="00FE02EF" w:rsidRPr="00CC19F7" w:rsidRDefault="00881E58" w:rsidP="00CC19F7">
      <w:pPr>
        <w:pStyle w:val="avsnitt-tittel"/>
      </w:pPr>
      <w:r w:rsidRPr="00CC19F7">
        <w:t xml:space="preserve">Fjerne fritaksgrensa på 500 kW for </w:t>
      </w:r>
      <w:proofErr w:type="spellStart"/>
      <w:r w:rsidRPr="00CC19F7">
        <w:t>nettleige</w:t>
      </w:r>
      <w:proofErr w:type="spellEnd"/>
      <w:r w:rsidRPr="00CC19F7">
        <w:t xml:space="preserve"> på </w:t>
      </w:r>
      <w:proofErr w:type="spellStart"/>
      <w:r w:rsidRPr="00CC19F7">
        <w:t>straum</w:t>
      </w:r>
      <w:proofErr w:type="spellEnd"/>
      <w:r w:rsidRPr="00CC19F7">
        <w:t xml:space="preserve"> mv.</w:t>
      </w:r>
    </w:p>
    <w:p w14:paraId="77E3756E" w14:textId="77777777" w:rsidR="00FE02EF" w:rsidRPr="00CC19F7" w:rsidRDefault="00881E58" w:rsidP="00CC19F7">
      <w:pPr>
        <w:pStyle w:val="avsnitt-undertittel"/>
      </w:pPr>
      <w:r w:rsidRPr="00CC19F7">
        <w:t>Vedtak 17, 18. oktober 2022</w:t>
      </w:r>
    </w:p>
    <w:p w14:paraId="6C1CE9E8" w14:textId="77777777" w:rsidR="00FE02EF" w:rsidRPr="00CC19F7" w:rsidRDefault="00881E58" w:rsidP="00CC19F7">
      <w:pPr>
        <w:pStyle w:val="blokksit"/>
      </w:pPr>
      <w:r w:rsidRPr="00CC19F7">
        <w:t>«</w:t>
      </w:r>
      <w:r w:rsidRPr="00CC19F7">
        <w:rPr>
          <w:rStyle w:val="kursiv"/>
        </w:rPr>
        <w:t>Stortinget ber regjeringen vurdere å fjerne fritaksgrensen på 500 kW for nettleie på strøm som deles som nabolagsstrøm, eventuelt øke grensen for delingsanlegg for solceller til 4 000 m</w:t>
      </w:r>
      <w:r w:rsidRPr="00CC19F7">
        <w:rPr>
          <w:rStyle w:val="skrift-hevet"/>
        </w:rPr>
        <w:t>2</w:t>
      </w:r>
      <w:r w:rsidRPr="00CC19F7">
        <w:rPr>
          <w:rStyle w:val="kursiv"/>
        </w:rPr>
        <w:t xml:space="preserve"> eller 1 000 kW.</w:t>
      </w:r>
      <w:r w:rsidRPr="00CC19F7">
        <w:t>»</w:t>
      </w:r>
    </w:p>
    <w:p w14:paraId="2C464751" w14:textId="77777777" w:rsidR="00FE02EF" w:rsidRPr="00CC19F7" w:rsidRDefault="00881E58" w:rsidP="00CC19F7">
      <w:r w:rsidRPr="00CC19F7">
        <w:t xml:space="preserve">Dokumentet som ligg til grunn for vedtaket er </w:t>
      </w:r>
      <w:proofErr w:type="spellStart"/>
      <w:r w:rsidRPr="00CC19F7">
        <w:t>Innst</w:t>
      </w:r>
      <w:proofErr w:type="spellEnd"/>
      <w:r w:rsidRPr="00CC19F7">
        <w:t>. 25 S (2022–2023).</w:t>
      </w:r>
    </w:p>
    <w:p w14:paraId="1F2AC6C5" w14:textId="77777777" w:rsidR="00FE02EF" w:rsidRPr="00CC19F7" w:rsidRDefault="00881E58" w:rsidP="00CC19F7">
      <w:r w:rsidRPr="00CC19F7">
        <w:t xml:space="preserve">Departementet fastsette 8. mai 2023 </w:t>
      </w:r>
      <w:proofErr w:type="spellStart"/>
      <w:r w:rsidRPr="00CC19F7">
        <w:t>forskriftsendringar</w:t>
      </w:r>
      <w:proofErr w:type="spellEnd"/>
      <w:r w:rsidRPr="00CC19F7">
        <w:t xml:space="preserve"> for deling av eigenprodusert fornybar </w:t>
      </w:r>
      <w:proofErr w:type="spellStart"/>
      <w:r w:rsidRPr="00CC19F7">
        <w:t>straum</w:t>
      </w:r>
      <w:proofErr w:type="spellEnd"/>
      <w:r w:rsidRPr="00CC19F7">
        <w:t xml:space="preserve"> på same </w:t>
      </w:r>
      <w:proofErr w:type="spellStart"/>
      <w:r w:rsidRPr="00CC19F7">
        <w:t>eigedom</w:t>
      </w:r>
      <w:proofErr w:type="spellEnd"/>
      <w:r w:rsidRPr="00CC19F7">
        <w:t xml:space="preserve">. I forslaget som blei sendt på </w:t>
      </w:r>
      <w:proofErr w:type="spellStart"/>
      <w:r w:rsidRPr="00CC19F7">
        <w:t>høyring</w:t>
      </w:r>
      <w:proofErr w:type="spellEnd"/>
      <w:r w:rsidRPr="00CC19F7">
        <w:t xml:space="preserve">, blei det foreslått å avgrense ordninga til anlegg opp til 500 kilowatt (kW) per </w:t>
      </w:r>
      <w:proofErr w:type="spellStart"/>
      <w:r w:rsidRPr="00CC19F7">
        <w:t>eigedom</w:t>
      </w:r>
      <w:proofErr w:type="spellEnd"/>
      <w:r w:rsidRPr="00CC19F7">
        <w:t xml:space="preserve">. I den vedtatte forskrifta blei denne grensa </w:t>
      </w:r>
      <w:proofErr w:type="spellStart"/>
      <w:r w:rsidRPr="00CC19F7">
        <w:t>auka</w:t>
      </w:r>
      <w:proofErr w:type="spellEnd"/>
      <w:r w:rsidRPr="00CC19F7">
        <w:t xml:space="preserve"> til 1 000 kW per </w:t>
      </w:r>
      <w:proofErr w:type="spellStart"/>
      <w:r w:rsidRPr="00CC19F7">
        <w:t>eigedom</w:t>
      </w:r>
      <w:proofErr w:type="spellEnd"/>
      <w:r w:rsidRPr="00CC19F7">
        <w:t>.</w:t>
      </w:r>
    </w:p>
    <w:p w14:paraId="47182CF6" w14:textId="77777777" w:rsidR="00FE02EF" w:rsidRPr="00CC19F7" w:rsidRDefault="00881E58" w:rsidP="00CC19F7">
      <w:r w:rsidRPr="00CC19F7">
        <w:t xml:space="preserve">Departementet </w:t>
      </w:r>
      <w:proofErr w:type="spellStart"/>
      <w:r w:rsidRPr="00CC19F7">
        <w:t>reknar</w:t>
      </w:r>
      <w:proofErr w:type="spellEnd"/>
      <w:r w:rsidRPr="00CC19F7">
        <w:t xml:space="preserve"> med dette oppmodingsvedtaket som </w:t>
      </w:r>
      <w:proofErr w:type="spellStart"/>
      <w:r w:rsidRPr="00CC19F7">
        <w:t>følgt</w:t>
      </w:r>
      <w:proofErr w:type="spellEnd"/>
      <w:r w:rsidRPr="00CC19F7">
        <w:t xml:space="preserve"> opp.</w:t>
      </w:r>
    </w:p>
    <w:p w14:paraId="0581B875" w14:textId="77777777" w:rsidR="00FE02EF" w:rsidRPr="00CC19F7" w:rsidRDefault="00881E58" w:rsidP="00CC19F7">
      <w:pPr>
        <w:pStyle w:val="avsnitt-tittel"/>
      </w:pPr>
      <w:r w:rsidRPr="00CC19F7">
        <w:t>Effektgrense for konsesjonsplikt for solenergianlegg</w:t>
      </w:r>
    </w:p>
    <w:p w14:paraId="5C8E00DF" w14:textId="77777777" w:rsidR="00FE02EF" w:rsidRPr="00CC19F7" w:rsidRDefault="00881E58" w:rsidP="00CC19F7">
      <w:pPr>
        <w:pStyle w:val="avsnitt-undertittel"/>
      </w:pPr>
      <w:r w:rsidRPr="00CC19F7">
        <w:t>Vedtak 18, 18. oktober 2022</w:t>
      </w:r>
    </w:p>
    <w:p w14:paraId="4EC456D5" w14:textId="77777777" w:rsidR="00FE02EF" w:rsidRPr="00CC19F7" w:rsidRDefault="00881E58" w:rsidP="00CC19F7">
      <w:pPr>
        <w:pStyle w:val="blokksit"/>
      </w:pPr>
      <w:r w:rsidRPr="00CC19F7">
        <w:t>«</w:t>
      </w:r>
      <w:r w:rsidRPr="00CC19F7">
        <w:rPr>
          <w:rStyle w:val="kursiv"/>
        </w:rPr>
        <w:t>Stortinget ber regjeringen vurdere å øke effektgrensen for hvor stort et solenergianlegg kan være før konsesjonsplikt inntreffer.</w:t>
      </w:r>
      <w:r w:rsidRPr="00CC19F7">
        <w:t>»</w:t>
      </w:r>
    </w:p>
    <w:p w14:paraId="5D4411D4" w14:textId="77777777" w:rsidR="00FE02EF" w:rsidRPr="00CC19F7" w:rsidRDefault="00881E58" w:rsidP="00CC19F7">
      <w:r w:rsidRPr="00CC19F7">
        <w:t xml:space="preserve">Dokumentet som ligg til grunn for vedtaket er </w:t>
      </w:r>
      <w:proofErr w:type="spellStart"/>
      <w:r w:rsidRPr="00CC19F7">
        <w:t>Innst</w:t>
      </w:r>
      <w:proofErr w:type="spellEnd"/>
      <w:r w:rsidRPr="00CC19F7">
        <w:t>. 25 S (2022–2023).</w:t>
      </w:r>
    </w:p>
    <w:p w14:paraId="176CD3CD" w14:textId="77777777" w:rsidR="00FE02EF" w:rsidRPr="00CC19F7" w:rsidRDefault="00881E58" w:rsidP="00CC19F7">
      <w:r w:rsidRPr="00CC19F7">
        <w:t xml:space="preserve">Det er i dag </w:t>
      </w:r>
      <w:proofErr w:type="spellStart"/>
      <w:r w:rsidRPr="00CC19F7">
        <w:t>eit</w:t>
      </w:r>
      <w:proofErr w:type="spellEnd"/>
      <w:r w:rsidRPr="00CC19F7">
        <w:t xml:space="preserve"> stort spekter i installert effekt i </w:t>
      </w:r>
      <w:proofErr w:type="spellStart"/>
      <w:r w:rsidRPr="00CC19F7">
        <w:t>dei</w:t>
      </w:r>
      <w:proofErr w:type="spellEnd"/>
      <w:r w:rsidRPr="00CC19F7">
        <w:t xml:space="preserve"> solkraftanlegga som </w:t>
      </w:r>
      <w:proofErr w:type="spellStart"/>
      <w:r w:rsidRPr="00CC19F7">
        <w:t>no</w:t>
      </w:r>
      <w:proofErr w:type="spellEnd"/>
      <w:r w:rsidRPr="00CC19F7">
        <w:t xml:space="preserve"> ligg til behandling i NVE. Det er også store </w:t>
      </w:r>
      <w:proofErr w:type="spellStart"/>
      <w:r w:rsidRPr="00CC19F7">
        <w:t>variasjonar</w:t>
      </w:r>
      <w:proofErr w:type="spellEnd"/>
      <w:r w:rsidRPr="00CC19F7">
        <w:t xml:space="preserve"> i </w:t>
      </w:r>
      <w:proofErr w:type="spellStart"/>
      <w:r w:rsidRPr="00CC19F7">
        <w:t>konsekvensar</w:t>
      </w:r>
      <w:proofErr w:type="spellEnd"/>
      <w:r w:rsidRPr="00CC19F7">
        <w:t xml:space="preserve"> for kraftsystem og miljø. Konsesjonsplikta er i dag knytt til bygging av </w:t>
      </w:r>
      <w:proofErr w:type="spellStart"/>
      <w:r w:rsidRPr="00CC19F7">
        <w:t>komponentar</w:t>
      </w:r>
      <w:proofErr w:type="spellEnd"/>
      <w:r w:rsidRPr="00CC19F7">
        <w:t xml:space="preserve"> med spenning over 1 kV. </w:t>
      </w:r>
      <w:proofErr w:type="spellStart"/>
      <w:r w:rsidRPr="00CC19F7">
        <w:t>Utan</w:t>
      </w:r>
      <w:proofErr w:type="spellEnd"/>
      <w:r w:rsidRPr="00CC19F7">
        <w:t xml:space="preserve"> ei effektgrense for konsesjonsplikt kan anlegg som krev same areal i </w:t>
      </w:r>
      <w:proofErr w:type="spellStart"/>
      <w:r w:rsidRPr="00CC19F7">
        <w:t>nokre</w:t>
      </w:r>
      <w:proofErr w:type="spellEnd"/>
      <w:r w:rsidRPr="00CC19F7">
        <w:t xml:space="preserve"> tilfelle </w:t>
      </w:r>
      <w:proofErr w:type="spellStart"/>
      <w:r w:rsidRPr="00CC19F7">
        <w:t>krevje</w:t>
      </w:r>
      <w:proofErr w:type="spellEnd"/>
      <w:r w:rsidRPr="00CC19F7">
        <w:t xml:space="preserve"> konsesjonsbehandling og i andre tilfelle </w:t>
      </w:r>
      <w:proofErr w:type="spellStart"/>
      <w:r w:rsidRPr="00CC19F7">
        <w:t>ikkje</w:t>
      </w:r>
      <w:proofErr w:type="spellEnd"/>
      <w:r w:rsidRPr="00CC19F7">
        <w:t xml:space="preserve">. Departementet vurderer det derfor som nødvendig å innføre ei effektgrense for konsesjonsplikt for solkraftanlegg. Installert effekt for solkraftanlegg blir normalt oppgitt med eininga </w:t>
      </w:r>
      <w:proofErr w:type="spellStart"/>
      <w:r w:rsidRPr="00CC19F7">
        <w:t>MWp</w:t>
      </w:r>
      <w:proofErr w:type="spellEnd"/>
      <w:r w:rsidRPr="00CC19F7">
        <w:rPr>
          <w:rStyle w:val="Fotnotereferanse"/>
        </w:rPr>
        <w:footnoteReference w:id="1"/>
      </w:r>
      <w:r w:rsidRPr="00CC19F7">
        <w:t xml:space="preserve"> i staden for MW. Derfor bør ei slik effektgrense for solkraft også </w:t>
      </w:r>
      <w:proofErr w:type="spellStart"/>
      <w:r w:rsidRPr="00CC19F7">
        <w:t>vere</w:t>
      </w:r>
      <w:proofErr w:type="spellEnd"/>
      <w:r w:rsidRPr="00CC19F7">
        <w:t xml:space="preserve"> i </w:t>
      </w:r>
      <w:proofErr w:type="spellStart"/>
      <w:r w:rsidRPr="00CC19F7">
        <w:t>MWp</w:t>
      </w:r>
      <w:proofErr w:type="spellEnd"/>
      <w:r w:rsidRPr="00CC19F7">
        <w:t>.</w:t>
      </w:r>
    </w:p>
    <w:p w14:paraId="45061486" w14:textId="77777777" w:rsidR="00FE02EF" w:rsidRPr="00CC19F7" w:rsidRDefault="00881E58" w:rsidP="00CC19F7">
      <w:r w:rsidRPr="00CC19F7">
        <w:t xml:space="preserve">Departementet har i oppfølginga av vedtaket bedt NVE utarbeide utkast til nødvendige </w:t>
      </w:r>
      <w:proofErr w:type="spellStart"/>
      <w:r w:rsidRPr="00CC19F7">
        <w:t>endringar</w:t>
      </w:r>
      <w:proofErr w:type="spellEnd"/>
      <w:r w:rsidRPr="00CC19F7">
        <w:t xml:space="preserve"> i lov og forskrift for å fastsette ei nedre effektgrense for konsesjonspliktige bakkemonterte solkraftanlegg på 1 </w:t>
      </w:r>
      <w:proofErr w:type="spellStart"/>
      <w:r w:rsidRPr="00CC19F7">
        <w:t>MWp</w:t>
      </w:r>
      <w:proofErr w:type="spellEnd"/>
      <w:r w:rsidRPr="00CC19F7">
        <w:t xml:space="preserve"> eller </w:t>
      </w:r>
      <w:proofErr w:type="spellStart"/>
      <w:r w:rsidRPr="00CC19F7">
        <w:t>høgare</w:t>
      </w:r>
      <w:proofErr w:type="spellEnd"/>
      <w:r w:rsidRPr="00CC19F7">
        <w:t xml:space="preserve">. NVE er bedt om å vurdere om effektgrensa kan </w:t>
      </w:r>
      <w:proofErr w:type="spellStart"/>
      <w:r w:rsidRPr="00CC19F7">
        <w:t>settast</w:t>
      </w:r>
      <w:proofErr w:type="spellEnd"/>
      <w:r w:rsidRPr="00CC19F7">
        <w:t xml:space="preserve"> </w:t>
      </w:r>
      <w:proofErr w:type="spellStart"/>
      <w:r w:rsidRPr="00CC19F7">
        <w:t>høgare</w:t>
      </w:r>
      <w:proofErr w:type="spellEnd"/>
      <w:r w:rsidRPr="00CC19F7">
        <w:t xml:space="preserve"> enn 1 </w:t>
      </w:r>
      <w:proofErr w:type="spellStart"/>
      <w:r w:rsidRPr="00CC19F7">
        <w:t>MWp</w:t>
      </w:r>
      <w:proofErr w:type="spellEnd"/>
      <w:r w:rsidRPr="00CC19F7">
        <w:t>.</w:t>
      </w:r>
    </w:p>
    <w:p w14:paraId="154E233C" w14:textId="77777777" w:rsidR="00FE02EF" w:rsidRPr="00CC19F7" w:rsidRDefault="00881E58" w:rsidP="00CC19F7">
      <w:r w:rsidRPr="00CC19F7">
        <w:t xml:space="preserve">Departementet vil fremme eventuelle forslag til </w:t>
      </w:r>
      <w:proofErr w:type="spellStart"/>
      <w:r w:rsidRPr="00CC19F7">
        <w:t>lovendringar</w:t>
      </w:r>
      <w:proofErr w:type="spellEnd"/>
      <w:r w:rsidRPr="00CC19F7">
        <w:t xml:space="preserve"> for Stortinget.</w:t>
      </w:r>
    </w:p>
    <w:p w14:paraId="71AA845E" w14:textId="77777777" w:rsidR="00FE02EF" w:rsidRPr="00CC19F7" w:rsidRDefault="00881E58" w:rsidP="00CC19F7">
      <w:pPr>
        <w:pStyle w:val="avsnitt-tittel"/>
      </w:pPr>
      <w:r w:rsidRPr="00CC19F7">
        <w:t xml:space="preserve">Ny teknologi som </w:t>
      </w:r>
      <w:proofErr w:type="spellStart"/>
      <w:r w:rsidRPr="00CC19F7">
        <w:t>aukar</w:t>
      </w:r>
      <w:proofErr w:type="spellEnd"/>
      <w:r w:rsidRPr="00CC19F7">
        <w:t xml:space="preserve"> utnyttinga av </w:t>
      </w:r>
      <w:proofErr w:type="spellStart"/>
      <w:r w:rsidRPr="00CC19F7">
        <w:t>eksisterande</w:t>
      </w:r>
      <w:proofErr w:type="spellEnd"/>
      <w:r w:rsidRPr="00CC19F7">
        <w:t xml:space="preserve"> infrastruktur</w:t>
      </w:r>
    </w:p>
    <w:p w14:paraId="35A5069B" w14:textId="77777777" w:rsidR="00FE02EF" w:rsidRPr="00CC19F7" w:rsidRDefault="00881E58" w:rsidP="00CC19F7">
      <w:pPr>
        <w:pStyle w:val="avsnitt-undertittel"/>
      </w:pPr>
      <w:r w:rsidRPr="00CC19F7">
        <w:t>Vedtak 19, 18. oktober 2022</w:t>
      </w:r>
    </w:p>
    <w:p w14:paraId="16FB36E9" w14:textId="77777777" w:rsidR="00FE02EF" w:rsidRPr="00CC19F7" w:rsidRDefault="00881E58" w:rsidP="00CC19F7">
      <w:pPr>
        <w:pStyle w:val="blokksit"/>
      </w:pPr>
      <w:r w:rsidRPr="00CC19F7">
        <w:t>«</w:t>
      </w:r>
      <w:r w:rsidRPr="00CC19F7">
        <w:rPr>
          <w:rStyle w:val="kursiv"/>
        </w:rPr>
        <w:t>Stortinget ber regjeringen påse at nettselskapene tar i bruk ny teknologi som øker utnyttelsen av eksisterende nettinfrastruktur, og at dette arbeidet prioriteres.</w:t>
      </w:r>
      <w:r w:rsidRPr="00CC19F7">
        <w:t>»</w:t>
      </w:r>
    </w:p>
    <w:p w14:paraId="3E7650E0" w14:textId="77777777" w:rsidR="00FE02EF" w:rsidRPr="00CC19F7" w:rsidRDefault="00881E58" w:rsidP="00CC19F7">
      <w:r w:rsidRPr="00CC19F7">
        <w:t xml:space="preserve">Dokumentet som ligg til grunn for vedtaket er </w:t>
      </w:r>
      <w:proofErr w:type="spellStart"/>
      <w:r w:rsidRPr="00CC19F7">
        <w:t>Innst</w:t>
      </w:r>
      <w:proofErr w:type="spellEnd"/>
      <w:r w:rsidRPr="00CC19F7">
        <w:t>. 25 S (2022–2023).</w:t>
      </w:r>
    </w:p>
    <w:p w14:paraId="5C097F1C" w14:textId="77777777" w:rsidR="00FE02EF" w:rsidRPr="00CC19F7" w:rsidRDefault="00881E58" w:rsidP="00CC19F7">
      <w:r w:rsidRPr="00CC19F7">
        <w:t xml:space="preserve">Departementet har gjennomført </w:t>
      </w:r>
      <w:proofErr w:type="spellStart"/>
      <w:r w:rsidRPr="00CC19F7">
        <w:t>ein</w:t>
      </w:r>
      <w:proofErr w:type="spellEnd"/>
      <w:r w:rsidRPr="00CC19F7">
        <w:t xml:space="preserve"> møteserie med RME, Statnett, </w:t>
      </w:r>
      <w:proofErr w:type="spellStart"/>
      <w:r w:rsidRPr="00CC19F7">
        <w:t>bransjeorganisasjonar</w:t>
      </w:r>
      <w:proofErr w:type="spellEnd"/>
      <w:r w:rsidRPr="00CC19F7">
        <w:t xml:space="preserve"> og nettselskap der tema har </w:t>
      </w:r>
      <w:proofErr w:type="spellStart"/>
      <w:r w:rsidRPr="00CC19F7">
        <w:t>vore</w:t>
      </w:r>
      <w:proofErr w:type="spellEnd"/>
      <w:r w:rsidRPr="00CC19F7">
        <w:t xml:space="preserve"> bruk av teknologi for å gi </w:t>
      </w:r>
      <w:proofErr w:type="spellStart"/>
      <w:r w:rsidRPr="00CC19F7">
        <w:t>meir</w:t>
      </w:r>
      <w:proofErr w:type="spellEnd"/>
      <w:r w:rsidRPr="00CC19F7">
        <w:t xml:space="preserve"> effektiv utnytting av nettet og kva insentiv nettselskapa har til å ta i bruk slik teknologi. RME vurderer </w:t>
      </w:r>
      <w:proofErr w:type="spellStart"/>
      <w:r w:rsidRPr="00CC19F7">
        <w:t>jamnleg</w:t>
      </w:r>
      <w:proofErr w:type="spellEnd"/>
      <w:r w:rsidRPr="00CC19F7">
        <w:t xml:space="preserve"> om det er </w:t>
      </w:r>
      <w:proofErr w:type="spellStart"/>
      <w:r w:rsidRPr="00CC19F7">
        <w:t>formålstenleg</w:t>
      </w:r>
      <w:proofErr w:type="spellEnd"/>
      <w:r w:rsidRPr="00CC19F7">
        <w:t xml:space="preserve"> å justere inntektsreguleringa for å gi </w:t>
      </w:r>
      <w:proofErr w:type="spellStart"/>
      <w:r w:rsidRPr="00CC19F7">
        <w:t>sterkare</w:t>
      </w:r>
      <w:proofErr w:type="spellEnd"/>
      <w:r w:rsidRPr="00CC19F7">
        <w:t xml:space="preserve"> insentiv til å drifte og utnytte nettet </w:t>
      </w:r>
      <w:proofErr w:type="spellStart"/>
      <w:r w:rsidRPr="00CC19F7">
        <w:t>meir</w:t>
      </w:r>
      <w:proofErr w:type="spellEnd"/>
      <w:r w:rsidRPr="00CC19F7">
        <w:t xml:space="preserve"> effektivt. Departementet vil som </w:t>
      </w:r>
      <w:proofErr w:type="spellStart"/>
      <w:r w:rsidRPr="00CC19F7">
        <w:t>ein</w:t>
      </w:r>
      <w:proofErr w:type="spellEnd"/>
      <w:r w:rsidRPr="00CC19F7">
        <w:t xml:space="preserve"> del av oppfølginga av </w:t>
      </w:r>
      <w:r w:rsidRPr="00CC19F7">
        <w:rPr>
          <w:rStyle w:val="kursiv"/>
        </w:rPr>
        <w:t>Regjeringens handlingsplan for raskere nettutbygging og bedre utnyttelse av nettet</w:t>
      </w:r>
      <w:r w:rsidRPr="00CC19F7">
        <w:t xml:space="preserve"> </w:t>
      </w:r>
      <w:proofErr w:type="spellStart"/>
      <w:r w:rsidRPr="00CC19F7">
        <w:t>halde</w:t>
      </w:r>
      <w:proofErr w:type="spellEnd"/>
      <w:r w:rsidRPr="00CC19F7">
        <w:t xml:space="preserve"> </w:t>
      </w:r>
      <w:proofErr w:type="spellStart"/>
      <w:r w:rsidRPr="00CC19F7">
        <w:t>halvårlege</w:t>
      </w:r>
      <w:proofErr w:type="spellEnd"/>
      <w:r w:rsidRPr="00CC19F7">
        <w:t xml:space="preserve"> statusmøte med </w:t>
      </w:r>
      <w:proofErr w:type="spellStart"/>
      <w:r w:rsidRPr="00CC19F7">
        <w:t>representantar</w:t>
      </w:r>
      <w:proofErr w:type="spellEnd"/>
      <w:r w:rsidRPr="00CC19F7">
        <w:t xml:space="preserve"> for nettbransjen. </w:t>
      </w:r>
      <w:proofErr w:type="spellStart"/>
      <w:r w:rsidRPr="00CC19F7">
        <w:t>Eit</w:t>
      </w:r>
      <w:proofErr w:type="spellEnd"/>
      <w:r w:rsidRPr="00CC19F7">
        <w:t xml:space="preserve"> </w:t>
      </w:r>
      <w:proofErr w:type="spellStart"/>
      <w:r w:rsidRPr="00CC19F7">
        <w:t>naturleg</w:t>
      </w:r>
      <w:proofErr w:type="spellEnd"/>
      <w:r w:rsidRPr="00CC19F7">
        <w:t xml:space="preserve"> tema vil </w:t>
      </w:r>
      <w:proofErr w:type="spellStart"/>
      <w:r w:rsidRPr="00CC19F7">
        <w:t>vere</w:t>
      </w:r>
      <w:proofErr w:type="spellEnd"/>
      <w:r w:rsidRPr="00CC19F7">
        <w:t xml:space="preserve"> bruk av teknologi som gir betre utnytting av nettinfrastrukturen.</w:t>
      </w:r>
    </w:p>
    <w:p w14:paraId="735E37ED" w14:textId="77777777" w:rsidR="00FE02EF" w:rsidRPr="00CC19F7" w:rsidRDefault="00881E58" w:rsidP="00CC19F7">
      <w:r w:rsidRPr="00CC19F7">
        <w:t xml:space="preserve">Departementet har bedt RME om å arbeide for </w:t>
      </w:r>
      <w:proofErr w:type="spellStart"/>
      <w:r w:rsidRPr="00CC19F7">
        <w:t>meir</w:t>
      </w:r>
      <w:proofErr w:type="spellEnd"/>
      <w:r w:rsidRPr="00CC19F7">
        <w:t xml:space="preserve"> digital samhandling i kraftsektoren. Arbeidet nettbransjen </w:t>
      </w:r>
      <w:proofErr w:type="spellStart"/>
      <w:r w:rsidRPr="00CC19F7">
        <w:t>gjer</w:t>
      </w:r>
      <w:proofErr w:type="spellEnd"/>
      <w:r w:rsidRPr="00CC19F7">
        <w:t xml:space="preserve"> med digitalisering og standardisering, er </w:t>
      </w:r>
      <w:proofErr w:type="spellStart"/>
      <w:r w:rsidRPr="00CC19F7">
        <w:t>ein</w:t>
      </w:r>
      <w:proofErr w:type="spellEnd"/>
      <w:r w:rsidRPr="00CC19F7">
        <w:t xml:space="preserve"> del av arbeidet for å få betre oversikt over fleksibilitet i nettet. RME har </w:t>
      </w:r>
      <w:proofErr w:type="spellStart"/>
      <w:r w:rsidRPr="00CC19F7">
        <w:t>sidan</w:t>
      </w:r>
      <w:proofErr w:type="spellEnd"/>
      <w:r w:rsidRPr="00CC19F7">
        <w:t xml:space="preserve"> 2021 leia </w:t>
      </w:r>
      <w:proofErr w:type="spellStart"/>
      <w:r w:rsidRPr="00CC19F7">
        <w:t>eit</w:t>
      </w:r>
      <w:proofErr w:type="spellEnd"/>
      <w:r w:rsidRPr="00CC19F7">
        <w:t xml:space="preserve"> prosjekt med </w:t>
      </w:r>
      <w:proofErr w:type="spellStart"/>
      <w:r w:rsidRPr="00CC19F7">
        <w:t>deltakarar</w:t>
      </w:r>
      <w:proofErr w:type="spellEnd"/>
      <w:r w:rsidRPr="00CC19F7">
        <w:t xml:space="preserve"> </w:t>
      </w:r>
      <w:proofErr w:type="spellStart"/>
      <w:r w:rsidRPr="00CC19F7">
        <w:t>frå</w:t>
      </w:r>
      <w:proofErr w:type="spellEnd"/>
      <w:r w:rsidRPr="00CC19F7">
        <w:t xml:space="preserve"> bransjen som skal sikre større tempo og forsterka arbeid med digital samhandling. Arbeidet har mellom anna resultert i at </w:t>
      </w:r>
      <w:proofErr w:type="spellStart"/>
      <w:r w:rsidRPr="00CC19F7">
        <w:t>ElBits</w:t>
      </w:r>
      <w:proofErr w:type="spellEnd"/>
      <w:r w:rsidRPr="00CC19F7">
        <w:t xml:space="preserve"> AS blei etablert i mars 2023. </w:t>
      </w:r>
      <w:proofErr w:type="spellStart"/>
      <w:r w:rsidRPr="00CC19F7">
        <w:t>ElBits</w:t>
      </w:r>
      <w:proofErr w:type="spellEnd"/>
      <w:r w:rsidRPr="00CC19F7">
        <w:t xml:space="preserve"> AS er </w:t>
      </w:r>
      <w:proofErr w:type="spellStart"/>
      <w:r w:rsidRPr="00CC19F7">
        <w:t>eigd</w:t>
      </w:r>
      <w:proofErr w:type="spellEnd"/>
      <w:r w:rsidRPr="00CC19F7">
        <w:t xml:space="preserve"> av </w:t>
      </w:r>
      <w:proofErr w:type="spellStart"/>
      <w:r w:rsidRPr="00CC19F7">
        <w:t>fleire</w:t>
      </w:r>
      <w:proofErr w:type="spellEnd"/>
      <w:r w:rsidRPr="00CC19F7">
        <w:t xml:space="preserve"> nettselskap og skal gi varig og </w:t>
      </w:r>
      <w:proofErr w:type="spellStart"/>
      <w:r w:rsidRPr="00CC19F7">
        <w:t>auka</w:t>
      </w:r>
      <w:proofErr w:type="spellEnd"/>
      <w:r w:rsidRPr="00CC19F7">
        <w:t xml:space="preserve"> kapasitet til bransjesamarbeidet om digital samhandling.</w:t>
      </w:r>
    </w:p>
    <w:p w14:paraId="00946860" w14:textId="77777777" w:rsidR="00FE02EF" w:rsidRPr="00CC19F7" w:rsidRDefault="00881E58" w:rsidP="00CC19F7">
      <w:r w:rsidRPr="00CC19F7">
        <w:t xml:space="preserve">Departementet </w:t>
      </w:r>
      <w:proofErr w:type="spellStart"/>
      <w:r w:rsidRPr="00CC19F7">
        <w:t>reknar</w:t>
      </w:r>
      <w:proofErr w:type="spellEnd"/>
      <w:r w:rsidRPr="00CC19F7">
        <w:t xml:space="preserve"> med dette oppmodingsvedtaket som </w:t>
      </w:r>
      <w:proofErr w:type="spellStart"/>
      <w:r w:rsidRPr="00CC19F7">
        <w:t>følgt</w:t>
      </w:r>
      <w:proofErr w:type="spellEnd"/>
      <w:r w:rsidRPr="00CC19F7">
        <w:t xml:space="preserve"> opp.</w:t>
      </w:r>
    </w:p>
    <w:p w14:paraId="5874E64B" w14:textId="77777777" w:rsidR="00FE02EF" w:rsidRPr="00CC19F7" w:rsidRDefault="00881E58" w:rsidP="00CC19F7">
      <w:pPr>
        <w:pStyle w:val="avsnitt-tittel"/>
      </w:pPr>
      <w:r w:rsidRPr="00CC19F7">
        <w:t>Straumstønadsordning for nærvarmeanlegg</w:t>
      </w:r>
    </w:p>
    <w:p w14:paraId="17B3A6AA" w14:textId="77777777" w:rsidR="00FE02EF" w:rsidRPr="00CC19F7" w:rsidRDefault="00881E58" w:rsidP="00CC19F7">
      <w:pPr>
        <w:pStyle w:val="avsnitt-undertittel"/>
      </w:pPr>
      <w:r w:rsidRPr="00CC19F7">
        <w:t>Vedtak 20, 18. oktober 2022</w:t>
      </w:r>
    </w:p>
    <w:p w14:paraId="620D7769" w14:textId="77777777" w:rsidR="00FE02EF" w:rsidRPr="00CC19F7" w:rsidRDefault="00881E58" w:rsidP="00CC19F7">
      <w:pPr>
        <w:pStyle w:val="blokksit"/>
      </w:pPr>
      <w:r w:rsidRPr="00CC19F7">
        <w:t>«</w:t>
      </w:r>
      <w:r w:rsidRPr="00CC19F7">
        <w:rPr>
          <w:rStyle w:val="kursiv"/>
        </w:rPr>
        <w:t>Stortinget ber regjeringen utrede hvordan en strømstøtteordning for nærvarmeanlegg som leverer til husholdningskunder, kan utformes, og estimere kostnaden for en slik ordning. Utredningen bør gjennomføres med sikte på ferdigstilling medio november 2022.</w:t>
      </w:r>
      <w:r w:rsidRPr="00CC19F7">
        <w:t>»</w:t>
      </w:r>
    </w:p>
    <w:p w14:paraId="39AAE511" w14:textId="77777777" w:rsidR="00FE02EF" w:rsidRPr="00CC19F7" w:rsidRDefault="00881E58" w:rsidP="00CC19F7">
      <w:r w:rsidRPr="00CC19F7">
        <w:t xml:space="preserve">Dokumentet som ligg til grunn for vedtaket er </w:t>
      </w:r>
      <w:proofErr w:type="spellStart"/>
      <w:r w:rsidRPr="00CC19F7">
        <w:t>Innst</w:t>
      </w:r>
      <w:proofErr w:type="spellEnd"/>
      <w:r w:rsidRPr="00CC19F7">
        <w:t>. 25 S (2022–2023).</w:t>
      </w:r>
    </w:p>
    <w:p w14:paraId="6C22828F" w14:textId="77777777" w:rsidR="00FE02EF" w:rsidRPr="00CC19F7" w:rsidRDefault="00881E58" w:rsidP="00CC19F7">
      <w:r w:rsidRPr="00CC19F7">
        <w:t xml:space="preserve">Det er løyvd 60 mill. kroner til ei ny søknadsbasert straumstønadsordning for </w:t>
      </w:r>
      <w:proofErr w:type="spellStart"/>
      <w:r w:rsidRPr="00CC19F7">
        <w:t>hushaldningskundar</w:t>
      </w:r>
      <w:proofErr w:type="spellEnd"/>
      <w:r w:rsidRPr="00CC19F7">
        <w:t xml:space="preserve"> av nærvarmeanlegg i 2023, jf. </w:t>
      </w:r>
      <w:proofErr w:type="spellStart"/>
      <w:r w:rsidRPr="00CC19F7">
        <w:t>Prop</w:t>
      </w:r>
      <w:proofErr w:type="spellEnd"/>
      <w:r w:rsidRPr="00CC19F7">
        <w:t xml:space="preserve">. 118 S (2022–2023) </w:t>
      </w:r>
      <w:r w:rsidRPr="00CC19F7">
        <w:rPr>
          <w:rStyle w:val="kursiv"/>
        </w:rPr>
        <w:t>Tilleggsbevilgninger og omprioriteringer i statsbudsjettet 2024</w:t>
      </w:r>
      <w:r w:rsidRPr="00CC19F7">
        <w:t xml:space="preserve">. Det er foreslått ei løyving på 22,5 mill. kroner til å føre </w:t>
      </w:r>
      <w:proofErr w:type="spellStart"/>
      <w:r w:rsidRPr="00CC19F7">
        <w:t>vidare</w:t>
      </w:r>
      <w:proofErr w:type="spellEnd"/>
      <w:r w:rsidRPr="00CC19F7">
        <w:t xml:space="preserve"> ordninga i 2024. Olje- og energidepartementet sende 3. juli 2023 på </w:t>
      </w:r>
      <w:proofErr w:type="spellStart"/>
      <w:r w:rsidRPr="00CC19F7">
        <w:t>høyring</w:t>
      </w:r>
      <w:proofErr w:type="spellEnd"/>
      <w:r w:rsidRPr="00CC19F7">
        <w:t xml:space="preserve"> forslag til ei forskrift om ei mellombels søknadsbasert straumstønadsordning for </w:t>
      </w:r>
      <w:proofErr w:type="spellStart"/>
      <w:r w:rsidRPr="00CC19F7">
        <w:t>hushaldningskundar</w:t>
      </w:r>
      <w:proofErr w:type="spellEnd"/>
      <w:r w:rsidRPr="00CC19F7">
        <w:t xml:space="preserve"> av </w:t>
      </w:r>
      <w:proofErr w:type="spellStart"/>
      <w:r w:rsidRPr="00CC19F7">
        <w:t>nærvarmeleverandørar</w:t>
      </w:r>
      <w:proofErr w:type="spellEnd"/>
      <w:r w:rsidRPr="00CC19F7">
        <w:t>.</w:t>
      </w:r>
    </w:p>
    <w:p w14:paraId="02F7896F" w14:textId="77777777" w:rsidR="00FE02EF" w:rsidRPr="00CC19F7" w:rsidRDefault="00881E58" w:rsidP="00CC19F7">
      <w:r w:rsidRPr="00CC19F7">
        <w:t xml:space="preserve">Departementet </w:t>
      </w:r>
      <w:proofErr w:type="spellStart"/>
      <w:r w:rsidRPr="00CC19F7">
        <w:t>reknar</w:t>
      </w:r>
      <w:proofErr w:type="spellEnd"/>
      <w:r w:rsidRPr="00CC19F7">
        <w:t xml:space="preserve"> med dette oppmodingsvedtaket som </w:t>
      </w:r>
      <w:proofErr w:type="spellStart"/>
      <w:r w:rsidRPr="00CC19F7">
        <w:t>følgt</w:t>
      </w:r>
      <w:proofErr w:type="spellEnd"/>
      <w:r w:rsidRPr="00CC19F7">
        <w:t xml:space="preserve"> opp.</w:t>
      </w:r>
    </w:p>
    <w:p w14:paraId="6D6026F0" w14:textId="77777777" w:rsidR="00FE02EF" w:rsidRPr="00CC19F7" w:rsidRDefault="00881E58" w:rsidP="00CC19F7">
      <w:pPr>
        <w:pStyle w:val="avsnitt-tittel"/>
      </w:pPr>
      <w:proofErr w:type="spellStart"/>
      <w:r w:rsidRPr="00CC19F7">
        <w:t>Ikkje</w:t>
      </w:r>
      <w:proofErr w:type="spellEnd"/>
      <w:r w:rsidRPr="00CC19F7">
        <w:t xml:space="preserve"> lyse ut 26. konsesjonsrunde i denne stortingsperioden</w:t>
      </w:r>
    </w:p>
    <w:p w14:paraId="1CC2A733" w14:textId="77777777" w:rsidR="00FE02EF" w:rsidRPr="00CC19F7" w:rsidRDefault="00881E58" w:rsidP="00CC19F7">
      <w:pPr>
        <w:pStyle w:val="avsnitt-undertittel"/>
      </w:pPr>
      <w:r w:rsidRPr="00CC19F7">
        <w:t>Vedtak 102, 1. desember 2022</w:t>
      </w:r>
    </w:p>
    <w:p w14:paraId="72950A32" w14:textId="77777777" w:rsidR="00FE02EF" w:rsidRPr="00CC19F7" w:rsidRDefault="00881E58" w:rsidP="00CC19F7">
      <w:pPr>
        <w:pStyle w:val="blokksit"/>
      </w:pPr>
      <w:r w:rsidRPr="00CC19F7">
        <w:t>«</w:t>
      </w:r>
      <w:r w:rsidRPr="00CC19F7">
        <w:rPr>
          <w:rStyle w:val="kursiv"/>
        </w:rPr>
        <w:t>Stortinget ber regjeringen om ikke å lyse ut 26. konsesjonsrunde i denne stortingsperioden.</w:t>
      </w:r>
      <w:r w:rsidRPr="00CC19F7">
        <w:t>»</w:t>
      </w:r>
    </w:p>
    <w:p w14:paraId="5AB5029E" w14:textId="77777777" w:rsidR="00FE02EF" w:rsidRPr="00CC19F7" w:rsidRDefault="00881E58" w:rsidP="00CC19F7">
      <w:r w:rsidRPr="00CC19F7">
        <w:t xml:space="preserve">Dokumenta som ligg til grunn for vedtaket er Meld. St. 1 (2022–2023) og </w:t>
      </w:r>
      <w:proofErr w:type="spellStart"/>
      <w:r w:rsidRPr="00CC19F7">
        <w:t>Innst</w:t>
      </w:r>
      <w:proofErr w:type="spellEnd"/>
      <w:r w:rsidRPr="00CC19F7">
        <w:t>. 2 S (2022–2023).</w:t>
      </w:r>
    </w:p>
    <w:p w14:paraId="6D325B4F" w14:textId="77777777" w:rsidR="00FE02EF" w:rsidRPr="00CC19F7" w:rsidRDefault="00881E58" w:rsidP="00CC19F7">
      <w:r w:rsidRPr="00CC19F7">
        <w:t xml:space="preserve">Olje- og energidepartementet har </w:t>
      </w:r>
      <w:proofErr w:type="spellStart"/>
      <w:r w:rsidRPr="00CC19F7">
        <w:t>ikkje</w:t>
      </w:r>
      <w:proofErr w:type="spellEnd"/>
      <w:r w:rsidRPr="00CC19F7">
        <w:t xml:space="preserve"> sett i gang 26. konsesjonsrunde på norsk sokkel.</w:t>
      </w:r>
    </w:p>
    <w:p w14:paraId="3FE5E5D4" w14:textId="77777777" w:rsidR="00FE02EF" w:rsidRPr="00CC19F7" w:rsidRDefault="00881E58" w:rsidP="00CC19F7">
      <w:r w:rsidRPr="00CC19F7">
        <w:t xml:space="preserve">Departementet </w:t>
      </w:r>
      <w:proofErr w:type="spellStart"/>
      <w:r w:rsidRPr="00CC19F7">
        <w:t>reknar</w:t>
      </w:r>
      <w:proofErr w:type="spellEnd"/>
      <w:r w:rsidRPr="00CC19F7">
        <w:t xml:space="preserve"> med dette oppmodingsvedtaket som </w:t>
      </w:r>
      <w:proofErr w:type="spellStart"/>
      <w:r w:rsidRPr="00CC19F7">
        <w:t>følgt</w:t>
      </w:r>
      <w:proofErr w:type="spellEnd"/>
      <w:r w:rsidRPr="00CC19F7">
        <w:t xml:space="preserve"> opp.</w:t>
      </w:r>
    </w:p>
    <w:p w14:paraId="71AEC0DE" w14:textId="77777777" w:rsidR="00FE02EF" w:rsidRPr="00CC19F7" w:rsidRDefault="00881E58" w:rsidP="00CC19F7">
      <w:pPr>
        <w:pStyle w:val="avsnitt-tittel"/>
      </w:pPr>
      <w:proofErr w:type="spellStart"/>
      <w:r w:rsidRPr="00CC19F7">
        <w:t>Ikkje</w:t>
      </w:r>
      <w:proofErr w:type="spellEnd"/>
      <w:r w:rsidRPr="00CC19F7">
        <w:t xml:space="preserve"> ta inn tre TFO-blokker i 2023</w:t>
      </w:r>
    </w:p>
    <w:p w14:paraId="5829F018" w14:textId="77777777" w:rsidR="00FE02EF" w:rsidRPr="00CC19F7" w:rsidRDefault="00881E58" w:rsidP="00CC19F7">
      <w:pPr>
        <w:pStyle w:val="avsnitt-undertittel"/>
      </w:pPr>
      <w:r w:rsidRPr="00CC19F7">
        <w:t>Vedtak 103, 1. desember 2022</w:t>
      </w:r>
    </w:p>
    <w:p w14:paraId="5BECB4D7" w14:textId="77777777" w:rsidR="00FE02EF" w:rsidRPr="00CC19F7" w:rsidRDefault="00881E58" w:rsidP="00CC19F7">
      <w:pPr>
        <w:pStyle w:val="blokksit"/>
      </w:pPr>
      <w:r w:rsidRPr="00CC19F7">
        <w:t>«</w:t>
      </w:r>
      <w:r w:rsidRPr="00CC19F7">
        <w:rPr>
          <w:rStyle w:val="kursiv"/>
        </w:rPr>
        <w:t>Stortinget ber regjeringen om at de tre TFO-blokkene (7426/10, 11 og 12) som ble tatt ut i 2022, ikke skal tas inn i TFO-runden i 2023.</w:t>
      </w:r>
      <w:r w:rsidRPr="00CC19F7">
        <w:t>»</w:t>
      </w:r>
    </w:p>
    <w:p w14:paraId="22E27A11" w14:textId="77777777" w:rsidR="00FE02EF" w:rsidRPr="00CC19F7" w:rsidRDefault="00881E58" w:rsidP="00CC19F7">
      <w:r w:rsidRPr="00CC19F7">
        <w:t xml:space="preserve">Dokumenta som ligg til grunn for vedtaket er Meld. St. 1 (2022–2023) og </w:t>
      </w:r>
      <w:proofErr w:type="spellStart"/>
      <w:r w:rsidRPr="00CC19F7">
        <w:t>Innst</w:t>
      </w:r>
      <w:proofErr w:type="spellEnd"/>
      <w:r w:rsidRPr="00CC19F7">
        <w:t>. 2 S (2022–2023).</w:t>
      </w:r>
    </w:p>
    <w:p w14:paraId="6571AF79" w14:textId="77777777" w:rsidR="00FE02EF" w:rsidRPr="00CC19F7" w:rsidRDefault="00881E58" w:rsidP="00CC19F7">
      <w:r w:rsidRPr="00CC19F7">
        <w:t xml:space="preserve">Blokkene (7426/10, 11 og 12) er </w:t>
      </w:r>
      <w:proofErr w:type="spellStart"/>
      <w:r w:rsidRPr="00CC19F7">
        <w:t>ikkje</w:t>
      </w:r>
      <w:proofErr w:type="spellEnd"/>
      <w:r w:rsidRPr="00CC19F7">
        <w:t xml:space="preserve"> omfatta av TFO 2023.</w:t>
      </w:r>
    </w:p>
    <w:p w14:paraId="556591DE" w14:textId="77777777" w:rsidR="00FE02EF" w:rsidRPr="00CC19F7" w:rsidRDefault="00881E58" w:rsidP="00CC19F7">
      <w:r w:rsidRPr="00CC19F7">
        <w:t xml:space="preserve">Departementet </w:t>
      </w:r>
      <w:proofErr w:type="spellStart"/>
      <w:r w:rsidRPr="00CC19F7">
        <w:t>reknar</w:t>
      </w:r>
      <w:proofErr w:type="spellEnd"/>
      <w:r w:rsidRPr="00CC19F7">
        <w:t xml:space="preserve"> med dette oppmodingsvedtaket som </w:t>
      </w:r>
      <w:proofErr w:type="spellStart"/>
      <w:r w:rsidRPr="00CC19F7">
        <w:t>følgt</w:t>
      </w:r>
      <w:proofErr w:type="spellEnd"/>
      <w:r w:rsidRPr="00CC19F7">
        <w:t xml:space="preserve"> opp.</w:t>
      </w:r>
    </w:p>
    <w:p w14:paraId="3499D47B" w14:textId="77777777" w:rsidR="00FE02EF" w:rsidRPr="00CC19F7" w:rsidRDefault="00881E58" w:rsidP="00CC19F7">
      <w:pPr>
        <w:pStyle w:val="avsnitt-tittel"/>
      </w:pPr>
      <w:proofErr w:type="spellStart"/>
      <w:r w:rsidRPr="00CC19F7">
        <w:t>Differansekontraktar</w:t>
      </w:r>
      <w:proofErr w:type="spellEnd"/>
      <w:r w:rsidRPr="00CC19F7">
        <w:t xml:space="preserve"> for hydrogen</w:t>
      </w:r>
    </w:p>
    <w:p w14:paraId="0C793C91" w14:textId="77777777" w:rsidR="00FE02EF" w:rsidRPr="00CC19F7" w:rsidRDefault="00881E58" w:rsidP="00CC19F7">
      <w:pPr>
        <w:pStyle w:val="avsnitt-undertittel"/>
      </w:pPr>
      <w:r w:rsidRPr="00CC19F7">
        <w:t>Vedtak 106, 1. desember 2022</w:t>
      </w:r>
    </w:p>
    <w:p w14:paraId="22153DE6" w14:textId="77777777" w:rsidR="00FE02EF" w:rsidRPr="00CC19F7" w:rsidRDefault="00881E58" w:rsidP="00CC19F7">
      <w:pPr>
        <w:pStyle w:val="blokksit"/>
      </w:pPr>
      <w:r w:rsidRPr="00CC19F7">
        <w:t>«</w:t>
      </w:r>
      <w:r w:rsidRPr="00CC19F7">
        <w:rPr>
          <w:rStyle w:val="kursiv"/>
        </w:rPr>
        <w:t>Stortinget ber regjeringen komme med en plan om å innføre et system for differansekontrakter for hydrogen i løpet av 2023.</w:t>
      </w:r>
      <w:r w:rsidRPr="00CC19F7">
        <w:t>»</w:t>
      </w:r>
    </w:p>
    <w:p w14:paraId="23F47560" w14:textId="77777777" w:rsidR="00FE02EF" w:rsidRPr="00CC19F7" w:rsidRDefault="00881E58" w:rsidP="00CC19F7">
      <w:r w:rsidRPr="00CC19F7">
        <w:t xml:space="preserve">Dokumenta som ligg til grunn for vedtaket er Meld. St. 1 (2022–2023) og </w:t>
      </w:r>
      <w:proofErr w:type="spellStart"/>
      <w:r w:rsidRPr="00CC19F7">
        <w:t>Innst</w:t>
      </w:r>
      <w:proofErr w:type="spellEnd"/>
      <w:r w:rsidRPr="00CC19F7">
        <w:t>. 2 S (2022–2023).</w:t>
      </w:r>
    </w:p>
    <w:p w14:paraId="7447AF06" w14:textId="77777777" w:rsidR="00FE02EF" w:rsidRPr="00CC19F7" w:rsidRDefault="00881E58" w:rsidP="00CC19F7">
      <w:r w:rsidRPr="00CC19F7">
        <w:t xml:space="preserve">Regjeringa har i løpet av våren 2023 gjort ei utgreiing av korleis staten kan </w:t>
      </w:r>
      <w:proofErr w:type="spellStart"/>
      <w:r w:rsidRPr="00CC19F7">
        <w:t>medverke</w:t>
      </w:r>
      <w:proofErr w:type="spellEnd"/>
      <w:r w:rsidRPr="00CC19F7">
        <w:t xml:space="preserve"> til å bygge opp ei </w:t>
      </w:r>
      <w:proofErr w:type="spellStart"/>
      <w:r w:rsidRPr="00CC19F7">
        <w:t>samanhengande</w:t>
      </w:r>
      <w:proofErr w:type="spellEnd"/>
      <w:r w:rsidRPr="00CC19F7">
        <w:t xml:space="preserve"> verdikjede for hydrogen produsert med låge eller ingen utslepp, der produksjon, distribusjon og bruk blir utvikla parallelt. Mellom anna er det </w:t>
      </w:r>
      <w:proofErr w:type="spellStart"/>
      <w:r w:rsidRPr="00CC19F7">
        <w:t>eksisterande</w:t>
      </w:r>
      <w:proofErr w:type="spellEnd"/>
      <w:r w:rsidRPr="00CC19F7">
        <w:t xml:space="preserve"> </w:t>
      </w:r>
      <w:proofErr w:type="spellStart"/>
      <w:r w:rsidRPr="00CC19F7">
        <w:t>verkemiddelapparatet</w:t>
      </w:r>
      <w:proofErr w:type="spellEnd"/>
      <w:r w:rsidRPr="00CC19F7">
        <w:t xml:space="preserve"> for </w:t>
      </w:r>
      <w:proofErr w:type="spellStart"/>
      <w:r w:rsidRPr="00CC19F7">
        <w:t>hydrogenaktørar</w:t>
      </w:r>
      <w:proofErr w:type="spellEnd"/>
      <w:r w:rsidRPr="00CC19F7">
        <w:t xml:space="preserve"> i </w:t>
      </w:r>
      <w:proofErr w:type="spellStart"/>
      <w:r w:rsidRPr="00CC19F7">
        <w:t>Noreg</w:t>
      </w:r>
      <w:proofErr w:type="spellEnd"/>
      <w:r w:rsidRPr="00CC19F7">
        <w:t xml:space="preserve"> vurdert. Dette er </w:t>
      </w:r>
      <w:proofErr w:type="spellStart"/>
      <w:r w:rsidRPr="00CC19F7">
        <w:t>ein</w:t>
      </w:r>
      <w:proofErr w:type="spellEnd"/>
      <w:r w:rsidRPr="00CC19F7">
        <w:t xml:space="preserve"> viktig del av kunnskapsgrunnlaget for regjeringas </w:t>
      </w:r>
      <w:proofErr w:type="spellStart"/>
      <w:r w:rsidRPr="00CC19F7">
        <w:t>vidare</w:t>
      </w:r>
      <w:proofErr w:type="spellEnd"/>
      <w:r w:rsidRPr="00CC19F7">
        <w:t xml:space="preserve"> utvikling av politikken på hydrogenområdet. Både den norske utgreiinga og ei utgreiing </w:t>
      </w:r>
      <w:proofErr w:type="spellStart"/>
      <w:r w:rsidRPr="00CC19F7">
        <w:t>frå</w:t>
      </w:r>
      <w:proofErr w:type="spellEnd"/>
      <w:r w:rsidRPr="00CC19F7">
        <w:t xml:space="preserve"> Europakommisjonen konkluderer med at </w:t>
      </w:r>
      <w:proofErr w:type="spellStart"/>
      <w:r w:rsidRPr="00CC19F7">
        <w:t>differansekontraktar</w:t>
      </w:r>
      <w:proofErr w:type="spellEnd"/>
      <w:r w:rsidRPr="00CC19F7">
        <w:t xml:space="preserve"> </w:t>
      </w:r>
      <w:proofErr w:type="spellStart"/>
      <w:r w:rsidRPr="00CC19F7">
        <w:t>ikkje</w:t>
      </w:r>
      <w:proofErr w:type="spellEnd"/>
      <w:r w:rsidRPr="00CC19F7">
        <w:t xml:space="preserve"> vil </w:t>
      </w:r>
      <w:proofErr w:type="spellStart"/>
      <w:r w:rsidRPr="00CC19F7">
        <w:t>vere</w:t>
      </w:r>
      <w:proofErr w:type="spellEnd"/>
      <w:r w:rsidRPr="00CC19F7">
        <w:t xml:space="preserve"> det mest eigna </w:t>
      </w:r>
      <w:proofErr w:type="spellStart"/>
      <w:r w:rsidRPr="00CC19F7">
        <w:t>verkemiddelet</w:t>
      </w:r>
      <w:proofErr w:type="spellEnd"/>
      <w:r w:rsidRPr="00CC19F7">
        <w:t xml:space="preserve"> før </w:t>
      </w:r>
      <w:proofErr w:type="spellStart"/>
      <w:r w:rsidRPr="00CC19F7">
        <w:t>hydrogenmarknaden</w:t>
      </w:r>
      <w:proofErr w:type="spellEnd"/>
      <w:r w:rsidRPr="00CC19F7">
        <w:t xml:space="preserve"> er </w:t>
      </w:r>
      <w:proofErr w:type="spellStart"/>
      <w:r w:rsidRPr="00CC19F7">
        <w:t>meir</w:t>
      </w:r>
      <w:proofErr w:type="spellEnd"/>
      <w:r w:rsidRPr="00CC19F7">
        <w:t xml:space="preserve"> moden. I mars lanserte EU Hydrogenbanken som </w:t>
      </w:r>
      <w:proofErr w:type="spellStart"/>
      <w:r w:rsidRPr="00CC19F7">
        <w:t>verkemiddel</w:t>
      </w:r>
      <w:proofErr w:type="spellEnd"/>
      <w:r w:rsidRPr="00CC19F7">
        <w:t xml:space="preserve"> under Innovasjonsfondet. Her vil europeiske </w:t>
      </w:r>
      <w:proofErr w:type="spellStart"/>
      <w:r w:rsidRPr="00CC19F7">
        <w:t>aktørar</w:t>
      </w:r>
      <w:proofErr w:type="spellEnd"/>
      <w:r w:rsidRPr="00CC19F7">
        <w:t xml:space="preserve"> konkurrere om </w:t>
      </w:r>
      <w:proofErr w:type="spellStart"/>
      <w:r w:rsidRPr="00CC19F7">
        <w:t>tilskot</w:t>
      </w:r>
      <w:proofErr w:type="spellEnd"/>
      <w:r w:rsidRPr="00CC19F7">
        <w:t xml:space="preserve"> til fornybar hydrogenproduksjon. </w:t>
      </w:r>
      <w:proofErr w:type="spellStart"/>
      <w:r w:rsidRPr="00CC19F7">
        <w:t>Verkemiddelet</w:t>
      </w:r>
      <w:proofErr w:type="spellEnd"/>
      <w:r w:rsidRPr="00CC19F7">
        <w:t xml:space="preserve"> er likt </w:t>
      </w:r>
      <w:proofErr w:type="spellStart"/>
      <w:r w:rsidRPr="00CC19F7">
        <w:t>differansekontraktar</w:t>
      </w:r>
      <w:proofErr w:type="spellEnd"/>
      <w:r w:rsidRPr="00CC19F7">
        <w:t xml:space="preserve"> på enkelte område, men </w:t>
      </w:r>
      <w:proofErr w:type="spellStart"/>
      <w:r w:rsidRPr="00CC19F7">
        <w:t>tilskot</w:t>
      </w:r>
      <w:proofErr w:type="spellEnd"/>
      <w:r w:rsidRPr="00CC19F7">
        <w:t xml:space="preserve"> vil bli gitt som </w:t>
      </w:r>
      <w:proofErr w:type="spellStart"/>
      <w:r w:rsidRPr="00CC19F7">
        <w:t>eit</w:t>
      </w:r>
      <w:proofErr w:type="spellEnd"/>
      <w:r w:rsidRPr="00CC19F7">
        <w:t xml:space="preserve"> fast </w:t>
      </w:r>
      <w:proofErr w:type="spellStart"/>
      <w:r w:rsidRPr="00CC19F7">
        <w:t>tilskot</w:t>
      </w:r>
      <w:proofErr w:type="spellEnd"/>
      <w:r w:rsidRPr="00CC19F7">
        <w:t xml:space="preserve"> per kilo produsert hydrogen. Regjeringa meiner dette verktøyet er godt eigna for å bygge opp </w:t>
      </w:r>
      <w:proofErr w:type="spellStart"/>
      <w:r w:rsidRPr="00CC19F7">
        <w:t>samanhengande</w:t>
      </w:r>
      <w:proofErr w:type="spellEnd"/>
      <w:r w:rsidRPr="00CC19F7">
        <w:t xml:space="preserve"> verdikjeder for hydrogen, og tar sikte på at norske </w:t>
      </w:r>
      <w:proofErr w:type="spellStart"/>
      <w:r w:rsidRPr="00CC19F7">
        <w:t>aktørar</w:t>
      </w:r>
      <w:proofErr w:type="spellEnd"/>
      <w:r w:rsidRPr="00CC19F7">
        <w:t xml:space="preserve"> så </w:t>
      </w:r>
      <w:proofErr w:type="spellStart"/>
      <w:r w:rsidRPr="00CC19F7">
        <w:t>tidleg</w:t>
      </w:r>
      <w:proofErr w:type="spellEnd"/>
      <w:r w:rsidRPr="00CC19F7">
        <w:t xml:space="preserve"> som </w:t>
      </w:r>
      <w:proofErr w:type="spellStart"/>
      <w:r w:rsidRPr="00CC19F7">
        <w:t>mogleg</w:t>
      </w:r>
      <w:proofErr w:type="spellEnd"/>
      <w:r w:rsidRPr="00CC19F7">
        <w:t xml:space="preserve"> skal kunne delta i </w:t>
      </w:r>
      <w:proofErr w:type="spellStart"/>
      <w:r w:rsidRPr="00CC19F7">
        <w:t>utlysingar</w:t>
      </w:r>
      <w:proofErr w:type="spellEnd"/>
      <w:r w:rsidRPr="00CC19F7">
        <w:t xml:space="preserve"> under EU sin hydrogenbank. Regjeringa vurderer at Hydrogenbanken vil </w:t>
      </w:r>
      <w:proofErr w:type="spellStart"/>
      <w:r w:rsidRPr="00CC19F7">
        <w:t>vere</w:t>
      </w:r>
      <w:proofErr w:type="spellEnd"/>
      <w:r w:rsidRPr="00CC19F7">
        <w:t xml:space="preserve"> </w:t>
      </w:r>
      <w:proofErr w:type="spellStart"/>
      <w:r w:rsidRPr="00CC19F7">
        <w:t>ein</w:t>
      </w:r>
      <w:proofErr w:type="spellEnd"/>
      <w:r w:rsidRPr="00CC19F7">
        <w:t xml:space="preserve"> god og administrativt enkel måte å støtte norsk hydrogenproduksjon på. </w:t>
      </w:r>
      <w:proofErr w:type="spellStart"/>
      <w:r w:rsidRPr="00CC19F7">
        <w:t>Tilknyting</w:t>
      </w:r>
      <w:proofErr w:type="spellEnd"/>
      <w:r w:rsidRPr="00CC19F7">
        <w:t xml:space="preserve"> til ei slik europeisk støtteordning vil også </w:t>
      </w:r>
      <w:proofErr w:type="spellStart"/>
      <w:r w:rsidRPr="00CC19F7">
        <w:t>medverke</w:t>
      </w:r>
      <w:proofErr w:type="spellEnd"/>
      <w:r w:rsidRPr="00CC19F7">
        <w:t xml:space="preserve"> til å </w:t>
      </w:r>
      <w:proofErr w:type="spellStart"/>
      <w:r w:rsidRPr="00CC19F7">
        <w:t>synleggjere</w:t>
      </w:r>
      <w:proofErr w:type="spellEnd"/>
      <w:r w:rsidRPr="00CC19F7">
        <w:t xml:space="preserve"> norske hydrogenprosjekt i Europa. Dette vil </w:t>
      </w:r>
      <w:proofErr w:type="spellStart"/>
      <w:r w:rsidRPr="00CC19F7">
        <w:t>vere</w:t>
      </w:r>
      <w:proofErr w:type="spellEnd"/>
      <w:r w:rsidRPr="00CC19F7">
        <w:t xml:space="preserve"> viktig i arbeidet med regjeringa sin ambisjon om å </w:t>
      </w:r>
      <w:proofErr w:type="spellStart"/>
      <w:r w:rsidRPr="00CC19F7">
        <w:t>medverke</w:t>
      </w:r>
      <w:proofErr w:type="spellEnd"/>
      <w:r w:rsidRPr="00CC19F7">
        <w:t xml:space="preserve"> til oppbygginga av </w:t>
      </w:r>
      <w:proofErr w:type="spellStart"/>
      <w:r w:rsidRPr="00CC19F7">
        <w:t>ein</w:t>
      </w:r>
      <w:proofErr w:type="spellEnd"/>
      <w:r w:rsidRPr="00CC19F7">
        <w:t xml:space="preserve"> </w:t>
      </w:r>
      <w:proofErr w:type="spellStart"/>
      <w:r w:rsidRPr="00CC19F7">
        <w:t>marknad</w:t>
      </w:r>
      <w:proofErr w:type="spellEnd"/>
      <w:r w:rsidRPr="00CC19F7">
        <w:t xml:space="preserve"> for hydrogen i Europa, mellom anna gjennom å delta i relevante samarbeidsforum og -program for hydrogen. På brukssida har </w:t>
      </w:r>
      <w:proofErr w:type="spellStart"/>
      <w:r w:rsidRPr="00CC19F7">
        <w:t>Enova</w:t>
      </w:r>
      <w:proofErr w:type="spellEnd"/>
      <w:r w:rsidRPr="00CC19F7">
        <w:t xml:space="preserve"> lagt fram to nye støtteprogram med rom for å gi </w:t>
      </w:r>
      <w:proofErr w:type="spellStart"/>
      <w:r w:rsidRPr="00CC19F7">
        <w:t>høgare</w:t>
      </w:r>
      <w:proofErr w:type="spellEnd"/>
      <w:r w:rsidRPr="00CC19F7">
        <w:t xml:space="preserve"> støtte enn </w:t>
      </w:r>
      <w:proofErr w:type="spellStart"/>
      <w:r w:rsidRPr="00CC19F7">
        <w:t>tidlegare</w:t>
      </w:r>
      <w:proofErr w:type="spellEnd"/>
      <w:r w:rsidRPr="00CC19F7">
        <w:t xml:space="preserve">. Maksimal støttesats vil </w:t>
      </w:r>
      <w:proofErr w:type="spellStart"/>
      <w:r w:rsidRPr="00CC19F7">
        <w:t>vere</w:t>
      </w:r>
      <w:proofErr w:type="spellEnd"/>
      <w:r w:rsidRPr="00CC19F7">
        <w:t xml:space="preserve"> opp til 80 prosent av </w:t>
      </w:r>
      <w:proofErr w:type="spellStart"/>
      <w:r w:rsidRPr="00CC19F7">
        <w:t>godkjende</w:t>
      </w:r>
      <w:proofErr w:type="spellEnd"/>
      <w:r w:rsidRPr="00CC19F7">
        <w:t xml:space="preserve"> </w:t>
      </w:r>
      <w:proofErr w:type="spellStart"/>
      <w:r w:rsidRPr="00CC19F7">
        <w:t>meirkostnader</w:t>
      </w:r>
      <w:proofErr w:type="spellEnd"/>
      <w:r w:rsidRPr="00CC19F7">
        <w:t xml:space="preserve">. Dette vil bidra til </w:t>
      </w:r>
      <w:proofErr w:type="spellStart"/>
      <w:r w:rsidRPr="00CC19F7">
        <w:t>auka</w:t>
      </w:r>
      <w:proofErr w:type="spellEnd"/>
      <w:r w:rsidRPr="00CC19F7">
        <w:t xml:space="preserve"> realisering av hydrogen- og </w:t>
      </w:r>
      <w:proofErr w:type="spellStart"/>
      <w:r w:rsidRPr="00CC19F7">
        <w:t>ammoniakkdrivne</w:t>
      </w:r>
      <w:proofErr w:type="spellEnd"/>
      <w:r w:rsidRPr="00CC19F7">
        <w:t xml:space="preserve"> fartøy og skape </w:t>
      </w:r>
      <w:proofErr w:type="spellStart"/>
      <w:r w:rsidRPr="00CC19F7">
        <w:t>ein</w:t>
      </w:r>
      <w:proofErr w:type="spellEnd"/>
      <w:r w:rsidRPr="00CC19F7">
        <w:t xml:space="preserve"> større </w:t>
      </w:r>
      <w:proofErr w:type="spellStart"/>
      <w:r w:rsidRPr="00CC19F7">
        <w:t>marknad</w:t>
      </w:r>
      <w:proofErr w:type="spellEnd"/>
      <w:r w:rsidRPr="00CC19F7">
        <w:t xml:space="preserve"> for produksjon av hydrogen/ammoniakk. Til </w:t>
      </w:r>
      <w:proofErr w:type="spellStart"/>
      <w:r w:rsidRPr="00CC19F7">
        <w:t>saman</w:t>
      </w:r>
      <w:proofErr w:type="spellEnd"/>
      <w:r w:rsidRPr="00CC19F7">
        <w:t xml:space="preserve"> vil </w:t>
      </w:r>
      <w:proofErr w:type="spellStart"/>
      <w:r w:rsidRPr="00CC19F7">
        <w:t>desse</w:t>
      </w:r>
      <w:proofErr w:type="spellEnd"/>
      <w:r w:rsidRPr="00CC19F7">
        <w:t xml:space="preserve"> og </w:t>
      </w:r>
      <w:proofErr w:type="spellStart"/>
      <w:r w:rsidRPr="00CC19F7">
        <w:t>eksisterande</w:t>
      </w:r>
      <w:proofErr w:type="spellEnd"/>
      <w:r w:rsidRPr="00CC19F7">
        <w:t xml:space="preserve"> </w:t>
      </w:r>
      <w:proofErr w:type="spellStart"/>
      <w:r w:rsidRPr="00CC19F7">
        <w:t>verkemiddel</w:t>
      </w:r>
      <w:proofErr w:type="spellEnd"/>
      <w:r w:rsidRPr="00CC19F7">
        <w:t xml:space="preserve"> bidra til utvikling av </w:t>
      </w:r>
      <w:proofErr w:type="spellStart"/>
      <w:r w:rsidRPr="00CC19F7">
        <w:t>marknaden</w:t>
      </w:r>
      <w:proofErr w:type="spellEnd"/>
      <w:r w:rsidRPr="00CC19F7">
        <w:t xml:space="preserve"> for hydrogen som </w:t>
      </w:r>
      <w:proofErr w:type="spellStart"/>
      <w:r w:rsidRPr="00CC19F7">
        <w:t>energiberar</w:t>
      </w:r>
      <w:proofErr w:type="spellEnd"/>
      <w:r w:rsidRPr="00CC19F7">
        <w:t xml:space="preserve"> med ingen eller låge utslepp.</w:t>
      </w:r>
    </w:p>
    <w:p w14:paraId="7D12807F" w14:textId="77777777" w:rsidR="00FE02EF" w:rsidRPr="00CC19F7" w:rsidRDefault="00881E58" w:rsidP="00CC19F7">
      <w:r w:rsidRPr="00CC19F7">
        <w:t xml:space="preserve">I perioden 2020–2022 blei det løyvd om lag 4,7 mrd. kroner til hydrogenformål gjennom </w:t>
      </w:r>
      <w:proofErr w:type="spellStart"/>
      <w:r w:rsidRPr="00CC19F7">
        <w:t>Enova</w:t>
      </w:r>
      <w:proofErr w:type="spellEnd"/>
      <w:r w:rsidRPr="00CC19F7">
        <w:t xml:space="preserve">, Norges forskingsråd og Innovasjon </w:t>
      </w:r>
      <w:proofErr w:type="spellStart"/>
      <w:r w:rsidRPr="00CC19F7">
        <w:t>Noreg</w:t>
      </w:r>
      <w:proofErr w:type="spellEnd"/>
      <w:r w:rsidRPr="00CC19F7">
        <w:t xml:space="preserve">. </w:t>
      </w:r>
      <w:proofErr w:type="spellStart"/>
      <w:r w:rsidRPr="00CC19F7">
        <w:t>Sidan</w:t>
      </w:r>
      <w:proofErr w:type="spellEnd"/>
      <w:r w:rsidRPr="00CC19F7">
        <w:t xml:space="preserve"> 2015 har det blitt løyvd om lag 5,6 mrd. kroner som vil kunne utløyse </w:t>
      </w:r>
      <w:proofErr w:type="spellStart"/>
      <w:r w:rsidRPr="00CC19F7">
        <w:t>investeringar</w:t>
      </w:r>
      <w:proofErr w:type="spellEnd"/>
      <w:r w:rsidRPr="00CC19F7">
        <w:t xml:space="preserve"> for 7,4 mrd. kroner dersom prosjekta blir realiserte. Hydrogenproduksjon er også blant </w:t>
      </w:r>
      <w:proofErr w:type="spellStart"/>
      <w:r w:rsidRPr="00CC19F7">
        <w:t>næringane</w:t>
      </w:r>
      <w:proofErr w:type="spellEnd"/>
      <w:r w:rsidRPr="00CC19F7">
        <w:t xml:space="preserve"> som i dag kan få CO</w:t>
      </w:r>
      <w:r w:rsidRPr="00CC19F7">
        <w:rPr>
          <w:rStyle w:val="skrift-senket"/>
        </w:rPr>
        <w:t>2</w:t>
      </w:r>
      <w:r w:rsidRPr="00CC19F7">
        <w:t>-kompensasjon.</w:t>
      </w:r>
    </w:p>
    <w:p w14:paraId="49D88A23" w14:textId="77777777" w:rsidR="00FE02EF" w:rsidRPr="00CC19F7" w:rsidRDefault="00881E58" w:rsidP="00CC19F7">
      <w:r w:rsidRPr="00CC19F7">
        <w:t xml:space="preserve">Departementet </w:t>
      </w:r>
      <w:proofErr w:type="spellStart"/>
      <w:r w:rsidRPr="00CC19F7">
        <w:t>reknar</w:t>
      </w:r>
      <w:proofErr w:type="spellEnd"/>
      <w:r w:rsidRPr="00CC19F7">
        <w:t xml:space="preserve"> med dette oppmodingsvedtaket som </w:t>
      </w:r>
      <w:proofErr w:type="spellStart"/>
      <w:r w:rsidRPr="00CC19F7">
        <w:t>følgt</w:t>
      </w:r>
      <w:proofErr w:type="spellEnd"/>
      <w:r w:rsidRPr="00CC19F7">
        <w:t xml:space="preserve"> opp.</w:t>
      </w:r>
    </w:p>
    <w:p w14:paraId="13384040" w14:textId="77777777" w:rsidR="00FE02EF" w:rsidRPr="00CC19F7" w:rsidRDefault="00881E58" w:rsidP="00CC19F7">
      <w:pPr>
        <w:pStyle w:val="avsnitt-tittel"/>
      </w:pPr>
      <w:r w:rsidRPr="00CC19F7">
        <w:t>Straumstønad for mindre, private straumnett</w:t>
      </w:r>
    </w:p>
    <w:p w14:paraId="7005A16D" w14:textId="77777777" w:rsidR="00FE02EF" w:rsidRPr="00CC19F7" w:rsidRDefault="00881E58" w:rsidP="00CC19F7">
      <w:pPr>
        <w:pStyle w:val="avsnitt-undertittel"/>
      </w:pPr>
      <w:r w:rsidRPr="00CC19F7">
        <w:t>Vedtak 158, 8. desember 2022</w:t>
      </w:r>
    </w:p>
    <w:p w14:paraId="230ECC0F" w14:textId="77777777" w:rsidR="00FE02EF" w:rsidRPr="00CC19F7" w:rsidRDefault="00881E58" w:rsidP="00CC19F7">
      <w:pPr>
        <w:pStyle w:val="blokksit"/>
      </w:pPr>
      <w:r w:rsidRPr="00CC19F7">
        <w:t>«</w:t>
      </w:r>
      <w:r w:rsidRPr="00CC19F7">
        <w:rPr>
          <w:rStyle w:val="kursiv"/>
        </w:rPr>
        <w:t>Stortinget ber regjeringen vurdere hvordan husholdninger tilkoblet mindre, private strømnett, kan motta strømstøtte på linje med andre, og melde tilbake til Stortinget snarest mulig om det er mulig med en justering av strømstøtteordningen for å hensynta slike husholdninger med sikte på utgangen av januar 2023.</w:t>
      </w:r>
      <w:r w:rsidRPr="00CC19F7">
        <w:t>»</w:t>
      </w:r>
    </w:p>
    <w:p w14:paraId="09B71FDD" w14:textId="77777777" w:rsidR="00FE02EF" w:rsidRPr="00CC19F7" w:rsidRDefault="00881E58" w:rsidP="00CC19F7">
      <w:r w:rsidRPr="00CC19F7">
        <w:t xml:space="preserve">Dokumenta som ligg til grunn for vedtaket er </w:t>
      </w:r>
      <w:proofErr w:type="spellStart"/>
      <w:r w:rsidRPr="00CC19F7">
        <w:t>Prop</w:t>
      </w:r>
      <w:proofErr w:type="spellEnd"/>
      <w:r w:rsidRPr="00CC19F7">
        <w:t xml:space="preserve">. 11 L (2022–2023), </w:t>
      </w:r>
      <w:proofErr w:type="spellStart"/>
      <w:r w:rsidRPr="00CC19F7">
        <w:t>Innst</w:t>
      </w:r>
      <w:proofErr w:type="spellEnd"/>
      <w:r w:rsidRPr="00CC19F7">
        <w:t>. 105 L (2022–2023) og Lovvedtak 21 (2022–2023).</w:t>
      </w:r>
    </w:p>
    <w:p w14:paraId="514E0E8B" w14:textId="77777777" w:rsidR="00FE02EF" w:rsidRPr="00CC19F7" w:rsidRDefault="00881E58" w:rsidP="00CC19F7">
      <w:r w:rsidRPr="00CC19F7">
        <w:t xml:space="preserve">Departementet viser til vurderinga under kapittel 1.4 Anmodningsvedtak og omtale på side 177–179 i </w:t>
      </w:r>
      <w:proofErr w:type="spellStart"/>
      <w:r w:rsidRPr="00CC19F7">
        <w:t>Prop</w:t>
      </w:r>
      <w:proofErr w:type="spellEnd"/>
      <w:r w:rsidRPr="00CC19F7">
        <w:t xml:space="preserve">. 118 S (2022–2023) </w:t>
      </w:r>
      <w:r w:rsidRPr="00CC19F7">
        <w:rPr>
          <w:rStyle w:val="kursiv"/>
        </w:rPr>
        <w:t>Tilleggsbevilgninger og omprioriteringer i statsbudsjettet 2023</w:t>
      </w:r>
      <w:r w:rsidRPr="00CC19F7">
        <w:t>.</w:t>
      </w:r>
    </w:p>
    <w:p w14:paraId="3A90B93F" w14:textId="77777777" w:rsidR="00FE02EF" w:rsidRPr="00CC19F7" w:rsidRDefault="00881E58" w:rsidP="00CC19F7">
      <w:r w:rsidRPr="00CC19F7">
        <w:t xml:space="preserve">Olje- og energidepartementet vedtok 20. juni 2023 ei forskrift som inkluderer </w:t>
      </w:r>
      <w:proofErr w:type="spellStart"/>
      <w:r w:rsidRPr="00CC19F7">
        <w:t>hushaldningar</w:t>
      </w:r>
      <w:proofErr w:type="spellEnd"/>
      <w:r w:rsidRPr="00CC19F7">
        <w:t xml:space="preserve"> knytte til gards- og grendeverk med privat straumnett i straumstønadsordninga.</w:t>
      </w:r>
    </w:p>
    <w:p w14:paraId="5D1F7C0E" w14:textId="77777777" w:rsidR="00FE02EF" w:rsidRPr="00CC19F7" w:rsidRDefault="00881E58" w:rsidP="00CC19F7">
      <w:r w:rsidRPr="00CC19F7">
        <w:t xml:space="preserve">Departementet </w:t>
      </w:r>
      <w:proofErr w:type="spellStart"/>
      <w:r w:rsidRPr="00CC19F7">
        <w:t>reknar</w:t>
      </w:r>
      <w:proofErr w:type="spellEnd"/>
      <w:r w:rsidRPr="00CC19F7">
        <w:t xml:space="preserve"> med dette oppmodingsvedtaket som </w:t>
      </w:r>
      <w:proofErr w:type="spellStart"/>
      <w:r w:rsidRPr="00CC19F7">
        <w:t>følgt</w:t>
      </w:r>
      <w:proofErr w:type="spellEnd"/>
      <w:r w:rsidRPr="00CC19F7">
        <w:t xml:space="preserve"> opp.</w:t>
      </w:r>
    </w:p>
    <w:p w14:paraId="1BE6FA95" w14:textId="77777777" w:rsidR="00FE02EF" w:rsidRPr="00CC19F7" w:rsidRDefault="00881E58" w:rsidP="00CC19F7">
      <w:pPr>
        <w:pStyle w:val="avsnitt-tittel"/>
      </w:pPr>
      <w:proofErr w:type="spellStart"/>
      <w:r w:rsidRPr="00CC19F7">
        <w:t>Straumstønadordning</w:t>
      </w:r>
      <w:proofErr w:type="spellEnd"/>
      <w:r w:rsidRPr="00CC19F7">
        <w:t xml:space="preserve"> for nærvarmeanlegg</w:t>
      </w:r>
    </w:p>
    <w:p w14:paraId="0727E346" w14:textId="77777777" w:rsidR="00FE02EF" w:rsidRPr="00CC19F7" w:rsidRDefault="00881E58" w:rsidP="00CC19F7">
      <w:pPr>
        <w:pStyle w:val="avsnitt-undertittel"/>
      </w:pPr>
      <w:r w:rsidRPr="00CC19F7">
        <w:t>Vedtak 159, 8. desember 2022</w:t>
      </w:r>
    </w:p>
    <w:p w14:paraId="2046B04D" w14:textId="77777777" w:rsidR="00FE02EF" w:rsidRPr="00CC19F7" w:rsidRDefault="00881E58" w:rsidP="00CC19F7">
      <w:pPr>
        <w:pStyle w:val="blokksit"/>
      </w:pPr>
      <w:r w:rsidRPr="00CC19F7">
        <w:t>«</w:t>
      </w:r>
      <w:r w:rsidRPr="00CC19F7">
        <w:rPr>
          <w:rStyle w:val="kursiv"/>
        </w:rPr>
        <w:t>Stortinget ber regjeringen vurdere hvordan husholdninger som får sin oppvarming fra nærvarmeanlegg, kan omfattes av strømstøtteordningen, og melde tilbake til Stortinget snarest mulig om det er mulig med en justering av strømstøtteordningen for å hensynta slike husholdninger innen utgangen av 2022.</w:t>
      </w:r>
      <w:r w:rsidRPr="00CC19F7">
        <w:t>»</w:t>
      </w:r>
    </w:p>
    <w:p w14:paraId="52E63278" w14:textId="77777777" w:rsidR="00FE02EF" w:rsidRPr="00CC19F7" w:rsidRDefault="00881E58" w:rsidP="00CC19F7">
      <w:r w:rsidRPr="00CC19F7">
        <w:t xml:space="preserve">Dokumenta som ligg til grunn for vedtaket er </w:t>
      </w:r>
      <w:proofErr w:type="spellStart"/>
      <w:r w:rsidRPr="00CC19F7">
        <w:t>Prop</w:t>
      </w:r>
      <w:proofErr w:type="spellEnd"/>
      <w:r w:rsidRPr="00CC19F7">
        <w:t xml:space="preserve">. 11 L (2022–2023), </w:t>
      </w:r>
      <w:proofErr w:type="spellStart"/>
      <w:r w:rsidRPr="00CC19F7">
        <w:t>Innst</w:t>
      </w:r>
      <w:proofErr w:type="spellEnd"/>
      <w:r w:rsidRPr="00CC19F7">
        <w:t>. 105 L (2022–2023) og Lovvedtak 21 (2022–2023).</w:t>
      </w:r>
    </w:p>
    <w:p w14:paraId="642AFDC8" w14:textId="77777777" w:rsidR="00FE02EF" w:rsidRPr="00CC19F7" w:rsidRDefault="00881E58" w:rsidP="00CC19F7">
      <w:r w:rsidRPr="00CC19F7">
        <w:t xml:space="preserve">Departementet viser til vurderinga under kapittel 1.4 Anmodningsvedtak og omtale på side 177–179 i </w:t>
      </w:r>
      <w:proofErr w:type="spellStart"/>
      <w:r w:rsidRPr="00CC19F7">
        <w:t>Prop</w:t>
      </w:r>
      <w:proofErr w:type="spellEnd"/>
      <w:r w:rsidRPr="00CC19F7">
        <w:t xml:space="preserve">. 118 S (2022–2023) </w:t>
      </w:r>
      <w:r w:rsidRPr="00CC19F7">
        <w:rPr>
          <w:rStyle w:val="kursiv"/>
        </w:rPr>
        <w:t>Tilleggsbevilgninger og omprioriteringer i statsbudsjettet 2023</w:t>
      </w:r>
      <w:r w:rsidRPr="00CC19F7">
        <w:t>.</w:t>
      </w:r>
    </w:p>
    <w:p w14:paraId="6056D9D7" w14:textId="77777777" w:rsidR="00FE02EF" w:rsidRPr="00CC19F7" w:rsidRDefault="00881E58" w:rsidP="00CC19F7">
      <w:r w:rsidRPr="00CC19F7">
        <w:t xml:space="preserve">Det er løyvd 60 mill. kroner til ei ny søknadsbasert straumstønadsordning for </w:t>
      </w:r>
      <w:proofErr w:type="spellStart"/>
      <w:r w:rsidRPr="00CC19F7">
        <w:t>hushaldningskundar</w:t>
      </w:r>
      <w:proofErr w:type="spellEnd"/>
      <w:r w:rsidRPr="00CC19F7">
        <w:t xml:space="preserve"> av nærvarmeanlegg i 2023, jf. </w:t>
      </w:r>
      <w:proofErr w:type="spellStart"/>
      <w:r w:rsidRPr="00CC19F7">
        <w:t>Prop</w:t>
      </w:r>
      <w:proofErr w:type="spellEnd"/>
      <w:r w:rsidRPr="00CC19F7">
        <w:t xml:space="preserve">. 118 S (2022–2023) </w:t>
      </w:r>
      <w:r w:rsidRPr="00CC19F7">
        <w:rPr>
          <w:rStyle w:val="kursiv"/>
        </w:rPr>
        <w:t>Tilleggsbevilgninger og omprioriteringer i statsbudsjettet 2023</w:t>
      </w:r>
      <w:r w:rsidRPr="00CC19F7">
        <w:t xml:space="preserve">. Det er foreslått ei løyving på 22,5 mill. kroner til å føre </w:t>
      </w:r>
      <w:proofErr w:type="spellStart"/>
      <w:r w:rsidRPr="00CC19F7">
        <w:t>vidare</w:t>
      </w:r>
      <w:proofErr w:type="spellEnd"/>
      <w:r w:rsidRPr="00CC19F7">
        <w:t xml:space="preserve"> ordninga i 2024. Olje- og energidepartementet sende 3. juli 2023 på </w:t>
      </w:r>
      <w:proofErr w:type="spellStart"/>
      <w:r w:rsidRPr="00CC19F7">
        <w:t>høyring</w:t>
      </w:r>
      <w:proofErr w:type="spellEnd"/>
      <w:r w:rsidRPr="00CC19F7">
        <w:t xml:space="preserve"> forslag til ei forskrift om ei mellombels søknadsbasert straumstønadsordning for </w:t>
      </w:r>
      <w:proofErr w:type="spellStart"/>
      <w:r w:rsidRPr="00CC19F7">
        <w:t>hushaldningskundar</w:t>
      </w:r>
      <w:proofErr w:type="spellEnd"/>
      <w:r w:rsidRPr="00CC19F7">
        <w:t xml:space="preserve"> av </w:t>
      </w:r>
      <w:proofErr w:type="spellStart"/>
      <w:r w:rsidRPr="00CC19F7">
        <w:t>nærvarmeleverandørar</w:t>
      </w:r>
      <w:proofErr w:type="spellEnd"/>
      <w:r w:rsidRPr="00CC19F7">
        <w:t>.</w:t>
      </w:r>
    </w:p>
    <w:p w14:paraId="7EEFF46E" w14:textId="77777777" w:rsidR="00FE02EF" w:rsidRPr="00CC19F7" w:rsidRDefault="00881E58" w:rsidP="00CC19F7">
      <w:r w:rsidRPr="00CC19F7">
        <w:t xml:space="preserve">Departementet </w:t>
      </w:r>
      <w:proofErr w:type="spellStart"/>
      <w:r w:rsidRPr="00CC19F7">
        <w:t>reknar</w:t>
      </w:r>
      <w:proofErr w:type="spellEnd"/>
      <w:r w:rsidRPr="00CC19F7">
        <w:t xml:space="preserve"> med dette oppmodingsvedtaket som </w:t>
      </w:r>
      <w:proofErr w:type="spellStart"/>
      <w:r w:rsidRPr="00CC19F7">
        <w:t>følgt</w:t>
      </w:r>
      <w:proofErr w:type="spellEnd"/>
      <w:r w:rsidRPr="00CC19F7">
        <w:t xml:space="preserve"> opp.</w:t>
      </w:r>
    </w:p>
    <w:p w14:paraId="56810C4E" w14:textId="77777777" w:rsidR="00FE02EF" w:rsidRPr="00CC19F7" w:rsidRDefault="00881E58" w:rsidP="00CC19F7">
      <w:pPr>
        <w:pStyle w:val="avsnitt-tittel"/>
      </w:pPr>
      <w:r w:rsidRPr="00CC19F7">
        <w:t>Straumstønad for fritidsbustad</w:t>
      </w:r>
    </w:p>
    <w:p w14:paraId="2FC1FF5A" w14:textId="77777777" w:rsidR="00FE02EF" w:rsidRPr="00CC19F7" w:rsidRDefault="00881E58" w:rsidP="00CC19F7">
      <w:pPr>
        <w:pStyle w:val="avsnitt-undertittel"/>
      </w:pPr>
      <w:r w:rsidRPr="00CC19F7">
        <w:t>Vedtak 160, 8. desember 2022</w:t>
      </w:r>
    </w:p>
    <w:p w14:paraId="406DF291" w14:textId="77777777" w:rsidR="00FE02EF" w:rsidRPr="00CC19F7" w:rsidRDefault="00881E58" w:rsidP="00CC19F7">
      <w:pPr>
        <w:pStyle w:val="blokksit"/>
      </w:pPr>
      <w:r w:rsidRPr="00CC19F7">
        <w:t>«</w:t>
      </w:r>
      <w:r w:rsidRPr="00CC19F7">
        <w:rPr>
          <w:rStyle w:val="kursiv"/>
        </w:rPr>
        <w:t>Stortinget ber regjeringen vurdere hvordan husholdninger som reelt sett har fast bopel i bolig registrert som fritidsbolig – og ikke eier eller disponerer annen bolig – kan omfattes av strømstøtteordningen, og melde tilbake til Stortinget snarest mulig om det er mulig med en justering av strømstøtteordningen for å hensynta slike husholdninger med sikte på utgangen av 2022.</w:t>
      </w:r>
      <w:r w:rsidRPr="00CC19F7">
        <w:t>»</w:t>
      </w:r>
    </w:p>
    <w:p w14:paraId="54FF7A78" w14:textId="77777777" w:rsidR="00FE02EF" w:rsidRPr="00CC19F7" w:rsidRDefault="00881E58" w:rsidP="00CC19F7">
      <w:r w:rsidRPr="00CC19F7">
        <w:t xml:space="preserve">Dokumenta som ligg til grunn for vedtaket er </w:t>
      </w:r>
      <w:proofErr w:type="spellStart"/>
      <w:r w:rsidRPr="00CC19F7">
        <w:t>Prop</w:t>
      </w:r>
      <w:proofErr w:type="spellEnd"/>
      <w:r w:rsidRPr="00CC19F7">
        <w:t xml:space="preserve">. 11 L (2022–2023), </w:t>
      </w:r>
      <w:proofErr w:type="spellStart"/>
      <w:r w:rsidRPr="00CC19F7">
        <w:t>Innst</w:t>
      </w:r>
      <w:proofErr w:type="spellEnd"/>
      <w:r w:rsidRPr="00CC19F7">
        <w:t>. 105 L (2022–2023) og Lovvedtak 21 (2022–2023).</w:t>
      </w:r>
    </w:p>
    <w:p w14:paraId="680A269B" w14:textId="77777777" w:rsidR="00FE02EF" w:rsidRPr="00CC19F7" w:rsidRDefault="00881E58" w:rsidP="00CC19F7">
      <w:r w:rsidRPr="00CC19F7">
        <w:t xml:space="preserve">Departementet viser til vurderinga under kapittel 1.4 Anmodningsvedtak og omtale på side 177–179 i </w:t>
      </w:r>
      <w:proofErr w:type="spellStart"/>
      <w:r w:rsidRPr="00CC19F7">
        <w:t>Prop</w:t>
      </w:r>
      <w:proofErr w:type="spellEnd"/>
      <w:r w:rsidRPr="00CC19F7">
        <w:t xml:space="preserve">. 118 S (2022–2023) </w:t>
      </w:r>
      <w:r w:rsidRPr="00CC19F7">
        <w:rPr>
          <w:rStyle w:val="kursiv"/>
        </w:rPr>
        <w:t>Tilleggsbevilgninger og omprioriteringer i statsbudsjettet 2023</w:t>
      </w:r>
      <w:r w:rsidRPr="00CC19F7">
        <w:t>.</w:t>
      </w:r>
    </w:p>
    <w:p w14:paraId="6878006B" w14:textId="77777777" w:rsidR="00FE02EF" w:rsidRPr="00CC19F7" w:rsidRDefault="00881E58" w:rsidP="00CC19F7">
      <w:r w:rsidRPr="00CC19F7">
        <w:t xml:space="preserve">Olje- og energidepartementet vedtok 8. februar 2023 </w:t>
      </w:r>
      <w:proofErr w:type="spellStart"/>
      <w:r w:rsidRPr="00CC19F7">
        <w:t>endringar</w:t>
      </w:r>
      <w:proofErr w:type="spellEnd"/>
      <w:r w:rsidRPr="00CC19F7">
        <w:t xml:space="preserve"> i </w:t>
      </w:r>
      <w:r w:rsidRPr="00CC19F7">
        <w:rPr>
          <w:rStyle w:val="kursiv"/>
        </w:rPr>
        <w:t>midlertidig forskrift om strømstønad</w:t>
      </w:r>
      <w:r w:rsidRPr="00CC19F7">
        <w:t xml:space="preserve">, som på </w:t>
      </w:r>
      <w:proofErr w:type="spellStart"/>
      <w:r w:rsidRPr="00CC19F7">
        <w:t>nærmare</w:t>
      </w:r>
      <w:proofErr w:type="spellEnd"/>
      <w:r w:rsidRPr="00CC19F7">
        <w:t xml:space="preserve"> vilkår inkluderer </w:t>
      </w:r>
      <w:proofErr w:type="spellStart"/>
      <w:r w:rsidRPr="00CC19F7">
        <w:t>dei</w:t>
      </w:r>
      <w:proofErr w:type="spellEnd"/>
      <w:r w:rsidRPr="00CC19F7">
        <w:t xml:space="preserve"> som bur fast i fritidsbustad i straumstønadsordninga for </w:t>
      </w:r>
      <w:proofErr w:type="spellStart"/>
      <w:r w:rsidRPr="00CC19F7">
        <w:t>hushaldningar</w:t>
      </w:r>
      <w:proofErr w:type="spellEnd"/>
      <w:r w:rsidRPr="00CC19F7">
        <w:t xml:space="preserve">, jf. </w:t>
      </w:r>
      <w:proofErr w:type="spellStart"/>
      <w:r w:rsidRPr="00CC19F7">
        <w:t>Innst</w:t>
      </w:r>
      <w:proofErr w:type="spellEnd"/>
      <w:r w:rsidRPr="00CC19F7">
        <w:t>. 483 L (2022–2023).</w:t>
      </w:r>
    </w:p>
    <w:p w14:paraId="5EB4E93A" w14:textId="77777777" w:rsidR="00FE02EF" w:rsidRPr="00CC19F7" w:rsidRDefault="00881E58" w:rsidP="00CC19F7">
      <w:r w:rsidRPr="00CC19F7">
        <w:t xml:space="preserve">Departementet </w:t>
      </w:r>
      <w:proofErr w:type="spellStart"/>
      <w:r w:rsidRPr="00CC19F7">
        <w:t>reknar</w:t>
      </w:r>
      <w:proofErr w:type="spellEnd"/>
      <w:r w:rsidRPr="00CC19F7">
        <w:t xml:space="preserve"> med dette oppmodingsvedtaket som </w:t>
      </w:r>
      <w:proofErr w:type="spellStart"/>
      <w:r w:rsidRPr="00CC19F7">
        <w:t>følgt</w:t>
      </w:r>
      <w:proofErr w:type="spellEnd"/>
      <w:r w:rsidRPr="00CC19F7">
        <w:t xml:space="preserve"> opp.</w:t>
      </w:r>
    </w:p>
    <w:p w14:paraId="5D644689" w14:textId="77777777" w:rsidR="00FE02EF" w:rsidRPr="00CC19F7" w:rsidRDefault="00881E58" w:rsidP="00CC19F7">
      <w:pPr>
        <w:pStyle w:val="avsnitt-tittel"/>
      </w:pPr>
      <w:r w:rsidRPr="00CC19F7">
        <w:t>Melkøya – CO</w:t>
      </w:r>
      <w:r w:rsidRPr="00CC19F7">
        <w:rPr>
          <w:rStyle w:val="skrift-senket"/>
        </w:rPr>
        <w:t>2</w:t>
      </w:r>
      <w:r w:rsidRPr="00CC19F7">
        <w:t>-handtering som alternativ til elektrifisering</w:t>
      </w:r>
    </w:p>
    <w:p w14:paraId="6AF2E842" w14:textId="77777777" w:rsidR="00FE02EF" w:rsidRPr="00CC19F7" w:rsidRDefault="00881E58" w:rsidP="00CC19F7">
      <w:pPr>
        <w:pStyle w:val="avsnitt-undertittel"/>
      </w:pPr>
      <w:r w:rsidRPr="00CC19F7">
        <w:t>Vedtak 596, 18. april 2023</w:t>
      </w:r>
    </w:p>
    <w:p w14:paraId="03C51ACD" w14:textId="77777777" w:rsidR="00FE02EF" w:rsidRPr="00CC19F7" w:rsidRDefault="00881E58" w:rsidP="00CC19F7">
      <w:pPr>
        <w:pStyle w:val="blokksit"/>
      </w:pPr>
      <w:r w:rsidRPr="00CC19F7">
        <w:t>«</w:t>
      </w:r>
      <w:r w:rsidRPr="00CC19F7">
        <w:rPr>
          <w:rStyle w:val="kursiv"/>
        </w:rPr>
        <w:t xml:space="preserve">Stortinget ber regjeringen, i forbindelse med behandlingen av Snøhvit </w:t>
      </w:r>
      <w:proofErr w:type="spellStart"/>
      <w:r w:rsidRPr="00CC19F7">
        <w:rPr>
          <w:rStyle w:val="kursiv"/>
        </w:rPr>
        <w:t>Future</w:t>
      </w:r>
      <w:proofErr w:type="spellEnd"/>
      <w:r w:rsidRPr="00CC19F7">
        <w:rPr>
          <w:rStyle w:val="kursiv"/>
        </w:rPr>
        <w:t>, foreta en egen vurdering av om fangst og lagring av CO</w:t>
      </w:r>
      <w:r w:rsidRPr="00CC19F7">
        <w:rPr>
          <w:rStyle w:val="skrift-senket"/>
        </w:rPr>
        <w:t>2</w:t>
      </w:r>
      <w:r w:rsidRPr="00CC19F7">
        <w:rPr>
          <w:rStyle w:val="kursiv"/>
        </w:rPr>
        <w:t xml:space="preserve"> kan være et alternativ til elektrifisering av Melkøya med kraft fra land som kan realiseres innen 2029 og gjennomføres uten at fremtidig gassproduksjon blir redusert.</w:t>
      </w:r>
      <w:r w:rsidRPr="00CC19F7">
        <w:t>»</w:t>
      </w:r>
    </w:p>
    <w:p w14:paraId="3BA1D076" w14:textId="77777777" w:rsidR="00FE02EF" w:rsidRPr="00CC19F7" w:rsidRDefault="00881E58" w:rsidP="00CC19F7">
      <w:r w:rsidRPr="00CC19F7">
        <w:t xml:space="preserve">Dokumenta som ligg til grunn for vedtaket er Dokument 8:90 S (2022–2023), Dokument 8:93 S (2022–2023), Dokument 8: 115 S (2022–2023) og </w:t>
      </w:r>
      <w:proofErr w:type="spellStart"/>
      <w:r w:rsidRPr="00CC19F7">
        <w:t>Innst</w:t>
      </w:r>
      <w:proofErr w:type="spellEnd"/>
      <w:r w:rsidRPr="00CC19F7">
        <w:t>. 276 S (2022–2023).</w:t>
      </w:r>
    </w:p>
    <w:p w14:paraId="49C71C3A" w14:textId="77777777" w:rsidR="00FE02EF" w:rsidRPr="00CC19F7" w:rsidRDefault="00881E58" w:rsidP="00CC19F7">
      <w:r w:rsidRPr="00CC19F7">
        <w:t xml:space="preserve">Olje- og energidepartementet har i samband med </w:t>
      </w:r>
      <w:proofErr w:type="spellStart"/>
      <w:r w:rsidRPr="00CC19F7">
        <w:t>styresmaktsbehandlinga</w:t>
      </w:r>
      <w:proofErr w:type="spellEnd"/>
      <w:r w:rsidRPr="00CC19F7">
        <w:t xml:space="preserve"> av planar for Snøhvit </w:t>
      </w:r>
      <w:proofErr w:type="spellStart"/>
      <w:r w:rsidRPr="00CC19F7">
        <w:t>Future</w:t>
      </w:r>
      <w:proofErr w:type="spellEnd"/>
      <w:r w:rsidRPr="00CC19F7">
        <w:t>-prosjektet gjennomført ei eiga vurdering av om fangst og lagring av CO</w:t>
      </w:r>
      <w:r w:rsidRPr="00CC19F7">
        <w:rPr>
          <w:rStyle w:val="skrift-senket"/>
        </w:rPr>
        <w:t>2</w:t>
      </w:r>
      <w:r w:rsidRPr="00CC19F7">
        <w:t xml:space="preserve"> kan </w:t>
      </w:r>
      <w:proofErr w:type="spellStart"/>
      <w:r w:rsidRPr="00CC19F7">
        <w:t>vere</w:t>
      </w:r>
      <w:proofErr w:type="spellEnd"/>
      <w:r w:rsidRPr="00CC19F7">
        <w:t xml:space="preserve"> </w:t>
      </w:r>
      <w:proofErr w:type="spellStart"/>
      <w:r w:rsidRPr="00CC19F7">
        <w:t>eit</w:t>
      </w:r>
      <w:proofErr w:type="spellEnd"/>
      <w:r w:rsidRPr="00CC19F7">
        <w:t xml:space="preserve"> alternativ til omlegging til full drift med kraft </w:t>
      </w:r>
      <w:proofErr w:type="spellStart"/>
      <w:r w:rsidRPr="00CC19F7">
        <w:t>frå</w:t>
      </w:r>
      <w:proofErr w:type="spellEnd"/>
      <w:r w:rsidRPr="00CC19F7">
        <w:t xml:space="preserve"> nettet, under dette om fangst og lagring av CO</w:t>
      </w:r>
      <w:r w:rsidRPr="00CC19F7">
        <w:rPr>
          <w:rStyle w:val="skrift-senket"/>
        </w:rPr>
        <w:t>2</w:t>
      </w:r>
      <w:r w:rsidRPr="00CC19F7">
        <w:t xml:space="preserve"> på Melkøya kan </w:t>
      </w:r>
      <w:proofErr w:type="spellStart"/>
      <w:r w:rsidRPr="00CC19F7">
        <w:t>realiserast</w:t>
      </w:r>
      <w:proofErr w:type="spellEnd"/>
      <w:r w:rsidRPr="00CC19F7">
        <w:t xml:space="preserve"> </w:t>
      </w:r>
      <w:proofErr w:type="spellStart"/>
      <w:r w:rsidRPr="00CC19F7">
        <w:t>innan</w:t>
      </w:r>
      <w:proofErr w:type="spellEnd"/>
      <w:r w:rsidRPr="00CC19F7">
        <w:t xml:space="preserve"> 2029 og </w:t>
      </w:r>
      <w:proofErr w:type="spellStart"/>
      <w:r w:rsidRPr="00CC19F7">
        <w:t>gjennomførast</w:t>
      </w:r>
      <w:proofErr w:type="spellEnd"/>
      <w:r w:rsidRPr="00CC19F7">
        <w:t xml:space="preserve"> </w:t>
      </w:r>
      <w:proofErr w:type="spellStart"/>
      <w:r w:rsidRPr="00CC19F7">
        <w:t>utan</w:t>
      </w:r>
      <w:proofErr w:type="spellEnd"/>
      <w:r w:rsidRPr="00CC19F7">
        <w:t xml:space="preserve"> at framtidig gassproduksjon blir redusert.</w:t>
      </w:r>
    </w:p>
    <w:p w14:paraId="7692C358" w14:textId="77777777" w:rsidR="00FE02EF" w:rsidRPr="00CC19F7" w:rsidRDefault="00881E58" w:rsidP="00CC19F7">
      <w:r w:rsidRPr="00CC19F7">
        <w:t>Departementet har i samband med dette bedt Sokkeldirektoratet om ei tilleggsvurdering av fangst og lagring av CO</w:t>
      </w:r>
      <w:r w:rsidRPr="00CC19F7">
        <w:rPr>
          <w:rStyle w:val="skrift-senket"/>
        </w:rPr>
        <w:t>2</w:t>
      </w:r>
      <w:r w:rsidRPr="00CC19F7">
        <w:t xml:space="preserve"> ved Hammerfest LNG. Direktoratet viser i tilleggsvurderinga til at </w:t>
      </w:r>
      <w:proofErr w:type="spellStart"/>
      <w:r w:rsidRPr="00CC19F7">
        <w:t>rettshavarane</w:t>
      </w:r>
      <w:proofErr w:type="spellEnd"/>
      <w:r w:rsidRPr="00CC19F7">
        <w:t xml:space="preserve"> i planleggingsfasen av prosjektet har vurdert CO</w:t>
      </w:r>
      <w:r w:rsidRPr="00CC19F7">
        <w:rPr>
          <w:rStyle w:val="skrift-senket"/>
        </w:rPr>
        <w:t>2</w:t>
      </w:r>
      <w:r w:rsidRPr="00CC19F7">
        <w:t xml:space="preserve">-handtering. </w:t>
      </w:r>
      <w:proofErr w:type="spellStart"/>
      <w:r w:rsidRPr="00CC19F7">
        <w:t>Rettshavarane</w:t>
      </w:r>
      <w:proofErr w:type="spellEnd"/>
      <w:r w:rsidRPr="00CC19F7">
        <w:t xml:space="preserve"> har lagt bort dette alternativet fordi det er </w:t>
      </w:r>
      <w:proofErr w:type="spellStart"/>
      <w:r w:rsidRPr="00CC19F7">
        <w:t>ulønnsamt</w:t>
      </w:r>
      <w:proofErr w:type="spellEnd"/>
      <w:r w:rsidRPr="00CC19F7">
        <w:t xml:space="preserve"> og har </w:t>
      </w:r>
      <w:proofErr w:type="spellStart"/>
      <w:r w:rsidRPr="00CC19F7">
        <w:t>vesentleg</w:t>
      </w:r>
      <w:proofErr w:type="spellEnd"/>
      <w:r w:rsidRPr="00CC19F7">
        <w:t xml:space="preserve"> </w:t>
      </w:r>
      <w:proofErr w:type="spellStart"/>
      <w:r w:rsidRPr="00CC19F7">
        <w:t>høgare</w:t>
      </w:r>
      <w:proofErr w:type="spellEnd"/>
      <w:r w:rsidRPr="00CC19F7">
        <w:t xml:space="preserve"> investeringskostnader og tiltakskostnader enn drift med kraft </w:t>
      </w:r>
      <w:proofErr w:type="spellStart"/>
      <w:r w:rsidRPr="00CC19F7">
        <w:t>frå</w:t>
      </w:r>
      <w:proofErr w:type="spellEnd"/>
      <w:r w:rsidRPr="00CC19F7">
        <w:t xml:space="preserve"> nettet. Sokkeldirektoratets vurdering er at </w:t>
      </w:r>
      <w:proofErr w:type="spellStart"/>
      <w:r w:rsidRPr="00CC19F7">
        <w:t>rettshavarane</w:t>
      </w:r>
      <w:proofErr w:type="spellEnd"/>
      <w:r w:rsidRPr="00CC19F7">
        <w:t xml:space="preserve"> har </w:t>
      </w:r>
      <w:proofErr w:type="spellStart"/>
      <w:r w:rsidRPr="00CC19F7">
        <w:t>følgt</w:t>
      </w:r>
      <w:proofErr w:type="spellEnd"/>
      <w:r w:rsidRPr="00CC19F7">
        <w:t xml:space="preserve"> etablerte </w:t>
      </w:r>
      <w:proofErr w:type="spellStart"/>
      <w:r w:rsidRPr="00CC19F7">
        <w:t>prosessar</w:t>
      </w:r>
      <w:proofErr w:type="spellEnd"/>
      <w:r w:rsidRPr="00CC19F7">
        <w:t xml:space="preserve"> for prosjektmodning, der avgjerder som er tatt i </w:t>
      </w:r>
      <w:proofErr w:type="spellStart"/>
      <w:r w:rsidRPr="00CC19F7">
        <w:t>rettshavargruppa</w:t>
      </w:r>
      <w:proofErr w:type="spellEnd"/>
      <w:r w:rsidRPr="00CC19F7">
        <w:t xml:space="preserve"> ved ulike </w:t>
      </w:r>
      <w:proofErr w:type="spellStart"/>
      <w:r w:rsidRPr="00CC19F7">
        <w:t>milepælar</w:t>
      </w:r>
      <w:proofErr w:type="spellEnd"/>
      <w:r w:rsidRPr="00CC19F7">
        <w:t xml:space="preserve">, har </w:t>
      </w:r>
      <w:proofErr w:type="spellStart"/>
      <w:r w:rsidRPr="00CC19F7">
        <w:t>vore</w:t>
      </w:r>
      <w:proofErr w:type="spellEnd"/>
      <w:r w:rsidRPr="00CC19F7">
        <w:t xml:space="preserve"> vurderte mot relevante kriterium for CO</w:t>
      </w:r>
      <w:r w:rsidRPr="00CC19F7">
        <w:rPr>
          <w:rStyle w:val="skrift-senket"/>
        </w:rPr>
        <w:t>2</w:t>
      </w:r>
      <w:r w:rsidRPr="00CC19F7">
        <w:t>-reduksjon, tiltakskostnader, regularitet og risiko. Sokkeldirektoratet konkluderer med at CO</w:t>
      </w:r>
      <w:r w:rsidRPr="00CC19F7">
        <w:rPr>
          <w:rStyle w:val="skrift-senket"/>
        </w:rPr>
        <w:t>2</w:t>
      </w:r>
      <w:r w:rsidRPr="00CC19F7">
        <w:t xml:space="preserve">-handtering på Hammerfest LNG har tiltakskostnader som ligg </w:t>
      </w:r>
      <w:proofErr w:type="spellStart"/>
      <w:r w:rsidRPr="00CC19F7">
        <w:t>betydeleg</w:t>
      </w:r>
      <w:proofErr w:type="spellEnd"/>
      <w:r w:rsidRPr="00CC19F7">
        <w:t xml:space="preserve"> over 2 000 kroner per tonn CO</w:t>
      </w:r>
      <w:r w:rsidRPr="00CC19F7">
        <w:rPr>
          <w:rStyle w:val="skrift-senket"/>
        </w:rPr>
        <w:t>2</w:t>
      </w:r>
      <w:r w:rsidRPr="00CC19F7">
        <w:t>. Sokkeldirektoratet vurderer operatørens anslag om at planlegging og gjennomføring av CO</w:t>
      </w:r>
      <w:r w:rsidRPr="00CC19F7">
        <w:rPr>
          <w:rStyle w:val="skrift-senket"/>
        </w:rPr>
        <w:t>2</w:t>
      </w:r>
      <w:r w:rsidRPr="00CC19F7">
        <w:t xml:space="preserve">-handtering på Hammerfest LNG vil ta sju til åtte år som realistisk med </w:t>
      </w:r>
      <w:proofErr w:type="spellStart"/>
      <w:r w:rsidRPr="00CC19F7">
        <w:t>tilhøyrande</w:t>
      </w:r>
      <w:proofErr w:type="spellEnd"/>
      <w:r w:rsidRPr="00CC19F7">
        <w:t xml:space="preserve"> </w:t>
      </w:r>
      <w:proofErr w:type="spellStart"/>
      <w:r w:rsidRPr="00CC19F7">
        <w:t>usikkerheiter</w:t>
      </w:r>
      <w:proofErr w:type="spellEnd"/>
      <w:r w:rsidRPr="00CC19F7">
        <w:t xml:space="preserve">. Dersom </w:t>
      </w:r>
      <w:proofErr w:type="spellStart"/>
      <w:r w:rsidRPr="00CC19F7">
        <w:t>rettighetshavarane</w:t>
      </w:r>
      <w:proofErr w:type="spellEnd"/>
      <w:r w:rsidRPr="00CC19F7">
        <w:t xml:space="preserve"> </w:t>
      </w:r>
      <w:proofErr w:type="spellStart"/>
      <w:r w:rsidRPr="00CC19F7">
        <w:t>besluttar</w:t>
      </w:r>
      <w:proofErr w:type="spellEnd"/>
      <w:r w:rsidRPr="00CC19F7">
        <w:t xml:space="preserve"> å gå </w:t>
      </w:r>
      <w:proofErr w:type="spellStart"/>
      <w:r w:rsidRPr="00CC19F7">
        <w:t>vidare</w:t>
      </w:r>
      <w:proofErr w:type="spellEnd"/>
      <w:r w:rsidRPr="00CC19F7">
        <w:t xml:space="preserve"> med ei slik løysing i første kvartal 2024, vil ei slik løysing såleis kunne </w:t>
      </w:r>
      <w:proofErr w:type="spellStart"/>
      <w:r w:rsidRPr="00CC19F7">
        <w:t>settast</w:t>
      </w:r>
      <w:proofErr w:type="spellEnd"/>
      <w:r w:rsidRPr="00CC19F7">
        <w:t xml:space="preserve"> i drift i 2031/2032. Det er </w:t>
      </w:r>
      <w:proofErr w:type="spellStart"/>
      <w:r w:rsidRPr="00CC19F7">
        <w:t>vidare</w:t>
      </w:r>
      <w:proofErr w:type="spellEnd"/>
      <w:r w:rsidRPr="00CC19F7">
        <w:t xml:space="preserve"> direktoratet </w:t>
      </w:r>
      <w:proofErr w:type="spellStart"/>
      <w:r w:rsidRPr="00CC19F7">
        <w:t>si</w:t>
      </w:r>
      <w:proofErr w:type="spellEnd"/>
      <w:r w:rsidRPr="00CC19F7">
        <w:t xml:space="preserve"> vurdering at risikoen for </w:t>
      </w:r>
      <w:proofErr w:type="spellStart"/>
      <w:r w:rsidRPr="00CC19F7">
        <w:t>auka</w:t>
      </w:r>
      <w:proofErr w:type="spellEnd"/>
      <w:r w:rsidRPr="00CC19F7">
        <w:t xml:space="preserve"> gjennomføringstid på </w:t>
      </w:r>
      <w:proofErr w:type="spellStart"/>
      <w:r w:rsidRPr="00CC19F7">
        <w:t>eit</w:t>
      </w:r>
      <w:proofErr w:type="spellEnd"/>
      <w:r w:rsidRPr="00CC19F7">
        <w:t xml:space="preserve"> slikt prosjekt er større enn </w:t>
      </w:r>
      <w:proofErr w:type="spellStart"/>
      <w:r w:rsidRPr="00CC19F7">
        <w:t>moglegheita</w:t>
      </w:r>
      <w:proofErr w:type="spellEnd"/>
      <w:r w:rsidRPr="00CC19F7">
        <w:t xml:space="preserve"> for å korte ned gjennomføringstida. Gjennomføring av CO</w:t>
      </w:r>
      <w:r w:rsidRPr="00CC19F7">
        <w:rPr>
          <w:rStyle w:val="skrift-senket"/>
        </w:rPr>
        <w:t>2</w:t>
      </w:r>
      <w:r w:rsidRPr="00CC19F7">
        <w:t xml:space="preserve">-handtering vil slik Sokkeldirektoratet vurderer det, også gi redusert gassproduksjon i framtida, </w:t>
      </w:r>
      <w:proofErr w:type="spellStart"/>
      <w:r w:rsidRPr="00CC19F7">
        <w:t>tilsvarande</w:t>
      </w:r>
      <w:proofErr w:type="spellEnd"/>
      <w:r w:rsidRPr="00CC19F7">
        <w:t xml:space="preserve"> </w:t>
      </w:r>
      <w:proofErr w:type="spellStart"/>
      <w:r w:rsidRPr="00CC19F7">
        <w:t>eitt</w:t>
      </w:r>
      <w:proofErr w:type="spellEnd"/>
      <w:r w:rsidRPr="00CC19F7">
        <w:t xml:space="preserve"> års produksjon </w:t>
      </w:r>
      <w:proofErr w:type="spellStart"/>
      <w:r w:rsidRPr="00CC19F7">
        <w:t>frå</w:t>
      </w:r>
      <w:proofErr w:type="spellEnd"/>
      <w:r w:rsidRPr="00CC19F7">
        <w:t xml:space="preserve"> Snøhvit. Departementet </w:t>
      </w:r>
      <w:proofErr w:type="spellStart"/>
      <w:r w:rsidRPr="00CC19F7">
        <w:t>sluttar</w:t>
      </w:r>
      <w:proofErr w:type="spellEnd"/>
      <w:r w:rsidRPr="00CC19F7">
        <w:t xml:space="preserve"> seg til </w:t>
      </w:r>
      <w:proofErr w:type="spellStart"/>
      <w:r w:rsidRPr="00CC19F7">
        <w:t>dei</w:t>
      </w:r>
      <w:proofErr w:type="spellEnd"/>
      <w:r w:rsidRPr="00CC19F7">
        <w:t xml:space="preserve"> </w:t>
      </w:r>
      <w:proofErr w:type="spellStart"/>
      <w:r w:rsidRPr="00CC19F7">
        <w:t>tilleggsvurderingane</w:t>
      </w:r>
      <w:proofErr w:type="spellEnd"/>
      <w:r w:rsidRPr="00CC19F7">
        <w:t xml:space="preserve"> direktoratet har gjennomført.</w:t>
      </w:r>
    </w:p>
    <w:p w14:paraId="775D04D8" w14:textId="77777777" w:rsidR="00FE02EF" w:rsidRPr="00CC19F7" w:rsidRDefault="00881E58" w:rsidP="00CC19F7">
      <w:r w:rsidRPr="00CC19F7">
        <w:t>Olje- og energidepartementets vurdering av om fangst og lagring av CO</w:t>
      </w:r>
      <w:r w:rsidRPr="00CC19F7">
        <w:rPr>
          <w:rStyle w:val="skrift-senket"/>
        </w:rPr>
        <w:t>2</w:t>
      </w:r>
      <w:r w:rsidRPr="00CC19F7">
        <w:t xml:space="preserve"> kan </w:t>
      </w:r>
      <w:proofErr w:type="spellStart"/>
      <w:r w:rsidRPr="00CC19F7">
        <w:t>vere</w:t>
      </w:r>
      <w:proofErr w:type="spellEnd"/>
      <w:r w:rsidRPr="00CC19F7">
        <w:t xml:space="preserve"> </w:t>
      </w:r>
      <w:proofErr w:type="spellStart"/>
      <w:r w:rsidRPr="00CC19F7">
        <w:t>eit</w:t>
      </w:r>
      <w:proofErr w:type="spellEnd"/>
      <w:r w:rsidRPr="00CC19F7">
        <w:t xml:space="preserve"> alternativ til omlegging til full drift med kraft </w:t>
      </w:r>
      <w:proofErr w:type="spellStart"/>
      <w:r w:rsidRPr="00CC19F7">
        <w:t>frå</w:t>
      </w:r>
      <w:proofErr w:type="spellEnd"/>
      <w:r w:rsidRPr="00CC19F7">
        <w:t xml:space="preserve"> nettet, kjem fram av vedtaket om godkjenning av endra utbyggingsplan for Snøhvitfeltet med vedlegg som er </w:t>
      </w:r>
      <w:proofErr w:type="spellStart"/>
      <w:r w:rsidRPr="00CC19F7">
        <w:t>offentleg</w:t>
      </w:r>
      <w:proofErr w:type="spellEnd"/>
      <w:r w:rsidRPr="00CC19F7">
        <w:t xml:space="preserve"> </w:t>
      </w:r>
      <w:proofErr w:type="spellStart"/>
      <w:r w:rsidRPr="00CC19F7">
        <w:t>tilgjengeleg</w:t>
      </w:r>
      <w:proofErr w:type="spellEnd"/>
      <w:r w:rsidRPr="00CC19F7">
        <w:t>.</w:t>
      </w:r>
    </w:p>
    <w:p w14:paraId="468FD8AA" w14:textId="77777777" w:rsidR="00FE02EF" w:rsidRPr="00CC19F7" w:rsidRDefault="00881E58" w:rsidP="00CC19F7">
      <w:r w:rsidRPr="00CC19F7">
        <w:t xml:space="preserve">Departementet </w:t>
      </w:r>
      <w:proofErr w:type="spellStart"/>
      <w:r w:rsidRPr="00CC19F7">
        <w:t>reknar</w:t>
      </w:r>
      <w:proofErr w:type="spellEnd"/>
      <w:r w:rsidRPr="00CC19F7">
        <w:t xml:space="preserve"> med dette oppmodingsvedtaket som </w:t>
      </w:r>
      <w:proofErr w:type="spellStart"/>
      <w:r w:rsidRPr="00CC19F7">
        <w:t>følgt</w:t>
      </w:r>
      <w:proofErr w:type="spellEnd"/>
      <w:r w:rsidRPr="00CC19F7">
        <w:t xml:space="preserve"> opp.</w:t>
      </w:r>
    </w:p>
    <w:p w14:paraId="1777D7E3" w14:textId="77777777" w:rsidR="00FE02EF" w:rsidRPr="00CC19F7" w:rsidRDefault="00881E58" w:rsidP="00CC19F7">
      <w:pPr>
        <w:pStyle w:val="avsnitt-tittel"/>
      </w:pPr>
      <w:r w:rsidRPr="00CC19F7">
        <w:t xml:space="preserve">Framtidige </w:t>
      </w:r>
      <w:proofErr w:type="spellStart"/>
      <w:r w:rsidRPr="00CC19F7">
        <w:t>tildelingar</w:t>
      </w:r>
      <w:proofErr w:type="spellEnd"/>
      <w:r w:rsidRPr="00CC19F7">
        <w:t xml:space="preserve"> knytte til CO</w:t>
      </w:r>
      <w:r w:rsidRPr="00CC19F7">
        <w:rPr>
          <w:rStyle w:val="skrift-senket"/>
        </w:rPr>
        <w:t>2</w:t>
      </w:r>
      <w:r w:rsidRPr="00CC19F7">
        <w:t>-lagring</w:t>
      </w:r>
    </w:p>
    <w:p w14:paraId="6BA1E90B" w14:textId="77777777" w:rsidR="00FE02EF" w:rsidRPr="00CC19F7" w:rsidRDefault="00881E58" w:rsidP="00CC19F7">
      <w:pPr>
        <w:pStyle w:val="avsnitt-undertittel"/>
      </w:pPr>
      <w:r w:rsidRPr="00CC19F7">
        <w:t>Vedtak 764, 5. juni 2023</w:t>
      </w:r>
    </w:p>
    <w:p w14:paraId="3D763312" w14:textId="77777777" w:rsidR="00FE02EF" w:rsidRPr="00CC19F7" w:rsidRDefault="00881E58" w:rsidP="00CC19F7">
      <w:pPr>
        <w:pStyle w:val="blokksit"/>
      </w:pPr>
      <w:r w:rsidRPr="00CC19F7">
        <w:t>«</w:t>
      </w:r>
      <w:r w:rsidRPr="00CC19F7">
        <w:rPr>
          <w:rStyle w:val="kursiv"/>
        </w:rPr>
        <w:t>Stortinget ber regjeringen sørge for at effekt på klima og raske klimagevinster vektlegges ved fremtidige tildelinger knyttet til CO</w:t>
      </w:r>
      <w:r w:rsidRPr="00CC19F7">
        <w:rPr>
          <w:rStyle w:val="skrift-senket"/>
        </w:rPr>
        <w:t>2</w:t>
      </w:r>
      <w:r w:rsidRPr="00CC19F7">
        <w:rPr>
          <w:rStyle w:val="kursiv"/>
        </w:rPr>
        <w:t>-lagring, sammen med hensynet til trygg og sikker lagring.</w:t>
      </w:r>
      <w:r w:rsidRPr="00CC19F7">
        <w:t>»</w:t>
      </w:r>
    </w:p>
    <w:p w14:paraId="7A921EEA" w14:textId="77777777" w:rsidR="00FE02EF" w:rsidRPr="00CC19F7" w:rsidRDefault="00881E58" w:rsidP="00CC19F7">
      <w:r w:rsidRPr="00CC19F7">
        <w:t xml:space="preserve">Dokumenta som ligg til grunn for vedtaket er </w:t>
      </w:r>
      <w:proofErr w:type="spellStart"/>
      <w:r w:rsidRPr="00CC19F7">
        <w:t>Prop</w:t>
      </w:r>
      <w:proofErr w:type="spellEnd"/>
      <w:r w:rsidRPr="00CC19F7">
        <w:t xml:space="preserve">. 97 S (2022–2023) og </w:t>
      </w:r>
      <w:proofErr w:type="spellStart"/>
      <w:r w:rsidRPr="00CC19F7">
        <w:t>Innst</w:t>
      </w:r>
      <w:proofErr w:type="spellEnd"/>
      <w:r w:rsidRPr="00CC19F7">
        <w:t>. 459 L (2022–2023).</w:t>
      </w:r>
    </w:p>
    <w:p w14:paraId="52B8EDFE" w14:textId="77777777" w:rsidR="00FE02EF" w:rsidRPr="00CC19F7" w:rsidRDefault="00881E58" w:rsidP="00CC19F7">
      <w:r w:rsidRPr="00CC19F7">
        <w:t>CO</w:t>
      </w:r>
      <w:r w:rsidRPr="00CC19F7">
        <w:rPr>
          <w:rStyle w:val="skrift-senket"/>
        </w:rPr>
        <w:t>2</w:t>
      </w:r>
      <w:r w:rsidRPr="00CC19F7">
        <w:t xml:space="preserve">-handtering </w:t>
      </w:r>
      <w:proofErr w:type="spellStart"/>
      <w:r w:rsidRPr="00CC19F7">
        <w:t>omfattar</w:t>
      </w:r>
      <w:proofErr w:type="spellEnd"/>
      <w:r w:rsidRPr="00CC19F7">
        <w:t xml:space="preserve"> både fangst, transport, bruk eller lagring av CO</w:t>
      </w:r>
      <w:r w:rsidRPr="00CC19F7">
        <w:rPr>
          <w:rStyle w:val="skrift-senket"/>
        </w:rPr>
        <w:t>2</w:t>
      </w:r>
      <w:r w:rsidRPr="00CC19F7">
        <w:t xml:space="preserve">. Regjeringa har </w:t>
      </w:r>
      <w:proofErr w:type="spellStart"/>
      <w:r w:rsidRPr="00CC19F7">
        <w:t>ein</w:t>
      </w:r>
      <w:proofErr w:type="spellEnd"/>
      <w:r w:rsidRPr="00CC19F7">
        <w:t xml:space="preserve"> brei politikk for å fremme CO</w:t>
      </w:r>
      <w:r w:rsidRPr="00CC19F7">
        <w:rPr>
          <w:rStyle w:val="skrift-senket"/>
        </w:rPr>
        <w:t>2</w:t>
      </w:r>
      <w:r w:rsidRPr="00CC19F7">
        <w:t xml:space="preserve">-handtering som </w:t>
      </w:r>
      <w:proofErr w:type="spellStart"/>
      <w:r w:rsidRPr="00CC19F7">
        <w:t>eit</w:t>
      </w:r>
      <w:proofErr w:type="spellEnd"/>
      <w:r w:rsidRPr="00CC19F7">
        <w:t xml:space="preserve"> kostnadseffektivt klimatiltak internasjonalt.</w:t>
      </w:r>
    </w:p>
    <w:p w14:paraId="1B8F1433" w14:textId="77777777" w:rsidR="00FE02EF" w:rsidRPr="00CC19F7" w:rsidRDefault="00881E58" w:rsidP="00CC19F7">
      <w:r w:rsidRPr="00CC19F7">
        <w:t>Tildeling av areal som kan brukast til CO</w:t>
      </w:r>
      <w:r w:rsidRPr="00CC19F7">
        <w:rPr>
          <w:rStyle w:val="skrift-senket"/>
        </w:rPr>
        <w:t>2</w:t>
      </w:r>
      <w:r w:rsidRPr="00CC19F7">
        <w:t xml:space="preserve">-lagring, er </w:t>
      </w:r>
      <w:proofErr w:type="spellStart"/>
      <w:r w:rsidRPr="00CC19F7">
        <w:t>ein</w:t>
      </w:r>
      <w:proofErr w:type="spellEnd"/>
      <w:r w:rsidRPr="00CC19F7">
        <w:t xml:space="preserve"> </w:t>
      </w:r>
      <w:proofErr w:type="spellStart"/>
      <w:r w:rsidRPr="00CC19F7">
        <w:t>føresetnad</w:t>
      </w:r>
      <w:proofErr w:type="spellEnd"/>
      <w:r w:rsidRPr="00CC19F7">
        <w:t xml:space="preserve"> for karbonfangst og -lagring. Departementet vil legge til rette for samfunnsøkonomisk </w:t>
      </w:r>
      <w:proofErr w:type="spellStart"/>
      <w:r w:rsidRPr="00CC19F7">
        <w:t>lønnsam</w:t>
      </w:r>
      <w:proofErr w:type="spellEnd"/>
      <w:r w:rsidRPr="00CC19F7">
        <w:t xml:space="preserve"> lagring av CO</w:t>
      </w:r>
      <w:r w:rsidRPr="00CC19F7">
        <w:rPr>
          <w:rStyle w:val="skrift-senket"/>
        </w:rPr>
        <w:t>2</w:t>
      </w:r>
      <w:r w:rsidRPr="00CC19F7">
        <w:t xml:space="preserve"> på norsk kontinentalsokkel. Søknader etter lagringsforskrifta blir behandla etter </w:t>
      </w:r>
      <w:proofErr w:type="spellStart"/>
      <w:r w:rsidRPr="00CC19F7">
        <w:t>ein</w:t>
      </w:r>
      <w:proofErr w:type="spellEnd"/>
      <w:r w:rsidRPr="00CC19F7">
        <w:t xml:space="preserve"> «</w:t>
      </w:r>
      <w:proofErr w:type="spellStart"/>
      <w:r w:rsidRPr="00CC19F7">
        <w:t>open</w:t>
      </w:r>
      <w:proofErr w:type="spellEnd"/>
      <w:r w:rsidRPr="00CC19F7">
        <w:t xml:space="preserve"> dør-politikk» som gir </w:t>
      </w:r>
      <w:proofErr w:type="spellStart"/>
      <w:r w:rsidRPr="00CC19F7">
        <w:t>ein</w:t>
      </w:r>
      <w:proofErr w:type="spellEnd"/>
      <w:r w:rsidRPr="00CC19F7">
        <w:t xml:space="preserve"> rask tildelingsprosess. </w:t>
      </w:r>
      <w:proofErr w:type="spellStart"/>
      <w:r w:rsidRPr="00CC19F7">
        <w:t>Ein</w:t>
      </w:r>
      <w:proofErr w:type="spellEnd"/>
      <w:r w:rsidRPr="00CC19F7">
        <w:t xml:space="preserve"> kvar søker må dokumentere at tildeling av </w:t>
      </w:r>
      <w:proofErr w:type="spellStart"/>
      <w:r w:rsidRPr="00CC19F7">
        <w:t>eit</w:t>
      </w:r>
      <w:proofErr w:type="spellEnd"/>
      <w:r w:rsidRPr="00CC19F7">
        <w:t xml:space="preserve"> nytt løyve er ei nødvendig forutsetning for gjennomføring og/eller </w:t>
      </w:r>
      <w:proofErr w:type="spellStart"/>
      <w:r w:rsidRPr="00CC19F7">
        <w:t>vidareutvikling</w:t>
      </w:r>
      <w:proofErr w:type="spellEnd"/>
      <w:r w:rsidRPr="00CC19F7">
        <w:t xml:space="preserve"> av konkrete, samfunnsøkonomisk lønnsame prosjekt for fangst, transport og lagring av CO</w:t>
      </w:r>
      <w:r w:rsidRPr="00CC19F7">
        <w:rPr>
          <w:rStyle w:val="skrift-senket"/>
        </w:rPr>
        <w:t>2</w:t>
      </w:r>
      <w:r w:rsidRPr="00CC19F7">
        <w:t xml:space="preserve">. I tillegg må det </w:t>
      </w:r>
      <w:proofErr w:type="spellStart"/>
      <w:r w:rsidRPr="00CC19F7">
        <w:t>dokumenterast</w:t>
      </w:r>
      <w:proofErr w:type="spellEnd"/>
      <w:r w:rsidRPr="00CC19F7">
        <w:t xml:space="preserve"> ei </w:t>
      </w:r>
      <w:proofErr w:type="spellStart"/>
      <w:r w:rsidRPr="00CC19F7">
        <w:t>tilstrekkeleg</w:t>
      </w:r>
      <w:proofErr w:type="spellEnd"/>
      <w:r w:rsidRPr="00CC19F7">
        <w:t xml:space="preserve"> geologisk forståing for området, slik at det blir </w:t>
      </w:r>
      <w:proofErr w:type="spellStart"/>
      <w:r w:rsidRPr="00CC19F7">
        <w:t>sannsynleggjort</w:t>
      </w:r>
      <w:proofErr w:type="spellEnd"/>
      <w:r w:rsidRPr="00CC19F7">
        <w:t xml:space="preserve"> at området kan </w:t>
      </w:r>
      <w:proofErr w:type="spellStart"/>
      <w:r w:rsidRPr="00CC19F7">
        <w:t>modnast</w:t>
      </w:r>
      <w:proofErr w:type="spellEnd"/>
      <w:r w:rsidRPr="00CC19F7">
        <w:t xml:space="preserve"> fram til å bli </w:t>
      </w:r>
      <w:proofErr w:type="spellStart"/>
      <w:r w:rsidRPr="00CC19F7">
        <w:t>ein</w:t>
      </w:r>
      <w:proofErr w:type="spellEnd"/>
      <w:r w:rsidRPr="00CC19F7">
        <w:t xml:space="preserve"> sikker lagringslokalitet, og at </w:t>
      </w:r>
      <w:proofErr w:type="spellStart"/>
      <w:r w:rsidRPr="00CC19F7">
        <w:t>aktørane</w:t>
      </w:r>
      <w:proofErr w:type="spellEnd"/>
      <w:r w:rsidRPr="00CC19F7">
        <w:t xml:space="preserve"> har kompetanse og finansielle </w:t>
      </w:r>
      <w:proofErr w:type="spellStart"/>
      <w:r w:rsidRPr="00CC19F7">
        <w:t>ressursar</w:t>
      </w:r>
      <w:proofErr w:type="spellEnd"/>
      <w:r w:rsidRPr="00CC19F7">
        <w:t xml:space="preserve"> til å drive fram denne </w:t>
      </w:r>
      <w:proofErr w:type="spellStart"/>
      <w:r w:rsidRPr="00CC19F7">
        <w:t>verksemda</w:t>
      </w:r>
      <w:proofErr w:type="spellEnd"/>
      <w:r w:rsidRPr="00CC19F7">
        <w:t xml:space="preserve">. Departementet </w:t>
      </w:r>
      <w:proofErr w:type="spellStart"/>
      <w:r w:rsidRPr="00CC19F7">
        <w:t>utformar</w:t>
      </w:r>
      <w:proofErr w:type="spellEnd"/>
      <w:r w:rsidRPr="00CC19F7">
        <w:t xml:space="preserve"> arbeidsprogram for tildelte løyve som </w:t>
      </w:r>
      <w:proofErr w:type="spellStart"/>
      <w:r w:rsidRPr="00CC19F7">
        <w:t>sikrar</w:t>
      </w:r>
      <w:proofErr w:type="spellEnd"/>
      <w:r w:rsidRPr="00CC19F7">
        <w:t xml:space="preserve"> rask og effektiv framdrift i tildelte areal. Samtidig er det </w:t>
      </w:r>
      <w:proofErr w:type="spellStart"/>
      <w:r w:rsidRPr="00CC19F7">
        <w:t>avgjerande</w:t>
      </w:r>
      <w:proofErr w:type="spellEnd"/>
      <w:r w:rsidRPr="00CC19F7">
        <w:t xml:space="preserve"> at det arbeidet </w:t>
      </w:r>
      <w:proofErr w:type="spellStart"/>
      <w:r w:rsidRPr="00CC19F7">
        <w:t>rettshavarane</w:t>
      </w:r>
      <w:proofErr w:type="spellEnd"/>
      <w:r w:rsidRPr="00CC19F7">
        <w:t xml:space="preserve"> </w:t>
      </w:r>
      <w:proofErr w:type="spellStart"/>
      <w:r w:rsidRPr="00CC19F7">
        <w:t>gjer</w:t>
      </w:r>
      <w:proofErr w:type="spellEnd"/>
      <w:r w:rsidRPr="00CC19F7">
        <w:t xml:space="preserve">, er </w:t>
      </w:r>
      <w:proofErr w:type="spellStart"/>
      <w:r w:rsidRPr="00CC19F7">
        <w:t>tilstrekkeleg</w:t>
      </w:r>
      <w:proofErr w:type="spellEnd"/>
      <w:r w:rsidRPr="00CC19F7">
        <w:t xml:space="preserve"> til å </w:t>
      </w:r>
      <w:proofErr w:type="spellStart"/>
      <w:r w:rsidRPr="00CC19F7">
        <w:t>godtgjere</w:t>
      </w:r>
      <w:proofErr w:type="spellEnd"/>
      <w:r w:rsidRPr="00CC19F7">
        <w:t xml:space="preserve"> at lagringa kan skje trygt og sikkert i det aktuelle området.</w:t>
      </w:r>
    </w:p>
    <w:p w14:paraId="5B06A3B8" w14:textId="77777777" w:rsidR="00FE02EF" w:rsidRPr="00CC19F7" w:rsidRDefault="00881E58" w:rsidP="00CC19F7">
      <w:r w:rsidRPr="00CC19F7">
        <w:t xml:space="preserve">Departementet </w:t>
      </w:r>
      <w:proofErr w:type="spellStart"/>
      <w:r w:rsidRPr="00CC19F7">
        <w:t>reknar</w:t>
      </w:r>
      <w:proofErr w:type="spellEnd"/>
      <w:r w:rsidRPr="00CC19F7">
        <w:t xml:space="preserve"> med dette oppmodingsvedtaket som </w:t>
      </w:r>
      <w:proofErr w:type="spellStart"/>
      <w:r w:rsidRPr="00CC19F7">
        <w:t>følgt</w:t>
      </w:r>
      <w:proofErr w:type="spellEnd"/>
      <w:r w:rsidRPr="00CC19F7">
        <w:t xml:space="preserve"> opp.</w:t>
      </w:r>
    </w:p>
    <w:p w14:paraId="28C3B6B7" w14:textId="77777777" w:rsidR="00FE02EF" w:rsidRPr="00CC19F7" w:rsidRDefault="00881E58" w:rsidP="00CC19F7">
      <w:pPr>
        <w:pStyle w:val="avsnitt-tittel"/>
      </w:pPr>
      <w:r w:rsidRPr="00CC19F7">
        <w:t xml:space="preserve">Forslag til </w:t>
      </w:r>
      <w:proofErr w:type="spellStart"/>
      <w:r w:rsidRPr="00CC19F7">
        <w:t>endringar</w:t>
      </w:r>
      <w:proofErr w:type="spellEnd"/>
      <w:r w:rsidRPr="00CC19F7">
        <w:t xml:space="preserve"> som </w:t>
      </w:r>
      <w:proofErr w:type="spellStart"/>
      <w:r w:rsidRPr="00CC19F7">
        <w:t>tillèt</w:t>
      </w:r>
      <w:proofErr w:type="spellEnd"/>
      <w:r w:rsidRPr="00CC19F7">
        <w:t xml:space="preserve"> </w:t>
      </w:r>
      <w:proofErr w:type="spellStart"/>
      <w:r w:rsidRPr="00CC19F7">
        <w:t>områdeløysingar</w:t>
      </w:r>
      <w:proofErr w:type="spellEnd"/>
      <w:r w:rsidRPr="00CC19F7">
        <w:t xml:space="preserve"> og deling av lokalprodusert </w:t>
      </w:r>
      <w:proofErr w:type="spellStart"/>
      <w:r w:rsidRPr="00CC19F7">
        <w:t>straum</w:t>
      </w:r>
      <w:proofErr w:type="spellEnd"/>
      <w:r w:rsidRPr="00CC19F7">
        <w:t xml:space="preserve"> og energilagring mellom bygg med ulike gards- og bruksnummer</w:t>
      </w:r>
    </w:p>
    <w:p w14:paraId="77456165" w14:textId="77777777" w:rsidR="00FE02EF" w:rsidRPr="00CC19F7" w:rsidRDefault="00881E58" w:rsidP="00CC19F7">
      <w:pPr>
        <w:pStyle w:val="avsnitt-undertittel"/>
      </w:pPr>
      <w:r w:rsidRPr="00CC19F7">
        <w:t>Vedtak 765, 5. juni 2023</w:t>
      </w:r>
    </w:p>
    <w:p w14:paraId="3BB65481" w14:textId="77777777" w:rsidR="00FE02EF" w:rsidRPr="00CC19F7" w:rsidRDefault="00881E58" w:rsidP="00CC19F7">
      <w:pPr>
        <w:pStyle w:val="blokksit"/>
      </w:pPr>
      <w:r w:rsidRPr="00CC19F7">
        <w:t>«</w:t>
      </w:r>
      <w:r w:rsidRPr="00CC19F7">
        <w:rPr>
          <w:rStyle w:val="kursiv"/>
        </w:rPr>
        <w:t>Stortinget ber regjeringen legge frem forslag til endringer som tillater områdeløsninger og deling av lokalprodusert strøm og energilagring mellom bygg med ulike gårds- og bruksnummer, og komme tilbake til Stortinget på egnet måte i løpet av våren 2024.</w:t>
      </w:r>
      <w:r w:rsidRPr="00CC19F7">
        <w:t>»</w:t>
      </w:r>
    </w:p>
    <w:p w14:paraId="5CD4B998" w14:textId="77777777" w:rsidR="00FE02EF" w:rsidRPr="00CC19F7" w:rsidRDefault="00881E58" w:rsidP="00CC19F7">
      <w:r w:rsidRPr="00CC19F7">
        <w:t xml:space="preserve">Dokumenta som ligg til grunn for vedtaket er Dokument 8:197 S (2022–2023) og </w:t>
      </w:r>
      <w:proofErr w:type="spellStart"/>
      <w:r w:rsidRPr="00CC19F7">
        <w:t>Innst</w:t>
      </w:r>
      <w:proofErr w:type="spellEnd"/>
      <w:r w:rsidRPr="00CC19F7">
        <w:t>. 467 S (2022–2023).</w:t>
      </w:r>
    </w:p>
    <w:p w14:paraId="67E0E92A" w14:textId="77777777" w:rsidR="00FE02EF" w:rsidRPr="00CC19F7" w:rsidRDefault="00881E58" w:rsidP="00CC19F7">
      <w:r w:rsidRPr="00CC19F7">
        <w:t xml:space="preserve">Departementet har i oppfølginga av vedtaket bedt RME, med </w:t>
      </w:r>
      <w:proofErr w:type="spellStart"/>
      <w:r w:rsidRPr="00CC19F7">
        <w:t>innspel</w:t>
      </w:r>
      <w:proofErr w:type="spellEnd"/>
      <w:r w:rsidRPr="00CC19F7">
        <w:t xml:space="preserve"> </w:t>
      </w:r>
      <w:proofErr w:type="spellStart"/>
      <w:r w:rsidRPr="00CC19F7">
        <w:t>frå</w:t>
      </w:r>
      <w:proofErr w:type="spellEnd"/>
      <w:r w:rsidRPr="00CC19F7">
        <w:t xml:space="preserve"> NVE, om å vurdere ei delingsordning tilpassa næringsområde, slik at deling av eigenprodusert </w:t>
      </w:r>
      <w:proofErr w:type="spellStart"/>
      <w:r w:rsidRPr="00CC19F7">
        <w:t>straum</w:t>
      </w:r>
      <w:proofErr w:type="spellEnd"/>
      <w:r w:rsidRPr="00CC19F7">
        <w:t xml:space="preserve"> mellom </w:t>
      </w:r>
      <w:proofErr w:type="spellStart"/>
      <w:r w:rsidRPr="00CC19F7">
        <w:t>straumkundar</w:t>
      </w:r>
      <w:proofErr w:type="spellEnd"/>
      <w:r w:rsidRPr="00CC19F7">
        <w:t xml:space="preserve"> utover vedtatt ordning kan </w:t>
      </w:r>
      <w:proofErr w:type="spellStart"/>
      <w:r w:rsidRPr="00CC19F7">
        <w:t>gjerast</w:t>
      </w:r>
      <w:proofErr w:type="spellEnd"/>
      <w:r w:rsidRPr="00CC19F7">
        <w:t xml:space="preserve"> på </w:t>
      </w:r>
      <w:proofErr w:type="spellStart"/>
      <w:r w:rsidRPr="00CC19F7">
        <w:t>ein</w:t>
      </w:r>
      <w:proofErr w:type="spellEnd"/>
      <w:r w:rsidRPr="00CC19F7">
        <w:t xml:space="preserve"> samfunnsmessig rasjonell måte. Deling </w:t>
      </w:r>
      <w:proofErr w:type="spellStart"/>
      <w:r w:rsidRPr="00CC19F7">
        <w:t>frå</w:t>
      </w:r>
      <w:proofErr w:type="spellEnd"/>
      <w:r w:rsidRPr="00CC19F7">
        <w:t xml:space="preserve"> anlegg med </w:t>
      </w:r>
      <w:proofErr w:type="spellStart"/>
      <w:r w:rsidRPr="00CC19F7">
        <w:t>meir</w:t>
      </w:r>
      <w:proofErr w:type="spellEnd"/>
      <w:r w:rsidRPr="00CC19F7">
        <w:t xml:space="preserve"> enn 1 MW installert effekt skal inngå i vurderinga.</w:t>
      </w:r>
    </w:p>
    <w:p w14:paraId="3A5DCE25" w14:textId="77777777" w:rsidR="00FE02EF" w:rsidRPr="00CC19F7" w:rsidRDefault="00881E58" w:rsidP="00CC19F7">
      <w:r w:rsidRPr="00CC19F7">
        <w:t>Departementet vil komme tilbake til Stortinget på eigna måte.</w:t>
      </w:r>
    </w:p>
    <w:p w14:paraId="3BBA2BC5" w14:textId="77777777" w:rsidR="00FE02EF" w:rsidRPr="00CC19F7" w:rsidRDefault="00881E58" w:rsidP="00CC19F7">
      <w:pPr>
        <w:pStyle w:val="avsnitt-tittel"/>
      </w:pPr>
      <w:r w:rsidRPr="00CC19F7">
        <w:t xml:space="preserve">Plan med mål og </w:t>
      </w:r>
      <w:proofErr w:type="spellStart"/>
      <w:r w:rsidRPr="00CC19F7">
        <w:t>verkemiddel</w:t>
      </w:r>
      <w:proofErr w:type="spellEnd"/>
      <w:r w:rsidRPr="00CC19F7">
        <w:t xml:space="preserve"> for å fremme utbygging av produksjon av fornybar kraft i næringsareal, langs </w:t>
      </w:r>
      <w:proofErr w:type="spellStart"/>
      <w:r w:rsidRPr="00CC19F7">
        <w:t>motorvegar</w:t>
      </w:r>
      <w:proofErr w:type="spellEnd"/>
      <w:r w:rsidRPr="00CC19F7">
        <w:t xml:space="preserve"> og i andre nedbygde areal</w:t>
      </w:r>
    </w:p>
    <w:p w14:paraId="702E0599" w14:textId="77777777" w:rsidR="00FE02EF" w:rsidRPr="00CC19F7" w:rsidRDefault="00881E58" w:rsidP="00CC19F7">
      <w:pPr>
        <w:pStyle w:val="avsnitt-undertittel"/>
      </w:pPr>
      <w:r w:rsidRPr="00CC19F7">
        <w:t>Vedtak 766, 5. juni 2023</w:t>
      </w:r>
    </w:p>
    <w:p w14:paraId="3099A10A" w14:textId="77777777" w:rsidR="00FE02EF" w:rsidRPr="00CC19F7" w:rsidRDefault="00881E58" w:rsidP="00CC19F7">
      <w:pPr>
        <w:pStyle w:val="blokksit"/>
      </w:pPr>
      <w:r w:rsidRPr="00CC19F7">
        <w:t>«</w:t>
      </w:r>
      <w:r w:rsidRPr="00CC19F7">
        <w:rPr>
          <w:rStyle w:val="kursiv"/>
        </w:rPr>
        <w:t xml:space="preserve">Stortinget ber regjeringen, senest i forbindelse med statsbudsjettet for 2024, legge fram en plan med mål og virkemidler for å fremme utbygging av produksjon av fornybar kraft i næringsarealer, langs motorveier og i andre nedbygde arealer, med mål om minst 5 </w:t>
      </w:r>
      <w:proofErr w:type="spellStart"/>
      <w:r w:rsidRPr="00CC19F7">
        <w:rPr>
          <w:rStyle w:val="kursiv"/>
        </w:rPr>
        <w:t>TWh</w:t>
      </w:r>
      <w:proofErr w:type="spellEnd"/>
      <w:r w:rsidRPr="00CC19F7">
        <w:rPr>
          <w:rStyle w:val="kursiv"/>
        </w:rPr>
        <w:t xml:space="preserve"> produksjon innen 2030.</w:t>
      </w:r>
      <w:r w:rsidRPr="00CC19F7">
        <w:t>»</w:t>
      </w:r>
    </w:p>
    <w:p w14:paraId="10C3CA30" w14:textId="77777777" w:rsidR="00FE02EF" w:rsidRPr="00CC19F7" w:rsidRDefault="00881E58" w:rsidP="00CC19F7">
      <w:r w:rsidRPr="00CC19F7">
        <w:t xml:space="preserve">Dokumenta som ligg til grunn for vedtaket er Dokument 8:197 S (2022–2023) og </w:t>
      </w:r>
      <w:proofErr w:type="spellStart"/>
      <w:r w:rsidRPr="00CC19F7">
        <w:t>Innst</w:t>
      </w:r>
      <w:proofErr w:type="spellEnd"/>
      <w:r w:rsidRPr="00CC19F7">
        <w:t>. 467 S (2022–2023).</w:t>
      </w:r>
    </w:p>
    <w:p w14:paraId="423046D7" w14:textId="77777777" w:rsidR="00FE02EF" w:rsidRPr="00CC19F7" w:rsidRDefault="00881E58" w:rsidP="00CC19F7">
      <w:r w:rsidRPr="00CC19F7">
        <w:t xml:space="preserve">Departementet har i oppfølginga av vedtaket bedt NVE vurdere potensialet for utbygging av fornybar kraftproduksjon på næringsareal, langs </w:t>
      </w:r>
      <w:proofErr w:type="spellStart"/>
      <w:r w:rsidRPr="00CC19F7">
        <w:t>motorvegar</w:t>
      </w:r>
      <w:proofErr w:type="spellEnd"/>
      <w:r w:rsidRPr="00CC19F7">
        <w:t xml:space="preserve"> og i andre nedbygde areal mot 2030, og </w:t>
      </w:r>
      <w:proofErr w:type="spellStart"/>
      <w:r w:rsidRPr="00CC19F7">
        <w:t>moglegheitene</w:t>
      </w:r>
      <w:proofErr w:type="spellEnd"/>
      <w:r w:rsidRPr="00CC19F7">
        <w:t xml:space="preserve"> for å nå </w:t>
      </w:r>
      <w:proofErr w:type="spellStart"/>
      <w:r w:rsidRPr="00CC19F7">
        <w:t>eit</w:t>
      </w:r>
      <w:proofErr w:type="spellEnd"/>
      <w:r w:rsidRPr="00CC19F7">
        <w:t xml:space="preserve"> mål om 5 </w:t>
      </w:r>
      <w:proofErr w:type="spellStart"/>
      <w:r w:rsidRPr="00CC19F7">
        <w:t>TWh</w:t>
      </w:r>
      <w:proofErr w:type="spellEnd"/>
      <w:r w:rsidRPr="00CC19F7">
        <w:t xml:space="preserve"> fornybar kraft på slikt areal.</w:t>
      </w:r>
    </w:p>
    <w:p w14:paraId="511A70CF" w14:textId="77777777" w:rsidR="00FE02EF" w:rsidRPr="00CC19F7" w:rsidRDefault="00881E58" w:rsidP="00CC19F7">
      <w:r w:rsidRPr="00CC19F7">
        <w:t xml:space="preserve">Det er </w:t>
      </w:r>
      <w:proofErr w:type="spellStart"/>
      <w:r w:rsidRPr="00CC19F7">
        <w:t>ikkje</w:t>
      </w:r>
      <w:proofErr w:type="spellEnd"/>
      <w:r w:rsidRPr="00CC19F7">
        <w:t xml:space="preserve"> </w:t>
      </w:r>
      <w:proofErr w:type="spellStart"/>
      <w:r w:rsidRPr="00CC19F7">
        <w:t>mogleg</w:t>
      </w:r>
      <w:proofErr w:type="spellEnd"/>
      <w:r w:rsidRPr="00CC19F7">
        <w:t xml:space="preserve"> å legge fram </w:t>
      </w:r>
      <w:proofErr w:type="spellStart"/>
      <w:r w:rsidRPr="00CC19F7">
        <w:t>ein</w:t>
      </w:r>
      <w:proofErr w:type="spellEnd"/>
      <w:r w:rsidRPr="00CC19F7">
        <w:t xml:space="preserve"> slik plan </w:t>
      </w:r>
      <w:proofErr w:type="spellStart"/>
      <w:r w:rsidRPr="00CC19F7">
        <w:t>saman</w:t>
      </w:r>
      <w:proofErr w:type="spellEnd"/>
      <w:r w:rsidRPr="00CC19F7">
        <w:t xml:space="preserve"> med statsbudsjettet for 2024. Departementet vil komme tilbake til Stortinget på eigna måte.</w:t>
      </w:r>
    </w:p>
    <w:p w14:paraId="7E6692B5" w14:textId="77777777" w:rsidR="00FE02EF" w:rsidRPr="00CC19F7" w:rsidRDefault="00881E58" w:rsidP="00CC19F7">
      <w:pPr>
        <w:pStyle w:val="avsnitt-tittel"/>
      </w:pPr>
      <w:r w:rsidRPr="00CC19F7">
        <w:t>Fjerne regulatoriske hinder for energiproduksjon på næringsareal og andre nedbygde areal</w:t>
      </w:r>
    </w:p>
    <w:p w14:paraId="40171DF8" w14:textId="77777777" w:rsidR="00FE02EF" w:rsidRPr="00CC19F7" w:rsidRDefault="00881E58" w:rsidP="00CC19F7">
      <w:pPr>
        <w:pStyle w:val="avsnitt-undertittel"/>
      </w:pPr>
      <w:r w:rsidRPr="00CC19F7">
        <w:t>Vedtak 767, 5. juni 2023</w:t>
      </w:r>
    </w:p>
    <w:p w14:paraId="51E58271" w14:textId="77777777" w:rsidR="00FE02EF" w:rsidRPr="00CC19F7" w:rsidRDefault="00881E58" w:rsidP="00CC19F7">
      <w:pPr>
        <w:pStyle w:val="blokksit"/>
      </w:pPr>
      <w:r w:rsidRPr="00CC19F7">
        <w:t>«</w:t>
      </w:r>
      <w:r w:rsidRPr="00CC19F7">
        <w:rPr>
          <w:rStyle w:val="kursiv"/>
        </w:rPr>
        <w:t>Stortinget ber regjeringen gjennomgå og fjerne regulatoriske hindre for energiproduksjon på næringsarealer og andre nedbygde arealer.</w:t>
      </w:r>
      <w:r w:rsidRPr="00CC19F7">
        <w:t>»</w:t>
      </w:r>
    </w:p>
    <w:p w14:paraId="6CCA1099" w14:textId="77777777" w:rsidR="00FE02EF" w:rsidRPr="00CC19F7" w:rsidRDefault="00881E58" w:rsidP="00CC19F7">
      <w:r w:rsidRPr="00CC19F7">
        <w:t xml:space="preserve">Dokumenta som ligg til grunn for vedtaket er Dokument 8:197 S (2022–2023) og </w:t>
      </w:r>
      <w:proofErr w:type="spellStart"/>
      <w:r w:rsidRPr="00CC19F7">
        <w:t>Innst</w:t>
      </w:r>
      <w:proofErr w:type="spellEnd"/>
      <w:r w:rsidRPr="00CC19F7">
        <w:t>. 467 S (2022–2023).</w:t>
      </w:r>
    </w:p>
    <w:p w14:paraId="1EEBBED6" w14:textId="77777777" w:rsidR="00FE02EF" w:rsidRPr="00CC19F7" w:rsidRDefault="00881E58" w:rsidP="00CC19F7">
      <w:r w:rsidRPr="00CC19F7">
        <w:t xml:space="preserve">Departementet har i oppfølginga av vedtaket bedt NVE, med </w:t>
      </w:r>
      <w:proofErr w:type="spellStart"/>
      <w:r w:rsidRPr="00CC19F7">
        <w:t>innspel</w:t>
      </w:r>
      <w:proofErr w:type="spellEnd"/>
      <w:r w:rsidRPr="00CC19F7">
        <w:t xml:space="preserve"> </w:t>
      </w:r>
      <w:proofErr w:type="spellStart"/>
      <w:r w:rsidRPr="00CC19F7">
        <w:t>frå</w:t>
      </w:r>
      <w:proofErr w:type="spellEnd"/>
      <w:r w:rsidRPr="00CC19F7">
        <w:t xml:space="preserve"> RME og eventuelt andre </w:t>
      </w:r>
      <w:proofErr w:type="spellStart"/>
      <w:r w:rsidRPr="00CC19F7">
        <w:t>etatar</w:t>
      </w:r>
      <w:proofErr w:type="spellEnd"/>
      <w:r w:rsidRPr="00CC19F7">
        <w:t xml:space="preserve">, kartlegge og vurdere rammevilkåra for lokal energiproduksjon og -lagring og eventuelt foreslå </w:t>
      </w:r>
      <w:proofErr w:type="spellStart"/>
      <w:r w:rsidRPr="00CC19F7">
        <w:t>endringar</w:t>
      </w:r>
      <w:proofErr w:type="spellEnd"/>
      <w:r w:rsidRPr="00CC19F7">
        <w:t xml:space="preserve"> i </w:t>
      </w:r>
      <w:proofErr w:type="spellStart"/>
      <w:r w:rsidRPr="00CC19F7">
        <w:t>eksisterande</w:t>
      </w:r>
      <w:proofErr w:type="spellEnd"/>
      <w:r w:rsidRPr="00CC19F7">
        <w:t xml:space="preserve"> </w:t>
      </w:r>
      <w:proofErr w:type="spellStart"/>
      <w:r w:rsidRPr="00CC19F7">
        <w:t>reguleringar</w:t>
      </w:r>
      <w:proofErr w:type="spellEnd"/>
      <w:r w:rsidRPr="00CC19F7">
        <w:t xml:space="preserve"> og </w:t>
      </w:r>
      <w:proofErr w:type="spellStart"/>
      <w:r w:rsidRPr="00CC19F7">
        <w:t>verkemiddel</w:t>
      </w:r>
      <w:proofErr w:type="spellEnd"/>
      <w:r w:rsidRPr="00CC19F7">
        <w:t>.</w:t>
      </w:r>
    </w:p>
    <w:p w14:paraId="5504D7F4" w14:textId="77777777" w:rsidR="00FE02EF" w:rsidRPr="00CC19F7" w:rsidRDefault="00881E58" w:rsidP="00CC19F7">
      <w:r w:rsidRPr="00CC19F7">
        <w:t xml:space="preserve">Departementet har </w:t>
      </w:r>
      <w:proofErr w:type="spellStart"/>
      <w:r w:rsidRPr="00CC19F7">
        <w:t>vidare</w:t>
      </w:r>
      <w:proofErr w:type="spellEnd"/>
      <w:r w:rsidRPr="00CC19F7">
        <w:t xml:space="preserve"> bedt RME, med </w:t>
      </w:r>
      <w:proofErr w:type="spellStart"/>
      <w:r w:rsidRPr="00CC19F7">
        <w:t>innspel</w:t>
      </w:r>
      <w:proofErr w:type="spellEnd"/>
      <w:r w:rsidRPr="00CC19F7">
        <w:t xml:space="preserve"> </w:t>
      </w:r>
      <w:proofErr w:type="spellStart"/>
      <w:r w:rsidRPr="00CC19F7">
        <w:t>frå</w:t>
      </w:r>
      <w:proofErr w:type="spellEnd"/>
      <w:r w:rsidRPr="00CC19F7">
        <w:t xml:space="preserve"> NVE, om å vurdere ei delingsordning tilpassa næringsområde, slik at deling av eigenprodusert </w:t>
      </w:r>
      <w:proofErr w:type="spellStart"/>
      <w:r w:rsidRPr="00CC19F7">
        <w:t>straum</w:t>
      </w:r>
      <w:proofErr w:type="spellEnd"/>
      <w:r w:rsidRPr="00CC19F7">
        <w:t xml:space="preserve"> mellom </w:t>
      </w:r>
      <w:proofErr w:type="spellStart"/>
      <w:r w:rsidRPr="00CC19F7">
        <w:t>straumkundar</w:t>
      </w:r>
      <w:proofErr w:type="spellEnd"/>
      <w:r w:rsidRPr="00CC19F7">
        <w:t xml:space="preserve"> utover vedtatt ordning kan </w:t>
      </w:r>
      <w:proofErr w:type="spellStart"/>
      <w:r w:rsidRPr="00CC19F7">
        <w:t>gjerast</w:t>
      </w:r>
      <w:proofErr w:type="spellEnd"/>
      <w:r w:rsidRPr="00CC19F7">
        <w:t xml:space="preserve"> på </w:t>
      </w:r>
      <w:proofErr w:type="spellStart"/>
      <w:r w:rsidRPr="00CC19F7">
        <w:t>ein</w:t>
      </w:r>
      <w:proofErr w:type="spellEnd"/>
      <w:r w:rsidRPr="00CC19F7">
        <w:t xml:space="preserve"> samfunnsmessig rasjonell måte. Deling </w:t>
      </w:r>
      <w:proofErr w:type="spellStart"/>
      <w:r w:rsidRPr="00CC19F7">
        <w:t>frå</w:t>
      </w:r>
      <w:proofErr w:type="spellEnd"/>
      <w:r w:rsidRPr="00CC19F7">
        <w:t xml:space="preserve"> anlegg med </w:t>
      </w:r>
      <w:proofErr w:type="spellStart"/>
      <w:r w:rsidRPr="00CC19F7">
        <w:t>meir</w:t>
      </w:r>
      <w:proofErr w:type="spellEnd"/>
      <w:r w:rsidRPr="00CC19F7">
        <w:t xml:space="preserve"> enn 1 MW installert effekt skal inngå i vurderinga.</w:t>
      </w:r>
    </w:p>
    <w:p w14:paraId="35DD9F08" w14:textId="77777777" w:rsidR="00FE02EF" w:rsidRPr="00CC19F7" w:rsidRDefault="00881E58" w:rsidP="00CC19F7">
      <w:r w:rsidRPr="00CC19F7">
        <w:t xml:space="preserve">Departementet har samtidig bedt NVE om å vurdere ei lov-/forskriftsendring som gir </w:t>
      </w:r>
      <w:proofErr w:type="spellStart"/>
      <w:r w:rsidRPr="00CC19F7">
        <w:t>konsesjonsmyndigheitene</w:t>
      </w:r>
      <w:proofErr w:type="spellEnd"/>
      <w:r w:rsidRPr="00CC19F7">
        <w:t xml:space="preserve"> høve til å </w:t>
      </w:r>
      <w:proofErr w:type="spellStart"/>
      <w:r w:rsidRPr="00CC19F7">
        <w:t>gjere</w:t>
      </w:r>
      <w:proofErr w:type="spellEnd"/>
      <w:r w:rsidRPr="00CC19F7">
        <w:t xml:space="preserve"> unntak </w:t>
      </w:r>
      <w:proofErr w:type="spellStart"/>
      <w:r w:rsidRPr="00CC19F7">
        <w:t>frå</w:t>
      </w:r>
      <w:proofErr w:type="spellEnd"/>
      <w:r w:rsidRPr="00CC19F7">
        <w:t xml:space="preserve"> konsesjonsplikt for mindre energiproduksjonsanlegg på industri- og næringsareal (grå areal). NVE er samtidig bedt om å utarbeide </w:t>
      </w:r>
      <w:proofErr w:type="spellStart"/>
      <w:r w:rsidRPr="00CC19F7">
        <w:t>eit</w:t>
      </w:r>
      <w:proofErr w:type="spellEnd"/>
      <w:r w:rsidRPr="00CC19F7">
        <w:t xml:space="preserve"> utkast til </w:t>
      </w:r>
      <w:proofErr w:type="spellStart"/>
      <w:r w:rsidRPr="00CC19F7">
        <w:t>dei</w:t>
      </w:r>
      <w:proofErr w:type="spellEnd"/>
      <w:r w:rsidRPr="00CC19F7">
        <w:t xml:space="preserve"> lov-/</w:t>
      </w:r>
      <w:proofErr w:type="spellStart"/>
      <w:r w:rsidRPr="00CC19F7">
        <w:t>forskriftsendringane</w:t>
      </w:r>
      <w:proofErr w:type="spellEnd"/>
      <w:r w:rsidRPr="00CC19F7">
        <w:t xml:space="preserve"> </w:t>
      </w:r>
      <w:proofErr w:type="spellStart"/>
      <w:r w:rsidRPr="00CC19F7">
        <w:t>dette vil</w:t>
      </w:r>
      <w:proofErr w:type="spellEnd"/>
      <w:r w:rsidRPr="00CC19F7">
        <w:t xml:space="preserve"> </w:t>
      </w:r>
      <w:proofErr w:type="spellStart"/>
      <w:r w:rsidRPr="00CC19F7">
        <w:t>krevje</w:t>
      </w:r>
      <w:proofErr w:type="spellEnd"/>
      <w:r w:rsidRPr="00CC19F7">
        <w:t>.</w:t>
      </w:r>
    </w:p>
    <w:p w14:paraId="122AC542" w14:textId="77777777" w:rsidR="00FE02EF" w:rsidRPr="00CC19F7" w:rsidRDefault="00881E58" w:rsidP="00CC19F7">
      <w:r w:rsidRPr="00CC19F7">
        <w:t xml:space="preserve">Departementet vil fremme eventuelle forslag til </w:t>
      </w:r>
      <w:proofErr w:type="spellStart"/>
      <w:r w:rsidRPr="00CC19F7">
        <w:t>lovendringar</w:t>
      </w:r>
      <w:proofErr w:type="spellEnd"/>
      <w:r w:rsidRPr="00CC19F7">
        <w:t xml:space="preserve"> for Stortinget.</w:t>
      </w:r>
    </w:p>
    <w:p w14:paraId="0DDE362B" w14:textId="77777777" w:rsidR="00FE02EF" w:rsidRPr="00CC19F7" w:rsidRDefault="00881E58" w:rsidP="00CC19F7">
      <w:pPr>
        <w:pStyle w:val="avsnitt-tittel"/>
      </w:pPr>
      <w:r w:rsidRPr="00CC19F7">
        <w:t xml:space="preserve">Heve grensa for kor </w:t>
      </w:r>
      <w:proofErr w:type="spellStart"/>
      <w:r w:rsidRPr="00CC19F7">
        <w:t>mykje</w:t>
      </w:r>
      <w:proofErr w:type="spellEnd"/>
      <w:r w:rsidRPr="00CC19F7">
        <w:t xml:space="preserve"> eigenprodusert, fornybar energi som kan </w:t>
      </w:r>
      <w:proofErr w:type="spellStart"/>
      <w:r w:rsidRPr="00CC19F7">
        <w:t>delast</w:t>
      </w:r>
      <w:proofErr w:type="spellEnd"/>
      <w:r w:rsidRPr="00CC19F7">
        <w:t xml:space="preserve"> </w:t>
      </w:r>
      <w:proofErr w:type="spellStart"/>
      <w:r w:rsidRPr="00CC19F7">
        <w:t>frå</w:t>
      </w:r>
      <w:proofErr w:type="spellEnd"/>
      <w:r w:rsidRPr="00CC19F7">
        <w:t xml:space="preserve"> næringsbygg</w:t>
      </w:r>
    </w:p>
    <w:p w14:paraId="20D0C426" w14:textId="77777777" w:rsidR="00FE02EF" w:rsidRPr="00CC19F7" w:rsidRDefault="00881E58" w:rsidP="00CC19F7">
      <w:pPr>
        <w:pStyle w:val="avsnitt-undertittel"/>
      </w:pPr>
      <w:r w:rsidRPr="00CC19F7">
        <w:t>Vedtak 768, 5. juni 2023</w:t>
      </w:r>
    </w:p>
    <w:p w14:paraId="0401A5F3" w14:textId="77777777" w:rsidR="00FE02EF" w:rsidRPr="00CC19F7" w:rsidRDefault="00881E58" w:rsidP="00CC19F7">
      <w:pPr>
        <w:pStyle w:val="blokksit"/>
      </w:pPr>
      <w:r w:rsidRPr="00CC19F7">
        <w:t>«</w:t>
      </w:r>
      <w:r w:rsidRPr="00CC19F7">
        <w:rPr>
          <w:rStyle w:val="kursiv"/>
        </w:rPr>
        <w:t>Stortinget ber regjeringen heve grensen for hvor mye egenprodusert, fornybar energi som kan deles fra næringsbygg, på en måte som ikke er til hinder for rasjonell utvikling av nettet.</w:t>
      </w:r>
      <w:r w:rsidRPr="00CC19F7">
        <w:t>»</w:t>
      </w:r>
    </w:p>
    <w:p w14:paraId="4E47FAF9" w14:textId="77777777" w:rsidR="00FE02EF" w:rsidRPr="00CC19F7" w:rsidRDefault="00881E58" w:rsidP="00CC19F7">
      <w:r w:rsidRPr="00CC19F7">
        <w:t xml:space="preserve">Dokumenta som ligg til grunn for vedtaket er Dokument 8:197 S (2022–2023) og </w:t>
      </w:r>
      <w:proofErr w:type="spellStart"/>
      <w:r w:rsidRPr="00CC19F7">
        <w:t>Innst</w:t>
      </w:r>
      <w:proofErr w:type="spellEnd"/>
      <w:r w:rsidRPr="00CC19F7">
        <w:t>. 467 S (2022–2023).</w:t>
      </w:r>
    </w:p>
    <w:p w14:paraId="3A73F5EE" w14:textId="77777777" w:rsidR="00FE02EF" w:rsidRPr="00CC19F7" w:rsidRDefault="00881E58" w:rsidP="00CC19F7">
      <w:r w:rsidRPr="00CC19F7">
        <w:t xml:space="preserve">Departementet har i oppfølginga av vedtaket bedt RME, med </w:t>
      </w:r>
      <w:proofErr w:type="spellStart"/>
      <w:r w:rsidRPr="00CC19F7">
        <w:t>innspel</w:t>
      </w:r>
      <w:proofErr w:type="spellEnd"/>
      <w:r w:rsidRPr="00CC19F7">
        <w:t xml:space="preserve"> </w:t>
      </w:r>
      <w:proofErr w:type="spellStart"/>
      <w:r w:rsidRPr="00CC19F7">
        <w:t>frå</w:t>
      </w:r>
      <w:proofErr w:type="spellEnd"/>
      <w:r w:rsidRPr="00CC19F7">
        <w:t xml:space="preserve"> NVE, om å vurdere ei delingsordning tilpassa næringsområde, slik at deling av eigenprodusert </w:t>
      </w:r>
      <w:proofErr w:type="spellStart"/>
      <w:r w:rsidRPr="00CC19F7">
        <w:t>straum</w:t>
      </w:r>
      <w:proofErr w:type="spellEnd"/>
      <w:r w:rsidRPr="00CC19F7">
        <w:t xml:space="preserve"> mellom </w:t>
      </w:r>
      <w:proofErr w:type="spellStart"/>
      <w:r w:rsidRPr="00CC19F7">
        <w:t>straumkundar</w:t>
      </w:r>
      <w:proofErr w:type="spellEnd"/>
      <w:r w:rsidRPr="00CC19F7">
        <w:t xml:space="preserve"> utover vedtatt ordning kan </w:t>
      </w:r>
      <w:proofErr w:type="spellStart"/>
      <w:r w:rsidRPr="00CC19F7">
        <w:t>gjerast</w:t>
      </w:r>
      <w:proofErr w:type="spellEnd"/>
      <w:r w:rsidRPr="00CC19F7">
        <w:t xml:space="preserve"> på </w:t>
      </w:r>
      <w:proofErr w:type="spellStart"/>
      <w:r w:rsidRPr="00CC19F7">
        <w:t>ein</w:t>
      </w:r>
      <w:proofErr w:type="spellEnd"/>
      <w:r w:rsidRPr="00CC19F7">
        <w:t xml:space="preserve"> samfunnsmessig rasjonell måte. Deling </w:t>
      </w:r>
      <w:proofErr w:type="spellStart"/>
      <w:r w:rsidRPr="00CC19F7">
        <w:t>frå</w:t>
      </w:r>
      <w:proofErr w:type="spellEnd"/>
      <w:r w:rsidRPr="00CC19F7">
        <w:t xml:space="preserve"> anlegg med </w:t>
      </w:r>
      <w:proofErr w:type="spellStart"/>
      <w:r w:rsidRPr="00CC19F7">
        <w:t>meir</w:t>
      </w:r>
      <w:proofErr w:type="spellEnd"/>
      <w:r w:rsidRPr="00CC19F7">
        <w:t xml:space="preserve"> enn 1 MW installert effekt skal inngå i vurderinga.</w:t>
      </w:r>
    </w:p>
    <w:p w14:paraId="0DAE6C47" w14:textId="77777777" w:rsidR="00FE02EF" w:rsidRPr="00CC19F7" w:rsidRDefault="00881E58" w:rsidP="00CC19F7">
      <w:r w:rsidRPr="00CC19F7">
        <w:t>Departementet vil komme tilbake til Stortinget på eigna måte.</w:t>
      </w:r>
    </w:p>
    <w:p w14:paraId="777C97D6" w14:textId="77777777" w:rsidR="00FE02EF" w:rsidRPr="00CC19F7" w:rsidRDefault="00881E58" w:rsidP="00CC19F7">
      <w:pPr>
        <w:pStyle w:val="avsnitt-tittel"/>
      </w:pPr>
      <w:r w:rsidRPr="00CC19F7">
        <w:t>Straumstønadsordninga – avgrensing for kjøp av </w:t>
      </w:r>
      <w:proofErr w:type="spellStart"/>
      <w:r w:rsidRPr="00CC19F7">
        <w:t>rimeleg</w:t>
      </w:r>
      <w:proofErr w:type="spellEnd"/>
      <w:r w:rsidRPr="00CC19F7">
        <w:t xml:space="preserve"> konsesjonskraft</w:t>
      </w:r>
    </w:p>
    <w:p w14:paraId="01D9E7DA" w14:textId="77777777" w:rsidR="00FE02EF" w:rsidRPr="00CC19F7" w:rsidRDefault="00881E58" w:rsidP="00CC19F7">
      <w:pPr>
        <w:pStyle w:val="avsnitt-undertittel"/>
      </w:pPr>
      <w:r w:rsidRPr="00CC19F7">
        <w:t>Vedtak 812, 9. juni 2023</w:t>
      </w:r>
    </w:p>
    <w:p w14:paraId="1FA05A75" w14:textId="77777777" w:rsidR="00FE02EF" w:rsidRPr="00CC19F7" w:rsidRDefault="00881E58" w:rsidP="00CC19F7">
      <w:pPr>
        <w:pStyle w:val="blokksit"/>
      </w:pPr>
      <w:r w:rsidRPr="00CC19F7">
        <w:t>«</w:t>
      </w:r>
      <w:r w:rsidRPr="00CC19F7">
        <w:rPr>
          <w:rStyle w:val="kursiv"/>
        </w:rPr>
        <w:t>Stortinget ber regjeringen vurdere hvordan strømstøtteordningen kan avgrenses slik at husholdninger som kjøper rimelig konsesjonskraft fra kommunen, ikke mottar støtte.</w:t>
      </w:r>
      <w:r w:rsidRPr="00CC19F7">
        <w:t>»</w:t>
      </w:r>
    </w:p>
    <w:p w14:paraId="65BB0030" w14:textId="77777777" w:rsidR="00FE02EF" w:rsidRPr="00CC19F7" w:rsidRDefault="00881E58" w:rsidP="00CC19F7">
      <w:r w:rsidRPr="00CC19F7">
        <w:t xml:space="preserve">Dokumenta som ligg til grunn for vedtaket er </w:t>
      </w:r>
      <w:proofErr w:type="spellStart"/>
      <w:r w:rsidRPr="00CC19F7">
        <w:t>Prop</w:t>
      </w:r>
      <w:proofErr w:type="spellEnd"/>
      <w:r w:rsidRPr="00CC19F7">
        <w:t xml:space="preserve">. 116 L (2022–2023), </w:t>
      </w:r>
      <w:proofErr w:type="spellStart"/>
      <w:r w:rsidRPr="00CC19F7">
        <w:t>Innst</w:t>
      </w:r>
      <w:proofErr w:type="spellEnd"/>
      <w:r w:rsidRPr="00CC19F7">
        <w:t>. 486 L (2022–2023) og Lovvedtak 119 (2022–2023).</w:t>
      </w:r>
    </w:p>
    <w:p w14:paraId="52031F6E" w14:textId="77777777" w:rsidR="00FE02EF" w:rsidRPr="00CC19F7" w:rsidRDefault="00881E58" w:rsidP="00CC19F7">
      <w:r w:rsidRPr="00CC19F7">
        <w:t xml:space="preserve">Departementet viser til omtale i </w:t>
      </w:r>
      <w:proofErr w:type="spellStart"/>
      <w:r w:rsidRPr="00CC19F7">
        <w:t>Prop</w:t>
      </w:r>
      <w:proofErr w:type="spellEnd"/>
      <w:r w:rsidRPr="00CC19F7">
        <w:t xml:space="preserve">. 1 S (2022–2023), kapittel 9.7 Evaluering av strømstønadsordninger, side 178 i Del III, om </w:t>
      </w:r>
      <w:proofErr w:type="spellStart"/>
      <w:r w:rsidRPr="00CC19F7">
        <w:t>moglegheita</w:t>
      </w:r>
      <w:proofErr w:type="spellEnd"/>
      <w:r w:rsidRPr="00CC19F7">
        <w:t xml:space="preserve"> for at straumstønadsordninga for </w:t>
      </w:r>
      <w:proofErr w:type="spellStart"/>
      <w:r w:rsidRPr="00CC19F7">
        <w:t>hushaldningar</w:t>
      </w:r>
      <w:proofErr w:type="spellEnd"/>
      <w:r w:rsidRPr="00CC19F7">
        <w:t xml:space="preserve"> kan ta omsyn til straumavtalen til </w:t>
      </w:r>
      <w:proofErr w:type="spellStart"/>
      <w:r w:rsidRPr="00CC19F7">
        <w:t>kundane</w:t>
      </w:r>
      <w:proofErr w:type="spellEnd"/>
      <w:r w:rsidRPr="00CC19F7">
        <w:t xml:space="preserve">. Departementet tilrådde at det på </w:t>
      </w:r>
      <w:proofErr w:type="spellStart"/>
      <w:r w:rsidRPr="00CC19F7">
        <w:t>daverande</w:t>
      </w:r>
      <w:proofErr w:type="spellEnd"/>
      <w:r w:rsidRPr="00CC19F7">
        <w:t xml:space="preserve"> tidspunkt </w:t>
      </w:r>
      <w:proofErr w:type="spellStart"/>
      <w:r w:rsidRPr="00CC19F7">
        <w:t>ikkje</w:t>
      </w:r>
      <w:proofErr w:type="spellEnd"/>
      <w:r w:rsidRPr="00CC19F7">
        <w:t xml:space="preserve"> blei gjort </w:t>
      </w:r>
      <w:proofErr w:type="spellStart"/>
      <w:r w:rsidRPr="00CC19F7">
        <w:t>endringar</w:t>
      </w:r>
      <w:proofErr w:type="spellEnd"/>
      <w:r w:rsidRPr="00CC19F7">
        <w:t xml:space="preserve"> i straumstønadsordninga for å ta omsyn til at </w:t>
      </w:r>
      <w:proofErr w:type="spellStart"/>
      <w:r w:rsidRPr="00CC19F7">
        <w:t>eit</w:t>
      </w:r>
      <w:proofErr w:type="spellEnd"/>
      <w:r w:rsidRPr="00CC19F7">
        <w:t xml:space="preserve"> </w:t>
      </w:r>
      <w:proofErr w:type="spellStart"/>
      <w:r w:rsidRPr="00CC19F7">
        <w:t>fåtal</w:t>
      </w:r>
      <w:proofErr w:type="spellEnd"/>
      <w:r w:rsidRPr="00CC19F7">
        <w:t xml:space="preserve"> </w:t>
      </w:r>
      <w:proofErr w:type="spellStart"/>
      <w:r w:rsidRPr="00CC19F7">
        <w:t>kundar</w:t>
      </w:r>
      <w:proofErr w:type="spellEnd"/>
      <w:r w:rsidRPr="00CC19F7">
        <w:t xml:space="preserve"> hadde gunstige </w:t>
      </w:r>
      <w:proofErr w:type="spellStart"/>
      <w:r w:rsidRPr="00CC19F7">
        <w:t>fastprisavtalar</w:t>
      </w:r>
      <w:proofErr w:type="spellEnd"/>
      <w:r w:rsidRPr="00CC19F7">
        <w:t xml:space="preserve">. Vedtaket gjeld </w:t>
      </w:r>
      <w:proofErr w:type="spellStart"/>
      <w:r w:rsidRPr="00CC19F7">
        <w:t>hushaldningar</w:t>
      </w:r>
      <w:proofErr w:type="spellEnd"/>
      <w:r w:rsidRPr="00CC19F7">
        <w:t xml:space="preserve"> som kjøper </w:t>
      </w:r>
      <w:proofErr w:type="spellStart"/>
      <w:r w:rsidRPr="00CC19F7">
        <w:t>rimeleg</w:t>
      </w:r>
      <w:proofErr w:type="spellEnd"/>
      <w:r w:rsidRPr="00CC19F7">
        <w:t xml:space="preserve"> konsesjonskraft </w:t>
      </w:r>
      <w:proofErr w:type="spellStart"/>
      <w:r w:rsidRPr="00CC19F7">
        <w:t>frå</w:t>
      </w:r>
      <w:proofErr w:type="spellEnd"/>
      <w:r w:rsidRPr="00CC19F7">
        <w:t xml:space="preserve"> kommunen. Departementet vil vurdere om, og eventuelt korleis, straumstønadsordninga kan </w:t>
      </w:r>
      <w:proofErr w:type="spellStart"/>
      <w:r w:rsidRPr="00CC19F7">
        <w:t>avgrensast</w:t>
      </w:r>
      <w:proofErr w:type="spellEnd"/>
      <w:r w:rsidRPr="00CC19F7">
        <w:t xml:space="preserve"> mot </w:t>
      </w:r>
      <w:proofErr w:type="spellStart"/>
      <w:r w:rsidRPr="00CC19F7">
        <w:t>hushaldningar</w:t>
      </w:r>
      <w:proofErr w:type="spellEnd"/>
      <w:r w:rsidRPr="00CC19F7">
        <w:t xml:space="preserve"> som kjøper </w:t>
      </w:r>
      <w:proofErr w:type="spellStart"/>
      <w:r w:rsidRPr="00CC19F7">
        <w:t>rimeleg</w:t>
      </w:r>
      <w:proofErr w:type="spellEnd"/>
      <w:r w:rsidRPr="00CC19F7">
        <w:t xml:space="preserve"> konsesjonskraft </w:t>
      </w:r>
      <w:proofErr w:type="spellStart"/>
      <w:r w:rsidRPr="00CC19F7">
        <w:t>frå</w:t>
      </w:r>
      <w:proofErr w:type="spellEnd"/>
      <w:r w:rsidRPr="00CC19F7">
        <w:t xml:space="preserve"> kommunen.</w:t>
      </w:r>
    </w:p>
    <w:p w14:paraId="5CD9B1AD" w14:textId="77777777" w:rsidR="00FE02EF" w:rsidRPr="00CC19F7" w:rsidRDefault="00881E58" w:rsidP="00CC19F7">
      <w:r w:rsidRPr="00CC19F7">
        <w:t>Departementet vil komme tilbake til Stortinget på eigna måte.</w:t>
      </w:r>
    </w:p>
    <w:p w14:paraId="26821736" w14:textId="77777777" w:rsidR="00FE02EF" w:rsidRPr="00CC19F7" w:rsidRDefault="00881E58" w:rsidP="00CC19F7">
      <w:pPr>
        <w:pStyle w:val="avsnitt-tittel"/>
      </w:pPr>
      <w:r w:rsidRPr="00CC19F7">
        <w:t>Inkludere bakkemonterte solenergianlegg i plan- og bygningslova</w:t>
      </w:r>
    </w:p>
    <w:p w14:paraId="67C13287" w14:textId="77777777" w:rsidR="00FE02EF" w:rsidRPr="00CC19F7" w:rsidRDefault="00881E58" w:rsidP="00CC19F7">
      <w:pPr>
        <w:pStyle w:val="avsnitt-undertittel"/>
      </w:pPr>
      <w:r w:rsidRPr="00CC19F7">
        <w:t>Vedtak 813, 9. juni 2023</w:t>
      </w:r>
    </w:p>
    <w:p w14:paraId="79BC62EB" w14:textId="77777777" w:rsidR="00FE02EF" w:rsidRPr="00CC19F7" w:rsidRDefault="00881E58" w:rsidP="00CC19F7">
      <w:pPr>
        <w:pStyle w:val="blokksit"/>
      </w:pPr>
      <w:r w:rsidRPr="00CC19F7">
        <w:t>«</w:t>
      </w:r>
      <w:r w:rsidRPr="00CC19F7">
        <w:rPr>
          <w:rStyle w:val="kursiv"/>
        </w:rPr>
        <w:t>Stortinget ber regjeringen fremme et forslag til hvordan bakkemonterte solenergianlegg kan inkluderes i plan- og bygningsloven, senest innen utgangen av 2023.</w:t>
      </w:r>
      <w:r w:rsidRPr="00CC19F7">
        <w:t>»</w:t>
      </w:r>
    </w:p>
    <w:p w14:paraId="4B2BD791" w14:textId="77777777" w:rsidR="00FE02EF" w:rsidRPr="00CC19F7" w:rsidRDefault="00881E58" w:rsidP="00CC19F7">
      <w:r w:rsidRPr="00CC19F7">
        <w:t xml:space="preserve">Dokumenta som ligg til grunn for vedtaket er </w:t>
      </w:r>
      <w:proofErr w:type="spellStart"/>
      <w:r w:rsidRPr="00CC19F7">
        <w:t>Prop</w:t>
      </w:r>
      <w:proofErr w:type="spellEnd"/>
      <w:r w:rsidRPr="00CC19F7">
        <w:t xml:space="preserve">. 111 L (2022–2023), </w:t>
      </w:r>
      <w:proofErr w:type="spellStart"/>
      <w:r w:rsidRPr="00CC19F7">
        <w:t>Innst</w:t>
      </w:r>
      <w:proofErr w:type="spellEnd"/>
      <w:r w:rsidRPr="00CC19F7">
        <w:t>. 483 L (2022–2023) og Lovvedtak 120 (2022–2023).</w:t>
      </w:r>
    </w:p>
    <w:p w14:paraId="6BF9BBCD" w14:textId="77777777" w:rsidR="00FE02EF" w:rsidRPr="00CC19F7" w:rsidRDefault="00881E58" w:rsidP="00CC19F7">
      <w:r w:rsidRPr="00CC19F7">
        <w:t xml:space="preserve">Ved Stortingets behandling av </w:t>
      </w:r>
      <w:proofErr w:type="spellStart"/>
      <w:r w:rsidRPr="00CC19F7">
        <w:t>Prop</w:t>
      </w:r>
      <w:proofErr w:type="spellEnd"/>
      <w:r w:rsidRPr="00CC19F7">
        <w:t xml:space="preserve">. 111 L (2022–2023) blei det fastsett at vindkraft på land i større grad enn </w:t>
      </w:r>
      <w:proofErr w:type="spellStart"/>
      <w:r w:rsidRPr="00CC19F7">
        <w:t>tidlegare</w:t>
      </w:r>
      <w:proofErr w:type="spellEnd"/>
      <w:r w:rsidRPr="00CC19F7">
        <w:t xml:space="preserve"> skal </w:t>
      </w:r>
      <w:proofErr w:type="spellStart"/>
      <w:r w:rsidRPr="00CC19F7">
        <w:t>behandlast</w:t>
      </w:r>
      <w:proofErr w:type="spellEnd"/>
      <w:r w:rsidRPr="00CC19F7">
        <w:t xml:space="preserve"> etter plan- og bygningslova, mellom anna må kommunen ha vedtatt ei overordna områderegulering før konsesjon etter energilova kan bli gitt. Departementet har bedt NVE vurdere om </w:t>
      </w:r>
      <w:proofErr w:type="spellStart"/>
      <w:r w:rsidRPr="00CC19F7">
        <w:t>dei</w:t>
      </w:r>
      <w:proofErr w:type="spellEnd"/>
      <w:r w:rsidRPr="00CC19F7">
        <w:t xml:space="preserve"> same </w:t>
      </w:r>
      <w:proofErr w:type="spellStart"/>
      <w:r w:rsidRPr="00CC19F7">
        <w:t>reglane</w:t>
      </w:r>
      <w:proofErr w:type="spellEnd"/>
      <w:r w:rsidRPr="00CC19F7">
        <w:t xml:space="preserve"> er eigna for konsesjonspliktige bakkemonterte solkraftanlegg.</w:t>
      </w:r>
    </w:p>
    <w:p w14:paraId="66A6976A" w14:textId="77777777" w:rsidR="00FE02EF" w:rsidRPr="00CC19F7" w:rsidRDefault="00881E58" w:rsidP="00CC19F7">
      <w:r w:rsidRPr="00CC19F7">
        <w:t>Departementet vil komme tilbake til Stortinget på eigna måte.</w:t>
      </w:r>
    </w:p>
    <w:p w14:paraId="200BA5BC" w14:textId="77777777" w:rsidR="00FE02EF" w:rsidRPr="00CC19F7" w:rsidRDefault="00881E58" w:rsidP="00CC19F7">
      <w:pPr>
        <w:pStyle w:val="avsnitt-tittel"/>
      </w:pPr>
      <w:r w:rsidRPr="00CC19F7">
        <w:t xml:space="preserve">Havvind – elektrifisering av </w:t>
      </w:r>
      <w:proofErr w:type="spellStart"/>
      <w:r w:rsidRPr="00CC19F7">
        <w:t>oljeinstallasjonar</w:t>
      </w:r>
      <w:proofErr w:type="spellEnd"/>
    </w:p>
    <w:p w14:paraId="79E1EA2C" w14:textId="77777777" w:rsidR="00FE02EF" w:rsidRPr="00CC19F7" w:rsidRDefault="00881E58" w:rsidP="00CC19F7">
      <w:pPr>
        <w:pStyle w:val="avsnitt-undertittel"/>
      </w:pPr>
      <w:r w:rsidRPr="00CC19F7">
        <w:t>Vedtak 836, 14. juni 2023</w:t>
      </w:r>
    </w:p>
    <w:p w14:paraId="6AE181C2" w14:textId="77777777" w:rsidR="00FE02EF" w:rsidRPr="00CC19F7" w:rsidRDefault="00881E58" w:rsidP="00CC19F7">
      <w:pPr>
        <w:pStyle w:val="blokksit"/>
      </w:pPr>
      <w:r w:rsidRPr="00CC19F7">
        <w:t>«</w:t>
      </w:r>
      <w:r w:rsidRPr="00CC19F7">
        <w:rPr>
          <w:rStyle w:val="kursiv"/>
        </w:rPr>
        <w:t>Stortinget ber regjeringen utrede forslag om hvordan elektrifisering av oljeinstallasjoner kan gjøres i forbindelse med utbygginger av havvind og erstatte kraft som er hentet fra land.</w:t>
      </w:r>
      <w:r w:rsidRPr="00CC19F7">
        <w:t>»</w:t>
      </w:r>
    </w:p>
    <w:p w14:paraId="683BDF58" w14:textId="77777777" w:rsidR="00FE02EF" w:rsidRPr="00CC19F7" w:rsidRDefault="00881E58" w:rsidP="00CC19F7">
      <w:r w:rsidRPr="00CC19F7">
        <w:t xml:space="preserve">Dokumenta som ligg til grunn for vedtaket er </w:t>
      </w:r>
      <w:proofErr w:type="spellStart"/>
      <w:r w:rsidRPr="00CC19F7">
        <w:t>Prop</w:t>
      </w:r>
      <w:proofErr w:type="spellEnd"/>
      <w:r w:rsidRPr="00CC19F7">
        <w:t xml:space="preserve">. 93 S (2022–2023) og </w:t>
      </w:r>
      <w:proofErr w:type="spellStart"/>
      <w:r w:rsidRPr="00CC19F7">
        <w:t>Innst</w:t>
      </w:r>
      <w:proofErr w:type="spellEnd"/>
      <w:r w:rsidRPr="00CC19F7">
        <w:t>. 496 S (2022–2023).</w:t>
      </w:r>
    </w:p>
    <w:p w14:paraId="5BF41426" w14:textId="77777777" w:rsidR="00FE02EF" w:rsidRPr="00CC19F7" w:rsidRDefault="00881E58" w:rsidP="00CC19F7">
      <w:r w:rsidRPr="00CC19F7">
        <w:t>Departementet viser til oppmodingsvedtak 914, 16. juni 2023. Departementet vil komme tilbake til Stortinget på eigna måte.</w:t>
      </w:r>
    </w:p>
    <w:p w14:paraId="3DB5E633" w14:textId="77777777" w:rsidR="00FE02EF" w:rsidRPr="00CC19F7" w:rsidRDefault="00881E58" w:rsidP="00CC19F7">
      <w:pPr>
        <w:pStyle w:val="avsnitt-tittel"/>
      </w:pPr>
      <w:r w:rsidRPr="00CC19F7">
        <w:t>Havvind – kartlegging av havmiljø og sjøfugl</w:t>
      </w:r>
    </w:p>
    <w:p w14:paraId="064CF7B1" w14:textId="77777777" w:rsidR="00FE02EF" w:rsidRPr="00CC19F7" w:rsidRDefault="00881E58" w:rsidP="00CC19F7">
      <w:pPr>
        <w:pStyle w:val="avsnitt-undertittel"/>
      </w:pPr>
      <w:r w:rsidRPr="00CC19F7">
        <w:t>Vedtak 838, 14. juni 2023</w:t>
      </w:r>
    </w:p>
    <w:p w14:paraId="51C6E783" w14:textId="77777777" w:rsidR="00FE02EF" w:rsidRPr="00CC19F7" w:rsidRDefault="00881E58" w:rsidP="00CC19F7">
      <w:pPr>
        <w:pStyle w:val="blokksit"/>
      </w:pPr>
      <w:r w:rsidRPr="00CC19F7">
        <w:t>«</w:t>
      </w:r>
      <w:r w:rsidRPr="00CC19F7">
        <w:rPr>
          <w:rStyle w:val="kursiv"/>
        </w:rPr>
        <w:t xml:space="preserve">Stortinget ber regjeringen sikre at kartlegging av havmiljøet og sjøfugl </w:t>
      </w:r>
      <w:proofErr w:type="gramStart"/>
      <w:r w:rsidRPr="00CC19F7">
        <w:rPr>
          <w:rStyle w:val="kursiv"/>
        </w:rPr>
        <w:t>integreres</w:t>
      </w:r>
      <w:proofErr w:type="gramEnd"/>
      <w:r w:rsidRPr="00CC19F7">
        <w:rPr>
          <w:rStyle w:val="kursiv"/>
        </w:rPr>
        <w:t xml:space="preserve"> i beslutningsgrunnlaget fram mot konsesjonsbehandling for anlegg for kraftproduksjon til havs.</w:t>
      </w:r>
      <w:r w:rsidRPr="00CC19F7">
        <w:t>»</w:t>
      </w:r>
    </w:p>
    <w:p w14:paraId="56AC7EDB" w14:textId="77777777" w:rsidR="00FE02EF" w:rsidRPr="00CC19F7" w:rsidRDefault="00881E58" w:rsidP="00CC19F7">
      <w:r w:rsidRPr="00CC19F7">
        <w:t xml:space="preserve">Dokumenta som ligg til grunn for vedtaket er </w:t>
      </w:r>
      <w:proofErr w:type="spellStart"/>
      <w:r w:rsidRPr="00CC19F7">
        <w:t>Prop</w:t>
      </w:r>
      <w:proofErr w:type="spellEnd"/>
      <w:r w:rsidRPr="00CC19F7">
        <w:t xml:space="preserve">. 93 S (2022–2023) og </w:t>
      </w:r>
      <w:proofErr w:type="spellStart"/>
      <w:r w:rsidRPr="00CC19F7">
        <w:t>Innst</w:t>
      </w:r>
      <w:proofErr w:type="spellEnd"/>
      <w:r w:rsidRPr="00CC19F7">
        <w:t>. 496 S (2022–2023).</w:t>
      </w:r>
    </w:p>
    <w:p w14:paraId="328B7179" w14:textId="77777777" w:rsidR="00FE02EF" w:rsidRPr="00CC19F7" w:rsidRDefault="00881E58" w:rsidP="00CC19F7">
      <w:r w:rsidRPr="00CC19F7">
        <w:t xml:space="preserve">Som grunnlag for </w:t>
      </w:r>
      <w:proofErr w:type="spellStart"/>
      <w:r w:rsidRPr="00CC19F7">
        <w:t>opning</w:t>
      </w:r>
      <w:proofErr w:type="spellEnd"/>
      <w:r w:rsidRPr="00CC19F7">
        <w:t xml:space="preserve"> av områda Utsira Nord og </w:t>
      </w:r>
      <w:proofErr w:type="spellStart"/>
      <w:r w:rsidRPr="00CC19F7">
        <w:t>Sørlege</w:t>
      </w:r>
      <w:proofErr w:type="spellEnd"/>
      <w:r w:rsidRPr="00CC19F7">
        <w:t xml:space="preserve"> </w:t>
      </w:r>
      <w:proofErr w:type="spellStart"/>
      <w:r w:rsidRPr="00CC19F7">
        <w:t>Nordsjø</w:t>
      </w:r>
      <w:proofErr w:type="spellEnd"/>
      <w:r w:rsidRPr="00CC19F7">
        <w:t xml:space="preserve"> II er det gjennomført ei strategisk konsekvensutgreiing, der det mellom anna er gjort </w:t>
      </w:r>
      <w:proofErr w:type="spellStart"/>
      <w:r w:rsidRPr="00CC19F7">
        <w:t>utgreiingar</w:t>
      </w:r>
      <w:proofErr w:type="spellEnd"/>
      <w:r w:rsidRPr="00CC19F7">
        <w:t xml:space="preserve"> for sjøfugl, sjøpattedyr og botnsamfunn. Ifølge havenergilovforskrifta skal </w:t>
      </w:r>
      <w:proofErr w:type="spellStart"/>
      <w:r w:rsidRPr="00CC19F7">
        <w:t>tiltakshavaren</w:t>
      </w:r>
      <w:proofErr w:type="spellEnd"/>
      <w:r w:rsidRPr="00CC19F7">
        <w:t xml:space="preserve"> gjennomføre ei prosjektspesifikk konsekvensutgreiing før innsending av konsesjonssøknad. </w:t>
      </w:r>
      <w:proofErr w:type="spellStart"/>
      <w:r w:rsidRPr="00CC19F7">
        <w:t>Konsekvensar</w:t>
      </w:r>
      <w:proofErr w:type="spellEnd"/>
      <w:r w:rsidRPr="00CC19F7">
        <w:t xml:space="preserve"> for sjøfugl og havmiljøet av utbygginga er </w:t>
      </w:r>
      <w:proofErr w:type="spellStart"/>
      <w:r w:rsidRPr="00CC19F7">
        <w:t>noko</w:t>
      </w:r>
      <w:proofErr w:type="spellEnd"/>
      <w:r w:rsidRPr="00CC19F7">
        <w:t xml:space="preserve"> av det </w:t>
      </w:r>
      <w:proofErr w:type="spellStart"/>
      <w:r w:rsidRPr="00CC19F7">
        <w:t>tiltakshavaren</w:t>
      </w:r>
      <w:proofErr w:type="spellEnd"/>
      <w:r w:rsidRPr="00CC19F7">
        <w:t xml:space="preserve"> må </w:t>
      </w:r>
      <w:proofErr w:type="spellStart"/>
      <w:r w:rsidRPr="00CC19F7">
        <w:t>gjere</w:t>
      </w:r>
      <w:proofErr w:type="spellEnd"/>
      <w:r w:rsidRPr="00CC19F7">
        <w:t xml:space="preserve"> greie for i utgreiinga.</w:t>
      </w:r>
    </w:p>
    <w:p w14:paraId="2A8D0799" w14:textId="77777777" w:rsidR="00FE02EF" w:rsidRPr="00CC19F7" w:rsidRDefault="00881E58" w:rsidP="00CC19F7">
      <w:r w:rsidRPr="00CC19F7">
        <w:t xml:space="preserve">For å bidra til </w:t>
      </w:r>
      <w:proofErr w:type="spellStart"/>
      <w:r w:rsidRPr="00CC19F7">
        <w:t>eit</w:t>
      </w:r>
      <w:proofErr w:type="spellEnd"/>
      <w:r w:rsidRPr="00CC19F7">
        <w:t xml:space="preserve"> betre kunnskapsgrunnlag i oppstarten av </w:t>
      </w:r>
      <w:proofErr w:type="spellStart"/>
      <w:r w:rsidRPr="00CC19F7">
        <w:t>dei</w:t>
      </w:r>
      <w:proofErr w:type="spellEnd"/>
      <w:r w:rsidRPr="00CC19F7">
        <w:t xml:space="preserve"> første havvindprosjekta på norsk sokkel blei løyvinga til sjøfuglprogramma SEAPOP og SEATRACK </w:t>
      </w:r>
      <w:proofErr w:type="spellStart"/>
      <w:r w:rsidRPr="00CC19F7">
        <w:t>auka</w:t>
      </w:r>
      <w:proofErr w:type="spellEnd"/>
      <w:r w:rsidRPr="00CC19F7">
        <w:t xml:space="preserve"> i budsjettet for 2023. Løyvinga bidrar til å komme i gang med kartlegging av sjøfugl i </w:t>
      </w:r>
      <w:proofErr w:type="spellStart"/>
      <w:r w:rsidRPr="00CC19F7">
        <w:t>Sørlege</w:t>
      </w:r>
      <w:proofErr w:type="spellEnd"/>
      <w:r w:rsidRPr="00CC19F7">
        <w:t xml:space="preserve"> </w:t>
      </w:r>
      <w:proofErr w:type="spellStart"/>
      <w:r w:rsidRPr="00CC19F7">
        <w:t>Nordsjø</w:t>
      </w:r>
      <w:proofErr w:type="spellEnd"/>
      <w:r w:rsidRPr="00CC19F7">
        <w:t xml:space="preserve"> II og Utsira Nord. I tillegg har det </w:t>
      </w:r>
      <w:proofErr w:type="spellStart"/>
      <w:r w:rsidRPr="00CC19F7">
        <w:t>statlege</w:t>
      </w:r>
      <w:proofErr w:type="spellEnd"/>
      <w:r w:rsidRPr="00CC19F7">
        <w:t xml:space="preserve"> kartleggingsprogrammet MAREANO starta </w:t>
      </w:r>
      <w:proofErr w:type="spellStart"/>
      <w:r w:rsidRPr="00CC19F7">
        <w:t>undersøkingar</w:t>
      </w:r>
      <w:proofErr w:type="spellEnd"/>
      <w:r w:rsidRPr="00CC19F7">
        <w:t xml:space="preserve"> av havbotnen i Utsira Nord og planlegg å kartlegge </w:t>
      </w:r>
      <w:proofErr w:type="spellStart"/>
      <w:r w:rsidRPr="00CC19F7">
        <w:t>dei</w:t>
      </w:r>
      <w:proofErr w:type="spellEnd"/>
      <w:r w:rsidRPr="00CC19F7">
        <w:t xml:space="preserve"> aktuelle områda i </w:t>
      </w:r>
      <w:proofErr w:type="spellStart"/>
      <w:r w:rsidRPr="00CC19F7">
        <w:t>Sørlege</w:t>
      </w:r>
      <w:proofErr w:type="spellEnd"/>
      <w:r w:rsidRPr="00CC19F7">
        <w:t xml:space="preserve"> </w:t>
      </w:r>
      <w:proofErr w:type="spellStart"/>
      <w:r w:rsidRPr="00CC19F7">
        <w:t>Nordsjø</w:t>
      </w:r>
      <w:proofErr w:type="spellEnd"/>
      <w:r w:rsidRPr="00CC19F7">
        <w:t xml:space="preserve"> II i 2024. Som </w:t>
      </w:r>
      <w:proofErr w:type="spellStart"/>
      <w:r w:rsidRPr="00CC19F7">
        <w:t>ein</w:t>
      </w:r>
      <w:proofErr w:type="spellEnd"/>
      <w:r w:rsidRPr="00CC19F7">
        <w:t xml:space="preserve"> del av </w:t>
      </w:r>
      <w:proofErr w:type="spellStart"/>
      <w:r w:rsidRPr="00CC19F7">
        <w:t>opningsprosessen</w:t>
      </w:r>
      <w:proofErr w:type="spellEnd"/>
      <w:r w:rsidRPr="00CC19F7">
        <w:t xml:space="preserve"> og førebuing til havvindutlysinga i 2025 blir det under kap. 1850, post 21 Spesielle driftsutgifter mellom anna foreslått løyvd </w:t>
      </w:r>
      <w:proofErr w:type="spellStart"/>
      <w:r w:rsidRPr="00CC19F7">
        <w:t>midlar</w:t>
      </w:r>
      <w:proofErr w:type="spellEnd"/>
      <w:r w:rsidRPr="00CC19F7">
        <w:t xml:space="preserve"> til å gjennomføre </w:t>
      </w:r>
      <w:proofErr w:type="spellStart"/>
      <w:r w:rsidRPr="00CC19F7">
        <w:t>feltundersøkingar</w:t>
      </w:r>
      <w:proofErr w:type="spellEnd"/>
      <w:r w:rsidRPr="00CC19F7">
        <w:t xml:space="preserve"> som </w:t>
      </w:r>
      <w:proofErr w:type="spellStart"/>
      <w:r w:rsidRPr="00CC19F7">
        <w:t>aukar</w:t>
      </w:r>
      <w:proofErr w:type="spellEnd"/>
      <w:r w:rsidRPr="00CC19F7">
        <w:t xml:space="preserve"> kunnskapsnivået om </w:t>
      </w:r>
      <w:proofErr w:type="spellStart"/>
      <w:r w:rsidRPr="00CC19F7">
        <w:t>naturmangfald</w:t>
      </w:r>
      <w:proofErr w:type="spellEnd"/>
      <w:r w:rsidRPr="00CC19F7">
        <w:t xml:space="preserve"> og miljø i </w:t>
      </w:r>
      <w:proofErr w:type="spellStart"/>
      <w:r w:rsidRPr="00CC19F7">
        <w:t>dei</w:t>
      </w:r>
      <w:proofErr w:type="spellEnd"/>
      <w:r w:rsidRPr="00CC19F7">
        <w:t xml:space="preserve"> aktuelle områda, jf. omtale under oppfølging av oppmodingsvedtak 839, 14. juni 2023. </w:t>
      </w:r>
      <w:proofErr w:type="spellStart"/>
      <w:r w:rsidRPr="00CC19F7">
        <w:t>Vidare</w:t>
      </w:r>
      <w:proofErr w:type="spellEnd"/>
      <w:r w:rsidRPr="00CC19F7">
        <w:t xml:space="preserve"> er løyvinga til sjøfuglprogramma SEAPOP og SEATRACK foreslått </w:t>
      </w:r>
      <w:proofErr w:type="spellStart"/>
      <w:r w:rsidRPr="00CC19F7">
        <w:t>auka</w:t>
      </w:r>
      <w:proofErr w:type="spellEnd"/>
      <w:r w:rsidRPr="00CC19F7">
        <w:t xml:space="preserve"> </w:t>
      </w:r>
      <w:proofErr w:type="spellStart"/>
      <w:r w:rsidRPr="00CC19F7">
        <w:t>ytterlegare</w:t>
      </w:r>
      <w:proofErr w:type="spellEnd"/>
      <w:r w:rsidRPr="00CC19F7">
        <w:t xml:space="preserve"> i budsjettet for 2024, jf. kap. 1850, post 50.</w:t>
      </w:r>
    </w:p>
    <w:p w14:paraId="7F694DD9" w14:textId="77777777" w:rsidR="00FE02EF" w:rsidRPr="00CC19F7" w:rsidRDefault="00881E58" w:rsidP="00CC19F7">
      <w:r w:rsidRPr="00CC19F7">
        <w:t xml:space="preserve">Departementet </w:t>
      </w:r>
      <w:proofErr w:type="spellStart"/>
      <w:r w:rsidRPr="00CC19F7">
        <w:t>reknar</w:t>
      </w:r>
      <w:proofErr w:type="spellEnd"/>
      <w:r w:rsidRPr="00CC19F7">
        <w:t xml:space="preserve"> med dette oppmodingsvedtaket som </w:t>
      </w:r>
      <w:proofErr w:type="spellStart"/>
      <w:r w:rsidRPr="00CC19F7">
        <w:t>følgt</w:t>
      </w:r>
      <w:proofErr w:type="spellEnd"/>
      <w:r w:rsidRPr="00CC19F7">
        <w:t xml:space="preserve"> opp.</w:t>
      </w:r>
    </w:p>
    <w:p w14:paraId="05DC72CD" w14:textId="77777777" w:rsidR="00FE02EF" w:rsidRPr="00CC19F7" w:rsidRDefault="00881E58" w:rsidP="00CC19F7">
      <w:pPr>
        <w:pStyle w:val="avsnitt-tittel"/>
      </w:pPr>
      <w:r w:rsidRPr="00CC19F7">
        <w:t xml:space="preserve">Havvind – </w:t>
      </w:r>
      <w:proofErr w:type="spellStart"/>
      <w:r w:rsidRPr="00CC19F7">
        <w:t>heilskapleg</w:t>
      </w:r>
      <w:proofErr w:type="spellEnd"/>
      <w:r w:rsidRPr="00CC19F7">
        <w:t xml:space="preserve"> plan for naturkartlegging</w:t>
      </w:r>
    </w:p>
    <w:p w14:paraId="752CC46A" w14:textId="77777777" w:rsidR="00FE02EF" w:rsidRPr="00CC19F7" w:rsidRDefault="00881E58" w:rsidP="00CC19F7">
      <w:pPr>
        <w:pStyle w:val="avsnitt-undertittel"/>
      </w:pPr>
      <w:r w:rsidRPr="00CC19F7">
        <w:t>Vedtak 839, 14. juni 2023</w:t>
      </w:r>
    </w:p>
    <w:p w14:paraId="5177FB36" w14:textId="77777777" w:rsidR="00FE02EF" w:rsidRPr="00CC19F7" w:rsidRDefault="00881E58" w:rsidP="00CC19F7">
      <w:pPr>
        <w:pStyle w:val="blokksit"/>
      </w:pPr>
      <w:r w:rsidRPr="00CC19F7">
        <w:t>«</w:t>
      </w:r>
      <w:r w:rsidRPr="00CC19F7">
        <w:rPr>
          <w:rStyle w:val="kursiv"/>
        </w:rPr>
        <w:t>Stortinget ber regjeringen, senest i forbindelse med statsbudsjettet for 2024, legge fram en helhetlig plan for naturkartlegging for de områdene som blir aktuelle for havvindutbygging.</w:t>
      </w:r>
      <w:r w:rsidRPr="00CC19F7">
        <w:t>»</w:t>
      </w:r>
    </w:p>
    <w:p w14:paraId="02ED2541" w14:textId="77777777" w:rsidR="00FE02EF" w:rsidRPr="00CC19F7" w:rsidRDefault="00881E58" w:rsidP="00CC19F7">
      <w:r w:rsidRPr="00CC19F7">
        <w:t xml:space="preserve">Dokumenta som ligg til grunn for vedtaket er </w:t>
      </w:r>
      <w:proofErr w:type="spellStart"/>
      <w:r w:rsidRPr="00CC19F7">
        <w:t>Prop</w:t>
      </w:r>
      <w:proofErr w:type="spellEnd"/>
      <w:r w:rsidRPr="00CC19F7">
        <w:t xml:space="preserve">. 93 S (2022–2023) og </w:t>
      </w:r>
      <w:proofErr w:type="spellStart"/>
      <w:r w:rsidRPr="00CC19F7">
        <w:t>Innst</w:t>
      </w:r>
      <w:proofErr w:type="spellEnd"/>
      <w:r w:rsidRPr="00CC19F7">
        <w:t>. 496 S (2022–2023).</w:t>
      </w:r>
    </w:p>
    <w:p w14:paraId="5EBAF1E6" w14:textId="77777777" w:rsidR="00FE02EF" w:rsidRPr="00CC19F7" w:rsidRDefault="00881E58" w:rsidP="00CC19F7">
      <w:r w:rsidRPr="00CC19F7">
        <w:t xml:space="preserve">Av havenergilova § 2-2 følger det at etablering av fornybar energiproduksjon til havs </w:t>
      </w:r>
      <w:proofErr w:type="spellStart"/>
      <w:r w:rsidRPr="00CC19F7">
        <w:t>berre</w:t>
      </w:r>
      <w:proofErr w:type="spellEnd"/>
      <w:r w:rsidRPr="00CC19F7">
        <w:t xml:space="preserve"> kan skje etter at Kongen i statsråd har </w:t>
      </w:r>
      <w:proofErr w:type="spellStart"/>
      <w:r w:rsidRPr="00CC19F7">
        <w:t>opna</w:t>
      </w:r>
      <w:proofErr w:type="spellEnd"/>
      <w:r w:rsidRPr="00CC19F7">
        <w:t xml:space="preserve"> bestemte geografiske område for søknader om konsesjon.</w:t>
      </w:r>
    </w:p>
    <w:p w14:paraId="44DEE2BE" w14:textId="77777777" w:rsidR="00FE02EF" w:rsidRPr="00CC19F7" w:rsidRDefault="00881E58" w:rsidP="00CC19F7">
      <w:r w:rsidRPr="00CC19F7">
        <w:t xml:space="preserve">NVE blei i 2022 bedt om å identifisere nye område for havvind og utarbeide </w:t>
      </w:r>
      <w:proofErr w:type="spellStart"/>
      <w:r w:rsidRPr="00CC19F7">
        <w:t>eit</w:t>
      </w:r>
      <w:proofErr w:type="spellEnd"/>
      <w:r w:rsidRPr="00CC19F7">
        <w:t xml:space="preserve"> forslag til utgreiingsprogram for strategisk konsekvensutgreiing i tråd med havenergilova § 2-2. NVE leverte våren 2023, </w:t>
      </w:r>
      <w:proofErr w:type="spellStart"/>
      <w:r w:rsidRPr="00CC19F7">
        <w:t>saman</w:t>
      </w:r>
      <w:proofErr w:type="spellEnd"/>
      <w:r w:rsidRPr="00CC19F7">
        <w:t xml:space="preserve"> med ei </w:t>
      </w:r>
      <w:proofErr w:type="spellStart"/>
      <w:r w:rsidRPr="00CC19F7">
        <w:t>direktoratsgruppe</w:t>
      </w:r>
      <w:proofErr w:type="spellEnd"/>
      <w:r w:rsidRPr="00CC19F7">
        <w:t>, forslag til 20 område som kan eigne seg for vindkraft til havs.</w:t>
      </w:r>
    </w:p>
    <w:p w14:paraId="35AD69DE" w14:textId="77777777" w:rsidR="00FE02EF" w:rsidRPr="00CC19F7" w:rsidRDefault="00881E58" w:rsidP="00CC19F7">
      <w:r w:rsidRPr="00CC19F7">
        <w:t xml:space="preserve">NVE har </w:t>
      </w:r>
      <w:proofErr w:type="spellStart"/>
      <w:r w:rsidRPr="00CC19F7">
        <w:t>saman</w:t>
      </w:r>
      <w:proofErr w:type="spellEnd"/>
      <w:r w:rsidRPr="00CC19F7">
        <w:t xml:space="preserve"> med </w:t>
      </w:r>
      <w:proofErr w:type="spellStart"/>
      <w:r w:rsidRPr="00CC19F7">
        <w:t>direktoratsgruppa</w:t>
      </w:r>
      <w:proofErr w:type="spellEnd"/>
      <w:r w:rsidRPr="00CC19F7">
        <w:t xml:space="preserve">, og med </w:t>
      </w:r>
      <w:proofErr w:type="spellStart"/>
      <w:r w:rsidRPr="00CC19F7">
        <w:t>innspel</w:t>
      </w:r>
      <w:proofErr w:type="spellEnd"/>
      <w:r w:rsidRPr="00CC19F7">
        <w:t xml:space="preserve"> </w:t>
      </w:r>
      <w:proofErr w:type="spellStart"/>
      <w:r w:rsidRPr="00CC19F7">
        <w:t>frå</w:t>
      </w:r>
      <w:proofErr w:type="spellEnd"/>
      <w:r w:rsidRPr="00CC19F7">
        <w:t xml:space="preserve"> Havforskingsinstituttet, </w:t>
      </w:r>
      <w:proofErr w:type="spellStart"/>
      <w:r w:rsidRPr="00CC19F7">
        <w:t>peika</w:t>
      </w:r>
      <w:proofErr w:type="spellEnd"/>
      <w:r w:rsidRPr="00CC19F7">
        <w:t xml:space="preserve"> på </w:t>
      </w:r>
      <w:proofErr w:type="spellStart"/>
      <w:r w:rsidRPr="00CC19F7">
        <w:t>kunnskapsmanglar</w:t>
      </w:r>
      <w:proofErr w:type="spellEnd"/>
      <w:r w:rsidRPr="00CC19F7">
        <w:t xml:space="preserve"> for mellom anna fisk og sjøpattedyr. </w:t>
      </w:r>
      <w:proofErr w:type="spellStart"/>
      <w:r w:rsidRPr="00CC19F7">
        <w:t>Kunnskapsmanglane</w:t>
      </w:r>
      <w:proofErr w:type="spellEnd"/>
      <w:r w:rsidRPr="00CC19F7">
        <w:t xml:space="preserve"> er knytte til korleis fisk og sjøpattedyr bruker havområda som er aktuelle for havvind, og korleis </w:t>
      </w:r>
      <w:proofErr w:type="spellStart"/>
      <w:r w:rsidRPr="00CC19F7">
        <w:t>dei</w:t>
      </w:r>
      <w:proofErr w:type="spellEnd"/>
      <w:r w:rsidRPr="00CC19F7">
        <w:t xml:space="preserve"> blir </w:t>
      </w:r>
      <w:proofErr w:type="spellStart"/>
      <w:r w:rsidRPr="00CC19F7">
        <w:t>påverka</w:t>
      </w:r>
      <w:proofErr w:type="spellEnd"/>
      <w:r w:rsidRPr="00CC19F7">
        <w:t xml:space="preserve"> av støy, elektromagnetisme og </w:t>
      </w:r>
      <w:proofErr w:type="spellStart"/>
      <w:r w:rsidRPr="00CC19F7">
        <w:t>habitatsendringar</w:t>
      </w:r>
      <w:proofErr w:type="spellEnd"/>
      <w:r w:rsidRPr="00CC19F7">
        <w:t xml:space="preserve"> som følge av havvind. For å få </w:t>
      </w:r>
      <w:proofErr w:type="spellStart"/>
      <w:r w:rsidRPr="00CC19F7">
        <w:t>tilstrekkeleg</w:t>
      </w:r>
      <w:proofErr w:type="spellEnd"/>
      <w:r w:rsidRPr="00CC19F7">
        <w:t xml:space="preserve"> kunnskap om korleis fisk og sjøpattedyr blir </w:t>
      </w:r>
      <w:proofErr w:type="spellStart"/>
      <w:r w:rsidRPr="00CC19F7">
        <w:t>påverka</w:t>
      </w:r>
      <w:proofErr w:type="spellEnd"/>
      <w:r w:rsidRPr="00CC19F7">
        <w:t xml:space="preserve"> av havvind, er det behov for </w:t>
      </w:r>
      <w:proofErr w:type="spellStart"/>
      <w:r w:rsidRPr="00CC19F7">
        <w:t>undersøkingar</w:t>
      </w:r>
      <w:proofErr w:type="spellEnd"/>
      <w:r w:rsidRPr="00CC19F7">
        <w:t xml:space="preserve"> før vindkraftverka blir installerte og sette i drift.</w:t>
      </w:r>
    </w:p>
    <w:p w14:paraId="58C33121" w14:textId="77777777" w:rsidR="00FE02EF" w:rsidRPr="00CC19F7" w:rsidRDefault="00881E58" w:rsidP="00CC19F7">
      <w:r w:rsidRPr="00CC19F7">
        <w:t xml:space="preserve">Som </w:t>
      </w:r>
      <w:proofErr w:type="spellStart"/>
      <w:r w:rsidRPr="00CC19F7">
        <w:t>ein</w:t>
      </w:r>
      <w:proofErr w:type="spellEnd"/>
      <w:r w:rsidRPr="00CC19F7">
        <w:t xml:space="preserve"> del av </w:t>
      </w:r>
      <w:proofErr w:type="spellStart"/>
      <w:r w:rsidRPr="00CC19F7">
        <w:t>opningsprosessen</w:t>
      </w:r>
      <w:proofErr w:type="spellEnd"/>
      <w:r w:rsidRPr="00CC19F7">
        <w:t xml:space="preserve"> og førebuing til havvindutlysinga i 2025 foreslår Olje- og energidepartementet derfor å gjennomføre </w:t>
      </w:r>
      <w:proofErr w:type="spellStart"/>
      <w:r w:rsidRPr="00CC19F7">
        <w:t>feltundersøkingar</w:t>
      </w:r>
      <w:proofErr w:type="spellEnd"/>
      <w:r w:rsidRPr="00CC19F7">
        <w:t xml:space="preserve"> som </w:t>
      </w:r>
      <w:proofErr w:type="spellStart"/>
      <w:r w:rsidRPr="00CC19F7">
        <w:t>aukar</w:t>
      </w:r>
      <w:proofErr w:type="spellEnd"/>
      <w:r w:rsidRPr="00CC19F7">
        <w:t xml:space="preserve"> kunnskapsnivået om </w:t>
      </w:r>
      <w:proofErr w:type="spellStart"/>
      <w:r w:rsidRPr="00CC19F7">
        <w:t>naturmangfald</w:t>
      </w:r>
      <w:proofErr w:type="spellEnd"/>
      <w:r w:rsidRPr="00CC19F7">
        <w:t xml:space="preserve"> og miljø i </w:t>
      </w:r>
      <w:proofErr w:type="spellStart"/>
      <w:r w:rsidRPr="00CC19F7">
        <w:t>dei</w:t>
      </w:r>
      <w:proofErr w:type="spellEnd"/>
      <w:r w:rsidRPr="00CC19F7">
        <w:t xml:space="preserve"> områda som er aktuelle for utlysing i 2025. </w:t>
      </w:r>
      <w:proofErr w:type="spellStart"/>
      <w:r w:rsidRPr="00CC19F7">
        <w:t>Feltundersøkingane</w:t>
      </w:r>
      <w:proofErr w:type="spellEnd"/>
      <w:r w:rsidRPr="00CC19F7">
        <w:t xml:space="preserve"> regjeringa </w:t>
      </w:r>
      <w:proofErr w:type="spellStart"/>
      <w:r w:rsidRPr="00CC19F7">
        <w:t>føreslår</w:t>
      </w:r>
      <w:proofErr w:type="spellEnd"/>
      <w:r w:rsidRPr="00CC19F7">
        <w:t xml:space="preserve"> gjennomført er samla sett </w:t>
      </w:r>
      <w:proofErr w:type="spellStart"/>
      <w:r w:rsidRPr="00CC19F7">
        <w:t>ein</w:t>
      </w:r>
      <w:proofErr w:type="spellEnd"/>
      <w:r w:rsidRPr="00CC19F7">
        <w:t xml:space="preserve"> </w:t>
      </w:r>
      <w:proofErr w:type="spellStart"/>
      <w:r w:rsidRPr="00CC19F7">
        <w:t>heiskapeleg</w:t>
      </w:r>
      <w:proofErr w:type="spellEnd"/>
      <w:r w:rsidRPr="00CC19F7">
        <w:t xml:space="preserve"> plan for naturkartlegging. </w:t>
      </w:r>
      <w:proofErr w:type="spellStart"/>
      <w:r w:rsidRPr="00CC19F7">
        <w:t>Vidare</w:t>
      </w:r>
      <w:proofErr w:type="spellEnd"/>
      <w:r w:rsidRPr="00CC19F7">
        <w:t xml:space="preserve"> er det </w:t>
      </w:r>
      <w:proofErr w:type="spellStart"/>
      <w:r w:rsidRPr="00CC19F7">
        <w:t>naturleg</w:t>
      </w:r>
      <w:proofErr w:type="spellEnd"/>
      <w:r w:rsidRPr="00CC19F7">
        <w:t xml:space="preserve"> å </w:t>
      </w:r>
      <w:proofErr w:type="spellStart"/>
      <w:r w:rsidRPr="00CC19F7">
        <w:t>gjere</w:t>
      </w:r>
      <w:proofErr w:type="spellEnd"/>
      <w:r w:rsidRPr="00CC19F7">
        <w:t xml:space="preserve"> ei vurdering av den </w:t>
      </w:r>
      <w:proofErr w:type="spellStart"/>
      <w:r w:rsidRPr="00CC19F7">
        <w:t>heilskaplege</w:t>
      </w:r>
      <w:proofErr w:type="spellEnd"/>
      <w:r w:rsidRPr="00CC19F7">
        <w:t xml:space="preserve"> planen når vi ser kva område som blir aktuelle for havvind etter at den strategiske konsekvensutgreiinga er gjennomført. </w:t>
      </w:r>
      <w:proofErr w:type="spellStart"/>
      <w:r w:rsidRPr="00CC19F7">
        <w:t>Undersøkingane</w:t>
      </w:r>
      <w:proofErr w:type="spellEnd"/>
      <w:r w:rsidRPr="00CC19F7">
        <w:t xml:space="preserve"> vil dekke </w:t>
      </w:r>
      <w:proofErr w:type="spellStart"/>
      <w:r w:rsidRPr="00CC19F7">
        <w:t>naturmangfald</w:t>
      </w:r>
      <w:proofErr w:type="spellEnd"/>
      <w:r w:rsidRPr="00CC19F7">
        <w:t xml:space="preserve"> over vatn, på </w:t>
      </w:r>
      <w:proofErr w:type="spellStart"/>
      <w:r w:rsidRPr="00CC19F7">
        <w:t>sjøbotnen</w:t>
      </w:r>
      <w:proofErr w:type="spellEnd"/>
      <w:r w:rsidRPr="00CC19F7">
        <w:t xml:space="preserve"> og i havkolonnen. </w:t>
      </w:r>
      <w:proofErr w:type="spellStart"/>
      <w:r w:rsidRPr="00CC19F7">
        <w:t>Undersøkingar</w:t>
      </w:r>
      <w:proofErr w:type="spellEnd"/>
      <w:r w:rsidRPr="00CC19F7">
        <w:t xml:space="preserve"> for fugl </w:t>
      </w:r>
      <w:proofErr w:type="spellStart"/>
      <w:r w:rsidRPr="00CC19F7">
        <w:t>gjennomføras</w:t>
      </w:r>
      <w:proofErr w:type="spellEnd"/>
      <w:r w:rsidRPr="00CC19F7">
        <w:t xml:space="preserve"> av sjøfuglprogramma SEAPOP og SEATRACK gjennom ei </w:t>
      </w:r>
      <w:proofErr w:type="spellStart"/>
      <w:r w:rsidRPr="00CC19F7">
        <w:t>øyremerkt</w:t>
      </w:r>
      <w:proofErr w:type="spellEnd"/>
      <w:r w:rsidRPr="00CC19F7">
        <w:t xml:space="preserve"> løyving til Forskningsrådet. Havforskingsinstituttet og MAREANO-programmet er aktuelle </w:t>
      </w:r>
      <w:proofErr w:type="spellStart"/>
      <w:r w:rsidRPr="00CC19F7">
        <w:t>aktørar</w:t>
      </w:r>
      <w:proofErr w:type="spellEnd"/>
      <w:r w:rsidRPr="00CC19F7">
        <w:t xml:space="preserve"> som kan gjennomføre </w:t>
      </w:r>
      <w:proofErr w:type="spellStart"/>
      <w:r w:rsidRPr="00CC19F7">
        <w:t>undersøkingar</w:t>
      </w:r>
      <w:proofErr w:type="spellEnd"/>
      <w:r w:rsidRPr="00CC19F7">
        <w:t xml:space="preserve"> knytte til </w:t>
      </w:r>
      <w:proofErr w:type="spellStart"/>
      <w:r w:rsidRPr="00CC19F7">
        <w:t>høvesvis</w:t>
      </w:r>
      <w:proofErr w:type="spellEnd"/>
      <w:r w:rsidRPr="00CC19F7">
        <w:t xml:space="preserve"> fisk og sjøpattedyr og kartlegge botnsamfunn. Løyvinga som blir foreslått under kap. 1850, post 21 Spesielle driftsutgifter, skal mellom anna dekke </w:t>
      </w:r>
      <w:proofErr w:type="spellStart"/>
      <w:r w:rsidRPr="00CC19F7">
        <w:t>feltundersøkingar</w:t>
      </w:r>
      <w:proofErr w:type="spellEnd"/>
      <w:r w:rsidRPr="00CC19F7">
        <w:t xml:space="preserve">, jf. </w:t>
      </w:r>
      <w:proofErr w:type="spellStart"/>
      <w:r w:rsidRPr="00CC19F7">
        <w:t>nærmare</w:t>
      </w:r>
      <w:proofErr w:type="spellEnd"/>
      <w:r w:rsidRPr="00CC19F7">
        <w:t xml:space="preserve"> omtale under posten.</w:t>
      </w:r>
    </w:p>
    <w:p w14:paraId="5340A3C4" w14:textId="77777777" w:rsidR="00FE02EF" w:rsidRPr="00CC19F7" w:rsidRDefault="00881E58" w:rsidP="00CC19F7">
      <w:r w:rsidRPr="00CC19F7">
        <w:t xml:space="preserve">Løyvinga til sjøfuglprogrammet SEAPOP og SEATRACK blei </w:t>
      </w:r>
      <w:proofErr w:type="spellStart"/>
      <w:r w:rsidRPr="00CC19F7">
        <w:t>auka</w:t>
      </w:r>
      <w:proofErr w:type="spellEnd"/>
      <w:r w:rsidRPr="00CC19F7">
        <w:t xml:space="preserve"> med 10 mill. kroner i budsjettet for 2023. Auken har som formål å gi </w:t>
      </w:r>
      <w:proofErr w:type="spellStart"/>
      <w:r w:rsidRPr="00CC19F7">
        <w:t>meir</w:t>
      </w:r>
      <w:proofErr w:type="spellEnd"/>
      <w:r w:rsidRPr="00CC19F7">
        <w:t xml:space="preserve"> kunnskap om utbreiing, tilstand og utvikling av norske </w:t>
      </w:r>
      <w:proofErr w:type="spellStart"/>
      <w:r w:rsidRPr="00CC19F7">
        <w:t>sjøfuglbestandar</w:t>
      </w:r>
      <w:proofErr w:type="spellEnd"/>
      <w:r w:rsidRPr="00CC19F7">
        <w:t xml:space="preserve"> i lys av </w:t>
      </w:r>
      <w:proofErr w:type="spellStart"/>
      <w:r w:rsidRPr="00CC19F7">
        <w:t>menneskeleg</w:t>
      </w:r>
      <w:proofErr w:type="spellEnd"/>
      <w:r w:rsidRPr="00CC19F7">
        <w:t xml:space="preserve"> aktivitet i havområda og kystsona og dekker i stor grad nødvendige </w:t>
      </w:r>
      <w:proofErr w:type="spellStart"/>
      <w:r w:rsidRPr="00CC19F7">
        <w:t>undersøkingar</w:t>
      </w:r>
      <w:proofErr w:type="spellEnd"/>
      <w:r w:rsidRPr="00CC19F7">
        <w:t xml:space="preserve"> i områda som </w:t>
      </w:r>
      <w:proofErr w:type="spellStart"/>
      <w:r w:rsidRPr="00CC19F7">
        <w:t>allereie</w:t>
      </w:r>
      <w:proofErr w:type="spellEnd"/>
      <w:r w:rsidRPr="00CC19F7">
        <w:t xml:space="preserve"> er </w:t>
      </w:r>
      <w:proofErr w:type="spellStart"/>
      <w:r w:rsidRPr="00CC19F7">
        <w:t>opna</w:t>
      </w:r>
      <w:proofErr w:type="spellEnd"/>
      <w:r w:rsidRPr="00CC19F7">
        <w:t xml:space="preserve"> – </w:t>
      </w:r>
      <w:proofErr w:type="spellStart"/>
      <w:r w:rsidRPr="00CC19F7">
        <w:t>Sørlege</w:t>
      </w:r>
      <w:proofErr w:type="spellEnd"/>
      <w:r w:rsidRPr="00CC19F7">
        <w:t xml:space="preserve"> </w:t>
      </w:r>
      <w:proofErr w:type="spellStart"/>
      <w:r w:rsidRPr="00CC19F7">
        <w:t>Nordsjø</w:t>
      </w:r>
      <w:proofErr w:type="spellEnd"/>
      <w:r w:rsidRPr="00CC19F7">
        <w:t xml:space="preserve"> II og Utsira Nord. Løyvinga til sjøfuglprogramma SEAPOP og SEATRACK er foreslått </w:t>
      </w:r>
      <w:proofErr w:type="spellStart"/>
      <w:r w:rsidRPr="00CC19F7">
        <w:t>auka</w:t>
      </w:r>
      <w:proofErr w:type="spellEnd"/>
      <w:r w:rsidRPr="00CC19F7">
        <w:t xml:space="preserve"> </w:t>
      </w:r>
      <w:proofErr w:type="spellStart"/>
      <w:r w:rsidRPr="00CC19F7">
        <w:t>ytterlegare</w:t>
      </w:r>
      <w:proofErr w:type="spellEnd"/>
      <w:r w:rsidRPr="00CC19F7">
        <w:t xml:space="preserve"> i budsjettet for 2024, jf. kap. 1850, post 50.</w:t>
      </w:r>
    </w:p>
    <w:p w14:paraId="71D77BCE" w14:textId="77777777" w:rsidR="00FE02EF" w:rsidRPr="00CC19F7" w:rsidRDefault="00881E58" w:rsidP="00CC19F7">
      <w:r w:rsidRPr="00CC19F7">
        <w:t xml:space="preserve">Departementet </w:t>
      </w:r>
      <w:proofErr w:type="spellStart"/>
      <w:r w:rsidRPr="00CC19F7">
        <w:t>reknar</w:t>
      </w:r>
      <w:proofErr w:type="spellEnd"/>
      <w:r w:rsidRPr="00CC19F7">
        <w:t xml:space="preserve"> med dette oppmodingsvedtaket som </w:t>
      </w:r>
      <w:proofErr w:type="spellStart"/>
      <w:r w:rsidRPr="00CC19F7">
        <w:t>følgt</w:t>
      </w:r>
      <w:proofErr w:type="spellEnd"/>
      <w:r w:rsidRPr="00CC19F7">
        <w:t xml:space="preserve"> opp.</w:t>
      </w:r>
    </w:p>
    <w:p w14:paraId="72B5735C" w14:textId="77777777" w:rsidR="00FE02EF" w:rsidRPr="00CC19F7" w:rsidRDefault="00881E58" w:rsidP="00CC19F7">
      <w:pPr>
        <w:pStyle w:val="avsnitt-tittel"/>
      </w:pPr>
      <w:r w:rsidRPr="00CC19F7">
        <w:t xml:space="preserve">Havvind – følgeforsking i </w:t>
      </w:r>
      <w:proofErr w:type="spellStart"/>
      <w:r w:rsidRPr="00CC19F7">
        <w:t>Sørlege</w:t>
      </w:r>
      <w:proofErr w:type="spellEnd"/>
      <w:r w:rsidRPr="00CC19F7">
        <w:t xml:space="preserve"> </w:t>
      </w:r>
      <w:proofErr w:type="spellStart"/>
      <w:r w:rsidRPr="00CC19F7">
        <w:t>Nordsjø</w:t>
      </w:r>
      <w:proofErr w:type="spellEnd"/>
      <w:r w:rsidRPr="00CC19F7">
        <w:t xml:space="preserve"> II</w:t>
      </w:r>
    </w:p>
    <w:p w14:paraId="3617956C" w14:textId="77777777" w:rsidR="00FE02EF" w:rsidRPr="00CC19F7" w:rsidRDefault="00881E58" w:rsidP="00CC19F7">
      <w:pPr>
        <w:pStyle w:val="avsnitt-undertittel"/>
      </w:pPr>
      <w:r w:rsidRPr="00CC19F7">
        <w:t>Vedtak 840, 14. juni 2023</w:t>
      </w:r>
    </w:p>
    <w:p w14:paraId="41CC1398" w14:textId="77777777" w:rsidR="00FE02EF" w:rsidRPr="00CC19F7" w:rsidRDefault="00881E58" w:rsidP="00CC19F7">
      <w:pPr>
        <w:pStyle w:val="blokksit"/>
      </w:pPr>
      <w:r w:rsidRPr="00CC19F7">
        <w:t>«</w:t>
      </w:r>
      <w:r w:rsidRPr="00CC19F7">
        <w:rPr>
          <w:rStyle w:val="kursiv"/>
        </w:rPr>
        <w:t xml:space="preserve">Stortinget ber regjeringen legge til rette for at det gjennomføres følgeforskning i utbyggings- og driftsfasen av Sørlige </w:t>
      </w:r>
      <w:proofErr w:type="spellStart"/>
      <w:r w:rsidRPr="00CC19F7">
        <w:rPr>
          <w:rStyle w:val="kursiv"/>
        </w:rPr>
        <w:t>Nordsjø</w:t>
      </w:r>
      <w:proofErr w:type="spellEnd"/>
      <w:r w:rsidRPr="00CC19F7">
        <w:rPr>
          <w:rStyle w:val="kursiv"/>
        </w:rPr>
        <w:t xml:space="preserve"> II. Det skal legges vekt på havvindparkens påvirkning på natur og miljø, og at denne kunnskapen aktivt tas i bruk og </w:t>
      </w:r>
      <w:proofErr w:type="gramStart"/>
      <w:r w:rsidRPr="00CC19F7">
        <w:rPr>
          <w:rStyle w:val="kursiv"/>
        </w:rPr>
        <w:t>integreres</w:t>
      </w:r>
      <w:proofErr w:type="gramEnd"/>
      <w:r w:rsidRPr="00CC19F7">
        <w:rPr>
          <w:rStyle w:val="kursiv"/>
        </w:rPr>
        <w:t xml:space="preserve"> i det videre arbeidet med å følge opp god sameksistens og bærekraft innen havvind.</w:t>
      </w:r>
      <w:r w:rsidRPr="00CC19F7">
        <w:t>»</w:t>
      </w:r>
    </w:p>
    <w:p w14:paraId="4D18935F" w14:textId="77777777" w:rsidR="00FE02EF" w:rsidRPr="00CC19F7" w:rsidRDefault="00881E58" w:rsidP="00CC19F7">
      <w:r w:rsidRPr="00CC19F7">
        <w:t xml:space="preserve">Dokumenta som ligg til grunn for vedtaket er </w:t>
      </w:r>
      <w:proofErr w:type="spellStart"/>
      <w:r w:rsidRPr="00CC19F7">
        <w:t>Prop</w:t>
      </w:r>
      <w:proofErr w:type="spellEnd"/>
      <w:r w:rsidRPr="00CC19F7">
        <w:t xml:space="preserve">. 93 S (2022–2023) og </w:t>
      </w:r>
      <w:proofErr w:type="spellStart"/>
      <w:r w:rsidRPr="00CC19F7">
        <w:t>Innst</w:t>
      </w:r>
      <w:proofErr w:type="spellEnd"/>
      <w:r w:rsidRPr="00CC19F7">
        <w:t>. 496 S (2022–2023).</w:t>
      </w:r>
    </w:p>
    <w:p w14:paraId="42DA8598" w14:textId="77777777" w:rsidR="00FE02EF" w:rsidRPr="00CC19F7" w:rsidRDefault="00881E58" w:rsidP="00CC19F7">
      <w:r w:rsidRPr="00CC19F7">
        <w:t xml:space="preserve">Programmet ENERGIX i </w:t>
      </w:r>
      <w:proofErr w:type="spellStart"/>
      <w:r w:rsidRPr="00CC19F7">
        <w:t>Noregs</w:t>
      </w:r>
      <w:proofErr w:type="spellEnd"/>
      <w:r w:rsidRPr="00CC19F7">
        <w:t xml:space="preserve"> forskingsråd </w:t>
      </w:r>
      <w:proofErr w:type="spellStart"/>
      <w:r w:rsidRPr="00CC19F7">
        <w:t>støttar</w:t>
      </w:r>
      <w:proofErr w:type="spellEnd"/>
      <w:r w:rsidRPr="00CC19F7">
        <w:t xml:space="preserve"> forsking og utvikling på havvind, og departementet har etablert </w:t>
      </w:r>
      <w:proofErr w:type="spellStart"/>
      <w:r w:rsidRPr="00CC19F7">
        <w:t>eit</w:t>
      </w:r>
      <w:proofErr w:type="spellEnd"/>
      <w:r w:rsidRPr="00CC19F7">
        <w:t xml:space="preserve"> </w:t>
      </w:r>
      <w:proofErr w:type="spellStart"/>
      <w:r w:rsidRPr="00CC19F7">
        <w:t>miljøvennleg</w:t>
      </w:r>
      <w:proofErr w:type="spellEnd"/>
      <w:r w:rsidRPr="00CC19F7">
        <w:t xml:space="preserve"> forskingssenter </w:t>
      </w:r>
      <w:proofErr w:type="spellStart"/>
      <w:r w:rsidRPr="00CC19F7">
        <w:t>innan</w:t>
      </w:r>
      <w:proofErr w:type="spellEnd"/>
      <w:r w:rsidRPr="00CC19F7">
        <w:t xml:space="preserve"> havvind som </w:t>
      </w:r>
      <w:proofErr w:type="spellStart"/>
      <w:r w:rsidRPr="00CC19F7">
        <w:t>heiter</w:t>
      </w:r>
      <w:proofErr w:type="spellEnd"/>
      <w:r w:rsidRPr="00CC19F7">
        <w:t xml:space="preserve"> </w:t>
      </w:r>
      <w:proofErr w:type="spellStart"/>
      <w:r w:rsidRPr="00CC19F7">
        <w:t>Northwind</w:t>
      </w:r>
      <w:proofErr w:type="spellEnd"/>
      <w:r w:rsidRPr="00CC19F7">
        <w:t xml:space="preserve">. </w:t>
      </w:r>
      <w:proofErr w:type="spellStart"/>
      <w:r w:rsidRPr="00CC19F7">
        <w:t>Northwind</w:t>
      </w:r>
      <w:proofErr w:type="spellEnd"/>
      <w:r w:rsidRPr="00CC19F7">
        <w:t xml:space="preserve"> er leia av SINTEF. Senteret </w:t>
      </w:r>
      <w:proofErr w:type="spellStart"/>
      <w:r w:rsidRPr="00CC19F7">
        <w:t>forskar</w:t>
      </w:r>
      <w:proofErr w:type="spellEnd"/>
      <w:r w:rsidRPr="00CC19F7">
        <w:t xml:space="preserve"> på miljø og </w:t>
      </w:r>
      <w:proofErr w:type="spellStart"/>
      <w:r w:rsidRPr="00CC19F7">
        <w:t>samfunnsfaglege</w:t>
      </w:r>
      <w:proofErr w:type="spellEnd"/>
      <w:r w:rsidRPr="00CC19F7">
        <w:t xml:space="preserve"> og teknologiske spørsmål knytte til havvind. Forskingsprogrammet SEAPOP og SEATRACK blei </w:t>
      </w:r>
      <w:proofErr w:type="spellStart"/>
      <w:r w:rsidRPr="00CC19F7">
        <w:t>auka</w:t>
      </w:r>
      <w:proofErr w:type="spellEnd"/>
      <w:r w:rsidRPr="00CC19F7">
        <w:t xml:space="preserve"> til 13 mill. kroner i budsjettet for 2023 og er foreslått </w:t>
      </w:r>
      <w:proofErr w:type="spellStart"/>
      <w:r w:rsidRPr="00CC19F7">
        <w:t>auka</w:t>
      </w:r>
      <w:proofErr w:type="spellEnd"/>
      <w:r w:rsidRPr="00CC19F7">
        <w:t xml:space="preserve"> </w:t>
      </w:r>
      <w:proofErr w:type="spellStart"/>
      <w:r w:rsidRPr="00CC19F7">
        <w:t>ytterlegare</w:t>
      </w:r>
      <w:proofErr w:type="spellEnd"/>
      <w:r w:rsidRPr="00CC19F7">
        <w:t xml:space="preserve"> i budsjettet for 2024. Det bidrar til at verknadene av havvind på </w:t>
      </w:r>
      <w:proofErr w:type="spellStart"/>
      <w:r w:rsidRPr="00CC19F7">
        <w:t>bestandane</w:t>
      </w:r>
      <w:proofErr w:type="spellEnd"/>
      <w:r w:rsidRPr="00CC19F7">
        <w:t xml:space="preserve"> av sjøfugl i utbyggingsområda blir </w:t>
      </w:r>
      <w:proofErr w:type="spellStart"/>
      <w:r w:rsidRPr="00CC19F7">
        <w:t>følgde</w:t>
      </w:r>
      <w:proofErr w:type="spellEnd"/>
      <w:r w:rsidRPr="00CC19F7">
        <w:t xml:space="preserve"> opp. Sameksistens og </w:t>
      </w:r>
      <w:proofErr w:type="spellStart"/>
      <w:r w:rsidRPr="00CC19F7">
        <w:t>berekraft</w:t>
      </w:r>
      <w:proofErr w:type="spellEnd"/>
      <w:r w:rsidRPr="00CC19F7">
        <w:t xml:space="preserve"> står sentralt i departementets arbeid med havvind. Departementet vil derfor som </w:t>
      </w:r>
      <w:proofErr w:type="spellStart"/>
      <w:r w:rsidRPr="00CC19F7">
        <w:t>ein</w:t>
      </w:r>
      <w:proofErr w:type="spellEnd"/>
      <w:r w:rsidRPr="00CC19F7">
        <w:t xml:space="preserve"> del av konsesjonsbehandlinga vurdere om det skal </w:t>
      </w:r>
      <w:proofErr w:type="spellStart"/>
      <w:r w:rsidRPr="00CC19F7">
        <w:t>stillast</w:t>
      </w:r>
      <w:proofErr w:type="spellEnd"/>
      <w:r w:rsidRPr="00CC19F7">
        <w:t xml:space="preserve"> krav om følgeforsking. Følgeforsking kan </w:t>
      </w:r>
      <w:proofErr w:type="spellStart"/>
      <w:r w:rsidRPr="00CC19F7">
        <w:t>vere</w:t>
      </w:r>
      <w:proofErr w:type="spellEnd"/>
      <w:r w:rsidRPr="00CC19F7">
        <w:t xml:space="preserve"> </w:t>
      </w:r>
      <w:proofErr w:type="spellStart"/>
      <w:r w:rsidRPr="00CC19F7">
        <w:t>eit</w:t>
      </w:r>
      <w:proofErr w:type="spellEnd"/>
      <w:r w:rsidRPr="00CC19F7">
        <w:t xml:space="preserve"> aktuelt tiltak for </w:t>
      </w:r>
      <w:proofErr w:type="spellStart"/>
      <w:r w:rsidRPr="00CC19F7">
        <w:t>konsesjonshavarane</w:t>
      </w:r>
      <w:proofErr w:type="spellEnd"/>
      <w:r w:rsidRPr="00CC19F7">
        <w:t xml:space="preserve"> for å følge opp krav til varetaking av havmiljøet.</w:t>
      </w:r>
    </w:p>
    <w:p w14:paraId="5443E924" w14:textId="77777777" w:rsidR="00FE02EF" w:rsidRPr="00CC19F7" w:rsidRDefault="00881E58" w:rsidP="00CC19F7">
      <w:r w:rsidRPr="00CC19F7">
        <w:t xml:space="preserve">Departementet </w:t>
      </w:r>
      <w:proofErr w:type="spellStart"/>
      <w:r w:rsidRPr="00CC19F7">
        <w:t>reknar</w:t>
      </w:r>
      <w:proofErr w:type="spellEnd"/>
      <w:r w:rsidRPr="00CC19F7">
        <w:t xml:space="preserve"> med dette oppmodingsvedtaket som </w:t>
      </w:r>
      <w:proofErr w:type="spellStart"/>
      <w:r w:rsidRPr="00CC19F7">
        <w:t>følgt</w:t>
      </w:r>
      <w:proofErr w:type="spellEnd"/>
      <w:r w:rsidRPr="00CC19F7">
        <w:t xml:space="preserve"> opp.</w:t>
      </w:r>
    </w:p>
    <w:p w14:paraId="4C53EA83" w14:textId="77777777" w:rsidR="00FE02EF" w:rsidRPr="00CC19F7" w:rsidRDefault="00881E58" w:rsidP="00CC19F7">
      <w:pPr>
        <w:pStyle w:val="avsnitt-tittel"/>
      </w:pPr>
      <w:r w:rsidRPr="00CC19F7">
        <w:t xml:space="preserve">Havvind – </w:t>
      </w:r>
      <w:proofErr w:type="spellStart"/>
      <w:r w:rsidRPr="00CC19F7">
        <w:t>auka</w:t>
      </w:r>
      <w:proofErr w:type="spellEnd"/>
      <w:r w:rsidRPr="00CC19F7">
        <w:t xml:space="preserve"> vekting av </w:t>
      </w:r>
      <w:proofErr w:type="spellStart"/>
      <w:r w:rsidRPr="00CC19F7">
        <w:t>berekraftskriteria</w:t>
      </w:r>
      <w:proofErr w:type="spellEnd"/>
      <w:r w:rsidRPr="00CC19F7">
        <w:t xml:space="preserve"> og positive lokale ringverknader</w:t>
      </w:r>
    </w:p>
    <w:p w14:paraId="4A5874A9" w14:textId="77777777" w:rsidR="00FE02EF" w:rsidRPr="00CC19F7" w:rsidRDefault="00881E58" w:rsidP="00CC19F7">
      <w:pPr>
        <w:pStyle w:val="avsnitt-undertittel"/>
      </w:pPr>
      <w:r w:rsidRPr="00CC19F7">
        <w:t>Vedtak 841, 14. juni 2023</w:t>
      </w:r>
    </w:p>
    <w:p w14:paraId="3E8065C4" w14:textId="77777777" w:rsidR="00FE02EF" w:rsidRPr="00CC19F7" w:rsidRDefault="00881E58" w:rsidP="00CC19F7">
      <w:pPr>
        <w:pStyle w:val="blokksit"/>
      </w:pPr>
      <w:r w:rsidRPr="00CC19F7">
        <w:t>«</w:t>
      </w:r>
      <w:r w:rsidRPr="00CC19F7">
        <w:rPr>
          <w:rStyle w:val="kursiv"/>
        </w:rPr>
        <w:t xml:space="preserve">Stortinget ber regjeringen vurdere økt vekting av </w:t>
      </w:r>
      <w:proofErr w:type="spellStart"/>
      <w:r w:rsidRPr="00CC19F7">
        <w:rPr>
          <w:rStyle w:val="kursiv"/>
        </w:rPr>
        <w:t>bærekraftskriteriene</w:t>
      </w:r>
      <w:proofErr w:type="spellEnd"/>
      <w:r w:rsidRPr="00CC19F7">
        <w:rPr>
          <w:rStyle w:val="kursiv"/>
        </w:rPr>
        <w:t xml:space="preserve"> og positive lokale ringvirkninger ved framtidige havvindutbygginger og rapportere tilbake til Stortinget på egnet vis.</w:t>
      </w:r>
      <w:r w:rsidRPr="00CC19F7">
        <w:t>»</w:t>
      </w:r>
    </w:p>
    <w:p w14:paraId="5ECCD908" w14:textId="77777777" w:rsidR="00FE02EF" w:rsidRPr="00CC19F7" w:rsidRDefault="00881E58" w:rsidP="00CC19F7">
      <w:r w:rsidRPr="00CC19F7">
        <w:t xml:space="preserve">Dokumenta som ligg til grunn for vedtaket er </w:t>
      </w:r>
      <w:proofErr w:type="spellStart"/>
      <w:r w:rsidRPr="00CC19F7">
        <w:t>Prop</w:t>
      </w:r>
      <w:proofErr w:type="spellEnd"/>
      <w:r w:rsidRPr="00CC19F7">
        <w:t xml:space="preserve">. 93 S (2022–2023) og </w:t>
      </w:r>
      <w:proofErr w:type="spellStart"/>
      <w:r w:rsidRPr="00CC19F7">
        <w:t>Innst</w:t>
      </w:r>
      <w:proofErr w:type="spellEnd"/>
      <w:r w:rsidRPr="00CC19F7">
        <w:t>. 496 S (2022–2023).</w:t>
      </w:r>
    </w:p>
    <w:p w14:paraId="73AEF706" w14:textId="77777777" w:rsidR="00FE02EF" w:rsidRPr="00CC19F7" w:rsidRDefault="00881E58" w:rsidP="00CC19F7">
      <w:r w:rsidRPr="00CC19F7">
        <w:t xml:space="preserve">Olje- og energidepartementet vil som varsla gjennomføre ei evaluering av første runde med tildeling av prosjektområde til havvindproduksjon når denne er gjennomført. I samband med førebuing til utlysinga av område i 2025 vil departementet også, mellom anna basert på </w:t>
      </w:r>
      <w:proofErr w:type="spellStart"/>
      <w:r w:rsidRPr="00CC19F7">
        <w:t>erfaringane</w:t>
      </w:r>
      <w:proofErr w:type="spellEnd"/>
      <w:r w:rsidRPr="00CC19F7">
        <w:t xml:space="preserve"> </w:t>
      </w:r>
      <w:proofErr w:type="spellStart"/>
      <w:r w:rsidRPr="00CC19F7">
        <w:t>frå</w:t>
      </w:r>
      <w:proofErr w:type="spellEnd"/>
      <w:r w:rsidRPr="00CC19F7">
        <w:t xml:space="preserve"> den første runden, vurdere kva kriterium som skal ligge til grunn for neste tildeling. </w:t>
      </w:r>
      <w:proofErr w:type="spellStart"/>
      <w:r w:rsidRPr="00CC19F7">
        <w:t>Hovudmodellen</w:t>
      </w:r>
      <w:proofErr w:type="spellEnd"/>
      <w:r w:rsidRPr="00CC19F7">
        <w:t xml:space="preserve"> for tildeling av prosjektområde for havvind er auksjon, men i </w:t>
      </w:r>
      <w:proofErr w:type="spellStart"/>
      <w:r w:rsidRPr="00CC19F7">
        <w:t>særlege</w:t>
      </w:r>
      <w:proofErr w:type="spellEnd"/>
      <w:r w:rsidRPr="00CC19F7">
        <w:t xml:space="preserve"> tilfelle kan tildeling </w:t>
      </w:r>
      <w:proofErr w:type="spellStart"/>
      <w:r w:rsidRPr="00CC19F7">
        <w:t>gjennomførast</w:t>
      </w:r>
      <w:proofErr w:type="spellEnd"/>
      <w:r w:rsidRPr="00CC19F7">
        <w:t xml:space="preserve"> med kvalitative kriterium. Tildelinga på Utsira Nord er </w:t>
      </w:r>
      <w:proofErr w:type="spellStart"/>
      <w:r w:rsidRPr="00CC19F7">
        <w:t>rekna</w:t>
      </w:r>
      <w:proofErr w:type="spellEnd"/>
      <w:r w:rsidRPr="00CC19F7">
        <w:t xml:space="preserve"> som </w:t>
      </w:r>
      <w:proofErr w:type="spellStart"/>
      <w:r w:rsidRPr="00CC19F7">
        <w:t>eit</w:t>
      </w:r>
      <w:proofErr w:type="spellEnd"/>
      <w:r w:rsidRPr="00CC19F7">
        <w:t xml:space="preserve"> </w:t>
      </w:r>
      <w:proofErr w:type="spellStart"/>
      <w:r w:rsidRPr="00CC19F7">
        <w:t>særleg</w:t>
      </w:r>
      <w:proofErr w:type="spellEnd"/>
      <w:r w:rsidRPr="00CC19F7">
        <w:t xml:space="preserve"> tilfelle fordi </w:t>
      </w:r>
      <w:proofErr w:type="spellStart"/>
      <w:r w:rsidRPr="00CC19F7">
        <w:t>flytande</w:t>
      </w:r>
      <w:proofErr w:type="spellEnd"/>
      <w:r w:rsidRPr="00CC19F7">
        <w:t xml:space="preserve"> teknologi er umoden og har </w:t>
      </w:r>
      <w:proofErr w:type="spellStart"/>
      <w:r w:rsidRPr="00CC19F7">
        <w:t>høgare</w:t>
      </w:r>
      <w:proofErr w:type="spellEnd"/>
      <w:r w:rsidRPr="00CC19F7">
        <w:t xml:space="preserve"> </w:t>
      </w:r>
      <w:proofErr w:type="spellStart"/>
      <w:r w:rsidRPr="00CC19F7">
        <w:t>kostnadar</w:t>
      </w:r>
      <w:proofErr w:type="spellEnd"/>
      <w:r w:rsidRPr="00CC19F7">
        <w:t xml:space="preserve"> enn botnfast teknologi. Det er også den første tildelinga av </w:t>
      </w:r>
      <w:proofErr w:type="spellStart"/>
      <w:r w:rsidRPr="00CC19F7">
        <w:t>flytande</w:t>
      </w:r>
      <w:proofErr w:type="spellEnd"/>
      <w:r w:rsidRPr="00CC19F7">
        <w:t xml:space="preserve"> havvind med </w:t>
      </w:r>
      <w:proofErr w:type="spellStart"/>
      <w:r w:rsidRPr="00CC19F7">
        <w:t>tilknyting</w:t>
      </w:r>
      <w:proofErr w:type="spellEnd"/>
      <w:r w:rsidRPr="00CC19F7">
        <w:t xml:space="preserve"> til land. Der auksjon blir brukt for tildeling av prosjektområde, kan departementet </w:t>
      </w:r>
      <w:proofErr w:type="spellStart"/>
      <w:r w:rsidRPr="00CC19F7">
        <w:t>krevje</w:t>
      </w:r>
      <w:proofErr w:type="spellEnd"/>
      <w:r w:rsidRPr="00CC19F7">
        <w:t xml:space="preserve"> at </w:t>
      </w:r>
      <w:proofErr w:type="spellStart"/>
      <w:r w:rsidRPr="00CC19F7">
        <w:t>aktørar</w:t>
      </w:r>
      <w:proofErr w:type="spellEnd"/>
      <w:r w:rsidRPr="00CC19F7">
        <w:t xml:space="preserve"> som vil delta i </w:t>
      </w:r>
      <w:proofErr w:type="spellStart"/>
      <w:r w:rsidRPr="00CC19F7">
        <w:t>ein</w:t>
      </w:r>
      <w:proofErr w:type="spellEnd"/>
      <w:r w:rsidRPr="00CC19F7">
        <w:t xml:space="preserve"> konkurranse om tildeling av areal, skal </w:t>
      </w:r>
      <w:proofErr w:type="spellStart"/>
      <w:r w:rsidRPr="00CC19F7">
        <w:t>prekvalifiserast</w:t>
      </w:r>
      <w:proofErr w:type="spellEnd"/>
      <w:r w:rsidRPr="00CC19F7">
        <w:t xml:space="preserve"> før deltaking. Departementet kan også stille andre objektive og </w:t>
      </w:r>
      <w:proofErr w:type="spellStart"/>
      <w:r w:rsidRPr="00CC19F7">
        <w:t>ikkje-diskriminerande</w:t>
      </w:r>
      <w:proofErr w:type="spellEnd"/>
      <w:r w:rsidRPr="00CC19F7">
        <w:t xml:space="preserve"> vilkår, jf. havenergilova.</w:t>
      </w:r>
    </w:p>
    <w:p w14:paraId="1A478955" w14:textId="77777777" w:rsidR="00FE02EF" w:rsidRPr="00CC19F7" w:rsidRDefault="00881E58" w:rsidP="00CC19F7">
      <w:r w:rsidRPr="00CC19F7">
        <w:t>Departementet vil komme tilbake til Stortinget på eigna måte.</w:t>
      </w:r>
    </w:p>
    <w:p w14:paraId="456C47F0" w14:textId="77777777" w:rsidR="00FE02EF" w:rsidRPr="00CC19F7" w:rsidRDefault="00881E58" w:rsidP="00CC19F7">
      <w:pPr>
        <w:pStyle w:val="avsnitt-tittel"/>
      </w:pPr>
      <w:r w:rsidRPr="00CC19F7">
        <w:t xml:space="preserve">Havvind – vurdere andre og </w:t>
      </w:r>
      <w:proofErr w:type="spellStart"/>
      <w:r w:rsidRPr="00CC19F7">
        <w:t>meir</w:t>
      </w:r>
      <w:proofErr w:type="spellEnd"/>
      <w:r w:rsidRPr="00CC19F7">
        <w:t xml:space="preserve"> </w:t>
      </w:r>
      <w:proofErr w:type="spellStart"/>
      <w:r w:rsidRPr="00CC19F7">
        <w:t>formålstenlege</w:t>
      </w:r>
      <w:proofErr w:type="spellEnd"/>
      <w:r w:rsidRPr="00CC19F7">
        <w:t xml:space="preserve"> </w:t>
      </w:r>
      <w:proofErr w:type="spellStart"/>
      <w:r w:rsidRPr="00CC19F7">
        <w:t>løyvingsløysingar</w:t>
      </w:r>
      <w:proofErr w:type="spellEnd"/>
      <w:r w:rsidRPr="00CC19F7">
        <w:t xml:space="preserve"> for </w:t>
      </w:r>
      <w:proofErr w:type="spellStart"/>
      <w:r w:rsidRPr="00CC19F7">
        <w:t>differansekontraktar</w:t>
      </w:r>
      <w:proofErr w:type="spellEnd"/>
      <w:r w:rsidRPr="00CC19F7">
        <w:t xml:space="preserve"> enn OPS-rammeverket</w:t>
      </w:r>
    </w:p>
    <w:p w14:paraId="661095A8" w14:textId="77777777" w:rsidR="00FE02EF" w:rsidRPr="00CC19F7" w:rsidRDefault="00881E58" w:rsidP="00CC19F7">
      <w:pPr>
        <w:pStyle w:val="avsnitt-undertittel"/>
      </w:pPr>
      <w:r w:rsidRPr="00CC19F7">
        <w:t>Vedtak 842, 14. juni 2023</w:t>
      </w:r>
    </w:p>
    <w:p w14:paraId="254A3536" w14:textId="77777777" w:rsidR="00FE02EF" w:rsidRPr="00CC19F7" w:rsidRDefault="00881E58" w:rsidP="00CC19F7">
      <w:pPr>
        <w:pStyle w:val="blokksit"/>
      </w:pPr>
      <w:r w:rsidRPr="00CC19F7">
        <w:t>«</w:t>
      </w:r>
      <w:r w:rsidRPr="00CC19F7">
        <w:rPr>
          <w:rStyle w:val="kursiv"/>
        </w:rPr>
        <w:t>Stortinget ber regjeringen vurdere andre og mer hensiktsmessige bevilgningsløsninger for differansekontrakter enn OPS-rammeverket, som sikrer at bevilgningene spres over flere budsjettår enn bare byggefasen, og komme tilbake til Stortinget senest i statsbudsjettet for 2025.</w:t>
      </w:r>
      <w:r w:rsidRPr="00CC19F7">
        <w:t>»</w:t>
      </w:r>
    </w:p>
    <w:p w14:paraId="2AE810AA" w14:textId="77777777" w:rsidR="00FE02EF" w:rsidRPr="00CC19F7" w:rsidRDefault="00881E58" w:rsidP="00CC19F7">
      <w:r w:rsidRPr="00CC19F7">
        <w:t xml:space="preserve">Dokumenta som ligg til grunn for vedtaket er </w:t>
      </w:r>
      <w:proofErr w:type="spellStart"/>
      <w:r w:rsidRPr="00CC19F7">
        <w:t>Prop</w:t>
      </w:r>
      <w:proofErr w:type="spellEnd"/>
      <w:r w:rsidRPr="00CC19F7">
        <w:t xml:space="preserve">. 93 S (2022–2023) og </w:t>
      </w:r>
      <w:proofErr w:type="spellStart"/>
      <w:r w:rsidRPr="00CC19F7">
        <w:t>Innst</w:t>
      </w:r>
      <w:proofErr w:type="spellEnd"/>
      <w:r w:rsidRPr="00CC19F7">
        <w:t>. 496 S (2022–2023).</w:t>
      </w:r>
    </w:p>
    <w:p w14:paraId="23D41E81" w14:textId="77777777" w:rsidR="00FE02EF" w:rsidRPr="00CC19F7" w:rsidRDefault="00881E58" w:rsidP="00CC19F7">
      <w:r w:rsidRPr="00CC19F7">
        <w:t xml:space="preserve">Departementet vil komme tilbake til Stortinget på eigna måte, </w:t>
      </w:r>
      <w:proofErr w:type="spellStart"/>
      <w:r w:rsidRPr="00CC19F7">
        <w:t>seinast</w:t>
      </w:r>
      <w:proofErr w:type="spellEnd"/>
      <w:r w:rsidRPr="00CC19F7">
        <w:t xml:space="preserve"> i statsbudsjettet for 2025.</w:t>
      </w:r>
    </w:p>
    <w:p w14:paraId="1BA2FF0D" w14:textId="77777777" w:rsidR="00FE02EF" w:rsidRPr="00CC19F7" w:rsidRDefault="00881E58" w:rsidP="00CC19F7">
      <w:pPr>
        <w:pStyle w:val="avsnitt-tittel"/>
      </w:pPr>
      <w:r w:rsidRPr="00CC19F7">
        <w:t xml:space="preserve">Havvind – elektrifisering av </w:t>
      </w:r>
      <w:proofErr w:type="spellStart"/>
      <w:r w:rsidRPr="00CC19F7">
        <w:t>offshoreinstallasjonar</w:t>
      </w:r>
      <w:proofErr w:type="spellEnd"/>
    </w:p>
    <w:p w14:paraId="571F5470" w14:textId="77777777" w:rsidR="00FE02EF" w:rsidRPr="00CC19F7" w:rsidRDefault="00881E58" w:rsidP="00CC19F7">
      <w:pPr>
        <w:pStyle w:val="avsnitt-undertittel"/>
      </w:pPr>
      <w:r w:rsidRPr="00CC19F7">
        <w:t>Vedtak 914, 16. juni 2023</w:t>
      </w:r>
    </w:p>
    <w:p w14:paraId="67F727CC" w14:textId="77777777" w:rsidR="00FE02EF" w:rsidRPr="00CC19F7" w:rsidRDefault="00881E58" w:rsidP="00CC19F7">
      <w:pPr>
        <w:pStyle w:val="blokksit"/>
      </w:pPr>
      <w:r w:rsidRPr="00CC19F7">
        <w:t>«</w:t>
      </w:r>
      <w:r w:rsidRPr="00CC19F7">
        <w:rPr>
          <w:rStyle w:val="kursiv"/>
        </w:rPr>
        <w:t>Stortinget ber regjeringen i revidert nasjonalbudsjett for 2024 legge frem tiltak for å elektrifisere offshore-installasjoner ved hjelp av havvind for å kutte klimagassutslipp.</w:t>
      </w:r>
      <w:r w:rsidRPr="00CC19F7">
        <w:t>»</w:t>
      </w:r>
    </w:p>
    <w:p w14:paraId="0FBEB885" w14:textId="77777777" w:rsidR="00FE02EF" w:rsidRPr="00CC19F7" w:rsidRDefault="00881E58" w:rsidP="00CC19F7">
      <w:r w:rsidRPr="00CC19F7">
        <w:t xml:space="preserve">Dokumenta som ligg til grunn for vedtaket er Meld. St. 2 (2022–2023) og </w:t>
      </w:r>
      <w:proofErr w:type="spellStart"/>
      <w:r w:rsidRPr="00CC19F7">
        <w:t>Innst</w:t>
      </w:r>
      <w:proofErr w:type="spellEnd"/>
      <w:r w:rsidRPr="00CC19F7">
        <w:t>. 490 S (2022–2023).</w:t>
      </w:r>
    </w:p>
    <w:p w14:paraId="22B98003" w14:textId="77777777" w:rsidR="00FE02EF" w:rsidRPr="00CC19F7" w:rsidRDefault="00881E58" w:rsidP="00CC19F7">
      <w:r w:rsidRPr="00CC19F7">
        <w:t>Departementet viser til oppmodingsvedtak 836, 14. juni 2023. Departementet vil komme tilbake til Stortinget på eigna måte.</w:t>
      </w:r>
    </w:p>
    <w:p w14:paraId="4170C7AF" w14:textId="77777777" w:rsidR="00FE02EF" w:rsidRPr="00CC19F7" w:rsidRDefault="00881E58" w:rsidP="00CC19F7">
      <w:pPr>
        <w:pStyle w:val="avsnitt-tittel"/>
      </w:pPr>
      <w:r w:rsidRPr="00CC19F7">
        <w:t xml:space="preserve">Solenergi – mål om 8 </w:t>
      </w:r>
      <w:proofErr w:type="spellStart"/>
      <w:r w:rsidRPr="00CC19F7">
        <w:t>TWh</w:t>
      </w:r>
      <w:proofErr w:type="spellEnd"/>
      <w:r w:rsidRPr="00CC19F7">
        <w:t xml:space="preserve"> </w:t>
      </w:r>
      <w:proofErr w:type="spellStart"/>
      <w:r w:rsidRPr="00CC19F7">
        <w:t>innan</w:t>
      </w:r>
      <w:proofErr w:type="spellEnd"/>
      <w:r w:rsidRPr="00CC19F7">
        <w:t xml:space="preserve"> 2030</w:t>
      </w:r>
    </w:p>
    <w:p w14:paraId="1EA96130" w14:textId="77777777" w:rsidR="00FE02EF" w:rsidRPr="00CC19F7" w:rsidRDefault="00881E58" w:rsidP="00CC19F7">
      <w:pPr>
        <w:pStyle w:val="avsnitt-undertittel"/>
      </w:pPr>
      <w:r w:rsidRPr="00CC19F7">
        <w:t>Vedtak 923, 16. juni 2023</w:t>
      </w:r>
    </w:p>
    <w:p w14:paraId="63023565" w14:textId="77777777" w:rsidR="00FE02EF" w:rsidRPr="00CC19F7" w:rsidRDefault="00881E58" w:rsidP="00CC19F7">
      <w:pPr>
        <w:pStyle w:val="blokksit"/>
      </w:pPr>
      <w:r w:rsidRPr="00CC19F7">
        <w:t>«</w:t>
      </w:r>
      <w:r w:rsidRPr="00CC19F7">
        <w:rPr>
          <w:rStyle w:val="kursiv"/>
        </w:rPr>
        <w:t xml:space="preserve">Stortinget ber regjeringen sette et mål for ny solenergi på 8 </w:t>
      </w:r>
      <w:proofErr w:type="spellStart"/>
      <w:r w:rsidRPr="00CC19F7">
        <w:rPr>
          <w:rStyle w:val="kursiv"/>
        </w:rPr>
        <w:t>TWh</w:t>
      </w:r>
      <w:proofErr w:type="spellEnd"/>
      <w:r w:rsidRPr="00CC19F7">
        <w:rPr>
          <w:rStyle w:val="kursiv"/>
        </w:rPr>
        <w:t xml:space="preserve"> innen 2030 og utarbeide en konkret handlingsplan som gjør det mulig å realisere målet innen revidert nasjonalbudsjett i 2024. Tiltak og virkemidler skal ikke være til hinder for rasjonell nettutvikling.</w:t>
      </w:r>
      <w:r w:rsidRPr="00CC19F7">
        <w:t>»</w:t>
      </w:r>
    </w:p>
    <w:p w14:paraId="66C73E0E" w14:textId="77777777" w:rsidR="00FE02EF" w:rsidRPr="00CC19F7" w:rsidRDefault="00881E58" w:rsidP="00CC19F7">
      <w:r w:rsidRPr="00CC19F7">
        <w:t xml:space="preserve">Dokumenta som ligg til grunn for vedtaket, er Meld. St. 2 (2022–2023) og </w:t>
      </w:r>
      <w:proofErr w:type="spellStart"/>
      <w:r w:rsidRPr="00CC19F7">
        <w:t>Innst</w:t>
      </w:r>
      <w:proofErr w:type="spellEnd"/>
      <w:r w:rsidRPr="00CC19F7">
        <w:t>. 490 S (2022–2023).</w:t>
      </w:r>
    </w:p>
    <w:p w14:paraId="04A47B2D" w14:textId="77777777" w:rsidR="00FE02EF" w:rsidRPr="00CC19F7" w:rsidRDefault="00881E58" w:rsidP="00CC19F7">
      <w:r w:rsidRPr="00CC19F7">
        <w:t xml:space="preserve">Departementet har i oppfølginga av vedtaket bedt NVE vurdere </w:t>
      </w:r>
      <w:proofErr w:type="spellStart"/>
      <w:r w:rsidRPr="00CC19F7">
        <w:t>moglegheitene</w:t>
      </w:r>
      <w:proofErr w:type="spellEnd"/>
      <w:r w:rsidRPr="00CC19F7">
        <w:t xml:space="preserve"> for å nå </w:t>
      </w:r>
      <w:proofErr w:type="spellStart"/>
      <w:r w:rsidRPr="00CC19F7">
        <w:t>eit</w:t>
      </w:r>
      <w:proofErr w:type="spellEnd"/>
      <w:r w:rsidRPr="00CC19F7">
        <w:t xml:space="preserve"> mål om 8 </w:t>
      </w:r>
      <w:proofErr w:type="spellStart"/>
      <w:r w:rsidRPr="00CC19F7">
        <w:t>TWh</w:t>
      </w:r>
      <w:proofErr w:type="spellEnd"/>
      <w:r w:rsidRPr="00CC19F7">
        <w:t xml:space="preserve"> solenergi mot 2030, kva for </w:t>
      </w:r>
      <w:proofErr w:type="spellStart"/>
      <w:r w:rsidRPr="00CC19F7">
        <w:t>verkemiddel</w:t>
      </w:r>
      <w:proofErr w:type="spellEnd"/>
      <w:r w:rsidRPr="00CC19F7">
        <w:t xml:space="preserve"> som kan bidra til å oppfylle </w:t>
      </w:r>
      <w:proofErr w:type="spellStart"/>
      <w:r w:rsidRPr="00CC19F7">
        <w:t>eit</w:t>
      </w:r>
      <w:proofErr w:type="spellEnd"/>
      <w:r w:rsidRPr="00CC19F7">
        <w:t xml:space="preserve"> slikt mål, og kva som er </w:t>
      </w:r>
      <w:proofErr w:type="spellStart"/>
      <w:r w:rsidRPr="00CC19F7">
        <w:t>sannsynleg</w:t>
      </w:r>
      <w:proofErr w:type="spellEnd"/>
      <w:r w:rsidRPr="00CC19F7">
        <w:t xml:space="preserve"> utbygging av solenergi mot 2030 med dagens politikk.</w:t>
      </w:r>
    </w:p>
    <w:p w14:paraId="351629E4" w14:textId="77777777" w:rsidR="00FE02EF" w:rsidRPr="00CC19F7" w:rsidRDefault="00881E58" w:rsidP="00CC19F7">
      <w:r w:rsidRPr="00CC19F7">
        <w:t>Departementet vil komme tilbake til Stortinget på eigna måte.</w:t>
      </w:r>
    </w:p>
    <w:p w14:paraId="2E51E0AD" w14:textId="77777777" w:rsidR="00FE02EF" w:rsidRPr="00CC19F7" w:rsidRDefault="00881E58" w:rsidP="00CC19F7">
      <w:pPr>
        <w:pStyle w:val="avsnitt-tittel"/>
      </w:pPr>
      <w:r w:rsidRPr="00CC19F7">
        <w:t xml:space="preserve">Solkraft – deling med </w:t>
      </w:r>
      <w:proofErr w:type="spellStart"/>
      <w:r w:rsidRPr="00CC19F7">
        <w:t>høgare</w:t>
      </w:r>
      <w:proofErr w:type="spellEnd"/>
      <w:r w:rsidRPr="00CC19F7">
        <w:t xml:space="preserve"> grense enn 1 MW</w:t>
      </w:r>
    </w:p>
    <w:p w14:paraId="16252651" w14:textId="77777777" w:rsidR="00FE02EF" w:rsidRPr="00CC19F7" w:rsidRDefault="00881E58" w:rsidP="00CC19F7">
      <w:pPr>
        <w:pStyle w:val="avsnitt-undertittel"/>
      </w:pPr>
      <w:r w:rsidRPr="00CC19F7">
        <w:t>Vedtak 924, 16. juni 2023</w:t>
      </w:r>
    </w:p>
    <w:p w14:paraId="2A3BA042" w14:textId="77777777" w:rsidR="00FE02EF" w:rsidRPr="00CC19F7" w:rsidRDefault="00881E58" w:rsidP="00CC19F7">
      <w:pPr>
        <w:pStyle w:val="blokksit"/>
      </w:pPr>
      <w:r w:rsidRPr="00CC19F7">
        <w:t>«</w:t>
      </w:r>
      <w:r w:rsidRPr="00CC19F7">
        <w:rPr>
          <w:rStyle w:val="kursiv"/>
        </w:rPr>
        <w:t>Stortinget ber regjeringen lage en delingsordning tilpasset næringsområder som muliggjør deling av solkraft med høyere grense enn 1 MW.</w:t>
      </w:r>
      <w:r w:rsidRPr="00CC19F7">
        <w:t>»</w:t>
      </w:r>
    </w:p>
    <w:p w14:paraId="4C7FCB9C" w14:textId="77777777" w:rsidR="00FE02EF" w:rsidRPr="00CC19F7" w:rsidRDefault="00881E58" w:rsidP="00CC19F7">
      <w:r w:rsidRPr="00CC19F7">
        <w:t xml:space="preserve">Dokumenta som ligg til grunn for vedtaket er Meld. St. 2 (2022–2023) og </w:t>
      </w:r>
      <w:proofErr w:type="spellStart"/>
      <w:r w:rsidRPr="00CC19F7">
        <w:t>Innst</w:t>
      </w:r>
      <w:proofErr w:type="spellEnd"/>
      <w:r w:rsidRPr="00CC19F7">
        <w:t>. 490 S (2022–2023).</w:t>
      </w:r>
    </w:p>
    <w:p w14:paraId="5DB2EC06" w14:textId="77777777" w:rsidR="00FE02EF" w:rsidRPr="00CC19F7" w:rsidRDefault="00881E58" w:rsidP="00CC19F7">
      <w:r w:rsidRPr="00CC19F7">
        <w:t xml:space="preserve">Departementet har i oppfølginga av vedtaket bedt RME, med </w:t>
      </w:r>
      <w:proofErr w:type="spellStart"/>
      <w:r w:rsidRPr="00CC19F7">
        <w:t>innspel</w:t>
      </w:r>
      <w:proofErr w:type="spellEnd"/>
      <w:r w:rsidRPr="00CC19F7">
        <w:t xml:space="preserve"> </w:t>
      </w:r>
      <w:proofErr w:type="spellStart"/>
      <w:r w:rsidRPr="00CC19F7">
        <w:t>frå</w:t>
      </w:r>
      <w:proofErr w:type="spellEnd"/>
      <w:r w:rsidRPr="00CC19F7">
        <w:t xml:space="preserve"> NVE, om å vurdere ei delingsordning tilpassa næringsområde, slik at deling av eigenprodusert </w:t>
      </w:r>
      <w:proofErr w:type="spellStart"/>
      <w:r w:rsidRPr="00CC19F7">
        <w:t>straum</w:t>
      </w:r>
      <w:proofErr w:type="spellEnd"/>
      <w:r w:rsidRPr="00CC19F7">
        <w:t xml:space="preserve"> mellom </w:t>
      </w:r>
      <w:proofErr w:type="spellStart"/>
      <w:r w:rsidRPr="00CC19F7">
        <w:t>straumkundar</w:t>
      </w:r>
      <w:proofErr w:type="spellEnd"/>
      <w:r w:rsidRPr="00CC19F7">
        <w:t xml:space="preserve"> utover vedtatt ordning kan </w:t>
      </w:r>
      <w:proofErr w:type="spellStart"/>
      <w:r w:rsidRPr="00CC19F7">
        <w:t>gjerast</w:t>
      </w:r>
      <w:proofErr w:type="spellEnd"/>
      <w:r w:rsidRPr="00CC19F7">
        <w:t xml:space="preserve"> på </w:t>
      </w:r>
      <w:proofErr w:type="spellStart"/>
      <w:r w:rsidRPr="00CC19F7">
        <w:t>ein</w:t>
      </w:r>
      <w:proofErr w:type="spellEnd"/>
      <w:r w:rsidRPr="00CC19F7">
        <w:t xml:space="preserve"> samfunnsmessig rasjonell måte. Deling </w:t>
      </w:r>
      <w:proofErr w:type="spellStart"/>
      <w:r w:rsidRPr="00CC19F7">
        <w:t>frå</w:t>
      </w:r>
      <w:proofErr w:type="spellEnd"/>
      <w:r w:rsidRPr="00CC19F7">
        <w:t xml:space="preserve"> anlegg med </w:t>
      </w:r>
      <w:proofErr w:type="spellStart"/>
      <w:r w:rsidRPr="00CC19F7">
        <w:t>meir</w:t>
      </w:r>
      <w:proofErr w:type="spellEnd"/>
      <w:r w:rsidRPr="00CC19F7">
        <w:t xml:space="preserve"> enn 1 MW installert effekt skal inngå i vurderinga.</w:t>
      </w:r>
    </w:p>
    <w:p w14:paraId="34157F8B" w14:textId="77777777" w:rsidR="00FE02EF" w:rsidRPr="00CC19F7" w:rsidRDefault="00881E58" w:rsidP="00CC19F7">
      <w:r w:rsidRPr="00CC19F7">
        <w:t>Departementet vil komme tilbake til Stortinget på eigna måte.</w:t>
      </w:r>
    </w:p>
    <w:p w14:paraId="37CAB769" w14:textId="77777777" w:rsidR="00FE02EF" w:rsidRPr="00CC19F7" w:rsidRDefault="00881E58" w:rsidP="00CC19F7">
      <w:pPr>
        <w:pStyle w:val="avsnitt-tittel"/>
      </w:pPr>
      <w:proofErr w:type="spellStart"/>
      <w:r w:rsidRPr="00CC19F7">
        <w:t>Solenergiparkar</w:t>
      </w:r>
      <w:proofErr w:type="spellEnd"/>
      <w:r w:rsidRPr="00CC19F7">
        <w:t xml:space="preserve"> – fjerne konsesjonsplikt for enkeltprosjekt med lågt konfliktnivå</w:t>
      </w:r>
    </w:p>
    <w:p w14:paraId="76EB0EA8" w14:textId="77777777" w:rsidR="00FE02EF" w:rsidRPr="00CC19F7" w:rsidRDefault="00881E58" w:rsidP="00CC19F7">
      <w:pPr>
        <w:pStyle w:val="avsnitt-undertittel"/>
      </w:pPr>
      <w:r w:rsidRPr="00CC19F7">
        <w:t>Vedtak 925, 16. juni 2023</w:t>
      </w:r>
    </w:p>
    <w:p w14:paraId="329E493B" w14:textId="77777777" w:rsidR="00FE02EF" w:rsidRPr="00CC19F7" w:rsidRDefault="00881E58" w:rsidP="00CC19F7">
      <w:pPr>
        <w:pStyle w:val="blokksit"/>
      </w:pPr>
      <w:r w:rsidRPr="00CC19F7">
        <w:t>«</w:t>
      </w:r>
      <w:r w:rsidRPr="00CC19F7">
        <w:rPr>
          <w:rStyle w:val="kursiv"/>
        </w:rPr>
        <w:t>Stortinget ber regjeringen gi NVE mulighet til å unnta enkeltprosjekter med solparker med lavt konfliktnivå i grå areal fra konsesjonsplikt, slik at tillatelser kan gis av kommunene etter plan- og bygningsloven.</w:t>
      </w:r>
      <w:r w:rsidRPr="00CC19F7">
        <w:t>»</w:t>
      </w:r>
    </w:p>
    <w:p w14:paraId="7D6C1C32" w14:textId="77777777" w:rsidR="00FE02EF" w:rsidRPr="00CC19F7" w:rsidRDefault="00881E58" w:rsidP="00CC19F7">
      <w:r w:rsidRPr="00CC19F7">
        <w:t xml:space="preserve">Dokumenta som ligg til grunn for vedtaket er Meld. St. 2 (2022–2023) og </w:t>
      </w:r>
      <w:proofErr w:type="spellStart"/>
      <w:r w:rsidRPr="00CC19F7">
        <w:t>Innst</w:t>
      </w:r>
      <w:proofErr w:type="spellEnd"/>
      <w:r w:rsidRPr="00CC19F7">
        <w:t>. 490 S (2022–2023).</w:t>
      </w:r>
    </w:p>
    <w:p w14:paraId="37829A1C" w14:textId="77777777" w:rsidR="00FE02EF" w:rsidRPr="00CC19F7" w:rsidRDefault="00881E58" w:rsidP="00CC19F7">
      <w:r w:rsidRPr="00CC19F7">
        <w:t xml:space="preserve">Departementet har i oppfølginga av vedtaket bedt NVE om å vurdere unntak </w:t>
      </w:r>
      <w:proofErr w:type="spellStart"/>
      <w:r w:rsidRPr="00CC19F7">
        <w:t>frå</w:t>
      </w:r>
      <w:proofErr w:type="spellEnd"/>
      <w:r w:rsidRPr="00CC19F7">
        <w:t xml:space="preserve"> konsesjonsplikt etter energilova for mindre kraftproduksjonsanlegg på grå areal, slik som nærings- og industriområde. Departementet ber NVE samtidig om å utarbeide utkast til nødvendige lov- og </w:t>
      </w:r>
      <w:proofErr w:type="spellStart"/>
      <w:r w:rsidRPr="00CC19F7">
        <w:t>forskriftsendringar</w:t>
      </w:r>
      <w:proofErr w:type="spellEnd"/>
      <w:r w:rsidRPr="00CC19F7">
        <w:t>.</w:t>
      </w:r>
    </w:p>
    <w:p w14:paraId="285EE609" w14:textId="77777777" w:rsidR="00FE02EF" w:rsidRPr="00CC19F7" w:rsidRDefault="00881E58" w:rsidP="00CC19F7">
      <w:r w:rsidRPr="00CC19F7">
        <w:t xml:space="preserve">Departementet vil fremme eventuelle forslag til </w:t>
      </w:r>
      <w:proofErr w:type="spellStart"/>
      <w:r w:rsidRPr="00CC19F7">
        <w:t>lovendringar</w:t>
      </w:r>
      <w:proofErr w:type="spellEnd"/>
      <w:r w:rsidRPr="00CC19F7">
        <w:t xml:space="preserve"> for Stortinget.</w:t>
      </w:r>
    </w:p>
    <w:p w14:paraId="5BABB425" w14:textId="77777777" w:rsidR="00FE02EF" w:rsidRPr="00CC19F7" w:rsidRDefault="00881E58" w:rsidP="00CC19F7">
      <w:pPr>
        <w:pStyle w:val="avsnitt-tittel"/>
      </w:pPr>
      <w:proofErr w:type="spellStart"/>
      <w:r w:rsidRPr="00CC19F7">
        <w:t>Solenergiparkar</w:t>
      </w:r>
      <w:proofErr w:type="spellEnd"/>
      <w:r w:rsidRPr="00CC19F7">
        <w:t xml:space="preserve"> – fjerne konsesjonsplikt opp til 1 MW</w:t>
      </w:r>
    </w:p>
    <w:p w14:paraId="652AD737" w14:textId="77777777" w:rsidR="00FE02EF" w:rsidRPr="00CC19F7" w:rsidRDefault="00881E58" w:rsidP="00CC19F7">
      <w:pPr>
        <w:pStyle w:val="avsnitt-undertittel"/>
      </w:pPr>
      <w:r w:rsidRPr="00CC19F7">
        <w:t>Vedtak 926, 16. juni 2023</w:t>
      </w:r>
    </w:p>
    <w:p w14:paraId="378F48C6" w14:textId="77777777" w:rsidR="00FE02EF" w:rsidRPr="00CC19F7" w:rsidRDefault="00881E58" w:rsidP="00CC19F7">
      <w:pPr>
        <w:pStyle w:val="blokksit"/>
      </w:pPr>
      <w:r w:rsidRPr="00CC19F7">
        <w:t>«</w:t>
      </w:r>
      <w:r w:rsidRPr="00CC19F7">
        <w:rPr>
          <w:rStyle w:val="kursiv"/>
        </w:rPr>
        <w:t>Stortinget ber regjeringen i løpet av 2023 fjerne konsesjonsplikt for solparker opp til 1 MW på grå areal, slik at tillatelser gis av kommunene etter plan- og bygningsloven.</w:t>
      </w:r>
      <w:r w:rsidRPr="00CC19F7">
        <w:t>»</w:t>
      </w:r>
    </w:p>
    <w:p w14:paraId="0EE7AE12" w14:textId="77777777" w:rsidR="00FE02EF" w:rsidRPr="00CC19F7" w:rsidRDefault="00881E58" w:rsidP="00CC19F7">
      <w:r w:rsidRPr="00CC19F7">
        <w:t xml:space="preserve">Dokumenta som ligg til grunn for vedtaket er Meld. St. 2 (2022–2023) og </w:t>
      </w:r>
      <w:proofErr w:type="spellStart"/>
      <w:r w:rsidRPr="00CC19F7">
        <w:t>Innst</w:t>
      </w:r>
      <w:proofErr w:type="spellEnd"/>
      <w:r w:rsidRPr="00CC19F7">
        <w:t>. 490 S (2022–2023).</w:t>
      </w:r>
    </w:p>
    <w:p w14:paraId="690DAFB8" w14:textId="77777777" w:rsidR="00FE02EF" w:rsidRPr="00CC19F7" w:rsidRDefault="00881E58" w:rsidP="00CC19F7">
      <w:r w:rsidRPr="00CC19F7">
        <w:t xml:space="preserve">Departementet har i oppfølginga av vedtaket bedt NVE om å utarbeide </w:t>
      </w:r>
      <w:proofErr w:type="spellStart"/>
      <w:r w:rsidRPr="00CC19F7">
        <w:t>eit</w:t>
      </w:r>
      <w:proofErr w:type="spellEnd"/>
      <w:r w:rsidRPr="00CC19F7">
        <w:t xml:space="preserve"> utkast til nødvendige lov- og </w:t>
      </w:r>
      <w:proofErr w:type="spellStart"/>
      <w:r w:rsidRPr="00CC19F7">
        <w:t>forskriftsendringar</w:t>
      </w:r>
      <w:proofErr w:type="spellEnd"/>
      <w:r w:rsidRPr="00CC19F7">
        <w:t xml:space="preserve"> for å fastsette ei nedre effektgrense for konsesjonsplikt for solkraftanlegg på 1 </w:t>
      </w:r>
      <w:proofErr w:type="spellStart"/>
      <w:r w:rsidRPr="00CC19F7">
        <w:t>MWp</w:t>
      </w:r>
      <w:proofErr w:type="spellEnd"/>
      <w:r w:rsidRPr="00CC19F7">
        <w:t xml:space="preserve"> eller </w:t>
      </w:r>
      <w:proofErr w:type="spellStart"/>
      <w:r w:rsidRPr="00CC19F7">
        <w:t>høgare</w:t>
      </w:r>
      <w:proofErr w:type="spellEnd"/>
      <w:r w:rsidRPr="00CC19F7">
        <w:t xml:space="preserve">. Ei slik effektgrense vil bety at spørsmål om løyve til anlegg under grensa skal </w:t>
      </w:r>
      <w:proofErr w:type="spellStart"/>
      <w:r w:rsidRPr="00CC19F7">
        <w:t>behandlast</w:t>
      </w:r>
      <w:proofErr w:type="spellEnd"/>
      <w:r w:rsidRPr="00CC19F7">
        <w:t xml:space="preserve"> av vertskommunen etter plan- og bygningslova.</w:t>
      </w:r>
    </w:p>
    <w:p w14:paraId="4D1B151D" w14:textId="77777777" w:rsidR="00FE02EF" w:rsidRPr="00CC19F7" w:rsidRDefault="00881E58" w:rsidP="00CC19F7">
      <w:r w:rsidRPr="00CC19F7">
        <w:t xml:space="preserve">Departementet vil fremme eventuelle forslag til </w:t>
      </w:r>
      <w:proofErr w:type="spellStart"/>
      <w:r w:rsidRPr="00CC19F7">
        <w:t>lovendringar</w:t>
      </w:r>
      <w:proofErr w:type="spellEnd"/>
      <w:r w:rsidRPr="00CC19F7">
        <w:t xml:space="preserve"> for Stortinget.</w:t>
      </w:r>
    </w:p>
    <w:p w14:paraId="2305C943" w14:textId="77777777" w:rsidR="00FE02EF" w:rsidRPr="00CC19F7" w:rsidRDefault="00881E58" w:rsidP="00CC19F7">
      <w:pPr>
        <w:pStyle w:val="Overskrift2"/>
      </w:pPr>
      <w:r w:rsidRPr="00CC19F7">
        <w:t>Stortingssesjon 2021–2022</w:t>
      </w:r>
    </w:p>
    <w:p w14:paraId="3006CD02" w14:textId="77777777" w:rsidR="00FE02EF" w:rsidRPr="00CC19F7" w:rsidRDefault="00881E58" w:rsidP="00CC19F7">
      <w:pPr>
        <w:pStyle w:val="avsnitt-tittel"/>
      </w:pPr>
      <w:r w:rsidRPr="00CC19F7">
        <w:t xml:space="preserve">Redusere energibruken i bygg med minst 10 </w:t>
      </w:r>
      <w:proofErr w:type="spellStart"/>
      <w:r w:rsidRPr="00CC19F7">
        <w:t>TWh</w:t>
      </w:r>
      <w:proofErr w:type="spellEnd"/>
      <w:r w:rsidRPr="00CC19F7">
        <w:t xml:space="preserve"> og </w:t>
      </w:r>
      <w:proofErr w:type="spellStart"/>
      <w:r w:rsidRPr="00CC19F7">
        <w:t>auke</w:t>
      </w:r>
      <w:proofErr w:type="spellEnd"/>
      <w:r w:rsidRPr="00CC19F7">
        <w:t xml:space="preserve"> straumproduksjonen i bygg</w:t>
      </w:r>
    </w:p>
    <w:p w14:paraId="0FF38C03" w14:textId="77777777" w:rsidR="00FE02EF" w:rsidRPr="00CC19F7" w:rsidRDefault="00881E58" w:rsidP="00CC19F7">
      <w:pPr>
        <w:pStyle w:val="avsnitt-undertittel"/>
      </w:pPr>
      <w:r w:rsidRPr="00CC19F7">
        <w:t>Vedtak 35-5, 2. desember 2021</w:t>
      </w:r>
    </w:p>
    <w:p w14:paraId="0D4F111B" w14:textId="77777777" w:rsidR="00FE02EF" w:rsidRPr="00CC19F7" w:rsidRDefault="00881E58" w:rsidP="00CC19F7">
      <w:pPr>
        <w:pStyle w:val="blokksit"/>
      </w:pPr>
      <w:r w:rsidRPr="00CC19F7">
        <w:t>«</w:t>
      </w:r>
      <w:r w:rsidRPr="00CC19F7">
        <w:rPr>
          <w:rStyle w:val="kursiv"/>
        </w:rPr>
        <w:t xml:space="preserve">Stortinget ber regjeringen utarbeide en plan med et sett tiltak som skal redusere energibruken i bygg med minst 10 </w:t>
      </w:r>
      <w:proofErr w:type="spellStart"/>
      <w:r w:rsidRPr="00CC19F7">
        <w:rPr>
          <w:rStyle w:val="kursiv"/>
        </w:rPr>
        <w:t>TWh</w:t>
      </w:r>
      <w:proofErr w:type="spellEnd"/>
      <w:r w:rsidRPr="00CC19F7">
        <w:rPr>
          <w:rStyle w:val="kursiv"/>
        </w:rPr>
        <w:t xml:space="preserve"> i 2030, og øke strømproduksjonen i bygg. Planen skal presenteres i forbindelse med statsbudsjettet 2023.</w:t>
      </w:r>
      <w:r w:rsidRPr="00CC19F7">
        <w:t>»</w:t>
      </w:r>
    </w:p>
    <w:p w14:paraId="2D4FED43" w14:textId="77777777" w:rsidR="00FE02EF" w:rsidRPr="00CC19F7" w:rsidRDefault="00881E58" w:rsidP="00CC19F7">
      <w:r w:rsidRPr="00CC19F7">
        <w:t xml:space="preserve">Dokumenta som ligg til grunn for vedtaket er Meld. St. 1 (2021–2022) og </w:t>
      </w:r>
      <w:proofErr w:type="spellStart"/>
      <w:r w:rsidRPr="00CC19F7">
        <w:t>Innst</w:t>
      </w:r>
      <w:proofErr w:type="spellEnd"/>
      <w:r w:rsidRPr="00CC19F7">
        <w:t>. 2 S (2021–2022).</w:t>
      </w:r>
    </w:p>
    <w:p w14:paraId="6E4DDC82" w14:textId="77777777" w:rsidR="00FE02EF" w:rsidRPr="00CC19F7" w:rsidRDefault="00881E58" w:rsidP="00CC19F7">
      <w:r w:rsidRPr="00CC19F7">
        <w:t xml:space="preserve">Departementet viser til omtale i </w:t>
      </w:r>
      <w:proofErr w:type="spellStart"/>
      <w:r w:rsidRPr="00CC19F7">
        <w:t>Prop</w:t>
      </w:r>
      <w:proofErr w:type="spellEnd"/>
      <w:r w:rsidRPr="00CC19F7">
        <w:t xml:space="preserve">. 1 S (2022–2023), punkt 10 Mål om 10 </w:t>
      </w:r>
      <w:proofErr w:type="spellStart"/>
      <w:r w:rsidRPr="00CC19F7">
        <w:t>TWh</w:t>
      </w:r>
      <w:proofErr w:type="spellEnd"/>
      <w:r w:rsidRPr="00CC19F7">
        <w:t xml:space="preserve"> redusert energibruk i bygg </w:t>
      </w:r>
      <w:proofErr w:type="spellStart"/>
      <w:r w:rsidRPr="00CC19F7">
        <w:t>innan</w:t>
      </w:r>
      <w:proofErr w:type="spellEnd"/>
      <w:r w:rsidRPr="00CC19F7">
        <w:t xml:space="preserve"> 2030, i Del III av proposisjonen, der det blir presentert </w:t>
      </w:r>
      <w:proofErr w:type="spellStart"/>
      <w:r w:rsidRPr="00CC19F7">
        <w:t>ein</w:t>
      </w:r>
      <w:proofErr w:type="spellEnd"/>
      <w:r w:rsidRPr="00CC19F7">
        <w:t xml:space="preserve"> plan og </w:t>
      </w:r>
      <w:proofErr w:type="spellStart"/>
      <w:r w:rsidRPr="00CC19F7">
        <w:t>eit</w:t>
      </w:r>
      <w:proofErr w:type="spellEnd"/>
      <w:r w:rsidRPr="00CC19F7">
        <w:t xml:space="preserve"> sett med tiltak som skal redusere energibruken i bygg med minst 10 </w:t>
      </w:r>
      <w:proofErr w:type="spellStart"/>
      <w:r w:rsidRPr="00CC19F7">
        <w:t>TWh</w:t>
      </w:r>
      <w:proofErr w:type="spellEnd"/>
      <w:r w:rsidRPr="00CC19F7">
        <w:t xml:space="preserve"> i 2030 og </w:t>
      </w:r>
      <w:proofErr w:type="spellStart"/>
      <w:r w:rsidRPr="00CC19F7">
        <w:t>auke</w:t>
      </w:r>
      <w:proofErr w:type="spellEnd"/>
      <w:r w:rsidRPr="00CC19F7">
        <w:t xml:space="preserve"> straumproduksjonen i bygg.</w:t>
      </w:r>
    </w:p>
    <w:p w14:paraId="3C1157C5" w14:textId="77777777" w:rsidR="00FE02EF" w:rsidRPr="00CC19F7" w:rsidRDefault="00881E58" w:rsidP="00CC19F7">
      <w:r w:rsidRPr="00CC19F7">
        <w:t xml:space="preserve">I </w:t>
      </w:r>
      <w:proofErr w:type="spellStart"/>
      <w:r w:rsidRPr="00CC19F7">
        <w:t>Innst</w:t>
      </w:r>
      <w:proofErr w:type="spellEnd"/>
      <w:r w:rsidRPr="00CC19F7">
        <w:t xml:space="preserve">. 186 S (2022–2023) meiner </w:t>
      </w:r>
      <w:proofErr w:type="spellStart"/>
      <w:r w:rsidRPr="00CC19F7">
        <w:t>fleirtalet</w:t>
      </w:r>
      <w:proofErr w:type="spellEnd"/>
      <w:r w:rsidRPr="00CC19F7">
        <w:t xml:space="preserve"> i kontroll- og konstitusjonskomiteen at det er grunn til å sette </w:t>
      </w:r>
      <w:proofErr w:type="spellStart"/>
      <w:r w:rsidRPr="00CC19F7">
        <w:t>spørsmålsteikn</w:t>
      </w:r>
      <w:proofErr w:type="spellEnd"/>
      <w:r w:rsidRPr="00CC19F7">
        <w:t xml:space="preserve"> ved om tiltaka som blir presenterte, er </w:t>
      </w:r>
      <w:proofErr w:type="spellStart"/>
      <w:r w:rsidRPr="00CC19F7">
        <w:t>tilstrekkelege</w:t>
      </w:r>
      <w:proofErr w:type="spellEnd"/>
      <w:r w:rsidRPr="00CC19F7">
        <w:t xml:space="preserve"> for å nå Stortingets mål. </w:t>
      </w:r>
      <w:proofErr w:type="spellStart"/>
      <w:r w:rsidRPr="00CC19F7">
        <w:t>Fleirtalet</w:t>
      </w:r>
      <w:proofErr w:type="spellEnd"/>
      <w:r w:rsidRPr="00CC19F7">
        <w:t xml:space="preserve"> meiner derfor oppmodingsvedtaket </w:t>
      </w:r>
      <w:proofErr w:type="spellStart"/>
      <w:r w:rsidRPr="00CC19F7">
        <w:t>ikkje</w:t>
      </w:r>
      <w:proofErr w:type="spellEnd"/>
      <w:r w:rsidRPr="00CC19F7">
        <w:t xml:space="preserve"> kan kvitterast ut og rapportering </w:t>
      </w:r>
      <w:proofErr w:type="spellStart"/>
      <w:r w:rsidRPr="00CC19F7">
        <w:t>ikkje</w:t>
      </w:r>
      <w:proofErr w:type="spellEnd"/>
      <w:r w:rsidRPr="00CC19F7">
        <w:t xml:space="preserve"> kan </w:t>
      </w:r>
      <w:proofErr w:type="spellStart"/>
      <w:r w:rsidRPr="00CC19F7">
        <w:t>avsluttast</w:t>
      </w:r>
      <w:proofErr w:type="spellEnd"/>
      <w:r w:rsidRPr="00CC19F7">
        <w:t xml:space="preserve"> før tiltak som er eigna til å nå målet, er presenterte for Stortinget.</w:t>
      </w:r>
    </w:p>
    <w:p w14:paraId="0060F3D1" w14:textId="0FFDA7AC" w:rsidR="00FE02EF" w:rsidRPr="00CC19F7" w:rsidRDefault="00881E58" w:rsidP="00CC19F7">
      <w:r w:rsidRPr="00CC19F7">
        <w:t xml:space="preserve">Departementet viser til at regjeringa </w:t>
      </w:r>
      <w:proofErr w:type="spellStart"/>
      <w:r w:rsidRPr="00CC19F7">
        <w:t>legg</w:t>
      </w:r>
      <w:proofErr w:type="spellEnd"/>
      <w:r w:rsidRPr="00CC19F7">
        <w:t xml:space="preserve"> fram </w:t>
      </w:r>
      <w:proofErr w:type="spellStart"/>
      <w:r w:rsidRPr="00CC19F7">
        <w:t>ein</w:t>
      </w:r>
      <w:proofErr w:type="spellEnd"/>
      <w:r w:rsidRPr="00CC19F7">
        <w:t xml:space="preserve"> handlingsplan for energieffektivisering i alle </w:t>
      </w:r>
      <w:proofErr w:type="spellStart"/>
      <w:r w:rsidRPr="00CC19F7">
        <w:t>delar</w:t>
      </w:r>
      <w:proofErr w:type="spellEnd"/>
      <w:r w:rsidRPr="00CC19F7">
        <w:t xml:space="preserve"> av norsk økonomi som har stor </w:t>
      </w:r>
      <w:proofErr w:type="spellStart"/>
      <w:r w:rsidRPr="00CC19F7">
        <w:t>merksemd</w:t>
      </w:r>
      <w:proofErr w:type="spellEnd"/>
      <w:r w:rsidRPr="00CC19F7">
        <w:t xml:space="preserve"> på redusert energibruk i bygg. Departementet viser også til omtale og forslag til tiltak og </w:t>
      </w:r>
      <w:proofErr w:type="spellStart"/>
      <w:r w:rsidRPr="00CC19F7">
        <w:t>løyvingar</w:t>
      </w:r>
      <w:proofErr w:type="spellEnd"/>
      <w:r w:rsidRPr="00CC19F7">
        <w:t xml:space="preserve"> under kap. 1825 Energieffektivisering og </w:t>
      </w:r>
      <w:r w:rsidR="00CC19F7">
        <w:t>-</w:t>
      </w:r>
      <w:r w:rsidRPr="00CC19F7">
        <w:t>omlegging.</w:t>
      </w:r>
    </w:p>
    <w:p w14:paraId="227644D6" w14:textId="77777777" w:rsidR="00FE02EF" w:rsidRPr="00CC19F7" w:rsidRDefault="00881E58" w:rsidP="00CC19F7">
      <w:r w:rsidRPr="00CC19F7">
        <w:t xml:space="preserve">Departementet </w:t>
      </w:r>
      <w:proofErr w:type="spellStart"/>
      <w:r w:rsidRPr="00CC19F7">
        <w:t>reknar</w:t>
      </w:r>
      <w:proofErr w:type="spellEnd"/>
      <w:r w:rsidRPr="00CC19F7">
        <w:t xml:space="preserve"> med dette oppmodingsvedtaket som </w:t>
      </w:r>
      <w:proofErr w:type="spellStart"/>
      <w:r w:rsidRPr="00CC19F7">
        <w:t>følgt</w:t>
      </w:r>
      <w:proofErr w:type="spellEnd"/>
      <w:r w:rsidRPr="00CC19F7">
        <w:t xml:space="preserve"> opp.</w:t>
      </w:r>
    </w:p>
    <w:p w14:paraId="2E3B8A28" w14:textId="77777777" w:rsidR="00FE02EF" w:rsidRPr="00CC19F7" w:rsidRDefault="00881E58" w:rsidP="00CC19F7">
      <w:pPr>
        <w:pStyle w:val="avsnitt-tittel"/>
      </w:pPr>
      <w:proofErr w:type="spellStart"/>
      <w:r w:rsidRPr="00CC19F7">
        <w:t>Klimavennleg</w:t>
      </w:r>
      <w:proofErr w:type="spellEnd"/>
      <w:r w:rsidRPr="00CC19F7">
        <w:t xml:space="preserve"> kraftbehov for næringsutvikling i Geiranger, Nærøyfjorden og </w:t>
      </w:r>
      <w:proofErr w:type="spellStart"/>
      <w:r w:rsidRPr="00CC19F7">
        <w:t>tilhøyrande</w:t>
      </w:r>
      <w:proofErr w:type="spellEnd"/>
      <w:r w:rsidRPr="00CC19F7">
        <w:t xml:space="preserve"> ferjesamband</w:t>
      </w:r>
    </w:p>
    <w:p w14:paraId="3D2FDC2D" w14:textId="77777777" w:rsidR="00FE02EF" w:rsidRPr="00CC19F7" w:rsidRDefault="00881E58" w:rsidP="00CC19F7">
      <w:pPr>
        <w:pStyle w:val="avsnitt-undertittel"/>
      </w:pPr>
      <w:r w:rsidRPr="00CC19F7">
        <w:t>Vedtak 385, 15. februar 2022</w:t>
      </w:r>
    </w:p>
    <w:p w14:paraId="701E744D" w14:textId="77777777" w:rsidR="00FE02EF" w:rsidRPr="00CC19F7" w:rsidRDefault="00881E58" w:rsidP="00CC19F7">
      <w:pPr>
        <w:pStyle w:val="blokksit"/>
      </w:pPr>
      <w:r w:rsidRPr="00CC19F7">
        <w:t>«</w:t>
      </w:r>
      <w:r w:rsidRPr="00CC19F7">
        <w:rPr>
          <w:rStyle w:val="kursiv"/>
        </w:rPr>
        <w:t xml:space="preserve">Stortinget ber regjeringa vurdere kva kraftbehov som </w:t>
      </w:r>
      <w:proofErr w:type="spellStart"/>
      <w:r w:rsidRPr="00CC19F7">
        <w:rPr>
          <w:rStyle w:val="kursiv"/>
        </w:rPr>
        <w:t>fylgjer</w:t>
      </w:r>
      <w:proofErr w:type="spellEnd"/>
      <w:r w:rsidRPr="00CC19F7">
        <w:rPr>
          <w:rStyle w:val="kursiv"/>
        </w:rPr>
        <w:t xml:space="preserve"> av målet om næringsutvikling i verdsarvområda Geiranger og Nærøyfjorden og ferjesambanda der, </w:t>
      </w:r>
      <w:proofErr w:type="spellStart"/>
      <w:r w:rsidRPr="00CC19F7">
        <w:rPr>
          <w:rStyle w:val="kursiv"/>
        </w:rPr>
        <w:t>utan</w:t>
      </w:r>
      <w:proofErr w:type="spellEnd"/>
      <w:r w:rsidRPr="00CC19F7">
        <w:rPr>
          <w:rStyle w:val="kursiv"/>
        </w:rPr>
        <w:t xml:space="preserve"> klimagassutslepp, og </w:t>
      </w:r>
      <w:proofErr w:type="spellStart"/>
      <w:r w:rsidRPr="00CC19F7">
        <w:rPr>
          <w:rStyle w:val="kursiv"/>
        </w:rPr>
        <w:t>kome</w:t>
      </w:r>
      <w:proofErr w:type="spellEnd"/>
      <w:r w:rsidRPr="00CC19F7">
        <w:rPr>
          <w:rStyle w:val="kursiv"/>
        </w:rPr>
        <w:t xml:space="preserve"> attende til Stortinget med ei sak om korleis regjeringa kan </w:t>
      </w:r>
      <w:proofErr w:type="spellStart"/>
      <w:r w:rsidRPr="00CC19F7">
        <w:rPr>
          <w:rStyle w:val="kursiv"/>
        </w:rPr>
        <w:t>medverke</w:t>
      </w:r>
      <w:proofErr w:type="spellEnd"/>
      <w:r w:rsidRPr="00CC19F7">
        <w:rPr>
          <w:rStyle w:val="kursiv"/>
        </w:rPr>
        <w:t xml:space="preserve"> til at kraftbehovet vert dekt.</w:t>
      </w:r>
      <w:r w:rsidRPr="00CC19F7">
        <w:t>»</w:t>
      </w:r>
    </w:p>
    <w:p w14:paraId="5B609286" w14:textId="77777777" w:rsidR="00FE02EF" w:rsidRPr="00CC19F7" w:rsidRDefault="00881E58" w:rsidP="00CC19F7">
      <w:r w:rsidRPr="00CC19F7">
        <w:t xml:space="preserve">Dokumenta som ligg til grunn for vedtaket er Dokument 8:30 S (2021–2022) og </w:t>
      </w:r>
      <w:proofErr w:type="spellStart"/>
      <w:r w:rsidRPr="00CC19F7">
        <w:t>Innst</w:t>
      </w:r>
      <w:proofErr w:type="spellEnd"/>
      <w:r w:rsidRPr="00CC19F7">
        <w:t>. 135 S (2021–2022).</w:t>
      </w:r>
    </w:p>
    <w:p w14:paraId="22E215E5" w14:textId="77777777" w:rsidR="00FE02EF" w:rsidRPr="00CC19F7" w:rsidRDefault="00881E58" w:rsidP="00CC19F7">
      <w:r w:rsidRPr="00CC19F7">
        <w:t xml:space="preserve">På oppdrag </w:t>
      </w:r>
      <w:proofErr w:type="spellStart"/>
      <w:r w:rsidRPr="00CC19F7">
        <w:t>frå</w:t>
      </w:r>
      <w:proofErr w:type="spellEnd"/>
      <w:r w:rsidRPr="00CC19F7">
        <w:t xml:space="preserve"> Klima- og miljødepartementet (KLD) har Sjøfartsdirektoratet sendt på </w:t>
      </w:r>
      <w:proofErr w:type="spellStart"/>
      <w:r w:rsidRPr="00CC19F7">
        <w:t>høyring</w:t>
      </w:r>
      <w:proofErr w:type="spellEnd"/>
      <w:r w:rsidRPr="00CC19F7">
        <w:t xml:space="preserve"> </w:t>
      </w:r>
      <w:proofErr w:type="spellStart"/>
      <w:r w:rsidRPr="00CC19F7">
        <w:t>eit</w:t>
      </w:r>
      <w:proofErr w:type="spellEnd"/>
      <w:r w:rsidRPr="00CC19F7">
        <w:t xml:space="preserve"> forslag om endring av </w:t>
      </w:r>
      <w:r w:rsidRPr="00CC19F7">
        <w:rPr>
          <w:rStyle w:val="kursiv"/>
        </w:rPr>
        <w:t>forskrift om miljømessig sikkerhet for skip og flyttbare innretninger</w:t>
      </w:r>
      <w:r w:rsidRPr="00CC19F7">
        <w:t xml:space="preserve"> for at </w:t>
      </w:r>
      <w:proofErr w:type="spellStart"/>
      <w:r w:rsidRPr="00CC19F7">
        <w:t>verdsarvfjordane</w:t>
      </w:r>
      <w:proofErr w:type="spellEnd"/>
      <w:r w:rsidRPr="00CC19F7">
        <w:t xml:space="preserve"> skal </w:t>
      </w:r>
      <w:proofErr w:type="spellStart"/>
      <w:r w:rsidRPr="00CC19F7">
        <w:t>vere</w:t>
      </w:r>
      <w:proofErr w:type="spellEnd"/>
      <w:r w:rsidRPr="00CC19F7">
        <w:t xml:space="preserve"> utsleppsfrie </w:t>
      </w:r>
      <w:proofErr w:type="spellStart"/>
      <w:r w:rsidRPr="00CC19F7">
        <w:t>frå</w:t>
      </w:r>
      <w:proofErr w:type="spellEnd"/>
      <w:r w:rsidRPr="00CC19F7">
        <w:t xml:space="preserve"> 2026. Forslaget </w:t>
      </w:r>
      <w:proofErr w:type="spellStart"/>
      <w:r w:rsidRPr="00CC19F7">
        <w:t>inneber</w:t>
      </w:r>
      <w:proofErr w:type="spellEnd"/>
      <w:r w:rsidRPr="00CC19F7">
        <w:t xml:space="preserve"> ei eiga regulering om utslepp av </w:t>
      </w:r>
      <w:proofErr w:type="spellStart"/>
      <w:r w:rsidRPr="00CC19F7">
        <w:t>klimagassane</w:t>
      </w:r>
      <w:proofErr w:type="spellEnd"/>
      <w:r w:rsidRPr="00CC19F7">
        <w:t xml:space="preserve"> karbondioksid og metan, og bruk av best </w:t>
      </w:r>
      <w:proofErr w:type="spellStart"/>
      <w:r w:rsidRPr="00CC19F7">
        <w:t>tilgjengeleg</w:t>
      </w:r>
      <w:proofErr w:type="spellEnd"/>
      <w:r w:rsidRPr="00CC19F7">
        <w:t xml:space="preserve"> teknologi for å redusere utslepp av lystgass. Forslaget er utforma teknologinøytralt slik at det er opptil </w:t>
      </w:r>
      <w:proofErr w:type="spellStart"/>
      <w:r w:rsidRPr="00CC19F7">
        <w:t>aktørane</w:t>
      </w:r>
      <w:proofErr w:type="spellEnd"/>
      <w:r w:rsidRPr="00CC19F7">
        <w:t xml:space="preserve"> som opererer i </w:t>
      </w:r>
      <w:proofErr w:type="spellStart"/>
      <w:r w:rsidRPr="00CC19F7">
        <w:t>verdsarvfjordane</w:t>
      </w:r>
      <w:proofErr w:type="spellEnd"/>
      <w:r w:rsidRPr="00CC19F7">
        <w:t xml:space="preserve"> å bruke energikjelder som </w:t>
      </w:r>
      <w:proofErr w:type="spellStart"/>
      <w:r w:rsidRPr="00CC19F7">
        <w:t>ikkje</w:t>
      </w:r>
      <w:proofErr w:type="spellEnd"/>
      <w:r w:rsidRPr="00CC19F7">
        <w:t xml:space="preserve"> gir direkte utslepp av karbondioksid og metan. Forslaget medfører dermed </w:t>
      </w:r>
      <w:proofErr w:type="spellStart"/>
      <w:r w:rsidRPr="00CC19F7">
        <w:t>ikkje</w:t>
      </w:r>
      <w:proofErr w:type="spellEnd"/>
      <w:r w:rsidRPr="00CC19F7">
        <w:t xml:space="preserve"> </w:t>
      </w:r>
      <w:proofErr w:type="spellStart"/>
      <w:r w:rsidRPr="00CC19F7">
        <w:t>noko</w:t>
      </w:r>
      <w:proofErr w:type="spellEnd"/>
      <w:r w:rsidRPr="00CC19F7">
        <w:t xml:space="preserve"> krav om at det må </w:t>
      </w:r>
      <w:proofErr w:type="spellStart"/>
      <w:r w:rsidRPr="00CC19F7">
        <w:t>byggjast</w:t>
      </w:r>
      <w:proofErr w:type="spellEnd"/>
      <w:r w:rsidRPr="00CC19F7">
        <w:t xml:space="preserve"> ut </w:t>
      </w:r>
      <w:proofErr w:type="spellStart"/>
      <w:r w:rsidRPr="00CC19F7">
        <w:t>landstraum</w:t>
      </w:r>
      <w:proofErr w:type="spellEnd"/>
      <w:r w:rsidRPr="00CC19F7">
        <w:t xml:space="preserve"> i </w:t>
      </w:r>
      <w:proofErr w:type="spellStart"/>
      <w:r w:rsidRPr="00CC19F7">
        <w:t>verdsarvfjordane</w:t>
      </w:r>
      <w:proofErr w:type="spellEnd"/>
      <w:r w:rsidRPr="00CC19F7">
        <w:t xml:space="preserve">. Det er foreslått at </w:t>
      </w:r>
      <w:proofErr w:type="spellStart"/>
      <w:r w:rsidRPr="00CC19F7">
        <w:t>endringane</w:t>
      </w:r>
      <w:proofErr w:type="spellEnd"/>
      <w:r w:rsidRPr="00CC19F7">
        <w:t xml:space="preserve"> skal tre i kraft 1. januar 2026.</w:t>
      </w:r>
    </w:p>
    <w:p w14:paraId="566EA54B" w14:textId="77777777" w:rsidR="00FE02EF" w:rsidRPr="00CC19F7" w:rsidRDefault="00881E58" w:rsidP="00CC19F7">
      <w:r w:rsidRPr="00CC19F7">
        <w:t>Departementet vil komme tilbake til Stortinget på eigna måte.</w:t>
      </w:r>
    </w:p>
    <w:p w14:paraId="6DC80370" w14:textId="77777777" w:rsidR="00FE02EF" w:rsidRPr="00CC19F7" w:rsidRDefault="00881E58" w:rsidP="00CC19F7">
      <w:pPr>
        <w:pStyle w:val="avsnitt-tittel"/>
      </w:pPr>
      <w:r w:rsidRPr="00CC19F7">
        <w:t xml:space="preserve">Fjerne regulatoriske </w:t>
      </w:r>
      <w:proofErr w:type="spellStart"/>
      <w:r w:rsidRPr="00CC19F7">
        <w:t>barrierar</w:t>
      </w:r>
      <w:proofErr w:type="spellEnd"/>
      <w:r w:rsidRPr="00CC19F7">
        <w:t xml:space="preserve"> som </w:t>
      </w:r>
      <w:proofErr w:type="spellStart"/>
      <w:r w:rsidRPr="00CC19F7">
        <w:t>hindrar</w:t>
      </w:r>
      <w:proofErr w:type="spellEnd"/>
      <w:r w:rsidRPr="00CC19F7">
        <w:t xml:space="preserve"> lokal energiproduksjon, energilagring og omsetning av energi mellom bygg</w:t>
      </w:r>
    </w:p>
    <w:p w14:paraId="2D38CDAF" w14:textId="77777777" w:rsidR="00FE02EF" w:rsidRPr="00CC19F7" w:rsidRDefault="00881E58" w:rsidP="00CC19F7">
      <w:pPr>
        <w:pStyle w:val="avsnitt-undertittel"/>
      </w:pPr>
      <w:r w:rsidRPr="00CC19F7">
        <w:t>Vedtak 548, 10. mai 2022</w:t>
      </w:r>
    </w:p>
    <w:p w14:paraId="77377EEC" w14:textId="77777777" w:rsidR="00FE02EF" w:rsidRPr="00CC19F7" w:rsidRDefault="00881E58" w:rsidP="00CC19F7">
      <w:pPr>
        <w:pStyle w:val="blokksit"/>
      </w:pPr>
      <w:r w:rsidRPr="00CC19F7">
        <w:t>«</w:t>
      </w:r>
      <w:r w:rsidRPr="00CC19F7">
        <w:rPr>
          <w:rStyle w:val="kursiv"/>
        </w:rPr>
        <w:t>Stortinget ber regjeringen fjerne regulatoriske barrierer som hindrer lokal energiproduksjon, lokal energilagring og omsetning av energi mellom bygg.</w:t>
      </w:r>
      <w:r w:rsidRPr="00CC19F7">
        <w:t>»</w:t>
      </w:r>
    </w:p>
    <w:p w14:paraId="270D2776" w14:textId="77777777" w:rsidR="00FE02EF" w:rsidRPr="00CC19F7" w:rsidRDefault="00881E58" w:rsidP="00CC19F7">
      <w:r w:rsidRPr="00CC19F7">
        <w:t xml:space="preserve">Dokumenta som ligg til grunn for vedtaket er Dokument 8:130 S (2021–2022), Dokument 8:148 S (2021–2022) og </w:t>
      </w:r>
      <w:proofErr w:type="spellStart"/>
      <w:r w:rsidRPr="00CC19F7">
        <w:t>Innst</w:t>
      </w:r>
      <w:proofErr w:type="spellEnd"/>
      <w:r w:rsidRPr="00CC19F7">
        <w:t>. 272 S (2021–2022).</w:t>
      </w:r>
    </w:p>
    <w:p w14:paraId="3EAF99EE" w14:textId="77777777" w:rsidR="00FE02EF" w:rsidRPr="00CC19F7" w:rsidRDefault="00881E58" w:rsidP="00CC19F7">
      <w:r w:rsidRPr="00CC19F7">
        <w:t xml:space="preserve">Departementet har i oppfølginga av vedtaket bedt NVE, med </w:t>
      </w:r>
      <w:proofErr w:type="spellStart"/>
      <w:r w:rsidRPr="00CC19F7">
        <w:t>innspel</w:t>
      </w:r>
      <w:proofErr w:type="spellEnd"/>
      <w:r w:rsidRPr="00CC19F7">
        <w:t xml:space="preserve"> </w:t>
      </w:r>
      <w:proofErr w:type="spellStart"/>
      <w:r w:rsidRPr="00CC19F7">
        <w:t>frå</w:t>
      </w:r>
      <w:proofErr w:type="spellEnd"/>
      <w:r w:rsidRPr="00CC19F7">
        <w:t xml:space="preserve"> RME og eventuelt andre </w:t>
      </w:r>
      <w:proofErr w:type="spellStart"/>
      <w:r w:rsidRPr="00CC19F7">
        <w:t>etatar</w:t>
      </w:r>
      <w:proofErr w:type="spellEnd"/>
      <w:r w:rsidRPr="00CC19F7">
        <w:t xml:space="preserve">, kartlegge og vurdere rammevilkåra for lokal energiproduksjon og -lagring og eventuelt foreslå </w:t>
      </w:r>
      <w:proofErr w:type="spellStart"/>
      <w:r w:rsidRPr="00CC19F7">
        <w:t>endringar</w:t>
      </w:r>
      <w:proofErr w:type="spellEnd"/>
      <w:r w:rsidRPr="00CC19F7">
        <w:t xml:space="preserve"> i </w:t>
      </w:r>
      <w:proofErr w:type="spellStart"/>
      <w:r w:rsidRPr="00CC19F7">
        <w:t>eksisterande</w:t>
      </w:r>
      <w:proofErr w:type="spellEnd"/>
      <w:r w:rsidRPr="00CC19F7">
        <w:t xml:space="preserve"> </w:t>
      </w:r>
      <w:proofErr w:type="spellStart"/>
      <w:r w:rsidRPr="00CC19F7">
        <w:t>reguleringar</w:t>
      </w:r>
      <w:proofErr w:type="spellEnd"/>
      <w:r w:rsidRPr="00CC19F7">
        <w:t xml:space="preserve"> og </w:t>
      </w:r>
      <w:proofErr w:type="spellStart"/>
      <w:r w:rsidRPr="00CC19F7">
        <w:t>verkemiddel</w:t>
      </w:r>
      <w:proofErr w:type="spellEnd"/>
      <w:r w:rsidRPr="00CC19F7">
        <w:t>.</w:t>
      </w:r>
    </w:p>
    <w:p w14:paraId="71B124E9" w14:textId="77777777" w:rsidR="00FE02EF" w:rsidRPr="00CC19F7" w:rsidRDefault="00881E58" w:rsidP="00CC19F7">
      <w:r w:rsidRPr="00CC19F7">
        <w:t xml:space="preserve">Departementet har i oppfølginga av vedtaket bedt RME, med </w:t>
      </w:r>
      <w:proofErr w:type="spellStart"/>
      <w:r w:rsidRPr="00CC19F7">
        <w:t>innspel</w:t>
      </w:r>
      <w:proofErr w:type="spellEnd"/>
      <w:r w:rsidRPr="00CC19F7">
        <w:t xml:space="preserve"> får NVE, om å vurdere ei delingsordning tilpassa næringsområde, slik at deling av eigenprodusert </w:t>
      </w:r>
      <w:proofErr w:type="spellStart"/>
      <w:r w:rsidRPr="00CC19F7">
        <w:t>straum</w:t>
      </w:r>
      <w:proofErr w:type="spellEnd"/>
      <w:r w:rsidRPr="00CC19F7">
        <w:t xml:space="preserve"> mellom </w:t>
      </w:r>
      <w:proofErr w:type="spellStart"/>
      <w:r w:rsidRPr="00CC19F7">
        <w:t>straumkundar</w:t>
      </w:r>
      <w:proofErr w:type="spellEnd"/>
      <w:r w:rsidRPr="00CC19F7">
        <w:t xml:space="preserve"> utover vedtatt ordning kan </w:t>
      </w:r>
      <w:proofErr w:type="spellStart"/>
      <w:r w:rsidRPr="00CC19F7">
        <w:t>gjerast</w:t>
      </w:r>
      <w:proofErr w:type="spellEnd"/>
      <w:r w:rsidRPr="00CC19F7">
        <w:t xml:space="preserve"> på </w:t>
      </w:r>
      <w:proofErr w:type="spellStart"/>
      <w:r w:rsidRPr="00CC19F7">
        <w:t>ein</w:t>
      </w:r>
      <w:proofErr w:type="spellEnd"/>
      <w:r w:rsidRPr="00CC19F7">
        <w:t xml:space="preserve"> samfunnsmessig rasjonell måte. Deling </w:t>
      </w:r>
      <w:proofErr w:type="spellStart"/>
      <w:r w:rsidRPr="00CC19F7">
        <w:t>frå</w:t>
      </w:r>
      <w:proofErr w:type="spellEnd"/>
      <w:r w:rsidRPr="00CC19F7">
        <w:t xml:space="preserve"> anlegg med </w:t>
      </w:r>
      <w:proofErr w:type="spellStart"/>
      <w:r w:rsidRPr="00CC19F7">
        <w:t>meir</w:t>
      </w:r>
      <w:proofErr w:type="spellEnd"/>
      <w:r w:rsidRPr="00CC19F7">
        <w:t xml:space="preserve"> enn 1 MW installert effekt skal inngå i vurderinga.</w:t>
      </w:r>
    </w:p>
    <w:p w14:paraId="33E1FC9A" w14:textId="77777777" w:rsidR="00FE02EF" w:rsidRPr="00CC19F7" w:rsidRDefault="00881E58" w:rsidP="00CC19F7">
      <w:r w:rsidRPr="00CC19F7">
        <w:t xml:space="preserve">Departementet har samtidig bedt NVE om å vurdere ei lov-/forskriftsendring som gir </w:t>
      </w:r>
      <w:proofErr w:type="spellStart"/>
      <w:r w:rsidRPr="00CC19F7">
        <w:t>konsesjonsmyndigheitene</w:t>
      </w:r>
      <w:proofErr w:type="spellEnd"/>
      <w:r w:rsidRPr="00CC19F7">
        <w:t xml:space="preserve"> høve til å </w:t>
      </w:r>
      <w:proofErr w:type="spellStart"/>
      <w:r w:rsidRPr="00CC19F7">
        <w:t>gjere</w:t>
      </w:r>
      <w:proofErr w:type="spellEnd"/>
      <w:r w:rsidRPr="00CC19F7">
        <w:t xml:space="preserve"> unntak for mindre konsesjonspliktige energiproduksjonsanlegg på industri- og næringsareal (grå areal) </w:t>
      </w:r>
      <w:proofErr w:type="spellStart"/>
      <w:r w:rsidRPr="00CC19F7">
        <w:t>frå</w:t>
      </w:r>
      <w:proofErr w:type="spellEnd"/>
      <w:r w:rsidRPr="00CC19F7">
        <w:t xml:space="preserve"> konsesjonsplikt. NVE er samtidig bedt om å utarbeide utkast til </w:t>
      </w:r>
      <w:proofErr w:type="spellStart"/>
      <w:r w:rsidRPr="00CC19F7">
        <w:t>dei</w:t>
      </w:r>
      <w:proofErr w:type="spellEnd"/>
      <w:r w:rsidRPr="00CC19F7">
        <w:t xml:space="preserve"> lov-/</w:t>
      </w:r>
      <w:proofErr w:type="spellStart"/>
      <w:r w:rsidRPr="00CC19F7">
        <w:t>forskriftsendringane</w:t>
      </w:r>
      <w:proofErr w:type="spellEnd"/>
      <w:r w:rsidRPr="00CC19F7">
        <w:t xml:space="preserve"> </w:t>
      </w:r>
      <w:proofErr w:type="spellStart"/>
      <w:r w:rsidRPr="00CC19F7">
        <w:t>dette vil</w:t>
      </w:r>
      <w:proofErr w:type="spellEnd"/>
      <w:r w:rsidRPr="00CC19F7">
        <w:t xml:space="preserve"> </w:t>
      </w:r>
      <w:proofErr w:type="spellStart"/>
      <w:r w:rsidRPr="00CC19F7">
        <w:t>krevje</w:t>
      </w:r>
      <w:proofErr w:type="spellEnd"/>
      <w:r w:rsidRPr="00CC19F7">
        <w:t>.</w:t>
      </w:r>
    </w:p>
    <w:p w14:paraId="7FA46074" w14:textId="77777777" w:rsidR="00FE02EF" w:rsidRPr="00CC19F7" w:rsidRDefault="00881E58" w:rsidP="00CC19F7">
      <w:r w:rsidRPr="00CC19F7">
        <w:t xml:space="preserve">Departementet vil fremme eventuelle forslag til </w:t>
      </w:r>
      <w:proofErr w:type="spellStart"/>
      <w:r w:rsidRPr="00CC19F7">
        <w:t>lovendringar</w:t>
      </w:r>
      <w:proofErr w:type="spellEnd"/>
      <w:r w:rsidRPr="00CC19F7">
        <w:t xml:space="preserve"> for Stortinget.</w:t>
      </w:r>
    </w:p>
    <w:p w14:paraId="60155167" w14:textId="77777777" w:rsidR="00FE02EF" w:rsidRPr="00CC19F7" w:rsidRDefault="00881E58" w:rsidP="00CC19F7">
      <w:pPr>
        <w:pStyle w:val="avsnitt-tittel"/>
      </w:pPr>
      <w:r w:rsidRPr="00CC19F7">
        <w:t xml:space="preserve">Kraft- og nettutbygging knytt til store </w:t>
      </w:r>
      <w:proofErr w:type="spellStart"/>
      <w:r w:rsidRPr="00CC19F7">
        <w:t>industrietableringar</w:t>
      </w:r>
      <w:proofErr w:type="spellEnd"/>
    </w:p>
    <w:p w14:paraId="2CE0C1A6" w14:textId="77777777" w:rsidR="00FE02EF" w:rsidRPr="00CC19F7" w:rsidRDefault="00881E58" w:rsidP="00CC19F7">
      <w:pPr>
        <w:pStyle w:val="avsnitt-undertittel"/>
      </w:pPr>
      <w:r w:rsidRPr="00CC19F7">
        <w:t>Vedtak 701, 10. juni 2022</w:t>
      </w:r>
    </w:p>
    <w:p w14:paraId="4571BFFE" w14:textId="77777777" w:rsidR="00FE02EF" w:rsidRPr="00CC19F7" w:rsidRDefault="00881E58" w:rsidP="00CC19F7">
      <w:pPr>
        <w:pStyle w:val="blokksit"/>
      </w:pPr>
      <w:r w:rsidRPr="00CC19F7">
        <w:t>«</w:t>
      </w:r>
      <w:r w:rsidRPr="00CC19F7">
        <w:rPr>
          <w:rStyle w:val="kursiv"/>
        </w:rPr>
        <w:t>Stortinget ber regjeringen utrede et eget hurtigløp for kraft- og nettutbygging knyttet til store industrietableringer og ber regjeringen komme med en utredning i forbindelse med revidert nasjonalbudsjett 2023.</w:t>
      </w:r>
      <w:r w:rsidRPr="00CC19F7">
        <w:t>»</w:t>
      </w:r>
    </w:p>
    <w:p w14:paraId="37DF4013" w14:textId="77777777" w:rsidR="00FE02EF" w:rsidRPr="00CC19F7" w:rsidRDefault="00881E58" w:rsidP="00CC19F7">
      <w:r w:rsidRPr="00CC19F7">
        <w:t xml:space="preserve">Dokumenta som ligg til grunn for vedtaket er Meld. St. 36 (2020–2021), Meld. St. 11 (2021–2022) og </w:t>
      </w:r>
      <w:proofErr w:type="spellStart"/>
      <w:r w:rsidRPr="00CC19F7">
        <w:t>Innst</w:t>
      </w:r>
      <w:proofErr w:type="spellEnd"/>
      <w:r w:rsidRPr="00CC19F7">
        <w:t>. 446 S (2021–2022).</w:t>
      </w:r>
    </w:p>
    <w:p w14:paraId="0AA9F9B7" w14:textId="77777777" w:rsidR="00FE02EF" w:rsidRPr="00CC19F7" w:rsidRDefault="00881E58" w:rsidP="00CC19F7">
      <w:r w:rsidRPr="00CC19F7">
        <w:t xml:space="preserve">Departementet </w:t>
      </w:r>
      <w:proofErr w:type="spellStart"/>
      <w:r w:rsidRPr="00CC19F7">
        <w:t>legg</w:t>
      </w:r>
      <w:proofErr w:type="spellEnd"/>
      <w:r w:rsidRPr="00CC19F7">
        <w:t xml:space="preserve"> til grunn at oppmodingsvedtaket er </w:t>
      </w:r>
      <w:proofErr w:type="spellStart"/>
      <w:r w:rsidRPr="00CC19F7">
        <w:t>følgt</w:t>
      </w:r>
      <w:proofErr w:type="spellEnd"/>
      <w:r w:rsidRPr="00CC19F7">
        <w:t xml:space="preserve"> opp gjennom vurderinga under kapittel 1.4 Anmodningsvedtak og omtale på side 177–179 i </w:t>
      </w:r>
      <w:proofErr w:type="spellStart"/>
      <w:r w:rsidRPr="00CC19F7">
        <w:t>Prop</w:t>
      </w:r>
      <w:proofErr w:type="spellEnd"/>
      <w:r w:rsidRPr="00CC19F7">
        <w:t xml:space="preserve">. 118 S (2022–2023) </w:t>
      </w:r>
      <w:r w:rsidRPr="00CC19F7">
        <w:rPr>
          <w:rStyle w:val="kursiv"/>
        </w:rPr>
        <w:t>Tilleggsbevilgninger og omprioriteringer i statsbudsjettet 2023</w:t>
      </w:r>
      <w:r w:rsidRPr="00CC19F7">
        <w:t xml:space="preserve"> og departementets arbeid med å følge opp </w:t>
      </w:r>
      <w:proofErr w:type="spellStart"/>
      <w:r w:rsidRPr="00CC19F7">
        <w:t>Straumnettutvalet</w:t>
      </w:r>
      <w:proofErr w:type="spellEnd"/>
      <w:r w:rsidRPr="00CC19F7">
        <w:t xml:space="preserve"> (NOU 2022: 6 – </w:t>
      </w:r>
      <w:r w:rsidRPr="00CC19F7">
        <w:rPr>
          <w:rStyle w:val="kursiv"/>
        </w:rPr>
        <w:t>Nett i tide</w:t>
      </w:r>
      <w:r w:rsidRPr="00CC19F7">
        <w:t xml:space="preserve">) og Energikommisjonen (NOU 2023: 3 – </w:t>
      </w:r>
      <w:r w:rsidRPr="00CC19F7">
        <w:rPr>
          <w:rStyle w:val="kursiv"/>
        </w:rPr>
        <w:t>Mer av alt – raskere</w:t>
      </w:r>
      <w:r w:rsidRPr="00CC19F7">
        <w:t>).</w:t>
      </w:r>
    </w:p>
    <w:p w14:paraId="35DD88AB" w14:textId="77777777" w:rsidR="00FE02EF" w:rsidRPr="00CC19F7" w:rsidRDefault="00881E58" w:rsidP="00CC19F7">
      <w:r w:rsidRPr="00CC19F7">
        <w:t xml:space="preserve">NVE har i </w:t>
      </w:r>
      <w:proofErr w:type="spellStart"/>
      <w:r w:rsidRPr="00CC19F7">
        <w:t>innspel</w:t>
      </w:r>
      <w:proofErr w:type="spellEnd"/>
      <w:r w:rsidRPr="00CC19F7">
        <w:t xml:space="preserve"> til departementet i samband med nasjonalbudsjettet for 2024 estimert at totale </w:t>
      </w:r>
      <w:proofErr w:type="spellStart"/>
      <w:r w:rsidRPr="00CC19F7">
        <w:t>investeringar</w:t>
      </w:r>
      <w:proofErr w:type="spellEnd"/>
      <w:r w:rsidRPr="00CC19F7">
        <w:t xml:space="preserve"> i transmisjons-, regional-, og distribusjonsnettet vil </w:t>
      </w:r>
      <w:proofErr w:type="spellStart"/>
      <w:r w:rsidRPr="00CC19F7">
        <w:t>vere</w:t>
      </w:r>
      <w:proofErr w:type="spellEnd"/>
      <w:r w:rsidRPr="00CC19F7">
        <w:t xml:space="preserve"> mellom 15 og 20 mrd. kroner per år i </w:t>
      </w:r>
      <w:proofErr w:type="spellStart"/>
      <w:r w:rsidRPr="00CC19F7">
        <w:t>dei</w:t>
      </w:r>
      <w:proofErr w:type="spellEnd"/>
      <w:r w:rsidRPr="00CC19F7">
        <w:t xml:space="preserve"> </w:t>
      </w:r>
      <w:proofErr w:type="spellStart"/>
      <w:r w:rsidRPr="00CC19F7">
        <w:t>kommande</w:t>
      </w:r>
      <w:proofErr w:type="spellEnd"/>
      <w:r w:rsidRPr="00CC19F7">
        <w:t xml:space="preserve"> åra. </w:t>
      </w:r>
      <w:proofErr w:type="spellStart"/>
      <w:r w:rsidRPr="00CC19F7">
        <w:t>Auka</w:t>
      </w:r>
      <w:proofErr w:type="spellEnd"/>
      <w:r w:rsidRPr="00CC19F7">
        <w:t xml:space="preserve"> elektrifisering og nytt kraftforbruk er, </w:t>
      </w:r>
      <w:proofErr w:type="spellStart"/>
      <w:r w:rsidRPr="00CC19F7">
        <w:t>saman</w:t>
      </w:r>
      <w:proofErr w:type="spellEnd"/>
      <w:r w:rsidRPr="00CC19F7">
        <w:t xml:space="preserve"> med behov for </w:t>
      </w:r>
      <w:proofErr w:type="spellStart"/>
      <w:r w:rsidRPr="00CC19F7">
        <w:t>reinvesteringar</w:t>
      </w:r>
      <w:proofErr w:type="spellEnd"/>
      <w:r w:rsidRPr="00CC19F7">
        <w:t xml:space="preserve">, sterke </w:t>
      </w:r>
      <w:proofErr w:type="spellStart"/>
      <w:r w:rsidRPr="00CC19F7">
        <w:t>drivarar</w:t>
      </w:r>
      <w:proofErr w:type="spellEnd"/>
      <w:r w:rsidRPr="00CC19F7">
        <w:t xml:space="preserve"> for </w:t>
      </w:r>
      <w:proofErr w:type="spellStart"/>
      <w:r w:rsidRPr="00CC19F7">
        <w:t>investeringane</w:t>
      </w:r>
      <w:proofErr w:type="spellEnd"/>
      <w:r w:rsidRPr="00CC19F7">
        <w:t>.</w:t>
      </w:r>
    </w:p>
    <w:p w14:paraId="0ED0E1E3" w14:textId="77777777" w:rsidR="00FE02EF" w:rsidRPr="00CC19F7" w:rsidRDefault="00881E58" w:rsidP="00CC19F7">
      <w:proofErr w:type="spellStart"/>
      <w:r w:rsidRPr="00CC19F7">
        <w:t>Konsesjonsmyndigheitene</w:t>
      </w:r>
      <w:proofErr w:type="spellEnd"/>
      <w:r w:rsidRPr="00CC19F7">
        <w:t xml:space="preserve"> </w:t>
      </w:r>
      <w:proofErr w:type="spellStart"/>
      <w:r w:rsidRPr="00CC19F7">
        <w:t>fekk</w:t>
      </w:r>
      <w:proofErr w:type="spellEnd"/>
      <w:r w:rsidRPr="00CC19F7">
        <w:t xml:space="preserve"> </w:t>
      </w:r>
      <w:proofErr w:type="spellStart"/>
      <w:r w:rsidRPr="00CC19F7">
        <w:t>ein</w:t>
      </w:r>
      <w:proofErr w:type="spellEnd"/>
      <w:r w:rsidRPr="00CC19F7">
        <w:t xml:space="preserve"> </w:t>
      </w:r>
      <w:proofErr w:type="spellStart"/>
      <w:r w:rsidRPr="00CC19F7">
        <w:t>betydeleg</w:t>
      </w:r>
      <w:proofErr w:type="spellEnd"/>
      <w:r w:rsidRPr="00CC19F7">
        <w:t xml:space="preserve"> </w:t>
      </w:r>
      <w:proofErr w:type="spellStart"/>
      <w:r w:rsidRPr="00CC19F7">
        <w:t>auke</w:t>
      </w:r>
      <w:proofErr w:type="spellEnd"/>
      <w:r w:rsidRPr="00CC19F7">
        <w:t xml:space="preserve"> i </w:t>
      </w:r>
      <w:proofErr w:type="spellStart"/>
      <w:r w:rsidRPr="00CC19F7">
        <w:t>løyvingane</w:t>
      </w:r>
      <w:proofErr w:type="spellEnd"/>
      <w:r w:rsidRPr="00CC19F7">
        <w:t xml:space="preserve"> i budsjettet for 2022 og 2023, </w:t>
      </w:r>
      <w:proofErr w:type="spellStart"/>
      <w:r w:rsidRPr="00CC19F7">
        <w:t>noko</w:t>
      </w:r>
      <w:proofErr w:type="spellEnd"/>
      <w:r w:rsidRPr="00CC19F7">
        <w:t xml:space="preserve"> som fører med seg </w:t>
      </w:r>
      <w:proofErr w:type="spellStart"/>
      <w:r w:rsidRPr="00CC19F7">
        <w:t>ein</w:t>
      </w:r>
      <w:proofErr w:type="spellEnd"/>
      <w:r w:rsidRPr="00CC19F7">
        <w:t xml:space="preserve"> </w:t>
      </w:r>
      <w:proofErr w:type="spellStart"/>
      <w:r w:rsidRPr="00CC19F7">
        <w:t>auke</w:t>
      </w:r>
      <w:proofErr w:type="spellEnd"/>
      <w:r w:rsidRPr="00CC19F7">
        <w:t xml:space="preserve"> i saksbehandlingskapasiteten i NVE og Olje- og energidepartementet og større </w:t>
      </w:r>
      <w:proofErr w:type="spellStart"/>
      <w:r w:rsidRPr="00CC19F7">
        <w:t>midlar</w:t>
      </w:r>
      <w:proofErr w:type="spellEnd"/>
      <w:r w:rsidRPr="00CC19F7">
        <w:t xml:space="preserve"> til digitalisering av nettplanlegging og konsesjonsbehandling hos NVE. </w:t>
      </w:r>
      <w:proofErr w:type="spellStart"/>
      <w:r w:rsidRPr="00CC19F7">
        <w:t>Løyvingane</w:t>
      </w:r>
      <w:proofErr w:type="spellEnd"/>
      <w:r w:rsidRPr="00CC19F7">
        <w:t xml:space="preserve"> er foreslått </w:t>
      </w:r>
      <w:proofErr w:type="spellStart"/>
      <w:r w:rsidRPr="00CC19F7">
        <w:t>auka</w:t>
      </w:r>
      <w:proofErr w:type="spellEnd"/>
      <w:r w:rsidRPr="00CC19F7">
        <w:t xml:space="preserve"> </w:t>
      </w:r>
      <w:proofErr w:type="spellStart"/>
      <w:r w:rsidRPr="00CC19F7">
        <w:t>ytterlegare</w:t>
      </w:r>
      <w:proofErr w:type="spellEnd"/>
      <w:r w:rsidRPr="00CC19F7">
        <w:t xml:space="preserve"> i budsjettet for 2024. Regjeringa har også lagt fram </w:t>
      </w:r>
      <w:proofErr w:type="spellStart"/>
      <w:r w:rsidRPr="00CC19F7">
        <w:t>ein</w:t>
      </w:r>
      <w:proofErr w:type="spellEnd"/>
      <w:r w:rsidRPr="00CC19F7">
        <w:t xml:space="preserve"> handlingsplan for </w:t>
      </w:r>
      <w:proofErr w:type="spellStart"/>
      <w:r w:rsidRPr="00CC19F7">
        <w:t>raskare</w:t>
      </w:r>
      <w:proofErr w:type="spellEnd"/>
      <w:r w:rsidRPr="00CC19F7">
        <w:t xml:space="preserve"> nettutbygging og betre utnytting av nettet som </w:t>
      </w:r>
      <w:proofErr w:type="spellStart"/>
      <w:r w:rsidRPr="00CC19F7">
        <w:t>varslar</w:t>
      </w:r>
      <w:proofErr w:type="spellEnd"/>
      <w:r w:rsidRPr="00CC19F7">
        <w:t xml:space="preserve"> grep for å </w:t>
      </w:r>
      <w:proofErr w:type="spellStart"/>
      <w:r w:rsidRPr="00CC19F7">
        <w:t>leggje</w:t>
      </w:r>
      <w:proofErr w:type="spellEnd"/>
      <w:r w:rsidRPr="00CC19F7">
        <w:t xml:space="preserve"> til rette for </w:t>
      </w:r>
      <w:proofErr w:type="spellStart"/>
      <w:r w:rsidRPr="00CC19F7">
        <w:t>ein</w:t>
      </w:r>
      <w:proofErr w:type="spellEnd"/>
      <w:r w:rsidRPr="00CC19F7">
        <w:t xml:space="preserve"> </w:t>
      </w:r>
      <w:proofErr w:type="spellStart"/>
      <w:r w:rsidRPr="00CC19F7">
        <w:t>raskare</w:t>
      </w:r>
      <w:proofErr w:type="spellEnd"/>
      <w:r w:rsidRPr="00CC19F7">
        <w:t xml:space="preserve"> konsesjonsprosess for nettanlegg. Handlingsplanen </w:t>
      </w:r>
      <w:proofErr w:type="spellStart"/>
      <w:r w:rsidRPr="00CC19F7">
        <w:t>varslar</w:t>
      </w:r>
      <w:proofErr w:type="spellEnd"/>
      <w:r w:rsidRPr="00CC19F7">
        <w:t xml:space="preserve"> også ei rekke </w:t>
      </w:r>
      <w:proofErr w:type="spellStart"/>
      <w:r w:rsidRPr="00CC19F7">
        <w:t>forskriftsendringar</w:t>
      </w:r>
      <w:proofErr w:type="spellEnd"/>
      <w:r w:rsidRPr="00CC19F7">
        <w:t xml:space="preserve"> for å legge til rette for </w:t>
      </w:r>
      <w:proofErr w:type="spellStart"/>
      <w:r w:rsidRPr="00CC19F7">
        <w:t>meir</w:t>
      </w:r>
      <w:proofErr w:type="spellEnd"/>
      <w:r w:rsidRPr="00CC19F7">
        <w:t xml:space="preserve"> effektiv bruk av nettet. Ei slik endring er at nettselskapa skal ta omsyn til kor modne </w:t>
      </w:r>
      <w:proofErr w:type="spellStart"/>
      <w:r w:rsidRPr="00CC19F7">
        <w:t>kundanes</w:t>
      </w:r>
      <w:proofErr w:type="spellEnd"/>
      <w:r w:rsidRPr="00CC19F7">
        <w:t xml:space="preserve"> prosjekt er når </w:t>
      </w:r>
      <w:proofErr w:type="spellStart"/>
      <w:r w:rsidRPr="00CC19F7">
        <w:t>dei</w:t>
      </w:r>
      <w:proofErr w:type="spellEnd"/>
      <w:r w:rsidRPr="00CC19F7">
        <w:t xml:space="preserve"> fordeler kapasitet. Utforming av kriteria for </w:t>
      </w:r>
      <w:proofErr w:type="spellStart"/>
      <w:r w:rsidRPr="00CC19F7">
        <w:t>modnad</w:t>
      </w:r>
      <w:proofErr w:type="spellEnd"/>
      <w:r w:rsidRPr="00CC19F7">
        <w:t xml:space="preserve"> skal bidra til prioritet for </w:t>
      </w:r>
      <w:proofErr w:type="spellStart"/>
      <w:r w:rsidRPr="00CC19F7">
        <w:t>eksisterande</w:t>
      </w:r>
      <w:proofErr w:type="spellEnd"/>
      <w:r w:rsidRPr="00CC19F7">
        <w:t xml:space="preserve"> </w:t>
      </w:r>
      <w:proofErr w:type="spellStart"/>
      <w:r w:rsidRPr="00CC19F7">
        <w:t>føretak</w:t>
      </w:r>
      <w:proofErr w:type="spellEnd"/>
      <w:r w:rsidRPr="00CC19F7">
        <w:t xml:space="preserve"> slik at </w:t>
      </w:r>
      <w:proofErr w:type="spellStart"/>
      <w:r w:rsidRPr="00CC19F7">
        <w:t>desse</w:t>
      </w:r>
      <w:proofErr w:type="spellEnd"/>
      <w:r w:rsidRPr="00CC19F7">
        <w:t xml:space="preserve"> kan </w:t>
      </w:r>
      <w:proofErr w:type="spellStart"/>
      <w:r w:rsidRPr="00CC19F7">
        <w:t>vekse</w:t>
      </w:r>
      <w:proofErr w:type="spellEnd"/>
      <w:r w:rsidRPr="00CC19F7">
        <w:t xml:space="preserve"> og omstille seg, dernest legge til rette for nye </w:t>
      </w:r>
      <w:proofErr w:type="spellStart"/>
      <w:r w:rsidRPr="00CC19F7">
        <w:t>arbeidsplassar</w:t>
      </w:r>
      <w:proofErr w:type="spellEnd"/>
      <w:r w:rsidRPr="00CC19F7">
        <w:t xml:space="preserve"> og </w:t>
      </w:r>
      <w:proofErr w:type="spellStart"/>
      <w:r w:rsidRPr="00CC19F7">
        <w:t>auka</w:t>
      </w:r>
      <w:proofErr w:type="spellEnd"/>
      <w:r w:rsidRPr="00CC19F7">
        <w:t xml:space="preserve"> verdiskaping i tråd med regjeringas vegkart for grønt industriløft. RME har fått i oppdrag å greie ut og foreslå konkrete </w:t>
      </w:r>
      <w:proofErr w:type="spellStart"/>
      <w:r w:rsidRPr="00CC19F7">
        <w:t>forskriftsendringar</w:t>
      </w:r>
      <w:proofErr w:type="spellEnd"/>
      <w:r w:rsidRPr="00CC19F7">
        <w:t xml:space="preserve"> for å følge opp handlingsplanen på dette området.</w:t>
      </w:r>
    </w:p>
    <w:p w14:paraId="7E768C2A" w14:textId="77777777" w:rsidR="00FE02EF" w:rsidRPr="00CC19F7" w:rsidRDefault="00881E58" w:rsidP="00CC19F7">
      <w:r w:rsidRPr="00CC19F7">
        <w:t xml:space="preserve">Regjeringa har </w:t>
      </w:r>
      <w:proofErr w:type="spellStart"/>
      <w:r w:rsidRPr="00CC19F7">
        <w:t>ein</w:t>
      </w:r>
      <w:proofErr w:type="spellEnd"/>
      <w:r w:rsidRPr="00CC19F7">
        <w:t xml:space="preserve"> ambisjon om å tildele prosjektområde med potensial for 30 GW havvindproduksjon på norsk sokkel </w:t>
      </w:r>
      <w:proofErr w:type="spellStart"/>
      <w:r w:rsidRPr="00CC19F7">
        <w:t>innan</w:t>
      </w:r>
      <w:proofErr w:type="spellEnd"/>
      <w:r w:rsidRPr="00CC19F7">
        <w:t xml:space="preserve"> 2040. Departementet lyste våren 2023 ut område knytte til Utsira Nord og </w:t>
      </w:r>
      <w:proofErr w:type="spellStart"/>
      <w:r w:rsidRPr="00CC19F7">
        <w:t>Sørlege</w:t>
      </w:r>
      <w:proofErr w:type="spellEnd"/>
      <w:r w:rsidRPr="00CC19F7">
        <w:t xml:space="preserve"> </w:t>
      </w:r>
      <w:proofErr w:type="spellStart"/>
      <w:r w:rsidRPr="00CC19F7">
        <w:t>Nordsjø</w:t>
      </w:r>
      <w:proofErr w:type="spellEnd"/>
      <w:r w:rsidRPr="00CC19F7">
        <w:t xml:space="preserve"> II. </w:t>
      </w:r>
      <w:proofErr w:type="spellStart"/>
      <w:r w:rsidRPr="00CC19F7">
        <w:t>Vidare</w:t>
      </w:r>
      <w:proofErr w:type="spellEnd"/>
      <w:r w:rsidRPr="00CC19F7">
        <w:t xml:space="preserve"> har Stortinget vedtatt nye </w:t>
      </w:r>
      <w:proofErr w:type="spellStart"/>
      <w:r w:rsidRPr="00CC19F7">
        <w:t>lovreglar</w:t>
      </w:r>
      <w:proofErr w:type="spellEnd"/>
      <w:r w:rsidRPr="00CC19F7">
        <w:t xml:space="preserve"> som </w:t>
      </w:r>
      <w:proofErr w:type="spellStart"/>
      <w:r w:rsidRPr="00CC19F7">
        <w:t>inneber</w:t>
      </w:r>
      <w:proofErr w:type="spellEnd"/>
      <w:r w:rsidRPr="00CC19F7">
        <w:t xml:space="preserve"> at vindkraft på land i større grad enn </w:t>
      </w:r>
      <w:proofErr w:type="spellStart"/>
      <w:r w:rsidRPr="00CC19F7">
        <w:t>tidlegare</w:t>
      </w:r>
      <w:proofErr w:type="spellEnd"/>
      <w:r w:rsidRPr="00CC19F7">
        <w:t xml:space="preserve"> skal </w:t>
      </w:r>
      <w:proofErr w:type="spellStart"/>
      <w:r w:rsidRPr="00CC19F7">
        <w:t>behandlast</w:t>
      </w:r>
      <w:proofErr w:type="spellEnd"/>
      <w:r w:rsidRPr="00CC19F7">
        <w:t xml:space="preserve"> etter plan- og bygningslova, jf. </w:t>
      </w:r>
      <w:proofErr w:type="spellStart"/>
      <w:r w:rsidRPr="00CC19F7">
        <w:t>Prop</w:t>
      </w:r>
      <w:proofErr w:type="spellEnd"/>
      <w:r w:rsidRPr="00CC19F7">
        <w:t xml:space="preserve">. 111 L (2022–2023). Dei nye </w:t>
      </w:r>
      <w:proofErr w:type="spellStart"/>
      <w:r w:rsidRPr="00CC19F7">
        <w:t>reglane</w:t>
      </w:r>
      <w:proofErr w:type="spellEnd"/>
      <w:r w:rsidRPr="00CC19F7">
        <w:t xml:space="preserve"> tredde i kraft 1. juli 2023. Regjeringa vil også legge til rette for solkraft og vurdere om </w:t>
      </w:r>
      <w:proofErr w:type="spellStart"/>
      <w:r w:rsidRPr="00CC19F7">
        <w:t>dei</w:t>
      </w:r>
      <w:proofErr w:type="spellEnd"/>
      <w:r w:rsidRPr="00CC19F7">
        <w:t xml:space="preserve"> nye </w:t>
      </w:r>
      <w:proofErr w:type="spellStart"/>
      <w:r w:rsidRPr="00CC19F7">
        <w:t>reglane</w:t>
      </w:r>
      <w:proofErr w:type="spellEnd"/>
      <w:r w:rsidRPr="00CC19F7">
        <w:t xml:space="preserve"> for behandling av vindkraft også skal </w:t>
      </w:r>
      <w:proofErr w:type="spellStart"/>
      <w:r w:rsidRPr="00CC19F7">
        <w:t>gjerast</w:t>
      </w:r>
      <w:proofErr w:type="spellEnd"/>
      <w:r w:rsidRPr="00CC19F7">
        <w:t xml:space="preserve"> </w:t>
      </w:r>
      <w:proofErr w:type="spellStart"/>
      <w:r w:rsidRPr="00CC19F7">
        <w:t>gjeldande</w:t>
      </w:r>
      <w:proofErr w:type="spellEnd"/>
      <w:r w:rsidRPr="00CC19F7">
        <w:t xml:space="preserve"> for bakkemonterte anlegg for solkraft.</w:t>
      </w:r>
    </w:p>
    <w:p w14:paraId="24EC2B22" w14:textId="77777777" w:rsidR="00FE02EF" w:rsidRPr="00CC19F7" w:rsidRDefault="00881E58" w:rsidP="00CC19F7">
      <w:r w:rsidRPr="00CC19F7">
        <w:t xml:space="preserve">Departementet </w:t>
      </w:r>
      <w:proofErr w:type="spellStart"/>
      <w:r w:rsidRPr="00CC19F7">
        <w:t>reknar</w:t>
      </w:r>
      <w:proofErr w:type="spellEnd"/>
      <w:r w:rsidRPr="00CC19F7">
        <w:t xml:space="preserve"> med dette oppmodingsvedtaket som </w:t>
      </w:r>
      <w:proofErr w:type="spellStart"/>
      <w:r w:rsidRPr="00CC19F7">
        <w:t>følgt</w:t>
      </w:r>
      <w:proofErr w:type="spellEnd"/>
      <w:r w:rsidRPr="00CC19F7">
        <w:t xml:space="preserve"> opp.</w:t>
      </w:r>
    </w:p>
    <w:p w14:paraId="133F8535" w14:textId="77777777" w:rsidR="00FE02EF" w:rsidRPr="00CC19F7" w:rsidRDefault="00881E58" w:rsidP="00CC19F7">
      <w:pPr>
        <w:pStyle w:val="avsnitt-tittel"/>
      </w:pPr>
      <w:r w:rsidRPr="00CC19F7">
        <w:t>Regulering av energifeltet</w:t>
      </w:r>
    </w:p>
    <w:p w14:paraId="06E5EB2B" w14:textId="77777777" w:rsidR="00FE02EF" w:rsidRPr="00CC19F7" w:rsidRDefault="00881E58" w:rsidP="00CC19F7">
      <w:pPr>
        <w:pStyle w:val="avsnitt-undertittel"/>
      </w:pPr>
      <w:r w:rsidRPr="00CC19F7">
        <w:t>Vedtak 702, 10. juni 2022</w:t>
      </w:r>
    </w:p>
    <w:p w14:paraId="3D7B8AD7" w14:textId="77777777" w:rsidR="00FE02EF" w:rsidRPr="00CC19F7" w:rsidRDefault="00881E58" w:rsidP="00CC19F7">
      <w:pPr>
        <w:pStyle w:val="blokksit"/>
      </w:pPr>
      <w:r w:rsidRPr="00CC19F7">
        <w:t>«</w:t>
      </w:r>
      <w:r w:rsidRPr="00CC19F7">
        <w:rPr>
          <w:rStyle w:val="kursiv"/>
        </w:rPr>
        <w:t>Stortinget ber regjeringen i etterkant av energikommisjonens rapport vurdere behov for ytterligere regulering av energifeltet for å oppnå tilstrekkelig energi til rimelige priser for industri, øvrig næringsliv og husholdning.</w:t>
      </w:r>
      <w:r w:rsidRPr="00CC19F7">
        <w:t>»</w:t>
      </w:r>
    </w:p>
    <w:p w14:paraId="478A391D" w14:textId="77777777" w:rsidR="00FE02EF" w:rsidRPr="00CC19F7" w:rsidRDefault="00881E58" w:rsidP="00CC19F7">
      <w:r w:rsidRPr="00CC19F7">
        <w:t xml:space="preserve">Dokumenta som ligg til grunn for vedtaket er Meld. St. 36 (2020–2021), Meld. St. 11 (2021–2022) og </w:t>
      </w:r>
      <w:proofErr w:type="spellStart"/>
      <w:r w:rsidRPr="00CC19F7">
        <w:t>Innst</w:t>
      </w:r>
      <w:proofErr w:type="spellEnd"/>
      <w:r w:rsidRPr="00CC19F7">
        <w:t>. 446 S (2021–2022).</w:t>
      </w:r>
    </w:p>
    <w:p w14:paraId="1CBDF3AA" w14:textId="77777777" w:rsidR="00FE02EF" w:rsidRPr="00CC19F7" w:rsidRDefault="00881E58" w:rsidP="00CC19F7">
      <w:r w:rsidRPr="00CC19F7">
        <w:t xml:space="preserve">Departementet har sendt på </w:t>
      </w:r>
      <w:proofErr w:type="spellStart"/>
      <w:r w:rsidRPr="00CC19F7">
        <w:t>høyring</w:t>
      </w:r>
      <w:proofErr w:type="spellEnd"/>
      <w:r w:rsidRPr="00CC19F7">
        <w:t xml:space="preserve"> </w:t>
      </w:r>
      <w:proofErr w:type="spellStart"/>
      <w:r w:rsidRPr="00CC19F7">
        <w:t>eit</w:t>
      </w:r>
      <w:proofErr w:type="spellEnd"/>
      <w:r w:rsidRPr="00CC19F7">
        <w:t xml:space="preserve"> forslag til </w:t>
      </w:r>
      <w:proofErr w:type="spellStart"/>
      <w:r w:rsidRPr="00CC19F7">
        <w:t>endringar</w:t>
      </w:r>
      <w:proofErr w:type="spellEnd"/>
      <w:r w:rsidRPr="00CC19F7">
        <w:t xml:space="preserve"> i vassdragsreguleringslova og energilova, og i tillegg forslag til </w:t>
      </w:r>
      <w:proofErr w:type="spellStart"/>
      <w:r w:rsidRPr="00CC19F7">
        <w:t>endringar</w:t>
      </w:r>
      <w:proofErr w:type="spellEnd"/>
      <w:r w:rsidRPr="00CC19F7">
        <w:t xml:space="preserve"> i </w:t>
      </w:r>
      <w:r w:rsidRPr="00CC19F7">
        <w:rPr>
          <w:rStyle w:val="kursiv"/>
        </w:rPr>
        <w:t>forskrift om internkontroll etter vassdragslovgivningen (IK-vassdrag)</w:t>
      </w:r>
      <w:r w:rsidRPr="00CC19F7">
        <w:t xml:space="preserve"> og energilovforskrifta (styringsmekanismen). Det blir foreslått å lovfeste at </w:t>
      </w:r>
      <w:proofErr w:type="spellStart"/>
      <w:r w:rsidRPr="00CC19F7">
        <w:t>produsentane</w:t>
      </w:r>
      <w:proofErr w:type="spellEnd"/>
      <w:r w:rsidRPr="00CC19F7">
        <w:t xml:space="preserve"> samla har </w:t>
      </w:r>
      <w:proofErr w:type="spellStart"/>
      <w:r w:rsidRPr="00CC19F7">
        <w:t>eit</w:t>
      </w:r>
      <w:proofErr w:type="spellEnd"/>
      <w:r w:rsidRPr="00CC19F7">
        <w:t xml:space="preserve"> ansvar for å bidra til </w:t>
      </w:r>
      <w:proofErr w:type="spellStart"/>
      <w:r w:rsidRPr="00CC19F7">
        <w:t>forsyningssikkerheita</w:t>
      </w:r>
      <w:proofErr w:type="spellEnd"/>
      <w:r w:rsidRPr="00CC19F7">
        <w:t>.</w:t>
      </w:r>
    </w:p>
    <w:p w14:paraId="3E398A56" w14:textId="77777777" w:rsidR="00FE02EF" w:rsidRPr="00CC19F7" w:rsidRDefault="00881E58" w:rsidP="00CC19F7">
      <w:r w:rsidRPr="00CC19F7">
        <w:t xml:space="preserve">Regjeringa arbeider også for å legge til rette for </w:t>
      </w:r>
      <w:proofErr w:type="spellStart"/>
      <w:r w:rsidRPr="00CC19F7">
        <w:t>auka</w:t>
      </w:r>
      <w:proofErr w:type="spellEnd"/>
      <w:r w:rsidRPr="00CC19F7">
        <w:t xml:space="preserve"> kraftproduksjon. Stortinget har vedtatt nye </w:t>
      </w:r>
      <w:proofErr w:type="spellStart"/>
      <w:r w:rsidRPr="00CC19F7">
        <w:t>lovreglar</w:t>
      </w:r>
      <w:proofErr w:type="spellEnd"/>
      <w:r w:rsidRPr="00CC19F7">
        <w:t xml:space="preserve"> som fastsett at vindkraft på land i større grad enn </w:t>
      </w:r>
      <w:proofErr w:type="spellStart"/>
      <w:r w:rsidRPr="00CC19F7">
        <w:t>tidlegare</w:t>
      </w:r>
      <w:proofErr w:type="spellEnd"/>
      <w:r w:rsidRPr="00CC19F7">
        <w:t xml:space="preserve"> skal </w:t>
      </w:r>
      <w:proofErr w:type="spellStart"/>
      <w:r w:rsidRPr="00CC19F7">
        <w:t>behandlast</w:t>
      </w:r>
      <w:proofErr w:type="spellEnd"/>
      <w:r w:rsidRPr="00CC19F7">
        <w:t xml:space="preserve"> etter plan- og bygningslova, jf. </w:t>
      </w:r>
      <w:proofErr w:type="spellStart"/>
      <w:r w:rsidRPr="00CC19F7">
        <w:t>Prop</w:t>
      </w:r>
      <w:proofErr w:type="spellEnd"/>
      <w:r w:rsidRPr="00CC19F7">
        <w:t xml:space="preserve">. 111 L (2022–2023). Dei nye </w:t>
      </w:r>
      <w:proofErr w:type="spellStart"/>
      <w:r w:rsidRPr="00CC19F7">
        <w:t>reglane</w:t>
      </w:r>
      <w:proofErr w:type="spellEnd"/>
      <w:r w:rsidRPr="00CC19F7">
        <w:t xml:space="preserve"> tredde i kraft 1. juli 2023.</w:t>
      </w:r>
    </w:p>
    <w:p w14:paraId="407CED51" w14:textId="77777777" w:rsidR="00FE02EF" w:rsidRPr="00CC19F7" w:rsidRDefault="00881E58" w:rsidP="00CC19F7">
      <w:r w:rsidRPr="00CC19F7">
        <w:t xml:space="preserve">I oppfølginga av NOU 2023: 3 </w:t>
      </w:r>
      <w:r w:rsidRPr="00CC19F7">
        <w:rPr>
          <w:rStyle w:val="kursiv"/>
        </w:rPr>
        <w:t>Mer av alt – raskere</w:t>
      </w:r>
      <w:r w:rsidRPr="00CC19F7">
        <w:t xml:space="preserve"> vil departementet ta </w:t>
      </w:r>
      <w:proofErr w:type="spellStart"/>
      <w:r w:rsidRPr="00CC19F7">
        <w:t>ein</w:t>
      </w:r>
      <w:proofErr w:type="spellEnd"/>
      <w:r w:rsidRPr="00CC19F7">
        <w:t xml:space="preserve"> grundig gjennomgang av </w:t>
      </w:r>
      <w:proofErr w:type="spellStart"/>
      <w:r w:rsidRPr="00CC19F7">
        <w:t>høyringsinnspela</w:t>
      </w:r>
      <w:proofErr w:type="spellEnd"/>
      <w:r w:rsidRPr="00CC19F7">
        <w:t xml:space="preserve">. Departementet vil </w:t>
      </w:r>
      <w:proofErr w:type="spellStart"/>
      <w:r w:rsidRPr="00CC19F7">
        <w:t>fortløpande</w:t>
      </w:r>
      <w:proofErr w:type="spellEnd"/>
      <w:r w:rsidRPr="00CC19F7">
        <w:t xml:space="preserve"> vurdere </w:t>
      </w:r>
      <w:proofErr w:type="spellStart"/>
      <w:r w:rsidRPr="00CC19F7">
        <w:t>dei</w:t>
      </w:r>
      <w:proofErr w:type="spellEnd"/>
      <w:r w:rsidRPr="00CC19F7">
        <w:t xml:space="preserve"> foreslåtte tiltaka og eventuelle behov for </w:t>
      </w:r>
      <w:proofErr w:type="spellStart"/>
      <w:r w:rsidRPr="00CC19F7">
        <w:t>ytterlegare</w:t>
      </w:r>
      <w:proofErr w:type="spellEnd"/>
      <w:r w:rsidRPr="00CC19F7">
        <w:t xml:space="preserve"> regulering.</w:t>
      </w:r>
    </w:p>
    <w:p w14:paraId="13A921BB" w14:textId="77777777" w:rsidR="00FE02EF" w:rsidRPr="00CC19F7" w:rsidRDefault="00881E58" w:rsidP="00CC19F7">
      <w:r w:rsidRPr="00CC19F7">
        <w:t xml:space="preserve">Departementet </w:t>
      </w:r>
      <w:proofErr w:type="spellStart"/>
      <w:r w:rsidRPr="00CC19F7">
        <w:t>reknar</w:t>
      </w:r>
      <w:proofErr w:type="spellEnd"/>
      <w:r w:rsidRPr="00CC19F7">
        <w:t xml:space="preserve"> med dette oppmodingsvedtaket som </w:t>
      </w:r>
      <w:proofErr w:type="spellStart"/>
      <w:r w:rsidRPr="00CC19F7">
        <w:t>følgt</w:t>
      </w:r>
      <w:proofErr w:type="spellEnd"/>
      <w:r w:rsidRPr="00CC19F7">
        <w:t xml:space="preserve"> opp.</w:t>
      </w:r>
    </w:p>
    <w:p w14:paraId="5A7FCC96" w14:textId="77777777" w:rsidR="00FE02EF" w:rsidRPr="00CC19F7" w:rsidRDefault="00881E58" w:rsidP="00CC19F7">
      <w:pPr>
        <w:pStyle w:val="avsnitt-tittel"/>
      </w:pPr>
      <w:r w:rsidRPr="00CC19F7">
        <w:t>Havvind – tildeling av areal</w:t>
      </w:r>
    </w:p>
    <w:p w14:paraId="73D88588" w14:textId="77777777" w:rsidR="00FE02EF" w:rsidRPr="00CC19F7" w:rsidRDefault="00881E58" w:rsidP="00CC19F7">
      <w:pPr>
        <w:pStyle w:val="avsnitt-undertittel"/>
      </w:pPr>
      <w:r w:rsidRPr="00CC19F7">
        <w:t>Vedtak 703, 10. juni 2022</w:t>
      </w:r>
    </w:p>
    <w:p w14:paraId="5487B9F3" w14:textId="77777777" w:rsidR="00FE02EF" w:rsidRPr="00CC19F7" w:rsidRDefault="00881E58" w:rsidP="00CC19F7">
      <w:pPr>
        <w:pStyle w:val="blokksit"/>
      </w:pPr>
      <w:r w:rsidRPr="00CC19F7">
        <w:t>«</w:t>
      </w:r>
      <w:r w:rsidRPr="00CC19F7">
        <w:rPr>
          <w:rStyle w:val="kursiv"/>
        </w:rPr>
        <w:t xml:space="preserve">Stortinget ber regjeringen sørge for at neste tildeling av havvindareal etter Sørlige </w:t>
      </w:r>
      <w:proofErr w:type="spellStart"/>
      <w:r w:rsidRPr="00CC19F7">
        <w:rPr>
          <w:rStyle w:val="kursiv"/>
        </w:rPr>
        <w:t>Nordsjø</w:t>
      </w:r>
      <w:proofErr w:type="spellEnd"/>
      <w:r w:rsidRPr="00CC19F7">
        <w:rPr>
          <w:rStyle w:val="kursiv"/>
        </w:rPr>
        <w:t xml:space="preserve"> II og Utsira Nord i nye områder skjer senest i løpet av 2025. Stortinget ber om at dette er en større utlysning som legger til rette for skalering og teknologiutvikling og nye industrielle muligheter og at utlysningen sikrer god sameksistens og tar hensyn til viktige naturverdier.</w:t>
      </w:r>
      <w:r w:rsidRPr="00CC19F7">
        <w:t>»</w:t>
      </w:r>
    </w:p>
    <w:p w14:paraId="75F58FBE" w14:textId="77777777" w:rsidR="00FE02EF" w:rsidRPr="00CC19F7" w:rsidRDefault="00881E58" w:rsidP="00CC19F7">
      <w:r w:rsidRPr="00CC19F7">
        <w:t xml:space="preserve">Dokumenta som ligg til grunn for vedtaket er Meld. St. 36 (2020–2021), Meld. St. 11 (2021–2022) og </w:t>
      </w:r>
      <w:proofErr w:type="spellStart"/>
      <w:r w:rsidRPr="00CC19F7">
        <w:t>Innst</w:t>
      </w:r>
      <w:proofErr w:type="spellEnd"/>
      <w:r w:rsidRPr="00CC19F7">
        <w:t>. 446 S (2021–2022).</w:t>
      </w:r>
    </w:p>
    <w:p w14:paraId="68985E83" w14:textId="77777777" w:rsidR="00FE02EF" w:rsidRPr="00CC19F7" w:rsidRDefault="00881E58" w:rsidP="00CC19F7">
      <w:r w:rsidRPr="00CC19F7">
        <w:t xml:space="preserve">I </w:t>
      </w:r>
      <w:proofErr w:type="spellStart"/>
      <w:r w:rsidRPr="00CC19F7">
        <w:t>Innst</w:t>
      </w:r>
      <w:proofErr w:type="spellEnd"/>
      <w:r w:rsidRPr="00CC19F7">
        <w:t xml:space="preserve">. 186 S (2022–2023) viser </w:t>
      </w:r>
      <w:proofErr w:type="spellStart"/>
      <w:r w:rsidRPr="00CC19F7">
        <w:t>fleirtalet</w:t>
      </w:r>
      <w:proofErr w:type="spellEnd"/>
      <w:r w:rsidRPr="00CC19F7">
        <w:t xml:space="preserve"> i kontroll- og konstitusjonskomiteen til at oppmodingsvedtaket </w:t>
      </w:r>
      <w:proofErr w:type="spellStart"/>
      <w:r w:rsidRPr="00CC19F7">
        <w:t>ikkje</w:t>
      </w:r>
      <w:proofErr w:type="spellEnd"/>
      <w:r w:rsidRPr="00CC19F7">
        <w:t xml:space="preserve"> er oppfylt før tildeling av nye havvindareal er gjennomført i 2025, og at utlysinga </w:t>
      </w:r>
      <w:proofErr w:type="spellStart"/>
      <w:r w:rsidRPr="00CC19F7">
        <w:t>særleg</w:t>
      </w:r>
      <w:proofErr w:type="spellEnd"/>
      <w:r w:rsidRPr="00CC19F7">
        <w:t xml:space="preserve"> skal legge til rette for skalering, teknologiutvikling og nye industrielle </w:t>
      </w:r>
      <w:proofErr w:type="spellStart"/>
      <w:r w:rsidRPr="00CC19F7">
        <w:t>moglegheiter</w:t>
      </w:r>
      <w:proofErr w:type="spellEnd"/>
      <w:r w:rsidRPr="00CC19F7">
        <w:t xml:space="preserve">, sikre god sameksistens og ta omsyn til viktige </w:t>
      </w:r>
      <w:proofErr w:type="spellStart"/>
      <w:r w:rsidRPr="00CC19F7">
        <w:t>naturverdiar</w:t>
      </w:r>
      <w:proofErr w:type="spellEnd"/>
      <w:r w:rsidRPr="00CC19F7">
        <w:t xml:space="preserve">. </w:t>
      </w:r>
      <w:proofErr w:type="spellStart"/>
      <w:r w:rsidRPr="00CC19F7">
        <w:t>Fleirtalet</w:t>
      </w:r>
      <w:proofErr w:type="spellEnd"/>
      <w:r w:rsidRPr="00CC19F7">
        <w:t xml:space="preserve"> meiner derfor at oppmodingsvedtaket </w:t>
      </w:r>
      <w:proofErr w:type="spellStart"/>
      <w:r w:rsidRPr="00CC19F7">
        <w:t>ikkje</w:t>
      </w:r>
      <w:proofErr w:type="spellEnd"/>
      <w:r w:rsidRPr="00CC19F7">
        <w:t xml:space="preserve"> kan kvitterast ut før det er gjennomført.</w:t>
      </w:r>
    </w:p>
    <w:p w14:paraId="386EB669" w14:textId="77777777" w:rsidR="00FE02EF" w:rsidRPr="00CC19F7" w:rsidRDefault="00881E58" w:rsidP="00CC19F7">
      <w:r w:rsidRPr="00CC19F7">
        <w:t xml:space="preserve">Neste utlysing av areal til havvind etter </w:t>
      </w:r>
      <w:proofErr w:type="spellStart"/>
      <w:r w:rsidRPr="00CC19F7">
        <w:t>Sørlege</w:t>
      </w:r>
      <w:proofErr w:type="spellEnd"/>
      <w:r w:rsidRPr="00CC19F7">
        <w:t xml:space="preserve"> </w:t>
      </w:r>
      <w:proofErr w:type="spellStart"/>
      <w:r w:rsidRPr="00CC19F7">
        <w:t>Nordsjø</w:t>
      </w:r>
      <w:proofErr w:type="spellEnd"/>
      <w:r w:rsidRPr="00CC19F7">
        <w:t xml:space="preserve"> II og Utsira Nord er </w:t>
      </w:r>
      <w:proofErr w:type="spellStart"/>
      <w:r w:rsidRPr="00CC19F7">
        <w:t>planlagd</w:t>
      </w:r>
      <w:proofErr w:type="spellEnd"/>
      <w:r w:rsidRPr="00CC19F7">
        <w:t xml:space="preserve"> i 2025. NVE leverte i 2023, </w:t>
      </w:r>
      <w:proofErr w:type="spellStart"/>
      <w:r w:rsidRPr="00CC19F7">
        <w:t>saman</w:t>
      </w:r>
      <w:proofErr w:type="spellEnd"/>
      <w:r w:rsidRPr="00CC19F7">
        <w:t xml:space="preserve"> med ei </w:t>
      </w:r>
      <w:proofErr w:type="spellStart"/>
      <w:r w:rsidRPr="00CC19F7">
        <w:t>direktoratsgruppe</w:t>
      </w:r>
      <w:proofErr w:type="spellEnd"/>
      <w:r w:rsidRPr="00CC19F7">
        <w:t xml:space="preserve">, forslag til 20 område som kan eigne seg for vindkraft til havs. Departementet har bedt NVE om å greie ut Vestavind B </w:t>
      </w:r>
      <w:proofErr w:type="spellStart"/>
      <w:r w:rsidRPr="00CC19F7">
        <w:t>saman</w:t>
      </w:r>
      <w:proofErr w:type="spellEnd"/>
      <w:r w:rsidRPr="00CC19F7">
        <w:t xml:space="preserve"> med Vestavind F og Sørvest F med sikte på utlysing i 2025, </w:t>
      </w:r>
      <w:proofErr w:type="spellStart"/>
      <w:r w:rsidRPr="00CC19F7">
        <w:t>medan</w:t>
      </w:r>
      <w:proofErr w:type="spellEnd"/>
      <w:r w:rsidRPr="00CC19F7">
        <w:t xml:space="preserve"> </w:t>
      </w:r>
      <w:proofErr w:type="spellStart"/>
      <w:r w:rsidRPr="00CC19F7">
        <w:t>dei</w:t>
      </w:r>
      <w:proofErr w:type="spellEnd"/>
      <w:r w:rsidRPr="00CC19F7">
        <w:t xml:space="preserve"> </w:t>
      </w:r>
      <w:proofErr w:type="spellStart"/>
      <w:r w:rsidRPr="00CC19F7">
        <w:t>resterande</w:t>
      </w:r>
      <w:proofErr w:type="spellEnd"/>
      <w:r w:rsidRPr="00CC19F7">
        <w:t xml:space="preserve"> 17 områda blir </w:t>
      </w:r>
      <w:proofErr w:type="spellStart"/>
      <w:r w:rsidRPr="00CC19F7">
        <w:t>utgreidde</w:t>
      </w:r>
      <w:proofErr w:type="spellEnd"/>
      <w:r w:rsidRPr="00CC19F7">
        <w:t xml:space="preserve"> med sikte på eventuell </w:t>
      </w:r>
      <w:proofErr w:type="spellStart"/>
      <w:r w:rsidRPr="00CC19F7">
        <w:t>opning</w:t>
      </w:r>
      <w:proofErr w:type="spellEnd"/>
      <w:r w:rsidRPr="00CC19F7">
        <w:t xml:space="preserve"> og tildeling i </w:t>
      </w:r>
      <w:proofErr w:type="spellStart"/>
      <w:r w:rsidRPr="00CC19F7">
        <w:t>seinare</w:t>
      </w:r>
      <w:proofErr w:type="spellEnd"/>
      <w:r w:rsidRPr="00CC19F7">
        <w:t xml:space="preserve"> </w:t>
      </w:r>
      <w:proofErr w:type="spellStart"/>
      <w:r w:rsidRPr="00CC19F7">
        <w:t>tildelingsrundar</w:t>
      </w:r>
      <w:proofErr w:type="spellEnd"/>
      <w:r w:rsidRPr="00CC19F7">
        <w:t>.</w:t>
      </w:r>
    </w:p>
    <w:p w14:paraId="0A58A66D" w14:textId="77777777" w:rsidR="00FE02EF" w:rsidRPr="00CC19F7" w:rsidRDefault="00881E58" w:rsidP="00CC19F7">
      <w:r w:rsidRPr="00CC19F7">
        <w:t xml:space="preserve">Som </w:t>
      </w:r>
      <w:proofErr w:type="spellStart"/>
      <w:r w:rsidRPr="00CC19F7">
        <w:t>ein</w:t>
      </w:r>
      <w:proofErr w:type="spellEnd"/>
      <w:r w:rsidRPr="00CC19F7">
        <w:t xml:space="preserve"> del av </w:t>
      </w:r>
      <w:proofErr w:type="spellStart"/>
      <w:r w:rsidRPr="00CC19F7">
        <w:t>opningsprosessen</w:t>
      </w:r>
      <w:proofErr w:type="spellEnd"/>
      <w:r w:rsidRPr="00CC19F7">
        <w:t xml:space="preserve"> og førebuing til havvindutlysinga i 2025 blir det i budsjettet for 2024 foreslått </w:t>
      </w:r>
      <w:proofErr w:type="spellStart"/>
      <w:r w:rsidRPr="00CC19F7">
        <w:t>løyvingar</w:t>
      </w:r>
      <w:proofErr w:type="spellEnd"/>
      <w:r w:rsidRPr="00CC19F7">
        <w:t xml:space="preserve"> til å gjennomføre </w:t>
      </w:r>
      <w:proofErr w:type="spellStart"/>
      <w:r w:rsidRPr="00CC19F7">
        <w:t>feltundersøkingar</w:t>
      </w:r>
      <w:proofErr w:type="spellEnd"/>
      <w:r w:rsidRPr="00CC19F7">
        <w:t xml:space="preserve"> som </w:t>
      </w:r>
      <w:proofErr w:type="spellStart"/>
      <w:r w:rsidRPr="00CC19F7">
        <w:t>aukar</w:t>
      </w:r>
      <w:proofErr w:type="spellEnd"/>
      <w:r w:rsidRPr="00CC19F7">
        <w:t xml:space="preserve"> kunnskapsnivået om </w:t>
      </w:r>
      <w:proofErr w:type="spellStart"/>
      <w:r w:rsidRPr="00CC19F7">
        <w:t>naturmangfald</w:t>
      </w:r>
      <w:proofErr w:type="spellEnd"/>
      <w:r w:rsidRPr="00CC19F7">
        <w:t xml:space="preserve"> og miljø i </w:t>
      </w:r>
      <w:proofErr w:type="spellStart"/>
      <w:r w:rsidRPr="00CC19F7">
        <w:t>dei</w:t>
      </w:r>
      <w:proofErr w:type="spellEnd"/>
      <w:r w:rsidRPr="00CC19F7">
        <w:t xml:space="preserve"> områda som er aktuelle for utlysing i 2025, jf. omtale av oppfølging av oppmodingsvedtak 839, 14. juni 2023.</w:t>
      </w:r>
    </w:p>
    <w:p w14:paraId="05F553A1" w14:textId="77777777" w:rsidR="00FE02EF" w:rsidRPr="00CC19F7" w:rsidRDefault="00881E58" w:rsidP="00CC19F7">
      <w:r w:rsidRPr="00CC19F7">
        <w:t xml:space="preserve">Departementet vil gjennomføre ei evaluering av den første tildelingsrunden, og da også vurdere kva for kriterium som skal ligge til grunn for neste tildeling. Denne evalueringa, </w:t>
      </w:r>
      <w:proofErr w:type="spellStart"/>
      <w:r w:rsidRPr="00CC19F7">
        <w:t>saman</w:t>
      </w:r>
      <w:proofErr w:type="spellEnd"/>
      <w:r w:rsidRPr="00CC19F7">
        <w:t xml:space="preserve"> med mellom anna Stortingets </w:t>
      </w:r>
      <w:proofErr w:type="spellStart"/>
      <w:r w:rsidRPr="00CC19F7">
        <w:t>føringar</w:t>
      </w:r>
      <w:proofErr w:type="spellEnd"/>
      <w:r w:rsidRPr="00CC19F7">
        <w:t xml:space="preserve"> på området, er tatt med i førebuinga av utlysinga som er </w:t>
      </w:r>
      <w:proofErr w:type="spellStart"/>
      <w:r w:rsidRPr="00CC19F7">
        <w:t>planlagd</w:t>
      </w:r>
      <w:proofErr w:type="spellEnd"/>
      <w:r w:rsidRPr="00CC19F7">
        <w:t xml:space="preserve"> i 2025. NVE vil i den strategiske konsekvensutgreiinga mellom anna vurdere sameksistens og omsynet til viktige </w:t>
      </w:r>
      <w:proofErr w:type="spellStart"/>
      <w:r w:rsidRPr="00CC19F7">
        <w:t>naturverdiar</w:t>
      </w:r>
      <w:proofErr w:type="spellEnd"/>
      <w:r w:rsidRPr="00CC19F7">
        <w:t>.</w:t>
      </w:r>
    </w:p>
    <w:p w14:paraId="2F960B86" w14:textId="77777777" w:rsidR="00FE02EF" w:rsidRPr="00CC19F7" w:rsidRDefault="00881E58" w:rsidP="00CC19F7">
      <w:r w:rsidRPr="00CC19F7">
        <w:t>Departementet vil komme tilbake til Stortinget på eigna måte.</w:t>
      </w:r>
    </w:p>
    <w:p w14:paraId="2A44EAD3" w14:textId="77777777" w:rsidR="00FE02EF" w:rsidRPr="00CC19F7" w:rsidRDefault="00881E58" w:rsidP="00CC19F7">
      <w:pPr>
        <w:pStyle w:val="avsnitt-tittel"/>
      </w:pPr>
      <w:r w:rsidRPr="00CC19F7">
        <w:t xml:space="preserve">Havvind – greie ut </w:t>
      </w:r>
      <w:proofErr w:type="spellStart"/>
      <w:r w:rsidRPr="00CC19F7">
        <w:t>støtteordningar</w:t>
      </w:r>
      <w:proofErr w:type="spellEnd"/>
      <w:r w:rsidRPr="00CC19F7">
        <w:t xml:space="preserve"> og </w:t>
      </w:r>
      <w:proofErr w:type="spellStart"/>
      <w:r w:rsidRPr="00CC19F7">
        <w:t>verkemiddel</w:t>
      </w:r>
      <w:proofErr w:type="spellEnd"/>
      <w:r w:rsidRPr="00CC19F7">
        <w:t xml:space="preserve">, deriblant </w:t>
      </w:r>
      <w:proofErr w:type="spellStart"/>
      <w:r w:rsidRPr="00CC19F7">
        <w:t>differansekontraktar</w:t>
      </w:r>
      <w:proofErr w:type="spellEnd"/>
    </w:p>
    <w:p w14:paraId="30F15DA5" w14:textId="77777777" w:rsidR="00FE02EF" w:rsidRPr="00CC19F7" w:rsidRDefault="00881E58" w:rsidP="00CC19F7">
      <w:pPr>
        <w:pStyle w:val="avsnitt-undertittel"/>
      </w:pPr>
      <w:r w:rsidRPr="00CC19F7">
        <w:t>Vedtak 704, 10. juni 2022</w:t>
      </w:r>
    </w:p>
    <w:p w14:paraId="36A2573D" w14:textId="77777777" w:rsidR="00FE02EF" w:rsidRPr="00CC19F7" w:rsidRDefault="00881E58" w:rsidP="00CC19F7">
      <w:pPr>
        <w:pStyle w:val="blokksit"/>
      </w:pPr>
      <w:r w:rsidRPr="00CC19F7">
        <w:t>«</w:t>
      </w:r>
      <w:r w:rsidRPr="00CC19F7">
        <w:rPr>
          <w:rStyle w:val="kursiv"/>
        </w:rPr>
        <w:t>Stortinget ber regjeringen utrede ulike støtteordninger og virkemidler som kan være utløsende for å få igangsatt prosjekter for flytende havvind, deriblant differansekontrakter.</w:t>
      </w:r>
      <w:r w:rsidRPr="00CC19F7">
        <w:t>»</w:t>
      </w:r>
    </w:p>
    <w:p w14:paraId="0CF97FE7" w14:textId="77777777" w:rsidR="00FE02EF" w:rsidRPr="00CC19F7" w:rsidRDefault="00881E58" w:rsidP="00CC19F7">
      <w:r w:rsidRPr="00CC19F7">
        <w:t xml:space="preserve">Dokumenta som ligg til grunn for vedtaket er Meld. St. 36 (2020–2021), Meld. St. 11 (2021–2022) og </w:t>
      </w:r>
      <w:proofErr w:type="spellStart"/>
      <w:r w:rsidRPr="00CC19F7">
        <w:t>Innst</w:t>
      </w:r>
      <w:proofErr w:type="spellEnd"/>
      <w:r w:rsidRPr="00CC19F7">
        <w:t>. 446 S (2021–2022).</w:t>
      </w:r>
    </w:p>
    <w:p w14:paraId="5AAC71FF" w14:textId="77777777" w:rsidR="00FE02EF" w:rsidRPr="00CC19F7" w:rsidRDefault="00881E58" w:rsidP="00CC19F7">
      <w:r w:rsidRPr="00CC19F7">
        <w:t xml:space="preserve">Oppmodingsvedtaket er </w:t>
      </w:r>
      <w:proofErr w:type="spellStart"/>
      <w:r w:rsidRPr="00CC19F7">
        <w:t>følgt</w:t>
      </w:r>
      <w:proofErr w:type="spellEnd"/>
      <w:r w:rsidRPr="00CC19F7">
        <w:t xml:space="preserve"> opp gjennom Stortingets vedtak ved </w:t>
      </w:r>
      <w:proofErr w:type="spellStart"/>
      <w:r w:rsidRPr="00CC19F7">
        <w:t>behandlinga</w:t>
      </w:r>
      <w:proofErr w:type="spellEnd"/>
      <w:r w:rsidRPr="00CC19F7">
        <w:t xml:space="preserve"> av </w:t>
      </w:r>
      <w:proofErr w:type="spellStart"/>
      <w:r w:rsidRPr="00CC19F7">
        <w:t>Prop</w:t>
      </w:r>
      <w:proofErr w:type="spellEnd"/>
      <w:r w:rsidRPr="00CC19F7">
        <w:t xml:space="preserve">. 93 S (2022–2023) </w:t>
      </w:r>
      <w:r w:rsidRPr="00CC19F7">
        <w:rPr>
          <w:rStyle w:val="kursiv"/>
        </w:rPr>
        <w:t xml:space="preserve">Fullmakt til å inngå </w:t>
      </w:r>
      <w:proofErr w:type="spellStart"/>
      <w:r w:rsidRPr="00CC19F7">
        <w:rPr>
          <w:rStyle w:val="kursiv"/>
        </w:rPr>
        <w:t>ein</w:t>
      </w:r>
      <w:proofErr w:type="spellEnd"/>
      <w:r w:rsidRPr="00CC19F7">
        <w:rPr>
          <w:rStyle w:val="kursiv"/>
        </w:rPr>
        <w:t xml:space="preserve"> tosidig differansekontrakt for støtte til fornybar energiproduksjon til havs </w:t>
      </w:r>
      <w:proofErr w:type="spellStart"/>
      <w:r w:rsidRPr="00CC19F7">
        <w:rPr>
          <w:rStyle w:val="kursiv"/>
        </w:rPr>
        <w:t>frå</w:t>
      </w:r>
      <w:proofErr w:type="spellEnd"/>
      <w:r w:rsidRPr="00CC19F7">
        <w:rPr>
          <w:rStyle w:val="kursiv"/>
        </w:rPr>
        <w:t xml:space="preserve"> første fase av </w:t>
      </w:r>
      <w:proofErr w:type="spellStart"/>
      <w:r w:rsidRPr="00CC19F7">
        <w:rPr>
          <w:rStyle w:val="kursiv"/>
        </w:rPr>
        <w:t>Sørlege</w:t>
      </w:r>
      <w:proofErr w:type="spellEnd"/>
      <w:r w:rsidRPr="00CC19F7">
        <w:rPr>
          <w:rStyle w:val="kursiv"/>
        </w:rPr>
        <w:t xml:space="preserve"> </w:t>
      </w:r>
      <w:proofErr w:type="spellStart"/>
      <w:r w:rsidRPr="00CC19F7">
        <w:rPr>
          <w:rStyle w:val="kursiv"/>
        </w:rPr>
        <w:t>Nordsjø</w:t>
      </w:r>
      <w:proofErr w:type="spellEnd"/>
      <w:r w:rsidRPr="00CC19F7">
        <w:rPr>
          <w:rStyle w:val="kursiv"/>
        </w:rPr>
        <w:t xml:space="preserve"> II</w:t>
      </w:r>
      <w:r w:rsidRPr="00CC19F7">
        <w:t xml:space="preserve">, jf. </w:t>
      </w:r>
      <w:proofErr w:type="spellStart"/>
      <w:r w:rsidRPr="00CC19F7">
        <w:t>Innst</w:t>
      </w:r>
      <w:proofErr w:type="spellEnd"/>
      <w:r w:rsidRPr="00CC19F7">
        <w:t xml:space="preserve">. 496 S (2022–2023). I proposisjonen foreslår departementet </w:t>
      </w:r>
      <w:proofErr w:type="spellStart"/>
      <w:r w:rsidRPr="00CC19F7">
        <w:t>ein</w:t>
      </w:r>
      <w:proofErr w:type="spellEnd"/>
      <w:r w:rsidRPr="00CC19F7">
        <w:t xml:space="preserve"> tosidig differansekontrakt som støtteordning for det første havvindprosjektet på Sørlige </w:t>
      </w:r>
      <w:proofErr w:type="spellStart"/>
      <w:r w:rsidRPr="00CC19F7">
        <w:t>Nordsjø</w:t>
      </w:r>
      <w:proofErr w:type="spellEnd"/>
      <w:r w:rsidRPr="00CC19F7">
        <w:t xml:space="preserve"> II. Departementet vil gjennomføre ei evaluering av den første tildelingsrunden, som også </w:t>
      </w:r>
      <w:proofErr w:type="spellStart"/>
      <w:r w:rsidRPr="00CC19F7">
        <w:t>inneber</w:t>
      </w:r>
      <w:proofErr w:type="spellEnd"/>
      <w:r w:rsidRPr="00CC19F7">
        <w:t xml:space="preserve"> ei evaluering av støtteordninga.</w:t>
      </w:r>
    </w:p>
    <w:p w14:paraId="249E1C81" w14:textId="77777777" w:rsidR="00FE02EF" w:rsidRPr="00CC19F7" w:rsidRDefault="00881E58" w:rsidP="00CC19F7">
      <w:r w:rsidRPr="00CC19F7">
        <w:t xml:space="preserve">Departementet </w:t>
      </w:r>
      <w:proofErr w:type="spellStart"/>
      <w:r w:rsidRPr="00CC19F7">
        <w:t>reknar</w:t>
      </w:r>
      <w:proofErr w:type="spellEnd"/>
      <w:r w:rsidRPr="00CC19F7">
        <w:t xml:space="preserve"> med dette oppmodingsvedtaket som </w:t>
      </w:r>
      <w:proofErr w:type="spellStart"/>
      <w:r w:rsidRPr="00CC19F7">
        <w:t>følgt</w:t>
      </w:r>
      <w:proofErr w:type="spellEnd"/>
      <w:r w:rsidRPr="00CC19F7">
        <w:t xml:space="preserve"> opp.</w:t>
      </w:r>
    </w:p>
    <w:p w14:paraId="60B844AC" w14:textId="77777777" w:rsidR="00FE02EF" w:rsidRPr="00CC19F7" w:rsidRDefault="00881E58" w:rsidP="00CC19F7">
      <w:pPr>
        <w:pStyle w:val="avsnitt-tittel"/>
      </w:pPr>
      <w:r w:rsidRPr="00CC19F7">
        <w:t xml:space="preserve">Kraftpotensial </w:t>
      </w:r>
      <w:proofErr w:type="spellStart"/>
      <w:r w:rsidRPr="00CC19F7">
        <w:t>frå</w:t>
      </w:r>
      <w:proofErr w:type="spellEnd"/>
      <w:r w:rsidRPr="00CC19F7">
        <w:t xml:space="preserve"> mindre vindmøller på gardsbruk</w:t>
      </w:r>
    </w:p>
    <w:p w14:paraId="182F6316" w14:textId="77777777" w:rsidR="00FE02EF" w:rsidRPr="00CC19F7" w:rsidRDefault="00881E58" w:rsidP="00CC19F7">
      <w:pPr>
        <w:pStyle w:val="avsnitt-undertittel"/>
      </w:pPr>
      <w:r w:rsidRPr="00CC19F7">
        <w:t>Vedtak 705, 10. juni 2022</w:t>
      </w:r>
    </w:p>
    <w:p w14:paraId="6CF90C58" w14:textId="77777777" w:rsidR="00FE02EF" w:rsidRPr="00CC19F7" w:rsidRDefault="00881E58" w:rsidP="00CC19F7">
      <w:pPr>
        <w:pStyle w:val="blokksit"/>
      </w:pPr>
      <w:r w:rsidRPr="00CC19F7">
        <w:t>«</w:t>
      </w:r>
      <w:r w:rsidRPr="00CC19F7">
        <w:rPr>
          <w:rStyle w:val="kursiv"/>
        </w:rPr>
        <w:t>Stortinget ber regjeringen kartlegge kraftpotensialet fra mindre vindmøller på gårdsbruk og hva som skal til for å realisere en satsing på dette.</w:t>
      </w:r>
      <w:r w:rsidRPr="00CC19F7">
        <w:t>»</w:t>
      </w:r>
    </w:p>
    <w:p w14:paraId="295B8581" w14:textId="77777777" w:rsidR="00FE02EF" w:rsidRPr="00CC19F7" w:rsidRDefault="00881E58" w:rsidP="00CC19F7">
      <w:r w:rsidRPr="00CC19F7">
        <w:t xml:space="preserve">Dokumenta som ligg til grunn for vedtaket er Meld. St. 36 (2020–2021), Meld. St. 11 (2021–2022) og </w:t>
      </w:r>
      <w:proofErr w:type="spellStart"/>
      <w:r w:rsidRPr="00CC19F7">
        <w:t>Innst</w:t>
      </w:r>
      <w:proofErr w:type="spellEnd"/>
      <w:r w:rsidRPr="00CC19F7">
        <w:t>. 446 S (2021–2022).</w:t>
      </w:r>
    </w:p>
    <w:p w14:paraId="371D7151" w14:textId="77777777" w:rsidR="00FE02EF" w:rsidRPr="00CC19F7" w:rsidRDefault="00881E58" w:rsidP="00CC19F7">
      <w:r w:rsidRPr="00CC19F7">
        <w:t xml:space="preserve">Departementet har i oppfølginga av vedtaket bedt NVE vurdere potensialet for utbygging av fornybar kraftproduksjon på næringsareal, langs </w:t>
      </w:r>
      <w:proofErr w:type="spellStart"/>
      <w:r w:rsidRPr="00CC19F7">
        <w:t>motorvegar</w:t>
      </w:r>
      <w:proofErr w:type="spellEnd"/>
      <w:r w:rsidRPr="00CC19F7">
        <w:t xml:space="preserve"> og i andre nedbygde areal mot 2030 og </w:t>
      </w:r>
      <w:proofErr w:type="spellStart"/>
      <w:r w:rsidRPr="00CC19F7">
        <w:t>moglegheitene</w:t>
      </w:r>
      <w:proofErr w:type="spellEnd"/>
      <w:r w:rsidRPr="00CC19F7">
        <w:t xml:space="preserve"> for å nå </w:t>
      </w:r>
      <w:proofErr w:type="spellStart"/>
      <w:r w:rsidRPr="00CC19F7">
        <w:t>eit</w:t>
      </w:r>
      <w:proofErr w:type="spellEnd"/>
      <w:r w:rsidRPr="00CC19F7">
        <w:t xml:space="preserve"> mål om 5 </w:t>
      </w:r>
      <w:proofErr w:type="spellStart"/>
      <w:r w:rsidRPr="00CC19F7">
        <w:t>TWh</w:t>
      </w:r>
      <w:proofErr w:type="spellEnd"/>
      <w:r w:rsidRPr="00CC19F7">
        <w:t xml:space="preserve"> fornybar kraft på slike areal. Vurderinga skal </w:t>
      </w:r>
      <w:proofErr w:type="spellStart"/>
      <w:r w:rsidRPr="00CC19F7">
        <w:t>skilje</w:t>
      </w:r>
      <w:proofErr w:type="spellEnd"/>
      <w:r w:rsidRPr="00CC19F7">
        <w:t xml:space="preserve"> mellom produksjonsformer, som sol- og vindkraft. Oppdraget skal også bidra til å </w:t>
      </w:r>
      <w:proofErr w:type="spellStart"/>
      <w:r w:rsidRPr="00CC19F7">
        <w:t>klargjere</w:t>
      </w:r>
      <w:proofErr w:type="spellEnd"/>
      <w:r w:rsidRPr="00CC19F7">
        <w:t xml:space="preserve"> potensialet for vindkraftproduksjon på landbruksareal og gardsbruk.</w:t>
      </w:r>
    </w:p>
    <w:p w14:paraId="7F9106E4" w14:textId="77777777" w:rsidR="00FE02EF" w:rsidRPr="00CC19F7" w:rsidRDefault="00881E58" w:rsidP="00CC19F7">
      <w:r w:rsidRPr="00CC19F7">
        <w:t xml:space="preserve">Departementet </w:t>
      </w:r>
      <w:proofErr w:type="spellStart"/>
      <w:r w:rsidRPr="00CC19F7">
        <w:t>reknar</w:t>
      </w:r>
      <w:proofErr w:type="spellEnd"/>
      <w:r w:rsidRPr="00CC19F7">
        <w:t xml:space="preserve"> med dette oppmodingsvedtaket som </w:t>
      </w:r>
      <w:proofErr w:type="spellStart"/>
      <w:r w:rsidRPr="00CC19F7">
        <w:t>følgt</w:t>
      </w:r>
      <w:proofErr w:type="spellEnd"/>
      <w:r w:rsidRPr="00CC19F7">
        <w:t xml:space="preserve"> opp.</w:t>
      </w:r>
    </w:p>
    <w:p w14:paraId="79C24A31" w14:textId="77777777" w:rsidR="00FE02EF" w:rsidRPr="00CC19F7" w:rsidRDefault="00881E58" w:rsidP="00CC19F7">
      <w:pPr>
        <w:pStyle w:val="avsnitt-tittel"/>
      </w:pPr>
      <w:r w:rsidRPr="00CC19F7">
        <w:t xml:space="preserve">Havvind – etablere eigna regime for </w:t>
      </w:r>
      <w:proofErr w:type="spellStart"/>
      <w:r w:rsidRPr="00CC19F7">
        <w:t>risikoavlasting</w:t>
      </w:r>
      <w:proofErr w:type="spellEnd"/>
      <w:r w:rsidRPr="00CC19F7">
        <w:t xml:space="preserve"> og statsstøtte, </w:t>
      </w:r>
      <w:proofErr w:type="spellStart"/>
      <w:r w:rsidRPr="00CC19F7">
        <w:t>irekna</w:t>
      </w:r>
      <w:proofErr w:type="spellEnd"/>
      <w:r w:rsidRPr="00CC19F7">
        <w:t xml:space="preserve"> </w:t>
      </w:r>
      <w:proofErr w:type="spellStart"/>
      <w:r w:rsidRPr="00CC19F7">
        <w:t>differansekontraktar</w:t>
      </w:r>
      <w:proofErr w:type="spellEnd"/>
    </w:p>
    <w:p w14:paraId="2DA53343" w14:textId="77777777" w:rsidR="00FE02EF" w:rsidRPr="00CC19F7" w:rsidRDefault="00881E58" w:rsidP="00CC19F7">
      <w:pPr>
        <w:pStyle w:val="avsnitt-undertittel"/>
      </w:pPr>
      <w:r w:rsidRPr="00CC19F7">
        <w:t>Vedtak 708, 10. juni 2022</w:t>
      </w:r>
    </w:p>
    <w:p w14:paraId="35AC55C0" w14:textId="77777777" w:rsidR="00FE02EF" w:rsidRPr="00CC19F7" w:rsidRDefault="00881E58" w:rsidP="00CC19F7">
      <w:pPr>
        <w:pStyle w:val="blokksit"/>
      </w:pPr>
      <w:r w:rsidRPr="00CC19F7">
        <w:t>«</w:t>
      </w:r>
      <w:r w:rsidRPr="00CC19F7">
        <w:rPr>
          <w:rStyle w:val="kursiv"/>
        </w:rPr>
        <w:t>Stortinget ber regjeringen bidra til å realisere prosjekter i de første tildelingsrundene blant annet gjennom å etablere egnet regime for risikoavlastning og statsstøtte dersom det er behov for dette. Ulike modeller skal i den sammenheng vurderes, herunder en modell med differansekontrakter knyttet til kraftprisen for utbygging av havvind etter havenergiloven i tildelte områder. Det er et mål å velge en ordning som minimerer kostnadene ved realisering av prosjektet.</w:t>
      </w:r>
      <w:r w:rsidRPr="00CC19F7">
        <w:t>»</w:t>
      </w:r>
    </w:p>
    <w:p w14:paraId="2F627A5F" w14:textId="77777777" w:rsidR="00FE02EF" w:rsidRPr="00CC19F7" w:rsidRDefault="00881E58" w:rsidP="00CC19F7">
      <w:r w:rsidRPr="00CC19F7">
        <w:t xml:space="preserve">Dokumenta som ligg til grunn for vedtaket er Meld. St. 36 (2020–2021), Meld. St. 11 (2021–2022) og </w:t>
      </w:r>
      <w:proofErr w:type="spellStart"/>
      <w:r w:rsidRPr="00CC19F7">
        <w:t>Innst</w:t>
      </w:r>
      <w:proofErr w:type="spellEnd"/>
      <w:r w:rsidRPr="00CC19F7">
        <w:t>. 446 S (2021–2022).</w:t>
      </w:r>
    </w:p>
    <w:p w14:paraId="6FFD5D42" w14:textId="77777777" w:rsidR="00FE02EF" w:rsidRPr="00CC19F7" w:rsidRDefault="00881E58" w:rsidP="00CC19F7">
      <w:r w:rsidRPr="00CC19F7">
        <w:t xml:space="preserve">Oppmodingsvedtaket er </w:t>
      </w:r>
      <w:proofErr w:type="spellStart"/>
      <w:r w:rsidRPr="00CC19F7">
        <w:t>følgt</w:t>
      </w:r>
      <w:proofErr w:type="spellEnd"/>
      <w:r w:rsidRPr="00CC19F7">
        <w:t xml:space="preserve"> opp gjennom Stortingets vedtak ved </w:t>
      </w:r>
      <w:proofErr w:type="spellStart"/>
      <w:r w:rsidRPr="00CC19F7">
        <w:t>behandlinga</w:t>
      </w:r>
      <w:proofErr w:type="spellEnd"/>
      <w:r w:rsidRPr="00CC19F7">
        <w:t xml:space="preserve"> av </w:t>
      </w:r>
      <w:proofErr w:type="spellStart"/>
      <w:r w:rsidRPr="00CC19F7">
        <w:t>Prop</w:t>
      </w:r>
      <w:proofErr w:type="spellEnd"/>
      <w:r w:rsidRPr="00CC19F7">
        <w:t xml:space="preserve">. 93 S (2022–2023) </w:t>
      </w:r>
      <w:r w:rsidRPr="00CC19F7">
        <w:rPr>
          <w:rStyle w:val="kursiv"/>
        </w:rPr>
        <w:t xml:space="preserve">Fullmakt til å inngå </w:t>
      </w:r>
      <w:proofErr w:type="spellStart"/>
      <w:r w:rsidRPr="00CC19F7">
        <w:rPr>
          <w:rStyle w:val="kursiv"/>
        </w:rPr>
        <w:t>ein</w:t>
      </w:r>
      <w:proofErr w:type="spellEnd"/>
      <w:r w:rsidRPr="00CC19F7">
        <w:rPr>
          <w:rStyle w:val="kursiv"/>
        </w:rPr>
        <w:t xml:space="preserve"> tosidig differansekontrakt for støtte til fornybar energiproduksjon til havs </w:t>
      </w:r>
      <w:proofErr w:type="spellStart"/>
      <w:r w:rsidRPr="00CC19F7">
        <w:rPr>
          <w:rStyle w:val="kursiv"/>
        </w:rPr>
        <w:t>frå</w:t>
      </w:r>
      <w:proofErr w:type="spellEnd"/>
      <w:r w:rsidRPr="00CC19F7">
        <w:rPr>
          <w:rStyle w:val="kursiv"/>
        </w:rPr>
        <w:t xml:space="preserve"> første fase av </w:t>
      </w:r>
      <w:proofErr w:type="spellStart"/>
      <w:r w:rsidRPr="00CC19F7">
        <w:rPr>
          <w:rStyle w:val="kursiv"/>
        </w:rPr>
        <w:t>Sørlege</w:t>
      </w:r>
      <w:proofErr w:type="spellEnd"/>
      <w:r w:rsidRPr="00CC19F7">
        <w:rPr>
          <w:rStyle w:val="kursiv"/>
        </w:rPr>
        <w:t xml:space="preserve"> </w:t>
      </w:r>
      <w:proofErr w:type="spellStart"/>
      <w:r w:rsidRPr="00CC19F7">
        <w:rPr>
          <w:rStyle w:val="kursiv"/>
        </w:rPr>
        <w:t>Nordsjø</w:t>
      </w:r>
      <w:proofErr w:type="spellEnd"/>
      <w:r w:rsidRPr="00CC19F7">
        <w:rPr>
          <w:rStyle w:val="kursiv"/>
        </w:rPr>
        <w:t xml:space="preserve"> II</w:t>
      </w:r>
      <w:r w:rsidRPr="00CC19F7">
        <w:t xml:space="preserve">, jf. </w:t>
      </w:r>
      <w:proofErr w:type="spellStart"/>
      <w:r w:rsidRPr="00CC19F7">
        <w:t>Innst</w:t>
      </w:r>
      <w:proofErr w:type="spellEnd"/>
      <w:r w:rsidRPr="00CC19F7">
        <w:t xml:space="preserve">. 496 S (2022–2023). I proposisjonen foreslår departementet </w:t>
      </w:r>
      <w:proofErr w:type="spellStart"/>
      <w:r w:rsidRPr="00CC19F7">
        <w:t>ein</w:t>
      </w:r>
      <w:proofErr w:type="spellEnd"/>
      <w:r w:rsidRPr="00CC19F7">
        <w:t xml:space="preserve"> tosidig differansekontrakt som støtteordning for det første havvindprosjektet på </w:t>
      </w:r>
      <w:proofErr w:type="spellStart"/>
      <w:r w:rsidRPr="00CC19F7">
        <w:t>Sørlege</w:t>
      </w:r>
      <w:proofErr w:type="spellEnd"/>
      <w:r w:rsidRPr="00CC19F7">
        <w:t xml:space="preserve"> </w:t>
      </w:r>
      <w:proofErr w:type="spellStart"/>
      <w:r w:rsidRPr="00CC19F7">
        <w:t>Nordsjø</w:t>
      </w:r>
      <w:proofErr w:type="spellEnd"/>
      <w:r w:rsidRPr="00CC19F7">
        <w:t xml:space="preserve"> II.</w:t>
      </w:r>
    </w:p>
    <w:p w14:paraId="65EFA981" w14:textId="77777777" w:rsidR="00FE02EF" w:rsidRPr="00CC19F7" w:rsidRDefault="00881E58" w:rsidP="00CC19F7">
      <w:r w:rsidRPr="00CC19F7">
        <w:t xml:space="preserve">Departementet </w:t>
      </w:r>
      <w:proofErr w:type="spellStart"/>
      <w:r w:rsidRPr="00CC19F7">
        <w:t>reknar</w:t>
      </w:r>
      <w:proofErr w:type="spellEnd"/>
      <w:r w:rsidRPr="00CC19F7">
        <w:t xml:space="preserve"> med dette oppmodingsvedtaket som </w:t>
      </w:r>
      <w:proofErr w:type="spellStart"/>
      <w:r w:rsidRPr="00CC19F7">
        <w:t>følgt</w:t>
      </w:r>
      <w:proofErr w:type="spellEnd"/>
      <w:r w:rsidRPr="00CC19F7">
        <w:t xml:space="preserve"> opp.</w:t>
      </w:r>
    </w:p>
    <w:p w14:paraId="3646B5DF" w14:textId="77777777" w:rsidR="00FE02EF" w:rsidRPr="00CC19F7" w:rsidRDefault="00881E58" w:rsidP="00CC19F7">
      <w:pPr>
        <w:pStyle w:val="avsnitt-tittel"/>
      </w:pPr>
      <w:r w:rsidRPr="00CC19F7">
        <w:t xml:space="preserve">Havvind – vurdere å fastsette delmål for arealtildeling </w:t>
      </w:r>
      <w:proofErr w:type="spellStart"/>
      <w:r w:rsidRPr="00CC19F7">
        <w:t>innan</w:t>
      </w:r>
      <w:proofErr w:type="spellEnd"/>
      <w:r w:rsidRPr="00CC19F7">
        <w:t xml:space="preserve"> 2030</w:t>
      </w:r>
    </w:p>
    <w:p w14:paraId="51BBF717" w14:textId="77777777" w:rsidR="00FE02EF" w:rsidRPr="00CC19F7" w:rsidRDefault="00881E58" w:rsidP="00CC19F7">
      <w:pPr>
        <w:pStyle w:val="avsnitt-undertittel"/>
      </w:pPr>
      <w:r w:rsidRPr="00CC19F7">
        <w:t>Vedtak 716, 10. juni 2022</w:t>
      </w:r>
    </w:p>
    <w:p w14:paraId="33030758" w14:textId="77777777" w:rsidR="00FE02EF" w:rsidRPr="00CC19F7" w:rsidRDefault="00881E58" w:rsidP="00CC19F7">
      <w:pPr>
        <w:pStyle w:val="blokksit"/>
      </w:pPr>
      <w:r w:rsidRPr="00CC19F7">
        <w:t>«</w:t>
      </w:r>
      <w:r w:rsidRPr="00CC19F7">
        <w:rPr>
          <w:rStyle w:val="kursiv"/>
        </w:rPr>
        <w:t>Stortinget ber regjeringen i lys av erfaringer og evalueringen som gjøres fra de første tildelingene, vurdere å fastsette et delmål for arealtildeling innen 2030.</w:t>
      </w:r>
      <w:r w:rsidRPr="00CC19F7">
        <w:t>»</w:t>
      </w:r>
    </w:p>
    <w:p w14:paraId="163D9A95" w14:textId="77777777" w:rsidR="00FE02EF" w:rsidRPr="00CC19F7" w:rsidRDefault="00881E58" w:rsidP="00CC19F7">
      <w:r w:rsidRPr="00CC19F7">
        <w:t xml:space="preserve">Dokumenta som ligg til grunn for vedtaket er Meld. St. 36 (2020–2021), Meld. St. 11 (2021–2022) og </w:t>
      </w:r>
      <w:proofErr w:type="spellStart"/>
      <w:r w:rsidRPr="00CC19F7">
        <w:t>Innst</w:t>
      </w:r>
      <w:proofErr w:type="spellEnd"/>
      <w:r w:rsidRPr="00CC19F7">
        <w:t>. 446 S (2021–2022).</w:t>
      </w:r>
    </w:p>
    <w:p w14:paraId="545FF0E9" w14:textId="77777777" w:rsidR="00FE02EF" w:rsidRPr="00CC19F7" w:rsidRDefault="00881E58" w:rsidP="00CC19F7">
      <w:r w:rsidRPr="00CC19F7">
        <w:t>Olje- og energidepartementet vil gjennomføre ei evaluering av første runde med tildeling av prosjektområde til havvindproduksjon.</w:t>
      </w:r>
    </w:p>
    <w:p w14:paraId="7FAA0FFB" w14:textId="77777777" w:rsidR="00FE02EF" w:rsidRPr="00CC19F7" w:rsidRDefault="00881E58" w:rsidP="00CC19F7">
      <w:r w:rsidRPr="00CC19F7">
        <w:t>Departementet vil komme tilbake til Stortinget på eigna måte når evalueringa er gjennomført.</w:t>
      </w:r>
    </w:p>
    <w:p w14:paraId="3A33FB42" w14:textId="77777777" w:rsidR="00FE02EF" w:rsidRPr="00CC19F7" w:rsidRDefault="00881E58" w:rsidP="00CC19F7">
      <w:pPr>
        <w:pStyle w:val="avsnitt-tittel"/>
      </w:pPr>
      <w:r w:rsidRPr="00CC19F7">
        <w:t>Vurdere potensialet for småskala vindkraftproduksjon</w:t>
      </w:r>
    </w:p>
    <w:p w14:paraId="773ADC2E" w14:textId="77777777" w:rsidR="00FE02EF" w:rsidRPr="00CC19F7" w:rsidRDefault="00881E58" w:rsidP="00CC19F7">
      <w:pPr>
        <w:pStyle w:val="avsnitt-undertittel"/>
      </w:pPr>
      <w:r w:rsidRPr="00CC19F7">
        <w:t>Vedtak 724, 10. juni 2022</w:t>
      </w:r>
    </w:p>
    <w:p w14:paraId="281DBC4F" w14:textId="77777777" w:rsidR="00FE02EF" w:rsidRPr="00CC19F7" w:rsidRDefault="00881E58" w:rsidP="00CC19F7">
      <w:pPr>
        <w:pStyle w:val="blokksit"/>
      </w:pPr>
      <w:r w:rsidRPr="00CC19F7">
        <w:t>«</w:t>
      </w:r>
      <w:r w:rsidRPr="00CC19F7">
        <w:rPr>
          <w:rStyle w:val="kursiv"/>
        </w:rPr>
        <w:t>Stortinget ber regjeringen vurdere potensialet for småskala vindkraftproduksjon i industriområder, havner og ved annen infrastruktur hvor dette ikke gir nye naturinngrep.</w:t>
      </w:r>
      <w:r w:rsidRPr="00CC19F7">
        <w:t>»</w:t>
      </w:r>
    </w:p>
    <w:p w14:paraId="17CDF63F" w14:textId="77777777" w:rsidR="00FE02EF" w:rsidRPr="00CC19F7" w:rsidRDefault="00881E58" w:rsidP="00CC19F7">
      <w:r w:rsidRPr="00CC19F7">
        <w:t xml:space="preserve">Dokumenta som ligg til grunn for vedtaket er Meld. St. 36 (2020–2021), Meld. St. 11 (2021–2022) og </w:t>
      </w:r>
      <w:proofErr w:type="spellStart"/>
      <w:r w:rsidRPr="00CC19F7">
        <w:t>Innst</w:t>
      </w:r>
      <w:proofErr w:type="spellEnd"/>
      <w:r w:rsidRPr="00CC19F7">
        <w:t>. 446 S (2021–2022).</w:t>
      </w:r>
    </w:p>
    <w:p w14:paraId="536C96AB" w14:textId="77777777" w:rsidR="00FE02EF" w:rsidRPr="00CC19F7" w:rsidRDefault="00881E58" w:rsidP="00CC19F7">
      <w:r w:rsidRPr="00CC19F7">
        <w:t xml:space="preserve">Departementet har i oppfølginga av vedtaket bedt NVE vurdere potensialet for utbygging av fornybar kraftproduksjon på næringsareal, langs </w:t>
      </w:r>
      <w:proofErr w:type="spellStart"/>
      <w:r w:rsidRPr="00CC19F7">
        <w:t>motorvegar</w:t>
      </w:r>
      <w:proofErr w:type="spellEnd"/>
      <w:r w:rsidRPr="00CC19F7">
        <w:t xml:space="preserve"> og i andre nedbygde areal mot 2030. Vurderinga skal </w:t>
      </w:r>
      <w:proofErr w:type="spellStart"/>
      <w:r w:rsidRPr="00CC19F7">
        <w:t>skilje</w:t>
      </w:r>
      <w:proofErr w:type="spellEnd"/>
      <w:r w:rsidRPr="00CC19F7">
        <w:t xml:space="preserve"> mellom produksjonsformer, som sol- og vindkraft.</w:t>
      </w:r>
    </w:p>
    <w:p w14:paraId="07DCF86A" w14:textId="77777777" w:rsidR="00FE02EF" w:rsidRPr="00CC19F7" w:rsidRDefault="00881E58" w:rsidP="00CC19F7">
      <w:r w:rsidRPr="00CC19F7">
        <w:t xml:space="preserve">Departementet </w:t>
      </w:r>
      <w:proofErr w:type="spellStart"/>
      <w:r w:rsidRPr="00CC19F7">
        <w:t>reknar</w:t>
      </w:r>
      <w:proofErr w:type="spellEnd"/>
      <w:r w:rsidRPr="00CC19F7">
        <w:t xml:space="preserve"> med dette oppmodingsvedtaket som </w:t>
      </w:r>
      <w:proofErr w:type="spellStart"/>
      <w:r w:rsidRPr="00CC19F7">
        <w:t>følgt</w:t>
      </w:r>
      <w:proofErr w:type="spellEnd"/>
      <w:r w:rsidRPr="00CC19F7">
        <w:t xml:space="preserve"> opp.</w:t>
      </w:r>
    </w:p>
    <w:p w14:paraId="4332A943" w14:textId="77777777" w:rsidR="00FE02EF" w:rsidRPr="00CC19F7" w:rsidRDefault="00881E58" w:rsidP="00CC19F7">
      <w:pPr>
        <w:pStyle w:val="avsnitt-tittel"/>
      </w:pPr>
      <w:r w:rsidRPr="00CC19F7">
        <w:t xml:space="preserve">Mål om </w:t>
      </w:r>
      <w:proofErr w:type="spellStart"/>
      <w:r w:rsidRPr="00CC19F7">
        <w:t>auka</w:t>
      </w:r>
      <w:proofErr w:type="spellEnd"/>
      <w:r w:rsidRPr="00CC19F7">
        <w:t xml:space="preserve"> energisparing – greie ut ulike </w:t>
      </w:r>
      <w:proofErr w:type="spellStart"/>
      <w:r w:rsidRPr="00CC19F7">
        <w:t>ordningar</w:t>
      </w:r>
      <w:proofErr w:type="spellEnd"/>
      <w:r w:rsidRPr="00CC19F7">
        <w:t xml:space="preserve"> med energisparesertifikat</w:t>
      </w:r>
    </w:p>
    <w:p w14:paraId="0994565F" w14:textId="77777777" w:rsidR="00FE02EF" w:rsidRPr="00CC19F7" w:rsidRDefault="00881E58" w:rsidP="00CC19F7">
      <w:pPr>
        <w:pStyle w:val="avsnitt-undertittel"/>
      </w:pPr>
      <w:r w:rsidRPr="00CC19F7">
        <w:t>Vedtak 727, 10. juni 2022</w:t>
      </w:r>
    </w:p>
    <w:p w14:paraId="1AC224A0" w14:textId="77777777" w:rsidR="00FE02EF" w:rsidRPr="00CC19F7" w:rsidRDefault="00881E58" w:rsidP="00CC19F7">
      <w:pPr>
        <w:pStyle w:val="blokksit"/>
      </w:pPr>
      <w:r w:rsidRPr="00CC19F7">
        <w:t>«</w:t>
      </w:r>
      <w:r w:rsidRPr="00CC19F7">
        <w:rPr>
          <w:rStyle w:val="kursiv"/>
        </w:rPr>
        <w:t>Stortinget ber regjeringen utrede ulike ordninger med energisparesertifikater for å utløse mål om økt energisparing med mest mulig effekt.</w:t>
      </w:r>
      <w:r w:rsidRPr="00CC19F7">
        <w:t>»</w:t>
      </w:r>
    </w:p>
    <w:p w14:paraId="2503C4C0" w14:textId="77777777" w:rsidR="00FE02EF" w:rsidRPr="00CC19F7" w:rsidRDefault="00881E58" w:rsidP="00CC19F7">
      <w:r w:rsidRPr="00CC19F7">
        <w:t xml:space="preserve">Dokumenta som ligg til grunn for vedtaket er Meld. St. 36 (2020–2021), Meld. St. 11 (2021–2022) og </w:t>
      </w:r>
      <w:proofErr w:type="spellStart"/>
      <w:r w:rsidRPr="00CC19F7">
        <w:t>Innst</w:t>
      </w:r>
      <w:proofErr w:type="spellEnd"/>
      <w:r w:rsidRPr="00CC19F7">
        <w:t>. 446 S (2021–2022).</w:t>
      </w:r>
    </w:p>
    <w:p w14:paraId="1C9FBD30" w14:textId="77777777" w:rsidR="00FE02EF" w:rsidRPr="00CC19F7" w:rsidRDefault="00881E58" w:rsidP="00CC19F7">
      <w:r w:rsidRPr="00CC19F7">
        <w:t xml:space="preserve">Departementet vil vurdere oppfølging av oppmodingsvedtaket også i lys av regjeringas handlingsplan for energieffektivisering i alle </w:t>
      </w:r>
      <w:proofErr w:type="spellStart"/>
      <w:r w:rsidRPr="00CC19F7">
        <w:t>delar</w:t>
      </w:r>
      <w:proofErr w:type="spellEnd"/>
      <w:r w:rsidRPr="00CC19F7">
        <w:t xml:space="preserve"> av norsk økonomi.</w:t>
      </w:r>
    </w:p>
    <w:p w14:paraId="3729A032" w14:textId="77777777" w:rsidR="00FE02EF" w:rsidRPr="00CC19F7" w:rsidRDefault="00881E58" w:rsidP="00CC19F7">
      <w:r w:rsidRPr="00CC19F7">
        <w:t>Departementet vil komme tilbake til Stortinget på eigna måte.</w:t>
      </w:r>
    </w:p>
    <w:p w14:paraId="52F37C20" w14:textId="77777777" w:rsidR="00FE02EF" w:rsidRPr="00CC19F7" w:rsidRDefault="00881E58" w:rsidP="00CC19F7">
      <w:pPr>
        <w:pStyle w:val="avsnitt-tittel"/>
      </w:pPr>
      <w:r w:rsidRPr="00CC19F7">
        <w:t xml:space="preserve">Prioritere kven som får </w:t>
      </w:r>
      <w:proofErr w:type="spellStart"/>
      <w:r w:rsidRPr="00CC19F7">
        <w:t>tilknyting</w:t>
      </w:r>
      <w:proofErr w:type="spellEnd"/>
      <w:r w:rsidRPr="00CC19F7">
        <w:t xml:space="preserve"> til og uttak </w:t>
      </w:r>
      <w:proofErr w:type="spellStart"/>
      <w:r w:rsidRPr="00CC19F7">
        <w:t>frå</w:t>
      </w:r>
      <w:proofErr w:type="spellEnd"/>
      <w:r w:rsidRPr="00CC19F7">
        <w:t xml:space="preserve"> nettet av større nye </w:t>
      </w:r>
      <w:proofErr w:type="spellStart"/>
      <w:r w:rsidRPr="00CC19F7">
        <w:t>forbrukarar</w:t>
      </w:r>
      <w:proofErr w:type="spellEnd"/>
    </w:p>
    <w:p w14:paraId="61EDA8EC" w14:textId="77777777" w:rsidR="00FE02EF" w:rsidRPr="00CC19F7" w:rsidRDefault="00881E58" w:rsidP="00CC19F7">
      <w:pPr>
        <w:pStyle w:val="avsnitt-undertittel"/>
      </w:pPr>
      <w:r w:rsidRPr="00CC19F7">
        <w:t>Vedtak 731, 10. juni 2022</w:t>
      </w:r>
    </w:p>
    <w:p w14:paraId="757642A4" w14:textId="77777777" w:rsidR="00FE02EF" w:rsidRPr="00CC19F7" w:rsidRDefault="00881E58" w:rsidP="00CC19F7">
      <w:pPr>
        <w:pStyle w:val="blokksit"/>
      </w:pPr>
      <w:r w:rsidRPr="00CC19F7">
        <w:t>«</w:t>
      </w:r>
      <w:r w:rsidRPr="00CC19F7">
        <w:rPr>
          <w:rStyle w:val="kursiv"/>
        </w:rPr>
        <w:t>Stortinget ber regjeringen, i etterkant av at Strømnettutvalget kommer med sine anbefalinger i juni 2022, vurdere og fremme forslag som sørger for at NVE gjennom forskrifter prioriterer hvem som får tilknytning til og uttak fra nettet av større nye forbrukere og komme tilbake til Stortinget i forbindelse med revidert nasjonalbudsjett 2023.</w:t>
      </w:r>
      <w:r w:rsidRPr="00CC19F7">
        <w:t>»</w:t>
      </w:r>
    </w:p>
    <w:p w14:paraId="54E796C5" w14:textId="77777777" w:rsidR="00FE02EF" w:rsidRPr="00CC19F7" w:rsidRDefault="00881E58" w:rsidP="00CC19F7">
      <w:r w:rsidRPr="00CC19F7">
        <w:t xml:space="preserve">Dokumenta som ligg til grunn for vedtaket er Meld. St. 36 (2020–2021), Meld. St. 11 (2021–2022) og </w:t>
      </w:r>
      <w:proofErr w:type="spellStart"/>
      <w:r w:rsidRPr="00CC19F7">
        <w:t>Innst</w:t>
      </w:r>
      <w:proofErr w:type="spellEnd"/>
      <w:r w:rsidRPr="00CC19F7">
        <w:t>. 446 S (2021–2022).</w:t>
      </w:r>
    </w:p>
    <w:p w14:paraId="538FF3E2" w14:textId="77777777" w:rsidR="00FE02EF" w:rsidRPr="00CC19F7" w:rsidRDefault="00881E58" w:rsidP="00CC19F7">
      <w:r w:rsidRPr="00CC19F7">
        <w:t xml:space="preserve">Departementet </w:t>
      </w:r>
      <w:proofErr w:type="spellStart"/>
      <w:r w:rsidRPr="00CC19F7">
        <w:t>legg</w:t>
      </w:r>
      <w:proofErr w:type="spellEnd"/>
      <w:r w:rsidRPr="00CC19F7">
        <w:t xml:space="preserve"> til grunn at oppmodingsvedtaket er </w:t>
      </w:r>
      <w:proofErr w:type="spellStart"/>
      <w:r w:rsidRPr="00CC19F7">
        <w:t>følgt</w:t>
      </w:r>
      <w:proofErr w:type="spellEnd"/>
      <w:r w:rsidRPr="00CC19F7">
        <w:t xml:space="preserve"> opp gjennom vurderinga under kapittel 1.4 Anmodningsvedtak og omtale på side 179 i </w:t>
      </w:r>
      <w:proofErr w:type="spellStart"/>
      <w:r w:rsidRPr="00CC19F7">
        <w:t>Prop</w:t>
      </w:r>
      <w:proofErr w:type="spellEnd"/>
      <w:r w:rsidRPr="00CC19F7">
        <w:t xml:space="preserve">. 118 S (2022–2023) </w:t>
      </w:r>
      <w:r w:rsidRPr="00CC19F7">
        <w:rPr>
          <w:rStyle w:val="kursiv"/>
        </w:rPr>
        <w:t>Tilleggsbevilgninger og omprioriteringer i statsbudsjettet 2023</w:t>
      </w:r>
      <w:r w:rsidRPr="00CC19F7">
        <w:t>.</w:t>
      </w:r>
    </w:p>
    <w:p w14:paraId="548C09A8" w14:textId="77777777" w:rsidR="00FE02EF" w:rsidRPr="00CC19F7" w:rsidRDefault="00881E58" w:rsidP="00CC19F7">
      <w:proofErr w:type="spellStart"/>
      <w:r w:rsidRPr="00CC19F7">
        <w:t>Straumnettutvalets</w:t>
      </w:r>
      <w:proofErr w:type="spellEnd"/>
      <w:r w:rsidRPr="00CC19F7">
        <w:t xml:space="preserve"> rapport NOU 2022: 6 </w:t>
      </w:r>
      <w:r w:rsidRPr="00CC19F7">
        <w:rPr>
          <w:rStyle w:val="kursiv"/>
        </w:rPr>
        <w:t>Nett i tide – om utvikling av strømnettet</w:t>
      </w:r>
      <w:r w:rsidRPr="00CC19F7">
        <w:t xml:space="preserve">, blei lagd fram 14. juni 2022. </w:t>
      </w:r>
      <w:r w:rsidRPr="00CC19F7">
        <w:rPr>
          <w:rStyle w:val="kursiv"/>
        </w:rPr>
        <w:t>Regjeringens handlingsplan for raskere nettutbygging og bedre utnyttelse av nettet</w:t>
      </w:r>
      <w:r w:rsidRPr="00CC19F7">
        <w:t xml:space="preserve"> blei lagd fram 19. april 2023, som </w:t>
      </w:r>
      <w:proofErr w:type="spellStart"/>
      <w:r w:rsidRPr="00CC19F7">
        <w:t>ein</w:t>
      </w:r>
      <w:proofErr w:type="spellEnd"/>
      <w:r w:rsidRPr="00CC19F7">
        <w:t xml:space="preserve"> del av oppfølginga av rapporten </w:t>
      </w:r>
      <w:proofErr w:type="spellStart"/>
      <w:r w:rsidRPr="00CC19F7">
        <w:t>frå</w:t>
      </w:r>
      <w:proofErr w:type="spellEnd"/>
      <w:r w:rsidRPr="00CC19F7">
        <w:t xml:space="preserve"> </w:t>
      </w:r>
      <w:proofErr w:type="spellStart"/>
      <w:r w:rsidRPr="00CC19F7">
        <w:t>Straumnettutvalet</w:t>
      </w:r>
      <w:proofErr w:type="spellEnd"/>
      <w:r w:rsidRPr="00CC19F7">
        <w:t>.</w:t>
      </w:r>
    </w:p>
    <w:p w14:paraId="1B5B42BB" w14:textId="77777777" w:rsidR="00FE02EF" w:rsidRPr="00CC19F7" w:rsidRDefault="00881E58" w:rsidP="00CC19F7">
      <w:r w:rsidRPr="00CC19F7">
        <w:t xml:space="preserve">Nettselskapa bør i størst </w:t>
      </w:r>
      <w:proofErr w:type="spellStart"/>
      <w:r w:rsidRPr="00CC19F7">
        <w:t>mogleg</w:t>
      </w:r>
      <w:proofErr w:type="spellEnd"/>
      <w:r w:rsidRPr="00CC19F7">
        <w:t xml:space="preserve"> grad reservere og fordele kapasitet til </w:t>
      </w:r>
      <w:proofErr w:type="spellStart"/>
      <w:r w:rsidRPr="00CC19F7">
        <w:t>kundar</w:t>
      </w:r>
      <w:proofErr w:type="spellEnd"/>
      <w:r w:rsidRPr="00CC19F7">
        <w:t xml:space="preserve"> som gjennomfører sine prosjekt. Handlingsplanen </w:t>
      </w:r>
      <w:proofErr w:type="spellStart"/>
      <w:r w:rsidRPr="00CC19F7">
        <w:t>frå</w:t>
      </w:r>
      <w:proofErr w:type="spellEnd"/>
      <w:r w:rsidRPr="00CC19F7">
        <w:t xml:space="preserve"> regjeringa </w:t>
      </w:r>
      <w:proofErr w:type="spellStart"/>
      <w:r w:rsidRPr="00CC19F7">
        <w:t>varslar</w:t>
      </w:r>
      <w:proofErr w:type="spellEnd"/>
      <w:r w:rsidRPr="00CC19F7">
        <w:t xml:space="preserve"> derfor </w:t>
      </w:r>
      <w:proofErr w:type="spellStart"/>
      <w:r w:rsidRPr="00CC19F7">
        <w:t>forskriftsendringar</w:t>
      </w:r>
      <w:proofErr w:type="spellEnd"/>
      <w:r w:rsidRPr="00CC19F7">
        <w:t xml:space="preserve"> som </w:t>
      </w:r>
      <w:proofErr w:type="spellStart"/>
      <w:r w:rsidRPr="00CC19F7">
        <w:t>inneber</w:t>
      </w:r>
      <w:proofErr w:type="spellEnd"/>
      <w:r w:rsidRPr="00CC19F7">
        <w:t xml:space="preserve"> at nettselskapa skal ta omsyn til kor modne prosjekta er, når </w:t>
      </w:r>
      <w:proofErr w:type="spellStart"/>
      <w:r w:rsidRPr="00CC19F7">
        <w:t>dei</w:t>
      </w:r>
      <w:proofErr w:type="spellEnd"/>
      <w:r w:rsidRPr="00CC19F7">
        <w:t xml:space="preserve"> fordeler kapasitet. Nettselskapa må utarbeide </w:t>
      </w:r>
      <w:proofErr w:type="spellStart"/>
      <w:r w:rsidRPr="00CC19F7">
        <w:t>ein</w:t>
      </w:r>
      <w:proofErr w:type="spellEnd"/>
      <w:r w:rsidRPr="00CC19F7">
        <w:t xml:space="preserve"> nøytral og </w:t>
      </w:r>
      <w:proofErr w:type="spellStart"/>
      <w:r w:rsidRPr="00CC19F7">
        <w:t>ikkje-diskriminerande</w:t>
      </w:r>
      <w:proofErr w:type="spellEnd"/>
      <w:r w:rsidRPr="00CC19F7">
        <w:t xml:space="preserve"> praksis for </w:t>
      </w:r>
      <w:proofErr w:type="spellStart"/>
      <w:r w:rsidRPr="00CC19F7">
        <w:t>desse</w:t>
      </w:r>
      <w:proofErr w:type="spellEnd"/>
      <w:r w:rsidRPr="00CC19F7">
        <w:t xml:space="preserve"> </w:t>
      </w:r>
      <w:proofErr w:type="spellStart"/>
      <w:r w:rsidRPr="00CC19F7">
        <w:t>vurderingane</w:t>
      </w:r>
      <w:proofErr w:type="spellEnd"/>
      <w:r w:rsidRPr="00CC19F7">
        <w:t xml:space="preserve">. Utforminga av kriteria skal bidra til prioritet for </w:t>
      </w:r>
      <w:proofErr w:type="spellStart"/>
      <w:r w:rsidRPr="00CC19F7">
        <w:t>eksisterande</w:t>
      </w:r>
      <w:proofErr w:type="spellEnd"/>
      <w:r w:rsidRPr="00CC19F7">
        <w:t xml:space="preserve"> </w:t>
      </w:r>
      <w:proofErr w:type="spellStart"/>
      <w:r w:rsidRPr="00CC19F7">
        <w:t>føretak</w:t>
      </w:r>
      <w:proofErr w:type="spellEnd"/>
      <w:r w:rsidRPr="00CC19F7">
        <w:t xml:space="preserve">, slik at </w:t>
      </w:r>
      <w:proofErr w:type="spellStart"/>
      <w:r w:rsidRPr="00CC19F7">
        <w:t>desse</w:t>
      </w:r>
      <w:proofErr w:type="spellEnd"/>
      <w:r w:rsidRPr="00CC19F7">
        <w:t xml:space="preserve"> kan </w:t>
      </w:r>
      <w:proofErr w:type="spellStart"/>
      <w:r w:rsidRPr="00CC19F7">
        <w:t>vekse</w:t>
      </w:r>
      <w:proofErr w:type="spellEnd"/>
      <w:r w:rsidRPr="00CC19F7">
        <w:t xml:space="preserve"> og omstille seg, dernest legge til rette for nye </w:t>
      </w:r>
      <w:proofErr w:type="spellStart"/>
      <w:r w:rsidRPr="00CC19F7">
        <w:t>arbeidsplassar</w:t>
      </w:r>
      <w:proofErr w:type="spellEnd"/>
      <w:r w:rsidRPr="00CC19F7">
        <w:t xml:space="preserve"> og </w:t>
      </w:r>
      <w:proofErr w:type="spellStart"/>
      <w:r w:rsidRPr="00CC19F7">
        <w:t>auka</w:t>
      </w:r>
      <w:proofErr w:type="spellEnd"/>
      <w:r w:rsidRPr="00CC19F7">
        <w:t xml:space="preserve"> verdiskaping i tråd med regjeringas vegkart for grønt industriløft. RME har fått i oppdrag å foreslå konkrete </w:t>
      </w:r>
      <w:proofErr w:type="spellStart"/>
      <w:r w:rsidRPr="00CC19F7">
        <w:t>forskriftsendringar</w:t>
      </w:r>
      <w:proofErr w:type="spellEnd"/>
      <w:r w:rsidRPr="00CC19F7">
        <w:t xml:space="preserve"> på dette området. </w:t>
      </w:r>
      <w:proofErr w:type="spellStart"/>
      <w:r w:rsidRPr="00CC19F7">
        <w:t>Endringane</w:t>
      </w:r>
      <w:proofErr w:type="spellEnd"/>
      <w:r w:rsidRPr="00CC19F7">
        <w:t xml:space="preserve"> vil bli gjenstand for </w:t>
      </w:r>
      <w:proofErr w:type="spellStart"/>
      <w:r w:rsidRPr="00CC19F7">
        <w:t>høyring</w:t>
      </w:r>
      <w:proofErr w:type="spellEnd"/>
      <w:r w:rsidRPr="00CC19F7">
        <w:t xml:space="preserve"> på </w:t>
      </w:r>
      <w:proofErr w:type="spellStart"/>
      <w:r w:rsidRPr="00CC19F7">
        <w:t>vanleg</w:t>
      </w:r>
      <w:proofErr w:type="spellEnd"/>
      <w:r w:rsidRPr="00CC19F7">
        <w:t xml:space="preserve"> vis.</w:t>
      </w:r>
    </w:p>
    <w:p w14:paraId="171BCB77" w14:textId="77777777" w:rsidR="00FE02EF" w:rsidRPr="00CC19F7" w:rsidRDefault="00881E58" w:rsidP="00CC19F7">
      <w:r w:rsidRPr="00CC19F7">
        <w:t xml:space="preserve">Departementet </w:t>
      </w:r>
      <w:proofErr w:type="spellStart"/>
      <w:r w:rsidRPr="00CC19F7">
        <w:t>reknar</w:t>
      </w:r>
      <w:proofErr w:type="spellEnd"/>
      <w:r w:rsidRPr="00CC19F7">
        <w:t xml:space="preserve"> med dette oppmodingsvedtaket som </w:t>
      </w:r>
      <w:proofErr w:type="spellStart"/>
      <w:r w:rsidRPr="00CC19F7">
        <w:t>følgt</w:t>
      </w:r>
      <w:proofErr w:type="spellEnd"/>
      <w:r w:rsidRPr="00CC19F7">
        <w:t xml:space="preserve"> opp.</w:t>
      </w:r>
    </w:p>
    <w:p w14:paraId="20594B4E" w14:textId="77777777" w:rsidR="00FE02EF" w:rsidRPr="00CC19F7" w:rsidRDefault="00881E58" w:rsidP="00CC19F7">
      <w:pPr>
        <w:pStyle w:val="avsnitt-tittel"/>
      </w:pPr>
      <w:r w:rsidRPr="00CC19F7">
        <w:t xml:space="preserve">Hydrogen – utvikle </w:t>
      </w:r>
      <w:proofErr w:type="spellStart"/>
      <w:r w:rsidRPr="00CC19F7">
        <w:t>eit</w:t>
      </w:r>
      <w:proofErr w:type="spellEnd"/>
      <w:r w:rsidRPr="00CC19F7">
        <w:t xml:space="preserve"> </w:t>
      </w:r>
      <w:proofErr w:type="spellStart"/>
      <w:r w:rsidRPr="00CC19F7">
        <w:t>landsdekkande</w:t>
      </w:r>
      <w:proofErr w:type="spellEnd"/>
      <w:r w:rsidRPr="00CC19F7">
        <w:t xml:space="preserve"> nettverk av </w:t>
      </w:r>
      <w:proofErr w:type="spellStart"/>
      <w:r w:rsidRPr="00CC19F7">
        <w:t>fyllestasjonar</w:t>
      </w:r>
      <w:proofErr w:type="spellEnd"/>
      <w:r w:rsidRPr="00CC19F7">
        <w:t xml:space="preserve"> og knutepunkt</w:t>
      </w:r>
    </w:p>
    <w:p w14:paraId="1CAAB638" w14:textId="77777777" w:rsidR="00FE02EF" w:rsidRPr="00CC19F7" w:rsidRDefault="00881E58" w:rsidP="00CC19F7">
      <w:pPr>
        <w:pStyle w:val="avsnitt-undertittel"/>
      </w:pPr>
      <w:r w:rsidRPr="00CC19F7">
        <w:t>Vedtak 742, 10. juni 2022</w:t>
      </w:r>
    </w:p>
    <w:p w14:paraId="5C1D55BD" w14:textId="77777777" w:rsidR="00FE02EF" w:rsidRPr="00CC19F7" w:rsidRDefault="00881E58" w:rsidP="00CC19F7">
      <w:pPr>
        <w:pStyle w:val="blokksit"/>
      </w:pPr>
      <w:r w:rsidRPr="00CC19F7">
        <w:t>«</w:t>
      </w:r>
      <w:r w:rsidRPr="00CC19F7">
        <w:rPr>
          <w:rStyle w:val="kursiv"/>
        </w:rPr>
        <w:t>Stortinget ber regjeringen utrede hvordan markedet eventuelt i samspill med statlige myndigheter raskt kan utvikle et landsdekkende nettverk av fyllestasjoner og knutepunkter for hydrogen for landtransport, sjøtransport og industrielle formål og komme tilbake til dette i revidert statsbudsjett for 2023.</w:t>
      </w:r>
      <w:r w:rsidRPr="00CC19F7">
        <w:t>»</w:t>
      </w:r>
    </w:p>
    <w:p w14:paraId="6C6F13DE" w14:textId="77777777" w:rsidR="00FE02EF" w:rsidRPr="00CC19F7" w:rsidRDefault="00881E58" w:rsidP="00CC19F7">
      <w:r w:rsidRPr="00CC19F7">
        <w:t xml:space="preserve">Dokumenta som ligg til grunn for vedtaket er Meld. St. 36 (2020–2021), Meld. St. 11 (2021–2022) og </w:t>
      </w:r>
      <w:proofErr w:type="spellStart"/>
      <w:r w:rsidRPr="00CC19F7">
        <w:t>Innst</w:t>
      </w:r>
      <w:proofErr w:type="spellEnd"/>
      <w:r w:rsidRPr="00CC19F7">
        <w:t>. 446 S (2021–2022).</w:t>
      </w:r>
    </w:p>
    <w:p w14:paraId="7C5A0E2D" w14:textId="77777777" w:rsidR="00FE02EF" w:rsidRPr="00CC19F7" w:rsidRDefault="00881E58" w:rsidP="00CC19F7">
      <w:r w:rsidRPr="00CC19F7">
        <w:t xml:space="preserve">Regjeringa har i løpet av våren 2023 gjennomført ei ekstern utgreiing av korleis </w:t>
      </w:r>
      <w:proofErr w:type="spellStart"/>
      <w:r w:rsidRPr="00CC19F7">
        <w:t>samanhengande</w:t>
      </w:r>
      <w:proofErr w:type="spellEnd"/>
      <w:r w:rsidRPr="00CC19F7">
        <w:t xml:space="preserve"> verdikjeder for hydrogen, produsert med ingen eller låge utslepp, kan </w:t>
      </w:r>
      <w:proofErr w:type="spellStart"/>
      <w:r w:rsidRPr="00CC19F7">
        <w:t>byggast</w:t>
      </w:r>
      <w:proofErr w:type="spellEnd"/>
      <w:r w:rsidRPr="00CC19F7">
        <w:t xml:space="preserve"> opp på </w:t>
      </w:r>
      <w:proofErr w:type="spellStart"/>
      <w:r w:rsidRPr="00CC19F7">
        <w:t>ein</w:t>
      </w:r>
      <w:proofErr w:type="spellEnd"/>
      <w:r w:rsidRPr="00CC19F7">
        <w:t xml:space="preserve"> samfunnsøkonomisk effektiv måte. Dette er </w:t>
      </w:r>
      <w:proofErr w:type="spellStart"/>
      <w:r w:rsidRPr="00CC19F7">
        <w:t>ein</w:t>
      </w:r>
      <w:proofErr w:type="spellEnd"/>
      <w:r w:rsidRPr="00CC19F7">
        <w:t xml:space="preserve"> viktig del av kunnskapsgrunnlaget for regjeringas </w:t>
      </w:r>
      <w:proofErr w:type="spellStart"/>
      <w:r w:rsidRPr="00CC19F7">
        <w:t>vidare</w:t>
      </w:r>
      <w:proofErr w:type="spellEnd"/>
      <w:r w:rsidRPr="00CC19F7">
        <w:t xml:space="preserve"> utvikling av politikken på hydrogenområdet. I utgreiinga er det gitt </w:t>
      </w:r>
      <w:proofErr w:type="spellStart"/>
      <w:r w:rsidRPr="00CC19F7">
        <w:t>ein</w:t>
      </w:r>
      <w:proofErr w:type="spellEnd"/>
      <w:r w:rsidRPr="00CC19F7">
        <w:t xml:space="preserve"> teknologi- og </w:t>
      </w:r>
      <w:proofErr w:type="spellStart"/>
      <w:r w:rsidRPr="00CC19F7">
        <w:t>marknadsstatus</w:t>
      </w:r>
      <w:proofErr w:type="spellEnd"/>
      <w:r w:rsidRPr="00CC19F7">
        <w:t xml:space="preserve"> for både produksjon, transport og bruk av hydrogen. </w:t>
      </w:r>
      <w:proofErr w:type="spellStart"/>
      <w:r w:rsidRPr="00CC19F7">
        <w:t>Brukarsida</w:t>
      </w:r>
      <w:proofErr w:type="spellEnd"/>
      <w:r w:rsidRPr="00CC19F7">
        <w:t xml:space="preserve"> </w:t>
      </w:r>
      <w:proofErr w:type="spellStart"/>
      <w:r w:rsidRPr="00CC19F7">
        <w:t>omfattar</w:t>
      </w:r>
      <w:proofErr w:type="spellEnd"/>
      <w:r w:rsidRPr="00CC19F7">
        <w:t xml:space="preserve"> mellom anna landtransport, sjøtransport og ulike industrielle formål. Utgreiinga </w:t>
      </w:r>
      <w:proofErr w:type="spellStart"/>
      <w:r w:rsidRPr="00CC19F7">
        <w:t>gjer</w:t>
      </w:r>
      <w:proofErr w:type="spellEnd"/>
      <w:r w:rsidRPr="00CC19F7">
        <w:t xml:space="preserve"> greie for sentrale </w:t>
      </w:r>
      <w:proofErr w:type="spellStart"/>
      <w:r w:rsidRPr="00CC19F7">
        <w:t>marknadssviktar</w:t>
      </w:r>
      <w:proofErr w:type="spellEnd"/>
      <w:r w:rsidRPr="00CC19F7">
        <w:t xml:space="preserve"> og </w:t>
      </w:r>
      <w:proofErr w:type="spellStart"/>
      <w:r w:rsidRPr="00CC19F7">
        <w:t>barrierar</w:t>
      </w:r>
      <w:proofErr w:type="spellEnd"/>
      <w:r w:rsidRPr="00CC19F7">
        <w:t xml:space="preserve"> for at hydrogen, som </w:t>
      </w:r>
      <w:proofErr w:type="spellStart"/>
      <w:r w:rsidRPr="00CC19F7">
        <w:t>eit</w:t>
      </w:r>
      <w:proofErr w:type="spellEnd"/>
      <w:r w:rsidRPr="00CC19F7">
        <w:t xml:space="preserve"> tiltak for å kutte utslepp, skal kunne </w:t>
      </w:r>
      <w:proofErr w:type="spellStart"/>
      <w:r w:rsidRPr="00CC19F7">
        <w:t>takast</w:t>
      </w:r>
      <w:proofErr w:type="spellEnd"/>
      <w:r w:rsidRPr="00CC19F7">
        <w:t xml:space="preserve"> i bruk i stor skala. Utgreiinga undersøker også kva </w:t>
      </w:r>
      <w:proofErr w:type="spellStart"/>
      <w:r w:rsidRPr="00CC19F7">
        <w:t>konsekvensar</w:t>
      </w:r>
      <w:proofErr w:type="spellEnd"/>
      <w:r w:rsidRPr="00CC19F7">
        <w:t xml:space="preserve"> hydrogenproduksjon i </w:t>
      </w:r>
      <w:proofErr w:type="spellStart"/>
      <w:r w:rsidRPr="00CC19F7">
        <w:t>Noreg</w:t>
      </w:r>
      <w:proofErr w:type="spellEnd"/>
      <w:r w:rsidRPr="00CC19F7">
        <w:t xml:space="preserve"> har for kraftsystemet. I utgreiinga er det også gitt ei vurdering av korleis </w:t>
      </w:r>
      <w:proofErr w:type="spellStart"/>
      <w:r w:rsidRPr="00CC19F7">
        <w:t>statlege</w:t>
      </w:r>
      <w:proofErr w:type="spellEnd"/>
      <w:r w:rsidRPr="00CC19F7">
        <w:t xml:space="preserve"> tiltak kan </w:t>
      </w:r>
      <w:proofErr w:type="spellStart"/>
      <w:r w:rsidRPr="00CC19F7">
        <w:t>medverke</w:t>
      </w:r>
      <w:proofErr w:type="spellEnd"/>
      <w:r w:rsidRPr="00CC19F7">
        <w:t xml:space="preserve"> til utviklinga av hydrogenverdikjeder, inkludert infrastruktur for hydrogen for landtransport, sjøtransport og industrielle formål.</w:t>
      </w:r>
    </w:p>
    <w:p w14:paraId="25DECF28" w14:textId="77777777" w:rsidR="00FE02EF" w:rsidRPr="00CC19F7" w:rsidRDefault="00881E58" w:rsidP="00CC19F7">
      <w:r w:rsidRPr="00CC19F7">
        <w:t xml:space="preserve">Utgreiinga viser at det er stor </w:t>
      </w:r>
      <w:proofErr w:type="spellStart"/>
      <w:r w:rsidRPr="00CC19F7">
        <w:t>usikkerheit</w:t>
      </w:r>
      <w:proofErr w:type="spellEnd"/>
      <w:r w:rsidRPr="00CC19F7">
        <w:t xml:space="preserve"> knytt til den faktiske utviklinga av hydrogenforbruk i </w:t>
      </w:r>
      <w:proofErr w:type="spellStart"/>
      <w:r w:rsidRPr="00CC19F7">
        <w:t>Noreg</w:t>
      </w:r>
      <w:proofErr w:type="spellEnd"/>
      <w:r w:rsidRPr="00CC19F7">
        <w:t xml:space="preserve">, mellom anna som følge av usikker </w:t>
      </w:r>
      <w:proofErr w:type="spellStart"/>
      <w:r w:rsidRPr="00CC19F7">
        <w:t>hastigheit</w:t>
      </w:r>
      <w:proofErr w:type="spellEnd"/>
      <w:r w:rsidRPr="00CC19F7">
        <w:t xml:space="preserve"> på den teknologiske utviklinga og kostnadsutviklinga i ulike </w:t>
      </w:r>
      <w:proofErr w:type="spellStart"/>
      <w:r w:rsidRPr="00CC19F7">
        <w:t>sektorar</w:t>
      </w:r>
      <w:proofErr w:type="spellEnd"/>
      <w:r w:rsidRPr="00CC19F7">
        <w:t xml:space="preserve">. Det er også </w:t>
      </w:r>
      <w:proofErr w:type="spellStart"/>
      <w:r w:rsidRPr="00CC19F7">
        <w:t>usikkerheit</w:t>
      </w:r>
      <w:proofErr w:type="spellEnd"/>
      <w:r w:rsidRPr="00CC19F7">
        <w:t xml:space="preserve"> knytt til kva for </w:t>
      </w:r>
      <w:proofErr w:type="spellStart"/>
      <w:r w:rsidRPr="00CC19F7">
        <w:t>teknologiløysingar</w:t>
      </w:r>
      <w:proofErr w:type="spellEnd"/>
      <w:r w:rsidRPr="00CC19F7">
        <w:t xml:space="preserve"> som eventuelt vil vinne fram. Utgreiinga viser at det eksisterer </w:t>
      </w:r>
      <w:proofErr w:type="spellStart"/>
      <w:r w:rsidRPr="00CC19F7">
        <w:t>fleire</w:t>
      </w:r>
      <w:proofErr w:type="spellEnd"/>
      <w:r w:rsidRPr="00CC19F7">
        <w:t xml:space="preserve"> </w:t>
      </w:r>
      <w:proofErr w:type="spellStart"/>
      <w:r w:rsidRPr="00CC19F7">
        <w:t>barrierar</w:t>
      </w:r>
      <w:proofErr w:type="spellEnd"/>
      <w:r w:rsidRPr="00CC19F7">
        <w:t xml:space="preserve"> som </w:t>
      </w:r>
      <w:proofErr w:type="spellStart"/>
      <w:r w:rsidRPr="00CC19F7">
        <w:t>hindrar</w:t>
      </w:r>
      <w:proofErr w:type="spellEnd"/>
      <w:r w:rsidRPr="00CC19F7">
        <w:t xml:space="preserve"> ei rask utvikling av hydrogen spesielt, til bruk i transport og industrielle formål. Slike </w:t>
      </w:r>
      <w:proofErr w:type="spellStart"/>
      <w:r w:rsidRPr="00CC19F7">
        <w:t>barrierar</w:t>
      </w:r>
      <w:proofErr w:type="spellEnd"/>
      <w:r w:rsidRPr="00CC19F7">
        <w:t xml:space="preserve"> er mellom anna mangelen på </w:t>
      </w:r>
      <w:proofErr w:type="spellStart"/>
      <w:r w:rsidRPr="00CC19F7">
        <w:t>standardar</w:t>
      </w:r>
      <w:proofErr w:type="spellEnd"/>
      <w:r w:rsidRPr="00CC19F7">
        <w:t xml:space="preserve"> knytte til kvalitet og </w:t>
      </w:r>
      <w:proofErr w:type="spellStart"/>
      <w:r w:rsidRPr="00CC19F7">
        <w:t>sikkerheit</w:t>
      </w:r>
      <w:proofErr w:type="spellEnd"/>
      <w:r w:rsidRPr="00CC19F7">
        <w:t xml:space="preserve">, </w:t>
      </w:r>
      <w:proofErr w:type="spellStart"/>
      <w:r w:rsidRPr="00CC19F7">
        <w:t>manglande</w:t>
      </w:r>
      <w:proofErr w:type="spellEnd"/>
      <w:r w:rsidRPr="00CC19F7">
        <w:t xml:space="preserve"> lovverk og regulering og høge kostnader </w:t>
      </w:r>
      <w:proofErr w:type="spellStart"/>
      <w:r w:rsidRPr="00CC19F7">
        <w:t>samanlikna</w:t>
      </w:r>
      <w:proofErr w:type="spellEnd"/>
      <w:r w:rsidRPr="00CC19F7">
        <w:t xml:space="preserve"> med fossile alternativ. Utgreiinga </w:t>
      </w:r>
      <w:proofErr w:type="spellStart"/>
      <w:r w:rsidRPr="00CC19F7">
        <w:t>peikar</w:t>
      </w:r>
      <w:proofErr w:type="spellEnd"/>
      <w:r w:rsidRPr="00CC19F7">
        <w:t xml:space="preserve"> på at det derfor samla kan </w:t>
      </w:r>
      <w:proofErr w:type="spellStart"/>
      <w:r w:rsidRPr="00CC19F7">
        <w:t>vere</w:t>
      </w:r>
      <w:proofErr w:type="spellEnd"/>
      <w:r w:rsidRPr="00CC19F7">
        <w:t xml:space="preserve"> grunnlag for </w:t>
      </w:r>
      <w:proofErr w:type="spellStart"/>
      <w:r w:rsidRPr="00CC19F7">
        <w:t>statlege</w:t>
      </w:r>
      <w:proofErr w:type="spellEnd"/>
      <w:r w:rsidRPr="00CC19F7">
        <w:t xml:space="preserve"> </w:t>
      </w:r>
      <w:proofErr w:type="spellStart"/>
      <w:r w:rsidRPr="00CC19F7">
        <w:t>verkemiddel</w:t>
      </w:r>
      <w:proofErr w:type="spellEnd"/>
      <w:r w:rsidRPr="00CC19F7">
        <w:t xml:space="preserve"> og tiltak som </w:t>
      </w:r>
      <w:proofErr w:type="spellStart"/>
      <w:r w:rsidRPr="00CC19F7">
        <w:t>medverkar</w:t>
      </w:r>
      <w:proofErr w:type="spellEnd"/>
      <w:r w:rsidRPr="00CC19F7">
        <w:t xml:space="preserve"> til utviklinga av </w:t>
      </w:r>
      <w:proofErr w:type="spellStart"/>
      <w:r w:rsidRPr="00CC19F7">
        <w:t>marknader</w:t>
      </w:r>
      <w:proofErr w:type="spellEnd"/>
      <w:r w:rsidRPr="00CC19F7">
        <w:t xml:space="preserve"> for </w:t>
      </w:r>
      <w:proofErr w:type="spellStart"/>
      <w:r w:rsidRPr="00CC19F7">
        <w:t>hydrogenløysingar</w:t>
      </w:r>
      <w:proofErr w:type="spellEnd"/>
      <w:r w:rsidRPr="00CC19F7">
        <w:t xml:space="preserve">. Samtidig </w:t>
      </w:r>
      <w:proofErr w:type="spellStart"/>
      <w:r w:rsidRPr="00CC19F7">
        <w:t>peikar</w:t>
      </w:r>
      <w:proofErr w:type="spellEnd"/>
      <w:r w:rsidRPr="00CC19F7">
        <w:t xml:space="preserve"> utgreiinga på at </w:t>
      </w:r>
      <w:proofErr w:type="spellStart"/>
      <w:r w:rsidRPr="00CC19F7">
        <w:t>knappheit</w:t>
      </w:r>
      <w:proofErr w:type="spellEnd"/>
      <w:r w:rsidRPr="00CC19F7">
        <w:t xml:space="preserve"> på fornybar kraft, nettkapasitet, kompetent arbeidskraft og areal </w:t>
      </w:r>
      <w:proofErr w:type="spellStart"/>
      <w:r w:rsidRPr="00CC19F7">
        <w:t>gjer</w:t>
      </w:r>
      <w:proofErr w:type="spellEnd"/>
      <w:r w:rsidRPr="00CC19F7">
        <w:t xml:space="preserve"> at hydrogenverdikjedene står i </w:t>
      </w:r>
      <w:proofErr w:type="spellStart"/>
      <w:r w:rsidRPr="00CC19F7">
        <w:t>eit</w:t>
      </w:r>
      <w:proofErr w:type="spellEnd"/>
      <w:r w:rsidRPr="00CC19F7">
        <w:t xml:space="preserve"> konkurranseforhold til utvikling av anna </w:t>
      </w:r>
      <w:proofErr w:type="spellStart"/>
      <w:r w:rsidRPr="00CC19F7">
        <w:t>berekraftig</w:t>
      </w:r>
      <w:proofErr w:type="spellEnd"/>
      <w:r w:rsidRPr="00CC19F7">
        <w:t xml:space="preserve"> </w:t>
      </w:r>
      <w:proofErr w:type="spellStart"/>
      <w:r w:rsidRPr="00CC19F7">
        <w:t>verksemd</w:t>
      </w:r>
      <w:proofErr w:type="spellEnd"/>
      <w:r w:rsidRPr="00CC19F7">
        <w:t xml:space="preserve"> i </w:t>
      </w:r>
      <w:proofErr w:type="spellStart"/>
      <w:r w:rsidRPr="00CC19F7">
        <w:t>Noreg</w:t>
      </w:r>
      <w:proofErr w:type="spellEnd"/>
      <w:r w:rsidRPr="00CC19F7">
        <w:t xml:space="preserve">, og at ei </w:t>
      </w:r>
      <w:proofErr w:type="spellStart"/>
      <w:r w:rsidRPr="00CC19F7">
        <w:t>auka</w:t>
      </w:r>
      <w:proofErr w:type="spellEnd"/>
      <w:r w:rsidRPr="00CC19F7">
        <w:t xml:space="preserve"> satsing på hydrogen derfor må </w:t>
      </w:r>
      <w:proofErr w:type="spellStart"/>
      <w:r w:rsidRPr="00CC19F7">
        <w:t>prioriterast</w:t>
      </w:r>
      <w:proofErr w:type="spellEnd"/>
      <w:r w:rsidRPr="00CC19F7">
        <w:t xml:space="preserve"> opp mot andre </w:t>
      </w:r>
      <w:proofErr w:type="spellStart"/>
      <w:r w:rsidRPr="00CC19F7">
        <w:t>satsingar</w:t>
      </w:r>
      <w:proofErr w:type="spellEnd"/>
      <w:r w:rsidRPr="00CC19F7">
        <w:t xml:space="preserve"> og omsyn til natur og miljø. Utgreiinga anbefaler i første rekke å </w:t>
      </w:r>
      <w:proofErr w:type="spellStart"/>
      <w:r w:rsidRPr="00CC19F7">
        <w:t>vidareføre</w:t>
      </w:r>
      <w:proofErr w:type="spellEnd"/>
      <w:r w:rsidRPr="00CC19F7">
        <w:t xml:space="preserve"> og </w:t>
      </w:r>
      <w:proofErr w:type="spellStart"/>
      <w:r w:rsidRPr="00CC19F7">
        <w:t>forbetre</w:t>
      </w:r>
      <w:proofErr w:type="spellEnd"/>
      <w:r w:rsidRPr="00CC19F7">
        <w:t xml:space="preserve"> </w:t>
      </w:r>
      <w:proofErr w:type="spellStart"/>
      <w:r w:rsidRPr="00CC19F7">
        <w:t>eksisterande</w:t>
      </w:r>
      <w:proofErr w:type="spellEnd"/>
      <w:r w:rsidRPr="00CC19F7">
        <w:t xml:space="preserve"> </w:t>
      </w:r>
      <w:proofErr w:type="spellStart"/>
      <w:r w:rsidRPr="00CC19F7">
        <w:t>verkemiddel</w:t>
      </w:r>
      <w:proofErr w:type="spellEnd"/>
      <w:r w:rsidRPr="00CC19F7">
        <w:t xml:space="preserve">, </w:t>
      </w:r>
      <w:proofErr w:type="spellStart"/>
      <w:r w:rsidRPr="00CC19F7">
        <w:t>særleg</w:t>
      </w:r>
      <w:proofErr w:type="spellEnd"/>
      <w:r w:rsidRPr="00CC19F7">
        <w:t xml:space="preserve"> </w:t>
      </w:r>
      <w:proofErr w:type="spellStart"/>
      <w:r w:rsidRPr="00CC19F7">
        <w:t>verkemiddel</w:t>
      </w:r>
      <w:proofErr w:type="spellEnd"/>
      <w:r w:rsidRPr="00CC19F7">
        <w:t xml:space="preserve"> som </w:t>
      </w:r>
      <w:proofErr w:type="spellStart"/>
      <w:r w:rsidRPr="00CC19F7">
        <w:t>legg</w:t>
      </w:r>
      <w:proofErr w:type="spellEnd"/>
      <w:r w:rsidRPr="00CC19F7">
        <w:t xml:space="preserve"> til rette for reduksjon av utslepp og </w:t>
      </w:r>
      <w:proofErr w:type="spellStart"/>
      <w:r w:rsidRPr="00CC19F7">
        <w:t>klimaløysingar</w:t>
      </w:r>
      <w:proofErr w:type="spellEnd"/>
      <w:r w:rsidRPr="00CC19F7">
        <w:t xml:space="preserve"> generelt. Utgreiinga </w:t>
      </w:r>
      <w:proofErr w:type="spellStart"/>
      <w:r w:rsidRPr="00CC19F7">
        <w:t>påpeikar</w:t>
      </w:r>
      <w:proofErr w:type="spellEnd"/>
      <w:r w:rsidRPr="00CC19F7">
        <w:t xml:space="preserve"> at det vil gi </w:t>
      </w:r>
      <w:proofErr w:type="spellStart"/>
      <w:r w:rsidRPr="00CC19F7">
        <w:t>føreseielegheit</w:t>
      </w:r>
      <w:proofErr w:type="spellEnd"/>
      <w:r w:rsidRPr="00CC19F7">
        <w:t xml:space="preserve"> og </w:t>
      </w:r>
      <w:proofErr w:type="spellStart"/>
      <w:r w:rsidRPr="00CC19F7">
        <w:t>auka</w:t>
      </w:r>
      <w:proofErr w:type="spellEnd"/>
      <w:r w:rsidRPr="00CC19F7">
        <w:t xml:space="preserve"> </w:t>
      </w:r>
      <w:proofErr w:type="spellStart"/>
      <w:r w:rsidRPr="00CC19F7">
        <w:t>lønnsemd</w:t>
      </w:r>
      <w:proofErr w:type="spellEnd"/>
      <w:r w:rsidRPr="00CC19F7">
        <w:t xml:space="preserve"> for låg- og </w:t>
      </w:r>
      <w:proofErr w:type="spellStart"/>
      <w:r w:rsidRPr="00CC19F7">
        <w:t>nullutsleppteknologi</w:t>
      </w:r>
      <w:proofErr w:type="spellEnd"/>
      <w:r w:rsidRPr="00CC19F7">
        <w:t xml:space="preserve">, inkludert hydrogen, men </w:t>
      </w:r>
      <w:proofErr w:type="spellStart"/>
      <w:r w:rsidRPr="00CC19F7">
        <w:t>ikkje</w:t>
      </w:r>
      <w:proofErr w:type="spellEnd"/>
      <w:r w:rsidRPr="00CC19F7">
        <w:t xml:space="preserve"> nødvendigvis sterke bidrag til utvikling av hydrogenverdikjeder der det </w:t>
      </w:r>
      <w:proofErr w:type="spellStart"/>
      <w:r w:rsidRPr="00CC19F7">
        <w:t>finst</w:t>
      </w:r>
      <w:proofErr w:type="spellEnd"/>
      <w:r w:rsidRPr="00CC19F7">
        <w:t xml:space="preserve"> andre, </w:t>
      </w:r>
      <w:proofErr w:type="spellStart"/>
      <w:r w:rsidRPr="00CC19F7">
        <w:t>rimelegare</w:t>
      </w:r>
      <w:proofErr w:type="spellEnd"/>
      <w:r w:rsidRPr="00CC19F7">
        <w:t xml:space="preserve">, klimatiltak. Utgreiinga anbefaler også at hydrogenspesifikke </w:t>
      </w:r>
      <w:proofErr w:type="spellStart"/>
      <w:r w:rsidRPr="00CC19F7">
        <w:t>verkemiddel</w:t>
      </w:r>
      <w:proofErr w:type="spellEnd"/>
      <w:r w:rsidRPr="00CC19F7">
        <w:t xml:space="preserve"> </w:t>
      </w:r>
      <w:proofErr w:type="spellStart"/>
      <w:r w:rsidRPr="00CC19F7">
        <w:t>innan</w:t>
      </w:r>
      <w:proofErr w:type="spellEnd"/>
      <w:r w:rsidRPr="00CC19F7">
        <w:t xml:space="preserve"> forsking og utvikling blir </w:t>
      </w:r>
      <w:proofErr w:type="spellStart"/>
      <w:r w:rsidRPr="00CC19F7">
        <w:t>vidareførte</w:t>
      </w:r>
      <w:proofErr w:type="spellEnd"/>
      <w:r w:rsidRPr="00CC19F7">
        <w:t xml:space="preserve">. Regjeringa meiner at deltaking i EUs hydrogenbank vil </w:t>
      </w:r>
      <w:proofErr w:type="spellStart"/>
      <w:r w:rsidRPr="00CC19F7">
        <w:t>vere</w:t>
      </w:r>
      <w:proofErr w:type="spellEnd"/>
      <w:r w:rsidRPr="00CC19F7">
        <w:t xml:space="preserve"> </w:t>
      </w:r>
      <w:proofErr w:type="spellStart"/>
      <w:r w:rsidRPr="00CC19F7">
        <w:t>eit</w:t>
      </w:r>
      <w:proofErr w:type="spellEnd"/>
      <w:r w:rsidRPr="00CC19F7">
        <w:t xml:space="preserve"> godt </w:t>
      </w:r>
      <w:proofErr w:type="spellStart"/>
      <w:r w:rsidRPr="00CC19F7">
        <w:t>verkemiddel</w:t>
      </w:r>
      <w:proofErr w:type="spellEnd"/>
      <w:r w:rsidRPr="00CC19F7">
        <w:t xml:space="preserve"> for å utvikle ei </w:t>
      </w:r>
      <w:proofErr w:type="spellStart"/>
      <w:r w:rsidRPr="00CC19F7">
        <w:t>samanhengande</w:t>
      </w:r>
      <w:proofErr w:type="spellEnd"/>
      <w:r w:rsidRPr="00CC19F7">
        <w:t xml:space="preserve"> verdikjede for hydrogen. Det blir derfor lagt opp til at norske prosjekt så </w:t>
      </w:r>
      <w:proofErr w:type="spellStart"/>
      <w:r w:rsidRPr="00CC19F7">
        <w:t>tidleg</w:t>
      </w:r>
      <w:proofErr w:type="spellEnd"/>
      <w:r w:rsidRPr="00CC19F7">
        <w:t xml:space="preserve"> som </w:t>
      </w:r>
      <w:proofErr w:type="spellStart"/>
      <w:r w:rsidRPr="00CC19F7">
        <w:t>mogleg</w:t>
      </w:r>
      <w:proofErr w:type="spellEnd"/>
      <w:r w:rsidRPr="00CC19F7">
        <w:t xml:space="preserve"> skal kunne søke om støtte </w:t>
      </w:r>
      <w:proofErr w:type="spellStart"/>
      <w:r w:rsidRPr="00CC19F7">
        <w:t>frå</w:t>
      </w:r>
      <w:proofErr w:type="spellEnd"/>
      <w:r w:rsidRPr="00CC19F7">
        <w:t xml:space="preserve"> </w:t>
      </w:r>
      <w:proofErr w:type="spellStart"/>
      <w:r w:rsidRPr="00CC19F7">
        <w:t>utlysingar</w:t>
      </w:r>
      <w:proofErr w:type="spellEnd"/>
      <w:r w:rsidRPr="00CC19F7">
        <w:t xml:space="preserve"> under dette </w:t>
      </w:r>
      <w:proofErr w:type="spellStart"/>
      <w:r w:rsidRPr="00CC19F7">
        <w:t>verkemiddelet</w:t>
      </w:r>
      <w:proofErr w:type="spellEnd"/>
      <w:r w:rsidRPr="00CC19F7">
        <w:t xml:space="preserve">. Ifølge utgreiinga vil </w:t>
      </w:r>
      <w:proofErr w:type="spellStart"/>
      <w:r w:rsidRPr="00CC19F7">
        <w:t>eit</w:t>
      </w:r>
      <w:proofErr w:type="spellEnd"/>
      <w:r w:rsidRPr="00CC19F7">
        <w:t xml:space="preserve"> </w:t>
      </w:r>
      <w:proofErr w:type="spellStart"/>
      <w:r w:rsidRPr="00CC19F7">
        <w:t>marknadsgrunnlag</w:t>
      </w:r>
      <w:proofErr w:type="spellEnd"/>
      <w:r w:rsidRPr="00CC19F7">
        <w:t xml:space="preserve"> for hydrogen også kunne </w:t>
      </w:r>
      <w:proofErr w:type="spellStart"/>
      <w:r w:rsidRPr="00CC19F7">
        <w:t>skapast</w:t>
      </w:r>
      <w:proofErr w:type="spellEnd"/>
      <w:r w:rsidRPr="00CC19F7">
        <w:t xml:space="preserve"> gjennom direkte regulering eller </w:t>
      </w:r>
      <w:proofErr w:type="spellStart"/>
      <w:r w:rsidRPr="00CC19F7">
        <w:t>offentlege</w:t>
      </w:r>
      <w:proofErr w:type="spellEnd"/>
      <w:r w:rsidRPr="00CC19F7">
        <w:t xml:space="preserve"> innkjøp. </w:t>
      </w:r>
      <w:proofErr w:type="spellStart"/>
      <w:r w:rsidRPr="00CC19F7">
        <w:t>Truleg</w:t>
      </w:r>
      <w:proofErr w:type="spellEnd"/>
      <w:r w:rsidRPr="00CC19F7">
        <w:t xml:space="preserve"> må utvikling av infrastruktur for hydrogen for transport eller industrielle formål </w:t>
      </w:r>
      <w:proofErr w:type="spellStart"/>
      <w:r w:rsidRPr="00CC19F7">
        <w:t>fremmast</w:t>
      </w:r>
      <w:proofErr w:type="spellEnd"/>
      <w:r w:rsidRPr="00CC19F7">
        <w:t xml:space="preserve"> gjennom </w:t>
      </w:r>
      <w:proofErr w:type="spellStart"/>
      <w:r w:rsidRPr="00CC19F7">
        <w:t>ein</w:t>
      </w:r>
      <w:proofErr w:type="spellEnd"/>
      <w:r w:rsidRPr="00CC19F7">
        <w:t xml:space="preserve"> kombinasjon av </w:t>
      </w:r>
      <w:proofErr w:type="spellStart"/>
      <w:r w:rsidRPr="00CC19F7">
        <w:t>verkemiddel</w:t>
      </w:r>
      <w:proofErr w:type="spellEnd"/>
      <w:r w:rsidRPr="00CC19F7">
        <w:t xml:space="preserve">. På brukssida har </w:t>
      </w:r>
      <w:proofErr w:type="spellStart"/>
      <w:r w:rsidRPr="00CC19F7">
        <w:t>Enova</w:t>
      </w:r>
      <w:proofErr w:type="spellEnd"/>
      <w:r w:rsidRPr="00CC19F7">
        <w:t xml:space="preserve"> elles lagt fram to nye støtteprogram med rom for å gi </w:t>
      </w:r>
      <w:proofErr w:type="spellStart"/>
      <w:r w:rsidRPr="00CC19F7">
        <w:t>meir</w:t>
      </w:r>
      <w:proofErr w:type="spellEnd"/>
      <w:r w:rsidRPr="00CC19F7">
        <w:t xml:space="preserve"> støtte enn </w:t>
      </w:r>
      <w:proofErr w:type="spellStart"/>
      <w:r w:rsidRPr="00CC19F7">
        <w:t>tidlegare</w:t>
      </w:r>
      <w:proofErr w:type="spellEnd"/>
      <w:r w:rsidRPr="00CC19F7">
        <w:t xml:space="preserve">. Maksimal støttesats vil </w:t>
      </w:r>
      <w:proofErr w:type="spellStart"/>
      <w:r w:rsidRPr="00CC19F7">
        <w:t>vere</w:t>
      </w:r>
      <w:proofErr w:type="spellEnd"/>
      <w:r w:rsidRPr="00CC19F7">
        <w:t xml:space="preserve"> opptil 80 prosent av </w:t>
      </w:r>
      <w:proofErr w:type="spellStart"/>
      <w:r w:rsidRPr="00CC19F7">
        <w:t>godkjende</w:t>
      </w:r>
      <w:proofErr w:type="spellEnd"/>
      <w:r w:rsidRPr="00CC19F7">
        <w:t xml:space="preserve"> </w:t>
      </w:r>
      <w:proofErr w:type="spellStart"/>
      <w:r w:rsidRPr="00CC19F7">
        <w:t>meirkostnader</w:t>
      </w:r>
      <w:proofErr w:type="spellEnd"/>
      <w:r w:rsidRPr="00CC19F7">
        <w:t xml:space="preserve">. </w:t>
      </w:r>
      <w:proofErr w:type="spellStart"/>
      <w:r w:rsidRPr="00CC19F7">
        <w:t>Desse</w:t>
      </w:r>
      <w:proofErr w:type="spellEnd"/>
      <w:r w:rsidRPr="00CC19F7">
        <w:t xml:space="preserve"> vil bidra til </w:t>
      </w:r>
      <w:proofErr w:type="spellStart"/>
      <w:r w:rsidRPr="00CC19F7">
        <w:t>auka</w:t>
      </w:r>
      <w:proofErr w:type="spellEnd"/>
      <w:r w:rsidRPr="00CC19F7">
        <w:t xml:space="preserve"> realisering av hydrogen- og </w:t>
      </w:r>
      <w:proofErr w:type="spellStart"/>
      <w:r w:rsidRPr="00CC19F7">
        <w:t>ammoniakkdrivne</w:t>
      </w:r>
      <w:proofErr w:type="spellEnd"/>
      <w:r w:rsidRPr="00CC19F7">
        <w:t xml:space="preserve"> fartøy og skape </w:t>
      </w:r>
      <w:proofErr w:type="spellStart"/>
      <w:r w:rsidRPr="00CC19F7">
        <w:t>ein</w:t>
      </w:r>
      <w:proofErr w:type="spellEnd"/>
      <w:r w:rsidRPr="00CC19F7">
        <w:t xml:space="preserve"> større </w:t>
      </w:r>
      <w:proofErr w:type="spellStart"/>
      <w:r w:rsidRPr="00CC19F7">
        <w:t>marknad</w:t>
      </w:r>
      <w:proofErr w:type="spellEnd"/>
      <w:r w:rsidRPr="00CC19F7">
        <w:t xml:space="preserve"> for produksjon av hydrogen/ammoniakk. Til </w:t>
      </w:r>
      <w:proofErr w:type="spellStart"/>
      <w:r w:rsidRPr="00CC19F7">
        <w:t>saman</w:t>
      </w:r>
      <w:proofErr w:type="spellEnd"/>
      <w:r w:rsidRPr="00CC19F7">
        <w:t xml:space="preserve"> vil </w:t>
      </w:r>
      <w:proofErr w:type="spellStart"/>
      <w:r w:rsidRPr="00CC19F7">
        <w:t>desse</w:t>
      </w:r>
      <w:proofErr w:type="spellEnd"/>
      <w:r w:rsidRPr="00CC19F7">
        <w:t xml:space="preserve"> og </w:t>
      </w:r>
      <w:proofErr w:type="spellStart"/>
      <w:r w:rsidRPr="00CC19F7">
        <w:t>eksisterande</w:t>
      </w:r>
      <w:proofErr w:type="spellEnd"/>
      <w:r w:rsidRPr="00CC19F7">
        <w:t xml:space="preserve"> </w:t>
      </w:r>
      <w:proofErr w:type="spellStart"/>
      <w:r w:rsidRPr="00CC19F7">
        <w:t>verkemiddel</w:t>
      </w:r>
      <w:proofErr w:type="spellEnd"/>
      <w:r w:rsidRPr="00CC19F7">
        <w:t xml:space="preserve"> bidra til utvikling av </w:t>
      </w:r>
      <w:proofErr w:type="spellStart"/>
      <w:r w:rsidRPr="00CC19F7">
        <w:t>løysingar</w:t>
      </w:r>
      <w:proofErr w:type="spellEnd"/>
      <w:r w:rsidRPr="00CC19F7">
        <w:t xml:space="preserve"> og til </w:t>
      </w:r>
      <w:proofErr w:type="spellStart"/>
      <w:r w:rsidRPr="00CC19F7">
        <w:t>marknaden</w:t>
      </w:r>
      <w:proofErr w:type="spellEnd"/>
      <w:r w:rsidRPr="00CC19F7">
        <w:t xml:space="preserve"> for hydrogen som </w:t>
      </w:r>
      <w:proofErr w:type="spellStart"/>
      <w:r w:rsidRPr="00CC19F7">
        <w:t>energiberar</w:t>
      </w:r>
      <w:proofErr w:type="spellEnd"/>
      <w:r w:rsidRPr="00CC19F7">
        <w:t xml:space="preserve"> med ingen eller låge utslepp.</w:t>
      </w:r>
    </w:p>
    <w:p w14:paraId="6FBE0047" w14:textId="77777777" w:rsidR="00FE02EF" w:rsidRPr="00CC19F7" w:rsidRDefault="00881E58" w:rsidP="00CC19F7">
      <w:r w:rsidRPr="00CC19F7">
        <w:t xml:space="preserve">Departementet </w:t>
      </w:r>
      <w:proofErr w:type="spellStart"/>
      <w:r w:rsidRPr="00CC19F7">
        <w:t>reknar</w:t>
      </w:r>
      <w:proofErr w:type="spellEnd"/>
      <w:r w:rsidRPr="00CC19F7">
        <w:t xml:space="preserve"> med dette oppmodingsvedtaket som </w:t>
      </w:r>
      <w:proofErr w:type="spellStart"/>
      <w:r w:rsidRPr="00CC19F7">
        <w:t>følgt</w:t>
      </w:r>
      <w:proofErr w:type="spellEnd"/>
      <w:r w:rsidRPr="00CC19F7">
        <w:t xml:space="preserve"> opp.</w:t>
      </w:r>
    </w:p>
    <w:p w14:paraId="671DA052" w14:textId="77777777" w:rsidR="00FE02EF" w:rsidRPr="00CC19F7" w:rsidRDefault="00881E58" w:rsidP="00CC19F7">
      <w:pPr>
        <w:pStyle w:val="avsnitt-tittel"/>
      </w:pPr>
      <w:r w:rsidRPr="00CC19F7">
        <w:t xml:space="preserve">Krav om utnytting av </w:t>
      </w:r>
      <w:proofErr w:type="spellStart"/>
      <w:r w:rsidRPr="00CC19F7">
        <w:t>overskotsvarme</w:t>
      </w:r>
      <w:proofErr w:type="spellEnd"/>
    </w:p>
    <w:p w14:paraId="769C65CB" w14:textId="77777777" w:rsidR="00FE02EF" w:rsidRPr="00CC19F7" w:rsidRDefault="00881E58" w:rsidP="00CC19F7">
      <w:pPr>
        <w:pStyle w:val="avsnitt-undertittel"/>
      </w:pPr>
      <w:r w:rsidRPr="00CC19F7">
        <w:t>Vedtak 743, 10. juni 2022</w:t>
      </w:r>
    </w:p>
    <w:p w14:paraId="68FA0E2F" w14:textId="77777777" w:rsidR="00FE02EF" w:rsidRPr="00CC19F7" w:rsidRDefault="00881E58" w:rsidP="00CC19F7">
      <w:pPr>
        <w:pStyle w:val="blokksit"/>
      </w:pPr>
      <w:r w:rsidRPr="00CC19F7">
        <w:t>«</w:t>
      </w:r>
      <w:r w:rsidRPr="00CC19F7">
        <w:rPr>
          <w:rStyle w:val="kursiv"/>
        </w:rPr>
        <w:t xml:space="preserve">Stortinget ber regjeringen utrede krav om at </w:t>
      </w:r>
      <w:proofErr w:type="spellStart"/>
      <w:r w:rsidRPr="00CC19F7">
        <w:rPr>
          <w:rStyle w:val="kursiv"/>
        </w:rPr>
        <w:t>spillvarme</w:t>
      </w:r>
      <w:proofErr w:type="spellEnd"/>
      <w:r w:rsidRPr="00CC19F7">
        <w:rPr>
          <w:rStyle w:val="kursiv"/>
        </w:rPr>
        <w:t xml:space="preserve"> utnyttes fra prosesser som </w:t>
      </w:r>
      <w:proofErr w:type="gramStart"/>
      <w:r w:rsidRPr="00CC19F7">
        <w:rPr>
          <w:rStyle w:val="kursiv"/>
        </w:rPr>
        <w:t>avgir</w:t>
      </w:r>
      <w:proofErr w:type="gramEnd"/>
      <w:r w:rsidRPr="00CC19F7">
        <w:rPr>
          <w:rStyle w:val="kursiv"/>
        </w:rPr>
        <w:t xml:space="preserve"> mye varme, for eksempel industrianlegg, avfallsforbrenning, datasentre, hydrogenproduksjon og energiproduksjonsanlegg, der det er egnet.</w:t>
      </w:r>
      <w:r w:rsidRPr="00CC19F7">
        <w:t>»</w:t>
      </w:r>
    </w:p>
    <w:p w14:paraId="5BFF2193" w14:textId="77777777" w:rsidR="00FE02EF" w:rsidRPr="00CC19F7" w:rsidRDefault="00881E58" w:rsidP="00CC19F7">
      <w:r w:rsidRPr="00CC19F7">
        <w:t xml:space="preserve">Dokumenta som ligg til grunn for vedtaket er Meld. St. 36 (2020–2021), Meld. St. 11 (2021–2022) og </w:t>
      </w:r>
      <w:proofErr w:type="spellStart"/>
      <w:r w:rsidRPr="00CC19F7">
        <w:t>Innst</w:t>
      </w:r>
      <w:proofErr w:type="spellEnd"/>
      <w:r w:rsidRPr="00CC19F7">
        <w:t>. 446 S (2021–2022).</w:t>
      </w:r>
    </w:p>
    <w:p w14:paraId="65B7F1F2" w14:textId="77777777" w:rsidR="00FE02EF" w:rsidRPr="00CC19F7" w:rsidRDefault="00881E58" w:rsidP="00CC19F7">
      <w:r w:rsidRPr="00CC19F7">
        <w:t xml:space="preserve">Oppmodingsvedtaket er </w:t>
      </w:r>
      <w:proofErr w:type="spellStart"/>
      <w:r w:rsidRPr="00CC19F7">
        <w:t>følgt</w:t>
      </w:r>
      <w:proofErr w:type="spellEnd"/>
      <w:r w:rsidRPr="00CC19F7">
        <w:t xml:space="preserve"> opp gjennom Stortingets vedtak ved </w:t>
      </w:r>
      <w:proofErr w:type="spellStart"/>
      <w:r w:rsidRPr="00CC19F7">
        <w:t>behandlinga</w:t>
      </w:r>
      <w:proofErr w:type="spellEnd"/>
      <w:r w:rsidRPr="00CC19F7">
        <w:t xml:space="preserve"> av </w:t>
      </w:r>
      <w:proofErr w:type="spellStart"/>
      <w:r w:rsidRPr="00CC19F7">
        <w:t>Prop</w:t>
      </w:r>
      <w:proofErr w:type="spellEnd"/>
      <w:r w:rsidRPr="00CC19F7">
        <w:t xml:space="preserve">. 100 L (2022–2023) </w:t>
      </w:r>
      <w:r w:rsidRPr="00CC19F7">
        <w:rPr>
          <w:rStyle w:val="kursiv"/>
        </w:rPr>
        <w:t>Endringer i energiloven og naturgassloven (overskuddsvarme, energikartlegging, måling og fakturering)</w:t>
      </w:r>
      <w:r w:rsidRPr="00CC19F7">
        <w:t xml:space="preserve">, jf. </w:t>
      </w:r>
      <w:proofErr w:type="spellStart"/>
      <w:r w:rsidRPr="00CC19F7">
        <w:t>Innst</w:t>
      </w:r>
      <w:proofErr w:type="spellEnd"/>
      <w:r w:rsidRPr="00CC19F7">
        <w:t xml:space="preserve">. 360 L (2022–2023). </w:t>
      </w:r>
      <w:proofErr w:type="spellStart"/>
      <w:r w:rsidRPr="00CC19F7">
        <w:t>Lovendringane</w:t>
      </w:r>
      <w:proofErr w:type="spellEnd"/>
      <w:r w:rsidRPr="00CC19F7">
        <w:t xml:space="preserve"> </w:t>
      </w:r>
      <w:proofErr w:type="spellStart"/>
      <w:r w:rsidRPr="00CC19F7">
        <w:t>inneber</w:t>
      </w:r>
      <w:proofErr w:type="spellEnd"/>
      <w:r w:rsidRPr="00CC19F7">
        <w:t xml:space="preserve"> mellom anna at </w:t>
      </w:r>
      <w:proofErr w:type="spellStart"/>
      <w:r w:rsidRPr="00CC19F7">
        <w:t>aktørar</w:t>
      </w:r>
      <w:proofErr w:type="spellEnd"/>
      <w:r w:rsidRPr="00CC19F7">
        <w:t xml:space="preserve"> som etablerer eller oppgraderer energiintensive anlegg, skal gjennomføre </w:t>
      </w:r>
      <w:proofErr w:type="spellStart"/>
      <w:r w:rsidRPr="00CC19F7">
        <w:t>ein</w:t>
      </w:r>
      <w:proofErr w:type="spellEnd"/>
      <w:r w:rsidRPr="00CC19F7">
        <w:t xml:space="preserve"> kost-nytte-analyse av </w:t>
      </w:r>
      <w:proofErr w:type="spellStart"/>
      <w:r w:rsidRPr="00CC19F7">
        <w:t>moglegheitene</w:t>
      </w:r>
      <w:proofErr w:type="spellEnd"/>
      <w:r w:rsidRPr="00CC19F7">
        <w:t xml:space="preserve"> for å utnytte </w:t>
      </w:r>
      <w:proofErr w:type="spellStart"/>
      <w:r w:rsidRPr="00CC19F7">
        <w:t>overskotsvarme</w:t>
      </w:r>
      <w:proofErr w:type="spellEnd"/>
      <w:r w:rsidRPr="00CC19F7">
        <w:t xml:space="preserve">. Krava gjeld for kraftverk, industrianlegg og anlegg for energiproduksjon med over 20 MW samla tilført varmeeffekt. I tillegg blir fjernvarme- og fjernkjøleanlegg omfatta </w:t>
      </w:r>
      <w:proofErr w:type="spellStart"/>
      <w:r w:rsidRPr="00CC19F7">
        <w:t>utan</w:t>
      </w:r>
      <w:proofErr w:type="spellEnd"/>
      <w:r w:rsidRPr="00CC19F7">
        <w:t xml:space="preserve"> ei slik grense. Datasenter med over 2 MW samla tilført elektrisk effekt blir også omfatta, i tillegg til andre anlegg med ei </w:t>
      </w:r>
      <w:proofErr w:type="spellStart"/>
      <w:r w:rsidRPr="00CC19F7">
        <w:t>tilsvarande</w:t>
      </w:r>
      <w:proofErr w:type="spellEnd"/>
      <w:r w:rsidRPr="00CC19F7">
        <w:t xml:space="preserve"> grense på 20 MW.</w:t>
      </w:r>
    </w:p>
    <w:p w14:paraId="5CC9C02E" w14:textId="77777777" w:rsidR="00FE02EF" w:rsidRPr="00CC19F7" w:rsidRDefault="00881E58" w:rsidP="00CC19F7">
      <w:r w:rsidRPr="00CC19F7">
        <w:t xml:space="preserve">Analysen skal </w:t>
      </w:r>
      <w:proofErr w:type="spellStart"/>
      <w:r w:rsidRPr="00CC19F7">
        <w:t>sendast</w:t>
      </w:r>
      <w:proofErr w:type="spellEnd"/>
      <w:r w:rsidRPr="00CC19F7">
        <w:t xml:space="preserve"> til departementet for godkjenning før anlegget blir bygd eller oppgraderinga gjennomført. Departementet kan i enkeltvedtak gi pålegg om at anlegg </w:t>
      </w:r>
      <w:proofErr w:type="spellStart"/>
      <w:r w:rsidRPr="00CC19F7">
        <w:t>ikkje</w:t>
      </w:r>
      <w:proofErr w:type="spellEnd"/>
      <w:r w:rsidRPr="00CC19F7">
        <w:t xml:space="preserve"> kan </w:t>
      </w:r>
      <w:proofErr w:type="spellStart"/>
      <w:r w:rsidRPr="00CC19F7">
        <w:t>byggast</w:t>
      </w:r>
      <w:proofErr w:type="spellEnd"/>
      <w:r w:rsidRPr="00CC19F7">
        <w:t xml:space="preserve"> eller </w:t>
      </w:r>
      <w:proofErr w:type="spellStart"/>
      <w:r w:rsidRPr="00CC19F7">
        <w:t>oppgraderast</w:t>
      </w:r>
      <w:proofErr w:type="spellEnd"/>
      <w:r w:rsidRPr="00CC19F7">
        <w:t xml:space="preserve"> </w:t>
      </w:r>
      <w:proofErr w:type="spellStart"/>
      <w:r w:rsidRPr="00CC19F7">
        <w:t>utan</w:t>
      </w:r>
      <w:proofErr w:type="spellEnd"/>
      <w:r w:rsidRPr="00CC19F7">
        <w:t xml:space="preserve"> at </w:t>
      </w:r>
      <w:proofErr w:type="spellStart"/>
      <w:r w:rsidRPr="00CC19F7">
        <w:t>overskotsvarmen</w:t>
      </w:r>
      <w:proofErr w:type="spellEnd"/>
      <w:r w:rsidRPr="00CC19F7">
        <w:t xml:space="preserve"> blir utnytta, dersom kost-nytte-analysen viser at nytten overstig kostnadene. Høvet til å gi slike pålegg </w:t>
      </w:r>
      <w:proofErr w:type="gramStart"/>
      <w:r w:rsidRPr="00CC19F7">
        <w:t>gjeld anlegg</w:t>
      </w:r>
      <w:proofErr w:type="gramEnd"/>
      <w:r w:rsidRPr="00CC19F7">
        <w:t xml:space="preserve"> som bruker gass, olje, kol eller </w:t>
      </w:r>
      <w:proofErr w:type="spellStart"/>
      <w:r w:rsidRPr="00CC19F7">
        <w:t>bio</w:t>
      </w:r>
      <w:proofErr w:type="spellEnd"/>
      <w:r w:rsidRPr="00CC19F7">
        <w:t xml:space="preserve"> – </w:t>
      </w:r>
      <w:proofErr w:type="spellStart"/>
      <w:r w:rsidRPr="00CC19F7">
        <w:t>ikkje</w:t>
      </w:r>
      <w:proofErr w:type="spellEnd"/>
      <w:r w:rsidRPr="00CC19F7">
        <w:t xml:space="preserve"> anlegg som går på </w:t>
      </w:r>
      <w:proofErr w:type="spellStart"/>
      <w:r w:rsidRPr="00CC19F7">
        <w:t>straum</w:t>
      </w:r>
      <w:proofErr w:type="spellEnd"/>
      <w:r w:rsidRPr="00CC19F7">
        <w:t xml:space="preserve">. Departementet kan gi </w:t>
      </w:r>
      <w:proofErr w:type="spellStart"/>
      <w:r w:rsidRPr="00CC19F7">
        <w:t>nærmare</w:t>
      </w:r>
      <w:proofErr w:type="spellEnd"/>
      <w:r w:rsidRPr="00CC19F7">
        <w:t xml:space="preserve"> føresegner om </w:t>
      </w:r>
      <w:proofErr w:type="spellStart"/>
      <w:r w:rsidRPr="00CC19F7">
        <w:t>innhaldet</w:t>
      </w:r>
      <w:proofErr w:type="spellEnd"/>
      <w:r w:rsidRPr="00CC19F7">
        <w:t xml:space="preserve"> i analysen og kva anlegg som skal </w:t>
      </w:r>
      <w:proofErr w:type="spellStart"/>
      <w:r w:rsidRPr="00CC19F7">
        <w:t>omfattast</w:t>
      </w:r>
      <w:proofErr w:type="spellEnd"/>
      <w:r w:rsidRPr="00CC19F7">
        <w:t xml:space="preserve"> i forskrift. Departementet arbeider med </w:t>
      </w:r>
      <w:proofErr w:type="spellStart"/>
      <w:r w:rsidRPr="00CC19F7">
        <w:t>eit</w:t>
      </w:r>
      <w:proofErr w:type="spellEnd"/>
      <w:r w:rsidRPr="00CC19F7">
        <w:t xml:space="preserve"> forslag til forskrift, som vil bli sendt ut på </w:t>
      </w:r>
      <w:proofErr w:type="spellStart"/>
      <w:r w:rsidRPr="00CC19F7">
        <w:t>offentleg</w:t>
      </w:r>
      <w:proofErr w:type="spellEnd"/>
      <w:r w:rsidRPr="00CC19F7">
        <w:t xml:space="preserve"> </w:t>
      </w:r>
      <w:proofErr w:type="spellStart"/>
      <w:r w:rsidRPr="00CC19F7">
        <w:t>høyring</w:t>
      </w:r>
      <w:proofErr w:type="spellEnd"/>
      <w:r w:rsidRPr="00CC19F7">
        <w:t xml:space="preserve"> på </w:t>
      </w:r>
      <w:proofErr w:type="spellStart"/>
      <w:r w:rsidRPr="00CC19F7">
        <w:t>vanleg</w:t>
      </w:r>
      <w:proofErr w:type="spellEnd"/>
      <w:r w:rsidRPr="00CC19F7">
        <w:t xml:space="preserve"> måte.</w:t>
      </w:r>
    </w:p>
    <w:p w14:paraId="42DE9ACC" w14:textId="77777777" w:rsidR="00FE02EF" w:rsidRPr="00CC19F7" w:rsidRDefault="00881E58" w:rsidP="00CC19F7">
      <w:r w:rsidRPr="00CC19F7">
        <w:t xml:space="preserve">Departementet </w:t>
      </w:r>
      <w:proofErr w:type="spellStart"/>
      <w:r w:rsidRPr="00CC19F7">
        <w:t>reknar</w:t>
      </w:r>
      <w:proofErr w:type="spellEnd"/>
      <w:r w:rsidRPr="00CC19F7">
        <w:t xml:space="preserve"> med dette oppmodingsvedtaket som </w:t>
      </w:r>
      <w:proofErr w:type="spellStart"/>
      <w:r w:rsidRPr="00CC19F7">
        <w:t>følgt</w:t>
      </w:r>
      <w:proofErr w:type="spellEnd"/>
      <w:r w:rsidRPr="00CC19F7">
        <w:t xml:space="preserve"> opp.</w:t>
      </w:r>
    </w:p>
    <w:p w14:paraId="70E56823" w14:textId="77777777" w:rsidR="00FE02EF" w:rsidRPr="00CC19F7" w:rsidRDefault="00881E58" w:rsidP="00CC19F7">
      <w:pPr>
        <w:pStyle w:val="avsnitt-tittel"/>
      </w:pPr>
      <w:r w:rsidRPr="00CC19F7">
        <w:t xml:space="preserve">Prøveordning for </w:t>
      </w:r>
      <w:proofErr w:type="spellStart"/>
      <w:r w:rsidRPr="00CC19F7">
        <w:t>handverksbedrifter</w:t>
      </w:r>
      <w:proofErr w:type="spellEnd"/>
      <w:r w:rsidRPr="00CC19F7">
        <w:t xml:space="preserve"> – energitiltak</w:t>
      </w:r>
    </w:p>
    <w:p w14:paraId="2BD8F35D" w14:textId="77777777" w:rsidR="00FE02EF" w:rsidRPr="00CC19F7" w:rsidRDefault="00881E58" w:rsidP="00CC19F7">
      <w:pPr>
        <w:pStyle w:val="avsnitt-undertittel"/>
      </w:pPr>
      <w:r w:rsidRPr="00CC19F7">
        <w:t>Vedtak 746, 10. juni 2022</w:t>
      </w:r>
    </w:p>
    <w:p w14:paraId="3CFCF8F3" w14:textId="77777777" w:rsidR="00FE02EF" w:rsidRPr="00CC19F7" w:rsidRDefault="00881E58" w:rsidP="00CC19F7">
      <w:pPr>
        <w:pStyle w:val="blokksit"/>
      </w:pPr>
      <w:r w:rsidRPr="00CC19F7">
        <w:t>«</w:t>
      </w:r>
      <w:r w:rsidRPr="00CC19F7">
        <w:rPr>
          <w:rStyle w:val="kursiv"/>
        </w:rPr>
        <w:t>Stortinget ber regjeringen i forbindelse med revidert nasjonalbudsjett 2023 vurdere å opprette en prøveordning der håndverksbedrifter kan få støtte til kompetanseheving innen energitiltak.</w:t>
      </w:r>
      <w:r w:rsidRPr="00CC19F7">
        <w:t>»</w:t>
      </w:r>
    </w:p>
    <w:p w14:paraId="4FE744AA" w14:textId="77777777" w:rsidR="00FE02EF" w:rsidRPr="00CC19F7" w:rsidRDefault="00881E58" w:rsidP="00CC19F7">
      <w:r w:rsidRPr="00CC19F7">
        <w:t xml:space="preserve">Dokumenta som ligg til grunn for vedtaket er Meld. St. 36 (2020–2021), Meld. St. 11 (2021–2022) og </w:t>
      </w:r>
      <w:proofErr w:type="spellStart"/>
      <w:r w:rsidRPr="00CC19F7">
        <w:t>Innst</w:t>
      </w:r>
      <w:proofErr w:type="spellEnd"/>
      <w:r w:rsidRPr="00CC19F7">
        <w:t>. 446 S (2021–2022).</w:t>
      </w:r>
    </w:p>
    <w:p w14:paraId="7642050C" w14:textId="77777777" w:rsidR="00FE02EF" w:rsidRPr="00CC19F7" w:rsidRDefault="00881E58" w:rsidP="00CC19F7">
      <w:r w:rsidRPr="00CC19F7">
        <w:t xml:space="preserve">Departementet vil i samråd med aktuelle departement kartlegge behovet for tiltak for å styrke kompetansen om energitiltak i byggenæringa, mellom anna tiltak for å styrke kompetansen om energieffektivisering og energifleksibilitet blant </w:t>
      </w:r>
      <w:proofErr w:type="spellStart"/>
      <w:r w:rsidRPr="00CC19F7">
        <w:t>handverksbedrifter</w:t>
      </w:r>
      <w:proofErr w:type="spellEnd"/>
      <w:r w:rsidRPr="00CC19F7">
        <w:t>.</w:t>
      </w:r>
    </w:p>
    <w:p w14:paraId="5DC88EA6" w14:textId="77777777" w:rsidR="00FE02EF" w:rsidRPr="00CC19F7" w:rsidRDefault="00881E58" w:rsidP="00CC19F7">
      <w:r w:rsidRPr="00CC19F7">
        <w:t>Departementet vil komme tilbake til Stortinget på eigna måte.</w:t>
      </w:r>
    </w:p>
    <w:p w14:paraId="721568B8" w14:textId="77777777" w:rsidR="00FE02EF" w:rsidRPr="00CC19F7" w:rsidRDefault="00881E58" w:rsidP="00CC19F7">
      <w:pPr>
        <w:pStyle w:val="avsnitt-tittel"/>
      </w:pPr>
      <w:r w:rsidRPr="00CC19F7">
        <w:t xml:space="preserve">Solenergi – </w:t>
      </w:r>
      <w:proofErr w:type="spellStart"/>
      <w:r w:rsidRPr="00CC19F7">
        <w:t>auka</w:t>
      </w:r>
      <w:proofErr w:type="spellEnd"/>
      <w:r w:rsidRPr="00CC19F7">
        <w:t xml:space="preserve"> bruk</w:t>
      </w:r>
    </w:p>
    <w:p w14:paraId="3A5F42B2" w14:textId="77777777" w:rsidR="00FE02EF" w:rsidRPr="00CC19F7" w:rsidRDefault="00881E58" w:rsidP="00CC19F7">
      <w:pPr>
        <w:pStyle w:val="avsnitt-undertittel"/>
      </w:pPr>
      <w:r w:rsidRPr="00CC19F7">
        <w:t>Vedtak 747, 10. juni 2022</w:t>
      </w:r>
    </w:p>
    <w:p w14:paraId="738E7736" w14:textId="77777777" w:rsidR="00FE02EF" w:rsidRPr="00CC19F7" w:rsidRDefault="00881E58" w:rsidP="00CC19F7">
      <w:pPr>
        <w:pStyle w:val="blokksit"/>
      </w:pPr>
      <w:r w:rsidRPr="00CC19F7">
        <w:t>«</w:t>
      </w:r>
      <w:r w:rsidRPr="00CC19F7">
        <w:rPr>
          <w:rStyle w:val="kursiv"/>
        </w:rPr>
        <w:t>Stortinget ber regjeringen gjennomgå regelverket og virkemiddelapparatet for å stimulere til bruk av solenergi, blant annet for å stimulere til områdeutbygginger med solenergi og nabolagsstrøm.</w:t>
      </w:r>
      <w:r w:rsidRPr="00CC19F7">
        <w:t>»</w:t>
      </w:r>
    </w:p>
    <w:p w14:paraId="3B803692" w14:textId="77777777" w:rsidR="00FE02EF" w:rsidRPr="00CC19F7" w:rsidRDefault="00881E58" w:rsidP="00CC19F7">
      <w:r w:rsidRPr="00CC19F7">
        <w:t xml:space="preserve">Dokumenta som ligg til grunn for vedtaket er Meld. St. 36 (2020–2021), Meld. St. 11 (2021–2022) og </w:t>
      </w:r>
      <w:proofErr w:type="spellStart"/>
      <w:r w:rsidRPr="00CC19F7">
        <w:t>Innst</w:t>
      </w:r>
      <w:proofErr w:type="spellEnd"/>
      <w:r w:rsidRPr="00CC19F7">
        <w:t>. 446 S (2021–2022).</w:t>
      </w:r>
    </w:p>
    <w:p w14:paraId="40BA64DE" w14:textId="77777777" w:rsidR="00FE02EF" w:rsidRPr="00CC19F7" w:rsidRDefault="00881E58" w:rsidP="00CC19F7">
      <w:r w:rsidRPr="00CC19F7">
        <w:t xml:space="preserve">Departementet har i oppfølginga av vedtaket bedt NVE, med </w:t>
      </w:r>
      <w:proofErr w:type="spellStart"/>
      <w:r w:rsidRPr="00CC19F7">
        <w:t>innspel</w:t>
      </w:r>
      <w:proofErr w:type="spellEnd"/>
      <w:r w:rsidRPr="00CC19F7">
        <w:t xml:space="preserve"> </w:t>
      </w:r>
      <w:proofErr w:type="spellStart"/>
      <w:r w:rsidRPr="00CC19F7">
        <w:t>frå</w:t>
      </w:r>
      <w:proofErr w:type="spellEnd"/>
      <w:r w:rsidRPr="00CC19F7">
        <w:t xml:space="preserve"> RME og eventuelt andre </w:t>
      </w:r>
      <w:proofErr w:type="spellStart"/>
      <w:r w:rsidRPr="00CC19F7">
        <w:t>etatar</w:t>
      </w:r>
      <w:proofErr w:type="spellEnd"/>
      <w:r w:rsidRPr="00CC19F7">
        <w:t xml:space="preserve">, kartlegge og vurdere rammevilkåra for lokal energiproduksjon og -lagring, og eventuelt foreslå </w:t>
      </w:r>
      <w:proofErr w:type="spellStart"/>
      <w:r w:rsidRPr="00CC19F7">
        <w:t>endringar</w:t>
      </w:r>
      <w:proofErr w:type="spellEnd"/>
      <w:r w:rsidRPr="00CC19F7">
        <w:t xml:space="preserve"> i </w:t>
      </w:r>
      <w:proofErr w:type="spellStart"/>
      <w:r w:rsidRPr="00CC19F7">
        <w:t>eksisterande</w:t>
      </w:r>
      <w:proofErr w:type="spellEnd"/>
      <w:r w:rsidRPr="00CC19F7">
        <w:t xml:space="preserve"> </w:t>
      </w:r>
      <w:proofErr w:type="spellStart"/>
      <w:r w:rsidRPr="00CC19F7">
        <w:t>reguleringar</w:t>
      </w:r>
      <w:proofErr w:type="spellEnd"/>
      <w:r w:rsidRPr="00CC19F7">
        <w:t xml:space="preserve"> og </w:t>
      </w:r>
      <w:proofErr w:type="spellStart"/>
      <w:r w:rsidRPr="00CC19F7">
        <w:t>verkemiddel</w:t>
      </w:r>
      <w:proofErr w:type="spellEnd"/>
      <w:r w:rsidRPr="00CC19F7">
        <w:t>.</w:t>
      </w:r>
    </w:p>
    <w:p w14:paraId="49BC6CB8" w14:textId="77777777" w:rsidR="00FE02EF" w:rsidRPr="00CC19F7" w:rsidRDefault="00881E58" w:rsidP="00CC19F7">
      <w:r w:rsidRPr="00CC19F7">
        <w:t xml:space="preserve">Departementet har i oppfølginga av vedtaket bedt RME om å vurdere ei delingsordning tilpassa næringsområde, slik at deling av eigenprodusert </w:t>
      </w:r>
      <w:proofErr w:type="spellStart"/>
      <w:r w:rsidRPr="00CC19F7">
        <w:t>straum</w:t>
      </w:r>
      <w:proofErr w:type="spellEnd"/>
      <w:r w:rsidRPr="00CC19F7">
        <w:t xml:space="preserve"> mellom </w:t>
      </w:r>
      <w:proofErr w:type="spellStart"/>
      <w:r w:rsidRPr="00CC19F7">
        <w:t>straumkundar</w:t>
      </w:r>
      <w:proofErr w:type="spellEnd"/>
      <w:r w:rsidRPr="00CC19F7">
        <w:t xml:space="preserve"> utover vedtatt ordning kan </w:t>
      </w:r>
      <w:proofErr w:type="spellStart"/>
      <w:r w:rsidRPr="00CC19F7">
        <w:t>gjerast</w:t>
      </w:r>
      <w:proofErr w:type="spellEnd"/>
      <w:r w:rsidRPr="00CC19F7">
        <w:t xml:space="preserve"> på </w:t>
      </w:r>
      <w:proofErr w:type="spellStart"/>
      <w:r w:rsidRPr="00CC19F7">
        <w:t>ein</w:t>
      </w:r>
      <w:proofErr w:type="spellEnd"/>
      <w:r w:rsidRPr="00CC19F7">
        <w:t xml:space="preserve"> samfunnsmessig rasjonell måte. Deling </w:t>
      </w:r>
      <w:proofErr w:type="spellStart"/>
      <w:r w:rsidRPr="00CC19F7">
        <w:t>frå</w:t>
      </w:r>
      <w:proofErr w:type="spellEnd"/>
      <w:r w:rsidRPr="00CC19F7">
        <w:t xml:space="preserve"> anlegg med </w:t>
      </w:r>
      <w:proofErr w:type="spellStart"/>
      <w:r w:rsidRPr="00CC19F7">
        <w:t>meir</w:t>
      </w:r>
      <w:proofErr w:type="spellEnd"/>
      <w:r w:rsidRPr="00CC19F7">
        <w:t xml:space="preserve"> enn 1 MW installert effekt skal inngå i vurderinga.</w:t>
      </w:r>
    </w:p>
    <w:p w14:paraId="5CA3A10A" w14:textId="77777777" w:rsidR="00FE02EF" w:rsidRPr="00CC19F7" w:rsidRDefault="00881E58" w:rsidP="00CC19F7">
      <w:r w:rsidRPr="00CC19F7">
        <w:t xml:space="preserve">Departementet har samtidig bedt NVE om å vurdere ei lov-/forskriftsendring som gir </w:t>
      </w:r>
      <w:proofErr w:type="spellStart"/>
      <w:r w:rsidRPr="00CC19F7">
        <w:t>konsesjonsmyndigheitene</w:t>
      </w:r>
      <w:proofErr w:type="spellEnd"/>
      <w:r w:rsidRPr="00CC19F7">
        <w:t xml:space="preserve"> høve til å unnta mindre energiproduksjonsanlegg på industri- og næringsareal (grå areal) </w:t>
      </w:r>
      <w:proofErr w:type="spellStart"/>
      <w:r w:rsidRPr="00CC19F7">
        <w:t>frå</w:t>
      </w:r>
      <w:proofErr w:type="spellEnd"/>
      <w:r w:rsidRPr="00CC19F7">
        <w:t xml:space="preserve"> konsesjonsplikt.</w:t>
      </w:r>
    </w:p>
    <w:p w14:paraId="0C65E071" w14:textId="77777777" w:rsidR="00FE02EF" w:rsidRPr="00CC19F7" w:rsidRDefault="00881E58" w:rsidP="00CC19F7">
      <w:r w:rsidRPr="00CC19F7">
        <w:t xml:space="preserve">Departementet </w:t>
      </w:r>
      <w:proofErr w:type="spellStart"/>
      <w:r w:rsidRPr="00CC19F7">
        <w:t>reknar</w:t>
      </w:r>
      <w:proofErr w:type="spellEnd"/>
      <w:r w:rsidRPr="00CC19F7">
        <w:t xml:space="preserve"> med dette oppmodingsvedtaket som </w:t>
      </w:r>
      <w:proofErr w:type="spellStart"/>
      <w:r w:rsidRPr="00CC19F7">
        <w:t>følgt</w:t>
      </w:r>
      <w:proofErr w:type="spellEnd"/>
      <w:r w:rsidRPr="00CC19F7">
        <w:t xml:space="preserve"> opp.</w:t>
      </w:r>
    </w:p>
    <w:p w14:paraId="3B60006E" w14:textId="77777777" w:rsidR="00FE02EF" w:rsidRPr="00CC19F7" w:rsidRDefault="00881E58" w:rsidP="00CC19F7">
      <w:pPr>
        <w:pStyle w:val="avsnitt-tittel"/>
      </w:pPr>
      <w:r w:rsidRPr="00CC19F7">
        <w:t>Solenergi – kartlegging av potensialet for produksjon på landbruksareal</w:t>
      </w:r>
    </w:p>
    <w:p w14:paraId="6CFD4A55" w14:textId="77777777" w:rsidR="00FE02EF" w:rsidRPr="00CC19F7" w:rsidRDefault="00881E58" w:rsidP="00CC19F7">
      <w:pPr>
        <w:pStyle w:val="avsnitt-undertittel"/>
      </w:pPr>
      <w:r w:rsidRPr="00CC19F7">
        <w:t>Vedtak 751, 10. juni 2022</w:t>
      </w:r>
    </w:p>
    <w:p w14:paraId="4C199EEE" w14:textId="77777777" w:rsidR="00FE02EF" w:rsidRPr="00CC19F7" w:rsidRDefault="00881E58" w:rsidP="00CC19F7">
      <w:pPr>
        <w:pStyle w:val="blokksit"/>
      </w:pPr>
      <w:r w:rsidRPr="00CC19F7">
        <w:t>«</w:t>
      </w:r>
      <w:r w:rsidRPr="00CC19F7">
        <w:rPr>
          <w:rStyle w:val="kursiv"/>
        </w:rPr>
        <w:t>Stortinget ber regjeringen kartlegge potensialet for solenergiproduksjon på landbruksareal, samtidig som landbruksproduksjonen opprettholdes.</w:t>
      </w:r>
      <w:r w:rsidRPr="00CC19F7">
        <w:t>»</w:t>
      </w:r>
    </w:p>
    <w:p w14:paraId="0DF2FAA3" w14:textId="77777777" w:rsidR="00FE02EF" w:rsidRPr="00CC19F7" w:rsidRDefault="00881E58" w:rsidP="00CC19F7">
      <w:r w:rsidRPr="00CC19F7">
        <w:t xml:space="preserve">Dokumenta som ligg til grunn for vedtaket er Meld. St. 36 (2020–2021), Meld. St. 11 (2021–2022) og </w:t>
      </w:r>
      <w:proofErr w:type="spellStart"/>
      <w:r w:rsidRPr="00CC19F7">
        <w:t>Innst</w:t>
      </w:r>
      <w:proofErr w:type="spellEnd"/>
      <w:r w:rsidRPr="00CC19F7">
        <w:t>. 446 S (2021–2022).</w:t>
      </w:r>
    </w:p>
    <w:p w14:paraId="3D860174" w14:textId="77777777" w:rsidR="00FE02EF" w:rsidRPr="00CC19F7" w:rsidRDefault="00881E58" w:rsidP="00CC19F7">
      <w:r w:rsidRPr="00CC19F7">
        <w:t xml:space="preserve">Departementet har i oppfølginga av vedtaket bedt NVE vurdere potensialet for utbygging av fornybar kraftproduksjon på næringsareal, langs </w:t>
      </w:r>
      <w:proofErr w:type="spellStart"/>
      <w:r w:rsidRPr="00CC19F7">
        <w:t>motorvegar</w:t>
      </w:r>
      <w:proofErr w:type="spellEnd"/>
      <w:r w:rsidRPr="00CC19F7">
        <w:t xml:space="preserve"> og i andre nedbygde areal mot 2030. Vurderinga skal </w:t>
      </w:r>
      <w:proofErr w:type="spellStart"/>
      <w:r w:rsidRPr="00CC19F7">
        <w:t>skilje</w:t>
      </w:r>
      <w:proofErr w:type="spellEnd"/>
      <w:r w:rsidRPr="00CC19F7">
        <w:t xml:space="preserve"> mellom produksjonsformer, som sol- og vindkraft. Oppdraget skal også bidra til å </w:t>
      </w:r>
      <w:proofErr w:type="spellStart"/>
      <w:r w:rsidRPr="00CC19F7">
        <w:t>klargjere</w:t>
      </w:r>
      <w:proofErr w:type="spellEnd"/>
      <w:r w:rsidRPr="00CC19F7">
        <w:t xml:space="preserve"> potensialet for vindkraftproduksjon på landbruksareal og gardsbruk.</w:t>
      </w:r>
    </w:p>
    <w:p w14:paraId="58F2887F" w14:textId="77777777" w:rsidR="00FE02EF" w:rsidRPr="00CC19F7" w:rsidRDefault="00881E58" w:rsidP="00CC19F7">
      <w:r w:rsidRPr="00CC19F7">
        <w:t xml:space="preserve">Departementet </w:t>
      </w:r>
      <w:proofErr w:type="spellStart"/>
      <w:r w:rsidRPr="00CC19F7">
        <w:t>reknar</w:t>
      </w:r>
      <w:proofErr w:type="spellEnd"/>
      <w:r w:rsidRPr="00CC19F7">
        <w:t xml:space="preserve"> med dette oppmodingsvedtaket som </w:t>
      </w:r>
      <w:proofErr w:type="spellStart"/>
      <w:r w:rsidRPr="00CC19F7">
        <w:t>følgt</w:t>
      </w:r>
      <w:proofErr w:type="spellEnd"/>
      <w:r w:rsidRPr="00CC19F7">
        <w:t xml:space="preserve"> opp.</w:t>
      </w:r>
    </w:p>
    <w:p w14:paraId="6B6B434E" w14:textId="77777777" w:rsidR="00FE02EF" w:rsidRPr="00CC19F7" w:rsidRDefault="00881E58" w:rsidP="00CC19F7">
      <w:pPr>
        <w:pStyle w:val="avsnitt-tittel"/>
      </w:pPr>
      <w:r w:rsidRPr="00CC19F7">
        <w:t xml:space="preserve">Solenergi – kartlegge potensialet og tilrettelegging for solenergiproduksjon på </w:t>
      </w:r>
      <w:proofErr w:type="spellStart"/>
      <w:r w:rsidRPr="00CC19F7">
        <w:t>eksisterande</w:t>
      </w:r>
      <w:proofErr w:type="spellEnd"/>
      <w:r w:rsidRPr="00CC19F7">
        <w:t xml:space="preserve"> infrastruktur</w:t>
      </w:r>
    </w:p>
    <w:p w14:paraId="0D01F901" w14:textId="77777777" w:rsidR="00FE02EF" w:rsidRPr="00CC19F7" w:rsidRDefault="00881E58" w:rsidP="00CC19F7">
      <w:pPr>
        <w:pStyle w:val="avsnitt-undertittel"/>
      </w:pPr>
      <w:r w:rsidRPr="00CC19F7">
        <w:t>Vedtak 752, 10. juni 2022</w:t>
      </w:r>
    </w:p>
    <w:p w14:paraId="1FBA63F9" w14:textId="77777777" w:rsidR="00FE02EF" w:rsidRPr="00CC19F7" w:rsidRDefault="00881E58" w:rsidP="00CC19F7">
      <w:pPr>
        <w:pStyle w:val="blokksit"/>
      </w:pPr>
      <w:r w:rsidRPr="00CC19F7">
        <w:t>«</w:t>
      </w:r>
      <w:r w:rsidRPr="00CC19F7">
        <w:rPr>
          <w:rStyle w:val="kursiv"/>
        </w:rPr>
        <w:t>Stortinget ber regjeringen kartlegge potensialet og tilrettelegging for solenergiproduksjon på eksisterende infrastruktur, som for eksempel parkeringsplasser.</w:t>
      </w:r>
      <w:r w:rsidRPr="00CC19F7">
        <w:t>»</w:t>
      </w:r>
    </w:p>
    <w:p w14:paraId="4C99FB4F" w14:textId="77777777" w:rsidR="00FE02EF" w:rsidRPr="00CC19F7" w:rsidRDefault="00881E58" w:rsidP="00CC19F7">
      <w:r w:rsidRPr="00CC19F7">
        <w:t xml:space="preserve">Dokumenta som ligg til grunn for vedtaket er Meld. St. 36 (2020–2021), Meld. St. 11 (2021–2022) og </w:t>
      </w:r>
      <w:proofErr w:type="spellStart"/>
      <w:r w:rsidRPr="00CC19F7">
        <w:t>Innst</w:t>
      </w:r>
      <w:proofErr w:type="spellEnd"/>
      <w:r w:rsidRPr="00CC19F7">
        <w:t>. 446 S (2021–2022).</w:t>
      </w:r>
    </w:p>
    <w:p w14:paraId="4A4AD3D9" w14:textId="77777777" w:rsidR="00FE02EF" w:rsidRPr="00CC19F7" w:rsidRDefault="00881E58" w:rsidP="00CC19F7">
      <w:r w:rsidRPr="00CC19F7">
        <w:t xml:space="preserve">Departementet har i oppfølginga av vedtaket bedt NVE vurdere potensialet for utbygging av fornybar kraftproduksjon på næringsareal, langs </w:t>
      </w:r>
      <w:proofErr w:type="spellStart"/>
      <w:r w:rsidRPr="00CC19F7">
        <w:t>motorvegar</w:t>
      </w:r>
      <w:proofErr w:type="spellEnd"/>
      <w:r w:rsidRPr="00CC19F7">
        <w:t xml:space="preserve"> og i andre nedbygde areal mot 2030. Vurderinga skal </w:t>
      </w:r>
      <w:proofErr w:type="spellStart"/>
      <w:r w:rsidRPr="00CC19F7">
        <w:t>skilje</w:t>
      </w:r>
      <w:proofErr w:type="spellEnd"/>
      <w:r w:rsidRPr="00CC19F7">
        <w:t xml:space="preserve"> mellom produksjonsformer, som sol- og vindkraft.</w:t>
      </w:r>
    </w:p>
    <w:p w14:paraId="33AE16FB" w14:textId="77777777" w:rsidR="00FE02EF" w:rsidRPr="00CC19F7" w:rsidRDefault="00881E58" w:rsidP="00CC19F7">
      <w:r w:rsidRPr="00CC19F7">
        <w:t xml:space="preserve">Departementet </w:t>
      </w:r>
      <w:proofErr w:type="spellStart"/>
      <w:r w:rsidRPr="00CC19F7">
        <w:t>reknar</w:t>
      </w:r>
      <w:proofErr w:type="spellEnd"/>
      <w:r w:rsidRPr="00CC19F7">
        <w:t xml:space="preserve"> med dette oppmodingsvedtaket som </w:t>
      </w:r>
      <w:proofErr w:type="spellStart"/>
      <w:r w:rsidRPr="00CC19F7">
        <w:t>følgt</w:t>
      </w:r>
      <w:proofErr w:type="spellEnd"/>
      <w:r w:rsidRPr="00CC19F7">
        <w:t xml:space="preserve"> opp.</w:t>
      </w:r>
    </w:p>
    <w:p w14:paraId="38B46B48" w14:textId="77777777" w:rsidR="00FE02EF" w:rsidRPr="00CC19F7" w:rsidRDefault="00881E58" w:rsidP="00CC19F7">
      <w:pPr>
        <w:pStyle w:val="Overskrift2"/>
      </w:pPr>
      <w:r w:rsidRPr="00CC19F7">
        <w:t>Stortingssesjon 2020–2021</w:t>
      </w:r>
    </w:p>
    <w:p w14:paraId="7C8489A9" w14:textId="77777777" w:rsidR="00FE02EF" w:rsidRPr="00CC19F7" w:rsidRDefault="00881E58" w:rsidP="00CC19F7">
      <w:pPr>
        <w:pStyle w:val="avsnitt-tittel"/>
      </w:pPr>
      <w:r w:rsidRPr="00CC19F7">
        <w:t>Vindkraft på land – innlemme planlegging og bygging av vindkraftverk i plan- og bygningslova</w:t>
      </w:r>
    </w:p>
    <w:p w14:paraId="03A216CD" w14:textId="77777777" w:rsidR="00FE02EF" w:rsidRPr="00CC19F7" w:rsidRDefault="00881E58" w:rsidP="00CC19F7">
      <w:pPr>
        <w:pStyle w:val="avsnitt-undertittel"/>
      </w:pPr>
      <w:r w:rsidRPr="00CC19F7">
        <w:t>Vedtak 143, 1. desember 2020</w:t>
      </w:r>
    </w:p>
    <w:p w14:paraId="7C517A6E" w14:textId="77777777" w:rsidR="00FE02EF" w:rsidRPr="00CC19F7" w:rsidRDefault="00881E58" w:rsidP="00CC19F7">
      <w:pPr>
        <w:pStyle w:val="blokksit"/>
      </w:pPr>
      <w:r w:rsidRPr="00CC19F7">
        <w:t>«</w:t>
      </w:r>
      <w:r w:rsidRPr="00CC19F7">
        <w:rPr>
          <w:rStyle w:val="kursiv"/>
        </w:rPr>
        <w:t>Stortinget ber regjeringen komme tilbake til Stortinget med et forslag om å innlemme planlegging og bygging av vindkraftanlegg i plan- og bygningsloven.</w:t>
      </w:r>
      <w:r w:rsidRPr="00CC19F7">
        <w:t>»</w:t>
      </w:r>
    </w:p>
    <w:p w14:paraId="5CD2C47F" w14:textId="77777777" w:rsidR="00FE02EF" w:rsidRPr="00CC19F7" w:rsidRDefault="00881E58" w:rsidP="00CC19F7">
      <w:r w:rsidRPr="00CC19F7">
        <w:t xml:space="preserve">Dokumenta som ligg til grunn for vedtaket er Meld. St. 28 (2019–2020) og </w:t>
      </w:r>
      <w:proofErr w:type="spellStart"/>
      <w:r w:rsidRPr="00CC19F7">
        <w:t>Innst</w:t>
      </w:r>
      <w:proofErr w:type="spellEnd"/>
      <w:r w:rsidRPr="00CC19F7">
        <w:t>. 101 S (2020–2021).</w:t>
      </w:r>
    </w:p>
    <w:p w14:paraId="1CC923C4" w14:textId="77777777" w:rsidR="00FE02EF" w:rsidRPr="00CC19F7" w:rsidRDefault="00881E58" w:rsidP="00CC19F7">
      <w:r w:rsidRPr="00CC19F7">
        <w:t xml:space="preserve">Oppmodingsvedtaket er </w:t>
      </w:r>
      <w:proofErr w:type="spellStart"/>
      <w:r w:rsidRPr="00CC19F7">
        <w:t>følgt</w:t>
      </w:r>
      <w:proofErr w:type="spellEnd"/>
      <w:r w:rsidRPr="00CC19F7">
        <w:t xml:space="preserve"> opp gjennom Stortingets vedtak ved </w:t>
      </w:r>
      <w:proofErr w:type="spellStart"/>
      <w:r w:rsidRPr="00CC19F7">
        <w:t>behandlinga</w:t>
      </w:r>
      <w:proofErr w:type="spellEnd"/>
      <w:r w:rsidRPr="00CC19F7">
        <w:t xml:space="preserve"> av </w:t>
      </w:r>
      <w:proofErr w:type="spellStart"/>
      <w:r w:rsidRPr="00CC19F7">
        <w:t>Prop</w:t>
      </w:r>
      <w:proofErr w:type="spellEnd"/>
      <w:r w:rsidRPr="00CC19F7">
        <w:t xml:space="preserve">. 111 L (2022–2023) </w:t>
      </w:r>
      <w:r w:rsidRPr="00CC19F7">
        <w:rPr>
          <w:rStyle w:val="kursiv"/>
        </w:rPr>
        <w:t>Endringer i energiloven og plan- og bygningsloven (vindkraft på land)</w:t>
      </w:r>
      <w:r w:rsidRPr="00CC19F7">
        <w:t xml:space="preserve">, jf. </w:t>
      </w:r>
      <w:proofErr w:type="spellStart"/>
      <w:r w:rsidRPr="00CC19F7">
        <w:t>Innst</w:t>
      </w:r>
      <w:proofErr w:type="spellEnd"/>
      <w:r w:rsidRPr="00CC19F7">
        <w:t xml:space="preserve">. 483 L (2022–2023). Etter </w:t>
      </w:r>
      <w:proofErr w:type="spellStart"/>
      <w:r w:rsidRPr="00CC19F7">
        <w:t>dei</w:t>
      </w:r>
      <w:proofErr w:type="spellEnd"/>
      <w:r w:rsidRPr="00CC19F7">
        <w:t xml:space="preserve"> nye </w:t>
      </w:r>
      <w:proofErr w:type="spellStart"/>
      <w:r w:rsidRPr="00CC19F7">
        <w:t>reglane</w:t>
      </w:r>
      <w:proofErr w:type="spellEnd"/>
      <w:r w:rsidRPr="00CC19F7">
        <w:t xml:space="preserve"> kan </w:t>
      </w:r>
      <w:proofErr w:type="spellStart"/>
      <w:r w:rsidRPr="00CC19F7">
        <w:t>ein</w:t>
      </w:r>
      <w:proofErr w:type="spellEnd"/>
      <w:r w:rsidRPr="00CC19F7">
        <w:t xml:space="preserve"> </w:t>
      </w:r>
      <w:proofErr w:type="spellStart"/>
      <w:r w:rsidRPr="00CC19F7">
        <w:t>ikkje</w:t>
      </w:r>
      <w:proofErr w:type="spellEnd"/>
      <w:r w:rsidRPr="00CC19F7">
        <w:t xml:space="preserve"> gi konsesjon etter energilova før kommunen har vedtatt ei overordna områderegulering. </w:t>
      </w:r>
      <w:proofErr w:type="spellStart"/>
      <w:r w:rsidRPr="00CC19F7">
        <w:t>Lovendringane</w:t>
      </w:r>
      <w:proofErr w:type="spellEnd"/>
      <w:r w:rsidRPr="00CC19F7">
        <w:t xml:space="preserve"> blei vedtatt av Stortinget 12. juni 2023 og tredde i kraft 1. juli 2023.</w:t>
      </w:r>
    </w:p>
    <w:p w14:paraId="6B6DD1B2" w14:textId="77777777" w:rsidR="00FE02EF" w:rsidRPr="00CC19F7" w:rsidRDefault="00881E58" w:rsidP="00CC19F7">
      <w:r w:rsidRPr="00CC19F7">
        <w:t xml:space="preserve">Departementet </w:t>
      </w:r>
      <w:proofErr w:type="spellStart"/>
      <w:r w:rsidRPr="00CC19F7">
        <w:t>reknar</w:t>
      </w:r>
      <w:proofErr w:type="spellEnd"/>
      <w:r w:rsidRPr="00CC19F7">
        <w:t xml:space="preserve"> med dette oppmodingsvedtaket som </w:t>
      </w:r>
      <w:proofErr w:type="spellStart"/>
      <w:r w:rsidRPr="00CC19F7">
        <w:t>følgt</w:t>
      </w:r>
      <w:proofErr w:type="spellEnd"/>
      <w:r w:rsidRPr="00CC19F7">
        <w:t xml:space="preserve"> opp.</w:t>
      </w:r>
    </w:p>
    <w:p w14:paraId="6F127C0B" w14:textId="77777777" w:rsidR="00FE02EF" w:rsidRPr="00CC19F7" w:rsidRDefault="00881E58" w:rsidP="00CC19F7">
      <w:pPr>
        <w:pStyle w:val="Overskrift2"/>
      </w:pPr>
      <w:r w:rsidRPr="00CC19F7">
        <w:t>Stortingssesjon 2019–2020</w:t>
      </w:r>
    </w:p>
    <w:p w14:paraId="332D9EDE" w14:textId="77777777" w:rsidR="00FE02EF" w:rsidRPr="00CC19F7" w:rsidRDefault="00881E58" w:rsidP="00CC19F7">
      <w:pPr>
        <w:pStyle w:val="avsnitt-tittel"/>
      </w:pPr>
      <w:r w:rsidRPr="00CC19F7">
        <w:t xml:space="preserve">Null- og </w:t>
      </w:r>
      <w:proofErr w:type="spellStart"/>
      <w:r w:rsidRPr="00CC19F7">
        <w:t>lågutsleppsløysingar</w:t>
      </w:r>
      <w:proofErr w:type="spellEnd"/>
      <w:r w:rsidRPr="00CC19F7">
        <w:t xml:space="preserve"> for offshorefartøy i petroleumsproduksjon</w:t>
      </w:r>
    </w:p>
    <w:p w14:paraId="783481A3" w14:textId="77777777" w:rsidR="00FE02EF" w:rsidRPr="00CC19F7" w:rsidRDefault="00881E58" w:rsidP="00CC19F7">
      <w:pPr>
        <w:pStyle w:val="avsnitt-undertittel"/>
      </w:pPr>
      <w:r w:rsidRPr="00CC19F7">
        <w:t>Vedtak 683, 12. juni 2020</w:t>
      </w:r>
    </w:p>
    <w:p w14:paraId="115E4600" w14:textId="77777777" w:rsidR="00FE02EF" w:rsidRPr="00CC19F7" w:rsidRDefault="00881E58" w:rsidP="00CC19F7">
      <w:pPr>
        <w:pStyle w:val="blokksit"/>
      </w:pPr>
      <w:r w:rsidRPr="00CC19F7">
        <w:t>«</w:t>
      </w:r>
      <w:r w:rsidRPr="00CC19F7">
        <w:rPr>
          <w:rStyle w:val="kursiv"/>
        </w:rPr>
        <w:t>Stortinget ber regjeringen legge frem forslag som sikrer null- og lavutslippsløsninger for offshorefartøy i petroleumsproduksjon.</w:t>
      </w:r>
      <w:r w:rsidRPr="00CC19F7">
        <w:t>»</w:t>
      </w:r>
    </w:p>
    <w:p w14:paraId="68B0242C" w14:textId="77777777" w:rsidR="00FE02EF" w:rsidRPr="00CC19F7" w:rsidRDefault="00881E58" w:rsidP="00CC19F7">
      <w:r w:rsidRPr="00CC19F7">
        <w:t xml:space="preserve">Dokumenta som ligg til grunn for vedtaket er </w:t>
      </w:r>
      <w:proofErr w:type="spellStart"/>
      <w:r w:rsidRPr="00CC19F7">
        <w:t>Prop</w:t>
      </w:r>
      <w:proofErr w:type="spellEnd"/>
      <w:r w:rsidRPr="00CC19F7">
        <w:t xml:space="preserve">. 113 L (2019–2020) og </w:t>
      </w:r>
      <w:proofErr w:type="spellStart"/>
      <w:r w:rsidRPr="00CC19F7">
        <w:t>Innst</w:t>
      </w:r>
      <w:proofErr w:type="spellEnd"/>
      <w:r w:rsidRPr="00CC19F7">
        <w:t>. 351 L (2019–2020).</w:t>
      </w:r>
    </w:p>
    <w:p w14:paraId="48689256" w14:textId="77777777" w:rsidR="00FE02EF" w:rsidRPr="00CC19F7" w:rsidRDefault="00881E58" w:rsidP="00CC19F7">
      <w:r w:rsidRPr="00CC19F7">
        <w:t xml:space="preserve">Departementet viser til omtale av oppmodingsvedtaket i del I </w:t>
      </w:r>
      <w:proofErr w:type="spellStart"/>
      <w:r w:rsidRPr="00CC19F7">
        <w:t>i</w:t>
      </w:r>
      <w:proofErr w:type="spellEnd"/>
      <w:r w:rsidRPr="00CC19F7">
        <w:t xml:space="preserve"> </w:t>
      </w:r>
      <w:proofErr w:type="spellStart"/>
      <w:r w:rsidRPr="00CC19F7">
        <w:t>Prop</w:t>
      </w:r>
      <w:proofErr w:type="spellEnd"/>
      <w:r w:rsidRPr="00CC19F7">
        <w:t xml:space="preserve">. 1 S (2022–2023). Under </w:t>
      </w:r>
      <w:proofErr w:type="spellStart"/>
      <w:r w:rsidRPr="00CC19F7">
        <w:t>behandlinga</w:t>
      </w:r>
      <w:proofErr w:type="spellEnd"/>
      <w:r w:rsidRPr="00CC19F7">
        <w:t xml:space="preserve"> av innstillinga </w:t>
      </w:r>
      <w:proofErr w:type="spellStart"/>
      <w:r w:rsidRPr="00CC19F7">
        <w:t>frå</w:t>
      </w:r>
      <w:proofErr w:type="spellEnd"/>
      <w:r w:rsidRPr="00CC19F7">
        <w:t xml:space="preserve"> finanskomiteen om nasjonalbudsjettet for 2023 og forslaget til statsbudsjett for 2023, jf. </w:t>
      </w:r>
      <w:proofErr w:type="spellStart"/>
      <w:r w:rsidRPr="00CC19F7">
        <w:t>Innst</w:t>
      </w:r>
      <w:proofErr w:type="spellEnd"/>
      <w:r w:rsidRPr="00CC19F7">
        <w:t xml:space="preserve">. 2 S (2022–2023), gjorde Stortinget </w:t>
      </w:r>
      <w:proofErr w:type="spellStart"/>
      <w:r w:rsidRPr="00CC19F7">
        <w:t>følgande</w:t>
      </w:r>
      <w:proofErr w:type="spellEnd"/>
      <w:r w:rsidRPr="00CC19F7">
        <w:t xml:space="preserve"> vedtak:</w:t>
      </w:r>
    </w:p>
    <w:p w14:paraId="6EC2CBB9" w14:textId="77777777" w:rsidR="00FE02EF" w:rsidRPr="00CC19F7" w:rsidRDefault="00881E58" w:rsidP="00CC19F7">
      <w:pPr>
        <w:pStyle w:val="avsnitt-under-undertittel"/>
      </w:pPr>
      <w:r w:rsidRPr="00CC19F7">
        <w:t>Vedtak 92, 1. desember 2022</w:t>
      </w:r>
    </w:p>
    <w:p w14:paraId="420E7A48" w14:textId="77777777" w:rsidR="00FE02EF" w:rsidRPr="00CC19F7" w:rsidRDefault="00881E58" w:rsidP="00CC19F7">
      <w:pPr>
        <w:pStyle w:val="blokksit"/>
      </w:pPr>
      <w:r w:rsidRPr="00CC19F7">
        <w:t>«</w:t>
      </w:r>
      <w:r w:rsidRPr="00CC19F7">
        <w:rPr>
          <w:rStyle w:val="kursiv"/>
        </w:rPr>
        <w:t>Stortinget ber regjeringen i løpet av 2023 fremme krav om lavutslipp til offshorefartøy med sikte på innføring fra 2025 og nullutslipp fra 2029, eller tilsvarende krav som gir samme utslippseffekt for offshorefartøy.</w:t>
      </w:r>
      <w:r w:rsidRPr="00CC19F7">
        <w:t>»</w:t>
      </w:r>
    </w:p>
    <w:p w14:paraId="40760295" w14:textId="77777777" w:rsidR="00FE02EF" w:rsidRPr="00CC19F7" w:rsidRDefault="00881E58" w:rsidP="00CC19F7">
      <w:r w:rsidRPr="00CC19F7">
        <w:t xml:space="preserve">Dokumenta som ligg til grunn for vedtaket er Meld. St. 1 (2022–2023) og </w:t>
      </w:r>
      <w:proofErr w:type="spellStart"/>
      <w:r w:rsidRPr="00CC19F7">
        <w:t>Innst</w:t>
      </w:r>
      <w:proofErr w:type="spellEnd"/>
      <w:r w:rsidRPr="00CC19F7">
        <w:t>. 2 S (2022–2023).</w:t>
      </w:r>
    </w:p>
    <w:p w14:paraId="0A4DF396" w14:textId="77777777" w:rsidR="00FE02EF" w:rsidRPr="00CC19F7" w:rsidRDefault="00881E58" w:rsidP="00CC19F7">
      <w:r w:rsidRPr="00CC19F7">
        <w:t xml:space="preserve">Dei to vedtaka er nært knytte til </w:t>
      </w:r>
      <w:proofErr w:type="spellStart"/>
      <w:r w:rsidRPr="00CC19F7">
        <w:t>kvarandre</w:t>
      </w:r>
      <w:proofErr w:type="spellEnd"/>
      <w:r w:rsidRPr="00CC19F7">
        <w:t xml:space="preserve"> og må </w:t>
      </w:r>
      <w:proofErr w:type="spellStart"/>
      <w:r w:rsidRPr="00CC19F7">
        <w:t>sjåast</w:t>
      </w:r>
      <w:proofErr w:type="spellEnd"/>
      <w:r w:rsidRPr="00CC19F7">
        <w:t xml:space="preserve"> i </w:t>
      </w:r>
      <w:proofErr w:type="spellStart"/>
      <w:r w:rsidRPr="00CC19F7">
        <w:t>samanheng</w:t>
      </w:r>
      <w:proofErr w:type="spellEnd"/>
      <w:r w:rsidRPr="00CC19F7">
        <w:t xml:space="preserve">. Klima- og miljødepartementet har gitt Sjøfartsdirektoratet i oppdrag </w:t>
      </w:r>
      <w:proofErr w:type="gramStart"/>
      <w:r w:rsidRPr="00CC19F7">
        <w:t>å sjå</w:t>
      </w:r>
      <w:proofErr w:type="gramEnd"/>
      <w:r w:rsidRPr="00CC19F7">
        <w:t xml:space="preserve"> på korleis krav til låg- og nullutslepp for offshorefartøy kan </w:t>
      </w:r>
      <w:proofErr w:type="spellStart"/>
      <w:r w:rsidRPr="00CC19F7">
        <w:t>utformast</w:t>
      </w:r>
      <w:proofErr w:type="spellEnd"/>
      <w:r w:rsidRPr="00CC19F7">
        <w:t xml:space="preserve"> både i lys av vedtak 683, 12. juni 2020, og i lys av det nye vedtaket 92, 1. desember 2022. Olje- og energidepartementet viser derfor til </w:t>
      </w:r>
      <w:proofErr w:type="spellStart"/>
      <w:r w:rsidRPr="00CC19F7">
        <w:t>Prop</w:t>
      </w:r>
      <w:proofErr w:type="spellEnd"/>
      <w:r w:rsidRPr="00CC19F7">
        <w:t xml:space="preserve">. 1 S (2023–2024) </w:t>
      </w:r>
      <w:proofErr w:type="spellStart"/>
      <w:r w:rsidRPr="00CC19F7">
        <w:t>frå</w:t>
      </w:r>
      <w:proofErr w:type="spellEnd"/>
      <w:r w:rsidRPr="00CC19F7">
        <w:t xml:space="preserve"> Klima- og miljødepartementet for </w:t>
      </w:r>
      <w:proofErr w:type="spellStart"/>
      <w:r w:rsidRPr="00CC19F7">
        <w:t>ein</w:t>
      </w:r>
      <w:proofErr w:type="spellEnd"/>
      <w:r w:rsidRPr="00CC19F7">
        <w:t xml:space="preserve"> omtale av status for oppfølginga av </w:t>
      </w:r>
      <w:proofErr w:type="spellStart"/>
      <w:r w:rsidRPr="00CC19F7">
        <w:t>dei</w:t>
      </w:r>
      <w:proofErr w:type="spellEnd"/>
      <w:r w:rsidRPr="00CC19F7">
        <w:t xml:space="preserve"> to oppmodingsvedtaka.</w:t>
      </w:r>
    </w:p>
    <w:p w14:paraId="6B8672B8" w14:textId="77777777" w:rsidR="00FE02EF" w:rsidRPr="00CC19F7" w:rsidRDefault="00881E58" w:rsidP="00CC19F7">
      <w:proofErr w:type="spellStart"/>
      <w:r w:rsidRPr="00CC19F7">
        <w:t>Frå</w:t>
      </w:r>
      <w:proofErr w:type="spellEnd"/>
      <w:r w:rsidRPr="00CC19F7">
        <w:t xml:space="preserve"> neste år av vil omtalen av oppfølging av </w:t>
      </w:r>
      <w:proofErr w:type="spellStart"/>
      <w:r w:rsidRPr="00CC19F7">
        <w:t>dei</w:t>
      </w:r>
      <w:proofErr w:type="spellEnd"/>
      <w:r w:rsidRPr="00CC19F7">
        <w:t xml:space="preserve"> to vedtaka </w:t>
      </w:r>
      <w:proofErr w:type="spellStart"/>
      <w:r w:rsidRPr="00CC19F7">
        <w:t>vere</w:t>
      </w:r>
      <w:proofErr w:type="spellEnd"/>
      <w:r w:rsidRPr="00CC19F7">
        <w:t xml:space="preserve"> å finne i budsjettproposisjonen </w:t>
      </w:r>
      <w:proofErr w:type="spellStart"/>
      <w:r w:rsidRPr="00CC19F7">
        <w:t>frå</w:t>
      </w:r>
      <w:proofErr w:type="spellEnd"/>
      <w:r w:rsidRPr="00CC19F7">
        <w:t xml:space="preserve"> Klima- og miljødepartementet.</w:t>
      </w:r>
    </w:p>
    <w:p w14:paraId="1FEBE3A6" w14:textId="77777777" w:rsidR="00FE02EF" w:rsidRPr="00CC19F7" w:rsidRDefault="00881E58" w:rsidP="00CC19F7">
      <w:pPr>
        <w:pStyle w:val="avsnitt-tittel"/>
      </w:pPr>
      <w:r w:rsidRPr="00CC19F7">
        <w:t xml:space="preserve">Greie ut ringverknader på fastlandet ved nye </w:t>
      </w:r>
      <w:proofErr w:type="spellStart"/>
      <w:r w:rsidRPr="00CC19F7">
        <w:t>utbyggingar</w:t>
      </w:r>
      <w:proofErr w:type="spellEnd"/>
      <w:r w:rsidRPr="00CC19F7">
        <w:t xml:space="preserve"> som blir omfatta av </w:t>
      </w:r>
      <w:proofErr w:type="spellStart"/>
      <w:r w:rsidRPr="00CC19F7">
        <w:t>dei</w:t>
      </w:r>
      <w:proofErr w:type="spellEnd"/>
      <w:r w:rsidRPr="00CC19F7">
        <w:t xml:space="preserve"> </w:t>
      </w:r>
      <w:proofErr w:type="spellStart"/>
      <w:r w:rsidRPr="00CC19F7">
        <w:t>mellombelse</w:t>
      </w:r>
      <w:proofErr w:type="spellEnd"/>
      <w:r w:rsidRPr="00CC19F7">
        <w:t xml:space="preserve"> </w:t>
      </w:r>
      <w:proofErr w:type="spellStart"/>
      <w:r w:rsidRPr="00CC19F7">
        <w:t>endringane</w:t>
      </w:r>
      <w:proofErr w:type="spellEnd"/>
      <w:r w:rsidRPr="00CC19F7">
        <w:t xml:space="preserve"> i petroleumsskatten</w:t>
      </w:r>
    </w:p>
    <w:p w14:paraId="378912E0" w14:textId="77777777" w:rsidR="00FE02EF" w:rsidRPr="00CC19F7" w:rsidRDefault="00881E58" w:rsidP="00CC19F7">
      <w:pPr>
        <w:pStyle w:val="avsnitt-undertittel"/>
      </w:pPr>
      <w:r w:rsidRPr="00CC19F7">
        <w:t>Vedtak 687, 12. juni 2020</w:t>
      </w:r>
    </w:p>
    <w:p w14:paraId="20A5DE5D" w14:textId="77777777" w:rsidR="00FE02EF" w:rsidRPr="00CC19F7" w:rsidRDefault="00881E58" w:rsidP="00CC19F7">
      <w:pPr>
        <w:pStyle w:val="blokksit"/>
      </w:pPr>
      <w:r w:rsidRPr="00CC19F7">
        <w:t>«</w:t>
      </w:r>
      <w:r w:rsidRPr="00CC19F7">
        <w:rPr>
          <w:rStyle w:val="kursiv"/>
        </w:rPr>
        <w:t>Stortinget ber regjeringen sørge for at ringvirkninger på fastlandet utredes ved nye utbygginger, og gjennomføre en evaluering av lokale, regionale og netto nasjonale ringvirkninger/sysselsetting ved nye prosjekter som omfattes av de midlertidige endringene i petroleumsskatten, samt bruk av null- og lavutslippsteknologi, og legge dette frem for Stortinget i en vurdering i løpet av første halvår 2023.</w:t>
      </w:r>
      <w:r w:rsidRPr="00CC19F7">
        <w:t>»</w:t>
      </w:r>
    </w:p>
    <w:p w14:paraId="16505819" w14:textId="77777777" w:rsidR="00FE02EF" w:rsidRPr="00CC19F7" w:rsidRDefault="00881E58" w:rsidP="00CC19F7">
      <w:r w:rsidRPr="00CC19F7">
        <w:t xml:space="preserve">Dokumenta som ligg til grunn for vedtaket er </w:t>
      </w:r>
      <w:proofErr w:type="spellStart"/>
      <w:r w:rsidRPr="00CC19F7">
        <w:t>Prop</w:t>
      </w:r>
      <w:proofErr w:type="spellEnd"/>
      <w:r w:rsidRPr="00CC19F7">
        <w:t xml:space="preserve">. 113 L (2019–2020) og </w:t>
      </w:r>
      <w:proofErr w:type="spellStart"/>
      <w:r w:rsidRPr="00CC19F7">
        <w:t>Innst</w:t>
      </w:r>
      <w:proofErr w:type="spellEnd"/>
      <w:r w:rsidRPr="00CC19F7">
        <w:t>. 351 L (2019–2020).</w:t>
      </w:r>
    </w:p>
    <w:p w14:paraId="23508768" w14:textId="77777777" w:rsidR="00FE02EF" w:rsidRPr="00CC19F7" w:rsidRDefault="00881E58" w:rsidP="00CC19F7">
      <w:r w:rsidRPr="00CC19F7">
        <w:t xml:space="preserve">Departementet viser til omtale av oppmodingsvedtaket i </w:t>
      </w:r>
      <w:proofErr w:type="spellStart"/>
      <w:r w:rsidRPr="00CC19F7">
        <w:t>Prop</w:t>
      </w:r>
      <w:proofErr w:type="spellEnd"/>
      <w:r w:rsidRPr="00CC19F7">
        <w:t xml:space="preserve">. 97 S (2022–2023) </w:t>
      </w:r>
      <w:r w:rsidRPr="00CC19F7">
        <w:rPr>
          <w:rStyle w:val="kursiv"/>
        </w:rPr>
        <w:t xml:space="preserve">Utbygging og drift av Yggdrasil-området og </w:t>
      </w:r>
      <w:proofErr w:type="spellStart"/>
      <w:r w:rsidRPr="00CC19F7">
        <w:rPr>
          <w:rStyle w:val="kursiv"/>
        </w:rPr>
        <w:t>Fenris</w:t>
      </w:r>
      <w:proofErr w:type="spellEnd"/>
      <w:r w:rsidRPr="00CC19F7">
        <w:rPr>
          <w:rStyle w:val="kursiv"/>
        </w:rPr>
        <w:t>, samt videreutvikling av Valhall, med status for olje- og gassvirksomheten mv.</w:t>
      </w:r>
      <w:r w:rsidRPr="00CC19F7">
        <w:t xml:space="preserve"> i kapittel 3.4 Ringvirkninger fra utbygginger omfattet av midlertidige skatteendringer.</w:t>
      </w:r>
    </w:p>
    <w:p w14:paraId="63676FD4" w14:textId="77777777" w:rsidR="00FE02EF" w:rsidRPr="00CC19F7" w:rsidRDefault="00881E58" w:rsidP="00CC19F7">
      <w:r w:rsidRPr="00CC19F7">
        <w:t xml:space="preserve">Departementet </w:t>
      </w:r>
      <w:proofErr w:type="spellStart"/>
      <w:r w:rsidRPr="00CC19F7">
        <w:t>reknar</w:t>
      </w:r>
      <w:proofErr w:type="spellEnd"/>
      <w:r w:rsidRPr="00CC19F7">
        <w:t xml:space="preserve"> med dette oppmodingsvedtaket som </w:t>
      </w:r>
      <w:proofErr w:type="spellStart"/>
      <w:r w:rsidRPr="00CC19F7">
        <w:t>følgt</w:t>
      </w:r>
      <w:proofErr w:type="spellEnd"/>
      <w:r w:rsidRPr="00CC19F7">
        <w:t xml:space="preserve"> opp.</w:t>
      </w:r>
    </w:p>
    <w:p w14:paraId="123A0A0F" w14:textId="7017BBD0" w:rsidR="00FE02EF" w:rsidRPr="00CC19F7" w:rsidRDefault="00CC19F7" w:rsidP="00CC19F7">
      <w:pPr>
        <w:pStyle w:val="del-nr"/>
      </w:pPr>
      <w:r w:rsidRPr="00CC19F7">
        <w:t>Del II</w:t>
      </w:r>
    </w:p>
    <w:p w14:paraId="57A0A675" w14:textId="77777777" w:rsidR="00FE02EF" w:rsidRPr="00CC19F7" w:rsidRDefault="00881E58" w:rsidP="00CC19F7">
      <w:pPr>
        <w:pStyle w:val="del-tittel"/>
      </w:pPr>
      <w:r w:rsidRPr="00CC19F7">
        <w:t>Budsjettforslag</w:t>
      </w:r>
    </w:p>
    <w:p w14:paraId="491EBB82" w14:textId="77777777" w:rsidR="00FE02EF" w:rsidRPr="00CC19F7" w:rsidRDefault="00881E58" w:rsidP="00CC19F7">
      <w:pPr>
        <w:pStyle w:val="Overskrift1"/>
      </w:pPr>
      <w:proofErr w:type="spellStart"/>
      <w:r w:rsidRPr="00CC19F7">
        <w:t>Nærmare</w:t>
      </w:r>
      <w:proofErr w:type="spellEnd"/>
      <w:r w:rsidRPr="00CC19F7">
        <w:t xml:space="preserve"> omtale av </w:t>
      </w:r>
      <w:proofErr w:type="spellStart"/>
      <w:r w:rsidRPr="00CC19F7">
        <w:t>løyvingsforslaga</w:t>
      </w:r>
      <w:proofErr w:type="spellEnd"/>
      <w:r w:rsidRPr="00CC19F7">
        <w:t xml:space="preserve"> mv.</w:t>
      </w:r>
    </w:p>
    <w:p w14:paraId="3B0C3E5F" w14:textId="77777777" w:rsidR="00FE02EF" w:rsidRPr="00CC19F7" w:rsidRDefault="00881E58" w:rsidP="00CC19F7">
      <w:pPr>
        <w:pStyle w:val="b-progomr"/>
      </w:pPr>
      <w:r w:rsidRPr="00CC19F7">
        <w:t>Programområde 18 Olje- og energiformål</w:t>
      </w:r>
    </w:p>
    <w:p w14:paraId="5FC19BAD" w14:textId="77777777" w:rsidR="00FE02EF" w:rsidRPr="00CC19F7" w:rsidRDefault="00881E58" w:rsidP="00CC19F7">
      <w:pPr>
        <w:pStyle w:val="b-progkat"/>
      </w:pPr>
      <w:r w:rsidRPr="00CC19F7">
        <w:t>Programkategori 18.00 Administrasjon</w:t>
      </w:r>
    </w:p>
    <w:p w14:paraId="217E1B89" w14:textId="77777777" w:rsidR="00FE02EF" w:rsidRPr="00CC19F7" w:rsidRDefault="00881E58" w:rsidP="00CC19F7">
      <w:pPr>
        <w:pStyle w:val="Undertittel"/>
      </w:pPr>
      <w:r w:rsidRPr="00CC19F7">
        <w:t>Olje- og energidepartementet</w:t>
      </w:r>
    </w:p>
    <w:p w14:paraId="7DF30885" w14:textId="77777777" w:rsidR="00FE02EF" w:rsidRPr="00CC19F7" w:rsidRDefault="00881E58" w:rsidP="00CC19F7">
      <w:r w:rsidRPr="00CC19F7">
        <w:t xml:space="preserve">Olje- og energidepartementet skal legge til rette for </w:t>
      </w:r>
      <w:proofErr w:type="spellStart"/>
      <w:r w:rsidRPr="00CC19F7">
        <w:t>ein</w:t>
      </w:r>
      <w:proofErr w:type="spellEnd"/>
      <w:r w:rsidRPr="00CC19F7">
        <w:t xml:space="preserve"> samordna og </w:t>
      </w:r>
      <w:proofErr w:type="spellStart"/>
      <w:r w:rsidRPr="00CC19F7">
        <w:t>heilskapleg</w:t>
      </w:r>
      <w:proofErr w:type="spellEnd"/>
      <w:r w:rsidRPr="00CC19F7">
        <w:t xml:space="preserve"> petroleums- og energipolitikk. Departementet er </w:t>
      </w:r>
      <w:proofErr w:type="spellStart"/>
      <w:r w:rsidRPr="00CC19F7">
        <w:t>sektorforvaltar</w:t>
      </w:r>
      <w:proofErr w:type="spellEnd"/>
      <w:r w:rsidRPr="00CC19F7">
        <w:t xml:space="preserve"> og har ansvar for styringa av </w:t>
      </w:r>
      <w:proofErr w:type="spellStart"/>
      <w:r w:rsidRPr="00CC19F7">
        <w:t>etatane</w:t>
      </w:r>
      <w:proofErr w:type="spellEnd"/>
      <w:r w:rsidRPr="00CC19F7">
        <w:t xml:space="preserve"> Sokkeldirektoratet, </w:t>
      </w:r>
      <w:proofErr w:type="spellStart"/>
      <w:r w:rsidRPr="00CC19F7">
        <w:t>Noregs</w:t>
      </w:r>
      <w:proofErr w:type="spellEnd"/>
      <w:r w:rsidRPr="00CC19F7">
        <w:t xml:space="preserve"> vassdrags- og energidirektorat og Havindustritilsynet og </w:t>
      </w:r>
      <w:proofErr w:type="spellStart"/>
      <w:r w:rsidRPr="00CC19F7">
        <w:t>eigaroppfølginga</w:t>
      </w:r>
      <w:proofErr w:type="spellEnd"/>
      <w:r w:rsidRPr="00CC19F7">
        <w:t xml:space="preserve"> av Statnett SF, Gassnova SF og </w:t>
      </w:r>
      <w:proofErr w:type="spellStart"/>
      <w:r w:rsidRPr="00CC19F7">
        <w:t>Gassco</w:t>
      </w:r>
      <w:proofErr w:type="spellEnd"/>
      <w:r w:rsidRPr="00CC19F7">
        <w:t xml:space="preserve"> AS. </w:t>
      </w:r>
      <w:proofErr w:type="spellStart"/>
      <w:r w:rsidRPr="00CC19F7">
        <w:t>Vidare</w:t>
      </w:r>
      <w:proofErr w:type="spellEnd"/>
      <w:r w:rsidRPr="00CC19F7">
        <w:t xml:space="preserve"> har departementet ansvar for forvaltninga av Fond for CO</w:t>
      </w:r>
      <w:r w:rsidRPr="00CC19F7">
        <w:rPr>
          <w:rStyle w:val="skrift-senket"/>
        </w:rPr>
        <w:t>2</w:t>
      </w:r>
      <w:r w:rsidRPr="00CC19F7">
        <w:t>-handtering.</w:t>
      </w:r>
    </w:p>
    <w:p w14:paraId="6F9AC788" w14:textId="77777777" w:rsidR="00FE02EF" w:rsidRPr="00CC19F7" w:rsidRDefault="00881E58" w:rsidP="00CC19F7">
      <w:r w:rsidRPr="00CC19F7">
        <w:t xml:space="preserve">Det blei utført 139 årsverk i Olje- og energidepartementet i 2022. Departementet har i tillegg </w:t>
      </w:r>
      <w:proofErr w:type="spellStart"/>
      <w:r w:rsidRPr="00CC19F7">
        <w:t>ein</w:t>
      </w:r>
      <w:proofErr w:type="spellEnd"/>
      <w:r w:rsidRPr="00CC19F7">
        <w:t xml:space="preserve"> energiråd ved </w:t>
      </w:r>
      <w:proofErr w:type="spellStart"/>
      <w:r w:rsidRPr="00CC19F7">
        <w:t>Noregs</w:t>
      </w:r>
      <w:proofErr w:type="spellEnd"/>
      <w:r w:rsidRPr="00CC19F7">
        <w:t xml:space="preserve"> delegasjon til EU i Brussel, </w:t>
      </w:r>
      <w:proofErr w:type="spellStart"/>
      <w:r w:rsidRPr="00CC19F7">
        <w:t>ein</w:t>
      </w:r>
      <w:proofErr w:type="spellEnd"/>
      <w:r w:rsidRPr="00CC19F7">
        <w:t xml:space="preserve"> energiråd ved ambassaden i Washington og </w:t>
      </w:r>
      <w:proofErr w:type="spellStart"/>
      <w:r w:rsidRPr="00CC19F7">
        <w:t>ein</w:t>
      </w:r>
      <w:proofErr w:type="spellEnd"/>
      <w:r w:rsidRPr="00CC19F7">
        <w:t xml:space="preserve"> </w:t>
      </w:r>
      <w:proofErr w:type="spellStart"/>
      <w:r w:rsidRPr="00CC19F7">
        <w:t>energimedarbeidar</w:t>
      </w:r>
      <w:proofErr w:type="spellEnd"/>
      <w:r w:rsidRPr="00CC19F7">
        <w:t xml:space="preserve"> ved OECD-delegasjonen i Paris.</w:t>
      </w:r>
    </w:p>
    <w:p w14:paraId="1FE597EE" w14:textId="77777777" w:rsidR="00FE02EF" w:rsidRPr="00CC19F7" w:rsidRDefault="00881E58" w:rsidP="00CC19F7">
      <w:r w:rsidRPr="00CC19F7">
        <w:t xml:space="preserve">Departementets petroleums- og energipolitiske mål og </w:t>
      </w:r>
      <w:proofErr w:type="spellStart"/>
      <w:r w:rsidRPr="00CC19F7">
        <w:t>oppgåver</w:t>
      </w:r>
      <w:proofErr w:type="spellEnd"/>
      <w:r w:rsidRPr="00CC19F7">
        <w:t xml:space="preserve"> for 2024 og resultat for 2022 er omtalte under </w:t>
      </w:r>
      <w:proofErr w:type="spellStart"/>
      <w:r w:rsidRPr="00CC19F7">
        <w:t>dei</w:t>
      </w:r>
      <w:proofErr w:type="spellEnd"/>
      <w:r w:rsidRPr="00CC19F7">
        <w:t xml:space="preserve"> aktuelle </w:t>
      </w:r>
      <w:proofErr w:type="spellStart"/>
      <w:r w:rsidRPr="00CC19F7">
        <w:t>programkategoriane</w:t>
      </w:r>
      <w:proofErr w:type="spellEnd"/>
      <w:r w:rsidRPr="00CC19F7">
        <w:t>.</w:t>
      </w:r>
    </w:p>
    <w:p w14:paraId="4602521D" w14:textId="77777777" w:rsidR="00FE02EF" w:rsidRPr="00CC19F7" w:rsidRDefault="00881E58" w:rsidP="00CC19F7">
      <w:pPr>
        <w:pStyle w:val="b-budkaptit"/>
      </w:pPr>
      <w:r w:rsidRPr="00CC19F7">
        <w:t>Kap. 1800 Olje- og energidepartementet</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504"/>
        <w:gridCol w:w="1417"/>
        <w:gridCol w:w="1479"/>
        <w:gridCol w:w="1300"/>
      </w:tblGrid>
      <w:tr w:rsidR="00FE02EF" w:rsidRPr="00CC19F7" w14:paraId="303CAB87" w14:textId="77777777" w:rsidTr="005F29B2">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214F567" w14:textId="77777777" w:rsidR="00FE02EF" w:rsidRPr="00CC19F7" w:rsidRDefault="00881E58" w:rsidP="00CC19F7">
            <w:pPr>
              <w:pStyle w:val="Tabellnavn"/>
            </w:pPr>
            <w:r w:rsidRPr="00CC19F7">
              <w:t>KPAL</w:t>
            </w:r>
          </w:p>
        </w:tc>
        <w:tc>
          <w:tcPr>
            <w:tcW w:w="4504" w:type="dxa"/>
            <w:tcBorders>
              <w:top w:val="nil"/>
              <w:left w:val="nil"/>
              <w:bottom w:val="single" w:sz="4" w:space="0" w:color="000000"/>
              <w:right w:val="nil"/>
            </w:tcBorders>
            <w:tcMar>
              <w:top w:w="128" w:type="dxa"/>
              <w:left w:w="43" w:type="dxa"/>
              <w:bottom w:w="43" w:type="dxa"/>
              <w:right w:w="43" w:type="dxa"/>
            </w:tcMar>
            <w:vAlign w:val="bottom"/>
          </w:tcPr>
          <w:p w14:paraId="59176C93" w14:textId="77777777" w:rsidR="00FE02EF" w:rsidRPr="00CC19F7" w:rsidRDefault="00FE02EF" w:rsidP="005F29B2"/>
        </w:tc>
        <w:tc>
          <w:tcPr>
            <w:tcW w:w="1417" w:type="dxa"/>
            <w:tcBorders>
              <w:top w:val="nil"/>
              <w:left w:val="nil"/>
              <w:bottom w:val="single" w:sz="4" w:space="0" w:color="000000"/>
              <w:right w:val="nil"/>
            </w:tcBorders>
            <w:tcMar>
              <w:top w:w="128" w:type="dxa"/>
              <w:left w:w="43" w:type="dxa"/>
              <w:bottom w:w="43" w:type="dxa"/>
              <w:right w:w="43" w:type="dxa"/>
            </w:tcMar>
            <w:vAlign w:val="bottom"/>
          </w:tcPr>
          <w:p w14:paraId="72AD1C6A" w14:textId="77777777" w:rsidR="00FE02EF" w:rsidRPr="00CC19F7" w:rsidRDefault="00FE02EF" w:rsidP="005F29B2">
            <w:pPr>
              <w:jc w:val="right"/>
            </w:pP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7628069D" w14:textId="77777777" w:rsidR="00FE02EF" w:rsidRPr="00CC19F7" w:rsidRDefault="00FE02EF" w:rsidP="005F29B2">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892BBD4" w14:textId="77777777" w:rsidR="00FE02EF" w:rsidRPr="00CC19F7" w:rsidRDefault="00881E58" w:rsidP="005F29B2">
            <w:pPr>
              <w:jc w:val="right"/>
            </w:pPr>
            <w:r w:rsidRPr="00CC19F7">
              <w:t>(i 1 000 kr)</w:t>
            </w:r>
          </w:p>
        </w:tc>
      </w:tr>
      <w:tr w:rsidR="00FE02EF" w:rsidRPr="00CC19F7" w14:paraId="784552B3" w14:textId="77777777" w:rsidTr="005F29B2">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28D2918" w14:textId="77777777" w:rsidR="00FE02EF" w:rsidRPr="00CC19F7" w:rsidRDefault="00881E58" w:rsidP="00CC19F7">
            <w:r w:rsidRPr="00CC19F7">
              <w:t>Post</w:t>
            </w:r>
          </w:p>
        </w:tc>
        <w:tc>
          <w:tcPr>
            <w:tcW w:w="4504" w:type="dxa"/>
            <w:tcBorders>
              <w:top w:val="nil"/>
              <w:left w:val="nil"/>
              <w:bottom w:val="single" w:sz="4" w:space="0" w:color="000000"/>
              <w:right w:val="nil"/>
            </w:tcBorders>
            <w:tcMar>
              <w:top w:w="128" w:type="dxa"/>
              <w:left w:w="43" w:type="dxa"/>
              <w:bottom w:w="43" w:type="dxa"/>
              <w:right w:w="43" w:type="dxa"/>
            </w:tcMar>
            <w:vAlign w:val="bottom"/>
          </w:tcPr>
          <w:p w14:paraId="1C6E4966" w14:textId="77777777" w:rsidR="00FE02EF" w:rsidRPr="00CC19F7" w:rsidRDefault="00881E58" w:rsidP="005F29B2">
            <w:proofErr w:type="spellStart"/>
            <w:r w:rsidRPr="00CC19F7">
              <w:t>Nemning</w:t>
            </w:r>
            <w:proofErr w:type="spellEnd"/>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4E029310" w14:textId="77777777" w:rsidR="00FE02EF" w:rsidRPr="00CC19F7" w:rsidRDefault="00881E58" w:rsidP="005F29B2">
            <w:pPr>
              <w:jc w:val="right"/>
            </w:pPr>
            <w:proofErr w:type="spellStart"/>
            <w:r w:rsidRPr="00CC19F7">
              <w:t>Rekneskap</w:t>
            </w:r>
            <w:proofErr w:type="spellEnd"/>
            <w:r w:rsidRPr="00CC19F7">
              <w:br/>
              <w:t>2022</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53D0B1D1" w14:textId="77777777" w:rsidR="00FE02EF" w:rsidRPr="00CC19F7" w:rsidRDefault="00881E58" w:rsidP="005F29B2">
            <w:pPr>
              <w:jc w:val="right"/>
            </w:pPr>
            <w:r w:rsidRPr="00CC19F7">
              <w:t>Saldert</w:t>
            </w:r>
            <w:r w:rsidRPr="00CC19F7">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8427313" w14:textId="77777777" w:rsidR="00FE02EF" w:rsidRPr="00CC19F7" w:rsidRDefault="00881E58" w:rsidP="005F29B2">
            <w:pPr>
              <w:jc w:val="right"/>
            </w:pPr>
            <w:r w:rsidRPr="00CC19F7">
              <w:t>Forslag</w:t>
            </w:r>
            <w:r w:rsidRPr="00CC19F7">
              <w:br/>
              <w:t>2024</w:t>
            </w:r>
          </w:p>
        </w:tc>
      </w:tr>
      <w:tr w:rsidR="00FE02EF" w:rsidRPr="00CC19F7" w14:paraId="0EA4F292" w14:textId="77777777" w:rsidTr="005F29B2">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1682A314" w14:textId="77777777" w:rsidR="00FE02EF" w:rsidRPr="00CC19F7" w:rsidRDefault="00881E58" w:rsidP="00CC19F7">
            <w:r w:rsidRPr="00CC19F7">
              <w:t>01</w:t>
            </w:r>
          </w:p>
        </w:tc>
        <w:tc>
          <w:tcPr>
            <w:tcW w:w="4504" w:type="dxa"/>
            <w:tcBorders>
              <w:top w:val="single" w:sz="4" w:space="0" w:color="000000"/>
              <w:left w:val="nil"/>
              <w:bottom w:val="nil"/>
              <w:right w:val="nil"/>
            </w:tcBorders>
            <w:tcMar>
              <w:top w:w="128" w:type="dxa"/>
              <w:left w:w="43" w:type="dxa"/>
              <w:bottom w:w="43" w:type="dxa"/>
              <w:right w:w="43" w:type="dxa"/>
            </w:tcMar>
          </w:tcPr>
          <w:p w14:paraId="2CB6E818" w14:textId="77777777" w:rsidR="00FE02EF" w:rsidRPr="00CC19F7" w:rsidRDefault="00881E58" w:rsidP="005F29B2">
            <w:r w:rsidRPr="00CC19F7">
              <w:t>Driftsutgifter</w:t>
            </w:r>
          </w:p>
        </w:tc>
        <w:tc>
          <w:tcPr>
            <w:tcW w:w="1417" w:type="dxa"/>
            <w:tcBorders>
              <w:top w:val="single" w:sz="4" w:space="0" w:color="000000"/>
              <w:left w:val="nil"/>
              <w:bottom w:val="nil"/>
              <w:right w:val="nil"/>
            </w:tcBorders>
            <w:tcMar>
              <w:top w:w="128" w:type="dxa"/>
              <w:left w:w="43" w:type="dxa"/>
              <w:bottom w:w="43" w:type="dxa"/>
              <w:right w:w="43" w:type="dxa"/>
            </w:tcMar>
            <w:vAlign w:val="bottom"/>
          </w:tcPr>
          <w:p w14:paraId="7FF2B289" w14:textId="77777777" w:rsidR="00FE02EF" w:rsidRPr="00CC19F7" w:rsidRDefault="00881E58" w:rsidP="005F29B2">
            <w:pPr>
              <w:jc w:val="right"/>
            </w:pPr>
            <w:r w:rsidRPr="00CC19F7">
              <w:t>196 760</w:t>
            </w:r>
          </w:p>
        </w:tc>
        <w:tc>
          <w:tcPr>
            <w:tcW w:w="1479" w:type="dxa"/>
            <w:tcBorders>
              <w:top w:val="single" w:sz="4" w:space="0" w:color="000000"/>
              <w:left w:val="nil"/>
              <w:bottom w:val="nil"/>
              <w:right w:val="nil"/>
            </w:tcBorders>
            <w:tcMar>
              <w:top w:w="128" w:type="dxa"/>
              <w:left w:w="43" w:type="dxa"/>
              <w:bottom w:w="43" w:type="dxa"/>
              <w:right w:w="43" w:type="dxa"/>
            </w:tcMar>
            <w:vAlign w:val="bottom"/>
          </w:tcPr>
          <w:p w14:paraId="1CB83F76" w14:textId="77777777" w:rsidR="00FE02EF" w:rsidRPr="00CC19F7" w:rsidRDefault="00881E58" w:rsidP="005F29B2">
            <w:pPr>
              <w:jc w:val="right"/>
            </w:pPr>
            <w:r w:rsidRPr="00CC19F7">
              <w:t>210 637</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36757EC" w14:textId="77777777" w:rsidR="00FE02EF" w:rsidRPr="00CC19F7" w:rsidRDefault="00881E58" w:rsidP="005F29B2">
            <w:pPr>
              <w:jc w:val="right"/>
            </w:pPr>
            <w:r w:rsidRPr="00CC19F7">
              <w:t>246 100</w:t>
            </w:r>
          </w:p>
        </w:tc>
      </w:tr>
      <w:tr w:rsidR="00FE02EF" w:rsidRPr="00CC19F7" w14:paraId="4944F472" w14:textId="77777777" w:rsidTr="005F29B2">
        <w:trPr>
          <w:trHeight w:val="640"/>
        </w:trPr>
        <w:tc>
          <w:tcPr>
            <w:tcW w:w="840" w:type="dxa"/>
            <w:tcBorders>
              <w:top w:val="nil"/>
              <w:left w:val="nil"/>
              <w:bottom w:val="nil"/>
              <w:right w:val="nil"/>
            </w:tcBorders>
            <w:tcMar>
              <w:top w:w="128" w:type="dxa"/>
              <w:left w:w="43" w:type="dxa"/>
              <w:bottom w:w="43" w:type="dxa"/>
              <w:right w:w="43" w:type="dxa"/>
            </w:tcMar>
          </w:tcPr>
          <w:p w14:paraId="68FA8BDA" w14:textId="77777777" w:rsidR="00FE02EF" w:rsidRPr="00CC19F7" w:rsidRDefault="00881E58" w:rsidP="00CC19F7">
            <w:r w:rsidRPr="00CC19F7">
              <w:t>21</w:t>
            </w:r>
          </w:p>
        </w:tc>
        <w:tc>
          <w:tcPr>
            <w:tcW w:w="4504" w:type="dxa"/>
            <w:tcBorders>
              <w:top w:val="nil"/>
              <w:left w:val="nil"/>
              <w:bottom w:val="nil"/>
              <w:right w:val="nil"/>
            </w:tcBorders>
            <w:tcMar>
              <w:top w:w="128" w:type="dxa"/>
              <w:left w:w="43" w:type="dxa"/>
              <w:bottom w:w="43" w:type="dxa"/>
              <w:right w:w="43" w:type="dxa"/>
            </w:tcMar>
          </w:tcPr>
          <w:p w14:paraId="6ED4089A" w14:textId="77777777" w:rsidR="00FE02EF" w:rsidRPr="00CC19F7" w:rsidRDefault="00881E58" w:rsidP="005F29B2">
            <w:r w:rsidRPr="00CC19F7">
              <w:t>Spesielle driftsutgifter</w:t>
            </w:r>
            <w:r w:rsidRPr="00CC19F7">
              <w:rPr>
                <w:rStyle w:val="kursiv"/>
              </w:rPr>
              <w:t>, kan </w:t>
            </w:r>
            <w:proofErr w:type="spellStart"/>
            <w:r w:rsidRPr="00CC19F7">
              <w:rPr>
                <w:rStyle w:val="kursiv"/>
              </w:rPr>
              <w:t>overførast</w:t>
            </w:r>
            <w:proofErr w:type="spellEnd"/>
            <w:r w:rsidRPr="00CC19F7">
              <w:rPr>
                <w:rStyle w:val="kursiv"/>
              </w:rPr>
              <w:t xml:space="preserve">, </w:t>
            </w:r>
            <w:r w:rsidRPr="00CC19F7">
              <w:rPr>
                <w:rStyle w:val="kursiv"/>
              </w:rPr>
              <w:br/>
              <w:t xml:space="preserve">kan </w:t>
            </w:r>
            <w:proofErr w:type="spellStart"/>
            <w:r w:rsidRPr="00CC19F7">
              <w:rPr>
                <w:rStyle w:val="kursiv"/>
              </w:rPr>
              <w:t>nyttast</w:t>
            </w:r>
            <w:proofErr w:type="spellEnd"/>
            <w:r w:rsidRPr="00CC19F7">
              <w:rPr>
                <w:rStyle w:val="kursiv"/>
              </w:rPr>
              <w:t xml:space="preserve"> under </w:t>
            </w:r>
            <w:proofErr w:type="spellStart"/>
            <w:r w:rsidRPr="00CC19F7">
              <w:rPr>
                <w:rStyle w:val="kursiv"/>
              </w:rPr>
              <w:t>postane</w:t>
            </w:r>
            <w:proofErr w:type="spellEnd"/>
            <w:r w:rsidRPr="00CC19F7">
              <w:rPr>
                <w:rStyle w:val="kursiv"/>
              </w:rPr>
              <w:t xml:space="preserve"> 50, 71 og 72</w:t>
            </w:r>
          </w:p>
        </w:tc>
        <w:tc>
          <w:tcPr>
            <w:tcW w:w="1417" w:type="dxa"/>
            <w:tcBorders>
              <w:top w:val="nil"/>
              <w:left w:val="nil"/>
              <w:bottom w:val="nil"/>
              <w:right w:val="nil"/>
            </w:tcBorders>
            <w:tcMar>
              <w:top w:w="128" w:type="dxa"/>
              <w:left w:w="43" w:type="dxa"/>
              <w:bottom w:w="43" w:type="dxa"/>
              <w:right w:w="43" w:type="dxa"/>
            </w:tcMar>
            <w:vAlign w:val="bottom"/>
          </w:tcPr>
          <w:p w14:paraId="575AF70D" w14:textId="77777777" w:rsidR="00FE02EF" w:rsidRPr="00CC19F7" w:rsidRDefault="00881E58" w:rsidP="005F29B2">
            <w:pPr>
              <w:jc w:val="right"/>
            </w:pPr>
            <w:r w:rsidRPr="00CC19F7">
              <w:t>28 307</w:t>
            </w:r>
          </w:p>
        </w:tc>
        <w:tc>
          <w:tcPr>
            <w:tcW w:w="1479" w:type="dxa"/>
            <w:tcBorders>
              <w:top w:val="nil"/>
              <w:left w:val="nil"/>
              <w:bottom w:val="nil"/>
              <w:right w:val="nil"/>
            </w:tcBorders>
            <w:tcMar>
              <w:top w:w="128" w:type="dxa"/>
              <w:left w:w="43" w:type="dxa"/>
              <w:bottom w:w="43" w:type="dxa"/>
              <w:right w:w="43" w:type="dxa"/>
            </w:tcMar>
            <w:vAlign w:val="bottom"/>
          </w:tcPr>
          <w:p w14:paraId="57C49858" w14:textId="77777777" w:rsidR="00FE02EF" w:rsidRPr="00CC19F7" w:rsidRDefault="00881E58" w:rsidP="005F29B2">
            <w:pPr>
              <w:jc w:val="right"/>
            </w:pPr>
            <w:r w:rsidRPr="00CC19F7">
              <w:t>36 000</w:t>
            </w:r>
          </w:p>
        </w:tc>
        <w:tc>
          <w:tcPr>
            <w:tcW w:w="1300" w:type="dxa"/>
            <w:tcBorders>
              <w:top w:val="nil"/>
              <w:left w:val="nil"/>
              <w:bottom w:val="nil"/>
              <w:right w:val="nil"/>
            </w:tcBorders>
            <w:tcMar>
              <w:top w:w="128" w:type="dxa"/>
              <w:left w:w="43" w:type="dxa"/>
              <w:bottom w:w="43" w:type="dxa"/>
              <w:right w:w="43" w:type="dxa"/>
            </w:tcMar>
            <w:vAlign w:val="bottom"/>
          </w:tcPr>
          <w:p w14:paraId="2C155404" w14:textId="77777777" w:rsidR="00FE02EF" w:rsidRPr="00CC19F7" w:rsidRDefault="00881E58" w:rsidP="005F29B2">
            <w:pPr>
              <w:jc w:val="right"/>
            </w:pPr>
            <w:r w:rsidRPr="00CC19F7">
              <w:t>33 000</w:t>
            </w:r>
          </w:p>
        </w:tc>
      </w:tr>
      <w:tr w:rsidR="00FE02EF" w:rsidRPr="00CC19F7" w14:paraId="58B0A8A5" w14:textId="77777777" w:rsidTr="005F29B2">
        <w:trPr>
          <w:trHeight w:val="640"/>
        </w:trPr>
        <w:tc>
          <w:tcPr>
            <w:tcW w:w="840" w:type="dxa"/>
            <w:tcBorders>
              <w:top w:val="nil"/>
              <w:left w:val="nil"/>
              <w:bottom w:val="nil"/>
              <w:right w:val="nil"/>
            </w:tcBorders>
            <w:tcMar>
              <w:top w:w="128" w:type="dxa"/>
              <w:left w:w="43" w:type="dxa"/>
              <w:bottom w:w="43" w:type="dxa"/>
              <w:right w:w="43" w:type="dxa"/>
            </w:tcMar>
          </w:tcPr>
          <w:p w14:paraId="75628ED4" w14:textId="77777777" w:rsidR="00FE02EF" w:rsidRPr="00CC19F7" w:rsidRDefault="00881E58" w:rsidP="00CC19F7">
            <w:r w:rsidRPr="00CC19F7">
              <w:t>50</w:t>
            </w:r>
          </w:p>
        </w:tc>
        <w:tc>
          <w:tcPr>
            <w:tcW w:w="4504" w:type="dxa"/>
            <w:tcBorders>
              <w:top w:val="nil"/>
              <w:left w:val="nil"/>
              <w:bottom w:val="nil"/>
              <w:right w:val="nil"/>
            </w:tcBorders>
            <w:tcMar>
              <w:top w:w="128" w:type="dxa"/>
              <w:left w:w="43" w:type="dxa"/>
              <w:bottom w:w="43" w:type="dxa"/>
              <w:right w:w="43" w:type="dxa"/>
            </w:tcMar>
          </w:tcPr>
          <w:p w14:paraId="610E5DEA" w14:textId="77777777" w:rsidR="00FE02EF" w:rsidRPr="00CC19F7" w:rsidRDefault="00881E58" w:rsidP="005F29B2">
            <w:r w:rsidRPr="00CC19F7">
              <w:t>Overføring til andre forvaltningsorgan</w:t>
            </w:r>
            <w:r w:rsidRPr="00CC19F7">
              <w:rPr>
                <w:rStyle w:val="kursiv"/>
              </w:rPr>
              <w:t xml:space="preserve">, </w:t>
            </w:r>
            <w:r w:rsidRPr="00CC19F7">
              <w:rPr>
                <w:rStyle w:val="kursiv"/>
              </w:rPr>
              <w:br/>
              <w:t>kan </w:t>
            </w:r>
            <w:proofErr w:type="spellStart"/>
            <w:r w:rsidRPr="00CC19F7">
              <w:rPr>
                <w:rStyle w:val="kursiv"/>
              </w:rPr>
              <w:t>overførast</w:t>
            </w:r>
            <w:proofErr w:type="spellEnd"/>
          </w:p>
        </w:tc>
        <w:tc>
          <w:tcPr>
            <w:tcW w:w="1417" w:type="dxa"/>
            <w:tcBorders>
              <w:top w:val="nil"/>
              <w:left w:val="nil"/>
              <w:bottom w:val="nil"/>
              <w:right w:val="nil"/>
            </w:tcBorders>
            <w:tcMar>
              <w:top w:w="128" w:type="dxa"/>
              <w:left w:w="43" w:type="dxa"/>
              <w:bottom w:w="43" w:type="dxa"/>
              <w:right w:w="43" w:type="dxa"/>
            </w:tcMar>
            <w:vAlign w:val="bottom"/>
          </w:tcPr>
          <w:p w14:paraId="7F35C06E" w14:textId="77777777" w:rsidR="00FE02EF" w:rsidRPr="00CC19F7" w:rsidRDefault="00881E58" w:rsidP="005F29B2">
            <w:pPr>
              <w:jc w:val="right"/>
            </w:pPr>
            <w:r w:rsidRPr="00CC19F7">
              <w:t>2 899</w:t>
            </w:r>
          </w:p>
        </w:tc>
        <w:tc>
          <w:tcPr>
            <w:tcW w:w="1479" w:type="dxa"/>
            <w:tcBorders>
              <w:top w:val="nil"/>
              <w:left w:val="nil"/>
              <w:bottom w:val="nil"/>
              <w:right w:val="nil"/>
            </w:tcBorders>
            <w:tcMar>
              <w:top w:w="128" w:type="dxa"/>
              <w:left w:w="43" w:type="dxa"/>
              <w:bottom w:w="43" w:type="dxa"/>
              <w:right w:w="43" w:type="dxa"/>
            </w:tcMar>
            <w:vAlign w:val="bottom"/>
          </w:tcPr>
          <w:p w14:paraId="4C2447C7" w14:textId="77777777" w:rsidR="00FE02EF" w:rsidRPr="00CC19F7" w:rsidRDefault="00881E58" w:rsidP="005F29B2">
            <w:pPr>
              <w:jc w:val="right"/>
            </w:pPr>
            <w:r w:rsidRPr="00CC19F7">
              <w:t>5 000</w:t>
            </w:r>
          </w:p>
        </w:tc>
        <w:tc>
          <w:tcPr>
            <w:tcW w:w="1300" w:type="dxa"/>
            <w:tcBorders>
              <w:top w:val="nil"/>
              <w:left w:val="nil"/>
              <w:bottom w:val="nil"/>
              <w:right w:val="nil"/>
            </w:tcBorders>
            <w:tcMar>
              <w:top w:w="128" w:type="dxa"/>
              <w:left w:w="43" w:type="dxa"/>
              <w:bottom w:w="43" w:type="dxa"/>
              <w:right w:w="43" w:type="dxa"/>
            </w:tcMar>
            <w:vAlign w:val="bottom"/>
          </w:tcPr>
          <w:p w14:paraId="26E27509" w14:textId="77777777" w:rsidR="00FE02EF" w:rsidRPr="00CC19F7" w:rsidRDefault="00881E58" w:rsidP="005F29B2">
            <w:pPr>
              <w:jc w:val="right"/>
            </w:pPr>
            <w:r w:rsidRPr="00CC19F7">
              <w:t>1 500</w:t>
            </w:r>
          </w:p>
        </w:tc>
      </w:tr>
      <w:tr w:rsidR="00FE02EF" w:rsidRPr="00CC19F7" w14:paraId="28D6F13E" w14:textId="77777777" w:rsidTr="005F29B2">
        <w:trPr>
          <w:trHeight w:val="380"/>
        </w:trPr>
        <w:tc>
          <w:tcPr>
            <w:tcW w:w="840" w:type="dxa"/>
            <w:tcBorders>
              <w:top w:val="nil"/>
              <w:left w:val="nil"/>
              <w:bottom w:val="nil"/>
              <w:right w:val="nil"/>
            </w:tcBorders>
            <w:tcMar>
              <w:top w:w="128" w:type="dxa"/>
              <w:left w:w="43" w:type="dxa"/>
              <w:bottom w:w="43" w:type="dxa"/>
              <w:right w:w="43" w:type="dxa"/>
            </w:tcMar>
          </w:tcPr>
          <w:p w14:paraId="0C429BA2" w14:textId="77777777" w:rsidR="00FE02EF" w:rsidRPr="00CC19F7" w:rsidRDefault="00881E58" w:rsidP="00CC19F7">
            <w:r w:rsidRPr="00CC19F7">
              <w:t>70</w:t>
            </w:r>
          </w:p>
        </w:tc>
        <w:tc>
          <w:tcPr>
            <w:tcW w:w="4504" w:type="dxa"/>
            <w:tcBorders>
              <w:top w:val="nil"/>
              <w:left w:val="nil"/>
              <w:bottom w:val="nil"/>
              <w:right w:val="nil"/>
            </w:tcBorders>
            <w:tcMar>
              <w:top w:w="128" w:type="dxa"/>
              <w:left w:w="43" w:type="dxa"/>
              <w:bottom w:w="43" w:type="dxa"/>
              <w:right w:w="43" w:type="dxa"/>
            </w:tcMar>
          </w:tcPr>
          <w:p w14:paraId="72595996" w14:textId="77777777" w:rsidR="00FE02EF" w:rsidRPr="00CC19F7" w:rsidRDefault="00881E58" w:rsidP="005F29B2">
            <w:proofErr w:type="spellStart"/>
            <w:r w:rsidRPr="00CC19F7">
              <w:t>Tilskot</w:t>
            </w:r>
            <w:proofErr w:type="spellEnd"/>
            <w:r w:rsidRPr="00CC19F7">
              <w:t xml:space="preserve"> til internasjonale </w:t>
            </w:r>
            <w:proofErr w:type="spellStart"/>
            <w:r w:rsidRPr="00CC19F7">
              <w:t>organisasjonar</w:t>
            </w:r>
            <w:proofErr w:type="spellEnd"/>
            <w:r w:rsidRPr="00CC19F7">
              <w:t xml:space="preserve"> mv.</w:t>
            </w:r>
          </w:p>
        </w:tc>
        <w:tc>
          <w:tcPr>
            <w:tcW w:w="1417" w:type="dxa"/>
            <w:tcBorders>
              <w:top w:val="nil"/>
              <w:left w:val="nil"/>
              <w:bottom w:val="nil"/>
              <w:right w:val="nil"/>
            </w:tcBorders>
            <w:tcMar>
              <w:top w:w="128" w:type="dxa"/>
              <w:left w:w="43" w:type="dxa"/>
              <w:bottom w:w="43" w:type="dxa"/>
              <w:right w:w="43" w:type="dxa"/>
            </w:tcMar>
            <w:vAlign w:val="bottom"/>
          </w:tcPr>
          <w:p w14:paraId="68CEB11F" w14:textId="77777777" w:rsidR="00FE02EF" w:rsidRPr="00CC19F7" w:rsidRDefault="00881E58" w:rsidP="005F29B2">
            <w:pPr>
              <w:jc w:val="right"/>
            </w:pPr>
            <w:r w:rsidRPr="00CC19F7">
              <w:t>6 608</w:t>
            </w:r>
          </w:p>
        </w:tc>
        <w:tc>
          <w:tcPr>
            <w:tcW w:w="1479" w:type="dxa"/>
            <w:tcBorders>
              <w:top w:val="nil"/>
              <w:left w:val="nil"/>
              <w:bottom w:val="nil"/>
              <w:right w:val="nil"/>
            </w:tcBorders>
            <w:tcMar>
              <w:top w:w="128" w:type="dxa"/>
              <w:left w:w="43" w:type="dxa"/>
              <w:bottom w:w="43" w:type="dxa"/>
              <w:right w:w="43" w:type="dxa"/>
            </w:tcMar>
            <w:vAlign w:val="bottom"/>
          </w:tcPr>
          <w:p w14:paraId="5C6DE62D" w14:textId="77777777" w:rsidR="00FE02EF" w:rsidRPr="00CC19F7" w:rsidRDefault="00881E58" w:rsidP="005F29B2">
            <w:pPr>
              <w:jc w:val="right"/>
            </w:pPr>
            <w:r w:rsidRPr="00CC19F7">
              <w:t>8 800</w:t>
            </w:r>
          </w:p>
        </w:tc>
        <w:tc>
          <w:tcPr>
            <w:tcW w:w="1300" w:type="dxa"/>
            <w:tcBorders>
              <w:top w:val="nil"/>
              <w:left w:val="nil"/>
              <w:bottom w:val="nil"/>
              <w:right w:val="nil"/>
            </w:tcBorders>
            <w:tcMar>
              <w:top w:w="128" w:type="dxa"/>
              <w:left w:w="43" w:type="dxa"/>
              <w:bottom w:w="43" w:type="dxa"/>
              <w:right w:w="43" w:type="dxa"/>
            </w:tcMar>
            <w:vAlign w:val="bottom"/>
          </w:tcPr>
          <w:p w14:paraId="7F24261C" w14:textId="77777777" w:rsidR="00FE02EF" w:rsidRPr="00CC19F7" w:rsidRDefault="00881E58" w:rsidP="005F29B2">
            <w:pPr>
              <w:jc w:val="right"/>
            </w:pPr>
            <w:r w:rsidRPr="00CC19F7">
              <w:t>13 200</w:t>
            </w:r>
          </w:p>
        </w:tc>
      </w:tr>
      <w:tr w:rsidR="00FE02EF" w:rsidRPr="00CC19F7" w14:paraId="3506B567" w14:textId="77777777" w:rsidTr="005F29B2">
        <w:trPr>
          <w:trHeight w:val="380"/>
        </w:trPr>
        <w:tc>
          <w:tcPr>
            <w:tcW w:w="840" w:type="dxa"/>
            <w:tcBorders>
              <w:top w:val="nil"/>
              <w:left w:val="nil"/>
              <w:bottom w:val="nil"/>
              <w:right w:val="nil"/>
            </w:tcBorders>
            <w:tcMar>
              <w:top w:w="128" w:type="dxa"/>
              <w:left w:w="43" w:type="dxa"/>
              <w:bottom w:w="43" w:type="dxa"/>
              <w:right w:w="43" w:type="dxa"/>
            </w:tcMar>
          </w:tcPr>
          <w:p w14:paraId="58F18EBF" w14:textId="77777777" w:rsidR="00FE02EF" w:rsidRPr="00CC19F7" w:rsidRDefault="00881E58" w:rsidP="00CC19F7">
            <w:r w:rsidRPr="00CC19F7">
              <w:t>71</w:t>
            </w:r>
          </w:p>
        </w:tc>
        <w:tc>
          <w:tcPr>
            <w:tcW w:w="4504" w:type="dxa"/>
            <w:tcBorders>
              <w:top w:val="nil"/>
              <w:left w:val="nil"/>
              <w:bottom w:val="nil"/>
              <w:right w:val="nil"/>
            </w:tcBorders>
            <w:tcMar>
              <w:top w:w="128" w:type="dxa"/>
              <w:left w:w="43" w:type="dxa"/>
              <w:bottom w:w="43" w:type="dxa"/>
              <w:right w:w="43" w:type="dxa"/>
            </w:tcMar>
          </w:tcPr>
          <w:p w14:paraId="45FE0A35" w14:textId="77777777" w:rsidR="00FE02EF" w:rsidRPr="00CC19F7" w:rsidRDefault="00881E58" w:rsidP="005F29B2">
            <w:r w:rsidRPr="00CC19F7">
              <w:t>Norsk Oljemuseum</w:t>
            </w:r>
          </w:p>
        </w:tc>
        <w:tc>
          <w:tcPr>
            <w:tcW w:w="1417" w:type="dxa"/>
            <w:tcBorders>
              <w:top w:val="nil"/>
              <w:left w:val="nil"/>
              <w:bottom w:val="nil"/>
              <w:right w:val="nil"/>
            </w:tcBorders>
            <w:tcMar>
              <w:top w:w="128" w:type="dxa"/>
              <w:left w:w="43" w:type="dxa"/>
              <w:bottom w:w="43" w:type="dxa"/>
              <w:right w:w="43" w:type="dxa"/>
            </w:tcMar>
            <w:vAlign w:val="bottom"/>
          </w:tcPr>
          <w:p w14:paraId="3DDA5E68" w14:textId="77777777" w:rsidR="00FE02EF" w:rsidRPr="00CC19F7" w:rsidRDefault="00881E58" w:rsidP="005F29B2">
            <w:pPr>
              <w:jc w:val="right"/>
            </w:pPr>
            <w:r w:rsidRPr="00CC19F7">
              <w:t>17 000</w:t>
            </w:r>
          </w:p>
        </w:tc>
        <w:tc>
          <w:tcPr>
            <w:tcW w:w="1479" w:type="dxa"/>
            <w:tcBorders>
              <w:top w:val="nil"/>
              <w:left w:val="nil"/>
              <w:bottom w:val="nil"/>
              <w:right w:val="nil"/>
            </w:tcBorders>
            <w:tcMar>
              <w:top w:w="128" w:type="dxa"/>
              <w:left w:w="43" w:type="dxa"/>
              <w:bottom w:w="43" w:type="dxa"/>
              <w:right w:w="43" w:type="dxa"/>
            </w:tcMar>
            <w:vAlign w:val="bottom"/>
          </w:tcPr>
          <w:p w14:paraId="7D649CBC" w14:textId="77777777" w:rsidR="00FE02EF" w:rsidRPr="00CC19F7" w:rsidRDefault="00881E58" w:rsidP="005F29B2">
            <w:pPr>
              <w:jc w:val="right"/>
            </w:pPr>
            <w:r w:rsidRPr="00CC19F7">
              <w:t>15 300</w:t>
            </w:r>
          </w:p>
        </w:tc>
        <w:tc>
          <w:tcPr>
            <w:tcW w:w="1300" w:type="dxa"/>
            <w:tcBorders>
              <w:top w:val="nil"/>
              <w:left w:val="nil"/>
              <w:bottom w:val="nil"/>
              <w:right w:val="nil"/>
            </w:tcBorders>
            <w:tcMar>
              <w:top w:w="128" w:type="dxa"/>
              <w:left w:w="43" w:type="dxa"/>
              <w:bottom w:w="43" w:type="dxa"/>
              <w:right w:w="43" w:type="dxa"/>
            </w:tcMar>
            <w:vAlign w:val="bottom"/>
          </w:tcPr>
          <w:p w14:paraId="17DDDA26" w14:textId="77777777" w:rsidR="00FE02EF" w:rsidRPr="00CC19F7" w:rsidRDefault="00881E58" w:rsidP="005F29B2">
            <w:pPr>
              <w:jc w:val="right"/>
            </w:pPr>
            <w:r w:rsidRPr="00CC19F7">
              <w:t>16 200</w:t>
            </w:r>
          </w:p>
        </w:tc>
      </w:tr>
      <w:tr w:rsidR="00FE02EF" w:rsidRPr="00CC19F7" w14:paraId="73600C5E" w14:textId="77777777" w:rsidTr="005F29B2">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5D6A02D6" w14:textId="77777777" w:rsidR="00FE02EF" w:rsidRPr="00CC19F7" w:rsidRDefault="00881E58" w:rsidP="00CC19F7">
            <w:r w:rsidRPr="00CC19F7">
              <w:t>72</w:t>
            </w:r>
          </w:p>
        </w:tc>
        <w:tc>
          <w:tcPr>
            <w:tcW w:w="4504" w:type="dxa"/>
            <w:tcBorders>
              <w:top w:val="nil"/>
              <w:left w:val="nil"/>
              <w:bottom w:val="single" w:sz="4" w:space="0" w:color="000000"/>
              <w:right w:val="nil"/>
            </w:tcBorders>
            <w:tcMar>
              <w:top w:w="128" w:type="dxa"/>
              <w:left w:w="43" w:type="dxa"/>
              <w:bottom w:w="43" w:type="dxa"/>
              <w:right w:w="43" w:type="dxa"/>
            </w:tcMar>
          </w:tcPr>
          <w:p w14:paraId="46FBC474" w14:textId="77777777" w:rsidR="00FE02EF" w:rsidRPr="00CC19F7" w:rsidRDefault="00881E58" w:rsidP="005F29B2">
            <w:proofErr w:type="spellStart"/>
            <w:r w:rsidRPr="00CC19F7">
              <w:t>Tilskot</w:t>
            </w:r>
            <w:proofErr w:type="spellEnd"/>
            <w:r w:rsidRPr="00CC19F7">
              <w:t xml:space="preserve"> til petroleums- og energiformål</w:t>
            </w:r>
            <w:r w:rsidRPr="00CC19F7">
              <w:rPr>
                <w:rStyle w:val="kursiv"/>
              </w:rPr>
              <w:t xml:space="preserve">, </w:t>
            </w:r>
            <w:r w:rsidRPr="00CC19F7">
              <w:rPr>
                <w:rStyle w:val="kursiv"/>
              </w:rPr>
              <w:br/>
              <w:t>kan </w:t>
            </w:r>
            <w:proofErr w:type="spellStart"/>
            <w:r w:rsidRPr="00CC19F7">
              <w:rPr>
                <w:rStyle w:val="kursiv"/>
              </w:rPr>
              <w:t>overførast</w:t>
            </w:r>
            <w:proofErr w:type="spellEnd"/>
            <w:r w:rsidRPr="00CC19F7">
              <w:rPr>
                <w:rStyle w:val="kursiv"/>
              </w:rPr>
              <w:t xml:space="preserve">, kan </w:t>
            </w:r>
            <w:proofErr w:type="spellStart"/>
            <w:r w:rsidRPr="00CC19F7">
              <w:rPr>
                <w:rStyle w:val="kursiv"/>
              </w:rPr>
              <w:t>nyttast</w:t>
            </w:r>
            <w:proofErr w:type="spellEnd"/>
            <w:r w:rsidRPr="00CC19F7">
              <w:rPr>
                <w:rStyle w:val="kursiv"/>
              </w:rPr>
              <w:t xml:space="preserve"> under post 21</w:t>
            </w:r>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43AC6185" w14:textId="77777777" w:rsidR="00FE02EF" w:rsidRPr="00CC19F7" w:rsidRDefault="00881E58" w:rsidP="005F29B2">
            <w:pPr>
              <w:jc w:val="right"/>
            </w:pPr>
            <w:r w:rsidRPr="00CC19F7">
              <w:t>7 029</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4725FAD1" w14:textId="77777777" w:rsidR="00FE02EF" w:rsidRPr="00CC19F7" w:rsidRDefault="00881E58" w:rsidP="005F29B2">
            <w:pPr>
              <w:jc w:val="right"/>
            </w:pPr>
            <w:r w:rsidRPr="00CC19F7">
              <w:t>4 000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713F30E" w14:textId="77777777" w:rsidR="00FE02EF" w:rsidRPr="00CC19F7" w:rsidRDefault="00881E58" w:rsidP="005F29B2">
            <w:pPr>
              <w:jc w:val="right"/>
            </w:pPr>
            <w:r w:rsidRPr="00CC19F7">
              <w:t>14 000</w:t>
            </w:r>
          </w:p>
        </w:tc>
      </w:tr>
      <w:tr w:rsidR="00FE02EF" w:rsidRPr="00CC19F7" w14:paraId="4F639138" w14:textId="77777777" w:rsidTr="005F29B2">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6C75966" w14:textId="77777777" w:rsidR="00FE02EF" w:rsidRPr="00CC19F7" w:rsidRDefault="00FE02EF" w:rsidP="00CC19F7"/>
        </w:tc>
        <w:tc>
          <w:tcPr>
            <w:tcW w:w="4504" w:type="dxa"/>
            <w:tcBorders>
              <w:top w:val="nil"/>
              <w:left w:val="nil"/>
              <w:bottom w:val="single" w:sz="4" w:space="0" w:color="000000"/>
              <w:right w:val="nil"/>
            </w:tcBorders>
            <w:tcMar>
              <w:top w:w="128" w:type="dxa"/>
              <w:left w:w="43" w:type="dxa"/>
              <w:bottom w:w="43" w:type="dxa"/>
              <w:right w:w="43" w:type="dxa"/>
            </w:tcMar>
          </w:tcPr>
          <w:p w14:paraId="68BD8395" w14:textId="77777777" w:rsidR="00FE02EF" w:rsidRPr="00CC19F7" w:rsidRDefault="00881E58" w:rsidP="005F29B2">
            <w:r w:rsidRPr="00CC19F7">
              <w:t>Sum kap. 1800</w:t>
            </w:r>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496DC9B0" w14:textId="77777777" w:rsidR="00FE02EF" w:rsidRPr="00CC19F7" w:rsidRDefault="00881E58" w:rsidP="005F29B2">
            <w:pPr>
              <w:jc w:val="right"/>
            </w:pPr>
            <w:r w:rsidRPr="00CC19F7">
              <w:t>258 603</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13DF479F" w14:textId="77777777" w:rsidR="00FE02EF" w:rsidRPr="00CC19F7" w:rsidRDefault="00881E58" w:rsidP="005F29B2">
            <w:pPr>
              <w:jc w:val="right"/>
            </w:pPr>
            <w:r w:rsidRPr="00CC19F7">
              <w:t>279 737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7CB5AB4" w14:textId="77777777" w:rsidR="00FE02EF" w:rsidRPr="00CC19F7" w:rsidRDefault="00881E58" w:rsidP="005F29B2">
            <w:pPr>
              <w:jc w:val="right"/>
            </w:pPr>
            <w:r w:rsidRPr="00CC19F7">
              <w:t>324 000</w:t>
            </w:r>
          </w:p>
        </w:tc>
      </w:tr>
    </w:tbl>
    <w:p w14:paraId="1E5EC594" w14:textId="77777777" w:rsidR="00FE02EF" w:rsidRPr="00CC19F7" w:rsidRDefault="00881E58" w:rsidP="00CC19F7">
      <w:pPr>
        <w:pStyle w:val="avsnitt-undertittel"/>
      </w:pPr>
      <w:r w:rsidRPr="00CC19F7">
        <w:t>Om 2023</w:t>
      </w:r>
    </w:p>
    <w:p w14:paraId="34CE7816" w14:textId="77777777" w:rsidR="00FE02EF" w:rsidRPr="00CC19F7" w:rsidRDefault="00881E58" w:rsidP="00CC19F7">
      <w:r w:rsidRPr="00CC19F7">
        <w:t xml:space="preserve">Ved Stortingets vedtak 16. juni 2023 blei post 01 </w:t>
      </w:r>
      <w:proofErr w:type="spellStart"/>
      <w:r w:rsidRPr="00CC19F7">
        <w:t>auka</w:t>
      </w:r>
      <w:proofErr w:type="spellEnd"/>
      <w:r w:rsidRPr="00CC19F7">
        <w:t xml:space="preserve"> med 9,374 mill. kroner, post 21 med 2,769 mill. kroner, post 50 med 0,107 mill. kroner, post 71 med 0,327 mill. kroner og post 72 med 0,085 mill. kroner, jf. </w:t>
      </w:r>
      <w:proofErr w:type="spellStart"/>
      <w:r w:rsidRPr="00CC19F7">
        <w:t>Prop</w:t>
      </w:r>
      <w:proofErr w:type="spellEnd"/>
      <w:r w:rsidRPr="00CC19F7">
        <w:t xml:space="preserve">. 118 S (2022–2023) og </w:t>
      </w:r>
      <w:proofErr w:type="spellStart"/>
      <w:r w:rsidRPr="00CC19F7">
        <w:t>Innst</w:t>
      </w:r>
      <w:proofErr w:type="spellEnd"/>
      <w:r w:rsidRPr="00CC19F7">
        <w:t>. 490 S (2022–2023).</w:t>
      </w:r>
    </w:p>
    <w:p w14:paraId="6FE1BC1B" w14:textId="77777777" w:rsidR="00FE02EF" w:rsidRPr="00CC19F7" w:rsidRDefault="00881E58" w:rsidP="00CC19F7">
      <w:pPr>
        <w:pStyle w:val="b-post"/>
      </w:pPr>
      <w:r w:rsidRPr="00CC19F7">
        <w:t>Post 01 Driftsutgifter</w:t>
      </w:r>
    </w:p>
    <w:p w14:paraId="41FA4907" w14:textId="77777777" w:rsidR="00FE02EF" w:rsidRPr="00CC19F7" w:rsidRDefault="00881E58" w:rsidP="00CC19F7">
      <w:r w:rsidRPr="00CC19F7">
        <w:t xml:space="preserve">Det blir foreslått ei løyving på 246,1 mill. kroner til lønnsutgifter og andre utgifter til drift av Olje- og energidepartementet. Lønnsrelaterte utgifter </w:t>
      </w:r>
      <w:proofErr w:type="spellStart"/>
      <w:r w:rsidRPr="00CC19F7">
        <w:t>utgjer</w:t>
      </w:r>
      <w:proofErr w:type="spellEnd"/>
      <w:r w:rsidRPr="00CC19F7">
        <w:t xml:space="preserve"> omkring 85 prosent.</w:t>
      </w:r>
    </w:p>
    <w:p w14:paraId="39D056B4" w14:textId="77777777" w:rsidR="00FE02EF" w:rsidRPr="00CC19F7" w:rsidRDefault="00881E58" w:rsidP="00CC19F7">
      <w:r w:rsidRPr="00CC19F7">
        <w:t xml:space="preserve">Av forslag til løyving blir det foreslått 15 mill. kroner for å </w:t>
      </w:r>
      <w:proofErr w:type="spellStart"/>
      <w:r w:rsidRPr="00CC19F7">
        <w:t>auke</w:t>
      </w:r>
      <w:proofErr w:type="spellEnd"/>
      <w:r w:rsidRPr="00CC19F7">
        <w:t xml:space="preserve"> saksbehandlingskapasiteten i departementet, mellom anna arbeidet med havvind og konsesjons- og klagebehandling.</w:t>
      </w:r>
    </w:p>
    <w:p w14:paraId="089B03F9" w14:textId="77777777" w:rsidR="00FE02EF" w:rsidRPr="00CC19F7" w:rsidRDefault="00881E58" w:rsidP="00CC19F7">
      <w:r w:rsidRPr="00CC19F7">
        <w:t xml:space="preserve">Ansvaret for forvaltninga av </w:t>
      </w:r>
      <w:proofErr w:type="spellStart"/>
      <w:r w:rsidRPr="00CC19F7">
        <w:t>lovreglar</w:t>
      </w:r>
      <w:proofErr w:type="spellEnd"/>
      <w:r w:rsidRPr="00CC19F7">
        <w:t xml:space="preserve"> om arbeidsmiljø, </w:t>
      </w:r>
      <w:proofErr w:type="spellStart"/>
      <w:r w:rsidRPr="00CC19F7">
        <w:t>sikkerheit</w:t>
      </w:r>
      <w:proofErr w:type="spellEnd"/>
      <w:r w:rsidRPr="00CC19F7">
        <w:t xml:space="preserve">, beredskap og sikring på Havindustritilsynets ansvars- og tilsynsområde og etatsstyringa av tilsynet, blei overført til Olje- og energidepartementet </w:t>
      </w:r>
      <w:proofErr w:type="spellStart"/>
      <w:r w:rsidRPr="00CC19F7">
        <w:t>frå</w:t>
      </w:r>
      <w:proofErr w:type="spellEnd"/>
      <w:r w:rsidRPr="00CC19F7">
        <w:t xml:space="preserve"> Arbeids- og inkluderingsdepartementet med verknad </w:t>
      </w:r>
      <w:proofErr w:type="spellStart"/>
      <w:r w:rsidRPr="00CC19F7">
        <w:t>frå</w:t>
      </w:r>
      <w:proofErr w:type="spellEnd"/>
      <w:r w:rsidRPr="00CC19F7">
        <w:t xml:space="preserve"> 1. juli 2023. Av forslag til løyving blir det foreslått 6 mill. kroner til lønnsutgifter mv. til dette, kor 3 mill. kroner er overført </w:t>
      </w:r>
      <w:proofErr w:type="spellStart"/>
      <w:r w:rsidRPr="00CC19F7">
        <w:t>frå</w:t>
      </w:r>
      <w:proofErr w:type="spellEnd"/>
      <w:r w:rsidRPr="00CC19F7">
        <w:t xml:space="preserve"> Arbeids- og inkluderingsdepartementet.</w:t>
      </w:r>
    </w:p>
    <w:p w14:paraId="3DF40CFF" w14:textId="77777777" w:rsidR="00FE02EF" w:rsidRPr="00CC19F7" w:rsidRDefault="00881E58" w:rsidP="00CC19F7">
      <w:r w:rsidRPr="00CC19F7">
        <w:t xml:space="preserve">Auken i løyving under posten blir motsvart av overføring til Kommunal- og </w:t>
      </w:r>
      <w:proofErr w:type="spellStart"/>
      <w:r w:rsidRPr="00CC19F7">
        <w:t>distriktsdepartementet</w:t>
      </w:r>
      <w:proofErr w:type="spellEnd"/>
      <w:r w:rsidRPr="00CC19F7">
        <w:t xml:space="preserve"> knytt til overføring av </w:t>
      </w:r>
      <w:proofErr w:type="spellStart"/>
      <w:r w:rsidRPr="00CC19F7">
        <w:t>eitt</w:t>
      </w:r>
      <w:proofErr w:type="spellEnd"/>
      <w:r w:rsidRPr="00CC19F7">
        <w:t xml:space="preserve"> årsverk og </w:t>
      </w:r>
      <w:proofErr w:type="spellStart"/>
      <w:r w:rsidRPr="00CC19F7">
        <w:t>brukarfinansiering</w:t>
      </w:r>
      <w:proofErr w:type="spellEnd"/>
      <w:r w:rsidRPr="00CC19F7">
        <w:t xml:space="preserve"> av etableringa av Departementsakademiet.</w:t>
      </w:r>
    </w:p>
    <w:p w14:paraId="56A36C8D" w14:textId="77777777" w:rsidR="00FE02EF" w:rsidRPr="00CC19F7" w:rsidRDefault="00881E58" w:rsidP="00CC19F7">
      <w:pPr>
        <w:pStyle w:val="b-post"/>
      </w:pPr>
      <w:r w:rsidRPr="00CC19F7">
        <w:t xml:space="preserve">Post 21 Spesielle driftsutgifter, kan </w:t>
      </w:r>
      <w:proofErr w:type="spellStart"/>
      <w:r w:rsidRPr="00CC19F7">
        <w:t>overførast</w:t>
      </w:r>
      <w:proofErr w:type="spellEnd"/>
      <w:r w:rsidRPr="00CC19F7">
        <w:t xml:space="preserve">, kan </w:t>
      </w:r>
      <w:proofErr w:type="spellStart"/>
      <w:r w:rsidRPr="00CC19F7">
        <w:t>nyttast</w:t>
      </w:r>
      <w:proofErr w:type="spellEnd"/>
      <w:r w:rsidRPr="00CC19F7">
        <w:t xml:space="preserve"> under </w:t>
      </w:r>
      <w:proofErr w:type="spellStart"/>
      <w:r w:rsidRPr="00CC19F7">
        <w:t>postane</w:t>
      </w:r>
      <w:proofErr w:type="spellEnd"/>
      <w:r w:rsidRPr="00CC19F7">
        <w:t xml:space="preserve"> 50, 71 og 72</w:t>
      </w:r>
    </w:p>
    <w:p w14:paraId="568835DD" w14:textId="77777777" w:rsidR="00FE02EF" w:rsidRPr="00CC19F7" w:rsidRDefault="00881E58" w:rsidP="00CC19F7">
      <w:r w:rsidRPr="00CC19F7">
        <w:t>Det blir foreslått ei løyving på 33 mill. kroner og ei bestillingsfullmakt på 7 mill. kroner, jf. forslag til vedtak III.</w:t>
      </w:r>
    </w:p>
    <w:p w14:paraId="4287348E" w14:textId="77777777" w:rsidR="00FE02EF" w:rsidRPr="00CC19F7" w:rsidRDefault="00881E58" w:rsidP="00CC19F7">
      <w:r w:rsidRPr="00CC19F7">
        <w:t xml:space="preserve">Løyvinga dekker utgifter til </w:t>
      </w:r>
      <w:proofErr w:type="spellStart"/>
      <w:r w:rsidRPr="00CC19F7">
        <w:t>tenester</w:t>
      </w:r>
      <w:proofErr w:type="spellEnd"/>
      <w:r w:rsidRPr="00CC19F7">
        <w:t xml:space="preserve">, oppdrag og prosjekt som er </w:t>
      </w:r>
      <w:proofErr w:type="spellStart"/>
      <w:r w:rsidRPr="00CC19F7">
        <w:t>vesentlege</w:t>
      </w:r>
      <w:proofErr w:type="spellEnd"/>
      <w:r w:rsidRPr="00CC19F7">
        <w:t xml:space="preserve"> for Olje- og energidepartementets arbeid, men som departementet </w:t>
      </w:r>
      <w:proofErr w:type="spellStart"/>
      <w:r w:rsidRPr="00CC19F7">
        <w:t>ikkje</w:t>
      </w:r>
      <w:proofErr w:type="spellEnd"/>
      <w:r w:rsidRPr="00CC19F7">
        <w:t xml:space="preserve"> har kapasitet eller kompetanse til å utføre </w:t>
      </w:r>
      <w:proofErr w:type="spellStart"/>
      <w:r w:rsidRPr="00CC19F7">
        <w:t>sjølv</w:t>
      </w:r>
      <w:proofErr w:type="spellEnd"/>
      <w:r w:rsidRPr="00CC19F7">
        <w:t xml:space="preserve">. Dette </w:t>
      </w:r>
      <w:proofErr w:type="spellStart"/>
      <w:r w:rsidRPr="00CC19F7">
        <w:t>omfattar</w:t>
      </w:r>
      <w:proofErr w:type="spellEnd"/>
      <w:r w:rsidRPr="00CC19F7">
        <w:t xml:space="preserve"> mellom anna større </w:t>
      </w:r>
      <w:proofErr w:type="spellStart"/>
      <w:r w:rsidRPr="00CC19F7">
        <w:t>utgreiingar</w:t>
      </w:r>
      <w:proofErr w:type="spellEnd"/>
      <w:r w:rsidRPr="00CC19F7">
        <w:t xml:space="preserve"> og </w:t>
      </w:r>
      <w:proofErr w:type="spellStart"/>
      <w:r w:rsidRPr="00CC19F7">
        <w:t>analysar</w:t>
      </w:r>
      <w:proofErr w:type="spellEnd"/>
      <w:r w:rsidRPr="00CC19F7">
        <w:t xml:space="preserve">, avgjerdstøtte, uavhengige </w:t>
      </w:r>
      <w:proofErr w:type="spellStart"/>
      <w:r w:rsidRPr="00CC19F7">
        <w:t>vurderingar</w:t>
      </w:r>
      <w:proofErr w:type="spellEnd"/>
      <w:r w:rsidRPr="00CC19F7">
        <w:t xml:space="preserve"> og </w:t>
      </w:r>
      <w:proofErr w:type="spellStart"/>
      <w:r w:rsidRPr="00CC19F7">
        <w:t>evalueringar</w:t>
      </w:r>
      <w:proofErr w:type="spellEnd"/>
      <w:r w:rsidRPr="00CC19F7">
        <w:t xml:space="preserve"> og anna kunnskapsutvikling.</w:t>
      </w:r>
    </w:p>
    <w:p w14:paraId="57F7FA2F" w14:textId="77777777" w:rsidR="00FE02EF" w:rsidRPr="00CC19F7" w:rsidRDefault="00881E58" w:rsidP="00CC19F7">
      <w:r w:rsidRPr="00CC19F7">
        <w:t xml:space="preserve">Løyvinga dekker også utgifter til </w:t>
      </w:r>
      <w:proofErr w:type="spellStart"/>
      <w:r w:rsidRPr="00CC19F7">
        <w:t>kulturminneundersøkingar</w:t>
      </w:r>
      <w:proofErr w:type="spellEnd"/>
      <w:r w:rsidRPr="00CC19F7">
        <w:t xml:space="preserve"> i regulerte vassdrag i regi av Riksantikvaren. </w:t>
      </w:r>
      <w:proofErr w:type="spellStart"/>
      <w:r w:rsidRPr="00CC19F7">
        <w:t>Kulturminneundersøkingane</w:t>
      </w:r>
      <w:proofErr w:type="spellEnd"/>
      <w:r w:rsidRPr="00CC19F7">
        <w:t xml:space="preserve"> er finansiert av sektoravgift som bidrag for </w:t>
      </w:r>
      <w:proofErr w:type="spellStart"/>
      <w:r w:rsidRPr="00CC19F7">
        <w:t>kulturminneundersøkingar</w:t>
      </w:r>
      <w:proofErr w:type="spellEnd"/>
      <w:r w:rsidRPr="00CC19F7">
        <w:t xml:space="preserve"> i regulerte vassdrag som blir inntektsført under kap. 5582, post 70. Av forslag til løyving er 12 mill. kroner knytt til </w:t>
      </w:r>
      <w:proofErr w:type="spellStart"/>
      <w:r w:rsidRPr="00CC19F7">
        <w:t>kulturminneundersøkingar</w:t>
      </w:r>
      <w:proofErr w:type="spellEnd"/>
      <w:r w:rsidRPr="00CC19F7">
        <w:t>.</w:t>
      </w:r>
    </w:p>
    <w:p w14:paraId="5F45CBAB" w14:textId="77777777" w:rsidR="00FE02EF" w:rsidRPr="00CC19F7" w:rsidRDefault="00881E58" w:rsidP="00CC19F7">
      <w:r w:rsidRPr="00CC19F7">
        <w:t xml:space="preserve">Som følge av at etatsstyringsansvaret for Havindustritilsynet og ansvaret for </w:t>
      </w:r>
      <w:proofErr w:type="spellStart"/>
      <w:r w:rsidRPr="00CC19F7">
        <w:t>lovreglar</w:t>
      </w:r>
      <w:proofErr w:type="spellEnd"/>
      <w:r w:rsidRPr="00CC19F7">
        <w:t xml:space="preserve"> om arbeidsmiljø, </w:t>
      </w:r>
      <w:proofErr w:type="spellStart"/>
      <w:r w:rsidRPr="00CC19F7">
        <w:t>sikkerheit</w:t>
      </w:r>
      <w:proofErr w:type="spellEnd"/>
      <w:r w:rsidRPr="00CC19F7">
        <w:t xml:space="preserve">, beredskap og sikring er overført </w:t>
      </w:r>
      <w:proofErr w:type="spellStart"/>
      <w:r w:rsidRPr="00CC19F7">
        <w:t>frå</w:t>
      </w:r>
      <w:proofErr w:type="spellEnd"/>
      <w:r w:rsidRPr="00CC19F7">
        <w:t xml:space="preserve"> Arbeids- og inkluderingsdepartementet, blir det foreslått ei løyving på 3,3 mill. kroner til dette, kor 1,3 mill. kroner er overført </w:t>
      </w:r>
      <w:proofErr w:type="spellStart"/>
      <w:r w:rsidRPr="00CC19F7">
        <w:t>frå</w:t>
      </w:r>
      <w:proofErr w:type="spellEnd"/>
      <w:r w:rsidRPr="00CC19F7">
        <w:t xml:space="preserve"> Arbeids- og inkluderingsdepartementet.</w:t>
      </w:r>
    </w:p>
    <w:p w14:paraId="13A33CDC" w14:textId="77777777" w:rsidR="00FE02EF" w:rsidRPr="00CC19F7" w:rsidRDefault="00881E58" w:rsidP="00CC19F7">
      <w:pPr>
        <w:pStyle w:val="b-post"/>
      </w:pPr>
      <w:r w:rsidRPr="00CC19F7">
        <w:t xml:space="preserve">Post 50 Overføring til andre forvaltningsorgan, kan </w:t>
      </w:r>
      <w:proofErr w:type="spellStart"/>
      <w:r w:rsidRPr="00CC19F7">
        <w:t>overførast</w:t>
      </w:r>
      <w:proofErr w:type="spellEnd"/>
    </w:p>
    <w:p w14:paraId="78628050" w14:textId="77777777" w:rsidR="00FE02EF" w:rsidRPr="00CC19F7" w:rsidRDefault="00881E58" w:rsidP="00CC19F7">
      <w:r w:rsidRPr="00CC19F7">
        <w:t xml:space="preserve">Gjennom departementets </w:t>
      </w:r>
      <w:proofErr w:type="spellStart"/>
      <w:r w:rsidRPr="00CC19F7">
        <w:t>tilskotsordning</w:t>
      </w:r>
      <w:proofErr w:type="spellEnd"/>
      <w:r w:rsidRPr="00CC19F7">
        <w:t xml:space="preserve"> for kompetanseutvikling og formidling med relevans for petroleums- og energiområdet er Naturfagsenteret ved Universitet i Oslo gitt </w:t>
      </w:r>
      <w:proofErr w:type="spellStart"/>
      <w:r w:rsidRPr="00CC19F7">
        <w:t>tilsegn</w:t>
      </w:r>
      <w:proofErr w:type="spellEnd"/>
      <w:r w:rsidRPr="00CC19F7">
        <w:t xml:space="preserve"> om </w:t>
      </w:r>
      <w:proofErr w:type="spellStart"/>
      <w:r w:rsidRPr="00CC19F7">
        <w:t>tilskot</w:t>
      </w:r>
      <w:proofErr w:type="spellEnd"/>
      <w:r w:rsidRPr="00CC19F7">
        <w:t xml:space="preserve"> på 3,5 mill. kroner til gjennomføring av </w:t>
      </w:r>
      <w:proofErr w:type="spellStart"/>
      <w:r w:rsidRPr="00CC19F7">
        <w:t>ein</w:t>
      </w:r>
      <w:proofErr w:type="spellEnd"/>
      <w:r w:rsidRPr="00CC19F7">
        <w:t xml:space="preserve"> </w:t>
      </w:r>
      <w:proofErr w:type="spellStart"/>
      <w:r w:rsidRPr="00CC19F7">
        <w:t>årleg</w:t>
      </w:r>
      <w:proofErr w:type="spellEnd"/>
      <w:r w:rsidRPr="00CC19F7">
        <w:t xml:space="preserve"> energikonferanse og kampanjen «Årets energioppdrag». Av dette vil 1,5 mill. kroner bli utbetalt i 2024.</w:t>
      </w:r>
    </w:p>
    <w:p w14:paraId="75E16655" w14:textId="77777777" w:rsidR="00FE02EF" w:rsidRPr="00CC19F7" w:rsidRDefault="00881E58" w:rsidP="00CC19F7">
      <w:r w:rsidRPr="00CC19F7">
        <w:t xml:space="preserve">Kampanjen «Årets energioppdrag» skal </w:t>
      </w:r>
      <w:proofErr w:type="spellStart"/>
      <w:r w:rsidRPr="00CC19F7">
        <w:t>rettast</w:t>
      </w:r>
      <w:proofErr w:type="spellEnd"/>
      <w:r w:rsidRPr="00CC19F7">
        <w:t xml:space="preserve"> mot </w:t>
      </w:r>
      <w:proofErr w:type="spellStart"/>
      <w:r w:rsidRPr="00CC19F7">
        <w:t>elevar</w:t>
      </w:r>
      <w:proofErr w:type="spellEnd"/>
      <w:r w:rsidRPr="00CC19F7">
        <w:t xml:space="preserve"> </w:t>
      </w:r>
      <w:proofErr w:type="spellStart"/>
      <w:r w:rsidRPr="00CC19F7">
        <w:t>frå</w:t>
      </w:r>
      <w:proofErr w:type="spellEnd"/>
      <w:r w:rsidRPr="00CC19F7">
        <w:t xml:space="preserve"> femte klasse til </w:t>
      </w:r>
      <w:proofErr w:type="spellStart"/>
      <w:r w:rsidRPr="00CC19F7">
        <w:t>vidaregåande</w:t>
      </w:r>
      <w:proofErr w:type="spellEnd"/>
      <w:r w:rsidRPr="00CC19F7">
        <w:t xml:space="preserve"> opplæring. Formålet er mellom anna å gi barn og unge førstehands erfaring med tematikk og </w:t>
      </w:r>
      <w:proofErr w:type="spellStart"/>
      <w:r w:rsidRPr="00CC19F7">
        <w:t>problemstillingar</w:t>
      </w:r>
      <w:proofErr w:type="spellEnd"/>
      <w:r w:rsidRPr="00CC19F7">
        <w:t xml:space="preserve"> knytte til temaet energi, stimulere </w:t>
      </w:r>
      <w:proofErr w:type="spellStart"/>
      <w:r w:rsidRPr="00CC19F7">
        <w:t>interessa</w:t>
      </w:r>
      <w:proofErr w:type="spellEnd"/>
      <w:r w:rsidRPr="00CC19F7">
        <w:t xml:space="preserve"> og motivasjonen for realfag og hjelpe </w:t>
      </w:r>
      <w:proofErr w:type="spellStart"/>
      <w:r w:rsidRPr="00CC19F7">
        <w:t>lærarane</w:t>
      </w:r>
      <w:proofErr w:type="spellEnd"/>
      <w:r w:rsidRPr="00CC19F7">
        <w:t xml:space="preserve"> i gjennomføringa av viktige </w:t>
      </w:r>
      <w:proofErr w:type="spellStart"/>
      <w:r w:rsidRPr="00CC19F7">
        <w:t>delar</w:t>
      </w:r>
      <w:proofErr w:type="spellEnd"/>
      <w:r w:rsidRPr="00CC19F7">
        <w:t xml:space="preserve"> av læreplanen, inkludert </w:t>
      </w:r>
      <w:proofErr w:type="spellStart"/>
      <w:r w:rsidRPr="00CC19F7">
        <w:t>tverrfagleg</w:t>
      </w:r>
      <w:proofErr w:type="spellEnd"/>
      <w:r w:rsidRPr="00CC19F7">
        <w:t xml:space="preserve"> undervisning.</w:t>
      </w:r>
    </w:p>
    <w:p w14:paraId="631FD306" w14:textId="77777777" w:rsidR="00FE02EF" w:rsidRPr="00CC19F7" w:rsidRDefault="00881E58" w:rsidP="00CC19F7">
      <w:r w:rsidRPr="00CC19F7">
        <w:t>På denne bakgrunnen blir det foreslått ei løyving på 1,5 mill. kroner.</w:t>
      </w:r>
    </w:p>
    <w:p w14:paraId="56EF68AB" w14:textId="77777777" w:rsidR="00FE02EF" w:rsidRPr="00CC19F7" w:rsidRDefault="00881E58" w:rsidP="00CC19F7">
      <w:pPr>
        <w:pStyle w:val="avsnitt-tittel"/>
      </w:pPr>
      <w:r w:rsidRPr="00CC19F7">
        <w:t>Resultat 2022</w:t>
      </w:r>
    </w:p>
    <w:p w14:paraId="398F39A5" w14:textId="77777777" w:rsidR="00FE02EF" w:rsidRPr="00CC19F7" w:rsidRDefault="00881E58" w:rsidP="00CC19F7">
      <w:pPr>
        <w:pStyle w:val="avsnitt-undertittel"/>
      </w:pPr>
      <w:r w:rsidRPr="00CC19F7">
        <w:t>Universitetet i Oslo</w:t>
      </w:r>
    </w:p>
    <w:p w14:paraId="46A33A65" w14:textId="77777777" w:rsidR="00FE02EF" w:rsidRPr="00CC19F7" w:rsidRDefault="00881E58" w:rsidP="00CC19F7">
      <w:r w:rsidRPr="00CC19F7">
        <w:t xml:space="preserve">Det blei utbetalt om lag 0,5 mill. kroner til Naturfagsenteret ved Universitetet i Oslo til gjennomføringa av </w:t>
      </w:r>
      <w:proofErr w:type="spellStart"/>
      <w:r w:rsidRPr="00CC19F7">
        <w:t>ein</w:t>
      </w:r>
      <w:proofErr w:type="spellEnd"/>
      <w:r w:rsidRPr="00CC19F7">
        <w:t xml:space="preserve"> energikonferanse for alle </w:t>
      </w:r>
      <w:proofErr w:type="spellStart"/>
      <w:r w:rsidRPr="00CC19F7">
        <w:t>skolar</w:t>
      </w:r>
      <w:proofErr w:type="spellEnd"/>
      <w:r w:rsidRPr="00CC19F7">
        <w:t xml:space="preserve"> i Lektor2-ordninga som har, eller ønsker å samarbeide med, </w:t>
      </w:r>
      <w:proofErr w:type="spellStart"/>
      <w:r w:rsidRPr="00CC19F7">
        <w:t>ein</w:t>
      </w:r>
      <w:proofErr w:type="spellEnd"/>
      <w:r w:rsidRPr="00CC19F7">
        <w:t xml:space="preserve"> </w:t>
      </w:r>
      <w:proofErr w:type="spellStart"/>
      <w:r w:rsidRPr="00CC19F7">
        <w:t>partnar</w:t>
      </w:r>
      <w:proofErr w:type="spellEnd"/>
      <w:r w:rsidRPr="00CC19F7">
        <w:t xml:space="preserve"> </w:t>
      </w:r>
      <w:proofErr w:type="spellStart"/>
      <w:r w:rsidRPr="00CC19F7">
        <w:t>innan</w:t>
      </w:r>
      <w:proofErr w:type="spellEnd"/>
      <w:r w:rsidRPr="00CC19F7">
        <w:t xml:space="preserve"> energisektoren. Målgruppa for konferansen var </w:t>
      </w:r>
      <w:proofErr w:type="spellStart"/>
      <w:r w:rsidRPr="00CC19F7">
        <w:t>realfagslærarar</w:t>
      </w:r>
      <w:proofErr w:type="spellEnd"/>
      <w:r w:rsidRPr="00CC19F7">
        <w:t xml:space="preserve"> </w:t>
      </w:r>
      <w:proofErr w:type="spellStart"/>
      <w:r w:rsidRPr="00CC19F7">
        <w:t>frå</w:t>
      </w:r>
      <w:proofErr w:type="spellEnd"/>
      <w:r w:rsidRPr="00CC19F7">
        <w:t xml:space="preserve"> ungdomsskolen og </w:t>
      </w:r>
      <w:proofErr w:type="spellStart"/>
      <w:r w:rsidRPr="00CC19F7">
        <w:t>vidaregåande</w:t>
      </w:r>
      <w:proofErr w:type="spellEnd"/>
      <w:r w:rsidRPr="00CC19F7">
        <w:t xml:space="preserve"> skole som deltar i Lektor2-ordninga. Gjennom energikonferansen har </w:t>
      </w:r>
      <w:proofErr w:type="spellStart"/>
      <w:r w:rsidRPr="00CC19F7">
        <w:t>lærarane</w:t>
      </w:r>
      <w:proofErr w:type="spellEnd"/>
      <w:r w:rsidRPr="00CC19F7">
        <w:t xml:space="preserve"> fått relevant og oppdatert informasjon om energisektoren og større kunnskap om teknologiske </w:t>
      </w:r>
      <w:proofErr w:type="spellStart"/>
      <w:r w:rsidRPr="00CC19F7">
        <w:t>nyvinningar</w:t>
      </w:r>
      <w:proofErr w:type="spellEnd"/>
      <w:r w:rsidRPr="00CC19F7">
        <w:t xml:space="preserve"> og bruk av teknologien i arbeidslivet. Forsking viser at perioden mellom 10 og 14 år er </w:t>
      </w:r>
      <w:proofErr w:type="gramStart"/>
      <w:r w:rsidRPr="00CC19F7">
        <w:t>sentral</w:t>
      </w:r>
      <w:proofErr w:type="gramEnd"/>
      <w:r w:rsidRPr="00CC19F7">
        <w:t xml:space="preserve"> med tanke på utvikling av barn og unges </w:t>
      </w:r>
      <w:proofErr w:type="spellStart"/>
      <w:r w:rsidRPr="00CC19F7">
        <w:t>haldningar</w:t>
      </w:r>
      <w:proofErr w:type="spellEnd"/>
      <w:r w:rsidRPr="00CC19F7">
        <w:t xml:space="preserve"> til realfag, </w:t>
      </w:r>
      <w:proofErr w:type="spellStart"/>
      <w:r w:rsidRPr="00CC19F7">
        <w:t>noko</w:t>
      </w:r>
      <w:proofErr w:type="spellEnd"/>
      <w:r w:rsidRPr="00CC19F7">
        <w:t xml:space="preserve"> som </w:t>
      </w:r>
      <w:proofErr w:type="spellStart"/>
      <w:r w:rsidRPr="00CC19F7">
        <w:t>tilseier</w:t>
      </w:r>
      <w:proofErr w:type="spellEnd"/>
      <w:r w:rsidRPr="00CC19F7">
        <w:t xml:space="preserve"> at forsøk på å </w:t>
      </w:r>
      <w:proofErr w:type="spellStart"/>
      <w:r w:rsidRPr="00CC19F7">
        <w:t>auke</w:t>
      </w:r>
      <w:proofErr w:type="spellEnd"/>
      <w:r w:rsidRPr="00CC19F7">
        <w:t xml:space="preserve"> </w:t>
      </w:r>
      <w:proofErr w:type="spellStart"/>
      <w:r w:rsidRPr="00CC19F7">
        <w:t>interessa</w:t>
      </w:r>
      <w:proofErr w:type="spellEnd"/>
      <w:r w:rsidRPr="00CC19F7">
        <w:t xml:space="preserve"> og motivasjonen for realfag bør begynne </w:t>
      </w:r>
      <w:proofErr w:type="spellStart"/>
      <w:r w:rsidRPr="00CC19F7">
        <w:t>allereie</w:t>
      </w:r>
      <w:proofErr w:type="spellEnd"/>
      <w:r w:rsidRPr="00CC19F7">
        <w:t xml:space="preserve"> på barneskolen. Naturfagsenteret har derfor </w:t>
      </w:r>
      <w:proofErr w:type="spellStart"/>
      <w:r w:rsidRPr="00CC19F7">
        <w:t>ein</w:t>
      </w:r>
      <w:proofErr w:type="spellEnd"/>
      <w:r w:rsidRPr="00CC19F7">
        <w:t xml:space="preserve"> pilot for to </w:t>
      </w:r>
      <w:proofErr w:type="spellStart"/>
      <w:r w:rsidRPr="00CC19F7">
        <w:t>skolar</w:t>
      </w:r>
      <w:proofErr w:type="spellEnd"/>
      <w:r w:rsidRPr="00CC19F7">
        <w:t xml:space="preserve"> </w:t>
      </w:r>
      <w:proofErr w:type="spellStart"/>
      <w:r w:rsidRPr="00CC19F7">
        <w:t>frå</w:t>
      </w:r>
      <w:proofErr w:type="spellEnd"/>
      <w:r w:rsidRPr="00CC19F7">
        <w:t xml:space="preserve"> mellomtrinnet (femte til </w:t>
      </w:r>
      <w:proofErr w:type="spellStart"/>
      <w:r w:rsidRPr="00CC19F7">
        <w:t>sjuande</w:t>
      </w:r>
      <w:proofErr w:type="spellEnd"/>
      <w:r w:rsidRPr="00CC19F7">
        <w:t xml:space="preserve"> trinn), som i skoleåret 2022/2023 har deltatt på lik linje med </w:t>
      </w:r>
      <w:proofErr w:type="spellStart"/>
      <w:r w:rsidRPr="00CC19F7">
        <w:t>dei</w:t>
      </w:r>
      <w:proofErr w:type="spellEnd"/>
      <w:r w:rsidRPr="00CC19F7">
        <w:t xml:space="preserve"> andre </w:t>
      </w:r>
      <w:proofErr w:type="spellStart"/>
      <w:r w:rsidRPr="00CC19F7">
        <w:t>deltakarskolane</w:t>
      </w:r>
      <w:proofErr w:type="spellEnd"/>
      <w:r w:rsidRPr="00CC19F7">
        <w:t xml:space="preserve">. Samarbeidet med lokalt næringsliv gjennom ordninga gir ifølge </w:t>
      </w:r>
      <w:proofErr w:type="spellStart"/>
      <w:r w:rsidRPr="00CC19F7">
        <w:t>lærarane</w:t>
      </w:r>
      <w:proofErr w:type="spellEnd"/>
      <w:r w:rsidRPr="00CC19F7">
        <w:t xml:space="preserve"> </w:t>
      </w:r>
      <w:proofErr w:type="spellStart"/>
      <w:r w:rsidRPr="00CC19F7">
        <w:t>elevane</w:t>
      </w:r>
      <w:proofErr w:type="spellEnd"/>
      <w:r w:rsidRPr="00CC19F7">
        <w:t xml:space="preserve"> innsikt i ulike </w:t>
      </w:r>
      <w:proofErr w:type="spellStart"/>
      <w:r w:rsidRPr="00CC19F7">
        <w:t>typar</w:t>
      </w:r>
      <w:proofErr w:type="spellEnd"/>
      <w:r w:rsidRPr="00CC19F7">
        <w:t xml:space="preserve"> yrke og motivasjon i </w:t>
      </w:r>
      <w:proofErr w:type="spellStart"/>
      <w:r w:rsidRPr="00CC19F7">
        <w:t>fleire</w:t>
      </w:r>
      <w:proofErr w:type="spellEnd"/>
      <w:r w:rsidRPr="00CC19F7">
        <w:t xml:space="preserve"> fag. </w:t>
      </w:r>
      <w:proofErr w:type="spellStart"/>
      <w:r w:rsidRPr="00CC19F7">
        <w:t>Næringslivsaktørane</w:t>
      </w:r>
      <w:proofErr w:type="spellEnd"/>
      <w:r w:rsidRPr="00CC19F7">
        <w:t xml:space="preserve"> som deltok, er positive til samarbeidet med skolen.</w:t>
      </w:r>
    </w:p>
    <w:p w14:paraId="7F040B28" w14:textId="77777777" w:rsidR="00FE02EF" w:rsidRPr="00CC19F7" w:rsidRDefault="00881E58" w:rsidP="00CC19F7">
      <w:r w:rsidRPr="00CC19F7">
        <w:t xml:space="preserve">Universitet i Oslo </w:t>
      </w:r>
      <w:proofErr w:type="spellStart"/>
      <w:r w:rsidRPr="00CC19F7">
        <w:t>fekk</w:t>
      </w:r>
      <w:proofErr w:type="spellEnd"/>
      <w:r w:rsidRPr="00CC19F7">
        <w:t xml:space="preserve"> i 2018 </w:t>
      </w:r>
      <w:proofErr w:type="spellStart"/>
      <w:r w:rsidRPr="00CC19F7">
        <w:t>tilsegn</w:t>
      </w:r>
      <w:proofErr w:type="spellEnd"/>
      <w:r w:rsidRPr="00CC19F7">
        <w:t xml:space="preserve"> om </w:t>
      </w:r>
      <w:proofErr w:type="spellStart"/>
      <w:r w:rsidRPr="00CC19F7">
        <w:t>tilskot</w:t>
      </w:r>
      <w:proofErr w:type="spellEnd"/>
      <w:r w:rsidRPr="00CC19F7">
        <w:t xml:space="preserve"> på inntil 2 295 000 kroner til gjennomføring av </w:t>
      </w:r>
      <w:proofErr w:type="spellStart"/>
      <w:r w:rsidRPr="00CC19F7">
        <w:t>Novemberkonferansen</w:t>
      </w:r>
      <w:proofErr w:type="spellEnd"/>
      <w:r w:rsidRPr="00CC19F7">
        <w:t xml:space="preserve"> i Rio de Janeiro i åra 2018 til 2020. </w:t>
      </w:r>
      <w:proofErr w:type="spellStart"/>
      <w:r w:rsidRPr="00CC19F7">
        <w:t>Tilskotet</w:t>
      </w:r>
      <w:proofErr w:type="spellEnd"/>
      <w:r w:rsidRPr="00CC19F7">
        <w:t xml:space="preserve"> skulle bidra til å utvikle nettverk mellom norske og brasilianske FoU-</w:t>
      </w:r>
      <w:proofErr w:type="spellStart"/>
      <w:r w:rsidRPr="00CC19F7">
        <w:t>aktørar</w:t>
      </w:r>
      <w:proofErr w:type="spellEnd"/>
      <w:r w:rsidRPr="00CC19F7">
        <w:t xml:space="preserve"> og gjennomføring av bilaterale </w:t>
      </w:r>
      <w:proofErr w:type="spellStart"/>
      <w:r w:rsidRPr="00CC19F7">
        <w:t>konferansar</w:t>
      </w:r>
      <w:proofErr w:type="spellEnd"/>
      <w:r w:rsidRPr="00CC19F7">
        <w:t xml:space="preserve"> om forskings- og teknologisamarbeid mellom Brasil og </w:t>
      </w:r>
      <w:proofErr w:type="spellStart"/>
      <w:r w:rsidRPr="00CC19F7">
        <w:t>Noreg</w:t>
      </w:r>
      <w:proofErr w:type="spellEnd"/>
      <w:r w:rsidRPr="00CC19F7">
        <w:t xml:space="preserve">. På grunn av pandemien var det </w:t>
      </w:r>
      <w:proofErr w:type="spellStart"/>
      <w:r w:rsidRPr="00CC19F7">
        <w:t>ikkje</w:t>
      </w:r>
      <w:proofErr w:type="spellEnd"/>
      <w:r w:rsidRPr="00CC19F7">
        <w:t xml:space="preserve"> </w:t>
      </w:r>
      <w:proofErr w:type="spellStart"/>
      <w:r w:rsidRPr="00CC19F7">
        <w:t>mogleg</w:t>
      </w:r>
      <w:proofErr w:type="spellEnd"/>
      <w:r w:rsidRPr="00CC19F7">
        <w:t xml:space="preserve"> å organisere konferansen i 2020 eller 2021. Siste del av </w:t>
      </w:r>
      <w:proofErr w:type="spellStart"/>
      <w:r w:rsidRPr="00CC19F7">
        <w:t>tilskotet</w:t>
      </w:r>
      <w:proofErr w:type="spellEnd"/>
      <w:r w:rsidRPr="00CC19F7">
        <w:t xml:space="preserve"> på 765 000 kroner blei brukt til å arrangere den utsette konferansen i november 2022.</w:t>
      </w:r>
    </w:p>
    <w:p w14:paraId="592CEEE6" w14:textId="77777777" w:rsidR="00FE02EF" w:rsidRPr="00CC19F7" w:rsidRDefault="00881E58" w:rsidP="00CC19F7">
      <w:pPr>
        <w:pStyle w:val="avsnitt-undertittel"/>
      </w:pPr>
      <w:proofErr w:type="spellStart"/>
      <w:r w:rsidRPr="00CC19F7">
        <w:t>Noregs</w:t>
      </w:r>
      <w:proofErr w:type="spellEnd"/>
      <w:r w:rsidRPr="00CC19F7">
        <w:t xml:space="preserve"> forskingsråd</w:t>
      </w:r>
    </w:p>
    <w:p w14:paraId="2BD5C0A7" w14:textId="77777777" w:rsidR="00FE02EF" w:rsidRPr="00CC19F7" w:rsidRDefault="00881E58" w:rsidP="00CC19F7">
      <w:r w:rsidRPr="00CC19F7">
        <w:t xml:space="preserve">Departementet har gjennom Forskingsrådet utbetalt 1 mill. kroner til SEAPOP/SEATRACK til samanstilling og analyse av </w:t>
      </w:r>
      <w:proofErr w:type="spellStart"/>
      <w:r w:rsidRPr="00CC19F7">
        <w:t>eksisterande</w:t>
      </w:r>
      <w:proofErr w:type="spellEnd"/>
      <w:r w:rsidRPr="00CC19F7">
        <w:t xml:space="preserve"> data for sjøfugl med tanke på utvikling av havvind. Data inkluderte områda Utsira Nord og </w:t>
      </w:r>
      <w:proofErr w:type="spellStart"/>
      <w:r w:rsidRPr="00CC19F7">
        <w:t>Sørlege</w:t>
      </w:r>
      <w:proofErr w:type="spellEnd"/>
      <w:r w:rsidRPr="00CC19F7">
        <w:t xml:space="preserve"> </w:t>
      </w:r>
      <w:proofErr w:type="spellStart"/>
      <w:r w:rsidRPr="00CC19F7">
        <w:t>Nordsjø</w:t>
      </w:r>
      <w:proofErr w:type="spellEnd"/>
      <w:r w:rsidRPr="00CC19F7">
        <w:t xml:space="preserve"> II og </w:t>
      </w:r>
      <w:proofErr w:type="spellStart"/>
      <w:r w:rsidRPr="00CC19F7">
        <w:t>dessutan</w:t>
      </w:r>
      <w:proofErr w:type="spellEnd"/>
      <w:r w:rsidRPr="00CC19F7">
        <w:t xml:space="preserve"> større havområde der NVE og direktoratgruppa vurderer det som aktuelt å foreslå nye område for havvind. Data </w:t>
      </w:r>
      <w:proofErr w:type="spellStart"/>
      <w:r w:rsidRPr="00CC19F7">
        <w:t>frå</w:t>
      </w:r>
      <w:proofErr w:type="spellEnd"/>
      <w:r w:rsidRPr="00CC19F7">
        <w:t xml:space="preserve"> SEAPOP og SEATRACK blei nytta i arbeidet med å fastsette prosjektspesifikke konsekvensutgreiingsprogram for havvind i </w:t>
      </w:r>
      <w:proofErr w:type="spellStart"/>
      <w:r w:rsidRPr="00CC19F7">
        <w:t>dei</w:t>
      </w:r>
      <w:proofErr w:type="spellEnd"/>
      <w:r w:rsidRPr="00CC19F7">
        <w:t xml:space="preserve"> relevante </w:t>
      </w:r>
      <w:proofErr w:type="spellStart"/>
      <w:r w:rsidRPr="00CC19F7">
        <w:t>opna</w:t>
      </w:r>
      <w:proofErr w:type="spellEnd"/>
      <w:r w:rsidRPr="00CC19F7">
        <w:t xml:space="preserve"> områda. Arbeidet blei avslutta i 2022.</w:t>
      </w:r>
    </w:p>
    <w:p w14:paraId="424C8B01" w14:textId="77777777" w:rsidR="00FE02EF" w:rsidRPr="00CC19F7" w:rsidRDefault="00881E58" w:rsidP="00CC19F7">
      <w:r w:rsidRPr="00CC19F7">
        <w:t xml:space="preserve">Det blei utbetalt 600 000 kroner til oppfølging av ny Energi21-strategi, som blei vedtatt i juni 2022. </w:t>
      </w:r>
      <w:proofErr w:type="spellStart"/>
      <w:r w:rsidRPr="00CC19F7">
        <w:t>Tilskotet</w:t>
      </w:r>
      <w:proofErr w:type="spellEnd"/>
      <w:r w:rsidRPr="00CC19F7">
        <w:t xml:space="preserve"> er mellom anna brukt til formidling av </w:t>
      </w:r>
      <w:proofErr w:type="spellStart"/>
      <w:r w:rsidRPr="00CC19F7">
        <w:t>anbefalingar</w:t>
      </w:r>
      <w:proofErr w:type="spellEnd"/>
      <w:r w:rsidRPr="00CC19F7">
        <w:t xml:space="preserve"> og </w:t>
      </w:r>
      <w:proofErr w:type="spellStart"/>
      <w:r w:rsidRPr="00CC19F7">
        <w:t>vurderingar</w:t>
      </w:r>
      <w:proofErr w:type="spellEnd"/>
      <w:r w:rsidRPr="00CC19F7">
        <w:t xml:space="preserve"> til relevante </w:t>
      </w:r>
      <w:proofErr w:type="spellStart"/>
      <w:r w:rsidRPr="00CC19F7">
        <w:t>aktørar</w:t>
      </w:r>
      <w:proofErr w:type="spellEnd"/>
      <w:r w:rsidRPr="00CC19F7">
        <w:t xml:space="preserve"> og til kartlegging av aktuelle prosjekt og </w:t>
      </w:r>
      <w:proofErr w:type="spellStart"/>
      <w:r w:rsidRPr="00CC19F7">
        <w:t>utgreiingar</w:t>
      </w:r>
      <w:proofErr w:type="spellEnd"/>
      <w:r w:rsidRPr="00CC19F7">
        <w:t xml:space="preserve"> som kan </w:t>
      </w:r>
      <w:proofErr w:type="spellStart"/>
      <w:r w:rsidRPr="00CC19F7">
        <w:t>gjennomførast</w:t>
      </w:r>
      <w:proofErr w:type="spellEnd"/>
      <w:r w:rsidRPr="00CC19F7">
        <w:t xml:space="preserve"> i 2023 for å underbygge </w:t>
      </w:r>
      <w:proofErr w:type="spellStart"/>
      <w:r w:rsidRPr="00CC19F7">
        <w:t>tilrådingane</w:t>
      </w:r>
      <w:proofErr w:type="spellEnd"/>
      <w:r w:rsidRPr="00CC19F7">
        <w:t xml:space="preserve"> og utvikle strategien </w:t>
      </w:r>
      <w:proofErr w:type="spellStart"/>
      <w:r w:rsidRPr="00CC19F7">
        <w:t>vidare</w:t>
      </w:r>
      <w:proofErr w:type="spellEnd"/>
      <w:r w:rsidRPr="00CC19F7">
        <w:t>.</w:t>
      </w:r>
    </w:p>
    <w:p w14:paraId="0D7D7205" w14:textId="77777777" w:rsidR="00FE02EF" w:rsidRPr="00CC19F7" w:rsidRDefault="00881E58" w:rsidP="00CC19F7">
      <w:r w:rsidRPr="00CC19F7">
        <w:t xml:space="preserve">Det blei utbetalt 300 000 kroner til delfinansiering av OG21-prosjektet </w:t>
      </w:r>
      <w:proofErr w:type="spellStart"/>
      <w:r w:rsidRPr="00CC19F7">
        <w:t>Low</w:t>
      </w:r>
      <w:proofErr w:type="spellEnd"/>
      <w:r w:rsidRPr="00CC19F7">
        <w:t xml:space="preserve"> </w:t>
      </w:r>
      <w:proofErr w:type="spellStart"/>
      <w:r w:rsidRPr="00CC19F7">
        <w:t>Emission</w:t>
      </w:r>
      <w:proofErr w:type="spellEnd"/>
      <w:r w:rsidRPr="00CC19F7">
        <w:t xml:space="preserve"> </w:t>
      </w:r>
      <w:proofErr w:type="spellStart"/>
      <w:r w:rsidRPr="00CC19F7">
        <w:t>saman</w:t>
      </w:r>
      <w:proofErr w:type="spellEnd"/>
      <w:r w:rsidRPr="00CC19F7">
        <w:t xml:space="preserve"> med Forskingsrådet og </w:t>
      </w:r>
      <w:proofErr w:type="spellStart"/>
      <w:r w:rsidRPr="00CC19F7">
        <w:t>industriaktørar</w:t>
      </w:r>
      <w:proofErr w:type="spellEnd"/>
      <w:r w:rsidRPr="00CC19F7">
        <w:t xml:space="preserve">. Prosjektet var </w:t>
      </w:r>
      <w:proofErr w:type="spellStart"/>
      <w:r w:rsidRPr="00CC19F7">
        <w:t>ein</w:t>
      </w:r>
      <w:proofErr w:type="spellEnd"/>
      <w:r w:rsidRPr="00CC19F7">
        <w:t xml:space="preserve"> djupdykkstudie i korleis petroleumsindustrien skal nå målet om 50 prosent </w:t>
      </w:r>
      <w:proofErr w:type="spellStart"/>
      <w:r w:rsidRPr="00CC19F7">
        <w:t>utsleppsreduksjonar</w:t>
      </w:r>
      <w:proofErr w:type="spellEnd"/>
      <w:r w:rsidRPr="00CC19F7">
        <w:t xml:space="preserve"> </w:t>
      </w:r>
      <w:proofErr w:type="spellStart"/>
      <w:r w:rsidRPr="00CC19F7">
        <w:t>innan</w:t>
      </w:r>
      <w:proofErr w:type="spellEnd"/>
      <w:r w:rsidRPr="00CC19F7">
        <w:t xml:space="preserve"> 2030. Det inkluderer FoU-tiltak for både elektrifisering og </w:t>
      </w:r>
      <w:proofErr w:type="spellStart"/>
      <w:r w:rsidRPr="00CC19F7">
        <w:t>dekarbonisering</w:t>
      </w:r>
      <w:proofErr w:type="spellEnd"/>
      <w:r w:rsidRPr="00CC19F7">
        <w:t xml:space="preserve"> av verdikjeder. Prosjektet blei gjennomført i 2022 og beskriv realistiske </w:t>
      </w:r>
      <w:proofErr w:type="spellStart"/>
      <w:r w:rsidRPr="00CC19F7">
        <w:t>måtar</w:t>
      </w:r>
      <w:proofErr w:type="spellEnd"/>
      <w:r w:rsidRPr="00CC19F7">
        <w:t xml:space="preserve"> å nå utsleppsmåla som vil </w:t>
      </w:r>
      <w:proofErr w:type="spellStart"/>
      <w:r w:rsidRPr="00CC19F7">
        <w:t>krevje</w:t>
      </w:r>
      <w:proofErr w:type="spellEnd"/>
      <w:r w:rsidRPr="00CC19F7">
        <w:t xml:space="preserve"> </w:t>
      </w:r>
      <w:proofErr w:type="spellStart"/>
      <w:r w:rsidRPr="00CC19F7">
        <w:t>lågare</w:t>
      </w:r>
      <w:proofErr w:type="spellEnd"/>
      <w:r w:rsidRPr="00CC19F7">
        <w:t xml:space="preserve"> kraftforbruk </w:t>
      </w:r>
      <w:proofErr w:type="spellStart"/>
      <w:r w:rsidRPr="00CC19F7">
        <w:t>frå</w:t>
      </w:r>
      <w:proofErr w:type="spellEnd"/>
      <w:r w:rsidRPr="00CC19F7">
        <w:t xml:space="preserve"> land.</w:t>
      </w:r>
    </w:p>
    <w:p w14:paraId="208BD653" w14:textId="77777777" w:rsidR="00FE02EF" w:rsidRPr="00CC19F7" w:rsidRDefault="00881E58" w:rsidP="00CC19F7">
      <w:pPr>
        <w:pStyle w:val="avsnitt-undertittel"/>
      </w:pPr>
      <w:proofErr w:type="spellStart"/>
      <w:r w:rsidRPr="00CC19F7">
        <w:t>Forbrukarrådet</w:t>
      </w:r>
      <w:proofErr w:type="spellEnd"/>
    </w:p>
    <w:p w14:paraId="2FAA03F2" w14:textId="77777777" w:rsidR="00FE02EF" w:rsidRPr="00CC19F7" w:rsidRDefault="00881E58" w:rsidP="00CC19F7">
      <w:r w:rsidRPr="00CC19F7">
        <w:t xml:space="preserve">Det blei utbetalt 0,5 mill. kroner til </w:t>
      </w:r>
      <w:proofErr w:type="spellStart"/>
      <w:r w:rsidRPr="00CC19F7">
        <w:t>vidareutvikling</w:t>
      </w:r>
      <w:proofErr w:type="spellEnd"/>
      <w:r w:rsidRPr="00CC19F7">
        <w:t xml:space="preserve"> av nettsida strømpris.no, som er ei gratis </w:t>
      </w:r>
      <w:proofErr w:type="spellStart"/>
      <w:r w:rsidRPr="00CC19F7">
        <w:t>teneste</w:t>
      </w:r>
      <w:proofErr w:type="spellEnd"/>
      <w:r w:rsidRPr="00CC19F7">
        <w:t xml:space="preserve"> </w:t>
      </w:r>
      <w:proofErr w:type="spellStart"/>
      <w:r w:rsidRPr="00CC19F7">
        <w:t>frå</w:t>
      </w:r>
      <w:proofErr w:type="spellEnd"/>
      <w:r w:rsidRPr="00CC19F7">
        <w:t xml:space="preserve"> </w:t>
      </w:r>
      <w:proofErr w:type="spellStart"/>
      <w:r w:rsidRPr="00CC19F7">
        <w:t>Forbrukarrådet</w:t>
      </w:r>
      <w:proofErr w:type="spellEnd"/>
      <w:r w:rsidRPr="00CC19F7">
        <w:t xml:space="preserve"> som </w:t>
      </w:r>
      <w:proofErr w:type="spellStart"/>
      <w:r w:rsidRPr="00CC19F7">
        <w:t>gjer</w:t>
      </w:r>
      <w:proofErr w:type="spellEnd"/>
      <w:r w:rsidRPr="00CC19F7">
        <w:t xml:space="preserve"> det enkelt for </w:t>
      </w:r>
      <w:proofErr w:type="spellStart"/>
      <w:r w:rsidRPr="00CC19F7">
        <w:t>forbrukarar</w:t>
      </w:r>
      <w:proofErr w:type="spellEnd"/>
      <w:r w:rsidRPr="00CC19F7">
        <w:t xml:space="preserve"> å </w:t>
      </w:r>
      <w:proofErr w:type="spellStart"/>
      <w:r w:rsidRPr="00CC19F7">
        <w:t>samanlikne</w:t>
      </w:r>
      <w:proofErr w:type="spellEnd"/>
      <w:r w:rsidRPr="00CC19F7">
        <w:t xml:space="preserve"> </w:t>
      </w:r>
      <w:proofErr w:type="spellStart"/>
      <w:r w:rsidRPr="00CC19F7">
        <w:t>prisar</w:t>
      </w:r>
      <w:proofErr w:type="spellEnd"/>
      <w:r w:rsidRPr="00CC19F7">
        <w:t xml:space="preserve"> og finne </w:t>
      </w:r>
      <w:proofErr w:type="spellStart"/>
      <w:r w:rsidRPr="00CC19F7">
        <w:t>dei</w:t>
      </w:r>
      <w:proofErr w:type="spellEnd"/>
      <w:r w:rsidRPr="00CC19F7">
        <w:t xml:space="preserve"> beste </w:t>
      </w:r>
      <w:proofErr w:type="spellStart"/>
      <w:r w:rsidRPr="00CC19F7">
        <w:t>straumavtalane</w:t>
      </w:r>
      <w:proofErr w:type="spellEnd"/>
      <w:r w:rsidRPr="00CC19F7">
        <w:t>.</w:t>
      </w:r>
    </w:p>
    <w:p w14:paraId="286633EE" w14:textId="77777777" w:rsidR="00FE02EF" w:rsidRPr="00CC19F7" w:rsidRDefault="00881E58" w:rsidP="00CC19F7">
      <w:pPr>
        <w:pStyle w:val="b-post"/>
      </w:pPr>
      <w:r w:rsidRPr="00CC19F7">
        <w:t xml:space="preserve">Post 70 </w:t>
      </w:r>
      <w:proofErr w:type="spellStart"/>
      <w:r w:rsidRPr="00CC19F7">
        <w:t>Tilskot</w:t>
      </w:r>
      <w:proofErr w:type="spellEnd"/>
      <w:r w:rsidRPr="00CC19F7">
        <w:t xml:space="preserve"> til internasjonale </w:t>
      </w:r>
      <w:proofErr w:type="spellStart"/>
      <w:r w:rsidRPr="00CC19F7">
        <w:t>organisasjonar</w:t>
      </w:r>
      <w:proofErr w:type="spellEnd"/>
      <w:r w:rsidRPr="00CC19F7">
        <w:t xml:space="preserve"> mv.</w:t>
      </w:r>
    </w:p>
    <w:p w14:paraId="73E30334" w14:textId="77777777" w:rsidR="00FE02EF" w:rsidRPr="00CC19F7" w:rsidRDefault="00881E58" w:rsidP="00CC19F7">
      <w:r w:rsidRPr="00CC19F7">
        <w:t xml:space="preserve">Det blir foreslått ei løyving på 13,2 mill. kroner til ulike internasjonale </w:t>
      </w:r>
      <w:proofErr w:type="spellStart"/>
      <w:r w:rsidRPr="00CC19F7">
        <w:t>organisasjonar</w:t>
      </w:r>
      <w:proofErr w:type="spellEnd"/>
      <w:r w:rsidRPr="00CC19F7">
        <w:t xml:space="preserve">. Auken </w:t>
      </w:r>
      <w:proofErr w:type="spellStart"/>
      <w:r w:rsidRPr="00CC19F7">
        <w:t>frå</w:t>
      </w:r>
      <w:proofErr w:type="spellEnd"/>
      <w:r w:rsidRPr="00CC19F7">
        <w:t xml:space="preserve"> saldert budsjett 2023 har </w:t>
      </w:r>
      <w:proofErr w:type="spellStart"/>
      <w:r w:rsidRPr="00CC19F7">
        <w:t>samanheng</w:t>
      </w:r>
      <w:proofErr w:type="spellEnd"/>
      <w:r w:rsidRPr="00CC19F7">
        <w:t xml:space="preserve"> med oppdaterte anslag og </w:t>
      </w:r>
      <w:proofErr w:type="spellStart"/>
      <w:r w:rsidRPr="00CC19F7">
        <w:t>valutakursføresetnader</w:t>
      </w:r>
      <w:proofErr w:type="spellEnd"/>
      <w:r w:rsidRPr="00CC19F7">
        <w:t>.</w:t>
      </w:r>
    </w:p>
    <w:p w14:paraId="66FEE89C" w14:textId="77777777" w:rsidR="00FE02EF" w:rsidRPr="00CC19F7" w:rsidRDefault="00881E58" w:rsidP="00CC19F7">
      <w:pPr>
        <w:pStyle w:val="avsnitt-tittel"/>
      </w:pPr>
      <w:r w:rsidRPr="00CC19F7">
        <w:t>ACER</w:t>
      </w:r>
    </w:p>
    <w:p w14:paraId="5C2E994A" w14:textId="77777777" w:rsidR="00FE02EF" w:rsidRPr="00CC19F7" w:rsidRDefault="00881E58" w:rsidP="00CC19F7">
      <w:r w:rsidRPr="00CC19F7">
        <w:t xml:space="preserve">Innlemming av forordning 714/2009 om </w:t>
      </w:r>
      <w:proofErr w:type="spellStart"/>
      <w:r w:rsidRPr="00CC19F7">
        <w:t>grensekryssande</w:t>
      </w:r>
      <w:proofErr w:type="spellEnd"/>
      <w:r w:rsidRPr="00CC19F7">
        <w:t xml:space="preserve"> krafthandel og forordning 713/2009 i EØS-avtalen </w:t>
      </w:r>
      <w:proofErr w:type="spellStart"/>
      <w:r w:rsidRPr="00CC19F7">
        <w:t>sikrar</w:t>
      </w:r>
      <w:proofErr w:type="spellEnd"/>
      <w:r w:rsidRPr="00CC19F7">
        <w:t xml:space="preserve"> norsk deltaking i EUs byrå for samarbeid mellom nasjonale </w:t>
      </w:r>
      <w:proofErr w:type="spellStart"/>
      <w:r w:rsidRPr="00CC19F7">
        <w:t>reguleringsmyndigheiter</w:t>
      </w:r>
      <w:proofErr w:type="spellEnd"/>
      <w:r w:rsidRPr="00CC19F7">
        <w:t xml:space="preserve"> på energiområdet, ACER. </w:t>
      </w:r>
      <w:proofErr w:type="spellStart"/>
      <w:r w:rsidRPr="00CC19F7">
        <w:t>Noreg</w:t>
      </w:r>
      <w:proofErr w:type="spellEnd"/>
      <w:r w:rsidRPr="00CC19F7">
        <w:t xml:space="preserve"> betaler </w:t>
      </w:r>
      <w:proofErr w:type="spellStart"/>
      <w:r w:rsidRPr="00CC19F7">
        <w:t>ein</w:t>
      </w:r>
      <w:proofErr w:type="spellEnd"/>
      <w:r w:rsidRPr="00CC19F7">
        <w:t xml:space="preserve"> </w:t>
      </w:r>
      <w:proofErr w:type="spellStart"/>
      <w:r w:rsidRPr="00CC19F7">
        <w:t>årleg</w:t>
      </w:r>
      <w:proofErr w:type="spellEnd"/>
      <w:r w:rsidRPr="00CC19F7">
        <w:t xml:space="preserve"> kontingent basert på </w:t>
      </w:r>
      <w:proofErr w:type="spellStart"/>
      <w:r w:rsidRPr="00CC19F7">
        <w:t>berekning</w:t>
      </w:r>
      <w:proofErr w:type="spellEnd"/>
      <w:r w:rsidRPr="00CC19F7">
        <w:t xml:space="preserve"> av EFTA-landa sin del av finansieringa i program og byrå som </w:t>
      </w:r>
      <w:proofErr w:type="spellStart"/>
      <w:r w:rsidRPr="00CC19F7">
        <w:t>Noreg</w:t>
      </w:r>
      <w:proofErr w:type="spellEnd"/>
      <w:r w:rsidRPr="00CC19F7">
        <w:t xml:space="preserve"> deltar </w:t>
      </w:r>
      <w:proofErr w:type="gramStart"/>
      <w:r w:rsidRPr="00CC19F7">
        <w:t>i gjennom</w:t>
      </w:r>
      <w:proofErr w:type="gramEnd"/>
      <w:r w:rsidRPr="00CC19F7">
        <w:t xml:space="preserve"> EØS-avtalen. Det økonomiske bidraget til </w:t>
      </w:r>
      <w:proofErr w:type="spellStart"/>
      <w:r w:rsidRPr="00CC19F7">
        <w:t>Noregs</w:t>
      </w:r>
      <w:proofErr w:type="spellEnd"/>
      <w:r w:rsidRPr="00CC19F7">
        <w:t xml:space="preserve"> deltaking i ACER er berekna til om lag 650 000 euro i 2024.</w:t>
      </w:r>
    </w:p>
    <w:p w14:paraId="02BB85F3" w14:textId="77777777" w:rsidR="00FE02EF" w:rsidRPr="00CC19F7" w:rsidRDefault="00881E58" w:rsidP="00CC19F7">
      <w:pPr>
        <w:pStyle w:val="avsnitt-tittel"/>
      </w:pPr>
      <w:r w:rsidRPr="00CC19F7">
        <w:t>International Energy Forum</w:t>
      </w:r>
    </w:p>
    <w:p w14:paraId="6F0E7B7D" w14:textId="77777777" w:rsidR="00FE02EF" w:rsidRPr="00CC19F7" w:rsidRDefault="00881E58" w:rsidP="00CC19F7">
      <w:r w:rsidRPr="00CC19F7">
        <w:t xml:space="preserve">International Energy Forum (IEF) er </w:t>
      </w:r>
      <w:proofErr w:type="spellStart"/>
      <w:r w:rsidRPr="00CC19F7">
        <w:t>ein</w:t>
      </w:r>
      <w:proofErr w:type="spellEnd"/>
      <w:r w:rsidRPr="00CC19F7">
        <w:t xml:space="preserve"> arena for global energidialog. Målet for organisasjonen er å skape forståing for fellesinteresser blant medlemslanda, legge til rette for stabile </w:t>
      </w:r>
      <w:proofErr w:type="spellStart"/>
      <w:r w:rsidRPr="00CC19F7">
        <w:t>marknader</w:t>
      </w:r>
      <w:proofErr w:type="spellEnd"/>
      <w:r w:rsidRPr="00CC19F7">
        <w:t xml:space="preserve"> og global handel med energi og teknologi, styrke </w:t>
      </w:r>
      <w:proofErr w:type="spellStart"/>
      <w:r w:rsidRPr="00CC19F7">
        <w:t>energisikkerheit</w:t>
      </w:r>
      <w:proofErr w:type="spellEnd"/>
      <w:r w:rsidRPr="00CC19F7">
        <w:t xml:space="preserve"> på </w:t>
      </w:r>
      <w:proofErr w:type="spellStart"/>
      <w:r w:rsidRPr="00CC19F7">
        <w:t>tilbods</w:t>
      </w:r>
      <w:proofErr w:type="spellEnd"/>
      <w:r w:rsidRPr="00CC19F7">
        <w:t xml:space="preserve">- og etterspørselssida og utvikle prinsipp og retningslinjer for transparente og </w:t>
      </w:r>
      <w:proofErr w:type="gramStart"/>
      <w:r w:rsidRPr="00CC19F7">
        <w:t>robuste</w:t>
      </w:r>
      <w:proofErr w:type="gramEnd"/>
      <w:r w:rsidRPr="00CC19F7">
        <w:t xml:space="preserve"> </w:t>
      </w:r>
      <w:proofErr w:type="spellStart"/>
      <w:r w:rsidRPr="00CC19F7">
        <w:t>energimarknader</w:t>
      </w:r>
      <w:proofErr w:type="spellEnd"/>
      <w:r w:rsidRPr="00CC19F7">
        <w:t xml:space="preserve">. Innsamling, analyse og spreiing av informasjon er </w:t>
      </w:r>
      <w:proofErr w:type="spellStart"/>
      <w:r w:rsidRPr="00CC19F7">
        <w:t>ein</w:t>
      </w:r>
      <w:proofErr w:type="spellEnd"/>
      <w:r w:rsidRPr="00CC19F7">
        <w:t xml:space="preserve"> sentral del av dette arbeidet, og sekretariata til International Energy </w:t>
      </w:r>
      <w:proofErr w:type="spellStart"/>
      <w:r w:rsidRPr="00CC19F7">
        <w:t>Agency</w:t>
      </w:r>
      <w:proofErr w:type="spellEnd"/>
      <w:r w:rsidRPr="00CC19F7">
        <w:t xml:space="preserve"> (IEA) og OPEC gir viktige bidrag i så måte. Arbeidet blir finansiert gjennom bidrag </w:t>
      </w:r>
      <w:proofErr w:type="spellStart"/>
      <w:r w:rsidRPr="00CC19F7">
        <w:t>frå</w:t>
      </w:r>
      <w:proofErr w:type="spellEnd"/>
      <w:r w:rsidRPr="00CC19F7">
        <w:t xml:space="preserve"> </w:t>
      </w:r>
      <w:proofErr w:type="spellStart"/>
      <w:r w:rsidRPr="00CC19F7">
        <w:t>deltakarlanda</w:t>
      </w:r>
      <w:proofErr w:type="spellEnd"/>
      <w:r w:rsidRPr="00CC19F7">
        <w:t xml:space="preserve">. </w:t>
      </w:r>
      <w:proofErr w:type="spellStart"/>
      <w:r w:rsidRPr="00CC19F7">
        <w:t>Noregs</w:t>
      </w:r>
      <w:proofErr w:type="spellEnd"/>
      <w:r w:rsidRPr="00CC19F7">
        <w:t xml:space="preserve"> økonomiske bidrag er berekna til 150 000 amerikanske dollar i 2024.</w:t>
      </w:r>
    </w:p>
    <w:p w14:paraId="19A45DCE" w14:textId="77777777" w:rsidR="00FE02EF" w:rsidRPr="00CC19F7" w:rsidRDefault="00881E58" w:rsidP="00CC19F7">
      <w:pPr>
        <w:pStyle w:val="avsnitt-tittel"/>
      </w:pPr>
      <w:r w:rsidRPr="00CC19F7">
        <w:t xml:space="preserve">Gas </w:t>
      </w:r>
      <w:proofErr w:type="spellStart"/>
      <w:r w:rsidRPr="00CC19F7">
        <w:t>Exporting</w:t>
      </w:r>
      <w:proofErr w:type="spellEnd"/>
      <w:r w:rsidRPr="00CC19F7">
        <w:t xml:space="preserve"> </w:t>
      </w:r>
      <w:proofErr w:type="spellStart"/>
      <w:r w:rsidRPr="00CC19F7">
        <w:t>Countries</w:t>
      </w:r>
      <w:proofErr w:type="spellEnd"/>
      <w:r w:rsidRPr="00CC19F7">
        <w:t xml:space="preserve"> Forum</w:t>
      </w:r>
    </w:p>
    <w:p w14:paraId="51AF67E6" w14:textId="77777777" w:rsidR="00FE02EF" w:rsidRPr="00CC19F7" w:rsidRDefault="00881E58" w:rsidP="00CC19F7">
      <w:r w:rsidRPr="00CC19F7">
        <w:t xml:space="preserve">Gas </w:t>
      </w:r>
      <w:proofErr w:type="spellStart"/>
      <w:r w:rsidRPr="00CC19F7">
        <w:t>Exporting</w:t>
      </w:r>
      <w:proofErr w:type="spellEnd"/>
      <w:r w:rsidRPr="00CC19F7">
        <w:t xml:space="preserve"> </w:t>
      </w:r>
      <w:proofErr w:type="spellStart"/>
      <w:r w:rsidRPr="00CC19F7">
        <w:t>Countries</w:t>
      </w:r>
      <w:proofErr w:type="spellEnd"/>
      <w:r w:rsidRPr="00CC19F7">
        <w:t xml:space="preserve"> Forum (GECF) er </w:t>
      </w:r>
      <w:proofErr w:type="spellStart"/>
      <w:r w:rsidRPr="00CC19F7">
        <w:t>ein</w:t>
      </w:r>
      <w:proofErr w:type="spellEnd"/>
      <w:r w:rsidRPr="00CC19F7">
        <w:t xml:space="preserve"> organisasjon for dialog mellom </w:t>
      </w:r>
      <w:proofErr w:type="spellStart"/>
      <w:r w:rsidRPr="00CC19F7">
        <w:t>gassproduserande</w:t>
      </w:r>
      <w:proofErr w:type="spellEnd"/>
      <w:r w:rsidRPr="00CC19F7">
        <w:t xml:space="preserve"> land og består av elleve medlemsland og sju observatørland. Målet for organisasjonen er å utveksle informasjon om tema av felles interesse. Gjennom å delta som observatør i forumet kan </w:t>
      </w:r>
      <w:proofErr w:type="spellStart"/>
      <w:r w:rsidRPr="00CC19F7">
        <w:t>Noreg</w:t>
      </w:r>
      <w:proofErr w:type="spellEnd"/>
      <w:r w:rsidRPr="00CC19F7">
        <w:t xml:space="preserve"> utveksle informasjon om og ha dialog rundt utviklinga i gassektoren globalt. Deltakinga er </w:t>
      </w:r>
      <w:proofErr w:type="spellStart"/>
      <w:r w:rsidRPr="00CC19F7">
        <w:t>ein</w:t>
      </w:r>
      <w:proofErr w:type="spellEnd"/>
      <w:r w:rsidRPr="00CC19F7">
        <w:t xml:space="preserve"> god måte å </w:t>
      </w:r>
      <w:proofErr w:type="spellStart"/>
      <w:r w:rsidRPr="00CC19F7">
        <w:t>oppretthalde</w:t>
      </w:r>
      <w:proofErr w:type="spellEnd"/>
      <w:r w:rsidRPr="00CC19F7">
        <w:t xml:space="preserve"> kontakten med sentrale </w:t>
      </w:r>
      <w:proofErr w:type="spellStart"/>
      <w:r w:rsidRPr="00CC19F7">
        <w:t>gassproduserande</w:t>
      </w:r>
      <w:proofErr w:type="spellEnd"/>
      <w:r w:rsidRPr="00CC19F7">
        <w:t xml:space="preserve"> land på. Observatørrolla </w:t>
      </w:r>
      <w:proofErr w:type="spellStart"/>
      <w:r w:rsidRPr="00CC19F7">
        <w:t>gjer</w:t>
      </w:r>
      <w:proofErr w:type="spellEnd"/>
      <w:r w:rsidRPr="00CC19F7">
        <w:t xml:space="preserve"> også at </w:t>
      </w:r>
      <w:proofErr w:type="spellStart"/>
      <w:r w:rsidRPr="00CC19F7">
        <w:t>ein</w:t>
      </w:r>
      <w:proofErr w:type="spellEnd"/>
      <w:r w:rsidRPr="00CC19F7">
        <w:t xml:space="preserve"> kan følge utviklinga i forumet nært over tid. Arbeidet blir finansiert gjennom bidrag </w:t>
      </w:r>
      <w:proofErr w:type="spellStart"/>
      <w:r w:rsidRPr="00CC19F7">
        <w:t>frå</w:t>
      </w:r>
      <w:proofErr w:type="spellEnd"/>
      <w:r w:rsidRPr="00CC19F7">
        <w:t xml:space="preserve"> </w:t>
      </w:r>
      <w:proofErr w:type="spellStart"/>
      <w:r w:rsidRPr="00CC19F7">
        <w:t>deltakarlanda</w:t>
      </w:r>
      <w:proofErr w:type="spellEnd"/>
      <w:r w:rsidRPr="00CC19F7">
        <w:t xml:space="preserve">. </w:t>
      </w:r>
      <w:proofErr w:type="spellStart"/>
      <w:r w:rsidRPr="00CC19F7">
        <w:t>Noregs</w:t>
      </w:r>
      <w:proofErr w:type="spellEnd"/>
      <w:r w:rsidRPr="00CC19F7">
        <w:t xml:space="preserve"> økonomiske bidrag er berekna til 120 000 amerikanske dollar i 2024.</w:t>
      </w:r>
    </w:p>
    <w:p w14:paraId="5131C802" w14:textId="77777777" w:rsidR="00FE02EF" w:rsidRPr="00CC19F7" w:rsidRDefault="00881E58" w:rsidP="00CC19F7">
      <w:pPr>
        <w:pStyle w:val="avsnitt-tittel"/>
      </w:pPr>
      <w:r w:rsidRPr="00CC19F7">
        <w:t xml:space="preserve">Massachusetts </w:t>
      </w:r>
      <w:proofErr w:type="spellStart"/>
      <w:r w:rsidRPr="00CC19F7">
        <w:t>Institute</w:t>
      </w:r>
      <w:proofErr w:type="spellEnd"/>
      <w:r w:rsidRPr="00CC19F7">
        <w:t xml:space="preserve"> </w:t>
      </w:r>
      <w:proofErr w:type="spellStart"/>
      <w:r w:rsidRPr="00CC19F7">
        <w:t>of</w:t>
      </w:r>
      <w:proofErr w:type="spellEnd"/>
      <w:r w:rsidRPr="00CC19F7">
        <w:t xml:space="preserve"> Technology</w:t>
      </w:r>
    </w:p>
    <w:p w14:paraId="7DD2CC50" w14:textId="77777777" w:rsidR="00FE02EF" w:rsidRPr="00CC19F7" w:rsidRDefault="00881E58" w:rsidP="00CC19F7">
      <w:r w:rsidRPr="00CC19F7">
        <w:t xml:space="preserve">Massachusetts </w:t>
      </w:r>
      <w:proofErr w:type="spellStart"/>
      <w:r w:rsidRPr="00CC19F7">
        <w:t>Institute</w:t>
      </w:r>
      <w:proofErr w:type="spellEnd"/>
      <w:r w:rsidRPr="00CC19F7">
        <w:t xml:space="preserve"> </w:t>
      </w:r>
      <w:proofErr w:type="spellStart"/>
      <w:r w:rsidRPr="00CC19F7">
        <w:t>of</w:t>
      </w:r>
      <w:proofErr w:type="spellEnd"/>
      <w:r w:rsidRPr="00CC19F7">
        <w:t xml:space="preserve"> Technologys (MIT) «Joint Program </w:t>
      </w:r>
      <w:proofErr w:type="spellStart"/>
      <w:r w:rsidRPr="00CC19F7">
        <w:t>on</w:t>
      </w:r>
      <w:proofErr w:type="spellEnd"/>
      <w:r w:rsidRPr="00CC19F7">
        <w:t xml:space="preserve"> </w:t>
      </w:r>
      <w:proofErr w:type="spellStart"/>
      <w:r w:rsidRPr="00CC19F7">
        <w:t>the</w:t>
      </w:r>
      <w:proofErr w:type="spellEnd"/>
      <w:r w:rsidRPr="00CC19F7">
        <w:t xml:space="preserve"> Science and Policy </w:t>
      </w:r>
      <w:proofErr w:type="spellStart"/>
      <w:r w:rsidRPr="00CC19F7">
        <w:t>of</w:t>
      </w:r>
      <w:proofErr w:type="spellEnd"/>
      <w:r w:rsidRPr="00CC19F7">
        <w:t xml:space="preserve"> Global </w:t>
      </w:r>
      <w:proofErr w:type="spellStart"/>
      <w:r w:rsidRPr="00CC19F7">
        <w:t>Change</w:t>
      </w:r>
      <w:proofErr w:type="spellEnd"/>
      <w:r w:rsidRPr="00CC19F7">
        <w:t xml:space="preserve">» er </w:t>
      </w:r>
      <w:proofErr w:type="spellStart"/>
      <w:r w:rsidRPr="00CC19F7">
        <w:t>eit</w:t>
      </w:r>
      <w:proofErr w:type="spellEnd"/>
      <w:r w:rsidRPr="00CC19F7">
        <w:t xml:space="preserve"> forskingsprogram som har </w:t>
      </w:r>
      <w:proofErr w:type="spellStart"/>
      <w:r w:rsidRPr="00CC19F7">
        <w:t>eit</w:t>
      </w:r>
      <w:proofErr w:type="spellEnd"/>
      <w:r w:rsidRPr="00CC19F7">
        <w:t xml:space="preserve"> </w:t>
      </w:r>
      <w:proofErr w:type="spellStart"/>
      <w:r w:rsidRPr="00CC19F7">
        <w:t>tverrfagleg</w:t>
      </w:r>
      <w:proofErr w:type="spellEnd"/>
      <w:r w:rsidRPr="00CC19F7">
        <w:t xml:space="preserve"> perspektiv på korleis globale klimaproblem kan </w:t>
      </w:r>
      <w:proofErr w:type="spellStart"/>
      <w:r w:rsidRPr="00CC19F7">
        <w:t>løysast</w:t>
      </w:r>
      <w:proofErr w:type="spellEnd"/>
      <w:r w:rsidRPr="00CC19F7">
        <w:t xml:space="preserve">. Deltaking i programmet gir departementet </w:t>
      </w:r>
      <w:proofErr w:type="spellStart"/>
      <w:r w:rsidRPr="00CC19F7">
        <w:t>faglege</w:t>
      </w:r>
      <w:proofErr w:type="spellEnd"/>
      <w:r w:rsidRPr="00CC19F7">
        <w:t xml:space="preserve"> </w:t>
      </w:r>
      <w:proofErr w:type="spellStart"/>
      <w:r w:rsidRPr="00CC19F7">
        <w:t>innspel</w:t>
      </w:r>
      <w:proofErr w:type="spellEnd"/>
      <w:r w:rsidRPr="00CC19F7">
        <w:t xml:space="preserve"> på relevante område, dialog med </w:t>
      </w:r>
      <w:proofErr w:type="spellStart"/>
      <w:r w:rsidRPr="00CC19F7">
        <w:t>eit</w:t>
      </w:r>
      <w:proofErr w:type="spellEnd"/>
      <w:r w:rsidRPr="00CC19F7">
        <w:t xml:space="preserve"> breitt </w:t>
      </w:r>
      <w:proofErr w:type="spellStart"/>
      <w:r w:rsidRPr="00CC19F7">
        <w:t>fagleg</w:t>
      </w:r>
      <w:proofErr w:type="spellEnd"/>
      <w:r w:rsidRPr="00CC19F7">
        <w:t xml:space="preserve"> og internasjonalt miljø med </w:t>
      </w:r>
      <w:proofErr w:type="spellStart"/>
      <w:r w:rsidRPr="00CC19F7">
        <w:t>høg</w:t>
      </w:r>
      <w:proofErr w:type="spellEnd"/>
      <w:r w:rsidRPr="00CC19F7">
        <w:t xml:space="preserve"> kompetanse og bidrar til større teknisk forståing av globale </w:t>
      </w:r>
      <w:proofErr w:type="spellStart"/>
      <w:r w:rsidRPr="00CC19F7">
        <w:t>problemstillingar</w:t>
      </w:r>
      <w:proofErr w:type="spellEnd"/>
      <w:r w:rsidRPr="00CC19F7">
        <w:t xml:space="preserve"> som gjeld energi, klima og samfunn. </w:t>
      </w:r>
      <w:proofErr w:type="spellStart"/>
      <w:r w:rsidRPr="00CC19F7">
        <w:t>Noregs</w:t>
      </w:r>
      <w:proofErr w:type="spellEnd"/>
      <w:r w:rsidRPr="00CC19F7">
        <w:t xml:space="preserve"> økonomiske bidrag er berekna til 100 000 amerikanske dollar i 2024.</w:t>
      </w:r>
    </w:p>
    <w:p w14:paraId="1AF5263B" w14:textId="77777777" w:rsidR="00FE02EF" w:rsidRPr="00CC19F7" w:rsidRDefault="00881E58" w:rsidP="00CC19F7">
      <w:pPr>
        <w:pStyle w:val="avsnitt-tittel"/>
      </w:pPr>
      <w:r w:rsidRPr="00CC19F7">
        <w:t xml:space="preserve">The Oxford </w:t>
      </w:r>
      <w:proofErr w:type="spellStart"/>
      <w:r w:rsidRPr="00CC19F7">
        <w:t>Institute</w:t>
      </w:r>
      <w:proofErr w:type="spellEnd"/>
      <w:r w:rsidRPr="00CC19F7">
        <w:t xml:space="preserve"> for Energy Studies</w:t>
      </w:r>
    </w:p>
    <w:p w14:paraId="49C86100" w14:textId="77777777" w:rsidR="00FE02EF" w:rsidRPr="00CC19F7" w:rsidRDefault="00881E58" w:rsidP="00CC19F7">
      <w:r w:rsidRPr="00CC19F7">
        <w:t xml:space="preserve">The Oxford </w:t>
      </w:r>
      <w:proofErr w:type="spellStart"/>
      <w:r w:rsidRPr="00CC19F7">
        <w:t>Institute</w:t>
      </w:r>
      <w:proofErr w:type="spellEnd"/>
      <w:r w:rsidRPr="00CC19F7">
        <w:t xml:space="preserve"> for Energy Studies er </w:t>
      </w:r>
      <w:proofErr w:type="spellStart"/>
      <w:r w:rsidRPr="00CC19F7">
        <w:t>eit</w:t>
      </w:r>
      <w:proofErr w:type="spellEnd"/>
      <w:r w:rsidRPr="00CC19F7">
        <w:t xml:space="preserve"> anerkjent uavhengig energiforskingsinstitutt med </w:t>
      </w:r>
      <w:proofErr w:type="gramStart"/>
      <w:r w:rsidRPr="00CC19F7">
        <w:t>fokus</w:t>
      </w:r>
      <w:proofErr w:type="gramEnd"/>
      <w:r w:rsidRPr="00CC19F7">
        <w:t xml:space="preserve"> på </w:t>
      </w:r>
      <w:proofErr w:type="spellStart"/>
      <w:r w:rsidRPr="00CC19F7">
        <w:t>tverrfagleg</w:t>
      </w:r>
      <w:proofErr w:type="spellEnd"/>
      <w:r w:rsidRPr="00CC19F7">
        <w:t xml:space="preserve"> analyse av globale energispørsmål på tvers av olje-, gass- og </w:t>
      </w:r>
      <w:proofErr w:type="spellStart"/>
      <w:r w:rsidRPr="00CC19F7">
        <w:t>elektrisitetsmarknadene</w:t>
      </w:r>
      <w:proofErr w:type="spellEnd"/>
      <w:r w:rsidRPr="00CC19F7">
        <w:t xml:space="preserve">. Instituttet arrangerer mellom anna kurs og </w:t>
      </w:r>
      <w:proofErr w:type="spellStart"/>
      <w:r w:rsidRPr="00CC19F7">
        <w:t>møteplassar</w:t>
      </w:r>
      <w:proofErr w:type="spellEnd"/>
      <w:r w:rsidRPr="00CC19F7">
        <w:t xml:space="preserve"> for </w:t>
      </w:r>
      <w:proofErr w:type="spellStart"/>
      <w:r w:rsidRPr="00CC19F7">
        <w:t>energimarknadsekspertar</w:t>
      </w:r>
      <w:proofErr w:type="spellEnd"/>
      <w:r w:rsidRPr="00CC19F7">
        <w:t xml:space="preserve"> og gir ut </w:t>
      </w:r>
      <w:proofErr w:type="spellStart"/>
      <w:r w:rsidRPr="00CC19F7">
        <w:t>forskingsrapportar</w:t>
      </w:r>
      <w:proofErr w:type="spellEnd"/>
      <w:r w:rsidRPr="00CC19F7">
        <w:t xml:space="preserve"> og andre </w:t>
      </w:r>
      <w:proofErr w:type="spellStart"/>
      <w:r w:rsidRPr="00CC19F7">
        <w:t>publikasjonar</w:t>
      </w:r>
      <w:proofErr w:type="spellEnd"/>
      <w:r w:rsidRPr="00CC19F7">
        <w:t xml:space="preserve">. Deltaking i olje- og gassprogramma ved instituttet bidrar til å gi departementet større forståing av relevante </w:t>
      </w:r>
      <w:proofErr w:type="spellStart"/>
      <w:r w:rsidRPr="00CC19F7">
        <w:t>problemstillingar</w:t>
      </w:r>
      <w:proofErr w:type="spellEnd"/>
      <w:r w:rsidRPr="00CC19F7">
        <w:t xml:space="preserve"> knytte til olje- og </w:t>
      </w:r>
      <w:proofErr w:type="spellStart"/>
      <w:r w:rsidRPr="00CC19F7">
        <w:t>gassmarknadene</w:t>
      </w:r>
      <w:proofErr w:type="spellEnd"/>
      <w:r w:rsidRPr="00CC19F7">
        <w:t xml:space="preserve">, og gir departementet tilgang til </w:t>
      </w:r>
      <w:proofErr w:type="spellStart"/>
      <w:r w:rsidRPr="00CC19F7">
        <w:t>eit</w:t>
      </w:r>
      <w:proofErr w:type="spellEnd"/>
      <w:r w:rsidRPr="00CC19F7">
        <w:t xml:space="preserve"> breitt </w:t>
      </w:r>
      <w:proofErr w:type="spellStart"/>
      <w:r w:rsidRPr="00CC19F7">
        <w:t>fagleg</w:t>
      </w:r>
      <w:proofErr w:type="spellEnd"/>
      <w:r w:rsidRPr="00CC19F7">
        <w:t xml:space="preserve"> miljø med </w:t>
      </w:r>
      <w:proofErr w:type="spellStart"/>
      <w:r w:rsidRPr="00CC19F7">
        <w:t>høg</w:t>
      </w:r>
      <w:proofErr w:type="spellEnd"/>
      <w:r w:rsidRPr="00CC19F7">
        <w:t xml:space="preserve"> kompetanse relatert til globale energispørsmål. </w:t>
      </w:r>
      <w:proofErr w:type="spellStart"/>
      <w:r w:rsidRPr="00CC19F7">
        <w:t>Noregs</w:t>
      </w:r>
      <w:proofErr w:type="spellEnd"/>
      <w:r w:rsidRPr="00CC19F7">
        <w:t xml:space="preserve"> økonomiske bidrag er berekna til 50 000 britiske pund i 2024.</w:t>
      </w:r>
    </w:p>
    <w:p w14:paraId="273E265A" w14:textId="77777777" w:rsidR="00FE02EF" w:rsidRPr="00CC19F7" w:rsidRDefault="00881E58" w:rsidP="00CC19F7">
      <w:pPr>
        <w:pStyle w:val="avsnitt-tittel"/>
      </w:pPr>
      <w:r w:rsidRPr="00CC19F7">
        <w:t xml:space="preserve">Gas &amp; Oil Technology Collaboration </w:t>
      </w:r>
      <w:proofErr w:type="spellStart"/>
      <w:r w:rsidRPr="00CC19F7">
        <w:t>Programme</w:t>
      </w:r>
      <w:proofErr w:type="spellEnd"/>
    </w:p>
    <w:p w14:paraId="16520D02" w14:textId="77777777" w:rsidR="00FE02EF" w:rsidRPr="00CC19F7" w:rsidRDefault="00881E58" w:rsidP="00CC19F7">
      <w:r w:rsidRPr="00CC19F7">
        <w:t xml:space="preserve">«Gas &amp; Oil Technology Collaboration </w:t>
      </w:r>
      <w:proofErr w:type="spellStart"/>
      <w:r w:rsidRPr="00CC19F7">
        <w:t>Programme</w:t>
      </w:r>
      <w:proofErr w:type="spellEnd"/>
      <w:r w:rsidRPr="00CC19F7">
        <w:t xml:space="preserve">» (GOTCP) er </w:t>
      </w:r>
      <w:proofErr w:type="spellStart"/>
      <w:r w:rsidRPr="00CC19F7">
        <w:t>eit</w:t>
      </w:r>
      <w:proofErr w:type="spellEnd"/>
      <w:r w:rsidRPr="00CC19F7">
        <w:t xml:space="preserve"> internasjonalt FoU-samarbeid under International Energy </w:t>
      </w:r>
      <w:proofErr w:type="spellStart"/>
      <w:r w:rsidRPr="00CC19F7">
        <w:t>Agency</w:t>
      </w:r>
      <w:proofErr w:type="spellEnd"/>
      <w:r w:rsidRPr="00CC19F7">
        <w:t xml:space="preserve"> (IEA) som skal bidra til innovasjon i petroleumssektoren. </w:t>
      </w:r>
      <w:proofErr w:type="spellStart"/>
      <w:r w:rsidRPr="00CC19F7">
        <w:t>Talet</w:t>
      </w:r>
      <w:proofErr w:type="spellEnd"/>
      <w:r w:rsidRPr="00CC19F7">
        <w:t xml:space="preserve"> på medlemmer i GOTCP er blitt redusert </w:t>
      </w:r>
      <w:proofErr w:type="spellStart"/>
      <w:r w:rsidRPr="00CC19F7">
        <w:t>dei</w:t>
      </w:r>
      <w:proofErr w:type="spellEnd"/>
      <w:r w:rsidRPr="00CC19F7">
        <w:t xml:space="preserve"> siste par </w:t>
      </w:r>
      <w:proofErr w:type="spellStart"/>
      <w:r w:rsidRPr="00CC19F7">
        <w:t>åra</w:t>
      </w:r>
      <w:proofErr w:type="spellEnd"/>
      <w:r w:rsidRPr="00CC19F7">
        <w:t xml:space="preserve">, og </w:t>
      </w:r>
      <w:proofErr w:type="spellStart"/>
      <w:r w:rsidRPr="00CC19F7">
        <w:t>innhaldet</w:t>
      </w:r>
      <w:proofErr w:type="spellEnd"/>
      <w:r w:rsidRPr="00CC19F7">
        <w:t xml:space="preserve"> i samarbeidet er </w:t>
      </w:r>
      <w:proofErr w:type="spellStart"/>
      <w:r w:rsidRPr="00CC19F7">
        <w:t>no</w:t>
      </w:r>
      <w:proofErr w:type="spellEnd"/>
      <w:r w:rsidRPr="00CC19F7">
        <w:t xml:space="preserve"> under revisjon. Det skal </w:t>
      </w:r>
      <w:proofErr w:type="spellStart"/>
      <w:r w:rsidRPr="00CC19F7">
        <w:t>leggast</w:t>
      </w:r>
      <w:proofErr w:type="spellEnd"/>
      <w:r w:rsidRPr="00CC19F7">
        <w:t xml:space="preserve"> om i retning av </w:t>
      </w:r>
      <w:proofErr w:type="spellStart"/>
      <w:r w:rsidRPr="00CC19F7">
        <w:t>studiar</w:t>
      </w:r>
      <w:proofErr w:type="spellEnd"/>
      <w:r w:rsidRPr="00CC19F7">
        <w:t xml:space="preserve"> av korleis </w:t>
      </w:r>
      <w:proofErr w:type="spellStart"/>
      <w:r w:rsidRPr="00CC19F7">
        <w:t>ein</w:t>
      </w:r>
      <w:proofErr w:type="spellEnd"/>
      <w:r w:rsidRPr="00CC19F7">
        <w:t xml:space="preserve"> kan ta var på </w:t>
      </w:r>
      <w:proofErr w:type="spellStart"/>
      <w:r w:rsidRPr="00CC19F7">
        <w:t>energiforsyningssikkerheit</w:t>
      </w:r>
      <w:proofErr w:type="spellEnd"/>
      <w:r w:rsidRPr="00CC19F7">
        <w:t xml:space="preserve"> i overgangen til </w:t>
      </w:r>
      <w:proofErr w:type="spellStart"/>
      <w:r w:rsidRPr="00CC19F7">
        <w:t>lågutslepps</w:t>
      </w:r>
      <w:proofErr w:type="spellEnd"/>
      <w:r w:rsidRPr="00CC19F7">
        <w:t xml:space="preserve"> energiforsyning. Bruk av olje og gass med låge utslepp og </w:t>
      </w:r>
      <w:proofErr w:type="spellStart"/>
      <w:r w:rsidRPr="00CC19F7">
        <w:t>tilhøyrande</w:t>
      </w:r>
      <w:proofErr w:type="spellEnd"/>
      <w:r w:rsidRPr="00CC19F7">
        <w:t xml:space="preserve"> forskings- og teknologibehov vil stå sentralt i arbeidet. EU-kommisjonen og </w:t>
      </w:r>
      <w:proofErr w:type="spellStart"/>
      <w:r w:rsidRPr="00CC19F7">
        <w:t>Noreg</w:t>
      </w:r>
      <w:proofErr w:type="spellEnd"/>
      <w:r w:rsidRPr="00CC19F7">
        <w:t xml:space="preserve"> arbeider med denne revisjonen. Deltakinga i GOTCP </w:t>
      </w:r>
      <w:proofErr w:type="spellStart"/>
      <w:r w:rsidRPr="00CC19F7">
        <w:t>omfattar</w:t>
      </w:r>
      <w:proofErr w:type="spellEnd"/>
      <w:r w:rsidRPr="00CC19F7">
        <w:t xml:space="preserve"> </w:t>
      </w:r>
      <w:proofErr w:type="spellStart"/>
      <w:r w:rsidRPr="00CC19F7">
        <w:t>myndigheiter</w:t>
      </w:r>
      <w:proofErr w:type="spellEnd"/>
      <w:r w:rsidRPr="00CC19F7">
        <w:t xml:space="preserve">, industri og forskingsmiljø. Gjennom GOTCP får departementet tilgang på internasjonal ekspertise og kvalitetssikra informasjon som inngår i kunnskapsgrunnlaget for forskings- og utviklingspolitikken til departementet. </w:t>
      </w:r>
      <w:proofErr w:type="spellStart"/>
      <w:r w:rsidRPr="00CC19F7">
        <w:t>Noregs</w:t>
      </w:r>
      <w:proofErr w:type="spellEnd"/>
      <w:r w:rsidRPr="00CC19F7">
        <w:t xml:space="preserve"> økonomiske bidrag er berekna til 15 000 euro i 2024.</w:t>
      </w:r>
    </w:p>
    <w:p w14:paraId="64C9D60C" w14:textId="77777777" w:rsidR="00FE02EF" w:rsidRPr="00CC19F7" w:rsidRDefault="00881E58" w:rsidP="00CC19F7">
      <w:pPr>
        <w:pStyle w:val="avsnitt-tittel"/>
      </w:pPr>
      <w:r w:rsidRPr="00CC19F7">
        <w:t xml:space="preserve">International Centre for </w:t>
      </w:r>
      <w:proofErr w:type="spellStart"/>
      <w:r w:rsidRPr="00CC19F7">
        <w:t>Hydropower</w:t>
      </w:r>
      <w:proofErr w:type="spellEnd"/>
    </w:p>
    <w:p w14:paraId="2E257FC6" w14:textId="77777777" w:rsidR="00FE02EF" w:rsidRPr="00CC19F7" w:rsidRDefault="00881E58" w:rsidP="00CC19F7">
      <w:r w:rsidRPr="00CC19F7">
        <w:t xml:space="preserve">International Centre for </w:t>
      </w:r>
      <w:proofErr w:type="spellStart"/>
      <w:r w:rsidRPr="00CC19F7">
        <w:t>Hydropower</w:t>
      </w:r>
      <w:proofErr w:type="spellEnd"/>
      <w:r w:rsidRPr="00CC19F7">
        <w:t xml:space="preserve"> (ICH) har ei </w:t>
      </w:r>
      <w:proofErr w:type="spellStart"/>
      <w:r w:rsidRPr="00CC19F7">
        <w:t>omfattande</w:t>
      </w:r>
      <w:proofErr w:type="spellEnd"/>
      <w:r w:rsidRPr="00CC19F7">
        <w:t xml:space="preserve"> </w:t>
      </w:r>
      <w:proofErr w:type="spellStart"/>
      <w:r w:rsidRPr="00CC19F7">
        <w:t>kursverksemd</w:t>
      </w:r>
      <w:proofErr w:type="spellEnd"/>
      <w:r w:rsidRPr="00CC19F7">
        <w:t xml:space="preserve"> globalt der </w:t>
      </w:r>
      <w:proofErr w:type="spellStart"/>
      <w:r w:rsidRPr="00CC19F7">
        <w:t>ein</w:t>
      </w:r>
      <w:proofErr w:type="spellEnd"/>
      <w:r w:rsidRPr="00CC19F7">
        <w:t xml:space="preserve"> deler norsk kompetanse og erfaring </w:t>
      </w:r>
      <w:proofErr w:type="spellStart"/>
      <w:r w:rsidRPr="00CC19F7">
        <w:t>frå</w:t>
      </w:r>
      <w:proofErr w:type="spellEnd"/>
      <w:r w:rsidRPr="00CC19F7">
        <w:t xml:space="preserve"> vasskraftutvikling, </w:t>
      </w:r>
      <w:proofErr w:type="spellStart"/>
      <w:r w:rsidRPr="00CC19F7">
        <w:t>noko</w:t>
      </w:r>
      <w:proofErr w:type="spellEnd"/>
      <w:r w:rsidRPr="00CC19F7">
        <w:t xml:space="preserve"> som er </w:t>
      </w:r>
      <w:proofErr w:type="spellStart"/>
      <w:r w:rsidRPr="00CC19F7">
        <w:t>eit</w:t>
      </w:r>
      <w:proofErr w:type="spellEnd"/>
      <w:r w:rsidRPr="00CC19F7">
        <w:t xml:space="preserve"> viktig bidrag for å fremme </w:t>
      </w:r>
      <w:proofErr w:type="spellStart"/>
      <w:r w:rsidRPr="00CC19F7">
        <w:t>berekraftige</w:t>
      </w:r>
      <w:proofErr w:type="spellEnd"/>
      <w:r w:rsidRPr="00CC19F7">
        <w:t xml:space="preserve"> </w:t>
      </w:r>
      <w:proofErr w:type="spellStart"/>
      <w:r w:rsidRPr="00CC19F7">
        <w:t>vasskraftløysingar</w:t>
      </w:r>
      <w:proofErr w:type="spellEnd"/>
      <w:r w:rsidRPr="00CC19F7">
        <w:t xml:space="preserve"> internasjonalt og for å profilere norsk vasskraftkompetanse i den globale </w:t>
      </w:r>
      <w:proofErr w:type="spellStart"/>
      <w:r w:rsidRPr="00CC19F7">
        <w:t>marknaden</w:t>
      </w:r>
      <w:proofErr w:type="spellEnd"/>
      <w:r w:rsidRPr="00CC19F7">
        <w:t xml:space="preserve">. </w:t>
      </w:r>
      <w:proofErr w:type="spellStart"/>
      <w:r w:rsidRPr="00CC19F7">
        <w:t>Noregs</w:t>
      </w:r>
      <w:proofErr w:type="spellEnd"/>
      <w:r w:rsidRPr="00CC19F7">
        <w:t xml:space="preserve"> økonomiske bidrag er berekna til 35 000 kroner i 2024.</w:t>
      </w:r>
    </w:p>
    <w:p w14:paraId="6FA39A9B" w14:textId="77777777" w:rsidR="00FE02EF" w:rsidRPr="00CC19F7" w:rsidRDefault="00881E58" w:rsidP="00CC19F7">
      <w:pPr>
        <w:pStyle w:val="avsnitt-tittel"/>
      </w:pPr>
      <w:proofErr w:type="spellStart"/>
      <w:r w:rsidRPr="00CC19F7">
        <w:t>Clean</w:t>
      </w:r>
      <w:proofErr w:type="spellEnd"/>
      <w:r w:rsidRPr="00CC19F7">
        <w:t xml:space="preserve"> Energy </w:t>
      </w:r>
      <w:proofErr w:type="spellStart"/>
      <w:r w:rsidRPr="00CC19F7">
        <w:t>Ministerial</w:t>
      </w:r>
      <w:proofErr w:type="spellEnd"/>
    </w:p>
    <w:p w14:paraId="726F17AE" w14:textId="77777777" w:rsidR="00FE02EF" w:rsidRPr="00CC19F7" w:rsidRDefault="00881E58" w:rsidP="00CC19F7">
      <w:r w:rsidRPr="00CC19F7">
        <w:t xml:space="preserve">Hydrogeninitiativet under </w:t>
      </w:r>
      <w:proofErr w:type="spellStart"/>
      <w:r w:rsidRPr="00CC19F7">
        <w:t>Clean</w:t>
      </w:r>
      <w:proofErr w:type="spellEnd"/>
      <w:r w:rsidRPr="00CC19F7">
        <w:t xml:space="preserve"> Energy </w:t>
      </w:r>
      <w:proofErr w:type="spellStart"/>
      <w:r w:rsidRPr="00CC19F7">
        <w:t>Ministerial</w:t>
      </w:r>
      <w:proofErr w:type="spellEnd"/>
      <w:r w:rsidRPr="00CC19F7">
        <w:t xml:space="preserve"> (CEM H2I) er </w:t>
      </w:r>
      <w:proofErr w:type="spellStart"/>
      <w:r w:rsidRPr="00CC19F7">
        <w:t>ein</w:t>
      </w:r>
      <w:proofErr w:type="spellEnd"/>
      <w:r w:rsidRPr="00CC19F7">
        <w:t xml:space="preserve"> viktig arena for hydrogensamarbeid globalt, mellom anna kunnskapsbygging, kompetanseoverføring og samarbeid om utvikling av rammer for hydrogenproduksjon, distribusjon og bruk. </w:t>
      </w:r>
      <w:proofErr w:type="spellStart"/>
      <w:r w:rsidRPr="00CC19F7">
        <w:t>Hovudformålet</w:t>
      </w:r>
      <w:proofErr w:type="spellEnd"/>
      <w:r w:rsidRPr="00CC19F7">
        <w:t xml:space="preserve"> med initiativet er å akselerere hydrogenetterspørsel og -bruk </w:t>
      </w:r>
      <w:proofErr w:type="spellStart"/>
      <w:r w:rsidRPr="00CC19F7">
        <w:t>innan</w:t>
      </w:r>
      <w:proofErr w:type="spellEnd"/>
      <w:r w:rsidRPr="00CC19F7">
        <w:t xml:space="preserve"> energisektoren. Det internasjonale energibyrået (IEA) har sekretariatsfunksjonen, i samsvar med rammeverket for initiativ under CEM. Dei største </w:t>
      </w:r>
      <w:proofErr w:type="spellStart"/>
      <w:r w:rsidRPr="00CC19F7">
        <w:t>energinasjonane</w:t>
      </w:r>
      <w:proofErr w:type="spellEnd"/>
      <w:r w:rsidRPr="00CC19F7">
        <w:t xml:space="preserve"> i verda deltar i hydrogeninitiativet, mellom andre Australia, Brasil, Canada, India, Italia, Japan, Kina, Nederland, New Zealand, </w:t>
      </w:r>
      <w:proofErr w:type="spellStart"/>
      <w:r w:rsidRPr="00CC19F7">
        <w:t>Noreg</w:t>
      </w:r>
      <w:proofErr w:type="spellEnd"/>
      <w:r w:rsidRPr="00CC19F7">
        <w:t xml:space="preserve">, Portugal, Storbritannia, Sør-Afrika, Sør-Korea, Tyskland, USA og Austerrike. I tillegg deltar Europakommisjonen. Arbeidet blir finansiert gjennom bidrag </w:t>
      </w:r>
      <w:proofErr w:type="spellStart"/>
      <w:r w:rsidRPr="00CC19F7">
        <w:t>frå</w:t>
      </w:r>
      <w:proofErr w:type="spellEnd"/>
      <w:r w:rsidRPr="00CC19F7">
        <w:t xml:space="preserve"> medlemslanda. </w:t>
      </w:r>
      <w:proofErr w:type="spellStart"/>
      <w:r w:rsidRPr="00CC19F7">
        <w:t>Noregs</w:t>
      </w:r>
      <w:proofErr w:type="spellEnd"/>
      <w:r w:rsidRPr="00CC19F7">
        <w:t xml:space="preserve"> økonomiske bidrag er berekna til 20 000 euro i 2024.</w:t>
      </w:r>
    </w:p>
    <w:p w14:paraId="2AEC534A" w14:textId="77777777" w:rsidR="00FE02EF" w:rsidRPr="00CC19F7" w:rsidRDefault="00881E58" w:rsidP="00CC19F7">
      <w:pPr>
        <w:pStyle w:val="avsnitt-tittel"/>
      </w:pPr>
      <w:r w:rsidRPr="00CC19F7">
        <w:t xml:space="preserve">International </w:t>
      </w:r>
      <w:proofErr w:type="spellStart"/>
      <w:r w:rsidRPr="00CC19F7">
        <w:t>Partnership</w:t>
      </w:r>
      <w:proofErr w:type="spellEnd"/>
      <w:r w:rsidRPr="00CC19F7">
        <w:t xml:space="preserve"> for Hydrogen and </w:t>
      </w:r>
      <w:proofErr w:type="spellStart"/>
      <w:r w:rsidRPr="00CC19F7">
        <w:t>Fuel</w:t>
      </w:r>
      <w:proofErr w:type="spellEnd"/>
      <w:r w:rsidRPr="00CC19F7">
        <w:t xml:space="preserve"> Cells in </w:t>
      </w:r>
      <w:proofErr w:type="spellStart"/>
      <w:r w:rsidRPr="00CC19F7">
        <w:t>the</w:t>
      </w:r>
      <w:proofErr w:type="spellEnd"/>
      <w:r w:rsidRPr="00CC19F7">
        <w:t xml:space="preserve"> </w:t>
      </w:r>
      <w:proofErr w:type="spellStart"/>
      <w:r w:rsidRPr="00CC19F7">
        <w:t>Economy</w:t>
      </w:r>
      <w:proofErr w:type="spellEnd"/>
    </w:p>
    <w:p w14:paraId="47441912" w14:textId="77777777" w:rsidR="00FE02EF" w:rsidRPr="00CC19F7" w:rsidRDefault="00881E58" w:rsidP="00CC19F7">
      <w:r w:rsidRPr="00CC19F7">
        <w:t xml:space="preserve">International </w:t>
      </w:r>
      <w:proofErr w:type="spellStart"/>
      <w:r w:rsidRPr="00CC19F7">
        <w:t>Partnership</w:t>
      </w:r>
      <w:proofErr w:type="spellEnd"/>
      <w:r w:rsidRPr="00CC19F7">
        <w:t xml:space="preserve"> for Hydrogen and </w:t>
      </w:r>
      <w:proofErr w:type="spellStart"/>
      <w:r w:rsidRPr="00CC19F7">
        <w:t>Fuel</w:t>
      </w:r>
      <w:proofErr w:type="spellEnd"/>
      <w:r w:rsidRPr="00CC19F7">
        <w:t xml:space="preserve"> Cells in </w:t>
      </w:r>
      <w:proofErr w:type="spellStart"/>
      <w:r w:rsidRPr="00CC19F7">
        <w:t>the</w:t>
      </w:r>
      <w:proofErr w:type="spellEnd"/>
      <w:r w:rsidRPr="00CC19F7">
        <w:t xml:space="preserve"> </w:t>
      </w:r>
      <w:proofErr w:type="spellStart"/>
      <w:r w:rsidRPr="00CC19F7">
        <w:t>Economy</w:t>
      </w:r>
      <w:proofErr w:type="spellEnd"/>
      <w:r w:rsidRPr="00CC19F7">
        <w:t xml:space="preserve"> (IPHE) skal fremme internasjonalt samarbeid om hydrogen og brenselceller. Målet er at ei rekke IPHE-land skal bli </w:t>
      </w:r>
      <w:proofErr w:type="spellStart"/>
      <w:r w:rsidRPr="00CC19F7">
        <w:t>einige</w:t>
      </w:r>
      <w:proofErr w:type="spellEnd"/>
      <w:r w:rsidRPr="00CC19F7">
        <w:t xml:space="preserve"> om </w:t>
      </w:r>
      <w:proofErr w:type="spellStart"/>
      <w:r w:rsidRPr="00CC19F7">
        <w:t>ein</w:t>
      </w:r>
      <w:proofErr w:type="spellEnd"/>
      <w:r w:rsidRPr="00CC19F7">
        <w:t xml:space="preserve"> metodikk for å finne CO</w:t>
      </w:r>
      <w:r w:rsidRPr="00CC19F7">
        <w:rPr>
          <w:rStyle w:val="skrift-senket"/>
        </w:rPr>
        <w:t>2</w:t>
      </w:r>
      <w:r w:rsidRPr="00CC19F7">
        <w:t>-fotavtrykket for hydrogen produsert ved mellom anna elektrolyse og dampreformering med CO</w:t>
      </w:r>
      <w:r w:rsidRPr="00CC19F7">
        <w:rPr>
          <w:rStyle w:val="skrift-senket"/>
        </w:rPr>
        <w:t>2</w:t>
      </w:r>
      <w:r w:rsidRPr="00CC19F7">
        <w:t xml:space="preserve">-handtering. Per i dag består samarbeidet av Europakommisjonen og 22 </w:t>
      </w:r>
      <w:proofErr w:type="spellStart"/>
      <w:r w:rsidRPr="00CC19F7">
        <w:t>deltakarland</w:t>
      </w:r>
      <w:proofErr w:type="spellEnd"/>
      <w:r w:rsidRPr="00CC19F7">
        <w:t xml:space="preserve">, mellom andre Australia, Brasil, Canada, Chile, Frankrike, India, Japan, Kina, Nederland, </w:t>
      </w:r>
      <w:proofErr w:type="spellStart"/>
      <w:r w:rsidRPr="00CC19F7">
        <w:t>Noreg</w:t>
      </w:r>
      <w:proofErr w:type="spellEnd"/>
      <w:r w:rsidRPr="00CC19F7">
        <w:t xml:space="preserve">, Storbritannia, Sveits, Sør-Afrika, Sør-Korea, Tyskland og USA. Arbeidet blir finansiert gjennom bidrag </w:t>
      </w:r>
      <w:proofErr w:type="spellStart"/>
      <w:r w:rsidRPr="00CC19F7">
        <w:t>frå</w:t>
      </w:r>
      <w:proofErr w:type="spellEnd"/>
      <w:r w:rsidRPr="00CC19F7">
        <w:t xml:space="preserve"> </w:t>
      </w:r>
      <w:proofErr w:type="spellStart"/>
      <w:r w:rsidRPr="00CC19F7">
        <w:t>deltakarlanda</w:t>
      </w:r>
      <w:proofErr w:type="spellEnd"/>
      <w:r w:rsidRPr="00CC19F7">
        <w:t xml:space="preserve">. </w:t>
      </w:r>
      <w:proofErr w:type="spellStart"/>
      <w:r w:rsidRPr="00CC19F7">
        <w:t>Noregs</w:t>
      </w:r>
      <w:proofErr w:type="spellEnd"/>
      <w:r w:rsidRPr="00CC19F7">
        <w:t xml:space="preserve"> økonomiske </w:t>
      </w:r>
      <w:proofErr w:type="spellStart"/>
      <w:r w:rsidRPr="00CC19F7">
        <w:t>bidrager</w:t>
      </w:r>
      <w:proofErr w:type="spellEnd"/>
      <w:r w:rsidRPr="00CC19F7">
        <w:t xml:space="preserve"> berekna til 10 000 euro.</w:t>
      </w:r>
    </w:p>
    <w:p w14:paraId="1A82A38E" w14:textId="77777777" w:rsidR="00FE02EF" w:rsidRPr="00CC19F7" w:rsidRDefault="00881E58" w:rsidP="00CC19F7">
      <w:pPr>
        <w:pStyle w:val="b-post"/>
      </w:pPr>
      <w:r w:rsidRPr="00CC19F7">
        <w:t>Post 71 Norsk Oljemuseum</w:t>
      </w:r>
    </w:p>
    <w:p w14:paraId="20C93429" w14:textId="77777777" w:rsidR="00FE02EF" w:rsidRPr="00CC19F7" w:rsidRDefault="00881E58" w:rsidP="00CC19F7">
      <w:r w:rsidRPr="00CC19F7">
        <w:t xml:space="preserve">Stiftinga Norsk Oljemuseum er </w:t>
      </w:r>
      <w:proofErr w:type="spellStart"/>
      <w:r w:rsidRPr="00CC19F7">
        <w:t>eit</w:t>
      </w:r>
      <w:proofErr w:type="spellEnd"/>
      <w:r w:rsidRPr="00CC19F7">
        <w:t xml:space="preserve"> nasjonalt senter for formidling av informasjon og kunnskap om utviklinga og betydninga av </w:t>
      </w:r>
      <w:proofErr w:type="spellStart"/>
      <w:r w:rsidRPr="00CC19F7">
        <w:t>petroleumsverksemda</w:t>
      </w:r>
      <w:proofErr w:type="spellEnd"/>
      <w:r w:rsidRPr="00CC19F7">
        <w:t xml:space="preserve"> for det norske samfunnet. </w:t>
      </w:r>
      <w:proofErr w:type="spellStart"/>
      <w:r w:rsidRPr="00CC19F7">
        <w:t>Hovudoppgåva</w:t>
      </w:r>
      <w:proofErr w:type="spellEnd"/>
      <w:r w:rsidRPr="00CC19F7">
        <w:t xml:space="preserve"> til museet er å dokumentere og formidle den norske oljehistoria gjennom å samle inn, omarbeide og lagre relevant historisk kjeldemateriale og </w:t>
      </w:r>
      <w:proofErr w:type="spellStart"/>
      <w:r w:rsidRPr="00CC19F7">
        <w:t>gjere</w:t>
      </w:r>
      <w:proofErr w:type="spellEnd"/>
      <w:r w:rsidRPr="00CC19F7">
        <w:t xml:space="preserve"> denne informasjonen </w:t>
      </w:r>
      <w:proofErr w:type="spellStart"/>
      <w:r w:rsidRPr="00CC19F7">
        <w:t>tilgjengeleg</w:t>
      </w:r>
      <w:proofErr w:type="spellEnd"/>
      <w:r w:rsidRPr="00CC19F7">
        <w:t xml:space="preserve"> gjennom </w:t>
      </w:r>
      <w:proofErr w:type="spellStart"/>
      <w:r w:rsidRPr="00CC19F7">
        <w:t>utstillingar</w:t>
      </w:r>
      <w:proofErr w:type="spellEnd"/>
      <w:r w:rsidRPr="00CC19F7">
        <w:t xml:space="preserve"> og anna publisering. Drifta av museet blir finansiert gjennom </w:t>
      </w:r>
      <w:proofErr w:type="spellStart"/>
      <w:r w:rsidRPr="00CC19F7">
        <w:t>offentlege</w:t>
      </w:r>
      <w:proofErr w:type="spellEnd"/>
      <w:r w:rsidRPr="00CC19F7">
        <w:t xml:space="preserve"> </w:t>
      </w:r>
      <w:proofErr w:type="spellStart"/>
      <w:r w:rsidRPr="00CC19F7">
        <w:t>driftstilskot</w:t>
      </w:r>
      <w:proofErr w:type="spellEnd"/>
      <w:r w:rsidRPr="00CC19F7">
        <w:t xml:space="preserve"> </w:t>
      </w:r>
      <w:proofErr w:type="spellStart"/>
      <w:r w:rsidRPr="00CC19F7">
        <w:t>frå</w:t>
      </w:r>
      <w:proofErr w:type="spellEnd"/>
      <w:r w:rsidRPr="00CC19F7">
        <w:t xml:space="preserve"> stat, fylkeskommune og kommune, avkastning </w:t>
      </w:r>
      <w:proofErr w:type="spellStart"/>
      <w:r w:rsidRPr="00CC19F7">
        <w:t>frå</w:t>
      </w:r>
      <w:proofErr w:type="spellEnd"/>
      <w:r w:rsidRPr="00CC19F7">
        <w:t xml:space="preserve"> </w:t>
      </w:r>
      <w:proofErr w:type="spellStart"/>
      <w:r w:rsidRPr="00CC19F7">
        <w:t>fondsmidlar</w:t>
      </w:r>
      <w:proofErr w:type="spellEnd"/>
      <w:r w:rsidRPr="00CC19F7">
        <w:t xml:space="preserve">, bidrag </w:t>
      </w:r>
      <w:proofErr w:type="spellStart"/>
      <w:r w:rsidRPr="00CC19F7">
        <w:t>frå</w:t>
      </w:r>
      <w:proofErr w:type="spellEnd"/>
      <w:r w:rsidRPr="00CC19F7">
        <w:t xml:space="preserve"> oljeindustrien og eigne inntekter.</w:t>
      </w:r>
    </w:p>
    <w:p w14:paraId="61E2DDDD" w14:textId="77777777" w:rsidR="00FE02EF" w:rsidRPr="00CC19F7" w:rsidRDefault="00881E58" w:rsidP="00CC19F7">
      <w:r w:rsidRPr="00CC19F7">
        <w:t xml:space="preserve">Det blir foreslått </w:t>
      </w:r>
      <w:proofErr w:type="spellStart"/>
      <w:r w:rsidRPr="00CC19F7">
        <w:t>eit</w:t>
      </w:r>
      <w:proofErr w:type="spellEnd"/>
      <w:r w:rsidRPr="00CC19F7">
        <w:t xml:space="preserve"> </w:t>
      </w:r>
      <w:proofErr w:type="spellStart"/>
      <w:r w:rsidRPr="00CC19F7">
        <w:t>tilskot</w:t>
      </w:r>
      <w:proofErr w:type="spellEnd"/>
      <w:r w:rsidRPr="00CC19F7">
        <w:t xml:space="preserve"> på 16,2 mill. kroner til Norsk Oljemuseum.</w:t>
      </w:r>
    </w:p>
    <w:p w14:paraId="57664060" w14:textId="77777777" w:rsidR="00FE02EF" w:rsidRPr="00CC19F7" w:rsidRDefault="00881E58" w:rsidP="00CC19F7">
      <w:pPr>
        <w:pStyle w:val="avsnitt-tittel"/>
      </w:pPr>
      <w:r w:rsidRPr="00CC19F7">
        <w:t>Resultat 2022</w:t>
      </w:r>
    </w:p>
    <w:p w14:paraId="08C07B98" w14:textId="77777777" w:rsidR="00FE02EF" w:rsidRPr="00CC19F7" w:rsidRDefault="00881E58" w:rsidP="00CC19F7">
      <w:r w:rsidRPr="00CC19F7">
        <w:t xml:space="preserve">Norsk Oljemuseum hadde inntekter på 44,9 mill. kroner i 2022, der 17 mill. kroner kom </w:t>
      </w:r>
      <w:proofErr w:type="spellStart"/>
      <w:r w:rsidRPr="00CC19F7">
        <w:t>frå</w:t>
      </w:r>
      <w:proofErr w:type="spellEnd"/>
      <w:r w:rsidRPr="00CC19F7">
        <w:t xml:space="preserve"> Olje- og energidepartementet.</w:t>
      </w:r>
    </w:p>
    <w:p w14:paraId="5B522C17" w14:textId="77777777" w:rsidR="00FE02EF" w:rsidRPr="00CC19F7" w:rsidRDefault="00881E58" w:rsidP="00CC19F7">
      <w:r w:rsidRPr="00CC19F7">
        <w:t xml:space="preserve">Etter to år der </w:t>
      </w:r>
      <w:proofErr w:type="spellStart"/>
      <w:r w:rsidRPr="00CC19F7">
        <w:t>besøkstalet</w:t>
      </w:r>
      <w:proofErr w:type="spellEnd"/>
      <w:r w:rsidRPr="00CC19F7">
        <w:t xml:space="preserve"> og billettinntektene var prega av pandemi, besøkte 214 664 gjester Oljemuseet i 2022. Dette er ny rekord og </w:t>
      </w:r>
      <w:proofErr w:type="spellStart"/>
      <w:r w:rsidRPr="00CC19F7">
        <w:t>ein</w:t>
      </w:r>
      <w:proofErr w:type="spellEnd"/>
      <w:r w:rsidRPr="00CC19F7">
        <w:t xml:space="preserve"> </w:t>
      </w:r>
      <w:proofErr w:type="spellStart"/>
      <w:r w:rsidRPr="00CC19F7">
        <w:t>auke</w:t>
      </w:r>
      <w:proofErr w:type="spellEnd"/>
      <w:r w:rsidRPr="00CC19F7">
        <w:t xml:space="preserve"> på 45 prosent </w:t>
      </w:r>
      <w:proofErr w:type="spellStart"/>
      <w:r w:rsidRPr="00CC19F7">
        <w:t>frå</w:t>
      </w:r>
      <w:proofErr w:type="spellEnd"/>
      <w:r w:rsidRPr="00CC19F7">
        <w:t xml:space="preserve"> den </w:t>
      </w:r>
      <w:proofErr w:type="spellStart"/>
      <w:r w:rsidRPr="00CC19F7">
        <w:t>tidlegare</w:t>
      </w:r>
      <w:proofErr w:type="spellEnd"/>
      <w:r w:rsidRPr="00CC19F7">
        <w:t xml:space="preserve"> besøksrekorden på 147 690 </w:t>
      </w:r>
      <w:proofErr w:type="spellStart"/>
      <w:r w:rsidRPr="00CC19F7">
        <w:t>frå</w:t>
      </w:r>
      <w:proofErr w:type="spellEnd"/>
      <w:r w:rsidRPr="00CC19F7">
        <w:t xml:space="preserve"> 2019. Den nye besøksrekorden kom i stor grad av den populære dinosaurutstillinga «Oljens øyenvitner». Det høge </w:t>
      </w:r>
      <w:proofErr w:type="spellStart"/>
      <w:r w:rsidRPr="00CC19F7">
        <w:t>besøkstalet</w:t>
      </w:r>
      <w:proofErr w:type="spellEnd"/>
      <w:r w:rsidRPr="00CC19F7">
        <w:t xml:space="preserve"> gav billettinntekter på heile 13,7 mill. kroner i 2022, </w:t>
      </w:r>
      <w:proofErr w:type="spellStart"/>
      <w:r w:rsidRPr="00CC19F7">
        <w:t>noko</w:t>
      </w:r>
      <w:proofErr w:type="spellEnd"/>
      <w:r w:rsidRPr="00CC19F7">
        <w:t xml:space="preserve"> som var 6 mill. kroner </w:t>
      </w:r>
      <w:proofErr w:type="spellStart"/>
      <w:r w:rsidRPr="00CC19F7">
        <w:t>meir</w:t>
      </w:r>
      <w:proofErr w:type="spellEnd"/>
      <w:r w:rsidRPr="00CC19F7">
        <w:t xml:space="preserve"> enn det som var budsjettert. Museet hadde trass i god </w:t>
      </w:r>
      <w:proofErr w:type="spellStart"/>
      <w:r w:rsidRPr="00CC19F7">
        <w:t>inntening</w:t>
      </w:r>
      <w:proofErr w:type="spellEnd"/>
      <w:r w:rsidRPr="00CC19F7">
        <w:t xml:space="preserve">, </w:t>
      </w:r>
      <w:proofErr w:type="spellStart"/>
      <w:r w:rsidRPr="00CC19F7">
        <w:t>eit</w:t>
      </w:r>
      <w:proofErr w:type="spellEnd"/>
      <w:r w:rsidRPr="00CC19F7">
        <w:t xml:space="preserve"> negativt driftsresultat på om lag 2,2 mill. kroner. Netto avkastning på </w:t>
      </w:r>
      <w:proofErr w:type="spellStart"/>
      <w:r w:rsidRPr="00CC19F7">
        <w:t>finansplasseringane</w:t>
      </w:r>
      <w:proofErr w:type="spellEnd"/>
      <w:r w:rsidRPr="00CC19F7">
        <w:t xml:space="preserve"> til museet på om lag 2,4 mill. kroner gjorde at årsresultatet blei positivt og enda på i underkant av 0,2 mill. kroner. Årsresultatet blei avsett til </w:t>
      </w:r>
      <w:proofErr w:type="spellStart"/>
      <w:r w:rsidRPr="00CC19F7">
        <w:t>annan</w:t>
      </w:r>
      <w:proofErr w:type="spellEnd"/>
      <w:r w:rsidRPr="00CC19F7">
        <w:t xml:space="preserve"> eigenkapital. Annan eigenkapital var på om lag 58 mill. kroner per 31. desember 2022. Annan eigenkapital </w:t>
      </w:r>
      <w:proofErr w:type="spellStart"/>
      <w:r w:rsidRPr="00CC19F7">
        <w:t>utgjer</w:t>
      </w:r>
      <w:proofErr w:type="spellEnd"/>
      <w:r w:rsidRPr="00CC19F7">
        <w:t xml:space="preserve"> </w:t>
      </w:r>
      <w:proofErr w:type="spellStart"/>
      <w:r w:rsidRPr="00CC19F7">
        <w:t>tidlegare</w:t>
      </w:r>
      <w:proofErr w:type="spellEnd"/>
      <w:r w:rsidRPr="00CC19F7">
        <w:t xml:space="preserve"> «sponsorfond» som </w:t>
      </w:r>
      <w:proofErr w:type="spellStart"/>
      <w:r w:rsidRPr="00CC19F7">
        <w:t>omfattar</w:t>
      </w:r>
      <w:proofErr w:type="spellEnd"/>
      <w:r w:rsidRPr="00CC19F7">
        <w:t xml:space="preserve"> finansielle bidrag </w:t>
      </w:r>
      <w:proofErr w:type="spellStart"/>
      <w:r w:rsidRPr="00CC19F7">
        <w:t>frå</w:t>
      </w:r>
      <w:proofErr w:type="spellEnd"/>
      <w:r w:rsidRPr="00CC19F7">
        <w:t xml:space="preserve"> privat næringsliv, som </w:t>
      </w:r>
      <w:proofErr w:type="spellStart"/>
      <w:r w:rsidRPr="00CC19F7">
        <w:t>frå</w:t>
      </w:r>
      <w:proofErr w:type="spellEnd"/>
      <w:r w:rsidRPr="00CC19F7">
        <w:t xml:space="preserve"> og med 2016 blei tatt inn som </w:t>
      </w:r>
      <w:proofErr w:type="spellStart"/>
      <w:r w:rsidRPr="00CC19F7">
        <w:t>ein</w:t>
      </w:r>
      <w:proofErr w:type="spellEnd"/>
      <w:r w:rsidRPr="00CC19F7">
        <w:t xml:space="preserve"> del av den ordinære </w:t>
      </w:r>
      <w:proofErr w:type="spellStart"/>
      <w:r w:rsidRPr="00CC19F7">
        <w:t>rekneskapen</w:t>
      </w:r>
      <w:proofErr w:type="spellEnd"/>
      <w:r w:rsidRPr="00CC19F7">
        <w:t xml:space="preserve"> og balansen til museet. Det </w:t>
      </w:r>
      <w:proofErr w:type="spellStart"/>
      <w:r w:rsidRPr="00CC19F7">
        <w:t>inneber</w:t>
      </w:r>
      <w:proofErr w:type="spellEnd"/>
      <w:r w:rsidRPr="00CC19F7">
        <w:t xml:space="preserve"> at avkastninga </w:t>
      </w:r>
      <w:proofErr w:type="spellStart"/>
      <w:r w:rsidRPr="00CC19F7">
        <w:t>frå</w:t>
      </w:r>
      <w:proofErr w:type="spellEnd"/>
      <w:r w:rsidRPr="00CC19F7">
        <w:t xml:space="preserve"> denne fondskapitalen blir ført som finansinntekt i </w:t>
      </w:r>
      <w:proofErr w:type="spellStart"/>
      <w:r w:rsidRPr="00CC19F7">
        <w:t>rekneskapen</w:t>
      </w:r>
      <w:proofErr w:type="spellEnd"/>
      <w:r w:rsidRPr="00CC19F7">
        <w:t xml:space="preserve"> </w:t>
      </w:r>
      <w:proofErr w:type="spellStart"/>
      <w:r w:rsidRPr="00CC19F7">
        <w:t>deira</w:t>
      </w:r>
      <w:proofErr w:type="spellEnd"/>
      <w:r w:rsidRPr="00CC19F7">
        <w:t xml:space="preserve">. Disponering av denne inntekta skjer gjennom </w:t>
      </w:r>
      <w:proofErr w:type="spellStart"/>
      <w:r w:rsidRPr="00CC19F7">
        <w:t>eit</w:t>
      </w:r>
      <w:proofErr w:type="spellEnd"/>
      <w:r w:rsidRPr="00CC19F7">
        <w:t xml:space="preserve"> </w:t>
      </w:r>
      <w:proofErr w:type="spellStart"/>
      <w:r w:rsidRPr="00CC19F7">
        <w:t>årleg</w:t>
      </w:r>
      <w:proofErr w:type="spellEnd"/>
      <w:r w:rsidRPr="00CC19F7">
        <w:t xml:space="preserve"> uttak av eigenkapitalen, det vil </w:t>
      </w:r>
      <w:proofErr w:type="spellStart"/>
      <w:r w:rsidRPr="00CC19F7">
        <w:t>seie</w:t>
      </w:r>
      <w:proofErr w:type="spellEnd"/>
      <w:r w:rsidRPr="00CC19F7">
        <w:t xml:space="preserve"> dekning av det tapet som kjem fram i </w:t>
      </w:r>
      <w:proofErr w:type="spellStart"/>
      <w:r w:rsidRPr="00CC19F7">
        <w:t>rekneskapen</w:t>
      </w:r>
      <w:proofErr w:type="spellEnd"/>
      <w:r w:rsidRPr="00CC19F7">
        <w:t xml:space="preserve"> til museet – negativt årsresultat.</w:t>
      </w:r>
    </w:p>
    <w:p w14:paraId="7A725F32" w14:textId="77777777" w:rsidR="00FE02EF" w:rsidRPr="00CC19F7" w:rsidRDefault="00881E58" w:rsidP="00CC19F7">
      <w:proofErr w:type="spellStart"/>
      <w:r w:rsidRPr="00CC19F7">
        <w:t>Vidare</w:t>
      </w:r>
      <w:proofErr w:type="spellEnd"/>
      <w:r w:rsidRPr="00CC19F7">
        <w:t xml:space="preserve"> var 2022 prega av 50-årsmarkeringa av stortingsvedtaket </w:t>
      </w:r>
      <w:proofErr w:type="spellStart"/>
      <w:r w:rsidRPr="00CC19F7">
        <w:t>frå</w:t>
      </w:r>
      <w:proofErr w:type="spellEnd"/>
      <w:r w:rsidRPr="00CC19F7">
        <w:t xml:space="preserve"> 14. juni 1972 om å opprette Statoil og Oljedirektoratet. Som </w:t>
      </w:r>
      <w:proofErr w:type="spellStart"/>
      <w:r w:rsidRPr="00CC19F7">
        <w:t>ein</w:t>
      </w:r>
      <w:proofErr w:type="spellEnd"/>
      <w:r w:rsidRPr="00CC19F7">
        <w:t xml:space="preserve"> del av </w:t>
      </w:r>
      <w:proofErr w:type="spellStart"/>
      <w:r w:rsidRPr="00CC19F7">
        <w:t>Equinors</w:t>
      </w:r>
      <w:proofErr w:type="spellEnd"/>
      <w:r w:rsidRPr="00CC19F7">
        <w:t xml:space="preserve"> 50-årsmarkering blei det også arrangert ei lansering av historia til selskapet. På arrangementet blei to bind </w:t>
      </w:r>
      <w:proofErr w:type="spellStart"/>
      <w:r w:rsidRPr="00CC19F7">
        <w:t>frå</w:t>
      </w:r>
      <w:proofErr w:type="spellEnd"/>
      <w:r w:rsidRPr="00CC19F7">
        <w:t xml:space="preserve"> Universitet i Oslo presenterte og det nettbaserte historieprosjektet til museet </w:t>
      </w:r>
      <w:proofErr w:type="spellStart"/>
      <w:r w:rsidRPr="00CC19F7">
        <w:t>offentleggjort</w:t>
      </w:r>
      <w:proofErr w:type="spellEnd"/>
      <w:r w:rsidRPr="00CC19F7">
        <w:t xml:space="preserve">. </w:t>
      </w:r>
      <w:proofErr w:type="spellStart"/>
      <w:r w:rsidRPr="00CC19F7">
        <w:t>Vidare</w:t>
      </w:r>
      <w:proofErr w:type="spellEnd"/>
      <w:r w:rsidRPr="00CC19F7">
        <w:t xml:space="preserve"> kom </w:t>
      </w:r>
      <w:proofErr w:type="spellStart"/>
      <w:r w:rsidRPr="00CC19F7">
        <w:t>ein</w:t>
      </w:r>
      <w:proofErr w:type="spellEnd"/>
      <w:r w:rsidRPr="00CC19F7">
        <w:t xml:space="preserve"> </w:t>
      </w:r>
      <w:proofErr w:type="spellStart"/>
      <w:r w:rsidRPr="00CC19F7">
        <w:t>prosjektleiar</w:t>
      </w:r>
      <w:proofErr w:type="spellEnd"/>
      <w:r w:rsidRPr="00CC19F7">
        <w:t xml:space="preserve"> for dokumentasjonsprosjektet om Alexander L. Kielland-ulykka på plass i starten av 2022. Prosjektet skal </w:t>
      </w:r>
      <w:proofErr w:type="spellStart"/>
      <w:r w:rsidRPr="00CC19F7">
        <w:t>avsluttast</w:t>
      </w:r>
      <w:proofErr w:type="spellEnd"/>
      <w:r w:rsidRPr="00CC19F7">
        <w:t xml:space="preserve"> i 2024. Det går også føre seg andre historie- og industriminneprosjekt, formidling, arrangement, kunnskapsutvikling og anna samarbeid med undervisningssektoren ved museet.</w:t>
      </w:r>
    </w:p>
    <w:p w14:paraId="10BAF023" w14:textId="77777777" w:rsidR="00FE02EF" w:rsidRPr="00CC19F7" w:rsidRDefault="00881E58" w:rsidP="00CC19F7">
      <w:pPr>
        <w:pStyle w:val="b-post"/>
      </w:pPr>
      <w:r w:rsidRPr="00CC19F7">
        <w:t xml:space="preserve">Post 72 </w:t>
      </w:r>
      <w:proofErr w:type="spellStart"/>
      <w:r w:rsidRPr="00CC19F7">
        <w:t>Tilskot</w:t>
      </w:r>
      <w:proofErr w:type="spellEnd"/>
      <w:r w:rsidRPr="00CC19F7">
        <w:t xml:space="preserve"> til petroleums- og energiformål, kan </w:t>
      </w:r>
      <w:proofErr w:type="spellStart"/>
      <w:r w:rsidRPr="00CC19F7">
        <w:t>overførast</w:t>
      </w:r>
      <w:proofErr w:type="spellEnd"/>
      <w:r w:rsidRPr="00CC19F7">
        <w:t xml:space="preserve">, kan </w:t>
      </w:r>
      <w:proofErr w:type="spellStart"/>
      <w:r w:rsidRPr="00CC19F7">
        <w:t>nyttast</w:t>
      </w:r>
      <w:proofErr w:type="spellEnd"/>
      <w:r w:rsidRPr="00CC19F7">
        <w:t xml:space="preserve"> under post 21</w:t>
      </w:r>
    </w:p>
    <w:p w14:paraId="6E9B22A3" w14:textId="77777777" w:rsidR="00FE02EF" w:rsidRPr="00CC19F7" w:rsidRDefault="00881E58" w:rsidP="00CC19F7">
      <w:r w:rsidRPr="00CC19F7">
        <w:t xml:space="preserve">Det blir foreslått ei løyving på 14 mill. kroner og ei </w:t>
      </w:r>
      <w:proofErr w:type="spellStart"/>
      <w:r w:rsidRPr="00CC19F7">
        <w:t>tilsegnsfullmakt</w:t>
      </w:r>
      <w:proofErr w:type="spellEnd"/>
      <w:r w:rsidRPr="00CC19F7">
        <w:t xml:space="preserve"> på 10 mill. kroner, jf. forslag til vedtak IV.</w:t>
      </w:r>
    </w:p>
    <w:p w14:paraId="508CC2B2" w14:textId="77777777" w:rsidR="00FE02EF" w:rsidRPr="00CC19F7" w:rsidRDefault="00881E58" w:rsidP="00CC19F7">
      <w:pPr>
        <w:pStyle w:val="avsnitt-tittel"/>
      </w:pPr>
      <w:proofErr w:type="spellStart"/>
      <w:r w:rsidRPr="00CC19F7">
        <w:t>Tilskotsordning</w:t>
      </w:r>
      <w:proofErr w:type="spellEnd"/>
      <w:r w:rsidRPr="00CC19F7">
        <w:t xml:space="preserve"> for å styrke kompetansemiljø for havvind (Sørlandets Kompetansefond)</w:t>
      </w:r>
    </w:p>
    <w:p w14:paraId="43160DB1" w14:textId="77777777" w:rsidR="00FE02EF" w:rsidRPr="00CC19F7" w:rsidRDefault="00881E58" w:rsidP="00CC19F7">
      <w:r w:rsidRPr="00CC19F7">
        <w:t xml:space="preserve">Det blir foreslått å sette av 10 mill. kroner i </w:t>
      </w:r>
      <w:proofErr w:type="spellStart"/>
      <w:r w:rsidRPr="00CC19F7">
        <w:t>tilskot</w:t>
      </w:r>
      <w:proofErr w:type="spellEnd"/>
      <w:r w:rsidRPr="00CC19F7">
        <w:t xml:space="preserve"> for å styrke kompetansemiljø for havvind, </w:t>
      </w:r>
      <w:proofErr w:type="spellStart"/>
      <w:r w:rsidRPr="00CC19F7">
        <w:t>ein</w:t>
      </w:r>
      <w:proofErr w:type="spellEnd"/>
      <w:r w:rsidRPr="00CC19F7">
        <w:t xml:space="preserve"> </w:t>
      </w:r>
      <w:proofErr w:type="spellStart"/>
      <w:r w:rsidRPr="00CC19F7">
        <w:t>auke</w:t>
      </w:r>
      <w:proofErr w:type="spellEnd"/>
      <w:r w:rsidRPr="00CC19F7">
        <w:t xml:space="preserve"> på 5 mill. kroner </w:t>
      </w:r>
      <w:proofErr w:type="spellStart"/>
      <w:r w:rsidRPr="00CC19F7">
        <w:t>frå</w:t>
      </w:r>
      <w:proofErr w:type="spellEnd"/>
      <w:r w:rsidRPr="00CC19F7">
        <w:t xml:space="preserve"> saldert budsjett 2023. Sørlandets Kompetansefond, som er </w:t>
      </w:r>
      <w:proofErr w:type="spellStart"/>
      <w:r w:rsidRPr="00CC19F7">
        <w:t>ein</w:t>
      </w:r>
      <w:proofErr w:type="spellEnd"/>
      <w:r w:rsidRPr="00CC19F7">
        <w:t xml:space="preserve"> nøytral og kompetent aktør, </w:t>
      </w:r>
      <w:proofErr w:type="spellStart"/>
      <w:r w:rsidRPr="00CC19F7">
        <w:t>forvaltar</w:t>
      </w:r>
      <w:proofErr w:type="spellEnd"/>
      <w:r w:rsidRPr="00CC19F7">
        <w:t xml:space="preserve"> </w:t>
      </w:r>
      <w:proofErr w:type="spellStart"/>
      <w:r w:rsidRPr="00CC19F7">
        <w:t>tilskotsordninga</w:t>
      </w:r>
      <w:proofErr w:type="spellEnd"/>
      <w:r w:rsidRPr="00CC19F7">
        <w:t xml:space="preserve"> og </w:t>
      </w:r>
      <w:proofErr w:type="spellStart"/>
      <w:r w:rsidRPr="00CC19F7">
        <w:t>behandlar</w:t>
      </w:r>
      <w:proofErr w:type="spellEnd"/>
      <w:r w:rsidRPr="00CC19F7">
        <w:t xml:space="preserve"> søknader om </w:t>
      </w:r>
      <w:proofErr w:type="spellStart"/>
      <w:r w:rsidRPr="00CC19F7">
        <w:t>tilskot</w:t>
      </w:r>
      <w:proofErr w:type="spellEnd"/>
      <w:r w:rsidRPr="00CC19F7">
        <w:t xml:space="preserve"> </w:t>
      </w:r>
      <w:proofErr w:type="spellStart"/>
      <w:r w:rsidRPr="00CC19F7">
        <w:t>innanfor</w:t>
      </w:r>
      <w:proofErr w:type="spellEnd"/>
      <w:r w:rsidRPr="00CC19F7">
        <w:t xml:space="preserve"> ordninga.</w:t>
      </w:r>
    </w:p>
    <w:p w14:paraId="40180FC6" w14:textId="77777777" w:rsidR="00FE02EF" w:rsidRPr="00CC19F7" w:rsidRDefault="00881E58" w:rsidP="00CC19F7">
      <w:pPr>
        <w:pStyle w:val="avsnitt-undertittel"/>
      </w:pPr>
      <w:r w:rsidRPr="00CC19F7">
        <w:t>Mål og målgruppe</w:t>
      </w:r>
    </w:p>
    <w:p w14:paraId="7621FBEA" w14:textId="77777777" w:rsidR="00FE02EF" w:rsidRPr="00CC19F7" w:rsidRDefault="00881E58" w:rsidP="00CC19F7">
      <w:r w:rsidRPr="00CC19F7">
        <w:t xml:space="preserve">Ordninga skal bidra til kapasitets- og kunnskapsoppbygging, kompetanseoverføring og formidling for industriutvikling og tilrettelegging for innovasjon og teknologiutvikling </w:t>
      </w:r>
      <w:proofErr w:type="spellStart"/>
      <w:r w:rsidRPr="00CC19F7">
        <w:t>innanfor</w:t>
      </w:r>
      <w:proofErr w:type="spellEnd"/>
      <w:r w:rsidRPr="00CC19F7">
        <w:t xml:space="preserve"> havvind. </w:t>
      </w:r>
      <w:proofErr w:type="spellStart"/>
      <w:r w:rsidRPr="00CC19F7">
        <w:t>Tilskotet</w:t>
      </w:r>
      <w:proofErr w:type="spellEnd"/>
      <w:r w:rsidRPr="00CC19F7">
        <w:t xml:space="preserve"> skal bidra til å oppnå det overordna målet til regjeringa i vegkartet for grønt industriløft når det </w:t>
      </w:r>
      <w:proofErr w:type="spellStart"/>
      <w:r w:rsidRPr="00CC19F7">
        <w:t>gjeld</w:t>
      </w:r>
      <w:proofErr w:type="spellEnd"/>
      <w:r w:rsidRPr="00CC19F7">
        <w:t xml:space="preserve"> havvind.</w:t>
      </w:r>
    </w:p>
    <w:p w14:paraId="10CA29CF" w14:textId="77777777" w:rsidR="00FE02EF" w:rsidRPr="00CC19F7" w:rsidRDefault="00881E58" w:rsidP="00CC19F7">
      <w:proofErr w:type="spellStart"/>
      <w:r w:rsidRPr="00CC19F7">
        <w:t>Tilskotet</w:t>
      </w:r>
      <w:proofErr w:type="spellEnd"/>
      <w:r w:rsidRPr="00CC19F7">
        <w:t xml:space="preserve"> skal støtte opp under at </w:t>
      </w:r>
      <w:proofErr w:type="spellStart"/>
      <w:r w:rsidRPr="00CC19F7">
        <w:t>mottakarar</w:t>
      </w:r>
      <w:proofErr w:type="spellEnd"/>
      <w:r w:rsidRPr="00CC19F7">
        <w:t xml:space="preserve"> gjennom samarbeid og fellesfinansiering bidrar til kapasitets- og kunnskapsoppbygging, kompetanseoverføring og -formidling som skal resultere i industriutvikling og tilrettelegging for innovasjon og teknologiutvikling </w:t>
      </w:r>
      <w:proofErr w:type="spellStart"/>
      <w:r w:rsidRPr="00CC19F7">
        <w:t>innanfor</w:t>
      </w:r>
      <w:proofErr w:type="spellEnd"/>
      <w:r w:rsidRPr="00CC19F7">
        <w:t xml:space="preserve"> havvind.</w:t>
      </w:r>
    </w:p>
    <w:p w14:paraId="36B2AFF5" w14:textId="77777777" w:rsidR="00FE02EF" w:rsidRPr="00CC19F7" w:rsidRDefault="00881E58" w:rsidP="00CC19F7">
      <w:pPr>
        <w:pStyle w:val="avsnitt-undertittel"/>
      </w:pPr>
      <w:r w:rsidRPr="00CC19F7">
        <w:t>Tildelingskriterium og oppfølging</w:t>
      </w:r>
    </w:p>
    <w:p w14:paraId="001527F8" w14:textId="77777777" w:rsidR="00FE02EF" w:rsidRPr="00CC19F7" w:rsidRDefault="00881E58" w:rsidP="00CC19F7">
      <w:r w:rsidRPr="00CC19F7">
        <w:t xml:space="preserve">Ved </w:t>
      </w:r>
      <w:proofErr w:type="spellStart"/>
      <w:r w:rsidRPr="00CC19F7">
        <w:t>behandlinga</w:t>
      </w:r>
      <w:proofErr w:type="spellEnd"/>
      <w:r w:rsidRPr="00CC19F7">
        <w:t xml:space="preserve"> av søknader om </w:t>
      </w:r>
      <w:proofErr w:type="spellStart"/>
      <w:r w:rsidRPr="00CC19F7">
        <w:t>tilskot</w:t>
      </w:r>
      <w:proofErr w:type="spellEnd"/>
      <w:r w:rsidRPr="00CC19F7">
        <w:t xml:space="preserve"> skal det </w:t>
      </w:r>
      <w:proofErr w:type="spellStart"/>
      <w:r w:rsidRPr="00CC19F7">
        <w:t>leggast</w:t>
      </w:r>
      <w:proofErr w:type="spellEnd"/>
      <w:r w:rsidRPr="00CC19F7">
        <w:t xml:space="preserve"> </w:t>
      </w:r>
      <w:proofErr w:type="spellStart"/>
      <w:r w:rsidRPr="00CC19F7">
        <w:t>særleg</w:t>
      </w:r>
      <w:proofErr w:type="spellEnd"/>
      <w:r w:rsidRPr="00CC19F7">
        <w:t xml:space="preserve"> vekt på </w:t>
      </w:r>
      <w:proofErr w:type="spellStart"/>
      <w:r w:rsidRPr="00CC19F7">
        <w:t>desse</w:t>
      </w:r>
      <w:proofErr w:type="spellEnd"/>
      <w:r w:rsidRPr="00CC19F7">
        <w:t xml:space="preserve"> punkta:</w:t>
      </w:r>
    </w:p>
    <w:p w14:paraId="46AB0007" w14:textId="77777777" w:rsidR="00FE02EF" w:rsidRPr="00CC19F7" w:rsidRDefault="00881E58" w:rsidP="00CC19F7">
      <w:pPr>
        <w:pStyle w:val="Liste"/>
      </w:pPr>
      <w:r w:rsidRPr="00CC19F7">
        <w:t xml:space="preserve">korleis prosjektet eller tiltaket underbygger kapasitets- og kunnskapsoppbygging, kompetanseoverføring og -formidling, som igjen skal bidra til industriutvikling og tilrettelegging for innovasjon og teknologiutvikling </w:t>
      </w:r>
      <w:proofErr w:type="spellStart"/>
      <w:r w:rsidRPr="00CC19F7">
        <w:t>innanfor</w:t>
      </w:r>
      <w:proofErr w:type="spellEnd"/>
      <w:r w:rsidRPr="00CC19F7">
        <w:t xml:space="preserve"> havvind</w:t>
      </w:r>
    </w:p>
    <w:p w14:paraId="292CE975" w14:textId="77777777" w:rsidR="00FE02EF" w:rsidRPr="00CC19F7" w:rsidRDefault="00881E58" w:rsidP="00CC19F7">
      <w:pPr>
        <w:pStyle w:val="Liste"/>
      </w:pPr>
      <w:r w:rsidRPr="00CC19F7">
        <w:t xml:space="preserve">korleis tiltaket eventuelt på </w:t>
      </w:r>
      <w:proofErr w:type="spellStart"/>
      <w:r w:rsidRPr="00CC19F7">
        <w:t>annan</w:t>
      </w:r>
      <w:proofErr w:type="spellEnd"/>
      <w:r w:rsidRPr="00CC19F7">
        <w:t xml:space="preserve"> måte </w:t>
      </w:r>
      <w:proofErr w:type="spellStart"/>
      <w:r w:rsidRPr="00CC19F7">
        <w:t>støttar</w:t>
      </w:r>
      <w:proofErr w:type="spellEnd"/>
      <w:r w:rsidRPr="00CC19F7">
        <w:t xml:space="preserve"> opp under formålet med ordninga, og </w:t>
      </w:r>
      <w:proofErr w:type="spellStart"/>
      <w:r w:rsidRPr="00CC19F7">
        <w:t>kvifor</w:t>
      </w:r>
      <w:proofErr w:type="spellEnd"/>
      <w:r w:rsidRPr="00CC19F7">
        <w:t xml:space="preserve"> støtta er </w:t>
      </w:r>
      <w:proofErr w:type="spellStart"/>
      <w:r w:rsidRPr="00CC19F7">
        <w:t>utløysande</w:t>
      </w:r>
      <w:proofErr w:type="spellEnd"/>
      <w:r w:rsidRPr="00CC19F7">
        <w:t xml:space="preserve"> for tiltaket</w:t>
      </w:r>
    </w:p>
    <w:p w14:paraId="3B04F79C" w14:textId="77777777" w:rsidR="00FE02EF" w:rsidRPr="00CC19F7" w:rsidRDefault="00881E58" w:rsidP="00CC19F7">
      <w:pPr>
        <w:pStyle w:val="Liste"/>
      </w:pPr>
      <w:r w:rsidRPr="00CC19F7">
        <w:t xml:space="preserve">om prosjekt, </w:t>
      </w:r>
      <w:proofErr w:type="spellStart"/>
      <w:r w:rsidRPr="00CC19F7">
        <w:t>prosessar</w:t>
      </w:r>
      <w:proofErr w:type="spellEnd"/>
      <w:r w:rsidRPr="00CC19F7">
        <w:t xml:space="preserve"> eller tiltak der forholda ligg godt til rette for å oppnå resultat eller etablere kunnskap, overfører eller </w:t>
      </w:r>
      <w:proofErr w:type="spellStart"/>
      <w:r w:rsidRPr="00CC19F7">
        <w:t>formidlar</w:t>
      </w:r>
      <w:proofErr w:type="spellEnd"/>
      <w:r w:rsidRPr="00CC19F7">
        <w:t xml:space="preserve"> kunnskap mv. for industriutvikling </w:t>
      </w:r>
      <w:proofErr w:type="spellStart"/>
      <w:r w:rsidRPr="00CC19F7">
        <w:t>innanfor</w:t>
      </w:r>
      <w:proofErr w:type="spellEnd"/>
      <w:r w:rsidRPr="00CC19F7">
        <w:t xml:space="preserve"> havvind gjennom samarbeid og fellesfinansiering</w:t>
      </w:r>
    </w:p>
    <w:p w14:paraId="489BE7CC" w14:textId="77777777" w:rsidR="00FE02EF" w:rsidRPr="00CC19F7" w:rsidRDefault="00881E58" w:rsidP="00CC19F7">
      <w:r w:rsidRPr="00CC19F7">
        <w:t xml:space="preserve">Sørlandets Kompetansefond er </w:t>
      </w:r>
      <w:proofErr w:type="spellStart"/>
      <w:r w:rsidRPr="00CC19F7">
        <w:t>ansvarleg</w:t>
      </w:r>
      <w:proofErr w:type="spellEnd"/>
      <w:r w:rsidRPr="00CC19F7">
        <w:t xml:space="preserve"> for oppfølging og kontroll. Ordninga blir </w:t>
      </w:r>
      <w:proofErr w:type="spellStart"/>
      <w:r w:rsidRPr="00CC19F7">
        <w:t>kunngjord</w:t>
      </w:r>
      <w:proofErr w:type="spellEnd"/>
      <w:r w:rsidRPr="00CC19F7">
        <w:t xml:space="preserve"> på nettsidene til Sørlandets Kompetansefond og departementet.</w:t>
      </w:r>
    </w:p>
    <w:p w14:paraId="20186BEE" w14:textId="77777777" w:rsidR="00FE02EF" w:rsidRPr="00CC19F7" w:rsidRDefault="00881E58" w:rsidP="00CC19F7">
      <w:pPr>
        <w:pStyle w:val="avsnitt-tittel"/>
      </w:pPr>
      <w:proofErr w:type="spellStart"/>
      <w:r w:rsidRPr="00CC19F7">
        <w:t>Tilskotsordning</w:t>
      </w:r>
      <w:proofErr w:type="spellEnd"/>
      <w:r w:rsidRPr="00CC19F7">
        <w:t xml:space="preserve"> for kompetanseutvikling og formidling med relevans for petroleums- og energiområdet</w:t>
      </w:r>
    </w:p>
    <w:p w14:paraId="63F155BC" w14:textId="77777777" w:rsidR="00FE02EF" w:rsidRPr="00CC19F7" w:rsidRDefault="00881E58" w:rsidP="00CC19F7">
      <w:r w:rsidRPr="00CC19F7">
        <w:t>Det blir foreslått å sette av 4 mill. kroner til kompetanseutvikling og formidling med relevans for petroleums- og energiområdet.</w:t>
      </w:r>
    </w:p>
    <w:p w14:paraId="3C730A0E" w14:textId="77777777" w:rsidR="00FE02EF" w:rsidRPr="00CC19F7" w:rsidRDefault="00881E58" w:rsidP="00CC19F7">
      <w:pPr>
        <w:pStyle w:val="avsnitt-undertittel"/>
      </w:pPr>
      <w:r w:rsidRPr="00CC19F7">
        <w:t>Mål og målgruppe</w:t>
      </w:r>
    </w:p>
    <w:p w14:paraId="24557F1F" w14:textId="77777777" w:rsidR="00FE02EF" w:rsidRPr="00CC19F7" w:rsidRDefault="00881E58" w:rsidP="00CC19F7">
      <w:r w:rsidRPr="00CC19F7">
        <w:t xml:space="preserve">Ordninga skal bidra til å styrke departementets kunnskap om og arbeid med petroleums- og energipolitikk. Dette </w:t>
      </w:r>
      <w:proofErr w:type="spellStart"/>
      <w:r w:rsidRPr="00CC19F7">
        <w:t>omfattar</w:t>
      </w:r>
      <w:proofErr w:type="spellEnd"/>
      <w:r w:rsidRPr="00CC19F7">
        <w:t xml:space="preserve"> forskings-, utviklings- og samarbeidstiltak som kan bidra til større, eller ny kunnskap. Det kan òg omfatte samhandlingstiltak </w:t>
      </w:r>
      <w:proofErr w:type="spellStart"/>
      <w:r w:rsidRPr="00CC19F7">
        <w:t>innan</w:t>
      </w:r>
      <w:proofErr w:type="spellEnd"/>
      <w:r w:rsidRPr="00CC19F7">
        <w:t xml:space="preserve"> sektoren som bidrar til </w:t>
      </w:r>
      <w:proofErr w:type="spellStart"/>
      <w:r w:rsidRPr="00CC19F7">
        <w:t>meir</w:t>
      </w:r>
      <w:proofErr w:type="spellEnd"/>
      <w:r w:rsidRPr="00CC19F7">
        <w:t xml:space="preserve"> effektiv måloppnåing, gjennomføring av kostnadseffektive </w:t>
      </w:r>
      <w:proofErr w:type="spellStart"/>
      <w:r w:rsidRPr="00CC19F7">
        <w:t>løysingar</w:t>
      </w:r>
      <w:proofErr w:type="spellEnd"/>
      <w:r w:rsidRPr="00CC19F7">
        <w:t xml:space="preserve"> og </w:t>
      </w:r>
      <w:proofErr w:type="spellStart"/>
      <w:r w:rsidRPr="00CC19F7">
        <w:t>kvalitetsforbetringar</w:t>
      </w:r>
      <w:proofErr w:type="spellEnd"/>
      <w:r w:rsidRPr="00CC19F7">
        <w:t xml:space="preserve">. Tiltak skal primært, men </w:t>
      </w:r>
      <w:proofErr w:type="spellStart"/>
      <w:r w:rsidRPr="00CC19F7">
        <w:t>ikkje</w:t>
      </w:r>
      <w:proofErr w:type="spellEnd"/>
      <w:r w:rsidRPr="00CC19F7">
        <w:t xml:space="preserve"> </w:t>
      </w:r>
      <w:proofErr w:type="spellStart"/>
      <w:r w:rsidRPr="00CC19F7">
        <w:t>berre</w:t>
      </w:r>
      <w:proofErr w:type="spellEnd"/>
      <w:r w:rsidRPr="00CC19F7">
        <w:t xml:space="preserve">, ha som formål å dekke relevante temaområde som </w:t>
      </w:r>
      <w:proofErr w:type="spellStart"/>
      <w:r w:rsidRPr="00CC19F7">
        <w:t>ikkje</w:t>
      </w:r>
      <w:proofErr w:type="spellEnd"/>
      <w:r w:rsidRPr="00CC19F7">
        <w:t xml:space="preserve"> blir dekte av </w:t>
      </w:r>
      <w:proofErr w:type="spellStart"/>
      <w:r w:rsidRPr="00CC19F7">
        <w:t>annan</w:t>
      </w:r>
      <w:proofErr w:type="spellEnd"/>
      <w:r w:rsidRPr="00CC19F7">
        <w:t xml:space="preserve"> </w:t>
      </w:r>
      <w:proofErr w:type="spellStart"/>
      <w:r w:rsidRPr="00CC19F7">
        <w:t>offentleg</w:t>
      </w:r>
      <w:proofErr w:type="spellEnd"/>
      <w:r w:rsidRPr="00CC19F7">
        <w:t xml:space="preserve"> finansiert forskingsinnsats og andre </w:t>
      </w:r>
      <w:proofErr w:type="spellStart"/>
      <w:r w:rsidRPr="00CC19F7">
        <w:t>ordningar</w:t>
      </w:r>
      <w:proofErr w:type="spellEnd"/>
      <w:r w:rsidRPr="00CC19F7">
        <w:t>.</w:t>
      </w:r>
    </w:p>
    <w:p w14:paraId="7EFA9F66" w14:textId="77777777" w:rsidR="00FE02EF" w:rsidRPr="00CC19F7" w:rsidRDefault="00881E58" w:rsidP="00CC19F7">
      <w:r w:rsidRPr="00CC19F7">
        <w:t xml:space="preserve">Dei som kan få </w:t>
      </w:r>
      <w:proofErr w:type="spellStart"/>
      <w:r w:rsidRPr="00CC19F7">
        <w:t>tilskot</w:t>
      </w:r>
      <w:proofErr w:type="spellEnd"/>
      <w:r w:rsidRPr="00CC19F7">
        <w:t xml:space="preserve"> gjennom denne </w:t>
      </w:r>
      <w:proofErr w:type="spellStart"/>
      <w:r w:rsidRPr="00CC19F7">
        <w:t>tilskotsordninga</w:t>
      </w:r>
      <w:proofErr w:type="spellEnd"/>
      <w:r w:rsidRPr="00CC19F7">
        <w:t xml:space="preserve">, er universitet, </w:t>
      </w:r>
      <w:proofErr w:type="spellStart"/>
      <w:r w:rsidRPr="00CC19F7">
        <w:t>høgskolar</w:t>
      </w:r>
      <w:proofErr w:type="spellEnd"/>
      <w:r w:rsidRPr="00CC19F7">
        <w:t xml:space="preserve">, </w:t>
      </w:r>
      <w:proofErr w:type="spellStart"/>
      <w:r w:rsidRPr="00CC19F7">
        <w:t>frittståande</w:t>
      </w:r>
      <w:proofErr w:type="spellEnd"/>
      <w:r w:rsidRPr="00CC19F7">
        <w:t xml:space="preserve"> </w:t>
      </w:r>
      <w:proofErr w:type="spellStart"/>
      <w:r w:rsidRPr="00CC19F7">
        <w:t>forskingsinstitusjonar</w:t>
      </w:r>
      <w:proofErr w:type="spellEnd"/>
      <w:r w:rsidRPr="00CC19F7">
        <w:t xml:space="preserve"> og andre </w:t>
      </w:r>
      <w:proofErr w:type="spellStart"/>
      <w:r w:rsidRPr="00CC19F7">
        <w:t>organisasjonar</w:t>
      </w:r>
      <w:proofErr w:type="spellEnd"/>
      <w:r w:rsidRPr="00CC19F7">
        <w:t xml:space="preserve"> som driv med forsking, formidling, </w:t>
      </w:r>
      <w:proofErr w:type="spellStart"/>
      <w:r w:rsidRPr="00CC19F7">
        <w:t>forbetringstiltak</w:t>
      </w:r>
      <w:proofErr w:type="spellEnd"/>
      <w:r w:rsidRPr="00CC19F7">
        <w:t xml:space="preserve"> og kompetanseutvikling </w:t>
      </w:r>
      <w:proofErr w:type="spellStart"/>
      <w:r w:rsidRPr="00CC19F7">
        <w:t>innanfor</w:t>
      </w:r>
      <w:proofErr w:type="spellEnd"/>
      <w:r w:rsidRPr="00CC19F7">
        <w:t xml:space="preserve"> petroleums- og energiområdet.</w:t>
      </w:r>
    </w:p>
    <w:p w14:paraId="6FC215C5" w14:textId="77777777" w:rsidR="00FE02EF" w:rsidRPr="00CC19F7" w:rsidRDefault="00881E58" w:rsidP="00CC19F7">
      <w:pPr>
        <w:pStyle w:val="avsnitt-undertittel"/>
      </w:pPr>
      <w:r w:rsidRPr="00CC19F7">
        <w:t>Tildelingskriterium og oppfølging</w:t>
      </w:r>
    </w:p>
    <w:p w14:paraId="03CA2161" w14:textId="77777777" w:rsidR="00FE02EF" w:rsidRPr="00CC19F7" w:rsidRDefault="00881E58" w:rsidP="00CC19F7">
      <w:r w:rsidRPr="00CC19F7">
        <w:t xml:space="preserve">Det vil ved </w:t>
      </w:r>
      <w:proofErr w:type="spellStart"/>
      <w:r w:rsidRPr="00CC19F7">
        <w:t>behandlinga</w:t>
      </w:r>
      <w:proofErr w:type="spellEnd"/>
      <w:r w:rsidRPr="00CC19F7">
        <w:t xml:space="preserve"> av søknader om </w:t>
      </w:r>
      <w:proofErr w:type="spellStart"/>
      <w:r w:rsidRPr="00CC19F7">
        <w:t>tilskot</w:t>
      </w:r>
      <w:proofErr w:type="spellEnd"/>
      <w:r w:rsidRPr="00CC19F7">
        <w:t xml:space="preserve"> </w:t>
      </w:r>
      <w:proofErr w:type="spellStart"/>
      <w:r w:rsidRPr="00CC19F7">
        <w:t>innanfor</w:t>
      </w:r>
      <w:proofErr w:type="spellEnd"/>
      <w:r w:rsidRPr="00CC19F7">
        <w:t xml:space="preserve"> ordninga bli lagt </w:t>
      </w:r>
      <w:proofErr w:type="spellStart"/>
      <w:r w:rsidRPr="00CC19F7">
        <w:t>særleg</w:t>
      </w:r>
      <w:proofErr w:type="spellEnd"/>
      <w:r w:rsidRPr="00CC19F7">
        <w:t xml:space="preserve"> vekt på </w:t>
      </w:r>
      <w:proofErr w:type="spellStart"/>
      <w:r w:rsidRPr="00CC19F7">
        <w:t>desse</w:t>
      </w:r>
      <w:proofErr w:type="spellEnd"/>
      <w:r w:rsidRPr="00CC19F7">
        <w:t xml:space="preserve"> punkta:</w:t>
      </w:r>
    </w:p>
    <w:p w14:paraId="7C6F2E9F" w14:textId="77777777" w:rsidR="00FE02EF" w:rsidRPr="00CC19F7" w:rsidRDefault="00881E58" w:rsidP="00CC19F7">
      <w:pPr>
        <w:pStyle w:val="Liste"/>
      </w:pPr>
      <w:r w:rsidRPr="00CC19F7">
        <w:t xml:space="preserve">geografiske og tematiske område som er </w:t>
      </w:r>
      <w:proofErr w:type="spellStart"/>
      <w:r w:rsidRPr="00CC19F7">
        <w:t>særleg</w:t>
      </w:r>
      <w:proofErr w:type="spellEnd"/>
      <w:r w:rsidRPr="00CC19F7">
        <w:t xml:space="preserve"> relevante for norsk petroleums- og energipolitikk</w:t>
      </w:r>
    </w:p>
    <w:p w14:paraId="505C864B" w14:textId="77777777" w:rsidR="00FE02EF" w:rsidRPr="00CC19F7" w:rsidRDefault="00881E58" w:rsidP="00CC19F7">
      <w:pPr>
        <w:pStyle w:val="Liste"/>
      </w:pPr>
      <w:r w:rsidRPr="00CC19F7">
        <w:t>verdien av tiltaket og korleis det bidrar i departementets arbeid med utforming av petroleums- og energipolitikk</w:t>
      </w:r>
    </w:p>
    <w:p w14:paraId="0898C0E5" w14:textId="77777777" w:rsidR="00FE02EF" w:rsidRPr="00CC19F7" w:rsidRDefault="00881E58" w:rsidP="00CC19F7">
      <w:pPr>
        <w:pStyle w:val="Liste"/>
      </w:pPr>
      <w:r w:rsidRPr="00CC19F7">
        <w:t xml:space="preserve">den allmenngyldige verdien av tiltaket, der </w:t>
      </w:r>
      <w:proofErr w:type="spellStart"/>
      <w:r w:rsidRPr="00CC19F7">
        <w:t>erfaringar</w:t>
      </w:r>
      <w:proofErr w:type="spellEnd"/>
      <w:r w:rsidRPr="00CC19F7">
        <w:t xml:space="preserve">, formidling og </w:t>
      </w:r>
      <w:proofErr w:type="spellStart"/>
      <w:r w:rsidRPr="00CC19F7">
        <w:t>metodar</w:t>
      </w:r>
      <w:proofErr w:type="spellEnd"/>
      <w:r w:rsidRPr="00CC19F7">
        <w:t xml:space="preserve"> kan </w:t>
      </w:r>
      <w:proofErr w:type="spellStart"/>
      <w:r w:rsidRPr="00CC19F7">
        <w:t>nyttiggjerast</w:t>
      </w:r>
      <w:proofErr w:type="spellEnd"/>
      <w:r w:rsidRPr="00CC19F7">
        <w:t xml:space="preserve"> av andre</w:t>
      </w:r>
    </w:p>
    <w:p w14:paraId="672CB5E7" w14:textId="77777777" w:rsidR="00FE02EF" w:rsidRPr="00CC19F7" w:rsidRDefault="00881E58" w:rsidP="00CC19F7">
      <w:pPr>
        <w:pStyle w:val="Liste"/>
      </w:pPr>
      <w:r w:rsidRPr="00CC19F7">
        <w:t xml:space="preserve">samarbeid og fellesfinansiering med </w:t>
      </w:r>
      <w:proofErr w:type="spellStart"/>
      <w:r w:rsidRPr="00CC19F7">
        <w:t>organisasjonar</w:t>
      </w:r>
      <w:proofErr w:type="spellEnd"/>
      <w:r w:rsidRPr="00CC19F7">
        <w:t xml:space="preserve"> og andre der forholda ligg til rette for å oppnå resultat som bidrar til større eller ny kunnskap, formidling og/eller kompetanseoverføring om viktige tema </w:t>
      </w:r>
      <w:proofErr w:type="spellStart"/>
      <w:r w:rsidRPr="00CC19F7">
        <w:t>innanfor</w:t>
      </w:r>
      <w:proofErr w:type="spellEnd"/>
      <w:r w:rsidRPr="00CC19F7">
        <w:t xml:space="preserve"> petroleums- og energiområdet</w:t>
      </w:r>
    </w:p>
    <w:p w14:paraId="394B5F45" w14:textId="77777777" w:rsidR="00FE02EF" w:rsidRPr="00CC19F7" w:rsidRDefault="00881E58" w:rsidP="00CC19F7">
      <w:r w:rsidRPr="00CC19F7">
        <w:t xml:space="preserve">Departementet er </w:t>
      </w:r>
      <w:proofErr w:type="spellStart"/>
      <w:r w:rsidRPr="00CC19F7">
        <w:t>ansvarleg</w:t>
      </w:r>
      <w:proofErr w:type="spellEnd"/>
      <w:r w:rsidRPr="00CC19F7">
        <w:t xml:space="preserve"> for oppfølging og kontroll. Ordninga blir </w:t>
      </w:r>
      <w:proofErr w:type="spellStart"/>
      <w:r w:rsidRPr="00CC19F7">
        <w:t>kunngjord</w:t>
      </w:r>
      <w:proofErr w:type="spellEnd"/>
      <w:r w:rsidRPr="00CC19F7">
        <w:t xml:space="preserve"> på nettsidene til departementet.</w:t>
      </w:r>
    </w:p>
    <w:p w14:paraId="1B92B9AD" w14:textId="77777777" w:rsidR="00FE02EF" w:rsidRPr="00CC19F7" w:rsidRDefault="00881E58" w:rsidP="00CC19F7">
      <w:pPr>
        <w:pStyle w:val="avsnitt-tittel"/>
      </w:pPr>
      <w:r w:rsidRPr="00CC19F7">
        <w:t>Resultat 2022</w:t>
      </w:r>
    </w:p>
    <w:p w14:paraId="66E9F2FE" w14:textId="77777777" w:rsidR="00FE02EF" w:rsidRPr="00CC19F7" w:rsidRDefault="00881E58" w:rsidP="00CC19F7">
      <w:pPr>
        <w:pStyle w:val="avsnitt-undertittel"/>
      </w:pPr>
      <w:r w:rsidRPr="00CC19F7">
        <w:t xml:space="preserve">Standard </w:t>
      </w:r>
      <w:proofErr w:type="spellStart"/>
      <w:r w:rsidRPr="00CC19F7">
        <w:t>Noreg</w:t>
      </w:r>
      <w:proofErr w:type="spellEnd"/>
    </w:p>
    <w:p w14:paraId="381BEF9D" w14:textId="77777777" w:rsidR="00FE02EF" w:rsidRPr="00CC19F7" w:rsidRDefault="00881E58" w:rsidP="00CC19F7">
      <w:r w:rsidRPr="00CC19F7">
        <w:t xml:space="preserve">Det blei utbetalt 3 mill. kroner til Sektorstyret for petroleumsstandardisering ved Standard </w:t>
      </w:r>
      <w:proofErr w:type="spellStart"/>
      <w:r w:rsidRPr="00CC19F7">
        <w:t>Noreg</w:t>
      </w:r>
      <w:proofErr w:type="spellEnd"/>
      <w:r w:rsidRPr="00CC19F7">
        <w:t xml:space="preserve">. </w:t>
      </w:r>
      <w:proofErr w:type="spellStart"/>
      <w:r w:rsidRPr="00CC19F7">
        <w:t>Tilskotet</w:t>
      </w:r>
      <w:proofErr w:type="spellEnd"/>
      <w:r w:rsidRPr="00CC19F7">
        <w:t xml:space="preserve"> blir brukt til </w:t>
      </w:r>
      <w:proofErr w:type="spellStart"/>
      <w:r w:rsidRPr="00CC19F7">
        <w:t>eit</w:t>
      </w:r>
      <w:proofErr w:type="spellEnd"/>
      <w:r w:rsidRPr="00CC19F7">
        <w:t xml:space="preserve"> treårig næringsprosjekt (2022–2024) i petroleumssektoren. Prosjektet skal revidere og </w:t>
      </w:r>
      <w:proofErr w:type="spellStart"/>
      <w:r w:rsidRPr="00CC19F7">
        <w:t>tilgjengeleggjere</w:t>
      </w:r>
      <w:proofErr w:type="spellEnd"/>
      <w:r w:rsidRPr="00CC19F7">
        <w:t xml:space="preserve"> NORSOK-</w:t>
      </w:r>
      <w:proofErr w:type="spellStart"/>
      <w:r w:rsidRPr="00CC19F7">
        <w:t>standardar</w:t>
      </w:r>
      <w:proofErr w:type="spellEnd"/>
      <w:r w:rsidRPr="00CC19F7">
        <w:t xml:space="preserve"> i digitalt format og utvikle nasjonale og internasjonale </w:t>
      </w:r>
      <w:proofErr w:type="spellStart"/>
      <w:r w:rsidRPr="00CC19F7">
        <w:t>standardar</w:t>
      </w:r>
      <w:proofErr w:type="spellEnd"/>
      <w:r w:rsidRPr="00CC19F7">
        <w:t xml:space="preserve"> retta mot reduserte klimautslepp og fornybar energi offshore. Dette inkluderer havvind, hydrogen, karbonfangst og -lagring. </w:t>
      </w:r>
      <w:proofErr w:type="spellStart"/>
      <w:r w:rsidRPr="00CC19F7">
        <w:t>Standardane</w:t>
      </w:r>
      <w:proofErr w:type="spellEnd"/>
      <w:r w:rsidRPr="00CC19F7">
        <w:t xml:space="preserve"> bidrar til </w:t>
      </w:r>
      <w:proofErr w:type="spellStart"/>
      <w:r w:rsidRPr="00CC19F7">
        <w:t>kostnadsinnsparingar</w:t>
      </w:r>
      <w:proofErr w:type="spellEnd"/>
      <w:r w:rsidRPr="00CC19F7">
        <w:t xml:space="preserve"> og </w:t>
      </w:r>
      <w:proofErr w:type="spellStart"/>
      <w:r w:rsidRPr="00CC19F7">
        <w:t>sikkerheit</w:t>
      </w:r>
      <w:proofErr w:type="spellEnd"/>
      <w:r w:rsidRPr="00CC19F7">
        <w:t xml:space="preserve"> som følge av digitalisering av </w:t>
      </w:r>
      <w:proofErr w:type="spellStart"/>
      <w:r w:rsidRPr="00CC19F7">
        <w:t>oppgåver</w:t>
      </w:r>
      <w:proofErr w:type="spellEnd"/>
      <w:r w:rsidRPr="00CC19F7">
        <w:t xml:space="preserve"> </w:t>
      </w:r>
      <w:proofErr w:type="spellStart"/>
      <w:r w:rsidRPr="00CC19F7">
        <w:t>innan</w:t>
      </w:r>
      <w:proofErr w:type="spellEnd"/>
      <w:r w:rsidRPr="00CC19F7">
        <w:t xml:space="preserve"> prosjektering, innkjøp og drift. Blant </w:t>
      </w:r>
      <w:proofErr w:type="spellStart"/>
      <w:r w:rsidRPr="00CC19F7">
        <w:t>hovudresultata</w:t>
      </w:r>
      <w:proofErr w:type="spellEnd"/>
      <w:r w:rsidRPr="00CC19F7">
        <w:t xml:space="preserve"> er </w:t>
      </w:r>
      <w:proofErr w:type="spellStart"/>
      <w:r w:rsidRPr="00CC19F7">
        <w:t>tilgjengeleggjering</w:t>
      </w:r>
      <w:proofErr w:type="spellEnd"/>
      <w:r w:rsidRPr="00CC19F7">
        <w:t xml:space="preserve"> av heile NORSOK-porteføljen for industrien på </w:t>
      </w:r>
      <w:proofErr w:type="spellStart"/>
      <w:r w:rsidRPr="00CC19F7">
        <w:t>eit</w:t>
      </w:r>
      <w:proofErr w:type="spellEnd"/>
      <w:r w:rsidRPr="00CC19F7">
        <w:t xml:space="preserve"> digitalt maskinlesbart format og utvida omfang av </w:t>
      </w:r>
      <w:proofErr w:type="spellStart"/>
      <w:r w:rsidRPr="00CC19F7">
        <w:t>verksemda</w:t>
      </w:r>
      <w:proofErr w:type="spellEnd"/>
      <w:r w:rsidRPr="00CC19F7">
        <w:t xml:space="preserve"> til sektorstyret for å inkludere </w:t>
      </w:r>
      <w:proofErr w:type="spellStart"/>
      <w:r w:rsidRPr="00CC19F7">
        <w:t>lågkarbonløysingar</w:t>
      </w:r>
      <w:proofErr w:type="spellEnd"/>
      <w:r w:rsidRPr="00CC19F7">
        <w:t xml:space="preserve"> og havenergi.</w:t>
      </w:r>
    </w:p>
    <w:p w14:paraId="22C41EBF" w14:textId="77777777" w:rsidR="00FE02EF" w:rsidRPr="00CC19F7" w:rsidRDefault="00881E58" w:rsidP="00CC19F7">
      <w:pPr>
        <w:pStyle w:val="avsnitt-undertittel"/>
      </w:pPr>
      <w:r w:rsidRPr="00CC19F7">
        <w:t>Norsk Industri</w:t>
      </w:r>
    </w:p>
    <w:p w14:paraId="58DC4E84" w14:textId="77777777" w:rsidR="00FE02EF" w:rsidRPr="00CC19F7" w:rsidRDefault="00881E58" w:rsidP="00CC19F7">
      <w:r w:rsidRPr="00CC19F7">
        <w:t xml:space="preserve">Norsk Industri </w:t>
      </w:r>
      <w:proofErr w:type="spellStart"/>
      <w:r w:rsidRPr="00CC19F7">
        <w:t>fekk</w:t>
      </w:r>
      <w:proofErr w:type="spellEnd"/>
      <w:r w:rsidRPr="00CC19F7">
        <w:t xml:space="preserve"> i 2020 </w:t>
      </w:r>
      <w:proofErr w:type="spellStart"/>
      <w:r w:rsidRPr="00CC19F7">
        <w:t>tilsegn</w:t>
      </w:r>
      <w:proofErr w:type="spellEnd"/>
      <w:r w:rsidRPr="00CC19F7">
        <w:t xml:space="preserve"> om </w:t>
      </w:r>
      <w:proofErr w:type="spellStart"/>
      <w:r w:rsidRPr="00CC19F7">
        <w:t>tilskot</w:t>
      </w:r>
      <w:proofErr w:type="spellEnd"/>
      <w:r w:rsidRPr="00CC19F7">
        <w:t xml:space="preserve"> på inntil 10 mill. kroner til prosjektet «Leveransemodeller for havvind». Av dette blei siste del av </w:t>
      </w:r>
      <w:proofErr w:type="spellStart"/>
      <w:r w:rsidRPr="00CC19F7">
        <w:t>tilskotet</w:t>
      </w:r>
      <w:proofErr w:type="spellEnd"/>
      <w:r w:rsidRPr="00CC19F7">
        <w:t xml:space="preserve"> på 2 mill. kroner utbetalt i 2022. Ei stor </w:t>
      </w:r>
      <w:proofErr w:type="spellStart"/>
      <w:r w:rsidRPr="00CC19F7">
        <w:t>breidde</w:t>
      </w:r>
      <w:proofErr w:type="spellEnd"/>
      <w:r w:rsidRPr="00CC19F7">
        <w:t xml:space="preserve"> av leverandørindustrien og </w:t>
      </w:r>
      <w:proofErr w:type="spellStart"/>
      <w:r w:rsidRPr="00CC19F7">
        <w:t>fleire</w:t>
      </w:r>
      <w:proofErr w:type="spellEnd"/>
      <w:r w:rsidRPr="00CC19F7">
        <w:t xml:space="preserve"> industriklynger har </w:t>
      </w:r>
      <w:proofErr w:type="spellStart"/>
      <w:r w:rsidRPr="00CC19F7">
        <w:t>vore</w:t>
      </w:r>
      <w:proofErr w:type="spellEnd"/>
      <w:r w:rsidRPr="00CC19F7">
        <w:t xml:space="preserve"> engasjerte i prosjektet.</w:t>
      </w:r>
    </w:p>
    <w:p w14:paraId="16BD0296" w14:textId="77777777" w:rsidR="00FE02EF" w:rsidRPr="00CC19F7" w:rsidRDefault="00881E58" w:rsidP="00CC19F7">
      <w:r w:rsidRPr="00CC19F7">
        <w:t xml:space="preserve">I 2021 la prosjektet fram </w:t>
      </w:r>
      <w:proofErr w:type="spellStart"/>
      <w:r w:rsidRPr="00CC19F7">
        <w:t>fleire</w:t>
      </w:r>
      <w:proofErr w:type="spellEnd"/>
      <w:r w:rsidRPr="00CC19F7">
        <w:t xml:space="preserve"> </w:t>
      </w:r>
      <w:proofErr w:type="spellStart"/>
      <w:r w:rsidRPr="00CC19F7">
        <w:t>rapportar</w:t>
      </w:r>
      <w:proofErr w:type="spellEnd"/>
      <w:r w:rsidRPr="00CC19F7">
        <w:t xml:space="preserve"> etter ei </w:t>
      </w:r>
      <w:proofErr w:type="spellStart"/>
      <w:r w:rsidRPr="00CC19F7">
        <w:t>omfattande</w:t>
      </w:r>
      <w:proofErr w:type="spellEnd"/>
      <w:r w:rsidRPr="00CC19F7">
        <w:t xml:space="preserve"> kartlegging, </w:t>
      </w:r>
      <w:proofErr w:type="spellStart"/>
      <w:r w:rsidRPr="00CC19F7">
        <w:t>vurderingar</w:t>
      </w:r>
      <w:proofErr w:type="spellEnd"/>
      <w:r w:rsidRPr="00CC19F7">
        <w:t xml:space="preserve"> og </w:t>
      </w:r>
      <w:proofErr w:type="spellStart"/>
      <w:r w:rsidRPr="00CC19F7">
        <w:t>tilrådingar</w:t>
      </w:r>
      <w:proofErr w:type="spellEnd"/>
      <w:r w:rsidRPr="00CC19F7">
        <w:t xml:space="preserve"> </w:t>
      </w:r>
      <w:proofErr w:type="spellStart"/>
      <w:r w:rsidRPr="00CC19F7">
        <w:t>frå</w:t>
      </w:r>
      <w:proofErr w:type="spellEnd"/>
      <w:r w:rsidRPr="00CC19F7">
        <w:t xml:space="preserve"> arbeidsgrupper. I tillegg til </w:t>
      </w:r>
      <w:proofErr w:type="spellStart"/>
      <w:r w:rsidRPr="00CC19F7">
        <w:t>hovudrapporten</w:t>
      </w:r>
      <w:proofErr w:type="spellEnd"/>
      <w:r w:rsidRPr="00CC19F7">
        <w:t xml:space="preserve"> «Leveransemodeller for havvind» blei det lagt fram mindre </w:t>
      </w:r>
      <w:proofErr w:type="spellStart"/>
      <w:r w:rsidRPr="00CC19F7">
        <w:t>rapportar</w:t>
      </w:r>
      <w:proofErr w:type="spellEnd"/>
      <w:r w:rsidRPr="00CC19F7">
        <w:t xml:space="preserve"> om mellom anna rammeverk og </w:t>
      </w:r>
      <w:proofErr w:type="spellStart"/>
      <w:r w:rsidRPr="00CC19F7">
        <w:t>kontraktar</w:t>
      </w:r>
      <w:proofErr w:type="spellEnd"/>
      <w:r w:rsidRPr="00CC19F7">
        <w:t xml:space="preserve"> og om drift og </w:t>
      </w:r>
      <w:proofErr w:type="spellStart"/>
      <w:r w:rsidRPr="00CC19F7">
        <w:t>vedlikehald</w:t>
      </w:r>
      <w:proofErr w:type="spellEnd"/>
      <w:r w:rsidRPr="00CC19F7">
        <w:t>.</w:t>
      </w:r>
    </w:p>
    <w:p w14:paraId="6C18E5CB" w14:textId="77777777" w:rsidR="00FE02EF" w:rsidRPr="00CC19F7" w:rsidRDefault="00881E58" w:rsidP="00CC19F7">
      <w:r w:rsidRPr="00CC19F7">
        <w:t xml:space="preserve">I 2022 blei innføringsprogrammet «Offshore Wind </w:t>
      </w:r>
      <w:proofErr w:type="spellStart"/>
      <w:r w:rsidRPr="00CC19F7">
        <w:t>Entry</w:t>
      </w:r>
      <w:proofErr w:type="spellEnd"/>
      <w:r w:rsidRPr="00CC19F7">
        <w:t xml:space="preserve"> </w:t>
      </w:r>
      <w:proofErr w:type="spellStart"/>
      <w:r w:rsidRPr="00CC19F7">
        <w:t>Programme</w:t>
      </w:r>
      <w:proofErr w:type="spellEnd"/>
      <w:r w:rsidRPr="00CC19F7">
        <w:t xml:space="preserve">» lansert som </w:t>
      </w:r>
      <w:proofErr w:type="spellStart"/>
      <w:r w:rsidRPr="00CC19F7">
        <w:t>ein</w:t>
      </w:r>
      <w:proofErr w:type="spellEnd"/>
      <w:r w:rsidRPr="00CC19F7">
        <w:t xml:space="preserve"> del av prosjektet. Programmet har ulike webbaserte </w:t>
      </w:r>
      <w:proofErr w:type="spellStart"/>
      <w:r w:rsidRPr="00CC19F7">
        <w:t>opplæringsmodular</w:t>
      </w:r>
      <w:proofErr w:type="spellEnd"/>
      <w:r w:rsidRPr="00CC19F7">
        <w:t xml:space="preserve"> og fysiske </w:t>
      </w:r>
      <w:proofErr w:type="spellStart"/>
      <w:r w:rsidRPr="00CC19F7">
        <w:t>samlingar</w:t>
      </w:r>
      <w:proofErr w:type="spellEnd"/>
      <w:r w:rsidRPr="00CC19F7">
        <w:t xml:space="preserve">. Ansvaret for drift og </w:t>
      </w:r>
      <w:proofErr w:type="spellStart"/>
      <w:r w:rsidRPr="00CC19F7">
        <w:t>vidare</w:t>
      </w:r>
      <w:proofErr w:type="spellEnd"/>
      <w:r w:rsidRPr="00CC19F7">
        <w:t xml:space="preserve"> utvikling ligg hos Innovasjon </w:t>
      </w:r>
      <w:proofErr w:type="spellStart"/>
      <w:r w:rsidRPr="00CC19F7">
        <w:t>Noreg</w:t>
      </w:r>
      <w:proofErr w:type="spellEnd"/>
      <w:r w:rsidRPr="00CC19F7">
        <w:t xml:space="preserve">. Programmet er </w:t>
      </w:r>
      <w:proofErr w:type="spellStart"/>
      <w:r w:rsidRPr="00CC19F7">
        <w:t>eit</w:t>
      </w:r>
      <w:proofErr w:type="spellEnd"/>
      <w:r w:rsidRPr="00CC19F7">
        <w:t xml:space="preserve"> nyttig verktøy for </w:t>
      </w:r>
      <w:proofErr w:type="spellStart"/>
      <w:r w:rsidRPr="00CC19F7">
        <w:t>havvindaktørar</w:t>
      </w:r>
      <w:proofErr w:type="spellEnd"/>
      <w:r w:rsidRPr="00CC19F7">
        <w:t xml:space="preserve"> for </w:t>
      </w:r>
      <w:proofErr w:type="spellStart"/>
      <w:r w:rsidRPr="00CC19F7">
        <w:t>meir</w:t>
      </w:r>
      <w:proofErr w:type="spellEnd"/>
      <w:r w:rsidRPr="00CC19F7">
        <w:t xml:space="preserve"> informasjon og utveksling av </w:t>
      </w:r>
      <w:proofErr w:type="spellStart"/>
      <w:r w:rsidRPr="00CC19F7">
        <w:t>erfaringar</w:t>
      </w:r>
      <w:proofErr w:type="spellEnd"/>
      <w:r w:rsidRPr="00CC19F7">
        <w:t>.</w:t>
      </w:r>
    </w:p>
    <w:p w14:paraId="12348A85" w14:textId="77777777" w:rsidR="00FE02EF" w:rsidRPr="00CC19F7" w:rsidRDefault="00881E58" w:rsidP="00CC19F7">
      <w:r w:rsidRPr="00CC19F7">
        <w:t xml:space="preserve">Formålet med arbeidet har </w:t>
      </w:r>
      <w:proofErr w:type="spellStart"/>
      <w:r w:rsidRPr="00CC19F7">
        <w:t>vore</w:t>
      </w:r>
      <w:proofErr w:type="spellEnd"/>
      <w:r w:rsidRPr="00CC19F7">
        <w:t xml:space="preserve"> å lage ei rettleiing for </w:t>
      </w:r>
      <w:proofErr w:type="spellStart"/>
      <w:r w:rsidRPr="00CC19F7">
        <w:t>leverandørar</w:t>
      </w:r>
      <w:proofErr w:type="spellEnd"/>
      <w:r w:rsidRPr="00CC19F7">
        <w:t xml:space="preserve"> som ønsker å satse på </w:t>
      </w:r>
      <w:proofErr w:type="spellStart"/>
      <w:r w:rsidRPr="00CC19F7">
        <w:t>havvindmarknaden</w:t>
      </w:r>
      <w:proofErr w:type="spellEnd"/>
      <w:r w:rsidRPr="00CC19F7">
        <w:t xml:space="preserve">. </w:t>
      </w:r>
      <w:proofErr w:type="spellStart"/>
      <w:r w:rsidRPr="00CC19F7">
        <w:t>Rapportane</w:t>
      </w:r>
      <w:proofErr w:type="spellEnd"/>
      <w:r w:rsidRPr="00CC19F7">
        <w:t xml:space="preserve"> har bidratt til større kunnskap om havvindindustrien. Dei har gitt informasjon om kva norske </w:t>
      </w:r>
      <w:proofErr w:type="spellStart"/>
      <w:r w:rsidRPr="00CC19F7">
        <w:t>leverandørar</w:t>
      </w:r>
      <w:proofErr w:type="spellEnd"/>
      <w:r w:rsidRPr="00CC19F7">
        <w:t xml:space="preserve"> kan tilby av varer og </w:t>
      </w:r>
      <w:proofErr w:type="spellStart"/>
      <w:r w:rsidRPr="00CC19F7">
        <w:t>tenester</w:t>
      </w:r>
      <w:proofErr w:type="spellEnd"/>
      <w:r w:rsidRPr="00CC19F7">
        <w:t xml:space="preserve">, og konkurransekrafta </w:t>
      </w:r>
      <w:proofErr w:type="spellStart"/>
      <w:r w:rsidRPr="00CC19F7">
        <w:t>innanfor</w:t>
      </w:r>
      <w:proofErr w:type="spellEnd"/>
      <w:r w:rsidRPr="00CC19F7">
        <w:t xml:space="preserve"> ulike </w:t>
      </w:r>
      <w:proofErr w:type="spellStart"/>
      <w:r w:rsidRPr="00CC19F7">
        <w:t>delar</w:t>
      </w:r>
      <w:proofErr w:type="spellEnd"/>
      <w:r w:rsidRPr="00CC19F7">
        <w:t xml:space="preserve"> av havvindindustrien. Denne informasjonen har også gitt </w:t>
      </w:r>
      <w:proofErr w:type="spellStart"/>
      <w:r w:rsidRPr="00CC19F7">
        <w:t>eit</w:t>
      </w:r>
      <w:proofErr w:type="spellEnd"/>
      <w:r w:rsidRPr="00CC19F7">
        <w:t xml:space="preserve"> godt kunnskapsgrunnlag for innføringsprogrammet «Offshore Wind </w:t>
      </w:r>
      <w:proofErr w:type="spellStart"/>
      <w:r w:rsidRPr="00CC19F7">
        <w:t>Entry</w:t>
      </w:r>
      <w:proofErr w:type="spellEnd"/>
      <w:r w:rsidRPr="00CC19F7">
        <w:t xml:space="preserve"> </w:t>
      </w:r>
      <w:proofErr w:type="spellStart"/>
      <w:r w:rsidRPr="00CC19F7">
        <w:t>Programme</w:t>
      </w:r>
      <w:proofErr w:type="spellEnd"/>
      <w:r w:rsidRPr="00CC19F7">
        <w:t>».</w:t>
      </w:r>
    </w:p>
    <w:p w14:paraId="04B2C7D8" w14:textId="77777777" w:rsidR="00FE02EF" w:rsidRPr="00CC19F7" w:rsidRDefault="00881E58" w:rsidP="00CC19F7">
      <w:pPr>
        <w:pStyle w:val="avsnitt-undertittel"/>
      </w:pPr>
      <w:r w:rsidRPr="00CC19F7">
        <w:t xml:space="preserve">International Energy </w:t>
      </w:r>
      <w:proofErr w:type="spellStart"/>
      <w:r w:rsidRPr="00CC19F7">
        <w:t>Agency</w:t>
      </w:r>
      <w:proofErr w:type="spellEnd"/>
    </w:p>
    <w:p w14:paraId="59A94D6F" w14:textId="77777777" w:rsidR="00FE02EF" w:rsidRPr="00CC19F7" w:rsidRDefault="00881E58" w:rsidP="00CC19F7">
      <w:r w:rsidRPr="00CC19F7">
        <w:t xml:space="preserve">Det blei utbetalt totalt om lag 1 mill. kroner til IEAs arbeid med </w:t>
      </w:r>
      <w:proofErr w:type="spellStart"/>
      <w:r w:rsidRPr="00CC19F7">
        <w:t>Mission</w:t>
      </w:r>
      <w:proofErr w:type="spellEnd"/>
      <w:r w:rsidRPr="00CC19F7">
        <w:t xml:space="preserve"> </w:t>
      </w:r>
      <w:proofErr w:type="spellStart"/>
      <w:r w:rsidRPr="00CC19F7">
        <w:t>Innovation</w:t>
      </w:r>
      <w:proofErr w:type="spellEnd"/>
      <w:r w:rsidRPr="00CC19F7">
        <w:t xml:space="preserve">. IEA hjelper </w:t>
      </w:r>
      <w:proofErr w:type="spellStart"/>
      <w:r w:rsidRPr="00CC19F7">
        <w:t>Mission</w:t>
      </w:r>
      <w:proofErr w:type="spellEnd"/>
      <w:r w:rsidRPr="00CC19F7">
        <w:t xml:space="preserve"> </w:t>
      </w:r>
      <w:proofErr w:type="spellStart"/>
      <w:r w:rsidRPr="00CC19F7">
        <w:t>Innovation</w:t>
      </w:r>
      <w:proofErr w:type="spellEnd"/>
      <w:r w:rsidRPr="00CC19F7">
        <w:t xml:space="preserve"> gjennom datainnsamling av </w:t>
      </w:r>
      <w:proofErr w:type="spellStart"/>
      <w:r w:rsidRPr="00CC19F7">
        <w:t>offentlege</w:t>
      </w:r>
      <w:proofErr w:type="spellEnd"/>
      <w:r w:rsidRPr="00CC19F7">
        <w:t xml:space="preserve"> og private </w:t>
      </w:r>
      <w:proofErr w:type="spellStart"/>
      <w:r w:rsidRPr="00CC19F7">
        <w:t>investeringar</w:t>
      </w:r>
      <w:proofErr w:type="spellEnd"/>
      <w:r w:rsidRPr="00CC19F7">
        <w:t xml:space="preserve"> i forsking og utvikling, </w:t>
      </w:r>
      <w:proofErr w:type="spellStart"/>
      <w:r w:rsidRPr="00CC19F7">
        <w:t>analysar</w:t>
      </w:r>
      <w:proofErr w:type="spellEnd"/>
      <w:r w:rsidRPr="00CC19F7">
        <w:t xml:space="preserve"> av teknologiutviklinga og koordinering av internasjonalt samarbeid for innovasjon på rein energi. I 2022 inngjekk IEA </w:t>
      </w:r>
      <w:proofErr w:type="spellStart"/>
      <w:r w:rsidRPr="00CC19F7">
        <w:t>ein</w:t>
      </w:r>
      <w:proofErr w:type="spellEnd"/>
      <w:r w:rsidRPr="00CC19F7">
        <w:t xml:space="preserve"> ny intensjonsavtale med </w:t>
      </w:r>
      <w:proofErr w:type="spellStart"/>
      <w:r w:rsidRPr="00CC19F7">
        <w:t>Mission</w:t>
      </w:r>
      <w:proofErr w:type="spellEnd"/>
      <w:r w:rsidRPr="00CC19F7">
        <w:t xml:space="preserve"> </w:t>
      </w:r>
      <w:proofErr w:type="spellStart"/>
      <w:r w:rsidRPr="00CC19F7">
        <w:t>Innovation</w:t>
      </w:r>
      <w:proofErr w:type="spellEnd"/>
      <w:r w:rsidRPr="00CC19F7">
        <w:t xml:space="preserve"> for å styrke dette samarbeidet </w:t>
      </w:r>
      <w:proofErr w:type="spellStart"/>
      <w:r w:rsidRPr="00CC19F7">
        <w:t>ytterlegare</w:t>
      </w:r>
      <w:proofErr w:type="spellEnd"/>
      <w:r w:rsidRPr="00CC19F7">
        <w:rPr>
          <w:rStyle w:val="Fotnotereferanse"/>
        </w:rPr>
        <w:footnoteReference w:id="2"/>
      </w:r>
      <w:r w:rsidRPr="00CC19F7">
        <w:t>.</w:t>
      </w:r>
    </w:p>
    <w:p w14:paraId="4F0C7C5B" w14:textId="77777777" w:rsidR="00FE02EF" w:rsidRPr="00CC19F7" w:rsidRDefault="00881E58" w:rsidP="00CC19F7">
      <w:proofErr w:type="spellStart"/>
      <w:r w:rsidRPr="00CC19F7">
        <w:t>Vidare</w:t>
      </w:r>
      <w:proofErr w:type="spellEnd"/>
      <w:r w:rsidRPr="00CC19F7">
        <w:t xml:space="preserve"> blei det utbetalt om lag 0,5 mill. kroner til sekretariatsfunksjonen til CEM CCUS-initiativet, som blir leia av </w:t>
      </w:r>
      <w:proofErr w:type="spellStart"/>
      <w:r w:rsidRPr="00CC19F7">
        <w:t>Noreg</w:t>
      </w:r>
      <w:proofErr w:type="spellEnd"/>
      <w:r w:rsidRPr="00CC19F7">
        <w:t xml:space="preserve"> </w:t>
      </w:r>
      <w:proofErr w:type="spellStart"/>
      <w:r w:rsidRPr="00CC19F7">
        <w:t>saman</w:t>
      </w:r>
      <w:proofErr w:type="spellEnd"/>
      <w:r w:rsidRPr="00CC19F7">
        <w:t xml:space="preserve"> med Storbritannia, USA og Saudi-Arabia. Dei 14 medlemslanda i CEM CCUS-initiativet samarbeidde tett med industrien i 2022 for å fremme ei konkret prosjektutvikling </w:t>
      </w:r>
      <w:proofErr w:type="spellStart"/>
      <w:r w:rsidRPr="00CC19F7">
        <w:t>innan</w:t>
      </w:r>
      <w:proofErr w:type="spellEnd"/>
      <w:r w:rsidRPr="00CC19F7">
        <w:t xml:space="preserve"> CO</w:t>
      </w:r>
      <w:r w:rsidRPr="00CC19F7">
        <w:rPr>
          <w:rStyle w:val="skrift-senket"/>
        </w:rPr>
        <w:t>2</w:t>
      </w:r>
      <w:r w:rsidRPr="00CC19F7">
        <w:t xml:space="preserve">-handtering. </w:t>
      </w:r>
      <w:proofErr w:type="spellStart"/>
      <w:r w:rsidRPr="00CC19F7">
        <w:t>Fleire</w:t>
      </w:r>
      <w:proofErr w:type="spellEnd"/>
      <w:r w:rsidRPr="00CC19F7">
        <w:t xml:space="preserve"> workshops og møte med «Oil and Gas </w:t>
      </w:r>
      <w:proofErr w:type="spellStart"/>
      <w:r w:rsidRPr="00CC19F7">
        <w:t>Climate</w:t>
      </w:r>
      <w:proofErr w:type="spellEnd"/>
      <w:r w:rsidRPr="00CC19F7">
        <w:t xml:space="preserve"> Initiative» tok sikte på å utvikle strategiske CCUS-</w:t>
      </w:r>
      <w:proofErr w:type="spellStart"/>
      <w:r w:rsidRPr="00CC19F7">
        <w:t>hubar</w:t>
      </w:r>
      <w:proofErr w:type="spellEnd"/>
      <w:r w:rsidRPr="00CC19F7">
        <w:t xml:space="preserve"> og infrastruktur for CO</w:t>
      </w:r>
      <w:r w:rsidRPr="00CC19F7">
        <w:rPr>
          <w:rStyle w:val="skrift-senket"/>
        </w:rPr>
        <w:t>2</w:t>
      </w:r>
      <w:r w:rsidRPr="00CC19F7">
        <w:t xml:space="preserve">-handtering. Det blei </w:t>
      </w:r>
      <w:proofErr w:type="spellStart"/>
      <w:r w:rsidRPr="00CC19F7">
        <w:t>vidare</w:t>
      </w:r>
      <w:proofErr w:type="spellEnd"/>
      <w:r w:rsidRPr="00CC19F7">
        <w:t xml:space="preserve"> lagt fram ei samarbeidserklæring med «Global </w:t>
      </w:r>
      <w:proofErr w:type="spellStart"/>
      <w:r w:rsidRPr="00CC19F7">
        <w:t>Cement</w:t>
      </w:r>
      <w:proofErr w:type="spellEnd"/>
      <w:r w:rsidRPr="00CC19F7">
        <w:t xml:space="preserve"> and </w:t>
      </w:r>
      <w:proofErr w:type="spellStart"/>
      <w:r w:rsidRPr="00CC19F7">
        <w:t>Concrete</w:t>
      </w:r>
      <w:proofErr w:type="spellEnd"/>
      <w:r w:rsidRPr="00CC19F7">
        <w:t xml:space="preserve"> Association» på det </w:t>
      </w:r>
      <w:proofErr w:type="spellStart"/>
      <w:r w:rsidRPr="00CC19F7">
        <w:t>årlege</w:t>
      </w:r>
      <w:proofErr w:type="spellEnd"/>
      <w:r w:rsidRPr="00CC19F7">
        <w:t xml:space="preserve"> ministermøtet i 2022, med sikte på ei styrking av opptak av CCUS i sementsektoren.</w:t>
      </w:r>
    </w:p>
    <w:p w14:paraId="2D0B9184" w14:textId="77777777" w:rsidR="00FE02EF" w:rsidRPr="00CC19F7" w:rsidRDefault="00881E58" w:rsidP="00CC19F7">
      <w:pPr>
        <w:pStyle w:val="avsnitt-undertittel"/>
      </w:pPr>
      <w:r w:rsidRPr="00CC19F7">
        <w:t>UN Global Compact Initiative</w:t>
      </w:r>
    </w:p>
    <w:p w14:paraId="2FDA425B" w14:textId="77777777" w:rsidR="00FE02EF" w:rsidRPr="00CC19F7" w:rsidRDefault="00881E58" w:rsidP="00CC19F7">
      <w:r w:rsidRPr="00CC19F7">
        <w:t xml:space="preserve">Nærings- og fiskeridepartementet har belasta Olje- og energidepartementet med 0,5 mill. kroner til samfinansiering av den norske deltakelsen i UN Global Compacts (UNGC). UNGC er </w:t>
      </w:r>
      <w:proofErr w:type="spellStart"/>
      <w:r w:rsidRPr="00CC19F7">
        <w:t>eit</w:t>
      </w:r>
      <w:proofErr w:type="spellEnd"/>
      <w:r w:rsidRPr="00CC19F7">
        <w:t xml:space="preserve"> FN-basert globalt nettverk for bedrifter som ønsker å arbeide med samfunnsansvar og bidra til </w:t>
      </w:r>
      <w:proofErr w:type="spellStart"/>
      <w:r w:rsidRPr="00CC19F7">
        <w:t>forsvarleg</w:t>
      </w:r>
      <w:proofErr w:type="spellEnd"/>
      <w:r w:rsidRPr="00CC19F7">
        <w:t xml:space="preserve"> og </w:t>
      </w:r>
      <w:proofErr w:type="spellStart"/>
      <w:r w:rsidRPr="00CC19F7">
        <w:t>berekraftig</w:t>
      </w:r>
      <w:proofErr w:type="spellEnd"/>
      <w:r w:rsidRPr="00CC19F7">
        <w:t xml:space="preserve"> bedriftspraksis. </w:t>
      </w:r>
      <w:proofErr w:type="spellStart"/>
      <w:r w:rsidRPr="00CC19F7">
        <w:t>Noreg</w:t>
      </w:r>
      <w:proofErr w:type="spellEnd"/>
      <w:r w:rsidRPr="00CC19F7">
        <w:t xml:space="preserve"> har </w:t>
      </w:r>
      <w:proofErr w:type="spellStart"/>
      <w:r w:rsidRPr="00CC19F7">
        <w:t>vore</w:t>
      </w:r>
      <w:proofErr w:type="spellEnd"/>
      <w:r w:rsidRPr="00CC19F7">
        <w:t xml:space="preserve"> </w:t>
      </w:r>
      <w:proofErr w:type="spellStart"/>
      <w:r w:rsidRPr="00CC19F7">
        <w:t>hovudsponsor</w:t>
      </w:r>
      <w:proofErr w:type="spellEnd"/>
      <w:r w:rsidRPr="00CC19F7">
        <w:t xml:space="preserve"> for UNGC Business Action Platform for Oceans. Arbeidet har resultert </w:t>
      </w:r>
      <w:proofErr w:type="gramStart"/>
      <w:r w:rsidRPr="00CC19F7">
        <w:t>i mellom</w:t>
      </w:r>
      <w:proofErr w:type="gramEnd"/>
      <w:r w:rsidRPr="00CC19F7">
        <w:t xml:space="preserve"> anna </w:t>
      </w:r>
      <w:proofErr w:type="spellStart"/>
      <w:r w:rsidRPr="00CC19F7">
        <w:t>ein</w:t>
      </w:r>
      <w:proofErr w:type="spellEnd"/>
      <w:r w:rsidRPr="00CC19F7">
        <w:t xml:space="preserve"> handlingsplan for </w:t>
      </w:r>
      <w:proofErr w:type="spellStart"/>
      <w:r w:rsidRPr="00CC19F7">
        <w:t>berekraftig</w:t>
      </w:r>
      <w:proofErr w:type="spellEnd"/>
      <w:r w:rsidRPr="00CC19F7">
        <w:t xml:space="preserve"> næringsutvikling i og på havet.</w:t>
      </w:r>
    </w:p>
    <w:p w14:paraId="633068E2" w14:textId="77777777" w:rsidR="00FE02EF" w:rsidRPr="00CC19F7" w:rsidRDefault="00881E58" w:rsidP="00CC19F7">
      <w:pPr>
        <w:pStyle w:val="b-budkaptit"/>
      </w:pPr>
      <w:r w:rsidRPr="00CC19F7">
        <w:t>Kap. 4800 Olje- og energidepartementet</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504"/>
        <w:gridCol w:w="1417"/>
        <w:gridCol w:w="1479"/>
        <w:gridCol w:w="1300"/>
      </w:tblGrid>
      <w:tr w:rsidR="00FE02EF" w:rsidRPr="00CC19F7" w14:paraId="617F3ED3" w14:textId="77777777" w:rsidTr="005F29B2">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3349F69" w14:textId="77777777" w:rsidR="00FE02EF" w:rsidRPr="00CC19F7" w:rsidRDefault="00881E58" w:rsidP="00CC19F7">
            <w:pPr>
              <w:pStyle w:val="Tabellnavn"/>
            </w:pPr>
            <w:r w:rsidRPr="00CC19F7">
              <w:t>KPAL</w:t>
            </w:r>
          </w:p>
        </w:tc>
        <w:tc>
          <w:tcPr>
            <w:tcW w:w="4504" w:type="dxa"/>
            <w:tcBorders>
              <w:top w:val="nil"/>
              <w:left w:val="nil"/>
              <w:bottom w:val="single" w:sz="4" w:space="0" w:color="000000"/>
              <w:right w:val="nil"/>
            </w:tcBorders>
            <w:tcMar>
              <w:top w:w="128" w:type="dxa"/>
              <w:left w:w="43" w:type="dxa"/>
              <w:bottom w:w="43" w:type="dxa"/>
              <w:right w:w="43" w:type="dxa"/>
            </w:tcMar>
            <w:vAlign w:val="bottom"/>
          </w:tcPr>
          <w:p w14:paraId="24D45BE8" w14:textId="77777777" w:rsidR="00FE02EF" w:rsidRPr="00CC19F7" w:rsidRDefault="00FE02EF" w:rsidP="005F29B2"/>
        </w:tc>
        <w:tc>
          <w:tcPr>
            <w:tcW w:w="1417" w:type="dxa"/>
            <w:tcBorders>
              <w:top w:val="nil"/>
              <w:left w:val="nil"/>
              <w:bottom w:val="single" w:sz="4" w:space="0" w:color="000000"/>
              <w:right w:val="nil"/>
            </w:tcBorders>
            <w:tcMar>
              <w:top w:w="128" w:type="dxa"/>
              <w:left w:w="43" w:type="dxa"/>
              <w:bottom w:w="43" w:type="dxa"/>
              <w:right w:w="43" w:type="dxa"/>
            </w:tcMar>
            <w:vAlign w:val="bottom"/>
          </w:tcPr>
          <w:p w14:paraId="01D6A82E" w14:textId="77777777" w:rsidR="00FE02EF" w:rsidRPr="00CC19F7" w:rsidRDefault="00FE02EF" w:rsidP="005F29B2">
            <w:pPr>
              <w:jc w:val="right"/>
            </w:pP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22FE9879" w14:textId="77777777" w:rsidR="00FE02EF" w:rsidRPr="00CC19F7" w:rsidRDefault="00FE02EF" w:rsidP="005F29B2">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C2C106F" w14:textId="77777777" w:rsidR="00FE02EF" w:rsidRPr="00CC19F7" w:rsidRDefault="00881E58" w:rsidP="005F29B2">
            <w:pPr>
              <w:jc w:val="right"/>
            </w:pPr>
            <w:r w:rsidRPr="00CC19F7">
              <w:t>(i 1 000 kr)</w:t>
            </w:r>
          </w:p>
        </w:tc>
      </w:tr>
      <w:tr w:rsidR="00FE02EF" w:rsidRPr="00CC19F7" w14:paraId="1487FCDB" w14:textId="77777777" w:rsidTr="005F29B2">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99A0FF3" w14:textId="77777777" w:rsidR="00FE02EF" w:rsidRPr="00CC19F7" w:rsidRDefault="00881E58" w:rsidP="00CC19F7">
            <w:r w:rsidRPr="00CC19F7">
              <w:t>Post</w:t>
            </w:r>
          </w:p>
        </w:tc>
        <w:tc>
          <w:tcPr>
            <w:tcW w:w="4504" w:type="dxa"/>
            <w:tcBorders>
              <w:top w:val="nil"/>
              <w:left w:val="nil"/>
              <w:bottom w:val="single" w:sz="4" w:space="0" w:color="000000"/>
              <w:right w:val="nil"/>
            </w:tcBorders>
            <w:tcMar>
              <w:top w:w="128" w:type="dxa"/>
              <w:left w:w="43" w:type="dxa"/>
              <w:bottom w:w="43" w:type="dxa"/>
              <w:right w:w="43" w:type="dxa"/>
            </w:tcMar>
            <w:vAlign w:val="bottom"/>
          </w:tcPr>
          <w:p w14:paraId="5662BB50" w14:textId="77777777" w:rsidR="00FE02EF" w:rsidRPr="00CC19F7" w:rsidRDefault="00881E58" w:rsidP="005F29B2">
            <w:proofErr w:type="spellStart"/>
            <w:r w:rsidRPr="00CC19F7">
              <w:t>Nemning</w:t>
            </w:r>
            <w:proofErr w:type="spellEnd"/>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24B8C454" w14:textId="77777777" w:rsidR="00FE02EF" w:rsidRPr="00CC19F7" w:rsidRDefault="00881E58" w:rsidP="005F29B2">
            <w:pPr>
              <w:jc w:val="right"/>
            </w:pPr>
            <w:proofErr w:type="spellStart"/>
            <w:r w:rsidRPr="00CC19F7">
              <w:t>Rekneskap</w:t>
            </w:r>
            <w:proofErr w:type="spellEnd"/>
            <w:r w:rsidRPr="00CC19F7">
              <w:br/>
              <w:t>2022</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5F50A34E" w14:textId="77777777" w:rsidR="00FE02EF" w:rsidRPr="00CC19F7" w:rsidRDefault="00881E58" w:rsidP="005F29B2">
            <w:pPr>
              <w:jc w:val="right"/>
            </w:pPr>
            <w:r w:rsidRPr="00CC19F7">
              <w:t>Saldert</w:t>
            </w:r>
            <w:r w:rsidRPr="00CC19F7">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395CA8B" w14:textId="77777777" w:rsidR="00FE02EF" w:rsidRPr="00CC19F7" w:rsidRDefault="00881E58" w:rsidP="005F29B2">
            <w:pPr>
              <w:jc w:val="right"/>
            </w:pPr>
            <w:r w:rsidRPr="00CC19F7">
              <w:t>Forslag</w:t>
            </w:r>
            <w:r w:rsidRPr="00CC19F7">
              <w:br/>
              <w:t>2024</w:t>
            </w:r>
          </w:p>
        </w:tc>
      </w:tr>
      <w:tr w:rsidR="00FE02EF" w:rsidRPr="00CC19F7" w14:paraId="3DFD587C" w14:textId="77777777" w:rsidTr="005F29B2">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3FFC268A" w14:textId="77777777" w:rsidR="00FE02EF" w:rsidRPr="00CC19F7" w:rsidRDefault="00881E58" w:rsidP="00CC19F7">
            <w:r w:rsidRPr="00CC19F7">
              <w:t>10</w:t>
            </w:r>
          </w:p>
        </w:tc>
        <w:tc>
          <w:tcPr>
            <w:tcW w:w="4504" w:type="dxa"/>
            <w:tcBorders>
              <w:top w:val="single" w:sz="4" w:space="0" w:color="000000"/>
              <w:left w:val="nil"/>
              <w:bottom w:val="nil"/>
              <w:right w:val="nil"/>
            </w:tcBorders>
            <w:tcMar>
              <w:top w:w="128" w:type="dxa"/>
              <w:left w:w="43" w:type="dxa"/>
              <w:bottom w:w="43" w:type="dxa"/>
              <w:right w:w="43" w:type="dxa"/>
            </w:tcMar>
          </w:tcPr>
          <w:p w14:paraId="475F52D3" w14:textId="77777777" w:rsidR="00FE02EF" w:rsidRPr="00CC19F7" w:rsidRDefault="00881E58" w:rsidP="005F29B2">
            <w:proofErr w:type="spellStart"/>
            <w:r w:rsidRPr="00CC19F7">
              <w:t>Refusjonar</w:t>
            </w:r>
            <w:proofErr w:type="spellEnd"/>
          </w:p>
        </w:tc>
        <w:tc>
          <w:tcPr>
            <w:tcW w:w="1417" w:type="dxa"/>
            <w:tcBorders>
              <w:top w:val="single" w:sz="4" w:space="0" w:color="000000"/>
              <w:left w:val="nil"/>
              <w:bottom w:val="nil"/>
              <w:right w:val="nil"/>
            </w:tcBorders>
            <w:tcMar>
              <w:top w:w="128" w:type="dxa"/>
              <w:left w:w="43" w:type="dxa"/>
              <w:bottom w:w="43" w:type="dxa"/>
              <w:right w:w="43" w:type="dxa"/>
            </w:tcMar>
            <w:vAlign w:val="bottom"/>
          </w:tcPr>
          <w:p w14:paraId="2EF94890" w14:textId="77777777" w:rsidR="00FE02EF" w:rsidRPr="00CC19F7" w:rsidRDefault="00881E58" w:rsidP="005F29B2">
            <w:pPr>
              <w:jc w:val="right"/>
            </w:pPr>
            <w:r w:rsidRPr="00CC19F7">
              <w:t>150</w:t>
            </w:r>
          </w:p>
        </w:tc>
        <w:tc>
          <w:tcPr>
            <w:tcW w:w="1479" w:type="dxa"/>
            <w:tcBorders>
              <w:top w:val="single" w:sz="4" w:space="0" w:color="000000"/>
              <w:left w:val="nil"/>
              <w:bottom w:val="nil"/>
              <w:right w:val="nil"/>
            </w:tcBorders>
            <w:tcMar>
              <w:top w:w="128" w:type="dxa"/>
              <w:left w:w="43" w:type="dxa"/>
              <w:bottom w:w="43" w:type="dxa"/>
              <w:right w:w="43" w:type="dxa"/>
            </w:tcMar>
            <w:vAlign w:val="bottom"/>
          </w:tcPr>
          <w:p w14:paraId="2C6182F9" w14:textId="77777777" w:rsidR="00FE02EF" w:rsidRPr="00CC19F7" w:rsidRDefault="00FE02EF" w:rsidP="005F29B2">
            <w:pPr>
              <w:jc w:val="right"/>
            </w:pP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3EA48F3" w14:textId="77777777" w:rsidR="00FE02EF" w:rsidRPr="00CC19F7" w:rsidRDefault="00FE02EF" w:rsidP="005F29B2">
            <w:pPr>
              <w:jc w:val="right"/>
            </w:pPr>
          </w:p>
        </w:tc>
      </w:tr>
      <w:tr w:rsidR="00FE02EF" w:rsidRPr="00CC19F7" w14:paraId="1A51227E" w14:textId="77777777" w:rsidTr="005F29B2">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B386E74" w14:textId="77777777" w:rsidR="00FE02EF" w:rsidRPr="00CC19F7" w:rsidRDefault="00881E58" w:rsidP="00CC19F7">
            <w:r w:rsidRPr="00CC19F7">
              <w:t>70</w:t>
            </w:r>
          </w:p>
        </w:tc>
        <w:tc>
          <w:tcPr>
            <w:tcW w:w="4504" w:type="dxa"/>
            <w:tcBorders>
              <w:top w:val="nil"/>
              <w:left w:val="nil"/>
              <w:bottom w:val="single" w:sz="4" w:space="0" w:color="000000"/>
              <w:right w:val="nil"/>
            </w:tcBorders>
            <w:tcMar>
              <w:top w:w="128" w:type="dxa"/>
              <w:left w:w="43" w:type="dxa"/>
              <w:bottom w:w="43" w:type="dxa"/>
              <w:right w:w="43" w:type="dxa"/>
            </w:tcMar>
          </w:tcPr>
          <w:p w14:paraId="7EF23712" w14:textId="77777777" w:rsidR="00FE02EF" w:rsidRPr="00CC19F7" w:rsidRDefault="00881E58" w:rsidP="005F29B2">
            <w:r w:rsidRPr="00CC19F7">
              <w:t xml:space="preserve">Garantiprovisjon, </w:t>
            </w:r>
            <w:proofErr w:type="spellStart"/>
            <w:r w:rsidRPr="00CC19F7">
              <w:t>Gassco</w:t>
            </w:r>
            <w:proofErr w:type="spellEnd"/>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2D37B310" w14:textId="77777777" w:rsidR="00FE02EF" w:rsidRPr="00CC19F7" w:rsidRDefault="00881E58" w:rsidP="005F29B2">
            <w:pPr>
              <w:jc w:val="right"/>
            </w:pPr>
            <w:r w:rsidRPr="00CC19F7">
              <w:t>1 967</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4CDD3AAA" w14:textId="77777777" w:rsidR="00FE02EF" w:rsidRPr="00CC19F7" w:rsidRDefault="00881E58" w:rsidP="005F29B2">
            <w:pPr>
              <w:jc w:val="right"/>
            </w:pPr>
            <w:r w:rsidRPr="00CC19F7">
              <w:t>1 700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E205B08" w14:textId="77777777" w:rsidR="00FE02EF" w:rsidRPr="00CC19F7" w:rsidRDefault="00881E58" w:rsidP="005F29B2">
            <w:pPr>
              <w:jc w:val="right"/>
            </w:pPr>
            <w:r w:rsidRPr="00CC19F7">
              <w:t>2 000</w:t>
            </w:r>
          </w:p>
        </w:tc>
      </w:tr>
      <w:tr w:rsidR="00FE02EF" w:rsidRPr="00CC19F7" w14:paraId="07D07BCE" w14:textId="77777777" w:rsidTr="005F29B2">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5A4F46C" w14:textId="77777777" w:rsidR="00FE02EF" w:rsidRPr="00CC19F7" w:rsidRDefault="00FE02EF" w:rsidP="00CC19F7"/>
        </w:tc>
        <w:tc>
          <w:tcPr>
            <w:tcW w:w="4504" w:type="dxa"/>
            <w:tcBorders>
              <w:top w:val="nil"/>
              <w:left w:val="nil"/>
              <w:bottom w:val="single" w:sz="4" w:space="0" w:color="000000"/>
              <w:right w:val="nil"/>
            </w:tcBorders>
            <w:tcMar>
              <w:top w:w="128" w:type="dxa"/>
              <w:left w:w="43" w:type="dxa"/>
              <w:bottom w:w="43" w:type="dxa"/>
              <w:right w:w="43" w:type="dxa"/>
            </w:tcMar>
          </w:tcPr>
          <w:p w14:paraId="14419300" w14:textId="77777777" w:rsidR="00FE02EF" w:rsidRPr="00CC19F7" w:rsidRDefault="00881E58" w:rsidP="005F29B2">
            <w:r w:rsidRPr="00CC19F7">
              <w:t>Sum kap. 4800</w:t>
            </w:r>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32B13095" w14:textId="77777777" w:rsidR="00FE02EF" w:rsidRPr="00CC19F7" w:rsidRDefault="00881E58" w:rsidP="005F29B2">
            <w:pPr>
              <w:jc w:val="right"/>
            </w:pPr>
            <w:r w:rsidRPr="00CC19F7">
              <w:t>2 117</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52A185D7" w14:textId="77777777" w:rsidR="00FE02EF" w:rsidRPr="00CC19F7" w:rsidRDefault="00881E58" w:rsidP="005F29B2">
            <w:pPr>
              <w:jc w:val="right"/>
            </w:pPr>
            <w:r w:rsidRPr="00CC19F7">
              <w:t>1 700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9986E69" w14:textId="77777777" w:rsidR="00FE02EF" w:rsidRPr="00CC19F7" w:rsidRDefault="00881E58" w:rsidP="005F29B2">
            <w:pPr>
              <w:jc w:val="right"/>
            </w:pPr>
            <w:r w:rsidRPr="00CC19F7">
              <w:t>2 000</w:t>
            </w:r>
          </w:p>
        </w:tc>
      </w:tr>
    </w:tbl>
    <w:p w14:paraId="4186295A" w14:textId="77777777" w:rsidR="00FE02EF" w:rsidRPr="00CC19F7" w:rsidRDefault="00881E58" w:rsidP="00CC19F7">
      <w:pPr>
        <w:pStyle w:val="avsnitt-undertittel"/>
      </w:pPr>
      <w:r w:rsidRPr="00CC19F7">
        <w:t>Om 2023</w:t>
      </w:r>
    </w:p>
    <w:p w14:paraId="52ED2BB9" w14:textId="77777777" w:rsidR="00FE02EF" w:rsidRPr="00CC19F7" w:rsidRDefault="00881E58" w:rsidP="00CC19F7">
      <w:r w:rsidRPr="00CC19F7">
        <w:t xml:space="preserve">Ved Stortingets vedtak 16. juni 2023 blei post 70 </w:t>
      </w:r>
      <w:proofErr w:type="spellStart"/>
      <w:r w:rsidRPr="00CC19F7">
        <w:t>auka</w:t>
      </w:r>
      <w:proofErr w:type="spellEnd"/>
      <w:r w:rsidRPr="00CC19F7">
        <w:t xml:space="preserve"> med 0,3 mill. kroner, jf. </w:t>
      </w:r>
      <w:proofErr w:type="spellStart"/>
      <w:r w:rsidRPr="00CC19F7">
        <w:t>Prop</w:t>
      </w:r>
      <w:proofErr w:type="spellEnd"/>
      <w:r w:rsidRPr="00CC19F7">
        <w:t xml:space="preserve">. 118 S (2022–2023) og </w:t>
      </w:r>
      <w:proofErr w:type="spellStart"/>
      <w:r w:rsidRPr="00CC19F7">
        <w:t>Innst</w:t>
      </w:r>
      <w:proofErr w:type="spellEnd"/>
      <w:r w:rsidRPr="00CC19F7">
        <w:t>. 490 S (2022–2023).</w:t>
      </w:r>
    </w:p>
    <w:p w14:paraId="6FB343BA" w14:textId="77777777" w:rsidR="00FE02EF" w:rsidRPr="00CC19F7" w:rsidRDefault="00881E58" w:rsidP="00CC19F7">
      <w:pPr>
        <w:pStyle w:val="b-post"/>
      </w:pPr>
      <w:r w:rsidRPr="00CC19F7">
        <w:t xml:space="preserve">Post 70 Garantiprovisjon, </w:t>
      </w:r>
      <w:proofErr w:type="spellStart"/>
      <w:r w:rsidRPr="00CC19F7">
        <w:t>Gassco</w:t>
      </w:r>
      <w:proofErr w:type="spellEnd"/>
    </w:p>
    <w:p w14:paraId="4B3A2983" w14:textId="77777777" w:rsidR="00FE02EF" w:rsidRPr="00CC19F7" w:rsidRDefault="00881E58" w:rsidP="00CC19F7">
      <w:r w:rsidRPr="00CC19F7">
        <w:t xml:space="preserve">Olje- og energidepartementet har stilt </w:t>
      </w:r>
      <w:proofErr w:type="spellStart"/>
      <w:r w:rsidRPr="00CC19F7">
        <w:t>ein</w:t>
      </w:r>
      <w:proofErr w:type="spellEnd"/>
      <w:r w:rsidRPr="00CC19F7">
        <w:t xml:space="preserve"> garanti </w:t>
      </w:r>
      <w:proofErr w:type="spellStart"/>
      <w:r w:rsidRPr="00CC19F7">
        <w:t>innanfor</w:t>
      </w:r>
      <w:proofErr w:type="spellEnd"/>
      <w:r w:rsidRPr="00CC19F7">
        <w:t xml:space="preserve"> ei samla ramme på inntil 1 mrd. kroner for skader og tap på </w:t>
      </w:r>
      <w:proofErr w:type="spellStart"/>
      <w:r w:rsidRPr="00CC19F7">
        <w:t>mottaksterminalane</w:t>
      </w:r>
      <w:proofErr w:type="spellEnd"/>
      <w:r w:rsidRPr="00CC19F7">
        <w:t xml:space="preserve"> på kontinentet som oppstår som følge av </w:t>
      </w:r>
      <w:proofErr w:type="spellStart"/>
      <w:r w:rsidRPr="00CC19F7">
        <w:t>forsettlege</w:t>
      </w:r>
      <w:proofErr w:type="spellEnd"/>
      <w:r w:rsidRPr="00CC19F7">
        <w:t xml:space="preserve"> </w:t>
      </w:r>
      <w:proofErr w:type="spellStart"/>
      <w:r w:rsidRPr="00CC19F7">
        <w:t>handlingar</w:t>
      </w:r>
      <w:proofErr w:type="spellEnd"/>
      <w:r w:rsidRPr="00CC19F7">
        <w:t xml:space="preserve"> hos </w:t>
      </w:r>
      <w:proofErr w:type="spellStart"/>
      <w:r w:rsidRPr="00CC19F7">
        <w:t>leiande</w:t>
      </w:r>
      <w:proofErr w:type="spellEnd"/>
      <w:r w:rsidRPr="00CC19F7">
        <w:t xml:space="preserve"> personell i </w:t>
      </w:r>
      <w:proofErr w:type="spellStart"/>
      <w:r w:rsidRPr="00CC19F7">
        <w:t>Gassco</w:t>
      </w:r>
      <w:proofErr w:type="spellEnd"/>
      <w:r w:rsidRPr="00CC19F7">
        <w:t xml:space="preserve"> AS, jf. garantifullmakt i Vedlegg 1. Garantiprovisjonen er satt til 70 prosent av forsikringspremien på </w:t>
      </w:r>
      <w:proofErr w:type="spellStart"/>
      <w:r w:rsidRPr="00CC19F7">
        <w:t>Gasscos</w:t>
      </w:r>
      <w:proofErr w:type="spellEnd"/>
      <w:r w:rsidRPr="00CC19F7">
        <w:t xml:space="preserve"> ordinære ansvarsforsikring.</w:t>
      </w:r>
    </w:p>
    <w:p w14:paraId="115752A5" w14:textId="77777777" w:rsidR="00FE02EF" w:rsidRPr="00CC19F7" w:rsidRDefault="00881E58" w:rsidP="00CC19F7">
      <w:pPr>
        <w:pStyle w:val="b-progkat"/>
      </w:pPr>
      <w:r w:rsidRPr="00CC19F7">
        <w:t>Programkategori 18.10 Petroleum</w:t>
      </w:r>
    </w:p>
    <w:p w14:paraId="5E0A456D" w14:textId="77777777" w:rsidR="00FE02EF" w:rsidRPr="00CC19F7" w:rsidRDefault="00881E58" w:rsidP="00CC19F7">
      <w:pPr>
        <w:pStyle w:val="Undertittel"/>
      </w:pPr>
      <w:r w:rsidRPr="00CC19F7">
        <w:t>Utviklingstrekk</w:t>
      </w:r>
    </w:p>
    <w:p w14:paraId="4B165D5C" w14:textId="77777777" w:rsidR="00FE02EF" w:rsidRPr="00CC19F7" w:rsidRDefault="00881E58" w:rsidP="00CC19F7">
      <w:pPr>
        <w:pStyle w:val="avsnitt-tittel"/>
      </w:pPr>
      <w:r w:rsidRPr="00CC19F7">
        <w:t>Petroleumssektoren</w:t>
      </w:r>
    </w:p>
    <w:p w14:paraId="34086871" w14:textId="77777777" w:rsidR="00FE02EF" w:rsidRPr="00CC19F7" w:rsidRDefault="00881E58" w:rsidP="00CC19F7">
      <w:r w:rsidRPr="00CC19F7">
        <w:t xml:space="preserve">Petroleumssektoren i </w:t>
      </w:r>
      <w:proofErr w:type="spellStart"/>
      <w:r w:rsidRPr="00CC19F7">
        <w:t>Noreg</w:t>
      </w:r>
      <w:proofErr w:type="spellEnd"/>
      <w:r w:rsidRPr="00CC19F7">
        <w:t xml:space="preserve"> er ei </w:t>
      </w:r>
      <w:proofErr w:type="spellStart"/>
      <w:r w:rsidRPr="00CC19F7">
        <w:t>eksportverksemd</w:t>
      </w:r>
      <w:proofErr w:type="spellEnd"/>
      <w:r w:rsidRPr="00CC19F7">
        <w:t xml:space="preserve"> som bidrar til å dekke det </w:t>
      </w:r>
      <w:proofErr w:type="spellStart"/>
      <w:r w:rsidRPr="00CC19F7">
        <w:t>grunnleggande</w:t>
      </w:r>
      <w:proofErr w:type="spellEnd"/>
      <w:r w:rsidRPr="00CC19F7">
        <w:t xml:space="preserve"> behovet for energi i verda, </w:t>
      </w:r>
      <w:proofErr w:type="spellStart"/>
      <w:r w:rsidRPr="00CC19F7">
        <w:t>ikkje</w:t>
      </w:r>
      <w:proofErr w:type="spellEnd"/>
      <w:r w:rsidRPr="00CC19F7">
        <w:t xml:space="preserve"> minst i Europa. </w:t>
      </w:r>
      <w:proofErr w:type="spellStart"/>
      <w:r w:rsidRPr="00CC19F7">
        <w:t>Noreg</w:t>
      </w:r>
      <w:proofErr w:type="spellEnd"/>
      <w:r w:rsidRPr="00CC19F7">
        <w:t xml:space="preserve"> er den største produsenten og den </w:t>
      </w:r>
      <w:proofErr w:type="spellStart"/>
      <w:r w:rsidRPr="00CC19F7">
        <w:t>einaste</w:t>
      </w:r>
      <w:proofErr w:type="spellEnd"/>
      <w:r w:rsidRPr="00CC19F7">
        <w:t xml:space="preserve"> nettoeksportøren av olje og gass i Vest-Europa. Produksjonen på norsk sokkel, på norske olje- og gassfelt, er derfor viktig for europeisk </w:t>
      </w:r>
      <w:proofErr w:type="spellStart"/>
      <w:r w:rsidRPr="00CC19F7">
        <w:t>energisikkerheit</w:t>
      </w:r>
      <w:proofErr w:type="spellEnd"/>
      <w:r w:rsidRPr="00CC19F7">
        <w:t xml:space="preserve">. Som følge av stans i </w:t>
      </w:r>
      <w:proofErr w:type="spellStart"/>
      <w:r w:rsidRPr="00CC19F7">
        <w:t>leveransar</w:t>
      </w:r>
      <w:proofErr w:type="spellEnd"/>
      <w:r w:rsidRPr="00CC19F7">
        <w:t xml:space="preserve"> </w:t>
      </w:r>
      <w:proofErr w:type="spellStart"/>
      <w:r w:rsidRPr="00CC19F7">
        <w:t>frå</w:t>
      </w:r>
      <w:proofErr w:type="spellEnd"/>
      <w:r w:rsidRPr="00CC19F7">
        <w:t xml:space="preserve"> russiske </w:t>
      </w:r>
      <w:proofErr w:type="spellStart"/>
      <w:r w:rsidRPr="00CC19F7">
        <w:t>gassrøyrleidningar</w:t>
      </w:r>
      <w:proofErr w:type="spellEnd"/>
      <w:r w:rsidRPr="00CC19F7">
        <w:t xml:space="preserve"> i 2022 blei felta på norsk kontinentalsokkel den største </w:t>
      </w:r>
      <w:proofErr w:type="spellStart"/>
      <w:r w:rsidRPr="00CC19F7">
        <w:t>enkeltkjelda</w:t>
      </w:r>
      <w:proofErr w:type="spellEnd"/>
      <w:r w:rsidRPr="00CC19F7">
        <w:t xml:space="preserve"> for gass til Europa.</w:t>
      </w:r>
    </w:p>
    <w:p w14:paraId="419B7E9C" w14:textId="77777777" w:rsidR="00FE02EF" w:rsidRPr="00CC19F7" w:rsidRDefault="00881E58" w:rsidP="00CC19F7">
      <w:r w:rsidRPr="00CC19F7">
        <w:t>Totalt blei det produsert og selt 122 mrd. Sm</w:t>
      </w:r>
      <w:r w:rsidRPr="00CC19F7">
        <w:rPr>
          <w:rStyle w:val="skrift-hevet"/>
        </w:rPr>
        <w:t>3</w:t>
      </w:r>
      <w:r w:rsidRPr="00CC19F7">
        <w:t xml:space="preserve"> gass </w:t>
      </w:r>
      <w:proofErr w:type="spellStart"/>
      <w:r w:rsidRPr="00CC19F7">
        <w:t>frå</w:t>
      </w:r>
      <w:proofErr w:type="spellEnd"/>
      <w:r w:rsidRPr="00CC19F7">
        <w:t xml:space="preserve"> norske felt i 2022, </w:t>
      </w:r>
      <w:proofErr w:type="spellStart"/>
      <w:r w:rsidRPr="00CC19F7">
        <w:t>ein</w:t>
      </w:r>
      <w:proofErr w:type="spellEnd"/>
      <w:r w:rsidRPr="00CC19F7">
        <w:t xml:space="preserve"> </w:t>
      </w:r>
      <w:proofErr w:type="spellStart"/>
      <w:r w:rsidRPr="00CC19F7">
        <w:t>auke</w:t>
      </w:r>
      <w:proofErr w:type="spellEnd"/>
      <w:r w:rsidRPr="00CC19F7">
        <w:t xml:space="preserve"> på rundt 8 prosent </w:t>
      </w:r>
      <w:proofErr w:type="spellStart"/>
      <w:r w:rsidRPr="00CC19F7">
        <w:t>frå</w:t>
      </w:r>
      <w:proofErr w:type="spellEnd"/>
      <w:r w:rsidRPr="00CC19F7">
        <w:t xml:space="preserve"> 2021. Auken aleine svarer til om lag 100 </w:t>
      </w:r>
      <w:proofErr w:type="spellStart"/>
      <w:r w:rsidRPr="00CC19F7">
        <w:t>TWh</w:t>
      </w:r>
      <w:proofErr w:type="spellEnd"/>
      <w:r w:rsidRPr="00CC19F7">
        <w:t xml:space="preserve"> i energi. Til </w:t>
      </w:r>
      <w:proofErr w:type="spellStart"/>
      <w:r w:rsidRPr="00CC19F7">
        <w:t>samanlikning</w:t>
      </w:r>
      <w:proofErr w:type="spellEnd"/>
      <w:r w:rsidRPr="00CC19F7">
        <w:t xml:space="preserve"> var norsk vasskraftproduksjon om lag 129 </w:t>
      </w:r>
      <w:proofErr w:type="spellStart"/>
      <w:r w:rsidRPr="00CC19F7">
        <w:t>TWh</w:t>
      </w:r>
      <w:proofErr w:type="spellEnd"/>
      <w:r w:rsidRPr="00CC19F7">
        <w:t xml:space="preserve"> i 2022. Dei norske </w:t>
      </w:r>
      <w:proofErr w:type="spellStart"/>
      <w:r w:rsidRPr="00CC19F7">
        <w:t>leveransane</w:t>
      </w:r>
      <w:proofErr w:type="spellEnd"/>
      <w:r w:rsidRPr="00CC19F7">
        <w:t xml:space="preserve"> var </w:t>
      </w:r>
      <w:proofErr w:type="spellStart"/>
      <w:r w:rsidRPr="00CC19F7">
        <w:t>avgjerande</w:t>
      </w:r>
      <w:proofErr w:type="spellEnd"/>
      <w:r w:rsidRPr="00CC19F7">
        <w:t xml:space="preserve"> for energiforsyninga til Europa etter Russlands angrep og </w:t>
      </w:r>
      <w:proofErr w:type="spellStart"/>
      <w:r w:rsidRPr="00CC19F7">
        <w:t>påfølgande</w:t>
      </w:r>
      <w:proofErr w:type="spellEnd"/>
      <w:r w:rsidRPr="00CC19F7">
        <w:t xml:space="preserve"> krig i Ukraina. </w:t>
      </w:r>
      <w:proofErr w:type="spellStart"/>
      <w:r w:rsidRPr="00CC19F7">
        <w:t>Utan</w:t>
      </w:r>
      <w:proofErr w:type="spellEnd"/>
      <w:r w:rsidRPr="00CC19F7">
        <w:t xml:space="preserve"> denne </w:t>
      </w:r>
      <w:proofErr w:type="spellStart"/>
      <w:r w:rsidRPr="00CC19F7">
        <w:t>auken</w:t>
      </w:r>
      <w:proofErr w:type="spellEnd"/>
      <w:r w:rsidRPr="00CC19F7">
        <w:t xml:space="preserve"> ville Europa stått overfor ei enda større krise, med enda </w:t>
      </w:r>
      <w:proofErr w:type="spellStart"/>
      <w:r w:rsidRPr="00CC19F7">
        <w:t>høgare</w:t>
      </w:r>
      <w:proofErr w:type="spellEnd"/>
      <w:r w:rsidRPr="00CC19F7">
        <w:t xml:space="preserve"> </w:t>
      </w:r>
      <w:proofErr w:type="spellStart"/>
      <w:r w:rsidRPr="00CC19F7">
        <w:t>energiprisar</w:t>
      </w:r>
      <w:proofErr w:type="spellEnd"/>
      <w:r w:rsidRPr="00CC19F7">
        <w:t>.</w:t>
      </w:r>
    </w:p>
    <w:p w14:paraId="0554EC0F" w14:textId="77777777" w:rsidR="00FE02EF" w:rsidRPr="00CC19F7" w:rsidRDefault="00881E58" w:rsidP="00CC19F7">
      <w:r w:rsidRPr="00CC19F7">
        <w:t xml:space="preserve">Tiltaka som </w:t>
      </w:r>
      <w:proofErr w:type="spellStart"/>
      <w:r w:rsidRPr="00CC19F7">
        <w:t>låg</w:t>
      </w:r>
      <w:proofErr w:type="spellEnd"/>
      <w:r w:rsidRPr="00CC19F7">
        <w:t xml:space="preserve"> bak </w:t>
      </w:r>
      <w:proofErr w:type="spellStart"/>
      <w:r w:rsidRPr="00CC19F7">
        <w:t>auken</w:t>
      </w:r>
      <w:proofErr w:type="spellEnd"/>
      <w:r w:rsidRPr="00CC19F7">
        <w:t xml:space="preserve">, var mange og av ulike </w:t>
      </w:r>
      <w:proofErr w:type="spellStart"/>
      <w:r w:rsidRPr="00CC19F7">
        <w:t>kategoriar</w:t>
      </w:r>
      <w:proofErr w:type="spellEnd"/>
      <w:r w:rsidRPr="00CC19F7">
        <w:t xml:space="preserve">. </w:t>
      </w:r>
      <w:proofErr w:type="spellStart"/>
      <w:r w:rsidRPr="00CC19F7">
        <w:t>Fleire</w:t>
      </w:r>
      <w:proofErr w:type="spellEnd"/>
      <w:r w:rsidRPr="00CC19F7">
        <w:t xml:space="preserve"> felt </w:t>
      </w:r>
      <w:proofErr w:type="spellStart"/>
      <w:r w:rsidRPr="00CC19F7">
        <w:t>auka</w:t>
      </w:r>
      <w:proofErr w:type="spellEnd"/>
      <w:r w:rsidRPr="00CC19F7">
        <w:t xml:space="preserve"> gassproduksjonen gjennom å selje gass i staden for å injisere han for å </w:t>
      </w:r>
      <w:proofErr w:type="spellStart"/>
      <w:r w:rsidRPr="00CC19F7">
        <w:t>auke</w:t>
      </w:r>
      <w:proofErr w:type="spellEnd"/>
      <w:r w:rsidRPr="00CC19F7">
        <w:t xml:space="preserve"> oljeproduksjonen. </w:t>
      </w:r>
      <w:proofErr w:type="spellStart"/>
      <w:r w:rsidRPr="00CC19F7">
        <w:t>Ikkje</w:t>
      </w:r>
      <w:proofErr w:type="spellEnd"/>
      <w:r w:rsidRPr="00CC19F7">
        <w:t xml:space="preserve">-kritisk </w:t>
      </w:r>
      <w:proofErr w:type="spellStart"/>
      <w:r w:rsidRPr="00CC19F7">
        <w:t>vedlikehald</w:t>
      </w:r>
      <w:proofErr w:type="spellEnd"/>
      <w:r w:rsidRPr="00CC19F7">
        <w:t xml:space="preserve"> i gassleveransekjeda blei utsett. </w:t>
      </w:r>
      <w:proofErr w:type="spellStart"/>
      <w:r w:rsidRPr="00CC19F7">
        <w:t>Ein</w:t>
      </w:r>
      <w:proofErr w:type="spellEnd"/>
      <w:r w:rsidRPr="00CC19F7">
        <w:t xml:space="preserve"> del av våtgassen blei </w:t>
      </w:r>
      <w:proofErr w:type="spellStart"/>
      <w:r w:rsidRPr="00CC19F7">
        <w:t>seld</w:t>
      </w:r>
      <w:proofErr w:type="spellEnd"/>
      <w:r w:rsidRPr="00CC19F7">
        <w:t xml:space="preserve"> som </w:t>
      </w:r>
      <w:proofErr w:type="spellStart"/>
      <w:r w:rsidRPr="00CC19F7">
        <w:t>røyrgass</w:t>
      </w:r>
      <w:proofErr w:type="spellEnd"/>
      <w:r w:rsidRPr="00CC19F7">
        <w:t xml:space="preserve"> framfor som eigne produkt. Hammerfest LNG starta opp igjen etter at anlegget hadde </w:t>
      </w:r>
      <w:proofErr w:type="spellStart"/>
      <w:r w:rsidRPr="00CC19F7">
        <w:t>vore</w:t>
      </w:r>
      <w:proofErr w:type="spellEnd"/>
      <w:r w:rsidRPr="00CC19F7">
        <w:t xml:space="preserve"> stengt i heile 2021.</w:t>
      </w:r>
    </w:p>
    <w:p w14:paraId="25F0B692" w14:textId="77777777" w:rsidR="00FE02EF" w:rsidRPr="00CC19F7" w:rsidRDefault="00881E58" w:rsidP="00CC19F7">
      <w:r w:rsidRPr="00CC19F7">
        <w:t>I 2023 er norsk gassproduksjon anslått til 116 mrd. Sm</w:t>
      </w:r>
      <w:r w:rsidRPr="00CC19F7">
        <w:rPr>
          <w:rStyle w:val="skrift-hevet"/>
        </w:rPr>
        <w:t>3</w:t>
      </w:r>
      <w:r w:rsidRPr="00CC19F7">
        <w:t xml:space="preserve">. Dette er </w:t>
      </w:r>
      <w:proofErr w:type="spellStart"/>
      <w:r w:rsidRPr="00CC19F7">
        <w:t>noko</w:t>
      </w:r>
      <w:proofErr w:type="spellEnd"/>
      <w:r w:rsidRPr="00CC19F7">
        <w:t xml:space="preserve"> </w:t>
      </w:r>
      <w:proofErr w:type="spellStart"/>
      <w:r w:rsidRPr="00CC19F7">
        <w:t>lågare</w:t>
      </w:r>
      <w:proofErr w:type="spellEnd"/>
      <w:r w:rsidRPr="00CC19F7">
        <w:t xml:space="preserve"> enn anslaget i revidert nasjonalbudsjett 2023 og kjem mellom anna av uventa </w:t>
      </w:r>
      <w:proofErr w:type="spellStart"/>
      <w:r w:rsidRPr="00CC19F7">
        <w:t>hendingar</w:t>
      </w:r>
      <w:proofErr w:type="spellEnd"/>
      <w:r w:rsidRPr="00CC19F7">
        <w:t xml:space="preserve"> på sentrale anlegg, </w:t>
      </w:r>
      <w:proofErr w:type="spellStart"/>
      <w:r w:rsidRPr="00CC19F7">
        <w:t>noko</w:t>
      </w:r>
      <w:proofErr w:type="spellEnd"/>
      <w:r w:rsidRPr="00CC19F7">
        <w:t xml:space="preserve"> </w:t>
      </w:r>
      <w:proofErr w:type="spellStart"/>
      <w:r w:rsidRPr="00CC19F7">
        <w:t>lågare</w:t>
      </w:r>
      <w:proofErr w:type="spellEnd"/>
      <w:r w:rsidRPr="00CC19F7">
        <w:t xml:space="preserve"> </w:t>
      </w:r>
      <w:proofErr w:type="spellStart"/>
      <w:r w:rsidRPr="00CC19F7">
        <w:t>leveransar</w:t>
      </w:r>
      <w:proofErr w:type="spellEnd"/>
      <w:r w:rsidRPr="00CC19F7">
        <w:t xml:space="preserve"> </w:t>
      </w:r>
      <w:proofErr w:type="spellStart"/>
      <w:r w:rsidRPr="00CC19F7">
        <w:t>frå</w:t>
      </w:r>
      <w:proofErr w:type="spellEnd"/>
      <w:r w:rsidRPr="00CC19F7">
        <w:t xml:space="preserve"> enkelte felt i </w:t>
      </w:r>
      <w:proofErr w:type="spellStart"/>
      <w:r w:rsidRPr="00CC19F7">
        <w:t>periodar</w:t>
      </w:r>
      <w:proofErr w:type="spellEnd"/>
      <w:r w:rsidRPr="00CC19F7">
        <w:t xml:space="preserve"> og </w:t>
      </w:r>
      <w:proofErr w:type="spellStart"/>
      <w:r w:rsidRPr="00CC19F7">
        <w:t>kortare</w:t>
      </w:r>
      <w:proofErr w:type="spellEnd"/>
      <w:r w:rsidRPr="00CC19F7">
        <w:t xml:space="preserve"> </w:t>
      </w:r>
      <w:proofErr w:type="spellStart"/>
      <w:r w:rsidRPr="00CC19F7">
        <w:t>periodar</w:t>
      </w:r>
      <w:proofErr w:type="spellEnd"/>
      <w:r w:rsidRPr="00CC19F7">
        <w:t xml:space="preserve"> med låg gassetterspørsel </w:t>
      </w:r>
      <w:proofErr w:type="spellStart"/>
      <w:r w:rsidRPr="00CC19F7">
        <w:t>frå</w:t>
      </w:r>
      <w:proofErr w:type="spellEnd"/>
      <w:r w:rsidRPr="00CC19F7">
        <w:t xml:space="preserve"> europeiske </w:t>
      </w:r>
      <w:proofErr w:type="spellStart"/>
      <w:r w:rsidRPr="00CC19F7">
        <w:t>gasskjøparar</w:t>
      </w:r>
      <w:proofErr w:type="spellEnd"/>
      <w:r w:rsidRPr="00CC19F7">
        <w:t>. På grunn av ny informasjon er anslaget for gassproduksjon i 2023 justert etter at Nasjonalbudsjettet blei ferdigstilt.</w:t>
      </w:r>
    </w:p>
    <w:p w14:paraId="1E98BE95" w14:textId="77777777" w:rsidR="00FE02EF" w:rsidRPr="00CC19F7" w:rsidRDefault="00881E58" w:rsidP="00CC19F7">
      <w:proofErr w:type="spellStart"/>
      <w:r w:rsidRPr="00CC19F7">
        <w:t>Petroleumsverksemda</w:t>
      </w:r>
      <w:proofErr w:type="spellEnd"/>
      <w:r w:rsidRPr="00CC19F7">
        <w:t xml:space="preserve"> er </w:t>
      </w:r>
      <w:proofErr w:type="spellStart"/>
      <w:r w:rsidRPr="00CC19F7">
        <w:t>Noregs</w:t>
      </w:r>
      <w:proofErr w:type="spellEnd"/>
      <w:r w:rsidRPr="00CC19F7">
        <w:t xml:space="preserve"> største næring målt i verdiskaping, </w:t>
      </w:r>
      <w:proofErr w:type="spellStart"/>
      <w:r w:rsidRPr="00CC19F7">
        <w:t>statlege</w:t>
      </w:r>
      <w:proofErr w:type="spellEnd"/>
      <w:r w:rsidRPr="00CC19F7">
        <w:t xml:space="preserve"> inntekter, </w:t>
      </w:r>
      <w:proofErr w:type="spellStart"/>
      <w:r w:rsidRPr="00CC19F7">
        <w:t>investeringar</w:t>
      </w:r>
      <w:proofErr w:type="spellEnd"/>
      <w:r w:rsidRPr="00CC19F7">
        <w:t xml:space="preserve"> og eksportverdi. Det har ho </w:t>
      </w:r>
      <w:proofErr w:type="spellStart"/>
      <w:r w:rsidRPr="00CC19F7">
        <w:t>vore</w:t>
      </w:r>
      <w:proofErr w:type="spellEnd"/>
      <w:r w:rsidRPr="00CC19F7">
        <w:t xml:space="preserve"> </w:t>
      </w:r>
      <w:proofErr w:type="spellStart"/>
      <w:r w:rsidRPr="00CC19F7">
        <w:t>dei</w:t>
      </w:r>
      <w:proofErr w:type="spellEnd"/>
      <w:r w:rsidRPr="00CC19F7">
        <w:t xml:space="preserve"> siste tiåra og er også forventa å </w:t>
      </w:r>
      <w:proofErr w:type="spellStart"/>
      <w:r w:rsidRPr="00CC19F7">
        <w:t>vere</w:t>
      </w:r>
      <w:proofErr w:type="spellEnd"/>
      <w:r w:rsidRPr="00CC19F7">
        <w:t xml:space="preserve"> det i mange år framover. </w:t>
      </w:r>
      <w:proofErr w:type="spellStart"/>
      <w:r w:rsidRPr="00CC19F7">
        <w:t>Hovudmålet</w:t>
      </w:r>
      <w:proofErr w:type="spellEnd"/>
      <w:r w:rsidRPr="00CC19F7">
        <w:t xml:space="preserve"> for petroleumspolitikken er å legge til rette for </w:t>
      </w:r>
      <w:proofErr w:type="spellStart"/>
      <w:r w:rsidRPr="00CC19F7">
        <w:t>lønnsam</w:t>
      </w:r>
      <w:proofErr w:type="spellEnd"/>
      <w:r w:rsidRPr="00CC19F7">
        <w:t xml:space="preserve"> produksjon av olje og gass i </w:t>
      </w:r>
      <w:proofErr w:type="spellStart"/>
      <w:r w:rsidRPr="00CC19F7">
        <w:t>eit</w:t>
      </w:r>
      <w:proofErr w:type="spellEnd"/>
      <w:r w:rsidRPr="00CC19F7">
        <w:t xml:space="preserve"> langsiktig perspektiv.</w:t>
      </w:r>
    </w:p>
    <w:p w14:paraId="64D40ECD" w14:textId="77777777" w:rsidR="00FE02EF" w:rsidRPr="00CC19F7" w:rsidRDefault="00881E58" w:rsidP="00CC19F7">
      <w:proofErr w:type="spellStart"/>
      <w:r w:rsidRPr="00CC19F7">
        <w:t>Petroleumsressursane</w:t>
      </w:r>
      <w:proofErr w:type="spellEnd"/>
      <w:r w:rsidRPr="00CC19F7">
        <w:t xml:space="preserve"> </w:t>
      </w:r>
      <w:proofErr w:type="spellStart"/>
      <w:r w:rsidRPr="00CC19F7">
        <w:t>tilhøyrer</w:t>
      </w:r>
      <w:proofErr w:type="spellEnd"/>
      <w:r w:rsidRPr="00CC19F7">
        <w:t xml:space="preserve"> fellesskapet, og </w:t>
      </w:r>
      <w:proofErr w:type="spellStart"/>
      <w:r w:rsidRPr="00CC19F7">
        <w:t>verksemda</w:t>
      </w:r>
      <w:proofErr w:type="spellEnd"/>
      <w:r w:rsidRPr="00CC19F7">
        <w:t xml:space="preserve"> er viktig for finansieringa av velferdsstaten. </w:t>
      </w:r>
      <w:proofErr w:type="spellStart"/>
      <w:r w:rsidRPr="00CC19F7">
        <w:t>Innteninga</w:t>
      </w:r>
      <w:proofErr w:type="spellEnd"/>
      <w:r w:rsidRPr="00CC19F7">
        <w:t xml:space="preserve"> </w:t>
      </w:r>
      <w:proofErr w:type="spellStart"/>
      <w:r w:rsidRPr="00CC19F7">
        <w:t>frå</w:t>
      </w:r>
      <w:proofErr w:type="spellEnd"/>
      <w:r w:rsidRPr="00CC19F7">
        <w:t xml:space="preserve"> norsk sokkel var i 2022 på </w:t>
      </w:r>
      <w:proofErr w:type="spellStart"/>
      <w:r w:rsidRPr="00CC19F7">
        <w:t>eit</w:t>
      </w:r>
      <w:proofErr w:type="spellEnd"/>
      <w:r w:rsidRPr="00CC19F7">
        <w:t xml:space="preserve"> historisk høgt nivå. Netto </w:t>
      </w:r>
      <w:proofErr w:type="spellStart"/>
      <w:r w:rsidRPr="00CC19F7">
        <w:t>kontantstraumen</w:t>
      </w:r>
      <w:proofErr w:type="spellEnd"/>
      <w:r w:rsidRPr="00CC19F7">
        <w:t xml:space="preserve"> til staten </w:t>
      </w:r>
      <w:proofErr w:type="spellStart"/>
      <w:r w:rsidRPr="00CC19F7">
        <w:t>frå</w:t>
      </w:r>
      <w:proofErr w:type="spellEnd"/>
      <w:r w:rsidRPr="00CC19F7">
        <w:t xml:space="preserve"> </w:t>
      </w:r>
      <w:proofErr w:type="spellStart"/>
      <w:r w:rsidRPr="00CC19F7">
        <w:t>petroleumsverksemda</w:t>
      </w:r>
      <w:proofErr w:type="spellEnd"/>
      <w:r w:rsidRPr="00CC19F7">
        <w:t xml:space="preserve"> i 2022 var på 1 285 mrd. kroner. I 2023 er anslaget for netto </w:t>
      </w:r>
      <w:proofErr w:type="spellStart"/>
      <w:r w:rsidRPr="00CC19F7">
        <w:t>kontantstraumen</w:t>
      </w:r>
      <w:proofErr w:type="spellEnd"/>
      <w:r w:rsidRPr="00CC19F7">
        <w:t xml:space="preserve"> til staten 903 mrd. kroner. Ved </w:t>
      </w:r>
      <w:proofErr w:type="spellStart"/>
      <w:r w:rsidRPr="00CC19F7">
        <w:t>vedvarande</w:t>
      </w:r>
      <w:proofErr w:type="spellEnd"/>
      <w:r w:rsidRPr="00CC19F7">
        <w:t xml:space="preserve"> høge olje- og </w:t>
      </w:r>
      <w:proofErr w:type="spellStart"/>
      <w:r w:rsidRPr="00CC19F7">
        <w:t>gassprisar</w:t>
      </w:r>
      <w:proofErr w:type="spellEnd"/>
      <w:r w:rsidRPr="00CC19F7">
        <w:t xml:space="preserve"> vil </w:t>
      </w:r>
      <w:proofErr w:type="spellStart"/>
      <w:r w:rsidRPr="00CC19F7">
        <w:t>dei</w:t>
      </w:r>
      <w:proofErr w:type="spellEnd"/>
      <w:r w:rsidRPr="00CC19F7">
        <w:t xml:space="preserve"> samla bidraga til SPU </w:t>
      </w:r>
      <w:proofErr w:type="spellStart"/>
      <w:r w:rsidRPr="00CC19F7">
        <w:t>dei</w:t>
      </w:r>
      <w:proofErr w:type="spellEnd"/>
      <w:r w:rsidRPr="00CC19F7">
        <w:t xml:space="preserve"> neste åra </w:t>
      </w:r>
      <w:proofErr w:type="spellStart"/>
      <w:r w:rsidRPr="00CC19F7">
        <w:t>vere</w:t>
      </w:r>
      <w:proofErr w:type="spellEnd"/>
      <w:r w:rsidRPr="00CC19F7">
        <w:t xml:space="preserve"> store også i forhold til dagens fond.</w:t>
      </w:r>
    </w:p>
    <w:p w14:paraId="3648C2EA" w14:textId="77777777" w:rsidR="00FE02EF" w:rsidRPr="00CC19F7" w:rsidRDefault="00881E58" w:rsidP="00CC19F7">
      <w:r w:rsidRPr="00CC19F7">
        <w:t xml:space="preserve">Næringa er </w:t>
      </w:r>
      <w:proofErr w:type="spellStart"/>
      <w:r w:rsidRPr="00CC19F7">
        <w:t>ein</w:t>
      </w:r>
      <w:proofErr w:type="spellEnd"/>
      <w:r w:rsidRPr="00CC19F7">
        <w:t xml:space="preserve"> viktig </w:t>
      </w:r>
      <w:proofErr w:type="spellStart"/>
      <w:r w:rsidRPr="00CC19F7">
        <w:t>bidragsytar</w:t>
      </w:r>
      <w:proofErr w:type="spellEnd"/>
      <w:r w:rsidRPr="00CC19F7">
        <w:t xml:space="preserve"> til økonomisk aktivitet og sysselsetting over heile landet. Ringverknadene på fastlandet er store </w:t>
      </w:r>
      <w:proofErr w:type="spellStart"/>
      <w:r w:rsidRPr="00CC19F7">
        <w:t>frå</w:t>
      </w:r>
      <w:proofErr w:type="spellEnd"/>
      <w:r w:rsidRPr="00CC19F7">
        <w:t xml:space="preserve"> både utbygging og drift. Menon </w:t>
      </w:r>
      <w:proofErr w:type="spellStart"/>
      <w:r w:rsidRPr="00CC19F7">
        <w:t>Economics</w:t>
      </w:r>
      <w:proofErr w:type="spellEnd"/>
      <w:r w:rsidRPr="00CC19F7">
        <w:t xml:space="preserve"> (2023) har berekna den totale sysselsettinga knytt til næringa i 2021. Om lag 204 000 </w:t>
      </w:r>
      <w:proofErr w:type="spellStart"/>
      <w:r w:rsidRPr="00CC19F7">
        <w:t>personar</w:t>
      </w:r>
      <w:proofErr w:type="spellEnd"/>
      <w:r w:rsidRPr="00CC19F7">
        <w:t xml:space="preserve"> busette over heile landet var direkte eller indirekte knytte til næringa.</w:t>
      </w:r>
    </w:p>
    <w:p w14:paraId="206A48D3" w14:textId="77777777" w:rsidR="00FE02EF" w:rsidRPr="00CC19F7" w:rsidRDefault="00881E58" w:rsidP="00CC19F7">
      <w:r w:rsidRPr="00CC19F7">
        <w:t xml:space="preserve">Den samla etterspørselen </w:t>
      </w:r>
      <w:proofErr w:type="spellStart"/>
      <w:r w:rsidRPr="00CC19F7">
        <w:t>frå</w:t>
      </w:r>
      <w:proofErr w:type="spellEnd"/>
      <w:r w:rsidRPr="00CC19F7">
        <w:t xml:space="preserve"> aktiviteten på norsk sokkel mot </w:t>
      </w:r>
      <w:proofErr w:type="spellStart"/>
      <w:r w:rsidRPr="00CC19F7">
        <w:t>fastlandsnæringane</w:t>
      </w:r>
      <w:proofErr w:type="spellEnd"/>
      <w:r w:rsidRPr="00CC19F7">
        <w:t xml:space="preserve"> ligg på </w:t>
      </w:r>
      <w:proofErr w:type="spellStart"/>
      <w:r w:rsidRPr="00CC19F7">
        <w:t>eit</w:t>
      </w:r>
      <w:proofErr w:type="spellEnd"/>
      <w:r w:rsidRPr="00CC19F7">
        <w:t xml:space="preserve"> relativt stabilt nivå.</w:t>
      </w:r>
    </w:p>
    <w:p w14:paraId="28789AE0" w14:textId="77777777" w:rsidR="00FE02EF" w:rsidRPr="00CC19F7" w:rsidRDefault="00881E58" w:rsidP="00CC19F7">
      <w:r w:rsidRPr="00CC19F7">
        <w:t xml:space="preserve">Næringa er teknologisk avansert og høgproduktiv. Den høge produktiviteten i næringa underbygger den høge levestandarden i </w:t>
      </w:r>
      <w:proofErr w:type="spellStart"/>
      <w:r w:rsidRPr="00CC19F7">
        <w:t>Noreg</w:t>
      </w:r>
      <w:proofErr w:type="spellEnd"/>
      <w:r w:rsidRPr="00CC19F7">
        <w:t xml:space="preserve">. Næringa stimulerer til positiv nærings- og teknologiutvikling i heile den norske økonomien og bidrar dermed på mange </w:t>
      </w:r>
      <w:proofErr w:type="spellStart"/>
      <w:r w:rsidRPr="00CC19F7">
        <w:t>måtar</w:t>
      </w:r>
      <w:proofErr w:type="spellEnd"/>
      <w:r w:rsidRPr="00CC19F7">
        <w:t xml:space="preserve"> til ei positiv samfunnsutvikling.</w:t>
      </w:r>
    </w:p>
    <w:p w14:paraId="35DA3D25" w14:textId="77777777" w:rsidR="00FE02EF" w:rsidRPr="00CC19F7" w:rsidRDefault="00881E58" w:rsidP="00CC19F7">
      <w:r w:rsidRPr="00CC19F7">
        <w:t xml:space="preserve">I 2022 stod </w:t>
      </w:r>
      <w:proofErr w:type="spellStart"/>
      <w:r w:rsidRPr="00CC19F7">
        <w:t>petroleumsverksemda</w:t>
      </w:r>
      <w:proofErr w:type="spellEnd"/>
      <w:r w:rsidRPr="00CC19F7">
        <w:t xml:space="preserve"> for rundt 35 prosent av all verdiskaping i landet og utgjorde om lag 64 prosent av </w:t>
      </w:r>
      <w:proofErr w:type="spellStart"/>
      <w:r w:rsidRPr="00CC19F7">
        <w:t>eksportverdiane</w:t>
      </w:r>
      <w:proofErr w:type="spellEnd"/>
      <w:r w:rsidRPr="00CC19F7">
        <w:t xml:space="preserve">, ifølge tal </w:t>
      </w:r>
      <w:proofErr w:type="spellStart"/>
      <w:r w:rsidRPr="00CC19F7">
        <w:t>frå</w:t>
      </w:r>
      <w:proofErr w:type="spellEnd"/>
      <w:r w:rsidRPr="00CC19F7">
        <w:t xml:space="preserve"> SSB. Sektoren bidrar til at BNP per </w:t>
      </w:r>
      <w:proofErr w:type="spellStart"/>
      <w:r w:rsidRPr="00CC19F7">
        <w:t>innbyggar</w:t>
      </w:r>
      <w:proofErr w:type="spellEnd"/>
      <w:r w:rsidRPr="00CC19F7">
        <w:t xml:space="preserve"> er </w:t>
      </w:r>
      <w:proofErr w:type="spellStart"/>
      <w:r w:rsidRPr="00CC19F7">
        <w:t>vesentleg</w:t>
      </w:r>
      <w:proofErr w:type="spellEnd"/>
      <w:r w:rsidRPr="00CC19F7">
        <w:t xml:space="preserve"> </w:t>
      </w:r>
      <w:proofErr w:type="spellStart"/>
      <w:r w:rsidRPr="00CC19F7">
        <w:t>høgare</w:t>
      </w:r>
      <w:proofErr w:type="spellEnd"/>
      <w:r w:rsidRPr="00CC19F7">
        <w:t xml:space="preserve"> i </w:t>
      </w:r>
      <w:proofErr w:type="spellStart"/>
      <w:r w:rsidRPr="00CC19F7">
        <w:t>Noreg</w:t>
      </w:r>
      <w:proofErr w:type="spellEnd"/>
      <w:r w:rsidRPr="00CC19F7">
        <w:t xml:space="preserve"> enn for </w:t>
      </w:r>
      <w:proofErr w:type="spellStart"/>
      <w:r w:rsidRPr="00CC19F7">
        <w:t>dei</w:t>
      </w:r>
      <w:proofErr w:type="spellEnd"/>
      <w:r w:rsidRPr="00CC19F7">
        <w:t xml:space="preserve"> aller fleste av </w:t>
      </w:r>
      <w:proofErr w:type="spellStart"/>
      <w:r w:rsidRPr="00CC19F7">
        <w:t>handelspartnarane</w:t>
      </w:r>
      <w:proofErr w:type="spellEnd"/>
      <w:r w:rsidRPr="00CC19F7">
        <w:t xml:space="preserve"> våre.</w:t>
      </w:r>
    </w:p>
    <w:p w14:paraId="10689002" w14:textId="77777777" w:rsidR="00FE02EF" w:rsidRPr="00CC19F7" w:rsidRDefault="00881E58" w:rsidP="00CC19F7">
      <w:r w:rsidRPr="00CC19F7">
        <w:t xml:space="preserve">Det totale ressursestimatet for både påviste og </w:t>
      </w:r>
      <w:proofErr w:type="spellStart"/>
      <w:r w:rsidRPr="00CC19F7">
        <w:t>ikkje</w:t>
      </w:r>
      <w:proofErr w:type="spellEnd"/>
      <w:r w:rsidRPr="00CC19F7">
        <w:t xml:space="preserve"> påviste </w:t>
      </w:r>
      <w:proofErr w:type="spellStart"/>
      <w:r w:rsidRPr="00CC19F7">
        <w:t>ressursar</w:t>
      </w:r>
      <w:proofErr w:type="spellEnd"/>
      <w:r w:rsidRPr="00CC19F7">
        <w:t xml:space="preserve"> er på 15,8 mrd. Sm</w:t>
      </w:r>
      <w:r w:rsidRPr="00CC19F7">
        <w:rPr>
          <w:rStyle w:val="skrift-hevet"/>
        </w:rPr>
        <w:t>3</w:t>
      </w:r>
      <w:r w:rsidRPr="00CC19F7">
        <w:t xml:space="preserve"> </w:t>
      </w:r>
      <w:proofErr w:type="spellStart"/>
      <w:r w:rsidRPr="00CC19F7">
        <w:t>o.e</w:t>
      </w:r>
      <w:proofErr w:type="spellEnd"/>
      <w:r w:rsidRPr="00CC19F7">
        <w:t xml:space="preserve">. Om lag halvparten var </w:t>
      </w:r>
      <w:proofErr w:type="spellStart"/>
      <w:r w:rsidRPr="00CC19F7">
        <w:t>seld</w:t>
      </w:r>
      <w:proofErr w:type="spellEnd"/>
      <w:r w:rsidRPr="00CC19F7">
        <w:t xml:space="preserve"> og levert ved utgangen av 2022. Av </w:t>
      </w:r>
      <w:proofErr w:type="spellStart"/>
      <w:r w:rsidRPr="00CC19F7">
        <w:t>dei</w:t>
      </w:r>
      <w:proofErr w:type="spellEnd"/>
      <w:r w:rsidRPr="00CC19F7">
        <w:t xml:space="preserve"> </w:t>
      </w:r>
      <w:proofErr w:type="spellStart"/>
      <w:r w:rsidRPr="00CC19F7">
        <w:t>ressursane</w:t>
      </w:r>
      <w:proofErr w:type="spellEnd"/>
      <w:r w:rsidRPr="00CC19F7">
        <w:t xml:space="preserve"> som er att, er det grunn til å tru at rundt halvparten er påviste </w:t>
      </w:r>
      <w:proofErr w:type="spellStart"/>
      <w:r w:rsidRPr="00CC19F7">
        <w:t>ressursar</w:t>
      </w:r>
      <w:proofErr w:type="spellEnd"/>
      <w:r w:rsidRPr="00CC19F7">
        <w:t xml:space="preserve">. Det er stor </w:t>
      </w:r>
      <w:proofErr w:type="spellStart"/>
      <w:r w:rsidRPr="00CC19F7">
        <w:t>usikkerheit</w:t>
      </w:r>
      <w:proofErr w:type="spellEnd"/>
      <w:r w:rsidRPr="00CC19F7">
        <w:t xml:space="preserve"> om estimatet over </w:t>
      </w:r>
      <w:proofErr w:type="spellStart"/>
      <w:r w:rsidRPr="00CC19F7">
        <w:t>ikkje</w:t>
      </w:r>
      <w:proofErr w:type="spellEnd"/>
      <w:r w:rsidRPr="00CC19F7">
        <w:t xml:space="preserve"> påviste </w:t>
      </w:r>
      <w:proofErr w:type="spellStart"/>
      <w:r w:rsidRPr="00CC19F7">
        <w:t>ressursar</w:t>
      </w:r>
      <w:proofErr w:type="spellEnd"/>
      <w:r w:rsidRPr="00CC19F7">
        <w:t xml:space="preserve">. Estimatet inkluderer også antatte </w:t>
      </w:r>
      <w:proofErr w:type="spellStart"/>
      <w:r w:rsidRPr="00CC19F7">
        <w:t>ressursar</w:t>
      </w:r>
      <w:proofErr w:type="spellEnd"/>
      <w:r w:rsidRPr="00CC19F7">
        <w:t xml:space="preserve"> i område som i dag </w:t>
      </w:r>
      <w:proofErr w:type="spellStart"/>
      <w:r w:rsidRPr="00CC19F7">
        <w:t>ikkje</w:t>
      </w:r>
      <w:proofErr w:type="spellEnd"/>
      <w:r w:rsidRPr="00CC19F7">
        <w:t xml:space="preserve"> er </w:t>
      </w:r>
      <w:proofErr w:type="spellStart"/>
      <w:r w:rsidRPr="00CC19F7">
        <w:t>opna</w:t>
      </w:r>
      <w:proofErr w:type="spellEnd"/>
      <w:r w:rsidRPr="00CC19F7">
        <w:t xml:space="preserve"> for </w:t>
      </w:r>
      <w:proofErr w:type="spellStart"/>
      <w:r w:rsidRPr="00CC19F7">
        <w:t>petroleumsverksemd</w:t>
      </w:r>
      <w:proofErr w:type="spellEnd"/>
      <w:r w:rsidRPr="00CC19F7">
        <w:t>.</w:t>
      </w:r>
    </w:p>
    <w:p w14:paraId="16694EDB" w14:textId="77777777" w:rsidR="00FE02EF" w:rsidRPr="00CC19F7" w:rsidRDefault="00881E58" w:rsidP="00CC19F7">
      <w:r w:rsidRPr="00CC19F7">
        <w:t xml:space="preserve">Leiteaktiviteten </w:t>
      </w:r>
      <w:proofErr w:type="spellStart"/>
      <w:r w:rsidRPr="00CC19F7">
        <w:t>heldt</w:t>
      </w:r>
      <w:proofErr w:type="spellEnd"/>
      <w:r w:rsidRPr="00CC19F7">
        <w:t xml:space="preserve"> seg i 2022 på </w:t>
      </w:r>
      <w:proofErr w:type="spellStart"/>
      <w:r w:rsidRPr="00CC19F7">
        <w:t>eit</w:t>
      </w:r>
      <w:proofErr w:type="spellEnd"/>
      <w:r w:rsidRPr="00CC19F7">
        <w:t xml:space="preserve"> stabilt nivå. Det blei påbegynt 34 </w:t>
      </w:r>
      <w:proofErr w:type="spellStart"/>
      <w:r w:rsidRPr="00CC19F7">
        <w:t>leitebrønnar</w:t>
      </w:r>
      <w:proofErr w:type="spellEnd"/>
      <w:r w:rsidRPr="00CC19F7">
        <w:t xml:space="preserve">, </w:t>
      </w:r>
      <w:proofErr w:type="spellStart"/>
      <w:r w:rsidRPr="00CC19F7">
        <w:t>noko</w:t>
      </w:r>
      <w:proofErr w:type="spellEnd"/>
      <w:r w:rsidRPr="00CC19F7">
        <w:t xml:space="preserve"> færre enn i 2021. Det blei gjort tolv olje- og gassfunn, med </w:t>
      </w:r>
      <w:proofErr w:type="spellStart"/>
      <w:r w:rsidRPr="00CC19F7">
        <w:t>eit</w:t>
      </w:r>
      <w:proofErr w:type="spellEnd"/>
      <w:r w:rsidRPr="00CC19F7">
        <w:t xml:space="preserve"> førebels samla ressursestimat på om lag 52 mill. Sm</w:t>
      </w:r>
      <w:r w:rsidRPr="00CC19F7">
        <w:rPr>
          <w:rStyle w:val="skrift-hevet"/>
        </w:rPr>
        <w:t>3</w:t>
      </w:r>
      <w:r w:rsidRPr="00CC19F7">
        <w:t xml:space="preserve"> </w:t>
      </w:r>
      <w:proofErr w:type="spellStart"/>
      <w:r w:rsidRPr="00CC19F7">
        <w:t>o.e</w:t>
      </w:r>
      <w:proofErr w:type="spellEnd"/>
      <w:r w:rsidRPr="00CC19F7">
        <w:t xml:space="preserve">. I perioden 2010 til 2022 blei 424 </w:t>
      </w:r>
      <w:proofErr w:type="spellStart"/>
      <w:r w:rsidRPr="00CC19F7">
        <w:t>undersøkingsbrønnar</w:t>
      </w:r>
      <w:proofErr w:type="spellEnd"/>
      <w:r w:rsidRPr="00CC19F7">
        <w:t xml:space="preserve"> avslutta, og 210 resulterte i funn. Det vil </w:t>
      </w:r>
      <w:proofErr w:type="spellStart"/>
      <w:r w:rsidRPr="00CC19F7">
        <w:t>seie</w:t>
      </w:r>
      <w:proofErr w:type="spellEnd"/>
      <w:r w:rsidRPr="00CC19F7">
        <w:t xml:space="preserve"> </w:t>
      </w:r>
      <w:proofErr w:type="spellStart"/>
      <w:r w:rsidRPr="00CC19F7">
        <w:t>ein</w:t>
      </w:r>
      <w:proofErr w:type="spellEnd"/>
      <w:r w:rsidRPr="00CC19F7">
        <w:t xml:space="preserve"> funnsuksess på nær 50 prosent, </w:t>
      </w:r>
      <w:proofErr w:type="spellStart"/>
      <w:r w:rsidRPr="00CC19F7">
        <w:t>noko</w:t>
      </w:r>
      <w:proofErr w:type="spellEnd"/>
      <w:r w:rsidRPr="00CC19F7">
        <w:t xml:space="preserve"> som er høgt i internasjonal </w:t>
      </w:r>
      <w:proofErr w:type="spellStart"/>
      <w:r w:rsidRPr="00CC19F7">
        <w:t>samanheng</w:t>
      </w:r>
      <w:proofErr w:type="spellEnd"/>
      <w:r w:rsidRPr="00CC19F7">
        <w:t>.</w:t>
      </w:r>
    </w:p>
    <w:p w14:paraId="6102EEE3" w14:textId="77777777" w:rsidR="00FE02EF" w:rsidRPr="00CC19F7" w:rsidRDefault="00881E58" w:rsidP="00CC19F7">
      <w:r w:rsidRPr="00CC19F7">
        <w:t xml:space="preserve">Den samla samfunnsøkonomiske avkastninga </w:t>
      </w:r>
      <w:proofErr w:type="spellStart"/>
      <w:r w:rsidRPr="00CC19F7">
        <w:t>frå</w:t>
      </w:r>
      <w:proofErr w:type="spellEnd"/>
      <w:r w:rsidRPr="00CC19F7">
        <w:t xml:space="preserve"> leiting </w:t>
      </w:r>
      <w:proofErr w:type="spellStart"/>
      <w:r w:rsidRPr="00CC19F7">
        <w:t>dei</w:t>
      </w:r>
      <w:proofErr w:type="spellEnd"/>
      <w:r w:rsidRPr="00CC19F7">
        <w:t xml:space="preserve"> siste 20 åra er anslått til å </w:t>
      </w:r>
      <w:proofErr w:type="spellStart"/>
      <w:r w:rsidRPr="00CC19F7">
        <w:t>vere</w:t>
      </w:r>
      <w:proofErr w:type="spellEnd"/>
      <w:r w:rsidRPr="00CC19F7">
        <w:t xml:space="preserve"> </w:t>
      </w:r>
      <w:proofErr w:type="spellStart"/>
      <w:r w:rsidRPr="00CC19F7">
        <w:t>vesentleg</w:t>
      </w:r>
      <w:proofErr w:type="spellEnd"/>
      <w:r w:rsidRPr="00CC19F7">
        <w:t xml:space="preserve"> </w:t>
      </w:r>
      <w:proofErr w:type="spellStart"/>
      <w:r w:rsidRPr="00CC19F7">
        <w:t>høgare</w:t>
      </w:r>
      <w:proofErr w:type="spellEnd"/>
      <w:r w:rsidRPr="00CC19F7">
        <w:t xml:space="preserve"> enn normal </w:t>
      </w:r>
      <w:proofErr w:type="spellStart"/>
      <w:r w:rsidRPr="00CC19F7">
        <w:t>marknadsavkastning</w:t>
      </w:r>
      <w:proofErr w:type="spellEnd"/>
      <w:r w:rsidRPr="00CC19F7">
        <w:t xml:space="preserve">. I denne perioden har kvar krone investert i leiting gitt 2,40 kroner tilbake, ifølge Ressursrapport 2022 </w:t>
      </w:r>
      <w:proofErr w:type="spellStart"/>
      <w:r w:rsidRPr="00CC19F7">
        <w:t>frå</w:t>
      </w:r>
      <w:proofErr w:type="spellEnd"/>
      <w:r w:rsidRPr="00CC19F7">
        <w:t xml:space="preserve"> Sokkeldirektoratet. Dette er </w:t>
      </w:r>
      <w:proofErr w:type="spellStart"/>
      <w:r w:rsidRPr="00CC19F7">
        <w:t>verdiar</w:t>
      </w:r>
      <w:proofErr w:type="spellEnd"/>
      <w:r w:rsidRPr="00CC19F7">
        <w:t xml:space="preserve"> utover 7 prosent avkastning. I 2023 er det venta totalt 37 </w:t>
      </w:r>
      <w:proofErr w:type="spellStart"/>
      <w:r w:rsidRPr="00CC19F7">
        <w:t>leitebrønnar</w:t>
      </w:r>
      <w:proofErr w:type="spellEnd"/>
      <w:r w:rsidRPr="00CC19F7">
        <w:t xml:space="preserve">, </w:t>
      </w:r>
      <w:proofErr w:type="spellStart"/>
      <w:r w:rsidRPr="00CC19F7">
        <w:t>noko</w:t>
      </w:r>
      <w:proofErr w:type="spellEnd"/>
      <w:r w:rsidRPr="00CC19F7">
        <w:t xml:space="preserve"> </w:t>
      </w:r>
      <w:proofErr w:type="spellStart"/>
      <w:r w:rsidRPr="00CC19F7">
        <w:t>fleire</w:t>
      </w:r>
      <w:proofErr w:type="spellEnd"/>
      <w:r w:rsidRPr="00CC19F7">
        <w:t xml:space="preserve"> enn i 2022. Per 30. juni er det bora 18 </w:t>
      </w:r>
      <w:proofErr w:type="spellStart"/>
      <w:r w:rsidRPr="00CC19F7">
        <w:t>leitebrønnar</w:t>
      </w:r>
      <w:proofErr w:type="spellEnd"/>
      <w:r w:rsidRPr="00CC19F7">
        <w:t xml:space="preserve"> totalt. Tolv av </w:t>
      </w:r>
      <w:proofErr w:type="spellStart"/>
      <w:r w:rsidRPr="00CC19F7">
        <w:t>desse</w:t>
      </w:r>
      <w:proofErr w:type="spellEnd"/>
      <w:r w:rsidRPr="00CC19F7">
        <w:t xml:space="preserve"> er </w:t>
      </w:r>
      <w:proofErr w:type="spellStart"/>
      <w:r w:rsidRPr="00CC19F7">
        <w:t>undersøkingsbrønnar</w:t>
      </w:r>
      <w:proofErr w:type="spellEnd"/>
      <w:r w:rsidRPr="00CC19F7">
        <w:t>, og det er gjort sju funn.</w:t>
      </w:r>
    </w:p>
    <w:p w14:paraId="489377AB" w14:textId="77777777" w:rsidR="00FE02EF" w:rsidRPr="00CC19F7" w:rsidRDefault="00881E58" w:rsidP="00CC19F7">
      <w:r w:rsidRPr="00CC19F7">
        <w:t xml:space="preserve">Ressursbasen på norsk sokkel blir stadig </w:t>
      </w:r>
      <w:proofErr w:type="spellStart"/>
      <w:r w:rsidRPr="00CC19F7">
        <w:t>meir</w:t>
      </w:r>
      <w:proofErr w:type="spellEnd"/>
      <w:r w:rsidRPr="00CC19F7">
        <w:t xml:space="preserve"> moden og havområda </w:t>
      </w:r>
      <w:proofErr w:type="spellStart"/>
      <w:r w:rsidRPr="00CC19F7">
        <w:t>meir</w:t>
      </w:r>
      <w:proofErr w:type="spellEnd"/>
      <w:r w:rsidRPr="00CC19F7">
        <w:t xml:space="preserve"> og </w:t>
      </w:r>
      <w:proofErr w:type="spellStart"/>
      <w:r w:rsidRPr="00CC19F7">
        <w:t>meir</w:t>
      </w:r>
      <w:proofErr w:type="spellEnd"/>
      <w:r w:rsidRPr="00CC19F7">
        <w:t xml:space="preserve"> utforska. Dette </w:t>
      </w:r>
      <w:proofErr w:type="spellStart"/>
      <w:r w:rsidRPr="00CC19F7">
        <w:t>inneber</w:t>
      </w:r>
      <w:proofErr w:type="spellEnd"/>
      <w:r w:rsidRPr="00CC19F7">
        <w:t xml:space="preserve"> at det er forventa </w:t>
      </w:r>
      <w:proofErr w:type="spellStart"/>
      <w:r w:rsidRPr="00CC19F7">
        <w:t>lågare</w:t>
      </w:r>
      <w:proofErr w:type="spellEnd"/>
      <w:r w:rsidRPr="00CC19F7">
        <w:t xml:space="preserve"> ressurstilvekst </w:t>
      </w:r>
      <w:proofErr w:type="spellStart"/>
      <w:r w:rsidRPr="00CC19F7">
        <w:t>frå</w:t>
      </w:r>
      <w:proofErr w:type="spellEnd"/>
      <w:r w:rsidRPr="00CC19F7">
        <w:t xml:space="preserve"> leiting framover, </w:t>
      </w:r>
      <w:proofErr w:type="spellStart"/>
      <w:r w:rsidRPr="00CC19F7">
        <w:t>særleg</w:t>
      </w:r>
      <w:proofErr w:type="spellEnd"/>
      <w:r w:rsidRPr="00CC19F7">
        <w:t xml:space="preserve"> i Nordsjøen og Norskehavet, </w:t>
      </w:r>
      <w:proofErr w:type="spellStart"/>
      <w:r w:rsidRPr="00CC19F7">
        <w:t>sjølv</w:t>
      </w:r>
      <w:proofErr w:type="spellEnd"/>
      <w:r w:rsidRPr="00CC19F7">
        <w:t xml:space="preserve"> om historia har vist at det også kan </w:t>
      </w:r>
      <w:proofErr w:type="spellStart"/>
      <w:r w:rsidRPr="00CC19F7">
        <w:t>gjerast</w:t>
      </w:r>
      <w:proofErr w:type="spellEnd"/>
      <w:r w:rsidRPr="00CC19F7">
        <w:t xml:space="preserve"> store overraskingsfunn i </w:t>
      </w:r>
      <w:proofErr w:type="spellStart"/>
      <w:r w:rsidRPr="00CC19F7">
        <w:t>meir</w:t>
      </w:r>
      <w:proofErr w:type="spellEnd"/>
      <w:r w:rsidRPr="00CC19F7">
        <w:t xml:space="preserve"> modne og utforska område. Dei fleste funna </w:t>
      </w:r>
      <w:proofErr w:type="spellStart"/>
      <w:r w:rsidRPr="00CC19F7">
        <w:t>dei</w:t>
      </w:r>
      <w:proofErr w:type="spellEnd"/>
      <w:r w:rsidRPr="00CC19F7">
        <w:t xml:space="preserve"> </w:t>
      </w:r>
      <w:proofErr w:type="spellStart"/>
      <w:r w:rsidRPr="00CC19F7">
        <w:t>seinare</w:t>
      </w:r>
      <w:proofErr w:type="spellEnd"/>
      <w:r w:rsidRPr="00CC19F7">
        <w:t xml:space="preserve"> åra har også </w:t>
      </w:r>
      <w:proofErr w:type="spellStart"/>
      <w:r w:rsidRPr="00CC19F7">
        <w:t>vore</w:t>
      </w:r>
      <w:proofErr w:type="spellEnd"/>
      <w:r w:rsidRPr="00CC19F7">
        <w:t xml:space="preserve"> relativt små. Men mange av </w:t>
      </w:r>
      <w:proofErr w:type="spellStart"/>
      <w:r w:rsidRPr="00CC19F7">
        <w:t>dei</w:t>
      </w:r>
      <w:proofErr w:type="spellEnd"/>
      <w:r w:rsidRPr="00CC19F7">
        <w:t xml:space="preserve"> ligg nær </w:t>
      </w:r>
      <w:proofErr w:type="spellStart"/>
      <w:r w:rsidRPr="00CC19F7">
        <w:t>eksisterande</w:t>
      </w:r>
      <w:proofErr w:type="spellEnd"/>
      <w:r w:rsidRPr="00CC19F7">
        <w:t xml:space="preserve"> infrastruktur, slik at </w:t>
      </w:r>
      <w:proofErr w:type="spellStart"/>
      <w:r w:rsidRPr="00CC19F7">
        <w:t>dei</w:t>
      </w:r>
      <w:proofErr w:type="spellEnd"/>
      <w:r w:rsidRPr="00CC19F7">
        <w:t xml:space="preserve"> kan </w:t>
      </w:r>
      <w:proofErr w:type="spellStart"/>
      <w:r w:rsidRPr="00CC19F7">
        <w:t>utviklast</w:t>
      </w:r>
      <w:proofErr w:type="spellEnd"/>
      <w:r w:rsidRPr="00CC19F7">
        <w:t xml:space="preserve"> kostnadseffektivt og dermed ha god </w:t>
      </w:r>
      <w:proofErr w:type="spellStart"/>
      <w:r w:rsidRPr="00CC19F7">
        <w:t>lønnsemd</w:t>
      </w:r>
      <w:proofErr w:type="spellEnd"/>
      <w:r w:rsidRPr="00CC19F7">
        <w:t xml:space="preserve">. Funn som blir fasa inn til </w:t>
      </w:r>
      <w:proofErr w:type="spellStart"/>
      <w:r w:rsidRPr="00CC19F7">
        <w:t>eksisterande</w:t>
      </w:r>
      <w:proofErr w:type="spellEnd"/>
      <w:r w:rsidRPr="00CC19F7">
        <w:t xml:space="preserve"> infrastruktur, kan også bidra til å forlenge produksjonen </w:t>
      </w:r>
      <w:proofErr w:type="spellStart"/>
      <w:r w:rsidRPr="00CC19F7">
        <w:t>frå</w:t>
      </w:r>
      <w:proofErr w:type="spellEnd"/>
      <w:r w:rsidRPr="00CC19F7">
        <w:t xml:space="preserve"> </w:t>
      </w:r>
      <w:proofErr w:type="spellStart"/>
      <w:r w:rsidRPr="00CC19F7">
        <w:t>eksisterande</w:t>
      </w:r>
      <w:proofErr w:type="spellEnd"/>
      <w:r w:rsidRPr="00CC19F7">
        <w:t xml:space="preserve"> felt.</w:t>
      </w:r>
    </w:p>
    <w:p w14:paraId="5C62C8F7" w14:textId="77777777" w:rsidR="00FE02EF" w:rsidRPr="00CC19F7" w:rsidRDefault="00881E58" w:rsidP="00CC19F7">
      <w:r w:rsidRPr="00CC19F7">
        <w:t xml:space="preserve">Dagens funnportefølje </w:t>
      </w:r>
      <w:proofErr w:type="spellStart"/>
      <w:r w:rsidRPr="00CC19F7">
        <w:t>inneheld</w:t>
      </w:r>
      <w:proofErr w:type="spellEnd"/>
      <w:r w:rsidRPr="00CC19F7">
        <w:t xml:space="preserve"> få store funn som forsvarer sjølvstendige </w:t>
      </w:r>
      <w:proofErr w:type="spellStart"/>
      <w:r w:rsidRPr="00CC19F7">
        <w:t>utbyggingar</w:t>
      </w:r>
      <w:proofErr w:type="spellEnd"/>
      <w:r w:rsidRPr="00CC19F7">
        <w:t xml:space="preserve">, og som kan gi stor produksjon over tid. Skal </w:t>
      </w:r>
      <w:proofErr w:type="spellStart"/>
      <w:r w:rsidRPr="00CC19F7">
        <w:t>ein</w:t>
      </w:r>
      <w:proofErr w:type="spellEnd"/>
      <w:r w:rsidRPr="00CC19F7">
        <w:t xml:space="preserve"> </w:t>
      </w:r>
      <w:proofErr w:type="spellStart"/>
      <w:r w:rsidRPr="00CC19F7">
        <w:t>halde</w:t>
      </w:r>
      <w:proofErr w:type="spellEnd"/>
      <w:r w:rsidRPr="00CC19F7">
        <w:t xml:space="preserve"> oppe produksjon, sysselsetting, verdiskaping og </w:t>
      </w:r>
      <w:proofErr w:type="spellStart"/>
      <w:r w:rsidRPr="00CC19F7">
        <w:t>statlege</w:t>
      </w:r>
      <w:proofErr w:type="spellEnd"/>
      <w:r w:rsidRPr="00CC19F7">
        <w:t xml:space="preserve"> inntekter over tid er </w:t>
      </w:r>
      <w:proofErr w:type="spellStart"/>
      <w:r w:rsidRPr="00CC19F7">
        <w:t>ein</w:t>
      </w:r>
      <w:proofErr w:type="spellEnd"/>
      <w:r w:rsidRPr="00CC19F7">
        <w:t xml:space="preserve"> derfor avhengig av å </w:t>
      </w:r>
      <w:proofErr w:type="spellStart"/>
      <w:r w:rsidRPr="00CC19F7">
        <w:t>gjere</w:t>
      </w:r>
      <w:proofErr w:type="spellEnd"/>
      <w:r w:rsidRPr="00CC19F7">
        <w:t xml:space="preserve"> nye store drivverdige funn. Potensialet for store funn i </w:t>
      </w:r>
      <w:proofErr w:type="spellStart"/>
      <w:r w:rsidRPr="00CC19F7">
        <w:t>opne</w:t>
      </w:r>
      <w:proofErr w:type="spellEnd"/>
      <w:r w:rsidRPr="00CC19F7">
        <w:t xml:space="preserve"> område er størst i Barentshavet, som er det minst utforska havområdet på norsk sokkel.</w:t>
      </w:r>
    </w:p>
    <w:p w14:paraId="54C49082" w14:textId="77777777" w:rsidR="00FE02EF" w:rsidRPr="00CC19F7" w:rsidRDefault="00881E58" w:rsidP="00CC19F7">
      <w:r w:rsidRPr="00CC19F7">
        <w:t>I 2022 blei det produsert totalt 232 mill. Sm</w:t>
      </w:r>
      <w:r w:rsidRPr="00CC19F7">
        <w:rPr>
          <w:rStyle w:val="skrift-hevet"/>
        </w:rPr>
        <w:t>3</w:t>
      </w:r>
      <w:r w:rsidRPr="00CC19F7">
        <w:t xml:space="preserve"> </w:t>
      </w:r>
      <w:proofErr w:type="spellStart"/>
      <w:r w:rsidRPr="00CC19F7">
        <w:t>o.e</w:t>
      </w:r>
      <w:proofErr w:type="spellEnd"/>
      <w:r w:rsidRPr="00CC19F7">
        <w:t xml:space="preserve">., </w:t>
      </w:r>
      <w:proofErr w:type="spellStart"/>
      <w:r w:rsidRPr="00CC19F7">
        <w:t>noko</w:t>
      </w:r>
      <w:proofErr w:type="spellEnd"/>
      <w:r w:rsidRPr="00CC19F7">
        <w:t xml:space="preserve"> som svarer til 4 mill. fat </w:t>
      </w:r>
      <w:proofErr w:type="spellStart"/>
      <w:r w:rsidRPr="00CC19F7">
        <w:t>o.e</w:t>
      </w:r>
      <w:proofErr w:type="spellEnd"/>
      <w:r w:rsidRPr="00CC19F7">
        <w:t xml:space="preserve">. per dag. Oljeproduksjonen er i dag </w:t>
      </w:r>
      <w:proofErr w:type="spellStart"/>
      <w:r w:rsidRPr="00CC19F7">
        <w:t>vesentleg</w:t>
      </w:r>
      <w:proofErr w:type="spellEnd"/>
      <w:r w:rsidRPr="00CC19F7">
        <w:t xml:space="preserve"> </w:t>
      </w:r>
      <w:proofErr w:type="spellStart"/>
      <w:r w:rsidRPr="00CC19F7">
        <w:t>lågare</w:t>
      </w:r>
      <w:proofErr w:type="spellEnd"/>
      <w:r w:rsidRPr="00CC19F7">
        <w:t xml:space="preserve"> enn for 20 år </w:t>
      </w:r>
      <w:proofErr w:type="spellStart"/>
      <w:r w:rsidRPr="00CC19F7">
        <w:t>sidan</w:t>
      </w:r>
      <w:proofErr w:type="spellEnd"/>
      <w:r w:rsidRPr="00CC19F7">
        <w:t xml:space="preserve">, </w:t>
      </w:r>
      <w:proofErr w:type="spellStart"/>
      <w:r w:rsidRPr="00CC19F7">
        <w:t>medan</w:t>
      </w:r>
      <w:proofErr w:type="spellEnd"/>
      <w:r w:rsidRPr="00CC19F7">
        <w:t xml:space="preserve"> norsk gassproduksjon </w:t>
      </w:r>
      <w:proofErr w:type="spellStart"/>
      <w:r w:rsidRPr="00CC19F7">
        <w:t>no</w:t>
      </w:r>
      <w:proofErr w:type="spellEnd"/>
      <w:r w:rsidRPr="00CC19F7">
        <w:t xml:space="preserve"> er på platå. Den samla produksjonen er forventa å </w:t>
      </w:r>
      <w:proofErr w:type="spellStart"/>
      <w:r w:rsidRPr="00CC19F7">
        <w:t>auke</w:t>
      </w:r>
      <w:proofErr w:type="spellEnd"/>
      <w:r w:rsidRPr="00CC19F7">
        <w:t xml:space="preserve"> </w:t>
      </w:r>
      <w:proofErr w:type="spellStart"/>
      <w:r w:rsidRPr="00CC19F7">
        <w:t>noko</w:t>
      </w:r>
      <w:proofErr w:type="spellEnd"/>
      <w:r w:rsidRPr="00CC19F7">
        <w:t xml:space="preserve"> fram til 2025.</w:t>
      </w:r>
    </w:p>
    <w:p w14:paraId="13E8B0D5" w14:textId="77777777" w:rsidR="00FE02EF" w:rsidRPr="00CC19F7" w:rsidRDefault="00881E58" w:rsidP="00CC19F7">
      <w:r w:rsidRPr="00CC19F7">
        <w:t xml:space="preserve">Med dagens planar og prosjekt er produksjonen på norsk sokkel venta å </w:t>
      </w:r>
      <w:proofErr w:type="spellStart"/>
      <w:r w:rsidRPr="00CC19F7">
        <w:t>vere</w:t>
      </w:r>
      <w:proofErr w:type="spellEnd"/>
      <w:r w:rsidRPr="00CC19F7">
        <w:t xml:space="preserve"> på </w:t>
      </w:r>
      <w:proofErr w:type="spellStart"/>
      <w:r w:rsidRPr="00CC19F7">
        <w:t>eit</w:t>
      </w:r>
      <w:proofErr w:type="spellEnd"/>
      <w:r w:rsidRPr="00CC19F7">
        <w:t xml:space="preserve"> høgt nivå det neste tiåret. Deretter er det venta at det går raskt nedover, med mindre det blir gjort nye store funn som blir bygde ut. For norsk sokkel samla sett er det behov for store </w:t>
      </w:r>
      <w:proofErr w:type="spellStart"/>
      <w:r w:rsidRPr="00CC19F7">
        <w:t>investeringar</w:t>
      </w:r>
      <w:proofErr w:type="spellEnd"/>
      <w:r w:rsidRPr="00CC19F7">
        <w:t xml:space="preserve"> både i lønnsame tiltak for </w:t>
      </w:r>
      <w:proofErr w:type="spellStart"/>
      <w:r w:rsidRPr="00CC19F7">
        <w:t>auka</w:t>
      </w:r>
      <w:proofErr w:type="spellEnd"/>
      <w:r w:rsidRPr="00CC19F7">
        <w:t xml:space="preserve"> utvinning på </w:t>
      </w:r>
      <w:proofErr w:type="spellStart"/>
      <w:r w:rsidRPr="00CC19F7">
        <w:t>eksisterande</w:t>
      </w:r>
      <w:proofErr w:type="spellEnd"/>
      <w:r w:rsidRPr="00CC19F7">
        <w:t xml:space="preserve"> felt og utvikling av nye, lønnsame felt for å bremse det naturlege fallet i produksjon på </w:t>
      </w:r>
      <w:proofErr w:type="spellStart"/>
      <w:r w:rsidRPr="00CC19F7">
        <w:t>eksisterande</w:t>
      </w:r>
      <w:proofErr w:type="spellEnd"/>
      <w:r w:rsidRPr="00CC19F7">
        <w:t xml:space="preserve"> felt framover i tid.</w:t>
      </w:r>
    </w:p>
    <w:p w14:paraId="60D49A8B" w14:textId="77777777" w:rsidR="00FE02EF" w:rsidRPr="00CC19F7" w:rsidRDefault="00881E58" w:rsidP="00CC19F7">
      <w:r w:rsidRPr="00CC19F7">
        <w:t xml:space="preserve">Totale </w:t>
      </w:r>
      <w:proofErr w:type="spellStart"/>
      <w:r w:rsidRPr="00CC19F7">
        <w:t>petroleumsinvesteringar</w:t>
      </w:r>
      <w:proofErr w:type="spellEnd"/>
      <w:r w:rsidRPr="00CC19F7">
        <w:t xml:space="preserve">, inkludert leite- og fjerningskostnader, var i 2022 på rundt 176 mrd. kroner. Olje- og energidepartementet har i perioden </w:t>
      </w:r>
      <w:proofErr w:type="spellStart"/>
      <w:r w:rsidRPr="00CC19F7">
        <w:t>frå</w:t>
      </w:r>
      <w:proofErr w:type="spellEnd"/>
      <w:r w:rsidRPr="00CC19F7">
        <w:t xml:space="preserve"> juni 2020 til 2022 mottatt </w:t>
      </w:r>
      <w:proofErr w:type="spellStart"/>
      <w:r w:rsidRPr="00CC19F7">
        <w:t>utbyggingsplanar</w:t>
      </w:r>
      <w:proofErr w:type="spellEnd"/>
      <w:r w:rsidRPr="00CC19F7">
        <w:t xml:space="preserve"> for 18 nye </w:t>
      </w:r>
      <w:proofErr w:type="spellStart"/>
      <w:r w:rsidRPr="00CC19F7">
        <w:t>utbyggingar</w:t>
      </w:r>
      <w:proofErr w:type="spellEnd"/>
      <w:r w:rsidRPr="00CC19F7">
        <w:t xml:space="preserve"> og 13 planar for </w:t>
      </w:r>
      <w:proofErr w:type="spellStart"/>
      <w:r w:rsidRPr="00CC19F7">
        <w:t>vidareutvikling</w:t>
      </w:r>
      <w:proofErr w:type="spellEnd"/>
      <w:r w:rsidRPr="00CC19F7">
        <w:t xml:space="preserve"> av felt i produksjon. I tillegg er det i denne perioden tatt avgjerder om </w:t>
      </w:r>
      <w:proofErr w:type="spellStart"/>
      <w:r w:rsidRPr="00CC19F7">
        <w:t>investeringar</w:t>
      </w:r>
      <w:proofErr w:type="spellEnd"/>
      <w:r w:rsidRPr="00CC19F7">
        <w:t xml:space="preserve"> i prosjekt for </w:t>
      </w:r>
      <w:proofErr w:type="spellStart"/>
      <w:r w:rsidRPr="00CC19F7">
        <w:t>auka</w:t>
      </w:r>
      <w:proofErr w:type="spellEnd"/>
      <w:r w:rsidRPr="00CC19F7">
        <w:t xml:space="preserve"> utvinning mv. ved </w:t>
      </w:r>
      <w:proofErr w:type="spellStart"/>
      <w:r w:rsidRPr="00CC19F7">
        <w:t>eksisterande</w:t>
      </w:r>
      <w:proofErr w:type="spellEnd"/>
      <w:r w:rsidRPr="00CC19F7">
        <w:t xml:space="preserve"> felt. Ifølge Menon </w:t>
      </w:r>
      <w:proofErr w:type="spellStart"/>
      <w:r w:rsidRPr="00CC19F7">
        <w:t>Economics</w:t>
      </w:r>
      <w:proofErr w:type="spellEnd"/>
      <w:r w:rsidRPr="00CC19F7">
        <w:t xml:space="preserve"> (2023) gir </w:t>
      </w:r>
      <w:proofErr w:type="spellStart"/>
      <w:r w:rsidRPr="00CC19F7">
        <w:t>desse</w:t>
      </w:r>
      <w:proofErr w:type="spellEnd"/>
      <w:r w:rsidRPr="00CC19F7">
        <w:t xml:space="preserve"> prosjekta samla </w:t>
      </w:r>
      <w:proofErr w:type="spellStart"/>
      <w:r w:rsidRPr="00CC19F7">
        <w:t>investeringar</w:t>
      </w:r>
      <w:proofErr w:type="spellEnd"/>
      <w:r w:rsidRPr="00CC19F7">
        <w:t xml:space="preserve"> på om lag 440 mrd. kroner. Av dette er om lag 290 mrd. kroner venta å rette seg mot norsk leverandørindustri, og </w:t>
      </w:r>
      <w:proofErr w:type="spellStart"/>
      <w:r w:rsidRPr="00CC19F7">
        <w:t>investeringane</w:t>
      </w:r>
      <w:proofErr w:type="spellEnd"/>
      <w:r w:rsidRPr="00CC19F7">
        <w:t xml:space="preserve"> er berekna å gi grunnlag for om lag 158 000 årsverk i perioden </w:t>
      </w:r>
      <w:proofErr w:type="spellStart"/>
      <w:r w:rsidRPr="00CC19F7">
        <w:t>frå</w:t>
      </w:r>
      <w:proofErr w:type="spellEnd"/>
      <w:r w:rsidRPr="00CC19F7">
        <w:t xml:space="preserve"> 2020 til 2029. </w:t>
      </w:r>
      <w:proofErr w:type="spellStart"/>
      <w:r w:rsidRPr="00CC19F7">
        <w:t>Desse</w:t>
      </w:r>
      <w:proofErr w:type="spellEnd"/>
      <w:r w:rsidRPr="00CC19F7">
        <w:t xml:space="preserve"> prosjekta bidrar til å </w:t>
      </w:r>
      <w:proofErr w:type="spellStart"/>
      <w:r w:rsidRPr="00CC19F7">
        <w:t>halde</w:t>
      </w:r>
      <w:proofErr w:type="spellEnd"/>
      <w:r w:rsidRPr="00CC19F7">
        <w:t xml:space="preserve"> investeringsnivået oppe og vil bidra til å bremse det </w:t>
      </w:r>
      <w:proofErr w:type="spellStart"/>
      <w:r w:rsidRPr="00CC19F7">
        <w:t>underliggande</w:t>
      </w:r>
      <w:proofErr w:type="spellEnd"/>
      <w:r w:rsidRPr="00CC19F7">
        <w:t xml:space="preserve"> fallet i produksjonen det neste tiåret.</w:t>
      </w:r>
    </w:p>
    <w:p w14:paraId="5739A50E" w14:textId="77777777" w:rsidR="00FE02EF" w:rsidRPr="00CC19F7" w:rsidRDefault="00881E58" w:rsidP="00CC19F7">
      <w:r w:rsidRPr="00CC19F7">
        <w:t xml:space="preserve">Per 1. september 2023 var 92 felt i produksjon. Det blir </w:t>
      </w:r>
      <w:proofErr w:type="spellStart"/>
      <w:r w:rsidRPr="00CC19F7">
        <w:t>kontinuerleg</w:t>
      </w:r>
      <w:proofErr w:type="spellEnd"/>
      <w:r w:rsidRPr="00CC19F7">
        <w:t xml:space="preserve"> gjort </w:t>
      </w:r>
      <w:proofErr w:type="spellStart"/>
      <w:r w:rsidRPr="00CC19F7">
        <w:t>investeringar</w:t>
      </w:r>
      <w:proofErr w:type="spellEnd"/>
      <w:r w:rsidRPr="00CC19F7">
        <w:t xml:space="preserve"> i </w:t>
      </w:r>
      <w:proofErr w:type="spellStart"/>
      <w:r w:rsidRPr="00CC19F7">
        <w:t>eksisterande</w:t>
      </w:r>
      <w:proofErr w:type="spellEnd"/>
      <w:r w:rsidRPr="00CC19F7">
        <w:t xml:space="preserve"> felt, slik at utvinningsgraden </w:t>
      </w:r>
      <w:proofErr w:type="spellStart"/>
      <w:r w:rsidRPr="00CC19F7">
        <w:t>aukar</w:t>
      </w:r>
      <w:proofErr w:type="spellEnd"/>
      <w:r w:rsidRPr="00CC19F7">
        <w:t xml:space="preserve"> og levetida blir </w:t>
      </w:r>
      <w:proofErr w:type="spellStart"/>
      <w:r w:rsidRPr="00CC19F7">
        <w:t>forlengd</w:t>
      </w:r>
      <w:proofErr w:type="spellEnd"/>
      <w:r w:rsidRPr="00CC19F7">
        <w:t xml:space="preserve">, samtidig som nye felt blir bygde ut. Dei fleste nye </w:t>
      </w:r>
      <w:proofErr w:type="spellStart"/>
      <w:r w:rsidRPr="00CC19F7">
        <w:t>utbyggingar</w:t>
      </w:r>
      <w:proofErr w:type="spellEnd"/>
      <w:r w:rsidRPr="00CC19F7">
        <w:t xml:space="preserve"> på norsk sokkel er </w:t>
      </w:r>
      <w:proofErr w:type="spellStart"/>
      <w:r w:rsidRPr="00CC19F7">
        <w:t>havbotnutbyggingar</w:t>
      </w:r>
      <w:proofErr w:type="spellEnd"/>
      <w:r w:rsidRPr="00CC19F7">
        <w:t xml:space="preserve"> som blir fasa inn til </w:t>
      </w:r>
      <w:proofErr w:type="spellStart"/>
      <w:r w:rsidRPr="00CC19F7">
        <w:t>eksisterande</w:t>
      </w:r>
      <w:proofErr w:type="spellEnd"/>
      <w:r w:rsidRPr="00CC19F7">
        <w:t xml:space="preserve"> infrastruktur. </w:t>
      </w:r>
      <w:proofErr w:type="spellStart"/>
      <w:r w:rsidRPr="00CC19F7">
        <w:t>Sjølv</w:t>
      </w:r>
      <w:proofErr w:type="spellEnd"/>
      <w:r w:rsidRPr="00CC19F7">
        <w:t xml:space="preserve"> slike </w:t>
      </w:r>
      <w:proofErr w:type="spellStart"/>
      <w:r w:rsidRPr="00CC19F7">
        <w:t>utbyggingar</w:t>
      </w:r>
      <w:proofErr w:type="spellEnd"/>
      <w:r w:rsidRPr="00CC19F7">
        <w:t xml:space="preserve"> er kvar for seg store industriprosjekt i </w:t>
      </w:r>
      <w:proofErr w:type="spellStart"/>
      <w:r w:rsidRPr="00CC19F7">
        <w:t>eit</w:t>
      </w:r>
      <w:proofErr w:type="spellEnd"/>
      <w:r w:rsidRPr="00CC19F7">
        <w:t xml:space="preserve"> nasjonalt perspektiv. I 2022 </w:t>
      </w:r>
      <w:proofErr w:type="spellStart"/>
      <w:r w:rsidRPr="00CC19F7">
        <w:t>fekk</w:t>
      </w:r>
      <w:proofErr w:type="spellEnd"/>
      <w:r w:rsidRPr="00CC19F7">
        <w:t xml:space="preserve"> departementet plan for utbygging og drift (PUD) av Yggdrasil, </w:t>
      </w:r>
      <w:proofErr w:type="spellStart"/>
      <w:r w:rsidRPr="00CC19F7">
        <w:t>Fenris</w:t>
      </w:r>
      <w:proofErr w:type="spellEnd"/>
      <w:r w:rsidRPr="00CC19F7">
        <w:t xml:space="preserve">/Valhall, Halten Øst, Tyrving, </w:t>
      </w:r>
      <w:proofErr w:type="spellStart"/>
      <w:r w:rsidRPr="00CC19F7">
        <w:t>Irpa</w:t>
      </w:r>
      <w:proofErr w:type="spellEnd"/>
      <w:r w:rsidRPr="00CC19F7">
        <w:t xml:space="preserve">, Verdande, </w:t>
      </w:r>
      <w:proofErr w:type="spellStart"/>
      <w:r w:rsidRPr="00CC19F7">
        <w:t>Dvalin</w:t>
      </w:r>
      <w:proofErr w:type="spellEnd"/>
      <w:r w:rsidRPr="00CC19F7">
        <w:t xml:space="preserve"> Nord, Symra, Ørn, Idun Nord, </w:t>
      </w:r>
      <w:proofErr w:type="spellStart"/>
      <w:r w:rsidRPr="00CC19F7">
        <w:t>Alve</w:t>
      </w:r>
      <w:proofErr w:type="spellEnd"/>
      <w:r w:rsidRPr="00CC19F7">
        <w:t xml:space="preserve"> Nord, </w:t>
      </w:r>
      <w:proofErr w:type="spellStart"/>
      <w:r w:rsidRPr="00CC19F7">
        <w:t>Berling</w:t>
      </w:r>
      <w:proofErr w:type="spellEnd"/>
      <w:r w:rsidRPr="00CC19F7">
        <w:t xml:space="preserve"> og endra PUD for Snøhvit </w:t>
      </w:r>
      <w:proofErr w:type="spellStart"/>
      <w:r w:rsidRPr="00CC19F7">
        <w:t>Future</w:t>
      </w:r>
      <w:proofErr w:type="spellEnd"/>
      <w:r w:rsidRPr="00CC19F7">
        <w:t xml:space="preserve">, Maria fase 2 og </w:t>
      </w:r>
      <w:proofErr w:type="spellStart"/>
      <w:r w:rsidRPr="00CC19F7">
        <w:t>Eldfisk</w:t>
      </w:r>
      <w:proofErr w:type="spellEnd"/>
      <w:r w:rsidRPr="00CC19F7">
        <w:t xml:space="preserve"> Nord. Departementet har hittil i 2023 godkjent alle </w:t>
      </w:r>
      <w:proofErr w:type="spellStart"/>
      <w:r w:rsidRPr="00CC19F7">
        <w:t>desse</w:t>
      </w:r>
      <w:proofErr w:type="spellEnd"/>
      <w:r w:rsidRPr="00CC19F7">
        <w:t xml:space="preserve"> </w:t>
      </w:r>
      <w:proofErr w:type="spellStart"/>
      <w:r w:rsidRPr="00CC19F7">
        <w:t>planane</w:t>
      </w:r>
      <w:proofErr w:type="spellEnd"/>
      <w:r w:rsidRPr="00CC19F7">
        <w:t xml:space="preserve">. I tillegg har departementet endra PUD for kraft </w:t>
      </w:r>
      <w:proofErr w:type="spellStart"/>
      <w:r w:rsidRPr="00CC19F7">
        <w:t>frå</w:t>
      </w:r>
      <w:proofErr w:type="spellEnd"/>
      <w:r w:rsidRPr="00CC19F7">
        <w:t xml:space="preserve"> land til felta Draugen og Njord til behandling. Hittil i 2023 har departementet mottatt PUD for Eirin.</w:t>
      </w:r>
    </w:p>
    <w:p w14:paraId="597DECC4" w14:textId="77777777" w:rsidR="00FE02EF" w:rsidRPr="00CC19F7" w:rsidRDefault="00881E58" w:rsidP="00CC19F7">
      <w:pPr>
        <w:pStyle w:val="avsnitt-tittel"/>
      </w:pPr>
      <w:proofErr w:type="spellStart"/>
      <w:r w:rsidRPr="00CC19F7">
        <w:t>Oljemarknaden</w:t>
      </w:r>
      <w:proofErr w:type="spellEnd"/>
    </w:p>
    <w:p w14:paraId="4EF0FD82" w14:textId="77777777" w:rsidR="00FE02EF" w:rsidRPr="00CC19F7" w:rsidRDefault="00881E58" w:rsidP="00CC19F7">
      <w:r w:rsidRPr="00CC19F7">
        <w:t xml:space="preserve">Dei siste to åra har </w:t>
      </w:r>
      <w:proofErr w:type="spellStart"/>
      <w:r w:rsidRPr="00CC19F7">
        <w:t>oljemarknaden</w:t>
      </w:r>
      <w:proofErr w:type="spellEnd"/>
      <w:r w:rsidRPr="00CC19F7">
        <w:t xml:space="preserve"> opplevd store </w:t>
      </w:r>
      <w:proofErr w:type="spellStart"/>
      <w:r w:rsidRPr="00CC19F7">
        <w:t>svingingar</w:t>
      </w:r>
      <w:proofErr w:type="spellEnd"/>
      <w:r w:rsidRPr="00CC19F7">
        <w:t xml:space="preserve"> i pris. </w:t>
      </w:r>
      <w:proofErr w:type="spellStart"/>
      <w:r w:rsidRPr="00CC19F7">
        <w:t>Prissvingingane</w:t>
      </w:r>
      <w:proofErr w:type="spellEnd"/>
      <w:r w:rsidRPr="00CC19F7">
        <w:t xml:space="preserve"> kjem i stor grad av </w:t>
      </w:r>
      <w:proofErr w:type="spellStart"/>
      <w:r w:rsidRPr="00CC19F7">
        <w:t>usikkerheit</w:t>
      </w:r>
      <w:proofErr w:type="spellEnd"/>
      <w:r w:rsidRPr="00CC19F7">
        <w:t xml:space="preserve"> rundt den globale økonomiske utviklinga etter koronapandemien og geopolitisk uro. Russlands invasjon av Ukraina og </w:t>
      </w:r>
      <w:proofErr w:type="spellStart"/>
      <w:r w:rsidRPr="00CC19F7">
        <w:t>dei</w:t>
      </w:r>
      <w:proofErr w:type="spellEnd"/>
      <w:r w:rsidRPr="00CC19F7">
        <w:t xml:space="preserve"> </w:t>
      </w:r>
      <w:proofErr w:type="spellStart"/>
      <w:r w:rsidRPr="00CC19F7">
        <w:t>vestlege</w:t>
      </w:r>
      <w:proofErr w:type="spellEnd"/>
      <w:r w:rsidRPr="00CC19F7">
        <w:t xml:space="preserve"> </w:t>
      </w:r>
      <w:proofErr w:type="spellStart"/>
      <w:r w:rsidRPr="00CC19F7">
        <w:t>sanksjonane</w:t>
      </w:r>
      <w:proofErr w:type="spellEnd"/>
      <w:r w:rsidRPr="00CC19F7">
        <w:t xml:space="preserve"> som </w:t>
      </w:r>
      <w:proofErr w:type="spellStart"/>
      <w:r w:rsidRPr="00CC19F7">
        <w:t>følgde</w:t>
      </w:r>
      <w:proofErr w:type="spellEnd"/>
      <w:r w:rsidRPr="00CC19F7">
        <w:t xml:space="preserve">, </w:t>
      </w:r>
      <w:proofErr w:type="spellStart"/>
      <w:r w:rsidRPr="00CC19F7">
        <w:t>påverka</w:t>
      </w:r>
      <w:proofErr w:type="spellEnd"/>
      <w:r w:rsidRPr="00CC19F7">
        <w:t xml:space="preserve"> </w:t>
      </w:r>
      <w:proofErr w:type="spellStart"/>
      <w:r w:rsidRPr="00CC19F7">
        <w:t>oljemarknaden</w:t>
      </w:r>
      <w:proofErr w:type="spellEnd"/>
      <w:r w:rsidRPr="00CC19F7">
        <w:t xml:space="preserve"> – Russland er den tredje største oljeprodusenten i verda.</w:t>
      </w:r>
    </w:p>
    <w:p w14:paraId="0E3A4A0F" w14:textId="77777777" w:rsidR="00FE02EF" w:rsidRPr="00CC19F7" w:rsidRDefault="00881E58" w:rsidP="00CC19F7">
      <w:r w:rsidRPr="00CC19F7">
        <w:t xml:space="preserve">Oljeprisen var </w:t>
      </w:r>
      <w:proofErr w:type="spellStart"/>
      <w:r w:rsidRPr="00CC19F7">
        <w:t>stigande</w:t>
      </w:r>
      <w:proofErr w:type="spellEnd"/>
      <w:r w:rsidRPr="00CC19F7">
        <w:t xml:space="preserve"> ved inngangen av 2022 som følge av </w:t>
      </w:r>
      <w:proofErr w:type="spellStart"/>
      <w:r w:rsidRPr="00CC19F7">
        <w:t>gjeninnhenting</w:t>
      </w:r>
      <w:proofErr w:type="spellEnd"/>
      <w:r w:rsidRPr="00CC19F7">
        <w:t xml:space="preserve"> i etterspørselen etter pandemien og </w:t>
      </w:r>
      <w:proofErr w:type="spellStart"/>
      <w:r w:rsidRPr="00CC19F7">
        <w:t>ein</w:t>
      </w:r>
      <w:proofErr w:type="spellEnd"/>
      <w:r w:rsidRPr="00CC19F7">
        <w:t xml:space="preserve"> etterspørselsvekst som var </w:t>
      </w:r>
      <w:proofErr w:type="spellStart"/>
      <w:r w:rsidRPr="00CC19F7">
        <w:t>sterkare</w:t>
      </w:r>
      <w:proofErr w:type="spellEnd"/>
      <w:r w:rsidRPr="00CC19F7">
        <w:t xml:space="preserve"> enn produksjonsveksten. Oljeprisen </w:t>
      </w:r>
      <w:proofErr w:type="spellStart"/>
      <w:r w:rsidRPr="00CC19F7">
        <w:t>låg</w:t>
      </w:r>
      <w:proofErr w:type="spellEnd"/>
      <w:r w:rsidRPr="00CC19F7">
        <w:t xml:space="preserve"> på rundt 80 USD ved årsskiftet 2021/2022 og nær 100 USD idet Russland invaderte Ukraina i februar 2022. I </w:t>
      </w:r>
      <w:proofErr w:type="spellStart"/>
      <w:r w:rsidRPr="00CC19F7">
        <w:t>månadene</w:t>
      </w:r>
      <w:proofErr w:type="spellEnd"/>
      <w:r w:rsidRPr="00CC19F7">
        <w:t xml:space="preserve"> etter var </w:t>
      </w:r>
      <w:proofErr w:type="spellStart"/>
      <w:r w:rsidRPr="00CC19F7">
        <w:t>oljemarknaden</w:t>
      </w:r>
      <w:proofErr w:type="spellEnd"/>
      <w:r w:rsidRPr="00CC19F7">
        <w:t xml:space="preserve"> prega av høge </w:t>
      </w:r>
      <w:proofErr w:type="spellStart"/>
      <w:r w:rsidRPr="00CC19F7">
        <w:t>prisar</w:t>
      </w:r>
      <w:proofErr w:type="spellEnd"/>
      <w:r w:rsidRPr="00CC19F7">
        <w:t xml:space="preserve"> og </w:t>
      </w:r>
      <w:proofErr w:type="spellStart"/>
      <w:r w:rsidRPr="00CC19F7">
        <w:t>dessutan</w:t>
      </w:r>
      <w:proofErr w:type="spellEnd"/>
      <w:r w:rsidRPr="00CC19F7">
        <w:t xml:space="preserve"> unormalt store </w:t>
      </w:r>
      <w:proofErr w:type="spellStart"/>
      <w:r w:rsidRPr="00CC19F7">
        <w:t>prissvingingar</w:t>
      </w:r>
      <w:proofErr w:type="spellEnd"/>
      <w:r w:rsidRPr="00CC19F7">
        <w:t xml:space="preserve"> (volatilitet). I andre halvdel av året skifta stemninga i </w:t>
      </w:r>
      <w:proofErr w:type="spellStart"/>
      <w:r w:rsidRPr="00CC19F7">
        <w:t>marknaden</w:t>
      </w:r>
      <w:proofErr w:type="spellEnd"/>
      <w:r w:rsidRPr="00CC19F7">
        <w:t xml:space="preserve"> til resesjonsfrykt og usikre økonomiske utsikter som følge av </w:t>
      </w:r>
      <w:proofErr w:type="spellStart"/>
      <w:r w:rsidRPr="00CC19F7">
        <w:t>auka</w:t>
      </w:r>
      <w:proofErr w:type="spellEnd"/>
      <w:r w:rsidRPr="00CC19F7">
        <w:t xml:space="preserve"> inflasjon og </w:t>
      </w:r>
      <w:proofErr w:type="spellStart"/>
      <w:r w:rsidRPr="00CC19F7">
        <w:t>auka</w:t>
      </w:r>
      <w:proofErr w:type="spellEnd"/>
      <w:r w:rsidRPr="00CC19F7">
        <w:t xml:space="preserve"> renter.</w:t>
      </w:r>
    </w:p>
    <w:p w14:paraId="6D37CF27" w14:textId="77777777" w:rsidR="00FE02EF" w:rsidRPr="00CC19F7" w:rsidRDefault="00881E58" w:rsidP="00CC19F7">
      <w:r w:rsidRPr="00CC19F7">
        <w:t xml:space="preserve">Russland </w:t>
      </w:r>
      <w:proofErr w:type="spellStart"/>
      <w:r w:rsidRPr="00CC19F7">
        <w:t>heldt</w:t>
      </w:r>
      <w:proofErr w:type="spellEnd"/>
      <w:r w:rsidRPr="00CC19F7">
        <w:t xml:space="preserve"> i stor grad oppe oljeproduksjonen og eksporten gjennom året. </w:t>
      </w:r>
      <w:proofErr w:type="spellStart"/>
      <w:r w:rsidRPr="00CC19F7">
        <w:t>Marknaden</w:t>
      </w:r>
      <w:proofErr w:type="spellEnd"/>
      <w:r w:rsidRPr="00CC19F7">
        <w:t xml:space="preserve"> opplevde dermed </w:t>
      </w:r>
      <w:proofErr w:type="spellStart"/>
      <w:r w:rsidRPr="00CC19F7">
        <w:t>ikkje</w:t>
      </w:r>
      <w:proofErr w:type="spellEnd"/>
      <w:r w:rsidRPr="00CC19F7">
        <w:t xml:space="preserve">, som mange frykta, </w:t>
      </w:r>
      <w:proofErr w:type="spellStart"/>
      <w:r w:rsidRPr="00CC19F7">
        <w:t>ein</w:t>
      </w:r>
      <w:proofErr w:type="spellEnd"/>
      <w:r w:rsidRPr="00CC19F7">
        <w:t xml:space="preserve"> </w:t>
      </w:r>
      <w:proofErr w:type="spellStart"/>
      <w:r w:rsidRPr="00CC19F7">
        <w:t>betydeleg</w:t>
      </w:r>
      <w:proofErr w:type="spellEnd"/>
      <w:r w:rsidRPr="00CC19F7">
        <w:t xml:space="preserve"> redusert oljetilgang som følge av Russlands krigføring i Ukraina og </w:t>
      </w:r>
      <w:proofErr w:type="spellStart"/>
      <w:r w:rsidRPr="00CC19F7">
        <w:t>tilhøyrande</w:t>
      </w:r>
      <w:proofErr w:type="spellEnd"/>
      <w:r w:rsidRPr="00CC19F7">
        <w:t xml:space="preserve"> </w:t>
      </w:r>
      <w:proofErr w:type="spellStart"/>
      <w:r w:rsidRPr="00CC19F7">
        <w:t>sanksjonar</w:t>
      </w:r>
      <w:proofErr w:type="spellEnd"/>
      <w:r w:rsidRPr="00CC19F7">
        <w:t xml:space="preserve">. Dette bidrog til å trekke ned oljeprisen, og ved utgangen av 2022 </w:t>
      </w:r>
      <w:proofErr w:type="spellStart"/>
      <w:r w:rsidRPr="00CC19F7">
        <w:t>låg</w:t>
      </w:r>
      <w:proofErr w:type="spellEnd"/>
      <w:r w:rsidRPr="00CC19F7">
        <w:t xml:space="preserve"> oljeprisen på rundt 80 USD/fat.</w:t>
      </w:r>
    </w:p>
    <w:p w14:paraId="111303BB" w14:textId="77777777" w:rsidR="00FE02EF" w:rsidRPr="00CC19F7" w:rsidRDefault="00881E58" w:rsidP="00CC19F7">
      <w:r w:rsidRPr="00CC19F7">
        <w:t xml:space="preserve">Trass i god vekst i etterspørselen, kutt i OPECs produksjon og ei forventning om ei tilstramming i </w:t>
      </w:r>
      <w:proofErr w:type="spellStart"/>
      <w:r w:rsidRPr="00CC19F7">
        <w:t>marknaden</w:t>
      </w:r>
      <w:proofErr w:type="spellEnd"/>
      <w:r w:rsidRPr="00CC19F7">
        <w:t xml:space="preserve"> i andre halvdel av 2023 har oljeprisen lege på mellom 70 og 90 USD per fat fram til </w:t>
      </w:r>
      <w:proofErr w:type="spellStart"/>
      <w:r w:rsidRPr="00CC19F7">
        <w:t>seinsommaren</w:t>
      </w:r>
      <w:proofErr w:type="spellEnd"/>
      <w:r w:rsidRPr="00CC19F7">
        <w:t xml:space="preserve"> 2023.</w:t>
      </w:r>
    </w:p>
    <w:p w14:paraId="2182DA74" w14:textId="77777777" w:rsidR="00FE02EF" w:rsidRPr="00CC19F7" w:rsidRDefault="00881E58" w:rsidP="00CC19F7">
      <w:r w:rsidRPr="00CC19F7">
        <w:t xml:space="preserve">Det er venta at etterspørselen etter olje vil </w:t>
      </w:r>
      <w:proofErr w:type="spellStart"/>
      <w:r w:rsidRPr="00CC19F7">
        <w:t>auke</w:t>
      </w:r>
      <w:proofErr w:type="spellEnd"/>
      <w:r w:rsidRPr="00CC19F7">
        <w:t xml:space="preserve"> med vel 2 mill. fat per dag i 2023, </w:t>
      </w:r>
      <w:proofErr w:type="spellStart"/>
      <w:r w:rsidRPr="00CC19F7">
        <w:t>samanlikna</w:t>
      </w:r>
      <w:proofErr w:type="spellEnd"/>
      <w:r w:rsidRPr="00CC19F7">
        <w:t xml:space="preserve"> med 2022. </w:t>
      </w:r>
      <w:proofErr w:type="spellStart"/>
      <w:r w:rsidRPr="00CC19F7">
        <w:t>Ein</w:t>
      </w:r>
      <w:proofErr w:type="spellEnd"/>
      <w:r w:rsidRPr="00CC19F7">
        <w:t xml:space="preserve"> stor del av denne </w:t>
      </w:r>
      <w:proofErr w:type="spellStart"/>
      <w:r w:rsidRPr="00CC19F7">
        <w:t>auken</w:t>
      </w:r>
      <w:proofErr w:type="spellEnd"/>
      <w:r w:rsidRPr="00CC19F7">
        <w:t xml:space="preserve"> er venta å komme </w:t>
      </w:r>
      <w:proofErr w:type="spellStart"/>
      <w:r w:rsidRPr="00CC19F7">
        <w:t>frå</w:t>
      </w:r>
      <w:proofErr w:type="spellEnd"/>
      <w:r w:rsidRPr="00CC19F7">
        <w:t xml:space="preserve"> Kina. Kinesisk økonomi var i fjor framleis prega av nulltoleranse og strenge </w:t>
      </w:r>
      <w:proofErr w:type="spellStart"/>
      <w:r w:rsidRPr="00CC19F7">
        <w:t>pandemirestriksjonar</w:t>
      </w:r>
      <w:proofErr w:type="spellEnd"/>
      <w:r w:rsidRPr="00CC19F7">
        <w:t xml:space="preserve">, med </w:t>
      </w:r>
      <w:proofErr w:type="spellStart"/>
      <w:r w:rsidRPr="00CC19F7">
        <w:t>lågare</w:t>
      </w:r>
      <w:proofErr w:type="spellEnd"/>
      <w:r w:rsidRPr="00CC19F7">
        <w:t xml:space="preserve"> økonomisk aktivitet som konsekvens. Etter opphevinga av </w:t>
      </w:r>
      <w:proofErr w:type="spellStart"/>
      <w:r w:rsidRPr="00CC19F7">
        <w:t>restriksjonane</w:t>
      </w:r>
      <w:proofErr w:type="spellEnd"/>
      <w:r w:rsidRPr="00CC19F7">
        <w:t xml:space="preserve"> ved årsskiftet har kinesisk økonomi utvikla seg </w:t>
      </w:r>
      <w:proofErr w:type="spellStart"/>
      <w:r w:rsidRPr="00CC19F7">
        <w:t>svakare</w:t>
      </w:r>
      <w:proofErr w:type="spellEnd"/>
      <w:r w:rsidRPr="00CC19F7">
        <w:t xml:space="preserve"> enn venta. Den </w:t>
      </w:r>
      <w:proofErr w:type="spellStart"/>
      <w:r w:rsidRPr="00CC19F7">
        <w:t>vestlege</w:t>
      </w:r>
      <w:proofErr w:type="spellEnd"/>
      <w:r w:rsidRPr="00CC19F7">
        <w:t xml:space="preserve"> verda har </w:t>
      </w:r>
      <w:proofErr w:type="spellStart"/>
      <w:r w:rsidRPr="00CC19F7">
        <w:t>vore</w:t>
      </w:r>
      <w:proofErr w:type="spellEnd"/>
      <w:r w:rsidRPr="00CC19F7">
        <w:t xml:space="preserve"> tilbake </w:t>
      </w:r>
      <w:proofErr w:type="spellStart"/>
      <w:r w:rsidRPr="00CC19F7">
        <w:t>frå</w:t>
      </w:r>
      <w:proofErr w:type="spellEnd"/>
      <w:r w:rsidRPr="00CC19F7">
        <w:t xml:space="preserve"> pandemien i lengre tid. Derimot </w:t>
      </w:r>
      <w:proofErr w:type="spellStart"/>
      <w:r w:rsidRPr="00CC19F7">
        <w:t>pregar</w:t>
      </w:r>
      <w:proofErr w:type="spellEnd"/>
      <w:r w:rsidRPr="00CC19F7">
        <w:t xml:space="preserve"> inflasjon, renteheving og resesjonsfrykt </w:t>
      </w:r>
      <w:proofErr w:type="spellStart"/>
      <w:r w:rsidRPr="00CC19F7">
        <w:t>marknaden</w:t>
      </w:r>
      <w:proofErr w:type="spellEnd"/>
      <w:r w:rsidRPr="00CC19F7">
        <w:t xml:space="preserve"> i USA og Europa, og </w:t>
      </w:r>
      <w:proofErr w:type="spellStart"/>
      <w:r w:rsidRPr="00CC19F7">
        <w:t>ein</w:t>
      </w:r>
      <w:proofErr w:type="spellEnd"/>
      <w:r w:rsidRPr="00CC19F7">
        <w:t xml:space="preserve"> </w:t>
      </w:r>
      <w:proofErr w:type="spellStart"/>
      <w:r w:rsidRPr="00CC19F7">
        <w:t>ventar</w:t>
      </w:r>
      <w:proofErr w:type="spellEnd"/>
      <w:r w:rsidRPr="00CC19F7">
        <w:t xml:space="preserve"> </w:t>
      </w:r>
      <w:proofErr w:type="spellStart"/>
      <w:r w:rsidRPr="00CC19F7">
        <w:t>ein</w:t>
      </w:r>
      <w:proofErr w:type="spellEnd"/>
      <w:r w:rsidRPr="00CC19F7">
        <w:t xml:space="preserve"> </w:t>
      </w:r>
      <w:proofErr w:type="spellStart"/>
      <w:r w:rsidRPr="00CC19F7">
        <w:t>meir</w:t>
      </w:r>
      <w:proofErr w:type="spellEnd"/>
      <w:r w:rsidRPr="00CC19F7">
        <w:t xml:space="preserve"> dempa vekst i etterspørselen.</w:t>
      </w:r>
    </w:p>
    <w:p w14:paraId="34034C7D" w14:textId="77777777" w:rsidR="00FE02EF" w:rsidRPr="00CC19F7" w:rsidRDefault="00881E58" w:rsidP="00CC19F7">
      <w:r w:rsidRPr="00CC19F7">
        <w:t xml:space="preserve">Utviklinga i oljeetterspørsel per sektor har bevega seg i ulik takt. Luftfart, vegtransport og sjøtransport har </w:t>
      </w:r>
      <w:proofErr w:type="spellStart"/>
      <w:r w:rsidRPr="00CC19F7">
        <w:t>no</w:t>
      </w:r>
      <w:proofErr w:type="spellEnd"/>
      <w:r w:rsidRPr="00CC19F7">
        <w:t xml:space="preserve"> henta seg inn igjen etter pandemien. På grunn av store </w:t>
      </w:r>
      <w:proofErr w:type="spellStart"/>
      <w:r w:rsidRPr="00CC19F7">
        <w:t>utfordringar</w:t>
      </w:r>
      <w:proofErr w:type="spellEnd"/>
      <w:r w:rsidRPr="00CC19F7">
        <w:t xml:space="preserve"> som nedstenging, </w:t>
      </w:r>
      <w:proofErr w:type="spellStart"/>
      <w:r w:rsidRPr="00CC19F7">
        <w:t>reiserestriksjonar</w:t>
      </w:r>
      <w:proofErr w:type="spellEnd"/>
      <w:r w:rsidRPr="00CC19F7">
        <w:t xml:space="preserve"> og </w:t>
      </w:r>
      <w:proofErr w:type="spellStart"/>
      <w:r w:rsidRPr="00CC19F7">
        <w:t>permitteringar</w:t>
      </w:r>
      <w:proofErr w:type="spellEnd"/>
      <w:r w:rsidRPr="00CC19F7">
        <w:t xml:space="preserve">, har luftfarten hatt ei </w:t>
      </w:r>
      <w:proofErr w:type="spellStart"/>
      <w:r w:rsidRPr="00CC19F7">
        <w:t>meir</w:t>
      </w:r>
      <w:proofErr w:type="spellEnd"/>
      <w:r w:rsidRPr="00CC19F7">
        <w:t xml:space="preserve"> gradvis innhenting </w:t>
      </w:r>
      <w:proofErr w:type="spellStart"/>
      <w:r w:rsidRPr="00CC19F7">
        <w:t>samanlikna</w:t>
      </w:r>
      <w:proofErr w:type="spellEnd"/>
      <w:r w:rsidRPr="00CC19F7">
        <w:t xml:space="preserve"> med veg- og sjøtransport som henta seg inn forholdsvis raskt etter pandemien.</w:t>
      </w:r>
    </w:p>
    <w:p w14:paraId="7D9A21A9" w14:textId="77777777" w:rsidR="00FE02EF" w:rsidRPr="00CC19F7" w:rsidRDefault="00881E58" w:rsidP="00CC19F7">
      <w:r w:rsidRPr="00CC19F7">
        <w:t xml:space="preserve">Etterspørselen har etter pandemien </w:t>
      </w:r>
      <w:proofErr w:type="spellStart"/>
      <w:r w:rsidRPr="00CC19F7">
        <w:t>auka</w:t>
      </w:r>
      <w:proofErr w:type="spellEnd"/>
      <w:r w:rsidRPr="00CC19F7">
        <w:t xml:space="preserve"> </w:t>
      </w:r>
      <w:proofErr w:type="spellStart"/>
      <w:r w:rsidRPr="00CC19F7">
        <w:t>raskare</w:t>
      </w:r>
      <w:proofErr w:type="spellEnd"/>
      <w:r w:rsidRPr="00CC19F7">
        <w:t xml:space="preserve"> enn produksjonen. OPECs uttalte mål er å sikre stabilitet i </w:t>
      </w:r>
      <w:proofErr w:type="spellStart"/>
      <w:r w:rsidRPr="00CC19F7">
        <w:t>marknaden</w:t>
      </w:r>
      <w:proofErr w:type="spellEnd"/>
      <w:r w:rsidRPr="00CC19F7">
        <w:t xml:space="preserve"> ved å kontrollere produksjonen. Etter store produksjonskutt under pandemien </w:t>
      </w:r>
      <w:proofErr w:type="spellStart"/>
      <w:r w:rsidRPr="00CC19F7">
        <w:t>auka</w:t>
      </w:r>
      <w:proofErr w:type="spellEnd"/>
      <w:r w:rsidRPr="00CC19F7">
        <w:t xml:space="preserve"> OPECs produksjon gradvis gjennom 2022, men i </w:t>
      </w:r>
      <w:proofErr w:type="spellStart"/>
      <w:r w:rsidRPr="00CC19F7">
        <w:t>fleire</w:t>
      </w:r>
      <w:proofErr w:type="spellEnd"/>
      <w:r w:rsidRPr="00CC19F7">
        <w:t xml:space="preserve"> land i OPEC+ var produksjonskapasiteten redusert. Mellom amerikanske </w:t>
      </w:r>
      <w:proofErr w:type="spellStart"/>
      <w:r w:rsidRPr="00CC19F7">
        <w:t>produsentar</w:t>
      </w:r>
      <w:proofErr w:type="spellEnd"/>
      <w:r w:rsidRPr="00CC19F7">
        <w:t xml:space="preserve"> av skiferolje har det </w:t>
      </w:r>
      <w:proofErr w:type="spellStart"/>
      <w:r w:rsidRPr="00CC19F7">
        <w:t>vore</w:t>
      </w:r>
      <w:proofErr w:type="spellEnd"/>
      <w:r w:rsidRPr="00CC19F7">
        <w:t xml:space="preserve"> større </w:t>
      </w:r>
      <w:proofErr w:type="gramStart"/>
      <w:r w:rsidRPr="00CC19F7">
        <w:t>fokus</w:t>
      </w:r>
      <w:proofErr w:type="gramEnd"/>
      <w:r w:rsidRPr="00CC19F7">
        <w:t xml:space="preserve"> på kapitaldisiplin og </w:t>
      </w:r>
      <w:proofErr w:type="spellStart"/>
      <w:r w:rsidRPr="00CC19F7">
        <w:t>høgare</w:t>
      </w:r>
      <w:proofErr w:type="spellEnd"/>
      <w:r w:rsidRPr="00CC19F7">
        <w:t xml:space="preserve"> avkastning på prosjekt. Kombinert med den usikre økonomiske utviklinga ser </w:t>
      </w:r>
      <w:proofErr w:type="spellStart"/>
      <w:r w:rsidRPr="00CC19F7">
        <w:t>ein</w:t>
      </w:r>
      <w:proofErr w:type="spellEnd"/>
      <w:r w:rsidRPr="00CC19F7">
        <w:t xml:space="preserve"> dermed </w:t>
      </w:r>
      <w:proofErr w:type="spellStart"/>
      <w:r w:rsidRPr="00CC19F7">
        <w:t>ein</w:t>
      </w:r>
      <w:proofErr w:type="spellEnd"/>
      <w:r w:rsidRPr="00CC19F7">
        <w:t xml:space="preserve"> svak investerings- og produksjonsauke i dagens </w:t>
      </w:r>
      <w:proofErr w:type="spellStart"/>
      <w:r w:rsidRPr="00CC19F7">
        <w:t>oljemarknad</w:t>
      </w:r>
      <w:proofErr w:type="spellEnd"/>
      <w:r w:rsidRPr="00CC19F7">
        <w:t>.</w:t>
      </w:r>
    </w:p>
    <w:p w14:paraId="1D0A50D3" w14:textId="77777777" w:rsidR="00FE02EF" w:rsidRPr="00CC19F7" w:rsidRDefault="00881E58" w:rsidP="00CC19F7">
      <w:r w:rsidRPr="00CC19F7">
        <w:t xml:space="preserve">Russland er den største oljeeksportøren i verda (råolje og oljeprodukt) og tredje største oljeprodusent. Berre USA og Saudi-Arabia produserer </w:t>
      </w:r>
      <w:proofErr w:type="spellStart"/>
      <w:r w:rsidRPr="00CC19F7">
        <w:t>meir</w:t>
      </w:r>
      <w:proofErr w:type="spellEnd"/>
      <w:r w:rsidRPr="00CC19F7">
        <w:t xml:space="preserve">. Etter Russlands invasjon av Ukraina var det stor </w:t>
      </w:r>
      <w:proofErr w:type="spellStart"/>
      <w:r w:rsidRPr="00CC19F7">
        <w:t>usikkerheit</w:t>
      </w:r>
      <w:proofErr w:type="spellEnd"/>
      <w:r w:rsidRPr="00CC19F7">
        <w:t xml:space="preserve"> om russisk oljeeksport, som blei </w:t>
      </w:r>
      <w:proofErr w:type="spellStart"/>
      <w:r w:rsidRPr="00CC19F7">
        <w:t>eit</w:t>
      </w:r>
      <w:proofErr w:type="spellEnd"/>
      <w:r w:rsidRPr="00CC19F7">
        <w:t xml:space="preserve"> mål for </w:t>
      </w:r>
      <w:proofErr w:type="spellStart"/>
      <w:r w:rsidRPr="00CC19F7">
        <w:t>sanksjonar</w:t>
      </w:r>
      <w:proofErr w:type="spellEnd"/>
      <w:r w:rsidRPr="00CC19F7">
        <w:t xml:space="preserve"> </w:t>
      </w:r>
      <w:proofErr w:type="spellStart"/>
      <w:r w:rsidRPr="00CC19F7">
        <w:t>frå</w:t>
      </w:r>
      <w:proofErr w:type="spellEnd"/>
      <w:r w:rsidRPr="00CC19F7">
        <w:t xml:space="preserve"> </w:t>
      </w:r>
      <w:proofErr w:type="spellStart"/>
      <w:r w:rsidRPr="00CC19F7">
        <w:t>vestlege</w:t>
      </w:r>
      <w:proofErr w:type="spellEnd"/>
      <w:r w:rsidRPr="00CC19F7">
        <w:t xml:space="preserve"> land. </w:t>
      </w:r>
      <w:proofErr w:type="spellStart"/>
      <w:r w:rsidRPr="00CC19F7">
        <w:t>Effektane</w:t>
      </w:r>
      <w:proofErr w:type="spellEnd"/>
      <w:r w:rsidRPr="00CC19F7">
        <w:t xml:space="preserve"> av </w:t>
      </w:r>
      <w:proofErr w:type="spellStart"/>
      <w:r w:rsidRPr="00CC19F7">
        <w:t>sanksjonane</w:t>
      </w:r>
      <w:proofErr w:type="spellEnd"/>
      <w:r w:rsidRPr="00CC19F7">
        <w:t xml:space="preserve"> har i liten grad </w:t>
      </w:r>
      <w:proofErr w:type="spellStart"/>
      <w:r w:rsidRPr="00CC19F7">
        <w:t>påverka</w:t>
      </w:r>
      <w:proofErr w:type="spellEnd"/>
      <w:r w:rsidRPr="00CC19F7">
        <w:t xml:space="preserve"> nivået på russisk oljeeksport, men har ført til store </w:t>
      </w:r>
      <w:proofErr w:type="spellStart"/>
      <w:r w:rsidRPr="00CC19F7">
        <w:t>endringar</w:t>
      </w:r>
      <w:proofErr w:type="spellEnd"/>
      <w:r w:rsidRPr="00CC19F7">
        <w:t xml:space="preserve"> i </w:t>
      </w:r>
      <w:proofErr w:type="spellStart"/>
      <w:r w:rsidRPr="00CC19F7">
        <w:t>handelsmønstera</w:t>
      </w:r>
      <w:proofErr w:type="spellEnd"/>
      <w:r w:rsidRPr="00CC19F7">
        <w:t xml:space="preserve"> for råolje og oljeprodukt. </w:t>
      </w:r>
      <w:proofErr w:type="spellStart"/>
      <w:r w:rsidRPr="00CC19F7">
        <w:t>Særleg</w:t>
      </w:r>
      <w:proofErr w:type="spellEnd"/>
      <w:r w:rsidRPr="00CC19F7">
        <w:t xml:space="preserve"> importerer India, Kina og Tyrkia store russiske volum, </w:t>
      </w:r>
      <w:proofErr w:type="spellStart"/>
      <w:r w:rsidRPr="00CC19F7">
        <w:t>noko</w:t>
      </w:r>
      <w:proofErr w:type="spellEnd"/>
      <w:r w:rsidRPr="00CC19F7">
        <w:t xml:space="preserve"> som </w:t>
      </w:r>
      <w:proofErr w:type="spellStart"/>
      <w:r w:rsidRPr="00CC19F7">
        <w:t>frigjer</w:t>
      </w:r>
      <w:proofErr w:type="spellEnd"/>
      <w:r w:rsidRPr="00CC19F7">
        <w:t xml:space="preserve"> </w:t>
      </w:r>
      <w:proofErr w:type="spellStart"/>
      <w:r w:rsidRPr="00CC19F7">
        <w:t>annan</w:t>
      </w:r>
      <w:proofErr w:type="spellEnd"/>
      <w:r w:rsidRPr="00CC19F7">
        <w:t xml:space="preserve"> oljeeksport til å dekke behovet i land som </w:t>
      </w:r>
      <w:proofErr w:type="spellStart"/>
      <w:r w:rsidRPr="00CC19F7">
        <w:t>tidlegare</w:t>
      </w:r>
      <w:proofErr w:type="spellEnd"/>
      <w:r w:rsidRPr="00CC19F7">
        <w:t xml:space="preserve"> importerte russisk olje og oljeprodukt. Dette </w:t>
      </w:r>
      <w:proofErr w:type="spellStart"/>
      <w:r w:rsidRPr="00CC19F7">
        <w:t>gjer</w:t>
      </w:r>
      <w:proofErr w:type="spellEnd"/>
      <w:r w:rsidRPr="00CC19F7">
        <w:t xml:space="preserve"> at den globale </w:t>
      </w:r>
      <w:proofErr w:type="spellStart"/>
      <w:r w:rsidRPr="00CC19F7">
        <w:t>marknaden</w:t>
      </w:r>
      <w:proofErr w:type="spellEnd"/>
      <w:r w:rsidRPr="00CC19F7">
        <w:t xml:space="preserve"> </w:t>
      </w:r>
      <w:proofErr w:type="spellStart"/>
      <w:r w:rsidRPr="00CC19F7">
        <w:t>framleis</w:t>
      </w:r>
      <w:proofErr w:type="spellEnd"/>
      <w:r w:rsidRPr="00CC19F7">
        <w:t xml:space="preserve"> har god tilgang på olje. Det er i dag større </w:t>
      </w:r>
      <w:proofErr w:type="spellStart"/>
      <w:r w:rsidRPr="00CC19F7">
        <w:t>usikkerheit</w:t>
      </w:r>
      <w:proofErr w:type="spellEnd"/>
      <w:r w:rsidRPr="00CC19F7">
        <w:t xml:space="preserve"> om framtidig russisk produksjon enn før. Dette er </w:t>
      </w:r>
      <w:proofErr w:type="spellStart"/>
      <w:r w:rsidRPr="00CC19F7">
        <w:t>særleg</w:t>
      </w:r>
      <w:proofErr w:type="spellEnd"/>
      <w:r w:rsidRPr="00CC19F7">
        <w:t xml:space="preserve"> knytt til evna </w:t>
      </w:r>
      <w:proofErr w:type="spellStart"/>
      <w:r w:rsidRPr="00CC19F7">
        <w:t>deira</w:t>
      </w:r>
      <w:proofErr w:type="spellEnd"/>
      <w:r w:rsidRPr="00CC19F7">
        <w:t xml:space="preserve"> til å utvikle den store ressursbasen over tid, </w:t>
      </w:r>
      <w:proofErr w:type="spellStart"/>
      <w:r w:rsidRPr="00CC19F7">
        <w:t>utan</w:t>
      </w:r>
      <w:proofErr w:type="spellEnd"/>
      <w:r w:rsidRPr="00CC19F7">
        <w:t xml:space="preserve"> same tilgang på </w:t>
      </w:r>
      <w:proofErr w:type="spellStart"/>
      <w:r w:rsidRPr="00CC19F7">
        <w:t>utanlandsk</w:t>
      </w:r>
      <w:proofErr w:type="spellEnd"/>
      <w:r w:rsidRPr="00CC19F7">
        <w:t xml:space="preserve"> kapital og kompetanse som før.</w:t>
      </w:r>
    </w:p>
    <w:p w14:paraId="2FCB6F04" w14:textId="77777777" w:rsidR="00FE02EF" w:rsidRPr="00CC19F7" w:rsidRDefault="00881E58" w:rsidP="00CC19F7">
      <w:r w:rsidRPr="00CC19F7">
        <w:t xml:space="preserve">Oljekartellet OPEC+, som står for rundt halvparten av den globale oljeproduksjonen, held fram samarbeidet etter pandemien. Som følge av det kraftige fallet i etterspørsel under pandemien kutta OPEC+ i produksjonen for å bidra til å stabilisere </w:t>
      </w:r>
      <w:proofErr w:type="spellStart"/>
      <w:r w:rsidRPr="00CC19F7">
        <w:t>marknaden</w:t>
      </w:r>
      <w:proofErr w:type="spellEnd"/>
      <w:r w:rsidRPr="00CC19F7">
        <w:t xml:space="preserve">. Dette samarbeidet er ført </w:t>
      </w:r>
      <w:proofErr w:type="spellStart"/>
      <w:r w:rsidRPr="00CC19F7">
        <w:t>vidare</w:t>
      </w:r>
      <w:proofErr w:type="spellEnd"/>
      <w:r w:rsidRPr="00CC19F7">
        <w:t xml:space="preserve"> fram til i dag.</w:t>
      </w:r>
    </w:p>
    <w:p w14:paraId="2A6EC76B" w14:textId="77777777" w:rsidR="00FE02EF" w:rsidRPr="00CC19F7" w:rsidRDefault="00881E58" w:rsidP="00CC19F7">
      <w:r w:rsidRPr="00CC19F7">
        <w:t xml:space="preserve">Amerikansk skiferoljeproduksjon fall </w:t>
      </w:r>
      <w:proofErr w:type="spellStart"/>
      <w:r w:rsidRPr="00CC19F7">
        <w:t>betydeleg</w:t>
      </w:r>
      <w:proofErr w:type="spellEnd"/>
      <w:r w:rsidRPr="00CC19F7">
        <w:t xml:space="preserve"> under pandemien som følge av </w:t>
      </w:r>
      <w:proofErr w:type="spellStart"/>
      <w:r w:rsidRPr="00CC19F7">
        <w:t>lågare</w:t>
      </w:r>
      <w:proofErr w:type="spellEnd"/>
      <w:r w:rsidRPr="00CC19F7">
        <w:t xml:space="preserve"> </w:t>
      </w:r>
      <w:proofErr w:type="spellStart"/>
      <w:r w:rsidRPr="00CC19F7">
        <w:t>oljeprisar</w:t>
      </w:r>
      <w:proofErr w:type="spellEnd"/>
      <w:r w:rsidRPr="00CC19F7">
        <w:t xml:space="preserve">. Prisfallet førte til større </w:t>
      </w:r>
      <w:proofErr w:type="gramStart"/>
      <w:r w:rsidRPr="00CC19F7">
        <w:t>fokus</w:t>
      </w:r>
      <w:proofErr w:type="gramEnd"/>
      <w:r w:rsidRPr="00CC19F7">
        <w:t xml:space="preserve"> på kapitaldisiplin og </w:t>
      </w:r>
      <w:proofErr w:type="spellStart"/>
      <w:r w:rsidRPr="00CC19F7">
        <w:t>inntening</w:t>
      </w:r>
      <w:proofErr w:type="spellEnd"/>
      <w:r w:rsidRPr="00CC19F7">
        <w:t xml:space="preserve"> framfor produksjonsvekst. Da </w:t>
      </w:r>
      <w:proofErr w:type="spellStart"/>
      <w:r w:rsidRPr="00CC19F7">
        <w:t>prisane</w:t>
      </w:r>
      <w:proofErr w:type="spellEnd"/>
      <w:r w:rsidRPr="00CC19F7">
        <w:t xml:space="preserve"> igjen steig, steig </w:t>
      </w:r>
      <w:proofErr w:type="spellStart"/>
      <w:r w:rsidRPr="00CC19F7">
        <w:t>ikkje</w:t>
      </w:r>
      <w:proofErr w:type="spellEnd"/>
      <w:r w:rsidRPr="00CC19F7">
        <w:t xml:space="preserve"> boreaktiviteten og produksjonen </w:t>
      </w:r>
      <w:proofErr w:type="spellStart"/>
      <w:r w:rsidRPr="00CC19F7">
        <w:t>tilsvarande</w:t>
      </w:r>
      <w:proofErr w:type="spellEnd"/>
      <w:r w:rsidRPr="00CC19F7">
        <w:t xml:space="preserve"> raskt. Å komme tilbake til produksjonsnivået før pandemien har derfor gått </w:t>
      </w:r>
      <w:proofErr w:type="spellStart"/>
      <w:r w:rsidRPr="00CC19F7">
        <w:t>seinare</w:t>
      </w:r>
      <w:proofErr w:type="spellEnd"/>
      <w:r w:rsidRPr="00CC19F7">
        <w:t xml:space="preserve"> enn venta. Det er venta at amerikansk skiferoljeproduksjon, og land som Brasil, Canada, Guyana og </w:t>
      </w:r>
      <w:proofErr w:type="spellStart"/>
      <w:r w:rsidRPr="00CC19F7">
        <w:t>Noreg</w:t>
      </w:r>
      <w:proofErr w:type="spellEnd"/>
      <w:r w:rsidRPr="00CC19F7">
        <w:t xml:space="preserve">, vil ha </w:t>
      </w:r>
      <w:proofErr w:type="spellStart"/>
      <w:r w:rsidRPr="00CC19F7">
        <w:t>noko</w:t>
      </w:r>
      <w:proofErr w:type="spellEnd"/>
      <w:r w:rsidRPr="00CC19F7">
        <w:t xml:space="preserve"> vekst i produksjonen i år. I absolutte tal vil USA stå for den største </w:t>
      </w:r>
      <w:proofErr w:type="spellStart"/>
      <w:r w:rsidRPr="00CC19F7">
        <w:t>auken</w:t>
      </w:r>
      <w:proofErr w:type="spellEnd"/>
      <w:r w:rsidRPr="00CC19F7">
        <w:t xml:space="preserve">. Det er også venta </w:t>
      </w:r>
      <w:proofErr w:type="spellStart"/>
      <w:r w:rsidRPr="00CC19F7">
        <w:t>noko</w:t>
      </w:r>
      <w:proofErr w:type="spellEnd"/>
      <w:r w:rsidRPr="00CC19F7">
        <w:t xml:space="preserve"> vekst i amerikansk skiferproduksjon </w:t>
      </w:r>
      <w:proofErr w:type="spellStart"/>
      <w:r w:rsidRPr="00CC19F7">
        <w:t>dei</w:t>
      </w:r>
      <w:proofErr w:type="spellEnd"/>
      <w:r w:rsidRPr="00CC19F7">
        <w:t xml:space="preserve"> </w:t>
      </w:r>
      <w:proofErr w:type="spellStart"/>
      <w:r w:rsidRPr="00CC19F7">
        <w:t>nærmaste</w:t>
      </w:r>
      <w:proofErr w:type="spellEnd"/>
      <w:r w:rsidRPr="00CC19F7">
        <w:t xml:space="preserve"> åra. Det er </w:t>
      </w:r>
      <w:proofErr w:type="spellStart"/>
      <w:r w:rsidRPr="00CC19F7">
        <w:t>krevjande</w:t>
      </w:r>
      <w:proofErr w:type="spellEnd"/>
      <w:r w:rsidRPr="00CC19F7">
        <w:t xml:space="preserve"> å </w:t>
      </w:r>
      <w:proofErr w:type="spellStart"/>
      <w:r w:rsidRPr="00CC19F7">
        <w:t>halde</w:t>
      </w:r>
      <w:proofErr w:type="spellEnd"/>
      <w:r w:rsidRPr="00CC19F7">
        <w:t xml:space="preserve"> oppe veksten i amerikansk skiferoljeproduksjon som følge av raskt </w:t>
      </w:r>
      <w:proofErr w:type="spellStart"/>
      <w:r w:rsidRPr="00CC19F7">
        <w:t>fallande</w:t>
      </w:r>
      <w:proofErr w:type="spellEnd"/>
      <w:r w:rsidRPr="00CC19F7">
        <w:t xml:space="preserve"> produksjon </w:t>
      </w:r>
      <w:proofErr w:type="spellStart"/>
      <w:r w:rsidRPr="00CC19F7">
        <w:t>frå</w:t>
      </w:r>
      <w:proofErr w:type="spellEnd"/>
      <w:r w:rsidRPr="00CC19F7">
        <w:t xml:space="preserve"> </w:t>
      </w:r>
      <w:proofErr w:type="spellStart"/>
      <w:r w:rsidRPr="00CC19F7">
        <w:t>eksisterande</w:t>
      </w:r>
      <w:proofErr w:type="spellEnd"/>
      <w:r w:rsidRPr="00CC19F7">
        <w:t xml:space="preserve"> </w:t>
      </w:r>
      <w:proofErr w:type="spellStart"/>
      <w:r w:rsidRPr="00CC19F7">
        <w:t>brønnar</w:t>
      </w:r>
      <w:proofErr w:type="spellEnd"/>
      <w:r w:rsidRPr="00CC19F7">
        <w:t xml:space="preserve"> og </w:t>
      </w:r>
      <w:proofErr w:type="spellStart"/>
      <w:r w:rsidRPr="00CC19F7">
        <w:t>eit</w:t>
      </w:r>
      <w:proofErr w:type="spellEnd"/>
      <w:r w:rsidRPr="00CC19F7">
        <w:t xml:space="preserve"> </w:t>
      </w:r>
      <w:proofErr w:type="spellStart"/>
      <w:r w:rsidRPr="00CC19F7">
        <w:t>stigande</w:t>
      </w:r>
      <w:proofErr w:type="spellEnd"/>
      <w:r w:rsidRPr="00CC19F7">
        <w:t xml:space="preserve"> kostnadsnivå. Generelt bidrar </w:t>
      </w:r>
      <w:proofErr w:type="spellStart"/>
      <w:r w:rsidRPr="00CC19F7">
        <w:t>usikkerheit</w:t>
      </w:r>
      <w:proofErr w:type="spellEnd"/>
      <w:r w:rsidRPr="00CC19F7">
        <w:t xml:space="preserve"> om framtidig klima- og miljøpolitikk til </w:t>
      </w:r>
      <w:proofErr w:type="spellStart"/>
      <w:r w:rsidRPr="00CC19F7">
        <w:t>usikkerheit</w:t>
      </w:r>
      <w:proofErr w:type="spellEnd"/>
      <w:r w:rsidRPr="00CC19F7">
        <w:t xml:space="preserve"> om framtidig etterspørsel etter olje.</w:t>
      </w:r>
    </w:p>
    <w:p w14:paraId="76E51AFA" w14:textId="77777777" w:rsidR="00FE02EF" w:rsidRPr="00CC19F7" w:rsidRDefault="00881E58" w:rsidP="00CC19F7">
      <w:pPr>
        <w:pStyle w:val="avsnitt-tittel"/>
      </w:pPr>
      <w:proofErr w:type="spellStart"/>
      <w:r w:rsidRPr="00CC19F7">
        <w:t>Gassmarknaden</w:t>
      </w:r>
      <w:proofErr w:type="spellEnd"/>
    </w:p>
    <w:p w14:paraId="4E48D11F" w14:textId="77777777" w:rsidR="00FE02EF" w:rsidRPr="00CC19F7" w:rsidRDefault="00881E58" w:rsidP="00CC19F7">
      <w:r w:rsidRPr="00CC19F7">
        <w:t xml:space="preserve">Den globale </w:t>
      </w:r>
      <w:proofErr w:type="spellStart"/>
      <w:r w:rsidRPr="00CC19F7">
        <w:t>gassmarknaden</w:t>
      </w:r>
      <w:proofErr w:type="spellEnd"/>
      <w:r w:rsidRPr="00CC19F7">
        <w:t xml:space="preserve"> er i 2023 framleis prega av bortfallet av store mengder russisk gass og </w:t>
      </w:r>
      <w:proofErr w:type="spellStart"/>
      <w:r w:rsidRPr="00CC19F7">
        <w:t>ein</w:t>
      </w:r>
      <w:proofErr w:type="spellEnd"/>
      <w:r w:rsidRPr="00CC19F7">
        <w:t xml:space="preserve"> </w:t>
      </w:r>
      <w:proofErr w:type="spellStart"/>
      <w:r w:rsidRPr="00CC19F7">
        <w:t>underliggande</w:t>
      </w:r>
      <w:proofErr w:type="spellEnd"/>
      <w:r w:rsidRPr="00CC19F7">
        <w:t xml:space="preserve"> stram </w:t>
      </w:r>
      <w:proofErr w:type="spellStart"/>
      <w:r w:rsidRPr="00CC19F7">
        <w:t>marknadsbalanse</w:t>
      </w:r>
      <w:proofErr w:type="spellEnd"/>
      <w:r w:rsidRPr="00CC19F7">
        <w:t xml:space="preserve">, i tillegg til </w:t>
      </w:r>
      <w:proofErr w:type="spellStart"/>
      <w:r w:rsidRPr="00CC19F7">
        <w:t>eit</w:t>
      </w:r>
      <w:proofErr w:type="spellEnd"/>
      <w:r w:rsidRPr="00CC19F7">
        <w:t xml:space="preserve"> volatilt </w:t>
      </w:r>
      <w:proofErr w:type="spellStart"/>
      <w:r w:rsidRPr="00CC19F7">
        <w:t>prisbilete</w:t>
      </w:r>
      <w:proofErr w:type="spellEnd"/>
      <w:r w:rsidRPr="00CC19F7">
        <w:t xml:space="preserve">. Prisen på gass i den europeiske </w:t>
      </w:r>
      <w:proofErr w:type="spellStart"/>
      <w:r w:rsidRPr="00CC19F7">
        <w:t>marknaden</w:t>
      </w:r>
      <w:proofErr w:type="spellEnd"/>
      <w:r w:rsidRPr="00CC19F7">
        <w:t xml:space="preserve"> blir i dag sett i den globale LNG-</w:t>
      </w:r>
      <w:proofErr w:type="spellStart"/>
      <w:r w:rsidRPr="00CC19F7">
        <w:t>marknaden</w:t>
      </w:r>
      <w:proofErr w:type="spellEnd"/>
      <w:r w:rsidRPr="00CC19F7">
        <w:t>, da Europa er avhengig av import av LNG.</w:t>
      </w:r>
    </w:p>
    <w:p w14:paraId="5A8B661B" w14:textId="77777777" w:rsidR="00FE02EF" w:rsidRPr="00CC19F7" w:rsidRDefault="00881E58" w:rsidP="00CC19F7">
      <w:r w:rsidRPr="00CC19F7">
        <w:t xml:space="preserve">Den europeiske energisituasjonen er </w:t>
      </w:r>
      <w:proofErr w:type="spellStart"/>
      <w:r w:rsidRPr="00CC19F7">
        <w:t>krevjande</w:t>
      </w:r>
      <w:proofErr w:type="spellEnd"/>
      <w:r w:rsidRPr="00CC19F7">
        <w:t xml:space="preserve">, men </w:t>
      </w:r>
      <w:proofErr w:type="spellStart"/>
      <w:r w:rsidRPr="00CC19F7">
        <w:t>vesentleg</w:t>
      </w:r>
      <w:proofErr w:type="spellEnd"/>
      <w:r w:rsidRPr="00CC19F7">
        <w:t xml:space="preserve"> betre enn i 2022. </w:t>
      </w:r>
      <w:proofErr w:type="spellStart"/>
      <w:r w:rsidRPr="00CC19F7">
        <w:t>Auka</w:t>
      </w:r>
      <w:proofErr w:type="spellEnd"/>
      <w:r w:rsidRPr="00CC19F7">
        <w:t xml:space="preserve"> norsk produksjon, mild vinter, redusert europeisk gassetterspørsel og </w:t>
      </w:r>
      <w:proofErr w:type="spellStart"/>
      <w:r w:rsidRPr="00CC19F7">
        <w:t>særleg</w:t>
      </w:r>
      <w:proofErr w:type="spellEnd"/>
      <w:r w:rsidRPr="00CC19F7">
        <w:t xml:space="preserve"> </w:t>
      </w:r>
      <w:proofErr w:type="spellStart"/>
      <w:r w:rsidRPr="00CC19F7">
        <w:t>auka</w:t>
      </w:r>
      <w:proofErr w:type="spellEnd"/>
      <w:r w:rsidRPr="00CC19F7">
        <w:t xml:space="preserve"> LNG-tilførsel har bidratt til å stabilisere europeisk gassbalanse på kort sikt. </w:t>
      </w:r>
      <w:proofErr w:type="spellStart"/>
      <w:r w:rsidRPr="00CC19F7">
        <w:t>Sjølv</w:t>
      </w:r>
      <w:proofErr w:type="spellEnd"/>
      <w:r w:rsidRPr="00CC19F7">
        <w:t xml:space="preserve"> om europeiske </w:t>
      </w:r>
      <w:proofErr w:type="spellStart"/>
      <w:r w:rsidRPr="00CC19F7">
        <w:t>gassprisar</w:t>
      </w:r>
      <w:proofErr w:type="spellEnd"/>
      <w:r w:rsidRPr="00CC19F7">
        <w:t xml:space="preserve"> så langt i 2023 er langt </w:t>
      </w:r>
      <w:proofErr w:type="spellStart"/>
      <w:r w:rsidRPr="00CC19F7">
        <w:t>lågare</w:t>
      </w:r>
      <w:proofErr w:type="spellEnd"/>
      <w:r w:rsidRPr="00CC19F7">
        <w:t xml:space="preserve"> enn </w:t>
      </w:r>
      <w:proofErr w:type="spellStart"/>
      <w:r w:rsidRPr="00CC19F7">
        <w:t>dei</w:t>
      </w:r>
      <w:proofErr w:type="spellEnd"/>
      <w:r w:rsidRPr="00CC19F7">
        <w:t xml:space="preserve"> rekordhøge </w:t>
      </w:r>
      <w:proofErr w:type="spellStart"/>
      <w:r w:rsidRPr="00CC19F7">
        <w:t>gassprisane</w:t>
      </w:r>
      <w:proofErr w:type="spellEnd"/>
      <w:r w:rsidRPr="00CC19F7">
        <w:t xml:space="preserve"> i 2022 og siste halvår av 2021, er prisen framleis høg i </w:t>
      </w:r>
      <w:proofErr w:type="spellStart"/>
      <w:r w:rsidRPr="00CC19F7">
        <w:t>eit</w:t>
      </w:r>
      <w:proofErr w:type="spellEnd"/>
      <w:r w:rsidRPr="00CC19F7">
        <w:t xml:space="preserve"> historisk perspektiv.</w:t>
      </w:r>
    </w:p>
    <w:p w14:paraId="30D8FD77" w14:textId="77777777" w:rsidR="00FE02EF" w:rsidRPr="00CC19F7" w:rsidRDefault="00881E58" w:rsidP="00CC19F7">
      <w:r w:rsidRPr="00CC19F7">
        <w:t>LNG-</w:t>
      </w:r>
      <w:proofErr w:type="spellStart"/>
      <w:r w:rsidRPr="00CC19F7">
        <w:t>importerande</w:t>
      </w:r>
      <w:proofErr w:type="spellEnd"/>
      <w:r w:rsidRPr="00CC19F7">
        <w:t xml:space="preserve"> utviklingsland er </w:t>
      </w:r>
      <w:proofErr w:type="spellStart"/>
      <w:r w:rsidRPr="00CC19F7">
        <w:t>dei</w:t>
      </w:r>
      <w:proofErr w:type="spellEnd"/>
      <w:r w:rsidRPr="00CC19F7">
        <w:t xml:space="preserve"> som er </w:t>
      </w:r>
      <w:proofErr w:type="spellStart"/>
      <w:r w:rsidRPr="00CC19F7">
        <w:t>hardast</w:t>
      </w:r>
      <w:proofErr w:type="spellEnd"/>
      <w:r w:rsidRPr="00CC19F7">
        <w:t xml:space="preserve"> ramma av høge </w:t>
      </w:r>
      <w:proofErr w:type="spellStart"/>
      <w:r w:rsidRPr="00CC19F7">
        <w:t>gassprisar</w:t>
      </w:r>
      <w:proofErr w:type="spellEnd"/>
      <w:r w:rsidRPr="00CC19F7">
        <w:t xml:space="preserve"> </w:t>
      </w:r>
      <w:proofErr w:type="spellStart"/>
      <w:r w:rsidRPr="00CC19F7">
        <w:t>drivne</w:t>
      </w:r>
      <w:proofErr w:type="spellEnd"/>
      <w:r w:rsidRPr="00CC19F7">
        <w:t xml:space="preserve"> av europeiske forhold, men også i Europa er prisnivået framleis </w:t>
      </w:r>
      <w:proofErr w:type="spellStart"/>
      <w:r w:rsidRPr="00CC19F7">
        <w:t>krevjande</w:t>
      </w:r>
      <w:proofErr w:type="spellEnd"/>
      <w:r w:rsidRPr="00CC19F7">
        <w:t xml:space="preserve"> for </w:t>
      </w:r>
      <w:proofErr w:type="spellStart"/>
      <w:r w:rsidRPr="00CC19F7">
        <w:t>hushald</w:t>
      </w:r>
      <w:proofErr w:type="spellEnd"/>
      <w:r w:rsidRPr="00CC19F7">
        <w:t xml:space="preserve">, næringsliv og energiintensiv industri. Det tar tid å bygge opp produksjonskapasitet for LNG globalt. Det er venta </w:t>
      </w:r>
      <w:proofErr w:type="spellStart"/>
      <w:r w:rsidRPr="00CC19F7">
        <w:t>ein</w:t>
      </w:r>
      <w:proofErr w:type="spellEnd"/>
      <w:r w:rsidRPr="00CC19F7">
        <w:t xml:space="preserve"> stram global </w:t>
      </w:r>
      <w:proofErr w:type="spellStart"/>
      <w:r w:rsidRPr="00CC19F7">
        <w:t>gassmarknad</w:t>
      </w:r>
      <w:proofErr w:type="spellEnd"/>
      <w:r w:rsidRPr="00CC19F7">
        <w:t xml:space="preserve"> til midten av 2020-talet, da det er venta oppstart av produksjon </w:t>
      </w:r>
      <w:proofErr w:type="spellStart"/>
      <w:r w:rsidRPr="00CC19F7">
        <w:t>frå</w:t>
      </w:r>
      <w:proofErr w:type="spellEnd"/>
      <w:r w:rsidRPr="00CC19F7">
        <w:t xml:space="preserve"> ei ny bølge LNG-prosjekt.</w:t>
      </w:r>
    </w:p>
    <w:p w14:paraId="0F80880A" w14:textId="77777777" w:rsidR="00FE02EF" w:rsidRPr="00CC19F7" w:rsidRDefault="00881E58" w:rsidP="00CC19F7">
      <w:r w:rsidRPr="00CC19F7">
        <w:t xml:space="preserve">Gassprisen på Europas største gassbørs, TTF, </w:t>
      </w:r>
      <w:proofErr w:type="spellStart"/>
      <w:r w:rsidRPr="00CC19F7">
        <w:t>låg</w:t>
      </w:r>
      <w:proofErr w:type="spellEnd"/>
      <w:r w:rsidRPr="00CC19F7">
        <w:t xml:space="preserve"> på rundt 25 USD/</w:t>
      </w:r>
      <w:proofErr w:type="spellStart"/>
      <w:r w:rsidRPr="00CC19F7">
        <w:t>MMBtu</w:t>
      </w:r>
      <w:proofErr w:type="spellEnd"/>
      <w:r w:rsidRPr="00CC19F7">
        <w:t xml:space="preserve"> ved årsskiftet 2021/2022 og nær same nivå før Russland invaderte Ukraina i februar 2022. I </w:t>
      </w:r>
      <w:proofErr w:type="spellStart"/>
      <w:r w:rsidRPr="00CC19F7">
        <w:t>månadene</w:t>
      </w:r>
      <w:proofErr w:type="spellEnd"/>
      <w:r w:rsidRPr="00CC19F7">
        <w:t xml:space="preserve"> etter var </w:t>
      </w:r>
      <w:proofErr w:type="spellStart"/>
      <w:r w:rsidRPr="00CC19F7">
        <w:t>gassmarknaden</w:t>
      </w:r>
      <w:proofErr w:type="spellEnd"/>
      <w:r w:rsidRPr="00CC19F7">
        <w:t xml:space="preserve"> prega av stor </w:t>
      </w:r>
      <w:proofErr w:type="spellStart"/>
      <w:r w:rsidRPr="00CC19F7">
        <w:t>usikkerheit</w:t>
      </w:r>
      <w:proofErr w:type="spellEnd"/>
      <w:r w:rsidRPr="00CC19F7">
        <w:t xml:space="preserve"> om forsyningssituasjonen for gass og svært høge </w:t>
      </w:r>
      <w:proofErr w:type="spellStart"/>
      <w:r w:rsidRPr="00CC19F7">
        <w:t>gassprisar</w:t>
      </w:r>
      <w:proofErr w:type="spellEnd"/>
      <w:r w:rsidRPr="00CC19F7">
        <w:t xml:space="preserve">, og </w:t>
      </w:r>
      <w:proofErr w:type="spellStart"/>
      <w:r w:rsidRPr="00CC19F7">
        <w:t>dessutan</w:t>
      </w:r>
      <w:proofErr w:type="spellEnd"/>
      <w:r w:rsidRPr="00CC19F7">
        <w:t xml:space="preserve"> unormalt </w:t>
      </w:r>
      <w:proofErr w:type="spellStart"/>
      <w:r w:rsidRPr="00CC19F7">
        <w:t>høg</w:t>
      </w:r>
      <w:proofErr w:type="spellEnd"/>
      <w:r w:rsidRPr="00CC19F7">
        <w:t xml:space="preserve"> prisvolatilitet.</w:t>
      </w:r>
    </w:p>
    <w:p w14:paraId="50EF97E3" w14:textId="77777777" w:rsidR="00FE02EF" w:rsidRPr="00CC19F7" w:rsidRDefault="00881E58" w:rsidP="00CC19F7">
      <w:proofErr w:type="spellStart"/>
      <w:r w:rsidRPr="00CC19F7">
        <w:t>Røyrgassleveransane</w:t>
      </w:r>
      <w:proofErr w:type="spellEnd"/>
      <w:r w:rsidRPr="00CC19F7">
        <w:t xml:space="preserve"> </w:t>
      </w:r>
      <w:proofErr w:type="spellStart"/>
      <w:r w:rsidRPr="00CC19F7">
        <w:t>frå</w:t>
      </w:r>
      <w:proofErr w:type="spellEnd"/>
      <w:r w:rsidRPr="00CC19F7">
        <w:t xml:space="preserve"> Russland til EU </w:t>
      </w:r>
      <w:proofErr w:type="spellStart"/>
      <w:r w:rsidRPr="00CC19F7">
        <w:t>auka</w:t>
      </w:r>
      <w:proofErr w:type="spellEnd"/>
      <w:r w:rsidRPr="00CC19F7">
        <w:t xml:space="preserve"> straks etter invasjonen, men blei så kraftig reduserte i </w:t>
      </w:r>
      <w:proofErr w:type="spellStart"/>
      <w:r w:rsidRPr="00CC19F7">
        <w:t>fleire</w:t>
      </w:r>
      <w:proofErr w:type="spellEnd"/>
      <w:r w:rsidRPr="00CC19F7">
        <w:t xml:space="preserve"> steg. </w:t>
      </w:r>
      <w:proofErr w:type="spellStart"/>
      <w:r w:rsidRPr="00CC19F7">
        <w:t>Leveransane</w:t>
      </w:r>
      <w:proofErr w:type="spellEnd"/>
      <w:r w:rsidRPr="00CC19F7">
        <w:t xml:space="preserve"> gjennom </w:t>
      </w:r>
      <w:proofErr w:type="spellStart"/>
      <w:r w:rsidRPr="00CC19F7">
        <w:t>Yamal-røyrleidningen</w:t>
      </w:r>
      <w:proofErr w:type="spellEnd"/>
      <w:r w:rsidRPr="00CC19F7">
        <w:t xml:space="preserve"> via Belarus til Polen blei stoppa i mai 2022. </w:t>
      </w:r>
      <w:proofErr w:type="spellStart"/>
      <w:r w:rsidRPr="00CC19F7">
        <w:t>Leveransane</w:t>
      </w:r>
      <w:proofErr w:type="spellEnd"/>
      <w:r w:rsidRPr="00CC19F7">
        <w:t xml:space="preserve"> gjennom </w:t>
      </w:r>
      <w:proofErr w:type="spellStart"/>
      <w:r w:rsidRPr="00CC19F7">
        <w:t>gassrøyrleidningen</w:t>
      </w:r>
      <w:proofErr w:type="spellEnd"/>
      <w:r w:rsidRPr="00CC19F7">
        <w:t xml:space="preserve"> Nord </w:t>
      </w:r>
      <w:proofErr w:type="spellStart"/>
      <w:r w:rsidRPr="00CC19F7">
        <w:t>Stream</w:t>
      </w:r>
      <w:proofErr w:type="spellEnd"/>
      <w:r w:rsidRPr="00CC19F7">
        <w:t xml:space="preserve"> 1 til Tyskland blei kraftig redusert i juni 2022, før </w:t>
      </w:r>
      <w:proofErr w:type="spellStart"/>
      <w:r w:rsidRPr="00CC19F7">
        <w:t>dei</w:t>
      </w:r>
      <w:proofErr w:type="spellEnd"/>
      <w:r w:rsidRPr="00CC19F7">
        <w:t xml:space="preserve"> stansa opp da </w:t>
      </w:r>
      <w:proofErr w:type="spellStart"/>
      <w:r w:rsidRPr="00CC19F7">
        <w:t>røyrleidningen</w:t>
      </w:r>
      <w:proofErr w:type="spellEnd"/>
      <w:r w:rsidRPr="00CC19F7">
        <w:t xml:space="preserve"> blei sabotert i september 2022. </w:t>
      </w:r>
      <w:proofErr w:type="spellStart"/>
      <w:r w:rsidRPr="00CC19F7">
        <w:t>Leveransane</w:t>
      </w:r>
      <w:proofErr w:type="spellEnd"/>
      <w:r w:rsidRPr="00CC19F7">
        <w:t xml:space="preserve"> gjennom Ukraina blei også kraftig reduserte. </w:t>
      </w:r>
      <w:proofErr w:type="spellStart"/>
      <w:r w:rsidRPr="00CC19F7">
        <w:t>Frå</w:t>
      </w:r>
      <w:proofErr w:type="spellEnd"/>
      <w:r w:rsidRPr="00CC19F7">
        <w:t xml:space="preserve"> utgangen av 2022 importerer Europa </w:t>
      </w:r>
      <w:proofErr w:type="spellStart"/>
      <w:r w:rsidRPr="00CC19F7">
        <w:t>berre</w:t>
      </w:r>
      <w:proofErr w:type="spellEnd"/>
      <w:r w:rsidRPr="00CC19F7">
        <w:t xml:space="preserve"> </w:t>
      </w:r>
      <w:proofErr w:type="spellStart"/>
      <w:r w:rsidRPr="00CC19F7">
        <w:t>noko</w:t>
      </w:r>
      <w:proofErr w:type="spellEnd"/>
      <w:r w:rsidRPr="00CC19F7">
        <w:t xml:space="preserve"> russisk </w:t>
      </w:r>
      <w:proofErr w:type="spellStart"/>
      <w:r w:rsidRPr="00CC19F7">
        <w:t>røyrgass</w:t>
      </w:r>
      <w:proofErr w:type="spellEnd"/>
      <w:r w:rsidRPr="00CC19F7">
        <w:t xml:space="preserve"> gjennom Ukraina, og </w:t>
      </w:r>
      <w:proofErr w:type="spellStart"/>
      <w:r w:rsidRPr="00CC19F7">
        <w:t>dessutan</w:t>
      </w:r>
      <w:proofErr w:type="spellEnd"/>
      <w:r w:rsidRPr="00CC19F7">
        <w:t xml:space="preserve"> </w:t>
      </w:r>
      <w:proofErr w:type="spellStart"/>
      <w:r w:rsidRPr="00CC19F7">
        <w:t>noko</w:t>
      </w:r>
      <w:proofErr w:type="spellEnd"/>
      <w:r w:rsidRPr="00CC19F7">
        <w:t xml:space="preserve"> volum som går via </w:t>
      </w:r>
      <w:proofErr w:type="spellStart"/>
      <w:r w:rsidRPr="00CC19F7">
        <w:t>Turkstream-røyrleidningen</w:t>
      </w:r>
      <w:proofErr w:type="spellEnd"/>
      <w:r w:rsidRPr="00CC19F7">
        <w:t xml:space="preserve"> til Tyrkia og </w:t>
      </w:r>
      <w:proofErr w:type="spellStart"/>
      <w:r w:rsidRPr="00CC19F7">
        <w:t>vidare</w:t>
      </w:r>
      <w:proofErr w:type="spellEnd"/>
      <w:r w:rsidRPr="00CC19F7">
        <w:t xml:space="preserve"> inn i EU. </w:t>
      </w:r>
      <w:proofErr w:type="spellStart"/>
      <w:r w:rsidRPr="00CC19F7">
        <w:t>Røyrgassleveransane</w:t>
      </w:r>
      <w:proofErr w:type="spellEnd"/>
      <w:r w:rsidRPr="00CC19F7">
        <w:t xml:space="preserve"> </w:t>
      </w:r>
      <w:proofErr w:type="spellStart"/>
      <w:r w:rsidRPr="00CC19F7">
        <w:t>frå</w:t>
      </w:r>
      <w:proofErr w:type="spellEnd"/>
      <w:r w:rsidRPr="00CC19F7">
        <w:t xml:space="preserve"> Russland til EU blei redusert </w:t>
      </w:r>
      <w:proofErr w:type="spellStart"/>
      <w:r w:rsidRPr="00CC19F7">
        <w:t>frå</w:t>
      </w:r>
      <w:proofErr w:type="spellEnd"/>
      <w:r w:rsidRPr="00CC19F7">
        <w:t xml:space="preserve"> 140 til 78 mrd. Sm</w:t>
      </w:r>
      <w:r w:rsidRPr="00CC19F7">
        <w:rPr>
          <w:rStyle w:val="skrift-hevet"/>
        </w:rPr>
        <w:t>3</w:t>
      </w:r>
      <w:r w:rsidRPr="00CC19F7">
        <w:t xml:space="preserve"> </w:t>
      </w:r>
      <w:proofErr w:type="spellStart"/>
      <w:r w:rsidRPr="00CC19F7">
        <w:t>frå</w:t>
      </w:r>
      <w:proofErr w:type="spellEnd"/>
      <w:r w:rsidRPr="00CC19F7">
        <w:t xml:space="preserve"> 2021 til 2022.</w:t>
      </w:r>
    </w:p>
    <w:p w14:paraId="12A2B868" w14:textId="77777777" w:rsidR="00FE02EF" w:rsidRPr="00CC19F7" w:rsidRDefault="00881E58" w:rsidP="00CC19F7">
      <w:r w:rsidRPr="00CC19F7">
        <w:t xml:space="preserve">Den kraftige nedgangen og </w:t>
      </w:r>
      <w:proofErr w:type="spellStart"/>
      <w:r w:rsidRPr="00CC19F7">
        <w:t>usikkerheita</w:t>
      </w:r>
      <w:proofErr w:type="spellEnd"/>
      <w:r w:rsidRPr="00CC19F7">
        <w:t xml:space="preserve"> om russiske </w:t>
      </w:r>
      <w:proofErr w:type="spellStart"/>
      <w:r w:rsidRPr="00CC19F7">
        <w:t>røyrgassleveransar</w:t>
      </w:r>
      <w:proofErr w:type="spellEnd"/>
      <w:r w:rsidRPr="00CC19F7">
        <w:t xml:space="preserve"> førte til historisk høge europeiske </w:t>
      </w:r>
      <w:proofErr w:type="spellStart"/>
      <w:r w:rsidRPr="00CC19F7">
        <w:t>gassmarknadsprisar</w:t>
      </w:r>
      <w:proofErr w:type="spellEnd"/>
      <w:r w:rsidRPr="00CC19F7">
        <w:t xml:space="preserve"> i 2022. </w:t>
      </w:r>
      <w:proofErr w:type="spellStart"/>
      <w:r w:rsidRPr="00CC19F7">
        <w:t>Noreg</w:t>
      </w:r>
      <w:proofErr w:type="spellEnd"/>
      <w:r w:rsidRPr="00CC19F7">
        <w:t xml:space="preserve"> </w:t>
      </w:r>
      <w:proofErr w:type="spellStart"/>
      <w:r w:rsidRPr="00CC19F7">
        <w:t>auka</w:t>
      </w:r>
      <w:proofErr w:type="spellEnd"/>
      <w:r w:rsidRPr="00CC19F7">
        <w:t xml:space="preserve"> gassproduksjonen med om lag 9 mrd. Sm</w:t>
      </w:r>
      <w:r w:rsidRPr="00CC19F7">
        <w:rPr>
          <w:rStyle w:val="skrift-hevet"/>
        </w:rPr>
        <w:t>3</w:t>
      </w:r>
      <w:r w:rsidRPr="00CC19F7">
        <w:t xml:space="preserve"> </w:t>
      </w:r>
      <w:proofErr w:type="spellStart"/>
      <w:r w:rsidRPr="00CC19F7">
        <w:t>frå</w:t>
      </w:r>
      <w:proofErr w:type="spellEnd"/>
      <w:r w:rsidRPr="00CC19F7">
        <w:t xml:space="preserve"> 2021 til 2022. </w:t>
      </w:r>
      <w:proofErr w:type="spellStart"/>
      <w:r w:rsidRPr="00CC19F7">
        <w:t>Noreg</w:t>
      </w:r>
      <w:proofErr w:type="spellEnd"/>
      <w:r w:rsidRPr="00CC19F7">
        <w:t xml:space="preserve"> er den største produsenten og </w:t>
      </w:r>
      <w:proofErr w:type="spellStart"/>
      <w:r w:rsidRPr="00CC19F7">
        <w:t>einaste</w:t>
      </w:r>
      <w:proofErr w:type="spellEnd"/>
      <w:r w:rsidRPr="00CC19F7">
        <w:t xml:space="preserve"> nettoeksportør av olje og gass i Vest-Europa. Felta på norsk kontinentalsokkel er </w:t>
      </w:r>
      <w:proofErr w:type="spellStart"/>
      <w:r w:rsidRPr="00CC19F7">
        <w:t>no</w:t>
      </w:r>
      <w:proofErr w:type="spellEnd"/>
      <w:r w:rsidRPr="00CC19F7">
        <w:t xml:space="preserve"> samla Europas største enkeltkjelde til gass. Bortfallet av russisk </w:t>
      </w:r>
      <w:proofErr w:type="spellStart"/>
      <w:r w:rsidRPr="00CC19F7">
        <w:t>røyrgass</w:t>
      </w:r>
      <w:proofErr w:type="spellEnd"/>
      <w:r w:rsidRPr="00CC19F7">
        <w:t xml:space="preserve"> er i </w:t>
      </w:r>
      <w:proofErr w:type="spellStart"/>
      <w:r w:rsidRPr="00CC19F7">
        <w:t>hovudsak</w:t>
      </w:r>
      <w:proofErr w:type="spellEnd"/>
      <w:r w:rsidRPr="00CC19F7">
        <w:t xml:space="preserve"> erstatta av </w:t>
      </w:r>
      <w:proofErr w:type="spellStart"/>
      <w:r w:rsidRPr="00CC19F7">
        <w:t>auka</w:t>
      </w:r>
      <w:proofErr w:type="spellEnd"/>
      <w:r w:rsidRPr="00CC19F7">
        <w:t xml:space="preserve"> import av LNG, som må </w:t>
      </w:r>
      <w:proofErr w:type="spellStart"/>
      <w:r w:rsidRPr="00CC19F7">
        <w:t>kjøpast</w:t>
      </w:r>
      <w:proofErr w:type="spellEnd"/>
      <w:r w:rsidRPr="00CC19F7">
        <w:t xml:space="preserve"> i global konkurranse med mellom anna andre asiatiske </w:t>
      </w:r>
      <w:proofErr w:type="spellStart"/>
      <w:r w:rsidRPr="00CC19F7">
        <w:t>marknader</w:t>
      </w:r>
      <w:proofErr w:type="spellEnd"/>
      <w:r w:rsidRPr="00CC19F7">
        <w:t xml:space="preserve">. Asia og Europa er </w:t>
      </w:r>
      <w:proofErr w:type="spellStart"/>
      <w:r w:rsidRPr="00CC19F7">
        <w:t>dei</w:t>
      </w:r>
      <w:proofErr w:type="spellEnd"/>
      <w:r w:rsidRPr="00CC19F7">
        <w:t xml:space="preserve"> </w:t>
      </w:r>
      <w:proofErr w:type="spellStart"/>
      <w:r w:rsidRPr="00CC19F7">
        <w:t>viktigaste</w:t>
      </w:r>
      <w:proofErr w:type="spellEnd"/>
      <w:r w:rsidRPr="00CC19F7">
        <w:t xml:space="preserve"> </w:t>
      </w:r>
      <w:proofErr w:type="spellStart"/>
      <w:r w:rsidRPr="00CC19F7">
        <w:t>importregionane</w:t>
      </w:r>
      <w:proofErr w:type="spellEnd"/>
      <w:r w:rsidRPr="00CC19F7">
        <w:t xml:space="preserve"> for LNG. USA, Midtausten, Australia og Russland er viktige LNG-</w:t>
      </w:r>
      <w:proofErr w:type="spellStart"/>
      <w:r w:rsidRPr="00CC19F7">
        <w:t>eksportregionar</w:t>
      </w:r>
      <w:proofErr w:type="spellEnd"/>
      <w:r w:rsidRPr="00CC19F7">
        <w:t xml:space="preserve">. Konkurransen mellom Asia og Europa om LNG har gjort at </w:t>
      </w:r>
      <w:proofErr w:type="spellStart"/>
      <w:r w:rsidRPr="00CC19F7">
        <w:t>dei</w:t>
      </w:r>
      <w:proofErr w:type="spellEnd"/>
      <w:r w:rsidRPr="00CC19F7">
        <w:t xml:space="preserve"> høge </w:t>
      </w:r>
      <w:proofErr w:type="spellStart"/>
      <w:r w:rsidRPr="00CC19F7">
        <w:t>prisane</w:t>
      </w:r>
      <w:proofErr w:type="spellEnd"/>
      <w:r w:rsidRPr="00CC19F7">
        <w:t xml:space="preserve"> i Europa også har ført til prisoppgang i den asiatiske </w:t>
      </w:r>
      <w:proofErr w:type="spellStart"/>
      <w:r w:rsidRPr="00CC19F7">
        <w:t>marknaden</w:t>
      </w:r>
      <w:proofErr w:type="spellEnd"/>
      <w:r w:rsidRPr="00CC19F7">
        <w:t>.</w:t>
      </w:r>
    </w:p>
    <w:p w14:paraId="07893890" w14:textId="77777777" w:rsidR="00FE02EF" w:rsidRPr="00CC19F7" w:rsidRDefault="00881E58" w:rsidP="00CC19F7">
      <w:r w:rsidRPr="00CC19F7">
        <w:t xml:space="preserve">Den </w:t>
      </w:r>
      <w:proofErr w:type="spellStart"/>
      <w:r w:rsidRPr="00CC19F7">
        <w:t>auka</w:t>
      </w:r>
      <w:proofErr w:type="spellEnd"/>
      <w:r w:rsidRPr="00CC19F7">
        <w:t xml:space="preserve"> LNG-importen til Europa har i </w:t>
      </w:r>
      <w:proofErr w:type="spellStart"/>
      <w:r w:rsidRPr="00CC19F7">
        <w:t>hovudsak</w:t>
      </w:r>
      <w:proofErr w:type="spellEnd"/>
      <w:r w:rsidRPr="00CC19F7">
        <w:t xml:space="preserve"> komme </w:t>
      </w:r>
      <w:proofErr w:type="spellStart"/>
      <w:r w:rsidRPr="00CC19F7">
        <w:t>frå</w:t>
      </w:r>
      <w:proofErr w:type="spellEnd"/>
      <w:r w:rsidRPr="00CC19F7">
        <w:t xml:space="preserve"> USA, men LNG-</w:t>
      </w:r>
      <w:proofErr w:type="spellStart"/>
      <w:r w:rsidRPr="00CC19F7">
        <w:t>leveransane</w:t>
      </w:r>
      <w:proofErr w:type="spellEnd"/>
      <w:r w:rsidRPr="00CC19F7">
        <w:t xml:space="preserve"> </w:t>
      </w:r>
      <w:proofErr w:type="spellStart"/>
      <w:r w:rsidRPr="00CC19F7">
        <w:t>frå</w:t>
      </w:r>
      <w:proofErr w:type="spellEnd"/>
      <w:r w:rsidRPr="00CC19F7">
        <w:t xml:space="preserve"> mellom anna Russland har også </w:t>
      </w:r>
      <w:proofErr w:type="spellStart"/>
      <w:r w:rsidRPr="00CC19F7">
        <w:t>auka</w:t>
      </w:r>
      <w:proofErr w:type="spellEnd"/>
      <w:r w:rsidRPr="00CC19F7">
        <w:t xml:space="preserve">. LNG-tilførselen til EU </w:t>
      </w:r>
      <w:proofErr w:type="spellStart"/>
      <w:r w:rsidRPr="00CC19F7">
        <w:t>auka</w:t>
      </w:r>
      <w:proofErr w:type="spellEnd"/>
      <w:r w:rsidRPr="00CC19F7">
        <w:t xml:space="preserve"> med 70 prosent, eller 55 mrd. Sm</w:t>
      </w:r>
      <w:r w:rsidRPr="00CC19F7">
        <w:rPr>
          <w:rStyle w:val="skrift-hevet"/>
        </w:rPr>
        <w:t>3</w:t>
      </w:r>
      <w:r w:rsidRPr="00CC19F7">
        <w:t xml:space="preserve">, i 2022. Det er </w:t>
      </w:r>
      <w:proofErr w:type="spellStart"/>
      <w:r w:rsidRPr="00CC19F7">
        <w:t>meir</w:t>
      </w:r>
      <w:proofErr w:type="spellEnd"/>
      <w:r w:rsidRPr="00CC19F7">
        <w:t xml:space="preserve"> enn dobbelt så </w:t>
      </w:r>
      <w:proofErr w:type="spellStart"/>
      <w:r w:rsidRPr="00CC19F7">
        <w:t>mykje</w:t>
      </w:r>
      <w:proofErr w:type="spellEnd"/>
      <w:r w:rsidRPr="00CC19F7">
        <w:t xml:space="preserve"> som den globale LNG-produksjonen </w:t>
      </w:r>
      <w:proofErr w:type="spellStart"/>
      <w:r w:rsidRPr="00CC19F7">
        <w:t>auka</w:t>
      </w:r>
      <w:proofErr w:type="spellEnd"/>
      <w:r w:rsidRPr="00CC19F7">
        <w:t xml:space="preserve"> med i 2022. Dei høge </w:t>
      </w:r>
      <w:proofErr w:type="spellStart"/>
      <w:r w:rsidRPr="00CC19F7">
        <w:t>prisane</w:t>
      </w:r>
      <w:proofErr w:type="spellEnd"/>
      <w:r w:rsidRPr="00CC19F7">
        <w:t xml:space="preserve"> i Europa gjorde at Europa </w:t>
      </w:r>
      <w:proofErr w:type="spellStart"/>
      <w:r w:rsidRPr="00CC19F7">
        <w:t>tiltrekte</w:t>
      </w:r>
      <w:proofErr w:type="spellEnd"/>
      <w:r w:rsidRPr="00CC19F7">
        <w:t xml:space="preserve"> seg LNG på kostnad av andre </w:t>
      </w:r>
      <w:proofErr w:type="spellStart"/>
      <w:r w:rsidRPr="00CC19F7">
        <w:t>marknader</w:t>
      </w:r>
      <w:proofErr w:type="spellEnd"/>
      <w:r w:rsidRPr="00CC19F7">
        <w:t xml:space="preserve">. </w:t>
      </w:r>
      <w:proofErr w:type="spellStart"/>
      <w:r w:rsidRPr="00CC19F7">
        <w:t>Lågare</w:t>
      </w:r>
      <w:proofErr w:type="spellEnd"/>
      <w:r w:rsidRPr="00CC19F7">
        <w:t xml:space="preserve"> LNG-</w:t>
      </w:r>
      <w:proofErr w:type="spellStart"/>
      <w:r w:rsidRPr="00CC19F7">
        <w:t>leveransar</w:t>
      </w:r>
      <w:proofErr w:type="spellEnd"/>
      <w:r w:rsidRPr="00CC19F7">
        <w:t xml:space="preserve"> førte til problem med kraftforsyning i land som Pakistan og Bangladesh. Dei høge </w:t>
      </w:r>
      <w:proofErr w:type="spellStart"/>
      <w:r w:rsidRPr="00CC19F7">
        <w:t>gassprisane</w:t>
      </w:r>
      <w:proofErr w:type="spellEnd"/>
      <w:r w:rsidRPr="00CC19F7">
        <w:t xml:space="preserve">, </w:t>
      </w:r>
      <w:proofErr w:type="spellStart"/>
      <w:r w:rsidRPr="00CC19F7">
        <w:t>drivne</w:t>
      </w:r>
      <w:proofErr w:type="spellEnd"/>
      <w:r w:rsidRPr="00CC19F7">
        <w:t xml:space="preserve"> av </w:t>
      </w:r>
      <w:proofErr w:type="spellStart"/>
      <w:r w:rsidRPr="00CC19F7">
        <w:t>ein</w:t>
      </w:r>
      <w:proofErr w:type="spellEnd"/>
      <w:r w:rsidRPr="00CC19F7">
        <w:t xml:space="preserve"> enorm </w:t>
      </w:r>
      <w:proofErr w:type="spellStart"/>
      <w:r w:rsidRPr="00CC19F7">
        <w:t>auke</w:t>
      </w:r>
      <w:proofErr w:type="spellEnd"/>
      <w:r w:rsidRPr="00CC19F7">
        <w:t xml:space="preserve"> i etterspørsel etter LNG i Europa, var </w:t>
      </w:r>
      <w:proofErr w:type="spellStart"/>
      <w:r w:rsidRPr="00CC19F7">
        <w:t>hovudårsaka</w:t>
      </w:r>
      <w:proofErr w:type="spellEnd"/>
      <w:r w:rsidRPr="00CC19F7">
        <w:t xml:space="preserve"> til at mange </w:t>
      </w:r>
      <w:proofErr w:type="spellStart"/>
      <w:r w:rsidRPr="00CC19F7">
        <w:t>regionar</w:t>
      </w:r>
      <w:proofErr w:type="spellEnd"/>
      <w:r w:rsidRPr="00CC19F7">
        <w:t xml:space="preserve"> måtte skifte </w:t>
      </w:r>
      <w:proofErr w:type="spellStart"/>
      <w:r w:rsidRPr="00CC19F7">
        <w:t>frå</w:t>
      </w:r>
      <w:proofErr w:type="spellEnd"/>
      <w:r w:rsidRPr="00CC19F7">
        <w:t xml:space="preserve"> gass til kol for </w:t>
      </w:r>
      <w:proofErr w:type="gramStart"/>
      <w:r w:rsidRPr="00CC19F7">
        <w:t>å sikra</w:t>
      </w:r>
      <w:proofErr w:type="gramEnd"/>
      <w:r w:rsidRPr="00CC19F7">
        <w:t xml:space="preserve"> kraftforsyninga. Global kolkraftproduksjon steig til det </w:t>
      </w:r>
      <w:proofErr w:type="spellStart"/>
      <w:r w:rsidRPr="00CC19F7">
        <w:t>høgaste</w:t>
      </w:r>
      <w:proofErr w:type="spellEnd"/>
      <w:r w:rsidRPr="00CC19F7">
        <w:t xml:space="preserve"> nivået </w:t>
      </w:r>
      <w:proofErr w:type="spellStart"/>
      <w:r w:rsidRPr="00CC19F7">
        <w:t>nokosinne</w:t>
      </w:r>
      <w:proofErr w:type="spellEnd"/>
      <w:r w:rsidRPr="00CC19F7">
        <w:t xml:space="preserve"> og dekte </w:t>
      </w:r>
      <w:proofErr w:type="spellStart"/>
      <w:r w:rsidRPr="00CC19F7">
        <w:t>meir</w:t>
      </w:r>
      <w:proofErr w:type="spellEnd"/>
      <w:r w:rsidRPr="00CC19F7">
        <w:t xml:space="preserve"> enn </w:t>
      </w:r>
      <w:proofErr w:type="spellStart"/>
      <w:r w:rsidRPr="00CC19F7">
        <w:t>ein</w:t>
      </w:r>
      <w:proofErr w:type="spellEnd"/>
      <w:r w:rsidRPr="00CC19F7">
        <w:t xml:space="preserve"> tredel av den globale kraftetterspørselen i 2022. Auken i europeisk LNG-import i 2022 blei også gjord </w:t>
      </w:r>
      <w:proofErr w:type="spellStart"/>
      <w:r w:rsidRPr="00CC19F7">
        <w:t>mogleg</w:t>
      </w:r>
      <w:proofErr w:type="spellEnd"/>
      <w:r w:rsidRPr="00CC19F7">
        <w:t xml:space="preserve"> av 20 prosent (22 mrd. Sm</w:t>
      </w:r>
      <w:r w:rsidRPr="00CC19F7">
        <w:rPr>
          <w:rStyle w:val="skrift-hevet"/>
        </w:rPr>
        <w:t>3</w:t>
      </w:r>
      <w:r w:rsidRPr="00CC19F7">
        <w:t xml:space="preserve">) nedgang i kinesisk LNG-etterspørsel. Høge </w:t>
      </w:r>
      <w:proofErr w:type="spellStart"/>
      <w:r w:rsidRPr="00CC19F7">
        <w:t>prisar</w:t>
      </w:r>
      <w:proofErr w:type="spellEnd"/>
      <w:r w:rsidRPr="00CC19F7">
        <w:t xml:space="preserve"> for asiatiske </w:t>
      </w:r>
      <w:proofErr w:type="spellStart"/>
      <w:r w:rsidRPr="00CC19F7">
        <w:t>spotlastar</w:t>
      </w:r>
      <w:proofErr w:type="spellEnd"/>
      <w:r w:rsidRPr="00CC19F7">
        <w:t xml:space="preserve"> med LNG bidrog til nedgangen i etterspørselen – prisen på asiatiske </w:t>
      </w:r>
      <w:proofErr w:type="spellStart"/>
      <w:r w:rsidRPr="00CC19F7">
        <w:t>spotlastar</w:t>
      </w:r>
      <w:proofErr w:type="spellEnd"/>
      <w:r w:rsidRPr="00CC19F7">
        <w:t xml:space="preserve"> </w:t>
      </w:r>
      <w:proofErr w:type="spellStart"/>
      <w:r w:rsidRPr="00CC19F7">
        <w:t>låg</w:t>
      </w:r>
      <w:proofErr w:type="spellEnd"/>
      <w:r w:rsidRPr="00CC19F7">
        <w:t xml:space="preserve"> på 34 USD/</w:t>
      </w:r>
      <w:proofErr w:type="spellStart"/>
      <w:r w:rsidRPr="00CC19F7">
        <w:t>MMBtu</w:t>
      </w:r>
      <w:proofErr w:type="spellEnd"/>
      <w:r w:rsidRPr="00CC19F7">
        <w:t xml:space="preserve"> i snitt i 2022, det </w:t>
      </w:r>
      <w:proofErr w:type="spellStart"/>
      <w:r w:rsidRPr="00CC19F7">
        <w:t>høgaste</w:t>
      </w:r>
      <w:proofErr w:type="spellEnd"/>
      <w:r w:rsidRPr="00CC19F7">
        <w:t xml:space="preserve"> nivået </w:t>
      </w:r>
      <w:proofErr w:type="spellStart"/>
      <w:r w:rsidRPr="00CC19F7">
        <w:t>nokosinne</w:t>
      </w:r>
      <w:proofErr w:type="spellEnd"/>
      <w:r w:rsidRPr="00CC19F7">
        <w:t>.</w:t>
      </w:r>
    </w:p>
    <w:p w14:paraId="364BAA6E" w14:textId="77777777" w:rsidR="00FE02EF" w:rsidRPr="00CC19F7" w:rsidRDefault="00881E58" w:rsidP="00CC19F7">
      <w:r w:rsidRPr="00CC19F7">
        <w:t>I Europa var gjennomsnittsprisen på TTF 38 USD/</w:t>
      </w:r>
      <w:proofErr w:type="spellStart"/>
      <w:r w:rsidRPr="00CC19F7">
        <w:t>MMBtu</w:t>
      </w:r>
      <w:proofErr w:type="spellEnd"/>
      <w:r w:rsidRPr="00CC19F7">
        <w:t xml:space="preserve"> i 2022 nesten åtte gonger snittprisen i 2016–2020. </w:t>
      </w:r>
      <w:proofErr w:type="spellStart"/>
      <w:r w:rsidRPr="00CC19F7">
        <w:t>Gassprisane</w:t>
      </w:r>
      <w:proofErr w:type="spellEnd"/>
      <w:r w:rsidRPr="00CC19F7">
        <w:t xml:space="preserve"> var aller </w:t>
      </w:r>
      <w:proofErr w:type="spellStart"/>
      <w:r w:rsidRPr="00CC19F7">
        <w:t>høgast</w:t>
      </w:r>
      <w:proofErr w:type="spellEnd"/>
      <w:r w:rsidRPr="00CC19F7">
        <w:t xml:space="preserve"> i tredje kvartal 2022, da den sterke nedgangen i russiske </w:t>
      </w:r>
      <w:proofErr w:type="spellStart"/>
      <w:r w:rsidRPr="00CC19F7">
        <w:t>gassforsyningar</w:t>
      </w:r>
      <w:proofErr w:type="spellEnd"/>
      <w:r w:rsidRPr="00CC19F7">
        <w:t xml:space="preserve"> fall </w:t>
      </w:r>
      <w:proofErr w:type="spellStart"/>
      <w:r w:rsidRPr="00CC19F7">
        <w:t>saman</w:t>
      </w:r>
      <w:proofErr w:type="spellEnd"/>
      <w:r w:rsidRPr="00CC19F7">
        <w:t xml:space="preserve"> med </w:t>
      </w:r>
      <w:proofErr w:type="spellStart"/>
      <w:r w:rsidRPr="00CC19F7">
        <w:t>høg</w:t>
      </w:r>
      <w:proofErr w:type="spellEnd"/>
      <w:r w:rsidRPr="00CC19F7">
        <w:t xml:space="preserve"> gassetterspørsel i kraftsektoren. Reduksjon av grunnlast i det europeiske kraftsystemet over tid og mellom anna unormalt </w:t>
      </w:r>
      <w:proofErr w:type="spellStart"/>
      <w:r w:rsidRPr="00CC19F7">
        <w:t>låg</w:t>
      </w:r>
      <w:proofErr w:type="spellEnd"/>
      <w:r w:rsidRPr="00CC19F7">
        <w:t xml:space="preserve"> vasskraft- og kjernekraftproduksjon i 2022 førte til høg gassetterspørsel til kraftproduksjon trass i høge </w:t>
      </w:r>
      <w:proofErr w:type="spellStart"/>
      <w:r w:rsidRPr="00CC19F7">
        <w:t>gassprisar</w:t>
      </w:r>
      <w:proofErr w:type="spellEnd"/>
      <w:r w:rsidRPr="00CC19F7">
        <w:t xml:space="preserve">. </w:t>
      </w:r>
      <w:proofErr w:type="spellStart"/>
      <w:r w:rsidRPr="00CC19F7">
        <w:t>Marknadsprisen</w:t>
      </w:r>
      <w:proofErr w:type="spellEnd"/>
      <w:r w:rsidRPr="00CC19F7">
        <w:t xml:space="preserve"> på TTF steig i 2022 langt </w:t>
      </w:r>
      <w:proofErr w:type="spellStart"/>
      <w:r w:rsidRPr="00CC19F7">
        <w:t>meir</w:t>
      </w:r>
      <w:proofErr w:type="spellEnd"/>
      <w:r w:rsidRPr="00CC19F7">
        <w:t xml:space="preserve"> enn importkostnaden for LNG levert til Nord-Europa, og langt </w:t>
      </w:r>
      <w:proofErr w:type="spellStart"/>
      <w:r w:rsidRPr="00CC19F7">
        <w:t>meir</w:t>
      </w:r>
      <w:proofErr w:type="spellEnd"/>
      <w:r w:rsidRPr="00CC19F7">
        <w:t xml:space="preserve"> enn </w:t>
      </w:r>
      <w:proofErr w:type="spellStart"/>
      <w:r w:rsidRPr="00CC19F7">
        <w:t>marknadsprisen</w:t>
      </w:r>
      <w:proofErr w:type="spellEnd"/>
      <w:r w:rsidRPr="00CC19F7">
        <w:t xml:space="preserve"> i europeiske land som Storbritannia, som hadde stor mottakskapasitet for LNG. </w:t>
      </w:r>
      <w:proofErr w:type="spellStart"/>
      <w:r w:rsidRPr="00CC19F7">
        <w:t>Flaskehalsar</w:t>
      </w:r>
      <w:proofErr w:type="spellEnd"/>
      <w:r w:rsidRPr="00CC19F7">
        <w:t xml:space="preserve"> i gasstransportsystemet i land som var sterkt ramma av bortfall av russisk gass, blei forsterka av sterk lagerfylling i EU gjennom </w:t>
      </w:r>
      <w:proofErr w:type="spellStart"/>
      <w:r w:rsidRPr="00CC19F7">
        <w:t>sommaren</w:t>
      </w:r>
      <w:proofErr w:type="spellEnd"/>
      <w:r w:rsidRPr="00CC19F7">
        <w:t xml:space="preserve"> 2022, drive av EUs pålagde mål om 80 prosent lagerfylling </w:t>
      </w:r>
      <w:proofErr w:type="spellStart"/>
      <w:r w:rsidRPr="00CC19F7">
        <w:t>innan</w:t>
      </w:r>
      <w:proofErr w:type="spellEnd"/>
      <w:r w:rsidRPr="00CC19F7">
        <w:t xml:space="preserve"> 1. november 2022. TTF-prisen steig til nær 100 USD/</w:t>
      </w:r>
      <w:proofErr w:type="spellStart"/>
      <w:r w:rsidRPr="00CC19F7">
        <w:t>MMBtu</w:t>
      </w:r>
      <w:proofErr w:type="spellEnd"/>
      <w:r w:rsidRPr="00CC19F7">
        <w:t xml:space="preserve"> i slutten av august 2022.</w:t>
      </w:r>
    </w:p>
    <w:p w14:paraId="0FD607B2" w14:textId="77777777" w:rsidR="00FE02EF" w:rsidRPr="00CC19F7" w:rsidRDefault="00881E58" w:rsidP="00CC19F7">
      <w:r w:rsidRPr="00CC19F7">
        <w:t xml:space="preserve">Nedgang i gassetterspørselen bidrog til å balansere den europeiske </w:t>
      </w:r>
      <w:proofErr w:type="spellStart"/>
      <w:r w:rsidRPr="00CC19F7">
        <w:t>marknaden</w:t>
      </w:r>
      <w:proofErr w:type="spellEnd"/>
      <w:r w:rsidRPr="00CC19F7">
        <w:t>. I EU fall naturgassforbruket med om lag 55 mrd. Sm</w:t>
      </w:r>
      <w:r w:rsidRPr="00CC19F7">
        <w:rPr>
          <w:rStyle w:val="skrift-hevet"/>
        </w:rPr>
        <w:t>3</w:t>
      </w:r>
      <w:r w:rsidRPr="00CC19F7">
        <w:t xml:space="preserve"> i 2022. </w:t>
      </w:r>
      <w:proofErr w:type="spellStart"/>
      <w:r w:rsidRPr="00CC19F7">
        <w:t>Mildvêr</w:t>
      </w:r>
      <w:proofErr w:type="spellEnd"/>
      <w:r w:rsidRPr="00CC19F7">
        <w:t xml:space="preserve"> dempa gassetterspørselen til oppvarmingsformål, </w:t>
      </w:r>
      <w:proofErr w:type="spellStart"/>
      <w:r w:rsidRPr="00CC19F7">
        <w:t>medan</w:t>
      </w:r>
      <w:proofErr w:type="spellEnd"/>
      <w:r w:rsidRPr="00CC19F7">
        <w:t xml:space="preserve"> </w:t>
      </w:r>
      <w:proofErr w:type="spellStart"/>
      <w:r w:rsidRPr="00CC19F7">
        <w:t>rekordprisar</w:t>
      </w:r>
      <w:proofErr w:type="spellEnd"/>
      <w:r w:rsidRPr="00CC19F7">
        <w:t xml:space="preserve"> og energieffektiviseringstiltak førte til redusert forbruk i bustad- og næringssektoren og til byte av brensel der det var </w:t>
      </w:r>
      <w:proofErr w:type="spellStart"/>
      <w:r w:rsidRPr="00CC19F7">
        <w:t>mogleg</w:t>
      </w:r>
      <w:proofErr w:type="spellEnd"/>
      <w:r w:rsidRPr="00CC19F7">
        <w:t xml:space="preserve">. Gassetterspørselen i industrien fall med 25 prosent, og redusert aktivitet og </w:t>
      </w:r>
      <w:proofErr w:type="spellStart"/>
      <w:r w:rsidRPr="00CC19F7">
        <w:t>nedstengingar</w:t>
      </w:r>
      <w:proofErr w:type="spellEnd"/>
      <w:r w:rsidRPr="00CC19F7">
        <w:t xml:space="preserve"> i industrien stod for halvparten av nedgangen i gassetterspørselen i EU i 2022. Det er fare for at slike </w:t>
      </w:r>
      <w:proofErr w:type="spellStart"/>
      <w:r w:rsidRPr="00CC19F7">
        <w:t>nedstengingar</w:t>
      </w:r>
      <w:proofErr w:type="spellEnd"/>
      <w:r w:rsidRPr="00CC19F7">
        <w:t xml:space="preserve"> vil bli permanente. </w:t>
      </w:r>
      <w:proofErr w:type="spellStart"/>
      <w:r w:rsidRPr="00CC19F7">
        <w:t>Mildvêret</w:t>
      </w:r>
      <w:proofErr w:type="spellEnd"/>
      <w:r w:rsidRPr="00CC19F7">
        <w:t xml:space="preserve"> bidrog til at </w:t>
      </w:r>
      <w:proofErr w:type="spellStart"/>
      <w:r w:rsidRPr="00CC19F7">
        <w:t>gasslagera</w:t>
      </w:r>
      <w:proofErr w:type="spellEnd"/>
      <w:r w:rsidRPr="00CC19F7">
        <w:t xml:space="preserve"> i EU var 95 prosent fulle i november 2022.</w:t>
      </w:r>
    </w:p>
    <w:p w14:paraId="20F1E0F4" w14:textId="77777777" w:rsidR="00FE02EF" w:rsidRPr="00CC19F7" w:rsidRDefault="00881E58" w:rsidP="00CC19F7">
      <w:proofErr w:type="spellStart"/>
      <w:r w:rsidRPr="00CC19F7">
        <w:t>Marknadsprisen</w:t>
      </w:r>
      <w:proofErr w:type="spellEnd"/>
      <w:r w:rsidRPr="00CC19F7">
        <w:t xml:space="preserve"> har så langt i 2023 </w:t>
      </w:r>
      <w:proofErr w:type="spellStart"/>
      <w:r w:rsidRPr="00CC19F7">
        <w:t>vore</w:t>
      </w:r>
      <w:proofErr w:type="spellEnd"/>
      <w:r w:rsidRPr="00CC19F7">
        <w:t xml:space="preserve"> nær 13 USD/</w:t>
      </w:r>
      <w:proofErr w:type="spellStart"/>
      <w:r w:rsidRPr="00CC19F7">
        <w:t>MMBtu</w:t>
      </w:r>
      <w:proofErr w:type="spellEnd"/>
      <w:r w:rsidRPr="00CC19F7">
        <w:t xml:space="preserve"> i gjennomsnitt på den nordeuropeiske </w:t>
      </w:r>
      <w:proofErr w:type="spellStart"/>
      <w:r w:rsidRPr="00CC19F7">
        <w:t>referansemarknaden</w:t>
      </w:r>
      <w:proofErr w:type="spellEnd"/>
      <w:r w:rsidRPr="00CC19F7">
        <w:t xml:space="preserve"> (TTF), </w:t>
      </w:r>
      <w:proofErr w:type="spellStart"/>
      <w:r w:rsidRPr="00CC19F7">
        <w:t>noko</w:t>
      </w:r>
      <w:proofErr w:type="spellEnd"/>
      <w:r w:rsidRPr="00CC19F7">
        <w:t xml:space="preserve"> som er over 60 prosent </w:t>
      </w:r>
      <w:proofErr w:type="spellStart"/>
      <w:r w:rsidRPr="00CC19F7">
        <w:t>lågare</w:t>
      </w:r>
      <w:proofErr w:type="spellEnd"/>
      <w:r w:rsidRPr="00CC19F7">
        <w:t xml:space="preserve"> enn i same periode i 2022. Dette er likevel </w:t>
      </w:r>
      <w:proofErr w:type="spellStart"/>
      <w:r w:rsidRPr="00CC19F7">
        <w:t>ein</w:t>
      </w:r>
      <w:proofErr w:type="spellEnd"/>
      <w:r w:rsidRPr="00CC19F7">
        <w:t xml:space="preserve"> relativt </w:t>
      </w:r>
      <w:proofErr w:type="spellStart"/>
      <w:r w:rsidRPr="00CC19F7">
        <w:t>høg</w:t>
      </w:r>
      <w:proofErr w:type="spellEnd"/>
      <w:r w:rsidRPr="00CC19F7">
        <w:t xml:space="preserve"> pris både globalt og historisk sett.</w:t>
      </w:r>
    </w:p>
    <w:p w14:paraId="7A4FA756" w14:textId="08FC253D" w:rsidR="00FE02EF" w:rsidRPr="00CC19F7" w:rsidRDefault="00881E58" w:rsidP="00CC19F7">
      <w:r w:rsidRPr="00CC19F7">
        <w:t xml:space="preserve">Gassetterspørselen har </w:t>
      </w:r>
      <w:proofErr w:type="spellStart"/>
      <w:r w:rsidRPr="00CC19F7">
        <w:t>halde</w:t>
      </w:r>
      <w:proofErr w:type="spellEnd"/>
      <w:r w:rsidRPr="00CC19F7">
        <w:t xml:space="preserve"> fram med å falle i første halvår av 2023, driven av </w:t>
      </w:r>
      <w:proofErr w:type="spellStart"/>
      <w:r w:rsidRPr="00CC19F7">
        <w:t>ein</w:t>
      </w:r>
      <w:proofErr w:type="spellEnd"/>
      <w:r w:rsidRPr="00CC19F7">
        <w:t xml:space="preserve"> nedgang i gass til kraft (-14 mrd. Sm</w:t>
      </w:r>
      <w:r w:rsidRPr="00CC19F7">
        <w:rPr>
          <w:rStyle w:val="skrift-hevet"/>
        </w:rPr>
        <w:t>3</w:t>
      </w:r>
      <w:r w:rsidRPr="00CC19F7">
        <w:t>), industrisektoren (</w:t>
      </w:r>
      <w:r w:rsidR="00CC19F7">
        <w:t>-</w:t>
      </w:r>
      <w:r w:rsidRPr="00CC19F7">
        <w:t>6 mrd. Sm</w:t>
      </w:r>
      <w:r w:rsidRPr="00CC19F7">
        <w:rPr>
          <w:rStyle w:val="skrift-hevet"/>
        </w:rPr>
        <w:t>3</w:t>
      </w:r>
      <w:r w:rsidRPr="00CC19F7">
        <w:t>) og bustad- og næringssektoren (</w:t>
      </w:r>
      <w:r w:rsidR="00CC19F7">
        <w:t>-</w:t>
      </w:r>
      <w:r w:rsidRPr="00CC19F7">
        <w:t>4 mrd. Sm</w:t>
      </w:r>
      <w:r w:rsidRPr="00CC19F7">
        <w:rPr>
          <w:rStyle w:val="skrift-hevet"/>
        </w:rPr>
        <w:t>3</w:t>
      </w:r>
      <w:r w:rsidRPr="00CC19F7">
        <w:t xml:space="preserve">). I kraftsektoren var gassbruken </w:t>
      </w:r>
      <w:proofErr w:type="spellStart"/>
      <w:r w:rsidRPr="00CC19F7">
        <w:t>lågare</w:t>
      </w:r>
      <w:proofErr w:type="spellEnd"/>
      <w:r w:rsidRPr="00CC19F7">
        <w:t xml:space="preserve"> mellom anna på grunn av </w:t>
      </w:r>
      <w:proofErr w:type="spellStart"/>
      <w:r w:rsidRPr="00CC19F7">
        <w:t>høgare</w:t>
      </w:r>
      <w:proofErr w:type="spellEnd"/>
      <w:r w:rsidRPr="00CC19F7">
        <w:t xml:space="preserve"> kjernekraftproduksjon, </w:t>
      </w:r>
      <w:proofErr w:type="spellStart"/>
      <w:r w:rsidRPr="00CC19F7">
        <w:t>høgare</w:t>
      </w:r>
      <w:proofErr w:type="spellEnd"/>
      <w:r w:rsidRPr="00CC19F7">
        <w:t xml:space="preserve"> fornybarproduksjon og redusert kraftetterspørsel. I industrisektoren er det </w:t>
      </w:r>
      <w:proofErr w:type="spellStart"/>
      <w:r w:rsidRPr="00CC19F7">
        <w:t>berre</w:t>
      </w:r>
      <w:proofErr w:type="spellEnd"/>
      <w:r w:rsidRPr="00CC19F7">
        <w:t xml:space="preserve"> petroleumsindustrien som har brukt </w:t>
      </w:r>
      <w:proofErr w:type="spellStart"/>
      <w:r w:rsidRPr="00CC19F7">
        <w:t>meir</w:t>
      </w:r>
      <w:proofErr w:type="spellEnd"/>
      <w:r w:rsidRPr="00CC19F7">
        <w:t xml:space="preserve"> gass enn i 2022. Trass i </w:t>
      </w:r>
      <w:proofErr w:type="spellStart"/>
      <w:r w:rsidRPr="00CC19F7">
        <w:t>lågare</w:t>
      </w:r>
      <w:proofErr w:type="spellEnd"/>
      <w:r w:rsidRPr="00CC19F7">
        <w:t xml:space="preserve"> </w:t>
      </w:r>
      <w:proofErr w:type="spellStart"/>
      <w:r w:rsidRPr="00CC19F7">
        <w:t>prisar</w:t>
      </w:r>
      <w:proofErr w:type="spellEnd"/>
      <w:r w:rsidRPr="00CC19F7">
        <w:t xml:space="preserve"> er det ingen storstilt </w:t>
      </w:r>
      <w:proofErr w:type="spellStart"/>
      <w:r w:rsidRPr="00CC19F7">
        <w:t>gjenopning</w:t>
      </w:r>
      <w:proofErr w:type="spellEnd"/>
      <w:r w:rsidRPr="00CC19F7">
        <w:t xml:space="preserve"> av </w:t>
      </w:r>
      <w:proofErr w:type="spellStart"/>
      <w:r w:rsidRPr="00CC19F7">
        <w:t>nedstengde</w:t>
      </w:r>
      <w:proofErr w:type="spellEnd"/>
      <w:r w:rsidRPr="00CC19F7">
        <w:t xml:space="preserve"> anlegg, </w:t>
      </w:r>
      <w:proofErr w:type="spellStart"/>
      <w:r w:rsidRPr="00CC19F7">
        <w:t>auka</w:t>
      </w:r>
      <w:proofErr w:type="spellEnd"/>
      <w:r w:rsidRPr="00CC19F7">
        <w:t xml:space="preserve"> produksjon eller </w:t>
      </w:r>
      <w:proofErr w:type="spellStart"/>
      <w:r w:rsidRPr="00CC19F7">
        <w:t>brenselbyte</w:t>
      </w:r>
      <w:proofErr w:type="spellEnd"/>
      <w:r w:rsidRPr="00CC19F7">
        <w:t xml:space="preserve"> tilbake til gass. Det er </w:t>
      </w:r>
      <w:proofErr w:type="spellStart"/>
      <w:r w:rsidRPr="00CC19F7">
        <w:t>framleis</w:t>
      </w:r>
      <w:proofErr w:type="spellEnd"/>
      <w:r w:rsidRPr="00CC19F7">
        <w:t xml:space="preserve"> </w:t>
      </w:r>
      <w:proofErr w:type="spellStart"/>
      <w:r w:rsidRPr="00CC19F7">
        <w:t>usikkerheit</w:t>
      </w:r>
      <w:proofErr w:type="spellEnd"/>
      <w:r w:rsidRPr="00CC19F7">
        <w:t xml:space="preserve"> om gassetterspørsel i bustad- og næringsbygg til vinteren, da det vil </w:t>
      </w:r>
      <w:proofErr w:type="spellStart"/>
      <w:r w:rsidRPr="00CC19F7">
        <w:t>vere</w:t>
      </w:r>
      <w:proofErr w:type="spellEnd"/>
      <w:r w:rsidRPr="00CC19F7">
        <w:t xml:space="preserve"> avhengig av temperaturnivået og av vilje til energisparingstiltak hos </w:t>
      </w:r>
      <w:proofErr w:type="spellStart"/>
      <w:r w:rsidRPr="00CC19F7">
        <w:t>forbrukarane</w:t>
      </w:r>
      <w:proofErr w:type="spellEnd"/>
      <w:r w:rsidRPr="00CC19F7">
        <w:t xml:space="preserve">. EU ønsker å </w:t>
      </w:r>
      <w:proofErr w:type="spellStart"/>
      <w:r w:rsidRPr="00CC19F7">
        <w:t>halde</w:t>
      </w:r>
      <w:proofErr w:type="spellEnd"/>
      <w:r w:rsidRPr="00CC19F7">
        <w:t xml:space="preserve"> fram med målet om 15 prosent frivillig forbrukskutt ut mars 2024.</w:t>
      </w:r>
    </w:p>
    <w:p w14:paraId="5CD37F02" w14:textId="77777777" w:rsidR="00FE02EF" w:rsidRPr="00CC19F7" w:rsidRDefault="00881E58" w:rsidP="00CC19F7">
      <w:r w:rsidRPr="00CC19F7">
        <w:t xml:space="preserve">På </w:t>
      </w:r>
      <w:proofErr w:type="spellStart"/>
      <w:r w:rsidRPr="00CC19F7">
        <w:t>tilbodssida</w:t>
      </w:r>
      <w:proofErr w:type="spellEnd"/>
      <w:r w:rsidRPr="00CC19F7">
        <w:t xml:space="preserve"> har LNG-</w:t>
      </w:r>
      <w:proofErr w:type="spellStart"/>
      <w:r w:rsidRPr="00CC19F7">
        <w:t>leveransane</w:t>
      </w:r>
      <w:proofErr w:type="spellEnd"/>
      <w:r w:rsidRPr="00CC19F7">
        <w:t xml:space="preserve"> til Europa </w:t>
      </w:r>
      <w:proofErr w:type="spellStart"/>
      <w:r w:rsidRPr="00CC19F7">
        <w:t>halde</w:t>
      </w:r>
      <w:proofErr w:type="spellEnd"/>
      <w:r w:rsidRPr="00CC19F7">
        <w:t xml:space="preserve"> seg på </w:t>
      </w:r>
      <w:proofErr w:type="spellStart"/>
      <w:r w:rsidRPr="00CC19F7">
        <w:t>eit</w:t>
      </w:r>
      <w:proofErr w:type="spellEnd"/>
      <w:r w:rsidRPr="00CC19F7">
        <w:t xml:space="preserve"> høgt nivå i 2023. </w:t>
      </w:r>
      <w:proofErr w:type="spellStart"/>
      <w:r w:rsidRPr="00CC19F7">
        <w:t>Røyrgassleveransar</w:t>
      </w:r>
      <w:proofErr w:type="spellEnd"/>
      <w:r w:rsidRPr="00CC19F7">
        <w:t xml:space="preserve"> </w:t>
      </w:r>
      <w:proofErr w:type="spellStart"/>
      <w:r w:rsidRPr="00CC19F7">
        <w:t>frå</w:t>
      </w:r>
      <w:proofErr w:type="spellEnd"/>
      <w:r w:rsidRPr="00CC19F7">
        <w:t xml:space="preserve"> Russland er venta å bli </w:t>
      </w:r>
      <w:proofErr w:type="spellStart"/>
      <w:r w:rsidRPr="00CC19F7">
        <w:t>ytterlegare</w:t>
      </w:r>
      <w:proofErr w:type="spellEnd"/>
      <w:r w:rsidRPr="00CC19F7">
        <w:t xml:space="preserve"> reduserte </w:t>
      </w:r>
      <w:proofErr w:type="spellStart"/>
      <w:r w:rsidRPr="00CC19F7">
        <w:t>samanlikna</w:t>
      </w:r>
      <w:proofErr w:type="spellEnd"/>
      <w:r w:rsidRPr="00CC19F7">
        <w:t xml:space="preserve"> med 2022, da det </w:t>
      </w:r>
      <w:proofErr w:type="spellStart"/>
      <w:r w:rsidRPr="00CC19F7">
        <w:t>ikkje</w:t>
      </w:r>
      <w:proofErr w:type="spellEnd"/>
      <w:r w:rsidRPr="00CC19F7">
        <w:t xml:space="preserve"> er venta </w:t>
      </w:r>
      <w:proofErr w:type="spellStart"/>
      <w:r w:rsidRPr="00CC19F7">
        <w:t>ein</w:t>
      </w:r>
      <w:proofErr w:type="spellEnd"/>
      <w:r w:rsidRPr="00CC19F7">
        <w:t xml:space="preserve"> </w:t>
      </w:r>
      <w:proofErr w:type="spellStart"/>
      <w:r w:rsidRPr="00CC19F7">
        <w:t>auke</w:t>
      </w:r>
      <w:proofErr w:type="spellEnd"/>
      <w:r w:rsidRPr="00CC19F7">
        <w:t xml:space="preserve"> </w:t>
      </w:r>
      <w:proofErr w:type="spellStart"/>
      <w:r w:rsidRPr="00CC19F7">
        <w:t>frå</w:t>
      </w:r>
      <w:proofErr w:type="spellEnd"/>
      <w:r w:rsidRPr="00CC19F7">
        <w:t xml:space="preserve"> dagens nivå. Alle andre røyrgassruter er venta å </w:t>
      </w:r>
      <w:proofErr w:type="spellStart"/>
      <w:r w:rsidRPr="00CC19F7">
        <w:t>vere</w:t>
      </w:r>
      <w:proofErr w:type="spellEnd"/>
      <w:r w:rsidRPr="00CC19F7">
        <w:t xml:space="preserve"> relativt stabile. EU hadde </w:t>
      </w:r>
      <w:proofErr w:type="spellStart"/>
      <w:r w:rsidRPr="00CC19F7">
        <w:t>tilstrekkelege</w:t>
      </w:r>
      <w:proofErr w:type="spellEnd"/>
      <w:r w:rsidRPr="00CC19F7">
        <w:t xml:space="preserve"> </w:t>
      </w:r>
      <w:proofErr w:type="spellStart"/>
      <w:r w:rsidRPr="00CC19F7">
        <w:t>gassleveransar</w:t>
      </w:r>
      <w:proofErr w:type="spellEnd"/>
      <w:r w:rsidRPr="00CC19F7">
        <w:t xml:space="preserve"> til å greie seg gjennom </w:t>
      </w:r>
      <w:proofErr w:type="spellStart"/>
      <w:r w:rsidRPr="00CC19F7">
        <w:t>føregåande</w:t>
      </w:r>
      <w:proofErr w:type="spellEnd"/>
      <w:r w:rsidRPr="00CC19F7">
        <w:t xml:space="preserve"> vinter og så langt i 2023, </w:t>
      </w:r>
      <w:proofErr w:type="spellStart"/>
      <w:r w:rsidRPr="00CC19F7">
        <w:t>sjølv</w:t>
      </w:r>
      <w:proofErr w:type="spellEnd"/>
      <w:r w:rsidRPr="00CC19F7">
        <w:t xml:space="preserve"> om russiske </w:t>
      </w:r>
      <w:proofErr w:type="spellStart"/>
      <w:r w:rsidRPr="00CC19F7">
        <w:t>røyrgassleveransar</w:t>
      </w:r>
      <w:proofErr w:type="spellEnd"/>
      <w:r w:rsidRPr="00CC19F7">
        <w:t xml:space="preserve"> er sterkt reduserte </w:t>
      </w:r>
      <w:proofErr w:type="spellStart"/>
      <w:r w:rsidRPr="00CC19F7">
        <w:t>samanlikna</w:t>
      </w:r>
      <w:proofErr w:type="spellEnd"/>
      <w:r w:rsidRPr="00CC19F7">
        <w:t xml:space="preserve"> med </w:t>
      </w:r>
      <w:proofErr w:type="spellStart"/>
      <w:r w:rsidRPr="00CC19F7">
        <w:t>leveransane</w:t>
      </w:r>
      <w:proofErr w:type="spellEnd"/>
      <w:r w:rsidRPr="00CC19F7">
        <w:t xml:space="preserve"> før den russiske invasjonen av Ukraina. </w:t>
      </w:r>
      <w:proofErr w:type="spellStart"/>
      <w:r w:rsidRPr="00CC19F7">
        <w:t>Gasslagera</w:t>
      </w:r>
      <w:proofErr w:type="spellEnd"/>
      <w:r w:rsidRPr="00CC19F7">
        <w:t xml:space="preserve"> i EU er i august 2023 </w:t>
      </w:r>
      <w:proofErr w:type="spellStart"/>
      <w:r w:rsidRPr="00CC19F7">
        <w:t>allereie</w:t>
      </w:r>
      <w:proofErr w:type="spellEnd"/>
      <w:r w:rsidRPr="00CC19F7">
        <w:t xml:space="preserve"> svært fulle </w:t>
      </w:r>
      <w:proofErr w:type="spellStart"/>
      <w:r w:rsidRPr="00CC19F7">
        <w:t>samanlikna</w:t>
      </w:r>
      <w:proofErr w:type="spellEnd"/>
      <w:r w:rsidRPr="00CC19F7">
        <w:t xml:space="preserve"> med </w:t>
      </w:r>
      <w:proofErr w:type="spellStart"/>
      <w:r w:rsidRPr="00CC19F7">
        <w:t>tilsvarande</w:t>
      </w:r>
      <w:proofErr w:type="spellEnd"/>
      <w:r w:rsidRPr="00CC19F7">
        <w:t xml:space="preserve"> tidspunkt i 2022. Fyllingsgraden nådde i august EUs mål for 1. november på nær 90 prosent, mot omtrent 70 prosent på same tid i 2022.</w:t>
      </w:r>
    </w:p>
    <w:p w14:paraId="38BC57CD" w14:textId="77777777" w:rsidR="00FE02EF" w:rsidRPr="00CC19F7" w:rsidRDefault="00881E58" w:rsidP="00CC19F7">
      <w:proofErr w:type="spellStart"/>
      <w:r w:rsidRPr="00CC19F7">
        <w:t>Sjølv</w:t>
      </w:r>
      <w:proofErr w:type="spellEnd"/>
      <w:r w:rsidRPr="00CC19F7">
        <w:t xml:space="preserve"> om </w:t>
      </w:r>
      <w:proofErr w:type="spellStart"/>
      <w:r w:rsidRPr="00CC19F7">
        <w:t>gasslagera</w:t>
      </w:r>
      <w:proofErr w:type="spellEnd"/>
      <w:r w:rsidRPr="00CC19F7">
        <w:t xml:space="preserve"> i Europa er på </w:t>
      </w:r>
      <w:proofErr w:type="spellStart"/>
      <w:r w:rsidRPr="00CC19F7">
        <w:t>eit</w:t>
      </w:r>
      <w:proofErr w:type="spellEnd"/>
      <w:r w:rsidRPr="00CC19F7">
        <w:t xml:space="preserve"> høgt nivå, er forsyningssituasjonen framover framleis prega av </w:t>
      </w:r>
      <w:proofErr w:type="spellStart"/>
      <w:r w:rsidRPr="00CC19F7">
        <w:t>usikkerheit</w:t>
      </w:r>
      <w:proofErr w:type="spellEnd"/>
      <w:r w:rsidRPr="00CC19F7">
        <w:t xml:space="preserve">. Den </w:t>
      </w:r>
      <w:proofErr w:type="spellStart"/>
      <w:r w:rsidRPr="00CC19F7">
        <w:t>underliggande</w:t>
      </w:r>
      <w:proofErr w:type="spellEnd"/>
      <w:r w:rsidRPr="00CC19F7">
        <w:t xml:space="preserve"> globale gassbalansen er </w:t>
      </w:r>
      <w:proofErr w:type="spellStart"/>
      <w:r w:rsidRPr="00CC19F7">
        <w:t>framleis</w:t>
      </w:r>
      <w:proofErr w:type="spellEnd"/>
      <w:r w:rsidRPr="00CC19F7">
        <w:t xml:space="preserve"> stram, og fleksibiliteten på både </w:t>
      </w:r>
      <w:proofErr w:type="spellStart"/>
      <w:r w:rsidRPr="00CC19F7">
        <w:t>tilbodssida</w:t>
      </w:r>
      <w:proofErr w:type="spellEnd"/>
      <w:r w:rsidRPr="00CC19F7">
        <w:t xml:space="preserve"> og etterspørselssida er avgrensa, slik at prisvolatiliteten kan bli stor. Dette blir illustrert ved at gassprisen på TTF gjekk opp nær 40 prosent intradag i begynnelsen av august etter </w:t>
      </w:r>
      <w:proofErr w:type="spellStart"/>
      <w:r w:rsidRPr="00CC19F7">
        <w:t>nyheiter</w:t>
      </w:r>
      <w:proofErr w:type="spellEnd"/>
      <w:r w:rsidRPr="00CC19F7">
        <w:t xml:space="preserve"> om </w:t>
      </w:r>
      <w:proofErr w:type="spellStart"/>
      <w:r w:rsidRPr="00CC19F7">
        <w:t>ein</w:t>
      </w:r>
      <w:proofErr w:type="spellEnd"/>
      <w:r w:rsidRPr="00CC19F7">
        <w:t xml:space="preserve"> </w:t>
      </w:r>
      <w:proofErr w:type="spellStart"/>
      <w:r w:rsidRPr="00CC19F7">
        <w:t>mogleg</w:t>
      </w:r>
      <w:proofErr w:type="spellEnd"/>
      <w:r w:rsidRPr="00CC19F7">
        <w:t xml:space="preserve"> streik ved LNG-anlegg i Australia. Kaldt </w:t>
      </w:r>
      <w:proofErr w:type="spellStart"/>
      <w:r w:rsidRPr="00CC19F7">
        <w:t>vêr</w:t>
      </w:r>
      <w:proofErr w:type="spellEnd"/>
      <w:r w:rsidRPr="00CC19F7">
        <w:t xml:space="preserve">, problem i </w:t>
      </w:r>
      <w:proofErr w:type="spellStart"/>
      <w:r w:rsidRPr="00CC19F7">
        <w:t>forsyningskjeda</w:t>
      </w:r>
      <w:proofErr w:type="spellEnd"/>
      <w:r w:rsidRPr="00CC19F7">
        <w:t xml:space="preserve"> for LNG eller </w:t>
      </w:r>
      <w:proofErr w:type="spellStart"/>
      <w:r w:rsidRPr="00CC19F7">
        <w:t>ein</w:t>
      </w:r>
      <w:proofErr w:type="spellEnd"/>
      <w:r w:rsidRPr="00CC19F7">
        <w:t xml:space="preserve"> oppsving i asiatisk LNG-etterspørsel kan gi prisauke med følger også for </w:t>
      </w:r>
      <w:proofErr w:type="spellStart"/>
      <w:r w:rsidRPr="00CC19F7">
        <w:t>etterfølgande</w:t>
      </w:r>
      <w:proofErr w:type="spellEnd"/>
      <w:r w:rsidRPr="00CC19F7">
        <w:t xml:space="preserve"> år, </w:t>
      </w:r>
      <w:proofErr w:type="spellStart"/>
      <w:r w:rsidRPr="00CC19F7">
        <w:t>sjølv</w:t>
      </w:r>
      <w:proofErr w:type="spellEnd"/>
      <w:r w:rsidRPr="00CC19F7">
        <w:t xml:space="preserve"> med fulle gasslager ved inngangen til vinteren. Risikoen for </w:t>
      </w:r>
      <w:proofErr w:type="spellStart"/>
      <w:r w:rsidRPr="00CC19F7">
        <w:t>ytterlegare</w:t>
      </w:r>
      <w:proofErr w:type="spellEnd"/>
      <w:r w:rsidRPr="00CC19F7">
        <w:t xml:space="preserve"> </w:t>
      </w:r>
      <w:proofErr w:type="spellStart"/>
      <w:r w:rsidRPr="00CC19F7">
        <w:t>reduksjonar</w:t>
      </w:r>
      <w:proofErr w:type="spellEnd"/>
      <w:r w:rsidRPr="00CC19F7">
        <w:t xml:space="preserve"> i </w:t>
      </w:r>
      <w:proofErr w:type="spellStart"/>
      <w:r w:rsidRPr="00CC19F7">
        <w:t>gassleveransane</w:t>
      </w:r>
      <w:proofErr w:type="spellEnd"/>
      <w:r w:rsidRPr="00CC19F7">
        <w:t xml:space="preserve"> </w:t>
      </w:r>
      <w:proofErr w:type="spellStart"/>
      <w:r w:rsidRPr="00CC19F7">
        <w:t>frå</w:t>
      </w:r>
      <w:proofErr w:type="spellEnd"/>
      <w:r w:rsidRPr="00CC19F7">
        <w:t xml:space="preserve"> Russland er </w:t>
      </w:r>
      <w:proofErr w:type="spellStart"/>
      <w:r w:rsidRPr="00CC19F7">
        <w:t>framleis</w:t>
      </w:r>
      <w:proofErr w:type="spellEnd"/>
      <w:r w:rsidRPr="00CC19F7">
        <w:t xml:space="preserve"> til </w:t>
      </w:r>
      <w:proofErr w:type="spellStart"/>
      <w:r w:rsidRPr="00CC19F7">
        <w:t>stades</w:t>
      </w:r>
      <w:proofErr w:type="spellEnd"/>
      <w:r w:rsidRPr="00CC19F7">
        <w:t xml:space="preserve">, og det blir svært viktig å </w:t>
      </w:r>
      <w:proofErr w:type="spellStart"/>
      <w:r w:rsidRPr="00CC19F7">
        <w:t>behalde</w:t>
      </w:r>
      <w:proofErr w:type="spellEnd"/>
      <w:r w:rsidRPr="00CC19F7">
        <w:t xml:space="preserve"> all </w:t>
      </w:r>
      <w:proofErr w:type="spellStart"/>
      <w:r w:rsidRPr="00CC19F7">
        <w:t>tilgjengeleg</w:t>
      </w:r>
      <w:proofErr w:type="spellEnd"/>
      <w:r w:rsidRPr="00CC19F7">
        <w:t xml:space="preserve"> røyrgassimport og sikre </w:t>
      </w:r>
      <w:proofErr w:type="spellStart"/>
      <w:r w:rsidRPr="00CC19F7">
        <w:t>tilstrekkeleg</w:t>
      </w:r>
      <w:proofErr w:type="spellEnd"/>
      <w:r w:rsidRPr="00CC19F7">
        <w:t xml:space="preserve"> forsyning av LNG. Auken i global LNG-produksjon er avgrensa </w:t>
      </w:r>
      <w:proofErr w:type="spellStart"/>
      <w:r w:rsidRPr="00CC19F7">
        <w:t>dei</w:t>
      </w:r>
      <w:proofErr w:type="spellEnd"/>
      <w:r w:rsidRPr="00CC19F7">
        <w:t xml:space="preserve"> </w:t>
      </w:r>
      <w:proofErr w:type="spellStart"/>
      <w:r w:rsidRPr="00CC19F7">
        <w:t>nærmaste</w:t>
      </w:r>
      <w:proofErr w:type="spellEnd"/>
      <w:r w:rsidRPr="00CC19F7">
        <w:t xml:space="preserve"> åra, slik at </w:t>
      </w:r>
      <w:proofErr w:type="spellStart"/>
      <w:r w:rsidRPr="00CC19F7">
        <w:t>ein</w:t>
      </w:r>
      <w:proofErr w:type="spellEnd"/>
      <w:r w:rsidRPr="00CC19F7">
        <w:t xml:space="preserve"> må </w:t>
      </w:r>
      <w:proofErr w:type="spellStart"/>
      <w:r w:rsidRPr="00CC19F7">
        <w:t>rekne</w:t>
      </w:r>
      <w:proofErr w:type="spellEnd"/>
      <w:r w:rsidRPr="00CC19F7">
        <w:t xml:space="preserve"> med </w:t>
      </w:r>
      <w:proofErr w:type="spellStart"/>
      <w:r w:rsidRPr="00CC19F7">
        <w:t>ein</w:t>
      </w:r>
      <w:proofErr w:type="spellEnd"/>
      <w:r w:rsidRPr="00CC19F7">
        <w:t xml:space="preserve"> sterk global konkurranse om </w:t>
      </w:r>
      <w:proofErr w:type="spellStart"/>
      <w:r w:rsidRPr="00CC19F7">
        <w:t>tilgjengeleg</w:t>
      </w:r>
      <w:proofErr w:type="spellEnd"/>
      <w:r w:rsidRPr="00CC19F7">
        <w:t xml:space="preserve"> LNG, mellom anna med Kina.</w:t>
      </w:r>
    </w:p>
    <w:p w14:paraId="2C8138C7" w14:textId="77777777" w:rsidR="00FE02EF" w:rsidRPr="00CC19F7" w:rsidRDefault="00881E58" w:rsidP="00CC19F7">
      <w:r w:rsidRPr="00CC19F7">
        <w:t xml:space="preserve">I Europa er det nødvendig å </w:t>
      </w:r>
      <w:proofErr w:type="spellStart"/>
      <w:r w:rsidRPr="00CC19F7">
        <w:t>halde</w:t>
      </w:r>
      <w:proofErr w:type="spellEnd"/>
      <w:r w:rsidRPr="00CC19F7">
        <w:t xml:space="preserve"> oppe </w:t>
      </w:r>
      <w:proofErr w:type="spellStart"/>
      <w:r w:rsidRPr="00CC19F7">
        <w:t>ein</w:t>
      </w:r>
      <w:proofErr w:type="spellEnd"/>
      <w:r w:rsidRPr="00CC19F7">
        <w:t xml:space="preserve"> </w:t>
      </w:r>
      <w:proofErr w:type="spellStart"/>
      <w:r w:rsidRPr="00CC19F7">
        <w:t>høg</w:t>
      </w:r>
      <w:proofErr w:type="spellEnd"/>
      <w:r w:rsidRPr="00CC19F7">
        <w:t xml:space="preserve"> import av LNG og dempe etterspørselen for å balansere </w:t>
      </w:r>
      <w:proofErr w:type="spellStart"/>
      <w:r w:rsidRPr="00CC19F7">
        <w:t>tilbod</w:t>
      </w:r>
      <w:proofErr w:type="spellEnd"/>
      <w:r w:rsidRPr="00CC19F7">
        <w:t xml:space="preserve"> og etterspørsel. </w:t>
      </w:r>
      <w:proofErr w:type="spellStart"/>
      <w:r w:rsidRPr="00CC19F7">
        <w:t>Ein</w:t>
      </w:r>
      <w:proofErr w:type="spellEnd"/>
      <w:r w:rsidRPr="00CC19F7">
        <w:t xml:space="preserve"> historisk sett høg gasspris i Europa er nødvendig for å tiltrekke </w:t>
      </w:r>
      <w:proofErr w:type="spellStart"/>
      <w:r w:rsidRPr="00CC19F7">
        <w:t>tilstrekkelege</w:t>
      </w:r>
      <w:proofErr w:type="spellEnd"/>
      <w:r w:rsidRPr="00CC19F7">
        <w:t xml:space="preserve"> volum med LNG i konkurranse med Asia og andre </w:t>
      </w:r>
      <w:proofErr w:type="spellStart"/>
      <w:r w:rsidRPr="00CC19F7">
        <w:t>regionar</w:t>
      </w:r>
      <w:proofErr w:type="spellEnd"/>
      <w:r w:rsidRPr="00CC19F7">
        <w:t xml:space="preserve"> som importerer LNG.</w:t>
      </w:r>
    </w:p>
    <w:p w14:paraId="746BF3F2" w14:textId="77777777" w:rsidR="00FE02EF" w:rsidRPr="00CC19F7" w:rsidRDefault="00881E58" w:rsidP="00CC19F7">
      <w:pPr>
        <w:pStyle w:val="Undertittel"/>
      </w:pPr>
      <w:proofErr w:type="spellStart"/>
      <w:r w:rsidRPr="00CC19F7">
        <w:t>Hovudmål</w:t>
      </w:r>
      <w:proofErr w:type="spellEnd"/>
      <w:r w:rsidRPr="00CC19F7">
        <w:t xml:space="preserve"> for petroleumspolitikken</w:t>
      </w:r>
    </w:p>
    <w:p w14:paraId="6C7A79F5" w14:textId="77777777" w:rsidR="00FE02EF" w:rsidRPr="00CC19F7" w:rsidRDefault="00881E58" w:rsidP="00CC19F7">
      <w:proofErr w:type="spellStart"/>
      <w:r w:rsidRPr="00CC19F7">
        <w:t>Hovudmålet</w:t>
      </w:r>
      <w:proofErr w:type="spellEnd"/>
      <w:r w:rsidRPr="00CC19F7">
        <w:t xml:space="preserve"> for petroleumspolitikken er å legge til rette for </w:t>
      </w:r>
      <w:proofErr w:type="spellStart"/>
      <w:r w:rsidRPr="00CC19F7">
        <w:t>lønnsam</w:t>
      </w:r>
      <w:proofErr w:type="spellEnd"/>
      <w:r w:rsidRPr="00CC19F7">
        <w:t xml:space="preserve"> produksjon av olje og gass i </w:t>
      </w:r>
      <w:proofErr w:type="spellStart"/>
      <w:r w:rsidRPr="00CC19F7">
        <w:t>eit</w:t>
      </w:r>
      <w:proofErr w:type="spellEnd"/>
      <w:r w:rsidRPr="00CC19F7">
        <w:t xml:space="preserve"> langsiktig perspektiv. Ressursforvaltninga skal gi </w:t>
      </w:r>
      <w:proofErr w:type="spellStart"/>
      <w:r w:rsidRPr="00CC19F7">
        <w:t>Noreg</w:t>
      </w:r>
      <w:proofErr w:type="spellEnd"/>
      <w:r w:rsidRPr="00CC19F7">
        <w:t xml:space="preserve"> inntekter og bidra til å sikre sysselsetting og velferd for </w:t>
      </w:r>
      <w:proofErr w:type="spellStart"/>
      <w:r w:rsidRPr="00CC19F7">
        <w:t>noverande</w:t>
      </w:r>
      <w:proofErr w:type="spellEnd"/>
      <w:r w:rsidRPr="00CC19F7">
        <w:t xml:space="preserve"> og framtidige </w:t>
      </w:r>
      <w:proofErr w:type="spellStart"/>
      <w:r w:rsidRPr="00CC19F7">
        <w:t>generasjonar</w:t>
      </w:r>
      <w:proofErr w:type="spellEnd"/>
      <w:r w:rsidRPr="00CC19F7">
        <w:t>.</w:t>
      </w:r>
    </w:p>
    <w:p w14:paraId="31A58D56" w14:textId="77777777" w:rsidR="00FE02EF" w:rsidRPr="00CC19F7" w:rsidRDefault="00881E58" w:rsidP="00CC19F7">
      <w:proofErr w:type="spellStart"/>
      <w:r w:rsidRPr="00CC19F7">
        <w:t>Vidareutviklinga</w:t>
      </w:r>
      <w:proofErr w:type="spellEnd"/>
      <w:r w:rsidRPr="00CC19F7">
        <w:t xml:space="preserve"> av petroleumssektoren vil bidra til å styrke norsk næringsliv og den industrielle utviklinga i landet. I forvaltninga skal det </w:t>
      </w:r>
      <w:proofErr w:type="spellStart"/>
      <w:r w:rsidRPr="00CC19F7">
        <w:t>takast</w:t>
      </w:r>
      <w:proofErr w:type="spellEnd"/>
      <w:r w:rsidRPr="00CC19F7">
        <w:t xml:space="preserve"> nødvendige omsyn til det ytre miljøet, distriktspolitiske interesser og anna </w:t>
      </w:r>
      <w:proofErr w:type="spellStart"/>
      <w:r w:rsidRPr="00CC19F7">
        <w:t>verksemd</w:t>
      </w:r>
      <w:proofErr w:type="spellEnd"/>
      <w:r w:rsidRPr="00CC19F7">
        <w:t xml:space="preserve">. </w:t>
      </w:r>
      <w:proofErr w:type="spellStart"/>
      <w:r w:rsidRPr="00CC19F7">
        <w:t>Energimarknadene</w:t>
      </w:r>
      <w:proofErr w:type="spellEnd"/>
      <w:r w:rsidRPr="00CC19F7">
        <w:t xml:space="preserve"> går igjennom store </w:t>
      </w:r>
      <w:proofErr w:type="spellStart"/>
      <w:r w:rsidRPr="00CC19F7">
        <w:t>endringar</w:t>
      </w:r>
      <w:proofErr w:type="spellEnd"/>
      <w:r w:rsidRPr="00CC19F7">
        <w:t xml:space="preserve">, både på kort og lang sikt. Regjeringa vil </w:t>
      </w:r>
      <w:proofErr w:type="spellStart"/>
      <w:r w:rsidRPr="00CC19F7">
        <w:t>halde</w:t>
      </w:r>
      <w:proofErr w:type="spellEnd"/>
      <w:r w:rsidRPr="00CC19F7">
        <w:t xml:space="preserve"> fram med å utvikle petroleumspolitikken og legge til rette for at norsk kontinentalsokkel framleis skal </w:t>
      </w:r>
      <w:proofErr w:type="spellStart"/>
      <w:r w:rsidRPr="00CC19F7">
        <w:t>vere</w:t>
      </w:r>
      <w:proofErr w:type="spellEnd"/>
      <w:r w:rsidRPr="00CC19F7">
        <w:t xml:space="preserve"> </w:t>
      </w:r>
      <w:proofErr w:type="spellStart"/>
      <w:r w:rsidRPr="00CC19F7">
        <w:t>ein</w:t>
      </w:r>
      <w:proofErr w:type="spellEnd"/>
      <w:r w:rsidRPr="00CC19F7">
        <w:t xml:space="preserve"> stabil og langsiktig leverandør av olje og gass til Europa i ei </w:t>
      </w:r>
      <w:proofErr w:type="spellStart"/>
      <w:r w:rsidRPr="00CC19F7">
        <w:t>krevjande</w:t>
      </w:r>
      <w:proofErr w:type="spellEnd"/>
      <w:r w:rsidRPr="00CC19F7">
        <w:t xml:space="preserve"> tid.</w:t>
      </w:r>
    </w:p>
    <w:p w14:paraId="372BF449" w14:textId="77777777" w:rsidR="00FE02EF" w:rsidRPr="00CC19F7" w:rsidRDefault="00881E58" w:rsidP="00CC19F7">
      <w:r w:rsidRPr="00CC19F7">
        <w:t xml:space="preserve">Norsk petroleumsnæring, som ei høgkompetent og teknologitung næring, er godt rusta til å handtere </w:t>
      </w:r>
      <w:proofErr w:type="spellStart"/>
      <w:r w:rsidRPr="00CC19F7">
        <w:t>endringane</w:t>
      </w:r>
      <w:proofErr w:type="spellEnd"/>
      <w:r w:rsidRPr="00CC19F7">
        <w:t xml:space="preserve"> vi </w:t>
      </w:r>
      <w:proofErr w:type="spellStart"/>
      <w:r w:rsidRPr="00CC19F7">
        <w:t>no</w:t>
      </w:r>
      <w:proofErr w:type="spellEnd"/>
      <w:r w:rsidRPr="00CC19F7">
        <w:t xml:space="preserve"> står overfor. Regjeringa vil legge til rette for </w:t>
      </w:r>
      <w:proofErr w:type="spellStart"/>
      <w:r w:rsidRPr="00CC19F7">
        <w:t>eit</w:t>
      </w:r>
      <w:proofErr w:type="spellEnd"/>
      <w:r w:rsidRPr="00CC19F7">
        <w:t xml:space="preserve"> stabilt aktivitetsnivå på norsk kontinentalsokkel med vekt på olje- og </w:t>
      </w:r>
      <w:proofErr w:type="spellStart"/>
      <w:r w:rsidRPr="00CC19F7">
        <w:t>gassverksemd</w:t>
      </w:r>
      <w:proofErr w:type="spellEnd"/>
      <w:r w:rsidRPr="00CC19F7">
        <w:t xml:space="preserve">, men også med større innslag av andre </w:t>
      </w:r>
      <w:proofErr w:type="spellStart"/>
      <w:r w:rsidRPr="00CC19F7">
        <w:t>havnæringar</w:t>
      </w:r>
      <w:proofErr w:type="spellEnd"/>
      <w:r w:rsidRPr="00CC19F7">
        <w:t>.</w:t>
      </w:r>
    </w:p>
    <w:p w14:paraId="2C475868" w14:textId="77777777" w:rsidR="00FE02EF" w:rsidRPr="00CC19F7" w:rsidRDefault="00881E58" w:rsidP="00CC19F7">
      <w:r w:rsidRPr="00CC19F7">
        <w:t xml:space="preserve">Regjeringa vil legge vekt på at </w:t>
      </w:r>
      <w:proofErr w:type="spellStart"/>
      <w:r w:rsidRPr="00CC19F7">
        <w:t>leiteverksemd</w:t>
      </w:r>
      <w:proofErr w:type="spellEnd"/>
      <w:r w:rsidRPr="00CC19F7">
        <w:t xml:space="preserve"> og utvinning på norsk sokkel er basert på </w:t>
      </w:r>
      <w:proofErr w:type="spellStart"/>
      <w:r w:rsidRPr="00CC19F7">
        <w:t>verdsleiande</w:t>
      </w:r>
      <w:proofErr w:type="spellEnd"/>
      <w:r w:rsidRPr="00CC19F7">
        <w:t xml:space="preserve"> teknologi som også tar </w:t>
      </w:r>
      <w:proofErr w:type="spellStart"/>
      <w:r w:rsidRPr="00CC19F7">
        <w:t>tungtvegande</w:t>
      </w:r>
      <w:proofErr w:type="spellEnd"/>
      <w:r w:rsidRPr="00CC19F7">
        <w:t xml:space="preserve"> omsyn til helse, miljø og </w:t>
      </w:r>
      <w:proofErr w:type="spellStart"/>
      <w:r w:rsidRPr="00CC19F7">
        <w:t>sikkerheit</w:t>
      </w:r>
      <w:proofErr w:type="spellEnd"/>
      <w:r w:rsidRPr="00CC19F7">
        <w:t xml:space="preserve">. </w:t>
      </w:r>
      <w:proofErr w:type="spellStart"/>
      <w:r w:rsidRPr="00CC19F7">
        <w:t>Verksemda</w:t>
      </w:r>
      <w:proofErr w:type="spellEnd"/>
      <w:r w:rsidRPr="00CC19F7">
        <w:t xml:space="preserve"> på havet skal </w:t>
      </w:r>
      <w:proofErr w:type="spellStart"/>
      <w:r w:rsidRPr="00CC19F7">
        <w:t>framleis</w:t>
      </w:r>
      <w:proofErr w:type="spellEnd"/>
      <w:r w:rsidRPr="00CC19F7">
        <w:t xml:space="preserve"> skje i sameksistens med andre </w:t>
      </w:r>
      <w:proofErr w:type="spellStart"/>
      <w:r w:rsidRPr="00CC19F7">
        <w:t>næringar</w:t>
      </w:r>
      <w:proofErr w:type="spellEnd"/>
      <w:r w:rsidRPr="00CC19F7">
        <w:t>.</w:t>
      </w:r>
    </w:p>
    <w:p w14:paraId="481756FC" w14:textId="77777777" w:rsidR="00FE02EF" w:rsidRPr="00CC19F7" w:rsidRDefault="00881E58" w:rsidP="00CC19F7">
      <w:r w:rsidRPr="00CC19F7">
        <w:t xml:space="preserve">Regjeringa vil føre </w:t>
      </w:r>
      <w:proofErr w:type="spellStart"/>
      <w:r w:rsidRPr="00CC19F7">
        <w:t>vidare</w:t>
      </w:r>
      <w:proofErr w:type="spellEnd"/>
      <w:r w:rsidRPr="00CC19F7">
        <w:t xml:space="preserve"> konsesjonssystemet. Det skal </w:t>
      </w:r>
      <w:proofErr w:type="spellStart"/>
      <w:r w:rsidRPr="00CC19F7">
        <w:t>framleis</w:t>
      </w:r>
      <w:proofErr w:type="spellEnd"/>
      <w:r w:rsidRPr="00CC19F7">
        <w:t xml:space="preserve"> </w:t>
      </w:r>
      <w:proofErr w:type="spellStart"/>
      <w:r w:rsidRPr="00CC19F7">
        <w:t>givast</w:t>
      </w:r>
      <w:proofErr w:type="spellEnd"/>
      <w:r w:rsidRPr="00CC19F7">
        <w:t xml:space="preserve"> løyve til å leite etter olje og gass. Tildeling av nye utvinningsløyve på norsk sokkel skjer i dag gjennom den </w:t>
      </w:r>
      <w:proofErr w:type="spellStart"/>
      <w:r w:rsidRPr="00CC19F7">
        <w:t>årlege</w:t>
      </w:r>
      <w:proofErr w:type="spellEnd"/>
      <w:r w:rsidRPr="00CC19F7">
        <w:t xml:space="preserve"> konsesjonsrunden Tildeling i førehandsdefinerte område (TFO). Alle </w:t>
      </w:r>
      <w:proofErr w:type="spellStart"/>
      <w:r w:rsidRPr="00CC19F7">
        <w:t>konsesjonsrundar</w:t>
      </w:r>
      <w:proofErr w:type="spellEnd"/>
      <w:r w:rsidRPr="00CC19F7">
        <w:t xml:space="preserve"> blir gjennomførte </w:t>
      </w:r>
      <w:proofErr w:type="spellStart"/>
      <w:r w:rsidRPr="00CC19F7">
        <w:t>innanfor</w:t>
      </w:r>
      <w:proofErr w:type="spellEnd"/>
      <w:r w:rsidRPr="00CC19F7">
        <w:t xml:space="preserve"> rammene i </w:t>
      </w:r>
      <w:proofErr w:type="spellStart"/>
      <w:r w:rsidRPr="00CC19F7">
        <w:t>forvaltningsplanane</w:t>
      </w:r>
      <w:proofErr w:type="spellEnd"/>
      <w:r w:rsidRPr="00CC19F7">
        <w:t xml:space="preserve"> for norske havområde.</w:t>
      </w:r>
    </w:p>
    <w:p w14:paraId="4270ED25" w14:textId="77777777" w:rsidR="00FE02EF" w:rsidRPr="00CC19F7" w:rsidRDefault="00881E58" w:rsidP="00CC19F7">
      <w:r w:rsidRPr="00CC19F7">
        <w:t xml:space="preserve">Aktiviteten på norsk sokkel bidrar til </w:t>
      </w:r>
      <w:proofErr w:type="spellStart"/>
      <w:r w:rsidRPr="00CC19F7">
        <w:t>vidareutvikling</w:t>
      </w:r>
      <w:proofErr w:type="spellEnd"/>
      <w:r w:rsidRPr="00CC19F7">
        <w:t xml:space="preserve"> av norsk leverandørindustri, </w:t>
      </w:r>
      <w:proofErr w:type="spellStart"/>
      <w:r w:rsidRPr="00CC19F7">
        <w:t>noko</w:t>
      </w:r>
      <w:proofErr w:type="spellEnd"/>
      <w:r w:rsidRPr="00CC19F7">
        <w:t xml:space="preserve"> som gir store lokale, regionale og nasjonale ringverknader i den norske fastlandsøkonomien. </w:t>
      </w:r>
      <w:proofErr w:type="spellStart"/>
      <w:r w:rsidRPr="00CC19F7">
        <w:t>Ein</w:t>
      </w:r>
      <w:proofErr w:type="spellEnd"/>
      <w:r w:rsidRPr="00CC19F7">
        <w:t xml:space="preserve"> høgkompetent leverandørindustri </w:t>
      </w:r>
      <w:proofErr w:type="spellStart"/>
      <w:r w:rsidRPr="00CC19F7">
        <w:t>legg</w:t>
      </w:r>
      <w:proofErr w:type="spellEnd"/>
      <w:r w:rsidRPr="00CC19F7">
        <w:t xml:space="preserve"> også til rette for at norskbasert industri skal kunne </w:t>
      </w:r>
      <w:proofErr w:type="spellStart"/>
      <w:r w:rsidRPr="00CC19F7">
        <w:t>lykkast</w:t>
      </w:r>
      <w:proofErr w:type="spellEnd"/>
      <w:r w:rsidRPr="00CC19F7">
        <w:t xml:space="preserve"> i å skape </w:t>
      </w:r>
      <w:proofErr w:type="spellStart"/>
      <w:r w:rsidRPr="00CC19F7">
        <w:t>verdiar</w:t>
      </w:r>
      <w:proofErr w:type="spellEnd"/>
      <w:r w:rsidRPr="00CC19F7">
        <w:t xml:space="preserve"> og </w:t>
      </w:r>
      <w:proofErr w:type="spellStart"/>
      <w:r w:rsidRPr="00CC19F7">
        <w:t>arbeidsplassar</w:t>
      </w:r>
      <w:proofErr w:type="spellEnd"/>
      <w:r w:rsidRPr="00CC19F7">
        <w:t xml:space="preserve"> i den globale energiomlegginga.</w:t>
      </w:r>
    </w:p>
    <w:p w14:paraId="014677FE" w14:textId="77777777" w:rsidR="00FE02EF" w:rsidRPr="00CC19F7" w:rsidRDefault="00881E58" w:rsidP="00CC19F7">
      <w:r w:rsidRPr="00CC19F7">
        <w:t xml:space="preserve">Norsk </w:t>
      </w:r>
      <w:proofErr w:type="spellStart"/>
      <w:r w:rsidRPr="00CC19F7">
        <w:t>petroleumsverksemd</w:t>
      </w:r>
      <w:proofErr w:type="spellEnd"/>
      <w:r w:rsidRPr="00CC19F7">
        <w:t xml:space="preserve"> har i tiår </w:t>
      </w:r>
      <w:proofErr w:type="spellStart"/>
      <w:r w:rsidRPr="00CC19F7">
        <w:t>vore</w:t>
      </w:r>
      <w:proofErr w:type="spellEnd"/>
      <w:r w:rsidRPr="00CC19F7">
        <w:t xml:space="preserve"> underlagt streng verkemiddelbruk for å drive effektivt og med låge utslepp. Norsk olje- og gassutvinning har </w:t>
      </w:r>
      <w:proofErr w:type="spellStart"/>
      <w:r w:rsidRPr="00CC19F7">
        <w:t>allereie</w:t>
      </w:r>
      <w:proofErr w:type="spellEnd"/>
      <w:r w:rsidRPr="00CC19F7">
        <w:t xml:space="preserve"> svært låge utslepp i </w:t>
      </w:r>
      <w:proofErr w:type="spellStart"/>
      <w:r w:rsidRPr="00CC19F7">
        <w:t>ein</w:t>
      </w:r>
      <w:proofErr w:type="spellEnd"/>
      <w:r w:rsidRPr="00CC19F7">
        <w:t xml:space="preserve"> global </w:t>
      </w:r>
      <w:proofErr w:type="spellStart"/>
      <w:r w:rsidRPr="00CC19F7">
        <w:t>samanheng</w:t>
      </w:r>
      <w:proofErr w:type="spellEnd"/>
      <w:r w:rsidRPr="00CC19F7">
        <w:t xml:space="preserve">, og utsleppa er på veg ned. </w:t>
      </w:r>
      <w:proofErr w:type="spellStart"/>
      <w:r w:rsidRPr="00CC19F7">
        <w:t>Hovudverkemidla</w:t>
      </w:r>
      <w:proofErr w:type="spellEnd"/>
      <w:r w:rsidRPr="00CC19F7">
        <w:t xml:space="preserve"> for å kutte utslepp vil </w:t>
      </w:r>
      <w:proofErr w:type="spellStart"/>
      <w:r w:rsidRPr="00CC19F7">
        <w:t>framleis</w:t>
      </w:r>
      <w:proofErr w:type="spellEnd"/>
      <w:r w:rsidRPr="00CC19F7">
        <w:t xml:space="preserve"> </w:t>
      </w:r>
      <w:proofErr w:type="spellStart"/>
      <w:r w:rsidRPr="00CC19F7">
        <w:t>vere</w:t>
      </w:r>
      <w:proofErr w:type="spellEnd"/>
      <w:r w:rsidRPr="00CC19F7">
        <w:t xml:space="preserve"> EUs kvotesystem (EU ETS) og CO</w:t>
      </w:r>
      <w:r w:rsidRPr="00CC19F7">
        <w:rPr>
          <w:rStyle w:val="skrift-senket"/>
        </w:rPr>
        <w:t>2</w:t>
      </w:r>
      <w:r w:rsidRPr="00CC19F7">
        <w:t xml:space="preserve">-avgifta. Dette </w:t>
      </w:r>
      <w:proofErr w:type="spellStart"/>
      <w:r w:rsidRPr="00CC19F7">
        <w:t>gjer</w:t>
      </w:r>
      <w:proofErr w:type="spellEnd"/>
      <w:r w:rsidRPr="00CC19F7">
        <w:t xml:space="preserve"> at selskapa </w:t>
      </w:r>
      <w:proofErr w:type="spellStart"/>
      <w:r w:rsidRPr="00CC19F7">
        <w:t>kontinuerleg</w:t>
      </w:r>
      <w:proofErr w:type="spellEnd"/>
      <w:r w:rsidRPr="00CC19F7">
        <w:t xml:space="preserve"> har eigeninteresse av å redusere utsleppa sine. Regjeringa skal i samarbeid med næringa jobbe for at utsleppa </w:t>
      </w:r>
      <w:proofErr w:type="spellStart"/>
      <w:r w:rsidRPr="00CC19F7">
        <w:t>frå</w:t>
      </w:r>
      <w:proofErr w:type="spellEnd"/>
      <w:r w:rsidRPr="00CC19F7">
        <w:t xml:space="preserve"> olje- og gassproduksjonen på norsk sokkel blir </w:t>
      </w:r>
      <w:proofErr w:type="spellStart"/>
      <w:r w:rsidRPr="00CC19F7">
        <w:t>ytterlegare</w:t>
      </w:r>
      <w:proofErr w:type="spellEnd"/>
      <w:r w:rsidRPr="00CC19F7">
        <w:t xml:space="preserve"> reduserte. Punkt 6.3 Status for utsleppsutvikling i petroleumssektoren i Del III av proposisjonen </w:t>
      </w:r>
      <w:proofErr w:type="spellStart"/>
      <w:r w:rsidRPr="00CC19F7">
        <w:t>inneheld</w:t>
      </w:r>
      <w:proofErr w:type="spellEnd"/>
      <w:r w:rsidRPr="00CC19F7">
        <w:t xml:space="preserve"> </w:t>
      </w:r>
      <w:proofErr w:type="spellStart"/>
      <w:r w:rsidRPr="00CC19F7">
        <w:t>ein</w:t>
      </w:r>
      <w:proofErr w:type="spellEnd"/>
      <w:r w:rsidRPr="00CC19F7">
        <w:t xml:space="preserve"> status for utsleppsutviklinga i petroleumssektoren.</w:t>
      </w:r>
    </w:p>
    <w:p w14:paraId="0775ECB2" w14:textId="77777777" w:rsidR="00FE02EF" w:rsidRPr="00CC19F7" w:rsidRDefault="00881E58" w:rsidP="00CC19F7">
      <w:proofErr w:type="spellStart"/>
      <w:r w:rsidRPr="00CC19F7">
        <w:t>Hovudmålet</w:t>
      </w:r>
      <w:proofErr w:type="spellEnd"/>
      <w:r w:rsidRPr="00CC19F7">
        <w:t xml:space="preserve"> for Sokkeldirektoratet er å bidra til størst </w:t>
      </w:r>
      <w:proofErr w:type="spellStart"/>
      <w:r w:rsidRPr="00CC19F7">
        <w:t>moglege</w:t>
      </w:r>
      <w:proofErr w:type="spellEnd"/>
      <w:r w:rsidRPr="00CC19F7">
        <w:t xml:space="preserve"> </w:t>
      </w:r>
      <w:proofErr w:type="spellStart"/>
      <w:r w:rsidRPr="00CC19F7">
        <w:t>verdiar</w:t>
      </w:r>
      <w:proofErr w:type="spellEnd"/>
      <w:r w:rsidRPr="00CC19F7">
        <w:t xml:space="preserve"> for samfunnet </w:t>
      </w:r>
      <w:proofErr w:type="spellStart"/>
      <w:r w:rsidRPr="00CC19F7">
        <w:t>frå</w:t>
      </w:r>
      <w:proofErr w:type="spellEnd"/>
      <w:r w:rsidRPr="00CC19F7">
        <w:t xml:space="preserve"> olje- og </w:t>
      </w:r>
      <w:proofErr w:type="spellStart"/>
      <w:r w:rsidRPr="00CC19F7">
        <w:t>gassverksemda</w:t>
      </w:r>
      <w:proofErr w:type="spellEnd"/>
      <w:r w:rsidRPr="00CC19F7">
        <w:t xml:space="preserve"> gjennom ei effektiv og </w:t>
      </w:r>
      <w:proofErr w:type="spellStart"/>
      <w:r w:rsidRPr="00CC19F7">
        <w:t>forsvarleg</w:t>
      </w:r>
      <w:proofErr w:type="spellEnd"/>
      <w:r w:rsidRPr="00CC19F7">
        <w:t xml:space="preserve"> ressursforvaltning, der det blir tatt omsyn til helse, miljø og </w:t>
      </w:r>
      <w:proofErr w:type="spellStart"/>
      <w:r w:rsidRPr="00CC19F7">
        <w:t>sikkerheit</w:t>
      </w:r>
      <w:proofErr w:type="spellEnd"/>
      <w:r w:rsidRPr="00CC19F7">
        <w:t xml:space="preserve"> og til andre </w:t>
      </w:r>
      <w:proofErr w:type="spellStart"/>
      <w:r w:rsidRPr="00CC19F7">
        <w:t>brukarar</w:t>
      </w:r>
      <w:proofErr w:type="spellEnd"/>
      <w:r w:rsidRPr="00CC19F7">
        <w:t xml:space="preserve"> av havet.</w:t>
      </w:r>
    </w:p>
    <w:p w14:paraId="52061C97" w14:textId="77777777" w:rsidR="00FE02EF" w:rsidRPr="00CC19F7" w:rsidRDefault="00881E58" w:rsidP="00CC19F7">
      <w:proofErr w:type="spellStart"/>
      <w:r w:rsidRPr="00CC19F7">
        <w:t>Gassco</w:t>
      </w:r>
      <w:proofErr w:type="spellEnd"/>
      <w:r w:rsidRPr="00CC19F7">
        <w:t xml:space="preserve"> AS skal som nøytral operatør for det norske gasstransportsystemet bidra til maksimal verdiskaping </w:t>
      </w:r>
      <w:proofErr w:type="spellStart"/>
      <w:r w:rsidRPr="00CC19F7">
        <w:t>frå</w:t>
      </w:r>
      <w:proofErr w:type="spellEnd"/>
      <w:r w:rsidRPr="00CC19F7">
        <w:t xml:space="preserve"> </w:t>
      </w:r>
      <w:proofErr w:type="spellStart"/>
      <w:r w:rsidRPr="00CC19F7">
        <w:t>gassressursane</w:t>
      </w:r>
      <w:proofErr w:type="spellEnd"/>
      <w:r w:rsidRPr="00CC19F7">
        <w:t xml:space="preserve"> på norsk kontinentalsokkel gjennom sikker og effektiv drift og </w:t>
      </w:r>
      <w:proofErr w:type="spellStart"/>
      <w:r w:rsidRPr="00CC19F7">
        <w:t>heilskapleg</w:t>
      </w:r>
      <w:proofErr w:type="spellEnd"/>
      <w:r w:rsidRPr="00CC19F7">
        <w:t xml:space="preserve"> utvikling av </w:t>
      </w:r>
      <w:proofErr w:type="spellStart"/>
      <w:r w:rsidRPr="00CC19F7">
        <w:t>gassrøyrleidningssystemet</w:t>
      </w:r>
      <w:proofErr w:type="spellEnd"/>
      <w:r w:rsidRPr="00CC19F7">
        <w:t xml:space="preserve"> på norsk sokkel. Som </w:t>
      </w:r>
      <w:proofErr w:type="spellStart"/>
      <w:r w:rsidRPr="00CC19F7">
        <w:t>særskild</w:t>
      </w:r>
      <w:proofErr w:type="spellEnd"/>
      <w:r w:rsidRPr="00CC19F7">
        <w:t xml:space="preserve"> operatør </w:t>
      </w:r>
      <w:proofErr w:type="spellStart"/>
      <w:r w:rsidRPr="00CC19F7">
        <w:t>inneber</w:t>
      </w:r>
      <w:proofErr w:type="spellEnd"/>
      <w:r w:rsidRPr="00CC19F7">
        <w:t xml:space="preserve"> det </w:t>
      </w:r>
      <w:proofErr w:type="spellStart"/>
      <w:r w:rsidRPr="00CC19F7">
        <w:t>oppgåver</w:t>
      </w:r>
      <w:proofErr w:type="spellEnd"/>
      <w:r w:rsidRPr="00CC19F7">
        <w:t xml:space="preserve"> knytte til systemdrift, kapasitetsadministrasjon og infrastrukturutvikling. Som </w:t>
      </w:r>
      <w:proofErr w:type="spellStart"/>
      <w:r w:rsidRPr="00CC19F7">
        <w:t>alminneleg</w:t>
      </w:r>
      <w:proofErr w:type="spellEnd"/>
      <w:r w:rsidRPr="00CC19F7">
        <w:t xml:space="preserve"> operatør på vegner av </w:t>
      </w:r>
      <w:proofErr w:type="spellStart"/>
      <w:r w:rsidRPr="00CC19F7">
        <w:t>eigarane</w:t>
      </w:r>
      <w:proofErr w:type="spellEnd"/>
      <w:r w:rsidRPr="00CC19F7">
        <w:t xml:space="preserve"> </w:t>
      </w:r>
      <w:proofErr w:type="spellStart"/>
      <w:r w:rsidRPr="00CC19F7">
        <w:t>inneber</w:t>
      </w:r>
      <w:proofErr w:type="spellEnd"/>
      <w:r w:rsidRPr="00CC19F7">
        <w:t xml:space="preserve"> dette styring av prosessanlegg, </w:t>
      </w:r>
      <w:proofErr w:type="spellStart"/>
      <w:r w:rsidRPr="00CC19F7">
        <w:t>røyrleidningar</w:t>
      </w:r>
      <w:proofErr w:type="spellEnd"/>
      <w:r w:rsidRPr="00CC19F7">
        <w:t xml:space="preserve">, plattformer og </w:t>
      </w:r>
      <w:proofErr w:type="spellStart"/>
      <w:r w:rsidRPr="00CC19F7">
        <w:t>gassterminalar</w:t>
      </w:r>
      <w:proofErr w:type="spellEnd"/>
      <w:r w:rsidRPr="00CC19F7">
        <w:t xml:space="preserve"> i samsvar med lovgivinga.</w:t>
      </w:r>
    </w:p>
    <w:p w14:paraId="4F83AD7A" w14:textId="77777777" w:rsidR="00FE02EF" w:rsidRPr="00CC19F7" w:rsidRDefault="00881E58" w:rsidP="00CC19F7">
      <w:pPr>
        <w:pStyle w:val="Undertittel"/>
      </w:pPr>
      <w:r w:rsidRPr="00CC19F7">
        <w:t xml:space="preserve">Olje- og energidepartementets mål og </w:t>
      </w:r>
      <w:proofErr w:type="spellStart"/>
      <w:r w:rsidRPr="00CC19F7">
        <w:t>oppgåver</w:t>
      </w:r>
      <w:proofErr w:type="spellEnd"/>
    </w:p>
    <w:p w14:paraId="09A2F099" w14:textId="77777777" w:rsidR="00FE02EF" w:rsidRPr="00CC19F7" w:rsidRDefault="00881E58" w:rsidP="00CC19F7">
      <w:r w:rsidRPr="00CC19F7">
        <w:t xml:space="preserve">Olje- og energidepartementet skal legge til rette for </w:t>
      </w:r>
      <w:proofErr w:type="spellStart"/>
      <w:r w:rsidRPr="00CC19F7">
        <w:t>ein</w:t>
      </w:r>
      <w:proofErr w:type="spellEnd"/>
      <w:r w:rsidRPr="00CC19F7">
        <w:t xml:space="preserve"> samordna og </w:t>
      </w:r>
      <w:proofErr w:type="spellStart"/>
      <w:r w:rsidRPr="00CC19F7">
        <w:t>heilskapleg</w:t>
      </w:r>
      <w:proofErr w:type="spellEnd"/>
      <w:r w:rsidRPr="00CC19F7">
        <w:t xml:space="preserve"> petroleumspolitikk, slik at </w:t>
      </w:r>
      <w:proofErr w:type="spellStart"/>
      <w:r w:rsidRPr="00CC19F7">
        <w:t>ein</w:t>
      </w:r>
      <w:proofErr w:type="spellEnd"/>
      <w:r w:rsidRPr="00CC19F7">
        <w:t xml:space="preserve"> kan nå </w:t>
      </w:r>
      <w:proofErr w:type="spellStart"/>
      <w:r w:rsidRPr="00CC19F7">
        <w:t>hovudmålet</w:t>
      </w:r>
      <w:proofErr w:type="spellEnd"/>
      <w:r w:rsidRPr="00CC19F7">
        <w:t xml:space="preserve"> for politikken. </w:t>
      </w:r>
      <w:proofErr w:type="spellStart"/>
      <w:r w:rsidRPr="00CC19F7">
        <w:t>Eit</w:t>
      </w:r>
      <w:proofErr w:type="spellEnd"/>
      <w:r w:rsidRPr="00CC19F7">
        <w:t xml:space="preserve"> overordna mål er å sikre høg verdiskaping gjennom effektiv og </w:t>
      </w:r>
      <w:proofErr w:type="spellStart"/>
      <w:r w:rsidRPr="00CC19F7">
        <w:t>forsvarleg</w:t>
      </w:r>
      <w:proofErr w:type="spellEnd"/>
      <w:r w:rsidRPr="00CC19F7">
        <w:t xml:space="preserve"> forvaltning av </w:t>
      </w:r>
      <w:proofErr w:type="spellStart"/>
      <w:r w:rsidRPr="00CC19F7">
        <w:t>ressursane</w:t>
      </w:r>
      <w:proofErr w:type="spellEnd"/>
      <w:r w:rsidRPr="00CC19F7">
        <w:t xml:space="preserve"> på sokkelen. Norsk petroleumsindustri skal </w:t>
      </w:r>
      <w:proofErr w:type="spellStart"/>
      <w:r w:rsidRPr="00CC19F7">
        <w:t>framleis</w:t>
      </w:r>
      <w:proofErr w:type="spellEnd"/>
      <w:r w:rsidRPr="00CC19F7">
        <w:t xml:space="preserve"> </w:t>
      </w:r>
      <w:proofErr w:type="spellStart"/>
      <w:r w:rsidRPr="00CC19F7">
        <w:t>vere</w:t>
      </w:r>
      <w:proofErr w:type="spellEnd"/>
      <w:r w:rsidRPr="00CC19F7">
        <w:t xml:space="preserve"> </w:t>
      </w:r>
      <w:proofErr w:type="spellStart"/>
      <w:r w:rsidRPr="00CC19F7">
        <w:t>leiande</w:t>
      </w:r>
      <w:proofErr w:type="spellEnd"/>
      <w:r w:rsidRPr="00CC19F7">
        <w:t xml:space="preserve"> </w:t>
      </w:r>
      <w:proofErr w:type="spellStart"/>
      <w:r w:rsidRPr="00CC19F7">
        <w:t>innanfor</w:t>
      </w:r>
      <w:proofErr w:type="spellEnd"/>
      <w:r w:rsidRPr="00CC19F7">
        <w:t xml:space="preserve"> helse, miljø og </w:t>
      </w:r>
      <w:proofErr w:type="spellStart"/>
      <w:r w:rsidRPr="00CC19F7">
        <w:t>sikkerheit</w:t>
      </w:r>
      <w:proofErr w:type="spellEnd"/>
      <w:r w:rsidRPr="00CC19F7">
        <w:t>.</w:t>
      </w:r>
    </w:p>
    <w:p w14:paraId="4AF4D7CD" w14:textId="77777777" w:rsidR="00FE02EF" w:rsidRPr="00CC19F7" w:rsidRDefault="00881E58" w:rsidP="00CC19F7">
      <w:r w:rsidRPr="00CC19F7">
        <w:t xml:space="preserve">Forvaltningsansvaret for helse-, miljø- og </w:t>
      </w:r>
      <w:proofErr w:type="spellStart"/>
      <w:r w:rsidRPr="00CC19F7">
        <w:t>sikkerheitsregelverket</w:t>
      </w:r>
      <w:proofErr w:type="spellEnd"/>
      <w:r w:rsidRPr="00CC19F7">
        <w:t xml:space="preserve"> og etatsstyringsansvaret for Havindustritilsynet er overført </w:t>
      </w:r>
      <w:proofErr w:type="spellStart"/>
      <w:r w:rsidRPr="00CC19F7">
        <w:t>frå</w:t>
      </w:r>
      <w:proofErr w:type="spellEnd"/>
      <w:r w:rsidRPr="00CC19F7">
        <w:t xml:space="preserve"> Arbeids- og inkluderingsdepartementet til Olje- og energidepartementet. Olje- og energidepartementet har ansvaret for forvaltninga av arbeidsmiljø, </w:t>
      </w:r>
      <w:proofErr w:type="spellStart"/>
      <w:r w:rsidRPr="00CC19F7">
        <w:t>sikkerheit</w:t>
      </w:r>
      <w:proofErr w:type="spellEnd"/>
      <w:r w:rsidRPr="00CC19F7">
        <w:t xml:space="preserve">, beredskap og sikring i </w:t>
      </w:r>
      <w:proofErr w:type="spellStart"/>
      <w:r w:rsidRPr="00CC19F7">
        <w:t>petroleumsverksemda</w:t>
      </w:r>
      <w:proofErr w:type="spellEnd"/>
      <w:r w:rsidRPr="00CC19F7">
        <w:t xml:space="preserve"> og i </w:t>
      </w:r>
      <w:proofErr w:type="spellStart"/>
      <w:r w:rsidRPr="00CC19F7">
        <w:t>tilknyting</w:t>
      </w:r>
      <w:proofErr w:type="spellEnd"/>
      <w:r w:rsidRPr="00CC19F7">
        <w:t xml:space="preserve"> til anna </w:t>
      </w:r>
      <w:proofErr w:type="spellStart"/>
      <w:r w:rsidRPr="00CC19F7">
        <w:t>industriverksemd</w:t>
      </w:r>
      <w:proofErr w:type="spellEnd"/>
      <w:r w:rsidRPr="00CC19F7">
        <w:t xml:space="preserve"> til havs. Sjå omtale under programkategori 18.60 </w:t>
      </w:r>
      <w:proofErr w:type="spellStart"/>
      <w:r w:rsidRPr="00CC19F7">
        <w:t>Sikkerheit</w:t>
      </w:r>
      <w:proofErr w:type="spellEnd"/>
      <w:r w:rsidRPr="00CC19F7">
        <w:t xml:space="preserve"> og arbeidsmiljø.</w:t>
      </w:r>
    </w:p>
    <w:p w14:paraId="2E07B27C" w14:textId="77777777" w:rsidR="00FE02EF" w:rsidRPr="00CC19F7" w:rsidRDefault="00881E58" w:rsidP="00CC19F7">
      <w:r w:rsidRPr="00CC19F7">
        <w:t xml:space="preserve">Departementet skal </w:t>
      </w:r>
      <w:proofErr w:type="spellStart"/>
      <w:r w:rsidRPr="00CC19F7">
        <w:t>vere</w:t>
      </w:r>
      <w:proofErr w:type="spellEnd"/>
      <w:r w:rsidRPr="00CC19F7">
        <w:t xml:space="preserve"> </w:t>
      </w:r>
      <w:proofErr w:type="spellStart"/>
      <w:r w:rsidRPr="00CC19F7">
        <w:t>ein</w:t>
      </w:r>
      <w:proofErr w:type="spellEnd"/>
      <w:r w:rsidRPr="00CC19F7">
        <w:t xml:space="preserve"> </w:t>
      </w:r>
      <w:proofErr w:type="spellStart"/>
      <w:r w:rsidRPr="00CC19F7">
        <w:t>forvaltar</w:t>
      </w:r>
      <w:proofErr w:type="spellEnd"/>
      <w:r w:rsidRPr="00CC19F7">
        <w:t xml:space="preserve"> med </w:t>
      </w:r>
      <w:proofErr w:type="spellStart"/>
      <w:r w:rsidRPr="00CC19F7">
        <w:t>eit</w:t>
      </w:r>
      <w:proofErr w:type="spellEnd"/>
      <w:r w:rsidRPr="00CC19F7">
        <w:t xml:space="preserve"> langsiktig perspektiv og legge til rette for </w:t>
      </w:r>
      <w:proofErr w:type="spellStart"/>
      <w:r w:rsidRPr="00CC19F7">
        <w:t>lønnsam</w:t>
      </w:r>
      <w:proofErr w:type="spellEnd"/>
      <w:r w:rsidRPr="00CC19F7">
        <w:t xml:space="preserve"> produksjon av olje og gass, mellom anna gjennom </w:t>
      </w:r>
      <w:proofErr w:type="spellStart"/>
      <w:r w:rsidRPr="00CC19F7">
        <w:t>føreseielege</w:t>
      </w:r>
      <w:proofErr w:type="spellEnd"/>
      <w:r w:rsidRPr="00CC19F7">
        <w:t xml:space="preserve"> rammevilkår for næringa.</w:t>
      </w:r>
    </w:p>
    <w:p w14:paraId="7856FECF" w14:textId="77777777" w:rsidR="00FE02EF" w:rsidRPr="00CC19F7" w:rsidRDefault="00881E58" w:rsidP="00CC19F7">
      <w:r w:rsidRPr="00CC19F7">
        <w:t xml:space="preserve">Det er oljeselskapa som har ansvaret for og utøver den operasjonelle aktiviteten </w:t>
      </w:r>
      <w:proofErr w:type="spellStart"/>
      <w:r w:rsidRPr="00CC19F7">
        <w:t>innanfor</w:t>
      </w:r>
      <w:proofErr w:type="spellEnd"/>
      <w:r w:rsidRPr="00CC19F7">
        <w:t xml:space="preserve"> leiting, utbygging og drift på norsk sokkel. Sentralt for å nå måla i petroleumspolitikken er derfor </w:t>
      </w:r>
      <w:proofErr w:type="spellStart"/>
      <w:r w:rsidRPr="00CC19F7">
        <w:t>rettshavarar</w:t>
      </w:r>
      <w:proofErr w:type="spellEnd"/>
      <w:r w:rsidRPr="00CC19F7">
        <w:t xml:space="preserve"> som </w:t>
      </w:r>
      <w:proofErr w:type="spellStart"/>
      <w:r w:rsidRPr="00CC19F7">
        <w:t>hentar</w:t>
      </w:r>
      <w:proofErr w:type="spellEnd"/>
      <w:r w:rsidRPr="00CC19F7">
        <w:t xml:space="preserve"> ut </w:t>
      </w:r>
      <w:proofErr w:type="gramStart"/>
      <w:r w:rsidRPr="00CC19F7">
        <w:t>alle lønnsame</w:t>
      </w:r>
      <w:proofErr w:type="gramEnd"/>
      <w:r w:rsidRPr="00CC19F7">
        <w:t xml:space="preserve"> </w:t>
      </w:r>
      <w:proofErr w:type="spellStart"/>
      <w:r w:rsidRPr="00CC19F7">
        <w:t>ressursar</w:t>
      </w:r>
      <w:proofErr w:type="spellEnd"/>
      <w:r w:rsidRPr="00CC19F7">
        <w:t xml:space="preserve"> i porteføljen sin på </w:t>
      </w:r>
      <w:proofErr w:type="spellStart"/>
      <w:r w:rsidRPr="00CC19F7">
        <w:t>ein</w:t>
      </w:r>
      <w:proofErr w:type="spellEnd"/>
      <w:r w:rsidRPr="00CC19F7">
        <w:t xml:space="preserve"> sikker og effektiv måte. Departementet vil føre </w:t>
      </w:r>
      <w:proofErr w:type="spellStart"/>
      <w:r w:rsidRPr="00CC19F7">
        <w:t>vidare</w:t>
      </w:r>
      <w:proofErr w:type="spellEnd"/>
      <w:r w:rsidRPr="00CC19F7">
        <w:t xml:space="preserve"> arbeidet med å ha </w:t>
      </w:r>
      <w:proofErr w:type="spellStart"/>
      <w:r w:rsidRPr="00CC19F7">
        <w:t>eit</w:t>
      </w:r>
      <w:proofErr w:type="spellEnd"/>
      <w:r w:rsidRPr="00CC19F7">
        <w:t xml:space="preserve"> effektivt og </w:t>
      </w:r>
      <w:proofErr w:type="spellStart"/>
      <w:r w:rsidRPr="00CC19F7">
        <w:t>heilskapleg</w:t>
      </w:r>
      <w:proofErr w:type="spellEnd"/>
      <w:r w:rsidRPr="00CC19F7">
        <w:t xml:space="preserve"> rammeverk som er basert på kunnskap og fakta, og som </w:t>
      </w:r>
      <w:proofErr w:type="spellStart"/>
      <w:r w:rsidRPr="00CC19F7">
        <w:t>legg</w:t>
      </w:r>
      <w:proofErr w:type="spellEnd"/>
      <w:r w:rsidRPr="00CC19F7">
        <w:t xml:space="preserve"> til rette for at avgjerdene til oljeselskapa også er gode for staten som </w:t>
      </w:r>
      <w:proofErr w:type="spellStart"/>
      <w:r w:rsidRPr="00CC19F7">
        <w:t>ressurseigar</w:t>
      </w:r>
      <w:proofErr w:type="spellEnd"/>
      <w:r w:rsidRPr="00CC19F7">
        <w:t>.</w:t>
      </w:r>
    </w:p>
    <w:p w14:paraId="3C7A3B25" w14:textId="77777777" w:rsidR="00FE02EF" w:rsidRPr="00CC19F7" w:rsidRDefault="00881E58" w:rsidP="00CC19F7">
      <w:r w:rsidRPr="00CC19F7">
        <w:t xml:space="preserve">Departementet arbeider med å </w:t>
      </w:r>
      <w:proofErr w:type="spellStart"/>
      <w:r w:rsidRPr="00CC19F7">
        <w:t>vidareutvikle</w:t>
      </w:r>
      <w:proofErr w:type="spellEnd"/>
      <w:r w:rsidRPr="00CC19F7">
        <w:t xml:space="preserve"> og </w:t>
      </w:r>
      <w:proofErr w:type="spellStart"/>
      <w:r w:rsidRPr="00CC19F7">
        <w:t>oppretthalde</w:t>
      </w:r>
      <w:proofErr w:type="spellEnd"/>
      <w:r w:rsidRPr="00CC19F7">
        <w:t xml:space="preserve"> </w:t>
      </w:r>
      <w:proofErr w:type="spellStart"/>
      <w:r w:rsidRPr="00CC19F7">
        <w:t>ein</w:t>
      </w:r>
      <w:proofErr w:type="spellEnd"/>
      <w:r w:rsidRPr="00CC19F7">
        <w:t xml:space="preserve"> </w:t>
      </w:r>
      <w:proofErr w:type="spellStart"/>
      <w:r w:rsidRPr="00CC19F7">
        <w:t>heilskapleg</w:t>
      </w:r>
      <w:proofErr w:type="spellEnd"/>
      <w:r w:rsidRPr="00CC19F7">
        <w:t xml:space="preserve"> og effektiv petroleumspolitikk. </w:t>
      </w:r>
      <w:proofErr w:type="spellStart"/>
      <w:r w:rsidRPr="00CC19F7">
        <w:t>Berebjelkane</w:t>
      </w:r>
      <w:proofErr w:type="spellEnd"/>
      <w:r w:rsidRPr="00CC19F7">
        <w:t xml:space="preserve"> i petroleumspolitikken, jf. Meld. St. 11 (2021–2022) </w:t>
      </w:r>
      <w:r w:rsidRPr="00CC19F7">
        <w:rPr>
          <w:rStyle w:val="kursiv"/>
        </w:rPr>
        <w:t xml:space="preserve">Tilleggsmelding til Meld. St. 36 (2020–2021) Energi til arbeid – langsiktig verdiskaping </w:t>
      </w:r>
      <w:proofErr w:type="spellStart"/>
      <w:r w:rsidRPr="00CC19F7">
        <w:rPr>
          <w:rStyle w:val="kursiv"/>
        </w:rPr>
        <w:t>frå</w:t>
      </w:r>
      <w:proofErr w:type="spellEnd"/>
      <w:r w:rsidRPr="00CC19F7">
        <w:rPr>
          <w:rStyle w:val="kursiv"/>
        </w:rPr>
        <w:t xml:space="preserve"> norske </w:t>
      </w:r>
      <w:proofErr w:type="spellStart"/>
      <w:r w:rsidRPr="00CC19F7">
        <w:rPr>
          <w:rStyle w:val="kursiv"/>
        </w:rPr>
        <w:t>energiressursar</w:t>
      </w:r>
      <w:proofErr w:type="spellEnd"/>
      <w:r w:rsidRPr="00CC19F7">
        <w:t xml:space="preserve"> og </w:t>
      </w:r>
      <w:proofErr w:type="spellStart"/>
      <w:r w:rsidRPr="00CC19F7">
        <w:t>Prop</w:t>
      </w:r>
      <w:proofErr w:type="spellEnd"/>
      <w:r w:rsidRPr="00CC19F7">
        <w:t>. 97 S (2022–2023), er å</w:t>
      </w:r>
    </w:p>
    <w:p w14:paraId="383BBC4E" w14:textId="77777777" w:rsidR="00FE02EF" w:rsidRPr="00CC19F7" w:rsidRDefault="00881E58" w:rsidP="00CC19F7">
      <w:pPr>
        <w:pStyle w:val="Liste"/>
      </w:pPr>
      <w:proofErr w:type="spellStart"/>
      <w:r w:rsidRPr="00CC19F7">
        <w:t>halde</w:t>
      </w:r>
      <w:proofErr w:type="spellEnd"/>
      <w:r w:rsidRPr="00CC19F7">
        <w:t xml:space="preserve"> fram med å utvikle petroleumspolitikken for å legge til rette for at norsk kontinentalsokkel framleis skal </w:t>
      </w:r>
      <w:proofErr w:type="spellStart"/>
      <w:r w:rsidRPr="00CC19F7">
        <w:t>vere</w:t>
      </w:r>
      <w:proofErr w:type="spellEnd"/>
      <w:r w:rsidRPr="00CC19F7">
        <w:t xml:space="preserve"> </w:t>
      </w:r>
      <w:proofErr w:type="spellStart"/>
      <w:r w:rsidRPr="00CC19F7">
        <w:t>ein</w:t>
      </w:r>
      <w:proofErr w:type="spellEnd"/>
      <w:r w:rsidRPr="00CC19F7">
        <w:t xml:space="preserve"> stabil og langsiktig leverandør av olje og gass til Europa i ei </w:t>
      </w:r>
      <w:proofErr w:type="spellStart"/>
      <w:r w:rsidRPr="00CC19F7">
        <w:t>krevjande</w:t>
      </w:r>
      <w:proofErr w:type="spellEnd"/>
      <w:r w:rsidRPr="00CC19F7">
        <w:t xml:space="preserve"> tid</w:t>
      </w:r>
    </w:p>
    <w:p w14:paraId="66B3C936" w14:textId="77777777" w:rsidR="00FE02EF" w:rsidRPr="00CC19F7" w:rsidRDefault="00881E58" w:rsidP="00CC19F7">
      <w:pPr>
        <w:pStyle w:val="Liste"/>
      </w:pPr>
      <w:r w:rsidRPr="00CC19F7">
        <w:t xml:space="preserve">føre </w:t>
      </w:r>
      <w:proofErr w:type="spellStart"/>
      <w:r w:rsidRPr="00CC19F7">
        <w:t>vidare</w:t>
      </w:r>
      <w:proofErr w:type="spellEnd"/>
      <w:r w:rsidRPr="00CC19F7">
        <w:t xml:space="preserve"> konsesjonssystemet – framleis gi løyve til å leite etter olje og gass i nye område. Tildeling av nye utvinningsløyve skal </w:t>
      </w:r>
      <w:proofErr w:type="spellStart"/>
      <w:r w:rsidRPr="00CC19F7">
        <w:t>hovudsakleg</w:t>
      </w:r>
      <w:proofErr w:type="spellEnd"/>
      <w:r w:rsidRPr="00CC19F7">
        <w:t xml:space="preserve"> skje gjennom </w:t>
      </w:r>
      <w:proofErr w:type="spellStart"/>
      <w:r w:rsidRPr="00CC19F7">
        <w:t>føreseieleg</w:t>
      </w:r>
      <w:proofErr w:type="spellEnd"/>
      <w:r w:rsidRPr="00CC19F7">
        <w:t xml:space="preserve"> tilgang på </w:t>
      </w:r>
      <w:proofErr w:type="spellStart"/>
      <w:r w:rsidRPr="00CC19F7">
        <w:t>leiteareal</w:t>
      </w:r>
      <w:proofErr w:type="spellEnd"/>
      <w:r w:rsidRPr="00CC19F7">
        <w:t xml:space="preserve"> gjennom tildeling i </w:t>
      </w:r>
      <w:proofErr w:type="spellStart"/>
      <w:r w:rsidRPr="00CC19F7">
        <w:t>allereie</w:t>
      </w:r>
      <w:proofErr w:type="spellEnd"/>
      <w:r w:rsidRPr="00CC19F7">
        <w:t xml:space="preserve"> førehandsdefinerte område (TFO)</w:t>
      </w:r>
    </w:p>
    <w:p w14:paraId="1A3B0465" w14:textId="77777777" w:rsidR="00FE02EF" w:rsidRPr="00CC19F7" w:rsidRDefault="00881E58" w:rsidP="00CC19F7">
      <w:pPr>
        <w:pStyle w:val="Liste"/>
      </w:pPr>
      <w:r w:rsidRPr="00CC19F7">
        <w:t xml:space="preserve">legge til rette for </w:t>
      </w:r>
      <w:proofErr w:type="spellStart"/>
      <w:r w:rsidRPr="00CC19F7">
        <w:t>eit</w:t>
      </w:r>
      <w:proofErr w:type="spellEnd"/>
      <w:r w:rsidRPr="00CC19F7">
        <w:t xml:space="preserve"> stabilt aktivitetsnivå </w:t>
      </w:r>
      <w:proofErr w:type="spellStart"/>
      <w:r w:rsidRPr="00CC19F7">
        <w:t>innan</w:t>
      </w:r>
      <w:proofErr w:type="spellEnd"/>
      <w:r w:rsidRPr="00CC19F7">
        <w:t xml:space="preserve"> olje- og </w:t>
      </w:r>
      <w:proofErr w:type="spellStart"/>
      <w:r w:rsidRPr="00CC19F7">
        <w:t>gassverksemd</w:t>
      </w:r>
      <w:proofErr w:type="spellEnd"/>
      <w:r w:rsidRPr="00CC19F7">
        <w:t xml:space="preserve"> på norsk kontinentalsokkel, med større innslag av </w:t>
      </w:r>
      <w:proofErr w:type="spellStart"/>
      <w:r w:rsidRPr="00CC19F7">
        <w:t>næringar</w:t>
      </w:r>
      <w:proofErr w:type="spellEnd"/>
      <w:r w:rsidRPr="00CC19F7">
        <w:t xml:space="preserve"> knytte til karbonfangst og -lagring, hydrogen, havvind, havbruk og mineral</w:t>
      </w:r>
    </w:p>
    <w:p w14:paraId="6524601F" w14:textId="77777777" w:rsidR="00FE02EF" w:rsidRPr="00CC19F7" w:rsidRDefault="00881E58" w:rsidP="00CC19F7">
      <w:r w:rsidRPr="00CC19F7">
        <w:t xml:space="preserve">Andre </w:t>
      </w:r>
      <w:proofErr w:type="spellStart"/>
      <w:r w:rsidRPr="00CC19F7">
        <w:t>verkemiddel</w:t>
      </w:r>
      <w:proofErr w:type="spellEnd"/>
      <w:r w:rsidRPr="00CC19F7">
        <w:t xml:space="preserve"> for å oppnå rein, energieffektiv og </w:t>
      </w:r>
      <w:proofErr w:type="spellStart"/>
      <w:r w:rsidRPr="00CC19F7">
        <w:t>lønnsam</w:t>
      </w:r>
      <w:proofErr w:type="spellEnd"/>
      <w:r w:rsidRPr="00CC19F7">
        <w:t xml:space="preserve"> produksjon for framleis å ha ei effektiv og konkurransedyktig petroleumsnæring og for å føre </w:t>
      </w:r>
      <w:proofErr w:type="spellStart"/>
      <w:r w:rsidRPr="00CC19F7">
        <w:t>vidare</w:t>
      </w:r>
      <w:proofErr w:type="spellEnd"/>
      <w:r w:rsidRPr="00CC19F7">
        <w:t xml:space="preserve"> god samhandling med andre </w:t>
      </w:r>
      <w:proofErr w:type="spellStart"/>
      <w:r w:rsidRPr="00CC19F7">
        <w:t>brukarar</w:t>
      </w:r>
      <w:proofErr w:type="spellEnd"/>
      <w:r w:rsidRPr="00CC19F7">
        <w:t xml:space="preserve"> av havet skal </w:t>
      </w:r>
      <w:proofErr w:type="spellStart"/>
      <w:r w:rsidRPr="00CC19F7">
        <w:t>førast</w:t>
      </w:r>
      <w:proofErr w:type="spellEnd"/>
      <w:r w:rsidRPr="00CC19F7">
        <w:t xml:space="preserve"> </w:t>
      </w:r>
      <w:proofErr w:type="spellStart"/>
      <w:r w:rsidRPr="00CC19F7">
        <w:t>vidare</w:t>
      </w:r>
      <w:proofErr w:type="spellEnd"/>
      <w:r w:rsidRPr="00CC19F7">
        <w:t>. Denne petroleumspolitikken skal</w:t>
      </w:r>
    </w:p>
    <w:p w14:paraId="3F885F67" w14:textId="77777777" w:rsidR="00FE02EF" w:rsidRPr="00CC19F7" w:rsidRDefault="00881E58" w:rsidP="00CC19F7">
      <w:pPr>
        <w:pStyle w:val="Liste"/>
      </w:pPr>
      <w:r w:rsidRPr="00CC19F7">
        <w:t xml:space="preserve">legge til rette for at potensialet i </w:t>
      </w:r>
      <w:proofErr w:type="spellStart"/>
      <w:r w:rsidRPr="00CC19F7">
        <w:t>eksisterande</w:t>
      </w:r>
      <w:proofErr w:type="spellEnd"/>
      <w:r w:rsidRPr="00CC19F7">
        <w:t xml:space="preserve"> felt og infrastruktur blir utnytta</w:t>
      </w:r>
    </w:p>
    <w:p w14:paraId="6DC0B999" w14:textId="77777777" w:rsidR="00FE02EF" w:rsidRPr="00CC19F7" w:rsidRDefault="00881E58" w:rsidP="00CC19F7">
      <w:pPr>
        <w:pStyle w:val="Liste"/>
      </w:pPr>
      <w:r w:rsidRPr="00CC19F7">
        <w:t xml:space="preserve">legge til rette for at </w:t>
      </w:r>
      <w:proofErr w:type="gramStart"/>
      <w:r w:rsidRPr="00CC19F7">
        <w:t>alle lønnsame</w:t>
      </w:r>
      <w:proofErr w:type="gramEnd"/>
      <w:r w:rsidRPr="00CC19F7">
        <w:t xml:space="preserve"> funn blir bygde ut</w:t>
      </w:r>
    </w:p>
    <w:p w14:paraId="159D11DA" w14:textId="77777777" w:rsidR="00FE02EF" w:rsidRPr="00CC19F7" w:rsidRDefault="00881E58" w:rsidP="00CC19F7">
      <w:r w:rsidRPr="00CC19F7">
        <w:t xml:space="preserve">For staten som </w:t>
      </w:r>
      <w:proofErr w:type="spellStart"/>
      <w:r w:rsidRPr="00CC19F7">
        <w:t>ressurseigar</w:t>
      </w:r>
      <w:proofErr w:type="spellEnd"/>
      <w:r w:rsidRPr="00CC19F7">
        <w:t xml:space="preserve"> er det viktig å ha best </w:t>
      </w:r>
      <w:proofErr w:type="spellStart"/>
      <w:r w:rsidRPr="00CC19F7">
        <w:t>mogleg</w:t>
      </w:r>
      <w:proofErr w:type="spellEnd"/>
      <w:r w:rsidRPr="00CC19F7">
        <w:t xml:space="preserve"> oversikt over </w:t>
      </w:r>
      <w:proofErr w:type="spellStart"/>
      <w:r w:rsidRPr="00CC19F7">
        <w:t>naturressursane</w:t>
      </w:r>
      <w:proofErr w:type="spellEnd"/>
      <w:r w:rsidRPr="00CC19F7">
        <w:t xml:space="preserve"> i nasjonen. Departementet vil </w:t>
      </w:r>
      <w:proofErr w:type="spellStart"/>
      <w:r w:rsidRPr="00CC19F7">
        <w:t>halde</w:t>
      </w:r>
      <w:proofErr w:type="spellEnd"/>
      <w:r w:rsidRPr="00CC19F7">
        <w:t xml:space="preserve"> fram med å kartlegge </w:t>
      </w:r>
      <w:proofErr w:type="spellStart"/>
      <w:r w:rsidRPr="00CC19F7">
        <w:t>petroleumsressursane</w:t>
      </w:r>
      <w:proofErr w:type="spellEnd"/>
      <w:r w:rsidRPr="00CC19F7">
        <w:t xml:space="preserve"> på norsk kontinentalsokkel, også i område som </w:t>
      </w:r>
      <w:proofErr w:type="spellStart"/>
      <w:r w:rsidRPr="00CC19F7">
        <w:t>ikkje</w:t>
      </w:r>
      <w:proofErr w:type="spellEnd"/>
      <w:r w:rsidRPr="00CC19F7">
        <w:t xml:space="preserve"> er </w:t>
      </w:r>
      <w:proofErr w:type="spellStart"/>
      <w:r w:rsidRPr="00CC19F7">
        <w:t>opna</w:t>
      </w:r>
      <w:proofErr w:type="spellEnd"/>
      <w:r w:rsidRPr="00CC19F7">
        <w:t xml:space="preserve"> for </w:t>
      </w:r>
      <w:proofErr w:type="spellStart"/>
      <w:r w:rsidRPr="00CC19F7">
        <w:t>petroleumsverksemd</w:t>
      </w:r>
      <w:proofErr w:type="spellEnd"/>
      <w:r w:rsidRPr="00CC19F7">
        <w:t>.</w:t>
      </w:r>
    </w:p>
    <w:p w14:paraId="45C2A7FE" w14:textId="77777777" w:rsidR="00FE02EF" w:rsidRPr="00CC19F7" w:rsidRDefault="00881E58" w:rsidP="00CC19F7">
      <w:r w:rsidRPr="00CC19F7">
        <w:t xml:space="preserve">Tilgang på nye </w:t>
      </w:r>
      <w:proofErr w:type="spellStart"/>
      <w:r w:rsidRPr="00CC19F7">
        <w:t>leiteområde</w:t>
      </w:r>
      <w:proofErr w:type="spellEnd"/>
      <w:r w:rsidRPr="00CC19F7">
        <w:t xml:space="preserve"> er nødvendig for å </w:t>
      </w:r>
      <w:proofErr w:type="spellStart"/>
      <w:r w:rsidRPr="00CC19F7">
        <w:t>gjere</w:t>
      </w:r>
      <w:proofErr w:type="spellEnd"/>
      <w:r w:rsidRPr="00CC19F7">
        <w:t xml:space="preserve"> nye funn og </w:t>
      </w:r>
      <w:proofErr w:type="spellStart"/>
      <w:r w:rsidRPr="00CC19F7">
        <w:t>halde</w:t>
      </w:r>
      <w:proofErr w:type="spellEnd"/>
      <w:r w:rsidRPr="00CC19F7">
        <w:t xml:space="preserve"> oppe verdiskaping, sysselsetting og </w:t>
      </w:r>
      <w:proofErr w:type="spellStart"/>
      <w:r w:rsidRPr="00CC19F7">
        <w:t>statlege</w:t>
      </w:r>
      <w:proofErr w:type="spellEnd"/>
      <w:r w:rsidRPr="00CC19F7">
        <w:t xml:space="preserve"> inntekter på lang sikt. Departementet vil føre </w:t>
      </w:r>
      <w:proofErr w:type="spellStart"/>
      <w:r w:rsidRPr="00CC19F7">
        <w:t>vidare</w:t>
      </w:r>
      <w:proofErr w:type="spellEnd"/>
      <w:r w:rsidRPr="00CC19F7">
        <w:t xml:space="preserve"> dagens praksis med </w:t>
      </w:r>
      <w:proofErr w:type="spellStart"/>
      <w:r w:rsidRPr="00CC19F7">
        <w:t>jamlege</w:t>
      </w:r>
      <w:proofErr w:type="spellEnd"/>
      <w:r w:rsidRPr="00CC19F7">
        <w:t xml:space="preserve"> </w:t>
      </w:r>
      <w:proofErr w:type="spellStart"/>
      <w:r w:rsidRPr="00CC19F7">
        <w:t>konsesjonsrundar</w:t>
      </w:r>
      <w:proofErr w:type="spellEnd"/>
      <w:r w:rsidRPr="00CC19F7">
        <w:t xml:space="preserve"> på norsk sokkel for å gi næringa tilgang på nye prospektive </w:t>
      </w:r>
      <w:proofErr w:type="spellStart"/>
      <w:r w:rsidRPr="00CC19F7">
        <w:t>leiteareal</w:t>
      </w:r>
      <w:proofErr w:type="spellEnd"/>
      <w:r w:rsidRPr="00CC19F7">
        <w:t xml:space="preserve">. Dei </w:t>
      </w:r>
      <w:proofErr w:type="spellStart"/>
      <w:r w:rsidRPr="00CC19F7">
        <w:t>årlege</w:t>
      </w:r>
      <w:proofErr w:type="spellEnd"/>
      <w:r w:rsidRPr="00CC19F7">
        <w:t xml:space="preserve"> </w:t>
      </w:r>
      <w:proofErr w:type="spellStart"/>
      <w:r w:rsidRPr="00CC19F7">
        <w:t>konsesjonsrundane</w:t>
      </w:r>
      <w:proofErr w:type="spellEnd"/>
      <w:r w:rsidRPr="00CC19F7">
        <w:t xml:space="preserve"> i førehandsdefinerte område (TFO) er </w:t>
      </w:r>
      <w:proofErr w:type="spellStart"/>
      <w:r w:rsidRPr="00CC19F7">
        <w:t>berebjelken</w:t>
      </w:r>
      <w:proofErr w:type="spellEnd"/>
      <w:r w:rsidRPr="00CC19F7">
        <w:t xml:space="preserve"> i leitepolitikken. </w:t>
      </w:r>
      <w:proofErr w:type="spellStart"/>
      <w:r w:rsidRPr="00CC19F7">
        <w:t>Desse</w:t>
      </w:r>
      <w:proofErr w:type="spellEnd"/>
      <w:r w:rsidRPr="00CC19F7">
        <w:t xml:space="preserve"> områda </w:t>
      </w:r>
      <w:proofErr w:type="spellStart"/>
      <w:r w:rsidRPr="00CC19F7">
        <w:t>omfattar</w:t>
      </w:r>
      <w:proofErr w:type="spellEnd"/>
      <w:r w:rsidRPr="00CC19F7">
        <w:t xml:space="preserve"> størstedelen av </w:t>
      </w:r>
      <w:proofErr w:type="spellStart"/>
      <w:r w:rsidRPr="00CC19F7">
        <w:t>dei</w:t>
      </w:r>
      <w:proofErr w:type="spellEnd"/>
      <w:r w:rsidRPr="00CC19F7">
        <w:t xml:space="preserve"> </w:t>
      </w:r>
      <w:proofErr w:type="spellStart"/>
      <w:r w:rsidRPr="00CC19F7">
        <w:t>opne</w:t>
      </w:r>
      <w:proofErr w:type="spellEnd"/>
      <w:r w:rsidRPr="00CC19F7">
        <w:t xml:space="preserve">, </w:t>
      </w:r>
      <w:proofErr w:type="spellStart"/>
      <w:r w:rsidRPr="00CC19F7">
        <w:t>tilgjengelege</w:t>
      </w:r>
      <w:proofErr w:type="spellEnd"/>
      <w:r w:rsidRPr="00CC19F7">
        <w:t xml:space="preserve"> områda på norsk sokkel, og det er der det i størst grad er leiteaktivitet i dag. Årets konsesjonsrunde i det førehandsdefinerte området (TFO 2023) går føre seg. I samband med TFO 2023 er TFO-arealet utvida med 92 blokker – 78 i Barentshavet og 14 i Norskehavet. I samsvar med etablert praksis blir det tatt sikte på tildeling i januar 2024.</w:t>
      </w:r>
    </w:p>
    <w:p w14:paraId="57B3A645" w14:textId="77777777" w:rsidR="00FE02EF" w:rsidRPr="00CC19F7" w:rsidRDefault="00881E58" w:rsidP="00CC19F7">
      <w:r w:rsidRPr="00CC19F7">
        <w:t xml:space="preserve">Departementet vil følge opp leiteaktiviteten til </w:t>
      </w:r>
      <w:proofErr w:type="spellStart"/>
      <w:r w:rsidRPr="00CC19F7">
        <w:t>rettshavarane</w:t>
      </w:r>
      <w:proofErr w:type="spellEnd"/>
      <w:r w:rsidRPr="00CC19F7">
        <w:t xml:space="preserve"> som skjer under tildelte utvinningsløyve.</w:t>
      </w:r>
    </w:p>
    <w:p w14:paraId="21FE8D98" w14:textId="77777777" w:rsidR="00FE02EF" w:rsidRPr="00CC19F7" w:rsidRDefault="00881E58" w:rsidP="00CC19F7">
      <w:r w:rsidRPr="00CC19F7">
        <w:t xml:space="preserve">Departementet vil gjennomføre ei grundig behandling av planar for utbygging, anlegg og drift, og </w:t>
      </w:r>
      <w:proofErr w:type="spellStart"/>
      <w:r w:rsidRPr="00CC19F7">
        <w:t>dessutan</w:t>
      </w:r>
      <w:proofErr w:type="spellEnd"/>
      <w:r w:rsidRPr="00CC19F7">
        <w:t xml:space="preserve"> disponering som blir lagd fram av </w:t>
      </w:r>
      <w:proofErr w:type="spellStart"/>
      <w:r w:rsidRPr="00CC19F7">
        <w:t>rettshavarane</w:t>
      </w:r>
      <w:proofErr w:type="spellEnd"/>
      <w:r w:rsidRPr="00CC19F7">
        <w:t xml:space="preserve">. Departementet har dialog med </w:t>
      </w:r>
      <w:proofErr w:type="spellStart"/>
      <w:r w:rsidRPr="00CC19F7">
        <w:t>rettshavarane</w:t>
      </w:r>
      <w:proofErr w:type="spellEnd"/>
      <w:r w:rsidRPr="00CC19F7">
        <w:t xml:space="preserve"> også i forkant av innlevering av plan for utbygging og drift (PUD). Departementet vil i oppfølginga og behandlinga av </w:t>
      </w:r>
      <w:proofErr w:type="spellStart"/>
      <w:r w:rsidRPr="00CC19F7">
        <w:t>desse</w:t>
      </w:r>
      <w:proofErr w:type="spellEnd"/>
      <w:r w:rsidRPr="00CC19F7">
        <w:t xml:space="preserve"> ha </w:t>
      </w:r>
      <w:proofErr w:type="spellStart"/>
      <w:r w:rsidRPr="00CC19F7">
        <w:t>særleg</w:t>
      </w:r>
      <w:proofErr w:type="spellEnd"/>
      <w:r w:rsidRPr="00CC19F7">
        <w:t xml:space="preserve"> </w:t>
      </w:r>
      <w:proofErr w:type="spellStart"/>
      <w:r w:rsidRPr="00CC19F7">
        <w:t>merksemd</w:t>
      </w:r>
      <w:proofErr w:type="spellEnd"/>
      <w:r w:rsidRPr="00CC19F7">
        <w:t xml:space="preserve"> retta mot tidsriktig utbygging og innfasing av påviste </w:t>
      </w:r>
      <w:proofErr w:type="spellStart"/>
      <w:r w:rsidRPr="00CC19F7">
        <w:t>ressursar</w:t>
      </w:r>
      <w:proofErr w:type="spellEnd"/>
      <w:r w:rsidRPr="00CC19F7">
        <w:t xml:space="preserve">. Departementet vil </w:t>
      </w:r>
      <w:proofErr w:type="spellStart"/>
      <w:r w:rsidRPr="00CC19F7">
        <w:t>halde</w:t>
      </w:r>
      <w:proofErr w:type="spellEnd"/>
      <w:r w:rsidRPr="00CC19F7">
        <w:t xml:space="preserve"> fram med å gi Stortinget informasjon om prosjekt under utbygging som har </w:t>
      </w:r>
      <w:proofErr w:type="spellStart"/>
      <w:r w:rsidRPr="00CC19F7">
        <w:t>godkjend</w:t>
      </w:r>
      <w:proofErr w:type="spellEnd"/>
      <w:r w:rsidRPr="00CC19F7">
        <w:t xml:space="preserve"> PUD, jf. punkt 5 Prosjekt under utbygging på norsk kontinentalsokkel i Del III av proposisjonen.</w:t>
      </w:r>
    </w:p>
    <w:p w14:paraId="3D8AC29B" w14:textId="77777777" w:rsidR="00FE02EF" w:rsidRPr="00CC19F7" w:rsidRDefault="00881E58" w:rsidP="00CC19F7">
      <w:r w:rsidRPr="00CC19F7">
        <w:t>Departementet vil følge opp drifta av felta, mellom anna behandle relevante søknader, for å bidra til effektiv ressursutnytting.</w:t>
      </w:r>
    </w:p>
    <w:p w14:paraId="0F588B9A" w14:textId="77777777" w:rsidR="00FE02EF" w:rsidRPr="00CC19F7" w:rsidRDefault="00881E58" w:rsidP="00CC19F7">
      <w:r w:rsidRPr="00CC19F7">
        <w:t xml:space="preserve">Infrastrukturen på norsk kontinentalsokkel, under dette gasstransportsystemet, skal brukast effektivt og </w:t>
      </w:r>
      <w:proofErr w:type="spellStart"/>
      <w:r w:rsidRPr="00CC19F7">
        <w:t>utviklast</w:t>
      </w:r>
      <w:proofErr w:type="spellEnd"/>
      <w:r w:rsidRPr="00CC19F7">
        <w:t xml:space="preserve"> </w:t>
      </w:r>
      <w:proofErr w:type="spellStart"/>
      <w:r w:rsidRPr="00CC19F7">
        <w:t>heilskapleg</w:t>
      </w:r>
      <w:proofErr w:type="spellEnd"/>
      <w:r w:rsidRPr="00CC19F7">
        <w:t xml:space="preserve">. Store </w:t>
      </w:r>
      <w:proofErr w:type="spellStart"/>
      <w:r w:rsidRPr="00CC19F7">
        <w:t>delar</w:t>
      </w:r>
      <w:proofErr w:type="spellEnd"/>
      <w:r w:rsidRPr="00CC19F7">
        <w:t xml:space="preserve"> av løyva i gasstransportinteressentskapet </w:t>
      </w:r>
      <w:proofErr w:type="spellStart"/>
      <w:r w:rsidRPr="00CC19F7">
        <w:t>Gassled</w:t>
      </w:r>
      <w:proofErr w:type="spellEnd"/>
      <w:r w:rsidRPr="00CC19F7">
        <w:t xml:space="preserve"> har ei konsesjonstid som går ut i 2028. Staten har heimfallsrett ved utløpet av konsesjonstida. OED sende våren 2023 brev til relevante </w:t>
      </w:r>
      <w:proofErr w:type="spellStart"/>
      <w:r w:rsidRPr="00CC19F7">
        <w:t>rettshavarar</w:t>
      </w:r>
      <w:proofErr w:type="spellEnd"/>
      <w:r w:rsidRPr="00CC19F7">
        <w:t xml:space="preserve"> der det blei signalisert at staten tar sikte på å nytte seg av heimfallsretten og ønsker </w:t>
      </w:r>
      <w:proofErr w:type="spellStart"/>
      <w:r w:rsidRPr="00CC19F7">
        <w:t>ein</w:t>
      </w:r>
      <w:proofErr w:type="spellEnd"/>
      <w:r w:rsidRPr="00CC19F7">
        <w:t xml:space="preserve"> </w:t>
      </w:r>
      <w:proofErr w:type="spellStart"/>
      <w:r w:rsidRPr="00CC19F7">
        <w:t>heilstatleg</w:t>
      </w:r>
      <w:proofErr w:type="spellEnd"/>
      <w:r w:rsidRPr="00CC19F7">
        <w:t xml:space="preserve"> </w:t>
      </w:r>
      <w:proofErr w:type="spellStart"/>
      <w:r w:rsidRPr="00CC19F7">
        <w:t>eigarskap</w:t>
      </w:r>
      <w:proofErr w:type="spellEnd"/>
      <w:r w:rsidRPr="00CC19F7">
        <w:t xml:space="preserve"> for </w:t>
      </w:r>
      <w:proofErr w:type="spellStart"/>
      <w:r w:rsidRPr="00CC19F7">
        <w:t>dei</w:t>
      </w:r>
      <w:proofErr w:type="spellEnd"/>
      <w:r w:rsidRPr="00CC19F7">
        <w:t xml:space="preserve"> sentrale </w:t>
      </w:r>
      <w:proofErr w:type="spellStart"/>
      <w:r w:rsidRPr="00CC19F7">
        <w:t>delane</w:t>
      </w:r>
      <w:proofErr w:type="spellEnd"/>
      <w:r w:rsidRPr="00CC19F7">
        <w:t xml:space="preserve"> av det norske gasstransportsystemet. Der overtaking eventuelt krev vederlag, er det </w:t>
      </w:r>
      <w:proofErr w:type="spellStart"/>
      <w:r w:rsidRPr="00CC19F7">
        <w:t>ein</w:t>
      </w:r>
      <w:proofErr w:type="spellEnd"/>
      <w:r w:rsidRPr="00CC19F7">
        <w:t xml:space="preserve"> </w:t>
      </w:r>
      <w:proofErr w:type="spellStart"/>
      <w:r w:rsidRPr="00CC19F7">
        <w:t>føresetnad</w:t>
      </w:r>
      <w:proofErr w:type="spellEnd"/>
      <w:r w:rsidRPr="00CC19F7">
        <w:t xml:space="preserve"> at overgangen til </w:t>
      </w:r>
      <w:proofErr w:type="spellStart"/>
      <w:r w:rsidRPr="00CC19F7">
        <w:t>heilstatleg</w:t>
      </w:r>
      <w:proofErr w:type="spellEnd"/>
      <w:r w:rsidRPr="00CC19F7">
        <w:t xml:space="preserve"> </w:t>
      </w:r>
      <w:proofErr w:type="spellStart"/>
      <w:r w:rsidRPr="00CC19F7">
        <w:t>eigarskap</w:t>
      </w:r>
      <w:proofErr w:type="spellEnd"/>
      <w:r w:rsidRPr="00CC19F7">
        <w:t xml:space="preserve"> er verdinøytral for staten; </w:t>
      </w:r>
      <w:proofErr w:type="spellStart"/>
      <w:r w:rsidRPr="00CC19F7">
        <w:t>eigarkostnadene</w:t>
      </w:r>
      <w:proofErr w:type="spellEnd"/>
      <w:r w:rsidRPr="00CC19F7">
        <w:t xml:space="preserve"> til staten ved systemet skal i sin heilskap </w:t>
      </w:r>
      <w:proofErr w:type="spellStart"/>
      <w:r w:rsidRPr="00CC19F7">
        <w:t>dekkast</w:t>
      </w:r>
      <w:proofErr w:type="spellEnd"/>
      <w:r w:rsidRPr="00CC19F7">
        <w:t xml:space="preserve"> av framtidige tariffinntekter. Departementet vil sondere med dagens </w:t>
      </w:r>
      <w:proofErr w:type="spellStart"/>
      <w:r w:rsidRPr="00CC19F7">
        <w:t>rettshavarar</w:t>
      </w:r>
      <w:proofErr w:type="spellEnd"/>
      <w:r w:rsidRPr="00CC19F7">
        <w:t xml:space="preserve"> om </w:t>
      </w:r>
      <w:proofErr w:type="spellStart"/>
      <w:r w:rsidRPr="00CC19F7">
        <w:t>moglegheitene</w:t>
      </w:r>
      <w:proofErr w:type="spellEnd"/>
      <w:r w:rsidRPr="00CC19F7">
        <w:t xml:space="preserve"> for dette, og vil komme tilbake til Stortinget på </w:t>
      </w:r>
      <w:proofErr w:type="spellStart"/>
      <w:r w:rsidRPr="00CC19F7">
        <w:t>eit</w:t>
      </w:r>
      <w:proofErr w:type="spellEnd"/>
      <w:r w:rsidRPr="00CC19F7">
        <w:t xml:space="preserve"> eigna tidspunkt dersom det blir oppnådd </w:t>
      </w:r>
      <w:proofErr w:type="spellStart"/>
      <w:r w:rsidRPr="00CC19F7">
        <w:t>einigheit</w:t>
      </w:r>
      <w:proofErr w:type="spellEnd"/>
      <w:r w:rsidRPr="00CC19F7">
        <w:t xml:space="preserve"> med </w:t>
      </w:r>
      <w:proofErr w:type="spellStart"/>
      <w:r w:rsidRPr="00CC19F7">
        <w:t>eigarane</w:t>
      </w:r>
      <w:proofErr w:type="spellEnd"/>
      <w:r w:rsidRPr="00CC19F7">
        <w:t>.</w:t>
      </w:r>
    </w:p>
    <w:p w14:paraId="52F05DDF" w14:textId="77777777" w:rsidR="00FE02EF" w:rsidRPr="00CC19F7" w:rsidRDefault="00881E58" w:rsidP="00CC19F7">
      <w:r w:rsidRPr="00CC19F7">
        <w:t xml:space="preserve">Departementet vil støtte opp under arbeidet næringa </w:t>
      </w:r>
      <w:proofErr w:type="spellStart"/>
      <w:r w:rsidRPr="00CC19F7">
        <w:t>gjer</w:t>
      </w:r>
      <w:proofErr w:type="spellEnd"/>
      <w:r w:rsidRPr="00CC19F7">
        <w:t xml:space="preserve"> med å </w:t>
      </w:r>
      <w:proofErr w:type="spellStart"/>
      <w:r w:rsidRPr="00CC19F7">
        <w:t>auke</w:t>
      </w:r>
      <w:proofErr w:type="spellEnd"/>
      <w:r w:rsidRPr="00CC19F7">
        <w:t xml:space="preserve"> verdiskapinga gjennom effektivisering, digitalisering og innovasjon.</w:t>
      </w:r>
    </w:p>
    <w:p w14:paraId="6A4E266D" w14:textId="77777777" w:rsidR="00FE02EF" w:rsidRPr="00CC19F7" w:rsidRDefault="00881E58" w:rsidP="00CC19F7">
      <w:r w:rsidRPr="00CC19F7">
        <w:t xml:space="preserve">Departementet vil legge til rette for å </w:t>
      </w:r>
      <w:proofErr w:type="spellStart"/>
      <w:r w:rsidRPr="00CC19F7">
        <w:t>vidareutvikle</w:t>
      </w:r>
      <w:proofErr w:type="spellEnd"/>
      <w:r w:rsidRPr="00CC19F7">
        <w:t xml:space="preserve"> både olje- og </w:t>
      </w:r>
      <w:proofErr w:type="spellStart"/>
      <w:r w:rsidRPr="00CC19F7">
        <w:t>gassverksemda</w:t>
      </w:r>
      <w:proofErr w:type="spellEnd"/>
      <w:r w:rsidRPr="00CC19F7">
        <w:t xml:space="preserve"> og andre </w:t>
      </w:r>
      <w:proofErr w:type="spellStart"/>
      <w:r w:rsidRPr="00CC19F7">
        <w:t>havnæringar</w:t>
      </w:r>
      <w:proofErr w:type="spellEnd"/>
      <w:r w:rsidRPr="00CC19F7">
        <w:t>.</w:t>
      </w:r>
    </w:p>
    <w:p w14:paraId="53250B73" w14:textId="77777777" w:rsidR="00FE02EF" w:rsidRPr="00CC19F7" w:rsidRDefault="00881E58" w:rsidP="00CC19F7">
      <w:r w:rsidRPr="00CC19F7">
        <w:t xml:space="preserve">Departementet vil føre </w:t>
      </w:r>
      <w:proofErr w:type="spellStart"/>
      <w:r w:rsidRPr="00CC19F7">
        <w:t>vidare</w:t>
      </w:r>
      <w:proofErr w:type="spellEnd"/>
      <w:r w:rsidRPr="00CC19F7">
        <w:t xml:space="preserve"> arbeidet med økonomiske </w:t>
      </w:r>
      <w:proofErr w:type="spellStart"/>
      <w:r w:rsidRPr="00CC19F7">
        <w:t>analysar</w:t>
      </w:r>
      <w:proofErr w:type="spellEnd"/>
      <w:r w:rsidRPr="00CC19F7">
        <w:t xml:space="preserve"> av norsk </w:t>
      </w:r>
      <w:proofErr w:type="spellStart"/>
      <w:r w:rsidRPr="00CC19F7">
        <w:t>petroleumsverksemd</w:t>
      </w:r>
      <w:proofErr w:type="spellEnd"/>
      <w:r w:rsidRPr="00CC19F7">
        <w:t xml:space="preserve">, mellom anna bidra med anslag til nasjonalbudsjettet, </w:t>
      </w:r>
      <w:proofErr w:type="spellStart"/>
      <w:r w:rsidRPr="00CC19F7">
        <w:t>utsleppsframskrivingar</w:t>
      </w:r>
      <w:proofErr w:type="spellEnd"/>
      <w:r w:rsidRPr="00CC19F7">
        <w:t xml:space="preserve"> og følge </w:t>
      </w:r>
      <w:proofErr w:type="spellStart"/>
      <w:r w:rsidRPr="00CC19F7">
        <w:t>marknadsutviklinga</w:t>
      </w:r>
      <w:proofErr w:type="spellEnd"/>
      <w:r w:rsidRPr="00CC19F7">
        <w:t xml:space="preserve"> for olje og gass.</w:t>
      </w:r>
    </w:p>
    <w:p w14:paraId="4F350B2D" w14:textId="77777777" w:rsidR="00FE02EF" w:rsidRPr="00CC19F7" w:rsidRDefault="00881E58" w:rsidP="00CC19F7">
      <w:r w:rsidRPr="00CC19F7">
        <w:t xml:space="preserve">Departementet vil gjennom styringsdialogen følge opp Sokkeldirektoratets arbeid med ei effektiv og </w:t>
      </w:r>
      <w:proofErr w:type="spellStart"/>
      <w:r w:rsidRPr="00CC19F7">
        <w:t>forsvarleg</w:t>
      </w:r>
      <w:proofErr w:type="spellEnd"/>
      <w:r w:rsidRPr="00CC19F7">
        <w:t xml:space="preserve"> ressursforvaltning.</w:t>
      </w:r>
    </w:p>
    <w:p w14:paraId="40FA935E" w14:textId="77777777" w:rsidR="00FE02EF" w:rsidRPr="00CC19F7" w:rsidRDefault="00881E58" w:rsidP="00CC19F7">
      <w:r w:rsidRPr="00CC19F7">
        <w:t xml:space="preserve">Staten </w:t>
      </w:r>
      <w:proofErr w:type="spellStart"/>
      <w:r w:rsidRPr="00CC19F7">
        <w:t>eig</w:t>
      </w:r>
      <w:proofErr w:type="spellEnd"/>
      <w:r w:rsidRPr="00CC19F7">
        <w:t xml:space="preserve"> 100 prosent av </w:t>
      </w:r>
      <w:proofErr w:type="spellStart"/>
      <w:r w:rsidRPr="00CC19F7">
        <w:t>aksjane</w:t>
      </w:r>
      <w:proofErr w:type="spellEnd"/>
      <w:r w:rsidRPr="00CC19F7">
        <w:t xml:space="preserve"> i </w:t>
      </w:r>
      <w:proofErr w:type="spellStart"/>
      <w:r w:rsidRPr="00CC19F7">
        <w:t>Gassco</w:t>
      </w:r>
      <w:proofErr w:type="spellEnd"/>
      <w:r w:rsidRPr="00CC19F7">
        <w:t xml:space="preserve"> AS, som er operatør for gasstransportsystemet på norsk sokkel. Departementet vil bidra til at </w:t>
      </w:r>
      <w:proofErr w:type="spellStart"/>
      <w:r w:rsidRPr="00CC19F7">
        <w:t>Gassco</w:t>
      </w:r>
      <w:proofErr w:type="spellEnd"/>
      <w:r w:rsidRPr="00CC19F7">
        <w:t xml:space="preserve"> er </w:t>
      </w:r>
      <w:proofErr w:type="spellStart"/>
      <w:r w:rsidRPr="00CC19F7">
        <w:t>ein</w:t>
      </w:r>
      <w:proofErr w:type="spellEnd"/>
      <w:r w:rsidRPr="00CC19F7">
        <w:t xml:space="preserve"> effektiv og nøytral operatør for gasstransportsystemet.</w:t>
      </w:r>
    </w:p>
    <w:p w14:paraId="67F444B4" w14:textId="77777777" w:rsidR="00FE02EF" w:rsidRPr="00CC19F7" w:rsidRDefault="00881E58" w:rsidP="00CC19F7">
      <w:r w:rsidRPr="00CC19F7">
        <w:t xml:space="preserve">Departementet vil føre </w:t>
      </w:r>
      <w:proofErr w:type="spellStart"/>
      <w:r w:rsidRPr="00CC19F7">
        <w:t>vidare</w:t>
      </w:r>
      <w:proofErr w:type="spellEnd"/>
      <w:r w:rsidRPr="00CC19F7">
        <w:t xml:space="preserve"> arbeidet som sekretariat for Petroleumsprisrådet og for implementeringa av </w:t>
      </w:r>
      <w:proofErr w:type="spellStart"/>
      <w:r w:rsidRPr="00CC19F7">
        <w:t>Extractive</w:t>
      </w:r>
      <w:proofErr w:type="spellEnd"/>
      <w:r w:rsidRPr="00CC19F7">
        <w:t xml:space="preserve"> Industries </w:t>
      </w:r>
      <w:proofErr w:type="spellStart"/>
      <w:r w:rsidRPr="00CC19F7">
        <w:t>Transparency</w:t>
      </w:r>
      <w:proofErr w:type="spellEnd"/>
      <w:r w:rsidRPr="00CC19F7">
        <w:t xml:space="preserve"> Initiative (EITI) i </w:t>
      </w:r>
      <w:proofErr w:type="spellStart"/>
      <w:r w:rsidRPr="00CC19F7">
        <w:t>Noreg</w:t>
      </w:r>
      <w:proofErr w:type="spellEnd"/>
      <w:r w:rsidRPr="00CC19F7">
        <w:t>.</w:t>
      </w:r>
    </w:p>
    <w:p w14:paraId="20FC9924" w14:textId="77777777" w:rsidR="00FE02EF" w:rsidRPr="00CC19F7" w:rsidRDefault="00881E58" w:rsidP="00CC19F7">
      <w:r w:rsidRPr="00CC19F7">
        <w:t>Olje- og energidepartementet skal, gjennom å legge til rette for utnytting av undersjøiske reservoar på kontinentalsokkelen til lagring av CO</w:t>
      </w:r>
      <w:r w:rsidRPr="00CC19F7">
        <w:rPr>
          <w:rStyle w:val="skrift-senket"/>
        </w:rPr>
        <w:t>2</w:t>
      </w:r>
      <w:r w:rsidRPr="00CC19F7">
        <w:t xml:space="preserve">, bidra til </w:t>
      </w:r>
      <w:proofErr w:type="spellStart"/>
      <w:r w:rsidRPr="00CC19F7">
        <w:t>berekraftig</w:t>
      </w:r>
      <w:proofErr w:type="spellEnd"/>
      <w:r w:rsidRPr="00CC19F7">
        <w:t xml:space="preserve"> energi- og industriproduksjon i inn- og utland. </w:t>
      </w:r>
      <w:proofErr w:type="spellStart"/>
      <w:r w:rsidRPr="00CC19F7">
        <w:t>Miljøsikker</w:t>
      </w:r>
      <w:proofErr w:type="spellEnd"/>
      <w:r w:rsidRPr="00CC19F7">
        <w:t xml:space="preserve"> lagring av CO</w:t>
      </w:r>
      <w:r w:rsidRPr="00CC19F7">
        <w:rPr>
          <w:rStyle w:val="skrift-senket"/>
        </w:rPr>
        <w:t>2</w:t>
      </w:r>
      <w:r w:rsidRPr="00CC19F7">
        <w:t xml:space="preserve"> kan bli </w:t>
      </w:r>
      <w:proofErr w:type="spellStart"/>
      <w:r w:rsidRPr="00CC19F7">
        <w:t>eit</w:t>
      </w:r>
      <w:proofErr w:type="spellEnd"/>
      <w:r w:rsidRPr="00CC19F7">
        <w:t xml:space="preserve"> tiltak for å redusere utslepp og </w:t>
      </w:r>
      <w:proofErr w:type="spellStart"/>
      <w:r w:rsidRPr="00CC19F7">
        <w:t>motverke</w:t>
      </w:r>
      <w:proofErr w:type="spellEnd"/>
      <w:r w:rsidRPr="00CC19F7">
        <w:t xml:space="preserve"> </w:t>
      </w:r>
      <w:proofErr w:type="spellStart"/>
      <w:r w:rsidRPr="00CC19F7">
        <w:t>klimaendringar</w:t>
      </w:r>
      <w:proofErr w:type="spellEnd"/>
      <w:r w:rsidRPr="00CC19F7">
        <w:t>.</w:t>
      </w:r>
    </w:p>
    <w:p w14:paraId="158BB533" w14:textId="77777777" w:rsidR="00FE02EF" w:rsidRPr="00CC19F7" w:rsidRDefault="00881E58" w:rsidP="00CC19F7">
      <w:r w:rsidRPr="00CC19F7">
        <w:t>Departementet vil legge til rette for kommersiell CO</w:t>
      </w:r>
      <w:r w:rsidRPr="00CC19F7">
        <w:rPr>
          <w:rStyle w:val="skrift-senket"/>
        </w:rPr>
        <w:t>2</w:t>
      </w:r>
      <w:r w:rsidRPr="00CC19F7">
        <w:t xml:space="preserve">-lagring på norsk sokkel ved å behandle søknader </w:t>
      </w:r>
      <w:proofErr w:type="spellStart"/>
      <w:r w:rsidRPr="00CC19F7">
        <w:t>frå</w:t>
      </w:r>
      <w:proofErr w:type="spellEnd"/>
      <w:r w:rsidRPr="00CC19F7">
        <w:t xml:space="preserve"> industrielle </w:t>
      </w:r>
      <w:proofErr w:type="spellStart"/>
      <w:r w:rsidRPr="00CC19F7">
        <w:t>aktørar</w:t>
      </w:r>
      <w:proofErr w:type="spellEnd"/>
      <w:r w:rsidRPr="00CC19F7">
        <w:t xml:space="preserve"> om CO</w:t>
      </w:r>
      <w:r w:rsidRPr="00CC19F7">
        <w:rPr>
          <w:rStyle w:val="skrift-senket"/>
        </w:rPr>
        <w:t>2</w:t>
      </w:r>
      <w:r w:rsidRPr="00CC19F7">
        <w:t>-lagring under lagringsforskrifta.</w:t>
      </w:r>
    </w:p>
    <w:p w14:paraId="2BB32511" w14:textId="77777777" w:rsidR="00FE02EF" w:rsidRPr="00CC19F7" w:rsidRDefault="00881E58" w:rsidP="00CC19F7">
      <w:r w:rsidRPr="00CC19F7">
        <w:t xml:space="preserve">Departementet vil følge opp aktiviteten til </w:t>
      </w:r>
      <w:proofErr w:type="spellStart"/>
      <w:r w:rsidRPr="00CC19F7">
        <w:t>rettshavarane</w:t>
      </w:r>
      <w:proofErr w:type="spellEnd"/>
      <w:r w:rsidRPr="00CC19F7">
        <w:t xml:space="preserve"> under tildelte utnyttingsløyve.</w:t>
      </w:r>
    </w:p>
    <w:p w14:paraId="12A1D837" w14:textId="77777777" w:rsidR="00FE02EF" w:rsidRPr="00CC19F7" w:rsidRDefault="00881E58" w:rsidP="00CC19F7">
      <w:r w:rsidRPr="00CC19F7">
        <w:t xml:space="preserve">Departementet vil følge opp aktiviteten til </w:t>
      </w:r>
      <w:proofErr w:type="spellStart"/>
      <w:r w:rsidRPr="00CC19F7">
        <w:t>rettshavarane</w:t>
      </w:r>
      <w:proofErr w:type="spellEnd"/>
      <w:r w:rsidRPr="00CC19F7">
        <w:t xml:space="preserve"> i tildelte leiteløyve.</w:t>
      </w:r>
    </w:p>
    <w:p w14:paraId="65F0840E" w14:textId="77777777" w:rsidR="00FE02EF" w:rsidRPr="00CC19F7" w:rsidRDefault="00881E58" w:rsidP="00CC19F7">
      <w:r w:rsidRPr="00CC19F7">
        <w:t xml:space="preserve">Olje- og energidepartementet skal legge til rette for undersøking og utvinning av </w:t>
      </w:r>
      <w:proofErr w:type="spellStart"/>
      <w:r w:rsidRPr="00CC19F7">
        <w:t>mineralførekomstar</w:t>
      </w:r>
      <w:proofErr w:type="spellEnd"/>
      <w:r w:rsidRPr="00CC19F7">
        <w:t xml:space="preserve"> på kontinentalsokkelen i samsvar med samfunnsmessige </w:t>
      </w:r>
      <w:proofErr w:type="spellStart"/>
      <w:r w:rsidRPr="00CC19F7">
        <w:t>målsettingar</w:t>
      </w:r>
      <w:proofErr w:type="spellEnd"/>
      <w:r w:rsidRPr="00CC19F7">
        <w:t xml:space="preserve">, slik at </w:t>
      </w:r>
      <w:proofErr w:type="spellStart"/>
      <w:r w:rsidRPr="00CC19F7">
        <w:t>ein</w:t>
      </w:r>
      <w:proofErr w:type="spellEnd"/>
      <w:r w:rsidRPr="00CC19F7">
        <w:t xml:space="preserve"> tar vare på omsynet til verdiskaping, miljø, </w:t>
      </w:r>
      <w:proofErr w:type="spellStart"/>
      <w:r w:rsidRPr="00CC19F7">
        <w:t>sikkerheit</w:t>
      </w:r>
      <w:proofErr w:type="spellEnd"/>
      <w:r w:rsidRPr="00CC19F7">
        <w:t xml:space="preserve"> ved slik </w:t>
      </w:r>
      <w:proofErr w:type="spellStart"/>
      <w:r w:rsidRPr="00CC19F7">
        <w:t>verksemd</w:t>
      </w:r>
      <w:proofErr w:type="spellEnd"/>
      <w:r w:rsidRPr="00CC19F7">
        <w:t xml:space="preserve">, anna </w:t>
      </w:r>
      <w:proofErr w:type="spellStart"/>
      <w:r w:rsidRPr="00CC19F7">
        <w:t>næringsverksemd</w:t>
      </w:r>
      <w:proofErr w:type="spellEnd"/>
      <w:r w:rsidRPr="00CC19F7">
        <w:t xml:space="preserve"> og andre interesser.</w:t>
      </w:r>
    </w:p>
    <w:p w14:paraId="5706F144" w14:textId="77777777" w:rsidR="00FE02EF" w:rsidRPr="00CC19F7" w:rsidRDefault="00881E58" w:rsidP="00CC19F7">
      <w:r w:rsidRPr="00CC19F7">
        <w:t xml:space="preserve">Departementet vil følge opp strategien for utvikling av ei havbotnmineralnæring dersom Stortinget </w:t>
      </w:r>
      <w:proofErr w:type="spellStart"/>
      <w:r w:rsidRPr="00CC19F7">
        <w:t>sluttar</w:t>
      </w:r>
      <w:proofErr w:type="spellEnd"/>
      <w:r w:rsidRPr="00CC19F7">
        <w:t xml:space="preserve"> seg til å </w:t>
      </w:r>
      <w:proofErr w:type="spellStart"/>
      <w:r w:rsidRPr="00CC19F7">
        <w:t>opne</w:t>
      </w:r>
      <w:proofErr w:type="spellEnd"/>
      <w:r w:rsidRPr="00CC19F7">
        <w:t xml:space="preserve"> område på norsk kontinentalsokkel for slik </w:t>
      </w:r>
      <w:proofErr w:type="spellStart"/>
      <w:r w:rsidRPr="00CC19F7">
        <w:t>verksemd</w:t>
      </w:r>
      <w:proofErr w:type="spellEnd"/>
      <w:r w:rsidRPr="00CC19F7">
        <w:t xml:space="preserve">, jf. Meld. St. 25 (2022–2023). Dette inkluderer å starte </w:t>
      </w:r>
      <w:proofErr w:type="spellStart"/>
      <w:r w:rsidRPr="00CC19F7">
        <w:t>ein</w:t>
      </w:r>
      <w:proofErr w:type="spellEnd"/>
      <w:r w:rsidRPr="00CC19F7">
        <w:t xml:space="preserve"> prosess med å tildele løyve etter lova. Departementet vil legge ei stegvis tilnærming til grunn for tildeling av utvinningsløyve.</w:t>
      </w:r>
    </w:p>
    <w:p w14:paraId="406291EC" w14:textId="77777777" w:rsidR="00FE02EF" w:rsidRPr="00CC19F7" w:rsidRDefault="00881E58" w:rsidP="00CC19F7">
      <w:pPr>
        <w:pStyle w:val="Undertittel"/>
      </w:pPr>
      <w:r w:rsidRPr="00CC19F7">
        <w:t>Olje- og energidepartementets resultater for 2022</w:t>
      </w:r>
    </w:p>
    <w:p w14:paraId="2084EADF" w14:textId="77777777" w:rsidR="00FE02EF" w:rsidRPr="00CC19F7" w:rsidRDefault="00881E58" w:rsidP="00CC19F7">
      <w:r w:rsidRPr="00CC19F7">
        <w:t xml:space="preserve">Departementet bidrog gjennom arbeidet sitt i 2022 til å legge til rette for effektiv forvaltning av </w:t>
      </w:r>
      <w:proofErr w:type="spellStart"/>
      <w:r w:rsidRPr="00CC19F7">
        <w:t>petroleumsressursane</w:t>
      </w:r>
      <w:proofErr w:type="spellEnd"/>
      <w:r w:rsidRPr="00CC19F7">
        <w:t xml:space="preserve"> i </w:t>
      </w:r>
      <w:proofErr w:type="spellStart"/>
      <w:r w:rsidRPr="00CC19F7">
        <w:t>eit</w:t>
      </w:r>
      <w:proofErr w:type="spellEnd"/>
      <w:r w:rsidRPr="00CC19F7">
        <w:t xml:space="preserve"> langsiktig perspektiv. Arbeidet har gått føre seg i nært samarbeid med Sokkeldirektoratet og </w:t>
      </w:r>
      <w:proofErr w:type="spellStart"/>
      <w:r w:rsidRPr="00CC19F7">
        <w:t>Gassco</w:t>
      </w:r>
      <w:proofErr w:type="spellEnd"/>
      <w:r w:rsidRPr="00CC19F7">
        <w:t xml:space="preserve"> AS </w:t>
      </w:r>
      <w:proofErr w:type="spellStart"/>
      <w:r w:rsidRPr="00CC19F7">
        <w:t>innanfor</w:t>
      </w:r>
      <w:proofErr w:type="spellEnd"/>
      <w:r w:rsidRPr="00CC19F7">
        <w:t xml:space="preserve"> ansvarsområdet til selskapet.</w:t>
      </w:r>
    </w:p>
    <w:p w14:paraId="26332236" w14:textId="77777777" w:rsidR="00FE02EF" w:rsidRPr="00CC19F7" w:rsidRDefault="00881E58" w:rsidP="00CC19F7">
      <w:proofErr w:type="spellStart"/>
      <w:r w:rsidRPr="00CC19F7">
        <w:t>Ein</w:t>
      </w:r>
      <w:proofErr w:type="spellEnd"/>
      <w:r w:rsidRPr="00CC19F7">
        <w:t xml:space="preserve"> </w:t>
      </w:r>
      <w:proofErr w:type="spellStart"/>
      <w:r w:rsidRPr="00CC19F7">
        <w:t>føresetnad</w:t>
      </w:r>
      <w:proofErr w:type="spellEnd"/>
      <w:r w:rsidRPr="00CC19F7">
        <w:t xml:space="preserve"> for å realisere </w:t>
      </w:r>
      <w:proofErr w:type="spellStart"/>
      <w:r w:rsidRPr="00CC19F7">
        <w:t>dei</w:t>
      </w:r>
      <w:proofErr w:type="spellEnd"/>
      <w:r w:rsidRPr="00CC19F7">
        <w:t xml:space="preserve"> store </w:t>
      </w:r>
      <w:proofErr w:type="spellStart"/>
      <w:r w:rsidRPr="00CC19F7">
        <w:t>verdiane</w:t>
      </w:r>
      <w:proofErr w:type="spellEnd"/>
      <w:r w:rsidRPr="00CC19F7">
        <w:t xml:space="preserve"> i uoppdaga </w:t>
      </w:r>
      <w:proofErr w:type="spellStart"/>
      <w:r w:rsidRPr="00CC19F7">
        <w:t>ressursar</w:t>
      </w:r>
      <w:proofErr w:type="spellEnd"/>
      <w:r w:rsidRPr="00CC19F7">
        <w:t xml:space="preserve"> er at næringa får tilgang til nytt attraktivt </w:t>
      </w:r>
      <w:proofErr w:type="spellStart"/>
      <w:r w:rsidRPr="00CC19F7">
        <w:t>leiteareal</w:t>
      </w:r>
      <w:proofErr w:type="spellEnd"/>
      <w:r w:rsidRPr="00CC19F7">
        <w:t xml:space="preserve">. Departementet har, i tråd med etablert politikk, </w:t>
      </w:r>
      <w:proofErr w:type="spellStart"/>
      <w:r w:rsidRPr="00CC19F7">
        <w:t>arbeidd</w:t>
      </w:r>
      <w:proofErr w:type="spellEnd"/>
      <w:r w:rsidRPr="00CC19F7">
        <w:t xml:space="preserve"> med </w:t>
      </w:r>
      <w:proofErr w:type="spellStart"/>
      <w:r w:rsidRPr="00CC19F7">
        <w:t>konsesjonsrundar</w:t>
      </w:r>
      <w:proofErr w:type="spellEnd"/>
      <w:r w:rsidRPr="00CC19F7">
        <w:t xml:space="preserve"> i det førehandsdefinerte området (TFO-området) i 2022. I TFO 2021 blei det i januar 2022 tildelt 53 nye utvinningsløyve til 28 selskap. Staten </w:t>
      </w:r>
      <w:proofErr w:type="spellStart"/>
      <w:r w:rsidRPr="00CC19F7">
        <w:t>beheldt</w:t>
      </w:r>
      <w:proofErr w:type="spellEnd"/>
      <w:r w:rsidRPr="00CC19F7">
        <w:t xml:space="preserve"> </w:t>
      </w:r>
      <w:proofErr w:type="spellStart"/>
      <w:r w:rsidRPr="00CC19F7">
        <w:t>andelar</w:t>
      </w:r>
      <w:proofErr w:type="spellEnd"/>
      <w:r w:rsidRPr="00CC19F7">
        <w:t xml:space="preserve"> i nye utvinningsløyve i samsvar med etablert politikk. TFO 2022 blei kunngjort i juni 2022. Departementet </w:t>
      </w:r>
      <w:proofErr w:type="spellStart"/>
      <w:r w:rsidRPr="00CC19F7">
        <w:t>fekk</w:t>
      </w:r>
      <w:proofErr w:type="spellEnd"/>
      <w:r w:rsidRPr="00CC19F7">
        <w:t xml:space="preserve"> også behandla søknadene som kom inn i runden i 2022.</w:t>
      </w:r>
    </w:p>
    <w:p w14:paraId="12B44A1C" w14:textId="77777777" w:rsidR="00FE02EF" w:rsidRPr="00CC19F7" w:rsidRDefault="00881E58" w:rsidP="00CC19F7">
      <w:r w:rsidRPr="00CC19F7">
        <w:t xml:space="preserve">Departementet har </w:t>
      </w:r>
      <w:proofErr w:type="spellStart"/>
      <w:r w:rsidRPr="00CC19F7">
        <w:t>følgt</w:t>
      </w:r>
      <w:proofErr w:type="spellEnd"/>
      <w:r w:rsidRPr="00CC19F7">
        <w:t xml:space="preserve"> opp </w:t>
      </w:r>
      <w:proofErr w:type="spellStart"/>
      <w:r w:rsidRPr="00CC19F7">
        <w:t>leiteverksemda</w:t>
      </w:r>
      <w:proofErr w:type="spellEnd"/>
      <w:r w:rsidRPr="00CC19F7">
        <w:t xml:space="preserve"> til selskapa i tråd med </w:t>
      </w:r>
      <w:proofErr w:type="spellStart"/>
      <w:r w:rsidRPr="00CC19F7">
        <w:t>gjeldande</w:t>
      </w:r>
      <w:proofErr w:type="spellEnd"/>
      <w:r w:rsidRPr="00CC19F7">
        <w:t xml:space="preserve"> petroleumspolitikk.</w:t>
      </w:r>
    </w:p>
    <w:p w14:paraId="298BDB81" w14:textId="77777777" w:rsidR="00FE02EF" w:rsidRPr="00CC19F7" w:rsidRDefault="00881E58" w:rsidP="00CC19F7">
      <w:r w:rsidRPr="00CC19F7">
        <w:t xml:space="preserve">Departementet har i 2022 godkjent plan for utbygging og drift (PUD) for Tommeliten A, Frosk, Kobra East Gekko (KEG) og Kristin Sør, og </w:t>
      </w:r>
      <w:proofErr w:type="spellStart"/>
      <w:r w:rsidRPr="00CC19F7">
        <w:t>dessutan</w:t>
      </w:r>
      <w:proofErr w:type="spellEnd"/>
      <w:r w:rsidRPr="00CC19F7">
        <w:t xml:space="preserve"> endra PUD for felta </w:t>
      </w:r>
      <w:proofErr w:type="spellStart"/>
      <w:r w:rsidRPr="00CC19F7">
        <w:t>Eldfisk</w:t>
      </w:r>
      <w:proofErr w:type="spellEnd"/>
      <w:r w:rsidRPr="00CC19F7">
        <w:t xml:space="preserve"> Nord, Ormen Lange fase 3, Gina Krog alternativ eksportløysing og Oseberg gass fase 2 og kraft </w:t>
      </w:r>
      <w:proofErr w:type="spellStart"/>
      <w:r w:rsidRPr="00CC19F7">
        <w:t>frå</w:t>
      </w:r>
      <w:proofErr w:type="spellEnd"/>
      <w:r w:rsidRPr="00CC19F7">
        <w:t xml:space="preserve"> land. Departementet har i 2022 også godkjent endra plan for anlegg og drift (PAD) for </w:t>
      </w:r>
      <w:proofErr w:type="spellStart"/>
      <w:r w:rsidRPr="00CC19F7">
        <w:t>Statpipe</w:t>
      </w:r>
      <w:proofErr w:type="spellEnd"/>
      <w:r w:rsidRPr="00CC19F7">
        <w:t xml:space="preserve"> landfall og </w:t>
      </w:r>
      <w:proofErr w:type="spellStart"/>
      <w:r w:rsidRPr="00CC19F7">
        <w:t>Nyhamna</w:t>
      </w:r>
      <w:proofErr w:type="spellEnd"/>
      <w:r w:rsidRPr="00CC19F7">
        <w:t xml:space="preserve"> filter.</w:t>
      </w:r>
    </w:p>
    <w:p w14:paraId="7570BAB4" w14:textId="77777777" w:rsidR="00FE02EF" w:rsidRPr="00CC19F7" w:rsidRDefault="00881E58" w:rsidP="00CC19F7">
      <w:proofErr w:type="spellStart"/>
      <w:r w:rsidRPr="00CC19F7">
        <w:t>Hausten</w:t>
      </w:r>
      <w:proofErr w:type="spellEnd"/>
      <w:r w:rsidRPr="00CC19F7">
        <w:t xml:space="preserve"> 2022 reviderte departementet PUD/PAD-</w:t>
      </w:r>
      <w:proofErr w:type="spellStart"/>
      <w:r w:rsidRPr="00CC19F7">
        <w:t>rettleiaren</w:t>
      </w:r>
      <w:proofErr w:type="spellEnd"/>
      <w:r w:rsidRPr="00CC19F7">
        <w:t xml:space="preserve"> og presiserte at </w:t>
      </w:r>
      <w:proofErr w:type="spellStart"/>
      <w:r w:rsidRPr="00CC19F7">
        <w:t>rettshavarane</w:t>
      </w:r>
      <w:proofErr w:type="spellEnd"/>
      <w:r w:rsidRPr="00CC19F7">
        <w:t xml:space="preserve"> i </w:t>
      </w:r>
      <w:proofErr w:type="spellStart"/>
      <w:r w:rsidRPr="00CC19F7">
        <w:t>usikkerheitsanalysen</w:t>
      </w:r>
      <w:proofErr w:type="spellEnd"/>
      <w:r w:rsidRPr="00CC19F7">
        <w:t xml:space="preserve"> knytt til </w:t>
      </w:r>
      <w:proofErr w:type="spellStart"/>
      <w:r w:rsidRPr="00CC19F7">
        <w:t>utbyggingsplanar</w:t>
      </w:r>
      <w:proofErr w:type="spellEnd"/>
      <w:r w:rsidRPr="00CC19F7">
        <w:t xml:space="preserve"> skal inkludere </w:t>
      </w:r>
      <w:proofErr w:type="spellStart"/>
      <w:r w:rsidRPr="00CC19F7">
        <w:t>ein</w:t>
      </w:r>
      <w:proofErr w:type="spellEnd"/>
      <w:r w:rsidRPr="00CC19F7">
        <w:t xml:space="preserve"> kvalitativ stresstest mot finansiell klimarisiko. Departementet har </w:t>
      </w:r>
      <w:proofErr w:type="spellStart"/>
      <w:r w:rsidRPr="00CC19F7">
        <w:t>følgt</w:t>
      </w:r>
      <w:proofErr w:type="spellEnd"/>
      <w:r w:rsidRPr="00CC19F7">
        <w:t xml:space="preserve"> opp dette i </w:t>
      </w:r>
      <w:proofErr w:type="spellStart"/>
      <w:r w:rsidRPr="00CC19F7">
        <w:t>behandlinga</w:t>
      </w:r>
      <w:proofErr w:type="spellEnd"/>
      <w:r w:rsidRPr="00CC19F7">
        <w:t xml:space="preserve"> av utbyggingsprosjekta.</w:t>
      </w:r>
    </w:p>
    <w:p w14:paraId="00B7793D" w14:textId="77777777" w:rsidR="00FE02EF" w:rsidRPr="00CC19F7" w:rsidRDefault="00881E58" w:rsidP="00CC19F7">
      <w:r w:rsidRPr="00CC19F7">
        <w:t xml:space="preserve">Departementet har i 2022 kartlagt ringverknader av </w:t>
      </w:r>
      <w:proofErr w:type="spellStart"/>
      <w:r w:rsidRPr="00CC19F7">
        <w:t>petroleumsverksemda</w:t>
      </w:r>
      <w:proofErr w:type="spellEnd"/>
      <w:r w:rsidRPr="00CC19F7">
        <w:t xml:space="preserve">. Det var i 2021 om lag 204 000 tilsette i petroleumsnæringa. I 2020–2022 har departementet </w:t>
      </w:r>
      <w:proofErr w:type="spellStart"/>
      <w:r w:rsidRPr="00CC19F7">
        <w:t>motteke</w:t>
      </w:r>
      <w:proofErr w:type="spellEnd"/>
      <w:r w:rsidRPr="00CC19F7">
        <w:t xml:space="preserve"> 18 </w:t>
      </w:r>
      <w:proofErr w:type="spellStart"/>
      <w:r w:rsidRPr="00CC19F7">
        <w:t>utbyggingsplanar</w:t>
      </w:r>
      <w:proofErr w:type="spellEnd"/>
      <w:r w:rsidRPr="00CC19F7">
        <w:t xml:space="preserve"> og 13 planar for </w:t>
      </w:r>
      <w:proofErr w:type="spellStart"/>
      <w:r w:rsidRPr="00CC19F7">
        <w:t>vidareutvikling</w:t>
      </w:r>
      <w:proofErr w:type="spellEnd"/>
      <w:r w:rsidRPr="00CC19F7">
        <w:t xml:space="preserve"> av felt i produksjon. Dei venta ringverknadene av </w:t>
      </w:r>
      <w:proofErr w:type="spellStart"/>
      <w:r w:rsidRPr="00CC19F7">
        <w:t>desse</w:t>
      </w:r>
      <w:proofErr w:type="spellEnd"/>
      <w:r w:rsidRPr="00CC19F7">
        <w:t xml:space="preserve"> prosjekta er 158 000 årsverk i perioden 2020–2029 og 66 000 årsverk i driftsfasen.</w:t>
      </w:r>
    </w:p>
    <w:p w14:paraId="19B2D7BA" w14:textId="77777777" w:rsidR="00FE02EF" w:rsidRPr="00CC19F7" w:rsidRDefault="00881E58" w:rsidP="00CC19F7">
      <w:r w:rsidRPr="00CC19F7">
        <w:t xml:space="preserve">Departementet har, </w:t>
      </w:r>
      <w:proofErr w:type="spellStart"/>
      <w:r w:rsidRPr="00CC19F7">
        <w:t>innanfor</w:t>
      </w:r>
      <w:proofErr w:type="spellEnd"/>
      <w:r w:rsidRPr="00CC19F7">
        <w:t xml:space="preserve"> ansvarsområdet sitt, </w:t>
      </w:r>
      <w:proofErr w:type="spellStart"/>
      <w:r w:rsidRPr="00CC19F7">
        <w:t>følgt</w:t>
      </w:r>
      <w:proofErr w:type="spellEnd"/>
      <w:r w:rsidRPr="00CC19F7">
        <w:t xml:space="preserve"> opp arbeidet til selskapa med </w:t>
      </w:r>
      <w:proofErr w:type="spellStart"/>
      <w:r w:rsidRPr="00CC19F7">
        <w:t>pågåande</w:t>
      </w:r>
      <w:proofErr w:type="spellEnd"/>
      <w:r w:rsidRPr="00CC19F7">
        <w:t xml:space="preserve"> og framtidige </w:t>
      </w:r>
      <w:proofErr w:type="spellStart"/>
      <w:r w:rsidRPr="00CC19F7">
        <w:t>feltutbyggingar</w:t>
      </w:r>
      <w:proofErr w:type="spellEnd"/>
      <w:r w:rsidRPr="00CC19F7">
        <w:t xml:space="preserve"> og </w:t>
      </w:r>
      <w:proofErr w:type="spellStart"/>
      <w:r w:rsidRPr="00CC19F7">
        <w:t>vidareutviklingsprosjekt</w:t>
      </w:r>
      <w:proofErr w:type="spellEnd"/>
      <w:r w:rsidRPr="00CC19F7">
        <w:t xml:space="preserve">. Arbeidet i </w:t>
      </w:r>
      <w:proofErr w:type="spellStart"/>
      <w:r w:rsidRPr="00CC19F7">
        <w:t>dei</w:t>
      </w:r>
      <w:proofErr w:type="spellEnd"/>
      <w:r w:rsidRPr="00CC19F7">
        <w:t xml:space="preserve"> ulike </w:t>
      </w:r>
      <w:proofErr w:type="spellStart"/>
      <w:r w:rsidRPr="00CC19F7">
        <w:t>rettshavargruppene</w:t>
      </w:r>
      <w:proofErr w:type="spellEnd"/>
      <w:r w:rsidRPr="00CC19F7">
        <w:t xml:space="preserve"> med felt i drift er </w:t>
      </w:r>
      <w:proofErr w:type="spellStart"/>
      <w:r w:rsidRPr="00CC19F7">
        <w:t>følgt</w:t>
      </w:r>
      <w:proofErr w:type="spellEnd"/>
      <w:r w:rsidRPr="00CC19F7">
        <w:t xml:space="preserve"> opp i nært samarbeid med Sokkeldirektoratet.</w:t>
      </w:r>
    </w:p>
    <w:p w14:paraId="7D0AC7BF" w14:textId="77777777" w:rsidR="00FE02EF" w:rsidRPr="00CC19F7" w:rsidRDefault="00881E58" w:rsidP="00CC19F7">
      <w:proofErr w:type="spellStart"/>
      <w:r w:rsidRPr="00CC19F7">
        <w:t>Frå</w:t>
      </w:r>
      <w:proofErr w:type="spellEnd"/>
      <w:r w:rsidRPr="00CC19F7">
        <w:t xml:space="preserve"> 2021 til 2022 </w:t>
      </w:r>
      <w:proofErr w:type="spellStart"/>
      <w:r w:rsidRPr="00CC19F7">
        <w:t>auka</w:t>
      </w:r>
      <w:proofErr w:type="spellEnd"/>
      <w:r w:rsidRPr="00CC19F7">
        <w:t xml:space="preserve"> norsk gassproduksjon med om lag 8 prosent, eller om lag 100 </w:t>
      </w:r>
      <w:proofErr w:type="spellStart"/>
      <w:r w:rsidRPr="00CC19F7">
        <w:t>TWh</w:t>
      </w:r>
      <w:proofErr w:type="spellEnd"/>
      <w:r w:rsidRPr="00CC19F7">
        <w:t xml:space="preserve"> energi. Tiltaka som ligg bak </w:t>
      </w:r>
      <w:proofErr w:type="spellStart"/>
      <w:r w:rsidRPr="00CC19F7">
        <w:t>auken</w:t>
      </w:r>
      <w:proofErr w:type="spellEnd"/>
      <w:r w:rsidRPr="00CC19F7">
        <w:t xml:space="preserve">, er mange og av ulike </w:t>
      </w:r>
      <w:proofErr w:type="spellStart"/>
      <w:r w:rsidRPr="00CC19F7">
        <w:t>kategoriar</w:t>
      </w:r>
      <w:proofErr w:type="spellEnd"/>
      <w:r w:rsidRPr="00CC19F7">
        <w:t xml:space="preserve">. Departementet har oppmuntra til og lagt til rette for </w:t>
      </w:r>
      <w:proofErr w:type="spellStart"/>
      <w:r w:rsidRPr="00CC19F7">
        <w:t>fleire</w:t>
      </w:r>
      <w:proofErr w:type="spellEnd"/>
      <w:r w:rsidRPr="00CC19F7">
        <w:t xml:space="preserve"> av </w:t>
      </w:r>
      <w:proofErr w:type="spellStart"/>
      <w:r w:rsidRPr="00CC19F7">
        <w:t>desse</w:t>
      </w:r>
      <w:proofErr w:type="spellEnd"/>
      <w:r w:rsidRPr="00CC19F7">
        <w:t xml:space="preserve"> tiltaka, så lenge </w:t>
      </w:r>
      <w:proofErr w:type="spellStart"/>
      <w:r w:rsidRPr="00CC19F7">
        <w:t>dei</w:t>
      </w:r>
      <w:proofErr w:type="spellEnd"/>
      <w:r w:rsidRPr="00CC19F7">
        <w:t xml:space="preserve"> har underbygd god ressursforvaltning.</w:t>
      </w:r>
    </w:p>
    <w:p w14:paraId="219DD32D" w14:textId="77777777" w:rsidR="00FE02EF" w:rsidRPr="00CC19F7" w:rsidRDefault="00881E58" w:rsidP="00CC19F7">
      <w:r w:rsidRPr="00CC19F7">
        <w:t xml:space="preserve">For å sikre effektiv bruk av infrastruktur regulerer departementet tilgangen til </w:t>
      </w:r>
      <w:proofErr w:type="spellStart"/>
      <w:r w:rsidRPr="00CC19F7">
        <w:t>røyrleidningar</w:t>
      </w:r>
      <w:proofErr w:type="spellEnd"/>
      <w:r w:rsidRPr="00CC19F7">
        <w:t xml:space="preserve">, anlegg på land og feltinfrastruktur på norsk sokkel. Departementet har i 2022 arbeidd </w:t>
      </w:r>
      <w:proofErr w:type="spellStart"/>
      <w:r w:rsidRPr="00CC19F7">
        <w:t>vidare</w:t>
      </w:r>
      <w:proofErr w:type="spellEnd"/>
      <w:r w:rsidRPr="00CC19F7">
        <w:t xml:space="preserve"> med </w:t>
      </w:r>
      <w:proofErr w:type="spellStart"/>
      <w:r w:rsidRPr="00CC19F7">
        <w:t>vurderingar</w:t>
      </w:r>
      <w:proofErr w:type="spellEnd"/>
      <w:r w:rsidRPr="00CC19F7">
        <w:t xml:space="preserve"> knytte til organisering av </w:t>
      </w:r>
      <w:proofErr w:type="spellStart"/>
      <w:r w:rsidRPr="00CC19F7">
        <w:t>gasstransportverksemda</w:t>
      </w:r>
      <w:proofErr w:type="spellEnd"/>
      <w:r w:rsidRPr="00CC19F7">
        <w:t xml:space="preserve"> i samband med at store </w:t>
      </w:r>
      <w:proofErr w:type="spellStart"/>
      <w:r w:rsidRPr="00CC19F7">
        <w:t>delar</w:t>
      </w:r>
      <w:proofErr w:type="spellEnd"/>
      <w:r w:rsidRPr="00CC19F7">
        <w:t xml:space="preserve"> av gasstransportsystemet har løyve som går ut i 2028. Departementet har i 2022 fastsett nye </w:t>
      </w:r>
      <w:proofErr w:type="spellStart"/>
      <w:r w:rsidRPr="00CC19F7">
        <w:t>tariffar</w:t>
      </w:r>
      <w:proofErr w:type="spellEnd"/>
      <w:r w:rsidRPr="00CC19F7">
        <w:t xml:space="preserve"> for bruk av </w:t>
      </w:r>
      <w:proofErr w:type="spellStart"/>
      <w:r w:rsidRPr="00CC19F7">
        <w:t>gassrøyrleidningane</w:t>
      </w:r>
      <w:proofErr w:type="spellEnd"/>
      <w:r w:rsidRPr="00CC19F7">
        <w:t xml:space="preserve"> Gjøa </w:t>
      </w:r>
      <w:proofErr w:type="spellStart"/>
      <w:r w:rsidRPr="00CC19F7">
        <w:t>gassrøyrleidning</w:t>
      </w:r>
      <w:proofErr w:type="spellEnd"/>
      <w:r w:rsidRPr="00CC19F7">
        <w:t xml:space="preserve"> og Utsirahøgda </w:t>
      </w:r>
      <w:proofErr w:type="spellStart"/>
      <w:r w:rsidRPr="00CC19F7">
        <w:t>gassrøyrleidning</w:t>
      </w:r>
      <w:proofErr w:type="spellEnd"/>
      <w:r w:rsidRPr="00CC19F7">
        <w:t xml:space="preserve">, og har også gjort visse andre </w:t>
      </w:r>
      <w:proofErr w:type="spellStart"/>
      <w:r w:rsidRPr="00CC19F7">
        <w:t>endringar</w:t>
      </w:r>
      <w:proofErr w:type="spellEnd"/>
      <w:r w:rsidRPr="00CC19F7">
        <w:t xml:space="preserve"> i reguleringa av </w:t>
      </w:r>
      <w:proofErr w:type="spellStart"/>
      <w:r w:rsidRPr="00CC19F7">
        <w:t>tariffar</w:t>
      </w:r>
      <w:proofErr w:type="spellEnd"/>
      <w:r w:rsidRPr="00CC19F7">
        <w:t xml:space="preserve"> for bruk av gasstransportsystemet.</w:t>
      </w:r>
    </w:p>
    <w:p w14:paraId="3EBB2D0E" w14:textId="77777777" w:rsidR="00FE02EF" w:rsidRPr="00CC19F7" w:rsidRDefault="00881E58" w:rsidP="00CC19F7">
      <w:r w:rsidRPr="00CC19F7">
        <w:t xml:space="preserve">Departementet har gitt </w:t>
      </w:r>
      <w:proofErr w:type="spellStart"/>
      <w:r w:rsidRPr="00CC19F7">
        <w:t>årlege</w:t>
      </w:r>
      <w:proofErr w:type="spellEnd"/>
      <w:r w:rsidRPr="00CC19F7">
        <w:t xml:space="preserve"> produksjonsløyve for </w:t>
      </w:r>
      <w:proofErr w:type="spellStart"/>
      <w:r w:rsidRPr="00CC19F7">
        <w:t>høvesvis</w:t>
      </w:r>
      <w:proofErr w:type="spellEnd"/>
      <w:r w:rsidRPr="00CC19F7">
        <w:t xml:space="preserve"> gass og væske, inkludert løyve til </w:t>
      </w:r>
      <w:proofErr w:type="spellStart"/>
      <w:r w:rsidRPr="00CC19F7">
        <w:t>fakling</w:t>
      </w:r>
      <w:proofErr w:type="spellEnd"/>
      <w:r w:rsidRPr="00CC19F7">
        <w:t xml:space="preserve">, ut </w:t>
      </w:r>
      <w:proofErr w:type="spellStart"/>
      <w:r w:rsidRPr="00CC19F7">
        <w:t>frå</w:t>
      </w:r>
      <w:proofErr w:type="spellEnd"/>
      <w:r w:rsidRPr="00CC19F7">
        <w:t xml:space="preserve"> </w:t>
      </w:r>
      <w:proofErr w:type="spellStart"/>
      <w:r w:rsidRPr="00CC19F7">
        <w:t>sikkerheits</w:t>
      </w:r>
      <w:proofErr w:type="spellEnd"/>
      <w:r w:rsidRPr="00CC19F7">
        <w:t xml:space="preserve"> omsyn. Departementet har på grunnlag av søknader </w:t>
      </w:r>
      <w:proofErr w:type="spellStart"/>
      <w:r w:rsidRPr="00CC19F7">
        <w:t>frå</w:t>
      </w:r>
      <w:proofErr w:type="spellEnd"/>
      <w:r w:rsidRPr="00CC19F7">
        <w:t xml:space="preserve"> </w:t>
      </w:r>
      <w:proofErr w:type="spellStart"/>
      <w:r w:rsidRPr="00CC19F7">
        <w:t>rettshavargruppene</w:t>
      </w:r>
      <w:proofErr w:type="spellEnd"/>
      <w:r w:rsidRPr="00CC19F7">
        <w:t xml:space="preserve"> gitt nye reviderte produksjonsløyve for </w:t>
      </w:r>
      <w:proofErr w:type="spellStart"/>
      <w:r w:rsidRPr="00CC19F7">
        <w:t>auka</w:t>
      </w:r>
      <w:proofErr w:type="spellEnd"/>
      <w:r w:rsidRPr="00CC19F7">
        <w:t xml:space="preserve"> gassproduksjon for enkelte felt i 2022.</w:t>
      </w:r>
    </w:p>
    <w:p w14:paraId="2DBC4568" w14:textId="77777777" w:rsidR="00FE02EF" w:rsidRPr="00CC19F7" w:rsidRDefault="00881E58" w:rsidP="00CC19F7">
      <w:r w:rsidRPr="00CC19F7">
        <w:t xml:space="preserve">Departementet har behandla ei rekke søknader om samtykke til </w:t>
      </w:r>
      <w:proofErr w:type="spellStart"/>
      <w:r w:rsidRPr="00CC19F7">
        <w:t>overdraging</w:t>
      </w:r>
      <w:proofErr w:type="spellEnd"/>
      <w:r w:rsidRPr="00CC19F7">
        <w:t xml:space="preserve"> av </w:t>
      </w:r>
      <w:proofErr w:type="spellStart"/>
      <w:r w:rsidRPr="00CC19F7">
        <w:t>deltakarandelar</w:t>
      </w:r>
      <w:proofErr w:type="spellEnd"/>
      <w:r w:rsidRPr="00CC19F7">
        <w:t xml:space="preserve"> mellom ulike selskap og om </w:t>
      </w:r>
      <w:proofErr w:type="spellStart"/>
      <w:r w:rsidRPr="00CC19F7">
        <w:t>endringar</w:t>
      </w:r>
      <w:proofErr w:type="spellEnd"/>
      <w:r w:rsidRPr="00CC19F7">
        <w:t xml:space="preserve"> i </w:t>
      </w:r>
      <w:proofErr w:type="spellStart"/>
      <w:r w:rsidRPr="00CC19F7">
        <w:t>eigarskap</w:t>
      </w:r>
      <w:proofErr w:type="spellEnd"/>
      <w:r w:rsidRPr="00CC19F7">
        <w:t xml:space="preserve"> til ulike </w:t>
      </w:r>
      <w:proofErr w:type="spellStart"/>
      <w:r w:rsidRPr="00CC19F7">
        <w:t>rettshavarar</w:t>
      </w:r>
      <w:proofErr w:type="spellEnd"/>
      <w:r w:rsidRPr="00CC19F7">
        <w:t xml:space="preserve"> på norsk sokkel.</w:t>
      </w:r>
    </w:p>
    <w:p w14:paraId="2ABF8006" w14:textId="77777777" w:rsidR="00FE02EF" w:rsidRPr="00CC19F7" w:rsidRDefault="00881E58" w:rsidP="00CC19F7">
      <w:r w:rsidRPr="00CC19F7">
        <w:t xml:space="preserve">Departementet har ført </w:t>
      </w:r>
      <w:proofErr w:type="spellStart"/>
      <w:r w:rsidRPr="00CC19F7">
        <w:t>vidare</w:t>
      </w:r>
      <w:proofErr w:type="spellEnd"/>
      <w:r w:rsidRPr="00CC19F7">
        <w:t xml:space="preserve"> arbeidet med økonomiske </w:t>
      </w:r>
      <w:proofErr w:type="spellStart"/>
      <w:r w:rsidRPr="00CC19F7">
        <w:t>analysar</w:t>
      </w:r>
      <w:proofErr w:type="spellEnd"/>
      <w:r w:rsidRPr="00CC19F7">
        <w:t xml:space="preserve"> av norsk </w:t>
      </w:r>
      <w:proofErr w:type="spellStart"/>
      <w:r w:rsidRPr="00CC19F7">
        <w:t>petroleumsverksemd</w:t>
      </w:r>
      <w:proofErr w:type="spellEnd"/>
      <w:r w:rsidRPr="00CC19F7">
        <w:t>, mellom anna anslag til nasjonalbudsjettet.</w:t>
      </w:r>
    </w:p>
    <w:p w14:paraId="0F9F2679" w14:textId="77777777" w:rsidR="00FE02EF" w:rsidRPr="00CC19F7" w:rsidRDefault="00881E58" w:rsidP="00CC19F7">
      <w:r w:rsidRPr="00CC19F7">
        <w:t xml:space="preserve">Departementet har som sekretariat for Petroleumsprisrådet utarbeidd nødvendig avgjerdsmateriale for fastsetting av </w:t>
      </w:r>
      <w:proofErr w:type="spellStart"/>
      <w:r w:rsidRPr="00CC19F7">
        <w:t>skattereferanseprisar</w:t>
      </w:r>
      <w:proofErr w:type="spellEnd"/>
      <w:r w:rsidRPr="00CC19F7">
        <w:t xml:space="preserve"> (</w:t>
      </w:r>
      <w:proofErr w:type="spellStart"/>
      <w:r w:rsidRPr="00CC19F7">
        <w:t>normprisar</w:t>
      </w:r>
      <w:proofErr w:type="spellEnd"/>
      <w:r w:rsidRPr="00CC19F7">
        <w:t>) for olje.</w:t>
      </w:r>
    </w:p>
    <w:p w14:paraId="67939D96" w14:textId="77777777" w:rsidR="00FE02EF" w:rsidRPr="00CC19F7" w:rsidRDefault="00881E58" w:rsidP="00CC19F7">
      <w:r w:rsidRPr="00CC19F7">
        <w:t xml:space="preserve">Departementet er </w:t>
      </w:r>
      <w:proofErr w:type="spellStart"/>
      <w:r w:rsidRPr="00CC19F7">
        <w:t>ansvarleg</w:t>
      </w:r>
      <w:proofErr w:type="spellEnd"/>
      <w:r w:rsidRPr="00CC19F7">
        <w:t xml:space="preserve"> for implementering av </w:t>
      </w:r>
      <w:proofErr w:type="spellStart"/>
      <w:r w:rsidRPr="00CC19F7">
        <w:t>gjeldande</w:t>
      </w:r>
      <w:proofErr w:type="spellEnd"/>
      <w:r w:rsidRPr="00CC19F7">
        <w:t xml:space="preserve"> </w:t>
      </w:r>
      <w:proofErr w:type="spellStart"/>
      <w:r w:rsidRPr="00CC19F7">
        <w:t>standardar</w:t>
      </w:r>
      <w:proofErr w:type="spellEnd"/>
      <w:r w:rsidRPr="00CC19F7">
        <w:t xml:space="preserve"> under </w:t>
      </w:r>
      <w:proofErr w:type="spellStart"/>
      <w:r w:rsidRPr="00CC19F7">
        <w:t>Extractive</w:t>
      </w:r>
      <w:proofErr w:type="spellEnd"/>
      <w:r w:rsidRPr="00CC19F7">
        <w:t xml:space="preserve"> Industries </w:t>
      </w:r>
      <w:proofErr w:type="spellStart"/>
      <w:r w:rsidRPr="00CC19F7">
        <w:t>Transparency</w:t>
      </w:r>
      <w:proofErr w:type="spellEnd"/>
      <w:r w:rsidRPr="00CC19F7">
        <w:t xml:space="preserve"> Initiative (EITI) og har jobba med rapportering og publisering i tråd med krava.</w:t>
      </w:r>
    </w:p>
    <w:p w14:paraId="25117516" w14:textId="77777777" w:rsidR="00FE02EF" w:rsidRPr="00CC19F7" w:rsidRDefault="00881E58" w:rsidP="00CC19F7">
      <w:r w:rsidRPr="00CC19F7">
        <w:t xml:space="preserve">Departementet har deltatt i ulike internasjonale </w:t>
      </w:r>
      <w:proofErr w:type="spellStart"/>
      <w:r w:rsidRPr="00CC19F7">
        <w:t>energiorganisasjonar</w:t>
      </w:r>
      <w:proofErr w:type="spellEnd"/>
      <w:r w:rsidRPr="00CC19F7">
        <w:t xml:space="preserve"> og forum som International Energy </w:t>
      </w:r>
      <w:proofErr w:type="spellStart"/>
      <w:r w:rsidRPr="00CC19F7">
        <w:t>Agency</w:t>
      </w:r>
      <w:proofErr w:type="spellEnd"/>
      <w:r w:rsidRPr="00CC19F7">
        <w:t xml:space="preserve"> (IEA), Gas </w:t>
      </w:r>
      <w:proofErr w:type="spellStart"/>
      <w:r w:rsidRPr="00CC19F7">
        <w:t>Exporting</w:t>
      </w:r>
      <w:proofErr w:type="spellEnd"/>
      <w:r w:rsidRPr="00CC19F7">
        <w:t xml:space="preserve"> </w:t>
      </w:r>
      <w:proofErr w:type="spellStart"/>
      <w:r w:rsidRPr="00CC19F7">
        <w:t>Countries</w:t>
      </w:r>
      <w:proofErr w:type="spellEnd"/>
      <w:r w:rsidRPr="00CC19F7">
        <w:t xml:space="preserve"> Forum (GECF), International Energy Forum (IEF) og Net-Zero Producers Forum (NPF). I tillegg har departementet hatt dialog og bilaterale møte med ei rekke sentrale </w:t>
      </w:r>
      <w:proofErr w:type="spellStart"/>
      <w:r w:rsidRPr="00CC19F7">
        <w:t>energinasjonar</w:t>
      </w:r>
      <w:proofErr w:type="spellEnd"/>
      <w:r w:rsidRPr="00CC19F7">
        <w:t>.</w:t>
      </w:r>
    </w:p>
    <w:p w14:paraId="29C58E8E" w14:textId="77777777" w:rsidR="00FE02EF" w:rsidRPr="00CC19F7" w:rsidRDefault="00881E58" w:rsidP="00CC19F7">
      <w:r w:rsidRPr="00CC19F7">
        <w:t xml:space="preserve">Departementet har </w:t>
      </w:r>
      <w:proofErr w:type="spellStart"/>
      <w:r w:rsidRPr="00CC19F7">
        <w:t>følgt</w:t>
      </w:r>
      <w:proofErr w:type="spellEnd"/>
      <w:r w:rsidRPr="00CC19F7">
        <w:t xml:space="preserve"> </w:t>
      </w:r>
      <w:proofErr w:type="spellStart"/>
      <w:r w:rsidRPr="00CC19F7">
        <w:t>prosessane</w:t>
      </w:r>
      <w:proofErr w:type="spellEnd"/>
      <w:r w:rsidRPr="00CC19F7">
        <w:t xml:space="preserve"> for regelverksutviklinga i EU som har betydning for </w:t>
      </w:r>
      <w:proofErr w:type="spellStart"/>
      <w:r w:rsidRPr="00CC19F7">
        <w:t>marknaden</w:t>
      </w:r>
      <w:proofErr w:type="spellEnd"/>
      <w:r w:rsidRPr="00CC19F7">
        <w:t xml:space="preserve"> for naturgass og norsk gasseksport. Dette har inkludert møtedeltaking på både embetsnivå og politisk nivå, i tillegg til </w:t>
      </w:r>
      <w:proofErr w:type="spellStart"/>
      <w:r w:rsidRPr="00CC19F7">
        <w:t>innspel</w:t>
      </w:r>
      <w:proofErr w:type="spellEnd"/>
      <w:r w:rsidRPr="00CC19F7">
        <w:t xml:space="preserve"> og </w:t>
      </w:r>
      <w:proofErr w:type="spellStart"/>
      <w:r w:rsidRPr="00CC19F7">
        <w:t>kommentarar</w:t>
      </w:r>
      <w:proofErr w:type="spellEnd"/>
      <w:r w:rsidRPr="00CC19F7">
        <w:t xml:space="preserve"> til </w:t>
      </w:r>
      <w:proofErr w:type="spellStart"/>
      <w:r w:rsidRPr="00CC19F7">
        <w:t>pågåande</w:t>
      </w:r>
      <w:proofErr w:type="spellEnd"/>
      <w:r w:rsidRPr="00CC19F7">
        <w:t xml:space="preserve"> arbeid på gassområdet i Europakommisjonen. I 2022 har departementet, i tillegg til </w:t>
      </w:r>
      <w:proofErr w:type="spellStart"/>
      <w:r w:rsidRPr="00CC19F7">
        <w:t>dei</w:t>
      </w:r>
      <w:proofErr w:type="spellEnd"/>
      <w:r w:rsidRPr="00CC19F7">
        <w:t xml:space="preserve"> ordinære </w:t>
      </w:r>
      <w:proofErr w:type="spellStart"/>
      <w:r w:rsidRPr="00CC19F7">
        <w:t>prosessane</w:t>
      </w:r>
      <w:proofErr w:type="spellEnd"/>
      <w:r w:rsidRPr="00CC19F7">
        <w:t xml:space="preserve"> i EU, hatt tett kontakt med EU om energimangelen i Europa og </w:t>
      </w:r>
      <w:proofErr w:type="spellStart"/>
      <w:r w:rsidRPr="00CC19F7">
        <w:t>dei</w:t>
      </w:r>
      <w:proofErr w:type="spellEnd"/>
      <w:r w:rsidRPr="00CC19F7">
        <w:t xml:space="preserve"> høge </w:t>
      </w:r>
      <w:proofErr w:type="spellStart"/>
      <w:r w:rsidRPr="00CC19F7">
        <w:t>energiprisane</w:t>
      </w:r>
      <w:proofErr w:type="spellEnd"/>
      <w:r w:rsidRPr="00CC19F7">
        <w:t xml:space="preserve"> og har deltatt i ei arbeidsgruppe (</w:t>
      </w:r>
      <w:proofErr w:type="spellStart"/>
      <w:r w:rsidRPr="00CC19F7">
        <w:t>Task</w:t>
      </w:r>
      <w:proofErr w:type="spellEnd"/>
      <w:r w:rsidRPr="00CC19F7">
        <w:t xml:space="preserve"> Force) med EU. Det har </w:t>
      </w:r>
      <w:proofErr w:type="spellStart"/>
      <w:r w:rsidRPr="00CC19F7">
        <w:t>vore</w:t>
      </w:r>
      <w:proofErr w:type="spellEnd"/>
      <w:r w:rsidRPr="00CC19F7">
        <w:t xml:space="preserve"> viktig for departementet å komme med </w:t>
      </w:r>
      <w:proofErr w:type="spellStart"/>
      <w:r w:rsidRPr="00CC19F7">
        <w:t>innspel</w:t>
      </w:r>
      <w:proofErr w:type="spellEnd"/>
      <w:r w:rsidRPr="00CC19F7">
        <w:t xml:space="preserve"> til </w:t>
      </w:r>
      <w:proofErr w:type="spellStart"/>
      <w:r w:rsidRPr="00CC19F7">
        <w:t>dei</w:t>
      </w:r>
      <w:proofErr w:type="spellEnd"/>
      <w:r w:rsidRPr="00CC19F7">
        <w:t xml:space="preserve"> politiske </w:t>
      </w:r>
      <w:proofErr w:type="spellStart"/>
      <w:r w:rsidRPr="00CC19F7">
        <w:t>prosessane</w:t>
      </w:r>
      <w:proofErr w:type="spellEnd"/>
      <w:r w:rsidRPr="00CC19F7">
        <w:t xml:space="preserve"> i EU som varetar </w:t>
      </w:r>
      <w:proofErr w:type="spellStart"/>
      <w:r w:rsidRPr="00CC19F7">
        <w:t>forsyningssikkerheit</w:t>
      </w:r>
      <w:proofErr w:type="spellEnd"/>
      <w:r w:rsidRPr="00CC19F7">
        <w:t xml:space="preserve"> og stabilitet i </w:t>
      </w:r>
      <w:proofErr w:type="spellStart"/>
      <w:r w:rsidRPr="00CC19F7">
        <w:t>energimarknadene</w:t>
      </w:r>
      <w:proofErr w:type="spellEnd"/>
      <w:r w:rsidRPr="00CC19F7">
        <w:t xml:space="preserve">. I juni 2022 blei det lagt fram ei felles erklæring om forsterka samarbeid mellom </w:t>
      </w:r>
      <w:proofErr w:type="spellStart"/>
      <w:r w:rsidRPr="00CC19F7">
        <w:t>Noreg</w:t>
      </w:r>
      <w:proofErr w:type="spellEnd"/>
      <w:r w:rsidRPr="00CC19F7">
        <w:t xml:space="preserve"> og EU i energisektoren og om å samarbeide </w:t>
      </w:r>
      <w:proofErr w:type="spellStart"/>
      <w:r w:rsidRPr="00CC19F7">
        <w:t>nærmare</w:t>
      </w:r>
      <w:proofErr w:type="spellEnd"/>
      <w:r w:rsidRPr="00CC19F7">
        <w:t xml:space="preserve"> om </w:t>
      </w:r>
      <w:proofErr w:type="spellStart"/>
      <w:r w:rsidRPr="00CC19F7">
        <w:t>moglegheitene</w:t>
      </w:r>
      <w:proofErr w:type="spellEnd"/>
      <w:r w:rsidRPr="00CC19F7">
        <w:t xml:space="preserve"> for større </w:t>
      </w:r>
      <w:proofErr w:type="spellStart"/>
      <w:r w:rsidRPr="00CC19F7">
        <w:t>gassleveransar</w:t>
      </w:r>
      <w:proofErr w:type="spellEnd"/>
      <w:r w:rsidRPr="00CC19F7">
        <w:t xml:space="preserve"> på kort og lang sikt.</w:t>
      </w:r>
    </w:p>
    <w:p w14:paraId="1AFAB4F4" w14:textId="77777777" w:rsidR="00FE02EF" w:rsidRPr="00CC19F7" w:rsidRDefault="00881E58" w:rsidP="00CC19F7">
      <w:r w:rsidRPr="00CC19F7">
        <w:t>Departementet har gjennomført etatsoppfølging av Sokkeldirektoratet.</w:t>
      </w:r>
    </w:p>
    <w:p w14:paraId="1EFCC68A" w14:textId="77777777" w:rsidR="00FE02EF" w:rsidRPr="00CC19F7" w:rsidRDefault="00881E58" w:rsidP="00CC19F7">
      <w:r w:rsidRPr="00CC19F7">
        <w:t xml:space="preserve">Departementet har </w:t>
      </w:r>
      <w:proofErr w:type="spellStart"/>
      <w:r w:rsidRPr="00CC19F7">
        <w:t>følgt</w:t>
      </w:r>
      <w:proofErr w:type="spellEnd"/>
      <w:r w:rsidRPr="00CC19F7">
        <w:t xml:space="preserve"> opp </w:t>
      </w:r>
      <w:proofErr w:type="spellStart"/>
      <w:r w:rsidRPr="00CC19F7">
        <w:t>eigarinteressene</w:t>
      </w:r>
      <w:proofErr w:type="spellEnd"/>
      <w:r w:rsidRPr="00CC19F7">
        <w:t xml:space="preserve"> til staten i </w:t>
      </w:r>
      <w:proofErr w:type="spellStart"/>
      <w:r w:rsidRPr="00CC19F7">
        <w:t>Gassco</w:t>
      </w:r>
      <w:proofErr w:type="spellEnd"/>
      <w:r w:rsidRPr="00CC19F7">
        <w:t xml:space="preserve"> AS.</w:t>
      </w:r>
    </w:p>
    <w:p w14:paraId="62596410" w14:textId="77777777" w:rsidR="00FE02EF" w:rsidRPr="00CC19F7" w:rsidRDefault="00881E58" w:rsidP="00CC19F7">
      <w:r w:rsidRPr="00CC19F7">
        <w:t xml:space="preserve">Departementet bidrog gjennom arbeidet sitt i 2022 til å legge til rette for utnytting av undersjøiske reservoar på kontinentalsokkelen til </w:t>
      </w:r>
      <w:proofErr w:type="spellStart"/>
      <w:r w:rsidRPr="00CC19F7">
        <w:t>miljøsikker</w:t>
      </w:r>
      <w:proofErr w:type="spellEnd"/>
      <w:r w:rsidRPr="00CC19F7">
        <w:t xml:space="preserve"> lagring av CO</w:t>
      </w:r>
      <w:r w:rsidRPr="00CC19F7">
        <w:rPr>
          <w:rStyle w:val="skrift-senket"/>
        </w:rPr>
        <w:t>2</w:t>
      </w:r>
      <w:r w:rsidRPr="00CC19F7">
        <w:t xml:space="preserve"> som </w:t>
      </w:r>
      <w:proofErr w:type="spellStart"/>
      <w:r w:rsidRPr="00CC19F7">
        <w:t>eit</w:t>
      </w:r>
      <w:proofErr w:type="spellEnd"/>
      <w:r w:rsidRPr="00CC19F7">
        <w:t xml:space="preserve"> tiltak for å </w:t>
      </w:r>
      <w:proofErr w:type="spellStart"/>
      <w:r w:rsidRPr="00CC19F7">
        <w:t>motverke</w:t>
      </w:r>
      <w:proofErr w:type="spellEnd"/>
      <w:r w:rsidRPr="00CC19F7">
        <w:t xml:space="preserve"> </w:t>
      </w:r>
      <w:proofErr w:type="spellStart"/>
      <w:r w:rsidRPr="00CC19F7">
        <w:t>klimaendringar</w:t>
      </w:r>
      <w:proofErr w:type="spellEnd"/>
      <w:r w:rsidRPr="00CC19F7">
        <w:t>.</w:t>
      </w:r>
    </w:p>
    <w:p w14:paraId="1A60A20A" w14:textId="77777777" w:rsidR="00FE02EF" w:rsidRPr="00CC19F7" w:rsidRDefault="00881E58" w:rsidP="00CC19F7">
      <w:r w:rsidRPr="00CC19F7">
        <w:t xml:space="preserve">Departementet </w:t>
      </w:r>
      <w:proofErr w:type="spellStart"/>
      <w:r w:rsidRPr="00CC19F7">
        <w:t>fekk</w:t>
      </w:r>
      <w:proofErr w:type="spellEnd"/>
      <w:r w:rsidRPr="00CC19F7">
        <w:t xml:space="preserve"> søknader knytte til injeksjon og lagring av CO</w:t>
      </w:r>
      <w:r w:rsidRPr="00CC19F7">
        <w:rPr>
          <w:rStyle w:val="skrift-senket"/>
        </w:rPr>
        <w:t>2</w:t>
      </w:r>
      <w:r w:rsidRPr="00CC19F7">
        <w:t xml:space="preserve"> på norsk kontinentalsokkel på </w:t>
      </w:r>
      <w:proofErr w:type="gramStart"/>
      <w:r w:rsidRPr="00CC19F7">
        <w:t>to område</w:t>
      </w:r>
      <w:proofErr w:type="gramEnd"/>
      <w:r w:rsidRPr="00CC19F7">
        <w:t xml:space="preserve"> i 2022. I april blei det kunngjort </w:t>
      </w:r>
      <w:proofErr w:type="spellStart"/>
      <w:r w:rsidRPr="00CC19F7">
        <w:t>eit</w:t>
      </w:r>
      <w:proofErr w:type="spellEnd"/>
      <w:r w:rsidRPr="00CC19F7">
        <w:t xml:space="preserve"> område for lagring av CO</w:t>
      </w:r>
      <w:r w:rsidRPr="00CC19F7">
        <w:rPr>
          <w:rStyle w:val="skrift-senket"/>
        </w:rPr>
        <w:t>2</w:t>
      </w:r>
      <w:r w:rsidRPr="00CC19F7">
        <w:t xml:space="preserve"> med søknadsfrist i juni. I november blei </w:t>
      </w:r>
      <w:proofErr w:type="spellStart"/>
      <w:r w:rsidRPr="00CC19F7">
        <w:t>eit</w:t>
      </w:r>
      <w:proofErr w:type="spellEnd"/>
      <w:r w:rsidRPr="00CC19F7">
        <w:t xml:space="preserve"> leiteløyve tildelt til to selskap. I november blei enda </w:t>
      </w:r>
      <w:proofErr w:type="spellStart"/>
      <w:r w:rsidRPr="00CC19F7">
        <w:t>eit</w:t>
      </w:r>
      <w:proofErr w:type="spellEnd"/>
      <w:r w:rsidRPr="00CC19F7">
        <w:t xml:space="preserve"> område kunngjort med søknadsfrist i januar 2023.</w:t>
      </w:r>
    </w:p>
    <w:p w14:paraId="08352683" w14:textId="77777777" w:rsidR="00FE02EF" w:rsidRPr="00CC19F7" w:rsidRDefault="00881E58" w:rsidP="00CC19F7">
      <w:r w:rsidRPr="00CC19F7">
        <w:t xml:space="preserve">Departementet har i 2022 </w:t>
      </w:r>
      <w:proofErr w:type="spellStart"/>
      <w:r w:rsidRPr="00CC19F7">
        <w:t>følgt</w:t>
      </w:r>
      <w:proofErr w:type="spellEnd"/>
      <w:r w:rsidRPr="00CC19F7">
        <w:t xml:space="preserve"> opp Northern </w:t>
      </w:r>
      <w:proofErr w:type="spellStart"/>
      <w:r w:rsidRPr="00CC19F7">
        <w:t>Lights</w:t>
      </w:r>
      <w:proofErr w:type="spellEnd"/>
      <w:r w:rsidRPr="00CC19F7">
        <w:t xml:space="preserve">’ arbeid med utbyggingsprosjektet etter at PUD for fase 1 blei </w:t>
      </w:r>
      <w:proofErr w:type="spellStart"/>
      <w:r w:rsidRPr="00CC19F7">
        <w:t>godkjend</w:t>
      </w:r>
      <w:proofErr w:type="spellEnd"/>
      <w:r w:rsidRPr="00CC19F7">
        <w:t xml:space="preserve"> i 2021. Det er venta at lageret er klart for mottak av CO</w:t>
      </w:r>
      <w:r w:rsidRPr="00CC19F7">
        <w:rPr>
          <w:rStyle w:val="skrift-senket"/>
        </w:rPr>
        <w:t>2</w:t>
      </w:r>
      <w:r w:rsidRPr="00CC19F7">
        <w:t xml:space="preserve"> i 2024.</w:t>
      </w:r>
    </w:p>
    <w:p w14:paraId="7A133100" w14:textId="77777777" w:rsidR="00FE02EF" w:rsidRPr="00CC19F7" w:rsidRDefault="00881E58" w:rsidP="00CC19F7">
      <w:r w:rsidRPr="00CC19F7">
        <w:t xml:space="preserve">Departementet bidrog gjennom arbeidet sitt i 2022 til å legge til rette for undersøking og utvinning av </w:t>
      </w:r>
      <w:proofErr w:type="spellStart"/>
      <w:r w:rsidRPr="00CC19F7">
        <w:t>mineralførekomstar</w:t>
      </w:r>
      <w:proofErr w:type="spellEnd"/>
      <w:r w:rsidRPr="00CC19F7">
        <w:t xml:space="preserve"> på kontinentalsokkelen.</w:t>
      </w:r>
    </w:p>
    <w:p w14:paraId="4D4BBCCB" w14:textId="77777777" w:rsidR="00FE02EF" w:rsidRPr="00CC19F7" w:rsidRDefault="00881E58" w:rsidP="00CC19F7">
      <w:r w:rsidRPr="00CC19F7">
        <w:t xml:space="preserve">Departementet har arbeidd </w:t>
      </w:r>
      <w:proofErr w:type="spellStart"/>
      <w:r w:rsidRPr="00CC19F7">
        <w:t>vidare</w:t>
      </w:r>
      <w:proofErr w:type="spellEnd"/>
      <w:r w:rsidRPr="00CC19F7">
        <w:t xml:space="preserve"> med </w:t>
      </w:r>
      <w:proofErr w:type="spellStart"/>
      <w:r w:rsidRPr="00CC19F7">
        <w:t>opningsprosessen</w:t>
      </w:r>
      <w:proofErr w:type="spellEnd"/>
      <w:r w:rsidRPr="00CC19F7">
        <w:t xml:space="preserve"> for </w:t>
      </w:r>
      <w:proofErr w:type="spellStart"/>
      <w:r w:rsidRPr="00CC19F7">
        <w:t>mineralverksemd</w:t>
      </w:r>
      <w:proofErr w:type="spellEnd"/>
      <w:r w:rsidRPr="00CC19F7">
        <w:t xml:space="preserve"> på norsk kontinentalsokkel og har hatt utkast til avgjerd om å </w:t>
      </w:r>
      <w:proofErr w:type="spellStart"/>
      <w:r w:rsidRPr="00CC19F7">
        <w:t>opne</w:t>
      </w:r>
      <w:proofErr w:type="spellEnd"/>
      <w:r w:rsidRPr="00CC19F7">
        <w:t xml:space="preserve"> område på norsk kontinentalsokkel for </w:t>
      </w:r>
      <w:proofErr w:type="spellStart"/>
      <w:r w:rsidRPr="00CC19F7">
        <w:t>mineralverksemd</w:t>
      </w:r>
      <w:proofErr w:type="spellEnd"/>
      <w:r w:rsidRPr="00CC19F7">
        <w:t xml:space="preserve"> og konsekvensutgreiinga på </w:t>
      </w:r>
      <w:proofErr w:type="spellStart"/>
      <w:r w:rsidRPr="00CC19F7">
        <w:t>offentleg</w:t>
      </w:r>
      <w:proofErr w:type="spellEnd"/>
      <w:r w:rsidRPr="00CC19F7">
        <w:t xml:space="preserve"> </w:t>
      </w:r>
      <w:proofErr w:type="spellStart"/>
      <w:r w:rsidRPr="00CC19F7">
        <w:t>høyring</w:t>
      </w:r>
      <w:proofErr w:type="spellEnd"/>
      <w:r w:rsidRPr="00CC19F7">
        <w:t xml:space="preserve">. Departementet har også bedt Sokkeldirektoratet om ei vurdering av ressurspotensialet for havbotnmineral på norsk kontinentalsokkel som </w:t>
      </w:r>
      <w:proofErr w:type="spellStart"/>
      <w:r w:rsidRPr="00CC19F7">
        <w:t>ein</w:t>
      </w:r>
      <w:proofErr w:type="spellEnd"/>
      <w:r w:rsidRPr="00CC19F7">
        <w:t xml:space="preserve"> del av </w:t>
      </w:r>
      <w:proofErr w:type="spellStart"/>
      <w:r w:rsidRPr="00CC19F7">
        <w:t>opningsprosessen</w:t>
      </w:r>
      <w:proofErr w:type="spellEnd"/>
      <w:r w:rsidRPr="00CC19F7">
        <w:t>.</w:t>
      </w:r>
    </w:p>
    <w:p w14:paraId="6D9691E2" w14:textId="77777777" w:rsidR="00FE02EF" w:rsidRPr="00CC19F7" w:rsidRDefault="00881E58" w:rsidP="00CC19F7">
      <w:pPr>
        <w:pStyle w:val="Undertittel"/>
      </w:pPr>
      <w:r w:rsidRPr="00CC19F7">
        <w:t>Sokkeldirektoratet</w:t>
      </w:r>
    </w:p>
    <w:p w14:paraId="446778A6" w14:textId="77777777" w:rsidR="00FE02EF" w:rsidRPr="00CC19F7" w:rsidRDefault="00881E58" w:rsidP="00CC19F7">
      <w:r w:rsidRPr="00CC19F7">
        <w:t xml:space="preserve">Sokkeldirektoratet har ei sentral rolle i forvaltninga av olje- og </w:t>
      </w:r>
      <w:proofErr w:type="spellStart"/>
      <w:r w:rsidRPr="00CC19F7">
        <w:t>gassressursane</w:t>
      </w:r>
      <w:proofErr w:type="spellEnd"/>
      <w:r w:rsidRPr="00CC19F7">
        <w:t xml:space="preserve"> på norsk kontinentalsokkel og er </w:t>
      </w:r>
      <w:proofErr w:type="spellStart"/>
      <w:r w:rsidRPr="00CC19F7">
        <w:t>eit</w:t>
      </w:r>
      <w:proofErr w:type="spellEnd"/>
      <w:r w:rsidRPr="00CC19F7">
        <w:t xml:space="preserve"> viktig </w:t>
      </w:r>
      <w:proofErr w:type="spellStart"/>
      <w:r w:rsidRPr="00CC19F7">
        <w:t>rådgivande</w:t>
      </w:r>
      <w:proofErr w:type="spellEnd"/>
      <w:r w:rsidRPr="00CC19F7">
        <w:t xml:space="preserve"> organ for departementet </w:t>
      </w:r>
      <w:proofErr w:type="spellStart"/>
      <w:r w:rsidRPr="00CC19F7">
        <w:t>innanfor</w:t>
      </w:r>
      <w:proofErr w:type="spellEnd"/>
      <w:r w:rsidRPr="00CC19F7">
        <w:t xml:space="preserve"> </w:t>
      </w:r>
      <w:proofErr w:type="spellStart"/>
      <w:r w:rsidRPr="00CC19F7">
        <w:t>petroleumsverksemda</w:t>
      </w:r>
      <w:proofErr w:type="spellEnd"/>
      <w:r w:rsidRPr="00CC19F7">
        <w:t>.</w:t>
      </w:r>
    </w:p>
    <w:p w14:paraId="508C415C" w14:textId="77777777" w:rsidR="00FE02EF" w:rsidRPr="00CC19F7" w:rsidRDefault="00881E58" w:rsidP="00CC19F7">
      <w:r w:rsidRPr="00CC19F7">
        <w:t xml:space="preserve">Direktoratet har også ei rolle </w:t>
      </w:r>
      <w:proofErr w:type="spellStart"/>
      <w:r w:rsidRPr="00CC19F7">
        <w:t>innanfor</w:t>
      </w:r>
      <w:proofErr w:type="spellEnd"/>
      <w:r w:rsidRPr="00CC19F7">
        <w:t xml:space="preserve"> </w:t>
      </w:r>
      <w:proofErr w:type="spellStart"/>
      <w:r w:rsidRPr="00CC19F7">
        <w:t>nyare</w:t>
      </w:r>
      <w:proofErr w:type="spellEnd"/>
      <w:r w:rsidRPr="00CC19F7">
        <w:t xml:space="preserve"> forvaltningsområde på kontinentalsokkelen; dette </w:t>
      </w:r>
      <w:proofErr w:type="spellStart"/>
      <w:r w:rsidRPr="00CC19F7">
        <w:t>gjeld</w:t>
      </w:r>
      <w:proofErr w:type="spellEnd"/>
      <w:r w:rsidRPr="00CC19F7">
        <w:t xml:space="preserve"> både forvaltninga av lagringspotensialet for CO</w:t>
      </w:r>
      <w:r w:rsidRPr="00CC19F7">
        <w:rPr>
          <w:rStyle w:val="skrift-senket"/>
        </w:rPr>
        <w:t>2</w:t>
      </w:r>
      <w:r w:rsidRPr="00CC19F7">
        <w:t xml:space="preserve"> på norsk kontinentalsokkel og </w:t>
      </w:r>
      <w:proofErr w:type="spellStart"/>
      <w:r w:rsidRPr="00CC19F7">
        <w:t>havbotnmineralressursane</w:t>
      </w:r>
      <w:proofErr w:type="spellEnd"/>
      <w:r w:rsidRPr="00CC19F7">
        <w:t>.</w:t>
      </w:r>
    </w:p>
    <w:p w14:paraId="2FB44415" w14:textId="77777777" w:rsidR="00FE02EF" w:rsidRPr="00CC19F7" w:rsidRDefault="00881E58" w:rsidP="00CC19F7">
      <w:r w:rsidRPr="00CC19F7">
        <w:t xml:space="preserve">Sokkeldirektoratet er fagetat for arbeidet med forvaltninga av </w:t>
      </w:r>
      <w:proofErr w:type="spellStart"/>
      <w:r w:rsidRPr="00CC19F7">
        <w:t>petroleumsressursar</w:t>
      </w:r>
      <w:proofErr w:type="spellEnd"/>
      <w:r w:rsidRPr="00CC19F7">
        <w:t xml:space="preserve"> på kontinentalsokkelen og gir </w:t>
      </w:r>
      <w:proofErr w:type="spellStart"/>
      <w:r w:rsidRPr="00CC19F7">
        <w:t>faglege</w:t>
      </w:r>
      <w:proofErr w:type="spellEnd"/>
      <w:r w:rsidRPr="00CC19F7">
        <w:t xml:space="preserve"> råd i samband med vurdering, undersøking og utvinning av </w:t>
      </w:r>
      <w:proofErr w:type="spellStart"/>
      <w:r w:rsidRPr="00CC19F7">
        <w:t>desse</w:t>
      </w:r>
      <w:proofErr w:type="spellEnd"/>
      <w:r w:rsidRPr="00CC19F7">
        <w:t xml:space="preserve">. Sokkeldirektoratet skal </w:t>
      </w:r>
      <w:proofErr w:type="spellStart"/>
      <w:r w:rsidRPr="00CC19F7">
        <w:t>vere</w:t>
      </w:r>
      <w:proofErr w:type="spellEnd"/>
      <w:r w:rsidRPr="00CC19F7">
        <w:t xml:space="preserve"> </w:t>
      </w:r>
      <w:proofErr w:type="spellStart"/>
      <w:r w:rsidRPr="00CC19F7">
        <w:t>ein</w:t>
      </w:r>
      <w:proofErr w:type="spellEnd"/>
      <w:r w:rsidRPr="00CC19F7">
        <w:t xml:space="preserve"> aktiv </w:t>
      </w:r>
      <w:proofErr w:type="spellStart"/>
      <w:r w:rsidRPr="00CC19F7">
        <w:t>pådrivar</w:t>
      </w:r>
      <w:proofErr w:type="spellEnd"/>
      <w:r w:rsidRPr="00CC19F7">
        <w:t xml:space="preserve"> for å realisere mest </w:t>
      </w:r>
      <w:proofErr w:type="spellStart"/>
      <w:r w:rsidRPr="00CC19F7">
        <w:t>mogleg</w:t>
      </w:r>
      <w:proofErr w:type="spellEnd"/>
      <w:r w:rsidRPr="00CC19F7">
        <w:t xml:space="preserve"> av ressurspotensialet på sokkelen for på den måten å skape størst </w:t>
      </w:r>
      <w:proofErr w:type="spellStart"/>
      <w:r w:rsidRPr="00CC19F7">
        <w:t>moglege</w:t>
      </w:r>
      <w:proofErr w:type="spellEnd"/>
      <w:r w:rsidRPr="00CC19F7">
        <w:t xml:space="preserve"> </w:t>
      </w:r>
      <w:proofErr w:type="spellStart"/>
      <w:r w:rsidRPr="00CC19F7">
        <w:t>verdiar</w:t>
      </w:r>
      <w:proofErr w:type="spellEnd"/>
      <w:r w:rsidRPr="00CC19F7">
        <w:t xml:space="preserve"> for samfunnet. Direktoratet skal bidra til </w:t>
      </w:r>
      <w:proofErr w:type="spellStart"/>
      <w:r w:rsidRPr="00CC19F7">
        <w:t>forsvarleg</w:t>
      </w:r>
      <w:proofErr w:type="spellEnd"/>
      <w:r w:rsidRPr="00CC19F7">
        <w:t xml:space="preserve"> utvinning av norske </w:t>
      </w:r>
      <w:proofErr w:type="spellStart"/>
      <w:r w:rsidRPr="00CC19F7">
        <w:t>petroleumsressursar</w:t>
      </w:r>
      <w:proofErr w:type="spellEnd"/>
      <w:r w:rsidRPr="00CC19F7">
        <w:t>.</w:t>
      </w:r>
    </w:p>
    <w:p w14:paraId="31A4B56B" w14:textId="77777777" w:rsidR="00FE02EF" w:rsidRPr="00CC19F7" w:rsidRDefault="00881E58" w:rsidP="00CC19F7">
      <w:r w:rsidRPr="00CC19F7">
        <w:t xml:space="preserve">Sokkeldirektoratet utøver </w:t>
      </w:r>
      <w:proofErr w:type="spellStart"/>
      <w:r w:rsidRPr="00CC19F7">
        <w:t>forvaltningsmyndigheit</w:t>
      </w:r>
      <w:proofErr w:type="spellEnd"/>
      <w:r w:rsidRPr="00CC19F7">
        <w:t xml:space="preserve"> i samband med tildeling av areal, leiting etter og utvinning av </w:t>
      </w:r>
      <w:proofErr w:type="spellStart"/>
      <w:r w:rsidRPr="00CC19F7">
        <w:t>petroleumsførekomstar</w:t>
      </w:r>
      <w:proofErr w:type="spellEnd"/>
      <w:r w:rsidRPr="00CC19F7">
        <w:t xml:space="preserve"> på sokkelen. Sokkeldirektoratet er </w:t>
      </w:r>
      <w:proofErr w:type="spellStart"/>
      <w:r w:rsidRPr="00CC19F7">
        <w:t>rådgivar</w:t>
      </w:r>
      <w:proofErr w:type="spellEnd"/>
      <w:r w:rsidRPr="00CC19F7">
        <w:t xml:space="preserve"> for Olje- og energidepartementet når det gjeld </w:t>
      </w:r>
      <w:proofErr w:type="spellStart"/>
      <w:r w:rsidRPr="00CC19F7">
        <w:t>vidareutvikling</w:t>
      </w:r>
      <w:proofErr w:type="spellEnd"/>
      <w:r w:rsidRPr="00CC19F7">
        <w:t xml:space="preserve"> av </w:t>
      </w:r>
      <w:proofErr w:type="spellStart"/>
      <w:r w:rsidRPr="00CC19F7">
        <w:t>reglar</w:t>
      </w:r>
      <w:proofErr w:type="spellEnd"/>
      <w:r w:rsidRPr="00CC19F7">
        <w:t xml:space="preserve"> og rammer for </w:t>
      </w:r>
      <w:proofErr w:type="spellStart"/>
      <w:r w:rsidRPr="00CC19F7">
        <w:t>ressurforvaltninga</w:t>
      </w:r>
      <w:proofErr w:type="spellEnd"/>
      <w:r w:rsidRPr="00CC19F7">
        <w:t xml:space="preserve"> på norsk kontinentalsokkel, og har på enkelte område </w:t>
      </w:r>
      <w:proofErr w:type="spellStart"/>
      <w:r w:rsidRPr="00CC19F7">
        <w:t>myndigheit</w:t>
      </w:r>
      <w:proofErr w:type="spellEnd"/>
      <w:r w:rsidRPr="00CC19F7">
        <w:t xml:space="preserve"> til å fastsette forskrifter og </w:t>
      </w:r>
      <w:proofErr w:type="spellStart"/>
      <w:r w:rsidRPr="00CC19F7">
        <w:t>gjere</w:t>
      </w:r>
      <w:proofErr w:type="spellEnd"/>
      <w:r w:rsidRPr="00CC19F7">
        <w:t xml:space="preserve"> vedtak i samsvar med regelverket for </w:t>
      </w:r>
      <w:proofErr w:type="spellStart"/>
      <w:r w:rsidRPr="00CC19F7">
        <w:t>petroleumsverksemda</w:t>
      </w:r>
      <w:proofErr w:type="spellEnd"/>
      <w:r w:rsidRPr="00CC19F7">
        <w:t>.</w:t>
      </w:r>
    </w:p>
    <w:p w14:paraId="16D090E8" w14:textId="77777777" w:rsidR="00FE02EF" w:rsidRPr="00CC19F7" w:rsidRDefault="00881E58" w:rsidP="00CC19F7">
      <w:r w:rsidRPr="00CC19F7">
        <w:t xml:space="preserve">Sokkeldirektoratet har </w:t>
      </w:r>
      <w:proofErr w:type="spellStart"/>
      <w:r w:rsidRPr="00CC19F7">
        <w:t>vidare</w:t>
      </w:r>
      <w:proofErr w:type="spellEnd"/>
      <w:r w:rsidRPr="00CC19F7">
        <w:t xml:space="preserve"> </w:t>
      </w:r>
      <w:proofErr w:type="spellStart"/>
      <w:r w:rsidRPr="00CC19F7">
        <w:t>eit</w:t>
      </w:r>
      <w:proofErr w:type="spellEnd"/>
      <w:r w:rsidRPr="00CC19F7">
        <w:t xml:space="preserve"> nasjonalt ansvar for data </w:t>
      </w:r>
      <w:proofErr w:type="spellStart"/>
      <w:r w:rsidRPr="00CC19F7">
        <w:t>frå</w:t>
      </w:r>
      <w:proofErr w:type="spellEnd"/>
      <w:r w:rsidRPr="00CC19F7">
        <w:t xml:space="preserve"> kontinentalsokkelen og ei oversikts- og </w:t>
      </w:r>
      <w:proofErr w:type="spellStart"/>
      <w:r w:rsidRPr="00CC19F7">
        <w:t>formidlarrolle</w:t>
      </w:r>
      <w:proofErr w:type="spellEnd"/>
      <w:r w:rsidRPr="00CC19F7">
        <w:t xml:space="preserve"> når det </w:t>
      </w:r>
      <w:proofErr w:type="spellStart"/>
      <w:r w:rsidRPr="00CC19F7">
        <w:t>gjeld</w:t>
      </w:r>
      <w:proofErr w:type="spellEnd"/>
      <w:r w:rsidRPr="00CC19F7">
        <w:t xml:space="preserve"> data, </w:t>
      </w:r>
      <w:proofErr w:type="spellStart"/>
      <w:r w:rsidRPr="00CC19F7">
        <w:t>analysar</w:t>
      </w:r>
      <w:proofErr w:type="spellEnd"/>
      <w:r w:rsidRPr="00CC19F7">
        <w:t xml:space="preserve"> og avgjerdsgrunnlag.</w:t>
      </w:r>
    </w:p>
    <w:p w14:paraId="5A53CF40" w14:textId="77777777" w:rsidR="00FE02EF" w:rsidRPr="00CC19F7" w:rsidRDefault="00881E58" w:rsidP="00CC19F7">
      <w:r w:rsidRPr="00CC19F7">
        <w:t xml:space="preserve">Sokkeldirektoratet er fagetat når det </w:t>
      </w:r>
      <w:proofErr w:type="spellStart"/>
      <w:r w:rsidRPr="00CC19F7">
        <w:t>gjeld</w:t>
      </w:r>
      <w:proofErr w:type="spellEnd"/>
      <w:r w:rsidRPr="00CC19F7">
        <w:t xml:space="preserve"> forvaltninga av havbotnmineral og har hatt ei viktig </w:t>
      </w:r>
      <w:proofErr w:type="spellStart"/>
      <w:r w:rsidRPr="00CC19F7">
        <w:t>fagleg</w:t>
      </w:r>
      <w:proofErr w:type="spellEnd"/>
      <w:r w:rsidRPr="00CC19F7">
        <w:t xml:space="preserve"> rolle i gjennomføringa av </w:t>
      </w:r>
      <w:proofErr w:type="spellStart"/>
      <w:r w:rsidRPr="00CC19F7">
        <w:t>opningsprosessen</w:t>
      </w:r>
      <w:proofErr w:type="spellEnd"/>
      <w:r w:rsidRPr="00CC19F7">
        <w:t xml:space="preserve"> for slik aktivitet.</w:t>
      </w:r>
    </w:p>
    <w:p w14:paraId="5C42A237" w14:textId="77777777" w:rsidR="00FE02EF" w:rsidRPr="00CC19F7" w:rsidRDefault="00881E58" w:rsidP="00CC19F7">
      <w:r w:rsidRPr="00CC19F7">
        <w:t xml:space="preserve">Sokkeldirektoratet gir departementet </w:t>
      </w:r>
      <w:proofErr w:type="spellStart"/>
      <w:r w:rsidRPr="00CC19F7">
        <w:t>faglege</w:t>
      </w:r>
      <w:proofErr w:type="spellEnd"/>
      <w:r w:rsidRPr="00CC19F7">
        <w:t xml:space="preserve"> råd om lagring av CO</w:t>
      </w:r>
      <w:r w:rsidRPr="00CC19F7">
        <w:rPr>
          <w:rStyle w:val="skrift-senket"/>
        </w:rPr>
        <w:t>2</w:t>
      </w:r>
      <w:r w:rsidRPr="00CC19F7">
        <w:t xml:space="preserve"> på norsk sokkel og gir mellom anna </w:t>
      </w:r>
      <w:proofErr w:type="spellStart"/>
      <w:r w:rsidRPr="00CC19F7">
        <w:t>innspel</w:t>
      </w:r>
      <w:proofErr w:type="spellEnd"/>
      <w:r w:rsidRPr="00CC19F7">
        <w:t xml:space="preserve"> til departementet i samband med søknader om løyve etter CO</w:t>
      </w:r>
      <w:r w:rsidRPr="00CC19F7">
        <w:rPr>
          <w:rStyle w:val="skrift-senket"/>
        </w:rPr>
        <w:t>2</w:t>
      </w:r>
      <w:r w:rsidRPr="00CC19F7">
        <w:t xml:space="preserve">-lagringsforskrifta og planar for utbygging og drift av </w:t>
      </w:r>
      <w:proofErr w:type="spellStart"/>
      <w:r w:rsidRPr="00CC19F7">
        <w:t>eit</w:t>
      </w:r>
      <w:proofErr w:type="spellEnd"/>
      <w:r w:rsidRPr="00CC19F7">
        <w:t xml:space="preserve"> undersjøisk reservoar for injeksjon og lagring av CO</w:t>
      </w:r>
      <w:r w:rsidRPr="00CC19F7">
        <w:rPr>
          <w:rStyle w:val="skrift-senket"/>
        </w:rPr>
        <w:t>2</w:t>
      </w:r>
      <w:r w:rsidRPr="00CC19F7">
        <w:t>.</w:t>
      </w:r>
    </w:p>
    <w:p w14:paraId="0355FB44" w14:textId="77777777" w:rsidR="00FE02EF" w:rsidRPr="00CC19F7" w:rsidRDefault="00881E58" w:rsidP="00CC19F7">
      <w:r w:rsidRPr="00CC19F7">
        <w:t xml:space="preserve">Sokkeldirektoratet gir departementet </w:t>
      </w:r>
      <w:proofErr w:type="spellStart"/>
      <w:r w:rsidRPr="00CC19F7">
        <w:t>faglege</w:t>
      </w:r>
      <w:proofErr w:type="spellEnd"/>
      <w:r w:rsidRPr="00CC19F7">
        <w:t xml:space="preserve"> </w:t>
      </w:r>
      <w:proofErr w:type="spellStart"/>
      <w:r w:rsidRPr="00CC19F7">
        <w:t>innspel</w:t>
      </w:r>
      <w:proofErr w:type="spellEnd"/>
      <w:r w:rsidRPr="00CC19F7">
        <w:t xml:space="preserve"> når det gjeld </w:t>
      </w:r>
      <w:proofErr w:type="spellStart"/>
      <w:r w:rsidRPr="00CC19F7">
        <w:t>forsvarleg</w:t>
      </w:r>
      <w:proofErr w:type="spellEnd"/>
      <w:r w:rsidRPr="00CC19F7">
        <w:t xml:space="preserve"> bruk av areala på norsk sokkel, og skal bidra til god sameksistens mellom ulike </w:t>
      </w:r>
      <w:proofErr w:type="spellStart"/>
      <w:r w:rsidRPr="00CC19F7">
        <w:t>brukarar</w:t>
      </w:r>
      <w:proofErr w:type="spellEnd"/>
      <w:r w:rsidRPr="00CC19F7">
        <w:t xml:space="preserve"> av havet. Sokkeldirektoratet er engasjert i forsking og utvikling (FoU) og internasjonalt utviklingssamarbeid </w:t>
      </w:r>
      <w:proofErr w:type="spellStart"/>
      <w:r w:rsidRPr="00CC19F7">
        <w:t>innanfor</w:t>
      </w:r>
      <w:proofErr w:type="spellEnd"/>
      <w:r w:rsidRPr="00CC19F7">
        <w:t xml:space="preserve"> </w:t>
      </w:r>
      <w:proofErr w:type="gramStart"/>
      <w:r w:rsidRPr="00CC19F7">
        <w:t>sine ansvarsområde</w:t>
      </w:r>
      <w:proofErr w:type="gramEnd"/>
      <w:r w:rsidRPr="00CC19F7">
        <w:t>.</w:t>
      </w:r>
    </w:p>
    <w:p w14:paraId="149506AB" w14:textId="77777777" w:rsidR="00FE02EF" w:rsidRPr="00CC19F7" w:rsidRDefault="00881E58" w:rsidP="00CC19F7">
      <w:r w:rsidRPr="00CC19F7">
        <w:t xml:space="preserve">Sokkeldirektoratet har også </w:t>
      </w:r>
      <w:proofErr w:type="spellStart"/>
      <w:r w:rsidRPr="00CC19F7">
        <w:t>eit</w:t>
      </w:r>
      <w:proofErr w:type="spellEnd"/>
      <w:r w:rsidRPr="00CC19F7">
        <w:t xml:space="preserve"> viktig oppdrag med å føre tilsyn med </w:t>
      </w:r>
      <w:proofErr w:type="spellStart"/>
      <w:r w:rsidRPr="00CC19F7">
        <w:t>målingar</w:t>
      </w:r>
      <w:proofErr w:type="spellEnd"/>
      <w:r w:rsidRPr="00CC19F7">
        <w:t xml:space="preserve"> av mengde olje og gass som blir produsert </w:t>
      </w:r>
      <w:proofErr w:type="spellStart"/>
      <w:r w:rsidRPr="00CC19F7">
        <w:t>frå</w:t>
      </w:r>
      <w:proofErr w:type="spellEnd"/>
      <w:r w:rsidRPr="00CC19F7">
        <w:t xml:space="preserve"> norsk sokkel for å sikre at nøyaktige og </w:t>
      </w:r>
      <w:proofErr w:type="spellStart"/>
      <w:r w:rsidRPr="00CC19F7">
        <w:t>pålitelege</w:t>
      </w:r>
      <w:proofErr w:type="spellEnd"/>
      <w:r w:rsidRPr="00CC19F7">
        <w:t xml:space="preserve"> </w:t>
      </w:r>
      <w:proofErr w:type="spellStart"/>
      <w:r w:rsidRPr="00CC19F7">
        <w:t>målingar</w:t>
      </w:r>
      <w:proofErr w:type="spellEnd"/>
      <w:r w:rsidRPr="00CC19F7">
        <w:t xml:space="preserve"> ligg til grunn for </w:t>
      </w:r>
      <w:proofErr w:type="spellStart"/>
      <w:r w:rsidRPr="00CC19F7">
        <w:t>berekning</w:t>
      </w:r>
      <w:proofErr w:type="spellEnd"/>
      <w:r w:rsidRPr="00CC19F7">
        <w:t xml:space="preserve"> av </w:t>
      </w:r>
      <w:proofErr w:type="spellStart"/>
      <w:r w:rsidRPr="00CC19F7">
        <w:t>skattane</w:t>
      </w:r>
      <w:proofErr w:type="spellEnd"/>
      <w:r w:rsidRPr="00CC19F7">
        <w:t xml:space="preserve"> og avgiftene til staten, og inntektene til </w:t>
      </w:r>
      <w:proofErr w:type="spellStart"/>
      <w:r w:rsidRPr="00CC19F7">
        <w:t>rettshavarane</w:t>
      </w:r>
      <w:proofErr w:type="spellEnd"/>
      <w:r w:rsidRPr="00CC19F7">
        <w:t xml:space="preserve"> i </w:t>
      </w:r>
      <w:proofErr w:type="spellStart"/>
      <w:r w:rsidRPr="00CC19F7">
        <w:t>petroleumsverksemda</w:t>
      </w:r>
      <w:proofErr w:type="spellEnd"/>
      <w:r w:rsidRPr="00CC19F7">
        <w:t xml:space="preserve"> (fiskal kvantumsmåling). Sokkeldirektoratet har </w:t>
      </w:r>
      <w:proofErr w:type="spellStart"/>
      <w:r w:rsidRPr="00CC19F7">
        <w:t>hovudkontor</w:t>
      </w:r>
      <w:proofErr w:type="spellEnd"/>
      <w:r w:rsidRPr="00CC19F7">
        <w:t xml:space="preserve"> i Stavanger og i tillegg </w:t>
      </w:r>
      <w:proofErr w:type="spellStart"/>
      <w:r w:rsidRPr="00CC19F7">
        <w:t>eit</w:t>
      </w:r>
      <w:proofErr w:type="spellEnd"/>
      <w:r w:rsidRPr="00CC19F7">
        <w:t xml:space="preserve"> kontor i Harstad. Det blei utført om lag 188 årsverk i 2022.</w:t>
      </w:r>
    </w:p>
    <w:p w14:paraId="342D92FB" w14:textId="77777777" w:rsidR="00FE02EF" w:rsidRPr="00CC19F7" w:rsidRDefault="00881E58" w:rsidP="00CC19F7">
      <w:pPr>
        <w:pStyle w:val="avsnitt-tittel"/>
      </w:pPr>
      <w:r w:rsidRPr="00CC19F7">
        <w:t>Mål</w:t>
      </w:r>
    </w:p>
    <w:p w14:paraId="536C7E40" w14:textId="77777777" w:rsidR="00FE02EF" w:rsidRPr="00CC19F7" w:rsidRDefault="00881E58" w:rsidP="00CC19F7">
      <w:proofErr w:type="spellStart"/>
      <w:r w:rsidRPr="00CC19F7">
        <w:t>Hovudmålet</w:t>
      </w:r>
      <w:proofErr w:type="spellEnd"/>
      <w:r w:rsidRPr="00CC19F7">
        <w:t xml:space="preserve"> til Sokkeldirektoratet er å bidra til størst </w:t>
      </w:r>
      <w:proofErr w:type="spellStart"/>
      <w:r w:rsidRPr="00CC19F7">
        <w:t>moglege</w:t>
      </w:r>
      <w:proofErr w:type="spellEnd"/>
      <w:r w:rsidRPr="00CC19F7">
        <w:t xml:space="preserve"> </w:t>
      </w:r>
      <w:proofErr w:type="spellStart"/>
      <w:r w:rsidRPr="00CC19F7">
        <w:t>verdiar</w:t>
      </w:r>
      <w:proofErr w:type="spellEnd"/>
      <w:r w:rsidRPr="00CC19F7">
        <w:t xml:space="preserve"> for samfunnet </w:t>
      </w:r>
      <w:proofErr w:type="spellStart"/>
      <w:r w:rsidRPr="00CC19F7">
        <w:t>frå</w:t>
      </w:r>
      <w:proofErr w:type="spellEnd"/>
      <w:r w:rsidRPr="00CC19F7">
        <w:t xml:space="preserve"> olje- og </w:t>
      </w:r>
      <w:proofErr w:type="spellStart"/>
      <w:r w:rsidRPr="00CC19F7">
        <w:t>gassverksemda</w:t>
      </w:r>
      <w:proofErr w:type="spellEnd"/>
      <w:r w:rsidRPr="00CC19F7">
        <w:t xml:space="preserve"> på norsk kontinentalsokkel gjennom ei effektiv og </w:t>
      </w:r>
      <w:proofErr w:type="spellStart"/>
      <w:r w:rsidRPr="00CC19F7">
        <w:t>forsvarleg</w:t>
      </w:r>
      <w:proofErr w:type="spellEnd"/>
      <w:r w:rsidRPr="00CC19F7">
        <w:t xml:space="preserve"> ressursforvaltning, der det blir tatt omsyn til helse, miljø og </w:t>
      </w:r>
      <w:proofErr w:type="spellStart"/>
      <w:r w:rsidRPr="00CC19F7">
        <w:t>sikkerheit</w:t>
      </w:r>
      <w:proofErr w:type="spellEnd"/>
      <w:r w:rsidRPr="00CC19F7">
        <w:t xml:space="preserve"> og til andre </w:t>
      </w:r>
      <w:proofErr w:type="spellStart"/>
      <w:r w:rsidRPr="00CC19F7">
        <w:t>brukarar</w:t>
      </w:r>
      <w:proofErr w:type="spellEnd"/>
      <w:r w:rsidRPr="00CC19F7">
        <w:t xml:space="preserve"> av havet.</w:t>
      </w:r>
    </w:p>
    <w:p w14:paraId="043439A4" w14:textId="77777777" w:rsidR="00FE02EF" w:rsidRPr="00CC19F7" w:rsidRDefault="00881E58" w:rsidP="00CC19F7">
      <w:proofErr w:type="spellStart"/>
      <w:r w:rsidRPr="00CC19F7">
        <w:t>Hovudmålet</w:t>
      </w:r>
      <w:proofErr w:type="spellEnd"/>
      <w:r w:rsidRPr="00CC19F7">
        <w:t xml:space="preserve"> blir søkt nådd ved at Sokkeldirektoratet skal arbeide for å nå </w:t>
      </w:r>
      <w:proofErr w:type="spellStart"/>
      <w:r w:rsidRPr="00CC19F7">
        <w:t>utvalde</w:t>
      </w:r>
      <w:proofErr w:type="spellEnd"/>
      <w:r w:rsidRPr="00CC19F7">
        <w:t xml:space="preserve"> delmål. Direktoratet har </w:t>
      </w:r>
      <w:proofErr w:type="spellStart"/>
      <w:r w:rsidRPr="00CC19F7">
        <w:t>vidare</w:t>
      </w:r>
      <w:proofErr w:type="spellEnd"/>
      <w:r w:rsidRPr="00CC19F7">
        <w:t xml:space="preserve"> </w:t>
      </w:r>
      <w:proofErr w:type="spellStart"/>
      <w:r w:rsidRPr="00CC19F7">
        <w:t>eit</w:t>
      </w:r>
      <w:proofErr w:type="spellEnd"/>
      <w:r w:rsidRPr="00CC19F7">
        <w:t xml:space="preserve"> delmål som </w:t>
      </w:r>
      <w:proofErr w:type="spellStart"/>
      <w:r w:rsidRPr="00CC19F7">
        <w:t>omfattar</w:t>
      </w:r>
      <w:proofErr w:type="spellEnd"/>
      <w:r w:rsidRPr="00CC19F7">
        <w:t xml:space="preserve"> havbotnmineral, og </w:t>
      </w:r>
      <w:proofErr w:type="spellStart"/>
      <w:r w:rsidRPr="00CC19F7">
        <w:t>eitt</w:t>
      </w:r>
      <w:proofErr w:type="spellEnd"/>
      <w:r w:rsidRPr="00CC19F7">
        <w:t xml:space="preserve"> for lagring av CO</w:t>
      </w:r>
      <w:r w:rsidRPr="00CC19F7">
        <w:rPr>
          <w:rStyle w:val="skrift-senket"/>
        </w:rPr>
        <w:t>2</w:t>
      </w:r>
      <w:r w:rsidRPr="00CC19F7">
        <w:t>.</w:t>
      </w:r>
    </w:p>
    <w:p w14:paraId="6293FAA1" w14:textId="77777777" w:rsidR="00FE02EF" w:rsidRPr="00CC19F7" w:rsidRDefault="00881E58" w:rsidP="00CC19F7">
      <w:pPr>
        <w:pStyle w:val="avsnitt-undertittel"/>
      </w:pPr>
      <w:r w:rsidRPr="00CC19F7">
        <w:t xml:space="preserve">Rasjonell og </w:t>
      </w:r>
      <w:proofErr w:type="spellStart"/>
      <w:r w:rsidRPr="00CC19F7">
        <w:t>heilskapleg</w:t>
      </w:r>
      <w:proofErr w:type="spellEnd"/>
      <w:r w:rsidRPr="00CC19F7">
        <w:t xml:space="preserve"> arealforvaltning, tildeling av attraktivt </w:t>
      </w:r>
      <w:proofErr w:type="spellStart"/>
      <w:r w:rsidRPr="00CC19F7">
        <w:t>leiteareal</w:t>
      </w:r>
      <w:proofErr w:type="spellEnd"/>
      <w:r w:rsidRPr="00CC19F7">
        <w:t xml:space="preserve"> og langsiktig ressurstilgang</w:t>
      </w:r>
    </w:p>
    <w:p w14:paraId="6202D937" w14:textId="77777777" w:rsidR="00FE02EF" w:rsidRPr="00CC19F7" w:rsidRDefault="00881E58" w:rsidP="00CC19F7">
      <w:r w:rsidRPr="00CC19F7">
        <w:t xml:space="preserve">Sokkeldirektoratet har ansvar for å ha oversikt over </w:t>
      </w:r>
      <w:proofErr w:type="spellStart"/>
      <w:r w:rsidRPr="00CC19F7">
        <w:t>petroleumsressursane</w:t>
      </w:r>
      <w:proofErr w:type="spellEnd"/>
      <w:r w:rsidRPr="00CC19F7">
        <w:t xml:space="preserve"> på den norske kontinentalsokkelen. Sokkeldirektoratet </w:t>
      </w:r>
      <w:proofErr w:type="spellStart"/>
      <w:r w:rsidRPr="00CC19F7">
        <w:t>innhentar</w:t>
      </w:r>
      <w:proofErr w:type="spellEnd"/>
      <w:r w:rsidRPr="00CC19F7">
        <w:t xml:space="preserve"> og omarbeider data sjølve, men </w:t>
      </w:r>
      <w:proofErr w:type="spellStart"/>
      <w:r w:rsidRPr="00CC19F7">
        <w:t>innhentar</w:t>
      </w:r>
      <w:proofErr w:type="spellEnd"/>
      <w:r w:rsidRPr="00CC19F7">
        <w:t xml:space="preserve"> også data </w:t>
      </w:r>
      <w:proofErr w:type="spellStart"/>
      <w:r w:rsidRPr="00CC19F7">
        <w:t>frå</w:t>
      </w:r>
      <w:proofErr w:type="spellEnd"/>
      <w:r w:rsidRPr="00CC19F7">
        <w:t xml:space="preserve"> næringa.</w:t>
      </w:r>
    </w:p>
    <w:p w14:paraId="2253EDF2" w14:textId="77777777" w:rsidR="00FE02EF" w:rsidRPr="00CC19F7" w:rsidRDefault="00881E58" w:rsidP="00CC19F7">
      <w:r w:rsidRPr="00CC19F7">
        <w:t xml:space="preserve">Sokkeldirektoratet gir </w:t>
      </w:r>
      <w:proofErr w:type="spellStart"/>
      <w:r w:rsidRPr="00CC19F7">
        <w:t>faglege</w:t>
      </w:r>
      <w:proofErr w:type="spellEnd"/>
      <w:r w:rsidRPr="00CC19F7">
        <w:t xml:space="preserve"> råd til departementet ved </w:t>
      </w:r>
      <w:proofErr w:type="spellStart"/>
      <w:r w:rsidRPr="00CC19F7">
        <w:t>konsesjonsrundar</w:t>
      </w:r>
      <w:proofErr w:type="spellEnd"/>
      <w:r w:rsidRPr="00CC19F7">
        <w:t xml:space="preserve"> og bidrar til oppfølging av leiteaktiviteten i tildelte utvinningsløyve. Sokkeldirektoratet skal bidra til at </w:t>
      </w:r>
      <w:proofErr w:type="spellStart"/>
      <w:r w:rsidRPr="00CC19F7">
        <w:t>aktørane</w:t>
      </w:r>
      <w:proofErr w:type="spellEnd"/>
      <w:r w:rsidRPr="00CC19F7">
        <w:t xml:space="preserve"> </w:t>
      </w:r>
      <w:proofErr w:type="spellStart"/>
      <w:r w:rsidRPr="00CC19F7">
        <w:t>innanfor</w:t>
      </w:r>
      <w:proofErr w:type="spellEnd"/>
      <w:r w:rsidRPr="00CC19F7">
        <w:t xml:space="preserve"> sektoren arbeider aktivt for at tildelt areal blir utforska tidsriktig og effektivt.</w:t>
      </w:r>
    </w:p>
    <w:p w14:paraId="08DC2406" w14:textId="77777777" w:rsidR="00FE02EF" w:rsidRPr="00CC19F7" w:rsidRDefault="00881E58" w:rsidP="00CC19F7">
      <w:proofErr w:type="spellStart"/>
      <w:r w:rsidRPr="00CC19F7">
        <w:t>Vidare</w:t>
      </w:r>
      <w:proofErr w:type="spellEnd"/>
      <w:r w:rsidRPr="00CC19F7">
        <w:t xml:space="preserve"> bidrar Sokkeldirektoratet til at areala på norsk sokkel blir forvalta slik at den samla verdiskapinga blir </w:t>
      </w:r>
      <w:proofErr w:type="spellStart"/>
      <w:r w:rsidRPr="00CC19F7">
        <w:t>høg</w:t>
      </w:r>
      <w:proofErr w:type="spellEnd"/>
      <w:r w:rsidRPr="00CC19F7">
        <w:t xml:space="preserve">, og at det blir sikra god sameksistens mellom etablerte og nye </w:t>
      </w:r>
      <w:proofErr w:type="spellStart"/>
      <w:r w:rsidRPr="00CC19F7">
        <w:t>næringar</w:t>
      </w:r>
      <w:proofErr w:type="spellEnd"/>
      <w:r w:rsidRPr="00CC19F7">
        <w:t xml:space="preserve"> som </w:t>
      </w:r>
      <w:proofErr w:type="spellStart"/>
      <w:r w:rsidRPr="00CC19F7">
        <w:t>gjer</w:t>
      </w:r>
      <w:proofErr w:type="spellEnd"/>
      <w:r w:rsidRPr="00CC19F7">
        <w:t xml:space="preserve"> bruk av havet.</w:t>
      </w:r>
    </w:p>
    <w:p w14:paraId="005EBC1F" w14:textId="77777777" w:rsidR="00FE02EF" w:rsidRPr="00CC19F7" w:rsidRDefault="00881E58" w:rsidP="00CC19F7">
      <w:pPr>
        <w:pStyle w:val="avsnitt-undertittel"/>
      </w:pPr>
      <w:r w:rsidRPr="00CC19F7">
        <w:t xml:space="preserve">Arbeid for samfunnsøkonomisk </w:t>
      </w:r>
      <w:proofErr w:type="spellStart"/>
      <w:r w:rsidRPr="00CC19F7">
        <w:t>lønnsam</w:t>
      </w:r>
      <w:proofErr w:type="spellEnd"/>
      <w:r w:rsidRPr="00CC19F7">
        <w:t xml:space="preserve"> utvinning av petroleum gjennom </w:t>
      </w:r>
      <w:proofErr w:type="spellStart"/>
      <w:r w:rsidRPr="00CC19F7">
        <w:t>forsvarleg</w:t>
      </w:r>
      <w:proofErr w:type="spellEnd"/>
      <w:r w:rsidRPr="00CC19F7">
        <w:t xml:space="preserve"> og effektiv leiting, utbygging og drift</w:t>
      </w:r>
    </w:p>
    <w:p w14:paraId="4D639EBE" w14:textId="77777777" w:rsidR="00FE02EF" w:rsidRPr="00CC19F7" w:rsidRDefault="00881E58" w:rsidP="00CC19F7">
      <w:r w:rsidRPr="00CC19F7">
        <w:t xml:space="preserve">Sokkeldirektoratet skal </w:t>
      </w:r>
      <w:proofErr w:type="spellStart"/>
      <w:r w:rsidRPr="00CC19F7">
        <w:t>vere</w:t>
      </w:r>
      <w:proofErr w:type="spellEnd"/>
      <w:r w:rsidRPr="00CC19F7">
        <w:t xml:space="preserve"> </w:t>
      </w:r>
      <w:proofErr w:type="spellStart"/>
      <w:r w:rsidRPr="00CC19F7">
        <w:t>ein</w:t>
      </w:r>
      <w:proofErr w:type="spellEnd"/>
      <w:r w:rsidRPr="00CC19F7">
        <w:t xml:space="preserve"> </w:t>
      </w:r>
      <w:proofErr w:type="spellStart"/>
      <w:r w:rsidRPr="00CC19F7">
        <w:t>pådrivar</w:t>
      </w:r>
      <w:proofErr w:type="spellEnd"/>
      <w:r w:rsidRPr="00CC19F7">
        <w:t xml:space="preserve"> for å sikre at </w:t>
      </w:r>
      <w:proofErr w:type="spellStart"/>
      <w:r w:rsidRPr="00CC19F7">
        <w:t>moglegheiter</w:t>
      </w:r>
      <w:proofErr w:type="spellEnd"/>
      <w:r w:rsidRPr="00CC19F7">
        <w:t xml:space="preserve"> for langsiktig verdiskaping blir vurderte </w:t>
      </w:r>
      <w:proofErr w:type="spellStart"/>
      <w:r w:rsidRPr="00CC19F7">
        <w:t>innanfor</w:t>
      </w:r>
      <w:proofErr w:type="spellEnd"/>
      <w:r w:rsidRPr="00CC19F7">
        <w:t xml:space="preserve"> leiting, utbygging og drift på norsk kontinentalsokkel. Direktoratet skal bidra til at </w:t>
      </w:r>
      <w:proofErr w:type="spellStart"/>
      <w:r w:rsidRPr="00CC19F7">
        <w:t>aktørane</w:t>
      </w:r>
      <w:proofErr w:type="spellEnd"/>
      <w:r w:rsidRPr="00CC19F7">
        <w:t xml:space="preserve"> </w:t>
      </w:r>
      <w:proofErr w:type="spellStart"/>
      <w:r w:rsidRPr="00CC19F7">
        <w:t>innanfor</w:t>
      </w:r>
      <w:proofErr w:type="spellEnd"/>
      <w:r w:rsidRPr="00CC19F7">
        <w:t xml:space="preserve"> sektoren som har ansvaret for leiting, utbygging, drift og disponering, arbeider aktivt for at det tildelte arealet blir utforska tidsriktig og effektivt, at funn blir bygde ut, og at tiltak for å </w:t>
      </w:r>
      <w:proofErr w:type="spellStart"/>
      <w:r w:rsidRPr="00CC19F7">
        <w:t>auke</w:t>
      </w:r>
      <w:proofErr w:type="spellEnd"/>
      <w:r w:rsidRPr="00CC19F7">
        <w:t xml:space="preserve"> utvinninga </w:t>
      </w:r>
      <w:proofErr w:type="spellStart"/>
      <w:r w:rsidRPr="00CC19F7">
        <w:t>frå</w:t>
      </w:r>
      <w:proofErr w:type="spellEnd"/>
      <w:r w:rsidRPr="00CC19F7">
        <w:t xml:space="preserve"> felt i drift, blir identifiserte og gjennomførte.</w:t>
      </w:r>
    </w:p>
    <w:p w14:paraId="01CDC2AF" w14:textId="77777777" w:rsidR="00FE02EF" w:rsidRPr="00CC19F7" w:rsidRDefault="00881E58" w:rsidP="00CC19F7">
      <w:r w:rsidRPr="00CC19F7">
        <w:t xml:space="preserve">Sokkeldirektoratet skal </w:t>
      </w:r>
      <w:proofErr w:type="spellStart"/>
      <w:r w:rsidRPr="00CC19F7">
        <w:t>særleg</w:t>
      </w:r>
      <w:proofErr w:type="spellEnd"/>
      <w:r w:rsidRPr="00CC19F7">
        <w:t xml:space="preserve"> følge opp </w:t>
      </w:r>
      <w:proofErr w:type="spellStart"/>
      <w:r w:rsidRPr="00CC19F7">
        <w:t>auka</w:t>
      </w:r>
      <w:proofErr w:type="spellEnd"/>
      <w:r w:rsidRPr="00CC19F7">
        <w:t xml:space="preserve"> utvinning, effektive </w:t>
      </w:r>
      <w:proofErr w:type="spellStart"/>
      <w:r w:rsidRPr="00CC19F7">
        <w:t>områdeløysingar</w:t>
      </w:r>
      <w:proofErr w:type="spellEnd"/>
      <w:r w:rsidRPr="00CC19F7">
        <w:t xml:space="preserve"> og realisering av tidskritiske </w:t>
      </w:r>
      <w:proofErr w:type="spellStart"/>
      <w:r w:rsidRPr="00CC19F7">
        <w:t>ressursar</w:t>
      </w:r>
      <w:proofErr w:type="spellEnd"/>
      <w:r w:rsidRPr="00CC19F7">
        <w:t>.</w:t>
      </w:r>
    </w:p>
    <w:p w14:paraId="4DB26567" w14:textId="77777777" w:rsidR="00FE02EF" w:rsidRPr="00CC19F7" w:rsidRDefault="00881E58" w:rsidP="00CC19F7">
      <w:r w:rsidRPr="00CC19F7">
        <w:t xml:space="preserve">Sokkeldirektoratet har ei viktig rolle i å gi råd til departementet når det </w:t>
      </w:r>
      <w:proofErr w:type="spellStart"/>
      <w:r w:rsidRPr="00CC19F7">
        <w:t>gjeld</w:t>
      </w:r>
      <w:proofErr w:type="spellEnd"/>
      <w:r w:rsidRPr="00CC19F7">
        <w:t xml:space="preserve"> ulike søknader </w:t>
      </w:r>
      <w:proofErr w:type="spellStart"/>
      <w:r w:rsidRPr="00CC19F7">
        <w:t>frå</w:t>
      </w:r>
      <w:proofErr w:type="spellEnd"/>
      <w:r w:rsidRPr="00CC19F7">
        <w:t xml:space="preserve"> selskapa og i å følge opp løyve i samsvar med petroleumslova og konsesjonssystemet.</w:t>
      </w:r>
    </w:p>
    <w:p w14:paraId="4FE8F23E" w14:textId="77777777" w:rsidR="00FE02EF" w:rsidRPr="00CC19F7" w:rsidRDefault="00881E58" w:rsidP="00CC19F7">
      <w:pPr>
        <w:pStyle w:val="avsnitt-undertittel"/>
      </w:pPr>
      <w:r w:rsidRPr="00CC19F7">
        <w:t xml:space="preserve">Effektivt innhente, forvalte, </w:t>
      </w:r>
      <w:proofErr w:type="spellStart"/>
      <w:r w:rsidRPr="00CC19F7">
        <w:t>gjere</w:t>
      </w:r>
      <w:proofErr w:type="spellEnd"/>
      <w:r w:rsidRPr="00CC19F7">
        <w:t xml:space="preserve"> </w:t>
      </w:r>
      <w:proofErr w:type="spellStart"/>
      <w:r w:rsidRPr="00CC19F7">
        <w:t>tilgjengeleg</w:t>
      </w:r>
      <w:proofErr w:type="spellEnd"/>
      <w:r w:rsidRPr="00CC19F7">
        <w:t xml:space="preserve"> og formidle data, </w:t>
      </w:r>
      <w:proofErr w:type="spellStart"/>
      <w:r w:rsidRPr="00CC19F7">
        <w:t>analysar</w:t>
      </w:r>
      <w:proofErr w:type="spellEnd"/>
      <w:r w:rsidRPr="00CC19F7">
        <w:t xml:space="preserve"> og kunnskap om norsk kontinentalsokkel</w:t>
      </w:r>
    </w:p>
    <w:p w14:paraId="36A20C7D" w14:textId="77777777" w:rsidR="00FE02EF" w:rsidRPr="00CC19F7" w:rsidRDefault="00881E58" w:rsidP="00CC19F7">
      <w:r w:rsidRPr="00CC19F7">
        <w:t xml:space="preserve">Sokkeldirektoratet er </w:t>
      </w:r>
      <w:proofErr w:type="spellStart"/>
      <w:r w:rsidRPr="00CC19F7">
        <w:t>eit</w:t>
      </w:r>
      <w:proofErr w:type="spellEnd"/>
      <w:r w:rsidRPr="00CC19F7">
        <w:t xml:space="preserve"> nasjonalt sokkelbibliotek og </w:t>
      </w:r>
      <w:proofErr w:type="spellStart"/>
      <w:r w:rsidRPr="00CC19F7">
        <w:t>samlar</w:t>
      </w:r>
      <w:proofErr w:type="spellEnd"/>
      <w:r w:rsidRPr="00CC19F7">
        <w:t xml:space="preserve"> inn, </w:t>
      </w:r>
      <w:proofErr w:type="spellStart"/>
      <w:r w:rsidRPr="00CC19F7">
        <w:t>forvaltar</w:t>
      </w:r>
      <w:proofErr w:type="spellEnd"/>
      <w:r w:rsidRPr="00CC19F7">
        <w:t xml:space="preserve"> og </w:t>
      </w:r>
      <w:proofErr w:type="spellStart"/>
      <w:r w:rsidRPr="00CC19F7">
        <w:t>gjer</w:t>
      </w:r>
      <w:proofErr w:type="spellEnd"/>
      <w:r w:rsidRPr="00CC19F7">
        <w:t xml:space="preserve"> data og informasjon knytt til </w:t>
      </w:r>
      <w:proofErr w:type="spellStart"/>
      <w:r w:rsidRPr="00CC19F7">
        <w:t>verksemda</w:t>
      </w:r>
      <w:proofErr w:type="spellEnd"/>
      <w:r w:rsidRPr="00CC19F7">
        <w:t xml:space="preserve"> </w:t>
      </w:r>
      <w:proofErr w:type="spellStart"/>
      <w:r w:rsidRPr="00CC19F7">
        <w:t>tilgjengeleg</w:t>
      </w:r>
      <w:proofErr w:type="spellEnd"/>
      <w:r w:rsidRPr="00CC19F7">
        <w:t>.</w:t>
      </w:r>
    </w:p>
    <w:p w14:paraId="01C5FAB2" w14:textId="77777777" w:rsidR="00FE02EF" w:rsidRPr="00CC19F7" w:rsidRDefault="00881E58" w:rsidP="00CC19F7">
      <w:r w:rsidRPr="00CC19F7">
        <w:t xml:space="preserve">Sokkeldirektoratet har ansvar for å innhente og formidle </w:t>
      </w:r>
      <w:proofErr w:type="spellStart"/>
      <w:r w:rsidRPr="00CC19F7">
        <w:t>analysar</w:t>
      </w:r>
      <w:proofErr w:type="spellEnd"/>
      <w:r w:rsidRPr="00CC19F7">
        <w:t xml:space="preserve"> og kunnskap om petroleumspotensialet, </w:t>
      </w:r>
      <w:proofErr w:type="spellStart"/>
      <w:r w:rsidRPr="00CC19F7">
        <w:t>mineralressursane</w:t>
      </w:r>
      <w:proofErr w:type="spellEnd"/>
      <w:r w:rsidRPr="00CC19F7">
        <w:t xml:space="preserve"> og lagringspotensialet for CO</w:t>
      </w:r>
      <w:r w:rsidRPr="00CC19F7">
        <w:rPr>
          <w:rStyle w:val="skrift-senket"/>
        </w:rPr>
        <w:t>2</w:t>
      </w:r>
      <w:r w:rsidRPr="00CC19F7">
        <w:t xml:space="preserve"> på norsk sokkel for mellom anna å bidra til attraktivitet og konkurransekraft for norsk sokkel.</w:t>
      </w:r>
    </w:p>
    <w:p w14:paraId="232F25A1" w14:textId="77777777" w:rsidR="00FE02EF" w:rsidRPr="00CC19F7" w:rsidRDefault="00881E58" w:rsidP="00CC19F7">
      <w:pPr>
        <w:pStyle w:val="avsnitt-undertittel"/>
      </w:pPr>
      <w:r w:rsidRPr="00CC19F7">
        <w:t xml:space="preserve">Legge til rette for undersøking og utvinning av </w:t>
      </w:r>
      <w:proofErr w:type="spellStart"/>
      <w:r w:rsidRPr="00CC19F7">
        <w:t>mineralførekomstar</w:t>
      </w:r>
      <w:proofErr w:type="spellEnd"/>
      <w:r w:rsidRPr="00CC19F7">
        <w:t xml:space="preserve"> på kontinentalsokkelen</w:t>
      </w:r>
    </w:p>
    <w:p w14:paraId="62C35659" w14:textId="77777777" w:rsidR="00FE02EF" w:rsidRPr="00CC19F7" w:rsidRDefault="00881E58" w:rsidP="00CC19F7">
      <w:r w:rsidRPr="00CC19F7">
        <w:t xml:space="preserve">Sokkeldirektoratet skal bistå, gi råd til departementet og legge til rette for undersøking og utvinning av </w:t>
      </w:r>
      <w:proofErr w:type="spellStart"/>
      <w:r w:rsidRPr="00CC19F7">
        <w:t>mineralførekomstar</w:t>
      </w:r>
      <w:proofErr w:type="spellEnd"/>
      <w:r w:rsidRPr="00CC19F7">
        <w:t xml:space="preserve"> på kontinentalsokkelen, deriblant i forvaltninga av område som blir </w:t>
      </w:r>
      <w:proofErr w:type="spellStart"/>
      <w:r w:rsidRPr="00CC19F7">
        <w:t>opna</w:t>
      </w:r>
      <w:proofErr w:type="spellEnd"/>
      <w:r w:rsidRPr="00CC19F7">
        <w:t xml:space="preserve"> for slik </w:t>
      </w:r>
      <w:proofErr w:type="spellStart"/>
      <w:r w:rsidRPr="00CC19F7">
        <w:t>verksemd</w:t>
      </w:r>
      <w:proofErr w:type="spellEnd"/>
      <w:r w:rsidRPr="00CC19F7">
        <w:t>.</w:t>
      </w:r>
    </w:p>
    <w:p w14:paraId="7AD48266" w14:textId="77777777" w:rsidR="00FE02EF" w:rsidRPr="00CC19F7" w:rsidRDefault="00881E58" w:rsidP="00CC19F7">
      <w:pPr>
        <w:pStyle w:val="avsnitt-undertittel"/>
      </w:pPr>
      <w:r w:rsidRPr="00CC19F7">
        <w:t>Legge til rette for sikker lagring av CO</w:t>
      </w:r>
      <w:r w:rsidRPr="00CC19F7">
        <w:rPr>
          <w:rStyle w:val="skrift-senket"/>
        </w:rPr>
        <w:t>2</w:t>
      </w:r>
    </w:p>
    <w:p w14:paraId="459B7CBD" w14:textId="77777777" w:rsidR="00FE02EF" w:rsidRPr="00CC19F7" w:rsidRDefault="00881E58" w:rsidP="00CC19F7">
      <w:r w:rsidRPr="00CC19F7">
        <w:t xml:space="preserve">Sokkeldirektoratet skal bistå og gi råd til departementet når det </w:t>
      </w:r>
      <w:proofErr w:type="spellStart"/>
      <w:r w:rsidRPr="00CC19F7">
        <w:t>gjeld</w:t>
      </w:r>
      <w:proofErr w:type="spellEnd"/>
      <w:r w:rsidRPr="00CC19F7">
        <w:t xml:space="preserve"> arbeid </w:t>
      </w:r>
      <w:proofErr w:type="spellStart"/>
      <w:r w:rsidRPr="00CC19F7">
        <w:t>innan</w:t>
      </w:r>
      <w:proofErr w:type="spellEnd"/>
      <w:r w:rsidRPr="00CC19F7">
        <w:t xml:space="preserve"> injeksjon og lagring av CO</w:t>
      </w:r>
      <w:r w:rsidRPr="00CC19F7">
        <w:rPr>
          <w:rStyle w:val="skrift-senket"/>
        </w:rPr>
        <w:t>2</w:t>
      </w:r>
      <w:r w:rsidRPr="00CC19F7">
        <w:t xml:space="preserve">, mellom anna knytt til eventuelle </w:t>
      </w:r>
      <w:proofErr w:type="spellStart"/>
      <w:r w:rsidRPr="00CC19F7">
        <w:t>utlysingar</w:t>
      </w:r>
      <w:proofErr w:type="spellEnd"/>
      <w:r w:rsidRPr="00CC19F7">
        <w:t xml:space="preserve"> av areal og behandling av søknader om utnyttingsløyve og eventuelt </w:t>
      </w:r>
      <w:proofErr w:type="spellStart"/>
      <w:r w:rsidRPr="00CC19F7">
        <w:t>tilhørande</w:t>
      </w:r>
      <w:proofErr w:type="spellEnd"/>
      <w:r w:rsidRPr="00CC19F7">
        <w:t xml:space="preserve"> </w:t>
      </w:r>
      <w:proofErr w:type="spellStart"/>
      <w:r w:rsidRPr="00CC19F7">
        <w:t>utbyggingsplanar</w:t>
      </w:r>
      <w:proofErr w:type="spellEnd"/>
      <w:r w:rsidRPr="00CC19F7">
        <w:t>.</w:t>
      </w:r>
    </w:p>
    <w:p w14:paraId="790D37E6" w14:textId="77777777" w:rsidR="00FE02EF" w:rsidRPr="00CC19F7" w:rsidRDefault="00881E58" w:rsidP="00CC19F7">
      <w:pPr>
        <w:pStyle w:val="avsnitt-tittel"/>
      </w:pPr>
      <w:r w:rsidRPr="00CC19F7">
        <w:t>Resultat 2022</w:t>
      </w:r>
    </w:p>
    <w:p w14:paraId="0B265936" w14:textId="77777777" w:rsidR="00FE02EF" w:rsidRPr="00CC19F7" w:rsidRDefault="00881E58" w:rsidP="00CC19F7">
      <w:r w:rsidRPr="00CC19F7">
        <w:t xml:space="preserve">Direktoratet har </w:t>
      </w:r>
      <w:proofErr w:type="spellStart"/>
      <w:r w:rsidRPr="00CC19F7">
        <w:t>følgt</w:t>
      </w:r>
      <w:proofErr w:type="spellEnd"/>
      <w:r w:rsidRPr="00CC19F7">
        <w:t xml:space="preserve"> opp </w:t>
      </w:r>
      <w:proofErr w:type="spellStart"/>
      <w:r w:rsidRPr="00CC19F7">
        <w:t>hovudmålet</w:t>
      </w:r>
      <w:proofErr w:type="spellEnd"/>
      <w:r w:rsidRPr="00CC19F7">
        <w:t xml:space="preserve"> og delmåla for direktoratet slik </w:t>
      </w:r>
      <w:proofErr w:type="spellStart"/>
      <w:r w:rsidRPr="00CC19F7">
        <w:t>dei</w:t>
      </w:r>
      <w:proofErr w:type="spellEnd"/>
      <w:r w:rsidRPr="00CC19F7">
        <w:t xml:space="preserve"> er omtalte i </w:t>
      </w:r>
      <w:proofErr w:type="spellStart"/>
      <w:r w:rsidRPr="00CC19F7">
        <w:t>Prop</w:t>
      </w:r>
      <w:proofErr w:type="spellEnd"/>
      <w:r w:rsidRPr="00CC19F7">
        <w:t xml:space="preserve">. 1 S (2021–2022). For å nå </w:t>
      </w:r>
      <w:proofErr w:type="spellStart"/>
      <w:r w:rsidRPr="00CC19F7">
        <w:t>hovudmålet</w:t>
      </w:r>
      <w:proofErr w:type="spellEnd"/>
      <w:r w:rsidRPr="00CC19F7">
        <w:t xml:space="preserve"> sitt har Sokkeldirektoratet i 2022 </w:t>
      </w:r>
      <w:proofErr w:type="spellStart"/>
      <w:r w:rsidRPr="00CC19F7">
        <w:t>arbeidd</w:t>
      </w:r>
      <w:proofErr w:type="spellEnd"/>
      <w:r w:rsidRPr="00CC19F7">
        <w:t xml:space="preserve"> med ulike </w:t>
      </w:r>
      <w:proofErr w:type="spellStart"/>
      <w:r w:rsidRPr="00CC19F7">
        <w:t>aktivitetar</w:t>
      </w:r>
      <w:proofErr w:type="spellEnd"/>
      <w:r w:rsidRPr="00CC19F7">
        <w:t xml:space="preserve"> og </w:t>
      </w:r>
      <w:proofErr w:type="spellStart"/>
      <w:r w:rsidRPr="00CC19F7">
        <w:t>oppgåver</w:t>
      </w:r>
      <w:proofErr w:type="spellEnd"/>
      <w:r w:rsidRPr="00CC19F7">
        <w:t xml:space="preserve"> kategoriserte under </w:t>
      </w:r>
      <w:proofErr w:type="spellStart"/>
      <w:r w:rsidRPr="00CC19F7">
        <w:t>dei</w:t>
      </w:r>
      <w:proofErr w:type="spellEnd"/>
      <w:r w:rsidRPr="00CC19F7">
        <w:t xml:space="preserve"> </w:t>
      </w:r>
      <w:proofErr w:type="spellStart"/>
      <w:r w:rsidRPr="00CC19F7">
        <w:t>nærmare</w:t>
      </w:r>
      <w:proofErr w:type="spellEnd"/>
      <w:r w:rsidRPr="00CC19F7">
        <w:t xml:space="preserve"> spesifiserte delmåla.</w:t>
      </w:r>
    </w:p>
    <w:p w14:paraId="59391A66" w14:textId="77777777" w:rsidR="00FE02EF" w:rsidRPr="00CC19F7" w:rsidRDefault="00881E58" w:rsidP="00CC19F7">
      <w:r w:rsidRPr="00CC19F7">
        <w:t xml:space="preserve">I 2022 prioriterte direktoratet arbeid med å </w:t>
      </w:r>
      <w:proofErr w:type="spellStart"/>
      <w:r w:rsidRPr="00CC19F7">
        <w:t>vidareutvikle</w:t>
      </w:r>
      <w:proofErr w:type="spellEnd"/>
      <w:r w:rsidRPr="00CC19F7">
        <w:t xml:space="preserve"> ei systematisk oppfølging av aktiviteten i utvinningsløyve for å bidra til utforsking, utvikling av funn og </w:t>
      </w:r>
      <w:proofErr w:type="spellStart"/>
      <w:r w:rsidRPr="00CC19F7">
        <w:t>verdiskapande</w:t>
      </w:r>
      <w:proofErr w:type="spellEnd"/>
      <w:r w:rsidRPr="00CC19F7">
        <w:t xml:space="preserve"> aktivitet på felt i drift, og med å utvikle digitale system og </w:t>
      </w:r>
      <w:proofErr w:type="spellStart"/>
      <w:r w:rsidRPr="00CC19F7">
        <w:t>prosessar</w:t>
      </w:r>
      <w:proofErr w:type="spellEnd"/>
      <w:r w:rsidRPr="00CC19F7">
        <w:t xml:space="preserve"> for å effektivisere og </w:t>
      </w:r>
      <w:proofErr w:type="spellStart"/>
      <w:r w:rsidRPr="00CC19F7">
        <w:t>forbetre</w:t>
      </w:r>
      <w:proofErr w:type="spellEnd"/>
      <w:r w:rsidRPr="00CC19F7">
        <w:t xml:space="preserve"> innsamling </w:t>
      </w:r>
      <w:proofErr w:type="spellStart"/>
      <w:r w:rsidRPr="00CC19F7">
        <w:t>frå</w:t>
      </w:r>
      <w:proofErr w:type="spellEnd"/>
      <w:r w:rsidRPr="00CC19F7">
        <w:t xml:space="preserve"> og deling av data med og </w:t>
      </w:r>
      <w:proofErr w:type="spellStart"/>
      <w:r w:rsidRPr="00CC19F7">
        <w:t>innanfor</w:t>
      </w:r>
      <w:proofErr w:type="spellEnd"/>
      <w:r w:rsidRPr="00CC19F7">
        <w:t xml:space="preserve"> industri og </w:t>
      </w:r>
      <w:proofErr w:type="spellStart"/>
      <w:r w:rsidRPr="00CC19F7">
        <w:t>offentlegheit</w:t>
      </w:r>
      <w:proofErr w:type="spellEnd"/>
      <w:r w:rsidRPr="00CC19F7">
        <w:t>.</w:t>
      </w:r>
    </w:p>
    <w:p w14:paraId="7EB69437" w14:textId="77777777" w:rsidR="00FE02EF" w:rsidRPr="00CC19F7" w:rsidRDefault="00881E58" w:rsidP="00CC19F7">
      <w:proofErr w:type="spellStart"/>
      <w:r w:rsidRPr="00CC19F7">
        <w:t>Vidare</w:t>
      </w:r>
      <w:proofErr w:type="spellEnd"/>
      <w:r w:rsidRPr="00CC19F7">
        <w:t xml:space="preserve"> gjennomførte direktoratet i 2022 ei verdivurdering av innsatsen sin </w:t>
      </w:r>
      <w:proofErr w:type="spellStart"/>
      <w:r w:rsidRPr="00CC19F7">
        <w:t>innan</w:t>
      </w:r>
      <w:proofErr w:type="spellEnd"/>
      <w:r w:rsidRPr="00CC19F7">
        <w:t xml:space="preserve"> </w:t>
      </w:r>
      <w:proofErr w:type="spellStart"/>
      <w:r w:rsidRPr="00CC19F7">
        <w:t>dei</w:t>
      </w:r>
      <w:proofErr w:type="spellEnd"/>
      <w:r w:rsidRPr="00CC19F7">
        <w:t xml:space="preserve"> ulike </w:t>
      </w:r>
      <w:proofErr w:type="spellStart"/>
      <w:r w:rsidRPr="00CC19F7">
        <w:t>deloppgåvene</w:t>
      </w:r>
      <w:proofErr w:type="spellEnd"/>
      <w:r w:rsidRPr="00CC19F7">
        <w:t xml:space="preserve"> som skal kunne brukast ved prioritering og styring av </w:t>
      </w:r>
      <w:proofErr w:type="spellStart"/>
      <w:r w:rsidRPr="00CC19F7">
        <w:t>ressursane</w:t>
      </w:r>
      <w:proofErr w:type="spellEnd"/>
      <w:r w:rsidRPr="00CC19F7">
        <w:t xml:space="preserve"> i direktoratet.</w:t>
      </w:r>
    </w:p>
    <w:p w14:paraId="3D610807" w14:textId="77777777" w:rsidR="00FE02EF" w:rsidRPr="00CC19F7" w:rsidRDefault="00881E58" w:rsidP="00CC19F7">
      <w:pPr>
        <w:pStyle w:val="avsnitt-undertittel"/>
      </w:pPr>
      <w:r w:rsidRPr="00CC19F7">
        <w:t xml:space="preserve">Rasjonell og </w:t>
      </w:r>
      <w:proofErr w:type="spellStart"/>
      <w:r w:rsidRPr="00CC19F7">
        <w:t>heilskapleg</w:t>
      </w:r>
      <w:proofErr w:type="spellEnd"/>
      <w:r w:rsidRPr="00CC19F7">
        <w:t xml:space="preserve"> arealforvaltning, tildeling av attraktivt </w:t>
      </w:r>
      <w:proofErr w:type="spellStart"/>
      <w:r w:rsidRPr="00CC19F7">
        <w:t>leiteareal</w:t>
      </w:r>
      <w:proofErr w:type="spellEnd"/>
      <w:r w:rsidRPr="00CC19F7">
        <w:t xml:space="preserve"> og langsiktig ressurstilgang</w:t>
      </w:r>
    </w:p>
    <w:p w14:paraId="4E7DCCBC" w14:textId="77777777" w:rsidR="00FE02EF" w:rsidRPr="00CC19F7" w:rsidRDefault="00881E58" w:rsidP="00CC19F7">
      <w:r w:rsidRPr="00CC19F7">
        <w:t xml:space="preserve">Sokkeldirektoratet oppdaterte </w:t>
      </w:r>
      <w:proofErr w:type="spellStart"/>
      <w:r w:rsidRPr="00CC19F7">
        <w:t>hausten</w:t>
      </w:r>
      <w:proofErr w:type="spellEnd"/>
      <w:r w:rsidRPr="00CC19F7">
        <w:t xml:space="preserve"> 2022 estimata for uoppdaga </w:t>
      </w:r>
      <w:proofErr w:type="spellStart"/>
      <w:r w:rsidRPr="00CC19F7">
        <w:t>petroleumsressursar</w:t>
      </w:r>
      <w:proofErr w:type="spellEnd"/>
      <w:r w:rsidRPr="00CC19F7">
        <w:t xml:space="preserve"> på norsk sokkel. Estimata viser at det </w:t>
      </w:r>
      <w:proofErr w:type="spellStart"/>
      <w:r w:rsidRPr="00CC19F7">
        <w:t>framleis</w:t>
      </w:r>
      <w:proofErr w:type="spellEnd"/>
      <w:r w:rsidRPr="00CC19F7">
        <w:t xml:space="preserve"> er </w:t>
      </w:r>
      <w:proofErr w:type="spellStart"/>
      <w:r w:rsidRPr="00CC19F7">
        <w:t>eit</w:t>
      </w:r>
      <w:proofErr w:type="spellEnd"/>
      <w:r w:rsidRPr="00CC19F7">
        <w:t xml:space="preserve"> </w:t>
      </w:r>
      <w:proofErr w:type="spellStart"/>
      <w:r w:rsidRPr="00CC19F7">
        <w:t>betydeleg</w:t>
      </w:r>
      <w:proofErr w:type="spellEnd"/>
      <w:r w:rsidRPr="00CC19F7">
        <w:t xml:space="preserve"> potensial for uoppdaga </w:t>
      </w:r>
      <w:proofErr w:type="spellStart"/>
      <w:r w:rsidRPr="00CC19F7">
        <w:t>ressursar</w:t>
      </w:r>
      <w:proofErr w:type="spellEnd"/>
      <w:r w:rsidRPr="00CC19F7">
        <w:t xml:space="preserve"> i alle havområda.</w:t>
      </w:r>
    </w:p>
    <w:p w14:paraId="4B241A1E" w14:textId="77777777" w:rsidR="00FE02EF" w:rsidRPr="00CC19F7" w:rsidRDefault="00881E58" w:rsidP="00CC19F7">
      <w:r w:rsidRPr="00CC19F7">
        <w:t xml:space="preserve">Ved utgangen av 2022 var over 200 utvinningsløyve i fasen der det blir gjennomført leiteaktivitet. Sokkeldirektoratet har </w:t>
      </w:r>
      <w:proofErr w:type="spellStart"/>
      <w:r w:rsidRPr="00CC19F7">
        <w:t>følgt</w:t>
      </w:r>
      <w:proofErr w:type="spellEnd"/>
      <w:r w:rsidRPr="00CC19F7">
        <w:t xml:space="preserve"> opp aktiviteten i </w:t>
      </w:r>
      <w:proofErr w:type="spellStart"/>
      <w:r w:rsidRPr="00CC19F7">
        <w:t>desse</w:t>
      </w:r>
      <w:proofErr w:type="spellEnd"/>
      <w:r w:rsidRPr="00CC19F7">
        <w:t>.</w:t>
      </w:r>
    </w:p>
    <w:p w14:paraId="430AD83A" w14:textId="77777777" w:rsidR="00FE02EF" w:rsidRPr="00CC19F7" w:rsidRDefault="00881E58" w:rsidP="00CC19F7">
      <w:r w:rsidRPr="00CC19F7">
        <w:t xml:space="preserve">Det blei </w:t>
      </w:r>
      <w:proofErr w:type="spellStart"/>
      <w:r w:rsidRPr="00CC19F7">
        <w:t>halde</w:t>
      </w:r>
      <w:proofErr w:type="spellEnd"/>
      <w:r w:rsidRPr="00CC19F7">
        <w:t xml:space="preserve"> tildeling i førehandsdefinerte område (TFO). Sokkeldirektoratet gjennomførte ressursforvaltningsmessige </w:t>
      </w:r>
      <w:proofErr w:type="spellStart"/>
      <w:r w:rsidRPr="00CC19F7">
        <w:t>vurderingar</w:t>
      </w:r>
      <w:proofErr w:type="spellEnd"/>
      <w:r w:rsidRPr="00CC19F7">
        <w:t xml:space="preserve"> av </w:t>
      </w:r>
      <w:proofErr w:type="spellStart"/>
      <w:r w:rsidRPr="00CC19F7">
        <w:t>søknadane</w:t>
      </w:r>
      <w:proofErr w:type="spellEnd"/>
      <w:r w:rsidRPr="00CC19F7">
        <w:t xml:space="preserve">. Dette danna grunnlag for forslag til departementet om nye utvinningsløyve med </w:t>
      </w:r>
      <w:proofErr w:type="spellStart"/>
      <w:r w:rsidRPr="00CC19F7">
        <w:t>tilhøyrande</w:t>
      </w:r>
      <w:proofErr w:type="spellEnd"/>
      <w:r w:rsidRPr="00CC19F7">
        <w:t xml:space="preserve"> </w:t>
      </w:r>
      <w:proofErr w:type="spellStart"/>
      <w:r w:rsidRPr="00CC19F7">
        <w:t>forpliktingar</w:t>
      </w:r>
      <w:proofErr w:type="spellEnd"/>
      <w:r w:rsidRPr="00CC19F7">
        <w:t>.</w:t>
      </w:r>
    </w:p>
    <w:p w14:paraId="1215EF0E" w14:textId="77777777" w:rsidR="00FE02EF" w:rsidRPr="00CC19F7" w:rsidRDefault="00881E58" w:rsidP="00CC19F7">
      <w:r w:rsidRPr="00CC19F7">
        <w:t xml:space="preserve">Arbeid med å bidra til god sameksistens med andre </w:t>
      </w:r>
      <w:proofErr w:type="spellStart"/>
      <w:r w:rsidRPr="00CC19F7">
        <w:t>næringar</w:t>
      </w:r>
      <w:proofErr w:type="spellEnd"/>
      <w:r w:rsidRPr="00CC19F7">
        <w:t xml:space="preserve"> på kontinentalsokkelen er gjennomført, mellom anna gjennom ei </w:t>
      </w:r>
      <w:proofErr w:type="spellStart"/>
      <w:r w:rsidRPr="00CC19F7">
        <w:t>tverretatleg</w:t>
      </w:r>
      <w:proofErr w:type="spellEnd"/>
      <w:r w:rsidRPr="00CC19F7">
        <w:t xml:space="preserve"> arbeidsgruppe som skal vurdere aktuelle område for etablering av havvind og ved å gi </w:t>
      </w:r>
      <w:proofErr w:type="spellStart"/>
      <w:r w:rsidRPr="00CC19F7">
        <w:t>innspel</w:t>
      </w:r>
      <w:proofErr w:type="spellEnd"/>
      <w:r w:rsidRPr="00CC19F7">
        <w:t xml:space="preserve"> til forslag til område for havbruk.</w:t>
      </w:r>
    </w:p>
    <w:p w14:paraId="6E80B896" w14:textId="77777777" w:rsidR="00FE02EF" w:rsidRPr="00CC19F7" w:rsidRDefault="00881E58" w:rsidP="00CC19F7">
      <w:pPr>
        <w:pStyle w:val="avsnitt-undertittel"/>
      </w:pPr>
      <w:r w:rsidRPr="00CC19F7">
        <w:t xml:space="preserve">Arbeide for samfunnsøkonomisk </w:t>
      </w:r>
      <w:proofErr w:type="spellStart"/>
      <w:r w:rsidRPr="00CC19F7">
        <w:t>lønnsam</w:t>
      </w:r>
      <w:proofErr w:type="spellEnd"/>
      <w:r w:rsidRPr="00CC19F7">
        <w:t xml:space="preserve"> utvinning av petroleum gjennom </w:t>
      </w:r>
      <w:proofErr w:type="spellStart"/>
      <w:r w:rsidRPr="00CC19F7">
        <w:t>forsvarleg</w:t>
      </w:r>
      <w:proofErr w:type="spellEnd"/>
      <w:r w:rsidRPr="00CC19F7">
        <w:t xml:space="preserve"> og effektiv leiting, utbygging og drift</w:t>
      </w:r>
    </w:p>
    <w:p w14:paraId="5B363DCA" w14:textId="77777777" w:rsidR="00FE02EF" w:rsidRPr="00CC19F7" w:rsidRDefault="00881E58" w:rsidP="00CC19F7">
      <w:r w:rsidRPr="00CC19F7">
        <w:t xml:space="preserve">Ved utgangen av 2022 var det over 500 aktive utvinningsløyve på norsk kontinentalsokkel. 29 </w:t>
      </w:r>
      <w:proofErr w:type="spellStart"/>
      <w:r w:rsidRPr="00CC19F7">
        <w:t>rettshavarar</w:t>
      </w:r>
      <w:proofErr w:type="spellEnd"/>
      <w:r w:rsidRPr="00CC19F7">
        <w:t xml:space="preserve"> i ulike </w:t>
      </w:r>
      <w:proofErr w:type="spellStart"/>
      <w:r w:rsidRPr="00CC19F7">
        <w:t>samansetningar</w:t>
      </w:r>
      <w:proofErr w:type="spellEnd"/>
      <w:r w:rsidRPr="00CC19F7">
        <w:t xml:space="preserve"> </w:t>
      </w:r>
      <w:proofErr w:type="spellStart"/>
      <w:r w:rsidRPr="00CC19F7">
        <w:t>forvaltar</w:t>
      </w:r>
      <w:proofErr w:type="spellEnd"/>
      <w:r w:rsidRPr="00CC19F7">
        <w:t xml:space="preserve"> </w:t>
      </w:r>
      <w:proofErr w:type="spellStart"/>
      <w:r w:rsidRPr="00CC19F7">
        <w:t>desse</w:t>
      </w:r>
      <w:proofErr w:type="spellEnd"/>
      <w:r w:rsidRPr="00CC19F7">
        <w:t xml:space="preserve"> løyva i </w:t>
      </w:r>
      <w:proofErr w:type="spellStart"/>
      <w:r w:rsidRPr="00CC19F7">
        <w:t>fasane</w:t>
      </w:r>
      <w:proofErr w:type="spellEnd"/>
      <w:r w:rsidRPr="00CC19F7">
        <w:t xml:space="preserve"> </w:t>
      </w:r>
      <w:proofErr w:type="spellStart"/>
      <w:r w:rsidRPr="00CC19F7">
        <w:t>frå</w:t>
      </w:r>
      <w:proofErr w:type="spellEnd"/>
      <w:r w:rsidRPr="00CC19F7">
        <w:t xml:space="preserve"> leiting, utbygging og drift til avslutning og fjerning. Det var 79 funn med </w:t>
      </w:r>
      <w:proofErr w:type="spellStart"/>
      <w:r w:rsidRPr="00CC19F7">
        <w:t>eit</w:t>
      </w:r>
      <w:proofErr w:type="spellEnd"/>
      <w:r w:rsidRPr="00CC19F7">
        <w:t xml:space="preserve"> samla utvinnbart volum på 470 mill. Sm</w:t>
      </w:r>
      <w:r w:rsidRPr="00CC19F7">
        <w:rPr>
          <w:rStyle w:val="skrift-hevet"/>
        </w:rPr>
        <w:t>3</w:t>
      </w:r>
      <w:r w:rsidRPr="00CC19F7">
        <w:t xml:space="preserve"> </w:t>
      </w:r>
      <w:proofErr w:type="spellStart"/>
      <w:r w:rsidRPr="00CC19F7">
        <w:t>o.e</w:t>
      </w:r>
      <w:proofErr w:type="spellEnd"/>
      <w:r w:rsidRPr="00CC19F7">
        <w:t xml:space="preserve">. Det er samla mange prosjekt på felt i drift. Sokkeldirektoratet følger opp aktiviteten til </w:t>
      </w:r>
      <w:proofErr w:type="spellStart"/>
      <w:r w:rsidRPr="00CC19F7">
        <w:t>rettshavarane</w:t>
      </w:r>
      <w:proofErr w:type="spellEnd"/>
      <w:r w:rsidRPr="00CC19F7">
        <w:t xml:space="preserve"> i utvinningsløyva. Omfanget av oppfølginga varierer etter behov og kapasiteten til direktoratet.</w:t>
      </w:r>
    </w:p>
    <w:p w14:paraId="4AED4C6B" w14:textId="77777777" w:rsidR="00FE02EF" w:rsidRPr="00CC19F7" w:rsidRDefault="00881E58" w:rsidP="00CC19F7">
      <w:r w:rsidRPr="00CC19F7">
        <w:t xml:space="preserve">Aktiviteten i alle felt i drift blir </w:t>
      </w:r>
      <w:proofErr w:type="spellStart"/>
      <w:r w:rsidRPr="00CC19F7">
        <w:t>følgd</w:t>
      </w:r>
      <w:proofErr w:type="spellEnd"/>
      <w:r w:rsidRPr="00CC19F7">
        <w:t xml:space="preserve"> opp, men med ulik innsats basert på </w:t>
      </w:r>
      <w:proofErr w:type="spellStart"/>
      <w:r w:rsidRPr="00CC19F7">
        <w:t>ein</w:t>
      </w:r>
      <w:proofErr w:type="spellEnd"/>
      <w:r w:rsidRPr="00CC19F7">
        <w:t xml:space="preserve"> prioriteringsprosess. Sokkeldirektoratet er </w:t>
      </w:r>
      <w:proofErr w:type="spellStart"/>
      <w:r w:rsidRPr="00CC19F7">
        <w:t>særleg</w:t>
      </w:r>
      <w:proofErr w:type="spellEnd"/>
      <w:r w:rsidRPr="00CC19F7">
        <w:t xml:space="preserve"> opptatt av at det blir </w:t>
      </w:r>
      <w:proofErr w:type="spellStart"/>
      <w:r w:rsidRPr="00CC19F7">
        <w:t>arbeidd</w:t>
      </w:r>
      <w:proofErr w:type="spellEnd"/>
      <w:r w:rsidRPr="00CC19F7">
        <w:t xml:space="preserve"> med tiltak for </w:t>
      </w:r>
      <w:proofErr w:type="spellStart"/>
      <w:r w:rsidRPr="00CC19F7">
        <w:t>auka</w:t>
      </w:r>
      <w:proofErr w:type="spellEnd"/>
      <w:r w:rsidRPr="00CC19F7">
        <w:t xml:space="preserve"> utvinning, at lønnsame tiltak blir vedtatt, og at </w:t>
      </w:r>
      <w:proofErr w:type="spellStart"/>
      <w:r w:rsidRPr="00CC19F7">
        <w:t>dei</w:t>
      </w:r>
      <w:proofErr w:type="spellEnd"/>
      <w:r w:rsidRPr="00CC19F7">
        <w:t xml:space="preserve"> blir gjennomførte i samsvar med </w:t>
      </w:r>
      <w:proofErr w:type="spellStart"/>
      <w:r w:rsidRPr="00CC19F7">
        <w:t>planlagd</w:t>
      </w:r>
      <w:proofErr w:type="spellEnd"/>
      <w:r w:rsidRPr="00CC19F7">
        <w:t xml:space="preserve"> framdrift. I dialog med </w:t>
      </w:r>
      <w:proofErr w:type="spellStart"/>
      <w:r w:rsidRPr="00CC19F7">
        <w:t>rettshavarane</w:t>
      </w:r>
      <w:proofErr w:type="spellEnd"/>
      <w:r w:rsidRPr="00CC19F7">
        <w:t xml:space="preserve"> stiller Sokkeldirektoratet </w:t>
      </w:r>
      <w:proofErr w:type="spellStart"/>
      <w:r w:rsidRPr="00CC19F7">
        <w:t>forventningar</w:t>
      </w:r>
      <w:proofErr w:type="spellEnd"/>
      <w:r w:rsidRPr="00CC19F7">
        <w:t xml:space="preserve"> og etterspør tiltak. For å kunne utfordre selskapa er det viktig at Sokkeldirektoratet har god kunnskap om </w:t>
      </w:r>
      <w:proofErr w:type="spellStart"/>
      <w:r w:rsidRPr="00CC19F7">
        <w:t>førekomstane</w:t>
      </w:r>
      <w:proofErr w:type="spellEnd"/>
      <w:r w:rsidRPr="00CC19F7">
        <w:t xml:space="preserve"> og om teknologi som kan </w:t>
      </w:r>
      <w:proofErr w:type="spellStart"/>
      <w:r w:rsidRPr="00CC19F7">
        <w:t>nyttast</w:t>
      </w:r>
      <w:proofErr w:type="spellEnd"/>
      <w:r w:rsidRPr="00CC19F7">
        <w:t xml:space="preserve"> for å maksimere </w:t>
      </w:r>
      <w:proofErr w:type="spellStart"/>
      <w:r w:rsidRPr="00CC19F7">
        <w:t>lønnsemd</w:t>
      </w:r>
      <w:proofErr w:type="spellEnd"/>
      <w:r w:rsidRPr="00CC19F7">
        <w:t xml:space="preserve"> og ressursuttak. For å oppnå dette har Sokkeldirektoratet kontakt med forskingsmiljø, </w:t>
      </w:r>
      <w:proofErr w:type="spellStart"/>
      <w:r w:rsidRPr="00CC19F7">
        <w:t>leverandørar</w:t>
      </w:r>
      <w:proofErr w:type="spellEnd"/>
      <w:r w:rsidRPr="00CC19F7">
        <w:t xml:space="preserve"> og </w:t>
      </w:r>
      <w:proofErr w:type="spellStart"/>
      <w:r w:rsidRPr="00CC19F7">
        <w:t>rettshavarar</w:t>
      </w:r>
      <w:proofErr w:type="spellEnd"/>
      <w:r w:rsidRPr="00CC19F7">
        <w:t>.</w:t>
      </w:r>
    </w:p>
    <w:p w14:paraId="0C997D24" w14:textId="77777777" w:rsidR="00FE02EF" w:rsidRPr="00CC19F7" w:rsidRDefault="00881E58" w:rsidP="00CC19F7">
      <w:r w:rsidRPr="00CC19F7">
        <w:t>I 2022 blei det gjort tolv nye funn med samla utvinnbare volum på 52 mill. Sm</w:t>
      </w:r>
      <w:r w:rsidRPr="00CC19F7">
        <w:rPr>
          <w:rStyle w:val="skrift-hevet"/>
        </w:rPr>
        <w:t>3</w:t>
      </w:r>
      <w:r w:rsidRPr="00CC19F7">
        <w:t xml:space="preserve"> </w:t>
      </w:r>
      <w:proofErr w:type="spellStart"/>
      <w:r w:rsidRPr="00CC19F7">
        <w:t>o.e</w:t>
      </w:r>
      <w:proofErr w:type="spellEnd"/>
      <w:r w:rsidRPr="00CC19F7">
        <w:t xml:space="preserve">. Sokkeldirektoratet oppsummerte status, framdrift og tidskritikalitet for alle funn i </w:t>
      </w:r>
      <w:proofErr w:type="spellStart"/>
      <w:r w:rsidRPr="00CC19F7">
        <w:t>ein</w:t>
      </w:r>
      <w:proofErr w:type="spellEnd"/>
      <w:r w:rsidRPr="00CC19F7">
        <w:t xml:space="preserve"> egen rapport. I 2022 blei det tatt investeringsavgjerd for </w:t>
      </w:r>
      <w:proofErr w:type="spellStart"/>
      <w:r w:rsidRPr="00CC19F7">
        <w:t>fleire</w:t>
      </w:r>
      <w:proofErr w:type="spellEnd"/>
      <w:r w:rsidRPr="00CC19F7">
        <w:t xml:space="preserve"> prosjekt som </w:t>
      </w:r>
      <w:proofErr w:type="spellStart"/>
      <w:r w:rsidRPr="00CC19F7">
        <w:t>omfattar</w:t>
      </w:r>
      <w:proofErr w:type="spellEnd"/>
      <w:r w:rsidRPr="00CC19F7">
        <w:t xml:space="preserve"> </w:t>
      </w:r>
      <w:proofErr w:type="spellStart"/>
      <w:r w:rsidRPr="00CC19F7">
        <w:t>ressursar</w:t>
      </w:r>
      <w:proofErr w:type="spellEnd"/>
      <w:r w:rsidRPr="00CC19F7">
        <w:t xml:space="preserve"> som Sokkeldirektoratet hadde definert som tidskritiske.</w:t>
      </w:r>
    </w:p>
    <w:p w14:paraId="77628080" w14:textId="77777777" w:rsidR="00FE02EF" w:rsidRPr="00CC19F7" w:rsidRDefault="00881E58" w:rsidP="00CC19F7">
      <w:r w:rsidRPr="00CC19F7">
        <w:t xml:space="preserve">Sokkeldirektoratet har utfordra </w:t>
      </w:r>
      <w:proofErr w:type="spellStart"/>
      <w:r w:rsidRPr="00CC19F7">
        <w:t>rettshavarane</w:t>
      </w:r>
      <w:proofErr w:type="spellEnd"/>
      <w:r w:rsidRPr="00CC19F7">
        <w:t xml:space="preserve"> i alle prosjekt når det </w:t>
      </w:r>
      <w:proofErr w:type="spellStart"/>
      <w:r w:rsidRPr="00CC19F7">
        <w:t>gjeld</w:t>
      </w:r>
      <w:proofErr w:type="spellEnd"/>
      <w:r w:rsidRPr="00CC19F7">
        <w:t xml:space="preserve"> god og </w:t>
      </w:r>
      <w:proofErr w:type="spellStart"/>
      <w:r w:rsidRPr="00CC19F7">
        <w:t>tilstrekkeleg</w:t>
      </w:r>
      <w:proofErr w:type="spellEnd"/>
      <w:r w:rsidRPr="00CC19F7">
        <w:t xml:space="preserve"> prosjektmodning, og gode planar for prosjektgjennomføring, fram mot investeringsavgjerd og innlevering av søknad om godkjenning av utbygginga. I mars 2022 blei det </w:t>
      </w:r>
      <w:proofErr w:type="spellStart"/>
      <w:r w:rsidRPr="00CC19F7">
        <w:t>avhalde</w:t>
      </w:r>
      <w:proofErr w:type="spellEnd"/>
      <w:r w:rsidRPr="00CC19F7">
        <w:t xml:space="preserve"> </w:t>
      </w:r>
      <w:proofErr w:type="spellStart"/>
      <w:r w:rsidRPr="00CC19F7">
        <w:t>eit</w:t>
      </w:r>
      <w:proofErr w:type="spellEnd"/>
      <w:r w:rsidRPr="00CC19F7">
        <w:t xml:space="preserve"> seminar </w:t>
      </w:r>
      <w:proofErr w:type="spellStart"/>
      <w:r w:rsidRPr="00CC19F7">
        <w:t>saman</w:t>
      </w:r>
      <w:proofErr w:type="spellEnd"/>
      <w:r w:rsidRPr="00CC19F7">
        <w:t xml:space="preserve"> med Havindustritilsynet retta mot </w:t>
      </w:r>
      <w:proofErr w:type="spellStart"/>
      <w:r w:rsidRPr="00CC19F7">
        <w:t>rettshavarar</w:t>
      </w:r>
      <w:proofErr w:type="spellEnd"/>
      <w:r w:rsidRPr="00CC19F7">
        <w:t xml:space="preserve"> som planla investeringsavgjerd </w:t>
      </w:r>
      <w:proofErr w:type="spellStart"/>
      <w:r w:rsidRPr="00CC19F7">
        <w:t>innan</w:t>
      </w:r>
      <w:proofErr w:type="spellEnd"/>
      <w:r w:rsidRPr="00CC19F7">
        <w:t xml:space="preserve"> 2022. Temaet var rolla til </w:t>
      </w:r>
      <w:proofErr w:type="spellStart"/>
      <w:r w:rsidRPr="00CC19F7">
        <w:t>operatørar</w:t>
      </w:r>
      <w:proofErr w:type="spellEnd"/>
      <w:r w:rsidRPr="00CC19F7">
        <w:t xml:space="preserve"> og andre </w:t>
      </w:r>
      <w:proofErr w:type="spellStart"/>
      <w:r w:rsidRPr="00CC19F7">
        <w:t>rettshavarar</w:t>
      </w:r>
      <w:proofErr w:type="spellEnd"/>
      <w:r w:rsidRPr="00CC19F7">
        <w:t xml:space="preserve"> i samband med prosjektplanlegging og -gjennomføring, og </w:t>
      </w:r>
      <w:proofErr w:type="spellStart"/>
      <w:r w:rsidRPr="00CC19F7">
        <w:t>forventningane</w:t>
      </w:r>
      <w:proofErr w:type="spellEnd"/>
      <w:r w:rsidRPr="00CC19F7">
        <w:t xml:space="preserve"> styresmaktene hadde til </w:t>
      </w:r>
      <w:proofErr w:type="spellStart"/>
      <w:r w:rsidRPr="00CC19F7">
        <w:t>dei</w:t>
      </w:r>
      <w:proofErr w:type="spellEnd"/>
      <w:r w:rsidRPr="00CC19F7">
        <w:t xml:space="preserve">. Sokkeldirektoratet har gjennomført </w:t>
      </w:r>
      <w:proofErr w:type="spellStart"/>
      <w:r w:rsidRPr="00CC19F7">
        <w:t>møteseriar</w:t>
      </w:r>
      <w:proofErr w:type="spellEnd"/>
      <w:r w:rsidRPr="00CC19F7">
        <w:t xml:space="preserve"> med </w:t>
      </w:r>
      <w:proofErr w:type="spellStart"/>
      <w:r w:rsidRPr="00CC19F7">
        <w:t>operatørar</w:t>
      </w:r>
      <w:proofErr w:type="spellEnd"/>
      <w:r w:rsidRPr="00CC19F7">
        <w:t xml:space="preserve"> for </w:t>
      </w:r>
      <w:proofErr w:type="spellStart"/>
      <w:r w:rsidRPr="00CC19F7">
        <w:t>pågåande</w:t>
      </w:r>
      <w:proofErr w:type="spellEnd"/>
      <w:r w:rsidRPr="00CC19F7">
        <w:t xml:space="preserve"> og </w:t>
      </w:r>
      <w:proofErr w:type="spellStart"/>
      <w:r w:rsidRPr="00CC19F7">
        <w:t>nyleg</w:t>
      </w:r>
      <w:proofErr w:type="spellEnd"/>
      <w:r w:rsidRPr="00CC19F7">
        <w:t xml:space="preserve"> ferdigstilte utbyggingsprosjekt for å systematisk samla </w:t>
      </w:r>
      <w:proofErr w:type="spellStart"/>
      <w:r w:rsidRPr="00CC19F7">
        <w:t>erfaringar</w:t>
      </w:r>
      <w:proofErr w:type="spellEnd"/>
      <w:r w:rsidRPr="00CC19F7">
        <w:t xml:space="preserve"> og lærdom </w:t>
      </w:r>
      <w:proofErr w:type="spellStart"/>
      <w:r w:rsidRPr="00CC19F7">
        <w:t>frå</w:t>
      </w:r>
      <w:proofErr w:type="spellEnd"/>
      <w:r w:rsidRPr="00CC19F7">
        <w:t xml:space="preserve"> </w:t>
      </w:r>
      <w:proofErr w:type="spellStart"/>
      <w:r w:rsidRPr="00CC19F7">
        <w:t>prosjektgjennomføringane</w:t>
      </w:r>
      <w:proofErr w:type="spellEnd"/>
      <w:r w:rsidRPr="00CC19F7">
        <w:t>.</w:t>
      </w:r>
    </w:p>
    <w:p w14:paraId="18E8B812" w14:textId="77777777" w:rsidR="00FE02EF" w:rsidRPr="00CC19F7" w:rsidRDefault="00881E58" w:rsidP="00CC19F7">
      <w:r w:rsidRPr="00CC19F7">
        <w:t xml:space="preserve">I løpet av 2022 blei det levert 13 planar for nye </w:t>
      </w:r>
      <w:proofErr w:type="spellStart"/>
      <w:r w:rsidRPr="00CC19F7">
        <w:t>utbyggingar</w:t>
      </w:r>
      <w:proofErr w:type="spellEnd"/>
      <w:r w:rsidRPr="00CC19F7">
        <w:t xml:space="preserve">, og fire planar som </w:t>
      </w:r>
      <w:proofErr w:type="spellStart"/>
      <w:r w:rsidRPr="00CC19F7">
        <w:t>inneber</w:t>
      </w:r>
      <w:proofErr w:type="spellEnd"/>
      <w:r w:rsidRPr="00CC19F7">
        <w:t xml:space="preserve"> </w:t>
      </w:r>
      <w:proofErr w:type="spellStart"/>
      <w:r w:rsidRPr="00CC19F7">
        <w:t>auka</w:t>
      </w:r>
      <w:proofErr w:type="spellEnd"/>
      <w:r w:rsidRPr="00CC19F7">
        <w:t xml:space="preserve"> utvinning eller </w:t>
      </w:r>
      <w:proofErr w:type="spellStart"/>
      <w:r w:rsidRPr="00CC19F7">
        <w:t>forlengd</w:t>
      </w:r>
      <w:proofErr w:type="spellEnd"/>
      <w:r w:rsidRPr="00CC19F7">
        <w:t xml:space="preserve"> levetid på </w:t>
      </w:r>
      <w:proofErr w:type="spellStart"/>
      <w:r w:rsidRPr="00CC19F7">
        <w:t>eksisterande</w:t>
      </w:r>
      <w:proofErr w:type="spellEnd"/>
      <w:r w:rsidRPr="00CC19F7">
        <w:t xml:space="preserve"> felt.</w:t>
      </w:r>
    </w:p>
    <w:p w14:paraId="32EA50E6" w14:textId="77777777" w:rsidR="00FE02EF" w:rsidRPr="00CC19F7" w:rsidRDefault="00881E58" w:rsidP="00CC19F7">
      <w:r w:rsidRPr="00CC19F7">
        <w:t xml:space="preserve">Sokkeldirektoratet er opptatt av </w:t>
      </w:r>
      <w:proofErr w:type="spellStart"/>
      <w:r w:rsidRPr="00CC19F7">
        <w:t>auka</w:t>
      </w:r>
      <w:proofErr w:type="spellEnd"/>
      <w:r w:rsidRPr="00CC19F7">
        <w:t xml:space="preserve"> utvinning i arbeidet med å følge opp utvinningsløyve. I 2022 gav Sokkeldirektoratet departementet </w:t>
      </w:r>
      <w:proofErr w:type="spellStart"/>
      <w:r w:rsidRPr="00CC19F7">
        <w:t>faglege</w:t>
      </w:r>
      <w:proofErr w:type="spellEnd"/>
      <w:r w:rsidRPr="00CC19F7">
        <w:t xml:space="preserve"> råd i samband med ei rekke søknader, samtykke og </w:t>
      </w:r>
      <w:proofErr w:type="spellStart"/>
      <w:r w:rsidRPr="00CC19F7">
        <w:t>godkjenningar</w:t>
      </w:r>
      <w:proofErr w:type="spellEnd"/>
      <w:r w:rsidRPr="00CC19F7">
        <w:t xml:space="preserve">, mellom anna rundt 80 søknader om produksjonsløyve. 2022 var prega av høge </w:t>
      </w:r>
      <w:proofErr w:type="spellStart"/>
      <w:r w:rsidRPr="00CC19F7">
        <w:t>gassprisar</w:t>
      </w:r>
      <w:proofErr w:type="spellEnd"/>
      <w:r w:rsidRPr="00CC19F7">
        <w:t xml:space="preserve">, </w:t>
      </w:r>
      <w:proofErr w:type="spellStart"/>
      <w:r w:rsidRPr="00CC19F7">
        <w:t>noko</w:t>
      </w:r>
      <w:proofErr w:type="spellEnd"/>
      <w:r w:rsidRPr="00CC19F7">
        <w:t xml:space="preserve"> som førte til </w:t>
      </w:r>
      <w:proofErr w:type="spellStart"/>
      <w:r w:rsidRPr="00CC19F7">
        <w:t>fleire</w:t>
      </w:r>
      <w:proofErr w:type="spellEnd"/>
      <w:r w:rsidRPr="00CC19F7">
        <w:t xml:space="preserve"> søknader om </w:t>
      </w:r>
      <w:proofErr w:type="spellStart"/>
      <w:r w:rsidRPr="00CC19F7">
        <w:t>auka</w:t>
      </w:r>
      <w:proofErr w:type="spellEnd"/>
      <w:r w:rsidRPr="00CC19F7">
        <w:t xml:space="preserve"> gassuttak </w:t>
      </w:r>
      <w:proofErr w:type="spellStart"/>
      <w:r w:rsidRPr="00CC19F7">
        <w:t>frå</w:t>
      </w:r>
      <w:proofErr w:type="spellEnd"/>
      <w:r w:rsidRPr="00CC19F7">
        <w:t xml:space="preserve"> felt. Sokkeldirektoratet har vurdert </w:t>
      </w:r>
      <w:proofErr w:type="spellStart"/>
      <w:r w:rsidRPr="00CC19F7">
        <w:t>konsekvensane</w:t>
      </w:r>
      <w:proofErr w:type="spellEnd"/>
      <w:r w:rsidRPr="00CC19F7">
        <w:t xml:space="preserve"> av det </w:t>
      </w:r>
      <w:proofErr w:type="spellStart"/>
      <w:r w:rsidRPr="00CC19F7">
        <w:t>auka</w:t>
      </w:r>
      <w:proofErr w:type="spellEnd"/>
      <w:r w:rsidRPr="00CC19F7">
        <w:t xml:space="preserve"> uttaket for ressursforvaltninga.</w:t>
      </w:r>
    </w:p>
    <w:p w14:paraId="622E5088" w14:textId="77777777" w:rsidR="00FE02EF" w:rsidRPr="00CC19F7" w:rsidRDefault="00881E58" w:rsidP="00CC19F7">
      <w:r w:rsidRPr="00CC19F7">
        <w:t xml:space="preserve">Sokkeldirektoratet har tatt ei aktiv rolle i å sjå til at </w:t>
      </w:r>
      <w:proofErr w:type="spellStart"/>
      <w:r w:rsidRPr="00CC19F7">
        <w:t>rettshavarane</w:t>
      </w:r>
      <w:proofErr w:type="spellEnd"/>
      <w:r w:rsidRPr="00CC19F7">
        <w:t xml:space="preserve"> i utvinningsløyva jobbar godt med teknologiutvikling og teknologiimplementering. Sokkeldirektoratet har </w:t>
      </w:r>
      <w:proofErr w:type="spellStart"/>
      <w:r w:rsidRPr="00CC19F7">
        <w:t>vore</w:t>
      </w:r>
      <w:proofErr w:type="spellEnd"/>
      <w:r w:rsidRPr="00CC19F7">
        <w:t xml:space="preserve"> </w:t>
      </w:r>
      <w:proofErr w:type="spellStart"/>
      <w:r w:rsidRPr="00CC19F7">
        <w:t>pådrivar</w:t>
      </w:r>
      <w:proofErr w:type="spellEnd"/>
      <w:r w:rsidRPr="00CC19F7">
        <w:t xml:space="preserve"> for å få inn teknologipilotering for </w:t>
      </w:r>
      <w:proofErr w:type="spellStart"/>
      <w:r w:rsidRPr="00CC19F7">
        <w:t>auka</w:t>
      </w:r>
      <w:proofErr w:type="spellEnd"/>
      <w:r w:rsidRPr="00CC19F7">
        <w:t xml:space="preserve"> utvinning, mellom anna på Ekofisk. I 2022 var Sokkeldirektoratet </w:t>
      </w:r>
      <w:proofErr w:type="spellStart"/>
      <w:r w:rsidRPr="00CC19F7">
        <w:t>ein</w:t>
      </w:r>
      <w:proofErr w:type="spellEnd"/>
      <w:r w:rsidRPr="00CC19F7">
        <w:t xml:space="preserve"> aktiv </w:t>
      </w:r>
      <w:proofErr w:type="spellStart"/>
      <w:r w:rsidRPr="00CC19F7">
        <w:t>bidragsytar</w:t>
      </w:r>
      <w:proofErr w:type="spellEnd"/>
      <w:r w:rsidRPr="00CC19F7">
        <w:t xml:space="preserve"> i OG21 – den nasjonale teknologistrategien for olje- og </w:t>
      </w:r>
      <w:proofErr w:type="spellStart"/>
      <w:r w:rsidRPr="00CC19F7">
        <w:t>gassverksemda</w:t>
      </w:r>
      <w:proofErr w:type="spellEnd"/>
      <w:r w:rsidRPr="00CC19F7">
        <w:t xml:space="preserve"> og bidrog også i Porteføljestyret for Petroleum i </w:t>
      </w:r>
      <w:proofErr w:type="spellStart"/>
      <w:r w:rsidRPr="00CC19F7">
        <w:t>Noregs</w:t>
      </w:r>
      <w:proofErr w:type="spellEnd"/>
      <w:r w:rsidRPr="00CC19F7">
        <w:t xml:space="preserve"> forskingsråd. For å sette søkelys på verdiskaping </w:t>
      </w:r>
      <w:proofErr w:type="spellStart"/>
      <w:r w:rsidRPr="00CC19F7">
        <w:t>frå</w:t>
      </w:r>
      <w:proofErr w:type="spellEnd"/>
      <w:r w:rsidRPr="00CC19F7">
        <w:t xml:space="preserve"> implementering av teknologi og erfaringsutveksling arrangerte Sokkeldirektoratet i 2022 </w:t>
      </w:r>
      <w:proofErr w:type="spellStart"/>
      <w:r w:rsidRPr="00CC19F7">
        <w:t>ein</w:t>
      </w:r>
      <w:proofErr w:type="spellEnd"/>
      <w:r w:rsidRPr="00CC19F7">
        <w:t xml:space="preserve"> </w:t>
      </w:r>
      <w:proofErr w:type="spellStart"/>
      <w:r w:rsidRPr="00CC19F7">
        <w:t>teknologidag</w:t>
      </w:r>
      <w:proofErr w:type="spellEnd"/>
      <w:r w:rsidRPr="00CC19F7">
        <w:t xml:space="preserve">, der </w:t>
      </w:r>
      <w:proofErr w:type="spellStart"/>
      <w:r w:rsidRPr="00CC19F7">
        <w:t>operatørar</w:t>
      </w:r>
      <w:proofErr w:type="spellEnd"/>
      <w:r w:rsidRPr="00CC19F7">
        <w:t xml:space="preserve"> på sokkelen presenterte </w:t>
      </w:r>
      <w:proofErr w:type="spellStart"/>
      <w:r w:rsidRPr="00CC19F7">
        <w:t>erfaringar</w:t>
      </w:r>
      <w:proofErr w:type="spellEnd"/>
      <w:r w:rsidRPr="00CC19F7">
        <w:t xml:space="preserve"> </w:t>
      </w:r>
      <w:proofErr w:type="spellStart"/>
      <w:r w:rsidRPr="00CC19F7">
        <w:t>frå</w:t>
      </w:r>
      <w:proofErr w:type="spellEnd"/>
      <w:r w:rsidRPr="00CC19F7">
        <w:t xml:space="preserve"> implementering av </w:t>
      </w:r>
      <w:proofErr w:type="spellStart"/>
      <w:r w:rsidRPr="00CC19F7">
        <w:t>teknologiar</w:t>
      </w:r>
      <w:proofErr w:type="spellEnd"/>
      <w:r w:rsidRPr="00CC19F7">
        <w:t xml:space="preserve"> på felt. </w:t>
      </w:r>
      <w:proofErr w:type="spellStart"/>
      <w:r w:rsidRPr="00CC19F7">
        <w:t>Hausten</w:t>
      </w:r>
      <w:proofErr w:type="spellEnd"/>
      <w:r w:rsidRPr="00CC19F7">
        <w:t xml:space="preserve"> 2022 arrangerte Sokkeldirektoratet IEA EOR TCP symposium som har som formål å fremme internasjonalt samarbeid og erfaringsutveksling </w:t>
      </w:r>
      <w:proofErr w:type="spellStart"/>
      <w:r w:rsidRPr="00CC19F7">
        <w:t>innan</w:t>
      </w:r>
      <w:proofErr w:type="spellEnd"/>
      <w:r w:rsidRPr="00CC19F7">
        <w:t xml:space="preserve"> </w:t>
      </w:r>
      <w:proofErr w:type="spellStart"/>
      <w:r w:rsidRPr="00CC19F7">
        <w:t>auka</w:t>
      </w:r>
      <w:proofErr w:type="spellEnd"/>
      <w:r w:rsidRPr="00CC19F7">
        <w:t xml:space="preserve"> oljeutvinning.</w:t>
      </w:r>
    </w:p>
    <w:p w14:paraId="25D46E77" w14:textId="77777777" w:rsidR="00FE02EF" w:rsidRPr="00CC19F7" w:rsidRDefault="00881E58" w:rsidP="00CC19F7">
      <w:r w:rsidRPr="00CC19F7">
        <w:t xml:space="preserve">Sokkeldirektoratet bidrar i oppdateringa av forvaltningsplanen for alle norske havområde gjennom deltaking i </w:t>
      </w:r>
      <w:proofErr w:type="spellStart"/>
      <w:r w:rsidRPr="00CC19F7">
        <w:t>Fagleg</w:t>
      </w:r>
      <w:proofErr w:type="spellEnd"/>
      <w:r w:rsidRPr="00CC19F7">
        <w:t xml:space="preserve"> forum og </w:t>
      </w:r>
      <w:proofErr w:type="spellStart"/>
      <w:r w:rsidRPr="00CC19F7">
        <w:t>Overvakingsgruppa</w:t>
      </w:r>
      <w:proofErr w:type="spellEnd"/>
      <w:r w:rsidRPr="00CC19F7">
        <w:t xml:space="preserve">, og har som del av dette bidratt med </w:t>
      </w:r>
      <w:proofErr w:type="spellStart"/>
      <w:r w:rsidRPr="00CC19F7">
        <w:t>miljøfaglege</w:t>
      </w:r>
      <w:proofErr w:type="spellEnd"/>
      <w:r w:rsidRPr="00CC19F7">
        <w:t xml:space="preserve"> </w:t>
      </w:r>
      <w:proofErr w:type="spellStart"/>
      <w:r w:rsidRPr="00CC19F7">
        <w:t>vurderingar</w:t>
      </w:r>
      <w:proofErr w:type="spellEnd"/>
      <w:r w:rsidRPr="00CC19F7">
        <w:t xml:space="preserve"> rundt </w:t>
      </w:r>
      <w:proofErr w:type="spellStart"/>
      <w:r w:rsidRPr="00CC19F7">
        <w:t>sårbarheit</w:t>
      </w:r>
      <w:proofErr w:type="spellEnd"/>
      <w:r w:rsidRPr="00CC19F7">
        <w:t xml:space="preserve"> og miljøverdi for ulike </w:t>
      </w:r>
      <w:proofErr w:type="spellStart"/>
      <w:r w:rsidRPr="00CC19F7">
        <w:t>artar</w:t>
      </w:r>
      <w:proofErr w:type="spellEnd"/>
      <w:r w:rsidRPr="00CC19F7">
        <w:t>.</w:t>
      </w:r>
    </w:p>
    <w:p w14:paraId="619E84C6" w14:textId="77777777" w:rsidR="00FE02EF" w:rsidRPr="00CC19F7" w:rsidRDefault="00881E58" w:rsidP="00CC19F7">
      <w:pPr>
        <w:pStyle w:val="avsnitt-undertittel"/>
      </w:pPr>
      <w:r w:rsidRPr="00CC19F7">
        <w:t xml:space="preserve">Effektivt innhente, forvalte, </w:t>
      </w:r>
      <w:proofErr w:type="spellStart"/>
      <w:r w:rsidRPr="00CC19F7">
        <w:t>gjere</w:t>
      </w:r>
      <w:proofErr w:type="spellEnd"/>
      <w:r w:rsidRPr="00CC19F7">
        <w:t xml:space="preserve"> </w:t>
      </w:r>
      <w:proofErr w:type="spellStart"/>
      <w:r w:rsidRPr="00CC19F7">
        <w:t>tilgjengeleg</w:t>
      </w:r>
      <w:proofErr w:type="spellEnd"/>
      <w:r w:rsidRPr="00CC19F7">
        <w:t xml:space="preserve"> og formidle data, </w:t>
      </w:r>
      <w:proofErr w:type="spellStart"/>
      <w:r w:rsidRPr="00CC19F7">
        <w:t>analysar</w:t>
      </w:r>
      <w:proofErr w:type="spellEnd"/>
      <w:r w:rsidRPr="00CC19F7">
        <w:t xml:space="preserve"> og kunnskap om norsk kontinentalsokkel</w:t>
      </w:r>
    </w:p>
    <w:p w14:paraId="19588CF4" w14:textId="77777777" w:rsidR="00FE02EF" w:rsidRPr="00CC19F7" w:rsidRDefault="00881E58" w:rsidP="00CC19F7">
      <w:r w:rsidRPr="00CC19F7">
        <w:t xml:space="preserve">Sokkeldirektoratet har kartlagt petroleumspotensialet mellom anna ved å gjennomføre </w:t>
      </w:r>
      <w:proofErr w:type="spellStart"/>
      <w:r w:rsidRPr="00CC19F7">
        <w:t>fleire</w:t>
      </w:r>
      <w:proofErr w:type="spellEnd"/>
      <w:r w:rsidRPr="00CC19F7">
        <w:t xml:space="preserve"> </w:t>
      </w:r>
      <w:proofErr w:type="spellStart"/>
      <w:r w:rsidRPr="00CC19F7">
        <w:t>studiar</w:t>
      </w:r>
      <w:proofErr w:type="spellEnd"/>
      <w:r w:rsidRPr="00CC19F7">
        <w:t xml:space="preserve"> som har bidratt til større forståing av omfanget og frekvensen av </w:t>
      </w:r>
      <w:proofErr w:type="spellStart"/>
      <w:r w:rsidRPr="00CC19F7">
        <w:t>naturleg</w:t>
      </w:r>
      <w:proofErr w:type="spellEnd"/>
      <w:r w:rsidRPr="00CC19F7">
        <w:t xml:space="preserve"> utsiving av hydrokarbon, som igjen har betydning for forståinga av petroleumssystema. I 2022 har Sokkeldirektoratet jobba </w:t>
      </w:r>
      <w:proofErr w:type="spellStart"/>
      <w:r w:rsidRPr="00CC19F7">
        <w:t>vidare</w:t>
      </w:r>
      <w:proofErr w:type="spellEnd"/>
      <w:r w:rsidRPr="00CC19F7">
        <w:t xml:space="preserve"> med ressurskartlegginga i </w:t>
      </w:r>
      <w:proofErr w:type="spellStart"/>
      <w:r w:rsidRPr="00CC19F7">
        <w:t>uopna</w:t>
      </w:r>
      <w:proofErr w:type="spellEnd"/>
      <w:r w:rsidRPr="00CC19F7">
        <w:t xml:space="preserve"> område, i </w:t>
      </w:r>
      <w:proofErr w:type="spellStart"/>
      <w:r w:rsidRPr="00CC19F7">
        <w:t>hovudsak</w:t>
      </w:r>
      <w:proofErr w:type="spellEnd"/>
      <w:r w:rsidRPr="00CC19F7">
        <w:t xml:space="preserve"> i Barentshavet nord.</w:t>
      </w:r>
    </w:p>
    <w:p w14:paraId="75242B21" w14:textId="77777777" w:rsidR="00FE02EF" w:rsidRPr="00CC19F7" w:rsidRDefault="00881E58" w:rsidP="00CC19F7">
      <w:r w:rsidRPr="00CC19F7">
        <w:t xml:space="preserve">Sokkeldirektoratet innhenta data </w:t>
      </w:r>
      <w:proofErr w:type="spellStart"/>
      <w:r w:rsidRPr="00CC19F7">
        <w:t>frå</w:t>
      </w:r>
      <w:proofErr w:type="spellEnd"/>
      <w:r w:rsidRPr="00CC19F7">
        <w:t xml:space="preserve"> alle </w:t>
      </w:r>
      <w:proofErr w:type="spellStart"/>
      <w:r w:rsidRPr="00CC19F7">
        <w:t>operatørane</w:t>
      </w:r>
      <w:proofErr w:type="spellEnd"/>
      <w:r w:rsidRPr="00CC19F7">
        <w:t xml:space="preserve"> for felt og funn som del i arbeidet med å levere data og rapport til departementet med anslag for utviklinga framover </w:t>
      </w:r>
      <w:proofErr w:type="spellStart"/>
      <w:r w:rsidRPr="00CC19F7">
        <w:t>innan</w:t>
      </w:r>
      <w:proofErr w:type="spellEnd"/>
      <w:r w:rsidRPr="00CC19F7">
        <w:t xml:space="preserve"> </w:t>
      </w:r>
      <w:proofErr w:type="spellStart"/>
      <w:r w:rsidRPr="00CC19F7">
        <w:t>petroleumsverksemda</w:t>
      </w:r>
      <w:proofErr w:type="spellEnd"/>
      <w:r w:rsidRPr="00CC19F7">
        <w:t>.</w:t>
      </w:r>
    </w:p>
    <w:p w14:paraId="07977D90" w14:textId="77777777" w:rsidR="00FE02EF" w:rsidRPr="00CC19F7" w:rsidRDefault="00881E58" w:rsidP="00CC19F7">
      <w:r w:rsidRPr="00CC19F7">
        <w:t xml:space="preserve">Sokkeldirektoratet publiserte </w:t>
      </w:r>
      <w:proofErr w:type="spellStart"/>
      <w:r w:rsidRPr="00CC19F7">
        <w:t>ein</w:t>
      </w:r>
      <w:proofErr w:type="spellEnd"/>
      <w:r w:rsidRPr="00CC19F7">
        <w:t xml:space="preserve"> ressursrapport som gav </w:t>
      </w:r>
      <w:proofErr w:type="gramStart"/>
      <w:r w:rsidRPr="00CC19F7">
        <w:t>ei oversikt</w:t>
      </w:r>
      <w:proofErr w:type="gramEnd"/>
      <w:r w:rsidRPr="00CC19F7">
        <w:t xml:space="preserve"> over </w:t>
      </w:r>
      <w:proofErr w:type="spellStart"/>
      <w:r w:rsidRPr="00CC19F7">
        <w:t>petroleumsressursane</w:t>
      </w:r>
      <w:proofErr w:type="spellEnd"/>
      <w:r w:rsidRPr="00CC19F7">
        <w:t>, aktivitet og verdiskaping på norsk sokkel.</w:t>
      </w:r>
    </w:p>
    <w:p w14:paraId="59B8B86E" w14:textId="77777777" w:rsidR="00FE02EF" w:rsidRPr="00CC19F7" w:rsidRDefault="00881E58" w:rsidP="00CC19F7">
      <w:r w:rsidRPr="00CC19F7">
        <w:t xml:space="preserve">Sokkeldirektoratet </w:t>
      </w:r>
      <w:proofErr w:type="spellStart"/>
      <w:r w:rsidRPr="00CC19F7">
        <w:t>forvaltar</w:t>
      </w:r>
      <w:proofErr w:type="spellEnd"/>
      <w:r w:rsidRPr="00CC19F7">
        <w:t xml:space="preserve"> </w:t>
      </w:r>
      <w:proofErr w:type="spellStart"/>
      <w:r w:rsidRPr="00CC19F7">
        <w:t>ein</w:t>
      </w:r>
      <w:proofErr w:type="spellEnd"/>
      <w:r w:rsidRPr="00CC19F7">
        <w:t xml:space="preserve"> av </w:t>
      </w:r>
      <w:proofErr w:type="spellStart"/>
      <w:r w:rsidRPr="00CC19F7">
        <w:t>dei</w:t>
      </w:r>
      <w:proofErr w:type="spellEnd"/>
      <w:r w:rsidRPr="00CC19F7">
        <w:t xml:space="preserve"> største </w:t>
      </w:r>
      <w:proofErr w:type="spellStart"/>
      <w:r w:rsidRPr="00CC19F7">
        <w:t>samlingane</w:t>
      </w:r>
      <w:proofErr w:type="spellEnd"/>
      <w:r w:rsidRPr="00CC19F7">
        <w:t xml:space="preserve"> i verda av </w:t>
      </w:r>
      <w:proofErr w:type="spellStart"/>
      <w:r w:rsidRPr="00CC19F7">
        <w:t>undergrunnsdata</w:t>
      </w:r>
      <w:proofErr w:type="spellEnd"/>
      <w:r w:rsidRPr="00CC19F7">
        <w:t xml:space="preserve">. Sokkeldirektoratet har i 2022 ført </w:t>
      </w:r>
      <w:proofErr w:type="spellStart"/>
      <w:r w:rsidRPr="00CC19F7">
        <w:t>vidare</w:t>
      </w:r>
      <w:proofErr w:type="spellEnd"/>
      <w:r w:rsidRPr="00CC19F7">
        <w:t xml:space="preserve"> arbeidet med å opprettholde det konkurransefortrinnet norsk kontinentalsokkel har ved at myndighetene samler inn og tilgjengeliggjør data om norsk kontinentalsokkel. Samlinga består både av digitale data og fysiske prøver. I 2022 </w:t>
      </w:r>
      <w:proofErr w:type="spellStart"/>
      <w:r w:rsidRPr="00CC19F7">
        <w:t>auka</w:t>
      </w:r>
      <w:proofErr w:type="spellEnd"/>
      <w:r w:rsidRPr="00CC19F7">
        <w:t xml:space="preserve"> </w:t>
      </w:r>
      <w:proofErr w:type="spellStart"/>
      <w:r w:rsidRPr="00CC19F7">
        <w:t>mengda</w:t>
      </w:r>
      <w:proofErr w:type="spellEnd"/>
      <w:r w:rsidRPr="00CC19F7">
        <w:t xml:space="preserve"> seismiske data med rundt 2 </w:t>
      </w:r>
      <w:proofErr w:type="spellStart"/>
      <w:r w:rsidRPr="00CC19F7">
        <w:t>petabyte</w:t>
      </w:r>
      <w:proofErr w:type="spellEnd"/>
      <w:r w:rsidRPr="00CC19F7">
        <w:t xml:space="preserve">. </w:t>
      </w:r>
      <w:proofErr w:type="spellStart"/>
      <w:r w:rsidRPr="00CC19F7">
        <w:t>Vidare</w:t>
      </w:r>
      <w:proofErr w:type="spellEnd"/>
      <w:r w:rsidRPr="00CC19F7">
        <w:t xml:space="preserve"> blei 15 000 datasett med tolka brønndata frigitt. I 2022 har Sokkeldirektoratet òg jobba med </w:t>
      </w:r>
      <w:proofErr w:type="gramStart"/>
      <w:r w:rsidRPr="00CC19F7">
        <w:t>å henta</w:t>
      </w:r>
      <w:proofErr w:type="gramEnd"/>
      <w:r w:rsidRPr="00CC19F7">
        <w:t xml:space="preserve"> inn, forvalta og </w:t>
      </w:r>
      <w:proofErr w:type="spellStart"/>
      <w:r w:rsidRPr="00CC19F7">
        <w:t>gjera</w:t>
      </w:r>
      <w:proofErr w:type="spellEnd"/>
      <w:r w:rsidRPr="00CC19F7">
        <w:t xml:space="preserve"> </w:t>
      </w:r>
      <w:proofErr w:type="spellStart"/>
      <w:r w:rsidRPr="00CC19F7">
        <w:t>tilgjengeleg</w:t>
      </w:r>
      <w:proofErr w:type="spellEnd"/>
      <w:r w:rsidRPr="00CC19F7">
        <w:t xml:space="preserve"> digitale og fysiske data om havbotnmineral.</w:t>
      </w:r>
    </w:p>
    <w:p w14:paraId="1E8839DE" w14:textId="77777777" w:rsidR="00FE02EF" w:rsidRPr="00CC19F7" w:rsidRDefault="00881E58" w:rsidP="00CC19F7">
      <w:r w:rsidRPr="00CC19F7">
        <w:t xml:space="preserve">Sokkeldirektoratet har starta </w:t>
      </w:r>
      <w:proofErr w:type="spellStart"/>
      <w:r w:rsidRPr="00CC19F7">
        <w:t>eit</w:t>
      </w:r>
      <w:proofErr w:type="spellEnd"/>
      <w:r w:rsidRPr="00CC19F7">
        <w:t xml:space="preserve"> arbeid med å modellere korleis regional trykkutvikling blir </w:t>
      </w:r>
      <w:proofErr w:type="spellStart"/>
      <w:r w:rsidRPr="00CC19F7">
        <w:t>påverka</w:t>
      </w:r>
      <w:proofErr w:type="spellEnd"/>
      <w:r w:rsidRPr="00CC19F7">
        <w:t xml:space="preserve"> av </w:t>
      </w:r>
      <w:proofErr w:type="spellStart"/>
      <w:r w:rsidRPr="00CC19F7">
        <w:t>depletering</w:t>
      </w:r>
      <w:proofErr w:type="spellEnd"/>
      <w:r w:rsidRPr="00CC19F7">
        <w:t xml:space="preserve"> og injeksjon. Formålet er å lage </w:t>
      </w:r>
      <w:proofErr w:type="spellStart"/>
      <w:r w:rsidRPr="00CC19F7">
        <w:t>ein</w:t>
      </w:r>
      <w:proofErr w:type="spellEnd"/>
      <w:r w:rsidRPr="00CC19F7">
        <w:t xml:space="preserve"> prognose for korleis undergrunnen vil utvikla seg med </w:t>
      </w:r>
      <w:proofErr w:type="spellStart"/>
      <w:r w:rsidRPr="00CC19F7">
        <w:t>dei</w:t>
      </w:r>
      <w:proofErr w:type="spellEnd"/>
      <w:r w:rsidRPr="00CC19F7">
        <w:t xml:space="preserve"> </w:t>
      </w:r>
      <w:proofErr w:type="spellStart"/>
      <w:r w:rsidRPr="00CC19F7">
        <w:t>planane</w:t>
      </w:r>
      <w:proofErr w:type="spellEnd"/>
      <w:r w:rsidRPr="00CC19F7">
        <w:t xml:space="preserve"> som </w:t>
      </w:r>
      <w:proofErr w:type="spellStart"/>
      <w:r w:rsidRPr="00CC19F7">
        <w:t>finst</w:t>
      </w:r>
      <w:proofErr w:type="spellEnd"/>
      <w:r w:rsidRPr="00CC19F7">
        <w:t xml:space="preserve"> og gi ei </w:t>
      </w:r>
      <w:proofErr w:type="gramStart"/>
      <w:r w:rsidRPr="00CC19F7">
        <w:t>betre oversikt</w:t>
      </w:r>
      <w:proofErr w:type="gramEnd"/>
      <w:r w:rsidRPr="00CC19F7">
        <w:t xml:space="preserve"> over </w:t>
      </w:r>
      <w:proofErr w:type="spellStart"/>
      <w:r w:rsidRPr="00CC19F7">
        <w:t>moglegheitsrommet</w:t>
      </w:r>
      <w:proofErr w:type="spellEnd"/>
      <w:r w:rsidRPr="00CC19F7">
        <w:t xml:space="preserve">, spesielt </w:t>
      </w:r>
      <w:proofErr w:type="spellStart"/>
      <w:r w:rsidRPr="00CC19F7">
        <w:t>innan</w:t>
      </w:r>
      <w:proofErr w:type="spellEnd"/>
      <w:r w:rsidRPr="00CC19F7">
        <w:t xml:space="preserve"> CO</w:t>
      </w:r>
      <w:r w:rsidRPr="00CC19F7">
        <w:rPr>
          <w:rStyle w:val="skrift-senket"/>
        </w:rPr>
        <w:t>2</w:t>
      </w:r>
      <w:r w:rsidRPr="00CC19F7">
        <w:t>-lagring.</w:t>
      </w:r>
    </w:p>
    <w:p w14:paraId="6B20AE52" w14:textId="77777777" w:rsidR="00FE02EF" w:rsidRPr="00CC19F7" w:rsidRDefault="00881E58" w:rsidP="00CC19F7">
      <w:r w:rsidRPr="00CC19F7">
        <w:t xml:space="preserve">Sokkeldirektoratet arbeider for å digitalisere </w:t>
      </w:r>
      <w:proofErr w:type="spellStart"/>
      <w:r w:rsidRPr="00CC19F7">
        <w:t>verksemda</w:t>
      </w:r>
      <w:proofErr w:type="spellEnd"/>
      <w:r w:rsidRPr="00CC19F7">
        <w:t xml:space="preserve">. Prosjektet «Sokkelbiblioteket 2026» er etablert mellom anna for å bygge </w:t>
      </w:r>
      <w:proofErr w:type="spellStart"/>
      <w:r w:rsidRPr="00CC19F7">
        <w:t>ein</w:t>
      </w:r>
      <w:proofErr w:type="spellEnd"/>
      <w:r w:rsidRPr="00CC19F7">
        <w:t xml:space="preserve"> ny teknologisk grunnmur, slik at moderne teknologi kan brukast for å forvalte data, ta vare på nye </w:t>
      </w:r>
      <w:proofErr w:type="spellStart"/>
      <w:r w:rsidRPr="00CC19F7">
        <w:t>datatypar</w:t>
      </w:r>
      <w:proofErr w:type="spellEnd"/>
      <w:r w:rsidRPr="00CC19F7">
        <w:t xml:space="preserve"> og etablere gode </w:t>
      </w:r>
      <w:proofErr w:type="spellStart"/>
      <w:r w:rsidRPr="00CC19F7">
        <w:t>løysingar</w:t>
      </w:r>
      <w:proofErr w:type="spellEnd"/>
      <w:r w:rsidRPr="00CC19F7">
        <w:t xml:space="preserve"> for samhandling med </w:t>
      </w:r>
      <w:proofErr w:type="spellStart"/>
      <w:r w:rsidRPr="00CC19F7">
        <w:t>omgivnadene</w:t>
      </w:r>
      <w:proofErr w:type="spellEnd"/>
      <w:r w:rsidRPr="00CC19F7">
        <w:t xml:space="preserve">. </w:t>
      </w:r>
      <w:proofErr w:type="spellStart"/>
      <w:r w:rsidRPr="00CC19F7">
        <w:t>Fleire</w:t>
      </w:r>
      <w:proofErr w:type="spellEnd"/>
      <w:r w:rsidRPr="00CC19F7">
        <w:t xml:space="preserve"> </w:t>
      </w:r>
      <w:proofErr w:type="spellStart"/>
      <w:r w:rsidRPr="00CC19F7">
        <w:t>løysingar</w:t>
      </w:r>
      <w:proofErr w:type="spellEnd"/>
      <w:r w:rsidRPr="00CC19F7">
        <w:t xml:space="preserve"> er ferdig utvikla </w:t>
      </w:r>
      <w:proofErr w:type="gramStart"/>
      <w:r w:rsidRPr="00CC19F7">
        <w:t>og sette</w:t>
      </w:r>
      <w:proofErr w:type="gramEnd"/>
      <w:r w:rsidRPr="00CC19F7">
        <w:t xml:space="preserve"> i produksjon. I tillegg har det </w:t>
      </w:r>
      <w:proofErr w:type="spellStart"/>
      <w:r w:rsidRPr="00CC19F7">
        <w:t>tverretatlege</w:t>
      </w:r>
      <w:proofErr w:type="spellEnd"/>
      <w:r w:rsidRPr="00CC19F7">
        <w:t xml:space="preserve"> innmeldings- og saksbehandlingssystemet for fiskeri- og petroleumsindustrien blitt </w:t>
      </w:r>
      <w:proofErr w:type="spellStart"/>
      <w:r w:rsidRPr="00CC19F7">
        <w:t>vidareutvikla</w:t>
      </w:r>
      <w:proofErr w:type="spellEnd"/>
      <w:r w:rsidRPr="00CC19F7">
        <w:t xml:space="preserve"> til også å handtere løyve </w:t>
      </w:r>
      <w:proofErr w:type="spellStart"/>
      <w:r w:rsidRPr="00CC19F7">
        <w:t>innanfor</w:t>
      </w:r>
      <w:proofErr w:type="spellEnd"/>
      <w:r w:rsidRPr="00CC19F7">
        <w:t xml:space="preserve"> CO</w:t>
      </w:r>
      <w:r w:rsidRPr="00CC19F7">
        <w:rPr>
          <w:rStyle w:val="skrift-senket"/>
        </w:rPr>
        <w:t>2</w:t>
      </w:r>
      <w:r w:rsidRPr="00CC19F7">
        <w:t xml:space="preserve">-regelverket. </w:t>
      </w:r>
      <w:proofErr w:type="spellStart"/>
      <w:r w:rsidRPr="00CC19F7">
        <w:t>Vidare</w:t>
      </w:r>
      <w:proofErr w:type="spellEnd"/>
      <w:r w:rsidRPr="00CC19F7">
        <w:t xml:space="preserve"> har Sokkeldirektoratet begynt arbeidet med å effektivisere innrapporteringa av aktivitetsdata </w:t>
      </w:r>
      <w:proofErr w:type="spellStart"/>
      <w:r w:rsidRPr="00CC19F7">
        <w:t>frå</w:t>
      </w:r>
      <w:proofErr w:type="spellEnd"/>
      <w:r w:rsidRPr="00CC19F7">
        <w:t xml:space="preserve"> operatørselskapa.</w:t>
      </w:r>
    </w:p>
    <w:p w14:paraId="5FCC743A" w14:textId="77777777" w:rsidR="00FE02EF" w:rsidRPr="00CC19F7" w:rsidRDefault="00881E58" w:rsidP="00CC19F7">
      <w:pPr>
        <w:pStyle w:val="avsnitt-undertittel"/>
      </w:pPr>
      <w:r w:rsidRPr="00CC19F7">
        <w:t xml:space="preserve">Legge til rette for undersøking og utvinning av </w:t>
      </w:r>
      <w:proofErr w:type="spellStart"/>
      <w:r w:rsidRPr="00CC19F7">
        <w:t>mineralførekomstar</w:t>
      </w:r>
      <w:proofErr w:type="spellEnd"/>
      <w:r w:rsidRPr="00CC19F7">
        <w:t xml:space="preserve"> på kontinentalsokkelen</w:t>
      </w:r>
    </w:p>
    <w:p w14:paraId="4193B966" w14:textId="77777777" w:rsidR="00FE02EF" w:rsidRPr="00CC19F7" w:rsidRDefault="00881E58" w:rsidP="00CC19F7">
      <w:r w:rsidRPr="00CC19F7">
        <w:t xml:space="preserve">Sokkeldirektoratet bisto departementet med å gjennomføre </w:t>
      </w:r>
      <w:proofErr w:type="spellStart"/>
      <w:r w:rsidRPr="00CC19F7">
        <w:t>opningsprosessen</w:t>
      </w:r>
      <w:proofErr w:type="spellEnd"/>
      <w:r w:rsidRPr="00CC19F7">
        <w:t xml:space="preserve"> for havbotnmineral. Det inkluderte å koordinere det </w:t>
      </w:r>
      <w:proofErr w:type="spellStart"/>
      <w:r w:rsidRPr="00CC19F7">
        <w:t>faglege</w:t>
      </w:r>
      <w:proofErr w:type="spellEnd"/>
      <w:r w:rsidRPr="00CC19F7">
        <w:t xml:space="preserve"> arbeidet knytt til konsekvensutgreiinga. Sokkeldirektoratet hadde ansvar for </w:t>
      </w:r>
      <w:proofErr w:type="spellStart"/>
      <w:r w:rsidRPr="00CC19F7">
        <w:t>anbod</w:t>
      </w:r>
      <w:proofErr w:type="spellEnd"/>
      <w:r w:rsidRPr="00CC19F7">
        <w:t xml:space="preserve"> og oppfølging i samband med utarbeiding av seks </w:t>
      </w:r>
      <w:proofErr w:type="spellStart"/>
      <w:r w:rsidRPr="00CC19F7">
        <w:t>grunnlagsstudiar</w:t>
      </w:r>
      <w:proofErr w:type="spellEnd"/>
      <w:r w:rsidRPr="00CC19F7">
        <w:t xml:space="preserve"> og tre </w:t>
      </w:r>
      <w:proofErr w:type="spellStart"/>
      <w:r w:rsidRPr="00CC19F7">
        <w:t>verknadsstudiar</w:t>
      </w:r>
      <w:proofErr w:type="spellEnd"/>
      <w:r w:rsidRPr="00CC19F7">
        <w:t xml:space="preserve">, og </w:t>
      </w:r>
      <w:proofErr w:type="spellStart"/>
      <w:r w:rsidRPr="00CC19F7">
        <w:t>samanfatta</w:t>
      </w:r>
      <w:proofErr w:type="spellEnd"/>
      <w:r w:rsidRPr="00CC19F7">
        <w:t xml:space="preserve"> funna i </w:t>
      </w:r>
      <w:proofErr w:type="spellStart"/>
      <w:r w:rsidRPr="00CC19F7">
        <w:t>ein</w:t>
      </w:r>
      <w:proofErr w:type="spellEnd"/>
      <w:r w:rsidRPr="00CC19F7">
        <w:t xml:space="preserve"> konsekvensutgreiingsrapport. Sokkeldirektoratet har på oppdrag </w:t>
      </w:r>
      <w:proofErr w:type="spellStart"/>
      <w:r w:rsidRPr="00CC19F7">
        <w:t>frå</w:t>
      </w:r>
      <w:proofErr w:type="spellEnd"/>
      <w:r w:rsidRPr="00CC19F7">
        <w:t xml:space="preserve"> departementet utarbeidd ei ressursvurdering av havbotnmineral på norsk sokkel.</w:t>
      </w:r>
    </w:p>
    <w:p w14:paraId="5B3C6036" w14:textId="77777777" w:rsidR="00FE02EF" w:rsidRPr="00CC19F7" w:rsidRDefault="00881E58" w:rsidP="00CC19F7">
      <w:r w:rsidRPr="00CC19F7">
        <w:t xml:space="preserve">Sokkeldirektoratet deltok på ulike tokt som har gitt viktig informasjon. Mellom anna blei </w:t>
      </w:r>
      <w:proofErr w:type="spellStart"/>
      <w:r w:rsidRPr="00CC19F7">
        <w:t>fleire</w:t>
      </w:r>
      <w:proofErr w:type="spellEnd"/>
      <w:r w:rsidRPr="00CC19F7">
        <w:t xml:space="preserve"> </w:t>
      </w:r>
      <w:proofErr w:type="spellStart"/>
      <w:r w:rsidRPr="00CC19F7">
        <w:t>ukjende</w:t>
      </w:r>
      <w:proofErr w:type="spellEnd"/>
      <w:r w:rsidRPr="00CC19F7">
        <w:t xml:space="preserve"> </w:t>
      </w:r>
      <w:proofErr w:type="spellStart"/>
      <w:r w:rsidRPr="00CC19F7">
        <w:t>sulfidførekomstar</w:t>
      </w:r>
      <w:proofErr w:type="spellEnd"/>
      <w:r w:rsidRPr="00CC19F7">
        <w:t xml:space="preserve"> påviste og det blei funne tjukke og store manganskorper.</w:t>
      </w:r>
    </w:p>
    <w:p w14:paraId="3643CF82" w14:textId="77777777" w:rsidR="00FE02EF" w:rsidRPr="00CC19F7" w:rsidRDefault="00881E58" w:rsidP="00CC19F7">
      <w:r w:rsidRPr="00CC19F7">
        <w:t xml:space="preserve">Sokkeldirektoratet har også deltatt på ei rekke </w:t>
      </w:r>
      <w:proofErr w:type="spellStart"/>
      <w:r w:rsidRPr="00CC19F7">
        <w:t>konferansar</w:t>
      </w:r>
      <w:proofErr w:type="spellEnd"/>
      <w:r w:rsidRPr="00CC19F7">
        <w:t xml:space="preserve"> og møter for å bidra med fakta om havbotnmineral. Sokkeldirektoratet arrangerte </w:t>
      </w:r>
      <w:proofErr w:type="spellStart"/>
      <w:r w:rsidRPr="00CC19F7">
        <w:t>eit</w:t>
      </w:r>
      <w:proofErr w:type="spellEnd"/>
      <w:r w:rsidRPr="00CC19F7">
        <w:t xml:space="preserve"> seminar for frigiving av data knytte til havbotnmineral. Her blei geofysiske data som Sokkeldirektoratet har samla inn, og </w:t>
      </w:r>
      <w:proofErr w:type="spellStart"/>
      <w:r w:rsidRPr="00CC19F7">
        <w:t>dessutan</w:t>
      </w:r>
      <w:proofErr w:type="spellEnd"/>
      <w:r w:rsidRPr="00CC19F7">
        <w:t xml:space="preserve"> data </w:t>
      </w:r>
      <w:proofErr w:type="spellStart"/>
      <w:r w:rsidRPr="00CC19F7">
        <w:t>frå</w:t>
      </w:r>
      <w:proofErr w:type="spellEnd"/>
      <w:r w:rsidRPr="00CC19F7">
        <w:t xml:space="preserve"> Sokkeldirektoratets samarbeid med akademia, frigjorde og gjorde </w:t>
      </w:r>
      <w:proofErr w:type="spellStart"/>
      <w:r w:rsidRPr="00CC19F7">
        <w:t>tilgjengelege</w:t>
      </w:r>
      <w:proofErr w:type="spellEnd"/>
      <w:r w:rsidRPr="00CC19F7">
        <w:t xml:space="preserve"> for </w:t>
      </w:r>
      <w:proofErr w:type="spellStart"/>
      <w:r w:rsidRPr="00CC19F7">
        <w:t>offentlegheita</w:t>
      </w:r>
      <w:proofErr w:type="spellEnd"/>
      <w:r w:rsidRPr="00CC19F7">
        <w:t>.</w:t>
      </w:r>
    </w:p>
    <w:p w14:paraId="627C8A89" w14:textId="77777777" w:rsidR="00FE02EF" w:rsidRPr="00CC19F7" w:rsidRDefault="00881E58" w:rsidP="00CC19F7">
      <w:pPr>
        <w:pStyle w:val="avsnitt-undertittel"/>
      </w:pPr>
      <w:r w:rsidRPr="00CC19F7">
        <w:t>Legge til rette for sikker lagring av CO</w:t>
      </w:r>
      <w:r w:rsidRPr="00CC19F7">
        <w:rPr>
          <w:rStyle w:val="skrift-senket"/>
        </w:rPr>
        <w:t>2</w:t>
      </w:r>
    </w:p>
    <w:p w14:paraId="5EDBA194" w14:textId="77777777" w:rsidR="00FE02EF" w:rsidRPr="00CC19F7" w:rsidRDefault="00881E58" w:rsidP="00CC19F7">
      <w:r w:rsidRPr="00CC19F7">
        <w:t xml:space="preserve">Sokkeldirektoratet har </w:t>
      </w:r>
      <w:proofErr w:type="spellStart"/>
      <w:r w:rsidRPr="00CC19F7">
        <w:t>følgt</w:t>
      </w:r>
      <w:proofErr w:type="spellEnd"/>
      <w:r w:rsidRPr="00CC19F7">
        <w:t xml:space="preserve"> opp nye og </w:t>
      </w:r>
      <w:proofErr w:type="spellStart"/>
      <w:r w:rsidRPr="00CC19F7">
        <w:t>pågåande</w:t>
      </w:r>
      <w:proofErr w:type="spellEnd"/>
      <w:r w:rsidRPr="00CC19F7">
        <w:t xml:space="preserve"> CO</w:t>
      </w:r>
      <w:r w:rsidRPr="00CC19F7">
        <w:rPr>
          <w:rStyle w:val="skrift-senket"/>
        </w:rPr>
        <w:t>2</w:t>
      </w:r>
      <w:r w:rsidRPr="00CC19F7">
        <w:t xml:space="preserve">-lagringsprosjekt, mellom anna Northern </w:t>
      </w:r>
      <w:proofErr w:type="spellStart"/>
      <w:r w:rsidRPr="00CC19F7">
        <w:t>Lights</w:t>
      </w:r>
      <w:proofErr w:type="spellEnd"/>
      <w:r w:rsidRPr="00CC19F7">
        <w:t xml:space="preserve">, </w:t>
      </w:r>
      <w:proofErr w:type="spellStart"/>
      <w:r w:rsidRPr="00CC19F7">
        <w:t>innanfor</w:t>
      </w:r>
      <w:proofErr w:type="spellEnd"/>
      <w:r w:rsidRPr="00CC19F7">
        <w:t xml:space="preserve"> sitt </w:t>
      </w:r>
      <w:proofErr w:type="spellStart"/>
      <w:r w:rsidRPr="00CC19F7">
        <w:t>ansvarsomåde</w:t>
      </w:r>
      <w:proofErr w:type="spellEnd"/>
      <w:r w:rsidRPr="00CC19F7">
        <w:t xml:space="preserve">. Sokkeldirektoratet har gitt tilråding til departementet når det </w:t>
      </w:r>
      <w:proofErr w:type="spellStart"/>
      <w:r w:rsidRPr="00CC19F7">
        <w:t>gjeld</w:t>
      </w:r>
      <w:proofErr w:type="spellEnd"/>
      <w:r w:rsidRPr="00CC19F7">
        <w:t xml:space="preserve"> søknader om tildeling av lagringsløyve.</w:t>
      </w:r>
    </w:p>
    <w:p w14:paraId="2AD2959D" w14:textId="77777777" w:rsidR="00FE02EF" w:rsidRPr="00CC19F7" w:rsidRDefault="00881E58" w:rsidP="00CC19F7">
      <w:r w:rsidRPr="00CC19F7">
        <w:t>Sokkeldirektoratets interaktive CO</w:t>
      </w:r>
      <w:r w:rsidRPr="00CC19F7">
        <w:rPr>
          <w:rStyle w:val="skrift-senket"/>
        </w:rPr>
        <w:t>2</w:t>
      </w:r>
      <w:r w:rsidRPr="00CC19F7">
        <w:t xml:space="preserve">-atlas, som viser </w:t>
      </w:r>
      <w:proofErr w:type="spellStart"/>
      <w:r w:rsidRPr="00CC19F7">
        <w:t>moglege</w:t>
      </w:r>
      <w:proofErr w:type="spellEnd"/>
      <w:r w:rsidRPr="00CC19F7">
        <w:t xml:space="preserve"> CO</w:t>
      </w:r>
      <w:r w:rsidRPr="00CC19F7">
        <w:rPr>
          <w:rStyle w:val="skrift-senket"/>
        </w:rPr>
        <w:t>2</w:t>
      </w:r>
      <w:r w:rsidRPr="00CC19F7">
        <w:t xml:space="preserve">-deponi på norsk sokkel, er svært etterspurt, både </w:t>
      </w:r>
      <w:proofErr w:type="spellStart"/>
      <w:r w:rsidRPr="00CC19F7">
        <w:t>frå</w:t>
      </w:r>
      <w:proofErr w:type="spellEnd"/>
      <w:r w:rsidRPr="00CC19F7">
        <w:t xml:space="preserve"> industrien og </w:t>
      </w:r>
      <w:proofErr w:type="spellStart"/>
      <w:r w:rsidRPr="00CC19F7">
        <w:t>frå</w:t>
      </w:r>
      <w:proofErr w:type="spellEnd"/>
      <w:r w:rsidRPr="00CC19F7">
        <w:t xml:space="preserve"> forskingsmiljø nasjonalt og internasjonalt.</w:t>
      </w:r>
    </w:p>
    <w:p w14:paraId="6BC2829F" w14:textId="77777777" w:rsidR="00FE02EF" w:rsidRPr="00CC19F7" w:rsidRDefault="00881E58" w:rsidP="00CC19F7">
      <w:pPr>
        <w:pStyle w:val="avsnitt-undertittel"/>
      </w:pPr>
      <w:r w:rsidRPr="00CC19F7">
        <w:t xml:space="preserve">Andre </w:t>
      </w:r>
      <w:proofErr w:type="spellStart"/>
      <w:r w:rsidRPr="00CC19F7">
        <w:t>oppgåver</w:t>
      </w:r>
      <w:proofErr w:type="spellEnd"/>
    </w:p>
    <w:p w14:paraId="2019FEC1" w14:textId="77777777" w:rsidR="00FE02EF" w:rsidRPr="00CC19F7" w:rsidRDefault="00881E58" w:rsidP="00CC19F7">
      <w:r w:rsidRPr="00CC19F7">
        <w:t xml:space="preserve">I 2022 </w:t>
      </w:r>
      <w:proofErr w:type="spellStart"/>
      <w:r w:rsidRPr="00CC19F7">
        <w:t>fekk</w:t>
      </w:r>
      <w:proofErr w:type="spellEnd"/>
      <w:r w:rsidRPr="00CC19F7">
        <w:t xml:space="preserve"> Sokkeldirektoratet </w:t>
      </w:r>
      <w:proofErr w:type="spellStart"/>
      <w:r w:rsidRPr="00CC19F7">
        <w:t>eit</w:t>
      </w:r>
      <w:proofErr w:type="spellEnd"/>
      <w:r w:rsidRPr="00CC19F7">
        <w:t xml:space="preserve"> </w:t>
      </w:r>
      <w:proofErr w:type="spellStart"/>
      <w:r w:rsidRPr="00CC19F7">
        <w:t>særleg</w:t>
      </w:r>
      <w:proofErr w:type="spellEnd"/>
      <w:r w:rsidRPr="00CC19F7">
        <w:t xml:space="preserve"> oppdrag </w:t>
      </w:r>
      <w:proofErr w:type="spellStart"/>
      <w:r w:rsidRPr="00CC19F7">
        <w:t>frå</w:t>
      </w:r>
      <w:proofErr w:type="spellEnd"/>
      <w:r w:rsidRPr="00CC19F7">
        <w:t xml:space="preserve"> departementet om å samle inn detaljerte data om havbotnen og grunnseismikk i </w:t>
      </w:r>
      <w:proofErr w:type="spellStart"/>
      <w:r w:rsidRPr="00CC19F7">
        <w:t>Sørlege</w:t>
      </w:r>
      <w:proofErr w:type="spellEnd"/>
      <w:r w:rsidRPr="00CC19F7">
        <w:t xml:space="preserve"> </w:t>
      </w:r>
      <w:proofErr w:type="spellStart"/>
      <w:r w:rsidRPr="00CC19F7">
        <w:t>Nordsjø</w:t>
      </w:r>
      <w:proofErr w:type="spellEnd"/>
      <w:r w:rsidRPr="00CC19F7">
        <w:t xml:space="preserve"> II, som er </w:t>
      </w:r>
      <w:proofErr w:type="spellStart"/>
      <w:r w:rsidRPr="00CC19F7">
        <w:t>eit</w:t>
      </w:r>
      <w:proofErr w:type="spellEnd"/>
      <w:r w:rsidRPr="00CC19F7">
        <w:t xml:space="preserve"> av </w:t>
      </w:r>
      <w:proofErr w:type="spellStart"/>
      <w:r w:rsidRPr="00CC19F7">
        <w:t>dei</w:t>
      </w:r>
      <w:proofErr w:type="spellEnd"/>
      <w:r w:rsidRPr="00CC19F7">
        <w:t xml:space="preserve"> to første områda der det blir planlagt installasjon av havvind.</w:t>
      </w:r>
    </w:p>
    <w:p w14:paraId="204F08A8" w14:textId="77777777" w:rsidR="00FE02EF" w:rsidRPr="00CC19F7" w:rsidRDefault="00881E58" w:rsidP="00CC19F7">
      <w:pPr>
        <w:pStyle w:val="b-budkaptit"/>
      </w:pPr>
      <w:r w:rsidRPr="00CC19F7">
        <w:t>Kap. 1810 Sokkeldirektoratet</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504"/>
        <w:gridCol w:w="1417"/>
        <w:gridCol w:w="1479"/>
        <w:gridCol w:w="1300"/>
      </w:tblGrid>
      <w:tr w:rsidR="00FE02EF" w:rsidRPr="00CC19F7" w14:paraId="0B774C27" w14:textId="77777777" w:rsidTr="005F29B2">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30BE702" w14:textId="77777777" w:rsidR="00FE02EF" w:rsidRPr="00CC19F7" w:rsidRDefault="00881E58" w:rsidP="00CC19F7">
            <w:pPr>
              <w:pStyle w:val="Tabellnavn"/>
            </w:pPr>
            <w:r w:rsidRPr="00CC19F7">
              <w:t>KPAL</w:t>
            </w:r>
          </w:p>
        </w:tc>
        <w:tc>
          <w:tcPr>
            <w:tcW w:w="4504" w:type="dxa"/>
            <w:tcBorders>
              <w:top w:val="nil"/>
              <w:left w:val="nil"/>
              <w:bottom w:val="single" w:sz="4" w:space="0" w:color="000000"/>
              <w:right w:val="nil"/>
            </w:tcBorders>
            <w:tcMar>
              <w:top w:w="128" w:type="dxa"/>
              <w:left w:w="43" w:type="dxa"/>
              <w:bottom w:w="43" w:type="dxa"/>
              <w:right w:w="43" w:type="dxa"/>
            </w:tcMar>
            <w:vAlign w:val="bottom"/>
          </w:tcPr>
          <w:p w14:paraId="4AA9E043" w14:textId="77777777" w:rsidR="00FE02EF" w:rsidRPr="00CC19F7" w:rsidRDefault="00FE02EF" w:rsidP="005F29B2"/>
        </w:tc>
        <w:tc>
          <w:tcPr>
            <w:tcW w:w="1417" w:type="dxa"/>
            <w:tcBorders>
              <w:top w:val="nil"/>
              <w:left w:val="nil"/>
              <w:bottom w:val="single" w:sz="4" w:space="0" w:color="000000"/>
              <w:right w:val="nil"/>
            </w:tcBorders>
            <w:tcMar>
              <w:top w:w="128" w:type="dxa"/>
              <w:left w:w="43" w:type="dxa"/>
              <w:bottom w:w="43" w:type="dxa"/>
              <w:right w:w="43" w:type="dxa"/>
            </w:tcMar>
            <w:vAlign w:val="bottom"/>
          </w:tcPr>
          <w:p w14:paraId="720D4E71" w14:textId="77777777" w:rsidR="00FE02EF" w:rsidRPr="00CC19F7" w:rsidRDefault="00FE02EF" w:rsidP="005F29B2">
            <w:pPr>
              <w:jc w:val="right"/>
            </w:pP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038738AB" w14:textId="77777777" w:rsidR="00FE02EF" w:rsidRPr="00CC19F7" w:rsidRDefault="00FE02EF" w:rsidP="005F29B2">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595B615" w14:textId="77777777" w:rsidR="00FE02EF" w:rsidRPr="00CC19F7" w:rsidRDefault="00881E58" w:rsidP="005F29B2">
            <w:pPr>
              <w:jc w:val="right"/>
            </w:pPr>
            <w:r w:rsidRPr="00CC19F7">
              <w:t>(i 1 000 kr)</w:t>
            </w:r>
          </w:p>
        </w:tc>
      </w:tr>
      <w:tr w:rsidR="00FE02EF" w:rsidRPr="00CC19F7" w14:paraId="0EEC792D" w14:textId="77777777" w:rsidTr="005F29B2">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AB125D8" w14:textId="77777777" w:rsidR="00FE02EF" w:rsidRPr="00CC19F7" w:rsidRDefault="00881E58" w:rsidP="00CC19F7">
            <w:r w:rsidRPr="00CC19F7">
              <w:t>Post</w:t>
            </w:r>
          </w:p>
        </w:tc>
        <w:tc>
          <w:tcPr>
            <w:tcW w:w="4504" w:type="dxa"/>
            <w:tcBorders>
              <w:top w:val="nil"/>
              <w:left w:val="nil"/>
              <w:bottom w:val="single" w:sz="4" w:space="0" w:color="000000"/>
              <w:right w:val="nil"/>
            </w:tcBorders>
            <w:tcMar>
              <w:top w:w="128" w:type="dxa"/>
              <w:left w:w="43" w:type="dxa"/>
              <w:bottom w:w="43" w:type="dxa"/>
              <w:right w:w="43" w:type="dxa"/>
            </w:tcMar>
            <w:vAlign w:val="bottom"/>
          </w:tcPr>
          <w:p w14:paraId="7905B9B7" w14:textId="77777777" w:rsidR="00FE02EF" w:rsidRPr="00CC19F7" w:rsidRDefault="00881E58" w:rsidP="005F29B2">
            <w:proofErr w:type="spellStart"/>
            <w:r w:rsidRPr="00CC19F7">
              <w:t>Nemning</w:t>
            </w:r>
            <w:proofErr w:type="spellEnd"/>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6BB29132" w14:textId="77777777" w:rsidR="00FE02EF" w:rsidRPr="00CC19F7" w:rsidRDefault="00881E58" w:rsidP="005F29B2">
            <w:pPr>
              <w:jc w:val="right"/>
            </w:pPr>
            <w:proofErr w:type="spellStart"/>
            <w:r w:rsidRPr="00CC19F7">
              <w:t>Rekneskap</w:t>
            </w:r>
            <w:proofErr w:type="spellEnd"/>
            <w:r w:rsidRPr="00CC19F7">
              <w:br/>
              <w:t>2022</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3C7924C6" w14:textId="77777777" w:rsidR="00FE02EF" w:rsidRPr="00CC19F7" w:rsidRDefault="00881E58" w:rsidP="005F29B2">
            <w:pPr>
              <w:jc w:val="right"/>
            </w:pPr>
            <w:r w:rsidRPr="00CC19F7">
              <w:t>Saldert</w:t>
            </w:r>
            <w:r w:rsidRPr="00CC19F7">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E849247" w14:textId="77777777" w:rsidR="00FE02EF" w:rsidRPr="00CC19F7" w:rsidRDefault="00881E58" w:rsidP="005F29B2">
            <w:pPr>
              <w:jc w:val="right"/>
            </w:pPr>
            <w:r w:rsidRPr="00CC19F7">
              <w:t>Forslag</w:t>
            </w:r>
            <w:r w:rsidRPr="00CC19F7">
              <w:br/>
              <w:t>2024</w:t>
            </w:r>
          </w:p>
        </w:tc>
      </w:tr>
      <w:tr w:rsidR="00FE02EF" w:rsidRPr="00CC19F7" w14:paraId="13A50955" w14:textId="77777777" w:rsidTr="005F29B2">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20F15C7C" w14:textId="77777777" w:rsidR="00FE02EF" w:rsidRPr="00CC19F7" w:rsidRDefault="00881E58" w:rsidP="00CC19F7">
            <w:r w:rsidRPr="00CC19F7">
              <w:t>01</w:t>
            </w:r>
          </w:p>
        </w:tc>
        <w:tc>
          <w:tcPr>
            <w:tcW w:w="4504" w:type="dxa"/>
            <w:tcBorders>
              <w:top w:val="single" w:sz="4" w:space="0" w:color="000000"/>
              <w:left w:val="nil"/>
              <w:bottom w:val="nil"/>
              <w:right w:val="nil"/>
            </w:tcBorders>
            <w:tcMar>
              <w:top w:w="128" w:type="dxa"/>
              <w:left w:w="43" w:type="dxa"/>
              <w:bottom w:w="43" w:type="dxa"/>
              <w:right w:w="43" w:type="dxa"/>
            </w:tcMar>
          </w:tcPr>
          <w:p w14:paraId="6675D02B" w14:textId="77777777" w:rsidR="00FE02EF" w:rsidRPr="00CC19F7" w:rsidRDefault="00881E58" w:rsidP="005F29B2">
            <w:r w:rsidRPr="00CC19F7">
              <w:t>Driftsutgifter</w:t>
            </w:r>
          </w:p>
        </w:tc>
        <w:tc>
          <w:tcPr>
            <w:tcW w:w="1417" w:type="dxa"/>
            <w:tcBorders>
              <w:top w:val="single" w:sz="4" w:space="0" w:color="000000"/>
              <w:left w:val="nil"/>
              <w:bottom w:val="nil"/>
              <w:right w:val="nil"/>
            </w:tcBorders>
            <w:tcMar>
              <w:top w:w="128" w:type="dxa"/>
              <w:left w:w="43" w:type="dxa"/>
              <w:bottom w:w="43" w:type="dxa"/>
              <w:right w:w="43" w:type="dxa"/>
            </w:tcMar>
            <w:vAlign w:val="bottom"/>
          </w:tcPr>
          <w:p w14:paraId="50BFFAA1" w14:textId="77777777" w:rsidR="00FE02EF" w:rsidRPr="00CC19F7" w:rsidRDefault="00881E58" w:rsidP="005F29B2">
            <w:pPr>
              <w:jc w:val="right"/>
            </w:pPr>
            <w:r w:rsidRPr="00CC19F7">
              <w:t>333 571</w:t>
            </w:r>
          </w:p>
        </w:tc>
        <w:tc>
          <w:tcPr>
            <w:tcW w:w="1479" w:type="dxa"/>
            <w:tcBorders>
              <w:top w:val="single" w:sz="4" w:space="0" w:color="000000"/>
              <w:left w:val="nil"/>
              <w:bottom w:val="nil"/>
              <w:right w:val="nil"/>
            </w:tcBorders>
            <w:tcMar>
              <w:top w:w="128" w:type="dxa"/>
              <w:left w:w="43" w:type="dxa"/>
              <w:bottom w:w="43" w:type="dxa"/>
              <w:right w:w="43" w:type="dxa"/>
            </w:tcMar>
            <w:vAlign w:val="bottom"/>
          </w:tcPr>
          <w:p w14:paraId="6FFED9BD" w14:textId="77777777" w:rsidR="00FE02EF" w:rsidRPr="00CC19F7" w:rsidRDefault="00881E58" w:rsidP="005F29B2">
            <w:pPr>
              <w:jc w:val="right"/>
            </w:pPr>
            <w:r w:rsidRPr="00CC19F7">
              <w:t>329 000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EF40D0A" w14:textId="77777777" w:rsidR="00FE02EF" w:rsidRPr="00CC19F7" w:rsidRDefault="00881E58" w:rsidP="005F29B2">
            <w:pPr>
              <w:jc w:val="right"/>
            </w:pPr>
            <w:r w:rsidRPr="00CC19F7">
              <w:t>346 800</w:t>
            </w:r>
          </w:p>
        </w:tc>
      </w:tr>
      <w:tr w:rsidR="00FE02EF" w:rsidRPr="00CC19F7" w14:paraId="12EDAA39" w14:textId="77777777" w:rsidTr="005F29B2">
        <w:trPr>
          <w:trHeight w:val="380"/>
        </w:trPr>
        <w:tc>
          <w:tcPr>
            <w:tcW w:w="840" w:type="dxa"/>
            <w:tcBorders>
              <w:top w:val="nil"/>
              <w:left w:val="nil"/>
              <w:bottom w:val="nil"/>
              <w:right w:val="nil"/>
            </w:tcBorders>
            <w:tcMar>
              <w:top w:w="128" w:type="dxa"/>
              <w:left w:w="43" w:type="dxa"/>
              <w:bottom w:w="43" w:type="dxa"/>
              <w:right w:w="43" w:type="dxa"/>
            </w:tcMar>
          </w:tcPr>
          <w:p w14:paraId="3D63CD68" w14:textId="77777777" w:rsidR="00FE02EF" w:rsidRPr="00CC19F7" w:rsidRDefault="00881E58" w:rsidP="00CC19F7">
            <w:r w:rsidRPr="00CC19F7">
              <w:t>21</w:t>
            </w:r>
          </w:p>
        </w:tc>
        <w:tc>
          <w:tcPr>
            <w:tcW w:w="4504" w:type="dxa"/>
            <w:tcBorders>
              <w:top w:val="nil"/>
              <w:left w:val="nil"/>
              <w:bottom w:val="nil"/>
              <w:right w:val="nil"/>
            </w:tcBorders>
            <w:tcMar>
              <w:top w:w="128" w:type="dxa"/>
              <w:left w:w="43" w:type="dxa"/>
              <w:bottom w:w="43" w:type="dxa"/>
              <w:right w:w="43" w:type="dxa"/>
            </w:tcMar>
          </w:tcPr>
          <w:p w14:paraId="38CBEC38" w14:textId="77777777" w:rsidR="00FE02EF" w:rsidRPr="00CC19F7" w:rsidRDefault="00881E58" w:rsidP="005F29B2">
            <w:r w:rsidRPr="00CC19F7">
              <w:t>Spesielle driftsutgifter</w:t>
            </w:r>
            <w:r w:rsidRPr="00CC19F7">
              <w:rPr>
                <w:rStyle w:val="kursiv"/>
              </w:rPr>
              <w:t>, kan </w:t>
            </w:r>
            <w:proofErr w:type="spellStart"/>
            <w:r w:rsidRPr="00CC19F7">
              <w:rPr>
                <w:rStyle w:val="kursiv"/>
              </w:rPr>
              <w:t>overførast</w:t>
            </w:r>
            <w:proofErr w:type="spellEnd"/>
          </w:p>
        </w:tc>
        <w:tc>
          <w:tcPr>
            <w:tcW w:w="1417" w:type="dxa"/>
            <w:tcBorders>
              <w:top w:val="nil"/>
              <w:left w:val="nil"/>
              <w:bottom w:val="nil"/>
              <w:right w:val="nil"/>
            </w:tcBorders>
            <w:tcMar>
              <w:top w:w="128" w:type="dxa"/>
              <w:left w:w="43" w:type="dxa"/>
              <w:bottom w:w="43" w:type="dxa"/>
              <w:right w:w="43" w:type="dxa"/>
            </w:tcMar>
            <w:vAlign w:val="bottom"/>
          </w:tcPr>
          <w:p w14:paraId="0231E73B" w14:textId="77777777" w:rsidR="00FE02EF" w:rsidRPr="00CC19F7" w:rsidRDefault="00881E58" w:rsidP="005F29B2">
            <w:pPr>
              <w:jc w:val="right"/>
            </w:pPr>
            <w:r w:rsidRPr="00CC19F7">
              <w:t>83 864</w:t>
            </w:r>
          </w:p>
        </w:tc>
        <w:tc>
          <w:tcPr>
            <w:tcW w:w="1479" w:type="dxa"/>
            <w:tcBorders>
              <w:top w:val="nil"/>
              <w:left w:val="nil"/>
              <w:bottom w:val="nil"/>
              <w:right w:val="nil"/>
            </w:tcBorders>
            <w:tcMar>
              <w:top w:w="128" w:type="dxa"/>
              <w:left w:w="43" w:type="dxa"/>
              <w:bottom w:w="43" w:type="dxa"/>
              <w:right w:w="43" w:type="dxa"/>
            </w:tcMar>
            <w:vAlign w:val="bottom"/>
          </w:tcPr>
          <w:p w14:paraId="4F806F77" w14:textId="77777777" w:rsidR="00FE02EF" w:rsidRPr="00CC19F7" w:rsidRDefault="00881E58" w:rsidP="005F29B2">
            <w:pPr>
              <w:jc w:val="right"/>
            </w:pPr>
            <w:r w:rsidRPr="00CC19F7">
              <w:t>105 000</w:t>
            </w:r>
          </w:p>
        </w:tc>
        <w:tc>
          <w:tcPr>
            <w:tcW w:w="1300" w:type="dxa"/>
            <w:tcBorders>
              <w:top w:val="nil"/>
              <w:left w:val="nil"/>
              <w:bottom w:val="nil"/>
              <w:right w:val="nil"/>
            </w:tcBorders>
            <w:tcMar>
              <w:top w:w="128" w:type="dxa"/>
              <w:left w:w="43" w:type="dxa"/>
              <w:bottom w:w="43" w:type="dxa"/>
              <w:right w:w="43" w:type="dxa"/>
            </w:tcMar>
            <w:vAlign w:val="bottom"/>
          </w:tcPr>
          <w:p w14:paraId="0D410872" w14:textId="77777777" w:rsidR="00FE02EF" w:rsidRPr="00CC19F7" w:rsidRDefault="00881E58" w:rsidP="005F29B2">
            <w:pPr>
              <w:jc w:val="right"/>
            </w:pPr>
            <w:r w:rsidRPr="00CC19F7">
              <w:t>102 500</w:t>
            </w:r>
          </w:p>
        </w:tc>
      </w:tr>
      <w:tr w:rsidR="00FE02EF" w:rsidRPr="00CC19F7" w14:paraId="70FFC0C3" w14:textId="77777777" w:rsidTr="005F29B2">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2A81803" w14:textId="77777777" w:rsidR="00FE02EF" w:rsidRPr="00CC19F7" w:rsidRDefault="00881E58" w:rsidP="00CC19F7">
            <w:r w:rsidRPr="00CC19F7">
              <w:t>23</w:t>
            </w:r>
          </w:p>
        </w:tc>
        <w:tc>
          <w:tcPr>
            <w:tcW w:w="4504" w:type="dxa"/>
            <w:tcBorders>
              <w:top w:val="nil"/>
              <w:left w:val="nil"/>
              <w:bottom w:val="single" w:sz="4" w:space="0" w:color="000000"/>
              <w:right w:val="nil"/>
            </w:tcBorders>
            <w:tcMar>
              <w:top w:w="128" w:type="dxa"/>
              <w:left w:w="43" w:type="dxa"/>
              <w:bottom w:w="43" w:type="dxa"/>
              <w:right w:w="43" w:type="dxa"/>
            </w:tcMar>
          </w:tcPr>
          <w:p w14:paraId="45ADF39F" w14:textId="77777777" w:rsidR="00FE02EF" w:rsidRPr="00CC19F7" w:rsidRDefault="00881E58" w:rsidP="005F29B2">
            <w:r w:rsidRPr="00CC19F7">
              <w:t xml:space="preserve">Oppdrags- og </w:t>
            </w:r>
            <w:proofErr w:type="spellStart"/>
            <w:r w:rsidRPr="00CC19F7">
              <w:t>samarbeidsverksemd</w:t>
            </w:r>
            <w:proofErr w:type="spellEnd"/>
            <w:r w:rsidRPr="00CC19F7">
              <w:rPr>
                <w:rStyle w:val="kursiv"/>
              </w:rPr>
              <w:t>, kan </w:t>
            </w:r>
            <w:proofErr w:type="spellStart"/>
            <w:r w:rsidRPr="00CC19F7">
              <w:rPr>
                <w:rStyle w:val="kursiv"/>
              </w:rPr>
              <w:t>overførast</w:t>
            </w:r>
            <w:proofErr w:type="spellEnd"/>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3D67EE02" w14:textId="77777777" w:rsidR="00FE02EF" w:rsidRPr="00CC19F7" w:rsidRDefault="00881E58" w:rsidP="005F29B2">
            <w:pPr>
              <w:jc w:val="right"/>
            </w:pPr>
            <w:r w:rsidRPr="00CC19F7">
              <w:t>69 459</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572294FF" w14:textId="77777777" w:rsidR="00FE02EF" w:rsidRPr="00CC19F7" w:rsidRDefault="00881E58" w:rsidP="005F29B2">
            <w:pPr>
              <w:jc w:val="right"/>
            </w:pPr>
            <w:r w:rsidRPr="00CC19F7">
              <w:t>65 400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4BAE568" w14:textId="77777777" w:rsidR="00FE02EF" w:rsidRPr="00CC19F7" w:rsidRDefault="00881E58" w:rsidP="005F29B2">
            <w:pPr>
              <w:jc w:val="right"/>
            </w:pPr>
            <w:r w:rsidRPr="00CC19F7">
              <w:t>57 500</w:t>
            </w:r>
          </w:p>
        </w:tc>
      </w:tr>
      <w:tr w:rsidR="00FE02EF" w:rsidRPr="00CC19F7" w14:paraId="564CC167" w14:textId="77777777" w:rsidTr="005F29B2">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E92EDF5" w14:textId="77777777" w:rsidR="00FE02EF" w:rsidRPr="00CC19F7" w:rsidRDefault="00FE02EF" w:rsidP="00CC19F7"/>
        </w:tc>
        <w:tc>
          <w:tcPr>
            <w:tcW w:w="4504" w:type="dxa"/>
            <w:tcBorders>
              <w:top w:val="nil"/>
              <w:left w:val="nil"/>
              <w:bottom w:val="single" w:sz="4" w:space="0" w:color="000000"/>
              <w:right w:val="nil"/>
            </w:tcBorders>
            <w:tcMar>
              <w:top w:w="128" w:type="dxa"/>
              <w:left w:w="43" w:type="dxa"/>
              <w:bottom w:w="43" w:type="dxa"/>
              <w:right w:w="43" w:type="dxa"/>
            </w:tcMar>
          </w:tcPr>
          <w:p w14:paraId="05BF7FE3" w14:textId="77777777" w:rsidR="00FE02EF" w:rsidRPr="00CC19F7" w:rsidRDefault="00881E58" w:rsidP="005F29B2">
            <w:r w:rsidRPr="00CC19F7">
              <w:t>Sum kap. 1810</w:t>
            </w:r>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1E99DD91" w14:textId="77777777" w:rsidR="00FE02EF" w:rsidRPr="00CC19F7" w:rsidRDefault="00881E58" w:rsidP="005F29B2">
            <w:pPr>
              <w:jc w:val="right"/>
            </w:pPr>
            <w:r w:rsidRPr="00CC19F7">
              <w:t>486 894</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0FD5BCB3" w14:textId="77777777" w:rsidR="00FE02EF" w:rsidRPr="00CC19F7" w:rsidRDefault="00881E58" w:rsidP="005F29B2">
            <w:pPr>
              <w:jc w:val="right"/>
            </w:pPr>
            <w:r w:rsidRPr="00CC19F7">
              <w:t>499 400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5B4DB46" w14:textId="77777777" w:rsidR="00FE02EF" w:rsidRPr="00CC19F7" w:rsidRDefault="00881E58" w:rsidP="005F29B2">
            <w:pPr>
              <w:jc w:val="right"/>
            </w:pPr>
            <w:r w:rsidRPr="00CC19F7">
              <w:t>506 800</w:t>
            </w:r>
          </w:p>
        </w:tc>
      </w:tr>
    </w:tbl>
    <w:p w14:paraId="155DC7D9" w14:textId="77777777" w:rsidR="00FE02EF" w:rsidRPr="00CC19F7" w:rsidRDefault="00881E58" w:rsidP="00CC19F7">
      <w:pPr>
        <w:pStyle w:val="avsnitt-undertittel"/>
      </w:pPr>
      <w:r w:rsidRPr="00CC19F7">
        <w:t>Om 2023</w:t>
      </w:r>
    </w:p>
    <w:p w14:paraId="49C87F30" w14:textId="77777777" w:rsidR="00FE02EF" w:rsidRPr="00CC19F7" w:rsidRDefault="00881E58" w:rsidP="00CC19F7">
      <w:r w:rsidRPr="00CC19F7">
        <w:t xml:space="preserve">Ved Stortingets vedtak 16. juni 2023 blei post 01 </w:t>
      </w:r>
      <w:proofErr w:type="spellStart"/>
      <w:r w:rsidRPr="00CC19F7">
        <w:t>auka</w:t>
      </w:r>
      <w:proofErr w:type="spellEnd"/>
      <w:r w:rsidRPr="00CC19F7">
        <w:t xml:space="preserve"> med 5,855 mill. kroner og post 21 med 86,943 mill. kroner, jf. </w:t>
      </w:r>
      <w:proofErr w:type="spellStart"/>
      <w:r w:rsidRPr="00CC19F7">
        <w:t>Prop</w:t>
      </w:r>
      <w:proofErr w:type="spellEnd"/>
      <w:r w:rsidRPr="00CC19F7">
        <w:t xml:space="preserve">. 118 S (2022–2023) og </w:t>
      </w:r>
      <w:proofErr w:type="spellStart"/>
      <w:r w:rsidRPr="00CC19F7">
        <w:t>Innst</w:t>
      </w:r>
      <w:proofErr w:type="spellEnd"/>
      <w:r w:rsidRPr="00CC19F7">
        <w:t>. 490 S (2022–2023).</w:t>
      </w:r>
    </w:p>
    <w:p w14:paraId="2BC4267C" w14:textId="77777777" w:rsidR="00FE02EF" w:rsidRPr="00CC19F7" w:rsidRDefault="00881E58" w:rsidP="00CC19F7">
      <w:pPr>
        <w:pStyle w:val="b-post"/>
      </w:pPr>
      <w:r w:rsidRPr="00CC19F7">
        <w:t>Post 01 Driftsutgifter</w:t>
      </w:r>
    </w:p>
    <w:p w14:paraId="1F0538EB" w14:textId="77777777" w:rsidR="00FE02EF" w:rsidRPr="00CC19F7" w:rsidRDefault="00881E58" w:rsidP="00CC19F7">
      <w:r w:rsidRPr="00CC19F7">
        <w:t xml:space="preserve">Det blir foreslått ei løyving på 346,8 mill. kroner til lønnsutgifter og andre utgifter til drift av Sokkeldirektoratet. Lønnsrelaterte utgifter </w:t>
      </w:r>
      <w:proofErr w:type="spellStart"/>
      <w:r w:rsidRPr="00CC19F7">
        <w:t>utgjer</w:t>
      </w:r>
      <w:proofErr w:type="spellEnd"/>
      <w:r w:rsidRPr="00CC19F7">
        <w:t xml:space="preserve"> om lag 65 prosent.</w:t>
      </w:r>
    </w:p>
    <w:p w14:paraId="266548FE" w14:textId="77777777" w:rsidR="00FE02EF" w:rsidRPr="00CC19F7" w:rsidRDefault="00881E58" w:rsidP="00CC19F7">
      <w:pPr>
        <w:pStyle w:val="b-post"/>
      </w:pPr>
      <w:r w:rsidRPr="00CC19F7">
        <w:t xml:space="preserve">Post 21 Spesielle driftsutgifter, kan </w:t>
      </w:r>
      <w:proofErr w:type="spellStart"/>
      <w:r w:rsidRPr="00CC19F7">
        <w:t>overførast</w:t>
      </w:r>
      <w:proofErr w:type="spellEnd"/>
    </w:p>
    <w:p w14:paraId="16AE05E7" w14:textId="77777777" w:rsidR="00FE02EF" w:rsidRPr="00CC19F7" w:rsidRDefault="00881E58" w:rsidP="00CC19F7">
      <w:r w:rsidRPr="00CC19F7">
        <w:t>Det blir foreslått ei løyving på 102,5 mill. kroner og ei bestillingsfullmakt på 50 mill. kroner, jf. forslag til vedtak III.</w:t>
      </w:r>
    </w:p>
    <w:p w14:paraId="2D25294A" w14:textId="77777777" w:rsidR="00FE02EF" w:rsidRPr="00CC19F7" w:rsidRDefault="00881E58" w:rsidP="00CC19F7">
      <w:r w:rsidRPr="00CC19F7">
        <w:t xml:space="preserve">Løyvinga dekker utgifter til </w:t>
      </w:r>
      <w:proofErr w:type="spellStart"/>
      <w:r w:rsidRPr="00CC19F7">
        <w:t>studiar</w:t>
      </w:r>
      <w:proofErr w:type="spellEnd"/>
      <w:r w:rsidRPr="00CC19F7">
        <w:t xml:space="preserve">, </w:t>
      </w:r>
      <w:proofErr w:type="spellStart"/>
      <w:r w:rsidRPr="00CC19F7">
        <w:t>analysar</w:t>
      </w:r>
      <w:proofErr w:type="spellEnd"/>
      <w:r w:rsidRPr="00CC19F7">
        <w:t xml:space="preserve"> og geologisk kartlegging av kontinentalsokkelen, mellom anna </w:t>
      </w:r>
      <w:proofErr w:type="spellStart"/>
      <w:r w:rsidRPr="00CC19F7">
        <w:t>petroleumsressursar</w:t>
      </w:r>
      <w:proofErr w:type="spellEnd"/>
      <w:r w:rsidRPr="00CC19F7">
        <w:t xml:space="preserve">, mineral på havbotnen og ferdigstilling av </w:t>
      </w:r>
      <w:proofErr w:type="spellStart"/>
      <w:r w:rsidRPr="00CC19F7">
        <w:t>grunnundersøkingar</w:t>
      </w:r>
      <w:proofErr w:type="spellEnd"/>
      <w:r w:rsidRPr="00CC19F7">
        <w:t xml:space="preserve"> for den delen av havvindområdet Utsira Nord som er lyst ut.</w:t>
      </w:r>
    </w:p>
    <w:p w14:paraId="05ADC278" w14:textId="77777777" w:rsidR="00FE02EF" w:rsidRPr="00CC19F7" w:rsidRDefault="00881E58" w:rsidP="00CC19F7">
      <w:r w:rsidRPr="00CC19F7">
        <w:t xml:space="preserve">Departementet foreslår at staten </w:t>
      </w:r>
      <w:proofErr w:type="spellStart"/>
      <w:r w:rsidRPr="00CC19F7">
        <w:t>ikkje</w:t>
      </w:r>
      <w:proofErr w:type="spellEnd"/>
      <w:r w:rsidRPr="00CC19F7">
        <w:t xml:space="preserve"> gjennomfører </w:t>
      </w:r>
      <w:proofErr w:type="spellStart"/>
      <w:r w:rsidRPr="00CC19F7">
        <w:t>undersøkingar</w:t>
      </w:r>
      <w:proofErr w:type="spellEnd"/>
      <w:r w:rsidRPr="00CC19F7">
        <w:t xml:space="preserve"> i områda som er aktuelle for havvindutlysning i 2025.</w:t>
      </w:r>
    </w:p>
    <w:p w14:paraId="760A2D1D" w14:textId="77777777" w:rsidR="00FE02EF" w:rsidRPr="00CC19F7" w:rsidRDefault="00881E58" w:rsidP="00CC19F7">
      <w:proofErr w:type="spellStart"/>
      <w:r w:rsidRPr="00CC19F7">
        <w:t>Vidare</w:t>
      </w:r>
      <w:proofErr w:type="spellEnd"/>
      <w:r w:rsidRPr="00CC19F7">
        <w:t xml:space="preserve"> dekker løyvinga etablering av ny arkitektur, </w:t>
      </w:r>
      <w:proofErr w:type="spellStart"/>
      <w:r w:rsidRPr="00CC19F7">
        <w:t>forbetring</w:t>
      </w:r>
      <w:proofErr w:type="spellEnd"/>
      <w:r w:rsidRPr="00CC19F7">
        <w:t xml:space="preserve"> og </w:t>
      </w:r>
      <w:proofErr w:type="spellStart"/>
      <w:r w:rsidRPr="00CC19F7">
        <w:t>vidareutvikling</w:t>
      </w:r>
      <w:proofErr w:type="spellEnd"/>
      <w:r w:rsidRPr="00CC19F7">
        <w:t xml:space="preserve"> av </w:t>
      </w:r>
      <w:proofErr w:type="spellStart"/>
      <w:r w:rsidRPr="00CC19F7">
        <w:t>prosessar</w:t>
      </w:r>
      <w:proofErr w:type="spellEnd"/>
      <w:r w:rsidRPr="00CC19F7">
        <w:t xml:space="preserve"> og funksjonalitet til direktoratets sokkelbibliotek (digitaliseringsprogrammet «Sokkelbiblioteket 2026»).</w:t>
      </w:r>
    </w:p>
    <w:p w14:paraId="7F71A239" w14:textId="77777777" w:rsidR="00FE02EF" w:rsidRPr="00CC19F7" w:rsidRDefault="00881E58" w:rsidP="00CC19F7">
      <w:r w:rsidRPr="00CC19F7">
        <w:t xml:space="preserve">Av forslag til løyving blir det foreslått om lag 40 mill. kroner til digitaliseringsprogrammet. Auken på 10 mill. kroner </w:t>
      </w:r>
      <w:proofErr w:type="spellStart"/>
      <w:r w:rsidRPr="00CC19F7">
        <w:t>frå</w:t>
      </w:r>
      <w:proofErr w:type="spellEnd"/>
      <w:r w:rsidRPr="00CC19F7">
        <w:t xml:space="preserve"> 2023 skal mellom anna dekke utgifter til bearbeiding, samanstilling, lagring og </w:t>
      </w:r>
      <w:proofErr w:type="spellStart"/>
      <w:r w:rsidRPr="00CC19F7">
        <w:t>tilgjengeleggjering</w:t>
      </w:r>
      <w:proofErr w:type="spellEnd"/>
      <w:r w:rsidRPr="00CC19F7">
        <w:t xml:space="preserve"> av data til selskapa og digitaliseringsarbeid for å </w:t>
      </w:r>
      <w:proofErr w:type="spellStart"/>
      <w:r w:rsidRPr="00CC19F7">
        <w:t>auke</w:t>
      </w:r>
      <w:proofErr w:type="spellEnd"/>
      <w:r w:rsidRPr="00CC19F7">
        <w:t xml:space="preserve"> datakvaliteten, effektivisering gjennom automatisering og digital datautveksling og </w:t>
      </w:r>
      <w:proofErr w:type="spellStart"/>
      <w:r w:rsidRPr="00CC19F7">
        <w:t>tilgjengeleggjering</w:t>
      </w:r>
      <w:proofErr w:type="spellEnd"/>
      <w:r w:rsidRPr="00CC19F7">
        <w:t xml:space="preserve"> som skal </w:t>
      </w:r>
      <w:proofErr w:type="spellStart"/>
      <w:r w:rsidRPr="00CC19F7">
        <w:t>forbetre</w:t>
      </w:r>
      <w:proofErr w:type="spellEnd"/>
      <w:r w:rsidRPr="00CC19F7">
        <w:t xml:space="preserve"> samhandlinga internt og mot næringa.</w:t>
      </w:r>
    </w:p>
    <w:p w14:paraId="45696C1A" w14:textId="77777777" w:rsidR="00FE02EF" w:rsidRPr="00CC19F7" w:rsidRDefault="00881E58" w:rsidP="00CC19F7">
      <w:pPr>
        <w:pStyle w:val="b-post"/>
      </w:pPr>
      <w:r w:rsidRPr="00CC19F7">
        <w:t xml:space="preserve">Post 23 Oppdrags- og </w:t>
      </w:r>
      <w:proofErr w:type="spellStart"/>
      <w:r w:rsidRPr="00CC19F7">
        <w:t>samarbeidsverksemd</w:t>
      </w:r>
      <w:proofErr w:type="spellEnd"/>
      <w:r w:rsidRPr="00CC19F7">
        <w:t xml:space="preserve">, kan </w:t>
      </w:r>
      <w:proofErr w:type="spellStart"/>
      <w:r w:rsidRPr="00CC19F7">
        <w:t>overførast</w:t>
      </w:r>
      <w:proofErr w:type="spellEnd"/>
    </w:p>
    <w:p w14:paraId="786503F9" w14:textId="77777777" w:rsidR="00FE02EF" w:rsidRPr="00CC19F7" w:rsidRDefault="00881E58" w:rsidP="00CC19F7">
      <w:r w:rsidRPr="00CC19F7">
        <w:t xml:space="preserve">Det blir foreslått ei løyving på 57,5 mill. kroner og ei fullmakt til å overskride løyvinga mot </w:t>
      </w:r>
      <w:proofErr w:type="spellStart"/>
      <w:r w:rsidRPr="00CC19F7">
        <w:t>tilsvarande</w:t>
      </w:r>
      <w:proofErr w:type="spellEnd"/>
      <w:r w:rsidRPr="00CC19F7">
        <w:t xml:space="preserve"> </w:t>
      </w:r>
      <w:proofErr w:type="spellStart"/>
      <w:r w:rsidRPr="00CC19F7">
        <w:t>meirinntekt</w:t>
      </w:r>
      <w:proofErr w:type="spellEnd"/>
      <w:r w:rsidRPr="00CC19F7">
        <w:t xml:space="preserve"> under kap. 4810, post 02 Oppdrags- og samarbeidsinntekter, jf. forslag til vedtak II.</w:t>
      </w:r>
    </w:p>
    <w:p w14:paraId="56566230" w14:textId="77777777" w:rsidR="00FE02EF" w:rsidRPr="00CC19F7" w:rsidRDefault="00881E58" w:rsidP="00CC19F7">
      <w:r w:rsidRPr="00CC19F7">
        <w:t xml:space="preserve">Løyvinga dekker mellom anna utgifter til samarbeidsprogramma «Diskos» og «Force» </w:t>
      </w:r>
      <w:proofErr w:type="spellStart"/>
      <w:r w:rsidRPr="00CC19F7">
        <w:t>innan</w:t>
      </w:r>
      <w:proofErr w:type="spellEnd"/>
      <w:r w:rsidRPr="00CC19F7">
        <w:t xml:space="preserve"> dataforvaltning og utvinningsteknologi, og </w:t>
      </w:r>
      <w:proofErr w:type="spellStart"/>
      <w:r w:rsidRPr="00CC19F7">
        <w:t>dessutan</w:t>
      </w:r>
      <w:proofErr w:type="spellEnd"/>
      <w:r w:rsidRPr="00CC19F7">
        <w:t xml:space="preserve"> utgifter knytt til samarbeidsavtale med Norad om rådgiving </w:t>
      </w:r>
      <w:proofErr w:type="spellStart"/>
      <w:r w:rsidRPr="00CC19F7">
        <w:t>innanfor</w:t>
      </w:r>
      <w:proofErr w:type="spellEnd"/>
      <w:r w:rsidRPr="00CC19F7">
        <w:t xml:space="preserve"> petroleumsforvaltning for utviklingsland, jf. </w:t>
      </w:r>
      <w:proofErr w:type="spellStart"/>
      <w:r w:rsidRPr="00CC19F7">
        <w:t>tilsvarande</w:t>
      </w:r>
      <w:proofErr w:type="spellEnd"/>
      <w:r w:rsidRPr="00CC19F7">
        <w:t xml:space="preserve"> inntektsløyving under kap. 4810, post 02.</w:t>
      </w:r>
    </w:p>
    <w:p w14:paraId="4B01B9A8" w14:textId="77777777" w:rsidR="00FE02EF" w:rsidRPr="00CC19F7" w:rsidRDefault="00881E58" w:rsidP="00CC19F7">
      <w:pPr>
        <w:pStyle w:val="b-budkaptit"/>
      </w:pPr>
      <w:r w:rsidRPr="00CC19F7">
        <w:t>Kap. 4810 Sokkeldirektoratet</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504"/>
        <w:gridCol w:w="1417"/>
        <w:gridCol w:w="1479"/>
        <w:gridCol w:w="1300"/>
      </w:tblGrid>
      <w:tr w:rsidR="00FE02EF" w:rsidRPr="00CC19F7" w14:paraId="0D350632" w14:textId="77777777" w:rsidTr="005F29B2">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C3C434A" w14:textId="77777777" w:rsidR="00FE02EF" w:rsidRPr="00CC19F7" w:rsidRDefault="00881E58" w:rsidP="00CC19F7">
            <w:pPr>
              <w:pStyle w:val="Tabellnavn"/>
            </w:pPr>
            <w:r w:rsidRPr="00CC19F7">
              <w:t>KPAL</w:t>
            </w:r>
          </w:p>
        </w:tc>
        <w:tc>
          <w:tcPr>
            <w:tcW w:w="4504" w:type="dxa"/>
            <w:tcBorders>
              <w:top w:val="nil"/>
              <w:left w:val="nil"/>
              <w:bottom w:val="single" w:sz="4" w:space="0" w:color="000000"/>
              <w:right w:val="nil"/>
            </w:tcBorders>
            <w:tcMar>
              <w:top w:w="128" w:type="dxa"/>
              <w:left w:w="43" w:type="dxa"/>
              <w:bottom w:w="43" w:type="dxa"/>
              <w:right w:w="43" w:type="dxa"/>
            </w:tcMar>
            <w:vAlign w:val="bottom"/>
          </w:tcPr>
          <w:p w14:paraId="4EEE3EE1" w14:textId="77777777" w:rsidR="00FE02EF" w:rsidRPr="00CC19F7" w:rsidRDefault="00FE02EF" w:rsidP="005F29B2"/>
        </w:tc>
        <w:tc>
          <w:tcPr>
            <w:tcW w:w="1417" w:type="dxa"/>
            <w:tcBorders>
              <w:top w:val="nil"/>
              <w:left w:val="nil"/>
              <w:bottom w:val="single" w:sz="4" w:space="0" w:color="000000"/>
              <w:right w:val="nil"/>
            </w:tcBorders>
            <w:tcMar>
              <w:top w:w="128" w:type="dxa"/>
              <w:left w:w="43" w:type="dxa"/>
              <w:bottom w:w="43" w:type="dxa"/>
              <w:right w:w="43" w:type="dxa"/>
            </w:tcMar>
            <w:vAlign w:val="bottom"/>
          </w:tcPr>
          <w:p w14:paraId="24EF2524" w14:textId="77777777" w:rsidR="00FE02EF" w:rsidRPr="00CC19F7" w:rsidRDefault="00FE02EF" w:rsidP="005F29B2">
            <w:pPr>
              <w:jc w:val="right"/>
            </w:pP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0570A309" w14:textId="77777777" w:rsidR="00FE02EF" w:rsidRPr="00CC19F7" w:rsidRDefault="00FE02EF" w:rsidP="005F29B2">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D2B3249" w14:textId="77777777" w:rsidR="00FE02EF" w:rsidRPr="00CC19F7" w:rsidRDefault="00881E58" w:rsidP="005F29B2">
            <w:pPr>
              <w:jc w:val="right"/>
            </w:pPr>
            <w:r w:rsidRPr="00CC19F7">
              <w:t>(i 1 000 kr)</w:t>
            </w:r>
          </w:p>
        </w:tc>
      </w:tr>
      <w:tr w:rsidR="00FE02EF" w:rsidRPr="00CC19F7" w14:paraId="0A2D1DC7" w14:textId="77777777" w:rsidTr="005F29B2">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63B6050" w14:textId="77777777" w:rsidR="00FE02EF" w:rsidRPr="00CC19F7" w:rsidRDefault="00881E58" w:rsidP="00CC19F7">
            <w:r w:rsidRPr="00CC19F7">
              <w:t>Post</w:t>
            </w:r>
          </w:p>
        </w:tc>
        <w:tc>
          <w:tcPr>
            <w:tcW w:w="4504" w:type="dxa"/>
            <w:tcBorders>
              <w:top w:val="nil"/>
              <w:left w:val="nil"/>
              <w:bottom w:val="single" w:sz="4" w:space="0" w:color="000000"/>
              <w:right w:val="nil"/>
            </w:tcBorders>
            <w:tcMar>
              <w:top w:w="128" w:type="dxa"/>
              <w:left w:w="43" w:type="dxa"/>
              <w:bottom w:w="43" w:type="dxa"/>
              <w:right w:w="43" w:type="dxa"/>
            </w:tcMar>
            <w:vAlign w:val="bottom"/>
          </w:tcPr>
          <w:p w14:paraId="6EEAC715" w14:textId="77777777" w:rsidR="00FE02EF" w:rsidRPr="00CC19F7" w:rsidRDefault="00881E58" w:rsidP="005F29B2">
            <w:proofErr w:type="spellStart"/>
            <w:r w:rsidRPr="00CC19F7">
              <w:t>Nemning</w:t>
            </w:r>
            <w:proofErr w:type="spellEnd"/>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3FE471A8" w14:textId="77777777" w:rsidR="00FE02EF" w:rsidRPr="00CC19F7" w:rsidRDefault="00881E58" w:rsidP="005F29B2">
            <w:pPr>
              <w:jc w:val="right"/>
            </w:pPr>
            <w:proofErr w:type="spellStart"/>
            <w:r w:rsidRPr="00CC19F7">
              <w:t>Rekneskap</w:t>
            </w:r>
            <w:proofErr w:type="spellEnd"/>
            <w:r w:rsidRPr="00CC19F7">
              <w:br/>
              <w:t>2022</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39E90BC7" w14:textId="77777777" w:rsidR="00FE02EF" w:rsidRPr="00CC19F7" w:rsidRDefault="00881E58" w:rsidP="005F29B2">
            <w:pPr>
              <w:jc w:val="right"/>
            </w:pPr>
            <w:r w:rsidRPr="00CC19F7">
              <w:t>Saldert</w:t>
            </w:r>
            <w:r w:rsidRPr="00CC19F7">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C75B1A7" w14:textId="77777777" w:rsidR="00FE02EF" w:rsidRPr="00CC19F7" w:rsidRDefault="00881E58" w:rsidP="005F29B2">
            <w:pPr>
              <w:jc w:val="right"/>
            </w:pPr>
            <w:r w:rsidRPr="00CC19F7">
              <w:t>Forslag</w:t>
            </w:r>
            <w:r w:rsidRPr="00CC19F7">
              <w:br/>
              <w:t>2024</w:t>
            </w:r>
          </w:p>
        </w:tc>
      </w:tr>
      <w:tr w:rsidR="00FE02EF" w:rsidRPr="00CC19F7" w14:paraId="2806C9B6" w14:textId="77777777" w:rsidTr="005F29B2">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7FDC010E" w14:textId="77777777" w:rsidR="00FE02EF" w:rsidRPr="00CC19F7" w:rsidRDefault="00881E58" w:rsidP="00CC19F7">
            <w:r w:rsidRPr="00CC19F7">
              <w:t>01</w:t>
            </w:r>
          </w:p>
        </w:tc>
        <w:tc>
          <w:tcPr>
            <w:tcW w:w="4504" w:type="dxa"/>
            <w:tcBorders>
              <w:top w:val="single" w:sz="4" w:space="0" w:color="000000"/>
              <w:left w:val="nil"/>
              <w:bottom w:val="nil"/>
              <w:right w:val="nil"/>
            </w:tcBorders>
            <w:tcMar>
              <w:top w:w="128" w:type="dxa"/>
              <w:left w:w="43" w:type="dxa"/>
              <w:bottom w:w="43" w:type="dxa"/>
              <w:right w:w="43" w:type="dxa"/>
            </w:tcMar>
          </w:tcPr>
          <w:p w14:paraId="362164E8" w14:textId="77777777" w:rsidR="00FE02EF" w:rsidRPr="00CC19F7" w:rsidRDefault="00881E58" w:rsidP="005F29B2">
            <w:r w:rsidRPr="00CC19F7">
              <w:t>Gebyrinntekter</w:t>
            </w:r>
          </w:p>
        </w:tc>
        <w:tc>
          <w:tcPr>
            <w:tcW w:w="1417" w:type="dxa"/>
            <w:tcBorders>
              <w:top w:val="single" w:sz="4" w:space="0" w:color="000000"/>
              <w:left w:val="nil"/>
              <w:bottom w:val="nil"/>
              <w:right w:val="nil"/>
            </w:tcBorders>
            <w:tcMar>
              <w:top w:w="128" w:type="dxa"/>
              <w:left w:w="43" w:type="dxa"/>
              <w:bottom w:w="43" w:type="dxa"/>
              <w:right w:w="43" w:type="dxa"/>
            </w:tcMar>
            <w:vAlign w:val="bottom"/>
          </w:tcPr>
          <w:p w14:paraId="3A28E4A2" w14:textId="77777777" w:rsidR="00FE02EF" w:rsidRPr="00CC19F7" w:rsidRDefault="00881E58" w:rsidP="005F29B2">
            <w:pPr>
              <w:jc w:val="right"/>
            </w:pPr>
            <w:r w:rsidRPr="00CC19F7">
              <w:t>25 284</w:t>
            </w:r>
          </w:p>
        </w:tc>
        <w:tc>
          <w:tcPr>
            <w:tcW w:w="1479" w:type="dxa"/>
            <w:tcBorders>
              <w:top w:val="single" w:sz="4" w:space="0" w:color="000000"/>
              <w:left w:val="nil"/>
              <w:bottom w:val="nil"/>
              <w:right w:val="nil"/>
            </w:tcBorders>
            <w:tcMar>
              <w:top w:w="128" w:type="dxa"/>
              <w:left w:w="43" w:type="dxa"/>
              <w:bottom w:w="43" w:type="dxa"/>
              <w:right w:w="43" w:type="dxa"/>
            </w:tcMar>
            <w:vAlign w:val="bottom"/>
          </w:tcPr>
          <w:p w14:paraId="4DD7F836" w14:textId="77777777" w:rsidR="00FE02EF" w:rsidRPr="00CC19F7" w:rsidRDefault="00881E58" w:rsidP="005F29B2">
            <w:pPr>
              <w:jc w:val="right"/>
            </w:pPr>
            <w:r w:rsidRPr="00CC19F7">
              <w:t>29 400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15A15E4" w14:textId="77777777" w:rsidR="00FE02EF" w:rsidRPr="00CC19F7" w:rsidRDefault="00881E58" w:rsidP="005F29B2">
            <w:pPr>
              <w:jc w:val="right"/>
            </w:pPr>
            <w:r w:rsidRPr="00CC19F7">
              <w:t>30 700</w:t>
            </w:r>
          </w:p>
        </w:tc>
      </w:tr>
      <w:tr w:rsidR="00FE02EF" w:rsidRPr="00CC19F7" w14:paraId="12E8303E" w14:textId="77777777" w:rsidTr="005F29B2">
        <w:trPr>
          <w:trHeight w:val="380"/>
        </w:trPr>
        <w:tc>
          <w:tcPr>
            <w:tcW w:w="840" w:type="dxa"/>
            <w:tcBorders>
              <w:top w:val="nil"/>
              <w:left w:val="nil"/>
              <w:bottom w:val="nil"/>
              <w:right w:val="nil"/>
            </w:tcBorders>
            <w:tcMar>
              <w:top w:w="128" w:type="dxa"/>
              <w:left w:w="43" w:type="dxa"/>
              <w:bottom w:w="43" w:type="dxa"/>
              <w:right w:w="43" w:type="dxa"/>
            </w:tcMar>
          </w:tcPr>
          <w:p w14:paraId="27750497" w14:textId="77777777" w:rsidR="00FE02EF" w:rsidRPr="00CC19F7" w:rsidRDefault="00881E58" w:rsidP="00CC19F7">
            <w:r w:rsidRPr="00CC19F7">
              <w:t>02</w:t>
            </w:r>
          </w:p>
        </w:tc>
        <w:tc>
          <w:tcPr>
            <w:tcW w:w="4504" w:type="dxa"/>
            <w:tcBorders>
              <w:top w:val="nil"/>
              <w:left w:val="nil"/>
              <w:bottom w:val="nil"/>
              <w:right w:val="nil"/>
            </w:tcBorders>
            <w:tcMar>
              <w:top w:w="128" w:type="dxa"/>
              <w:left w:w="43" w:type="dxa"/>
              <w:bottom w:w="43" w:type="dxa"/>
              <w:right w:w="43" w:type="dxa"/>
            </w:tcMar>
          </w:tcPr>
          <w:p w14:paraId="4F3DD48B" w14:textId="77777777" w:rsidR="00FE02EF" w:rsidRPr="00CC19F7" w:rsidRDefault="00881E58" w:rsidP="005F29B2">
            <w:r w:rsidRPr="00CC19F7">
              <w:t>Oppdrags- og samarbeidsinntekter</w:t>
            </w:r>
          </w:p>
        </w:tc>
        <w:tc>
          <w:tcPr>
            <w:tcW w:w="1417" w:type="dxa"/>
            <w:tcBorders>
              <w:top w:val="nil"/>
              <w:left w:val="nil"/>
              <w:bottom w:val="nil"/>
              <w:right w:val="nil"/>
            </w:tcBorders>
            <w:tcMar>
              <w:top w:w="128" w:type="dxa"/>
              <w:left w:w="43" w:type="dxa"/>
              <w:bottom w:w="43" w:type="dxa"/>
              <w:right w:w="43" w:type="dxa"/>
            </w:tcMar>
            <w:vAlign w:val="bottom"/>
          </w:tcPr>
          <w:p w14:paraId="120FC179" w14:textId="77777777" w:rsidR="00FE02EF" w:rsidRPr="00CC19F7" w:rsidRDefault="00881E58" w:rsidP="005F29B2">
            <w:pPr>
              <w:jc w:val="right"/>
            </w:pPr>
            <w:r w:rsidRPr="00CC19F7">
              <w:t>68 530</w:t>
            </w:r>
          </w:p>
        </w:tc>
        <w:tc>
          <w:tcPr>
            <w:tcW w:w="1479" w:type="dxa"/>
            <w:tcBorders>
              <w:top w:val="nil"/>
              <w:left w:val="nil"/>
              <w:bottom w:val="nil"/>
              <w:right w:val="nil"/>
            </w:tcBorders>
            <w:tcMar>
              <w:top w:w="128" w:type="dxa"/>
              <w:left w:w="43" w:type="dxa"/>
              <w:bottom w:w="43" w:type="dxa"/>
              <w:right w:w="43" w:type="dxa"/>
            </w:tcMar>
            <w:vAlign w:val="bottom"/>
          </w:tcPr>
          <w:p w14:paraId="017E04CB" w14:textId="77777777" w:rsidR="00FE02EF" w:rsidRPr="00CC19F7" w:rsidRDefault="00881E58" w:rsidP="005F29B2">
            <w:pPr>
              <w:jc w:val="right"/>
            </w:pPr>
            <w:r w:rsidRPr="00CC19F7">
              <w:t>65 400</w:t>
            </w:r>
          </w:p>
        </w:tc>
        <w:tc>
          <w:tcPr>
            <w:tcW w:w="1300" w:type="dxa"/>
            <w:tcBorders>
              <w:top w:val="nil"/>
              <w:left w:val="nil"/>
              <w:bottom w:val="nil"/>
              <w:right w:val="nil"/>
            </w:tcBorders>
            <w:tcMar>
              <w:top w:w="128" w:type="dxa"/>
              <w:left w:w="43" w:type="dxa"/>
              <w:bottom w:w="43" w:type="dxa"/>
              <w:right w:w="43" w:type="dxa"/>
            </w:tcMar>
            <w:vAlign w:val="bottom"/>
          </w:tcPr>
          <w:p w14:paraId="5A8A9E4F" w14:textId="77777777" w:rsidR="00FE02EF" w:rsidRPr="00CC19F7" w:rsidRDefault="00881E58" w:rsidP="005F29B2">
            <w:pPr>
              <w:jc w:val="right"/>
            </w:pPr>
            <w:r w:rsidRPr="00CC19F7">
              <w:t>57 500</w:t>
            </w:r>
          </w:p>
        </w:tc>
      </w:tr>
      <w:tr w:rsidR="00FE02EF" w:rsidRPr="00CC19F7" w14:paraId="75B71D96" w14:textId="77777777" w:rsidTr="005F29B2">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08F7CE8" w14:textId="77777777" w:rsidR="00FE02EF" w:rsidRPr="00CC19F7" w:rsidRDefault="00881E58" w:rsidP="00CC19F7">
            <w:r w:rsidRPr="00CC19F7">
              <w:t>10</w:t>
            </w:r>
          </w:p>
        </w:tc>
        <w:tc>
          <w:tcPr>
            <w:tcW w:w="4504" w:type="dxa"/>
            <w:tcBorders>
              <w:top w:val="nil"/>
              <w:left w:val="nil"/>
              <w:bottom w:val="single" w:sz="4" w:space="0" w:color="000000"/>
              <w:right w:val="nil"/>
            </w:tcBorders>
            <w:tcMar>
              <w:top w:w="128" w:type="dxa"/>
              <w:left w:w="43" w:type="dxa"/>
              <w:bottom w:w="43" w:type="dxa"/>
              <w:right w:w="43" w:type="dxa"/>
            </w:tcMar>
          </w:tcPr>
          <w:p w14:paraId="4BB7CDF0" w14:textId="77777777" w:rsidR="00FE02EF" w:rsidRPr="00CC19F7" w:rsidRDefault="00881E58" w:rsidP="005F29B2">
            <w:proofErr w:type="spellStart"/>
            <w:r w:rsidRPr="00CC19F7">
              <w:t>Refusjonar</w:t>
            </w:r>
            <w:proofErr w:type="spellEnd"/>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65643B30" w14:textId="77777777" w:rsidR="00FE02EF" w:rsidRPr="00CC19F7" w:rsidRDefault="00881E58" w:rsidP="005F29B2">
            <w:pPr>
              <w:jc w:val="right"/>
            </w:pPr>
            <w:r w:rsidRPr="00CC19F7">
              <w:t>729</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513F99D2" w14:textId="77777777" w:rsidR="00FE02EF" w:rsidRPr="00CC19F7" w:rsidRDefault="00FE02EF" w:rsidP="005F29B2">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FFCF106" w14:textId="77777777" w:rsidR="00FE02EF" w:rsidRPr="00CC19F7" w:rsidRDefault="00881E58" w:rsidP="005F29B2">
            <w:pPr>
              <w:jc w:val="right"/>
            </w:pPr>
            <w:r w:rsidRPr="00CC19F7">
              <w:t>300</w:t>
            </w:r>
          </w:p>
        </w:tc>
      </w:tr>
      <w:tr w:rsidR="00FE02EF" w:rsidRPr="00CC19F7" w14:paraId="49385355" w14:textId="77777777" w:rsidTr="005F29B2">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CF6FC5B" w14:textId="77777777" w:rsidR="00FE02EF" w:rsidRPr="00CC19F7" w:rsidRDefault="00FE02EF" w:rsidP="00CC19F7"/>
        </w:tc>
        <w:tc>
          <w:tcPr>
            <w:tcW w:w="4504" w:type="dxa"/>
            <w:tcBorders>
              <w:top w:val="nil"/>
              <w:left w:val="nil"/>
              <w:bottom w:val="single" w:sz="4" w:space="0" w:color="000000"/>
              <w:right w:val="nil"/>
            </w:tcBorders>
            <w:tcMar>
              <w:top w:w="128" w:type="dxa"/>
              <w:left w:w="43" w:type="dxa"/>
              <w:bottom w:w="43" w:type="dxa"/>
              <w:right w:w="43" w:type="dxa"/>
            </w:tcMar>
          </w:tcPr>
          <w:p w14:paraId="7A3BE215" w14:textId="77777777" w:rsidR="00FE02EF" w:rsidRPr="00CC19F7" w:rsidRDefault="00881E58" w:rsidP="005F29B2">
            <w:r w:rsidRPr="00CC19F7">
              <w:t>Sum kap. 4810</w:t>
            </w:r>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665D3437" w14:textId="77777777" w:rsidR="00FE02EF" w:rsidRPr="00CC19F7" w:rsidRDefault="00881E58" w:rsidP="005F29B2">
            <w:pPr>
              <w:jc w:val="right"/>
            </w:pPr>
            <w:r w:rsidRPr="00CC19F7">
              <w:t>94 543</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20A91419" w14:textId="77777777" w:rsidR="00FE02EF" w:rsidRPr="00CC19F7" w:rsidRDefault="00881E58" w:rsidP="005F29B2">
            <w:pPr>
              <w:jc w:val="right"/>
            </w:pPr>
            <w:r w:rsidRPr="00CC19F7">
              <w:t>94 800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174CF10" w14:textId="77777777" w:rsidR="00FE02EF" w:rsidRPr="00CC19F7" w:rsidRDefault="00881E58" w:rsidP="005F29B2">
            <w:pPr>
              <w:jc w:val="right"/>
            </w:pPr>
            <w:r w:rsidRPr="00CC19F7">
              <w:t>88 500</w:t>
            </w:r>
          </w:p>
        </w:tc>
      </w:tr>
    </w:tbl>
    <w:p w14:paraId="3E6BF6B3" w14:textId="77777777" w:rsidR="00FE02EF" w:rsidRPr="00CC19F7" w:rsidRDefault="00881E58" w:rsidP="00CC19F7">
      <w:pPr>
        <w:pStyle w:val="b-post"/>
      </w:pPr>
      <w:r w:rsidRPr="00CC19F7">
        <w:t>Post 01 Gebyrinntekter</w:t>
      </w:r>
    </w:p>
    <w:p w14:paraId="4EE3FC1B" w14:textId="77777777" w:rsidR="00FE02EF" w:rsidRPr="00CC19F7" w:rsidRDefault="00881E58" w:rsidP="00CC19F7">
      <w:r w:rsidRPr="00CC19F7">
        <w:t xml:space="preserve">Posten </w:t>
      </w:r>
      <w:proofErr w:type="spellStart"/>
      <w:r w:rsidRPr="00CC19F7">
        <w:t>omfattar</w:t>
      </w:r>
      <w:proofErr w:type="spellEnd"/>
      <w:r w:rsidRPr="00CC19F7">
        <w:t xml:space="preserve"> gebyrinntekter </w:t>
      </w:r>
      <w:proofErr w:type="spellStart"/>
      <w:r w:rsidRPr="00CC19F7">
        <w:t>frå</w:t>
      </w:r>
      <w:proofErr w:type="spellEnd"/>
      <w:r w:rsidRPr="00CC19F7">
        <w:t xml:space="preserve"> konsesjonssøknader, undersøkings- og utvinningsløyve, seismiske </w:t>
      </w:r>
      <w:proofErr w:type="spellStart"/>
      <w:r w:rsidRPr="00CC19F7">
        <w:t>undersøkingar</w:t>
      </w:r>
      <w:proofErr w:type="spellEnd"/>
      <w:r w:rsidRPr="00CC19F7">
        <w:t xml:space="preserve">, </w:t>
      </w:r>
      <w:proofErr w:type="spellStart"/>
      <w:r w:rsidRPr="00CC19F7">
        <w:t>registreringar</w:t>
      </w:r>
      <w:proofErr w:type="spellEnd"/>
      <w:r w:rsidRPr="00CC19F7">
        <w:t xml:space="preserve"> i Petroleumsregisteret og refusjon av tilsynsutgifter.</w:t>
      </w:r>
    </w:p>
    <w:p w14:paraId="1B4B71CD" w14:textId="77777777" w:rsidR="00FE02EF" w:rsidRPr="00CC19F7" w:rsidRDefault="00881E58" w:rsidP="00CC19F7">
      <w:pPr>
        <w:pStyle w:val="b-post"/>
      </w:pPr>
      <w:r w:rsidRPr="00CC19F7">
        <w:t>Post 02 Oppdrags- og samarbeidsinntekter</w:t>
      </w:r>
    </w:p>
    <w:p w14:paraId="38597EB8" w14:textId="77777777" w:rsidR="00FE02EF" w:rsidRPr="00CC19F7" w:rsidRDefault="00881E58" w:rsidP="00CC19F7">
      <w:r w:rsidRPr="00CC19F7">
        <w:t xml:space="preserve">Posten </w:t>
      </w:r>
      <w:proofErr w:type="spellStart"/>
      <w:r w:rsidRPr="00CC19F7">
        <w:t>omfattar</w:t>
      </w:r>
      <w:proofErr w:type="spellEnd"/>
      <w:r w:rsidRPr="00CC19F7">
        <w:t xml:space="preserve"> inntekter </w:t>
      </w:r>
      <w:proofErr w:type="spellStart"/>
      <w:r w:rsidRPr="00CC19F7">
        <w:t>frå</w:t>
      </w:r>
      <w:proofErr w:type="spellEnd"/>
      <w:r w:rsidRPr="00CC19F7">
        <w:t xml:space="preserve"> oppdrags- og </w:t>
      </w:r>
      <w:proofErr w:type="spellStart"/>
      <w:r w:rsidRPr="00CC19F7">
        <w:t>samarbeidsverksemda</w:t>
      </w:r>
      <w:proofErr w:type="spellEnd"/>
      <w:r w:rsidRPr="00CC19F7">
        <w:t>, jf. kap. 1810, post 23.</w:t>
      </w:r>
    </w:p>
    <w:p w14:paraId="5C5F29FD" w14:textId="77777777" w:rsidR="00FE02EF" w:rsidRPr="00CC19F7" w:rsidRDefault="00881E58" w:rsidP="00CC19F7">
      <w:pPr>
        <w:pStyle w:val="b-post"/>
      </w:pPr>
      <w:r w:rsidRPr="00CC19F7">
        <w:t xml:space="preserve">Post 10 </w:t>
      </w:r>
      <w:proofErr w:type="spellStart"/>
      <w:r w:rsidRPr="00CC19F7">
        <w:t>Refusjonar</w:t>
      </w:r>
      <w:proofErr w:type="spellEnd"/>
    </w:p>
    <w:p w14:paraId="49DAC43F" w14:textId="77777777" w:rsidR="00FE02EF" w:rsidRPr="00CC19F7" w:rsidRDefault="00881E58" w:rsidP="00CC19F7">
      <w:r w:rsidRPr="00CC19F7">
        <w:t xml:space="preserve">Posten </w:t>
      </w:r>
      <w:proofErr w:type="spellStart"/>
      <w:r w:rsidRPr="00CC19F7">
        <w:t>omfattar</w:t>
      </w:r>
      <w:proofErr w:type="spellEnd"/>
      <w:r w:rsidRPr="00CC19F7">
        <w:t xml:space="preserve"> </w:t>
      </w:r>
      <w:proofErr w:type="spellStart"/>
      <w:r w:rsidRPr="00CC19F7">
        <w:t>refusjonar</w:t>
      </w:r>
      <w:proofErr w:type="spellEnd"/>
      <w:r w:rsidRPr="00CC19F7">
        <w:t xml:space="preserve"> </w:t>
      </w:r>
      <w:proofErr w:type="spellStart"/>
      <w:r w:rsidRPr="00CC19F7">
        <w:t>frå</w:t>
      </w:r>
      <w:proofErr w:type="spellEnd"/>
      <w:r w:rsidRPr="00CC19F7">
        <w:t xml:space="preserve"> mellom anna </w:t>
      </w:r>
      <w:proofErr w:type="spellStart"/>
      <w:r w:rsidRPr="00CC19F7">
        <w:t>eigenandelar</w:t>
      </w:r>
      <w:proofErr w:type="spellEnd"/>
      <w:r w:rsidRPr="00CC19F7">
        <w:t xml:space="preserve"> og kursavgifter.</w:t>
      </w:r>
    </w:p>
    <w:p w14:paraId="68A78FF5" w14:textId="77777777" w:rsidR="00FE02EF" w:rsidRPr="00CC19F7" w:rsidRDefault="00881E58" w:rsidP="00CC19F7">
      <w:pPr>
        <w:pStyle w:val="b-progkat"/>
      </w:pPr>
      <w:r w:rsidRPr="00CC19F7">
        <w:t xml:space="preserve">Programkategori 18.20 Energi og </w:t>
      </w:r>
      <w:proofErr w:type="spellStart"/>
      <w:r w:rsidRPr="00CC19F7">
        <w:t>vassressursar</w:t>
      </w:r>
      <w:proofErr w:type="spellEnd"/>
    </w:p>
    <w:p w14:paraId="7F4A997E" w14:textId="77777777" w:rsidR="00FE02EF" w:rsidRPr="00CC19F7" w:rsidRDefault="00881E58" w:rsidP="00CC19F7">
      <w:pPr>
        <w:pStyle w:val="Undertittel"/>
      </w:pPr>
      <w:r w:rsidRPr="00CC19F7">
        <w:t>Utviklingstrekk</w:t>
      </w:r>
    </w:p>
    <w:p w14:paraId="6BEF81C3" w14:textId="77777777" w:rsidR="00FE02EF" w:rsidRPr="00CC19F7" w:rsidRDefault="00881E58" w:rsidP="00CC19F7">
      <w:r w:rsidRPr="00CC19F7">
        <w:t xml:space="preserve">Sikker tilgang på kraft er viktig for verdiskaping og velferd, og nødvendig for </w:t>
      </w:r>
      <w:proofErr w:type="spellStart"/>
      <w:r w:rsidRPr="00CC19F7">
        <w:t>dei</w:t>
      </w:r>
      <w:proofErr w:type="spellEnd"/>
      <w:r w:rsidRPr="00CC19F7">
        <w:t xml:space="preserve"> fleste </w:t>
      </w:r>
      <w:proofErr w:type="spellStart"/>
      <w:r w:rsidRPr="00CC19F7">
        <w:t>samfunnsfunksjonar</w:t>
      </w:r>
      <w:proofErr w:type="spellEnd"/>
      <w:r w:rsidRPr="00CC19F7">
        <w:t xml:space="preserve">. Dei siste åra har </w:t>
      </w:r>
      <w:proofErr w:type="spellStart"/>
      <w:r w:rsidRPr="00CC19F7">
        <w:t>vore</w:t>
      </w:r>
      <w:proofErr w:type="spellEnd"/>
      <w:r w:rsidRPr="00CC19F7">
        <w:t xml:space="preserve"> prega av </w:t>
      </w:r>
      <w:proofErr w:type="spellStart"/>
      <w:r w:rsidRPr="00CC19F7">
        <w:t>urolege</w:t>
      </w:r>
      <w:proofErr w:type="spellEnd"/>
      <w:r w:rsidRPr="00CC19F7">
        <w:t xml:space="preserve"> tider i </w:t>
      </w:r>
      <w:proofErr w:type="spellStart"/>
      <w:r w:rsidRPr="00CC19F7">
        <w:t>energimarknadene</w:t>
      </w:r>
      <w:proofErr w:type="spellEnd"/>
      <w:r w:rsidRPr="00CC19F7">
        <w:t xml:space="preserve">, med tidvis svært høge gass- og </w:t>
      </w:r>
      <w:proofErr w:type="spellStart"/>
      <w:r w:rsidRPr="00CC19F7">
        <w:t>kraftprisar</w:t>
      </w:r>
      <w:proofErr w:type="spellEnd"/>
      <w:r w:rsidRPr="00CC19F7">
        <w:t xml:space="preserve"> på kontinentet. Dette har bidratt til høge </w:t>
      </w:r>
      <w:proofErr w:type="spellStart"/>
      <w:r w:rsidRPr="00CC19F7">
        <w:t>kraftprisar</w:t>
      </w:r>
      <w:proofErr w:type="spellEnd"/>
      <w:r w:rsidRPr="00CC19F7">
        <w:t xml:space="preserve"> i Sør-</w:t>
      </w:r>
      <w:proofErr w:type="spellStart"/>
      <w:r w:rsidRPr="00CC19F7">
        <w:t>Noreg</w:t>
      </w:r>
      <w:proofErr w:type="spellEnd"/>
      <w:r w:rsidRPr="00CC19F7">
        <w:t xml:space="preserve">, </w:t>
      </w:r>
      <w:proofErr w:type="spellStart"/>
      <w:r w:rsidRPr="00CC19F7">
        <w:t>særleg</w:t>
      </w:r>
      <w:proofErr w:type="spellEnd"/>
      <w:r w:rsidRPr="00CC19F7">
        <w:t xml:space="preserve"> i Sørvest-</w:t>
      </w:r>
      <w:proofErr w:type="spellStart"/>
      <w:r w:rsidRPr="00CC19F7">
        <w:t>Noreg</w:t>
      </w:r>
      <w:proofErr w:type="spellEnd"/>
      <w:r w:rsidRPr="00CC19F7">
        <w:t xml:space="preserve">. Dei siste </w:t>
      </w:r>
      <w:proofErr w:type="spellStart"/>
      <w:r w:rsidRPr="00CC19F7">
        <w:t>månadene</w:t>
      </w:r>
      <w:proofErr w:type="spellEnd"/>
      <w:r w:rsidRPr="00CC19F7">
        <w:t xml:space="preserve"> har </w:t>
      </w:r>
      <w:proofErr w:type="spellStart"/>
      <w:r w:rsidRPr="00CC19F7">
        <w:t>kraftprisane</w:t>
      </w:r>
      <w:proofErr w:type="spellEnd"/>
      <w:r w:rsidRPr="00CC19F7">
        <w:t xml:space="preserve"> falt sterkt </w:t>
      </w:r>
      <w:proofErr w:type="spellStart"/>
      <w:r w:rsidRPr="00CC19F7">
        <w:t>frå</w:t>
      </w:r>
      <w:proofErr w:type="spellEnd"/>
      <w:r w:rsidRPr="00CC19F7">
        <w:t xml:space="preserve"> svært høge nivå i 2021 og 2022. </w:t>
      </w:r>
    </w:p>
    <w:p w14:paraId="5E5213F1" w14:textId="77777777" w:rsidR="00FE02EF" w:rsidRPr="00CC19F7" w:rsidRDefault="00881E58" w:rsidP="00CC19F7">
      <w:r w:rsidRPr="00CC19F7">
        <w:t xml:space="preserve">For å sikre folks tryggleik har regjeringa foreslått </w:t>
      </w:r>
      <w:proofErr w:type="spellStart"/>
      <w:r w:rsidRPr="00CC19F7">
        <w:t>endringar</w:t>
      </w:r>
      <w:proofErr w:type="spellEnd"/>
      <w:r w:rsidRPr="00CC19F7">
        <w:t xml:space="preserve"> i den </w:t>
      </w:r>
      <w:proofErr w:type="spellStart"/>
      <w:r w:rsidRPr="00CC19F7">
        <w:t>mellombelse</w:t>
      </w:r>
      <w:proofErr w:type="spellEnd"/>
      <w:r w:rsidRPr="00CC19F7">
        <w:t xml:space="preserve"> straumstønadsordninga for private </w:t>
      </w:r>
      <w:proofErr w:type="spellStart"/>
      <w:r w:rsidRPr="00CC19F7">
        <w:t>hushaldningar</w:t>
      </w:r>
      <w:proofErr w:type="spellEnd"/>
      <w:r w:rsidRPr="00CC19F7">
        <w:t xml:space="preserve"> og burettslag. Stortinget har vedtatt at </w:t>
      </w:r>
      <w:proofErr w:type="spellStart"/>
      <w:r w:rsidRPr="00CC19F7">
        <w:t>berekninga</w:t>
      </w:r>
      <w:proofErr w:type="spellEnd"/>
      <w:r w:rsidRPr="00CC19F7">
        <w:t xml:space="preserve"> av straumstønad skal basere seg på straumprisen time for time, at stønadsgraden blir </w:t>
      </w:r>
      <w:proofErr w:type="spellStart"/>
      <w:r w:rsidRPr="00CC19F7">
        <w:t>auka</w:t>
      </w:r>
      <w:proofErr w:type="spellEnd"/>
      <w:r w:rsidRPr="00CC19F7">
        <w:t xml:space="preserve"> til 90 prosent heile året og at ordninga blir </w:t>
      </w:r>
      <w:proofErr w:type="spellStart"/>
      <w:r w:rsidRPr="00CC19F7">
        <w:t>forlengd</w:t>
      </w:r>
      <w:proofErr w:type="spellEnd"/>
      <w:r w:rsidRPr="00CC19F7">
        <w:t xml:space="preserve"> ut heile 2024. </w:t>
      </w:r>
      <w:proofErr w:type="spellStart"/>
      <w:r w:rsidRPr="00CC19F7">
        <w:t>Desse</w:t>
      </w:r>
      <w:proofErr w:type="spellEnd"/>
      <w:r w:rsidRPr="00CC19F7">
        <w:t xml:space="preserve"> </w:t>
      </w:r>
      <w:proofErr w:type="spellStart"/>
      <w:r w:rsidRPr="00CC19F7">
        <w:t>endringane</w:t>
      </w:r>
      <w:proofErr w:type="spellEnd"/>
      <w:r w:rsidRPr="00CC19F7">
        <w:t xml:space="preserve"> vil bidra til ei </w:t>
      </w:r>
      <w:proofErr w:type="spellStart"/>
      <w:r w:rsidRPr="00CC19F7">
        <w:t>meir</w:t>
      </w:r>
      <w:proofErr w:type="spellEnd"/>
      <w:r w:rsidRPr="00CC19F7">
        <w:t xml:space="preserve"> treffsikker og </w:t>
      </w:r>
      <w:proofErr w:type="spellStart"/>
      <w:r w:rsidRPr="00CC19F7">
        <w:t>føreseieleg</w:t>
      </w:r>
      <w:proofErr w:type="spellEnd"/>
      <w:r w:rsidRPr="00CC19F7">
        <w:t xml:space="preserve"> støtteordning for </w:t>
      </w:r>
      <w:proofErr w:type="spellStart"/>
      <w:r w:rsidRPr="00CC19F7">
        <w:t>hushaldningar</w:t>
      </w:r>
      <w:proofErr w:type="spellEnd"/>
      <w:r w:rsidRPr="00CC19F7">
        <w:t xml:space="preserve"> og burettslag. Regjeringa foreslår at terskelverdien for stønad blir prisjustert </w:t>
      </w:r>
      <w:proofErr w:type="spellStart"/>
      <w:r w:rsidRPr="00CC19F7">
        <w:t>frå</w:t>
      </w:r>
      <w:proofErr w:type="spellEnd"/>
      <w:r w:rsidRPr="00CC19F7">
        <w:t xml:space="preserve"> 70 øre/kWh til 73 øre/kWh </w:t>
      </w:r>
      <w:proofErr w:type="spellStart"/>
      <w:r w:rsidRPr="00CC19F7">
        <w:t>frå</w:t>
      </w:r>
      <w:proofErr w:type="spellEnd"/>
      <w:r w:rsidRPr="00CC19F7">
        <w:t xml:space="preserve"> 1. januar 2024.</w:t>
      </w:r>
    </w:p>
    <w:p w14:paraId="0DD3F95E" w14:textId="77777777" w:rsidR="00FE02EF" w:rsidRPr="00CC19F7" w:rsidRDefault="00881E58" w:rsidP="00CC19F7">
      <w:r w:rsidRPr="00CC19F7">
        <w:t xml:space="preserve">Regjeringa gjorde </w:t>
      </w:r>
      <w:proofErr w:type="spellStart"/>
      <w:r w:rsidRPr="00CC19F7">
        <w:t>hausten</w:t>
      </w:r>
      <w:proofErr w:type="spellEnd"/>
      <w:r w:rsidRPr="00CC19F7">
        <w:t xml:space="preserve"> 2022 framlegg om ei mellombels lånegarantiordning og ei mellombels </w:t>
      </w:r>
      <w:proofErr w:type="spellStart"/>
      <w:r w:rsidRPr="00CC19F7">
        <w:t>energitilskotsordning</w:t>
      </w:r>
      <w:proofErr w:type="spellEnd"/>
      <w:r w:rsidRPr="00CC19F7">
        <w:t xml:space="preserve">, jf. </w:t>
      </w:r>
      <w:proofErr w:type="spellStart"/>
      <w:r w:rsidRPr="00CC19F7">
        <w:t>Prop</w:t>
      </w:r>
      <w:proofErr w:type="spellEnd"/>
      <w:r w:rsidRPr="00CC19F7">
        <w:t xml:space="preserve">. 142 S (2021–2022). Formålet med </w:t>
      </w:r>
      <w:proofErr w:type="spellStart"/>
      <w:r w:rsidRPr="00CC19F7">
        <w:t>ordningane</w:t>
      </w:r>
      <w:proofErr w:type="spellEnd"/>
      <w:r w:rsidRPr="00CC19F7">
        <w:t xml:space="preserve"> var å hjelpe straumintensive </w:t>
      </w:r>
      <w:proofErr w:type="spellStart"/>
      <w:r w:rsidRPr="00CC19F7">
        <w:t>føretak</w:t>
      </w:r>
      <w:proofErr w:type="spellEnd"/>
      <w:r w:rsidRPr="00CC19F7">
        <w:t xml:space="preserve"> i </w:t>
      </w:r>
      <w:proofErr w:type="spellStart"/>
      <w:r w:rsidRPr="00CC19F7">
        <w:t>ein</w:t>
      </w:r>
      <w:proofErr w:type="spellEnd"/>
      <w:r w:rsidRPr="00CC19F7">
        <w:t xml:space="preserve"> overgangsperiode med å omstille seg i lys av ekstraordinært høge </w:t>
      </w:r>
      <w:proofErr w:type="spellStart"/>
      <w:r w:rsidRPr="00CC19F7">
        <w:t>straumprisar</w:t>
      </w:r>
      <w:proofErr w:type="spellEnd"/>
      <w:r w:rsidRPr="00CC19F7">
        <w:t xml:space="preserve">. Regjeringa har også gjort </w:t>
      </w:r>
      <w:proofErr w:type="spellStart"/>
      <w:r w:rsidRPr="00CC19F7">
        <w:t>endringar</w:t>
      </w:r>
      <w:proofErr w:type="spellEnd"/>
      <w:r w:rsidRPr="00CC19F7">
        <w:t xml:space="preserve"> i grunnrenteskatten for vasskraftverk for å legge </w:t>
      </w:r>
      <w:proofErr w:type="spellStart"/>
      <w:r w:rsidRPr="00CC19F7">
        <w:t>betre</w:t>
      </w:r>
      <w:proofErr w:type="spellEnd"/>
      <w:r w:rsidRPr="00CC19F7">
        <w:t xml:space="preserve"> til rette for at </w:t>
      </w:r>
      <w:proofErr w:type="spellStart"/>
      <w:r w:rsidRPr="00CC19F7">
        <w:t>sluttbrukarane</w:t>
      </w:r>
      <w:proofErr w:type="spellEnd"/>
      <w:r w:rsidRPr="00CC19F7">
        <w:t xml:space="preserve"> kan inngå fastprisavtaler for </w:t>
      </w:r>
      <w:proofErr w:type="spellStart"/>
      <w:r w:rsidRPr="00CC19F7">
        <w:t>straum</w:t>
      </w:r>
      <w:proofErr w:type="spellEnd"/>
      <w:r w:rsidRPr="00CC19F7">
        <w:t>.</w:t>
      </w:r>
    </w:p>
    <w:p w14:paraId="18124572" w14:textId="77777777" w:rsidR="00FE02EF" w:rsidRPr="00CC19F7" w:rsidRDefault="00881E58" w:rsidP="00CC19F7">
      <w:r w:rsidRPr="00CC19F7">
        <w:t xml:space="preserve">Etter </w:t>
      </w:r>
      <w:proofErr w:type="spellStart"/>
      <w:r w:rsidRPr="00CC19F7">
        <w:t>ein</w:t>
      </w:r>
      <w:proofErr w:type="spellEnd"/>
      <w:r w:rsidRPr="00CC19F7">
        <w:t xml:space="preserve"> periode med låg fyllingsgrad i norske kraftmagasin gjennom </w:t>
      </w:r>
      <w:proofErr w:type="spellStart"/>
      <w:r w:rsidRPr="00CC19F7">
        <w:t>delar</w:t>
      </w:r>
      <w:proofErr w:type="spellEnd"/>
      <w:r w:rsidRPr="00CC19F7">
        <w:t xml:space="preserve"> av 2021 og 2022 har situasjonen i 2023 </w:t>
      </w:r>
      <w:proofErr w:type="spellStart"/>
      <w:r w:rsidRPr="00CC19F7">
        <w:t>betra</w:t>
      </w:r>
      <w:proofErr w:type="spellEnd"/>
      <w:r w:rsidRPr="00CC19F7">
        <w:t xml:space="preserve"> seg </w:t>
      </w:r>
      <w:proofErr w:type="spellStart"/>
      <w:r w:rsidRPr="00CC19F7">
        <w:t>vesentleg</w:t>
      </w:r>
      <w:proofErr w:type="spellEnd"/>
      <w:r w:rsidRPr="00CC19F7">
        <w:t xml:space="preserve">. Magasinfyllinga er </w:t>
      </w:r>
      <w:proofErr w:type="spellStart"/>
      <w:r w:rsidRPr="00CC19F7">
        <w:t>no</w:t>
      </w:r>
      <w:proofErr w:type="spellEnd"/>
      <w:r w:rsidRPr="00CC19F7">
        <w:t xml:space="preserve"> på </w:t>
      </w:r>
      <w:proofErr w:type="spellStart"/>
      <w:r w:rsidRPr="00CC19F7">
        <w:t>eit</w:t>
      </w:r>
      <w:proofErr w:type="spellEnd"/>
      <w:r w:rsidRPr="00CC19F7">
        <w:t xml:space="preserve"> langt </w:t>
      </w:r>
      <w:proofErr w:type="spellStart"/>
      <w:r w:rsidRPr="00CC19F7">
        <w:t>høgare</w:t>
      </w:r>
      <w:proofErr w:type="spellEnd"/>
      <w:r w:rsidRPr="00CC19F7">
        <w:t xml:space="preserve"> nivå i Sør-</w:t>
      </w:r>
      <w:proofErr w:type="spellStart"/>
      <w:r w:rsidRPr="00CC19F7">
        <w:t>Noreg</w:t>
      </w:r>
      <w:proofErr w:type="spellEnd"/>
      <w:r w:rsidRPr="00CC19F7">
        <w:t xml:space="preserve"> enn på same tid i fjor, og </w:t>
      </w:r>
      <w:proofErr w:type="spellStart"/>
      <w:r w:rsidRPr="00CC19F7">
        <w:t>kraftprisane</w:t>
      </w:r>
      <w:proofErr w:type="spellEnd"/>
      <w:r w:rsidRPr="00CC19F7">
        <w:t xml:space="preserve"> har </w:t>
      </w:r>
      <w:proofErr w:type="spellStart"/>
      <w:r w:rsidRPr="00CC19F7">
        <w:t>halde</w:t>
      </w:r>
      <w:proofErr w:type="spellEnd"/>
      <w:r w:rsidRPr="00CC19F7">
        <w:t xml:space="preserve"> seg på </w:t>
      </w:r>
      <w:proofErr w:type="spellStart"/>
      <w:r w:rsidRPr="00CC19F7">
        <w:t>eit</w:t>
      </w:r>
      <w:proofErr w:type="spellEnd"/>
      <w:r w:rsidRPr="00CC19F7">
        <w:t xml:space="preserve"> </w:t>
      </w:r>
      <w:proofErr w:type="spellStart"/>
      <w:r w:rsidRPr="00CC19F7">
        <w:t>vesentleg</w:t>
      </w:r>
      <w:proofErr w:type="spellEnd"/>
      <w:r w:rsidRPr="00CC19F7">
        <w:t xml:space="preserve"> </w:t>
      </w:r>
      <w:proofErr w:type="spellStart"/>
      <w:r w:rsidRPr="00CC19F7">
        <w:t>lågare</w:t>
      </w:r>
      <w:proofErr w:type="spellEnd"/>
      <w:r w:rsidRPr="00CC19F7">
        <w:t xml:space="preserve"> nivå. Samtidig har det gjennom </w:t>
      </w:r>
      <w:proofErr w:type="spellStart"/>
      <w:r w:rsidRPr="00CC19F7">
        <w:t>sommaren</w:t>
      </w:r>
      <w:proofErr w:type="spellEnd"/>
      <w:r w:rsidRPr="00CC19F7">
        <w:t xml:space="preserve"> </w:t>
      </w:r>
      <w:proofErr w:type="spellStart"/>
      <w:r w:rsidRPr="00CC19F7">
        <w:t>vore</w:t>
      </w:r>
      <w:proofErr w:type="spellEnd"/>
      <w:r w:rsidRPr="00CC19F7">
        <w:t xml:space="preserve"> </w:t>
      </w:r>
      <w:proofErr w:type="spellStart"/>
      <w:r w:rsidRPr="00CC19F7">
        <w:t>auka</w:t>
      </w:r>
      <w:proofErr w:type="spellEnd"/>
      <w:r w:rsidRPr="00CC19F7">
        <w:t xml:space="preserve"> </w:t>
      </w:r>
      <w:proofErr w:type="spellStart"/>
      <w:r w:rsidRPr="00CC19F7">
        <w:t>prisforskjellar</w:t>
      </w:r>
      <w:proofErr w:type="spellEnd"/>
      <w:r w:rsidRPr="00CC19F7">
        <w:t xml:space="preserve"> internt i Sør-</w:t>
      </w:r>
      <w:proofErr w:type="spellStart"/>
      <w:r w:rsidRPr="00CC19F7">
        <w:t>Noreg</w:t>
      </w:r>
      <w:proofErr w:type="spellEnd"/>
      <w:r w:rsidRPr="00CC19F7">
        <w:t xml:space="preserve">. Gjennom </w:t>
      </w:r>
      <w:proofErr w:type="spellStart"/>
      <w:r w:rsidRPr="00CC19F7">
        <w:t>sommaren</w:t>
      </w:r>
      <w:proofErr w:type="spellEnd"/>
      <w:r w:rsidRPr="00CC19F7">
        <w:t xml:space="preserve"> fall </w:t>
      </w:r>
      <w:proofErr w:type="spellStart"/>
      <w:r w:rsidRPr="00CC19F7">
        <w:t>kraftprisane</w:t>
      </w:r>
      <w:proofErr w:type="spellEnd"/>
      <w:r w:rsidRPr="00CC19F7">
        <w:t xml:space="preserve"> i Søraust- og Vest-</w:t>
      </w:r>
      <w:proofErr w:type="spellStart"/>
      <w:r w:rsidRPr="00CC19F7">
        <w:t>Noreg</w:t>
      </w:r>
      <w:proofErr w:type="spellEnd"/>
      <w:r w:rsidRPr="00CC19F7">
        <w:t xml:space="preserve"> til </w:t>
      </w:r>
      <w:proofErr w:type="spellStart"/>
      <w:r w:rsidRPr="00CC19F7">
        <w:t>eit</w:t>
      </w:r>
      <w:proofErr w:type="spellEnd"/>
      <w:r w:rsidRPr="00CC19F7">
        <w:t xml:space="preserve"> tidvis svært lågt nivå, med </w:t>
      </w:r>
      <w:proofErr w:type="spellStart"/>
      <w:r w:rsidRPr="00CC19F7">
        <w:t>fleire</w:t>
      </w:r>
      <w:proofErr w:type="spellEnd"/>
      <w:r w:rsidRPr="00CC19F7">
        <w:t xml:space="preserve"> døgn med negative </w:t>
      </w:r>
      <w:proofErr w:type="spellStart"/>
      <w:r w:rsidRPr="00CC19F7">
        <w:t>døgnprisar</w:t>
      </w:r>
      <w:proofErr w:type="spellEnd"/>
      <w:r w:rsidRPr="00CC19F7">
        <w:t>. I Sørvest-</w:t>
      </w:r>
      <w:proofErr w:type="spellStart"/>
      <w:r w:rsidRPr="00CC19F7">
        <w:t>Noreg</w:t>
      </w:r>
      <w:proofErr w:type="spellEnd"/>
      <w:r w:rsidRPr="00CC19F7">
        <w:t xml:space="preserve"> har kraftprisen tvert om gradvis </w:t>
      </w:r>
      <w:proofErr w:type="spellStart"/>
      <w:r w:rsidRPr="00CC19F7">
        <w:t>auka</w:t>
      </w:r>
      <w:proofErr w:type="spellEnd"/>
      <w:r w:rsidRPr="00CC19F7">
        <w:t xml:space="preserve"> gjennom </w:t>
      </w:r>
      <w:proofErr w:type="spellStart"/>
      <w:r w:rsidRPr="00CC19F7">
        <w:t>sommaren</w:t>
      </w:r>
      <w:proofErr w:type="spellEnd"/>
      <w:r w:rsidRPr="00CC19F7">
        <w:t xml:space="preserve">. Det er </w:t>
      </w:r>
      <w:proofErr w:type="spellStart"/>
      <w:r w:rsidRPr="00CC19F7">
        <w:t>fleire</w:t>
      </w:r>
      <w:proofErr w:type="spellEnd"/>
      <w:r w:rsidRPr="00CC19F7">
        <w:t xml:space="preserve"> </w:t>
      </w:r>
      <w:proofErr w:type="spellStart"/>
      <w:r w:rsidRPr="00CC19F7">
        <w:t>grunnar</w:t>
      </w:r>
      <w:proofErr w:type="spellEnd"/>
      <w:r w:rsidRPr="00CC19F7">
        <w:t xml:space="preserve"> til at straumprisen i </w:t>
      </w:r>
      <w:proofErr w:type="spellStart"/>
      <w:r w:rsidRPr="00CC19F7">
        <w:t>periodar</w:t>
      </w:r>
      <w:proofErr w:type="spellEnd"/>
      <w:r w:rsidRPr="00CC19F7">
        <w:t xml:space="preserve"> av året har </w:t>
      </w:r>
      <w:proofErr w:type="spellStart"/>
      <w:r w:rsidRPr="00CC19F7">
        <w:t>vore</w:t>
      </w:r>
      <w:proofErr w:type="spellEnd"/>
      <w:r w:rsidRPr="00CC19F7">
        <w:t xml:space="preserve"> </w:t>
      </w:r>
      <w:proofErr w:type="spellStart"/>
      <w:r w:rsidRPr="00CC19F7">
        <w:t>høgare</w:t>
      </w:r>
      <w:proofErr w:type="spellEnd"/>
      <w:r w:rsidRPr="00CC19F7">
        <w:t xml:space="preserve"> i prisområde NO2 enn i resten av landet. I prisområde NO1 og NO5 førte situasjonen med </w:t>
      </w:r>
      <w:proofErr w:type="spellStart"/>
      <w:r w:rsidRPr="00CC19F7">
        <w:t>ekstremvêr</w:t>
      </w:r>
      <w:proofErr w:type="spellEnd"/>
      <w:r w:rsidRPr="00CC19F7">
        <w:t xml:space="preserve"> på </w:t>
      </w:r>
      <w:proofErr w:type="spellStart"/>
      <w:r w:rsidRPr="00CC19F7">
        <w:t>ettersommaren</w:t>
      </w:r>
      <w:proofErr w:type="spellEnd"/>
      <w:r w:rsidRPr="00CC19F7">
        <w:t xml:space="preserve"> til store </w:t>
      </w:r>
      <w:proofErr w:type="spellStart"/>
      <w:r w:rsidRPr="00CC19F7">
        <w:t>skadar</w:t>
      </w:r>
      <w:proofErr w:type="spellEnd"/>
      <w:r w:rsidRPr="00CC19F7">
        <w:t xml:space="preserve"> og overløp i mange vassdrag. I denne delen av Sør-</w:t>
      </w:r>
      <w:proofErr w:type="spellStart"/>
      <w:r w:rsidRPr="00CC19F7">
        <w:t>Noreg</w:t>
      </w:r>
      <w:proofErr w:type="spellEnd"/>
      <w:r w:rsidRPr="00CC19F7">
        <w:t xml:space="preserve"> er magasinkapasiteten </w:t>
      </w:r>
      <w:proofErr w:type="spellStart"/>
      <w:r w:rsidRPr="00CC19F7">
        <w:t>vesentleg</w:t>
      </w:r>
      <w:proofErr w:type="spellEnd"/>
      <w:r w:rsidRPr="00CC19F7">
        <w:t xml:space="preserve"> </w:t>
      </w:r>
      <w:proofErr w:type="spellStart"/>
      <w:r w:rsidRPr="00CC19F7">
        <w:t>lågare</w:t>
      </w:r>
      <w:proofErr w:type="spellEnd"/>
      <w:r w:rsidRPr="00CC19F7">
        <w:t xml:space="preserve"> enn i NO2, og det er </w:t>
      </w:r>
      <w:proofErr w:type="spellStart"/>
      <w:r w:rsidRPr="00CC19F7">
        <w:t>fleire</w:t>
      </w:r>
      <w:proofErr w:type="spellEnd"/>
      <w:r w:rsidRPr="00CC19F7">
        <w:t xml:space="preserve"> mindre vassmagasin med </w:t>
      </w:r>
      <w:proofErr w:type="spellStart"/>
      <w:r w:rsidRPr="00CC19F7">
        <w:t>lågare</w:t>
      </w:r>
      <w:proofErr w:type="spellEnd"/>
      <w:r w:rsidRPr="00CC19F7">
        <w:t xml:space="preserve"> reguleringsevne. Når magasinfyllinga </w:t>
      </w:r>
      <w:proofErr w:type="spellStart"/>
      <w:r w:rsidRPr="00CC19F7">
        <w:t>allereie</w:t>
      </w:r>
      <w:proofErr w:type="spellEnd"/>
      <w:r w:rsidRPr="00CC19F7">
        <w:t xml:space="preserve"> er </w:t>
      </w:r>
      <w:proofErr w:type="spellStart"/>
      <w:r w:rsidRPr="00CC19F7">
        <w:t>høg</w:t>
      </w:r>
      <w:proofErr w:type="spellEnd"/>
      <w:r w:rsidRPr="00CC19F7">
        <w:t xml:space="preserve"> og det kjem store nedbørsmengder, må kraftverk knytte til </w:t>
      </w:r>
      <w:proofErr w:type="spellStart"/>
      <w:r w:rsidRPr="00CC19F7">
        <w:t>desse</w:t>
      </w:r>
      <w:proofErr w:type="spellEnd"/>
      <w:r w:rsidRPr="00CC19F7">
        <w:t xml:space="preserve"> magasina produsere for å unngå overløp (tvungen produksjon). Denne heilt spesielle situasjonen har </w:t>
      </w:r>
      <w:proofErr w:type="spellStart"/>
      <w:r w:rsidRPr="00CC19F7">
        <w:t>påverka</w:t>
      </w:r>
      <w:proofErr w:type="spellEnd"/>
      <w:r w:rsidRPr="00CC19F7">
        <w:t xml:space="preserve"> </w:t>
      </w:r>
      <w:proofErr w:type="spellStart"/>
      <w:r w:rsidRPr="00CC19F7">
        <w:t>prisane</w:t>
      </w:r>
      <w:proofErr w:type="spellEnd"/>
      <w:r w:rsidRPr="00CC19F7">
        <w:t xml:space="preserve">. </w:t>
      </w:r>
      <w:proofErr w:type="spellStart"/>
      <w:r w:rsidRPr="00CC19F7">
        <w:t>Auka</w:t>
      </w:r>
      <w:proofErr w:type="spellEnd"/>
      <w:r w:rsidRPr="00CC19F7">
        <w:t xml:space="preserve"> kapasitet i nettet mellom </w:t>
      </w:r>
      <w:proofErr w:type="spellStart"/>
      <w:r w:rsidRPr="00CC19F7">
        <w:t>dei</w:t>
      </w:r>
      <w:proofErr w:type="spellEnd"/>
      <w:r w:rsidRPr="00CC19F7">
        <w:t xml:space="preserve"> ulike områda vil bidra til mindre </w:t>
      </w:r>
      <w:proofErr w:type="spellStart"/>
      <w:r w:rsidRPr="00CC19F7">
        <w:t>prisforskjellar</w:t>
      </w:r>
      <w:proofErr w:type="spellEnd"/>
      <w:r w:rsidRPr="00CC19F7">
        <w:t xml:space="preserve"> internt i </w:t>
      </w:r>
      <w:proofErr w:type="spellStart"/>
      <w:r w:rsidRPr="00CC19F7">
        <w:t>Noreg</w:t>
      </w:r>
      <w:proofErr w:type="spellEnd"/>
      <w:r w:rsidRPr="00CC19F7">
        <w:t xml:space="preserve">. </w:t>
      </w:r>
    </w:p>
    <w:p w14:paraId="0FFEE608" w14:textId="77777777" w:rsidR="00FE02EF" w:rsidRPr="00CC19F7" w:rsidRDefault="00881E58" w:rsidP="00CC19F7">
      <w:r w:rsidRPr="00CC19F7">
        <w:t xml:space="preserve">Regjeringa har som utgangspunkt at </w:t>
      </w:r>
      <w:proofErr w:type="spellStart"/>
      <w:r w:rsidRPr="00CC19F7">
        <w:t>rikeleg</w:t>
      </w:r>
      <w:proofErr w:type="spellEnd"/>
      <w:r w:rsidRPr="00CC19F7">
        <w:t xml:space="preserve"> tilgang på rein og </w:t>
      </w:r>
      <w:proofErr w:type="spellStart"/>
      <w:r w:rsidRPr="00CC19F7">
        <w:t>rimeleg</w:t>
      </w:r>
      <w:proofErr w:type="spellEnd"/>
      <w:r w:rsidRPr="00CC19F7">
        <w:t xml:space="preserve"> </w:t>
      </w:r>
      <w:proofErr w:type="spellStart"/>
      <w:r w:rsidRPr="00CC19F7">
        <w:t>straum</w:t>
      </w:r>
      <w:proofErr w:type="spellEnd"/>
      <w:r w:rsidRPr="00CC19F7">
        <w:t xml:space="preserve"> skal </w:t>
      </w:r>
      <w:proofErr w:type="spellStart"/>
      <w:r w:rsidRPr="00CC19F7">
        <w:t>vere</w:t>
      </w:r>
      <w:proofErr w:type="spellEnd"/>
      <w:r w:rsidRPr="00CC19F7">
        <w:t xml:space="preserve"> </w:t>
      </w:r>
      <w:proofErr w:type="spellStart"/>
      <w:r w:rsidRPr="00CC19F7">
        <w:t>eit</w:t>
      </w:r>
      <w:proofErr w:type="spellEnd"/>
      <w:r w:rsidRPr="00CC19F7">
        <w:t xml:space="preserve"> konkurransefortrinn i alle </w:t>
      </w:r>
      <w:proofErr w:type="spellStart"/>
      <w:r w:rsidRPr="00CC19F7">
        <w:t>delar</w:t>
      </w:r>
      <w:proofErr w:type="spellEnd"/>
      <w:r w:rsidRPr="00CC19F7">
        <w:t xml:space="preserve"> av landet.</w:t>
      </w:r>
    </w:p>
    <w:p w14:paraId="40CB7C8D" w14:textId="77777777" w:rsidR="00FE02EF" w:rsidRPr="00CC19F7" w:rsidRDefault="00881E58" w:rsidP="00CC19F7">
      <w:r w:rsidRPr="00CC19F7">
        <w:t xml:space="preserve">Regjeringa har nedsett </w:t>
      </w:r>
      <w:proofErr w:type="spellStart"/>
      <w:r w:rsidRPr="00CC19F7">
        <w:t>eit</w:t>
      </w:r>
      <w:proofErr w:type="spellEnd"/>
      <w:r w:rsidRPr="00CC19F7">
        <w:t xml:space="preserve"> </w:t>
      </w:r>
      <w:proofErr w:type="spellStart"/>
      <w:r w:rsidRPr="00CC19F7">
        <w:t>ekspertutval</w:t>
      </w:r>
      <w:proofErr w:type="spellEnd"/>
      <w:r w:rsidRPr="00CC19F7">
        <w:t xml:space="preserve"> som skal vurdere dagens system for prisfastsettinga for </w:t>
      </w:r>
      <w:proofErr w:type="spellStart"/>
      <w:r w:rsidRPr="00CC19F7">
        <w:t>straum</w:t>
      </w:r>
      <w:proofErr w:type="spellEnd"/>
      <w:r w:rsidRPr="00CC19F7">
        <w:t xml:space="preserve">. </w:t>
      </w:r>
      <w:proofErr w:type="spellStart"/>
      <w:r w:rsidRPr="00CC19F7">
        <w:t>Utvalet</w:t>
      </w:r>
      <w:proofErr w:type="spellEnd"/>
      <w:r w:rsidRPr="00CC19F7">
        <w:t xml:space="preserve"> skal vurdere kva tiltak på kort og lang sikt som kan sikre </w:t>
      </w:r>
      <w:proofErr w:type="spellStart"/>
      <w:r w:rsidRPr="00CC19F7">
        <w:t>straumbrukarar</w:t>
      </w:r>
      <w:proofErr w:type="spellEnd"/>
      <w:r w:rsidRPr="00CC19F7">
        <w:t xml:space="preserve"> </w:t>
      </w:r>
      <w:proofErr w:type="spellStart"/>
      <w:r w:rsidRPr="00CC19F7">
        <w:t>lågare</w:t>
      </w:r>
      <w:proofErr w:type="spellEnd"/>
      <w:r w:rsidRPr="00CC19F7">
        <w:t xml:space="preserve"> og </w:t>
      </w:r>
      <w:proofErr w:type="spellStart"/>
      <w:r w:rsidRPr="00CC19F7">
        <w:t>meir</w:t>
      </w:r>
      <w:proofErr w:type="spellEnd"/>
      <w:r w:rsidRPr="00CC19F7">
        <w:t xml:space="preserve"> </w:t>
      </w:r>
      <w:proofErr w:type="spellStart"/>
      <w:r w:rsidRPr="00CC19F7">
        <w:t>føreseielege</w:t>
      </w:r>
      <w:proofErr w:type="spellEnd"/>
      <w:r w:rsidRPr="00CC19F7">
        <w:t xml:space="preserve"> </w:t>
      </w:r>
      <w:proofErr w:type="spellStart"/>
      <w:r w:rsidRPr="00CC19F7">
        <w:t>prisar</w:t>
      </w:r>
      <w:proofErr w:type="spellEnd"/>
      <w:r w:rsidRPr="00CC19F7">
        <w:t xml:space="preserve"> </w:t>
      </w:r>
      <w:proofErr w:type="spellStart"/>
      <w:r w:rsidRPr="00CC19F7">
        <w:t>innanfor</w:t>
      </w:r>
      <w:proofErr w:type="spellEnd"/>
      <w:r w:rsidRPr="00CC19F7">
        <w:t xml:space="preserve"> handlingsrommet i EØS-avtalen. </w:t>
      </w:r>
      <w:proofErr w:type="spellStart"/>
      <w:r w:rsidRPr="00CC19F7">
        <w:t>Utvalet</w:t>
      </w:r>
      <w:proofErr w:type="spellEnd"/>
      <w:r w:rsidRPr="00CC19F7">
        <w:t xml:space="preserve"> skal levere </w:t>
      </w:r>
      <w:proofErr w:type="spellStart"/>
      <w:r w:rsidRPr="00CC19F7">
        <w:t>ein</w:t>
      </w:r>
      <w:proofErr w:type="spellEnd"/>
      <w:r w:rsidRPr="00CC19F7">
        <w:t xml:space="preserve"> rapport til departementet </w:t>
      </w:r>
      <w:proofErr w:type="spellStart"/>
      <w:r w:rsidRPr="00CC19F7">
        <w:t>innan</w:t>
      </w:r>
      <w:proofErr w:type="spellEnd"/>
      <w:r w:rsidRPr="00CC19F7">
        <w:t xml:space="preserve"> 15. oktober 2023.</w:t>
      </w:r>
    </w:p>
    <w:p w14:paraId="5975F72D" w14:textId="77777777" w:rsidR="00FE02EF" w:rsidRPr="00CC19F7" w:rsidRDefault="00881E58" w:rsidP="00CC19F7">
      <w:r w:rsidRPr="00CC19F7">
        <w:t xml:space="preserve">Dei siste åra er det bygd ut </w:t>
      </w:r>
      <w:proofErr w:type="spellStart"/>
      <w:r w:rsidRPr="00CC19F7">
        <w:t>mykje</w:t>
      </w:r>
      <w:proofErr w:type="spellEnd"/>
      <w:r w:rsidRPr="00CC19F7">
        <w:t xml:space="preserve"> ny kraftproduksjon, </w:t>
      </w:r>
      <w:proofErr w:type="spellStart"/>
      <w:r w:rsidRPr="00CC19F7">
        <w:t>utan</w:t>
      </w:r>
      <w:proofErr w:type="spellEnd"/>
      <w:r w:rsidRPr="00CC19F7">
        <w:t xml:space="preserve"> at forbruket har </w:t>
      </w:r>
      <w:proofErr w:type="spellStart"/>
      <w:r w:rsidRPr="00CC19F7">
        <w:t>auka</w:t>
      </w:r>
      <w:proofErr w:type="spellEnd"/>
      <w:r w:rsidRPr="00CC19F7">
        <w:t xml:space="preserve"> </w:t>
      </w:r>
      <w:proofErr w:type="spellStart"/>
      <w:r w:rsidRPr="00CC19F7">
        <w:t>tilsvarande</w:t>
      </w:r>
      <w:proofErr w:type="spellEnd"/>
      <w:r w:rsidRPr="00CC19F7">
        <w:t xml:space="preserve">. For 2023 vurderer NVE </w:t>
      </w:r>
      <w:proofErr w:type="spellStart"/>
      <w:r w:rsidRPr="00CC19F7">
        <w:t>kraftoverskotet</w:t>
      </w:r>
      <w:proofErr w:type="spellEnd"/>
      <w:r w:rsidRPr="00CC19F7">
        <w:t xml:space="preserve"> i </w:t>
      </w:r>
      <w:proofErr w:type="spellStart"/>
      <w:r w:rsidRPr="00CC19F7">
        <w:t>eit</w:t>
      </w:r>
      <w:proofErr w:type="spellEnd"/>
      <w:r w:rsidRPr="00CC19F7">
        <w:t xml:space="preserve"> år med normale </w:t>
      </w:r>
      <w:proofErr w:type="spellStart"/>
      <w:r w:rsidRPr="00CC19F7">
        <w:t>vêrforhold</w:t>
      </w:r>
      <w:proofErr w:type="spellEnd"/>
      <w:r w:rsidRPr="00CC19F7">
        <w:t xml:space="preserve"> til å </w:t>
      </w:r>
      <w:proofErr w:type="spellStart"/>
      <w:r w:rsidRPr="00CC19F7">
        <w:t>vere</w:t>
      </w:r>
      <w:proofErr w:type="spellEnd"/>
      <w:r w:rsidRPr="00CC19F7">
        <w:t xml:space="preserve"> om lag 20 </w:t>
      </w:r>
      <w:proofErr w:type="spellStart"/>
      <w:r w:rsidRPr="00CC19F7">
        <w:t>TWh</w:t>
      </w:r>
      <w:proofErr w:type="spellEnd"/>
      <w:r w:rsidRPr="00CC19F7">
        <w:t xml:space="preserve">. I åra framover er det forventa </w:t>
      </w:r>
      <w:proofErr w:type="spellStart"/>
      <w:r w:rsidRPr="00CC19F7">
        <w:t>ein</w:t>
      </w:r>
      <w:proofErr w:type="spellEnd"/>
      <w:r w:rsidRPr="00CC19F7">
        <w:t xml:space="preserve"> </w:t>
      </w:r>
      <w:proofErr w:type="spellStart"/>
      <w:r w:rsidRPr="00CC19F7">
        <w:t>sterkare</w:t>
      </w:r>
      <w:proofErr w:type="spellEnd"/>
      <w:r w:rsidRPr="00CC19F7">
        <w:t xml:space="preserve"> vekst i kraftbehovet, i takt med ei </w:t>
      </w:r>
      <w:proofErr w:type="spellStart"/>
      <w:r w:rsidRPr="00CC19F7">
        <w:t>aukande</w:t>
      </w:r>
      <w:proofErr w:type="spellEnd"/>
      <w:r w:rsidRPr="00CC19F7">
        <w:t xml:space="preserve"> elektrifisering av samfunnet, ny </w:t>
      </w:r>
      <w:proofErr w:type="spellStart"/>
      <w:r w:rsidRPr="00CC19F7">
        <w:t>næringsverksemd</w:t>
      </w:r>
      <w:proofErr w:type="spellEnd"/>
      <w:r w:rsidRPr="00CC19F7">
        <w:t xml:space="preserve"> med stort kraftbehov og </w:t>
      </w:r>
      <w:proofErr w:type="spellStart"/>
      <w:r w:rsidRPr="00CC19F7">
        <w:t>vidare</w:t>
      </w:r>
      <w:proofErr w:type="spellEnd"/>
      <w:r w:rsidRPr="00CC19F7">
        <w:t xml:space="preserve"> omlegging </w:t>
      </w:r>
      <w:proofErr w:type="spellStart"/>
      <w:r w:rsidRPr="00CC19F7">
        <w:t>frå</w:t>
      </w:r>
      <w:proofErr w:type="spellEnd"/>
      <w:r w:rsidRPr="00CC19F7">
        <w:t xml:space="preserve"> fossil energi til fornybar kraft.</w:t>
      </w:r>
    </w:p>
    <w:p w14:paraId="1D985DE7" w14:textId="77777777" w:rsidR="00FE02EF" w:rsidRPr="00CC19F7" w:rsidRDefault="00881E58" w:rsidP="00CC19F7">
      <w:r w:rsidRPr="00CC19F7">
        <w:t xml:space="preserve">I NVEs rapport om den kortsiktige kraftbalansen i </w:t>
      </w:r>
      <w:proofErr w:type="spellStart"/>
      <w:r w:rsidRPr="00CC19F7">
        <w:t>Noreg</w:t>
      </w:r>
      <w:proofErr w:type="spellEnd"/>
      <w:r w:rsidRPr="00CC19F7">
        <w:t xml:space="preserve"> fram mot 2028, som blei lagd fram i august 2023, er </w:t>
      </w:r>
      <w:proofErr w:type="spellStart"/>
      <w:r w:rsidRPr="00CC19F7">
        <w:t>hovudkonklusjonen</w:t>
      </w:r>
      <w:proofErr w:type="spellEnd"/>
      <w:r w:rsidRPr="00CC19F7">
        <w:t xml:space="preserve"> at </w:t>
      </w:r>
      <w:proofErr w:type="spellStart"/>
      <w:r w:rsidRPr="00CC19F7">
        <w:t>kraftoverskotet</w:t>
      </w:r>
      <w:proofErr w:type="spellEnd"/>
      <w:r w:rsidRPr="00CC19F7">
        <w:t xml:space="preserve"> i </w:t>
      </w:r>
      <w:proofErr w:type="spellStart"/>
      <w:r w:rsidRPr="00CC19F7">
        <w:t>Noreg</w:t>
      </w:r>
      <w:proofErr w:type="spellEnd"/>
      <w:r w:rsidRPr="00CC19F7">
        <w:t xml:space="preserve"> held fram </w:t>
      </w:r>
      <w:proofErr w:type="spellStart"/>
      <w:r w:rsidRPr="00CC19F7">
        <w:t>dei</w:t>
      </w:r>
      <w:proofErr w:type="spellEnd"/>
      <w:r w:rsidRPr="00CC19F7">
        <w:t xml:space="preserve"> neste fem åra. NVE </w:t>
      </w:r>
      <w:proofErr w:type="spellStart"/>
      <w:r w:rsidRPr="00CC19F7">
        <w:t>peikar</w:t>
      </w:r>
      <w:proofErr w:type="spellEnd"/>
      <w:r w:rsidRPr="00CC19F7">
        <w:t xml:space="preserve"> likevel på at sterk vekst i forbruket </w:t>
      </w:r>
      <w:proofErr w:type="spellStart"/>
      <w:r w:rsidRPr="00CC19F7">
        <w:t>saman</w:t>
      </w:r>
      <w:proofErr w:type="spellEnd"/>
      <w:r w:rsidRPr="00CC19F7">
        <w:t xml:space="preserve"> med svak vekst i produksjonen vil redusere </w:t>
      </w:r>
      <w:proofErr w:type="spellStart"/>
      <w:r w:rsidRPr="00CC19F7">
        <w:t>kraftoverskotet</w:t>
      </w:r>
      <w:proofErr w:type="spellEnd"/>
      <w:r w:rsidRPr="00CC19F7">
        <w:t xml:space="preserve"> fram mot 2028, og at dette kan gå mot null i 2030. Samtidig </w:t>
      </w:r>
      <w:proofErr w:type="spellStart"/>
      <w:r w:rsidRPr="00CC19F7">
        <w:t>understrekar</w:t>
      </w:r>
      <w:proofErr w:type="spellEnd"/>
      <w:r w:rsidRPr="00CC19F7">
        <w:t xml:space="preserve"> NVE at det er stor </w:t>
      </w:r>
      <w:proofErr w:type="spellStart"/>
      <w:r w:rsidRPr="00CC19F7">
        <w:t>usikkerheit</w:t>
      </w:r>
      <w:proofErr w:type="spellEnd"/>
      <w:r w:rsidRPr="00CC19F7">
        <w:t xml:space="preserve"> rundt veksten i forbruket framover. Med utgangspunkt i kva NVE </w:t>
      </w:r>
      <w:proofErr w:type="spellStart"/>
      <w:r w:rsidRPr="00CC19F7">
        <w:t>reknar</w:t>
      </w:r>
      <w:proofErr w:type="spellEnd"/>
      <w:r w:rsidRPr="00CC19F7">
        <w:t xml:space="preserve"> for å </w:t>
      </w:r>
      <w:proofErr w:type="spellStart"/>
      <w:r w:rsidRPr="00CC19F7">
        <w:t>vere</w:t>
      </w:r>
      <w:proofErr w:type="spellEnd"/>
      <w:r w:rsidRPr="00CC19F7">
        <w:t xml:space="preserve"> «sikkert forbruk», vil </w:t>
      </w:r>
      <w:proofErr w:type="spellStart"/>
      <w:r w:rsidRPr="00CC19F7">
        <w:t>Noreg</w:t>
      </w:r>
      <w:proofErr w:type="spellEnd"/>
      <w:r w:rsidRPr="00CC19F7">
        <w:t xml:space="preserve"> ha </w:t>
      </w:r>
      <w:proofErr w:type="spellStart"/>
      <w:r w:rsidRPr="00CC19F7">
        <w:t>eit</w:t>
      </w:r>
      <w:proofErr w:type="spellEnd"/>
      <w:r w:rsidRPr="00CC19F7">
        <w:t xml:space="preserve"> </w:t>
      </w:r>
      <w:proofErr w:type="spellStart"/>
      <w:r w:rsidRPr="00CC19F7">
        <w:t>kraftoverskot</w:t>
      </w:r>
      <w:proofErr w:type="spellEnd"/>
      <w:r w:rsidRPr="00CC19F7">
        <w:t xml:space="preserve"> gjennom heile perioden 2023–2028. I analysen </w:t>
      </w:r>
      <w:proofErr w:type="spellStart"/>
      <w:r w:rsidRPr="00CC19F7">
        <w:t>peiker</w:t>
      </w:r>
      <w:proofErr w:type="spellEnd"/>
      <w:r w:rsidRPr="00CC19F7">
        <w:t xml:space="preserve"> NVE også og på at effektbalansen kan bli </w:t>
      </w:r>
      <w:proofErr w:type="spellStart"/>
      <w:r w:rsidRPr="00CC19F7">
        <w:t>svakare</w:t>
      </w:r>
      <w:proofErr w:type="spellEnd"/>
      <w:r w:rsidRPr="00CC19F7">
        <w:t xml:space="preserve"> </w:t>
      </w:r>
      <w:proofErr w:type="spellStart"/>
      <w:r w:rsidRPr="00CC19F7">
        <w:t>dei</w:t>
      </w:r>
      <w:proofErr w:type="spellEnd"/>
      <w:r w:rsidRPr="00CC19F7">
        <w:t xml:space="preserve"> neste åra. NVE </w:t>
      </w:r>
      <w:proofErr w:type="spellStart"/>
      <w:r w:rsidRPr="00CC19F7">
        <w:t>framhevar</w:t>
      </w:r>
      <w:proofErr w:type="spellEnd"/>
      <w:r w:rsidRPr="00CC19F7">
        <w:t xml:space="preserve"> at </w:t>
      </w:r>
      <w:proofErr w:type="spellStart"/>
      <w:r w:rsidRPr="00CC19F7">
        <w:t>mykje</w:t>
      </w:r>
      <w:proofErr w:type="spellEnd"/>
      <w:r w:rsidRPr="00CC19F7">
        <w:t xml:space="preserve"> nytt forbruk, som stor industri, datasentre og petroleumsanlegg, brukar kraft kvar </w:t>
      </w:r>
      <w:proofErr w:type="spellStart"/>
      <w:r w:rsidRPr="00CC19F7">
        <w:t>einaste</w:t>
      </w:r>
      <w:proofErr w:type="spellEnd"/>
      <w:r w:rsidRPr="00CC19F7">
        <w:t xml:space="preserve"> time heile året. Samstundes vil </w:t>
      </w:r>
      <w:proofErr w:type="spellStart"/>
      <w:r w:rsidRPr="00CC19F7">
        <w:t>mykje</w:t>
      </w:r>
      <w:proofErr w:type="spellEnd"/>
      <w:r w:rsidRPr="00CC19F7">
        <w:t xml:space="preserve"> av den nye kraftproduksjonen </w:t>
      </w:r>
      <w:proofErr w:type="spellStart"/>
      <w:r w:rsidRPr="00CC19F7">
        <w:t>vere</w:t>
      </w:r>
      <w:proofErr w:type="spellEnd"/>
      <w:r w:rsidRPr="00CC19F7">
        <w:t xml:space="preserve"> </w:t>
      </w:r>
      <w:proofErr w:type="spellStart"/>
      <w:r w:rsidRPr="00CC19F7">
        <w:t>vêravhengig</w:t>
      </w:r>
      <w:proofErr w:type="spellEnd"/>
      <w:r w:rsidRPr="00CC19F7">
        <w:t xml:space="preserve"> og </w:t>
      </w:r>
      <w:proofErr w:type="spellStart"/>
      <w:r w:rsidRPr="00CC19F7">
        <w:t>uregulerbar</w:t>
      </w:r>
      <w:proofErr w:type="spellEnd"/>
      <w:r w:rsidRPr="00CC19F7">
        <w:t xml:space="preserve">. Dette vil over tid kunne utfordre effektbalansen, og kan gi </w:t>
      </w:r>
      <w:proofErr w:type="spellStart"/>
      <w:r w:rsidRPr="00CC19F7">
        <w:t>periodar</w:t>
      </w:r>
      <w:proofErr w:type="spellEnd"/>
      <w:r w:rsidRPr="00CC19F7">
        <w:t xml:space="preserve"> med sterke </w:t>
      </w:r>
      <w:proofErr w:type="spellStart"/>
      <w:r w:rsidRPr="00CC19F7">
        <w:t>prisaukingar</w:t>
      </w:r>
      <w:proofErr w:type="spellEnd"/>
      <w:r w:rsidRPr="00CC19F7">
        <w:t xml:space="preserve">. </w:t>
      </w:r>
      <w:proofErr w:type="spellStart"/>
      <w:r w:rsidRPr="00CC19F7">
        <w:t>Framskrivingane</w:t>
      </w:r>
      <w:proofErr w:type="spellEnd"/>
      <w:r w:rsidRPr="00CC19F7">
        <w:t xml:space="preserve"> til NVE er baserte på </w:t>
      </w:r>
      <w:proofErr w:type="spellStart"/>
      <w:r w:rsidRPr="00CC19F7">
        <w:t>gjeldande</w:t>
      </w:r>
      <w:proofErr w:type="spellEnd"/>
      <w:r w:rsidRPr="00CC19F7">
        <w:t xml:space="preserve"> </w:t>
      </w:r>
      <w:proofErr w:type="spellStart"/>
      <w:r w:rsidRPr="00CC19F7">
        <w:t>verkemiddel</w:t>
      </w:r>
      <w:proofErr w:type="spellEnd"/>
      <w:r w:rsidRPr="00CC19F7">
        <w:t xml:space="preserve"> og på </w:t>
      </w:r>
      <w:proofErr w:type="spellStart"/>
      <w:r w:rsidRPr="00CC19F7">
        <w:t>kjende</w:t>
      </w:r>
      <w:proofErr w:type="spellEnd"/>
      <w:r w:rsidRPr="00CC19F7">
        <w:t xml:space="preserve">, modne prosjekt, der det også er nettkapasitet. NVE vil legge fram sine nye langsiktige analyser for </w:t>
      </w:r>
      <w:proofErr w:type="spellStart"/>
      <w:r w:rsidRPr="00CC19F7">
        <w:t>kraftmarknaden</w:t>
      </w:r>
      <w:proofErr w:type="spellEnd"/>
      <w:r w:rsidRPr="00CC19F7">
        <w:t xml:space="preserve"> </w:t>
      </w:r>
      <w:proofErr w:type="spellStart"/>
      <w:r w:rsidRPr="00CC19F7">
        <w:t>hausten</w:t>
      </w:r>
      <w:proofErr w:type="spellEnd"/>
      <w:r w:rsidRPr="00CC19F7">
        <w:t xml:space="preserve"> 2023.</w:t>
      </w:r>
    </w:p>
    <w:p w14:paraId="7957379D" w14:textId="77777777" w:rsidR="00FE02EF" w:rsidRPr="00CC19F7" w:rsidRDefault="00881E58" w:rsidP="00CC19F7">
      <w:r w:rsidRPr="00CC19F7">
        <w:t xml:space="preserve">All produksjon av kraft </w:t>
      </w:r>
      <w:proofErr w:type="spellStart"/>
      <w:r w:rsidRPr="00CC19F7">
        <w:t>inneber</w:t>
      </w:r>
      <w:proofErr w:type="spellEnd"/>
      <w:r w:rsidRPr="00CC19F7">
        <w:t xml:space="preserve"> </w:t>
      </w:r>
      <w:proofErr w:type="spellStart"/>
      <w:r w:rsidRPr="00CC19F7">
        <w:t>krevjande</w:t>
      </w:r>
      <w:proofErr w:type="spellEnd"/>
      <w:r w:rsidRPr="00CC19F7">
        <w:t xml:space="preserve"> </w:t>
      </w:r>
      <w:proofErr w:type="spellStart"/>
      <w:r w:rsidRPr="00CC19F7">
        <w:t>avvegingar</w:t>
      </w:r>
      <w:proofErr w:type="spellEnd"/>
      <w:r w:rsidRPr="00CC19F7">
        <w:t xml:space="preserve">. Tilgangen til nett og </w:t>
      </w:r>
      <w:proofErr w:type="spellStart"/>
      <w:r w:rsidRPr="00CC19F7">
        <w:t>avvegingar</w:t>
      </w:r>
      <w:proofErr w:type="spellEnd"/>
      <w:r w:rsidRPr="00CC19F7">
        <w:t xml:space="preserve"> mellom verdien av ny kraftproduksjon, miljøomsyn og andre interesser vil </w:t>
      </w:r>
      <w:proofErr w:type="spellStart"/>
      <w:r w:rsidRPr="00CC19F7">
        <w:t>påverke</w:t>
      </w:r>
      <w:proofErr w:type="spellEnd"/>
      <w:r w:rsidRPr="00CC19F7">
        <w:t xml:space="preserve"> kor </w:t>
      </w:r>
      <w:proofErr w:type="spellStart"/>
      <w:r w:rsidRPr="00CC19F7">
        <w:t>mykje</w:t>
      </w:r>
      <w:proofErr w:type="spellEnd"/>
      <w:r w:rsidRPr="00CC19F7">
        <w:t xml:space="preserve"> ny kraftproduksjon som faktisk blir bygd.</w:t>
      </w:r>
    </w:p>
    <w:p w14:paraId="21FD73EE" w14:textId="77777777" w:rsidR="00FE02EF" w:rsidRPr="00CC19F7" w:rsidRDefault="00881E58" w:rsidP="00CC19F7">
      <w:proofErr w:type="spellStart"/>
      <w:r w:rsidRPr="00CC19F7">
        <w:t>Noreg</w:t>
      </w:r>
      <w:proofErr w:type="spellEnd"/>
      <w:r w:rsidRPr="00CC19F7">
        <w:t xml:space="preserve"> har store </w:t>
      </w:r>
      <w:proofErr w:type="spellStart"/>
      <w:r w:rsidRPr="00CC19F7">
        <w:t>energiressursar</w:t>
      </w:r>
      <w:proofErr w:type="spellEnd"/>
      <w:r w:rsidRPr="00CC19F7">
        <w:t xml:space="preserve"> og god tilgang på fornybar energi. Den store andelen fornybar energi gir låge utslepp av </w:t>
      </w:r>
      <w:proofErr w:type="spellStart"/>
      <w:r w:rsidRPr="00CC19F7">
        <w:t>klimagassar</w:t>
      </w:r>
      <w:proofErr w:type="spellEnd"/>
      <w:r w:rsidRPr="00CC19F7">
        <w:t xml:space="preserve"> </w:t>
      </w:r>
      <w:proofErr w:type="spellStart"/>
      <w:r w:rsidRPr="00CC19F7">
        <w:t>frå</w:t>
      </w:r>
      <w:proofErr w:type="spellEnd"/>
      <w:r w:rsidRPr="00CC19F7">
        <w:t xml:space="preserve"> energiforsyninga. Elektrisitetsproduksjonen i </w:t>
      </w:r>
      <w:proofErr w:type="spellStart"/>
      <w:r w:rsidRPr="00CC19F7">
        <w:t>Noreg</w:t>
      </w:r>
      <w:proofErr w:type="spellEnd"/>
      <w:r w:rsidRPr="00CC19F7">
        <w:t xml:space="preserve"> er basert på vasskraft, men vindkraft har fått ei </w:t>
      </w:r>
      <w:proofErr w:type="spellStart"/>
      <w:r w:rsidRPr="00CC19F7">
        <w:t>viktigare</w:t>
      </w:r>
      <w:proofErr w:type="spellEnd"/>
      <w:r w:rsidRPr="00CC19F7">
        <w:t xml:space="preserve"> rolle. </w:t>
      </w:r>
      <w:proofErr w:type="spellStart"/>
      <w:r w:rsidRPr="00CC19F7">
        <w:t>Noregs</w:t>
      </w:r>
      <w:proofErr w:type="spellEnd"/>
      <w:r w:rsidRPr="00CC19F7">
        <w:t xml:space="preserve"> utgangspunkt er derfor annleis enn i land der kolkraft skal </w:t>
      </w:r>
      <w:proofErr w:type="spellStart"/>
      <w:r w:rsidRPr="00CC19F7">
        <w:t>erstattast</w:t>
      </w:r>
      <w:proofErr w:type="spellEnd"/>
      <w:r w:rsidRPr="00CC19F7">
        <w:t xml:space="preserve"> med fornybar energi. </w:t>
      </w:r>
      <w:proofErr w:type="spellStart"/>
      <w:r w:rsidRPr="00CC19F7">
        <w:t>Noreg</w:t>
      </w:r>
      <w:proofErr w:type="spellEnd"/>
      <w:r w:rsidRPr="00CC19F7">
        <w:t xml:space="preserve"> har </w:t>
      </w:r>
      <w:proofErr w:type="spellStart"/>
      <w:r w:rsidRPr="00CC19F7">
        <w:t>ein</w:t>
      </w:r>
      <w:proofErr w:type="spellEnd"/>
      <w:r w:rsidRPr="00CC19F7">
        <w:t xml:space="preserve"> stor kraftintensiv industri, og elektrisitet blir i større grad enn i andre land nytta til oppvarming i bygg. Dei </w:t>
      </w:r>
      <w:proofErr w:type="spellStart"/>
      <w:r w:rsidRPr="00CC19F7">
        <w:t>seinare</w:t>
      </w:r>
      <w:proofErr w:type="spellEnd"/>
      <w:r w:rsidRPr="00CC19F7">
        <w:t xml:space="preserve"> åra har elektrisitet blitt tatt i bruk i nye </w:t>
      </w:r>
      <w:proofErr w:type="spellStart"/>
      <w:r w:rsidRPr="00CC19F7">
        <w:t>sektorar</w:t>
      </w:r>
      <w:proofErr w:type="spellEnd"/>
      <w:r w:rsidRPr="00CC19F7">
        <w:t xml:space="preserve"> og på nye område. I transportsektoren </w:t>
      </w:r>
      <w:proofErr w:type="spellStart"/>
      <w:r w:rsidRPr="00CC19F7">
        <w:t>spelar</w:t>
      </w:r>
      <w:proofErr w:type="spellEnd"/>
      <w:r w:rsidRPr="00CC19F7">
        <w:t xml:space="preserve"> elektrisitet ei stadig </w:t>
      </w:r>
      <w:proofErr w:type="spellStart"/>
      <w:r w:rsidRPr="00CC19F7">
        <w:t>viktigare</w:t>
      </w:r>
      <w:proofErr w:type="spellEnd"/>
      <w:r w:rsidRPr="00CC19F7">
        <w:t xml:space="preserve"> rolle. Elektrifisering og utvikling av industri kan </w:t>
      </w:r>
      <w:proofErr w:type="spellStart"/>
      <w:r w:rsidRPr="00CC19F7">
        <w:t>innebere</w:t>
      </w:r>
      <w:proofErr w:type="spellEnd"/>
      <w:r w:rsidRPr="00CC19F7">
        <w:t xml:space="preserve"> at det raskt blir etablert nytt, stort forbruk i ulike </w:t>
      </w:r>
      <w:proofErr w:type="spellStart"/>
      <w:r w:rsidRPr="00CC19F7">
        <w:t>delar</w:t>
      </w:r>
      <w:proofErr w:type="spellEnd"/>
      <w:r w:rsidRPr="00CC19F7">
        <w:t xml:space="preserve"> av landet. Det er derfor viktig å legge til rette for ny kraftproduksjon, energieffektivisering og utvikling av nett.</w:t>
      </w:r>
    </w:p>
    <w:p w14:paraId="13552889" w14:textId="77777777" w:rsidR="00FE02EF" w:rsidRPr="00CC19F7" w:rsidRDefault="00881E58" w:rsidP="00CC19F7">
      <w:r w:rsidRPr="00CC19F7">
        <w:t xml:space="preserve">Utviklinga av kraftsystemet med </w:t>
      </w:r>
      <w:proofErr w:type="spellStart"/>
      <w:r w:rsidRPr="00CC19F7">
        <w:t>ein</w:t>
      </w:r>
      <w:proofErr w:type="spellEnd"/>
      <w:r w:rsidRPr="00CC19F7">
        <w:t xml:space="preserve"> større andel </w:t>
      </w:r>
      <w:proofErr w:type="spellStart"/>
      <w:r w:rsidRPr="00CC19F7">
        <w:t>uregulerbar</w:t>
      </w:r>
      <w:proofErr w:type="spellEnd"/>
      <w:r w:rsidRPr="00CC19F7">
        <w:t xml:space="preserve"> produksjon og vindkraft til havs, elektrifisering av </w:t>
      </w:r>
      <w:proofErr w:type="spellStart"/>
      <w:r w:rsidRPr="00CC19F7">
        <w:t>fleire</w:t>
      </w:r>
      <w:proofErr w:type="spellEnd"/>
      <w:r w:rsidRPr="00CC19F7">
        <w:t xml:space="preserve"> </w:t>
      </w:r>
      <w:proofErr w:type="spellStart"/>
      <w:r w:rsidRPr="00CC19F7">
        <w:t>samfunnssektorar</w:t>
      </w:r>
      <w:proofErr w:type="spellEnd"/>
      <w:r w:rsidRPr="00CC19F7">
        <w:t xml:space="preserve"> og </w:t>
      </w:r>
      <w:proofErr w:type="spellStart"/>
      <w:r w:rsidRPr="00CC19F7">
        <w:t>ambisjonar</w:t>
      </w:r>
      <w:proofErr w:type="spellEnd"/>
      <w:r w:rsidRPr="00CC19F7">
        <w:t xml:space="preserve"> om næringsutvikling basert på fornybar energi krev ei </w:t>
      </w:r>
      <w:proofErr w:type="spellStart"/>
      <w:r w:rsidRPr="00CC19F7">
        <w:t>omfattande</w:t>
      </w:r>
      <w:proofErr w:type="spellEnd"/>
      <w:r w:rsidRPr="00CC19F7">
        <w:t xml:space="preserve"> og effektiv utbygging av kraftnettet.</w:t>
      </w:r>
    </w:p>
    <w:p w14:paraId="4500D6A7" w14:textId="77777777" w:rsidR="00FE02EF" w:rsidRPr="00CC19F7" w:rsidRDefault="00881E58" w:rsidP="00CC19F7">
      <w:proofErr w:type="spellStart"/>
      <w:r w:rsidRPr="00CC19F7">
        <w:t>Straumnettutvalet</w:t>
      </w:r>
      <w:proofErr w:type="spellEnd"/>
      <w:r w:rsidRPr="00CC19F7">
        <w:t xml:space="preserve"> la fram NOU 2022: 6 </w:t>
      </w:r>
      <w:r w:rsidRPr="00CC19F7">
        <w:rPr>
          <w:rStyle w:val="kursiv"/>
        </w:rPr>
        <w:t>Nett i tide – om utvikling av strømnettet</w:t>
      </w:r>
      <w:r w:rsidRPr="00CC19F7">
        <w:t xml:space="preserve"> </w:t>
      </w:r>
      <w:proofErr w:type="spellStart"/>
      <w:r w:rsidRPr="00CC19F7">
        <w:t>sommaren</w:t>
      </w:r>
      <w:proofErr w:type="spellEnd"/>
      <w:r w:rsidRPr="00CC19F7">
        <w:t xml:space="preserve"> 2022. Våren 2023 la regjeringa fram </w:t>
      </w:r>
      <w:proofErr w:type="spellStart"/>
      <w:r w:rsidRPr="00CC19F7">
        <w:t>ein</w:t>
      </w:r>
      <w:proofErr w:type="spellEnd"/>
      <w:r w:rsidRPr="00CC19F7">
        <w:t xml:space="preserve"> handlingsplan for </w:t>
      </w:r>
      <w:proofErr w:type="spellStart"/>
      <w:r w:rsidRPr="00CC19F7">
        <w:t>raskare</w:t>
      </w:r>
      <w:proofErr w:type="spellEnd"/>
      <w:r w:rsidRPr="00CC19F7">
        <w:t xml:space="preserve"> nettutbygging og betre utnytting av nettet som </w:t>
      </w:r>
      <w:proofErr w:type="spellStart"/>
      <w:r w:rsidRPr="00CC19F7">
        <w:t>inneheld</w:t>
      </w:r>
      <w:proofErr w:type="spellEnd"/>
      <w:r w:rsidRPr="00CC19F7">
        <w:t xml:space="preserve"> </w:t>
      </w:r>
      <w:proofErr w:type="spellStart"/>
      <w:r w:rsidRPr="00CC19F7">
        <w:t>fleire</w:t>
      </w:r>
      <w:proofErr w:type="spellEnd"/>
      <w:r w:rsidRPr="00CC19F7">
        <w:t xml:space="preserve"> viktige grep for å bidra til </w:t>
      </w:r>
      <w:proofErr w:type="spellStart"/>
      <w:r w:rsidRPr="00CC19F7">
        <w:t>raskare</w:t>
      </w:r>
      <w:proofErr w:type="spellEnd"/>
      <w:r w:rsidRPr="00CC19F7">
        <w:t xml:space="preserve"> konsesjonsbehandling av saker hos </w:t>
      </w:r>
      <w:proofErr w:type="spellStart"/>
      <w:r w:rsidRPr="00CC19F7">
        <w:t>energimyndigheitene</w:t>
      </w:r>
      <w:proofErr w:type="spellEnd"/>
      <w:r w:rsidRPr="00CC19F7">
        <w:t xml:space="preserve">, </w:t>
      </w:r>
      <w:proofErr w:type="spellStart"/>
      <w:r w:rsidRPr="00CC19F7">
        <w:t>meir</w:t>
      </w:r>
      <w:proofErr w:type="spellEnd"/>
      <w:r w:rsidRPr="00CC19F7">
        <w:t xml:space="preserve"> effektiv </w:t>
      </w:r>
      <w:proofErr w:type="spellStart"/>
      <w:r w:rsidRPr="00CC19F7">
        <w:t>tilknyting</w:t>
      </w:r>
      <w:proofErr w:type="spellEnd"/>
      <w:r w:rsidRPr="00CC19F7">
        <w:t xml:space="preserve"> til straumnettet og betre utnytting av dagens nettkapasitet. </w:t>
      </w:r>
      <w:proofErr w:type="spellStart"/>
      <w:r w:rsidRPr="00CC19F7">
        <w:t>Ressursane</w:t>
      </w:r>
      <w:proofErr w:type="spellEnd"/>
      <w:r w:rsidRPr="00CC19F7">
        <w:t xml:space="preserve"> til behandling av </w:t>
      </w:r>
      <w:proofErr w:type="spellStart"/>
      <w:r w:rsidRPr="00CC19F7">
        <w:t>konsesjonar</w:t>
      </w:r>
      <w:proofErr w:type="spellEnd"/>
      <w:r w:rsidRPr="00CC19F7">
        <w:t xml:space="preserve"> er </w:t>
      </w:r>
      <w:proofErr w:type="spellStart"/>
      <w:r w:rsidRPr="00CC19F7">
        <w:t>vesentleg</w:t>
      </w:r>
      <w:proofErr w:type="spellEnd"/>
      <w:r w:rsidRPr="00CC19F7">
        <w:t xml:space="preserve"> styrkte, og i handlingsplanen blir det mellom anna varsla ei </w:t>
      </w:r>
      <w:proofErr w:type="spellStart"/>
      <w:r w:rsidRPr="00CC19F7">
        <w:t>tydeleggjering</w:t>
      </w:r>
      <w:proofErr w:type="spellEnd"/>
      <w:r w:rsidRPr="00CC19F7">
        <w:t xml:space="preserve"> av </w:t>
      </w:r>
      <w:proofErr w:type="spellStart"/>
      <w:r w:rsidRPr="00CC19F7">
        <w:t>føringar</w:t>
      </w:r>
      <w:proofErr w:type="spellEnd"/>
      <w:r w:rsidRPr="00CC19F7">
        <w:t xml:space="preserve"> for korleis nettselskapa skal fordele kapasiteten til </w:t>
      </w:r>
      <w:proofErr w:type="spellStart"/>
      <w:r w:rsidRPr="00CC19F7">
        <w:t>aktørane</w:t>
      </w:r>
      <w:proofErr w:type="spellEnd"/>
      <w:r w:rsidRPr="00CC19F7">
        <w:t xml:space="preserve">. I </w:t>
      </w:r>
      <w:proofErr w:type="spellStart"/>
      <w:r w:rsidRPr="00CC19F7">
        <w:t>dei</w:t>
      </w:r>
      <w:proofErr w:type="spellEnd"/>
      <w:r w:rsidRPr="00CC19F7">
        <w:t xml:space="preserve"> nye kriteria for tildeling av nettkapasitet skal prosjekta </w:t>
      </w:r>
      <w:proofErr w:type="spellStart"/>
      <w:r w:rsidRPr="00CC19F7">
        <w:t>vurderast</w:t>
      </w:r>
      <w:proofErr w:type="spellEnd"/>
      <w:r w:rsidRPr="00CC19F7">
        <w:t xml:space="preserve"> ut </w:t>
      </w:r>
      <w:proofErr w:type="spellStart"/>
      <w:r w:rsidRPr="00CC19F7">
        <w:t>frå</w:t>
      </w:r>
      <w:proofErr w:type="spellEnd"/>
      <w:r w:rsidRPr="00CC19F7">
        <w:t xml:space="preserve"> kor modne </w:t>
      </w:r>
      <w:proofErr w:type="spellStart"/>
      <w:r w:rsidRPr="00CC19F7">
        <w:t>dei</w:t>
      </w:r>
      <w:proofErr w:type="spellEnd"/>
      <w:r w:rsidRPr="00CC19F7">
        <w:t xml:space="preserve"> er. Det blir samtidig </w:t>
      </w:r>
      <w:proofErr w:type="spellStart"/>
      <w:r w:rsidRPr="00CC19F7">
        <w:t>tydeleggjort</w:t>
      </w:r>
      <w:proofErr w:type="spellEnd"/>
      <w:r w:rsidRPr="00CC19F7">
        <w:t xml:space="preserve"> at nettselskap i regional- og transmisjonsnettet skal </w:t>
      </w:r>
      <w:proofErr w:type="spellStart"/>
      <w:r w:rsidRPr="00CC19F7">
        <w:t>halde</w:t>
      </w:r>
      <w:proofErr w:type="spellEnd"/>
      <w:r w:rsidRPr="00CC19F7">
        <w:t xml:space="preserve"> av kapasitet til «</w:t>
      </w:r>
      <w:proofErr w:type="spellStart"/>
      <w:r w:rsidRPr="00CC19F7">
        <w:t>vanleg</w:t>
      </w:r>
      <w:proofErr w:type="spellEnd"/>
      <w:r w:rsidRPr="00CC19F7">
        <w:t xml:space="preserve"> forbruk», som i </w:t>
      </w:r>
      <w:proofErr w:type="spellStart"/>
      <w:r w:rsidRPr="00CC19F7">
        <w:t>hushaldningar</w:t>
      </w:r>
      <w:proofErr w:type="spellEnd"/>
      <w:r w:rsidRPr="00CC19F7">
        <w:t xml:space="preserve">, mindre </w:t>
      </w:r>
      <w:proofErr w:type="spellStart"/>
      <w:r w:rsidRPr="00CC19F7">
        <w:t>næringar</w:t>
      </w:r>
      <w:proofErr w:type="spellEnd"/>
      <w:r w:rsidRPr="00CC19F7">
        <w:t xml:space="preserve"> og nødvendige </w:t>
      </w:r>
      <w:proofErr w:type="spellStart"/>
      <w:r w:rsidRPr="00CC19F7">
        <w:t>samfunnsfunksjonar</w:t>
      </w:r>
      <w:proofErr w:type="spellEnd"/>
      <w:r w:rsidRPr="00CC19F7">
        <w:t>.</w:t>
      </w:r>
    </w:p>
    <w:p w14:paraId="4C379810" w14:textId="77777777" w:rsidR="00FE02EF" w:rsidRPr="00CC19F7" w:rsidRDefault="00881E58" w:rsidP="00CC19F7">
      <w:r w:rsidRPr="00CC19F7">
        <w:t xml:space="preserve">Energikommisjonen leverte sin rapport, NOU 2023: 3 </w:t>
      </w:r>
      <w:r w:rsidRPr="00CC19F7">
        <w:rPr>
          <w:rStyle w:val="kursiv"/>
        </w:rPr>
        <w:t>Mer av alt – raskere</w:t>
      </w:r>
      <w:r w:rsidRPr="00CC19F7">
        <w:t xml:space="preserve"> i februar 2023. I utgreiinga går kommisjonen gjennom </w:t>
      </w:r>
      <w:proofErr w:type="spellStart"/>
      <w:r w:rsidRPr="00CC19F7">
        <w:t>fleire</w:t>
      </w:r>
      <w:proofErr w:type="spellEnd"/>
      <w:r w:rsidRPr="00CC19F7">
        <w:t xml:space="preserve"> forhold ved det norske kraftsystemet. </w:t>
      </w:r>
      <w:proofErr w:type="spellStart"/>
      <w:r w:rsidRPr="00CC19F7">
        <w:t>Hovudvurderinga</w:t>
      </w:r>
      <w:proofErr w:type="spellEnd"/>
      <w:r w:rsidRPr="00CC19F7">
        <w:t xml:space="preserve"> er at </w:t>
      </w:r>
      <w:proofErr w:type="spellStart"/>
      <w:r w:rsidRPr="00CC19F7">
        <w:t>Noreg</w:t>
      </w:r>
      <w:proofErr w:type="spellEnd"/>
      <w:r w:rsidRPr="00CC19F7">
        <w:t xml:space="preserve"> treng ei stor satsing på kraftproduksjon, nettutvikling og energieffektivisering. Kommisjonen har vurdert potensial og </w:t>
      </w:r>
      <w:proofErr w:type="spellStart"/>
      <w:r w:rsidRPr="00CC19F7">
        <w:t>utfordringar</w:t>
      </w:r>
      <w:proofErr w:type="spellEnd"/>
      <w:r w:rsidRPr="00CC19F7">
        <w:t xml:space="preserve"> knytte til dette.</w:t>
      </w:r>
    </w:p>
    <w:p w14:paraId="0BD17E06" w14:textId="77777777" w:rsidR="00FE02EF" w:rsidRPr="00CC19F7" w:rsidRDefault="00881E58" w:rsidP="00CC19F7">
      <w:r w:rsidRPr="00CC19F7">
        <w:t xml:space="preserve">Energieffektivisering </w:t>
      </w:r>
      <w:proofErr w:type="spellStart"/>
      <w:r w:rsidRPr="00CC19F7">
        <w:t>dempar</w:t>
      </w:r>
      <w:proofErr w:type="spellEnd"/>
      <w:r w:rsidRPr="00CC19F7">
        <w:t xml:space="preserve"> veksten i energiforbruket. Verknaden av energieffektivisering er ofte størst om vinteren, når presset på kraftsystemet er størst og </w:t>
      </w:r>
      <w:proofErr w:type="spellStart"/>
      <w:r w:rsidRPr="00CC19F7">
        <w:t>prisane</w:t>
      </w:r>
      <w:proofErr w:type="spellEnd"/>
      <w:r w:rsidRPr="00CC19F7">
        <w:t xml:space="preserve"> </w:t>
      </w:r>
      <w:proofErr w:type="spellStart"/>
      <w:r w:rsidRPr="00CC19F7">
        <w:t>høgast</w:t>
      </w:r>
      <w:proofErr w:type="spellEnd"/>
      <w:r w:rsidRPr="00CC19F7">
        <w:t xml:space="preserve">. Energieffektivisering reduserer </w:t>
      </w:r>
      <w:proofErr w:type="spellStart"/>
      <w:r w:rsidRPr="00CC19F7">
        <w:t>forbrukstoppane</w:t>
      </w:r>
      <w:proofErr w:type="spellEnd"/>
      <w:r w:rsidRPr="00CC19F7">
        <w:t xml:space="preserve"> for elektrisitet og </w:t>
      </w:r>
      <w:proofErr w:type="spellStart"/>
      <w:r w:rsidRPr="00CC19F7">
        <w:t>frigjer</w:t>
      </w:r>
      <w:proofErr w:type="spellEnd"/>
      <w:r w:rsidRPr="00CC19F7">
        <w:t xml:space="preserve"> plass til anna forbruk. Over tid kan energieffektivisering redusere investeringsbehovet i straumnettet. Regjeringas handlingsplan for energieffektivisering </w:t>
      </w:r>
      <w:proofErr w:type="spellStart"/>
      <w:r w:rsidRPr="00CC19F7">
        <w:t>inneheld</w:t>
      </w:r>
      <w:proofErr w:type="spellEnd"/>
      <w:r w:rsidRPr="00CC19F7">
        <w:t xml:space="preserve"> viktige grep for </w:t>
      </w:r>
      <w:proofErr w:type="spellStart"/>
      <w:r w:rsidRPr="00CC19F7">
        <w:t>auka</w:t>
      </w:r>
      <w:proofErr w:type="spellEnd"/>
      <w:r w:rsidRPr="00CC19F7">
        <w:t xml:space="preserve"> energieffektivisering i alle </w:t>
      </w:r>
      <w:proofErr w:type="spellStart"/>
      <w:r w:rsidRPr="00CC19F7">
        <w:t>delar</w:t>
      </w:r>
      <w:proofErr w:type="spellEnd"/>
      <w:r w:rsidRPr="00CC19F7">
        <w:t xml:space="preserve"> av norsk økonomi og følger opp </w:t>
      </w:r>
      <w:proofErr w:type="spellStart"/>
      <w:r w:rsidRPr="00CC19F7">
        <w:t>fleire</w:t>
      </w:r>
      <w:proofErr w:type="spellEnd"/>
      <w:r w:rsidRPr="00CC19F7">
        <w:t xml:space="preserve"> av </w:t>
      </w:r>
      <w:proofErr w:type="spellStart"/>
      <w:r w:rsidRPr="00CC19F7">
        <w:t>anbefalingane</w:t>
      </w:r>
      <w:proofErr w:type="spellEnd"/>
      <w:r w:rsidRPr="00CC19F7">
        <w:t xml:space="preserve"> </w:t>
      </w:r>
      <w:proofErr w:type="spellStart"/>
      <w:r w:rsidRPr="00CC19F7">
        <w:t>frå</w:t>
      </w:r>
      <w:proofErr w:type="spellEnd"/>
      <w:r w:rsidRPr="00CC19F7">
        <w:t xml:space="preserve"> Energikommisjonen.</w:t>
      </w:r>
    </w:p>
    <w:p w14:paraId="7EDC6858" w14:textId="77777777" w:rsidR="00FE02EF" w:rsidRPr="00CC19F7" w:rsidRDefault="00881E58" w:rsidP="00CC19F7">
      <w:r w:rsidRPr="00CC19F7">
        <w:t xml:space="preserve">Norsk kraftforsyning blir </w:t>
      </w:r>
      <w:proofErr w:type="spellStart"/>
      <w:r w:rsidRPr="00CC19F7">
        <w:t>påverka</w:t>
      </w:r>
      <w:proofErr w:type="spellEnd"/>
      <w:r w:rsidRPr="00CC19F7">
        <w:t xml:space="preserve"> av utviklinga internasjonalt. Etter februar 2022 har kraftsituasjonen </w:t>
      </w:r>
      <w:proofErr w:type="spellStart"/>
      <w:r w:rsidRPr="00CC19F7">
        <w:t>vore</w:t>
      </w:r>
      <w:proofErr w:type="spellEnd"/>
      <w:r w:rsidRPr="00CC19F7">
        <w:t xml:space="preserve"> sterkt prega av krigen i Ukraina og Russlands bruk av energi for å ramme Europa økonomisk. Den </w:t>
      </w:r>
      <w:proofErr w:type="spellStart"/>
      <w:r w:rsidRPr="00CC19F7">
        <w:t>vidare</w:t>
      </w:r>
      <w:proofErr w:type="spellEnd"/>
      <w:r w:rsidRPr="00CC19F7">
        <w:t xml:space="preserve"> utviklinga i </w:t>
      </w:r>
      <w:proofErr w:type="spellStart"/>
      <w:r w:rsidRPr="00CC19F7">
        <w:t>energimarknadene</w:t>
      </w:r>
      <w:proofErr w:type="spellEnd"/>
      <w:r w:rsidRPr="00CC19F7">
        <w:t xml:space="preserve"> er </w:t>
      </w:r>
      <w:proofErr w:type="spellStart"/>
      <w:r w:rsidRPr="00CC19F7">
        <w:t>framleis</w:t>
      </w:r>
      <w:proofErr w:type="spellEnd"/>
      <w:r w:rsidRPr="00CC19F7">
        <w:t xml:space="preserve"> prega av stor </w:t>
      </w:r>
      <w:proofErr w:type="spellStart"/>
      <w:r w:rsidRPr="00CC19F7">
        <w:t>usikkerheit</w:t>
      </w:r>
      <w:proofErr w:type="spellEnd"/>
      <w:r w:rsidRPr="00CC19F7">
        <w:t xml:space="preserve">. Utfasing av kol- og kjernekraft, teknologiutvikling og politikken for reduksjon av klimagassutslepp gir ei gradvis omlegging av produksjon og forbruk av energi i fornybar retning. I stadig </w:t>
      </w:r>
      <w:proofErr w:type="spellStart"/>
      <w:r w:rsidRPr="00CC19F7">
        <w:t>fleire</w:t>
      </w:r>
      <w:proofErr w:type="spellEnd"/>
      <w:r w:rsidRPr="00CC19F7">
        <w:t xml:space="preserve"> land </w:t>
      </w:r>
      <w:proofErr w:type="spellStart"/>
      <w:r w:rsidRPr="00CC19F7">
        <w:t>utgjer</w:t>
      </w:r>
      <w:proofErr w:type="spellEnd"/>
      <w:r w:rsidRPr="00CC19F7">
        <w:t xml:space="preserve"> fornybare energikjelder </w:t>
      </w:r>
      <w:proofErr w:type="spellStart"/>
      <w:r w:rsidRPr="00CC19F7">
        <w:t>ein</w:t>
      </w:r>
      <w:proofErr w:type="spellEnd"/>
      <w:r w:rsidRPr="00CC19F7">
        <w:t xml:space="preserve"> stor del av kraftproduksjonen. </w:t>
      </w:r>
      <w:proofErr w:type="spellStart"/>
      <w:r w:rsidRPr="00CC19F7">
        <w:t>Særleg</w:t>
      </w:r>
      <w:proofErr w:type="spellEnd"/>
      <w:r w:rsidRPr="00CC19F7">
        <w:t xml:space="preserve"> er utbygginga av vindkraft og solkraft stor i landa rundt oss. Den norske kraftforsyninga er tett </w:t>
      </w:r>
      <w:proofErr w:type="gramStart"/>
      <w:r w:rsidRPr="00CC19F7">
        <w:t>integrert</w:t>
      </w:r>
      <w:proofErr w:type="gramEnd"/>
      <w:r w:rsidRPr="00CC19F7">
        <w:t xml:space="preserve"> med det europeiske kraftsystemet, og utviklinga i Europa vil ha </w:t>
      </w:r>
      <w:proofErr w:type="spellStart"/>
      <w:r w:rsidRPr="00CC19F7">
        <w:t>mykje</w:t>
      </w:r>
      <w:proofErr w:type="spellEnd"/>
      <w:r w:rsidRPr="00CC19F7">
        <w:t xml:space="preserve"> å </w:t>
      </w:r>
      <w:proofErr w:type="spellStart"/>
      <w:r w:rsidRPr="00CC19F7">
        <w:t>seie</w:t>
      </w:r>
      <w:proofErr w:type="spellEnd"/>
      <w:r w:rsidRPr="00CC19F7">
        <w:t xml:space="preserve"> for </w:t>
      </w:r>
      <w:proofErr w:type="spellStart"/>
      <w:r w:rsidRPr="00CC19F7">
        <w:t>Noreg</w:t>
      </w:r>
      <w:proofErr w:type="spellEnd"/>
      <w:r w:rsidRPr="00CC19F7">
        <w:t xml:space="preserve"> og for verdien av norske </w:t>
      </w:r>
      <w:proofErr w:type="spellStart"/>
      <w:r w:rsidRPr="00CC19F7">
        <w:t>fornybarressursar</w:t>
      </w:r>
      <w:proofErr w:type="spellEnd"/>
      <w:r w:rsidRPr="00CC19F7">
        <w:t xml:space="preserve"> på lang sikt.</w:t>
      </w:r>
    </w:p>
    <w:p w14:paraId="689BF2B3" w14:textId="77777777" w:rsidR="00FE02EF" w:rsidRPr="00CC19F7" w:rsidRDefault="00881E58" w:rsidP="00CC19F7">
      <w:proofErr w:type="spellStart"/>
      <w:r w:rsidRPr="00CC19F7">
        <w:t>Uregulerbar</w:t>
      </w:r>
      <w:proofErr w:type="spellEnd"/>
      <w:r w:rsidRPr="00CC19F7">
        <w:t xml:space="preserve"> kraftproduksjon, som vind- og solkraft, gir større variasjon i krafttilgangen. </w:t>
      </w:r>
      <w:proofErr w:type="spellStart"/>
      <w:r w:rsidRPr="00CC19F7">
        <w:t>Noreg</w:t>
      </w:r>
      <w:proofErr w:type="spellEnd"/>
      <w:r w:rsidRPr="00CC19F7">
        <w:t xml:space="preserve"> har </w:t>
      </w:r>
      <w:proofErr w:type="spellStart"/>
      <w:r w:rsidRPr="00CC19F7">
        <w:t>eit</w:t>
      </w:r>
      <w:proofErr w:type="spellEnd"/>
      <w:r w:rsidRPr="00CC19F7">
        <w:t xml:space="preserve"> gunstig utgangspunkt med </w:t>
      </w:r>
      <w:proofErr w:type="spellStart"/>
      <w:r w:rsidRPr="00CC19F7">
        <w:t>ein</w:t>
      </w:r>
      <w:proofErr w:type="spellEnd"/>
      <w:r w:rsidRPr="00CC19F7">
        <w:t xml:space="preserve"> stor andel fornybar og regulerbar vasskraft i kraftforsyninga og kan derfor produsere og levere kraft når behovet er størst, </w:t>
      </w:r>
      <w:proofErr w:type="spellStart"/>
      <w:r w:rsidRPr="00CC19F7">
        <w:t>ein</w:t>
      </w:r>
      <w:proofErr w:type="spellEnd"/>
      <w:r w:rsidRPr="00CC19F7">
        <w:t xml:space="preserve"> </w:t>
      </w:r>
      <w:proofErr w:type="spellStart"/>
      <w:r w:rsidRPr="00CC19F7">
        <w:t>eigenskap</w:t>
      </w:r>
      <w:proofErr w:type="spellEnd"/>
      <w:r w:rsidRPr="00CC19F7">
        <w:t xml:space="preserve"> som blir stadig </w:t>
      </w:r>
      <w:proofErr w:type="spellStart"/>
      <w:r w:rsidRPr="00CC19F7">
        <w:t>viktigare</w:t>
      </w:r>
      <w:proofErr w:type="spellEnd"/>
      <w:r w:rsidRPr="00CC19F7">
        <w:t xml:space="preserve"> i og med omstillinga som </w:t>
      </w:r>
      <w:proofErr w:type="spellStart"/>
      <w:r w:rsidRPr="00CC19F7">
        <w:t>no</w:t>
      </w:r>
      <w:proofErr w:type="spellEnd"/>
      <w:r w:rsidRPr="00CC19F7">
        <w:t xml:space="preserve"> skjer i </w:t>
      </w:r>
      <w:proofErr w:type="spellStart"/>
      <w:r w:rsidRPr="00CC19F7">
        <w:t>kraftmarknadene</w:t>
      </w:r>
      <w:proofErr w:type="spellEnd"/>
      <w:r w:rsidRPr="00CC19F7">
        <w:t xml:space="preserve">. Forbruket av elektrisitet i samfunnet </w:t>
      </w:r>
      <w:proofErr w:type="spellStart"/>
      <w:r w:rsidRPr="00CC19F7">
        <w:t>aukar</w:t>
      </w:r>
      <w:proofErr w:type="spellEnd"/>
      <w:r w:rsidRPr="00CC19F7">
        <w:t xml:space="preserve"> som følge av større </w:t>
      </w:r>
      <w:proofErr w:type="spellStart"/>
      <w:r w:rsidRPr="00CC19F7">
        <w:t>folketal</w:t>
      </w:r>
      <w:proofErr w:type="spellEnd"/>
      <w:r w:rsidRPr="00CC19F7">
        <w:t xml:space="preserve"> og økonomisk vekst, men også som følge av </w:t>
      </w:r>
      <w:proofErr w:type="spellStart"/>
      <w:r w:rsidRPr="00CC19F7">
        <w:t>ein</w:t>
      </w:r>
      <w:proofErr w:type="spellEnd"/>
      <w:r w:rsidRPr="00CC19F7">
        <w:t xml:space="preserve"> </w:t>
      </w:r>
      <w:proofErr w:type="spellStart"/>
      <w:r w:rsidRPr="00CC19F7">
        <w:t>underliggande</w:t>
      </w:r>
      <w:proofErr w:type="spellEnd"/>
      <w:r w:rsidRPr="00CC19F7">
        <w:t xml:space="preserve"> trend mot </w:t>
      </w:r>
      <w:proofErr w:type="spellStart"/>
      <w:r w:rsidRPr="00CC19F7">
        <w:t>meir</w:t>
      </w:r>
      <w:proofErr w:type="spellEnd"/>
      <w:r w:rsidRPr="00CC19F7">
        <w:t xml:space="preserve"> digitalisering, elektrifisering og bruk av nye </w:t>
      </w:r>
      <w:proofErr w:type="spellStart"/>
      <w:r w:rsidRPr="00CC19F7">
        <w:t>teknologiar</w:t>
      </w:r>
      <w:proofErr w:type="spellEnd"/>
      <w:r w:rsidRPr="00CC19F7">
        <w:t xml:space="preserve"> som krev elektrisitet. Gradvis større </w:t>
      </w:r>
      <w:proofErr w:type="spellStart"/>
      <w:r w:rsidRPr="00CC19F7">
        <w:t>avhengigheit</w:t>
      </w:r>
      <w:proofErr w:type="spellEnd"/>
      <w:r w:rsidRPr="00CC19F7">
        <w:t xml:space="preserve"> av elektrisitet, </w:t>
      </w:r>
      <w:proofErr w:type="spellStart"/>
      <w:r w:rsidRPr="00CC19F7">
        <w:t>ein</w:t>
      </w:r>
      <w:proofErr w:type="spellEnd"/>
      <w:r w:rsidRPr="00CC19F7">
        <w:t xml:space="preserve"> </w:t>
      </w:r>
      <w:proofErr w:type="spellStart"/>
      <w:r w:rsidRPr="00CC19F7">
        <w:t>aukande</w:t>
      </w:r>
      <w:proofErr w:type="spellEnd"/>
      <w:r w:rsidRPr="00CC19F7">
        <w:t xml:space="preserve"> andel </w:t>
      </w:r>
      <w:proofErr w:type="spellStart"/>
      <w:r w:rsidRPr="00CC19F7">
        <w:t>uregulerbar</w:t>
      </w:r>
      <w:proofErr w:type="spellEnd"/>
      <w:r w:rsidRPr="00CC19F7">
        <w:t xml:space="preserve"> fornybar kraftproduksjon og ei </w:t>
      </w:r>
      <w:proofErr w:type="spellStart"/>
      <w:r w:rsidRPr="00CC19F7">
        <w:t>tettare</w:t>
      </w:r>
      <w:proofErr w:type="spellEnd"/>
      <w:r w:rsidRPr="00CC19F7">
        <w:t xml:space="preserve"> </w:t>
      </w:r>
      <w:proofErr w:type="spellStart"/>
      <w:r w:rsidRPr="00CC19F7">
        <w:t>samankopling</w:t>
      </w:r>
      <w:proofErr w:type="spellEnd"/>
      <w:r w:rsidRPr="00CC19F7">
        <w:t xml:space="preserve"> av </w:t>
      </w:r>
      <w:proofErr w:type="spellStart"/>
      <w:r w:rsidRPr="00CC19F7">
        <w:t>kraftmarknadene</w:t>
      </w:r>
      <w:proofErr w:type="spellEnd"/>
      <w:r w:rsidRPr="00CC19F7">
        <w:t xml:space="preserve"> </w:t>
      </w:r>
      <w:proofErr w:type="spellStart"/>
      <w:r w:rsidRPr="00CC19F7">
        <w:t>gjer</w:t>
      </w:r>
      <w:proofErr w:type="spellEnd"/>
      <w:r w:rsidRPr="00CC19F7">
        <w:t xml:space="preserve"> tilgangen på regulerbar og fleksibel kraftproduksjon stadig </w:t>
      </w:r>
      <w:proofErr w:type="spellStart"/>
      <w:r w:rsidRPr="00CC19F7">
        <w:t>viktigare</w:t>
      </w:r>
      <w:proofErr w:type="spellEnd"/>
      <w:r w:rsidRPr="00CC19F7">
        <w:t>.</w:t>
      </w:r>
    </w:p>
    <w:p w14:paraId="41BAAB3F" w14:textId="77777777" w:rsidR="00FE02EF" w:rsidRPr="00CC19F7" w:rsidRDefault="00881E58" w:rsidP="00CC19F7">
      <w:proofErr w:type="spellStart"/>
      <w:r w:rsidRPr="00CC19F7">
        <w:t>Ein</w:t>
      </w:r>
      <w:proofErr w:type="spellEnd"/>
      <w:r w:rsidRPr="00CC19F7">
        <w:t xml:space="preserve"> </w:t>
      </w:r>
      <w:proofErr w:type="spellStart"/>
      <w:r w:rsidRPr="00CC19F7">
        <w:t>føresetnad</w:t>
      </w:r>
      <w:proofErr w:type="spellEnd"/>
      <w:r w:rsidRPr="00CC19F7">
        <w:t xml:space="preserve"> for å nå </w:t>
      </w:r>
      <w:proofErr w:type="spellStart"/>
      <w:r w:rsidRPr="00CC19F7">
        <w:t>ambisjonane</w:t>
      </w:r>
      <w:proofErr w:type="spellEnd"/>
      <w:r w:rsidRPr="00CC19F7">
        <w:t xml:space="preserve"> på energi- og klimaområdet er tilgang på kraft og </w:t>
      </w:r>
      <w:proofErr w:type="spellStart"/>
      <w:r w:rsidRPr="00CC19F7">
        <w:t>eit</w:t>
      </w:r>
      <w:proofErr w:type="spellEnd"/>
      <w:r w:rsidRPr="00CC19F7">
        <w:t xml:space="preserve"> </w:t>
      </w:r>
      <w:proofErr w:type="spellStart"/>
      <w:r w:rsidRPr="00CC19F7">
        <w:t>velfungerande</w:t>
      </w:r>
      <w:proofErr w:type="spellEnd"/>
      <w:r w:rsidRPr="00CC19F7">
        <w:t xml:space="preserve"> kraftsystem. Det er behov for betre kunnskapsgrunnlag om kva ulike mål og utviklingstrekk vil </w:t>
      </w:r>
      <w:proofErr w:type="spellStart"/>
      <w:r w:rsidRPr="00CC19F7">
        <w:t>krevje</w:t>
      </w:r>
      <w:proofErr w:type="spellEnd"/>
      <w:r w:rsidRPr="00CC19F7">
        <w:t xml:space="preserve"> av kraftsystemet på kort og lang sikt, slik også Energikommisjonen har </w:t>
      </w:r>
      <w:proofErr w:type="spellStart"/>
      <w:r w:rsidRPr="00CC19F7">
        <w:t>peika</w:t>
      </w:r>
      <w:proofErr w:type="spellEnd"/>
      <w:r w:rsidRPr="00CC19F7">
        <w:t xml:space="preserve"> på. Departementet vil, i samarbeid med NVE, følge opp arbeidet med </w:t>
      </w:r>
      <w:proofErr w:type="spellStart"/>
      <w:r w:rsidRPr="00CC19F7">
        <w:t>meir</w:t>
      </w:r>
      <w:proofErr w:type="spellEnd"/>
      <w:r w:rsidRPr="00CC19F7">
        <w:t xml:space="preserve"> </w:t>
      </w:r>
      <w:proofErr w:type="spellStart"/>
      <w:r w:rsidRPr="00CC19F7">
        <w:t>heilskaplege</w:t>
      </w:r>
      <w:proofErr w:type="spellEnd"/>
      <w:r w:rsidRPr="00CC19F7">
        <w:t xml:space="preserve"> </w:t>
      </w:r>
      <w:proofErr w:type="spellStart"/>
      <w:r w:rsidRPr="00CC19F7">
        <w:t>analysar</w:t>
      </w:r>
      <w:proofErr w:type="spellEnd"/>
      <w:r w:rsidRPr="00CC19F7">
        <w:t>.</w:t>
      </w:r>
    </w:p>
    <w:p w14:paraId="31487125" w14:textId="77777777" w:rsidR="00FE02EF" w:rsidRPr="00CC19F7" w:rsidRDefault="00881E58" w:rsidP="00CC19F7">
      <w:proofErr w:type="spellStart"/>
      <w:r w:rsidRPr="00CC19F7">
        <w:t>Noreg</w:t>
      </w:r>
      <w:proofErr w:type="spellEnd"/>
      <w:r w:rsidRPr="00CC19F7">
        <w:t xml:space="preserve"> har </w:t>
      </w:r>
      <w:proofErr w:type="spellStart"/>
      <w:r w:rsidRPr="00CC19F7">
        <w:t>framleis</w:t>
      </w:r>
      <w:proofErr w:type="spellEnd"/>
      <w:r w:rsidRPr="00CC19F7">
        <w:t xml:space="preserve"> </w:t>
      </w:r>
      <w:proofErr w:type="spellStart"/>
      <w:r w:rsidRPr="00CC19F7">
        <w:t>eit</w:t>
      </w:r>
      <w:proofErr w:type="spellEnd"/>
      <w:r w:rsidRPr="00CC19F7">
        <w:t xml:space="preserve"> stort potensial for utbygging av fornybar kraft. Evna til å produsere når behovet er størst, skal </w:t>
      </w:r>
      <w:proofErr w:type="spellStart"/>
      <w:r w:rsidRPr="00CC19F7">
        <w:t>vektleggast</w:t>
      </w:r>
      <w:proofErr w:type="spellEnd"/>
      <w:r w:rsidRPr="00CC19F7">
        <w:t xml:space="preserve"> i konsesjonsbehandlinga av regulerbar vasskraft. I 2022 blei det sett i drift vasskraft med </w:t>
      </w:r>
      <w:proofErr w:type="spellStart"/>
      <w:r w:rsidRPr="00CC19F7">
        <w:t>ein</w:t>
      </w:r>
      <w:proofErr w:type="spellEnd"/>
      <w:r w:rsidRPr="00CC19F7">
        <w:t xml:space="preserve"> produksjonskapasitet på om lag 0,5 </w:t>
      </w:r>
      <w:proofErr w:type="spellStart"/>
      <w:r w:rsidRPr="00CC19F7">
        <w:t>TWh</w:t>
      </w:r>
      <w:proofErr w:type="spellEnd"/>
      <w:r w:rsidRPr="00CC19F7">
        <w:t xml:space="preserve">. Ved utgangen av andre kvartal 2023 var 1,1 </w:t>
      </w:r>
      <w:proofErr w:type="spellStart"/>
      <w:r w:rsidRPr="00CC19F7">
        <w:t>TWh</w:t>
      </w:r>
      <w:proofErr w:type="spellEnd"/>
      <w:r w:rsidRPr="00CC19F7">
        <w:t xml:space="preserve"> ny vasskraftproduksjon under utbygging. Per 31. mars 2023 er produksjonen av vasskraft i </w:t>
      </w:r>
      <w:proofErr w:type="spellStart"/>
      <w:r w:rsidRPr="00CC19F7">
        <w:t>eit</w:t>
      </w:r>
      <w:proofErr w:type="spellEnd"/>
      <w:r w:rsidRPr="00CC19F7">
        <w:t xml:space="preserve"> år med normal nedbør berekna til 136,9 </w:t>
      </w:r>
      <w:proofErr w:type="spellStart"/>
      <w:r w:rsidRPr="00CC19F7">
        <w:t>TWh</w:t>
      </w:r>
      <w:proofErr w:type="spellEnd"/>
      <w:r w:rsidRPr="00CC19F7">
        <w:t xml:space="preserve"> per år.</w:t>
      </w:r>
    </w:p>
    <w:p w14:paraId="43296970" w14:textId="77777777" w:rsidR="00FE02EF" w:rsidRPr="00CC19F7" w:rsidRDefault="00881E58" w:rsidP="00CC19F7">
      <w:r w:rsidRPr="00CC19F7">
        <w:t xml:space="preserve">Vindkraft har </w:t>
      </w:r>
      <w:proofErr w:type="spellStart"/>
      <w:r w:rsidRPr="00CC19F7">
        <w:t>dei</w:t>
      </w:r>
      <w:proofErr w:type="spellEnd"/>
      <w:r w:rsidRPr="00CC19F7">
        <w:t xml:space="preserve"> siste åra utgjort </w:t>
      </w:r>
      <w:proofErr w:type="spellStart"/>
      <w:r w:rsidRPr="00CC19F7">
        <w:t>ein</w:t>
      </w:r>
      <w:proofErr w:type="spellEnd"/>
      <w:r w:rsidRPr="00CC19F7">
        <w:t xml:space="preserve"> stadig større del av den norske energiforsyninga. </w:t>
      </w:r>
      <w:proofErr w:type="spellStart"/>
      <w:r w:rsidRPr="00CC19F7">
        <w:t>Noreg</w:t>
      </w:r>
      <w:proofErr w:type="spellEnd"/>
      <w:r w:rsidRPr="00CC19F7">
        <w:t xml:space="preserve"> har svært gode </w:t>
      </w:r>
      <w:proofErr w:type="spellStart"/>
      <w:r w:rsidRPr="00CC19F7">
        <w:t>vindressursar</w:t>
      </w:r>
      <w:proofErr w:type="spellEnd"/>
      <w:r w:rsidRPr="00CC19F7">
        <w:t xml:space="preserve">, og vindkraft på land er blant </w:t>
      </w:r>
      <w:proofErr w:type="spellStart"/>
      <w:r w:rsidRPr="00CC19F7">
        <w:t>dei</w:t>
      </w:r>
      <w:proofErr w:type="spellEnd"/>
      <w:r w:rsidRPr="00CC19F7">
        <w:t xml:space="preserve"> </w:t>
      </w:r>
      <w:proofErr w:type="spellStart"/>
      <w:r w:rsidRPr="00CC19F7">
        <w:t>teknologiane</w:t>
      </w:r>
      <w:proofErr w:type="spellEnd"/>
      <w:r w:rsidRPr="00CC19F7">
        <w:t xml:space="preserve"> med </w:t>
      </w:r>
      <w:proofErr w:type="spellStart"/>
      <w:r w:rsidRPr="00CC19F7">
        <w:t>lågast</w:t>
      </w:r>
      <w:proofErr w:type="spellEnd"/>
      <w:r w:rsidRPr="00CC19F7">
        <w:t xml:space="preserve"> utbyggingskostnad. Auken i vindkraftproduksjon har </w:t>
      </w:r>
      <w:proofErr w:type="spellStart"/>
      <w:r w:rsidRPr="00CC19F7">
        <w:t>vore</w:t>
      </w:r>
      <w:proofErr w:type="spellEnd"/>
      <w:r w:rsidRPr="00CC19F7">
        <w:t xml:space="preserve"> stor </w:t>
      </w:r>
      <w:proofErr w:type="spellStart"/>
      <w:r w:rsidRPr="00CC19F7">
        <w:t>dei</w:t>
      </w:r>
      <w:proofErr w:type="spellEnd"/>
      <w:r w:rsidRPr="00CC19F7">
        <w:t xml:space="preserve"> siste åra. I 2022 blei det i </w:t>
      </w:r>
      <w:proofErr w:type="spellStart"/>
      <w:r w:rsidRPr="00CC19F7">
        <w:t>Noreg</w:t>
      </w:r>
      <w:proofErr w:type="spellEnd"/>
      <w:r w:rsidRPr="00CC19F7">
        <w:t xml:space="preserve"> sett i drift vindkraft med </w:t>
      </w:r>
      <w:proofErr w:type="spellStart"/>
      <w:r w:rsidRPr="00CC19F7">
        <w:t>ein</w:t>
      </w:r>
      <w:proofErr w:type="spellEnd"/>
      <w:r w:rsidRPr="00CC19F7">
        <w:t xml:space="preserve"> produksjonskapasitet på om lag 2,2 </w:t>
      </w:r>
      <w:proofErr w:type="spellStart"/>
      <w:r w:rsidRPr="00CC19F7">
        <w:t>TWh</w:t>
      </w:r>
      <w:proofErr w:type="spellEnd"/>
      <w:r w:rsidRPr="00CC19F7">
        <w:t xml:space="preserve">. Normalårsproduksjonen for norsk vindkraft er </w:t>
      </w:r>
      <w:proofErr w:type="spellStart"/>
      <w:r w:rsidRPr="00CC19F7">
        <w:t>no</w:t>
      </w:r>
      <w:proofErr w:type="spellEnd"/>
      <w:r w:rsidRPr="00CC19F7">
        <w:t xml:space="preserve"> i underkant av 17 </w:t>
      </w:r>
      <w:proofErr w:type="spellStart"/>
      <w:r w:rsidRPr="00CC19F7">
        <w:t>TWh</w:t>
      </w:r>
      <w:proofErr w:type="spellEnd"/>
      <w:r w:rsidRPr="00CC19F7">
        <w:t xml:space="preserve">, </w:t>
      </w:r>
      <w:proofErr w:type="spellStart"/>
      <w:r w:rsidRPr="00CC19F7">
        <w:t>noko</w:t>
      </w:r>
      <w:proofErr w:type="spellEnd"/>
      <w:r w:rsidRPr="00CC19F7">
        <w:t xml:space="preserve"> som svarer til rundt 11 prosent av samla norsk produksjon i </w:t>
      </w:r>
      <w:proofErr w:type="spellStart"/>
      <w:r w:rsidRPr="00CC19F7">
        <w:t>eit</w:t>
      </w:r>
      <w:proofErr w:type="spellEnd"/>
      <w:r w:rsidRPr="00CC19F7">
        <w:t xml:space="preserve"> normalår. I </w:t>
      </w:r>
      <w:proofErr w:type="spellStart"/>
      <w:r w:rsidRPr="00CC19F7">
        <w:t>dei</w:t>
      </w:r>
      <w:proofErr w:type="spellEnd"/>
      <w:r w:rsidRPr="00CC19F7">
        <w:t xml:space="preserve"> </w:t>
      </w:r>
      <w:proofErr w:type="spellStart"/>
      <w:r w:rsidRPr="00CC19F7">
        <w:t>nærmaste</w:t>
      </w:r>
      <w:proofErr w:type="spellEnd"/>
      <w:r w:rsidRPr="00CC19F7">
        <w:t xml:space="preserve"> åra framover er det forventa liten utbygging. Det har komme inn relativt få søknader om vindkraft, og nye vindkraftprosjekt har i dag </w:t>
      </w:r>
      <w:proofErr w:type="spellStart"/>
      <w:r w:rsidRPr="00CC19F7">
        <w:t>ikkje</w:t>
      </w:r>
      <w:proofErr w:type="spellEnd"/>
      <w:r w:rsidRPr="00CC19F7">
        <w:t xml:space="preserve"> komme langt i prosessen med å få konsesjon.</w:t>
      </w:r>
    </w:p>
    <w:p w14:paraId="26BED517" w14:textId="77777777" w:rsidR="00FE02EF" w:rsidRPr="00CC19F7" w:rsidRDefault="00881E58" w:rsidP="00CC19F7">
      <w:r w:rsidRPr="00CC19F7">
        <w:t xml:space="preserve">I juni 2023 slutta Stortinget seg til regjeringas forslag om </w:t>
      </w:r>
      <w:proofErr w:type="spellStart"/>
      <w:r w:rsidRPr="00CC19F7">
        <w:t>endringar</w:t>
      </w:r>
      <w:proofErr w:type="spellEnd"/>
      <w:r w:rsidRPr="00CC19F7">
        <w:t xml:space="preserve"> i energilova og plan- og bygningslova knytte til vindkraft på land, jf. </w:t>
      </w:r>
      <w:proofErr w:type="spellStart"/>
      <w:r w:rsidRPr="00CC19F7">
        <w:t>Prop</w:t>
      </w:r>
      <w:proofErr w:type="spellEnd"/>
      <w:r w:rsidRPr="00CC19F7">
        <w:t xml:space="preserve">. 111 L (2022–2023). Før </w:t>
      </w:r>
      <w:proofErr w:type="spellStart"/>
      <w:r w:rsidRPr="00CC19F7">
        <w:t>eit</w:t>
      </w:r>
      <w:proofErr w:type="spellEnd"/>
      <w:r w:rsidRPr="00CC19F7">
        <w:t xml:space="preserve"> konsesjonsvedtak skal det framover </w:t>
      </w:r>
      <w:proofErr w:type="spellStart"/>
      <w:r w:rsidRPr="00CC19F7">
        <w:t>vere</w:t>
      </w:r>
      <w:proofErr w:type="spellEnd"/>
      <w:r w:rsidRPr="00CC19F7">
        <w:t xml:space="preserve"> ei overordna kommunal områderegulering. Dette skal gi betre lokal forankring og styrke </w:t>
      </w:r>
      <w:proofErr w:type="spellStart"/>
      <w:r w:rsidRPr="00CC19F7">
        <w:t>kommunane</w:t>
      </w:r>
      <w:proofErr w:type="spellEnd"/>
      <w:r w:rsidRPr="00CC19F7">
        <w:t xml:space="preserve"> </w:t>
      </w:r>
      <w:proofErr w:type="spellStart"/>
      <w:r w:rsidRPr="00CC19F7">
        <w:t>si</w:t>
      </w:r>
      <w:proofErr w:type="spellEnd"/>
      <w:r w:rsidRPr="00CC19F7">
        <w:t xml:space="preserve"> rolle i prosessen. Departementet vil sikre ei god lokal og regional forankring, der det blir lagt større vekt på miljø og andre viktige samfunnsinteresser, og der tidsforløpet </w:t>
      </w:r>
      <w:proofErr w:type="spellStart"/>
      <w:r w:rsidRPr="00CC19F7">
        <w:t>frå</w:t>
      </w:r>
      <w:proofErr w:type="spellEnd"/>
      <w:r w:rsidRPr="00CC19F7">
        <w:t xml:space="preserve"> planlegging til bygging av vindkraftverk blir innskjerpa.</w:t>
      </w:r>
    </w:p>
    <w:p w14:paraId="0201A050" w14:textId="77777777" w:rsidR="00FE02EF" w:rsidRPr="00CC19F7" w:rsidRDefault="00881E58" w:rsidP="00CC19F7">
      <w:r w:rsidRPr="00CC19F7">
        <w:t xml:space="preserve">Ved utbygging av straumnett og ny kraftproduksjon er regjeringa opptatt av å vareta interessene til reindrifta og legge til rette for å sikre driftsgrunnlaget for reindrifta også framover. Prosjekt for nett og kraft skal </w:t>
      </w:r>
      <w:proofErr w:type="spellStart"/>
      <w:r w:rsidRPr="00CC19F7">
        <w:t>ikkje</w:t>
      </w:r>
      <w:proofErr w:type="spellEnd"/>
      <w:r w:rsidRPr="00CC19F7">
        <w:t xml:space="preserve"> gå på bekostning av </w:t>
      </w:r>
      <w:proofErr w:type="spellStart"/>
      <w:r w:rsidRPr="00CC19F7">
        <w:t>rettigheitane</w:t>
      </w:r>
      <w:proofErr w:type="spellEnd"/>
      <w:r w:rsidRPr="00CC19F7">
        <w:t xml:space="preserve"> til reindrifta etter artikkel 27 i konvensjonen om sivile og politiske </w:t>
      </w:r>
      <w:proofErr w:type="spellStart"/>
      <w:r w:rsidRPr="00CC19F7">
        <w:t>rettigheitar</w:t>
      </w:r>
      <w:proofErr w:type="spellEnd"/>
      <w:r w:rsidRPr="00CC19F7">
        <w:t xml:space="preserve">. Dette er </w:t>
      </w:r>
      <w:proofErr w:type="spellStart"/>
      <w:r w:rsidRPr="00CC19F7">
        <w:t>eit</w:t>
      </w:r>
      <w:proofErr w:type="spellEnd"/>
      <w:r w:rsidRPr="00CC19F7">
        <w:t xml:space="preserve"> heilt sentralt spørsmål i konsesjonsbehandlinga i område med reindrift.</w:t>
      </w:r>
    </w:p>
    <w:p w14:paraId="136FBF15" w14:textId="77777777" w:rsidR="00FE02EF" w:rsidRPr="00CC19F7" w:rsidRDefault="00881E58" w:rsidP="00CC19F7">
      <w:r w:rsidRPr="00CC19F7">
        <w:t xml:space="preserve">Regjeringa vil også legge til rette for at lokalsamfunn som stiller </w:t>
      </w:r>
      <w:proofErr w:type="spellStart"/>
      <w:r w:rsidRPr="00CC19F7">
        <w:t>naturressursane</w:t>
      </w:r>
      <w:proofErr w:type="spellEnd"/>
      <w:r w:rsidRPr="00CC19F7">
        <w:t xml:space="preserve"> sine til disposisjon for utbygging, skal få </w:t>
      </w:r>
      <w:proofErr w:type="spellStart"/>
      <w:r w:rsidRPr="00CC19F7">
        <w:t>meir</w:t>
      </w:r>
      <w:proofErr w:type="spellEnd"/>
      <w:r w:rsidRPr="00CC19F7">
        <w:t xml:space="preserve"> igjen ved at </w:t>
      </w:r>
      <w:proofErr w:type="spellStart"/>
      <w:r w:rsidRPr="00CC19F7">
        <w:t>dei</w:t>
      </w:r>
      <w:proofErr w:type="spellEnd"/>
      <w:r w:rsidRPr="00CC19F7">
        <w:t xml:space="preserve"> blir sikra </w:t>
      </w:r>
      <w:proofErr w:type="spellStart"/>
      <w:r w:rsidRPr="00CC19F7">
        <w:t>ein</w:t>
      </w:r>
      <w:proofErr w:type="spellEnd"/>
      <w:r w:rsidRPr="00CC19F7">
        <w:t xml:space="preserve"> rettmessig del av verdiskapinga. Dette blir </w:t>
      </w:r>
      <w:proofErr w:type="spellStart"/>
      <w:r w:rsidRPr="00CC19F7">
        <w:t>nærmare</w:t>
      </w:r>
      <w:proofErr w:type="spellEnd"/>
      <w:r w:rsidRPr="00CC19F7">
        <w:t xml:space="preserve"> omtalt i </w:t>
      </w:r>
      <w:proofErr w:type="spellStart"/>
      <w:r w:rsidRPr="00CC19F7">
        <w:t>Prop</w:t>
      </w:r>
      <w:proofErr w:type="spellEnd"/>
      <w:r w:rsidRPr="00CC19F7">
        <w:t xml:space="preserve">. 1 LS (2023–2024) </w:t>
      </w:r>
      <w:r w:rsidRPr="00CC19F7">
        <w:rPr>
          <w:rStyle w:val="kursiv"/>
        </w:rPr>
        <w:t>Skatter, avgift og toll 2023</w:t>
      </w:r>
      <w:r w:rsidRPr="00CC19F7">
        <w:t>.</w:t>
      </w:r>
    </w:p>
    <w:p w14:paraId="41024DF1" w14:textId="77777777" w:rsidR="00FE02EF" w:rsidRPr="00CC19F7" w:rsidRDefault="00881E58" w:rsidP="00CC19F7">
      <w:r w:rsidRPr="00CC19F7">
        <w:t xml:space="preserve">Regjeringa vil legge til rette for </w:t>
      </w:r>
      <w:proofErr w:type="spellStart"/>
      <w:r w:rsidRPr="00CC19F7">
        <w:t>meir</w:t>
      </w:r>
      <w:proofErr w:type="spellEnd"/>
      <w:r w:rsidRPr="00CC19F7">
        <w:t xml:space="preserve"> utbygging av solkraft og lokal energiproduksjon. Departementet har mellom anna gitt NVE i oppdrag å lage </w:t>
      </w:r>
      <w:proofErr w:type="spellStart"/>
      <w:r w:rsidRPr="00CC19F7">
        <w:t>eit</w:t>
      </w:r>
      <w:proofErr w:type="spellEnd"/>
      <w:r w:rsidRPr="00CC19F7">
        <w:t xml:space="preserve"> </w:t>
      </w:r>
      <w:proofErr w:type="spellStart"/>
      <w:r w:rsidRPr="00CC19F7">
        <w:t>fagleg</w:t>
      </w:r>
      <w:proofErr w:type="spellEnd"/>
      <w:r w:rsidRPr="00CC19F7">
        <w:t xml:space="preserve"> underlag om solkraft og </w:t>
      </w:r>
      <w:proofErr w:type="spellStart"/>
      <w:r w:rsidRPr="00CC19F7">
        <w:t>annan</w:t>
      </w:r>
      <w:proofErr w:type="spellEnd"/>
      <w:r w:rsidRPr="00CC19F7">
        <w:t xml:space="preserve"> lokal energiproduksjon. Oppdraget består av </w:t>
      </w:r>
      <w:proofErr w:type="spellStart"/>
      <w:r w:rsidRPr="00CC19F7">
        <w:t>fleire</w:t>
      </w:r>
      <w:proofErr w:type="spellEnd"/>
      <w:r w:rsidRPr="00CC19F7">
        <w:t xml:space="preserve"> deloppdrag, som vil bli svarte ut i løpet av </w:t>
      </w:r>
      <w:proofErr w:type="spellStart"/>
      <w:r w:rsidRPr="00CC19F7">
        <w:t>hausten</w:t>
      </w:r>
      <w:proofErr w:type="spellEnd"/>
      <w:r w:rsidRPr="00CC19F7">
        <w:t xml:space="preserve"> og vinteren 2023/2024. </w:t>
      </w:r>
      <w:proofErr w:type="spellStart"/>
      <w:r w:rsidRPr="00CC19F7">
        <w:t>Vidare</w:t>
      </w:r>
      <w:proofErr w:type="spellEnd"/>
      <w:r w:rsidRPr="00CC19F7">
        <w:t xml:space="preserve"> har RME fått i oppdrag å greie ut og foreslå ei delingsordning for fornybar </w:t>
      </w:r>
      <w:proofErr w:type="spellStart"/>
      <w:r w:rsidRPr="00CC19F7">
        <w:t>straum</w:t>
      </w:r>
      <w:proofErr w:type="spellEnd"/>
      <w:r w:rsidRPr="00CC19F7">
        <w:t xml:space="preserve"> tilpassa næringsområde. Departementet vil legge til rette for solkraft og mellom anna vurdere om </w:t>
      </w:r>
      <w:proofErr w:type="spellStart"/>
      <w:r w:rsidRPr="00CC19F7">
        <w:t>dei</w:t>
      </w:r>
      <w:proofErr w:type="spellEnd"/>
      <w:r w:rsidRPr="00CC19F7">
        <w:t xml:space="preserve"> nye </w:t>
      </w:r>
      <w:proofErr w:type="spellStart"/>
      <w:r w:rsidRPr="00CC19F7">
        <w:t>reglane</w:t>
      </w:r>
      <w:proofErr w:type="spellEnd"/>
      <w:r w:rsidRPr="00CC19F7">
        <w:t xml:space="preserve"> for behandling av vindkraft også skal </w:t>
      </w:r>
      <w:proofErr w:type="spellStart"/>
      <w:r w:rsidRPr="00CC19F7">
        <w:t>gjerast</w:t>
      </w:r>
      <w:proofErr w:type="spellEnd"/>
      <w:r w:rsidRPr="00CC19F7">
        <w:t xml:space="preserve"> </w:t>
      </w:r>
      <w:proofErr w:type="spellStart"/>
      <w:r w:rsidRPr="00CC19F7">
        <w:t>gjeldande</w:t>
      </w:r>
      <w:proofErr w:type="spellEnd"/>
      <w:r w:rsidRPr="00CC19F7">
        <w:t xml:space="preserve"> for bakkemonterte anlegg for solkraft.</w:t>
      </w:r>
    </w:p>
    <w:p w14:paraId="1074E1B5" w14:textId="77777777" w:rsidR="00FE02EF" w:rsidRPr="00CC19F7" w:rsidRDefault="00881E58" w:rsidP="00CC19F7">
      <w:r w:rsidRPr="00CC19F7">
        <w:t xml:space="preserve">Dei første prosjektområda for havvind i </w:t>
      </w:r>
      <w:proofErr w:type="spellStart"/>
      <w:r w:rsidRPr="00CC19F7">
        <w:t>Sørlege</w:t>
      </w:r>
      <w:proofErr w:type="spellEnd"/>
      <w:r w:rsidRPr="00CC19F7">
        <w:t xml:space="preserve"> </w:t>
      </w:r>
      <w:proofErr w:type="spellStart"/>
      <w:r w:rsidRPr="00CC19F7">
        <w:t>Nordsjø</w:t>
      </w:r>
      <w:proofErr w:type="spellEnd"/>
      <w:r w:rsidRPr="00CC19F7">
        <w:t xml:space="preserve"> II og Utsira Nord blei utlyste i første kvartal 2023. Prosjekta i Utsira Nord og første fase av </w:t>
      </w:r>
      <w:proofErr w:type="spellStart"/>
      <w:r w:rsidRPr="00CC19F7">
        <w:t>Sørlege</w:t>
      </w:r>
      <w:proofErr w:type="spellEnd"/>
      <w:r w:rsidRPr="00CC19F7">
        <w:t xml:space="preserve"> </w:t>
      </w:r>
      <w:proofErr w:type="spellStart"/>
      <w:r w:rsidRPr="00CC19F7">
        <w:t>Nordsjø</w:t>
      </w:r>
      <w:proofErr w:type="spellEnd"/>
      <w:r w:rsidRPr="00CC19F7">
        <w:t xml:space="preserve"> II vil bli tilkopla Fastlands-</w:t>
      </w:r>
      <w:proofErr w:type="spellStart"/>
      <w:r w:rsidRPr="00CC19F7">
        <w:t>Noreg</w:t>
      </w:r>
      <w:proofErr w:type="spellEnd"/>
      <w:r w:rsidRPr="00CC19F7">
        <w:t xml:space="preserve"> og bidra til å </w:t>
      </w:r>
      <w:proofErr w:type="spellStart"/>
      <w:r w:rsidRPr="00CC19F7">
        <w:t>auke</w:t>
      </w:r>
      <w:proofErr w:type="spellEnd"/>
      <w:r w:rsidRPr="00CC19F7">
        <w:t xml:space="preserve"> fornybar kraftproduksjon i Sør-</w:t>
      </w:r>
      <w:proofErr w:type="spellStart"/>
      <w:r w:rsidRPr="00CC19F7">
        <w:t>Noreg</w:t>
      </w:r>
      <w:proofErr w:type="spellEnd"/>
      <w:r w:rsidRPr="00CC19F7">
        <w:t xml:space="preserve">. Regjeringas satsing på havvind er viktig for å </w:t>
      </w:r>
      <w:proofErr w:type="spellStart"/>
      <w:r w:rsidRPr="00CC19F7">
        <w:t>auke</w:t>
      </w:r>
      <w:proofErr w:type="spellEnd"/>
      <w:r w:rsidRPr="00CC19F7">
        <w:t xml:space="preserve"> den fornybare kraftproduksjonen i </w:t>
      </w:r>
      <w:proofErr w:type="spellStart"/>
      <w:r w:rsidRPr="00CC19F7">
        <w:t>Noreg</w:t>
      </w:r>
      <w:proofErr w:type="spellEnd"/>
      <w:r w:rsidRPr="00CC19F7">
        <w:t xml:space="preserve">. Dette blir </w:t>
      </w:r>
      <w:proofErr w:type="spellStart"/>
      <w:r w:rsidRPr="00CC19F7">
        <w:t>nærmare</w:t>
      </w:r>
      <w:proofErr w:type="spellEnd"/>
      <w:r w:rsidRPr="00CC19F7">
        <w:t xml:space="preserve"> omtalt i programkategori 18.30.</w:t>
      </w:r>
    </w:p>
    <w:p w14:paraId="6F039758" w14:textId="77777777" w:rsidR="00FE02EF" w:rsidRPr="00CC19F7" w:rsidRDefault="00881E58" w:rsidP="00CC19F7">
      <w:proofErr w:type="spellStart"/>
      <w:r w:rsidRPr="00CC19F7">
        <w:t>Driftssikkerheita</w:t>
      </w:r>
      <w:proofErr w:type="spellEnd"/>
      <w:r w:rsidRPr="00CC19F7">
        <w:t xml:space="preserve"> i kraftnettet i </w:t>
      </w:r>
      <w:proofErr w:type="spellStart"/>
      <w:r w:rsidRPr="00CC19F7">
        <w:t>Noreg</w:t>
      </w:r>
      <w:proofErr w:type="spellEnd"/>
      <w:r w:rsidRPr="00CC19F7">
        <w:t xml:space="preserve"> er god. Større innfasing av </w:t>
      </w:r>
      <w:proofErr w:type="spellStart"/>
      <w:r w:rsidRPr="00CC19F7">
        <w:t>uregulerbar</w:t>
      </w:r>
      <w:proofErr w:type="spellEnd"/>
      <w:r w:rsidRPr="00CC19F7">
        <w:t xml:space="preserve"> fornybar energi, både i </w:t>
      </w:r>
      <w:proofErr w:type="spellStart"/>
      <w:r w:rsidRPr="00CC19F7">
        <w:t>Noreg</w:t>
      </w:r>
      <w:proofErr w:type="spellEnd"/>
      <w:r w:rsidRPr="00CC19F7">
        <w:t xml:space="preserve"> og i nabolanda våre, stiller større krav til kraftsystemet. </w:t>
      </w:r>
      <w:proofErr w:type="spellStart"/>
      <w:r w:rsidRPr="00CC19F7">
        <w:t>Eit</w:t>
      </w:r>
      <w:proofErr w:type="spellEnd"/>
      <w:r w:rsidRPr="00CC19F7">
        <w:t xml:space="preserve"> godt utbygd nett og </w:t>
      </w:r>
      <w:proofErr w:type="spellStart"/>
      <w:r w:rsidRPr="00CC19F7">
        <w:t>ein</w:t>
      </w:r>
      <w:proofErr w:type="spellEnd"/>
      <w:r w:rsidRPr="00CC19F7">
        <w:t xml:space="preserve"> </w:t>
      </w:r>
      <w:proofErr w:type="spellStart"/>
      <w:r w:rsidRPr="00CC19F7">
        <w:t>velfungerande</w:t>
      </w:r>
      <w:proofErr w:type="spellEnd"/>
      <w:r w:rsidRPr="00CC19F7">
        <w:t xml:space="preserve"> </w:t>
      </w:r>
      <w:proofErr w:type="spellStart"/>
      <w:r w:rsidRPr="00CC19F7">
        <w:t>kraftmarknad</w:t>
      </w:r>
      <w:proofErr w:type="spellEnd"/>
      <w:r w:rsidRPr="00CC19F7">
        <w:t xml:space="preserve"> er </w:t>
      </w:r>
      <w:proofErr w:type="spellStart"/>
      <w:r w:rsidRPr="00CC19F7">
        <w:t>avgjerande</w:t>
      </w:r>
      <w:proofErr w:type="spellEnd"/>
      <w:r w:rsidRPr="00CC19F7">
        <w:t xml:space="preserve"> for </w:t>
      </w:r>
      <w:proofErr w:type="spellStart"/>
      <w:r w:rsidRPr="00CC19F7">
        <w:t>forsyningssikkerheita</w:t>
      </w:r>
      <w:proofErr w:type="spellEnd"/>
      <w:r w:rsidRPr="00CC19F7">
        <w:t xml:space="preserve"> for </w:t>
      </w:r>
      <w:proofErr w:type="spellStart"/>
      <w:r w:rsidRPr="00CC19F7">
        <w:t>straum</w:t>
      </w:r>
      <w:proofErr w:type="spellEnd"/>
      <w:r w:rsidRPr="00CC19F7">
        <w:t xml:space="preserve">. Samtidig må </w:t>
      </w:r>
      <w:proofErr w:type="spellStart"/>
      <w:r w:rsidRPr="00CC19F7">
        <w:t>aktørar</w:t>
      </w:r>
      <w:proofErr w:type="spellEnd"/>
      <w:r w:rsidRPr="00CC19F7">
        <w:t xml:space="preserve"> som er heilt avhengige av trygg straumforsyning, sjølve ta ansvar for </w:t>
      </w:r>
      <w:proofErr w:type="spellStart"/>
      <w:r w:rsidRPr="00CC19F7">
        <w:t>tilstrekkeleg</w:t>
      </w:r>
      <w:proofErr w:type="spellEnd"/>
      <w:r w:rsidRPr="00CC19F7">
        <w:t xml:space="preserve"> eigenberedskap, slik at </w:t>
      </w:r>
      <w:proofErr w:type="spellStart"/>
      <w:r w:rsidRPr="00CC19F7">
        <w:t>dei</w:t>
      </w:r>
      <w:proofErr w:type="spellEnd"/>
      <w:r w:rsidRPr="00CC19F7">
        <w:t xml:space="preserve"> er førebudde ved </w:t>
      </w:r>
      <w:proofErr w:type="spellStart"/>
      <w:r w:rsidRPr="00CC19F7">
        <w:t>eit</w:t>
      </w:r>
      <w:proofErr w:type="spellEnd"/>
      <w:r w:rsidRPr="00CC19F7">
        <w:t xml:space="preserve"> eventuelt bortfall av </w:t>
      </w:r>
      <w:proofErr w:type="spellStart"/>
      <w:r w:rsidRPr="00CC19F7">
        <w:t>straum</w:t>
      </w:r>
      <w:proofErr w:type="spellEnd"/>
      <w:r w:rsidRPr="00CC19F7">
        <w:t>.</w:t>
      </w:r>
    </w:p>
    <w:p w14:paraId="77D20CD1" w14:textId="77777777" w:rsidR="00FE02EF" w:rsidRPr="00CC19F7" w:rsidRDefault="00881E58" w:rsidP="00CC19F7">
      <w:r w:rsidRPr="00CC19F7">
        <w:t xml:space="preserve">Straumnettet skal </w:t>
      </w:r>
      <w:proofErr w:type="spellStart"/>
      <w:r w:rsidRPr="00CC19F7">
        <w:t>driftast</w:t>
      </w:r>
      <w:proofErr w:type="spellEnd"/>
      <w:r w:rsidRPr="00CC19F7">
        <w:t xml:space="preserve"> og </w:t>
      </w:r>
      <w:proofErr w:type="spellStart"/>
      <w:r w:rsidRPr="00CC19F7">
        <w:t>utviklast</w:t>
      </w:r>
      <w:proofErr w:type="spellEnd"/>
      <w:r w:rsidRPr="00CC19F7">
        <w:t xml:space="preserve"> i tråd med samfunnsøkonomiske kriterium. Store </w:t>
      </w:r>
      <w:proofErr w:type="spellStart"/>
      <w:r w:rsidRPr="00CC19F7">
        <w:t>delar</w:t>
      </w:r>
      <w:proofErr w:type="spellEnd"/>
      <w:r w:rsidRPr="00CC19F7">
        <w:t xml:space="preserve"> av straumnettet er gammalt, og </w:t>
      </w:r>
      <w:proofErr w:type="spellStart"/>
      <w:r w:rsidRPr="00CC19F7">
        <w:t>fleire</w:t>
      </w:r>
      <w:proofErr w:type="spellEnd"/>
      <w:r w:rsidRPr="00CC19F7">
        <w:t xml:space="preserve"> anlegg </w:t>
      </w:r>
      <w:proofErr w:type="spellStart"/>
      <w:r w:rsidRPr="00CC19F7">
        <w:t>nærmar</w:t>
      </w:r>
      <w:proofErr w:type="spellEnd"/>
      <w:r w:rsidRPr="00CC19F7">
        <w:t xml:space="preserve"> seg slutten av </w:t>
      </w:r>
      <w:proofErr w:type="spellStart"/>
      <w:r w:rsidRPr="00CC19F7">
        <w:t>si</w:t>
      </w:r>
      <w:proofErr w:type="spellEnd"/>
      <w:r w:rsidRPr="00CC19F7">
        <w:t xml:space="preserve"> tekniske levetid. I den oppdaterte investeringsplanen for 2022 </w:t>
      </w:r>
      <w:proofErr w:type="spellStart"/>
      <w:r w:rsidRPr="00CC19F7">
        <w:t>forventar</w:t>
      </w:r>
      <w:proofErr w:type="spellEnd"/>
      <w:r w:rsidRPr="00CC19F7">
        <w:t xml:space="preserve"> Statnett </w:t>
      </w:r>
      <w:proofErr w:type="spellStart"/>
      <w:r w:rsidRPr="00CC19F7">
        <w:t>eit</w:t>
      </w:r>
      <w:proofErr w:type="spellEnd"/>
      <w:r w:rsidRPr="00CC19F7">
        <w:t xml:space="preserve"> investeringsnivå i transmisjonsnettet på 60–100 mrd. kroner fram mot 2030. På </w:t>
      </w:r>
      <w:proofErr w:type="spellStart"/>
      <w:r w:rsidRPr="00CC19F7">
        <w:t>lågare</w:t>
      </w:r>
      <w:proofErr w:type="spellEnd"/>
      <w:r w:rsidRPr="00CC19F7">
        <w:t xml:space="preserve"> nettnivå er det også behov for store </w:t>
      </w:r>
      <w:proofErr w:type="spellStart"/>
      <w:r w:rsidRPr="00CC19F7">
        <w:t>investeringar</w:t>
      </w:r>
      <w:proofErr w:type="spellEnd"/>
      <w:r w:rsidRPr="00CC19F7">
        <w:t>.</w:t>
      </w:r>
    </w:p>
    <w:p w14:paraId="5042A5E3" w14:textId="77777777" w:rsidR="00FE02EF" w:rsidRPr="00CC19F7" w:rsidRDefault="00881E58" w:rsidP="00CC19F7">
      <w:r w:rsidRPr="00CC19F7">
        <w:t xml:space="preserve">I tillegg vil nye teknologiske </w:t>
      </w:r>
      <w:proofErr w:type="spellStart"/>
      <w:r w:rsidRPr="00CC19F7">
        <w:t>løysingar</w:t>
      </w:r>
      <w:proofErr w:type="spellEnd"/>
      <w:r w:rsidRPr="00CC19F7">
        <w:t xml:space="preserve"> og bruk av smarte styringssystem kunne bidra til å styrke </w:t>
      </w:r>
      <w:proofErr w:type="spellStart"/>
      <w:r w:rsidRPr="00CC19F7">
        <w:t>forsyningssikkerheita</w:t>
      </w:r>
      <w:proofErr w:type="spellEnd"/>
      <w:r w:rsidRPr="00CC19F7">
        <w:t xml:space="preserve"> i åra framover. Tiltak som er under gjennomføring, bidrar til å betre </w:t>
      </w:r>
      <w:proofErr w:type="spellStart"/>
      <w:r w:rsidRPr="00CC19F7">
        <w:t>forsyningssikkerheita</w:t>
      </w:r>
      <w:proofErr w:type="spellEnd"/>
      <w:r w:rsidRPr="00CC19F7">
        <w:t xml:space="preserve"> regionalt og nasjonalt, og legg i tillegg til rette for nytt forbruk og ny fornybar kraftproduksjon.</w:t>
      </w:r>
    </w:p>
    <w:p w14:paraId="27E2C7F6" w14:textId="77777777" w:rsidR="00FE02EF" w:rsidRPr="00CC19F7" w:rsidRDefault="00881E58" w:rsidP="00CC19F7">
      <w:r w:rsidRPr="00CC19F7">
        <w:t xml:space="preserve">Tiltaka i straumnettet </w:t>
      </w:r>
      <w:proofErr w:type="spellStart"/>
      <w:r w:rsidRPr="00CC19F7">
        <w:t>inneber</w:t>
      </w:r>
      <w:proofErr w:type="spellEnd"/>
      <w:r w:rsidRPr="00CC19F7">
        <w:t xml:space="preserve"> store investeringskostnader og negative verknader for natur og andre samfunnsinteresser. Det er behov for å </w:t>
      </w:r>
      <w:proofErr w:type="spellStart"/>
      <w:r w:rsidRPr="00CC19F7">
        <w:t>auke</w:t>
      </w:r>
      <w:proofErr w:type="spellEnd"/>
      <w:r w:rsidRPr="00CC19F7">
        <w:t xml:space="preserve"> takten i utbygginga av nett, men det er samtidig viktig at </w:t>
      </w:r>
      <w:proofErr w:type="spellStart"/>
      <w:r w:rsidRPr="00CC19F7">
        <w:t>dei</w:t>
      </w:r>
      <w:proofErr w:type="spellEnd"/>
      <w:r w:rsidRPr="00CC19F7">
        <w:t xml:space="preserve"> samla </w:t>
      </w:r>
      <w:proofErr w:type="spellStart"/>
      <w:r w:rsidRPr="00CC19F7">
        <w:t>investeringane</w:t>
      </w:r>
      <w:proofErr w:type="spellEnd"/>
      <w:r w:rsidRPr="00CC19F7">
        <w:t xml:space="preserve"> </w:t>
      </w:r>
      <w:proofErr w:type="spellStart"/>
      <w:r w:rsidRPr="00CC19F7">
        <w:t>ikkje</w:t>
      </w:r>
      <w:proofErr w:type="spellEnd"/>
      <w:r w:rsidRPr="00CC19F7">
        <w:t xml:space="preserve"> blir større enn nødvendig, og at </w:t>
      </w:r>
      <w:proofErr w:type="spellStart"/>
      <w:r w:rsidRPr="00CC19F7">
        <w:t>investeringane</w:t>
      </w:r>
      <w:proofErr w:type="spellEnd"/>
      <w:r w:rsidRPr="00CC19F7">
        <w:t xml:space="preserve"> blir gjennomførte på </w:t>
      </w:r>
      <w:proofErr w:type="spellStart"/>
      <w:r w:rsidRPr="00CC19F7">
        <w:t>ein</w:t>
      </w:r>
      <w:proofErr w:type="spellEnd"/>
      <w:r w:rsidRPr="00CC19F7">
        <w:t xml:space="preserve"> kostnadseffektiv måte. Nye </w:t>
      </w:r>
      <w:proofErr w:type="spellStart"/>
      <w:r w:rsidRPr="00CC19F7">
        <w:t>marknadsløysingar</w:t>
      </w:r>
      <w:proofErr w:type="spellEnd"/>
      <w:r w:rsidRPr="00CC19F7">
        <w:t xml:space="preserve"> og teknologi kan bidra til at straumnettet og fleksibiliteten i systemet blir utnytta </w:t>
      </w:r>
      <w:proofErr w:type="spellStart"/>
      <w:r w:rsidRPr="00CC19F7">
        <w:t>meir</w:t>
      </w:r>
      <w:proofErr w:type="spellEnd"/>
      <w:r w:rsidRPr="00CC19F7">
        <w:t xml:space="preserve"> effektivt. </w:t>
      </w:r>
      <w:proofErr w:type="spellStart"/>
      <w:r w:rsidRPr="00CC19F7">
        <w:t>Investeringane</w:t>
      </w:r>
      <w:proofErr w:type="spellEnd"/>
      <w:r w:rsidRPr="00CC19F7">
        <w:t xml:space="preserve"> i straumnettet blir i </w:t>
      </w:r>
      <w:proofErr w:type="spellStart"/>
      <w:r w:rsidRPr="00CC19F7">
        <w:t>hovudsak</w:t>
      </w:r>
      <w:proofErr w:type="spellEnd"/>
      <w:r w:rsidRPr="00CC19F7">
        <w:t xml:space="preserve"> finansierte gjennom </w:t>
      </w:r>
      <w:proofErr w:type="spellStart"/>
      <w:r w:rsidRPr="00CC19F7">
        <w:t>nettleige</w:t>
      </w:r>
      <w:proofErr w:type="spellEnd"/>
      <w:r w:rsidRPr="00CC19F7">
        <w:t xml:space="preserve"> og anleggsbidrag. Nettselskapa skal utforme </w:t>
      </w:r>
      <w:proofErr w:type="spellStart"/>
      <w:r w:rsidRPr="00CC19F7">
        <w:t>desse</w:t>
      </w:r>
      <w:proofErr w:type="spellEnd"/>
      <w:r w:rsidRPr="00CC19F7">
        <w:t xml:space="preserve"> slik at </w:t>
      </w:r>
      <w:proofErr w:type="spellStart"/>
      <w:r w:rsidRPr="00CC19F7">
        <w:t>dei</w:t>
      </w:r>
      <w:proofErr w:type="spellEnd"/>
      <w:r w:rsidRPr="00CC19F7">
        <w:t xml:space="preserve"> i størst </w:t>
      </w:r>
      <w:proofErr w:type="spellStart"/>
      <w:r w:rsidRPr="00CC19F7">
        <w:t>mogleg</w:t>
      </w:r>
      <w:proofErr w:type="spellEnd"/>
      <w:r w:rsidRPr="00CC19F7">
        <w:t xml:space="preserve"> grad gir signal om effektiv bruk og utvikling av nettet.</w:t>
      </w:r>
    </w:p>
    <w:p w14:paraId="421E01AF" w14:textId="77777777" w:rsidR="00FE02EF" w:rsidRPr="00CC19F7" w:rsidRDefault="00881E58" w:rsidP="00CC19F7">
      <w:proofErr w:type="spellStart"/>
      <w:r w:rsidRPr="00CC19F7">
        <w:t>Utanlandskablane</w:t>
      </w:r>
      <w:proofErr w:type="spellEnd"/>
      <w:r w:rsidRPr="00CC19F7">
        <w:t xml:space="preserve"> har </w:t>
      </w:r>
      <w:proofErr w:type="spellStart"/>
      <w:r w:rsidRPr="00CC19F7">
        <w:t>vore</w:t>
      </w:r>
      <w:proofErr w:type="spellEnd"/>
      <w:r w:rsidRPr="00CC19F7">
        <w:t xml:space="preserve"> viktige for norsk </w:t>
      </w:r>
      <w:proofErr w:type="spellStart"/>
      <w:r w:rsidRPr="00CC19F7">
        <w:t>forsyningssikkerheit</w:t>
      </w:r>
      <w:proofErr w:type="spellEnd"/>
      <w:r w:rsidRPr="00CC19F7">
        <w:t xml:space="preserve"> i </w:t>
      </w:r>
      <w:proofErr w:type="spellStart"/>
      <w:r w:rsidRPr="00CC19F7">
        <w:t>periodar</w:t>
      </w:r>
      <w:proofErr w:type="spellEnd"/>
      <w:r w:rsidRPr="00CC19F7">
        <w:t xml:space="preserve"> med </w:t>
      </w:r>
      <w:proofErr w:type="spellStart"/>
      <w:r w:rsidRPr="00CC19F7">
        <w:t>lågare</w:t>
      </w:r>
      <w:proofErr w:type="spellEnd"/>
      <w:r w:rsidRPr="00CC19F7">
        <w:t xml:space="preserve"> vasskraftproduksjon enn normalt. </w:t>
      </w:r>
      <w:proofErr w:type="spellStart"/>
      <w:r w:rsidRPr="00CC19F7">
        <w:t>Noreg</w:t>
      </w:r>
      <w:proofErr w:type="spellEnd"/>
      <w:r w:rsidRPr="00CC19F7">
        <w:t xml:space="preserve"> har i dag utvekslingskapasitet med Sverige, Danmark, Tyskland, Nederland, Storbritannia, Finland og Russland. Linja til Russland er for tida </w:t>
      </w:r>
      <w:proofErr w:type="spellStart"/>
      <w:r w:rsidRPr="00CC19F7">
        <w:t>ikkje</w:t>
      </w:r>
      <w:proofErr w:type="spellEnd"/>
      <w:r w:rsidRPr="00CC19F7">
        <w:t xml:space="preserve"> i drift. I 2021 </w:t>
      </w:r>
      <w:proofErr w:type="spellStart"/>
      <w:r w:rsidRPr="00CC19F7">
        <w:t>fekk</w:t>
      </w:r>
      <w:proofErr w:type="spellEnd"/>
      <w:r w:rsidRPr="00CC19F7">
        <w:t xml:space="preserve"> </w:t>
      </w:r>
      <w:proofErr w:type="spellStart"/>
      <w:r w:rsidRPr="00CC19F7">
        <w:t>Noreg</w:t>
      </w:r>
      <w:proofErr w:type="spellEnd"/>
      <w:r w:rsidRPr="00CC19F7">
        <w:t xml:space="preserve"> ei </w:t>
      </w:r>
      <w:proofErr w:type="spellStart"/>
      <w:r w:rsidRPr="00CC19F7">
        <w:t>sterkare</w:t>
      </w:r>
      <w:proofErr w:type="spellEnd"/>
      <w:r w:rsidRPr="00CC19F7">
        <w:t xml:space="preserve"> kopling til utlandet gjennom nye </w:t>
      </w:r>
      <w:proofErr w:type="spellStart"/>
      <w:r w:rsidRPr="00CC19F7">
        <w:t>utanlandskablar</w:t>
      </w:r>
      <w:proofErr w:type="spellEnd"/>
      <w:r w:rsidRPr="00CC19F7">
        <w:t xml:space="preserve"> til Tyskland og Storbritannia. </w:t>
      </w:r>
      <w:proofErr w:type="spellStart"/>
      <w:r w:rsidRPr="00CC19F7">
        <w:t>Desse</w:t>
      </w:r>
      <w:proofErr w:type="spellEnd"/>
      <w:r w:rsidRPr="00CC19F7">
        <w:t xml:space="preserve"> </w:t>
      </w:r>
      <w:proofErr w:type="spellStart"/>
      <w:r w:rsidRPr="00CC19F7">
        <w:t>kablane</w:t>
      </w:r>
      <w:proofErr w:type="spellEnd"/>
      <w:r w:rsidRPr="00CC19F7">
        <w:t xml:space="preserve"> har </w:t>
      </w:r>
      <w:proofErr w:type="spellStart"/>
      <w:r w:rsidRPr="00CC19F7">
        <w:t>ein</w:t>
      </w:r>
      <w:proofErr w:type="spellEnd"/>
      <w:r w:rsidRPr="00CC19F7">
        <w:t xml:space="preserve"> samla kapasitet på 2 800 MW. På grunn av </w:t>
      </w:r>
      <w:proofErr w:type="spellStart"/>
      <w:r w:rsidRPr="00CC19F7">
        <w:t>flaskehalsar</w:t>
      </w:r>
      <w:proofErr w:type="spellEnd"/>
      <w:r w:rsidRPr="00CC19F7">
        <w:t xml:space="preserve"> internt i Tyskland er det i </w:t>
      </w:r>
      <w:proofErr w:type="spellStart"/>
      <w:r w:rsidRPr="00CC19F7">
        <w:t>periodar</w:t>
      </w:r>
      <w:proofErr w:type="spellEnd"/>
      <w:r w:rsidRPr="00CC19F7">
        <w:t xml:space="preserve"> avgrensa eksportkapasitet på kabelen mellom </w:t>
      </w:r>
      <w:proofErr w:type="spellStart"/>
      <w:r w:rsidRPr="00CC19F7">
        <w:t>Noreg</w:t>
      </w:r>
      <w:proofErr w:type="spellEnd"/>
      <w:r w:rsidRPr="00CC19F7">
        <w:t xml:space="preserve"> og Tyskland. Tett </w:t>
      </w:r>
      <w:proofErr w:type="spellStart"/>
      <w:r w:rsidRPr="00CC19F7">
        <w:t>tilknyting</w:t>
      </w:r>
      <w:proofErr w:type="spellEnd"/>
      <w:r w:rsidRPr="00CC19F7">
        <w:t xml:space="preserve"> til utlandet </w:t>
      </w:r>
      <w:proofErr w:type="spellStart"/>
      <w:r w:rsidRPr="00CC19F7">
        <w:t>gjer</w:t>
      </w:r>
      <w:proofErr w:type="spellEnd"/>
      <w:r w:rsidRPr="00CC19F7">
        <w:t xml:space="preserve"> også at det norske kraftsystemet blir </w:t>
      </w:r>
      <w:proofErr w:type="spellStart"/>
      <w:r w:rsidRPr="00CC19F7">
        <w:t>påverka</w:t>
      </w:r>
      <w:proofErr w:type="spellEnd"/>
      <w:r w:rsidRPr="00CC19F7">
        <w:t xml:space="preserve"> av </w:t>
      </w:r>
      <w:proofErr w:type="spellStart"/>
      <w:r w:rsidRPr="00CC19F7">
        <w:t>hendingar</w:t>
      </w:r>
      <w:proofErr w:type="spellEnd"/>
      <w:r w:rsidRPr="00CC19F7">
        <w:t xml:space="preserve"> i energisystema rundt oss. Den ekstraordinære situasjonen da Russland strupte gasstilgangen til Europa, med </w:t>
      </w:r>
      <w:proofErr w:type="spellStart"/>
      <w:r w:rsidRPr="00CC19F7">
        <w:t>påfølgande</w:t>
      </w:r>
      <w:proofErr w:type="spellEnd"/>
      <w:r w:rsidRPr="00CC19F7">
        <w:t xml:space="preserve"> høge </w:t>
      </w:r>
      <w:proofErr w:type="spellStart"/>
      <w:r w:rsidRPr="00CC19F7">
        <w:t>straumprisar</w:t>
      </w:r>
      <w:proofErr w:type="spellEnd"/>
      <w:r w:rsidRPr="00CC19F7">
        <w:t xml:space="preserve"> også her heime, er </w:t>
      </w:r>
      <w:proofErr w:type="spellStart"/>
      <w:r w:rsidRPr="00CC19F7">
        <w:t>eit</w:t>
      </w:r>
      <w:proofErr w:type="spellEnd"/>
      <w:r w:rsidRPr="00CC19F7">
        <w:t xml:space="preserve"> eksempel på dette. Regjeringa vil </w:t>
      </w:r>
      <w:proofErr w:type="spellStart"/>
      <w:r w:rsidRPr="00CC19F7">
        <w:t>ikkje</w:t>
      </w:r>
      <w:proofErr w:type="spellEnd"/>
      <w:r w:rsidRPr="00CC19F7">
        <w:t xml:space="preserve"> godkjenne nye </w:t>
      </w:r>
      <w:proofErr w:type="spellStart"/>
      <w:r w:rsidRPr="00CC19F7">
        <w:t>kablar</w:t>
      </w:r>
      <w:proofErr w:type="spellEnd"/>
      <w:r w:rsidRPr="00CC19F7">
        <w:t xml:space="preserve"> til utlandet i denne stortingsperioden.</w:t>
      </w:r>
    </w:p>
    <w:p w14:paraId="14335DD6" w14:textId="77777777" w:rsidR="00FE02EF" w:rsidRPr="00CC19F7" w:rsidRDefault="00881E58" w:rsidP="00CC19F7">
      <w:r w:rsidRPr="00CC19F7">
        <w:t xml:space="preserve">Utviklinga i energibruken blir </w:t>
      </w:r>
      <w:proofErr w:type="spellStart"/>
      <w:r w:rsidRPr="00CC19F7">
        <w:t>påverka</w:t>
      </w:r>
      <w:proofErr w:type="spellEnd"/>
      <w:r w:rsidRPr="00CC19F7">
        <w:t xml:space="preserve"> av langsiktige utviklingstrekk i samfunnet, som samansetning av og nivå på den økonomiske veksten, energieffektivisering og utvikling av </w:t>
      </w:r>
      <w:proofErr w:type="spellStart"/>
      <w:r w:rsidRPr="00CC19F7">
        <w:t>meir</w:t>
      </w:r>
      <w:proofErr w:type="spellEnd"/>
      <w:r w:rsidRPr="00CC19F7">
        <w:t xml:space="preserve"> energieffektiv teknologi, endra busettingsmønster, befolkningsutvikling og </w:t>
      </w:r>
      <w:proofErr w:type="spellStart"/>
      <w:r w:rsidRPr="00CC19F7">
        <w:t>endringar</w:t>
      </w:r>
      <w:proofErr w:type="spellEnd"/>
      <w:r w:rsidRPr="00CC19F7">
        <w:t xml:space="preserve"> i næringsstruktur. </w:t>
      </w:r>
      <w:proofErr w:type="spellStart"/>
      <w:r w:rsidRPr="00CC19F7">
        <w:t>Skattar</w:t>
      </w:r>
      <w:proofErr w:type="spellEnd"/>
      <w:r w:rsidRPr="00CC19F7">
        <w:t xml:space="preserve">, avgifter og direkte </w:t>
      </w:r>
      <w:proofErr w:type="spellStart"/>
      <w:r w:rsidRPr="00CC19F7">
        <w:t>reguleringar</w:t>
      </w:r>
      <w:proofErr w:type="spellEnd"/>
      <w:r w:rsidRPr="00CC19F7">
        <w:t xml:space="preserve"> på energi-, miljø- og klimaområdet vil også </w:t>
      </w:r>
      <w:proofErr w:type="spellStart"/>
      <w:r w:rsidRPr="00CC19F7">
        <w:t>påverke</w:t>
      </w:r>
      <w:proofErr w:type="spellEnd"/>
      <w:r w:rsidRPr="00CC19F7">
        <w:t xml:space="preserve"> energibruken. I tillegg </w:t>
      </w:r>
      <w:proofErr w:type="spellStart"/>
      <w:r w:rsidRPr="00CC19F7">
        <w:t>svingar</w:t>
      </w:r>
      <w:proofErr w:type="spellEnd"/>
      <w:r w:rsidRPr="00CC19F7">
        <w:t xml:space="preserve"> energibruken mellom år på grunn av </w:t>
      </w:r>
      <w:proofErr w:type="spellStart"/>
      <w:r w:rsidRPr="00CC19F7">
        <w:t>temperaturvariasjonar</w:t>
      </w:r>
      <w:proofErr w:type="spellEnd"/>
      <w:r w:rsidRPr="00CC19F7">
        <w:t>.</w:t>
      </w:r>
    </w:p>
    <w:p w14:paraId="11A38441" w14:textId="77777777" w:rsidR="00FE02EF" w:rsidRPr="00CC19F7" w:rsidRDefault="00881E58" w:rsidP="00CC19F7">
      <w:r w:rsidRPr="00CC19F7">
        <w:t xml:space="preserve">Elektrifisering av energibruken er ei utvikling som </w:t>
      </w:r>
      <w:proofErr w:type="spellStart"/>
      <w:r w:rsidRPr="00CC19F7">
        <w:t>pregar</w:t>
      </w:r>
      <w:proofErr w:type="spellEnd"/>
      <w:r w:rsidRPr="00CC19F7">
        <w:t xml:space="preserve"> </w:t>
      </w:r>
      <w:proofErr w:type="spellStart"/>
      <w:r w:rsidRPr="00CC19F7">
        <w:t>dei</w:t>
      </w:r>
      <w:proofErr w:type="spellEnd"/>
      <w:r w:rsidRPr="00CC19F7">
        <w:t xml:space="preserve"> fleste land etter som </w:t>
      </w:r>
      <w:proofErr w:type="spellStart"/>
      <w:r w:rsidRPr="00CC19F7">
        <w:t>eit</w:t>
      </w:r>
      <w:proofErr w:type="spellEnd"/>
      <w:r w:rsidRPr="00CC19F7">
        <w:t xml:space="preserve"> </w:t>
      </w:r>
      <w:proofErr w:type="spellStart"/>
      <w:r w:rsidRPr="00CC19F7">
        <w:t>aukande</w:t>
      </w:r>
      <w:proofErr w:type="spellEnd"/>
      <w:r w:rsidRPr="00CC19F7">
        <w:t xml:space="preserve"> velferdsnivå og teknologiutviklinga </w:t>
      </w:r>
      <w:proofErr w:type="spellStart"/>
      <w:r w:rsidRPr="00CC19F7">
        <w:t>legg</w:t>
      </w:r>
      <w:proofErr w:type="spellEnd"/>
      <w:r w:rsidRPr="00CC19F7">
        <w:t xml:space="preserve"> til rette for bruk av </w:t>
      </w:r>
      <w:proofErr w:type="spellStart"/>
      <w:r w:rsidRPr="00CC19F7">
        <w:t>straum</w:t>
      </w:r>
      <w:proofErr w:type="spellEnd"/>
      <w:r w:rsidRPr="00CC19F7">
        <w:t xml:space="preserve"> på nye område. Elektrisitet blir tatt i bruk i stadig større omfang i både </w:t>
      </w:r>
      <w:proofErr w:type="spellStart"/>
      <w:r w:rsidRPr="00CC19F7">
        <w:t>hushaldningar</w:t>
      </w:r>
      <w:proofErr w:type="spellEnd"/>
      <w:r w:rsidRPr="00CC19F7">
        <w:t xml:space="preserve">, i industrien og i anna næringsliv. I åra som kjem, vil </w:t>
      </w:r>
      <w:proofErr w:type="spellStart"/>
      <w:r w:rsidRPr="00CC19F7">
        <w:t>fleire</w:t>
      </w:r>
      <w:proofErr w:type="spellEnd"/>
      <w:r w:rsidRPr="00CC19F7">
        <w:t xml:space="preserve"> </w:t>
      </w:r>
      <w:proofErr w:type="spellStart"/>
      <w:r w:rsidRPr="00CC19F7">
        <w:t>sektorar</w:t>
      </w:r>
      <w:proofErr w:type="spellEnd"/>
      <w:r w:rsidRPr="00CC19F7">
        <w:t xml:space="preserve"> i norsk økonomi erstatte bruk av fossil energi med fornybar energi. Dette </w:t>
      </w:r>
      <w:proofErr w:type="spellStart"/>
      <w:r w:rsidRPr="00CC19F7">
        <w:t>aukar</w:t>
      </w:r>
      <w:proofErr w:type="spellEnd"/>
      <w:r w:rsidRPr="00CC19F7">
        <w:t xml:space="preserve"> behovet for elektrisitet, men fører også til </w:t>
      </w:r>
      <w:proofErr w:type="spellStart"/>
      <w:r w:rsidRPr="00CC19F7">
        <w:t>meir</w:t>
      </w:r>
      <w:proofErr w:type="spellEnd"/>
      <w:r w:rsidRPr="00CC19F7">
        <w:t xml:space="preserve"> effektiv bruk av energi.</w:t>
      </w:r>
    </w:p>
    <w:p w14:paraId="49157D37" w14:textId="77777777" w:rsidR="00FE02EF" w:rsidRPr="00CC19F7" w:rsidRDefault="00881E58" w:rsidP="00CC19F7">
      <w:proofErr w:type="spellStart"/>
      <w:r w:rsidRPr="00CC19F7">
        <w:t>Ifølgje</w:t>
      </w:r>
      <w:proofErr w:type="spellEnd"/>
      <w:r w:rsidRPr="00CC19F7">
        <w:t xml:space="preserve"> tal </w:t>
      </w:r>
      <w:proofErr w:type="spellStart"/>
      <w:r w:rsidRPr="00CC19F7">
        <w:t>frå</w:t>
      </w:r>
      <w:proofErr w:type="spellEnd"/>
      <w:r w:rsidRPr="00CC19F7">
        <w:t xml:space="preserve"> SSB, var </w:t>
      </w:r>
      <w:proofErr w:type="spellStart"/>
      <w:r w:rsidRPr="00CC19F7">
        <w:t>innanlands</w:t>
      </w:r>
      <w:proofErr w:type="spellEnd"/>
      <w:r w:rsidRPr="00CC19F7">
        <w:t xml:space="preserve"> energibruk på om lag 218 </w:t>
      </w:r>
      <w:proofErr w:type="spellStart"/>
      <w:r w:rsidRPr="00CC19F7">
        <w:t>TWh</w:t>
      </w:r>
      <w:proofErr w:type="spellEnd"/>
      <w:r w:rsidRPr="00CC19F7">
        <w:t xml:space="preserve"> i 2022, </w:t>
      </w:r>
      <w:proofErr w:type="spellStart"/>
      <w:r w:rsidRPr="00CC19F7">
        <w:t>noko</w:t>
      </w:r>
      <w:proofErr w:type="spellEnd"/>
      <w:r w:rsidRPr="00CC19F7">
        <w:t xml:space="preserve"> som svarer til </w:t>
      </w:r>
      <w:proofErr w:type="spellStart"/>
      <w:r w:rsidRPr="00CC19F7">
        <w:t>ein</w:t>
      </w:r>
      <w:proofErr w:type="spellEnd"/>
      <w:r w:rsidRPr="00CC19F7">
        <w:t xml:space="preserve"> reduksjon på i underkant av 4 prosent </w:t>
      </w:r>
      <w:proofErr w:type="spellStart"/>
      <w:r w:rsidRPr="00CC19F7">
        <w:t>frå</w:t>
      </w:r>
      <w:proofErr w:type="spellEnd"/>
      <w:r w:rsidRPr="00CC19F7">
        <w:t xml:space="preserve"> året før. </w:t>
      </w:r>
      <w:proofErr w:type="spellStart"/>
      <w:r w:rsidRPr="00CC19F7">
        <w:t>Sidan</w:t>
      </w:r>
      <w:proofErr w:type="spellEnd"/>
      <w:r w:rsidRPr="00CC19F7">
        <w:t xml:space="preserve"> 1990 har </w:t>
      </w:r>
      <w:proofErr w:type="spellStart"/>
      <w:r w:rsidRPr="00CC19F7">
        <w:t>innanlands</w:t>
      </w:r>
      <w:proofErr w:type="spellEnd"/>
      <w:r w:rsidRPr="00CC19F7">
        <w:t xml:space="preserve"> </w:t>
      </w:r>
      <w:proofErr w:type="spellStart"/>
      <w:r w:rsidRPr="00CC19F7">
        <w:t>årleg</w:t>
      </w:r>
      <w:proofErr w:type="spellEnd"/>
      <w:r w:rsidRPr="00CC19F7">
        <w:t xml:space="preserve"> energiforbruk </w:t>
      </w:r>
      <w:proofErr w:type="spellStart"/>
      <w:r w:rsidRPr="00CC19F7">
        <w:t>auka</w:t>
      </w:r>
      <w:proofErr w:type="spellEnd"/>
      <w:r w:rsidRPr="00CC19F7">
        <w:t xml:space="preserve"> med 18 prosent, og var i perioden 2011–2022 i snitt på om lag 217 </w:t>
      </w:r>
      <w:proofErr w:type="spellStart"/>
      <w:r w:rsidRPr="00CC19F7">
        <w:t>TWh</w:t>
      </w:r>
      <w:proofErr w:type="spellEnd"/>
      <w:r w:rsidRPr="00CC19F7">
        <w:t xml:space="preserve">. </w:t>
      </w:r>
      <w:proofErr w:type="spellStart"/>
      <w:r w:rsidRPr="00CC19F7">
        <w:t>Noko</w:t>
      </w:r>
      <w:proofErr w:type="spellEnd"/>
      <w:r w:rsidRPr="00CC19F7">
        <w:t xml:space="preserve"> over halvparten av det totale energiforbruket i 2022 (133 </w:t>
      </w:r>
      <w:proofErr w:type="spellStart"/>
      <w:r w:rsidRPr="00CC19F7">
        <w:t>TWh</w:t>
      </w:r>
      <w:proofErr w:type="spellEnd"/>
      <w:r w:rsidRPr="00CC19F7">
        <w:t xml:space="preserve">) kom </w:t>
      </w:r>
      <w:proofErr w:type="spellStart"/>
      <w:r w:rsidRPr="00CC19F7">
        <w:t>frå</w:t>
      </w:r>
      <w:proofErr w:type="spellEnd"/>
      <w:r w:rsidRPr="00CC19F7">
        <w:t xml:space="preserve"> elektrisitet. Industri, transport, </w:t>
      </w:r>
      <w:proofErr w:type="spellStart"/>
      <w:r w:rsidRPr="00CC19F7">
        <w:t>hushaldningar</w:t>
      </w:r>
      <w:proofErr w:type="spellEnd"/>
      <w:r w:rsidRPr="00CC19F7">
        <w:t xml:space="preserve"> og privat og </w:t>
      </w:r>
      <w:proofErr w:type="spellStart"/>
      <w:r w:rsidRPr="00CC19F7">
        <w:t>offentleg</w:t>
      </w:r>
      <w:proofErr w:type="spellEnd"/>
      <w:r w:rsidRPr="00CC19F7">
        <w:t xml:space="preserve"> </w:t>
      </w:r>
      <w:proofErr w:type="spellStart"/>
      <w:r w:rsidRPr="00CC19F7">
        <w:t>tenesteyting</w:t>
      </w:r>
      <w:proofErr w:type="spellEnd"/>
      <w:r w:rsidRPr="00CC19F7">
        <w:t xml:space="preserve"> stod for i overkant av 97 prosent av det totale </w:t>
      </w:r>
      <w:proofErr w:type="spellStart"/>
      <w:r w:rsidRPr="00CC19F7">
        <w:t>innanlandske</w:t>
      </w:r>
      <w:proofErr w:type="spellEnd"/>
      <w:r w:rsidRPr="00CC19F7">
        <w:t xml:space="preserve"> energiforbruket, med </w:t>
      </w:r>
      <w:proofErr w:type="spellStart"/>
      <w:r w:rsidRPr="00CC19F7">
        <w:t>høvesvis</w:t>
      </w:r>
      <w:proofErr w:type="spellEnd"/>
      <w:r w:rsidRPr="00CC19F7">
        <w:t xml:space="preserve"> 76, 56, 45 og 34 </w:t>
      </w:r>
      <w:proofErr w:type="spellStart"/>
      <w:r w:rsidRPr="00CC19F7">
        <w:t>TWh</w:t>
      </w:r>
      <w:proofErr w:type="spellEnd"/>
      <w:r w:rsidRPr="00CC19F7">
        <w:t>.</w:t>
      </w:r>
    </w:p>
    <w:p w14:paraId="58718B62" w14:textId="77777777" w:rsidR="00FE02EF" w:rsidRPr="00CC19F7" w:rsidRDefault="00881E58" w:rsidP="00CC19F7">
      <w:proofErr w:type="spellStart"/>
      <w:r w:rsidRPr="00CC19F7">
        <w:t>Noreg</w:t>
      </w:r>
      <w:proofErr w:type="spellEnd"/>
      <w:r w:rsidRPr="00CC19F7">
        <w:t xml:space="preserve"> har </w:t>
      </w:r>
      <w:proofErr w:type="spellStart"/>
      <w:r w:rsidRPr="00CC19F7">
        <w:t>eit</w:t>
      </w:r>
      <w:proofErr w:type="spellEnd"/>
      <w:r w:rsidRPr="00CC19F7">
        <w:t xml:space="preserve"> mål om 30 prosent </w:t>
      </w:r>
      <w:proofErr w:type="spellStart"/>
      <w:r w:rsidRPr="00CC19F7">
        <w:t>forbetring</w:t>
      </w:r>
      <w:proofErr w:type="spellEnd"/>
      <w:r w:rsidRPr="00CC19F7">
        <w:t xml:space="preserve"> i energiintensiteten </w:t>
      </w:r>
      <w:proofErr w:type="spellStart"/>
      <w:r w:rsidRPr="00CC19F7">
        <w:t>innan</w:t>
      </w:r>
      <w:proofErr w:type="spellEnd"/>
      <w:r w:rsidRPr="00CC19F7">
        <w:t xml:space="preserve"> 2030, </w:t>
      </w:r>
      <w:proofErr w:type="spellStart"/>
      <w:r w:rsidRPr="00CC19F7">
        <w:t>samanlikna</w:t>
      </w:r>
      <w:proofErr w:type="spellEnd"/>
      <w:r w:rsidRPr="00CC19F7">
        <w:t xml:space="preserve"> med 2015. </w:t>
      </w:r>
      <w:proofErr w:type="spellStart"/>
      <w:r w:rsidRPr="00CC19F7">
        <w:t>Frå</w:t>
      </w:r>
      <w:proofErr w:type="spellEnd"/>
      <w:r w:rsidRPr="00CC19F7">
        <w:t xml:space="preserve"> 2015 til 2022 har </w:t>
      </w:r>
      <w:proofErr w:type="spellStart"/>
      <w:r w:rsidRPr="00CC19F7">
        <w:t>innanlandsk</w:t>
      </w:r>
      <w:proofErr w:type="spellEnd"/>
      <w:r w:rsidRPr="00CC19F7">
        <w:t xml:space="preserve"> energiforbruk </w:t>
      </w:r>
      <w:proofErr w:type="spellStart"/>
      <w:r w:rsidRPr="00CC19F7">
        <w:t>auka</w:t>
      </w:r>
      <w:proofErr w:type="spellEnd"/>
      <w:r w:rsidRPr="00CC19F7">
        <w:t xml:space="preserve"> med 1,7 prosent. I same periode har BNP for Fastlands-</w:t>
      </w:r>
      <w:proofErr w:type="spellStart"/>
      <w:r w:rsidRPr="00CC19F7">
        <w:t>Noreg</w:t>
      </w:r>
      <w:proofErr w:type="spellEnd"/>
      <w:r w:rsidRPr="00CC19F7">
        <w:t xml:space="preserve"> </w:t>
      </w:r>
      <w:proofErr w:type="spellStart"/>
      <w:r w:rsidRPr="00CC19F7">
        <w:t>auka</w:t>
      </w:r>
      <w:proofErr w:type="spellEnd"/>
      <w:r w:rsidRPr="00CC19F7">
        <w:t xml:space="preserve"> med 13,3 prosent, </w:t>
      </w:r>
      <w:proofErr w:type="spellStart"/>
      <w:r w:rsidRPr="00CC19F7">
        <w:t>noko</w:t>
      </w:r>
      <w:proofErr w:type="spellEnd"/>
      <w:r w:rsidRPr="00CC19F7">
        <w:t xml:space="preserve"> som har gitt ei </w:t>
      </w:r>
      <w:proofErr w:type="spellStart"/>
      <w:r w:rsidRPr="00CC19F7">
        <w:t>forbetring</w:t>
      </w:r>
      <w:proofErr w:type="spellEnd"/>
      <w:r w:rsidRPr="00CC19F7">
        <w:t xml:space="preserve"> i energiintensiteten på rundt 10 prosent </w:t>
      </w:r>
      <w:proofErr w:type="spellStart"/>
      <w:r w:rsidRPr="00CC19F7">
        <w:t>sidan</w:t>
      </w:r>
      <w:proofErr w:type="spellEnd"/>
      <w:r w:rsidRPr="00CC19F7">
        <w:t xml:space="preserve"> 2015.</w:t>
      </w:r>
    </w:p>
    <w:p w14:paraId="16FD17BB" w14:textId="77777777" w:rsidR="00FE02EF" w:rsidRPr="00CC19F7" w:rsidRDefault="00881E58" w:rsidP="00CC19F7">
      <w:proofErr w:type="spellStart"/>
      <w:r w:rsidRPr="00CC19F7">
        <w:t>Noreg</w:t>
      </w:r>
      <w:proofErr w:type="spellEnd"/>
      <w:r w:rsidRPr="00CC19F7">
        <w:t xml:space="preserve"> har store </w:t>
      </w:r>
      <w:proofErr w:type="spellStart"/>
      <w:r w:rsidRPr="00CC19F7">
        <w:t>vassressursar</w:t>
      </w:r>
      <w:proofErr w:type="spellEnd"/>
      <w:r w:rsidRPr="00CC19F7">
        <w:t xml:space="preserve"> og </w:t>
      </w:r>
      <w:proofErr w:type="spellStart"/>
      <w:r w:rsidRPr="00CC19F7">
        <w:t>ein</w:t>
      </w:r>
      <w:proofErr w:type="spellEnd"/>
      <w:r w:rsidRPr="00CC19F7">
        <w:t xml:space="preserve"> verdifull vassdragsnatur. Vasskrafta er den </w:t>
      </w:r>
      <w:proofErr w:type="spellStart"/>
      <w:r w:rsidRPr="00CC19F7">
        <w:t>viktigaste</w:t>
      </w:r>
      <w:proofErr w:type="spellEnd"/>
      <w:r w:rsidRPr="00CC19F7">
        <w:t xml:space="preserve"> økonomiske utnyttinga av </w:t>
      </w:r>
      <w:proofErr w:type="spellStart"/>
      <w:r w:rsidRPr="00CC19F7">
        <w:t>vassressursane</w:t>
      </w:r>
      <w:proofErr w:type="spellEnd"/>
      <w:r w:rsidRPr="00CC19F7">
        <w:t xml:space="preserve"> våre, og ho gir viktig fleksibilitet i den norske kraftforsyninga. Det har stor betydning for kraftsystemet at vasskrafta som er bygd ut, blir </w:t>
      </w:r>
      <w:proofErr w:type="spellStart"/>
      <w:r w:rsidRPr="00CC19F7">
        <w:t>halde</w:t>
      </w:r>
      <w:proofErr w:type="spellEnd"/>
      <w:r w:rsidRPr="00CC19F7">
        <w:t xml:space="preserve"> oppe og utvikla </w:t>
      </w:r>
      <w:proofErr w:type="spellStart"/>
      <w:r w:rsidRPr="00CC19F7">
        <w:t>vidare</w:t>
      </w:r>
      <w:proofErr w:type="spellEnd"/>
      <w:r w:rsidRPr="00CC19F7">
        <w:t xml:space="preserve">. Det skal samtidig </w:t>
      </w:r>
      <w:proofErr w:type="spellStart"/>
      <w:r w:rsidRPr="00CC19F7">
        <w:t>leggast</w:t>
      </w:r>
      <w:proofErr w:type="spellEnd"/>
      <w:r w:rsidRPr="00CC19F7">
        <w:t xml:space="preserve"> til rette for </w:t>
      </w:r>
      <w:proofErr w:type="spellStart"/>
      <w:r w:rsidRPr="00CC19F7">
        <w:t>miljøforbetringar</w:t>
      </w:r>
      <w:proofErr w:type="spellEnd"/>
      <w:r w:rsidRPr="00CC19F7">
        <w:t xml:space="preserve"> i vassdrag med </w:t>
      </w:r>
      <w:proofErr w:type="spellStart"/>
      <w:r w:rsidRPr="00CC19F7">
        <w:t>eksisterande</w:t>
      </w:r>
      <w:proofErr w:type="spellEnd"/>
      <w:r w:rsidRPr="00CC19F7">
        <w:t xml:space="preserve"> </w:t>
      </w:r>
      <w:proofErr w:type="spellStart"/>
      <w:r w:rsidRPr="00CC19F7">
        <w:t>vasskraftutbyggingar</w:t>
      </w:r>
      <w:proofErr w:type="spellEnd"/>
      <w:r w:rsidRPr="00CC19F7">
        <w:t xml:space="preserve">, basert på </w:t>
      </w:r>
      <w:proofErr w:type="spellStart"/>
      <w:r w:rsidRPr="00CC19F7">
        <w:t>avvegingar</w:t>
      </w:r>
      <w:proofErr w:type="spellEnd"/>
      <w:r w:rsidRPr="00CC19F7">
        <w:t xml:space="preserve"> av </w:t>
      </w:r>
      <w:proofErr w:type="spellStart"/>
      <w:r w:rsidRPr="00CC19F7">
        <w:t>samfunnsnytte</w:t>
      </w:r>
      <w:proofErr w:type="spellEnd"/>
      <w:r w:rsidRPr="00CC19F7">
        <w:t xml:space="preserve"> og ulemper. I </w:t>
      </w:r>
      <w:proofErr w:type="spellStart"/>
      <w:r w:rsidRPr="00CC19F7">
        <w:t>dei</w:t>
      </w:r>
      <w:proofErr w:type="spellEnd"/>
      <w:r w:rsidRPr="00CC19F7">
        <w:t xml:space="preserve"> </w:t>
      </w:r>
      <w:proofErr w:type="spellStart"/>
      <w:r w:rsidRPr="00CC19F7">
        <w:t>nærmaste</w:t>
      </w:r>
      <w:proofErr w:type="spellEnd"/>
      <w:r w:rsidRPr="00CC19F7">
        <w:t xml:space="preserve"> åra vil </w:t>
      </w:r>
      <w:proofErr w:type="spellStart"/>
      <w:r w:rsidRPr="00CC19F7">
        <w:t>fleire</w:t>
      </w:r>
      <w:proofErr w:type="spellEnd"/>
      <w:r w:rsidRPr="00CC19F7">
        <w:t xml:space="preserve"> saker om revisjon av vilkår i eldre </w:t>
      </w:r>
      <w:proofErr w:type="spellStart"/>
      <w:r w:rsidRPr="00CC19F7">
        <w:t>vassdragsreguleringskonsesjonar</w:t>
      </w:r>
      <w:proofErr w:type="spellEnd"/>
      <w:r w:rsidRPr="00CC19F7">
        <w:t xml:space="preserve"> bli behandla.</w:t>
      </w:r>
    </w:p>
    <w:p w14:paraId="06840E58" w14:textId="77777777" w:rsidR="00FE02EF" w:rsidRPr="00CC19F7" w:rsidRDefault="00881E58" w:rsidP="00CC19F7">
      <w:r w:rsidRPr="00CC19F7">
        <w:t xml:space="preserve">Å sørge for </w:t>
      </w:r>
      <w:proofErr w:type="spellStart"/>
      <w:r w:rsidRPr="00CC19F7">
        <w:t>sikkerheita</w:t>
      </w:r>
      <w:proofErr w:type="spellEnd"/>
      <w:r w:rsidRPr="00CC19F7">
        <w:t xml:space="preserve"> ved vassdragsanlegg er ei viktig </w:t>
      </w:r>
      <w:proofErr w:type="spellStart"/>
      <w:r w:rsidRPr="00CC19F7">
        <w:t>oppgåve</w:t>
      </w:r>
      <w:proofErr w:type="spellEnd"/>
      <w:r w:rsidRPr="00CC19F7">
        <w:t xml:space="preserve">. </w:t>
      </w:r>
      <w:proofErr w:type="spellStart"/>
      <w:r w:rsidRPr="00CC19F7">
        <w:t>Brot</w:t>
      </w:r>
      <w:proofErr w:type="spellEnd"/>
      <w:r w:rsidRPr="00CC19F7">
        <w:t xml:space="preserve"> på </w:t>
      </w:r>
      <w:proofErr w:type="spellStart"/>
      <w:r w:rsidRPr="00CC19F7">
        <w:t>dammar</w:t>
      </w:r>
      <w:proofErr w:type="spellEnd"/>
      <w:r w:rsidRPr="00CC19F7">
        <w:t xml:space="preserve"> kan ha </w:t>
      </w:r>
      <w:proofErr w:type="spellStart"/>
      <w:r w:rsidRPr="00CC19F7">
        <w:t>alvorlege</w:t>
      </w:r>
      <w:proofErr w:type="spellEnd"/>
      <w:r w:rsidRPr="00CC19F7">
        <w:t xml:space="preserve"> </w:t>
      </w:r>
      <w:proofErr w:type="spellStart"/>
      <w:r w:rsidRPr="00CC19F7">
        <w:t>konsekvensar</w:t>
      </w:r>
      <w:proofErr w:type="spellEnd"/>
      <w:r w:rsidRPr="00CC19F7">
        <w:t xml:space="preserve">, og det er derfor viktig at NVE fører </w:t>
      </w:r>
      <w:proofErr w:type="spellStart"/>
      <w:r w:rsidRPr="00CC19F7">
        <w:t>eit</w:t>
      </w:r>
      <w:proofErr w:type="spellEnd"/>
      <w:r w:rsidRPr="00CC19F7">
        <w:t xml:space="preserve"> effektivt tilsyn basert på gode </w:t>
      </w:r>
      <w:proofErr w:type="spellStart"/>
      <w:r w:rsidRPr="00CC19F7">
        <w:t>risikovurderingar</w:t>
      </w:r>
      <w:proofErr w:type="spellEnd"/>
      <w:r w:rsidRPr="00CC19F7">
        <w:t xml:space="preserve">. </w:t>
      </w:r>
      <w:proofErr w:type="spellStart"/>
      <w:r w:rsidRPr="00CC19F7">
        <w:t>Klimaendringar</w:t>
      </w:r>
      <w:proofErr w:type="spellEnd"/>
      <w:r w:rsidRPr="00CC19F7">
        <w:t xml:space="preserve"> </w:t>
      </w:r>
      <w:proofErr w:type="spellStart"/>
      <w:r w:rsidRPr="00CC19F7">
        <w:t>forsterkar</w:t>
      </w:r>
      <w:proofErr w:type="spellEnd"/>
      <w:r w:rsidRPr="00CC19F7">
        <w:t xml:space="preserve"> </w:t>
      </w:r>
      <w:proofErr w:type="spellStart"/>
      <w:r w:rsidRPr="00CC19F7">
        <w:t>utfordringane</w:t>
      </w:r>
      <w:proofErr w:type="spellEnd"/>
      <w:r w:rsidRPr="00CC19F7">
        <w:t xml:space="preserve"> knytte til </w:t>
      </w:r>
      <w:proofErr w:type="spellStart"/>
      <w:r w:rsidRPr="00CC19F7">
        <w:t>damsikkerheit</w:t>
      </w:r>
      <w:proofErr w:type="spellEnd"/>
      <w:r w:rsidRPr="00CC19F7">
        <w:t>.</w:t>
      </w:r>
    </w:p>
    <w:p w14:paraId="1326FC4B" w14:textId="77777777" w:rsidR="00FE02EF" w:rsidRPr="00CC19F7" w:rsidRDefault="00881E58" w:rsidP="00CC19F7">
      <w:proofErr w:type="spellStart"/>
      <w:r w:rsidRPr="00CC19F7">
        <w:t>Flaum</w:t>
      </w:r>
      <w:proofErr w:type="spellEnd"/>
      <w:r w:rsidRPr="00CC19F7">
        <w:t xml:space="preserve"> og skred kan føre til skade på liv og helse, </w:t>
      </w:r>
      <w:proofErr w:type="spellStart"/>
      <w:r w:rsidRPr="00CC19F7">
        <w:t>eigedom</w:t>
      </w:r>
      <w:proofErr w:type="spellEnd"/>
      <w:r w:rsidRPr="00CC19F7">
        <w:t xml:space="preserve">, infrastruktur og miljø. </w:t>
      </w:r>
      <w:proofErr w:type="spellStart"/>
      <w:r w:rsidRPr="00CC19F7">
        <w:t>Noreg</w:t>
      </w:r>
      <w:proofErr w:type="spellEnd"/>
      <w:r w:rsidRPr="00CC19F7">
        <w:t xml:space="preserve"> har </w:t>
      </w:r>
      <w:proofErr w:type="spellStart"/>
      <w:r w:rsidRPr="00CC19F7">
        <w:t>dei</w:t>
      </w:r>
      <w:proofErr w:type="spellEnd"/>
      <w:r w:rsidRPr="00CC19F7">
        <w:t xml:space="preserve"> siste åra opplevd </w:t>
      </w:r>
      <w:proofErr w:type="spellStart"/>
      <w:r w:rsidRPr="00CC19F7">
        <w:t>fleire</w:t>
      </w:r>
      <w:proofErr w:type="spellEnd"/>
      <w:r w:rsidRPr="00CC19F7">
        <w:t xml:space="preserve"> </w:t>
      </w:r>
      <w:proofErr w:type="spellStart"/>
      <w:r w:rsidRPr="00CC19F7">
        <w:t>flaum</w:t>
      </w:r>
      <w:proofErr w:type="spellEnd"/>
      <w:r w:rsidRPr="00CC19F7">
        <w:t xml:space="preserve">- og </w:t>
      </w:r>
      <w:proofErr w:type="spellStart"/>
      <w:r w:rsidRPr="00CC19F7">
        <w:t>skredhendingar</w:t>
      </w:r>
      <w:proofErr w:type="spellEnd"/>
      <w:r w:rsidRPr="00CC19F7">
        <w:t xml:space="preserve"> med </w:t>
      </w:r>
      <w:proofErr w:type="spellStart"/>
      <w:r w:rsidRPr="00CC19F7">
        <w:t>omfattande</w:t>
      </w:r>
      <w:proofErr w:type="spellEnd"/>
      <w:r w:rsidRPr="00CC19F7">
        <w:t xml:space="preserve"> </w:t>
      </w:r>
      <w:proofErr w:type="spellStart"/>
      <w:r w:rsidRPr="00CC19F7">
        <w:t>skadar</w:t>
      </w:r>
      <w:proofErr w:type="spellEnd"/>
      <w:r w:rsidRPr="00CC19F7">
        <w:t xml:space="preserve">. I august 2023 førte </w:t>
      </w:r>
      <w:proofErr w:type="spellStart"/>
      <w:r w:rsidRPr="00CC19F7">
        <w:t>ekstremvêret</w:t>
      </w:r>
      <w:proofErr w:type="spellEnd"/>
      <w:r w:rsidRPr="00CC19F7">
        <w:t xml:space="preserve"> Hans til store </w:t>
      </w:r>
      <w:proofErr w:type="spellStart"/>
      <w:r w:rsidRPr="00CC19F7">
        <w:t>øydeleggingar</w:t>
      </w:r>
      <w:proofErr w:type="spellEnd"/>
      <w:r w:rsidRPr="00CC19F7">
        <w:t xml:space="preserve"> på Austlandet, </w:t>
      </w:r>
      <w:proofErr w:type="spellStart"/>
      <w:r w:rsidRPr="00CC19F7">
        <w:t>særleg</w:t>
      </w:r>
      <w:proofErr w:type="spellEnd"/>
      <w:r w:rsidRPr="00CC19F7">
        <w:t xml:space="preserve"> i Viken og i Innlandet fylke. </w:t>
      </w:r>
      <w:proofErr w:type="spellStart"/>
      <w:r w:rsidRPr="00CC19F7">
        <w:t>Farekartleggingar</w:t>
      </w:r>
      <w:proofErr w:type="spellEnd"/>
      <w:r w:rsidRPr="00CC19F7">
        <w:t xml:space="preserve"> har avdekt </w:t>
      </w:r>
      <w:proofErr w:type="spellStart"/>
      <w:r w:rsidRPr="00CC19F7">
        <w:t>fleire</w:t>
      </w:r>
      <w:proofErr w:type="spellEnd"/>
      <w:r w:rsidRPr="00CC19F7">
        <w:t xml:space="preserve"> fareområde og bidratt til større </w:t>
      </w:r>
      <w:proofErr w:type="spellStart"/>
      <w:r w:rsidRPr="00CC19F7">
        <w:t>bevisstheit</w:t>
      </w:r>
      <w:proofErr w:type="spellEnd"/>
      <w:r w:rsidRPr="00CC19F7">
        <w:t xml:space="preserve"> i samfunnet om risiko. </w:t>
      </w:r>
      <w:proofErr w:type="spellStart"/>
      <w:r w:rsidRPr="00CC19F7">
        <w:t>Ein</w:t>
      </w:r>
      <w:proofErr w:type="spellEnd"/>
      <w:r w:rsidRPr="00CC19F7">
        <w:t xml:space="preserve"> </w:t>
      </w:r>
      <w:proofErr w:type="spellStart"/>
      <w:r w:rsidRPr="00CC19F7">
        <w:t>auke</w:t>
      </w:r>
      <w:proofErr w:type="spellEnd"/>
      <w:r w:rsidRPr="00CC19F7">
        <w:t xml:space="preserve"> i </w:t>
      </w:r>
      <w:proofErr w:type="spellStart"/>
      <w:r w:rsidRPr="00CC19F7">
        <w:t>folketalet</w:t>
      </w:r>
      <w:proofErr w:type="spellEnd"/>
      <w:r w:rsidRPr="00CC19F7">
        <w:t xml:space="preserve"> og økonomisk vekst bidrar til </w:t>
      </w:r>
      <w:proofErr w:type="spellStart"/>
      <w:r w:rsidRPr="00CC19F7">
        <w:t>eit</w:t>
      </w:r>
      <w:proofErr w:type="spellEnd"/>
      <w:r w:rsidRPr="00CC19F7">
        <w:t xml:space="preserve"> </w:t>
      </w:r>
      <w:proofErr w:type="spellStart"/>
      <w:r w:rsidRPr="00CC19F7">
        <w:t>veksande</w:t>
      </w:r>
      <w:proofErr w:type="spellEnd"/>
      <w:r w:rsidRPr="00CC19F7">
        <w:t xml:space="preserve"> skadepotensial. </w:t>
      </w:r>
      <w:proofErr w:type="spellStart"/>
      <w:r w:rsidRPr="00CC19F7">
        <w:t>Klimaendringar</w:t>
      </w:r>
      <w:proofErr w:type="spellEnd"/>
      <w:r w:rsidRPr="00CC19F7">
        <w:t xml:space="preserve"> vil gi </w:t>
      </w:r>
      <w:proofErr w:type="spellStart"/>
      <w:r w:rsidRPr="00CC19F7">
        <w:t>meir</w:t>
      </w:r>
      <w:proofErr w:type="spellEnd"/>
      <w:r w:rsidRPr="00CC19F7">
        <w:t xml:space="preserve"> </w:t>
      </w:r>
      <w:proofErr w:type="spellStart"/>
      <w:r w:rsidRPr="00CC19F7">
        <w:t>ekstremvêr</w:t>
      </w:r>
      <w:proofErr w:type="spellEnd"/>
      <w:r w:rsidRPr="00CC19F7">
        <w:t xml:space="preserve"> og </w:t>
      </w:r>
      <w:proofErr w:type="spellStart"/>
      <w:r w:rsidRPr="00CC19F7">
        <w:t>fleire</w:t>
      </w:r>
      <w:proofErr w:type="spellEnd"/>
      <w:r w:rsidRPr="00CC19F7">
        <w:t xml:space="preserve"> </w:t>
      </w:r>
      <w:proofErr w:type="spellStart"/>
      <w:r w:rsidRPr="00CC19F7">
        <w:t>flaum</w:t>
      </w:r>
      <w:proofErr w:type="spellEnd"/>
      <w:r w:rsidRPr="00CC19F7">
        <w:t xml:space="preserve">- og </w:t>
      </w:r>
      <w:proofErr w:type="spellStart"/>
      <w:r w:rsidRPr="00CC19F7">
        <w:t>skredhendingar</w:t>
      </w:r>
      <w:proofErr w:type="spellEnd"/>
      <w:r w:rsidRPr="00CC19F7">
        <w:t>.</w:t>
      </w:r>
    </w:p>
    <w:p w14:paraId="59A9972C" w14:textId="77777777" w:rsidR="00FE02EF" w:rsidRPr="00CC19F7" w:rsidRDefault="00881E58" w:rsidP="00CC19F7">
      <w:r w:rsidRPr="00CC19F7">
        <w:t xml:space="preserve">NVE skal hjelpe </w:t>
      </w:r>
      <w:proofErr w:type="spellStart"/>
      <w:r w:rsidRPr="00CC19F7">
        <w:t>kommunane</w:t>
      </w:r>
      <w:proofErr w:type="spellEnd"/>
      <w:r w:rsidRPr="00CC19F7">
        <w:t xml:space="preserve"> med å </w:t>
      </w:r>
      <w:proofErr w:type="spellStart"/>
      <w:r w:rsidRPr="00CC19F7">
        <w:t>førebygge</w:t>
      </w:r>
      <w:proofErr w:type="spellEnd"/>
      <w:r w:rsidRPr="00CC19F7">
        <w:t xml:space="preserve"> </w:t>
      </w:r>
      <w:proofErr w:type="spellStart"/>
      <w:r w:rsidRPr="00CC19F7">
        <w:t>flaum</w:t>
      </w:r>
      <w:proofErr w:type="spellEnd"/>
      <w:r w:rsidRPr="00CC19F7">
        <w:t xml:space="preserve">- og </w:t>
      </w:r>
      <w:proofErr w:type="spellStart"/>
      <w:r w:rsidRPr="00CC19F7">
        <w:t>skredskadar</w:t>
      </w:r>
      <w:proofErr w:type="spellEnd"/>
      <w:r w:rsidRPr="00CC19F7">
        <w:t xml:space="preserve"> gjennom kartlegging, arealplanlegging, sikringstiltak, </w:t>
      </w:r>
      <w:proofErr w:type="spellStart"/>
      <w:r w:rsidRPr="00CC19F7">
        <w:t>overvaking</w:t>
      </w:r>
      <w:proofErr w:type="spellEnd"/>
      <w:r w:rsidRPr="00CC19F7">
        <w:t xml:space="preserve">, varsling og beredskap. I arealplanlegginga skal NVE prioritere å gi </w:t>
      </w:r>
      <w:proofErr w:type="spellStart"/>
      <w:r w:rsidRPr="00CC19F7">
        <w:t>ein</w:t>
      </w:r>
      <w:proofErr w:type="spellEnd"/>
      <w:r w:rsidRPr="00CC19F7">
        <w:t xml:space="preserve"> uttale om overordna </w:t>
      </w:r>
      <w:proofErr w:type="spellStart"/>
      <w:r w:rsidRPr="00CC19F7">
        <w:t>kommuneplanar</w:t>
      </w:r>
      <w:proofErr w:type="spellEnd"/>
      <w:r w:rsidRPr="00CC19F7">
        <w:t xml:space="preserve"> og områdereguleringsplanar. I dette ligg det at NVE normalt </w:t>
      </w:r>
      <w:proofErr w:type="spellStart"/>
      <w:r w:rsidRPr="00CC19F7">
        <w:t>ikkje</w:t>
      </w:r>
      <w:proofErr w:type="spellEnd"/>
      <w:r w:rsidRPr="00CC19F7">
        <w:t xml:space="preserve"> vil gå inn i detaljreguleringsplanar, søknader om dispensasjon eller byggesøknader. </w:t>
      </w:r>
      <w:proofErr w:type="spellStart"/>
      <w:r w:rsidRPr="00CC19F7">
        <w:t>Vidare</w:t>
      </w:r>
      <w:proofErr w:type="spellEnd"/>
      <w:r w:rsidRPr="00CC19F7">
        <w:t xml:space="preserve"> kan NVE hjelpe </w:t>
      </w:r>
      <w:proofErr w:type="spellStart"/>
      <w:r w:rsidRPr="00CC19F7">
        <w:t>kommunane</w:t>
      </w:r>
      <w:proofErr w:type="spellEnd"/>
      <w:r w:rsidRPr="00CC19F7">
        <w:t xml:space="preserve"> med å </w:t>
      </w:r>
      <w:proofErr w:type="spellStart"/>
      <w:r w:rsidRPr="00CC19F7">
        <w:t>førebygge</w:t>
      </w:r>
      <w:proofErr w:type="spellEnd"/>
      <w:r w:rsidRPr="00CC19F7">
        <w:t xml:space="preserve"> </w:t>
      </w:r>
      <w:proofErr w:type="spellStart"/>
      <w:r w:rsidRPr="00CC19F7">
        <w:t>skadar</w:t>
      </w:r>
      <w:proofErr w:type="spellEnd"/>
      <w:r w:rsidRPr="00CC19F7">
        <w:t xml:space="preserve"> </w:t>
      </w:r>
      <w:proofErr w:type="spellStart"/>
      <w:r w:rsidRPr="00CC19F7">
        <w:t>frå</w:t>
      </w:r>
      <w:proofErr w:type="spellEnd"/>
      <w:r w:rsidRPr="00CC19F7">
        <w:t xml:space="preserve"> overvatn gjennom kunnskap om avrenning i tettbygde strøk og rettleiing om kommunal arealplanlegging. NVEs bistand til </w:t>
      </w:r>
      <w:proofErr w:type="spellStart"/>
      <w:r w:rsidRPr="00CC19F7">
        <w:t>kommunane</w:t>
      </w:r>
      <w:proofErr w:type="spellEnd"/>
      <w:r w:rsidRPr="00CC19F7">
        <w:t xml:space="preserve"> blir prioritert etter samfunnsøkonomiske kriterium, slik at samfunnet får mest </w:t>
      </w:r>
      <w:proofErr w:type="spellStart"/>
      <w:r w:rsidRPr="00CC19F7">
        <w:t>mogleg</w:t>
      </w:r>
      <w:proofErr w:type="spellEnd"/>
      <w:r w:rsidRPr="00CC19F7">
        <w:t xml:space="preserve"> igjen i form av redusert risiko for </w:t>
      </w:r>
      <w:proofErr w:type="spellStart"/>
      <w:r w:rsidRPr="00CC19F7">
        <w:t>skadar</w:t>
      </w:r>
      <w:proofErr w:type="spellEnd"/>
      <w:r w:rsidRPr="00CC19F7">
        <w:t>.</w:t>
      </w:r>
    </w:p>
    <w:p w14:paraId="5A19493A" w14:textId="77777777" w:rsidR="00FE02EF" w:rsidRPr="00CC19F7" w:rsidRDefault="00881E58" w:rsidP="00CC19F7">
      <w:pPr>
        <w:pStyle w:val="Undertittel"/>
      </w:pPr>
      <w:proofErr w:type="spellStart"/>
      <w:r w:rsidRPr="00CC19F7">
        <w:t>Hovudmål</w:t>
      </w:r>
      <w:proofErr w:type="spellEnd"/>
      <w:r w:rsidRPr="00CC19F7">
        <w:t xml:space="preserve"> for energi- og vassressursområdet</w:t>
      </w:r>
    </w:p>
    <w:p w14:paraId="171B1289" w14:textId="77777777" w:rsidR="00FE02EF" w:rsidRPr="00CC19F7" w:rsidRDefault="00881E58" w:rsidP="00CC19F7">
      <w:r w:rsidRPr="00CC19F7">
        <w:t>Dei overordna måla på energi- og vassressursområdet er å</w:t>
      </w:r>
    </w:p>
    <w:p w14:paraId="04A2CACB" w14:textId="77777777" w:rsidR="00FE02EF" w:rsidRPr="00CC19F7" w:rsidRDefault="00881E58" w:rsidP="00CC19F7">
      <w:pPr>
        <w:pStyle w:val="Liste"/>
      </w:pPr>
      <w:r w:rsidRPr="00CC19F7">
        <w:t xml:space="preserve">legge til rette for ei effektiv, sikker og </w:t>
      </w:r>
      <w:proofErr w:type="spellStart"/>
      <w:r w:rsidRPr="00CC19F7">
        <w:t>miljøvennleg</w:t>
      </w:r>
      <w:proofErr w:type="spellEnd"/>
      <w:r w:rsidRPr="00CC19F7">
        <w:t xml:space="preserve"> energiforsyning</w:t>
      </w:r>
    </w:p>
    <w:p w14:paraId="744A89FC" w14:textId="77777777" w:rsidR="00FE02EF" w:rsidRPr="00CC19F7" w:rsidRDefault="00881E58" w:rsidP="00CC19F7">
      <w:pPr>
        <w:pStyle w:val="Liste"/>
      </w:pPr>
      <w:r w:rsidRPr="00CC19F7">
        <w:t xml:space="preserve">bidra til ei </w:t>
      </w:r>
      <w:proofErr w:type="spellStart"/>
      <w:r w:rsidRPr="00CC19F7">
        <w:t>heilskapleg</w:t>
      </w:r>
      <w:proofErr w:type="spellEnd"/>
      <w:r w:rsidRPr="00CC19F7">
        <w:t xml:space="preserve"> og </w:t>
      </w:r>
      <w:proofErr w:type="spellStart"/>
      <w:r w:rsidRPr="00CC19F7">
        <w:t>miljøvennleg</w:t>
      </w:r>
      <w:proofErr w:type="spellEnd"/>
      <w:r w:rsidRPr="00CC19F7">
        <w:t xml:space="preserve"> forvalting av </w:t>
      </w:r>
      <w:proofErr w:type="spellStart"/>
      <w:r w:rsidRPr="00CC19F7">
        <w:t>vassressursane</w:t>
      </w:r>
      <w:proofErr w:type="spellEnd"/>
    </w:p>
    <w:p w14:paraId="6A9C8A3F" w14:textId="77777777" w:rsidR="00FE02EF" w:rsidRPr="00CC19F7" w:rsidRDefault="00881E58" w:rsidP="00CC19F7">
      <w:pPr>
        <w:pStyle w:val="Liste"/>
      </w:pPr>
      <w:r w:rsidRPr="00CC19F7">
        <w:t xml:space="preserve">betre samfunnet </w:t>
      </w:r>
      <w:proofErr w:type="spellStart"/>
      <w:r w:rsidRPr="00CC19F7">
        <w:t>si</w:t>
      </w:r>
      <w:proofErr w:type="spellEnd"/>
      <w:r w:rsidRPr="00CC19F7">
        <w:t xml:space="preserve"> evne til å handtere </w:t>
      </w:r>
      <w:proofErr w:type="spellStart"/>
      <w:r w:rsidRPr="00CC19F7">
        <w:t>flaum</w:t>
      </w:r>
      <w:proofErr w:type="spellEnd"/>
      <w:r w:rsidRPr="00CC19F7">
        <w:t xml:space="preserve">- og skredrisiko i </w:t>
      </w:r>
      <w:proofErr w:type="spellStart"/>
      <w:r w:rsidRPr="00CC19F7">
        <w:t>eit</w:t>
      </w:r>
      <w:proofErr w:type="spellEnd"/>
      <w:r w:rsidRPr="00CC19F7">
        <w:t xml:space="preserve"> klima i endring</w:t>
      </w:r>
    </w:p>
    <w:p w14:paraId="12707CEA" w14:textId="77777777" w:rsidR="00FE02EF" w:rsidRPr="00CC19F7" w:rsidRDefault="00881E58" w:rsidP="00CC19F7">
      <w:r w:rsidRPr="00CC19F7">
        <w:t xml:space="preserve">NVE har ansvar for å forvalte energi- og </w:t>
      </w:r>
      <w:proofErr w:type="spellStart"/>
      <w:r w:rsidRPr="00CC19F7">
        <w:t>vassressursane</w:t>
      </w:r>
      <w:proofErr w:type="spellEnd"/>
      <w:r w:rsidRPr="00CC19F7">
        <w:t xml:space="preserve"> i landet og bistår </w:t>
      </w:r>
      <w:proofErr w:type="spellStart"/>
      <w:r w:rsidRPr="00CC19F7">
        <w:t>kommunane</w:t>
      </w:r>
      <w:proofErr w:type="spellEnd"/>
      <w:r w:rsidRPr="00CC19F7">
        <w:t xml:space="preserve"> og andre </w:t>
      </w:r>
      <w:proofErr w:type="spellStart"/>
      <w:r w:rsidRPr="00CC19F7">
        <w:t>aktørar</w:t>
      </w:r>
      <w:proofErr w:type="spellEnd"/>
      <w:r w:rsidRPr="00CC19F7">
        <w:t xml:space="preserve"> i arbeidet med å </w:t>
      </w:r>
      <w:proofErr w:type="spellStart"/>
      <w:r w:rsidRPr="00CC19F7">
        <w:t>førebygge</w:t>
      </w:r>
      <w:proofErr w:type="spellEnd"/>
      <w:r w:rsidRPr="00CC19F7">
        <w:t xml:space="preserve"> </w:t>
      </w:r>
      <w:proofErr w:type="spellStart"/>
      <w:r w:rsidRPr="00CC19F7">
        <w:t>flaum</w:t>
      </w:r>
      <w:proofErr w:type="spellEnd"/>
      <w:r w:rsidRPr="00CC19F7">
        <w:t xml:space="preserve">- og </w:t>
      </w:r>
      <w:proofErr w:type="spellStart"/>
      <w:r w:rsidRPr="00CC19F7">
        <w:t>skredskadar</w:t>
      </w:r>
      <w:proofErr w:type="spellEnd"/>
      <w:r w:rsidRPr="00CC19F7">
        <w:t>.</w:t>
      </w:r>
    </w:p>
    <w:p w14:paraId="0074D150" w14:textId="77777777" w:rsidR="00FE02EF" w:rsidRPr="00CC19F7" w:rsidRDefault="00881E58" w:rsidP="00CC19F7">
      <w:r w:rsidRPr="00CC19F7">
        <w:t xml:space="preserve">I NVEs organisasjon inngår også </w:t>
      </w:r>
      <w:proofErr w:type="spellStart"/>
      <w:r w:rsidRPr="00CC19F7">
        <w:t>Reguleringsmyndigheita</w:t>
      </w:r>
      <w:proofErr w:type="spellEnd"/>
      <w:r w:rsidRPr="00CC19F7">
        <w:t xml:space="preserve"> for energi (RME). RME er </w:t>
      </w:r>
      <w:proofErr w:type="spellStart"/>
      <w:r w:rsidRPr="00CC19F7">
        <w:t>reguleringsmyndigheit</w:t>
      </w:r>
      <w:proofErr w:type="spellEnd"/>
      <w:r w:rsidRPr="00CC19F7">
        <w:t xml:space="preserve"> for kraft- og </w:t>
      </w:r>
      <w:proofErr w:type="spellStart"/>
      <w:r w:rsidRPr="00CC19F7">
        <w:t>gassmarknadene</w:t>
      </w:r>
      <w:proofErr w:type="spellEnd"/>
      <w:r w:rsidRPr="00CC19F7">
        <w:t xml:space="preserve"> i </w:t>
      </w:r>
      <w:proofErr w:type="spellStart"/>
      <w:r w:rsidRPr="00CC19F7">
        <w:t>Noreg</w:t>
      </w:r>
      <w:proofErr w:type="spellEnd"/>
      <w:r w:rsidRPr="00CC19F7">
        <w:t>.</w:t>
      </w:r>
    </w:p>
    <w:p w14:paraId="1C8E954C" w14:textId="77777777" w:rsidR="00FE02EF" w:rsidRPr="00CC19F7" w:rsidRDefault="00881E58" w:rsidP="00CC19F7">
      <w:r w:rsidRPr="00CC19F7">
        <w:t xml:space="preserve">Statnett er operatør og </w:t>
      </w:r>
      <w:proofErr w:type="spellStart"/>
      <w:r w:rsidRPr="00CC19F7">
        <w:t>eigar</w:t>
      </w:r>
      <w:proofErr w:type="spellEnd"/>
      <w:r w:rsidRPr="00CC19F7">
        <w:t xml:space="preserve"> av transmisjonsnettet (TSO) og er det </w:t>
      </w:r>
      <w:proofErr w:type="spellStart"/>
      <w:r w:rsidRPr="00CC19F7">
        <w:t>systemansvarlege</w:t>
      </w:r>
      <w:proofErr w:type="spellEnd"/>
      <w:r w:rsidRPr="00CC19F7">
        <w:t xml:space="preserve"> nettselskapet i </w:t>
      </w:r>
      <w:proofErr w:type="spellStart"/>
      <w:r w:rsidRPr="00CC19F7">
        <w:t>Noreg</w:t>
      </w:r>
      <w:proofErr w:type="spellEnd"/>
      <w:r w:rsidRPr="00CC19F7">
        <w:t>. Statnett har ansvar for samfunnsøkonomisk rasjonell drift og utvikling av transmisjonsnettet.</w:t>
      </w:r>
    </w:p>
    <w:p w14:paraId="25025709" w14:textId="77777777" w:rsidR="00FE02EF" w:rsidRPr="00CC19F7" w:rsidRDefault="00881E58" w:rsidP="00CC19F7">
      <w:pPr>
        <w:pStyle w:val="Undertittel"/>
      </w:pPr>
      <w:r w:rsidRPr="00CC19F7">
        <w:t xml:space="preserve">Olje- og energidepartementet sine mål og </w:t>
      </w:r>
      <w:proofErr w:type="spellStart"/>
      <w:r w:rsidRPr="00CC19F7">
        <w:t>oppgåver</w:t>
      </w:r>
      <w:proofErr w:type="spellEnd"/>
    </w:p>
    <w:p w14:paraId="65D1ABC0" w14:textId="77777777" w:rsidR="00FE02EF" w:rsidRPr="00CC19F7" w:rsidRDefault="00881E58" w:rsidP="00CC19F7">
      <w:r w:rsidRPr="00CC19F7">
        <w:t xml:space="preserve">Olje- og energidepartementet skal legge til rette for </w:t>
      </w:r>
      <w:proofErr w:type="spellStart"/>
      <w:r w:rsidRPr="00CC19F7">
        <w:t>eit</w:t>
      </w:r>
      <w:proofErr w:type="spellEnd"/>
      <w:r w:rsidRPr="00CC19F7">
        <w:t xml:space="preserve"> effektivt og </w:t>
      </w:r>
      <w:proofErr w:type="spellStart"/>
      <w:r w:rsidRPr="00CC19F7">
        <w:t>velfungerande</w:t>
      </w:r>
      <w:proofErr w:type="spellEnd"/>
      <w:r w:rsidRPr="00CC19F7">
        <w:t xml:space="preserve"> energisystem.</w:t>
      </w:r>
    </w:p>
    <w:p w14:paraId="37B6E524" w14:textId="77777777" w:rsidR="00FE02EF" w:rsidRPr="00CC19F7" w:rsidRDefault="00881E58" w:rsidP="00CC19F7">
      <w:r w:rsidRPr="00CC19F7">
        <w:t xml:space="preserve">Regjeringa vil </w:t>
      </w:r>
      <w:proofErr w:type="spellStart"/>
      <w:r w:rsidRPr="00CC19F7">
        <w:t>auke</w:t>
      </w:r>
      <w:proofErr w:type="spellEnd"/>
      <w:r w:rsidRPr="00CC19F7">
        <w:t xml:space="preserve"> norsk vasskraftproduksjon, legge til rette for ei storstilt satsing på havvind og tillate utbygging av vindkraft på land på </w:t>
      </w:r>
      <w:proofErr w:type="spellStart"/>
      <w:r w:rsidRPr="00CC19F7">
        <w:t>stader</w:t>
      </w:r>
      <w:proofErr w:type="spellEnd"/>
      <w:r w:rsidRPr="00CC19F7">
        <w:t xml:space="preserve"> der det er gode vindforhold og lokal aksept. Regjeringa vil også legge til rette for </w:t>
      </w:r>
      <w:proofErr w:type="spellStart"/>
      <w:r w:rsidRPr="00CC19F7">
        <w:t>meir</w:t>
      </w:r>
      <w:proofErr w:type="spellEnd"/>
      <w:r w:rsidRPr="00CC19F7">
        <w:t xml:space="preserve"> solkraft og lokal energiproduksjon.</w:t>
      </w:r>
    </w:p>
    <w:p w14:paraId="7E8165F3" w14:textId="77777777" w:rsidR="00FE02EF" w:rsidRPr="00CC19F7" w:rsidRDefault="00881E58" w:rsidP="00CC19F7">
      <w:r w:rsidRPr="00CC19F7">
        <w:t xml:space="preserve">Departementet vil arbeide </w:t>
      </w:r>
      <w:proofErr w:type="spellStart"/>
      <w:r w:rsidRPr="00CC19F7">
        <w:t>vidare</w:t>
      </w:r>
      <w:proofErr w:type="spellEnd"/>
      <w:r w:rsidRPr="00CC19F7">
        <w:t xml:space="preserve"> med </w:t>
      </w:r>
      <w:proofErr w:type="spellStart"/>
      <w:r w:rsidRPr="00CC19F7">
        <w:t>forbetringar</w:t>
      </w:r>
      <w:proofErr w:type="spellEnd"/>
      <w:r w:rsidRPr="00CC19F7">
        <w:t xml:space="preserve"> og </w:t>
      </w:r>
      <w:proofErr w:type="spellStart"/>
      <w:r w:rsidRPr="00CC19F7">
        <w:t>forenklingar</w:t>
      </w:r>
      <w:proofErr w:type="spellEnd"/>
      <w:r w:rsidRPr="00CC19F7">
        <w:t xml:space="preserve"> i konsesjonsbehandlinga av produksjons- og nettanlegg.</w:t>
      </w:r>
    </w:p>
    <w:p w14:paraId="45310D3E" w14:textId="77777777" w:rsidR="00FE02EF" w:rsidRPr="00CC19F7" w:rsidRDefault="00881E58" w:rsidP="00CC19F7">
      <w:r w:rsidRPr="00CC19F7">
        <w:t xml:space="preserve">Regjeringas mål for arbeidet med havvind er industriutvikling, tilrettelegging for innovasjon og teknologiutvikling og at havvind skal bidra til </w:t>
      </w:r>
      <w:proofErr w:type="spellStart"/>
      <w:r w:rsidRPr="00CC19F7">
        <w:t>auka</w:t>
      </w:r>
      <w:proofErr w:type="spellEnd"/>
      <w:r w:rsidRPr="00CC19F7">
        <w:t xml:space="preserve"> fornybar kraftproduksjon i </w:t>
      </w:r>
      <w:proofErr w:type="spellStart"/>
      <w:r w:rsidRPr="00CC19F7">
        <w:t>Noreg</w:t>
      </w:r>
      <w:proofErr w:type="spellEnd"/>
      <w:r w:rsidRPr="00CC19F7">
        <w:t xml:space="preserve">. Regjeringa har </w:t>
      </w:r>
      <w:proofErr w:type="spellStart"/>
      <w:r w:rsidRPr="00CC19F7">
        <w:t>ein</w:t>
      </w:r>
      <w:proofErr w:type="spellEnd"/>
      <w:r w:rsidRPr="00CC19F7">
        <w:t xml:space="preserve"> ambisjon om å tildele areal med potensial for 30 GW havvindproduksjon på norsk sokkel </w:t>
      </w:r>
      <w:proofErr w:type="spellStart"/>
      <w:r w:rsidRPr="00CC19F7">
        <w:t>innan</w:t>
      </w:r>
      <w:proofErr w:type="spellEnd"/>
      <w:r w:rsidRPr="00CC19F7">
        <w:t xml:space="preserve"> 2040. Dette blir </w:t>
      </w:r>
      <w:proofErr w:type="spellStart"/>
      <w:r w:rsidRPr="00CC19F7">
        <w:t>nærmare</w:t>
      </w:r>
      <w:proofErr w:type="spellEnd"/>
      <w:r w:rsidRPr="00CC19F7">
        <w:t xml:space="preserve"> omtalt under programkategori 18.30.</w:t>
      </w:r>
    </w:p>
    <w:p w14:paraId="05D5E802" w14:textId="77777777" w:rsidR="00FE02EF" w:rsidRPr="00CC19F7" w:rsidRDefault="00881E58" w:rsidP="00CC19F7">
      <w:r w:rsidRPr="00CC19F7">
        <w:t xml:space="preserve">I 2023 er det gjort </w:t>
      </w:r>
      <w:proofErr w:type="spellStart"/>
      <w:r w:rsidRPr="00CC19F7">
        <w:t>endringar</w:t>
      </w:r>
      <w:proofErr w:type="spellEnd"/>
      <w:r w:rsidRPr="00CC19F7">
        <w:t xml:space="preserve"> i energilova og plan- og bygningslova knytte til vindkraft på land, jf. </w:t>
      </w:r>
      <w:proofErr w:type="spellStart"/>
      <w:r w:rsidRPr="00CC19F7">
        <w:t>Prop</w:t>
      </w:r>
      <w:proofErr w:type="spellEnd"/>
      <w:r w:rsidRPr="00CC19F7">
        <w:t xml:space="preserve">. 111 L (2022–2023). Det skal framover </w:t>
      </w:r>
      <w:proofErr w:type="spellStart"/>
      <w:r w:rsidRPr="00CC19F7">
        <w:t>vere</w:t>
      </w:r>
      <w:proofErr w:type="spellEnd"/>
      <w:r w:rsidRPr="00CC19F7">
        <w:t xml:space="preserve"> ei overordna kommunal områderegulering før </w:t>
      </w:r>
      <w:proofErr w:type="spellStart"/>
      <w:r w:rsidRPr="00CC19F7">
        <w:t>eit</w:t>
      </w:r>
      <w:proofErr w:type="spellEnd"/>
      <w:r w:rsidRPr="00CC19F7">
        <w:t xml:space="preserve"> konsesjonsvedtak. Det vil bli lagt </w:t>
      </w:r>
      <w:proofErr w:type="spellStart"/>
      <w:r w:rsidRPr="00CC19F7">
        <w:t>sterkare</w:t>
      </w:r>
      <w:proofErr w:type="spellEnd"/>
      <w:r w:rsidRPr="00CC19F7">
        <w:t xml:space="preserve"> vekt på miljøinteresser og andre viktige samfunnsinteresser, mellom anna i lys av Meld. St. 28 (2019–2020). Departementet skal legge til rette for betre rettleiing når det </w:t>
      </w:r>
      <w:proofErr w:type="spellStart"/>
      <w:r w:rsidRPr="00CC19F7">
        <w:t>gjeld</w:t>
      </w:r>
      <w:proofErr w:type="spellEnd"/>
      <w:r w:rsidRPr="00CC19F7">
        <w:t xml:space="preserve"> konsesjonsbehandling av vindkraft på land.</w:t>
      </w:r>
    </w:p>
    <w:p w14:paraId="7A323817" w14:textId="77777777" w:rsidR="00FE02EF" w:rsidRPr="00CC19F7" w:rsidRDefault="00881E58" w:rsidP="00CC19F7">
      <w:r w:rsidRPr="00CC19F7">
        <w:t xml:space="preserve">Departementet vil legge til rette for solkraft og mellom anna vurdere om </w:t>
      </w:r>
      <w:proofErr w:type="spellStart"/>
      <w:r w:rsidRPr="00CC19F7">
        <w:t>dei</w:t>
      </w:r>
      <w:proofErr w:type="spellEnd"/>
      <w:r w:rsidRPr="00CC19F7">
        <w:t xml:space="preserve"> nye </w:t>
      </w:r>
      <w:proofErr w:type="spellStart"/>
      <w:r w:rsidRPr="00CC19F7">
        <w:t>reglane</w:t>
      </w:r>
      <w:proofErr w:type="spellEnd"/>
      <w:r w:rsidRPr="00CC19F7">
        <w:t xml:space="preserve"> for behandling av vindkraft også skal </w:t>
      </w:r>
      <w:proofErr w:type="spellStart"/>
      <w:r w:rsidRPr="00CC19F7">
        <w:t>gjerast</w:t>
      </w:r>
      <w:proofErr w:type="spellEnd"/>
      <w:r w:rsidRPr="00CC19F7">
        <w:t xml:space="preserve"> </w:t>
      </w:r>
      <w:proofErr w:type="spellStart"/>
      <w:r w:rsidRPr="00CC19F7">
        <w:t>gjeldande</w:t>
      </w:r>
      <w:proofErr w:type="spellEnd"/>
      <w:r w:rsidRPr="00CC19F7">
        <w:t xml:space="preserve"> for bakkemonterte anlegg for solkraft.</w:t>
      </w:r>
    </w:p>
    <w:p w14:paraId="739EC05D" w14:textId="77777777" w:rsidR="00FE02EF" w:rsidRPr="00CC19F7" w:rsidRDefault="00881E58" w:rsidP="00CC19F7">
      <w:r w:rsidRPr="00CC19F7">
        <w:t xml:space="preserve">Våren 2023 blei </w:t>
      </w:r>
      <w:r w:rsidRPr="00CC19F7">
        <w:rPr>
          <w:rStyle w:val="kursiv"/>
        </w:rPr>
        <w:t>Regjeringens handlingsplan for raskere nettutbygging og bedre utnyttelse av nettet</w:t>
      </w:r>
      <w:r w:rsidRPr="00CC19F7">
        <w:t xml:space="preserve"> lagt fram. Handlingsplanen varsla ei rekke tiltak som departementet vil følge opp på eigna måte. RME </w:t>
      </w:r>
      <w:proofErr w:type="spellStart"/>
      <w:r w:rsidRPr="00CC19F7">
        <w:t>fekk</w:t>
      </w:r>
      <w:proofErr w:type="spellEnd"/>
      <w:r w:rsidRPr="00CC19F7">
        <w:t xml:space="preserve"> i mai 2023 i oppdrag å foreslå konkrete </w:t>
      </w:r>
      <w:proofErr w:type="spellStart"/>
      <w:r w:rsidRPr="00CC19F7">
        <w:t>forskriftsendringar</w:t>
      </w:r>
      <w:proofErr w:type="spellEnd"/>
      <w:r w:rsidRPr="00CC19F7">
        <w:t xml:space="preserve"> som skal bidra til </w:t>
      </w:r>
      <w:proofErr w:type="spellStart"/>
      <w:r w:rsidRPr="00CC19F7">
        <w:t>ein</w:t>
      </w:r>
      <w:proofErr w:type="spellEnd"/>
      <w:r w:rsidRPr="00CC19F7">
        <w:t xml:space="preserve"> </w:t>
      </w:r>
      <w:proofErr w:type="spellStart"/>
      <w:r w:rsidRPr="00CC19F7">
        <w:t>meir</w:t>
      </w:r>
      <w:proofErr w:type="spellEnd"/>
      <w:r w:rsidRPr="00CC19F7">
        <w:t xml:space="preserve"> effektiv </w:t>
      </w:r>
      <w:proofErr w:type="spellStart"/>
      <w:r w:rsidRPr="00CC19F7">
        <w:t>tilknytingsprosess</w:t>
      </w:r>
      <w:proofErr w:type="spellEnd"/>
      <w:r w:rsidRPr="00CC19F7">
        <w:t xml:space="preserve"> og betre utnytting av nettet.</w:t>
      </w:r>
    </w:p>
    <w:p w14:paraId="2C46B349" w14:textId="77777777" w:rsidR="00FE02EF" w:rsidRPr="00CC19F7" w:rsidRDefault="00881E58" w:rsidP="00CC19F7">
      <w:r w:rsidRPr="00CC19F7">
        <w:t xml:space="preserve">Det er ei prioritert </w:t>
      </w:r>
      <w:proofErr w:type="spellStart"/>
      <w:r w:rsidRPr="00CC19F7">
        <w:t>oppgåve</w:t>
      </w:r>
      <w:proofErr w:type="spellEnd"/>
      <w:r w:rsidRPr="00CC19F7">
        <w:t xml:space="preserve"> for departementet å legge til rette for ei sikker kraftforsyning gjennom god beredskap. NVE er delegert viktige </w:t>
      </w:r>
      <w:proofErr w:type="spellStart"/>
      <w:r w:rsidRPr="00CC19F7">
        <w:t>beredskapsoppgåver</w:t>
      </w:r>
      <w:proofErr w:type="spellEnd"/>
      <w:r w:rsidRPr="00CC19F7">
        <w:t>.</w:t>
      </w:r>
    </w:p>
    <w:p w14:paraId="2F58C8F8" w14:textId="77777777" w:rsidR="00FE02EF" w:rsidRPr="00CC19F7" w:rsidRDefault="00881E58" w:rsidP="00CC19F7">
      <w:r w:rsidRPr="00CC19F7">
        <w:t xml:space="preserve">Det europeiske energisystemet blir stadig </w:t>
      </w:r>
      <w:proofErr w:type="spellStart"/>
      <w:r w:rsidRPr="00CC19F7">
        <w:t>tettare</w:t>
      </w:r>
      <w:proofErr w:type="spellEnd"/>
      <w:r w:rsidRPr="00CC19F7">
        <w:t xml:space="preserve"> </w:t>
      </w:r>
      <w:proofErr w:type="gramStart"/>
      <w:r w:rsidRPr="00CC19F7">
        <w:t>integrert</w:t>
      </w:r>
      <w:proofErr w:type="gramEnd"/>
      <w:r w:rsidRPr="00CC19F7">
        <w:t xml:space="preserve">. Departementet arbeider </w:t>
      </w:r>
      <w:proofErr w:type="spellStart"/>
      <w:r w:rsidRPr="00CC19F7">
        <w:t>vidare</w:t>
      </w:r>
      <w:proofErr w:type="spellEnd"/>
      <w:r w:rsidRPr="00CC19F7">
        <w:t xml:space="preserve"> med </w:t>
      </w:r>
      <w:proofErr w:type="spellStart"/>
      <w:r w:rsidRPr="00CC19F7">
        <w:t>vurderingar</w:t>
      </w:r>
      <w:proofErr w:type="spellEnd"/>
      <w:r w:rsidRPr="00CC19F7">
        <w:t xml:space="preserve"> og oppfølging av relevant EU-regelverk på området.</w:t>
      </w:r>
    </w:p>
    <w:p w14:paraId="7C229693" w14:textId="77777777" w:rsidR="00FE02EF" w:rsidRPr="00CC19F7" w:rsidRDefault="00881E58" w:rsidP="00CC19F7">
      <w:r w:rsidRPr="00CC19F7">
        <w:t xml:space="preserve">EU vedtok i 2018 og 2019 gjennom Rein energi-pakken ei rekke nye og reviderte </w:t>
      </w:r>
      <w:proofErr w:type="spellStart"/>
      <w:r w:rsidRPr="00CC19F7">
        <w:t>rettsaktar</w:t>
      </w:r>
      <w:proofErr w:type="spellEnd"/>
      <w:r w:rsidRPr="00CC19F7">
        <w:t xml:space="preserve"> på energiområdet (</w:t>
      </w:r>
      <w:proofErr w:type="spellStart"/>
      <w:r w:rsidRPr="00CC19F7">
        <w:rPr>
          <w:rStyle w:val="kursiv"/>
        </w:rPr>
        <w:t>Clean</w:t>
      </w:r>
      <w:proofErr w:type="spellEnd"/>
      <w:r w:rsidRPr="00CC19F7">
        <w:rPr>
          <w:rStyle w:val="kursiv"/>
        </w:rPr>
        <w:t xml:space="preserve"> Energy for all Europeans</w:t>
      </w:r>
      <w:r w:rsidRPr="00CC19F7">
        <w:t xml:space="preserve">). Departementet gjennomgår regelverket når det gjeld </w:t>
      </w:r>
      <w:proofErr w:type="spellStart"/>
      <w:r w:rsidRPr="00CC19F7">
        <w:t>konsekvensar</w:t>
      </w:r>
      <w:proofErr w:type="spellEnd"/>
      <w:r w:rsidRPr="00CC19F7">
        <w:t xml:space="preserve"> og relevans, og vil følge opp på eigna måte.</w:t>
      </w:r>
    </w:p>
    <w:p w14:paraId="55F7865A" w14:textId="77777777" w:rsidR="00FE02EF" w:rsidRPr="00CC19F7" w:rsidRDefault="00881E58" w:rsidP="00CC19F7">
      <w:r w:rsidRPr="00CC19F7">
        <w:t xml:space="preserve">Departementet vil på eigna vis følge opp utgreiinga </w:t>
      </w:r>
      <w:proofErr w:type="spellStart"/>
      <w:r w:rsidRPr="00CC19F7">
        <w:t>frå</w:t>
      </w:r>
      <w:proofErr w:type="spellEnd"/>
      <w:r w:rsidRPr="00CC19F7">
        <w:t xml:space="preserve"> Energikommisjonen, NOU 2023: 3 </w:t>
      </w:r>
      <w:r w:rsidRPr="00CC19F7">
        <w:rPr>
          <w:rStyle w:val="kursiv"/>
        </w:rPr>
        <w:t>Mer av alt – raskere</w:t>
      </w:r>
      <w:r w:rsidRPr="00CC19F7">
        <w:t xml:space="preserve">, som blei lagd fram i februar 2023. Rapporten har </w:t>
      </w:r>
      <w:proofErr w:type="spellStart"/>
      <w:r w:rsidRPr="00CC19F7">
        <w:t>vore</w:t>
      </w:r>
      <w:proofErr w:type="spellEnd"/>
      <w:r w:rsidRPr="00CC19F7">
        <w:t xml:space="preserve"> på </w:t>
      </w:r>
      <w:proofErr w:type="spellStart"/>
      <w:r w:rsidRPr="00CC19F7">
        <w:t>høyring</w:t>
      </w:r>
      <w:proofErr w:type="spellEnd"/>
      <w:r w:rsidRPr="00CC19F7">
        <w:t xml:space="preserve"> fram til mai 2023, og </w:t>
      </w:r>
      <w:proofErr w:type="spellStart"/>
      <w:r w:rsidRPr="00CC19F7">
        <w:t>høyringsinnspela</w:t>
      </w:r>
      <w:proofErr w:type="spellEnd"/>
      <w:r w:rsidRPr="00CC19F7">
        <w:t xml:space="preserve"> vil </w:t>
      </w:r>
      <w:proofErr w:type="spellStart"/>
      <w:r w:rsidRPr="00CC19F7">
        <w:t>vere</w:t>
      </w:r>
      <w:proofErr w:type="spellEnd"/>
      <w:r w:rsidRPr="00CC19F7">
        <w:t xml:space="preserve"> viktige i den </w:t>
      </w:r>
      <w:proofErr w:type="spellStart"/>
      <w:r w:rsidRPr="00CC19F7">
        <w:t>vidare</w:t>
      </w:r>
      <w:proofErr w:type="spellEnd"/>
      <w:r w:rsidRPr="00CC19F7">
        <w:t xml:space="preserve"> oppfølginga i departementet.</w:t>
      </w:r>
    </w:p>
    <w:p w14:paraId="13EA1BC4" w14:textId="77777777" w:rsidR="00FE02EF" w:rsidRPr="00CC19F7" w:rsidRDefault="00881E58" w:rsidP="00CC19F7">
      <w:r w:rsidRPr="00CC19F7">
        <w:t xml:space="preserve">Departementet vil legge til rette for energieffektivisering og lokal energiproduksjon og samarbeide med relevante departement. Mellom anna vil departementet følge opp </w:t>
      </w:r>
      <w:proofErr w:type="spellStart"/>
      <w:r w:rsidRPr="00CC19F7">
        <w:t>endringar</w:t>
      </w:r>
      <w:proofErr w:type="spellEnd"/>
      <w:r w:rsidRPr="00CC19F7">
        <w:t xml:space="preserve"> i energilova, jf. </w:t>
      </w:r>
      <w:proofErr w:type="spellStart"/>
      <w:r w:rsidRPr="00CC19F7">
        <w:t>Prop</w:t>
      </w:r>
      <w:proofErr w:type="spellEnd"/>
      <w:r w:rsidRPr="00CC19F7">
        <w:t xml:space="preserve">. 100 L (2022–2023), der det er vedtatt krav til kost-nytte-analyse av utnytting av </w:t>
      </w:r>
      <w:proofErr w:type="spellStart"/>
      <w:r w:rsidRPr="00CC19F7">
        <w:t>overskotsvarme</w:t>
      </w:r>
      <w:proofErr w:type="spellEnd"/>
      <w:r w:rsidRPr="00CC19F7">
        <w:t xml:space="preserve"> ved bygging eller </w:t>
      </w:r>
      <w:proofErr w:type="spellStart"/>
      <w:r w:rsidRPr="00CC19F7">
        <w:t>vesentleg</w:t>
      </w:r>
      <w:proofErr w:type="spellEnd"/>
      <w:r w:rsidRPr="00CC19F7">
        <w:t xml:space="preserve"> oppgradering av energi- og industrianlegg og krav til store </w:t>
      </w:r>
      <w:proofErr w:type="spellStart"/>
      <w:r w:rsidRPr="00CC19F7">
        <w:t>føretak</w:t>
      </w:r>
      <w:proofErr w:type="spellEnd"/>
      <w:r w:rsidRPr="00CC19F7">
        <w:t xml:space="preserve"> om at </w:t>
      </w:r>
      <w:proofErr w:type="spellStart"/>
      <w:r w:rsidRPr="00CC19F7">
        <w:t>dei</w:t>
      </w:r>
      <w:proofErr w:type="spellEnd"/>
      <w:r w:rsidRPr="00CC19F7">
        <w:t xml:space="preserve"> regelmessig skal gjennomføre ei energikartlegging. Departementet skal følge opp regjeringas handlingsplan for energieffektivisering i alle </w:t>
      </w:r>
      <w:proofErr w:type="spellStart"/>
      <w:r w:rsidRPr="00CC19F7">
        <w:t>delar</w:t>
      </w:r>
      <w:proofErr w:type="spellEnd"/>
      <w:r w:rsidRPr="00CC19F7">
        <w:t xml:space="preserve"> av norsk økonomi. Departementet vil også arbeide med </w:t>
      </w:r>
      <w:proofErr w:type="spellStart"/>
      <w:r w:rsidRPr="00CC19F7">
        <w:t>vurderingar</w:t>
      </w:r>
      <w:proofErr w:type="spellEnd"/>
      <w:r w:rsidRPr="00CC19F7">
        <w:t xml:space="preserve"> knytte til energieffektiviseringsdirektivet. Om direktivet skal </w:t>
      </w:r>
      <w:proofErr w:type="spellStart"/>
      <w:r w:rsidRPr="00CC19F7">
        <w:t>innlemmast</w:t>
      </w:r>
      <w:proofErr w:type="spellEnd"/>
      <w:r w:rsidRPr="00CC19F7">
        <w:t xml:space="preserve"> i EØS-avtalen, må </w:t>
      </w:r>
      <w:proofErr w:type="spellStart"/>
      <w:r w:rsidRPr="00CC19F7">
        <w:t>vurderast</w:t>
      </w:r>
      <w:proofErr w:type="spellEnd"/>
      <w:r w:rsidRPr="00CC19F7">
        <w:t xml:space="preserve"> </w:t>
      </w:r>
      <w:proofErr w:type="spellStart"/>
      <w:r w:rsidRPr="00CC19F7">
        <w:t>nærmare</w:t>
      </w:r>
      <w:proofErr w:type="spellEnd"/>
      <w:r w:rsidRPr="00CC19F7">
        <w:t>.</w:t>
      </w:r>
    </w:p>
    <w:p w14:paraId="1737E55A" w14:textId="77777777" w:rsidR="00FE02EF" w:rsidRPr="00CC19F7" w:rsidRDefault="00881E58" w:rsidP="00CC19F7">
      <w:r w:rsidRPr="00CC19F7">
        <w:t xml:space="preserve">Departementet vil følge opp forvaltninga av elsertifikatsystemet i god kontakt med </w:t>
      </w:r>
      <w:proofErr w:type="spellStart"/>
      <w:r w:rsidRPr="00CC19F7">
        <w:t>Klimat</w:t>
      </w:r>
      <w:proofErr w:type="spellEnd"/>
      <w:r w:rsidRPr="00CC19F7">
        <w:t xml:space="preserve">- </w:t>
      </w:r>
      <w:proofErr w:type="spellStart"/>
      <w:r w:rsidRPr="00CC19F7">
        <w:t>och</w:t>
      </w:r>
      <w:proofErr w:type="spellEnd"/>
      <w:r w:rsidRPr="00CC19F7">
        <w:t xml:space="preserve"> </w:t>
      </w:r>
      <w:proofErr w:type="spellStart"/>
      <w:r w:rsidRPr="00CC19F7">
        <w:t>näringslivsdepartementet</w:t>
      </w:r>
      <w:proofErr w:type="spellEnd"/>
      <w:r w:rsidRPr="00CC19F7">
        <w:t xml:space="preserve"> i Sverige.</w:t>
      </w:r>
    </w:p>
    <w:p w14:paraId="56667B8B" w14:textId="77777777" w:rsidR="00FE02EF" w:rsidRPr="00CC19F7" w:rsidRDefault="00881E58" w:rsidP="00CC19F7">
      <w:r w:rsidRPr="00CC19F7">
        <w:t xml:space="preserve">Departementet vil følge opp energimerkeordninga for bygg og </w:t>
      </w:r>
      <w:proofErr w:type="spellStart"/>
      <w:r w:rsidRPr="00CC19F7">
        <w:t>gjere</w:t>
      </w:r>
      <w:proofErr w:type="spellEnd"/>
      <w:r w:rsidRPr="00CC19F7">
        <w:t xml:space="preserve"> henne </w:t>
      </w:r>
      <w:proofErr w:type="spellStart"/>
      <w:r w:rsidRPr="00CC19F7">
        <w:t>meir</w:t>
      </w:r>
      <w:proofErr w:type="spellEnd"/>
      <w:r w:rsidRPr="00CC19F7">
        <w:t xml:space="preserve"> relevant for </w:t>
      </w:r>
      <w:proofErr w:type="spellStart"/>
      <w:r w:rsidRPr="00CC19F7">
        <w:t>eksisterande</w:t>
      </w:r>
      <w:proofErr w:type="spellEnd"/>
      <w:r w:rsidRPr="00CC19F7">
        <w:t xml:space="preserve"> bygg.</w:t>
      </w:r>
    </w:p>
    <w:p w14:paraId="349E7922" w14:textId="77777777" w:rsidR="00FE02EF" w:rsidRPr="00CC19F7" w:rsidRDefault="00881E58" w:rsidP="00CC19F7">
      <w:r w:rsidRPr="00CC19F7">
        <w:t xml:space="preserve">Departementet vil følge opp NVEs arbeid med å </w:t>
      </w:r>
      <w:proofErr w:type="spellStart"/>
      <w:r w:rsidRPr="00CC19F7">
        <w:t>gjere</w:t>
      </w:r>
      <w:proofErr w:type="spellEnd"/>
      <w:r w:rsidRPr="00CC19F7">
        <w:t xml:space="preserve"> samfunnet betre i stand til å handtere </w:t>
      </w:r>
      <w:proofErr w:type="spellStart"/>
      <w:r w:rsidRPr="00CC19F7">
        <w:t>flaum</w:t>
      </w:r>
      <w:proofErr w:type="spellEnd"/>
      <w:r w:rsidRPr="00CC19F7">
        <w:t xml:space="preserve">- og skredrisiko og med å sørge for at </w:t>
      </w:r>
      <w:proofErr w:type="spellStart"/>
      <w:r w:rsidRPr="00CC19F7">
        <w:t>sikkerheita</w:t>
      </w:r>
      <w:proofErr w:type="spellEnd"/>
      <w:r w:rsidRPr="00CC19F7">
        <w:t xml:space="preserve"> ved vassdragsanlegg er </w:t>
      </w:r>
      <w:proofErr w:type="spellStart"/>
      <w:r w:rsidRPr="00CC19F7">
        <w:t>tilfredsstillande</w:t>
      </w:r>
      <w:proofErr w:type="spellEnd"/>
      <w:r w:rsidRPr="00CC19F7">
        <w:t>.</w:t>
      </w:r>
    </w:p>
    <w:p w14:paraId="3E99EDEF" w14:textId="77777777" w:rsidR="00FE02EF" w:rsidRPr="00CC19F7" w:rsidRDefault="00881E58" w:rsidP="00CC19F7">
      <w:r w:rsidRPr="00CC19F7">
        <w:t xml:space="preserve">I samband med at regjeringa har varsla ei ny melding til Stortinget i 2024, vil departementet gjennomgå rammene for </w:t>
      </w:r>
      <w:proofErr w:type="spellStart"/>
      <w:r w:rsidRPr="00CC19F7">
        <w:t>førebygging</w:t>
      </w:r>
      <w:proofErr w:type="spellEnd"/>
      <w:r w:rsidRPr="00CC19F7">
        <w:t xml:space="preserve"> av </w:t>
      </w:r>
      <w:proofErr w:type="spellStart"/>
      <w:r w:rsidRPr="00CC19F7">
        <w:t>flaum</w:t>
      </w:r>
      <w:proofErr w:type="spellEnd"/>
      <w:r w:rsidRPr="00CC19F7">
        <w:t xml:space="preserve">- og </w:t>
      </w:r>
      <w:proofErr w:type="spellStart"/>
      <w:r w:rsidRPr="00CC19F7">
        <w:t>skredskadar</w:t>
      </w:r>
      <w:proofErr w:type="spellEnd"/>
      <w:r w:rsidRPr="00CC19F7">
        <w:t xml:space="preserve">. I august 2023 ramma </w:t>
      </w:r>
      <w:proofErr w:type="spellStart"/>
      <w:r w:rsidRPr="00CC19F7">
        <w:t>ekstremvêret</w:t>
      </w:r>
      <w:proofErr w:type="spellEnd"/>
      <w:r w:rsidRPr="00CC19F7">
        <w:t xml:space="preserve"> Hans store deler av Austlandet. </w:t>
      </w:r>
      <w:proofErr w:type="spellStart"/>
      <w:r w:rsidRPr="00CC19F7">
        <w:t>Særleg</w:t>
      </w:r>
      <w:proofErr w:type="spellEnd"/>
      <w:r w:rsidRPr="00CC19F7">
        <w:t xml:space="preserve"> i Viken og Innlandet var det store </w:t>
      </w:r>
      <w:proofErr w:type="spellStart"/>
      <w:r w:rsidRPr="00CC19F7">
        <w:t>flaum</w:t>
      </w:r>
      <w:proofErr w:type="spellEnd"/>
      <w:r w:rsidRPr="00CC19F7">
        <w:t xml:space="preserve">- og </w:t>
      </w:r>
      <w:proofErr w:type="spellStart"/>
      <w:r w:rsidRPr="00CC19F7">
        <w:t>skredskadar</w:t>
      </w:r>
      <w:proofErr w:type="spellEnd"/>
      <w:r w:rsidRPr="00CC19F7">
        <w:t xml:space="preserve">. </w:t>
      </w:r>
      <w:proofErr w:type="spellStart"/>
      <w:r w:rsidRPr="00CC19F7">
        <w:t>Erfaringar</w:t>
      </w:r>
      <w:proofErr w:type="spellEnd"/>
      <w:r w:rsidRPr="00CC19F7">
        <w:t xml:space="preserve"> </w:t>
      </w:r>
      <w:proofErr w:type="spellStart"/>
      <w:r w:rsidRPr="00CC19F7">
        <w:t>frå</w:t>
      </w:r>
      <w:proofErr w:type="spellEnd"/>
      <w:r w:rsidRPr="00CC19F7">
        <w:t xml:space="preserve"> denne hendinga vil </w:t>
      </w:r>
      <w:proofErr w:type="spellStart"/>
      <w:r w:rsidRPr="00CC19F7">
        <w:t>vere</w:t>
      </w:r>
      <w:proofErr w:type="spellEnd"/>
      <w:r w:rsidRPr="00CC19F7">
        <w:t xml:space="preserve"> viktige i arbeidet med stortingsmeldinga. I arbeidet skal også </w:t>
      </w:r>
      <w:proofErr w:type="spellStart"/>
      <w:r w:rsidRPr="00CC19F7">
        <w:t>anbefalingar</w:t>
      </w:r>
      <w:proofErr w:type="spellEnd"/>
      <w:r w:rsidRPr="00CC19F7">
        <w:t xml:space="preserve"> </w:t>
      </w:r>
      <w:proofErr w:type="spellStart"/>
      <w:r w:rsidRPr="00CC19F7">
        <w:t>frå</w:t>
      </w:r>
      <w:proofErr w:type="spellEnd"/>
      <w:r w:rsidRPr="00CC19F7">
        <w:t xml:space="preserve"> </w:t>
      </w:r>
      <w:proofErr w:type="spellStart"/>
      <w:r w:rsidRPr="00CC19F7">
        <w:t>Gjerdrumutvalet</w:t>
      </w:r>
      <w:proofErr w:type="spellEnd"/>
      <w:r w:rsidRPr="00CC19F7">
        <w:t xml:space="preserve">, NOU 2022: 3 </w:t>
      </w:r>
      <w:r w:rsidRPr="00CC19F7">
        <w:rPr>
          <w:rStyle w:val="kursiv"/>
        </w:rPr>
        <w:t>På trygg grunn – Bedre håndtering av kvikkleirerisiko</w:t>
      </w:r>
      <w:r w:rsidRPr="00CC19F7">
        <w:t xml:space="preserve">, </w:t>
      </w:r>
      <w:proofErr w:type="spellStart"/>
      <w:r w:rsidRPr="00CC19F7">
        <w:t>vurderast</w:t>
      </w:r>
      <w:proofErr w:type="spellEnd"/>
      <w:r w:rsidRPr="00CC19F7">
        <w:t xml:space="preserve">, i tillegg til </w:t>
      </w:r>
      <w:proofErr w:type="spellStart"/>
      <w:r w:rsidRPr="00CC19F7">
        <w:t>delar</w:t>
      </w:r>
      <w:proofErr w:type="spellEnd"/>
      <w:r w:rsidRPr="00CC19F7">
        <w:t xml:space="preserve"> av Riksrevisjonens rapport Dokument 3:6 (2021–2022) </w:t>
      </w:r>
      <w:r w:rsidRPr="00CC19F7">
        <w:rPr>
          <w:rStyle w:val="kursiv"/>
        </w:rPr>
        <w:t>Riksrevisjonens undersøkelse av myndighetenes arbeid med å tilpasse infrastruktur og bebyggelse til et klima i endring.</w:t>
      </w:r>
    </w:p>
    <w:p w14:paraId="3249C8D6" w14:textId="77777777" w:rsidR="00FE02EF" w:rsidRPr="00CC19F7" w:rsidRDefault="00881E58" w:rsidP="00CC19F7">
      <w:r w:rsidRPr="00CC19F7">
        <w:t xml:space="preserve">Departementet vil bidra til ei </w:t>
      </w:r>
      <w:proofErr w:type="spellStart"/>
      <w:r w:rsidRPr="00CC19F7">
        <w:t>heilskapleg</w:t>
      </w:r>
      <w:proofErr w:type="spellEnd"/>
      <w:r w:rsidRPr="00CC19F7">
        <w:t xml:space="preserve"> og </w:t>
      </w:r>
      <w:proofErr w:type="spellStart"/>
      <w:r w:rsidRPr="00CC19F7">
        <w:t>miljøvennleg</w:t>
      </w:r>
      <w:proofErr w:type="spellEnd"/>
      <w:r w:rsidRPr="00CC19F7">
        <w:t xml:space="preserve"> forvaltning av </w:t>
      </w:r>
      <w:proofErr w:type="spellStart"/>
      <w:r w:rsidRPr="00CC19F7">
        <w:t>vassressursane</w:t>
      </w:r>
      <w:proofErr w:type="spellEnd"/>
      <w:r w:rsidRPr="00CC19F7">
        <w:t xml:space="preserve">. Det </w:t>
      </w:r>
      <w:proofErr w:type="spellStart"/>
      <w:r w:rsidRPr="00CC19F7">
        <w:t>inneber</w:t>
      </w:r>
      <w:proofErr w:type="spellEnd"/>
      <w:r w:rsidRPr="00CC19F7">
        <w:t xml:space="preserve"> mellom anna å ta miljøomsyn ved ny utbygging og å legge til rette for </w:t>
      </w:r>
      <w:proofErr w:type="spellStart"/>
      <w:r w:rsidRPr="00CC19F7">
        <w:t>miljøforbetring</w:t>
      </w:r>
      <w:proofErr w:type="spellEnd"/>
      <w:r w:rsidRPr="00CC19F7">
        <w:t xml:space="preserve"> i </w:t>
      </w:r>
      <w:proofErr w:type="spellStart"/>
      <w:r w:rsidRPr="00CC19F7">
        <w:t>allereie</w:t>
      </w:r>
      <w:proofErr w:type="spellEnd"/>
      <w:r w:rsidRPr="00CC19F7">
        <w:t xml:space="preserve"> regulerte vassdrag, mellom anna for å følge opp </w:t>
      </w:r>
      <w:proofErr w:type="spellStart"/>
      <w:r w:rsidRPr="00CC19F7">
        <w:t>godkjende</w:t>
      </w:r>
      <w:proofErr w:type="spellEnd"/>
      <w:r w:rsidRPr="00CC19F7">
        <w:t xml:space="preserve"> </w:t>
      </w:r>
      <w:proofErr w:type="spellStart"/>
      <w:r w:rsidRPr="00CC19F7">
        <w:t>forvaltningsplanar</w:t>
      </w:r>
      <w:proofErr w:type="spellEnd"/>
      <w:r w:rsidRPr="00CC19F7">
        <w:t xml:space="preserve"> etter vassforskrifta. Departementet vil arbeide med revisjon av konsesjonsvilkår for å oppfylle miljømåla </w:t>
      </w:r>
      <w:proofErr w:type="spellStart"/>
      <w:r w:rsidRPr="00CC19F7">
        <w:t>innan</w:t>
      </w:r>
      <w:proofErr w:type="spellEnd"/>
      <w:r w:rsidRPr="00CC19F7">
        <w:t xml:space="preserve"> </w:t>
      </w:r>
      <w:proofErr w:type="spellStart"/>
      <w:r w:rsidRPr="00CC19F7">
        <w:t>dei</w:t>
      </w:r>
      <w:proofErr w:type="spellEnd"/>
      <w:r w:rsidRPr="00CC19F7">
        <w:t xml:space="preserve"> </w:t>
      </w:r>
      <w:proofErr w:type="spellStart"/>
      <w:r w:rsidRPr="00CC19F7">
        <w:t>fristane</w:t>
      </w:r>
      <w:proofErr w:type="spellEnd"/>
      <w:r w:rsidRPr="00CC19F7">
        <w:t xml:space="preserve"> som følger av </w:t>
      </w:r>
      <w:proofErr w:type="spellStart"/>
      <w:r w:rsidRPr="00CC19F7">
        <w:t>planane</w:t>
      </w:r>
      <w:proofErr w:type="spellEnd"/>
      <w:r w:rsidRPr="00CC19F7">
        <w:t>.</w:t>
      </w:r>
    </w:p>
    <w:p w14:paraId="53AA7981" w14:textId="77777777" w:rsidR="00FE02EF" w:rsidRPr="00CC19F7" w:rsidRDefault="00881E58" w:rsidP="00CC19F7">
      <w:r w:rsidRPr="00CC19F7">
        <w:t xml:space="preserve">Departementet vil følge opp NVEs arbeid med å forvalte </w:t>
      </w:r>
      <w:proofErr w:type="spellStart"/>
      <w:r w:rsidRPr="00CC19F7">
        <w:t>dei</w:t>
      </w:r>
      <w:proofErr w:type="spellEnd"/>
      <w:r w:rsidRPr="00CC19F7">
        <w:t xml:space="preserve"> </w:t>
      </w:r>
      <w:proofErr w:type="spellStart"/>
      <w:r w:rsidRPr="00CC19F7">
        <w:t>innanlandske</w:t>
      </w:r>
      <w:proofErr w:type="spellEnd"/>
      <w:r w:rsidRPr="00CC19F7">
        <w:t xml:space="preserve"> energi- og </w:t>
      </w:r>
      <w:proofErr w:type="spellStart"/>
      <w:r w:rsidRPr="00CC19F7">
        <w:t>vassressursane</w:t>
      </w:r>
      <w:proofErr w:type="spellEnd"/>
      <w:r w:rsidRPr="00CC19F7">
        <w:t xml:space="preserve"> gjennom styringsdialogen.</w:t>
      </w:r>
    </w:p>
    <w:p w14:paraId="4E0439CE" w14:textId="77777777" w:rsidR="00FE02EF" w:rsidRPr="00CC19F7" w:rsidRDefault="00881E58" w:rsidP="00CC19F7">
      <w:r w:rsidRPr="00CC19F7">
        <w:t xml:space="preserve">Departementet vil følge opp den </w:t>
      </w:r>
      <w:proofErr w:type="spellStart"/>
      <w:r w:rsidRPr="00CC19F7">
        <w:t>statlege</w:t>
      </w:r>
      <w:proofErr w:type="spellEnd"/>
      <w:r w:rsidRPr="00CC19F7">
        <w:t xml:space="preserve"> </w:t>
      </w:r>
      <w:proofErr w:type="spellStart"/>
      <w:r w:rsidRPr="00CC19F7">
        <w:t>eigarskapen</w:t>
      </w:r>
      <w:proofErr w:type="spellEnd"/>
      <w:r w:rsidRPr="00CC19F7">
        <w:t xml:space="preserve"> i Statnett SF.</w:t>
      </w:r>
    </w:p>
    <w:p w14:paraId="132A7BEA" w14:textId="77777777" w:rsidR="00FE02EF" w:rsidRPr="00CC19F7" w:rsidRDefault="00881E58" w:rsidP="00CC19F7">
      <w:pPr>
        <w:pStyle w:val="Undertittel"/>
      </w:pPr>
      <w:r w:rsidRPr="00CC19F7">
        <w:t>Olje- og energidepartementets resultat for 2022</w:t>
      </w:r>
    </w:p>
    <w:p w14:paraId="5FE07EF2" w14:textId="77777777" w:rsidR="00FE02EF" w:rsidRPr="00CC19F7" w:rsidRDefault="00881E58" w:rsidP="00CC19F7">
      <w:r w:rsidRPr="00CC19F7">
        <w:t xml:space="preserve">Departementet bidrog i 2022 til ei effektiv og </w:t>
      </w:r>
      <w:proofErr w:type="spellStart"/>
      <w:r w:rsidRPr="00CC19F7">
        <w:t>miljøvennleg</w:t>
      </w:r>
      <w:proofErr w:type="spellEnd"/>
      <w:r w:rsidRPr="00CC19F7">
        <w:t xml:space="preserve"> forvaltning av </w:t>
      </w:r>
      <w:proofErr w:type="spellStart"/>
      <w:r w:rsidRPr="00CC19F7">
        <w:t>energiressursane</w:t>
      </w:r>
      <w:proofErr w:type="spellEnd"/>
      <w:r w:rsidRPr="00CC19F7">
        <w:t xml:space="preserve">, ei sikker kraftforsyning, </w:t>
      </w:r>
      <w:proofErr w:type="spellStart"/>
      <w:r w:rsidRPr="00CC19F7">
        <w:t>ein</w:t>
      </w:r>
      <w:proofErr w:type="spellEnd"/>
      <w:r w:rsidRPr="00CC19F7">
        <w:t xml:space="preserve"> effektiv og </w:t>
      </w:r>
      <w:proofErr w:type="spellStart"/>
      <w:r w:rsidRPr="00CC19F7">
        <w:t>velfungerande</w:t>
      </w:r>
      <w:proofErr w:type="spellEnd"/>
      <w:r w:rsidRPr="00CC19F7">
        <w:t xml:space="preserve"> </w:t>
      </w:r>
      <w:proofErr w:type="spellStart"/>
      <w:r w:rsidRPr="00CC19F7">
        <w:t>kraftmarknad</w:t>
      </w:r>
      <w:proofErr w:type="spellEnd"/>
      <w:r w:rsidRPr="00CC19F7">
        <w:t xml:space="preserve">, ei </w:t>
      </w:r>
      <w:proofErr w:type="spellStart"/>
      <w:r w:rsidRPr="00CC19F7">
        <w:t>heilskapleg</w:t>
      </w:r>
      <w:proofErr w:type="spellEnd"/>
      <w:r w:rsidRPr="00CC19F7">
        <w:t xml:space="preserve"> og </w:t>
      </w:r>
      <w:proofErr w:type="spellStart"/>
      <w:r w:rsidRPr="00CC19F7">
        <w:t>miljøvennleg</w:t>
      </w:r>
      <w:proofErr w:type="spellEnd"/>
      <w:r w:rsidRPr="00CC19F7">
        <w:t xml:space="preserve"> forvaltning av </w:t>
      </w:r>
      <w:proofErr w:type="spellStart"/>
      <w:r w:rsidRPr="00CC19F7">
        <w:t>vassressursane</w:t>
      </w:r>
      <w:proofErr w:type="spellEnd"/>
      <w:r w:rsidRPr="00CC19F7">
        <w:t xml:space="preserve"> og ei </w:t>
      </w:r>
      <w:proofErr w:type="spellStart"/>
      <w:r w:rsidRPr="00CC19F7">
        <w:t>forbetring</w:t>
      </w:r>
      <w:proofErr w:type="spellEnd"/>
      <w:r w:rsidRPr="00CC19F7">
        <w:t xml:space="preserve"> av evna til å handtere </w:t>
      </w:r>
      <w:proofErr w:type="spellStart"/>
      <w:r w:rsidRPr="00CC19F7">
        <w:t>flaum</w:t>
      </w:r>
      <w:proofErr w:type="spellEnd"/>
      <w:r w:rsidRPr="00CC19F7">
        <w:t>- og skredrisiko. Arbeidet skjedde i nært samarbeid med NVE og Statnett.</w:t>
      </w:r>
    </w:p>
    <w:p w14:paraId="4272F9EF" w14:textId="77777777" w:rsidR="00FE02EF" w:rsidRPr="00CC19F7" w:rsidRDefault="00881E58" w:rsidP="00CC19F7">
      <w:r w:rsidRPr="00CC19F7">
        <w:t xml:space="preserve">Året 2022 var prega av </w:t>
      </w:r>
      <w:proofErr w:type="spellStart"/>
      <w:r w:rsidRPr="00CC19F7">
        <w:t>usikkerheit</w:t>
      </w:r>
      <w:proofErr w:type="spellEnd"/>
      <w:r w:rsidRPr="00CC19F7">
        <w:t xml:space="preserve"> om utviklinga i kraftsituasjonen og store </w:t>
      </w:r>
      <w:proofErr w:type="spellStart"/>
      <w:r w:rsidRPr="00CC19F7">
        <w:t>forskjellar</w:t>
      </w:r>
      <w:proofErr w:type="spellEnd"/>
      <w:r w:rsidRPr="00CC19F7">
        <w:t xml:space="preserve"> i kraftpris og fyllingsgrad </w:t>
      </w:r>
      <w:proofErr w:type="spellStart"/>
      <w:r w:rsidRPr="00CC19F7">
        <w:t>innanlands</w:t>
      </w:r>
      <w:proofErr w:type="spellEnd"/>
      <w:r w:rsidRPr="00CC19F7">
        <w:t xml:space="preserve">. Russlands militære invasjon av Ukraina har i tillegg bidratt til </w:t>
      </w:r>
      <w:proofErr w:type="spellStart"/>
      <w:r w:rsidRPr="00CC19F7">
        <w:t>ein</w:t>
      </w:r>
      <w:proofErr w:type="spellEnd"/>
      <w:r w:rsidRPr="00CC19F7">
        <w:t xml:space="preserve"> usikker situasjon i Europa, som igjen påverkar utviklinga i energisystemet i </w:t>
      </w:r>
      <w:proofErr w:type="spellStart"/>
      <w:r w:rsidRPr="00CC19F7">
        <w:t>Noreg</w:t>
      </w:r>
      <w:proofErr w:type="spellEnd"/>
      <w:r w:rsidRPr="00CC19F7">
        <w:t>. I Sør-</w:t>
      </w:r>
      <w:proofErr w:type="spellStart"/>
      <w:r w:rsidRPr="00CC19F7">
        <w:t>Noreg</w:t>
      </w:r>
      <w:proofErr w:type="spellEnd"/>
      <w:r w:rsidRPr="00CC19F7">
        <w:t xml:space="preserve"> var fyllingsgraden låg og </w:t>
      </w:r>
      <w:proofErr w:type="spellStart"/>
      <w:r w:rsidRPr="00CC19F7">
        <w:t>prisane</w:t>
      </w:r>
      <w:proofErr w:type="spellEnd"/>
      <w:r w:rsidRPr="00CC19F7">
        <w:t xml:space="preserve"> høge og volatile. I Midt- og Nord-</w:t>
      </w:r>
      <w:proofErr w:type="spellStart"/>
      <w:r w:rsidRPr="00CC19F7">
        <w:t>Noreg</w:t>
      </w:r>
      <w:proofErr w:type="spellEnd"/>
      <w:r w:rsidRPr="00CC19F7">
        <w:t xml:space="preserve"> var situasjonen annleis, med høg fyllingsgrad og låge </w:t>
      </w:r>
      <w:proofErr w:type="spellStart"/>
      <w:r w:rsidRPr="00CC19F7">
        <w:t>prisar</w:t>
      </w:r>
      <w:proofErr w:type="spellEnd"/>
      <w:r w:rsidRPr="00CC19F7">
        <w:t xml:space="preserve">. Høg produksjon og nettoeksport gjennom </w:t>
      </w:r>
      <w:proofErr w:type="spellStart"/>
      <w:r w:rsidRPr="00CC19F7">
        <w:t>hausten</w:t>
      </w:r>
      <w:proofErr w:type="spellEnd"/>
      <w:r w:rsidRPr="00CC19F7">
        <w:t xml:space="preserve"> 2021 i Sør-</w:t>
      </w:r>
      <w:proofErr w:type="spellStart"/>
      <w:r w:rsidRPr="00CC19F7">
        <w:t>Noreg</w:t>
      </w:r>
      <w:proofErr w:type="spellEnd"/>
      <w:r w:rsidRPr="00CC19F7">
        <w:t xml:space="preserve"> førte til ei magasinfylling godt under median ved inngangen til 2022. Dette </w:t>
      </w:r>
      <w:proofErr w:type="spellStart"/>
      <w:r w:rsidRPr="00CC19F7">
        <w:t>biletet</w:t>
      </w:r>
      <w:proofErr w:type="spellEnd"/>
      <w:r w:rsidRPr="00CC19F7">
        <w:t xml:space="preserve"> </w:t>
      </w:r>
      <w:proofErr w:type="spellStart"/>
      <w:r w:rsidRPr="00CC19F7">
        <w:t>heldt</w:t>
      </w:r>
      <w:proofErr w:type="spellEnd"/>
      <w:r w:rsidRPr="00CC19F7">
        <w:t xml:space="preserve"> seg store </w:t>
      </w:r>
      <w:proofErr w:type="spellStart"/>
      <w:r w:rsidRPr="00CC19F7">
        <w:t>delar</w:t>
      </w:r>
      <w:proofErr w:type="spellEnd"/>
      <w:r w:rsidRPr="00CC19F7">
        <w:t xml:space="preserve"> av året, og det var </w:t>
      </w:r>
      <w:proofErr w:type="spellStart"/>
      <w:r w:rsidRPr="00CC19F7">
        <w:t>eit</w:t>
      </w:r>
      <w:proofErr w:type="spellEnd"/>
      <w:r w:rsidRPr="00CC19F7">
        <w:t xml:space="preserve"> spesielt stort avvik mellom faktisk fyllingsgrad og median gjennom </w:t>
      </w:r>
      <w:proofErr w:type="spellStart"/>
      <w:r w:rsidRPr="00CC19F7">
        <w:t>sommaren</w:t>
      </w:r>
      <w:proofErr w:type="spellEnd"/>
      <w:r w:rsidRPr="00CC19F7">
        <w:t xml:space="preserve">. Dette bidrog til svært høge </w:t>
      </w:r>
      <w:proofErr w:type="spellStart"/>
      <w:r w:rsidRPr="00CC19F7">
        <w:t>kraftprisar</w:t>
      </w:r>
      <w:proofErr w:type="spellEnd"/>
      <w:r w:rsidRPr="00CC19F7">
        <w:t xml:space="preserve"> i Sør-</w:t>
      </w:r>
      <w:proofErr w:type="spellStart"/>
      <w:r w:rsidRPr="00CC19F7">
        <w:t>Noreg</w:t>
      </w:r>
      <w:proofErr w:type="spellEnd"/>
      <w:r w:rsidRPr="00CC19F7">
        <w:t xml:space="preserve">, og i mai </w:t>
      </w:r>
      <w:proofErr w:type="spellStart"/>
      <w:r w:rsidRPr="00CC19F7">
        <w:t>rekna</w:t>
      </w:r>
      <w:proofErr w:type="spellEnd"/>
      <w:r w:rsidRPr="00CC19F7">
        <w:t xml:space="preserve"> Statnett kraftsituasjonen i Sør-</w:t>
      </w:r>
      <w:proofErr w:type="spellStart"/>
      <w:r w:rsidRPr="00CC19F7">
        <w:t>Noreg</w:t>
      </w:r>
      <w:proofErr w:type="spellEnd"/>
      <w:r w:rsidRPr="00CC19F7">
        <w:t xml:space="preserve"> som «stram». På sitt </w:t>
      </w:r>
      <w:proofErr w:type="spellStart"/>
      <w:r w:rsidRPr="00CC19F7">
        <w:t>høgaste</w:t>
      </w:r>
      <w:proofErr w:type="spellEnd"/>
      <w:r w:rsidRPr="00CC19F7">
        <w:t xml:space="preserve"> var kraftprisen på om lag 430 øre per kWh i Sørvest-</w:t>
      </w:r>
      <w:proofErr w:type="spellStart"/>
      <w:r w:rsidRPr="00CC19F7">
        <w:t>Noreg</w:t>
      </w:r>
      <w:proofErr w:type="spellEnd"/>
      <w:r w:rsidRPr="00CC19F7">
        <w:t xml:space="preserve"> (NO2) og 360 øre i Søraust- og Vest-</w:t>
      </w:r>
      <w:proofErr w:type="spellStart"/>
      <w:r w:rsidRPr="00CC19F7">
        <w:t>Noreg</w:t>
      </w:r>
      <w:proofErr w:type="spellEnd"/>
      <w:r w:rsidRPr="00CC19F7">
        <w:t xml:space="preserve"> (NO1 og NO5). NVE hadde i heile 2022 «</w:t>
      </w:r>
      <w:proofErr w:type="spellStart"/>
      <w:r w:rsidRPr="00CC19F7">
        <w:t>auka</w:t>
      </w:r>
      <w:proofErr w:type="spellEnd"/>
      <w:r w:rsidRPr="00CC19F7">
        <w:t xml:space="preserve"> </w:t>
      </w:r>
      <w:proofErr w:type="spellStart"/>
      <w:r w:rsidRPr="00CC19F7">
        <w:t>aktsemd</w:t>
      </w:r>
      <w:proofErr w:type="spellEnd"/>
      <w:r w:rsidRPr="00CC19F7">
        <w:t xml:space="preserve">» for kraftsituasjonen. </w:t>
      </w:r>
      <w:proofErr w:type="spellStart"/>
      <w:r w:rsidRPr="00CC19F7">
        <w:t>Sommaren</w:t>
      </w:r>
      <w:proofErr w:type="spellEnd"/>
      <w:r w:rsidRPr="00CC19F7">
        <w:t xml:space="preserve"> 2022 vedtok NVE at </w:t>
      </w:r>
      <w:proofErr w:type="spellStart"/>
      <w:r w:rsidRPr="00CC19F7">
        <w:t>eigarane</w:t>
      </w:r>
      <w:proofErr w:type="spellEnd"/>
      <w:r w:rsidRPr="00CC19F7">
        <w:t xml:space="preserve"> av </w:t>
      </w:r>
      <w:proofErr w:type="spellStart"/>
      <w:r w:rsidRPr="00CC19F7">
        <w:t>dei</w:t>
      </w:r>
      <w:proofErr w:type="spellEnd"/>
      <w:r w:rsidRPr="00CC19F7">
        <w:t xml:space="preserve"> største kraftverka i det </w:t>
      </w:r>
      <w:proofErr w:type="spellStart"/>
      <w:r w:rsidRPr="00CC19F7">
        <w:t>sørlege</w:t>
      </w:r>
      <w:proofErr w:type="spellEnd"/>
      <w:r w:rsidRPr="00CC19F7">
        <w:t xml:space="preserve"> </w:t>
      </w:r>
      <w:proofErr w:type="spellStart"/>
      <w:r w:rsidRPr="00CC19F7">
        <w:t>Noreg</w:t>
      </w:r>
      <w:proofErr w:type="spellEnd"/>
      <w:r w:rsidRPr="00CC19F7">
        <w:t xml:space="preserve"> måtte rapportere korleis </w:t>
      </w:r>
      <w:proofErr w:type="spellStart"/>
      <w:r w:rsidRPr="00CC19F7">
        <w:t>dei</w:t>
      </w:r>
      <w:proofErr w:type="spellEnd"/>
      <w:r w:rsidRPr="00CC19F7">
        <w:t xml:space="preserve"> bruker vassmagasina. På </w:t>
      </w:r>
      <w:proofErr w:type="spellStart"/>
      <w:r w:rsidRPr="00CC19F7">
        <w:t>hausten</w:t>
      </w:r>
      <w:proofErr w:type="spellEnd"/>
      <w:r w:rsidRPr="00CC19F7">
        <w:t xml:space="preserve"> blei det varsla at regjeringa ville innføre </w:t>
      </w:r>
      <w:proofErr w:type="spellStart"/>
      <w:r w:rsidRPr="00CC19F7">
        <w:t>ein</w:t>
      </w:r>
      <w:proofErr w:type="spellEnd"/>
      <w:r w:rsidRPr="00CC19F7">
        <w:t xml:space="preserve"> styringsmekanisme for betre styring av </w:t>
      </w:r>
      <w:proofErr w:type="spellStart"/>
      <w:r w:rsidRPr="00CC19F7">
        <w:t>forsyningssikkerheita</w:t>
      </w:r>
      <w:proofErr w:type="spellEnd"/>
      <w:r w:rsidRPr="00CC19F7">
        <w:t>.</w:t>
      </w:r>
    </w:p>
    <w:p w14:paraId="4FEB0E81" w14:textId="77777777" w:rsidR="00FE02EF" w:rsidRPr="00CC19F7" w:rsidRDefault="00881E58" w:rsidP="00CC19F7">
      <w:r w:rsidRPr="00CC19F7">
        <w:t xml:space="preserve">Låg produksjon, godt tilsig og </w:t>
      </w:r>
      <w:proofErr w:type="spellStart"/>
      <w:r w:rsidRPr="00CC19F7">
        <w:t>kraftprodusentar</w:t>
      </w:r>
      <w:proofErr w:type="spellEnd"/>
      <w:r w:rsidRPr="00CC19F7">
        <w:t xml:space="preserve"> som sparte på vatnet, bidrog til </w:t>
      </w:r>
      <w:proofErr w:type="spellStart"/>
      <w:r w:rsidRPr="00CC19F7">
        <w:t>ein</w:t>
      </w:r>
      <w:proofErr w:type="spellEnd"/>
      <w:r w:rsidRPr="00CC19F7">
        <w:t xml:space="preserve"> stor </w:t>
      </w:r>
      <w:proofErr w:type="spellStart"/>
      <w:r w:rsidRPr="00CC19F7">
        <w:t>auke</w:t>
      </w:r>
      <w:proofErr w:type="spellEnd"/>
      <w:r w:rsidRPr="00CC19F7">
        <w:t xml:space="preserve"> i fyllingsgraden i løpet av </w:t>
      </w:r>
      <w:proofErr w:type="spellStart"/>
      <w:r w:rsidRPr="00CC19F7">
        <w:t>haustmånadene</w:t>
      </w:r>
      <w:proofErr w:type="spellEnd"/>
      <w:r w:rsidRPr="00CC19F7">
        <w:t xml:space="preserve"> 2022. Situasjonen var derfor betre ved inngangen til 2023 enn </w:t>
      </w:r>
      <w:proofErr w:type="spellStart"/>
      <w:r w:rsidRPr="00CC19F7">
        <w:t>tidlegare</w:t>
      </w:r>
      <w:proofErr w:type="spellEnd"/>
      <w:r w:rsidRPr="00CC19F7">
        <w:t xml:space="preserve"> frykta. I slutten av november 2022 endra Statnett vurderinga av kraftsituasjonen </w:t>
      </w:r>
      <w:proofErr w:type="spellStart"/>
      <w:r w:rsidRPr="00CC19F7">
        <w:t>frå</w:t>
      </w:r>
      <w:proofErr w:type="spellEnd"/>
      <w:r w:rsidRPr="00CC19F7">
        <w:t xml:space="preserve"> stram til normal. </w:t>
      </w:r>
      <w:proofErr w:type="spellStart"/>
      <w:r w:rsidRPr="00CC19F7">
        <w:t>Gjennomsnittleg</w:t>
      </w:r>
      <w:proofErr w:type="spellEnd"/>
      <w:r w:rsidRPr="00CC19F7">
        <w:t xml:space="preserve"> kraftpris for Sørvest- og Vest-</w:t>
      </w:r>
      <w:proofErr w:type="spellStart"/>
      <w:r w:rsidRPr="00CC19F7">
        <w:t>Noreg</w:t>
      </w:r>
      <w:proofErr w:type="spellEnd"/>
      <w:r w:rsidRPr="00CC19F7">
        <w:t xml:space="preserve"> (NO1 og NO5), Søraust-</w:t>
      </w:r>
      <w:proofErr w:type="spellStart"/>
      <w:r w:rsidRPr="00CC19F7">
        <w:t>Noreg</w:t>
      </w:r>
      <w:proofErr w:type="spellEnd"/>
      <w:r w:rsidRPr="00CC19F7">
        <w:t xml:space="preserve"> (NO2), Midt-</w:t>
      </w:r>
      <w:proofErr w:type="spellStart"/>
      <w:r w:rsidRPr="00CC19F7">
        <w:t>Noreg</w:t>
      </w:r>
      <w:proofErr w:type="spellEnd"/>
      <w:r w:rsidRPr="00CC19F7">
        <w:t xml:space="preserve"> (NO3) og Nord-</w:t>
      </w:r>
      <w:proofErr w:type="spellStart"/>
      <w:r w:rsidRPr="00CC19F7">
        <w:t>Noreg</w:t>
      </w:r>
      <w:proofErr w:type="spellEnd"/>
      <w:r w:rsidRPr="00CC19F7">
        <w:t xml:space="preserve"> (NO4) enda på </w:t>
      </w:r>
      <w:proofErr w:type="spellStart"/>
      <w:r w:rsidRPr="00CC19F7">
        <w:t>høvesvis</w:t>
      </w:r>
      <w:proofErr w:type="spellEnd"/>
      <w:r w:rsidRPr="00CC19F7">
        <w:t xml:space="preserve"> 194, 213, 43 og 25 øre per kWh i 2022.</w:t>
      </w:r>
    </w:p>
    <w:p w14:paraId="07984C0D" w14:textId="77777777" w:rsidR="00FE02EF" w:rsidRPr="00CC19F7" w:rsidRDefault="00881E58" w:rsidP="00CC19F7">
      <w:r w:rsidRPr="00CC19F7">
        <w:t xml:space="preserve">Samla blei det produsert 146,0 </w:t>
      </w:r>
      <w:proofErr w:type="spellStart"/>
      <w:r w:rsidRPr="00CC19F7">
        <w:t>TWh</w:t>
      </w:r>
      <w:proofErr w:type="spellEnd"/>
      <w:r w:rsidRPr="00CC19F7">
        <w:t xml:space="preserve"> kraft i 2022, </w:t>
      </w:r>
      <w:proofErr w:type="spellStart"/>
      <w:r w:rsidRPr="00CC19F7">
        <w:t>ein</w:t>
      </w:r>
      <w:proofErr w:type="spellEnd"/>
      <w:r w:rsidRPr="00CC19F7">
        <w:t xml:space="preserve"> nedgang på 11,1 </w:t>
      </w:r>
      <w:proofErr w:type="spellStart"/>
      <w:r w:rsidRPr="00CC19F7">
        <w:t>TWh</w:t>
      </w:r>
      <w:proofErr w:type="spellEnd"/>
      <w:r w:rsidRPr="00CC19F7">
        <w:t xml:space="preserve"> </w:t>
      </w:r>
      <w:proofErr w:type="spellStart"/>
      <w:r w:rsidRPr="00CC19F7">
        <w:t>frå</w:t>
      </w:r>
      <w:proofErr w:type="spellEnd"/>
      <w:r w:rsidRPr="00CC19F7">
        <w:t xml:space="preserve"> 2021. Av dette utgjorde vindkraft 14,8 </w:t>
      </w:r>
      <w:proofErr w:type="spellStart"/>
      <w:r w:rsidRPr="00CC19F7">
        <w:t>TWh</w:t>
      </w:r>
      <w:proofErr w:type="spellEnd"/>
      <w:r w:rsidRPr="00CC19F7">
        <w:t xml:space="preserve">. Norsk kraftforbruk enda på 133,4 </w:t>
      </w:r>
      <w:proofErr w:type="spellStart"/>
      <w:r w:rsidRPr="00CC19F7">
        <w:t>TWh</w:t>
      </w:r>
      <w:proofErr w:type="spellEnd"/>
      <w:r w:rsidRPr="00CC19F7">
        <w:t xml:space="preserve">, </w:t>
      </w:r>
      <w:proofErr w:type="spellStart"/>
      <w:r w:rsidRPr="00CC19F7">
        <w:t>noko</w:t>
      </w:r>
      <w:proofErr w:type="spellEnd"/>
      <w:r w:rsidRPr="00CC19F7">
        <w:t xml:space="preserve"> som gav </w:t>
      </w:r>
      <w:proofErr w:type="spellStart"/>
      <w:r w:rsidRPr="00CC19F7">
        <w:t>ein</w:t>
      </w:r>
      <w:proofErr w:type="spellEnd"/>
      <w:r w:rsidRPr="00CC19F7">
        <w:t xml:space="preserve"> positiv kraftbalanse på 12,5 </w:t>
      </w:r>
      <w:proofErr w:type="spellStart"/>
      <w:r w:rsidRPr="00CC19F7">
        <w:t>TWh</w:t>
      </w:r>
      <w:proofErr w:type="spellEnd"/>
      <w:r w:rsidRPr="00CC19F7">
        <w:t xml:space="preserve"> i 2022. </w:t>
      </w:r>
      <w:proofErr w:type="spellStart"/>
      <w:r w:rsidRPr="00CC19F7">
        <w:t>Noreg</w:t>
      </w:r>
      <w:proofErr w:type="spellEnd"/>
      <w:r w:rsidRPr="00CC19F7">
        <w:t xml:space="preserve"> hadde i 2022 dermed </w:t>
      </w:r>
      <w:proofErr w:type="spellStart"/>
      <w:r w:rsidRPr="00CC19F7">
        <w:t>ein</w:t>
      </w:r>
      <w:proofErr w:type="spellEnd"/>
      <w:r w:rsidRPr="00CC19F7">
        <w:t xml:space="preserve"> nettoeksport på 12,5 </w:t>
      </w:r>
      <w:proofErr w:type="spellStart"/>
      <w:r w:rsidRPr="00CC19F7">
        <w:t>TWh</w:t>
      </w:r>
      <w:proofErr w:type="spellEnd"/>
      <w:r w:rsidRPr="00CC19F7">
        <w:t xml:space="preserve">, </w:t>
      </w:r>
      <w:proofErr w:type="spellStart"/>
      <w:r w:rsidRPr="00CC19F7">
        <w:t>noko</w:t>
      </w:r>
      <w:proofErr w:type="spellEnd"/>
      <w:r w:rsidRPr="00CC19F7">
        <w:t xml:space="preserve"> som var om lag 5,1 </w:t>
      </w:r>
      <w:proofErr w:type="spellStart"/>
      <w:r w:rsidRPr="00CC19F7">
        <w:t>TWh</w:t>
      </w:r>
      <w:proofErr w:type="spellEnd"/>
      <w:r w:rsidRPr="00CC19F7">
        <w:t xml:space="preserve"> </w:t>
      </w:r>
      <w:proofErr w:type="spellStart"/>
      <w:r w:rsidRPr="00CC19F7">
        <w:t>lågare</w:t>
      </w:r>
      <w:proofErr w:type="spellEnd"/>
      <w:r w:rsidRPr="00CC19F7">
        <w:t xml:space="preserve"> enn året før.</w:t>
      </w:r>
    </w:p>
    <w:p w14:paraId="78AA3263" w14:textId="77777777" w:rsidR="00FE02EF" w:rsidRPr="00CC19F7" w:rsidRDefault="00881E58" w:rsidP="00CC19F7">
      <w:r w:rsidRPr="00CC19F7">
        <w:t xml:space="preserve">Leveringskvaliteten på </w:t>
      </w:r>
      <w:proofErr w:type="spellStart"/>
      <w:r w:rsidRPr="00CC19F7">
        <w:t>straum</w:t>
      </w:r>
      <w:proofErr w:type="spellEnd"/>
      <w:r w:rsidRPr="00CC19F7">
        <w:t xml:space="preserve"> i </w:t>
      </w:r>
      <w:proofErr w:type="spellStart"/>
      <w:r w:rsidRPr="00CC19F7">
        <w:t>Noreg</w:t>
      </w:r>
      <w:proofErr w:type="spellEnd"/>
      <w:r w:rsidRPr="00CC19F7">
        <w:t xml:space="preserve"> er god, og </w:t>
      </w:r>
      <w:proofErr w:type="spellStart"/>
      <w:r w:rsidRPr="00CC19F7">
        <w:t>leveringspålitelegheita</w:t>
      </w:r>
      <w:proofErr w:type="spellEnd"/>
      <w:r w:rsidRPr="00CC19F7">
        <w:t xml:space="preserve"> i 2022 var nær 100 prosent. I gjennomsnitt opplevde </w:t>
      </w:r>
      <w:proofErr w:type="spellStart"/>
      <w:r w:rsidRPr="00CC19F7">
        <w:t>ein</w:t>
      </w:r>
      <w:proofErr w:type="spellEnd"/>
      <w:r w:rsidRPr="00CC19F7">
        <w:t xml:space="preserve"> straumkunde 1,46 langvarige </w:t>
      </w:r>
      <w:proofErr w:type="spellStart"/>
      <w:r w:rsidRPr="00CC19F7">
        <w:t>avbrot</w:t>
      </w:r>
      <w:proofErr w:type="spellEnd"/>
      <w:r w:rsidRPr="00CC19F7">
        <w:t xml:space="preserve"> (over 3 minutt) og 1,42 kortvarige </w:t>
      </w:r>
      <w:proofErr w:type="spellStart"/>
      <w:r w:rsidRPr="00CC19F7">
        <w:t>avbrot</w:t>
      </w:r>
      <w:proofErr w:type="spellEnd"/>
      <w:r w:rsidRPr="00CC19F7">
        <w:t xml:space="preserve"> (under 3 minutt) i 2022. </w:t>
      </w:r>
      <w:proofErr w:type="spellStart"/>
      <w:r w:rsidRPr="00CC19F7">
        <w:t>Gjennomsnittleg</w:t>
      </w:r>
      <w:proofErr w:type="spellEnd"/>
      <w:r w:rsidRPr="00CC19F7">
        <w:t xml:space="preserve"> gjenopprettingstid for langvarige </w:t>
      </w:r>
      <w:proofErr w:type="spellStart"/>
      <w:r w:rsidRPr="00CC19F7">
        <w:t>avbrot</w:t>
      </w:r>
      <w:proofErr w:type="spellEnd"/>
      <w:r w:rsidRPr="00CC19F7">
        <w:t xml:space="preserve"> var 1 time og 8 minutt. </w:t>
      </w:r>
      <w:proofErr w:type="spellStart"/>
      <w:r w:rsidRPr="00CC19F7">
        <w:t>Tydelege</w:t>
      </w:r>
      <w:proofErr w:type="spellEnd"/>
      <w:r w:rsidRPr="00CC19F7">
        <w:t xml:space="preserve"> krav til beredskapsarbeid og </w:t>
      </w:r>
      <w:proofErr w:type="spellStart"/>
      <w:r w:rsidRPr="00CC19F7">
        <w:t>omfattande</w:t>
      </w:r>
      <w:proofErr w:type="spellEnd"/>
      <w:r w:rsidRPr="00CC19F7">
        <w:t xml:space="preserve"> </w:t>
      </w:r>
      <w:proofErr w:type="spellStart"/>
      <w:r w:rsidRPr="00CC19F7">
        <w:t>informasjonsverksemd</w:t>
      </w:r>
      <w:proofErr w:type="spellEnd"/>
      <w:r w:rsidRPr="00CC19F7">
        <w:t xml:space="preserve"> </w:t>
      </w:r>
      <w:proofErr w:type="spellStart"/>
      <w:r w:rsidRPr="00CC19F7">
        <w:t>frå</w:t>
      </w:r>
      <w:proofErr w:type="spellEnd"/>
      <w:r w:rsidRPr="00CC19F7">
        <w:t xml:space="preserve"> NVE bidro til å </w:t>
      </w:r>
      <w:proofErr w:type="gramStart"/>
      <w:r w:rsidRPr="00CC19F7">
        <w:t>fokusere</w:t>
      </w:r>
      <w:proofErr w:type="gramEnd"/>
      <w:r w:rsidRPr="00CC19F7">
        <w:t xml:space="preserve"> på beredskap i nettselskapa.</w:t>
      </w:r>
    </w:p>
    <w:p w14:paraId="345BEB7D" w14:textId="77777777" w:rsidR="00FE02EF" w:rsidRPr="00CC19F7" w:rsidRDefault="00881E58" w:rsidP="00CC19F7">
      <w:r w:rsidRPr="00CC19F7">
        <w:t xml:space="preserve">I desember 2021 la regjeringa fram forslag til ei mellombels lov om stønad til </w:t>
      </w:r>
      <w:proofErr w:type="spellStart"/>
      <w:r w:rsidRPr="00CC19F7">
        <w:t>hushaldningar</w:t>
      </w:r>
      <w:proofErr w:type="spellEnd"/>
      <w:r w:rsidRPr="00CC19F7">
        <w:t xml:space="preserve"> som følge av ekstraordinære straumutgifter (straumstønadslova), jf. </w:t>
      </w:r>
      <w:proofErr w:type="spellStart"/>
      <w:r w:rsidRPr="00CC19F7">
        <w:t>Prop</w:t>
      </w:r>
      <w:proofErr w:type="spellEnd"/>
      <w:r w:rsidRPr="00CC19F7">
        <w:t xml:space="preserve">. 44 L (2021–2022) og </w:t>
      </w:r>
      <w:proofErr w:type="spellStart"/>
      <w:r w:rsidRPr="00CC19F7">
        <w:t>Prop</w:t>
      </w:r>
      <w:proofErr w:type="spellEnd"/>
      <w:r w:rsidRPr="00CC19F7">
        <w:t xml:space="preserve">. 45 S (2021–2022). I 2022 blei det gjort ei rekke </w:t>
      </w:r>
      <w:proofErr w:type="spellStart"/>
      <w:r w:rsidRPr="00CC19F7">
        <w:t>endringar</w:t>
      </w:r>
      <w:proofErr w:type="spellEnd"/>
      <w:r w:rsidRPr="00CC19F7">
        <w:t xml:space="preserve"> i straumstønadslova basert på forslag </w:t>
      </w:r>
      <w:proofErr w:type="spellStart"/>
      <w:r w:rsidRPr="00CC19F7">
        <w:t>frå</w:t>
      </w:r>
      <w:proofErr w:type="spellEnd"/>
      <w:r w:rsidRPr="00CC19F7">
        <w:t xml:space="preserve"> regjeringa.</w:t>
      </w:r>
    </w:p>
    <w:p w14:paraId="4565E710" w14:textId="77777777" w:rsidR="00FE02EF" w:rsidRPr="00CC19F7" w:rsidRDefault="00881E58" w:rsidP="00CC19F7">
      <w:proofErr w:type="spellStart"/>
      <w:r w:rsidRPr="00CC19F7">
        <w:t>Straumnettutvalet</w:t>
      </w:r>
      <w:proofErr w:type="spellEnd"/>
      <w:r w:rsidRPr="00CC19F7">
        <w:t xml:space="preserve"> la i juni 2022 fram NOU 2022: 6 </w:t>
      </w:r>
      <w:r w:rsidRPr="00CC19F7">
        <w:rPr>
          <w:rStyle w:val="kursiv"/>
        </w:rPr>
        <w:t>Nett i tide – om utvikling av strømnettet</w:t>
      </w:r>
      <w:r w:rsidRPr="00CC19F7">
        <w:t xml:space="preserve">. </w:t>
      </w:r>
      <w:proofErr w:type="spellStart"/>
      <w:r w:rsidRPr="00CC19F7">
        <w:t>Utvalet</w:t>
      </w:r>
      <w:proofErr w:type="spellEnd"/>
      <w:r w:rsidRPr="00CC19F7">
        <w:t xml:space="preserve"> kom med ei </w:t>
      </w:r>
      <w:proofErr w:type="spellStart"/>
      <w:r w:rsidRPr="00CC19F7">
        <w:t>rekkje</w:t>
      </w:r>
      <w:proofErr w:type="spellEnd"/>
      <w:r w:rsidRPr="00CC19F7">
        <w:t xml:space="preserve"> forslag til tiltak for å redusere tida det tar å utvikle og </w:t>
      </w:r>
      <w:proofErr w:type="spellStart"/>
      <w:r w:rsidRPr="00CC19F7">
        <w:t>konsesjonsbehandle</w:t>
      </w:r>
      <w:proofErr w:type="spellEnd"/>
      <w:r w:rsidRPr="00CC19F7">
        <w:t xml:space="preserve"> nye nettanlegg, </w:t>
      </w:r>
      <w:proofErr w:type="spellStart"/>
      <w:r w:rsidRPr="00CC19F7">
        <w:t>forbetre</w:t>
      </w:r>
      <w:proofErr w:type="spellEnd"/>
      <w:r w:rsidRPr="00CC19F7">
        <w:t xml:space="preserve"> systemet med </w:t>
      </w:r>
      <w:proofErr w:type="spellStart"/>
      <w:r w:rsidRPr="00CC19F7">
        <w:t>tilknytingsplikt</w:t>
      </w:r>
      <w:proofErr w:type="spellEnd"/>
      <w:r w:rsidRPr="00CC19F7">
        <w:t xml:space="preserve"> og vareta ei samfunnsøkonomisk rasjonell utvikling av straumnettet. Som </w:t>
      </w:r>
      <w:proofErr w:type="spellStart"/>
      <w:r w:rsidRPr="00CC19F7">
        <w:t>ein</w:t>
      </w:r>
      <w:proofErr w:type="spellEnd"/>
      <w:r w:rsidRPr="00CC19F7">
        <w:t xml:space="preserve"> del av oppfølginga av </w:t>
      </w:r>
      <w:proofErr w:type="spellStart"/>
      <w:r w:rsidRPr="00CC19F7">
        <w:t>utvalet</w:t>
      </w:r>
      <w:proofErr w:type="spellEnd"/>
      <w:r w:rsidRPr="00CC19F7">
        <w:t xml:space="preserve"> bad departementet NVE mellom anna om å gjennomføre tiltak for </w:t>
      </w:r>
      <w:proofErr w:type="spellStart"/>
      <w:r w:rsidRPr="00CC19F7">
        <w:t>raskare</w:t>
      </w:r>
      <w:proofErr w:type="spellEnd"/>
      <w:r w:rsidRPr="00CC19F7">
        <w:t xml:space="preserve"> konsesjonsbehandling. </w:t>
      </w:r>
      <w:proofErr w:type="spellStart"/>
      <w:r w:rsidRPr="00CC19F7">
        <w:t>Hausten</w:t>
      </w:r>
      <w:proofErr w:type="spellEnd"/>
      <w:r w:rsidRPr="00CC19F7">
        <w:t xml:space="preserve"> 2022 foreslo regjeringa også å </w:t>
      </w:r>
      <w:proofErr w:type="spellStart"/>
      <w:r w:rsidRPr="00CC19F7">
        <w:t>auke</w:t>
      </w:r>
      <w:proofErr w:type="spellEnd"/>
      <w:r w:rsidRPr="00CC19F7">
        <w:t xml:space="preserve"> </w:t>
      </w:r>
      <w:proofErr w:type="spellStart"/>
      <w:r w:rsidRPr="00CC19F7">
        <w:t>løyvingane</w:t>
      </w:r>
      <w:proofErr w:type="spellEnd"/>
      <w:r w:rsidRPr="00CC19F7">
        <w:t xml:space="preserve"> til </w:t>
      </w:r>
      <w:proofErr w:type="spellStart"/>
      <w:r w:rsidRPr="00CC19F7">
        <w:t>konsesjonsmyndigheitene</w:t>
      </w:r>
      <w:proofErr w:type="spellEnd"/>
      <w:r w:rsidRPr="00CC19F7">
        <w:t>.</w:t>
      </w:r>
    </w:p>
    <w:p w14:paraId="715E23AE" w14:textId="77777777" w:rsidR="00FE02EF" w:rsidRPr="00CC19F7" w:rsidRDefault="00881E58" w:rsidP="00CC19F7">
      <w:r w:rsidRPr="00CC19F7">
        <w:t xml:space="preserve">Departementet har forvalta den </w:t>
      </w:r>
      <w:proofErr w:type="spellStart"/>
      <w:r w:rsidRPr="00CC19F7">
        <w:t>statlege</w:t>
      </w:r>
      <w:proofErr w:type="spellEnd"/>
      <w:r w:rsidRPr="00CC19F7">
        <w:t xml:space="preserve"> </w:t>
      </w:r>
      <w:proofErr w:type="spellStart"/>
      <w:r w:rsidRPr="00CC19F7">
        <w:t>eigarskapen</w:t>
      </w:r>
      <w:proofErr w:type="spellEnd"/>
      <w:r w:rsidRPr="00CC19F7">
        <w:t xml:space="preserve"> i Statnett SF, som er </w:t>
      </w:r>
      <w:proofErr w:type="spellStart"/>
      <w:r w:rsidRPr="00CC19F7">
        <w:t>systemansvarleg</w:t>
      </w:r>
      <w:proofErr w:type="spellEnd"/>
      <w:r w:rsidRPr="00CC19F7">
        <w:t xml:space="preserve"> for den norske kraftforsyninga og </w:t>
      </w:r>
      <w:proofErr w:type="spellStart"/>
      <w:r w:rsidRPr="00CC19F7">
        <w:t>eit</w:t>
      </w:r>
      <w:proofErr w:type="spellEnd"/>
      <w:r w:rsidRPr="00CC19F7">
        <w:t xml:space="preserve"> viktig sektorpolitisk </w:t>
      </w:r>
      <w:proofErr w:type="spellStart"/>
      <w:r w:rsidRPr="00CC19F7">
        <w:t>føretak</w:t>
      </w:r>
      <w:proofErr w:type="spellEnd"/>
      <w:r w:rsidRPr="00CC19F7">
        <w:t xml:space="preserve"> med ansvar for kritisk infrastruktur. Som </w:t>
      </w:r>
      <w:proofErr w:type="spellStart"/>
      <w:r w:rsidRPr="00CC19F7">
        <w:t>eigar</w:t>
      </w:r>
      <w:proofErr w:type="spellEnd"/>
      <w:r w:rsidRPr="00CC19F7">
        <w:t xml:space="preserve"> held departementet seg orientert om investeringsportefølje, økonomi og drift m.m. i </w:t>
      </w:r>
      <w:proofErr w:type="spellStart"/>
      <w:r w:rsidRPr="00CC19F7">
        <w:t>føretaket</w:t>
      </w:r>
      <w:proofErr w:type="spellEnd"/>
      <w:r w:rsidRPr="00CC19F7">
        <w:t>.</w:t>
      </w:r>
    </w:p>
    <w:p w14:paraId="438BC65E" w14:textId="77777777" w:rsidR="00FE02EF" w:rsidRPr="00CC19F7" w:rsidRDefault="00881E58" w:rsidP="00CC19F7">
      <w:r w:rsidRPr="00CC19F7">
        <w:t xml:space="preserve">Departementet arbeidde med revidering av energimerkeordninga for bygg, mellom anna for at ho skal bli </w:t>
      </w:r>
      <w:proofErr w:type="spellStart"/>
      <w:r w:rsidRPr="00CC19F7">
        <w:t>meir</w:t>
      </w:r>
      <w:proofErr w:type="spellEnd"/>
      <w:r w:rsidRPr="00CC19F7">
        <w:t xml:space="preserve"> relevant for </w:t>
      </w:r>
      <w:proofErr w:type="spellStart"/>
      <w:r w:rsidRPr="00CC19F7">
        <w:t>eksisterande</w:t>
      </w:r>
      <w:proofErr w:type="spellEnd"/>
      <w:r w:rsidRPr="00CC19F7">
        <w:t xml:space="preserve"> bygg.</w:t>
      </w:r>
    </w:p>
    <w:p w14:paraId="6445DD3C" w14:textId="77777777" w:rsidR="00FE02EF" w:rsidRPr="00CC19F7" w:rsidRDefault="00881E58" w:rsidP="00CC19F7">
      <w:r w:rsidRPr="00CC19F7">
        <w:t xml:space="preserve">Departementet hadde ansvar for gjennomføring av </w:t>
      </w:r>
      <w:proofErr w:type="spellStart"/>
      <w:r w:rsidRPr="00CC19F7">
        <w:t>forordningar</w:t>
      </w:r>
      <w:proofErr w:type="spellEnd"/>
      <w:r w:rsidRPr="00CC19F7">
        <w:t xml:space="preserve"> under økodesigndirektivet og energimerkeforordninga. I oppfølginga av </w:t>
      </w:r>
      <w:proofErr w:type="spellStart"/>
      <w:r w:rsidRPr="00CC19F7">
        <w:t>forordningar</w:t>
      </w:r>
      <w:proofErr w:type="spellEnd"/>
      <w:r w:rsidRPr="00CC19F7">
        <w:t xml:space="preserve"> under økodesigndirektivet samarbeidde departementet med Klima- og miljødepartementet (KLD).</w:t>
      </w:r>
    </w:p>
    <w:p w14:paraId="674545E0" w14:textId="77777777" w:rsidR="00FE02EF" w:rsidRPr="00CC19F7" w:rsidRDefault="00881E58" w:rsidP="00CC19F7">
      <w:r w:rsidRPr="00CC19F7">
        <w:t>Departementet arbeidde med tiltak for energieffektivisering, og gav mellom anna NVE oppdrag om å sette i verk informasjonstiltak om straumsparing og energieffektivisering.</w:t>
      </w:r>
    </w:p>
    <w:p w14:paraId="67967E9C" w14:textId="77777777" w:rsidR="00FE02EF" w:rsidRPr="00CC19F7" w:rsidRDefault="00881E58" w:rsidP="00CC19F7">
      <w:r w:rsidRPr="00CC19F7">
        <w:t>Departementet har bistått Justis- og beredskapsdepartementet (JD) med arbeid knytta til energiforsyninga i Longyearbyen.</w:t>
      </w:r>
    </w:p>
    <w:p w14:paraId="13841784" w14:textId="77777777" w:rsidR="00FE02EF" w:rsidRPr="00CC19F7" w:rsidRDefault="00881E58" w:rsidP="00CC19F7">
      <w:r w:rsidRPr="00CC19F7">
        <w:t xml:space="preserve">Departementet har i 2022 </w:t>
      </w:r>
      <w:proofErr w:type="spellStart"/>
      <w:r w:rsidRPr="00CC19F7">
        <w:t>følgt</w:t>
      </w:r>
      <w:proofErr w:type="spellEnd"/>
      <w:r w:rsidRPr="00CC19F7">
        <w:t xml:space="preserve"> og analysert utviklinga i </w:t>
      </w:r>
      <w:proofErr w:type="spellStart"/>
      <w:r w:rsidRPr="00CC19F7">
        <w:t>dei</w:t>
      </w:r>
      <w:proofErr w:type="spellEnd"/>
      <w:r w:rsidRPr="00CC19F7">
        <w:t xml:space="preserve"> nordiske og nordeuropeiske </w:t>
      </w:r>
      <w:proofErr w:type="spellStart"/>
      <w:r w:rsidRPr="00CC19F7">
        <w:t>kraftmarknadene</w:t>
      </w:r>
      <w:proofErr w:type="spellEnd"/>
      <w:r w:rsidRPr="00CC19F7">
        <w:t xml:space="preserve">. Departementet har deltatt i arbeidsgrupper på nordisk nivå for å føre </w:t>
      </w:r>
      <w:proofErr w:type="spellStart"/>
      <w:r w:rsidRPr="00CC19F7">
        <w:t>vidare</w:t>
      </w:r>
      <w:proofErr w:type="spellEnd"/>
      <w:r w:rsidRPr="00CC19F7">
        <w:t xml:space="preserve"> det nordiske energisamarbeidet.</w:t>
      </w:r>
    </w:p>
    <w:p w14:paraId="4D86EB8F" w14:textId="77777777" w:rsidR="00FE02EF" w:rsidRPr="00CC19F7" w:rsidRDefault="00881E58" w:rsidP="00CC19F7">
      <w:r w:rsidRPr="00CC19F7">
        <w:t xml:space="preserve">Departementet har </w:t>
      </w:r>
      <w:proofErr w:type="spellStart"/>
      <w:r w:rsidRPr="00CC19F7">
        <w:t>følgt</w:t>
      </w:r>
      <w:proofErr w:type="spellEnd"/>
      <w:r w:rsidRPr="00CC19F7">
        <w:t xml:space="preserve"> </w:t>
      </w:r>
      <w:proofErr w:type="spellStart"/>
      <w:r w:rsidRPr="00CC19F7">
        <w:t>prosessane</w:t>
      </w:r>
      <w:proofErr w:type="spellEnd"/>
      <w:r w:rsidRPr="00CC19F7">
        <w:t xml:space="preserve"> for regelverksutviklinga i EU på energiområdet tett. EUs Rein energi-pakke blei vedtatt i EU i 2018 og 2019. I 2022 har departementet </w:t>
      </w:r>
      <w:proofErr w:type="spellStart"/>
      <w:r w:rsidRPr="00CC19F7">
        <w:t>arbeidd</w:t>
      </w:r>
      <w:proofErr w:type="spellEnd"/>
      <w:r w:rsidRPr="00CC19F7">
        <w:t xml:space="preserve"> med å vurdere </w:t>
      </w:r>
      <w:proofErr w:type="spellStart"/>
      <w:r w:rsidRPr="00CC19F7">
        <w:t>innhaldet</w:t>
      </w:r>
      <w:proofErr w:type="spellEnd"/>
      <w:r w:rsidRPr="00CC19F7">
        <w:t xml:space="preserve"> i det vedtatte regelverket.</w:t>
      </w:r>
    </w:p>
    <w:p w14:paraId="4C07A72A" w14:textId="77777777" w:rsidR="00FE02EF" w:rsidRPr="00CC19F7" w:rsidRDefault="00881E58" w:rsidP="00CC19F7">
      <w:r w:rsidRPr="00CC19F7">
        <w:t xml:space="preserve">I 2022 var det ingen klagesaker på konsesjon til produksjonsanlegg etter energilova til behandling. Departementet har behandla 22 klagesaker om </w:t>
      </w:r>
      <w:proofErr w:type="spellStart"/>
      <w:r w:rsidRPr="00CC19F7">
        <w:t>kraftleidningar</w:t>
      </w:r>
      <w:proofErr w:type="spellEnd"/>
      <w:r w:rsidRPr="00CC19F7">
        <w:t xml:space="preserve">. Etter </w:t>
      </w:r>
      <w:proofErr w:type="spellStart"/>
      <w:r w:rsidRPr="00CC19F7">
        <w:t>ein</w:t>
      </w:r>
      <w:proofErr w:type="spellEnd"/>
      <w:r w:rsidRPr="00CC19F7">
        <w:t xml:space="preserve"> pause på tre år blei det i april 2022 igjen </w:t>
      </w:r>
      <w:proofErr w:type="spellStart"/>
      <w:r w:rsidRPr="00CC19F7">
        <w:t>opna</w:t>
      </w:r>
      <w:proofErr w:type="spellEnd"/>
      <w:r w:rsidRPr="00CC19F7">
        <w:t xml:space="preserve"> opp for konsesjonsbehandling av nye vindkraftprosjekt der vertskommunen samtykker til behandling.</w:t>
      </w:r>
    </w:p>
    <w:p w14:paraId="5CA4C468" w14:textId="77777777" w:rsidR="00FE02EF" w:rsidRPr="00CC19F7" w:rsidRDefault="00881E58" w:rsidP="00CC19F7">
      <w:r w:rsidRPr="00CC19F7">
        <w:t xml:space="preserve">Etter at departementet i desember 2021 hadde varsla </w:t>
      </w:r>
      <w:proofErr w:type="spellStart"/>
      <w:r w:rsidRPr="00CC19F7">
        <w:t>vindkraftkonsesjonærane</w:t>
      </w:r>
      <w:proofErr w:type="spellEnd"/>
      <w:r w:rsidRPr="00CC19F7">
        <w:t xml:space="preserve"> for Storheia og Roan vindkraftverk på Fosen om </w:t>
      </w:r>
      <w:proofErr w:type="spellStart"/>
      <w:r w:rsidRPr="00CC19F7">
        <w:t>omgjering</w:t>
      </w:r>
      <w:proofErr w:type="spellEnd"/>
      <w:r w:rsidRPr="00CC19F7">
        <w:t xml:space="preserve"> av konsesjonsvedtaka og behovet for å utarbeide </w:t>
      </w:r>
      <w:proofErr w:type="spellStart"/>
      <w:r w:rsidRPr="00CC19F7">
        <w:t>eit</w:t>
      </w:r>
      <w:proofErr w:type="spellEnd"/>
      <w:r w:rsidRPr="00CC19F7">
        <w:t xml:space="preserve"> </w:t>
      </w:r>
      <w:proofErr w:type="spellStart"/>
      <w:r w:rsidRPr="00CC19F7">
        <w:t>fagleg</w:t>
      </w:r>
      <w:proofErr w:type="spellEnd"/>
      <w:r w:rsidRPr="00CC19F7">
        <w:t xml:space="preserve"> grunnlag for avgjerdene som skulle </w:t>
      </w:r>
      <w:proofErr w:type="spellStart"/>
      <w:r w:rsidRPr="00CC19F7">
        <w:t>treffast</w:t>
      </w:r>
      <w:proofErr w:type="spellEnd"/>
      <w:r w:rsidRPr="00CC19F7">
        <w:t xml:space="preserve">, blei det i 2022 </w:t>
      </w:r>
      <w:proofErr w:type="spellStart"/>
      <w:r w:rsidRPr="00CC19F7">
        <w:t>arbeidd</w:t>
      </w:r>
      <w:proofErr w:type="spellEnd"/>
      <w:r w:rsidRPr="00CC19F7">
        <w:t xml:space="preserve"> med å få på plass </w:t>
      </w:r>
      <w:proofErr w:type="spellStart"/>
      <w:r w:rsidRPr="00CC19F7">
        <w:t>eit</w:t>
      </w:r>
      <w:proofErr w:type="spellEnd"/>
      <w:r w:rsidRPr="00CC19F7">
        <w:t xml:space="preserve"> utredningsprogram. Departementet hadde ei rekke møte med både </w:t>
      </w:r>
      <w:proofErr w:type="spellStart"/>
      <w:r w:rsidRPr="00CC19F7">
        <w:t>konsesjonærane</w:t>
      </w:r>
      <w:proofErr w:type="spellEnd"/>
      <w:r w:rsidRPr="00CC19F7">
        <w:t xml:space="preserve">, reindrifta og Sametinget. </w:t>
      </w:r>
      <w:proofErr w:type="spellStart"/>
      <w:r w:rsidRPr="00CC19F7">
        <w:t>Konsultasjonar</w:t>
      </w:r>
      <w:proofErr w:type="spellEnd"/>
      <w:r w:rsidRPr="00CC19F7">
        <w:t xml:space="preserve"> med reindrifta, Sametinget og Norske Reindriftsamers Landsforbund om utredningsprogrammet blei gjennomførte i november 2022.</w:t>
      </w:r>
    </w:p>
    <w:p w14:paraId="380FB4EE" w14:textId="77777777" w:rsidR="00FE02EF" w:rsidRPr="00CC19F7" w:rsidRDefault="00881E58" w:rsidP="00CC19F7">
      <w:r w:rsidRPr="00CC19F7">
        <w:t xml:space="preserve">Det blei i 2022 </w:t>
      </w:r>
      <w:proofErr w:type="spellStart"/>
      <w:r w:rsidRPr="00CC19F7">
        <w:t>ikkje</w:t>
      </w:r>
      <w:proofErr w:type="spellEnd"/>
      <w:r w:rsidRPr="00CC19F7">
        <w:t xml:space="preserve"> gitt konsesjon til nye vasskraftprosjekt eller opprustings- og utvidingsprosjekt ved </w:t>
      </w:r>
      <w:proofErr w:type="spellStart"/>
      <w:r w:rsidRPr="00CC19F7">
        <w:t>kongeleg</w:t>
      </w:r>
      <w:proofErr w:type="spellEnd"/>
      <w:r w:rsidRPr="00CC19F7">
        <w:t xml:space="preserve"> resolusjon. Departementet gjorde </w:t>
      </w:r>
      <w:proofErr w:type="spellStart"/>
      <w:r w:rsidRPr="00CC19F7">
        <w:t>endeleg</w:t>
      </w:r>
      <w:proofErr w:type="spellEnd"/>
      <w:r w:rsidRPr="00CC19F7">
        <w:t xml:space="preserve"> vedtak i to saker om små vasskraftverk.</w:t>
      </w:r>
    </w:p>
    <w:p w14:paraId="4D9CDE8F" w14:textId="77777777" w:rsidR="00FE02EF" w:rsidRPr="00CC19F7" w:rsidRDefault="00881E58" w:rsidP="00CC19F7">
      <w:r w:rsidRPr="00CC19F7">
        <w:t>Departementet har sluttbehandla fire saker om revisjon av konsesjonsvilkår.</w:t>
      </w:r>
    </w:p>
    <w:p w14:paraId="1612F476" w14:textId="77777777" w:rsidR="00FE02EF" w:rsidRPr="00CC19F7" w:rsidRDefault="00881E58" w:rsidP="00CC19F7">
      <w:proofErr w:type="spellStart"/>
      <w:r w:rsidRPr="00CC19F7">
        <w:t>Vassforvaltningsplanane</w:t>
      </w:r>
      <w:proofErr w:type="spellEnd"/>
      <w:r w:rsidRPr="00CC19F7">
        <w:t xml:space="preserve"> etter vassforskrifta blei </w:t>
      </w:r>
      <w:proofErr w:type="spellStart"/>
      <w:r w:rsidRPr="00CC19F7">
        <w:t>følgde</w:t>
      </w:r>
      <w:proofErr w:type="spellEnd"/>
      <w:r w:rsidRPr="00CC19F7">
        <w:t xml:space="preserve"> opp med sikte på at miljømåla blir nådd </w:t>
      </w:r>
      <w:proofErr w:type="spellStart"/>
      <w:r w:rsidRPr="00CC19F7">
        <w:t>innan</w:t>
      </w:r>
      <w:proofErr w:type="spellEnd"/>
      <w:r w:rsidRPr="00CC19F7">
        <w:t xml:space="preserve"> </w:t>
      </w:r>
      <w:proofErr w:type="spellStart"/>
      <w:r w:rsidRPr="00CC19F7">
        <w:t>tidsfristane</w:t>
      </w:r>
      <w:proofErr w:type="spellEnd"/>
      <w:r w:rsidRPr="00CC19F7">
        <w:t xml:space="preserve"> som er sette i </w:t>
      </w:r>
      <w:proofErr w:type="spellStart"/>
      <w:r w:rsidRPr="00CC19F7">
        <w:t>planane</w:t>
      </w:r>
      <w:proofErr w:type="spellEnd"/>
      <w:r w:rsidRPr="00CC19F7">
        <w:t>.</w:t>
      </w:r>
    </w:p>
    <w:p w14:paraId="7039048B" w14:textId="77777777" w:rsidR="00FE02EF" w:rsidRPr="00CC19F7" w:rsidRDefault="00881E58" w:rsidP="00CC19F7">
      <w:r w:rsidRPr="00CC19F7">
        <w:t xml:space="preserve">Departementet har </w:t>
      </w:r>
      <w:proofErr w:type="spellStart"/>
      <w:r w:rsidRPr="00CC19F7">
        <w:t>følgt</w:t>
      </w:r>
      <w:proofErr w:type="spellEnd"/>
      <w:r w:rsidRPr="00CC19F7">
        <w:t xml:space="preserve"> opp NVEs arbeid med å </w:t>
      </w:r>
      <w:proofErr w:type="spellStart"/>
      <w:r w:rsidRPr="00CC19F7">
        <w:t>førebygge</w:t>
      </w:r>
      <w:proofErr w:type="spellEnd"/>
      <w:r w:rsidRPr="00CC19F7">
        <w:t xml:space="preserve"> </w:t>
      </w:r>
      <w:proofErr w:type="spellStart"/>
      <w:r w:rsidRPr="00CC19F7">
        <w:t>flaum</w:t>
      </w:r>
      <w:proofErr w:type="spellEnd"/>
      <w:r w:rsidRPr="00CC19F7">
        <w:t xml:space="preserve">- og </w:t>
      </w:r>
      <w:proofErr w:type="spellStart"/>
      <w:r w:rsidRPr="00CC19F7">
        <w:t>skredskadar</w:t>
      </w:r>
      <w:proofErr w:type="spellEnd"/>
      <w:r w:rsidRPr="00CC19F7">
        <w:t xml:space="preserve">. I lys av at regjeringa har varsla ei stortingsmelding om </w:t>
      </w:r>
      <w:proofErr w:type="spellStart"/>
      <w:r w:rsidRPr="00CC19F7">
        <w:t>flaum</w:t>
      </w:r>
      <w:proofErr w:type="spellEnd"/>
      <w:r w:rsidRPr="00CC19F7">
        <w:t xml:space="preserve"> og skred i 2024, starta departementet i 2022 arbeidet med å gjennomgå rammene for </w:t>
      </w:r>
      <w:proofErr w:type="spellStart"/>
      <w:r w:rsidRPr="00CC19F7">
        <w:t>førebygging</w:t>
      </w:r>
      <w:proofErr w:type="spellEnd"/>
      <w:r w:rsidRPr="00CC19F7">
        <w:t xml:space="preserve"> av </w:t>
      </w:r>
      <w:proofErr w:type="spellStart"/>
      <w:r w:rsidRPr="00CC19F7">
        <w:t>flaum</w:t>
      </w:r>
      <w:proofErr w:type="spellEnd"/>
      <w:r w:rsidRPr="00CC19F7">
        <w:t xml:space="preserve">- og </w:t>
      </w:r>
      <w:proofErr w:type="spellStart"/>
      <w:r w:rsidRPr="00CC19F7">
        <w:t>skredskadar</w:t>
      </w:r>
      <w:proofErr w:type="spellEnd"/>
      <w:r w:rsidRPr="00CC19F7">
        <w:t xml:space="preserve">. I 2022 la </w:t>
      </w:r>
      <w:proofErr w:type="spellStart"/>
      <w:r w:rsidRPr="00CC19F7">
        <w:t>Gjerdrumutvalet</w:t>
      </w:r>
      <w:proofErr w:type="spellEnd"/>
      <w:r w:rsidRPr="00CC19F7">
        <w:t xml:space="preserve"> fram </w:t>
      </w:r>
      <w:proofErr w:type="spellStart"/>
      <w:r w:rsidRPr="00CC19F7">
        <w:t>si</w:t>
      </w:r>
      <w:proofErr w:type="spellEnd"/>
      <w:r w:rsidRPr="00CC19F7">
        <w:t xml:space="preserve"> utgreiing om </w:t>
      </w:r>
      <w:proofErr w:type="spellStart"/>
      <w:r w:rsidRPr="00CC19F7">
        <w:t>førebygging</w:t>
      </w:r>
      <w:proofErr w:type="spellEnd"/>
      <w:r w:rsidRPr="00CC19F7">
        <w:t xml:space="preserve"> av kvikkleireskred (NOU 2022: 3 </w:t>
      </w:r>
      <w:r w:rsidRPr="00CC19F7">
        <w:rPr>
          <w:rStyle w:val="kursiv"/>
        </w:rPr>
        <w:t>På trygg grunn</w:t>
      </w:r>
      <w:r w:rsidRPr="00CC19F7">
        <w:t xml:space="preserve">). Departementet sende utgreiinga på </w:t>
      </w:r>
      <w:proofErr w:type="spellStart"/>
      <w:r w:rsidRPr="00CC19F7">
        <w:t>offentleg</w:t>
      </w:r>
      <w:proofErr w:type="spellEnd"/>
      <w:r w:rsidRPr="00CC19F7">
        <w:t xml:space="preserve"> </w:t>
      </w:r>
      <w:proofErr w:type="spellStart"/>
      <w:r w:rsidRPr="00CC19F7">
        <w:t>høyring</w:t>
      </w:r>
      <w:proofErr w:type="spellEnd"/>
      <w:r w:rsidRPr="00CC19F7">
        <w:t xml:space="preserve"> og gjekk gjennom </w:t>
      </w:r>
      <w:proofErr w:type="spellStart"/>
      <w:r w:rsidRPr="00CC19F7">
        <w:t>høyringsinnspela</w:t>
      </w:r>
      <w:proofErr w:type="spellEnd"/>
      <w:r w:rsidRPr="00CC19F7">
        <w:t xml:space="preserve"> i 2022.</w:t>
      </w:r>
    </w:p>
    <w:p w14:paraId="567032BE" w14:textId="77777777" w:rsidR="00FE02EF" w:rsidRPr="00CC19F7" w:rsidRDefault="00881E58" w:rsidP="00CC19F7">
      <w:r w:rsidRPr="00CC19F7">
        <w:t xml:space="preserve">Departementet har styrkt arbeidet med havvind og arbeidde i 2022 med å legge rammene for utlysing av </w:t>
      </w:r>
      <w:proofErr w:type="spellStart"/>
      <w:r w:rsidRPr="00CC19F7">
        <w:t>dei</w:t>
      </w:r>
      <w:proofErr w:type="spellEnd"/>
      <w:r w:rsidRPr="00CC19F7">
        <w:t xml:space="preserve"> første prosjektområda for havvind. Dette blir </w:t>
      </w:r>
      <w:proofErr w:type="spellStart"/>
      <w:r w:rsidRPr="00CC19F7">
        <w:t>nærmare</w:t>
      </w:r>
      <w:proofErr w:type="spellEnd"/>
      <w:r w:rsidRPr="00CC19F7">
        <w:t xml:space="preserve"> omtalt Olje- og energidepartementets resultatrapport for 2022 i programkategori 18.30.</w:t>
      </w:r>
    </w:p>
    <w:p w14:paraId="295792BE" w14:textId="77777777" w:rsidR="00FE02EF" w:rsidRPr="00CC19F7" w:rsidRDefault="00881E58" w:rsidP="00CC19F7">
      <w:pPr>
        <w:pStyle w:val="Undertittel"/>
      </w:pPr>
      <w:proofErr w:type="spellStart"/>
      <w:r w:rsidRPr="00CC19F7">
        <w:t>Noregs</w:t>
      </w:r>
      <w:proofErr w:type="spellEnd"/>
      <w:r w:rsidRPr="00CC19F7">
        <w:t xml:space="preserve"> vassdrags- og energidirektorat</w:t>
      </w:r>
    </w:p>
    <w:p w14:paraId="1FA55632" w14:textId="77777777" w:rsidR="00FE02EF" w:rsidRPr="00CC19F7" w:rsidRDefault="00881E58" w:rsidP="00CC19F7">
      <w:proofErr w:type="spellStart"/>
      <w:r w:rsidRPr="00CC19F7">
        <w:t>Noregs</w:t>
      </w:r>
      <w:proofErr w:type="spellEnd"/>
      <w:r w:rsidRPr="00CC19F7">
        <w:t xml:space="preserve"> vassdrags- og energidirektorat (NVE) har ansvar for å forvalte </w:t>
      </w:r>
      <w:proofErr w:type="spellStart"/>
      <w:r w:rsidRPr="00CC19F7">
        <w:t>dei</w:t>
      </w:r>
      <w:proofErr w:type="spellEnd"/>
      <w:r w:rsidRPr="00CC19F7">
        <w:t xml:space="preserve"> </w:t>
      </w:r>
      <w:proofErr w:type="spellStart"/>
      <w:r w:rsidRPr="00CC19F7">
        <w:t>innanlandske</w:t>
      </w:r>
      <w:proofErr w:type="spellEnd"/>
      <w:r w:rsidRPr="00CC19F7">
        <w:t xml:space="preserve"> </w:t>
      </w:r>
      <w:proofErr w:type="spellStart"/>
      <w:r w:rsidRPr="00CC19F7">
        <w:t>energiressursane</w:t>
      </w:r>
      <w:proofErr w:type="spellEnd"/>
      <w:r w:rsidRPr="00CC19F7">
        <w:t xml:space="preserve">. </w:t>
      </w:r>
      <w:proofErr w:type="spellStart"/>
      <w:r w:rsidRPr="00CC19F7">
        <w:t>Vidare</w:t>
      </w:r>
      <w:proofErr w:type="spellEnd"/>
      <w:r w:rsidRPr="00CC19F7">
        <w:t xml:space="preserve"> har direktoratet ansvar for å forvalte </w:t>
      </w:r>
      <w:proofErr w:type="spellStart"/>
      <w:r w:rsidRPr="00CC19F7">
        <w:t>Noregs</w:t>
      </w:r>
      <w:proofErr w:type="spellEnd"/>
      <w:r w:rsidRPr="00CC19F7">
        <w:t xml:space="preserve"> </w:t>
      </w:r>
      <w:proofErr w:type="spellStart"/>
      <w:r w:rsidRPr="00CC19F7">
        <w:t>vassressursar</w:t>
      </w:r>
      <w:proofErr w:type="spellEnd"/>
      <w:r w:rsidRPr="00CC19F7">
        <w:t xml:space="preserve"> og vareta </w:t>
      </w:r>
      <w:proofErr w:type="spellStart"/>
      <w:r w:rsidRPr="00CC19F7">
        <w:t>dei</w:t>
      </w:r>
      <w:proofErr w:type="spellEnd"/>
      <w:r w:rsidRPr="00CC19F7">
        <w:t xml:space="preserve"> </w:t>
      </w:r>
      <w:proofErr w:type="spellStart"/>
      <w:r w:rsidRPr="00CC19F7">
        <w:t>statlege</w:t>
      </w:r>
      <w:proofErr w:type="spellEnd"/>
      <w:r w:rsidRPr="00CC19F7">
        <w:t xml:space="preserve"> </w:t>
      </w:r>
      <w:proofErr w:type="spellStart"/>
      <w:r w:rsidRPr="00CC19F7">
        <w:t>forvaltningsoppgåvene</w:t>
      </w:r>
      <w:proofErr w:type="spellEnd"/>
      <w:r w:rsidRPr="00CC19F7">
        <w:t xml:space="preserve"> </w:t>
      </w:r>
      <w:proofErr w:type="spellStart"/>
      <w:r w:rsidRPr="00CC19F7">
        <w:t>innanfor</w:t>
      </w:r>
      <w:proofErr w:type="spellEnd"/>
      <w:r w:rsidRPr="00CC19F7">
        <w:t xml:space="preserve"> </w:t>
      </w:r>
      <w:proofErr w:type="spellStart"/>
      <w:r w:rsidRPr="00CC19F7">
        <w:t>førebygging</w:t>
      </w:r>
      <w:proofErr w:type="spellEnd"/>
      <w:r w:rsidRPr="00CC19F7">
        <w:t xml:space="preserve"> av </w:t>
      </w:r>
      <w:proofErr w:type="spellStart"/>
      <w:r w:rsidRPr="00CC19F7">
        <w:t>flaum</w:t>
      </w:r>
      <w:proofErr w:type="spellEnd"/>
      <w:r w:rsidRPr="00CC19F7">
        <w:t xml:space="preserve">- og </w:t>
      </w:r>
      <w:proofErr w:type="spellStart"/>
      <w:r w:rsidRPr="00CC19F7">
        <w:t>skredskadar</w:t>
      </w:r>
      <w:proofErr w:type="spellEnd"/>
      <w:r w:rsidRPr="00CC19F7">
        <w:t>.</w:t>
      </w:r>
    </w:p>
    <w:p w14:paraId="24E88778" w14:textId="77777777" w:rsidR="00FE02EF" w:rsidRPr="00CC19F7" w:rsidRDefault="00881E58" w:rsidP="00CC19F7">
      <w:r w:rsidRPr="00CC19F7">
        <w:t xml:space="preserve">NVE er engasjert i forsking og utvikling (FoU) og internasjonalt utviklingssamarbeid </w:t>
      </w:r>
      <w:proofErr w:type="spellStart"/>
      <w:r w:rsidRPr="00CC19F7">
        <w:t>innanfor</w:t>
      </w:r>
      <w:proofErr w:type="spellEnd"/>
      <w:r w:rsidRPr="00CC19F7">
        <w:t xml:space="preserve"> </w:t>
      </w:r>
      <w:proofErr w:type="gramStart"/>
      <w:r w:rsidRPr="00CC19F7">
        <w:t>sine ansvarsområde</w:t>
      </w:r>
      <w:proofErr w:type="gramEnd"/>
      <w:r w:rsidRPr="00CC19F7">
        <w:t xml:space="preserve">. NVE har </w:t>
      </w:r>
      <w:proofErr w:type="spellStart"/>
      <w:r w:rsidRPr="00CC19F7">
        <w:t>hovudkontor</w:t>
      </w:r>
      <w:proofErr w:type="spellEnd"/>
      <w:r w:rsidRPr="00CC19F7">
        <w:t xml:space="preserve"> i Oslo og </w:t>
      </w:r>
      <w:proofErr w:type="spellStart"/>
      <w:r w:rsidRPr="00CC19F7">
        <w:t>regionkontor</w:t>
      </w:r>
      <w:proofErr w:type="spellEnd"/>
      <w:r w:rsidRPr="00CC19F7">
        <w:t xml:space="preserve"> i Tønsberg, Hamar, Førde, Trondheim og Narvik. I tillegg har NVE kontor på Stranda i Møre og Romsdal og i Kåfjord i Troms. Det blei utført 571 årsverk i 2022.</w:t>
      </w:r>
    </w:p>
    <w:p w14:paraId="07A1CF21" w14:textId="77777777" w:rsidR="00FE02EF" w:rsidRPr="00CC19F7" w:rsidRDefault="00881E58" w:rsidP="00CC19F7">
      <w:pPr>
        <w:pStyle w:val="avsnitt-tittel"/>
      </w:pPr>
      <w:r w:rsidRPr="00CC19F7">
        <w:t>Mål</w:t>
      </w:r>
    </w:p>
    <w:p w14:paraId="6593D1DE" w14:textId="77777777" w:rsidR="00FE02EF" w:rsidRPr="00CC19F7" w:rsidRDefault="00881E58" w:rsidP="00CC19F7">
      <w:r w:rsidRPr="00CC19F7">
        <w:t xml:space="preserve">NVE skal i 2024 bidra til å nå fire </w:t>
      </w:r>
      <w:proofErr w:type="spellStart"/>
      <w:r w:rsidRPr="00CC19F7">
        <w:t>hovudmål</w:t>
      </w:r>
      <w:proofErr w:type="spellEnd"/>
      <w:r w:rsidRPr="00CC19F7">
        <w:t xml:space="preserve">, inkludert </w:t>
      </w:r>
      <w:proofErr w:type="spellStart"/>
      <w:r w:rsidRPr="00CC19F7">
        <w:t>nærmare</w:t>
      </w:r>
      <w:proofErr w:type="spellEnd"/>
      <w:r w:rsidRPr="00CC19F7">
        <w:t xml:space="preserve"> spesifiserte delmål.</w:t>
      </w:r>
    </w:p>
    <w:p w14:paraId="72E72A48" w14:textId="77777777" w:rsidR="00FE02EF" w:rsidRPr="00CC19F7" w:rsidRDefault="00881E58" w:rsidP="00CC19F7">
      <w:pPr>
        <w:pStyle w:val="avsnitt-undertittel"/>
      </w:pPr>
      <w:r w:rsidRPr="00CC19F7">
        <w:t xml:space="preserve">Bidra til ei </w:t>
      </w:r>
      <w:proofErr w:type="spellStart"/>
      <w:r w:rsidRPr="00CC19F7">
        <w:t>heilskapleg</w:t>
      </w:r>
      <w:proofErr w:type="spellEnd"/>
      <w:r w:rsidRPr="00CC19F7">
        <w:t xml:space="preserve"> og </w:t>
      </w:r>
      <w:proofErr w:type="spellStart"/>
      <w:r w:rsidRPr="00CC19F7">
        <w:t>miljøvennleg</w:t>
      </w:r>
      <w:proofErr w:type="spellEnd"/>
      <w:r w:rsidRPr="00CC19F7">
        <w:t xml:space="preserve"> forvaltning av vassdraga</w:t>
      </w:r>
    </w:p>
    <w:p w14:paraId="294DF6EE" w14:textId="77777777" w:rsidR="00FE02EF" w:rsidRPr="00CC19F7" w:rsidRDefault="00881E58" w:rsidP="00CC19F7">
      <w:r w:rsidRPr="00CC19F7">
        <w:t>NVE skal</w:t>
      </w:r>
    </w:p>
    <w:p w14:paraId="2F06DC28" w14:textId="77777777" w:rsidR="00FE02EF" w:rsidRPr="00CC19F7" w:rsidRDefault="00881E58" w:rsidP="00CC19F7">
      <w:pPr>
        <w:pStyle w:val="Liste"/>
      </w:pPr>
      <w:r w:rsidRPr="00CC19F7">
        <w:t xml:space="preserve">ha god oversikt over hydrologi og </w:t>
      </w:r>
      <w:proofErr w:type="spellStart"/>
      <w:r w:rsidRPr="00CC19F7">
        <w:t>vassressursar</w:t>
      </w:r>
      <w:proofErr w:type="spellEnd"/>
      <w:r w:rsidRPr="00CC19F7">
        <w:t xml:space="preserve"> i </w:t>
      </w:r>
      <w:proofErr w:type="spellStart"/>
      <w:r w:rsidRPr="00CC19F7">
        <w:t>Noreg</w:t>
      </w:r>
      <w:proofErr w:type="spellEnd"/>
      <w:r w:rsidRPr="00CC19F7">
        <w:t xml:space="preserve"> og </w:t>
      </w:r>
      <w:proofErr w:type="spellStart"/>
      <w:r w:rsidRPr="00CC19F7">
        <w:t>gjere</w:t>
      </w:r>
      <w:proofErr w:type="spellEnd"/>
      <w:r w:rsidRPr="00CC19F7">
        <w:t xml:space="preserve"> hydrologiske data og </w:t>
      </w:r>
      <w:proofErr w:type="spellStart"/>
      <w:r w:rsidRPr="00CC19F7">
        <w:t>analysar</w:t>
      </w:r>
      <w:proofErr w:type="spellEnd"/>
      <w:r w:rsidRPr="00CC19F7">
        <w:t xml:space="preserve"> lett </w:t>
      </w:r>
      <w:proofErr w:type="spellStart"/>
      <w:r w:rsidRPr="00CC19F7">
        <w:t>tilgjengelege</w:t>
      </w:r>
      <w:proofErr w:type="spellEnd"/>
    </w:p>
    <w:p w14:paraId="3538C040" w14:textId="77777777" w:rsidR="00FE02EF" w:rsidRPr="00CC19F7" w:rsidRDefault="00881E58" w:rsidP="00CC19F7">
      <w:pPr>
        <w:pStyle w:val="Liste"/>
      </w:pPr>
      <w:r w:rsidRPr="00CC19F7">
        <w:t xml:space="preserve">ha god kunnskap om </w:t>
      </w:r>
      <w:proofErr w:type="spellStart"/>
      <w:r w:rsidRPr="00CC19F7">
        <w:t>konsekvensane</w:t>
      </w:r>
      <w:proofErr w:type="spellEnd"/>
      <w:r w:rsidRPr="00CC19F7">
        <w:t xml:space="preserve"> inngrep, andre fysiske påverknader og </w:t>
      </w:r>
      <w:proofErr w:type="spellStart"/>
      <w:r w:rsidRPr="00CC19F7">
        <w:t>klimaendringar</w:t>
      </w:r>
      <w:proofErr w:type="spellEnd"/>
      <w:r w:rsidRPr="00CC19F7">
        <w:t xml:space="preserve"> har for </w:t>
      </w:r>
      <w:proofErr w:type="spellStart"/>
      <w:r w:rsidRPr="00CC19F7">
        <w:t>vassressursar</w:t>
      </w:r>
      <w:proofErr w:type="spellEnd"/>
      <w:r w:rsidRPr="00CC19F7">
        <w:t xml:space="preserve"> og miljø</w:t>
      </w:r>
    </w:p>
    <w:p w14:paraId="5D34294C" w14:textId="77777777" w:rsidR="00FE02EF" w:rsidRPr="00CC19F7" w:rsidRDefault="00881E58" w:rsidP="00CC19F7">
      <w:pPr>
        <w:pStyle w:val="Liste"/>
      </w:pPr>
      <w:r w:rsidRPr="00CC19F7">
        <w:t xml:space="preserve">vege interessene for miljø og </w:t>
      </w:r>
      <w:proofErr w:type="spellStart"/>
      <w:r w:rsidRPr="00CC19F7">
        <w:t>brukarar</w:t>
      </w:r>
      <w:proofErr w:type="spellEnd"/>
      <w:r w:rsidRPr="00CC19F7">
        <w:t xml:space="preserve"> mot </w:t>
      </w:r>
      <w:proofErr w:type="spellStart"/>
      <w:r w:rsidRPr="00CC19F7">
        <w:t>kvarandre</w:t>
      </w:r>
      <w:proofErr w:type="spellEnd"/>
      <w:r w:rsidRPr="00CC19F7">
        <w:t xml:space="preserve"> når nye tiltak og </w:t>
      </w:r>
      <w:proofErr w:type="spellStart"/>
      <w:r w:rsidRPr="00CC19F7">
        <w:t>endringar</w:t>
      </w:r>
      <w:proofErr w:type="spellEnd"/>
      <w:r w:rsidRPr="00CC19F7">
        <w:t xml:space="preserve"> i </w:t>
      </w:r>
      <w:proofErr w:type="spellStart"/>
      <w:r w:rsidRPr="00CC19F7">
        <w:t>eksisterande</w:t>
      </w:r>
      <w:proofErr w:type="spellEnd"/>
      <w:r w:rsidRPr="00CC19F7">
        <w:t xml:space="preserve"> tiltak blir behandla</w:t>
      </w:r>
    </w:p>
    <w:p w14:paraId="35211E7A" w14:textId="77777777" w:rsidR="00FE02EF" w:rsidRPr="00CC19F7" w:rsidRDefault="00881E58" w:rsidP="00CC19F7">
      <w:pPr>
        <w:pStyle w:val="Liste"/>
      </w:pPr>
      <w:r w:rsidRPr="00CC19F7">
        <w:t xml:space="preserve">sjå til at krav til miljø og </w:t>
      </w:r>
      <w:proofErr w:type="spellStart"/>
      <w:r w:rsidRPr="00CC19F7">
        <w:t>sikkerheit</w:t>
      </w:r>
      <w:proofErr w:type="spellEnd"/>
      <w:r w:rsidRPr="00CC19F7">
        <w:t xml:space="preserve"> til nye og </w:t>
      </w:r>
      <w:proofErr w:type="spellStart"/>
      <w:r w:rsidRPr="00CC19F7">
        <w:t>eksisterande</w:t>
      </w:r>
      <w:proofErr w:type="spellEnd"/>
      <w:r w:rsidRPr="00CC19F7">
        <w:t xml:space="preserve"> vassdragsanlegg blir </w:t>
      </w:r>
      <w:proofErr w:type="spellStart"/>
      <w:r w:rsidRPr="00CC19F7">
        <w:t>følgde</w:t>
      </w:r>
      <w:proofErr w:type="spellEnd"/>
    </w:p>
    <w:p w14:paraId="529B0E4D" w14:textId="77777777" w:rsidR="00FE02EF" w:rsidRPr="00CC19F7" w:rsidRDefault="00881E58" w:rsidP="00CC19F7">
      <w:pPr>
        <w:pStyle w:val="Liste"/>
      </w:pPr>
      <w:r w:rsidRPr="00CC19F7">
        <w:t>bidra til ei god forvaltning av vassdragsvernet</w:t>
      </w:r>
    </w:p>
    <w:p w14:paraId="218093F7" w14:textId="77777777" w:rsidR="00FE02EF" w:rsidRPr="00CC19F7" w:rsidRDefault="00881E58" w:rsidP="00CC19F7">
      <w:pPr>
        <w:pStyle w:val="Liste"/>
      </w:pPr>
      <w:r w:rsidRPr="00CC19F7">
        <w:t xml:space="preserve">bidra til gjennomføring av vassforskrifta med </w:t>
      </w:r>
      <w:proofErr w:type="spellStart"/>
      <w:r w:rsidRPr="00CC19F7">
        <w:t>særleg</w:t>
      </w:r>
      <w:proofErr w:type="spellEnd"/>
      <w:r w:rsidRPr="00CC19F7">
        <w:t xml:space="preserve"> omsyn til vasskraftproduksjon og sikker energiforsyning</w:t>
      </w:r>
    </w:p>
    <w:p w14:paraId="5CB92519" w14:textId="77777777" w:rsidR="00FE02EF" w:rsidRPr="00CC19F7" w:rsidRDefault="00881E58" w:rsidP="00CC19F7">
      <w:pPr>
        <w:pStyle w:val="Liste"/>
      </w:pPr>
      <w:r w:rsidRPr="00CC19F7">
        <w:t>bidra til å ta vare på og formidle sektorens kulturmiljø og norsk vassdrags- og energihistorie</w:t>
      </w:r>
    </w:p>
    <w:p w14:paraId="45D11D07" w14:textId="77777777" w:rsidR="00FE02EF" w:rsidRPr="00CC19F7" w:rsidRDefault="00881E58" w:rsidP="00CC19F7">
      <w:pPr>
        <w:pStyle w:val="avsnitt-undertittel"/>
      </w:pPr>
      <w:r w:rsidRPr="00CC19F7">
        <w:t>Fremme samfunnsøkonomisk effektiv produksjon, overføring og bruk av energi</w:t>
      </w:r>
    </w:p>
    <w:p w14:paraId="0253736F" w14:textId="77777777" w:rsidR="00FE02EF" w:rsidRPr="00CC19F7" w:rsidRDefault="00881E58" w:rsidP="00CC19F7">
      <w:r w:rsidRPr="00CC19F7">
        <w:t>NVE skal</w:t>
      </w:r>
    </w:p>
    <w:p w14:paraId="56800D4A" w14:textId="77777777" w:rsidR="00FE02EF" w:rsidRPr="00CC19F7" w:rsidRDefault="00881E58" w:rsidP="00CC19F7">
      <w:pPr>
        <w:pStyle w:val="Liste"/>
      </w:pPr>
      <w:r w:rsidRPr="00CC19F7">
        <w:t xml:space="preserve">ha god kunnskap om ressursgrunnlag, utviklinga i kostnader og </w:t>
      </w:r>
      <w:proofErr w:type="spellStart"/>
      <w:r w:rsidRPr="00CC19F7">
        <w:t>lønnsemd</w:t>
      </w:r>
      <w:proofErr w:type="spellEnd"/>
      <w:r w:rsidRPr="00CC19F7">
        <w:t xml:space="preserve"> og </w:t>
      </w:r>
      <w:proofErr w:type="spellStart"/>
      <w:r w:rsidRPr="00CC19F7">
        <w:t>miljøeffektar</w:t>
      </w:r>
      <w:proofErr w:type="spellEnd"/>
      <w:r w:rsidRPr="00CC19F7">
        <w:t xml:space="preserve"> for aktuelle </w:t>
      </w:r>
      <w:proofErr w:type="spellStart"/>
      <w:r w:rsidRPr="00CC19F7">
        <w:t>energiteknologiar</w:t>
      </w:r>
      <w:proofErr w:type="spellEnd"/>
    </w:p>
    <w:p w14:paraId="098AB0EC" w14:textId="77777777" w:rsidR="00FE02EF" w:rsidRPr="00CC19F7" w:rsidRDefault="00881E58" w:rsidP="00CC19F7">
      <w:pPr>
        <w:pStyle w:val="Liste"/>
      </w:pPr>
      <w:r w:rsidRPr="00CC19F7">
        <w:t xml:space="preserve">ha god kunnskap om kostnader, verknader av </w:t>
      </w:r>
      <w:proofErr w:type="spellStart"/>
      <w:r w:rsidRPr="00CC19F7">
        <w:t>klimaendringar</w:t>
      </w:r>
      <w:proofErr w:type="spellEnd"/>
      <w:r w:rsidRPr="00CC19F7">
        <w:t xml:space="preserve">, kraftforbruk, produksjon og </w:t>
      </w:r>
      <w:proofErr w:type="spellStart"/>
      <w:r w:rsidRPr="00CC19F7">
        <w:t>forsyningssikkerheit</w:t>
      </w:r>
      <w:proofErr w:type="spellEnd"/>
      <w:r w:rsidRPr="00CC19F7">
        <w:t xml:space="preserve"> i kraftsystemet</w:t>
      </w:r>
    </w:p>
    <w:p w14:paraId="28B1FA78" w14:textId="77777777" w:rsidR="00FE02EF" w:rsidRPr="00CC19F7" w:rsidRDefault="00881E58" w:rsidP="00CC19F7">
      <w:pPr>
        <w:pStyle w:val="Liste"/>
      </w:pPr>
      <w:r w:rsidRPr="00CC19F7">
        <w:t xml:space="preserve">ha god kunnskap om utviklinga av energibruk, fordelt på ulike </w:t>
      </w:r>
      <w:proofErr w:type="spellStart"/>
      <w:r w:rsidRPr="00CC19F7">
        <w:t>energiberarar</w:t>
      </w:r>
      <w:proofErr w:type="spellEnd"/>
      <w:r w:rsidRPr="00CC19F7">
        <w:t xml:space="preserve"> og formål og kva </w:t>
      </w:r>
      <w:proofErr w:type="spellStart"/>
      <w:r w:rsidRPr="00CC19F7">
        <w:t>faktorar</w:t>
      </w:r>
      <w:proofErr w:type="spellEnd"/>
      <w:r w:rsidRPr="00CC19F7">
        <w:t xml:space="preserve"> som påverkar denne</w:t>
      </w:r>
    </w:p>
    <w:p w14:paraId="4EE291EE" w14:textId="77777777" w:rsidR="00FE02EF" w:rsidRPr="00CC19F7" w:rsidRDefault="00881E58" w:rsidP="00CC19F7">
      <w:pPr>
        <w:pStyle w:val="Liste"/>
      </w:pPr>
      <w:r w:rsidRPr="00CC19F7">
        <w:t xml:space="preserve">ha god oversikt over </w:t>
      </w:r>
      <w:proofErr w:type="spellStart"/>
      <w:r w:rsidRPr="00CC19F7">
        <w:t>dei</w:t>
      </w:r>
      <w:proofErr w:type="spellEnd"/>
      <w:r w:rsidRPr="00CC19F7">
        <w:t xml:space="preserve"> relevante utviklingstrekka i det europeiske energisystemet, politikk- og regelverksutviklinga i EU og korleis dette påverkar </w:t>
      </w:r>
      <w:proofErr w:type="spellStart"/>
      <w:r w:rsidRPr="00CC19F7">
        <w:t>Noreg</w:t>
      </w:r>
      <w:proofErr w:type="spellEnd"/>
    </w:p>
    <w:p w14:paraId="6505241C" w14:textId="77777777" w:rsidR="00FE02EF" w:rsidRPr="00CC19F7" w:rsidRDefault="00881E58" w:rsidP="00CC19F7">
      <w:pPr>
        <w:pStyle w:val="Liste"/>
      </w:pPr>
      <w:r w:rsidRPr="00CC19F7">
        <w:t>bidra til samfunnsøkonomisk rett ressursutnytting gjennom konsesjonsbehandling av anlegg for produksjon og overføring av energi</w:t>
      </w:r>
    </w:p>
    <w:p w14:paraId="11473F69" w14:textId="77777777" w:rsidR="00FE02EF" w:rsidRPr="00CC19F7" w:rsidRDefault="00881E58" w:rsidP="00CC19F7">
      <w:pPr>
        <w:pStyle w:val="Liste"/>
      </w:pPr>
      <w:r w:rsidRPr="00CC19F7">
        <w:t xml:space="preserve">sjå til at krava til utbygging og drift av anlegg for produksjon og overføring av energi blir </w:t>
      </w:r>
      <w:proofErr w:type="spellStart"/>
      <w:r w:rsidRPr="00CC19F7">
        <w:t>følgde</w:t>
      </w:r>
      <w:proofErr w:type="spellEnd"/>
      <w:r w:rsidRPr="00CC19F7">
        <w:t xml:space="preserve"> opp</w:t>
      </w:r>
    </w:p>
    <w:p w14:paraId="75584E92" w14:textId="77777777" w:rsidR="00FE02EF" w:rsidRPr="00CC19F7" w:rsidRDefault="00881E58" w:rsidP="00CC19F7">
      <w:pPr>
        <w:pStyle w:val="Liste"/>
      </w:pPr>
      <w:r w:rsidRPr="00CC19F7">
        <w:t xml:space="preserve">bidra til effektiv energibruk og utvikling av kraftnettet og </w:t>
      </w:r>
      <w:proofErr w:type="spellStart"/>
      <w:r w:rsidRPr="00CC19F7">
        <w:t>produksjonsressursar</w:t>
      </w:r>
      <w:proofErr w:type="spellEnd"/>
      <w:r w:rsidRPr="00CC19F7">
        <w:t xml:space="preserve"> gjennom regulering og tilsyn</w:t>
      </w:r>
    </w:p>
    <w:p w14:paraId="57CB366B" w14:textId="77777777" w:rsidR="00FE02EF" w:rsidRPr="00CC19F7" w:rsidRDefault="00881E58" w:rsidP="00CC19F7">
      <w:pPr>
        <w:pStyle w:val="Liste"/>
      </w:pPr>
      <w:r w:rsidRPr="00CC19F7">
        <w:t xml:space="preserve">bidra til regelverksutvikling, kunnskapsdeling og vurdering av </w:t>
      </w:r>
      <w:proofErr w:type="spellStart"/>
      <w:r w:rsidRPr="00CC19F7">
        <w:t>verkemiddel</w:t>
      </w:r>
      <w:proofErr w:type="spellEnd"/>
      <w:r w:rsidRPr="00CC19F7">
        <w:t xml:space="preserve"> som fremmer energieffektivisering og </w:t>
      </w:r>
      <w:proofErr w:type="spellStart"/>
      <w:r w:rsidRPr="00CC19F7">
        <w:t>meir</w:t>
      </w:r>
      <w:proofErr w:type="spellEnd"/>
      <w:r w:rsidRPr="00CC19F7">
        <w:t xml:space="preserve"> fleksibel energibruk i aktuelle </w:t>
      </w:r>
      <w:proofErr w:type="spellStart"/>
      <w:r w:rsidRPr="00CC19F7">
        <w:t>sektorar</w:t>
      </w:r>
      <w:proofErr w:type="spellEnd"/>
      <w:r w:rsidRPr="00CC19F7">
        <w:t xml:space="preserve">, bidra til samarbeid mellom </w:t>
      </w:r>
      <w:proofErr w:type="spellStart"/>
      <w:r w:rsidRPr="00CC19F7">
        <w:t>offentlege</w:t>
      </w:r>
      <w:proofErr w:type="spellEnd"/>
      <w:r w:rsidRPr="00CC19F7">
        <w:t xml:space="preserve"> </w:t>
      </w:r>
      <w:proofErr w:type="spellStart"/>
      <w:r w:rsidRPr="00CC19F7">
        <w:t>aktørar</w:t>
      </w:r>
      <w:proofErr w:type="spellEnd"/>
      <w:r w:rsidRPr="00CC19F7">
        <w:t xml:space="preserve"> og ha god oversikt over utviklinga av energibruk og potensialet for effektivisering</w:t>
      </w:r>
    </w:p>
    <w:p w14:paraId="29F3789F" w14:textId="77777777" w:rsidR="00FE02EF" w:rsidRPr="00CC19F7" w:rsidRDefault="00881E58" w:rsidP="00CC19F7">
      <w:pPr>
        <w:pStyle w:val="avsnitt-undertittel"/>
      </w:pPr>
      <w:r w:rsidRPr="00CC19F7">
        <w:t>Fremme ei sikker kraftforsyning</w:t>
      </w:r>
    </w:p>
    <w:p w14:paraId="7C6725C1" w14:textId="77777777" w:rsidR="00FE02EF" w:rsidRPr="00CC19F7" w:rsidRDefault="00881E58" w:rsidP="00CC19F7">
      <w:r w:rsidRPr="00CC19F7">
        <w:t>NVE skal</w:t>
      </w:r>
    </w:p>
    <w:p w14:paraId="1C204D95" w14:textId="77777777" w:rsidR="00FE02EF" w:rsidRPr="00CC19F7" w:rsidRDefault="00881E58" w:rsidP="00CC19F7">
      <w:pPr>
        <w:pStyle w:val="Liste"/>
      </w:pPr>
      <w:r w:rsidRPr="00CC19F7">
        <w:t xml:space="preserve">overvake og analysere utviklinga i kraft- og </w:t>
      </w:r>
      <w:proofErr w:type="spellStart"/>
      <w:r w:rsidRPr="00CC19F7">
        <w:t>effektbalansane</w:t>
      </w:r>
      <w:proofErr w:type="spellEnd"/>
      <w:r w:rsidRPr="00CC19F7">
        <w:t xml:space="preserve"> på kort og lang sikt</w:t>
      </w:r>
    </w:p>
    <w:p w14:paraId="1E4D1955" w14:textId="77777777" w:rsidR="00FE02EF" w:rsidRPr="00CC19F7" w:rsidRDefault="00881E58" w:rsidP="00CC19F7">
      <w:pPr>
        <w:pStyle w:val="Liste"/>
      </w:pPr>
      <w:r w:rsidRPr="00CC19F7">
        <w:t xml:space="preserve">ha god oversikt over kraftsituasjonen i </w:t>
      </w:r>
      <w:proofErr w:type="spellStart"/>
      <w:r w:rsidRPr="00CC19F7">
        <w:t>dei</w:t>
      </w:r>
      <w:proofErr w:type="spellEnd"/>
      <w:r w:rsidRPr="00CC19F7">
        <w:t xml:space="preserve"> ulike </w:t>
      </w:r>
      <w:proofErr w:type="spellStart"/>
      <w:r w:rsidRPr="00CC19F7">
        <w:t>regionane</w:t>
      </w:r>
      <w:proofErr w:type="spellEnd"/>
      <w:r w:rsidRPr="00CC19F7">
        <w:t xml:space="preserve"> og </w:t>
      </w:r>
      <w:proofErr w:type="spellStart"/>
      <w:r w:rsidRPr="00CC19F7">
        <w:t>vere</w:t>
      </w:r>
      <w:proofErr w:type="spellEnd"/>
      <w:r w:rsidRPr="00CC19F7">
        <w:t xml:space="preserve"> førebudd på </w:t>
      </w:r>
      <w:proofErr w:type="spellStart"/>
      <w:r w:rsidRPr="00CC19F7">
        <w:t>moglege</w:t>
      </w:r>
      <w:proofErr w:type="spellEnd"/>
      <w:r w:rsidRPr="00CC19F7">
        <w:t xml:space="preserve"> </w:t>
      </w:r>
      <w:proofErr w:type="spellStart"/>
      <w:r w:rsidRPr="00CC19F7">
        <w:t>situasjonar</w:t>
      </w:r>
      <w:proofErr w:type="spellEnd"/>
      <w:r w:rsidRPr="00CC19F7">
        <w:t xml:space="preserve"> med </w:t>
      </w:r>
      <w:proofErr w:type="spellStart"/>
      <w:r w:rsidRPr="00CC19F7">
        <w:t>underskot</w:t>
      </w:r>
      <w:proofErr w:type="spellEnd"/>
      <w:r w:rsidRPr="00CC19F7">
        <w:t xml:space="preserve"> av kraft og andre </w:t>
      </w:r>
      <w:proofErr w:type="spellStart"/>
      <w:r w:rsidRPr="00CC19F7">
        <w:t>anstrengde</w:t>
      </w:r>
      <w:proofErr w:type="spellEnd"/>
      <w:r w:rsidRPr="00CC19F7">
        <w:t xml:space="preserve"> </w:t>
      </w:r>
      <w:proofErr w:type="spellStart"/>
      <w:r w:rsidRPr="00CC19F7">
        <w:t>kraftsituasjonar</w:t>
      </w:r>
      <w:proofErr w:type="spellEnd"/>
    </w:p>
    <w:p w14:paraId="0ED1A14E" w14:textId="77777777" w:rsidR="00FE02EF" w:rsidRPr="00CC19F7" w:rsidRDefault="00881E58" w:rsidP="00CC19F7">
      <w:pPr>
        <w:pStyle w:val="Liste"/>
      </w:pPr>
      <w:r w:rsidRPr="00CC19F7">
        <w:t xml:space="preserve">sjå til at </w:t>
      </w:r>
      <w:proofErr w:type="spellStart"/>
      <w:r w:rsidRPr="00CC19F7">
        <w:t>sikkerheita</w:t>
      </w:r>
      <w:proofErr w:type="spellEnd"/>
      <w:r w:rsidRPr="00CC19F7">
        <w:t xml:space="preserve"> og beredskapen i kraftforsyninga er god, gitt risiko som følge av </w:t>
      </w:r>
      <w:proofErr w:type="spellStart"/>
      <w:r w:rsidRPr="00CC19F7">
        <w:t>klimaendringar</w:t>
      </w:r>
      <w:proofErr w:type="spellEnd"/>
      <w:r w:rsidRPr="00CC19F7">
        <w:t xml:space="preserve">, digitalisering og </w:t>
      </w:r>
      <w:proofErr w:type="spellStart"/>
      <w:r w:rsidRPr="00CC19F7">
        <w:t>eit</w:t>
      </w:r>
      <w:proofErr w:type="spellEnd"/>
      <w:r w:rsidRPr="00CC19F7">
        <w:t xml:space="preserve"> nytt </w:t>
      </w:r>
      <w:proofErr w:type="spellStart"/>
      <w:r w:rsidRPr="00CC19F7">
        <w:t>sikkerheitspolitisk</w:t>
      </w:r>
      <w:proofErr w:type="spellEnd"/>
      <w:r w:rsidRPr="00CC19F7">
        <w:t xml:space="preserve"> </w:t>
      </w:r>
      <w:proofErr w:type="spellStart"/>
      <w:r w:rsidRPr="00CC19F7">
        <w:t>bilete</w:t>
      </w:r>
      <w:proofErr w:type="spellEnd"/>
      <w:r w:rsidRPr="00CC19F7">
        <w:t xml:space="preserve">, og at krava til </w:t>
      </w:r>
      <w:proofErr w:type="spellStart"/>
      <w:r w:rsidRPr="00CC19F7">
        <w:t>sikkerheit</w:t>
      </w:r>
      <w:proofErr w:type="spellEnd"/>
      <w:r w:rsidRPr="00CC19F7">
        <w:t xml:space="preserve"> og beredskap blir </w:t>
      </w:r>
      <w:proofErr w:type="spellStart"/>
      <w:r w:rsidRPr="00CC19F7">
        <w:t>følgde</w:t>
      </w:r>
      <w:proofErr w:type="spellEnd"/>
      <w:r w:rsidRPr="00CC19F7">
        <w:t xml:space="preserve"> opp</w:t>
      </w:r>
    </w:p>
    <w:p w14:paraId="1B25F57F" w14:textId="77777777" w:rsidR="00FE02EF" w:rsidRPr="00CC19F7" w:rsidRDefault="00881E58" w:rsidP="00CC19F7">
      <w:pPr>
        <w:pStyle w:val="avsnitt-tittel"/>
      </w:pPr>
      <w:r w:rsidRPr="00CC19F7">
        <w:t xml:space="preserve">Betre evna til å handtere </w:t>
      </w:r>
      <w:proofErr w:type="spellStart"/>
      <w:r w:rsidRPr="00CC19F7">
        <w:t>flaum</w:t>
      </w:r>
      <w:proofErr w:type="spellEnd"/>
      <w:r w:rsidRPr="00CC19F7">
        <w:t xml:space="preserve">- og skredrisiko i </w:t>
      </w:r>
      <w:proofErr w:type="spellStart"/>
      <w:r w:rsidRPr="00CC19F7">
        <w:t>eit</w:t>
      </w:r>
      <w:proofErr w:type="spellEnd"/>
      <w:r w:rsidRPr="00CC19F7">
        <w:t xml:space="preserve"> klima i endring</w:t>
      </w:r>
    </w:p>
    <w:p w14:paraId="1A47B98B" w14:textId="77777777" w:rsidR="00FE02EF" w:rsidRPr="00CC19F7" w:rsidRDefault="00881E58" w:rsidP="00CC19F7">
      <w:r w:rsidRPr="00CC19F7">
        <w:t>NVE skal</w:t>
      </w:r>
    </w:p>
    <w:p w14:paraId="4CA5CA02" w14:textId="77777777" w:rsidR="00FE02EF" w:rsidRPr="00CC19F7" w:rsidRDefault="00881E58" w:rsidP="00CC19F7">
      <w:pPr>
        <w:pStyle w:val="Liste"/>
      </w:pPr>
      <w:proofErr w:type="spellStart"/>
      <w:r w:rsidRPr="00CC19F7">
        <w:t>auke</w:t>
      </w:r>
      <w:proofErr w:type="spellEnd"/>
      <w:r w:rsidRPr="00CC19F7">
        <w:t xml:space="preserve"> kunnskapen i samfunnet om </w:t>
      </w:r>
      <w:proofErr w:type="spellStart"/>
      <w:r w:rsidRPr="00CC19F7">
        <w:t>flaum</w:t>
      </w:r>
      <w:proofErr w:type="spellEnd"/>
      <w:r w:rsidRPr="00CC19F7">
        <w:t>- og skredfare</w:t>
      </w:r>
    </w:p>
    <w:p w14:paraId="0F4397A1" w14:textId="77777777" w:rsidR="00FE02EF" w:rsidRPr="00CC19F7" w:rsidRDefault="00881E58" w:rsidP="00CC19F7">
      <w:pPr>
        <w:pStyle w:val="Liste"/>
      </w:pPr>
      <w:r w:rsidRPr="00CC19F7">
        <w:t xml:space="preserve">bidra til at det blir tatt </w:t>
      </w:r>
      <w:proofErr w:type="spellStart"/>
      <w:r w:rsidRPr="00CC19F7">
        <w:t>tilstrekkeleg</w:t>
      </w:r>
      <w:proofErr w:type="spellEnd"/>
      <w:r w:rsidRPr="00CC19F7">
        <w:t xml:space="preserve"> omsyn til </w:t>
      </w:r>
      <w:proofErr w:type="spellStart"/>
      <w:r w:rsidRPr="00CC19F7">
        <w:t>flaum</w:t>
      </w:r>
      <w:proofErr w:type="spellEnd"/>
      <w:r w:rsidRPr="00CC19F7">
        <w:t>- og skredfare ved arealplanlegging</w:t>
      </w:r>
    </w:p>
    <w:p w14:paraId="2F1CBA5B" w14:textId="77777777" w:rsidR="00FE02EF" w:rsidRPr="00CC19F7" w:rsidRDefault="00881E58" w:rsidP="00CC19F7">
      <w:pPr>
        <w:pStyle w:val="Liste"/>
      </w:pPr>
      <w:r w:rsidRPr="00CC19F7">
        <w:t xml:space="preserve">redusere risikoen for </w:t>
      </w:r>
      <w:proofErr w:type="spellStart"/>
      <w:r w:rsidRPr="00CC19F7">
        <w:t>flaum</w:t>
      </w:r>
      <w:proofErr w:type="spellEnd"/>
      <w:r w:rsidRPr="00CC19F7">
        <w:t xml:space="preserve">- og </w:t>
      </w:r>
      <w:proofErr w:type="spellStart"/>
      <w:r w:rsidRPr="00CC19F7">
        <w:t>skredskadar</w:t>
      </w:r>
      <w:proofErr w:type="spellEnd"/>
      <w:r w:rsidRPr="00CC19F7">
        <w:t xml:space="preserve"> ved å bidra til fysiske sikringstiltak</w:t>
      </w:r>
    </w:p>
    <w:p w14:paraId="7C25F7BE" w14:textId="77777777" w:rsidR="00FE02EF" w:rsidRPr="00CC19F7" w:rsidRDefault="00881E58" w:rsidP="00CC19F7">
      <w:pPr>
        <w:pStyle w:val="Liste"/>
      </w:pPr>
      <w:r w:rsidRPr="00CC19F7">
        <w:t xml:space="preserve">redusere </w:t>
      </w:r>
      <w:proofErr w:type="spellStart"/>
      <w:r w:rsidRPr="00CC19F7">
        <w:t>konsekvensane</w:t>
      </w:r>
      <w:proofErr w:type="spellEnd"/>
      <w:r w:rsidRPr="00CC19F7">
        <w:t xml:space="preserve"> av </w:t>
      </w:r>
      <w:proofErr w:type="spellStart"/>
      <w:r w:rsidRPr="00CC19F7">
        <w:t>flaum</w:t>
      </w:r>
      <w:proofErr w:type="spellEnd"/>
      <w:r w:rsidRPr="00CC19F7">
        <w:t xml:space="preserve">- og </w:t>
      </w:r>
      <w:proofErr w:type="spellStart"/>
      <w:r w:rsidRPr="00CC19F7">
        <w:t>skredhendingar</w:t>
      </w:r>
      <w:proofErr w:type="spellEnd"/>
      <w:r w:rsidRPr="00CC19F7">
        <w:t xml:space="preserve"> gjennom </w:t>
      </w:r>
      <w:proofErr w:type="spellStart"/>
      <w:r w:rsidRPr="00CC19F7">
        <w:t>overvaking</w:t>
      </w:r>
      <w:proofErr w:type="spellEnd"/>
      <w:r w:rsidRPr="00CC19F7">
        <w:t>, varsling og rådgiving</w:t>
      </w:r>
    </w:p>
    <w:p w14:paraId="579E2730" w14:textId="77777777" w:rsidR="00FE02EF" w:rsidRPr="00CC19F7" w:rsidRDefault="00881E58" w:rsidP="00CC19F7">
      <w:pPr>
        <w:pStyle w:val="Liste"/>
      </w:pPr>
      <w:r w:rsidRPr="00CC19F7">
        <w:t xml:space="preserve">fremme godt samarbeid og god koordinering mellom aktuelle </w:t>
      </w:r>
      <w:proofErr w:type="spellStart"/>
      <w:r w:rsidRPr="00CC19F7">
        <w:t>aktørar</w:t>
      </w:r>
      <w:proofErr w:type="spellEnd"/>
      <w:r w:rsidRPr="00CC19F7">
        <w:t xml:space="preserve"> på </w:t>
      </w:r>
      <w:proofErr w:type="spellStart"/>
      <w:r w:rsidRPr="00CC19F7">
        <w:t>flaum</w:t>
      </w:r>
      <w:proofErr w:type="spellEnd"/>
      <w:r w:rsidRPr="00CC19F7">
        <w:t>- og skredområdet</w:t>
      </w:r>
    </w:p>
    <w:p w14:paraId="69523D51" w14:textId="77777777" w:rsidR="00FE02EF" w:rsidRPr="00CC19F7" w:rsidRDefault="00881E58" w:rsidP="00CC19F7">
      <w:pPr>
        <w:pStyle w:val="Liste"/>
      </w:pPr>
      <w:r w:rsidRPr="00CC19F7">
        <w:t xml:space="preserve">hjelpe </w:t>
      </w:r>
      <w:proofErr w:type="spellStart"/>
      <w:r w:rsidRPr="00CC19F7">
        <w:t>kommunane</w:t>
      </w:r>
      <w:proofErr w:type="spellEnd"/>
      <w:r w:rsidRPr="00CC19F7">
        <w:t xml:space="preserve"> med å </w:t>
      </w:r>
      <w:proofErr w:type="spellStart"/>
      <w:r w:rsidRPr="00CC19F7">
        <w:t>førebygge</w:t>
      </w:r>
      <w:proofErr w:type="spellEnd"/>
      <w:r w:rsidRPr="00CC19F7">
        <w:t xml:space="preserve"> </w:t>
      </w:r>
      <w:proofErr w:type="spellStart"/>
      <w:r w:rsidRPr="00CC19F7">
        <w:t>skadar</w:t>
      </w:r>
      <w:proofErr w:type="spellEnd"/>
      <w:r w:rsidRPr="00CC19F7">
        <w:t xml:space="preserve"> </w:t>
      </w:r>
      <w:proofErr w:type="spellStart"/>
      <w:r w:rsidRPr="00CC19F7">
        <w:t>frå</w:t>
      </w:r>
      <w:proofErr w:type="spellEnd"/>
      <w:r w:rsidRPr="00CC19F7">
        <w:t xml:space="preserve"> overvatn gjennom kunnskap om avrenning i tettbygde strøk og rettleiing til kommunal arealplanlegging</w:t>
      </w:r>
    </w:p>
    <w:p w14:paraId="13074750" w14:textId="77777777" w:rsidR="00FE02EF" w:rsidRPr="00CC19F7" w:rsidRDefault="00881E58" w:rsidP="00CC19F7">
      <w:pPr>
        <w:pStyle w:val="avsnitt-tittel"/>
      </w:pPr>
      <w:r w:rsidRPr="00CC19F7">
        <w:t>Resultat 2022</w:t>
      </w:r>
    </w:p>
    <w:p w14:paraId="19477758" w14:textId="77777777" w:rsidR="00FE02EF" w:rsidRPr="00CC19F7" w:rsidRDefault="00881E58" w:rsidP="00CC19F7">
      <w:pPr>
        <w:pStyle w:val="avsnitt-undertittel"/>
      </w:pPr>
      <w:r w:rsidRPr="00CC19F7">
        <w:t xml:space="preserve">Bidra til ei </w:t>
      </w:r>
      <w:proofErr w:type="spellStart"/>
      <w:r w:rsidRPr="00CC19F7">
        <w:t>heilskapleg</w:t>
      </w:r>
      <w:proofErr w:type="spellEnd"/>
      <w:r w:rsidRPr="00CC19F7">
        <w:t xml:space="preserve"> og </w:t>
      </w:r>
      <w:proofErr w:type="spellStart"/>
      <w:r w:rsidRPr="00CC19F7">
        <w:t>miljøvennleg</w:t>
      </w:r>
      <w:proofErr w:type="spellEnd"/>
      <w:r w:rsidRPr="00CC19F7">
        <w:t xml:space="preserve"> forvaltning av vassdraga</w:t>
      </w:r>
    </w:p>
    <w:p w14:paraId="65BA360C" w14:textId="77777777" w:rsidR="00FE02EF" w:rsidRPr="00CC19F7" w:rsidRDefault="00881E58" w:rsidP="00CC19F7">
      <w:r w:rsidRPr="00CC19F7">
        <w:t xml:space="preserve">NVE overvaker </w:t>
      </w:r>
      <w:proofErr w:type="spellStart"/>
      <w:r w:rsidRPr="00CC19F7">
        <w:t>vassressursane</w:t>
      </w:r>
      <w:proofErr w:type="spellEnd"/>
      <w:r w:rsidRPr="00CC19F7">
        <w:t xml:space="preserve"> i </w:t>
      </w:r>
      <w:proofErr w:type="spellStart"/>
      <w:r w:rsidRPr="00CC19F7">
        <w:t>Noreg</w:t>
      </w:r>
      <w:proofErr w:type="spellEnd"/>
      <w:r w:rsidRPr="00CC19F7">
        <w:t xml:space="preserve"> ved hjelp av over 600 hydrologiske </w:t>
      </w:r>
      <w:proofErr w:type="spellStart"/>
      <w:r w:rsidRPr="00CC19F7">
        <w:t>målestasjonar</w:t>
      </w:r>
      <w:proofErr w:type="spellEnd"/>
      <w:r w:rsidRPr="00CC19F7">
        <w:t xml:space="preserve"> i elver og </w:t>
      </w:r>
      <w:proofErr w:type="spellStart"/>
      <w:r w:rsidRPr="00CC19F7">
        <w:t>innsjøar</w:t>
      </w:r>
      <w:proofErr w:type="spellEnd"/>
      <w:r w:rsidRPr="00CC19F7">
        <w:t xml:space="preserve">, i tillegg til </w:t>
      </w:r>
      <w:proofErr w:type="spellStart"/>
      <w:r w:rsidRPr="00CC19F7">
        <w:t>målingar</w:t>
      </w:r>
      <w:proofErr w:type="spellEnd"/>
      <w:r w:rsidRPr="00CC19F7">
        <w:t xml:space="preserve"> av markvatn, grunnvasstand, </w:t>
      </w:r>
      <w:proofErr w:type="spellStart"/>
      <w:r w:rsidRPr="00CC19F7">
        <w:t>vasstemperaturar</w:t>
      </w:r>
      <w:proofErr w:type="spellEnd"/>
      <w:r w:rsidRPr="00CC19F7">
        <w:t xml:space="preserve">, </w:t>
      </w:r>
      <w:proofErr w:type="spellStart"/>
      <w:r w:rsidRPr="00CC19F7">
        <w:t>brear</w:t>
      </w:r>
      <w:proofErr w:type="spellEnd"/>
      <w:r w:rsidRPr="00CC19F7">
        <w:t xml:space="preserve">, snø, is og </w:t>
      </w:r>
      <w:proofErr w:type="spellStart"/>
      <w:r w:rsidRPr="00CC19F7">
        <w:t>sedimenttransport</w:t>
      </w:r>
      <w:proofErr w:type="spellEnd"/>
      <w:r w:rsidRPr="00CC19F7">
        <w:t xml:space="preserve"> på </w:t>
      </w:r>
      <w:proofErr w:type="spellStart"/>
      <w:r w:rsidRPr="00CC19F7">
        <w:t>utvalde</w:t>
      </w:r>
      <w:proofErr w:type="spellEnd"/>
      <w:r w:rsidRPr="00CC19F7">
        <w:t xml:space="preserve"> </w:t>
      </w:r>
      <w:proofErr w:type="spellStart"/>
      <w:r w:rsidRPr="00CC19F7">
        <w:t>stader</w:t>
      </w:r>
      <w:proofErr w:type="spellEnd"/>
      <w:r w:rsidRPr="00CC19F7">
        <w:t xml:space="preserve">. Dei hydrologiske </w:t>
      </w:r>
      <w:proofErr w:type="spellStart"/>
      <w:r w:rsidRPr="00CC19F7">
        <w:t>målestasjonane</w:t>
      </w:r>
      <w:proofErr w:type="spellEnd"/>
      <w:r w:rsidRPr="00CC19F7">
        <w:t xml:space="preserve"> gir god oversikt over </w:t>
      </w:r>
      <w:proofErr w:type="spellStart"/>
      <w:r w:rsidRPr="00CC19F7">
        <w:t>vassressursane</w:t>
      </w:r>
      <w:proofErr w:type="spellEnd"/>
      <w:r w:rsidRPr="00CC19F7">
        <w:t xml:space="preserve"> og er viktige for mellom anna </w:t>
      </w:r>
      <w:proofErr w:type="spellStart"/>
      <w:r w:rsidRPr="00CC19F7">
        <w:t>flaum</w:t>
      </w:r>
      <w:proofErr w:type="spellEnd"/>
      <w:r w:rsidRPr="00CC19F7">
        <w:t>- og jordskredvarslinga.</w:t>
      </w:r>
    </w:p>
    <w:p w14:paraId="33B84459" w14:textId="77777777" w:rsidR="00FE02EF" w:rsidRPr="00CC19F7" w:rsidRDefault="00881E58" w:rsidP="00CC19F7">
      <w:r w:rsidRPr="00CC19F7">
        <w:t xml:space="preserve">Drifta av det hydrologiske stasjonsnettet blir prioritert høgt. I 2022 har det </w:t>
      </w:r>
      <w:proofErr w:type="spellStart"/>
      <w:r w:rsidRPr="00CC19F7">
        <w:t>vore</w:t>
      </w:r>
      <w:proofErr w:type="spellEnd"/>
      <w:r w:rsidRPr="00CC19F7">
        <w:t xml:space="preserve"> stor feltaktivitet for å sikre hydrologiske data av god kvalitet gjennom heile året. Instrumenteringa på store </w:t>
      </w:r>
      <w:proofErr w:type="spellStart"/>
      <w:r w:rsidRPr="00CC19F7">
        <w:t>delar</w:t>
      </w:r>
      <w:proofErr w:type="spellEnd"/>
      <w:r w:rsidRPr="00CC19F7">
        <w:t xml:space="preserve"> av stasjonsnettet </w:t>
      </w:r>
      <w:proofErr w:type="spellStart"/>
      <w:r w:rsidRPr="00CC19F7">
        <w:t>nærmar</w:t>
      </w:r>
      <w:proofErr w:type="spellEnd"/>
      <w:r w:rsidRPr="00CC19F7">
        <w:t xml:space="preserve"> seg teknisk levealder, og det blei sett i gong arbeid med å skifte ut måleinstrument.</w:t>
      </w:r>
    </w:p>
    <w:p w14:paraId="3F22E9F1" w14:textId="77777777" w:rsidR="00FE02EF" w:rsidRPr="00CC19F7" w:rsidRDefault="00881E58" w:rsidP="00CC19F7">
      <w:proofErr w:type="spellStart"/>
      <w:r w:rsidRPr="00CC19F7">
        <w:t>Målestasjonar</w:t>
      </w:r>
      <w:proofErr w:type="spellEnd"/>
      <w:r w:rsidRPr="00CC19F7">
        <w:t xml:space="preserve"> som </w:t>
      </w:r>
      <w:proofErr w:type="spellStart"/>
      <w:r w:rsidRPr="00CC19F7">
        <w:t>vassdragsregulantar</w:t>
      </w:r>
      <w:proofErr w:type="spellEnd"/>
      <w:r w:rsidRPr="00CC19F7">
        <w:t xml:space="preserve"> er pålagde å drive, er </w:t>
      </w:r>
      <w:proofErr w:type="spellStart"/>
      <w:r w:rsidRPr="00CC19F7">
        <w:t>ein</w:t>
      </w:r>
      <w:proofErr w:type="spellEnd"/>
      <w:r w:rsidRPr="00CC19F7">
        <w:t xml:space="preserve"> viktig del av det hydrologiske stasjonsnettet. I 2022 har NVE gitt tolv </w:t>
      </w:r>
      <w:proofErr w:type="spellStart"/>
      <w:r w:rsidRPr="00CC19F7">
        <w:t>varslar</w:t>
      </w:r>
      <w:proofErr w:type="spellEnd"/>
      <w:r w:rsidRPr="00CC19F7">
        <w:t xml:space="preserve"> og åtte pålegg om hydrologiske </w:t>
      </w:r>
      <w:proofErr w:type="spellStart"/>
      <w:r w:rsidRPr="00CC19F7">
        <w:t>målingar</w:t>
      </w:r>
      <w:proofErr w:type="spellEnd"/>
      <w:r w:rsidRPr="00CC19F7">
        <w:t xml:space="preserve"> i vassdrag. NVE har laga betre </w:t>
      </w:r>
      <w:proofErr w:type="spellStart"/>
      <w:r w:rsidRPr="00CC19F7">
        <w:t>rutinar</w:t>
      </w:r>
      <w:proofErr w:type="spellEnd"/>
      <w:r w:rsidRPr="00CC19F7">
        <w:t xml:space="preserve"> for mottak og oppfølging av data </w:t>
      </w:r>
      <w:proofErr w:type="spellStart"/>
      <w:r w:rsidRPr="00CC19F7">
        <w:t>frå</w:t>
      </w:r>
      <w:proofErr w:type="spellEnd"/>
      <w:r w:rsidRPr="00CC19F7">
        <w:t xml:space="preserve"> slike </w:t>
      </w:r>
      <w:proofErr w:type="spellStart"/>
      <w:r w:rsidRPr="00CC19F7">
        <w:t>målestasjonar</w:t>
      </w:r>
      <w:proofErr w:type="spellEnd"/>
      <w:r w:rsidRPr="00CC19F7">
        <w:t>.</w:t>
      </w:r>
    </w:p>
    <w:p w14:paraId="397593B3" w14:textId="77777777" w:rsidR="00FE02EF" w:rsidRPr="00CC19F7" w:rsidRDefault="00881E58" w:rsidP="00CC19F7">
      <w:r w:rsidRPr="00CC19F7">
        <w:t xml:space="preserve">NVE har formidla informasjon om </w:t>
      </w:r>
      <w:proofErr w:type="spellStart"/>
      <w:r w:rsidRPr="00CC19F7">
        <w:t>klimaendringar</w:t>
      </w:r>
      <w:proofErr w:type="spellEnd"/>
      <w:r w:rsidRPr="00CC19F7">
        <w:t xml:space="preserve"> og klimatilpassing. Når det gjeld </w:t>
      </w:r>
      <w:proofErr w:type="spellStart"/>
      <w:r w:rsidRPr="00CC19F7">
        <w:t>konsekvensane</w:t>
      </w:r>
      <w:proofErr w:type="spellEnd"/>
      <w:r w:rsidRPr="00CC19F7">
        <w:t xml:space="preserve"> av </w:t>
      </w:r>
      <w:proofErr w:type="spellStart"/>
      <w:r w:rsidRPr="00CC19F7">
        <w:t>klimaendringar</w:t>
      </w:r>
      <w:proofErr w:type="spellEnd"/>
      <w:r w:rsidRPr="00CC19F7">
        <w:t xml:space="preserve"> på hydrologi, snø, </w:t>
      </w:r>
      <w:proofErr w:type="spellStart"/>
      <w:r w:rsidRPr="00CC19F7">
        <w:t>brear</w:t>
      </w:r>
      <w:proofErr w:type="spellEnd"/>
      <w:r w:rsidRPr="00CC19F7">
        <w:t xml:space="preserve"> og is, har NVE </w:t>
      </w:r>
      <w:proofErr w:type="spellStart"/>
      <w:r w:rsidRPr="00CC19F7">
        <w:t>vore</w:t>
      </w:r>
      <w:proofErr w:type="spellEnd"/>
      <w:r w:rsidRPr="00CC19F7">
        <w:t xml:space="preserve"> involvert i ulike FoU-prosjekt og i samarbeidet </w:t>
      </w:r>
      <w:r w:rsidRPr="00CC19F7">
        <w:rPr>
          <w:rStyle w:val="kursiv"/>
        </w:rPr>
        <w:t>Norsk klimaservicesenter</w:t>
      </w:r>
      <w:r w:rsidRPr="00CC19F7">
        <w:t xml:space="preserve">. I 2022 har NVE mellom anna bidratt i oppdateringa av rapporten </w:t>
      </w:r>
      <w:r w:rsidRPr="00CC19F7">
        <w:rPr>
          <w:rStyle w:val="kursiv"/>
        </w:rPr>
        <w:t>Klima i Norge 2100</w:t>
      </w:r>
      <w:r w:rsidRPr="00CC19F7">
        <w:t xml:space="preserve">, som er </w:t>
      </w:r>
      <w:proofErr w:type="spellStart"/>
      <w:r w:rsidRPr="00CC19F7">
        <w:t>planlagd</w:t>
      </w:r>
      <w:proofErr w:type="spellEnd"/>
      <w:r w:rsidRPr="00CC19F7">
        <w:t xml:space="preserve"> publisert i 2025.</w:t>
      </w:r>
    </w:p>
    <w:p w14:paraId="6EB00900" w14:textId="77777777" w:rsidR="00FE02EF" w:rsidRPr="00CC19F7" w:rsidRDefault="00881E58" w:rsidP="00CC19F7">
      <w:r w:rsidRPr="00CC19F7">
        <w:t xml:space="preserve">I konsesjonsbehandlinga av tiltak i vassdrag har påverknaden på miljø- og </w:t>
      </w:r>
      <w:proofErr w:type="spellStart"/>
      <w:r w:rsidRPr="00CC19F7">
        <w:t>brukarinteresser</w:t>
      </w:r>
      <w:proofErr w:type="spellEnd"/>
      <w:r w:rsidRPr="00CC19F7">
        <w:t xml:space="preserve"> blitt greidde ut og </w:t>
      </w:r>
      <w:proofErr w:type="spellStart"/>
      <w:r w:rsidRPr="00CC19F7">
        <w:t>heilskapleg</w:t>
      </w:r>
      <w:proofErr w:type="spellEnd"/>
      <w:r w:rsidRPr="00CC19F7">
        <w:t xml:space="preserve"> </w:t>
      </w:r>
      <w:proofErr w:type="spellStart"/>
      <w:r w:rsidRPr="00CC19F7">
        <w:t>avvegne</w:t>
      </w:r>
      <w:proofErr w:type="spellEnd"/>
      <w:r w:rsidRPr="00CC19F7">
        <w:t xml:space="preserve">. NVE har prioritert framdrift i </w:t>
      </w:r>
      <w:proofErr w:type="spellStart"/>
      <w:r w:rsidRPr="00CC19F7">
        <w:t>vilkårsrevisjonar</w:t>
      </w:r>
      <w:proofErr w:type="spellEnd"/>
      <w:r w:rsidRPr="00CC19F7">
        <w:t xml:space="preserve"> </w:t>
      </w:r>
      <w:proofErr w:type="spellStart"/>
      <w:r w:rsidRPr="00CC19F7">
        <w:t>innan</w:t>
      </w:r>
      <w:proofErr w:type="spellEnd"/>
      <w:r w:rsidRPr="00CC19F7">
        <w:t xml:space="preserve"> vasskraft, i tillegg til innkallings- og </w:t>
      </w:r>
      <w:proofErr w:type="spellStart"/>
      <w:r w:rsidRPr="00CC19F7">
        <w:t>omgjeringssaker</w:t>
      </w:r>
      <w:proofErr w:type="spellEnd"/>
      <w:r w:rsidRPr="00CC19F7">
        <w:t xml:space="preserve"> i vassdrag som etter vassforskrifta skal oppnå </w:t>
      </w:r>
      <w:proofErr w:type="spellStart"/>
      <w:r w:rsidRPr="00CC19F7">
        <w:t>høgare</w:t>
      </w:r>
      <w:proofErr w:type="spellEnd"/>
      <w:r w:rsidRPr="00CC19F7">
        <w:t xml:space="preserve"> miljømål </w:t>
      </w:r>
      <w:proofErr w:type="spellStart"/>
      <w:r w:rsidRPr="00CC19F7">
        <w:t>innan</w:t>
      </w:r>
      <w:proofErr w:type="spellEnd"/>
      <w:r w:rsidRPr="00CC19F7">
        <w:t xml:space="preserve"> 2027. I arbeidet med revisjon av vilkår i eldre </w:t>
      </w:r>
      <w:proofErr w:type="spellStart"/>
      <w:r w:rsidRPr="00CC19F7">
        <w:t>vassdragskonsesjonar</w:t>
      </w:r>
      <w:proofErr w:type="spellEnd"/>
      <w:r w:rsidRPr="00CC19F7">
        <w:t xml:space="preserve"> har NVE </w:t>
      </w:r>
      <w:proofErr w:type="spellStart"/>
      <w:r w:rsidRPr="00CC19F7">
        <w:t>opna</w:t>
      </w:r>
      <w:proofErr w:type="spellEnd"/>
      <w:r w:rsidRPr="00CC19F7">
        <w:t xml:space="preserve"> opp fem nye saker og levert innstilling til Olje- og energidepartementet i </w:t>
      </w:r>
      <w:proofErr w:type="spellStart"/>
      <w:r w:rsidRPr="00CC19F7">
        <w:t>ytterlegare</w:t>
      </w:r>
      <w:proofErr w:type="spellEnd"/>
      <w:r w:rsidRPr="00CC19F7">
        <w:t xml:space="preserve"> to saker. Ved utgangen av 2022 hadde NVE totalt 51 </w:t>
      </w:r>
      <w:proofErr w:type="spellStart"/>
      <w:r w:rsidRPr="00CC19F7">
        <w:t>vilkårsrevisjonar</w:t>
      </w:r>
      <w:proofErr w:type="spellEnd"/>
      <w:r w:rsidRPr="00CC19F7">
        <w:t xml:space="preserve"> til behandling. Det blei i tillegg gitt konsesjon eller innstilling til nedlegging av tre vassdragsanlegg og gjort vedtak i ei sak om endra manøvreringsreglement.</w:t>
      </w:r>
    </w:p>
    <w:p w14:paraId="72563012" w14:textId="77777777" w:rsidR="00FE02EF" w:rsidRPr="00CC19F7" w:rsidRDefault="00881E58" w:rsidP="00CC19F7">
      <w:r w:rsidRPr="00CC19F7">
        <w:t xml:space="preserve">NVE har behandla søknader om uttak av vatn til akvakulturanlegg, drikkevatn og andre inngrep i vassdrag. For å sikre at pålagde konsesjonsvilkår blir </w:t>
      </w:r>
      <w:proofErr w:type="spellStart"/>
      <w:r w:rsidRPr="00CC19F7">
        <w:t>følgde</w:t>
      </w:r>
      <w:proofErr w:type="spellEnd"/>
      <w:r w:rsidRPr="00CC19F7">
        <w:t xml:space="preserve"> opp i planlegging, bygging og drift av anlegg, har NVE gjort 163 vedtak om godkjenning av </w:t>
      </w:r>
      <w:proofErr w:type="spellStart"/>
      <w:r w:rsidRPr="00CC19F7">
        <w:t>detaljplanar</w:t>
      </w:r>
      <w:proofErr w:type="spellEnd"/>
      <w:r w:rsidRPr="00CC19F7">
        <w:t xml:space="preserve"> for miljø og landskap, inkludert </w:t>
      </w:r>
      <w:proofErr w:type="spellStart"/>
      <w:r w:rsidRPr="00CC19F7">
        <w:t>planendringar</w:t>
      </w:r>
      <w:proofErr w:type="spellEnd"/>
      <w:r w:rsidRPr="00CC19F7">
        <w:t xml:space="preserve">. NVE jobbar med å sjå etter </w:t>
      </w:r>
      <w:proofErr w:type="spellStart"/>
      <w:r w:rsidRPr="00CC19F7">
        <w:t>moglegheiter</w:t>
      </w:r>
      <w:proofErr w:type="spellEnd"/>
      <w:r w:rsidRPr="00CC19F7">
        <w:t xml:space="preserve"> for </w:t>
      </w:r>
      <w:proofErr w:type="spellStart"/>
      <w:r w:rsidRPr="00CC19F7">
        <w:t>meir</w:t>
      </w:r>
      <w:proofErr w:type="spellEnd"/>
      <w:r w:rsidRPr="00CC19F7">
        <w:t xml:space="preserve"> konsistente og transparente samfunnsøkonomiske </w:t>
      </w:r>
      <w:proofErr w:type="spellStart"/>
      <w:r w:rsidRPr="00CC19F7">
        <w:t>vurderingar</w:t>
      </w:r>
      <w:proofErr w:type="spellEnd"/>
      <w:r w:rsidRPr="00CC19F7">
        <w:t xml:space="preserve"> i konsesjonssakene.</w:t>
      </w:r>
    </w:p>
    <w:p w14:paraId="6F7F121B" w14:textId="77777777" w:rsidR="00FE02EF" w:rsidRPr="00CC19F7" w:rsidRDefault="00881E58" w:rsidP="00CC19F7">
      <w:r w:rsidRPr="00CC19F7">
        <w:t xml:space="preserve">Det er </w:t>
      </w:r>
      <w:proofErr w:type="spellStart"/>
      <w:r w:rsidRPr="00CC19F7">
        <w:t>framleis</w:t>
      </w:r>
      <w:proofErr w:type="spellEnd"/>
      <w:r w:rsidRPr="00CC19F7">
        <w:t xml:space="preserve"> </w:t>
      </w:r>
      <w:proofErr w:type="spellStart"/>
      <w:r w:rsidRPr="00CC19F7">
        <w:t>høg</w:t>
      </w:r>
      <w:proofErr w:type="spellEnd"/>
      <w:r w:rsidRPr="00CC19F7">
        <w:t xml:space="preserve"> aktivitet i bygging av småkraftverk, mellom anna </w:t>
      </w:r>
      <w:proofErr w:type="spellStart"/>
      <w:r w:rsidRPr="00CC19F7">
        <w:t>sidan</w:t>
      </w:r>
      <w:proofErr w:type="spellEnd"/>
      <w:r w:rsidRPr="00CC19F7">
        <w:t xml:space="preserve"> mange kraftverk har fått </w:t>
      </w:r>
      <w:proofErr w:type="spellStart"/>
      <w:r w:rsidRPr="00CC19F7">
        <w:t>forlengd</w:t>
      </w:r>
      <w:proofErr w:type="spellEnd"/>
      <w:r w:rsidRPr="00CC19F7">
        <w:t xml:space="preserve"> </w:t>
      </w:r>
      <w:proofErr w:type="spellStart"/>
      <w:r w:rsidRPr="00CC19F7">
        <w:t>byggefrist</w:t>
      </w:r>
      <w:proofErr w:type="spellEnd"/>
      <w:r w:rsidRPr="00CC19F7">
        <w:t xml:space="preserve">. NVE har prioritert miljøtilsyn med vassdragsanlegg i byggefasen. Det er gjennomført 180 </w:t>
      </w:r>
      <w:proofErr w:type="spellStart"/>
      <w:r w:rsidRPr="00CC19F7">
        <w:t>synfaringar</w:t>
      </w:r>
      <w:proofErr w:type="spellEnd"/>
      <w:r w:rsidRPr="00CC19F7">
        <w:t xml:space="preserve"> før og etter byggestart. NVE har også hatt tilsyn med vassdragsanlegg i drift og </w:t>
      </w:r>
      <w:proofErr w:type="spellStart"/>
      <w:r w:rsidRPr="00CC19F7">
        <w:t>fortløpande</w:t>
      </w:r>
      <w:proofErr w:type="spellEnd"/>
      <w:r w:rsidRPr="00CC19F7">
        <w:t xml:space="preserve"> </w:t>
      </w:r>
      <w:proofErr w:type="spellStart"/>
      <w:r w:rsidRPr="00CC19F7">
        <w:t>følgt</w:t>
      </w:r>
      <w:proofErr w:type="spellEnd"/>
      <w:r w:rsidRPr="00CC19F7">
        <w:t xml:space="preserve"> opp innrapporterte </w:t>
      </w:r>
      <w:proofErr w:type="spellStart"/>
      <w:r w:rsidRPr="00CC19F7">
        <w:t>hendingar</w:t>
      </w:r>
      <w:proofErr w:type="spellEnd"/>
      <w:r w:rsidRPr="00CC19F7">
        <w:t xml:space="preserve">. NVE har gjort fire vedtak om retting og sju vedtak om gebyr for </w:t>
      </w:r>
      <w:proofErr w:type="spellStart"/>
      <w:r w:rsidRPr="00CC19F7">
        <w:t>brot</w:t>
      </w:r>
      <w:proofErr w:type="spellEnd"/>
      <w:r w:rsidRPr="00CC19F7">
        <w:t xml:space="preserve"> på vilkår i konsesjonen eller vilkår som følger direkte av vassressurslova. For å bidra til </w:t>
      </w:r>
      <w:proofErr w:type="spellStart"/>
      <w:r w:rsidRPr="00CC19F7">
        <w:t>forbetring</w:t>
      </w:r>
      <w:proofErr w:type="spellEnd"/>
      <w:r w:rsidRPr="00CC19F7">
        <w:t xml:space="preserve"> har NVE, i tillegg til </w:t>
      </w:r>
      <w:proofErr w:type="spellStart"/>
      <w:r w:rsidRPr="00CC19F7">
        <w:t>eit</w:t>
      </w:r>
      <w:proofErr w:type="spellEnd"/>
      <w:r w:rsidRPr="00CC19F7">
        <w:t xml:space="preserve"> </w:t>
      </w:r>
      <w:proofErr w:type="spellStart"/>
      <w:r w:rsidRPr="00CC19F7">
        <w:t>omfattande</w:t>
      </w:r>
      <w:proofErr w:type="spellEnd"/>
      <w:r w:rsidRPr="00CC19F7">
        <w:t xml:space="preserve"> informasjonsarbeid om krav og regelverk, delt funna og </w:t>
      </w:r>
      <w:proofErr w:type="spellStart"/>
      <w:r w:rsidRPr="00CC19F7">
        <w:t>reaksjonane</w:t>
      </w:r>
      <w:proofErr w:type="spellEnd"/>
      <w:r w:rsidRPr="00CC19F7">
        <w:t xml:space="preserve"> på nettsidene sine. Kontroll av settefiskanlegg har </w:t>
      </w:r>
      <w:proofErr w:type="spellStart"/>
      <w:r w:rsidRPr="00CC19F7">
        <w:t>vore</w:t>
      </w:r>
      <w:proofErr w:type="spellEnd"/>
      <w:r w:rsidRPr="00CC19F7">
        <w:t xml:space="preserve"> </w:t>
      </w:r>
      <w:proofErr w:type="spellStart"/>
      <w:r w:rsidRPr="00CC19F7">
        <w:t>særleg</w:t>
      </w:r>
      <w:proofErr w:type="spellEnd"/>
      <w:r w:rsidRPr="00CC19F7">
        <w:t xml:space="preserve"> prioritert.</w:t>
      </w:r>
    </w:p>
    <w:p w14:paraId="78E6817A" w14:textId="77777777" w:rsidR="00FE02EF" w:rsidRPr="00CC19F7" w:rsidRDefault="00881E58" w:rsidP="00CC19F7">
      <w:r w:rsidRPr="00CC19F7">
        <w:t xml:space="preserve">NVE har avslutta </w:t>
      </w:r>
      <w:proofErr w:type="spellStart"/>
      <w:r w:rsidRPr="00CC19F7">
        <w:t>ein</w:t>
      </w:r>
      <w:proofErr w:type="spellEnd"/>
      <w:r w:rsidRPr="00CC19F7">
        <w:t xml:space="preserve"> del av prosjektet «Risikobasert </w:t>
      </w:r>
      <w:proofErr w:type="spellStart"/>
      <w:r w:rsidRPr="00CC19F7">
        <w:t>utveljing</w:t>
      </w:r>
      <w:proofErr w:type="spellEnd"/>
      <w:r w:rsidRPr="00CC19F7">
        <w:t xml:space="preserve"> av tilsynsobjekt», som har hatt som mål å gi </w:t>
      </w:r>
      <w:proofErr w:type="spellStart"/>
      <w:r w:rsidRPr="00CC19F7">
        <w:t>eit</w:t>
      </w:r>
      <w:proofErr w:type="spellEnd"/>
      <w:r w:rsidRPr="00CC19F7">
        <w:t xml:space="preserve"> betre grunnlag for </w:t>
      </w:r>
      <w:proofErr w:type="spellStart"/>
      <w:r w:rsidRPr="00CC19F7">
        <w:t>utvalet</w:t>
      </w:r>
      <w:proofErr w:type="spellEnd"/>
      <w:r w:rsidRPr="00CC19F7">
        <w:t xml:space="preserve"> og dokumentasjonen av </w:t>
      </w:r>
      <w:proofErr w:type="spellStart"/>
      <w:r w:rsidRPr="00CC19F7">
        <w:t>verksemder</w:t>
      </w:r>
      <w:proofErr w:type="spellEnd"/>
      <w:r w:rsidRPr="00CC19F7">
        <w:t xml:space="preserve"> som blir </w:t>
      </w:r>
      <w:proofErr w:type="spellStart"/>
      <w:r w:rsidRPr="00CC19F7">
        <w:t>planlagde</w:t>
      </w:r>
      <w:proofErr w:type="spellEnd"/>
      <w:r w:rsidRPr="00CC19F7">
        <w:t xml:space="preserve"> for tilsyn.</w:t>
      </w:r>
    </w:p>
    <w:p w14:paraId="3E022646" w14:textId="77777777" w:rsidR="00FE02EF" w:rsidRPr="00CC19F7" w:rsidRDefault="00881E58" w:rsidP="00CC19F7">
      <w:proofErr w:type="spellStart"/>
      <w:r w:rsidRPr="00CC19F7">
        <w:t>Dammar</w:t>
      </w:r>
      <w:proofErr w:type="spellEnd"/>
      <w:r w:rsidRPr="00CC19F7">
        <w:t xml:space="preserve"> har </w:t>
      </w:r>
      <w:proofErr w:type="spellStart"/>
      <w:r w:rsidRPr="00CC19F7">
        <w:t>ein</w:t>
      </w:r>
      <w:proofErr w:type="spellEnd"/>
      <w:r w:rsidRPr="00CC19F7">
        <w:t xml:space="preserve"> viktig funksjon for kraftforsyninga og kan ofte </w:t>
      </w:r>
      <w:proofErr w:type="spellStart"/>
      <w:r w:rsidRPr="00CC19F7">
        <w:t>vere</w:t>
      </w:r>
      <w:proofErr w:type="spellEnd"/>
      <w:r w:rsidRPr="00CC19F7">
        <w:t xml:space="preserve"> viktige for </w:t>
      </w:r>
      <w:proofErr w:type="spellStart"/>
      <w:r w:rsidRPr="00CC19F7">
        <w:t>flaumdemping</w:t>
      </w:r>
      <w:proofErr w:type="spellEnd"/>
      <w:r w:rsidRPr="00CC19F7">
        <w:t xml:space="preserve"> i vassdrag. </w:t>
      </w:r>
      <w:proofErr w:type="spellStart"/>
      <w:r w:rsidRPr="00CC19F7">
        <w:t>Brot</w:t>
      </w:r>
      <w:proofErr w:type="spellEnd"/>
      <w:r w:rsidRPr="00CC19F7">
        <w:t xml:space="preserve"> på </w:t>
      </w:r>
      <w:proofErr w:type="spellStart"/>
      <w:r w:rsidRPr="00CC19F7">
        <w:t>dammar</w:t>
      </w:r>
      <w:proofErr w:type="spellEnd"/>
      <w:r w:rsidRPr="00CC19F7">
        <w:t xml:space="preserve"> kan ha svært store </w:t>
      </w:r>
      <w:proofErr w:type="spellStart"/>
      <w:r w:rsidRPr="00CC19F7">
        <w:t>konsekvensar</w:t>
      </w:r>
      <w:proofErr w:type="spellEnd"/>
      <w:r w:rsidRPr="00CC19F7">
        <w:t xml:space="preserve">. </w:t>
      </w:r>
      <w:proofErr w:type="spellStart"/>
      <w:r w:rsidRPr="00CC19F7">
        <w:t>Dammar</w:t>
      </w:r>
      <w:proofErr w:type="spellEnd"/>
      <w:r w:rsidRPr="00CC19F7">
        <w:t xml:space="preserve"> og </w:t>
      </w:r>
      <w:proofErr w:type="spellStart"/>
      <w:r w:rsidRPr="00CC19F7">
        <w:t>vassvegar</w:t>
      </w:r>
      <w:proofErr w:type="spellEnd"/>
      <w:r w:rsidRPr="00CC19F7">
        <w:t xml:space="preserve"> skal </w:t>
      </w:r>
      <w:proofErr w:type="spellStart"/>
      <w:r w:rsidRPr="00CC19F7">
        <w:t>klassifiserast</w:t>
      </w:r>
      <w:proofErr w:type="spellEnd"/>
      <w:r w:rsidRPr="00CC19F7">
        <w:t xml:space="preserve"> i </w:t>
      </w:r>
      <w:proofErr w:type="spellStart"/>
      <w:r w:rsidRPr="00CC19F7">
        <w:t>éin</w:t>
      </w:r>
      <w:proofErr w:type="spellEnd"/>
      <w:r w:rsidRPr="00CC19F7">
        <w:t xml:space="preserve"> av fem </w:t>
      </w:r>
      <w:proofErr w:type="spellStart"/>
      <w:r w:rsidRPr="00CC19F7">
        <w:t>konsekvensklassar</w:t>
      </w:r>
      <w:proofErr w:type="spellEnd"/>
      <w:r w:rsidRPr="00CC19F7">
        <w:t xml:space="preserve">, slik at det blir stilt riktige krav til </w:t>
      </w:r>
      <w:proofErr w:type="spellStart"/>
      <w:r w:rsidRPr="00CC19F7">
        <w:t>sikkerheit</w:t>
      </w:r>
      <w:proofErr w:type="spellEnd"/>
      <w:r w:rsidRPr="00CC19F7">
        <w:t xml:space="preserve"> ved planlegging, bygging og drift. Dette har </w:t>
      </w:r>
      <w:proofErr w:type="spellStart"/>
      <w:r w:rsidRPr="00CC19F7">
        <w:t>vore</w:t>
      </w:r>
      <w:proofErr w:type="spellEnd"/>
      <w:r w:rsidRPr="00CC19F7">
        <w:t xml:space="preserve"> ei prioritert </w:t>
      </w:r>
      <w:proofErr w:type="spellStart"/>
      <w:r w:rsidRPr="00CC19F7">
        <w:t>oppgåve</w:t>
      </w:r>
      <w:proofErr w:type="spellEnd"/>
      <w:r w:rsidRPr="00CC19F7">
        <w:t xml:space="preserve">. I 2022 gjorde NVE vedtak om konsekvensklasse i 285 saker. No har om lag 98 prosent av </w:t>
      </w:r>
      <w:proofErr w:type="spellStart"/>
      <w:r w:rsidRPr="00CC19F7">
        <w:t>dammane</w:t>
      </w:r>
      <w:proofErr w:type="spellEnd"/>
      <w:r w:rsidRPr="00CC19F7">
        <w:t xml:space="preserve"> og 94 prosent av </w:t>
      </w:r>
      <w:proofErr w:type="spellStart"/>
      <w:r w:rsidRPr="00CC19F7">
        <w:t>vassvegane</w:t>
      </w:r>
      <w:proofErr w:type="spellEnd"/>
      <w:r w:rsidRPr="00CC19F7">
        <w:t xml:space="preserve"> som er registrerte i NVEs database, gyldige vedtak om konsekvensklasse. Oppfølging av anlegga med </w:t>
      </w:r>
      <w:proofErr w:type="spellStart"/>
      <w:r w:rsidRPr="00CC19F7">
        <w:t>dei</w:t>
      </w:r>
      <w:proofErr w:type="spellEnd"/>
      <w:r w:rsidRPr="00CC19F7">
        <w:t xml:space="preserve"> største </w:t>
      </w:r>
      <w:proofErr w:type="spellStart"/>
      <w:r w:rsidRPr="00CC19F7">
        <w:t>konsekvensane</w:t>
      </w:r>
      <w:proofErr w:type="spellEnd"/>
      <w:r w:rsidRPr="00CC19F7">
        <w:t xml:space="preserve"> av </w:t>
      </w:r>
      <w:proofErr w:type="spellStart"/>
      <w:r w:rsidRPr="00CC19F7">
        <w:t>brot</w:t>
      </w:r>
      <w:proofErr w:type="spellEnd"/>
      <w:r w:rsidRPr="00CC19F7">
        <w:t xml:space="preserve"> blir prioritert.</w:t>
      </w:r>
    </w:p>
    <w:p w14:paraId="73831621" w14:textId="77777777" w:rsidR="00FE02EF" w:rsidRPr="00CC19F7" w:rsidRDefault="00881E58" w:rsidP="00CC19F7">
      <w:r w:rsidRPr="00CC19F7">
        <w:t xml:space="preserve">Det blir stilt krav til kvalifisert personell som </w:t>
      </w:r>
      <w:proofErr w:type="spellStart"/>
      <w:r w:rsidRPr="00CC19F7">
        <w:t>eit</w:t>
      </w:r>
      <w:proofErr w:type="spellEnd"/>
      <w:r w:rsidRPr="00CC19F7">
        <w:t xml:space="preserve"> ledd i arbeidet med god </w:t>
      </w:r>
      <w:proofErr w:type="spellStart"/>
      <w:r w:rsidRPr="00CC19F7">
        <w:t>damsikkerheit</w:t>
      </w:r>
      <w:proofErr w:type="spellEnd"/>
      <w:r w:rsidRPr="00CC19F7">
        <w:t xml:space="preserve">. For </w:t>
      </w:r>
      <w:proofErr w:type="spellStart"/>
      <w:r w:rsidRPr="00CC19F7">
        <w:t>dameigarar</w:t>
      </w:r>
      <w:proofErr w:type="spellEnd"/>
      <w:r w:rsidRPr="00CC19F7">
        <w:t xml:space="preserve"> gjeld dette </w:t>
      </w:r>
      <w:proofErr w:type="spellStart"/>
      <w:r w:rsidRPr="00CC19F7">
        <w:t>leiar</w:t>
      </w:r>
      <w:proofErr w:type="spellEnd"/>
      <w:r w:rsidRPr="00CC19F7">
        <w:t xml:space="preserve">, vassdragsteknisk </w:t>
      </w:r>
      <w:proofErr w:type="spellStart"/>
      <w:r w:rsidRPr="00CC19F7">
        <w:t>ansvarleg</w:t>
      </w:r>
      <w:proofErr w:type="spellEnd"/>
      <w:r w:rsidRPr="00CC19F7">
        <w:t xml:space="preserve"> (VTA) og anna tilsynspersonell. I 2022 behandla NVE over 400 søknader om kvalifisert personell, og det er utarbeidd ei ny rettleiing for </w:t>
      </w:r>
      <w:proofErr w:type="spellStart"/>
      <w:r w:rsidRPr="00CC19F7">
        <w:t>søkarar</w:t>
      </w:r>
      <w:proofErr w:type="spellEnd"/>
      <w:r w:rsidRPr="00CC19F7">
        <w:t>.</w:t>
      </w:r>
    </w:p>
    <w:p w14:paraId="06F4F3DE" w14:textId="77777777" w:rsidR="00FE02EF" w:rsidRPr="00CC19F7" w:rsidRDefault="00881E58" w:rsidP="00CC19F7">
      <w:r w:rsidRPr="00CC19F7">
        <w:t xml:space="preserve">Vassdragsvernet </w:t>
      </w:r>
      <w:proofErr w:type="spellStart"/>
      <w:r w:rsidRPr="00CC19F7">
        <w:t>omfattar</w:t>
      </w:r>
      <w:proofErr w:type="spellEnd"/>
      <w:r w:rsidRPr="00CC19F7">
        <w:t xml:space="preserve"> 390 objekt som er verna mot kraftutbygging. Ved vurdering av tiltak i verna vassdrag har NVE lagt stor vekt på </w:t>
      </w:r>
      <w:proofErr w:type="spellStart"/>
      <w:r w:rsidRPr="00CC19F7">
        <w:t>verneverdiar</w:t>
      </w:r>
      <w:proofErr w:type="spellEnd"/>
      <w:r w:rsidRPr="00CC19F7">
        <w:t xml:space="preserve">. NVE gir informasjon om verna vassdrag på nettsidene sine, vurderer potensielle </w:t>
      </w:r>
      <w:proofErr w:type="spellStart"/>
      <w:r w:rsidRPr="00CC19F7">
        <w:t>konfliktar</w:t>
      </w:r>
      <w:proofErr w:type="spellEnd"/>
      <w:r w:rsidRPr="00CC19F7">
        <w:t xml:space="preserve"> med vassdragsvern i </w:t>
      </w:r>
      <w:proofErr w:type="spellStart"/>
      <w:r w:rsidRPr="00CC19F7">
        <w:t>høyringar</w:t>
      </w:r>
      <w:proofErr w:type="spellEnd"/>
      <w:r w:rsidRPr="00CC19F7">
        <w:t xml:space="preserve"> av kommunale </w:t>
      </w:r>
      <w:proofErr w:type="spellStart"/>
      <w:r w:rsidRPr="00CC19F7">
        <w:t>arealplanar</w:t>
      </w:r>
      <w:proofErr w:type="spellEnd"/>
      <w:r w:rsidRPr="00CC19F7">
        <w:t xml:space="preserve"> og har </w:t>
      </w:r>
      <w:proofErr w:type="spellStart"/>
      <w:r w:rsidRPr="00CC19F7">
        <w:t>motsegnskompetanse</w:t>
      </w:r>
      <w:proofErr w:type="spellEnd"/>
      <w:r w:rsidRPr="00CC19F7">
        <w:t xml:space="preserve"> knytt til </w:t>
      </w:r>
      <w:proofErr w:type="gramStart"/>
      <w:r w:rsidRPr="00CC19F7">
        <w:t>sine fagområde</w:t>
      </w:r>
      <w:proofErr w:type="gramEnd"/>
      <w:r w:rsidRPr="00CC19F7">
        <w:t>.</w:t>
      </w:r>
    </w:p>
    <w:p w14:paraId="7E3C3322" w14:textId="77777777" w:rsidR="00FE02EF" w:rsidRPr="00CC19F7" w:rsidRDefault="00881E58" w:rsidP="00CC19F7">
      <w:r w:rsidRPr="00CC19F7">
        <w:t xml:space="preserve">NVE har sektoransvaret for å gjennomføre vassforskrifta </w:t>
      </w:r>
      <w:proofErr w:type="spellStart"/>
      <w:r w:rsidRPr="00CC19F7">
        <w:t>innanfor</w:t>
      </w:r>
      <w:proofErr w:type="spellEnd"/>
      <w:r w:rsidRPr="00CC19F7">
        <w:t xml:space="preserve"> </w:t>
      </w:r>
      <w:proofErr w:type="gramStart"/>
      <w:r w:rsidRPr="00CC19F7">
        <w:t>sine område</w:t>
      </w:r>
      <w:proofErr w:type="gramEnd"/>
      <w:r w:rsidRPr="00CC19F7">
        <w:t xml:space="preserve">. NVE har gjennomført prioriterte </w:t>
      </w:r>
      <w:proofErr w:type="spellStart"/>
      <w:r w:rsidRPr="00CC19F7">
        <w:t>vilkårsrevisjonar</w:t>
      </w:r>
      <w:proofErr w:type="spellEnd"/>
      <w:r w:rsidRPr="00CC19F7">
        <w:t xml:space="preserve">, innkallings- og </w:t>
      </w:r>
      <w:proofErr w:type="spellStart"/>
      <w:r w:rsidRPr="00CC19F7">
        <w:t>omgjeringssaker</w:t>
      </w:r>
      <w:proofErr w:type="spellEnd"/>
      <w:r w:rsidRPr="00CC19F7">
        <w:t xml:space="preserve"> og bidratt til miljøtiltak gjennom </w:t>
      </w:r>
      <w:proofErr w:type="spellStart"/>
      <w:r w:rsidRPr="00CC19F7">
        <w:t>tilskots</w:t>
      </w:r>
      <w:proofErr w:type="spellEnd"/>
      <w:r w:rsidRPr="00CC19F7">
        <w:t xml:space="preserve">- og </w:t>
      </w:r>
      <w:proofErr w:type="spellStart"/>
      <w:r w:rsidRPr="00CC19F7">
        <w:t>bistandsordningane</w:t>
      </w:r>
      <w:proofErr w:type="spellEnd"/>
      <w:r w:rsidRPr="00CC19F7">
        <w:t>. I 2022 har NVE også tatt del i arbeidet med å oppdatere regionale vassforvaltningsplanar for perioden 2022–2027.</w:t>
      </w:r>
    </w:p>
    <w:p w14:paraId="668294FD" w14:textId="77777777" w:rsidR="00FE02EF" w:rsidRPr="00CC19F7" w:rsidRDefault="00881E58" w:rsidP="00CC19F7">
      <w:r w:rsidRPr="00CC19F7">
        <w:t xml:space="preserve">NVE har i tillegg bidratt med </w:t>
      </w:r>
      <w:proofErr w:type="spellStart"/>
      <w:r w:rsidRPr="00CC19F7">
        <w:t>førebuingar</w:t>
      </w:r>
      <w:proofErr w:type="spellEnd"/>
      <w:r w:rsidRPr="00CC19F7">
        <w:t xml:space="preserve"> for rapporteringa av arbeidet etter EUs vassdirektiv til ESA i 2023. NVE har i samarbeid med Miljødirektoratet bidratt med utvikling og drift av forvaltningsverktøyet </w:t>
      </w:r>
      <w:r w:rsidRPr="00CC19F7">
        <w:rPr>
          <w:rStyle w:val="kursiv"/>
        </w:rPr>
        <w:t>Vann-Nett</w:t>
      </w:r>
      <w:r w:rsidRPr="00CC19F7">
        <w:t>.</w:t>
      </w:r>
    </w:p>
    <w:p w14:paraId="3A9A8EA5" w14:textId="77777777" w:rsidR="00FE02EF" w:rsidRPr="00CC19F7" w:rsidRDefault="00881E58" w:rsidP="00CC19F7">
      <w:r w:rsidRPr="00CC19F7">
        <w:t xml:space="preserve">Gjennom </w:t>
      </w:r>
      <w:proofErr w:type="spellStart"/>
      <w:r w:rsidRPr="00CC19F7">
        <w:t>tilskot</w:t>
      </w:r>
      <w:proofErr w:type="spellEnd"/>
      <w:r w:rsidRPr="00CC19F7">
        <w:t xml:space="preserve"> til Anno Norsk Skogmuseum, Kraftmuseet, det freda kraftanlegget </w:t>
      </w:r>
      <w:proofErr w:type="spellStart"/>
      <w:r w:rsidRPr="00CC19F7">
        <w:t>Tysso</w:t>
      </w:r>
      <w:proofErr w:type="spellEnd"/>
      <w:r w:rsidRPr="00CC19F7">
        <w:t xml:space="preserve"> I og Telemarkskanalen, har NVE bidratt til bevaring og formidling av norsk vassdrags- og energihistorie. Den største digitale satsinga har </w:t>
      </w:r>
      <w:proofErr w:type="spellStart"/>
      <w:r w:rsidRPr="00CC19F7">
        <w:t>vore</w:t>
      </w:r>
      <w:proofErr w:type="spellEnd"/>
      <w:r w:rsidRPr="00CC19F7">
        <w:t xml:space="preserve"> utvikling av «Kraftlandet», </w:t>
      </w:r>
      <w:proofErr w:type="spellStart"/>
      <w:r w:rsidRPr="00CC19F7">
        <w:t>eit</w:t>
      </w:r>
      <w:proofErr w:type="spellEnd"/>
      <w:r w:rsidRPr="00CC19F7">
        <w:t xml:space="preserve"> fellesprosjekt med Skogmuseet og Kraftmuseet som blei lansert i 2021. I 2022 blei det publisert </w:t>
      </w:r>
      <w:proofErr w:type="spellStart"/>
      <w:r w:rsidRPr="00CC19F7">
        <w:t>episodar</w:t>
      </w:r>
      <w:proofErr w:type="spellEnd"/>
      <w:r w:rsidRPr="00CC19F7">
        <w:t xml:space="preserve"> om vasskraftutbygging i 1950–1970, og det blei starta opp </w:t>
      </w:r>
      <w:proofErr w:type="spellStart"/>
      <w:r w:rsidRPr="00CC19F7">
        <w:t>eit</w:t>
      </w:r>
      <w:proofErr w:type="spellEnd"/>
      <w:r w:rsidRPr="00CC19F7">
        <w:t xml:space="preserve"> arbeid om vindkraft i </w:t>
      </w:r>
      <w:proofErr w:type="spellStart"/>
      <w:r w:rsidRPr="00CC19F7">
        <w:t>eit</w:t>
      </w:r>
      <w:proofErr w:type="spellEnd"/>
      <w:r w:rsidRPr="00CC19F7">
        <w:t xml:space="preserve"> historisk perspektiv.</w:t>
      </w:r>
    </w:p>
    <w:p w14:paraId="565F1686" w14:textId="77777777" w:rsidR="00FE02EF" w:rsidRPr="00CC19F7" w:rsidRDefault="00881E58" w:rsidP="00CC19F7">
      <w:r w:rsidRPr="00CC19F7">
        <w:t xml:space="preserve">NVE har arbeidd </w:t>
      </w:r>
      <w:proofErr w:type="spellStart"/>
      <w:r w:rsidRPr="00CC19F7">
        <w:t>vidare</w:t>
      </w:r>
      <w:proofErr w:type="spellEnd"/>
      <w:r w:rsidRPr="00CC19F7">
        <w:t xml:space="preserve"> med revidering av listeførte kulturminne </w:t>
      </w:r>
      <w:proofErr w:type="spellStart"/>
      <w:r w:rsidRPr="00CC19F7">
        <w:t>innan</w:t>
      </w:r>
      <w:proofErr w:type="spellEnd"/>
      <w:r w:rsidRPr="00CC19F7">
        <w:t xml:space="preserve"> sektoren i samarbeid med Riksantikvaren og den regionale kulturmiljøforvaltninga. </w:t>
      </w:r>
      <w:proofErr w:type="spellStart"/>
      <w:r w:rsidRPr="00CC19F7">
        <w:t>Oversikta</w:t>
      </w:r>
      <w:proofErr w:type="spellEnd"/>
      <w:r w:rsidRPr="00CC19F7">
        <w:t xml:space="preserve"> og </w:t>
      </w:r>
      <w:proofErr w:type="spellStart"/>
      <w:r w:rsidRPr="00CC19F7">
        <w:t>utvalet</w:t>
      </w:r>
      <w:proofErr w:type="spellEnd"/>
      <w:r w:rsidRPr="00CC19F7">
        <w:t xml:space="preserve"> av kulturminne med nasjonal verdi gir </w:t>
      </w:r>
      <w:proofErr w:type="spellStart"/>
      <w:r w:rsidRPr="00CC19F7">
        <w:t>eit</w:t>
      </w:r>
      <w:proofErr w:type="spellEnd"/>
      <w:r w:rsidRPr="00CC19F7">
        <w:t xml:space="preserve"> betre grunnlag for å ta omsyn til kulturminna. I 2022 blei det lansert ei ny digital løysing for dokumentasjon av kulturminne, slik at arbeidet med innsamling, lagring, </w:t>
      </w:r>
      <w:proofErr w:type="spellStart"/>
      <w:r w:rsidRPr="00CC19F7">
        <w:t>tilgjengeleggjering</w:t>
      </w:r>
      <w:proofErr w:type="spellEnd"/>
      <w:r w:rsidRPr="00CC19F7">
        <w:t xml:space="preserve"> og formidling blir </w:t>
      </w:r>
      <w:proofErr w:type="spellStart"/>
      <w:r w:rsidRPr="00CC19F7">
        <w:t>enklare</w:t>
      </w:r>
      <w:proofErr w:type="spellEnd"/>
      <w:r w:rsidRPr="00CC19F7">
        <w:t xml:space="preserve"> og </w:t>
      </w:r>
      <w:proofErr w:type="spellStart"/>
      <w:r w:rsidRPr="00CC19F7">
        <w:t>meir</w:t>
      </w:r>
      <w:proofErr w:type="spellEnd"/>
      <w:r w:rsidRPr="00CC19F7">
        <w:t xml:space="preserve"> effektiv.</w:t>
      </w:r>
    </w:p>
    <w:p w14:paraId="18EFF091" w14:textId="77777777" w:rsidR="00FE02EF" w:rsidRPr="00CC19F7" w:rsidRDefault="00881E58" w:rsidP="00CC19F7">
      <w:r w:rsidRPr="00CC19F7">
        <w:t xml:space="preserve">Departementet vurderer det slik at NVE har lagt til rette for ei </w:t>
      </w:r>
      <w:proofErr w:type="spellStart"/>
      <w:r w:rsidRPr="00CC19F7">
        <w:t>heilskapleg</w:t>
      </w:r>
      <w:proofErr w:type="spellEnd"/>
      <w:r w:rsidRPr="00CC19F7">
        <w:t xml:space="preserve"> og </w:t>
      </w:r>
      <w:proofErr w:type="spellStart"/>
      <w:r w:rsidRPr="00CC19F7">
        <w:t>miljøvennleg</w:t>
      </w:r>
      <w:proofErr w:type="spellEnd"/>
      <w:r w:rsidRPr="00CC19F7">
        <w:t xml:space="preserve"> forvaltning av vassdraga.</w:t>
      </w:r>
    </w:p>
    <w:p w14:paraId="47ECB501" w14:textId="77777777" w:rsidR="00FE02EF" w:rsidRPr="00CC19F7" w:rsidRDefault="00881E58" w:rsidP="00CC19F7">
      <w:pPr>
        <w:pStyle w:val="avsnitt-undertittel"/>
      </w:pPr>
      <w:r w:rsidRPr="00CC19F7">
        <w:t>Fremme samfunnsøkonomisk effektiv produksjon, overføring og bruk av energi</w:t>
      </w:r>
    </w:p>
    <w:p w14:paraId="5EE8C865" w14:textId="77777777" w:rsidR="00FE02EF" w:rsidRPr="00CC19F7" w:rsidRDefault="00881E58" w:rsidP="00CC19F7">
      <w:r w:rsidRPr="00CC19F7">
        <w:t xml:space="preserve">NVEs analysearbeid er viktig for å </w:t>
      </w:r>
      <w:proofErr w:type="spellStart"/>
      <w:r w:rsidRPr="00CC19F7">
        <w:t>oppretthalde</w:t>
      </w:r>
      <w:proofErr w:type="spellEnd"/>
      <w:r w:rsidRPr="00CC19F7">
        <w:t xml:space="preserve"> og </w:t>
      </w:r>
      <w:proofErr w:type="spellStart"/>
      <w:r w:rsidRPr="00CC19F7">
        <w:t>vidareutvikle</w:t>
      </w:r>
      <w:proofErr w:type="spellEnd"/>
      <w:r w:rsidRPr="00CC19F7">
        <w:t xml:space="preserve"> god kunnskap om utviklinga </w:t>
      </w:r>
      <w:proofErr w:type="spellStart"/>
      <w:r w:rsidRPr="00CC19F7">
        <w:t>innan</w:t>
      </w:r>
      <w:proofErr w:type="spellEnd"/>
      <w:r w:rsidRPr="00CC19F7">
        <w:t xml:space="preserve"> aktuelle </w:t>
      </w:r>
      <w:proofErr w:type="spellStart"/>
      <w:r w:rsidRPr="00CC19F7">
        <w:t>energiteknologiar</w:t>
      </w:r>
      <w:proofErr w:type="spellEnd"/>
      <w:r w:rsidRPr="00CC19F7">
        <w:t xml:space="preserve">, kraftproduksjon og -forbruk, </w:t>
      </w:r>
      <w:proofErr w:type="spellStart"/>
      <w:r w:rsidRPr="00CC19F7">
        <w:t>forsyningssikkerheit</w:t>
      </w:r>
      <w:proofErr w:type="spellEnd"/>
      <w:r w:rsidRPr="00CC19F7">
        <w:t xml:space="preserve"> og ulike </w:t>
      </w:r>
      <w:proofErr w:type="spellStart"/>
      <w:r w:rsidRPr="00CC19F7">
        <w:t>energiberarar</w:t>
      </w:r>
      <w:proofErr w:type="spellEnd"/>
      <w:r w:rsidRPr="00CC19F7">
        <w:t xml:space="preserve">. I 2022 har NVE gjennomført </w:t>
      </w:r>
      <w:proofErr w:type="spellStart"/>
      <w:r w:rsidRPr="00CC19F7">
        <w:t>ein</w:t>
      </w:r>
      <w:proofErr w:type="spellEnd"/>
      <w:r w:rsidRPr="00CC19F7">
        <w:t xml:space="preserve"> analyse av norsk og nordisk effektbalanse fram mot 2030 ved </w:t>
      </w:r>
      <w:proofErr w:type="spellStart"/>
      <w:r w:rsidRPr="00CC19F7">
        <w:t>auka</w:t>
      </w:r>
      <w:proofErr w:type="spellEnd"/>
      <w:r w:rsidRPr="00CC19F7">
        <w:t xml:space="preserve"> elektrifisering og andre </w:t>
      </w:r>
      <w:proofErr w:type="spellStart"/>
      <w:r w:rsidRPr="00CC19F7">
        <w:t>endringar</w:t>
      </w:r>
      <w:proofErr w:type="spellEnd"/>
      <w:r w:rsidRPr="00CC19F7">
        <w:t xml:space="preserve"> i </w:t>
      </w:r>
      <w:proofErr w:type="spellStart"/>
      <w:r w:rsidRPr="00CC19F7">
        <w:t>kraftmarknaden</w:t>
      </w:r>
      <w:proofErr w:type="spellEnd"/>
      <w:r w:rsidRPr="00CC19F7">
        <w:t xml:space="preserve">. NVE har i tillegg </w:t>
      </w:r>
      <w:proofErr w:type="spellStart"/>
      <w:r w:rsidRPr="00CC19F7">
        <w:t>auka</w:t>
      </w:r>
      <w:proofErr w:type="spellEnd"/>
      <w:r w:rsidRPr="00CC19F7">
        <w:t xml:space="preserve"> analysekapasiteten sin, som mellom anna har blitt brukt til ei rekke </w:t>
      </w:r>
      <w:proofErr w:type="spellStart"/>
      <w:r w:rsidRPr="00CC19F7">
        <w:t>analysar</w:t>
      </w:r>
      <w:proofErr w:type="spellEnd"/>
      <w:r w:rsidRPr="00CC19F7">
        <w:t xml:space="preserve"> av kraftsituasjonen dette året.</w:t>
      </w:r>
    </w:p>
    <w:p w14:paraId="235CAD26" w14:textId="77777777" w:rsidR="00FE02EF" w:rsidRPr="00CC19F7" w:rsidRDefault="00881E58" w:rsidP="00CC19F7">
      <w:r w:rsidRPr="00CC19F7">
        <w:t xml:space="preserve">For å sikre </w:t>
      </w:r>
      <w:proofErr w:type="spellStart"/>
      <w:r w:rsidRPr="00CC19F7">
        <w:t>eit</w:t>
      </w:r>
      <w:proofErr w:type="spellEnd"/>
      <w:r w:rsidRPr="00CC19F7">
        <w:t xml:space="preserve"> godt grunnlag for avgjerder på ulike område framover har NVE samarbeidd med Statnett og Statkraft om behov og rammer for nye </w:t>
      </w:r>
      <w:proofErr w:type="spellStart"/>
      <w:r w:rsidRPr="00CC19F7">
        <w:t>kraftmarknadsmodellar</w:t>
      </w:r>
      <w:proofErr w:type="spellEnd"/>
      <w:r w:rsidRPr="00CC19F7">
        <w:t xml:space="preserve">. </w:t>
      </w:r>
      <w:proofErr w:type="spellStart"/>
      <w:r w:rsidRPr="00CC19F7">
        <w:t>Modellanalysar</w:t>
      </w:r>
      <w:proofErr w:type="spellEnd"/>
      <w:r w:rsidRPr="00CC19F7">
        <w:t xml:space="preserve"> kan mellom anna brukast som underlag i konsesjonsbehandling av nett og produksjon, til å lage </w:t>
      </w:r>
      <w:proofErr w:type="spellStart"/>
      <w:r w:rsidRPr="00CC19F7">
        <w:t>prognosar</w:t>
      </w:r>
      <w:proofErr w:type="spellEnd"/>
      <w:r w:rsidRPr="00CC19F7">
        <w:t xml:space="preserve">, i langsiktig </w:t>
      </w:r>
      <w:proofErr w:type="spellStart"/>
      <w:r w:rsidRPr="00CC19F7">
        <w:t>kraftmarknadsanalyse</w:t>
      </w:r>
      <w:proofErr w:type="spellEnd"/>
      <w:r w:rsidRPr="00CC19F7">
        <w:t xml:space="preserve"> og til andre kort- og langsiktige </w:t>
      </w:r>
      <w:proofErr w:type="spellStart"/>
      <w:r w:rsidRPr="00CC19F7">
        <w:t>analysar</w:t>
      </w:r>
      <w:proofErr w:type="spellEnd"/>
      <w:r w:rsidRPr="00CC19F7">
        <w:t xml:space="preserve">. Dette gir </w:t>
      </w:r>
      <w:proofErr w:type="spellStart"/>
      <w:r w:rsidRPr="00CC19F7">
        <w:t>fagleg</w:t>
      </w:r>
      <w:proofErr w:type="spellEnd"/>
      <w:r w:rsidRPr="00CC19F7">
        <w:t xml:space="preserve"> grunnlag for viktige </w:t>
      </w:r>
      <w:proofErr w:type="spellStart"/>
      <w:r w:rsidRPr="00CC19F7">
        <w:t>vegval</w:t>
      </w:r>
      <w:proofErr w:type="spellEnd"/>
      <w:r w:rsidRPr="00CC19F7">
        <w:t xml:space="preserve"> i norsk energi- og klimapolitikk.</w:t>
      </w:r>
    </w:p>
    <w:p w14:paraId="356B5835" w14:textId="77777777" w:rsidR="00FE02EF" w:rsidRPr="00CC19F7" w:rsidRDefault="00881E58" w:rsidP="00CC19F7">
      <w:r w:rsidRPr="00CC19F7">
        <w:t xml:space="preserve">NVE har også arbeidd </w:t>
      </w:r>
      <w:proofErr w:type="spellStart"/>
      <w:r w:rsidRPr="00CC19F7">
        <w:t>saman</w:t>
      </w:r>
      <w:proofErr w:type="spellEnd"/>
      <w:r w:rsidRPr="00CC19F7">
        <w:t xml:space="preserve"> med nettselskap for å digitalisere informasjonsflyt knytt til utviklinga og bruken av </w:t>
      </w:r>
      <w:proofErr w:type="spellStart"/>
      <w:r w:rsidRPr="00CC19F7">
        <w:t>kraftsystemutgreiingane</w:t>
      </w:r>
      <w:proofErr w:type="spellEnd"/>
      <w:r w:rsidRPr="00CC19F7">
        <w:t xml:space="preserve"> (KSU). I 2022 blei </w:t>
      </w:r>
      <w:proofErr w:type="spellStart"/>
      <w:r w:rsidRPr="00CC19F7">
        <w:rPr>
          <w:rStyle w:val="kursiv"/>
        </w:rPr>
        <w:t>PlanNett</w:t>
      </w:r>
      <w:proofErr w:type="spellEnd"/>
      <w:r w:rsidRPr="00CC19F7">
        <w:t xml:space="preserve"> gjord </w:t>
      </w:r>
      <w:proofErr w:type="spellStart"/>
      <w:r w:rsidRPr="00CC19F7">
        <w:t>tilgjengeleg</w:t>
      </w:r>
      <w:proofErr w:type="spellEnd"/>
      <w:r w:rsidRPr="00CC19F7">
        <w:t xml:space="preserve"> for alle. Dette vil kunne føre til redusert tidsbruk både hos nettselskapa og NVE og gi </w:t>
      </w:r>
      <w:proofErr w:type="spellStart"/>
      <w:r w:rsidRPr="00CC19F7">
        <w:t>høgare</w:t>
      </w:r>
      <w:proofErr w:type="spellEnd"/>
      <w:r w:rsidRPr="00CC19F7">
        <w:t xml:space="preserve"> kvalitet på </w:t>
      </w:r>
      <w:proofErr w:type="spellStart"/>
      <w:r w:rsidRPr="00CC19F7">
        <w:t>utgreiingane</w:t>
      </w:r>
      <w:proofErr w:type="spellEnd"/>
      <w:r w:rsidRPr="00CC19F7">
        <w:t>.</w:t>
      </w:r>
    </w:p>
    <w:p w14:paraId="7223B514" w14:textId="77777777" w:rsidR="00FE02EF" w:rsidRPr="00CC19F7" w:rsidRDefault="00881E58" w:rsidP="00CC19F7">
      <w:r w:rsidRPr="00CC19F7">
        <w:t xml:space="preserve">Ei anna viktig </w:t>
      </w:r>
      <w:proofErr w:type="spellStart"/>
      <w:r w:rsidRPr="00CC19F7">
        <w:t>oppgåve</w:t>
      </w:r>
      <w:proofErr w:type="spellEnd"/>
      <w:r w:rsidRPr="00CC19F7">
        <w:t xml:space="preserve"> for NVE er å følge utviklinga i det europeiske energisystemet og sjå på korleis EUs politikk- og regelverksutvikling påverkar </w:t>
      </w:r>
      <w:proofErr w:type="spellStart"/>
      <w:r w:rsidRPr="00CC19F7">
        <w:t>Noreg</w:t>
      </w:r>
      <w:proofErr w:type="spellEnd"/>
      <w:r w:rsidRPr="00CC19F7">
        <w:t xml:space="preserve">. I 2022 har NVE gått gjennom nye </w:t>
      </w:r>
      <w:proofErr w:type="spellStart"/>
      <w:r w:rsidRPr="00CC19F7">
        <w:t>delar</w:t>
      </w:r>
      <w:proofErr w:type="spellEnd"/>
      <w:r w:rsidRPr="00CC19F7">
        <w:t xml:space="preserve"> av EU-pakka </w:t>
      </w:r>
      <w:proofErr w:type="spellStart"/>
      <w:r w:rsidRPr="00CC19F7">
        <w:rPr>
          <w:rStyle w:val="kursiv"/>
        </w:rPr>
        <w:t>Fit</w:t>
      </w:r>
      <w:proofErr w:type="spellEnd"/>
      <w:r w:rsidRPr="00CC19F7">
        <w:rPr>
          <w:rStyle w:val="kursiv"/>
        </w:rPr>
        <w:t xml:space="preserve"> for 55</w:t>
      </w:r>
      <w:r w:rsidRPr="00CC19F7">
        <w:t xml:space="preserve">, mellom anna revisjon av bygningsenergidirektivet. NVE har også gitt </w:t>
      </w:r>
      <w:proofErr w:type="spellStart"/>
      <w:r w:rsidRPr="00CC19F7">
        <w:t>innspel</w:t>
      </w:r>
      <w:proofErr w:type="spellEnd"/>
      <w:r w:rsidRPr="00CC19F7">
        <w:t xml:space="preserve"> til departementets </w:t>
      </w:r>
      <w:proofErr w:type="spellStart"/>
      <w:r w:rsidRPr="00CC19F7">
        <w:t>høyring</w:t>
      </w:r>
      <w:proofErr w:type="spellEnd"/>
      <w:r w:rsidRPr="00CC19F7">
        <w:t xml:space="preserve"> av </w:t>
      </w:r>
      <w:proofErr w:type="spellStart"/>
      <w:r w:rsidRPr="00CC19F7">
        <w:rPr>
          <w:rStyle w:val="kursiv"/>
        </w:rPr>
        <w:t>REPowerEU</w:t>
      </w:r>
      <w:proofErr w:type="spellEnd"/>
      <w:r w:rsidRPr="00CC19F7">
        <w:t xml:space="preserve">-forslaget </w:t>
      </w:r>
      <w:proofErr w:type="spellStart"/>
      <w:r w:rsidRPr="00CC19F7">
        <w:t>frå</w:t>
      </w:r>
      <w:proofErr w:type="spellEnd"/>
      <w:r w:rsidRPr="00CC19F7">
        <w:t xml:space="preserve"> EU-kommisjonen for å </w:t>
      </w:r>
      <w:proofErr w:type="spellStart"/>
      <w:r w:rsidRPr="00CC19F7">
        <w:t>synleggjere</w:t>
      </w:r>
      <w:proofErr w:type="spellEnd"/>
      <w:r w:rsidRPr="00CC19F7">
        <w:t xml:space="preserve"> </w:t>
      </w:r>
      <w:proofErr w:type="spellStart"/>
      <w:r w:rsidRPr="00CC19F7">
        <w:t>moglege</w:t>
      </w:r>
      <w:proofErr w:type="spellEnd"/>
      <w:r w:rsidRPr="00CC19F7">
        <w:t xml:space="preserve"> verknader av regelverket.</w:t>
      </w:r>
    </w:p>
    <w:p w14:paraId="5EE6B993" w14:textId="77777777" w:rsidR="00FE02EF" w:rsidRPr="00CC19F7" w:rsidRDefault="00881E58" w:rsidP="00CC19F7">
      <w:r w:rsidRPr="00CC19F7">
        <w:t xml:space="preserve">Framdrifta i EU-kommisjonens regelverksutvikling under økodesigndirektivet og energimerkeforordninga blei også trappa opp i 2022. I samband med dette har NVE </w:t>
      </w:r>
      <w:proofErr w:type="spellStart"/>
      <w:r w:rsidRPr="00CC19F7">
        <w:t>følgt</w:t>
      </w:r>
      <w:proofErr w:type="spellEnd"/>
      <w:r w:rsidRPr="00CC19F7">
        <w:t xml:space="preserve"> opp elleve </w:t>
      </w:r>
      <w:proofErr w:type="spellStart"/>
      <w:r w:rsidRPr="00CC19F7">
        <w:t>regelverksprosessar</w:t>
      </w:r>
      <w:proofErr w:type="spellEnd"/>
      <w:r w:rsidRPr="00CC19F7">
        <w:t xml:space="preserve">, slik som forslag til felles energimerke for elektriske </w:t>
      </w:r>
      <w:proofErr w:type="spellStart"/>
      <w:r w:rsidRPr="00CC19F7">
        <w:t>varmeomnar</w:t>
      </w:r>
      <w:proofErr w:type="spellEnd"/>
      <w:r w:rsidRPr="00CC19F7">
        <w:t xml:space="preserve"> og luft-til-luft-varmepumper.</w:t>
      </w:r>
    </w:p>
    <w:p w14:paraId="546A193D" w14:textId="77777777" w:rsidR="00FE02EF" w:rsidRPr="00CC19F7" w:rsidRDefault="00881E58" w:rsidP="00CC19F7">
      <w:r w:rsidRPr="00CC19F7">
        <w:t xml:space="preserve">Gjennom konsesjonsbehandlinga av anlegg for produksjon og overføring av energi har NVE bidratt til ei samfunnsøkonomisk riktig ressursutnytting. Pågangen på </w:t>
      </w:r>
      <w:proofErr w:type="spellStart"/>
      <w:r w:rsidRPr="00CC19F7">
        <w:t>nettkonsesjonar</w:t>
      </w:r>
      <w:proofErr w:type="spellEnd"/>
      <w:r w:rsidRPr="00CC19F7">
        <w:t xml:space="preserve"> var </w:t>
      </w:r>
      <w:proofErr w:type="spellStart"/>
      <w:r w:rsidRPr="00CC19F7">
        <w:t>aukande</w:t>
      </w:r>
      <w:proofErr w:type="spellEnd"/>
      <w:r w:rsidRPr="00CC19F7">
        <w:t xml:space="preserve"> også i 2022, </w:t>
      </w:r>
      <w:proofErr w:type="spellStart"/>
      <w:r w:rsidRPr="00CC19F7">
        <w:t>noko</w:t>
      </w:r>
      <w:proofErr w:type="spellEnd"/>
      <w:r w:rsidRPr="00CC19F7">
        <w:t xml:space="preserve"> som har ført til at NVE gjennom året har hatt </w:t>
      </w:r>
      <w:proofErr w:type="spellStart"/>
      <w:r w:rsidRPr="00CC19F7">
        <w:t>ein</w:t>
      </w:r>
      <w:proofErr w:type="spellEnd"/>
      <w:r w:rsidRPr="00CC19F7">
        <w:t xml:space="preserve"> kø av nettsaker. I takt med større </w:t>
      </w:r>
      <w:proofErr w:type="spellStart"/>
      <w:r w:rsidRPr="00CC19F7">
        <w:t>ressursar</w:t>
      </w:r>
      <w:proofErr w:type="spellEnd"/>
      <w:r w:rsidRPr="00CC19F7">
        <w:t xml:space="preserve"> må NVE handtere denne volumveksten og samtidig gjennomføre ei effektiv saksbehandling med gode </w:t>
      </w:r>
      <w:proofErr w:type="spellStart"/>
      <w:r w:rsidRPr="00CC19F7">
        <w:t>prosessar</w:t>
      </w:r>
      <w:proofErr w:type="spellEnd"/>
      <w:r w:rsidRPr="00CC19F7">
        <w:t xml:space="preserve"> og </w:t>
      </w:r>
      <w:proofErr w:type="spellStart"/>
      <w:r w:rsidRPr="00CC19F7">
        <w:t>tilstrekkeleg</w:t>
      </w:r>
      <w:proofErr w:type="spellEnd"/>
      <w:r w:rsidRPr="00CC19F7">
        <w:t xml:space="preserve"> kvalitet.</w:t>
      </w:r>
    </w:p>
    <w:p w14:paraId="05571507" w14:textId="77777777" w:rsidR="00FE02EF" w:rsidRPr="00CC19F7" w:rsidRDefault="00881E58" w:rsidP="00CC19F7">
      <w:r w:rsidRPr="00CC19F7">
        <w:t xml:space="preserve">NVE har mellom anna gitt 193 </w:t>
      </w:r>
      <w:proofErr w:type="spellStart"/>
      <w:r w:rsidRPr="00CC19F7">
        <w:t>anleggskonsesjonar</w:t>
      </w:r>
      <w:proofErr w:type="spellEnd"/>
      <w:r w:rsidRPr="00CC19F7">
        <w:t xml:space="preserve"> til nettanlegg. For vindkraft har 2022 </w:t>
      </w:r>
      <w:proofErr w:type="spellStart"/>
      <w:r w:rsidRPr="00CC19F7">
        <w:t>vore</w:t>
      </w:r>
      <w:proofErr w:type="spellEnd"/>
      <w:r w:rsidRPr="00CC19F7">
        <w:t xml:space="preserve"> prega av ferdigstilling av </w:t>
      </w:r>
      <w:proofErr w:type="spellStart"/>
      <w:r w:rsidRPr="00CC19F7">
        <w:t>dei</w:t>
      </w:r>
      <w:proofErr w:type="spellEnd"/>
      <w:r w:rsidRPr="00CC19F7">
        <w:t xml:space="preserve"> siste anlegga med løyve og av behandling av </w:t>
      </w:r>
      <w:proofErr w:type="spellStart"/>
      <w:r w:rsidRPr="00CC19F7">
        <w:t>konsesjonsendringar</w:t>
      </w:r>
      <w:proofErr w:type="spellEnd"/>
      <w:r w:rsidRPr="00CC19F7">
        <w:t xml:space="preserve"> og klagesaker. For havvind var 2022 mest prega av førebuinga til ei strategisk konsekvensutgreiing for utbygging. Dei fleste havvindsakene som NVE </w:t>
      </w:r>
      <w:proofErr w:type="spellStart"/>
      <w:r w:rsidRPr="00CC19F7">
        <w:t>behandlar</w:t>
      </w:r>
      <w:proofErr w:type="spellEnd"/>
      <w:r w:rsidRPr="00CC19F7">
        <w:t xml:space="preserve">, gjeld små testanlegg, men i 2022 gav NVE løyve til </w:t>
      </w:r>
      <w:proofErr w:type="spellStart"/>
      <w:r w:rsidRPr="00CC19F7">
        <w:t>eit</w:t>
      </w:r>
      <w:proofErr w:type="spellEnd"/>
      <w:r w:rsidRPr="00CC19F7">
        <w:t xml:space="preserve"> stort testsenter </w:t>
      </w:r>
      <w:proofErr w:type="spellStart"/>
      <w:r w:rsidRPr="00CC19F7">
        <w:t>utanfor</w:t>
      </w:r>
      <w:proofErr w:type="spellEnd"/>
      <w:r w:rsidRPr="00CC19F7">
        <w:t xml:space="preserve"> Karmøy.</w:t>
      </w:r>
    </w:p>
    <w:p w14:paraId="78CE552D" w14:textId="77777777" w:rsidR="00FE02EF" w:rsidRPr="00CC19F7" w:rsidRDefault="00881E58" w:rsidP="00CC19F7">
      <w:r w:rsidRPr="00CC19F7">
        <w:t xml:space="preserve">2022 blei det første året med </w:t>
      </w:r>
      <w:proofErr w:type="spellStart"/>
      <w:r w:rsidRPr="00CC19F7">
        <w:t>vesentleg</w:t>
      </w:r>
      <w:proofErr w:type="spellEnd"/>
      <w:r w:rsidRPr="00CC19F7">
        <w:t xml:space="preserve"> interesse for bakkemontert solkraft. Ved inngangen til 2023 var totalt fem konsesjonssaker under behandling. NVE har i 2022 gjort vedtak i 13 fjernvarmesaker. Dei fleste sakene gjeld </w:t>
      </w:r>
      <w:proofErr w:type="spellStart"/>
      <w:r w:rsidRPr="00CC19F7">
        <w:t>endringar</w:t>
      </w:r>
      <w:proofErr w:type="spellEnd"/>
      <w:r w:rsidRPr="00CC19F7">
        <w:t xml:space="preserve"> og </w:t>
      </w:r>
      <w:proofErr w:type="spellStart"/>
      <w:r w:rsidRPr="00CC19F7">
        <w:t>utvidingar</w:t>
      </w:r>
      <w:proofErr w:type="spellEnd"/>
      <w:r w:rsidRPr="00CC19F7">
        <w:t xml:space="preserve"> av </w:t>
      </w:r>
      <w:proofErr w:type="spellStart"/>
      <w:r w:rsidRPr="00CC19F7">
        <w:t>eksisterande</w:t>
      </w:r>
      <w:proofErr w:type="spellEnd"/>
      <w:r w:rsidRPr="00CC19F7">
        <w:t xml:space="preserve"> anlegg. NVE har gjort vedtak/innstilling i totalt 56 vasskraftsøknader i 2022. I 2022 har det i tillegg </w:t>
      </w:r>
      <w:proofErr w:type="spellStart"/>
      <w:r w:rsidRPr="00CC19F7">
        <w:t>vore</w:t>
      </w:r>
      <w:proofErr w:type="spellEnd"/>
      <w:r w:rsidRPr="00CC19F7">
        <w:t xml:space="preserve"> stor pågang av saker knytte til mini- og mikrokraftverk.</w:t>
      </w:r>
    </w:p>
    <w:p w14:paraId="1EA6A2ED" w14:textId="77777777" w:rsidR="00FE02EF" w:rsidRPr="00CC19F7" w:rsidRDefault="00881E58" w:rsidP="00CC19F7">
      <w:r w:rsidRPr="00CC19F7">
        <w:t xml:space="preserve">NVE bidrog med </w:t>
      </w:r>
      <w:proofErr w:type="spellStart"/>
      <w:r w:rsidRPr="00CC19F7">
        <w:t>ressursar</w:t>
      </w:r>
      <w:proofErr w:type="spellEnd"/>
      <w:r w:rsidRPr="00CC19F7">
        <w:t xml:space="preserve"> til arbeidet i </w:t>
      </w:r>
      <w:proofErr w:type="spellStart"/>
      <w:r w:rsidRPr="00CC19F7">
        <w:t>Straumnettutvalet</w:t>
      </w:r>
      <w:proofErr w:type="spellEnd"/>
      <w:r w:rsidRPr="00CC19F7">
        <w:t xml:space="preserve">, som i juni 2022 leverte NOU 2022: 6 </w:t>
      </w:r>
      <w:r w:rsidRPr="00CC19F7">
        <w:rPr>
          <w:rStyle w:val="kursiv"/>
        </w:rPr>
        <w:t>Nett i tide – om utviklingen av strømnettet</w:t>
      </w:r>
      <w:r w:rsidRPr="00CC19F7">
        <w:t xml:space="preserve">. NVE bidrog også med </w:t>
      </w:r>
      <w:proofErr w:type="spellStart"/>
      <w:r w:rsidRPr="00CC19F7">
        <w:t>sekretariatressursar</w:t>
      </w:r>
      <w:proofErr w:type="spellEnd"/>
      <w:r w:rsidRPr="00CC19F7">
        <w:t xml:space="preserve"> til Energikommisjonen, som la fram sin rapport i februar 2023, NOU 2023: 3 </w:t>
      </w:r>
      <w:r w:rsidRPr="00CC19F7">
        <w:rPr>
          <w:rStyle w:val="kursiv"/>
        </w:rPr>
        <w:t>Mer av alt –raskere</w:t>
      </w:r>
      <w:r w:rsidRPr="00CC19F7">
        <w:t xml:space="preserve">. I samband med dette leverte NVE </w:t>
      </w:r>
      <w:proofErr w:type="spellStart"/>
      <w:r w:rsidRPr="00CC19F7">
        <w:t>hausten</w:t>
      </w:r>
      <w:proofErr w:type="spellEnd"/>
      <w:r w:rsidRPr="00CC19F7">
        <w:t xml:space="preserve"> 2022 ei oppsummering av potensial og </w:t>
      </w:r>
      <w:proofErr w:type="spellStart"/>
      <w:r w:rsidRPr="00CC19F7">
        <w:t>verkemiddel</w:t>
      </w:r>
      <w:proofErr w:type="spellEnd"/>
      <w:r w:rsidRPr="00CC19F7">
        <w:t xml:space="preserve"> for energieffektivisering i bygg og gjorde greie for utviklinga i kraftforbruket </w:t>
      </w:r>
      <w:proofErr w:type="spellStart"/>
      <w:r w:rsidRPr="00CC19F7">
        <w:t>dei</w:t>
      </w:r>
      <w:proofErr w:type="spellEnd"/>
      <w:r w:rsidRPr="00CC19F7">
        <w:t xml:space="preserve"> siste to åra.</w:t>
      </w:r>
    </w:p>
    <w:p w14:paraId="79C51012" w14:textId="77777777" w:rsidR="00FE02EF" w:rsidRPr="00CC19F7" w:rsidRDefault="00881E58" w:rsidP="00CC19F7">
      <w:r w:rsidRPr="00CC19F7">
        <w:t xml:space="preserve">NVE har på oppdrag </w:t>
      </w:r>
      <w:proofErr w:type="spellStart"/>
      <w:r w:rsidRPr="00CC19F7">
        <w:t>frå</w:t>
      </w:r>
      <w:proofErr w:type="spellEnd"/>
      <w:r w:rsidRPr="00CC19F7">
        <w:t xml:space="preserve"> departementet også sett i verk informasjonstiltak om straumsparing og energieffektivisering og </w:t>
      </w:r>
      <w:proofErr w:type="spellStart"/>
      <w:r w:rsidRPr="00CC19F7">
        <w:t>saman</w:t>
      </w:r>
      <w:proofErr w:type="spellEnd"/>
      <w:r w:rsidRPr="00CC19F7">
        <w:t xml:space="preserve"> med </w:t>
      </w:r>
      <w:proofErr w:type="spellStart"/>
      <w:r w:rsidRPr="00CC19F7">
        <w:t>Enova</w:t>
      </w:r>
      <w:proofErr w:type="spellEnd"/>
      <w:r w:rsidRPr="00CC19F7">
        <w:t xml:space="preserve"> </w:t>
      </w:r>
      <w:proofErr w:type="spellStart"/>
      <w:r w:rsidRPr="00CC19F7">
        <w:t>arbeidd</w:t>
      </w:r>
      <w:proofErr w:type="spellEnd"/>
      <w:r w:rsidRPr="00CC19F7">
        <w:t xml:space="preserve"> med </w:t>
      </w:r>
      <w:proofErr w:type="spellStart"/>
      <w:r w:rsidRPr="00CC19F7">
        <w:t>ein</w:t>
      </w:r>
      <w:proofErr w:type="spellEnd"/>
      <w:r w:rsidRPr="00CC19F7">
        <w:t xml:space="preserve"> kampanje som blei annonsert på nyåret 2023.</w:t>
      </w:r>
    </w:p>
    <w:p w14:paraId="180688AA" w14:textId="77777777" w:rsidR="00FE02EF" w:rsidRPr="00CC19F7" w:rsidRDefault="00881E58" w:rsidP="00CC19F7">
      <w:r w:rsidRPr="00CC19F7">
        <w:t xml:space="preserve">Gjennom tilsyn kontrollerer NVE at vilkåra og </w:t>
      </w:r>
      <w:proofErr w:type="spellStart"/>
      <w:r w:rsidRPr="00CC19F7">
        <w:t>føresetnadene</w:t>
      </w:r>
      <w:proofErr w:type="spellEnd"/>
      <w:r w:rsidRPr="00CC19F7">
        <w:t xml:space="preserve"> i lova blir </w:t>
      </w:r>
      <w:proofErr w:type="spellStart"/>
      <w:r w:rsidRPr="00CC19F7">
        <w:t>følgde</w:t>
      </w:r>
      <w:proofErr w:type="spellEnd"/>
      <w:r w:rsidRPr="00CC19F7">
        <w:t xml:space="preserve"> opp ved planlegging, bygging og drift. NVE har i 2022 prioritert tilsyn og oppfølging av vindkraftanlegg under ferdigstilling. For å sikre organisering og kompetanse hos </w:t>
      </w:r>
      <w:proofErr w:type="spellStart"/>
      <w:r w:rsidRPr="00CC19F7">
        <w:t>vindkraftkonsesjonærane</w:t>
      </w:r>
      <w:proofErr w:type="spellEnd"/>
      <w:r w:rsidRPr="00CC19F7">
        <w:t xml:space="preserve"> i driftsfasen blei det i 2022 sett i gang </w:t>
      </w:r>
      <w:proofErr w:type="spellStart"/>
      <w:r w:rsidRPr="00CC19F7">
        <w:t>eit</w:t>
      </w:r>
      <w:proofErr w:type="spellEnd"/>
      <w:r w:rsidRPr="00CC19F7">
        <w:t xml:space="preserve"> arbeid med å informere og kartlegge organiseringa av </w:t>
      </w:r>
      <w:proofErr w:type="spellStart"/>
      <w:r w:rsidRPr="00CC19F7">
        <w:t>dei</w:t>
      </w:r>
      <w:proofErr w:type="spellEnd"/>
      <w:r w:rsidRPr="00CC19F7">
        <w:t xml:space="preserve"> selskapa som har vindkraftkonsesjon. Kartlegginga viser at ei rekke selskap </w:t>
      </w:r>
      <w:proofErr w:type="spellStart"/>
      <w:r w:rsidRPr="00CC19F7">
        <w:t>ikkje</w:t>
      </w:r>
      <w:proofErr w:type="spellEnd"/>
      <w:r w:rsidRPr="00CC19F7">
        <w:t xml:space="preserve"> innfrir kravet om at konsesjonen skal ligge hos </w:t>
      </w:r>
      <w:proofErr w:type="spellStart"/>
      <w:r w:rsidRPr="00CC19F7">
        <w:t>ein</w:t>
      </w:r>
      <w:proofErr w:type="spellEnd"/>
      <w:r w:rsidRPr="00CC19F7">
        <w:t xml:space="preserve"> part med klart og operativt driftsansvar for alle vilkåra. </w:t>
      </w:r>
      <w:proofErr w:type="spellStart"/>
      <w:r w:rsidRPr="00CC19F7">
        <w:t>Eigarselskapa</w:t>
      </w:r>
      <w:proofErr w:type="spellEnd"/>
      <w:r w:rsidRPr="00CC19F7">
        <w:t xml:space="preserve"> er varsla og har fått frist om retting i 2023.</w:t>
      </w:r>
    </w:p>
    <w:p w14:paraId="4DB59AA1" w14:textId="77777777" w:rsidR="00FE02EF" w:rsidRPr="00CC19F7" w:rsidRDefault="00881E58" w:rsidP="00CC19F7">
      <w:r w:rsidRPr="00CC19F7">
        <w:t xml:space="preserve">NVE har </w:t>
      </w:r>
      <w:proofErr w:type="spellStart"/>
      <w:r w:rsidRPr="00CC19F7">
        <w:t>eit</w:t>
      </w:r>
      <w:proofErr w:type="spellEnd"/>
      <w:r w:rsidRPr="00CC19F7">
        <w:t xml:space="preserve"> </w:t>
      </w:r>
      <w:proofErr w:type="spellStart"/>
      <w:r w:rsidRPr="00CC19F7">
        <w:t>vidtrekkande</w:t>
      </w:r>
      <w:proofErr w:type="spellEnd"/>
      <w:r w:rsidRPr="00CC19F7">
        <w:t xml:space="preserve"> ansvar for tilsyn </w:t>
      </w:r>
      <w:proofErr w:type="spellStart"/>
      <w:r w:rsidRPr="00CC19F7">
        <w:t>innanfor</w:t>
      </w:r>
      <w:proofErr w:type="spellEnd"/>
      <w:r w:rsidRPr="00CC19F7">
        <w:t xml:space="preserve"> energilovgivinga og anna energirelatert regelverk. NVE har ført tilsyn </w:t>
      </w:r>
      <w:proofErr w:type="spellStart"/>
      <w:r w:rsidRPr="00CC19F7">
        <w:t>innan</w:t>
      </w:r>
      <w:proofErr w:type="spellEnd"/>
      <w:r w:rsidRPr="00CC19F7">
        <w:t xml:space="preserve"> </w:t>
      </w:r>
      <w:proofErr w:type="spellStart"/>
      <w:r w:rsidRPr="00CC19F7">
        <w:t>kraftsystemutgreiingar</w:t>
      </w:r>
      <w:proofErr w:type="spellEnd"/>
      <w:r w:rsidRPr="00CC19F7">
        <w:t xml:space="preserve">, elsertifikat, </w:t>
      </w:r>
      <w:proofErr w:type="spellStart"/>
      <w:r w:rsidRPr="00CC19F7">
        <w:t>opphavsgarantiar</w:t>
      </w:r>
      <w:proofErr w:type="spellEnd"/>
      <w:r w:rsidRPr="00CC19F7">
        <w:t xml:space="preserve">, økodesign, </w:t>
      </w:r>
      <w:proofErr w:type="spellStart"/>
      <w:r w:rsidRPr="00CC19F7">
        <w:t>energivurderingar</w:t>
      </w:r>
      <w:proofErr w:type="spellEnd"/>
      <w:r w:rsidRPr="00CC19F7">
        <w:t xml:space="preserve"> av tekniske anlegg i bygg og energimerking av bygg og produkt. NVE førte også tilsyn med konsesjonsvilkåra for fjernvarme og at relevante føresegner i kraftberedskapsforskrifta blir </w:t>
      </w:r>
      <w:proofErr w:type="spellStart"/>
      <w:r w:rsidRPr="00CC19F7">
        <w:t>følgde</w:t>
      </w:r>
      <w:proofErr w:type="spellEnd"/>
      <w:r w:rsidRPr="00CC19F7">
        <w:t xml:space="preserve"> opp. Departementet vurderer det slik at NVE gjennom sitt arbeid har bidratt til samfunnsøkonomisk effektiv produksjon, overføring og bruk av energi.</w:t>
      </w:r>
    </w:p>
    <w:p w14:paraId="4AF9E728" w14:textId="77777777" w:rsidR="00FE02EF" w:rsidRPr="00CC19F7" w:rsidRDefault="00881E58" w:rsidP="00CC19F7">
      <w:pPr>
        <w:pStyle w:val="avsnitt-undertittel"/>
      </w:pPr>
      <w:r w:rsidRPr="00CC19F7">
        <w:t>Fremme ei sikker kraftforsyning</w:t>
      </w:r>
    </w:p>
    <w:p w14:paraId="7025CD1C" w14:textId="77777777" w:rsidR="00FE02EF" w:rsidRPr="00CC19F7" w:rsidRDefault="00881E58" w:rsidP="00CC19F7">
      <w:r w:rsidRPr="00CC19F7">
        <w:t xml:space="preserve">Arbeidet med </w:t>
      </w:r>
      <w:proofErr w:type="spellStart"/>
      <w:r w:rsidRPr="00CC19F7">
        <w:t>sikkerheit</w:t>
      </w:r>
      <w:proofErr w:type="spellEnd"/>
      <w:r w:rsidRPr="00CC19F7">
        <w:t xml:space="preserve"> og beredskap i kraftforsyninga er viktig for </w:t>
      </w:r>
      <w:proofErr w:type="spellStart"/>
      <w:r w:rsidRPr="00CC19F7">
        <w:t>forsyningssikkerheita</w:t>
      </w:r>
      <w:proofErr w:type="spellEnd"/>
      <w:r w:rsidRPr="00CC19F7">
        <w:t xml:space="preserve">. Det har </w:t>
      </w:r>
      <w:proofErr w:type="spellStart"/>
      <w:r w:rsidRPr="00CC19F7">
        <w:t>vore</w:t>
      </w:r>
      <w:proofErr w:type="spellEnd"/>
      <w:r w:rsidRPr="00CC19F7">
        <w:t xml:space="preserve"> stor </w:t>
      </w:r>
      <w:proofErr w:type="spellStart"/>
      <w:r w:rsidRPr="00CC19F7">
        <w:t>merksemd</w:t>
      </w:r>
      <w:proofErr w:type="spellEnd"/>
      <w:r w:rsidRPr="00CC19F7">
        <w:t xml:space="preserve"> retta mot tiltak som </w:t>
      </w:r>
      <w:proofErr w:type="spellStart"/>
      <w:r w:rsidRPr="00CC19F7">
        <w:t>sikrar</w:t>
      </w:r>
      <w:proofErr w:type="spellEnd"/>
      <w:r w:rsidRPr="00CC19F7">
        <w:t xml:space="preserve"> kraftforsyninga mot uønskte </w:t>
      </w:r>
      <w:proofErr w:type="spellStart"/>
      <w:r w:rsidRPr="00CC19F7">
        <w:t>hendingar</w:t>
      </w:r>
      <w:proofErr w:type="spellEnd"/>
      <w:r w:rsidRPr="00CC19F7">
        <w:t xml:space="preserve">, og mot beredskap for å handtere slike </w:t>
      </w:r>
      <w:proofErr w:type="spellStart"/>
      <w:r w:rsidRPr="00CC19F7">
        <w:t>hendingar</w:t>
      </w:r>
      <w:proofErr w:type="spellEnd"/>
      <w:r w:rsidRPr="00CC19F7">
        <w:t xml:space="preserve"> og rette opp igjen forsyninga ved utfall. </w:t>
      </w:r>
      <w:proofErr w:type="spellStart"/>
      <w:r w:rsidRPr="00CC19F7">
        <w:t>Forsyningssikkerheita</w:t>
      </w:r>
      <w:proofErr w:type="spellEnd"/>
      <w:r w:rsidRPr="00CC19F7">
        <w:t xml:space="preserve"> for </w:t>
      </w:r>
      <w:proofErr w:type="spellStart"/>
      <w:r w:rsidRPr="00CC19F7">
        <w:t>straum</w:t>
      </w:r>
      <w:proofErr w:type="spellEnd"/>
      <w:r w:rsidRPr="00CC19F7">
        <w:t xml:space="preserve"> er god. </w:t>
      </w:r>
      <w:proofErr w:type="spellStart"/>
      <w:r w:rsidRPr="00CC19F7">
        <w:t>Auka</w:t>
      </w:r>
      <w:proofErr w:type="spellEnd"/>
      <w:r w:rsidRPr="00CC19F7">
        <w:t xml:space="preserve"> digitalisering, endra </w:t>
      </w:r>
      <w:proofErr w:type="spellStart"/>
      <w:r w:rsidRPr="00CC19F7">
        <w:t>trusselbilete</w:t>
      </w:r>
      <w:proofErr w:type="spellEnd"/>
      <w:r w:rsidRPr="00CC19F7">
        <w:t xml:space="preserve"> og endra klima med </w:t>
      </w:r>
      <w:proofErr w:type="spellStart"/>
      <w:r w:rsidRPr="00CC19F7">
        <w:t>meir</w:t>
      </w:r>
      <w:proofErr w:type="spellEnd"/>
      <w:r w:rsidRPr="00CC19F7">
        <w:t xml:space="preserve"> </w:t>
      </w:r>
      <w:proofErr w:type="spellStart"/>
      <w:r w:rsidRPr="00CC19F7">
        <w:t>uvêr</w:t>
      </w:r>
      <w:proofErr w:type="spellEnd"/>
      <w:r w:rsidRPr="00CC19F7">
        <w:t xml:space="preserve"> og sterk skogvekst </w:t>
      </w:r>
      <w:proofErr w:type="spellStart"/>
      <w:r w:rsidRPr="00CC19F7">
        <w:t>inneber</w:t>
      </w:r>
      <w:proofErr w:type="spellEnd"/>
      <w:r w:rsidRPr="00CC19F7">
        <w:t xml:space="preserve"> at energibransjen må </w:t>
      </w:r>
      <w:proofErr w:type="spellStart"/>
      <w:r w:rsidRPr="00CC19F7">
        <w:t>følgast</w:t>
      </w:r>
      <w:proofErr w:type="spellEnd"/>
      <w:r w:rsidRPr="00CC19F7">
        <w:t xml:space="preserve"> opp også framover for å </w:t>
      </w:r>
      <w:proofErr w:type="spellStart"/>
      <w:r w:rsidRPr="00CC19F7">
        <w:t>halde</w:t>
      </w:r>
      <w:proofErr w:type="spellEnd"/>
      <w:r w:rsidRPr="00CC19F7">
        <w:t xml:space="preserve"> </w:t>
      </w:r>
      <w:proofErr w:type="spellStart"/>
      <w:r w:rsidRPr="00CC19F7">
        <w:t>forsyningssikkerheita</w:t>
      </w:r>
      <w:proofErr w:type="spellEnd"/>
      <w:r w:rsidRPr="00CC19F7">
        <w:t xml:space="preserve"> på </w:t>
      </w:r>
      <w:proofErr w:type="spellStart"/>
      <w:r w:rsidRPr="00CC19F7">
        <w:t>eit</w:t>
      </w:r>
      <w:proofErr w:type="spellEnd"/>
      <w:r w:rsidRPr="00CC19F7">
        <w:t xml:space="preserve"> høgt nivå. Pandemien, kraftsituasjonen og den </w:t>
      </w:r>
      <w:proofErr w:type="spellStart"/>
      <w:r w:rsidRPr="00CC19F7">
        <w:t>sikkerheitspolitiske</w:t>
      </w:r>
      <w:proofErr w:type="spellEnd"/>
      <w:r w:rsidRPr="00CC19F7">
        <w:t xml:space="preserve"> situasjonen har prega dette arbeidet.</w:t>
      </w:r>
    </w:p>
    <w:p w14:paraId="753A945E" w14:textId="77777777" w:rsidR="00FE02EF" w:rsidRPr="00CC19F7" w:rsidRDefault="00881E58" w:rsidP="00CC19F7">
      <w:r w:rsidRPr="00CC19F7">
        <w:t xml:space="preserve">For å ha god kunnskap om tilgangen på kraft i </w:t>
      </w:r>
      <w:proofErr w:type="spellStart"/>
      <w:r w:rsidRPr="00CC19F7">
        <w:t>Noreg</w:t>
      </w:r>
      <w:proofErr w:type="spellEnd"/>
      <w:r w:rsidRPr="00CC19F7">
        <w:t xml:space="preserve"> har NVE </w:t>
      </w:r>
      <w:proofErr w:type="spellStart"/>
      <w:r w:rsidRPr="00CC19F7">
        <w:t>tidlegare</w:t>
      </w:r>
      <w:proofErr w:type="spellEnd"/>
      <w:r w:rsidRPr="00CC19F7">
        <w:t xml:space="preserve"> laga </w:t>
      </w:r>
      <w:proofErr w:type="spellStart"/>
      <w:r w:rsidRPr="00CC19F7">
        <w:t>ein</w:t>
      </w:r>
      <w:proofErr w:type="spellEnd"/>
      <w:r w:rsidRPr="00CC19F7">
        <w:t xml:space="preserve"> rapport kvart kvartal med oversikt over kor </w:t>
      </w:r>
      <w:proofErr w:type="spellStart"/>
      <w:r w:rsidRPr="00CC19F7">
        <w:t>mykje</w:t>
      </w:r>
      <w:proofErr w:type="spellEnd"/>
      <w:r w:rsidRPr="00CC19F7">
        <w:t xml:space="preserve"> ny kraft som har komme til, kor </w:t>
      </w:r>
      <w:proofErr w:type="spellStart"/>
      <w:r w:rsidRPr="00CC19F7">
        <w:t>mykje</w:t>
      </w:r>
      <w:proofErr w:type="spellEnd"/>
      <w:r w:rsidRPr="00CC19F7">
        <w:t xml:space="preserve"> kraft som er under bygging, og kor mange nye </w:t>
      </w:r>
      <w:proofErr w:type="spellStart"/>
      <w:r w:rsidRPr="00CC19F7">
        <w:t>konsesjonar</w:t>
      </w:r>
      <w:proofErr w:type="spellEnd"/>
      <w:r w:rsidRPr="00CC19F7">
        <w:t xml:space="preserve"> som er gitt. I 2022 gjekk NVE over til ei </w:t>
      </w:r>
      <w:proofErr w:type="spellStart"/>
      <w:r w:rsidRPr="00CC19F7">
        <w:t>kontinuerleg</w:t>
      </w:r>
      <w:proofErr w:type="spellEnd"/>
      <w:r w:rsidRPr="00CC19F7">
        <w:t xml:space="preserve"> digital oppdatering, som blir publisert på nettsidene </w:t>
      </w:r>
      <w:proofErr w:type="spellStart"/>
      <w:r w:rsidRPr="00CC19F7">
        <w:t>deira</w:t>
      </w:r>
      <w:proofErr w:type="spellEnd"/>
      <w:r w:rsidRPr="00CC19F7">
        <w:t xml:space="preserve">. Det blir også gitt ut </w:t>
      </w:r>
      <w:proofErr w:type="spellStart"/>
      <w:r w:rsidRPr="00CC19F7">
        <w:t>kraftsituasjonsrapportar</w:t>
      </w:r>
      <w:proofErr w:type="spellEnd"/>
      <w:r w:rsidRPr="00CC19F7">
        <w:t xml:space="preserve"> kvar veke, og NVE </w:t>
      </w:r>
      <w:proofErr w:type="spellStart"/>
      <w:r w:rsidRPr="00CC19F7">
        <w:t>samlar</w:t>
      </w:r>
      <w:proofErr w:type="spellEnd"/>
      <w:r w:rsidRPr="00CC19F7">
        <w:t xml:space="preserve"> kvar veke inn data og publiserer oversikter over magasinnivå i norske vasskraftmagasin.</w:t>
      </w:r>
    </w:p>
    <w:p w14:paraId="635ADB40" w14:textId="77777777" w:rsidR="00FE02EF" w:rsidRPr="00CC19F7" w:rsidRDefault="00881E58" w:rsidP="00CC19F7">
      <w:r w:rsidRPr="00CC19F7">
        <w:t xml:space="preserve">Gjennom analysearbeid vurderer NVE utviklinga i kraft- og effektbalansen på lang sikt. I 2022 har NVE </w:t>
      </w:r>
      <w:proofErr w:type="spellStart"/>
      <w:r w:rsidRPr="00CC19F7">
        <w:t>saman</w:t>
      </w:r>
      <w:proofErr w:type="spellEnd"/>
      <w:r w:rsidRPr="00CC19F7">
        <w:t xml:space="preserve"> med Statnett laga rapporten </w:t>
      </w:r>
      <w:r w:rsidRPr="00CC19F7">
        <w:rPr>
          <w:rStyle w:val="kursiv"/>
        </w:rPr>
        <w:t>Norsk og nordisk effektbalanse mot 2030</w:t>
      </w:r>
      <w:r w:rsidRPr="00CC19F7">
        <w:t xml:space="preserve">. Rapporten viser at vi går mot ei effektutfordring på grunn av </w:t>
      </w:r>
      <w:proofErr w:type="spellStart"/>
      <w:r w:rsidRPr="00CC19F7">
        <w:t>strammare</w:t>
      </w:r>
      <w:proofErr w:type="spellEnd"/>
      <w:r w:rsidRPr="00CC19F7">
        <w:t xml:space="preserve"> effektbalanse og </w:t>
      </w:r>
      <w:proofErr w:type="spellStart"/>
      <w:r w:rsidRPr="00CC19F7">
        <w:t>effektunderskot</w:t>
      </w:r>
      <w:proofErr w:type="spellEnd"/>
      <w:r w:rsidRPr="00CC19F7">
        <w:t xml:space="preserve"> i </w:t>
      </w:r>
      <w:proofErr w:type="spellStart"/>
      <w:r w:rsidRPr="00CC19F7">
        <w:t>Noreg</w:t>
      </w:r>
      <w:proofErr w:type="spellEnd"/>
      <w:r w:rsidRPr="00CC19F7">
        <w:t xml:space="preserve"> mot 2030. Rapporten </w:t>
      </w:r>
      <w:proofErr w:type="spellStart"/>
      <w:r w:rsidRPr="00CC19F7">
        <w:t>peikar</w:t>
      </w:r>
      <w:proofErr w:type="spellEnd"/>
      <w:r w:rsidRPr="00CC19F7">
        <w:t xml:space="preserve"> også på kva som kan forverre og kva som kan betre den norske kraftbalansen. NVE har også analysert kor </w:t>
      </w:r>
      <w:proofErr w:type="spellStart"/>
      <w:r w:rsidRPr="00CC19F7">
        <w:t>mykje</w:t>
      </w:r>
      <w:proofErr w:type="spellEnd"/>
      <w:r w:rsidRPr="00CC19F7">
        <w:t xml:space="preserve"> kraftbalansen har å </w:t>
      </w:r>
      <w:proofErr w:type="spellStart"/>
      <w:r w:rsidRPr="00CC19F7">
        <w:t>seie</w:t>
      </w:r>
      <w:proofErr w:type="spellEnd"/>
      <w:r w:rsidRPr="00CC19F7">
        <w:t xml:space="preserve"> for prisutviklinga i </w:t>
      </w:r>
      <w:proofErr w:type="spellStart"/>
      <w:r w:rsidRPr="00CC19F7">
        <w:t>Noreg</w:t>
      </w:r>
      <w:proofErr w:type="spellEnd"/>
      <w:r w:rsidRPr="00CC19F7">
        <w:t xml:space="preserve">, gitt ulike prisnivå i landa rundt oss. Høge </w:t>
      </w:r>
      <w:proofErr w:type="spellStart"/>
      <w:r w:rsidRPr="00CC19F7">
        <w:t>straumprisar</w:t>
      </w:r>
      <w:proofErr w:type="spellEnd"/>
      <w:r w:rsidRPr="00CC19F7">
        <w:t xml:space="preserve">, låge magasinnivå i det </w:t>
      </w:r>
      <w:proofErr w:type="spellStart"/>
      <w:r w:rsidRPr="00CC19F7">
        <w:t>sørlege</w:t>
      </w:r>
      <w:proofErr w:type="spellEnd"/>
      <w:r w:rsidRPr="00CC19F7">
        <w:t xml:space="preserve"> </w:t>
      </w:r>
      <w:proofErr w:type="spellStart"/>
      <w:r w:rsidRPr="00CC19F7">
        <w:t>Noreg</w:t>
      </w:r>
      <w:proofErr w:type="spellEnd"/>
      <w:r w:rsidRPr="00CC19F7">
        <w:t xml:space="preserve"> og </w:t>
      </w:r>
      <w:proofErr w:type="spellStart"/>
      <w:r w:rsidRPr="00CC19F7">
        <w:t>ein</w:t>
      </w:r>
      <w:proofErr w:type="spellEnd"/>
      <w:r w:rsidRPr="00CC19F7">
        <w:t xml:space="preserve"> usikker situasjon i Europa, mellom anna som følge av krigen i Ukraina, har bidratt til at </w:t>
      </w:r>
      <w:proofErr w:type="spellStart"/>
      <w:r w:rsidRPr="00CC19F7">
        <w:t>kraftmarknaden</w:t>
      </w:r>
      <w:proofErr w:type="spellEnd"/>
      <w:r w:rsidRPr="00CC19F7">
        <w:t xml:space="preserve"> har fått stor </w:t>
      </w:r>
      <w:proofErr w:type="spellStart"/>
      <w:r w:rsidRPr="00CC19F7">
        <w:t>merksemd</w:t>
      </w:r>
      <w:proofErr w:type="spellEnd"/>
      <w:r w:rsidRPr="00CC19F7">
        <w:t xml:space="preserve"> i 2022.</w:t>
      </w:r>
    </w:p>
    <w:p w14:paraId="2F99FEE4" w14:textId="77777777" w:rsidR="00FE02EF" w:rsidRPr="00CC19F7" w:rsidRDefault="00881E58" w:rsidP="00CC19F7">
      <w:proofErr w:type="spellStart"/>
      <w:r w:rsidRPr="00CC19F7">
        <w:t>Sjølv</w:t>
      </w:r>
      <w:proofErr w:type="spellEnd"/>
      <w:r w:rsidRPr="00CC19F7">
        <w:t xml:space="preserve"> om </w:t>
      </w:r>
      <w:proofErr w:type="spellStart"/>
      <w:r w:rsidRPr="00CC19F7">
        <w:t>forsyningssikkerheita</w:t>
      </w:r>
      <w:proofErr w:type="spellEnd"/>
      <w:r w:rsidRPr="00CC19F7">
        <w:t xml:space="preserve"> er god, har NVE i heile 2022 hatt «</w:t>
      </w:r>
      <w:proofErr w:type="spellStart"/>
      <w:r w:rsidRPr="00CC19F7">
        <w:t>auka</w:t>
      </w:r>
      <w:proofErr w:type="spellEnd"/>
      <w:r w:rsidRPr="00CC19F7">
        <w:t xml:space="preserve"> </w:t>
      </w:r>
      <w:proofErr w:type="spellStart"/>
      <w:r w:rsidRPr="00CC19F7">
        <w:t>aktsemd</w:t>
      </w:r>
      <w:proofErr w:type="spellEnd"/>
      <w:r w:rsidRPr="00CC19F7">
        <w:t xml:space="preserve">» både mot kraftsituasjonen og den </w:t>
      </w:r>
      <w:proofErr w:type="spellStart"/>
      <w:r w:rsidRPr="00CC19F7">
        <w:t>sikkerheitspolitiske</w:t>
      </w:r>
      <w:proofErr w:type="spellEnd"/>
      <w:r w:rsidRPr="00CC19F7">
        <w:t xml:space="preserve"> situasjonen. Kraftsituasjonen har ført til at NVE har gjennomført </w:t>
      </w:r>
      <w:proofErr w:type="spellStart"/>
      <w:r w:rsidRPr="00CC19F7">
        <w:t>prognosar</w:t>
      </w:r>
      <w:proofErr w:type="spellEnd"/>
      <w:r w:rsidRPr="00CC19F7">
        <w:t xml:space="preserve"> med modellapparatet sitt kvar veke for å følge situasjonen </w:t>
      </w:r>
      <w:proofErr w:type="spellStart"/>
      <w:r w:rsidRPr="00CC19F7">
        <w:t>særleg</w:t>
      </w:r>
      <w:proofErr w:type="spellEnd"/>
      <w:r w:rsidRPr="00CC19F7">
        <w:t xml:space="preserve"> tett. </w:t>
      </w:r>
      <w:proofErr w:type="spellStart"/>
      <w:r w:rsidRPr="00CC19F7">
        <w:t>Vidare</w:t>
      </w:r>
      <w:proofErr w:type="spellEnd"/>
      <w:r w:rsidRPr="00CC19F7">
        <w:t xml:space="preserve"> har NVE hatt </w:t>
      </w:r>
      <w:proofErr w:type="spellStart"/>
      <w:r w:rsidRPr="00CC19F7">
        <w:t>jamlege</w:t>
      </w:r>
      <w:proofErr w:type="spellEnd"/>
      <w:r w:rsidRPr="00CC19F7">
        <w:t xml:space="preserve"> møte med Statnett om situasjonen og </w:t>
      </w:r>
      <w:proofErr w:type="spellStart"/>
      <w:r w:rsidRPr="00CC19F7">
        <w:t>dessutan</w:t>
      </w:r>
      <w:proofErr w:type="spellEnd"/>
      <w:r w:rsidRPr="00CC19F7">
        <w:t xml:space="preserve"> </w:t>
      </w:r>
      <w:proofErr w:type="spellStart"/>
      <w:r w:rsidRPr="00CC19F7">
        <w:t>vore</w:t>
      </w:r>
      <w:proofErr w:type="spellEnd"/>
      <w:r w:rsidRPr="00CC19F7">
        <w:t xml:space="preserve"> i dialog med både store </w:t>
      </w:r>
      <w:proofErr w:type="spellStart"/>
      <w:r w:rsidRPr="00CC19F7">
        <w:t>kraftforbrukarar</w:t>
      </w:r>
      <w:proofErr w:type="spellEnd"/>
      <w:r w:rsidRPr="00CC19F7">
        <w:t xml:space="preserve"> og </w:t>
      </w:r>
      <w:proofErr w:type="spellStart"/>
      <w:r w:rsidRPr="00CC19F7">
        <w:t>kraftprodusentar</w:t>
      </w:r>
      <w:proofErr w:type="spellEnd"/>
      <w:r w:rsidRPr="00CC19F7">
        <w:t xml:space="preserve"> for å skape ei felles forståing av situasjonen. Det er også sett i verk </w:t>
      </w:r>
      <w:proofErr w:type="spellStart"/>
      <w:r w:rsidRPr="00CC19F7">
        <w:t>fleire</w:t>
      </w:r>
      <w:proofErr w:type="spellEnd"/>
      <w:r w:rsidRPr="00CC19F7">
        <w:t xml:space="preserve"> tiltak. NVE bad Statnett om å greie ut SAKS-tiltak, det vil </w:t>
      </w:r>
      <w:proofErr w:type="spellStart"/>
      <w:r w:rsidRPr="00CC19F7">
        <w:t>seie</w:t>
      </w:r>
      <w:proofErr w:type="spellEnd"/>
      <w:r w:rsidRPr="00CC19F7">
        <w:t xml:space="preserve"> tiltak knytte til </w:t>
      </w:r>
      <w:proofErr w:type="spellStart"/>
      <w:r w:rsidRPr="00CC19F7">
        <w:t>ein</w:t>
      </w:r>
      <w:proofErr w:type="spellEnd"/>
      <w:r w:rsidRPr="00CC19F7">
        <w:t xml:space="preserve"> </w:t>
      </w:r>
      <w:proofErr w:type="spellStart"/>
      <w:r w:rsidRPr="00CC19F7">
        <w:t>særleg</w:t>
      </w:r>
      <w:proofErr w:type="spellEnd"/>
      <w:r w:rsidRPr="00CC19F7">
        <w:t xml:space="preserve"> </w:t>
      </w:r>
      <w:proofErr w:type="spellStart"/>
      <w:r w:rsidRPr="00CC19F7">
        <w:t>anstrengd</w:t>
      </w:r>
      <w:proofErr w:type="spellEnd"/>
      <w:r w:rsidRPr="00CC19F7">
        <w:t xml:space="preserve"> kraftsituasjon. </w:t>
      </w:r>
      <w:proofErr w:type="spellStart"/>
      <w:r w:rsidRPr="00CC19F7">
        <w:t>Vidare</w:t>
      </w:r>
      <w:proofErr w:type="spellEnd"/>
      <w:r w:rsidRPr="00CC19F7">
        <w:t xml:space="preserve"> vedtok NVE at </w:t>
      </w:r>
      <w:proofErr w:type="spellStart"/>
      <w:r w:rsidRPr="00CC19F7">
        <w:t>eigarane</w:t>
      </w:r>
      <w:proofErr w:type="spellEnd"/>
      <w:r w:rsidRPr="00CC19F7">
        <w:t xml:space="preserve"> av </w:t>
      </w:r>
      <w:proofErr w:type="spellStart"/>
      <w:r w:rsidRPr="00CC19F7">
        <w:t>dei</w:t>
      </w:r>
      <w:proofErr w:type="spellEnd"/>
      <w:r w:rsidRPr="00CC19F7">
        <w:t xml:space="preserve"> største kraftverka i det </w:t>
      </w:r>
      <w:proofErr w:type="spellStart"/>
      <w:r w:rsidRPr="00CC19F7">
        <w:t>sørlege</w:t>
      </w:r>
      <w:proofErr w:type="spellEnd"/>
      <w:r w:rsidRPr="00CC19F7">
        <w:t xml:space="preserve"> </w:t>
      </w:r>
      <w:proofErr w:type="spellStart"/>
      <w:r w:rsidRPr="00CC19F7">
        <w:t>Noreg</w:t>
      </w:r>
      <w:proofErr w:type="spellEnd"/>
      <w:r w:rsidRPr="00CC19F7">
        <w:t xml:space="preserve"> måtte rapportere til </w:t>
      </w:r>
      <w:proofErr w:type="spellStart"/>
      <w:r w:rsidRPr="00CC19F7">
        <w:t>myndigheitene</w:t>
      </w:r>
      <w:proofErr w:type="spellEnd"/>
      <w:r w:rsidRPr="00CC19F7">
        <w:t xml:space="preserve"> korleis </w:t>
      </w:r>
      <w:proofErr w:type="spellStart"/>
      <w:r w:rsidRPr="00CC19F7">
        <w:t>dei</w:t>
      </w:r>
      <w:proofErr w:type="spellEnd"/>
      <w:r w:rsidRPr="00CC19F7">
        <w:t xml:space="preserve"> bruker vassmagasina sine.</w:t>
      </w:r>
    </w:p>
    <w:p w14:paraId="41D44619" w14:textId="77777777" w:rsidR="00FE02EF" w:rsidRPr="00CC19F7" w:rsidRDefault="00881E58" w:rsidP="00CC19F7">
      <w:r w:rsidRPr="00CC19F7">
        <w:t xml:space="preserve">Kraftbransjen blir stadig </w:t>
      </w:r>
      <w:proofErr w:type="spellStart"/>
      <w:r w:rsidRPr="00CC19F7">
        <w:t>meir</w:t>
      </w:r>
      <w:proofErr w:type="spellEnd"/>
      <w:r w:rsidRPr="00CC19F7">
        <w:t xml:space="preserve"> digitalisert og dermed også sårbar for digitale angrep. </w:t>
      </w:r>
      <w:proofErr w:type="spellStart"/>
      <w:r w:rsidRPr="00CC19F7">
        <w:t>Trusselbiletet</w:t>
      </w:r>
      <w:proofErr w:type="spellEnd"/>
      <w:r w:rsidRPr="00CC19F7">
        <w:t xml:space="preserve"> er i endring, og risikoen for digitale angrep har </w:t>
      </w:r>
      <w:proofErr w:type="spellStart"/>
      <w:r w:rsidRPr="00CC19F7">
        <w:t>auka</w:t>
      </w:r>
      <w:proofErr w:type="spellEnd"/>
      <w:r w:rsidRPr="00CC19F7">
        <w:t xml:space="preserve">. NVE har hatt </w:t>
      </w:r>
      <w:proofErr w:type="spellStart"/>
      <w:r w:rsidRPr="00CC19F7">
        <w:t>auka</w:t>
      </w:r>
      <w:proofErr w:type="spellEnd"/>
      <w:r w:rsidRPr="00CC19F7">
        <w:t xml:space="preserve"> </w:t>
      </w:r>
      <w:proofErr w:type="spellStart"/>
      <w:r w:rsidRPr="00CC19F7">
        <w:t>merksemd</w:t>
      </w:r>
      <w:proofErr w:type="spellEnd"/>
      <w:r w:rsidRPr="00CC19F7">
        <w:t xml:space="preserve"> på oppfølging av IKT-</w:t>
      </w:r>
      <w:proofErr w:type="spellStart"/>
      <w:r w:rsidRPr="00CC19F7">
        <w:t>sikkerheit</w:t>
      </w:r>
      <w:proofErr w:type="spellEnd"/>
      <w:r w:rsidRPr="00CC19F7">
        <w:t xml:space="preserve"> i sektoren og har </w:t>
      </w:r>
      <w:proofErr w:type="spellStart"/>
      <w:r w:rsidRPr="00CC19F7">
        <w:t>arbeidd</w:t>
      </w:r>
      <w:proofErr w:type="spellEnd"/>
      <w:r w:rsidRPr="00CC19F7">
        <w:t xml:space="preserve"> med rettleiing og gjennomført </w:t>
      </w:r>
      <w:proofErr w:type="spellStart"/>
      <w:r w:rsidRPr="00CC19F7">
        <w:t>scenarioanalysar</w:t>
      </w:r>
      <w:proofErr w:type="spellEnd"/>
      <w:r w:rsidRPr="00CC19F7">
        <w:t>. NVE har rolla som sektorvis responsmiljø (SRM) for IKT-</w:t>
      </w:r>
      <w:proofErr w:type="spellStart"/>
      <w:r w:rsidRPr="00CC19F7">
        <w:t>hendingar</w:t>
      </w:r>
      <w:proofErr w:type="spellEnd"/>
      <w:r w:rsidRPr="00CC19F7">
        <w:t xml:space="preserve"> i kraftforsyninga og har sett ut </w:t>
      </w:r>
      <w:proofErr w:type="spellStart"/>
      <w:r w:rsidRPr="00CC19F7">
        <w:t>oppgåver</w:t>
      </w:r>
      <w:proofErr w:type="spellEnd"/>
      <w:r w:rsidRPr="00CC19F7">
        <w:t xml:space="preserve"> som varsling og analyse til </w:t>
      </w:r>
      <w:proofErr w:type="spellStart"/>
      <w:r w:rsidRPr="00CC19F7">
        <w:t>KraftCERT</w:t>
      </w:r>
      <w:proofErr w:type="spellEnd"/>
      <w:r w:rsidRPr="00CC19F7">
        <w:rPr>
          <w:rStyle w:val="Fotnotereferanse"/>
        </w:rPr>
        <w:footnoteReference w:id="3"/>
      </w:r>
      <w:r w:rsidRPr="00CC19F7">
        <w:t xml:space="preserve">. NVE vurderer det slik at tilstanden når det </w:t>
      </w:r>
      <w:proofErr w:type="spellStart"/>
      <w:r w:rsidRPr="00CC19F7">
        <w:t>gjeld</w:t>
      </w:r>
      <w:proofErr w:type="spellEnd"/>
      <w:r w:rsidRPr="00CC19F7">
        <w:t xml:space="preserve"> IKT-</w:t>
      </w:r>
      <w:proofErr w:type="spellStart"/>
      <w:r w:rsidRPr="00CC19F7">
        <w:t>sikkerheit</w:t>
      </w:r>
      <w:proofErr w:type="spellEnd"/>
      <w:r w:rsidRPr="00CC19F7">
        <w:t xml:space="preserve"> i kraftforsyninga i </w:t>
      </w:r>
      <w:proofErr w:type="spellStart"/>
      <w:r w:rsidRPr="00CC19F7">
        <w:t>Noreg</w:t>
      </w:r>
      <w:proofErr w:type="spellEnd"/>
      <w:r w:rsidRPr="00CC19F7">
        <w:t xml:space="preserve">, </w:t>
      </w:r>
      <w:proofErr w:type="spellStart"/>
      <w:r w:rsidRPr="00CC19F7">
        <w:t>ikkje</w:t>
      </w:r>
      <w:proofErr w:type="spellEnd"/>
      <w:r w:rsidRPr="00CC19F7">
        <w:t xml:space="preserve"> er god nok, og at det er behov for å styrke evna til å handtere </w:t>
      </w:r>
      <w:proofErr w:type="spellStart"/>
      <w:r w:rsidRPr="00CC19F7">
        <w:t>alvorlege</w:t>
      </w:r>
      <w:proofErr w:type="spellEnd"/>
      <w:r w:rsidRPr="00CC19F7">
        <w:t xml:space="preserve"> digitale angrep mot kraftforsyninga. NVE har god dialog med bransjen og andre </w:t>
      </w:r>
      <w:proofErr w:type="spellStart"/>
      <w:r w:rsidRPr="00CC19F7">
        <w:t>myndigheiter</w:t>
      </w:r>
      <w:proofErr w:type="spellEnd"/>
      <w:r w:rsidRPr="00CC19F7">
        <w:t xml:space="preserve"> på området.</w:t>
      </w:r>
    </w:p>
    <w:p w14:paraId="0791FBB0" w14:textId="77777777" w:rsidR="00FE02EF" w:rsidRPr="00CC19F7" w:rsidRDefault="00881E58" w:rsidP="00CC19F7">
      <w:r w:rsidRPr="00CC19F7">
        <w:t xml:space="preserve">I mars 2021 leverte Riksrevisjonen </w:t>
      </w:r>
      <w:proofErr w:type="spellStart"/>
      <w:r w:rsidRPr="00CC19F7">
        <w:t>ein</w:t>
      </w:r>
      <w:proofErr w:type="spellEnd"/>
      <w:r w:rsidRPr="00CC19F7">
        <w:t xml:space="preserve"> forvaltningsrevisjon på NVEs arbeid med IKT-</w:t>
      </w:r>
      <w:proofErr w:type="spellStart"/>
      <w:r w:rsidRPr="00CC19F7">
        <w:t>sikkerheit</w:t>
      </w:r>
      <w:proofErr w:type="spellEnd"/>
      <w:r w:rsidRPr="00CC19F7">
        <w:t xml:space="preserve"> i kraftforsyninga. Rapporten konkluderte med at NVE </w:t>
      </w:r>
      <w:proofErr w:type="spellStart"/>
      <w:r w:rsidRPr="00CC19F7">
        <w:t>ikkje</w:t>
      </w:r>
      <w:proofErr w:type="spellEnd"/>
      <w:r w:rsidRPr="00CC19F7">
        <w:t xml:space="preserve"> i </w:t>
      </w:r>
      <w:proofErr w:type="spellStart"/>
      <w:r w:rsidRPr="00CC19F7">
        <w:t>tilstrekkeleg</w:t>
      </w:r>
      <w:proofErr w:type="spellEnd"/>
      <w:r w:rsidRPr="00CC19F7">
        <w:t xml:space="preserve"> grad har sett til at kraftselskap har god nok beredskap for å handtere IKT-angrep. NVE har </w:t>
      </w:r>
      <w:proofErr w:type="spellStart"/>
      <w:r w:rsidRPr="00CC19F7">
        <w:t>følgt</w:t>
      </w:r>
      <w:proofErr w:type="spellEnd"/>
      <w:r w:rsidRPr="00CC19F7">
        <w:t xml:space="preserve"> opp rapporten med </w:t>
      </w:r>
      <w:proofErr w:type="spellStart"/>
      <w:r w:rsidRPr="00CC19F7">
        <w:t>fleire</w:t>
      </w:r>
      <w:proofErr w:type="spellEnd"/>
      <w:r w:rsidRPr="00CC19F7">
        <w:t xml:space="preserve"> tiltak i 2022 og har </w:t>
      </w:r>
      <w:proofErr w:type="spellStart"/>
      <w:r w:rsidRPr="00CC19F7">
        <w:t>vidareutvikla</w:t>
      </w:r>
      <w:proofErr w:type="spellEnd"/>
      <w:r w:rsidRPr="00CC19F7">
        <w:t xml:space="preserve"> tilsynsmetodikken og gjennomført </w:t>
      </w:r>
      <w:proofErr w:type="spellStart"/>
      <w:r w:rsidRPr="00CC19F7">
        <w:t>fleire</w:t>
      </w:r>
      <w:proofErr w:type="spellEnd"/>
      <w:r w:rsidRPr="00CC19F7">
        <w:t xml:space="preserve"> tilsyn.</w:t>
      </w:r>
    </w:p>
    <w:p w14:paraId="067130CF" w14:textId="77777777" w:rsidR="00FE02EF" w:rsidRPr="00CC19F7" w:rsidRDefault="00881E58" w:rsidP="00CC19F7">
      <w:r w:rsidRPr="00CC19F7">
        <w:t xml:space="preserve">NVE har i 2022 gjennomført 28 </w:t>
      </w:r>
      <w:proofErr w:type="spellStart"/>
      <w:r w:rsidRPr="00CC19F7">
        <w:t>revisjonar</w:t>
      </w:r>
      <w:proofErr w:type="spellEnd"/>
      <w:r w:rsidRPr="00CC19F7">
        <w:t xml:space="preserve">. Av </w:t>
      </w:r>
      <w:proofErr w:type="spellStart"/>
      <w:r w:rsidRPr="00CC19F7">
        <w:t>dei</w:t>
      </w:r>
      <w:proofErr w:type="spellEnd"/>
      <w:r w:rsidRPr="00CC19F7">
        <w:t xml:space="preserve"> er det ti som dreier seg om IKT-</w:t>
      </w:r>
      <w:proofErr w:type="spellStart"/>
      <w:r w:rsidRPr="00CC19F7">
        <w:t>sikkerheit</w:t>
      </w:r>
      <w:proofErr w:type="spellEnd"/>
      <w:r w:rsidRPr="00CC19F7">
        <w:t xml:space="preserve"> og var prioriterte for tilsyn i 2022. Som </w:t>
      </w:r>
      <w:proofErr w:type="spellStart"/>
      <w:r w:rsidRPr="00CC19F7">
        <w:t>ein</w:t>
      </w:r>
      <w:proofErr w:type="spellEnd"/>
      <w:r w:rsidRPr="00CC19F7">
        <w:t xml:space="preserve"> del av </w:t>
      </w:r>
      <w:proofErr w:type="spellStart"/>
      <w:r w:rsidRPr="00CC19F7">
        <w:t>tilsynsverksemda</w:t>
      </w:r>
      <w:proofErr w:type="spellEnd"/>
      <w:r w:rsidRPr="00CC19F7">
        <w:t xml:space="preserve"> er det også gjort sju vedtak om retting og varsla fire vedtak om tvangsmulkt.</w:t>
      </w:r>
    </w:p>
    <w:p w14:paraId="3F6A2C92" w14:textId="77777777" w:rsidR="00FE02EF" w:rsidRPr="00CC19F7" w:rsidRDefault="00881E58" w:rsidP="00CC19F7">
      <w:r w:rsidRPr="00CC19F7">
        <w:t xml:space="preserve">NVE er beredskapsmyndigheit og </w:t>
      </w:r>
      <w:proofErr w:type="spellStart"/>
      <w:r w:rsidRPr="00CC19F7">
        <w:t>leiar</w:t>
      </w:r>
      <w:proofErr w:type="spellEnd"/>
      <w:r w:rsidRPr="00CC19F7">
        <w:t xml:space="preserve"> </w:t>
      </w:r>
      <w:r w:rsidRPr="00CC19F7">
        <w:rPr>
          <w:rStyle w:val="kursiv"/>
        </w:rPr>
        <w:t>Kraftforsyningas beredskapsorganisasjon</w:t>
      </w:r>
      <w:r w:rsidRPr="00CC19F7">
        <w:t xml:space="preserve"> (KBO). NVE har bidratt til å </w:t>
      </w:r>
      <w:proofErr w:type="spellStart"/>
      <w:r w:rsidRPr="00CC19F7">
        <w:t>halde</w:t>
      </w:r>
      <w:proofErr w:type="spellEnd"/>
      <w:r w:rsidRPr="00CC19F7">
        <w:t xml:space="preserve"> </w:t>
      </w:r>
      <w:proofErr w:type="spellStart"/>
      <w:r w:rsidRPr="00CC19F7">
        <w:t>merksemda</w:t>
      </w:r>
      <w:proofErr w:type="spellEnd"/>
      <w:r w:rsidRPr="00CC19F7">
        <w:t xml:space="preserve"> retta mot </w:t>
      </w:r>
      <w:proofErr w:type="spellStart"/>
      <w:r w:rsidRPr="00CC19F7">
        <w:t>førebyggande</w:t>
      </w:r>
      <w:proofErr w:type="spellEnd"/>
      <w:r w:rsidRPr="00CC19F7">
        <w:t xml:space="preserve"> </w:t>
      </w:r>
      <w:proofErr w:type="spellStart"/>
      <w:r w:rsidRPr="00CC19F7">
        <w:t>sikkerheit</w:t>
      </w:r>
      <w:proofErr w:type="spellEnd"/>
      <w:r w:rsidRPr="00CC19F7">
        <w:t xml:space="preserve"> og beredskap i kraftforsyninga på </w:t>
      </w:r>
      <w:proofErr w:type="spellStart"/>
      <w:r w:rsidRPr="00CC19F7">
        <w:t>eit</w:t>
      </w:r>
      <w:proofErr w:type="spellEnd"/>
      <w:r w:rsidRPr="00CC19F7">
        <w:t xml:space="preserve"> høgt nivå, mellom anna gjennom informasjonsarbeid. NVE har også bidratt til ulike tiltak for kompetanseheving, </w:t>
      </w:r>
      <w:proofErr w:type="spellStart"/>
      <w:r w:rsidRPr="00CC19F7">
        <w:t>særleg</w:t>
      </w:r>
      <w:proofErr w:type="spellEnd"/>
      <w:r w:rsidRPr="00CC19F7">
        <w:t xml:space="preserve"> </w:t>
      </w:r>
      <w:proofErr w:type="spellStart"/>
      <w:r w:rsidRPr="00CC19F7">
        <w:t>innanfor</w:t>
      </w:r>
      <w:proofErr w:type="spellEnd"/>
      <w:r w:rsidRPr="00CC19F7">
        <w:t xml:space="preserve"> IKT-</w:t>
      </w:r>
      <w:proofErr w:type="spellStart"/>
      <w:r w:rsidRPr="00CC19F7">
        <w:t>sikkerheit</w:t>
      </w:r>
      <w:proofErr w:type="spellEnd"/>
      <w:r w:rsidRPr="00CC19F7">
        <w:t xml:space="preserve">. NVE har </w:t>
      </w:r>
      <w:proofErr w:type="spellStart"/>
      <w:r w:rsidRPr="00CC19F7">
        <w:t>vidare</w:t>
      </w:r>
      <w:proofErr w:type="spellEnd"/>
      <w:r w:rsidRPr="00CC19F7">
        <w:t xml:space="preserve"> starta arbeidet med revisjon av </w:t>
      </w:r>
      <w:proofErr w:type="spellStart"/>
      <w:r w:rsidRPr="00CC19F7">
        <w:t>ein</w:t>
      </w:r>
      <w:proofErr w:type="spellEnd"/>
      <w:r w:rsidRPr="00CC19F7">
        <w:t xml:space="preserve"> risiko- og </w:t>
      </w:r>
      <w:proofErr w:type="spellStart"/>
      <w:r w:rsidRPr="00CC19F7">
        <w:t>sårbarheitsanalyse</w:t>
      </w:r>
      <w:proofErr w:type="spellEnd"/>
      <w:r w:rsidRPr="00CC19F7">
        <w:t xml:space="preserve"> for kraftforsyninga (</w:t>
      </w:r>
      <w:proofErr w:type="spellStart"/>
      <w:r w:rsidRPr="00CC19F7">
        <w:t>KraftROS</w:t>
      </w:r>
      <w:proofErr w:type="spellEnd"/>
      <w:r w:rsidRPr="00CC19F7">
        <w:t xml:space="preserve">), som </w:t>
      </w:r>
      <w:proofErr w:type="spellStart"/>
      <w:r w:rsidRPr="00CC19F7">
        <w:t>inneheld</w:t>
      </w:r>
      <w:proofErr w:type="spellEnd"/>
      <w:r w:rsidRPr="00CC19F7">
        <w:t xml:space="preserve"> </w:t>
      </w:r>
      <w:proofErr w:type="spellStart"/>
      <w:r w:rsidRPr="00CC19F7">
        <w:t>særleg</w:t>
      </w:r>
      <w:proofErr w:type="spellEnd"/>
      <w:r w:rsidRPr="00CC19F7">
        <w:t xml:space="preserve"> </w:t>
      </w:r>
      <w:proofErr w:type="spellStart"/>
      <w:r w:rsidRPr="00CC19F7">
        <w:t>alvorlege</w:t>
      </w:r>
      <w:proofErr w:type="spellEnd"/>
      <w:r w:rsidRPr="00CC19F7">
        <w:t xml:space="preserve"> scenario for kraftforsyninga. </w:t>
      </w:r>
      <w:proofErr w:type="spellStart"/>
      <w:r w:rsidRPr="00CC19F7">
        <w:t>KraftROS</w:t>
      </w:r>
      <w:proofErr w:type="spellEnd"/>
      <w:r w:rsidRPr="00CC19F7">
        <w:t xml:space="preserve"> er </w:t>
      </w:r>
      <w:proofErr w:type="spellStart"/>
      <w:r w:rsidRPr="00CC19F7">
        <w:t>eit</w:t>
      </w:r>
      <w:proofErr w:type="spellEnd"/>
      <w:r w:rsidRPr="00CC19F7">
        <w:t xml:space="preserve"> viktig grunnlag for øving og bidrar til å </w:t>
      </w:r>
      <w:proofErr w:type="spellStart"/>
      <w:r w:rsidRPr="00CC19F7">
        <w:t>peike</w:t>
      </w:r>
      <w:proofErr w:type="spellEnd"/>
      <w:r w:rsidRPr="00CC19F7">
        <w:t xml:space="preserve"> på område der det er viktig å sette i verk tiltak.</w:t>
      </w:r>
    </w:p>
    <w:p w14:paraId="673CBFCB" w14:textId="77777777" w:rsidR="00FE02EF" w:rsidRPr="00CC19F7" w:rsidRDefault="00881E58" w:rsidP="00CC19F7">
      <w:r w:rsidRPr="00CC19F7">
        <w:t xml:space="preserve">Den </w:t>
      </w:r>
      <w:proofErr w:type="spellStart"/>
      <w:r w:rsidRPr="00CC19F7">
        <w:t>sikkerheitspolitiske</w:t>
      </w:r>
      <w:proofErr w:type="spellEnd"/>
      <w:r w:rsidRPr="00CC19F7">
        <w:t xml:space="preserve"> situasjonen har retta ny </w:t>
      </w:r>
      <w:proofErr w:type="spellStart"/>
      <w:r w:rsidRPr="00CC19F7">
        <w:t>merksemd</w:t>
      </w:r>
      <w:proofErr w:type="spellEnd"/>
      <w:r w:rsidRPr="00CC19F7">
        <w:t xml:space="preserve"> mot </w:t>
      </w:r>
      <w:proofErr w:type="spellStart"/>
      <w:r w:rsidRPr="00CC19F7">
        <w:t>innsidetruslar</w:t>
      </w:r>
      <w:proofErr w:type="spellEnd"/>
      <w:r w:rsidRPr="00CC19F7">
        <w:t xml:space="preserve">, etterretning, kraftsensitiv informasjon og fysisk sikring av anlegg. NVE har komme fram til at politiattest </w:t>
      </w:r>
      <w:proofErr w:type="spellStart"/>
      <w:r w:rsidRPr="00CC19F7">
        <w:t>ikkje</w:t>
      </w:r>
      <w:proofErr w:type="spellEnd"/>
      <w:r w:rsidRPr="00CC19F7">
        <w:t xml:space="preserve"> er det beste </w:t>
      </w:r>
      <w:proofErr w:type="spellStart"/>
      <w:r w:rsidRPr="00CC19F7">
        <w:t>verkemiddelet</w:t>
      </w:r>
      <w:proofErr w:type="spellEnd"/>
      <w:r w:rsidRPr="00CC19F7">
        <w:t xml:space="preserve"> for å sikre kraftforsyninga mot </w:t>
      </w:r>
      <w:proofErr w:type="spellStart"/>
      <w:r w:rsidRPr="00CC19F7">
        <w:t>innsidetruslar</w:t>
      </w:r>
      <w:proofErr w:type="spellEnd"/>
      <w:r w:rsidRPr="00CC19F7">
        <w:t xml:space="preserve">. NVE vil framover arbeide med </w:t>
      </w:r>
      <w:proofErr w:type="spellStart"/>
      <w:r w:rsidRPr="00CC19F7">
        <w:t>eit</w:t>
      </w:r>
      <w:proofErr w:type="spellEnd"/>
      <w:r w:rsidRPr="00CC19F7">
        <w:t xml:space="preserve"> prosjekt for å definere </w:t>
      </w:r>
      <w:proofErr w:type="spellStart"/>
      <w:r w:rsidRPr="00CC19F7">
        <w:t>innhaldet</w:t>
      </w:r>
      <w:proofErr w:type="spellEnd"/>
      <w:r w:rsidRPr="00CC19F7">
        <w:t xml:space="preserve"> i kraftsensitiv informasjon og vurdere </w:t>
      </w:r>
      <w:proofErr w:type="spellStart"/>
      <w:r w:rsidRPr="00CC19F7">
        <w:t>endringar</w:t>
      </w:r>
      <w:proofErr w:type="spellEnd"/>
      <w:r w:rsidRPr="00CC19F7">
        <w:t xml:space="preserve"> i regelverk og praksis. Krava i kraftberedskapsforskrifta knytte til fysisk sikring er i stor grad god, men NVE vil ta med seg lærdom etter Russlands invasjon av Ukraina i </w:t>
      </w:r>
      <w:proofErr w:type="spellStart"/>
      <w:r w:rsidRPr="00CC19F7">
        <w:t>vidare</w:t>
      </w:r>
      <w:proofErr w:type="spellEnd"/>
      <w:r w:rsidRPr="00CC19F7">
        <w:t xml:space="preserve"> </w:t>
      </w:r>
      <w:proofErr w:type="spellStart"/>
      <w:r w:rsidRPr="00CC19F7">
        <w:t>vurderingar</w:t>
      </w:r>
      <w:proofErr w:type="spellEnd"/>
      <w:r w:rsidRPr="00CC19F7">
        <w:t xml:space="preserve"> knytte til sikring av den norske kraftforsyninga. NVE har også gått gjennom klassifiseringa av vasskraftanlegg etter kraftberedskapsforskrifta for å sikre at </w:t>
      </w:r>
      <w:proofErr w:type="spellStart"/>
      <w:r w:rsidRPr="00CC19F7">
        <w:t>dei</w:t>
      </w:r>
      <w:proofErr w:type="spellEnd"/>
      <w:r w:rsidRPr="00CC19F7">
        <w:t xml:space="preserve"> anlegga som er viktige for </w:t>
      </w:r>
      <w:proofErr w:type="spellStart"/>
      <w:r w:rsidRPr="00CC19F7">
        <w:t>forsyningssikkerheita</w:t>
      </w:r>
      <w:proofErr w:type="spellEnd"/>
      <w:r w:rsidRPr="00CC19F7">
        <w:t>, er klassifiserte riktig.</w:t>
      </w:r>
    </w:p>
    <w:p w14:paraId="2096B806" w14:textId="77777777" w:rsidR="00FE02EF" w:rsidRPr="00CC19F7" w:rsidRDefault="00881E58" w:rsidP="00CC19F7">
      <w:r w:rsidRPr="00CC19F7">
        <w:t xml:space="preserve">NVE arbeider også med bistand til Ukraina. Den ukrainske kraftforsyninga er hardt ramma etter </w:t>
      </w:r>
      <w:proofErr w:type="spellStart"/>
      <w:r w:rsidRPr="00CC19F7">
        <w:t>fleire</w:t>
      </w:r>
      <w:proofErr w:type="spellEnd"/>
      <w:r w:rsidRPr="00CC19F7">
        <w:t xml:space="preserve"> angrep. KBO og andre norske </w:t>
      </w:r>
      <w:proofErr w:type="spellStart"/>
      <w:r w:rsidRPr="00CC19F7">
        <w:t>verksemder</w:t>
      </w:r>
      <w:proofErr w:type="spellEnd"/>
      <w:r w:rsidRPr="00CC19F7">
        <w:t xml:space="preserve"> har bidratt med aggregat og kraftforsyningsmateriell til Ukraina. Dette er </w:t>
      </w:r>
      <w:proofErr w:type="gramStart"/>
      <w:r w:rsidRPr="00CC19F7">
        <w:t>materiell</w:t>
      </w:r>
      <w:proofErr w:type="gramEnd"/>
      <w:r w:rsidRPr="00CC19F7">
        <w:t xml:space="preserve"> som </w:t>
      </w:r>
      <w:proofErr w:type="spellStart"/>
      <w:r w:rsidRPr="00CC19F7">
        <w:t>ikkje</w:t>
      </w:r>
      <w:proofErr w:type="spellEnd"/>
      <w:r w:rsidRPr="00CC19F7">
        <w:t xml:space="preserve"> inngår i den norske reparasjonsberedskapen.</w:t>
      </w:r>
    </w:p>
    <w:p w14:paraId="511E7986" w14:textId="77777777" w:rsidR="00FE02EF" w:rsidRPr="00CC19F7" w:rsidRDefault="00881E58" w:rsidP="00CC19F7">
      <w:r w:rsidRPr="00CC19F7">
        <w:t xml:space="preserve">NVE er rasjoneringsmyndigheit og har brukt </w:t>
      </w:r>
      <w:proofErr w:type="spellStart"/>
      <w:r w:rsidRPr="00CC19F7">
        <w:t>mykje</w:t>
      </w:r>
      <w:proofErr w:type="spellEnd"/>
      <w:r w:rsidRPr="00CC19F7">
        <w:t xml:space="preserve"> </w:t>
      </w:r>
      <w:proofErr w:type="spellStart"/>
      <w:r w:rsidRPr="00CC19F7">
        <w:t>ressursar</w:t>
      </w:r>
      <w:proofErr w:type="spellEnd"/>
      <w:r w:rsidRPr="00CC19F7">
        <w:t xml:space="preserve"> i 2022 for å følge opp arbeid knytt til dette. NVE har </w:t>
      </w:r>
      <w:proofErr w:type="spellStart"/>
      <w:r w:rsidRPr="00CC19F7">
        <w:t>halde</w:t>
      </w:r>
      <w:proofErr w:type="spellEnd"/>
      <w:r w:rsidRPr="00CC19F7">
        <w:t xml:space="preserve"> </w:t>
      </w:r>
      <w:proofErr w:type="spellStart"/>
      <w:r w:rsidRPr="00CC19F7">
        <w:t>fleire</w:t>
      </w:r>
      <w:proofErr w:type="spellEnd"/>
      <w:r w:rsidRPr="00CC19F7">
        <w:t xml:space="preserve"> arbeidsmøte om kraftrasjonering med ulike </w:t>
      </w:r>
      <w:proofErr w:type="spellStart"/>
      <w:r w:rsidRPr="00CC19F7">
        <w:t>aktørar</w:t>
      </w:r>
      <w:proofErr w:type="spellEnd"/>
      <w:r w:rsidRPr="00CC19F7">
        <w:t xml:space="preserve"> i energibransjen for å avdekke eventuelle </w:t>
      </w:r>
      <w:proofErr w:type="spellStart"/>
      <w:r w:rsidRPr="00CC19F7">
        <w:t>uklarheiter</w:t>
      </w:r>
      <w:proofErr w:type="spellEnd"/>
      <w:r w:rsidRPr="00CC19F7">
        <w:t xml:space="preserve"> i kraftrasjoneringsforskrifta. NVE har oppdatert </w:t>
      </w:r>
      <w:proofErr w:type="spellStart"/>
      <w:r w:rsidRPr="00CC19F7">
        <w:t>delar</w:t>
      </w:r>
      <w:proofErr w:type="spellEnd"/>
      <w:r w:rsidRPr="00CC19F7">
        <w:t xml:space="preserve"> av rettleiinga til kraftrasjoneringsforskrifta og vil </w:t>
      </w:r>
      <w:proofErr w:type="spellStart"/>
      <w:r w:rsidRPr="00CC19F7">
        <w:t>forbetre</w:t>
      </w:r>
      <w:proofErr w:type="spellEnd"/>
      <w:r w:rsidRPr="00CC19F7">
        <w:t xml:space="preserve"> både rettleiinga og forskrifta </w:t>
      </w:r>
      <w:proofErr w:type="spellStart"/>
      <w:r w:rsidRPr="00CC19F7">
        <w:t>vidare</w:t>
      </w:r>
      <w:proofErr w:type="spellEnd"/>
      <w:r w:rsidRPr="00CC19F7">
        <w:t xml:space="preserve"> i 2023. Nasjonal kommunikasjonsmyndigheit (</w:t>
      </w:r>
      <w:proofErr w:type="spellStart"/>
      <w:r w:rsidRPr="00CC19F7">
        <w:t>Nkom</w:t>
      </w:r>
      <w:proofErr w:type="spellEnd"/>
      <w:r w:rsidRPr="00CC19F7">
        <w:t xml:space="preserve">) har levert </w:t>
      </w:r>
      <w:proofErr w:type="spellStart"/>
      <w:r w:rsidRPr="00CC19F7">
        <w:t>ein</w:t>
      </w:r>
      <w:proofErr w:type="spellEnd"/>
      <w:r w:rsidRPr="00CC19F7">
        <w:t xml:space="preserve"> rapport om </w:t>
      </w:r>
      <w:proofErr w:type="gramStart"/>
      <w:r w:rsidRPr="00CC19F7">
        <w:t>robust</w:t>
      </w:r>
      <w:proofErr w:type="gramEnd"/>
      <w:r w:rsidRPr="00CC19F7">
        <w:t xml:space="preserve"> EKOM og straumforsyning. Rapporten er resultat av </w:t>
      </w:r>
      <w:proofErr w:type="spellStart"/>
      <w:r w:rsidRPr="00CC19F7">
        <w:t>eit</w:t>
      </w:r>
      <w:proofErr w:type="spellEnd"/>
      <w:r w:rsidRPr="00CC19F7">
        <w:t xml:space="preserve"> samarbeid med NVE og var ei oppfølging av Meld. St. 28 (2020–2021) </w:t>
      </w:r>
      <w:r w:rsidRPr="00CC19F7">
        <w:rPr>
          <w:rStyle w:val="kursiv"/>
        </w:rPr>
        <w:t>Vår felles digitale grunnmur</w:t>
      </w:r>
      <w:r w:rsidRPr="00CC19F7">
        <w:t xml:space="preserve">. NVE er i gang med å følge opp </w:t>
      </w:r>
      <w:proofErr w:type="spellStart"/>
      <w:r w:rsidRPr="00CC19F7">
        <w:t>anbefalingane</w:t>
      </w:r>
      <w:proofErr w:type="spellEnd"/>
      <w:r w:rsidRPr="00CC19F7">
        <w:t xml:space="preserve"> i rapporten. Dette arbeidet vil føre til betre samarbeid og informasjonsdeling mellom </w:t>
      </w:r>
      <w:proofErr w:type="spellStart"/>
      <w:r w:rsidRPr="00CC19F7">
        <w:t>sektorane</w:t>
      </w:r>
      <w:proofErr w:type="spellEnd"/>
      <w:r w:rsidRPr="00CC19F7">
        <w:t xml:space="preserve"> både i det </w:t>
      </w:r>
      <w:proofErr w:type="spellStart"/>
      <w:r w:rsidRPr="00CC19F7">
        <w:t>daglege</w:t>
      </w:r>
      <w:proofErr w:type="spellEnd"/>
      <w:r w:rsidRPr="00CC19F7">
        <w:t xml:space="preserve"> og ved </w:t>
      </w:r>
      <w:proofErr w:type="spellStart"/>
      <w:r w:rsidRPr="00CC19F7">
        <w:t>hendingar</w:t>
      </w:r>
      <w:proofErr w:type="spellEnd"/>
      <w:r w:rsidRPr="00CC19F7">
        <w:t>.</w:t>
      </w:r>
    </w:p>
    <w:p w14:paraId="1928DE20" w14:textId="77777777" w:rsidR="00FE02EF" w:rsidRPr="00CC19F7" w:rsidRDefault="00881E58" w:rsidP="00CC19F7">
      <w:r w:rsidRPr="00CC19F7">
        <w:t xml:space="preserve">Justis- og beredskapsdepartementet har avslutta </w:t>
      </w:r>
      <w:proofErr w:type="spellStart"/>
      <w:r w:rsidRPr="00CC19F7">
        <w:t>eit</w:t>
      </w:r>
      <w:proofErr w:type="spellEnd"/>
      <w:r w:rsidRPr="00CC19F7">
        <w:t xml:space="preserve"> arbeid med </w:t>
      </w:r>
      <w:proofErr w:type="spellStart"/>
      <w:r w:rsidRPr="00CC19F7">
        <w:t>ein</w:t>
      </w:r>
      <w:proofErr w:type="spellEnd"/>
      <w:r w:rsidRPr="00CC19F7">
        <w:t xml:space="preserve"> nasjonal gjennomgang av </w:t>
      </w:r>
      <w:proofErr w:type="spellStart"/>
      <w:r w:rsidRPr="00CC19F7">
        <w:t>elsikkerheitsområdet</w:t>
      </w:r>
      <w:proofErr w:type="spellEnd"/>
      <w:r w:rsidRPr="00CC19F7">
        <w:t xml:space="preserve"> der NVE deltok.</w:t>
      </w:r>
    </w:p>
    <w:p w14:paraId="4FDE404D" w14:textId="77777777" w:rsidR="00FE02EF" w:rsidRPr="00CC19F7" w:rsidRDefault="00881E58" w:rsidP="00CC19F7">
      <w:r w:rsidRPr="00CC19F7">
        <w:t xml:space="preserve">Nasjonal kraftforsyning er </w:t>
      </w:r>
      <w:proofErr w:type="spellStart"/>
      <w:r w:rsidRPr="00CC19F7">
        <w:t>utpeika</w:t>
      </w:r>
      <w:proofErr w:type="spellEnd"/>
      <w:r w:rsidRPr="00CC19F7">
        <w:t xml:space="preserve"> som </w:t>
      </w:r>
      <w:proofErr w:type="spellStart"/>
      <w:r w:rsidRPr="00CC19F7">
        <w:t>ein</w:t>
      </w:r>
      <w:proofErr w:type="spellEnd"/>
      <w:r w:rsidRPr="00CC19F7">
        <w:t xml:space="preserve"> </w:t>
      </w:r>
      <w:proofErr w:type="spellStart"/>
      <w:r w:rsidRPr="00CC19F7">
        <w:t>grunnleggande</w:t>
      </w:r>
      <w:proofErr w:type="spellEnd"/>
      <w:r w:rsidRPr="00CC19F7">
        <w:t xml:space="preserve"> nasjonal funksjon (GNF), og Statnett er underlagt </w:t>
      </w:r>
      <w:proofErr w:type="spellStart"/>
      <w:r w:rsidRPr="00CC19F7">
        <w:t>sikkerheitslova</w:t>
      </w:r>
      <w:proofErr w:type="spellEnd"/>
      <w:r w:rsidRPr="00CC19F7">
        <w:t xml:space="preserve">. NVE er </w:t>
      </w:r>
      <w:proofErr w:type="spellStart"/>
      <w:r w:rsidRPr="00CC19F7">
        <w:t>tilsynsmyndigheit</w:t>
      </w:r>
      <w:proofErr w:type="spellEnd"/>
      <w:r w:rsidRPr="00CC19F7">
        <w:t xml:space="preserve"> i kraftforsyninga etter </w:t>
      </w:r>
      <w:proofErr w:type="spellStart"/>
      <w:r w:rsidRPr="00CC19F7">
        <w:t>sikkerheitslova</w:t>
      </w:r>
      <w:proofErr w:type="spellEnd"/>
      <w:r w:rsidRPr="00CC19F7">
        <w:t xml:space="preserve"> og har hatt tett dialog med Statnett om sikringstiltak, </w:t>
      </w:r>
      <w:proofErr w:type="spellStart"/>
      <w:r w:rsidRPr="00CC19F7">
        <w:t>truslar</w:t>
      </w:r>
      <w:proofErr w:type="spellEnd"/>
      <w:r w:rsidRPr="00CC19F7">
        <w:t xml:space="preserve"> og </w:t>
      </w:r>
      <w:proofErr w:type="spellStart"/>
      <w:r w:rsidRPr="00CC19F7">
        <w:t>hendingar</w:t>
      </w:r>
      <w:proofErr w:type="spellEnd"/>
      <w:r w:rsidRPr="00CC19F7">
        <w:t>.</w:t>
      </w:r>
    </w:p>
    <w:p w14:paraId="1C55992D" w14:textId="77777777" w:rsidR="00FE02EF" w:rsidRPr="00CC19F7" w:rsidRDefault="00881E58" w:rsidP="00CC19F7">
      <w:proofErr w:type="spellStart"/>
      <w:r w:rsidRPr="00CC19F7">
        <w:t>Vidare</w:t>
      </w:r>
      <w:proofErr w:type="spellEnd"/>
      <w:r w:rsidRPr="00CC19F7">
        <w:t xml:space="preserve"> har NVE deltatt i arbeidsgruppa om IKT-</w:t>
      </w:r>
      <w:proofErr w:type="spellStart"/>
      <w:r w:rsidRPr="00CC19F7">
        <w:t>sikkerheit</w:t>
      </w:r>
      <w:proofErr w:type="spellEnd"/>
      <w:r w:rsidRPr="00CC19F7">
        <w:t xml:space="preserve"> </w:t>
      </w:r>
      <w:proofErr w:type="spellStart"/>
      <w:r w:rsidRPr="00CC19F7">
        <w:t>innanfor</w:t>
      </w:r>
      <w:proofErr w:type="spellEnd"/>
      <w:r w:rsidRPr="00CC19F7">
        <w:t xml:space="preserve"> Nordisk beredskapssamarbeid (</w:t>
      </w:r>
      <w:proofErr w:type="spellStart"/>
      <w:r w:rsidRPr="00CC19F7">
        <w:t>NordBER</w:t>
      </w:r>
      <w:proofErr w:type="spellEnd"/>
      <w:r w:rsidRPr="00CC19F7">
        <w:t xml:space="preserve">). Samarbeidet involverer </w:t>
      </w:r>
      <w:proofErr w:type="spellStart"/>
      <w:r w:rsidRPr="00CC19F7">
        <w:t>beredskapsmyndigheiter</w:t>
      </w:r>
      <w:proofErr w:type="spellEnd"/>
      <w:r w:rsidRPr="00CC19F7">
        <w:t xml:space="preserve"> og </w:t>
      </w:r>
      <w:proofErr w:type="spellStart"/>
      <w:r w:rsidRPr="00CC19F7">
        <w:t>systemansvarlege</w:t>
      </w:r>
      <w:proofErr w:type="spellEnd"/>
      <w:r w:rsidRPr="00CC19F7">
        <w:t xml:space="preserve"> nettselskap i </w:t>
      </w:r>
      <w:proofErr w:type="spellStart"/>
      <w:r w:rsidRPr="00CC19F7">
        <w:t>dei</w:t>
      </w:r>
      <w:proofErr w:type="spellEnd"/>
      <w:r w:rsidRPr="00CC19F7">
        <w:t xml:space="preserve"> nordiske landa og bidrar til ei felles forståing av </w:t>
      </w:r>
      <w:proofErr w:type="spellStart"/>
      <w:r w:rsidRPr="00CC19F7">
        <w:t>utfordringar</w:t>
      </w:r>
      <w:proofErr w:type="spellEnd"/>
      <w:r w:rsidRPr="00CC19F7">
        <w:t xml:space="preserve"> og </w:t>
      </w:r>
      <w:proofErr w:type="spellStart"/>
      <w:r w:rsidRPr="00CC19F7">
        <w:t>moglegheiter</w:t>
      </w:r>
      <w:proofErr w:type="spellEnd"/>
      <w:r w:rsidRPr="00CC19F7">
        <w:t xml:space="preserve"> i kraftforsyningsberedskapen.</w:t>
      </w:r>
    </w:p>
    <w:p w14:paraId="1AE2069A" w14:textId="77777777" w:rsidR="00FE02EF" w:rsidRPr="00CC19F7" w:rsidRDefault="00881E58" w:rsidP="00CC19F7">
      <w:r w:rsidRPr="00CC19F7">
        <w:t xml:space="preserve">NVE har ført </w:t>
      </w:r>
      <w:proofErr w:type="spellStart"/>
      <w:r w:rsidRPr="00CC19F7">
        <w:t>vidare</w:t>
      </w:r>
      <w:proofErr w:type="spellEnd"/>
      <w:r w:rsidRPr="00CC19F7">
        <w:t xml:space="preserve"> arbeidet med læring etter </w:t>
      </w:r>
      <w:proofErr w:type="spellStart"/>
      <w:r w:rsidRPr="00CC19F7">
        <w:t>øvingar</w:t>
      </w:r>
      <w:proofErr w:type="spellEnd"/>
      <w:r w:rsidRPr="00CC19F7">
        <w:t xml:space="preserve"> og </w:t>
      </w:r>
      <w:proofErr w:type="spellStart"/>
      <w:r w:rsidRPr="00CC19F7">
        <w:t>hendingar</w:t>
      </w:r>
      <w:proofErr w:type="spellEnd"/>
      <w:r w:rsidRPr="00CC19F7">
        <w:t xml:space="preserve"> ved systematisk å utvikle planverk og arrangere felles læringsarenaer. Våren 2022 deltok NVE </w:t>
      </w:r>
      <w:proofErr w:type="spellStart"/>
      <w:r w:rsidRPr="00CC19F7">
        <w:t>saman</w:t>
      </w:r>
      <w:proofErr w:type="spellEnd"/>
      <w:r w:rsidRPr="00CC19F7">
        <w:t xml:space="preserve"> med OED og Statnett i beredskapsøvinga </w:t>
      </w:r>
      <w:r w:rsidRPr="00CC19F7">
        <w:rPr>
          <w:rStyle w:val="kursiv"/>
        </w:rPr>
        <w:t>Øving Kraft</w:t>
      </w:r>
      <w:r w:rsidRPr="00CC19F7">
        <w:t xml:space="preserve">. NVE har starta arbeidet med å førebu </w:t>
      </w:r>
      <w:proofErr w:type="spellStart"/>
      <w:r w:rsidRPr="00CC19F7">
        <w:t>ein</w:t>
      </w:r>
      <w:proofErr w:type="spellEnd"/>
      <w:r w:rsidRPr="00CC19F7">
        <w:t xml:space="preserve"> revisjon av tilstandsvurderinga som blei gjennomført i 2021 på oppdrag </w:t>
      </w:r>
      <w:proofErr w:type="spellStart"/>
      <w:r w:rsidRPr="00CC19F7">
        <w:t>frå</w:t>
      </w:r>
      <w:proofErr w:type="spellEnd"/>
      <w:r w:rsidRPr="00CC19F7">
        <w:t xml:space="preserve"> departementet. I arbeidet finn </w:t>
      </w:r>
      <w:proofErr w:type="spellStart"/>
      <w:r w:rsidRPr="00CC19F7">
        <w:t>ein</w:t>
      </w:r>
      <w:proofErr w:type="spellEnd"/>
      <w:r w:rsidRPr="00CC19F7">
        <w:t xml:space="preserve"> </w:t>
      </w:r>
      <w:proofErr w:type="spellStart"/>
      <w:r w:rsidRPr="00CC19F7">
        <w:t>indikatorar</w:t>
      </w:r>
      <w:proofErr w:type="spellEnd"/>
      <w:r w:rsidRPr="00CC19F7">
        <w:t xml:space="preserve"> som over tid vil kunne </w:t>
      </w:r>
      <w:proofErr w:type="spellStart"/>
      <w:r w:rsidRPr="00CC19F7">
        <w:t>seie</w:t>
      </w:r>
      <w:proofErr w:type="spellEnd"/>
      <w:r w:rsidRPr="00CC19F7">
        <w:t xml:space="preserve"> </w:t>
      </w:r>
      <w:proofErr w:type="spellStart"/>
      <w:r w:rsidRPr="00CC19F7">
        <w:t>noko</w:t>
      </w:r>
      <w:proofErr w:type="spellEnd"/>
      <w:r w:rsidRPr="00CC19F7">
        <w:t xml:space="preserve"> om korleis tilstanden i kraftforsyninga </w:t>
      </w:r>
      <w:proofErr w:type="spellStart"/>
      <w:r w:rsidRPr="00CC19F7">
        <w:t>utviklar</w:t>
      </w:r>
      <w:proofErr w:type="spellEnd"/>
      <w:r w:rsidRPr="00CC19F7">
        <w:t xml:space="preserve"> seg. NVE vil framover bidra til å sørge for at IKT-</w:t>
      </w:r>
      <w:proofErr w:type="spellStart"/>
      <w:r w:rsidRPr="00CC19F7">
        <w:t>hendingar</w:t>
      </w:r>
      <w:proofErr w:type="spellEnd"/>
      <w:r w:rsidRPr="00CC19F7">
        <w:t xml:space="preserve"> </w:t>
      </w:r>
      <w:proofErr w:type="spellStart"/>
      <w:r w:rsidRPr="00CC19F7">
        <w:t>ikkje</w:t>
      </w:r>
      <w:proofErr w:type="spellEnd"/>
      <w:r w:rsidRPr="00CC19F7">
        <w:t xml:space="preserve"> gir </w:t>
      </w:r>
      <w:proofErr w:type="spellStart"/>
      <w:r w:rsidRPr="00CC19F7">
        <w:t>ein</w:t>
      </w:r>
      <w:proofErr w:type="spellEnd"/>
      <w:r w:rsidRPr="00CC19F7">
        <w:t xml:space="preserve"> </w:t>
      </w:r>
      <w:proofErr w:type="spellStart"/>
      <w:r w:rsidRPr="00CC19F7">
        <w:t>auka</w:t>
      </w:r>
      <w:proofErr w:type="spellEnd"/>
      <w:r w:rsidRPr="00CC19F7">
        <w:t xml:space="preserve"> risiko for kraftforsyninga.</w:t>
      </w:r>
    </w:p>
    <w:p w14:paraId="6C23FEB6" w14:textId="77777777" w:rsidR="00FE02EF" w:rsidRPr="00CC19F7" w:rsidRDefault="00881E58" w:rsidP="00CC19F7">
      <w:r w:rsidRPr="00CC19F7">
        <w:t xml:space="preserve">Departementet vurderer det slik at NVE gjennom sitt arbeid og sine </w:t>
      </w:r>
      <w:proofErr w:type="spellStart"/>
      <w:r w:rsidRPr="00CC19F7">
        <w:t>prioriteringar</w:t>
      </w:r>
      <w:proofErr w:type="spellEnd"/>
      <w:r w:rsidRPr="00CC19F7">
        <w:t xml:space="preserve"> har bidratt til å vareta </w:t>
      </w:r>
      <w:proofErr w:type="spellStart"/>
      <w:r w:rsidRPr="00CC19F7">
        <w:t>sikkerheit</w:t>
      </w:r>
      <w:proofErr w:type="spellEnd"/>
      <w:r w:rsidRPr="00CC19F7">
        <w:t xml:space="preserve"> og beredskap i kraftforsyninga i </w:t>
      </w:r>
      <w:proofErr w:type="spellStart"/>
      <w:r w:rsidRPr="00CC19F7">
        <w:t>ein</w:t>
      </w:r>
      <w:proofErr w:type="spellEnd"/>
      <w:r w:rsidRPr="00CC19F7">
        <w:t xml:space="preserve"> </w:t>
      </w:r>
      <w:proofErr w:type="spellStart"/>
      <w:r w:rsidRPr="00CC19F7">
        <w:t>krevjande</w:t>
      </w:r>
      <w:proofErr w:type="spellEnd"/>
      <w:r w:rsidRPr="00CC19F7">
        <w:t xml:space="preserve"> periode.</w:t>
      </w:r>
    </w:p>
    <w:p w14:paraId="3BEF71DF" w14:textId="77777777" w:rsidR="00FE02EF" w:rsidRPr="00CC19F7" w:rsidRDefault="00881E58" w:rsidP="00CC19F7">
      <w:pPr>
        <w:pStyle w:val="avsnitt-undertittel"/>
      </w:pPr>
      <w:r w:rsidRPr="00CC19F7">
        <w:t xml:space="preserve">Betre evna til å handtere </w:t>
      </w:r>
      <w:proofErr w:type="spellStart"/>
      <w:r w:rsidRPr="00CC19F7">
        <w:t>flaum</w:t>
      </w:r>
      <w:proofErr w:type="spellEnd"/>
      <w:r w:rsidRPr="00CC19F7">
        <w:t xml:space="preserve">- og skredrisiko i </w:t>
      </w:r>
      <w:proofErr w:type="spellStart"/>
      <w:r w:rsidRPr="00CC19F7">
        <w:t>eit</w:t>
      </w:r>
      <w:proofErr w:type="spellEnd"/>
      <w:r w:rsidRPr="00CC19F7">
        <w:t xml:space="preserve"> klima i endring</w:t>
      </w:r>
    </w:p>
    <w:p w14:paraId="6BF04543" w14:textId="77777777" w:rsidR="00FE02EF" w:rsidRPr="00CC19F7" w:rsidRDefault="00881E58" w:rsidP="00CC19F7">
      <w:r w:rsidRPr="00CC19F7">
        <w:t xml:space="preserve">I 2022 har NVE prioritert kartlegging og </w:t>
      </w:r>
      <w:proofErr w:type="spellStart"/>
      <w:r w:rsidRPr="00CC19F7">
        <w:t>tilgjengeleggjering</w:t>
      </w:r>
      <w:proofErr w:type="spellEnd"/>
      <w:r w:rsidRPr="00CC19F7">
        <w:t xml:space="preserve"> av grunnlagsdata. NVE har sett i gang </w:t>
      </w:r>
      <w:proofErr w:type="spellStart"/>
      <w:r w:rsidRPr="00CC19F7">
        <w:t>fleire</w:t>
      </w:r>
      <w:proofErr w:type="spellEnd"/>
      <w:r w:rsidRPr="00CC19F7">
        <w:t xml:space="preserve"> </w:t>
      </w:r>
      <w:proofErr w:type="spellStart"/>
      <w:r w:rsidRPr="00CC19F7">
        <w:t>utgreiingar</w:t>
      </w:r>
      <w:proofErr w:type="spellEnd"/>
      <w:r w:rsidRPr="00CC19F7">
        <w:t xml:space="preserve"> av kvikkleiresoner, mellom anna i </w:t>
      </w:r>
      <w:proofErr w:type="spellStart"/>
      <w:r w:rsidRPr="00CC19F7">
        <w:t>kommunane</w:t>
      </w:r>
      <w:proofErr w:type="spellEnd"/>
      <w:r w:rsidRPr="00CC19F7">
        <w:t xml:space="preserve"> Ullensaker, Nannestad og Gjerdrum, i tillegg til </w:t>
      </w:r>
      <w:proofErr w:type="spellStart"/>
      <w:r w:rsidRPr="00CC19F7">
        <w:t>grunnundersøkingar</w:t>
      </w:r>
      <w:proofErr w:type="spellEnd"/>
      <w:r w:rsidRPr="00CC19F7">
        <w:t xml:space="preserve"> i 33 kvikkleiresoner i </w:t>
      </w:r>
      <w:proofErr w:type="spellStart"/>
      <w:r w:rsidRPr="00CC19F7">
        <w:t>kommunar</w:t>
      </w:r>
      <w:proofErr w:type="spellEnd"/>
      <w:r w:rsidRPr="00CC19F7">
        <w:t xml:space="preserve"> i Trøndelag. NVE har også starta </w:t>
      </w:r>
      <w:proofErr w:type="spellStart"/>
      <w:r w:rsidRPr="00CC19F7">
        <w:t>eit</w:t>
      </w:r>
      <w:proofErr w:type="spellEnd"/>
      <w:r w:rsidRPr="00CC19F7">
        <w:t xml:space="preserve"> arbeid med å utvikle </w:t>
      </w:r>
      <w:proofErr w:type="spellStart"/>
      <w:r w:rsidRPr="00CC19F7">
        <w:t>ein</w:t>
      </w:r>
      <w:proofErr w:type="spellEnd"/>
      <w:r w:rsidRPr="00CC19F7">
        <w:t xml:space="preserve"> ny generasjon </w:t>
      </w:r>
      <w:proofErr w:type="spellStart"/>
      <w:r w:rsidRPr="00CC19F7">
        <w:t>aktsemdskart</w:t>
      </w:r>
      <w:proofErr w:type="spellEnd"/>
      <w:r w:rsidRPr="00CC19F7">
        <w:t xml:space="preserve"> som vil bli publiserte i 2023.</w:t>
      </w:r>
    </w:p>
    <w:p w14:paraId="7B9DFF97" w14:textId="77777777" w:rsidR="00FE02EF" w:rsidRPr="00CC19F7" w:rsidRDefault="00881E58" w:rsidP="00CC19F7">
      <w:r w:rsidRPr="00CC19F7">
        <w:t xml:space="preserve">Tilgang på laserdata for å lage detaljerte </w:t>
      </w:r>
      <w:proofErr w:type="spellStart"/>
      <w:r w:rsidRPr="00CC19F7">
        <w:t>høgdemodellar</w:t>
      </w:r>
      <w:proofErr w:type="spellEnd"/>
      <w:r w:rsidRPr="00CC19F7">
        <w:t xml:space="preserve"> er </w:t>
      </w:r>
      <w:proofErr w:type="spellStart"/>
      <w:r w:rsidRPr="00CC19F7">
        <w:t>vesentleg</w:t>
      </w:r>
      <w:proofErr w:type="spellEnd"/>
      <w:r w:rsidRPr="00CC19F7">
        <w:t xml:space="preserve"> for all farekartlegging. NVE bidrar både i </w:t>
      </w:r>
      <w:proofErr w:type="spellStart"/>
      <w:r w:rsidRPr="00CC19F7">
        <w:t>Geovekst</w:t>
      </w:r>
      <w:proofErr w:type="spellEnd"/>
      <w:r w:rsidRPr="00CC19F7">
        <w:t xml:space="preserve">-samarbeidet og i arbeidet med </w:t>
      </w:r>
      <w:r w:rsidRPr="00CC19F7">
        <w:rPr>
          <w:rStyle w:val="kursiv"/>
        </w:rPr>
        <w:t>Ny nasjonal detaljert høydemodell</w:t>
      </w:r>
      <w:r w:rsidRPr="00CC19F7">
        <w:t xml:space="preserve">, som blei fullført i 2022. I perioden 2021–2022 deltok NVE i </w:t>
      </w:r>
      <w:proofErr w:type="spellStart"/>
      <w:r w:rsidRPr="00CC19F7">
        <w:t>eit</w:t>
      </w:r>
      <w:proofErr w:type="spellEnd"/>
      <w:r w:rsidRPr="00CC19F7">
        <w:t xml:space="preserve"> FoU-samarbeid som har vurdert bruk av </w:t>
      </w:r>
      <w:proofErr w:type="spellStart"/>
      <w:r w:rsidRPr="00CC19F7">
        <w:t>grøn</w:t>
      </w:r>
      <w:proofErr w:type="spellEnd"/>
      <w:r w:rsidRPr="00CC19F7">
        <w:t xml:space="preserve"> laser (</w:t>
      </w:r>
      <w:r w:rsidRPr="00CC19F7">
        <w:rPr>
          <w:rStyle w:val="kursiv"/>
        </w:rPr>
        <w:t xml:space="preserve">Airborne </w:t>
      </w:r>
      <w:proofErr w:type="spellStart"/>
      <w:r w:rsidRPr="00CC19F7">
        <w:rPr>
          <w:rStyle w:val="kursiv"/>
        </w:rPr>
        <w:t>LiDAR</w:t>
      </w:r>
      <w:proofErr w:type="spellEnd"/>
      <w:r w:rsidRPr="00CC19F7">
        <w:rPr>
          <w:rStyle w:val="kursiv"/>
        </w:rPr>
        <w:t xml:space="preserve"> </w:t>
      </w:r>
      <w:proofErr w:type="spellStart"/>
      <w:r w:rsidRPr="00CC19F7">
        <w:rPr>
          <w:rStyle w:val="kursiv"/>
        </w:rPr>
        <w:t>Bathymetry</w:t>
      </w:r>
      <w:proofErr w:type="spellEnd"/>
      <w:r w:rsidRPr="00CC19F7">
        <w:t xml:space="preserve">) for å kartlegge sjø- og </w:t>
      </w:r>
      <w:proofErr w:type="spellStart"/>
      <w:r w:rsidRPr="00CC19F7">
        <w:t>elvebotn</w:t>
      </w:r>
      <w:proofErr w:type="spellEnd"/>
      <w:r w:rsidRPr="00CC19F7">
        <w:t xml:space="preserve">. </w:t>
      </w:r>
      <w:proofErr w:type="spellStart"/>
      <w:r w:rsidRPr="00CC19F7">
        <w:t>Hovudrapporten</w:t>
      </w:r>
      <w:proofErr w:type="spellEnd"/>
      <w:r w:rsidRPr="00CC19F7">
        <w:t xml:space="preserve"> kjem i 2023.</w:t>
      </w:r>
    </w:p>
    <w:p w14:paraId="7763458E" w14:textId="77777777" w:rsidR="00FE02EF" w:rsidRPr="00CC19F7" w:rsidRDefault="00881E58" w:rsidP="00CC19F7">
      <w:r w:rsidRPr="00CC19F7">
        <w:t xml:space="preserve">NVE har </w:t>
      </w:r>
      <w:proofErr w:type="spellStart"/>
      <w:r w:rsidRPr="00CC19F7">
        <w:t>halde</w:t>
      </w:r>
      <w:proofErr w:type="spellEnd"/>
      <w:r w:rsidRPr="00CC19F7">
        <w:t xml:space="preserve"> fram arbeidet med å samle inn og </w:t>
      </w:r>
      <w:proofErr w:type="spellStart"/>
      <w:r w:rsidRPr="00CC19F7">
        <w:t>gjere</w:t>
      </w:r>
      <w:proofErr w:type="spellEnd"/>
      <w:r w:rsidRPr="00CC19F7">
        <w:t xml:space="preserve"> </w:t>
      </w:r>
      <w:proofErr w:type="spellStart"/>
      <w:r w:rsidRPr="00CC19F7">
        <w:t>tilgjengeleg</w:t>
      </w:r>
      <w:proofErr w:type="spellEnd"/>
      <w:r w:rsidRPr="00CC19F7">
        <w:t xml:space="preserve"> </w:t>
      </w:r>
      <w:proofErr w:type="spellStart"/>
      <w:r w:rsidRPr="00CC19F7">
        <w:t>fareutgreiingar</w:t>
      </w:r>
      <w:proofErr w:type="spellEnd"/>
      <w:r w:rsidRPr="00CC19F7">
        <w:t xml:space="preserve">, oversikter over faresoner og geotekniske </w:t>
      </w:r>
      <w:proofErr w:type="spellStart"/>
      <w:r w:rsidRPr="00CC19F7">
        <w:t>grunnundersøkingar</w:t>
      </w:r>
      <w:proofErr w:type="spellEnd"/>
      <w:r w:rsidRPr="00CC19F7">
        <w:t xml:space="preserve"> som andre </w:t>
      </w:r>
      <w:proofErr w:type="spellStart"/>
      <w:r w:rsidRPr="00CC19F7">
        <w:t>aktørar</w:t>
      </w:r>
      <w:proofErr w:type="spellEnd"/>
      <w:r w:rsidRPr="00CC19F7">
        <w:t xml:space="preserve"> har gjennomført. Det </w:t>
      </w:r>
      <w:proofErr w:type="spellStart"/>
      <w:r w:rsidRPr="00CC19F7">
        <w:t>gjeld</w:t>
      </w:r>
      <w:proofErr w:type="spellEnd"/>
      <w:r w:rsidRPr="00CC19F7">
        <w:t xml:space="preserve"> både for </w:t>
      </w:r>
      <w:proofErr w:type="spellStart"/>
      <w:r w:rsidRPr="00CC19F7">
        <w:t>flaumfare</w:t>
      </w:r>
      <w:proofErr w:type="spellEnd"/>
      <w:r w:rsidRPr="00CC19F7">
        <w:t xml:space="preserve">, fare for skred i bratt terreng og fare for kvikkleireskred. NVE har også bistått Olje- og energidepartementet med utgreiing av lov- og forskriftsforslag om pliktig innmelding av </w:t>
      </w:r>
      <w:proofErr w:type="spellStart"/>
      <w:r w:rsidRPr="00CC19F7">
        <w:t>naturfareutgreiingar</w:t>
      </w:r>
      <w:proofErr w:type="spellEnd"/>
      <w:r w:rsidRPr="00CC19F7">
        <w:t xml:space="preserve"> og </w:t>
      </w:r>
      <w:proofErr w:type="spellStart"/>
      <w:r w:rsidRPr="00CC19F7">
        <w:t>grunnundersøkingar</w:t>
      </w:r>
      <w:proofErr w:type="spellEnd"/>
      <w:r w:rsidRPr="00CC19F7">
        <w:t>.</w:t>
      </w:r>
    </w:p>
    <w:p w14:paraId="3670429C" w14:textId="77777777" w:rsidR="00FE02EF" w:rsidRPr="00CC19F7" w:rsidRDefault="00881E58" w:rsidP="00CC19F7">
      <w:r w:rsidRPr="00CC19F7">
        <w:t xml:space="preserve">Saman med Landbruksdirektoratet har NVE også levert forslag til </w:t>
      </w:r>
      <w:proofErr w:type="spellStart"/>
      <w:r w:rsidRPr="00CC19F7">
        <w:t>ein</w:t>
      </w:r>
      <w:proofErr w:type="spellEnd"/>
      <w:r w:rsidRPr="00CC19F7">
        <w:t xml:space="preserve"> forvaltningsmodell for </w:t>
      </w:r>
      <w:proofErr w:type="spellStart"/>
      <w:r w:rsidRPr="00CC19F7">
        <w:t>vernskog</w:t>
      </w:r>
      <w:proofErr w:type="spellEnd"/>
      <w:r w:rsidRPr="00CC19F7">
        <w:t xml:space="preserve"> mot naturskade til Landbruks- og matdepartementet.</w:t>
      </w:r>
    </w:p>
    <w:p w14:paraId="0BB8356A" w14:textId="77777777" w:rsidR="00FE02EF" w:rsidRPr="00CC19F7" w:rsidRDefault="00881E58" w:rsidP="00CC19F7">
      <w:r w:rsidRPr="00CC19F7">
        <w:t xml:space="preserve">Ordninga med </w:t>
      </w:r>
      <w:proofErr w:type="spellStart"/>
      <w:r w:rsidRPr="00CC19F7">
        <w:t>tilskot</w:t>
      </w:r>
      <w:proofErr w:type="spellEnd"/>
      <w:r w:rsidRPr="00CC19F7">
        <w:t xml:space="preserve"> for å kartlegge kritiske punkt i bekker og bratte vassdrag er ført </w:t>
      </w:r>
      <w:proofErr w:type="spellStart"/>
      <w:r w:rsidRPr="00CC19F7">
        <w:t>vidare</w:t>
      </w:r>
      <w:proofErr w:type="spellEnd"/>
      <w:r w:rsidRPr="00CC19F7">
        <w:t xml:space="preserve">. I 2022 blei det utbetalt om lag 500 000 kroner i </w:t>
      </w:r>
      <w:proofErr w:type="spellStart"/>
      <w:r w:rsidRPr="00CC19F7">
        <w:t>tilskot</w:t>
      </w:r>
      <w:proofErr w:type="spellEnd"/>
      <w:r w:rsidRPr="00CC19F7">
        <w:t xml:space="preserve"> og gitt fire nye </w:t>
      </w:r>
      <w:proofErr w:type="spellStart"/>
      <w:r w:rsidRPr="00CC19F7">
        <w:t>tilsegner</w:t>
      </w:r>
      <w:proofErr w:type="spellEnd"/>
      <w:r w:rsidRPr="00CC19F7">
        <w:t>.</w:t>
      </w:r>
    </w:p>
    <w:p w14:paraId="34E5D5B6" w14:textId="77777777" w:rsidR="00FE02EF" w:rsidRPr="00CC19F7" w:rsidRDefault="00881E58" w:rsidP="00CC19F7">
      <w:r w:rsidRPr="00CC19F7">
        <w:t xml:space="preserve">NVE har gitt </w:t>
      </w:r>
      <w:proofErr w:type="spellStart"/>
      <w:r w:rsidRPr="00CC19F7">
        <w:t>meir</w:t>
      </w:r>
      <w:proofErr w:type="spellEnd"/>
      <w:r w:rsidRPr="00CC19F7">
        <w:t xml:space="preserve"> enn 5 000 </w:t>
      </w:r>
      <w:proofErr w:type="spellStart"/>
      <w:r w:rsidRPr="00CC19F7">
        <w:t>innspel</w:t>
      </w:r>
      <w:proofErr w:type="spellEnd"/>
      <w:r w:rsidRPr="00CC19F7">
        <w:t xml:space="preserve"> og fråsegner til arealplan- og dispensasjonssaker. Dette er </w:t>
      </w:r>
      <w:proofErr w:type="spellStart"/>
      <w:r w:rsidRPr="00CC19F7">
        <w:t>ein</w:t>
      </w:r>
      <w:proofErr w:type="spellEnd"/>
      <w:r w:rsidRPr="00CC19F7">
        <w:t xml:space="preserve"> liten nedgang </w:t>
      </w:r>
      <w:proofErr w:type="spellStart"/>
      <w:r w:rsidRPr="00CC19F7">
        <w:t>frå</w:t>
      </w:r>
      <w:proofErr w:type="spellEnd"/>
      <w:r w:rsidRPr="00CC19F7">
        <w:t xml:space="preserve"> året før. I enkelte saker har det </w:t>
      </w:r>
      <w:proofErr w:type="spellStart"/>
      <w:r w:rsidRPr="00CC19F7">
        <w:t>vore</w:t>
      </w:r>
      <w:proofErr w:type="spellEnd"/>
      <w:r w:rsidRPr="00CC19F7">
        <w:t xml:space="preserve"> kort frist for å fremme </w:t>
      </w:r>
      <w:proofErr w:type="spellStart"/>
      <w:r w:rsidRPr="00CC19F7">
        <w:t>motsegn</w:t>
      </w:r>
      <w:proofErr w:type="spellEnd"/>
      <w:r w:rsidRPr="00CC19F7">
        <w:t xml:space="preserve">, </w:t>
      </w:r>
      <w:proofErr w:type="spellStart"/>
      <w:r w:rsidRPr="00CC19F7">
        <w:t>noko</w:t>
      </w:r>
      <w:proofErr w:type="spellEnd"/>
      <w:r w:rsidRPr="00CC19F7">
        <w:t xml:space="preserve"> som </w:t>
      </w:r>
      <w:proofErr w:type="spellStart"/>
      <w:r w:rsidRPr="00CC19F7">
        <w:t>gjer</w:t>
      </w:r>
      <w:proofErr w:type="spellEnd"/>
      <w:r w:rsidRPr="00CC19F7">
        <w:t xml:space="preserve"> at NVE i staden har gitt </w:t>
      </w:r>
      <w:proofErr w:type="spellStart"/>
      <w:r w:rsidRPr="00CC19F7">
        <w:t>faglege</w:t>
      </w:r>
      <w:proofErr w:type="spellEnd"/>
      <w:r w:rsidRPr="00CC19F7">
        <w:t xml:space="preserve"> råd.</w:t>
      </w:r>
    </w:p>
    <w:p w14:paraId="7044756A" w14:textId="77777777" w:rsidR="00FE02EF" w:rsidRPr="00CC19F7" w:rsidRDefault="00881E58" w:rsidP="00CC19F7">
      <w:r w:rsidRPr="00CC19F7">
        <w:t xml:space="preserve">NVE har arbeidd </w:t>
      </w:r>
      <w:proofErr w:type="spellStart"/>
      <w:r w:rsidRPr="00CC19F7">
        <w:t>vidare</w:t>
      </w:r>
      <w:proofErr w:type="spellEnd"/>
      <w:r w:rsidRPr="00CC19F7">
        <w:t xml:space="preserve"> med verktøy og hjelpemiddel når det </w:t>
      </w:r>
      <w:proofErr w:type="spellStart"/>
      <w:r w:rsidRPr="00CC19F7">
        <w:t>gjeld</w:t>
      </w:r>
      <w:proofErr w:type="spellEnd"/>
      <w:r w:rsidRPr="00CC19F7">
        <w:t xml:space="preserve"> arealplanlegging. Dette er viktig for at </w:t>
      </w:r>
      <w:proofErr w:type="spellStart"/>
      <w:r w:rsidRPr="00CC19F7">
        <w:t>kommunar</w:t>
      </w:r>
      <w:proofErr w:type="spellEnd"/>
      <w:r w:rsidRPr="00CC19F7">
        <w:t xml:space="preserve">, </w:t>
      </w:r>
      <w:proofErr w:type="spellStart"/>
      <w:r w:rsidRPr="00CC19F7">
        <w:t>konsulentar</w:t>
      </w:r>
      <w:proofErr w:type="spellEnd"/>
      <w:r w:rsidRPr="00CC19F7">
        <w:t xml:space="preserve"> og </w:t>
      </w:r>
      <w:proofErr w:type="spellStart"/>
      <w:r w:rsidRPr="00CC19F7">
        <w:t>utbyggarar</w:t>
      </w:r>
      <w:proofErr w:type="spellEnd"/>
      <w:r w:rsidRPr="00CC19F7">
        <w:t xml:space="preserve"> kan ta omsyn til </w:t>
      </w:r>
      <w:proofErr w:type="spellStart"/>
      <w:r w:rsidRPr="00CC19F7">
        <w:t>naturfare</w:t>
      </w:r>
      <w:proofErr w:type="spellEnd"/>
      <w:r w:rsidRPr="00CC19F7">
        <w:t xml:space="preserve"> i planlegginga. I 2022 har NVE mellom anna publisert ei rettleiing om overvatn og utarbeidd </w:t>
      </w:r>
      <w:proofErr w:type="spellStart"/>
      <w:r w:rsidRPr="00CC19F7">
        <w:t>ein</w:t>
      </w:r>
      <w:proofErr w:type="spellEnd"/>
      <w:r w:rsidRPr="00CC19F7">
        <w:t xml:space="preserve"> </w:t>
      </w:r>
      <w:proofErr w:type="spellStart"/>
      <w:r w:rsidRPr="00CC19F7">
        <w:t>rettleiar</w:t>
      </w:r>
      <w:proofErr w:type="spellEnd"/>
      <w:r w:rsidRPr="00CC19F7">
        <w:t xml:space="preserve"> for </w:t>
      </w:r>
      <w:proofErr w:type="spellStart"/>
      <w:r w:rsidRPr="00CC19F7">
        <w:t>sikkerheit</w:t>
      </w:r>
      <w:proofErr w:type="spellEnd"/>
      <w:r w:rsidRPr="00CC19F7">
        <w:t xml:space="preserve"> mot </w:t>
      </w:r>
      <w:proofErr w:type="spellStart"/>
      <w:r w:rsidRPr="00CC19F7">
        <w:t>flaum</w:t>
      </w:r>
      <w:proofErr w:type="spellEnd"/>
      <w:r w:rsidRPr="00CC19F7">
        <w:t xml:space="preserve"> knytt til reguleringsplan og byggesak.</w:t>
      </w:r>
    </w:p>
    <w:p w14:paraId="0D595C98" w14:textId="77777777" w:rsidR="00FE02EF" w:rsidRPr="00CC19F7" w:rsidRDefault="00881E58" w:rsidP="00CC19F7">
      <w:r w:rsidRPr="00CC19F7">
        <w:t xml:space="preserve">NVE har særskilt prioritert opplæring og rettleiing av </w:t>
      </w:r>
      <w:proofErr w:type="spellStart"/>
      <w:r w:rsidRPr="00CC19F7">
        <w:t>kommunar</w:t>
      </w:r>
      <w:proofErr w:type="spellEnd"/>
      <w:r w:rsidRPr="00CC19F7">
        <w:t xml:space="preserve"> med store </w:t>
      </w:r>
      <w:proofErr w:type="spellStart"/>
      <w:r w:rsidRPr="00CC19F7">
        <w:t>utfordringar</w:t>
      </w:r>
      <w:proofErr w:type="spellEnd"/>
      <w:r w:rsidRPr="00CC19F7">
        <w:t xml:space="preserve"> og bidratt på kommunale, regionale og nasjonale arrangement. I plansaker har NVE prioritert å gi fråsegn der kommunen </w:t>
      </w:r>
      <w:proofErr w:type="spellStart"/>
      <w:r w:rsidRPr="00CC19F7">
        <w:t>sjølv</w:t>
      </w:r>
      <w:proofErr w:type="spellEnd"/>
      <w:r w:rsidRPr="00CC19F7">
        <w:t xml:space="preserve"> har bedt om bistand, og i tillegg prioritert </w:t>
      </w:r>
      <w:proofErr w:type="spellStart"/>
      <w:r w:rsidRPr="00CC19F7">
        <w:t>kommunar</w:t>
      </w:r>
      <w:proofErr w:type="spellEnd"/>
      <w:r w:rsidRPr="00CC19F7">
        <w:t xml:space="preserve"> med </w:t>
      </w:r>
      <w:proofErr w:type="spellStart"/>
      <w:r w:rsidRPr="00CC19F7">
        <w:t>høg</w:t>
      </w:r>
      <w:proofErr w:type="spellEnd"/>
      <w:r w:rsidRPr="00CC19F7">
        <w:t xml:space="preserve"> risiko for </w:t>
      </w:r>
      <w:proofErr w:type="spellStart"/>
      <w:r w:rsidRPr="00CC19F7">
        <w:t>naturfare</w:t>
      </w:r>
      <w:proofErr w:type="spellEnd"/>
      <w:r w:rsidRPr="00CC19F7">
        <w:t xml:space="preserve"> eller andre interesser </w:t>
      </w:r>
      <w:proofErr w:type="spellStart"/>
      <w:r w:rsidRPr="00CC19F7">
        <w:t>innanfor</w:t>
      </w:r>
      <w:proofErr w:type="spellEnd"/>
      <w:r w:rsidRPr="00CC19F7">
        <w:t xml:space="preserve"> ansvarsområdet til NVE. Formidling, rettleiing og </w:t>
      </w:r>
      <w:proofErr w:type="spellStart"/>
      <w:r w:rsidRPr="00CC19F7">
        <w:t>innspel</w:t>
      </w:r>
      <w:proofErr w:type="spellEnd"/>
      <w:r w:rsidRPr="00CC19F7">
        <w:t xml:space="preserve"> </w:t>
      </w:r>
      <w:proofErr w:type="spellStart"/>
      <w:r w:rsidRPr="00CC19F7">
        <w:t>frå</w:t>
      </w:r>
      <w:proofErr w:type="spellEnd"/>
      <w:r w:rsidRPr="00CC19F7">
        <w:t xml:space="preserve"> NVE til </w:t>
      </w:r>
      <w:proofErr w:type="spellStart"/>
      <w:r w:rsidRPr="00CC19F7">
        <w:t>dei</w:t>
      </w:r>
      <w:proofErr w:type="spellEnd"/>
      <w:r w:rsidRPr="00CC19F7">
        <w:t xml:space="preserve"> enkelte </w:t>
      </w:r>
      <w:proofErr w:type="spellStart"/>
      <w:r w:rsidRPr="00CC19F7">
        <w:t>arealplanane</w:t>
      </w:r>
      <w:proofErr w:type="spellEnd"/>
      <w:r w:rsidRPr="00CC19F7">
        <w:t xml:space="preserve"> har bidratt til at </w:t>
      </w:r>
      <w:proofErr w:type="spellStart"/>
      <w:r w:rsidRPr="00CC19F7">
        <w:t>kommunane</w:t>
      </w:r>
      <w:proofErr w:type="spellEnd"/>
      <w:r w:rsidRPr="00CC19F7">
        <w:t xml:space="preserve"> i </w:t>
      </w:r>
      <w:proofErr w:type="spellStart"/>
      <w:r w:rsidRPr="00CC19F7">
        <w:t>aukande</w:t>
      </w:r>
      <w:proofErr w:type="spellEnd"/>
      <w:r w:rsidRPr="00CC19F7">
        <w:t xml:space="preserve"> grad tar omsyn til </w:t>
      </w:r>
      <w:proofErr w:type="spellStart"/>
      <w:r w:rsidRPr="00CC19F7">
        <w:t>flaum</w:t>
      </w:r>
      <w:proofErr w:type="spellEnd"/>
      <w:r w:rsidRPr="00CC19F7">
        <w:t>- og skredfare i arealplanlegginga.</w:t>
      </w:r>
    </w:p>
    <w:p w14:paraId="3841FB13" w14:textId="77777777" w:rsidR="00FE02EF" w:rsidRPr="00CC19F7" w:rsidRDefault="00881E58" w:rsidP="00CC19F7">
      <w:r w:rsidRPr="00CC19F7">
        <w:t xml:space="preserve">Det er mange bustadområde i </w:t>
      </w:r>
      <w:proofErr w:type="spellStart"/>
      <w:r w:rsidRPr="00CC19F7">
        <w:t>Noreg</w:t>
      </w:r>
      <w:proofErr w:type="spellEnd"/>
      <w:r w:rsidRPr="00CC19F7">
        <w:t xml:space="preserve"> som ligg utsett til, og som kan bli ramma av </w:t>
      </w:r>
      <w:proofErr w:type="spellStart"/>
      <w:r w:rsidRPr="00CC19F7">
        <w:t>flaum</w:t>
      </w:r>
      <w:proofErr w:type="spellEnd"/>
      <w:r w:rsidRPr="00CC19F7">
        <w:t xml:space="preserve">- og </w:t>
      </w:r>
      <w:proofErr w:type="spellStart"/>
      <w:r w:rsidRPr="00CC19F7">
        <w:t>skredhendingar</w:t>
      </w:r>
      <w:proofErr w:type="spellEnd"/>
      <w:r w:rsidRPr="00CC19F7">
        <w:t xml:space="preserve">. NVEs arbeid med sikringstiltak har </w:t>
      </w:r>
      <w:proofErr w:type="spellStart"/>
      <w:r w:rsidRPr="00CC19F7">
        <w:t>vore</w:t>
      </w:r>
      <w:proofErr w:type="spellEnd"/>
      <w:r w:rsidRPr="00CC19F7">
        <w:t xml:space="preserve"> prega av oppfølging etter </w:t>
      </w:r>
      <w:proofErr w:type="spellStart"/>
      <w:r w:rsidRPr="00CC19F7">
        <w:t>hendingar</w:t>
      </w:r>
      <w:proofErr w:type="spellEnd"/>
      <w:r w:rsidRPr="00CC19F7">
        <w:t xml:space="preserve"> og stor aktivitet med ordinære tiltak. I 2022 blei det sluttført 34 sikrings- og miljøtiltak mot </w:t>
      </w:r>
      <w:proofErr w:type="spellStart"/>
      <w:r w:rsidRPr="00CC19F7">
        <w:t>flaum</w:t>
      </w:r>
      <w:proofErr w:type="spellEnd"/>
      <w:r w:rsidRPr="00CC19F7">
        <w:t xml:space="preserve"> og skred, der til </w:t>
      </w:r>
      <w:proofErr w:type="spellStart"/>
      <w:r w:rsidRPr="00CC19F7">
        <w:t>saman</w:t>
      </w:r>
      <w:proofErr w:type="spellEnd"/>
      <w:r w:rsidRPr="00CC19F7">
        <w:t xml:space="preserve"> rundt 1 040 </w:t>
      </w:r>
      <w:proofErr w:type="spellStart"/>
      <w:r w:rsidRPr="00CC19F7">
        <w:t>bueiningar</w:t>
      </w:r>
      <w:proofErr w:type="spellEnd"/>
      <w:r w:rsidRPr="00CC19F7">
        <w:t xml:space="preserve"> og i underkant av 200 bygg blei sikra. </w:t>
      </w:r>
      <w:proofErr w:type="spellStart"/>
      <w:r w:rsidRPr="00CC19F7">
        <w:t>Fleire</w:t>
      </w:r>
      <w:proofErr w:type="spellEnd"/>
      <w:r w:rsidRPr="00CC19F7">
        <w:t xml:space="preserve"> tiltak er under gjennomføring.</w:t>
      </w:r>
    </w:p>
    <w:p w14:paraId="5649E929" w14:textId="77777777" w:rsidR="00FE02EF" w:rsidRPr="00CC19F7" w:rsidRDefault="00881E58" w:rsidP="00CC19F7">
      <w:r w:rsidRPr="00CC19F7">
        <w:t xml:space="preserve">Blant tiltak som blei ferdigstilte, var </w:t>
      </w:r>
      <w:proofErr w:type="spellStart"/>
      <w:r w:rsidRPr="00CC19F7">
        <w:t>flaumsikring</w:t>
      </w:r>
      <w:proofErr w:type="spellEnd"/>
      <w:r w:rsidRPr="00CC19F7">
        <w:t xml:space="preserve"> av tettstaden Brandbu i Gran kommune og sikring mot </w:t>
      </w:r>
      <w:proofErr w:type="spellStart"/>
      <w:r w:rsidRPr="00CC19F7">
        <w:t>flaumskred</w:t>
      </w:r>
      <w:proofErr w:type="spellEnd"/>
      <w:r w:rsidRPr="00CC19F7">
        <w:t xml:space="preserve"> ved tettstaden Sande i Sunnfjord kommune. Det har også blitt </w:t>
      </w:r>
      <w:proofErr w:type="spellStart"/>
      <w:r w:rsidRPr="00CC19F7">
        <w:t>arbeidd</w:t>
      </w:r>
      <w:proofErr w:type="spellEnd"/>
      <w:r w:rsidRPr="00CC19F7">
        <w:t xml:space="preserve"> med større sikringstiltak mot kvikkleireskred i Melhus kommune og med </w:t>
      </w:r>
      <w:proofErr w:type="spellStart"/>
      <w:r w:rsidRPr="00CC19F7">
        <w:t>flaumsikring</w:t>
      </w:r>
      <w:proofErr w:type="spellEnd"/>
      <w:r w:rsidRPr="00CC19F7">
        <w:t xml:space="preserve"> i Drammen og i Verdal kommune.</w:t>
      </w:r>
    </w:p>
    <w:p w14:paraId="6C829AE4" w14:textId="77777777" w:rsidR="00FE02EF" w:rsidRPr="00CC19F7" w:rsidRDefault="00881E58" w:rsidP="00CC19F7">
      <w:r w:rsidRPr="00CC19F7">
        <w:t xml:space="preserve">NVE gir </w:t>
      </w:r>
      <w:proofErr w:type="spellStart"/>
      <w:r w:rsidRPr="00CC19F7">
        <w:t>faglege</w:t>
      </w:r>
      <w:proofErr w:type="spellEnd"/>
      <w:r w:rsidRPr="00CC19F7">
        <w:t xml:space="preserve"> råd til </w:t>
      </w:r>
      <w:proofErr w:type="spellStart"/>
      <w:r w:rsidRPr="00CC19F7">
        <w:t>kommunar</w:t>
      </w:r>
      <w:proofErr w:type="spellEnd"/>
      <w:r w:rsidRPr="00CC19F7">
        <w:t xml:space="preserve">, </w:t>
      </w:r>
      <w:proofErr w:type="spellStart"/>
      <w:r w:rsidRPr="00CC19F7">
        <w:t>statsforvaltarar</w:t>
      </w:r>
      <w:proofErr w:type="spellEnd"/>
      <w:r w:rsidRPr="00CC19F7">
        <w:t xml:space="preserve"> og </w:t>
      </w:r>
      <w:proofErr w:type="spellStart"/>
      <w:r w:rsidRPr="00CC19F7">
        <w:t>nødetatar</w:t>
      </w:r>
      <w:proofErr w:type="spellEnd"/>
      <w:r w:rsidRPr="00CC19F7">
        <w:t xml:space="preserve"> om tiltak som flytting, evakuering, innhenting av </w:t>
      </w:r>
      <w:proofErr w:type="spellStart"/>
      <w:r w:rsidRPr="00CC19F7">
        <w:t>fagleg</w:t>
      </w:r>
      <w:proofErr w:type="spellEnd"/>
      <w:r w:rsidRPr="00CC19F7">
        <w:t xml:space="preserve"> bistand, tekniske </w:t>
      </w:r>
      <w:proofErr w:type="spellStart"/>
      <w:r w:rsidRPr="00CC19F7">
        <w:t>undersøkingar</w:t>
      </w:r>
      <w:proofErr w:type="spellEnd"/>
      <w:r w:rsidRPr="00CC19F7">
        <w:t xml:space="preserve"> og eventuelle fysiske tiltak. Kvikkleireskredet på Ask i Gjerdrum kommune 30. desember 2020 har prega </w:t>
      </w:r>
      <w:proofErr w:type="spellStart"/>
      <w:r w:rsidRPr="00CC19F7">
        <w:t>prioriteringane</w:t>
      </w:r>
      <w:proofErr w:type="spellEnd"/>
      <w:r w:rsidRPr="00CC19F7">
        <w:t xml:space="preserve"> til NVE både i 2021 og i 2022. Etter akuttfasen starta </w:t>
      </w:r>
      <w:proofErr w:type="spellStart"/>
      <w:r w:rsidRPr="00CC19F7">
        <w:t>eit</w:t>
      </w:r>
      <w:proofErr w:type="spellEnd"/>
      <w:r w:rsidRPr="00CC19F7">
        <w:t xml:space="preserve"> </w:t>
      </w:r>
      <w:proofErr w:type="spellStart"/>
      <w:r w:rsidRPr="00CC19F7">
        <w:t>omfattande</w:t>
      </w:r>
      <w:proofErr w:type="spellEnd"/>
      <w:r w:rsidRPr="00CC19F7">
        <w:t xml:space="preserve"> arbeid med å sikre det store skredområdet. Dette arbeidet vil i </w:t>
      </w:r>
      <w:proofErr w:type="spellStart"/>
      <w:r w:rsidRPr="00CC19F7">
        <w:t>hovudsak</w:t>
      </w:r>
      <w:proofErr w:type="spellEnd"/>
      <w:r w:rsidRPr="00CC19F7">
        <w:t xml:space="preserve"> </w:t>
      </w:r>
      <w:proofErr w:type="spellStart"/>
      <w:r w:rsidRPr="00CC19F7">
        <w:t>vere</w:t>
      </w:r>
      <w:proofErr w:type="spellEnd"/>
      <w:r w:rsidRPr="00CC19F7">
        <w:t xml:space="preserve"> ferdig i 2023.</w:t>
      </w:r>
    </w:p>
    <w:p w14:paraId="697D043A" w14:textId="77777777" w:rsidR="00FE02EF" w:rsidRPr="00CC19F7" w:rsidRDefault="00881E58" w:rsidP="00CC19F7">
      <w:r w:rsidRPr="00CC19F7">
        <w:t xml:space="preserve">NVE har </w:t>
      </w:r>
      <w:proofErr w:type="spellStart"/>
      <w:r w:rsidRPr="00CC19F7">
        <w:t>arbeidd</w:t>
      </w:r>
      <w:proofErr w:type="spellEnd"/>
      <w:r w:rsidRPr="00CC19F7">
        <w:t xml:space="preserve"> tett med lokalstyret og </w:t>
      </w:r>
      <w:proofErr w:type="spellStart"/>
      <w:r w:rsidRPr="00CC19F7">
        <w:t>Sysselmeisteren</w:t>
      </w:r>
      <w:proofErr w:type="spellEnd"/>
      <w:r w:rsidRPr="00CC19F7">
        <w:t xml:space="preserve"> på Svalbard etter </w:t>
      </w:r>
      <w:proofErr w:type="spellStart"/>
      <w:r w:rsidRPr="00CC19F7">
        <w:t>skredhendingane</w:t>
      </w:r>
      <w:proofErr w:type="spellEnd"/>
      <w:r w:rsidRPr="00CC19F7">
        <w:t xml:space="preserve"> i 2015 og 2017, og fullført </w:t>
      </w:r>
      <w:proofErr w:type="spellStart"/>
      <w:r w:rsidRPr="00CC19F7">
        <w:t>fleire</w:t>
      </w:r>
      <w:proofErr w:type="spellEnd"/>
      <w:r w:rsidRPr="00CC19F7">
        <w:t xml:space="preserve"> sikringstiltak. Arbeidet vil </w:t>
      </w:r>
      <w:proofErr w:type="spellStart"/>
      <w:r w:rsidRPr="00CC19F7">
        <w:t>halde</w:t>
      </w:r>
      <w:proofErr w:type="spellEnd"/>
      <w:r w:rsidRPr="00CC19F7">
        <w:t xml:space="preserve"> fram i 2023.</w:t>
      </w:r>
    </w:p>
    <w:p w14:paraId="7C181862" w14:textId="77777777" w:rsidR="00FE02EF" w:rsidRPr="00CC19F7" w:rsidRDefault="00881E58" w:rsidP="00CC19F7">
      <w:r w:rsidRPr="00CC19F7">
        <w:t xml:space="preserve">NVEs </w:t>
      </w:r>
      <w:proofErr w:type="spellStart"/>
      <w:r w:rsidRPr="00CC19F7">
        <w:t>overvakings</w:t>
      </w:r>
      <w:proofErr w:type="spellEnd"/>
      <w:r w:rsidRPr="00CC19F7">
        <w:t xml:space="preserve">- og </w:t>
      </w:r>
      <w:proofErr w:type="spellStart"/>
      <w:r w:rsidRPr="00CC19F7">
        <w:t>varslingstenester</w:t>
      </w:r>
      <w:proofErr w:type="spellEnd"/>
      <w:r w:rsidRPr="00CC19F7">
        <w:t xml:space="preserve"> for </w:t>
      </w:r>
      <w:proofErr w:type="spellStart"/>
      <w:r w:rsidRPr="00CC19F7">
        <w:t>flaum</w:t>
      </w:r>
      <w:proofErr w:type="spellEnd"/>
      <w:r w:rsidRPr="00CC19F7">
        <w:t xml:space="preserve"> og skred har hatt </w:t>
      </w:r>
      <w:proofErr w:type="spellStart"/>
      <w:r w:rsidRPr="00CC19F7">
        <w:t>høg</w:t>
      </w:r>
      <w:proofErr w:type="spellEnd"/>
      <w:r w:rsidRPr="00CC19F7">
        <w:t xml:space="preserve"> prioritet, og </w:t>
      </w:r>
      <w:proofErr w:type="spellStart"/>
      <w:r w:rsidRPr="00CC19F7">
        <w:t>vidare</w:t>
      </w:r>
      <w:proofErr w:type="spellEnd"/>
      <w:r w:rsidRPr="00CC19F7">
        <w:t xml:space="preserve"> utvikling av </w:t>
      </w:r>
      <w:proofErr w:type="spellStart"/>
      <w:r w:rsidRPr="00CC19F7">
        <w:t>tenestene</w:t>
      </w:r>
      <w:proofErr w:type="spellEnd"/>
      <w:r w:rsidRPr="00CC19F7">
        <w:t xml:space="preserve"> er </w:t>
      </w:r>
      <w:proofErr w:type="spellStart"/>
      <w:r w:rsidRPr="00CC19F7">
        <w:t>eit</w:t>
      </w:r>
      <w:proofErr w:type="spellEnd"/>
      <w:r w:rsidRPr="00CC19F7">
        <w:t xml:space="preserve"> </w:t>
      </w:r>
      <w:proofErr w:type="spellStart"/>
      <w:r w:rsidRPr="00CC19F7">
        <w:t>kontinuerleg</w:t>
      </w:r>
      <w:proofErr w:type="spellEnd"/>
      <w:r w:rsidRPr="00CC19F7">
        <w:t xml:space="preserve"> arbeid. Nettstaden </w:t>
      </w:r>
      <w:r w:rsidRPr="00CC19F7">
        <w:rPr>
          <w:rStyle w:val="kursiv"/>
        </w:rPr>
        <w:t>varsom.no</w:t>
      </w:r>
      <w:r w:rsidRPr="00CC19F7">
        <w:t xml:space="preserve"> med </w:t>
      </w:r>
      <w:proofErr w:type="spellStart"/>
      <w:r w:rsidRPr="00CC19F7">
        <w:t>tilhøyrande</w:t>
      </w:r>
      <w:proofErr w:type="spellEnd"/>
      <w:r w:rsidRPr="00CC19F7">
        <w:t xml:space="preserve"> abonnementsløysing har gitt viktig informasjon til </w:t>
      </w:r>
      <w:proofErr w:type="spellStart"/>
      <w:r w:rsidRPr="00CC19F7">
        <w:t>kommunar</w:t>
      </w:r>
      <w:proofErr w:type="spellEnd"/>
      <w:r w:rsidRPr="00CC19F7">
        <w:t xml:space="preserve">, andre </w:t>
      </w:r>
      <w:proofErr w:type="spellStart"/>
      <w:r w:rsidRPr="00CC19F7">
        <w:t>myndigheiter</w:t>
      </w:r>
      <w:proofErr w:type="spellEnd"/>
      <w:r w:rsidRPr="00CC19F7">
        <w:t xml:space="preserve"> og </w:t>
      </w:r>
      <w:proofErr w:type="spellStart"/>
      <w:r w:rsidRPr="00CC19F7">
        <w:t>allmenta</w:t>
      </w:r>
      <w:proofErr w:type="spellEnd"/>
      <w:r w:rsidRPr="00CC19F7">
        <w:t xml:space="preserve">. </w:t>
      </w:r>
      <w:proofErr w:type="spellStart"/>
      <w:r w:rsidRPr="00CC19F7">
        <w:t>Flaum</w:t>
      </w:r>
      <w:proofErr w:type="spellEnd"/>
      <w:r w:rsidRPr="00CC19F7">
        <w:t xml:space="preserve">- og jordskredvarslinga har bidratt til kunnskapsdeling mellom </w:t>
      </w:r>
      <w:proofErr w:type="spellStart"/>
      <w:r w:rsidRPr="00CC19F7">
        <w:t>statlege</w:t>
      </w:r>
      <w:proofErr w:type="spellEnd"/>
      <w:r w:rsidRPr="00CC19F7">
        <w:t xml:space="preserve">, regionale og kommunale </w:t>
      </w:r>
      <w:proofErr w:type="spellStart"/>
      <w:r w:rsidRPr="00CC19F7">
        <w:t>aktørar</w:t>
      </w:r>
      <w:proofErr w:type="spellEnd"/>
      <w:r w:rsidRPr="00CC19F7">
        <w:t>.</w:t>
      </w:r>
    </w:p>
    <w:p w14:paraId="436C5659" w14:textId="77777777" w:rsidR="00FE02EF" w:rsidRPr="00CC19F7" w:rsidRDefault="00881E58" w:rsidP="00CC19F7">
      <w:r w:rsidRPr="00CC19F7">
        <w:t xml:space="preserve">I 2022 sende NVE ut 79 jordskredvarsel og 128 </w:t>
      </w:r>
      <w:proofErr w:type="spellStart"/>
      <w:r w:rsidRPr="00CC19F7">
        <w:t>flaumvarsel</w:t>
      </w:r>
      <w:proofErr w:type="spellEnd"/>
      <w:r w:rsidRPr="00CC19F7">
        <w:t xml:space="preserve">. I tillegg var det 31 </w:t>
      </w:r>
      <w:proofErr w:type="spellStart"/>
      <w:r w:rsidRPr="00CC19F7">
        <w:t>dagar</w:t>
      </w:r>
      <w:proofErr w:type="spellEnd"/>
      <w:r w:rsidRPr="00CC19F7">
        <w:t xml:space="preserve"> med varsel om styrtregn i løpet av </w:t>
      </w:r>
      <w:proofErr w:type="spellStart"/>
      <w:r w:rsidRPr="00CC19F7">
        <w:t>sommaren</w:t>
      </w:r>
      <w:proofErr w:type="spellEnd"/>
      <w:r w:rsidRPr="00CC19F7">
        <w:t>.</w:t>
      </w:r>
    </w:p>
    <w:p w14:paraId="2E3959CB" w14:textId="77777777" w:rsidR="00FE02EF" w:rsidRPr="00CC19F7" w:rsidRDefault="00881E58" w:rsidP="00CC19F7">
      <w:proofErr w:type="spellStart"/>
      <w:r w:rsidRPr="00CC19F7">
        <w:t>Varslingstenesta</w:t>
      </w:r>
      <w:proofErr w:type="spellEnd"/>
      <w:r w:rsidRPr="00CC19F7">
        <w:t xml:space="preserve"> med abonnementsløysing på SMS og e-post for varsling av </w:t>
      </w:r>
      <w:proofErr w:type="spellStart"/>
      <w:r w:rsidRPr="00CC19F7">
        <w:t>flaum</w:t>
      </w:r>
      <w:proofErr w:type="spellEnd"/>
      <w:r w:rsidRPr="00CC19F7">
        <w:t xml:space="preserve"> og skred </w:t>
      </w:r>
      <w:proofErr w:type="spellStart"/>
      <w:r w:rsidRPr="00CC19F7">
        <w:t>omfattar</w:t>
      </w:r>
      <w:proofErr w:type="spellEnd"/>
      <w:r w:rsidRPr="00CC19F7">
        <w:t xml:space="preserve"> også alle landbaserte naturfarevarsel </w:t>
      </w:r>
      <w:proofErr w:type="spellStart"/>
      <w:r w:rsidRPr="00CC19F7">
        <w:t>frå</w:t>
      </w:r>
      <w:proofErr w:type="spellEnd"/>
      <w:r w:rsidRPr="00CC19F7">
        <w:t xml:space="preserve"> Meteorologisk institutt. Bruken av </w:t>
      </w:r>
      <w:proofErr w:type="spellStart"/>
      <w:r w:rsidRPr="00CC19F7">
        <w:t>tenesta</w:t>
      </w:r>
      <w:proofErr w:type="spellEnd"/>
      <w:r w:rsidRPr="00CC19F7">
        <w:t xml:space="preserve"> </w:t>
      </w:r>
      <w:proofErr w:type="spellStart"/>
      <w:r w:rsidRPr="00CC19F7">
        <w:t>auka</w:t>
      </w:r>
      <w:proofErr w:type="spellEnd"/>
      <w:r w:rsidRPr="00CC19F7">
        <w:t xml:space="preserve"> med om lag 9 prosent i 2022, og </w:t>
      </w:r>
      <w:proofErr w:type="spellStart"/>
      <w:r w:rsidRPr="00CC19F7">
        <w:t>tenesta</w:t>
      </w:r>
      <w:proofErr w:type="spellEnd"/>
      <w:r w:rsidRPr="00CC19F7">
        <w:t xml:space="preserve"> hadde om lag 15 200 unike </w:t>
      </w:r>
      <w:proofErr w:type="spellStart"/>
      <w:r w:rsidRPr="00CC19F7">
        <w:t>brukarar</w:t>
      </w:r>
      <w:proofErr w:type="spellEnd"/>
      <w:r w:rsidRPr="00CC19F7">
        <w:t xml:space="preserve"> i starten av 2023.</w:t>
      </w:r>
    </w:p>
    <w:p w14:paraId="693682D5" w14:textId="77777777" w:rsidR="00FE02EF" w:rsidRPr="00CC19F7" w:rsidRDefault="00881E58" w:rsidP="00CC19F7">
      <w:r w:rsidRPr="00CC19F7">
        <w:t xml:space="preserve">NVE har </w:t>
      </w:r>
      <w:proofErr w:type="spellStart"/>
      <w:r w:rsidRPr="00CC19F7">
        <w:t>halde</w:t>
      </w:r>
      <w:proofErr w:type="spellEnd"/>
      <w:r w:rsidRPr="00CC19F7">
        <w:t xml:space="preserve"> fram arbeidet med å </w:t>
      </w:r>
      <w:proofErr w:type="spellStart"/>
      <w:r w:rsidRPr="00CC19F7">
        <w:t>auke</w:t>
      </w:r>
      <w:proofErr w:type="spellEnd"/>
      <w:r w:rsidRPr="00CC19F7">
        <w:t xml:space="preserve"> </w:t>
      </w:r>
      <w:proofErr w:type="spellStart"/>
      <w:r w:rsidRPr="00CC19F7">
        <w:t>merksemda</w:t>
      </w:r>
      <w:proofErr w:type="spellEnd"/>
      <w:r w:rsidRPr="00CC19F7">
        <w:t xml:space="preserve"> om snøskred. Det var mange varsel for is- og snøskred i vintersesongen 2021/2022. </w:t>
      </w:r>
      <w:proofErr w:type="spellStart"/>
      <w:r w:rsidRPr="00CC19F7">
        <w:t>Samlingar</w:t>
      </w:r>
      <w:proofErr w:type="spellEnd"/>
      <w:r w:rsidRPr="00CC19F7">
        <w:t xml:space="preserve"> og oppfølging i felt av </w:t>
      </w:r>
      <w:proofErr w:type="spellStart"/>
      <w:r w:rsidRPr="00CC19F7">
        <w:t>varslarar</w:t>
      </w:r>
      <w:proofErr w:type="spellEnd"/>
      <w:r w:rsidRPr="00CC19F7">
        <w:t xml:space="preserve"> og </w:t>
      </w:r>
      <w:proofErr w:type="spellStart"/>
      <w:r w:rsidRPr="00CC19F7">
        <w:t>observatørar</w:t>
      </w:r>
      <w:proofErr w:type="spellEnd"/>
      <w:r w:rsidRPr="00CC19F7">
        <w:t xml:space="preserve"> i snøskredvarslinga har komme i gang igjen etter pandemien, og det blir viktig å ta igjen etterslepet framover.</w:t>
      </w:r>
    </w:p>
    <w:p w14:paraId="6B460728" w14:textId="77777777" w:rsidR="00FE02EF" w:rsidRPr="00CC19F7" w:rsidRDefault="00881E58" w:rsidP="00CC19F7">
      <w:r w:rsidRPr="00CC19F7">
        <w:t xml:space="preserve">Saman med Meteorologisk institutt og Statens vegvesen har NVE starta opp </w:t>
      </w:r>
      <w:proofErr w:type="spellStart"/>
      <w:r w:rsidRPr="00CC19F7">
        <w:t>eit</w:t>
      </w:r>
      <w:proofErr w:type="spellEnd"/>
      <w:r w:rsidRPr="00CC19F7">
        <w:t xml:space="preserve"> samarbeid om risiko- og konsekvensbasert varsling av </w:t>
      </w:r>
      <w:proofErr w:type="spellStart"/>
      <w:r w:rsidRPr="00CC19F7">
        <w:t>farleg</w:t>
      </w:r>
      <w:proofErr w:type="spellEnd"/>
      <w:r w:rsidRPr="00CC19F7">
        <w:t xml:space="preserve"> </w:t>
      </w:r>
      <w:proofErr w:type="spellStart"/>
      <w:r w:rsidRPr="00CC19F7">
        <w:t>vêr</w:t>
      </w:r>
      <w:proofErr w:type="spellEnd"/>
      <w:r w:rsidRPr="00CC19F7">
        <w:t xml:space="preserve">, </w:t>
      </w:r>
      <w:proofErr w:type="spellStart"/>
      <w:r w:rsidRPr="00CC19F7">
        <w:t>flaum</w:t>
      </w:r>
      <w:proofErr w:type="spellEnd"/>
      <w:r w:rsidRPr="00CC19F7">
        <w:t xml:space="preserve"> og skred. Målet er å innrette </w:t>
      </w:r>
      <w:proofErr w:type="spellStart"/>
      <w:r w:rsidRPr="00CC19F7">
        <w:t>varslingstenesta</w:t>
      </w:r>
      <w:proofErr w:type="spellEnd"/>
      <w:r w:rsidRPr="00CC19F7">
        <w:t xml:space="preserve"> slik at </w:t>
      </w:r>
      <w:proofErr w:type="spellStart"/>
      <w:r w:rsidRPr="00CC19F7">
        <w:t>ein</w:t>
      </w:r>
      <w:proofErr w:type="spellEnd"/>
      <w:r w:rsidRPr="00CC19F7">
        <w:t xml:space="preserve"> i større grad enn i dag kan varsle </w:t>
      </w:r>
      <w:proofErr w:type="spellStart"/>
      <w:r w:rsidRPr="00CC19F7">
        <w:t>konsekvensar</w:t>
      </w:r>
      <w:proofErr w:type="spellEnd"/>
      <w:r w:rsidRPr="00CC19F7">
        <w:t xml:space="preserve"> av </w:t>
      </w:r>
      <w:proofErr w:type="spellStart"/>
      <w:r w:rsidRPr="00CC19F7">
        <w:t>ekstremvêr</w:t>
      </w:r>
      <w:proofErr w:type="spellEnd"/>
      <w:r w:rsidRPr="00CC19F7">
        <w:t xml:space="preserve"> og </w:t>
      </w:r>
      <w:proofErr w:type="spellStart"/>
      <w:r w:rsidRPr="00CC19F7">
        <w:t>naturfare</w:t>
      </w:r>
      <w:proofErr w:type="spellEnd"/>
      <w:r w:rsidRPr="00CC19F7">
        <w:t xml:space="preserve"> for </w:t>
      </w:r>
      <w:proofErr w:type="spellStart"/>
      <w:r w:rsidRPr="00CC19F7">
        <w:t>bustader</w:t>
      </w:r>
      <w:proofErr w:type="spellEnd"/>
      <w:r w:rsidRPr="00CC19F7">
        <w:t xml:space="preserve"> og infrastruktur. NVE </w:t>
      </w:r>
      <w:proofErr w:type="spellStart"/>
      <w:r w:rsidRPr="00CC19F7">
        <w:t>leiar</w:t>
      </w:r>
      <w:proofErr w:type="spellEnd"/>
      <w:r w:rsidRPr="00CC19F7">
        <w:t xml:space="preserve"> </w:t>
      </w:r>
      <w:proofErr w:type="spellStart"/>
      <w:r w:rsidRPr="00CC19F7">
        <w:t>eit</w:t>
      </w:r>
      <w:proofErr w:type="spellEnd"/>
      <w:r w:rsidRPr="00CC19F7">
        <w:t xml:space="preserve"> prosjekt om risikobasert varsling av </w:t>
      </w:r>
      <w:proofErr w:type="spellStart"/>
      <w:r w:rsidRPr="00CC19F7">
        <w:t>flaum</w:t>
      </w:r>
      <w:proofErr w:type="spellEnd"/>
      <w:r w:rsidRPr="00CC19F7">
        <w:t xml:space="preserve">, </w:t>
      </w:r>
      <w:proofErr w:type="spellStart"/>
      <w:r w:rsidRPr="00CC19F7">
        <w:rPr>
          <w:rStyle w:val="kursiv"/>
        </w:rPr>
        <w:t>FlaumRisk</w:t>
      </w:r>
      <w:proofErr w:type="spellEnd"/>
      <w:r w:rsidRPr="00CC19F7">
        <w:t xml:space="preserve">, og </w:t>
      </w:r>
      <w:proofErr w:type="spellStart"/>
      <w:r w:rsidRPr="00CC19F7">
        <w:t>eit</w:t>
      </w:r>
      <w:proofErr w:type="spellEnd"/>
      <w:r w:rsidRPr="00CC19F7">
        <w:t xml:space="preserve"> om risikobasert varsling av snøskred, </w:t>
      </w:r>
      <w:proofErr w:type="spellStart"/>
      <w:r w:rsidRPr="00CC19F7">
        <w:rPr>
          <w:rStyle w:val="kursiv"/>
        </w:rPr>
        <w:t>SnøRisk</w:t>
      </w:r>
      <w:proofErr w:type="spellEnd"/>
      <w:r w:rsidRPr="00CC19F7">
        <w:t>.</w:t>
      </w:r>
    </w:p>
    <w:p w14:paraId="788D8B4E" w14:textId="77777777" w:rsidR="00FE02EF" w:rsidRPr="00CC19F7" w:rsidRDefault="00881E58" w:rsidP="00CC19F7">
      <w:r w:rsidRPr="00CC19F7">
        <w:t xml:space="preserve">Beredskapen ved store </w:t>
      </w:r>
      <w:proofErr w:type="spellStart"/>
      <w:r w:rsidRPr="00CC19F7">
        <w:t>flaum</w:t>
      </w:r>
      <w:proofErr w:type="spellEnd"/>
      <w:r w:rsidRPr="00CC19F7">
        <w:t xml:space="preserve">- og </w:t>
      </w:r>
      <w:proofErr w:type="spellStart"/>
      <w:r w:rsidRPr="00CC19F7">
        <w:t>skredhendingar</w:t>
      </w:r>
      <w:proofErr w:type="spellEnd"/>
      <w:r w:rsidRPr="00CC19F7">
        <w:t xml:space="preserve"> har </w:t>
      </w:r>
      <w:proofErr w:type="spellStart"/>
      <w:r w:rsidRPr="00CC19F7">
        <w:t>vore</w:t>
      </w:r>
      <w:proofErr w:type="spellEnd"/>
      <w:r w:rsidRPr="00CC19F7">
        <w:t xml:space="preserve"> god i 2022. NVEs rolle er å </w:t>
      </w:r>
      <w:proofErr w:type="spellStart"/>
      <w:r w:rsidRPr="00CC19F7">
        <w:t>vere</w:t>
      </w:r>
      <w:proofErr w:type="spellEnd"/>
      <w:r w:rsidRPr="00CC19F7">
        <w:t xml:space="preserve"> </w:t>
      </w:r>
      <w:proofErr w:type="spellStart"/>
      <w:r w:rsidRPr="00CC19F7">
        <w:t>fagleg</w:t>
      </w:r>
      <w:proofErr w:type="spellEnd"/>
      <w:r w:rsidRPr="00CC19F7">
        <w:t xml:space="preserve"> </w:t>
      </w:r>
      <w:proofErr w:type="spellStart"/>
      <w:r w:rsidRPr="00CC19F7">
        <w:t>rådgivar</w:t>
      </w:r>
      <w:proofErr w:type="spellEnd"/>
      <w:r w:rsidRPr="00CC19F7">
        <w:t xml:space="preserve"> overfor politi og </w:t>
      </w:r>
      <w:proofErr w:type="spellStart"/>
      <w:r w:rsidRPr="00CC19F7">
        <w:t>kommunar</w:t>
      </w:r>
      <w:proofErr w:type="spellEnd"/>
      <w:r w:rsidRPr="00CC19F7">
        <w:t xml:space="preserve">. I tillegg til </w:t>
      </w:r>
      <w:proofErr w:type="spellStart"/>
      <w:r w:rsidRPr="00CC19F7">
        <w:t>varslingstenestene</w:t>
      </w:r>
      <w:proofErr w:type="spellEnd"/>
      <w:r w:rsidRPr="00CC19F7">
        <w:t xml:space="preserve"> har NVE ei </w:t>
      </w:r>
      <w:proofErr w:type="spellStart"/>
      <w:r w:rsidRPr="00CC19F7">
        <w:t>døgnkontinuerleg</w:t>
      </w:r>
      <w:proofErr w:type="spellEnd"/>
      <w:r w:rsidRPr="00CC19F7">
        <w:t xml:space="preserve"> vaktordning for mottak av informasjon om </w:t>
      </w:r>
      <w:proofErr w:type="spellStart"/>
      <w:r w:rsidRPr="00CC19F7">
        <w:t>ekstremvêr</w:t>
      </w:r>
      <w:proofErr w:type="spellEnd"/>
      <w:r w:rsidRPr="00CC19F7">
        <w:t xml:space="preserve">, </w:t>
      </w:r>
      <w:proofErr w:type="spellStart"/>
      <w:r w:rsidRPr="00CC19F7">
        <w:t>bekymringar</w:t>
      </w:r>
      <w:proofErr w:type="spellEnd"/>
      <w:r w:rsidRPr="00CC19F7">
        <w:t xml:space="preserve"> og </w:t>
      </w:r>
      <w:proofErr w:type="spellStart"/>
      <w:r w:rsidRPr="00CC19F7">
        <w:t>hendingar</w:t>
      </w:r>
      <w:proofErr w:type="spellEnd"/>
      <w:r w:rsidRPr="00CC19F7">
        <w:t>.</w:t>
      </w:r>
    </w:p>
    <w:p w14:paraId="69262040" w14:textId="77777777" w:rsidR="00FE02EF" w:rsidRPr="00CC19F7" w:rsidRDefault="00881E58" w:rsidP="00CC19F7">
      <w:r w:rsidRPr="00CC19F7">
        <w:t xml:space="preserve">NVE har hatt normal drift på </w:t>
      </w:r>
      <w:proofErr w:type="spellStart"/>
      <w:r w:rsidRPr="00CC19F7">
        <w:t>overvakinga</w:t>
      </w:r>
      <w:proofErr w:type="spellEnd"/>
      <w:r w:rsidRPr="00CC19F7">
        <w:t xml:space="preserve"> av høgrisikoobjekta for fjellskred. Kartlegging og oppfølging av fjellskredfare blir gjort gjennom det </w:t>
      </w:r>
      <w:proofErr w:type="spellStart"/>
      <w:r w:rsidRPr="00CC19F7">
        <w:t>statlege</w:t>
      </w:r>
      <w:proofErr w:type="spellEnd"/>
      <w:r w:rsidRPr="00CC19F7">
        <w:t xml:space="preserve"> kartleggingsprogrammet for fjellskred, i samarbeid med </w:t>
      </w:r>
      <w:proofErr w:type="spellStart"/>
      <w:r w:rsidRPr="00CC19F7">
        <w:rPr>
          <w:rStyle w:val="kursiv"/>
        </w:rPr>
        <w:t>Noregs</w:t>
      </w:r>
      <w:proofErr w:type="spellEnd"/>
      <w:r w:rsidRPr="00CC19F7">
        <w:rPr>
          <w:rStyle w:val="kursiv"/>
        </w:rPr>
        <w:t xml:space="preserve"> geologiske undersøking</w:t>
      </w:r>
      <w:r w:rsidRPr="00CC19F7">
        <w:t xml:space="preserve"> (NGU). I 2022 har </w:t>
      </w:r>
      <w:proofErr w:type="spellStart"/>
      <w:r w:rsidRPr="00CC19F7">
        <w:t>merksemda</w:t>
      </w:r>
      <w:proofErr w:type="spellEnd"/>
      <w:r w:rsidRPr="00CC19F7">
        <w:t xml:space="preserve"> </w:t>
      </w:r>
      <w:proofErr w:type="spellStart"/>
      <w:r w:rsidRPr="00CC19F7">
        <w:t>særleg</w:t>
      </w:r>
      <w:proofErr w:type="spellEnd"/>
      <w:r w:rsidRPr="00CC19F7">
        <w:t xml:space="preserve"> </w:t>
      </w:r>
      <w:proofErr w:type="spellStart"/>
      <w:r w:rsidRPr="00CC19F7">
        <w:t>vore</w:t>
      </w:r>
      <w:proofErr w:type="spellEnd"/>
      <w:r w:rsidRPr="00CC19F7">
        <w:t xml:space="preserve"> retta mot område i </w:t>
      </w:r>
      <w:proofErr w:type="spellStart"/>
      <w:r w:rsidRPr="00CC19F7">
        <w:t>Vestland</w:t>
      </w:r>
      <w:proofErr w:type="spellEnd"/>
      <w:r w:rsidRPr="00CC19F7">
        <w:t xml:space="preserve"> og Troms og Finnmark fylke.</w:t>
      </w:r>
    </w:p>
    <w:p w14:paraId="76B02D42" w14:textId="77777777" w:rsidR="00FE02EF" w:rsidRPr="00CC19F7" w:rsidRDefault="00881E58" w:rsidP="00CC19F7">
      <w:r w:rsidRPr="00CC19F7">
        <w:t xml:space="preserve">I 2022 har to nye høgrisikoobjekt blitt risikoklassifiserte og </w:t>
      </w:r>
      <w:proofErr w:type="spellStart"/>
      <w:r w:rsidRPr="00CC19F7">
        <w:t>underlagde</w:t>
      </w:r>
      <w:proofErr w:type="spellEnd"/>
      <w:r w:rsidRPr="00CC19F7">
        <w:t xml:space="preserve"> </w:t>
      </w:r>
      <w:proofErr w:type="spellStart"/>
      <w:r w:rsidRPr="00CC19F7">
        <w:t>kontinuerleg</w:t>
      </w:r>
      <w:proofErr w:type="spellEnd"/>
      <w:r w:rsidRPr="00CC19F7">
        <w:t xml:space="preserve"> </w:t>
      </w:r>
      <w:proofErr w:type="spellStart"/>
      <w:r w:rsidRPr="00CC19F7">
        <w:t>overvaking</w:t>
      </w:r>
      <w:proofErr w:type="spellEnd"/>
      <w:r w:rsidRPr="00CC19F7">
        <w:t xml:space="preserve">. Det er </w:t>
      </w:r>
      <w:proofErr w:type="spellStart"/>
      <w:r w:rsidRPr="00CC19F7">
        <w:t>Tussafoten</w:t>
      </w:r>
      <w:proofErr w:type="spellEnd"/>
      <w:r w:rsidRPr="00CC19F7">
        <w:t xml:space="preserve"> i Eidfjord kommune og </w:t>
      </w:r>
      <w:proofErr w:type="spellStart"/>
      <w:r w:rsidRPr="00CC19F7">
        <w:t>Stiksmoen</w:t>
      </w:r>
      <w:proofErr w:type="spellEnd"/>
      <w:r w:rsidRPr="00CC19F7">
        <w:t xml:space="preserve"> i Aurland kommune, begge i </w:t>
      </w:r>
      <w:proofErr w:type="spellStart"/>
      <w:r w:rsidRPr="00CC19F7">
        <w:t>Vestland</w:t>
      </w:r>
      <w:proofErr w:type="spellEnd"/>
      <w:r w:rsidRPr="00CC19F7">
        <w:t xml:space="preserve">. Til </w:t>
      </w:r>
      <w:proofErr w:type="spellStart"/>
      <w:r w:rsidRPr="00CC19F7">
        <w:t>saman</w:t>
      </w:r>
      <w:proofErr w:type="spellEnd"/>
      <w:r w:rsidRPr="00CC19F7">
        <w:t xml:space="preserve"> har NVE etablert </w:t>
      </w:r>
      <w:proofErr w:type="spellStart"/>
      <w:r w:rsidRPr="00CC19F7">
        <w:t>kontinuerleg</w:t>
      </w:r>
      <w:proofErr w:type="spellEnd"/>
      <w:r w:rsidRPr="00CC19F7">
        <w:t xml:space="preserve"> </w:t>
      </w:r>
      <w:proofErr w:type="spellStart"/>
      <w:r w:rsidRPr="00CC19F7">
        <w:t>overvaking</w:t>
      </w:r>
      <w:proofErr w:type="spellEnd"/>
      <w:r w:rsidRPr="00CC19F7">
        <w:t xml:space="preserve"> av ni høgrisikoobjekt i </w:t>
      </w:r>
      <w:proofErr w:type="spellStart"/>
      <w:r w:rsidRPr="00CC19F7">
        <w:t>Noreg</w:t>
      </w:r>
      <w:proofErr w:type="spellEnd"/>
      <w:r w:rsidRPr="00CC19F7">
        <w:t xml:space="preserve">. </w:t>
      </w:r>
      <w:proofErr w:type="spellStart"/>
      <w:r w:rsidRPr="00CC19F7">
        <w:t>Eit</w:t>
      </w:r>
      <w:proofErr w:type="spellEnd"/>
      <w:r w:rsidRPr="00CC19F7">
        <w:t xml:space="preserve"> nytt høgrisikoobjekt, Skutshorn i Vang kommune i Innlandet, vil bli instrumentert i 2023.</w:t>
      </w:r>
    </w:p>
    <w:p w14:paraId="5FC54066" w14:textId="77777777" w:rsidR="00FE02EF" w:rsidRPr="00CC19F7" w:rsidRDefault="00881E58" w:rsidP="00CC19F7">
      <w:r w:rsidRPr="00CC19F7">
        <w:t xml:space="preserve">Saman med Norsk Romsenter og NGU har NVE etablert </w:t>
      </w:r>
      <w:proofErr w:type="spellStart"/>
      <w:r w:rsidRPr="00CC19F7">
        <w:t>eit</w:t>
      </w:r>
      <w:proofErr w:type="spellEnd"/>
      <w:r w:rsidRPr="00CC19F7">
        <w:t xml:space="preserve"> senter for lasting, handtering og analyse av radardata </w:t>
      </w:r>
      <w:proofErr w:type="spellStart"/>
      <w:r w:rsidRPr="00CC19F7">
        <w:t>frå</w:t>
      </w:r>
      <w:proofErr w:type="spellEnd"/>
      <w:r w:rsidRPr="00CC19F7">
        <w:t xml:space="preserve"> </w:t>
      </w:r>
      <w:proofErr w:type="spellStart"/>
      <w:r w:rsidRPr="00CC19F7">
        <w:t>satellittmålingar</w:t>
      </w:r>
      <w:proofErr w:type="spellEnd"/>
      <w:r w:rsidRPr="00CC19F7">
        <w:t xml:space="preserve"> som er blitt </w:t>
      </w:r>
      <w:proofErr w:type="gramStart"/>
      <w:r w:rsidRPr="00CC19F7">
        <w:t>implementerte</w:t>
      </w:r>
      <w:proofErr w:type="gramEnd"/>
      <w:r w:rsidRPr="00CC19F7">
        <w:t xml:space="preserve"> i </w:t>
      </w:r>
      <w:proofErr w:type="spellStart"/>
      <w:r w:rsidRPr="00CC19F7">
        <w:t>fjellskredovervakinga</w:t>
      </w:r>
      <w:proofErr w:type="spellEnd"/>
      <w:r w:rsidRPr="00CC19F7">
        <w:t>.</w:t>
      </w:r>
    </w:p>
    <w:p w14:paraId="2D4479F9" w14:textId="77777777" w:rsidR="00FE02EF" w:rsidRPr="00CC19F7" w:rsidRDefault="00881E58" w:rsidP="00CC19F7">
      <w:r w:rsidRPr="00CC19F7">
        <w:t xml:space="preserve">I både i 2021 og 2022 brukte NVE </w:t>
      </w:r>
      <w:proofErr w:type="spellStart"/>
      <w:r w:rsidRPr="00CC19F7">
        <w:t>mykje</w:t>
      </w:r>
      <w:proofErr w:type="spellEnd"/>
      <w:r w:rsidRPr="00CC19F7">
        <w:t xml:space="preserve"> </w:t>
      </w:r>
      <w:proofErr w:type="spellStart"/>
      <w:r w:rsidRPr="00CC19F7">
        <w:t>ressursar</w:t>
      </w:r>
      <w:proofErr w:type="spellEnd"/>
      <w:r w:rsidRPr="00CC19F7">
        <w:t xml:space="preserve"> på å bygge opp ei felles </w:t>
      </w:r>
      <w:proofErr w:type="spellStart"/>
      <w:r w:rsidRPr="00CC19F7">
        <w:t>overvakingsplattform</w:t>
      </w:r>
      <w:proofErr w:type="spellEnd"/>
      <w:r w:rsidRPr="00CC19F7">
        <w:t xml:space="preserve"> for fjellskred for å standardisere, effektivisere og </w:t>
      </w:r>
      <w:proofErr w:type="spellStart"/>
      <w:r w:rsidRPr="00CC19F7">
        <w:t>forbetre</w:t>
      </w:r>
      <w:proofErr w:type="spellEnd"/>
      <w:r w:rsidRPr="00CC19F7">
        <w:t xml:space="preserve"> </w:t>
      </w:r>
      <w:proofErr w:type="spellStart"/>
      <w:r w:rsidRPr="00CC19F7">
        <w:t>overvakinga</w:t>
      </w:r>
      <w:proofErr w:type="spellEnd"/>
      <w:r w:rsidRPr="00CC19F7">
        <w:t xml:space="preserve">. Den nye plattforma er </w:t>
      </w:r>
      <w:proofErr w:type="spellStart"/>
      <w:r w:rsidRPr="00CC19F7">
        <w:t>no</w:t>
      </w:r>
      <w:proofErr w:type="spellEnd"/>
      <w:r w:rsidRPr="00CC19F7">
        <w:t xml:space="preserve"> tatt i bruk.</w:t>
      </w:r>
    </w:p>
    <w:p w14:paraId="37081508" w14:textId="77777777" w:rsidR="00FE02EF" w:rsidRPr="00CC19F7" w:rsidRDefault="00881E58" w:rsidP="00CC19F7">
      <w:r w:rsidRPr="00CC19F7">
        <w:t xml:space="preserve">Det </w:t>
      </w:r>
      <w:proofErr w:type="spellStart"/>
      <w:r w:rsidRPr="00CC19F7">
        <w:t>omfattande</w:t>
      </w:r>
      <w:proofErr w:type="spellEnd"/>
      <w:r w:rsidRPr="00CC19F7">
        <w:t xml:space="preserve"> arbeidet med å vurdere drenering av fjellpartiet Åknes i Stranda kommune blei ferdig i 2021. Tiltaket er vurdert å ha stor nytte </w:t>
      </w:r>
      <w:proofErr w:type="spellStart"/>
      <w:r w:rsidRPr="00CC19F7">
        <w:t>samanlikna</w:t>
      </w:r>
      <w:proofErr w:type="spellEnd"/>
      <w:r w:rsidRPr="00CC19F7">
        <w:t xml:space="preserve"> med </w:t>
      </w:r>
      <w:proofErr w:type="spellStart"/>
      <w:r w:rsidRPr="00CC19F7">
        <w:t>dei</w:t>
      </w:r>
      <w:proofErr w:type="spellEnd"/>
      <w:r w:rsidRPr="00CC19F7">
        <w:t xml:space="preserve"> totale kostnadene for samfunnet. Det er forventa at drenering vil redusere rørslene i fjellet og betre stabiliteten i fjellpartiet. I 2022 utarbeidde NVE </w:t>
      </w:r>
      <w:proofErr w:type="spellStart"/>
      <w:r w:rsidRPr="00CC19F7">
        <w:t>ein</w:t>
      </w:r>
      <w:proofErr w:type="spellEnd"/>
      <w:r w:rsidRPr="00CC19F7">
        <w:t xml:space="preserve"> overordna plan for det </w:t>
      </w:r>
      <w:proofErr w:type="spellStart"/>
      <w:r w:rsidRPr="00CC19F7">
        <w:t>vidare</w:t>
      </w:r>
      <w:proofErr w:type="spellEnd"/>
      <w:r w:rsidRPr="00CC19F7">
        <w:t xml:space="preserve"> arbeidet med drenering av Åknes.</w:t>
      </w:r>
    </w:p>
    <w:p w14:paraId="4C1BAA00" w14:textId="77777777" w:rsidR="00FE02EF" w:rsidRPr="00CC19F7" w:rsidRDefault="00881E58" w:rsidP="00CC19F7">
      <w:r w:rsidRPr="00CC19F7">
        <w:t xml:space="preserve">Gjennom ulike forum for samarbeid, og ved konkrete </w:t>
      </w:r>
      <w:proofErr w:type="spellStart"/>
      <w:r w:rsidRPr="00CC19F7">
        <w:t>hendingar</w:t>
      </w:r>
      <w:proofErr w:type="spellEnd"/>
      <w:r w:rsidRPr="00CC19F7">
        <w:t xml:space="preserve">, har NVE </w:t>
      </w:r>
      <w:proofErr w:type="spellStart"/>
      <w:r w:rsidRPr="00CC19F7">
        <w:t>sørgt</w:t>
      </w:r>
      <w:proofErr w:type="spellEnd"/>
      <w:r w:rsidRPr="00CC19F7">
        <w:t xml:space="preserve"> for godt samarbeid og god koordinering mellom </w:t>
      </w:r>
      <w:proofErr w:type="spellStart"/>
      <w:r w:rsidRPr="00CC19F7">
        <w:t>aktørar</w:t>
      </w:r>
      <w:proofErr w:type="spellEnd"/>
      <w:r w:rsidRPr="00CC19F7">
        <w:t xml:space="preserve"> på </w:t>
      </w:r>
      <w:proofErr w:type="spellStart"/>
      <w:r w:rsidRPr="00CC19F7">
        <w:t>flaum</w:t>
      </w:r>
      <w:proofErr w:type="spellEnd"/>
      <w:r w:rsidRPr="00CC19F7">
        <w:t xml:space="preserve">- og skredområdet, mellom anna gjennom </w:t>
      </w:r>
      <w:r w:rsidRPr="00CC19F7">
        <w:rPr>
          <w:rStyle w:val="kursiv"/>
        </w:rPr>
        <w:t>Naturfareforum</w:t>
      </w:r>
      <w:r w:rsidRPr="00CC19F7">
        <w:t xml:space="preserve"> og </w:t>
      </w:r>
      <w:r w:rsidRPr="00CC19F7">
        <w:rPr>
          <w:rStyle w:val="kursiv"/>
        </w:rPr>
        <w:t>Norsk klimaservicesenter</w:t>
      </w:r>
      <w:r w:rsidRPr="00CC19F7">
        <w:t>.</w:t>
      </w:r>
    </w:p>
    <w:p w14:paraId="5C559086" w14:textId="77777777" w:rsidR="00FE02EF" w:rsidRPr="00CC19F7" w:rsidRDefault="00881E58" w:rsidP="00CC19F7">
      <w:r w:rsidRPr="00CC19F7">
        <w:t xml:space="preserve">NVE skal hjelpe </w:t>
      </w:r>
      <w:proofErr w:type="spellStart"/>
      <w:r w:rsidRPr="00CC19F7">
        <w:t>kommunane</w:t>
      </w:r>
      <w:proofErr w:type="spellEnd"/>
      <w:r w:rsidRPr="00CC19F7">
        <w:t xml:space="preserve"> med å </w:t>
      </w:r>
      <w:proofErr w:type="spellStart"/>
      <w:r w:rsidRPr="00CC19F7">
        <w:t>førebygge</w:t>
      </w:r>
      <w:proofErr w:type="spellEnd"/>
      <w:r w:rsidRPr="00CC19F7">
        <w:t xml:space="preserve"> </w:t>
      </w:r>
      <w:proofErr w:type="spellStart"/>
      <w:r w:rsidRPr="00CC19F7">
        <w:t>skadar</w:t>
      </w:r>
      <w:proofErr w:type="spellEnd"/>
      <w:r w:rsidRPr="00CC19F7">
        <w:t xml:space="preserve"> </w:t>
      </w:r>
      <w:proofErr w:type="spellStart"/>
      <w:r w:rsidRPr="00CC19F7">
        <w:t>frå</w:t>
      </w:r>
      <w:proofErr w:type="spellEnd"/>
      <w:r w:rsidRPr="00CC19F7">
        <w:t xml:space="preserve"> overvatn gjennom kunnskap om avrenning i tettbygde strøk og gi rettleiing til kommunal planlegging. Etterspørselen etter </w:t>
      </w:r>
      <w:proofErr w:type="spellStart"/>
      <w:r w:rsidRPr="00CC19F7">
        <w:t>fagleg</w:t>
      </w:r>
      <w:proofErr w:type="spellEnd"/>
      <w:r w:rsidRPr="00CC19F7">
        <w:t xml:space="preserve"> rettleiing </w:t>
      </w:r>
      <w:proofErr w:type="spellStart"/>
      <w:r w:rsidRPr="00CC19F7">
        <w:t>frå</w:t>
      </w:r>
      <w:proofErr w:type="spellEnd"/>
      <w:r w:rsidRPr="00CC19F7">
        <w:t xml:space="preserve"> </w:t>
      </w:r>
      <w:proofErr w:type="spellStart"/>
      <w:r w:rsidRPr="00CC19F7">
        <w:t>kommunane</w:t>
      </w:r>
      <w:proofErr w:type="spellEnd"/>
      <w:r w:rsidRPr="00CC19F7">
        <w:t xml:space="preserve"> på dette området er stort. NVE har prioritert kompetanse- og kapasitetsbygging, slik at </w:t>
      </w:r>
      <w:proofErr w:type="spellStart"/>
      <w:r w:rsidRPr="00CC19F7">
        <w:t>kommunane</w:t>
      </w:r>
      <w:proofErr w:type="spellEnd"/>
      <w:r w:rsidRPr="00CC19F7">
        <w:t xml:space="preserve"> i større grad skal bli i stand til sjølve å handtere </w:t>
      </w:r>
      <w:proofErr w:type="spellStart"/>
      <w:r w:rsidRPr="00CC19F7">
        <w:t>utfordringane</w:t>
      </w:r>
      <w:proofErr w:type="spellEnd"/>
      <w:r w:rsidRPr="00CC19F7">
        <w:t xml:space="preserve"> der det er </w:t>
      </w:r>
      <w:proofErr w:type="spellStart"/>
      <w:r w:rsidRPr="00CC19F7">
        <w:t>mogleg</w:t>
      </w:r>
      <w:proofErr w:type="spellEnd"/>
      <w:r w:rsidRPr="00CC19F7">
        <w:t xml:space="preserve">. Mellom anna har NVE gjennomført </w:t>
      </w:r>
      <w:proofErr w:type="spellStart"/>
      <w:r w:rsidRPr="00CC19F7">
        <w:t>mykje</w:t>
      </w:r>
      <w:proofErr w:type="spellEnd"/>
      <w:r w:rsidRPr="00CC19F7">
        <w:t xml:space="preserve"> </w:t>
      </w:r>
      <w:proofErr w:type="spellStart"/>
      <w:r w:rsidRPr="00CC19F7">
        <w:t>utoverretta</w:t>
      </w:r>
      <w:proofErr w:type="spellEnd"/>
      <w:r w:rsidRPr="00CC19F7">
        <w:t xml:space="preserve"> kommunikasjonsarbeid og utarbeidd </w:t>
      </w:r>
      <w:proofErr w:type="spellStart"/>
      <w:r w:rsidRPr="00CC19F7">
        <w:t>ein</w:t>
      </w:r>
      <w:proofErr w:type="spellEnd"/>
      <w:r w:rsidRPr="00CC19F7">
        <w:t xml:space="preserve"> </w:t>
      </w:r>
      <w:proofErr w:type="spellStart"/>
      <w:r w:rsidRPr="00CC19F7">
        <w:t>rettleiar</w:t>
      </w:r>
      <w:proofErr w:type="spellEnd"/>
      <w:r w:rsidRPr="00CC19F7">
        <w:t xml:space="preserve"> for handtering av overvatn i </w:t>
      </w:r>
      <w:proofErr w:type="spellStart"/>
      <w:r w:rsidRPr="00CC19F7">
        <w:t>arealplanar</w:t>
      </w:r>
      <w:proofErr w:type="spellEnd"/>
      <w:r w:rsidRPr="00CC19F7">
        <w:t xml:space="preserve"> og ei eksempelsamling av overvasstiltak basert på innmelding </w:t>
      </w:r>
      <w:proofErr w:type="spellStart"/>
      <w:r w:rsidRPr="00CC19F7">
        <w:t>frå</w:t>
      </w:r>
      <w:proofErr w:type="spellEnd"/>
      <w:r w:rsidRPr="00CC19F7">
        <w:t xml:space="preserve"> ulike </w:t>
      </w:r>
      <w:proofErr w:type="spellStart"/>
      <w:r w:rsidRPr="00CC19F7">
        <w:t>aktørar</w:t>
      </w:r>
      <w:proofErr w:type="spellEnd"/>
      <w:r w:rsidRPr="00CC19F7">
        <w:t>.</w:t>
      </w:r>
    </w:p>
    <w:p w14:paraId="59964C4E" w14:textId="77777777" w:rsidR="00FE02EF" w:rsidRPr="00CC19F7" w:rsidRDefault="00881E58" w:rsidP="00CC19F7">
      <w:r w:rsidRPr="00CC19F7">
        <w:t xml:space="preserve">Departementet vurderer det slik at NVE har bidratt til at samfunnet har fått betre evne til å handtere </w:t>
      </w:r>
      <w:proofErr w:type="spellStart"/>
      <w:r w:rsidRPr="00CC19F7">
        <w:t>flaum</w:t>
      </w:r>
      <w:proofErr w:type="spellEnd"/>
      <w:r w:rsidRPr="00CC19F7">
        <w:t>- og skredrisiko.</w:t>
      </w:r>
    </w:p>
    <w:p w14:paraId="75FA2E30" w14:textId="77777777" w:rsidR="00FE02EF" w:rsidRPr="00CC19F7" w:rsidRDefault="00881E58" w:rsidP="00CC19F7">
      <w:pPr>
        <w:pStyle w:val="Undertittel"/>
      </w:pPr>
      <w:proofErr w:type="spellStart"/>
      <w:r w:rsidRPr="00CC19F7">
        <w:t>Reguleringsmyndigheita</w:t>
      </w:r>
      <w:proofErr w:type="spellEnd"/>
      <w:r w:rsidRPr="00CC19F7">
        <w:t xml:space="preserve"> for energi</w:t>
      </w:r>
    </w:p>
    <w:p w14:paraId="19CAF02F" w14:textId="77777777" w:rsidR="00FE02EF" w:rsidRPr="00CC19F7" w:rsidRDefault="00881E58" w:rsidP="00CC19F7">
      <w:proofErr w:type="spellStart"/>
      <w:r w:rsidRPr="00CC19F7">
        <w:t>Reguleringsmyndigheita</w:t>
      </w:r>
      <w:proofErr w:type="spellEnd"/>
      <w:r w:rsidRPr="00CC19F7">
        <w:t xml:space="preserve"> for energi (RME) er </w:t>
      </w:r>
      <w:proofErr w:type="spellStart"/>
      <w:r w:rsidRPr="00CC19F7">
        <w:t>reguleringsmyndigheit</w:t>
      </w:r>
      <w:proofErr w:type="spellEnd"/>
      <w:r w:rsidRPr="00CC19F7">
        <w:t xml:space="preserve"> for kraft- og </w:t>
      </w:r>
      <w:proofErr w:type="spellStart"/>
      <w:r w:rsidRPr="00CC19F7">
        <w:t>gassmarknadene</w:t>
      </w:r>
      <w:proofErr w:type="spellEnd"/>
      <w:r w:rsidRPr="00CC19F7">
        <w:t xml:space="preserve"> i </w:t>
      </w:r>
      <w:proofErr w:type="spellStart"/>
      <w:r w:rsidRPr="00CC19F7">
        <w:t>Noreg</w:t>
      </w:r>
      <w:proofErr w:type="spellEnd"/>
      <w:r w:rsidRPr="00CC19F7">
        <w:t xml:space="preserve">. </w:t>
      </w:r>
      <w:proofErr w:type="spellStart"/>
      <w:r w:rsidRPr="00CC19F7">
        <w:t>RMEs</w:t>
      </w:r>
      <w:proofErr w:type="spellEnd"/>
      <w:r w:rsidRPr="00CC19F7">
        <w:t xml:space="preserve"> </w:t>
      </w:r>
      <w:proofErr w:type="spellStart"/>
      <w:r w:rsidRPr="00CC19F7">
        <w:t>oppgåver</w:t>
      </w:r>
      <w:proofErr w:type="spellEnd"/>
      <w:r w:rsidRPr="00CC19F7">
        <w:t xml:space="preserve"> og ansvarsområde følger av </w:t>
      </w:r>
      <w:proofErr w:type="spellStart"/>
      <w:r w:rsidRPr="00CC19F7">
        <w:t>Prop</w:t>
      </w:r>
      <w:proofErr w:type="spellEnd"/>
      <w:r w:rsidRPr="00CC19F7">
        <w:t xml:space="preserve">. 5 L (2017–2018) og </w:t>
      </w:r>
      <w:proofErr w:type="spellStart"/>
      <w:r w:rsidRPr="00CC19F7">
        <w:t>Prop</w:t>
      </w:r>
      <w:proofErr w:type="spellEnd"/>
      <w:r w:rsidRPr="00CC19F7">
        <w:t xml:space="preserve">. 6 L (2017–2018), jf. </w:t>
      </w:r>
      <w:proofErr w:type="spellStart"/>
      <w:r w:rsidRPr="00CC19F7">
        <w:t>Prop</w:t>
      </w:r>
      <w:proofErr w:type="spellEnd"/>
      <w:r w:rsidRPr="00CC19F7">
        <w:t xml:space="preserve">. 4 S (2017–2018), og </w:t>
      </w:r>
      <w:proofErr w:type="spellStart"/>
      <w:r w:rsidRPr="00CC19F7">
        <w:t>tilhøyrande</w:t>
      </w:r>
      <w:proofErr w:type="spellEnd"/>
      <w:r w:rsidRPr="00CC19F7">
        <w:t xml:space="preserve"> forskrifter til energilova og naturgasslova. </w:t>
      </w:r>
      <w:proofErr w:type="spellStart"/>
      <w:r w:rsidRPr="00CC19F7">
        <w:t>Oppgåvene</w:t>
      </w:r>
      <w:proofErr w:type="spellEnd"/>
      <w:r w:rsidRPr="00CC19F7">
        <w:t xml:space="preserve"> er knytte til oppsyn med </w:t>
      </w:r>
      <w:proofErr w:type="spellStart"/>
      <w:r w:rsidRPr="00CC19F7">
        <w:t>dei</w:t>
      </w:r>
      <w:proofErr w:type="spellEnd"/>
      <w:r w:rsidRPr="00CC19F7">
        <w:t xml:space="preserve"> nasjonale </w:t>
      </w:r>
      <w:proofErr w:type="spellStart"/>
      <w:r w:rsidRPr="00CC19F7">
        <w:t>marknadene</w:t>
      </w:r>
      <w:proofErr w:type="spellEnd"/>
      <w:r w:rsidRPr="00CC19F7">
        <w:t xml:space="preserve"> for elektrisitet og naturgass, utvikling og oppfølging av </w:t>
      </w:r>
      <w:proofErr w:type="spellStart"/>
      <w:r w:rsidRPr="00CC19F7">
        <w:t>marknadsregelverket</w:t>
      </w:r>
      <w:proofErr w:type="spellEnd"/>
      <w:r w:rsidRPr="00CC19F7">
        <w:t xml:space="preserve"> og samarbeid med andre norske </w:t>
      </w:r>
      <w:proofErr w:type="spellStart"/>
      <w:r w:rsidRPr="00CC19F7">
        <w:t>myndigheiter</w:t>
      </w:r>
      <w:proofErr w:type="spellEnd"/>
      <w:r w:rsidRPr="00CC19F7">
        <w:t xml:space="preserve"> og andre lands </w:t>
      </w:r>
      <w:proofErr w:type="spellStart"/>
      <w:r w:rsidRPr="00CC19F7">
        <w:t>reguleringsmyndigheiter</w:t>
      </w:r>
      <w:proofErr w:type="spellEnd"/>
      <w:r w:rsidRPr="00CC19F7">
        <w:t xml:space="preserve"> og internasjonale </w:t>
      </w:r>
      <w:proofErr w:type="spellStart"/>
      <w:r w:rsidRPr="00CC19F7">
        <w:t>organisasjonar</w:t>
      </w:r>
      <w:proofErr w:type="spellEnd"/>
      <w:r w:rsidRPr="00CC19F7">
        <w:t xml:space="preserve"> i samsvar med Norges EØS-</w:t>
      </w:r>
      <w:proofErr w:type="spellStart"/>
      <w:r w:rsidRPr="00CC19F7">
        <w:t>rettslege</w:t>
      </w:r>
      <w:proofErr w:type="spellEnd"/>
      <w:r w:rsidRPr="00CC19F7">
        <w:t xml:space="preserve"> </w:t>
      </w:r>
      <w:proofErr w:type="spellStart"/>
      <w:r w:rsidRPr="00CC19F7">
        <w:t>forpliktingar</w:t>
      </w:r>
      <w:proofErr w:type="spellEnd"/>
      <w:r w:rsidRPr="00CC19F7">
        <w:t xml:space="preserve">. RME fungerer i samsvar med </w:t>
      </w:r>
      <w:proofErr w:type="spellStart"/>
      <w:r w:rsidRPr="00CC19F7">
        <w:t>dei</w:t>
      </w:r>
      <w:proofErr w:type="spellEnd"/>
      <w:r w:rsidRPr="00CC19F7">
        <w:t xml:space="preserve"> vedtatte lov- og </w:t>
      </w:r>
      <w:proofErr w:type="spellStart"/>
      <w:r w:rsidRPr="00CC19F7">
        <w:t>forskriftsendringane</w:t>
      </w:r>
      <w:proofErr w:type="spellEnd"/>
      <w:r w:rsidRPr="00CC19F7">
        <w:t xml:space="preserve"> som ei eiga og uavhengig eining i NVEs organisasjon, med </w:t>
      </w:r>
      <w:proofErr w:type="spellStart"/>
      <w:r w:rsidRPr="00CC19F7">
        <w:t>eit</w:t>
      </w:r>
      <w:proofErr w:type="spellEnd"/>
      <w:r w:rsidRPr="00CC19F7">
        <w:t xml:space="preserve"> eige budsjett fastsett av Stortinget gjennom løyvingsvedtak, jf. kap. 1820, post 26.</w:t>
      </w:r>
    </w:p>
    <w:p w14:paraId="196D0196" w14:textId="77777777" w:rsidR="00FE02EF" w:rsidRPr="00CC19F7" w:rsidRDefault="00881E58" w:rsidP="00CC19F7">
      <w:pPr>
        <w:pStyle w:val="avsnitt-tittel"/>
      </w:pPr>
      <w:r w:rsidRPr="00CC19F7">
        <w:t>Mål</w:t>
      </w:r>
    </w:p>
    <w:p w14:paraId="05E2880D" w14:textId="77777777" w:rsidR="00FE02EF" w:rsidRPr="00CC19F7" w:rsidRDefault="00881E58" w:rsidP="00CC19F7">
      <w:proofErr w:type="spellStart"/>
      <w:r w:rsidRPr="00CC19F7">
        <w:t>RMEs</w:t>
      </w:r>
      <w:proofErr w:type="spellEnd"/>
      <w:r w:rsidRPr="00CC19F7">
        <w:t xml:space="preserve"> </w:t>
      </w:r>
      <w:proofErr w:type="spellStart"/>
      <w:r w:rsidRPr="00CC19F7">
        <w:t>hovudmål</w:t>
      </w:r>
      <w:proofErr w:type="spellEnd"/>
      <w:r w:rsidRPr="00CC19F7">
        <w:t xml:space="preserve"> er å fremme </w:t>
      </w:r>
      <w:proofErr w:type="spellStart"/>
      <w:r w:rsidRPr="00CC19F7">
        <w:t>ein</w:t>
      </w:r>
      <w:proofErr w:type="spellEnd"/>
      <w:r w:rsidRPr="00CC19F7">
        <w:t xml:space="preserve"> samfunnsøkonomisk effektiv </w:t>
      </w:r>
      <w:proofErr w:type="spellStart"/>
      <w:r w:rsidRPr="00CC19F7">
        <w:t>kraftmarknad</w:t>
      </w:r>
      <w:proofErr w:type="spellEnd"/>
      <w:r w:rsidRPr="00CC19F7">
        <w:t xml:space="preserve"> og </w:t>
      </w:r>
      <w:proofErr w:type="spellStart"/>
      <w:r w:rsidRPr="00CC19F7">
        <w:t>eit</w:t>
      </w:r>
      <w:proofErr w:type="spellEnd"/>
      <w:r w:rsidRPr="00CC19F7">
        <w:t xml:space="preserve"> </w:t>
      </w:r>
      <w:proofErr w:type="spellStart"/>
      <w:r w:rsidRPr="00CC19F7">
        <w:t>velfungerande</w:t>
      </w:r>
      <w:proofErr w:type="spellEnd"/>
      <w:r w:rsidRPr="00CC19F7">
        <w:t xml:space="preserve"> kraftsystem. For å nå </w:t>
      </w:r>
      <w:proofErr w:type="spellStart"/>
      <w:r w:rsidRPr="00CC19F7">
        <w:t>hovudmålet</w:t>
      </w:r>
      <w:proofErr w:type="spellEnd"/>
      <w:r w:rsidRPr="00CC19F7">
        <w:t xml:space="preserve"> skal RME arbeide for å nå seks </w:t>
      </w:r>
      <w:proofErr w:type="spellStart"/>
      <w:r w:rsidRPr="00CC19F7">
        <w:t>nærmare</w:t>
      </w:r>
      <w:proofErr w:type="spellEnd"/>
      <w:r w:rsidRPr="00CC19F7">
        <w:t xml:space="preserve"> spesifiserte delmål:</w:t>
      </w:r>
    </w:p>
    <w:p w14:paraId="5E8A02CF" w14:textId="77777777" w:rsidR="00FE02EF" w:rsidRPr="00CC19F7" w:rsidRDefault="00881E58" w:rsidP="00CC19F7">
      <w:pPr>
        <w:pStyle w:val="Liste"/>
      </w:pPr>
      <w:r w:rsidRPr="00CC19F7">
        <w:t xml:space="preserve">ha oppsyn med </w:t>
      </w:r>
      <w:proofErr w:type="spellStart"/>
      <w:r w:rsidRPr="00CC19F7">
        <w:t>elektrisitetsmarknadene</w:t>
      </w:r>
      <w:proofErr w:type="spellEnd"/>
      <w:r w:rsidRPr="00CC19F7">
        <w:t xml:space="preserve"> og bidra til effektive </w:t>
      </w:r>
      <w:proofErr w:type="spellStart"/>
      <w:r w:rsidRPr="00CC19F7">
        <w:t>marknader</w:t>
      </w:r>
      <w:proofErr w:type="spellEnd"/>
      <w:r w:rsidRPr="00CC19F7">
        <w:t xml:space="preserve"> gjennom utvikling og handheving av reguleringa</w:t>
      </w:r>
    </w:p>
    <w:p w14:paraId="6F9A9FDB" w14:textId="77777777" w:rsidR="00FE02EF" w:rsidRPr="00CC19F7" w:rsidRDefault="00881E58" w:rsidP="00CC19F7">
      <w:pPr>
        <w:pStyle w:val="Liste"/>
      </w:pPr>
      <w:r w:rsidRPr="00CC19F7">
        <w:t>bidra til effektiv drift, utnytting og utvikling av kraftnettet gjennom utvikling og handheving av reguleringa</w:t>
      </w:r>
    </w:p>
    <w:p w14:paraId="19F37A8A" w14:textId="77777777" w:rsidR="00FE02EF" w:rsidRPr="00CC19F7" w:rsidRDefault="00881E58" w:rsidP="00CC19F7">
      <w:pPr>
        <w:pStyle w:val="Liste"/>
      </w:pPr>
      <w:r w:rsidRPr="00CC19F7">
        <w:t xml:space="preserve">følge opp </w:t>
      </w:r>
      <w:proofErr w:type="spellStart"/>
      <w:r w:rsidRPr="00CC19F7">
        <w:t>dei</w:t>
      </w:r>
      <w:proofErr w:type="spellEnd"/>
      <w:r w:rsidRPr="00CC19F7">
        <w:t xml:space="preserve"> </w:t>
      </w:r>
      <w:proofErr w:type="spellStart"/>
      <w:r w:rsidRPr="00CC19F7">
        <w:t>systemansvarlege</w:t>
      </w:r>
      <w:proofErr w:type="spellEnd"/>
      <w:r w:rsidRPr="00CC19F7">
        <w:t xml:space="preserve"> gjennom utvikling og handheving av reguleringa</w:t>
      </w:r>
    </w:p>
    <w:p w14:paraId="2CB0BBDA" w14:textId="77777777" w:rsidR="00FE02EF" w:rsidRPr="00CC19F7" w:rsidRDefault="00881E58" w:rsidP="00CC19F7">
      <w:pPr>
        <w:pStyle w:val="Liste"/>
      </w:pPr>
      <w:r w:rsidRPr="00CC19F7">
        <w:t xml:space="preserve">bidra til å sikre at </w:t>
      </w:r>
      <w:proofErr w:type="spellStart"/>
      <w:r w:rsidRPr="00CC19F7">
        <w:t>innanlands</w:t>
      </w:r>
      <w:proofErr w:type="spellEnd"/>
      <w:r w:rsidRPr="00CC19F7">
        <w:t xml:space="preserve"> distribusjonsnett for naturgass blir drifta på </w:t>
      </w:r>
      <w:proofErr w:type="spellStart"/>
      <w:r w:rsidRPr="00CC19F7">
        <w:t>ein</w:t>
      </w:r>
      <w:proofErr w:type="spellEnd"/>
      <w:r w:rsidRPr="00CC19F7">
        <w:t xml:space="preserve"> samfunnsmessig rasjonell måte</w:t>
      </w:r>
    </w:p>
    <w:p w14:paraId="13236B1F" w14:textId="77777777" w:rsidR="00FE02EF" w:rsidRPr="00CC19F7" w:rsidRDefault="00881E58" w:rsidP="00CC19F7">
      <w:pPr>
        <w:pStyle w:val="Liste"/>
      </w:pPr>
      <w:r w:rsidRPr="00CC19F7">
        <w:t xml:space="preserve">ha god oversikt over utviklingstrekka i det europeiske energisystemet, energipolitikken og </w:t>
      </w:r>
      <w:proofErr w:type="spellStart"/>
      <w:r w:rsidRPr="00CC19F7">
        <w:t>energimarknadsregelverket</w:t>
      </w:r>
      <w:proofErr w:type="spellEnd"/>
      <w:r w:rsidRPr="00CC19F7">
        <w:t xml:space="preserve"> i EU og korleis dette påverkar den norske </w:t>
      </w:r>
      <w:proofErr w:type="spellStart"/>
      <w:r w:rsidRPr="00CC19F7">
        <w:t>energimarknaden</w:t>
      </w:r>
      <w:proofErr w:type="spellEnd"/>
    </w:p>
    <w:p w14:paraId="50D13E55" w14:textId="77777777" w:rsidR="00FE02EF" w:rsidRPr="00CC19F7" w:rsidRDefault="00881E58" w:rsidP="00CC19F7">
      <w:pPr>
        <w:pStyle w:val="Liste"/>
      </w:pPr>
      <w:r w:rsidRPr="00CC19F7">
        <w:t>delta aktivt i regionalt og europeisk regulatorsamarbeid</w:t>
      </w:r>
    </w:p>
    <w:p w14:paraId="065113F5" w14:textId="77777777" w:rsidR="00FE02EF" w:rsidRPr="00CC19F7" w:rsidRDefault="00881E58" w:rsidP="00CC19F7">
      <w:pPr>
        <w:pStyle w:val="avsnitt-tittel"/>
      </w:pPr>
      <w:r w:rsidRPr="00CC19F7">
        <w:t>Resultat 2022</w:t>
      </w:r>
    </w:p>
    <w:p w14:paraId="6F773FA5" w14:textId="77777777" w:rsidR="00FE02EF" w:rsidRPr="00CC19F7" w:rsidRDefault="00881E58" w:rsidP="00CC19F7">
      <w:r w:rsidRPr="00CC19F7">
        <w:t xml:space="preserve">I 2022 har RME brukt </w:t>
      </w:r>
      <w:proofErr w:type="spellStart"/>
      <w:r w:rsidRPr="00CC19F7">
        <w:t>mykje</w:t>
      </w:r>
      <w:proofErr w:type="spellEnd"/>
      <w:r w:rsidRPr="00CC19F7">
        <w:t xml:space="preserve"> </w:t>
      </w:r>
      <w:proofErr w:type="spellStart"/>
      <w:r w:rsidRPr="00CC19F7">
        <w:t>ressursar</w:t>
      </w:r>
      <w:proofErr w:type="spellEnd"/>
      <w:r w:rsidRPr="00CC19F7">
        <w:t xml:space="preserve"> på arbeidet med å ta vare på norske interesser og behov på prioriterte område. </w:t>
      </w:r>
      <w:proofErr w:type="spellStart"/>
      <w:r w:rsidRPr="00CC19F7">
        <w:t>Ein</w:t>
      </w:r>
      <w:proofErr w:type="spellEnd"/>
      <w:r w:rsidRPr="00CC19F7">
        <w:t xml:space="preserve"> </w:t>
      </w:r>
      <w:proofErr w:type="spellStart"/>
      <w:r w:rsidRPr="00CC19F7">
        <w:t>meir</w:t>
      </w:r>
      <w:proofErr w:type="spellEnd"/>
      <w:r w:rsidRPr="00CC19F7">
        <w:t xml:space="preserve"> integrert kraftsektor i Norden og Europa gir behov for </w:t>
      </w:r>
      <w:proofErr w:type="spellStart"/>
      <w:r w:rsidRPr="00CC19F7">
        <w:t>meir</w:t>
      </w:r>
      <w:proofErr w:type="spellEnd"/>
      <w:r w:rsidRPr="00CC19F7">
        <w:t xml:space="preserve"> harmoniserte regelverk og </w:t>
      </w:r>
      <w:proofErr w:type="spellStart"/>
      <w:r w:rsidRPr="00CC19F7">
        <w:t>metodar</w:t>
      </w:r>
      <w:proofErr w:type="spellEnd"/>
      <w:r w:rsidRPr="00CC19F7">
        <w:t xml:space="preserve">. Dette er </w:t>
      </w:r>
      <w:proofErr w:type="spellStart"/>
      <w:r w:rsidRPr="00CC19F7">
        <w:t>eit</w:t>
      </w:r>
      <w:proofErr w:type="spellEnd"/>
      <w:r w:rsidRPr="00CC19F7">
        <w:t xml:space="preserve"> </w:t>
      </w:r>
      <w:proofErr w:type="spellStart"/>
      <w:r w:rsidRPr="00CC19F7">
        <w:t>ressurskrevjande</w:t>
      </w:r>
      <w:proofErr w:type="spellEnd"/>
      <w:r w:rsidRPr="00CC19F7">
        <w:t xml:space="preserve"> arbeid som det er viktig at RME følger tett for å ivareta norske interesser og behov. I denne </w:t>
      </w:r>
      <w:proofErr w:type="spellStart"/>
      <w:r w:rsidRPr="00CC19F7">
        <w:t>samanhengen</w:t>
      </w:r>
      <w:proofErr w:type="spellEnd"/>
      <w:r w:rsidRPr="00CC19F7">
        <w:t xml:space="preserve"> har RME deltatt aktivt i </w:t>
      </w:r>
      <w:proofErr w:type="spellStart"/>
      <w:r w:rsidRPr="00CC19F7">
        <w:t>dei</w:t>
      </w:r>
      <w:proofErr w:type="spellEnd"/>
      <w:r w:rsidRPr="00CC19F7">
        <w:t xml:space="preserve"> europeiske og regionale regulatorsamarbeida ACER, CEER og </w:t>
      </w:r>
      <w:proofErr w:type="spellStart"/>
      <w:r w:rsidRPr="00CC19F7">
        <w:t>NordREG</w:t>
      </w:r>
      <w:proofErr w:type="spellEnd"/>
      <w:r w:rsidRPr="00CC19F7">
        <w:t xml:space="preserve"> med arbeid knytt til regelverksutvikling og regeltolking.</w:t>
      </w:r>
    </w:p>
    <w:p w14:paraId="4CD18C22" w14:textId="77777777" w:rsidR="00FE02EF" w:rsidRPr="00CC19F7" w:rsidRDefault="00881E58" w:rsidP="00CC19F7">
      <w:r w:rsidRPr="00CC19F7">
        <w:t xml:space="preserve">I 2021 blei fire </w:t>
      </w:r>
      <w:proofErr w:type="spellStart"/>
      <w:r w:rsidRPr="00CC19F7">
        <w:t>kommisjonsforordningar</w:t>
      </w:r>
      <w:proofErr w:type="spellEnd"/>
      <w:r w:rsidRPr="00CC19F7">
        <w:t xml:space="preserve"> under tredje </w:t>
      </w:r>
      <w:proofErr w:type="spellStart"/>
      <w:r w:rsidRPr="00CC19F7">
        <w:t>energimarknadspakke</w:t>
      </w:r>
      <w:proofErr w:type="spellEnd"/>
      <w:r w:rsidRPr="00CC19F7">
        <w:t xml:space="preserve"> innlemma i EØS-avtalen og gjennomførte i norsk rett. Etterslep i gjennomføring av EØS-relevant regelverk og kompleksiteten i regelverket skaper </w:t>
      </w:r>
      <w:proofErr w:type="spellStart"/>
      <w:r w:rsidRPr="00CC19F7">
        <w:t>nokre</w:t>
      </w:r>
      <w:proofErr w:type="spellEnd"/>
      <w:r w:rsidRPr="00CC19F7">
        <w:t xml:space="preserve"> </w:t>
      </w:r>
      <w:proofErr w:type="spellStart"/>
      <w:r w:rsidRPr="00CC19F7">
        <w:t>utfordringar</w:t>
      </w:r>
      <w:proofErr w:type="spellEnd"/>
      <w:r w:rsidRPr="00CC19F7">
        <w:t xml:space="preserve">. Dei andre europeiske </w:t>
      </w:r>
      <w:proofErr w:type="spellStart"/>
      <w:r w:rsidRPr="00CC19F7">
        <w:t>reguleringsmyndigheitene</w:t>
      </w:r>
      <w:proofErr w:type="spellEnd"/>
      <w:r w:rsidRPr="00CC19F7">
        <w:t xml:space="preserve"> </w:t>
      </w:r>
      <w:proofErr w:type="spellStart"/>
      <w:r w:rsidRPr="00CC19F7">
        <w:t>rettar</w:t>
      </w:r>
      <w:proofErr w:type="spellEnd"/>
      <w:r w:rsidRPr="00CC19F7">
        <w:t xml:space="preserve"> seg etter Rein energi-pakken </w:t>
      </w:r>
      <w:proofErr w:type="spellStart"/>
      <w:r w:rsidRPr="00CC19F7">
        <w:t>frå</w:t>
      </w:r>
      <w:proofErr w:type="spellEnd"/>
      <w:r w:rsidRPr="00CC19F7">
        <w:t xml:space="preserve"> 2019, </w:t>
      </w:r>
      <w:proofErr w:type="spellStart"/>
      <w:r w:rsidRPr="00CC19F7">
        <w:t>medan</w:t>
      </w:r>
      <w:proofErr w:type="spellEnd"/>
      <w:r w:rsidRPr="00CC19F7">
        <w:t xml:space="preserve"> RME </w:t>
      </w:r>
      <w:proofErr w:type="spellStart"/>
      <w:r w:rsidRPr="00CC19F7">
        <w:t>rettar</w:t>
      </w:r>
      <w:proofErr w:type="spellEnd"/>
      <w:r w:rsidRPr="00CC19F7">
        <w:t xml:space="preserve"> seg etter regelverk i </w:t>
      </w:r>
      <w:proofErr w:type="spellStart"/>
      <w:r w:rsidRPr="00CC19F7">
        <w:t>medhald</w:t>
      </w:r>
      <w:proofErr w:type="spellEnd"/>
      <w:r w:rsidRPr="00CC19F7">
        <w:t xml:space="preserve"> av den tredje </w:t>
      </w:r>
      <w:proofErr w:type="spellStart"/>
      <w:r w:rsidRPr="00CC19F7">
        <w:t>energimarknadspakken</w:t>
      </w:r>
      <w:proofErr w:type="spellEnd"/>
      <w:r w:rsidRPr="00CC19F7">
        <w:t xml:space="preserve"> </w:t>
      </w:r>
      <w:proofErr w:type="spellStart"/>
      <w:r w:rsidRPr="00CC19F7">
        <w:t>frå</w:t>
      </w:r>
      <w:proofErr w:type="spellEnd"/>
      <w:r w:rsidRPr="00CC19F7">
        <w:t xml:space="preserve"> 2009. Mellom anna skal </w:t>
      </w:r>
      <w:proofErr w:type="spellStart"/>
      <w:r w:rsidRPr="00CC19F7">
        <w:t>reguleringsmyndigheitene</w:t>
      </w:r>
      <w:proofErr w:type="spellEnd"/>
      <w:r w:rsidRPr="00CC19F7">
        <w:t xml:space="preserve"> </w:t>
      </w:r>
      <w:proofErr w:type="spellStart"/>
      <w:r w:rsidRPr="00CC19F7">
        <w:t>gjere</w:t>
      </w:r>
      <w:proofErr w:type="spellEnd"/>
      <w:r w:rsidRPr="00CC19F7">
        <w:t xml:space="preserve"> ei rekke vedtak om godkjenning av felles </w:t>
      </w:r>
      <w:proofErr w:type="spellStart"/>
      <w:r w:rsidRPr="00CC19F7">
        <w:t>løysingar</w:t>
      </w:r>
      <w:proofErr w:type="spellEnd"/>
      <w:r w:rsidRPr="00CC19F7">
        <w:t xml:space="preserve"> som er utvikla av </w:t>
      </w:r>
      <w:proofErr w:type="spellStart"/>
      <w:r w:rsidRPr="00CC19F7">
        <w:t>operatørane</w:t>
      </w:r>
      <w:proofErr w:type="spellEnd"/>
      <w:r w:rsidRPr="00CC19F7">
        <w:t xml:space="preserve"> av kraftsystem (som Statnett) og </w:t>
      </w:r>
      <w:proofErr w:type="spellStart"/>
      <w:r w:rsidRPr="00CC19F7">
        <w:t>kraftbørsar</w:t>
      </w:r>
      <w:proofErr w:type="spellEnd"/>
      <w:r w:rsidRPr="00CC19F7">
        <w:t xml:space="preserve"> (som Nord Pool) for å vareta effektiv og sikker drift av kraftsystemet. Dette er til tekniske vilkår og </w:t>
      </w:r>
      <w:proofErr w:type="spellStart"/>
      <w:r w:rsidRPr="00CC19F7">
        <w:t>metodar</w:t>
      </w:r>
      <w:proofErr w:type="spellEnd"/>
      <w:r w:rsidRPr="00CC19F7">
        <w:t xml:space="preserve"> for drift av kraftsystemet som </w:t>
      </w:r>
      <w:proofErr w:type="spellStart"/>
      <w:r w:rsidRPr="00CC19F7">
        <w:t>reguleringsmyndigheitene</w:t>
      </w:r>
      <w:proofErr w:type="spellEnd"/>
      <w:r w:rsidRPr="00CC19F7">
        <w:t xml:space="preserve"> skal godkjenne, dels også </w:t>
      </w:r>
      <w:proofErr w:type="spellStart"/>
      <w:r w:rsidRPr="00CC19F7">
        <w:t>innanfor</w:t>
      </w:r>
      <w:proofErr w:type="spellEnd"/>
      <w:r w:rsidRPr="00CC19F7">
        <w:t xml:space="preserve"> ACER (</w:t>
      </w:r>
      <w:proofErr w:type="spellStart"/>
      <w:r w:rsidRPr="00CC19F7">
        <w:t>Agency</w:t>
      </w:r>
      <w:proofErr w:type="spellEnd"/>
      <w:r w:rsidRPr="00CC19F7">
        <w:t xml:space="preserve"> for </w:t>
      </w:r>
      <w:proofErr w:type="spellStart"/>
      <w:r w:rsidRPr="00CC19F7">
        <w:t>the</w:t>
      </w:r>
      <w:proofErr w:type="spellEnd"/>
      <w:r w:rsidRPr="00CC19F7">
        <w:t xml:space="preserve"> Cooperation </w:t>
      </w:r>
      <w:proofErr w:type="spellStart"/>
      <w:r w:rsidRPr="00CC19F7">
        <w:t>of</w:t>
      </w:r>
      <w:proofErr w:type="spellEnd"/>
      <w:r w:rsidRPr="00CC19F7">
        <w:t xml:space="preserve"> Energy Regulators). RME deltar i slike </w:t>
      </w:r>
      <w:proofErr w:type="spellStart"/>
      <w:r w:rsidRPr="00CC19F7">
        <w:t>prosessar</w:t>
      </w:r>
      <w:proofErr w:type="spellEnd"/>
      <w:r w:rsidRPr="00CC19F7">
        <w:t xml:space="preserve"> i tråd med EØS-avtalen. Det kan gjelde tekniske og praktisk viktige spørsmål for den </w:t>
      </w:r>
      <w:proofErr w:type="spellStart"/>
      <w:r w:rsidRPr="00CC19F7">
        <w:t>vidare</w:t>
      </w:r>
      <w:proofErr w:type="spellEnd"/>
      <w:r w:rsidRPr="00CC19F7">
        <w:t xml:space="preserve"> utviklinga av </w:t>
      </w:r>
      <w:proofErr w:type="spellStart"/>
      <w:r w:rsidRPr="00CC19F7">
        <w:t>eit</w:t>
      </w:r>
      <w:proofErr w:type="spellEnd"/>
      <w:r w:rsidRPr="00CC19F7">
        <w:t xml:space="preserve"> integrert kraftsystem mellom landa, der det er nødvendig med felles </w:t>
      </w:r>
      <w:proofErr w:type="spellStart"/>
      <w:r w:rsidRPr="00CC19F7">
        <w:t>løysingar</w:t>
      </w:r>
      <w:proofErr w:type="spellEnd"/>
      <w:r w:rsidRPr="00CC19F7">
        <w:t xml:space="preserve"> med omsyn til effektiv og sikker drift. I 2022 har nasjonal gjennomføring og implementering av </w:t>
      </w:r>
      <w:proofErr w:type="spellStart"/>
      <w:r w:rsidRPr="00CC19F7">
        <w:t>kommisjonsforordningane</w:t>
      </w:r>
      <w:proofErr w:type="spellEnd"/>
      <w:r w:rsidRPr="00CC19F7">
        <w:t xml:space="preserve"> med </w:t>
      </w:r>
      <w:proofErr w:type="spellStart"/>
      <w:r w:rsidRPr="00CC19F7">
        <w:t>tilhøyrande</w:t>
      </w:r>
      <w:proofErr w:type="spellEnd"/>
      <w:r w:rsidRPr="00CC19F7">
        <w:t xml:space="preserve"> vilkår og </w:t>
      </w:r>
      <w:proofErr w:type="spellStart"/>
      <w:r w:rsidRPr="00CC19F7">
        <w:t>metodar</w:t>
      </w:r>
      <w:proofErr w:type="spellEnd"/>
      <w:r w:rsidRPr="00CC19F7">
        <w:t xml:space="preserve"> </w:t>
      </w:r>
      <w:proofErr w:type="spellStart"/>
      <w:r w:rsidRPr="00CC19F7">
        <w:t>vore</w:t>
      </w:r>
      <w:proofErr w:type="spellEnd"/>
      <w:r w:rsidRPr="00CC19F7">
        <w:t xml:space="preserve"> </w:t>
      </w:r>
      <w:proofErr w:type="spellStart"/>
      <w:r w:rsidRPr="00CC19F7">
        <w:t>arbeidskrevjande</w:t>
      </w:r>
      <w:proofErr w:type="spellEnd"/>
      <w:r w:rsidRPr="00CC19F7">
        <w:t xml:space="preserve"> for RME. Arbeidet vil </w:t>
      </w:r>
      <w:proofErr w:type="spellStart"/>
      <w:r w:rsidRPr="00CC19F7">
        <w:t>halde</w:t>
      </w:r>
      <w:proofErr w:type="spellEnd"/>
      <w:r w:rsidRPr="00CC19F7">
        <w:t xml:space="preserve"> fram i 2023. I løpet av 2022 har RME gjort vedtak og godkjent 24 </w:t>
      </w:r>
      <w:proofErr w:type="spellStart"/>
      <w:r w:rsidRPr="00CC19F7">
        <w:t>metodar</w:t>
      </w:r>
      <w:proofErr w:type="spellEnd"/>
      <w:r w:rsidRPr="00CC19F7">
        <w:t xml:space="preserve">, og har med det redusert etterslepet på implementeringa av </w:t>
      </w:r>
      <w:proofErr w:type="spellStart"/>
      <w:r w:rsidRPr="00CC19F7">
        <w:t>kommisjonsforordningane</w:t>
      </w:r>
      <w:proofErr w:type="spellEnd"/>
      <w:r w:rsidRPr="00CC19F7">
        <w:t>.</w:t>
      </w:r>
    </w:p>
    <w:p w14:paraId="1DF9E379" w14:textId="77777777" w:rsidR="00FE02EF" w:rsidRPr="00CC19F7" w:rsidRDefault="00881E58" w:rsidP="00CC19F7">
      <w:r w:rsidRPr="00CC19F7">
        <w:t xml:space="preserve">I Rein energi-pakken har RME arbeidd spesielt med delen om </w:t>
      </w:r>
      <w:proofErr w:type="spellStart"/>
      <w:r w:rsidRPr="00CC19F7">
        <w:t>marknadsdesign</w:t>
      </w:r>
      <w:proofErr w:type="spellEnd"/>
      <w:r w:rsidRPr="00CC19F7">
        <w:t xml:space="preserve">, som blei vedtatt i EU i 2019, og har gitt </w:t>
      </w:r>
      <w:proofErr w:type="spellStart"/>
      <w:r w:rsidRPr="00CC19F7">
        <w:t>innspel</w:t>
      </w:r>
      <w:proofErr w:type="spellEnd"/>
      <w:r w:rsidRPr="00CC19F7">
        <w:t xml:space="preserve"> til OED om dette regelverket.</w:t>
      </w:r>
    </w:p>
    <w:p w14:paraId="16985ABF" w14:textId="77777777" w:rsidR="00FE02EF" w:rsidRPr="00CC19F7" w:rsidRDefault="00881E58" w:rsidP="00CC19F7">
      <w:r w:rsidRPr="00CC19F7">
        <w:t xml:space="preserve">RME er </w:t>
      </w:r>
      <w:proofErr w:type="spellStart"/>
      <w:r w:rsidRPr="00CC19F7">
        <w:t>reguleringsmyndigheit</w:t>
      </w:r>
      <w:proofErr w:type="spellEnd"/>
      <w:r w:rsidRPr="00CC19F7">
        <w:t xml:space="preserve"> for </w:t>
      </w:r>
      <w:proofErr w:type="spellStart"/>
      <w:r w:rsidRPr="00CC19F7">
        <w:t>innanlandsk</w:t>
      </w:r>
      <w:proofErr w:type="spellEnd"/>
      <w:r w:rsidRPr="00CC19F7">
        <w:t xml:space="preserve"> gassdistribusjon i </w:t>
      </w:r>
      <w:proofErr w:type="spellStart"/>
      <w:r w:rsidRPr="00CC19F7">
        <w:t>Noreg</w:t>
      </w:r>
      <w:proofErr w:type="spellEnd"/>
      <w:r w:rsidRPr="00CC19F7">
        <w:t xml:space="preserve">. Med verknad </w:t>
      </w:r>
      <w:proofErr w:type="spellStart"/>
      <w:r w:rsidRPr="00CC19F7">
        <w:t>frå</w:t>
      </w:r>
      <w:proofErr w:type="spellEnd"/>
      <w:r w:rsidRPr="00CC19F7">
        <w:t xml:space="preserve"> februar 2021 er </w:t>
      </w:r>
      <w:proofErr w:type="spellStart"/>
      <w:r w:rsidRPr="00CC19F7">
        <w:t>Gasnor</w:t>
      </w:r>
      <w:proofErr w:type="spellEnd"/>
      <w:r w:rsidRPr="00CC19F7">
        <w:t xml:space="preserve"> AS og Lyse Neo AS </w:t>
      </w:r>
      <w:proofErr w:type="spellStart"/>
      <w:r w:rsidRPr="00CC19F7">
        <w:t>utpeika</w:t>
      </w:r>
      <w:proofErr w:type="spellEnd"/>
      <w:r w:rsidRPr="00CC19F7">
        <w:t xml:space="preserve"> som </w:t>
      </w:r>
      <w:proofErr w:type="spellStart"/>
      <w:r w:rsidRPr="00CC19F7">
        <w:t>systemoperatørar</w:t>
      </w:r>
      <w:proofErr w:type="spellEnd"/>
      <w:r w:rsidRPr="00CC19F7">
        <w:t xml:space="preserve"> for kvart sitt distribusjonsnett for gass. </w:t>
      </w:r>
      <w:proofErr w:type="spellStart"/>
      <w:r w:rsidRPr="00CC19F7">
        <w:t>Naturgassmarknaden</w:t>
      </w:r>
      <w:proofErr w:type="spellEnd"/>
      <w:r w:rsidRPr="00CC19F7">
        <w:t xml:space="preserve"> i </w:t>
      </w:r>
      <w:proofErr w:type="spellStart"/>
      <w:r w:rsidRPr="00CC19F7">
        <w:t>Noreg</w:t>
      </w:r>
      <w:proofErr w:type="spellEnd"/>
      <w:r w:rsidRPr="00CC19F7">
        <w:t xml:space="preserve"> er liten </w:t>
      </w:r>
      <w:proofErr w:type="spellStart"/>
      <w:r w:rsidRPr="00CC19F7">
        <w:t>samanlikna</w:t>
      </w:r>
      <w:proofErr w:type="spellEnd"/>
      <w:r w:rsidRPr="00CC19F7">
        <w:t xml:space="preserve"> med </w:t>
      </w:r>
      <w:proofErr w:type="spellStart"/>
      <w:r w:rsidRPr="00CC19F7">
        <w:t>gassmarknaden</w:t>
      </w:r>
      <w:proofErr w:type="spellEnd"/>
      <w:r w:rsidRPr="00CC19F7">
        <w:t xml:space="preserve"> i Europa. Reguleringa vil i størst </w:t>
      </w:r>
      <w:proofErr w:type="spellStart"/>
      <w:r w:rsidRPr="00CC19F7">
        <w:t>mogleg</w:t>
      </w:r>
      <w:proofErr w:type="spellEnd"/>
      <w:r w:rsidRPr="00CC19F7">
        <w:t xml:space="preserve"> grad bli tilpassa norske forhold. I desember 2022 sende RME ut </w:t>
      </w:r>
      <w:proofErr w:type="spellStart"/>
      <w:r w:rsidRPr="00CC19F7">
        <w:t>eit</w:t>
      </w:r>
      <w:proofErr w:type="spellEnd"/>
      <w:r w:rsidRPr="00CC19F7">
        <w:t xml:space="preserve"> vedtak om godkjenning av vilkår for tilgang til distribusjonsnettet til </w:t>
      </w:r>
      <w:proofErr w:type="spellStart"/>
      <w:r w:rsidRPr="00CC19F7">
        <w:t>Gasnor</w:t>
      </w:r>
      <w:proofErr w:type="spellEnd"/>
      <w:r w:rsidRPr="00CC19F7">
        <w:t xml:space="preserve"> AS og </w:t>
      </w:r>
      <w:proofErr w:type="spellStart"/>
      <w:r w:rsidRPr="00CC19F7">
        <w:t>balansetenestene</w:t>
      </w:r>
      <w:proofErr w:type="spellEnd"/>
      <w:r w:rsidRPr="00CC19F7">
        <w:t xml:space="preserve"> </w:t>
      </w:r>
      <w:proofErr w:type="spellStart"/>
      <w:r w:rsidRPr="00CC19F7">
        <w:t>deira</w:t>
      </w:r>
      <w:proofErr w:type="spellEnd"/>
      <w:r w:rsidRPr="00CC19F7">
        <w:t xml:space="preserve"> og </w:t>
      </w:r>
      <w:proofErr w:type="spellStart"/>
      <w:r w:rsidRPr="00CC19F7">
        <w:t>eit</w:t>
      </w:r>
      <w:proofErr w:type="spellEnd"/>
      <w:r w:rsidRPr="00CC19F7">
        <w:t xml:space="preserve"> vedtak om fastsetting av </w:t>
      </w:r>
      <w:proofErr w:type="spellStart"/>
      <w:r w:rsidRPr="00CC19F7">
        <w:t>tariffar</w:t>
      </w:r>
      <w:proofErr w:type="spellEnd"/>
      <w:r w:rsidRPr="00CC19F7">
        <w:t xml:space="preserve"> for tredjepartstilgang til distribusjonsnettet til </w:t>
      </w:r>
      <w:proofErr w:type="spellStart"/>
      <w:r w:rsidRPr="00CC19F7">
        <w:t>Gasnor</w:t>
      </w:r>
      <w:proofErr w:type="spellEnd"/>
      <w:r w:rsidRPr="00CC19F7">
        <w:t xml:space="preserve"> AS. Vedtaka </w:t>
      </w:r>
      <w:proofErr w:type="spellStart"/>
      <w:r w:rsidRPr="00CC19F7">
        <w:t>set</w:t>
      </w:r>
      <w:proofErr w:type="spellEnd"/>
      <w:r w:rsidRPr="00CC19F7">
        <w:t xml:space="preserve"> rammene for kva vilkår og </w:t>
      </w:r>
      <w:proofErr w:type="spellStart"/>
      <w:r w:rsidRPr="00CC19F7">
        <w:t>metodar</w:t>
      </w:r>
      <w:proofErr w:type="spellEnd"/>
      <w:r w:rsidRPr="00CC19F7">
        <w:t xml:space="preserve"> </w:t>
      </w:r>
      <w:proofErr w:type="spellStart"/>
      <w:r w:rsidRPr="00CC19F7">
        <w:t>tredjepartar</w:t>
      </w:r>
      <w:proofErr w:type="spellEnd"/>
      <w:r w:rsidRPr="00CC19F7">
        <w:t xml:space="preserve"> må rette seg etter </w:t>
      </w:r>
      <w:proofErr w:type="spellStart"/>
      <w:r w:rsidRPr="00CC19F7">
        <w:t>og</w:t>
      </w:r>
      <w:proofErr w:type="spellEnd"/>
      <w:r w:rsidRPr="00CC19F7">
        <w:t xml:space="preserve"> ha for å få tilgang til distribusjonsnettet og </w:t>
      </w:r>
      <w:proofErr w:type="spellStart"/>
      <w:r w:rsidRPr="00CC19F7">
        <w:t>balansetenestene</w:t>
      </w:r>
      <w:proofErr w:type="spellEnd"/>
      <w:r w:rsidRPr="00CC19F7">
        <w:t xml:space="preserve"> til </w:t>
      </w:r>
      <w:proofErr w:type="spellStart"/>
      <w:r w:rsidRPr="00CC19F7">
        <w:t>Gasnor</w:t>
      </w:r>
      <w:proofErr w:type="spellEnd"/>
      <w:r w:rsidRPr="00CC19F7">
        <w:t xml:space="preserve"> i 2023 og 2024.</w:t>
      </w:r>
    </w:p>
    <w:p w14:paraId="6DDE174B" w14:textId="77777777" w:rsidR="00FE02EF" w:rsidRPr="00CC19F7" w:rsidRDefault="00881E58" w:rsidP="00CC19F7">
      <w:r w:rsidRPr="00CC19F7">
        <w:t xml:space="preserve">RME har sett i gang </w:t>
      </w:r>
      <w:proofErr w:type="spellStart"/>
      <w:r w:rsidRPr="00CC19F7">
        <w:t>fleire</w:t>
      </w:r>
      <w:proofErr w:type="spellEnd"/>
      <w:r w:rsidRPr="00CC19F7">
        <w:t xml:space="preserve"> tiltak for å bidra til effektive </w:t>
      </w:r>
      <w:proofErr w:type="spellStart"/>
      <w:r w:rsidRPr="00CC19F7">
        <w:t>kraftmarknader</w:t>
      </w:r>
      <w:proofErr w:type="spellEnd"/>
      <w:r w:rsidRPr="00CC19F7">
        <w:t xml:space="preserve">. RME har foreslått </w:t>
      </w:r>
      <w:proofErr w:type="spellStart"/>
      <w:r w:rsidRPr="00CC19F7">
        <w:t>forskriftsendringar</w:t>
      </w:r>
      <w:proofErr w:type="spellEnd"/>
      <w:r w:rsidRPr="00CC19F7">
        <w:t xml:space="preserve"> og gjennomført tilsyn for å sikre at det </w:t>
      </w:r>
      <w:proofErr w:type="spellStart"/>
      <w:r w:rsidRPr="00CC19F7">
        <w:t>eksisterande</w:t>
      </w:r>
      <w:proofErr w:type="spellEnd"/>
      <w:r w:rsidRPr="00CC19F7">
        <w:t xml:space="preserve"> regelverket blir </w:t>
      </w:r>
      <w:proofErr w:type="spellStart"/>
      <w:r w:rsidRPr="00CC19F7">
        <w:t>følgt</w:t>
      </w:r>
      <w:proofErr w:type="spellEnd"/>
      <w:r w:rsidRPr="00CC19F7">
        <w:t xml:space="preserve">. RME har også </w:t>
      </w:r>
      <w:proofErr w:type="spellStart"/>
      <w:r w:rsidRPr="00CC19F7">
        <w:t>arbeidd</w:t>
      </w:r>
      <w:proofErr w:type="spellEnd"/>
      <w:r w:rsidRPr="00CC19F7">
        <w:t xml:space="preserve"> </w:t>
      </w:r>
      <w:proofErr w:type="spellStart"/>
      <w:r w:rsidRPr="00CC19F7">
        <w:t>mykje</w:t>
      </w:r>
      <w:proofErr w:type="spellEnd"/>
      <w:r w:rsidRPr="00CC19F7">
        <w:t xml:space="preserve"> med nasjonal gjennomføring og implementering av </w:t>
      </w:r>
      <w:proofErr w:type="spellStart"/>
      <w:r w:rsidRPr="00CC19F7">
        <w:t>kommisjonsforordningar</w:t>
      </w:r>
      <w:proofErr w:type="spellEnd"/>
      <w:r w:rsidRPr="00CC19F7">
        <w:t xml:space="preserve"> som er sentrale for moderniseringa av kraftsystemet.</w:t>
      </w:r>
    </w:p>
    <w:p w14:paraId="7C308424" w14:textId="77777777" w:rsidR="00FE02EF" w:rsidRPr="00CC19F7" w:rsidRDefault="00881E58" w:rsidP="00CC19F7">
      <w:r w:rsidRPr="00CC19F7">
        <w:t xml:space="preserve">RME har </w:t>
      </w:r>
      <w:proofErr w:type="spellStart"/>
      <w:r w:rsidRPr="00CC19F7">
        <w:t>arbeidd</w:t>
      </w:r>
      <w:proofErr w:type="spellEnd"/>
      <w:r w:rsidRPr="00CC19F7">
        <w:t xml:space="preserve"> med </w:t>
      </w:r>
      <w:proofErr w:type="spellStart"/>
      <w:r w:rsidRPr="00CC19F7">
        <w:t>endringar</w:t>
      </w:r>
      <w:proofErr w:type="spellEnd"/>
      <w:r w:rsidRPr="00CC19F7">
        <w:t xml:space="preserve"> knytte til den økonomiske reguleringa, slik at inntektsrammene blei </w:t>
      </w:r>
      <w:proofErr w:type="spellStart"/>
      <w:r w:rsidRPr="00CC19F7">
        <w:t>meir</w:t>
      </w:r>
      <w:proofErr w:type="spellEnd"/>
      <w:r w:rsidRPr="00CC19F7">
        <w:t xml:space="preserve"> presise ved at </w:t>
      </w:r>
      <w:proofErr w:type="spellStart"/>
      <w:r w:rsidRPr="00CC19F7">
        <w:t>dei</w:t>
      </w:r>
      <w:proofErr w:type="spellEnd"/>
      <w:r w:rsidRPr="00CC19F7">
        <w:t xml:space="preserve"> blir korrigerte for rammevilkår, og ei ny utforming av </w:t>
      </w:r>
      <w:proofErr w:type="spellStart"/>
      <w:r w:rsidRPr="00CC19F7">
        <w:t>nettleiga</w:t>
      </w:r>
      <w:proofErr w:type="spellEnd"/>
      <w:r w:rsidRPr="00CC19F7">
        <w:t xml:space="preserve"> som gir </w:t>
      </w:r>
      <w:proofErr w:type="spellStart"/>
      <w:r w:rsidRPr="00CC19F7">
        <w:t>kundane</w:t>
      </w:r>
      <w:proofErr w:type="spellEnd"/>
      <w:r w:rsidRPr="00CC19F7">
        <w:t xml:space="preserve"> insentiv til å utnytte nettet </w:t>
      </w:r>
      <w:proofErr w:type="spellStart"/>
      <w:r w:rsidRPr="00CC19F7">
        <w:t>meir</w:t>
      </w:r>
      <w:proofErr w:type="spellEnd"/>
      <w:r w:rsidRPr="00CC19F7">
        <w:t xml:space="preserve"> effektivt. RME har hatt </w:t>
      </w:r>
      <w:proofErr w:type="spellStart"/>
      <w:r w:rsidRPr="00CC19F7">
        <w:t>ein</w:t>
      </w:r>
      <w:proofErr w:type="spellEnd"/>
      <w:r w:rsidRPr="00CC19F7">
        <w:t xml:space="preserve"> gjennomgang av driftskoordineringa i kraftsystemet som </w:t>
      </w:r>
      <w:proofErr w:type="spellStart"/>
      <w:r w:rsidRPr="00CC19F7">
        <w:t>peikar</w:t>
      </w:r>
      <w:proofErr w:type="spellEnd"/>
      <w:r w:rsidRPr="00CC19F7">
        <w:t xml:space="preserve"> på at </w:t>
      </w:r>
      <w:proofErr w:type="spellStart"/>
      <w:r w:rsidRPr="00CC19F7">
        <w:t>auka</w:t>
      </w:r>
      <w:proofErr w:type="spellEnd"/>
      <w:r w:rsidRPr="00CC19F7">
        <w:t xml:space="preserve"> digital informasjonsutveksling vil </w:t>
      </w:r>
      <w:proofErr w:type="spellStart"/>
      <w:r w:rsidRPr="00CC19F7">
        <w:t>vere</w:t>
      </w:r>
      <w:proofErr w:type="spellEnd"/>
      <w:r w:rsidRPr="00CC19F7">
        <w:t xml:space="preserve"> sentralt i framtida.</w:t>
      </w:r>
    </w:p>
    <w:p w14:paraId="6C4A487E" w14:textId="77777777" w:rsidR="00FE02EF" w:rsidRPr="00CC19F7" w:rsidRDefault="00881E58" w:rsidP="00CC19F7">
      <w:r w:rsidRPr="00CC19F7">
        <w:t xml:space="preserve">RME har vedtatt </w:t>
      </w:r>
      <w:proofErr w:type="spellStart"/>
      <w:r w:rsidRPr="00CC19F7">
        <w:t>tillaten</w:t>
      </w:r>
      <w:proofErr w:type="spellEnd"/>
      <w:r w:rsidRPr="00CC19F7">
        <w:t xml:space="preserve"> regulert inntekt og godkjent gebyrmodell for </w:t>
      </w:r>
      <w:proofErr w:type="spellStart"/>
      <w:r w:rsidRPr="00CC19F7">
        <w:t>Elhub</w:t>
      </w:r>
      <w:proofErr w:type="spellEnd"/>
      <w:r w:rsidRPr="00CC19F7">
        <w:t xml:space="preserve">. Nye gebyr tredde i kraft 1. januar 2023 og gjeld for reguleringsperioden 2023–2025. Gebyrinntekta skal over tid dekke kostnadene ved drift og avskriving av varige </w:t>
      </w:r>
      <w:proofErr w:type="spellStart"/>
      <w:r w:rsidRPr="00CC19F7">
        <w:t>driftsmidlar</w:t>
      </w:r>
      <w:proofErr w:type="spellEnd"/>
      <w:r w:rsidRPr="00CC19F7">
        <w:t xml:space="preserve"> og andre </w:t>
      </w:r>
      <w:proofErr w:type="spellStart"/>
      <w:r w:rsidRPr="00CC19F7">
        <w:t>eigedelar</w:t>
      </w:r>
      <w:proofErr w:type="spellEnd"/>
      <w:r w:rsidRPr="00CC19F7">
        <w:t xml:space="preserve"> og gi ei </w:t>
      </w:r>
      <w:proofErr w:type="spellStart"/>
      <w:r w:rsidRPr="00CC19F7">
        <w:t>rimeleg</w:t>
      </w:r>
      <w:proofErr w:type="spellEnd"/>
      <w:r w:rsidRPr="00CC19F7">
        <w:t xml:space="preserve"> avkastning på investert kapital, gitt effektiv utvikling, drift og </w:t>
      </w:r>
      <w:proofErr w:type="spellStart"/>
      <w:r w:rsidRPr="00CC19F7">
        <w:t>vedlikehald</w:t>
      </w:r>
      <w:proofErr w:type="spellEnd"/>
      <w:r w:rsidRPr="00CC19F7">
        <w:t xml:space="preserve"> av </w:t>
      </w:r>
      <w:proofErr w:type="spellStart"/>
      <w:r w:rsidRPr="00CC19F7">
        <w:t>Elhub</w:t>
      </w:r>
      <w:proofErr w:type="spellEnd"/>
      <w:r w:rsidRPr="00CC19F7">
        <w:t>.</w:t>
      </w:r>
    </w:p>
    <w:p w14:paraId="78CC0DDE" w14:textId="77777777" w:rsidR="00FE02EF" w:rsidRPr="00CC19F7" w:rsidRDefault="00881E58" w:rsidP="00CC19F7">
      <w:r w:rsidRPr="00CC19F7">
        <w:t xml:space="preserve">I samarbeid med Forbrukartilsynet har RME gjennomført tiltak for å betre informasjonen til </w:t>
      </w:r>
      <w:proofErr w:type="spellStart"/>
      <w:r w:rsidRPr="00CC19F7">
        <w:t>forbrukarane</w:t>
      </w:r>
      <w:proofErr w:type="spellEnd"/>
      <w:r w:rsidRPr="00CC19F7">
        <w:t xml:space="preserve"> i </w:t>
      </w:r>
      <w:proofErr w:type="spellStart"/>
      <w:r w:rsidRPr="00CC19F7">
        <w:t>sluttbrukarmarknaden</w:t>
      </w:r>
      <w:proofErr w:type="spellEnd"/>
      <w:r w:rsidRPr="00CC19F7">
        <w:t xml:space="preserve"> for </w:t>
      </w:r>
      <w:proofErr w:type="spellStart"/>
      <w:r w:rsidRPr="00CC19F7">
        <w:t>straum</w:t>
      </w:r>
      <w:proofErr w:type="spellEnd"/>
      <w:r w:rsidRPr="00CC19F7">
        <w:t xml:space="preserve">, slik at </w:t>
      </w:r>
      <w:proofErr w:type="spellStart"/>
      <w:r w:rsidRPr="00CC19F7">
        <w:t>straumleverandørane</w:t>
      </w:r>
      <w:proofErr w:type="spellEnd"/>
      <w:r w:rsidRPr="00CC19F7">
        <w:t xml:space="preserve"> vil gi </w:t>
      </w:r>
      <w:proofErr w:type="spellStart"/>
      <w:r w:rsidRPr="00CC19F7">
        <w:t>kundane</w:t>
      </w:r>
      <w:proofErr w:type="spellEnd"/>
      <w:r w:rsidRPr="00CC19F7">
        <w:t xml:space="preserve"> betre informasjon om avtalevilkår og </w:t>
      </w:r>
      <w:proofErr w:type="spellStart"/>
      <w:r w:rsidRPr="00CC19F7">
        <w:t>prisar</w:t>
      </w:r>
      <w:proofErr w:type="spellEnd"/>
      <w:r w:rsidRPr="00CC19F7">
        <w:t xml:space="preserve">. RME har også bidratt til </w:t>
      </w:r>
      <w:proofErr w:type="spellStart"/>
      <w:r w:rsidRPr="00CC19F7">
        <w:t>endringar</w:t>
      </w:r>
      <w:proofErr w:type="spellEnd"/>
      <w:r w:rsidRPr="00CC19F7">
        <w:t xml:space="preserve"> i prisopplysningsforskrifta og forskrifta om kraftomsetning og </w:t>
      </w:r>
      <w:proofErr w:type="spellStart"/>
      <w:r w:rsidRPr="00CC19F7">
        <w:t>nettenester</w:t>
      </w:r>
      <w:proofErr w:type="spellEnd"/>
      <w:r w:rsidRPr="00CC19F7">
        <w:t xml:space="preserve">. I 2022 har RME fått laga ei rettleiing til teknisk </w:t>
      </w:r>
      <w:proofErr w:type="spellStart"/>
      <w:r w:rsidRPr="00CC19F7">
        <w:t>sikkerheitskontroll</w:t>
      </w:r>
      <w:proofErr w:type="spellEnd"/>
      <w:r w:rsidRPr="00CC19F7">
        <w:t xml:space="preserve"> som del av tilsynet for </w:t>
      </w:r>
      <w:proofErr w:type="spellStart"/>
      <w:r w:rsidRPr="00CC19F7">
        <w:t>sikkerheit</w:t>
      </w:r>
      <w:proofErr w:type="spellEnd"/>
      <w:r w:rsidRPr="00CC19F7">
        <w:t xml:space="preserve"> i avanserte måle- og styringssystem (AMS). RME har også skjerpa krava til å </w:t>
      </w:r>
      <w:proofErr w:type="spellStart"/>
      <w:r w:rsidRPr="00CC19F7">
        <w:t>opne</w:t>
      </w:r>
      <w:proofErr w:type="spellEnd"/>
      <w:r w:rsidRPr="00CC19F7">
        <w:t xml:space="preserve"> og </w:t>
      </w:r>
      <w:proofErr w:type="spellStart"/>
      <w:r w:rsidRPr="00CC19F7">
        <w:t>gjere</w:t>
      </w:r>
      <w:proofErr w:type="spellEnd"/>
      <w:r w:rsidRPr="00CC19F7">
        <w:t xml:space="preserve"> informasjon </w:t>
      </w:r>
      <w:proofErr w:type="spellStart"/>
      <w:r w:rsidRPr="00CC19F7">
        <w:t>frå</w:t>
      </w:r>
      <w:proofErr w:type="spellEnd"/>
      <w:r w:rsidRPr="00CC19F7">
        <w:t xml:space="preserve"> HAN-porten i AMS-</w:t>
      </w:r>
      <w:proofErr w:type="spellStart"/>
      <w:r w:rsidRPr="00CC19F7">
        <w:t>målarane</w:t>
      </w:r>
      <w:proofErr w:type="spellEnd"/>
      <w:r w:rsidRPr="00CC19F7">
        <w:t xml:space="preserve"> </w:t>
      </w:r>
      <w:proofErr w:type="spellStart"/>
      <w:r w:rsidRPr="00CC19F7">
        <w:t>tilgjengeleg</w:t>
      </w:r>
      <w:proofErr w:type="spellEnd"/>
      <w:r w:rsidRPr="00CC19F7">
        <w:t xml:space="preserve"> for </w:t>
      </w:r>
      <w:proofErr w:type="spellStart"/>
      <w:r w:rsidRPr="00CC19F7">
        <w:t>kundane</w:t>
      </w:r>
      <w:proofErr w:type="spellEnd"/>
      <w:r w:rsidRPr="00CC19F7">
        <w:t xml:space="preserve"> som ber om det. I 2022 avdekte RME to avvik og kom med fire merknader under tilsyn med </w:t>
      </w:r>
      <w:proofErr w:type="spellStart"/>
      <w:r w:rsidRPr="00CC19F7">
        <w:t>sikkerheit</w:t>
      </w:r>
      <w:proofErr w:type="spellEnd"/>
      <w:r w:rsidRPr="00CC19F7">
        <w:t xml:space="preserve"> i AMS. RME har </w:t>
      </w:r>
      <w:proofErr w:type="spellStart"/>
      <w:r w:rsidRPr="00CC19F7">
        <w:t>arbeidd</w:t>
      </w:r>
      <w:proofErr w:type="spellEnd"/>
      <w:r w:rsidRPr="00CC19F7">
        <w:t xml:space="preserve"> med å utvikle verktøy for å overvake </w:t>
      </w:r>
      <w:proofErr w:type="spellStart"/>
      <w:r w:rsidRPr="00CC19F7">
        <w:t>engrosmarknaden</w:t>
      </w:r>
      <w:proofErr w:type="spellEnd"/>
      <w:r w:rsidRPr="00CC19F7">
        <w:t xml:space="preserve"> på </w:t>
      </w:r>
      <w:proofErr w:type="spellStart"/>
      <w:r w:rsidRPr="00CC19F7">
        <w:t>ein</w:t>
      </w:r>
      <w:proofErr w:type="spellEnd"/>
      <w:r w:rsidRPr="00CC19F7">
        <w:t xml:space="preserve"> betre måte. RME </w:t>
      </w:r>
      <w:proofErr w:type="spellStart"/>
      <w:r w:rsidRPr="00CC19F7">
        <w:t>vidareutviklar</w:t>
      </w:r>
      <w:proofErr w:type="spellEnd"/>
      <w:r w:rsidRPr="00CC19F7">
        <w:t xml:space="preserve"> </w:t>
      </w:r>
      <w:proofErr w:type="spellStart"/>
      <w:r w:rsidRPr="00CC19F7">
        <w:t>marknadsovervakinga</w:t>
      </w:r>
      <w:proofErr w:type="spellEnd"/>
      <w:r w:rsidRPr="00CC19F7">
        <w:t xml:space="preserve"> </w:t>
      </w:r>
      <w:proofErr w:type="spellStart"/>
      <w:r w:rsidRPr="00CC19F7">
        <w:t>fortløpande</w:t>
      </w:r>
      <w:proofErr w:type="spellEnd"/>
      <w:r w:rsidRPr="00CC19F7">
        <w:t xml:space="preserve"> og samarbeider med Finanstilsynet, Konkurransetilsynet og Økokrim.</w:t>
      </w:r>
    </w:p>
    <w:p w14:paraId="473D06D8" w14:textId="77777777" w:rsidR="00FE02EF" w:rsidRPr="00CC19F7" w:rsidRDefault="00881E58" w:rsidP="00CC19F7">
      <w:r w:rsidRPr="00CC19F7">
        <w:t xml:space="preserve">I 2022 har RME utvikla </w:t>
      </w:r>
      <w:proofErr w:type="spellStart"/>
      <w:r w:rsidRPr="00CC19F7">
        <w:t>vidare</w:t>
      </w:r>
      <w:proofErr w:type="spellEnd"/>
      <w:r w:rsidRPr="00CC19F7">
        <w:t xml:space="preserve"> arbeidet med å bygge opp kompetanse på </w:t>
      </w:r>
      <w:proofErr w:type="spellStart"/>
      <w:r w:rsidRPr="00CC19F7">
        <w:t>kapasitetsberekning</w:t>
      </w:r>
      <w:proofErr w:type="spellEnd"/>
      <w:r w:rsidRPr="00CC19F7">
        <w:t xml:space="preserve"> og </w:t>
      </w:r>
      <w:proofErr w:type="spellStart"/>
      <w:r w:rsidRPr="00CC19F7">
        <w:t>nettmodellar</w:t>
      </w:r>
      <w:proofErr w:type="spellEnd"/>
      <w:r w:rsidRPr="00CC19F7">
        <w:t xml:space="preserve"> som blir nytta av </w:t>
      </w:r>
      <w:proofErr w:type="spellStart"/>
      <w:r w:rsidRPr="00CC19F7">
        <w:t>dei</w:t>
      </w:r>
      <w:proofErr w:type="spellEnd"/>
      <w:r w:rsidRPr="00CC19F7">
        <w:t xml:space="preserve"> </w:t>
      </w:r>
      <w:proofErr w:type="spellStart"/>
      <w:r w:rsidRPr="00CC19F7">
        <w:t>systemansvarlege</w:t>
      </w:r>
      <w:proofErr w:type="spellEnd"/>
      <w:r w:rsidRPr="00CC19F7">
        <w:t xml:space="preserve">, både for å kunne følge opp kapasitetsfastsettinga til </w:t>
      </w:r>
      <w:proofErr w:type="spellStart"/>
      <w:r w:rsidRPr="00CC19F7">
        <w:t>dei</w:t>
      </w:r>
      <w:proofErr w:type="spellEnd"/>
      <w:r w:rsidRPr="00CC19F7">
        <w:t xml:space="preserve"> </w:t>
      </w:r>
      <w:proofErr w:type="spellStart"/>
      <w:r w:rsidRPr="00CC19F7">
        <w:t>systemansvarlege</w:t>
      </w:r>
      <w:proofErr w:type="spellEnd"/>
      <w:r w:rsidRPr="00CC19F7">
        <w:t xml:space="preserve"> og for å ha ei effektiv </w:t>
      </w:r>
      <w:proofErr w:type="spellStart"/>
      <w:r w:rsidRPr="00CC19F7">
        <w:t>marknadsovervaking</w:t>
      </w:r>
      <w:proofErr w:type="spellEnd"/>
      <w:r w:rsidRPr="00CC19F7">
        <w:t xml:space="preserve">. I samarbeid med </w:t>
      </w:r>
      <w:proofErr w:type="spellStart"/>
      <w:r w:rsidRPr="00CC19F7">
        <w:t>dei</w:t>
      </w:r>
      <w:proofErr w:type="spellEnd"/>
      <w:r w:rsidRPr="00CC19F7">
        <w:t xml:space="preserve"> andre nordiske </w:t>
      </w:r>
      <w:proofErr w:type="spellStart"/>
      <w:r w:rsidRPr="00CC19F7">
        <w:t>reguleringsmyndigheitene</w:t>
      </w:r>
      <w:proofErr w:type="spellEnd"/>
      <w:r w:rsidRPr="00CC19F7">
        <w:t xml:space="preserve"> har RME også </w:t>
      </w:r>
      <w:proofErr w:type="spellStart"/>
      <w:r w:rsidRPr="00CC19F7">
        <w:t>følgt</w:t>
      </w:r>
      <w:proofErr w:type="spellEnd"/>
      <w:r w:rsidRPr="00CC19F7">
        <w:t xml:space="preserve"> opp arbeidet med førebuing av innføring av flytbasert </w:t>
      </w:r>
      <w:proofErr w:type="spellStart"/>
      <w:r w:rsidRPr="00CC19F7">
        <w:t>kapasitetsberekning</w:t>
      </w:r>
      <w:proofErr w:type="spellEnd"/>
      <w:r w:rsidRPr="00CC19F7">
        <w:t xml:space="preserve">. Statnett og </w:t>
      </w:r>
      <w:proofErr w:type="spellStart"/>
      <w:r w:rsidRPr="00CC19F7">
        <w:t>dei</w:t>
      </w:r>
      <w:proofErr w:type="spellEnd"/>
      <w:r w:rsidRPr="00CC19F7">
        <w:t xml:space="preserve"> andre nordiske </w:t>
      </w:r>
      <w:proofErr w:type="spellStart"/>
      <w:r w:rsidRPr="00CC19F7">
        <w:t>systemansvarlege</w:t>
      </w:r>
      <w:proofErr w:type="spellEnd"/>
      <w:r w:rsidRPr="00CC19F7">
        <w:t xml:space="preserve"> arbeider med å innføre ei rekke nye tiltak for modernisering av den nordiske systemdrifta, mellom anna </w:t>
      </w:r>
      <w:proofErr w:type="spellStart"/>
      <w:r w:rsidRPr="00CC19F7">
        <w:t>ein</w:t>
      </w:r>
      <w:proofErr w:type="spellEnd"/>
      <w:r w:rsidRPr="00CC19F7">
        <w:t xml:space="preserve"> ny nordisk balanseringsmodell. RME følger dette arbeidet tett i samarbeid med </w:t>
      </w:r>
      <w:proofErr w:type="spellStart"/>
      <w:r w:rsidRPr="00CC19F7">
        <w:t>dei</w:t>
      </w:r>
      <w:proofErr w:type="spellEnd"/>
      <w:r w:rsidRPr="00CC19F7">
        <w:t xml:space="preserve"> andre nordiske </w:t>
      </w:r>
      <w:proofErr w:type="spellStart"/>
      <w:r w:rsidRPr="00CC19F7">
        <w:t>reguleringsmyndigheitene</w:t>
      </w:r>
      <w:proofErr w:type="spellEnd"/>
      <w:r w:rsidRPr="00CC19F7">
        <w:t xml:space="preserve"> og </w:t>
      </w:r>
      <w:proofErr w:type="spellStart"/>
      <w:r w:rsidRPr="00CC19F7">
        <w:t>systemansvarlege</w:t>
      </w:r>
      <w:proofErr w:type="spellEnd"/>
      <w:r w:rsidRPr="00CC19F7">
        <w:t xml:space="preserve">. I august 2022 </w:t>
      </w:r>
      <w:proofErr w:type="spellStart"/>
      <w:r w:rsidRPr="00CC19F7">
        <w:t>godkjende</w:t>
      </w:r>
      <w:proofErr w:type="spellEnd"/>
      <w:r w:rsidRPr="00CC19F7">
        <w:t xml:space="preserve"> RME tre søknader </w:t>
      </w:r>
      <w:proofErr w:type="spellStart"/>
      <w:r w:rsidRPr="00CC19F7">
        <w:t>frå</w:t>
      </w:r>
      <w:proofErr w:type="spellEnd"/>
      <w:r w:rsidRPr="00CC19F7">
        <w:t xml:space="preserve"> Statnett om dispensasjon </w:t>
      </w:r>
      <w:proofErr w:type="spellStart"/>
      <w:r w:rsidRPr="00CC19F7">
        <w:t>frå</w:t>
      </w:r>
      <w:proofErr w:type="spellEnd"/>
      <w:r w:rsidRPr="00CC19F7">
        <w:t xml:space="preserve"> </w:t>
      </w:r>
      <w:proofErr w:type="spellStart"/>
      <w:r w:rsidRPr="00CC19F7">
        <w:t>fristane</w:t>
      </w:r>
      <w:proofErr w:type="spellEnd"/>
      <w:r w:rsidRPr="00CC19F7">
        <w:t xml:space="preserve"> til å </w:t>
      </w:r>
      <w:proofErr w:type="gramStart"/>
      <w:r w:rsidRPr="00CC19F7">
        <w:t>implementere</w:t>
      </w:r>
      <w:proofErr w:type="gramEnd"/>
      <w:r w:rsidRPr="00CC19F7">
        <w:t xml:space="preserve"> 15 minutts balanseavrekning. Vedtaka </w:t>
      </w:r>
      <w:proofErr w:type="spellStart"/>
      <w:r w:rsidRPr="00CC19F7">
        <w:t>inneber</w:t>
      </w:r>
      <w:proofErr w:type="spellEnd"/>
      <w:r w:rsidRPr="00CC19F7">
        <w:t xml:space="preserve"> at Statnett har frist til april 2024 til å gå over til 15 minutts balanseavrekning og frist til juli 2024 for </w:t>
      </w:r>
      <w:proofErr w:type="spellStart"/>
      <w:r w:rsidRPr="00CC19F7">
        <w:t>tilknyting</w:t>
      </w:r>
      <w:proofErr w:type="spellEnd"/>
      <w:r w:rsidRPr="00CC19F7">
        <w:t xml:space="preserve"> til </w:t>
      </w:r>
      <w:proofErr w:type="spellStart"/>
      <w:r w:rsidRPr="00CC19F7">
        <w:t>dei</w:t>
      </w:r>
      <w:proofErr w:type="spellEnd"/>
      <w:r w:rsidRPr="00CC19F7">
        <w:t xml:space="preserve"> europeiske balanseplattformene.</w:t>
      </w:r>
    </w:p>
    <w:p w14:paraId="0B3C566D" w14:textId="77777777" w:rsidR="00FE02EF" w:rsidRPr="00CC19F7" w:rsidRDefault="00881E58" w:rsidP="00CC19F7">
      <w:r w:rsidRPr="00CC19F7">
        <w:t xml:space="preserve">RME har forvalta straumstønadsordninga for </w:t>
      </w:r>
      <w:proofErr w:type="spellStart"/>
      <w:r w:rsidRPr="00CC19F7">
        <w:t>hushaldningane</w:t>
      </w:r>
      <w:proofErr w:type="spellEnd"/>
      <w:r w:rsidRPr="00CC19F7">
        <w:t xml:space="preserve"> som blei innført i desember 2021. Ordninga er førebels bestemt å vare til og med desember 2024.</w:t>
      </w:r>
    </w:p>
    <w:p w14:paraId="24CC51CA" w14:textId="77777777" w:rsidR="00FE02EF" w:rsidRPr="00CC19F7" w:rsidRDefault="00881E58" w:rsidP="00CC19F7">
      <w:r w:rsidRPr="00CC19F7">
        <w:t xml:space="preserve">I 2021 sende RME </w:t>
      </w:r>
      <w:proofErr w:type="spellStart"/>
      <w:r w:rsidRPr="00CC19F7">
        <w:t>eit</w:t>
      </w:r>
      <w:proofErr w:type="spellEnd"/>
      <w:r w:rsidRPr="00CC19F7">
        <w:t xml:space="preserve"> forslag til ei ordning for deling av eigenprodusert fornybar </w:t>
      </w:r>
      <w:proofErr w:type="spellStart"/>
      <w:r w:rsidRPr="00CC19F7">
        <w:t>straum</w:t>
      </w:r>
      <w:proofErr w:type="spellEnd"/>
      <w:r w:rsidRPr="00CC19F7">
        <w:t xml:space="preserve"> til OED. Ordninga var på </w:t>
      </w:r>
      <w:proofErr w:type="spellStart"/>
      <w:r w:rsidRPr="00CC19F7">
        <w:t>høyring</w:t>
      </w:r>
      <w:proofErr w:type="spellEnd"/>
      <w:r w:rsidRPr="00CC19F7">
        <w:t xml:space="preserve"> i juli 2022, og RME anbefalte at ordninga skulle ta til å gjelde den 1. januar 2023. I 2022 har RME hatt tilsyn med tre nettselskap om leverings- og </w:t>
      </w:r>
      <w:proofErr w:type="spellStart"/>
      <w:r w:rsidRPr="00CC19F7">
        <w:t>tilknytingsplikt</w:t>
      </w:r>
      <w:proofErr w:type="spellEnd"/>
      <w:r w:rsidRPr="00CC19F7">
        <w:t xml:space="preserve"> og om regelverket for </w:t>
      </w:r>
      <w:proofErr w:type="spellStart"/>
      <w:r w:rsidRPr="00CC19F7">
        <w:t>anleggstilskot</w:t>
      </w:r>
      <w:proofErr w:type="spellEnd"/>
      <w:r w:rsidRPr="00CC19F7">
        <w:t xml:space="preserve"> og betaling for </w:t>
      </w:r>
      <w:proofErr w:type="spellStart"/>
      <w:r w:rsidRPr="00CC19F7">
        <w:t>nettutgreiingar</w:t>
      </w:r>
      <w:proofErr w:type="spellEnd"/>
      <w:r w:rsidRPr="00CC19F7">
        <w:t xml:space="preserve">. RME har også hatt dialog med bransjen om </w:t>
      </w:r>
      <w:proofErr w:type="spellStart"/>
      <w:r w:rsidRPr="00CC19F7">
        <w:t>utfordringar</w:t>
      </w:r>
      <w:proofErr w:type="spellEnd"/>
      <w:r w:rsidRPr="00CC19F7">
        <w:t xml:space="preserve"> med kapasitet i nettet og fordeling av ledig kapasitet. RME har i 2022 behandla </w:t>
      </w:r>
      <w:proofErr w:type="spellStart"/>
      <w:r w:rsidRPr="00CC19F7">
        <w:t>fleire</w:t>
      </w:r>
      <w:proofErr w:type="spellEnd"/>
      <w:r w:rsidRPr="00CC19F7">
        <w:t xml:space="preserve"> saker der </w:t>
      </w:r>
      <w:proofErr w:type="spellStart"/>
      <w:r w:rsidRPr="00CC19F7">
        <w:t>nettkundar</w:t>
      </w:r>
      <w:proofErr w:type="spellEnd"/>
      <w:r w:rsidRPr="00CC19F7">
        <w:t xml:space="preserve"> har </w:t>
      </w:r>
      <w:proofErr w:type="spellStart"/>
      <w:r w:rsidRPr="00CC19F7">
        <w:t>vore</w:t>
      </w:r>
      <w:proofErr w:type="spellEnd"/>
      <w:r w:rsidRPr="00CC19F7">
        <w:t xml:space="preserve"> misnøgde med leveringskvaliteten, og hatt tilsyn med to nettselskap der </w:t>
      </w:r>
      <w:proofErr w:type="spellStart"/>
      <w:r w:rsidRPr="00CC19F7">
        <w:t>dei</w:t>
      </w:r>
      <w:proofErr w:type="spellEnd"/>
      <w:r w:rsidRPr="00CC19F7">
        <w:t xml:space="preserve"> </w:t>
      </w:r>
      <w:proofErr w:type="spellStart"/>
      <w:r w:rsidRPr="00CC19F7">
        <w:t>såg</w:t>
      </w:r>
      <w:proofErr w:type="spellEnd"/>
      <w:r w:rsidRPr="00CC19F7">
        <w:t xml:space="preserve"> på om </w:t>
      </w:r>
      <w:proofErr w:type="spellStart"/>
      <w:r w:rsidRPr="00CC19F7">
        <w:t>dei</w:t>
      </w:r>
      <w:proofErr w:type="spellEnd"/>
      <w:r w:rsidRPr="00CC19F7">
        <w:t xml:space="preserve"> behandla saker der </w:t>
      </w:r>
      <w:proofErr w:type="spellStart"/>
      <w:r w:rsidRPr="00CC19F7">
        <w:t>kundar</w:t>
      </w:r>
      <w:proofErr w:type="spellEnd"/>
      <w:r w:rsidRPr="00CC19F7">
        <w:t xml:space="preserve"> var misfornøgde med leveringskvaliteten, korrekt. RME </w:t>
      </w:r>
      <w:proofErr w:type="spellStart"/>
      <w:r w:rsidRPr="00CC19F7">
        <w:t>fann</w:t>
      </w:r>
      <w:proofErr w:type="spellEnd"/>
      <w:r w:rsidRPr="00CC19F7">
        <w:t xml:space="preserve"> sju avvik hos det </w:t>
      </w:r>
      <w:proofErr w:type="spellStart"/>
      <w:r w:rsidRPr="00CC19F7">
        <w:t>eine</w:t>
      </w:r>
      <w:proofErr w:type="spellEnd"/>
      <w:r w:rsidRPr="00CC19F7">
        <w:t xml:space="preserve"> nettselskapet og tre hos det andre.</w:t>
      </w:r>
    </w:p>
    <w:p w14:paraId="4D6A8315" w14:textId="77777777" w:rsidR="00FE02EF" w:rsidRPr="00CC19F7" w:rsidRDefault="00881E58" w:rsidP="00CC19F7">
      <w:r w:rsidRPr="00CC19F7">
        <w:t xml:space="preserve">RME har i 2022 gjort vedtak om at Statnett er sertifisert som systemoperatør i </w:t>
      </w:r>
      <w:proofErr w:type="spellStart"/>
      <w:r w:rsidRPr="00CC19F7">
        <w:t>Noreg</w:t>
      </w:r>
      <w:proofErr w:type="spellEnd"/>
      <w:r w:rsidRPr="00CC19F7">
        <w:t xml:space="preserve"> etter energilova §§ 4-10 og 4-8. I 2022 </w:t>
      </w:r>
      <w:proofErr w:type="spellStart"/>
      <w:r w:rsidRPr="00CC19F7">
        <w:t>godkjende</w:t>
      </w:r>
      <w:proofErr w:type="spellEnd"/>
      <w:r w:rsidRPr="00CC19F7">
        <w:t xml:space="preserve"> også RME Statnetts bruk av flaskehalsinntekter </w:t>
      </w:r>
      <w:proofErr w:type="spellStart"/>
      <w:r w:rsidRPr="00CC19F7">
        <w:t>frå</w:t>
      </w:r>
      <w:proofErr w:type="spellEnd"/>
      <w:r w:rsidRPr="00CC19F7">
        <w:t xml:space="preserve"> mellomlandssambanda.</w:t>
      </w:r>
    </w:p>
    <w:p w14:paraId="0A338829" w14:textId="77777777" w:rsidR="00FE02EF" w:rsidRPr="00CC19F7" w:rsidRDefault="00881E58" w:rsidP="00CC19F7">
      <w:r w:rsidRPr="00CC19F7">
        <w:t xml:space="preserve">RME har i løpet av året fått </w:t>
      </w:r>
      <w:proofErr w:type="spellStart"/>
      <w:r w:rsidRPr="00CC19F7">
        <w:t>fleire</w:t>
      </w:r>
      <w:proofErr w:type="spellEnd"/>
      <w:r w:rsidRPr="00CC19F7">
        <w:t xml:space="preserve"> oppdrag </w:t>
      </w:r>
      <w:proofErr w:type="spellStart"/>
      <w:r w:rsidRPr="00CC19F7">
        <w:t>frå</w:t>
      </w:r>
      <w:proofErr w:type="spellEnd"/>
      <w:r w:rsidRPr="00CC19F7">
        <w:t xml:space="preserve"> OED, mellom anna </w:t>
      </w:r>
      <w:proofErr w:type="spellStart"/>
      <w:r w:rsidRPr="00CC19F7">
        <w:t>eit</w:t>
      </w:r>
      <w:proofErr w:type="spellEnd"/>
      <w:r w:rsidRPr="00CC19F7">
        <w:t xml:space="preserve"> oppdrag om å beskrive handlingsrommet for å innføre </w:t>
      </w:r>
      <w:proofErr w:type="spellStart"/>
      <w:r w:rsidRPr="00CC19F7">
        <w:t>eksportrestriksjonar</w:t>
      </w:r>
      <w:proofErr w:type="spellEnd"/>
      <w:r w:rsidRPr="00CC19F7">
        <w:t xml:space="preserve"> for mellomlandssambanda.</w:t>
      </w:r>
    </w:p>
    <w:p w14:paraId="75FB43F7" w14:textId="77777777" w:rsidR="00FE02EF" w:rsidRPr="00CC19F7" w:rsidRDefault="00881E58" w:rsidP="00CC19F7">
      <w:proofErr w:type="spellStart"/>
      <w:r w:rsidRPr="00CC19F7">
        <w:t>Hausten</w:t>
      </w:r>
      <w:proofErr w:type="spellEnd"/>
      <w:r w:rsidRPr="00CC19F7">
        <w:t xml:space="preserve"> 2022 utarbeidde RME </w:t>
      </w:r>
      <w:proofErr w:type="spellStart"/>
      <w:r w:rsidRPr="00CC19F7">
        <w:t>eit</w:t>
      </w:r>
      <w:proofErr w:type="spellEnd"/>
      <w:r w:rsidRPr="00CC19F7">
        <w:t xml:space="preserve"> utkast til ei tidsavgrensa forskrift der </w:t>
      </w:r>
      <w:proofErr w:type="spellStart"/>
      <w:r w:rsidRPr="00CC19F7">
        <w:t>ein</w:t>
      </w:r>
      <w:proofErr w:type="spellEnd"/>
      <w:r w:rsidRPr="00CC19F7">
        <w:t xml:space="preserve"> del av Statnetts flaskehalsinntekter skal </w:t>
      </w:r>
      <w:proofErr w:type="spellStart"/>
      <w:r w:rsidRPr="00CC19F7">
        <w:t>fordelast</w:t>
      </w:r>
      <w:proofErr w:type="spellEnd"/>
      <w:r w:rsidRPr="00CC19F7">
        <w:t xml:space="preserve"> til andre nettselskap for å avgrense </w:t>
      </w:r>
      <w:proofErr w:type="spellStart"/>
      <w:r w:rsidRPr="00CC19F7">
        <w:t>auken</w:t>
      </w:r>
      <w:proofErr w:type="spellEnd"/>
      <w:r w:rsidRPr="00CC19F7">
        <w:t xml:space="preserve"> i </w:t>
      </w:r>
      <w:proofErr w:type="spellStart"/>
      <w:r w:rsidRPr="00CC19F7">
        <w:t>nettleiga</w:t>
      </w:r>
      <w:proofErr w:type="spellEnd"/>
      <w:r w:rsidRPr="00CC19F7">
        <w:t xml:space="preserve"> som følge av høge </w:t>
      </w:r>
      <w:proofErr w:type="spellStart"/>
      <w:r w:rsidRPr="00CC19F7">
        <w:t>kraftprisar</w:t>
      </w:r>
      <w:proofErr w:type="spellEnd"/>
      <w:r w:rsidRPr="00CC19F7">
        <w:t xml:space="preserve">. I 2022 blei 5,9 mrd. kroner overførte </w:t>
      </w:r>
      <w:proofErr w:type="spellStart"/>
      <w:r w:rsidRPr="00CC19F7">
        <w:t>frå</w:t>
      </w:r>
      <w:proofErr w:type="spellEnd"/>
      <w:r w:rsidRPr="00CC19F7">
        <w:t xml:space="preserve"> Statnett til </w:t>
      </w:r>
      <w:proofErr w:type="spellStart"/>
      <w:r w:rsidRPr="00CC19F7">
        <w:t>dei</w:t>
      </w:r>
      <w:proofErr w:type="spellEnd"/>
      <w:r w:rsidRPr="00CC19F7">
        <w:t xml:space="preserve"> andre nettselskapa. Departementet vurderer det slik at RME i 2022 gjennom arbeidet sitt har bidratt til </w:t>
      </w:r>
      <w:proofErr w:type="spellStart"/>
      <w:r w:rsidRPr="00CC19F7">
        <w:t>ein</w:t>
      </w:r>
      <w:proofErr w:type="spellEnd"/>
      <w:r w:rsidRPr="00CC19F7">
        <w:t xml:space="preserve"> samfunnsøkonomisk effektiv </w:t>
      </w:r>
      <w:proofErr w:type="spellStart"/>
      <w:r w:rsidRPr="00CC19F7">
        <w:t>kraftmarknad</w:t>
      </w:r>
      <w:proofErr w:type="spellEnd"/>
      <w:r w:rsidRPr="00CC19F7">
        <w:t xml:space="preserve"> og </w:t>
      </w:r>
      <w:proofErr w:type="spellStart"/>
      <w:r w:rsidRPr="00CC19F7">
        <w:t>eit</w:t>
      </w:r>
      <w:proofErr w:type="spellEnd"/>
      <w:r w:rsidRPr="00CC19F7">
        <w:t xml:space="preserve"> </w:t>
      </w:r>
      <w:proofErr w:type="spellStart"/>
      <w:r w:rsidRPr="00CC19F7">
        <w:t>velfungerande</w:t>
      </w:r>
      <w:proofErr w:type="spellEnd"/>
      <w:r w:rsidRPr="00CC19F7">
        <w:t xml:space="preserve"> kraftsystem.</w:t>
      </w:r>
    </w:p>
    <w:p w14:paraId="436B47FA" w14:textId="77777777" w:rsidR="00FE02EF" w:rsidRPr="00CC19F7" w:rsidRDefault="00881E58" w:rsidP="00CC19F7">
      <w:pPr>
        <w:pStyle w:val="b-budkaptit"/>
      </w:pPr>
      <w:r w:rsidRPr="00CC19F7">
        <w:t xml:space="preserve">Kap. 1820 </w:t>
      </w:r>
      <w:proofErr w:type="spellStart"/>
      <w:r w:rsidRPr="00CC19F7">
        <w:t>Noregs</w:t>
      </w:r>
      <w:proofErr w:type="spellEnd"/>
      <w:r w:rsidRPr="00CC19F7">
        <w:t xml:space="preserve"> vassdrags- og energidirektorat</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504"/>
        <w:gridCol w:w="1417"/>
        <w:gridCol w:w="1479"/>
        <w:gridCol w:w="1300"/>
      </w:tblGrid>
      <w:tr w:rsidR="00FE02EF" w:rsidRPr="00CC19F7" w14:paraId="1AA6B853" w14:textId="77777777" w:rsidTr="005F29B2">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5B5155F" w14:textId="77777777" w:rsidR="00FE02EF" w:rsidRPr="00CC19F7" w:rsidRDefault="00881E58" w:rsidP="00CC19F7">
            <w:pPr>
              <w:pStyle w:val="Tabellnavn"/>
            </w:pPr>
            <w:r w:rsidRPr="00CC19F7">
              <w:t>KPAL</w:t>
            </w:r>
          </w:p>
        </w:tc>
        <w:tc>
          <w:tcPr>
            <w:tcW w:w="4504" w:type="dxa"/>
            <w:tcBorders>
              <w:top w:val="nil"/>
              <w:left w:val="nil"/>
              <w:bottom w:val="single" w:sz="4" w:space="0" w:color="000000"/>
              <w:right w:val="nil"/>
            </w:tcBorders>
            <w:tcMar>
              <w:top w:w="128" w:type="dxa"/>
              <w:left w:w="43" w:type="dxa"/>
              <w:bottom w:w="43" w:type="dxa"/>
              <w:right w:w="43" w:type="dxa"/>
            </w:tcMar>
            <w:vAlign w:val="bottom"/>
          </w:tcPr>
          <w:p w14:paraId="0F017EEF" w14:textId="77777777" w:rsidR="00FE02EF" w:rsidRPr="00CC19F7" w:rsidRDefault="00FE02EF" w:rsidP="005F29B2"/>
        </w:tc>
        <w:tc>
          <w:tcPr>
            <w:tcW w:w="1417" w:type="dxa"/>
            <w:tcBorders>
              <w:top w:val="nil"/>
              <w:left w:val="nil"/>
              <w:bottom w:val="single" w:sz="4" w:space="0" w:color="000000"/>
              <w:right w:val="nil"/>
            </w:tcBorders>
            <w:tcMar>
              <w:top w:w="128" w:type="dxa"/>
              <w:left w:w="43" w:type="dxa"/>
              <w:bottom w:w="43" w:type="dxa"/>
              <w:right w:w="43" w:type="dxa"/>
            </w:tcMar>
            <w:vAlign w:val="bottom"/>
          </w:tcPr>
          <w:p w14:paraId="476F4AC0" w14:textId="77777777" w:rsidR="00FE02EF" w:rsidRPr="00CC19F7" w:rsidRDefault="00FE02EF" w:rsidP="005F29B2">
            <w:pPr>
              <w:jc w:val="right"/>
            </w:pP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13937CDF" w14:textId="77777777" w:rsidR="00FE02EF" w:rsidRPr="00CC19F7" w:rsidRDefault="00FE02EF" w:rsidP="005F29B2">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C2A37AD" w14:textId="77777777" w:rsidR="00FE02EF" w:rsidRPr="00CC19F7" w:rsidRDefault="00881E58" w:rsidP="005F29B2">
            <w:pPr>
              <w:jc w:val="right"/>
            </w:pPr>
            <w:r w:rsidRPr="00CC19F7">
              <w:t>(i 1 000 kr)</w:t>
            </w:r>
          </w:p>
        </w:tc>
      </w:tr>
      <w:tr w:rsidR="00FE02EF" w:rsidRPr="00CC19F7" w14:paraId="790F8903" w14:textId="77777777" w:rsidTr="005F29B2">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8F9FEC7" w14:textId="77777777" w:rsidR="00FE02EF" w:rsidRPr="00CC19F7" w:rsidRDefault="00881E58" w:rsidP="00CC19F7">
            <w:r w:rsidRPr="00CC19F7">
              <w:t>Post</w:t>
            </w:r>
          </w:p>
        </w:tc>
        <w:tc>
          <w:tcPr>
            <w:tcW w:w="4504" w:type="dxa"/>
            <w:tcBorders>
              <w:top w:val="nil"/>
              <w:left w:val="nil"/>
              <w:bottom w:val="single" w:sz="4" w:space="0" w:color="000000"/>
              <w:right w:val="nil"/>
            </w:tcBorders>
            <w:tcMar>
              <w:top w:w="128" w:type="dxa"/>
              <w:left w:w="43" w:type="dxa"/>
              <w:bottom w:w="43" w:type="dxa"/>
              <w:right w:w="43" w:type="dxa"/>
            </w:tcMar>
            <w:vAlign w:val="bottom"/>
          </w:tcPr>
          <w:p w14:paraId="79AFDBBA" w14:textId="77777777" w:rsidR="00FE02EF" w:rsidRPr="00CC19F7" w:rsidRDefault="00881E58" w:rsidP="005F29B2">
            <w:proofErr w:type="spellStart"/>
            <w:r w:rsidRPr="00CC19F7">
              <w:t>Nemning</w:t>
            </w:r>
            <w:proofErr w:type="spellEnd"/>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6A8D5AB1" w14:textId="77777777" w:rsidR="00FE02EF" w:rsidRPr="00CC19F7" w:rsidRDefault="00881E58" w:rsidP="005F29B2">
            <w:pPr>
              <w:jc w:val="right"/>
            </w:pPr>
            <w:proofErr w:type="spellStart"/>
            <w:r w:rsidRPr="00CC19F7">
              <w:t>Rekneskap</w:t>
            </w:r>
            <w:proofErr w:type="spellEnd"/>
            <w:r w:rsidRPr="00CC19F7">
              <w:br/>
              <w:t>2022</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4BDD1656" w14:textId="77777777" w:rsidR="00FE02EF" w:rsidRPr="00CC19F7" w:rsidRDefault="00881E58" w:rsidP="005F29B2">
            <w:pPr>
              <w:jc w:val="right"/>
            </w:pPr>
            <w:r w:rsidRPr="00CC19F7">
              <w:t>Saldert</w:t>
            </w:r>
            <w:r w:rsidRPr="00CC19F7">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BAEB981" w14:textId="77777777" w:rsidR="00FE02EF" w:rsidRPr="00CC19F7" w:rsidRDefault="00881E58" w:rsidP="005F29B2">
            <w:pPr>
              <w:jc w:val="right"/>
            </w:pPr>
            <w:r w:rsidRPr="00CC19F7">
              <w:t>Forslag</w:t>
            </w:r>
            <w:r w:rsidRPr="00CC19F7">
              <w:br/>
              <w:t>2024</w:t>
            </w:r>
          </w:p>
        </w:tc>
      </w:tr>
      <w:tr w:rsidR="00FE02EF" w:rsidRPr="00CC19F7" w14:paraId="793EEC04" w14:textId="77777777" w:rsidTr="005F29B2">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640841BB" w14:textId="77777777" w:rsidR="00FE02EF" w:rsidRPr="00CC19F7" w:rsidRDefault="00881E58" w:rsidP="00CC19F7">
            <w:r w:rsidRPr="00CC19F7">
              <w:t>01</w:t>
            </w:r>
          </w:p>
        </w:tc>
        <w:tc>
          <w:tcPr>
            <w:tcW w:w="4504" w:type="dxa"/>
            <w:tcBorders>
              <w:top w:val="single" w:sz="4" w:space="0" w:color="000000"/>
              <w:left w:val="nil"/>
              <w:bottom w:val="nil"/>
              <w:right w:val="nil"/>
            </w:tcBorders>
            <w:tcMar>
              <w:top w:w="128" w:type="dxa"/>
              <w:left w:w="43" w:type="dxa"/>
              <w:bottom w:w="43" w:type="dxa"/>
              <w:right w:w="43" w:type="dxa"/>
            </w:tcMar>
          </w:tcPr>
          <w:p w14:paraId="2BCE96B3" w14:textId="77777777" w:rsidR="00FE02EF" w:rsidRPr="00CC19F7" w:rsidRDefault="00881E58" w:rsidP="005F29B2">
            <w:r w:rsidRPr="00CC19F7">
              <w:t>Driftsutgifter</w:t>
            </w:r>
          </w:p>
        </w:tc>
        <w:tc>
          <w:tcPr>
            <w:tcW w:w="1417" w:type="dxa"/>
            <w:tcBorders>
              <w:top w:val="single" w:sz="4" w:space="0" w:color="000000"/>
              <w:left w:val="nil"/>
              <w:bottom w:val="nil"/>
              <w:right w:val="nil"/>
            </w:tcBorders>
            <w:tcMar>
              <w:top w:w="128" w:type="dxa"/>
              <w:left w:w="43" w:type="dxa"/>
              <w:bottom w:w="43" w:type="dxa"/>
              <w:right w:w="43" w:type="dxa"/>
            </w:tcMar>
            <w:vAlign w:val="bottom"/>
          </w:tcPr>
          <w:p w14:paraId="2F781CDB" w14:textId="77777777" w:rsidR="00FE02EF" w:rsidRPr="00CC19F7" w:rsidRDefault="00881E58" w:rsidP="005F29B2">
            <w:pPr>
              <w:jc w:val="right"/>
            </w:pPr>
            <w:r w:rsidRPr="00CC19F7">
              <w:t>656 836</w:t>
            </w:r>
          </w:p>
        </w:tc>
        <w:tc>
          <w:tcPr>
            <w:tcW w:w="1479" w:type="dxa"/>
            <w:tcBorders>
              <w:top w:val="single" w:sz="4" w:space="0" w:color="000000"/>
              <w:left w:val="nil"/>
              <w:bottom w:val="nil"/>
              <w:right w:val="nil"/>
            </w:tcBorders>
            <w:tcMar>
              <w:top w:w="128" w:type="dxa"/>
              <w:left w:w="43" w:type="dxa"/>
              <w:bottom w:w="43" w:type="dxa"/>
              <w:right w:w="43" w:type="dxa"/>
            </w:tcMar>
            <w:vAlign w:val="bottom"/>
          </w:tcPr>
          <w:p w14:paraId="2DF7D081" w14:textId="77777777" w:rsidR="00FE02EF" w:rsidRPr="00CC19F7" w:rsidRDefault="00881E58" w:rsidP="005F29B2">
            <w:pPr>
              <w:jc w:val="right"/>
            </w:pPr>
            <w:r w:rsidRPr="00CC19F7">
              <w:t>724 500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706C1A1" w14:textId="77777777" w:rsidR="00FE02EF" w:rsidRPr="00CC19F7" w:rsidRDefault="00881E58" w:rsidP="005F29B2">
            <w:pPr>
              <w:jc w:val="right"/>
            </w:pPr>
            <w:r w:rsidRPr="00CC19F7">
              <w:t>899 000</w:t>
            </w:r>
          </w:p>
        </w:tc>
      </w:tr>
      <w:tr w:rsidR="00FE02EF" w:rsidRPr="00CC19F7" w14:paraId="73070673" w14:textId="77777777" w:rsidTr="005F29B2">
        <w:trPr>
          <w:trHeight w:val="380"/>
        </w:trPr>
        <w:tc>
          <w:tcPr>
            <w:tcW w:w="840" w:type="dxa"/>
            <w:tcBorders>
              <w:top w:val="nil"/>
              <w:left w:val="nil"/>
              <w:bottom w:val="nil"/>
              <w:right w:val="nil"/>
            </w:tcBorders>
            <w:tcMar>
              <w:top w:w="128" w:type="dxa"/>
              <w:left w:w="43" w:type="dxa"/>
              <w:bottom w:w="43" w:type="dxa"/>
              <w:right w:w="43" w:type="dxa"/>
            </w:tcMar>
          </w:tcPr>
          <w:p w14:paraId="7DF14DEF" w14:textId="77777777" w:rsidR="00FE02EF" w:rsidRPr="00CC19F7" w:rsidRDefault="00881E58" w:rsidP="00CC19F7">
            <w:r w:rsidRPr="00CC19F7">
              <w:t>21</w:t>
            </w:r>
          </w:p>
        </w:tc>
        <w:tc>
          <w:tcPr>
            <w:tcW w:w="4504" w:type="dxa"/>
            <w:tcBorders>
              <w:top w:val="nil"/>
              <w:left w:val="nil"/>
              <w:bottom w:val="nil"/>
              <w:right w:val="nil"/>
            </w:tcBorders>
            <w:tcMar>
              <w:top w:w="128" w:type="dxa"/>
              <w:left w:w="43" w:type="dxa"/>
              <w:bottom w:w="43" w:type="dxa"/>
              <w:right w:w="43" w:type="dxa"/>
            </w:tcMar>
          </w:tcPr>
          <w:p w14:paraId="2D47CD06" w14:textId="77777777" w:rsidR="00FE02EF" w:rsidRPr="00CC19F7" w:rsidRDefault="00881E58" w:rsidP="005F29B2">
            <w:r w:rsidRPr="00CC19F7">
              <w:t>Spesielle driftsutgifter</w:t>
            </w:r>
            <w:r w:rsidRPr="00CC19F7">
              <w:rPr>
                <w:rStyle w:val="kursiv"/>
              </w:rPr>
              <w:t>, kan </w:t>
            </w:r>
            <w:proofErr w:type="spellStart"/>
            <w:r w:rsidRPr="00CC19F7">
              <w:rPr>
                <w:rStyle w:val="kursiv"/>
              </w:rPr>
              <w:t>overførast</w:t>
            </w:r>
            <w:proofErr w:type="spellEnd"/>
          </w:p>
        </w:tc>
        <w:tc>
          <w:tcPr>
            <w:tcW w:w="1417" w:type="dxa"/>
            <w:tcBorders>
              <w:top w:val="nil"/>
              <w:left w:val="nil"/>
              <w:bottom w:val="nil"/>
              <w:right w:val="nil"/>
            </w:tcBorders>
            <w:tcMar>
              <w:top w:w="128" w:type="dxa"/>
              <w:left w:w="43" w:type="dxa"/>
              <w:bottom w:w="43" w:type="dxa"/>
              <w:right w:w="43" w:type="dxa"/>
            </w:tcMar>
            <w:vAlign w:val="bottom"/>
          </w:tcPr>
          <w:p w14:paraId="36913B1E" w14:textId="77777777" w:rsidR="00FE02EF" w:rsidRPr="00CC19F7" w:rsidRDefault="00881E58" w:rsidP="005F29B2">
            <w:pPr>
              <w:jc w:val="right"/>
            </w:pPr>
            <w:r w:rsidRPr="00CC19F7">
              <w:t>33 687</w:t>
            </w:r>
          </w:p>
        </w:tc>
        <w:tc>
          <w:tcPr>
            <w:tcW w:w="1479" w:type="dxa"/>
            <w:tcBorders>
              <w:top w:val="nil"/>
              <w:left w:val="nil"/>
              <w:bottom w:val="nil"/>
              <w:right w:val="nil"/>
            </w:tcBorders>
            <w:tcMar>
              <w:top w:w="128" w:type="dxa"/>
              <w:left w:w="43" w:type="dxa"/>
              <w:bottom w:w="43" w:type="dxa"/>
              <w:right w:w="43" w:type="dxa"/>
            </w:tcMar>
            <w:vAlign w:val="bottom"/>
          </w:tcPr>
          <w:p w14:paraId="7C95C2DD" w14:textId="77777777" w:rsidR="00FE02EF" w:rsidRPr="00CC19F7" w:rsidRDefault="00881E58" w:rsidP="005F29B2">
            <w:pPr>
              <w:jc w:val="right"/>
            </w:pPr>
            <w:r w:rsidRPr="00CC19F7">
              <w:t>75 500</w:t>
            </w:r>
          </w:p>
        </w:tc>
        <w:tc>
          <w:tcPr>
            <w:tcW w:w="1300" w:type="dxa"/>
            <w:tcBorders>
              <w:top w:val="nil"/>
              <w:left w:val="nil"/>
              <w:bottom w:val="nil"/>
              <w:right w:val="nil"/>
            </w:tcBorders>
            <w:tcMar>
              <w:top w:w="128" w:type="dxa"/>
              <w:left w:w="43" w:type="dxa"/>
              <w:bottom w:w="43" w:type="dxa"/>
              <w:right w:w="43" w:type="dxa"/>
            </w:tcMar>
            <w:vAlign w:val="bottom"/>
          </w:tcPr>
          <w:p w14:paraId="186197BE" w14:textId="77777777" w:rsidR="00FE02EF" w:rsidRPr="00CC19F7" w:rsidRDefault="00881E58" w:rsidP="005F29B2">
            <w:pPr>
              <w:jc w:val="right"/>
            </w:pPr>
            <w:r w:rsidRPr="00CC19F7">
              <w:t>91 000</w:t>
            </w:r>
          </w:p>
        </w:tc>
      </w:tr>
      <w:tr w:rsidR="00FE02EF" w:rsidRPr="00CC19F7" w14:paraId="4B4491C9" w14:textId="77777777" w:rsidTr="005F29B2">
        <w:trPr>
          <w:trHeight w:val="640"/>
        </w:trPr>
        <w:tc>
          <w:tcPr>
            <w:tcW w:w="840" w:type="dxa"/>
            <w:tcBorders>
              <w:top w:val="nil"/>
              <w:left w:val="nil"/>
              <w:bottom w:val="nil"/>
              <w:right w:val="nil"/>
            </w:tcBorders>
            <w:tcMar>
              <w:top w:w="128" w:type="dxa"/>
              <w:left w:w="43" w:type="dxa"/>
              <w:bottom w:w="43" w:type="dxa"/>
              <w:right w:w="43" w:type="dxa"/>
            </w:tcMar>
          </w:tcPr>
          <w:p w14:paraId="6F8F4CFB" w14:textId="77777777" w:rsidR="00FE02EF" w:rsidRPr="00CC19F7" w:rsidRDefault="00881E58" w:rsidP="00CC19F7">
            <w:r w:rsidRPr="00CC19F7">
              <w:t>22</w:t>
            </w:r>
          </w:p>
        </w:tc>
        <w:tc>
          <w:tcPr>
            <w:tcW w:w="4504" w:type="dxa"/>
            <w:tcBorders>
              <w:top w:val="nil"/>
              <w:left w:val="nil"/>
              <w:bottom w:val="nil"/>
              <w:right w:val="nil"/>
            </w:tcBorders>
            <w:tcMar>
              <w:top w:w="128" w:type="dxa"/>
              <w:left w:w="43" w:type="dxa"/>
              <w:bottom w:w="43" w:type="dxa"/>
              <w:right w:w="43" w:type="dxa"/>
            </w:tcMar>
          </w:tcPr>
          <w:p w14:paraId="678925E7" w14:textId="77777777" w:rsidR="00FE02EF" w:rsidRPr="00CC19F7" w:rsidRDefault="00881E58" w:rsidP="005F29B2">
            <w:proofErr w:type="spellStart"/>
            <w:r w:rsidRPr="00CC19F7">
              <w:t>Flaum</w:t>
            </w:r>
            <w:proofErr w:type="spellEnd"/>
            <w:r w:rsidRPr="00CC19F7">
              <w:t xml:space="preserve">- og </w:t>
            </w:r>
            <w:proofErr w:type="spellStart"/>
            <w:r w:rsidRPr="00CC19F7">
              <w:t>skredførebygging</w:t>
            </w:r>
            <w:proofErr w:type="spellEnd"/>
            <w:r w:rsidRPr="00CC19F7">
              <w:rPr>
                <w:rStyle w:val="kursiv"/>
              </w:rPr>
              <w:t>, kan </w:t>
            </w:r>
            <w:proofErr w:type="spellStart"/>
            <w:r w:rsidRPr="00CC19F7">
              <w:rPr>
                <w:rStyle w:val="kursiv"/>
              </w:rPr>
              <w:t>overførast</w:t>
            </w:r>
            <w:proofErr w:type="spellEnd"/>
            <w:r w:rsidRPr="00CC19F7">
              <w:rPr>
                <w:rStyle w:val="kursiv"/>
              </w:rPr>
              <w:t xml:space="preserve">, </w:t>
            </w:r>
            <w:r w:rsidRPr="00CC19F7">
              <w:rPr>
                <w:rStyle w:val="kursiv"/>
              </w:rPr>
              <w:br/>
              <w:t xml:space="preserve">kan </w:t>
            </w:r>
            <w:proofErr w:type="spellStart"/>
            <w:r w:rsidRPr="00CC19F7">
              <w:rPr>
                <w:rStyle w:val="kursiv"/>
              </w:rPr>
              <w:t>nyttast</w:t>
            </w:r>
            <w:proofErr w:type="spellEnd"/>
            <w:r w:rsidRPr="00CC19F7">
              <w:rPr>
                <w:rStyle w:val="kursiv"/>
              </w:rPr>
              <w:t xml:space="preserve"> under </w:t>
            </w:r>
            <w:proofErr w:type="spellStart"/>
            <w:r w:rsidRPr="00CC19F7">
              <w:rPr>
                <w:rStyle w:val="kursiv"/>
              </w:rPr>
              <w:t>postane</w:t>
            </w:r>
            <w:proofErr w:type="spellEnd"/>
            <w:r w:rsidRPr="00CC19F7">
              <w:rPr>
                <w:rStyle w:val="kursiv"/>
              </w:rPr>
              <w:t xml:space="preserve"> 45, 60 og 72</w:t>
            </w:r>
          </w:p>
        </w:tc>
        <w:tc>
          <w:tcPr>
            <w:tcW w:w="1417" w:type="dxa"/>
            <w:tcBorders>
              <w:top w:val="nil"/>
              <w:left w:val="nil"/>
              <w:bottom w:val="nil"/>
              <w:right w:val="nil"/>
            </w:tcBorders>
            <w:tcMar>
              <w:top w:w="128" w:type="dxa"/>
              <w:left w:w="43" w:type="dxa"/>
              <w:bottom w:w="43" w:type="dxa"/>
              <w:right w:w="43" w:type="dxa"/>
            </w:tcMar>
            <w:vAlign w:val="bottom"/>
          </w:tcPr>
          <w:p w14:paraId="137FFE57" w14:textId="77777777" w:rsidR="00FE02EF" w:rsidRPr="00CC19F7" w:rsidRDefault="00881E58" w:rsidP="005F29B2">
            <w:pPr>
              <w:jc w:val="right"/>
            </w:pPr>
            <w:r w:rsidRPr="00CC19F7">
              <w:t>221 154</w:t>
            </w:r>
          </w:p>
        </w:tc>
        <w:tc>
          <w:tcPr>
            <w:tcW w:w="1479" w:type="dxa"/>
            <w:tcBorders>
              <w:top w:val="nil"/>
              <w:left w:val="nil"/>
              <w:bottom w:val="nil"/>
              <w:right w:val="nil"/>
            </w:tcBorders>
            <w:tcMar>
              <w:top w:w="128" w:type="dxa"/>
              <w:left w:w="43" w:type="dxa"/>
              <w:bottom w:w="43" w:type="dxa"/>
              <w:right w:w="43" w:type="dxa"/>
            </w:tcMar>
            <w:vAlign w:val="bottom"/>
          </w:tcPr>
          <w:p w14:paraId="304D06E7" w14:textId="77777777" w:rsidR="00FE02EF" w:rsidRPr="00CC19F7" w:rsidRDefault="00881E58" w:rsidP="005F29B2">
            <w:pPr>
              <w:jc w:val="right"/>
            </w:pPr>
            <w:r w:rsidRPr="00CC19F7">
              <w:t>255 500</w:t>
            </w:r>
          </w:p>
        </w:tc>
        <w:tc>
          <w:tcPr>
            <w:tcW w:w="1300" w:type="dxa"/>
            <w:tcBorders>
              <w:top w:val="nil"/>
              <w:left w:val="nil"/>
              <w:bottom w:val="nil"/>
              <w:right w:val="nil"/>
            </w:tcBorders>
            <w:tcMar>
              <w:top w:w="128" w:type="dxa"/>
              <w:left w:w="43" w:type="dxa"/>
              <w:bottom w:w="43" w:type="dxa"/>
              <w:right w:w="43" w:type="dxa"/>
            </w:tcMar>
            <w:vAlign w:val="bottom"/>
          </w:tcPr>
          <w:p w14:paraId="160EA7B5" w14:textId="77777777" w:rsidR="00FE02EF" w:rsidRPr="00CC19F7" w:rsidRDefault="00881E58" w:rsidP="005F29B2">
            <w:pPr>
              <w:jc w:val="right"/>
            </w:pPr>
            <w:r w:rsidRPr="00CC19F7">
              <w:t>332 000</w:t>
            </w:r>
          </w:p>
        </w:tc>
      </w:tr>
      <w:tr w:rsidR="00FE02EF" w:rsidRPr="00CC19F7" w14:paraId="40E23452" w14:textId="77777777" w:rsidTr="005F29B2">
        <w:trPr>
          <w:trHeight w:val="380"/>
        </w:trPr>
        <w:tc>
          <w:tcPr>
            <w:tcW w:w="840" w:type="dxa"/>
            <w:tcBorders>
              <w:top w:val="nil"/>
              <w:left w:val="nil"/>
              <w:bottom w:val="nil"/>
              <w:right w:val="nil"/>
            </w:tcBorders>
            <w:tcMar>
              <w:top w:w="128" w:type="dxa"/>
              <w:left w:w="43" w:type="dxa"/>
              <w:bottom w:w="43" w:type="dxa"/>
              <w:right w:w="43" w:type="dxa"/>
            </w:tcMar>
          </w:tcPr>
          <w:p w14:paraId="2099AD5B" w14:textId="77777777" w:rsidR="00FE02EF" w:rsidRPr="00CC19F7" w:rsidRDefault="00881E58" w:rsidP="00CC19F7">
            <w:r w:rsidRPr="00CC19F7">
              <w:t>23</w:t>
            </w:r>
          </w:p>
        </w:tc>
        <w:tc>
          <w:tcPr>
            <w:tcW w:w="4504" w:type="dxa"/>
            <w:tcBorders>
              <w:top w:val="nil"/>
              <w:left w:val="nil"/>
              <w:bottom w:val="nil"/>
              <w:right w:val="nil"/>
            </w:tcBorders>
            <w:tcMar>
              <w:top w:w="128" w:type="dxa"/>
              <w:left w:w="43" w:type="dxa"/>
              <w:bottom w:w="43" w:type="dxa"/>
              <w:right w:w="43" w:type="dxa"/>
            </w:tcMar>
          </w:tcPr>
          <w:p w14:paraId="429C2DA9" w14:textId="77777777" w:rsidR="00FE02EF" w:rsidRPr="00CC19F7" w:rsidRDefault="00881E58" w:rsidP="005F29B2">
            <w:r w:rsidRPr="00CC19F7">
              <w:t xml:space="preserve">Oppdrags- og </w:t>
            </w:r>
            <w:proofErr w:type="spellStart"/>
            <w:r w:rsidRPr="00CC19F7">
              <w:t>samarbeidsverksemd</w:t>
            </w:r>
            <w:proofErr w:type="spellEnd"/>
            <w:r w:rsidRPr="00CC19F7">
              <w:rPr>
                <w:rStyle w:val="kursiv"/>
              </w:rPr>
              <w:t>, kan </w:t>
            </w:r>
            <w:proofErr w:type="spellStart"/>
            <w:r w:rsidRPr="00CC19F7">
              <w:rPr>
                <w:rStyle w:val="kursiv"/>
              </w:rPr>
              <w:t>overførast</w:t>
            </w:r>
            <w:proofErr w:type="spellEnd"/>
          </w:p>
        </w:tc>
        <w:tc>
          <w:tcPr>
            <w:tcW w:w="1417" w:type="dxa"/>
            <w:tcBorders>
              <w:top w:val="nil"/>
              <w:left w:val="nil"/>
              <w:bottom w:val="nil"/>
              <w:right w:val="nil"/>
            </w:tcBorders>
            <w:tcMar>
              <w:top w:w="128" w:type="dxa"/>
              <w:left w:w="43" w:type="dxa"/>
              <w:bottom w:w="43" w:type="dxa"/>
              <w:right w:w="43" w:type="dxa"/>
            </w:tcMar>
            <w:vAlign w:val="bottom"/>
          </w:tcPr>
          <w:p w14:paraId="7C908FAC" w14:textId="77777777" w:rsidR="00FE02EF" w:rsidRPr="00CC19F7" w:rsidRDefault="00881E58" w:rsidP="005F29B2">
            <w:pPr>
              <w:jc w:val="right"/>
            </w:pPr>
            <w:r w:rsidRPr="00CC19F7">
              <w:t>57 633</w:t>
            </w:r>
          </w:p>
        </w:tc>
        <w:tc>
          <w:tcPr>
            <w:tcW w:w="1479" w:type="dxa"/>
            <w:tcBorders>
              <w:top w:val="nil"/>
              <w:left w:val="nil"/>
              <w:bottom w:val="nil"/>
              <w:right w:val="nil"/>
            </w:tcBorders>
            <w:tcMar>
              <w:top w:w="128" w:type="dxa"/>
              <w:left w:w="43" w:type="dxa"/>
              <w:bottom w:w="43" w:type="dxa"/>
              <w:right w:w="43" w:type="dxa"/>
            </w:tcMar>
            <w:vAlign w:val="bottom"/>
          </w:tcPr>
          <w:p w14:paraId="50E4AD2C" w14:textId="77777777" w:rsidR="00FE02EF" w:rsidRPr="00CC19F7" w:rsidRDefault="00881E58" w:rsidP="005F29B2">
            <w:pPr>
              <w:jc w:val="right"/>
            </w:pPr>
            <w:r w:rsidRPr="00CC19F7">
              <w:t>67 600</w:t>
            </w:r>
          </w:p>
        </w:tc>
        <w:tc>
          <w:tcPr>
            <w:tcW w:w="1300" w:type="dxa"/>
            <w:tcBorders>
              <w:top w:val="nil"/>
              <w:left w:val="nil"/>
              <w:bottom w:val="nil"/>
              <w:right w:val="nil"/>
            </w:tcBorders>
            <w:tcMar>
              <w:top w:w="128" w:type="dxa"/>
              <w:left w:w="43" w:type="dxa"/>
              <w:bottom w:w="43" w:type="dxa"/>
              <w:right w:w="43" w:type="dxa"/>
            </w:tcMar>
            <w:vAlign w:val="bottom"/>
          </w:tcPr>
          <w:p w14:paraId="6FD45C34" w14:textId="77777777" w:rsidR="00FE02EF" w:rsidRPr="00CC19F7" w:rsidRDefault="00881E58" w:rsidP="005F29B2">
            <w:pPr>
              <w:jc w:val="right"/>
            </w:pPr>
            <w:r w:rsidRPr="00CC19F7">
              <w:t>70 000</w:t>
            </w:r>
          </w:p>
        </w:tc>
      </w:tr>
      <w:tr w:rsidR="00FE02EF" w:rsidRPr="00CC19F7" w14:paraId="43391394" w14:textId="77777777" w:rsidTr="005F29B2">
        <w:trPr>
          <w:trHeight w:val="640"/>
        </w:trPr>
        <w:tc>
          <w:tcPr>
            <w:tcW w:w="840" w:type="dxa"/>
            <w:tcBorders>
              <w:top w:val="nil"/>
              <w:left w:val="nil"/>
              <w:bottom w:val="nil"/>
              <w:right w:val="nil"/>
            </w:tcBorders>
            <w:tcMar>
              <w:top w:w="128" w:type="dxa"/>
              <w:left w:w="43" w:type="dxa"/>
              <w:bottom w:w="43" w:type="dxa"/>
              <w:right w:w="43" w:type="dxa"/>
            </w:tcMar>
          </w:tcPr>
          <w:p w14:paraId="40FE0A53" w14:textId="77777777" w:rsidR="00FE02EF" w:rsidRPr="00CC19F7" w:rsidRDefault="00881E58" w:rsidP="00CC19F7">
            <w:r w:rsidRPr="00CC19F7">
              <w:t>25</w:t>
            </w:r>
          </w:p>
        </w:tc>
        <w:tc>
          <w:tcPr>
            <w:tcW w:w="4504" w:type="dxa"/>
            <w:tcBorders>
              <w:top w:val="nil"/>
              <w:left w:val="nil"/>
              <w:bottom w:val="nil"/>
              <w:right w:val="nil"/>
            </w:tcBorders>
            <w:tcMar>
              <w:top w:w="128" w:type="dxa"/>
              <w:left w:w="43" w:type="dxa"/>
              <w:bottom w:w="43" w:type="dxa"/>
              <w:right w:w="43" w:type="dxa"/>
            </w:tcMar>
          </w:tcPr>
          <w:p w14:paraId="6CDEF881" w14:textId="77777777" w:rsidR="00FE02EF" w:rsidRPr="00CC19F7" w:rsidRDefault="00881E58" w:rsidP="005F29B2">
            <w:r w:rsidRPr="00CC19F7">
              <w:t xml:space="preserve">Krise- og hastetiltak i samband med </w:t>
            </w:r>
            <w:proofErr w:type="spellStart"/>
            <w:r w:rsidRPr="00CC19F7">
              <w:t>flaum</w:t>
            </w:r>
            <w:proofErr w:type="spellEnd"/>
            <w:r w:rsidRPr="00CC19F7">
              <w:t xml:space="preserve">- og </w:t>
            </w:r>
            <w:proofErr w:type="spellStart"/>
            <w:r w:rsidRPr="00CC19F7">
              <w:t>skredhendingar</w:t>
            </w:r>
            <w:proofErr w:type="spellEnd"/>
          </w:p>
        </w:tc>
        <w:tc>
          <w:tcPr>
            <w:tcW w:w="1417" w:type="dxa"/>
            <w:tcBorders>
              <w:top w:val="nil"/>
              <w:left w:val="nil"/>
              <w:bottom w:val="nil"/>
              <w:right w:val="nil"/>
            </w:tcBorders>
            <w:tcMar>
              <w:top w:w="128" w:type="dxa"/>
              <w:left w:w="43" w:type="dxa"/>
              <w:bottom w:w="43" w:type="dxa"/>
              <w:right w:w="43" w:type="dxa"/>
            </w:tcMar>
            <w:vAlign w:val="bottom"/>
          </w:tcPr>
          <w:p w14:paraId="40F04B59" w14:textId="77777777" w:rsidR="00FE02EF" w:rsidRPr="00CC19F7" w:rsidRDefault="00881E58" w:rsidP="005F29B2">
            <w:pPr>
              <w:jc w:val="right"/>
            </w:pPr>
            <w:r w:rsidRPr="00CC19F7">
              <w:t>85 315</w:t>
            </w:r>
          </w:p>
        </w:tc>
        <w:tc>
          <w:tcPr>
            <w:tcW w:w="1479" w:type="dxa"/>
            <w:tcBorders>
              <w:top w:val="nil"/>
              <w:left w:val="nil"/>
              <w:bottom w:val="nil"/>
              <w:right w:val="nil"/>
            </w:tcBorders>
            <w:tcMar>
              <w:top w:w="128" w:type="dxa"/>
              <w:left w:w="43" w:type="dxa"/>
              <w:bottom w:w="43" w:type="dxa"/>
              <w:right w:w="43" w:type="dxa"/>
            </w:tcMar>
            <w:vAlign w:val="bottom"/>
          </w:tcPr>
          <w:p w14:paraId="5D87711E" w14:textId="77777777" w:rsidR="00FE02EF" w:rsidRPr="00CC19F7" w:rsidRDefault="00881E58" w:rsidP="005F29B2">
            <w:pPr>
              <w:jc w:val="right"/>
            </w:pPr>
            <w:r w:rsidRPr="00CC19F7">
              <w:t>105 000</w:t>
            </w:r>
          </w:p>
        </w:tc>
        <w:tc>
          <w:tcPr>
            <w:tcW w:w="1300" w:type="dxa"/>
            <w:tcBorders>
              <w:top w:val="nil"/>
              <w:left w:val="nil"/>
              <w:bottom w:val="nil"/>
              <w:right w:val="nil"/>
            </w:tcBorders>
            <w:tcMar>
              <w:top w:w="128" w:type="dxa"/>
              <w:left w:w="43" w:type="dxa"/>
              <w:bottom w:w="43" w:type="dxa"/>
              <w:right w:w="43" w:type="dxa"/>
            </w:tcMar>
            <w:vAlign w:val="bottom"/>
          </w:tcPr>
          <w:p w14:paraId="300B794C" w14:textId="77777777" w:rsidR="00FE02EF" w:rsidRPr="00CC19F7" w:rsidRDefault="00881E58" w:rsidP="005F29B2">
            <w:pPr>
              <w:jc w:val="right"/>
            </w:pPr>
            <w:r w:rsidRPr="00CC19F7">
              <w:t>200 000</w:t>
            </w:r>
          </w:p>
        </w:tc>
      </w:tr>
      <w:tr w:rsidR="00FE02EF" w:rsidRPr="00CC19F7" w14:paraId="7D0C760A" w14:textId="77777777" w:rsidTr="005F29B2">
        <w:trPr>
          <w:trHeight w:val="380"/>
        </w:trPr>
        <w:tc>
          <w:tcPr>
            <w:tcW w:w="840" w:type="dxa"/>
            <w:tcBorders>
              <w:top w:val="nil"/>
              <w:left w:val="nil"/>
              <w:bottom w:val="nil"/>
              <w:right w:val="nil"/>
            </w:tcBorders>
            <w:tcMar>
              <w:top w:w="128" w:type="dxa"/>
              <w:left w:w="43" w:type="dxa"/>
              <w:bottom w:w="43" w:type="dxa"/>
              <w:right w:w="43" w:type="dxa"/>
            </w:tcMar>
          </w:tcPr>
          <w:p w14:paraId="7FB0ECBA" w14:textId="77777777" w:rsidR="00FE02EF" w:rsidRPr="00CC19F7" w:rsidRDefault="00881E58" w:rsidP="00CC19F7">
            <w:r w:rsidRPr="00CC19F7">
              <w:t>26</w:t>
            </w:r>
          </w:p>
        </w:tc>
        <w:tc>
          <w:tcPr>
            <w:tcW w:w="4504" w:type="dxa"/>
            <w:tcBorders>
              <w:top w:val="nil"/>
              <w:left w:val="nil"/>
              <w:bottom w:val="nil"/>
              <w:right w:val="nil"/>
            </w:tcBorders>
            <w:tcMar>
              <w:top w:w="128" w:type="dxa"/>
              <w:left w:w="43" w:type="dxa"/>
              <w:bottom w:w="43" w:type="dxa"/>
              <w:right w:w="43" w:type="dxa"/>
            </w:tcMar>
          </w:tcPr>
          <w:p w14:paraId="4176A537" w14:textId="77777777" w:rsidR="00FE02EF" w:rsidRPr="00CC19F7" w:rsidRDefault="00881E58" w:rsidP="005F29B2">
            <w:proofErr w:type="spellStart"/>
            <w:r w:rsidRPr="00CC19F7">
              <w:t>Reguleringsmyndigheita</w:t>
            </w:r>
            <w:proofErr w:type="spellEnd"/>
            <w:r w:rsidRPr="00CC19F7">
              <w:t xml:space="preserve"> for energi</w:t>
            </w:r>
          </w:p>
        </w:tc>
        <w:tc>
          <w:tcPr>
            <w:tcW w:w="1417" w:type="dxa"/>
            <w:tcBorders>
              <w:top w:val="nil"/>
              <w:left w:val="nil"/>
              <w:bottom w:val="nil"/>
              <w:right w:val="nil"/>
            </w:tcBorders>
            <w:tcMar>
              <w:top w:w="128" w:type="dxa"/>
              <w:left w:w="43" w:type="dxa"/>
              <w:bottom w:w="43" w:type="dxa"/>
              <w:right w:w="43" w:type="dxa"/>
            </w:tcMar>
            <w:vAlign w:val="bottom"/>
          </w:tcPr>
          <w:p w14:paraId="7FACFC61" w14:textId="77777777" w:rsidR="00FE02EF" w:rsidRPr="00CC19F7" w:rsidRDefault="00881E58" w:rsidP="005F29B2">
            <w:pPr>
              <w:jc w:val="right"/>
            </w:pPr>
            <w:r w:rsidRPr="00CC19F7">
              <w:t>69 621</w:t>
            </w:r>
          </w:p>
        </w:tc>
        <w:tc>
          <w:tcPr>
            <w:tcW w:w="1479" w:type="dxa"/>
            <w:tcBorders>
              <w:top w:val="nil"/>
              <w:left w:val="nil"/>
              <w:bottom w:val="nil"/>
              <w:right w:val="nil"/>
            </w:tcBorders>
            <w:tcMar>
              <w:top w:w="128" w:type="dxa"/>
              <w:left w:w="43" w:type="dxa"/>
              <w:bottom w:w="43" w:type="dxa"/>
              <w:right w:w="43" w:type="dxa"/>
            </w:tcMar>
            <w:vAlign w:val="bottom"/>
          </w:tcPr>
          <w:p w14:paraId="2A5B076E" w14:textId="77777777" w:rsidR="00FE02EF" w:rsidRPr="00CC19F7" w:rsidRDefault="00881E58" w:rsidP="005F29B2">
            <w:pPr>
              <w:jc w:val="right"/>
            </w:pPr>
            <w:r w:rsidRPr="00CC19F7">
              <w:t>67 500</w:t>
            </w:r>
          </w:p>
        </w:tc>
        <w:tc>
          <w:tcPr>
            <w:tcW w:w="1300" w:type="dxa"/>
            <w:tcBorders>
              <w:top w:val="nil"/>
              <w:left w:val="nil"/>
              <w:bottom w:val="nil"/>
              <w:right w:val="nil"/>
            </w:tcBorders>
            <w:tcMar>
              <w:top w:w="128" w:type="dxa"/>
              <w:left w:w="43" w:type="dxa"/>
              <w:bottom w:w="43" w:type="dxa"/>
              <w:right w:w="43" w:type="dxa"/>
            </w:tcMar>
            <w:vAlign w:val="bottom"/>
          </w:tcPr>
          <w:p w14:paraId="0138D9E9" w14:textId="77777777" w:rsidR="00FE02EF" w:rsidRPr="00CC19F7" w:rsidRDefault="00881E58" w:rsidP="005F29B2">
            <w:pPr>
              <w:jc w:val="right"/>
            </w:pPr>
            <w:r w:rsidRPr="00CC19F7">
              <w:t>81 200</w:t>
            </w:r>
          </w:p>
        </w:tc>
      </w:tr>
      <w:tr w:rsidR="00FE02EF" w:rsidRPr="00CC19F7" w14:paraId="47F1EEB4" w14:textId="77777777" w:rsidTr="005F29B2">
        <w:trPr>
          <w:trHeight w:val="640"/>
        </w:trPr>
        <w:tc>
          <w:tcPr>
            <w:tcW w:w="840" w:type="dxa"/>
            <w:tcBorders>
              <w:top w:val="nil"/>
              <w:left w:val="nil"/>
              <w:bottom w:val="nil"/>
              <w:right w:val="nil"/>
            </w:tcBorders>
            <w:tcMar>
              <w:top w:w="128" w:type="dxa"/>
              <w:left w:w="43" w:type="dxa"/>
              <w:bottom w:w="43" w:type="dxa"/>
              <w:right w:w="43" w:type="dxa"/>
            </w:tcMar>
          </w:tcPr>
          <w:p w14:paraId="621958E4" w14:textId="77777777" w:rsidR="00FE02EF" w:rsidRPr="00CC19F7" w:rsidRDefault="00881E58" w:rsidP="00CC19F7">
            <w:r w:rsidRPr="00CC19F7">
              <w:t>45</w:t>
            </w:r>
          </w:p>
        </w:tc>
        <w:tc>
          <w:tcPr>
            <w:tcW w:w="4504" w:type="dxa"/>
            <w:tcBorders>
              <w:top w:val="nil"/>
              <w:left w:val="nil"/>
              <w:bottom w:val="nil"/>
              <w:right w:val="nil"/>
            </w:tcBorders>
            <w:tcMar>
              <w:top w:w="128" w:type="dxa"/>
              <w:left w:w="43" w:type="dxa"/>
              <w:bottom w:w="43" w:type="dxa"/>
              <w:right w:w="43" w:type="dxa"/>
            </w:tcMar>
          </w:tcPr>
          <w:p w14:paraId="01740091" w14:textId="77777777" w:rsidR="00FE02EF" w:rsidRPr="00CC19F7" w:rsidRDefault="00881E58" w:rsidP="005F29B2">
            <w:r w:rsidRPr="00CC19F7">
              <w:t xml:space="preserve">Større utstyrsinnkjøp og </w:t>
            </w:r>
            <w:proofErr w:type="spellStart"/>
            <w:r w:rsidRPr="00CC19F7">
              <w:t>vedlikehald</w:t>
            </w:r>
            <w:proofErr w:type="spellEnd"/>
            <w:r w:rsidRPr="00CC19F7">
              <w:rPr>
                <w:rStyle w:val="kursiv"/>
              </w:rPr>
              <w:t xml:space="preserve">, </w:t>
            </w:r>
            <w:r w:rsidRPr="00CC19F7">
              <w:rPr>
                <w:rStyle w:val="kursiv"/>
              </w:rPr>
              <w:br/>
              <w:t>kan </w:t>
            </w:r>
            <w:proofErr w:type="spellStart"/>
            <w:r w:rsidRPr="00CC19F7">
              <w:rPr>
                <w:rStyle w:val="kursiv"/>
              </w:rPr>
              <w:t>overførast</w:t>
            </w:r>
            <w:proofErr w:type="spellEnd"/>
            <w:r w:rsidRPr="00CC19F7">
              <w:rPr>
                <w:rStyle w:val="kursiv"/>
              </w:rPr>
              <w:t xml:space="preserve">, kan </w:t>
            </w:r>
            <w:proofErr w:type="spellStart"/>
            <w:r w:rsidRPr="00CC19F7">
              <w:rPr>
                <w:rStyle w:val="kursiv"/>
              </w:rPr>
              <w:t>nyttast</w:t>
            </w:r>
            <w:proofErr w:type="spellEnd"/>
            <w:r w:rsidRPr="00CC19F7">
              <w:rPr>
                <w:rStyle w:val="kursiv"/>
              </w:rPr>
              <w:t xml:space="preserve"> under post 22</w:t>
            </w:r>
          </w:p>
        </w:tc>
        <w:tc>
          <w:tcPr>
            <w:tcW w:w="1417" w:type="dxa"/>
            <w:tcBorders>
              <w:top w:val="nil"/>
              <w:left w:val="nil"/>
              <w:bottom w:val="nil"/>
              <w:right w:val="nil"/>
            </w:tcBorders>
            <w:tcMar>
              <w:top w:w="128" w:type="dxa"/>
              <w:left w:w="43" w:type="dxa"/>
              <w:bottom w:w="43" w:type="dxa"/>
              <w:right w:w="43" w:type="dxa"/>
            </w:tcMar>
            <w:vAlign w:val="bottom"/>
          </w:tcPr>
          <w:p w14:paraId="5A467711" w14:textId="77777777" w:rsidR="00FE02EF" w:rsidRPr="00CC19F7" w:rsidRDefault="00881E58" w:rsidP="005F29B2">
            <w:pPr>
              <w:jc w:val="right"/>
            </w:pPr>
            <w:r w:rsidRPr="00CC19F7">
              <w:t>26 298</w:t>
            </w:r>
          </w:p>
        </w:tc>
        <w:tc>
          <w:tcPr>
            <w:tcW w:w="1479" w:type="dxa"/>
            <w:tcBorders>
              <w:top w:val="nil"/>
              <w:left w:val="nil"/>
              <w:bottom w:val="nil"/>
              <w:right w:val="nil"/>
            </w:tcBorders>
            <w:tcMar>
              <w:top w:w="128" w:type="dxa"/>
              <w:left w:w="43" w:type="dxa"/>
              <w:bottom w:w="43" w:type="dxa"/>
              <w:right w:w="43" w:type="dxa"/>
            </w:tcMar>
            <w:vAlign w:val="bottom"/>
          </w:tcPr>
          <w:p w14:paraId="5C52B073" w14:textId="77777777" w:rsidR="00FE02EF" w:rsidRPr="00CC19F7" w:rsidRDefault="00881E58" w:rsidP="005F29B2">
            <w:pPr>
              <w:jc w:val="right"/>
            </w:pPr>
            <w:r w:rsidRPr="00CC19F7">
              <w:t>25 000</w:t>
            </w:r>
          </w:p>
        </w:tc>
        <w:tc>
          <w:tcPr>
            <w:tcW w:w="1300" w:type="dxa"/>
            <w:tcBorders>
              <w:top w:val="nil"/>
              <w:left w:val="nil"/>
              <w:bottom w:val="nil"/>
              <w:right w:val="nil"/>
            </w:tcBorders>
            <w:tcMar>
              <w:top w:w="128" w:type="dxa"/>
              <w:left w:w="43" w:type="dxa"/>
              <w:bottom w:w="43" w:type="dxa"/>
              <w:right w:w="43" w:type="dxa"/>
            </w:tcMar>
            <w:vAlign w:val="bottom"/>
          </w:tcPr>
          <w:p w14:paraId="6B4818F2" w14:textId="77777777" w:rsidR="00FE02EF" w:rsidRPr="00CC19F7" w:rsidRDefault="00881E58" w:rsidP="005F29B2">
            <w:pPr>
              <w:jc w:val="right"/>
            </w:pPr>
            <w:r w:rsidRPr="00CC19F7">
              <w:t>29 000</w:t>
            </w:r>
          </w:p>
        </w:tc>
      </w:tr>
      <w:tr w:rsidR="00FE02EF" w:rsidRPr="00CC19F7" w14:paraId="2360AB9B" w14:textId="77777777" w:rsidTr="005F29B2">
        <w:trPr>
          <w:trHeight w:val="640"/>
        </w:trPr>
        <w:tc>
          <w:tcPr>
            <w:tcW w:w="840" w:type="dxa"/>
            <w:tcBorders>
              <w:top w:val="nil"/>
              <w:left w:val="nil"/>
              <w:bottom w:val="nil"/>
              <w:right w:val="nil"/>
            </w:tcBorders>
            <w:tcMar>
              <w:top w:w="128" w:type="dxa"/>
              <w:left w:w="43" w:type="dxa"/>
              <w:bottom w:w="43" w:type="dxa"/>
              <w:right w:w="43" w:type="dxa"/>
            </w:tcMar>
          </w:tcPr>
          <w:p w14:paraId="275F53B9" w14:textId="77777777" w:rsidR="00FE02EF" w:rsidRPr="00CC19F7" w:rsidRDefault="00881E58" w:rsidP="00CC19F7">
            <w:r w:rsidRPr="00CC19F7">
              <w:t>60</w:t>
            </w:r>
          </w:p>
        </w:tc>
        <w:tc>
          <w:tcPr>
            <w:tcW w:w="4504" w:type="dxa"/>
            <w:tcBorders>
              <w:top w:val="nil"/>
              <w:left w:val="nil"/>
              <w:bottom w:val="nil"/>
              <w:right w:val="nil"/>
            </w:tcBorders>
            <w:tcMar>
              <w:top w:w="128" w:type="dxa"/>
              <w:left w:w="43" w:type="dxa"/>
              <w:bottom w:w="43" w:type="dxa"/>
              <w:right w:w="43" w:type="dxa"/>
            </w:tcMar>
          </w:tcPr>
          <w:p w14:paraId="0F1B9C01" w14:textId="77777777" w:rsidR="00FE02EF" w:rsidRPr="00CC19F7" w:rsidRDefault="00881E58" w:rsidP="005F29B2">
            <w:proofErr w:type="spellStart"/>
            <w:r w:rsidRPr="00CC19F7">
              <w:t>Tilskot</w:t>
            </w:r>
            <w:proofErr w:type="spellEnd"/>
            <w:r w:rsidRPr="00CC19F7">
              <w:t xml:space="preserve"> til </w:t>
            </w:r>
            <w:proofErr w:type="spellStart"/>
            <w:r w:rsidRPr="00CC19F7">
              <w:t>flaum</w:t>
            </w:r>
            <w:proofErr w:type="spellEnd"/>
            <w:r w:rsidRPr="00CC19F7">
              <w:t xml:space="preserve">- og </w:t>
            </w:r>
            <w:proofErr w:type="spellStart"/>
            <w:r w:rsidRPr="00CC19F7">
              <w:t>skredførebygging</w:t>
            </w:r>
            <w:proofErr w:type="spellEnd"/>
            <w:r w:rsidRPr="00CC19F7">
              <w:rPr>
                <w:rStyle w:val="kursiv"/>
              </w:rPr>
              <w:t xml:space="preserve">, </w:t>
            </w:r>
            <w:r w:rsidRPr="00CC19F7">
              <w:rPr>
                <w:rStyle w:val="kursiv"/>
              </w:rPr>
              <w:br/>
              <w:t>kan </w:t>
            </w:r>
            <w:proofErr w:type="spellStart"/>
            <w:r w:rsidRPr="00CC19F7">
              <w:rPr>
                <w:rStyle w:val="kursiv"/>
              </w:rPr>
              <w:t>overførast</w:t>
            </w:r>
            <w:proofErr w:type="spellEnd"/>
            <w:r w:rsidRPr="00CC19F7">
              <w:rPr>
                <w:rStyle w:val="kursiv"/>
              </w:rPr>
              <w:t xml:space="preserve">, kan </w:t>
            </w:r>
            <w:proofErr w:type="spellStart"/>
            <w:r w:rsidRPr="00CC19F7">
              <w:rPr>
                <w:rStyle w:val="kursiv"/>
              </w:rPr>
              <w:t>nyttast</w:t>
            </w:r>
            <w:proofErr w:type="spellEnd"/>
            <w:r w:rsidRPr="00CC19F7">
              <w:rPr>
                <w:rStyle w:val="kursiv"/>
              </w:rPr>
              <w:t xml:space="preserve"> under </w:t>
            </w:r>
            <w:proofErr w:type="spellStart"/>
            <w:r w:rsidRPr="00CC19F7">
              <w:rPr>
                <w:rStyle w:val="kursiv"/>
              </w:rPr>
              <w:t>postane</w:t>
            </w:r>
            <w:proofErr w:type="spellEnd"/>
            <w:r w:rsidRPr="00CC19F7">
              <w:rPr>
                <w:rStyle w:val="kursiv"/>
              </w:rPr>
              <w:t xml:space="preserve"> 22 og 72</w:t>
            </w:r>
          </w:p>
        </w:tc>
        <w:tc>
          <w:tcPr>
            <w:tcW w:w="1417" w:type="dxa"/>
            <w:tcBorders>
              <w:top w:val="nil"/>
              <w:left w:val="nil"/>
              <w:bottom w:val="nil"/>
              <w:right w:val="nil"/>
            </w:tcBorders>
            <w:tcMar>
              <w:top w:w="128" w:type="dxa"/>
              <w:left w:w="43" w:type="dxa"/>
              <w:bottom w:w="43" w:type="dxa"/>
              <w:right w:w="43" w:type="dxa"/>
            </w:tcMar>
            <w:vAlign w:val="bottom"/>
          </w:tcPr>
          <w:p w14:paraId="313C83E4" w14:textId="77777777" w:rsidR="00FE02EF" w:rsidRPr="00CC19F7" w:rsidRDefault="00881E58" w:rsidP="005F29B2">
            <w:pPr>
              <w:jc w:val="right"/>
            </w:pPr>
            <w:r w:rsidRPr="00CC19F7">
              <w:t>87 694</w:t>
            </w:r>
          </w:p>
        </w:tc>
        <w:tc>
          <w:tcPr>
            <w:tcW w:w="1479" w:type="dxa"/>
            <w:tcBorders>
              <w:top w:val="nil"/>
              <w:left w:val="nil"/>
              <w:bottom w:val="nil"/>
              <w:right w:val="nil"/>
            </w:tcBorders>
            <w:tcMar>
              <w:top w:w="128" w:type="dxa"/>
              <w:left w:w="43" w:type="dxa"/>
              <w:bottom w:w="43" w:type="dxa"/>
              <w:right w:w="43" w:type="dxa"/>
            </w:tcMar>
            <w:vAlign w:val="bottom"/>
          </w:tcPr>
          <w:p w14:paraId="799C9E23" w14:textId="77777777" w:rsidR="00FE02EF" w:rsidRPr="00CC19F7" w:rsidRDefault="00881E58" w:rsidP="005F29B2">
            <w:pPr>
              <w:jc w:val="right"/>
            </w:pPr>
            <w:r w:rsidRPr="00CC19F7">
              <w:t>105 500</w:t>
            </w:r>
          </w:p>
        </w:tc>
        <w:tc>
          <w:tcPr>
            <w:tcW w:w="1300" w:type="dxa"/>
            <w:tcBorders>
              <w:top w:val="nil"/>
              <w:left w:val="nil"/>
              <w:bottom w:val="nil"/>
              <w:right w:val="nil"/>
            </w:tcBorders>
            <w:tcMar>
              <w:top w:w="128" w:type="dxa"/>
              <w:left w:w="43" w:type="dxa"/>
              <w:bottom w:w="43" w:type="dxa"/>
              <w:right w:w="43" w:type="dxa"/>
            </w:tcMar>
            <w:vAlign w:val="bottom"/>
          </w:tcPr>
          <w:p w14:paraId="086B9C87" w14:textId="77777777" w:rsidR="00FE02EF" w:rsidRPr="00CC19F7" w:rsidRDefault="00881E58" w:rsidP="005F29B2">
            <w:pPr>
              <w:jc w:val="right"/>
            </w:pPr>
            <w:r w:rsidRPr="00CC19F7">
              <w:t>105 000</w:t>
            </w:r>
          </w:p>
        </w:tc>
      </w:tr>
      <w:tr w:rsidR="00FE02EF" w:rsidRPr="00CC19F7" w14:paraId="7F625272" w14:textId="77777777" w:rsidTr="005F29B2">
        <w:trPr>
          <w:trHeight w:val="640"/>
        </w:trPr>
        <w:tc>
          <w:tcPr>
            <w:tcW w:w="840" w:type="dxa"/>
            <w:tcBorders>
              <w:top w:val="nil"/>
              <w:left w:val="nil"/>
              <w:bottom w:val="nil"/>
              <w:right w:val="nil"/>
            </w:tcBorders>
            <w:tcMar>
              <w:top w:w="128" w:type="dxa"/>
              <w:left w:w="43" w:type="dxa"/>
              <w:bottom w:w="43" w:type="dxa"/>
              <w:right w:w="43" w:type="dxa"/>
            </w:tcMar>
          </w:tcPr>
          <w:p w14:paraId="4EA41480" w14:textId="77777777" w:rsidR="00FE02EF" w:rsidRPr="00CC19F7" w:rsidRDefault="00881E58" w:rsidP="00CC19F7">
            <w:r w:rsidRPr="00CC19F7">
              <w:t>62</w:t>
            </w:r>
          </w:p>
        </w:tc>
        <w:tc>
          <w:tcPr>
            <w:tcW w:w="4504" w:type="dxa"/>
            <w:tcBorders>
              <w:top w:val="nil"/>
              <w:left w:val="nil"/>
              <w:bottom w:val="nil"/>
              <w:right w:val="nil"/>
            </w:tcBorders>
            <w:tcMar>
              <w:top w:w="128" w:type="dxa"/>
              <w:left w:w="43" w:type="dxa"/>
              <w:bottom w:w="43" w:type="dxa"/>
              <w:right w:w="43" w:type="dxa"/>
            </w:tcMar>
          </w:tcPr>
          <w:p w14:paraId="07B35F60" w14:textId="77777777" w:rsidR="00FE02EF" w:rsidRPr="00CC19F7" w:rsidRDefault="00881E58" w:rsidP="005F29B2">
            <w:r w:rsidRPr="00CC19F7">
              <w:t xml:space="preserve">Tilbakeføring av produksjonsavgift </w:t>
            </w:r>
            <w:proofErr w:type="spellStart"/>
            <w:r w:rsidRPr="00CC19F7">
              <w:t>frå</w:t>
            </w:r>
            <w:proofErr w:type="spellEnd"/>
            <w:r w:rsidRPr="00CC19F7">
              <w:t xml:space="preserve"> landbasert vindkraft</w:t>
            </w:r>
          </w:p>
        </w:tc>
        <w:tc>
          <w:tcPr>
            <w:tcW w:w="1417" w:type="dxa"/>
            <w:tcBorders>
              <w:top w:val="nil"/>
              <w:left w:val="nil"/>
              <w:bottom w:val="nil"/>
              <w:right w:val="nil"/>
            </w:tcBorders>
            <w:tcMar>
              <w:top w:w="128" w:type="dxa"/>
              <w:left w:w="43" w:type="dxa"/>
              <w:bottom w:w="43" w:type="dxa"/>
              <w:right w:w="43" w:type="dxa"/>
            </w:tcMar>
            <w:vAlign w:val="bottom"/>
          </w:tcPr>
          <w:p w14:paraId="075E966F" w14:textId="77777777" w:rsidR="00FE02EF" w:rsidRPr="00CC19F7" w:rsidRDefault="00FE02EF" w:rsidP="005F29B2">
            <w:pPr>
              <w:jc w:val="right"/>
            </w:pPr>
          </w:p>
        </w:tc>
        <w:tc>
          <w:tcPr>
            <w:tcW w:w="1479" w:type="dxa"/>
            <w:tcBorders>
              <w:top w:val="nil"/>
              <w:left w:val="nil"/>
              <w:bottom w:val="nil"/>
              <w:right w:val="nil"/>
            </w:tcBorders>
            <w:tcMar>
              <w:top w:w="128" w:type="dxa"/>
              <w:left w:w="43" w:type="dxa"/>
              <w:bottom w:w="43" w:type="dxa"/>
              <w:right w:w="43" w:type="dxa"/>
            </w:tcMar>
            <w:vAlign w:val="bottom"/>
          </w:tcPr>
          <w:p w14:paraId="52BDC869" w14:textId="77777777" w:rsidR="00FE02EF" w:rsidRPr="00CC19F7" w:rsidRDefault="00881E58" w:rsidP="005F29B2">
            <w:pPr>
              <w:jc w:val="right"/>
            </w:pPr>
            <w:r w:rsidRPr="00CC19F7">
              <w:t>82 500</w:t>
            </w:r>
          </w:p>
        </w:tc>
        <w:tc>
          <w:tcPr>
            <w:tcW w:w="1300" w:type="dxa"/>
            <w:tcBorders>
              <w:top w:val="nil"/>
              <w:left w:val="nil"/>
              <w:bottom w:val="nil"/>
              <w:right w:val="nil"/>
            </w:tcBorders>
            <w:tcMar>
              <w:top w:w="128" w:type="dxa"/>
              <w:left w:w="43" w:type="dxa"/>
              <w:bottom w:w="43" w:type="dxa"/>
              <w:right w:w="43" w:type="dxa"/>
            </w:tcMar>
            <w:vAlign w:val="bottom"/>
          </w:tcPr>
          <w:p w14:paraId="55BE44CD" w14:textId="77777777" w:rsidR="00FE02EF" w:rsidRPr="00CC19F7" w:rsidRDefault="00881E58" w:rsidP="005F29B2">
            <w:pPr>
              <w:jc w:val="right"/>
            </w:pPr>
            <w:r w:rsidRPr="00CC19F7">
              <w:t>338 000</w:t>
            </w:r>
          </w:p>
        </w:tc>
      </w:tr>
      <w:tr w:rsidR="00FE02EF" w:rsidRPr="00CC19F7" w14:paraId="238ACF49" w14:textId="77777777" w:rsidTr="005F29B2">
        <w:trPr>
          <w:trHeight w:val="640"/>
        </w:trPr>
        <w:tc>
          <w:tcPr>
            <w:tcW w:w="840" w:type="dxa"/>
            <w:tcBorders>
              <w:top w:val="nil"/>
              <w:left w:val="nil"/>
              <w:bottom w:val="nil"/>
              <w:right w:val="nil"/>
            </w:tcBorders>
            <w:tcMar>
              <w:top w:w="128" w:type="dxa"/>
              <w:left w:w="43" w:type="dxa"/>
              <w:bottom w:w="43" w:type="dxa"/>
              <w:right w:w="43" w:type="dxa"/>
            </w:tcMar>
          </w:tcPr>
          <w:p w14:paraId="7A01E7C8" w14:textId="77777777" w:rsidR="00FE02EF" w:rsidRPr="00CC19F7" w:rsidRDefault="00881E58" w:rsidP="00CC19F7">
            <w:r w:rsidRPr="00CC19F7">
              <w:t>72</w:t>
            </w:r>
          </w:p>
        </w:tc>
        <w:tc>
          <w:tcPr>
            <w:tcW w:w="4504" w:type="dxa"/>
            <w:tcBorders>
              <w:top w:val="nil"/>
              <w:left w:val="nil"/>
              <w:bottom w:val="nil"/>
              <w:right w:val="nil"/>
            </w:tcBorders>
            <w:tcMar>
              <w:top w:w="128" w:type="dxa"/>
              <w:left w:w="43" w:type="dxa"/>
              <w:bottom w:w="43" w:type="dxa"/>
              <w:right w:w="43" w:type="dxa"/>
            </w:tcMar>
          </w:tcPr>
          <w:p w14:paraId="3625D3FA" w14:textId="77777777" w:rsidR="00FE02EF" w:rsidRPr="00CC19F7" w:rsidRDefault="00881E58" w:rsidP="005F29B2">
            <w:proofErr w:type="spellStart"/>
            <w:r w:rsidRPr="00CC19F7">
              <w:t>Tilskot</w:t>
            </w:r>
            <w:proofErr w:type="spellEnd"/>
            <w:r w:rsidRPr="00CC19F7">
              <w:t xml:space="preserve"> til </w:t>
            </w:r>
            <w:proofErr w:type="spellStart"/>
            <w:r w:rsidRPr="00CC19F7">
              <w:t>flaum</w:t>
            </w:r>
            <w:proofErr w:type="spellEnd"/>
            <w:r w:rsidRPr="00CC19F7">
              <w:t xml:space="preserve">- og </w:t>
            </w:r>
            <w:proofErr w:type="spellStart"/>
            <w:r w:rsidRPr="00CC19F7">
              <w:t>skredførebygging</w:t>
            </w:r>
            <w:proofErr w:type="spellEnd"/>
            <w:r w:rsidRPr="00CC19F7">
              <w:rPr>
                <w:rStyle w:val="kursiv"/>
              </w:rPr>
              <w:t xml:space="preserve">, </w:t>
            </w:r>
            <w:r w:rsidRPr="00CC19F7">
              <w:rPr>
                <w:rStyle w:val="kursiv"/>
              </w:rPr>
              <w:br/>
              <w:t>kan </w:t>
            </w:r>
            <w:proofErr w:type="spellStart"/>
            <w:r w:rsidRPr="00CC19F7">
              <w:rPr>
                <w:rStyle w:val="kursiv"/>
              </w:rPr>
              <w:t>overførast</w:t>
            </w:r>
            <w:proofErr w:type="spellEnd"/>
            <w:r w:rsidRPr="00CC19F7">
              <w:rPr>
                <w:rStyle w:val="kursiv"/>
              </w:rPr>
              <w:t xml:space="preserve">, kan </w:t>
            </w:r>
            <w:proofErr w:type="spellStart"/>
            <w:r w:rsidRPr="00CC19F7">
              <w:rPr>
                <w:rStyle w:val="kursiv"/>
              </w:rPr>
              <w:t>nyttast</w:t>
            </w:r>
            <w:proofErr w:type="spellEnd"/>
            <w:r w:rsidRPr="00CC19F7">
              <w:rPr>
                <w:rStyle w:val="kursiv"/>
              </w:rPr>
              <w:t xml:space="preserve"> under </w:t>
            </w:r>
            <w:proofErr w:type="spellStart"/>
            <w:r w:rsidRPr="00CC19F7">
              <w:rPr>
                <w:rStyle w:val="kursiv"/>
              </w:rPr>
              <w:t>postane</w:t>
            </w:r>
            <w:proofErr w:type="spellEnd"/>
            <w:r w:rsidRPr="00CC19F7">
              <w:rPr>
                <w:rStyle w:val="kursiv"/>
              </w:rPr>
              <w:t xml:space="preserve"> 22 og 60</w:t>
            </w:r>
          </w:p>
        </w:tc>
        <w:tc>
          <w:tcPr>
            <w:tcW w:w="1417" w:type="dxa"/>
            <w:tcBorders>
              <w:top w:val="nil"/>
              <w:left w:val="nil"/>
              <w:bottom w:val="nil"/>
              <w:right w:val="nil"/>
            </w:tcBorders>
            <w:tcMar>
              <w:top w:w="128" w:type="dxa"/>
              <w:left w:w="43" w:type="dxa"/>
              <w:bottom w:w="43" w:type="dxa"/>
              <w:right w:w="43" w:type="dxa"/>
            </w:tcMar>
            <w:vAlign w:val="bottom"/>
          </w:tcPr>
          <w:p w14:paraId="6441DC15" w14:textId="77777777" w:rsidR="00FE02EF" w:rsidRPr="00CC19F7" w:rsidRDefault="00881E58" w:rsidP="005F29B2">
            <w:pPr>
              <w:jc w:val="right"/>
            </w:pPr>
            <w:r w:rsidRPr="00CC19F7">
              <w:t>6 194</w:t>
            </w:r>
          </w:p>
        </w:tc>
        <w:tc>
          <w:tcPr>
            <w:tcW w:w="1479" w:type="dxa"/>
            <w:tcBorders>
              <w:top w:val="nil"/>
              <w:left w:val="nil"/>
              <w:bottom w:val="nil"/>
              <w:right w:val="nil"/>
            </w:tcBorders>
            <w:tcMar>
              <w:top w:w="128" w:type="dxa"/>
              <w:left w:w="43" w:type="dxa"/>
              <w:bottom w:w="43" w:type="dxa"/>
              <w:right w:w="43" w:type="dxa"/>
            </w:tcMar>
            <w:vAlign w:val="bottom"/>
          </w:tcPr>
          <w:p w14:paraId="4DA50FA8" w14:textId="77777777" w:rsidR="00FE02EF" w:rsidRPr="00CC19F7" w:rsidRDefault="00881E58" w:rsidP="005F29B2">
            <w:pPr>
              <w:jc w:val="right"/>
            </w:pPr>
            <w:r w:rsidRPr="00CC19F7">
              <w:t>6 000</w:t>
            </w:r>
          </w:p>
        </w:tc>
        <w:tc>
          <w:tcPr>
            <w:tcW w:w="1300" w:type="dxa"/>
            <w:tcBorders>
              <w:top w:val="nil"/>
              <w:left w:val="nil"/>
              <w:bottom w:val="nil"/>
              <w:right w:val="nil"/>
            </w:tcBorders>
            <w:tcMar>
              <w:top w:w="128" w:type="dxa"/>
              <w:left w:w="43" w:type="dxa"/>
              <w:bottom w:w="43" w:type="dxa"/>
              <w:right w:w="43" w:type="dxa"/>
            </w:tcMar>
            <w:vAlign w:val="bottom"/>
          </w:tcPr>
          <w:p w14:paraId="50568DCD" w14:textId="77777777" w:rsidR="00FE02EF" w:rsidRPr="00CC19F7" w:rsidRDefault="00881E58" w:rsidP="005F29B2">
            <w:pPr>
              <w:jc w:val="right"/>
            </w:pPr>
            <w:r w:rsidRPr="00CC19F7">
              <w:t>6 000</w:t>
            </w:r>
          </w:p>
        </w:tc>
      </w:tr>
      <w:tr w:rsidR="00FE02EF" w:rsidRPr="00CC19F7" w14:paraId="456DAB52" w14:textId="77777777" w:rsidTr="005F29B2">
        <w:trPr>
          <w:trHeight w:val="380"/>
        </w:trPr>
        <w:tc>
          <w:tcPr>
            <w:tcW w:w="840" w:type="dxa"/>
            <w:tcBorders>
              <w:top w:val="nil"/>
              <w:left w:val="nil"/>
              <w:bottom w:val="nil"/>
              <w:right w:val="nil"/>
            </w:tcBorders>
            <w:tcMar>
              <w:top w:w="128" w:type="dxa"/>
              <w:left w:w="43" w:type="dxa"/>
              <w:bottom w:w="43" w:type="dxa"/>
              <w:right w:w="43" w:type="dxa"/>
            </w:tcMar>
          </w:tcPr>
          <w:p w14:paraId="1F3EE6E2" w14:textId="77777777" w:rsidR="00FE02EF" w:rsidRPr="00CC19F7" w:rsidRDefault="00881E58" w:rsidP="00CC19F7">
            <w:r w:rsidRPr="00CC19F7">
              <w:t>73</w:t>
            </w:r>
          </w:p>
        </w:tc>
        <w:tc>
          <w:tcPr>
            <w:tcW w:w="4504" w:type="dxa"/>
            <w:tcBorders>
              <w:top w:val="nil"/>
              <w:left w:val="nil"/>
              <w:bottom w:val="nil"/>
              <w:right w:val="nil"/>
            </w:tcBorders>
            <w:tcMar>
              <w:top w:w="128" w:type="dxa"/>
              <w:left w:w="43" w:type="dxa"/>
              <w:bottom w:w="43" w:type="dxa"/>
              <w:right w:w="43" w:type="dxa"/>
            </w:tcMar>
          </w:tcPr>
          <w:p w14:paraId="4B2C2AE4" w14:textId="77777777" w:rsidR="00FE02EF" w:rsidRPr="00CC19F7" w:rsidRDefault="00881E58" w:rsidP="005F29B2">
            <w:proofErr w:type="spellStart"/>
            <w:r w:rsidRPr="00CC19F7">
              <w:t>Tilskot</w:t>
            </w:r>
            <w:proofErr w:type="spellEnd"/>
            <w:r w:rsidRPr="00CC19F7">
              <w:t xml:space="preserve"> til utjamning av overføringstariffar</w:t>
            </w:r>
          </w:p>
        </w:tc>
        <w:tc>
          <w:tcPr>
            <w:tcW w:w="1417" w:type="dxa"/>
            <w:tcBorders>
              <w:top w:val="nil"/>
              <w:left w:val="nil"/>
              <w:bottom w:val="nil"/>
              <w:right w:val="nil"/>
            </w:tcBorders>
            <w:tcMar>
              <w:top w:w="128" w:type="dxa"/>
              <w:left w:w="43" w:type="dxa"/>
              <w:bottom w:w="43" w:type="dxa"/>
              <w:right w:w="43" w:type="dxa"/>
            </w:tcMar>
            <w:vAlign w:val="bottom"/>
          </w:tcPr>
          <w:p w14:paraId="78764EE8" w14:textId="77777777" w:rsidR="00FE02EF" w:rsidRPr="00CC19F7" w:rsidRDefault="00881E58" w:rsidP="005F29B2">
            <w:pPr>
              <w:jc w:val="right"/>
            </w:pPr>
            <w:r w:rsidRPr="00CC19F7">
              <w:t>20 000</w:t>
            </w:r>
          </w:p>
        </w:tc>
        <w:tc>
          <w:tcPr>
            <w:tcW w:w="1479" w:type="dxa"/>
            <w:tcBorders>
              <w:top w:val="nil"/>
              <w:left w:val="nil"/>
              <w:bottom w:val="nil"/>
              <w:right w:val="nil"/>
            </w:tcBorders>
            <w:tcMar>
              <w:top w:w="128" w:type="dxa"/>
              <w:left w:w="43" w:type="dxa"/>
              <w:bottom w:w="43" w:type="dxa"/>
              <w:right w:w="43" w:type="dxa"/>
            </w:tcMar>
            <w:vAlign w:val="bottom"/>
          </w:tcPr>
          <w:p w14:paraId="6DBE1191" w14:textId="77777777" w:rsidR="00FE02EF" w:rsidRPr="00CC19F7" w:rsidRDefault="00881E58" w:rsidP="005F29B2">
            <w:pPr>
              <w:jc w:val="right"/>
            </w:pPr>
            <w:r w:rsidRPr="00CC19F7">
              <w:t>20 000</w:t>
            </w:r>
          </w:p>
        </w:tc>
        <w:tc>
          <w:tcPr>
            <w:tcW w:w="1300" w:type="dxa"/>
            <w:tcBorders>
              <w:top w:val="nil"/>
              <w:left w:val="nil"/>
              <w:bottom w:val="nil"/>
              <w:right w:val="nil"/>
            </w:tcBorders>
            <w:tcMar>
              <w:top w:w="128" w:type="dxa"/>
              <w:left w:w="43" w:type="dxa"/>
              <w:bottom w:w="43" w:type="dxa"/>
              <w:right w:w="43" w:type="dxa"/>
            </w:tcMar>
            <w:vAlign w:val="bottom"/>
          </w:tcPr>
          <w:p w14:paraId="2FB4C81C" w14:textId="77777777" w:rsidR="00FE02EF" w:rsidRPr="00CC19F7" w:rsidRDefault="00881E58" w:rsidP="005F29B2">
            <w:pPr>
              <w:jc w:val="right"/>
            </w:pPr>
            <w:r w:rsidRPr="00CC19F7">
              <w:t>18 000</w:t>
            </w:r>
          </w:p>
        </w:tc>
      </w:tr>
      <w:tr w:rsidR="00FE02EF" w:rsidRPr="00CC19F7" w14:paraId="39F3FA9F" w14:textId="77777777" w:rsidTr="005F29B2">
        <w:trPr>
          <w:trHeight w:val="640"/>
        </w:trPr>
        <w:tc>
          <w:tcPr>
            <w:tcW w:w="840" w:type="dxa"/>
            <w:tcBorders>
              <w:top w:val="nil"/>
              <w:left w:val="nil"/>
              <w:bottom w:val="nil"/>
              <w:right w:val="nil"/>
            </w:tcBorders>
            <w:tcMar>
              <w:top w:w="128" w:type="dxa"/>
              <w:left w:w="43" w:type="dxa"/>
              <w:bottom w:w="43" w:type="dxa"/>
              <w:right w:w="43" w:type="dxa"/>
            </w:tcMar>
          </w:tcPr>
          <w:p w14:paraId="1B5237C4" w14:textId="77777777" w:rsidR="00FE02EF" w:rsidRPr="00CC19F7" w:rsidRDefault="00881E58" w:rsidP="00CC19F7">
            <w:r w:rsidRPr="00CC19F7">
              <w:t>74</w:t>
            </w:r>
          </w:p>
        </w:tc>
        <w:tc>
          <w:tcPr>
            <w:tcW w:w="4504" w:type="dxa"/>
            <w:tcBorders>
              <w:top w:val="nil"/>
              <w:left w:val="nil"/>
              <w:bottom w:val="nil"/>
              <w:right w:val="nil"/>
            </w:tcBorders>
            <w:tcMar>
              <w:top w:w="128" w:type="dxa"/>
              <w:left w:w="43" w:type="dxa"/>
              <w:bottom w:w="43" w:type="dxa"/>
              <w:right w:w="43" w:type="dxa"/>
            </w:tcMar>
          </w:tcPr>
          <w:p w14:paraId="3C321EEA" w14:textId="77777777" w:rsidR="00FE02EF" w:rsidRPr="00CC19F7" w:rsidRDefault="00881E58" w:rsidP="005F29B2">
            <w:proofErr w:type="spellStart"/>
            <w:r w:rsidRPr="00CC19F7">
              <w:t>Tilskot</w:t>
            </w:r>
            <w:proofErr w:type="spellEnd"/>
            <w:r w:rsidRPr="00CC19F7">
              <w:t xml:space="preserve"> til museums- og kulturminnetiltak</w:t>
            </w:r>
            <w:r w:rsidRPr="00CC19F7">
              <w:rPr>
                <w:rStyle w:val="kursiv"/>
              </w:rPr>
              <w:t xml:space="preserve">, </w:t>
            </w:r>
            <w:r w:rsidRPr="00CC19F7">
              <w:rPr>
                <w:rStyle w:val="kursiv"/>
              </w:rPr>
              <w:br/>
              <w:t>kan </w:t>
            </w:r>
            <w:proofErr w:type="spellStart"/>
            <w:r w:rsidRPr="00CC19F7">
              <w:rPr>
                <w:rStyle w:val="kursiv"/>
              </w:rPr>
              <w:t>overførast</w:t>
            </w:r>
            <w:proofErr w:type="spellEnd"/>
          </w:p>
        </w:tc>
        <w:tc>
          <w:tcPr>
            <w:tcW w:w="1417" w:type="dxa"/>
            <w:tcBorders>
              <w:top w:val="nil"/>
              <w:left w:val="nil"/>
              <w:bottom w:val="nil"/>
              <w:right w:val="nil"/>
            </w:tcBorders>
            <w:tcMar>
              <w:top w:w="128" w:type="dxa"/>
              <w:left w:w="43" w:type="dxa"/>
              <w:bottom w:w="43" w:type="dxa"/>
              <w:right w:w="43" w:type="dxa"/>
            </w:tcMar>
            <w:vAlign w:val="bottom"/>
          </w:tcPr>
          <w:p w14:paraId="69D8C023" w14:textId="77777777" w:rsidR="00FE02EF" w:rsidRPr="00CC19F7" w:rsidRDefault="00881E58" w:rsidP="005F29B2">
            <w:pPr>
              <w:jc w:val="right"/>
            </w:pPr>
            <w:r w:rsidRPr="00CC19F7">
              <w:t>7 200</w:t>
            </w:r>
          </w:p>
        </w:tc>
        <w:tc>
          <w:tcPr>
            <w:tcW w:w="1479" w:type="dxa"/>
            <w:tcBorders>
              <w:top w:val="nil"/>
              <w:left w:val="nil"/>
              <w:bottom w:val="nil"/>
              <w:right w:val="nil"/>
            </w:tcBorders>
            <w:tcMar>
              <w:top w:w="128" w:type="dxa"/>
              <w:left w:w="43" w:type="dxa"/>
              <w:bottom w:w="43" w:type="dxa"/>
              <w:right w:w="43" w:type="dxa"/>
            </w:tcMar>
            <w:vAlign w:val="bottom"/>
          </w:tcPr>
          <w:p w14:paraId="3B4FE358" w14:textId="77777777" w:rsidR="00FE02EF" w:rsidRPr="00CC19F7" w:rsidRDefault="00881E58" w:rsidP="005F29B2">
            <w:pPr>
              <w:jc w:val="right"/>
            </w:pPr>
            <w:r w:rsidRPr="00CC19F7">
              <w:t>7 000</w:t>
            </w:r>
          </w:p>
        </w:tc>
        <w:tc>
          <w:tcPr>
            <w:tcW w:w="1300" w:type="dxa"/>
            <w:tcBorders>
              <w:top w:val="nil"/>
              <w:left w:val="nil"/>
              <w:bottom w:val="nil"/>
              <w:right w:val="nil"/>
            </w:tcBorders>
            <w:tcMar>
              <w:top w:w="128" w:type="dxa"/>
              <w:left w:w="43" w:type="dxa"/>
              <w:bottom w:w="43" w:type="dxa"/>
              <w:right w:w="43" w:type="dxa"/>
            </w:tcMar>
            <w:vAlign w:val="bottom"/>
          </w:tcPr>
          <w:p w14:paraId="02D17EA4" w14:textId="77777777" w:rsidR="00FE02EF" w:rsidRPr="00CC19F7" w:rsidRDefault="00881E58" w:rsidP="005F29B2">
            <w:pPr>
              <w:jc w:val="right"/>
            </w:pPr>
            <w:r w:rsidRPr="00CC19F7">
              <w:t>7 100</w:t>
            </w:r>
          </w:p>
        </w:tc>
      </w:tr>
      <w:tr w:rsidR="00FE02EF" w:rsidRPr="00CC19F7" w14:paraId="3C7B4EF9" w14:textId="77777777" w:rsidTr="005F29B2">
        <w:trPr>
          <w:trHeight w:val="640"/>
        </w:trPr>
        <w:tc>
          <w:tcPr>
            <w:tcW w:w="840" w:type="dxa"/>
            <w:tcBorders>
              <w:top w:val="nil"/>
              <w:left w:val="nil"/>
              <w:bottom w:val="nil"/>
              <w:right w:val="nil"/>
            </w:tcBorders>
            <w:tcMar>
              <w:top w:w="128" w:type="dxa"/>
              <w:left w:w="43" w:type="dxa"/>
              <w:bottom w:w="43" w:type="dxa"/>
              <w:right w:w="43" w:type="dxa"/>
            </w:tcMar>
          </w:tcPr>
          <w:p w14:paraId="5FE28393" w14:textId="77777777" w:rsidR="00FE02EF" w:rsidRPr="00CC19F7" w:rsidRDefault="00881E58" w:rsidP="00CC19F7">
            <w:r w:rsidRPr="00CC19F7">
              <w:t>75</w:t>
            </w:r>
          </w:p>
        </w:tc>
        <w:tc>
          <w:tcPr>
            <w:tcW w:w="4504" w:type="dxa"/>
            <w:tcBorders>
              <w:top w:val="nil"/>
              <w:left w:val="nil"/>
              <w:bottom w:val="nil"/>
              <w:right w:val="nil"/>
            </w:tcBorders>
            <w:tcMar>
              <w:top w:w="128" w:type="dxa"/>
              <w:left w:w="43" w:type="dxa"/>
              <w:bottom w:w="43" w:type="dxa"/>
              <w:right w:w="43" w:type="dxa"/>
            </w:tcMar>
          </w:tcPr>
          <w:p w14:paraId="0FDE78C5" w14:textId="77777777" w:rsidR="00FE02EF" w:rsidRPr="00CC19F7" w:rsidRDefault="00881E58" w:rsidP="005F29B2">
            <w:r w:rsidRPr="00CC19F7">
              <w:t xml:space="preserve">Stønad til </w:t>
            </w:r>
            <w:proofErr w:type="spellStart"/>
            <w:r w:rsidRPr="00CC19F7">
              <w:t>hushaldningar</w:t>
            </w:r>
            <w:proofErr w:type="spellEnd"/>
            <w:r w:rsidRPr="00CC19F7">
              <w:t xml:space="preserve"> for ekstraordinære </w:t>
            </w:r>
            <w:r w:rsidRPr="00CC19F7">
              <w:br/>
              <w:t>straumutgifter</w:t>
            </w:r>
            <w:r w:rsidRPr="00CC19F7">
              <w:rPr>
                <w:rStyle w:val="kursiv"/>
              </w:rPr>
              <w:t>, overslagsløyving</w:t>
            </w:r>
          </w:p>
        </w:tc>
        <w:tc>
          <w:tcPr>
            <w:tcW w:w="1417" w:type="dxa"/>
            <w:tcBorders>
              <w:top w:val="nil"/>
              <w:left w:val="nil"/>
              <w:bottom w:val="nil"/>
              <w:right w:val="nil"/>
            </w:tcBorders>
            <w:tcMar>
              <w:top w:w="128" w:type="dxa"/>
              <w:left w:w="43" w:type="dxa"/>
              <w:bottom w:w="43" w:type="dxa"/>
              <w:right w:w="43" w:type="dxa"/>
            </w:tcMar>
            <w:vAlign w:val="bottom"/>
          </w:tcPr>
          <w:p w14:paraId="64CBD34A" w14:textId="77777777" w:rsidR="00FE02EF" w:rsidRPr="00CC19F7" w:rsidRDefault="00881E58" w:rsidP="005F29B2">
            <w:pPr>
              <w:jc w:val="right"/>
            </w:pPr>
            <w:r w:rsidRPr="00CC19F7">
              <w:t>26 421 469</w:t>
            </w:r>
          </w:p>
        </w:tc>
        <w:tc>
          <w:tcPr>
            <w:tcW w:w="1479" w:type="dxa"/>
            <w:tcBorders>
              <w:top w:val="nil"/>
              <w:left w:val="nil"/>
              <w:bottom w:val="nil"/>
              <w:right w:val="nil"/>
            </w:tcBorders>
            <w:tcMar>
              <w:top w:w="128" w:type="dxa"/>
              <w:left w:w="43" w:type="dxa"/>
              <w:bottom w:w="43" w:type="dxa"/>
              <w:right w:w="43" w:type="dxa"/>
            </w:tcMar>
            <w:vAlign w:val="bottom"/>
          </w:tcPr>
          <w:p w14:paraId="7A75A0C9" w14:textId="77777777" w:rsidR="00FE02EF" w:rsidRPr="00CC19F7" w:rsidRDefault="00881E58" w:rsidP="005F29B2">
            <w:pPr>
              <w:jc w:val="right"/>
            </w:pPr>
            <w:r w:rsidRPr="00CC19F7">
              <w:t>44 700 000</w:t>
            </w:r>
          </w:p>
        </w:tc>
        <w:tc>
          <w:tcPr>
            <w:tcW w:w="1300" w:type="dxa"/>
            <w:tcBorders>
              <w:top w:val="nil"/>
              <w:left w:val="nil"/>
              <w:bottom w:val="nil"/>
              <w:right w:val="nil"/>
            </w:tcBorders>
            <w:tcMar>
              <w:top w:w="128" w:type="dxa"/>
              <w:left w:w="43" w:type="dxa"/>
              <w:bottom w:w="43" w:type="dxa"/>
              <w:right w:w="43" w:type="dxa"/>
            </w:tcMar>
            <w:vAlign w:val="bottom"/>
          </w:tcPr>
          <w:p w14:paraId="0DA6363C" w14:textId="77777777" w:rsidR="00FE02EF" w:rsidRPr="00CC19F7" w:rsidRDefault="00881E58" w:rsidP="005F29B2">
            <w:pPr>
              <w:jc w:val="right"/>
            </w:pPr>
            <w:r w:rsidRPr="00CC19F7">
              <w:t>9 750 000</w:t>
            </w:r>
          </w:p>
        </w:tc>
      </w:tr>
      <w:tr w:rsidR="00FE02EF" w:rsidRPr="00CC19F7" w14:paraId="4F548555" w14:textId="77777777" w:rsidTr="005F29B2">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6191829E" w14:textId="77777777" w:rsidR="00FE02EF" w:rsidRPr="00CC19F7" w:rsidRDefault="00881E58" w:rsidP="00CC19F7">
            <w:r w:rsidRPr="00CC19F7">
              <w:t>76</w:t>
            </w:r>
          </w:p>
        </w:tc>
        <w:tc>
          <w:tcPr>
            <w:tcW w:w="4504" w:type="dxa"/>
            <w:tcBorders>
              <w:top w:val="nil"/>
              <w:left w:val="nil"/>
              <w:bottom w:val="single" w:sz="4" w:space="0" w:color="000000"/>
              <w:right w:val="nil"/>
            </w:tcBorders>
            <w:tcMar>
              <w:top w:w="128" w:type="dxa"/>
              <w:left w:w="43" w:type="dxa"/>
              <w:bottom w:w="43" w:type="dxa"/>
              <w:right w:w="43" w:type="dxa"/>
            </w:tcMar>
          </w:tcPr>
          <w:p w14:paraId="264CD146" w14:textId="77777777" w:rsidR="00FE02EF" w:rsidRPr="00CC19F7" w:rsidRDefault="00881E58" w:rsidP="005F29B2">
            <w:r w:rsidRPr="00CC19F7">
              <w:t xml:space="preserve">Stønad til </w:t>
            </w:r>
            <w:proofErr w:type="spellStart"/>
            <w:r w:rsidRPr="00CC19F7">
              <w:t>hushaldningskundar</w:t>
            </w:r>
            <w:proofErr w:type="spellEnd"/>
            <w:r w:rsidRPr="00CC19F7">
              <w:t xml:space="preserve"> av nærvarmeanlegg</w:t>
            </w:r>
            <w:r w:rsidRPr="00CC19F7">
              <w:rPr>
                <w:rStyle w:val="kursiv"/>
              </w:rPr>
              <w:t>, kan </w:t>
            </w:r>
            <w:proofErr w:type="spellStart"/>
            <w:r w:rsidRPr="00CC19F7">
              <w:rPr>
                <w:rStyle w:val="kursiv"/>
              </w:rPr>
              <w:t>overførast</w:t>
            </w:r>
            <w:proofErr w:type="spellEnd"/>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6C053727" w14:textId="77777777" w:rsidR="00FE02EF" w:rsidRPr="00CC19F7" w:rsidRDefault="00FE02EF" w:rsidP="005F29B2">
            <w:pPr>
              <w:jc w:val="right"/>
            </w:pP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1F21D35F" w14:textId="77777777" w:rsidR="00FE02EF" w:rsidRPr="00CC19F7" w:rsidRDefault="00FE02EF" w:rsidP="005F29B2">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FB6B542" w14:textId="77777777" w:rsidR="00FE02EF" w:rsidRPr="00CC19F7" w:rsidRDefault="00881E58" w:rsidP="005F29B2">
            <w:pPr>
              <w:jc w:val="right"/>
            </w:pPr>
            <w:r w:rsidRPr="00CC19F7">
              <w:t>22 500</w:t>
            </w:r>
          </w:p>
        </w:tc>
      </w:tr>
      <w:tr w:rsidR="00FE02EF" w:rsidRPr="00CC19F7" w14:paraId="6C24AE4F" w14:textId="77777777" w:rsidTr="005F29B2">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88BFE7E" w14:textId="77777777" w:rsidR="00FE02EF" w:rsidRPr="00CC19F7" w:rsidRDefault="00FE02EF" w:rsidP="00CC19F7"/>
        </w:tc>
        <w:tc>
          <w:tcPr>
            <w:tcW w:w="4504" w:type="dxa"/>
            <w:tcBorders>
              <w:top w:val="nil"/>
              <w:left w:val="nil"/>
              <w:bottom w:val="single" w:sz="4" w:space="0" w:color="000000"/>
              <w:right w:val="nil"/>
            </w:tcBorders>
            <w:tcMar>
              <w:top w:w="128" w:type="dxa"/>
              <w:left w:w="43" w:type="dxa"/>
              <w:bottom w:w="43" w:type="dxa"/>
              <w:right w:w="43" w:type="dxa"/>
            </w:tcMar>
          </w:tcPr>
          <w:p w14:paraId="2DAF2834" w14:textId="77777777" w:rsidR="00FE02EF" w:rsidRPr="00CC19F7" w:rsidRDefault="00881E58" w:rsidP="005F29B2">
            <w:r w:rsidRPr="00CC19F7">
              <w:t>Sum kap. 1820</w:t>
            </w:r>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33A61341" w14:textId="77777777" w:rsidR="00FE02EF" w:rsidRPr="00CC19F7" w:rsidRDefault="00881E58" w:rsidP="005F29B2">
            <w:pPr>
              <w:jc w:val="right"/>
            </w:pPr>
            <w:r w:rsidRPr="00CC19F7">
              <w:t>27 693 101</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053D7F95" w14:textId="77777777" w:rsidR="00FE02EF" w:rsidRPr="00CC19F7" w:rsidRDefault="00881E58" w:rsidP="005F29B2">
            <w:pPr>
              <w:jc w:val="right"/>
            </w:pPr>
            <w:r w:rsidRPr="00CC19F7">
              <w:t>46 241 600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35417E0" w14:textId="77777777" w:rsidR="00FE02EF" w:rsidRPr="00CC19F7" w:rsidRDefault="00881E58" w:rsidP="005F29B2">
            <w:pPr>
              <w:jc w:val="right"/>
            </w:pPr>
            <w:r w:rsidRPr="00CC19F7">
              <w:t>11 948 800</w:t>
            </w:r>
          </w:p>
        </w:tc>
      </w:tr>
    </w:tbl>
    <w:p w14:paraId="7155D602" w14:textId="77777777" w:rsidR="00FE02EF" w:rsidRPr="00CC19F7" w:rsidRDefault="00881E58" w:rsidP="00CC19F7">
      <w:pPr>
        <w:pStyle w:val="avsnitt-undertittel"/>
      </w:pPr>
      <w:r w:rsidRPr="00CC19F7">
        <w:t>Om 2023</w:t>
      </w:r>
    </w:p>
    <w:p w14:paraId="050001DE" w14:textId="77777777" w:rsidR="00FE02EF" w:rsidRPr="00CC19F7" w:rsidRDefault="00881E58" w:rsidP="00CC19F7">
      <w:r w:rsidRPr="00CC19F7">
        <w:t xml:space="preserve">Ved Stortingets vedtak 16. juni 2023 blei post 01 </w:t>
      </w:r>
      <w:proofErr w:type="spellStart"/>
      <w:r w:rsidRPr="00CC19F7">
        <w:t>auka</w:t>
      </w:r>
      <w:proofErr w:type="spellEnd"/>
      <w:r w:rsidRPr="00CC19F7">
        <w:t xml:space="preserve"> med 14,699 mill. kroner, post 21 med 1,613 mill. kroner, post 22 med 56,329 mill. kroner og post 26 med 2,297 mill. kroner. </w:t>
      </w:r>
      <w:proofErr w:type="spellStart"/>
      <w:r w:rsidRPr="00CC19F7">
        <w:t>Vidare</w:t>
      </w:r>
      <w:proofErr w:type="spellEnd"/>
      <w:r w:rsidRPr="00CC19F7">
        <w:t xml:space="preserve"> blei post 62 redusert med 12,263 mill. kroner, post 75 med 26 700 mill. kroner og post 76 løyvd med 60 mill. kroner, jf. </w:t>
      </w:r>
      <w:proofErr w:type="spellStart"/>
      <w:r w:rsidRPr="00CC19F7">
        <w:t>Prop</w:t>
      </w:r>
      <w:proofErr w:type="spellEnd"/>
      <w:r w:rsidRPr="00CC19F7">
        <w:t xml:space="preserve">. 118 S (2022–2023) og </w:t>
      </w:r>
      <w:proofErr w:type="spellStart"/>
      <w:r w:rsidRPr="00CC19F7">
        <w:t>Innst</w:t>
      </w:r>
      <w:proofErr w:type="spellEnd"/>
      <w:r w:rsidRPr="00CC19F7">
        <w:t>. 490 S (2022–2023).</w:t>
      </w:r>
    </w:p>
    <w:p w14:paraId="6C544DEE" w14:textId="77777777" w:rsidR="00FE02EF" w:rsidRPr="00CC19F7" w:rsidRDefault="00881E58" w:rsidP="00CC19F7">
      <w:pPr>
        <w:pStyle w:val="b-post"/>
      </w:pPr>
      <w:r w:rsidRPr="00CC19F7">
        <w:t>Post 01 Driftsutgifter</w:t>
      </w:r>
    </w:p>
    <w:p w14:paraId="793E8AB5" w14:textId="77777777" w:rsidR="00FE02EF" w:rsidRPr="00CC19F7" w:rsidRDefault="00881E58" w:rsidP="00CC19F7">
      <w:r w:rsidRPr="00CC19F7">
        <w:t xml:space="preserve">Det blir foreslått ei løyving på 899 mill. kroner til lønnsutgifter og andre utgifter til drift av NVE. Lønnsrelaterte utgifter </w:t>
      </w:r>
      <w:proofErr w:type="spellStart"/>
      <w:r w:rsidRPr="00CC19F7">
        <w:t>utgjer</w:t>
      </w:r>
      <w:proofErr w:type="spellEnd"/>
      <w:r w:rsidRPr="00CC19F7">
        <w:t xml:space="preserve"> i underkant av 80 prosent.</w:t>
      </w:r>
    </w:p>
    <w:p w14:paraId="6F5C4DA4" w14:textId="77777777" w:rsidR="00FE02EF" w:rsidRPr="00CC19F7" w:rsidRDefault="00881E58" w:rsidP="00CC19F7">
      <w:r w:rsidRPr="00CC19F7">
        <w:t xml:space="preserve">Auken </w:t>
      </w:r>
      <w:proofErr w:type="spellStart"/>
      <w:r w:rsidRPr="00CC19F7">
        <w:t>frå</w:t>
      </w:r>
      <w:proofErr w:type="spellEnd"/>
      <w:r w:rsidRPr="00CC19F7">
        <w:t xml:space="preserve"> saldert budsjett 2023 har mellom anna </w:t>
      </w:r>
      <w:proofErr w:type="spellStart"/>
      <w:r w:rsidRPr="00CC19F7">
        <w:t>samanheng</w:t>
      </w:r>
      <w:proofErr w:type="spellEnd"/>
      <w:r w:rsidRPr="00CC19F7">
        <w:t xml:space="preserve"> med</w:t>
      </w:r>
    </w:p>
    <w:p w14:paraId="431B9193" w14:textId="77777777" w:rsidR="00FE02EF" w:rsidRPr="00CC19F7" w:rsidRDefault="00881E58" w:rsidP="00CC19F7">
      <w:pPr>
        <w:pStyle w:val="Liste"/>
      </w:pPr>
      <w:r w:rsidRPr="00CC19F7">
        <w:t xml:space="preserve">34,5 mill. kroner til å </w:t>
      </w:r>
      <w:proofErr w:type="spellStart"/>
      <w:r w:rsidRPr="00CC19F7">
        <w:t>auke</w:t>
      </w:r>
      <w:proofErr w:type="spellEnd"/>
      <w:r w:rsidRPr="00CC19F7">
        <w:t xml:space="preserve"> saksbehandlingskapasiteten til </w:t>
      </w:r>
      <w:proofErr w:type="spellStart"/>
      <w:r w:rsidRPr="00CC19F7">
        <w:t>flaum</w:t>
      </w:r>
      <w:proofErr w:type="spellEnd"/>
      <w:r w:rsidRPr="00CC19F7">
        <w:t xml:space="preserve">- og </w:t>
      </w:r>
      <w:proofErr w:type="spellStart"/>
      <w:r w:rsidRPr="00CC19F7">
        <w:t>skredførebygging</w:t>
      </w:r>
      <w:proofErr w:type="spellEnd"/>
      <w:r w:rsidRPr="00CC19F7">
        <w:t xml:space="preserve">, mellom anna i samband med </w:t>
      </w:r>
      <w:proofErr w:type="spellStart"/>
      <w:r w:rsidRPr="00CC19F7">
        <w:t>beredskapssituasjonar</w:t>
      </w:r>
      <w:proofErr w:type="spellEnd"/>
      <w:r w:rsidRPr="00CC19F7">
        <w:t xml:space="preserve"> og til gjennomføring av sikringsprosjekt, kartlegging og krise- og hastetiltak etter </w:t>
      </w:r>
      <w:proofErr w:type="spellStart"/>
      <w:r w:rsidRPr="00CC19F7">
        <w:t>ekstremvêret</w:t>
      </w:r>
      <w:proofErr w:type="spellEnd"/>
      <w:r w:rsidRPr="00CC19F7">
        <w:t xml:space="preserve"> «Hans»</w:t>
      </w:r>
    </w:p>
    <w:p w14:paraId="13AC9E21" w14:textId="77777777" w:rsidR="00FE02EF" w:rsidRPr="00CC19F7" w:rsidRDefault="00881E58" w:rsidP="00CC19F7">
      <w:pPr>
        <w:pStyle w:val="Liste"/>
      </w:pPr>
      <w:r w:rsidRPr="00CC19F7">
        <w:t xml:space="preserve">24 mill. kroner til å </w:t>
      </w:r>
      <w:proofErr w:type="spellStart"/>
      <w:r w:rsidRPr="00CC19F7">
        <w:t>auke</w:t>
      </w:r>
      <w:proofErr w:type="spellEnd"/>
      <w:r w:rsidRPr="00CC19F7">
        <w:t xml:space="preserve"> analysekapasiteten </w:t>
      </w:r>
      <w:proofErr w:type="spellStart"/>
      <w:r w:rsidRPr="00CC19F7">
        <w:t>innanfor</w:t>
      </w:r>
      <w:proofErr w:type="spellEnd"/>
      <w:r w:rsidRPr="00CC19F7">
        <w:t xml:space="preserve"> kraftsystem, </w:t>
      </w:r>
      <w:proofErr w:type="spellStart"/>
      <w:r w:rsidRPr="00CC19F7">
        <w:t>nettilknyting</w:t>
      </w:r>
      <w:proofErr w:type="spellEnd"/>
      <w:r w:rsidRPr="00CC19F7">
        <w:t xml:space="preserve"> og </w:t>
      </w:r>
      <w:proofErr w:type="spellStart"/>
      <w:r w:rsidRPr="00CC19F7">
        <w:t>kraftmarknad</w:t>
      </w:r>
      <w:proofErr w:type="spellEnd"/>
      <w:r w:rsidRPr="00CC19F7">
        <w:t xml:space="preserve">, mellom anna for å </w:t>
      </w:r>
      <w:proofErr w:type="spellStart"/>
      <w:r w:rsidRPr="00CC19F7">
        <w:t>auke</w:t>
      </w:r>
      <w:proofErr w:type="spellEnd"/>
      <w:r w:rsidRPr="00CC19F7">
        <w:t xml:space="preserve"> innsatsen på </w:t>
      </w:r>
      <w:proofErr w:type="spellStart"/>
      <w:r w:rsidRPr="00CC19F7">
        <w:t>meir</w:t>
      </w:r>
      <w:proofErr w:type="spellEnd"/>
      <w:r w:rsidRPr="00CC19F7">
        <w:t xml:space="preserve"> </w:t>
      </w:r>
      <w:proofErr w:type="spellStart"/>
      <w:r w:rsidRPr="00CC19F7">
        <w:t>heilskaplege</w:t>
      </w:r>
      <w:proofErr w:type="spellEnd"/>
      <w:r w:rsidRPr="00CC19F7">
        <w:t xml:space="preserve"> </w:t>
      </w:r>
      <w:proofErr w:type="spellStart"/>
      <w:r w:rsidRPr="00CC19F7">
        <w:t>analysar</w:t>
      </w:r>
      <w:proofErr w:type="spellEnd"/>
      <w:r w:rsidRPr="00CC19F7">
        <w:t xml:space="preserve"> av kva ulike mål og utviklingstrekk vil </w:t>
      </w:r>
      <w:proofErr w:type="spellStart"/>
      <w:r w:rsidRPr="00CC19F7">
        <w:t>krevje</w:t>
      </w:r>
      <w:proofErr w:type="spellEnd"/>
      <w:r w:rsidRPr="00CC19F7">
        <w:t xml:space="preserve"> av kraftsystemet på kort og lang sikt, og støtte implementering av havvind i det norske kraftsystemet og anna arbeid når det </w:t>
      </w:r>
      <w:proofErr w:type="spellStart"/>
      <w:r w:rsidRPr="00CC19F7">
        <w:t>gjeld</w:t>
      </w:r>
      <w:proofErr w:type="spellEnd"/>
      <w:r w:rsidRPr="00CC19F7">
        <w:t xml:space="preserve"> havvind</w:t>
      </w:r>
    </w:p>
    <w:p w14:paraId="603B16C7" w14:textId="77777777" w:rsidR="00FE02EF" w:rsidRPr="00CC19F7" w:rsidRDefault="00881E58" w:rsidP="00CC19F7">
      <w:pPr>
        <w:pStyle w:val="Liste"/>
      </w:pPr>
      <w:r w:rsidRPr="00CC19F7">
        <w:t xml:space="preserve">23 mill. kroner til detaljplanbehandling, tilsyn og oppfølging av energianlegg i bygge- og driftsfasen etter at det er gitt konsesjon. Auken er foreslått inndekt av </w:t>
      </w:r>
      <w:proofErr w:type="spellStart"/>
      <w:r w:rsidRPr="00CC19F7">
        <w:t>auka</w:t>
      </w:r>
      <w:proofErr w:type="spellEnd"/>
      <w:r w:rsidRPr="00CC19F7">
        <w:t xml:space="preserve"> sektoravgifter, jf. kap. 5582, post 72</w:t>
      </w:r>
    </w:p>
    <w:p w14:paraId="55E5B260" w14:textId="77777777" w:rsidR="00FE02EF" w:rsidRPr="00CC19F7" w:rsidRDefault="00881E58" w:rsidP="00CC19F7">
      <w:pPr>
        <w:pStyle w:val="Liste"/>
      </w:pPr>
      <w:r w:rsidRPr="00CC19F7">
        <w:t xml:space="preserve">18 mill. kroner til </w:t>
      </w:r>
      <w:proofErr w:type="spellStart"/>
      <w:r w:rsidRPr="00CC19F7">
        <w:t>auka</w:t>
      </w:r>
      <w:proofErr w:type="spellEnd"/>
      <w:r w:rsidRPr="00CC19F7">
        <w:t xml:space="preserve"> </w:t>
      </w:r>
      <w:proofErr w:type="spellStart"/>
      <w:r w:rsidRPr="00CC19F7">
        <w:t>ressursar</w:t>
      </w:r>
      <w:proofErr w:type="spellEnd"/>
      <w:r w:rsidRPr="00CC19F7">
        <w:t xml:space="preserve"> til digitalisering av konsesjonsprosessen og </w:t>
      </w:r>
      <w:proofErr w:type="spellStart"/>
      <w:r w:rsidRPr="00CC19F7">
        <w:t>kraftsystemutgreiingar</w:t>
      </w:r>
      <w:proofErr w:type="spellEnd"/>
      <w:r w:rsidRPr="00CC19F7">
        <w:t xml:space="preserve"> og utvikling av nye og betre </w:t>
      </w:r>
      <w:proofErr w:type="spellStart"/>
      <w:r w:rsidRPr="00CC19F7">
        <w:t>kraftmarknadsmodellar</w:t>
      </w:r>
      <w:proofErr w:type="spellEnd"/>
    </w:p>
    <w:p w14:paraId="67F8DDCC" w14:textId="77777777" w:rsidR="00FE02EF" w:rsidRPr="00CC19F7" w:rsidRDefault="00881E58" w:rsidP="00CC19F7">
      <w:pPr>
        <w:pStyle w:val="Liste"/>
      </w:pPr>
      <w:r w:rsidRPr="00CC19F7">
        <w:t xml:space="preserve">15 mill. kroner til å </w:t>
      </w:r>
      <w:proofErr w:type="spellStart"/>
      <w:r w:rsidRPr="00CC19F7">
        <w:t>auke</w:t>
      </w:r>
      <w:proofErr w:type="spellEnd"/>
      <w:r w:rsidRPr="00CC19F7">
        <w:t xml:space="preserve"> saksbehandlingskapasiteten for å bidra til </w:t>
      </w:r>
      <w:proofErr w:type="spellStart"/>
      <w:r w:rsidRPr="00CC19F7">
        <w:t>raskare</w:t>
      </w:r>
      <w:proofErr w:type="spellEnd"/>
      <w:r w:rsidRPr="00CC19F7">
        <w:t xml:space="preserve"> konsesjonsbehandling av nett og produksjon av kraft</w:t>
      </w:r>
    </w:p>
    <w:p w14:paraId="5161BB8B" w14:textId="77777777" w:rsidR="00FE02EF" w:rsidRPr="00CC19F7" w:rsidRDefault="00881E58" w:rsidP="00CC19F7">
      <w:pPr>
        <w:pStyle w:val="Liste"/>
      </w:pPr>
      <w:r w:rsidRPr="00CC19F7">
        <w:t xml:space="preserve">14 mill. kroner til å bygge eigen kapasitet og kompetanse knytt til digitalisering og dataforvaltning i NVE. Det blir foreslått å redusere post 21 </w:t>
      </w:r>
      <w:proofErr w:type="spellStart"/>
      <w:r w:rsidRPr="00CC19F7">
        <w:t>tilsvarande</w:t>
      </w:r>
      <w:proofErr w:type="spellEnd"/>
      <w:r w:rsidRPr="00CC19F7">
        <w:t>.</w:t>
      </w:r>
    </w:p>
    <w:p w14:paraId="2D649492" w14:textId="77777777" w:rsidR="00FE02EF" w:rsidRPr="00CC19F7" w:rsidRDefault="00881E58" w:rsidP="00CC19F7">
      <w:pPr>
        <w:pStyle w:val="Liste"/>
      </w:pPr>
      <w:r w:rsidRPr="00CC19F7">
        <w:t xml:space="preserve">5 mill. kroner til </w:t>
      </w:r>
      <w:proofErr w:type="spellStart"/>
      <w:r w:rsidRPr="00CC19F7">
        <w:t>auka</w:t>
      </w:r>
      <w:proofErr w:type="spellEnd"/>
      <w:r w:rsidRPr="00CC19F7">
        <w:t xml:space="preserve"> </w:t>
      </w:r>
      <w:proofErr w:type="spellStart"/>
      <w:r w:rsidRPr="00CC19F7">
        <w:t>ressursar</w:t>
      </w:r>
      <w:proofErr w:type="spellEnd"/>
      <w:r w:rsidRPr="00CC19F7">
        <w:t xml:space="preserve"> til gjennomføring av strategisk konsekvensutgreiing for havvind og anna oppfølgingsarbeid</w:t>
      </w:r>
    </w:p>
    <w:p w14:paraId="06A46D0D" w14:textId="77777777" w:rsidR="00FE02EF" w:rsidRPr="00CC19F7" w:rsidRDefault="00881E58" w:rsidP="00CC19F7">
      <w:pPr>
        <w:pStyle w:val="Liste"/>
      </w:pPr>
      <w:r w:rsidRPr="00CC19F7">
        <w:t xml:space="preserve">2,8 mill. kroner til oppfølging av den varsla styringsmekanismen for </w:t>
      </w:r>
      <w:proofErr w:type="spellStart"/>
      <w:r w:rsidRPr="00CC19F7">
        <w:t>forsyningssikkerheit</w:t>
      </w:r>
      <w:proofErr w:type="spellEnd"/>
      <w:r w:rsidRPr="00CC19F7">
        <w:t xml:space="preserve"> for kraft</w:t>
      </w:r>
    </w:p>
    <w:p w14:paraId="6CF82E30" w14:textId="77777777" w:rsidR="00FE02EF" w:rsidRPr="00CC19F7" w:rsidRDefault="00881E58" w:rsidP="00CC19F7">
      <w:r w:rsidRPr="00CC19F7">
        <w:t xml:space="preserve">Auken blir mellom anna motsvart av krav om gevinstuttak for reduserte </w:t>
      </w:r>
      <w:proofErr w:type="spellStart"/>
      <w:r w:rsidRPr="00CC19F7">
        <w:t>husleigekostnader</w:t>
      </w:r>
      <w:proofErr w:type="spellEnd"/>
      <w:r w:rsidRPr="00CC19F7">
        <w:t xml:space="preserve"> og overføring til Finansdepartementet knytt til at Direktoratet for forvaltning og økonomistyring skal levere </w:t>
      </w:r>
      <w:proofErr w:type="spellStart"/>
      <w:r w:rsidRPr="00CC19F7">
        <w:t>rekneskapstenester</w:t>
      </w:r>
      <w:proofErr w:type="spellEnd"/>
      <w:r w:rsidRPr="00CC19F7">
        <w:t xml:space="preserve"> for NVE </w:t>
      </w:r>
      <w:proofErr w:type="spellStart"/>
      <w:r w:rsidRPr="00CC19F7">
        <w:t>frå</w:t>
      </w:r>
      <w:proofErr w:type="spellEnd"/>
      <w:r w:rsidRPr="00CC19F7">
        <w:t xml:space="preserve"> 2024.</w:t>
      </w:r>
    </w:p>
    <w:p w14:paraId="0810D68F" w14:textId="77777777" w:rsidR="00FE02EF" w:rsidRPr="00CC19F7" w:rsidRDefault="00881E58" w:rsidP="00CC19F7">
      <w:pPr>
        <w:pStyle w:val="b-post"/>
      </w:pPr>
      <w:r w:rsidRPr="00CC19F7">
        <w:t xml:space="preserve">Post 21 Spesielle driftsutgifter, kan </w:t>
      </w:r>
      <w:proofErr w:type="spellStart"/>
      <w:r w:rsidRPr="00CC19F7">
        <w:t>overførast</w:t>
      </w:r>
      <w:proofErr w:type="spellEnd"/>
    </w:p>
    <w:p w14:paraId="0903EDD1" w14:textId="77777777" w:rsidR="00FE02EF" w:rsidRPr="00CC19F7" w:rsidRDefault="00881E58" w:rsidP="00CC19F7">
      <w:r w:rsidRPr="00CC19F7">
        <w:t>Det blir foreslått ei løyving på 91 mill. kroner og ei bestillingsfullmakt på 50 mill. kroner, jf. forslag til vedtak III.</w:t>
      </w:r>
    </w:p>
    <w:p w14:paraId="76C71170" w14:textId="77777777" w:rsidR="00FE02EF" w:rsidRPr="00CC19F7" w:rsidRDefault="00881E58" w:rsidP="00CC19F7">
      <w:r w:rsidRPr="00CC19F7">
        <w:t xml:space="preserve">Løyvinga dekker utgifter til prosjekt som skal bidra til å </w:t>
      </w:r>
      <w:proofErr w:type="spellStart"/>
      <w:r w:rsidRPr="00CC19F7">
        <w:t>auke</w:t>
      </w:r>
      <w:proofErr w:type="spellEnd"/>
      <w:r w:rsidRPr="00CC19F7">
        <w:t xml:space="preserve"> NVEs forvaltningskompetanse og kvalitet </w:t>
      </w:r>
      <w:proofErr w:type="spellStart"/>
      <w:r w:rsidRPr="00CC19F7">
        <w:t>innanfor</w:t>
      </w:r>
      <w:proofErr w:type="spellEnd"/>
      <w:r w:rsidRPr="00CC19F7">
        <w:t xml:space="preserve"> ansvarsområdet til direktoratet. NVE samarbeider med ei rekke utdannings- og </w:t>
      </w:r>
      <w:proofErr w:type="spellStart"/>
      <w:r w:rsidRPr="00CC19F7">
        <w:t>forskingsinstitusjonar</w:t>
      </w:r>
      <w:proofErr w:type="spellEnd"/>
      <w:r w:rsidRPr="00CC19F7">
        <w:t xml:space="preserve"> både nasjonalt og internasjonalt. Dette vil også omfatte ulike </w:t>
      </w:r>
      <w:proofErr w:type="spellStart"/>
      <w:r w:rsidRPr="00CC19F7">
        <w:t>fagutgreiingar</w:t>
      </w:r>
      <w:proofErr w:type="spellEnd"/>
      <w:r w:rsidRPr="00CC19F7">
        <w:t xml:space="preserve"> mv. som underlag for </w:t>
      </w:r>
      <w:proofErr w:type="spellStart"/>
      <w:r w:rsidRPr="00CC19F7">
        <w:t>opningsprosessar</w:t>
      </w:r>
      <w:proofErr w:type="spellEnd"/>
      <w:r w:rsidRPr="00CC19F7">
        <w:t xml:space="preserve"> for havvind.</w:t>
      </w:r>
    </w:p>
    <w:p w14:paraId="4DF4DD76" w14:textId="77777777" w:rsidR="00FE02EF" w:rsidRPr="00CC19F7" w:rsidRDefault="00881E58" w:rsidP="00CC19F7">
      <w:r w:rsidRPr="00CC19F7">
        <w:t xml:space="preserve">Løyvinga dekker også utgifter til direktoratets digitaliseringsprogram som </w:t>
      </w:r>
      <w:proofErr w:type="spellStart"/>
      <w:r w:rsidRPr="00CC19F7">
        <w:t>omfattar</w:t>
      </w:r>
      <w:proofErr w:type="spellEnd"/>
      <w:r w:rsidRPr="00CC19F7">
        <w:t xml:space="preserve"> oppgradering og </w:t>
      </w:r>
      <w:proofErr w:type="spellStart"/>
      <w:r w:rsidRPr="00CC19F7">
        <w:t>vidareutvikling</w:t>
      </w:r>
      <w:proofErr w:type="spellEnd"/>
      <w:r w:rsidRPr="00CC19F7">
        <w:t xml:space="preserve"> av IKT-systema, slik som </w:t>
      </w:r>
      <w:proofErr w:type="spellStart"/>
      <w:r w:rsidRPr="00CC19F7">
        <w:t>forbetringar</w:t>
      </w:r>
      <w:proofErr w:type="spellEnd"/>
      <w:r w:rsidRPr="00CC19F7">
        <w:t xml:space="preserve"> og </w:t>
      </w:r>
      <w:proofErr w:type="spellStart"/>
      <w:r w:rsidRPr="00CC19F7">
        <w:t>vidareutvikling</w:t>
      </w:r>
      <w:proofErr w:type="spellEnd"/>
      <w:r w:rsidRPr="00CC19F7">
        <w:t xml:space="preserve"> av </w:t>
      </w:r>
      <w:proofErr w:type="spellStart"/>
      <w:r w:rsidRPr="00CC19F7">
        <w:t>prosessar</w:t>
      </w:r>
      <w:proofErr w:type="spellEnd"/>
      <w:r w:rsidRPr="00CC19F7">
        <w:t xml:space="preserve"> og funksjonalitet. Digitalisering av mellom anna </w:t>
      </w:r>
      <w:proofErr w:type="spellStart"/>
      <w:r w:rsidRPr="00CC19F7">
        <w:t>kraftsystemutgreiingar</w:t>
      </w:r>
      <w:proofErr w:type="spellEnd"/>
      <w:r w:rsidRPr="00CC19F7">
        <w:t xml:space="preserve"> (KSU) skal bidra til å sikre betre og </w:t>
      </w:r>
      <w:proofErr w:type="spellStart"/>
      <w:r w:rsidRPr="00CC19F7">
        <w:t>meir</w:t>
      </w:r>
      <w:proofErr w:type="spellEnd"/>
      <w:r w:rsidRPr="00CC19F7">
        <w:t xml:space="preserve"> effektiv koordinering av nettutvikling på tvers av ulike nettnivå, </w:t>
      </w:r>
      <w:proofErr w:type="spellStart"/>
      <w:r w:rsidRPr="00CC19F7">
        <w:t>netteigarar</w:t>
      </w:r>
      <w:proofErr w:type="spellEnd"/>
      <w:r w:rsidRPr="00CC19F7">
        <w:t xml:space="preserve"> og </w:t>
      </w:r>
      <w:proofErr w:type="spellStart"/>
      <w:r w:rsidRPr="00CC19F7">
        <w:t>myndigheiter</w:t>
      </w:r>
      <w:proofErr w:type="spellEnd"/>
      <w:r w:rsidRPr="00CC19F7">
        <w:t>.</w:t>
      </w:r>
    </w:p>
    <w:p w14:paraId="45E0E7BC" w14:textId="77777777" w:rsidR="00FE02EF" w:rsidRPr="00CC19F7" w:rsidRDefault="00881E58" w:rsidP="00CC19F7">
      <w:r w:rsidRPr="00CC19F7">
        <w:t xml:space="preserve">NVE har rolla som </w:t>
      </w:r>
      <w:proofErr w:type="spellStart"/>
      <w:r w:rsidRPr="00CC19F7">
        <w:t>sektorvist</w:t>
      </w:r>
      <w:proofErr w:type="spellEnd"/>
      <w:r w:rsidRPr="00CC19F7">
        <w:t xml:space="preserve"> responsmiljø (SRM) for IKT-</w:t>
      </w:r>
      <w:proofErr w:type="spellStart"/>
      <w:r w:rsidRPr="00CC19F7">
        <w:t>hendingar</w:t>
      </w:r>
      <w:proofErr w:type="spellEnd"/>
      <w:r w:rsidRPr="00CC19F7">
        <w:t xml:space="preserve"> i kraftforsyninga og har sett ut </w:t>
      </w:r>
      <w:proofErr w:type="spellStart"/>
      <w:r w:rsidRPr="00CC19F7">
        <w:t>oppgåver</w:t>
      </w:r>
      <w:proofErr w:type="spellEnd"/>
      <w:r w:rsidRPr="00CC19F7">
        <w:t xml:space="preserve"> som varsling og analyse til </w:t>
      </w:r>
      <w:proofErr w:type="spellStart"/>
      <w:r w:rsidRPr="00CC19F7">
        <w:t>KraftCERT</w:t>
      </w:r>
      <w:proofErr w:type="spellEnd"/>
      <w:r w:rsidRPr="00CC19F7">
        <w:t xml:space="preserve"> som </w:t>
      </w:r>
      <w:proofErr w:type="spellStart"/>
      <w:r w:rsidRPr="00CC19F7">
        <w:t>støttar</w:t>
      </w:r>
      <w:proofErr w:type="spellEnd"/>
      <w:r w:rsidRPr="00CC19F7">
        <w:t xml:space="preserve"> kraftbransjen både i </w:t>
      </w:r>
      <w:proofErr w:type="spellStart"/>
      <w:r w:rsidRPr="00CC19F7">
        <w:t>førebyggande</w:t>
      </w:r>
      <w:proofErr w:type="spellEnd"/>
      <w:r w:rsidRPr="00CC19F7">
        <w:t xml:space="preserve"> arbeid og i handtering av digitale </w:t>
      </w:r>
      <w:proofErr w:type="spellStart"/>
      <w:r w:rsidRPr="00CC19F7">
        <w:t>hendingar</w:t>
      </w:r>
      <w:proofErr w:type="spellEnd"/>
      <w:r w:rsidRPr="00CC19F7">
        <w:t>. Utgifter til dette blir dekte av løyvinga.</w:t>
      </w:r>
    </w:p>
    <w:p w14:paraId="6026F867" w14:textId="77777777" w:rsidR="00FE02EF" w:rsidRPr="00CC19F7" w:rsidRDefault="00881E58" w:rsidP="00CC19F7">
      <w:r w:rsidRPr="00CC19F7">
        <w:t xml:space="preserve">Auken </w:t>
      </w:r>
      <w:proofErr w:type="spellStart"/>
      <w:r w:rsidRPr="00CC19F7">
        <w:t>frå</w:t>
      </w:r>
      <w:proofErr w:type="spellEnd"/>
      <w:r w:rsidRPr="00CC19F7">
        <w:t xml:space="preserve"> saldert budsjett 2023 er mellom anna knytt til utvikling av nye og betre </w:t>
      </w:r>
      <w:proofErr w:type="spellStart"/>
      <w:r w:rsidRPr="00CC19F7">
        <w:t>kraftmarknadsmodellar</w:t>
      </w:r>
      <w:proofErr w:type="spellEnd"/>
      <w:r w:rsidRPr="00CC19F7">
        <w:t xml:space="preserve">. </w:t>
      </w:r>
      <w:proofErr w:type="spellStart"/>
      <w:r w:rsidRPr="00CC19F7">
        <w:t>Vidare</w:t>
      </w:r>
      <w:proofErr w:type="spellEnd"/>
      <w:r w:rsidRPr="00CC19F7">
        <w:t xml:space="preserve"> gjeld </w:t>
      </w:r>
      <w:proofErr w:type="spellStart"/>
      <w:r w:rsidRPr="00CC19F7">
        <w:t>auken</w:t>
      </w:r>
      <w:proofErr w:type="spellEnd"/>
      <w:r w:rsidRPr="00CC19F7">
        <w:t xml:space="preserve"> digitaliseringsarbeid for bearbeiding, samanstilling, lagring og </w:t>
      </w:r>
      <w:proofErr w:type="spellStart"/>
      <w:r w:rsidRPr="00CC19F7">
        <w:t>tilgjengeleggjering</w:t>
      </w:r>
      <w:proofErr w:type="spellEnd"/>
      <w:r w:rsidRPr="00CC19F7">
        <w:t xml:space="preserve"> av data for å </w:t>
      </w:r>
      <w:proofErr w:type="spellStart"/>
      <w:r w:rsidRPr="00CC19F7">
        <w:t>auke</w:t>
      </w:r>
      <w:proofErr w:type="spellEnd"/>
      <w:r w:rsidRPr="00CC19F7">
        <w:t xml:space="preserve"> datakvaliteten, effektivisering gjennom automatisering og digital datautveksling og </w:t>
      </w:r>
      <w:proofErr w:type="spellStart"/>
      <w:r w:rsidRPr="00CC19F7">
        <w:t>tilgjengeleggjering</w:t>
      </w:r>
      <w:proofErr w:type="spellEnd"/>
      <w:r w:rsidRPr="00CC19F7">
        <w:t xml:space="preserve"> som skal </w:t>
      </w:r>
      <w:proofErr w:type="spellStart"/>
      <w:r w:rsidRPr="00CC19F7">
        <w:t>forbetre</w:t>
      </w:r>
      <w:proofErr w:type="spellEnd"/>
      <w:r w:rsidRPr="00CC19F7">
        <w:t xml:space="preserve"> samhandlinga internt og mot næringa.</w:t>
      </w:r>
    </w:p>
    <w:p w14:paraId="521470D7" w14:textId="77777777" w:rsidR="00FE02EF" w:rsidRPr="00CC19F7" w:rsidRDefault="00881E58" w:rsidP="00CC19F7">
      <w:r w:rsidRPr="00CC19F7">
        <w:t xml:space="preserve">For å levere gode </w:t>
      </w:r>
      <w:proofErr w:type="spellStart"/>
      <w:r w:rsidRPr="00CC19F7">
        <w:t>analysar</w:t>
      </w:r>
      <w:proofErr w:type="spellEnd"/>
      <w:r w:rsidRPr="00CC19F7">
        <w:t xml:space="preserve"> og avgjerdsunderlag har </w:t>
      </w:r>
      <w:proofErr w:type="spellStart"/>
      <w:r w:rsidRPr="00CC19F7">
        <w:t>energimyndigheitene</w:t>
      </w:r>
      <w:proofErr w:type="spellEnd"/>
      <w:r w:rsidRPr="00CC19F7">
        <w:t xml:space="preserve"> behov for å utvikle nye </w:t>
      </w:r>
      <w:proofErr w:type="spellStart"/>
      <w:r w:rsidRPr="00CC19F7">
        <w:t>kraftmarknadsmodellar</w:t>
      </w:r>
      <w:proofErr w:type="spellEnd"/>
      <w:r w:rsidRPr="00CC19F7">
        <w:t xml:space="preserve">. NVE samarbeider med Statnett og Statkraft om utvikling og forvaltning av nye </w:t>
      </w:r>
      <w:proofErr w:type="spellStart"/>
      <w:r w:rsidRPr="00CC19F7">
        <w:t>kraftmarknadsmodellar</w:t>
      </w:r>
      <w:proofErr w:type="spellEnd"/>
      <w:r w:rsidRPr="00CC19F7">
        <w:t xml:space="preserve">. Det er også behov for å styrke kunnskapsgrunnlaget av kva ulike mål og utviklingstrekk samla sett vil </w:t>
      </w:r>
      <w:proofErr w:type="spellStart"/>
      <w:r w:rsidRPr="00CC19F7">
        <w:t>krevje</w:t>
      </w:r>
      <w:proofErr w:type="spellEnd"/>
      <w:r w:rsidRPr="00CC19F7">
        <w:t xml:space="preserve"> av kraftsystemet på kort og lang sikt. Ei større satsing på </w:t>
      </w:r>
      <w:proofErr w:type="spellStart"/>
      <w:r w:rsidRPr="00CC19F7">
        <w:t>meir</w:t>
      </w:r>
      <w:proofErr w:type="spellEnd"/>
      <w:r w:rsidRPr="00CC19F7">
        <w:t xml:space="preserve"> </w:t>
      </w:r>
      <w:proofErr w:type="spellStart"/>
      <w:r w:rsidRPr="00CC19F7">
        <w:t>heilskaplege</w:t>
      </w:r>
      <w:proofErr w:type="spellEnd"/>
      <w:r w:rsidRPr="00CC19F7">
        <w:t xml:space="preserve"> </w:t>
      </w:r>
      <w:proofErr w:type="spellStart"/>
      <w:r w:rsidRPr="00CC19F7">
        <w:t>analysar</w:t>
      </w:r>
      <w:proofErr w:type="spellEnd"/>
      <w:r w:rsidRPr="00CC19F7">
        <w:t xml:space="preserve"> av kraftsystemet som ser ulike </w:t>
      </w:r>
      <w:proofErr w:type="spellStart"/>
      <w:r w:rsidRPr="00CC19F7">
        <w:t>sektorar</w:t>
      </w:r>
      <w:proofErr w:type="spellEnd"/>
      <w:r w:rsidRPr="00CC19F7">
        <w:t xml:space="preserve">, </w:t>
      </w:r>
      <w:proofErr w:type="spellStart"/>
      <w:r w:rsidRPr="00CC19F7">
        <w:t>konsekvensar</w:t>
      </w:r>
      <w:proofErr w:type="spellEnd"/>
      <w:r w:rsidRPr="00CC19F7">
        <w:t xml:space="preserve"> av </w:t>
      </w:r>
      <w:proofErr w:type="spellStart"/>
      <w:r w:rsidRPr="00CC19F7">
        <w:t>klimaendringar</w:t>
      </w:r>
      <w:proofErr w:type="spellEnd"/>
      <w:r w:rsidRPr="00CC19F7">
        <w:t xml:space="preserve">, andre utviklingstrekk og mål i </w:t>
      </w:r>
      <w:proofErr w:type="spellStart"/>
      <w:r w:rsidRPr="00CC19F7">
        <w:t>samanheng</w:t>
      </w:r>
      <w:proofErr w:type="spellEnd"/>
      <w:r w:rsidRPr="00CC19F7">
        <w:t xml:space="preserve">, er også i tråd med anbefalinga </w:t>
      </w:r>
      <w:proofErr w:type="spellStart"/>
      <w:r w:rsidRPr="00CC19F7">
        <w:t>frå</w:t>
      </w:r>
      <w:proofErr w:type="spellEnd"/>
      <w:r w:rsidRPr="00CC19F7">
        <w:t xml:space="preserve"> Energikommisjonen og vil </w:t>
      </w:r>
      <w:proofErr w:type="spellStart"/>
      <w:r w:rsidRPr="00CC19F7">
        <w:t>krevje</w:t>
      </w:r>
      <w:proofErr w:type="spellEnd"/>
      <w:r w:rsidRPr="00CC19F7">
        <w:t xml:space="preserve"> </w:t>
      </w:r>
      <w:proofErr w:type="spellStart"/>
      <w:r w:rsidRPr="00CC19F7">
        <w:t>auka</w:t>
      </w:r>
      <w:proofErr w:type="spellEnd"/>
      <w:r w:rsidRPr="00CC19F7">
        <w:t xml:space="preserve"> </w:t>
      </w:r>
      <w:proofErr w:type="spellStart"/>
      <w:r w:rsidRPr="00CC19F7">
        <w:t>ressursar</w:t>
      </w:r>
      <w:proofErr w:type="spellEnd"/>
      <w:r w:rsidRPr="00CC19F7">
        <w:t xml:space="preserve"> i NVE. Satsinga på havvind framover vil også ha store </w:t>
      </w:r>
      <w:proofErr w:type="spellStart"/>
      <w:r w:rsidRPr="00CC19F7">
        <w:t>konsekvensar</w:t>
      </w:r>
      <w:proofErr w:type="spellEnd"/>
      <w:r w:rsidRPr="00CC19F7">
        <w:t xml:space="preserve"> for kraftsystemet, og NVE må ha </w:t>
      </w:r>
      <w:proofErr w:type="spellStart"/>
      <w:r w:rsidRPr="00CC19F7">
        <w:t>tilstrekkelege</w:t>
      </w:r>
      <w:proofErr w:type="spellEnd"/>
      <w:r w:rsidRPr="00CC19F7">
        <w:t xml:space="preserve"> </w:t>
      </w:r>
      <w:proofErr w:type="spellStart"/>
      <w:r w:rsidRPr="00CC19F7">
        <w:t>ressursar</w:t>
      </w:r>
      <w:proofErr w:type="spellEnd"/>
      <w:r w:rsidRPr="00CC19F7">
        <w:t xml:space="preserve"> og system for å kunne analysere og forstå </w:t>
      </w:r>
      <w:proofErr w:type="spellStart"/>
      <w:r w:rsidRPr="00CC19F7">
        <w:t>konsekvensane</w:t>
      </w:r>
      <w:proofErr w:type="spellEnd"/>
      <w:r w:rsidRPr="00CC19F7">
        <w:t xml:space="preserve">. For å gjennomføre </w:t>
      </w:r>
      <w:proofErr w:type="spellStart"/>
      <w:r w:rsidRPr="00CC19F7">
        <w:t>desse</w:t>
      </w:r>
      <w:proofErr w:type="spellEnd"/>
      <w:r w:rsidRPr="00CC19F7">
        <w:t xml:space="preserve"> </w:t>
      </w:r>
      <w:proofErr w:type="spellStart"/>
      <w:r w:rsidRPr="00CC19F7">
        <w:t>oppgåvene</w:t>
      </w:r>
      <w:proofErr w:type="spellEnd"/>
      <w:r w:rsidRPr="00CC19F7">
        <w:t xml:space="preserve"> er det nødvendig å </w:t>
      </w:r>
      <w:proofErr w:type="spellStart"/>
      <w:r w:rsidRPr="00CC19F7">
        <w:t>auke</w:t>
      </w:r>
      <w:proofErr w:type="spellEnd"/>
      <w:r w:rsidRPr="00CC19F7">
        <w:t xml:space="preserve"> og utvikle analysekapasiteten og -systema </w:t>
      </w:r>
      <w:proofErr w:type="spellStart"/>
      <w:r w:rsidRPr="00CC19F7">
        <w:t>innanfor</w:t>
      </w:r>
      <w:proofErr w:type="spellEnd"/>
      <w:r w:rsidRPr="00CC19F7">
        <w:t xml:space="preserve"> kraftsystem, </w:t>
      </w:r>
      <w:proofErr w:type="spellStart"/>
      <w:r w:rsidRPr="00CC19F7">
        <w:t>nettilknyting</w:t>
      </w:r>
      <w:proofErr w:type="spellEnd"/>
      <w:r w:rsidRPr="00CC19F7">
        <w:t xml:space="preserve"> og </w:t>
      </w:r>
      <w:proofErr w:type="spellStart"/>
      <w:r w:rsidRPr="00CC19F7">
        <w:t>kraftmarknad</w:t>
      </w:r>
      <w:proofErr w:type="spellEnd"/>
      <w:r w:rsidRPr="00CC19F7">
        <w:t xml:space="preserve">, jf. kap. 1820, post 01. Dette </w:t>
      </w:r>
      <w:proofErr w:type="spellStart"/>
      <w:r w:rsidRPr="00CC19F7">
        <w:t>aukar</w:t>
      </w:r>
      <w:proofErr w:type="spellEnd"/>
      <w:r w:rsidRPr="00CC19F7">
        <w:t xml:space="preserve"> også behovet for kjøp av datagrunnlag, eksterne </w:t>
      </w:r>
      <w:proofErr w:type="spellStart"/>
      <w:r w:rsidRPr="00CC19F7">
        <w:t>utgreiingar</w:t>
      </w:r>
      <w:proofErr w:type="spellEnd"/>
      <w:r w:rsidRPr="00CC19F7">
        <w:t xml:space="preserve"> og </w:t>
      </w:r>
      <w:proofErr w:type="spellStart"/>
      <w:r w:rsidRPr="00CC19F7">
        <w:t>analysar</w:t>
      </w:r>
      <w:proofErr w:type="spellEnd"/>
      <w:r w:rsidRPr="00CC19F7">
        <w:t>.</w:t>
      </w:r>
    </w:p>
    <w:p w14:paraId="7539D7BF" w14:textId="77777777" w:rsidR="00FE02EF" w:rsidRPr="00CC19F7" w:rsidRDefault="00881E58" w:rsidP="00CC19F7">
      <w:r w:rsidRPr="00CC19F7">
        <w:t xml:space="preserve">For å realisere ambisjonen om </w:t>
      </w:r>
      <w:proofErr w:type="spellStart"/>
      <w:r w:rsidRPr="00CC19F7">
        <w:t>raskare</w:t>
      </w:r>
      <w:proofErr w:type="spellEnd"/>
      <w:r w:rsidRPr="00CC19F7">
        <w:t xml:space="preserve"> utbygging av kraft og nett i </w:t>
      </w:r>
      <w:proofErr w:type="spellStart"/>
      <w:r w:rsidRPr="00CC19F7">
        <w:t>Noreg</w:t>
      </w:r>
      <w:proofErr w:type="spellEnd"/>
      <w:r w:rsidRPr="00CC19F7">
        <w:t xml:space="preserve"> er ressursbehovet til tilsyn og kontroll etter at konsesjon er gitt </w:t>
      </w:r>
      <w:proofErr w:type="spellStart"/>
      <w:r w:rsidRPr="00CC19F7">
        <w:t>auka</w:t>
      </w:r>
      <w:proofErr w:type="spellEnd"/>
      <w:r w:rsidRPr="00CC19F7">
        <w:t xml:space="preserve">, jf. kap. 1820, post 01. Dette </w:t>
      </w:r>
      <w:proofErr w:type="spellStart"/>
      <w:r w:rsidRPr="00CC19F7">
        <w:t>omfattar</w:t>
      </w:r>
      <w:proofErr w:type="spellEnd"/>
      <w:r w:rsidRPr="00CC19F7">
        <w:t xml:space="preserve"> også </w:t>
      </w:r>
      <w:proofErr w:type="spellStart"/>
      <w:r w:rsidRPr="00CC19F7">
        <w:t>eit</w:t>
      </w:r>
      <w:proofErr w:type="spellEnd"/>
      <w:r w:rsidRPr="00CC19F7">
        <w:t xml:space="preserve"> nødvendig behov for digitalisering av dette arbeidet, som er foreslått inndekt av </w:t>
      </w:r>
      <w:proofErr w:type="spellStart"/>
      <w:r w:rsidRPr="00CC19F7">
        <w:t>auka</w:t>
      </w:r>
      <w:proofErr w:type="spellEnd"/>
      <w:r w:rsidRPr="00CC19F7">
        <w:t xml:space="preserve"> sektoravgifter, jf. kap. 5582, post 72.</w:t>
      </w:r>
    </w:p>
    <w:p w14:paraId="4716ACF4" w14:textId="77777777" w:rsidR="00FE02EF" w:rsidRPr="00CC19F7" w:rsidRDefault="00881E58" w:rsidP="00CC19F7">
      <w:pPr>
        <w:pStyle w:val="b-post"/>
      </w:pPr>
      <w:r w:rsidRPr="00CC19F7">
        <w:t xml:space="preserve">Post 22 </w:t>
      </w:r>
      <w:proofErr w:type="spellStart"/>
      <w:r w:rsidRPr="00CC19F7">
        <w:t>Flaum</w:t>
      </w:r>
      <w:proofErr w:type="spellEnd"/>
      <w:r w:rsidRPr="00CC19F7">
        <w:t xml:space="preserve">- og </w:t>
      </w:r>
      <w:proofErr w:type="spellStart"/>
      <w:r w:rsidRPr="00CC19F7">
        <w:t>skredførebygging</w:t>
      </w:r>
      <w:proofErr w:type="spellEnd"/>
      <w:r w:rsidRPr="00CC19F7">
        <w:t xml:space="preserve">, kan </w:t>
      </w:r>
      <w:proofErr w:type="spellStart"/>
      <w:r w:rsidRPr="00CC19F7">
        <w:t>overførast</w:t>
      </w:r>
      <w:proofErr w:type="spellEnd"/>
      <w:r w:rsidRPr="00CC19F7">
        <w:t xml:space="preserve">, kan </w:t>
      </w:r>
      <w:proofErr w:type="spellStart"/>
      <w:r w:rsidRPr="00CC19F7">
        <w:t>nyttast</w:t>
      </w:r>
      <w:proofErr w:type="spellEnd"/>
      <w:r w:rsidRPr="00CC19F7">
        <w:t xml:space="preserve"> under </w:t>
      </w:r>
      <w:proofErr w:type="spellStart"/>
      <w:r w:rsidRPr="00CC19F7">
        <w:t>postane</w:t>
      </w:r>
      <w:proofErr w:type="spellEnd"/>
      <w:r w:rsidRPr="00CC19F7">
        <w:t xml:space="preserve"> 45, 60 og 72</w:t>
      </w:r>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5202"/>
        <w:gridCol w:w="1418"/>
        <w:gridCol w:w="1580"/>
        <w:gridCol w:w="1360"/>
      </w:tblGrid>
      <w:tr w:rsidR="00FE02EF" w:rsidRPr="00CC19F7" w14:paraId="15FCDD59" w14:textId="77777777" w:rsidTr="005F29B2">
        <w:trPr>
          <w:trHeight w:val="380"/>
          <w:hidden/>
        </w:trPr>
        <w:tc>
          <w:tcPr>
            <w:tcW w:w="5202" w:type="dxa"/>
            <w:tcBorders>
              <w:top w:val="nil"/>
              <w:left w:val="nil"/>
              <w:bottom w:val="single" w:sz="4" w:space="0" w:color="000000"/>
              <w:right w:val="nil"/>
            </w:tcBorders>
            <w:tcMar>
              <w:top w:w="128" w:type="dxa"/>
              <w:left w:w="43" w:type="dxa"/>
              <w:bottom w:w="43" w:type="dxa"/>
              <w:right w:w="43" w:type="dxa"/>
            </w:tcMar>
            <w:vAlign w:val="bottom"/>
          </w:tcPr>
          <w:p w14:paraId="4BF5DC24" w14:textId="77777777" w:rsidR="00FE02EF" w:rsidRPr="00CC19F7" w:rsidRDefault="00881E58" w:rsidP="00CC19F7">
            <w:pPr>
              <w:pStyle w:val="Tabellnavn"/>
            </w:pPr>
            <w:r w:rsidRPr="00CC19F7">
              <w:t>KPEN</w:t>
            </w:r>
          </w:p>
        </w:tc>
        <w:tc>
          <w:tcPr>
            <w:tcW w:w="1418" w:type="dxa"/>
            <w:tcBorders>
              <w:top w:val="nil"/>
              <w:left w:val="nil"/>
              <w:bottom w:val="single" w:sz="4" w:space="0" w:color="000000"/>
              <w:right w:val="nil"/>
            </w:tcBorders>
            <w:tcMar>
              <w:top w:w="128" w:type="dxa"/>
              <w:left w:w="43" w:type="dxa"/>
              <w:bottom w:w="43" w:type="dxa"/>
              <w:right w:w="43" w:type="dxa"/>
            </w:tcMar>
            <w:vAlign w:val="bottom"/>
          </w:tcPr>
          <w:p w14:paraId="320B2034" w14:textId="77777777" w:rsidR="00FE02EF" w:rsidRPr="00CC19F7" w:rsidRDefault="00FE02EF" w:rsidP="005F29B2">
            <w:pPr>
              <w:jc w:val="right"/>
            </w:pPr>
          </w:p>
        </w:tc>
        <w:tc>
          <w:tcPr>
            <w:tcW w:w="1580" w:type="dxa"/>
            <w:tcBorders>
              <w:top w:val="nil"/>
              <w:left w:val="nil"/>
              <w:bottom w:val="single" w:sz="4" w:space="0" w:color="000000"/>
              <w:right w:val="nil"/>
            </w:tcBorders>
            <w:tcMar>
              <w:top w:w="128" w:type="dxa"/>
              <w:left w:w="43" w:type="dxa"/>
              <w:bottom w:w="43" w:type="dxa"/>
              <w:right w:w="43" w:type="dxa"/>
            </w:tcMar>
            <w:vAlign w:val="bottom"/>
          </w:tcPr>
          <w:p w14:paraId="6FDF3D89" w14:textId="77777777" w:rsidR="00FE02EF" w:rsidRPr="00CC19F7" w:rsidRDefault="00FE02EF" w:rsidP="005F29B2">
            <w:pPr>
              <w:jc w:val="right"/>
            </w:pPr>
          </w:p>
        </w:tc>
        <w:tc>
          <w:tcPr>
            <w:tcW w:w="1360" w:type="dxa"/>
            <w:tcBorders>
              <w:top w:val="nil"/>
              <w:left w:val="nil"/>
              <w:bottom w:val="single" w:sz="4" w:space="0" w:color="000000"/>
              <w:right w:val="nil"/>
            </w:tcBorders>
            <w:tcMar>
              <w:top w:w="128" w:type="dxa"/>
              <w:left w:w="43" w:type="dxa"/>
              <w:bottom w:w="43" w:type="dxa"/>
              <w:right w:w="43" w:type="dxa"/>
            </w:tcMar>
            <w:vAlign w:val="bottom"/>
          </w:tcPr>
          <w:p w14:paraId="62489805" w14:textId="77777777" w:rsidR="00FE02EF" w:rsidRPr="00CC19F7" w:rsidRDefault="00881E58" w:rsidP="005F29B2">
            <w:pPr>
              <w:jc w:val="right"/>
            </w:pPr>
            <w:r w:rsidRPr="00CC19F7">
              <w:t>(i 1 000 kr)</w:t>
            </w:r>
          </w:p>
        </w:tc>
      </w:tr>
      <w:tr w:rsidR="00FE02EF" w:rsidRPr="00CC19F7" w14:paraId="28E23304" w14:textId="77777777" w:rsidTr="005F29B2">
        <w:trPr>
          <w:trHeight w:val="600"/>
        </w:trPr>
        <w:tc>
          <w:tcPr>
            <w:tcW w:w="5202" w:type="dxa"/>
            <w:tcBorders>
              <w:top w:val="nil"/>
              <w:left w:val="nil"/>
              <w:bottom w:val="single" w:sz="4" w:space="0" w:color="000000"/>
              <w:right w:val="nil"/>
            </w:tcBorders>
            <w:tcMar>
              <w:top w:w="128" w:type="dxa"/>
              <w:left w:w="43" w:type="dxa"/>
              <w:bottom w:w="43" w:type="dxa"/>
              <w:right w:w="43" w:type="dxa"/>
            </w:tcMar>
            <w:vAlign w:val="bottom"/>
          </w:tcPr>
          <w:p w14:paraId="20C45788" w14:textId="77777777" w:rsidR="00FE02EF" w:rsidRPr="00CC19F7" w:rsidRDefault="00881E58" w:rsidP="00CC19F7">
            <w:proofErr w:type="spellStart"/>
            <w:r w:rsidRPr="00CC19F7">
              <w:t>Nemning</w:t>
            </w:r>
            <w:proofErr w:type="spellEnd"/>
          </w:p>
        </w:tc>
        <w:tc>
          <w:tcPr>
            <w:tcW w:w="1418" w:type="dxa"/>
            <w:tcBorders>
              <w:top w:val="nil"/>
              <w:left w:val="nil"/>
              <w:bottom w:val="single" w:sz="4" w:space="0" w:color="000000"/>
              <w:right w:val="nil"/>
            </w:tcBorders>
            <w:tcMar>
              <w:top w:w="128" w:type="dxa"/>
              <w:left w:w="43" w:type="dxa"/>
              <w:bottom w:w="43" w:type="dxa"/>
              <w:right w:w="43" w:type="dxa"/>
            </w:tcMar>
            <w:vAlign w:val="bottom"/>
          </w:tcPr>
          <w:p w14:paraId="275EB8BA" w14:textId="77777777" w:rsidR="00FE02EF" w:rsidRPr="00CC19F7" w:rsidRDefault="00881E58" w:rsidP="005F29B2">
            <w:pPr>
              <w:jc w:val="right"/>
            </w:pPr>
            <w:proofErr w:type="spellStart"/>
            <w:r w:rsidRPr="00CC19F7">
              <w:t>Rekneskap</w:t>
            </w:r>
            <w:proofErr w:type="spellEnd"/>
            <w:r w:rsidRPr="00CC19F7">
              <w:br/>
              <w:t>2022</w:t>
            </w:r>
          </w:p>
        </w:tc>
        <w:tc>
          <w:tcPr>
            <w:tcW w:w="1580" w:type="dxa"/>
            <w:tcBorders>
              <w:top w:val="nil"/>
              <w:left w:val="nil"/>
              <w:bottom w:val="single" w:sz="4" w:space="0" w:color="000000"/>
              <w:right w:val="nil"/>
            </w:tcBorders>
            <w:tcMar>
              <w:top w:w="128" w:type="dxa"/>
              <w:left w:w="43" w:type="dxa"/>
              <w:bottom w:w="43" w:type="dxa"/>
              <w:right w:w="43" w:type="dxa"/>
            </w:tcMar>
            <w:vAlign w:val="bottom"/>
          </w:tcPr>
          <w:p w14:paraId="77E17383" w14:textId="77777777" w:rsidR="00FE02EF" w:rsidRPr="00CC19F7" w:rsidRDefault="00881E58" w:rsidP="005F29B2">
            <w:pPr>
              <w:jc w:val="right"/>
            </w:pPr>
            <w:r w:rsidRPr="00CC19F7">
              <w:t>Saldert</w:t>
            </w:r>
            <w:r w:rsidRPr="00CC19F7">
              <w:br/>
              <w:t>budsjett 2023</w:t>
            </w:r>
          </w:p>
        </w:tc>
        <w:tc>
          <w:tcPr>
            <w:tcW w:w="1360" w:type="dxa"/>
            <w:tcBorders>
              <w:top w:val="nil"/>
              <w:left w:val="nil"/>
              <w:bottom w:val="single" w:sz="4" w:space="0" w:color="000000"/>
              <w:right w:val="nil"/>
            </w:tcBorders>
            <w:tcMar>
              <w:top w:w="128" w:type="dxa"/>
              <w:left w:w="43" w:type="dxa"/>
              <w:bottom w:w="43" w:type="dxa"/>
              <w:right w:w="43" w:type="dxa"/>
            </w:tcMar>
            <w:vAlign w:val="bottom"/>
          </w:tcPr>
          <w:p w14:paraId="1F194E6B" w14:textId="77777777" w:rsidR="00FE02EF" w:rsidRPr="00CC19F7" w:rsidRDefault="00881E58" w:rsidP="005F29B2">
            <w:pPr>
              <w:jc w:val="right"/>
            </w:pPr>
            <w:r w:rsidRPr="00CC19F7">
              <w:t>Forslag</w:t>
            </w:r>
            <w:r w:rsidRPr="00CC19F7">
              <w:br/>
              <w:t>2024</w:t>
            </w:r>
          </w:p>
        </w:tc>
      </w:tr>
      <w:tr w:rsidR="00FE02EF" w:rsidRPr="00CC19F7" w14:paraId="1BC8409C" w14:textId="77777777" w:rsidTr="005F29B2">
        <w:trPr>
          <w:trHeight w:val="380"/>
        </w:trPr>
        <w:tc>
          <w:tcPr>
            <w:tcW w:w="5202" w:type="dxa"/>
            <w:tcBorders>
              <w:top w:val="single" w:sz="4" w:space="0" w:color="000000"/>
              <w:left w:val="nil"/>
              <w:bottom w:val="nil"/>
              <w:right w:val="nil"/>
            </w:tcBorders>
            <w:tcMar>
              <w:top w:w="128" w:type="dxa"/>
              <w:left w:w="43" w:type="dxa"/>
              <w:bottom w:w="43" w:type="dxa"/>
              <w:right w:w="43" w:type="dxa"/>
            </w:tcMar>
          </w:tcPr>
          <w:p w14:paraId="08CBF99F" w14:textId="77777777" w:rsidR="00FE02EF" w:rsidRPr="00CC19F7" w:rsidRDefault="00881E58" w:rsidP="00CC19F7">
            <w:r w:rsidRPr="00CC19F7">
              <w:t>Sikrings- og miljøtiltak</w:t>
            </w:r>
          </w:p>
        </w:tc>
        <w:tc>
          <w:tcPr>
            <w:tcW w:w="1418" w:type="dxa"/>
            <w:tcBorders>
              <w:top w:val="single" w:sz="4" w:space="0" w:color="000000"/>
              <w:left w:val="nil"/>
              <w:bottom w:val="nil"/>
              <w:right w:val="nil"/>
            </w:tcBorders>
            <w:tcMar>
              <w:top w:w="128" w:type="dxa"/>
              <w:left w:w="43" w:type="dxa"/>
              <w:bottom w:w="43" w:type="dxa"/>
              <w:right w:w="43" w:type="dxa"/>
            </w:tcMar>
            <w:vAlign w:val="bottom"/>
          </w:tcPr>
          <w:p w14:paraId="14340216" w14:textId="77777777" w:rsidR="00FE02EF" w:rsidRPr="00CC19F7" w:rsidRDefault="00881E58" w:rsidP="005F29B2">
            <w:pPr>
              <w:jc w:val="right"/>
            </w:pPr>
            <w:r w:rsidRPr="00CC19F7">
              <w:t>134 785</w:t>
            </w:r>
          </w:p>
        </w:tc>
        <w:tc>
          <w:tcPr>
            <w:tcW w:w="1580" w:type="dxa"/>
            <w:tcBorders>
              <w:top w:val="single" w:sz="4" w:space="0" w:color="000000"/>
              <w:left w:val="nil"/>
              <w:bottom w:val="nil"/>
              <w:right w:val="nil"/>
            </w:tcBorders>
            <w:tcMar>
              <w:top w:w="128" w:type="dxa"/>
              <w:left w:w="43" w:type="dxa"/>
              <w:bottom w:w="43" w:type="dxa"/>
              <w:right w:w="43" w:type="dxa"/>
            </w:tcMar>
            <w:vAlign w:val="bottom"/>
          </w:tcPr>
          <w:p w14:paraId="2A40B7BF" w14:textId="77777777" w:rsidR="00FE02EF" w:rsidRPr="00CC19F7" w:rsidRDefault="00881E58" w:rsidP="005F29B2">
            <w:pPr>
              <w:jc w:val="right"/>
            </w:pPr>
            <w:r w:rsidRPr="00CC19F7">
              <w:t>169 000</w:t>
            </w:r>
          </w:p>
        </w:tc>
        <w:tc>
          <w:tcPr>
            <w:tcW w:w="1360" w:type="dxa"/>
            <w:tcBorders>
              <w:top w:val="single" w:sz="4" w:space="0" w:color="000000"/>
              <w:left w:val="nil"/>
              <w:bottom w:val="nil"/>
              <w:right w:val="nil"/>
            </w:tcBorders>
            <w:tcMar>
              <w:top w:w="128" w:type="dxa"/>
              <w:left w:w="43" w:type="dxa"/>
              <w:bottom w:w="43" w:type="dxa"/>
              <w:right w:w="43" w:type="dxa"/>
            </w:tcMar>
            <w:vAlign w:val="bottom"/>
          </w:tcPr>
          <w:p w14:paraId="0FD5E53E" w14:textId="77777777" w:rsidR="00FE02EF" w:rsidRPr="00CC19F7" w:rsidRDefault="00881E58" w:rsidP="005F29B2">
            <w:pPr>
              <w:jc w:val="right"/>
            </w:pPr>
            <w:r w:rsidRPr="00CC19F7">
              <w:t>235 000</w:t>
            </w:r>
          </w:p>
        </w:tc>
      </w:tr>
      <w:tr w:rsidR="00FE02EF" w:rsidRPr="00CC19F7" w14:paraId="0012E306" w14:textId="77777777" w:rsidTr="005F29B2">
        <w:trPr>
          <w:trHeight w:val="380"/>
        </w:trPr>
        <w:tc>
          <w:tcPr>
            <w:tcW w:w="5202" w:type="dxa"/>
            <w:tcBorders>
              <w:top w:val="nil"/>
              <w:left w:val="nil"/>
              <w:bottom w:val="nil"/>
              <w:right w:val="nil"/>
            </w:tcBorders>
            <w:tcMar>
              <w:top w:w="128" w:type="dxa"/>
              <w:left w:w="43" w:type="dxa"/>
              <w:bottom w:w="43" w:type="dxa"/>
              <w:right w:w="43" w:type="dxa"/>
            </w:tcMar>
          </w:tcPr>
          <w:p w14:paraId="6C636647" w14:textId="77777777" w:rsidR="00FE02EF" w:rsidRPr="00CC19F7" w:rsidRDefault="00881E58" w:rsidP="00CC19F7">
            <w:r w:rsidRPr="00CC19F7">
              <w:t xml:space="preserve">Kartlegging av </w:t>
            </w:r>
            <w:proofErr w:type="spellStart"/>
            <w:r w:rsidRPr="00CC19F7">
              <w:t>flaum</w:t>
            </w:r>
            <w:proofErr w:type="spellEnd"/>
            <w:r w:rsidRPr="00CC19F7">
              <w:t xml:space="preserve"> og skred</w:t>
            </w:r>
          </w:p>
        </w:tc>
        <w:tc>
          <w:tcPr>
            <w:tcW w:w="1418" w:type="dxa"/>
            <w:tcBorders>
              <w:top w:val="nil"/>
              <w:left w:val="nil"/>
              <w:bottom w:val="nil"/>
              <w:right w:val="nil"/>
            </w:tcBorders>
            <w:tcMar>
              <w:top w:w="128" w:type="dxa"/>
              <w:left w:w="43" w:type="dxa"/>
              <w:bottom w:w="43" w:type="dxa"/>
              <w:right w:w="43" w:type="dxa"/>
            </w:tcMar>
            <w:vAlign w:val="bottom"/>
          </w:tcPr>
          <w:p w14:paraId="3C57A82E" w14:textId="77777777" w:rsidR="00FE02EF" w:rsidRPr="00CC19F7" w:rsidRDefault="00881E58" w:rsidP="005F29B2">
            <w:pPr>
              <w:jc w:val="right"/>
            </w:pPr>
            <w:r w:rsidRPr="00CC19F7">
              <w:t>64 593</w:t>
            </w:r>
          </w:p>
        </w:tc>
        <w:tc>
          <w:tcPr>
            <w:tcW w:w="1580" w:type="dxa"/>
            <w:tcBorders>
              <w:top w:val="nil"/>
              <w:left w:val="nil"/>
              <w:bottom w:val="nil"/>
              <w:right w:val="nil"/>
            </w:tcBorders>
            <w:tcMar>
              <w:top w:w="128" w:type="dxa"/>
              <w:left w:w="43" w:type="dxa"/>
              <w:bottom w:w="43" w:type="dxa"/>
              <w:right w:w="43" w:type="dxa"/>
            </w:tcMar>
            <w:vAlign w:val="bottom"/>
          </w:tcPr>
          <w:p w14:paraId="09DBC641" w14:textId="77777777" w:rsidR="00FE02EF" w:rsidRPr="00CC19F7" w:rsidRDefault="00881E58" w:rsidP="005F29B2">
            <w:pPr>
              <w:jc w:val="right"/>
            </w:pPr>
            <w:r w:rsidRPr="00CC19F7">
              <w:t>68 000</w:t>
            </w:r>
          </w:p>
        </w:tc>
        <w:tc>
          <w:tcPr>
            <w:tcW w:w="1360" w:type="dxa"/>
            <w:tcBorders>
              <w:top w:val="nil"/>
              <w:left w:val="nil"/>
              <w:bottom w:val="nil"/>
              <w:right w:val="nil"/>
            </w:tcBorders>
            <w:tcMar>
              <w:top w:w="128" w:type="dxa"/>
              <w:left w:w="43" w:type="dxa"/>
              <w:bottom w:w="43" w:type="dxa"/>
              <w:right w:w="43" w:type="dxa"/>
            </w:tcMar>
            <w:vAlign w:val="bottom"/>
          </w:tcPr>
          <w:p w14:paraId="4F516169" w14:textId="77777777" w:rsidR="00FE02EF" w:rsidRPr="00CC19F7" w:rsidRDefault="00881E58" w:rsidP="005F29B2">
            <w:pPr>
              <w:jc w:val="right"/>
            </w:pPr>
            <w:r w:rsidRPr="00CC19F7">
              <w:t>78 000</w:t>
            </w:r>
          </w:p>
        </w:tc>
      </w:tr>
      <w:tr w:rsidR="00FE02EF" w:rsidRPr="00CC19F7" w14:paraId="7ED3F845" w14:textId="77777777" w:rsidTr="005F29B2">
        <w:trPr>
          <w:trHeight w:val="380"/>
        </w:trPr>
        <w:tc>
          <w:tcPr>
            <w:tcW w:w="5202" w:type="dxa"/>
            <w:tcBorders>
              <w:top w:val="nil"/>
              <w:left w:val="nil"/>
              <w:bottom w:val="single" w:sz="4" w:space="0" w:color="000000"/>
              <w:right w:val="nil"/>
            </w:tcBorders>
            <w:tcMar>
              <w:top w:w="128" w:type="dxa"/>
              <w:left w:w="43" w:type="dxa"/>
              <w:bottom w:w="43" w:type="dxa"/>
              <w:right w:w="43" w:type="dxa"/>
            </w:tcMar>
          </w:tcPr>
          <w:p w14:paraId="6F9C038A" w14:textId="77777777" w:rsidR="00FE02EF" w:rsidRPr="00CC19F7" w:rsidRDefault="00881E58" w:rsidP="00CC19F7">
            <w:r w:rsidRPr="00CC19F7">
              <w:t>Fjellskredovervaking</w:t>
            </w:r>
          </w:p>
        </w:tc>
        <w:tc>
          <w:tcPr>
            <w:tcW w:w="1418" w:type="dxa"/>
            <w:tcBorders>
              <w:top w:val="nil"/>
              <w:left w:val="nil"/>
              <w:bottom w:val="single" w:sz="4" w:space="0" w:color="000000"/>
              <w:right w:val="nil"/>
            </w:tcBorders>
            <w:tcMar>
              <w:top w:w="128" w:type="dxa"/>
              <w:left w:w="43" w:type="dxa"/>
              <w:bottom w:w="43" w:type="dxa"/>
              <w:right w:w="43" w:type="dxa"/>
            </w:tcMar>
            <w:vAlign w:val="bottom"/>
          </w:tcPr>
          <w:p w14:paraId="4F40C556" w14:textId="77777777" w:rsidR="00FE02EF" w:rsidRPr="00CC19F7" w:rsidRDefault="00881E58" w:rsidP="005F29B2">
            <w:pPr>
              <w:jc w:val="right"/>
            </w:pPr>
            <w:r w:rsidRPr="00CC19F7">
              <w:t>21 776</w:t>
            </w:r>
          </w:p>
        </w:tc>
        <w:tc>
          <w:tcPr>
            <w:tcW w:w="1580" w:type="dxa"/>
            <w:tcBorders>
              <w:top w:val="nil"/>
              <w:left w:val="nil"/>
              <w:bottom w:val="single" w:sz="4" w:space="0" w:color="000000"/>
              <w:right w:val="nil"/>
            </w:tcBorders>
            <w:tcMar>
              <w:top w:w="128" w:type="dxa"/>
              <w:left w:w="43" w:type="dxa"/>
              <w:bottom w:w="43" w:type="dxa"/>
              <w:right w:w="43" w:type="dxa"/>
            </w:tcMar>
            <w:vAlign w:val="bottom"/>
          </w:tcPr>
          <w:p w14:paraId="02DF53A1" w14:textId="77777777" w:rsidR="00FE02EF" w:rsidRPr="00CC19F7" w:rsidRDefault="00881E58" w:rsidP="005F29B2">
            <w:pPr>
              <w:jc w:val="right"/>
            </w:pPr>
            <w:r w:rsidRPr="00CC19F7">
              <w:t>18 500</w:t>
            </w:r>
          </w:p>
        </w:tc>
        <w:tc>
          <w:tcPr>
            <w:tcW w:w="1360" w:type="dxa"/>
            <w:tcBorders>
              <w:top w:val="nil"/>
              <w:left w:val="nil"/>
              <w:bottom w:val="single" w:sz="4" w:space="0" w:color="000000"/>
              <w:right w:val="nil"/>
            </w:tcBorders>
            <w:tcMar>
              <w:top w:w="128" w:type="dxa"/>
              <w:left w:w="43" w:type="dxa"/>
              <w:bottom w:w="43" w:type="dxa"/>
              <w:right w:w="43" w:type="dxa"/>
            </w:tcMar>
            <w:vAlign w:val="bottom"/>
          </w:tcPr>
          <w:p w14:paraId="4C9803BB" w14:textId="77777777" w:rsidR="00FE02EF" w:rsidRPr="00CC19F7" w:rsidRDefault="00881E58" w:rsidP="005F29B2">
            <w:pPr>
              <w:jc w:val="right"/>
            </w:pPr>
            <w:r w:rsidRPr="00CC19F7">
              <w:t>19 000</w:t>
            </w:r>
          </w:p>
        </w:tc>
      </w:tr>
      <w:tr w:rsidR="00FE02EF" w:rsidRPr="00CC19F7" w14:paraId="0F90A2ED" w14:textId="77777777" w:rsidTr="005F29B2">
        <w:trPr>
          <w:trHeight w:val="380"/>
        </w:trPr>
        <w:tc>
          <w:tcPr>
            <w:tcW w:w="5202" w:type="dxa"/>
            <w:tcBorders>
              <w:top w:val="nil"/>
              <w:left w:val="nil"/>
              <w:bottom w:val="single" w:sz="4" w:space="0" w:color="000000"/>
              <w:right w:val="nil"/>
            </w:tcBorders>
            <w:tcMar>
              <w:top w:w="128" w:type="dxa"/>
              <w:left w:w="43" w:type="dxa"/>
              <w:bottom w:w="43" w:type="dxa"/>
              <w:right w:w="43" w:type="dxa"/>
            </w:tcMar>
          </w:tcPr>
          <w:p w14:paraId="24E87005" w14:textId="77777777" w:rsidR="00FE02EF" w:rsidRPr="00CC19F7" w:rsidRDefault="00881E58" w:rsidP="00CC19F7">
            <w:r w:rsidRPr="00CC19F7">
              <w:t>Sum post 22</w:t>
            </w:r>
          </w:p>
        </w:tc>
        <w:tc>
          <w:tcPr>
            <w:tcW w:w="1418" w:type="dxa"/>
            <w:tcBorders>
              <w:top w:val="nil"/>
              <w:left w:val="nil"/>
              <w:bottom w:val="single" w:sz="4" w:space="0" w:color="000000"/>
              <w:right w:val="nil"/>
            </w:tcBorders>
            <w:tcMar>
              <w:top w:w="128" w:type="dxa"/>
              <w:left w:w="43" w:type="dxa"/>
              <w:bottom w:w="43" w:type="dxa"/>
              <w:right w:w="43" w:type="dxa"/>
            </w:tcMar>
            <w:vAlign w:val="bottom"/>
          </w:tcPr>
          <w:p w14:paraId="041E3A86" w14:textId="77777777" w:rsidR="00FE02EF" w:rsidRPr="00CC19F7" w:rsidRDefault="00881E58" w:rsidP="005F29B2">
            <w:pPr>
              <w:jc w:val="right"/>
            </w:pPr>
            <w:r w:rsidRPr="00CC19F7">
              <w:t>221 154</w:t>
            </w:r>
          </w:p>
        </w:tc>
        <w:tc>
          <w:tcPr>
            <w:tcW w:w="1580" w:type="dxa"/>
            <w:tcBorders>
              <w:top w:val="nil"/>
              <w:left w:val="nil"/>
              <w:bottom w:val="single" w:sz="4" w:space="0" w:color="000000"/>
              <w:right w:val="nil"/>
            </w:tcBorders>
            <w:tcMar>
              <w:top w:w="128" w:type="dxa"/>
              <w:left w:w="43" w:type="dxa"/>
              <w:bottom w:w="43" w:type="dxa"/>
              <w:right w:w="43" w:type="dxa"/>
            </w:tcMar>
            <w:vAlign w:val="bottom"/>
          </w:tcPr>
          <w:p w14:paraId="16B7DDD4" w14:textId="77777777" w:rsidR="00FE02EF" w:rsidRPr="00CC19F7" w:rsidRDefault="00881E58" w:rsidP="005F29B2">
            <w:pPr>
              <w:jc w:val="right"/>
            </w:pPr>
            <w:r w:rsidRPr="00CC19F7">
              <w:t>255 500</w:t>
            </w:r>
          </w:p>
        </w:tc>
        <w:tc>
          <w:tcPr>
            <w:tcW w:w="1360" w:type="dxa"/>
            <w:tcBorders>
              <w:top w:val="nil"/>
              <w:left w:val="nil"/>
              <w:bottom w:val="single" w:sz="4" w:space="0" w:color="000000"/>
              <w:right w:val="nil"/>
            </w:tcBorders>
            <w:tcMar>
              <w:top w:w="128" w:type="dxa"/>
              <w:left w:w="43" w:type="dxa"/>
              <w:bottom w:w="43" w:type="dxa"/>
              <w:right w:w="43" w:type="dxa"/>
            </w:tcMar>
            <w:vAlign w:val="bottom"/>
          </w:tcPr>
          <w:p w14:paraId="26C5DBDE" w14:textId="77777777" w:rsidR="00FE02EF" w:rsidRPr="00CC19F7" w:rsidRDefault="00881E58" w:rsidP="005F29B2">
            <w:pPr>
              <w:jc w:val="right"/>
            </w:pPr>
            <w:r w:rsidRPr="00CC19F7">
              <w:t>332 000</w:t>
            </w:r>
          </w:p>
        </w:tc>
      </w:tr>
    </w:tbl>
    <w:p w14:paraId="02FCBA70" w14:textId="77777777" w:rsidR="00FE02EF" w:rsidRPr="00CC19F7" w:rsidRDefault="00881E58" w:rsidP="00CC19F7">
      <w:r w:rsidRPr="00CC19F7">
        <w:t xml:space="preserve">Det blir foreslått ei løyving på 332 mill. kroner til kartlegging og tiltak for </w:t>
      </w:r>
      <w:proofErr w:type="spellStart"/>
      <w:r w:rsidRPr="00CC19F7">
        <w:t>førebygging</w:t>
      </w:r>
      <w:proofErr w:type="spellEnd"/>
      <w:r w:rsidRPr="00CC19F7">
        <w:t xml:space="preserve"> av </w:t>
      </w:r>
      <w:proofErr w:type="spellStart"/>
      <w:r w:rsidRPr="00CC19F7">
        <w:t>flaum</w:t>
      </w:r>
      <w:proofErr w:type="spellEnd"/>
      <w:r w:rsidRPr="00CC19F7">
        <w:t xml:space="preserve">- og </w:t>
      </w:r>
      <w:proofErr w:type="spellStart"/>
      <w:r w:rsidRPr="00CC19F7">
        <w:t>skredskadar</w:t>
      </w:r>
      <w:proofErr w:type="spellEnd"/>
      <w:r w:rsidRPr="00CC19F7">
        <w:t xml:space="preserve"> som blir gjennomført i regi av NVE. </w:t>
      </w:r>
      <w:proofErr w:type="spellStart"/>
      <w:r w:rsidRPr="00CC19F7">
        <w:t>Vidare</w:t>
      </w:r>
      <w:proofErr w:type="spellEnd"/>
      <w:r w:rsidRPr="00CC19F7">
        <w:t xml:space="preserve"> blir det foreslått ei bestillingsfullmakt på 200 mill. kroner, jf. forslag til vedtak III.</w:t>
      </w:r>
    </w:p>
    <w:p w14:paraId="34891A74" w14:textId="77777777" w:rsidR="00FE02EF" w:rsidRPr="00CC19F7" w:rsidRDefault="00881E58" w:rsidP="00CC19F7">
      <w:r w:rsidRPr="00CC19F7">
        <w:t xml:space="preserve">Auken </w:t>
      </w:r>
      <w:proofErr w:type="spellStart"/>
      <w:r w:rsidRPr="00CC19F7">
        <w:t>frå</w:t>
      </w:r>
      <w:proofErr w:type="spellEnd"/>
      <w:r w:rsidRPr="00CC19F7">
        <w:t xml:space="preserve"> saldert budsjett 2023 skal i </w:t>
      </w:r>
      <w:proofErr w:type="spellStart"/>
      <w:r w:rsidRPr="00CC19F7">
        <w:t>hovudsak</w:t>
      </w:r>
      <w:proofErr w:type="spellEnd"/>
      <w:r w:rsidRPr="00CC19F7">
        <w:t xml:space="preserve"> </w:t>
      </w:r>
      <w:proofErr w:type="spellStart"/>
      <w:r w:rsidRPr="00CC19F7">
        <w:t>nyttast</w:t>
      </w:r>
      <w:proofErr w:type="spellEnd"/>
      <w:r w:rsidRPr="00CC19F7">
        <w:t xml:space="preserve"> til å </w:t>
      </w:r>
      <w:proofErr w:type="spellStart"/>
      <w:r w:rsidRPr="00CC19F7">
        <w:t>auke</w:t>
      </w:r>
      <w:proofErr w:type="spellEnd"/>
      <w:r w:rsidRPr="00CC19F7">
        <w:t xml:space="preserve"> framdrifta i kartlegging og gjennomføring av sikringstiltak. Ordinære driftsutgifter blir dekte under post 01.</w:t>
      </w:r>
    </w:p>
    <w:p w14:paraId="0AC89DBA" w14:textId="77777777" w:rsidR="00FE02EF" w:rsidRPr="00CC19F7" w:rsidRDefault="00881E58" w:rsidP="00CC19F7">
      <w:pPr>
        <w:pStyle w:val="avsnitt-tittel"/>
      </w:pPr>
      <w:r w:rsidRPr="00CC19F7">
        <w:t>Sikrings- og miljøtiltak</w:t>
      </w:r>
    </w:p>
    <w:p w14:paraId="4D579AEC" w14:textId="77777777" w:rsidR="00FE02EF" w:rsidRPr="00CC19F7" w:rsidRDefault="00881E58" w:rsidP="00CC19F7">
      <w:r w:rsidRPr="00CC19F7">
        <w:t xml:space="preserve">Det blir foreslått 235 mill. kroner til sikrings- og miljøtiltak i regi av NVE. I tillegg blir det foreslått 35 mill. kroner til </w:t>
      </w:r>
      <w:proofErr w:type="spellStart"/>
      <w:r w:rsidRPr="00CC19F7">
        <w:t>vidareføring</w:t>
      </w:r>
      <w:proofErr w:type="spellEnd"/>
      <w:r w:rsidRPr="00CC19F7">
        <w:t xml:space="preserve"> av skredsikringstiltak i Vannledningsdalen over Svalbardbudsjettet.</w:t>
      </w:r>
    </w:p>
    <w:p w14:paraId="34DF2BF9" w14:textId="77777777" w:rsidR="00FE02EF" w:rsidRPr="00CC19F7" w:rsidRDefault="00881E58" w:rsidP="00CC19F7">
      <w:r w:rsidRPr="00CC19F7">
        <w:t xml:space="preserve">Sikringstiltak er fysiske tiltak som </w:t>
      </w:r>
      <w:proofErr w:type="spellStart"/>
      <w:r w:rsidRPr="00CC19F7">
        <w:t>anten</w:t>
      </w:r>
      <w:proofErr w:type="spellEnd"/>
      <w:r w:rsidRPr="00CC19F7">
        <w:t xml:space="preserve"> skal verne </w:t>
      </w:r>
      <w:proofErr w:type="spellStart"/>
      <w:r w:rsidRPr="00CC19F7">
        <w:t>eksisterande</w:t>
      </w:r>
      <w:proofErr w:type="spellEnd"/>
      <w:r w:rsidRPr="00CC19F7">
        <w:t xml:space="preserve"> </w:t>
      </w:r>
      <w:proofErr w:type="spellStart"/>
      <w:r w:rsidRPr="00CC19F7">
        <w:t>busetnad</w:t>
      </w:r>
      <w:proofErr w:type="spellEnd"/>
      <w:r w:rsidRPr="00CC19F7">
        <w:t xml:space="preserve"> mot </w:t>
      </w:r>
      <w:proofErr w:type="spellStart"/>
      <w:r w:rsidRPr="00CC19F7">
        <w:t>skredmassar</w:t>
      </w:r>
      <w:proofErr w:type="spellEnd"/>
      <w:r w:rsidRPr="00CC19F7">
        <w:t xml:space="preserve"> og </w:t>
      </w:r>
      <w:proofErr w:type="spellStart"/>
      <w:r w:rsidRPr="00CC19F7">
        <w:t>flaumvatn</w:t>
      </w:r>
      <w:proofErr w:type="spellEnd"/>
      <w:r w:rsidRPr="00CC19F7">
        <w:t xml:space="preserve">, hindre erosjon eller redusere sannsynet for at det blir utløyst skred. NVE prioriterer </w:t>
      </w:r>
      <w:proofErr w:type="spellStart"/>
      <w:r w:rsidRPr="00CC19F7">
        <w:t>dei</w:t>
      </w:r>
      <w:proofErr w:type="spellEnd"/>
      <w:r w:rsidRPr="00CC19F7">
        <w:t xml:space="preserve"> tiltaka som gir størst samfunnsmessig nytte i form av redusert risiko for </w:t>
      </w:r>
      <w:proofErr w:type="spellStart"/>
      <w:r w:rsidRPr="00CC19F7">
        <w:t>flaum</w:t>
      </w:r>
      <w:proofErr w:type="spellEnd"/>
      <w:r w:rsidRPr="00CC19F7">
        <w:t xml:space="preserve">- og </w:t>
      </w:r>
      <w:proofErr w:type="spellStart"/>
      <w:r w:rsidRPr="00CC19F7">
        <w:t>skredskadar</w:t>
      </w:r>
      <w:proofErr w:type="spellEnd"/>
      <w:r w:rsidRPr="00CC19F7">
        <w:t xml:space="preserve"> i forhold til kostnaden. Alle tiltak som staten bidrar til å realisere, skal </w:t>
      </w:r>
      <w:proofErr w:type="spellStart"/>
      <w:r w:rsidRPr="00CC19F7">
        <w:t>vurderast</w:t>
      </w:r>
      <w:proofErr w:type="spellEnd"/>
      <w:r w:rsidRPr="00CC19F7">
        <w:t xml:space="preserve"> samla med sikte på ei best </w:t>
      </w:r>
      <w:proofErr w:type="spellStart"/>
      <w:r w:rsidRPr="00CC19F7">
        <w:t>mogleg</w:t>
      </w:r>
      <w:proofErr w:type="spellEnd"/>
      <w:r w:rsidRPr="00CC19F7">
        <w:t xml:space="preserve"> nasjonal prioritering </w:t>
      </w:r>
      <w:proofErr w:type="spellStart"/>
      <w:r w:rsidRPr="00CC19F7">
        <w:t>innanfor</w:t>
      </w:r>
      <w:proofErr w:type="spellEnd"/>
      <w:r w:rsidRPr="00CC19F7">
        <w:t xml:space="preserve"> den samla </w:t>
      </w:r>
      <w:proofErr w:type="spellStart"/>
      <w:r w:rsidRPr="00CC19F7">
        <w:t>tilgjengelege</w:t>
      </w:r>
      <w:proofErr w:type="spellEnd"/>
      <w:r w:rsidRPr="00CC19F7">
        <w:t xml:space="preserve"> budsjettramma.</w:t>
      </w:r>
    </w:p>
    <w:p w14:paraId="70A6B9EF" w14:textId="77777777" w:rsidR="00FE02EF" w:rsidRPr="00CC19F7" w:rsidRDefault="00881E58" w:rsidP="00CC19F7">
      <w:r w:rsidRPr="00CC19F7">
        <w:t xml:space="preserve">Miljøtiltak er tiltak som </w:t>
      </w:r>
      <w:proofErr w:type="spellStart"/>
      <w:r w:rsidRPr="00CC19F7">
        <w:t>mildnar</w:t>
      </w:r>
      <w:proofErr w:type="spellEnd"/>
      <w:r w:rsidRPr="00CC19F7">
        <w:t xml:space="preserve"> verknadene av fysiske inngrep som kanalisering og </w:t>
      </w:r>
      <w:proofErr w:type="spellStart"/>
      <w:r w:rsidRPr="00CC19F7">
        <w:t>forbyggingar</w:t>
      </w:r>
      <w:proofErr w:type="spellEnd"/>
      <w:r w:rsidRPr="00CC19F7">
        <w:t xml:space="preserve"> i vassdrag. Eksempel på slike tiltak er </w:t>
      </w:r>
      <w:proofErr w:type="spellStart"/>
      <w:r w:rsidRPr="00CC19F7">
        <w:t>opning</w:t>
      </w:r>
      <w:proofErr w:type="spellEnd"/>
      <w:r w:rsidRPr="00CC19F7">
        <w:t xml:space="preserve"> av </w:t>
      </w:r>
      <w:proofErr w:type="spellStart"/>
      <w:r w:rsidRPr="00CC19F7">
        <w:t>stengde</w:t>
      </w:r>
      <w:proofErr w:type="spellEnd"/>
      <w:r w:rsidRPr="00CC19F7">
        <w:t xml:space="preserve"> sideløp og </w:t>
      </w:r>
      <w:proofErr w:type="spellStart"/>
      <w:r w:rsidRPr="00CC19F7">
        <w:t>meandersvingar</w:t>
      </w:r>
      <w:proofErr w:type="spellEnd"/>
      <w:r w:rsidRPr="00CC19F7">
        <w:t xml:space="preserve">, etablering av vegetasjon, utlegging av store </w:t>
      </w:r>
      <w:proofErr w:type="spellStart"/>
      <w:r w:rsidRPr="00CC19F7">
        <w:t>steinar</w:t>
      </w:r>
      <w:proofErr w:type="spellEnd"/>
      <w:r w:rsidRPr="00CC19F7">
        <w:t xml:space="preserve"> for å skape variasjon i elva og tilførsel av gytegrus.</w:t>
      </w:r>
    </w:p>
    <w:p w14:paraId="4737F4CB" w14:textId="77777777" w:rsidR="00FE02EF" w:rsidRPr="00CC19F7" w:rsidRDefault="00881E58" w:rsidP="00CC19F7">
      <w:r w:rsidRPr="00CC19F7">
        <w:t xml:space="preserve">Bistand kan </w:t>
      </w:r>
      <w:proofErr w:type="spellStart"/>
      <w:r w:rsidRPr="00CC19F7">
        <w:t>anten</w:t>
      </w:r>
      <w:proofErr w:type="spellEnd"/>
      <w:r w:rsidRPr="00CC19F7">
        <w:t xml:space="preserve"> </w:t>
      </w:r>
      <w:proofErr w:type="spellStart"/>
      <w:r w:rsidRPr="00CC19F7">
        <w:t>givast</w:t>
      </w:r>
      <w:proofErr w:type="spellEnd"/>
      <w:r w:rsidRPr="00CC19F7">
        <w:t xml:space="preserve"> i form av at NVE tar på seg dette arbeidet på vegner av kommunen, eller ved at det blir gitt </w:t>
      </w:r>
      <w:proofErr w:type="spellStart"/>
      <w:r w:rsidRPr="00CC19F7">
        <w:t>tilskot</w:t>
      </w:r>
      <w:proofErr w:type="spellEnd"/>
      <w:r w:rsidRPr="00CC19F7">
        <w:t xml:space="preserve"> der kommunen </w:t>
      </w:r>
      <w:proofErr w:type="spellStart"/>
      <w:r w:rsidRPr="00CC19F7">
        <w:t>sjølv</w:t>
      </w:r>
      <w:proofErr w:type="spellEnd"/>
      <w:r w:rsidRPr="00CC19F7">
        <w:t xml:space="preserve"> tar på seg </w:t>
      </w:r>
      <w:proofErr w:type="spellStart"/>
      <w:r w:rsidRPr="00CC19F7">
        <w:t>oppgåvene</w:t>
      </w:r>
      <w:proofErr w:type="spellEnd"/>
      <w:r w:rsidRPr="00CC19F7">
        <w:t xml:space="preserve"> med utgreiing, planlegging og gjennomføring, jf. kap. 1820, post 60.</w:t>
      </w:r>
    </w:p>
    <w:p w14:paraId="48B6EA09" w14:textId="77777777" w:rsidR="00FE02EF" w:rsidRPr="00CC19F7" w:rsidRDefault="00881E58" w:rsidP="00CC19F7">
      <w:r w:rsidRPr="00CC19F7">
        <w:t xml:space="preserve">Det blir normalt </w:t>
      </w:r>
      <w:proofErr w:type="spellStart"/>
      <w:r w:rsidRPr="00CC19F7">
        <w:t>ikkje</w:t>
      </w:r>
      <w:proofErr w:type="spellEnd"/>
      <w:r w:rsidRPr="00CC19F7">
        <w:t xml:space="preserve"> gitt bistand til tiltak med </w:t>
      </w:r>
      <w:proofErr w:type="spellStart"/>
      <w:r w:rsidRPr="00CC19F7">
        <w:t>ein</w:t>
      </w:r>
      <w:proofErr w:type="spellEnd"/>
      <w:r w:rsidRPr="00CC19F7">
        <w:t xml:space="preserve"> kostnad mindre enn 500 000 kroner. NVE kan dekke inntil 80 prosent av kostnadene ved </w:t>
      </w:r>
      <w:proofErr w:type="spellStart"/>
      <w:r w:rsidRPr="00CC19F7">
        <w:t>eit</w:t>
      </w:r>
      <w:proofErr w:type="spellEnd"/>
      <w:r w:rsidRPr="00CC19F7">
        <w:t xml:space="preserve"> tiltak. Kommunen er </w:t>
      </w:r>
      <w:proofErr w:type="spellStart"/>
      <w:r w:rsidRPr="00CC19F7">
        <w:t>ansvarleg</w:t>
      </w:r>
      <w:proofErr w:type="spellEnd"/>
      <w:r w:rsidRPr="00CC19F7">
        <w:t xml:space="preserve"> for å dekke </w:t>
      </w:r>
      <w:proofErr w:type="spellStart"/>
      <w:r w:rsidRPr="00CC19F7">
        <w:t>dei</w:t>
      </w:r>
      <w:proofErr w:type="spellEnd"/>
      <w:r w:rsidRPr="00CC19F7">
        <w:t xml:space="preserve"> </w:t>
      </w:r>
      <w:proofErr w:type="spellStart"/>
      <w:r w:rsidRPr="00CC19F7">
        <w:t>resterande</w:t>
      </w:r>
      <w:proofErr w:type="spellEnd"/>
      <w:r w:rsidRPr="00CC19F7">
        <w:t xml:space="preserve"> 20 prosent, jf. kap. 4820, post 40.</w:t>
      </w:r>
    </w:p>
    <w:p w14:paraId="2C3D3064" w14:textId="77777777" w:rsidR="00FE02EF" w:rsidRPr="00CC19F7" w:rsidRDefault="00881E58" w:rsidP="00CC19F7">
      <w:pPr>
        <w:pStyle w:val="avsnitt-tittel"/>
      </w:pPr>
      <w:r w:rsidRPr="00CC19F7">
        <w:t xml:space="preserve">Kartlegging av </w:t>
      </w:r>
      <w:proofErr w:type="spellStart"/>
      <w:r w:rsidRPr="00CC19F7">
        <w:t>flaum</w:t>
      </w:r>
      <w:proofErr w:type="spellEnd"/>
      <w:r w:rsidRPr="00CC19F7">
        <w:t>- og skredfare</w:t>
      </w:r>
    </w:p>
    <w:p w14:paraId="42762CFE" w14:textId="77777777" w:rsidR="00FE02EF" w:rsidRPr="00CC19F7" w:rsidRDefault="00881E58" w:rsidP="00CC19F7">
      <w:r w:rsidRPr="00CC19F7">
        <w:t xml:space="preserve">Det blir foreslått 78 mill. kroner til kartlegging av </w:t>
      </w:r>
      <w:proofErr w:type="spellStart"/>
      <w:r w:rsidRPr="00CC19F7">
        <w:t>flaum</w:t>
      </w:r>
      <w:proofErr w:type="spellEnd"/>
      <w:r w:rsidRPr="00CC19F7">
        <w:t>- og skredfare.</w:t>
      </w:r>
    </w:p>
    <w:p w14:paraId="4AA8DCBF" w14:textId="77777777" w:rsidR="00FE02EF" w:rsidRPr="00CC19F7" w:rsidRDefault="00881E58" w:rsidP="00CC19F7">
      <w:r w:rsidRPr="00CC19F7">
        <w:t xml:space="preserve">Fare- og risikokartlegging gir kunnskap om kva område som er utsette, og kva </w:t>
      </w:r>
      <w:proofErr w:type="spellStart"/>
      <w:r w:rsidRPr="00CC19F7">
        <w:t>konsekvensar</w:t>
      </w:r>
      <w:proofErr w:type="spellEnd"/>
      <w:r w:rsidRPr="00CC19F7">
        <w:t xml:space="preserve"> </w:t>
      </w:r>
      <w:proofErr w:type="spellStart"/>
      <w:r w:rsidRPr="00CC19F7">
        <w:t>flaum</w:t>
      </w:r>
      <w:proofErr w:type="spellEnd"/>
      <w:r w:rsidRPr="00CC19F7">
        <w:t xml:space="preserve"> og skred kan ha. Slik kunnskap er </w:t>
      </w:r>
      <w:proofErr w:type="spellStart"/>
      <w:r w:rsidRPr="00CC19F7">
        <w:t>ein</w:t>
      </w:r>
      <w:proofErr w:type="spellEnd"/>
      <w:r w:rsidRPr="00CC19F7">
        <w:t xml:space="preserve"> </w:t>
      </w:r>
      <w:proofErr w:type="spellStart"/>
      <w:r w:rsidRPr="00CC19F7">
        <w:t>føresetnad</w:t>
      </w:r>
      <w:proofErr w:type="spellEnd"/>
      <w:r w:rsidRPr="00CC19F7">
        <w:t xml:space="preserve"> for ei systematisk og effektiv handtering av </w:t>
      </w:r>
      <w:proofErr w:type="spellStart"/>
      <w:r w:rsidRPr="00CC19F7">
        <w:t>flaum</w:t>
      </w:r>
      <w:proofErr w:type="spellEnd"/>
      <w:r w:rsidRPr="00CC19F7">
        <w:t>- og skredrisiko.</w:t>
      </w:r>
    </w:p>
    <w:p w14:paraId="4B29685F" w14:textId="77777777" w:rsidR="00FE02EF" w:rsidRPr="00CC19F7" w:rsidRDefault="00881E58" w:rsidP="00CC19F7">
      <w:r w:rsidRPr="00CC19F7">
        <w:t xml:space="preserve">NVE er </w:t>
      </w:r>
      <w:proofErr w:type="spellStart"/>
      <w:r w:rsidRPr="00CC19F7">
        <w:t>ansvarleg</w:t>
      </w:r>
      <w:proofErr w:type="spellEnd"/>
      <w:r w:rsidRPr="00CC19F7">
        <w:t xml:space="preserve"> for den </w:t>
      </w:r>
      <w:proofErr w:type="spellStart"/>
      <w:r w:rsidRPr="00CC19F7">
        <w:t>statlege</w:t>
      </w:r>
      <w:proofErr w:type="spellEnd"/>
      <w:r w:rsidRPr="00CC19F7">
        <w:t xml:space="preserve"> delen av farekartlegginga når det gjeld </w:t>
      </w:r>
      <w:proofErr w:type="spellStart"/>
      <w:r w:rsidRPr="00CC19F7">
        <w:t>flaum</w:t>
      </w:r>
      <w:proofErr w:type="spellEnd"/>
      <w:r w:rsidRPr="00CC19F7">
        <w:t xml:space="preserve"> og skred. Denne tar utgangspunkt i område med </w:t>
      </w:r>
      <w:proofErr w:type="spellStart"/>
      <w:r w:rsidRPr="00CC19F7">
        <w:t>eksisterande</w:t>
      </w:r>
      <w:proofErr w:type="spellEnd"/>
      <w:r w:rsidRPr="00CC19F7">
        <w:t xml:space="preserve"> </w:t>
      </w:r>
      <w:proofErr w:type="spellStart"/>
      <w:r w:rsidRPr="00CC19F7">
        <w:t>busetnad</w:t>
      </w:r>
      <w:proofErr w:type="spellEnd"/>
      <w:r w:rsidRPr="00CC19F7">
        <w:t xml:space="preserve"> der </w:t>
      </w:r>
      <w:proofErr w:type="spellStart"/>
      <w:r w:rsidRPr="00CC19F7">
        <w:t>dei</w:t>
      </w:r>
      <w:proofErr w:type="spellEnd"/>
      <w:r w:rsidRPr="00CC19F7">
        <w:t xml:space="preserve"> naturgitte forholda fører til størst risiko. </w:t>
      </w:r>
      <w:proofErr w:type="spellStart"/>
      <w:r w:rsidRPr="00CC19F7">
        <w:t>Effektar</w:t>
      </w:r>
      <w:proofErr w:type="spellEnd"/>
      <w:r w:rsidRPr="00CC19F7">
        <w:t xml:space="preserve"> av </w:t>
      </w:r>
      <w:proofErr w:type="spellStart"/>
      <w:r w:rsidRPr="00CC19F7">
        <w:t>klimaendringar</w:t>
      </w:r>
      <w:proofErr w:type="spellEnd"/>
      <w:r w:rsidRPr="00CC19F7">
        <w:t xml:space="preserve"> vil inngå i </w:t>
      </w:r>
      <w:proofErr w:type="spellStart"/>
      <w:r w:rsidRPr="00CC19F7">
        <w:t>vurderingane</w:t>
      </w:r>
      <w:proofErr w:type="spellEnd"/>
      <w:r w:rsidRPr="00CC19F7">
        <w:t xml:space="preserve"> av risiko. </w:t>
      </w:r>
      <w:proofErr w:type="spellStart"/>
      <w:r w:rsidRPr="00CC19F7">
        <w:t>Kommunane</w:t>
      </w:r>
      <w:proofErr w:type="spellEnd"/>
      <w:r w:rsidRPr="00CC19F7">
        <w:t xml:space="preserve"> vil </w:t>
      </w:r>
      <w:proofErr w:type="spellStart"/>
      <w:r w:rsidRPr="00CC19F7">
        <w:t>framleis</w:t>
      </w:r>
      <w:proofErr w:type="spellEnd"/>
      <w:r w:rsidRPr="00CC19F7">
        <w:t xml:space="preserve"> drive farekartlegging av både </w:t>
      </w:r>
      <w:proofErr w:type="spellStart"/>
      <w:r w:rsidRPr="00CC19F7">
        <w:t>nyare</w:t>
      </w:r>
      <w:proofErr w:type="spellEnd"/>
      <w:r w:rsidRPr="00CC19F7">
        <w:t xml:space="preserve"> og eldre </w:t>
      </w:r>
      <w:proofErr w:type="spellStart"/>
      <w:r w:rsidRPr="00CC19F7">
        <w:t>busetnad</w:t>
      </w:r>
      <w:proofErr w:type="spellEnd"/>
      <w:r w:rsidRPr="00CC19F7">
        <w:t xml:space="preserve"> som </w:t>
      </w:r>
      <w:proofErr w:type="spellStart"/>
      <w:r w:rsidRPr="00CC19F7">
        <w:t>ein</w:t>
      </w:r>
      <w:proofErr w:type="spellEnd"/>
      <w:r w:rsidRPr="00CC19F7">
        <w:t xml:space="preserve"> del av det ansvaret </w:t>
      </w:r>
      <w:proofErr w:type="spellStart"/>
      <w:r w:rsidRPr="00CC19F7">
        <w:t>dei</w:t>
      </w:r>
      <w:proofErr w:type="spellEnd"/>
      <w:r w:rsidRPr="00CC19F7">
        <w:t xml:space="preserve"> har for arealplanlegging og for lokal beredskap. </w:t>
      </w:r>
      <w:proofErr w:type="spellStart"/>
      <w:r w:rsidRPr="00CC19F7">
        <w:t>Statlege</w:t>
      </w:r>
      <w:proofErr w:type="spellEnd"/>
      <w:r w:rsidRPr="00CC19F7">
        <w:t xml:space="preserve"> </w:t>
      </w:r>
      <w:proofErr w:type="spellStart"/>
      <w:r w:rsidRPr="00CC19F7">
        <w:t>infrastruktureigarar</w:t>
      </w:r>
      <w:proofErr w:type="spellEnd"/>
      <w:r w:rsidRPr="00CC19F7">
        <w:t xml:space="preserve"> har som </w:t>
      </w:r>
      <w:proofErr w:type="spellStart"/>
      <w:r w:rsidRPr="00CC19F7">
        <w:t>eigarar</w:t>
      </w:r>
      <w:proofErr w:type="spellEnd"/>
      <w:r w:rsidRPr="00CC19F7">
        <w:t xml:space="preserve"> og </w:t>
      </w:r>
      <w:proofErr w:type="spellStart"/>
      <w:r w:rsidRPr="00CC19F7">
        <w:t>utbyggarar</w:t>
      </w:r>
      <w:proofErr w:type="spellEnd"/>
      <w:r w:rsidRPr="00CC19F7">
        <w:t xml:space="preserve"> </w:t>
      </w:r>
      <w:proofErr w:type="spellStart"/>
      <w:r w:rsidRPr="00CC19F7">
        <w:t>eit</w:t>
      </w:r>
      <w:proofErr w:type="spellEnd"/>
      <w:r w:rsidRPr="00CC19F7">
        <w:t xml:space="preserve"> sjølvstendig ansvar for nødvendig kartlegging i </w:t>
      </w:r>
      <w:proofErr w:type="spellStart"/>
      <w:r w:rsidRPr="00CC19F7">
        <w:t>tilknyting</w:t>
      </w:r>
      <w:proofErr w:type="spellEnd"/>
      <w:r w:rsidRPr="00CC19F7">
        <w:t xml:space="preserve"> til anlegga sine.</w:t>
      </w:r>
    </w:p>
    <w:p w14:paraId="0E95EE50" w14:textId="77777777" w:rsidR="00FE02EF" w:rsidRPr="00CC19F7" w:rsidRDefault="00881E58" w:rsidP="00CC19F7">
      <w:r w:rsidRPr="00CC19F7">
        <w:t xml:space="preserve">Systematisk </w:t>
      </w:r>
      <w:proofErr w:type="spellStart"/>
      <w:r w:rsidRPr="00CC19F7">
        <w:t>førebyggande</w:t>
      </w:r>
      <w:proofErr w:type="spellEnd"/>
      <w:r w:rsidRPr="00CC19F7">
        <w:t xml:space="preserve"> arbeid </w:t>
      </w:r>
      <w:proofErr w:type="spellStart"/>
      <w:r w:rsidRPr="00CC19F7">
        <w:t>inneber</w:t>
      </w:r>
      <w:proofErr w:type="spellEnd"/>
      <w:r w:rsidRPr="00CC19F7">
        <w:t xml:space="preserve"> å kartlegge </w:t>
      </w:r>
      <w:proofErr w:type="spellStart"/>
      <w:r w:rsidRPr="00CC19F7">
        <w:t>farane</w:t>
      </w:r>
      <w:proofErr w:type="spellEnd"/>
      <w:r w:rsidRPr="00CC19F7">
        <w:t xml:space="preserve">, identifisere områda med størst risiko og gjennomføre </w:t>
      </w:r>
      <w:proofErr w:type="spellStart"/>
      <w:r w:rsidRPr="00CC19F7">
        <w:t>dei</w:t>
      </w:r>
      <w:proofErr w:type="spellEnd"/>
      <w:r w:rsidRPr="00CC19F7">
        <w:t xml:space="preserve"> tiltaka som har størst nytte i forhold til kostnaden. Gode </w:t>
      </w:r>
      <w:proofErr w:type="spellStart"/>
      <w:r w:rsidRPr="00CC19F7">
        <w:t>farekart</w:t>
      </w:r>
      <w:proofErr w:type="spellEnd"/>
      <w:r w:rsidRPr="00CC19F7">
        <w:t xml:space="preserve"> som </w:t>
      </w:r>
      <w:proofErr w:type="spellStart"/>
      <w:r w:rsidRPr="00CC19F7">
        <w:t>avklarar</w:t>
      </w:r>
      <w:proofErr w:type="spellEnd"/>
      <w:r w:rsidRPr="00CC19F7">
        <w:t xml:space="preserve"> kva område som er utsette, legg fundamentet for resten av arbeidet med </w:t>
      </w:r>
      <w:proofErr w:type="spellStart"/>
      <w:r w:rsidRPr="00CC19F7">
        <w:t>førebygging</w:t>
      </w:r>
      <w:proofErr w:type="spellEnd"/>
      <w:r w:rsidRPr="00CC19F7">
        <w:t>.</w:t>
      </w:r>
    </w:p>
    <w:p w14:paraId="28E438D3" w14:textId="77777777" w:rsidR="00FE02EF" w:rsidRPr="00CC19F7" w:rsidRDefault="00881E58" w:rsidP="00CC19F7">
      <w:pPr>
        <w:pStyle w:val="avsnitt-tittel"/>
      </w:pPr>
      <w:r w:rsidRPr="00CC19F7">
        <w:t>Fjellskredovervaking</w:t>
      </w:r>
    </w:p>
    <w:p w14:paraId="5664AE40" w14:textId="77777777" w:rsidR="00FE02EF" w:rsidRPr="00CC19F7" w:rsidRDefault="00881E58" w:rsidP="00CC19F7">
      <w:r w:rsidRPr="00CC19F7">
        <w:t xml:space="preserve">Det blir foreslått 19 mill. kroner til drift, utvikling og </w:t>
      </w:r>
      <w:proofErr w:type="spellStart"/>
      <w:r w:rsidRPr="00CC19F7">
        <w:t>vedlikehald</w:t>
      </w:r>
      <w:proofErr w:type="spellEnd"/>
      <w:r w:rsidRPr="00CC19F7">
        <w:t xml:space="preserve"> av anlegg for fjellskredovervaking.</w:t>
      </w:r>
    </w:p>
    <w:p w14:paraId="6F7D9E8B" w14:textId="77777777" w:rsidR="00FE02EF" w:rsidRPr="00CC19F7" w:rsidRDefault="00881E58" w:rsidP="00CC19F7">
      <w:r w:rsidRPr="00CC19F7">
        <w:t xml:space="preserve">NVE overvaker og har </w:t>
      </w:r>
      <w:proofErr w:type="spellStart"/>
      <w:r w:rsidRPr="00CC19F7">
        <w:t>varslingsrutinar</w:t>
      </w:r>
      <w:proofErr w:type="spellEnd"/>
      <w:r w:rsidRPr="00CC19F7">
        <w:t xml:space="preserve"> for ustabile fjellparti basert på ei systematisk kartlegging av </w:t>
      </w:r>
      <w:proofErr w:type="spellStart"/>
      <w:r w:rsidRPr="00CC19F7">
        <w:t>utvalde</w:t>
      </w:r>
      <w:proofErr w:type="spellEnd"/>
      <w:r w:rsidRPr="00CC19F7">
        <w:t xml:space="preserve"> prioriterte område. </w:t>
      </w:r>
      <w:proofErr w:type="spellStart"/>
      <w:r w:rsidRPr="00CC19F7">
        <w:t>Overvaking</w:t>
      </w:r>
      <w:proofErr w:type="spellEnd"/>
      <w:r w:rsidRPr="00CC19F7">
        <w:t xml:space="preserve"> er </w:t>
      </w:r>
      <w:proofErr w:type="spellStart"/>
      <w:r w:rsidRPr="00CC19F7">
        <w:t>eit</w:t>
      </w:r>
      <w:proofErr w:type="spellEnd"/>
      <w:r w:rsidRPr="00CC19F7">
        <w:t xml:space="preserve"> effektivt </w:t>
      </w:r>
      <w:proofErr w:type="spellStart"/>
      <w:r w:rsidRPr="00CC19F7">
        <w:t>risikoreduserande</w:t>
      </w:r>
      <w:proofErr w:type="spellEnd"/>
      <w:r w:rsidRPr="00CC19F7">
        <w:t xml:space="preserve"> tiltak. Måledata blir overførte til NVEs </w:t>
      </w:r>
      <w:proofErr w:type="spellStart"/>
      <w:r w:rsidRPr="00CC19F7">
        <w:t>overvakingssenter</w:t>
      </w:r>
      <w:proofErr w:type="spellEnd"/>
      <w:r w:rsidRPr="00CC19F7">
        <w:t xml:space="preserve"> på Stranda i Møre og Romsdal eller i Kåfjord i Troms. Formålet er å kunne varsle </w:t>
      </w:r>
      <w:proofErr w:type="spellStart"/>
      <w:r w:rsidRPr="00CC19F7">
        <w:t>beredskapsmyndigheitene</w:t>
      </w:r>
      <w:proofErr w:type="spellEnd"/>
      <w:r w:rsidRPr="00CC19F7">
        <w:t xml:space="preserve"> i god tid, slik at befolkninga kan </w:t>
      </w:r>
      <w:proofErr w:type="spellStart"/>
      <w:r w:rsidRPr="00CC19F7">
        <w:t>evakuerast</w:t>
      </w:r>
      <w:proofErr w:type="spellEnd"/>
      <w:r w:rsidRPr="00CC19F7">
        <w:t xml:space="preserve"> før det går </w:t>
      </w:r>
      <w:proofErr w:type="spellStart"/>
      <w:r w:rsidRPr="00CC19F7">
        <w:t>eit</w:t>
      </w:r>
      <w:proofErr w:type="spellEnd"/>
      <w:r w:rsidRPr="00CC19F7">
        <w:t xml:space="preserve"> fjellskred.</w:t>
      </w:r>
    </w:p>
    <w:p w14:paraId="41383DC5" w14:textId="77777777" w:rsidR="00FE02EF" w:rsidRPr="00CC19F7" w:rsidRDefault="00881E58" w:rsidP="00CC19F7">
      <w:r w:rsidRPr="00CC19F7">
        <w:t xml:space="preserve">Det er per i dag </w:t>
      </w:r>
      <w:proofErr w:type="spellStart"/>
      <w:r w:rsidRPr="00CC19F7">
        <w:t>kontinuerleg</w:t>
      </w:r>
      <w:proofErr w:type="spellEnd"/>
      <w:r w:rsidRPr="00CC19F7">
        <w:t xml:space="preserve"> </w:t>
      </w:r>
      <w:proofErr w:type="spellStart"/>
      <w:r w:rsidRPr="00CC19F7">
        <w:t>overvaking</w:t>
      </w:r>
      <w:proofErr w:type="spellEnd"/>
      <w:r w:rsidRPr="00CC19F7">
        <w:t xml:space="preserve"> på ni ustabile fjellparti med </w:t>
      </w:r>
      <w:proofErr w:type="spellStart"/>
      <w:r w:rsidRPr="00CC19F7">
        <w:t>høg</w:t>
      </w:r>
      <w:proofErr w:type="spellEnd"/>
      <w:r w:rsidRPr="00CC19F7">
        <w:t xml:space="preserve"> risiko. Det er tre objekt i Møre og Romsdal (Åknes, </w:t>
      </w:r>
      <w:proofErr w:type="spellStart"/>
      <w:r w:rsidRPr="00CC19F7">
        <w:t>Hegguraksla</w:t>
      </w:r>
      <w:proofErr w:type="spellEnd"/>
      <w:r w:rsidRPr="00CC19F7">
        <w:t xml:space="preserve"> og Mannen), tre objekt i Troms (</w:t>
      </w:r>
      <w:proofErr w:type="spellStart"/>
      <w:r w:rsidRPr="00CC19F7">
        <w:t>Jettan</w:t>
      </w:r>
      <w:proofErr w:type="spellEnd"/>
      <w:r w:rsidRPr="00CC19F7">
        <w:t xml:space="preserve">, Indre Nordnes og </w:t>
      </w:r>
      <w:proofErr w:type="spellStart"/>
      <w:r w:rsidRPr="00CC19F7">
        <w:t>Gámanjunni</w:t>
      </w:r>
      <w:proofErr w:type="spellEnd"/>
      <w:r w:rsidRPr="00CC19F7">
        <w:t xml:space="preserve"> 3) og tre objekt i </w:t>
      </w:r>
      <w:proofErr w:type="spellStart"/>
      <w:r w:rsidRPr="00CC19F7">
        <w:t>Vestland</w:t>
      </w:r>
      <w:proofErr w:type="spellEnd"/>
      <w:r w:rsidRPr="00CC19F7">
        <w:t xml:space="preserve"> (</w:t>
      </w:r>
      <w:proofErr w:type="spellStart"/>
      <w:r w:rsidRPr="00CC19F7">
        <w:t>Joasetbergi</w:t>
      </w:r>
      <w:proofErr w:type="spellEnd"/>
      <w:r w:rsidRPr="00CC19F7">
        <w:t xml:space="preserve">, </w:t>
      </w:r>
      <w:proofErr w:type="spellStart"/>
      <w:r w:rsidRPr="00CC19F7">
        <w:t>Tussafoten</w:t>
      </w:r>
      <w:proofErr w:type="spellEnd"/>
      <w:r w:rsidRPr="00CC19F7">
        <w:t xml:space="preserve"> og </w:t>
      </w:r>
      <w:proofErr w:type="spellStart"/>
      <w:r w:rsidRPr="00CC19F7">
        <w:t>Stiksmoen</w:t>
      </w:r>
      <w:proofErr w:type="spellEnd"/>
      <w:r w:rsidRPr="00CC19F7">
        <w:t xml:space="preserve">). NVE arbeider med å instrumentere </w:t>
      </w:r>
      <w:proofErr w:type="spellStart"/>
      <w:r w:rsidRPr="00CC19F7">
        <w:t>eit</w:t>
      </w:r>
      <w:proofErr w:type="spellEnd"/>
      <w:r w:rsidRPr="00CC19F7">
        <w:t xml:space="preserve"> nytt høgrisikoobjekt i Innlandet (Skutshorn i Vang kommune), som vil komme på plass i 2023. I tillegg er det 18 ustabile fjellparti med moderat risiko som blir periodisk </w:t>
      </w:r>
      <w:proofErr w:type="spellStart"/>
      <w:r w:rsidRPr="00CC19F7">
        <w:t>overvakte</w:t>
      </w:r>
      <w:proofErr w:type="spellEnd"/>
      <w:r w:rsidRPr="00CC19F7">
        <w:t xml:space="preserve"> av NVE.</w:t>
      </w:r>
    </w:p>
    <w:p w14:paraId="25A69166" w14:textId="77777777" w:rsidR="00FE02EF" w:rsidRPr="00CC19F7" w:rsidRDefault="00881E58" w:rsidP="00CC19F7">
      <w:pPr>
        <w:pStyle w:val="b-post"/>
      </w:pPr>
      <w:r w:rsidRPr="00CC19F7">
        <w:t xml:space="preserve">Post 23 Oppdrags- og </w:t>
      </w:r>
      <w:proofErr w:type="spellStart"/>
      <w:r w:rsidRPr="00CC19F7">
        <w:t>samarbeidsverksemd</w:t>
      </w:r>
      <w:proofErr w:type="spellEnd"/>
      <w:r w:rsidRPr="00CC19F7">
        <w:t xml:space="preserve">, kan </w:t>
      </w:r>
      <w:proofErr w:type="spellStart"/>
      <w:r w:rsidRPr="00CC19F7">
        <w:t>overførast</w:t>
      </w:r>
      <w:proofErr w:type="spellEnd"/>
    </w:p>
    <w:p w14:paraId="0224BFF0" w14:textId="77777777" w:rsidR="00FE02EF" w:rsidRPr="00CC19F7" w:rsidRDefault="00881E58" w:rsidP="00CC19F7">
      <w:r w:rsidRPr="00CC19F7">
        <w:t xml:space="preserve">Det blir foreslått ei løyving på 70 mill. kroner og ei fullmakt til å overskride løyvinga mot </w:t>
      </w:r>
      <w:proofErr w:type="spellStart"/>
      <w:r w:rsidRPr="00CC19F7">
        <w:t>tilsvarande</w:t>
      </w:r>
      <w:proofErr w:type="spellEnd"/>
      <w:r w:rsidRPr="00CC19F7">
        <w:t xml:space="preserve"> </w:t>
      </w:r>
      <w:proofErr w:type="spellStart"/>
      <w:r w:rsidRPr="00CC19F7">
        <w:t>meirinntekter</w:t>
      </w:r>
      <w:proofErr w:type="spellEnd"/>
      <w:r w:rsidRPr="00CC19F7">
        <w:t xml:space="preserve"> under kap. 4820, post 02 Oppdrags- og samarbeidsinntekter, jf. forslag til vedtak II.</w:t>
      </w:r>
    </w:p>
    <w:p w14:paraId="56E41169" w14:textId="77777777" w:rsidR="00FE02EF" w:rsidRPr="00CC19F7" w:rsidRDefault="00881E58" w:rsidP="00CC19F7">
      <w:r w:rsidRPr="00CC19F7">
        <w:t xml:space="preserve">Løyvinga dekker utgifter til hydrologisk </w:t>
      </w:r>
      <w:proofErr w:type="spellStart"/>
      <w:r w:rsidRPr="00CC19F7">
        <w:t>oppdragsverksemd</w:t>
      </w:r>
      <w:proofErr w:type="spellEnd"/>
      <w:r w:rsidRPr="00CC19F7">
        <w:t xml:space="preserve"> og institusjonelle oppdrag, drift av hydrologiske </w:t>
      </w:r>
      <w:proofErr w:type="spellStart"/>
      <w:r w:rsidRPr="00CC19F7">
        <w:t>målestasjonar</w:t>
      </w:r>
      <w:proofErr w:type="spellEnd"/>
      <w:r w:rsidRPr="00CC19F7">
        <w:t xml:space="preserve"> for </w:t>
      </w:r>
      <w:proofErr w:type="spellStart"/>
      <w:r w:rsidRPr="00CC19F7">
        <w:t>regulantar</w:t>
      </w:r>
      <w:proofErr w:type="spellEnd"/>
      <w:r w:rsidRPr="00CC19F7">
        <w:t xml:space="preserve"> og andre </w:t>
      </w:r>
      <w:proofErr w:type="spellStart"/>
      <w:r w:rsidRPr="00CC19F7">
        <w:t>kundar</w:t>
      </w:r>
      <w:proofErr w:type="spellEnd"/>
      <w:r w:rsidRPr="00CC19F7">
        <w:t xml:space="preserve"> og til oppdragsforsking og rådgiving i </w:t>
      </w:r>
      <w:proofErr w:type="spellStart"/>
      <w:r w:rsidRPr="00CC19F7">
        <w:t>Noreg</w:t>
      </w:r>
      <w:proofErr w:type="spellEnd"/>
      <w:r w:rsidRPr="00CC19F7">
        <w:t xml:space="preserve"> og utlandet. </w:t>
      </w:r>
      <w:proofErr w:type="spellStart"/>
      <w:r w:rsidRPr="00CC19F7">
        <w:t>Vidare</w:t>
      </w:r>
      <w:proofErr w:type="spellEnd"/>
      <w:r w:rsidRPr="00CC19F7">
        <w:t xml:space="preserve"> dekker løyvinga utgifter til </w:t>
      </w:r>
      <w:proofErr w:type="spellStart"/>
      <w:r w:rsidRPr="00CC19F7">
        <w:t>ein</w:t>
      </w:r>
      <w:proofErr w:type="spellEnd"/>
      <w:r w:rsidRPr="00CC19F7">
        <w:t xml:space="preserve"> samarbeidsavtale med Norad om rådgiving </w:t>
      </w:r>
      <w:proofErr w:type="spellStart"/>
      <w:r w:rsidRPr="00CC19F7">
        <w:t>innanfor</w:t>
      </w:r>
      <w:proofErr w:type="spellEnd"/>
      <w:r w:rsidRPr="00CC19F7">
        <w:t xml:space="preserve"> vass- og energisektoren, der NVE skal bidra til kompetanse- og institusjonsbygging i </w:t>
      </w:r>
      <w:proofErr w:type="spellStart"/>
      <w:r w:rsidRPr="00CC19F7">
        <w:t>utvalde</w:t>
      </w:r>
      <w:proofErr w:type="spellEnd"/>
      <w:r w:rsidRPr="00CC19F7">
        <w:t xml:space="preserve"> samarbeidsland med </w:t>
      </w:r>
      <w:proofErr w:type="spellStart"/>
      <w:r w:rsidRPr="00CC19F7">
        <w:t>særleg</w:t>
      </w:r>
      <w:proofErr w:type="spellEnd"/>
      <w:r w:rsidRPr="00CC19F7">
        <w:t xml:space="preserve"> vekt på fornybar energi og </w:t>
      </w:r>
      <w:proofErr w:type="spellStart"/>
      <w:r w:rsidRPr="00CC19F7">
        <w:t>berekraftig</w:t>
      </w:r>
      <w:proofErr w:type="spellEnd"/>
      <w:r w:rsidRPr="00CC19F7">
        <w:t xml:space="preserve"> forvaltning av </w:t>
      </w:r>
      <w:proofErr w:type="spellStart"/>
      <w:r w:rsidRPr="00CC19F7">
        <w:t>naturressursar</w:t>
      </w:r>
      <w:proofErr w:type="spellEnd"/>
      <w:r w:rsidRPr="00CC19F7">
        <w:t>.</w:t>
      </w:r>
    </w:p>
    <w:p w14:paraId="067CBDF8" w14:textId="77777777" w:rsidR="00FE02EF" w:rsidRPr="00CC19F7" w:rsidRDefault="00881E58" w:rsidP="00CC19F7">
      <w:pPr>
        <w:pStyle w:val="b-post"/>
      </w:pPr>
      <w:r w:rsidRPr="00CC19F7">
        <w:t xml:space="preserve">Post 25 Krise- og hastetiltak i samband med </w:t>
      </w:r>
      <w:proofErr w:type="spellStart"/>
      <w:r w:rsidRPr="00CC19F7">
        <w:t>flaum</w:t>
      </w:r>
      <w:proofErr w:type="spellEnd"/>
      <w:r w:rsidRPr="00CC19F7">
        <w:t xml:space="preserve">- og </w:t>
      </w:r>
      <w:proofErr w:type="spellStart"/>
      <w:r w:rsidRPr="00CC19F7">
        <w:t>skredhendingar</w:t>
      </w:r>
      <w:proofErr w:type="spellEnd"/>
    </w:p>
    <w:p w14:paraId="7A908EE2" w14:textId="77777777" w:rsidR="00FE02EF" w:rsidRPr="00CC19F7" w:rsidRDefault="00881E58" w:rsidP="00CC19F7">
      <w:r w:rsidRPr="00CC19F7">
        <w:t xml:space="preserve">Det blir foreslått ei løyving på 200 mill. kroner og ei bestillingsfullmakt på 50 mill. kroner, jf. forslag til vedtak III. Auken </w:t>
      </w:r>
      <w:proofErr w:type="spellStart"/>
      <w:r w:rsidRPr="00CC19F7">
        <w:t>frå</w:t>
      </w:r>
      <w:proofErr w:type="spellEnd"/>
      <w:r w:rsidRPr="00CC19F7">
        <w:t xml:space="preserve"> saldert budsjett 2023 har </w:t>
      </w:r>
      <w:proofErr w:type="spellStart"/>
      <w:r w:rsidRPr="00CC19F7">
        <w:t>samanheng</w:t>
      </w:r>
      <w:proofErr w:type="spellEnd"/>
      <w:r w:rsidRPr="00CC19F7">
        <w:t xml:space="preserve"> med oppfølging av </w:t>
      </w:r>
      <w:proofErr w:type="spellStart"/>
      <w:r w:rsidRPr="00CC19F7">
        <w:t>ekstremvêret</w:t>
      </w:r>
      <w:proofErr w:type="spellEnd"/>
      <w:r w:rsidRPr="00CC19F7">
        <w:t xml:space="preserve"> «Hans» i 2023.</w:t>
      </w:r>
    </w:p>
    <w:p w14:paraId="16C6725C" w14:textId="77777777" w:rsidR="00FE02EF" w:rsidRPr="00CC19F7" w:rsidRDefault="00881E58" w:rsidP="00CC19F7">
      <w:r w:rsidRPr="00CC19F7">
        <w:t xml:space="preserve">Løyvinga dekker utgifter til krisetiltak som er nødvendige for å hindre </w:t>
      </w:r>
      <w:proofErr w:type="spellStart"/>
      <w:r w:rsidRPr="00CC19F7">
        <w:t>overhengande</w:t>
      </w:r>
      <w:proofErr w:type="spellEnd"/>
      <w:r w:rsidRPr="00CC19F7">
        <w:t xml:space="preserve"> fare like før, under og rett etter ei </w:t>
      </w:r>
      <w:proofErr w:type="spellStart"/>
      <w:r w:rsidRPr="00CC19F7">
        <w:t>flaum</w:t>
      </w:r>
      <w:proofErr w:type="spellEnd"/>
      <w:r w:rsidRPr="00CC19F7">
        <w:t xml:space="preserve">- eller skredhending. Det blir </w:t>
      </w:r>
      <w:proofErr w:type="spellStart"/>
      <w:r w:rsidRPr="00CC19F7">
        <w:t>ikkje</w:t>
      </w:r>
      <w:proofErr w:type="spellEnd"/>
      <w:r w:rsidRPr="00CC19F7">
        <w:t xml:space="preserve"> stilt krav om </w:t>
      </w:r>
      <w:proofErr w:type="spellStart"/>
      <w:r w:rsidRPr="00CC19F7">
        <w:t>distriktsandel</w:t>
      </w:r>
      <w:proofErr w:type="spellEnd"/>
      <w:r w:rsidRPr="00CC19F7">
        <w:t xml:space="preserve"> for krisetiltak.</w:t>
      </w:r>
    </w:p>
    <w:p w14:paraId="561DE972" w14:textId="77777777" w:rsidR="00FE02EF" w:rsidRPr="00CC19F7" w:rsidRDefault="00881E58" w:rsidP="00CC19F7">
      <w:r w:rsidRPr="00CC19F7">
        <w:t xml:space="preserve">Løyvinga dekker også utgifter til hastetiltak som må </w:t>
      </w:r>
      <w:proofErr w:type="spellStart"/>
      <w:r w:rsidRPr="00CC19F7">
        <w:t>gjennomførast</w:t>
      </w:r>
      <w:proofErr w:type="spellEnd"/>
      <w:r w:rsidRPr="00CC19F7">
        <w:t xml:space="preserve"> raskt for å hindre eller redusere </w:t>
      </w:r>
      <w:proofErr w:type="spellStart"/>
      <w:r w:rsidRPr="00CC19F7">
        <w:t>ytterlegare</w:t>
      </w:r>
      <w:proofErr w:type="spellEnd"/>
      <w:r w:rsidRPr="00CC19F7">
        <w:t xml:space="preserve"> skadeutvikling, men der det er tid til forenkla planlegging og saksbehandling. Distriktsandelen for hastetiltak er 10 prosent, jf. kap. 4820, post 40.</w:t>
      </w:r>
    </w:p>
    <w:p w14:paraId="549192D4" w14:textId="77777777" w:rsidR="00FE02EF" w:rsidRPr="00CC19F7" w:rsidRDefault="00881E58" w:rsidP="00CC19F7">
      <w:proofErr w:type="spellStart"/>
      <w:r w:rsidRPr="00CC19F7">
        <w:t>Tilskot</w:t>
      </w:r>
      <w:proofErr w:type="spellEnd"/>
      <w:r w:rsidRPr="00CC19F7">
        <w:t xml:space="preserve"> til </w:t>
      </w:r>
      <w:proofErr w:type="spellStart"/>
      <w:r w:rsidRPr="00CC19F7">
        <w:t>kommunar</w:t>
      </w:r>
      <w:proofErr w:type="spellEnd"/>
      <w:r w:rsidRPr="00CC19F7">
        <w:t xml:space="preserve"> for utføring av krise- og hastetiltak kan også bli dekte under posten.</w:t>
      </w:r>
    </w:p>
    <w:p w14:paraId="6FBAB5BD" w14:textId="77777777" w:rsidR="00FE02EF" w:rsidRPr="00CC19F7" w:rsidRDefault="00881E58" w:rsidP="00CC19F7">
      <w:pPr>
        <w:pStyle w:val="b-post"/>
      </w:pPr>
      <w:r w:rsidRPr="00CC19F7">
        <w:t xml:space="preserve">Post 26 </w:t>
      </w:r>
      <w:proofErr w:type="spellStart"/>
      <w:r w:rsidRPr="00CC19F7">
        <w:t>Reguleringsmyndigheita</w:t>
      </w:r>
      <w:proofErr w:type="spellEnd"/>
      <w:r w:rsidRPr="00CC19F7">
        <w:t xml:space="preserve"> for energi</w:t>
      </w:r>
    </w:p>
    <w:p w14:paraId="68DB14FC" w14:textId="77777777" w:rsidR="00FE02EF" w:rsidRPr="00CC19F7" w:rsidRDefault="00881E58" w:rsidP="00CC19F7">
      <w:r w:rsidRPr="00CC19F7">
        <w:t xml:space="preserve">Det blir foreslått ei løyving på 81,2 mill. kroner til lønnsutgifter og andre driftsutgifter til </w:t>
      </w:r>
      <w:proofErr w:type="spellStart"/>
      <w:r w:rsidRPr="00CC19F7">
        <w:t>Reguleringsmyndigheita</w:t>
      </w:r>
      <w:proofErr w:type="spellEnd"/>
      <w:r w:rsidRPr="00CC19F7">
        <w:t xml:space="preserve"> for energi (RME). Lønnsrelaterte utgifter </w:t>
      </w:r>
      <w:proofErr w:type="spellStart"/>
      <w:r w:rsidRPr="00CC19F7">
        <w:t>utgjer</w:t>
      </w:r>
      <w:proofErr w:type="spellEnd"/>
      <w:r w:rsidRPr="00CC19F7">
        <w:t xml:space="preserve"> om lag 90 prosent.</w:t>
      </w:r>
    </w:p>
    <w:p w14:paraId="37C0F52B" w14:textId="77777777" w:rsidR="00FE02EF" w:rsidRPr="00CC19F7" w:rsidRDefault="00881E58" w:rsidP="00CC19F7">
      <w:r w:rsidRPr="00CC19F7">
        <w:t xml:space="preserve">Av forslag til løyving blir det foreslått </w:t>
      </w:r>
      <w:proofErr w:type="spellStart"/>
      <w:r w:rsidRPr="00CC19F7">
        <w:t>ein</w:t>
      </w:r>
      <w:proofErr w:type="spellEnd"/>
      <w:r w:rsidRPr="00CC19F7">
        <w:t xml:space="preserve"> </w:t>
      </w:r>
      <w:proofErr w:type="spellStart"/>
      <w:r w:rsidRPr="00CC19F7">
        <w:t>auke</w:t>
      </w:r>
      <w:proofErr w:type="spellEnd"/>
      <w:r w:rsidRPr="00CC19F7">
        <w:t xml:space="preserve"> på 10 mill. kroner knytt til </w:t>
      </w:r>
      <w:proofErr w:type="spellStart"/>
      <w:r w:rsidRPr="00CC19F7">
        <w:t>auka</w:t>
      </w:r>
      <w:proofErr w:type="spellEnd"/>
      <w:r w:rsidRPr="00CC19F7">
        <w:t xml:space="preserve"> ressursbehov mellom anna som følge av utvikling av </w:t>
      </w:r>
      <w:proofErr w:type="spellStart"/>
      <w:r w:rsidRPr="00CC19F7">
        <w:t>eit</w:t>
      </w:r>
      <w:proofErr w:type="spellEnd"/>
      <w:r w:rsidRPr="00CC19F7">
        <w:t xml:space="preserve"> regulatorisk rammeverk, juridisk rådgiving og anna arbeid knytt til havvind og </w:t>
      </w:r>
      <w:proofErr w:type="spellStart"/>
      <w:r w:rsidRPr="00CC19F7">
        <w:t>stønadsordninga</w:t>
      </w:r>
      <w:proofErr w:type="spellEnd"/>
      <w:r w:rsidRPr="00CC19F7">
        <w:t xml:space="preserve"> for ekstraordinære straumutgifter, jf. kap. 1820, post 75.</w:t>
      </w:r>
    </w:p>
    <w:p w14:paraId="008A4280" w14:textId="77777777" w:rsidR="00FE02EF" w:rsidRPr="00CC19F7" w:rsidRDefault="00881E58" w:rsidP="00CC19F7">
      <w:pPr>
        <w:pStyle w:val="b-post"/>
      </w:pPr>
      <w:r w:rsidRPr="00CC19F7">
        <w:t xml:space="preserve">Post 45 Større utstyrsinnkjøp og </w:t>
      </w:r>
      <w:proofErr w:type="spellStart"/>
      <w:r w:rsidRPr="00CC19F7">
        <w:t>vedlikehald</w:t>
      </w:r>
      <w:proofErr w:type="spellEnd"/>
      <w:r w:rsidRPr="00CC19F7">
        <w:t xml:space="preserve">, kan </w:t>
      </w:r>
      <w:proofErr w:type="spellStart"/>
      <w:r w:rsidRPr="00CC19F7">
        <w:t>overførast</w:t>
      </w:r>
      <w:proofErr w:type="spellEnd"/>
      <w:r w:rsidRPr="00CC19F7">
        <w:t xml:space="preserve">, kan </w:t>
      </w:r>
      <w:proofErr w:type="spellStart"/>
      <w:r w:rsidRPr="00CC19F7">
        <w:t>nyttast</w:t>
      </w:r>
      <w:proofErr w:type="spellEnd"/>
      <w:r w:rsidRPr="00CC19F7">
        <w:t xml:space="preserve"> under post 22</w:t>
      </w:r>
    </w:p>
    <w:p w14:paraId="5325CDBD" w14:textId="77777777" w:rsidR="00FE02EF" w:rsidRPr="00CC19F7" w:rsidRDefault="00881E58" w:rsidP="00CC19F7">
      <w:r w:rsidRPr="00CC19F7">
        <w:t xml:space="preserve">Det blir foreslått ei løyving på 29 mill. kroner og ei fullmakt til å overskride løyvinga mot </w:t>
      </w:r>
      <w:proofErr w:type="spellStart"/>
      <w:r w:rsidRPr="00CC19F7">
        <w:t>tilsvarande</w:t>
      </w:r>
      <w:proofErr w:type="spellEnd"/>
      <w:r w:rsidRPr="00CC19F7">
        <w:t xml:space="preserve"> </w:t>
      </w:r>
      <w:proofErr w:type="spellStart"/>
      <w:r w:rsidRPr="00CC19F7">
        <w:t>meirinntekter</w:t>
      </w:r>
      <w:proofErr w:type="spellEnd"/>
      <w:r w:rsidRPr="00CC19F7">
        <w:t xml:space="preserve"> under kap. 4820, post 03 Sal av utstyr mv., jf. forslag til vedtak II.</w:t>
      </w:r>
    </w:p>
    <w:p w14:paraId="6C52B010" w14:textId="77777777" w:rsidR="00FE02EF" w:rsidRPr="00CC19F7" w:rsidRDefault="00881E58" w:rsidP="00CC19F7">
      <w:r w:rsidRPr="00CC19F7">
        <w:t xml:space="preserve">Løyvinga dekker utgifter til større </w:t>
      </w:r>
      <w:proofErr w:type="spellStart"/>
      <w:r w:rsidRPr="00CC19F7">
        <w:t>investeringar</w:t>
      </w:r>
      <w:proofErr w:type="spellEnd"/>
      <w:r w:rsidRPr="00CC19F7">
        <w:t xml:space="preserve"> i instrumentering og utstyr til fjellskredovervaking, </w:t>
      </w:r>
      <w:proofErr w:type="spellStart"/>
      <w:r w:rsidRPr="00CC19F7">
        <w:t>oppgraderingar</w:t>
      </w:r>
      <w:proofErr w:type="spellEnd"/>
      <w:r w:rsidRPr="00CC19F7">
        <w:t xml:space="preserve"> og utvikling av det hydrologiske stasjonsnettet, urbanhydrologiske </w:t>
      </w:r>
      <w:proofErr w:type="spellStart"/>
      <w:r w:rsidRPr="00CC19F7">
        <w:t>målestasjonar</w:t>
      </w:r>
      <w:proofErr w:type="spellEnd"/>
      <w:r w:rsidRPr="00CC19F7">
        <w:t xml:space="preserve"> og </w:t>
      </w:r>
      <w:proofErr w:type="spellStart"/>
      <w:r w:rsidRPr="00CC19F7">
        <w:t>målestasjonar</w:t>
      </w:r>
      <w:proofErr w:type="spellEnd"/>
      <w:r w:rsidRPr="00CC19F7">
        <w:t xml:space="preserve"> for jord- og snøskredvarsling.</w:t>
      </w:r>
    </w:p>
    <w:p w14:paraId="3B394A67" w14:textId="77777777" w:rsidR="00FE02EF" w:rsidRPr="00CC19F7" w:rsidRDefault="00881E58" w:rsidP="00CC19F7">
      <w:pPr>
        <w:pStyle w:val="b-post"/>
      </w:pPr>
      <w:r w:rsidRPr="00CC19F7">
        <w:t xml:space="preserve">Post 60 </w:t>
      </w:r>
      <w:proofErr w:type="spellStart"/>
      <w:r w:rsidRPr="00CC19F7">
        <w:t>Tilskot</w:t>
      </w:r>
      <w:proofErr w:type="spellEnd"/>
      <w:r w:rsidRPr="00CC19F7">
        <w:t xml:space="preserve"> til </w:t>
      </w:r>
      <w:proofErr w:type="spellStart"/>
      <w:r w:rsidRPr="00CC19F7">
        <w:t>flaum</w:t>
      </w:r>
      <w:proofErr w:type="spellEnd"/>
      <w:r w:rsidRPr="00CC19F7">
        <w:t xml:space="preserve">- og </w:t>
      </w:r>
      <w:proofErr w:type="spellStart"/>
      <w:r w:rsidRPr="00CC19F7">
        <w:t>skredførebygging</w:t>
      </w:r>
      <w:proofErr w:type="spellEnd"/>
      <w:r w:rsidRPr="00CC19F7">
        <w:t xml:space="preserve">, kan </w:t>
      </w:r>
      <w:proofErr w:type="spellStart"/>
      <w:r w:rsidRPr="00CC19F7">
        <w:t>overførast</w:t>
      </w:r>
      <w:proofErr w:type="spellEnd"/>
      <w:r w:rsidRPr="00CC19F7">
        <w:t xml:space="preserve">, kan </w:t>
      </w:r>
      <w:proofErr w:type="spellStart"/>
      <w:r w:rsidRPr="00CC19F7">
        <w:t>nyttast</w:t>
      </w:r>
      <w:proofErr w:type="spellEnd"/>
      <w:r w:rsidRPr="00CC19F7">
        <w:t xml:space="preserve"> under </w:t>
      </w:r>
      <w:proofErr w:type="spellStart"/>
      <w:r w:rsidRPr="00CC19F7">
        <w:t>postane</w:t>
      </w:r>
      <w:proofErr w:type="spellEnd"/>
      <w:r w:rsidRPr="00CC19F7">
        <w:t xml:space="preserve"> 22 og 72</w:t>
      </w:r>
    </w:p>
    <w:p w14:paraId="1FE81D2C" w14:textId="77777777" w:rsidR="00FE02EF" w:rsidRPr="00CC19F7" w:rsidRDefault="00881E58" w:rsidP="00CC19F7">
      <w:r w:rsidRPr="00CC19F7">
        <w:t xml:space="preserve">Det blir foreslått ei løyving på 105 mill. kroner og ei </w:t>
      </w:r>
      <w:proofErr w:type="spellStart"/>
      <w:r w:rsidRPr="00CC19F7">
        <w:t>tilsegnsfullmakt</w:t>
      </w:r>
      <w:proofErr w:type="spellEnd"/>
      <w:r w:rsidRPr="00CC19F7">
        <w:t xml:space="preserve"> på 350 mill. kroner, jf. forslag til vedtak IV.</w:t>
      </w:r>
    </w:p>
    <w:p w14:paraId="26B3ECF7" w14:textId="77777777" w:rsidR="00FE02EF" w:rsidRPr="00CC19F7" w:rsidRDefault="00881E58" w:rsidP="00CC19F7">
      <w:pPr>
        <w:pStyle w:val="avsnitt-tittel"/>
      </w:pPr>
      <w:r w:rsidRPr="00CC19F7">
        <w:t>Mål</w:t>
      </w:r>
    </w:p>
    <w:p w14:paraId="5F967A3F" w14:textId="77777777" w:rsidR="00FE02EF" w:rsidRPr="00CC19F7" w:rsidRDefault="00881E58" w:rsidP="00CC19F7">
      <w:r w:rsidRPr="00CC19F7">
        <w:t>Ordninga skal bidra til å</w:t>
      </w:r>
    </w:p>
    <w:p w14:paraId="2ADCBDC5" w14:textId="77777777" w:rsidR="00FE02EF" w:rsidRPr="00CC19F7" w:rsidRDefault="00881E58" w:rsidP="00CC19F7">
      <w:pPr>
        <w:pStyle w:val="Liste"/>
      </w:pPr>
      <w:r w:rsidRPr="00CC19F7">
        <w:t xml:space="preserve">redusere faren for tap av menneskeliv og </w:t>
      </w:r>
      <w:proofErr w:type="spellStart"/>
      <w:r w:rsidRPr="00CC19F7">
        <w:t>førebygge</w:t>
      </w:r>
      <w:proofErr w:type="spellEnd"/>
      <w:r w:rsidRPr="00CC19F7">
        <w:t xml:space="preserve"> store </w:t>
      </w:r>
      <w:proofErr w:type="spellStart"/>
      <w:r w:rsidRPr="00CC19F7">
        <w:t>skadar</w:t>
      </w:r>
      <w:proofErr w:type="spellEnd"/>
      <w:r w:rsidRPr="00CC19F7">
        <w:t xml:space="preserve"> på miljø og </w:t>
      </w:r>
      <w:proofErr w:type="spellStart"/>
      <w:r w:rsidRPr="00CC19F7">
        <w:t>eigedom</w:t>
      </w:r>
      <w:proofErr w:type="spellEnd"/>
      <w:r w:rsidRPr="00CC19F7">
        <w:t xml:space="preserve"> som følge av </w:t>
      </w:r>
      <w:proofErr w:type="spellStart"/>
      <w:r w:rsidRPr="00CC19F7">
        <w:t>flaum</w:t>
      </w:r>
      <w:proofErr w:type="spellEnd"/>
      <w:r w:rsidRPr="00CC19F7">
        <w:t xml:space="preserve"> og skred</w:t>
      </w:r>
    </w:p>
    <w:p w14:paraId="71690435" w14:textId="77777777" w:rsidR="00FE02EF" w:rsidRPr="00CC19F7" w:rsidRDefault="00881E58" w:rsidP="00CC19F7">
      <w:pPr>
        <w:pStyle w:val="Liste"/>
      </w:pPr>
      <w:r w:rsidRPr="00CC19F7">
        <w:t xml:space="preserve">betre vassdragsmiljøet, vareta vassdragsrelaterte kulturmiljø og gjenskape vassdragsdynamikk som har </w:t>
      </w:r>
      <w:proofErr w:type="spellStart"/>
      <w:r w:rsidRPr="00CC19F7">
        <w:t>vore</w:t>
      </w:r>
      <w:proofErr w:type="spellEnd"/>
      <w:r w:rsidRPr="00CC19F7">
        <w:t xml:space="preserve"> forringa av </w:t>
      </w:r>
      <w:proofErr w:type="spellStart"/>
      <w:r w:rsidRPr="00CC19F7">
        <w:t>tidlegare</w:t>
      </w:r>
      <w:proofErr w:type="spellEnd"/>
      <w:r w:rsidRPr="00CC19F7">
        <w:t xml:space="preserve"> tiltak</w:t>
      </w:r>
    </w:p>
    <w:p w14:paraId="64D356B2" w14:textId="77777777" w:rsidR="00FE02EF" w:rsidRPr="00CC19F7" w:rsidRDefault="00881E58" w:rsidP="00CC19F7">
      <w:pPr>
        <w:pStyle w:val="Liste"/>
      </w:pPr>
      <w:r w:rsidRPr="00CC19F7">
        <w:t xml:space="preserve">betre kunnskapsgrunnlaget om </w:t>
      </w:r>
      <w:proofErr w:type="spellStart"/>
      <w:r w:rsidRPr="00CC19F7">
        <w:t>flaum</w:t>
      </w:r>
      <w:proofErr w:type="spellEnd"/>
      <w:r w:rsidRPr="00CC19F7">
        <w:t>- og skredfare</w:t>
      </w:r>
    </w:p>
    <w:p w14:paraId="1AB1C4CE" w14:textId="77777777" w:rsidR="00FE02EF" w:rsidRPr="00CC19F7" w:rsidRDefault="00881E58" w:rsidP="00CC19F7">
      <w:pPr>
        <w:pStyle w:val="avsnitt-tittel"/>
      </w:pPr>
      <w:r w:rsidRPr="00CC19F7">
        <w:t>Målgruppe, tildelingskriterium og oppfølging</w:t>
      </w:r>
    </w:p>
    <w:p w14:paraId="30D7DA05" w14:textId="77777777" w:rsidR="00FE02EF" w:rsidRPr="00CC19F7" w:rsidRDefault="00881E58" w:rsidP="00CC19F7">
      <w:proofErr w:type="spellStart"/>
      <w:r w:rsidRPr="00CC19F7">
        <w:t>Kommunar</w:t>
      </w:r>
      <w:proofErr w:type="spellEnd"/>
      <w:r w:rsidRPr="00CC19F7">
        <w:t xml:space="preserve"> og Longyearbyen lokalstyre kan søke om </w:t>
      </w:r>
      <w:proofErr w:type="spellStart"/>
      <w:r w:rsidRPr="00CC19F7">
        <w:t>tilskot</w:t>
      </w:r>
      <w:proofErr w:type="spellEnd"/>
      <w:r w:rsidRPr="00CC19F7">
        <w:t xml:space="preserve"> til</w:t>
      </w:r>
    </w:p>
    <w:p w14:paraId="63D3BAB8" w14:textId="77777777" w:rsidR="00FE02EF" w:rsidRPr="00CC19F7" w:rsidRDefault="00881E58" w:rsidP="00CC19F7">
      <w:pPr>
        <w:pStyle w:val="Liste"/>
      </w:pPr>
      <w:r w:rsidRPr="00CC19F7">
        <w:t xml:space="preserve">utgreiing, planlegging, prosjektering og gjennomføring av fysiske tiltak for å redusere faren for </w:t>
      </w:r>
      <w:proofErr w:type="spellStart"/>
      <w:r w:rsidRPr="00CC19F7">
        <w:t>skadar</w:t>
      </w:r>
      <w:proofErr w:type="spellEnd"/>
      <w:r w:rsidRPr="00CC19F7">
        <w:t xml:space="preserve"> </w:t>
      </w:r>
      <w:proofErr w:type="spellStart"/>
      <w:r w:rsidRPr="00CC19F7">
        <w:t>frå</w:t>
      </w:r>
      <w:proofErr w:type="spellEnd"/>
      <w:r w:rsidRPr="00CC19F7">
        <w:t xml:space="preserve"> </w:t>
      </w:r>
      <w:proofErr w:type="spellStart"/>
      <w:r w:rsidRPr="00CC19F7">
        <w:t>flaum</w:t>
      </w:r>
      <w:proofErr w:type="spellEnd"/>
      <w:r w:rsidRPr="00CC19F7">
        <w:t xml:space="preserve"> og skred på </w:t>
      </w:r>
      <w:proofErr w:type="spellStart"/>
      <w:r w:rsidRPr="00CC19F7">
        <w:t>eksisterande</w:t>
      </w:r>
      <w:proofErr w:type="spellEnd"/>
      <w:r w:rsidRPr="00CC19F7">
        <w:t xml:space="preserve"> </w:t>
      </w:r>
      <w:proofErr w:type="spellStart"/>
      <w:r w:rsidRPr="00CC19F7">
        <w:t>busetnad</w:t>
      </w:r>
      <w:proofErr w:type="spellEnd"/>
    </w:p>
    <w:p w14:paraId="4CAF1AEE" w14:textId="77777777" w:rsidR="00FE02EF" w:rsidRPr="00CC19F7" w:rsidRDefault="00881E58" w:rsidP="00CC19F7">
      <w:pPr>
        <w:pStyle w:val="Liste"/>
      </w:pPr>
      <w:r w:rsidRPr="00CC19F7">
        <w:t xml:space="preserve">andre </w:t>
      </w:r>
      <w:proofErr w:type="spellStart"/>
      <w:r w:rsidRPr="00CC19F7">
        <w:t>typar</w:t>
      </w:r>
      <w:proofErr w:type="spellEnd"/>
      <w:r w:rsidRPr="00CC19F7">
        <w:t xml:space="preserve"> </w:t>
      </w:r>
      <w:proofErr w:type="spellStart"/>
      <w:r w:rsidRPr="00CC19F7">
        <w:t>risikoreduserande</w:t>
      </w:r>
      <w:proofErr w:type="spellEnd"/>
      <w:r w:rsidRPr="00CC19F7">
        <w:t xml:space="preserve"> tiltak, slik som </w:t>
      </w:r>
      <w:proofErr w:type="spellStart"/>
      <w:r w:rsidRPr="00CC19F7">
        <w:t>overvaking</w:t>
      </w:r>
      <w:proofErr w:type="spellEnd"/>
      <w:r w:rsidRPr="00CC19F7">
        <w:t xml:space="preserve"> og varsling, der fysiske sikringstiltak </w:t>
      </w:r>
      <w:proofErr w:type="spellStart"/>
      <w:r w:rsidRPr="00CC19F7">
        <w:t>ikkje</w:t>
      </w:r>
      <w:proofErr w:type="spellEnd"/>
      <w:r w:rsidRPr="00CC19F7">
        <w:t xml:space="preserve"> har latt seg gjennomføre av praktiske eller økonomiske årsaker</w:t>
      </w:r>
    </w:p>
    <w:p w14:paraId="74A9007D" w14:textId="77777777" w:rsidR="00FE02EF" w:rsidRPr="00CC19F7" w:rsidRDefault="00881E58" w:rsidP="00CC19F7">
      <w:pPr>
        <w:pStyle w:val="Liste"/>
      </w:pPr>
      <w:r w:rsidRPr="00CC19F7">
        <w:t xml:space="preserve">planlegging og gjennomføring av miljøtiltak i vassdrag for å betre vassdragsmiljøet der det har blitt </w:t>
      </w:r>
      <w:proofErr w:type="spellStart"/>
      <w:r w:rsidRPr="00CC19F7">
        <w:t>vesentleg</w:t>
      </w:r>
      <w:proofErr w:type="spellEnd"/>
      <w:r w:rsidRPr="00CC19F7">
        <w:t xml:space="preserve"> forringa av </w:t>
      </w:r>
      <w:proofErr w:type="spellStart"/>
      <w:r w:rsidRPr="00CC19F7">
        <w:t>tidlegare</w:t>
      </w:r>
      <w:proofErr w:type="spellEnd"/>
      <w:r w:rsidRPr="00CC19F7">
        <w:t xml:space="preserve"> tiltak</w:t>
      </w:r>
    </w:p>
    <w:p w14:paraId="1284A80F" w14:textId="77777777" w:rsidR="00FE02EF" w:rsidRPr="00CC19F7" w:rsidRDefault="00881E58" w:rsidP="00CC19F7">
      <w:pPr>
        <w:pStyle w:val="Liste"/>
      </w:pPr>
      <w:r w:rsidRPr="00CC19F7">
        <w:t xml:space="preserve">kartlegging av kritiske punkt i bekker og bratte vassdrag, faresonekartlegging av </w:t>
      </w:r>
      <w:proofErr w:type="spellStart"/>
      <w:r w:rsidRPr="00CC19F7">
        <w:t>flaum</w:t>
      </w:r>
      <w:proofErr w:type="spellEnd"/>
      <w:r w:rsidRPr="00CC19F7">
        <w:t>, faresonekartlegging av skred i bratt terreng og detaljutgreiing av kvikkleiresoner</w:t>
      </w:r>
    </w:p>
    <w:p w14:paraId="0630099D" w14:textId="77777777" w:rsidR="00FE02EF" w:rsidRPr="00CC19F7" w:rsidRDefault="00881E58" w:rsidP="00CC19F7">
      <w:pPr>
        <w:pStyle w:val="Liste"/>
      </w:pPr>
      <w:proofErr w:type="spellStart"/>
      <w:r w:rsidRPr="00CC19F7">
        <w:t>riving</w:t>
      </w:r>
      <w:proofErr w:type="spellEnd"/>
      <w:r w:rsidRPr="00CC19F7">
        <w:t xml:space="preserve"> og flytting av </w:t>
      </w:r>
      <w:proofErr w:type="spellStart"/>
      <w:r w:rsidRPr="00CC19F7">
        <w:t>fareutsette</w:t>
      </w:r>
      <w:proofErr w:type="spellEnd"/>
      <w:r w:rsidRPr="00CC19F7">
        <w:t xml:space="preserve"> </w:t>
      </w:r>
      <w:proofErr w:type="spellStart"/>
      <w:r w:rsidRPr="00CC19F7">
        <w:t>bueiningar</w:t>
      </w:r>
      <w:proofErr w:type="spellEnd"/>
      <w:r w:rsidRPr="00CC19F7">
        <w:t xml:space="preserve"> med </w:t>
      </w:r>
      <w:proofErr w:type="spellStart"/>
      <w:r w:rsidRPr="00CC19F7">
        <w:t>personopphald</w:t>
      </w:r>
      <w:proofErr w:type="spellEnd"/>
      <w:r w:rsidRPr="00CC19F7">
        <w:t xml:space="preserve"> i heilt spesielle tilfelle</w:t>
      </w:r>
    </w:p>
    <w:p w14:paraId="7BED8E6B" w14:textId="77777777" w:rsidR="00FE02EF" w:rsidRPr="00CC19F7" w:rsidRDefault="00881E58" w:rsidP="00CC19F7">
      <w:r w:rsidRPr="00CC19F7">
        <w:t xml:space="preserve">Søknader skal </w:t>
      </w:r>
      <w:proofErr w:type="spellStart"/>
      <w:r w:rsidRPr="00CC19F7">
        <w:t>prioriterast</w:t>
      </w:r>
      <w:proofErr w:type="spellEnd"/>
      <w:r w:rsidRPr="00CC19F7">
        <w:t xml:space="preserve"> etter samfunnsøkonomiske kriterium, slik at samfunnet får mest </w:t>
      </w:r>
      <w:proofErr w:type="spellStart"/>
      <w:r w:rsidRPr="00CC19F7">
        <w:t>mogleg</w:t>
      </w:r>
      <w:proofErr w:type="spellEnd"/>
      <w:r w:rsidRPr="00CC19F7">
        <w:t xml:space="preserve"> igjen i form av redusert risiko for </w:t>
      </w:r>
      <w:proofErr w:type="spellStart"/>
      <w:r w:rsidRPr="00CC19F7">
        <w:t>flaum</w:t>
      </w:r>
      <w:proofErr w:type="spellEnd"/>
      <w:r w:rsidRPr="00CC19F7">
        <w:t xml:space="preserve">- og </w:t>
      </w:r>
      <w:proofErr w:type="spellStart"/>
      <w:r w:rsidRPr="00CC19F7">
        <w:t>skredskadar</w:t>
      </w:r>
      <w:proofErr w:type="spellEnd"/>
      <w:r w:rsidRPr="00CC19F7">
        <w:t xml:space="preserve">. Alle tiltak som staten bidrar til å realisere, skal </w:t>
      </w:r>
      <w:proofErr w:type="spellStart"/>
      <w:r w:rsidRPr="00CC19F7">
        <w:t>vurderast</w:t>
      </w:r>
      <w:proofErr w:type="spellEnd"/>
      <w:r w:rsidRPr="00CC19F7">
        <w:t xml:space="preserve"> samla, med sikte på ei best </w:t>
      </w:r>
      <w:proofErr w:type="spellStart"/>
      <w:r w:rsidRPr="00CC19F7">
        <w:t>mogleg</w:t>
      </w:r>
      <w:proofErr w:type="spellEnd"/>
      <w:r w:rsidRPr="00CC19F7">
        <w:t xml:space="preserve"> nasjonal prioritering </w:t>
      </w:r>
      <w:proofErr w:type="spellStart"/>
      <w:r w:rsidRPr="00CC19F7">
        <w:t>innanfor</w:t>
      </w:r>
      <w:proofErr w:type="spellEnd"/>
      <w:r w:rsidRPr="00CC19F7">
        <w:t xml:space="preserve"> den samla </w:t>
      </w:r>
      <w:proofErr w:type="spellStart"/>
      <w:r w:rsidRPr="00CC19F7">
        <w:t>tilgjengelege</w:t>
      </w:r>
      <w:proofErr w:type="spellEnd"/>
      <w:r w:rsidRPr="00CC19F7">
        <w:t xml:space="preserve"> budsjettramma. Ved prioritering av søknader skal det </w:t>
      </w:r>
      <w:proofErr w:type="spellStart"/>
      <w:r w:rsidRPr="00CC19F7">
        <w:t>leggast</w:t>
      </w:r>
      <w:proofErr w:type="spellEnd"/>
      <w:r w:rsidRPr="00CC19F7">
        <w:t xml:space="preserve"> vekt på om kommunen har gjort det som blir vurdert som </w:t>
      </w:r>
      <w:proofErr w:type="spellStart"/>
      <w:r w:rsidRPr="00CC19F7">
        <w:t>rimeleg</w:t>
      </w:r>
      <w:proofErr w:type="spellEnd"/>
      <w:r w:rsidRPr="00CC19F7">
        <w:t xml:space="preserve"> for å ta omsyn til </w:t>
      </w:r>
      <w:proofErr w:type="spellStart"/>
      <w:r w:rsidRPr="00CC19F7">
        <w:t>kjende</w:t>
      </w:r>
      <w:proofErr w:type="spellEnd"/>
      <w:r w:rsidRPr="00CC19F7">
        <w:t xml:space="preserve"> </w:t>
      </w:r>
      <w:proofErr w:type="spellStart"/>
      <w:r w:rsidRPr="00CC19F7">
        <w:t>farar</w:t>
      </w:r>
      <w:proofErr w:type="spellEnd"/>
      <w:r w:rsidRPr="00CC19F7">
        <w:t xml:space="preserve"> for </w:t>
      </w:r>
      <w:proofErr w:type="spellStart"/>
      <w:r w:rsidRPr="00CC19F7">
        <w:t>flaum</w:t>
      </w:r>
      <w:proofErr w:type="spellEnd"/>
      <w:r w:rsidRPr="00CC19F7">
        <w:t xml:space="preserve"> og skred i arealplanlegginga og byggesaksbehandlinga. Dersom det </w:t>
      </w:r>
      <w:proofErr w:type="spellStart"/>
      <w:r w:rsidRPr="00CC19F7">
        <w:t>ikkje</w:t>
      </w:r>
      <w:proofErr w:type="spellEnd"/>
      <w:r w:rsidRPr="00CC19F7">
        <w:t xml:space="preserve"> er tatt </w:t>
      </w:r>
      <w:proofErr w:type="spellStart"/>
      <w:r w:rsidRPr="00CC19F7">
        <w:t>tilstrekkeleg</w:t>
      </w:r>
      <w:proofErr w:type="spellEnd"/>
      <w:r w:rsidRPr="00CC19F7">
        <w:t xml:space="preserve"> omsyn til </w:t>
      </w:r>
      <w:proofErr w:type="spellStart"/>
      <w:r w:rsidRPr="00CC19F7">
        <w:t>kjende</w:t>
      </w:r>
      <w:proofErr w:type="spellEnd"/>
      <w:r w:rsidRPr="00CC19F7">
        <w:t xml:space="preserve"> </w:t>
      </w:r>
      <w:proofErr w:type="spellStart"/>
      <w:r w:rsidRPr="00CC19F7">
        <w:t>farar</w:t>
      </w:r>
      <w:proofErr w:type="spellEnd"/>
      <w:r w:rsidRPr="00CC19F7">
        <w:t xml:space="preserve">, kan søknader bli avslått eller kravet om eigenandel </w:t>
      </w:r>
      <w:proofErr w:type="spellStart"/>
      <w:r w:rsidRPr="00CC19F7">
        <w:t>aukast</w:t>
      </w:r>
      <w:proofErr w:type="spellEnd"/>
      <w:r w:rsidRPr="00CC19F7">
        <w:t xml:space="preserve">. Det same gjeld dersom </w:t>
      </w:r>
      <w:proofErr w:type="spellStart"/>
      <w:r w:rsidRPr="00CC19F7">
        <w:t>flaum</w:t>
      </w:r>
      <w:proofErr w:type="spellEnd"/>
      <w:r w:rsidRPr="00CC19F7">
        <w:t xml:space="preserve">- eller skredfaren er </w:t>
      </w:r>
      <w:proofErr w:type="gramStart"/>
      <w:r w:rsidRPr="00CC19F7">
        <w:t>ei følge</w:t>
      </w:r>
      <w:proofErr w:type="gramEnd"/>
      <w:r w:rsidRPr="00CC19F7">
        <w:t xml:space="preserve"> av inngrep i terrenget eller andre tiltak som kommunen eller </w:t>
      </w:r>
      <w:proofErr w:type="spellStart"/>
      <w:r w:rsidRPr="00CC19F7">
        <w:t>ein</w:t>
      </w:r>
      <w:proofErr w:type="spellEnd"/>
      <w:r w:rsidRPr="00CC19F7">
        <w:t xml:space="preserve"> </w:t>
      </w:r>
      <w:proofErr w:type="spellStart"/>
      <w:r w:rsidRPr="00CC19F7">
        <w:t>annan</w:t>
      </w:r>
      <w:proofErr w:type="spellEnd"/>
      <w:r w:rsidRPr="00CC19F7">
        <w:t xml:space="preserve"> part har ansvaret for.</w:t>
      </w:r>
    </w:p>
    <w:p w14:paraId="637D9C86" w14:textId="77777777" w:rsidR="00FE02EF" w:rsidRPr="00CC19F7" w:rsidRDefault="00881E58" w:rsidP="00CC19F7">
      <w:r w:rsidRPr="00CC19F7">
        <w:t xml:space="preserve">Det blir normalt </w:t>
      </w:r>
      <w:proofErr w:type="spellStart"/>
      <w:r w:rsidRPr="00CC19F7">
        <w:t>ikkje</w:t>
      </w:r>
      <w:proofErr w:type="spellEnd"/>
      <w:r w:rsidRPr="00CC19F7">
        <w:t xml:space="preserve"> gitt </w:t>
      </w:r>
      <w:proofErr w:type="spellStart"/>
      <w:r w:rsidRPr="00CC19F7">
        <w:t>tilskot</w:t>
      </w:r>
      <w:proofErr w:type="spellEnd"/>
      <w:r w:rsidRPr="00CC19F7">
        <w:t xml:space="preserve"> til tiltak med </w:t>
      </w:r>
      <w:proofErr w:type="spellStart"/>
      <w:r w:rsidRPr="00CC19F7">
        <w:t>ein</w:t>
      </w:r>
      <w:proofErr w:type="spellEnd"/>
      <w:r w:rsidRPr="00CC19F7">
        <w:t xml:space="preserve"> kostnad mindre enn 500 000 kroner. NVE er </w:t>
      </w:r>
      <w:proofErr w:type="spellStart"/>
      <w:r w:rsidRPr="00CC19F7">
        <w:t>ansvarleg</w:t>
      </w:r>
      <w:proofErr w:type="spellEnd"/>
      <w:r w:rsidRPr="00CC19F7">
        <w:t xml:space="preserve"> for oppfølging og kontroll av ordninga. Ordninga blir </w:t>
      </w:r>
      <w:proofErr w:type="spellStart"/>
      <w:r w:rsidRPr="00CC19F7">
        <w:t>kunngjord</w:t>
      </w:r>
      <w:proofErr w:type="spellEnd"/>
      <w:r w:rsidRPr="00CC19F7">
        <w:t xml:space="preserve"> på nettsidene til NVE.</w:t>
      </w:r>
    </w:p>
    <w:p w14:paraId="64EAB20B" w14:textId="77777777" w:rsidR="00FE02EF" w:rsidRPr="00CC19F7" w:rsidRDefault="00881E58" w:rsidP="00CC19F7">
      <w:pPr>
        <w:pStyle w:val="avsnitt-tittel"/>
      </w:pPr>
      <w:r w:rsidRPr="00CC19F7">
        <w:t>Resultat 2022</w:t>
      </w:r>
    </w:p>
    <w:p w14:paraId="1ABD4962" w14:textId="77777777" w:rsidR="00FE02EF" w:rsidRPr="00CC19F7" w:rsidRDefault="00881E58" w:rsidP="00CC19F7">
      <w:r w:rsidRPr="00CC19F7">
        <w:t xml:space="preserve">Det blei utbetalt om lag 87,7 mill. kroner i </w:t>
      </w:r>
      <w:proofErr w:type="spellStart"/>
      <w:r w:rsidRPr="00CC19F7">
        <w:t>tilskot</w:t>
      </w:r>
      <w:proofErr w:type="spellEnd"/>
      <w:r w:rsidRPr="00CC19F7">
        <w:t xml:space="preserve"> til </w:t>
      </w:r>
      <w:proofErr w:type="spellStart"/>
      <w:r w:rsidRPr="00CC19F7">
        <w:t>kommunar</w:t>
      </w:r>
      <w:proofErr w:type="spellEnd"/>
      <w:r w:rsidRPr="00CC19F7">
        <w:t xml:space="preserve"> til </w:t>
      </w:r>
      <w:proofErr w:type="spellStart"/>
      <w:r w:rsidRPr="00CC19F7">
        <w:t>flaum</w:t>
      </w:r>
      <w:proofErr w:type="spellEnd"/>
      <w:r w:rsidRPr="00CC19F7">
        <w:t xml:space="preserve">- og </w:t>
      </w:r>
      <w:proofErr w:type="spellStart"/>
      <w:r w:rsidRPr="00CC19F7">
        <w:t>skredførebygging</w:t>
      </w:r>
      <w:proofErr w:type="spellEnd"/>
      <w:r w:rsidRPr="00CC19F7">
        <w:t xml:space="preserve">, miljøtiltak og kartlegging av kritiske punkt i bekker og bratte vassdrag. Dei største </w:t>
      </w:r>
      <w:proofErr w:type="spellStart"/>
      <w:r w:rsidRPr="00CC19F7">
        <w:t>utbetalingane</w:t>
      </w:r>
      <w:proofErr w:type="spellEnd"/>
      <w:r w:rsidRPr="00CC19F7">
        <w:t xml:space="preserve"> var til </w:t>
      </w:r>
      <w:proofErr w:type="spellStart"/>
      <w:r w:rsidRPr="00CC19F7">
        <w:t>kommunane</w:t>
      </w:r>
      <w:proofErr w:type="spellEnd"/>
      <w:r w:rsidRPr="00CC19F7">
        <w:t xml:space="preserve"> Hammerfest, Nord-Fron, Gausdal og Asker. Det har også </w:t>
      </w:r>
      <w:proofErr w:type="spellStart"/>
      <w:r w:rsidRPr="00CC19F7">
        <w:t>vore</w:t>
      </w:r>
      <w:proofErr w:type="spellEnd"/>
      <w:r w:rsidRPr="00CC19F7">
        <w:t xml:space="preserve"> </w:t>
      </w:r>
      <w:proofErr w:type="spellStart"/>
      <w:r w:rsidRPr="00CC19F7">
        <w:t>utbetalingar</w:t>
      </w:r>
      <w:proofErr w:type="spellEnd"/>
      <w:r w:rsidRPr="00CC19F7">
        <w:t xml:space="preserve"> til </w:t>
      </w:r>
      <w:proofErr w:type="spellStart"/>
      <w:r w:rsidRPr="00CC19F7">
        <w:t>fleire</w:t>
      </w:r>
      <w:proofErr w:type="spellEnd"/>
      <w:r w:rsidRPr="00CC19F7">
        <w:t xml:space="preserve"> andre, mindre, prosjekt.</w:t>
      </w:r>
    </w:p>
    <w:p w14:paraId="6AB4F1F7" w14:textId="77777777" w:rsidR="00FE02EF" w:rsidRPr="00CC19F7" w:rsidRDefault="00881E58" w:rsidP="00CC19F7">
      <w:pPr>
        <w:pStyle w:val="b-post"/>
      </w:pPr>
      <w:r w:rsidRPr="00CC19F7">
        <w:t xml:space="preserve">Post 62 Tilbakeføring av produksjonsavgift </w:t>
      </w:r>
      <w:proofErr w:type="spellStart"/>
      <w:r w:rsidRPr="00CC19F7">
        <w:t>frå</w:t>
      </w:r>
      <w:proofErr w:type="spellEnd"/>
      <w:r w:rsidRPr="00CC19F7">
        <w:t xml:space="preserve"> landbasert vindkraft</w:t>
      </w:r>
    </w:p>
    <w:p w14:paraId="3AB387DE" w14:textId="77777777" w:rsidR="00FE02EF" w:rsidRPr="00CC19F7" w:rsidRDefault="00881E58" w:rsidP="00CC19F7">
      <w:r w:rsidRPr="00CC19F7">
        <w:t xml:space="preserve">Det blir foreslått ei løyving på 338 mill. kroner knytt til tilbakeføring av inntekter </w:t>
      </w:r>
      <w:proofErr w:type="spellStart"/>
      <w:r w:rsidRPr="00CC19F7">
        <w:t>frå</w:t>
      </w:r>
      <w:proofErr w:type="spellEnd"/>
      <w:r w:rsidRPr="00CC19F7">
        <w:t xml:space="preserve"> produksjonsavgift </w:t>
      </w:r>
      <w:proofErr w:type="spellStart"/>
      <w:r w:rsidRPr="00CC19F7">
        <w:t>frå</w:t>
      </w:r>
      <w:proofErr w:type="spellEnd"/>
      <w:r w:rsidRPr="00CC19F7">
        <w:t xml:space="preserve"> landbasert vindkraft til </w:t>
      </w:r>
      <w:proofErr w:type="spellStart"/>
      <w:r w:rsidRPr="00CC19F7">
        <w:t>vertskommunane</w:t>
      </w:r>
      <w:proofErr w:type="spellEnd"/>
      <w:r w:rsidRPr="00CC19F7">
        <w:t xml:space="preserve">. Avgiftssatsen var 1 øre/kWh </w:t>
      </w:r>
      <w:proofErr w:type="spellStart"/>
      <w:r w:rsidRPr="00CC19F7">
        <w:t>frå</w:t>
      </w:r>
      <w:proofErr w:type="spellEnd"/>
      <w:r w:rsidRPr="00CC19F7">
        <w:t xml:space="preserve"> 1. juli 2022 og blei </w:t>
      </w:r>
      <w:proofErr w:type="spellStart"/>
      <w:r w:rsidRPr="00CC19F7">
        <w:t>auka</w:t>
      </w:r>
      <w:proofErr w:type="spellEnd"/>
      <w:r w:rsidRPr="00CC19F7">
        <w:t xml:space="preserve"> til 2 øre/kWh </w:t>
      </w:r>
      <w:proofErr w:type="spellStart"/>
      <w:r w:rsidRPr="00CC19F7">
        <w:t>frå</w:t>
      </w:r>
      <w:proofErr w:type="spellEnd"/>
      <w:r w:rsidRPr="00CC19F7">
        <w:t xml:space="preserve"> 1. januar 2023.</w:t>
      </w:r>
    </w:p>
    <w:p w14:paraId="14702226" w14:textId="77777777" w:rsidR="00FE02EF" w:rsidRPr="00CC19F7" w:rsidRDefault="00881E58" w:rsidP="00CC19F7">
      <w:r w:rsidRPr="00CC19F7">
        <w:t xml:space="preserve">Inntektene </w:t>
      </w:r>
      <w:proofErr w:type="spellStart"/>
      <w:r w:rsidRPr="00CC19F7">
        <w:t>frå</w:t>
      </w:r>
      <w:proofErr w:type="spellEnd"/>
      <w:r w:rsidRPr="00CC19F7">
        <w:t xml:space="preserve"> produksjonsavgifta skal </w:t>
      </w:r>
      <w:proofErr w:type="spellStart"/>
      <w:r w:rsidRPr="00CC19F7">
        <w:t>tilbakeførast</w:t>
      </w:r>
      <w:proofErr w:type="spellEnd"/>
      <w:r w:rsidRPr="00CC19F7">
        <w:t xml:space="preserve"> til </w:t>
      </w:r>
      <w:proofErr w:type="spellStart"/>
      <w:r w:rsidRPr="00CC19F7">
        <w:t>vertskommunane</w:t>
      </w:r>
      <w:proofErr w:type="spellEnd"/>
      <w:r w:rsidRPr="00CC19F7">
        <w:t xml:space="preserve"> året etter </w:t>
      </w:r>
      <w:proofErr w:type="spellStart"/>
      <w:r w:rsidRPr="00CC19F7">
        <w:t>avgiftsåret</w:t>
      </w:r>
      <w:proofErr w:type="spellEnd"/>
      <w:r w:rsidRPr="00CC19F7">
        <w:t xml:space="preserve">. NVE står for tilbakeføring til </w:t>
      </w:r>
      <w:proofErr w:type="spellStart"/>
      <w:r w:rsidRPr="00CC19F7">
        <w:t>kommunane</w:t>
      </w:r>
      <w:proofErr w:type="spellEnd"/>
      <w:r w:rsidRPr="00CC19F7">
        <w:t xml:space="preserve"> over denne posten. NVE skal fordele og utbetale til </w:t>
      </w:r>
      <w:proofErr w:type="spellStart"/>
      <w:r w:rsidRPr="00CC19F7">
        <w:t>kommunane</w:t>
      </w:r>
      <w:proofErr w:type="spellEnd"/>
      <w:r w:rsidRPr="00CC19F7">
        <w:t xml:space="preserve"> </w:t>
      </w:r>
      <w:proofErr w:type="spellStart"/>
      <w:r w:rsidRPr="00CC19F7">
        <w:t>eit</w:t>
      </w:r>
      <w:proofErr w:type="spellEnd"/>
      <w:r w:rsidRPr="00CC19F7">
        <w:t xml:space="preserve"> beløp som tilsvarer løyvinga over denne posten etter at løyvinga er justert på bakgrunn av reelt innbetalt avgift for </w:t>
      </w:r>
      <w:proofErr w:type="spellStart"/>
      <w:r w:rsidRPr="00CC19F7">
        <w:t>førre</w:t>
      </w:r>
      <w:proofErr w:type="spellEnd"/>
      <w:r w:rsidRPr="00CC19F7">
        <w:t xml:space="preserve"> budsjettår og som blir lagd fram i revidert budsjett i vårsesjonen.</w:t>
      </w:r>
    </w:p>
    <w:p w14:paraId="2CDABEC2" w14:textId="77777777" w:rsidR="00FE02EF" w:rsidRPr="00CC19F7" w:rsidRDefault="00881E58" w:rsidP="00CC19F7">
      <w:pPr>
        <w:pStyle w:val="avsnitt-tittel"/>
      </w:pPr>
      <w:r w:rsidRPr="00CC19F7">
        <w:t>Kriterium for tilbakeføring av avgift og oppfølging</w:t>
      </w:r>
    </w:p>
    <w:p w14:paraId="5ED4DFBB" w14:textId="77777777" w:rsidR="00FE02EF" w:rsidRPr="00CC19F7" w:rsidRDefault="00881E58" w:rsidP="00CC19F7">
      <w:r w:rsidRPr="00CC19F7">
        <w:t xml:space="preserve">Skatteetaten står for </w:t>
      </w:r>
      <w:proofErr w:type="spellStart"/>
      <w:r w:rsidRPr="00CC19F7">
        <w:t>innkrevjing</w:t>
      </w:r>
      <w:proofErr w:type="spellEnd"/>
      <w:r w:rsidRPr="00CC19F7">
        <w:t xml:space="preserve"> av avgifta på landbasert vindkraft </w:t>
      </w:r>
      <w:proofErr w:type="spellStart"/>
      <w:r w:rsidRPr="00CC19F7">
        <w:t>frå</w:t>
      </w:r>
      <w:proofErr w:type="spellEnd"/>
      <w:r w:rsidRPr="00CC19F7">
        <w:t xml:space="preserve"> </w:t>
      </w:r>
      <w:proofErr w:type="spellStart"/>
      <w:r w:rsidRPr="00CC19F7">
        <w:t>konsesjonærane</w:t>
      </w:r>
      <w:proofErr w:type="spellEnd"/>
      <w:r w:rsidRPr="00CC19F7">
        <w:t>.</w:t>
      </w:r>
    </w:p>
    <w:p w14:paraId="2797FF2C" w14:textId="77777777" w:rsidR="00FE02EF" w:rsidRPr="00CC19F7" w:rsidRDefault="00881E58" w:rsidP="00CC19F7">
      <w:r w:rsidRPr="00CC19F7">
        <w:t xml:space="preserve">Avgiftsinntektene skal </w:t>
      </w:r>
      <w:proofErr w:type="spellStart"/>
      <w:r w:rsidRPr="00CC19F7">
        <w:t>tilbakeførast</w:t>
      </w:r>
      <w:proofErr w:type="spellEnd"/>
      <w:r w:rsidRPr="00CC19F7">
        <w:t xml:space="preserve"> til </w:t>
      </w:r>
      <w:proofErr w:type="spellStart"/>
      <w:r w:rsidRPr="00CC19F7">
        <w:t>vertskommunane</w:t>
      </w:r>
      <w:proofErr w:type="spellEnd"/>
      <w:r w:rsidRPr="00CC19F7">
        <w:t xml:space="preserve"> året etter </w:t>
      </w:r>
      <w:proofErr w:type="spellStart"/>
      <w:r w:rsidRPr="00CC19F7">
        <w:t>avgiftsåret</w:t>
      </w:r>
      <w:proofErr w:type="spellEnd"/>
      <w:r w:rsidRPr="00CC19F7">
        <w:t xml:space="preserve">, i tråd med </w:t>
      </w:r>
      <w:proofErr w:type="spellStart"/>
      <w:r w:rsidRPr="00CC19F7">
        <w:t>ein</w:t>
      </w:r>
      <w:proofErr w:type="spellEnd"/>
      <w:r w:rsidRPr="00CC19F7">
        <w:t xml:space="preserve"> fordelingsnøkkel utarbeidd av NVE. Fordelingsnøkkelen viser kor stor andel av den avgiftspliktige vindkraftproduksjonen som kan </w:t>
      </w:r>
      <w:proofErr w:type="spellStart"/>
      <w:r w:rsidRPr="00CC19F7">
        <w:t>tilskrivast</w:t>
      </w:r>
      <w:proofErr w:type="spellEnd"/>
      <w:r w:rsidRPr="00CC19F7">
        <w:t xml:space="preserve"> den enkelte kommune.</w:t>
      </w:r>
    </w:p>
    <w:p w14:paraId="0D250697" w14:textId="77777777" w:rsidR="00FE02EF" w:rsidRPr="00CC19F7" w:rsidRDefault="00881E58" w:rsidP="00CC19F7">
      <w:r w:rsidRPr="00CC19F7">
        <w:t xml:space="preserve">Fordelingsnøkkelen baserast på produksjonsdata for vindkraftverk i den enkelte kommune slik </w:t>
      </w:r>
      <w:proofErr w:type="spellStart"/>
      <w:r w:rsidRPr="00CC19F7">
        <w:t>dei</w:t>
      </w:r>
      <w:proofErr w:type="spellEnd"/>
      <w:r w:rsidRPr="00CC19F7">
        <w:t xml:space="preserve"> blir rapporterte i </w:t>
      </w:r>
      <w:proofErr w:type="spellStart"/>
      <w:r w:rsidRPr="00CC19F7">
        <w:t>Elhub</w:t>
      </w:r>
      <w:proofErr w:type="spellEnd"/>
      <w:r w:rsidRPr="00CC19F7">
        <w:t xml:space="preserve">. Der </w:t>
      </w:r>
      <w:proofErr w:type="spellStart"/>
      <w:r w:rsidRPr="00CC19F7">
        <w:t>eit</w:t>
      </w:r>
      <w:proofErr w:type="spellEnd"/>
      <w:r w:rsidRPr="00CC19F7">
        <w:t xml:space="preserve"> vindkraftverk har </w:t>
      </w:r>
      <w:proofErr w:type="spellStart"/>
      <w:r w:rsidRPr="00CC19F7">
        <w:t>turbinar</w:t>
      </w:r>
      <w:proofErr w:type="spellEnd"/>
      <w:r w:rsidRPr="00CC19F7">
        <w:t xml:space="preserve"> i </w:t>
      </w:r>
      <w:proofErr w:type="spellStart"/>
      <w:r w:rsidRPr="00CC19F7">
        <w:t>fleire</w:t>
      </w:r>
      <w:proofErr w:type="spellEnd"/>
      <w:r w:rsidRPr="00CC19F7">
        <w:t xml:space="preserve"> </w:t>
      </w:r>
      <w:proofErr w:type="spellStart"/>
      <w:r w:rsidRPr="00CC19F7">
        <w:t>kommunar</w:t>
      </w:r>
      <w:proofErr w:type="spellEnd"/>
      <w:r w:rsidRPr="00CC19F7">
        <w:t xml:space="preserve">, vil fordelinga av produksjonen skje etter </w:t>
      </w:r>
      <w:proofErr w:type="spellStart"/>
      <w:r w:rsidRPr="00CC19F7">
        <w:t>ein</w:t>
      </w:r>
      <w:proofErr w:type="spellEnd"/>
      <w:r w:rsidRPr="00CC19F7">
        <w:t xml:space="preserve"> prosentvis andel av den installerte effekten i </w:t>
      </w:r>
      <w:proofErr w:type="spellStart"/>
      <w:r w:rsidRPr="00CC19F7">
        <w:t>dei</w:t>
      </w:r>
      <w:proofErr w:type="spellEnd"/>
      <w:r w:rsidRPr="00CC19F7">
        <w:t xml:space="preserve"> respektive </w:t>
      </w:r>
      <w:proofErr w:type="spellStart"/>
      <w:r w:rsidRPr="00CC19F7">
        <w:t>kommunane</w:t>
      </w:r>
      <w:proofErr w:type="spellEnd"/>
      <w:r w:rsidRPr="00CC19F7">
        <w:t xml:space="preserve"> slik det står i den </w:t>
      </w:r>
      <w:proofErr w:type="spellStart"/>
      <w:r w:rsidRPr="00CC19F7">
        <w:t>godkjende</w:t>
      </w:r>
      <w:proofErr w:type="spellEnd"/>
      <w:r w:rsidRPr="00CC19F7">
        <w:t xml:space="preserve"> detaljplanen. Det er </w:t>
      </w:r>
      <w:proofErr w:type="spellStart"/>
      <w:r w:rsidRPr="00CC19F7">
        <w:t>ikkje</w:t>
      </w:r>
      <w:proofErr w:type="spellEnd"/>
      <w:r w:rsidRPr="00CC19F7">
        <w:t xml:space="preserve"> høve til å klage når det </w:t>
      </w:r>
      <w:proofErr w:type="spellStart"/>
      <w:r w:rsidRPr="00CC19F7">
        <w:t>gjeld</w:t>
      </w:r>
      <w:proofErr w:type="spellEnd"/>
      <w:r w:rsidRPr="00CC19F7">
        <w:t xml:space="preserve"> tilbakeføring av produksjonsavgift </w:t>
      </w:r>
      <w:proofErr w:type="spellStart"/>
      <w:r w:rsidRPr="00CC19F7">
        <w:t>frå</w:t>
      </w:r>
      <w:proofErr w:type="spellEnd"/>
      <w:r w:rsidRPr="00CC19F7">
        <w:t xml:space="preserve"> landbasert vindkraft til </w:t>
      </w:r>
      <w:proofErr w:type="spellStart"/>
      <w:r w:rsidRPr="00CC19F7">
        <w:t>vertskommunane</w:t>
      </w:r>
      <w:proofErr w:type="spellEnd"/>
      <w:r w:rsidRPr="00CC19F7">
        <w:t>.</w:t>
      </w:r>
    </w:p>
    <w:p w14:paraId="607A8CE5" w14:textId="77777777" w:rsidR="00FE02EF" w:rsidRPr="00CC19F7" w:rsidRDefault="00881E58" w:rsidP="00CC19F7">
      <w:r w:rsidRPr="00CC19F7">
        <w:t xml:space="preserve">Når det </w:t>
      </w:r>
      <w:proofErr w:type="spellStart"/>
      <w:r w:rsidRPr="00CC19F7">
        <w:t>gjeld</w:t>
      </w:r>
      <w:proofErr w:type="spellEnd"/>
      <w:r w:rsidRPr="00CC19F7">
        <w:t xml:space="preserve"> skatte- og avgiftsopplegget viser departementet til </w:t>
      </w:r>
      <w:proofErr w:type="spellStart"/>
      <w:r w:rsidRPr="00CC19F7">
        <w:t>Prop</w:t>
      </w:r>
      <w:proofErr w:type="spellEnd"/>
      <w:r w:rsidRPr="00CC19F7">
        <w:t xml:space="preserve">. 1 LS (2023–2024) </w:t>
      </w:r>
      <w:r w:rsidRPr="00CC19F7">
        <w:rPr>
          <w:rStyle w:val="kursiv"/>
        </w:rPr>
        <w:t>Skatter og avgifter 2024</w:t>
      </w:r>
      <w:r w:rsidRPr="00CC19F7">
        <w:t>.</w:t>
      </w:r>
    </w:p>
    <w:p w14:paraId="587C1651" w14:textId="77777777" w:rsidR="00FE02EF" w:rsidRPr="00CC19F7" w:rsidRDefault="00881E58" w:rsidP="00CC19F7">
      <w:pPr>
        <w:pStyle w:val="b-post"/>
      </w:pPr>
      <w:r w:rsidRPr="00CC19F7">
        <w:t xml:space="preserve">Post 72 </w:t>
      </w:r>
      <w:proofErr w:type="spellStart"/>
      <w:r w:rsidRPr="00CC19F7">
        <w:t>Tilskot</w:t>
      </w:r>
      <w:proofErr w:type="spellEnd"/>
      <w:r w:rsidRPr="00CC19F7">
        <w:t xml:space="preserve"> til </w:t>
      </w:r>
      <w:proofErr w:type="spellStart"/>
      <w:r w:rsidRPr="00CC19F7">
        <w:t>flaum</w:t>
      </w:r>
      <w:proofErr w:type="spellEnd"/>
      <w:r w:rsidRPr="00CC19F7">
        <w:t xml:space="preserve">- og </w:t>
      </w:r>
      <w:proofErr w:type="spellStart"/>
      <w:r w:rsidRPr="00CC19F7">
        <w:t>skredførebygging</w:t>
      </w:r>
      <w:proofErr w:type="spellEnd"/>
      <w:r w:rsidRPr="00CC19F7">
        <w:t xml:space="preserve">, kan </w:t>
      </w:r>
      <w:proofErr w:type="spellStart"/>
      <w:r w:rsidRPr="00CC19F7">
        <w:t>overførast</w:t>
      </w:r>
      <w:proofErr w:type="spellEnd"/>
      <w:r w:rsidRPr="00CC19F7">
        <w:t xml:space="preserve">, kan </w:t>
      </w:r>
      <w:proofErr w:type="spellStart"/>
      <w:r w:rsidRPr="00CC19F7">
        <w:t>nyttast</w:t>
      </w:r>
      <w:proofErr w:type="spellEnd"/>
      <w:r w:rsidRPr="00CC19F7">
        <w:t xml:space="preserve"> under </w:t>
      </w:r>
      <w:proofErr w:type="spellStart"/>
      <w:r w:rsidRPr="00CC19F7">
        <w:t>postane</w:t>
      </w:r>
      <w:proofErr w:type="spellEnd"/>
      <w:r w:rsidRPr="00CC19F7">
        <w:t xml:space="preserve"> 22 og 60</w:t>
      </w:r>
    </w:p>
    <w:p w14:paraId="2B70F532" w14:textId="77777777" w:rsidR="00FE02EF" w:rsidRPr="00CC19F7" w:rsidRDefault="00881E58" w:rsidP="00CC19F7">
      <w:r w:rsidRPr="00CC19F7">
        <w:t xml:space="preserve">Det blir foreslått ei løyving på 6 mill. kroner og ei </w:t>
      </w:r>
      <w:proofErr w:type="spellStart"/>
      <w:r w:rsidRPr="00CC19F7">
        <w:t>tilsegnsfullmakt</w:t>
      </w:r>
      <w:proofErr w:type="spellEnd"/>
      <w:r w:rsidRPr="00CC19F7">
        <w:t xml:space="preserve"> på 10 mill. kroner, jf. forslag til vedtak IV.</w:t>
      </w:r>
    </w:p>
    <w:p w14:paraId="277B5BDA" w14:textId="77777777" w:rsidR="00FE02EF" w:rsidRPr="00CC19F7" w:rsidRDefault="00881E58" w:rsidP="00CC19F7">
      <w:pPr>
        <w:pStyle w:val="avsnitt-tittel"/>
      </w:pPr>
      <w:proofErr w:type="spellStart"/>
      <w:r w:rsidRPr="00CC19F7">
        <w:t>Noregs</w:t>
      </w:r>
      <w:proofErr w:type="spellEnd"/>
      <w:r w:rsidRPr="00CC19F7">
        <w:t xml:space="preserve"> geotekniske institutt</w:t>
      </w:r>
    </w:p>
    <w:p w14:paraId="427F881F" w14:textId="77777777" w:rsidR="00FE02EF" w:rsidRPr="00CC19F7" w:rsidRDefault="00881E58" w:rsidP="00CC19F7">
      <w:r w:rsidRPr="00CC19F7">
        <w:t xml:space="preserve">Det blir foreslått </w:t>
      </w:r>
      <w:proofErr w:type="spellStart"/>
      <w:r w:rsidRPr="00CC19F7">
        <w:t>eit</w:t>
      </w:r>
      <w:proofErr w:type="spellEnd"/>
      <w:r w:rsidRPr="00CC19F7">
        <w:t xml:space="preserve"> </w:t>
      </w:r>
      <w:proofErr w:type="spellStart"/>
      <w:r w:rsidRPr="00CC19F7">
        <w:t>tilskot</w:t>
      </w:r>
      <w:proofErr w:type="spellEnd"/>
      <w:r w:rsidRPr="00CC19F7">
        <w:t xml:space="preserve"> på 4 mill. kroner til </w:t>
      </w:r>
      <w:proofErr w:type="spellStart"/>
      <w:r w:rsidRPr="00CC19F7">
        <w:t>Noregs</w:t>
      </w:r>
      <w:proofErr w:type="spellEnd"/>
      <w:r w:rsidRPr="00CC19F7">
        <w:t xml:space="preserve"> geotekniske institutt (NGI) til drift og utvikling av Ryggfonn i Grasdalen (Stryn). Dette er </w:t>
      </w:r>
      <w:proofErr w:type="spellStart"/>
      <w:r w:rsidRPr="00CC19F7">
        <w:t>eit</w:t>
      </w:r>
      <w:proofErr w:type="spellEnd"/>
      <w:r w:rsidRPr="00CC19F7">
        <w:t xml:space="preserve"> fullskala feltlaboratorium og infrastruktur for snøskredforsking. Dette vil bidra til at Ryggfonn blir </w:t>
      </w:r>
      <w:proofErr w:type="spellStart"/>
      <w:r w:rsidRPr="00CC19F7">
        <w:t>oppretthalde</w:t>
      </w:r>
      <w:proofErr w:type="spellEnd"/>
      <w:r w:rsidRPr="00CC19F7">
        <w:t xml:space="preserve"> som nasjonal infrastruktur til bruk i forskingsprosjekt. </w:t>
      </w:r>
      <w:proofErr w:type="spellStart"/>
      <w:r w:rsidRPr="00CC19F7">
        <w:t>Tilskotet</w:t>
      </w:r>
      <w:proofErr w:type="spellEnd"/>
      <w:r w:rsidRPr="00CC19F7">
        <w:t xml:space="preserve"> skal bidra til å styrke fagmiljøet som </w:t>
      </w:r>
      <w:proofErr w:type="spellStart"/>
      <w:r w:rsidRPr="00CC19F7">
        <w:t>ein</w:t>
      </w:r>
      <w:proofErr w:type="spellEnd"/>
      <w:r w:rsidRPr="00CC19F7">
        <w:t xml:space="preserve"> viktig del av den nasjonale forskingskompetansen </w:t>
      </w:r>
      <w:proofErr w:type="spellStart"/>
      <w:r w:rsidRPr="00CC19F7">
        <w:t>innan</w:t>
      </w:r>
      <w:proofErr w:type="spellEnd"/>
      <w:r w:rsidRPr="00CC19F7">
        <w:t xml:space="preserve"> snøskred, slik som forsking på snøskredmodellering, skreddynamikk, sørpeskred, </w:t>
      </w:r>
      <w:proofErr w:type="spellStart"/>
      <w:r w:rsidRPr="00CC19F7">
        <w:t>særleg</w:t>
      </w:r>
      <w:proofErr w:type="spellEnd"/>
      <w:r w:rsidRPr="00CC19F7">
        <w:t xml:space="preserve"> relevante </w:t>
      </w:r>
      <w:proofErr w:type="spellStart"/>
      <w:r w:rsidRPr="00CC19F7">
        <w:t>snøskredhendingar</w:t>
      </w:r>
      <w:proofErr w:type="spellEnd"/>
      <w:r w:rsidRPr="00CC19F7">
        <w:t xml:space="preserve"> mot </w:t>
      </w:r>
      <w:proofErr w:type="spellStart"/>
      <w:r w:rsidRPr="00CC19F7">
        <w:t>bygningar</w:t>
      </w:r>
      <w:proofErr w:type="spellEnd"/>
      <w:r w:rsidRPr="00CC19F7">
        <w:t xml:space="preserve"> og snøskredvarsling.</w:t>
      </w:r>
    </w:p>
    <w:p w14:paraId="3195E381" w14:textId="77777777" w:rsidR="00FE02EF" w:rsidRPr="00CC19F7" w:rsidRDefault="00881E58" w:rsidP="00CC19F7">
      <w:pPr>
        <w:pStyle w:val="avsnitt-undertittel"/>
      </w:pPr>
      <w:r w:rsidRPr="00CC19F7">
        <w:t>Resultat 2022</w:t>
      </w:r>
    </w:p>
    <w:p w14:paraId="5E45A853" w14:textId="77777777" w:rsidR="00FE02EF" w:rsidRPr="00CC19F7" w:rsidRDefault="00881E58" w:rsidP="00CC19F7">
      <w:r w:rsidRPr="00CC19F7">
        <w:t xml:space="preserve">Det blei utbetalt 4 mill. kroner til snøskredforsking ved NGI. </w:t>
      </w:r>
      <w:proofErr w:type="spellStart"/>
      <w:r w:rsidRPr="00CC19F7">
        <w:t>Tilskotet</w:t>
      </w:r>
      <w:proofErr w:type="spellEnd"/>
      <w:r w:rsidRPr="00CC19F7">
        <w:t xml:space="preserve"> er brukt til kartlegging, modellering og sikring mot snøskred og til eksperiment og drift av den nasjonale forskingsinfrastrukturen på testområdet på Strynefjellet. Dette er </w:t>
      </w:r>
      <w:proofErr w:type="spellStart"/>
      <w:r w:rsidRPr="00CC19F7">
        <w:t>eitt</w:t>
      </w:r>
      <w:proofErr w:type="spellEnd"/>
      <w:r w:rsidRPr="00CC19F7">
        <w:t xml:space="preserve"> av </w:t>
      </w:r>
      <w:proofErr w:type="gramStart"/>
      <w:r w:rsidRPr="00CC19F7">
        <w:t>to fullskala</w:t>
      </w:r>
      <w:proofErr w:type="gramEnd"/>
      <w:r w:rsidRPr="00CC19F7">
        <w:t xml:space="preserve"> testområde for snøskred i verda.</w:t>
      </w:r>
    </w:p>
    <w:p w14:paraId="3157578A" w14:textId="77777777" w:rsidR="00FE02EF" w:rsidRPr="00CC19F7" w:rsidRDefault="00881E58" w:rsidP="00CC19F7">
      <w:pPr>
        <w:pStyle w:val="avsnitt-undertittel"/>
      </w:pPr>
      <w:proofErr w:type="spellStart"/>
      <w:r w:rsidRPr="00CC19F7">
        <w:t>Tilskot</w:t>
      </w:r>
      <w:proofErr w:type="spellEnd"/>
      <w:r w:rsidRPr="00CC19F7">
        <w:t xml:space="preserve"> til </w:t>
      </w:r>
      <w:proofErr w:type="spellStart"/>
      <w:r w:rsidRPr="00CC19F7">
        <w:t>flaum</w:t>
      </w:r>
      <w:proofErr w:type="spellEnd"/>
      <w:r w:rsidRPr="00CC19F7">
        <w:t xml:space="preserve">- og </w:t>
      </w:r>
      <w:proofErr w:type="spellStart"/>
      <w:r w:rsidRPr="00CC19F7">
        <w:t>skredførebygging</w:t>
      </w:r>
      <w:proofErr w:type="spellEnd"/>
      <w:r w:rsidRPr="00CC19F7">
        <w:t xml:space="preserve"> og miljøtiltak langs vassdrag</w:t>
      </w:r>
    </w:p>
    <w:p w14:paraId="7EC6055F" w14:textId="77777777" w:rsidR="00FE02EF" w:rsidRPr="00CC19F7" w:rsidRDefault="00881E58" w:rsidP="00CC19F7">
      <w:r w:rsidRPr="00CC19F7">
        <w:t xml:space="preserve">Det blir foreslått å sette av 2 mill. kroner i </w:t>
      </w:r>
      <w:proofErr w:type="spellStart"/>
      <w:r w:rsidRPr="00CC19F7">
        <w:t>tilskot</w:t>
      </w:r>
      <w:proofErr w:type="spellEnd"/>
      <w:r w:rsidRPr="00CC19F7">
        <w:t xml:space="preserve"> til </w:t>
      </w:r>
      <w:proofErr w:type="spellStart"/>
      <w:r w:rsidRPr="00CC19F7">
        <w:t>flaum</w:t>
      </w:r>
      <w:proofErr w:type="spellEnd"/>
      <w:r w:rsidRPr="00CC19F7">
        <w:t xml:space="preserve">- og </w:t>
      </w:r>
      <w:proofErr w:type="spellStart"/>
      <w:r w:rsidRPr="00CC19F7">
        <w:t>skredførebygging</w:t>
      </w:r>
      <w:proofErr w:type="spellEnd"/>
      <w:r w:rsidRPr="00CC19F7">
        <w:t xml:space="preserve"> og til miljøtiltak langs vassdrag.</w:t>
      </w:r>
    </w:p>
    <w:p w14:paraId="0DC90F37" w14:textId="77777777" w:rsidR="00FE02EF" w:rsidRPr="00CC19F7" w:rsidRDefault="00881E58" w:rsidP="00CC19F7">
      <w:pPr>
        <w:pStyle w:val="avsnitt-undertittel"/>
      </w:pPr>
      <w:r w:rsidRPr="00CC19F7">
        <w:t>Mål</w:t>
      </w:r>
    </w:p>
    <w:p w14:paraId="755974A3" w14:textId="77777777" w:rsidR="00FE02EF" w:rsidRPr="00CC19F7" w:rsidRDefault="00881E58" w:rsidP="00CC19F7">
      <w:r w:rsidRPr="00CC19F7">
        <w:t>Ordninga skal bidra til å</w:t>
      </w:r>
    </w:p>
    <w:p w14:paraId="03DC923F" w14:textId="77777777" w:rsidR="00FE02EF" w:rsidRPr="00CC19F7" w:rsidRDefault="00881E58" w:rsidP="00CC19F7">
      <w:pPr>
        <w:pStyle w:val="Liste"/>
      </w:pPr>
      <w:r w:rsidRPr="00CC19F7">
        <w:t xml:space="preserve">redusere faren for tap av menneskeliv og </w:t>
      </w:r>
      <w:proofErr w:type="spellStart"/>
      <w:r w:rsidRPr="00CC19F7">
        <w:t>førebygge</w:t>
      </w:r>
      <w:proofErr w:type="spellEnd"/>
      <w:r w:rsidRPr="00CC19F7">
        <w:t xml:space="preserve"> store </w:t>
      </w:r>
      <w:proofErr w:type="spellStart"/>
      <w:r w:rsidRPr="00CC19F7">
        <w:t>skadar</w:t>
      </w:r>
      <w:proofErr w:type="spellEnd"/>
      <w:r w:rsidRPr="00CC19F7">
        <w:t xml:space="preserve"> på miljø og </w:t>
      </w:r>
      <w:proofErr w:type="spellStart"/>
      <w:r w:rsidRPr="00CC19F7">
        <w:t>eigedom</w:t>
      </w:r>
      <w:proofErr w:type="spellEnd"/>
      <w:r w:rsidRPr="00CC19F7">
        <w:t xml:space="preserve"> som følge av </w:t>
      </w:r>
      <w:proofErr w:type="spellStart"/>
      <w:r w:rsidRPr="00CC19F7">
        <w:t>flaum</w:t>
      </w:r>
      <w:proofErr w:type="spellEnd"/>
      <w:r w:rsidRPr="00CC19F7">
        <w:t xml:space="preserve"> og skred</w:t>
      </w:r>
    </w:p>
    <w:p w14:paraId="3FE32645" w14:textId="77777777" w:rsidR="00FE02EF" w:rsidRPr="00CC19F7" w:rsidRDefault="00881E58" w:rsidP="00CC19F7">
      <w:pPr>
        <w:pStyle w:val="Liste"/>
      </w:pPr>
      <w:r w:rsidRPr="00CC19F7">
        <w:t xml:space="preserve">betre vassdragsmiljøet, ta vare på vassdragsrelaterte kulturmiljø og gjenskape vassdragsdynamikk som har </w:t>
      </w:r>
      <w:proofErr w:type="spellStart"/>
      <w:r w:rsidRPr="00CC19F7">
        <w:t>vore</w:t>
      </w:r>
      <w:proofErr w:type="spellEnd"/>
      <w:r w:rsidRPr="00CC19F7">
        <w:t xml:space="preserve"> forringa av </w:t>
      </w:r>
      <w:proofErr w:type="spellStart"/>
      <w:r w:rsidRPr="00CC19F7">
        <w:t>tidlegare</w:t>
      </w:r>
      <w:proofErr w:type="spellEnd"/>
      <w:r w:rsidRPr="00CC19F7">
        <w:t xml:space="preserve"> tiltak</w:t>
      </w:r>
    </w:p>
    <w:p w14:paraId="0840056E" w14:textId="77777777" w:rsidR="00FE02EF" w:rsidRPr="00CC19F7" w:rsidRDefault="00881E58" w:rsidP="00CC19F7">
      <w:pPr>
        <w:pStyle w:val="avsnitt-undertittel"/>
      </w:pPr>
      <w:r w:rsidRPr="00CC19F7">
        <w:t>Målgruppe, tildelingskriterium og oppfølging</w:t>
      </w:r>
    </w:p>
    <w:p w14:paraId="1B1CF0B4" w14:textId="77777777" w:rsidR="00FE02EF" w:rsidRPr="00CC19F7" w:rsidRDefault="00881E58" w:rsidP="00CC19F7">
      <w:r w:rsidRPr="00CC19F7">
        <w:t xml:space="preserve">Private </w:t>
      </w:r>
      <w:proofErr w:type="spellStart"/>
      <w:r w:rsidRPr="00CC19F7">
        <w:t>eigarar</w:t>
      </w:r>
      <w:proofErr w:type="spellEnd"/>
      <w:r w:rsidRPr="00CC19F7">
        <w:t xml:space="preserve"> av </w:t>
      </w:r>
      <w:proofErr w:type="spellStart"/>
      <w:r w:rsidRPr="00CC19F7">
        <w:t>busetnader</w:t>
      </w:r>
      <w:proofErr w:type="spellEnd"/>
      <w:r w:rsidRPr="00CC19F7">
        <w:t xml:space="preserve">, inkludert </w:t>
      </w:r>
      <w:proofErr w:type="spellStart"/>
      <w:r w:rsidRPr="00CC19F7">
        <w:t>enkeltpersonar</w:t>
      </w:r>
      <w:proofErr w:type="spellEnd"/>
      <w:r w:rsidRPr="00CC19F7">
        <w:t xml:space="preserve">, burettslag og </w:t>
      </w:r>
      <w:proofErr w:type="spellStart"/>
      <w:r w:rsidRPr="00CC19F7">
        <w:t>sameige</w:t>
      </w:r>
      <w:proofErr w:type="spellEnd"/>
      <w:r w:rsidRPr="00CC19F7">
        <w:t xml:space="preserve">, kan søke om </w:t>
      </w:r>
      <w:proofErr w:type="spellStart"/>
      <w:r w:rsidRPr="00CC19F7">
        <w:t>tilskot</w:t>
      </w:r>
      <w:proofErr w:type="spellEnd"/>
      <w:r w:rsidRPr="00CC19F7">
        <w:t xml:space="preserve"> til</w:t>
      </w:r>
    </w:p>
    <w:p w14:paraId="404AF585" w14:textId="77777777" w:rsidR="00FE02EF" w:rsidRPr="00CC19F7" w:rsidRDefault="00881E58" w:rsidP="00CC19F7">
      <w:pPr>
        <w:pStyle w:val="Liste"/>
      </w:pPr>
      <w:r w:rsidRPr="00CC19F7">
        <w:t xml:space="preserve">utgreiing, planlegging, prosjektering og gjennomføring av fysiske tiltak for å redusere faren for </w:t>
      </w:r>
      <w:proofErr w:type="spellStart"/>
      <w:r w:rsidRPr="00CC19F7">
        <w:t>skadar</w:t>
      </w:r>
      <w:proofErr w:type="spellEnd"/>
      <w:r w:rsidRPr="00CC19F7">
        <w:t xml:space="preserve"> </w:t>
      </w:r>
      <w:proofErr w:type="spellStart"/>
      <w:r w:rsidRPr="00CC19F7">
        <w:t>frå</w:t>
      </w:r>
      <w:proofErr w:type="spellEnd"/>
      <w:r w:rsidRPr="00CC19F7">
        <w:t xml:space="preserve"> </w:t>
      </w:r>
      <w:proofErr w:type="spellStart"/>
      <w:r w:rsidRPr="00CC19F7">
        <w:t>flaum</w:t>
      </w:r>
      <w:proofErr w:type="spellEnd"/>
      <w:r w:rsidRPr="00CC19F7">
        <w:t xml:space="preserve"> og skred på </w:t>
      </w:r>
      <w:proofErr w:type="spellStart"/>
      <w:r w:rsidRPr="00CC19F7">
        <w:t>eksisterande</w:t>
      </w:r>
      <w:proofErr w:type="spellEnd"/>
      <w:r w:rsidRPr="00CC19F7">
        <w:t xml:space="preserve"> </w:t>
      </w:r>
      <w:proofErr w:type="spellStart"/>
      <w:r w:rsidRPr="00CC19F7">
        <w:t>busetnad</w:t>
      </w:r>
      <w:proofErr w:type="spellEnd"/>
    </w:p>
    <w:p w14:paraId="16B9B7C6" w14:textId="77777777" w:rsidR="00FE02EF" w:rsidRPr="00CC19F7" w:rsidRDefault="00881E58" w:rsidP="00CC19F7">
      <w:pPr>
        <w:pStyle w:val="Liste"/>
      </w:pPr>
      <w:r w:rsidRPr="00CC19F7">
        <w:t xml:space="preserve">andre </w:t>
      </w:r>
      <w:proofErr w:type="spellStart"/>
      <w:r w:rsidRPr="00CC19F7">
        <w:t>typar</w:t>
      </w:r>
      <w:proofErr w:type="spellEnd"/>
      <w:r w:rsidRPr="00CC19F7">
        <w:t xml:space="preserve"> </w:t>
      </w:r>
      <w:proofErr w:type="spellStart"/>
      <w:r w:rsidRPr="00CC19F7">
        <w:t>risikoreduserande</w:t>
      </w:r>
      <w:proofErr w:type="spellEnd"/>
      <w:r w:rsidRPr="00CC19F7">
        <w:t xml:space="preserve"> tiltak, som </w:t>
      </w:r>
      <w:proofErr w:type="spellStart"/>
      <w:r w:rsidRPr="00CC19F7">
        <w:t>overvaking</w:t>
      </w:r>
      <w:proofErr w:type="spellEnd"/>
      <w:r w:rsidRPr="00CC19F7">
        <w:t xml:space="preserve"> og varsling, der fysiske sikringstiltak </w:t>
      </w:r>
      <w:proofErr w:type="spellStart"/>
      <w:r w:rsidRPr="00CC19F7">
        <w:t>ikkje</w:t>
      </w:r>
      <w:proofErr w:type="spellEnd"/>
      <w:r w:rsidRPr="00CC19F7">
        <w:t xml:space="preserve"> har latt seg gjennomføre av praktiske eller økonomiske årsaker</w:t>
      </w:r>
    </w:p>
    <w:p w14:paraId="6DCBF334" w14:textId="77777777" w:rsidR="00FE02EF" w:rsidRPr="00CC19F7" w:rsidRDefault="00881E58" w:rsidP="00CC19F7">
      <w:proofErr w:type="spellStart"/>
      <w:r w:rsidRPr="00CC19F7">
        <w:t>Organisasjonar</w:t>
      </w:r>
      <w:proofErr w:type="spellEnd"/>
      <w:r w:rsidRPr="00CC19F7">
        <w:t xml:space="preserve"> kan søke om </w:t>
      </w:r>
      <w:proofErr w:type="spellStart"/>
      <w:r w:rsidRPr="00CC19F7">
        <w:t>tilskot</w:t>
      </w:r>
      <w:proofErr w:type="spellEnd"/>
      <w:r w:rsidRPr="00CC19F7">
        <w:t xml:space="preserve"> til</w:t>
      </w:r>
    </w:p>
    <w:p w14:paraId="443E0EA5" w14:textId="77777777" w:rsidR="00FE02EF" w:rsidRPr="00CC19F7" w:rsidRDefault="00881E58" w:rsidP="00CC19F7">
      <w:pPr>
        <w:pStyle w:val="Liste"/>
      </w:pPr>
      <w:r w:rsidRPr="00CC19F7">
        <w:t xml:space="preserve">planlegging og gjennomføring av miljøtiltak i vassdrag for å betre vassdragsmiljøet der det har </w:t>
      </w:r>
      <w:proofErr w:type="spellStart"/>
      <w:r w:rsidRPr="00CC19F7">
        <w:t>vore</w:t>
      </w:r>
      <w:proofErr w:type="spellEnd"/>
      <w:r w:rsidRPr="00CC19F7">
        <w:t xml:space="preserve"> </w:t>
      </w:r>
      <w:proofErr w:type="spellStart"/>
      <w:r w:rsidRPr="00CC19F7">
        <w:t>vesentleg</w:t>
      </w:r>
      <w:proofErr w:type="spellEnd"/>
      <w:r w:rsidRPr="00CC19F7">
        <w:t xml:space="preserve"> forringa av </w:t>
      </w:r>
      <w:proofErr w:type="spellStart"/>
      <w:r w:rsidRPr="00CC19F7">
        <w:t>tidlegare</w:t>
      </w:r>
      <w:proofErr w:type="spellEnd"/>
      <w:r w:rsidRPr="00CC19F7">
        <w:t xml:space="preserve"> tiltak</w:t>
      </w:r>
    </w:p>
    <w:p w14:paraId="1BC4BA6B" w14:textId="77777777" w:rsidR="00FE02EF" w:rsidRPr="00CC19F7" w:rsidRDefault="00881E58" w:rsidP="00CC19F7">
      <w:r w:rsidRPr="00CC19F7">
        <w:t xml:space="preserve">Søknader skal </w:t>
      </w:r>
      <w:proofErr w:type="spellStart"/>
      <w:r w:rsidRPr="00CC19F7">
        <w:t>prioriterast</w:t>
      </w:r>
      <w:proofErr w:type="spellEnd"/>
      <w:r w:rsidRPr="00CC19F7">
        <w:t xml:space="preserve"> etter samfunnsøkonomiske kriterium, slik at samfunnet får mest </w:t>
      </w:r>
      <w:proofErr w:type="spellStart"/>
      <w:r w:rsidRPr="00CC19F7">
        <w:t>mogleg</w:t>
      </w:r>
      <w:proofErr w:type="spellEnd"/>
      <w:r w:rsidRPr="00CC19F7">
        <w:t xml:space="preserve"> igjen i form av redusert risiko for </w:t>
      </w:r>
      <w:proofErr w:type="spellStart"/>
      <w:r w:rsidRPr="00CC19F7">
        <w:t>flaum</w:t>
      </w:r>
      <w:proofErr w:type="spellEnd"/>
      <w:r w:rsidRPr="00CC19F7">
        <w:t xml:space="preserve">- og </w:t>
      </w:r>
      <w:proofErr w:type="spellStart"/>
      <w:r w:rsidRPr="00CC19F7">
        <w:t>skredskadar</w:t>
      </w:r>
      <w:proofErr w:type="spellEnd"/>
      <w:r w:rsidRPr="00CC19F7">
        <w:t xml:space="preserve">. Alle tiltak som staten bidrar til å realisere, skal </w:t>
      </w:r>
      <w:proofErr w:type="spellStart"/>
      <w:r w:rsidRPr="00CC19F7">
        <w:t>vurderast</w:t>
      </w:r>
      <w:proofErr w:type="spellEnd"/>
      <w:r w:rsidRPr="00CC19F7">
        <w:t xml:space="preserve"> samla, med sikte på ei best </w:t>
      </w:r>
      <w:proofErr w:type="spellStart"/>
      <w:r w:rsidRPr="00CC19F7">
        <w:t>mogleg</w:t>
      </w:r>
      <w:proofErr w:type="spellEnd"/>
      <w:r w:rsidRPr="00CC19F7">
        <w:t xml:space="preserve"> nasjonal prioritering </w:t>
      </w:r>
      <w:proofErr w:type="spellStart"/>
      <w:r w:rsidRPr="00CC19F7">
        <w:t>innanfor</w:t>
      </w:r>
      <w:proofErr w:type="spellEnd"/>
      <w:r w:rsidRPr="00CC19F7">
        <w:t xml:space="preserve"> den samla </w:t>
      </w:r>
      <w:proofErr w:type="spellStart"/>
      <w:r w:rsidRPr="00CC19F7">
        <w:t>tilgjengelege</w:t>
      </w:r>
      <w:proofErr w:type="spellEnd"/>
      <w:r w:rsidRPr="00CC19F7">
        <w:t xml:space="preserve"> budsjettramma. Ved vurdering av søknader skal det </w:t>
      </w:r>
      <w:proofErr w:type="spellStart"/>
      <w:r w:rsidRPr="00CC19F7">
        <w:t>leggast</w:t>
      </w:r>
      <w:proofErr w:type="spellEnd"/>
      <w:r w:rsidRPr="00CC19F7">
        <w:t xml:space="preserve"> vekt på om </w:t>
      </w:r>
      <w:proofErr w:type="spellStart"/>
      <w:r w:rsidRPr="00CC19F7">
        <w:t>søkaren</w:t>
      </w:r>
      <w:proofErr w:type="spellEnd"/>
      <w:r w:rsidRPr="00CC19F7">
        <w:t xml:space="preserve"> har gjort det som må </w:t>
      </w:r>
      <w:proofErr w:type="spellStart"/>
      <w:r w:rsidRPr="00CC19F7">
        <w:t>reknast</w:t>
      </w:r>
      <w:proofErr w:type="spellEnd"/>
      <w:r w:rsidRPr="00CC19F7">
        <w:t xml:space="preserve"> som </w:t>
      </w:r>
      <w:proofErr w:type="spellStart"/>
      <w:r w:rsidRPr="00CC19F7">
        <w:t>rimeleg</w:t>
      </w:r>
      <w:proofErr w:type="spellEnd"/>
      <w:r w:rsidRPr="00CC19F7">
        <w:t xml:space="preserve"> for å ta omsyn til </w:t>
      </w:r>
      <w:proofErr w:type="spellStart"/>
      <w:r w:rsidRPr="00CC19F7">
        <w:t>kjende</w:t>
      </w:r>
      <w:proofErr w:type="spellEnd"/>
      <w:r w:rsidRPr="00CC19F7">
        <w:t xml:space="preserve"> </w:t>
      </w:r>
      <w:proofErr w:type="spellStart"/>
      <w:r w:rsidRPr="00CC19F7">
        <w:t>farar</w:t>
      </w:r>
      <w:proofErr w:type="spellEnd"/>
      <w:r w:rsidRPr="00CC19F7">
        <w:t xml:space="preserve"> for </w:t>
      </w:r>
      <w:proofErr w:type="spellStart"/>
      <w:r w:rsidRPr="00CC19F7">
        <w:t>flaum</w:t>
      </w:r>
      <w:proofErr w:type="spellEnd"/>
      <w:r w:rsidRPr="00CC19F7">
        <w:t xml:space="preserve"> og skred, mellom anna plassering og utforming av byggverk, utforming og drenering av byggetomt, uteareal og </w:t>
      </w:r>
      <w:proofErr w:type="spellStart"/>
      <w:r w:rsidRPr="00CC19F7">
        <w:t>liknande</w:t>
      </w:r>
      <w:proofErr w:type="spellEnd"/>
      <w:r w:rsidRPr="00CC19F7">
        <w:t xml:space="preserve">. Dersom det </w:t>
      </w:r>
      <w:proofErr w:type="spellStart"/>
      <w:r w:rsidRPr="00CC19F7">
        <w:t>ikkje</w:t>
      </w:r>
      <w:proofErr w:type="spellEnd"/>
      <w:r w:rsidRPr="00CC19F7">
        <w:t xml:space="preserve"> er tatt </w:t>
      </w:r>
      <w:proofErr w:type="spellStart"/>
      <w:r w:rsidRPr="00CC19F7">
        <w:t>tilstrekkeleg</w:t>
      </w:r>
      <w:proofErr w:type="spellEnd"/>
      <w:r w:rsidRPr="00CC19F7">
        <w:t xml:space="preserve"> omsyn til </w:t>
      </w:r>
      <w:proofErr w:type="spellStart"/>
      <w:r w:rsidRPr="00CC19F7">
        <w:t>kjende</w:t>
      </w:r>
      <w:proofErr w:type="spellEnd"/>
      <w:r w:rsidRPr="00CC19F7">
        <w:t xml:space="preserve"> </w:t>
      </w:r>
      <w:proofErr w:type="spellStart"/>
      <w:r w:rsidRPr="00CC19F7">
        <w:t>farar</w:t>
      </w:r>
      <w:proofErr w:type="spellEnd"/>
      <w:r w:rsidRPr="00CC19F7">
        <w:t xml:space="preserve">, kan søknaden bli avslått eller kravet om eigenandel </w:t>
      </w:r>
      <w:proofErr w:type="spellStart"/>
      <w:r w:rsidRPr="00CC19F7">
        <w:t>aukast</w:t>
      </w:r>
      <w:proofErr w:type="spellEnd"/>
      <w:r w:rsidRPr="00CC19F7">
        <w:t xml:space="preserve">. Det same gjeld dersom </w:t>
      </w:r>
      <w:proofErr w:type="spellStart"/>
      <w:r w:rsidRPr="00CC19F7">
        <w:t>flaum</w:t>
      </w:r>
      <w:proofErr w:type="spellEnd"/>
      <w:r w:rsidRPr="00CC19F7">
        <w:t xml:space="preserve">- og skredfaren er </w:t>
      </w:r>
      <w:proofErr w:type="gramStart"/>
      <w:r w:rsidRPr="00CC19F7">
        <w:t>ei følge</w:t>
      </w:r>
      <w:proofErr w:type="gramEnd"/>
      <w:r w:rsidRPr="00CC19F7">
        <w:t xml:space="preserve"> av inngrep i terrenget eller andre tiltak som </w:t>
      </w:r>
      <w:proofErr w:type="spellStart"/>
      <w:r w:rsidRPr="00CC19F7">
        <w:t>søkaren</w:t>
      </w:r>
      <w:proofErr w:type="spellEnd"/>
      <w:r w:rsidRPr="00CC19F7">
        <w:t xml:space="preserve"> eller </w:t>
      </w:r>
      <w:proofErr w:type="spellStart"/>
      <w:r w:rsidRPr="00CC19F7">
        <w:t>ein</w:t>
      </w:r>
      <w:proofErr w:type="spellEnd"/>
      <w:r w:rsidRPr="00CC19F7">
        <w:t xml:space="preserve"> </w:t>
      </w:r>
      <w:proofErr w:type="spellStart"/>
      <w:r w:rsidRPr="00CC19F7">
        <w:t>annan</w:t>
      </w:r>
      <w:proofErr w:type="spellEnd"/>
      <w:r w:rsidRPr="00CC19F7">
        <w:t xml:space="preserve"> part har ansvaret for.</w:t>
      </w:r>
    </w:p>
    <w:p w14:paraId="6530529E" w14:textId="77777777" w:rsidR="00FE02EF" w:rsidRPr="00CC19F7" w:rsidRDefault="00881E58" w:rsidP="00CC19F7">
      <w:r w:rsidRPr="00CC19F7">
        <w:t xml:space="preserve">NVE er </w:t>
      </w:r>
      <w:proofErr w:type="spellStart"/>
      <w:r w:rsidRPr="00CC19F7">
        <w:t>ansvarleg</w:t>
      </w:r>
      <w:proofErr w:type="spellEnd"/>
      <w:r w:rsidRPr="00CC19F7">
        <w:t xml:space="preserve"> for oppfølging og kontroll av ordninga. Ordninga er </w:t>
      </w:r>
      <w:proofErr w:type="spellStart"/>
      <w:r w:rsidRPr="00CC19F7">
        <w:t>kunngjord</w:t>
      </w:r>
      <w:proofErr w:type="spellEnd"/>
      <w:r w:rsidRPr="00CC19F7">
        <w:t xml:space="preserve"> på nettsidene til NVE.</w:t>
      </w:r>
    </w:p>
    <w:p w14:paraId="09DE56A3" w14:textId="77777777" w:rsidR="00FE02EF" w:rsidRPr="00CC19F7" w:rsidRDefault="00881E58" w:rsidP="00CC19F7">
      <w:pPr>
        <w:pStyle w:val="avsnitt-undertittel"/>
      </w:pPr>
      <w:r w:rsidRPr="00CC19F7">
        <w:t>Resultat 2022</w:t>
      </w:r>
    </w:p>
    <w:p w14:paraId="31AE5986" w14:textId="77777777" w:rsidR="00FE02EF" w:rsidRPr="00CC19F7" w:rsidRDefault="00881E58" w:rsidP="00CC19F7">
      <w:r w:rsidRPr="00CC19F7">
        <w:t xml:space="preserve">Det blei utbetalt om lag 2,2 mill. kroner i </w:t>
      </w:r>
      <w:proofErr w:type="spellStart"/>
      <w:r w:rsidRPr="00CC19F7">
        <w:t>tilskot</w:t>
      </w:r>
      <w:proofErr w:type="spellEnd"/>
      <w:r w:rsidRPr="00CC19F7">
        <w:t xml:space="preserve"> til private til </w:t>
      </w:r>
      <w:proofErr w:type="spellStart"/>
      <w:r w:rsidRPr="00CC19F7">
        <w:t>flaum</w:t>
      </w:r>
      <w:proofErr w:type="spellEnd"/>
      <w:r w:rsidRPr="00CC19F7">
        <w:t xml:space="preserve">- og </w:t>
      </w:r>
      <w:proofErr w:type="spellStart"/>
      <w:r w:rsidRPr="00CC19F7">
        <w:t>skredførebygging</w:t>
      </w:r>
      <w:proofErr w:type="spellEnd"/>
      <w:r w:rsidRPr="00CC19F7">
        <w:t xml:space="preserve">. Det blei også gitt fire </w:t>
      </w:r>
      <w:proofErr w:type="spellStart"/>
      <w:r w:rsidRPr="00CC19F7">
        <w:t>tilsegner</w:t>
      </w:r>
      <w:proofErr w:type="spellEnd"/>
      <w:r w:rsidRPr="00CC19F7">
        <w:t xml:space="preserve"> om </w:t>
      </w:r>
      <w:proofErr w:type="spellStart"/>
      <w:r w:rsidRPr="00CC19F7">
        <w:t>tilskot</w:t>
      </w:r>
      <w:proofErr w:type="spellEnd"/>
      <w:r w:rsidRPr="00CC19F7">
        <w:t xml:space="preserve"> på til </w:t>
      </w:r>
      <w:proofErr w:type="spellStart"/>
      <w:r w:rsidRPr="00CC19F7">
        <w:t>saman</w:t>
      </w:r>
      <w:proofErr w:type="spellEnd"/>
      <w:r w:rsidRPr="00CC19F7">
        <w:t xml:space="preserve"> om lag 5 mill. kroner.</w:t>
      </w:r>
    </w:p>
    <w:p w14:paraId="08AD26E6" w14:textId="77777777" w:rsidR="00FE02EF" w:rsidRPr="00CC19F7" w:rsidRDefault="00881E58" w:rsidP="00CC19F7">
      <w:pPr>
        <w:pStyle w:val="b-post"/>
      </w:pPr>
      <w:r w:rsidRPr="00CC19F7">
        <w:t xml:space="preserve">Post 73 </w:t>
      </w:r>
      <w:proofErr w:type="spellStart"/>
      <w:r w:rsidRPr="00CC19F7">
        <w:t>Tilskot</w:t>
      </w:r>
      <w:proofErr w:type="spellEnd"/>
      <w:r w:rsidRPr="00CC19F7">
        <w:t xml:space="preserve"> til utjamning av overføringstariffar</w:t>
      </w:r>
    </w:p>
    <w:p w14:paraId="75BA0863" w14:textId="77777777" w:rsidR="00FE02EF" w:rsidRPr="00CC19F7" w:rsidRDefault="00881E58" w:rsidP="00CC19F7">
      <w:r w:rsidRPr="00CC19F7">
        <w:t xml:space="preserve">Det blir foreslått ei løyving på 18 mill. kroner i </w:t>
      </w:r>
      <w:proofErr w:type="spellStart"/>
      <w:r w:rsidRPr="00CC19F7">
        <w:t>tilskot</w:t>
      </w:r>
      <w:proofErr w:type="spellEnd"/>
      <w:r w:rsidRPr="00CC19F7">
        <w:t xml:space="preserve"> til utjamning av overføringstariffar. </w:t>
      </w:r>
      <w:proofErr w:type="spellStart"/>
      <w:r w:rsidRPr="00CC19F7">
        <w:t>Tilskotsordninga</w:t>
      </w:r>
      <w:proofErr w:type="spellEnd"/>
      <w:r w:rsidRPr="00CC19F7">
        <w:t xml:space="preserve"> er utforma slik at ho </w:t>
      </w:r>
      <w:proofErr w:type="spellStart"/>
      <w:r w:rsidRPr="00CC19F7">
        <w:t>ikkje</w:t>
      </w:r>
      <w:proofErr w:type="spellEnd"/>
      <w:r w:rsidRPr="00CC19F7">
        <w:t xml:space="preserve"> </w:t>
      </w:r>
      <w:proofErr w:type="spellStart"/>
      <w:r w:rsidRPr="00CC19F7">
        <w:t>fjernar</w:t>
      </w:r>
      <w:proofErr w:type="spellEnd"/>
      <w:r w:rsidRPr="00CC19F7">
        <w:t xml:space="preserve"> insentiva til nettselskapa til å drive effektivt og </w:t>
      </w:r>
      <w:proofErr w:type="spellStart"/>
      <w:r w:rsidRPr="00CC19F7">
        <w:t>halde</w:t>
      </w:r>
      <w:proofErr w:type="spellEnd"/>
      <w:r w:rsidRPr="00CC19F7">
        <w:t xml:space="preserve"> </w:t>
      </w:r>
      <w:proofErr w:type="spellStart"/>
      <w:r w:rsidRPr="00CC19F7">
        <w:t>nettleiga</w:t>
      </w:r>
      <w:proofErr w:type="spellEnd"/>
      <w:r w:rsidRPr="00CC19F7">
        <w:t xml:space="preserve"> på </w:t>
      </w:r>
      <w:proofErr w:type="spellStart"/>
      <w:r w:rsidRPr="00CC19F7">
        <w:t>eit</w:t>
      </w:r>
      <w:proofErr w:type="spellEnd"/>
      <w:r w:rsidRPr="00CC19F7">
        <w:t xml:space="preserve"> lågt nivå.</w:t>
      </w:r>
    </w:p>
    <w:p w14:paraId="7CE0BF10" w14:textId="77777777" w:rsidR="00FE02EF" w:rsidRPr="00CC19F7" w:rsidRDefault="00881E58" w:rsidP="00CC19F7">
      <w:pPr>
        <w:pStyle w:val="avsnitt-tittel"/>
      </w:pPr>
      <w:r w:rsidRPr="00CC19F7">
        <w:t>Mål og målgruppe</w:t>
      </w:r>
    </w:p>
    <w:p w14:paraId="550EC7D1" w14:textId="77777777" w:rsidR="00FE02EF" w:rsidRPr="00CC19F7" w:rsidRDefault="00881E58" w:rsidP="00CC19F7">
      <w:r w:rsidRPr="00CC19F7">
        <w:t xml:space="preserve">Ordninga skal bidra til å redusere </w:t>
      </w:r>
      <w:proofErr w:type="spellStart"/>
      <w:r w:rsidRPr="00CC19F7">
        <w:t>forskjellar</w:t>
      </w:r>
      <w:proofErr w:type="spellEnd"/>
      <w:r w:rsidRPr="00CC19F7">
        <w:t xml:space="preserve"> i </w:t>
      </w:r>
      <w:proofErr w:type="spellStart"/>
      <w:r w:rsidRPr="00CC19F7">
        <w:t>nettleiga</w:t>
      </w:r>
      <w:proofErr w:type="spellEnd"/>
      <w:r w:rsidRPr="00CC19F7">
        <w:t xml:space="preserve"> for </w:t>
      </w:r>
      <w:proofErr w:type="spellStart"/>
      <w:r w:rsidRPr="00CC19F7">
        <w:t>kundar</w:t>
      </w:r>
      <w:proofErr w:type="spellEnd"/>
      <w:r w:rsidRPr="00CC19F7">
        <w:t xml:space="preserve"> i distribusjonsnettet som følge av naturgitte forhold og høge overføringskostnader. Formålet med ordninga er å bidra til </w:t>
      </w:r>
      <w:proofErr w:type="spellStart"/>
      <w:r w:rsidRPr="00CC19F7">
        <w:t>ein</w:t>
      </w:r>
      <w:proofErr w:type="spellEnd"/>
      <w:r w:rsidRPr="00CC19F7">
        <w:t xml:space="preserve"> direkte reduksjon av </w:t>
      </w:r>
      <w:proofErr w:type="spellStart"/>
      <w:r w:rsidRPr="00CC19F7">
        <w:t>nettleiga</w:t>
      </w:r>
      <w:proofErr w:type="spellEnd"/>
      <w:r w:rsidRPr="00CC19F7">
        <w:t xml:space="preserve"> for </w:t>
      </w:r>
      <w:proofErr w:type="spellStart"/>
      <w:r w:rsidRPr="00CC19F7">
        <w:t>sluttbrukarar</w:t>
      </w:r>
      <w:proofErr w:type="spellEnd"/>
      <w:r w:rsidRPr="00CC19F7">
        <w:t xml:space="preserve"> som er knytte til distribusjonsnettet i </w:t>
      </w:r>
      <w:proofErr w:type="spellStart"/>
      <w:r w:rsidRPr="00CC19F7">
        <w:t>dei</w:t>
      </w:r>
      <w:proofErr w:type="spellEnd"/>
      <w:r w:rsidRPr="00CC19F7">
        <w:t xml:space="preserve"> områda av landet som har </w:t>
      </w:r>
      <w:proofErr w:type="spellStart"/>
      <w:r w:rsidRPr="00CC19F7">
        <w:t>dei</w:t>
      </w:r>
      <w:proofErr w:type="spellEnd"/>
      <w:r w:rsidRPr="00CC19F7">
        <w:t xml:space="preserve"> </w:t>
      </w:r>
      <w:proofErr w:type="spellStart"/>
      <w:r w:rsidRPr="00CC19F7">
        <w:t>høgaste</w:t>
      </w:r>
      <w:proofErr w:type="spellEnd"/>
      <w:r w:rsidRPr="00CC19F7">
        <w:t xml:space="preserve"> overføringskostnadene. Alle nettselskap som oppfyller tildelingskriteria, og som har </w:t>
      </w:r>
      <w:proofErr w:type="spellStart"/>
      <w:r w:rsidRPr="00CC19F7">
        <w:t>meir</w:t>
      </w:r>
      <w:proofErr w:type="spellEnd"/>
      <w:r w:rsidRPr="00CC19F7">
        <w:t xml:space="preserve"> enn 300 </w:t>
      </w:r>
      <w:proofErr w:type="spellStart"/>
      <w:r w:rsidRPr="00CC19F7">
        <w:t>kundar</w:t>
      </w:r>
      <w:proofErr w:type="spellEnd"/>
      <w:r w:rsidRPr="00CC19F7">
        <w:t xml:space="preserve"> i lokalt distribusjonsnett, kan få </w:t>
      </w:r>
      <w:proofErr w:type="spellStart"/>
      <w:r w:rsidRPr="00CC19F7">
        <w:t>tilskot</w:t>
      </w:r>
      <w:proofErr w:type="spellEnd"/>
      <w:r w:rsidRPr="00CC19F7">
        <w:t xml:space="preserve">. Det er </w:t>
      </w:r>
      <w:proofErr w:type="spellStart"/>
      <w:r w:rsidRPr="00CC19F7">
        <w:t>ikkje</w:t>
      </w:r>
      <w:proofErr w:type="spellEnd"/>
      <w:r w:rsidRPr="00CC19F7">
        <w:t xml:space="preserve"> krav om søknad.</w:t>
      </w:r>
    </w:p>
    <w:p w14:paraId="33147245" w14:textId="77777777" w:rsidR="00FE02EF" w:rsidRPr="00CC19F7" w:rsidRDefault="00881E58" w:rsidP="00CC19F7">
      <w:pPr>
        <w:pStyle w:val="avsnitt-tittel"/>
      </w:pPr>
      <w:r w:rsidRPr="00CC19F7">
        <w:t>Tildelingskriterium og oppfølging</w:t>
      </w:r>
    </w:p>
    <w:p w14:paraId="327096A3" w14:textId="77777777" w:rsidR="00FE02EF" w:rsidRPr="00CC19F7" w:rsidRDefault="00881E58" w:rsidP="00CC19F7">
      <w:proofErr w:type="spellStart"/>
      <w:r w:rsidRPr="00CC19F7">
        <w:t>Tilskot</w:t>
      </w:r>
      <w:proofErr w:type="spellEnd"/>
      <w:r w:rsidRPr="00CC19F7">
        <w:t xml:space="preserve"> blir gitt til </w:t>
      </w:r>
      <w:proofErr w:type="spellStart"/>
      <w:r w:rsidRPr="00CC19F7">
        <w:t>dei</w:t>
      </w:r>
      <w:proofErr w:type="spellEnd"/>
      <w:r w:rsidRPr="00CC19F7">
        <w:t xml:space="preserve"> nettselskapa med lokalt distribusjonsnett som har </w:t>
      </w:r>
      <w:proofErr w:type="spellStart"/>
      <w:r w:rsidRPr="00CC19F7">
        <w:t>dei</w:t>
      </w:r>
      <w:proofErr w:type="spellEnd"/>
      <w:r w:rsidRPr="00CC19F7">
        <w:t xml:space="preserve"> </w:t>
      </w:r>
      <w:proofErr w:type="spellStart"/>
      <w:r w:rsidRPr="00CC19F7">
        <w:t>høgaste</w:t>
      </w:r>
      <w:proofErr w:type="spellEnd"/>
      <w:r w:rsidRPr="00CC19F7">
        <w:t xml:space="preserve"> </w:t>
      </w:r>
      <w:proofErr w:type="spellStart"/>
      <w:r w:rsidRPr="00CC19F7">
        <w:t>gjennomsnittlege</w:t>
      </w:r>
      <w:proofErr w:type="spellEnd"/>
      <w:r w:rsidRPr="00CC19F7">
        <w:t xml:space="preserve"> overføringskostnadene, gitt elavgift og </w:t>
      </w:r>
      <w:proofErr w:type="spellStart"/>
      <w:r w:rsidRPr="00CC19F7">
        <w:t>meirverdiavgift</w:t>
      </w:r>
      <w:proofErr w:type="spellEnd"/>
      <w:r w:rsidRPr="00CC19F7">
        <w:t xml:space="preserve">, og har til formål å redusere overføringstariffane til selskapa. Det blir også gjort </w:t>
      </w:r>
      <w:proofErr w:type="spellStart"/>
      <w:r w:rsidRPr="00CC19F7">
        <w:t>justeringar</w:t>
      </w:r>
      <w:proofErr w:type="spellEnd"/>
      <w:r w:rsidRPr="00CC19F7">
        <w:t xml:space="preserve"> slik at nettselskap med mange </w:t>
      </w:r>
      <w:proofErr w:type="spellStart"/>
      <w:r w:rsidRPr="00CC19F7">
        <w:t>næringskundar</w:t>
      </w:r>
      <w:proofErr w:type="spellEnd"/>
      <w:r w:rsidRPr="00CC19F7">
        <w:t xml:space="preserve"> </w:t>
      </w:r>
      <w:proofErr w:type="spellStart"/>
      <w:r w:rsidRPr="00CC19F7">
        <w:t>ikkje</w:t>
      </w:r>
      <w:proofErr w:type="spellEnd"/>
      <w:r w:rsidRPr="00CC19F7">
        <w:t xml:space="preserve"> kjem </w:t>
      </w:r>
      <w:proofErr w:type="spellStart"/>
      <w:r w:rsidRPr="00CC19F7">
        <w:t>dårleg</w:t>
      </w:r>
      <w:proofErr w:type="spellEnd"/>
      <w:r w:rsidRPr="00CC19F7">
        <w:t xml:space="preserve"> ut på grunn av avgiftsfritaka til </w:t>
      </w:r>
      <w:proofErr w:type="spellStart"/>
      <w:r w:rsidRPr="00CC19F7">
        <w:t>næringskundar</w:t>
      </w:r>
      <w:proofErr w:type="spellEnd"/>
      <w:r w:rsidRPr="00CC19F7">
        <w:t>.</w:t>
      </w:r>
    </w:p>
    <w:p w14:paraId="244FAF54" w14:textId="77777777" w:rsidR="00FE02EF" w:rsidRPr="00CC19F7" w:rsidRDefault="00881E58" w:rsidP="00CC19F7">
      <w:proofErr w:type="spellStart"/>
      <w:r w:rsidRPr="00CC19F7">
        <w:t>Tilskota</w:t>
      </w:r>
      <w:proofErr w:type="spellEnd"/>
      <w:r w:rsidRPr="00CC19F7">
        <w:t xml:space="preserve"> skal </w:t>
      </w:r>
      <w:proofErr w:type="spellStart"/>
      <w:r w:rsidRPr="00CC19F7">
        <w:t>reknast</w:t>
      </w:r>
      <w:proofErr w:type="spellEnd"/>
      <w:r w:rsidRPr="00CC19F7">
        <w:t xml:space="preserve"> ut på grunnlag av den </w:t>
      </w:r>
      <w:proofErr w:type="spellStart"/>
      <w:r w:rsidRPr="00CC19F7">
        <w:t>årlege</w:t>
      </w:r>
      <w:proofErr w:type="spellEnd"/>
      <w:r w:rsidRPr="00CC19F7">
        <w:t xml:space="preserve"> økonomiske og tekniske rapporteringa (</w:t>
      </w:r>
      <w:proofErr w:type="spellStart"/>
      <w:r w:rsidRPr="00CC19F7">
        <w:t>eRapp</w:t>
      </w:r>
      <w:proofErr w:type="spellEnd"/>
      <w:r w:rsidRPr="00CC19F7">
        <w:t xml:space="preserve">) </w:t>
      </w:r>
      <w:proofErr w:type="spellStart"/>
      <w:r w:rsidRPr="00CC19F7">
        <w:t>frå</w:t>
      </w:r>
      <w:proofErr w:type="spellEnd"/>
      <w:r w:rsidRPr="00CC19F7">
        <w:t xml:space="preserve"> nettselskapa til RME og </w:t>
      </w:r>
      <w:proofErr w:type="spellStart"/>
      <w:r w:rsidRPr="00CC19F7">
        <w:t>dei</w:t>
      </w:r>
      <w:proofErr w:type="spellEnd"/>
      <w:r w:rsidRPr="00CC19F7">
        <w:t xml:space="preserve"> fastsette </w:t>
      </w:r>
      <w:proofErr w:type="spellStart"/>
      <w:r w:rsidRPr="00CC19F7">
        <w:t>satsane</w:t>
      </w:r>
      <w:proofErr w:type="spellEnd"/>
      <w:r w:rsidRPr="00CC19F7">
        <w:t xml:space="preserve"> for elavgift og </w:t>
      </w:r>
      <w:proofErr w:type="spellStart"/>
      <w:r w:rsidRPr="00CC19F7">
        <w:t>meirverdiavgift</w:t>
      </w:r>
      <w:proofErr w:type="spellEnd"/>
      <w:r w:rsidRPr="00CC19F7">
        <w:t xml:space="preserve"> i tildelingsåret. </w:t>
      </w:r>
      <w:proofErr w:type="spellStart"/>
      <w:r w:rsidRPr="00CC19F7">
        <w:t>Frå</w:t>
      </w:r>
      <w:proofErr w:type="spellEnd"/>
      <w:r w:rsidRPr="00CC19F7">
        <w:t xml:space="preserve"> </w:t>
      </w:r>
      <w:proofErr w:type="spellStart"/>
      <w:r w:rsidRPr="00CC19F7">
        <w:t>eRapp</w:t>
      </w:r>
      <w:proofErr w:type="spellEnd"/>
      <w:r w:rsidRPr="00CC19F7">
        <w:t xml:space="preserve"> blir data </w:t>
      </w:r>
      <w:proofErr w:type="spellStart"/>
      <w:r w:rsidRPr="00CC19F7">
        <w:t>frå</w:t>
      </w:r>
      <w:proofErr w:type="spellEnd"/>
      <w:r w:rsidRPr="00CC19F7">
        <w:t xml:space="preserve"> </w:t>
      </w:r>
      <w:proofErr w:type="spellStart"/>
      <w:r w:rsidRPr="00CC19F7">
        <w:t>rekneskapsåret</w:t>
      </w:r>
      <w:proofErr w:type="spellEnd"/>
      <w:r w:rsidRPr="00CC19F7">
        <w:t xml:space="preserve"> to år før tildelingsåret nytta.</w:t>
      </w:r>
    </w:p>
    <w:p w14:paraId="2005E144" w14:textId="77777777" w:rsidR="00FE02EF" w:rsidRPr="00CC19F7" w:rsidRDefault="00881E58" w:rsidP="00CC19F7">
      <w:r w:rsidRPr="00CC19F7">
        <w:t xml:space="preserve">Det blir fastsett </w:t>
      </w:r>
      <w:proofErr w:type="spellStart"/>
      <w:r w:rsidRPr="00CC19F7">
        <w:t>ein</w:t>
      </w:r>
      <w:proofErr w:type="spellEnd"/>
      <w:r w:rsidRPr="00CC19F7">
        <w:t xml:space="preserve"> terskelverdi for </w:t>
      </w:r>
      <w:proofErr w:type="spellStart"/>
      <w:r w:rsidRPr="00CC19F7">
        <w:t>gjennomsnittlege</w:t>
      </w:r>
      <w:proofErr w:type="spellEnd"/>
      <w:r w:rsidRPr="00CC19F7">
        <w:t xml:space="preserve"> nettkostnader, </w:t>
      </w:r>
      <w:proofErr w:type="spellStart"/>
      <w:r w:rsidRPr="00CC19F7">
        <w:t>rekna</w:t>
      </w:r>
      <w:proofErr w:type="spellEnd"/>
      <w:r w:rsidRPr="00CC19F7">
        <w:t xml:space="preserve"> ut </w:t>
      </w:r>
      <w:proofErr w:type="spellStart"/>
      <w:r w:rsidRPr="00CC19F7">
        <w:t>frå</w:t>
      </w:r>
      <w:proofErr w:type="spellEnd"/>
      <w:r w:rsidRPr="00CC19F7">
        <w:t xml:space="preserve"> størrelsen på den </w:t>
      </w:r>
      <w:proofErr w:type="spellStart"/>
      <w:r w:rsidRPr="00CC19F7">
        <w:t>årlege</w:t>
      </w:r>
      <w:proofErr w:type="spellEnd"/>
      <w:r w:rsidRPr="00CC19F7">
        <w:t xml:space="preserve"> løyvinga. Kvart distribusjonsselskap som er omfatta av ordninga, mottar tre </w:t>
      </w:r>
      <w:proofErr w:type="spellStart"/>
      <w:r w:rsidRPr="00CC19F7">
        <w:t>firedelar</w:t>
      </w:r>
      <w:proofErr w:type="spellEnd"/>
      <w:r w:rsidRPr="00CC19F7">
        <w:t xml:space="preserve"> av differansen mellom terskelverdien og den </w:t>
      </w:r>
      <w:proofErr w:type="spellStart"/>
      <w:r w:rsidRPr="00CC19F7">
        <w:t>gjennomsnittlege</w:t>
      </w:r>
      <w:proofErr w:type="spellEnd"/>
      <w:r w:rsidRPr="00CC19F7">
        <w:t xml:space="preserve"> nettkostnaden i selskapet. Distribusjonsselskap der støtta blir mindre enn 1 øre per kWh, er </w:t>
      </w:r>
      <w:proofErr w:type="spellStart"/>
      <w:r w:rsidRPr="00CC19F7">
        <w:t>ikkje</w:t>
      </w:r>
      <w:proofErr w:type="spellEnd"/>
      <w:r w:rsidRPr="00CC19F7">
        <w:t xml:space="preserve"> omfatta av ordninga. </w:t>
      </w:r>
      <w:proofErr w:type="spellStart"/>
      <w:r w:rsidRPr="00CC19F7">
        <w:t>Tilskotet</w:t>
      </w:r>
      <w:proofErr w:type="spellEnd"/>
      <w:r w:rsidRPr="00CC19F7">
        <w:t xml:space="preserve"> blir </w:t>
      </w:r>
      <w:proofErr w:type="spellStart"/>
      <w:r w:rsidRPr="00CC19F7">
        <w:t>rekna</w:t>
      </w:r>
      <w:proofErr w:type="spellEnd"/>
      <w:r w:rsidRPr="00CC19F7">
        <w:t xml:space="preserve"> ut basert på siste </w:t>
      </w:r>
      <w:proofErr w:type="spellStart"/>
      <w:r w:rsidRPr="00CC19F7">
        <w:t>tilgjengelege</w:t>
      </w:r>
      <w:proofErr w:type="spellEnd"/>
      <w:r w:rsidRPr="00CC19F7">
        <w:t xml:space="preserve"> økonomiske og tekniske rapportering til RME, som er to år før </w:t>
      </w:r>
      <w:proofErr w:type="spellStart"/>
      <w:r w:rsidRPr="00CC19F7">
        <w:t>tilskotet</w:t>
      </w:r>
      <w:proofErr w:type="spellEnd"/>
      <w:r w:rsidRPr="00CC19F7">
        <w:t xml:space="preserve"> blir gitt.</w:t>
      </w:r>
    </w:p>
    <w:p w14:paraId="1C9FA694" w14:textId="77777777" w:rsidR="00FE02EF" w:rsidRPr="00CC19F7" w:rsidRDefault="00881E58" w:rsidP="00CC19F7">
      <w:proofErr w:type="spellStart"/>
      <w:r w:rsidRPr="00CC19F7">
        <w:t>Tilskotet</w:t>
      </w:r>
      <w:proofErr w:type="spellEnd"/>
      <w:r w:rsidRPr="00CC19F7">
        <w:t xml:space="preserve"> blir </w:t>
      </w:r>
      <w:proofErr w:type="spellStart"/>
      <w:r w:rsidRPr="00CC19F7">
        <w:t>trekt</w:t>
      </w:r>
      <w:proofErr w:type="spellEnd"/>
      <w:r w:rsidRPr="00CC19F7">
        <w:t xml:space="preserve"> </w:t>
      </w:r>
      <w:proofErr w:type="spellStart"/>
      <w:r w:rsidRPr="00CC19F7">
        <w:t>frå</w:t>
      </w:r>
      <w:proofErr w:type="spellEnd"/>
      <w:r w:rsidRPr="00CC19F7">
        <w:t xml:space="preserve"> det som er den </w:t>
      </w:r>
      <w:proofErr w:type="spellStart"/>
      <w:r w:rsidRPr="00CC19F7">
        <w:t>tillatne</w:t>
      </w:r>
      <w:proofErr w:type="spellEnd"/>
      <w:r w:rsidRPr="00CC19F7">
        <w:t xml:space="preserve"> inntekta for selskapet før </w:t>
      </w:r>
      <w:proofErr w:type="spellStart"/>
      <w:r w:rsidRPr="00CC19F7">
        <w:t>nettleiga</w:t>
      </w:r>
      <w:proofErr w:type="spellEnd"/>
      <w:r w:rsidRPr="00CC19F7">
        <w:t xml:space="preserve"> blir </w:t>
      </w:r>
      <w:proofErr w:type="spellStart"/>
      <w:r w:rsidRPr="00CC19F7">
        <w:t>rekna</w:t>
      </w:r>
      <w:proofErr w:type="spellEnd"/>
      <w:r w:rsidRPr="00CC19F7">
        <w:t xml:space="preserve"> ut, og bidrar slik til </w:t>
      </w:r>
      <w:proofErr w:type="spellStart"/>
      <w:r w:rsidRPr="00CC19F7">
        <w:t>ein</w:t>
      </w:r>
      <w:proofErr w:type="spellEnd"/>
      <w:r w:rsidRPr="00CC19F7">
        <w:t xml:space="preserve"> reduksjon i </w:t>
      </w:r>
      <w:proofErr w:type="spellStart"/>
      <w:r w:rsidRPr="00CC19F7">
        <w:t>nettleiga</w:t>
      </w:r>
      <w:proofErr w:type="spellEnd"/>
      <w:r w:rsidRPr="00CC19F7">
        <w:t xml:space="preserve"> for </w:t>
      </w:r>
      <w:proofErr w:type="spellStart"/>
      <w:r w:rsidRPr="00CC19F7">
        <w:t>forbrukarane</w:t>
      </w:r>
      <w:proofErr w:type="spellEnd"/>
      <w:r w:rsidRPr="00CC19F7">
        <w:t xml:space="preserve">. Ved oppkjøp eller </w:t>
      </w:r>
      <w:proofErr w:type="spellStart"/>
      <w:r w:rsidRPr="00CC19F7">
        <w:t>fusjonar</w:t>
      </w:r>
      <w:proofErr w:type="spellEnd"/>
      <w:r w:rsidRPr="00CC19F7">
        <w:t xml:space="preserve"> som er gjennomførte før 1. januar 2024, skal data </w:t>
      </w:r>
      <w:proofErr w:type="spellStart"/>
      <w:r w:rsidRPr="00CC19F7">
        <w:t>frå</w:t>
      </w:r>
      <w:proofErr w:type="spellEnd"/>
      <w:r w:rsidRPr="00CC19F7">
        <w:t xml:space="preserve"> det oppkjøpte/innfusjonerte selskapet </w:t>
      </w:r>
      <w:proofErr w:type="spellStart"/>
      <w:r w:rsidRPr="00CC19F7">
        <w:t>takast</w:t>
      </w:r>
      <w:proofErr w:type="spellEnd"/>
      <w:r w:rsidRPr="00CC19F7">
        <w:t xml:space="preserve"> ut av </w:t>
      </w:r>
      <w:proofErr w:type="spellStart"/>
      <w:r w:rsidRPr="00CC19F7">
        <w:t>berekningsgrunnlaget</w:t>
      </w:r>
      <w:proofErr w:type="spellEnd"/>
      <w:r w:rsidRPr="00CC19F7">
        <w:t xml:space="preserve"> for fordeling av </w:t>
      </w:r>
      <w:proofErr w:type="spellStart"/>
      <w:r w:rsidRPr="00CC19F7">
        <w:t>tilskota</w:t>
      </w:r>
      <w:proofErr w:type="spellEnd"/>
      <w:r w:rsidRPr="00CC19F7">
        <w:t>.</w:t>
      </w:r>
    </w:p>
    <w:p w14:paraId="33C62A13" w14:textId="77777777" w:rsidR="00FE02EF" w:rsidRPr="00CC19F7" w:rsidRDefault="00881E58" w:rsidP="00CC19F7">
      <w:r w:rsidRPr="00CC19F7">
        <w:t xml:space="preserve">Ved oppkjøp eller </w:t>
      </w:r>
      <w:proofErr w:type="spellStart"/>
      <w:r w:rsidRPr="00CC19F7">
        <w:t>fusjonar</w:t>
      </w:r>
      <w:proofErr w:type="spellEnd"/>
      <w:r w:rsidRPr="00CC19F7">
        <w:t xml:space="preserve"> som er gjennomførte 1. januar 2024 eller </w:t>
      </w:r>
      <w:proofErr w:type="spellStart"/>
      <w:r w:rsidRPr="00CC19F7">
        <w:t>seinare</w:t>
      </w:r>
      <w:proofErr w:type="spellEnd"/>
      <w:r w:rsidRPr="00CC19F7">
        <w:t xml:space="preserve">, skal det berekna </w:t>
      </w:r>
      <w:proofErr w:type="spellStart"/>
      <w:r w:rsidRPr="00CC19F7">
        <w:t>tilskotet</w:t>
      </w:r>
      <w:proofErr w:type="spellEnd"/>
      <w:r w:rsidRPr="00CC19F7">
        <w:t xml:space="preserve"> gå til det selskapet som har overtatt </w:t>
      </w:r>
      <w:proofErr w:type="spellStart"/>
      <w:r w:rsidRPr="00CC19F7">
        <w:t>kundane</w:t>
      </w:r>
      <w:proofErr w:type="spellEnd"/>
      <w:r w:rsidRPr="00CC19F7">
        <w:t xml:space="preserve"> til selskapet som hadde rett på </w:t>
      </w:r>
      <w:proofErr w:type="spellStart"/>
      <w:r w:rsidRPr="00CC19F7">
        <w:t>tilskotet</w:t>
      </w:r>
      <w:proofErr w:type="spellEnd"/>
      <w:r w:rsidRPr="00CC19F7">
        <w:t xml:space="preserve">. Det berekna </w:t>
      </w:r>
      <w:proofErr w:type="spellStart"/>
      <w:r w:rsidRPr="00CC19F7">
        <w:t>tilskotet</w:t>
      </w:r>
      <w:proofErr w:type="spellEnd"/>
      <w:r w:rsidRPr="00CC19F7">
        <w:t xml:space="preserve"> kan bli utbetalt i inntil to år når det er samsvar mellom datagrunnlaget som blir brukt til </w:t>
      </w:r>
      <w:proofErr w:type="spellStart"/>
      <w:r w:rsidRPr="00CC19F7">
        <w:t>berekning</w:t>
      </w:r>
      <w:proofErr w:type="spellEnd"/>
      <w:r w:rsidRPr="00CC19F7">
        <w:t xml:space="preserve"> av </w:t>
      </w:r>
      <w:proofErr w:type="spellStart"/>
      <w:r w:rsidRPr="00CC19F7">
        <w:t>tilskotet</w:t>
      </w:r>
      <w:proofErr w:type="spellEnd"/>
      <w:r w:rsidRPr="00CC19F7">
        <w:t>, og den nye selskapsstrukturen.</w:t>
      </w:r>
    </w:p>
    <w:p w14:paraId="5448D81E" w14:textId="77777777" w:rsidR="00FE02EF" w:rsidRPr="00CC19F7" w:rsidRDefault="00881E58" w:rsidP="00CC19F7">
      <w:r w:rsidRPr="00CC19F7">
        <w:t xml:space="preserve">RME er </w:t>
      </w:r>
      <w:proofErr w:type="spellStart"/>
      <w:r w:rsidRPr="00CC19F7">
        <w:t>ansvarleg</w:t>
      </w:r>
      <w:proofErr w:type="spellEnd"/>
      <w:r w:rsidRPr="00CC19F7">
        <w:t xml:space="preserve"> for tildeling av </w:t>
      </w:r>
      <w:proofErr w:type="spellStart"/>
      <w:r w:rsidRPr="00CC19F7">
        <w:t>midlane</w:t>
      </w:r>
      <w:proofErr w:type="spellEnd"/>
      <w:r w:rsidRPr="00CC19F7">
        <w:t xml:space="preserve"> til det enkelte distribusjonsselskapet og for oppfølging av ordninga. </w:t>
      </w:r>
      <w:proofErr w:type="spellStart"/>
      <w:r w:rsidRPr="00CC19F7">
        <w:t>Utjamningsmidlane</w:t>
      </w:r>
      <w:proofErr w:type="spellEnd"/>
      <w:r w:rsidRPr="00CC19F7">
        <w:t xml:space="preserve"> blir administrerte lokalt av distribusjonsselskapa gjennom fastsettinga av </w:t>
      </w:r>
      <w:proofErr w:type="spellStart"/>
      <w:r w:rsidRPr="00CC19F7">
        <w:t>nettleiga</w:t>
      </w:r>
      <w:proofErr w:type="spellEnd"/>
      <w:r w:rsidRPr="00CC19F7">
        <w:t>.</w:t>
      </w:r>
    </w:p>
    <w:p w14:paraId="0997E01A" w14:textId="77777777" w:rsidR="00FE02EF" w:rsidRPr="00CC19F7" w:rsidRDefault="00881E58" w:rsidP="00CC19F7">
      <w:pPr>
        <w:pStyle w:val="avsnitt-undertittel"/>
      </w:pPr>
      <w:r w:rsidRPr="00CC19F7">
        <w:t>Resultat 2022</w:t>
      </w:r>
    </w:p>
    <w:p w14:paraId="227CF9D3" w14:textId="77777777" w:rsidR="00FE02EF" w:rsidRPr="00CC19F7" w:rsidRDefault="00881E58" w:rsidP="00CC19F7">
      <w:r w:rsidRPr="00CC19F7">
        <w:t xml:space="preserve">Det blei utbetalt 20 mill. kroner i </w:t>
      </w:r>
      <w:proofErr w:type="spellStart"/>
      <w:r w:rsidRPr="00CC19F7">
        <w:t>tilskot</w:t>
      </w:r>
      <w:proofErr w:type="spellEnd"/>
      <w:r w:rsidRPr="00CC19F7">
        <w:t xml:space="preserve"> til utjamning av overføringstariffar i 2022, fordelt på fem av totalt 84 nettselskap med lokalt distribusjonsnett i </w:t>
      </w:r>
      <w:proofErr w:type="spellStart"/>
      <w:r w:rsidRPr="00CC19F7">
        <w:t>Noreg</w:t>
      </w:r>
      <w:proofErr w:type="spellEnd"/>
      <w:r w:rsidRPr="00CC19F7">
        <w:t xml:space="preserve"> per utgangen av 2022:</w:t>
      </w:r>
    </w:p>
    <w:p w14:paraId="2F88C5DB" w14:textId="77777777" w:rsidR="00FE02EF" w:rsidRPr="00CC19F7" w:rsidRDefault="00881E58" w:rsidP="00CC19F7">
      <w:pPr>
        <w:pStyle w:val="Liste"/>
      </w:pPr>
      <w:r w:rsidRPr="00CC19F7">
        <w:t xml:space="preserve">Innlandet: </w:t>
      </w:r>
      <w:proofErr w:type="gramStart"/>
      <w:r w:rsidRPr="00CC19F7">
        <w:t>Sør Aurdal</w:t>
      </w:r>
      <w:proofErr w:type="gramEnd"/>
      <w:r w:rsidRPr="00CC19F7">
        <w:t xml:space="preserve"> Energi AS og Vang Energiverk KF</w:t>
      </w:r>
    </w:p>
    <w:p w14:paraId="2D1B30DC" w14:textId="77777777" w:rsidR="00FE02EF" w:rsidRPr="00CC19F7" w:rsidRDefault="00881E58" w:rsidP="00CC19F7">
      <w:pPr>
        <w:pStyle w:val="Liste"/>
      </w:pPr>
      <w:r w:rsidRPr="00CC19F7">
        <w:t>Møre og Romsdal: Sandøy Energi AS</w:t>
      </w:r>
    </w:p>
    <w:p w14:paraId="072E3AA6" w14:textId="77777777" w:rsidR="00FE02EF" w:rsidRPr="00CC19F7" w:rsidRDefault="00881E58" w:rsidP="00CC19F7">
      <w:pPr>
        <w:pStyle w:val="Liste"/>
      </w:pPr>
      <w:r w:rsidRPr="00CC19F7">
        <w:t>Vestfold og Telemark: DE Nett AS</w:t>
      </w:r>
    </w:p>
    <w:p w14:paraId="138C93CD" w14:textId="77777777" w:rsidR="00FE02EF" w:rsidRPr="00CC19F7" w:rsidRDefault="00881E58" w:rsidP="00CC19F7">
      <w:pPr>
        <w:pStyle w:val="Liste"/>
      </w:pPr>
      <w:proofErr w:type="spellStart"/>
      <w:r w:rsidRPr="00CC19F7">
        <w:t>Vestland</w:t>
      </w:r>
      <w:proofErr w:type="spellEnd"/>
      <w:r w:rsidRPr="00CC19F7">
        <w:t>: Indre Hordaland Kraftnett AS</w:t>
      </w:r>
    </w:p>
    <w:p w14:paraId="130EDA5F" w14:textId="77777777" w:rsidR="00FE02EF" w:rsidRPr="00CC19F7" w:rsidRDefault="00881E58" w:rsidP="00CC19F7">
      <w:r w:rsidRPr="00CC19F7">
        <w:t xml:space="preserve">Ordninga bidrog til at 17 480 </w:t>
      </w:r>
      <w:proofErr w:type="spellStart"/>
      <w:r w:rsidRPr="00CC19F7">
        <w:t>kundar</w:t>
      </w:r>
      <w:proofErr w:type="spellEnd"/>
      <w:r w:rsidRPr="00CC19F7">
        <w:t xml:space="preserve"> </w:t>
      </w:r>
      <w:proofErr w:type="spellStart"/>
      <w:r w:rsidRPr="00CC19F7">
        <w:t>fekk</w:t>
      </w:r>
      <w:proofErr w:type="spellEnd"/>
      <w:r w:rsidRPr="00CC19F7">
        <w:t xml:space="preserve"> redusert </w:t>
      </w:r>
      <w:proofErr w:type="spellStart"/>
      <w:r w:rsidRPr="00CC19F7">
        <w:t>nettleiga</w:t>
      </w:r>
      <w:proofErr w:type="spellEnd"/>
      <w:r w:rsidRPr="00CC19F7">
        <w:t xml:space="preserve"> med mellom 3,10 og 25,63 øre/kWh i 2022. Den </w:t>
      </w:r>
      <w:proofErr w:type="spellStart"/>
      <w:r w:rsidRPr="00CC19F7">
        <w:t>høgaste</w:t>
      </w:r>
      <w:proofErr w:type="spellEnd"/>
      <w:r w:rsidRPr="00CC19F7">
        <w:t xml:space="preserve"> nettkostnaden som </w:t>
      </w:r>
      <w:proofErr w:type="spellStart"/>
      <w:r w:rsidRPr="00CC19F7">
        <w:t>ikkje</w:t>
      </w:r>
      <w:proofErr w:type="spellEnd"/>
      <w:r w:rsidRPr="00CC19F7">
        <w:t xml:space="preserve"> førte til </w:t>
      </w:r>
      <w:proofErr w:type="spellStart"/>
      <w:r w:rsidRPr="00CC19F7">
        <w:t>tilskot</w:t>
      </w:r>
      <w:proofErr w:type="spellEnd"/>
      <w:r w:rsidRPr="00CC19F7">
        <w:t>, var 70,65 øre/kWh.</w:t>
      </w:r>
    </w:p>
    <w:p w14:paraId="3BDC1926" w14:textId="77777777" w:rsidR="00FE02EF" w:rsidRPr="00CC19F7" w:rsidRDefault="00881E58" w:rsidP="00CC19F7">
      <w:pPr>
        <w:pStyle w:val="b-post"/>
      </w:pPr>
      <w:r w:rsidRPr="00CC19F7">
        <w:t xml:space="preserve">Post 74 </w:t>
      </w:r>
      <w:proofErr w:type="spellStart"/>
      <w:r w:rsidRPr="00CC19F7">
        <w:t>Tilskot</w:t>
      </w:r>
      <w:proofErr w:type="spellEnd"/>
      <w:r w:rsidRPr="00CC19F7">
        <w:t xml:space="preserve"> til museums- og kulturminnetiltak, kan </w:t>
      </w:r>
      <w:proofErr w:type="spellStart"/>
      <w:r w:rsidRPr="00CC19F7">
        <w:t>overførast</w:t>
      </w:r>
      <w:proofErr w:type="spellEnd"/>
    </w:p>
    <w:p w14:paraId="05BD87D9" w14:textId="77777777" w:rsidR="00FE02EF" w:rsidRPr="00CC19F7" w:rsidRDefault="00881E58" w:rsidP="00CC19F7">
      <w:r w:rsidRPr="00CC19F7">
        <w:t xml:space="preserve">Det blir foreslått ei løyving på 7,1 mill. kroner i </w:t>
      </w:r>
      <w:proofErr w:type="spellStart"/>
      <w:r w:rsidRPr="00CC19F7">
        <w:t>tilskot</w:t>
      </w:r>
      <w:proofErr w:type="spellEnd"/>
      <w:r w:rsidRPr="00CC19F7">
        <w:t xml:space="preserve"> til museums- og kulturminnetiltak.</w:t>
      </w:r>
    </w:p>
    <w:p w14:paraId="5311366B" w14:textId="77777777" w:rsidR="00FE02EF" w:rsidRPr="00CC19F7" w:rsidRDefault="00881E58" w:rsidP="00CC19F7">
      <w:pPr>
        <w:pStyle w:val="avsnitt-tittel"/>
      </w:pPr>
      <w:r w:rsidRPr="00CC19F7">
        <w:t>Telemarkskanalen</w:t>
      </w:r>
    </w:p>
    <w:p w14:paraId="5661959D" w14:textId="77777777" w:rsidR="00FE02EF" w:rsidRPr="00CC19F7" w:rsidRDefault="00881E58" w:rsidP="00CC19F7">
      <w:r w:rsidRPr="00CC19F7">
        <w:t xml:space="preserve">Det blir foreslått </w:t>
      </w:r>
      <w:proofErr w:type="spellStart"/>
      <w:r w:rsidRPr="00CC19F7">
        <w:t>eit</w:t>
      </w:r>
      <w:proofErr w:type="spellEnd"/>
      <w:r w:rsidRPr="00CC19F7">
        <w:t xml:space="preserve"> </w:t>
      </w:r>
      <w:proofErr w:type="spellStart"/>
      <w:r w:rsidRPr="00CC19F7">
        <w:t>tilskot</w:t>
      </w:r>
      <w:proofErr w:type="spellEnd"/>
      <w:r w:rsidRPr="00CC19F7">
        <w:t xml:space="preserve"> på 3 mill. kroner til Telemarkskanalen til rehabilitering og </w:t>
      </w:r>
      <w:proofErr w:type="spellStart"/>
      <w:r w:rsidRPr="00CC19F7">
        <w:t>vedlikehald</w:t>
      </w:r>
      <w:proofErr w:type="spellEnd"/>
      <w:r w:rsidRPr="00CC19F7">
        <w:t xml:space="preserve"> av </w:t>
      </w:r>
      <w:proofErr w:type="spellStart"/>
      <w:r w:rsidRPr="00CC19F7">
        <w:t>dei</w:t>
      </w:r>
      <w:proofErr w:type="spellEnd"/>
      <w:r w:rsidRPr="00CC19F7">
        <w:t xml:space="preserve"> vassdragstekniske anlegga. </w:t>
      </w:r>
      <w:proofErr w:type="spellStart"/>
      <w:r w:rsidRPr="00CC19F7">
        <w:t>Tilskotet</w:t>
      </w:r>
      <w:proofErr w:type="spellEnd"/>
      <w:r w:rsidRPr="00CC19F7">
        <w:t xml:space="preserve"> skal bidra til å sikre at anlegga er i samsvar med krav etter NVEs </w:t>
      </w:r>
      <w:r w:rsidRPr="00CC19F7">
        <w:rPr>
          <w:rStyle w:val="kursiv"/>
        </w:rPr>
        <w:t>Retningslinjer for tilsyn og revurdering av vassdragsanlegg</w:t>
      </w:r>
      <w:r w:rsidRPr="00CC19F7">
        <w:t xml:space="preserve">, </w:t>
      </w:r>
      <w:r w:rsidRPr="00CC19F7">
        <w:rPr>
          <w:rStyle w:val="kursiv"/>
        </w:rPr>
        <w:t>Forskrift om sikkerhet og tilsyn med vassdragsanlegg</w:t>
      </w:r>
      <w:r w:rsidRPr="00CC19F7">
        <w:t xml:space="preserve"> og vassressurslova.</w:t>
      </w:r>
    </w:p>
    <w:p w14:paraId="78B593B4" w14:textId="77777777" w:rsidR="00FE02EF" w:rsidRPr="00CC19F7" w:rsidRDefault="00881E58" w:rsidP="00CC19F7">
      <w:pPr>
        <w:pStyle w:val="avsnitt-undertittel"/>
      </w:pPr>
      <w:r w:rsidRPr="00CC19F7">
        <w:t>Resultat 2022</w:t>
      </w:r>
    </w:p>
    <w:p w14:paraId="68F06144" w14:textId="77777777" w:rsidR="00FE02EF" w:rsidRPr="00CC19F7" w:rsidRDefault="00881E58" w:rsidP="00CC19F7">
      <w:r w:rsidRPr="00CC19F7">
        <w:t xml:space="preserve">Det blei utbetalt 3 mill. kroner i </w:t>
      </w:r>
      <w:proofErr w:type="spellStart"/>
      <w:r w:rsidRPr="00CC19F7">
        <w:t>tilskot</w:t>
      </w:r>
      <w:proofErr w:type="spellEnd"/>
      <w:r w:rsidRPr="00CC19F7">
        <w:t xml:space="preserve"> til rehabilitering og </w:t>
      </w:r>
      <w:proofErr w:type="spellStart"/>
      <w:r w:rsidRPr="00CC19F7">
        <w:t>vedlikehald</w:t>
      </w:r>
      <w:proofErr w:type="spellEnd"/>
      <w:r w:rsidRPr="00CC19F7">
        <w:t xml:space="preserve"> av </w:t>
      </w:r>
      <w:proofErr w:type="spellStart"/>
      <w:r w:rsidRPr="00CC19F7">
        <w:t>dei</w:t>
      </w:r>
      <w:proofErr w:type="spellEnd"/>
      <w:r w:rsidRPr="00CC19F7">
        <w:t xml:space="preserve"> vassdragstekniske anlegga til Telemarkskanalen.</w:t>
      </w:r>
    </w:p>
    <w:p w14:paraId="68D057B9" w14:textId="77777777" w:rsidR="00FE02EF" w:rsidRPr="00CC19F7" w:rsidRDefault="00881E58" w:rsidP="00CC19F7">
      <w:pPr>
        <w:pStyle w:val="avsnitt-tittel"/>
      </w:pPr>
      <w:r w:rsidRPr="00CC19F7">
        <w:t>Kraftmuseet</w:t>
      </w:r>
    </w:p>
    <w:p w14:paraId="1BC2553C" w14:textId="77777777" w:rsidR="00FE02EF" w:rsidRPr="00CC19F7" w:rsidRDefault="00881E58" w:rsidP="00CC19F7">
      <w:r w:rsidRPr="00CC19F7">
        <w:t xml:space="preserve">Det blir foreslått </w:t>
      </w:r>
      <w:proofErr w:type="spellStart"/>
      <w:r w:rsidRPr="00CC19F7">
        <w:t>eit</w:t>
      </w:r>
      <w:proofErr w:type="spellEnd"/>
      <w:r w:rsidRPr="00CC19F7">
        <w:t xml:space="preserve"> </w:t>
      </w:r>
      <w:proofErr w:type="spellStart"/>
      <w:r w:rsidRPr="00CC19F7">
        <w:t>tilskot</w:t>
      </w:r>
      <w:proofErr w:type="spellEnd"/>
      <w:r w:rsidRPr="00CC19F7">
        <w:t xml:space="preserve"> på 2,3 mill. kroner til Kraftmuseet som skal dekke lønns- og prosjektkostnader til </w:t>
      </w:r>
      <w:proofErr w:type="spellStart"/>
      <w:r w:rsidRPr="00CC19F7">
        <w:t>eitt</w:t>
      </w:r>
      <w:proofErr w:type="spellEnd"/>
      <w:r w:rsidRPr="00CC19F7">
        <w:t xml:space="preserve"> årsverk ved museet og </w:t>
      </w:r>
      <w:proofErr w:type="spellStart"/>
      <w:r w:rsidRPr="00CC19F7">
        <w:t>vedlikehald</w:t>
      </w:r>
      <w:proofErr w:type="spellEnd"/>
      <w:r w:rsidRPr="00CC19F7">
        <w:t xml:space="preserve"> av det freda kraftanlegget </w:t>
      </w:r>
      <w:proofErr w:type="spellStart"/>
      <w:r w:rsidRPr="00CC19F7">
        <w:t>Tysso</w:t>
      </w:r>
      <w:proofErr w:type="spellEnd"/>
      <w:r w:rsidRPr="00CC19F7">
        <w:t xml:space="preserve"> I </w:t>
      </w:r>
      <w:proofErr w:type="spellStart"/>
      <w:r w:rsidRPr="00CC19F7">
        <w:t>i</w:t>
      </w:r>
      <w:proofErr w:type="spellEnd"/>
      <w:r w:rsidRPr="00CC19F7">
        <w:t xml:space="preserve"> Ullensvang kommune.</w:t>
      </w:r>
    </w:p>
    <w:p w14:paraId="094CB066" w14:textId="77777777" w:rsidR="00FE02EF" w:rsidRPr="00CC19F7" w:rsidRDefault="00881E58" w:rsidP="00CC19F7">
      <w:proofErr w:type="spellStart"/>
      <w:r w:rsidRPr="00CC19F7">
        <w:t>Tilskotet</w:t>
      </w:r>
      <w:proofErr w:type="spellEnd"/>
      <w:r w:rsidRPr="00CC19F7">
        <w:t xml:space="preserve"> skal bidra til å formidle og dokumentere historier om vatn og energi med </w:t>
      </w:r>
      <w:proofErr w:type="spellStart"/>
      <w:r w:rsidRPr="00CC19F7">
        <w:t>hovudvekt</w:t>
      </w:r>
      <w:proofErr w:type="spellEnd"/>
      <w:r w:rsidRPr="00CC19F7">
        <w:t xml:space="preserve"> på vasskraft, kraftoverføring, </w:t>
      </w:r>
      <w:proofErr w:type="spellStart"/>
      <w:r w:rsidRPr="00CC19F7">
        <w:t>flaum</w:t>
      </w:r>
      <w:proofErr w:type="spellEnd"/>
      <w:r w:rsidRPr="00CC19F7">
        <w:t xml:space="preserve">, </w:t>
      </w:r>
      <w:proofErr w:type="spellStart"/>
      <w:r w:rsidRPr="00CC19F7">
        <w:t>konsekvensar</w:t>
      </w:r>
      <w:proofErr w:type="spellEnd"/>
      <w:r w:rsidRPr="00CC19F7">
        <w:t xml:space="preserve"> av inngrep og i tillegg miljøtiltak og vern av vassdrag. </w:t>
      </w:r>
      <w:proofErr w:type="spellStart"/>
      <w:r w:rsidRPr="00CC19F7">
        <w:t>Vidare</w:t>
      </w:r>
      <w:proofErr w:type="spellEnd"/>
      <w:r w:rsidRPr="00CC19F7">
        <w:t xml:space="preserve"> skal </w:t>
      </w:r>
      <w:proofErr w:type="spellStart"/>
      <w:r w:rsidRPr="00CC19F7">
        <w:t>midlane</w:t>
      </w:r>
      <w:proofErr w:type="spellEnd"/>
      <w:r w:rsidRPr="00CC19F7">
        <w:t xml:space="preserve"> brukast til drift og </w:t>
      </w:r>
      <w:proofErr w:type="spellStart"/>
      <w:r w:rsidRPr="00CC19F7">
        <w:t>vidareutvikling</w:t>
      </w:r>
      <w:proofErr w:type="spellEnd"/>
      <w:r w:rsidRPr="00CC19F7">
        <w:t xml:space="preserve"> av nettstaden </w:t>
      </w:r>
      <w:r w:rsidRPr="00CC19F7">
        <w:rPr>
          <w:rStyle w:val="kursiv"/>
        </w:rPr>
        <w:t>kraftlandet.no</w:t>
      </w:r>
      <w:r w:rsidRPr="00CC19F7">
        <w:t xml:space="preserve">, </w:t>
      </w:r>
      <w:proofErr w:type="spellStart"/>
      <w:r w:rsidRPr="00CC19F7">
        <w:t>ein</w:t>
      </w:r>
      <w:proofErr w:type="spellEnd"/>
      <w:r w:rsidRPr="00CC19F7">
        <w:t xml:space="preserve"> felles nettstad for museumssamarbeidet som dokumenterer, </w:t>
      </w:r>
      <w:proofErr w:type="spellStart"/>
      <w:r w:rsidRPr="00CC19F7">
        <w:t>formidlar</w:t>
      </w:r>
      <w:proofErr w:type="spellEnd"/>
      <w:r w:rsidRPr="00CC19F7">
        <w:t xml:space="preserve"> og aktualiserer vassdrags- og energihistoria og </w:t>
      </w:r>
      <w:proofErr w:type="spellStart"/>
      <w:r w:rsidRPr="00CC19F7">
        <w:t>fortløpande</w:t>
      </w:r>
      <w:proofErr w:type="spellEnd"/>
      <w:r w:rsidRPr="00CC19F7">
        <w:t xml:space="preserve"> publiserer ny informasjon. </w:t>
      </w:r>
      <w:proofErr w:type="spellStart"/>
      <w:r w:rsidRPr="00CC19F7">
        <w:t>Midlane</w:t>
      </w:r>
      <w:proofErr w:type="spellEnd"/>
      <w:r w:rsidRPr="00CC19F7">
        <w:t xml:space="preserve"> skal også gå til å utvikle og arrangere ulike </w:t>
      </w:r>
      <w:proofErr w:type="spellStart"/>
      <w:r w:rsidRPr="00CC19F7">
        <w:t>aktivitetar</w:t>
      </w:r>
      <w:proofErr w:type="spellEnd"/>
      <w:r w:rsidRPr="00CC19F7">
        <w:t xml:space="preserve"> for undervisningssektoren.</w:t>
      </w:r>
    </w:p>
    <w:p w14:paraId="5E17E51C" w14:textId="77777777" w:rsidR="00FE02EF" w:rsidRPr="00CC19F7" w:rsidRDefault="00881E58" w:rsidP="00CC19F7">
      <w:pPr>
        <w:pStyle w:val="avsnitt-undertittel"/>
      </w:pPr>
      <w:r w:rsidRPr="00CC19F7">
        <w:t>Resultat 2022</w:t>
      </w:r>
    </w:p>
    <w:p w14:paraId="55BD5BE1" w14:textId="77777777" w:rsidR="00FE02EF" w:rsidRPr="00CC19F7" w:rsidRDefault="00881E58" w:rsidP="00CC19F7">
      <w:r w:rsidRPr="00CC19F7">
        <w:t xml:space="preserve">Det blei utbetalt 2,35 mill. kroner i </w:t>
      </w:r>
      <w:proofErr w:type="spellStart"/>
      <w:r w:rsidRPr="00CC19F7">
        <w:t>tilskot</w:t>
      </w:r>
      <w:proofErr w:type="spellEnd"/>
      <w:r w:rsidRPr="00CC19F7">
        <w:t xml:space="preserve"> til dokumentasjon og formidling ved Kraftmuseet, deriblant 0,5 mill. kroner til </w:t>
      </w:r>
      <w:proofErr w:type="spellStart"/>
      <w:r w:rsidRPr="00CC19F7">
        <w:t>vedlikehald</w:t>
      </w:r>
      <w:proofErr w:type="spellEnd"/>
      <w:r w:rsidRPr="00CC19F7">
        <w:t xml:space="preserve"> av det freda kraftanlegget </w:t>
      </w:r>
      <w:proofErr w:type="spellStart"/>
      <w:r w:rsidRPr="00CC19F7">
        <w:t>Tysso</w:t>
      </w:r>
      <w:proofErr w:type="spellEnd"/>
      <w:r w:rsidRPr="00CC19F7">
        <w:t xml:space="preserve"> 1. Museet har også i 2022 bidratt til bevaring og formidling av norsk vassdrags- og energihistorie. Kraftmuseet står </w:t>
      </w:r>
      <w:proofErr w:type="spellStart"/>
      <w:r w:rsidRPr="00CC19F7">
        <w:t>saman</w:t>
      </w:r>
      <w:proofErr w:type="spellEnd"/>
      <w:r w:rsidRPr="00CC19F7">
        <w:t xml:space="preserve"> med Anno Norsk Skogmuseum og NVE bak den store digitale satsinga </w:t>
      </w:r>
      <w:r w:rsidRPr="00CC19F7">
        <w:rPr>
          <w:rStyle w:val="kursiv"/>
        </w:rPr>
        <w:t>kraftlandet.no</w:t>
      </w:r>
      <w:r w:rsidRPr="00CC19F7">
        <w:t xml:space="preserve">, som blei lansert i 2021. I 2022 blei det publisert </w:t>
      </w:r>
      <w:proofErr w:type="spellStart"/>
      <w:r w:rsidRPr="00CC19F7">
        <w:t>ein</w:t>
      </w:r>
      <w:proofErr w:type="spellEnd"/>
      <w:r w:rsidRPr="00CC19F7">
        <w:t xml:space="preserve"> episode om vasskraftutbygging 1950–1970 og samtidig starta </w:t>
      </w:r>
      <w:proofErr w:type="spellStart"/>
      <w:r w:rsidRPr="00CC19F7">
        <w:t>eit</w:t>
      </w:r>
      <w:proofErr w:type="spellEnd"/>
      <w:r w:rsidRPr="00CC19F7">
        <w:t xml:space="preserve"> arbeid med vindkraft i </w:t>
      </w:r>
      <w:proofErr w:type="spellStart"/>
      <w:r w:rsidRPr="00CC19F7">
        <w:t>eit</w:t>
      </w:r>
      <w:proofErr w:type="spellEnd"/>
      <w:r w:rsidRPr="00CC19F7">
        <w:t xml:space="preserve"> historisk perspektiv. Kraftmuseet har også </w:t>
      </w:r>
      <w:proofErr w:type="spellStart"/>
      <w:r w:rsidRPr="00CC19F7">
        <w:t>vidareutvikla</w:t>
      </w:r>
      <w:proofErr w:type="spellEnd"/>
      <w:r w:rsidRPr="00CC19F7">
        <w:t xml:space="preserve"> utstillinga «Kraftfull arkitektur» og </w:t>
      </w:r>
      <w:proofErr w:type="spellStart"/>
      <w:r w:rsidRPr="00CC19F7">
        <w:t>KraftLaben</w:t>
      </w:r>
      <w:proofErr w:type="spellEnd"/>
      <w:r w:rsidRPr="00CC19F7">
        <w:t>.</w:t>
      </w:r>
    </w:p>
    <w:p w14:paraId="5C7AB87A" w14:textId="77777777" w:rsidR="00FE02EF" w:rsidRPr="00CC19F7" w:rsidRDefault="00881E58" w:rsidP="00CC19F7">
      <w:pPr>
        <w:pStyle w:val="avsnitt-tittel"/>
      </w:pPr>
      <w:r w:rsidRPr="00CC19F7">
        <w:t>Anno Norsk Skogmuseum</w:t>
      </w:r>
    </w:p>
    <w:p w14:paraId="6B04162E" w14:textId="77777777" w:rsidR="00FE02EF" w:rsidRPr="00CC19F7" w:rsidRDefault="00881E58" w:rsidP="00CC19F7">
      <w:r w:rsidRPr="00CC19F7">
        <w:t xml:space="preserve">Det blir foreslått </w:t>
      </w:r>
      <w:proofErr w:type="spellStart"/>
      <w:r w:rsidRPr="00CC19F7">
        <w:t>eit</w:t>
      </w:r>
      <w:proofErr w:type="spellEnd"/>
      <w:r w:rsidRPr="00CC19F7">
        <w:t xml:space="preserve"> </w:t>
      </w:r>
      <w:proofErr w:type="spellStart"/>
      <w:r w:rsidRPr="00CC19F7">
        <w:t>tilskot</w:t>
      </w:r>
      <w:proofErr w:type="spellEnd"/>
      <w:r w:rsidRPr="00CC19F7">
        <w:t xml:space="preserve"> på 1,8 mill. kroner til Anno Norsk Skogmuseum i Elverum kommune som skal dekke lønns- og prosjektkostnader til </w:t>
      </w:r>
      <w:proofErr w:type="spellStart"/>
      <w:r w:rsidRPr="00CC19F7">
        <w:t>eitt</w:t>
      </w:r>
      <w:proofErr w:type="spellEnd"/>
      <w:r w:rsidRPr="00CC19F7">
        <w:t xml:space="preserve"> årsverk ved museet. </w:t>
      </w:r>
      <w:proofErr w:type="spellStart"/>
      <w:r w:rsidRPr="00CC19F7">
        <w:t>Tilskotet</w:t>
      </w:r>
      <w:proofErr w:type="spellEnd"/>
      <w:r w:rsidRPr="00CC19F7">
        <w:t xml:space="preserve"> skal bidra til formidling og dokumentasjon av historier om vatn og energi med </w:t>
      </w:r>
      <w:proofErr w:type="spellStart"/>
      <w:r w:rsidRPr="00CC19F7">
        <w:t>hovudvekt</w:t>
      </w:r>
      <w:proofErr w:type="spellEnd"/>
      <w:r w:rsidRPr="00CC19F7">
        <w:t xml:space="preserve"> på vasskraft, kraftoverføring, </w:t>
      </w:r>
      <w:proofErr w:type="spellStart"/>
      <w:r w:rsidRPr="00CC19F7">
        <w:t>flaum</w:t>
      </w:r>
      <w:proofErr w:type="spellEnd"/>
      <w:r w:rsidRPr="00CC19F7">
        <w:t xml:space="preserve">, </w:t>
      </w:r>
      <w:proofErr w:type="spellStart"/>
      <w:r w:rsidRPr="00CC19F7">
        <w:t>konsekvensar</w:t>
      </w:r>
      <w:proofErr w:type="spellEnd"/>
      <w:r w:rsidRPr="00CC19F7">
        <w:t xml:space="preserve"> av inngrep og i tillegg miljøtiltak og vern av vassdrag. </w:t>
      </w:r>
      <w:proofErr w:type="spellStart"/>
      <w:r w:rsidRPr="00CC19F7">
        <w:t>Vidare</w:t>
      </w:r>
      <w:proofErr w:type="spellEnd"/>
      <w:r w:rsidRPr="00CC19F7">
        <w:t xml:space="preserve"> skal </w:t>
      </w:r>
      <w:proofErr w:type="spellStart"/>
      <w:r w:rsidRPr="00CC19F7">
        <w:t>midlane</w:t>
      </w:r>
      <w:proofErr w:type="spellEnd"/>
      <w:r w:rsidRPr="00CC19F7">
        <w:t xml:space="preserve"> brukast til drift og </w:t>
      </w:r>
      <w:proofErr w:type="spellStart"/>
      <w:r w:rsidRPr="00CC19F7">
        <w:t>vidareutvikling</w:t>
      </w:r>
      <w:proofErr w:type="spellEnd"/>
      <w:r w:rsidRPr="00CC19F7">
        <w:t xml:space="preserve"> av nettstaden </w:t>
      </w:r>
      <w:r w:rsidRPr="00CC19F7">
        <w:rPr>
          <w:rStyle w:val="kursiv"/>
        </w:rPr>
        <w:t>kraftlandet.no</w:t>
      </w:r>
      <w:r w:rsidRPr="00CC19F7">
        <w:t xml:space="preserve">. </w:t>
      </w:r>
      <w:proofErr w:type="spellStart"/>
      <w:r w:rsidRPr="00CC19F7">
        <w:t>Midlane</w:t>
      </w:r>
      <w:proofErr w:type="spellEnd"/>
      <w:r w:rsidRPr="00CC19F7">
        <w:t xml:space="preserve"> skal også gå til å utvikle og arrangere ulike </w:t>
      </w:r>
      <w:proofErr w:type="spellStart"/>
      <w:r w:rsidRPr="00CC19F7">
        <w:t>aktivitetar</w:t>
      </w:r>
      <w:proofErr w:type="spellEnd"/>
      <w:r w:rsidRPr="00CC19F7">
        <w:t xml:space="preserve"> for undervisningssektoren.</w:t>
      </w:r>
    </w:p>
    <w:p w14:paraId="16D3D834" w14:textId="77777777" w:rsidR="00FE02EF" w:rsidRPr="00CC19F7" w:rsidRDefault="00881E58" w:rsidP="00CC19F7">
      <w:pPr>
        <w:pStyle w:val="avsnitt-undertittel"/>
      </w:pPr>
      <w:r w:rsidRPr="00CC19F7">
        <w:t>Resultat 2022</w:t>
      </w:r>
    </w:p>
    <w:p w14:paraId="5819EF2C" w14:textId="77777777" w:rsidR="00FE02EF" w:rsidRPr="00CC19F7" w:rsidRDefault="00881E58" w:rsidP="00CC19F7">
      <w:r w:rsidRPr="00CC19F7">
        <w:t xml:space="preserve">Det blei utbetalt 1,85 mill. kroner i </w:t>
      </w:r>
      <w:proofErr w:type="spellStart"/>
      <w:r w:rsidRPr="00CC19F7">
        <w:t>tilskot</w:t>
      </w:r>
      <w:proofErr w:type="spellEnd"/>
      <w:r w:rsidRPr="00CC19F7">
        <w:t xml:space="preserve"> til dokumentasjon og formidling ved Anno Norsk Skogmuseum. Museet har også i 2022 bidratt til bevaring og formidling av norsk vassdrags- og energihistorie. Anno Norsk Skogmuseum, </w:t>
      </w:r>
      <w:proofErr w:type="spellStart"/>
      <w:r w:rsidRPr="00CC19F7">
        <w:t>saman</w:t>
      </w:r>
      <w:proofErr w:type="spellEnd"/>
      <w:r w:rsidRPr="00CC19F7">
        <w:t xml:space="preserve"> med Kraftmuseet og NVE, står bak den store digitale satsinga </w:t>
      </w:r>
      <w:r w:rsidRPr="00CC19F7">
        <w:rPr>
          <w:rStyle w:val="kursiv"/>
        </w:rPr>
        <w:t>kraftlandet.no</w:t>
      </w:r>
      <w:r w:rsidRPr="00CC19F7">
        <w:t xml:space="preserve">, som blei lansert i 2021. Museet har også </w:t>
      </w:r>
      <w:proofErr w:type="spellStart"/>
      <w:r w:rsidRPr="00CC19F7">
        <w:t>opna</w:t>
      </w:r>
      <w:proofErr w:type="spellEnd"/>
      <w:r w:rsidRPr="00CC19F7">
        <w:t xml:space="preserve"> utstillinga «Kraft til enhver pris?», og planlegg ei ny fast utstilling «Ferskvann – de dyrebare dråpene».</w:t>
      </w:r>
    </w:p>
    <w:p w14:paraId="75F9523C" w14:textId="77777777" w:rsidR="00FE02EF" w:rsidRPr="00CC19F7" w:rsidRDefault="00881E58" w:rsidP="00CC19F7">
      <w:pPr>
        <w:pStyle w:val="b-post"/>
      </w:pPr>
      <w:r w:rsidRPr="00CC19F7">
        <w:t xml:space="preserve">Post 75 Stønad til </w:t>
      </w:r>
      <w:proofErr w:type="spellStart"/>
      <w:r w:rsidRPr="00CC19F7">
        <w:t>hushaldningar</w:t>
      </w:r>
      <w:proofErr w:type="spellEnd"/>
      <w:r w:rsidRPr="00CC19F7">
        <w:t xml:space="preserve"> for ekstraordinære straumutgifter, overslagsløyving</w:t>
      </w:r>
    </w:p>
    <w:p w14:paraId="78D4AD2C" w14:textId="77777777" w:rsidR="00FE02EF" w:rsidRPr="00CC19F7" w:rsidRDefault="00881E58" w:rsidP="00CC19F7">
      <w:r w:rsidRPr="00CC19F7">
        <w:t xml:space="preserve">Det blir foreslått ei løyving på 9 750 mill. kroner til den </w:t>
      </w:r>
      <w:proofErr w:type="spellStart"/>
      <w:r w:rsidRPr="00CC19F7">
        <w:t>mellombelse</w:t>
      </w:r>
      <w:proofErr w:type="spellEnd"/>
      <w:r w:rsidRPr="00CC19F7">
        <w:t xml:space="preserve"> </w:t>
      </w:r>
      <w:proofErr w:type="spellStart"/>
      <w:r w:rsidRPr="00CC19F7">
        <w:t>stønadordninga</w:t>
      </w:r>
      <w:proofErr w:type="spellEnd"/>
      <w:r w:rsidRPr="00CC19F7">
        <w:t xml:space="preserve"> for ekstraordinære straumutgifter i 2024. Løyvinga dekker utbetaling av straumstønad i perioden desember 2023 til november 2024. Stortinget vedtok i juni 2023 at </w:t>
      </w:r>
      <w:proofErr w:type="spellStart"/>
      <w:r w:rsidRPr="00CC19F7">
        <w:t>berekninga</w:t>
      </w:r>
      <w:proofErr w:type="spellEnd"/>
      <w:r w:rsidRPr="00CC19F7">
        <w:t xml:space="preserve"> av straumstønad blir endra </w:t>
      </w:r>
      <w:proofErr w:type="spellStart"/>
      <w:r w:rsidRPr="00CC19F7">
        <w:t>frå</w:t>
      </w:r>
      <w:proofErr w:type="spellEnd"/>
      <w:r w:rsidRPr="00CC19F7">
        <w:t xml:space="preserve"> å basere seg på </w:t>
      </w:r>
      <w:proofErr w:type="spellStart"/>
      <w:r w:rsidRPr="00CC19F7">
        <w:t>gjennomsnittleg</w:t>
      </w:r>
      <w:proofErr w:type="spellEnd"/>
      <w:r w:rsidRPr="00CC19F7">
        <w:t xml:space="preserve"> spotpris gjennom </w:t>
      </w:r>
      <w:proofErr w:type="spellStart"/>
      <w:r w:rsidRPr="00CC19F7">
        <w:t>månaden</w:t>
      </w:r>
      <w:proofErr w:type="spellEnd"/>
      <w:r w:rsidRPr="00CC19F7">
        <w:t xml:space="preserve"> til å basere seg på spotprisen time for time i det prisområdet </w:t>
      </w:r>
      <w:proofErr w:type="spellStart"/>
      <w:r w:rsidRPr="00CC19F7">
        <w:t>hushaldninga</w:t>
      </w:r>
      <w:proofErr w:type="spellEnd"/>
      <w:r w:rsidRPr="00CC19F7">
        <w:t xml:space="preserve"> høyrer til, og at stønadsgraden blir </w:t>
      </w:r>
      <w:proofErr w:type="spellStart"/>
      <w:r w:rsidRPr="00CC19F7">
        <w:t>auka</w:t>
      </w:r>
      <w:proofErr w:type="spellEnd"/>
      <w:r w:rsidRPr="00CC19F7">
        <w:t xml:space="preserve"> til 90 prosent, jf. </w:t>
      </w:r>
      <w:proofErr w:type="spellStart"/>
      <w:r w:rsidRPr="00CC19F7">
        <w:t>Innst</w:t>
      </w:r>
      <w:proofErr w:type="spellEnd"/>
      <w:r w:rsidRPr="00CC19F7">
        <w:t xml:space="preserve">. 486 L (2022–2023). </w:t>
      </w:r>
      <w:proofErr w:type="spellStart"/>
      <w:r w:rsidRPr="00CC19F7">
        <w:t>Vidare</w:t>
      </w:r>
      <w:proofErr w:type="spellEnd"/>
      <w:r w:rsidRPr="00CC19F7">
        <w:t xml:space="preserve"> har Olje- og energidepartementet ved forskrift av 20. juni 2023 inkludert </w:t>
      </w:r>
      <w:proofErr w:type="spellStart"/>
      <w:r w:rsidRPr="00CC19F7">
        <w:t>hushaldningar</w:t>
      </w:r>
      <w:proofErr w:type="spellEnd"/>
      <w:r w:rsidRPr="00CC19F7">
        <w:t xml:space="preserve"> knytte til gards- og grendeverk med private straumnett i ordninga.</w:t>
      </w:r>
    </w:p>
    <w:p w14:paraId="1204680C" w14:textId="77777777" w:rsidR="00FE02EF" w:rsidRPr="00CC19F7" w:rsidRDefault="00881E58" w:rsidP="00CC19F7">
      <w:pPr>
        <w:pStyle w:val="avsnitt-tittel"/>
      </w:pPr>
      <w:r w:rsidRPr="00CC19F7">
        <w:t>Mål og målgruppe</w:t>
      </w:r>
    </w:p>
    <w:p w14:paraId="4E185FF6" w14:textId="77777777" w:rsidR="00FE02EF" w:rsidRPr="00CC19F7" w:rsidRDefault="00881E58" w:rsidP="00CC19F7">
      <w:r w:rsidRPr="00CC19F7">
        <w:t xml:space="preserve">Ordninga skal bidra til </w:t>
      </w:r>
      <w:proofErr w:type="spellStart"/>
      <w:r w:rsidRPr="00CC19F7">
        <w:t>ein</w:t>
      </w:r>
      <w:proofErr w:type="spellEnd"/>
      <w:r w:rsidRPr="00CC19F7">
        <w:t xml:space="preserve"> reduksjon av utgiftene til straumforbruk i den </w:t>
      </w:r>
      <w:proofErr w:type="spellStart"/>
      <w:r w:rsidRPr="00CC19F7">
        <w:t>månadlege</w:t>
      </w:r>
      <w:proofErr w:type="spellEnd"/>
      <w:r w:rsidRPr="00CC19F7">
        <w:t xml:space="preserve"> straumrekninga for private </w:t>
      </w:r>
      <w:proofErr w:type="spellStart"/>
      <w:r w:rsidRPr="00CC19F7">
        <w:t>hushaldningar</w:t>
      </w:r>
      <w:proofErr w:type="spellEnd"/>
      <w:r w:rsidRPr="00CC19F7">
        <w:t xml:space="preserve"> knytte til distribusjonsnettet dersom straumprisen overstig </w:t>
      </w:r>
      <w:proofErr w:type="spellStart"/>
      <w:r w:rsidRPr="00CC19F7">
        <w:t>ein</w:t>
      </w:r>
      <w:proofErr w:type="spellEnd"/>
      <w:r w:rsidRPr="00CC19F7">
        <w:t xml:space="preserve"> fastsett terskelverdi. Ordninga gjeld for straumforbruk til og med desember 2024. Ordninga </w:t>
      </w:r>
      <w:proofErr w:type="spellStart"/>
      <w:r w:rsidRPr="00CC19F7">
        <w:t>gjeld</w:t>
      </w:r>
      <w:proofErr w:type="spellEnd"/>
      <w:r w:rsidRPr="00CC19F7">
        <w:t xml:space="preserve"> også for </w:t>
      </w:r>
      <w:proofErr w:type="spellStart"/>
      <w:r w:rsidRPr="00CC19F7">
        <w:t>fellesmålt</w:t>
      </w:r>
      <w:proofErr w:type="spellEnd"/>
      <w:r w:rsidRPr="00CC19F7">
        <w:t xml:space="preserve"> </w:t>
      </w:r>
      <w:proofErr w:type="spellStart"/>
      <w:r w:rsidRPr="00CC19F7">
        <w:t>hushaldningsforbruk</w:t>
      </w:r>
      <w:proofErr w:type="spellEnd"/>
      <w:r w:rsidRPr="00CC19F7">
        <w:t xml:space="preserve"> i bustadselskap (burettslag, bustadsameige, bustadaksjeselskap mv.), </w:t>
      </w:r>
      <w:proofErr w:type="spellStart"/>
      <w:r w:rsidRPr="00CC19F7">
        <w:t>hushaldningar</w:t>
      </w:r>
      <w:proofErr w:type="spellEnd"/>
      <w:r w:rsidRPr="00CC19F7">
        <w:t xml:space="preserve"> med fritidsbustad som fast bustad og </w:t>
      </w:r>
      <w:proofErr w:type="spellStart"/>
      <w:r w:rsidRPr="00CC19F7">
        <w:t>hushaldningar</w:t>
      </w:r>
      <w:proofErr w:type="spellEnd"/>
      <w:r w:rsidRPr="00CC19F7">
        <w:t xml:space="preserve"> som er knytte til gards- og grendeverk med private straumnett, jf. </w:t>
      </w:r>
      <w:r w:rsidRPr="00CC19F7">
        <w:rPr>
          <w:rStyle w:val="kursiv"/>
        </w:rPr>
        <w:t>Midlertidig forskrift om strømstønad</w:t>
      </w:r>
      <w:r w:rsidRPr="00CC19F7">
        <w:t xml:space="preserve">. Det blir </w:t>
      </w:r>
      <w:proofErr w:type="spellStart"/>
      <w:r w:rsidRPr="00CC19F7">
        <w:t>ikkje</w:t>
      </w:r>
      <w:proofErr w:type="spellEnd"/>
      <w:r w:rsidRPr="00CC19F7">
        <w:t xml:space="preserve"> </w:t>
      </w:r>
      <w:proofErr w:type="spellStart"/>
      <w:r w:rsidRPr="00CC19F7">
        <w:t>kravd</w:t>
      </w:r>
      <w:proofErr w:type="spellEnd"/>
      <w:r w:rsidRPr="00CC19F7">
        <w:t xml:space="preserve"> søknad </w:t>
      </w:r>
      <w:proofErr w:type="spellStart"/>
      <w:r w:rsidRPr="00CC19F7">
        <w:t>frå</w:t>
      </w:r>
      <w:proofErr w:type="spellEnd"/>
      <w:r w:rsidRPr="00CC19F7">
        <w:t xml:space="preserve"> </w:t>
      </w:r>
      <w:proofErr w:type="spellStart"/>
      <w:r w:rsidRPr="00CC19F7">
        <w:t>hushaldningane</w:t>
      </w:r>
      <w:proofErr w:type="spellEnd"/>
      <w:r w:rsidRPr="00CC19F7">
        <w:t>.</w:t>
      </w:r>
    </w:p>
    <w:p w14:paraId="182644C6" w14:textId="77777777" w:rsidR="00FE02EF" w:rsidRPr="00CC19F7" w:rsidRDefault="00881E58" w:rsidP="00CC19F7">
      <w:r w:rsidRPr="00CC19F7">
        <w:t xml:space="preserve">Ordninga gjeld </w:t>
      </w:r>
      <w:proofErr w:type="spellStart"/>
      <w:r w:rsidRPr="00CC19F7">
        <w:t>ikkje</w:t>
      </w:r>
      <w:proofErr w:type="spellEnd"/>
      <w:r w:rsidRPr="00CC19F7">
        <w:t xml:space="preserve"> </w:t>
      </w:r>
      <w:proofErr w:type="spellStart"/>
      <w:r w:rsidRPr="00CC19F7">
        <w:t>fritidsbustader</w:t>
      </w:r>
      <w:proofErr w:type="spellEnd"/>
      <w:r w:rsidRPr="00CC19F7">
        <w:t xml:space="preserve"> som </w:t>
      </w:r>
      <w:proofErr w:type="spellStart"/>
      <w:r w:rsidRPr="00CC19F7">
        <w:t>ikkje</w:t>
      </w:r>
      <w:proofErr w:type="spellEnd"/>
      <w:r w:rsidRPr="00CC19F7">
        <w:t xml:space="preserve"> er fast bustad, og </w:t>
      </w:r>
      <w:proofErr w:type="spellStart"/>
      <w:r w:rsidRPr="00CC19F7">
        <w:t>næringsverksemd</w:t>
      </w:r>
      <w:proofErr w:type="spellEnd"/>
      <w:r w:rsidRPr="00CC19F7">
        <w:t>.</w:t>
      </w:r>
    </w:p>
    <w:p w14:paraId="0F2922B2" w14:textId="77777777" w:rsidR="00FE02EF" w:rsidRPr="00CC19F7" w:rsidRDefault="00881E58" w:rsidP="00CC19F7">
      <w:pPr>
        <w:pStyle w:val="avsnitt-tittel"/>
      </w:pPr>
      <w:r w:rsidRPr="00CC19F7">
        <w:t>Tildelingskriterium og oppfølging</w:t>
      </w:r>
    </w:p>
    <w:p w14:paraId="3824B412" w14:textId="77777777" w:rsidR="00FE02EF" w:rsidRPr="00CC19F7" w:rsidRDefault="00881E58" w:rsidP="00CC19F7">
      <w:proofErr w:type="spellStart"/>
      <w:r w:rsidRPr="00CC19F7">
        <w:t>Stønadsordninga</w:t>
      </w:r>
      <w:proofErr w:type="spellEnd"/>
      <w:r w:rsidRPr="00CC19F7">
        <w:t xml:space="preserve"> er basert på straumprisen time for time i det prisområdet </w:t>
      </w:r>
      <w:proofErr w:type="spellStart"/>
      <w:r w:rsidRPr="00CC19F7">
        <w:t>hushaldningane</w:t>
      </w:r>
      <w:proofErr w:type="spellEnd"/>
      <w:r w:rsidRPr="00CC19F7">
        <w:t xml:space="preserve"> høyrer til. Støtta trer inn dersom straumprisen i det aktuelle prisområdet overstig </w:t>
      </w:r>
      <w:proofErr w:type="spellStart"/>
      <w:r w:rsidRPr="00CC19F7">
        <w:t>ein</w:t>
      </w:r>
      <w:proofErr w:type="spellEnd"/>
      <w:r w:rsidRPr="00CC19F7">
        <w:t xml:space="preserve"> fastsett terskelverdi. Prisjustert terskelverdi blir foreslått sett til </w:t>
      </w:r>
      <w:proofErr w:type="spellStart"/>
      <w:r w:rsidRPr="00CC19F7">
        <w:t>ein</w:t>
      </w:r>
      <w:proofErr w:type="spellEnd"/>
      <w:r w:rsidRPr="00CC19F7">
        <w:t xml:space="preserve"> straumpris på 73 øre per kilowattime før avgifter </w:t>
      </w:r>
      <w:proofErr w:type="spellStart"/>
      <w:r w:rsidRPr="00CC19F7">
        <w:t>frå</w:t>
      </w:r>
      <w:proofErr w:type="spellEnd"/>
      <w:r w:rsidRPr="00CC19F7">
        <w:t xml:space="preserve"> 1. januar 2024. Olje- og energidepartementet vil foreslå </w:t>
      </w:r>
      <w:proofErr w:type="spellStart"/>
      <w:r w:rsidRPr="00CC19F7">
        <w:t>endringar</w:t>
      </w:r>
      <w:proofErr w:type="spellEnd"/>
      <w:r w:rsidRPr="00CC19F7">
        <w:t xml:space="preserve"> i lov av 22. desember 2021 nr. 170 om stønad til </w:t>
      </w:r>
      <w:proofErr w:type="spellStart"/>
      <w:r w:rsidRPr="00CC19F7">
        <w:t>hushaldningar</w:t>
      </w:r>
      <w:proofErr w:type="spellEnd"/>
      <w:r w:rsidRPr="00CC19F7">
        <w:t xml:space="preserve"> som følge av ekstraordinære straumutgifter (straumstønadslova). Med straumpris er det her meint spotpris i det prisområdet </w:t>
      </w:r>
      <w:proofErr w:type="spellStart"/>
      <w:r w:rsidRPr="00CC19F7">
        <w:t>hushaldninga</w:t>
      </w:r>
      <w:proofErr w:type="spellEnd"/>
      <w:r w:rsidRPr="00CC19F7">
        <w:t xml:space="preserve"> høyrer til. Ordninga gir stønad for </w:t>
      </w:r>
      <w:proofErr w:type="spellStart"/>
      <w:r w:rsidRPr="00CC19F7">
        <w:t>dei</w:t>
      </w:r>
      <w:proofErr w:type="spellEnd"/>
      <w:r w:rsidRPr="00CC19F7">
        <w:t xml:space="preserve"> </w:t>
      </w:r>
      <w:proofErr w:type="spellStart"/>
      <w:r w:rsidRPr="00CC19F7">
        <w:t>timane</w:t>
      </w:r>
      <w:proofErr w:type="spellEnd"/>
      <w:r w:rsidRPr="00CC19F7">
        <w:t xml:space="preserve"> straumprisen overstig terskelverdien. Det blir </w:t>
      </w:r>
      <w:proofErr w:type="spellStart"/>
      <w:r w:rsidRPr="00CC19F7">
        <w:t>ikkje</w:t>
      </w:r>
      <w:proofErr w:type="spellEnd"/>
      <w:r w:rsidRPr="00CC19F7">
        <w:t xml:space="preserve"> gitt stønad til forbruk over 5 000 </w:t>
      </w:r>
      <w:proofErr w:type="spellStart"/>
      <w:r w:rsidRPr="00CC19F7">
        <w:t>kilowattimar</w:t>
      </w:r>
      <w:proofErr w:type="spellEnd"/>
      <w:r w:rsidRPr="00CC19F7">
        <w:t xml:space="preserve"> per </w:t>
      </w:r>
      <w:proofErr w:type="spellStart"/>
      <w:r w:rsidRPr="00CC19F7">
        <w:t>månad</w:t>
      </w:r>
      <w:proofErr w:type="spellEnd"/>
      <w:r w:rsidRPr="00CC19F7">
        <w:t xml:space="preserve"> per målepunkt. Departementet </w:t>
      </w:r>
      <w:proofErr w:type="spellStart"/>
      <w:r w:rsidRPr="00CC19F7">
        <w:t>legg</w:t>
      </w:r>
      <w:proofErr w:type="spellEnd"/>
      <w:r w:rsidRPr="00CC19F7">
        <w:t xml:space="preserve"> til grunn </w:t>
      </w:r>
      <w:proofErr w:type="spellStart"/>
      <w:r w:rsidRPr="00CC19F7">
        <w:t>ein</w:t>
      </w:r>
      <w:proofErr w:type="spellEnd"/>
      <w:r w:rsidRPr="00CC19F7">
        <w:t xml:space="preserve"> stønadsgrad på 90 prosent i heile perioden desember 2023 til desember 2024. Stønad for straumforbruk i desember 2024 vil bli utbetalt i januar 2025.</w:t>
      </w:r>
    </w:p>
    <w:p w14:paraId="731CF339" w14:textId="77777777" w:rsidR="00FE02EF" w:rsidRPr="00CC19F7" w:rsidRDefault="00881E58" w:rsidP="00CC19F7">
      <w:r w:rsidRPr="00CC19F7">
        <w:t xml:space="preserve">For </w:t>
      </w:r>
      <w:proofErr w:type="spellStart"/>
      <w:r w:rsidRPr="00CC19F7">
        <w:t>fellesmålt</w:t>
      </w:r>
      <w:proofErr w:type="spellEnd"/>
      <w:r w:rsidRPr="00CC19F7">
        <w:t xml:space="preserve"> </w:t>
      </w:r>
      <w:proofErr w:type="spellStart"/>
      <w:r w:rsidRPr="00CC19F7">
        <w:t>hushaldningsforbruk</w:t>
      </w:r>
      <w:proofErr w:type="spellEnd"/>
      <w:r w:rsidRPr="00CC19F7">
        <w:t xml:space="preserve"> i bustadselskap blir det </w:t>
      </w:r>
      <w:proofErr w:type="spellStart"/>
      <w:r w:rsidRPr="00CC19F7">
        <w:t>ikkje</w:t>
      </w:r>
      <w:proofErr w:type="spellEnd"/>
      <w:r w:rsidRPr="00CC19F7">
        <w:t xml:space="preserve"> gitt stønad til forbruk som overstig 5 000 </w:t>
      </w:r>
      <w:proofErr w:type="spellStart"/>
      <w:r w:rsidRPr="00CC19F7">
        <w:t>kilowattimar</w:t>
      </w:r>
      <w:proofErr w:type="spellEnd"/>
      <w:r w:rsidRPr="00CC19F7">
        <w:t xml:space="preserve"> per </w:t>
      </w:r>
      <w:proofErr w:type="spellStart"/>
      <w:r w:rsidRPr="00CC19F7">
        <w:t>månad</w:t>
      </w:r>
      <w:proofErr w:type="spellEnd"/>
      <w:r w:rsidRPr="00CC19F7">
        <w:t xml:space="preserve"> per </w:t>
      </w:r>
      <w:proofErr w:type="spellStart"/>
      <w:r w:rsidRPr="00CC19F7">
        <w:t>bueining</w:t>
      </w:r>
      <w:proofErr w:type="spellEnd"/>
      <w:r w:rsidRPr="00CC19F7">
        <w:t xml:space="preserve">. Bustadselskapa skal rapportere overskriding av forbrukstaket til nettselskapet. Bustadselskap med </w:t>
      </w:r>
      <w:proofErr w:type="spellStart"/>
      <w:r w:rsidRPr="00CC19F7">
        <w:t>eit</w:t>
      </w:r>
      <w:proofErr w:type="spellEnd"/>
      <w:r w:rsidRPr="00CC19F7">
        <w:t xml:space="preserve"> visst innslag av anna forbruk enn </w:t>
      </w:r>
      <w:proofErr w:type="spellStart"/>
      <w:r w:rsidRPr="00CC19F7">
        <w:t>hushaldningsforbruk</w:t>
      </w:r>
      <w:proofErr w:type="spellEnd"/>
      <w:r w:rsidRPr="00CC19F7">
        <w:t xml:space="preserve"> skal innrapportere dette til sitt nettselskap.</w:t>
      </w:r>
    </w:p>
    <w:p w14:paraId="38ABC5FF" w14:textId="77777777" w:rsidR="00FE02EF" w:rsidRPr="00CC19F7" w:rsidRDefault="00881E58" w:rsidP="00CC19F7">
      <w:r w:rsidRPr="00CC19F7">
        <w:t xml:space="preserve">RME </w:t>
      </w:r>
      <w:proofErr w:type="spellStart"/>
      <w:r w:rsidRPr="00CC19F7">
        <w:t>forvaltar</w:t>
      </w:r>
      <w:proofErr w:type="spellEnd"/>
      <w:r w:rsidRPr="00CC19F7">
        <w:t xml:space="preserve"> </w:t>
      </w:r>
      <w:proofErr w:type="spellStart"/>
      <w:r w:rsidRPr="00CC19F7">
        <w:t>stønadsordninga</w:t>
      </w:r>
      <w:proofErr w:type="spellEnd"/>
      <w:r w:rsidRPr="00CC19F7">
        <w:t xml:space="preserve"> og er </w:t>
      </w:r>
      <w:proofErr w:type="spellStart"/>
      <w:r w:rsidRPr="00CC19F7">
        <w:t>ansvarleg</w:t>
      </w:r>
      <w:proofErr w:type="spellEnd"/>
      <w:r w:rsidRPr="00CC19F7">
        <w:t xml:space="preserve"> for tildelinga av stønad via det enkelte nettselskapet og for oppfølging og tilsyn med ordninga, mellom anna opplegg for oppfølging og kontroll. </w:t>
      </w:r>
      <w:proofErr w:type="spellStart"/>
      <w:r w:rsidRPr="00CC19F7">
        <w:t>Stønadssatsane</w:t>
      </w:r>
      <w:proofErr w:type="spellEnd"/>
      <w:r w:rsidRPr="00CC19F7">
        <w:t xml:space="preserve"> som RME </w:t>
      </w:r>
      <w:proofErr w:type="spellStart"/>
      <w:r w:rsidRPr="00CC19F7">
        <w:t>bereknar</w:t>
      </w:r>
      <w:proofErr w:type="spellEnd"/>
      <w:r w:rsidRPr="00CC19F7">
        <w:t xml:space="preserve">, kjem til </w:t>
      </w:r>
      <w:proofErr w:type="spellStart"/>
      <w:r w:rsidRPr="00CC19F7">
        <w:t>fråtrekk</w:t>
      </w:r>
      <w:proofErr w:type="spellEnd"/>
      <w:r w:rsidRPr="00CC19F7">
        <w:t xml:space="preserve"> </w:t>
      </w:r>
      <w:proofErr w:type="spellStart"/>
      <w:r w:rsidRPr="00CC19F7">
        <w:t>frå</w:t>
      </w:r>
      <w:proofErr w:type="spellEnd"/>
      <w:r w:rsidRPr="00CC19F7">
        <w:t xml:space="preserve"> straumrekninga til </w:t>
      </w:r>
      <w:proofErr w:type="spellStart"/>
      <w:r w:rsidRPr="00CC19F7">
        <w:t>hushaldninga</w:t>
      </w:r>
      <w:proofErr w:type="spellEnd"/>
      <w:r w:rsidRPr="00CC19F7">
        <w:t xml:space="preserve"> via faktura </w:t>
      </w:r>
      <w:proofErr w:type="spellStart"/>
      <w:r w:rsidRPr="00CC19F7">
        <w:t>frå</w:t>
      </w:r>
      <w:proofErr w:type="spellEnd"/>
      <w:r w:rsidRPr="00CC19F7">
        <w:t xml:space="preserve"> nettselskapet eller kraftleverandøren.</w:t>
      </w:r>
    </w:p>
    <w:p w14:paraId="30D79DE1" w14:textId="77777777" w:rsidR="00FE02EF" w:rsidRPr="00CC19F7" w:rsidRDefault="00881E58" w:rsidP="00CC19F7">
      <w:r w:rsidRPr="00CC19F7">
        <w:t xml:space="preserve">For at </w:t>
      </w:r>
      <w:proofErr w:type="spellStart"/>
      <w:r w:rsidRPr="00CC19F7">
        <w:t>ikkje</w:t>
      </w:r>
      <w:proofErr w:type="spellEnd"/>
      <w:r w:rsidRPr="00CC19F7">
        <w:t xml:space="preserve"> </w:t>
      </w:r>
      <w:proofErr w:type="spellStart"/>
      <w:r w:rsidRPr="00CC19F7">
        <w:t>stønadsordninga</w:t>
      </w:r>
      <w:proofErr w:type="spellEnd"/>
      <w:r w:rsidRPr="00CC19F7">
        <w:t xml:space="preserve"> skal dekke </w:t>
      </w:r>
      <w:proofErr w:type="spellStart"/>
      <w:r w:rsidRPr="00CC19F7">
        <w:t>eit</w:t>
      </w:r>
      <w:proofErr w:type="spellEnd"/>
      <w:r w:rsidRPr="00CC19F7">
        <w:t xml:space="preserve"> </w:t>
      </w:r>
      <w:proofErr w:type="spellStart"/>
      <w:r w:rsidRPr="00CC19F7">
        <w:t>usedvanleg</w:t>
      </w:r>
      <w:proofErr w:type="spellEnd"/>
      <w:r w:rsidRPr="00CC19F7">
        <w:t xml:space="preserve"> høgt straumforbruk, er det sett </w:t>
      </w:r>
      <w:proofErr w:type="spellStart"/>
      <w:r w:rsidRPr="00CC19F7">
        <w:t>eit</w:t>
      </w:r>
      <w:proofErr w:type="spellEnd"/>
      <w:r w:rsidRPr="00CC19F7">
        <w:t xml:space="preserve"> tak på stønad inntil 5 000 </w:t>
      </w:r>
      <w:proofErr w:type="spellStart"/>
      <w:r w:rsidRPr="00CC19F7">
        <w:t>kilowattimar</w:t>
      </w:r>
      <w:proofErr w:type="spellEnd"/>
      <w:r w:rsidRPr="00CC19F7">
        <w:t xml:space="preserve"> per </w:t>
      </w:r>
      <w:proofErr w:type="spellStart"/>
      <w:r w:rsidRPr="00CC19F7">
        <w:t>månad</w:t>
      </w:r>
      <w:proofErr w:type="spellEnd"/>
      <w:r w:rsidRPr="00CC19F7">
        <w:t xml:space="preserve"> i straumforbruk. For </w:t>
      </w:r>
      <w:proofErr w:type="spellStart"/>
      <w:r w:rsidRPr="00CC19F7">
        <w:t>fellesmålt</w:t>
      </w:r>
      <w:proofErr w:type="spellEnd"/>
      <w:r w:rsidRPr="00CC19F7">
        <w:t xml:space="preserve"> </w:t>
      </w:r>
      <w:proofErr w:type="spellStart"/>
      <w:r w:rsidRPr="00CC19F7">
        <w:t>hushaldningsforbruk</w:t>
      </w:r>
      <w:proofErr w:type="spellEnd"/>
      <w:r w:rsidRPr="00CC19F7">
        <w:t xml:space="preserve"> i bustadselskap blir det </w:t>
      </w:r>
      <w:proofErr w:type="spellStart"/>
      <w:r w:rsidRPr="00CC19F7">
        <w:t>ikkje</w:t>
      </w:r>
      <w:proofErr w:type="spellEnd"/>
      <w:r w:rsidRPr="00CC19F7">
        <w:t xml:space="preserve"> gitt stønad for forbruk som overstig 5 000 </w:t>
      </w:r>
      <w:proofErr w:type="spellStart"/>
      <w:r w:rsidRPr="00CC19F7">
        <w:t>kilowattimar</w:t>
      </w:r>
      <w:proofErr w:type="spellEnd"/>
      <w:r w:rsidRPr="00CC19F7">
        <w:t xml:space="preserve"> per </w:t>
      </w:r>
      <w:proofErr w:type="spellStart"/>
      <w:r w:rsidRPr="00CC19F7">
        <w:t>månad</w:t>
      </w:r>
      <w:proofErr w:type="spellEnd"/>
      <w:r w:rsidRPr="00CC19F7">
        <w:t xml:space="preserve"> per </w:t>
      </w:r>
      <w:proofErr w:type="spellStart"/>
      <w:r w:rsidRPr="00CC19F7">
        <w:t>bueining</w:t>
      </w:r>
      <w:proofErr w:type="spellEnd"/>
      <w:r w:rsidRPr="00CC19F7">
        <w:t xml:space="preserve">. Bustadselskapa skal rapportere overskriding av forbrukstaket til nettselskapet. Bustadselskap med </w:t>
      </w:r>
      <w:proofErr w:type="spellStart"/>
      <w:r w:rsidRPr="00CC19F7">
        <w:t>eit</w:t>
      </w:r>
      <w:proofErr w:type="spellEnd"/>
      <w:r w:rsidRPr="00CC19F7">
        <w:t xml:space="preserve"> visst innslag av anna forbruk enn </w:t>
      </w:r>
      <w:proofErr w:type="spellStart"/>
      <w:r w:rsidRPr="00CC19F7">
        <w:t>hushaldningsforbruk</w:t>
      </w:r>
      <w:proofErr w:type="spellEnd"/>
      <w:r w:rsidRPr="00CC19F7">
        <w:t xml:space="preserve"> skal innrapportere dette til sitt nettselskap.</w:t>
      </w:r>
    </w:p>
    <w:p w14:paraId="5AD09D33" w14:textId="77777777" w:rsidR="00FE02EF" w:rsidRPr="00CC19F7" w:rsidRDefault="00881E58" w:rsidP="00CC19F7">
      <w:r w:rsidRPr="00CC19F7">
        <w:t xml:space="preserve">Dersom stønadsbeløpet overstig </w:t>
      </w:r>
      <w:proofErr w:type="spellStart"/>
      <w:r w:rsidRPr="00CC19F7">
        <w:t>nettleiga</w:t>
      </w:r>
      <w:proofErr w:type="spellEnd"/>
      <w:r w:rsidRPr="00CC19F7">
        <w:t xml:space="preserve">, vil det </w:t>
      </w:r>
      <w:proofErr w:type="spellStart"/>
      <w:r w:rsidRPr="00CC19F7">
        <w:t>overskytande</w:t>
      </w:r>
      <w:proofErr w:type="spellEnd"/>
      <w:r w:rsidRPr="00CC19F7">
        <w:t xml:space="preserve"> beløpet bli utbetalt til </w:t>
      </w:r>
      <w:proofErr w:type="spellStart"/>
      <w:r w:rsidRPr="00CC19F7">
        <w:t>kundar</w:t>
      </w:r>
      <w:proofErr w:type="spellEnd"/>
      <w:r w:rsidRPr="00CC19F7">
        <w:t xml:space="preserve"> som </w:t>
      </w:r>
      <w:proofErr w:type="spellStart"/>
      <w:r w:rsidRPr="00CC19F7">
        <w:t>ikkje</w:t>
      </w:r>
      <w:proofErr w:type="spellEnd"/>
      <w:r w:rsidRPr="00CC19F7">
        <w:t xml:space="preserve"> har gjennomfakturering (felles faktura for </w:t>
      </w:r>
      <w:proofErr w:type="spellStart"/>
      <w:r w:rsidRPr="00CC19F7">
        <w:t>nettleige</w:t>
      </w:r>
      <w:proofErr w:type="spellEnd"/>
      <w:r w:rsidRPr="00CC19F7">
        <w:t xml:space="preserve"> og </w:t>
      </w:r>
      <w:proofErr w:type="spellStart"/>
      <w:r w:rsidRPr="00CC19F7">
        <w:t>straum</w:t>
      </w:r>
      <w:proofErr w:type="spellEnd"/>
      <w:r w:rsidRPr="00CC19F7">
        <w:t xml:space="preserve">). For </w:t>
      </w:r>
      <w:proofErr w:type="spellStart"/>
      <w:r w:rsidRPr="00CC19F7">
        <w:t>kundar</w:t>
      </w:r>
      <w:proofErr w:type="spellEnd"/>
      <w:r w:rsidRPr="00CC19F7">
        <w:t xml:space="preserve"> som har gjennomfakturering, vil støtta bli </w:t>
      </w:r>
      <w:proofErr w:type="spellStart"/>
      <w:r w:rsidRPr="00CC19F7">
        <w:t>trekt</w:t>
      </w:r>
      <w:proofErr w:type="spellEnd"/>
      <w:r w:rsidRPr="00CC19F7">
        <w:t xml:space="preserve"> </w:t>
      </w:r>
      <w:proofErr w:type="spellStart"/>
      <w:r w:rsidRPr="00CC19F7">
        <w:t>frå</w:t>
      </w:r>
      <w:proofErr w:type="spellEnd"/>
      <w:r w:rsidRPr="00CC19F7">
        <w:t xml:space="preserve"> det samla beløpet på fakturaen </w:t>
      </w:r>
      <w:proofErr w:type="spellStart"/>
      <w:r w:rsidRPr="00CC19F7">
        <w:t>frå</w:t>
      </w:r>
      <w:proofErr w:type="spellEnd"/>
      <w:r w:rsidRPr="00CC19F7">
        <w:t xml:space="preserve"> straumleverandøren. Dette skjer ved at straumleverandøren blir kompensert av nettselskapet gjennom </w:t>
      </w:r>
      <w:proofErr w:type="spellStart"/>
      <w:r w:rsidRPr="00CC19F7">
        <w:t>ein</w:t>
      </w:r>
      <w:proofErr w:type="spellEnd"/>
      <w:r w:rsidRPr="00CC19F7">
        <w:t xml:space="preserve"> </w:t>
      </w:r>
      <w:proofErr w:type="spellStart"/>
      <w:r w:rsidRPr="00CC19F7">
        <w:t>oppgjersmetode</w:t>
      </w:r>
      <w:proofErr w:type="spellEnd"/>
      <w:r w:rsidRPr="00CC19F7">
        <w:t xml:space="preserve"> som </w:t>
      </w:r>
      <w:proofErr w:type="spellStart"/>
      <w:r w:rsidRPr="00CC19F7">
        <w:t>allereie</w:t>
      </w:r>
      <w:proofErr w:type="spellEnd"/>
      <w:r w:rsidRPr="00CC19F7">
        <w:t xml:space="preserve"> er etablert og automatisert.</w:t>
      </w:r>
    </w:p>
    <w:p w14:paraId="102B8CEA" w14:textId="77777777" w:rsidR="00FE02EF" w:rsidRPr="00CC19F7" w:rsidRDefault="00881E58" w:rsidP="00CC19F7">
      <w:pPr>
        <w:pStyle w:val="avsnitt-undertittel"/>
      </w:pPr>
      <w:r w:rsidRPr="00CC19F7">
        <w:t>Resultat 2022</w:t>
      </w:r>
    </w:p>
    <w:p w14:paraId="71C9A93F" w14:textId="77777777" w:rsidR="00FE02EF" w:rsidRPr="00CC19F7" w:rsidRDefault="00881E58" w:rsidP="00CC19F7">
      <w:r w:rsidRPr="00CC19F7">
        <w:t xml:space="preserve">Det blei utbetalt om lag 32,6 mrd. kroner i straumstønad til </w:t>
      </w:r>
      <w:proofErr w:type="spellStart"/>
      <w:r w:rsidRPr="00CC19F7">
        <w:t>hushaldninger</w:t>
      </w:r>
      <w:proofErr w:type="spellEnd"/>
      <w:r w:rsidRPr="00CC19F7">
        <w:t xml:space="preserve"> i 2022.</w:t>
      </w:r>
    </w:p>
    <w:p w14:paraId="606ED796" w14:textId="77777777" w:rsidR="00FE02EF" w:rsidRPr="00CC19F7" w:rsidRDefault="00881E58" w:rsidP="00CC19F7">
      <w:r w:rsidRPr="00CC19F7">
        <w:t xml:space="preserve">Kvar </w:t>
      </w:r>
      <w:proofErr w:type="spellStart"/>
      <w:r w:rsidRPr="00CC19F7">
        <w:t>hushaldning</w:t>
      </w:r>
      <w:proofErr w:type="spellEnd"/>
      <w:r w:rsidRPr="00CC19F7">
        <w:t xml:space="preserve"> i </w:t>
      </w:r>
      <w:proofErr w:type="spellStart"/>
      <w:r w:rsidRPr="00CC19F7">
        <w:t>Noreg</w:t>
      </w:r>
      <w:proofErr w:type="spellEnd"/>
      <w:r w:rsidRPr="00CC19F7">
        <w:t xml:space="preserve"> </w:t>
      </w:r>
      <w:proofErr w:type="spellStart"/>
      <w:r w:rsidRPr="00CC19F7">
        <w:t>fekk</w:t>
      </w:r>
      <w:proofErr w:type="spellEnd"/>
      <w:r w:rsidRPr="00CC19F7">
        <w:t xml:space="preserve"> i gjennomsnitt 984 kroner i stønad </w:t>
      </w:r>
      <w:proofErr w:type="spellStart"/>
      <w:r w:rsidRPr="00CC19F7">
        <w:t>frå</w:t>
      </w:r>
      <w:proofErr w:type="spellEnd"/>
      <w:r w:rsidRPr="00CC19F7">
        <w:t xml:space="preserve"> staten kvar </w:t>
      </w:r>
      <w:proofErr w:type="spellStart"/>
      <w:r w:rsidRPr="00CC19F7">
        <w:t>månad</w:t>
      </w:r>
      <w:proofErr w:type="spellEnd"/>
      <w:r w:rsidRPr="00CC19F7">
        <w:t xml:space="preserve">. Den </w:t>
      </w:r>
      <w:proofErr w:type="spellStart"/>
      <w:r w:rsidRPr="00CC19F7">
        <w:t>gjennomsnittlege</w:t>
      </w:r>
      <w:proofErr w:type="spellEnd"/>
      <w:r w:rsidRPr="00CC19F7">
        <w:t xml:space="preserve"> støtta per </w:t>
      </w:r>
      <w:proofErr w:type="spellStart"/>
      <w:r w:rsidRPr="00CC19F7">
        <w:t>hushaldning</w:t>
      </w:r>
      <w:proofErr w:type="spellEnd"/>
      <w:r w:rsidRPr="00CC19F7">
        <w:t xml:space="preserve"> var størst i desember 2022, da kvar </w:t>
      </w:r>
      <w:proofErr w:type="spellStart"/>
      <w:r w:rsidRPr="00CC19F7">
        <w:t>hushaldning</w:t>
      </w:r>
      <w:proofErr w:type="spellEnd"/>
      <w:r w:rsidRPr="00CC19F7">
        <w:t xml:space="preserve"> i snitt </w:t>
      </w:r>
      <w:proofErr w:type="spellStart"/>
      <w:r w:rsidRPr="00CC19F7">
        <w:t>fekk</w:t>
      </w:r>
      <w:proofErr w:type="spellEnd"/>
      <w:r w:rsidRPr="00CC19F7">
        <w:t xml:space="preserve"> 3 115 kroner i stønad. </w:t>
      </w:r>
      <w:proofErr w:type="spellStart"/>
      <w:r w:rsidRPr="00CC19F7">
        <w:t>Hushaldningar</w:t>
      </w:r>
      <w:proofErr w:type="spellEnd"/>
      <w:r w:rsidRPr="00CC19F7">
        <w:t xml:space="preserve"> i Sørvest-</w:t>
      </w:r>
      <w:proofErr w:type="spellStart"/>
      <w:r w:rsidRPr="00CC19F7">
        <w:t>Noreg</w:t>
      </w:r>
      <w:proofErr w:type="spellEnd"/>
      <w:r w:rsidRPr="00CC19F7">
        <w:t xml:space="preserve"> (NO2) </w:t>
      </w:r>
      <w:proofErr w:type="spellStart"/>
      <w:r w:rsidRPr="00CC19F7">
        <w:t>fekk</w:t>
      </w:r>
      <w:proofErr w:type="spellEnd"/>
      <w:r w:rsidRPr="00CC19F7">
        <w:t xml:space="preserve"> mest stønad i snitt gjennom 2022, med om lag 16 500 kroner for kvar </w:t>
      </w:r>
      <w:proofErr w:type="spellStart"/>
      <w:r w:rsidRPr="00CC19F7">
        <w:t>hushaldning</w:t>
      </w:r>
      <w:proofErr w:type="spellEnd"/>
      <w:r w:rsidRPr="00CC19F7">
        <w:t xml:space="preserve">. Straumstøtta bidrog til å senke den </w:t>
      </w:r>
      <w:proofErr w:type="spellStart"/>
      <w:r w:rsidRPr="00CC19F7">
        <w:t>gjennomsnittlege</w:t>
      </w:r>
      <w:proofErr w:type="spellEnd"/>
      <w:r w:rsidRPr="00CC19F7">
        <w:t xml:space="preserve"> kraftprisen i Sør-</w:t>
      </w:r>
      <w:proofErr w:type="spellStart"/>
      <w:r w:rsidRPr="00CC19F7">
        <w:t>Noreg</w:t>
      </w:r>
      <w:proofErr w:type="spellEnd"/>
      <w:r w:rsidRPr="00CC19F7">
        <w:t xml:space="preserve"> med om lag 64 prosent – </w:t>
      </w:r>
      <w:proofErr w:type="spellStart"/>
      <w:r w:rsidRPr="00CC19F7">
        <w:t>frå</w:t>
      </w:r>
      <w:proofErr w:type="spellEnd"/>
      <w:r w:rsidRPr="00CC19F7">
        <w:t xml:space="preserve"> 199 til 72 øre per kilowattime.</w:t>
      </w:r>
    </w:p>
    <w:p w14:paraId="17517F85" w14:textId="77777777" w:rsidR="00FE02EF" w:rsidRPr="00CC19F7" w:rsidRDefault="00881E58" w:rsidP="00CC19F7">
      <w:r w:rsidRPr="00CC19F7">
        <w:t xml:space="preserve">Som følge av </w:t>
      </w:r>
      <w:proofErr w:type="spellStart"/>
      <w:r w:rsidRPr="00CC19F7">
        <w:t>dei</w:t>
      </w:r>
      <w:proofErr w:type="spellEnd"/>
      <w:r w:rsidRPr="00CC19F7">
        <w:t xml:space="preserve"> store </w:t>
      </w:r>
      <w:proofErr w:type="spellStart"/>
      <w:r w:rsidRPr="00CC19F7">
        <w:t>prisforskjellane</w:t>
      </w:r>
      <w:proofErr w:type="spellEnd"/>
      <w:r w:rsidRPr="00CC19F7">
        <w:t xml:space="preserve"> mellom nord og sør gjennom 2022, med høge </w:t>
      </w:r>
      <w:proofErr w:type="spellStart"/>
      <w:r w:rsidRPr="00CC19F7">
        <w:t>prisar</w:t>
      </w:r>
      <w:proofErr w:type="spellEnd"/>
      <w:r w:rsidRPr="00CC19F7">
        <w:t xml:space="preserve"> i Sør-</w:t>
      </w:r>
      <w:proofErr w:type="spellStart"/>
      <w:r w:rsidRPr="00CC19F7">
        <w:t>Noreg</w:t>
      </w:r>
      <w:proofErr w:type="spellEnd"/>
      <w:r w:rsidRPr="00CC19F7">
        <w:t xml:space="preserve"> og </w:t>
      </w:r>
      <w:proofErr w:type="spellStart"/>
      <w:r w:rsidRPr="00CC19F7">
        <w:t>lågare</w:t>
      </w:r>
      <w:proofErr w:type="spellEnd"/>
      <w:r w:rsidRPr="00CC19F7">
        <w:t xml:space="preserve"> </w:t>
      </w:r>
      <w:proofErr w:type="spellStart"/>
      <w:r w:rsidRPr="00CC19F7">
        <w:t>prisar</w:t>
      </w:r>
      <w:proofErr w:type="spellEnd"/>
      <w:r w:rsidRPr="00CC19F7">
        <w:t xml:space="preserve"> i Midt- og Nord-</w:t>
      </w:r>
      <w:proofErr w:type="spellStart"/>
      <w:r w:rsidRPr="00CC19F7">
        <w:t>Noreg</w:t>
      </w:r>
      <w:proofErr w:type="spellEnd"/>
      <w:r w:rsidRPr="00CC19F7">
        <w:t xml:space="preserve">, var det i </w:t>
      </w:r>
      <w:proofErr w:type="spellStart"/>
      <w:r w:rsidRPr="00CC19F7">
        <w:t>hovudsak</w:t>
      </w:r>
      <w:proofErr w:type="spellEnd"/>
      <w:r w:rsidRPr="00CC19F7">
        <w:t xml:space="preserve"> </w:t>
      </w:r>
      <w:proofErr w:type="spellStart"/>
      <w:r w:rsidRPr="00CC19F7">
        <w:t>hushaldningar</w:t>
      </w:r>
      <w:proofErr w:type="spellEnd"/>
      <w:r w:rsidRPr="00CC19F7">
        <w:t xml:space="preserve"> i </w:t>
      </w:r>
      <w:proofErr w:type="spellStart"/>
      <w:r w:rsidRPr="00CC19F7">
        <w:t>dei</w:t>
      </w:r>
      <w:proofErr w:type="spellEnd"/>
      <w:r w:rsidRPr="00CC19F7">
        <w:t xml:space="preserve"> tre </w:t>
      </w:r>
      <w:proofErr w:type="spellStart"/>
      <w:r w:rsidRPr="00CC19F7">
        <w:t>sørlege</w:t>
      </w:r>
      <w:proofErr w:type="spellEnd"/>
      <w:r w:rsidRPr="00CC19F7">
        <w:t xml:space="preserve"> prisområda NO1, NO2 og NO5 som </w:t>
      </w:r>
      <w:proofErr w:type="spellStart"/>
      <w:r w:rsidRPr="00CC19F7">
        <w:t>fekk</w:t>
      </w:r>
      <w:proofErr w:type="spellEnd"/>
      <w:r w:rsidRPr="00CC19F7">
        <w:t xml:space="preserve"> straumstønad i 2022. Søraust-</w:t>
      </w:r>
      <w:proofErr w:type="spellStart"/>
      <w:r w:rsidRPr="00CC19F7">
        <w:t>Noreg</w:t>
      </w:r>
      <w:proofErr w:type="spellEnd"/>
      <w:r w:rsidRPr="00CC19F7">
        <w:t xml:space="preserve"> (NO1) stod for den største utgiftsposten, der det blei utbetalt om lag 15,5 mrd. kroner til </w:t>
      </w:r>
      <w:proofErr w:type="spellStart"/>
      <w:r w:rsidRPr="00CC19F7">
        <w:t>hushaldningane</w:t>
      </w:r>
      <w:proofErr w:type="spellEnd"/>
      <w:r w:rsidRPr="00CC19F7">
        <w:t>. I Sørvest-</w:t>
      </w:r>
      <w:proofErr w:type="spellStart"/>
      <w:r w:rsidRPr="00CC19F7">
        <w:t>Noreg</w:t>
      </w:r>
      <w:proofErr w:type="spellEnd"/>
      <w:r w:rsidRPr="00CC19F7">
        <w:t xml:space="preserve"> (NO2) og Vest-</w:t>
      </w:r>
      <w:proofErr w:type="spellStart"/>
      <w:r w:rsidRPr="00CC19F7">
        <w:t>Noreg</w:t>
      </w:r>
      <w:proofErr w:type="spellEnd"/>
      <w:r w:rsidRPr="00CC19F7">
        <w:t xml:space="preserve"> (NO5) blei det utbetalt </w:t>
      </w:r>
      <w:proofErr w:type="spellStart"/>
      <w:r w:rsidRPr="00CC19F7">
        <w:t>høvesvis</w:t>
      </w:r>
      <w:proofErr w:type="spellEnd"/>
      <w:r w:rsidRPr="00CC19F7">
        <w:t xml:space="preserve"> om lag 10,1 og 3,8 mrd. kroner, </w:t>
      </w:r>
      <w:proofErr w:type="spellStart"/>
      <w:r w:rsidRPr="00CC19F7">
        <w:t>medan</w:t>
      </w:r>
      <w:proofErr w:type="spellEnd"/>
      <w:r w:rsidRPr="00CC19F7">
        <w:t xml:space="preserve"> det blei utbetalt </w:t>
      </w:r>
      <w:proofErr w:type="spellStart"/>
      <w:r w:rsidRPr="00CC19F7">
        <w:t>høvesvis</w:t>
      </w:r>
      <w:proofErr w:type="spellEnd"/>
      <w:r w:rsidRPr="00CC19F7">
        <w:t xml:space="preserve"> om lag 0,9 mrd. kroner og 0,1 mrd. kroner i Midt-</w:t>
      </w:r>
      <w:proofErr w:type="spellStart"/>
      <w:r w:rsidRPr="00CC19F7">
        <w:t>Noreg</w:t>
      </w:r>
      <w:proofErr w:type="spellEnd"/>
      <w:r w:rsidRPr="00CC19F7">
        <w:t xml:space="preserve"> (NO3) og Nord-</w:t>
      </w:r>
      <w:proofErr w:type="spellStart"/>
      <w:r w:rsidRPr="00CC19F7">
        <w:t>Noreg</w:t>
      </w:r>
      <w:proofErr w:type="spellEnd"/>
      <w:r w:rsidRPr="00CC19F7">
        <w:t xml:space="preserve"> (NO4).</w:t>
      </w:r>
    </w:p>
    <w:p w14:paraId="2C95C59E" w14:textId="77777777" w:rsidR="00FE02EF" w:rsidRPr="00CC19F7" w:rsidRDefault="00881E58" w:rsidP="00CC19F7">
      <w:pPr>
        <w:pStyle w:val="b-post"/>
      </w:pPr>
      <w:r w:rsidRPr="00CC19F7">
        <w:t xml:space="preserve">Post 76 Stønad til </w:t>
      </w:r>
      <w:proofErr w:type="spellStart"/>
      <w:r w:rsidRPr="00CC19F7">
        <w:t>hushaldningskundar</w:t>
      </w:r>
      <w:proofErr w:type="spellEnd"/>
      <w:r w:rsidRPr="00CC19F7">
        <w:t xml:space="preserve"> av nærvarmeanlegg, kan </w:t>
      </w:r>
      <w:proofErr w:type="spellStart"/>
      <w:r w:rsidRPr="00CC19F7">
        <w:t>overførast</w:t>
      </w:r>
      <w:proofErr w:type="spellEnd"/>
    </w:p>
    <w:p w14:paraId="08CB1000" w14:textId="77777777" w:rsidR="00FE02EF" w:rsidRPr="00CC19F7" w:rsidRDefault="00881E58" w:rsidP="00CC19F7">
      <w:r w:rsidRPr="00CC19F7">
        <w:t xml:space="preserve">Det blir foreslått ei løyving på 22,5 mill. kroner i </w:t>
      </w:r>
      <w:proofErr w:type="spellStart"/>
      <w:r w:rsidRPr="00CC19F7">
        <w:t>tilskot</w:t>
      </w:r>
      <w:proofErr w:type="spellEnd"/>
      <w:r w:rsidRPr="00CC19F7">
        <w:t xml:space="preserve"> til stønad til </w:t>
      </w:r>
      <w:proofErr w:type="spellStart"/>
      <w:r w:rsidRPr="00CC19F7">
        <w:t>hushaldningskundar</w:t>
      </w:r>
      <w:proofErr w:type="spellEnd"/>
      <w:r w:rsidRPr="00CC19F7">
        <w:t xml:space="preserve"> av nærvarmeanlegg som baserer seg på </w:t>
      </w:r>
      <w:proofErr w:type="spellStart"/>
      <w:r w:rsidRPr="00CC19F7">
        <w:t>straum</w:t>
      </w:r>
      <w:proofErr w:type="spellEnd"/>
      <w:r w:rsidRPr="00CC19F7">
        <w:t>. Løyvinga dekker utbetaling av stønad i perioden desember 2023 til november 2024 og administrative kostnader til drift av ordninga.</w:t>
      </w:r>
    </w:p>
    <w:p w14:paraId="71317C0E" w14:textId="77777777" w:rsidR="00FE02EF" w:rsidRPr="00CC19F7" w:rsidRDefault="00881E58" w:rsidP="00CC19F7">
      <w:pPr>
        <w:pStyle w:val="avsnitt-tittel"/>
      </w:pPr>
      <w:r w:rsidRPr="00CC19F7">
        <w:t>Mål og målgruppe</w:t>
      </w:r>
    </w:p>
    <w:p w14:paraId="12711DCC" w14:textId="77777777" w:rsidR="00FE02EF" w:rsidRPr="00CC19F7" w:rsidRDefault="00881E58" w:rsidP="00CC19F7">
      <w:r w:rsidRPr="00CC19F7">
        <w:t xml:space="preserve">Ordninga skal bidra til </w:t>
      </w:r>
      <w:proofErr w:type="spellStart"/>
      <w:r w:rsidRPr="00CC19F7">
        <w:t>ein</w:t>
      </w:r>
      <w:proofErr w:type="spellEnd"/>
      <w:r w:rsidRPr="00CC19F7">
        <w:t xml:space="preserve"> reduksjon av utgiftene til </w:t>
      </w:r>
      <w:proofErr w:type="spellStart"/>
      <w:r w:rsidRPr="00CC19F7">
        <w:t>varmeforbruk</w:t>
      </w:r>
      <w:proofErr w:type="spellEnd"/>
      <w:r w:rsidRPr="00CC19F7">
        <w:t xml:space="preserve"> for private </w:t>
      </w:r>
      <w:proofErr w:type="spellStart"/>
      <w:r w:rsidRPr="00CC19F7">
        <w:t>hushaldningar</w:t>
      </w:r>
      <w:proofErr w:type="spellEnd"/>
      <w:r w:rsidRPr="00CC19F7">
        <w:t xml:space="preserve"> knytte til nærvarmeanlegg som baserer seg på </w:t>
      </w:r>
      <w:proofErr w:type="spellStart"/>
      <w:r w:rsidRPr="00CC19F7">
        <w:t>straum</w:t>
      </w:r>
      <w:proofErr w:type="spellEnd"/>
      <w:r w:rsidRPr="00CC19F7">
        <w:t xml:space="preserve">, dersom straumprisen overstig </w:t>
      </w:r>
      <w:proofErr w:type="spellStart"/>
      <w:r w:rsidRPr="00CC19F7">
        <w:t>ein</w:t>
      </w:r>
      <w:proofErr w:type="spellEnd"/>
      <w:r w:rsidRPr="00CC19F7">
        <w:t xml:space="preserve"> fastsett terskelverdi. Ordninga gjeld for </w:t>
      </w:r>
      <w:proofErr w:type="spellStart"/>
      <w:r w:rsidRPr="00CC19F7">
        <w:t>varmeforbruk</w:t>
      </w:r>
      <w:proofErr w:type="spellEnd"/>
      <w:r w:rsidRPr="00CC19F7">
        <w:t xml:space="preserve"> til og med desember 2024. Ordninga gjeld også </w:t>
      </w:r>
      <w:proofErr w:type="spellStart"/>
      <w:r w:rsidRPr="00CC19F7">
        <w:t>hushaldningsforbruk</w:t>
      </w:r>
      <w:proofErr w:type="spellEnd"/>
      <w:r w:rsidRPr="00CC19F7">
        <w:t xml:space="preserve"> i bustadselskap (burettslag, bustadsameige, bustadaksjeselskap mv.). Ordninga gjeld </w:t>
      </w:r>
      <w:proofErr w:type="spellStart"/>
      <w:r w:rsidRPr="00CC19F7">
        <w:t>ikkje</w:t>
      </w:r>
      <w:proofErr w:type="spellEnd"/>
      <w:r w:rsidRPr="00CC19F7">
        <w:t xml:space="preserve"> </w:t>
      </w:r>
      <w:proofErr w:type="spellStart"/>
      <w:r w:rsidRPr="00CC19F7">
        <w:t>fritidsbustader</w:t>
      </w:r>
      <w:proofErr w:type="spellEnd"/>
      <w:r w:rsidRPr="00CC19F7">
        <w:t xml:space="preserve"> som </w:t>
      </w:r>
      <w:proofErr w:type="spellStart"/>
      <w:r w:rsidRPr="00CC19F7">
        <w:t>ikkje</w:t>
      </w:r>
      <w:proofErr w:type="spellEnd"/>
      <w:r w:rsidRPr="00CC19F7">
        <w:t xml:space="preserve"> er fast bustad, og </w:t>
      </w:r>
      <w:proofErr w:type="spellStart"/>
      <w:r w:rsidRPr="00CC19F7">
        <w:t>næringsverksemd</w:t>
      </w:r>
      <w:proofErr w:type="spellEnd"/>
      <w:r w:rsidRPr="00CC19F7">
        <w:t>. Ordninga er søknadsbasert, og nærvarmekunden må søke NVE om stønad.</w:t>
      </w:r>
    </w:p>
    <w:p w14:paraId="1890E691" w14:textId="77777777" w:rsidR="00FE02EF" w:rsidRPr="00CC19F7" w:rsidRDefault="00881E58" w:rsidP="00CC19F7">
      <w:pPr>
        <w:pStyle w:val="avsnitt-tittel"/>
      </w:pPr>
      <w:r w:rsidRPr="00CC19F7">
        <w:t>Tildelingskriterium og oppfølging</w:t>
      </w:r>
    </w:p>
    <w:p w14:paraId="09E9F8C9" w14:textId="77777777" w:rsidR="00FE02EF" w:rsidRPr="00CC19F7" w:rsidRDefault="00881E58" w:rsidP="00CC19F7">
      <w:proofErr w:type="spellStart"/>
      <w:r w:rsidRPr="00CC19F7">
        <w:t>Stønadsordninga</w:t>
      </w:r>
      <w:proofErr w:type="spellEnd"/>
      <w:r w:rsidRPr="00CC19F7">
        <w:t xml:space="preserve"> er basert på straumprisen i det prisområdet </w:t>
      </w:r>
      <w:proofErr w:type="spellStart"/>
      <w:r w:rsidRPr="00CC19F7">
        <w:t>hushaldningane</w:t>
      </w:r>
      <w:proofErr w:type="spellEnd"/>
      <w:r w:rsidRPr="00CC19F7">
        <w:t xml:space="preserve"> høyrer til. Støtta trer inn dersom straumprisen i det aktuelle prisområdet overstig </w:t>
      </w:r>
      <w:proofErr w:type="spellStart"/>
      <w:r w:rsidRPr="00CC19F7">
        <w:t>ein</w:t>
      </w:r>
      <w:proofErr w:type="spellEnd"/>
      <w:r w:rsidRPr="00CC19F7">
        <w:t xml:space="preserve"> fastsett terskelverdi. Prisjustert terskelverdi blir foreslått sett til </w:t>
      </w:r>
      <w:proofErr w:type="spellStart"/>
      <w:r w:rsidRPr="00CC19F7">
        <w:t>ein</w:t>
      </w:r>
      <w:proofErr w:type="spellEnd"/>
      <w:r w:rsidRPr="00CC19F7">
        <w:t xml:space="preserve"> straumpris på 73 øre per kilowattime før avgifter </w:t>
      </w:r>
      <w:proofErr w:type="spellStart"/>
      <w:r w:rsidRPr="00CC19F7">
        <w:t>frå</w:t>
      </w:r>
      <w:proofErr w:type="spellEnd"/>
      <w:r w:rsidRPr="00CC19F7">
        <w:t xml:space="preserve"> 1. januar 2024. Med straumpris er det her meint spotpris i det prisområdet </w:t>
      </w:r>
      <w:proofErr w:type="spellStart"/>
      <w:r w:rsidRPr="00CC19F7">
        <w:t>hushaldninga</w:t>
      </w:r>
      <w:proofErr w:type="spellEnd"/>
      <w:r w:rsidRPr="00CC19F7">
        <w:t xml:space="preserve"> høyrer til. I motsetning til den ordinære straumstønadsordninga vil nærvarmestøtta bli berekna ut </w:t>
      </w:r>
      <w:proofErr w:type="spellStart"/>
      <w:r w:rsidRPr="00CC19F7">
        <w:t>frå</w:t>
      </w:r>
      <w:proofErr w:type="spellEnd"/>
      <w:r w:rsidRPr="00CC19F7">
        <w:t xml:space="preserve"> den </w:t>
      </w:r>
      <w:proofErr w:type="spellStart"/>
      <w:r w:rsidRPr="00CC19F7">
        <w:t>månadlege</w:t>
      </w:r>
      <w:proofErr w:type="spellEnd"/>
      <w:r w:rsidRPr="00CC19F7">
        <w:t xml:space="preserve"> gjennomsnittsprisen på </w:t>
      </w:r>
      <w:proofErr w:type="spellStart"/>
      <w:r w:rsidRPr="00CC19F7">
        <w:t>straum</w:t>
      </w:r>
      <w:proofErr w:type="spellEnd"/>
      <w:r w:rsidRPr="00CC19F7">
        <w:t xml:space="preserve">. Departementet </w:t>
      </w:r>
      <w:proofErr w:type="spellStart"/>
      <w:r w:rsidRPr="00CC19F7">
        <w:t>legg</w:t>
      </w:r>
      <w:proofErr w:type="spellEnd"/>
      <w:r w:rsidRPr="00CC19F7">
        <w:t xml:space="preserve"> til grunn </w:t>
      </w:r>
      <w:proofErr w:type="spellStart"/>
      <w:r w:rsidRPr="00CC19F7">
        <w:t>ein</w:t>
      </w:r>
      <w:proofErr w:type="spellEnd"/>
      <w:r w:rsidRPr="00CC19F7">
        <w:t xml:space="preserve"> stønadsgrad på 90 prosent i heile perioden desember 2023 til desember 2024. Stønad for straumforbruk i desember 2024 vil bli utbetalt i januar 2025.</w:t>
      </w:r>
    </w:p>
    <w:p w14:paraId="6FF9DBA8" w14:textId="77777777" w:rsidR="00FE02EF" w:rsidRPr="00CC19F7" w:rsidRDefault="00881E58" w:rsidP="00CC19F7">
      <w:r w:rsidRPr="00CC19F7">
        <w:t xml:space="preserve">For at </w:t>
      </w:r>
      <w:proofErr w:type="spellStart"/>
      <w:r w:rsidRPr="00CC19F7">
        <w:t>ikkje</w:t>
      </w:r>
      <w:proofErr w:type="spellEnd"/>
      <w:r w:rsidRPr="00CC19F7">
        <w:t xml:space="preserve"> </w:t>
      </w:r>
      <w:proofErr w:type="spellStart"/>
      <w:r w:rsidRPr="00CC19F7">
        <w:t>stønadsordninga</w:t>
      </w:r>
      <w:proofErr w:type="spellEnd"/>
      <w:r w:rsidRPr="00CC19F7">
        <w:t xml:space="preserve"> skal dekke </w:t>
      </w:r>
      <w:proofErr w:type="spellStart"/>
      <w:r w:rsidRPr="00CC19F7">
        <w:t>eit</w:t>
      </w:r>
      <w:proofErr w:type="spellEnd"/>
      <w:r w:rsidRPr="00CC19F7">
        <w:t xml:space="preserve"> </w:t>
      </w:r>
      <w:proofErr w:type="spellStart"/>
      <w:r w:rsidRPr="00CC19F7">
        <w:t>usedvanleg</w:t>
      </w:r>
      <w:proofErr w:type="spellEnd"/>
      <w:r w:rsidRPr="00CC19F7">
        <w:t xml:space="preserve"> høgt forbruk, er det sett </w:t>
      </w:r>
      <w:proofErr w:type="spellStart"/>
      <w:r w:rsidRPr="00CC19F7">
        <w:t>eit</w:t>
      </w:r>
      <w:proofErr w:type="spellEnd"/>
      <w:r w:rsidRPr="00CC19F7">
        <w:t xml:space="preserve"> tak på stønad inntil 5 000 </w:t>
      </w:r>
      <w:proofErr w:type="spellStart"/>
      <w:r w:rsidRPr="00CC19F7">
        <w:t>kilowattimar</w:t>
      </w:r>
      <w:proofErr w:type="spellEnd"/>
      <w:r w:rsidRPr="00CC19F7">
        <w:t xml:space="preserve"> per </w:t>
      </w:r>
      <w:proofErr w:type="spellStart"/>
      <w:r w:rsidRPr="00CC19F7">
        <w:t>månad</w:t>
      </w:r>
      <w:proofErr w:type="spellEnd"/>
      <w:r w:rsidRPr="00CC19F7">
        <w:t xml:space="preserve"> i straumforbruk. For </w:t>
      </w:r>
      <w:proofErr w:type="spellStart"/>
      <w:r w:rsidRPr="00CC19F7">
        <w:t>fellesmålt</w:t>
      </w:r>
      <w:proofErr w:type="spellEnd"/>
      <w:r w:rsidRPr="00CC19F7">
        <w:t xml:space="preserve"> </w:t>
      </w:r>
      <w:proofErr w:type="spellStart"/>
      <w:r w:rsidRPr="00CC19F7">
        <w:t>hushaldningsforbruk</w:t>
      </w:r>
      <w:proofErr w:type="spellEnd"/>
      <w:r w:rsidRPr="00CC19F7">
        <w:t xml:space="preserve"> i bustadselskap blir det </w:t>
      </w:r>
      <w:proofErr w:type="spellStart"/>
      <w:r w:rsidRPr="00CC19F7">
        <w:t>ikkje</w:t>
      </w:r>
      <w:proofErr w:type="spellEnd"/>
      <w:r w:rsidRPr="00CC19F7">
        <w:t xml:space="preserve"> gitt stønad til forbruk som overstig 5 000 </w:t>
      </w:r>
      <w:proofErr w:type="spellStart"/>
      <w:r w:rsidRPr="00CC19F7">
        <w:t>kilowattimar</w:t>
      </w:r>
      <w:proofErr w:type="spellEnd"/>
      <w:r w:rsidRPr="00CC19F7">
        <w:t xml:space="preserve"> per </w:t>
      </w:r>
      <w:proofErr w:type="spellStart"/>
      <w:r w:rsidRPr="00CC19F7">
        <w:t>månad</w:t>
      </w:r>
      <w:proofErr w:type="spellEnd"/>
      <w:r w:rsidRPr="00CC19F7">
        <w:t xml:space="preserve"> per </w:t>
      </w:r>
      <w:proofErr w:type="spellStart"/>
      <w:r w:rsidRPr="00CC19F7">
        <w:t>bueining</w:t>
      </w:r>
      <w:proofErr w:type="spellEnd"/>
      <w:r w:rsidRPr="00CC19F7">
        <w:t xml:space="preserve">. Bustadselskapa skal rapportere overskriding av forbrukstaket til NVE. Bustadselskap med </w:t>
      </w:r>
      <w:proofErr w:type="spellStart"/>
      <w:r w:rsidRPr="00CC19F7">
        <w:t>eit</w:t>
      </w:r>
      <w:proofErr w:type="spellEnd"/>
      <w:r w:rsidRPr="00CC19F7">
        <w:t xml:space="preserve"> visst innslag av anna forbruk enn </w:t>
      </w:r>
      <w:proofErr w:type="spellStart"/>
      <w:r w:rsidRPr="00CC19F7">
        <w:t>hushaldningsforbruk</w:t>
      </w:r>
      <w:proofErr w:type="spellEnd"/>
      <w:r w:rsidRPr="00CC19F7">
        <w:t xml:space="preserve"> skal innrapportere dette til NVE.</w:t>
      </w:r>
    </w:p>
    <w:p w14:paraId="5F6CB56A" w14:textId="77777777" w:rsidR="00FE02EF" w:rsidRPr="00CC19F7" w:rsidRDefault="00881E58" w:rsidP="00CC19F7">
      <w:r w:rsidRPr="00CC19F7">
        <w:t xml:space="preserve">NVE </w:t>
      </w:r>
      <w:proofErr w:type="spellStart"/>
      <w:r w:rsidRPr="00CC19F7">
        <w:t>forvaltar</w:t>
      </w:r>
      <w:proofErr w:type="spellEnd"/>
      <w:r w:rsidRPr="00CC19F7">
        <w:t xml:space="preserve"> </w:t>
      </w:r>
      <w:proofErr w:type="spellStart"/>
      <w:r w:rsidRPr="00CC19F7">
        <w:t>stønadsordninga</w:t>
      </w:r>
      <w:proofErr w:type="spellEnd"/>
      <w:r w:rsidRPr="00CC19F7">
        <w:t xml:space="preserve"> og er </w:t>
      </w:r>
      <w:proofErr w:type="spellStart"/>
      <w:r w:rsidRPr="00CC19F7">
        <w:t>ansvarleg</w:t>
      </w:r>
      <w:proofErr w:type="spellEnd"/>
      <w:r w:rsidRPr="00CC19F7">
        <w:t xml:space="preserve"> for tildeling av støtta og tilsyn med ordninga, deriblant opplegg for oppfølging og kontroll.</w:t>
      </w:r>
    </w:p>
    <w:p w14:paraId="6878873C" w14:textId="77777777" w:rsidR="00FE02EF" w:rsidRPr="00CC19F7" w:rsidRDefault="00881E58" w:rsidP="00CC19F7">
      <w:pPr>
        <w:pStyle w:val="b-budkaptit"/>
      </w:pPr>
      <w:r w:rsidRPr="00CC19F7">
        <w:t xml:space="preserve">Kap. 4820 </w:t>
      </w:r>
      <w:proofErr w:type="spellStart"/>
      <w:r w:rsidRPr="00CC19F7">
        <w:t>Noregs</w:t>
      </w:r>
      <w:proofErr w:type="spellEnd"/>
      <w:r w:rsidRPr="00CC19F7">
        <w:t xml:space="preserve"> vassdrags- og energidirektorat</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504"/>
        <w:gridCol w:w="1276"/>
        <w:gridCol w:w="1620"/>
        <w:gridCol w:w="1300"/>
      </w:tblGrid>
      <w:tr w:rsidR="00FE02EF" w:rsidRPr="00CC19F7" w14:paraId="38F2646B" w14:textId="77777777" w:rsidTr="005F29B2">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2E8FFEE" w14:textId="77777777" w:rsidR="00FE02EF" w:rsidRPr="00CC19F7" w:rsidRDefault="00881E58" w:rsidP="00CC19F7">
            <w:pPr>
              <w:pStyle w:val="Tabellnavn"/>
            </w:pPr>
            <w:r w:rsidRPr="00CC19F7">
              <w:t>KPAL</w:t>
            </w:r>
          </w:p>
        </w:tc>
        <w:tc>
          <w:tcPr>
            <w:tcW w:w="4504" w:type="dxa"/>
            <w:tcBorders>
              <w:top w:val="nil"/>
              <w:left w:val="nil"/>
              <w:bottom w:val="single" w:sz="4" w:space="0" w:color="000000"/>
              <w:right w:val="nil"/>
            </w:tcBorders>
            <w:tcMar>
              <w:top w:w="128" w:type="dxa"/>
              <w:left w:w="43" w:type="dxa"/>
              <w:bottom w:w="43" w:type="dxa"/>
              <w:right w:w="43" w:type="dxa"/>
            </w:tcMar>
            <w:vAlign w:val="bottom"/>
          </w:tcPr>
          <w:p w14:paraId="6FAF4651" w14:textId="77777777" w:rsidR="00FE02EF" w:rsidRPr="00CC19F7" w:rsidRDefault="00FE02EF" w:rsidP="005F29B2"/>
        </w:tc>
        <w:tc>
          <w:tcPr>
            <w:tcW w:w="1276" w:type="dxa"/>
            <w:tcBorders>
              <w:top w:val="nil"/>
              <w:left w:val="nil"/>
              <w:bottom w:val="single" w:sz="4" w:space="0" w:color="000000"/>
              <w:right w:val="nil"/>
            </w:tcBorders>
            <w:tcMar>
              <w:top w:w="128" w:type="dxa"/>
              <w:left w:w="43" w:type="dxa"/>
              <w:bottom w:w="43" w:type="dxa"/>
              <w:right w:w="43" w:type="dxa"/>
            </w:tcMar>
            <w:vAlign w:val="bottom"/>
          </w:tcPr>
          <w:p w14:paraId="3229912E" w14:textId="77777777" w:rsidR="00FE02EF" w:rsidRPr="00CC19F7" w:rsidRDefault="00FE02EF" w:rsidP="005F29B2">
            <w:pPr>
              <w:jc w:val="right"/>
            </w:pPr>
          </w:p>
        </w:tc>
        <w:tc>
          <w:tcPr>
            <w:tcW w:w="1620" w:type="dxa"/>
            <w:tcBorders>
              <w:top w:val="nil"/>
              <w:left w:val="nil"/>
              <w:bottom w:val="single" w:sz="4" w:space="0" w:color="000000"/>
              <w:right w:val="nil"/>
            </w:tcBorders>
            <w:tcMar>
              <w:top w:w="128" w:type="dxa"/>
              <w:left w:w="43" w:type="dxa"/>
              <w:bottom w:w="43" w:type="dxa"/>
              <w:right w:w="43" w:type="dxa"/>
            </w:tcMar>
            <w:vAlign w:val="bottom"/>
          </w:tcPr>
          <w:p w14:paraId="7FB36002" w14:textId="77777777" w:rsidR="00FE02EF" w:rsidRPr="00CC19F7" w:rsidRDefault="00FE02EF" w:rsidP="005F29B2">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F7725D0" w14:textId="77777777" w:rsidR="00FE02EF" w:rsidRPr="00CC19F7" w:rsidRDefault="00881E58" w:rsidP="005F29B2">
            <w:pPr>
              <w:jc w:val="right"/>
            </w:pPr>
            <w:r w:rsidRPr="00CC19F7">
              <w:t>(i 1 000 kr)</w:t>
            </w:r>
          </w:p>
        </w:tc>
      </w:tr>
      <w:tr w:rsidR="00FE02EF" w:rsidRPr="00CC19F7" w14:paraId="6FC3233B" w14:textId="77777777" w:rsidTr="005F29B2">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6033E21" w14:textId="77777777" w:rsidR="00FE02EF" w:rsidRPr="00CC19F7" w:rsidRDefault="00881E58" w:rsidP="00CC19F7">
            <w:r w:rsidRPr="00CC19F7">
              <w:t>Post</w:t>
            </w:r>
          </w:p>
        </w:tc>
        <w:tc>
          <w:tcPr>
            <w:tcW w:w="4504" w:type="dxa"/>
            <w:tcBorders>
              <w:top w:val="nil"/>
              <w:left w:val="nil"/>
              <w:bottom w:val="single" w:sz="4" w:space="0" w:color="000000"/>
              <w:right w:val="nil"/>
            </w:tcBorders>
            <w:tcMar>
              <w:top w:w="128" w:type="dxa"/>
              <w:left w:w="43" w:type="dxa"/>
              <w:bottom w:w="43" w:type="dxa"/>
              <w:right w:w="43" w:type="dxa"/>
            </w:tcMar>
            <w:vAlign w:val="bottom"/>
          </w:tcPr>
          <w:p w14:paraId="057348FD" w14:textId="77777777" w:rsidR="00FE02EF" w:rsidRPr="00CC19F7" w:rsidRDefault="00881E58" w:rsidP="005F29B2">
            <w:proofErr w:type="spellStart"/>
            <w:r w:rsidRPr="00CC19F7">
              <w:t>Nemning</w:t>
            </w:r>
            <w:proofErr w:type="spellEnd"/>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32C3D2F3" w14:textId="77777777" w:rsidR="00FE02EF" w:rsidRPr="00CC19F7" w:rsidRDefault="00881E58" w:rsidP="005F29B2">
            <w:pPr>
              <w:jc w:val="right"/>
            </w:pPr>
            <w:proofErr w:type="spellStart"/>
            <w:r w:rsidRPr="00CC19F7">
              <w:t>Rekneskap</w:t>
            </w:r>
            <w:proofErr w:type="spellEnd"/>
            <w:r w:rsidRPr="00CC19F7">
              <w:br/>
              <w:t>2022</w:t>
            </w:r>
          </w:p>
        </w:tc>
        <w:tc>
          <w:tcPr>
            <w:tcW w:w="1620" w:type="dxa"/>
            <w:tcBorders>
              <w:top w:val="nil"/>
              <w:left w:val="nil"/>
              <w:bottom w:val="single" w:sz="4" w:space="0" w:color="000000"/>
              <w:right w:val="nil"/>
            </w:tcBorders>
            <w:tcMar>
              <w:top w:w="128" w:type="dxa"/>
              <w:left w:w="43" w:type="dxa"/>
              <w:bottom w:w="43" w:type="dxa"/>
              <w:right w:w="43" w:type="dxa"/>
            </w:tcMar>
            <w:vAlign w:val="bottom"/>
          </w:tcPr>
          <w:p w14:paraId="1D80813B" w14:textId="77777777" w:rsidR="00FE02EF" w:rsidRPr="00CC19F7" w:rsidRDefault="00881E58" w:rsidP="005F29B2">
            <w:pPr>
              <w:jc w:val="right"/>
            </w:pPr>
            <w:r w:rsidRPr="00CC19F7">
              <w:t>Saldert</w:t>
            </w:r>
            <w:r w:rsidRPr="00CC19F7">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5EA7CD0" w14:textId="77777777" w:rsidR="00FE02EF" w:rsidRPr="00CC19F7" w:rsidRDefault="00881E58" w:rsidP="005F29B2">
            <w:pPr>
              <w:jc w:val="right"/>
            </w:pPr>
            <w:r w:rsidRPr="00CC19F7">
              <w:t>Forslag</w:t>
            </w:r>
            <w:r w:rsidRPr="00CC19F7">
              <w:br/>
              <w:t>2024</w:t>
            </w:r>
          </w:p>
        </w:tc>
      </w:tr>
      <w:tr w:rsidR="00FE02EF" w:rsidRPr="00CC19F7" w14:paraId="1FD11011" w14:textId="77777777" w:rsidTr="005F29B2">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2C2B8F50" w14:textId="77777777" w:rsidR="00FE02EF" w:rsidRPr="00CC19F7" w:rsidRDefault="00881E58" w:rsidP="00CC19F7">
            <w:r w:rsidRPr="00CC19F7">
              <w:t>01</w:t>
            </w:r>
          </w:p>
        </w:tc>
        <w:tc>
          <w:tcPr>
            <w:tcW w:w="4504" w:type="dxa"/>
            <w:tcBorders>
              <w:top w:val="single" w:sz="4" w:space="0" w:color="000000"/>
              <w:left w:val="nil"/>
              <w:bottom w:val="nil"/>
              <w:right w:val="nil"/>
            </w:tcBorders>
            <w:tcMar>
              <w:top w:w="128" w:type="dxa"/>
              <w:left w:w="43" w:type="dxa"/>
              <w:bottom w:w="43" w:type="dxa"/>
              <w:right w:w="43" w:type="dxa"/>
            </w:tcMar>
          </w:tcPr>
          <w:p w14:paraId="1E25B3BA" w14:textId="77777777" w:rsidR="00FE02EF" w:rsidRPr="00CC19F7" w:rsidRDefault="00881E58" w:rsidP="005F29B2">
            <w:r w:rsidRPr="00CC19F7">
              <w:t>Gebyrinntekter</w:t>
            </w:r>
          </w:p>
        </w:tc>
        <w:tc>
          <w:tcPr>
            <w:tcW w:w="1276" w:type="dxa"/>
            <w:tcBorders>
              <w:top w:val="single" w:sz="4" w:space="0" w:color="000000"/>
              <w:left w:val="nil"/>
              <w:bottom w:val="nil"/>
              <w:right w:val="nil"/>
            </w:tcBorders>
            <w:tcMar>
              <w:top w:w="128" w:type="dxa"/>
              <w:left w:w="43" w:type="dxa"/>
              <w:bottom w:w="43" w:type="dxa"/>
              <w:right w:w="43" w:type="dxa"/>
            </w:tcMar>
            <w:vAlign w:val="bottom"/>
          </w:tcPr>
          <w:p w14:paraId="276C9ADF" w14:textId="77777777" w:rsidR="00FE02EF" w:rsidRPr="00CC19F7" w:rsidRDefault="00881E58" w:rsidP="005F29B2">
            <w:pPr>
              <w:jc w:val="right"/>
            </w:pPr>
            <w:r w:rsidRPr="00CC19F7">
              <w:t>35 236</w:t>
            </w:r>
          </w:p>
        </w:tc>
        <w:tc>
          <w:tcPr>
            <w:tcW w:w="1620" w:type="dxa"/>
            <w:tcBorders>
              <w:top w:val="single" w:sz="4" w:space="0" w:color="000000"/>
              <w:left w:val="nil"/>
              <w:bottom w:val="nil"/>
              <w:right w:val="nil"/>
            </w:tcBorders>
            <w:tcMar>
              <w:top w:w="128" w:type="dxa"/>
              <w:left w:w="43" w:type="dxa"/>
              <w:bottom w:w="43" w:type="dxa"/>
              <w:right w:w="43" w:type="dxa"/>
            </w:tcMar>
            <w:vAlign w:val="bottom"/>
          </w:tcPr>
          <w:p w14:paraId="0C7E2E9D" w14:textId="77777777" w:rsidR="00FE02EF" w:rsidRPr="00CC19F7" w:rsidRDefault="00881E58" w:rsidP="005F29B2">
            <w:pPr>
              <w:jc w:val="right"/>
            </w:pPr>
            <w:r w:rsidRPr="00CC19F7">
              <w:t>42 000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FCEE917" w14:textId="77777777" w:rsidR="00FE02EF" w:rsidRPr="00CC19F7" w:rsidRDefault="00881E58" w:rsidP="005F29B2">
            <w:pPr>
              <w:jc w:val="right"/>
            </w:pPr>
            <w:r w:rsidRPr="00CC19F7">
              <w:t>11 500</w:t>
            </w:r>
          </w:p>
        </w:tc>
      </w:tr>
      <w:tr w:rsidR="00FE02EF" w:rsidRPr="00CC19F7" w14:paraId="479275C4" w14:textId="77777777" w:rsidTr="005F29B2">
        <w:trPr>
          <w:trHeight w:val="380"/>
        </w:trPr>
        <w:tc>
          <w:tcPr>
            <w:tcW w:w="840" w:type="dxa"/>
            <w:tcBorders>
              <w:top w:val="nil"/>
              <w:left w:val="nil"/>
              <w:bottom w:val="nil"/>
              <w:right w:val="nil"/>
            </w:tcBorders>
            <w:tcMar>
              <w:top w:w="128" w:type="dxa"/>
              <w:left w:w="43" w:type="dxa"/>
              <w:bottom w:w="43" w:type="dxa"/>
              <w:right w:w="43" w:type="dxa"/>
            </w:tcMar>
          </w:tcPr>
          <w:p w14:paraId="3262278E" w14:textId="77777777" w:rsidR="00FE02EF" w:rsidRPr="00CC19F7" w:rsidRDefault="00881E58" w:rsidP="00CC19F7">
            <w:r w:rsidRPr="00CC19F7">
              <w:t>02</w:t>
            </w:r>
          </w:p>
        </w:tc>
        <w:tc>
          <w:tcPr>
            <w:tcW w:w="4504" w:type="dxa"/>
            <w:tcBorders>
              <w:top w:val="nil"/>
              <w:left w:val="nil"/>
              <w:bottom w:val="nil"/>
              <w:right w:val="nil"/>
            </w:tcBorders>
            <w:tcMar>
              <w:top w:w="128" w:type="dxa"/>
              <w:left w:w="43" w:type="dxa"/>
              <w:bottom w:w="43" w:type="dxa"/>
              <w:right w:w="43" w:type="dxa"/>
            </w:tcMar>
          </w:tcPr>
          <w:p w14:paraId="7A944215" w14:textId="77777777" w:rsidR="00FE02EF" w:rsidRPr="00CC19F7" w:rsidRDefault="00881E58" w:rsidP="005F29B2">
            <w:r w:rsidRPr="00CC19F7">
              <w:t>Oppdrags- og samarbeidsinntekter</w:t>
            </w:r>
          </w:p>
        </w:tc>
        <w:tc>
          <w:tcPr>
            <w:tcW w:w="1276" w:type="dxa"/>
            <w:tcBorders>
              <w:top w:val="nil"/>
              <w:left w:val="nil"/>
              <w:bottom w:val="nil"/>
              <w:right w:val="nil"/>
            </w:tcBorders>
            <w:tcMar>
              <w:top w:w="128" w:type="dxa"/>
              <w:left w:w="43" w:type="dxa"/>
              <w:bottom w:w="43" w:type="dxa"/>
              <w:right w:w="43" w:type="dxa"/>
            </w:tcMar>
            <w:vAlign w:val="bottom"/>
          </w:tcPr>
          <w:p w14:paraId="24B8151E" w14:textId="77777777" w:rsidR="00FE02EF" w:rsidRPr="00CC19F7" w:rsidRDefault="00881E58" w:rsidP="005F29B2">
            <w:pPr>
              <w:jc w:val="right"/>
            </w:pPr>
            <w:r w:rsidRPr="00CC19F7">
              <w:t>53 616</w:t>
            </w:r>
          </w:p>
        </w:tc>
        <w:tc>
          <w:tcPr>
            <w:tcW w:w="1620" w:type="dxa"/>
            <w:tcBorders>
              <w:top w:val="nil"/>
              <w:left w:val="nil"/>
              <w:bottom w:val="nil"/>
              <w:right w:val="nil"/>
            </w:tcBorders>
            <w:tcMar>
              <w:top w:w="128" w:type="dxa"/>
              <w:left w:w="43" w:type="dxa"/>
              <w:bottom w:w="43" w:type="dxa"/>
              <w:right w:w="43" w:type="dxa"/>
            </w:tcMar>
            <w:vAlign w:val="bottom"/>
          </w:tcPr>
          <w:p w14:paraId="450EF28B" w14:textId="77777777" w:rsidR="00FE02EF" w:rsidRPr="00CC19F7" w:rsidRDefault="00881E58" w:rsidP="005F29B2">
            <w:pPr>
              <w:jc w:val="right"/>
            </w:pPr>
            <w:r w:rsidRPr="00CC19F7">
              <w:t>67 653</w:t>
            </w:r>
          </w:p>
        </w:tc>
        <w:tc>
          <w:tcPr>
            <w:tcW w:w="1300" w:type="dxa"/>
            <w:tcBorders>
              <w:top w:val="nil"/>
              <w:left w:val="nil"/>
              <w:bottom w:val="nil"/>
              <w:right w:val="nil"/>
            </w:tcBorders>
            <w:tcMar>
              <w:top w:w="128" w:type="dxa"/>
              <w:left w:w="43" w:type="dxa"/>
              <w:bottom w:w="43" w:type="dxa"/>
              <w:right w:w="43" w:type="dxa"/>
            </w:tcMar>
            <w:vAlign w:val="bottom"/>
          </w:tcPr>
          <w:p w14:paraId="697BA5BF" w14:textId="77777777" w:rsidR="00FE02EF" w:rsidRPr="00CC19F7" w:rsidRDefault="00881E58" w:rsidP="005F29B2">
            <w:pPr>
              <w:jc w:val="right"/>
            </w:pPr>
            <w:r w:rsidRPr="00CC19F7">
              <w:t>70 000</w:t>
            </w:r>
          </w:p>
        </w:tc>
      </w:tr>
      <w:tr w:rsidR="00FE02EF" w:rsidRPr="00CC19F7" w14:paraId="120C1FB3" w14:textId="77777777" w:rsidTr="005F29B2">
        <w:trPr>
          <w:trHeight w:val="380"/>
        </w:trPr>
        <w:tc>
          <w:tcPr>
            <w:tcW w:w="840" w:type="dxa"/>
            <w:tcBorders>
              <w:top w:val="nil"/>
              <w:left w:val="nil"/>
              <w:bottom w:val="nil"/>
              <w:right w:val="nil"/>
            </w:tcBorders>
            <w:tcMar>
              <w:top w:w="128" w:type="dxa"/>
              <w:left w:w="43" w:type="dxa"/>
              <w:bottom w:w="43" w:type="dxa"/>
              <w:right w:w="43" w:type="dxa"/>
            </w:tcMar>
          </w:tcPr>
          <w:p w14:paraId="58BCB0D3" w14:textId="77777777" w:rsidR="00FE02EF" w:rsidRPr="00CC19F7" w:rsidRDefault="00881E58" w:rsidP="00CC19F7">
            <w:r w:rsidRPr="00CC19F7">
              <w:t>03</w:t>
            </w:r>
          </w:p>
        </w:tc>
        <w:tc>
          <w:tcPr>
            <w:tcW w:w="4504" w:type="dxa"/>
            <w:tcBorders>
              <w:top w:val="nil"/>
              <w:left w:val="nil"/>
              <w:bottom w:val="nil"/>
              <w:right w:val="nil"/>
            </w:tcBorders>
            <w:tcMar>
              <w:top w:w="128" w:type="dxa"/>
              <w:left w:w="43" w:type="dxa"/>
              <w:bottom w:w="43" w:type="dxa"/>
              <w:right w:w="43" w:type="dxa"/>
            </w:tcMar>
          </w:tcPr>
          <w:p w14:paraId="59D87993" w14:textId="77777777" w:rsidR="00FE02EF" w:rsidRPr="00CC19F7" w:rsidRDefault="00881E58" w:rsidP="005F29B2">
            <w:r w:rsidRPr="00CC19F7">
              <w:t>Sal av utstyr mv.</w:t>
            </w:r>
          </w:p>
        </w:tc>
        <w:tc>
          <w:tcPr>
            <w:tcW w:w="1276" w:type="dxa"/>
            <w:tcBorders>
              <w:top w:val="nil"/>
              <w:left w:val="nil"/>
              <w:bottom w:val="nil"/>
              <w:right w:val="nil"/>
            </w:tcBorders>
            <w:tcMar>
              <w:top w:w="128" w:type="dxa"/>
              <w:left w:w="43" w:type="dxa"/>
              <w:bottom w:w="43" w:type="dxa"/>
              <w:right w:w="43" w:type="dxa"/>
            </w:tcMar>
            <w:vAlign w:val="bottom"/>
          </w:tcPr>
          <w:p w14:paraId="60BCDDF5" w14:textId="77777777" w:rsidR="00FE02EF" w:rsidRPr="00CC19F7" w:rsidRDefault="00881E58" w:rsidP="005F29B2">
            <w:pPr>
              <w:jc w:val="right"/>
            </w:pPr>
            <w:r w:rsidRPr="00CC19F7">
              <w:t>1 340</w:t>
            </w:r>
          </w:p>
        </w:tc>
        <w:tc>
          <w:tcPr>
            <w:tcW w:w="1620" w:type="dxa"/>
            <w:tcBorders>
              <w:top w:val="nil"/>
              <w:left w:val="nil"/>
              <w:bottom w:val="nil"/>
              <w:right w:val="nil"/>
            </w:tcBorders>
            <w:tcMar>
              <w:top w:w="128" w:type="dxa"/>
              <w:left w:w="43" w:type="dxa"/>
              <w:bottom w:w="43" w:type="dxa"/>
              <w:right w:w="43" w:type="dxa"/>
            </w:tcMar>
            <w:vAlign w:val="bottom"/>
          </w:tcPr>
          <w:p w14:paraId="489BECE0" w14:textId="77777777" w:rsidR="00FE02EF" w:rsidRPr="00CC19F7" w:rsidRDefault="00FE02EF" w:rsidP="005F29B2">
            <w:pPr>
              <w:jc w:val="right"/>
            </w:pPr>
          </w:p>
        </w:tc>
        <w:tc>
          <w:tcPr>
            <w:tcW w:w="1300" w:type="dxa"/>
            <w:tcBorders>
              <w:top w:val="nil"/>
              <w:left w:val="nil"/>
              <w:bottom w:val="nil"/>
              <w:right w:val="nil"/>
            </w:tcBorders>
            <w:tcMar>
              <w:top w:w="128" w:type="dxa"/>
              <w:left w:w="43" w:type="dxa"/>
              <w:bottom w:w="43" w:type="dxa"/>
              <w:right w:w="43" w:type="dxa"/>
            </w:tcMar>
            <w:vAlign w:val="bottom"/>
          </w:tcPr>
          <w:p w14:paraId="20DB244B" w14:textId="77777777" w:rsidR="00FE02EF" w:rsidRPr="00CC19F7" w:rsidRDefault="00FE02EF" w:rsidP="005F29B2">
            <w:pPr>
              <w:jc w:val="right"/>
            </w:pPr>
          </w:p>
        </w:tc>
      </w:tr>
      <w:tr w:rsidR="00FE02EF" w:rsidRPr="00CC19F7" w14:paraId="2B6D561F" w14:textId="77777777" w:rsidTr="005F29B2">
        <w:trPr>
          <w:trHeight w:val="380"/>
        </w:trPr>
        <w:tc>
          <w:tcPr>
            <w:tcW w:w="840" w:type="dxa"/>
            <w:tcBorders>
              <w:top w:val="nil"/>
              <w:left w:val="nil"/>
              <w:bottom w:val="nil"/>
              <w:right w:val="nil"/>
            </w:tcBorders>
            <w:tcMar>
              <w:top w:w="128" w:type="dxa"/>
              <w:left w:w="43" w:type="dxa"/>
              <w:bottom w:w="43" w:type="dxa"/>
              <w:right w:w="43" w:type="dxa"/>
            </w:tcMar>
          </w:tcPr>
          <w:p w14:paraId="7628D052" w14:textId="77777777" w:rsidR="00FE02EF" w:rsidRPr="00CC19F7" w:rsidRDefault="00881E58" w:rsidP="00CC19F7">
            <w:r w:rsidRPr="00CC19F7">
              <w:t>10</w:t>
            </w:r>
          </w:p>
        </w:tc>
        <w:tc>
          <w:tcPr>
            <w:tcW w:w="4504" w:type="dxa"/>
            <w:tcBorders>
              <w:top w:val="nil"/>
              <w:left w:val="nil"/>
              <w:bottom w:val="nil"/>
              <w:right w:val="nil"/>
            </w:tcBorders>
            <w:tcMar>
              <w:top w:w="128" w:type="dxa"/>
              <w:left w:w="43" w:type="dxa"/>
              <w:bottom w:w="43" w:type="dxa"/>
              <w:right w:w="43" w:type="dxa"/>
            </w:tcMar>
          </w:tcPr>
          <w:p w14:paraId="16CCBFC5" w14:textId="77777777" w:rsidR="00FE02EF" w:rsidRPr="00CC19F7" w:rsidRDefault="00881E58" w:rsidP="005F29B2">
            <w:proofErr w:type="spellStart"/>
            <w:r w:rsidRPr="00CC19F7">
              <w:t>Refusjonar</w:t>
            </w:r>
            <w:proofErr w:type="spellEnd"/>
          </w:p>
        </w:tc>
        <w:tc>
          <w:tcPr>
            <w:tcW w:w="1276" w:type="dxa"/>
            <w:tcBorders>
              <w:top w:val="nil"/>
              <w:left w:val="nil"/>
              <w:bottom w:val="nil"/>
              <w:right w:val="nil"/>
            </w:tcBorders>
            <w:tcMar>
              <w:top w:w="128" w:type="dxa"/>
              <w:left w:w="43" w:type="dxa"/>
              <w:bottom w:w="43" w:type="dxa"/>
              <w:right w:w="43" w:type="dxa"/>
            </w:tcMar>
            <w:vAlign w:val="bottom"/>
          </w:tcPr>
          <w:p w14:paraId="47E5A449" w14:textId="77777777" w:rsidR="00FE02EF" w:rsidRPr="00CC19F7" w:rsidRDefault="00881E58" w:rsidP="005F29B2">
            <w:pPr>
              <w:jc w:val="right"/>
            </w:pPr>
            <w:r w:rsidRPr="00CC19F7">
              <w:t>16 303</w:t>
            </w:r>
          </w:p>
        </w:tc>
        <w:tc>
          <w:tcPr>
            <w:tcW w:w="1620" w:type="dxa"/>
            <w:tcBorders>
              <w:top w:val="nil"/>
              <w:left w:val="nil"/>
              <w:bottom w:val="nil"/>
              <w:right w:val="nil"/>
            </w:tcBorders>
            <w:tcMar>
              <w:top w:w="128" w:type="dxa"/>
              <w:left w:w="43" w:type="dxa"/>
              <w:bottom w:w="43" w:type="dxa"/>
              <w:right w:w="43" w:type="dxa"/>
            </w:tcMar>
            <w:vAlign w:val="bottom"/>
          </w:tcPr>
          <w:p w14:paraId="4FDC5571" w14:textId="77777777" w:rsidR="00FE02EF" w:rsidRPr="00CC19F7" w:rsidRDefault="00FE02EF" w:rsidP="005F29B2">
            <w:pPr>
              <w:jc w:val="right"/>
            </w:pPr>
          </w:p>
        </w:tc>
        <w:tc>
          <w:tcPr>
            <w:tcW w:w="1300" w:type="dxa"/>
            <w:tcBorders>
              <w:top w:val="nil"/>
              <w:left w:val="nil"/>
              <w:bottom w:val="nil"/>
              <w:right w:val="nil"/>
            </w:tcBorders>
            <w:tcMar>
              <w:top w:w="128" w:type="dxa"/>
              <w:left w:w="43" w:type="dxa"/>
              <w:bottom w:w="43" w:type="dxa"/>
              <w:right w:w="43" w:type="dxa"/>
            </w:tcMar>
            <w:vAlign w:val="bottom"/>
          </w:tcPr>
          <w:p w14:paraId="52C6B07C" w14:textId="77777777" w:rsidR="00FE02EF" w:rsidRPr="00CC19F7" w:rsidRDefault="00FE02EF" w:rsidP="005F29B2">
            <w:pPr>
              <w:jc w:val="right"/>
            </w:pPr>
          </w:p>
        </w:tc>
      </w:tr>
      <w:tr w:rsidR="00FE02EF" w:rsidRPr="00CC19F7" w14:paraId="39824283" w14:textId="77777777" w:rsidTr="005F29B2">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C8DAB45" w14:textId="77777777" w:rsidR="00FE02EF" w:rsidRPr="00CC19F7" w:rsidRDefault="00881E58" w:rsidP="00CC19F7">
            <w:r w:rsidRPr="00CC19F7">
              <w:t>40</w:t>
            </w:r>
          </w:p>
        </w:tc>
        <w:tc>
          <w:tcPr>
            <w:tcW w:w="4504" w:type="dxa"/>
            <w:tcBorders>
              <w:top w:val="nil"/>
              <w:left w:val="nil"/>
              <w:bottom w:val="single" w:sz="4" w:space="0" w:color="000000"/>
              <w:right w:val="nil"/>
            </w:tcBorders>
            <w:tcMar>
              <w:top w:w="128" w:type="dxa"/>
              <w:left w:w="43" w:type="dxa"/>
              <w:bottom w:w="43" w:type="dxa"/>
              <w:right w:w="43" w:type="dxa"/>
            </w:tcMar>
          </w:tcPr>
          <w:p w14:paraId="01F03EE7" w14:textId="77777777" w:rsidR="00FE02EF" w:rsidRPr="00CC19F7" w:rsidRDefault="00881E58" w:rsidP="005F29B2">
            <w:proofErr w:type="spellStart"/>
            <w:r w:rsidRPr="00CC19F7">
              <w:t>Flaum</w:t>
            </w:r>
            <w:proofErr w:type="spellEnd"/>
            <w:r w:rsidRPr="00CC19F7">
              <w:t xml:space="preserve">- og </w:t>
            </w:r>
            <w:proofErr w:type="spellStart"/>
            <w:r w:rsidRPr="00CC19F7">
              <w:t>skredførebygging</w:t>
            </w:r>
            <w:proofErr w:type="spellEnd"/>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78A9C64F" w14:textId="77777777" w:rsidR="00FE02EF" w:rsidRPr="00CC19F7" w:rsidRDefault="00881E58" w:rsidP="005F29B2">
            <w:pPr>
              <w:jc w:val="right"/>
            </w:pPr>
            <w:r w:rsidRPr="00CC19F7">
              <w:t>24 399</w:t>
            </w:r>
          </w:p>
        </w:tc>
        <w:tc>
          <w:tcPr>
            <w:tcW w:w="1620" w:type="dxa"/>
            <w:tcBorders>
              <w:top w:val="nil"/>
              <w:left w:val="nil"/>
              <w:bottom w:val="single" w:sz="4" w:space="0" w:color="000000"/>
              <w:right w:val="nil"/>
            </w:tcBorders>
            <w:tcMar>
              <w:top w:w="128" w:type="dxa"/>
              <w:left w:w="43" w:type="dxa"/>
              <w:bottom w:w="43" w:type="dxa"/>
              <w:right w:w="43" w:type="dxa"/>
            </w:tcMar>
            <w:vAlign w:val="bottom"/>
          </w:tcPr>
          <w:p w14:paraId="2429ACDB" w14:textId="77777777" w:rsidR="00FE02EF" w:rsidRPr="00CC19F7" w:rsidRDefault="00881E58" w:rsidP="005F29B2">
            <w:pPr>
              <w:jc w:val="right"/>
            </w:pPr>
            <w:r w:rsidRPr="00CC19F7">
              <w:t>38 000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DD9042E" w14:textId="77777777" w:rsidR="00FE02EF" w:rsidRPr="00CC19F7" w:rsidRDefault="00881E58" w:rsidP="005F29B2">
            <w:pPr>
              <w:jc w:val="right"/>
            </w:pPr>
            <w:r w:rsidRPr="00CC19F7">
              <w:t>38 000</w:t>
            </w:r>
          </w:p>
        </w:tc>
      </w:tr>
      <w:tr w:rsidR="00FE02EF" w:rsidRPr="00CC19F7" w14:paraId="1A2168EB" w14:textId="77777777" w:rsidTr="005F29B2">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53E6159" w14:textId="77777777" w:rsidR="00FE02EF" w:rsidRPr="00CC19F7" w:rsidRDefault="00FE02EF" w:rsidP="00CC19F7"/>
        </w:tc>
        <w:tc>
          <w:tcPr>
            <w:tcW w:w="4504" w:type="dxa"/>
            <w:tcBorders>
              <w:top w:val="nil"/>
              <w:left w:val="nil"/>
              <w:bottom w:val="single" w:sz="4" w:space="0" w:color="000000"/>
              <w:right w:val="nil"/>
            </w:tcBorders>
            <w:tcMar>
              <w:top w:w="128" w:type="dxa"/>
              <w:left w:w="43" w:type="dxa"/>
              <w:bottom w:w="43" w:type="dxa"/>
              <w:right w:w="43" w:type="dxa"/>
            </w:tcMar>
          </w:tcPr>
          <w:p w14:paraId="5529714B" w14:textId="77777777" w:rsidR="00FE02EF" w:rsidRPr="00CC19F7" w:rsidRDefault="00881E58" w:rsidP="005F29B2">
            <w:r w:rsidRPr="00CC19F7">
              <w:t>Sum kap. 4820</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31EC1B8B" w14:textId="77777777" w:rsidR="00FE02EF" w:rsidRPr="00CC19F7" w:rsidRDefault="00881E58" w:rsidP="005F29B2">
            <w:pPr>
              <w:jc w:val="right"/>
            </w:pPr>
            <w:r w:rsidRPr="00CC19F7">
              <w:t>130 894</w:t>
            </w:r>
          </w:p>
        </w:tc>
        <w:tc>
          <w:tcPr>
            <w:tcW w:w="1620" w:type="dxa"/>
            <w:tcBorders>
              <w:top w:val="nil"/>
              <w:left w:val="nil"/>
              <w:bottom w:val="single" w:sz="4" w:space="0" w:color="000000"/>
              <w:right w:val="nil"/>
            </w:tcBorders>
            <w:tcMar>
              <w:top w:w="128" w:type="dxa"/>
              <w:left w:w="43" w:type="dxa"/>
              <w:bottom w:w="43" w:type="dxa"/>
              <w:right w:w="43" w:type="dxa"/>
            </w:tcMar>
            <w:vAlign w:val="bottom"/>
          </w:tcPr>
          <w:p w14:paraId="49E98068" w14:textId="77777777" w:rsidR="00FE02EF" w:rsidRPr="00CC19F7" w:rsidRDefault="00881E58" w:rsidP="005F29B2">
            <w:pPr>
              <w:jc w:val="right"/>
            </w:pPr>
            <w:r w:rsidRPr="00CC19F7">
              <w:t>147 653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DEFF89D" w14:textId="77777777" w:rsidR="00FE02EF" w:rsidRPr="00CC19F7" w:rsidRDefault="00881E58" w:rsidP="005F29B2">
            <w:pPr>
              <w:jc w:val="right"/>
            </w:pPr>
            <w:r w:rsidRPr="00CC19F7">
              <w:t>119 500</w:t>
            </w:r>
          </w:p>
        </w:tc>
      </w:tr>
    </w:tbl>
    <w:p w14:paraId="5EE3BA09" w14:textId="77777777" w:rsidR="00FE02EF" w:rsidRPr="00CC19F7" w:rsidRDefault="00881E58" w:rsidP="00CC19F7">
      <w:pPr>
        <w:pStyle w:val="avsnitt-undertittel"/>
      </w:pPr>
      <w:r w:rsidRPr="00CC19F7">
        <w:t>Om 2023</w:t>
      </w:r>
    </w:p>
    <w:p w14:paraId="6164DCC9" w14:textId="77777777" w:rsidR="00FE02EF" w:rsidRPr="00CC19F7" w:rsidRDefault="00881E58" w:rsidP="00CC19F7">
      <w:r w:rsidRPr="00CC19F7">
        <w:t xml:space="preserve">Ved Stortingets vedtak 16. juni 2023 blei post 01 redusert med 32,4 mill. kroner, jf. </w:t>
      </w:r>
      <w:proofErr w:type="spellStart"/>
      <w:r w:rsidRPr="00CC19F7">
        <w:t>Prop</w:t>
      </w:r>
      <w:proofErr w:type="spellEnd"/>
      <w:r w:rsidRPr="00CC19F7">
        <w:t xml:space="preserve">. 118 S (2022–2023) og </w:t>
      </w:r>
      <w:proofErr w:type="spellStart"/>
      <w:r w:rsidRPr="00CC19F7">
        <w:t>Innst</w:t>
      </w:r>
      <w:proofErr w:type="spellEnd"/>
      <w:r w:rsidRPr="00CC19F7">
        <w:t>. 490 S (2022–2023).</w:t>
      </w:r>
    </w:p>
    <w:p w14:paraId="7576EBF9" w14:textId="77777777" w:rsidR="00FE02EF" w:rsidRPr="00CC19F7" w:rsidRDefault="00881E58" w:rsidP="00CC19F7">
      <w:pPr>
        <w:pStyle w:val="b-post"/>
      </w:pPr>
      <w:r w:rsidRPr="00CC19F7">
        <w:t>Post 01 Gebyrinntekter</w:t>
      </w:r>
    </w:p>
    <w:p w14:paraId="6E47B14E" w14:textId="77777777" w:rsidR="00FE02EF" w:rsidRPr="00CC19F7" w:rsidRDefault="00881E58" w:rsidP="00CC19F7">
      <w:r w:rsidRPr="00CC19F7">
        <w:t xml:space="preserve">Posten </w:t>
      </w:r>
      <w:proofErr w:type="spellStart"/>
      <w:r w:rsidRPr="00CC19F7">
        <w:t>omfattar</w:t>
      </w:r>
      <w:proofErr w:type="spellEnd"/>
      <w:r w:rsidRPr="00CC19F7">
        <w:t xml:space="preserve"> gebyrinntekter </w:t>
      </w:r>
      <w:proofErr w:type="spellStart"/>
      <w:r w:rsidRPr="00CC19F7">
        <w:t>frå</w:t>
      </w:r>
      <w:proofErr w:type="spellEnd"/>
      <w:r w:rsidRPr="00CC19F7">
        <w:t xml:space="preserve"> innhenting og kontroll av hydrologiske </w:t>
      </w:r>
      <w:proofErr w:type="spellStart"/>
      <w:r w:rsidRPr="00CC19F7">
        <w:t>målingar</w:t>
      </w:r>
      <w:proofErr w:type="spellEnd"/>
      <w:r w:rsidRPr="00CC19F7">
        <w:t xml:space="preserve"> og tilsyn med </w:t>
      </w:r>
      <w:proofErr w:type="spellStart"/>
      <w:r w:rsidRPr="00CC19F7">
        <w:t>utanlandskonsesjonar</w:t>
      </w:r>
      <w:proofErr w:type="spellEnd"/>
      <w:r w:rsidRPr="00CC19F7">
        <w:t>.</w:t>
      </w:r>
    </w:p>
    <w:p w14:paraId="4F69F54C" w14:textId="77777777" w:rsidR="00FE02EF" w:rsidRPr="00CC19F7" w:rsidRDefault="00881E58" w:rsidP="00CC19F7">
      <w:r w:rsidRPr="00CC19F7">
        <w:t xml:space="preserve">Reduksjonen </w:t>
      </w:r>
      <w:proofErr w:type="spellStart"/>
      <w:r w:rsidRPr="00CC19F7">
        <w:t>frå</w:t>
      </w:r>
      <w:proofErr w:type="spellEnd"/>
      <w:r w:rsidRPr="00CC19F7">
        <w:t xml:space="preserve"> saldert budsjett 2023 har </w:t>
      </w:r>
      <w:proofErr w:type="spellStart"/>
      <w:r w:rsidRPr="00CC19F7">
        <w:t>samanheng</w:t>
      </w:r>
      <w:proofErr w:type="spellEnd"/>
      <w:r w:rsidRPr="00CC19F7">
        <w:t xml:space="preserve"> med at NVEs tilsyn med </w:t>
      </w:r>
      <w:proofErr w:type="spellStart"/>
      <w:r w:rsidRPr="00CC19F7">
        <w:t>vedlikehald</w:t>
      </w:r>
      <w:proofErr w:type="spellEnd"/>
      <w:r w:rsidRPr="00CC19F7">
        <w:t xml:space="preserve"> og modernisering av elektriske anlegg, tilsyn med fjernvarme og miljøtilsyn, som fram til </w:t>
      </w:r>
      <w:proofErr w:type="spellStart"/>
      <w:r w:rsidRPr="00CC19F7">
        <w:t>no</w:t>
      </w:r>
      <w:proofErr w:type="spellEnd"/>
      <w:r w:rsidRPr="00CC19F7">
        <w:t xml:space="preserve"> har </w:t>
      </w:r>
      <w:proofErr w:type="spellStart"/>
      <w:r w:rsidRPr="00CC19F7">
        <w:t>vore</w:t>
      </w:r>
      <w:proofErr w:type="spellEnd"/>
      <w:r w:rsidRPr="00CC19F7">
        <w:t xml:space="preserve"> budsjettert som gebyr, framover skal </w:t>
      </w:r>
      <w:proofErr w:type="spellStart"/>
      <w:r w:rsidRPr="00CC19F7">
        <w:t>vere</w:t>
      </w:r>
      <w:proofErr w:type="spellEnd"/>
      <w:r w:rsidRPr="00CC19F7">
        <w:t xml:space="preserve"> budsjettert og </w:t>
      </w:r>
      <w:proofErr w:type="spellStart"/>
      <w:r w:rsidRPr="00CC19F7">
        <w:t>krevjast</w:t>
      </w:r>
      <w:proofErr w:type="spellEnd"/>
      <w:r w:rsidRPr="00CC19F7">
        <w:t xml:space="preserve"> inn som sektoravgift, jf. omtale under kap. 5582, post 72.</w:t>
      </w:r>
    </w:p>
    <w:p w14:paraId="2EF4371B" w14:textId="77777777" w:rsidR="00FE02EF" w:rsidRPr="00CC19F7" w:rsidRDefault="00881E58" w:rsidP="00CC19F7">
      <w:pPr>
        <w:pStyle w:val="b-post"/>
      </w:pPr>
      <w:r w:rsidRPr="00CC19F7">
        <w:t>Post 02 Oppdrags- og samarbeidsinntekter</w:t>
      </w:r>
    </w:p>
    <w:p w14:paraId="69F2E01F" w14:textId="77777777" w:rsidR="00FE02EF" w:rsidRPr="00CC19F7" w:rsidRDefault="00881E58" w:rsidP="00CC19F7">
      <w:r w:rsidRPr="00CC19F7">
        <w:t xml:space="preserve">Posten </w:t>
      </w:r>
      <w:proofErr w:type="spellStart"/>
      <w:r w:rsidRPr="00CC19F7">
        <w:t>omfattar</w:t>
      </w:r>
      <w:proofErr w:type="spellEnd"/>
      <w:r w:rsidRPr="00CC19F7">
        <w:t xml:space="preserve"> inntekter </w:t>
      </w:r>
      <w:proofErr w:type="spellStart"/>
      <w:r w:rsidRPr="00CC19F7">
        <w:t>frå</w:t>
      </w:r>
      <w:proofErr w:type="spellEnd"/>
      <w:r w:rsidRPr="00CC19F7">
        <w:t xml:space="preserve"> oppdrags- og </w:t>
      </w:r>
      <w:proofErr w:type="spellStart"/>
      <w:r w:rsidRPr="00CC19F7">
        <w:t>samarbeidsverksemda</w:t>
      </w:r>
      <w:proofErr w:type="spellEnd"/>
      <w:r w:rsidRPr="00CC19F7">
        <w:t>, jf. kap. 1820, post 23.</w:t>
      </w:r>
    </w:p>
    <w:p w14:paraId="258CF2E2" w14:textId="77777777" w:rsidR="00FE02EF" w:rsidRPr="00CC19F7" w:rsidRDefault="00881E58" w:rsidP="00CC19F7">
      <w:pPr>
        <w:pStyle w:val="b-post"/>
      </w:pPr>
      <w:r w:rsidRPr="00CC19F7">
        <w:t xml:space="preserve">Post 40 </w:t>
      </w:r>
      <w:proofErr w:type="spellStart"/>
      <w:r w:rsidRPr="00CC19F7">
        <w:t>Flaum</w:t>
      </w:r>
      <w:proofErr w:type="spellEnd"/>
      <w:r w:rsidRPr="00CC19F7">
        <w:t xml:space="preserve">- og </w:t>
      </w:r>
      <w:proofErr w:type="spellStart"/>
      <w:r w:rsidRPr="00CC19F7">
        <w:t>skredførebygging</w:t>
      </w:r>
      <w:proofErr w:type="spellEnd"/>
    </w:p>
    <w:p w14:paraId="2B4E97FA" w14:textId="77777777" w:rsidR="00FE02EF" w:rsidRPr="00CC19F7" w:rsidRDefault="00881E58" w:rsidP="00CC19F7">
      <w:r w:rsidRPr="00CC19F7">
        <w:t xml:space="preserve">Posten </w:t>
      </w:r>
      <w:proofErr w:type="spellStart"/>
      <w:r w:rsidRPr="00CC19F7">
        <w:t>omfattar</w:t>
      </w:r>
      <w:proofErr w:type="spellEnd"/>
      <w:r w:rsidRPr="00CC19F7">
        <w:t xml:space="preserve"> </w:t>
      </w:r>
      <w:proofErr w:type="spellStart"/>
      <w:r w:rsidRPr="00CC19F7">
        <w:t>innbetalingar</w:t>
      </w:r>
      <w:proofErr w:type="spellEnd"/>
      <w:r w:rsidRPr="00CC19F7">
        <w:t xml:space="preserve"> </w:t>
      </w:r>
      <w:proofErr w:type="spellStart"/>
      <w:r w:rsidRPr="00CC19F7">
        <w:t>frå</w:t>
      </w:r>
      <w:proofErr w:type="spellEnd"/>
      <w:r w:rsidRPr="00CC19F7">
        <w:t xml:space="preserve"> </w:t>
      </w:r>
      <w:proofErr w:type="spellStart"/>
      <w:r w:rsidRPr="00CC19F7">
        <w:t>kommunar</w:t>
      </w:r>
      <w:proofErr w:type="spellEnd"/>
      <w:r w:rsidRPr="00CC19F7">
        <w:t xml:space="preserve"> for utføring av sikrings- og miljøtiltak som er gjennomførte i regi av NVE, jf. omtale under kap. 1820, post 22 og 25.</w:t>
      </w:r>
    </w:p>
    <w:p w14:paraId="01291D6D" w14:textId="77777777" w:rsidR="00FE02EF" w:rsidRPr="00CC19F7" w:rsidRDefault="00881E58" w:rsidP="00CC19F7">
      <w:pPr>
        <w:pStyle w:val="b-budkaptit"/>
      </w:pPr>
      <w:r w:rsidRPr="00CC19F7">
        <w:t>Kap. 1825 Energieffektivisering og -omlegging</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646"/>
        <w:gridCol w:w="1275"/>
        <w:gridCol w:w="1560"/>
        <w:gridCol w:w="1219"/>
      </w:tblGrid>
      <w:tr w:rsidR="00FE02EF" w:rsidRPr="00CC19F7" w14:paraId="77FE6555" w14:textId="77777777" w:rsidTr="005F29B2">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15A9CA4" w14:textId="77777777" w:rsidR="00FE02EF" w:rsidRPr="00CC19F7" w:rsidRDefault="00881E58" w:rsidP="00CC19F7">
            <w:pPr>
              <w:pStyle w:val="Tabellnavn"/>
            </w:pPr>
            <w:r w:rsidRPr="00CC19F7">
              <w:t>KPAL</w:t>
            </w:r>
          </w:p>
        </w:tc>
        <w:tc>
          <w:tcPr>
            <w:tcW w:w="4646" w:type="dxa"/>
            <w:tcBorders>
              <w:top w:val="nil"/>
              <w:left w:val="nil"/>
              <w:bottom w:val="single" w:sz="4" w:space="0" w:color="000000"/>
              <w:right w:val="nil"/>
            </w:tcBorders>
            <w:tcMar>
              <w:top w:w="128" w:type="dxa"/>
              <w:left w:w="43" w:type="dxa"/>
              <w:bottom w:w="43" w:type="dxa"/>
              <w:right w:w="43" w:type="dxa"/>
            </w:tcMar>
            <w:vAlign w:val="bottom"/>
          </w:tcPr>
          <w:p w14:paraId="2C380258" w14:textId="77777777" w:rsidR="00FE02EF" w:rsidRPr="00CC19F7" w:rsidRDefault="00FE02EF" w:rsidP="005F29B2"/>
        </w:tc>
        <w:tc>
          <w:tcPr>
            <w:tcW w:w="1275" w:type="dxa"/>
            <w:tcBorders>
              <w:top w:val="nil"/>
              <w:left w:val="nil"/>
              <w:bottom w:val="single" w:sz="4" w:space="0" w:color="000000"/>
              <w:right w:val="nil"/>
            </w:tcBorders>
            <w:tcMar>
              <w:top w:w="128" w:type="dxa"/>
              <w:left w:w="43" w:type="dxa"/>
              <w:bottom w:w="43" w:type="dxa"/>
              <w:right w:w="43" w:type="dxa"/>
            </w:tcMar>
            <w:vAlign w:val="bottom"/>
          </w:tcPr>
          <w:p w14:paraId="7BBEA2E0" w14:textId="77777777" w:rsidR="00FE02EF" w:rsidRPr="00CC19F7" w:rsidRDefault="00FE02EF" w:rsidP="005F29B2">
            <w:pPr>
              <w:jc w:val="right"/>
            </w:pPr>
          </w:p>
        </w:tc>
        <w:tc>
          <w:tcPr>
            <w:tcW w:w="1560" w:type="dxa"/>
            <w:tcBorders>
              <w:top w:val="nil"/>
              <w:left w:val="nil"/>
              <w:bottom w:val="single" w:sz="4" w:space="0" w:color="000000"/>
              <w:right w:val="nil"/>
            </w:tcBorders>
            <w:tcMar>
              <w:top w:w="128" w:type="dxa"/>
              <w:left w:w="43" w:type="dxa"/>
              <w:bottom w:w="43" w:type="dxa"/>
              <w:right w:w="43" w:type="dxa"/>
            </w:tcMar>
            <w:vAlign w:val="bottom"/>
          </w:tcPr>
          <w:p w14:paraId="5B7B56B5" w14:textId="77777777" w:rsidR="00FE02EF" w:rsidRPr="00CC19F7" w:rsidRDefault="00FE02EF" w:rsidP="005F29B2">
            <w:pPr>
              <w:jc w:val="right"/>
            </w:pPr>
          </w:p>
        </w:tc>
        <w:tc>
          <w:tcPr>
            <w:tcW w:w="1219" w:type="dxa"/>
            <w:tcBorders>
              <w:top w:val="nil"/>
              <w:left w:val="nil"/>
              <w:bottom w:val="single" w:sz="4" w:space="0" w:color="000000"/>
              <w:right w:val="nil"/>
            </w:tcBorders>
            <w:tcMar>
              <w:top w:w="128" w:type="dxa"/>
              <w:left w:w="43" w:type="dxa"/>
              <w:bottom w:w="43" w:type="dxa"/>
              <w:right w:w="43" w:type="dxa"/>
            </w:tcMar>
            <w:vAlign w:val="bottom"/>
          </w:tcPr>
          <w:p w14:paraId="25BA5292" w14:textId="77777777" w:rsidR="00FE02EF" w:rsidRPr="00CC19F7" w:rsidRDefault="00881E58" w:rsidP="005F29B2">
            <w:pPr>
              <w:jc w:val="right"/>
            </w:pPr>
            <w:r w:rsidRPr="00CC19F7">
              <w:t>(i 1 000 kr)</w:t>
            </w:r>
          </w:p>
        </w:tc>
      </w:tr>
      <w:tr w:rsidR="00FE02EF" w:rsidRPr="00CC19F7" w14:paraId="2556F8C4" w14:textId="77777777" w:rsidTr="005F29B2">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58253DA" w14:textId="77777777" w:rsidR="00FE02EF" w:rsidRPr="00CC19F7" w:rsidRDefault="00881E58" w:rsidP="00CC19F7">
            <w:r w:rsidRPr="00CC19F7">
              <w:t>Post</w:t>
            </w:r>
          </w:p>
        </w:tc>
        <w:tc>
          <w:tcPr>
            <w:tcW w:w="4646" w:type="dxa"/>
            <w:tcBorders>
              <w:top w:val="nil"/>
              <w:left w:val="nil"/>
              <w:bottom w:val="single" w:sz="4" w:space="0" w:color="000000"/>
              <w:right w:val="nil"/>
            </w:tcBorders>
            <w:tcMar>
              <w:top w:w="128" w:type="dxa"/>
              <w:left w:w="43" w:type="dxa"/>
              <w:bottom w:w="43" w:type="dxa"/>
              <w:right w:w="43" w:type="dxa"/>
            </w:tcMar>
            <w:vAlign w:val="bottom"/>
          </w:tcPr>
          <w:p w14:paraId="23D7DAA4" w14:textId="77777777" w:rsidR="00FE02EF" w:rsidRPr="00CC19F7" w:rsidRDefault="00881E58" w:rsidP="005F29B2">
            <w:proofErr w:type="spellStart"/>
            <w:r w:rsidRPr="00CC19F7">
              <w:t>Nemning</w:t>
            </w:r>
            <w:proofErr w:type="spellEnd"/>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2AEB9694" w14:textId="77777777" w:rsidR="00FE02EF" w:rsidRPr="00CC19F7" w:rsidRDefault="00881E58" w:rsidP="005F29B2">
            <w:pPr>
              <w:jc w:val="right"/>
            </w:pPr>
            <w:proofErr w:type="spellStart"/>
            <w:r w:rsidRPr="00CC19F7">
              <w:t>Rekneskap</w:t>
            </w:r>
            <w:proofErr w:type="spellEnd"/>
            <w:r w:rsidRPr="00CC19F7">
              <w:br/>
              <w:t>2022</w:t>
            </w:r>
          </w:p>
        </w:tc>
        <w:tc>
          <w:tcPr>
            <w:tcW w:w="1560" w:type="dxa"/>
            <w:tcBorders>
              <w:top w:val="nil"/>
              <w:left w:val="nil"/>
              <w:bottom w:val="single" w:sz="4" w:space="0" w:color="000000"/>
              <w:right w:val="nil"/>
            </w:tcBorders>
            <w:tcMar>
              <w:top w:w="128" w:type="dxa"/>
              <w:left w:w="43" w:type="dxa"/>
              <w:bottom w:w="43" w:type="dxa"/>
              <w:right w:w="43" w:type="dxa"/>
            </w:tcMar>
            <w:vAlign w:val="bottom"/>
          </w:tcPr>
          <w:p w14:paraId="2AFC6CCE" w14:textId="77777777" w:rsidR="00FE02EF" w:rsidRPr="00CC19F7" w:rsidRDefault="00881E58" w:rsidP="005F29B2">
            <w:pPr>
              <w:jc w:val="right"/>
            </w:pPr>
            <w:r w:rsidRPr="00CC19F7">
              <w:t>Saldert</w:t>
            </w:r>
            <w:r w:rsidRPr="00CC19F7">
              <w:br/>
              <w:t>budsjett 2023</w:t>
            </w:r>
          </w:p>
        </w:tc>
        <w:tc>
          <w:tcPr>
            <w:tcW w:w="1219" w:type="dxa"/>
            <w:tcBorders>
              <w:top w:val="nil"/>
              <w:left w:val="nil"/>
              <w:bottom w:val="single" w:sz="4" w:space="0" w:color="000000"/>
              <w:right w:val="nil"/>
            </w:tcBorders>
            <w:tcMar>
              <w:top w:w="128" w:type="dxa"/>
              <w:left w:w="43" w:type="dxa"/>
              <w:bottom w:w="43" w:type="dxa"/>
              <w:right w:w="43" w:type="dxa"/>
            </w:tcMar>
            <w:vAlign w:val="bottom"/>
          </w:tcPr>
          <w:p w14:paraId="30E6E7CA" w14:textId="77777777" w:rsidR="00FE02EF" w:rsidRPr="00CC19F7" w:rsidRDefault="00881E58" w:rsidP="005F29B2">
            <w:pPr>
              <w:jc w:val="right"/>
            </w:pPr>
            <w:r w:rsidRPr="00CC19F7">
              <w:t>Forslag</w:t>
            </w:r>
            <w:r w:rsidRPr="00CC19F7">
              <w:br/>
              <w:t>2024</w:t>
            </w:r>
          </w:p>
        </w:tc>
      </w:tr>
      <w:tr w:rsidR="00FE02EF" w:rsidRPr="00CC19F7" w14:paraId="3F5B73D3" w14:textId="77777777" w:rsidTr="005F29B2">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14923C84" w14:textId="77777777" w:rsidR="00FE02EF" w:rsidRPr="00CC19F7" w:rsidRDefault="00881E58" w:rsidP="00CC19F7">
            <w:r w:rsidRPr="00CC19F7">
              <w:t>21</w:t>
            </w:r>
          </w:p>
        </w:tc>
        <w:tc>
          <w:tcPr>
            <w:tcW w:w="4646" w:type="dxa"/>
            <w:tcBorders>
              <w:top w:val="single" w:sz="4" w:space="0" w:color="000000"/>
              <w:left w:val="nil"/>
              <w:bottom w:val="nil"/>
              <w:right w:val="nil"/>
            </w:tcBorders>
            <w:tcMar>
              <w:top w:w="128" w:type="dxa"/>
              <w:left w:w="43" w:type="dxa"/>
              <w:bottom w:w="43" w:type="dxa"/>
              <w:right w:w="43" w:type="dxa"/>
            </w:tcMar>
          </w:tcPr>
          <w:p w14:paraId="4928481A" w14:textId="77777777" w:rsidR="00FE02EF" w:rsidRPr="00CC19F7" w:rsidRDefault="00881E58" w:rsidP="005F29B2">
            <w:r w:rsidRPr="00CC19F7">
              <w:t>Spesielle driftsutgifter</w:t>
            </w:r>
            <w:r w:rsidRPr="00CC19F7">
              <w:rPr>
                <w:rStyle w:val="kursiv"/>
              </w:rPr>
              <w:t>, kan </w:t>
            </w:r>
            <w:proofErr w:type="spellStart"/>
            <w:r w:rsidRPr="00CC19F7">
              <w:rPr>
                <w:rStyle w:val="kursiv"/>
              </w:rPr>
              <w:t>overførast</w:t>
            </w:r>
            <w:proofErr w:type="spellEnd"/>
          </w:p>
        </w:tc>
        <w:tc>
          <w:tcPr>
            <w:tcW w:w="1275" w:type="dxa"/>
            <w:tcBorders>
              <w:top w:val="single" w:sz="4" w:space="0" w:color="000000"/>
              <w:left w:val="nil"/>
              <w:bottom w:val="nil"/>
              <w:right w:val="nil"/>
            </w:tcBorders>
            <w:tcMar>
              <w:top w:w="128" w:type="dxa"/>
              <w:left w:w="43" w:type="dxa"/>
              <w:bottom w:w="43" w:type="dxa"/>
              <w:right w:w="43" w:type="dxa"/>
            </w:tcMar>
            <w:vAlign w:val="bottom"/>
          </w:tcPr>
          <w:p w14:paraId="2962F778" w14:textId="77777777" w:rsidR="00FE02EF" w:rsidRPr="00CC19F7" w:rsidRDefault="00FE02EF" w:rsidP="005F29B2">
            <w:pPr>
              <w:jc w:val="right"/>
            </w:pPr>
          </w:p>
        </w:tc>
        <w:tc>
          <w:tcPr>
            <w:tcW w:w="1560" w:type="dxa"/>
            <w:tcBorders>
              <w:top w:val="single" w:sz="4" w:space="0" w:color="000000"/>
              <w:left w:val="nil"/>
              <w:bottom w:val="nil"/>
              <w:right w:val="nil"/>
            </w:tcBorders>
            <w:tcMar>
              <w:top w:w="128" w:type="dxa"/>
              <w:left w:w="43" w:type="dxa"/>
              <w:bottom w:w="43" w:type="dxa"/>
              <w:right w:w="43" w:type="dxa"/>
            </w:tcMar>
            <w:vAlign w:val="bottom"/>
          </w:tcPr>
          <w:p w14:paraId="54BC9142" w14:textId="77777777" w:rsidR="00FE02EF" w:rsidRPr="00CC19F7" w:rsidRDefault="00FE02EF" w:rsidP="005F29B2">
            <w:pPr>
              <w:jc w:val="right"/>
            </w:pPr>
          </w:p>
        </w:tc>
        <w:tc>
          <w:tcPr>
            <w:tcW w:w="1219" w:type="dxa"/>
            <w:tcBorders>
              <w:top w:val="single" w:sz="4" w:space="0" w:color="000000"/>
              <w:left w:val="nil"/>
              <w:bottom w:val="nil"/>
              <w:right w:val="nil"/>
            </w:tcBorders>
            <w:tcMar>
              <w:top w:w="128" w:type="dxa"/>
              <w:left w:w="43" w:type="dxa"/>
              <w:bottom w:w="43" w:type="dxa"/>
              <w:right w:w="43" w:type="dxa"/>
            </w:tcMar>
            <w:vAlign w:val="bottom"/>
          </w:tcPr>
          <w:p w14:paraId="611D6292" w14:textId="77777777" w:rsidR="00FE02EF" w:rsidRPr="00CC19F7" w:rsidRDefault="00881E58" w:rsidP="005F29B2">
            <w:pPr>
              <w:jc w:val="right"/>
            </w:pPr>
            <w:r w:rsidRPr="00CC19F7">
              <w:t>15 000</w:t>
            </w:r>
          </w:p>
        </w:tc>
      </w:tr>
      <w:tr w:rsidR="00FE02EF" w:rsidRPr="00CC19F7" w14:paraId="06142216" w14:textId="77777777" w:rsidTr="005F29B2">
        <w:trPr>
          <w:trHeight w:val="880"/>
        </w:trPr>
        <w:tc>
          <w:tcPr>
            <w:tcW w:w="840" w:type="dxa"/>
            <w:tcBorders>
              <w:top w:val="nil"/>
              <w:left w:val="nil"/>
              <w:bottom w:val="nil"/>
              <w:right w:val="nil"/>
            </w:tcBorders>
            <w:tcMar>
              <w:top w:w="128" w:type="dxa"/>
              <w:left w:w="43" w:type="dxa"/>
              <w:bottom w:w="43" w:type="dxa"/>
              <w:right w:w="43" w:type="dxa"/>
            </w:tcMar>
          </w:tcPr>
          <w:p w14:paraId="32773800" w14:textId="77777777" w:rsidR="00FE02EF" w:rsidRPr="00CC19F7" w:rsidRDefault="00881E58" w:rsidP="00CC19F7">
            <w:r w:rsidRPr="00CC19F7">
              <w:t>50</w:t>
            </w:r>
          </w:p>
        </w:tc>
        <w:tc>
          <w:tcPr>
            <w:tcW w:w="4646" w:type="dxa"/>
            <w:tcBorders>
              <w:top w:val="nil"/>
              <w:left w:val="nil"/>
              <w:bottom w:val="nil"/>
              <w:right w:val="nil"/>
            </w:tcBorders>
            <w:tcMar>
              <w:top w:w="128" w:type="dxa"/>
              <w:left w:w="43" w:type="dxa"/>
              <w:bottom w:w="43" w:type="dxa"/>
              <w:right w:w="43" w:type="dxa"/>
            </w:tcMar>
          </w:tcPr>
          <w:p w14:paraId="22AC2361" w14:textId="77777777" w:rsidR="00FE02EF" w:rsidRPr="00CC19F7" w:rsidRDefault="00881E58" w:rsidP="005F29B2">
            <w:r w:rsidRPr="00CC19F7">
              <w:t xml:space="preserve">Overføring til Klima- og energifondet til tiltak </w:t>
            </w:r>
            <w:r w:rsidRPr="00CC19F7">
              <w:br/>
              <w:t xml:space="preserve">for </w:t>
            </w:r>
            <w:proofErr w:type="spellStart"/>
            <w:r w:rsidRPr="00CC19F7">
              <w:t>meir</w:t>
            </w:r>
            <w:proofErr w:type="spellEnd"/>
            <w:r w:rsidRPr="00CC19F7">
              <w:t xml:space="preserve"> effektiv energibruk og </w:t>
            </w:r>
            <w:proofErr w:type="spellStart"/>
            <w:r w:rsidRPr="00CC19F7">
              <w:t>eit</w:t>
            </w:r>
            <w:proofErr w:type="spellEnd"/>
            <w:r w:rsidRPr="00CC19F7">
              <w:t xml:space="preserve"> </w:t>
            </w:r>
            <w:proofErr w:type="spellStart"/>
            <w:r w:rsidRPr="00CC19F7">
              <w:t>meir</w:t>
            </w:r>
            <w:proofErr w:type="spellEnd"/>
            <w:r w:rsidRPr="00CC19F7">
              <w:t xml:space="preserve"> </w:t>
            </w:r>
            <w:r w:rsidRPr="00CC19F7">
              <w:br/>
              <w:t>fleksibelt energisystem</w:t>
            </w:r>
          </w:p>
        </w:tc>
        <w:tc>
          <w:tcPr>
            <w:tcW w:w="1275" w:type="dxa"/>
            <w:tcBorders>
              <w:top w:val="nil"/>
              <w:left w:val="nil"/>
              <w:bottom w:val="nil"/>
              <w:right w:val="nil"/>
            </w:tcBorders>
            <w:tcMar>
              <w:top w:w="128" w:type="dxa"/>
              <w:left w:w="43" w:type="dxa"/>
              <w:bottom w:w="43" w:type="dxa"/>
              <w:right w:w="43" w:type="dxa"/>
            </w:tcMar>
            <w:vAlign w:val="bottom"/>
          </w:tcPr>
          <w:p w14:paraId="40D60FBD" w14:textId="77777777" w:rsidR="00FE02EF" w:rsidRPr="00CC19F7" w:rsidRDefault="00FE02EF" w:rsidP="005F29B2">
            <w:pPr>
              <w:jc w:val="right"/>
            </w:pPr>
          </w:p>
        </w:tc>
        <w:tc>
          <w:tcPr>
            <w:tcW w:w="1560" w:type="dxa"/>
            <w:tcBorders>
              <w:top w:val="nil"/>
              <w:left w:val="nil"/>
              <w:bottom w:val="nil"/>
              <w:right w:val="nil"/>
            </w:tcBorders>
            <w:tcMar>
              <w:top w:w="128" w:type="dxa"/>
              <w:left w:w="43" w:type="dxa"/>
              <w:bottom w:w="43" w:type="dxa"/>
              <w:right w:w="43" w:type="dxa"/>
            </w:tcMar>
            <w:vAlign w:val="bottom"/>
          </w:tcPr>
          <w:p w14:paraId="6F2694C8" w14:textId="77777777" w:rsidR="00FE02EF" w:rsidRPr="00CC19F7" w:rsidRDefault="00FE02EF" w:rsidP="005F29B2">
            <w:pPr>
              <w:jc w:val="right"/>
            </w:pPr>
          </w:p>
        </w:tc>
        <w:tc>
          <w:tcPr>
            <w:tcW w:w="1219" w:type="dxa"/>
            <w:tcBorders>
              <w:top w:val="nil"/>
              <w:left w:val="nil"/>
              <w:bottom w:val="nil"/>
              <w:right w:val="nil"/>
            </w:tcBorders>
            <w:tcMar>
              <w:top w:w="128" w:type="dxa"/>
              <w:left w:w="43" w:type="dxa"/>
              <w:bottom w:w="43" w:type="dxa"/>
              <w:right w:w="43" w:type="dxa"/>
            </w:tcMar>
            <w:vAlign w:val="bottom"/>
          </w:tcPr>
          <w:p w14:paraId="3626B5AB" w14:textId="77777777" w:rsidR="00FE02EF" w:rsidRPr="00CC19F7" w:rsidRDefault="00881E58" w:rsidP="005F29B2">
            <w:pPr>
              <w:jc w:val="right"/>
            </w:pPr>
            <w:r w:rsidRPr="00CC19F7">
              <w:t>180 000</w:t>
            </w:r>
          </w:p>
        </w:tc>
      </w:tr>
      <w:tr w:rsidR="00FE02EF" w:rsidRPr="00CC19F7" w14:paraId="3E9976FD" w14:textId="77777777" w:rsidTr="005F29B2">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4D6C6BFA" w14:textId="77777777" w:rsidR="00FE02EF" w:rsidRPr="00CC19F7" w:rsidRDefault="00881E58" w:rsidP="00CC19F7">
            <w:r w:rsidRPr="00CC19F7">
              <w:t>60</w:t>
            </w:r>
          </w:p>
        </w:tc>
        <w:tc>
          <w:tcPr>
            <w:tcW w:w="4646" w:type="dxa"/>
            <w:tcBorders>
              <w:top w:val="nil"/>
              <w:left w:val="nil"/>
              <w:bottom w:val="single" w:sz="4" w:space="0" w:color="000000"/>
              <w:right w:val="nil"/>
            </w:tcBorders>
            <w:tcMar>
              <w:top w:w="128" w:type="dxa"/>
              <w:left w:w="43" w:type="dxa"/>
              <w:bottom w:w="43" w:type="dxa"/>
              <w:right w:w="43" w:type="dxa"/>
            </w:tcMar>
          </w:tcPr>
          <w:p w14:paraId="53772252" w14:textId="77777777" w:rsidR="00FE02EF" w:rsidRPr="00CC19F7" w:rsidRDefault="00881E58" w:rsidP="005F29B2">
            <w:proofErr w:type="spellStart"/>
            <w:r w:rsidRPr="00CC19F7">
              <w:t>Tilskot</w:t>
            </w:r>
            <w:proofErr w:type="spellEnd"/>
            <w:r w:rsidRPr="00CC19F7">
              <w:t xml:space="preserve"> til energitiltak i kommunale bygg</w:t>
            </w:r>
            <w:r w:rsidRPr="00CC19F7">
              <w:rPr>
                <w:rStyle w:val="kursiv"/>
              </w:rPr>
              <w:t xml:space="preserve">, </w:t>
            </w:r>
            <w:r w:rsidRPr="00CC19F7">
              <w:rPr>
                <w:rStyle w:val="kursiv"/>
              </w:rPr>
              <w:br/>
              <w:t>kan </w:t>
            </w:r>
            <w:proofErr w:type="spellStart"/>
            <w:r w:rsidRPr="00CC19F7">
              <w:rPr>
                <w:rStyle w:val="kursiv"/>
              </w:rPr>
              <w:t>overførast</w:t>
            </w:r>
            <w:proofErr w:type="spellEnd"/>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1C6C8F17" w14:textId="77777777" w:rsidR="00FE02EF" w:rsidRPr="00CC19F7" w:rsidRDefault="00FE02EF" w:rsidP="005F29B2">
            <w:pPr>
              <w:jc w:val="right"/>
            </w:pPr>
          </w:p>
        </w:tc>
        <w:tc>
          <w:tcPr>
            <w:tcW w:w="1560" w:type="dxa"/>
            <w:tcBorders>
              <w:top w:val="nil"/>
              <w:left w:val="nil"/>
              <w:bottom w:val="single" w:sz="4" w:space="0" w:color="000000"/>
              <w:right w:val="nil"/>
            </w:tcBorders>
            <w:tcMar>
              <w:top w:w="128" w:type="dxa"/>
              <w:left w:w="43" w:type="dxa"/>
              <w:bottom w:w="43" w:type="dxa"/>
              <w:right w:w="43" w:type="dxa"/>
            </w:tcMar>
            <w:vAlign w:val="bottom"/>
          </w:tcPr>
          <w:p w14:paraId="0BBA1D08" w14:textId="77777777" w:rsidR="00FE02EF" w:rsidRPr="00CC19F7" w:rsidRDefault="00FE02EF" w:rsidP="005F29B2">
            <w:pPr>
              <w:jc w:val="right"/>
            </w:pPr>
          </w:p>
        </w:tc>
        <w:tc>
          <w:tcPr>
            <w:tcW w:w="1219" w:type="dxa"/>
            <w:tcBorders>
              <w:top w:val="nil"/>
              <w:left w:val="nil"/>
              <w:bottom w:val="single" w:sz="4" w:space="0" w:color="000000"/>
              <w:right w:val="nil"/>
            </w:tcBorders>
            <w:tcMar>
              <w:top w:w="128" w:type="dxa"/>
              <w:left w:w="43" w:type="dxa"/>
              <w:bottom w:w="43" w:type="dxa"/>
              <w:right w:w="43" w:type="dxa"/>
            </w:tcMar>
            <w:vAlign w:val="bottom"/>
          </w:tcPr>
          <w:p w14:paraId="7DF86DCE" w14:textId="77777777" w:rsidR="00FE02EF" w:rsidRPr="00CC19F7" w:rsidRDefault="00881E58" w:rsidP="005F29B2">
            <w:pPr>
              <w:jc w:val="right"/>
            </w:pPr>
            <w:r w:rsidRPr="00CC19F7">
              <w:t>300 000</w:t>
            </w:r>
          </w:p>
        </w:tc>
      </w:tr>
      <w:tr w:rsidR="00FE02EF" w:rsidRPr="00CC19F7" w14:paraId="5CCDA1F7" w14:textId="77777777" w:rsidTr="005F29B2">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076AB31" w14:textId="77777777" w:rsidR="00FE02EF" w:rsidRPr="00CC19F7" w:rsidRDefault="00FE02EF" w:rsidP="00CC19F7"/>
        </w:tc>
        <w:tc>
          <w:tcPr>
            <w:tcW w:w="4646" w:type="dxa"/>
            <w:tcBorders>
              <w:top w:val="nil"/>
              <w:left w:val="nil"/>
              <w:bottom w:val="single" w:sz="4" w:space="0" w:color="000000"/>
              <w:right w:val="nil"/>
            </w:tcBorders>
            <w:tcMar>
              <w:top w:w="128" w:type="dxa"/>
              <w:left w:w="43" w:type="dxa"/>
              <w:bottom w:w="43" w:type="dxa"/>
              <w:right w:w="43" w:type="dxa"/>
            </w:tcMar>
          </w:tcPr>
          <w:p w14:paraId="03924421" w14:textId="77777777" w:rsidR="00FE02EF" w:rsidRPr="00CC19F7" w:rsidRDefault="00881E58" w:rsidP="005F29B2">
            <w:r w:rsidRPr="00CC19F7">
              <w:t>Sum kap. 1825</w:t>
            </w:r>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1D4C6ADA" w14:textId="77777777" w:rsidR="00FE02EF" w:rsidRPr="00CC19F7" w:rsidRDefault="00FE02EF" w:rsidP="005F29B2">
            <w:pPr>
              <w:jc w:val="right"/>
            </w:pPr>
          </w:p>
        </w:tc>
        <w:tc>
          <w:tcPr>
            <w:tcW w:w="1560" w:type="dxa"/>
            <w:tcBorders>
              <w:top w:val="nil"/>
              <w:left w:val="nil"/>
              <w:bottom w:val="single" w:sz="4" w:space="0" w:color="000000"/>
              <w:right w:val="nil"/>
            </w:tcBorders>
            <w:tcMar>
              <w:top w:w="128" w:type="dxa"/>
              <w:left w:w="43" w:type="dxa"/>
              <w:bottom w:w="43" w:type="dxa"/>
              <w:right w:w="43" w:type="dxa"/>
            </w:tcMar>
            <w:vAlign w:val="bottom"/>
          </w:tcPr>
          <w:p w14:paraId="17ABDDE7" w14:textId="77777777" w:rsidR="00FE02EF" w:rsidRPr="00CC19F7" w:rsidRDefault="00FE02EF" w:rsidP="005F29B2">
            <w:pPr>
              <w:jc w:val="right"/>
            </w:pPr>
          </w:p>
        </w:tc>
        <w:tc>
          <w:tcPr>
            <w:tcW w:w="1219" w:type="dxa"/>
            <w:tcBorders>
              <w:top w:val="nil"/>
              <w:left w:val="nil"/>
              <w:bottom w:val="single" w:sz="4" w:space="0" w:color="000000"/>
              <w:right w:val="nil"/>
            </w:tcBorders>
            <w:tcMar>
              <w:top w:w="128" w:type="dxa"/>
              <w:left w:w="43" w:type="dxa"/>
              <w:bottom w:w="43" w:type="dxa"/>
              <w:right w:w="43" w:type="dxa"/>
            </w:tcMar>
            <w:vAlign w:val="bottom"/>
          </w:tcPr>
          <w:p w14:paraId="376C9CF1" w14:textId="77777777" w:rsidR="00FE02EF" w:rsidRPr="00CC19F7" w:rsidRDefault="00881E58" w:rsidP="005F29B2">
            <w:pPr>
              <w:jc w:val="right"/>
            </w:pPr>
            <w:r w:rsidRPr="00CC19F7">
              <w:t>495 000</w:t>
            </w:r>
          </w:p>
        </w:tc>
      </w:tr>
    </w:tbl>
    <w:p w14:paraId="314CCE78" w14:textId="77777777" w:rsidR="00FE02EF" w:rsidRPr="00CC19F7" w:rsidRDefault="00881E58" w:rsidP="00CC19F7">
      <w:pPr>
        <w:pStyle w:val="b-post"/>
      </w:pPr>
      <w:r w:rsidRPr="00CC19F7">
        <w:t xml:space="preserve">Post 21 Spesielle driftsutgifter, kan </w:t>
      </w:r>
      <w:proofErr w:type="spellStart"/>
      <w:r w:rsidRPr="00CC19F7">
        <w:t>overførast</w:t>
      </w:r>
      <w:proofErr w:type="spellEnd"/>
    </w:p>
    <w:p w14:paraId="6A9998B3" w14:textId="77777777" w:rsidR="00FE02EF" w:rsidRPr="00CC19F7" w:rsidRDefault="00881E58" w:rsidP="00CC19F7">
      <w:r w:rsidRPr="00CC19F7">
        <w:t xml:space="preserve">Det blir foreslått ei løyving på 15 mill. kroner til NVE, Direktoratet for </w:t>
      </w:r>
      <w:proofErr w:type="spellStart"/>
      <w:r w:rsidRPr="00CC19F7">
        <w:t>byggkvalitet</w:t>
      </w:r>
      <w:proofErr w:type="spellEnd"/>
      <w:r w:rsidRPr="00CC19F7">
        <w:t xml:space="preserve"> (</w:t>
      </w:r>
      <w:proofErr w:type="spellStart"/>
      <w:r w:rsidRPr="00CC19F7">
        <w:t>DiBK</w:t>
      </w:r>
      <w:proofErr w:type="spellEnd"/>
      <w:r w:rsidRPr="00CC19F7">
        <w:t xml:space="preserve">) og Husbanken for å følge opp regjeringas satsing på energieffektivisering i alle </w:t>
      </w:r>
      <w:proofErr w:type="spellStart"/>
      <w:r w:rsidRPr="00CC19F7">
        <w:t>delar</w:t>
      </w:r>
      <w:proofErr w:type="spellEnd"/>
      <w:r w:rsidRPr="00CC19F7">
        <w:t xml:space="preserve"> av norsk økonomi.</w:t>
      </w:r>
    </w:p>
    <w:p w14:paraId="2183F354" w14:textId="77777777" w:rsidR="00FE02EF" w:rsidRPr="00CC19F7" w:rsidRDefault="00881E58" w:rsidP="00CC19F7">
      <w:r w:rsidRPr="00CC19F7">
        <w:t xml:space="preserve">Som </w:t>
      </w:r>
      <w:proofErr w:type="spellStart"/>
      <w:r w:rsidRPr="00CC19F7">
        <w:t>ein</w:t>
      </w:r>
      <w:proofErr w:type="spellEnd"/>
      <w:r w:rsidRPr="00CC19F7">
        <w:t xml:space="preserve"> del av regjeringas satsing får NVE </w:t>
      </w:r>
      <w:proofErr w:type="spellStart"/>
      <w:r w:rsidRPr="00CC19F7">
        <w:t>fleire</w:t>
      </w:r>
      <w:proofErr w:type="spellEnd"/>
      <w:r w:rsidRPr="00CC19F7">
        <w:t xml:space="preserve"> faste </w:t>
      </w:r>
      <w:proofErr w:type="spellStart"/>
      <w:r w:rsidRPr="00CC19F7">
        <w:t>oppgåver</w:t>
      </w:r>
      <w:proofErr w:type="spellEnd"/>
      <w:r w:rsidRPr="00CC19F7">
        <w:t xml:space="preserve">, mellom anna arbeid knytt til regelverksutvikling, informasjons- og kompetanseheving, styrking av datagrunnlag, rapportering om energieffektivisering med </w:t>
      </w:r>
      <w:proofErr w:type="spellStart"/>
      <w:r w:rsidRPr="00CC19F7">
        <w:t>meir</w:t>
      </w:r>
      <w:proofErr w:type="spellEnd"/>
      <w:r w:rsidRPr="00CC19F7">
        <w:t xml:space="preserve">. </w:t>
      </w:r>
      <w:proofErr w:type="spellStart"/>
      <w:r w:rsidRPr="00CC19F7">
        <w:t>DiBK</w:t>
      </w:r>
      <w:proofErr w:type="spellEnd"/>
      <w:r w:rsidRPr="00CC19F7">
        <w:t xml:space="preserve"> får også </w:t>
      </w:r>
      <w:proofErr w:type="spellStart"/>
      <w:r w:rsidRPr="00CC19F7">
        <w:t>oppgåver</w:t>
      </w:r>
      <w:proofErr w:type="spellEnd"/>
      <w:r w:rsidRPr="00CC19F7">
        <w:t xml:space="preserve"> knytte til regelverksutvikling. Dette vil </w:t>
      </w:r>
      <w:proofErr w:type="spellStart"/>
      <w:r w:rsidRPr="00CC19F7">
        <w:t>krevje</w:t>
      </w:r>
      <w:proofErr w:type="spellEnd"/>
      <w:r w:rsidRPr="00CC19F7">
        <w:t xml:space="preserve"> større </w:t>
      </w:r>
      <w:proofErr w:type="spellStart"/>
      <w:r w:rsidRPr="00CC19F7">
        <w:t>ressursar</w:t>
      </w:r>
      <w:proofErr w:type="spellEnd"/>
      <w:r w:rsidRPr="00CC19F7">
        <w:t>.</w:t>
      </w:r>
    </w:p>
    <w:p w14:paraId="5E1AB15C" w14:textId="77777777" w:rsidR="00FE02EF" w:rsidRPr="00CC19F7" w:rsidRDefault="00881E58" w:rsidP="00CC19F7">
      <w:proofErr w:type="spellStart"/>
      <w:r w:rsidRPr="00CC19F7">
        <w:t>Vidare</w:t>
      </w:r>
      <w:proofErr w:type="spellEnd"/>
      <w:r w:rsidRPr="00CC19F7">
        <w:t xml:space="preserve"> skal løyvinga dekke utgifter til Husbankens forvaltning av ordninga for </w:t>
      </w:r>
      <w:proofErr w:type="spellStart"/>
      <w:r w:rsidRPr="00CC19F7">
        <w:t>energitilskot</w:t>
      </w:r>
      <w:proofErr w:type="spellEnd"/>
      <w:r w:rsidRPr="00CC19F7">
        <w:t xml:space="preserve"> i kommunale bygg og </w:t>
      </w:r>
      <w:proofErr w:type="spellStart"/>
      <w:r w:rsidRPr="00CC19F7">
        <w:t>dessutan</w:t>
      </w:r>
      <w:proofErr w:type="spellEnd"/>
      <w:r w:rsidRPr="00CC19F7">
        <w:t xml:space="preserve"> kompensere for kostnader som Husbanken har hatt med utvikling av støtteordninga.</w:t>
      </w:r>
    </w:p>
    <w:p w14:paraId="4112FA14" w14:textId="77777777" w:rsidR="00FE02EF" w:rsidRPr="00CC19F7" w:rsidRDefault="00881E58" w:rsidP="00CC19F7">
      <w:pPr>
        <w:pStyle w:val="b-post"/>
      </w:pPr>
      <w:r w:rsidRPr="00CC19F7">
        <w:t xml:space="preserve">Post 50 Overføring til Klima- og energifondet til tiltak for </w:t>
      </w:r>
      <w:proofErr w:type="spellStart"/>
      <w:r w:rsidRPr="00CC19F7">
        <w:t>meir</w:t>
      </w:r>
      <w:proofErr w:type="spellEnd"/>
      <w:r w:rsidRPr="00CC19F7">
        <w:t xml:space="preserve"> effektiv energibruk og </w:t>
      </w:r>
      <w:proofErr w:type="spellStart"/>
      <w:r w:rsidRPr="00CC19F7">
        <w:t>eit</w:t>
      </w:r>
      <w:proofErr w:type="spellEnd"/>
      <w:r w:rsidRPr="00CC19F7">
        <w:t xml:space="preserve"> </w:t>
      </w:r>
      <w:proofErr w:type="spellStart"/>
      <w:r w:rsidRPr="00CC19F7">
        <w:t>meir</w:t>
      </w:r>
      <w:proofErr w:type="spellEnd"/>
      <w:r w:rsidRPr="00CC19F7">
        <w:t xml:space="preserve"> fleksibelt energisystem</w:t>
      </w:r>
    </w:p>
    <w:p w14:paraId="10109B13" w14:textId="77777777" w:rsidR="00FE02EF" w:rsidRPr="00CC19F7" w:rsidRDefault="00881E58" w:rsidP="00CC19F7">
      <w:r w:rsidRPr="00CC19F7">
        <w:t xml:space="preserve">Det blir foreslått ei løyving på 180 mill. kroner til Klima- og energifondet til tiltak for </w:t>
      </w:r>
      <w:proofErr w:type="spellStart"/>
      <w:r w:rsidRPr="00CC19F7">
        <w:t>meir</w:t>
      </w:r>
      <w:proofErr w:type="spellEnd"/>
      <w:r w:rsidRPr="00CC19F7">
        <w:t xml:space="preserve"> effektiv energibruk og </w:t>
      </w:r>
      <w:proofErr w:type="spellStart"/>
      <w:r w:rsidRPr="00CC19F7">
        <w:t>eit</w:t>
      </w:r>
      <w:proofErr w:type="spellEnd"/>
      <w:r w:rsidRPr="00CC19F7">
        <w:t xml:space="preserve"> </w:t>
      </w:r>
      <w:proofErr w:type="spellStart"/>
      <w:r w:rsidRPr="00CC19F7">
        <w:t>meir</w:t>
      </w:r>
      <w:proofErr w:type="spellEnd"/>
      <w:r w:rsidRPr="00CC19F7">
        <w:t xml:space="preserve"> fleksibelt energisystem. </w:t>
      </w:r>
      <w:proofErr w:type="spellStart"/>
      <w:r w:rsidRPr="00CC19F7">
        <w:t>Midlane</w:t>
      </w:r>
      <w:proofErr w:type="spellEnd"/>
      <w:r w:rsidRPr="00CC19F7">
        <w:t xml:space="preserve"> skal bidra til å styrke </w:t>
      </w:r>
      <w:proofErr w:type="spellStart"/>
      <w:r w:rsidRPr="00CC19F7">
        <w:t>Enovas</w:t>
      </w:r>
      <w:proofErr w:type="spellEnd"/>
      <w:r w:rsidRPr="00CC19F7">
        <w:t xml:space="preserve"> satsing på energieffektivitet mellom anna i bygg </w:t>
      </w:r>
      <w:proofErr w:type="spellStart"/>
      <w:r w:rsidRPr="00CC19F7">
        <w:t>utan</w:t>
      </w:r>
      <w:proofErr w:type="spellEnd"/>
      <w:r w:rsidRPr="00CC19F7">
        <w:t xml:space="preserve"> at det går på kostnad av satsinga på klima. I februar 2023 presiserte regjeringa </w:t>
      </w:r>
      <w:proofErr w:type="spellStart"/>
      <w:r w:rsidRPr="00CC19F7">
        <w:t>Enovas</w:t>
      </w:r>
      <w:proofErr w:type="spellEnd"/>
      <w:r w:rsidRPr="00CC19F7">
        <w:t xml:space="preserve"> mandat knytt til energi. I tillegg til </w:t>
      </w:r>
      <w:proofErr w:type="spellStart"/>
      <w:r w:rsidRPr="00CC19F7">
        <w:t>eksisterande</w:t>
      </w:r>
      <w:proofErr w:type="spellEnd"/>
      <w:r w:rsidRPr="00CC19F7">
        <w:t xml:space="preserve"> </w:t>
      </w:r>
      <w:proofErr w:type="spellStart"/>
      <w:r w:rsidRPr="00CC19F7">
        <w:t>ordningar</w:t>
      </w:r>
      <w:proofErr w:type="spellEnd"/>
      <w:r w:rsidRPr="00CC19F7">
        <w:t xml:space="preserve"> har </w:t>
      </w:r>
      <w:proofErr w:type="spellStart"/>
      <w:r w:rsidRPr="00CC19F7">
        <w:t>Enova</w:t>
      </w:r>
      <w:proofErr w:type="spellEnd"/>
      <w:r w:rsidRPr="00CC19F7">
        <w:t xml:space="preserve"> utvikla to nye </w:t>
      </w:r>
      <w:proofErr w:type="spellStart"/>
      <w:r w:rsidRPr="00CC19F7">
        <w:t>tilskotsordningar</w:t>
      </w:r>
      <w:proofErr w:type="spellEnd"/>
      <w:r w:rsidRPr="00CC19F7">
        <w:t xml:space="preserve"> </w:t>
      </w:r>
      <w:proofErr w:type="spellStart"/>
      <w:r w:rsidRPr="00CC19F7">
        <w:t>innanfor</w:t>
      </w:r>
      <w:proofErr w:type="spellEnd"/>
      <w:r w:rsidRPr="00CC19F7">
        <w:t xml:space="preserve"> energi: </w:t>
      </w:r>
      <w:proofErr w:type="spellStart"/>
      <w:r w:rsidRPr="00CC19F7">
        <w:t>éin</w:t>
      </w:r>
      <w:proofErr w:type="spellEnd"/>
      <w:r w:rsidRPr="00CC19F7">
        <w:t xml:space="preserve"> retta mot energitiltak i burettslag og </w:t>
      </w:r>
      <w:proofErr w:type="spellStart"/>
      <w:r w:rsidRPr="00CC19F7">
        <w:t>ein</w:t>
      </w:r>
      <w:proofErr w:type="spellEnd"/>
      <w:r w:rsidRPr="00CC19F7">
        <w:t xml:space="preserve"> mot energitiltak i næringsbygg. Løyvinga er </w:t>
      </w:r>
      <w:proofErr w:type="spellStart"/>
      <w:r w:rsidRPr="00CC19F7">
        <w:t>eit</w:t>
      </w:r>
      <w:proofErr w:type="spellEnd"/>
      <w:r w:rsidRPr="00CC19F7">
        <w:t xml:space="preserve"> sentralt tiltak i regjeringas satsing på energieffektivisering i alle </w:t>
      </w:r>
      <w:proofErr w:type="spellStart"/>
      <w:r w:rsidRPr="00CC19F7">
        <w:t>delar</w:t>
      </w:r>
      <w:proofErr w:type="spellEnd"/>
      <w:r w:rsidRPr="00CC19F7">
        <w:t xml:space="preserve"> av norsk økonomi.</w:t>
      </w:r>
    </w:p>
    <w:p w14:paraId="6819D827" w14:textId="77777777" w:rsidR="00FE02EF" w:rsidRPr="00CC19F7" w:rsidRDefault="00881E58" w:rsidP="00CC19F7">
      <w:proofErr w:type="spellStart"/>
      <w:r w:rsidRPr="00CC19F7">
        <w:t>Midlane</w:t>
      </w:r>
      <w:proofErr w:type="spellEnd"/>
      <w:r w:rsidRPr="00CC19F7">
        <w:t xml:space="preserve"> skal </w:t>
      </w:r>
      <w:proofErr w:type="spellStart"/>
      <w:r w:rsidRPr="00CC19F7">
        <w:t>forvaltast</w:t>
      </w:r>
      <w:proofErr w:type="spellEnd"/>
      <w:r w:rsidRPr="00CC19F7">
        <w:t xml:space="preserve"> i samsvar med måla og </w:t>
      </w:r>
      <w:proofErr w:type="spellStart"/>
      <w:r w:rsidRPr="00CC19F7">
        <w:t>føringane</w:t>
      </w:r>
      <w:proofErr w:type="spellEnd"/>
      <w:r w:rsidRPr="00CC19F7">
        <w:t xml:space="preserve"> i styringsavtalen mellom </w:t>
      </w:r>
      <w:proofErr w:type="spellStart"/>
      <w:r w:rsidRPr="00CC19F7">
        <w:t>Enova</w:t>
      </w:r>
      <w:proofErr w:type="spellEnd"/>
      <w:r w:rsidRPr="00CC19F7">
        <w:t xml:space="preserve"> SF og Klima- og miljødepartementet. Sjå </w:t>
      </w:r>
      <w:proofErr w:type="spellStart"/>
      <w:r w:rsidRPr="00CC19F7">
        <w:t>nærmare</w:t>
      </w:r>
      <w:proofErr w:type="spellEnd"/>
      <w:r w:rsidRPr="00CC19F7">
        <w:t xml:space="preserve"> omtale av </w:t>
      </w:r>
      <w:proofErr w:type="spellStart"/>
      <w:r w:rsidRPr="00CC19F7">
        <w:t>Enova</w:t>
      </w:r>
      <w:proofErr w:type="spellEnd"/>
      <w:r w:rsidRPr="00CC19F7">
        <w:t xml:space="preserve"> under kap. 1428 </w:t>
      </w:r>
      <w:proofErr w:type="spellStart"/>
      <w:r w:rsidRPr="00CC19F7">
        <w:t>Enova</w:t>
      </w:r>
      <w:proofErr w:type="spellEnd"/>
      <w:r w:rsidRPr="00CC19F7">
        <w:t xml:space="preserve"> SF i Klima- og miljødepartementets budsjett.</w:t>
      </w:r>
    </w:p>
    <w:p w14:paraId="42864F79" w14:textId="77777777" w:rsidR="00FE02EF" w:rsidRPr="00CC19F7" w:rsidRDefault="00881E58" w:rsidP="00CC19F7">
      <w:pPr>
        <w:pStyle w:val="b-post"/>
      </w:pPr>
      <w:r w:rsidRPr="00CC19F7">
        <w:t xml:space="preserve">Post 60 </w:t>
      </w:r>
      <w:proofErr w:type="spellStart"/>
      <w:r w:rsidRPr="00CC19F7">
        <w:t>Tilskot</w:t>
      </w:r>
      <w:proofErr w:type="spellEnd"/>
      <w:r w:rsidRPr="00CC19F7">
        <w:t xml:space="preserve"> til energitiltak i kommunale bygg, kan </w:t>
      </w:r>
      <w:proofErr w:type="spellStart"/>
      <w:r w:rsidRPr="00CC19F7">
        <w:t>overførast</w:t>
      </w:r>
      <w:proofErr w:type="spellEnd"/>
    </w:p>
    <w:p w14:paraId="35A39FBD" w14:textId="77777777" w:rsidR="00FE02EF" w:rsidRPr="00CC19F7" w:rsidRDefault="00881E58" w:rsidP="00CC19F7">
      <w:r w:rsidRPr="00CC19F7">
        <w:t xml:space="preserve">Det blir foreslått ei løyving på 300 mill. kroner i </w:t>
      </w:r>
      <w:proofErr w:type="spellStart"/>
      <w:r w:rsidRPr="00CC19F7">
        <w:t>tilskot</w:t>
      </w:r>
      <w:proofErr w:type="spellEnd"/>
      <w:r w:rsidRPr="00CC19F7">
        <w:t xml:space="preserve"> til energitiltak i kommunale bygg. Løyvinga er </w:t>
      </w:r>
      <w:proofErr w:type="spellStart"/>
      <w:r w:rsidRPr="00CC19F7">
        <w:t>eit</w:t>
      </w:r>
      <w:proofErr w:type="spellEnd"/>
      <w:r w:rsidRPr="00CC19F7">
        <w:t xml:space="preserve"> sentralt tiltak i regjeringas satsing på energieffektivisering i alle </w:t>
      </w:r>
      <w:proofErr w:type="spellStart"/>
      <w:r w:rsidRPr="00CC19F7">
        <w:t>delar</w:t>
      </w:r>
      <w:proofErr w:type="spellEnd"/>
      <w:r w:rsidRPr="00CC19F7">
        <w:t xml:space="preserve"> av norsk økonomi, og ei styrking av </w:t>
      </w:r>
      <w:proofErr w:type="spellStart"/>
      <w:r w:rsidRPr="00CC19F7">
        <w:t>tilskotsordninga</w:t>
      </w:r>
      <w:proofErr w:type="spellEnd"/>
      <w:r w:rsidRPr="00CC19F7">
        <w:t xml:space="preserve"> til energitiltak i kommunalt </w:t>
      </w:r>
      <w:proofErr w:type="spellStart"/>
      <w:r w:rsidRPr="00CC19F7">
        <w:t>eigde</w:t>
      </w:r>
      <w:proofErr w:type="spellEnd"/>
      <w:r w:rsidRPr="00CC19F7">
        <w:t xml:space="preserve"> bygg som blei løyvd under kap. 581, post 60 over Kommunal- og </w:t>
      </w:r>
      <w:proofErr w:type="spellStart"/>
      <w:r w:rsidRPr="00CC19F7">
        <w:t>distriktsdepartementets</w:t>
      </w:r>
      <w:proofErr w:type="spellEnd"/>
      <w:r w:rsidRPr="00CC19F7">
        <w:t xml:space="preserve"> budsjett i 2023.</w:t>
      </w:r>
    </w:p>
    <w:p w14:paraId="6133D3C6" w14:textId="77777777" w:rsidR="00FE02EF" w:rsidRPr="00CC19F7" w:rsidRDefault="00881E58" w:rsidP="00CC19F7">
      <w:pPr>
        <w:pStyle w:val="avsnitt-tittel"/>
      </w:pPr>
      <w:r w:rsidRPr="00CC19F7">
        <w:t>Mål og målgruppe</w:t>
      </w:r>
    </w:p>
    <w:p w14:paraId="1C504306" w14:textId="77777777" w:rsidR="00FE02EF" w:rsidRPr="00CC19F7" w:rsidRDefault="00881E58" w:rsidP="00CC19F7">
      <w:r w:rsidRPr="00CC19F7">
        <w:t xml:space="preserve">Ordninga skal bidra til gjennomføring av energieffektiviseringstiltak og tiltak for </w:t>
      </w:r>
      <w:proofErr w:type="spellStart"/>
      <w:r w:rsidRPr="00CC19F7">
        <w:t>auka</w:t>
      </w:r>
      <w:proofErr w:type="spellEnd"/>
      <w:r w:rsidRPr="00CC19F7">
        <w:t xml:space="preserve"> energifleksibilitet i kommunalt </w:t>
      </w:r>
      <w:proofErr w:type="spellStart"/>
      <w:r w:rsidRPr="00CC19F7">
        <w:t>eigde</w:t>
      </w:r>
      <w:proofErr w:type="spellEnd"/>
      <w:r w:rsidRPr="00CC19F7">
        <w:t xml:space="preserve"> </w:t>
      </w:r>
      <w:proofErr w:type="spellStart"/>
      <w:r w:rsidRPr="00CC19F7">
        <w:t>utleigebustader</w:t>
      </w:r>
      <w:proofErr w:type="spellEnd"/>
      <w:r w:rsidRPr="00CC19F7">
        <w:t xml:space="preserve">, </w:t>
      </w:r>
      <w:proofErr w:type="spellStart"/>
      <w:r w:rsidRPr="00CC19F7">
        <w:t>omsorgsbustader</w:t>
      </w:r>
      <w:proofErr w:type="spellEnd"/>
      <w:r w:rsidRPr="00CC19F7">
        <w:t xml:space="preserve"> og </w:t>
      </w:r>
      <w:proofErr w:type="spellStart"/>
      <w:r w:rsidRPr="00CC19F7">
        <w:t>sjukeheimar</w:t>
      </w:r>
      <w:proofErr w:type="spellEnd"/>
      <w:r w:rsidRPr="00CC19F7">
        <w:t xml:space="preserve">. Ordninga er søknadsbasert, og </w:t>
      </w:r>
      <w:proofErr w:type="spellStart"/>
      <w:r w:rsidRPr="00CC19F7">
        <w:t>kommunane</w:t>
      </w:r>
      <w:proofErr w:type="spellEnd"/>
      <w:r w:rsidRPr="00CC19F7">
        <w:t xml:space="preserve"> må søke Husbanken om </w:t>
      </w:r>
      <w:proofErr w:type="spellStart"/>
      <w:r w:rsidRPr="00CC19F7">
        <w:t>tilskot</w:t>
      </w:r>
      <w:proofErr w:type="spellEnd"/>
      <w:r w:rsidRPr="00CC19F7">
        <w:t>.</w:t>
      </w:r>
    </w:p>
    <w:p w14:paraId="4E280CD4" w14:textId="77777777" w:rsidR="00FE02EF" w:rsidRPr="00CC19F7" w:rsidRDefault="00881E58" w:rsidP="00CC19F7">
      <w:pPr>
        <w:pStyle w:val="avsnitt-tittel"/>
      </w:pPr>
      <w:r w:rsidRPr="00CC19F7">
        <w:t>Tildelingskriterium og oppfølging</w:t>
      </w:r>
    </w:p>
    <w:p w14:paraId="7180FE13" w14:textId="77777777" w:rsidR="00FE02EF" w:rsidRPr="00CC19F7" w:rsidRDefault="00881E58" w:rsidP="00CC19F7">
      <w:proofErr w:type="spellStart"/>
      <w:r w:rsidRPr="00CC19F7">
        <w:t>Tilskotet</w:t>
      </w:r>
      <w:proofErr w:type="spellEnd"/>
      <w:r w:rsidRPr="00CC19F7">
        <w:t xml:space="preserve"> kan </w:t>
      </w:r>
      <w:proofErr w:type="spellStart"/>
      <w:r w:rsidRPr="00CC19F7">
        <w:t>givast</w:t>
      </w:r>
      <w:proofErr w:type="spellEnd"/>
      <w:r w:rsidRPr="00CC19F7">
        <w:t xml:space="preserve"> til energieffektiviseringstiltak i kommunalt </w:t>
      </w:r>
      <w:proofErr w:type="spellStart"/>
      <w:r w:rsidRPr="00CC19F7">
        <w:t>eigde</w:t>
      </w:r>
      <w:proofErr w:type="spellEnd"/>
      <w:r w:rsidRPr="00CC19F7">
        <w:t xml:space="preserve"> </w:t>
      </w:r>
      <w:proofErr w:type="spellStart"/>
      <w:r w:rsidRPr="00CC19F7">
        <w:t>utleigebustader</w:t>
      </w:r>
      <w:proofErr w:type="spellEnd"/>
      <w:r w:rsidRPr="00CC19F7">
        <w:t xml:space="preserve">, </w:t>
      </w:r>
      <w:proofErr w:type="spellStart"/>
      <w:r w:rsidRPr="00CC19F7">
        <w:t>omsorgsbustader</w:t>
      </w:r>
      <w:proofErr w:type="spellEnd"/>
      <w:r w:rsidRPr="00CC19F7">
        <w:t xml:space="preserve"> og </w:t>
      </w:r>
      <w:proofErr w:type="spellStart"/>
      <w:r w:rsidRPr="00CC19F7">
        <w:t>sjukeheimar</w:t>
      </w:r>
      <w:proofErr w:type="spellEnd"/>
      <w:r w:rsidRPr="00CC19F7">
        <w:t xml:space="preserve">. Søknader om </w:t>
      </w:r>
      <w:proofErr w:type="spellStart"/>
      <w:r w:rsidRPr="00CC19F7">
        <w:t>tilskot</w:t>
      </w:r>
      <w:proofErr w:type="spellEnd"/>
      <w:r w:rsidRPr="00CC19F7">
        <w:t xml:space="preserve"> til kommunalt </w:t>
      </w:r>
      <w:proofErr w:type="spellStart"/>
      <w:r w:rsidRPr="00CC19F7">
        <w:t>eigde</w:t>
      </w:r>
      <w:proofErr w:type="spellEnd"/>
      <w:r w:rsidRPr="00CC19F7">
        <w:t xml:space="preserve"> </w:t>
      </w:r>
      <w:proofErr w:type="spellStart"/>
      <w:r w:rsidRPr="00CC19F7">
        <w:t>utleigebustader</w:t>
      </w:r>
      <w:proofErr w:type="spellEnd"/>
      <w:r w:rsidRPr="00CC19F7">
        <w:t xml:space="preserve"> skal </w:t>
      </w:r>
      <w:proofErr w:type="spellStart"/>
      <w:r w:rsidRPr="00CC19F7">
        <w:t>prioriterast</w:t>
      </w:r>
      <w:proofErr w:type="spellEnd"/>
      <w:r w:rsidRPr="00CC19F7">
        <w:t xml:space="preserve">. Husbanken er </w:t>
      </w:r>
      <w:proofErr w:type="spellStart"/>
      <w:r w:rsidRPr="00CC19F7">
        <w:t>ansvarleg</w:t>
      </w:r>
      <w:proofErr w:type="spellEnd"/>
      <w:r w:rsidRPr="00CC19F7">
        <w:t xml:space="preserve"> for ordninga og </w:t>
      </w:r>
      <w:proofErr w:type="spellStart"/>
      <w:r w:rsidRPr="00CC19F7">
        <w:t>avgjer</w:t>
      </w:r>
      <w:proofErr w:type="spellEnd"/>
      <w:r w:rsidRPr="00CC19F7">
        <w:t xml:space="preserve"> søknader. Husbanken vil samarbeide med </w:t>
      </w:r>
      <w:proofErr w:type="spellStart"/>
      <w:r w:rsidRPr="00CC19F7">
        <w:t>Enova</w:t>
      </w:r>
      <w:proofErr w:type="spellEnd"/>
      <w:r w:rsidRPr="00CC19F7">
        <w:t xml:space="preserve"> og NVE for å oppdatere lista over energitiltak </w:t>
      </w:r>
      <w:proofErr w:type="spellStart"/>
      <w:r w:rsidRPr="00CC19F7">
        <w:t>kommunane</w:t>
      </w:r>
      <w:proofErr w:type="spellEnd"/>
      <w:r w:rsidRPr="00CC19F7">
        <w:t xml:space="preserve"> kan søke om </w:t>
      </w:r>
      <w:proofErr w:type="spellStart"/>
      <w:r w:rsidRPr="00CC19F7">
        <w:t>tilskot</w:t>
      </w:r>
      <w:proofErr w:type="spellEnd"/>
      <w:r w:rsidRPr="00CC19F7">
        <w:t xml:space="preserve"> til, for å sikre at tiltaka som mottar støtte, også tar omsyn til </w:t>
      </w:r>
      <w:proofErr w:type="spellStart"/>
      <w:r w:rsidRPr="00CC19F7">
        <w:t>målsettingar</w:t>
      </w:r>
      <w:proofErr w:type="spellEnd"/>
      <w:r w:rsidRPr="00CC19F7">
        <w:t xml:space="preserve"> om </w:t>
      </w:r>
      <w:proofErr w:type="spellStart"/>
      <w:r w:rsidRPr="00CC19F7">
        <w:t>eit</w:t>
      </w:r>
      <w:proofErr w:type="spellEnd"/>
      <w:r w:rsidRPr="00CC19F7">
        <w:t xml:space="preserve"> effektivt kraftsystem. Lista skal </w:t>
      </w:r>
      <w:proofErr w:type="spellStart"/>
      <w:r w:rsidRPr="00CC19F7">
        <w:t>vere</w:t>
      </w:r>
      <w:proofErr w:type="spellEnd"/>
      <w:r w:rsidRPr="00CC19F7">
        <w:t xml:space="preserve"> klar </w:t>
      </w:r>
      <w:proofErr w:type="spellStart"/>
      <w:r w:rsidRPr="00CC19F7">
        <w:t>innan</w:t>
      </w:r>
      <w:proofErr w:type="spellEnd"/>
      <w:r w:rsidRPr="00CC19F7">
        <w:t xml:space="preserve"> utgangen av 2023. Forskrifta om </w:t>
      </w:r>
      <w:proofErr w:type="spellStart"/>
      <w:r w:rsidRPr="00CC19F7">
        <w:t>tilskot</w:t>
      </w:r>
      <w:proofErr w:type="spellEnd"/>
      <w:r w:rsidRPr="00CC19F7">
        <w:t xml:space="preserve"> til energitiltak i kommunalt </w:t>
      </w:r>
      <w:proofErr w:type="spellStart"/>
      <w:r w:rsidRPr="00CC19F7">
        <w:t>eigde</w:t>
      </w:r>
      <w:proofErr w:type="spellEnd"/>
      <w:r w:rsidRPr="00CC19F7">
        <w:t xml:space="preserve"> </w:t>
      </w:r>
      <w:proofErr w:type="spellStart"/>
      <w:r w:rsidRPr="00CC19F7">
        <w:t>utleigebustader</w:t>
      </w:r>
      <w:proofErr w:type="spellEnd"/>
      <w:r w:rsidRPr="00CC19F7">
        <w:t xml:space="preserve">, </w:t>
      </w:r>
      <w:proofErr w:type="spellStart"/>
      <w:r w:rsidRPr="00CC19F7">
        <w:t>omsorgsbustader</w:t>
      </w:r>
      <w:proofErr w:type="spellEnd"/>
      <w:r w:rsidRPr="00CC19F7">
        <w:t xml:space="preserve"> og </w:t>
      </w:r>
      <w:proofErr w:type="spellStart"/>
      <w:r w:rsidRPr="00CC19F7">
        <w:t>sjukeheimar</w:t>
      </w:r>
      <w:proofErr w:type="spellEnd"/>
      <w:r w:rsidRPr="00CC19F7">
        <w:t xml:space="preserve"> vil bli revidert ved behov.</w:t>
      </w:r>
    </w:p>
    <w:p w14:paraId="7CA00FAB" w14:textId="77777777" w:rsidR="00FE02EF" w:rsidRPr="00CC19F7" w:rsidRDefault="00881E58" w:rsidP="00CC19F7">
      <w:proofErr w:type="spellStart"/>
      <w:r w:rsidRPr="00CC19F7">
        <w:t>Kommunar</w:t>
      </w:r>
      <w:proofErr w:type="spellEnd"/>
      <w:r w:rsidRPr="00CC19F7">
        <w:t xml:space="preserve"> som har fått </w:t>
      </w:r>
      <w:proofErr w:type="spellStart"/>
      <w:r w:rsidRPr="00CC19F7">
        <w:t>tilskot</w:t>
      </w:r>
      <w:proofErr w:type="spellEnd"/>
      <w:r w:rsidRPr="00CC19F7">
        <w:t xml:space="preserve"> til energitiltak, skal rapportere om gjennomføringa av tiltak, </w:t>
      </w:r>
      <w:proofErr w:type="spellStart"/>
      <w:r w:rsidRPr="00CC19F7">
        <w:t>talet</w:t>
      </w:r>
      <w:proofErr w:type="spellEnd"/>
      <w:r w:rsidRPr="00CC19F7">
        <w:t xml:space="preserve"> på kommunalt </w:t>
      </w:r>
      <w:proofErr w:type="spellStart"/>
      <w:r w:rsidRPr="00CC19F7">
        <w:t>eigde</w:t>
      </w:r>
      <w:proofErr w:type="spellEnd"/>
      <w:r w:rsidRPr="00CC19F7">
        <w:t xml:space="preserve"> </w:t>
      </w:r>
      <w:proofErr w:type="spellStart"/>
      <w:r w:rsidRPr="00CC19F7">
        <w:t>utleigebustader</w:t>
      </w:r>
      <w:proofErr w:type="spellEnd"/>
      <w:r w:rsidRPr="00CC19F7">
        <w:t xml:space="preserve">, </w:t>
      </w:r>
      <w:proofErr w:type="spellStart"/>
      <w:r w:rsidRPr="00CC19F7">
        <w:t>omsorgsbustader</w:t>
      </w:r>
      <w:proofErr w:type="spellEnd"/>
      <w:r w:rsidRPr="00CC19F7">
        <w:t xml:space="preserve"> og </w:t>
      </w:r>
      <w:proofErr w:type="spellStart"/>
      <w:r w:rsidRPr="00CC19F7">
        <w:t>sjukeheimar</w:t>
      </w:r>
      <w:proofErr w:type="spellEnd"/>
      <w:r w:rsidRPr="00CC19F7">
        <w:t xml:space="preserve"> det er sett i verk tiltak for, og forventa redusert energibehov. Det blir </w:t>
      </w:r>
      <w:proofErr w:type="spellStart"/>
      <w:r w:rsidRPr="00CC19F7">
        <w:t>ikkje</w:t>
      </w:r>
      <w:proofErr w:type="spellEnd"/>
      <w:r w:rsidRPr="00CC19F7">
        <w:t xml:space="preserve"> utbetalt </w:t>
      </w:r>
      <w:proofErr w:type="spellStart"/>
      <w:r w:rsidRPr="00CC19F7">
        <w:t>tilskot</w:t>
      </w:r>
      <w:proofErr w:type="spellEnd"/>
      <w:r w:rsidRPr="00CC19F7">
        <w:t xml:space="preserve"> før </w:t>
      </w:r>
      <w:proofErr w:type="spellStart"/>
      <w:r w:rsidRPr="00CC19F7">
        <w:t>kommunane</w:t>
      </w:r>
      <w:proofErr w:type="spellEnd"/>
      <w:r w:rsidRPr="00CC19F7">
        <w:t xml:space="preserve"> har dokumentert at tiltaket er gjennomført.</w:t>
      </w:r>
    </w:p>
    <w:p w14:paraId="2385FB33" w14:textId="77777777" w:rsidR="00FE02EF" w:rsidRPr="00CC19F7" w:rsidRDefault="00881E58" w:rsidP="00CC19F7">
      <w:pPr>
        <w:pStyle w:val="b-budkaptit"/>
      </w:pPr>
      <w:r w:rsidRPr="00CC19F7">
        <w:t>Kap. 5582 Sektoravgifter under Olje- og energidepartementet</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646"/>
        <w:gridCol w:w="1275"/>
        <w:gridCol w:w="1479"/>
        <w:gridCol w:w="1300"/>
      </w:tblGrid>
      <w:tr w:rsidR="00FE02EF" w:rsidRPr="00CC19F7" w14:paraId="3A09EC86" w14:textId="77777777" w:rsidTr="005F29B2">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602928A" w14:textId="77777777" w:rsidR="00FE02EF" w:rsidRPr="00CC19F7" w:rsidRDefault="00881E58" w:rsidP="00CC19F7">
            <w:pPr>
              <w:pStyle w:val="Tabellnavn"/>
            </w:pPr>
            <w:r w:rsidRPr="00CC19F7">
              <w:t>KPAL</w:t>
            </w:r>
          </w:p>
        </w:tc>
        <w:tc>
          <w:tcPr>
            <w:tcW w:w="4646" w:type="dxa"/>
            <w:tcBorders>
              <w:top w:val="nil"/>
              <w:left w:val="nil"/>
              <w:bottom w:val="single" w:sz="4" w:space="0" w:color="000000"/>
              <w:right w:val="nil"/>
            </w:tcBorders>
            <w:tcMar>
              <w:top w:w="128" w:type="dxa"/>
              <w:left w:w="43" w:type="dxa"/>
              <w:bottom w:w="43" w:type="dxa"/>
              <w:right w:w="43" w:type="dxa"/>
            </w:tcMar>
            <w:vAlign w:val="bottom"/>
          </w:tcPr>
          <w:p w14:paraId="0BBCAF1F" w14:textId="77777777" w:rsidR="00FE02EF" w:rsidRPr="00CC19F7" w:rsidRDefault="00FE02EF" w:rsidP="005F29B2">
            <w:pPr>
              <w:ind w:right="-43"/>
            </w:pPr>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6096FCD2" w14:textId="77777777" w:rsidR="00FE02EF" w:rsidRPr="00CC19F7" w:rsidRDefault="00FE02EF" w:rsidP="005F29B2">
            <w:pPr>
              <w:ind w:right="-43"/>
              <w:jc w:val="right"/>
            </w:pP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1B6DE5D9" w14:textId="77777777" w:rsidR="00FE02EF" w:rsidRPr="00CC19F7" w:rsidRDefault="00FE02EF" w:rsidP="005F29B2">
            <w:pPr>
              <w:ind w:right="-43"/>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2177C56" w14:textId="77777777" w:rsidR="00FE02EF" w:rsidRPr="00CC19F7" w:rsidRDefault="00881E58" w:rsidP="005F29B2">
            <w:pPr>
              <w:ind w:right="-43"/>
              <w:jc w:val="right"/>
            </w:pPr>
            <w:r w:rsidRPr="00CC19F7">
              <w:t>(i 1 000 kr)</w:t>
            </w:r>
          </w:p>
        </w:tc>
      </w:tr>
      <w:tr w:rsidR="00FE02EF" w:rsidRPr="00CC19F7" w14:paraId="6768C45A" w14:textId="77777777" w:rsidTr="005F29B2">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9C39F22" w14:textId="77777777" w:rsidR="00FE02EF" w:rsidRPr="00CC19F7" w:rsidRDefault="00881E58" w:rsidP="00CC19F7">
            <w:r w:rsidRPr="00CC19F7">
              <w:t>Post</w:t>
            </w:r>
          </w:p>
        </w:tc>
        <w:tc>
          <w:tcPr>
            <w:tcW w:w="4646" w:type="dxa"/>
            <w:tcBorders>
              <w:top w:val="nil"/>
              <w:left w:val="nil"/>
              <w:bottom w:val="single" w:sz="4" w:space="0" w:color="000000"/>
              <w:right w:val="nil"/>
            </w:tcBorders>
            <w:tcMar>
              <w:top w:w="128" w:type="dxa"/>
              <w:left w:w="43" w:type="dxa"/>
              <w:bottom w:w="43" w:type="dxa"/>
              <w:right w:w="43" w:type="dxa"/>
            </w:tcMar>
            <w:vAlign w:val="bottom"/>
          </w:tcPr>
          <w:p w14:paraId="50BC95A5" w14:textId="77777777" w:rsidR="00FE02EF" w:rsidRPr="00CC19F7" w:rsidRDefault="00881E58" w:rsidP="005F29B2">
            <w:pPr>
              <w:ind w:right="-43"/>
            </w:pPr>
            <w:proofErr w:type="spellStart"/>
            <w:r w:rsidRPr="00CC19F7">
              <w:t>Nemning</w:t>
            </w:r>
            <w:proofErr w:type="spellEnd"/>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6DC5C0EB" w14:textId="77777777" w:rsidR="00FE02EF" w:rsidRPr="00CC19F7" w:rsidRDefault="00881E58" w:rsidP="005F29B2">
            <w:pPr>
              <w:ind w:right="-43"/>
              <w:jc w:val="right"/>
            </w:pPr>
            <w:proofErr w:type="spellStart"/>
            <w:r w:rsidRPr="00CC19F7">
              <w:t>Rekneskap</w:t>
            </w:r>
            <w:proofErr w:type="spellEnd"/>
            <w:r w:rsidRPr="00CC19F7">
              <w:br/>
              <w:t>2022</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5686D960" w14:textId="77777777" w:rsidR="00FE02EF" w:rsidRPr="00CC19F7" w:rsidRDefault="00881E58" w:rsidP="005F29B2">
            <w:pPr>
              <w:ind w:right="-43"/>
              <w:jc w:val="right"/>
            </w:pPr>
            <w:r w:rsidRPr="00CC19F7">
              <w:t>Saldert</w:t>
            </w:r>
            <w:r w:rsidRPr="00CC19F7">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E4E2832" w14:textId="77777777" w:rsidR="00FE02EF" w:rsidRPr="00CC19F7" w:rsidRDefault="00881E58" w:rsidP="005F29B2">
            <w:pPr>
              <w:ind w:right="-43"/>
              <w:jc w:val="right"/>
            </w:pPr>
            <w:r w:rsidRPr="00CC19F7">
              <w:t>Forslag</w:t>
            </w:r>
            <w:r w:rsidRPr="00CC19F7">
              <w:br/>
              <w:t>2024</w:t>
            </w:r>
          </w:p>
        </w:tc>
      </w:tr>
      <w:tr w:rsidR="00FE02EF" w:rsidRPr="00CC19F7" w14:paraId="3EADBF59" w14:textId="77777777" w:rsidTr="005F29B2">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3941A7C2" w14:textId="77777777" w:rsidR="00FE02EF" w:rsidRPr="00CC19F7" w:rsidRDefault="00881E58" w:rsidP="00CC19F7">
            <w:r w:rsidRPr="00CC19F7">
              <w:t>70</w:t>
            </w:r>
          </w:p>
        </w:tc>
        <w:tc>
          <w:tcPr>
            <w:tcW w:w="4646" w:type="dxa"/>
            <w:tcBorders>
              <w:top w:val="single" w:sz="4" w:space="0" w:color="000000"/>
              <w:left w:val="nil"/>
              <w:bottom w:val="nil"/>
              <w:right w:val="nil"/>
            </w:tcBorders>
            <w:tcMar>
              <w:top w:w="128" w:type="dxa"/>
              <w:left w:w="43" w:type="dxa"/>
              <w:bottom w:w="43" w:type="dxa"/>
              <w:right w:w="43" w:type="dxa"/>
            </w:tcMar>
          </w:tcPr>
          <w:p w14:paraId="26CD8902" w14:textId="77777777" w:rsidR="00FE02EF" w:rsidRPr="00CC19F7" w:rsidRDefault="00881E58" w:rsidP="005F29B2">
            <w:pPr>
              <w:ind w:right="-43"/>
            </w:pPr>
            <w:r w:rsidRPr="00CC19F7">
              <w:t>Bidrag til kulturminnevern i regulerte vassdrag</w:t>
            </w:r>
          </w:p>
        </w:tc>
        <w:tc>
          <w:tcPr>
            <w:tcW w:w="1275" w:type="dxa"/>
            <w:tcBorders>
              <w:top w:val="single" w:sz="4" w:space="0" w:color="000000"/>
              <w:left w:val="nil"/>
              <w:bottom w:val="nil"/>
              <w:right w:val="nil"/>
            </w:tcBorders>
            <w:tcMar>
              <w:top w:w="128" w:type="dxa"/>
              <w:left w:w="43" w:type="dxa"/>
              <w:bottom w:w="43" w:type="dxa"/>
              <w:right w:w="43" w:type="dxa"/>
            </w:tcMar>
            <w:vAlign w:val="bottom"/>
          </w:tcPr>
          <w:p w14:paraId="360DC8CD" w14:textId="77777777" w:rsidR="00FE02EF" w:rsidRPr="00CC19F7" w:rsidRDefault="00881E58" w:rsidP="005F29B2">
            <w:pPr>
              <w:ind w:right="-43"/>
              <w:jc w:val="right"/>
            </w:pPr>
            <w:r w:rsidRPr="00CC19F7">
              <w:t>77 945</w:t>
            </w:r>
          </w:p>
        </w:tc>
        <w:tc>
          <w:tcPr>
            <w:tcW w:w="1479" w:type="dxa"/>
            <w:tcBorders>
              <w:top w:val="single" w:sz="4" w:space="0" w:color="000000"/>
              <w:left w:val="nil"/>
              <w:bottom w:val="nil"/>
              <w:right w:val="nil"/>
            </w:tcBorders>
            <w:tcMar>
              <w:top w:w="128" w:type="dxa"/>
              <w:left w:w="43" w:type="dxa"/>
              <w:bottom w:w="43" w:type="dxa"/>
              <w:right w:w="43" w:type="dxa"/>
            </w:tcMar>
            <w:vAlign w:val="bottom"/>
          </w:tcPr>
          <w:p w14:paraId="49DD275B" w14:textId="77777777" w:rsidR="00FE02EF" w:rsidRPr="00CC19F7" w:rsidRDefault="00881E58" w:rsidP="005F29B2">
            <w:pPr>
              <w:ind w:right="-43"/>
              <w:jc w:val="right"/>
            </w:pPr>
            <w:r w:rsidRPr="00CC19F7">
              <w:t>55 000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43BA174" w14:textId="77777777" w:rsidR="00FE02EF" w:rsidRPr="00CC19F7" w:rsidRDefault="00881E58" w:rsidP="005F29B2">
            <w:pPr>
              <w:ind w:right="-43"/>
              <w:jc w:val="right"/>
            </w:pPr>
            <w:r w:rsidRPr="00CC19F7">
              <w:t>2 000</w:t>
            </w:r>
          </w:p>
        </w:tc>
      </w:tr>
      <w:tr w:rsidR="00FE02EF" w:rsidRPr="00CC19F7" w14:paraId="6D60D5E2" w14:textId="77777777" w:rsidTr="005F29B2">
        <w:trPr>
          <w:trHeight w:val="380"/>
        </w:trPr>
        <w:tc>
          <w:tcPr>
            <w:tcW w:w="840" w:type="dxa"/>
            <w:tcBorders>
              <w:top w:val="nil"/>
              <w:left w:val="nil"/>
              <w:bottom w:val="nil"/>
              <w:right w:val="nil"/>
            </w:tcBorders>
            <w:tcMar>
              <w:top w:w="128" w:type="dxa"/>
              <w:left w:w="43" w:type="dxa"/>
              <w:bottom w:w="43" w:type="dxa"/>
              <w:right w:w="43" w:type="dxa"/>
            </w:tcMar>
          </w:tcPr>
          <w:p w14:paraId="2A929BDD" w14:textId="77777777" w:rsidR="00FE02EF" w:rsidRPr="00CC19F7" w:rsidRDefault="00881E58" w:rsidP="00CC19F7">
            <w:r w:rsidRPr="00CC19F7">
              <w:t>71</w:t>
            </w:r>
          </w:p>
        </w:tc>
        <w:tc>
          <w:tcPr>
            <w:tcW w:w="4646" w:type="dxa"/>
            <w:tcBorders>
              <w:top w:val="nil"/>
              <w:left w:val="nil"/>
              <w:bottom w:val="nil"/>
              <w:right w:val="nil"/>
            </w:tcBorders>
            <w:tcMar>
              <w:top w:w="128" w:type="dxa"/>
              <w:left w:w="43" w:type="dxa"/>
              <w:bottom w:w="43" w:type="dxa"/>
              <w:right w:w="43" w:type="dxa"/>
            </w:tcMar>
          </w:tcPr>
          <w:p w14:paraId="557241A7" w14:textId="77777777" w:rsidR="00FE02EF" w:rsidRPr="00CC19F7" w:rsidRDefault="00881E58" w:rsidP="005F29B2">
            <w:pPr>
              <w:ind w:right="-43"/>
            </w:pPr>
            <w:r w:rsidRPr="00CC19F7">
              <w:t xml:space="preserve">Konsesjonsavgifter </w:t>
            </w:r>
            <w:proofErr w:type="spellStart"/>
            <w:r w:rsidRPr="00CC19F7">
              <w:t>frå</w:t>
            </w:r>
            <w:proofErr w:type="spellEnd"/>
            <w:r w:rsidRPr="00CC19F7">
              <w:t xml:space="preserve"> vasskraftutbygging</w:t>
            </w:r>
          </w:p>
        </w:tc>
        <w:tc>
          <w:tcPr>
            <w:tcW w:w="1275" w:type="dxa"/>
            <w:tcBorders>
              <w:top w:val="nil"/>
              <w:left w:val="nil"/>
              <w:bottom w:val="nil"/>
              <w:right w:val="nil"/>
            </w:tcBorders>
            <w:tcMar>
              <w:top w:w="128" w:type="dxa"/>
              <w:left w:w="43" w:type="dxa"/>
              <w:bottom w:w="43" w:type="dxa"/>
              <w:right w:w="43" w:type="dxa"/>
            </w:tcMar>
            <w:vAlign w:val="bottom"/>
          </w:tcPr>
          <w:p w14:paraId="1B4D91BD" w14:textId="77777777" w:rsidR="00FE02EF" w:rsidRPr="00CC19F7" w:rsidRDefault="00881E58" w:rsidP="005F29B2">
            <w:pPr>
              <w:ind w:right="-43"/>
              <w:jc w:val="right"/>
            </w:pPr>
            <w:r w:rsidRPr="00CC19F7">
              <w:t>172 916</w:t>
            </w:r>
          </w:p>
        </w:tc>
        <w:tc>
          <w:tcPr>
            <w:tcW w:w="1479" w:type="dxa"/>
            <w:tcBorders>
              <w:top w:val="nil"/>
              <w:left w:val="nil"/>
              <w:bottom w:val="nil"/>
              <w:right w:val="nil"/>
            </w:tcBorders>
            <w:tcMar>
              <w:top w:w="128" w:type="dxa"/>
              <w:left w:w="43" w:type="dxa"/>
              <w:bottom w:w="43" w:type="dxa"/>
              <w:right w:w="43" w:type="dxa"/>
            </w:tcMar>
            <w:vAlign w:val="bottom"/>
          </w:tcPr>
          <w:p w14:paraId="09DCD2FC" w14:textId="77777777" w:rsidR="00FE02EF" w:rsidRPr="00CC19F7" w:rsidRDefault="00881E58" w:rsidP="005F29B2">
            <w:pPr>
              <w:ind w:right="-43"/>
              <w:jc w:val="right"/>
            </w:pPr>
            <w:r w:rsidRPr="00CC19F7">
              <w:t>185 000</w:t>
            </w:r>
          </w:p>
        </w:tc>
        <w:tc>
          <w:tcPr>
            <w:tcW w:w="1300" w:type="dxa"/>
            <w:tcBorders>
              <w:top w:val="nil"/>
              <w:left w:val="nil"/>
              <w:bottom w:val="nil"/>
              <w:right w:val="nil"/>
            </w:tcBorders>
            <w:tcMar>
              <w:top w:w="128" w:type="dxa"/>
              <w:left w:w="43" w:type="dxa"/>
              <w:bottom w:w="43" w:type="dxa"/>
              <w:right w:w="43" w:type="dxa"/>
            </w:tcMar>
            <w:vAlign w:val="bottom"/>
          </w:tcPr>
          <w:p w14:paraId="7796C06C" w14:textId="77777777" w:rsidR="00FE02EF" w:rsidRPr="00CC19F7" w:rsidRDefault="00881E58" w:rsidP="005F29B2">
            <w:pPr>
              <w:ind w:right="-43"/>
              <w:jc w:val="right"/>
            </w:pPr>
            <w:r w:rsidRPr="00CC19F7">
              <w:t>186 600</w:t>
            </w:r>
          </w:p>
        </w:tc>
      </w:tr>
      <w:tr w:rsidR="00FE02EF" w:rsidRPr="00CC19F7" w14:paraId="66CED2B1" w14:textId="77777777" w:rsidTr="005F29B2">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36FA399C" w14:textId="77777777" w:rsidR="00FE02EF" w:rsidRPr="00CC19F7" w:rsidRDefault="00881E58" w:rsidP="00CC19F7">
            <w:r w:rsidRPr="00CC19F7">
              <w:t>72</w:t>
            </w:r>
          </w:p>
        </w:tc>
        <w:tc>
          <w:tcPr>
            <w:tcW w:w="4646" w:type="dxa"/>
            <w:tcBorders>
              <w:top w:val="nil"/>
              <w:left w:val="nil"/>
              <w:bottom w:val="single" w:sz="4" w:space="0" w:color="000000"/>
              <w:right w:val="nil"/>
            </w:tcBorders>
            <w:tcMar>
              <w:top w:w="128" w:type="dxa"/>
              <w:left w:w="43" w:type="dxa"/>
              <w:bottom w:w="43" w:type="dxa"/>
              <w:right w:w="43" w:type="dxa"/>
            </w:tcMar>
          </w:tcPr>
          <w:p w14:paraId="3880EEEA" w14:textId="77777777" w:rsidR="00FE02EF" w:rsidRPr="00CC19F7" w:rsidRDefault="00881E58" w:rsidP="005F29B2">
            <w:pPr>
              <w:ind w:right="-43"/>
            </w:pPr>
            <w:r w:rsidRPr="00CC19F7">
              <w:t xml:space="preserve">Sektoravgifter under </w:t>
            </w:r>
            <w:proofErr w:type="spellStart"/>
            <w:r w:rsidRPr="00CC19F7">
              <w:t>Noregs</w:t>
            </w:r>
            <w:proofErr w:type="spellEnd"/>
            <w:r w:rsidRPr="00CC19F7">
              <w:t xml:space="preserve"> vassdrags- og </w:t>
            </w:r>
            <w:r w:rsidRPr="00CC19F7">
              <w:br/>
              <w:t>energidirektorat</w:t>
            </w:r>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455A474C" w14:textId="77777777" w:rsidR="00FE02EF" w:rsidRPr="00CC19F7" w:rsidRDefault="00881E58" w:rsidP="005F29B2">
            <w:pPr>
              <w:ind w:right="-43"/>
              <w:jc w:val="right"/>
            </w:pPr>
            <w:r w:rsidRPr="00CC19F7">
              <w:t>54 239</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336E029B" w14:textId="77777777" w:rsidR="00FE02EF" w:rsidRPr="00CC19F7" w:rsidRDefault="00881E58" w:rsidP="005F29B2">
            <w:pPr>
              <w:ind w:right="-43"/>
              <w:jc w:val="right"/>
            </w:pPr>
            <w:r w:rsidRPr="00CC19F7">
              <w:t>72 000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E66BF8A" w14:textId="77777777" w:rsidR="00FE02EF" w:rsidRPr="00CC19F7" w:rsidRDefault="00881E58" w:rsidP="005F29B2">
            <w:pPr>
              <w:ind w:right="-43"/>
              <w:jc w:val="right"/>
            </w:pPr>
            <w:r w:rsidRPr="00CC19F7">
              <w:t>140 000</w:t>
            </w:r>
          </w:p>
        </w:tc>
      </w:tr>
      <w:tr w:rsidR="00FE02EF" w:rsidRPr="00CC19F7" w14:paraId="0E0C1885" w14:textId="77777777" w:rsidTr="005F29B2">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775CE08" w14:textId="77777777" w:rsidR="00FE02EF" w:rsidRPr="00CC19F7" w:rsidRDefault="00FE02EF" w:rsidP="00CC19F7"/>
        </w:tc>
        <w:tc>
          <w:tcPr>
            <w:tcW w:w="4646" w:type="dxa"/>
            <w:tcBorders>
              <w:top w:val="nil"/>
              <w:left w:val="nil"/>
              <w:bottom w:val="single" w:sz="4" w:space="0" w:color="000000"/>
              <w:right w:val="nil"/>
            </w:tcBorders>
            <w:tcMar>
              <w:top w:w="128" w:type="dxa"/>
              <w:left w:w="43" w:type="dxa"/>
              <w:bottom w:w="43" w:type="dxa"/>
              <w:right w:w="43" w:type="dxa"/>
            </w:tcMar>
          </w:tcPr>
          <w:p w14:paraId="6D6DDACD" w14:textId="77777777" w:rsidR="00FE02EF" w:rsidRPr="00CC19F7" w:rsidRDefault="00881E58" w:rsidP="005F29B2">
            <w:pPr>
              <w:ind w:right="-43"/>
            </w:pPr>
            <w:r w:rsidRPr="00CC19F7">
              <w:t>Sum kap. 5582</w:t>
            </w:r>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2A6FD8C5" w14:textId="77777777" w:rsidR="00FE02EF" w:rsidRPr="00CC19F7" w:rsidRDefault="00881E58" w:rsidP="005F29B2">
            <w:pPr>
              <w:ind w:right="-43"/>
              <w:jc w:val="right"/>
            </w:pPr>
            <w:r w:rsidRPr="00CC19F7">
              <w:t>305 100</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1FDBBF6E" w14:textId="77777777" w:rsidR="00FE02EF" w:rsidRPr="00CC19F7" w:rsidRDefault="00881E58" w:rsidP="005F29B2">
            <w:pPr>
              <w:ind w:right="-43"/>
              <w:jc w:val="right"/>
            </w:pPr>
            <w:r w:rsidRPr="00CC19F7">
              <w:t>312 000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C4BABD6" w14:textId="77777777" w:rsidR="00FE02EF" w:rsidRPr="00CC19F7" w:rsidRDefault="00881E58" w:rsidP="005F29B2">
            <w:pPr>
              <w:ind w:right="-43"/>
              <w:jc w:val="right"/>
            </w:pPr>
            <w:r w:rsidRPr="00CC19F7">
              <w:t>328 600</w:t>
            </w:r>
          </w:p>
        </w:tc>
      </w:tr>
    </w:tbl>
    <w:p w14:paraId="2E6CCC87" w14:textId="77777777" w:rsidR="00FE02EF" w:rsidRPr="00CC19F7" w:rsidRDefault="00881E58" w:rsidP="00CC19F7">
      <w:pPr>
        <w:pStyle w:val="avsnitt-undertittel"/>
      </w:pPr>
      <w:r w:rsidRPr="00CC19F7">
        <w:t>Om 2023</w:t>
      </w:r>
    </w:p>
    <w:p w14:paraId="1EEF1E3A" w14:textId="77777777" w:rsidR="00FE02EF" w:rsidRPr="00CC19F7" w:rsidRDefault="00881E58" w:rsidP="00CC19F7">
      <w:r w:rsidRPr="00CC19F7">
        <w:t xml:space="preserve">Ved Stortingets vedtak 16. juni 2023 blei post 70 redusert med 51 mill. kroner og post 72 </w:t>
      </w:r>
      <w:proofErr w:type="spellStart"/>
      <w:r w:rsidRPr="00CC19F7">
        <w:t>auka</w:t>
      </w:r>
      <w:proofErr w:type="spellEnd"/>
      <w:r w:rsidRPr="00CC19F7">
        <w:t xml:space="preserve"> med 42 mill. kroner, jf. </w:t>
      </w:r>
      <w:proofErr w:type="spellStart"/>
      <w:r w:rsidRPr="00CC19F7">
        <w:t>Prop</w:t>
      </w:r>
      <w:proofErr w:type="spellEnd"/>
      <w:r w:rsidRPr="00CC19F7">
        <w:t xml:space="preserve">. 118 S (2022–2023) og </w:t>
      </w:r>
      <w:proofErr w:type="spellStart"/>
      <w:r w:rsidRPr="00CC19F7">
        <w:t>Innst</w:t>
      </w:r>
      <w:proofErr w:type="spellEnd"/>
      <w:r w:rsidRPr="00CC19F7">
        <w:t>. 490 S (2022–2023).</w:t>
      </w:r>
    </w:p>
    <w:p w14:paraId="56676B7A" w14:textId="77777777" w:rsidR="00FE02EF" w:rsidRPr="00CC19F7" w:rsidRDefault="00881E58" w:rsidP="00CC19F7">
      <w:pPr>
        <w:pStyle w:val="b-post"/>
      </w:pPr>
      <w:r w:rsidRPr="00CC19F7">
        <w:t>Post 70 Bidrag til kulturminnevern i regulerte vassdrag</w:t>
      </w:r>
    </w:p>
    <w:p w14:paraId="589305B1" w14:textId="77777777" w:rsidR="00FE02EF" w:rsidRPr="00CC19F7" w:rsidRDefault="00881E58" w:rsidP="00CC19F7">
      <w:r w:rsidRPr="00CC19F7">
        <w:t xml:space="preserve">Sektoravgift for kulturminnevern i regulerte vassdrag dekker kostnader til arkeologiske </w:t>
      </w:r>
      <w:proofErr w:type="spellStart"/>
      <w:r w:rsidRPr="00CC19F7">
        <w:t>undersøkingar</w:t>
      </w:r>
      <w:proofErr w:type="spellEnd"/>
      <w:r w:rsidRPr="00CC19F7">
        <w:t xml:space="preserve"> i vassdrag. Det er </w:t>
      </w:r>
      <w:proofErr w:type="spellStart"/>
      <w:r w:rsidRPr="00CC19F7">
        <w:t>konsesjonar</w:t>
      </w:r>
      <w:proofErr w:type="spellEnd"/>
      <w:r w:rsidRPr="00CC19F7">
        <w:t xml:space="preserve"> gitt før 1960 der det </w:t>
      </w:r>
      <w:proofErr w:type="spellStart"/>
      <w:r w:rsidRPr="00CC19F7">
        <w:t>ikkje</w:t>
      </w:r>
      <w:proofErr w:type="spellEnd"/>
      <w:r w:rsidRPr="00CC19F7">
        <w:t xml:space="preserve"> blei gjort arkeologiske </w:t>
      </w:r>
      <w:proofErr w:type="spellStart"/>
      <w:r w:rsidRPr="00CC19F7">
        <w:t>undersøkingar</w:t>
      </w:r>
      <w:proofErr w:type="spellEnd"/>
      <w:r w:rsidRPr="00CC19F7">
        <w:t xml:space="preserve"> ved utbygging, som blir omfatta av ordninga når konsesjonen skal </w:t>
      </w:r>
      <w:proofErr w:type="spellStart"/>
      <w:r w:rsidRPr="00CC19F7">
        <w:t>fornyast</w:t>
      </w:r>
      <w:proofErr w:type="spellEnd"/>
      <w:r w:rsidRPr="00CC19F7">
        <w:t xml:space="preserve"> eller vilkåra </w:t>
      </w:r>
      <w:proofErr w:type="spellStart"/>
      <w:r w:rsidRPr="00CC19F7">
        <w:t>reviderast</w:t>
      </w:r>
      <w:proofErr w:type="spellEnd"/>
      <w:r w:rsidRPr="00CC19F7">
        <w:t>.</w:t>
      </w:r>
    </w:p>
    <w:p w14:paraId="1B4E3BB5" w14:textId="77777777" w:rsidR="00FE02EF" w:rsidRPr="00CC19F7" w:rsidRDefault="00881E58" w:rsidP="00CC19F7">
      <w:r w:rsidRPr="00CC19F7">
        <w:t xml:space="preserve">Konsesjonæren betaler </w:t>
      </w:r>
      <w:proofErr w:type="spellStart"/>
      <w:r w:rsidRPr="00CC19F7">
        <w:t>eit</w:t>
      </w:r>
      <w:proofErr w:type="spellEnd"/>
      <w:r w:rsidRPr="00CC19F7">
        <w:t xml:space="preserve"> beløp basert på størrelsen på produksjonen i reguleringsmagasinet, og </w:t>
      </w:r>
      <w:proofErr w:type="spellStart"/>
      <w:r w:rsidRPr="00CC19F7">
        <w:t>midlane</w:t>
      </w:r>
      <w:proofErr w:type="spellEnd"/>
      <w:r w:rsidRPr="00CC19F7">
        <w:t xml:space="preserve"> blir stilte til disposisjon for Riksantikvaren, som følger opp </w:t>
      </w:r>
      <w:proofErr w:type="spellStart"/>
      <w:r w:rsidRPr="00CC19F7">
        <w:t>dei</w:t>
      </w:r>
      <w:proofErr w:type="spellEnd"/>
      <w:r w:rsidRPr="00CC19F7">
        <w:t xml:space="preserve"> arkeologiske </w:t>
      </w:r>
      <w:proofErr w:type="spellStart"/>
      <w:r w:rsidRPr="00CC19F7">
        <w:t>undersøkingane</w:t>
      </w:r>
      <w:proofErr w:type="spellEnd"/>
      <w:r w:rsidRPr="00CC19F7">
        <w:t>, jf. kap. 1800, post 21.</w:t>
      </w:r>
    </w:p>
    <w:p w14:paraId="23555184" w14:textId="77777777" w:rsidR="00FE02EF" w:rsidRPr="00CC19F7" w:rsidRDefault="00881E58" w:rsidP="00CC19F7">
      <w:pPr>
        <w:pStyle w:val="b-post"/>
      </w:pPr>
      <w:r w:rsidRPr="00CC19F7">
        <w:t xml:space="preserve">Post 71 Konsesjonsavgifter </w:t>
      </w:r>
      <w:proofErr w:type="spellStart"/>
      <w:r w:rsidRPr="00CC19F7">
        <w:t>frå</w:t>
      </w:r>
      <w:proofErr w:type="spellEnd"/>
      <w:r w:rsidRPr="00CC19F7">
        <w:t xml:space="preserve"> vasskraftutbygging</w:t>
      </w:r>
    </w:p>
    <w:p w14:paraId="1B2508BA" w14:textId="77777777" w:rsidR="00FE02EF" w:rsidRPr="00CC19F7" w:rsidRDefault="00881E58" w:rsidP="00CC19F7">
      <w:r w:rsidRPr="00CC19F7">
        <w:t xml:space="preserve">Ved </w:t>
      </w:r>
      <w:proofErr w:type="spellStart"/>
      <w:r w:rsidRPr="00CC19F7">
        <w:t>konsesjonar</w:t>
      </w:r>
      <w:proofErr w:type="spellEnd"/>
      <w:r w:rsidRPr="00CC19F7">
        <w:t xml:space="preserve"> gitt etter vassdragsreguleringslova eller industrikonsesjonslova </w:t>
      </w:r>
      <w:proofErr w:type="spellStart"/>
      <w:r w:rsidRPr="00CC19F7">
        <w:t>pliktar</w:t>
      </w:r>
      <w:proofErr w:type="spellEnd"/>
      <w:r w:rsidRPr="00CC19F7">
        <w:t xml:space="preserve"> </w:t>
      </w:r>
      <w:proofErr w:type="spellStart"/>
      <w:r w:rsidRPr="00CC19F7">
        <w:t>eigarane</w:t>
      </w:r>
      <w:proofErr w:type="spellEnd"/>
      <w:r w:rsidRPr="00CC19F7">
        <w:t xml:space="preserve"> av kraftverka å betale ei </w:t>
      </w:r>
      <w:proofErr w:type="spellStart"/>
      <w:r w:rsidRPr="00CC19F7">
        <w:t>årleg</w:t>
      </w:r>
      <w:proofErr w:type="spellEnd"/>
      <w:r w:rsidRPr="00CC19F7">
        <w:t xml:space="preserve"> avgift til staten og kommunen. Sektoravgifta til staten skal bidra til finansiering av forsking, utvikling, opplæring og informasjon på energi- og vassdragsområdet. Avgifta til staten kan i ekstraordinære tilfelle dekke utgifter til å </w:t>
      </w:r>
      <w:proofErr w:type="spellStart"/>
      <w:r w:rsidRPr="00CC19F7">
        <w:t>førebygge</w:t>
      </w:r>
      <w:proofErr w:type="spellEnd"/>
      <w:r w:rsidRPr="00CC19F7">
        <w:t xml:space="preserve">, erstatte og bøte på </w:t>
      </w:r>
      <w:proofErr w:type="spellStart"/>
      <w:r w:rsidRPr="00CC19F7">
        <w:t>skadar</w:t>
      </w:r>
      <w:proofErr w:type="spellEnd"/>
      <w:r w:rsidRPr="00CC19F7">
        <w:t xml:space="preserve"> som følge av eller i samband med </w:t>
      </w:r>
      <w:proofErr w:type="spellStart"/>
      <w:r w:rsidRPr="00CC19F7">
        <w:t>kraftutbyggingar</w:t>
      </w:r>
      <w:proofErr w:type="spellEnd"/>
      <w:r w:rsidRPr="00CC19F7">
        <w:t xml:space="preserve"> eller </w:t>
      </w:r>
      <w:proofErr w:type="spellStart"/>
      <w:r w:rsidRPr="00CC19F7">
        <w:t>reguleringar</w:t>
      </w:r>
      <w:proofErr w:type="spellEnd"/>
      <w:r w:rsidRPr="00CC19F7">
        <w:t>.</w:t>
      </w:r>
    </w:p>
    <w:p w14:paraId="76CC7DE4" w14:textId="77777777" w:rsidR="00FE02EF" w:rsidRPr="00CC19F7" w:rsidRDefault="00881E58" w:rsidP="00CC19F7">
      <w:r w:rsidRPr="00CC19F7">
        <w:t xml:space="preserve">Anslaget på inntekter </w:t>
      </w:r>
      <w:proofErr w:type="spellStart"/>
      <w:r w:rsidRPr="00CC19F7">
        <w:t>frå</w:t>
      </w:r>
      <w:proofErr w:type="spellEnd"/>
      <w:r w:rsidRPr="00CC19F7">
        <w:t xml:space="preserve"> konsesjonsavgiftene for vasskraft er </w:t>
      </w:r>
      <w:proofErr w:type="spellStart"/>
      <w:r w:rsidRPr="00CC19F7">
        <w:t>rekna</w:t>
      </w:r>
      <w:proofErr w:type="spellEnd"/>
      <w:r w:rsidRPr="00CC19F7">
        <w:t xml:space="preserve"> ut </w:t>
      </w:r>
      <w:proofErr w:type="spellStart"/>
      <w:r w:rsidRPr="00CC19F7">
        <w:t>frå</w:t>
      </w:r>
      <w:proofErr w:type="spellEnd"/>
      <w:r w:rsidRPr="00CC19F7">
        <w:t xml:space="preserve"> </w:t>
      </w:r>
      <w:proofErr w:type="spellStart"/>
      <w:r w:rsidRPr="00CC19F7">
        <w:t>eksisterande</w:t>
      </w:r>
      <w:proofErr w:type="spellEnd"/>
      <w:r w:rsidRPr="00CC19F7">
        <w:t xml:space="preserve"> avgiftspliktige </w:t>
      </w:r>
      <w:proofErr w:type="spellStart"/>
      <w:r w:rsidRPr="00CC19F7">
        <w:t>konsesjonar</w:t>
      </w:r>
      <w:proofErr w:type="spellEnd"/>
      <w:r w:rsidRPr="00CC19F7">
        <w:t xml:space="preserve">. </w:t>
      </w:r>
      <w:proofErr w:type="spellStart"/>
      <w:r w:rsidRPr="00CC19F7">
        <w:t>Avgiftssatsane</w:t>
      </w:r>
      <w:proofErr w:type="spellEnd"/>
      <w:r w:rsidRPr="00CC19F7">
        <w:t xml:space="preserve"> blir indeksjusterte kvart femte år med utgangspunkt i konsesjonsdatoen. I tillegg vil nye </w:t>
      </w:r>
      <w:proofErr w:type="spellStart"/>
      <w:r w:rsidRPr="00CC19F7">
        <w:t>konsesjonar</w:t>
      </w:r>
      <w:proofErr w:type="spellEnd"/>
      <w:r w:rsidRPr="00CC19F7">
        <w:t xml:space="preserve"> utløyse konsesjonsavgift.</w:t>
      </w:r>
    </w:p>
    <w:p w14:paraId="1E06881F" w14:textId="77777777" w:rsidR="00FE02EF" w:rsidRPr="00CC19F7" w:rsidRDefault="00881E58" w:rsidP="00CC19F7">
      <w:pPr>
        <w:pStyle w:val="b-post"/>
      </w:pPr>
      <w:r w:rsidRPr="00CC19F7">
        <w:t xml:space="preserve">Post 72 Sektoravgifter under </w:t>
      </w:r>
      <w:proofErr w:type="spellStart"/>
      <w:r w:rsidRPr="00CC19F7">
        <w:t>Noregs</w:t>
      </w:r>
      <w:proofErr w:type="spellEnd"/>
      <w:r w:rsidRPr="00CC19F7">
        <w:t xml:space="preserve"> vassdrags- og energidirektorat</w:t>
      </w:r>
    </w:p>
    <w:p w14:paraId="7BA0BD23" w14:textId="77777777" w:rsidR="00FE02EF" w:rsidRPr="00CC19F7" w:rsidRDefault="00881E58" w:rsidP="00CC19F7">
      <w:r w:rsidRPr="00CC19F7">
        <w:t xml:space="preserve">Tilsynet med </w:t>
      </w:r>
      <w:proofErr w:type="spellStart"/>
      <w:r w:rsidRPr="00CC19F7">
        <w:t>sikkerheita</w:t>
      </w:r>
      <w:proofErr w:type="spellEnd"/>
      <w:r w:rsidRPr="00CC19F7">
        <w:t xml:space="preserve"> ved norske vassdragsanlegg blir utført av NVE.</w:t>
      </w:r>
    </w:p>
    <w:p w14:paraId="6084EA8A" w14:textId="77777777" w:rsidR="00FE02EF" w:rsidRPr="00CC19F7" w:rsidRDefault="00881E58" w:rsidP="00CC19F7">
      <w:r w:rsidRPr="00CC19F7">
        <w:t xml:space="preserve">Det blei i </w:t>
      </w:r>
      <w:proofErr w:type="spellStart"/>
      <w:r w:rsidRPr="00CC19F7">
        <w:t>Prop</w:t>
      </w:r>
      <w:proofErr w:type="spellEnd"/>
      <w:r w:rsidRPr="00CC19F7">
        <w:t xml:space="preserve">. 1 S (2022–2023) varsla </w:t>
      </w:r>
      <w:proofErr w:type="spellStart"/>
      <w:r w:rsidRPr="00CC19F7">
        <w:t>eit</w:t>
      </w:r>
      <w:proofErr w:type="spellEnd"/>
      <w:r w:rsidRPr="00CC19F7">
        <w:t xml:space="preserve"> lov- og forskriftsarbeid der det blir tatt sikte på å endre enkelte </w:t>
      </w:r>
      <w:proofErr w:type="spellStart"/>
      <w:r w:rsidRPr="00CC19F7">
        <w:t>tilsynsordningar</w:t>
      </w:r>
      <w:proofErr w:type="spellEnd"/>
      <w:r w:rsidRPr="00CC19F7">
        <w:t xml:space="preserve"> under NVE der det som i dag blir </w:t>
      </w:r>
      <w:proofErr w:type="spellStart"/>
      <w:r w:rsidRPr="00CC19F7">
        <w:t>kravd</w:t>
      </w:r>
      <w:proofErr w:type="spellEnd"/>
      <w:r w:rsidRPr="00CC19F7">
        <w:t xml:space="preserve"> inn som gebyr, blir </w:t>
      </w:r>
      <w:proofErr w:type="spellStart"/>
      <w:r w:rsidRPr="00CC19F7">
        <w:t>kravd</w:t>
      </w:r>
      <w:proofErr w:type="spellEnd"/>
      <w:r w:rsidRPr="00CC19F7">
        <w:t xml:space="preserve"> inn som sektoravgift. </w:t>
      </w:r>
      <w:proofErr w:type="spellStart"/>
      <w:r w:rsidRPr="00CC19F7">
        <w:t>Vidare</w:t>
      </w:r>
      <w:proofErr w:type="spellEnd"/>
      <w:r w:rsidRPr="00CC19F7">
        <w:t xml:space="preserve"> blei det varsla at Olje- og energidepartementet tar sikte på å komme tilbake til budsjettmessige </w:t>
      </w:r>
      <w:proofErr w:type="spellStart"/>
      <w:r w:rsidRPr="00CC19F7">
        <w:t>konsekvensar</w:t>
      </w:r>
      <w:proofErr w:type="spellEnd"/>
      <w:r w:rsidRPr="00CC19F7">
        <w:t xml:space="preserve"> som følge av omlegginga </w:t>
      </w:r>
      <w:proofErr w:type="spellStart"/>
      <w:r w:rsidRPr="00CC19F7">
        <w:t>frå</w:t>
      </w:r>
      <w:proofErr w:type="spellEnd"/>
      <w:r w:rsidRPr="00CC19F7">
        <w:t xml:space="preserve"> gebyr- til </w:t>
      </w:r>
      <w:proofErr w:type="spellStart"/>
      <w:r w:rsidRPr="00CC19F7">
        <w:t>sektoravgiftsfinansiering</w:t>
      </w:r>
      <w:proofErr w:type="spellEnd"/>
      <w:r w:rsidRPr="00CC19F7">
        <w:t>.</w:t>
      </w:r>
    </w:p>
    <w:p w14:paraId="66268FAA" w14:textId="77777777" w:rsidR="00FE02EF" w:rsidRPr="00CC19F7" w:rsidRDefault="00881E58" w:rsidP="00CC19F7">
      <w:r w:rsidRPr="00CC19F7">
        <w:t xml:space="preserve">I desember 2022 fremma Olje- og energidepartementet lovproposisjonen </w:t>
      </w:r>
      <w:proofErr w:type="spellStart"/>
      <w:r w:rsidRPr="00CC19F7">
        <w:t>Prop</w:t>
      </w:r>
      <w:proofErr w:type="spellEnd"/>
      <w:r w:rsidRPr="00CC19F7">
        <w:t xml:space="preserve">. 37 L (2022–2023) </w:t>
      </w:r>
      <w:proofErr w:type="spellStart"/>
      <w:r w:rsidRPr="00CC19F7">
        <w:rPr>
          <w:rStyle w:val="kursiv"/>
        </w:rPr>
        <w:t>Endringar</w:t>
      </w:r>
      <w:proofErr w:type="spellEnd"/>
      <w:r w:rsidRPr="00CC19F7">
        <w:rPr>
          <w:rStyle w:val="kursiv"/>
        </w:rPr>
        <w:t xml:space="preserve"> i vassdragsreguleringsloven, energiloven og vannressursloven (kostnadsdekning for tilsyn og kontroll)</w:t>
      </w:r>
      <w:r w:rsidRPr="00CC19F7">
        <w:t xml:space="preserve">, med forslag til </w:t>
      </w:r>
      <w:proofErr w:type="spellStart"/>
      <w:r w:rsidRPr="00CC19F7">
        <w:t>endringar</w:t>
      </w:r>
      <w:proofErr w:type="spellEnd"/>
      <w:r w:rsidRPr="00CC19F7">
        <w:t xml:space="preserve"> i relevant lovgiving slik at </w:t>
      </w:r>
      <w:proofErr w:type="spellStart"/>
      <w:r w:rsidRPr="00CC19F7">
        <w:t>tilsynsordningane</w:t>
      </w:r>
      <w:proofErr w:type="spellEnd"/>
      <w:r w:rsidRPr="00CC19F7">
        <w:t xml:space="preserve"> skal kunne </w:t>
      </w:r>
      <w:proofErr w:type="spellStart"/>
      <w:r w:rsidRPr="00CC19F7">
        <w:t>krevjast</w:t>
      </w:r>
      <w:proofErr w:type="spellEnd"/>
      <w:r w:rsidRPr="00CC19F7">
        <w:t xml:space="preserve"> inn som sektoravgift. Det blei i </w:t>
      </w:r>
      <w:proofErr w:type="spellStart"/>
      <w:r w:rsidRPr="00CC19F7">
        <w:t>Prop</w:t>
      </w:r>
      <w:proofErr w:type="spellEnd"/>
      <w:r w:rsidRPr="00CC19F7">
        <w:t xml:space="preserve">. 37 L (2022–2023) gjort greie for at forslag til ny forskrift om sektoravgifter for dekning av kostnader til direktoratets tilsyns- og kontrollarbeid kan resultere i </w:t>
      </w:r>
      <w:proofErr w:type="spellStart"/>
      <w:r w:rsidRPr="00CC19F7">
        <w:t>endringar</w:t>
      </w:r>
      <w:proofErr w:type="spellEnd"/>
      <w:r w:rsidRPr="00CC19F7">
        <w:t xml:space="preserve"> når det </w:t>
      </w:r>
      <w:proofErr w:type="spellStart"/>
      <w:r w:rsidRPr="00CC19F7">
        <w:t>gjeld</w:t>
      </w:r>
      <w:proofErr w:type="spellEnd"/>
      <w:r w:rsidRPr="00CC19F7">
        <w:t xml:space="preserve"> fordeling av kostnader mellom </w:t>
      </w:r>
      <w:proofErr w:type="spellStart"/>
      <w:r w:rsidRPr="00CC19F7">
        <w:t>konsesjonærane</w:t>
      </w:r>
      <w:proofErr w:type="spellEnd"/>
      <w:r w:rsidRPr="00CC19F7">
        <w:t xml:space="preserve">. Proposisjonen er behandla av Stortinget, jf. </w:t>
      </w:r>
      <w:proofErr w:type="spellStart"/>
      <w:r w:rsidRPr="00CC19F7">
        <w:t>Innst</w:t>
      </w:r>
      <w:proofErr w:type="spellEnd"/>
      <w:r w:rsidRPr="00CC19F7">
        <w:t xml:space="preserve">. 216 L (2022–-2023), og det blir tatt sikte på iverksetting av </w:t>
      </w:r>
      <w:proofErr w:type="spellStart"/>
      <w:r w:rsidRPr="00CC19F7">
        <w:t>lovendringane</w:t>
      </w:r>
      <w:proofErr w:type="spellEnd"/>
      <w:r w:rsidRPr="00CC19F7">
        <w:t xml:space="preserve"> </w:t>
      </w:r>
      <w:proofErr w:type="spellStart"/>
      <w:r w:rsidRPr="00CC19F7">
        <w:t>frå</w:t>
      </w:r>
      <w:proofErr w:type="spellEnd"/>
      <w:r w:rsidRPr="00CC19F7">
        <w:t xml:space="preserve"> 1. januar 2024.</w:t>
      </w:r>
    </w:p>
    <w:p w14:paraId="70625D4C" w14:textId="77777777" w:rsidR="00FE02EF" w:rsidRPr="00CC19F7" w:rsidRDefault="00881E58" w:rsidP="00CC19F7">
      <w:proofErr w:type="spellStart"/>
      <w:r w:rsidRPr="00CC19F7">
        <w:t>Endringane</w:t>
      </w:r>
      <w:proofErr w:type="spellEnd"/>
      <w:r w:rsidRPr="00CC19F7">
        <w:t xml:space="preserve"> medfører at kostnadene ved NVEs tilsyn med </w:t>
      </w:r>
      <w:proofErr w:type="spellStart"/>
      <w:r w:rsidRPr="00CC19F7">
        <w:t>vedlikehald</w:t>
      </w:r>
      <w:proofErr w:type="spellEnd"/>
      <w:r w:rsidRPr="00CC19F7">
        <w:t xml:space="preserve"> og modernisering av elektriske anlegg, tilsyn med fjernvarme og miljøtilsyn, som fram til </w:t>
      </w:r>
      <w:proofErr w:type="spellStart"/>
      <w:r w:rsidRPr="00CC19F7">
        <w:t>no</w:t>
      </w:r>
      <w:proofErr w:type="spellEnd"/>
      <w:r w:rsidRPr="00CC19F7">
        <w:t xml:space="preserve"> har </w:t>
      </w:r>
      <w:proofErr w:type="spellStart"/>
      <w:r w:rsidRPr="00CC19F7">
        <w:t>vore</w:t>
      </w:r>
      <w:proofErr w:type="spellEnd"/>
      <w:r w:rsidRPr="00CC19F7">
        <w:t xml:space="preserve"> </w:t>
      </w:r>
      <w:proofErr w:type="spellStart"/>
      <w:r w:rsidRPr="00CC19F7">
        <w:t>kravde</w:t>
      </w:r>
      <w:proofErr w:type="spellEnd"/>
      <w:r w:rsidRPr="00CC19F7">
        <w:t xml:space="preserve"> inn som </w:t>
      </w:r>
      <w:proofErr w:type="spellStart"/>
      <w:r w:rsidRPr="00CC19F7">
        <w:t>eit</w:t>
      </w:r>
      <w:proofErr w:type="spellEnd"/>
      <w:r w:rsidRPr="00CC19F7">
        <w:t xml:space="preserve"> gebyr, framover skal </w:t>
      </w:r>
      <w:proofErr w:type="spellStart"/>
      <w:r w:rsidRPr="00CC19F7">
        <w:t>krevjast</w:t>
      </w:r>
      <w:proofErr w:type="spellEnd"/>
      <w:r w:rsidRPr="00CC19F7">
        <w:t xml:space="preserve"> inn som sektoravgift, jf. kap. 4820, post 01.</w:t>
      </w:r>
    </w:p>
    <w:p w14:paraId="08A22612" w14:textId="77777777" w:rsidR="00FE02EF" w:rsidRPr="00CC19F7" w:rsidRDefault="00881E58" w:rsidP="00CC19F7">
      <w:r w:rsidRPr="00CC19F7">
        <w:t xml:space="preserve">Med bakgrunn i det oppdaterte kostnadsgrunnlaget basert på </w:t>
      </w:r>
      <w:proofErr w:type="spellStart"/>
      <w:r w:rsidRPr="00CC19F7">
        <w:t>rekneskapen</w:t>
      </w:r>
      <w:proofErr w:type="spellEnd"/>
      <w:r w:rsidRPr="00CC19F7">
        <w:t xml:space="preserve"> for 2022 blir det anslått at NVE vil </w:t>
      </w:r>
      <w:proofErr w:type="spellStart"/>
      <w:r w:rsidRPr="00CC19F7">
        <w:t>krevje</w:t>
      </w:r>
      <w:proofErr w:type="spellEnd"/>
      <w:r w:rsidRPr="00CC19F7">
        <w:t xml:space="preserve"> inn netto 10,6 mill. kroner i </w:t>
      </w:r>
      <w:proofErr w:type="spellStart"/>
      <w:r w:rsidRPr="00CC19F7">
        <w:t>auka</w:t>
      </w:r>
      <w:proofErr w:type="spellEnd"/>
      <w:r w:rsidRPr="00CC19F7">
        <w:t xml:space="preserve"> sektoravgifter i samband med tilsyns- og </w:t>
      </w:r>
      <w:proofErr w:type="spellStart"/>
      <w:r w:rsidRPr="00CC19F7">
        <w:t>kontrollverksemda</w:t>
      </w:r>
      <w:proofErr w:type="spellEnd"/>
      <w:r w:rsidRPr="00CC19F7">
        <w:t xml:space="preserve"> i 2024.</w:t>
      </w:r>
    </w:p>
    <w:p w14:paraId="4F9B44F3" w14:textId="77777777" w:rsidR="00FE02EF" w:rsidRPr="00CC19F7" w:rsidRDefault="00881E58" w:rsidP="00CC19F7">
      <w:r w:rsidRPr="00CC19F7">
        <w:t xml:space="preserve">I tillegg har </w:t>
      </w:r>
      <w:proofErr w:type="spellStart"/>
      <w:r w:rsidRPr="00CC19F7">
        <w:t>myndigheitene</w:t>
      </w:r>
      <w:proofErr w:type="spellEnd"/>
      <w:r w:rsidRPr="00CC19F7">
        <w:t xml:space="preserve"> behov for å </w:t>
      </w:r>
      <w:proofErr w:type="spellStart"/>
      <w:r w:rsidRPr="00CC19F7">
        <w:t>auke</w:t>
      </w:r>
      <w:proofErr w:type="spellEnd"/>
      <w:r w:rsidRPr="00CC19F7">
        <w:t xml:space="preserve"> kapasiteten når det </w:t>
      </w:r>
      <w:proofErr w:type="spellStart"/>
      <w:r w:rsidRPr="00CC19F7">
        <w:t>gjeld</w:t>
      </w:r>
      <w:proofErr w:type="spellEnd"/>
      <w:r w:rsidRPr="00CC19F7">
        <w:t xml:space="preserve"> detaljplanbehandling, tilsyn og oppfølging av energianlegg i bygge- og driftsfasen, jf. forslag om ei </w:t>
      </w:r>
      <w:proofErr w:type="spellStart"/>
      <w:r w:rsidRPr="00CC19F7">
        <w:t>auka</w:t>
      </w:r>
      <w:proofErr w:type="spellEnd"/>
      <w:r w:rsidRPr="00CC19F7">
        <w:t xml:space="preserve"> løyving på til </w:t>
      </w:r>
      <w:proofErr w:type="spellStart"/>
      <w:r w:rsidRPr="00CC19F7">
        <w:t>saman</w:t>
      </w:r>
      <w:proofErr w:type="spellEnd"/>
      <w:r w:rsidRPr="00CC19F7">
        <w:t xml:space="preserve"> 25 mill. kroner under kap. 1820, post 01 og post 21. Auken blir foreslått inndekt av </w:t>
      </w:r>
      <w:proofErr w:type="spellStart"/>
      <w:r w:rsidRPr="00CC19F7">
        <w:t>auka</w:t>
      </w:r>
      <w:proofErr w:type="spellEnd"/>
      <w:r w:rsidRPr="00CC19F7">
        <w:t xml:space="preserve"> sektoravgifter.</w:t>
      </w:r>
    </w:p>
    <w:p w14:paraId="12B0F1E7" w14:textId="77777777" w:rsidR="00FE02EF" w:rsidRPr="00CC19F7" w:rsidRDefault="00881E58" w:rsidP="00CC19F7">
      <w:pPr>
        <w:pStyle w:val="Undertittel"/>
      </w:pPr>
      <w:r w:rsidRPr="00CC19F7">
        <w:t>Statnett SF</w:t>
      </w:r>
    </w:p>
    <w:p w14:paraId="293CD34E" w14:textId="72ABD4C8" w:rsidR="00FE02EF" w:rsidRDefault="00881E58" w:rsidP="00CC19F7">
      <w:r w:rsidRPr="00CC19F7">
        <w:t xml:space="preserve">Statnett er det </w:t>
      </w:r>
      <w:proofErr w:type="spellStart"/>
      <w:r w:rsidRPr="00CC19F7">
        <w:t>systemansvarlege</w:t>
      </w:r>
      <w:proofErr w:type="spellEnd"/>
      <w:r w:rsidRPr="00CC19F7">
        <w:t xml:space="preserve"> nettselskapet i det norske kraftsystemet og har ansvar for å utvikle, drifte og </w:t>
      </w:r>
      <w:proofErr w:type="spellStart"/>
      <w:r w:rsidRPr="00CC19F7">
        <w:t>vedlikehalde</w:t>
      </w:r>
      <w:proofErr w:type="spellEnd"/>
      <w:r w:rsidRPr="00CC19F7">
        <w:t xml:space="preserve"> transmisjonsnettet på </w:t>
      </w:r>
      <w:proofErr w:type="spellStart"/>
      <w:r w:rsidRPr="00CC19F7">
        <w:t>ein</w:t>
      </w:r>
      <w:proofErr w:type="spellEnd"/>
      <w:r w:rsidRPr="00CC19F7">
        <w:t xml:space="preserve"> samfunnsøkonomisk rasjonell måte. Statnett har monopol på å eige og drive transmisjonsnettet i </w:t>
      </w:r>
      <w:proofErr w:type="spellStart"/>
      <w:r w:rsidRPr="00CC19F7">
        <w:t>Noreg</w:t>
      </w:r>
      <w:proofErr w:type="spellEnd"/>
      <w:r w:rsidRPr="00CC19F7">
        <w:t xml:space="preserve">. Selskapet har ansvar for at det til kvar tid er momentan balanse mellom produksjon og forbruk av elektrisk kraft i </w:t>
      </w:r>
      <w:proofErr w:type="spellStart"/>
      <w:r w:rsidRPr="00CC19F7">
        <w:t>Noreg</w:t>
      </w:r>
      <w:proofErr w:type="spellEnd"/>
      <w:r w:rsidRPr="00CC19F7">
        <w:t>.</w:t>
      </w:r>
    </w:p>
    <w:p w14:paraId="450EF092" w14:textId="692FEAE0" w:rsidR="005F29B2" w:rsidRPr="00CC19F7" w:rsidRDefault="005F29B2" w:rsidP="005F29B2">
      <w:pPr>
        <w:pStyle w:val="tabell-tittel"/>
      </w:pPr>
      <w:proofErr w:type="spellStart"/>
      <w:r w:rsidRPr="00CC19F7">
        <w:t>Hovudtal</w:t>
      </w:r>
      <w:proofErr w:type="spellEnd"/>
      <w:r w:rsidRPr="00CC19F7">
        <w:t xml:space="preserve"> for Statnett SF (i mill. kroner)</w:t>
      </w:r>
    </w:p>
    <w:p w14:paraId="1D832D82" w14:textId="77777777" w:rsidR="00FE02EF" w:rsidRPr="00CC19F7" w:rsidRDefault="00881E58" w:rsidP="00CC19F7">
      <w:pPr>
        <w:pStyle w:val="Tabellnavn"/>
      </w:pPr>
      <w:r w:rsidRPr="00CC19F7">
        <w:t>04J1xt2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320"/>
        <w:gridCol w:w="1400"/>
        <w:gridCol w:w="1400"/>
        <w:gridCol w:w="1400"/>
      </w:tblGrid>
      <w:tr w:rsidR="00FE02EF" w:rsidRPr="00CC19F7" w14:paraId="2F5FFFDE" w14:textId="77777777">
        <w:trPr>
          <w:trHeight w:val="360"/>
        </w:trPr>
        <w:tc>
          <w:tcPr>
            <w:tcW w:w="5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AA3FF8B" w14:textId="77777777" w:rsidR="00FE02EF" w:rsidRPr="00CC19F7" w:rsidRDefault="00FE02EF" w:rsidP="005F29B2"/>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08F565B" w14:textId="77777777" w:rsidR="00FE02EF" w:rsidRPr="00CC19F7" w:rsidRDefault="00881E58" w:rsidP="005F29B2">
            <w:pPr>
              <w:jc w:val="right"/>
            </w:pPr>
            <w:r w:rsidRPr="00CC19F7">
              <w:t>2020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5F0B941" w14:textId="77777777" w:rsidR="00FE02EF" w:rsidRPr="00CC19F7" w:rsidRDefault="00881E58" w:rsidP="005F29B2">
            <w:pPr>
              <w:jc w:val="right"/>
            </w:pPr>
            <w:r w:rsidRPr="00CC19F7">
              <w:t>2021</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EFF9E11" w14:textId="77777777" w:rsidR="00FE02EF" w:rsidRPr="00CC19F7" w:rsidRDefault="00881E58" w:rsidP="005F29B2">
            <w:pPr>
              <w:jc w:val="right"/>
            </w:pPr>
            <w:r w:rsidRPr="00CC19F7">
              <w:t>2022</w:t>
            </w:r>
          </w:p>
        </w:tc>
      </w:tr>
      <w:tr w:rsidR="00FE02EF" w:rsidRPr="00CC19F7" w14:paraId="7CA47755" w14:textId="77777777">
        <w:trPr>
          <w:trHeight w:val="380"/>
        </w:trPr>
        <w:tc>
          <w:tcPr>
            <w:tcW w:w="5320" w:type="dxa"/>
            <w:tcBorders>
              <w:top w:val="single" w:sz="4" w:space="0" w:color="000000"/>
              <w:left w:val="nil"/>
              <w:bottom w:val="nil"/>
              <w:right w:val="nil"/>
            </w:tcBorders>
            <w:tcMar>
              <w:top w:w="128" w:type="dxa"/>
              <w:left w:w="43" w:type="dxa"/>
              <w:bottom w:w="43" w:type="dxa"/>
              <w:right w:w="43" w:type="dxa"/>
            </w:tcMar>
          </w:tcPr>
          <w:p w14:paraId="10E7ADB6" w14:textId="77777777" w:rsidR="00FE02EF" w:rsidRPr="00CC19F7" w:rsidRDefault="00881E58" w:rsidP="005F29B2">
            <w:r w:rsidRPr="00CC19F7">
              <w:t>Driftsinntekter</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2FFCC3A" w14:textId="77777777" w:rsidR="00FE02EF" w:rsidRPr="00CC19F7" w:rsidRDefault="00881E58" w:rsidP="005F29B2">
            <w:pPr>
              <w:jc w:val="right"/>
            </w:pPr>
            <w:r w:rsidRPr="00CC19F7">
              <w:t>10 761</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A4A8DE2" w14:textId="77777777" w:rsidR="00FE02EF" w:rsidRPr="00CC19F7" w:rsidRDefault="00881E58" w:rsidP="005F29B2">
            <w:pPr>
              <w:jc w:val="right"/>
            </w:pPr>
            <w:r w:rsidRPr="00CC19F7">
              <w:t>14 412</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931F583" w14:textId="77777777" w:rsidR="00FE02EF" w:rsidRPr="00CC19F7" w:rsidRDefault="00881E58" w:rsidP="005F29B2">
            <w:pPr>
              <w:jc w:val="right"/>
            </w:pPr>
            <w:r w:rsidRPr="00CC19F7">
              <w:t>22 993</w:t>
            </w:r>
          </w:p>
        </w:tc>
      </w:tr>
      <w:tr w:rsidR="00FE02EF" w:rsidRPr="00CC19F7" w14:paraId="5936C99B" w14:textId="77777777">
        <w:trPr>
          <w:trHeight w:val="380"/>
        </w:trPr>
        <w:tc>
          <w:tcPr>
            <w:tcW w:w="5320" w:type="dxa"/>
            <w:tcBorders>
              <w:top w:val="nil"/>
              <w:left w:val="nil"/>
              <w:bottom w:val="nil"/>
              <w:right w:val="nil"/>
            </w:tcBorders>
            <w:tcMar>
              <w:top w:w="128" w:type="dxa"/>
              <w:left w:w="43" w:type="dxa"/>
              <w:bottom w:w="43" w:type="dxa"/>
              <w:right w:w="43" w:type="dxa"/>
            </w:tcMar>
          </w:tcPr>
          <w:p w14:paraId="4C82E26D" w14:textId="77777777" w:rsidR="00FE02EF" w:rsidRPr="00CC19F7" w:rsidRDefault="00881E58" w:rsidP="005F29B2">
            <w:r w:rsidRPr="00CC19F7">
              <w:t>Driftsresultat</w:t>
            </w:r>
          </w:p>
        </w:tc>
        <w:tc>
          <w:tcPr>
            <w:tcW w:w="1400" w:type="dxa"/>
            <w:tcBorders>
              <w:top w:val="nil"/>
              <w:left w:val="nil"/>
              <w:bottom w:val="nil"/>
              <w:right w:val="nil"/>
            </w:tcBorders>
            <w:tcMar>
              <w:top w:w="128" w:type="dxa"/>
              <w:left w:w="43" w:type="dxa"/>
              <w:bottom w:w="43" w:type="dxa"/>
              <w:right w:w="43" w:type="dxa"/>
            </w:tcMar>
            <w:vAlign w:val="bottom"/>
          </w:tcPr>
          <w:p w14:paraId="543554D3" w14:textId="77777777" w:rsidR="00FE02EF" w:rsidRPr="00CC19F7" w:rsidRDefault="00881E58" w:rsidP="005F29B2">
            <w:pPr>
              <w:jc w:val="right"/>
            </w:pPr>
            <w:r w:rsidRPr="00CC19F7">
              <w:t>3 868</w:t>
            </w:r>
          </w:p>
        </w:tc>
        <w:tc>
          <w:tcPr>
            <w:tcW w:w="1400" w:type="dxa"/>
            <w:tcBorders>
              <w:top w:val="nil"/>
              <w:left w:val="nil"/>
              <w:bottom w:val="nil"/>
              <w:right w:val="nil"/>
            </w:tcBorders>
            <w:tcMar>
              <w:top w:w="128" w:type="dxa"/>
              <w:left w:w="43" w:type="dxa"/>
              <w:bottom w:w="43" w:type="dxa"/>
              <w:right w:w="43" w:type="dxa"/>
            </w:tcMar>
            <w:vAlign w:val="bottom"/>
          </w:tcPr>
          <w:p w14:paraId="1D040BB4" w14:textId="77777777" w:rsidR="00FE02EF" w:rsidRPr="00CC19F7" w:rsidRDefault="00881E58" w:rsidP="005F29B2">
            <w:pPr>
              <w:jc w:val="right"/>
            </w:pPr>
            <w:r w:rsidRPr="00CC19F7">
              <w:t>4 846</w:t>
            </w:r>
          </w:p>
        </w:tc>
        <w:tc>
          <w:tcPr>
            <w:tcW w:w="1400" w:type="dxa"/>
            <w:tcBorders>
              <w:top w:val="nil"/>
              <w:left w:val="nil"/>
              <w:bottom w:val="nil"/>
              <w:right w:val="nil"/>
            </w:tcBorders>
            <w:tcMar>
              <w:top w:w="128" w:type="dxa"/>
              <w:left w:w="43" w:type="dxa"/>
              <w:bottom w:w="43" w:type="dxa"/>
              <w:right w:w="43" w:type="dxa"/>
            </w:tcMar>
            <w:vAlign w:val="bottom"/>
          </w:tcPr>
          <w:p w14:paraId="3F41C531" w14:textId="77777777" w:rsidR="00FE02EF" w:rsidRPr="00CC19F7" w:rsidRDefault="00881E58" w:rsidP="005F29B2">
            <w:pPr>
              <w:jc w:val="right"/>
            </w:pPr>
            <w:r w:rsidRPr="00CC19F7">
              <w:t>8 433</w:t>
            </w:r>
          </w:p>
        </w:tc>
      </w:tr>
      <w:tr w:rsidR="00FE02EF" w:rsidRPr="00CC19F7" w14:paraId="689CE521" w14:textId="77777777">
        <w:trPr>
          <w:trHeight w:val="380"/>
        </w:trPr>
        <w:tc>
          <w:tcPr>
            <w:tcW w:w="5320" w:type="dxa"/>
            <w:tcBorders>
              <w:top w:val="nil"/>
              <w:left w:val="nil"/>
              <w:bottom w:val="nil"/>
              <w:right w:val="nil"/>
            </w:tcBorders>
            <w:tcMar>
              <w:top w:w="128" w:type="dxa"/>
              <w:left w:w="43" w:type="dxa"/>
              <w:bottom w:w="43" w:type="dxa"/>
              <w:right w:w="43" w:type="dxa"/>
            </w:tcMar>
          </w:tcPr>
          <w:p w14:paraId="25E13339" w14:textId="77777777" w:rsidR="00FE02EF" w:rsidRPr="00CC19F7" w:rsidRDefault="00881E58" w:rsidP="005F29B2">
            <w:r w:rsidRPr="00CC19F7">
              <w:t>Resultat etter skatt</w:t>
            </w:r>
          </w:p>
        </w:tc>
        <w:tc>
          <w:tcPr>
            <w:tcW w:w="1400" w:type="dxa"/>
            <w:tcBorders>
              <w:top w:val="nil"/>
              <w:left w:val="nil"/>
              <w:bottom w:val="nil"/>
              <w:right w:val="nil"/>
            </w:tcBorders>
            <w:tcMar>
              <w:top w:w="128" w:type="dxa"/>
              <w:left w:w="43" w:type="dxa"/>
              <w:bottom w:w="43" w:type="dxa"/>
              <w:right w:w="43" w:type="dxa"/>
            </w:tcMar>
            <w:vAlign w:val="bottom"/>
          </w:tcPr>
          <w:p w14:paraId="4B76EB79" w14:textId="77777777" w:rsidR="00FE02EF" w:rsidRPr="00CC19F7" w:rsidRDefault="00881E58" w:rsidP="005F29B2">
            <w:pPr>
              <w:jc w:val="right"/>
            </w:pPr>
            <w:r w:rsidRPr="00CC19F7">
              <w:t>2 697</w:t>
            </w:r>
          </w:p>
        </w:tc>
        <w:tc>
          <w:tcPr>
            <w:tcW w:w="1400" w:type="dxa"/>
            <w:tcBorders>
              <w:top w:val="nil"/>
              <w:left w:val="nil"/>
              <w:bottom w:val="nil"/>
              <w:right w:val="nil"/>
            </w:tcBorders>
            <w:tcMar>
              <w:top w:w="128" w:type="dxa"/>
              <w:left w:w="43" w:type="dxa"/>
              <w:bottom w:w="43" w:type="dxa"/>
              <w:right w:w="43" w:type="dxa"/>
            </w:tcMar>
            <w:vAlign w:val="bottom"/>
          </w:tcPr>
          <w:p w14:paraId="2C344BA9" w14:textId="77777777" w:rsidR="00FE02EF" w:rsidRPr="00CC19F7" w:rsidRDefault="00881E58" w:rsidP="005F29B2">
            <w:pPr>
              <w:jc w:val="right"/>
            </w:pPr>
            <w:r w:rsidRPr="00CC19F7">
              <w:t>3 307</w:t>
            </w:r>
          </w:p>
        </w:tc>
        <w:tc>
          <w:tcPr>
            <w:tcW w:w="1400" w:type="dxa"/>
            <w:tcBorders>
              <w:top w:val="nil"/>
              <w:left w:val="nil"/>
              <w:bottom w:val="nil"/>
              <w:right w:val="nil"/>
            </w:tcBorders>
            <w:tcMar>
              <w:top w:w="128" w:type="dxa"/>
              <w:left w:w="43" w:type="dxa"/>
              <w:bottom w:w="43" w:type="dxa"/>
              <w:right w:w="43" w:type="dxa"/>
            </w:tcMar>
            <w:vAlign w:val="bottom"/>
          </w:tcPr>
          <w:p w14:paraId="6D476FE7" w14:textId="77777777" w:rsidR="00FE02EF" w:rsidRPr="00CC19F7" w:rsidRDefault="00881E58" w:rsidP="005F29B2">
            <w:pPr>
              <w:jc w:val="right"/>
            </w:pPr>
            <w:r w:rsidRPr="00CC19F7">
              <w:t>5 949</w:t>
            </w:r>
          </w:p>
        </w:tc>
      </w:tr>
      <w:tr w:rsidR="00FE02EF" w:rsidRPr="00CC19F7" w14:paraId="0085D8EB" w14:textId="77777777">
        <w:trPr>
          <w:trHeight w:val="640"/>
        </w:trPr>
        <w:tc>
          <w:tcPr>
            <w:tcW w:w="5320" w:type="dxa"/>
            <w:tcBorders>
              <w:top w:val="nil"/>
              <w:left w:val="nil"/>
              <w:bottom w:val="nil"/>
              <w:right w:val="nil"/>
            </w:tcBorders>
            <w:tcMar>
              <w:top w:w="128" w:type="dxa"/>
              <w:left w:w="43" w:type="dxa"/>
              <w:bottom w:w="43" w:type="dxa"/>
              <w:right w:w="43" w:type="dxa"/>
            </w:tcMar>
          </w:tcPr>
          <w:p w14:paraId="660F18B3" w14:textId="77777777" w:rsidR="00FE02EF" w:rsidRPr="00CC19F7" w:rsidRDefault="00881E58" w:rsidP="005F29B2">
            <w:r w:rsidRPr="00CC19F7">
              <w:t xml:space="preserve">Resultat etter skatt, justert for endring i </w:t>
            </w:r>
            <w:proofErr w:type="spellStart"/>
            <w:r w:rsidRPr="00CC19F7">
              <w:t>meir</w:t>
            </w:r>
            <w:proofErr w:type="spellEnd"/>
            <w:r w:rsidRPr="00CC19F7">
              <w:t>-/</w:t>
            </w:r>
            <w:r w:rsidRPr="00CC19F7">
              <w:br/>
              <w:t>mindreinntekt (utbyttegrunnlaget)</w:t>
            </w:r>
          </w:p>
        </w:tc>
        <w:tc>
          <w:tcPr>
            <w:tcW w:w="1400" w:type="dxa"/>
            <w:tcBorders>
              <w:top w:val="nil"/>
              <w:left w:val="nil"/>
              <w:bottom w:val="nil"/>
              <w:right w:val="nil"/>
            </w:tcBorders>
            <w:tcMar>
              <w:top w:w="128" w:type="dxa"/>
              <w:left w:w="43" w:type="dxa"/>
              <w:bottom w:w="43" w:type="dxa"/>
              <w:right w:w="43" w:type="dxa"/>
            </w:tcMar>
            <w:vAlign w:val="bottom"/>
          </w:tcPr>
          <w:p w14:paraId="6C337293" w14:textId="77777777" w:rsidR="00FE02EF" w:rsidRPr="00CC19F7" w:rsidRDefault="00881E58" w:rsidP="005F29B2">
            <w:pPr>
              <w:jc w:val="right"/>
            </w:pPr>
            <w:r w:rsidRPr="00CC19F7">
              <w:t>2 079</w:t>
            </w:r>
          </w:p>
        </w:tc>
        <w:tc>
          <w:tcPr>
            <w:tcW w:w="1400" w:type="dxa"/>
            <w:tcBorders>
              <w:top w:val="nil"/>
              <w:left w:val="nil"/>
              <w:bottom w:val="nil"/>
              <w:right w:val="nil"/>
            </w:tcBorders>
            <w:tcMar>
              <w:top w:w="128" w:type="dxa"/>
              <w:left w:w="43" w:type="dxa"/>
              <w:bottom w:w="43" w:type="dxa"/>
              <w:right w:w="43" w:type="dxa"/>
            </w:tcMar>
            <w:vAlign w:val="bottom"/>
          </w:tcPr>
          <w:p w14:paraId="0CBF72A8" w14:textId="77777777" w:rsidR="00FE02EF" w:rsidRPr="00CC19F7" w:rsidRDefault="00881E58" w:rsidP="005F29B2">
            <w:pPr>
              <w:jc w:val="right"/>
            </w:pPr>
            <w:r w:rsidRPr="00CC19F7">
              <w:t>1 474</w:t>
            </w:r>
          </w:p>
        </w:tc>
        <w:tc>
          <w:tcPr>
            <w:tcW w:w="1400" w:type="dxa"/>
            <w:tcBorders>
              <w:top w:val="nil"/>
              <w:left w:val="nil"/>
              <w:bottom w:val="nil"/>
              <w:right w:val="nil"/>
            </w:tcBorders>
            <w:tcMar>
              <w:top w:w="128" w:type="dxa"/>
              <w:left w:w="43" w:type="dxa"/>
              <w:bottom w:w="43" w:type="dxa"/>
              <w:right w:w="43" w:type="dxa"/>
            </w:tcMar>
            <w:vAlign w:val="bottom"/>
          </w:tcPr>
          <w:p w14:paraId="279E573F" w14:textId="77777777" w:rsidR="00FE02EF" w:rsidRPr="00CC19F7" w:rsidRDefault="00881E58" w:rsidP="005F29B2">
            <w:pPr>
              <w:jc w:val="right"/>
            </w:pPr>
            <w:r w:rsidRPr="00CC19F7">
              <w:t>592</w:t>
            </w:r>
          </w:p>
        </w:tc>
      </w:tr>
      <w:tr w:rsidR="00FE02EF" w:rsidRPr="00CC19F7" w14:paraId="4F605739" w14:textId="77777777">
        <w:trPr>
          <w:trHeight w:val="380"/>
        </w:trPr>
        <w:tc>
          <w:tcPr>
            <w:tcW w:w="5320" w:type="dxa"/>
            <w:tcBorders>
              <w:top w:val="nil"/>
              <w:left w:val="nil"/>
              <w:bottom w:val="nil"/>
              <w:right w:val="nil"/>
            </w:tcBorders>
            <w:tcMar>
              <w:top w:w="128" w:type="dxa"/>
              <w:left w:w="43" w:type="dxa"/>
              <w:bottom w:w="43" w:type="dxa"/>
              <w:right w:w="43" w:type="dxa"/>
            </w:tcMar>
          </w:tcPr>
          <w:p w14:paraId="29DF585C" w14:textId="77777777" w:rsidR="00FE02EF" w:rsidRPr="00CC19F7" w:rsidRDefault="00881E58" w:rsidP="005F29B2">
            <w:proofErr w:type="spellStart"/>
            <w:r w:rsidRPr="00CC19F7">
              <w:t>Investeringar</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784D829C" w14:textId="77777777" w:rsidR="00FE02EF" w:rsidRPr="00CC19F7" w:rsidRDefault="00881E58" w:rsidP="005F29B2">
            <w:pPr>
              <w:jc w:val="right"/>
            </w:pPr>
            <w:r w:rsidRPr="00CC19F7">
              <w:t>7 299</w:t>
            </w:r>
          </w:p>
        </w:tc>
        <w:tc>
          <w:tcPr>
            <w:tcW w:w="1400" w:type="dxa"/>
            <w:tcBorders>
              <w:top w:val="nil"/>
              <w:left w:val="nil"/>
              <w:bottom w:val="nil"/>
              <w:right w:val="nil"/>
            </w:tcBorders>
            <w:tcMar>
              <w:top w:w="128" w:type="dxa"/>
              <w:left w:w="43" w:type="dxa"/>
              <w:bottom w:w="43" w:type="dxa"/>
              <w:right w:w="43" w:type="dxa"/>
            </w:tcMar>
            <w:vAlign w:val="bottom"/>
          </w:tcPr>
          <w:p w14:paraId="50988110" w14:textId="77777777" w:rsidR="00FE02EF" w:rsidRPr="00CC19F7" w:rsidRDefault="00881E58" w:rsidP="005F29B2">
            <w:pPr>
              <w:jc w:val="right"/>
            </w:pPr>
            <w:r w:rsidRPr="00CC19F7">
              <w:t>6 121</w:t>
            </w:r>
          </w:p>
        </w:tc>
        <w:tc>
          <w:tcPr>
            <w:tcW w:w="1400" w:type="dxa"/>
            <w:tcBorders>
              <w:top w:val="nil"/>
              <w:left w:val="nil"/>
              <w:bottom w:val="nil"/>
              <w:right w:val="nil"/>
            </w:tcBorders>
            <w:tcMar>
              <w:top w:w="128" w:type="dxa"/>
              <w:left w:w="43" w:type="dxa"/>
              <w:bottom w:w="43" w:type="dxa"/>
              <w:right w:w="43" w:type="dxa"/>
            </w:tcMar>
            <w:vAlign w:val="bottom"/>
          </w:tcPr>
          <w:p w14:paraId="059C11B7" w14:textId="77777777" w:rsidR="00FE02EF" w:rsidRPr="00CC19F7" w:rsidRDefault="00881E58" w:rsidP="005F29B2">
            <w:pPr>
              <w:jc w:val="right"/>
            </w:pPr>
            <w:r w:rsidRPr="00CC19F7">
              <w:t>4 985</w:t>
            </w:r>
          </w:p>
        </w:tc>
      </w:tr>
      <w:tr w:rsidR="00FE02EF" w:rsidRPr="00CC19F7" w14:paraId="5449CDE0" w14:textId="77777777">
        <w:trPr>
          <w:trHeight w:val="380"/>
        </w:trPr>
        <w:tc>
          <w:tcPr>
            <w:tcW w:w="5320" w:type="dxa"/>
            <w:tcBorders>
              <w:top w:val="nil"/>
              <w:left w:val="nil"/>
              <w:bottom w:val="nil"/>
              <w:right w:val="nil"/>
            </w:tcBorders>
            <w:tcMar>
              <w:top w:w="128" w:type="dxa"/>
              <w:left w:w="43" w:type="dxa"/>
              <w:bottom w:w="43" w:type="dxa"/>
              <w:right w:w="43" w:type="dxa"/>
            </w:tcMar>
          </w:tcPr>
          <w:p w14:paraId="3DFEF2F5" w14:textId="77777777" w:rsidR="00FE02EF" w:rsidRPr="00CC19F7" w:rsidRDefault="00881E58" w:rsidP="005F29B2">
            <w:r w:rsidRPr="00CC19F7">
              <w:t>Varige driftsmiddel</w:t>
            </w:r>
          </w:p>
        </w:tc>
        <w:tc>
          <w:tcPr>
            <w:tcW w:w="1400" w:type="dxa"/>
            <w:tcBorders>
              <w:top w:val="nil"/>
              <w:left w:val="nil"/>
              <w:bottom w:val="nil"/>
              <w:right w:val="nil"/>
            </w:tcBorders>
            <w:tcMar>
              <w:top w:w="128" w:type="dxa"/>
              <w:left w:w="43" w:type="dxa"/>
              <w:bottom w:w="43" w:type="dxa"/>
              <w:right w:w="43" w:type="dxa"/>
            </w:tcMar>
            <w:vAlign w:val="bottom"/>
          </w:tcPr>
          <w:p w14:paraId="78BB8541" w14:textId="77777777" w:rsidR="00FE02EF" w:rsidRPr="00CC19F7" w:rsidRDefault="00881E58" w:rsidP="005F29B2">
            <w:pPr>
              <w:jc w:val="right"/>
            </w:pPr>
            <w:r w:rsidRPr="00CC19F7">
              <w:t>60 296</w:t>
            </w:r>
          </w:p>
        </w:tc>
        <w:tc>
          <w:tcPr>
            <w:tcW w:w="1400" w:type="dxa"/>
            <w:tcBorders>
              <w:top w:val="nil"/>
              <w:left w:val="nil"/>
              <w:bottom w:val="nil"/>
              <w:right w:val="nil"/>
            </w:tcBorders>
            <w:tcMar>
              <w:top w:w="128" w:type="dxa"/>
              <w:left w:w="43" w:type="dxa"/>
              <w:bottom w:w="43" w:type="dxa"/>
              <w:right w:w="43" w:type="dxa"/>
            </w:tcMar>
            <w:vAlign w:val="bottom"/>
          </w:tcPr>
          <w:p w14:paraId="4CF4102A" w14:textId="77777777" w:rsidR="00FE02EF" w:rsidRPr="00CC19F7" w:rsidRDefault="00881E58" w:rsidP="005F29B2">
            <w:pPr>
              <w:jc w:val="right"/>
            </w:pPr>
            <w:r w:rsidRPr="00CC19F7">
              <w:t>66 767</w:t>
            </w:r>
          </w:p>
        </w:tc>
        <w:tc>
          <w:tcPr>
            <w:tcW w:w="1400" w:type="dxa"/>
            <w:tcBorders>
              <w:top w:val="nil"/>
              <w:left w:val="nil"/>
              <w:bottom w:val="nil"/>
              <w:right w:val="nil"/>
            </w:tcBorders>
            <w:tcMar>
              <w:top w:w="128" w:type="dxa"/>
              <w:left w:w="43" w:type="dxa"/>
              <w:bottom w:w="43" w:type="dxa"/>
              <w:right w:w="43" w:type="dxa"/>
            </w:tcMar>
            <w:vAlign w:val="bottom"/>
          </w:tcPr>
          <w:p w14:paraId="4A1CF758" w14:textId="77777777" w:rsidR="00FE02EF" w:rsidRPr="00CC19F7" w:rsidRDefault="00881E58" w:rsidP="005F29B2">
            <w:pPr>
              <w:jc w:val="right"/>
            </w:pPr>
            <w:r w:rsidRPr="00CC19F7">
              <w:t>68 247</w:t>
            </w:r>
          </w:p>
        </w:tc>
      </w:tr>
      <w:tr w:rsidR="00FE02EF" w:rsidRPr="00CC19F7" w14:paraId="1E39AC32" w14:textId="77777777">
        <w:trPr>
          <w:trHeight w:val="380"/>
        </w:trPr>
        <w:tc>
          <w:tcPr>
            <w:tcW w:w="5320" w:type="dxa"/>
            <w:tcBorders>
              <w:top w:val="nil"/>
              <w:left w:val="nil"/>
              <w:bottom w:val="nil"/>
              <w:right w:val="nil"/>
            </w:tcBorders>
            <w:tcMar>
              <w:top w:w="128" w:type="dxa"/>
              <w:left w:w="43" w:type="dxa"/>
              <w:bottom w:w="43" w:type="dxa"/>
              <w:right w:w="43" w:type="dxa"/>
            </w:tcMar>
          </w:tcPr>
          <w:p w14:paraId="2E6BDB39" w14:textId="77777777" w:rsidR="00FE02EF" w:rsidRPr="00CC19F7" w:rsidRDefault="00881E58" w:rsidP="005F29B2">
            <w:r w:rsidRPr="00CC19F7">
              <w:t>Eigenkapital</w:t>
            </w:r>
          </w:p>
        </w:tc>
        <w:tc>
          <w:tcPr>
            <w:tcW w:w="1400" w:type="dxa"/>
            <w:tcBorders>
              <w:top w:val="nil"/>
              <w:left w:val="nil"/>
              <w:bottom w:val="nil"/>
              <w:right w:val="nil"/>
            </w:tcBorders>
            <w:tcMar>
              <w:top w:w="128" w:type="dxa"/>
              <w:left w:w="43" w:type="dxa"/>
              <w:bottom w:w="43" w:type="dxa"/>
              <w:right w:w="43" w:type="dxa"/>
            </w:tcMar>
            <w:vAlign w:val="bottom"/>
          </w:tcPr>
          <w:p w14:paraId="7AC5F32B" w14:textId="77777777" w:rsidR="00FE02EF" w:rsidRPr="00CC19F7" w:rsidRDefault="00881E58" w:rsidP="005F29B2">
            <w:pPr>
              <w:jc w:val="right"/>
            </w:pPr>
            <w:r w:rsidRPr="00CC19F7">
              <w:t>18 938</w:t>
            </w:r>
          </w:p>
        </w:tc>
        <w:tc>
          <w:tcPr>
            <w:tcW w:w="1400" w:type="dxa"/>
            <w:tcBorders>
              <w:top w:val="nil"/>
              <w:left w:val="nil"/>
              <w:bottom w:val="nil"/>
              <w:right w:val="nil"/>
            </w:tcBorders>
            <w:tcMar>
              <w:top w:w="128" w:type="dxa"/>
              <w:left w:w="43" w:type="dxa"/>
              <w:bottom w:w="43" w:type="dxa"/>
              <w:right w:w="43" w:type="dxa"/>
            </w:tcMar>
            <w:vAlign w:val="bottom"/>
          </w:tcPr>
          <w:p w14:paraId="170EB42E" w14:textId="77777777" w:rsidR="00FE02EF" w:rsidRPr="00CC19F7" w:rsidRDefault="00881E58" w:rsidP="005F29B2">
            <w:pPr>
              <w:jc w:val="right"/>
            </w:pPr>
            <w:r w:rsidRPr="00CC19F7">
              <w:t>21 467</w:t>
            </w:r>
          </w:p>
        </w:tc>
        <w:tc>
          <w:tcPr>
            <w:tcW w:w="1400" w:type="dxa"/>
            <w:tcBorders>
              <w:top w:val="nil"/>
              <w:left w:val="nil"/>
              <w:bottom w:val="nil"/>
              <w:right w:val="nil"/>
            </w:tcBorders>
            <w:tcMar>
              <w:top w:w="128" w:type="dxa"/>
              <w:left w:w="43" w:type="dxa"/>
              <w:bottom w:w="43" w:type="dxa"/>
              <w:right w:w="43" w:type="dxa"/>
            </w:tcMar>
            <w:vAlign w:val="bottom"/>
          </w:tcPr>
          <w:p w14:paraId="2A23106B" w14:textId="77777777" w:rsidR="00FE02EF" w:rsidRPr="00CC19F7" w:rsidRDefault="00881E58" w:rsidP="005F29B2">
            <w:pPr>
              <w:jc w:val="right"/>
            </w:pPr>
            <w:r w:rsidRPr="00CC19F7">
              <w:t>26 978</w:t>
            </w:r>
          </w:p>
        </w:tc>
      </w:tr>
      <w:tr w:rsidR="00FE02EF" w:rsidRPr="00CC19F7" w14:paraId="4AF752A3" w14:textId="77777777">
        <w:trPr>
          <w:trHeight w:val="380"/>
        </w:trPr>
        <w:tc>
          <w:tcPr>
            <w:tcW w:w="5320" w:type="dxa"/>
            <w:tcBorders>
              <w:top w:val="nil"/>
              <w:left w:val="nil"/>
              <w:bottom w:val="nil"/>
              <w:right w:val="nil"/>
            </w:tcBorders>
            <w:tcMar>
              <w:top w:w="128" w:type="dxa"/>
              <w:left w:w="43" w:type="dxa"/>
              <w:bottom w:w="43" w:type="dxa"/>
              <w:right w:w="43" w:type="dxa"/>
            </w:tcMar>
          </w:tcPr>
          <w:p w14:paraId="258FAD0B" w14:textId="77777777" w:rsidR="00FE02EF" w:rsidRPr="00CC19F7" w:rsidRDefault="00881E58" w:rsidP="005F29B2">
            <w:r w:rsidRPr="00CC19F7">
              <w:t>Eigenkapitalrentabilitet etter skatt</w:t>
            </w:r>
            <w:r w:rsidRPr="00CC19F7">
              <w:rPr>
                <w:rStyle w:val="skrift-hevet"/>
              </w:rPr>
              <w:t>1</w:t>
            </w:r>
          </w:p>
        </w:tc>
        <w:tc>
          <w:tcPr>
            <w:tcW w:w="1400" w:type="dxa"/>
            <w:tcBorders>
              <w:top w:val="nil"/>
              <w:left w:val="nil"/>
              <w:bottom w:val="nil"/>
              <w:right w:val="nil"/>
            </w:tcBorders>
            <w:tcMar>
              <w:top w:w="128" w:type="dxa"/>
              <w:left w:w="43" w:type="dxa"/>
              <w:bottom w:w="43" w:type="dxa"/>
              <w:right w:w="43" w:type="dxa"/>
            </w:tcMar>
            <w:vAlign w:val="bottom"/>
          </w:tcPr>
          <w:p w14:paraId="13EE3F4A" w14:textId="77777777" w:rsidR="00FE02EF" w:rsidRPr="00CC19F7" w:rsidRDefault="00881E58" w:rsidP="005F29B2">
            <w:pPr>
              <w:jc w:val="right"/>
            </w:pPr>
            <w:r w:rsidRPr="00CC19F7">
              <w:t>14,7 prosent</w:t>
            </w:r>
          </w:p>
        </w:tc>
        <w:tc>
          <w:tcPr>
            <w:tcW w:w="1400" w:type="dxa"/>
            <w:tcBorders>
              <w:top w:val="nil"/>
              <w:left w:val="nil"/>
              <w:bottom w:val="nil"/>
              <w:right w:val="nil"/>
            </w:tcBorders>
            <w:tcMar>
              <w:top w:w="128" w:type="dxa"/>
              <w:left w:w="43" w:type="dxa"/>
              <w:bottom w:w="43" w:type="dxa"/>
              <w:right w:w="43" w:type="dxa"/>
            </w:tcMar>
            <w:vAlign w:val="bottom"/>
          </w:tcPr>
          <w:p w14:paraId="35FEA784" w14:textId="77777777" w:rsidR="00FE02EF" w:rsidRPr="00CC19F7" w:rsidRDefault="00881E58" w:rsidP="005F29B2">
            <w:pPr>
              <w:jc w:val="right"/>
            </w:pPr>
            <w:r w:rsidRPr="00CC19F7">
              <w:t>16,4 prosent</w:t>
            </w:r>
          </w:p>
        </w:tc>
        <w:tc>
          <w:tcPr>
            <w:tcW w:w="1400" w:type="dxa"/>
            <w:tcBorders>
              <w:top w:val="nil"/>
              <w:left w:val="nil"/>
              <w:bottom w:val="nil"/>
              <w:right w:val="nil"/>
            </w:tcBorders>
            <w:tcMar>
              <w:top w:w="128" w:type="dxa"/>
              <w:left w:w="43" w:type="dxa"/>
              <w:bottom w:w="43" w:type="dxa"/>
              <w:right w:w="43" w:type="dxa"/>
            </w:tcMar>
            <w:vAlign w:val="bottom"/>
          </w:tcPr>
          <w:p w14:paraId="056D3E2F" w14:textId="77777777" w:rsidR="00FE02EF" w:rsidRPr="00CC19F7" w:rsidRDefault="00881E58" w:rsidP="005F29B2">
            <w:pPr>
              <w:jc w:val="right"/>
            </w:pPr>
            <w:r w:rsidRPr="00CC19F7">
              <w:t>24,6 prosent</w:t>
            </w:r>
          </w:p>
        </w:tc>
      </w:tr>
      <w:tr w:rsidR="00FE02EF" w:rsidRPr="00CC19F7" w14:paraId="6A8D19F3" w14:textId="77777777">
        <w:trPr>
          <w:trHeight w:val="380"/>
        </w:trPr>
        <w:tc>
          <w:tcPr>
            <w:tcW w:w="5320" w:type="dxa"/>
            <w:tcBorders>
              <w:top w:val="nil"/>
              <w:left w:val="nil"/>
              <w:bottom w:val="single" w:sz="4" w:space="0" w:color="000000"/>
              <w:right w:val="nil"/>
            </w:tcBorders>
            <w:tcMar>
              <w:top w:w="128" w:type="dxa"/>
              <w:left w:w="43" w:type="dxa"/>
              <w:bottom w:w="43" w:type="dxa"/>
              <w:right w:w="43" w:type="dxa"/>
            </w:tcMar>
          </w:tcPr>
          <w:p w14:paraId="0D2A0E96" w14:textId="77777777" w:rsidR="00FE02EF" w:rsidRPr="00CC19F7" w:rsidRDefault="00881E58" w:rsidP="005F29B2">
            <w:r w:rsidRPr="00CC19F7">
              <w:t>Eigenkapitalprosent</w:t>
            </w:r>
            <w:r w:rsidRPr="00CC19F7">
              <w:rPr>
                <w:rStyle w:val="skrift-hevet"/>
              </w:rPr>
              <w:t>1</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17E3C07" w14:textId="77777777" w:rsidR="00FE02EF" w:rsidRPr="00CC19F7" w:rsidRDefault="00881E58" w:rsidP="005F29B2">
            <w:pPr>
              <w:jc w:val="right"/>
            </w:pPr>
            <w:r w:rsidRPr="00CC19F7">
              <w:t>22,8 prosent</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2D1A07A" w14:textId="77777777" w:rsidR="00FE02EF" w:rsidRPr="00CC19F7" w:rsidRDefault="00881E58" w:rsidP="005F29B2">
            <w:pPr>
              <w:jc w:val="right"/>
            </w:pPr>
            <w:r w:rsidRPr="00CC19F7">
              <w:t>25,4 prosent</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F062A2F" w14:textId="77777777" w:rsidR="00FE02EF" w:rsidRPr="00CC19F7" w:rsidRDefault="00881E58" w:rsidP="005F29B2">
            <w:pPr>
              <w:jc w:val="right"/>
            </w:pPr>
            <w:r w:rsidRPr="00CC19F7">
              <w:t>30,9 prosent</w:t>
            </w:r>
          </w:p>
        </w:tc>
      </w:tr>
    </w:tbl>
    <w:p w14:paraId="4CD5C5D0" w14:textId="77777777" w:rsidR="00FE02EF" w:rsidRPr="00CC19F7" w:rsidRDefault="00881E58" w:rsidP="00CC19F7">
      <w:pPr>
        <w:pStyle w:val="tabell-noter"/>
      </w:pPr>
      <w:r w:rsidRPr="00CC19F7">
        <w:rPr>
          <w:rStyle w:val="skrift-hevet"/>
        </w:rPr>
        <w:t>1</w:t>
      </w:r>
      <w:r w:rsidRPr="00CC19F7">
        <w:tab/>
        <w:t xml:space="preserve">Eigenkapitalrentabilitet etter skatt = Resultat etter skatt / </w:t>
      </w:r>
      <w:proofErr w:type="spellStart"/>
      <w:r w:rsidRPr="00CC19F7">
        <w:t>Gjennomsnittleg</w:t>
      </w:r>
      <w:proofErr w:type="spellEnd"/>
      <w:r w:rsidRPr="00CC19F7">
        <w:t xml:space="preserve"> eigenkapital </w:t>
      </w:r>
      <w:proofErr w:type="spellStart"/>
      <w:r w:rsidRPr="00CC19F7">
        <w:t>dei</w:t>
      </w:r>
      <w:proofErr w:type="spellEnd"/>
      <w:r w:rsidRPr="00CC19F7">
        <w:t xml:space="preserve"> to siste åra.</w:t>
      </w:r>
    </w:p>
    <w:p w14:paraId="40129787" w14:textId="77777777" w:rsidR="00FE02EF" w:rsidRPr="00CC19F7" w:rsidRDefault="00881E58" w:rsidP="00CC19F7">
      <w:r w:rsidRPr="00CC19F7">
        <w:t xml:space="preserve">Statnetts inntekter blir regulerte av RME, som </w:t>
      </w:r>
      <w:proofErr w:type="spellStart"/>
      <w:r w:rsidRPr="00CC19F7">
        <w:t>årleg</w:t>
      </w:r>
      <w:proofErr w:type="spellEnd"/>
      <w:r w:rsidRPr="00CC19F7">
        <w:t xml:space="preserve"> </w:t>
      </w:r>
      <w:proofErr w:type="spellStart"/>
      <w:r w:rsidRPr="00CC19F7">
        <w:t>fastset</w:t>
      </w:r>
      <w:proofErr w:type="spellEnd"/>
      <w:r w:rsidRPr="00CC19F7">
        <w:t xml:space="preserve"> ei </w:t>
      </w:r>
      <w:proofErr w:type="spellStart"/>
      <w:r w:rsidRPr="00CC19F7">
        <w:t>tillaten</w:t>
      </w:r>
      <w:proofErr w:type="spellEnd"/>
      <w:r w:rsidRPr="00CC19F7">
        <w:t xml:space="preserve"> inntekt. </w:t>
      </w:r>
      <w:proofErr w:type="spellStart"/>
      <w:r w:rsidRPr="00CC19F7">
        <w:t>Tillaten</w:t>
      </w:r>
      <w:proofErr w:type="spellEnd"/>
      <w:r w:rsidRPr="00CC19F7">
        <w:t xml:space="preserve"> inntekt skal over tid dekke kostnadene ved drift og </w:t>
      </w:r>
      <w:proofErr w:type="spellStart"/>
      <w:r w:rsidRPr="00CC19F7">
        <w:t>vedlikehald</w:t>
      </w:r>
      <w:proofErr w:type="spellEnd"/>
      <w:r w:rsidRPr="00CC19F7">
        <w:t xml:space="preserve"> av nettet og gi ei </w:t>
      </w:r>
      <w:proofErr w:type="spellStart"/>
      <w:r w:rsidRPr="00CC19F7">
        <w:t>rimeleg</w:t>
      </w:r>
      <w:proofErr w:type="spellEnd"/>
      <w:r w:rsidRPr="00CC19F7">
        <w:t xml:space="preserve"> avkastning på investert kapital, gitt effektiv drift, utnytting og utvikling av nettet.</w:t>
      </w:r>
    </w:p>
    <w:p w14:paraId="244BDD27" w14:textId="77777777" w:rsidR="00FE02EF" w:rsidRPr="00CC19F7" w:rsidRDefault="00881E58" w:rsidP="00CC19F7">
      <w:pPr>
        <w:pStyle w:val="b-budkaptit"/>
      </w:pPr>
      <w:r w:rsidRPr="00CC19F7">
        <w:t>Kap. 5680 Statnett SF</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504"/>
        <w:gridCol w:w="1417"/>
        <w:gridCol w:w="1479"/>
        <w:gridCol w:w="1300"/>
      </w:tblGrid>
      <w:tr w:rsidR="00FE02EF" w:rsidRPr="00CC19F7" w14:paraId="704E4EA5" w14:textId="77777777" w:rsidTr="00A74556">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D6FE31C" w14:textId="77777777" w:rsidR="00FE02EF" w:rsidRPr="00CC19F7" w:rsidRDefault="00881E58" w:rsidP="00CC19F7">
            <w:pPr>
              <w:pStyle w:val="Tabellnavn"/>
            </w:pPr>
            <w:r w:rsidRPr="00CC19F7">
              <w:t>KPAL</w:t>
            </w:r>
          </w:p>
        </w:tc>
        <w:tc>
          <w:tcPr>
            <w:tcW w:w="4504" w:type="dxa"/>
            <w:tcBorders>
              <w:top w:val="nil"/>
              <w:left w:val="nil"/>
              <w:bottom w:val="single" w:sz="4" w:space="0" w:color="000000"/>
              <w:right w:val="nil"/>
            </w:tcBorders>
            <w:tcMar>
              <w:top w:w="128" w:type="dxa"/>
              <w:left w:w="43" w:type="dxa"/>
              <w:bottom w:w="43" w:type="dxa"/>
              <w:right w:w="43" w:type="dxa"/>
            </w:tcMar>
            <w:vAlign w:val="bottom"/>
          </w:tcPr>
          <w:p w14:paraId="186856A8" w14:textId="77777777" w:rsidR="00FE02EF" w:rsidRPr="00CC19F7" w:rsidRDefault="00FE02EF" w:rsidP="00A74556"/>
        </w:tc>
        <w:tc>
          <w:tcPr>
            <w:tcW w:w="1417" w:type="dxa"/>
            <w:tcBorders>
              <w:top w:val="nil"/>
              <w:left w:val="nil"/>
              <w:bottom w:val="single" w:sz="4" w:space="0" w:color="000000"/>
              <w:right w:val="nil"/>
            </w:tcBorders>
            <w:tcMar>
              <w:top w:w="128" w:type="dxa"/>
              <w:left w:w="43" w:type="dxa"/>
              <w:bottom w:w="43" w:type="dxa"/>
              <w:right w:w="43" w:type="dxa"/>
            </w:tcMar>
            <w:vAlign w:val="bottom"/>
          </w:tcPr>
          <w:p w14:paraId="75D12852" w14:textId="77777777" w:rsidR="00FE02EF" w:rsidRPr="00CC19F7" w:rsidRDefault="00FE02EF" w:rsidP="00A74556">
            <w:pPr>
              <w:jc w:val="right"/>
            </w:pP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7404C1F4" w14:textId="77777777" w:rsidR="00FE02EF" w:rsidRPr="00CC19F7" w:rsidRDefault="00FE02EF" w:rsidP="00A74556">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591AAB1" w14:textId="77777777" w:rsidR="00FE02EF" w:rsidRPr="00CC19F7" w:rsidRDefault="00881E58" w:rsidP="00A74556">
            <w:pPr>
              <w:jc w:val="right"/>
            </w:pPr>
            <w:r w:rsidRPr="00CC19F7">
              <w:t>(i 1 000 kr)</w:t>
            </w:r>
          </w:p>
        </w:tc>
      </w:tr>
      <w:tr w:rsidR="00FE02EF" w:rsidRPr="00CC19F7" w14:paraId="711573A7" w14:textId="77777777" w:rsidTr="00A74556">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72C0402" w14:textId="77777777" w:rsidR="00FE02EF" w:rsidRPr="00CC19F7" w:rsidRDefault="00881E58" w:rsidP="00CC19F7">
            <w:r w:rsidRPr="00CC19F7">
              <w:t>Post</w:t>
            </w:r>
          </w:p>
        </w:tc>
        <w:tc>
          <w:tcPr>
            <w:tcW w:w="4504" w:type="dxa"/>
            <w:tcBorders>
              <w:top w:val="nil"/>
              <w:left w:val="nil"/>
              <w:bottom w:val="single" w:sz="4" w:space="0" w:color="000000"/>
              <w:right w:val="nil"/>
            </w:tcBorders>
            <w:tcMar>
              <w:top w:w="128" w:type="dxa"/>
              <w:left w:w="43" w:type="dxa"/>
              <w:bottom w:w="43" w:type="dxa"/>
              <w:right w:w="43" w:type="dxa"/>
            </w:tcMar>
            <w:vAlign w:val="bottom"/>
          </w:tcPr>
          <w:p w14:paraId="3EA28224" w14:textId="77777777" w:rsidR="00FE02EF" w:rsidRPr="00CC19F7" w:rsidRDefault="00881E58" w:rsidP="00A74556">
            <w:proofErr w:type="spellStart"/>
            <w:r w:rsidRPr="00CC19F7">
              <w:t>Nemning</w:t>
            </w:r>
            <w:proofErr w:type="spellEnd"/>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7B676881" w14:textId="77777777" w:rsidR="00FE02EF" w:rsidRPr="00CC19F7" w:rsidRDefault="00881E58" w:rsidP="00A74556">
            <w:pPr>
              <w:jc w:val="right"/>
            </w:pPr>
            <w:proofErr w:type="spellStart"/>
            <w:r w:rsidRPr="00CC19F7">
              <w:t>Rekneskap</w:t>
            </w:r>
            <w:proofErr w:type="spellEnd"/>
            <w:r w:rsidRPr="00CC19F7">
              <w:br/>
              <w:t>2022</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49211D5D" w14:textId="77777777" w:rsidR="00FE02EF" w:rsidRPr="00CC19F7" w:rsidRDefault="00881E58" w:rsidP="00A74556">
            <w:pPr>
              <w:jc w:val="right"/>
            </w:pPr>
            <w:r w:rsidRPr="00CC19F7">
              <w:t>Saldert</w:t>
            </w:r>
            <w:r w:rsidRPr="00CC19F7">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6706668" w14:textId="77777777" w:rsidR="00FE02EF" w:rsidRPr="00CC19F7" w:rsidRDefault="00881E58" w:rsidP="00A74556">
            <w:pPr>
              <w:jc w:val="right"/>
            </w:pPr>
            <w:r w:rsidRPr="00CC19F7">
              <w:t>Forslag</w:t>
            </w:r>
            <w:r w:rsidRPr="00CC19F7">
              <w:br/>
              <w:t>2024</w:t>
            </w:r>
          </w:p>
        </w:tc>
      </w:tr>
      <w:tr w:rsidR="00FE02EF" w:rsidRPr="00CC19F7" w14:paraId="39717F9A" w14:textId="77777777" w:rsidTr="00A74556">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5F02BFA2" w14:textId="77777777" w:rsidR="00FE02EF" w:rsidRPr="00CC19F7" w:rsidRDefault="00881E58" w:rsidP="00CC19F7">
            <w:r w:rsidRPr="00CC19F7">
              <w:t>85</w:t>
            </w:r>
          </w:p>
        </w:tc>
        <w:tc>
          <w:tcPr>
            <w:tcW w:w="4504" w:type="dxa"/>
            <w:tcBorders>
              <w:top w:val="single" w:sz="4" w:space="0" w:color="000000"/>
              <w:left w:val="nil"/>
              <w:bottom w:val="single" w:sz="4" w:space="0" w:color="000000"/>
              <w:right w:val="nil"/>
            </w:tcBorders>
            <w:tcMar>
              <w:top w:w="128" w:type="dxa"/>
              <w:left w:w="43" w:type="dxa"/>
              <w:bottom w:w="43" w:type="dxa"/>
              <w:right w:w="43" w:type="dxa"/>
            </w:tcMar>
          </w:tcPr>
          <w:p w14:paraId="077E8E56" w14:textId="77777777" w:rsidR="00FE02EF" w:rsidRPr="00CC19F7" w:rsidRDefault="00881E58" w:rsidP="00A74556">
            <w:r w:rsidRPr="00CC19F7">
              <w:t>Utbytte</w:t>
            </w:r>
          </w:p>
        </w:tc>
        <w:tc>
          <w:tcPr>
            <w:tcW w:w="141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D271C9C" w14:textId="77777777" w:rsidR="00FE02EF" w:rsidRPr="00CC19F7" w:rsidRDefault="00881E58" w:rsidP="00A74556">
            <w:pPr>
              <w:jc w:val="right"/>
            </w:pPr>
            <w:r w:rsidRPr="00CC19F7">
              <w:t>737 000</w:t>
            </w:r>
          </w:p>
        </w:tc>
        <w:tc>
          <w:tcPr>
            <w:tcW w:w="147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0815C53" w14:textId="77777777" w:rsidR="00FE02EF" w:rsidRPr="00CC19F7" w:rsidRDefault="00881E58" w:rsidP="00A74556">
            <w:pPr>
              <w:jc w:val="right"/>
            </w:pPr>
            <w:r w:rsidRPr="00CC19F7">
              <w:t>882 000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DBF92D9" w14:textId="77777777" w:rsidR="00FE02EF" w:rsidRPr="00CC19F7" w:rsidRDefault="00881E58" w:rsidP="00A74556">
            <w:pPr>
              <w:jc w:val="right"/>
            </w:pPr>
            <w:r w:rsidRPr="00CC19F7">
              <w:t>744 000</w:t>
            </w:r>
          </w:p>
        </w:tc>
      </w:tr>
      <w:tr w:rsidR="00FE02EF" w:rsidRPr="00CC19F7" w14:paraId="414C9CB2" w14:textId="77777777" w:rsidTr="00A74556">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2390432" w14:textId="77777777" w:rsidR="00FE02EF" w:rsidRPr="00CC19F7" w:rsidRDefault="00FE02EF" w:rsidP="00CC19F7"/>
        </w:tc>
        <w:tc>
          <w:tcPr>
            <w:tcW w:w="4504" w:type="dxa"/>
            <w:tcBorders>
              <w:top w:val="nil"/>
              <w:left w:val="nil"/>
              <w:bottom w:val="single" w:sz="4" w:space="0" w:color="000000"/>
              <w:right w:val="nil"/>
            </w:tcBorders>
            <w:tcMar>
              <w:top w:w="128" w:type="dxa"/>
              <w:left w:w="43" w:type="dxa"/>
              <w:bottom w:w="43" w:type="dxa"/>
              <w:right w:w="43" w:type="dxa"/>
            </w:tcMar>
          </w:tcPr>
          <w:p w14:paraId="7062D66A" w14:textId="77777777" w:rsidR="00FE02EF" w:rsidRPr="00CC19F7" w:rsidRDefault="00881E58" w:rsidP="00A74556">
            <w:r w:rsidRPr="00CC19F7">
              <w:t>Sum kap. 5680</w:t>
            </w:r>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1AC8A210" w14:textId="77777777" w:rsidR="00FE02EF" w:rsidRPr="00CC19F7" w:rsidRDefault="00881E58" w:rsidP="00A74556">
            <w:pPr>
              <w:jc w:val="right"/>
            </w:pPr>
            <w:r w:rsidRPr="00CC19F7">
              <w:t>737 000</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1DFDF58A" w14:textId="77777777" w:rsidR="00FE02EF" w:rsidRPr="00CC19F7" w:rsidRDefault="00881E58" w:rsidP="00A74556">
            <w:pPr>
              <w:jc w:val="right"/>
            </w:pPr>
            <w:r w:rsidRPr="00CC19F7">
              <w:t>882 000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2C16BAD" w14:textId="77777777" w:rsidR="00FE02EF" w:rsidRPr="00CC19F7" w:rsidRDefault="00881E58" w:rsidP="00A74556">
            <w:pPr>
              <w:jc w:val="right"/>
            </w:pPr>
            <w:r w:rsidRPr="00CC19F7">
              <w:t>744 000</w:t>
            </w:r>
          </w:p>
        </w:tc>
      </w:tr>
    </w:tbl>
    <w:p w14:paraId="0EA3F12F" w14:textId="77777777" w:rsidR="00FE02EF" w:rsidRPr="00CC19F7" w:rsidRDefault="00881E58" w:rsidP="00CC19F7">
      <w:pPr>
        <w:pStyle w:val="avsnitt-undertittel"/>
      </w:pPr>
      <w:r w:rsidRPr="00CC19F7">
        <w:t>Om 2023</w:t>
      </w:r>
    </w:p>
    <w:p w14:paraId="42685FB5" w14:textId="77777777" w:rsidR="00FE02EF" w:rsidRPr="00CC19F7" w:rsidRDefault="00881E58" w:rsidP="00CC19F7">
      <w:r w:rsidRPr="00CC19F7">
        <w:t xml:space="preserve">Ved Stortingets vedtak 16. juni 2023 blei post 85 redusert med 586 mill. kroner, jf. </w:t>
      </w:r>
      <w:proofErr w:type="spellStart"/>
      <w:r w:rsidRPr="00CC19F7">
        <w:t>Prop</w:t>
      </w:r>
      <w:proofErr w:type="spellEnd"/>
      <w:r w:rsidRPr="00CC19F7">
        <w:t xml:space="preserve">. 118 S (2022–2023) og </w:t>
      </w:r>
      <w:proofErr w:type="spellStart"/>
      <w:r w:rsidRPr="00CC19F7">
        <w:t>Innst</w:t>
      </w:r>
      <w:proofErr w:type="spellEnd"/>
      <w:r w:rsidRPr="00CC19F7">
        <w:t>. 490 S (2022–2023).</w:t>
      </w:r>
    </w:p>
    <w:p w14:paraId="392C6F1B" w14:textId="77777777" w:rsidR="00FE02EF" w:rsidRPr="00CC19F7" w:rsidRDefault="00881E58" w:rsidP="00CC19F7">
      <w:pPr>
        <w:pStyle w:val="b-post"/>
      </w:pPr>
      <w:r w:rsidRPr="00CC19F7">
        <w:t>Post 85 Utbytte</w:t>
      </w:r>
    </w:p>
    <w:p w14:paraId="78AF3C2B" w14:textId="77777777" w:rsidR="00FE02EF" w:rsidRPr="00CC19F7" w:rsidRDefault="00881E58" w:rsidP="00CC19F7">
      <w:r w:rsidRPr="00CC19F7">
        <w:t xml:space="preserve">Det er lagt til grunn </w:t>
      </w:r>
      <w:proofErr w:type="spellStart"/>
      <w:r w:rsidRPr="00CC19F7">
        <w:t>ein</w:t>
      </w:r>
      <w:proofErr w:type="spellEnd"/>
      <w:r w:rsidRPr="00CC19F7">
        <w:t xml:space="preserve"> utbyttepolitikk på 50 prosent. For </w:t>
      </w:r>
      <w:proofErr w:type="spellStart"/>
      <w:r w:rsidRPr="00CC19F7">
        <w:t>rekneskapsåret</w:t>
      </w:r>
      <w:proofErr w:type="spellEnd"/>
      <w:r w:rsidRPr="00CC19F7">
        <w:t xml:space="preserve"> 2023 vil </w:t>
      </w:r>
      <w:proofErr w:type="spellStart"/>
      <w:r w:rsidRPr="00CC19F7">
        <w:t>eit</w:t>
      </w:r>
      <w:proofErr w:type="spellEnd"/>
      <w:r w:rsidRPr="00CC19F7">
        <w:t xml:space="preserve"> utbytte på 50 prosent av resultat etter skatt, justert for endring i </w:t>
      </w:r>
      <w:proofErr w:type="spellStart"/>
      <w:r w:rsidRPr="00CC19F7">
        <w:t>meir</w:t>
      </w:r>
      <w:proofErr w:type="spellEnd"/>
      <w:r w:rsidRPr="00CC19F7">
        <w:t xml:space="preserve">-/mindreinntekt, </w:t>
      </w:r>
      <w:proofErr w:type="spellStart"/>
      <w:r w:rsidRPr="00CC19F7">
        <w:t>utgjere</w:t>
      </w:r>
      <w:proofErr w:type="spellEnd"/>
      <w:r w:rsidRPr="00CC19F7">
        <w:t xml:space="preserve"> 744 mill. kroner basert på siste resultatanslag (1 487 mill. kroner). </w:t>
      </w:r>
      <w:proofErr w:type="spellStart"/>
      <w:r w:rsidRPr="00CC19F7">
        <w:t>Endeleg</w:t>
      </w:r>
      <w:proofErr w:type="spellEnd"/>
      <w:r w:rsidRPr="00CC19F7">
        <w:t xml:space="preserve"> vedtak om utbytte blir gjort på </w:t>
      </w:r>
      <w:proofErr w:type="spellStart"/>
      <w:r w:rsidRPr="00CC19F7">
        <w:t>føretaksmøte</w:t>
      </w:r>
      <w:proofErr w:type="spellEnd"/>
      <w:r w:rsidRPr="00CC19F7">
        <w:t xml:space="preserve"> våren 2024 basert på faktisk resultat for 2023.</w:t>
      </w:r>
    </w:p>
    <w:p w14:paraId="75A423E5" w14:textId="77777777" w:rsidR="00FE02EF" w:rsidRPr="00CC19F7" w:rsidRDefault="00881E58" w:rsidP="00CC19F7">
      <w:pPr>
        <w:pStyle w:val="b-progkat"/>
      </w:pPr>
      <w:r w:rsidRPr="00CC19F7">
        <w:t>Programkategori 18.30 Klima, industri og teknologi</w:t>
      </w:r>
    </w:p>
    <w:p w14:paraId="35020626" w14:textId="77777777" w:rsidR="00FE02EF" w:rsidRPr="00CC19F7" w:rsidRDefault="00881E58" w:rsidP="00CC19F7">
      <w:pPr>
        <w:pStyle w:val="Undertittel"/>
      </w:pPr>
      <w:r w:rsidRPr="00CC19F7">
        <w:t>Utviklingstrekk</w:t>
      </w:r>
    </w:p>
    <w:p w14:paraId="29B2A052" w14:textId="77777777" w:rsidR="00FE02EF" w:rsidRPr="00CC19F7" w:rsidRDefault="00881E58" w:rsidP="00CC19F7">
      <w:proofErr w:type="spellStart"/>
      <w:r w:rsidRPr="00CC19F7">
        <w:t>Energinæringane</w:t>
      </w:r>
      <w:proofErr w:type="spellEnd"/>
      <w:r w:rsidRPr="00CC19F7">
        <w:t xml:space="preserve"> er og har i mange tiår </w:t>
      </w:r>
      <w:proofErr w:type="spellStart"/>
      <w:r w:rsidRPr="00CC19F7">
        <w:t>vore</w:t>
      </w:r>
      <w:proofErr w:type="spellEnd"/>
      <w:r w:rsidRPr="00CC19F7">
        <w:t xml:space="preserve"> </w:t>
      </w:r>
      <w:proofErr w:type="spellStart"/>
      <w:r w:rsidRPr="00CC19F7">
        <w:t>Noregs</w:t>
      </w:r>
      <w:proofErr w:type="spellEnd"/>
      <w:r w:rsidRPr="00CC19F7">
        <w:t xml:space="preserve"> største </w:t>
      </w:r>
      <w:proofErr w:type="spellStart"/>
      <w:r w:rsidRPr="00CC19F7">
        <w:t>næringar</w:t>
      </w:r>
      <w:proofErr w:type="spellEnd"/>
      <w:r w:rsidRPr="00CC19F7">
        <w:t xml:space="preserve"> og har </w:t>
      </w:r>
      <w:proofErr w:type="spellStart"/>
      <w:r w:rsidRPr="00CC19F7">
        <w:t>sidan</w:t>
      </w:r>
      <w:proofErr w:type="spellEnd"/>
      <w:r w:rsidRPr="00CC19F7">
        <w:t xml:space="preserve"> starten av </w:t>
      </w:r>
      <w:proofErr w:type="spellStart"/>
      <w:r w:rsidRPr="00CC19F7">
        <w:t>førre</w:t>
      </w:r>
      <w:proofErr w:type="spellEnd"/>
      <w:r w:rsidRPr="00CC19F7">
        <w:t xml:space="preserve"> hundreåret skapt store, positive ringverknader i form av sysselsetting, industribygging og vekst over heile landet. I tillegg bidrar </w:t>
      </w:r>
      <w:proofErr w:type="spellStart"/>
      <w:r w:rsidRPr="00CC19F7">
        <w:t>næringane</w:t>
      </w:r>
      <w:proofErr w:type="spellEnd"/>
      <w:r w:rsidRPr="00CC19F7">
        <w:t xml:space="preserve"> til å sikre vår eiga forsyning av energi.</w:t>
      </w:r>
    </w:p>
    <w:p w14:paraId="44BD2C53" w14:textId="77777777" w:rsidR="00FE02EF" w:rsidRPr="00CC19F7" w:rsidRDefault="00881E58" w:rsidP="00CC19F7">
      <w:proofErr w:type="spellStart"/>
      <w:r w:rsidRPr="00CC19F7">
        <w:t>Energimarknadene</w:t>
      </w:r>
      <w:proofErr w:type="spellEnd"/>
      <w:r w:rsidRPr="00CC19F7">
        <w:t xml:space="preserve"> globalt er i endring. </w:t>
      </w:r>
      <w:proofErr w:type="spellStart"/>
      <w:r w:rsidRPr="00CC19F7">
        <w:t>Klimaendringane</w:t>
      </w:r>
      <w:proofErr w:type="spellEnd"/>
      <w:r w:rsidRPr="00CC19F7">
        <w:t xml:space="preserve"> og den geopolitiske situasjonen i verda, og </w:t>
      </w:r>
      <w:proofErr w:type="spellStart"/>
      <w:r w:rsidRPr="00CC19F7">
        <w:t>særleg</w:t>
      </w:r>
      <w:proofErr w:type="spellEnd"/>
      <w:r w:rsidRPr="00CC19F7">
        <w:t xml:space="preserve"> i Europa, påverkar </w:t>
      </w:r>
      <w:proofErr w:type="spellStart"/>
      <w:r w:rsidRPr="00CC19F7">
        <w:t>energinæringane</w:t>
      </w:r>
      <w:proofErr w:type="spellEnd"/>
      <w:r w:rsidRPr="00CC19F7">
        <w:t xml:space="preserve"> i stor grad. Russlands militære invasjon av Ukraina har forsterka situasjonen.</w:t>
      </w:r>
    </w:p>
    <w:p w14:paraId="285A5162" w14:textId="77777777" w:rsidR="00FE02EF" w:rsidRPr="00CC19F7" w:rsidRDefault="00881E58" w:rsidP="00CC19F7">
      <w:r w:rsidRPr="00CC19F7">
        <w:t xml:space="preserve">Regjeringa fører </w:t>
      </w:r>
      <w:proofErr w:type="spellStart"/>
      <w:r w:rsidRPr="00CC19F7">
        <w:t>ein</w:t>
      </w:r>
      <w:proofErr w:type="spellEnd"/>
      <w:r w:rsidRPr="00CC19F7">
        <w:t xml:space="preserve"> ambisiøs politikk for </w:t>
      </w:r>
      <w:proofErr w:type="spellStart"/>
      <w:r w:rsidRPr="00CC19F7">
        <w:t>utsleppsreduksjonar</w:t>
      </w:r>
      <w:proofErr w:type="spellEnd"/>
      <w:r w:rsidRPr="00CC19F7">
        <w:t xml:space="preserve">, </w:t>
      </w:r>
      <w:proofErr w:type="spellStart"/>
      <w:r w:rsidRPr="00CC19F7">
        <w:t>grøn</w:t>
      </w:r>
      <w:proofErr w:type="spellEnd"/>
      <w:r w:rsidRPr="00CC19F7">
        <w:t xml:space="preserve"> vekst og verdiskaping i heile landet. Europa står i ei energiomstilling mellom anna som følge av klimapolitikken, og det er sett ambisiøse mål for 2030 og 2050. Overgangen til </w:t>
      </w:r>
      <w:proofErr w:type="spellStart"/>
      <w:r w:rsidRPr="00CC19F7">
        <w:t>eit</w:t>
      </w:r>
      <w:proofErr w:type="spellEnd"/>
      <w:r w:rsidRPr="00CC19F7">
        <w:t xml:space="preserve"> </w:t>
      </w:r>
      <w:proofErr w:type="spellStart"/>
      <w:r w:rsidRPr="00CC19F7">
        <w:t>lågutsleppssamfunn</w:t>
      </w:r>
      <w:proofErr w:type="spellEnd"/>
      <w:r w:rsidRPr="00CC19F7">
        <w:t xml:space="preserve"> krev forsking og teknologiutvikling, effektiv ressursbruk, tilgang på kapital og andre sentrale </w:t>
      </w:r>
      <w:proofErr w:type="spellStart"/>
      <w:r w:rsidRPr="00CC19F7">
        <w:t>innsatsfaktorar</w:t>
      </w:r>
      <w:proofErr w:type="spellEnd"/>
      <w:r w:rsidRPr="00CC19F7">
        <w:t xml:space="preserve">, og </w:t>
      </w:r>
      <w:proofErr w:type="spellStart"/>
      <w:r w:rsidRPr="00CC19F7">
        <w:t>føreseielege</w:t>
      </w:r>
      <w:proofErr w:type="spellEnd"/>
      <w:r w:rsidRPr="00CC19F7">
        <w:t xml:space="preserve"> rammevilkår.</w:t>
      </w:r>
    </w:p>
    <w:p w14:paraId="2BF0DF4A" w14:textId="77777777" w:rsidR="00FE02EF" w:rsidRPr="00CC19F7" w:rsidRDefault="00881E58" w:rsidP="00CC19F7">
      <w:proofErr w:type="spellStart"/>
      <w:r w:rsidRPr="00CC19F7">
        <w:t>Noreg</w:t>
      </w:r>
      <w:proofErr w:type="spellEnd"/>
      <w:r w:rsidRPr="00CC19F7">
        <w:t xml:space="preserve"> er </w:t>
      </w:r>
      <w:proofErr w:type="spellStart"/>
      <w:r w:rsidRPr="00CC19F7">
        <w:t>ikkje</w:t>
      </w:r>
      <w:proofErr w:type="spellEnd"/>
      <w:r w:rsidRPr="00CC19F7">
        <w:t xml:space="preserve"> aleine om å skulle redusere utslepp av </w:t>
      </w:r>
      <w:proofErr w:type="spellStart"/>
      <w:r w:rsidRPr="00CC19F7">
        <w:t>klimagassar</w:t>
      </w:r>
      <w:proofErr w:type="spellEnd"/>
      <w:r w:rsidRPr="00CC19F7">
        <w:t xml:space="preserve"> på kort tid. Mange land etterspør </w:t>
      </w:r>
      <w:proofErr w:type="spellStart"/>
      <w:r w:rsidRPr="00CC19F7">
        <w:t>løysingar</w:t>
      </w:r>
      <w:proofErr w:type="spellEnd"/>
      <w:r w:rsidRPr="00CC19F7">
        <w:t xml:space="preserve"> som kan bidra til </w:t>
      </w:r>
      <w:proofErr w:type="spellStart"/>
      <w:r w:rsidRPr="00CC19F7">
        <w:t>lågare</w:t>
      </w:r>
      <w:proofErr w:type="spellEnd"/>
      <w:r w:rsidRPr="00CC19F7">
        <w:t xml:space="preserve"> klimagassutslepp. Som </w:t>
      </w:r>
      <w:proofErr w:type="spellStart"/>
      <w:r w:rsidRPr="00CC19F7">
        <w:t>Noreg</w:t>
      </w:r>
      <w:proofErr w:type="spellEnd"/>
      <w:r w:rsidRPr="00CC19F7">
        <w:t xml:space="preserve">, har både USA og EU innført finansielle </w:t>
      </w:r>
      <w:proofErr w:type="spellStart"/>
      <w:r w:rsidRPr="00CC19F7">
        <w:t>verkemiddel</w:t>
      </w:r>
      <w:proofErr w:type="spellEnd"/>
      <w:r w:rsidRPr="00CC19F7">
        <w:t xml:space="preserve"> som representerer ei stor satsing på fornybar energi, nullutsleppsteknologi og </w:t>
      </w:r>
      <w:proofErr w:type="spellStart"/>
      <w:r w:rsidRPr="00CC19F7">
        <w:t>klimavennleg</w:t>
      </w:r>
      <w:proofErr w:type="spellEnd"/>
      <w:r w:rsidRPr="00CC19F7">
        <w:t xml:space="preserve"> omstilling, og som i tillegg </w:t>
      </w:r>
      <w:proofErr w:type="spellStart"/>
      <w:r w:rsidRPr="00CC19F7">
        <w:t>gjer</w:t>
      </w:r>
      <w:proofErr w:type="spellEnd"/>
      <w:r w:rsidRPr="00CC19F7">
        <w:t xml:space="preserve"> at </w:t>
      </w:r>
      <w:proofErr w:type="spellStart"/>
      <w:r w:rsidRPr="00CC19F7">
        <w:t>dei</w:t>
      </w:r>
      <w:proofErr w:type="spellEnd"/>
      <w:r w:rsidRPr="00CC19F7">
        <w:t xml:space="preserve"> </w:t>
      </w:r>
      <w:proofErr w:type="spellStart"/>
      <w:r w:rsidRPr="00CC19F7">
        <w:t>ikkje</w:t>
      </w:r>
      <w:proofErr w:type="spellEnd"/>
      <w:r w:rsidRPr="00CC19F7">
        <w:t xml:space="preserve"> er avhengige av import. USAs </w:t>
      </w:r>
      <w:proofErr w:type="spellStart"/>
      <w:r w:rsidRPr="00CC19F7">
        <w:t>Inflation</w:t>
      </w:r>
      <w:proofErr w:type="spellEnd"/>
      <w:r w:rsidRPr="00CC19F7">
        <w:t xml:space="preserve"> </w:t>
      </w:r>
      <w:proofErr w:type="spellStart"/>
      <w:r w:rsidRPr="00CC19F7">
        <w:t>Reduction</w:t>
      </w:r>
      <w:proofErr w:type="spellEnd"/>
      <w:r w:rsidRPr="00CC19F7">
        <w:t xml:space="preserve"> </w:t>
      </w:r>
      <w:proofErr w:type="spellStart"/>
      <w:r w:rsidRPr="00CC19F7">
        <w:t>Act</w:t>
      </w:r>
      <w:proofErr w:type="spellEnd"/>
      <w:r w:rsidRPr="00CC19F7">
        <w:t>, som tredde i kraft i januar 2023, er ei skattepakke på 369 mrd. dollar som mellom anna har som mål å redusere amerikanske CO</w:t>
      </w:r>
      <w:r w:rsidRPr="00CC19F7">
        <w:rPr>
          <w:rStyle w:val="skrift-senket"/>
        </w:rPr>
        <w:t>2</w:t>
      </w:r>
      <w:r w:rsidRPr="00CC19F7">
        <w:t xml:space="preserve">-utslepp og </w:t>
      </w:r>
      <w:proofErr w:type="spellStart"/>
      <w:r w:rsidRPr="00CC19F7">
        <w:t>auke</w:t>
      </w:r>
      <w:proofErr w:type="spellEnd"/>
      <w:r w:rsidRPr="00CC19F7">
        <w:t xml:space="preserve"> amerikansk produksjon. EU har lenge jobba med politikkutvikling for </w:t>
      </w:r>
      <w:proofErr w:type="spellStart"/>
      <w:r w:rsidRPr="00CC19F7">
        <w:t>auka</w:t>
      </w:r>
      <w:proofErr w:type="spellEnd"/>
      <w:r w:rsidRPr="00CC19F7">
        <w:t xml:space="preserve"> vekst og ambisiøse </w:t>
      </w:r>
      <w:proofErr w:type="spellStart"/>
      <w:r w:rsidRPr="00CC19F7">
        <w:t>utsleppsreduksjonar</w:t>
      </w:r>
      <w:proofErr w:type="spellEnd"/>
      <w:r w:rsidRPr="00CC19F7">
        <w:t xml:space="preserve">, mellom anna gjennom European Green </w:t>
      </w:r>
      <w:proofErr w:type="spellStart"/>
      <w:r w:rsidRPr="00CC19F7">
        <w:t>Deal</w:t>
      </w:r>
      <w:proofErr w:type="spellEnd"/>
      <w:r w:rsidRPr="00CC19F7">
        <w:t>.</w:t>
      </w:r>
    </w:p>
    <w:p w14:paraId="52B2E6AF" w14:textId="77777777" w:rsidR="00FE02EF" w:rsidRPr="00CC19F7" w:rsidRDefault="00881E58" w:rsidP="00CC19F7">
      <w:r w:rsidRPr="00CC19F7">
        <w:t xml:space="preserve">Internasjonale </w:t>
      </w:r>
      <w:proofErr w:type="spellStart"/>
      <w:r w:rsidRPr="00CC19F7">
        <w:t>marknader</w:t>
      </w:r>
      <w:proofErr w:type="spellEnd"/>
      <w:r w:rsidRPr="00CC19F7">
        <w:t xml:space="preserve"> og godt </w:t>
      </w:r>
      <w:proofErr w:type="spellStart"/>
      <w:r w:rsidRPr="00CC19F7">
        <w:t>fungerande</w:t>
      </w:r>
      <w:proofErr w:type="spellEnd"/>
      <w:r w:rsidRPr="00CC19F7">
        <w:t xml:space="preserve"> verdikjeder for sentrale </w:t>
      </w:r>
      <w:proofErr w:type="spellStart"/>
      <w:r w:rsidRPr="00CC19F7">
        <w:t>innsatsfaktorar</w:t>
      </w:r>
      <w:proofErr w:type="spellEnd"/>
      <w:r w:rsidRPr="00CC19F7">
        <w:t xml:space="preserve"> er </w:t>
      </w:r>
      <w:proofErr w:type="spellStart"/>
      <w:r w:rsidRPr="00CC19F7">
        <w:t>ein</w:t>
      </w:r>
      <w:proofErr w:type="spellEnd"/>
      <w:r w:rsidRPr="00CC19F7">
        <w:t xml:space="preserve"> </w:t>
      </w:r>
      <w:proofErr w:type="spellStart"/>
      <w:r w:rsidRPr="00CC19F7">
        <w:t>føresetnad</w:t>
      </w:r>
      <w:proofErr w:type="spellEnd"/>
      <w:r w:rsidRPr="00CC19F7">
        <w:t xml:space="preserve"> for å </w:t>
      </w:r>
      <w:proofErr w:type="spellStart"/>
      <w:r w:rsidRPr="00CC19F7">
        <w:t>lykkast</w:t>
      </w:r>
      <w:proofErr w:type="spellEnd"/>
      <w:r w:rsidRPr="00CC19F7">
        <w:t xml:space="preserve"> med </w:t>
      </w:r>
      <w:proofErr w:type="spellStart"/>
      <w:r w:rsidRPr="00CC19F7">
        <w:t>grøn</w:t>
      </w:r>
      <w:proofErr w:type="spellEnd"/>
      <w:r w:rsidRPr="00CC19F7">
        <w:t xml:space="preserve"> omstilling globalt og for å nå målet om å </w:t>
      </w:r>
      <w:proofErr w:type="spellStart"/>
      <w:r w:rsidRPr="00CC19F7">
        <w:t>auke</w:t>
      </w:r>
      <w:proofErr w:type="spellEnd"/>
      <w:r w:rsidRPr="00CC19F7">
        <w:t xml:space="preserve"> norsk eksport </w:t>
      </w:r>
      <w:proofErr w:type="spellStart"/>
      <w:r w:rsidRPr="00CC19F7">
        <w:t>utanom</w:t>
      </w:r>
      <w:proofErr w:type="spellEnd"/>
      <w:r w:rsidRPr="00CC19F7">
        <w:t xml:space="preserve"> olje og gass. Gjennom samarbeid med andre styresmakter og deltaking i forum og </w:t>
      </w:r>
      <w:proofErr w:type="spellStart"/>
      <w:r w:rsidRPr="00CC19F7">
        <w:t>forhandlingsutval</w:t>
      </w:r>
      <w:proofErr w:type="spellEnd"/>
      <w:r w:rsidRPr="00CC19F7">
        <w:t xml:space="preserve"> tar vi vare på norske interesser. </w:t>
      </w:r>
      <w:proofErr w:type="spellStart"/>
      <w:r w:rsidRPr="00CC19F7">
        <w:t>Noreg</w:t>
      </w:r>
      <w:proofErr w:type="spellEnd"/>
      <w:r w:rsidRPr="00CC19F7">
        <w:t xml:space="preserve"> har </w:t>
      </w:r>
      <w:proofErr w:type="spellStart"/>
      <w:r w:rsidRPr="00CC19F7">
        <w:t>dei</w:t>
      </w:r>
      <w:proofErr w:type="spellEnd"/>
      <w:r w:rsidRPr="00CC19F7">
        <w:t xml:space="preserve"> siste åra styrkt det internasjonale samarbeidet med andre land og EU og inngått </w:t>
      </w:r>
      <w:proofErr w:type="spellStart"/>
      <w:r w:rsidRPr="00CC19F7">
        <w:t>fleire</w:t>
      </w:r>
      <w:proofErr w:type="spellEnd"/>
      <w:r w:rsidRPr="00CC19F7">
        <w:t xml:space="preserve"> </w:t>
      </w:r>
      <w:proofErr w:type="spellStart"/>
      <w:r w:rsidRPr="00CC19F7">
        <w:t>samarbeidsavtalar</w:t>
      </w:r>
      <w:proofErr w:type="spellEnd"/>
      <w:r w:rsidRPr="00CC19F7">
        <w:t xml:space="preserve">. I april </w:t>
      </w:r>
      <w:proofErr w:type="spellStart"/>
      <w:r w:rsidRPr="00CC19F7">
        <w:t>underteikna</w:t>
      </w:r>
      <w:proofErr w:type="spellEnd"/>
      <w:r w:rsidRPr="00CC19F7">
        <w:t xml:space="preserve"> </w:t>
      </w:r>
      <w:proofErr w:type="spellStart"/>
      <w:r w:rsidRPr="00CC19F7">
        <w:t>Noreg</w:t>
      </w:r>
      <w:proofErr w:type="spellEnd"/>
      <w:r w:rsidRPr="00CC19F7">
        <w:t xml:space="preserve"> og EU </w:t>
      </w:r>
      <w:proofErr w:type="spellStart"/>
      <w:r w:rsidRPr="00CC19F7">
        <w:t>eit</w:t>
      </w:r>
      <w:proofErr w:type="spellEnd"/>
      <w:r w:rsidRPr="00CC19F7">
        <w:t xml:space="preserve"> forsterka klima-, energi- og industrisamarbeid. Den </w:t>
      </w:r>
      <w:proofErr w:type="spellStart"/>
      <w:r w:rsidRPr="00CC19F7">
        <w:t>grøne</w:t>
      </w:r>
      <w:proofErr w:type="spellEnd"/>
      <w:r w:rsidRPr="00CC19F7">
        <w:t xml:space="preserve"> alliansen etablerer </w:t>
      </w:r>
      <w:proofErr w:type="spellStart"/>
      <w:r w:rsidRPr="00CC19F7">
        <w:t>ein</w:t>
      </w:r>
      <w:proofErr w:type="spellEnd"/>
      <w:r w:rsidRPr="00CC19F7">
        <w:t xml:space="preserve"> overbygning for samarbeid i </w:t>
      </w:r>
      <w:proofErr w:type="spellStart"/>
      <w:r w:rsidRPr="00CC19F7">
        <w:t>grøne</w:t>
      </w:r>
      <w:proofErr w:type="spellEnd"/>
      <w:r w:rsidRPr="00CC19F7">
        <w:t xml:space="preserve"> </w:t>
      </w:r>
      <w:proofErr w:type="spellStart"/>
      <w:r w:rsidRPr="00CC19F7">
        <w:t>sektorar</w:t>
      </w:r>
      <w:proofErr w:type="spellEnd"/>
      <w:r w:rsidRPr="00CC19F7">
        <w:t xml:space="preserve"> der </w:t>
      </w:r>
      <w:proofErr w:type="spellStart"/>
      <w:r w:rsidRPr="00CC19F7">
        <w:t>Noreg</w:t>
      </w:r>
      <w:proofErr w:type="spellEnd"/>
      <w:r w:rsidRPr="00CC19F7">
        <w:t xml:space="preserve"> og EU har gjensidige interesser. Det </w:t>
      </w:r>
      <w:proofErr w:type="spellStart"/>
      <w:r w:rsidRPr="00CC19F7">
        <w:t>gjeld</w:t>
      </w:r>
      <w:proofErr w:type="spellEnd"/>
      <w:r w:rsidRPr="00CC19F7">
        <w:t xml:space="preserve"> mellom anna CO</w:t>
      </w:r>
      <w:r w:rsidRPr="00CC19F7">
        <w:rPr>
          <w:rStyle w:val="skrift-senket"/>
        </w:rPr>
        <w:t>2</w:t>
      </w:r>
      <w:r w:rsidRPr="00CC19F7">
        <w:t xml:space="preserve">-handtering, havvind, hydrogen, </w:t>
      </w:r>
      <w:proofErr w:type="spellStart"/>
      <w:r w:rsidRPr="00CC19F7">
        <w:t>grøn</w:t>
      </w:r>
      <w:proofErr w:type="spellEnd"/>
      <w:r w:rsidRPr="00CC19F7">
        <w:t xml:space="preserve"> skipsfart, batteri og kritiske råvarer. </w:t>
      </w:r>
      <w:proofErr w:type="spellStart"/>
      <w:r w:rsidRPr="00CC19F7">
        <w:t>Noreg</w:t>
      </w:r>
      <w:proofErr w:type="spellEnd"/>
      <w:r w:rsidRPr="00CC19F7">
        <w:t xml:space="preserve"> og Tyskland har også forsterka energi- og industrisamarbeidet sitt og ser mellom anna </w:t>
      </w:r>
      <w:proofErr w:type="spellStart"/>
      <w:r w:rsidRPr="00CC19F7">
        <w:t>nærmare</w:t>
      </w:r>
      <w:proofErr w:type="spellEnd"/>
      <w:r w:rsidRPr="00CC19F7">
        <w:t xml:space="preserve"> på </w:t>
      </w:r>
      <w:proofErr w:type="spellStart"/>
      <w:r w:rsidRPr="00CC19F7">
        <w:t>moglegheiter</w:t>
      </w:r>
      <w:proofErr w:type="spellEnd"/>
      <w:r w:rsidRPr="00CC19F7">
        <w:t xml:space="preserve"> for storskala verdikjeder og infrastruktur for hydrogen og CO</w:t>
      </w:r>
      <w:r w:rsidRPr="00CC19F7">
        <w:rPr>
          <w:rStyle w:val="skrift-senket"/>
        </w:rPr>
        <w:t>2</w:t>
      </w:r>
      <w:r w:rsidRPr="00CC19F7">
        <w:t>.</w:t>
      </w:r>
    </w:p>
    <w:p w14:paraId="3448A862" w14:textId="77777777" w:rsidR="00FE02EF" w:rsidRPr="00CC19F7" w:rsidRDefault="00881E58" w:rsidP="00CC19F7">
      <w:proofErr w:type="spellStart"/>
      <w:r w:rsidRPr="00CC19F7">
        <w:t>Eit</w:t>
      </w:r>
      <w:proofErr w:type="spellEnd"/>
      <w:r w:rsidRPr="00CC19F7">
        <w:t xml:space="preserve"> </w:t>
      </w:r>
      <w:proofErr w:type="spellStart"/>
      <w:r w:rsidRPr="00CC19F7">
        <w:t>velfungerande</w:t>
      </w:r>
      <w:proofErr w:type="spellEnd"/>
      <w:r w:rsidRPr="00CC19F7">
        <w:t xml:space="preserve"> og sikkert kraftsystem er </w:t>
      </w:r>
      <w:proofErr w:type="spellStart"/>
      <w:r w:rsidRPr="00CC19F7">
        <w:t>grunnleggande</w:t>
      </w:r>
      <w:proofErr w:type="spellEnd"/>
      <w:r w:rsidRPr="00CC19F7">
        <w:t xml:space="preserve"> for å møte </w:t>
      </w:r>
      <w:proofErr w:type="spellStart"/>
      <w:r w:rsidRPr="00CC19F7">
        <w:t>ein</w:t>
      </w:r>
      <w:proofErr w:type="spellEnd"/>
      <w:r w:rsidRPr="00CC19F7">
        <w:t xml:space="preserve"> </w:t>
      </w:r>
      <w:proofErr w:type="spellStart"/>
      <w:r w:rsidRPr="00CC19F7">
        <w:t>auka</w:t>
      </w:r>
      <w:proofErr w:type="spellEnd"/>
      <w:r w:rsidRPr="00CC19F7">
        <w:t xml:space="preserve"> overgang </w:t>
      </w:r>
      <w:proofErr w:type="spellStart"/>
      <w:r w:rsidRPr="00CC19F7">
        <w:t>frå</w:t>
      </w:r>
      <w:proofErr w:type="spellEnd"/>
      <w:r w:rsidRPr="00CC19F7">
        <w:t xml:space="preserve"> fossil energi til elektrisitet og for å legge til rette for ny </w:t>
      </w:r>
      <w:proofErr w:type="spellStart"/>
      <w:r w:rsidRPr="00CC19F7">
        <w:t>grøn</w:t>
      </w:r>
      <w:proofErr w:type="spellEnd"/>
      <w:r w:rsidRPr="00CC19F7">
        <w:t xml:space="preserve"> industri. </w:t>
      </w:r>
      <w:proofErr w:type="spellStart"/>
      <w:r w:rsidRPr="00CC19F7">
        <w:t>Ein</w:t>
      </w:r>
      <w:proofErr w:type="spellEnd"/>
      <w:r w:rsidRPr="00CC19F7">
        <w:t xml:space="preserve"> stor del av </w:t>
      </w:r>
      <w:proofErr w:type="spellStart"/>
      <w:r w:rsidRPr="00CC19F7">
        <w:t>dei</w:t>
      </w:r>
      <w:proofErr w:type="spellEnd"/>
      <w:r w:rsidRPr="00CC19F7">
        <w:t xml:space="preserve"> nye </w:t>
      </w:r>
      <w:proofErr w:type="spellStart"/>
      <w:r w:rsidRPr="00CC19F7">
        <w:t>grøne</w:t>
      </w:r>
      <w:proofErr w:type="spellEnd"/>
      <w:r w:rsidRPr="00CC19F7">
        <w:t xml:space="preserve"> </w:t>
      </w:r>
      <w:proofErr w:type="spellStart"/>
      <w:r w:rsidRPr="00CC19F7">
        <w:t>industrinæringane</w:t>
      </w:r>
      <w:proofErr w:type="spellEnd"/>
      <w:r w:rsidRPr="00CC19F7">
        <w:t xml:space="preserve"> som batteriproduksjon, produksjon av hydrogen og CO</w:t>
      </w:r>
      <w:r w:rsidRPr="00CC19F7">
        <w:rPr>
          <w:rStyle w:val="skrift-senket"/>
        </w:rPr>
        <w:t>2</w:t>
      </w:r>
      <w:r w:rsidRPr="00CC19F7">
        <w:t xml:space="preserve">-handtering krev </w:t>
      </w:r>
      <w:proofErr w:type="spellStart"/>
      <w:r w:rsidRPr="00CC19F7">
        <w:t>mykje</w:t>
      </w:r>
      <w:proofErr w:type="spellEnd"/>
      <w:r w:rsidRPr="00CC19F7">
        <w:t xml:space="preserve"> kraft. Samtidig er </w:t>
      </w:r>
      <w:proofErr w:type="spellStart"/>
      <w:r w:rsidRPr="00CC19F7">
        <w:t>meir</w:t>
      </w:r>
      <w:proofErr w:type="spellEnd"/>
      <w:r w:rsidRPr="00CC19F7">
        <w:t xml:space="preserve"> bruk av elektrisk kraft til </w:t>
      </w:r>
      <w:proofErr w:type="spellStart"/>
      <w:r w:rsidRPr="00CC19F7">
        <w:t>fleire</w:t>
      </w:r>
      <w:proofErr w:type="spellEnd"/>
      <w:r w:rsidRPr="00CC19F7">
        <w:t xml:space="preserve"> formål viktige tiltak i klimapolitikken. Regjeringas </w:t>
      </w:r>
      <w:proofErr w:type="spellStart"/>
      <w:r w:rsidRPr="00CC19F7">
        <w:t>ambisjonar</w:t>
      </w:r>
      <w:proofErr w:type="spellEnd"/>
      <w:r w:rsidRPr="00CC19F7">
        <w:t xml:space="preserve"> om å </w:t>
      </w:r>
      <w:proofErr w:type="spellStart"/>
      <w:r w:rsidRPr="00CC19F7">
        <w:t>auke</w:t>
      </w:r>
      <w:proofErr w:type="spellEnd"/>
      <w:r w:rsidRPr="00CC19F7">
        <w:t xml:space="preserve"> kraftproduksjonen, kapasiteten og fleksibiliteten i straumnettet og satsinga på energieffektiviseringstiltak, er viktige for å legge til rette for at </w:t>
      </w:r>
      <w:proofErr w:type="spellStart"/>
      <w:r w:rsidRPr="00CC19F7">
        <w:t>dei</w:t>
      </w:r>
      <w:proofErr w:type="spellEnd"/>
      <w:r w:rsidRPr="00CC19F7">
        <w:t xml:space="preserve"> nye </w:t>
      </w:r>
      <w:proofErr w:type="spellStart"/>
      <w:r w:rsidRPr="00CC19F7">
        <w:t>næringane</w:t>
      </w:r>
      <w:proofErr w:type="spellEnd"/>
      <w:r w:rsidRPr="00CC19F7">
        <w:t xml:space="preserve"> kan utvikle seg.</w:t>
      </w:r>
    </w:p>
    <w:p w14:paraId="62708527" w14:textId="77777777" w:rsidR="00FE02EF" w:rsidRPr="00CC19F7" w:rsidRDefault="00881E58" w:rsidP="00CC19F7">
      <w:r w:rsidRPr="00CC19F7">
        <w:t xml:space="preserve">Regjeringas satsing på havvind er </w:t>
      </w:r>
      <w:proofErr w:type="spellStart"/>
      <w:r w:rsidRPr="00CC19F7">
        <w:t>ein</w:t>
      </w:r>
      <w:proofErr w:type="spellEnd"/>
      <w:r w:rsidRPr="00CC19F7">
        <w:t xml:space="preserve"> viktig del av innsatsen for å </w:t>
      </w:r>
      <w:proofErr w:type="spellStart"/>
      <w:r w:rsidRPr="00CC19F7">
        <w:t>auke</w:t>
      </w:r>
      <w:proofErr w:type="spellEnd"/>
      <w:r w:rsidRPr="00CC19F7">
        <w:t xml:space="preserve"> den fornybare kraftproduksjonen i </w:t>
      </w:r>
      <w:proofErr w:type="spellStart"/>
      <w:r w:rsidRPr="00CC19F7">
        <w:t>Noreg</w:t>
      </w:r>
      <w:proofErr w:type="spellEnd"/>
      <w:r w:rsidRPr="00CC19F7">
        <w:t xml:space="preserve">. Samtidig vil tiltak for å </w:t>
      </w:r>
      <w:proofErr w:type="gramStart"/>
      <w:r w:rsidRPr="00CC19F7">
        <w:t>integrere</w:t>
      </w:r>
      <w:proofErr w:type="gramEnd"/>
      <w:r w:rsidRPr="00CC19F7">
        <w:t xml:space="preserve"> </w:t>
      </w:r>
      <w:proofErr w:type="spellStart"/>
      <w:r w:rsidRPr="00CC19F7">
        <w:t>meir</w:t>
      </w:r>
      <w:proofErr w:type="spellEnd"/>
      <w:r w:rsidRPr="00CC19F7">
        <w:t xml:space="preserve"> </w:t>
      </w:r>
      <w:proofErr w:type="spellStart"/>
      <w:r w:rsidRPr="00CC19F7">
        <w:t>uregulerbar</w:t>
      </w:r>
      <w:proofErr w:type="spellEnd"/>
      <w:r w:rsidRPr="00CC19F7">
        <w:t xml:space="preserve"> kraftproduksjon </w:t>
      </w:r>
      <w:proofErr w:type="spellStart"/>
      <w:r w:rsidRPr="00CC19F7">
        <w:t>vere</w:t>
      </w:r>
      <w:proofErr w:type="spellEnd"/>
      <w:r w:rsidRPr="00CC19F7">
        <w:t xml:space="preserve"> viktige for å sikre effektbalansen.</w:t>
      </w:r>
    </w:p>
    <w:p w14:paraId="11B102EF" w14:textId="77777777" w:rsidR="00FE02EF" w:rsidRPr="00CC19F7" w:rsidRDefault="00881E58" w:rsidP="00CC19F7">
      <w:r w:rsidRPr="00CC19F7">
        <w:t xml:space="preserve">I dag står vi overfor </w:t>
      </w:r>
      <w:proofErr w:type="spellStart"/>
      <w:r w:rsidRPr="00CC19F7">
        <w:t>ein</w:t>
      </w:r>
      <w:proofErr w:type="spellEnd"/>
      <w:r w:rsidRPr="00CC19F7">
        <w:t xml:space="preserve"> inflasjon vi </w:t>
      </w:r>
      <w:proofErr w:type="spellStart"/>
      <w:r w:rsidRPr="00CC19F7">
        <w:t>ikkje</w:t>
      </w:r>
      <w:proofErr w:type="spellEnd"/>
      <w:r w:rsidRPr="00CC19F7">
        <w:t xml:space="preserve"> har sett på tiår, og i møte med større press på kraftsystemet, stor konkurranse om arbeidskrafta og mindre handlingsrom i </w:t>
      </w:r>
      <w:proofErr w:type="spellStart"/>
      <w:r w:rsidRPr="00CC19F7">
        <w:t>offentlege</w:t>
      </w:r>
      <w:proofErr w:type="spellEnd"/>
      <w:r w:rsidRPr="00CC19F7">
        <w:t xml:space="preserve"> budsjett er det enda </w:t>
      </w:r>
      <w:proofErr w:type="spellStart"/>
      <w:r w:rsidRPr="00CC19F7">
        <w:t>viktigare</w:t>
      </w:r>
      <w:proofErr w:type="spellEnd"/>
      <w:r w:rsidRPr="00CC19F7">
        <w:t xml:space="preserve"> å prioritere kva </w:t>
      </w:r>
      <w:proofErr w:type="spellStart"/>
      <w:r w:rsidRPr="00CC19F7">
        <w:t>innsatsfaktorane</w:t>
      </w:r>
      <w:proofErr w:type="spellEnd"/>
      <w:r w:rsidRPr="00CC19F7">
        <w:t xml:space="preserve"> våre skal brukast til. Det har </w:t>
      </w:r>
      <w:proofErr w:type="spellStart"/>
      <w:r w:rsidRPr="00CC19F7">
        <w:t>vore</w:t>
      </w:r>
      <w:proofErr w:type="spellEnd"/>
      <w:r w:rsidRPr="00CC19F7">
        <w:t xml:space="preserve"> </w:t>
      </w:r>
      <w:proofErr w:type="spellStart"/>
      <w:r w:rsidRPr="00CC19F7">
        <w:t>ein</w:t>
      </w:r>
      <w:proofErr w:type="spellEnd"/>
      <w:r w:rsidRPr="00CC19F7">
        <w:t xml:space="preserve"> kraftig vekst i kostnadene til industriprosjekt generelt, og </w:t>
      </w:r>
      <w:proofErr w:type="spellStart"/>
      <w:r w:rsidRPr="00CC19F7">
        <w:t>fleire</w:t>
      </w:r>
      <w:proofErr w:type="spellEnd"/>
      <w:r w:rsidRPr="00CC19F7">
        <w:t xml:space="preserve"> </w:t>
      </w:r>
      <w:proofErr w:type="spellStart"/>
      <w:r w:rsidRPr="00CC19F7">
        <w:t>grøne</w:t>
      </w:r>
      <w:proofErr w:type="spellEnd"/>
      <w:r w:rsidRPr="00CC19F7">
        <w:t xml:space="preserve"> industriprosjekt er sette på vent.</w:t>
      </w:r>
    </w:p>
    <w:p w14:paraId="4ECA5587" w14:textId="77777777" w:rsidR="00FE02EF" w:rsidRPr="00CC19F7" w:rsidRDefault="00881E58" w:rsidP="00CC19F7">
      <w:proofErr w:type="spellStart"/>
      <w:r w:rsidRPr="00CC19F7">
        <w:t>Noreg</w:t>
      </w:r>
      <w:proofErr w:type="spellEnd"/>
      <w:r w:rsidRPr="00CC19F7">
        <w:t xml:space="preserve"> har gode </w:t>
      </w:r>
      <w:proofErr w:type="spellStart"/>
      <w:r w:rsidRPr="00CC19F7">
        <w:t>føresetnader</w:t>
      </w:r>
      <w:proofErr w:type="spellEnd"/>
      <w:r w:rsidRPr="00CC19F7">
        <w:t xml:space="preserve"> for å </w:t>
      </w:r>
      <w:proofErr w:type="spellStart"/>
      <w:r w:rsidRPr="00CC19F7">
        <w:t>lykkast</w:t>
      </w:r>
      <w:proofErr w:type="spellEnd"/>
      <w:r w:rsidRPr="00CC19F7">
        <w:t xml:space="preserve"> i omstillinga til </w:t>
      </w:r>
      <w:proofErr w:type="spellStart"/>
      <w:r w:rsidRPr="00CC19F7">
        <w:t>lågutsleppssamfunnet</w:t>
      </w:r>
      <w:proofErr w:type="spellEnd"/>
      <w:r w:rsidRPr="00CC19F7">
        <w:t xml:space="preserve">. Vi har industriell, teknologisk og </w:t>
      </w:r>
      <w:proofErr w:type="spellStart"/>
      <w:r w:rsidRPr="00CC19F7">
        <w:t>vitskapleg</w:t>
      </w:r>
      <w:proofErr w:type="spellEnd"/>
      <w:r w:rsidRPr="00CC19F7">
        <w:t xml:space="preserve"> kompetanse, store </w:t>
      </w:r>
      <w:proofErr w:type="spellStart"/>
      <w:r w:rsidRPr="00CC19F7">
        <w:t>fornybarressursar</w:t>
      </w:r>
      <w:proofErr w:type="spellEnd"/>
      <w:r w:rsidRPr="00CC19F7">
        <w:t xml:space="preserve"> og infrastruktur og erfaring </w:t>
      </w:r>
      <w:proofErr w:type="spellStart"/>
      <w:r w:rsidRPr="00CC19F7">
        <w:t>frå</w:t>
      </w:r>
      <w:proofErr w:type="spellEnd"/>
      <w:r w:rsidRPr="00CC19F7">
        <w:t xml:space="preserve"> produksjon og foredling av energi. Dette gir </w:t>
      </w:r>
      <w:proofErr w:type="spellStart"/>
      <w:r w:rsidRPr="00CC19F7">
        <w:t>Noreg</w:t>
      </w:r>
      <w:proofErr w:type="spellEnd"/>
      <w:r w:rsidRPr="00CC19F7">
        <w:t xml:space="preserve"> og norske </w:t>
      </w:r>
      <w:proofErr w:type="spellStart"/>
      <w:r w:rsidRPr="00CC19F7">
        <w:t>aktørar</w:t>
      </w:r>
      <w:proofErr w:type="spellEnd"/>
      <w:r w:rsidRPr="00CC19F7">
        <w:t xml:space="preserve"> </w:t>
      </w:r>
      <w:proofErr w:type="spellStart"/>
      <w:r w:rsidRPr="00CC19F7">
        <w:t>eit</w:t>
      </w:r>
      <w:proofErr w:type="spellEnd"/>
      <w:r w:rsidRPr="00CC19F7">
        <w:t xml:space="preserve"> godt utgangspunkt.</w:t>
      </w:r>
    </w:p>
    <w:p w14:paraId="433FF98E" w14:textId="77777777" w:rsidR="00FE02EF" w:rsidRPr="00CC19F7" w:rsidRDefault="00881E58" w:rsidP="00CC19F7">
      <w:r w:rsidRPr="00CC19F7">
        <w:t xml:space="preserve">Det er gjennom </w:t>
      </w:r>
      <w:proofErr w:type="spellStart"/>
      <w:r w:rsidRPr="00CC19F7">
        <w:t>industridrivne</w:t>
      </w:r>
      <w:proofErr w:type="spellEnd"/>
      <w:r w:rsidRPr="00CC19F7">
        <w:t xml:space="preserve"> </w:t>
      </w:r>
      <w:proofErr w:type="spellStart"/>
      <w:r w:rsidRPr="00CC19F7">
        <w:t>prosessar</w:t>
      </w:r>
      <w:proofErr w:type="spellEnd"/>
      <w:r w:rsidRPr="00CC19F7">
        <w:t xml:space="preserve"> </w:t>
      </w:r>
      <w:proofErr w:type="spellStart"/>
      <w:r w:rsidRPr="00CC19F7">
        <w:t>dei</w:t>
      </w:r>
      <w:proofErr w:type="spellEnd"/>
      <w:r w:rsidRPr="00CC19F7">
        <w:t xml:space="preserve"> beste prosjekta </w:t>
      </w:r>
      <w:proofErr w:type="spellStart"/>
      <w:r w:rsidRPr="00CC19F7">
        <w:t>veks</w:t>
      </w:r>
      <w:proofErr w:type="spellEnd"/>
      <w:r w:rsidRPr="00CC19F7">
        <w:t xml:space="preserve"> fram, og det er bedriftene som har ansvar for å utnytte </w:t>
      </w:r>
      <w:proofErr w:type="spellStart"/>
      <w:r w:rsidRPr="00CC19F7">
        <w:t>dei</w:t>
      </w:r>
      <w:proofErr w:type="spellEnd"/>
      <w:r w:rsidRPr="00CC19F7">
        <w:t xml:space="preserve"> </w:t>
      </w:r>
      <w:proofErr w:type="spellStart"/>
      <w:r w:rsidRPr="00CC19F7">
        <w:t>moglegheitene</w:t>
      </w:r>
      <w:proofErr w:type="spellEnd"/>
      <w:r w:rsidRPr="00CC19F7">
        <w:t xml:space="preserve"> i </w:t>
      </w:r>
      <w:proofErr w:type="spellStart"/>
      <w:r w:rsidRPr="00CC19F7">
        <w:t>marknaden</w:t>
      </w:r>
      <w:proofErr w:type="spellEnd"/>
      <w:r w:rsidRPr="00CC19F7">
        <w:t xml:space="preserve"> som følger av det </w:t>
      </w:r>
      <w:proofErr w:type="spellStart"/>
      <w:r w:rsidRPr="00CC19F7">
        <w:t>grøne</w:t>
      </w:r>
      <w:proofErr w:type="spellEnd"/>
      <w:r w:rsidRPr="00CC19F7">
        <w:t xml:space="preserve"> skiftet. Men den </w:t>
      </w:r>
      <w:proofErr w:type="spellStart"/>
      <w:r w:rsidRPr="00CC19F7">
        <w:t>grøne</w:t>
      </w:r>
      <w:proofErr w:type="spellEnd"/>
      <w:r w:rsidRPr="00CC19F7">
        <w:t xml:space="preserve"> omstillinga av næringslivet er </w:t>
      </w:r>
      <w:proofErr w:type="spellStart"/>
      <w:r w:rsidRPr="00CC19F7">
        <w:t>eit</w:t>
      </w:r>
      <w:proofErr w:type="spellEnd"/>
      <w:r w:rsidRPr="00CC19F7">
        <w:t xml:space="preserve"> langsiktig arbeid, der staten og næringslivet må </w:t>
      </w:r>
      <w:proofErr w:type="spellStart"/>
      <w:r w:rsidRPr="00CC19F7">
        <w:t>spele</w:t>
      </w:r>
      <w:proofErr w:type="spellEnd"/>
      <w:r w:rsidRPr="00CC19F7">
        <w:t xml:space="preserve"> på lag. </w:t>
      </w:r>
      <w:proofErr w:type="spellStart"/>
      <w:r w:rsidRPr="00CC19F7">
        <w:t>Eit</w:t>
      </w:r>
      <w:proofErr w:type="spellEnd"/>
      <w:r w:rsidRPr="00CC19F7">
        <w:t xml:space="preserve"> av </w:t>
      </w:r>
      <w:proofErr w:type="spellStart"/>
      <w:r w:rsidRPr="00CC19F7">
        <w:t>dei</w:t>
      </w:r>
      <w:proofErr w:type="spellEnd"/>
      <w:r w:rsidRPr="00CC19F7">
        <w:t xml:space="preserve"> </w:t>
      </w:r>
      <w:proofErr w:type="spellStart"/>
      <w:r w:rsidRPr="00CC19F7">
        <w:t>viktigaste</w:t>
      </w:r>
      <w:proofErr w:type="spellEnd"/>
      <w:r w:rsidRPr="00CC19F7">
        <w:t xml:space="preserve"> tiltaka </w:t>
      </w:r>
      <w:proofErr w:type="spellStart"/>
      <w:r w:rsidRPr="00CC19F7">
        <w:t>frå</w:t>
      </w:r>
      <w:proofErr w:type="spellEnd"/>
      <w:r w:rsidRPr="00CC19F7">
        <w:t xml:space="preserve"> regjeringas side vil </w:t>
      </w:r>
      <w:proofErr w:type="spellStart"/>
      <w:r w:rsidRPr="00CC19F7">
        <w:t>vere</w:t>
      </w:r>
      <w:proofErr w:type="spellEnd"/>
      <w:r w:rsidRPr="00CC19F7">
        <w:t xml:space="preserve"> å legge til rette for stabile og </w:t>
      </w:r>
      <w:proofErr w:type="spellStart"/>
      <w:r w:rsidRPr="00CC19F7">
        <w:t>føreseielege</w:t>
      </w:r>
      <w:proofErr w:type="spellEnd"/>
      <w:r w:rsidRPr="00CC19F7">
        <w:t xml:space="preserve"> rammevilkår som </w:t>
      </w:r>
      <w:proofErr w:type="spellStart"/>
      <w:r w:rsidRPr="00CC19F7">
        <w:t>banar</w:t>
      </w:r>
      <w:proofErr w:type="spellEnd"/>
      <w:r w:rsidRPr="00CC19F7">
        <w:t xml:space="preserve"> veg for private </w:t>
      </w:r>
      <w:proofErr w:type="spellStart"/>
      <w:r w:rsidRPr="00CC19F7">
        <w:t>investeringar</w:t>
      </w:r>
      <w:proofErr w:type="spellEnd"/>
      <w:r w:rsidRPr="00CC19F7">
        <w:t xml:space="preserve"> og </w:t>
      </w:r>
      <w:proofErr w:type="spellStart"/>
      <w:r w:rsidRPr="00CC19F7">
        <w:t>vidare</w:t>
      </w:r>
      <w:proofErr w:type="spellEnd"/>
      <w:r w:rsidRPr="00CC19F7">
        <w:t xml:space="preserve"> vekst. Staten bidrar også </w:t>
      </w:r>
      <w:proofErr w:type="spellStart"/>
      <w:r w:rsidRPr="00CC19F7">
        <w:t>betydeleg</w:t>
      </w:r>
      <w:proofErr w:type="spellEnd"/>
      <w:r w:rsidRPr="00CC19F7">
        <w:t xml:space="preserve"> for å legge til rette for nye </w:t>
      </w:r>
      <w:proofErr w:type="spellStart"/>
      <w:r w:rsidRPr="00CC19F7">
        <w:t>næringar</w:t>
      </w:r>
      <w:proofErr w:type="spellEnd"/>
      <w:r w:rsidRPr="00CC19F7">
        <w:t xml:space="preserve">, gjennom direktestøtte til mange store og små prosjekt og </w:t>
      </w:r>
      <w:proofErr w:type="spellStart"/>
      <w:r w:rsidRPr="00CC19F7">
        <w:t>eit</w:t>
      </w:r>
      <w:proofErr w:type="spellEnd"/>
      <w:r w:rsidRPr="00CC19F7">
        <w:t xml:space="preserve"> breitt </w:t>
      </w:r>
      <w:proofErr w:type="spellStart"/>
      <w:r w:rsidRPr="00CC19F7">
        <w:t>verkemiddelapparat</w:t>
      </w:r>
      <w:proofErr w:type="spellEnd"/>
      <w:r w:rsidRPr="00CC19F7">
        <w:t xml:space="preserve"> som bidrar med lån, </w:t>
      </w:r>
      <w:proofErr w:type="spellStart"/>
      <w:r w:rsidRPr="00CC19F7">
        <w:t>garantiar</w:t>
      </w:r>
      <w:proofErr w:type="spellEnd"/>
      <w:r w:rsidRPr="00CC19F7">
        <w:t xml:space="preserve"> og eigenkapital, støtte til forsking og teknologiutvikling og i tillegg næringsfremme og internasjonalisering.</w:t>
      </w:r>
    </w:p>
    <w:p w14:paraId="08558A71" w14:textId="77777777" w:rsidR="00FE02EF" w:rsidRPr="00CC19F7" w:rsidRDefault="00881E58" w:rsidP="00CC19F7">
      <w:r w:rsidRPr="00CC19F7">
        <w:t xml:space="preserve">Regjeringa sitt vegkart for grønt industriløft </w:t>
      </w:r>
      <w:proofErr w:type="spellStart"/>
      <w:r w:rsidRPr="00CC19F7">
        <w:t>inneheld</w:t>
      </w:r>
      <w:proofErr w:type="spellEnd"/>
      <w:r w:rsidRPr="00CC19F7">
        <w:t xml:space="preserve"> </w:t>
      </w:r>
      <w:proofErr w:type="spellStart"/>
      <w:r w:rsidRPr="00CC19F7">
        <w:t>fleire</w:t>
      </w:r>
      <w:proofErr w:type="spellEnd"/>
      <w:r w:rsidRPr="00CC19F7">
        <w:t xml:space="preserve"> satsingsområde, mellom anna havvind, hydrogen og CO</w:t>
      </w:r>
      <w:r w:rsidRPr="00CC19F7">
        <w:rPr>
          <w:rStyle w:val="skrift-senket"/>
        </w:rPr>
        <w:t>2</w:t>
      </w:r>
      <w:r w:rsidRPr="00CC19F7">
        <w:t xml:space="preserve">-handtering, og beskriv regjeringas politikk for å legge til rette for </w:t>
      </w:r>
      <w:proofErr w:type="spellStart"/>
      <w:r w:rsidRPr="00CC19F7">
        <w:t>grøne</w:t>
      </w:r>
      <w:proofErr w:type="spellEnd"/>
      <w:r w:rsidRPr="00CC19F7">
        <w:t xml:space="preserve"> </w:t>
      </w:r>
      <w:proofErr w:type="spellStart"/>
      <w:r w:rsidRPr="00CC19F7">
        <w:t>industriverksemder</w:t>
      </w:r>
      <w:proofErr w:type="spellEnd"/>
      <w:r w:rsidRPr="00CC19F7">
        <w:t>.</w:t>
      </w:r>
    </w:p>
    <w:p w14:paraId="54ACB9F6" w14:textId="77777777" w:rsidR="00FE02EF" w:rsidRPr="00CC19F7" w:rsidRDefault="00881E58" w:rsidP="00CC19F7">
      <w:r w:rsidRPr="00CC19F7">
        <w:t xml:space="preserve">Regjeringa er godt i gang med å bygge opp under målet om at </w:t>
      </w:r>
      <w:proofErr w:type="spellStart"/>
      <w:r w:rsidRPr="00CC19F7">
        <w:t>Noreg</w:t>
      </w:r>
      <w:proofErr w:type="spellEnd"/>
      <w:r w:rsidRPr="00CC19F7">
        <w:t xml:space="preserve"> skal bli </w:t>
      </w:r>
      <w:proofErr w:type="spellStart"/>
      <w:r w:rsidRPr="00CC19F7">
        <w:t>ein</w:t>
      </w:r>
      <w:proofErr w:type="spellEnd"/>
      <w:r w:rsidRPr="00CC19F7">
        <w:t xml:space="preserve"> </w:t>
      </w:r>
      <w:proofErr w:type="spellStart"/>
      <w:r w:rsidRPr="00CC19F7">
        <w:t>leiande</w:t>
      </w:r>
      <w:proofErr w:type="spellEnd"/>
      <w:r w:rsidRPr="00CC19F7">
        <w:t xml:space="preserve"> nasjon </w:t>
      </w:r>
      <w:proofErr w:type="spellStart"/>
      <w:r w:rsidRPr="00CC19F7">
        <w:t>innanfor</w:t>
      </w:r>
      <w:proofErr w:type="spellEnd"/>
      <w:r w:rsidRPr="00CC19F7">
        <w:t xml:space="preserve"> havvind, med </w:t>
      </w:r>
      <w:proofErr w:type="spellStart"/>
      <w:r w:rsidRPr="00CC19F7">
        <w:t>ein</w:t>
      </w:r>
      <w:proofErr w:type="spellEnd"/>
      <w:r w:rsidRPr="00CC19F7">
        <w:t xml:space="preserve"> industri som </w:t>
      </w:r>
      <w:proofErr w:type="spellStart"/>
      <w:r w:rsidRPr="00CC19F7">
        <w:t>utviklar</w:t>
      </w:r>
      <w:proofErr w:type="spellEnd"/>
      <w:r w:rsidRPr="00CC19F7">
        <w:t xml:space="preserve"> og bygger </w:t>
      </w:r>
      <w:proofErr w:type="spellStart"/>
      <w:r w:rsidRPr="00CC19F7">
        <w:t>vindkraftløysingar</w:t>
      </w:r>
      <w:proofErr w:type="spellEnd"/>
      <w:r w:rsidRPr="00CC19F7">
        <w:t xml:space="preserve"> for heile verda. I 2023 blei </w:t>
      </w:r>
      <w:proofErr w:type="spellStart"/>
      <w:r w:rsidRPr="00CC19F7">
        <w:t>dei</w:t>
      </w:r>
      <w:proofErr w:type="spellEnd"/>
      <w:r w:rsidRPr="00CC19F7">
        <w:t xml:space="preserve"> første prosjektområda for havvind på norsk kontinentalsokkel lyste ut. Det er i dag </w:t>
      </w:r>
      <w:proofErr w:type="spellStart"/>
      <w:r w:rsidRPr="00CC19F7">
        <w:t>ein</w:t>
      </w:r>
      <w:proofErr w:type="spellEnd"/>
      <w:r w:rsidRPr="00CC19F7">
        <w:t xml:space="preserve"> installert kapasitet på 32 GW </w:t>
      </w:r>
      <w:proofErr w:type="spellStart"/>
      <w:r w:rsidRPr="00CC19F7">
        <w:t>frå</w:t>
      </w:r>
      <w:proofErr w:type="spellEnd"/>
      <w:r w:rsidRPr="00CC19F7">
        <w:t xml:space="preserve"> havvind i Europa. </w:t>
      </w:r>
      <w:proofErr w:type="spellStart"/>
      <w:r w:rsidRPr="00CC19F7">
        <w:t>Ambisjonane</w:t>
      </w:r>
      <w:proofErr w:type="spellEnd"/>
      <w:r w:rsidRPr="00CC19F7">
        <w:t xml:space="preserve"> for havvind i Europa er </w:t>
      </w:r>
      <w:proofErr w:type="spellStart"/>
      <w:r w:rsidRPr="00CC19F7">
        <w:t>betydelege</w:t>
      </w:r>
      <w:proofErr w:type="spellEnd"/>
      <w:r w:rsidRPr="00CC19F7">
        <w:t xml:space="preserve">, og landa rundt Nordsjøen og EU har samla </w:t>
      </w:r>
      <w:proofErr w:type="spellStart"/>
      <w:r w:rsidRPr="00CC19F7">
        <w:t>ambisjonar</w:t>
      </w:r>
      <w:proofErr w:type="spellEnd"/>
      <w:r w:rsidRPr="00CC19F7">
        <w:t xml:space="preserve"> om 300 GW </w:t>
      </w:r>
      <w:proofErr w:type="spellStart"/>
      <w:r w:rsidRPr="00CC19F7">
        <w:t>frå</w:t>
      </w:r>
      <w:proofErr w:type="spellEnd"/>
      <w:r w:rsidRPr="00CC19F7">
        <w:t xml:space="preserve"> havvind i Nordsjøen </w:t>
      </w:r>
      <w:proofErr w:type="spellStart"/>
      <w:r w:rsidRPr="00CC19F7">
        <w:t>innan</w:t>
      </w:r>
      <w:proofErr w:type="spellEnd"/>
      <w:r w:rsidRPr="00CC19F7">
        <w:t xml:space="preserve"> 2050. Det siste året er det tatt positive investeringsavgjerder for 5 GW havvind i Europa, etter </w:t>
      </w:r>
      <w:proofErr w:type="spellStart"/>
      <w:r w:rsidRPr="00CC19F7">
        <w:t>fleire</w:t>
      </w:r>
      <w:proofErr w:type="spellEnd"/>
      <w:r w:rsidRPr="00CC19F7">
        <w:t xml:space="preserve"> </w:t>
      </w:r>
      <w:proofErr w:type="spellStart"/>
      <w:r w:rsidRPr="00CC19F7">
        <w:t>utsettingar</w:t>
      </w:r>
      <w:proofErr w:type="spellEnd"/>
      <w:r w:rsidRPr="00CC19F7">
        <w:t xml:space="preserve"> i fjor.</w:t>
      </w:r>
    </w:p>
    <w:p w14:paraId="0166F2F4" w14:textId="77777777" w:rsidR="00FE02EF" w:rsidRPr="00CC19F7" w:rsidRDefault="00881E58" w:rsidP="00CC19F7">
      <w:r w:rsidRPr="00CC19F7">
        <w:t xml:space="preserve">Dei siste tiåra har kostnadene for havvind gått ned. Dei siste to åra, derimot, har kostnadene </w:t>
      </w:r>
      <w:proofErr w:type="spellStart"/>
      <w:r w:rsidRPr="00CC19F7">
        <w:t>auka</w:t>
      </w:r>
      <w:proofErr w:type="spellEnd"/>
      <w:r w:rsidRPr="00CC19F7">
        <w:t xml:space="preserve"> mellom anna som følge av press i leverandørkjeder, volatile </w:t>
      </w:r>
      <w:proofErr w:type="spellStart"/>
      <w:r w:rsidRPr="00CC19F7">
        <w:t>råvareprisar</w:t>
      </w:r>
      <w:proofErr w:type="spellEnd"/>
      <w:r w:rsidRPr="00CC19F7">
        <w:t xml:space="preserve">, logistikkproblem etter pandemien, inflasjon og </w:t>
      </w:r>
      <w:proofErr w:type="spellStart"/>
      <w:r w:rsidRPr="00CC19F7">
        <w:t>konsekvensar</w:t>
      </w:r>
      <w:proofErr w:type="spellEnd"/>
      <w:r w:rsidRPr="00CC19F7">
        <w:t xml:space="preserve"> av Russlands militære invasjon av Ukraina. Det er venta at </w:t>
      </w:r>
      <w:proofErr w:type="spellStart"/>
      <w:r w:rsidRPr="00CC19F7">
        <w:t>dei</w:t>
      </w:r>
      <w:proofErr w:type="spellEnd"/>
      <w:r w:rsidRPr="00CC19F7">
        <w:t xml:space="preserve"> første havvindprosjekta i </w:t>
      </w:r>
      <w:proofErr w:type="spellStart"/>
      <w:r w:rsidRPr="00CC19F7">
        <w:t>Noreg</w:t>
      </w:r>
      <w:proofErr w:type="spellEnd"/>
      <w:r w:rsidRPr="00CC19F7">
        <w:t xml:space="preserve"> vil ha behov for statsstøtte. Stortinget har gitt Olje- og energidepartementet fullmakt til å inngå </w:t>
      </w:r>
      <w:proofErr w:type="spellStart"/>
      <w:r w:rsidRPr="00CC19F7">
        <w:t>ein</w:t>
      </w:r>
      <w:proofErr w:type="spellEnd"/>
      <w:r w:rsidRPr="00CC19F7">
        <w:t xml:space="preserve"> tosidig differansekontrakt for støtte til fornybar energiproduksjon til havs </w:t>
      </w:r>
      <w:proofErr w:type="spellStart"/>
      <w:r w:rsidRPr="00CC19F7">
        <w:t>frå</w:t>
      </w:r>
      <w:proofErr w:type="spellEnd"/>
      <w:r w:rsidRPr="00CC19F7">
        <w:t xml:space="preserve"> første fase av </w:t>
      </w:r>
      <w:proofErr w:type="spellStart"/>
      <w:r w:rsidRPr="00CC19F7">
        <w:t>Sørlege</w:t>
      </w:r>
      <w:proofErr w:type="spellEnd"/>
      <w:r w:rsidRPr="00CC19F7">
        <w:t xml:space="preserve"> </w:t>
      </w:r>
      <w:proofErr w:type="spellStart"/>
      <w:r w:rsidRPr="00CC19F7">
        <w:t>Nordsjø</w:t>
      </w:r>
      <w:proofErr w:type="spellEnd"/>
      <w:r w:rsidRPr="00CC19F7">
        <w:t xml:space="preserve"> II, men slik at </w:t>
      </w:r>
      <w:proofErr w:type="spellStart"/>
      <w:r w:rsidRPr="00CC19F7">
        <w:t>dei</w:t>
      </w:r>
      <w:proofErr w:type="spellEnd"/>
      <w:r w:rsidRPr="00CC19F7">
        <w:t xml:space="preserve"> samla </w:t>
      </w:r>
      <w:proofErr w:type="spellStart"/>
      <w:r w:rsidRPr="00CC19F7">
        <w:t>statlege</w:t>
      </w:r>
      <w:proofErr w:type="spellEnd"/>
      <w:r w:rsidRPr="00CC19F7">
        <w:t xml:space="preserve"> </w:t>
      </w:r>
      <w:proofErr w:type="spellStart"/>
      <w:r w:rsidRPr="00CC19F7">
        <w:t>forpliktingane</w:t>
      </w:r>
      <w:proofErr w:type="spellEnd"/>
      <w:r w:rsidRPr="00CC19F7">
        <w:t xml:space="preserve"> </w:t>
      </w:r>
      <w:proofErr w:type="spellStart"/>
      <w:r w:rsidRPr="00CC19F7">
        <w:t>ikkje</w:t>
      </w:r>
      <w:proofErr w:type="spellEnd"/>
      <w:r w:rsidRPr="00CC19F7">
        <w:t xml:space="preserve"> overstig ei kostnadsramme på 23 mrd. 2023-kroner, jf. Vedlegg 1.</w:t>
      </w:r>
    </w:p>
    <w:p w14:paraId="65833349" w14:textId="77777777" w:rsidR="00FE02EF" w:rsidRPr="00CC19F7" w:rsidRDefault="00881E58" w:rsidP="00CC19F7">
      <w:r w:rsidRPr="00CC19F7">
        <w:t xml:space="preserve">For å bygge opp under målet om å utvikle </w:t>
      </w:r>
      <w:proofErr w:type="spellStart"/>
      <w:r w:rsidRPr="00CC19F7">
        <w:t>ein</w:t>
      </w:r>
      <w:proofErr w:type="spellEnd"/>
      <w:r w:rsidRPr="00CC19F7">
        <w:t xml:space="preserve"> </w:t>
      </w:r>
      <w:proofErr w:type="spellStart"/>
      <w:r w:rsidRPr="00CC19F7">
        <w:t>marknad</w:t>
      </w:r>
      <w:proofErr w:type="spellEnd"/>
      <w:r w:rsidRPr="00CC19F7">
        <w:t xml:space="preserve"> og </w:t>
      </w:r>
      <w:proofErr w:type="gramStart"/>
      <w:r w:rsidRPr="00CC19F7">
        <w:t>ei verdikjede</w:t>
      </w:r>
      <w:proofErr w:type="gramEnd"/>
      <w:r w:rsidRPr="00CC19F7">
        <w:t xml:space="preserve"> for hydrogen bidrar staten i dag gjennom ei rekke </w:t>
      </w:r>
      <w:proofErr w:type="spellStart"/>
      <w:r w:rsidRPr="00CC19F7">
        <w:t>verkemiddel</w:t>
      </w:r>
      <w:proofErr w:type="spellEnd"/>
      <w:r w:rsidRPr="00CC19F7">
        <w:t xml:space="preserve">, mellom anna støtte til forsking, utvikling og demonstrasjon og til etablering av knutepunkt og infrastruktur. Det blir også stilt krav til </w:t>
      </w:r>
      <w:proofErr w:type="spellStart"/>
      <w:r w:rsidRPr="00CC19F7">
        <w:t>offentlege</w:t>
      </w:r>
      <w:proofErr w:type="spellEnd"/>
      <w:r w:rsidRPr="00CC19F7">
        <w:t xml:space="preserve"> innkjøp. Det er mange prosjekt over heile landet som planlegg å produsere, distribuere og bruke hydrogen som er produsert med låge eller ingen utslepp. Dei fleste av </w:t>
      </w:r>
      <w:proofErr w:type="spellStart"/>
      <w:r w:rsidRPr="00CC19F7">
        <w:t>dei</w:t>
      </w:r>
      <w:proofErr w:type="spellEnd"/>
      <w:r w:rsidRPr="00CC19F7">
        <w:t xml:space="preserve"> er i startfasen og har mottatt støtte </w:t>
      </w:r>
      <w:proofErr w:type="spellStart"/>
      <w:r w:rsidRPr="00CC19F7">
        <w:t>frå</w:t>
      </w:r>
      <w:proofErr w:type="spellEnd"/>
      <w:r w:rsidRPr="00CC19F7">
        <w:t xml:space="preserve"> staten gjennom ulike </w:t>
      </w:r>
      <w:proofErr w:type="spellStart"/>
      <w:r w:rsidRPr="00CC19F7">
        <w:t>ordningar</w:t>
      </w:r>
      <w:proofErr w:type="spellEnd"/>
      <w:r w:rsidRPr="00CC19F7">
        <w:t xml:space="preserve">. I perioden 2020–2022 blei det løyvd om lag 4,7 mrd. kroner til hydrogenformål gjennom </w:t>
      </w:r>
      <w:proofErr w:type="spellStart"/>
      <w:r w:rsidRPr="00CC19F7">
        <w:t>Enova</w:t>
      </w:r>
      <w:proofErr w:type="spellEnd"/>
      <w:r w:rsidRPr="00CC19F7">
        <w:t xml:space="preserve">, Forskingsrådet og Innovasjon </w:t>
      </w:r>
      <w:proofErr w:type="spellStart"/>
      <w:r w:rsidRPr="00CC19F7">
        <w:t>Noreg</w:t>
      </w:r>
      <w:proofErr w:type="spellEnd"/>
      <w:r w:rsidRPr="00CC19F7">
        <w:t xml:space="preserve">. </w:t>
      </w:r>
      <w:proofErr w:type="spellStart"/>
      <w:r w:rsidRPr="00CC19F7">
        <w:t>Sidan</w:t>
      </w:r>
      <w:proofErr w:type="spellEnd"/>
      <w:r w:rsidRPr="00CC19F7">
        <w:t xml:space="preserve"> 2015 har det blitt løyvd om lag 5,6 mrd. kroner, som vil kunne utløyse </w:t>
      </w:r>
      <w:proofErr w:type="spellStart"/>
      <w:r w:rsidRPr="00CC19F7">
        <w:t>investeringar</w:t>
      </w:r>
      <w:proofErr w:type="spellEnd"/>
      <w:r w:rsidRPr="00CC19F7">
        <w:t xml:space="preserve"> for 7,4 mrd. kroner dersom prosjekta blir realiserte. Hydrogenproduksjon er også blant </w:t>
      </w:r>
      <w:proofErr w:type="spellStart"/>
      <w:r w:rsidRPr="00CC19F7">
        <w:t>næringane</w:t>
      </w:r>
      <w:proofErr w:type="spellEnd"/>
      <w:r w:rsidRPr="00CC19F7">
        <w:t xml:space="preserve"> som i dag kan motta CO</w:t>
      </w:r>
      <w:r w:rsidRPr="00CC19F7">
        <w:rPr>
          <w:rStyle w:val="skrift-senket"/>
        </w:rPr>
        <w:t>2</w:t>
      </w:r>
      <w:r w:rsidRPr="00CC19F7">
        <w:t xml:space="preserve">-kompensasjon. Trass i </w:t>
      </w:r>
      <w:proofErr w:type="spellStart"/>
      <w:r w:rsidRPr="00CC19F7">
        <w:t>betydeleg</w:t>
      </w:r>
      <w:proofErr w:type="spellEnd"/>
      <w:r w:rsidRPr="00CC19F7">
        <w:t xml:space="preserve"> </w:t>
      </w:r>
      <w:proofErr w:type="spellStart"/>
      <w:r w:rsidRPr="00CC19F7">
        <w:t>offentleg</w:t>
      </w:r>
      <w:proofErr w:type="spellEnd"/>
      <w:r w:rsidRPr="00CC19F7">
        <w:t xml:space="preserve"> støtte har det for mange av </w:t>
      </w:r>
      <w:proofErr w:type="spellStart"/>
      <w:r w:rsidRPr="00CC19F7">
        <w:t>desse</w:t>
      </w:r>
      <w:proofErr w:type="spellEnd"/>
      <w:r w:rsidRPr="00CC19F7">
        <w:t xml:space="preserve"> prosjekta </w:t>
      </w:r>
      <w:proofErr w:type="spellStart"/>
      <w:r w:rsidRPr="00CC19F7">
        <w:t>vore</w:t>
      </w:r>
      <w:proofErr w:type="spellEnd"/>
      <w:r w:rsidRPr="00CC19F7">
        <w:t xml:space="preserve"> </w:t>
      </w:r>
      <w:proofErr w:type="spellStart"/>
      <w:r w:rsidRPr="00CC19F7">
        <w:t>krevjande</w:t>
      </w:r>
      <w:proofErr w:type="spellEnd"/>
      <w:r w:rsidRPr="00CC19F7">
        <w:t xml:space="preserve"> å fatte investeringsbeslutning slik at </w:t>
      </w:r>
      <w:proofErr w:type="spellStart"/>
      <w:r w:rsidRPr="00CC19F7">
        <w:t>dei</w:t>
      </w:r>
      <w:proofErr w:type="spellEnd"/>
      <w:r w:rsidRPr="00CC19F7">
        <w:t xml:space="preserve"> kan </w:t>
      </w:r>
      <w:proofErr w:type="spellStart"/>
      <w:r w:rsidRPr="00CC19F7">
        <w:t>realiserast</w:t>
      </w:r>
      <w:proofErr w:type="spellEnd"/>
      <w:r w:rsidRPr="00CC19F7">
        <w:t xml:space="preserve">. Årsaka er mellom anna høge kostnader og stor uvisse om den framtidige </w:t>
      </w:r>
      <w:proofErr w:type="spellStart"/>
      <w:r w:rsidRPr="00CC19F7">
        <w:t>marknaden</w:t>
      </w:r>
      <w:proofErr w:type="spellEnd"/>
      <w:r w:rsidRPr="00CC19F7">
        <w:t xml:space="preserve"> for hydrogen.</w:t>
      </w:r>
    </w:p>
    <w:p w14:paraId="75535DA5" w14:textId="77777777" w:rsidR="00FE02EF" w:rsidRPr="00CC19F7" w:rsidRDefault="00881E58" w:rsidP="00CC19F7">
      <w:r w:rsidRPr="00CC19F7">
        <w:t xml:space="preserve">Internasjonalt har USA innført sterke </w:t>
      </w:r>
      <w:proofErr w:type="spellStart"/>
      <w:r w:rsidRPr="00CC19F7">
        <w:t>verkemiddel</w:t>
      </w:r>
      <w:proofErr w:type="spellEnd"/>
      <w:r w:rsidRPr="00CC19F7">
        <w:t xml:space="preserve"> for å fremme hydrogenproduksjon gjennom sin </w:t>
      </w:r>
      <w:proofErr w:type="spellStart"/>
      <w:r w:rsidRPr="00CC19F7">
        <w:t>Inflation</w:t>
      </w:r>
      <w:proofErr w:type="spellEnd"/>
      <w:r w:rsidRPr="00CC19F7">
        <w:t xml:space="preserve"> </w:t>
      </w:r>
      <w:proofErr w:type="spellStart"/>
      <w:r w:rsidRPr="00CC19F7">
        <w:t>Reduction</w:t>
      </w:r>
      <w:proofErr w:type="spellEnd"/>
      <w:r w:rsidRPr="00CC19F7">
        <w:t xml:space="preserve"> </w:t>
      </w:r>
      <w:proofErr w:type="spellStart"/>
      <w:r w:rsidRPr="00CC19F7">
        <w:t>Act</w:t>
      </w:r>
      <w:proofErr w:type="spellEnd"/>
      <w:r w:rsidRPr="00CC19F7">
        <w:t xml:space="preserve">. Gjennom </w:t>
      </w:r>
      <w:proofErr w:type="spellStart"/>
      <w:r w:rsidRPr="00CC19F7">
        <w:t>REPowerEU</w:t>
      </w:r>
      <w:proofErr w:type="spellEnd"/>
      <w:r w:rsidRPr="00CC19F7">
        <w:t xml:space="preserve">, EUs plan for å </w:t>
      </w:r>
      <w:proofErr w:type="spellStart"/>
      <w:r w:rsidRPr="00CC19F7">
        <w:t>gjere</w:t>
      </w:r>
      <w:proofErr w:type="spellEnd"/>
      <w:r w:rsidRPr="00CC19F7">
        <w:t xml:space="preserve"> Europa uavhengig av russisk gass, er det sett mål om produksjon av 10 mill. tonn fornybart hydrogen i EU </w:t>
      </w:r>
      <w:proofErr w:type="spellStart"/>
      <w:r w:rsidRPr="00CC19F7">
        <w:t>innan</w:t>
      </w:r>
      <w:proofErr w:type="spellEnd"/>
      <w:r w:rsidRPr="00CC19F7">
        <w:t xml:space="preserve"> 2030. Like </w:t>
      </w:r>
      <w:proofErr w:type="spellStart"/>
      <w:r w:rsidRPr="00CC19F7">
        <w:t>mykje</w:t>
      </w:r>
      <w:proofErr w:type="spellEnd"/>
      <w:r w:rsidRPr="00CC19F7">
        <w:t xml:space="preserve"> skal </w:t>
      </w:r>
      <w:proofErr w:type="spellStart"/>
      <w:r w:rsidRPr="00CC19F7">
        <w:t>importerast</w:t>
      </w:r>
      <w:proofErr w:type="spellEnd"/>
      <w:r w:rsidRPr="00CC19F7">
        <w:t xml:space="preserve"> </w:t>
      </w:r>
      <w:proofErr w:type="spellStart"/>
      <w:r w:rsidRPr="00CC19F7">
        <w:t>frå</w:t>
      </w:r>
      <w:proofErr w:type="spellEnd"/>
      <w:r w:rsidRPr="00CC19F7">
        <w:t xml:space="preserve"> utlandet. For å følge opp dette har EU etablert Hydrogenbanken, som skal </w:t>
      </w:r>
      <w:proofErr w:type="spellStart"/>
      <w:r w:rsidRPr="00CC19F7">
        <w:t>medverke</w:t>
      </w:r>
      <w:proofErr w:type="spellEnd"/>
      <w:r w:rsidRPr="00CC19F7">
        <w:t xml:space="preserve"> til å sette fart på overgangen til hydrogen, ammoniakk og andre derivat i Europa. </w:t>
      </w:r>
      <w:proofErr w:type="spellStart"/>
      <w:r w:rsidRPr="00CC19F7">
        <w:t>Noreg</w:t>
      </w:r>
      <w:proofErr w:type="spellEnd"/>
      <w:r w:rsidRPr="00CC19F7">
        <w:t xml:space="preserve"> har gode, naturgitte vilkår for produksjon av hydrogen, både med utgangspunkt i fornybar energi og basert på reformering av naturgass med CO</w:t>
      </w:r>
      <w:r w:rsidRPr="00CC19F7">
        <w:rPr>
          <w:rStyle w:val="skrift-senket"/>
        </w:rPr>
        <w:t>2</w:t>
      </w:r>
      <w:r w:rsidRPr="00CC19F7">
        <w:t xml:space="preserve">-handtering. Vi har i tillegg stor kompetanse i industri og akademia knytt til hydrogenproduksjon og i </w:t>
      </w:r>
      <w:proofErr w:type="spellStart"/>
      <w:r w:rsidRPr="00CC19F7">
        <w:t>næringar</w:t>
      </w:r>
      <w:proofErr w:type="spellEnd"/>
      <w:r w:rsidRPr="00CC19F7">
        <w:t xml:space="preserve"> der hydrogen har stort potensial for bruk. Samtidig har Europa </w:t>
      </w:r>
      <w:proofErr w:type="spellStart"/>
      <w:r w:rsidRPr="00CC19F7">
        <w:t>eit</w:t>
      </w:r>
      <w:proofErr w:type="spellEnd"/>
      <w:r w:rsidRPr="00CC19F7">
        <w:t xml:space="preserve"> stort importbehov for både norsk naturgass og fornybar kraft. </w:t>
      </w:r>
      <w:proofErr w:type="spellStart"/>
      <w:r w:rsidRPr="00CC19F7">
        <w:t>Sjølv</w:t>
      </w:r>
      <w:proofErr w:type="spellEnd"/>
      <w:r w:rsidRPr="00CC19F7">
        <w:t xml:space="preserve"> om </w:t>
      </w:r>
      <w:proofErr w:type="spellStart"/>
      <w:r w:rsidRPr="00CC19F7">
        <w:t>Noreg</w:t>
      </w:r>
      <w:proofErr w:type="spellEnd"/>
      <w:r w:rsidRPr="00CC19F7">
        <w:t xml:space="preserve"> har gode </w:t>
      </w:r>
      <w:proofErr w:type="spellStart"/>
      <w:r w:rsidRPr="00CC19F7">
        <w:t>føresetnader</w:t>
      </w:r>
      <w:proofErr w:type="spellEnd"/>
      <w:r w:rsidRPr="00CC19F7">
        <w:t xml:space="preserve"> for å ta </w:t>
      </w:r>
      <w:proofErr w:type="spellStart"/>
      <w:r w:rsidRPr="00CC19F7">
        <w:t>posisjonar</w:t>
      </w:r>
      <w:proofErr w:type="spellEnd"/>
      <w:r w:rsidRPr="00CC19F7">
        <w:t xml:space="preserve"> i </w:t>
      </w:r>
      <w:proofErr w:type="spellStart"/>
      <w:r w:rsidRPr="00CC19F7">
        <w:t>ein</w:t>
      </w:r>
      <w:proofErr w:type="spellEnd"/>
      <w:r w:rsidRPr="00CC19F7">
        <w:t xml:space="preserve"> </w:t>
      </w:r>
      <w:proofErr w:type="spellStart"/>
      <w:r w:rsidRPr="00CC19F7">
        <w:t>hydrogenmarknad</w:t>
      </w:r>
      <w:proofErr w:type="spellEnd"/>
      <w:r w:rsidRPr="00CC19F7">
        <w:t xml:space="preserve">, </w:t>
      </w:r>
      <w:proofErr w:type="spellStart"/>
      <w:r w:rsidRPr="00CC19F7">
        <w:t>inneber</w:t>
      </w:r>
      <w:proofErr w:type="spellEnd"/>
      <w:r w:rsidRPr="00CC19F7">
        <w:t xml:space="preserve"> den norske satsinga på hydrogen også viktige </w:t>
      </w:r>
      <w:proofErr w:type="spellStart"/>
      <w:r w:rsidRPr="00CC19F7">
        <w:t>avvegingar</w:t>
      </w:r>
      <w:proofErr w:type="spellEnd"/>
      <w:r w:rsidRPr="00CC19F7">
        <w:t xml:space="preserve">. Produksjon av hydrogen krev mellom anna store mengder fornybar kraft eller naturgass, og kompetent arbeidskraft og areal. Utvikling av hydrogenverdikjeder kan derfor legge beslag på knappe </w:t>
      </w:r>
      <w:proofErr w:type="spellStart"/>
      <w:r w:rsidRPr="00CC19F7">
        <w:t>ressursar</w:t>
      </w:r>
      <w:proofErr w:type="spellEnd"/>
      <w:r w:rsidRPr="00CC19F7">
        <w:t xml:space="preserve"> som også kan brukast av andre.</w:t>
      </w:r>
    </w:p>
    <w:p w14:paraId="1A3C7E5A" w14:textId="77777777" w:rsidR="00FE02EF" w:rsidRPr="00CC19F7" w:rsidRDefault="00881E58" w:rsidP="00CC19F7">
      <w:proofErr w:type="spellStart"/>
      <w:r w:rsidRPr="00CC19F7">
        <w:t>Noreg</w:t>
      </w:r>
      <w:proofErr w:type="spellEnd"/>
      <w:r w:rsidRPr="00CC19F7">
        <w:t xml:space="preserve"> er </w:t>
      </w:r>
      <w:proofErr w:type="spellStart"/>
      <w:r w:rsidRPr="00CC19F7">
        <w:t>leiande</w:t>
      </w:r>
      <w:proofErr w:type="spellEnd"/>
      <w:r w:rsidRPr="00CC19F7">
        <w:t xml:space="preserve"> </w:t>
      </w:r>
      <w:proofErr w:type="spellStart"/>
      <w:r w:rsidRPr="00CC19F7">
        <w:t>innanfor</w:t>
      </w:r>
      <w:proofErr w:type="spellEnd"/>
      <w:r w:rsidRPr="00CC19F7">
        <w:t xml:space="preserve"> industrielle </w:t>
      </w:r>
      <w:proofErr w:type="spellStart"/>
      <w:r w:rsidRPr="00CC19F7">
        <w:t>løysingar</w:t>
      </w:r>
      <w:proofErr w:type="spellEnd"/>
      <w:r w:rsidRPr="00CC19F7">
        <w:t xml:space="preserve"> for fangst og lagring av CO</w:t>
      </w:r>
      <w:r w:rsidRPr="00CC19F7">
        <w:rPr>
          <w:rStyle w:val="skrift-senket"/>
        </w:rPr>
        <w:t>2</w:t>
      </w:r>
      <w:r w:rsidRPr="00CC19F7">
        <w:t xml:space="preserve">, og skal også utvikle og føre </w:t>
      </w:r>
      <w:proofErr w:type="spellStart"/>
      <w:r w:rsidRPr="00CC19F7">
        <w:t>vidare</w:t>
      </w:r>
      <w:proofErr w:type="spellEnd"/>
      <w:r w:rsidRPr="00CC19F7">
        <w:t xml:space="preserve"> dette arbeidet, som skaper </w:t>
      </w:r>
      <w:proofErr w:type="spellStart"/>
      <w:r w:rsidRPr="00CC19F7">
        <w:t>moglegheiter</w:t>
      </w:r>
      <w:proofErr w:type="spellEnd"/>
      <w:r w:rsidRPr="00CC19F7">
        <w:t xml:space="preserve"> for leverandørindustrien, og som </w:t>
      </w:r>
      <w:proofErr w:type="spellStart"/>
      <w:r w:rsidRPr="00CC19F7">
        <w:t>kuttar</w:t>
      </w:r>
      <w:proofErr w:type="spellEnd"/>
      <w:r w:rsidRPr="00CC19F7">
        <w:t xml:space="preserve"> </w:t>
      </w:r>
      <w:proofErr w:type="spellStart"/>
      <w:r w:rsidRPr="00CC19F7">
        <w:t>dei</w:t>
      </w:r>
      <w:proofErr w:type="spellEnd"/>
      <w:r w:rsidRPr="00CC19F7">
        <w:t xml:space="preserve"> globale klimagassutsleppa på </w:t>
      </w:r>
      <w:proofErr w:type="spellStart"/>
      <w:r w:rsidRPr="00CC19F7">
        <w:t>ein</w:t>
      </w:r>
      <w:proofErr w:type="spellEnd"/>
      <w:r w:rsidRPr="00CC19F7">
        <w:t xml:space="preserve"> kostnadseffektiv måte. Stadig </w:t>
      </w:r>
      <w:proofErr w:type="spellStart"/>
      <w:r w:rsidRPr="00CC19F7">
        <w:t>fleire</w:t>
      </w:r>
      <w:proofErr w:type="spellEnd"/>
      <w:r w:rsidRPr="00CC19F7">
        <w:t xml:space="preserve"> land </w:t>
      </w:r>
      <w:proofErr w:type="spellStart"/>
      <w:r w:rsidRPr="00CC19F7">
        <w:t>satsar</w:t>
      </w:r>
      <w:proofErr w:type="spellEnd"/>
      <w:r w:rsidRPr="00CC19F7">
        <w:t xml:space="preserve"> på CO</w:t>
      </w:r>
      <w:r w:rsidRPr="00CC19F7">
        <w:rPr>
          <w:rStyle w:val="skrift-senket"/>
        </w:rPr>
        <w:t>2</w:t>
      </w:r>
      <w:r w:rsidRPr="00CC19F7">
        <w:t xml:space="preserve">-handtering, inkludert gjennom støtteregime for fangstprosjekt. Dette gir teknologiutvikling, </w:t>
      </w:r>
      <w:proofErr w:type="spellStart"/>
      <w:r w:rsidRPr="00CC19F7">
        <w:t>stordriftsfordelar</w:t>
      </w:r>
      <w:proofErr w:type="spellEnd"/>
      <w:r w:rsidRPr="00CC19F7">
        <w:t xml:space="preserve"> og reduserte kostnader. Samtidig er </w:t>
      </w:r>
      <w:proofErr w:type="spellStart"/>
      <w:r w:rsidRPr="00CC19F7">
        <w:t>fleire</w:t>
      </w:r>
      <w:proofErr w:type="spellEnd"/>
      <w:r w:rsidRPr="00CC19F7">
        <w:t xml:space="preserve"> </w:t>
      </w:r>
      <w:proofErr w:type="spellStart"/>
      <w:r w:rsidRPr="00CC19F7">
        <w:t>marknadssviktar</w:t>
      </w:r>
      <w:proofErr w:type="spellEnd"/>
      <w:r w:rsidRPr="00CC19F7">
        <w:t xml:space="preserve"> og </w:t>
      </w:r>
      <w:proofErr w:type="spellStart"/>
      <w:r w:rsidRPr="00CC19F7">
        <w:t>investeringsbarrierar</w:t>
      </w:r>
      <w:proofErr w:type="spellEnd"/>
      <w:r w:rsidRPr="00CC19F7">
        <w:t xml:space="preserve"> framleis </w:t>
      </w:r>
      <w:proofErr w:type="spellStart"/>
      <w:r w:rsidRPr="00CC19F7">
        <w:t>gjeldande</w:t>
      </w:r>
      <w:proofErr w:type="spellEnd"/>
      <w:r w:rsidRPr="00CC19F7">
        <w:t xml:space="preserve">. Europakommisjonen prioriterer temaet høgt og arbeider med </w:t>
      </w:r>
      <w:proofErr w:type="spellStart"/>
      <w:r w:rsidRPr="00CC19F7">
        <w:t>ein</w:t>
      </w:r>
      <w:proofErr w:type="spellEnd"/>
      <w:r w:rsidRPr="00CC19F7">
        <w:t xml:space="preserve"> strategi for industriell CO</w:t>
      </w:r>
      <w:r w:rsidRPr="00CC19F7">
        <w:rPr>
          <w:rStyle w:val="skrift-senket"/>
        </w:rPr>
        <w:t>2</w:t>
      </w:r>
      <w:r w:rsidRPr="00CC19F7">
        <w:t>-handtering. Norske CO</w:t>
      </w:r>
      <w:r w:rsidRPr="00CC19F7">
        <w:rPr>
          <w:rStyle w:val="skrift-senket"/>
        </w:rPr>
        <w:t>2</w:t>
      </w:r>
      <w:r w:rsidRPr="00CC19F7">
        <w:t xml:space="preserve">-lager kan ta imot store europeiske utslepp. Det er stor interesse </w:t>
      </w:r>
      <w:proofErr w:type="spellStart"/>
      <w:r w:rsidRPr="00CC19F7">
        <w:t>frå</w:t>
      </w:r>
      <w:proofErr w:type="spellEnd"/>
      <w:r w:rsidRPr="00CC19F7">
        <w:t xml:space="preserve"> industrielle </w:t>
      </w:r>
      <w:proofErr w:type="spellStart"/>
      <w:r w:rsidRPr="00CC19F7">
        <w:t>aktørar</w:t>
      </w:r>
      <w:proofErr w:type="spellEnd"/>
      <w:r w:rsidRPr="00CC19F7">
        <w:t xml:space="preserve"> for å utvikle kommersielle CO</w:t>
      </w:r>
      <w:r w:rsidRPr="00CC19F7">
        <w:rPr>
          <w:rStyle w:val="skrift-senket"/>
        </w:rPr>
        <w:t>2</w:t>
      </w:r>
      <w:r w:rsidRPr="00CC19F7">
        <w:t xml:space="preserve">-lagerprosjekt på norsk sokkel, og departementet deler ut </w:t>
      </w:r>
      <w:proofErr w:type="spellStart"/>
      <w:r w:rsidRPr="00CC19F7">
        <w:t>leitelisensar</w:t>
      </w:r>
      <w:proofErr w:type="spellEnd"/>
      <w:r w:rsidRPr="00CC19F7">
        <w:t xml:space="preserve"> </w:t>
      </w:r>
      <w:proofErr w:type="spellStart"/>
      <w:r w:rsidRPr="00CC19F7">
        <w:t>fortløpande</w:t>
      </w:r>
      <w:proofErr w:type="spellEnd"/>
      <w:r w:rsidRPr="00CC19F7">
        <w:t>. CO</w:t>
      </w:r>
      <w:r w:rsidRPr="00CC19F7">
        <w:rPr>
          <w:rStyle w:val="skrift-senket"/>
        </w:rPr>
        <w:t>2</w:t>
      </w:r>
      <w:r w:rsidRPr="00CC19F7">
        <w:t xml:space="preserve">-handtering kan også stå sentralt når det </w:t>
      </w:r>
      <w:proofErr w:type="spellStart"/>
      <w:r w:rsidRPr="00CC19F7">
        <w:t>gjeld</w:t>
      </w:r>
      <w:proofErr w:type="spellEnd"/>
      <w:r w:rsidRPr="00CC19F7">
        <w:t xml:space="preserve"> å kutte norske utslepp, og departementet greier ut behov for endring av </w:t>
      </w:r>
      <w:proofErr w:type="spellStart"/>
      <w:r w:rsidRPr="00CC19F7">
        <w:t>verkemiddelapparatet</w:t>
      </w:r>
      <w:proofErr w:type="spellEnd"/>
      <w:r w:rsidRPr="00CC19F7">
        <w:t xml:space="preserve"> for å legge til rette for CO</w:t>
      </w:r>
      <w:r w:rsidRPr="00CC19F7">
        <w:rPr>
          <w:rStyle w:val="skrift-senket"/>
        </w:rPr>
        <w:t>2</w:t>
      </w:r>
      <w:r w:rsidRPr="00CC19F7">
        <w:t xml:space="preserve">-handtering </w:t>
      </w:r>
      <w:proofErr w:type="spellStart"/>
      <w:r w:rsidRPr="00CC19F7">
        <w:t>innan</w:t>
      </w:r>
      <w:proofErr w:type="spellEnd"/>
      <w:r w:rsidRPr="00CC19F7">
        <w:t xml:space="preserve"> avfallsforbrenning og i industrien. Langskip er under bygging og vil </w:t>
      </w:r>
      <w:proofErr w:type="spellStart"/>
      <w:r w:rsidRPr="00CC19F7">
        <w:t>vere</w:t>
      </w:r>
      <w:proofErr w:type="spellEnd"/>
      <w:r w:rsidRPr="00CC19F7">
        <w:t xml:space="preserve"> i drift i 2025. CO</w:t>
      </w:r>
      <w:r w:rsidRPr="00CC19F7">
        <w:rPr>
          <w:rStyle w:val="skrift-senket"/>
        </w:rPr>
        <w:t>2</w:t>
      </w:r>
      <w:r w:rsidRPr="00CC19F7">
        <w:t xml:space="preserve">-fangstanlegget på sementfabrikken til Heidelberg Materials i Brevik er </w:t>
      </w:r>
      <w:proofErr w:type="spellStart"/>
      <w:r w:rsidRPr="00CC19F7">
        <w:t>meir</w:t>
      </w:r>
      <w:proofErr w:type="spellEnd"/>
      <w:r w:rsidRPr="00CC19F7">
        <w:t xml:space="preserve"> enn 60 prosent ferdig bygd, og transport- og lagerløysinga til Northern </w:t>
      </w:r>
      <w:proofErr w:type="spellStart"/>
      <w:r w:rsidRPr="00CC19F7">
        <w:t>Lights</w:t>
      </w:r>
      <w:proofErr w:type="spellEnd"/>
      <w:r w:rsidRPr="00CC19F7">
        <w:t xml:space="preserve"> er </w:t>
      </w:r>
      <w:proofErr w:type="spellStart"/>
      <w:r w:rsidRPr="00CC19F7">
        <w:t>meir</w:t>
      </w:r>
      <w:proofErr w:type="spellEnd"/>
      <w:r w:rsidRPr="00CC19F7">
        <w:t xml:space="preserve"> enn 80 prosent ferdig bygd. Northern </w:t>
      </w:r>
      <w:proofErr w:type="spellStart"/>
      <w:r w:rsidRPr="00CC19F7">
        <w:t>Lights</w:t>
      </w:r>
      <w:proofErr w:type="spellEnd"/>
      <w:r w:rsidRPr="00CC19F7">
        <w:t xml:space="preserve"> har inngått den første </w:t>
      </w:r>
      <w:proofErr w:type="spellStart"/>
      <w:r w:rsidRPr="00CC19F7">
        <w:t>bindande</w:t>
      </w:r>
      <w:proofErr w:type="spellEnd"/>
      <w:r w:rsidRPr="00CC19F7">
        <w:t xml:space="preserve"> kommersielle avtalen med Ørsted, som vil fange CO</w:t>
      </w:r>
      <w:r w:rsidRPr="00CC19F7">
        <w:rPr>
          <w:rStyle w:val="skrift-senket"/>
        </w:rPr>
        <w:t>2</w:t>
      </w:r>
      <w:r w:rsidRPr="00CC19F7">
        <w:t xml:space="preserve"> </w:t>
      </w:r>
      <w:proofErr w:type="spellStart"/>
      <w:r w:rsidRPr="00CC19F7">
        <w:t>frå</w:t>
      </w:r>
      <w:proofErr w:type="spellEnd"/>
      <w:r w:rsidRPr="00CC19F7">
        <w:t xml:space="preserve"> biokraftvarmeverk i Danmark for permanent lagring i </w:t>
      </w:r>
      <w:proofErr w:type="spellStart"/>
      <w:r w:rsidRPr="00CC19F7">
        <w:t>Noreg</w:t>
      </w:r>
      <w:proofErr w:type="spellEnd"/>
      <w:r w:rsidRPr="00CC19F7">
        <w:t xml:space="preserve"> </w:t>
      </w:r>
      <w:proofErr w:type="spellStart"/>
      <w:r w:rsidRPr="00CC19F7">
        <w:t>frå</w:t>
      </w:r>
      <w:proofErr w:type="spellEnd"/>
      <w:r w:rsidRPr="00CC19F7">
        <w:t xml:space="preserve"> 2026. Departementet greier ut behov for endring av </w:t>
      </w:r>
      <w:proofErr w:type="spellStart"/>
      <w:r w:rsidRPr="00CC19F7">
        <w:t>verkemiddelapparatet</w:t>
      </w:r>
      <w:proofErr w:type="spellEnd"/>
      <w:r w:rsidRPr="00CC19F7">
        <w:t xml:space="preserve"> for å legge til rette for CO</w:t>
      </w:r>
      <w:r w:rsidRPr="00CC19F7">
        <w:rPr>
          <w:rStyle w:val="skrift-senket"/>
        </w:rPr>
        <w:t>2</w:t>
      </w:r>
      <w:r w:rsidRPr="00CC19F7">
        <w:t>-handtering av avfallsforbrenning og i industrien.</w:t>
      </w:r>
    </w:p>
    <w:p w14:paraId="1DC7FC78" w14:textId="77777777" w:rsidR="00FE02EF" w:rsidRPr="00CC19F7" w:rsidRDefault="00881E58" w:rsidP="00CC19F7">
      <w:r w:rsidRPr="00CC19F7">
        <w:t xml:space="preserve">Leverandørindustrien i den norske fornybarnæringa har over tid hatt vekst i omsetninga, og </w:t>
      </w:r>
      <w:proofErr w:type="spellStart"/>
      <w:r w:rsidRPr="00CC19F7">
        <w:t>dei</w:t>
      </w:r>
      <w:proofErr w:type="spellEnd"/>
      <w:r w:rsidRPr="00CC19F7">
        <w:t xml:space="preserve"> internasjonale </w:t>
      </w:r>
      <w:proofErr w:type="spellStart"/>
      <w:r w:rsidRPr="00CC19F7">
        <w:t>marknadene</w:t>
      </w:r>
      <w:proofErr w:type="spellEnd"/>
      <w:r w:rsidRPr="00CC19F7">
        <w:t xml:space="preserve"> har stått for </w:t>
      </w:r>
      <w:proofErr w:type="spellStart"/>
      <w:r w:rsidRPr="00CC19F7">
        <w:t>ein</w:t>
      </w:r>
      <w:proofErr w:type="spellEnd"/>
      <w:r w:rsidRPr="00CC19F7">
        <w:t xml:space="preserve"> stor del. Ifølge rapporten </w:t>
      </w:r>
      <w:r w:rsidRPr="00CC19F7">
        <w:rPr>
          <w:rStyle w:val="kursiv"/>
        </w:rPr>
        <w:t>Kartlegging av de norskbaserte næringene for fornybar energi, hydrogen og CO</w:t>
      </w:r>
      <w:r w:rsidRPr="00CC19F7">
        <w:rPr>
          <w:rStyle w:val="skrift-senket"/>
        </w:rPr>
        <w:t>2</w:t>
      </w:r>
      <w:r w:rsidRPr="00CC19F7">
        <w:rPr>
          <w:rStyle w:val="kursiv"/>
        </w:rPr>
        <w:t>-håndtering i 2021</w:t>
      </w:r>
      <w:r w:rsidRPr="00CC19F7">
        <w:t xml:space="preserve">, utarbeidd av Multiconsult, </w:t>
      </w:r>
      <w:proofErr w:type="spellStart"/>
      <w:r w:rsidRPr="00CC19F7">
        <w:t>gjeld</w:t>
      </w:r>
      <w:proofErr w:type="spellEnd"/>
      <w:r w:rsidRPr="00CC19F7">
        <w:t xml:space="preserve"> dette for både havvind og solkraft, </w:t>
      </w:r>
      <w:proofErr w:type="spellStart"/>
      <w:r w:rsidRPr="00CC19F7">
        <w:t>medan</w:t>
      </w:r>
      <w:proofErr w:type="spellEnd"/>
      <w:r w:rsidRPr="00CC19F7">
        <w:t xml:space="preserve"> landbasert vindkraft i 2021 hadde redusert omsetning.</w:t>
      </w:r>
    </w:p>
    <w:p w14:paraId="1C2D3CCC" w14:textId="77777777" w:rsidR="00FE02EF" w:rsidRPr="00CC19F7" w:rsidRDefault="00881E58" w:rsidP="00CC19F7">
      <w:r w:rsidRPr="00CC19F7">
        <w:t xml:space="preserve">Det er i mange år satsa store </w:t>
      </w:r>
      <w:proofErr w:type="spellStart"/>
      <w:r w:rsidRPr="00CC19F7">
        <w:t>offentlege</w:t>
      </w:r>
      <w:proofErr w:type="spellEnd"/>
      <w:r w:rsidRPr="00CC19F7">
        <w:t xml:space="preserve"> </w:t>
      </w:r>
      <w:proofErr w:type="spellStart"/>
      <w:r w:rsidRPr="00CC19F7">
        <w:t>ressursar</w:t>
      </w:r>
      <w:proofErr w:type="spellEnd"/>
      <w:r w:rsidRPr="00CC19F7">
        <w:t xml:space="preserve"> på å utvikle ny kunnskap, ny teknologi og nye </w:t>
      </w:r>
      <w:proofErr w:type="spellStart"/>
      <w:r w:rsidRPr="00CC19F7">
        <w:t>løysingar</w:t>
      </w:r>
      <w:proofErr w:type="spellEnd"/>
      <w:r w:rsidRPr="00CC19F7">
        <w:t xml:space="preserve"> for å </w:t>
      </w:r>
      <w:proofErr w:type="spellStart"/>
      <w:r w:rsidRPr="00CC19F7">
        <w:t>auke</w:t>
      </w:r>
      <w:proofErr w:type="spellEnd"/>
      <w:r w:rsidRPr="00CC19F7">
        <w:t xml:space="preserve"> verdiskapinga og redusere klimagassutsleppa </w:t>
      </w:r>
      <w:proofErr w:type="spellStart"/>
      <w:r w:rsidRPr="00CC19F7">
        <w:t>frå</w:t>
      </w:r>
      <w:proofErr w:type="spellEnd"/>
      <w:r w:rsidRPr="00CC19F7">
        <w:t xml:space="preserve"> energi- og </w:t>
      </w:r>
      <w:proofErr w:type="spellStart"/>
      <w:r w:rsidRPr="00CC19F7">
        <w:t>petroleumsverksemda</w:t>
      </w:r>
      <w:proofErr w:type="spellEnd"/>
      <w:r w:rsidRPr="00CC19F7">
        <w:t xml:space="preserve">. Denne langsiktige satsinga har blitt viktig for utviklinga av energi- og petroleumsnæringa i </w:t>
      </w:r>
      <w:proofErr w:type="spellStart"/>
      <w:r w:rsidRPr="00CC19F7">
        <w:t>Noreg</w:t>
      </w:r>
      <w:proofErr w:type="spellEnd"/>
      <w:r w:rsidRPr="00CC19F7">
        <w:t xml:space="preserve"> og mellom anna ført til at </w:t>
      </w:r>
      <w:proofErr w:type="spellStart"/>
      <w:r w:rsidRPr="00CC19F7">
        <w:t>Noreg</w:t>
      </w:r>
      <w:proofErr w:type="spellEnd"/>
      <w:r w:rsidRPr="00CC19F7">
        <w:t xml:space="preserve"> er </w:t>
      </w:r>
      <w:proofErr w:type="spellStart"/>
      <w:r w:rsidRPr="00CC19F7">
        <w:t>verdsleiande</w:t>
      </w:r>
      <w:proofErr w:type="spellEnd"/>
      <w:r w:rsidRPr="00CC19F7">
        <w:t xml:space="preserve"> </w:t>
      </w:r>
      <w:proofErr w:type="spellStart"/>
      <w:r w:rsidRPr="00CC19F7">
        <w:t>innan</w:t>
      </w:r>
      <w:proofErr w:type="spellEnd"/>
      <w:r w:rsidRPr="00CC19F7">
        <w:t xml:space="preserve"> anlegg for produksjon av olje og gass under vatn og </w:t>
      </w:r>
      <w:proofErr w:type="spellStart"/>
      <w:r w:rsidRPr="00CC19F7">
        <w:t>innan</w:t>
      </w:r>
      <w:proofErr w:type="spellEnd"/>
      <w:r w:rsidRPr="00CC19F7">
        <w:t xml:space="preserve"> teknologi og </w:t>
      </w:r>
      <w:proofErr w:type="spellStart"/>
      <w:r w:rsidRPr="00CC19F7">
        <w:t>løysingar</w:t>
      </w:r>
      <w:proofErr w:type="spellEnd"/>
      <w:r w:rsidRPr="00CC19F7">
        <w:t xml:space="preserve"> for CO</w:t>
      </w:r>
      <w:r w:rsidRPr="00CC19F7">
        <w:rPr>
          <w:rStyle w:val="skrift-senket"/>
        </w:rPr>
        <w:t>2</w:t>
      </w:r>
      <w:r w:rsidRPr="00CC19F7">
        <w:t xml:space="preserve">-handtering. Forskinga skal mellom anna bidra til å </w:t>
      </w:r>
      <w:proofErr w:type="spellStart"/>
      <w:r w:rsidRPr="00CC19F7">
        <w:t>auke</w:t>
      </w:r>
      <w:proofErr w:type="spellEnd"/>
      <w:r w:rsidRPr="00CC19F7">
        <w:t xml:space="preserve"> fornybar energiproduksjon og erstatte fossil energi med fornybare energikjelder og </w:t>
      </w:r>
      <w:proofErr w:type="spellStart"/>
      <w:r w:rsidRPr="00CC19F7">
        <w:t>energiberarar</w:t>
      </w:r>
      <w:proofErr w:type="spellEnd"/>
      <w:r w:rsidRPr="00CC19F7">
        <w:t xml:space="preserve"> som hydrogen produsert med låge eller ingen utslepp. Forskinga skal også bidra til å redusere klimagassutsleppa </w:t>
      </w:r>
      <w:proofErr w:type="spellStart"/>
      <w:r w:rsidRPr="00CC19F7">
        <w:t>frå</w:t>
      </w:r>
      <w:proofErr w:type="spellEnd"/>
      <w:r w:rsidRPr="00CC19F7">
        <w:t xml:space="preserve"> produksjon og bruk av fossile energikjelder. Forskingsrådet har </w:t>
      </w:r>
      <w:proofErr w:type="spellStart"/>
      <w:r w:rsidRPr="00CC19F7">
        <w:t>nyleg</w:t>
      </w:r>
      <w:proofErr w:type="spellEnd"/>
      <w:r w:rsidRPr="00CC19F7">
        <w:t xml:space="preserve"> gjennomført </w:t>
      </w:r>
      <w:proofErr w:type="spellStart"/>
      <w:r w:rsidRPr="00CC19F7">
        <w:t>ein</w:t>
      </w:r>
      <w:proofErr w:type="spellEnd"/>
      <w:r w:rsidRPr="00CC19F7">
        <w:t xml:space="preserve"> analyse som viser at 68 prosent av petroleumsprosjekta som har fått støtte i perioden 2018 til 2021, </w:t>
      </w:r>
      <w:proofErr w:type="spellStart"/>
      <w:r w:rsidRPr="00CC19F7">
        <w:t>utviklar</w:t>
      </w:r>
      <w:proofErr w:type="spellEnd"/>
      <w:r w:rsidRPr="00CC19F7">
        <w:t xml:space="preserve"> kunnskap og teknologi som kan gi </w:t>
      </w:r>
      <w:proofErr w:type="spellStart"/>
      <w:r w:rsidRPr="00CC19F7">
        <w:t>lågare</w:t>
      </w:r>
      <w:proofErr w:type="spellEnd"/>
      <w:r w:rsidRPr="00CC19F7">
        <w:t xml:space="preserve"> utslepp av </w:t>
      </w:r>
      <w:proofErr w:type="spellStart"/>
      <w:r w:rsidRPr="00CC19F7">
        <w:t>klimagassar</w:t>
      </w:r>
      <w:proofErr w:type="spellEnd"/>
      <w:r w:rsidRPr="00CC19F7">
        <w:t>.</w:t>
      </w:r>
    </w:p>
    <w:p w14:paraId="0E82103D" w14:textId="77777777" w:rsidR="00FE02EF" w:rsidRPr="00CC19F7" w:rsidRDefault="00881E58" w:rsidP="00CC19F7">
      <w:r w:rsidRPr="00CC19F7">
        <w:t xml:space="preserve">Den norske satsinga på energiforsking harmonerer godt med satsinga i EU og </w:t>
      </w:r>
      <w:proofErr w:type="spellStart"/>
      <w:r w:rsidRPr="00CC19F7">
        <w:t>elles</w:t>
      </w:r>
      <w:proofErr w:type="spellEnd"/>
      <w:r w:rsidRPr="00CC19F7">
        <w:t xml:space="preserve"> i verda. </w:t>
      </w:r>
      <w:proofErr w:type="spellStart"/>
      <w:r w:rsidRPr="00CC19F7">
        <w:t>Mission</w:t>
      </w:r>
      <w:proofErr w:type="spellEnd"/>
      <w:r w:rsidRPr="00CC19F7">
        <w:t xml:space="preserve"> </w:t>
      </w:r>
      <w:proofErr w:type="spellStart"/>
      <w:r w:rsidRPr="00CC19F7">
        <w:t>Innovation</w:t>
      </w:r>
      <w:proofErr w:type="spellEnd"/>
      <w:r w:rsidRPr="00CC19F7">
        <w:t xml:space="preserve"> (MI) er </w:t>
      </w:r>
      <w:proofErr w:type="spellStart"/>
      <w:r w:rsidRPr="00CC19F7">
        <w:t>eit</w:t>
      </w:r>
      <w:proofErr w:type="spellEnd"/>
      <w:r w:rsidRPr="00CC19F7">
        <w:t xml:space="preserve"> av </w:t>
      </w:r>
      <w:proofErr w:type="spellStart"/>
      <w:r w:rsidRPr="00CC19F7">
        <w:t>dei</w:t>
      </w:r>
      <w:proofErr w:type="spellEnd"/>
      <w:r w:rsidRPr="00CC19F7">
        <w:t xml:space="preserve"> </w:t>
      </w:r>
      <w:proofErr w:type="spellStart"/>
      <w:r w:rsidRPr="00CC19F7">
        <w:t>viktigaste</w:t>
      </w:r>
      <w:proofErr w:type="spellEnd"/>
      <w:r w:rsidRPr="00CC19F7">
        <w:t xml:space="preserve"> internasjonale forskingssamarbeida </w:t>
      </w:r>
      <w:proofErr w:type="spellStart"/>
      <w:r w:rsidRPr="00CC19F7">
        <w:t>Noreg</w:t>
      </w:r>
      <w:proofErr w:type="spellEnd"/>
      <w:r w:rsidRPr="00CC19F7">
        <w:t xml:space="preserve"> er med i, forutan EU-samarbeidet. I MI fokuserer </w:t>
      </w:r>
      <w:proofErr w:type="spellStart"/>
      <w:r w:rsidRPr="00CC19F7">
        <w:t>Noreg</w:t>
      </w:r>
      <w:proofErr w:type="spellEnd"/>
      <w:r w:rsidRPr="00CC19F7">
        <w:t xml:space="preserve"> på utvikling av hydrogen som </w:t>
      </w:r>
      <w:proofErr w:type="spellStart"/>
      <w:r w:rsidRPr="00CC19F7">
        <w:t>energiberar</w:t>
      </w:r>
      <w:proofErr w:type="spellEnd"/>
      <w:r w:rsidRPr="00CC19F7">
        <w:t>, fangst og lagring av CO</w:t>
      </w:r>
      <w:r w:rsidRPr="00CC19F7">
        <w:rPr>
          <w:rStyle w:val="skrift-senket"/>
        </w:rPr>
        <w:t>2</w:t>
      </w:r>
      <w:r w:rsidRPr="00CC19F7">
        <w:t xml:space="preserve"> og teknologi og </w:t>
      </w:r>
      <w:proofErr w:type="spellStart"/>
      <w:r w:rsidRPr="00CC19F7">
        <w:t>løysingar</w:t>
      </w:r>
      <w:proofErr w:type="spellEnd"/>
      <w:r w:rsidRPr="00CC19F7">
        <w:t xml:space="preserve"> for å redusere utslepp </w:t>
      </w:r>
      <w:proofErr w:type="spellStart"/>
      <w:r w:rsidRPr="00CC19F7">
        <w:t>frå</w:t>
      </w:r>
      <w:proofErr w:type="spellEnd"/>
      <w:r w:rsidRPr="00CC19F7">
        <w:t xml:space="preserve"> skip som går i </w:t>
      </w:r>
      <w:proofErr w:type="spellStart"/>
      <w:r w:rsidRPr="00CC19F7">
        <w:t>utanriksfart</w:t>
      </w:r>
      <w:proofErr w:type="spellEnd"/>
      <w:r w:rsidRPr="00CC19F7">
        <w:t>.</w:t>
      </w:r>
    </w:p>
    <w:p w14:paraId="2EB5BB7E" w14:textId="77777777" w:rsidR="00FE02EF" w:rsidRPr="00CC19F7" w:rsidRDefault="00881E58" w:rsidP="00CC19F7">
      <w:r w:rsidRPr="00CC19F7">
        <w:t xml:space="preserve">Dei åtte </w:t>
      </w:r>
      <w:proofErr w:type="spellStart"/>
      <w:r w:rsidRPr="00CC19F7">
        <w:t>miljøvennlege</w:t>
      </w:r>
      <w:proofErr w:type="spellEnd"/>
      <w:r w:rsidRPr="00CC19F7">
        <w:t xml:space="preserve"> </w:t>
      </w:r>
      <w:proofErr w:type="spellStart"/>
      <w:r w:rsidRPr="00CC19F7">
        <w:t>forskingssentera</w:t>
      </w:r>
      <w:proofErr w:type="spellEnd"/>
      <w:r w:rsidRPr="00CC19F7">
        <w:t xml:space="preserve"> som blei tildelte støtte i 2016, </w:t>
      </w:r>
      <w:proofErr w:type="spellStart"/>
      <w:r w:rsidRPr="00CC19F7">
        <w:t>avrundar</w:t>
      </w:r>
      <w:proofErr w:type="spellEnd"/>
      <w:r w:rsidRPr="00CC19F7">
        <w:t xml:space="preserve"> </w:t>
      </w:r>
      <w:proofErr w:type="spellStart"/>
      <w:r w:rsidRPr="00CC19F7">
        <w:t>verksemda</w:t>
      </w:r>
      <w:proofErr w:type="spellEnd"/>
      <w:r w:rsidRPr="00CC19F7">
        <w:t xml:space="preserve"> si i 2014. </w:t>
      </w:r>
      <w:proofErr w:type="spellStart"/>
      <w:r w:rsidRPr="00CC19F7">
        <w:t>Noregs</w:t>
      </w:r>
      <w:proofErr w:type="spellEnd"/>
      <w:r w:rsidRPr="00CC19F7">
        <w:t xml:space="preserve"> forskingsråd har derfor utlyst nye forskingssenter i år. Dei nye </w:t>
      </w:r>
      <w:proofErr w:type="spellStart"/>
      <w:r w:rsidRPr="00CC19F7">
        <w:t>forskingssentera</w:t>
      </w:r>
      <w:proofErr w:type="spellEnd"/>
      <w:r w:rsidRPr="00CC19F7">
        <w:t xml:space="preserve"> vil bli </w:t>
      </w:r>
      <w:proofErr w:type="spellStart"/>
      <w:r w:rsidRPr="00CC19F7">
        <w:t>utnemnde</w:t>
      </w:r>
      <w:proofErr w:type="spellEnd"/>
      <w:r w:rsidRPr="00CC19F7">
        <w:t xml:space="preserve"> våren 2024.</w:t>
      </w:r>
    </w:p>
    <w:p w14:paraId="0CE6A79E" w14:textId="77777777" w:rsidR="00FE02EF" w:rsidRPr="00CC19F7" w:rsidRDefault="00881E58" w:rsidP="00CC19F7">
      <w:r w:rsidRPr="00CC19F7">
        <w:t xml:space="preserve">Den langsiktige og </w:t>
      </w:r>
      <w:proofErr w:type="spellStart"/>
      <w:r w:rsidRPr="00CC19F7">
        <w:t>omfattande</w:t>
      </w:r>
      <w:proofErr w:type="spellEnd"/>
      <w:r w:rsidRPr="00CC19F7">
        <w:t xml:space="preserve"> satsinga på forsking og utvikling </w:t>
      </w:r>
      <w:proofErr w:type="spellStart"/>
      <w:r w:rsidRPr="00CC19F7">
        <w:t>innan</w:t>
      </w:r>
      <w:proofErr w:type="spellEnd"/>
      <w:r w:rsidRPr="00CC19F7">
        <w:t xml:space="preserve"> energi og petroleum har resultert i internasjonalt konkurransedyktige bedrifter og forskings- og teknologimiljø i </w:t>
      </w:r>
      <w:proofErr w:type="spellStart"/>
      <w:r w:rsidRPr="00CC19F7">
        <w:t>Noreg</w:t>
      </w:r>
      <w:proofErr w:type="spellEnd"/>
      <w:r w:rsidRPr="00CC19F7">
        <w:t xml:space="preserve">. Norske universitet, institutt og bedrifter </w:t>
      </w:r>
      <w:proofErr w:type="spellStart"/>
      <w:r w:rsidRPr="00CC19F7">
        <w:t>gjer</w:t>
      </w:r>
      <w:proofErr w:type="spellEnd"/>
      <w:r w:rsidRPr="00CC19F7">
        <w:t xml:space="preserve"> det svært godt i energi-, miljø- og transportdelen av det europeiske forskingsprogrammet Horisont Europa. Per august 2023 er støtta til energiprosjekt med norsk deltaking på 65 mill. euro, og 29 prosent av alle søknader med norsk deltaking har fått støtte. Gjennomsnittet for alle land er 22 prosent.</w:t>
      </w:r>
    </w:p>
    <w:p w14:paraId="07B91FE2" w14:textId="77777777" w:rsidR="00FE02EF" w:rsidRPr="00CC19F7" w:rsidRDefault="00881E58" w:rsidP="00CC19F7">
      <w:pPr>
        <w:pStyle w:val="Undertittel"/>
      </w:pPr>
      <w:proofErr w:type="spellStart"/>
      <w:r w:rsidRPr="00CC19F7">
        <w:t>Hovudmål</w:t>
      </w:r>
      <w:proofErr w:type="spellEnd"/>
      <w:r w:rsidRPr="00CC19F7">
        <w:t xml:space="preserve"> </w:t>
      </w:r>
      <w:proofErr w:type="spellStart"/>
      <w:r w:rsidRPr="00CC19F7">
        <w:t>innanfor</w:t>
      </w:r>
      <w:proofErr w:type="spellEnd"/>
      <w:r w:rsidRPr="00CC19F7">
        <w:t xml:space="preserve"> klima, industri og teknologi</w:t>
      </w:r>
    </w:p>
    <w:p w14:paraId="6408DF84" w14:textId="77777777" w:rsidR="00FE02EF" w:rsidRPr="00CC19F7" w:rsidRDefault="00881E58" w:rsidP="00CC19F7">
      <w:r w:rsidRPr="00CC19F7">
        <w:t xml:space="preserve">Regjeringa </w:t>
      </w:r>
      <w:proofErr w:type="spellStart"/>
      <w:r w:rsidRPr="00CC19F7">
        <w:t>legg</w:t>
      </w:r>
      <w:proofErr w:type="spellEnd"/>
      <w:r w:rsidRPr="00CC19F7">
        <w:t xml:space="preserve"> til rette for nye </w:t>
      </w:r>
      <w:proofErr w:type="spellStart"/>
      <w:r w:rsidRPr="00CC19F7">
        <w:t>næringar</w:t>
      </w:r>
      <w:proofErr w:type="spellEnd"/>
      <w:r w:rsidRPr="00CC19F7">
        <w:t xml:space="preserve"> som havvind, hydrogen og CO</w:t>
      </w:r>
      <w:r w:rsidRPr="00CC19F7">
        <w:rPr>
          <w:rStyle w:val="skrift-senket"/>
        </w:rPr>
        <w:t>2</w:t>
      </w:r>
      <w:r w:rsidRPr="00CC19F7">
        <w:t xml:space="preserve">-handtering som </w:t>
      </w:r>
      <w:proofErr w:type="spellStart"/>
      <w:r w:rsidRPr="00CC19F7">
        <w:t>ein</w:t>
      </w:r>
      <w:proofErr w:type="spellEnd"/>
      <w:r w:rsidRPr="00CC19F7">
        <w:t xml:space="preserve"> del av omstillinga av økonomien til </w:t>
      </w:r>
      <w:proofErr w:type="spellStart"/>
      <w:r w:rsidRPr="00CC19F7">
        <w:t>eit</w:t>
      </w:r>
      <w:proofErr w:type="spellEnd"/>
      <w:r w:rsidRPr="00CC19F7">
        <w:t xml:space="preserve"> </w:t>
      </w:r>
      <w:proofErr w:type="spellStart"/>
      <w:r w:rsidRPr="00CC19F7">
        <w:t>lågutsleppssamfunn</w:t>
      </w:r>
      <w:proofErr w:type="spellEnd"/>
      <w:r w:rsidRPr="00CC19F7">
        <w:t xml:space="preserve">. Regjeringa vil legge til rette for at </w:t>
      </w:r>
      <w:proofErr w:type="spellStart"/>
      <w:r w:rsidRPr="00CC19F7">
        <w:t>Noreg</w:t>
      </w:r>
      <w:proofErr w:type="spellEnd"/>
      <w:r w:rsidRPr="00CC19F7">
        <w:t xml:space="preserve"> skal bidra aktivt til, og dra nytte av, den globale energiomstillinga som er nødvendig for at verda og </w:t>
      </w:r>
      <w:proofErr w:type="spellStart"/>
      <w:r w:rsidRPr="00CC19F7">
        <w:t>Noreg</w:t>
      </w:r>
      <w:proofErr w:type="spellEnd"/>
      <w:r w:rsidRPr="00CC19F7">
        <w:t xml:space="preserve"> når klimamåla.</w:t>
      </w:r>
    </w:p>
    <w:p w14:paraId="4373B08E" w14:textId="77777777" w:rsidR="00FE02EF" w:rsidRPr="00CC19F7" w:rsidRDefault="00881E58" w:rsidP="00CC19F7">
      <w:pPr>
        <w:pStyle w:val="avsnitt-tittel"/>
      </w:pPr>
      <w:r w:rsidRPr="00CC19F7">
        <w:t xml:space="preserve">Nye </w:t>
      </w:r>
      <w:proofErr w:type="spellStart"/>
      <w:r w:rsidRPr="00CC19F7">
        <w:t>næringar</w:t>
      </w:r>
      <w:proofErr w:type="spellEnd"/>
      <w:r w:rsidRPr="00CC19F7">
        <w:t xml:space="preserve"> baserte på </w:t>
      </w:r>
      <w:proofErr w:type="spellStart"/>
      <w:r w:rsidRPr="00CC19F7">
        <w:t>energiressursane</w:t>
      </w:r>
      <w:proofErr w:type="spellEnd"/>
    </w:p>
    <w:p w14:paraId="48491D1D" w14:textId="77777777" w:rsidR="00FE02EF" w:rsidRPr="00CC19F7" w:rsidRDefault="00881E58" w:rsidP="00CC19F7">
      <w:r w:rsidRPr="00CC19F7">
        <w:t xml:space="preserve">Som </w:t>
      </w:r>
      <w:proofErr w:type="spellStart"/>
      <w:r w:rsidRPr="00CC19F7">
        <w:t>ein</w:t>
      </w:r>
      <w:proofErr w:type="spellEnd"/>
      <w:r w:rsidRPr="00CC19F7">
        <w:t xml:space="preserve"> del av arbeidet med å omstille økonomien har regjeringa lansert </w:t>
      </w:r>
      <w:proofErr w:type="spellStart"/>
      <w:r w:rsidRPr="00CC19F7">
        <w:t>eit</w:t>
      </w:r>
      <w:proofErr w:type="spellEnd"/>
      <w:r w:rsidRPr="00CC19F7">
        <w:t xml:space="preserve"> vegkart for grønt industriløft som skal bidra til å skape </w:t>
      </w:r>
      <w:proofErr w:type="spellStart"/>
      <w:r w:rsidRPr="00CC19F7">
        <w:t>verdiar</w:t>
      </w:r>
      <w:proofErr w:type="spellEnd"/>
      <w:r w:rsidRPr="00CC19F7">
        <w:t xml:space="preserve"> og lønnsame og attraktive jobbar i heile landet, </w:t>
      </w:r>
      <w:proofErr w:type="spellStart"/>
      <w:r w:rsidRPr="00CC19F7">
        <w:t>auke</w:t>
      </w:r>
      <w:proofErr w:type="spellEnd"/>
      <w:r w:rsidRPr="00CC19F7">
        <w:t xml:space="preserve"> </w:t>
      </w:r>
      <w:proofErr w:type="spellStart"/>
      <w:r w:rsidRPr="00CC19F7">
        <w:t>dei</w:t>
      </w:r>
      <w:proofErr w:type="spellEnd"/>
      <w:r w:rsidRPr="00CC19F7">
        <w:t xml:space="preserve"> </w:t>
      </w:r>
      <w:proofErr w:type="spellStart"/>
      <w:r w:rsidRPr="00CC19F7">
        <w:t>grøne</w:t>
      </w:r>
      <w:proofErr w:type="spellEnd"/>
      <w:r w:rsidRPr="00CC19F7">
        <w:t xml:space="preserve"> </w:t>
      </w:r>
      <w:proofErr w:type="spellStart"/>
      <w:r w:rsidRPr="00CC19F7">
        <w:t>investeringane</w:t>
      </w:r>
      <w:proofErr w:type="spellEnd"/>
      <w:r w:rsidRPr="00CC19F7">
        <w:t xml:space="preserve">, styrke eksporten og kutte klimagassutsleppa. I vegkartet </w:t>
      </w:r>
      <w:proofErr w:type="spellStart"/>
      <w:r w:rsidRPr="00CC19F7">
        <w:t>peikar</w:t>
      </w:r>
      <w:proofErr w:type="spellEnd"/>
      <w:r w:rsidRPr="00CC19F7">
        <w:t xml:space="preserve"> regjeringa på </w:t>
      </w:r>
      <w:proofErr w:type="spellStart"/>
      <w:r w:rsidRPr="00CC19F7">
        <w:t>fleire</w:t>
      </w:r>
      <w:proofErr w:type="spellEnd"/>
      <w:r w:rsidRPr="00CC19F7">
        <w:t xml:space="preserve"> innsatsområde. Olje- og energidepartementet har </w:t>
      </w:r>
      <w:proofErr w:type="spellStart"/>
      <w:r w:rsidRPr="00CC19F7">
        <w:t>eit</w:t>
      </w:r>
      <w:proofErr w:type="spellEnd"/>
      <w:r w:rsidRPr="00CC19F7">
        <w:t xml:space="preserve"> </w:t>
      </w:r>
      <w:proofErr w:type="spellStart"/>
      <w:r w:rsidRPr="00CC19F7">
        <w:t>særleg</w:t>
      </w:r>
      <w:proofErr w:type="spellEnd"/>
      <w:r w:rsidRPr="00CC19F7">
        <w:t xml:space="preserve"> ansvar for arbeidet med hydrogen, havvind og CO</w:t>
      </w:r>
      <w:r w:rsidRPr="00CC19F7">
        <w:rPr>
          <w:rStyle w:val="skrift-senket"/>
        </w:rPr>
        <w:t>2</w:t>
      </w:r>
      <w:r w:rsidRPr="00CC19F7">
        <w:t xml:space="preserve">-handtering. Nok tilgang på kraft er også </w:t>
      </w:r>
      <w:proofErr w:type="spellStart"/>
      <w:r w:rsidRPr="00CC19F7">
        <w:t>ein</w:t>
      </w:r>
      <w:proofErr w:type="spellEnd"/>
      <w:r w:rsidRPr="00CC19F7">
        <w:t xml:space="preserve"> </w:t>
      </w:r>
      <w:proofErr w:type="spellStart"/>
      <w:r w:rsidRPr="00CC19F7">
        <w:t>føresetnad</w:t>
      </w:r>
      <w:proofErr w:type="spellEnd"/>
      <w:r w:rsidRPr="00CC19F7">
        <w:t xml:space="preserve"> for å </w:t>
      </w:r>
      <w:proofErr w:type="spellStart"/>
      <w:r w:rsidRPr="00CC19F7">
        <w:t>lykkast</w:t>
      </w:r>
      <w:proofErr w:type="spellEnd"/>
      <w:r w:rsidRPr="00CC19F7">
        <w:t xml:space="preserve"> med </w:t>
      </w:r>
      <w:proofErr w:type="spellStart"/>
      <w:r w:rsidRPr="00CC19F7">
        <w:t>eit</w:t>
      </w:r>
      <w:proofErr w:type="spellEnd"/>
      <w:r w:rsidRPr="00CC19F7">
        <w:t xml:space="preserve"> grønt industriløft.</w:t>
      </w:r>
    </w:p>
    <w:p w14:paraId="37EEC018" w14:textId="77777777" w:rsidR="00FE02EF" w:rsidRPr="00CC19F7" w:rsidRDefault="00881E58" w:rsidP="00CC19F7">
      <w:r w:rsidRPr="00CC19F7">
        <w:t xml:space="preserve">Regjeringa har </w:t>
      </w:r>
      <w:proofErr w:type="spellStart"/>
      <w:r w:rsidRPr="00CC19F7">
        <w:t>ein</w:t>
      </w:r>
      <w:proofErr w:type="spellEnd"/>
      <w:r w:rsidRPr="00CC19F7">
        <w:t xml:space="preserve"> ambisjon om å bidra til å bygge opp ei </w:t>
      </w:r>
      <w:proofErr w:type="spellStart"/>
      <w:r w:rsidRPr="00CC19F7">
        <w:t>samanhengande</w:t>
      </w:r>
      <w:proofErr w:type="spellEnd"/>
      <w:r w:rsidRPr="00CC19F7">
        <w:t xml:space="preserve"> verdikjede for hydrogen produsert med låge eller ingen utslepp, der produksjon, distribusjon og bruk blir utvikla parallelt. Regjeringa ønsker også å bidra til utviklinga av </w:t>
      </w:r>
      <w:proofErr w:type="spellStart"/>
      <w:r w:rsidRPr="00CC19F7">
        <w:t>ein</w:t>
      </w:r>
      <w:proofErr w:type="spellEnd"/>
      <w:r w:rsidRPr="00CC19F7">
        <w:t xml:space="preserve"> </w:t>
      </w:r>
      <w:proofErr w:type="spellStart"/>
      <w:r w:rsidRPr="00CC19F7">
        <w:t>marknad</w:t>
      </w:r>
      <w:proofErr w:type="spellEnd"/>
      <w:r w:rsidRPr="00CC19F7">
        <w:t xml:space="preserve"> for hydrogen i Europa. Det </w:t>
      </w:r>
      <w:proofErr w:type="spellStart"/>
      <w:r w:rsidRPr="00CC19F7">
        <w:t>finst</w:t>
      </w:r>
      <w:proofErr w:type="spellEnd"/>
      <w:r w:rsidRPr="00CC19F7">
        <w:t xml:space="preserve"> i dag mange norske hydrogen- og ammoniakkprosjekt. Dei fleste er i startfasen og har mottatt støtte </w:t>
      </w:r>
      <w:proofErr w:type="spellStart"/>
      <w:r w:rsidRPr="00CC19F7">
        <w:t>frå</w:t>
      </w:r>
      <w:proofErr w:type="spellEnd"/>
      <w:r w:rsidRPr="00CC19F7">
        <w:t xml:space="preserve"> staten gjennom ulike </w:t>
      </w:r>
      <w:proofErr w:type="spellStart"/>
      <w:r w:rsidRPr="00CC19F7">
        <w:t>ordningar</w:t>
      </w:r>
      <w:proofErr w:type="spellEnd"/>
      <w:r w:rsidRPr="00CC19F7">
        <w:t xml:space="preserve">. For å nå </w:t>
      </w:r>
      <w:proofErr w:type="spellStart"/>
      <w:r w:rsidRPr="00CC19F7">
        <w:t>ambisjonane</w:t>
      </w:r>
      <w:proofErr w:type="spellEnd"/>
      <w:r w:rsidRPr="00CC19F7">
        <w:t xml:space="preserve"> bidrar staten gjennom ei lang rekke </w:t>
      </w:r>
      <w:proofErr w:type="spellStart"/>
      <w:r w:rsidRPr="00CC19F7">
        <w:t>verkemiddel</w:t>
      </w:r>
      <w:proofErr w:type="spellEnd"/>
      <w:r w:rsidRPr="00CC19F7">
        <w:t xml:space="preserve">, mellom anna støtte til forsking, teknologiutvikling og demonstrasjon og til etablering av knutepunkt og infrastruktur og gjennom krav til </w:t>
      </w:r>
      <w:proofErr w:type="spellStart"/>
      <w:r w:rsidRPr="00CC19F7">
        <w:t>offentlege</w:t>
      </w:r>
      <w:proofErr w:type="spellEnd"/>
      <w:r w:rsidRPr="00CC19F7">
        <w:t xml:space="preserve"> innkjøp.</w:t>
      </w:r>
    </w:p>
    <w:p w14:paraId="5D4C3B66" w14:textId="77777777" w:rsidR="00FE02EF" w:rsidRPr="00CC19F7" w:rsidRDefault="00881E58" w:rsidP="00CC19F7">
      <w:r w:rsidRPr="00CC19F7">
        <w:t xml:space="preserve">Regjeringas mål for arbeidet med havvind er industriutvikling, tilrettelegging for innovasjon og teknologiutvikling og at havvind skal bidra til større utsleppsfri kraftproduksjon i </w:t>
      </w:r>
      <w:proofErr w:type="spellStart"/>
      <w:r w:rsidRPr="00CC19F7">
        <w:t>Noreg</w:t>
      </w:r>
      <w:proofErr w:type="spellEnd"/>
      <w:r w:rsidRPr="00CC19F7">
        <w:t xml:space="preserve">. Regjeringa har </w:t>
      </w:r>
      <w:proofErr w:type="spellStart"/>
      <w:r w:rsidRPr="00CC19F7">
        <w:t>ein</w:t>
      </w:r>
      <w:proofErr w:type="spellEnd"/>
      <w:r w:rsidRPr="00CC19F7">
        <w:t xml:space="preserve"> ambisjon om å tildele areal med potensial for 30 GW havvindproduksjon på norsk sokkel </w:t>
      </w:r>
      <w:proofErr w:type="spellStart"/>
      <w:r w:rsidRPr="00CC19F7">
        <w:t>innan</w:t>
      </w:r>
      <w:proofErr w:type="spellEnd"/>
      <w:r w:rsidRPr="00CC19F7">
        <w:t xml:space="preserve"> 2040. Dei første prosjektområda for havvind på norsk sokkel blei lyste ut i første kvartal 2023. Regjeringa planlegg for neste </w:t>
      </w:r>
      <w:proofErr w:type="spellStart"/>
      <w:r w:rsidRPr="00CC19F7">
        <w:t>utlysingsrunde</w:t>
      </w:r>
      <w:proofErr w:type="spellEnd"/>
      <w:r w:rsidRPr="00CC19F7">
        <w:t xml:space="preserve"> av prosjektområde for havvind i 2025.</w:t>
      </w:r>
    </w:p>
    <w:p w14:paraId="508F9A5C" w14:textId="77777777" w:rsidR="00FE02EF" w:rsidRPr="00CC19F7" w:rsidRDefault="00881E58" w:rsidP="00CC19F7">
      <w:r w:rsidRPr="00CC19F7">
        <w:t xml:space="preserve">Regjeringa vil </w:t>
      </w:r>
      <w:proofErr w:type="spellStart"/>
      <w:r w:rsidRPr="00CC19F7">
        <w:t>halde</w:t>
      </w:r>
      <w:proofErr w:type="spellEnd"/>
      <w:r w:rsidRPr="00CC19F7">
        <w:t xml:space="preserve"> fram med å fremme CO</w:t>
      </w:r>
      <w:r w:rsidRPr="00CC19F7">
        <w:rPr>
          <w:rStyle w:val="skrift-senket"/>
        </w:rPr>
        <w:t>2</w:t>
      </w:r>
      <w:r w:rsidRPr="00CC19F7">
        <w:t xml:space="preserve">-fangst og -lagring som </w:t>
      </w:r>
      <w:proofErr w:type="spellStart"/>
      <w:r w:rsidRPr="00CC19F7">
        <w:t>eit</w:t>
      </w:r>
      <w:proofErr w:type="spellEnd"/>
      <w:r w:rsidRPr="00CC19F7">
        <w:t xml:space="preserve"> kostnadseffektivt klimatiltak i </w:t>
      </w:r>
      <w:proofErr w:type="spellStart"/>
      <w:r w:rsidRPr="00CC19F7">
        <w:t>eit</w:t>
      </w:r>
      <w:proofErr w:type="spellEnd"/>
      <w:r w:rsidRPr="00CC19F7">
        <w:t xml:space="preserve"> internasjonalt perspektiv. Langskip er </w:t>
      </w:r>
      <w:proofErr w:type="spellStart"/>
      <w:r w:rsidRPr="00CC19F7">
        <w:t>ein</w:t>
      </w:r>
      <w:proofErr w:type="spellEnd"/>
      <w:r w:rsidRPr="00CC19F7">
        <w:t xml:space="preserve"> sentral del av regjeringas politikk for CO</w:t>
      </w:r>
      <w:r w:rsidRPr="00CC19F7">
        <w:rPr>
          <w:rStyle w:val="skrift-senket"/>
        </w:rPr>
        <w:t>2</w:t>
      </w:r>
      <w:r w:rsidRPr="00CC19F7">
        <w:t xml:space="preserve">-handtering og </w:t>
      </w:r>
      <w:proofErr w:type="spellStart"/>
      <w:r w:rsidRPr="00CC19F7">
        <w:t>ein</w:t>
      </w:r>
      <w:proofErr w:type="spellEnd"/>
      <w:r w:rsidRPr="00CC19F7">
        <w:t xml:space="preserve"> del av </w:t>
      </w:r>
      <w:proofErr w:type="spellStart"/>
      <w:r w:rsidRPr="00CC19F7">
        <w:t>Noregs</w:t>
      </w:r>
      <w:proofErr w:type="spellEnd"/>
      <w:r w:rsidRPr="00CC19F7">
        <w:t xml:space="preserve"> bidrag til å utvikle nødvendige </w:t>
      </w:r>
      <w:proofErr w:type="spellStart"/>
      <w:r w:rsidRPr="00CC19F7">
        <w:t>klimateknologiar</w:t>
      </w:r>
      <w:proofErr w:type="spellEnd"/>
      <w:r w:rsidRPr="00CC19F7">
        <w:t xml:space="preserve">. Regjeringa vil </w:t>
      </w:r>
      <w:proofErr w:type="spellStart"/>
      <w:r w:rsidRPr="00CC19F7">
        <w:t>halde</w:t>
      </w:r>
      <w:proofErr w:type="spellEnd"/>
      <w:r w:rsidRPr="00CC19F7">
        <w:t xml:space="preserve"> fram arbeidet med å fremme CO</w:t>
      </w:r>
      <w:r w:rsidRPr="00CC19F7">
        <w:rPr>
          <w:rStyle w:val="skrift-senket"/>
        </w:rPr>
        <w:t>2</w:t>
      </w:r>
      <w:r w:rsidRPr="00CC19F7">
        <w:t xml:space="preserve">-handtering som </w:t>
      </w:r>
      <w:proofErr w:type="spellStart"/>
      <w:r w:rsidRPr="00CC19F7">
        <w:t>eit</w:t>
      </w:r>
      <w:proofErr w:type="spellEnd"/>
      <w:r w:rsidRPr="00CC19F7">
        <w:t xml:space="preserve"> viktig bidrag til å nå klimamåla.</w:t>
      </w:r>
    </w:p>
    <w:p w14:paraId="3021A140" w14:textId="77777777" w:rsidR="00FE02EF" w:rsidRPr="00CC19F7" w:rsidRDefault="00881E58" w:rsidP="00CC19F7">
      <w:pPr>
        <w:pStyle w:val="avsnitt-tittel"/>
      </w:pPr>
      <w:proofErr w:type="spellStart"/>
      <w:r w:rsidRPr="00CC19F7">
        <w:t>Energinæringane</w:t>
      </w:r>
      <w:proofErr w:type="spellEnd"/>
      <w:r w:rsidRPr="00CC19F7">
        <w:t xml:space="preserve"> – eksport, forsking og utvikling</w:t>
      </w:r>
    </w:p>
    <w:p w14:paraId="1533E853" w14:textId="77777777" w:rsidR="00FE02EF" w:rsidRPr="00CC19F7" w:rsidRDefault="00881E58" w:rsidP="00CC19F7">
      <w:r w:rsidRPr="00CC19F7">
        <w:t xml:space="preserve">Forsking, teknologiutvikling og demonstrasjon skal bidra til større verdiskaping og sikker, kostnadseffektiv og </w:t>
      </w:r>
      <w:proofErr w:type="spellStart"/>
      <w:r w:rsidRPr="00CC19F7">
        <w:t>berekraftig</w:t>
      </w:r>
      <w:proofErr w:type="spellEnd"/>
      <w:r w:rsidRPr="00CC19F7">
        <w:t xml:space="preserve"> utnytting av energi- og </w:t>
      </w:r>
      <w:proofErr w:type="spellStart"/>
      <w:r w:rsidRPr="00CC19F7">
        <w:t>petroleumsressursane</w:t>
      </w:r>
      <w:proofErr w:type="spellEnd"/>
      <w:r w:rsidRPr="00CC19F7">
        <w:t xml:space="preserve"> i </w:t>
      </w:r>
      <w:proofErr w:type="spellStart"/>
      <w:r w:rsidRPr="00CC19F7">
        <w:t>eit</w:t>
      </w:r>
      <w:proofErr w:type="spellEnd"/>
      <w:r w:rsidRPr="00CC19F7">
        <w:t xml:space="preserve"> </w:t>
      </w:r>
      <w:proofErr w:type="spellStart"/>
      <w:r w:rsidRPr="00CC19F7">
        <w:t>lågutsleppssamfunn</w:t>
      </w:r>
      <w:proofErr w:type="spellEnd"/>
      <w:r w:rsidRPr="00CC19F7">
        <w:t>.</w:t>
      </w:r>
    </w:p>
    <w:p w14:paraId="036463FD" w14:textId="77777777" w:rsidR="00FE02EF" w:rsidRPr="00CC19F7" w:rsidRDefault="00881E58" w:rsidP="00CC19F7">
      <w:r w:rsidRPr="00CC19F7">
        <w:t xml:space="preserve">Regjeringa vil </w:t>
      </w:r>
      <w:proofErr w:type="spellStart"/>
      <w:r w:rsidRPr="00CC19F7">
        <w:t>halde</w:t>
      </w:r>
      <w:proofErr w:type="spellEnd"/>
      <w:r w:rsidRPr="00CC19F7">
        <w:t xml:space="preserve"> fram med å satse på energi- og petroleumsforsking mellom anna for å kunne nå måla om reduserte klimagassutslepp i </w:t>
      </w:r>
      <w:proofErr w:type="spellStart"/>
      <w:r w:rsidRPr="00CC19F7">
        <w:t>Noreg</w:t>
      </w:r>
      <w:proofErr w:type="spellEnd"/>
      <w:r w:rsidRPr="00CC19F7">
        <w:t xml:space="preserve"> i 2030 og 2050 og for å nå måla for omstilling, nye </w:t>
      </w:r>
      <w:proofErr w:type="spellStart"/>
      <w:r w:rsidRPr="00CC19F7">
        <w:t>grøne</w:t>
      </w:r>
      <w:proofErr w:type="spellEnd"/>
      <w:r w:rsidRPr="00CC19F7">
        <w:t xml:space="preserve"> </w:t>
      </w:r>
      <w:proofErr w:type="spellStart"/>
      <w:r w:rsidRPr="00CC19F7">
        <w:t>næringar</w:t>
      </w:r>
      <w:proofErr w:type="spellEnd"/>
      <w:r w:rsidRPr="00CC19F7">
        <w:t xml:space="preserve"> og større eksportinntekter. </w:t>
      </w:r>
      <w:proofErr w:type="spellStart"/>
      <w:r w:rsidRPr="00CC19F7">
        <w:t>Vidare</w:t>
      </w:r>
      <w:proofErr w:type="spellEnd"/>
      <w:r w:rsidRPr="00CC19F7">
        <w:t xml:space="preserve"> skal satsinga bidra til å </w:t>
      </w:r>
      <w:proofErr w:type="spellStart"/>
      <w:r w:rsidRPr="00CC19F7">
        <w:t>vidareutvikle</w:t>
      </w:r>
      <w:proofErr w:type="spellEnd"/>
      <w:r w:rsidRPr="00CC19F7">
        <w:t xml:space="preserve"> </w:t>
      </w:r>
      <w:proofErr w:type="spellStart"/>
      <w:r w:rsidRPr="00CC19F7">
        <w:t>næringane</w:t>
      </w:r>
      <w:proofErr w:type="spellEnd"/>
      <w:r w:rsidRPr="00CC19F7">
        <w:t xml:space="preserve"> og </w:t>
      </w:r>
      <w:proofErr w:type="spellStart"/>
      <w:r w:rsidRPr="00CC19F7">
        <w:t>gjere</w:t>
      </w:r>
      <w:proofErr w:type="spellEnd"/>
      <w:r w:rsidRPr="00CC19F7">
        <w:t xml:space="preserve"> </w:t>
      </w:r>
      <w:proofErr w:type="spellStart"/>
      <w:r w:rsidRPr="00CC19F7">
        <w:t>dei</w:t>
      </w:r>
      <w:proofErr w:type="spellEnd"/>
      <w:r w:rsidRPr="00CC19F7">
        <w:t xml:space="preserve"> lønnsame også i framtida. Satsinga skal også bidra til å utvikle kunnskapsgrunnlaget om </w:t>
      </w:r>
      <w:proofErr w:type="spellStart"/>
      <w:r w:rsidRPr="00CC19F7">
        <w:t>sikkerheit</w:t>
      </w:r>
      <w:proofErr w:type="spellEnd"/>
      <w:r w:rsidRPr="00CC19F7">
        <w:t xml:space="preserve">, sikring, arbeidsmiljø, arbeidshelse og risikoforhold i petroleumsnæringa. Forskingsinnsatsen og teknologiutviklinga har </w:t>
      </w:r>
      <w:proofErr w:type="spellStart"/>
      <w:r w:rsidRPr="00CC19F7">
        <w:t>følgande</w:t>
      </w:r>
      <w:proofErr w:type="spellEnd"/>
      <w:r w:rsidRPr="00CC19F7">
        <w:t xml:space="preserve"> delmål:</w:t>
      </w:r>
    </w:p>
    <w:p w14:paraId="3D5C9E5A" w14:textId="77777777" w:rsidR="00FE02EF" w:rsidRPr="00CC19F7" w:rsidRDefault="00881E58" w:rsidP="00CC19F7">
      <w:pPr>
        <w:pStyle w:val="Liste"/>
      </w:pPr>
      <w:r w:rsidRPr="00CC19F7">
        <w:t>bidra til langsiktig kunnskaps- og teknologiutvikling</w:t>
      </w:r>
    </w:p>
    <w:p w14:paraId="2533BA70" w14:textId="77777777" w:rsidR="00FE02EF" w:rsidRPr="00CC19F7" w:rsidRDefault="00881E58" w:rsidP="00CC19F7">
      <w:pPr>
        <w:pStyle w:val="Liste"/>
      </w:pPr>
      <w:r w:rsidRPr="00CC19F7">
        <w:t xml:space="preserve">fremme </w:t>
      </w:r>
      <w:proofErr w:type="spellStart"/>
      <w:r w:rsidRPr="00CC19F7">
        <w:t>konkurransedyktigheit</w:t>
      </w:r>
      <w:proofErr w:type="spellEnd"/>
      <w:r w:rsidRPr="00CC19F7">
        <w:t xml:space="preserve"> og </w:t>
      </w:r>
      <w:proofErr w:type="spellStart"/>
      <w:r w:rsidRPr="00CC19F7">
        <w:t>auka</w:t>
      </w:r>
      <w:proofErr w:type="spellEnd"/>
      <w:r w:rsidRPr="00CC19F7">
        <w:t xml:space="preserve"> verdiskaping i energi- og </w:t>
      </w:r>
      <w:proofErr w:type="spellStart"/>
      <w:r w:rsidRPr="00CC19F7">
        <w:t>petroleumsnæringane</w:t>
      </w:r>
      <w:proofErr w:type="spellEnd"/>
      <w:r w:rsidRPr="00CC19F7">
        <w:t xml:space="preserve"> i </w:t>
      </w:r>
      <w:proofErr w:type="spellStart"/>
      <w:r w:rsidRPr="00CC19F7">
        <w:t>Noreg</w:t>
      </w:r>
      <w:proofErr w:type="spellEnd"/>
    </w:p>
    <w:p w14:paraId="4C842910" w14:textId="77777777" w:rsidR="00FE02EF" w:rsidRPr="00CC19F7" w:rsidRDefault="00881E58" w:rsidP="00CC19F7">
      <w:pPr>
        <w:pStyle w:val="Liste"/>
      </w:pPr>
      <w:r w:rsidRPr="00CC19F7">
        <w:t xml:space="preserve">bidra med teknologi og </w:t>
      </w:r>
      <w:proofErr w:type="spellStart"/>
      <w:r w:rsidRPr="00CC19F7">
        <w:t>løysingar</w:t>
      </w:r>
      <w:proofErr w:type="spellEnd"/>
      <w:r w:rsidRPr="00CC19F7">
        <w:t xml:space="preserve"> som </w:t>
      </w:r>
      <w:proofErr w:type="spellStart"/>
      <w:r w:rsidRPr="00CC19F7">
        <w:t>legg</w:t>
      </w:r>
      <w:proofErr w:type="spellEnd"/>
      <w:r w:rsidRPr="00CC19F7">
        <w:t xml:space="preserve"> til rette for </w:t>
      </w:r>
      <w:proofErr w:type="spellStart"/>
      <w:r w:rsidRPr="00CC19F7">
        <w:t>eit</w:t>
      </w:r>
      <w:proofErr w:type="spellEnd"/>
      <w:r w:rsidRPr="00CC19F7">
        <w:t xml:space="preserve"> </w:t>
      </w:r>
      <w:proofErr w:type="spellStart"/>
      <w:r w:rsidRPr="00CC19F7">
        <w:t>lågutsleppssamfunn</w:t>
      </w:r>
      <w:proofErr w:type="spellEnd"/>
      <w:r w:rsidRPr="00CC19F7">
        <w:t xml:space="preserve"> </w:t>
      </w:r>
      <w:proofErr w:type="spellStart"/>
      <w:r w:rsidRPr="00CC19F7">
        <w:t>innan</w:t>
      </w:r>
      <w:proofErr w:type="spellEnd"/>
      <w:r w:rsidRPr="00CC19F7">
        <w:t xml:space="preserve"> 2050</w:t>
      </w:r>
    </w:p>
    <w:p w14:paraId="05282481" w14:textId="77777777" w:rsidR="00FE02EF" w:rsidRPr="00CC19F7" w:rsidRDefault="00881E58" w:rsidP="00CC19F7">
      <w:pPr>
        <w:pStyle w:val="Liste"/>
      </w:pPr>
      <w:r w:rsidRPr="00CC19F7">
        <w:t xml:space="preserve">bidra med ny kompetanse, teknologi og </w:t>
      </w:r>
      <w:proofErr w:type="spellStart"/>
      <w:r w:rsidRPr="00CC19F7">
        <w:t>innovasjonar</w:t>
      </w:r>
      <w:proofErr w:type="spellEnd"/>
      <w:r w:rsidRPr="00CC19F7">
        <w:t xml:space="preserve"> som </w:t>
      </w:r>
      <w:proofErr w:type="spellStart"/>
      <w:r w:rsidRPr="00CC19F7">
        <w:t>forbetrar</w:t>
      </w:r>
      <w:proofErr w:type="spellEnd"/>
      <w:r w:rsidRPr="00CC19F7">
        <w:t xml:space="preserve"> HMS og sikring i petroleumsnæringa</w:t>
      </w:r>
    </w:p>
    <w:p w14:paraId="700D2C99" w14:textId="77777777" w:rsidR="00FE02EF" w:rsidRPr="00CC19F7" w:rsidRDefault="00881E58" w:rsidP="00CC19F7">
      <w:r w:rsidRPr="00CC19F7">
        <w:t xml:space="preserve">Forskingsinnsatsen og teknologiutviklinga skal ha </w:t>
      </w:r>
      <w:proofErr w:type="spellStart"/>
      <w:r w:rsidRPr="00CC19F7">
        <w:t>føreseielege</w:t>
      </w:r>
      <w:proofErr w:type="spellEnd"/>
      <w:r w:rsidRPr="00CC19F7">
        <w:t xml:space="preserve"> rammevilkår, </w:t>
      </w:r>
      <w:proofErr w:type="spellStart"/>
      <w:r w:rsidRPr="00CC19F7">
        <w:t>vere</w:t>
      </w:r>
      <w:proofErr w:type="spellEnd"/>
      <w:r w:rsidRPr="00CC19F7">
        <w:t xml:space="preserve"> langsiktig og samtidig tilpassingsdyktig til nye behov og </w:t>
      </w:r>
      <w:proofErr w:type="spellStart"/>
      <w:r w:rsidRPr="00CC19F7">
        <w:t>endringar</w:t>
      </w:r>
      <w:proofErr w:type="spellEnd"/>
      <w:r w:rsidRPr="00CC19F7">
        <w:t xml:space="preserve"> i samfunnet. </w:t>
      </w:r>
      <w:proofErr w:type="spellStart"/>
      <w:r w:rsidRPr="00CC19F7">
        <w:t>Offentleg</w:t>
      </w:r>
      <w:proofErr w:type="spellEnd"/>
      <w:r w:rsidRPr="00CC19F7">
        <w:t xml:space="preserve"> støtte skal forsterke og utløyse </w:t>
      </w:r>
      <w:proofErr w:type="spellStart"/>
      <w:r w:rsidRPr="00CC19F7">
        <w:t>auka</w:t>
      </w:r>
      <w:proofErr w:type="spellEnd"/>
      <w:r w:rsidRPr="00CC19F7">
        <w:t xml:space="preserve"> aktivitet i </w:t>
      </w:r>
      <w:proofErr w:type="spellStart"/>
      <w:r w:rsidRPr="00CC19F7">
        <w:t>næringane</w:t>
      </w:r>
      <w:proofErr w:type="spellEnd"/>
      <w:r w:rsidRPr="00CC19F7">
        <w:t xml:space="preserve"> si eiga satsing på FoU. </w:t>
      </w:r>
      <w:proofErr w:type="spellStart"/>
      <w:r w:rsidRPr="00CC19F7">
        <w:t>Midlane</w:t>
      </w:r>
      <w:proofErr w:type="spellEnd"/>
      <w:r w:rsidRPr="00CC19F7">
        <w:t xml:space="preserve"> skal gå til prosjekt med samfunnsøkonomisk nytte som </w:t>
      </w:r>
      <w:proofErr w:type="spellStart"/>
      <w:r w:rsidRPr="00CC19F7">
        <w:t>ikkje</w:t>
      </w:r>
      <w:proofErr w:type="spellEnd"/>
      <w:r w:rsidRPr="00CC19F7">
        <w:t xml:space="preserve"> ville blitt realiserte eller realiserte i mindre omfang </w:t>
      </w:r>
      <w:proofErr w:type="spellStart"/>
      <w:r w:rsidRPr="00CC19F7">
        <w:t>utan</w:t>
      </w:r>
      <w:proofErr w:type="spellEnd"/>
      <w:r w:rsidRPr="00CC19F7">
        <w:t xml:space="preserve"> støtte.</w:t>
      </w:r>
    </w:p>
    <w:p w14:paraId="4474CB37" w14:textId="77777777" w:rsidR="00FE02EF" w:rsidRPr="00CC19F7" w:rsidRDefault="00881E58" w:rsidP="00CC19F7">
      <w:r w:rsidRPr="00CC19F7">
        <w:t xml:space="preserve">Regjeringa har som </w:t>
      </w:r>
      <w:proofErr w:type="spellStart"/>
      <w:r w:rsidRPr="00CC19F7">
        <w:t>ein</w:t>
      </w:r>
      <w:proofErr w:type="spellEnd"/>
      <w:r w:rsidRPr="00CC19F7">
        <w:t xml:space="preserve"> del av eksportløftet sett i verk tiltak som kan bidra til å nå målet om å </w:t>
      </w:r>
      <w:proofErr w:type="spellStart"/>
      <w:r w:rsidRPr="00CC19F7">
        <w:t>auke</w:t>
      </w:r>
      <w:proofErr w:type="spellEnd"/>
      <w:r w:rsidRPr="00CC19F7">
        <w:t xml:space="preserve"> eksporten </w:t>
      </w:r>
      <w:proofErr w:type="spellStart"/>
      <w:r w:rsidRPr="00CC19F7">
        <w:t>utanom</w:t>
      </w:r>
      <w:proofErr w:type="spellEnd"/>
      <w:r w:rsidRPr="00CC19F7">
        <w:t xml:space="preserve"> olje og gass. Innovasjon </w:t>
      </w:r>
      <w:proofErr w:type="spellStart"/>
      <w:r w:rsidRPr="00CC19F7">
        <w:t>Noreg</w:t>
      </w:r>
      <w:proofErr w:type="spellEnd"/>
      <w:r w:rsidRPr="00CC19F7">
        <w:t xml:space="preserve"> og Norwegian Energy Partners (NORWEP) er sentrale </w:t>
      </w:r>
      <w:proofErr w:type="spellStart"/>
      <w:r w:rsidRPr="00CC19F7">
        <w:t>verkemiddel</w:t>
      </w:r>
      <w:proofErr w:type="spellEnd"/>
      <w:r w:rsidRPr="00CC19F7">
        <w:t xml:space="preserve"> i denne satsinga.</w:t>
      </w:r>
    </w:p>
    <w:p w14:paraId="4FA4CA88" w14:textId="0B9778FF" w:rsidR="00FE02EF" w:rsidRDefault="00881E58" w:rsidP="00CC19F7">
      <w:proofErr w:type="spellStart"/>
      <w:r w:rsidRPr="00CC19F7">
        <w:t>Eit</w:t>
      </w:r>
      <w:proofErr w:type="spellEnd"/>
      <w:r w:rsidRPr="00CC19F7">
        <w:t xml:space="preserve"> godt samarbeid på tvers av </w:t>
      </w:r>
      <w:proofErr w:type="spellStart"/>
      <w:r w:rsidRPr="00CC19F7">
        <w:t>verkemiddelaktørane</w:t>
      </w:r>
      <w:proofErr w:type="spellEnd"/>
      <w:r w:rsidRPr="00CC19F7">
        <w:t xml:space="preserve"> er nødvendig. Det er også sentralt at næringslivet </w:t>
      </w:r>
      <w:proofErr w:type="spellStart"/>
      <w:r w:rsidRPr="00CC19F7">
        <w:t>sjølv</w:t>
      </w:r>
      <w:proofErr w:type="spellEnd"/>
      <w:r w:rsidRPr="00CC19F7">
        <w:t xml:space="preserve"> held fram med å bidra både finansielt og med </w:t>
      </w:r>
      <w:proofErr w:type="spellStart"/>
      <w:r w:rsidRPr="00CC19F7">
        <w:t>faglege</w:t>
      </w:r>
      <w:proofErr w:type="spellEnd"/>
      <w:r w:rsidRPr="00CC19F7">
        <w:t xml:space="preserve"> </w:t>
      </w:r>
      <w:proofErr w:type="spellStart"/>
      <w:r w:rsidRPr="00CC19F7">
        <w:t>ressursar</w:t>
      </w:r>
      <w:proofErr w:type="spellEnd"/>
      <w:r w:rsidRPr="00CC19F7">
        <w:t xml:space="preserve">, slik at innsatsen blir gjord ut </w:t>
      </w:r>
      <w:proofErr w:type="spellStart"/>
      <w:r w:rsidRPr="00CC19F7">
        <w:t>frå</w:t>
      </w:r>
      <w:proofErr w:type="spellEnd"/>
      <w:r w:rsidRPr="00CC19F7">
        <w:t xml:space="preserve"> </w:t>
      </w:r>
      <w:proofErr w:type="spellStart"/>
      <w:r w:rsidRPr="00CC19F7">
        <w:t>dei</w:t>
      </w:r>
      <w:proofErr w:type="spellEnd"/>
      <w:r w:rsidRPr="00CC19F7">
        <w:t xml:space="preserve"> samla </w:t>
      </w:r>
      <w:proofErr w:type="spellStart"/>
      <w:r w:rsidRPr="00CC19F7">
        <w:t>marknadsprioriteringane</w:t>
      </w:r>
      <w:proofErr w:type="spellEnd"/>
      <w:r w:rsidRPr="00CC19F7">
        <w:t xml:space="preserve"> til næringslivet.</w:t>
      </w:r>
    </w:p>
    <w:p w14:paraId="4D098F99" w14:textId="02D6CCEF" w:rsidR="00A74556" w:rsidRPr="00CC19F7" w:rsidRDefault="00A74556" w:rsidP="00A74556">
      <w:pPr>
        <w:pStyle w:val="tabell-tittel"/>
      </w:pPr>
      <w:r w:rsidRPr="00CC19F7">
        <w:t xml:space="preserve">Oversikt over sentrale </w:t>
      </w:r>
      <w:proofErr w:type="spellStart"/>
      <w:r w:rsidRPr="00CC19F7">
        <w:t>strategiar</w:t>
      </w:r>
      <w:proofErr w:type="spellEnd"/>
      <w:r w:rsidRPr="00CC19F7">
        <w:t xml:space="preserve"> og </w:t>
      </w:r>
      <w:proofErr w:type="spellStart"/>
      <w:r w:rsidRPr="00CC19F7">
        <w:t>verkemiddelaktørar</w:t>
      </w:r>
      <w:proofErr w:type="spellEnd"/>
    </w:p>
    <w:p w14:paraId="7FFA9D2B" w14:textId="77777777" w:rsidR="00FE02EF" w:rsidRPr="00CC19F7" w:rsidRDefault="00881E58" w:rsidP="00CC19F7">
      <w:pPr>
        <w:pStyle w:val="Tabellnavn"/>
      </w:pPr>
      <w:r w:rsidRPr="00CC19F7">
        <w:t>02J1xx2</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2620"/>
        <w:gridCol w:w="6920"/>
      </w:tblGrid>
      <w:tr w:rsidR="00FE02EF" w:rsidRPr="00CC19F7" w14:paraId="7E91D99F" w14:textId="77777777" w:rsidTr="00A74556">
        <w:trPr>
          <w:trHeight w:val="360"/>
        </w:trPr>
        <w:tc>
          <w:tcPr>
            <w:tcW w:w="2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C8F1580" w14:textId="77777777" w:rsidR="00FE02EF" w:rsidRPr="00CC19F7" w:rsidRDefault="00881E58" w:rsidP="00CC19F7">
            <w:proofErr w:type="spellStart"/>
            <w:r w:rsidRPr="00CC19F7">
              <w:t>Verkemiddel</w:t>
            </w:r>
            <w:proofErr w:type="spellEnd"/>
          </w:p>
        </w:tc>
        <w:tc>
          <w:tcPr>
            <w:tcW w:w="6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8389AA8" w14:textId="77777777" w:rsidR="00FE02EF" w:rsidRPr="00CC19F7" w:rsidRDefault="00881E58" w:rsidP="00CC19F7">
            <w:r w:rsidRPr="00CC19F7">
              <w:t>Formål</w:t>
            </w:r>
          </w:p>
        </w:tc>
      </w:tr>
      <w:tr w:rsidR="00FE02EF" w:rsidRPr="00CC19F7" w14:paraId="0DF68B47" w14:textId="77777777" w:rsidTr="00A74556">
        <w:trPr>
          <w:trHeight w:val="1140"/>
        </w:trPr>
        <w:tc>
          <w:tcPr>
            <w:tcW w:w="2620" w:type="dxa"/>
            <w:tcBorders>
              <w:top w:val="single" w:sz="4" w:space="0" w:color="000000"/>
              <w:left w:val="nil"/>
              <w:bottom w:val="single" w:sz="4" w:space="0" w:color="000000"/>
              <w:right w:val="nil"/>
            </w:tcBorders>
            <w:tcMar>
              <w:top w:w="128" w:type="dxa"/>
              <w:left w:w="43" w:type="dxa"/>
              <w:bottom w:w="43" w:type="dxa"/>
              <w:right w:w="43" w:type="dxa"/>
            </w:tcMar>
          </w:tcPr>
          <w:p w14:paraId="3C56AA9D" w14:textId="77777777" w:rsidR="00FE02EF" w:rsidRPr="00CC19F7" w:rsidRDefault="00881E58" w:rsidP="00CC19F7">
            <w:r w:rsidRPr="00CC19F7">
              <w:t>Energi21</w:t>
            </w:r>
          </w:p>
        </w:tc>
        <w:tc>
          <w:tcPr>
            <w:tcW w:w="6920" w:type="dxa"/>
            <w:tcBorders>
              <w:top w:val="single" w:sz="4" w:space="0" w:color="000000"/>
              <w:left w:val="nil"/>
              <w:bottom w:val="single" w:sz="4" w:space="0" w:color="000000"/>
              <w:right w:val="nil"/>
            </w:tcBorders>
            <w:tcMar>
              <w:top w:w="128" w:type="dxa"/>
              <w:left w:w="43" w:type="dxa"/>
              <w:bottom w:w="43" w:type="dxa"/>
              <w:right w:w="43" w:type="dxa"/>
            </w:tcMar>
          </w:tcPr>
          <w:p w14:paraId="63DC1AA1" w14:textId="77777777" w:rsidR="00FE02EF" w:rsidRPr="00CC19F7" w:rsidRDefault="00881E58" w:rsidP="00CC19F7">
            <w:r w:rsidRPr="00CC19F7">
              <w:t xml:space="preserve">Gjennom </w:t>
            </w:r>
            <w:proofErr w:type="spellStart"/>
            <w:r w:rsidRPr="00CC19F7">
              <w:t>ein</w:t>
            </w:r>
            <w:proofErr w:type="spellEnd"/>
            <w:r w:rsidRPr="00CC19F7">
              <w:t xml:space="preserve"> eigen strategi gir Energi21 råd om tematisk og finansiell satsing på forsking og innovasjon </w:t>
            </w:r>
            <w:proofErr w:type="spellStart"/>
            <w:r w:rsidRPr="00CC19F7">
              <w:t>innan</w:t>
            </w:r>
            <w:proofErr w:type="spellEnd"/>
            <w:r w:rsidRPr="00CC19F7">
              <w:t xml:space="preserve"> fornybar energi og klimavennlege </w:t>
            </w:r>
            <w:proofErr w:type="spellStart"/>
            <w:r w:rsidRPr="00CC19F7">
              <w:t>energiteknologiar</w:t>
            </w:r>
            <w:proofErr w:type="spellEnd"/>
            <w:r w:rsidRPr="00CC19F7">
              <w:t xml:space="preserve">. Energi21 er </w:t>
            </w:r>
            <w:proofErr w:type="spellStart"/>
            <w:r w:rsidRPr="00CC19F7">
              <w:t>eit</w:t>
            </w:r>
            <w:proofErr w:type="spellEnd"/>
            <w:r w:rsidRPr="00CC19F7">
              <w:t xml:space="preserve"> permanent strategiorgan med </w:t>
            </w:r>
            <w:proofErr w:type="spellStart"/>
            <w:r w:rsidRPr="00CC19F7">
              <w:t>eit</w:t>
            </w:r>
            <w:proofErr w:type="spellEnd"/>
            <w:r w:rsidRPr="00CC19F7">
              <w:t xml:space="preserve"> eige, næringsdrive styre </w:t>
            </w:r>
            <w:proofErr w:type="spellStart"/>
            <w:r w:rsidRPr="00CC19F7">
              <w:t>utnemnt</w:t>
            </w:r>
            <w:proofErr w:type="spellEnd"/>
            <w:r w:rsidRPr="00CC19F7">
              <w:t xml:space="preserve"> av olje- og energiministeren. </w:t>
            </w:r>
          </w:p>
        </w:tc>
      </w:tr>
      <w:tr w:rsidR="00FE02EF" w:rsidRPr="00CC19F7" w14:paraId="2BF85CFC" w14:textId="77777777" w:rsidTr="00A74556">
        <w:trPr>
          <w:trHeight w:val="1140"/>
        </w:trPr>
        <w:tc>
          <w:tcPr>
            <w:tcW w:w="2620" w:type="dxa"/>
            <w:tcBorders>
              <w:top w:val="single" w:sz="4" w:space="0" w:color="000000"/>
              <w:left w:val="nil"/>
              <w:bottom w:val="single" w:sz="4" w:space="0" w:color="000000"/>
              <w:right w:val="nil"/>
            </w:tcBorders>
            <w:tcMar>
              <w:top w:w="128" w:type="dxa"/>
              <w:left w:w="43" w:type="dxa"/>
              <w:bottom w:w="43" w:type="dxa"/>
              <w:right w:w="43" w:type="dxa"/>
            </w:tcMar>
          </w:tcPr>
          <w:p w14:paraId="4649CEC7" w14:textId="77777777" w:rsidR="00FE02EF" w:rsidRPr="00CC19F7" w:rsidRDefault="00881E58" w:rsidP="00CC19F7">
            <w:r w:rsidRPr="00CC19F7">
              <w:t>OG21</w:t>
            </w:r>
          </w:p>
        </w:tc>
        <w:tc>
          <w:tcPr>
            <w:tcW w:w="6920" w:type="dxa"/>
            <w:tcBorders>
              <w:top w:val="single" w:sz="4" w:space="0" w:color="000000"/>
              <w:left w:val="nil"/>
              <w:bottom w:val="single" w:sz="4" w:space="0" w:color="000000"/>
              <w:right w:val="nil"/>
            </w:tcBorders>
            <w:tcMar>
              <w:top w:w="128" w:type="dxa"/>
              <w:left w:w="43" w:type="dxa"/>
              <w:bottom w:w="43" w:type="dxa"/>
              <w:right w:w="43" w:type="dxa"/>
            </w:tcMar>
          </w:tcPr>
          <w:p w14:paraId="188E73AC" w14:textId="77777777" w:rsidR="00FE02EF" w:rsidRPr="00CC19F7" w:rsidRDefault="00881E58" w:rsidP="00CC19F7">
            <w:r w:rsidRPr="00CC19F7">
              <w:t xml:space="preserve">Gjennom </w:t>
            </w:r>
            <w:proofErr w:type="spellStart"/>
            <w:r w:rsidRPr="00CC19F7">
              <w:t>ein</w:t>
            </w:r>
            <w:proofErr w:type="spellEnd"/>
            <w:r w:rsidRPr="00CC19F7">
              <w:t xml:space="preserve"> eigen strategi gir OG21 råd om prioriterte teknologiområde som vil </w:t>
            </w:r>
            <w:proofErr w:type="spellStart"/>
            <w:r w:rsidRPr="00CC19F7">
              <w:t>vere</w:t>
            </w:r>
            <w:proofErr w:type="spellEnd"/>
            <w:r w:rsidRPr="00CC19F7">
              <w:t xml:space="preserve"> </w:t>
            </w:r>
            <w:proofErr w:type="spellStart"/>
            <w:r w:rsidRPr="00CC19F7">
              <w:t>avgjerande</w:t>
            </w:r>
            <w:proofErr w:type="spellEnd"/>
            <w:r w:rsidRPr="00CC19F7">
              <w:t xml:space="preserve"> for den </w:t>
            </w:r>
            <w:proofErr w:type="spellStart"/>
            <w:r w:rsidRPr="00CC19F7">
              <w:t>vidare</w:t>
            </w:r>
            <w:proofErr w:type="spellEnd"/>
            <w:r w:rsidRPr="00CC19F7">
              <w:t xml:space="preserve"> utviklinga av petroleumsaktiviteten. OG21 er </w:t>
            </w:r>
            <w:proofErr w:type="spellStart"/>
            <w:r w:rsidRPr="00CC19F7">
              <w:t>eit</w:t>
            </w:r>
            <w:proofErr w:type="spellEnd"/>
            <w:r w:rsidRPr="00CC19F7">
              <w:t xml:space="preserve"> permanent strategiorgan med </w:t>
            </w:r>
            <w:proofErr w:type="spellStart"/>
            <w:r w:rsidRPr="00CC19F7">
              <w:t>eit</w:t>
            </w:r>
            <w:proofErr w:type="spellEnd"/>
            <w:r w:rsidRPr="00CC19F7">
              <w:t xml:space="preserve"> eige, næringsdrive styre </w:t>
            </w:r>
            <w:proofErr w:type="spellStart"/>
            <w:r w:rsidRPr="00CC19F7">
              <w:t>utnemnt</w:t>
            </w:r>
            <w:proofErr w:type="spellEnd"/>
            <w:r w:rsidRPr="00CC19F7">
              <w:t xml:space="preserve"> av olje- og energiministeren.</w:t>
            </w:r>
          </w:p>
        </w:tc>
      </w:tr>
      <w:tr w:rsidR="00FE02EF" w:rsidRPr="00CC19F7" w14:paraId="342B96C1" w14:textId="77777777" w:rsidTr="00A74556">
        <w:trPr>
          <w:trHeight w:val="3200"/>
        </w:trPr>
        <w:tc>
          <w:tcPr>
            <w:tcW w:w="2620" w:type="dxa"/>
            <w:tcBorders>
              <w:top w:val="single" w:sz="4" w:space="0" w:color="000000"/>
              <w:left w:val="nil"/>
              <w:bottom w:val="single" w:sz="4" w:space="0" w:color="000000"/>
              <w:right w:val="nil"/>
            </w:tcBorders>
            <w:tcMar>
              <w:top w:w="128" w:type="dxa"/>
              <w:left w:w="43" w:type="dxa"/>
              <w:bottom w:w="43" w:type="dxa"/>
              <w:right w:w="43" w:type="dxa"/>
            </w:tcMar>
          </w:tcPr>
          <w:p w14:paraId="7213FEAB" w14:textId="77777777" w:rsidR="00FE02EF" w:rsidRPr="00CC19F7" w:rsidRDefault="00881E58" w:rsidP="00CC19F7">
            <w:proofErr w:type="spellStart"/>
            <w:r w:rsidRPr="00CC19F7">
              <w:t>Noregs</w:t>
            </w:r>
            <w:proofErr w:type="spellEnd"/>
            <w:r w:rsidRPr="00CC19F7">
              <w:t xml:space="preserve"> forskingsråd</w:t>
            </w:r>
          </w:p>
        </w:tc>
        <w:tc>
          <w:tcPr>
            <w:tcW w:w="6920" w:type="dxa"/>
            <w:tcBorders>
              <w:top w:val="single" w:sz="4" w:space="0" w:color="000000"/>
              <w:left w:val="nil"/>
              <w:bottom w:val="single" w:sz="4" w:space="0" w:color="000000"/>
              <w:right w:val="nil"/>
            </w:tcBorders>
            <w:tcMar>
              <w:top w:w="128" w:type="dxa"/>
              <w:left w:w="43" w:type="dxa"/>
              <w:bottom w:w="43" w:type="dxa"/>
              <w:right w:w="43" w:type="dxa"/>
            </w:tcMar>
          </w:tcPr>
          <w:p w14:paraId="041DDF22" w14:textId="77777777" w:rsidR="00FE02EF" w:rsidRPr="00CC19F7" w:rsidRDefault="00881E58" w:rsidP="00CC19F7">
            <w:r w:rsidRPr="00CC19F7">
              <w:t xml:space="preserve">Ansvar for å </w:t>
            </w:r>
            <w:proofErr w:type="spellStart"/>
            <w:r w:rsidRPr="00CC19F7">
              <w:t>auke</w:t>
            </w:r>
            <w:proofErr w:type="spellEnd"/>
            <w:r w:rsidRPr="00CC19F7">
              <w:t xml:space="preserve"> kunnskapsgrunnlaget og bidra til å dekke behovet samfunnet har for forsking og teknologiutvikling, ved å fremme </w:t>
            </w:r>
            <w:proofErr w:type="spellStart"/>
            <w:r w:rsidRPr="00CC19F7">
              <w:t>grunnleggande</w:t>
            </w:r>
            <w:proofErr w:type="spellEnd"/>
            <w:r w:rsidRPr="00CC19F7">
              <w:t xml:space="preserve"> og anvend forsking og innovasjon. Forskingsrådet, som er underlagt Kunnskapsdepartementet, har fem mål:</w:t>
            </w:r>
          </w:p>
          <w:p w14:paraId="0905DC51" w14:textId="77777777" w:rsidR="00FE02EF" w:rsidRPr="00CC19F7" w:rsidRDefault="00881E58" w:rsidP="00CC19F7">
            <w:pPr>
              <w:pStyle w:val="Liste"/>
            </w:pPr>
            <w:proofErr w:type="spellStart"/>
            <w:r w:rsidRPr="00CC19F7">
              <w:t>auke</w:t>
            </w:r>
            <w:proofErr w:type="spellEnd"/>
            <w:r w:rsidRPr="00CC19F7">
              <w:t xml:space="preserve"> den </w:t>
            </w:r>
            <w:proofErr w:type="spellStart"/>
            <w:r w:rsidRPr="00CC19F7">
              <w:t>vitskaplege</w:t>
            </w:r>
            <w:proofErr w:type="spellEnd"/>
            <w:r w:rsidRPr="00CC19F7">
              <w:t xml:space="preserve"> kvaliteten</w:t>
            </w:r>
          </w:p>
          <w:p w14:paraId="40E1D569" w14:textId="77777777" w:rsidR="00FE02EF" w:rsidRPr="00CC19F7" w:rsidRDefault="00881E58" w:rsidP="00CC19F7">
            <w:pPr>
              <w:pStyle w:val="Liste"/>
            </w:pPr>
            <w:proofErr w:type="spellStart"/>
            <w:r w:rsidRPr="00CC19F7">
              <w:t>auke</w:t>
            </w:r>
            <w:proofErr w:type="spellEnd"/>
            <w:r w:rsidRPr="00CC19F7">
              <w:t xml:space="preserve"> verdiskapinga i næringslivet</w:t>
            </w:r>
          </w:p>
          <w:p w14:paraId="32C4E9A6" w14:textId="77777777" w:rsidR="00FE02EF" w:rsidRPr="00CC19F7" w:rsidRDefault="00881E58" w:rsidP="00CC19F7">
            <w:pPr>
              <w:pStyle w:val="Liste"/>
            </w:pPr>
            <w:r w:rsidRPr="00CC19F7">
              <w:t xml:space="preserve">møte store </w:t>
            </w:r>
            <w:proofErr w:type="spellStart"/>
            <w:r w:rsidRPr="00CC19F7">
              <w:t>samfunnsutfordringar</w:t>
            </w:r>
            <w:proofErr w:type="spellEnd"/>
          </w:p>
          <w:p w14:paraId="47444A3D" w14:textId="77777777" w:rsidR="00FE02EF" w:rsidRPr="00CC19F7" w:rsidRDefault="00881E58" w:rsidP="00CC19F7">
            <w:pPr>
              <w:pStyle w:val="Liste"/>
            </w:pPr>
            <w:proofErr w:type="spellStart"/>
            <w:r w:rsidRPr="00CC19F7">
              <w:t>eit</w:t>
            </w:r>
            <w:proofErr w:type="spellEnd"/>
            <w:r w:rsidRPr="00CC19F7">
              <w:t xml:space="preserve"> </w:t>
            </w:r>
            <w:proofErr w:type="spellStart"/>
            <w:r w:rsidRPr="00CC19F7">
              <w:t>velfungerande</w:t>
            </w:r>
            <w:proofErr w:type="spellEnd"/>
            <w:r w:rsidRPr="00CC19F7">
              <w:t xml:space="preserve"> forskingssystem</w:t>
            </w:r>
          </w:p>
          <w:p w14:paraId="21E0E433" w14:textId="77777777" w:rsidR="00FE02EF" w:rsidRPr="00CC19F7" w:rsidRDefault="00881E58" w:rsidP="00CC19F7">
            <w:pPr>
              <w:pStyle w:val="Liste"/>
            </w:pPr>
            <w:r w:rsidRPr="00CC19F7">
              <w:t>god rådgiving</w:t>
            </w:r>
          </w:p>
          <w:p w14:paraId="4B9F2A6E" w14:textId="77777777" w:rsidR="00FE02EF" w:rsidRPr="00CC19F7" w:rsidRDefault="00881E58" w:rsidP="00CC19F7">
            <w:r w:rsidRPr="00CC19F7">
              <w:t xml:space="preserve">Den samla måloppnåinga for </w:t>
            </w:r>
            <w:proofErr w:type="spellStart"/>
            <w:r w:rsidRPr="00CC19F7">
              <w:t>verksemda</w:t>
            </w:r>
            <w:proofErr w:type="spellEnd"/>
            <w:r w:rsidRPr="00CC19F7">
              <w:t xml:space="preserve"> og økonomisituasjonen i </w:t>
            </w:r>
            <w:proofErr w:type="spellStart"/>
            <w:r w:rsidRPr="00CC19F7">
              <w:t>Noregs</w:t>
            </w:r>
            <w:proofErr w:type="spellEnd"/>
            <w:r w:rsidRPr="00CC19F7">
              <w:t xml:space="preserve"> forskingsråd er omtalt i Kunnskapsdepartementets budsjettproposisjon </w:t>
            </w:r>
            <w:r w:rsidRPr="00CC19F7">
              <w:br/>
              <w:t xml:space="preserve">for 2024. </w:t>
            </w:r>
          </w:p>
        </w:tc>
      </w:tr>
      <w:tr w:rsidR="00FE02EF" w:rsidRPr="00CC19F7" w14:paraId="7569F7C3" w14:textId="77777777" w:rsidTr="00A74556">
        <w:trPr>
          <w:trHeight w:val="880"/>
        </w:trPr>
        <w:tc>
          <w:tcPr>
            <w:tcW w:w="2620" w:type="dxa"/>
            <w:tcBorders>
              <w:top w:val="single" w:sz="4" w:space="0" w:color="000000"/>
              <w:left w:val="nil"/>
              <w:bottom w:val="single" w:sz="4" w:space="0" w:color="000000"/>
              <w:right w:val="nil"/>
            </w:tcBorders>
            <w:tcMar>
              <w:top w:w="128" w:type="dxa"/>
              <w:left w:w="43" w:type="dxa"/>
              <w:bottom w:w="43" w:type="dxa"/>
              <w:right w:w="43" w:type="dxa"/>
            </w:tcMar>
          </w:tcPr>
          <w:p w14:paraId="074326F5" w14:textId="77777777" w:rsidR="00FE02EF" w:rsidRPr="00CC19F7" w:rsidRDefault="00881E58" w:rsidP="00CC19F7">
            <w:r w:rsidRPr="00CC19F7">
              <w:t>Gassnova SF</w:t>
            </w:r>
          </w:p>
        </w:tc>
        <w:tc>
          <w:tcPr>
            <w:tcW w:w="6920" w:type="dxa"/>
            <w:tcBorders>
              <w:top w:val="single" w:sz="4" w:space="0" w:color="000000"/>
              <w:left w:val="nil"/>
              <w:bottom w:val="single" w:sz="4" w:space="0" w:color="000000"/>
              <w:right w:val="nil"/>
            </w:tcBorders>
            <w:tcMar>
              <w:top w:w="128" w:type="dxa"/>
              <w:left w:w="43" w:type="dxa"/>
              <w:bottom w:w="43" w:type="dxa"/>
              <w:right w:w="43" w:type="dxa"/>
            </w:tcMar>
          </w:tcPr>
          <w:p w14:paraId="363A4B5D" w14:textId="77777777" w:rsidR="00FE02EF" w:rsidRPr="00CC19F7" w:rsidRDefault="00881E58" w:rsidP="00CC19F7">
            <w:r w:rsidRPr="00CC19F7">
              <w:t xml:space="preserve">Fremme teknologiutvikling og kompetanseoppbygging for kostnadseffektive og framtidsretta </w:t>
            </w:r>
            <w:proofErr w:type="spellStart"/>
            <w:r w:rsidRPr="00CC19F7">
              <w:t>løysingar</w:t>
            </w:r>
            <w:proofErr w:type="spellEnd"/>
            <w:r w:rsidRPr="00CC19F7">
              <w:t xml:space="preserve"> for fangst, transport og geologisk </w:t>
            </w:r>
            <w:r w:rsidRPr="00CC19F7">
              <w:br/>
              <w:t>lagring av CO</w:t>
            </w:r>
            <w:r w:rsidRPr="00CC19F7">
              <w:rPr>
                <w:rStyle w:val="skrift-senket"/>
              </w:rPr>
              <w:t>2</w:t>
            </w:r>
            <w:r w:rsidRPr="00CC19F7">
              <w:t xml:space="preserve">. </w:t>
            </w:r>
          </w:p>
        </w:tc>
      </w:tr>
      <w:tr w:rsidR="00FE02EF" w:rsidRPr="00CC19F7" w14:paraId="2DCCC90D" w14:textId="77777777" w:rsidTr="00A74556">
        <w:trPr>
          <w:trHeight w:val="1400"/>
        </w:trPr>
        <w:tc>
          <w:tcPr>
            <w:tcW w:w="2620" w:type="dxa"/>
            <w:tcBorders>
              <w:top w:val="single" w:sz="4" w:space="0" w:color="000000"/>
              <w:left w:val="nil"/>
              <w:bottom w:val="single" w:sz="4" w:space="0" w:color="000000"/>
              <w:right w:val="nil"/>
            </w:tcBorders>
            <w:tcMar>
              <w:top w:w="128" w:type="dxa"/>
              <w:left w:w="43" w:type="dxa"/>
              <w:bottom w:w="43" w:type="dxa"/>
              <w:right w:w="43" w:type="dxa"/>
            </w:tcMar>
          </w:tcPr>
          <w:p w14:paraId="7D52F0E4" w14:textId="77777777" w:rsidR="00FE02EF" w:rsidRPr="00CC19F7" w:rsidRDefault="00881E58" w:rsidP="00CC19F7">
            <w:r w:rsidRPr="00CC19F7">
              <w:t xml:space="preserve">Nordisk Energiforsking </w:t>
            </w:r>
          </w:p>
        </w:tc>
        <w:tc>
          <w:tcPr>
            <w:tcW w:w="6920" w:type="dxa"/>
            <w:tcBorders>
              <w:top w:val="single" w:sz="4" w:space="0" w:color="000000"/>
              <w:left w:val="nil"/>
              <w:bottom w:val="single" w:sz="4" w:space="0" w:color="000000"/>
              <w:right w:val="nil"/>
            </w:tcBorders>
            <w:tcMar>
              <w:top w:w="128" w:type="dxa"/>
              <w:left w:w="43" w:type="dxa"/>
              <w:bottom w:w="43" w:type="dxa"/>
              <w:right w:w="43" w:type="dxa"/>
            </w:tcMar>
          </w:tcPr>
          <w:p w14:paraId="71F0612C" w14:textId="77777777" w:rsidR="00FE02EF" w:rsidRPr="00CC19F7" w:rsidRDefault="00881E58" w:rsidP="00CC19F7">
            <w:proofErr w:type="spellStart"/>
            <w:r w:rsidRPr="00CC19F7">
              <w:t>Støttar</w:t>
            </w:r>
            <w:proofErr w:type="spellEnd"/>
            <w:r w:rsidRPr="00CC19F7">
              <w:t xml:space="preserve"> opp under det nordiske energisamarbeidet gjennom å finansiere </w:t>
            </w:r>
            <w:r w:rsidRPr="00CC19F7">
              <w:br/>
              <w:t xml:space="preserve">og fremme nordisk forskingssamarbeid og skape </w:t>
            </w:r>
            <w:proofErr w:type="spellStart"/>
            <w:r w:rsidRPr="00CC19F7">
              <w:t>eit</w:t>
            </w:r>
            <w:proofErr w:type="spellEnd"/>
            <w:r w:rsidRPr="00CC19F7">
              <w:t xml:space="preserve"> forskingsbasert grunnlag for energipolitiske avgjerder. Nordisk Energiforsking blir </w:t>
            </w:r>
            <w:r w:rsidRPr="00CC19F7">
              <w:br/>
              <w:t xml:space="preserve">finansiert i fellesskap av </w:t>
            </w:r>
            <w:proofErr w:type="spellStart"/>
            <w:r w:rsidRPr="00CC19F7">
              <w:t>dei</w:t>
            </w:r>
            <w:proofErr w:type="spellEnd"/>
            <w:r w:rsidRPr="00CC19F7">
              <w:t xml:space="preserve"> nordiske landa og er </w:t>
            </w:r>
            <w:proofErr w:type="spellStart"/>
            <w:r w:rsidRPr="00CC19F7">
              <w:t>underlagd</w:t>
            </w:r>
            <w:proofErr w:type="spellEnd"/>
            <w:r w:rsidRPr="00CC19F7">
              <w:t xml:space="preserve"> </w:t>
            </w:r>
            <w:r w:rsidRPr="00CC19F7">
              <w:br/>
              <w:t>Nordisk ministerråd.</w:t>
            </w:r>
          </w:p>
        </w:tc>
      </w:tr>
      <w:tr w:rsidR="00FE02EF" w:rsidRPr="00CC19F7" w14:paraId="10468E95" w14:textId="77777777" w:rsidTr="00A74556">
        <w:trPr>
          <w:trHeight w:val="880"/>
        </w:trPr>
        <w:tc>
          <w:tcPr>
            <w:tcW w:w="2620" w:type="dxa"/>
            <w:tcBorders>
              <w:top w:val="single" w:sz="4" w:space="0" w:color="000000"/>
              <w:left w:val="nil"/>
              <w:bottom w:val="single" w:sz="4" w:space="0" w:color="000000"/>
              <w:right w:val="nil"/>
            </w:tcBorders>
            <w:tcMar>
              <w:top w:w="128" w:type="dxa"/>
              <w:left w:w="43" w:type="dxa"/>
              <w:bottom w:w="43" w:type="dxa"/>
              <w:right w:w="43" w:type="dxa"/>
            </w:tcMar>
          </w:tcPr>
          <w:p w14:paraId="2449B923" w14:textId="77777777" w:rsidR="00FE02EF" w:rsidRPr="00CC19F7" w:rsidRDefault="00881E58" w:rsidP="00CC19F7">
            <w:r w:rsidRPr="00CC19F7">
              <w:t xml:space="preserve">Teknologisenter Mongstad </w:t>
            </w:r>
          </w:p>
        </w:tc>
        <w:tc>
          <w:tcPr>
            <w:tcW w:w="6920" w:type="dxa"/>
            <w:tcBorders>
              <w:top w:val="single" w:sz="4" w:space="0" w:color="000000"/>
              <w:left w:val="nil"/>
              <w:bottom w:val="single" w:sz="4" w:space="0" w:color="000000"/>
              <w:right w:val="nil"/>
            </w:tcBorders>
            <w:tcMar>
              <w:top w:w="128" w:type="dxa"/>
              <w:left w:w="43" w:type="dxa"/>
              <w:bottom w:w="43" w:type="dxa"/>
              <w:right w:w="43" w:type="dxa"/>
            </w:tcMar>
          </w:tcPr>
          <w:p w14:paraId="3B503D25" w14:textId="77777777" w:rsidR="00FE02EF" w:rsidRPr="00CC19F7" w:rsidRDefault="00881E58" w:rsidP="00CC19F7">
            <w:r w:rsidRPr="00CC19F7">
              <w:t>Bidra til teknologiutvikling og kvalifisering av teknologi for større utbreiing av CO</w:t>
            </w:r>
            <w:r w:rsidRPr="00CC19F7">
              <w:rPr>
                <w:rStyle w:val="skrift-senket"/>
              </w:rPr>
              <w:t>2</w:t>
            </w:r>
            <w:r w:rsidRPr="00CC19F7">
              <w:t xml:space="preserve">-fangst globalt og for reduksjon i kostnader og risiko </w:t>
            </w:r>
            <w:r w:rsidRPr="00CC19F7">
              <w:br/>
              <w:t>ved fullskala CO</w:t>
            </w:r>
            <w:r w:rsidRPr="00CC19F7">
              <w:rPr>
                <w:rStyle w:val="skrift-senket"/>
              </w:rPr>
              <w:t>2</w:t>
            </w:r>
            <w:r w:rsidRPr="00CC19F7">
              <w:t>-fangst.</w:t>
            </w:r>
          </w:p>
        </w:tc>
      </w:tr>
      <w:tr w:rsidR="00FE02EF" w:rsidRPr="00CC19F7" w14:paraId="793F83E4" w14:textId="77777777" w:rsidTr="00A74556">
        <w:trPr>
          <w:trHeight w:val="880"/>
        </w:trPr>
        <w:tc>
          <w:tcPr>
            <w:tcW w:w="2620" w:type="dxa"/>
            <w:tcBorders>
              <w:top w:val="single" w:sz="4" w:space="0" w:color="000000"/>
              <w:left w:val="nil"/>
              <w:bottom w:val="single" w:sz="4" w:space="0" w:color="000000"/>
              <w:right w:val="nil"/>
            </w:tcBorders>
            <w:tcMar>
              <w:top w:w="128" w:type="dxa"/>
              <w:left w:w="43" w:type="dxa"/>
              <w:bottom w:w="43" w:type="dxa"/>
              <w:right w:w="43" w:type="dxa"/>
            </w:tcMar>
          </w:tcPr>
          <w:p w14:paraId="7DD8B14F" w14:textId="77777777" w:rsidR="00FE02EF" w:rsidRPr="00CC19F7" w:rsidRDefault="00881E58" w:rsidP="00CC19F7">
            <w:r w:rsidRPr="00CC19F7">
              <w:t>Langskip</w:t>
            </w:r>
          </w:p>
        </w:tc>
        <w:tc>
          <w:tcPr>
            <w:tcW w:w="6920" w:type="dxa"/>
            <w:tcBorders>
              <w:top w:val="single" w:sz="4" w:space="0" w:color="000000"/>
              <w:left w:val="nil"/>
              <w:bottom w:val="single" w:sz="4" w:space="0" w:color="000000"/>
              <w:right w:val="nil"/>
            </w:tcBorders>
            <w:tcMar>
              <w:top w:w="128" w:type="dxa"/>
              <w:left w:w="43" w:type="dxa"/>
              <w:bottom w:w="43" w:type="dxa"/>
              <w:right w:w="43" w:type="dxa"/>
            </w:tcMar>
          </w:tcPr>
          <w:p w14:paraId="7D1712F7" w14:textId="77777777" w:rsidR="00FE02EF" w:rsidRPr="00CC19F7" w:rsidRDefault="00881E58" w:rsidP="00CC19F7">
            <w:r w:rsidRPr="00CC19F7">
              <w:t>Demonstrere at CO</w:t>
            </w:r>
            <w:r w:rsidRPr="00CC19F7">
              <w:rPr>
                <w:rStyle w:val="skrift-senket"/>
              </w:rPr>
              <w:t>2</w:t>
            </w:r>
            <w:r w:rsidRPr="00CC19F7">
              <w:t xml:space="preserve">-handtering er trygt og </w:t>
            </w:r>
            <w:proofErr w:type="spellStart"/>
            <w:r w:rsidRPr="00CC19F7">
              <w:t>mogleg</w:t>
            </w:r>
            <w:proofErr w:type="spellEnd"/>
            <w:r w:rsidRPr="00CC19F7">
              <w:t xml:space="preserve">, og i tillegg legge </w:t>
            </w:r>
            <w:r w:rsidRPr="00CC19F7">
              <w:br/>
              <w:t xml:space="preserve">til rette for læring og </w:t>
            </w:r>
            <w:proofErr w:type="spellStart"/>
            <w:r w:rsidRPr="00CC19F7">
              <w:t>kostnadsreduksjonar</w:t>
            </w:r>
            <w:proofErr w:type="spellEnd"/>
            <w:r w:rsidRPr="00CC19F7">
              <w:t xml:space="preserve"> for </w:t>
            </w:r>
            <w:proofErr w:type="spellStart"/>
            <w:r w:rsidRPr="00CC19F7">
              <w:t>etterfølgande</w:t>
            </w:r>
            <w:proofErr w:type="spellEnd"/>
            <w:r w:rsidRPr="00CC19F7">
              <w:t xml:space="preserve"> prosjekt </w:t>
            </w:r>
            <w:r w:rsidRPr="00CC19F7">
              <w:br/>
              <w:t>i Europa og verda.</w:t>
            </w:r>
          </w:p>
        </w:tc>
      </w:tr>
      <w:tr w:rsidR="00FE02EF" w:rsidRPr="00CC19F7" w14:paraId="3FA207DC" w14:textId="77777777" w:rsidTr="00A74556">
        <w:trPr>
          <w:trHeight w:val="880"/>
        </w:trPr>
        <w:tc>
          <w:tcPr>
            <w:tcW w:w="2620" w:type="dxa"/>
            <w:tcBorders>
              <w:top w:val="single" w:sz="4" w:space="0" w:color="000000"/>
              <w:left w:val="nil"/>
              <w:bottom w:val="single" w:sz="4" w:space="0" w:color="000000"/>
              <w:right w:val="nil"/>
            </w:tcBorders>
            <w:tcMar>
              <w:top w:w="128" w:type="dxa"/>
              <w:left w:w="43" w:type="dxa"/>
              <w:bottom w:w="43" w:type="dxa"/>
              <w:right w:w="43" w:type="dxa"/>
            </w:tcMar>
          </w:tcPr>
          <w:p w14:paraId="14B3ACE7" w14:textId="77777777" w:rsidR="00FE02EF" w:rsidRPr="00CC19F7" w:rsidRDefault="00881E58" w:rsidP="00CC19F7">
            <w:r w:rsidRPr="00CC19F7">
              <w:t xml:space="preserve">Norwegian Energy Partners </w:t>
            </w:r>
          </w:p>
        </w:tc>
        <w:tc>
          <w:tcPr>
            <w:tcW w:w="6920" w:type="dxa"/>
            <w:tcBorders>
              <w:top w:val="single" w:sz="4" w:space="0" w:color="000000"/>
              <w:left w:val="nil"/>
              <w:bottom w:val="single" w:sz="4" w:space="0" w:color="000000"/>
              <w:right w:val="nil"/>
            </w:tcBorders>
            <w:tcMar>
              <w:top w:w="128" w:type="dxa"/>
              <w:left w:w="43" w:type="dxa"/>
              <w:bottom w:w="43" w:type="dxa"/>
              <w:right w:w="43" w:type="dxa"/>
            </w:tcMar>
          </w:tcPr>
          <w:p w14:paraId="4BFCE31F" w14:textId="77777777" w:rsidR="00FE02EF" w:rsidRPr="00CC19F7" w:rsidRDefault="00881E58" w:rsidP="00CC19F7">
            <w:r w:rsidRPr="00CC19F7">
              <w:t xml:space="preserve">Styrke det langsiktige grunnlaget for norsk verdiskaping og sysselsetting i energirelaterte </w:t>
            </w:r>
            <w:proofErr w:type="spellStart"/>
            <w:r w:rsidRPr="00CC19F7">
              <w:t>verksemder</w:t>
            </w:r>
            <w:proofErr w:type="spellEnd"/>
            <w:r w:rsidRPr="00CC19F7">
              <w:t xml:space="preserve"> ved å legge til rette for internasjonal forretningsutvikling.</w:t>
            </w:r>
          </w:p>
        </w:tc>
      </w:tr>
      <w:tr w:rsidR="00FE02EF" w:rsidRPr="00CC19F7" w14:paraId="39AF9A2A" w14:textId="77777777" w:rsidTr="00A74556">
        <w:trPr>
          <w:trHeight w:val="1140"/>
        </w:trPr>
        <w:tc>
          <w:tcPr>
            <w:tcW w:w="2620" w:type="dxa"/>
            <w:tcBorders>
              <w:top w:val="single" w:sz="4" w:space="0" w:color="000000"/>
              <w:left w:val="nil"/>
              <w:bottom w:val="single" w:sz="4" w:space="0" w:color="000000"/>
              <w:right w:val="nil"/>
            </w:tcBorders>
            <w:tcMar>
              <w:top w:w="128" w:type="dxa"/>
              <w:left w:w="43" w:type="dxa"/>
              <w:bottom w:w="43" w:type="dxa"/>
              <w:right w:w="43" w:type="dxa"/>
            </w:tcMar>
          </w:tcPr>
          <w:p w14:paraId="46145678" w14:textId="77777777" w:rsidR="00FE02EF" w:rsidRPr="00CC19F7" w:rsidRDefault="00881E58" w:rsidP="00CC19F7">
            <w:r w:rsidRPr="00CC19F7">
              <w:t>Nasjonalt eksportråd</w:t>
            </w:r>
          </w:p>
        </w:tc>
        <w:tc>
          <w:tcPr>
            <w:tcW w:w="6920" w:type="dxa"/>
            <w:tcBorders>
              <w:top w:val="single" w:sz="4" w:space="0" w:color="000000"/>
              <w:left w:val="nil"/>
              <w:bottom w:val="single" w:sz="4" w:space="0" w:color="000000"/>
              <w:right w:val="nil"/>
            </w:tcBorders>
            <w:tcMar>
              <w:top w:w="128" w:type="dxa"/>
              <w:left w:w="43" w:type="dxa"/>
              <w:bottom w:w="43" w:type="dxa"/>
              <w:right w:w="43" w:type="dxa"/>
            </w:tcMar>
          </w:tcPr>
          <w:p w14:paraId="15460161" w14:textId="77777777" w:rsidR="00FE02EF" w:rsidRPr="00CC19F7" w:rsidRDefault="00881E58" w:rsidP="00CC19F7">
            <w:r w:rsidRPr="00CC19F7">
              <w:t xml:space="preserve">Bidra til å samle </w:t>
            </w:r>
            <w:proofErr w:type="spellStart"/>
            <w:r w:rsidRPr="00CC19F7">
              <w:t>dei</w:t>
            </w:r>
            <w:proofErr w:type="spellEnd"/>
            <w:r w:rsidRPr="00CC19F7">
              <w:t xml:space="preserve"> ulike </w:t>
            </w:r>
            <w:proofErr w:type="spellStart"/>
            <w:r w:rsidRPr="00CC19F7">
              <w:t>verkemiddelaktørane</w:t>
            </w:r>
            <w:proofErr w:type="spellEnd"/>
            <w:r w:rsidRPr="00CC19F7">
              <w:t xml:space="preserve"> som jobbar med </w:t>
            </w:r>
            <w:proofErr w:type="spellStart"/>
            <w:r w:rsidRPr="00CC19F7">
              <w:t>eksportnæringane</w:t>
            </w:r>
            <w:proofErr w:type="spellEnd"/>
            <w:r w:rsidRPr="00CC19F7">
              <w:t xml:space="preserve">, gi </w:t>
            </w:r>
            <w:proofErr w:type="spellStart"/>
            <w:r w:rsidRPr="00CC19F7">
              <w:t>innspel</w:t>
            </w:r>
            <w:proofErr w:type="spellEnd"/>
            <w:r w:rsidRPr="00CC19F7">
              <w:t xml:space="preserve"> til større </w:t>
            </w:r>
            <w:proofErr w:type="spellStart"/>
            <w:r w:rsidRPr="00CC19F7">
              <w:t>satsingar</w:t>
            </w:r>
            <w:proofErr w:type="spellEnd"/>
            <w:r w:rsidRPr="00CC19F7">
              <w:t xml:space="preserve"> på eksportfremme og gi </w:t>
            </w:r>
            <w:r w:rsidRPr="00CC19F7">
              <w:br/>
              <w:t xml:space="preserve">regjeringa råd om ei strategisk innretning på eksportarbeidet. Rådet </w:t>
            </w:r>
            <w:r w:rsidRPr="00CC19F7">
              <w:br/>
              <w:t>består av </w:t>
            </w:r>
            <w:proofErr w:type="spellStart"/>
            <w:r w:rsidRPr="00CC19F7">
              <w:t>representantar</w:t>
            </w:r>
            <w:proofErr w:type="spellEnd"/>
            <w:r w:rsidRPr="00CC19F7">
              <w:t xml:space="preserve"> </w:t>
            </w:r>
            <w:proofErr w:type="spellStart"/>
            <w:r w:rsidRPr="00CC19F7">
              <w:t>frå</w:t>
            </w:r>
            <w:proofErr w:type="spellEnd"/>
            <w:r w:rsidRPr="00CC19F7">
              <w:t xml:space="preserve"> næringslivet og </w:t>
            </w:r>
            <w:proofErr w:type="spellStart"/>
            <w:r w:rsidRPr="00CC19F7">
              <w:t>partane</w:t>
            </w:r>
            <w:proofErr w:type="spellEnd"/>
            <w:r w:rsidRPr="00CC19F7">
              <w:t xml:space="preserve"> i arbeidslivet.</w:t>
            </w:r>
          </w:p>
        </w:tc>
      </w:tr>
      <w:tr w:rsidR="00FE02EF" w:rsidRPr="00CC19F7" w14:paraId="00511565" w14:textId="77777777" w:rsidTr="00A74556">
        <w:trPr>
          <w:trHeight w:val="640"/>
        </w:trPr>
        <w:tc>
          <w:tcPr>
            <w:tcW w:w="2620" w:type="dxa"/>
            <w:tcBorders>
              <w:top w:val="single" w:sz="4" w:space="0" w:color="000000"/>
              <w:left w:val="nil"/>
              <w:bottom w:val="single" w:sz="4" w:space="0" w:color="000000"/>
              <w:right w:val="nil"/>
            </w:tcBorders>
            <w:tcMar>
              <w:top w:w="128" w:type="dxa"/>
              <w:left w:w="43" w:type="dxa"/>
              <w:bottom w:w="43" w:type="dxa"/>
              <w:right w:w="43" w:type="dxa"/>
            </w:tcMar>
          </w:tcPr>
          <w:p w14:paraId="20BA1261" w14:textId="77777777" w:rsidR="00FE02EF" w:rsidRPr="00CC19F7" w:rsidRDefault="00881E58" w:rsidP="00CC19F7">
            <w:r w:rsidRPr="00CC19F7">
              <w:t>Team Norway</w:t>
            </w:r>
          </w:p>
        </w:tc>
        <w:tc>
          <w:tcPr>
            <w:tcW w:w="6920" w:type="dxa"/>
            <w:tcBorders>
              <w:top w:val="single" w:sz="4" w:space="0" w:color="000000"/>
              <w:left w:val="nil"/>
              <w:bottom w:val="single" w:sz="4" w:space="0" w:color="000000"/>
              <w:right w:val="nil"/>
            </w:tcBorders>
            <w:tcMar>
              <w:top w:w="128" w:type="dxa"/>
              <w:left w:w="43" w:type="dxa"/>
              <w:bottom w:w="43" w:type="dxa"/>
              <w:right w:w="43" w:type="dxa"/>
            </w:tcMar>
          </w:tcPr>
          <w:p w14:paraId="1D5FD3E7" w14:textId="77777777" w:rsidR="00FE02EF" w:rsidRPr="00CC19F7" w:rsidRDefault="00881E58" w:rsidP="00CC19F7">
            <w:r w:rsidRPr="00CC19F7">
              <w:t xml:space="preserve">Nettverksbasert samarbeid mellom ulike </w:t>
            </w:r>
            <w:proofErr w:type="spellStart"/>
            <w:r w:rsidRPr="00CC19F7">
              <w:t>offentlege</w:t>
            </w:r>
            <w:proofErr w:type="spellEnd"/>
            <w:r w:rsidRPr="00CC19F7">
              <w:t xml:space="preserve"> og private </w:t>
            </w:r>
            <w:proofErr w:type="spellStart"/>
            <w:r w:rsidRPr="00CC19F7">
              <w:t>aktørar</w:t>
            </w:r>
            <w:proofErr w:type="spellEnd"/>
            <w:r w:rsidRPr="00CC19F7">
              <w:t xml:space="preserve"> som jobbar for å fremme norske næringsinteresser internasjonalt.</w:t>
            </w:r>
          </w:p>
        </w:tc>
      </w:tr>
    </w:tbl>
    <w:p w14:paraId="5D9738DC" w14:textId="77777777" w:rsidR="00FE02EF" w:rsidRPr="00CC19F7" w:rsidRDefault="00881E58" w:rsidP="00CC19F7">
      <w:pPr>
        <w:pStyle w:val="Undertittel"/>
      </w:pPr>
      <w:r w:rsidRPr="00CC19F7">
        <w:t xml:space="preserve">Olje- og energidepartementets mål og </w:t>
      </w:r>
      <w:proofErr w:type="spellStart"/>
      <w:r w:rsidRPr="00CC19F7">
        <w:t>oppgåver</w:t>
      </w:r>
      <w:proofErr w:type="spellEnd"/>
    </w:p>
    <w:p w14:paraId="0D6D4A6F" w14:textId="77777777" w:rsidR="00FE02EF" w:rsidRPr="00CC19F7" w:rsidRDefault="00881E58" w:rsidP="00CC19F7">
      <w:r w:rsidRPr="00CC19F7">
        <w:t xml:space="preserve">Departementet vil i 2024 arbeide med å følge opp regjeringas politikk for klima, industri og teknologi </w:t>
      </w:r>
      <w:proofErr w:type="spellStart"/>
      <w:r w:rsidRPr="00CC19F7">
        <w:t>innanfor</w:t>
      </w:r>
      <w:proofErr w:type="spellEnd"/>
      <w:r w:rsidRPr="00CC19F7">
        <w:t xml:space="preserve"> ansvarsområda til Olje- og energidepartementet, jf. Meld. St. 11 (2021–2022) </w:t>
      </w:r>
      <w:r w:rsidRPr="00CC19F7">
        <w:rPr>
          <w:rStyle w:val="kursiv"/>
        </w:rPr>
        <w:t>Tilleggsmelding til Meld. St. 36 (2020–2021) Energi til arbeid – langsiktig verdiskaping fra norske energiressurser</w:t>
      </w:r>
      <w:r w:rsidRPr="00CC19F7">
        <w:t xml:space="preserve">. </w:t>
      </w:r>
      <w:proofErr w:type="spellStart"/>
      <w:r w:rsidRPr="00CC19F7">
        <w:t>Satsingane</w:t>
      </w:r>
      <w:proofErr w:type="spellEnd"/>
      <w:r w:rsidRPr="00CC19F7">
        <w:t xml:space="preserve"> på vindkraft til havs, hydrogen og CO</w:t>
      </w:r>
      <w:r w:rsidRPr="00CC19F7">
        <w:rPr>
          <w:rStyle w:val="skrift-senket"/>
        </w:rPr>
        <w:t>2</w:t>
      </w:r>
      <w:r w:rsidRPr="00CC19F7">
        <w:t xml:space="preserve">-handtering står sentralt i denne </w:t>
      </w:r>
      <w:proofErr w:type="spellStart"/>
      <w:r w:rsidRPr="00CC19F7">
        <w:t>samanhengen</w:t>
      </w:r>
      <w:proofErr w:type="spellEnd"/>
      <w:r w:rsidRPr="00CC19F7">
        <w:t>.</w:t>
      </w:r>
    </w:p>
    <w:p w14:paraId="34CD3720" w14:textId="77777777" w:rsidR="00FE02EF" w:rsidRPr="00CC19F7" w:rsidRDefault="00881E58" w:rsidP="00CC19F7">
      <w:r w:rsidRPr="00CC19F7">
        <w:t xml:space="preserve">Klima- og miljøpolitikken til regjeringa bygger på at alle </w:t>
      </w:r>
      <w:proofErr w:type="spellStart"/>
      <w:r w:rsidRPr="00CC19F7">
        <w:t>samfunnssektorar</w:t>
      </w:r>
      <w:proofErr w:type="spellEnd"/>
      <w:r w:rsidRPr="00CC19F7">
        <w:t xml:space="preserve"> har </w:t>
      </w:r>
      <w:proofErr w:type="spellStart"/>
      <w:r w:rsidRPr="00CC19F7">
        <w:t>eit</w:t>
      </w:r>
      <w:proofErr w:type="spellEnd"/>
      <w:r w:rsidRPr="00CC19F7">
        <w:t xml:space="preserve"> sjølvstendig ansvar for å legge klima- og miljøomsyn til grunn for </w:t>
      </w:r>
      <w:proofErr w:type="spellStart"/>
      <w:r w:rsidRPr="00CC19F7">
        <w:t>aktivitetane</w:t>
      </w:r>
      <w:proofErr w:type="spellEnd"/>
      <w:r w:rsidRPr="00CC19F7">
        <w:t xml:space="preserve"> sine og for å </w:t>
      </w:r>
      <w:proofErr w:type="spellStart"/>
      <w:r w:rsidRPr="00CC19F7">
        <w:t>medverke</w:t>
      </w:r>
      <w:proofErr w:type="spellEnd"/>
      <w:r w:rsidRPr="00CC19F7">
        <w:t xml:space="preserve"> til å nå </w:t>
      </w:r>
      <w:proofErr w:type="spellStart"/>
      <w:r w:rsidRPr="00CC19F7">
        <w:t>dei</w:t>
      </w:r>
      <w:proofErr w:type="spellEnd"/>
      <w:r w:rsidRPr="00CC19F7">
        <w:t xml:space="preserve"> nasjonale klima- og miljømåla og </w:t>
      </w:r>
      <w:proofErr w:type="spellStart"/>
      <w:r w:rsidRPr="00CC19F7">
        <w:t>dei</w:t>
      </w:r>
      <w:proofErr w:type="spellEnd"/>
      <w:r w:rsidRPr="00CC19F7">
        <w:t xml:space="preserve"> internasjonale </w:t>
      </w:r>
      <w:proofErr w:type="spellStart"/>
      <w:r w:rsidRPr="00CC19F7">
        <w:t>forpliktingane</w:t>
      </w:r>
      <w:proofErr w:type="spellEnd"/>
      <w:r w:rsidRPr="00CC19F7">
        <w:t xml:space="preserve"> under mellom anna Parisavtalen og FNs </w:t>
      </w:r>
      <w:proofErr w:type="spellStart"/>
      <w:r w:rsidRPr="00CC19F7">
        <w:t>berekraftsmål</w:t>
      </w:r>
      <w:proofErr w:type="spellEnd"/>
      <w:r w:rsidRPr="00CC19F7">
        <w:t xml:space="preserve">. Gjennom Parisavtalen har </w:t>
      </w:r>
      <w:proofErr w:type="spellStart"/>
      <w:r w:rsidRPr="00CC19F7">
        <w:t>Noreg</w:t>
      </w:r>
      <w:proofErr w:type="spellEnd"/>
      <w:r w:rsidRPr="00CC19F7">
        <w:t xml:space="preserve"> mål om å redusere utsleppa av </w:t>
      </w:r>
      <w:proofErr w:type="spellStart"/>
      <w:r w:rsidRPr="00CC19F7">
        <w:t>klimagassar</w:t>
      </w:r>
      <w:proofErr w:type="spellEnd"/>
      <w:r w:rsidRPr="00CC19F7">
        <w:t xml:space="preserve"> med 55 prosent i 2030 </w:t>
      </w:r>
      <w:proofErr w:type="spellStart"/>
      <w:r w:rsidRPr="00CC19F7">
        <w:t>samanlikna</w:t>
      </w:r>
      <w:proofErr w:type="spellEnd"/>
      <w:r w:rsidRPr="00CC19F7">
        <w:t xml:space="preserve"> med 1990-nivået. Olje- og energidepartementet har ansvar for å sette i verk tiltak på </w:t>
      </w:r>
      <w:proofErr w:type="gramStart"/>
      <w:r w:rsidRPr="00CC19F7">
        <w:t>sine område</w:t>
      </w:r>
      <w:proofErr w:type="gramEnd"/>
      <w:r w:rsidRPr="00CC19F7">
        <w:t xml:space="preserve">. Arbeidet med </w:t>
      </w:r>
      <w:proofErr w:type="spellStart"/>
      <w:r w:rsidRPr="00CC19F7">
        <w:t>lågutsleppshydrogen</w:t>
      </w:r>
      <w:proofErr w:type="spellEnd"/>
      <w:r w:rsidRPr="00CC19F7">
        <w:t>, CO</w:t>
      </w:r>
      <w:r w:rsidRPr="00CC19F7">
        <w:rPr>
          <w:rStyle w:val="skrift-senket"/>
        </w:rPr>
        <w:t>2</w:t>
      </w:r>
      <w:r w:rsidRPr="00CC19F7">
        <w:t xml:space="preserve">-handtering og havvind og satsinga på forsking og utvikling er sentrale </w:t>
      </w:r>
      <w:proofErr w:type="spellStart"/>
      <w:r w:rsidRPr="00CC19F7">
        <w:t>delar</w:t>
      </w:r>
      <w:proofErr w:type="spellEnd"/>
      <w:r w:rsidRPr="00CC19F7">
        <w:t xml:space="preserve"> av regjeringas arbeid for å nå </w:t>
      </w:r>
      <w:proofErr w:type="spellStart"/>
      <w:r w:rsidRPr="00CC19F7">
        <w:t>desse</w:t>
      </w:r>
      <w:proofErr w:type="spellEnd"/>
      <w:r w:rsidRPr="00CC19F7">
        <w:t xml:space="preserve"> måla.</w:t>
      </w:r>
    </w:p>
    <w:p w14:paraId="3FC8A64F" w14:textId="77777777" w:rsidR="00FE02EF" w:rsidRPr="00CC19F7" w:rsidRDefault="00881E58" w:rsidP="00CC19F7">
      <w:pPr>
        <w:pStyle w:val="avsnitt-tittel"/>
      </w:pPr>
      <w:r w:rsidRPr="00CC19F7">
        <w:t>Havvind</w:t>
      </w:r>
    </w:p>
    <w:p w14:paraId="0FA0FCD1" w14:textId="77777777" w:rsidR="00FE02EF" w:rsidRPr="00CC19F7" w:rsidRDefault="00881E58" w:rsidP="00CC19F7">
      <w:r w:rsidRPr="00CC19F7">
        <w:t xml:space="preserve">Regjeringa har </w:t>
      </w:r>
      <w:proofErr w:type="spellStart"/>
      <w:r w:rsidRPr="00CC19F7">
        <w:t>ein</w:t>
      </w:r>
      <w:proofErr w:type="spellEnd"/>
      <w:r w:rsidRPr="00CC19F7">
        <w:t xml:space="preserve"> ambisjon om å tildele areal med kapasitet til 30 GW havvind på norsk sokkel </w:t>
      </w:r>
      <w:proofErr w:type="spellStart"/>
      <w:r w:rsidRPr="00CC19F7">
        <w:t>innan</w:t>
      </w:r>
      <w:proofErr w:type="spellEnd"/>
      <w:r w:rsidRPr="00CC19F7">
        <w:t xml:space="preserve"> 2040. Departementet vil arbeide for at satsinga bidrar til industriutvikling, tilrettelegging for innovasjon og teknologiutvikling og til større utsleppsfri kraftproduksjon i </w:t>
      </w:r>
      <w:proofErr w:type="spellStart"/>
      <w:r w:rsidRPr="00CC19F7">
        <w:t>Noreg</w:t>
      </w:r>
      <w:proofErr w:type="spellEnd"/>
      <w:r w:rsidRPr="00CC19F7">
        <w:t>, i tråd med måla til regjeringa.</w:t>
      </w:r>
    </w:p>
    <w:p w14:paraId="2E0FA8C8" w14:textId="77777777" w:rsidR="00FE02EF" w:rsidRPr="00CC19F7" w:rsidRDefault="00881E58" w:rsidP="00CC19F7">
      <w:r w:rsidRPr="00CC19F7">
        <w:t xml:space="preserve">I 2024 planlegg departementet å tildele </w:t>
      </w:r>
      <w:proofErr w:type="spellStart"/>
      <w:r w:rsidRPr="00CC19F7">
        <w:t>dei</w:t>
      </w:r>
      <w:proofErr w:type="spellEnd"/>
      <w:r w:rsidRPr="00CC19F7">
        <w:t xml:space="preserve"> første prosjektområda for havvind i </w:t>
      </w:r>
      <w:proofErr w:type="spellStart"/>
      <w:r w:rsidRPr="00CC19F7">
        <w:t>Noreg</w:t>
      </w:r>
      <w:proofErr w:type="spellEnd"/>
      <w:r w:rsidRPr="00CC19F7">
        <w:t xml:space="preserve">. Departementet vil gjennomføre ei evaluering av den første tildelingsrunden og førebu havvindutlysinga som er </w:t>
      </w:r>
      <w:proofErr w:type="spellStart"/>
      <w:r w:rsidRPr="00CC19F7">
        <w:t>planlagd</w:t>
      </w:r>
      <w:proofErr w:type="spellEnd"/>
      <w:r w:rsidRPr="00CC19F7">
        <w:t xml:space="preserve"> i 2025. Departementet vil følge opp styrkinga av </w:t>
      </w:r>
      <w:proofErr w:type="spellStart"/>
      <w:r w:rsidRPr="00CC19F7">
        <w:t>energimyndigheitene</w:t>
      </w:r>
      <w:proofErr w:type="spellEnd"/>
      <w:r w:rsidRPr="00CC19F7">
        <w:t xml:space="preserve"> når det </w:t>
      </w:r>
      <w:proofErr w:type="spellStart"/>
      <w:r w:rsidRPr="00CC19F7">
        <w:t>gjeld</w:t>
      </w:r>
      <w:proofErr w:type="spellEnd"/>
      <w:r w:rsidRPr="00CC19F7">
        <w:t xml:space="preserve"> arbeidet med havvind, under dette strategisk konsekvensutgreiing og natur- og miljøkartlegging.</w:t>
      </w:r>
    </w:p>
    <w:p w14:paraId="29CAC5BE" w14:textId="77777777" w:rsidR="00FE02EF" w:rsidRPr="00CC19F7" w:rsidRDefault="00881E58" w:rsidP="00CC19F7">
      <w:r w:rsidRPr="00CC19F7">
        <w:t xml:space="preserve">Departementet vil </w:t>
      </w:r>
      <w:proofErr w:type="spellStart"/>
      <w:r w:rsidRPr="00CC19F7">
        <w:t>halde</w:t>
      </w:r>
      <w:proofErr w:type="spellEnd"/>
      <w:r w:rsidRPr="00CC19F7">
        <w:t xml:space="preserve"> fram med å </w:t>
      </w:r>
      <w:proofErr w:type="spellStart"/>
      <w:r w:rsidRPr="00CC19F7">
        <w:t>vere</w:t>
      </w:r>
      <w:proofErr w:type="spellEnd"/>
      <w:r w:rsidRPr="00CC19F7">
        <w:t xml:space="preserve"> </w:t>
      </w:r>
      <w:proofErr w:type="spellStart"/>
      <w:r w:rsidRPr="00CC19F7">
        <w:t>ein</w:t>
      </w:r>
      <w:proofErr w:type="spellEnd"/>
      <w:r w:rsidRPr="00CC19F7">
        <w:t xml:space="preserve"> aktiv </w:t>
      </w:r>
      <w:proofErr w:type="spellStart"/>
      <w:r w:rsidRPr="00CC19F7">
        <w:t>deltakar</w:t>
      </w:r>
      <w:proofErr w:type="spellEnd"/>
      <w:r w:rsidRPr="00CC19F7">
        <w:t xml:space="preserve"> i Nordsjøsamarbeidet (NSEC), som er </w:t>
      </w:r>
      <w:proofErr w:type="spellStart"/>
      <w:r w:rsidRPr="00CC19F7">
        <w:t>ein</w:t>
      </w:r>
      <w:proofErr w:type="spellEnd"/>
      <w:r w:rsidRPr="00CC19F7">
        <w:t xml:space="preserve"> sentral arena for samarbeid om utvikling av havvind i Nordsjøbassenget. Departementet har også dialog med </w:t>
      </w:r>
      <w:proofErr w:type="spellStart"/>
      <w:r w:rsidRPr="00CC19F7">
        <w:t>myndigheitene</w:t>
      </w:r>
      <w:proofErr w:type="spellEnd"/>
      <w:r w:rsidRPr="00CC19F7">
        <w:t xml:space="preserve"> i andre land og EU om utviklinga av havvind og regelverk for havvind.</w:t>
      </w:r>
    </w:p>
    <w:p w14:paraId="6310CFA1" w14:textId="77777777" w:rsidR="00FE02EF" w:rsidRPr="00CC19F7" w:rsidRDefault="00881E58" w:rsidP="00CC19F7">
      <w:r w:rsidRPr="00CC19F7">
        <w:t xml:space="preserve">Departementet vil i samarbeid med NORWEP arbeide for å realisere vekstpotensialet </w:t>
      </w:r>
      <w:proofErr w:type="spellStart"/>
      <w:r w:rsidRPr="00CC19F7">
        <w:t>innan</w:t>
      </w:r>
      <w:proofErr w:type="spellEnd"/>
      <w:r w:rsidRPr="00CC19F7">
        <w:t xml:space="preserve"> internasjonal omsetning og eksport av norske </w:t>
      </w:r>
      <w:proofErr w:type="spellStart"/>
      <w:r w:rsidRPr="00CC19F7">
        <w:t>havvindløysingar</w:t>
      </w:r>
      <w:proofErr w:type="spellEnd"/>
      <w:r w:rsidRPr="00CC19F7">
        <w:t>.</w:t>
      </w:r>
    </w:p>
    <w:p w14:paraId="16FA49E1" w14:textId="77777777" w:rsidR="00FE02EF" w:rsidRPr="00CC19F7" w:rsidRDefault="00881E58" w:rsidP="00CC19F7">
      <w:pPr>
        <w:pStyle w:val="avsnitt-tittel"/>
      </w:pPr>
      <w:r w:rsidRPr="00CC19F7">
        <w:t>CO</w:t>
      </w:r>
      <w:r w:rsidRPr="00CC19F7">
        <w:rPr>
          <w:rStyle w:val="skrift-senket"/>
        </w:rPr>
        <w:t>2</w:t>
      </w:r>
      <w:r w:rsidRPr="00CC19F7">
        <w:t>-handtering</w:t>
      </w:r>
    </w:p>
    <w:p w14:paraId="1AF0EFEB" w14:textId="77777777" w:rsidR="00FE02EF" w:rsidRPr="00CC19F7" w:rsidRDefault="00881E58" w:rsidP="00CC19F7">
      <w:r w:rsidRPr="00CC19F7">
        <w:t>Olje- og energidepartementet skal legge til rette for utvikling av teknologi for fangst, transport og geologisk lagring eller alternativ bruk av CO</w:t>
      </w:r>
      <w:r w:rsidRPr="00CC19F7">
        <w:rPr>
          <w:rStyle w:val="skrift-senket"/>
        </w:rPr>
        <w:t>2</w:t>
      </w:r>
      <w:r w:rsidRPr="00CC19F7">
        <w:t xml:space="preserve"> som reduserer utslepp av </w:t>
      </w:r>
      <w:proofErr w:type="spellStart"/>
      <w:r w:rsidRPr="00CC19F7">
        <w:t>klimagassar</w:t>
      </w:r>
      <w:proofErr w:type="spellEnd"/>
      <w:r w:rsidRPr="00CC19F7">
        <w:t xml:space="preserve"> og bidrar til utbreiing av CO</w:t>
      </w:r>
      <w:r w:rsidRPr="00CC19F7">
        <w:rPr>
          <w:rStyle w:val="skrift-senket"/>
        </w:rPr>
        <w:t>2</w:t>
      </w:r>
      <w:r w:rsidRPr="00CC19F7">
        <w:t>-handtering internasjonalt.</w:t>
      </w:r>
    </w:p>
    <w:p w14:paraId="2830C02C" w14:textId="77777777" w:rsidR="00FE02EF" w:rsidRPr="00CC19F7" w:rsidRDefault="00881E58" w:rsidP="00CC19F7">
      <w:r w:rsidRPr="00CC19F7">
        <w:t xml:space="preserve">Departementet skal, </w:t>
      </w:r>
      <w:proofErr w:type="spellStart"/>
      <w:r w:rsidRPr="00CC19F7">
        <w:t>saman</w:t>
      </w:r>
      <w:proofErr w:type="spellEnd"/>
      <w:r w:rsidRPr="00CC19F7">
        <w:t xml:space="preserve"> med </w:t>
      </w:r>
      <w:proofErr w:type="spellStart"/>
      <w:r w:rsidRPr="00CC19F7">
        <w:t>utanrikstenesta</w:t>
      </w:r>
      <w:proofErr w:type="spellEnd"/>
      <w:r w:rsidRPr="00CC19F7">
        <w:t xml:space="preserve">, andre departement, </w:t>
      </w:r>
      <w:proofErr w:type="spellStart"/>
      <w:r w:rsidRPr="00CC19F7">
        <w:t>Noregs</w:t>
      </w:r>
      <w:proofErr w:type="spellEnd"/>
      <w:r w:rsidRPr="00CC19F7">
        <w:t xml:space="preserve"> forskingsråd og Gassnova, arbeide for å fremme fangst og lagring av CO</w:t>
      </w:r>
      <w:r w:rsidRPr="00CC19F7">
        <w:rPr>
          <w:rStyle w:val="skrift-senket"/>
        </w:rPr>
        <w:t>2</w:t>
      </w:r>
      <w:r w:rsidRPr="00CC19F7">
        <w:t xml:space="preserve"> internasjonalt. Departementet skal arbeide tett med EU og delta i internasjonalt samarbeid for å dele kunnskap om CO</w:t>
      </w:r>
      <w:r w:rsidRPr="00CC19F7">
        <w:rPr>
          <w:rStyle w:val="skrift-senket"/>
        </w:rPr>
        <w:t>2</w:t>
      </w:r>
      <w:r w:rsidRPr="00CC19F7">
        <w:t>-handtering og bidra til utviklinga av rammer og regelverk for fangst og lagring av CO</w:t>
      </w:r>
      <w:r w:rsidRPr="00CC19F7">
        <w:rPr>
          <w:rStyle w:val="skrift-senket"/>
        </w:rPr>
        <w:t>2</w:t>
      </w:r>
      <w:r w:rsidRPr="00CC19F7">
        <w:t>.</w:t>
      </w:r>
    </w:p>
    <w:p w14:paraId="71491B7E" w14:textId="77777777" w:rsidR="00FE02EF" w:rsidRPr="00CC19F7" w:rsidRDefault="00881E58" w:rsidP="00CC19F7">
      <w:r w:rsidRPr="00CC19F7">
        <w:t xml:space="preserve">Departementet vil i 2024 </w:t>
      </w:r>
      <w:proofErr w:type="spellStart"/>
      <w:r w:rsidRPr="00CC19F7">
        <w:t>halde</w:t>
      </w:r>
      <w:proofErr w:type="spellEnd"/>
      <w:r w:rsidRPr="00CC19F7">
        <w:t xml:space="preserve"> fram med å følge opp Langskip og arbeidet med å realisere </w:t>
      </w:r>
      <w:proofErr w:type="spellStart"/>
      <w:r w:rsidRPr="00CC19F7">
        <w:t>gevinstar</w:t>
      </w:r>
      <w:proofErr w:type="spellEnd"/>
      <w:r w:rsidRPr="00CC19F7">
        <w:t xml:space="preserve"> </w:t>
      </w:r>
      <w:proofErr w:type="spellStart"/>
      <w:r w:rsidRPr="00CC19F7">
        <w:t>frå</w:t>
      </w:r>
      <w:proofErr w:type="spellEnd"/>
      <w:r w:rsidRPr="00CC19F7">
        <w:t xml:space="preserve"> prosjekta. Langskip er venta å starte fangst av CO</w:t>
      </w:r>
      <w:r w:rsidRPr="00CC19F7">
        <w:rPr>
          <w:rStyle w:val="skrift-senket"/>
        </w:rPr>
        <w:t>2</w:t>
      </w:r>
      <w:r w:rsidRPr="00CC19F7">
        <w:t xml:space="preserve"> </w:t>
      </w:r>
      <w:proofErr w:type="spellStart"/>
      <w:r w:rsidRPr="00CC19F7">
        <w:t>frå</w:t>
      </w:r>
      <w:proofErr w:type="spellEnd"/>
      <w:r w:rsidRPr="00CC19F7">
        <w:t xml:space="preserve"> sementfabrikken til Heidelberg Materials i Brevik i 2025. Transport- og lagerprosjektet Northern </w:t>
      </w:r>
      <w:proofErr w:type="spellStart"/>
      <w:r w:rsidRPr="00CC19F7">
        <w:t>Lights</w:t>
      </w:r>
      <w:proofErr w:type="spellEnd"/>
      <w:r w:rsidRPr="00CC19F7">
        <w:t xml:space="preserve"> er venta å </w:t>
      </w:r>
      <w:proofErr w:type="spellStart"/>
      <w:r w:rsidRPr="00CC19F7">
        <w:t>vere</w:t>
      </w:r>
      <w:proofErr w:type="spellEnd"/>
      <w:r w:rsidRPr="00CC19F7">
        <w:t xml:space="preserve"> klart for å ta imot CO</w:t>
      </w:r>
      <w:r w:rsidRPr="00CC19F7">
        <w:rPr>
          <w:rStyle w:val="skrift-senket"/>
        </w:rPr>
        <w:t>2</w:t>
      </w:r>
      <w:r w:rsidRPr="00CC19F7">
        <w:t xml:space="preserve"> i 2024. CO</w:t>
      </w:r>
      <w:r w:rsidRPr="00CC19F7">
        <w:rPr>
          <w:rStyle w:val="skrift-senket"/>
        </w:rPr>
        <w:t>2</w:t>
      </w:r>
      <w:r w:rsidRPr="00CC19F7">
        <w:t xml:space="preserve">-fangstprosjektet til Hafslund Oslo </w:t>
      </w:r>
      <w:proofErr w:type="spellStart"/>
      <w:r w:rsidRPr="00CC19F7">
        <w:t>Celsio</w:t>
      </w:r>
      <w:proofErr w:type="spellEnd"/>
      <w:r w:rsidRPr="00CC19F7">
        <w:t xml:space="preserve"> er sett på vent for arbeide med å redusere kostnadene. Selskapet arbeider mot ei avgjerd om </w:t>
      </w:r>
      <w:proofErr w:type="spellStart"/>
      <w:r w:rsidRPr="00CC19F7">
        <w:t>vidareføring</w:t>
      </w:r>
      <w:proofErr w:type="spellEnd"/>
      <w:r w:rsidRPr="00CC19F7">
        <w:t xml:space="preserve"> i 2024.</w:t>
      </w:r>
    </w:p>
    <w:p w14:paraId="1CB0A3DE" w14:textId="77777777" w:rsidR="00FE02EF" w:rsidRPr="00CC19F7" w:rsidRDefault="00881E58" w:rsidP="00CC19F7">
      <w:r w:rsidRPr="00CC19F7">
        <w:t xml:space="preserve">Departementet vil legge fram ei utgreiing om </w:t>
      </w:r>
      <w:proofErr w:type="spellStart"/>
      <w:r w:rsidRPr="00CC19F7">
        <w:t>verkemiddel</w:t>
      </w:r>
      <w:proofErr w:type="spellEnd"/>
      <w:r w:rsidRPr="00CC19F7">
        <w:t xml:space="preserve"> for CO</w:t>
      </w:r>
      <w:r w:rsidRPr="00CC19F7">
        <w:rPr>
          <w:rStyle w:val="skrift-senket"/>
        </w:rPr>
        <w:t>2</w:t>
      </w:r>
      <w:r w:rsidRPr="00CC19F7">
        <w:t xml:space="preserve">-handtering ved avfallsforbrenning og i industrien. Målet med utgreiinga er å få </w:t>
      </w:r>
      <w:proofErr w:type="spellStart"/>
      <w:r w:rsidRPr="00CC19F7">
        <w:t>eit</w:t>
      </w:r>
      <w:proofErr w:type="spellEnd"/>
      <w:r w:rsidRPr="00CC19F7">
        <w:t xml:space="preserve"> betre kunnskapsgrunnlag om </w:t>
      </w:r>
      <w:proofErr w:type="spellStart"/>
      <w:r w:rsidRPr="00CC19F7">
        <w:t>verkemiddel</w:t>
      </w:r>
      <w:proofErr w:type="spellEnd"/>
      <w:r w:rsidRPr="00CC19F7">
        <w:t xml:space="preserve"> som kan legge til rette for CO</w:t>
      </w:r>
      <w:r w:rsidRPr="00CC19F7">
        <w:rPr>
          <w:rStyle w:val="skrift-senket"/>
        </w:rPr>
        <w:t>2</w:t>
      </w:r>
      <w:r w:rsidRPr="00CC19F7">
        <w:t>-handtering ved avfallsforbrenning og i industrien. Utgreiinga vil ta for seg heile CO</w:t>
      </w:r>
      <w:r w:rsidRPr="00CC19F7">
        <w:rPr>
          <w:rStyle w:val="skrift-senket"/>
        </w:rPr>
        <w:t>2</w:t>
      </w:r>
      <w:r w:rsidRPr="00CC19F7">
        <w:t>-handteringskjeda.</w:t>
      </w:r>
    </w:p>
    <w:p w14:paraId="3F8B2F20" w14:textId="77777777" w:rsidR="00FE02EF" w:rsidRPr="00CC19F7" w:rsidRDefault="00881E58" w:rsidP="00CC19F7">
      <w:r w:rsidRPr="00CC19F7">
        <w:t>Teknologisenteret på Mongstad (TCM) er verdas største og mest fleksible testsenter for CO</w:t>
      </w:r>
      <w:r w:rsidRPr="00CC19F7">
        <w:rPr>
          <w:rStyle w:val="skrift-senket"/>
        </w:rPr>
        <w:t>2</w:t>
      </w:r>
      <w:r w:rsidRPr="00CC19F7">
        <w:t xml:space="preserve">-fangstteknologi. </w:t>
      </w:r>
      <w:proofErr w:type="spellStart"/>
      <w:r w:rsidRPr="00CC19F7">
        <w:t>Deltakaravtalen</w:t>
      </w:r>
      <w:proofErr w:type="spellEnd"/>
      <w:r w:rsidRPr="00CC19F7">
        <w:t xml:space="preserve"> for drift av TCM varer ut 2023. Gassnova </w:t>
      </w:r>
      <w:proofErr w:type="spellStart"/>
      <w:r w:rsidRPr="00CC19F7">
        <w:t>forhandlar</w:t>
      </w:r>
      <w:proofErr w:type="spellEnd"/>
      <w:r w:rsidRPr="00CC19F7">
        <w:t xml:space="preserve"> på vegner av staten med </w:t>
      </w:r>
      <w:proofErr w:type="spellStart"/>
      <w:r w:rsidRPr="00CC19F7">
        <w:t>dei</w:t>
      </w:r>
      <w:proofErr w:type="spellEnd"/>
      <w:r w:rsidRPr="00CC19F7">
        <w:t xml:space="preserve"> industrielle </w:t>
      </w:r>
      <w:proofErr w:type="spellStart"/>
      <w:r w:rsidRPr="00CC19F7">
        <w:t>eigarane</w:t>
      </w:r>
      <w:proofErr w:type="spellEnd"/>
      <w:r w:rsidRPr="00CC19F7">
        <w:t xml:space="preserve">, Shell, </w:t>
      </w:r>
      <w:proofErr w:type="spellStart"/>
      <w:r w:rsidRPr="00CC19F7">
        <w:t>Equinor</w:t>
      </w:r>
      <w:proofErr w:type="spellEnd"/>
      <w:r w:rsidRPr="00CC19F7">
        <w:t xml:space="preserve"> og Total, om ei forlenging av avtalen. Ved forlenging av avtalen vil departementet følge opp Gassnova og arbeidet til </w:t>
      </w:r>
      <w:proofErr w:type="spellStart"/>
      <w:r w:rsidRPr="00CC19F7">
        <w:t>dei</w:t>
      </w:r>
      <w:proofErr w:type="spellEnd"/>
      <w:r w:rsidRPr="00CC19F7">
        <w:t xml:space="preserve"> industrielle </w:t>
      </w:r>
      <w:proofErr w:type="spellStart"/>
      <w:r w:rsidRPr="00CC19F7">
        <w:t>eigarane</w:t>
      </w:r>
      <w:proofErr w:type="spellEnd"/>
      <w:r w:rsidRPr="00CC19F7">
        <w:t xml:space="preserve"> med å lage </w:t>
      </w:r>
      <w:proofErr w:type="spellStart"/>
      <w:r w:rsidRPr="00CC19F7">
        <w:t>ein</w:t>
      </w:r>
      <w:proofErr w:type="spellEnd"/>
      <w:r w:rsidRPr="00CC19F7">
        <w:t xml:space="preserve"> plan for å etablere </w:t>
      </w:r>
      <w:proofErr w:type="spellStart"/>
      <w:r w:rsidRPr="00CC19F7">
        <w:t>ein</w:t>
      </w:r>
      <w:proofErr w:type="spellEnd"/>
      <w:r w:rsidRPr="00CC19F7">
        <w:t xml:space="preserve"> langsiktig og </w:t>
      </w:r>
      <w:proofErr w:type="spellStart"/>
      <w:r w:rsidRPr="00CC19F7">
        <w:t>berekraftig</w:t>
      </w:r>
      <w:proofErr w:type="spellEnd"/>
      <w:r w:rsidRPr="00CC19F7">
        <w:t xml:space="preserve"> forretningsmodell for teknologisenteret.</w:t>
      </w:r>
    </w:p>
    <w:p w14:paraId="599BB04C" w14:textId="77777777" w:rsidR="00FE02EF" w:rsidRPr="00CC19F7" w:rsidRDefault="00881E58" w:rsidP="00CC19F7">
      <w:pPr>
        <w:pStyle w:val="avsnitt-tittel"/>
      </w:pPr>
      <w:r w:rsidRPr="00CC19F7">
        <w:t>Hydrogen</w:t>
      </w:r>
    </w:p>
    <w:p w14:paraId="44C72D00" w14:textId="77777777" w:rsidR="00FE02EF" w:rsidRPr="00CC19F7" w:rsidRDefault="00881E58" w:rsidP="00CC19F7">
      <w:r w:rsidRPr="00CC19F7">
        <w:t xml:space="preserve">Olje- og energidepartementet skal følge opp regjeringas satsing på hydrogen. Dette </w:t>
      </w:r>
      <w:proofErr w:type="spellStart"/>
      <w:r w:rsidRPr="00CC19F7">
        <w:t>inneber</w:t>
      </w:r>
      <w:proofErr w:type="spellEnd"/>
      <w:r w:rsidRPr="00CC19F7">
        <w:t xml:space="preserve"> nær kontakt med </w:t>
      </w:r>
      <w:proofErr w:type="spellStart"/>
      <w:r w:rsidRPr="00CC19F7">
        <w:t>eit</w:t>
      </w:r>
      <w:proofErr w:type="spellEnd"/>
      <w:r w:rsidRPr="00CC19F7">
        <w:t xml:space="preserve"> breitt </w:t>
      </w:r>
      <w:proofErr w:type="spellStart"/>
      <w:r w:rsidRPr="00CC19F7">
        <w:t>verkemiddelapparat</w:t>
      </w:r>
      <w:proofErr w:type="spellEnd"/>
      <w:r w:rsidRPr="00CC19F7">
        <w:t xml:space="preserve"> og samarbeid med ei rekke andre departement. Den eksterne utgreiinga</w:t>
      </w:r>
      <w:r w:rsidRPr="00CC19F7">
        <w:rPr>
          <w:rStyle w:val="Fotnotereferanse"/>
        </w:rPr>
        <w:footnoteReference w:id="4"/>
      </w:r>
      <w:r w:rsidRPr="00CC19F7">
        <w:t xml:space="preserve">, utført på oppdrag </w:t>
      </w:r>
      <w:proofErr w:type="spellStart"/>
      <w:r w:rsidRPr="00CC19F7">
        <w:t>frå</w:t>
      </w:r>
      <w:proofErr w:type="spellEnd"/>
      <w:r w:rsidRPr="00CC19F7">
        <w:t xml:space="preserve"> departementet, av </w:t>
      </w:r>
      <w:proofErr w:type="spellStart"/>
      <w:r w:rsidRPr="00CC19F7">
        <w:t>verkemiddelapparatet</w:t>
      </w:r>
      <w:proofErr w:type="spellEnd"/>
      <w:r w:rsidRPr="00CC19F7">
        <w:t xml:space="preserve"> for hydrogen som blei ferdigstilt i 2023, vil </w:t>
      </w:r>
      <w:proofErr w:type="spellStart"/>
      <w:r w:rsidRPr="00CC19F7">
        <w:t>vere</w:t>
      </w:r>
      <w:proofErr w:type="spellEnd"/>
      <w:r w:rsidRPr="00CC19F7">
        <w:t xml:space="preserve"> </w:t>
      </w:r>
      <w:proofErr w:type="spellStart"/>
      <w:r w:rsidRPr="00CC19F7">
        <w:t>ein</w:t>
      </w:r>
      <w:proofErr w:type="spellEnd"/>
      <w:r w:rsidRPr="00CC19F7">
        <w:t xml:space="preserve"> del av det </w:t>
      </w:r>
      <w:proofErr w:type="spellStart"/>
      <w:r w:rsidRPr="00CC19F7">
        <w:t>faglege</w:t>
      </w:r>
      <w:proofErr w:type="spellEnd"/>
      <w:r w:rsidRPr="00CC19F7">
        <w:t xml:space="preserve"> underlaget for det </w:t>
      </w:r>
      <w:proofErr w:type="spellStart"/>
      <w:r w:rsidRPr="00CC19F7">
        <w:t>vidare</w:t>
      </w:r>
      <w:proofErr w:type="spellEnd"/>
      <w:r w:rsidRPr="00CC19F7">
        <w:t xml:space="preserve"> arbeidet med hydrogen i den </w:t>
      </w:r>
      <w:proofErr w:type="spellStart"/>
      <w:r w:rsidRPr="00CC19F7">
        <w:t>vidare</w:t>
      </w:r>
      <w:proofErr w:type="spellEnd"/>
      <w:r w:rsidRPr="00CC19F7">
        <w:t xml:space="preserve"> oppfølginga </w:t>
      </w:r>
      <w:proofErr w:type="spellStart"/>
      <w:r w:rsidRPr="00CC19F7">
        <w:t>frå</w:t>
      </w:r>
      <w:proofErr w:type="spellEnd"/>
      <w:r w:rsidRPr="00CC19F7">
        <w:t xml:space="preserve"> departementet. Utgreiinga om </w:t>
      </w:r>
      <w:proofErr w:type="spellStart"/>
      <w:r w:rsidRPr="00CC19F7">
        <w:t>verkemiddel</w:t>
      </w:r>
      <w:proofErr w:type="spellEnd"/>
      <w:r w:rsidRPr="00CC19F7">
        <w:t xml:space="preserve"> viser at </w:t>
      </w:r>
      <w:proofErr w:type="spellStart"/>
      <w:r w:rsidRPr="00CC19F7">
        <w:t>Noreg</w:t>
      </w:r>
      <w:proofErr w:type="spellEnd"/>
      <w:r w:rsidRPr="00CC19F7">
        <w:t xml:space="preserve"> har gode </w:t>
      </w:r>
      <w:proofErr w:type="spellStart"/>
      <w:r w:rsidRPr="00CC19F7">
        <w:t>føresetnader</w:t>
      </w:r>
      <w:proofErr w:type="spellEnd"/>
      <w:r w:rsidRPr="00CC19F7">
        <w:t xml:space="preserve"> for å ta </w:t>
      </w:r>
      <w:proofErr w:type="spellStart"/>
      <w:r w:rsidRPr="00CC19F7">
        <w:t>posisjonar</w:t>
      </w:r>
      <w:proofErr w:type="spellEnd"/>
      <w:r w:rsidRPr="00CC19F7">
        <w:t xml:space="preserve"> i </w:t>
      </w:r>
      <w:proofErr w:type="spellStart"/>
      <w:r w:rsidRPr="00CC19F7">
        <w:t>ein</w:t>
      </w:r>
      <w:proofErr w:type="spellEnd"/>
      <w:r w:rsidRPr="00CC19F7">
        <w:t xml:space="preserve"> framtidig </w:t>
      </w:r>
      <w:proofErr w:type="spellStart"/>
      <w:r w:rsidRPr="00CC19F7">
        <w:t>marknad</w:t>
      </w:r>
      <w:proofErr w:type="spellEnd"/>
      <w:r w:rsidRPr="00CC19F7">
        <w:t xml:space="preserve"> for hydrogen i Europa. Samtidig står utvikling av hydrogenverdikjeder i </w:t>
      </w:r>
      <w:proofErr w:type="spellStart"/>
      <w:r w:rsidRPr="00CC19F7">
        <w:t>eit</w:t>
      </w:r>
      <w:proofErr w:type="spellEnd"/>
      <w:r w:rsidRPr="00CC19F7">
        <w:t xml:space="preserve"> konkurranseforhold til utviklinga av </w:t>
      </w:r>
      <w:proofErr w:type="spellStart"/>
      <w:r w:rsidRPr="00CC19F7">
        <w:t>annan</w:t>
      </w:r>
      <w:proofErr w:type="spellEnd"/>
      <w:r w:rsidRPr="00CC19F7">
        <w:t xml:space="preserve"> </w:t>
      </w:r>
      <w:proofErr w:type="spellStart"/>
      <w:r w:rsidRPr="00CC19F7">
        <w:t>grøn</w:t>
      </w:r>
      <w:proofErr w:type="spellEnd"/>
      <w:r w:rsidRPr="00CC19F7">
        <w:t xml:space="preserve"> industri eller </w:t>
      </w:r>
      <w:proofErr w:type="spellStart"/>
      <w:r w:rsidRPr="00CC19F7">
        <w:t>verksemd</w:t>
      </w:r>
      <w:proofErr w:type="spellEnd"/>
      <w:r w:rsidRPr="00CC19F7">
        <w:t xml:space="preserve"> i </w:t>
      </w:r>
      <w:proofErr w:type="spellStart"/>
      <w:r w:rsidRPr="00CC19F7">
        <w:t>Noreg</w:t>
      </w:r>
      <w:proofErr w:type="spellEnd"/>
      <w:r w:rsidRPr="00CC19F7">
        <w:t xml:space="preserve">. Produksjon av hydrogen krev store mengder fornybar kraft eller naturgass, tilgang på kompetent arbeidskraft og eigna areal som også kan brukast av andre </w:t>
      </w:r>
      <w:proofErr w:type="spellStart"/>
      <w:r w:rsidRPr="00CC19F7">
        <w:t>grøne</w:t>
      </w:r>
      <w:proofErr w:type="spellEnd"/>
      <w:r w:rsidRPr="00CC19F7">
        <w:t xml:space="preserve"> </w:t>
      </w:r>
      <w:proofErr w:type="spellStart"/>
      <w:r w:rsidRPr="00CC19F7">
        <w:t>næringar</w:t>
      </w:r>
      <w:proofErr w:type="spellEnd"/>
      <w:r w:rsidRPr="00CC19F7">
        <w:t>.</w:t>
      </w:r>
    </w:p>
    <w:p w14:paraId="2816273A" w14:textId="005C85FC" w:rsidR="00FE02EF" w:rsidRPr="00CC19F7" w:rsidRDefault="00881E58" w:rsidP="00CC19F7">
      <w:r w:rsidRPr="00CC19F7">
        <w:t xml:space="preserve">Departementet følger utviklinga og deltar i relevante internasjonale samarbeidsforum og </w:t>
      </w:r>
      <w:r w:rsidR="00CC19F7">
        <w:t>-</w:t>
      </w:r>
      <w:proofErr w:type="spellStart"/>
      <w:r w:rsidRPr="00CC19F7">
        <w:t>avtalar</w:t>
      </w:r>
      <w:proofErr w:type="spellEnd"/>
      <w:r w:rsidRPr="00CC19F7">
        <w:t xml:space="preserve"> for hydrogen, både i Nordisk ministerråd, i ulike </w:t>
      </w:r>
      <w:proofErr w:type="spellStart"/>
      <w:r w:rsidRPr="00CC19F7">
        <w:t>samanhengar</w:t>
      </w:r>
      <w:proofErr w:type="spellEnd"/>
      <w:r w:rsidRPr="00CC19F7">
        <w:t xml:space="preserve"> i EU, i multinasjonale </w:t>
      </w:r>
      <w:proofErr w:type="spellStart"/>
      <w:r w:rsidRPr="00CC19F7">
        <w:t>avtalar</w:t>
      </w:r>
      <w:proofErr w:type="spellEnd"/>
      <w:r w:rsidRPr="00CC19F7">
        <w:t xml:space="preserve"> som International </w:t>
      </w:r>
      <w:proofErr w:type="spellStart"/>
      <w:r w:rsidRPr="00CC19F7">
        <w:t>Partnership</w:t>
      </w:r>
      <w:proofErr w:type="spellEnd"/>
      <w:r w:rsidRPr="00CC19F7">
        <w:t xml:space="preserve"> for Hydrogen and </w:t>
      </w:r>
      <w:proofErr w:type="spellStart"/>
      <w:r w:rsidRPr="00CC19F7">
        <w:t>Fuel</w:t>
      </w:r>
      <w:proofErr w:type="spellEnd"/>
      <w:r w:rsidRPr="00CC19F7">
        <w:t xml:space="preserve"> Cells in </w:t>
      </w:r>
      <w:proofErr w:type="spellStart"/>
      <w:r w:rsidRPr="00CC19F7">
        <w:t>the</w:t>
      </w:r>
      <w:proofErr w:type="spellEnd"/>
      <w:r w:rsidRPr="00CC19F7">
        <w:t xml:space="preserve"> </w:t>
      </w:r>
      <w:proofErr w:type="spellStart"/>
      <w:r w:rsidRPr="00CC19F7">
        <w:t>Economy</w:t>
      </w:r>
      <w:proofErr w:type="spellEnd"/>
      <w:r w:rsidRPr="00CC19F7">
        <w:t xml:space="preserve"> (IPHE) og </w:t>
      </w:r>
      <w:proofErr w:type="spellStart"/>
      <w:r w:rsidRPr="00CC19F7">
        <w:t>Mission</w:t>
      </w:r>
      <w:proofErr w:type="spellEnd"/>
      <w:r w:rsidRPr="00CC19F7">
        <w:t xml:space="preserve"> </w:t>
      </w:r>
      <w:proofErr w:type="spellStart"/>
      <w:r w:rsidRPr="00CC19F7">
        <w:t>Innovation</w:t>
      </w:r>
      <w:proofErr w:type="spellEnd"/>
      <w:r w:rsidRPr="00CC19F7">
        <w:t xml:space="preserve">, og i samarbeid med relevante land. Mellom anna vil departementet følge opp hydrogensamarbeidet med Tyskland under den tysk-norske energi- og industridialogen tett i 2024. </w:t>
      </w:r>
      <w:proofErr w:type="spellStart"/>
      <w:r w:rsidRPr="00CC19F7">
        <w:t>Ein</w:t>
      </w:r>
      <w:proofErr w:type="spellEnd"/>
      <w:r w:rsidRPr="00CC19F7">
        <w:t xml:space="preserve"> viktig del av dette arbeidet vil skje gjennom ei tysk-norsk arbeidsgruppe etablert i 2023.</w:t>
      </w:r>
    </w:p>
    <w:p w14:paraId="74EBA7D2" w14:textId="77777777" w:rsidR="00FE02EF" w:rsidRPr="00CC19F7" w:rsidRDefault="00881E58" w:rsidP="00CC19F7">
      <w:r w:rsidRPr="00CC19F7">
        <w:t xml:space="preserve">Departementet vil også følge opp EU-kommisjonens arbeid med å etablere </w:t>
      </w:r>
      <w:proofErr w:type="spellStart"/>
      <w:r w:rsidRPr="00CC19F7">
        <w:t>eit</w:t>
      </w:r>
      <w:proofErr w:type="spellEnd"/>
      <w:r w:rsidRPr="00CC19F7">
        <w:t xml:space="preserve"> nytt </w:t>
      </w:r>
      <w:proofErr w:type="spellStart"/>
      <w:r w:rsidRPr="00CC19F7">
        <w:t>verkemiddel</w:t>
      </w:r>
      <w:proofErr w:type="spellEnd"/>
      <w:r w:rsidRPr="00CC19F7">
        <w:t xml:space="preserve"> for fornybart hydrogen under EUs innovasjonsfond – Den europeiske hydrogenbanken. Gjennom </w:t>
      </w:r>
      <w:proofErr w:type="spellStart"/>
      <w:r w:rsidRPr="00CC19F7">
        <w:t>auksjonar</w:t>
      </w:r>
      <w:proofErr w:type="spellEnd"/>
      <w:r w:rsidRPr="00CC19F7">
        <w:t xml:space="preserve"> vil hydrogenbanken tildele produksjonsstøtte til </w:t>
      </w:r>
      <w:proofErr w:type="spellStart"/>
      <w:r w:rsidRPr="00CC19F7">
        <w:t>hydrogenprodusentar</w:t>
      </w:r>
      <w:proofErr w:type="spellEnd"/>
      <w:r w:rsidRPr="00CC19F7">
        <w:t xml:space="preserve"> i inntil ti år. Regjeringa tar sikte på at norske </w:t>
      </w:r>
      <w:proofErr w:type="spellStart"/>
      <w:r w:rsidRPr="00CC19F7">
        <w:t>aktørar</w:t>
      </w:r>
      <w:proofErr w:type="spellEnd"/>
      <w:r w:rsidRPr="00CC19F7">
        <w:t xml:space="preserve"> så </w:t>
      </w:r>
      <w:proofErr w:type="spellStart"/>
      <w:r w:rsidRPr="00CC19F7">
        <w:t>tidleg</w:t>
      </w:r>
      <w:proofErr w:type="spellEnd"/>
      <w:r w:rsidRPr="00CC19F7">
        <w:t xml:space="preserve"> som </w:t>
      </w:r>
      <w:proofErr w:type="spellStart"/>
      <w:r w:rsidRPr="00CC19F7">
        <w:t>mogleg</w:t>
      </w:r>
      <w:proofErr w:type="spellEnd"/>
      <w:r w:rsidRPr="00CC19F7">
        <w:t xml:space="preserve"> vil kunne delta i </w:t>
      </w:r>
      <w:proofErr w:type="spellStart"/>
      <w:r w:rsidRPr="00CC19F7">
        <w:t>dei</w:t>
      </w:r>
      <w:proofErr w:type="spellEnd"/>
      <w:r w:rsidRPr="00CC19F7">
        <w:t xml:space="preserve"> </w:t>
      </w:r>
      <w:proofErr w:type="spellStart"/>
      <w:r w:rsidRPr="00CC19F7">
        <w:t>kommande</w:t>
      </w:r>
      <w:proofErr w:type="spellEnd"/>
      <w:r w:rsidRPr="00CC19F7">
        <w:t xml:space="preserve"> </w:t>
      </w:r>
      <w:proofErr w:type="spellStart"/>
      <w:r w:rsidRPr="00CC19F7">
        <w:t>hydrogenauksjonane</w:t>
      </w:r>
      <w:proofErr w:type="spellEnd"/>
      <w:r w:rsidRPr="00CC19F7">
        <w:t xml:space="preserve">. Den første auksjonen vil gi tiårig støtte og skal etter planen </w:t>
      </w:r>
      <w:proofErr w:type="spellStart"/>
      <w:r w:rsidRPr="00CC19F7">
        <w:t>gjennomførast</w:t>
      </w:r>
      <w:proofErr w:type="spellEnd"/>
      <w:r w:rsidRPr="00CC19F7">
        <w:t xml:space="preserve"> i slutten av 2023 med </w:t>
      </w:r>
      <w:proofErr w:type="spellStart"/>
      <w:r w:rsidRPr="00CC19F7">
        <w:t>eit</w:t>
      </w:r>
      <w:proofErr w:type="spellEnd"/>
      <w:r w:rsidRPr="00CC19F7">
        <w:t xml:space="preserve"> budsjett på 800 mill. euro.</w:t>
      </w:r>
    </w:p>
    <w:p w14:paraId="0F9215A2" w14:textId="77777777" w:rsidR="00FE02EF" w:rsidRPr="00CC19F7" w:rsidRDefault="00881E58" w:rsidP="00CC19F7">
      <w:pPr>
        <w:pStyle w:val="avsnitt-tittel"/>
      </w:pPr>
      <w:r w:rsidRPr="00CC19F7">
        <w:t>Forsking og teknologiutvikling</w:t>
      </w:r>
    </w:p>
    <w:p w14:paraId="7254A285" w14:textId="77777777" w:rsidR="00FE02EF" w:rsidRPr="00CC19F7" w:rsidRDefault="00881E58" w:rsidP="00CC19F7">
      <w:r w:rsidRPr="00CC19F7">
        <w:t xml:space="preserve">Olje- og energidepartementet er det tredje største sektordepartementet som løyver </w:t>
      </w:r>
      <w:proofErr w:type="spellStart"/>
      <w:r w:rsidRPr="00CC19F7">
        <w:t>midlar</w:t>
      </w:r>
      <w:proofErr w:type="spellEnd"/>
      <w:r w:rsidRPr="00CC19F7">
        <w:t xml:space="preserve"> til </w:t>
      </w:r>
      <w:proofErr w:type="spellStart"/>
      <w:r w:rsidRPr="00CC19F7">
        <w:t>Noregs</w:t>
      </w:r>
      <w:proofErr w:type="spellEnd"/>
      <w:r w:rsidRPr="00CC19F7">
        <w:t xml:space="preserve"> forskingsråd. Departementet vil i forvaltninga av </w:t>
      </w:r>
      <w:proofErr w:type="spellStart"/>
      <w:r w:rsidRPr="00CC19F7">
        <w:t>midlane</w:t>
      </w:r>
      <w:proofErr w:type="spellEnd"/>
      <w:r w:rsidRPr="00CC19F7">
        <w:t xml:space="preserve"> til Forskingsrådet følge opp Meld. St. 5 (2022–2023) </w:t>
      </w:r>
      <w:r w:rsidRPr="00CC19F7">
        <w:rPr>
          <w:rStyle w:val="kursiv"/>
        </w:rPr>
        <w:t>Langtidsplan for forskning og høyere utdanning 2023–2032</w:t>
      </w:r>
      <w:r w:rsidRPr="00CC19F7">
        <w:t xml:space="preserve">. Langtidsplanen </w:t>
      </w:r>
      <w:proofErr w:type="spellStart"/>
      <w:r w:rsidRPr="00CC19F7">
        <w:t>inneheld</w:t>
      </w:r>
      <w:proofErr w:type="spellEnd"/>
      <w:r w:rsidRPr="00CC19F7">
        <w:t xml:space="preserve"> tre mål og seks prioriterte område for tiårsperioden.</w:t>
      </w:r>
    </w:p>
    <w:p w14:paraId="33EBAAC6" w14:textId="77777777" w:rsidR="00FE02EF" w:rsidRPr="00CC19F7" w:rsidRDefault="00881E58" w:rsidP="00CC19F7">
      <w:r w:rsidRPr="00CC19F7">
        <w:t xml:space="preserve">Departementet vil føre </w:t>
      </w:r>
      <w:proofErr w:type="spellStart"/>
      <w:r w:rsidRPr="00CC19F7">
        <w:t>vidare</w:t>
      </w:r>
      <w:proofErr w:type="spellEnd"/>
      <w:r w:rsidRPr="00CC19F7">
        <w:t xml:space="preserve"> etablert forvaltning av FoU-</w:t>
      </w:r>
      <w:proofErr w:type="spellStart"/>
      <w:r w:rsidRPr="00CC19F7">
        <w:t>løyvingane</w:t>
      </w:r>
      <w:proofErr w:type="spellEnd"/>
      <w:r w:rsidRPr="00CC19F7">
        <w:t xml:space="preserve"> gjennom </w:t>
      </w:r>
      <w:proofErr w:type="spellStart"/>
      <w:r w:rsidRPr="00CC19F7">
        <w:t>Noregs</w:t>
      </w:r>
      <w:proofErr w:type="spellEnd"/>
      <w:r w:rsidRPr="00CC19F7">
        <w:t xml:space="preserve"> forskingsråd og Gassnova SF. Departementet deltar i program- og porteføljestyra, der konkurranseutsetting av </w:t>
      </w:r>
      <w:proofErr w:type="spellStart"/>
      <w:r w:rsidRPr="00CC19F7">
        <w:t>forskingsmidlar</w:t>
      </w:r>
      <w:proofErr w:type="spellEnd"/>
      <w:r w:rsidRPr="00CC19F7">
        <w:t xml:space="preserve"> står sentralt.</w:t>
      </w:r>
    </w:p>
    <w:p w14:paraId="73033B7A" w14:textId="77777777" w:rsidR="00FE02EF" w:rsidRPr="00CC19F7" w:rsidRDefault="00881E58" w:rsidP="00CC19F7">
      <w:r w:rsidRPr="00CC19F7">
        <w:t>FoU-</w:t>
      </w:r>
      <w:proofErr w:type="spellStart"/>
      <w:r w:rsidRPr="00CC19F7">
        <w:t>strategiane</w:t>
      </w:r>
      <w:proofErr w:type="spellEnd"/>
      <w:r w:rsidRPr="00CC19F7">
        <w:t xml:space="preserve"> OG21 og Energi21 gir </w:t>
      </w:r>
      <w:proofErr w:type="spellStart"/>
      <w:r w:rsidRPr="00CC19F7">
        <w:t>eit</w:t>
      </w:r>
      <w:proofErr w:type="spellEnd"/>
      <w:r w:rsidRPr="00CC19F7">
        <w:t xml:space="preserve"> godt og </w:t>
      </w:r>
      <w:proofErr w:type="spellStart"/>
      <w:r w:rsidRPr="00CC19F7">
        <w:t>samlande</w:t>
      </w:r>
      <w:proofErr w:type="spellEnd"/>
      <w:r w:rsidRPr="00CC19F7">
        <w:t xml:space="preserve"> grunnlag for ei </w:t>
      </w:r>
      <w:proofErr w:type="spellStart"/>
      <w:r w:rsidRPr="00CC19F7">
        <w:t>heilskapleg</w:t>
      </w:r>
      <w:proofErr w:type="spellEnd"/>
      <w:r w:rsidRPr="00CC19F7">
        <w:t xml:space="preserve"> og langsiktig prioritering av satsinga </w:t>
      </w:r>
      <w:proofErr w:type="spellStart"/>
      <w:r w:rsidRPr="00CC19F7">
        <w:t>innanfor</w:t>
      </w:r>
      <w:proofErr w:type="spellEnd"/>
      <w:r w:rsidRPr="00CC19F7">
        <w:t xml:space="preserve"> energi- og petroleumsforsking. Departementet vil følge arbeidet i </w:t>
      </w:r>
      <w:proofErr w:type="spellStart"/>
      <w:r w:rsidRPr="00CC19F7">
        <w:t>dei</w:t>
      </w:r>
      <w:proofErr w:type="spellEnd"/>
      <w:r w:rsidRPr="00CC19F7">
        <w:t xml:space="preserve"> </w:t>
      </w:r>
      <w:proofErr w:type="spellStart"/>
      <w:r w:rsidRPr="00CC19F7">
        <w:t>departementsutnemnde</w:t>
      </w:r>
      <w:proofErr w:type="spellEnd"/>
      <w:r w:rsidRPr="00CC19F7">
        <w:t xml:space="preserve"> styra for OG21 og Energi21 og gjennom tildelingsbrev sjå til at </w:t>
      </w:r>
      <w:proofErr w:type="spellStart"/>
      <w:r w:rsidRPr="00CC19F7">
        <w:t>prioriteringane</w:t>
      </w:r>
      <w:proofErr w:type="spellEnd"/>
      <w:r w:rsidRPr="00CC19F7">
        <w:t xml:space="preserve"> i </w:t>
      </w:r>
      <w:proofErr w:type="spellStart"/>
      <w:r w:rsidRPr="00CC19F7">
        <w:t>strategiane</w:t>
      </w:r>
      <w:proofErr w:type="spellEnd"/>
      <w:r w:rsidRPr="00CC19F7">
        <w:t xml:space="preserve"> blir varetatt gjennom </w:t>
      </w:r>
      <w:proofErr w:type="spellStart"/>
      <w:r w:rsidRPr="00CC19F7">
        <w:t>verksemda</w:t>
      </w:r>
      <w:proofErr w:type="spellEnd"/>
      <w:r w:rsidRPr="00CC19F7">
        <w:t xml:space="preserve"> til Forskingsrådet og Gassnova.</w:t>
      </w:r>
    </w:p>
    <w:p w14:paraId="5E0DB772" w14:textId="77777777" w:rsidR="00FE02EF" w:rsidRPr="00CC19F7" w:rsidRDefault="00881E58" w:rsidP="00CC19F7">
      <w:r w:rsidRPr="00CC19F7">
        <w:t xml:space="preserve">Departementet vil følge aktiviteten ved </w:t>
      </w:r>
      <w:proofErr w:type="spellStart"/>
      <w:r w:rsidRPr="00CC19F7">
        <w:t>Forskingssentera</w:t>
      </w:r>
      <w:proofErr w:type="spellEnd"/>
      <w:r w:rsidRPr="00CC19F7">
        <w:t xml:space="preserve"> for </w:t>
      </w:r>
      <w:proofErr w:type="spellStart"/>
      <w:r w:rsidRPr="00CC19F7">
        <w:t>miljøvennleg</w:t>
      </w:r>
      <w:proofErr w:type="spellEnd"/>
      <w:r w:rsidRPr="00CC19F7">
        <w:t xml:space="preserve"> energi (FME) og Forskingssenter for petroleum (PETROSENTER). Dette er konsentrerte og langsiktige </w:t>
      </w:r>
      <w:proofErr w:type="spellStart"/>
      <w:r w:rsidRPr="00CC19F7">
        <w:t>satsingar</w:t>
      </w:r>
      <w:proofErr w:type="spellEnd"/>
      <w:r w:rsidRPr="00CC19F7">
        <w:t xml:space="preserve"> på nye energi- og </w:t>
      </w:r>
      <w:proofErr w:type="spellStart"/>
      <w:r w:rsidRPr="00CC19F7">
        <w:t>petroleumsteknologiar</w:t>
      </w:r>
      <w:proofErr w:type="spellEnd"/>
      <w:r w:rsidRPr="00CC19F7">
        <w:t xml:space="preserve">, der forsking og teknologiutvikling skjer i </w:t>
      </w:r>
      <w:proofErr w:type="spellStart"/>
      <w:r w:rsidRPr="00CC19F7">
        <w:t>eit</w:t>
      </w:r>
      <w:proofErr w:type="spellEnd"/>
      <w:r w:rsidRPr="00CC19F7">
        <w:t xml:space="preserve"> tett samarbeid mellom forskingsmiljø, næringsliv og forvaltning. Åtte av dagens teknologiske FME-ar varer til 2024. I 2024 vil departementet ha </w:t>
      </w:r>
      <w:proofErr w:type="spellStart"/>
      <w:r w:rsidRPr="00CC19F7">
        <w:t>særleg</w:t>
      </w:r>
      <w:proofErr w:type="spellEnd"/>
      <w:r w:rsidRPr="00CC19F7">
        <w:t xml:space="preserve"> </w:t>
      </w:r>
      <w:proofErr w:type="spellStart"/>
      <w:r w:rsidRPr="00CC19F7">
        <w:t>merksemd</w:t>
      </w:r>
      <w:proofErr w:type="spellEnd"/>
      <w:r w:rsidRPr="00CC19F7">
        <w:t xml:space="preserve"> på Forskingsrådets arbeid med å tildele nye teknologiske FME-ar og oppstart av </w:t>
      </w:r>
      <w:proofErr w:type="spellStart"/>
      <w:r w:rsidRPr="00CC19F7">
        <w:t>desse</w:t>
      </w:r>
      <w:proofErr w:type="spellEnd"/>
      <w:r w:rsidRPr="00CC19F7">
        <w:t>.</w:t>
      </w:r>
    </w:p>
    <w:p w14:paraId="4F4381A1" w14:textId="77777777" w:rsidR="00FE02EF" w:rsidRPr="00CC19F7" w:rsidRDefault="00881E58" w:rsidP="00CC19F7">
      <w:r w:rsidRPr="00CC19F7">
        <w:t xml:space="preserve">Departementet vil føre </w:t>
      </w:r>
      <w:proofErr w:type="spellStart"/>
      <w:r w:rsidRPr="00CC19F7">
        <w:t>vidare</w:t>
      </w:r>
      <w:proofErr w:type="spellEnd"/>
      <w:r w:rsidRPr="00CC19F7">
        <w:t xml:space="preserve"> FoU-innsatsen </w:t>
      </w:r>
      <w:proofErr w:type="spellStart"/>
      <w:r w:rsidRPr="00CC19F7">
        <w:t>innan</w:t>
      </w:r>
      <w:proofErr w:type="spellEnd"/>
      <w:r w:rsidRPr="00CC19F7">
        <w:t xml:space="preserve"> helse, miljø, </w:t>
      </w:r>
      <w:proofErr w:type="spellStart"/>
      <w:r w:rsidRPr="00CC19F7">
        <w:t>sikkerheit</w:t>
      </w:r>
      <w:proofErr w:type="spellEnd"/>
      <w:r w:rsidRPr="00CC19F7">
        <w:t xml:space="preserve"> og sikring i petroleumsnæringa. Innsatsen skal bidra til </w:t>
      </w:r>
      <w:proofErr w:type="spellStart"/>
      <w:r w:rsidRPr="00CC19F7">
        <w:t>grunnleggande</w:t>
      </w:r>
      <w:proofErr w:type="spellEnd"/>
      <w:r w:rsidRPr="00CC19F7">
        <w:t xml:space="preserve"> og anvend forsking med sikte på ny kompetanse, teknologi og innovasjon som bidrar til å forhindre storulykker og </w:t>
      </w:r>
      <w:proofErr w:type="spellStart"/>
      <w:r w:rsidRPr="00CC19F7">
        <w:t>forbetre</w:t>
      </w:r>
      <w:proofErr w:type="spellEnd"/>
      <w:r w:rsidRPr="00CC19F7">
        <w:t xml:space="preserve"> HMS og sikring i petroleumsnæringa. </w:t>
      </w:r>
      <w:proofErr w:type="spellStart"/>
      <w:r w:rsidRPr="00CC19F7">
        <w:t>Eit</w:t>
      </w:r>
      <w:proofErr w:type="spellEnd"/>
      <w:r w:rsidRPr="00CC19F7">
        <w:t xml:space="preserve"> mest </w:t>
      </w:r>
      <w:proofErr w:type="spellStart"/>
      <w:r w:rsidRPr="00CC19F7">
        <w:t>mogleg</w:t>
      </w:r>
      <w:proofErr w:type="spellEnd"/>
      <w:r w:rsidRPr="00CC19F7">
        <w:t xml:space="preserve"> relevant kunnskapsgrunnlag er </w:t>
      </w:r>
      <w:proofErr w:type="spellStart"/>
      <w:r w:rsidRPr="00CC19F7">
        <w:t>avgjerande</w:t>
      </w:r>
      <w:proofErr w:type="spellEnd"/>
      <w:r w:rsidRPr="00CC19F7">
        <w:t xml:space="preserve"> for å </w:t>
      </w:r>
      <w:proofErr w:type="spellStart"/>
      <w:r w:rsidRPr="00CC19F7">
        <w:t>halde</w:t>
      </w:r>
      <w:proofErr w:type="spellEnd"/>
      <w:r w:rsidRPr="00CC19F7">
        <w:t xml:space="preserve"> oppe det høge nivået på HMS og sikring i næringa.</w:t>
      </w:r>
    </w:p>
    <w:p w14:paraId="6BD0E8EF" w14:textId="77777777" w:rsidR="00FE02EF" w:rsidRPr="00CC19F7" w:rsidRDefault="00881E58" w:rsidP="00CC19F7">
      <w:r w:rsidRPr="00CC19F7">
        <w:t xml:space="preserve">Departementet er engasjert i ei rekke internasjonale samarbeidsforum retta mot energi- og petroleumsforsking. Departementet er opptatt av at </w:t>
      </w:r>
      <w:proofErr w:type="spellStart"/>
      <w:r w:rsidRPr="00CC19F7">
        <w:t>dei</w:t>
      </w:r>
      <w:proofErr w:type="spellEnd"/>
      <w:r w:rsidRPr="00CC19F7">
        <w:t xml:space="preserve"> norske </w:t>
      </w:r>
      <w:proofErr w:type="spellStart"/>
      <w:r w:rsidRPr="00CC19F7">
        <w:t>energiaktørane</w:t>
      </w:r>
      <w:proofErr w:type="spellEnd"/>
      <w:r w:rsidRPr="00CC19F7">
        <w:t xml:space="preserve"> </w:t>
      </w:r>
      <w:proofErr w:type="spellStart"/>
      <w:r w:rsidRPr="00CC19F7">
        <w:t>lykkast</w:t>
      </w:r>
      <w:proofErr w:type="spellEnd"/>
      <w:r w:rsidRPr="00CC19F7">
        <w:t xml:space="preserve"> med deltakinga i EUs forskings- og innovasjonsprogram Horisont Europa (2021–2027). Departementet </w:t>
      </w:r>
      <w:proofErr w:type="spellStart"/>
      <w:r w:rsidRPr="00CC19F7">
        <w:t>legg</w:t>
      </w:r>
      <w:proofErr w:type="spellEnd"/>
      <w:r w:rsidRPr="00CC19F7">
        <w:t xml:space="preserve"> til rette for dette gjennom deltaking i relevante </w:t>
      </w:r>
      <w:proofErr w:type="spellStart"/>
      <w:r w:rsidRPr="00CC19F7">
        <w:t>komitear</w:t>
      </w:r>
      <w:proofErr w:type="spellEnd"/>
      <w:r w:rsidRPr="00CC19F7">
        <w:t xml:space="preserve"> og </w:t>
      </w:r>
      <w:proofErr w:type="spellStart"/>
      <w:r w:rsidRPr="00CC19F7">
        <w:t>møteplassar</w:t>
      </w:r>
      <w:proofErr w:type="spellEnd"/>
      <w:r w:rsidRPr="00CC19F7">
        <w:t xml:space="preserve"> nasjonalt og i EU, inklusiv styringsgruppa for SET-planen (EUs Strategic Energy Technology Plan). Departementet finansierer også </w:t>
      </w:r>
      <w:proofErr w:type="spellStart"/>
      <w:r w:rsidRPr="00CC19F7">
        <w:t>verkemiddel</w:t>
      </w:r>
      <w:proofErr w:type="spellEnd"/>
      <w:r w:rsidRPr="00CC19F7">
        <w:t xml:space="preserve"> i </w:t>
      </w:r>
      <w:proofErr w:type="spellStart"/>
      <w:r w:rsidRPr="00CC19F7">
        <w:t>Noregs</w:t>
      </w:r>
      <w:proofErr w:type="spellEnd"/>
      <w:r w:rsidRPr="00CC19F7">
        <w:t xml:space="preserve"> forskingsråd som skal styrke deltakinga i og </w:t>
      </w:r>
      <w:proofErr w:type="spellStart"/>
      <w:r w:rsidRPr="00CC19F7">
        <w:t>påverke</w:t>
      </w:r>
      <w:proofErr w:type="spellEnd"/>
      <w:r w:rsidRPr="00CC19F7">
        <w:t xml:space="preserve"> innretninga av EUs forskings- og innovasjonssatsing i tråd med norske interesser.</w:t>
      </w:r>
    </w:p>
    <w:p w14:paraId="488504CC" w14:textId="77777777" w:rsidR="00FE02EF" w:rsidRPr="00CC19F7" w:rsidRDefault="00881E58" w:rsidP="00CC19F7">
      <w:r w:rsidRPr="00CC19F7">
        <w:t xml:space="preserve">Departementet deltar også på andre internasjonale samarbeidsarenaer for FoU, som Det internasjonale energibyrået (IEA), </w:t>
      </w:r>
      <w:proofErr w:type="spellStart"/>
      <w:r w:rsidRPr="00CC19F7">
        <w:t>Mission</w:t>
      </w:r>
      <w:proofErr w:type="spellEnd"/>
      <w:r w:rsidRPr="00CC19F7">
        <w:t xml:space="preserve"> </w:t>
      </w:r>
      <w:proofErr w:type="spellStart"/>
      <w:r w:rsidRPr="00CC19F7">
        <w:t>Innovation</w:t>
      </w:r>
      <w:proofErr w:type="spellEnd"/>
      <w:r w:rsidRPr="00CC19F7">
        <w:t xml:space="preserve"> og Nordisk Energiforsking. </w:t>
      </w:r>
      <w:proofErr w:type="spellStart"/>
      <w:r w:rsidRPr="00CC19F7">
        <w:t>Dessutan</w:t>
      </w:r>
      <w:proofErr w:type="spellEnd"/>
      <w:r w:rsidRPr="00CC19F7">
        <w:t xml:space="preserve"> følger departementet opp ulike bilaterale FoU-samarbeid, i første rekke med USA og Brasil.</w:t>
      </w:r>
    </w:p>
    <w:p w14:paraId="3215D635" w14:textId="77777777" w:rsidR="00FE02EF" w:rsidRPr="00CC19F7" w:rsidRDefault="00881E58" w:rsidP="00CC19F7">
      <w:pPr>
        <w:pStyle w:val="avsnitt-tittel"/>
      </w:pPr>
      <w:r w:rsidRPr="00CC19F7">
        <w:t>Næringsutvikling og internasjonalisering</w:t>
      </w:r>
    </w:p>
    <w:p w14:paraId="0AC78FC4" w14:textId="77777777" w:rsidR="00FE02EF" w:rsidRPr="00CC19F7" w:rsidRDefault="00881E58" w:rsidP="00CC19F7">
      <w:r w:rsidRPr="00CC19F7">
        <w:t xml:space="preserve">Departementets arbeid med næringsutvikling og internasjonalisering skal støtte opp under utviklinga av konkurransekraft for industrien, både i </w:t>
      </w:r>
      <w:proofErr w:type="spellStart"/>
      <w:r w:rsidRPr="00CC19F7">
        <w:t>Noreg</w:t>
      </w:r>
      <w:proofErr w:type="spellEnd"/>
      <w:r w:rsidRPr="00CC19F7">
        <w:t xml:space="preserve"> og i internasjonale </w:t>
      </w:r>
      <w:proofErr w:type="spellStart"/>
      <w:r w:rsidRPr="00CC19F7">
        <w:t>marknader</w:t>
      </w:r>
      <w:proofErr w:type="spellEnd"/>
      <w:r w:rsidRPr="00CC19F7">
        <w:t xml:space="preserve">. Norske selskap </w:t>
      </w:r>
      <w:proofErr w:type="spellStart"/>
      <w:r w:rsidRPr="00CC19F7">
        <w:t>innan</w:t>
      </w:r>
      <w:proofErr w:type="spellEnd"/>
      <w:r w:rsidRPr="00CC19F7">
        <w:t xml:space="preserve"> </w:t>
      </w:r>
      <w:proofErr w:type="spellStart"/>
      <w:r w:rsidRPr="00CC19F7">
        <w:t>energinæringane</w:t>
      </w:r>
      <w:proofErr w:type="spellEnd"/>
      <w:r w:rsidRPr="00CC19F7">
        <w:t xml:space="preserve"> har gode </w:t>
      </w:r>
      <w:proofErr w:type="spellStart"/>
      <w:r w:rsidRPr="00CC19F7">
        <w:t>føresetnader</w:t>
      </w:r>
      <w:proofErr w:type="spellEnd"/>
      <w:r w:rsidRPr="00CC19F7">
        <w:t xml:space="preserve"> for å delta i </w:t>
      </w:r>
      <w:proofErr w:type="spellStart"/>
      <w:r w:rsidRPr="00CC19F7">
        <w:t>dei</w:t>
      </w:r>
      <w:proofErr w:type="spellEnd"/>
      <w:r w:rsidRPr="00CC19F7">
        <w:t xml:space="preserve"> globale </w:t>
      </w:r>
      <w:proofErr w:type="spellStart"/>
      <w:r w:rsidRPr="00CC19F7">
        <w:t>marknadane</w:t>
      </w:r>
      <w:proofErr w:type="spellEnd"/>
      <w:r w:rsidRPr="00CC19F7">
        <w:t xml:space="preserve"> for </w:t>
      </w:r>
      <w:proofErr w:type="spellStart"/>
      <w:r w:rsidRPr="00CC19F7">
        <w:t>lågutsleppsløysingar</w:t>
      </w:r>
      <w:proofErr w:type="spellEnd"/>
      <w:r w:rsidRPr="00CC19F7">
        <w:t xml:space="preserve">. </w:t>
      </w:r>
      <w:proofErr w:type="spellStart"/>
      <w:r w:rsidRPr="00CC19F7">
        <w:t>Teknologioverføringar</w:t>
      </w:r>
      <w:proofErr w:type="spellEnd"/>
      <w:r w:rsidRPr="00CC19F7">
        <w:t xml:space="preserve"> mellom </w:t>
      </w:r>
      <w:proofErr w:type="spellStart"/>
      <w:r w:rsidRPr="00CC19F7">
        <w:t>næringane</w:t>
      </w:r>
      <w:proofErr w:type="spellEnd"/>
      <w:r w:rsidRPr="00CC19F7">
        <w:t xml:space="preserve">, </w:t>
      </w:r>
      <w:proofErr w:type="spellStart"/>
      <w:r w:rsidRPr="00CC19F7">
        <w:t>høg</w:t>
      </w:r>
      <w:proofErr w:type="spellEnd"/>
      <w:r w:rsidRPr="00CC19F7">
        <w:t xml:space="preserve"> grad av digitalisering, </w:t>
      </w:r>
      <w:proofErr w:type="spellStart"/>
      <w:r w:rsidRPr="00CC19F7">
        <w:t>høg</w:t>
      </w:r>
      <w:proofErr w:type="spellEnd"/>
      <w:r w:rsidRPr="00CC19F7">
        <w:t xml:space="preserve"> grad av næringsretta forsking og </w:t>
      </w:r>
      <w:proofErr w:type="spellStart"/>
      <w:r w:rsidRPr="00CC19F7">
        <w:t>eit</w:t>
      </w:r>
      <w:proofErr w:type="spellEnd"/>
      <w:r w:rsidRPr="00CC19F7">
        <w:t xml:space="preserve"> fleksibelt næringsliv med </w:t>
      </w:r>
      <w:proofErr w:type="spellStart"/>
      <w:r w:rsidRPr="00CC19F7">
        <w:t>høg</w:t>
      </w:r>
      <w:proofErr w:type="spellEnd"/>
      <w:r w:rsidRPr="00CC19F7">
        <w:t xml:space="preserve"> kompetanse er alle viktige </w:t>
      </w:r>
      <w:proofErr w:type="spellStart"/>
      <w:r w:rsidRPr="00CC19F7">
        <w:t>faktorar</w:t>
      </w:r>
      <w:proofErr w:type="spellEnd"/>
      <w:r w:rsidRPr="00CC19F7">
        <w:t xml:space="preserve"> for å </w:t>
      </w:r>
      <w:proofErr w:type="spellStart"/>
      <w:r w:rsidRPr="00CC19F7">
        <w:t>halde</w:t>
      </w:r>
      <w:proofErr w:type="spellEnd"/>
      <w:r w:rsidRPr="00CC19F7">
        <w:t xml:space="preserve"> oppe konkurransekrafta.</w:t>
      </w:r>
    </w:p>
    <w:p w14:paraId="24E303E2" w14:textId="77777777" w:rsidR="00FE02EF" w:rsidRPr="00CC19F7" w:rsidRDefault="00881E58" w:rsidP="00CC19F7">
      <w:r w:rsidRPr="00CC19F7">
        <w:t xml:space="preserve">Å støtte norske selskap internasjonalt bidrar til at </w:t>
      </w:r>
      <w:proofErr w:type="spellStart"/>
      <w:r w:rsidRPr="00CC19F7">
        <w:t>dei</w:t>
      </w:r>
      <w:proofErr w:type="spellEnd"/>
      <w:r w:rsidRPr="00CC19F7">
        <w:t xml:space="preserve"> kan </w:t>
      </w:r>
      <w:proofErr w:type="spellStart"/>
      <w:r w:rsidRPr="00CC19F7">
        <w:t>lykkast</w:t>
      </w:r>
      <w:proofErr w:type="spellEnd"/>
      <w:r w:rsidRPr="00CC19F7">
        <w:t xml:space="preserve"> i internasjonale </w:t>
      </w:r>
      <w:proofErr w:type="spellStart"/>
      <w:r w:rsidRPr="00CC19F7">
        <w:t>marknader</w:t>
      </w:r>
      <w:proofErr w:type="spellEnd"/>
      <w:r w:rsidRPr="00CC19F7">
        <w:t xml:space="preserve">, og </w:t>
      </w:r>
      <w:proofErr w:type="spellStart"/>
      <w:r w:rsidRPr="00CC19F7">
        <w:t>medverke</w:t>
      </w:r>
      <w:proofErr w:type="spellEnd"/>
      <w:r w:rsidRPr="00CC19F7">
        <w:t xml:space="preserve"> til å gi norsk eksport </w:t>
      </w:r>
      <w:proofErr w:type="spellStart"/>
      <w:r w:rsidRPr="00CC19F7">
        <w:t>fleire</w:t>
      </w:r>
      <w:proofErr w:type="spellEnd"/>
      <w:r w:rsidRPr="00CC19F7">
        <w:t xml:space="preserve"> bein å stå på. Dette er viktig for sysselsetting og verdiskaping over heile landet. Olje- og energidepartementet følger derfor opp </w:t>
      </w:r>
      <w:proofErr w:type="spellStart"/>
      <w:r w:rsidRPr="00CC19F7">
        <w:t>energinæringane</w:t>
      </w:r>
      <w:proofErr w:type="spellEnd"/>
      <w:r w:rsidRPr="00CC19F7">
        <w:t xml:space="preserve"> i dette arbeidet og deltar i regjeringas eksportsatsing </w:t>
      </w:r>
      <w:proofErr w:type="spellStart"/>
      <w:r w:rsidRPr="00CC19F7">
        <w:t>saman</w:t>
      </w:r>
      <w:proofErr w:type="spellEnd"/>
      <w:r w:rsidRPr="00CC19F7">
        <w:t xml:space="preserve"> med andre </w:t>
      </w:r>
      <w:proofErr w:type="spellStart"/>
      <w:r w:rsidRPr="00CC19F7">
        <w:t>verkemiddelaktørar</w:t>
      </w:r>
      <w:proofErr w:type="spellEnd"/>
      <w:r w:rsidRPr="00CC19F7">
        <w:t>.</w:t>
      </w:r>
    </w:p>
    <w:p w14:paraId="3418B8FD" w14:textId="77777777" w:rsidR="00FE02EF" w:rsidRPr="00CC19F7" w:rsidRDefault="00881E58" w:rsidP="00CC19F7">
      <w:r w:rsidRPr="00CC19F7">
        <w:t xml:space="preserve">Departementet arbeider for </w:t>
      </w:r>
      <w:proofErr w:type="spellStart"/>
      <w:r w:rsidRPr="00CC19F7">
        <w:t>eit</w:t>
      </w:r>
      <w:proofErr w:type="spellEnd"/>
      <w:r w:rsidRPr="00CC19F7">
        <w:t xml:space="preserve"> høgt nivå på verdiskaping, sysselsetting og kompetanse i petroleums- og </w:t>
      </w:r>
      <w:proofErr w:type="spellStart"/>
      <w:r w:rsidRPr="00CC19F7">
        <w:t>energinæringane</w:t>
      </w:r>
      <w:proofErr w:type="spellEnd"/>
      <w:r w:rsidRPr="00CC19F7">
        <w:t xml:space="preserve">. Departementet held fram med å utvikle </w:t>
      </w:r>
      <w:proofErr w:type="spellStart"/>
      <w:r w:rsidRPr="00CC19F7">
        <w:t>eit</w:t>
      </w:r>
      <w:proofErr w:type="spellEnd"/>
      <w:r w:rsidRPr="00CC19F7">
        <w:t xml:space="preserve"> </w:t>
      </w:r>
      <w:proofErr w:type="spellStart"/>
      <w:r w:rsidRPr="00CC19F7">
        <w:t>fagleg</w:t>
      </w:r>
      <w:proofErr w:type="spellEnd"/>
      <w:r w:rsidRPr="00CC19F7">
        <w:t xml:space="preserve"> sterkt og relevant </w:t>
      </w:r>
      <w:proofErr w:type="spellStart"/>
      <w:r w:rsidRPr="00CC19F7">
        <w:t>verkemiddelapparat</w:t>
      </w:r>
      <w:proofErr w:type="spellEnd"/>
      <w:r w:rsidRPr="00CC19F7">
        <w:t xml:space="preserve"> og ei næringsretta energiforsking. Departementet skal </w:t>
      </w:r>
      <w:proofErr w:type="spellStart"/>
      <w:r w:rsidRPr="00CC19F7">
        <w:t>halde</w:t>
      </w:r>
      <w:proofErr w:type="spellEnd"/>
      <w:r w:rsidRPr="00CC19F7">
        <w:t xml:space="preserve"> fram med å bidra til konkurransekrafta i petroleums- og </w:t>
      </w:r>
      <w:proofErr w:type="spellStart"/>
      <w:r w:rsidRPr="00CC19F7">
        <w:t>energinæringane</w:t>
      </w:r>
      <w:proofErr w:type="spellEnd"/>
      <w:r w:rsidRPr="00CC19F7">
        <w:t xml:space="preserve"> både heime og i globale </w:t>
      </w:r>
      <w:proofErr w:type="spellStart"/>
      <w:r w:rsidRPr="00CC19F7">
        <w:t>marknader</w:t>
      </w:r>
      <w:proofErr w:type="spellEnd"/>
      <w:r w:rsidRPr="00CC19F7">
        <w:t xml:space="preserve">. Departementet vil i tillegg arbeide for å realisere potensialet for omstilling og kompetanseoverføring gjennom </w:t>
      </w:r>
      <w:proofErr w:type="spellStart"/>
      <w:r w:rsidRPr="00CC19F7">
        <w:t>eit</w:t>
      </w:r>
      <w:proofErr w:type="spellEnd"/>
      <w:r w:rsidRPr="00CC19F7">
        <w:t xml:space="preserve"> tett </w:t>
      </w:r>
      <w:proofErr w:type="spellStart"/>
      <w:r w:rsidRPr="00CC19F7">
        <w:t>samspel</w:t>
      </w:r>
      <w:proofErr w:type="spellEnd"/>
      <w:r w:rsidRPr="00CC19F7">
        <w:t xml:space="preserve"> mellom </w:t>
      </w:r>
      <w:proofErr w:type="spellStart"/>
      <w:r w:rsidRPr="00CC19F7">
        <w:t>petroleumsnæringar</w:t>
      </w:r>
      <w:proofErr w:type="spellEnd"/>
      <w:r w:rsidRPr="00CC19F7">
        <w:t xml:space="preserve">, </w:t>
      </w:r>
      <w:proofErr w:type="spellStart"/>
      <w:r w:rsidRPr="00CC19F7">
        <w:t>fornybarnæringar</w:t>
      </w:r>
      <w:proofErr w:type="spellEnd"/>
      <w:r w:rsidRPr="00CC19F7">
        <w:t xml:space="preserve"> og maritime </w:t>
      </w:r>
      <w:proofErr w:type="spellStart"/>
      <w:r w:rsidRPr="00CC19F7">
        <w:t>næringar</w:t>
      </w:r>
      <w:proofErr w:type="spellEnd"/>
      <w:r w:rsidRPr="00CC19F7">
        <w:t xml:space="preserve">. Målet er å </w:t>
      </w:r>
      <w:proofErr w:type="spellStart"/>
      <w:r w:rsidRPr="00CC19F7">
        <w:t>auke</w:t>
      </w:r>
      <w:proofErr w:type="spellEnd"/>
      <w:r w:rsidRPr="00CC19F7">
        <w:t xml:space="preserve"> konkurransekrafta internasjonalt og med det også å </w:t>
      </w:r>
      <w:proofErr w:type="spellStart"/>
      <w:r w:rsidRPr="00CC19F7">
        <w:t>auke</w:t>
      </w:r>
      <w:proofErr w:type="spellEnd"/>
      <w:r w:rsidRPr="00CC19F7">
        <w:t xml:space="preserve"> eksporten </w:t>
      </w:r>
      <w:proofErr w:type="spellStart"/>
      <w:r w:rsidRPr="00CC19F7">
        <w:t>frå</w:t>
      </w:r>
      <w:proofErr w:type="spellEnd"/>
      <w:r w:rsidRPr="00CC19F7">
        <w:t xml:space="preserve"> </w:t>
      </w:r>
      <w:proofErr w:type="spellStart"/>
      <w:r w:rsidRPr="00CC19F7">
        <w:t>næringane</w:t>
      </w:r>
      <w:proofErr w:type="spellEnd"/>
      <w:r w:rsidRPr="00CC19F7">
        <w:t>.</w:t>
      </w:r>
    </w:p>
    <w:p w14:paraId="337D8B1E" w14:textId="77777777" w:rsidR="00FE02EF" w:rsidRPr="00CC19F7" w:rsidRDefault="00881E58" w:rsidP="00CC19F7">
      <w:r w:rsidRPr="00CC19F7">
        <w:t xml:space="preserve">Det er nødvendig at norske </w:t>
      </w:r>
      <w:proofErr w:type="spellStart"/>
      <w:r w:rsidRPr="00CC19F7">
        <w:t>myndigheiter</w:t>
      </w:r>
      <w:proofErr w:type="spellEnd"/>
      <w:r w:rsidRPr="00CC19F7">
        <w:t xml:space="preserve"> </w:t>
      </w:r>
      <w:proofErr w:type="spellStart"/>
      <w:r w:rsidRPr="00CC19F7">
        <w:t>målrettar</w:t>
      </w:r>
      <w:proofErr w:type="spellEnd"/>
      <w:r w:rsidRPr="00CC19F7">
        <w:t xml:space="preserve"> bruken av </w:t>
      </w:r>
      <w:proofErr w:type="spellStart"/>
      <w:r w:rsidRPr="00CC19F7">
        <w:t>dei</w:t>
      </w:r>
      <w:proofErr w:type="spellEnd"/>
      <w:r w:rsidRPr="00CC19F7">
        <w:t xml:space="preserve"> samla </w:t>
      </w:r>
      <w:proofErr w:type="spellStart"/>
      <w:r w:rsidRPr="00CC19F7">
        <w:t>ressursane</w:t>
      </w:r>
      <w:proofErr w:type="spellEnd"/>
      <w:r w:rsidRPr="00CC19F7">
        <w:t xml:space="preserve"> i det norske </w:t>
      </w:r>
      <w:proofErr w:type="spellStart"/>
      <w:r w:rsidRPr="00CC19F7">
        <w:t>verkemiddelapparatet</w:t>
      </w:r>
      <w:proofErr w:type="spellEnd"/>
      <w:r w:rsidRPr="00CC19F7">
        <w:t xml:space="preserve">. Dette blir gjort i nært samarbeid med </w:t>
      </w:r>
      <w:proofErr w:type="spellStart"/>
      <w:r w:rsidRPr="00CC19F7">
        <w:t>aktørar</w:t>
      </w:r>
      <w:proofErr w:type="spellEnd"/>
      <w:r w:rsidRPr="00CC19F7">
        <w:t xml:space="preserve"> </w:t>
      </w:r>
      <w:proofErr w:type="spellStart"/>
      <w:r w:rsidRPr="00CC19F7">
        <w:t>innanfor</w:t>
      </w:r>
      <w:proofErr w:type="spellEnd"/>
      <w:r w:rsidRPr="00CC19F7">
        <w:t xml:space="preserve"> Team Norway og med Nasjonalt eksportråd.</w:t>
      </w:r>
    </w:p>
    <w:p w14:paraId="724EC321" w14:textId="77777777" w:rsidR="00FE02EF" w:rsidRPr="00CC19F7" w:rsidRDefault="00881E58" w:rsidP="00CC19F7">
      <w:pPr>
        <w:pStyle w:val="Undertittel"/>
      </w:pPr>
      <w:r w:rsidRPr="00CC19F7">
        <w:t>Olje- og energidepartementets resultater for 2022</w:t>
      </w:r>
    </w:p>
    <w:p w14:paraId="52A0C2E5" w14:textId="77777777" w:rsidR="00FE02EF" w:rsidRPr="00CC19F7" w:rsidRDefault="00881E58" w:rsidP="00CC19F7">
      <w:pPr>
        <w:pStyle w:val="avsnitt-tittel"/>
      </w:pPr>
      <w:r w:rsidRPr="00CC19F7">
        <w:t>Havvind</w:t>
      </w:r>
    </w:p>
    <w:p w14:paraId="7C61B968" w14:textId="77777777" w:rsidR="00FE02EF" w:rsidRPr="00CC19F7" w:rsidRDefault="00881E58" w:rsidP="00CC19F7">
      <w:r w:rsidRPr="00CC19F7">
        <w:t xml:space="preserve">Arbeidet med havvind i Olje- og energidepartementet blei styrkt med oppretting av </w:t>
      </w:r>
      <w:proofErr w:type="spellStart"/>
      <w:r w:rsidRPr="00CC19F7">
        <w:t>ein</w:t>
      </w:r>
      <w:proofErr w:type="spellEnd"/>
      <w:r w:rsidRPr="00CC19F7">
        <w:t xml:space="preserve"> eigen seksjon for vindkraft til havs og </w:t>
      </w:r>
      <w:proofErr w:type="spellStart"/>
      <w:r w:rsidRPr="00CC19F7">
        <w:t>fleire</w:t>
      </w:r>
      <w:proofErr w:type="spellEnd"/>
      <w:r w:rsidRPr="00CC19F7">
        <w:t xml:space="preserve"> årsverk i 2022. Den nyoppretta seksjonen arbeidde i 2022 med å legge rammene for utlysing av </w:t>
      </w:r>
      <w:proofErr w:type="spellStart"/>
      <w:r w:rsidRPr="00CC19F7">
        <w:t>dei</w:t>
      </w:r>
      <w:proofErr w:type="spellEnd"/>
      <w:r w:rsidRPr="00CC19F7">
        <w:t xml:space="preserve"> første prosjektområda for havvind. Som førebuing til utlysing har departementet hatt tett dialog med </w:t>
      </w:r>
      <w:proofErr w:type="spellStart"/>
      <w:r w:rsidRPr="00CC19F7">
        <w:t>aktørar</w:t>
      </w:r>
      <w:proofErr w:type="spellEnd"/>
      <w:r w:rsidRPr="00CC19F7">
        <w:t xml:space="preserve"> </w:t>
      </w:r>
      <w:proofErr w:type="spellStart"/>
      <w:r w:rsidRPr="00CC19F7">
        <w:t>frå</w:t>
      </w:r>
      <w:proofErr w:type="spellEnd"/>
      <w:r w:rsidRPr="00CC19F7">
        <w:t xml:space="preserve"> havvindnæringa, tilknytte </w:t>
      </w:r>
      <w:proofErr w:type="spellStart"/>
      <w:r w:rsidRPr="00CC19F7">
        <w:t>næringar</w:t>
      </w:r>
      <w:proofErr w:type="spellEnd"/>
      <w:r w:rsidRPr="00CC19F7">
        <w:t xml:space="preserve">, og andre interessegrupper til havs. I desember 2022 sende departementet på </w:t>
      </w:r>
      <w:proofErr w:type="spellStart"/>
      <w:r w:rsidRPr="00CC19F7">
        <w:t>høyring</w:t>
      </w:r>
      <w:proofErr w:type="spellEnd"/>
      <w:r w:rsidRPr="00CC19F7">
        <w:t xml:space="preserve"> forslag til prekvalifiseringskriterium og auksjonsmodell for </w:t>
      </w:r>
      <w:proofErr w:type="spellStart"/>
      <w:r w:rsidRPr="00CC19F7">
        <w:t>Sørlege</w:t>
      </w:r>
      <w:proofErr w:type="spellEnd"/>
      <w:r w:rsidRPr="00CC19F7">
        <w:t xml:space="preserve"> </w:t>
      </w:r>
      <w:proofErr w:type="spellStart"/>
      <w:r w:rsidRPr="00CC19F7">
        <w:t>Nordsjø</w:t>
      </w:r>
      <w:proofErr w:type="spellEnd"/>
      <w:r w:rsidRPr="00CC19F7">
        <w:t xml:space="preserve"> II og forslag til kvalitative kriterium og støtteordning for Utsira Nord på </w:t>
      </w:r>
      <w:proofErr w:type="spellStart"/>
      <w:r w:rsidRPr="00CC19F7">
        <w:t>høyring</w:t>
      </w:r>
      <w:proofErr w:type="spellEnd"/>
      <w:r w:rsidRPr="00CC19F7">
        <w:t>. Prosjektområda blei lyst ut i første kvartal 2023.</w:t>
      </w:r>
    </w:p>
    <w:p w14:paraId="4C12D267" w14:textId="77777777" w:rsidR="00FE02EF" w:rsidRPr="00CC19F7" w:rsidRDefault="00881E58" w:rsidP="00CC19F7">
      <w:proofErr w:type="spellStart"/>
      <w:r w:rsidRPr="00CC19F7">
        <w:t>Hausten</w:t>
      </w:r>
      <w:proofErr w:type="spellEnd"/>
      <w:r w:rsidRPr="00CC19F7">
        <w:t xml:space="preserve"> 2022 etablerte olje- og energiministeren tre arbeidsgrupper under Samarbeidsforum for havvind. Dei tre arbeidsgruppene er Sameksistensgruppa, Arbeidsgruppa for infrastruktur og nett til havs samt arbeidsgruppa for industri- og teknologiutvikling.</w:t>
      </w:r>
    </w:p>
    <w:p w14:paraId="091E8A92" w14:textId="77777777" w:rsidR="00FE02EF" w:rsidRPr="00CC19F7" w:rsidRDefault="00881E58" w:rsidP="00CC19F7">
      <w:pPr>
        <w:pStyle w:val="avsnitt-tittel"/>
      </w:pPr>
      <w:r w:rsidRPr="00CC19F7">
        <w:t>CO</w:t>
      </w:r>
      <w:r w:rsidRPr="00CC19F7">
        <w:rPr>
          <w:rStyle w:val="skrift-senket"/>
        </w:rPr>
        <w:t>2</w:t>
      </w:r>
      <w:r w:rsidRPr="00CC19F7">
        <w:t>-handtering</w:t>
      </w:r>
    </w:p>
    <w:p w14:paraId="73B6ABA6" w14:textId="77777777" w:rsidR="00FE02EF" w:rsidRPr="00CC19F7" w:rsidRDefault="00881E58" w:rsidP="00CC19F7">
      <w:r w:rsidRPr="00CC19F7">
        <w:t xml:space="preserve">Departementet </w:t>
      </w:r>
      <w:proofErr w:type="spellStart"/>
      <w:r w:rsidRPr="00CC19F7">
        <w:t>følgde</w:t>
      </w:r>
      <w:proofErr w:type="spellEnd"/>
      <w:r w:rsidRPr="00CC19F7">
        <w:t xml:space="preserve"> opp regjeringas strategi for arbeidet med CO</w:t>
      </w:r>
      <w:r w:rsidRPr="00CC19F7">
        <w:rPr>
          <w:rStyle w:val="skrift-senket"/>
        </w:rPr>
        <w:t>2</w:t>
      </w:r>
      <w:r w:rsidRPr="00CC19F7">
        <w:t>-handtering. I desember 2022 rapporterte Heidelberg Materials (</w:t>
      </w:r>
      <w:proofErr w:type="spellStart"/>
      <w:r w:rsidRPr="00CC19F7">
        <w:t>tidlegare</w:t>
      </w:r>
      <w:proofErr w:type="spellEnd"/>
      <w:r w:rsidRPr="00CC19F7">
        <w:t xml:space="preserve"> Norcem) og Northern </w:t>
      </w:r>
      <w:proofErr w:type="spellStart"/>
      <w:r w:rsidRPr="00CC19F7">
        <w:t>Lights</w:t>
      </w:r>
      <w:proofErr w:type="spellEnd"/>
      <w:r w:rsidRPr="00CC19F7">
        <w:t xml:space="preserve"> at prosjekta var </w:t>
      </w:r>
      <w:proofErr w:type="spellStart"/>
      <w:r w:rsidRPr="00CC19F7">
        <w:t>høvesvis</w:t>
      </w:r>
      <w:proofErr w:type="spellEnd"/>
      <w:r w:rsidRPr="00CC19F7">
        <w:t xml:space="preserve"> 50 prosent og 76 prosent ferdigstilte.</w:t>
      </w:r>
    </w:p>
    <w:p w14:paraId="41E3EA61" w14:textId="77777777" w:rsidR="00FE02EF" w:rsidRPr="00CC19F7" w:rsidRDefault="00881E58" w:rsidP="00CC19F7">
      <w:r w:rsidRPr="00CC19F7">
        <w:t xml:space="preserve">Sjå kap. 1850, post 72 for </w:t>
      </w:r>
      <w:proofErr w:type="spellStart"/>
      <w:r w:rsidRPr="00CC19F7">
        <w:t>nærmare</w:t>
      </w:r>
      <w:proofErr w:type="spellEnd"/>
      <w:r w:rsidRPr="00CC19F7">
        <w:t xml:space="preserve"> omtale av Langskip, og resultater for 2022.</w:t>
      </w:r>
    </w:p>
    <w:p w14:paraId="5FA35471" w14:textId="77777777" w:rsidR="00FE02EF" w:rsidRPr="00CC19F7" w:rsidRDefault="00881E58" w:rsidP="00CC19F7">
      <w:r w:rsidRPr="00CC19F7">
        <w:t xml:space="preserve">Departementet varetok </w:t>
      </w:r>
      <w:proofErr w:type="spellStart"/>
      <w:r w:rsidRPr="00CC19F7">
        <w:t>eigaroppfølginga</w:t>
      </w:r>
      <w:proofErr w:type="spellEnd"/>
      <w:r w:rsidRPr="00CC19F7">
        <w:t xml:space="preserve"> av Gassnova SF, </w:t>
      </w:r>
      <w:proofErr w:type="spellStart"/>
      <w:r w:rsidRPr="00CC19F7">
        <w:t>medrekna</w:t>
      </w:r>
      <w:proofErr w:type="spellEnd"/>
      <w:r w:rsidRPr="00CC19F7">
        <w:t xml:space="preserve"> oppfølging av </w:t>
      </w:r>
      <w:proofErr w:type="spellStart"/>
      <w:r w:rsidRPr="00CC19F7">
        <w:t>eigarinteressene</w:t>
      </w:r>
      <w:proofErr w:type="spellEnd"/>
      <w:r w:rsidRPr="00CC19F7">
        <w:t xml:space="preserve"> til staten i Teknologisenter Mongstad.</w:t>
      </w:r>
    </w:p>
    <w:p w14:paraId="17EB5EA7" w14:textId="77777777" w:rsidR="00FE02EF" w:rsidRPr="00CC19F7" w:rsidRDefault="00881E58" w:rsidP="00CC19F7">
      <w:r w:rsidRPr="00CC19F7">
        <w:t xml:space="preserve">Departementet bidrog gjennom arbeidet sitt i 2022 til å legge til rette for utnytting av undersjøiske reservoar på kontinentalsokkelen til </w:t>
      </w:r>
      <w:proofErr w:type="spellStart"/>
      <w:r w:rsidRPr="00CC19F7">
        <w:t>miljøsikker</w:t>
      </w:r>
      <w:proofErr w:type="spellEnd"/>
      <w:r w:rsidRPr="00CC19F7">
        <w:t xml:space="preserve"> lagring av CO</w:t>
      </w:r>
      <w:r w:rsidRPr="00CC19F7">
        <w:rPr>
          <w:rStyle w:val="skrift-senket"/>
        </w:rPr>
        <w:t>2</w:t>
      </w:r>
      <w:r w:rsidRPr="00CC19F7">
        <w:t xml:space="preserve"> som </w:t>
      </w:r>
      <w:proofErr w:type="spellStart"/>
      <w:r w:rsidRPr="00CC19F7">
        <w:t>eit</w:t>
      </w:r>
      <w:proofErr w:type="spellEnd"/>
      <w:r w:rsidRPr="00CC19F7">
        <w:t xml:space="preserve"> tiltak for å </w:t>
      </w:r>
      <w:proofErr w:type="spellStart"/>
      <w:r w:rsidRPr="00CC19F7">
        <w:t>motverke</w:t>
      </w:r>
      <w:proofErr w:type="spellEnd"/>
      <w:r w:rsidRPr="00CC19F7">
        <w:t xml:space="preserve"> </w:t>
      </w:r>
      <w:proofErr w:type="spellStart"/>
      <w:r w:rsidRPr="00CC19F7">
        <w:t>klimaendringar</w:t>
      </w:r>
      <w:proofErr w:type="spellEnd"/>
      <w:r w:rsidRPr="00CC19F7">
        <w:t>.</w:t>
      </w:r>
    </w:p>
    <w:p w14:paraId="3B9AD9DA" w14:textId="77777777" w:rsidR="00FE02EF" w:rsidRPr="00CC19F7" w:rsidRDefault="00881E58" w:rsidP="00CC19F7">
      <w:r w:rsidRPr="00CC19F7">
        <w:t xml:space="preserve">Departementet </w:t>
      </w:r>
      <w:proofErr w:type="spellStart"/>
      <w:r w:rsidRPr="00CC19F7">
        <w:t>fekk</w:t>
      </w:r>
      <w:proofErr w:type="spellEnd"/>
      <w:r w:rsidRPr="00CC19F7">
        <w:t xml:space="preserve"> i 2022 søknader knytte til injeksjon og lagring av CO</w:t>
      </w:r>
      <w:r w:rsidRPr="00CC19F7">
        <w:rPr>
          <w:rStyle w:val="skrift-senket"/>
        </w:rPr>
        <w:t>2</w:t>
      </w:r>
      <w:r w:rsidRPr="00CC19F7">
        <w:t xml:space="preserve"> på norsk kontinentalsokkel på </w:t>
      </w:r>
      <w:proofErr w:type="gramStart"/>
      <w:r w:rsidRPr="00CC19F7">
        <w:t>to område</w:t>
      </w:r>
      <w:proofErr w:type="gramEnd"/>
      <w:r w:rsidRPr="00CC19F7">
        <w:t xml:space="preserve">. I april blei det kunngjort </w:t>
      </w:r>
      <w:proofErr w:type="spellStart"/>
      <w:r w:rsidRPr="00CC19F7">
        <w:t>eit</w:t>
      </w:r>
      <w:proofErr w:type="spellEnd"/>
      <w:r w:rsidRPr="00CC19F7">
        <w:t xml:space="preserve"> område for lagring av CO</w:t>
      </w:r>
      <w:r w:rsidRPr="00CC19F7">
        <w:rPr>
          <w:rStyle w:val="skrift-senket"/>
        </w:rPr>
        <w:t>2</w:t>
      </w:r>
      <w:r w:rsidRPr="00CC19F7">
        <w:t xml:space="preserve"> med søknadsfrist i juni. I november blei </w:t>
      </w:r>
      <w:proofErr w:type="spellStart"/>
      <w:r w:rsidRPr="00CC19F7">
        <w:t>eit</w:t>
      </w:r>
      <w:proofErr w:type="spellEnd"/>
      <w:r w:rsidRPr="00CC19F7">
        <w:t xml:space="preserve"> leiteløyve tildelt til to selskap. I november blei enda </w:t>
      </w:r>
      <w:proofErr w:type="spellStart"/>
      <w:r w:rsidRPr="00CC19F7">
        <w:t>eit</w:t>
      </w:r>
      <w:proofErr w:type="spellEnd"/>
      <w:r w:rsidRPr="00CC19F7">
        <w:t xml:space="preserve"> område kunngjort med søknadsfrist i januar 2023.</w:t>
      </w:r>
    </w:p>
    <w:p w14:paraId="3EA447FA" w14:textId="77777777" w:rsidR="00FE02EF" w:rsidRPr="00CC19F7" w:rsidRDefault="00881E58" w:rsidP="00CC19F7">
      <w:r w:rsidRPr="00CC19F7">
        <w:t xml:space="preserve">Departementet har i 2022 </w:t>
      </w:r>
      <w:proofErr w:type="spellStart"/>
      <w:r w:rsidRPr="00CC19F7">
        <w:t>følgt</w:t>
      </w:r>
      <w:proofErr w:type="spellEnd"/>
      <w:r w:rsidRPr="00CC19F7">
        <w:t xml:space="preserve"> opp Northern </w:t>
      </w:r>
      <w:proofErr w:type="spellStart"/>
      <w:r w:rsidRPr="00CC19F7">
        <w:t>Lights</w:t>
      </w:r>
      <w:proofErr w:type="spellEnd"/>
      <w:r w:rsidRPr="00CC19F7">
        <w:t xml:space="preserve"> sitt arbeid med utbyggingsprosjektet etter at PUD for fase 1 blei </w:t>
      </w:r>
      <w:proofErr w:type="spellStart"/>
      <w:r w:rsidRPr="00CC19F7">
        <w:t>godkjend</w:t>
      </w:r>
      <w:proofErr w:type="spellEnd"/>
      <w:r w:rsidRPr="00CC19F7">
        <w:t xml:space="preserve"> i 2021. Lageret er venta å </w:t>
      </w:r>
      <w:proofErr w:type="spellStart"/>
      <w:r w:rsidRPr="00CC19F7">
        <w:t>vere</w:t>
      </w:r>
      <w:proofErr w:type="spellEnd"/>
      <w:r w:rsidRPr="00CC19F7">
        <w:t xml:space="preserve"> klart for mottak av CO</w:t>
      </w:r>
      <w:r w:rsidRPr="00CC19F7">
        <w:rPr>
          <w:rStyle w:val="skrift-senket"/>
        </w:rPr>
        <w:t>2</w:t>
      </w:r>
      <w:r w:rsidRPr="00CC19F7">
        <w:t xml:space="preserve"> i 2024.</w:t>
      </w:r>
    </w:p>
    <w:p w14:paraId="3F6A1C1C" w14:textId="77777777" w:rsidR="00FE02EF" w:rsidRPr="00CC19F7" w:rsidRDefault="00881E58" w:rsidP="00CC19F7">
      <w:r w:rsidRPr="00CC19F7">
        <w:t xml:space="preserve">Olje- og energidepartementet arbeider </w:t>
      </w:r>
      <w:proofErr w:type="spellStart"/>
      <w:r w:rsidRPr="00CC19F7">
        <w:t>saman</w:t>
      </w:r>
      <w:proofErr w:type="spellEnd"/>
      <w:r w:rsidRPr="00CC19F7">
        <w:t xml:space="preserve"> med andre departement og </w:t>
      </w:r>
      <w:proofErr w:type="spellStart"/>
      <w:r w:rsidRPr="00CC19F7">
        <w:t>utanriksapparatet</w:t>
      </w:r>
      <w:proofErr w:type="spellEnd"/>
      <w:r w:rsidRPr="00CC19F7">
        <w:t xml:space="preserve"> om å fremme fangst og lagring av CO</w:t>
      </w:r>
      <w:r w:rsidRPr="00CC19F7">
        <w:rPr>
          <w:rStyle w:val="skrift-senket"/>
        </w:rPr>
        <w:t>2</w:t>
      </w:r>
      <w:r w:rsidRPr="00CC19F7">
        <w:t xml:space="preserve"> internasjonalt. Eksport og import av CO</w:t>
      </w:r>
      <w:r w:rsidRPr="00CC19F7">
        <w:rPr>
          <w:rStyle w:val="skrift-senket"/>
        </w:rPr>
        <w:t>2</w:t>
      </w:r>
      <w:r w:rsidRPr="00CC19F7">
        <w:t xml:space="preserve"> krev at </w:t>
      </w:r>
      <w:proofErr w:type="spellStart"/>
      <w:r w:rsidRPr="00CC19F7">
        <w:t>dei</w:t>
      </w:r>
      <w:proofErr w:type="spellEnd"/>
      <w:r w:rsidRPr="00CC19F7">
        <w:t xml:space="preserve"> involverte landa inngår </w:t>
      </w:r>
      <w:proofErr w:type="spellStart"/>
      <w:r w:rsidRPr="00CC19F7">
        <w:t>ein</w:t>
      </w:r>
      <w:proofErr w:type="spellEnd"/>
      <w:r w:rsidRPr="00CC19F7">
        <w:t xml:space="preserve"> bilateral avtale, eller arrangement, i tråd med krava i Londonprotokollen. I 2022 har departementet </w:t>
      </w:r>
      <w:proofErr w:type="spellStart"/>
      <w:r w:rsidRPr="00CC19F7">
        <w:t>arbeidd</w:t>
      </w:r>
      <w:proofErr w:type="spellEnd"/>
      <w:r w:rsidRPr="00CC19F7">
        <w:t xml:space="preserve"> med å legge til rette for å regulere import av CO</w:t>
      </w:r>
      <w:r w:rsidRPr="00CC19F7">
        <w:rPr>
          <w:rStyle w:val="skrift-senket"/>
        </w:rPr>
        <w:t>2</w:t>
      </w:r>
      <w:r w:rsidRPr="00CC19F7">
        <w:t xml:space="preserve"> for permanent geologisk lagring i </w:t>
      </w:r>
      <w:proofErr w:type="spellStart"/>
      <w:r w:rsidRPr="00CC19F7">
        <w:t>Noreg</w:t>
      </w:r>
      <w:proofErr w:type="spellEnd"/>
      <w:r w:rsidRPr="00CC19F7">
        <w:t>.</w:t>
      </w:r>
    </w:p>
    <w:p w14:paraId="64C5334A" w14:textId="77777777" w:rsidR="00FE02EF" w:rsidRPr="00CC19F7" w:rsidRDefault="00881E58" w:rsidP="00CC19F7">
      <w:proofErr w:type="spellStart"/>
      <w:r w:rsidRPr="00CC19F7">
        <w:t>Noreg</w:t>
      </w:r>
      <w:proofErr w:type="spellEnd"/>
      <w:r w:rsidRPr="00CC19F7">
        <w:t xml:space="preserve"> samarbeider tett med EU og deltar i </w:t>
      </w:r>
      <w:proofErr w:type="spellStart"/>
      <w:r w:rsidRPr="00CC19F7">
        <w:t>fleire</w:t>
      </w:r>
      <w:proofErr w:type="spellEnd"/>
      <w:r w:rsidRPr="00CC19F7">
        <w:t xml:space="preserve"> forum og arbeidsgrupper om CO</w:t>
      </w:r>
      <w:r w:rsidRPr="00CC19F7">
        <w:rPr>
          <w:rStyle w:val="skrift-senket"/>
        </w:rPr>
        <w:t>2</w:t>
      </w:r>
      <w:r w:rsidRPr="00CC19F7">
        <w:t>-handtering.</w:t>
      </w:r>
    </w:p>
    <w:p w14:paraId="7C4D84E8" w14:textId="77777777" w:rsidR="00FE02EF" w:rsidRPr="00CC19F7" w:rsidRDefault="00881E58" w:rsidP="00CC19F7">
      <w:pPr>
        <w:pStyle w:val="avsnitt-tittel"/>
      </w:pPr>
      <w:r w:rsidRPr="00CC19F7">
        <w:t>Hydrogen</w:t>
      </w:r>
    </w:p>
    <w:p w14:paraId="44F0AF1E" w14:textId="77777777" w:rsidR="00FE02EF" w:rsidRPr="00CC19F7" w:rsidRDefault="00881E58" w:rsidP="00CC19F7">
      <w:r w:rsidRPr="00CC19F7">
        <w:t xml:space="preserve">Departementet innleia i 2022 arbeidet med ei ekstern utgreiing av korleis staten kan </w:t>
      </w:r>
      <w:proofErr w:type="spellStart"/>
      <w:r w:rsidRPr="00CC19F7">
        <w:t>medverke</w:t>
      </w:r>
      <w:proofErr w:type="spellEnd"/>
      <w:r w:rsidRPr="00CC19F7">
        <w:t xml:space="preserve"> til å bygge opp ei </w:t>
      </w:r>
      <w:proofErr w:type="spellStart"/>
      <w:r w:rsidRPr="00CC19F7">
        <w:t>heilskapleg</w:t>
      </w:r>
      <w:proofErr w:type="spellEnd"/>
      <w:r w:rsidRPr="00CC19F7">
        <w:t xml:space="preserve"> verdikjede for hydrogen produsert </w:t>
      </w:r>
      <w:proofErr w:type="spellStart"/>
      <w:r w:rsidRPr="00CC19F7">
        <w:t>utan</w:t>
      </w:r>
      <w:proofErr w:type="spellEnd"/>
      <w:r w:rsidRPr="00CC19F7">
        <w:t xml:space="preserve"> eller med låge utslepp. Utgreiinga, blei gjennomført av Oslo </w:t>
      </w:r>
      <w:proofErr w:type="spellStart"/>
      <w:r w:rsidRPr="00CC19F7">
        <w:t>Economics</w:t>
      </w:r>
      <w:proofErr w:type="spellEnd"/>
      <w:r w:rsidRPr="00CC19F7">
        <w:t xml:space="preserve">, Sintef og </w:t>
      </w:r>
      <w:proofErr w:type="spellStart"/>
      <w:r w:rsidRPr="00CC19F7">
        <w:t>Greensight</w:t>
      </w:r>
      <w:proofErr w:type="spellEnd"/>
      <w:r w:rsidRPr="00CC19F7">
        <w:t>.</w:t>
      </w:r>
    </w:p>
    <w:p w14:paraId="607AEF08" w14:textId="77777777" w:rsidR="00FE02EF" w:rsidRPr="00CC19F7" w:rsidRDefault="00881E58" w:rsidP="00CC19F7">
      <w:proofErr w:type="spellStart"/>
      <w:r w:rsidRPr="00CC19F7">
        <w:t>Myndigheitene</w:t>
      </w:r>
      <w:proofErr w:type="spellEnd"/>
      <w:r w:rsidRPr="00CC19F7">
        <w:t xml:space="preserve"> </w:t>
      </w:r>
      <w:proofErr w:type="spellStart"/>
      <w:r w:rsidRPr="00CC19F7">
        <w:t>støttar</w:t>
      </w:r>
      <w:proofErr w:type="spellEnd"/>
      <w:r w:rsidRPr="00CC19F7">
        <w:t xml:space="preserve"> utviklinga av hydrogen gjennom det etablerte </w:t>
      </w:r>
      <w:proofErr w:type="spellStart"/>
      <w:r w:rsidRPr="00CC19F7">
        <w:t>verkemiddelapparatet</w:t>
      </w:r>
      <w:proofErr w:type="spellEnd"/>
      <w:r w:rsidRPr="00CC19F7">
        <w:t xml:space="preserve">. HEILO-samarbeidet koordinerer </w:t>
      </w:r>
      <w:proofErr w:type="spellStart"/>
      <w:r w:rsidRPr="00CC19F7">
        <w:t>aktivitetane</w:t>
      </w:r>
      <w:proofErr w:type="spellEnd"/>
      <w:r w:rsidRPr="00CC19F7">
        <w:t xml:space="preserve"> til </w:t>
      </w:r>
      <w:proofErr w:type="spellStart"/>
      <w:r w:rsidRPr="00CC19F7">
        <w:t>verkemiddelaktørane</w:t>
      </w:r>
      <w:proofErr w:type="spellEnd"/>
      <w:r w:rsidRPr="00CC19F7">
        <w:t xml:space="preserve"> (Forskningsrådet, </w:t>
      </w:r>
      <w:proofErr w:type="spellStart"/>
      <w:r w:rsidRPr="00CC19F7">
        <w:t>Enova</w:t>
      </w:r>
      <w:proofErr w:type="spellEnd"/>
      <w:r w:rsidRPr="00CC19F7">
        <w:t xml:space="preserve">, Innovasjon </w:t>
      </w:r>
      <w:proofErr w:type="spellStart"/>
      <w:r w:rsidRPr="00CC19F7">
        <w:t>Noreg</w:t>
      </w:r>
      <w:proofErr w:type="spellEnd"/>
      <w:r w:rsidRPr="00CC19F7">
        <w:t xml:space="preserve"> og Gassnova) knytte til hydrogen. </w:t>
      </w:r>
      <w:proofErr w:type="spellStart"/>
      <w:r w:rsidRPr="00CC19F7">
        <w:t>Desse</w:t>
      </w:r>
      <w:proofErr w:type="spellEnd"/>
      <w:r w:rsidRPr="00CC19F7">
        <w:t xml:space="preserve"> </w:t>
      </w:r>
      <w:proofErr w:type="spellStart"/>
      <w:r w:rsidRPr="00CC19F7">
        <w:t>aktørane</w:t>
      </w:r>
      <w:proofErr w:type="spellEnd"/>
      <w:r w:rsidRPr="00CC19F7">
        <w:t xml:space="preserve"> har i 2022 løyvd og gitt </w:t>
      </w:r>
      <w:proofErr w:type="spellStart"/>
      <w:r w:rsidRPr="00CC19F7">
        <w:t>tilsegn</w:t>
      </w:r>
      <w:proofErr w:type="spellEnd"/>
      <w:r w:rsidRPr="00CC19F7">
        <w:t xml:space="preserve"> om over 2 mrd. kroner til hydrogenformål. </w:t>
      </w:r>
      <w:proofErr w:type="spellStart"/>
      <w:r w:rsidRPr="00CC19F7">
        <w:t>Desse</w:t>
      </w:r>
      <w:proofErr w:type="spellEnd"/>
      <w:r w:rsidRPr="00CC19F7">
        <w:t xml:space="preserve"> </w:t>
      </w:r>
      <w:proofErr w:type="spellStart"/>
      <w:r w:rsidRPr="00CC19F7">
        <w:t>midlane</w:t>
      </w:r>
      <w:proofErr w:type="spellEnd"/>
      <w:r w:rsidRPr="00CC19F7">
        <w:t xml:space="preserve"> vil kunne utløyse </w:t>
      </w:r>
      <w:proofErr w:type="spellStart"/>
      <w:r w:rsidRPr="00CC19F7">
        <w:t>meir</w:t>
      </w:r>
      <w:proofErr w:type="spellEnd"/>
      <w:r w:rsidRPr="00CC19F7">
        <w:t xml:space="preserve"> enn 2,7 mrd. kroner </w:t>
      </w:r>
      <w:proofErr w:type="spellStart"/>
      <w:r w:rsidRPr="00CC19F7">
        <w:t>frå</w:t>
      </w:r>
      <w:proofErr w:type="spellEnd"/>
      <w:r w:rsidRPr="00CC19F7">
        <w:t xml:space="preserve"> næringslivet til </w:t>
      </w:r>
      <w:proofErr w:type="spellStart"/>
      <w:r w:rsidRPr="00CC19F7">
        <w:t>desse</w:t>
      </w:r>
      <w:proofErr w:type="spellEnd"/>
      <w:r w:rsidRPr="00CC19F7">
        <w:t xml:space="preserve"> prosjekta.</w:t>
      </w:r>
    </w:p>
    <w:p w14:paraId="6730FDA4" w14:textId="77777777" w:rsidR="00FE02EF" w:rsidRPr="00CC19F7" w:rsidRDefault="00881E58" w:rsidP="00CC19F7">
      <w:r w:rsidRPr="00CC19F7">
        <w:t>I tillegg til å delta i relevante internasjonale samarbeidsforum og -</w:t>
      </w:r>
      <w:proofErr w:type="spellStart"/>
      <w:r w:rsidRPr="00CC19F7">
        <w:t>avtalar</w:t>
      </w:r>
      <w:proofErr w:type="spellEnd"/>
      <w:r w:rsidRPr="00CC19F7">
        <w:t xml:space="preserve"> for hydrogen har departementet mellom anna også </w:t>
      </w:r>
      <w:proofErr w:type="spellStart"/>
      <w:r w:rsidRPr="00CC19F7">
        <w:t>følgt</w:t>
      </w:r>
      <w:proofErr w:type="spellEnd"/>
      <w:r w:rsidRPr="00CC19F7">
        <w:t xml:space="preserve"> opp hydrogensamarbeidet med Tyskland under den tysk-norske energi- og industridialogen som blei etablert av </w:t>
      </w:r>
      <w:proofErr w:type="spellStart"/>
      <w:r w:rsidRPr="00CC19F7">
        <w:t>forbundskanslar</w:t>
      </w:r>
      <w:proofErr w:type="spellEnd"/>
      <w:r w:rsidRPr="00CC19F7">
        <w:t xml:space="preserve"> </w:t>
      </w:r>
      <w:proofErr w:type="spellStart"/>
      <w:r w:rsidRPr="00CC19F7">
        <w:t>Scholz</w:t>
      </w:r>
      <w:proofErr w:type="spellEnd"/>
      <w:r w:rsidRPr="00CC19F7">
        <w:t xml:space="preserve"> og statsminister Støre i januar 2022.</w:t>
      </w:r>
    </w:p>
    <w:p w14:paraId="5D7F6075" w14:textId="77777777" w:rsidR="00FE02EF" w:rsidRPr="00CC19F7" w:rsidRDefault="00881E58" w:rsidP="00CC19F7">
      <w:pPr>
        <w:pStyle w:val="avsnitt-tittel"/>
      </w:pPr>
      <w:r w:rsidRPr="00CC19F7">
        <w:t>Forsking og teknologiutvikling</w:t>
      </w:r>
    </w:p>
    <w:p w14:paraId="7AA44736" w14:textId="77777777" w:rsidR="00FE02EF" w:rsidRPr="00CC19F7" w:rsidRDefault="00881E58" w:rsidP="00CC19F7">
      <w:r w:rsidRPr="00CC19F7">
        <w:t xml:space="preserve">Olje- og energidepartementet har, i tett samarbeid med Forskingsrådet, </w:t>
      </w:r>
      <w:proofErr w:type="spellStart"/>
      <w:r w:rsidRPr="00CC19F7">
        <w:t>arbeidd</w:t>
      </w:r>
      <w:proofErr w:type="spellEnd"/>
      <w:r w:rsidRPr="00CC19F7">
        <w:t xml:space="preserve"> for å styrke kompetansen og innovasjonsevna </w:t>
      </w:r>
      <w:proofErr w:type="spellStart"/>
      <w:r w:rsidRPr="00CC19F7">
        <w:t>innanfor</w:t>
      </w:r>
      <w:proofErr w:type="spellEnd"/>
      <w:r w:rsidRPr="00CC19F7">
        <w:t xml:space="preserve"> energi- og </w:t>
      </w:r>
      <w:proofErr w:type="spellStart"/>
      <w:r w:rsidRPr="00CC19F7">
        <w:t>petroleumssektorane</w:t>
      </w:r>
      <w:proofErr w:type="spellEnd"/>
      <w:r w:rsidRPr="00CC19F7">
        <w:t xml:space="preserve">. </w:t>
      </w:r>
    </w:p>
    <w:p w14:paraId="0B4CD33D" w14:textId="77777777" w:rsidR="00FE02EF" w:rsidRPr="00CC19F7" w:rsidRDefault="00881E58" w:rsidP="00CC19F7">
      <w:r w:rsidRPr="00CC19F7">
        <w:t>Arbeidet i FoU-</w:t>
      </w:r>
      <w:proofErr w:type="spellStart"/>
      <w:r w:rsidRPr="00CC19F7">
        <w:t>strategiane</w:t>
      </w:r>
      <w:proofErr w:type="spellEnd"/>
      <w:r w:rsidRPr="00CC19F7">
        <w:t xml:space="preserve"> OG21 og Energi21 blei </w:t>
      </w:r>
      <w:proofErr w:type="spellStart"/>
      <w:r w:rsidRPr="00CC19F7">
        <w:t>følgt</w:t>
      </w:r>
      <w:proofErr w:type="spellEnd"/>
      <w:r w:rsidRPr="00CC19F7">
        <w:t xml:space="preserve"> opp av departementet, mellom anna gjennom observatørrolla i </w:t>
      </w:r>
      <w:proofErr w:type="spellStart"/>
      <w:r w:rsidRPr="00CC19F7">
        <w:t>dei</w:t>
      </w:r>
      <w:proofErr w:type="spellEnd"/>
      <w:r w:rsidRPr="00CC19F7">
        <w:t xml:space="preserve"> </w:t>
      </w:r>
      <w:proofErr w:type="spellStart"/>
      <w:r w:rsidRPr="00CC19F7">
        <w:t>departementsutnemnde</w:t>
      </w:r>
      <w:proofErr w:type="spellEnd"/>
      <w:r w:rsidRPr="00CC19F7">
        <w:t xml:space="preserve"> strategistyra. Styret for Energi21 </w:t>
      </w:r>
      <w:proofErr w:type="spellStart"/>
      <w:r w:rsidRPr="00CC19F7">
        <w:t>overrekte</w:t>
      </w:r>
      <w:proofErr w:type="spellEnd"/>
      <w:r w:rsidRPr="00CC19F7">
        <w:t xml:space="preserve"> sin nye strategi til olje- og energiministeren i juni 2022. Departementet har bidratt til å </w:t>
      </w:r>
      <w:proofErr w:type="spellStart"/>
      <w:r w:rsidRPr="00CC19F7">
        <w:t>gjere</w:t>
      </w:r>
      <w:proofErr w:type="spellEnd"/>
      <w:r w:rsidRPr="00CC19F7">
        <w:t xml:space="preserve"> </w:t>
      </w:r>
      <w:proofErr w:type="spellStart"/>
      <w:r w:rsidRPr="00CC19F7">
        <w:t>tilrådingane</w:t>
      </w:r>
      <w:proofErr w:type="spellEnd"/>
      <w:r w:rsidRPr="00CC19F7">
        <w:t xml:space="preserve"> og </w:t>
      </w:r>
      <w:proofErr w:type="spellStart"/>
      <w:r w:rsidRPr="00CC19F7">
        <w:t>prioriteringane</w:t>
      </w:r>
      <w:proofErr w:type="spellEnd"/>
      <w:r w:rsidRPr="00CC19F7">
        <w:t xml:space="preserve"> </w:t>
      </w:r>
      <w:proofErr w:type="spellStart"/>
      <w:r w:rsidRPr="00CC19F7">
        <w:t>frå</w:t>
      </w:r>
      <w:proofErr w:type="spellEnd"/>
      <w:r w:rsidRPr="00CC19F7">
        <w:t xml:space="preserve"> OG21 og Energi21 </w:t>
      </w:r>
      <w:proofErr w:type="spellStart"/>
      <w:r w:rsidRPr="00CC19F7">
        <w:t>kjende</w:t>
      </w:r>
      <w:proofErr w:type="spellEnd"/>
      <w:r w:rsidRPr="00CC19F7">
        <w:t xml:space="preserve"> i relevante </w:t>
      </w:r>
      <w:proofErr w:type="spellStart"/>
      <w:r w:rsidRPr="00CC19F7">
        <w:t>samanhengar</w:t>
      </w:r>
      <w:proofErr w:type="spellEnd"/>
      <w:r w:rsidRPr="00CC19F7">
        <w:t>.</w:t>
      </w:r>
    </w:p>
    <w:p w14:paraId="1D507EF0" w14:textId="77777777" w:rsidR="00FE02EF" w:rsidRPr="00CC19F7" w:rsidRDefault="00881E58" w:rsidP="00CC19F7">
      <w:r w:rsidRPr="00CC19F7">
        <w:t xml:space="preserve">Departementet har deltatt som observatør i </w:t>
      </w:r>
      <w:proofErr w:type="spellStart"/>
      <w:r w:rsidRPr="00CC19F7">
        <w:t>Noregs</w:t>
      </w:r>
      <w:proofErr w:type="spellEnd"/>
      <w:r w:rsidRPr="00CC19F7">
        <w:t xml:space="preserve"> forskingsråds porteføljestyrer. I tillegg har departementet </w:t>
      </w:r>
      <w:proofErr w:type="spellStart"/>
      <w:r w:rsidRPr="00CC19F7">
        <w:t>følgt</w:t>
      </w:r>
      <w:proofErr w:type="spellEnd"/>
      <w:r w:rsidRPr="00CC19F7">
        <w:t xml:space="preserve"> utviklinga i </w:t>
      </w:r>
      <w:proofErr w:type="spellStart"/>
      <w:r w:rsidRPr="00CC19F7">
        <w:t>dei</w:t>
      </w:r>
      <w:proofErr w:type="spellEnd"/>
      <w:r w:rsidRPr="00CC19F7">
        <w:t xml:space="preserve"> tre </w:t>
      </w:r>
      <w:proofErr w:type="spellStart"/>
      <w:r w:rsidRPr="00CC19F7">
        <w:t>forskingssentera</w:t>
      </w:r>
      <w:proofErr w:type="spellEnd"/>
      <w:r w:rsidRPr="00CC19F7">
        <w:t xml:space="preserve"> for petroleum (PETROSENTER), og aktiviteten i </w:t>
      </w:r>
      <w:proofErr w:type="spellStart"/>
      <w:r w:rsidRPr="00CC19F7">
        <w:t>dei</w:t>
      </w:r>
      <w:proofErr w:type="spellEnd"/>
      <w:r w:rsidRPr="00CC19F7">
        <w:t xml:space="preserve"> 13 </w:t>
      </w:r>
      <w:proofErr w:type="spellStart"/>
      <w:r w:rsidRPr="00CC19F7">
        <w:t>forskingssentera</w:t>
      </w:r>
      <w:proofErr w:type="spellEnd"/>
      <w:r w:rsidRPr="00CC19F7">
        <w:t xml:space="preserve"> for </w:t>
      </w:r>
      <w:proofErr w:type="spellStart"/>
      <w:r w:rsidRPr="00CC19F7">
        <w:t>miljøvennleg</w:t>
      </w:r>
      <w:proofErr w:type="spellEnd"/>
      <w:r w:rsidRPr="00CC19F7">
        <w:t xml:space="preserve"> energi (FME), inklusive </w:t>
      </w:r>
      <w:proofErr w:type="spellStart"/>
      <w:r w:rsidRPr="00CC19F7">
        <w:t>dei</w:t>
      </w:r>
      <w:proofErr w:type="spellEnd"/>
      <w:r w:rsidRPr="00CC19F7">
        <w:t xml:space="preserve"> to nye FME-ane på hydrogen som starta opp i 2022.</w:t>
      </w:r>
    </w:p>
    <w:p w14:paraId="3422845F" w14:textId="77777777" w:rsidR="00FE02EF" w:rsidRPr="00CC19F7" w:rsidRDefault="00881E58" w:rsidP="00CC19F7">
      <w:r w:rsidRPr="00CC19F7">
        <w:t xml:space="preserve">Departementet har deltatt som observatør i programstyret for CLIMIT, som er </w:t>
      </w:r>
      <w:proofErr w:type="spellStart"/>
      <w:r w:rsidRPr="00CC19F7">
        <w:t>utnemnt</w:t>
      </w:r>
      <w:proofErr w:type="spellEnd"/>
      <w:r w:rsidRPr="00CC19F7">
        <w:t xml:space="preserve"> av olje- og energiministeren. CLIMIT er Forskingsrådet og Gassnovas felles program for forsking, utvikling og demonstrasjon av CO</w:t>
      </w:r>
      <w:r w:rsidRPr="00CC19F7">
        <w:rPr>
          <w:rStyle w:val="skrift-senket"/>
        </w:rPr>
        <w:t>2</w:t>
      </w:r>
      <w:r w:rsidRPr="00CC19F7">
        <w:t>-handteringsteknologiar.</w:t>
      </w:r>
    </w:p>
    <w:p w14:paraId="2B3CF96B" w14:textId="77777777" w:rsidR="00FE02EF" w:rsidRPr="00CC19F7" w:rsidRDefault="00881E58" w:rsidP="00CC19F7">
      <w:r w:rsidRPr="00CC19F7">
        <w:t xml:space="preserve">Departementet har deltatt i internasjonale forum for FoU-samarbeid </w:t>
      </w:r>
      <w:proofErr w:type="spellStart"/>
      <w:r w:rsidRPr="00CC19F7">
        <w:t>innanfor</w:t>
      </w:r>
      <w:proofErr w:type="spellEnd"/>
      <w:r w:rsidRPr="00CC19F7">
        <w:t xml:space="preserve"> energi- og petroleumsområdet, </w:t>
      </w:r>
      <w:proofErr w:type="spellStart"/>
      <w:r w:rsidRPr="00CC19F7">
        <w:t>hovudsakleg</w:t>
      </w:r>
      <w:proofErr w:type="spellEnd"/>
      <w:r w:rsidRPr="00CC19F7">
        <w:t xml:space="preserve"> </w:t>
      </w:r>
      <w:proofErr w:type="spellStart"/>
      <w:r w:rsidRPr="00CC19F7">
        <w:t>innanfor</w:t>
      </w:r>
      <w:proofErr w:type="spellEnd"/>
      <w:r w:rsidRPr="00CC19F7">
        <w:t xml:space="preserve"> EU-samarbeidet, IEA og i Nordisk energiforsking. På EU-arenaen har departementet engasjert seg i arbeidet i EUs Strategic Energy Technology Plan (SET-planen), i første rekke gjennom å delta i styringsgruppa og den </w:t>
      </w:r>
      <w:proofErr w:type="spellStart"/>
      <w:r w:rsidRPr="00CC19F7">
        <w:t>underliggande</w:t>
      </w:r>
      <w:proofErr w:type="spellEnd"/>
      <w:r w:rsidRPr="00CC19F7">
        <w:t xml:space="preserve"> arbeidsgruppa for CO</w:t>
      </w:r>
      <w:r w:rsidRPr="00CC19F7">
        <w:rPr>
          <w:rStyle w:val="skrift-senket"/>
        </w:rPr>
        <w:t>2</w:t>
      </w:r>
      <w:r w:rsidRPr="00CC19F7">
        <w:t xml:space="preserve">-handtering. </w:t>
      </w:r>
      <w:proofErr w:type="spellStart"/>
      <w:r w:rsidRPr="00CC19F7">
        <w:t>Noreg</w:t>
      </w:r>
      <w:proofErr w:type="spellEnd"/>
      <w:r w:rsidRPr="00CC19F7">
        <w:t xml:space="preserve">, ved Olje- og energidepartementet, </w:t>
      </w:r>
      <w:proofErr w:type="spellStart"/>
      <w:r w:rsidRPr="00CC19F7">
        <w:t>leiar</w:t>
      </w:r>
      <w:proofErr w:type="spellEnd"/>
      <w:r w:rsidRPr="00CC19F7">
        <w:t xml:space="preserve"> arbeidsgruppa </w:t>
      </w:r>
      <w:proofErr w:type="spellStart"/>
      <w:r w:rsidRPr="00CC19F7">
        <w:t>saman</w:t>
      </w:r>
      <w:proofErr w:type="spellEnd"/>
      <w:r w:rsidRPr="00CC19F7">
        <w:t xml:space="preserve"> med Nederland.</w:t>
      </w:r>
    </w:p>
    <w:p w14:paraId="5D394D98" w14:textId="77777777" w:rsidR="00FE02EF" w:rsidRPr="00CC19F7" w:rsidRDefault="00881E58" w:rsidP="00CC19F7">
      <w:r w:rsidRPr="00CC19F7">
        <w:t xml:space="preserve">Departementet har også deltatt i arbeid knytt til programkomiteen for Klima, energi og mobilitet i EUs forskings- og innovasjonsprogram Horisont Europa (2021–2027). Mellom anna har departementet arbeidd </w:t>
      </w:r>
      <w:proofErr w:type="spellStart"/>
      <w:r w:rsidRPr="00CC19F7">
        <w:t>saman</w:t>
      </w:r>
      <w:proofErr w:type="spellEnd"/>
      <w:r w:rsidRPr="00CC19F7">
        <w:t xml:space="preserve"> med </w:t>
      </w:r>
      <w:proofErr w:type="spellStart"/>
      <w:r w:rsidRPr="00CC19F7">
        <w:t>Noregs</w:t>
      </w:r>
      <w:proofErr w:type="spellEnd"/>
      <w:r w:rsidRPr="00CC19F7">
        <w:t xml:space="preserve"> forskingsråd med å gi </w:t>
      </w:r>
      <w:proofErr w:type="spellStart"/>
      <w:r w:rsidRPr="00CC19F7">
        <w:t>innspel</w:t>
      </w:r>
      <w:proofErr w:type="spellEnd"/>
      <w:r w:rsidRPr="00CC19F7">
        <w:t xml:space="preserve"> til innretninga av arbeidsprogramma for Horisont Europa i tråd med norske interesser.</w:t>
      </w:r>
    </w:p>
    <w:p w14:paraId="7A62A43F" w14:textId="77777777" w:rsidR="00FE02EF" w:rsidRPr="00CC19F7" w:rsidRDefault="00881E58" w:rsidP="00CC19F7">
      <w:proofErr w:type="spellStart"/>
      <w:r w:rsidRPr="00CC19F7">
        <w:t>Innanfor</w:t>
      </w:r>
      <w:proofErr w:type="spellEnd"/>
      <w:r w:rsidRPr="00CC19F7">
        <w:t xml:space="preserve"> IEA-samarbeidet har departementet i samarbeid med Forskingsrådet </w:t>
      </w:r>
      <w:proofErr w:type="spellStart"/>
      <w:r w:rsidRPr="00CC19F7">
        <w:t>vore</w:t>
      </w:r>
      <w:proofErr w:type="spellEnd"/>
      <w:r w:rsidRPr="00CC19F7">
        <w:t xml:space="preserve"> engasjert i </w:t>
      </w:r>
      <w:proofErr w:type="spellStart"/>
      <w:r w:rsidRPr="00CC19F7">
        <w:t>dei</w:t>
      </w:r>
      <w:proofErr w:type="spellEnd"/>
      <w:r w:rsidRPr="00CC19F7">
        <w:t xml:space="preserve"> teknologisk retta styringsgruppene i IEA og i samarbeidsprogrammet Gas and Oil Technologies Collaboration </w:t>
      </w:r>
      <w:proofErr w:type="spellStart"/>
      <w:r w:rsidRPr="00CC19F7">
        <w:t>Programme</w:t>
      </w:r>
      <w:proofErr w:type="spellEnd"/>
      <w:r w:rsidRPr="00CC19F7">
        <w:t xml:space="preserve">. Departementet har også i 2022, </w:t>
      </w:r>
      <w:proofErr w:type="spellStart"/>
      <w:r w:rsidRPr="00CC19F7">
        <w:t>saman</w:t>
      </w:r>
      <w:proofErr w:type="spellEnd"/>
      <w:r w:rsidRPr="00CC19F7">
        <w:t xml:space="preserve"> med Forskingsrådet, deltatt i oppfølginga av Nordisk Energiforsking og av </w:t>
      </w:r>
      <w:proofErr w:type="spellStart"/>
      <w:r w:rsidRPr="00CC19F7">
        <w:t>Mission</w:t>
      </w:r>
      <w:proofErr w:type="spellEnd"/>
      <w:r w:rsidRPr="00CC19F7">
        <w:t xml:space="preserve"> </w:t>
      </w:r>
      <w:proofErr w:type="spellStart"/>
      <w:r w:rsidRPr="00CC19F7">
        <w:t>Innovation</w:t>
      </w:r>
      <w:proofErr w:type="spellEnd"/>
      <w:r w:rsidRPr="00CC19F7">
        <w:t xml:space="preserve"> (MI), </w:t>
      </w:r>
      <w:proofErr w:type="spellStart"/>
      <w:r w:rsidRPr="00CC19F7">
        <w:t>eit</w:t>
      </w:r>
      <w:proofErr w:type="spellEnd"/>
      <w:r w:rsidRPr="00CC19F7">
        <w:t xml:space="preserve"> globalt samarbeidsinitiativ for å akselerere utbreiinga av nye </w:t>
      </w:r>
      <w:proofErr w:type="spellStart"/>
      <w:r w:rsidRPr="00CC19F7">
        <w:t>energiteknologiar</w:t>
      </w:r>
      <w:proofErr w:type="spellEnd"/>
      <w:r w:rsidRPr="00CC19F7">
        <w:t xml:space="preserve">, der det var </w:t>
      </w:r>
      <w:proofErr w:type="spellStart"/>
      <w:r w:rsidRPr="00CC19F7">
        <w:t>eit</w:t>
      </w:r>
      <w:proofErr w:type="spellEnd"/>
      <w:r w:rsidRPr="00CC19F7">
        <w:t xml:space="preserve"> ministermøte i september 2022.</w:t>
      </w:r>
    </w:p>
    <w:p w14:paraId="3543F189" w14:textId="77777777" w:rsidR="00FE02EF" w:rsidRPr="00CC19F7" w:rsidRDefault="00881E58" w:rsidP="00CC19F7">
      <w:r w:rsidRPr="00CC19F7">
        <w:t xml:space="preserve">Pandemien førte også i 2022 til at det internasjonale FoU-samarbeidet var </w:t>
      </w:r>
      <w:proofErr w:type="spellStart"/>
      <w:r w:rsidRPr="00CC19F7">
        <w:t>krevjande</w:t>
      </w:r>
      <w:proofErr w:type="spellEnd"/>
      <w:r w:rsidRPr="00CC19F7">
        <w:t xml:space="preserve">, og generelt har aktivitetsnivået </w:t>
      </w:r>
      <w:proofErr w:type="spellStart"/>
      <w:r w:rsidRPr="00CC19F7">
        <w:t>vore</w:t>
      </w:r>
      <w:proofErr w:type="spellEnd"/>
      <w:r w:rsidRPr="00CC19F7">
        <w:t xml:space="preserve"> </w:t>
      </w:r>
      <w:proofErr w:type="spellStart"/>
      <w:r w:rsidRPr="00CC19F7">
        <w:t>lågare</w:t>
      </w:r>
      <w:proofErr w:type="spellEnd"/>
      <w:r w:rsidRPr="00CC19F7">
        <w:t xml:space="preserve"> enn normalt. Likevel har arbeidet med det bilaterale forskings- og teknologisamarbeidet </w:t>
      </w:r>
      <w:proofErr w:type="spellStart"/>
      <w:r w:rsidRPr="00CC19F7">
        <w:t>innan</w:t>
      </w:r>
      <w:proofErr w:type="spellEnd"/>
      <w:r w:rsidRPr="00CC19F7">
        <w:t xml:space="preserve"> olje og gass mellom Brasil og </w:t>
      </w:r>
      <w:proofErr w:type="spellStart"/>
      <w:r w:rsidRPr="00CC19F7">
        <w:t>Noreg</w:t>
      </w:r>
      <w:proofErr w:type="spellEnd"/>
      <w:r w:rsidRPr="00CC19F7">
        <w:t xml:space="preserve"> blitt ført </w:t>
      </w:r>
      <w:proofErr w:type="spellStart"/>
      <w:r w:rsidRPr="00CC19F7">
        <w:t>vidare</w:t>
      </w:r>
      <w:proofErr w:type="spellEnd"/>
      <w:r w:rsidRPr="00CC19F7">
        <w:t xml:space="preserve"> gjennom arbeid med felles utlysing av </w:t>
      </w:r>
      <w:proofErr w:type="spellStart"/>
      <w:r w:rsidRPr="00CC19F7">
        <w:t>midlar</w:t>
      </w:r>
      <w:proofErr w:type="spellEnd"/>
      <w:r w:rsidRPr="00CC19F7">
        <w:t xml:space="preserve"> til forskingsprosjekt. Norske universitet, forskingsinstitutt og norsk industri deltar i dette samarbeidet.</w:t>
      </w:r>
    </w:p>
    <w:p w14:paraId="0A95D6EF" w14:textId="77777777" w:rsidR="00FE02EF" w:rsidRPr="00CC19F7" w:rsidRDefault="00881E58" w:rsidP="00CC19F7">
      <w:pPr>
        <w:pStyle w:val="avsnitt-tittel"/>
      </w:pPr>
      <w:r w:rsidRPr="00CC19F7">
        <w:t>Næringsutvikling og internasjonalisering</w:t>
      </w:r>
    </w:p>
    <w:p w14:paraId="31635136" w14:textId="77777777" w:rsidR="00FE02EF" w:rsidRPr="00CC19F7" w:rsidRDefault="00881E58" w:rsidP="00CC19F7">
      <w:r w:rsidRPr="00CC19F7">
        <w:t xml:space="preserve">Som ledd i departementets kunnskapsinnhenting blei det gjennomført ei rekke møte med ulike </w:t>
      </w:r>
      <w:proofErr w:type="spellStart"/>
      <w:r w:rsidRPr="00CC19F7">
        <w:t>aktørar</w:t>
      </w:r>
      <w:proofErr w:type="spellEnd"/>
      <w:r w:rsidRPr="00CC19F7">
        <w:t xml:space="preserve"> </w:t>
      </w:r>
      <w:proofErr w:type="spellStart"/>
      <w:r w:rsidRPr="00CC19F7">
        <w:t>innanfor</w:t>
      </w:r>
      <w:proofErr w:type="spellEnd"/>
      <w:r w:rsidRPr="00CC19F7">
        <w:t xml:space="preserve"> petroleums- og </w:t>
      </w:r>
      <w:proofErr w:type="spellStart"/>
      <w:r w:rsidRPr="00CC19F7">
        <w:t>energinæringane</w:t>
      </w:r>
      <w:proofErr w:type="spellEnd"/>
      <w:r w:rsidRPr="00CC19F7">
        <w:t xml:space="preserve">, deriblant bedrifter, relevante </w:t>
      </w:r>
      <w:proofErr w:type="spellStart"/>
      <w:r w:rsidRPr="00CC19F7">
        <w:t>interesseorganisasjonar</w:t>
      </w:r>
      <w:proofErr w:type="spellEnd"/>
      <w:r w:rsidRPr="00CC19F7">
        <w:t xml:space="preserve">, NORWEP, andre </w:t>
      </w:r>
      <w:proofErr w:type="spellStart"/>
      <w:r w:rsidRPr="00CC19F7">
        <w:t>verkemiddelaktørar</w:t>
      </w:r>
      <w:proofErr w:type="spellEnd"/>
      <w:r w:rsidRPr="00CC19F7">
        <w:t xml:space="preserve">, og forskingsinstitutta. Departementet </w:t>
      </w:r>
      <w:proofErr w:type="spellStart"/>
      <w:r w:rsidRPr="00CC19F7">
        <w:t>opprettheldt</w:t>
      </w:r>
      <w:proofErr w:type="spellEnd"/>
      <w:r w:rsidRPr="00CC19F7">
        <w:t xml:space="preserve"> også kontakt med </w:t>
      </w:r>
      <w:proofErr w:type="spellStart"/>
      <w:r w:rsidRPr="00CC19F7">
        <w:t>utanlandske</w:t>
      </w:r>
      <w:proofErr w:type="spellEnd"/>
      <w:r w:rsidRPr="00CC19F7">
        <w:t xml:space="preserve"> </w:t>
      </w:r>
      <w:proofErr w:type="spellStart"/>
      <w:r w:rsidRPr="00CC19F7">
        <w:t>aktørar</w:t>
      </w:r>
      <w:proofErr w:type="spellEnd"/>
      <w:r w:rsidRPr="00CC19F7">
        <w:t xml:space="preserve">, mellom andre relevante </w:t>
      </w:r>
      <w:proofErr w:type="spellStart"/>
      <w:r w:rsidRPr="00CC19F7">
        <w:t>myndigheiter</w:t>
      </w:r>
      <w:proofErr w:type="spellEnd"/>
      <w:r w:rsidRPr="00CC19F7">
        <w:t xml:space="preserve">, både gjennom </w:t>
      </w:r>
      <w:proofErr w:type="spellStart"/>
      <w:r w:rsidRPr="00CC19F7">
        <w:t>utanlandske</w:t>
      </w:r>
      <w:proofErr w:type="spellEnd"/>
      <w:r w:rsidRPr="00CC19F7">
        <w:t xml:space="preserve"> besøk i </w:t>
      </w:r>
      <w:proofErr w:type="spellStart"/>
      <w:r w:rsidRPr="00CC19F7">
        <w:t>Noreg</w:t>
      </w:r>
      <w:proofErr w:type="spellEnd"/>
      <w:r w:rsidRPr="00CC19F7">
        <w:t xml:space="preserve"> og gjennom besøk til utlandet. Det blei i 2022 også gjennomført to </w:t>
      </w:r>
      <w:proofErr w:type="spellStart"/>
      <w:r w:rsidRPr="00CC19F7">
        <w:t>studiar</w:t>
      </w:r>
      <w:proofErr w:type="spellEnd"/>
      <w:r w:rsidRPr="00CC19F7">
        <w:t xml:space="preserve"> av internasjonal omsetning og sysselsetting i petroleumsnæringa og i </w:t>
      </w:r>
      <w:proofErr w:type="spellStart"/>
      <w:r w:rsidRPr="00CC19F7">
        <w:t>næringane</w:t>
      </w:r>
      <w:proofErr w:type="spellEnd"/>
      <w:r w:rsidRPr="00CC19F7">
        <w:t xml:space="preserve"> knytte til fornybar energi, CO</w:t>
      </w:r>
      <w:r w:rsidRPr="00CC19F7">
        <w:rPr>
          <w:rStyle w:val="skrift-senket"/>
        </w:rPr>
        <w:t>2</w:t>
      </w:r>
      <w:r w:rsidRPr="00CC19F7">
        <w:t xml:space="preserve">-handtering og hydrogen. Dette gav viktig innsikt i korleis </w:t>
      </w:r>
      <w:proofErr w:type="spellStart"/>
      <w:r w:rsidRPr="00CC19F7">
        <w:t>næringane</w:t>
      </w:r>
      <w:proofErr w:type="spellEnd"/>
      <w:r w:rsidRPr="00CC19F7">
        <w:t xml:space="preserve"> blir </w:t>
      </w:r>
      <w:proofErr w:type="spellStart"/>
      <w:r w:rsidRPr="00CC19F7">
        <w:t>påverka</w:t>
      </w:r>
      <w:proofErr w:type="spellEnd"/>
      <w:r w:rsidRPr="00CC19F7">
        <w:t xml:space="preserve"> av </w:t>
      </w:r>
      <w:proofErr w:type="spellStart"/>
      <w:r w:rsidRPr="00CC19F7">
        <w:t>marknadssituasjonen</w:t>
      </w:r>
      <w:proofErr w:type="spellEnd"/>
      <w:r w:rsidRPr="00CC19F7">
        <w:t xml:space="preserve"> nasjonalt og internasjonalt, og </w:t>
      </w:r>
      <w:proofErr w:type="spellStart"/>
      <w:r w:rsidRPr="00CC19F7">
        <w:t>trendane</w:t>
      </w:r>
      <w:proofErr w:type="spellEnd"/>
      <w:r w:rsidRPr="00CC19F7">
        <w:t xml:space="preserve"> framover. Departementet deltok aktivt i Team Norway og i arbeidet med regjeringas eksportsatsing gjennom Nasjonalt eksportråd.</w:t>
      </w:r>
    </w:p>
    <w:p w14:paraId="4A2F5BE9" w14:textId="77777777" w:rsidR="00FE02EF" w:rsidRPr="00CC19F7" w:rsidRDefault="00881E58" w:rsidP="00CC19F7">
      <w:pPr>
        <w:pStyle w:val="b-budkaptit"/>
      </w:pPr>
      <w:r w:rsidRPr="00CC19F7">
        <w:t>Kap. 1850 Klima, industri og teknologi</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646"/>
        <w:gridCol w:w="1275"/>
        <w:gridCol w:w="1479"/>
        <w:gridCol w:w="1300"/>
      </w:tblGrid>
      <w:tr w:rsidR="00FE02EF" w:rsidRPr="00CC19F7" w14:paraId="5D39CC6B" w14:textId="77777777" w:rsidTr="00A74556">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5E5C493" w14:textId="77777777" w:rsidR="00FE02EF" w:rsidRPr="00CC19F7" w:rsidRDefault="00881E58" w:rsidP="00CC19F7">
            <w:pPr>
              <w:pStyle w:val="Tabellnavn"/>
            </w:pPr>
            <w:r w:rsidRPr="00CC19F7">
              <w:t>KPAL</w:t>
            </w:r>
          </w:p>
        </w:tc>
        <w:tc>
          <w:tcPr>
            <w:tcW w:w="4646" w:type="dxa"/>
            <w:tcBorders>
              <w:top w:val="nil"/>
              <w:left w:val="nil"/>
              <w:bottom w:val="single" w:sz="4" w:space="0" w:color="000000"/>
              <w:right w:val="nil"/>
            </w:tcBorders>
            <w:tcMar>
              <w:top w:w="128" w:type="dxa"/>
              <w:left w:w="43" w:type="dxa"/>
              <w:bottom w:w="43" w:type="dxa"/>
              <w:right w:w="43" w:type="dxa"/>
            </w:tcMar>
            <w:vAlign w:val="bottom"/>
          </w:tcPr>
          <w:p w14:paraId="2AB30775" w14:textId="77777777" w:rsidR="00FE02EF" w:rsidRPr="00CC19F7" w:rsidRDefault="00FE02EF" w:rsidP="00A74556"/>
        </w:tc>
        <w:tc>
          <w:tcPr>
            <w:tcW w:w="1275" w:type="dxa"/>
            <w:tcBorders>
              <w:top w:val="nil"/>
              <w:left w:val="nil"/>
              <w:bottom w:val="single" w:sz="4" w:space="0" w:color="000000"/>
              <w:right w:val="nil"/>
            </w:tcBorders>
            <w:tcMar>
              <w:top w:w="128" w:type="dxa"/>
              <w:left w:w="43" w:type="dxa"/>
              <w:bottom w:w="43" w:type="dxa"/>
              <w:right w:w="43" w:type="dxa"/>
            </w:tcMar>
            <w:vAlign w:val="bottom"/>
          </w:tcPr>
          <w:p w14:paraId="3131D4FE" w14:textId="77777777" w:rsidR="00FE02EF" w:rsidRPr="00CC19F7" w:rsidRDefault="00FE02EF" w:rsidP="00A74556">
            <w:pPr>
              <w:jc w:val="right"/>
            </w:pP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5FC4E4AB" w14:textId="77777777" w:rsidR="00FE02EF" w:rsidRPr="00CC19F7" w:rsidRDefault="00FE02EF" w:rsidP="00A74556">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F857081" w14:textId="77777777" w:rsidR="00FE02EF" w:rsidRPr="00CC19F7" w:rsidRDefault="00881E58" w:rsidP="00A74556">
            <w:pPr>
              <w:jc w:val="right"/>
            </w:pPr>
            <w:r w:rsidRPr="00CC19F7">
              <w:t>(i 1 000 kr)</w:t>
            </w:r>
          </w:p>
        </w:tc>
      </w:tr>
      <w:tr w:rsidR="00FE02EF" w:rsidRPr="00CC19F7" w14:paraId="1F28E223" w14:textId="77777777" w:rsidTr="00A74556">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D64109F" w14:textId="77777777" w:rsidR="00FE02EF" w:rsidRPr="00CC19F7" w:rsidRDefault="00881E58" w:rsidP="00CC19F7">
            <w:r w:rsidRPr="00CC19F7">
              <w:t>Post</w:t>
            </w:r>
          </w:p>
        </w:tc>
        <w:tc>
          <w:tcPr>
            <w:tcW w:w="4646" w:type="dxa"/>
            <w:tcBorders>
              <w:top w:val="nil"/>
              <w:left w:val="nil"/>
              <w:bottom w:val="single" w:sz="4" w:space="0" w:color="000000"/>
              <w:right w:val="nil"/>
            </w:tcBorders>
            <w:tcMar>
              <w:top w:w="128" w:type="dxa"/>
              <w:left w:w="43" w:type="dxa"/>
              <w:bottom w:w="43" w:type="dxa"/>
              <w:right w:w="43" w:type="dxa"/>
            </w:tcMar>
            <w:vAlign w:val="bottom"/>
          </w:tcPr>
          <w:p w14:paraId="52DE5EE1" w14:textId="77777777" w:rsidR="00FE02EF" w:rsidRPr="00CC19F7" w:rsidRDefault="00881E58" w:rsidP="00A74556">
            <w:proofErr w:type="spellStart"/>
            <w:r w:rsidRPr="00CC19F7">
              <w:t>Nemning</w:t>
            </w:r>
            <w:proofErr w:type="spellEnd"/>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37EAC3A4" w14:textId="77777777" w:rsidR="00FE02EF" w:rsidRPr="00CC19F7" w:rsidRDefault="00881E58" w:rsidP="00A74556">
            <w:pPr>
              <w:jc w:val="right"/>
            </w:pPr>
            <w:proofErr w:type="spellStart"/>
            <w:r w:rsidRPr="00CC19F7">
              <w:t>Rekneskap</w:t>
            </w:r>
            <w:proofErr w:type="spellEnd"/>
            <w:r w:rsidRPr="00CC19F7">
              <w:br/>
              <w:t>2022</w:t>
            </w:r>
            <w:r w:rsidRPr="00CC19F7">
              <w:rPr>
                <w:rStyle w:val="skrift-hevet"/>
              </w:rPr>
              <w:t>1</w:t>
            </w: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4460459E" w14:textId="77777777" w:rsidR="00FE02EF" w:rsidRPr="00CC19F7" w:rsidRDefault="00881E58" w:rsidP="00A74556">
            <w:pPr>
              <w:jc w:val="right"/>
            </w:pPr>
            <w:r w:rsidRPr="00CC19F7">
              <w:t>Saldert</w:t>
            </w:r>
            <w:r w:rsidRPr="00CC19F7">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C5B8C79" w14:textId="77777777" w:rsidR="00FE02EF" w:rsidRPr="00CC19F7" w:rsidRDefault="00881E58" w:rsidP="00A74556">
            <w:pPr>
              <w:jc w:val="right"/>
            </w:pPr>
            <w:r w:rsidRPr="00CC19F7">
              <w:t>Forslag</w:t>
            </w:r>
            <w:r w:rsidRPr="00CC19F7">
              <w:br/>
              <w:t>2024</w:t>
            </w:r>
          </w:p>
        </w:tc>
      </w:tr>
      <w:tr w:rsidR="00FE02EF" w:rsidRPr="00CC19F7" w14:paraId="6F9DC0AF" w14:textId="77777777" w:rsidTr="00A74556">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7E782CEE" w14:textId="77777777" w:rsidR="00FE02EF" w:rsidRPr="00CC19F7" w:rsidRDefault="00881E58" w:rsidP="00CC19F7">
            <w:r w:rsidRPr="00CC19F7">
              <w:t>21</w:t>
            </w:r>
          </w:p>
        </w:tc>
        <w:tc>
          <w:tcPr>
            <w:tcW w:w="4646" w:type="dxa"/>
            <w:tcBorders>
              <w:top w:val="single" w:sz="4" w:space="0" w:color="000000"/>
              <w:left w:val="nil"/>
              <w:bottom w:val="nil"/>
              <w:right w:val="nil"/>
            </w:tcBorders>
            <w:tcMar>
              <w:top w:w="128" w:type="dxa"/>
              <w:left w:w="43" w:type="dxa"/>
              <w:bottom w:w="43" w:type="dxa"/>
              <w:right w:w="43" w:type="dxa"/>
            </w:tcMar>
          </w:tcPr>
          <w:p w14:paraId="6360ACF5" w14:textId="77777777" w:rsidR="00FE02EF" w:rsidRPr="00CC19F7" w:rsidRDefault="00881E58" w:rsidP="00A74556">
            <w:r w:rsidRPr="00CC19F7">
              <w:t>Spesielle driftsutgifter</w:t>
            </w:r>
          </w:p>
        </w:tc>
        <w:tc>
          <w:tcPr>
            <w:tcW w:w="1275" w:type="dxa"/>
            <w:tcBorders>
              <w:top w:val="single" w:sz="4" w:space="0" w:color="000000"/>
              <w:left w:val="nil"/>
              <w:bottom w:val="nil"/>
              <w:right w:val="nil"/>
            </w:tcBorders>
            <w:tcMar>
              <w:top w:w="128" w:type="dxa"/>
              <w:left w:w="43" w:type="dxa"/>
              <w:bottom w:w="43" w:type="dxa"/>
              <w:right w:w="43" w:type="dxa"/>
            </w:tcMar>
            <w:vAlign w:val="bottom"/>
          </w:tcPr>
          <w:p w14:paraId="0ED80EA5" w14:textId="77777777" w:rsidR="00FE02EF" w:rsidRPr="00CC19F7" w:rsidRDefault="00FE02EF" w:rsidP="00A74556">
            <w:pPr>
              <w:jc w:val="right"/>
            </w:pPr>
          </w:p>
        </w:tc>
        <w:tc>
          <w:tcPr>
            <w:tcW w:w="1479" w:type="dxa"/>
            <w:tcBorders>
              <w:top w:val="single" w:sz="4" w:space="0" w:color="000000"/>
              <w:left w:val="nil"/>
              <w:bottom w:val="nil"/>
              <w:right w:val="nil"/>
            </w:tcBorders>
            <w:tcMar>
              <w:top w:w="128" w:type="dxa"/>
              <w:left w:w="43" w:type="dxa"/>
              <w:bottom w:w="43" w:type="dxa"/>
              <w:right w:w="43" w:type="dxa"/>
            </w:tcMar>
            <w:vAlign w:val="bottom"/>
          </w:tcPr>
          <w:p w14:paraId="11B6890A" w14:textId="77777777" w:rsidR="00FE02EF" w:rsidRPr="00CC19F7" w:rsidRDefault="00FE02EF" w:rsidP="00A74556">
            <w:pPr>
              <w:jc w:val="right"/>
            </w:pP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2B407D8" w14:textId="77777777" w:rsidR="00FE02EF" w:rsidRPr="00CC19F7" w:rsidRDefault="00881E58" w:rsidP="00A74556">
            <w:pPr>
              <w:jc w:val="right"/>
            </w:pPr>
            <w:r w:rsidRPr="00CC19F7">
              <w:t>81 000</w:t>
            </w:r>
          </w:p>
        </w:tc>
      </w:tr>
      <w:tr w:rsidR="00FE02EF" w:rsidRPr="00CC19F7" w14:paraId="5FC3BCCB" w14:textId="77777777" w:rsidTr="00A74556">
        <w:trPr>
          <w:trHeight w:val="640"/>
        </w:trPr>
        <w:tc>
          <w:tcPr>
            <w:tcW w:w="840" w:type="dxa"/>
            <w:tcBorders>
              <w:top w:val="nil"/>
              <w:left w:val="nil"/>
              <w:bottom w:val="nil"/>
              <w:right w:val="nil"/>
            </w:tcBorders>
            <w:tcMar>
              <w:top w:w="128" w:type="dxa"/>
              <w:left w:w="43" w:type="dxa"/>
              <w:bottom w:w="43" w:type="dxa"/>
              <w:right w:w="43" w:type="dxa"/>
            </w:tcMar>
          </w:tcPr>
          <w:p w14:paraId="11F5E3E7" w14:textId="77777777" w:rsidR="00FE02EF" w:rsidRPr="00CC19F7" w:rsidRDefault="00881E58" w:rsidP="00CC19F7">
            <w:r w:rsidRPr="00CC19F7">
              <w:t>50</w:t>
            </w:r>
          </w:p>
        </w:tc>
        <w:tc>
          <w:tcPr>
            <w:tcW w:w="4646" w:type="dxa"/>
            <w:tcBorders>
              <w:top w:val="nil"/>
              <w:left w:val="nil"/>
              <w:bottom w:val="nil"/>
              <w:right w:val="nil"/>
            </w:tcBorders>
            <w:tcMar>
              <w:top w:w="128" w:type="dxa"/>
              <w:left w:w="43" w:type="dxa"/>
              <w:bottom w:w="43" w:type="dxa"/>
              <w:right w:w="43" w:type="dxa"/>
            </w:tcMar>
          </w:tcPr>
          <w:p w14:paraId="2134BECE" w14:textId="77777777" w:rsidR="00FE02EF" w:rsidRPr="00CC19F7" w:rsidRDefault="00881E58" w:rsidP="00A74556">
            <w:proofErr w:type="spellStart"/>
            <w:r w:rsidRPr="00CC19F7">
              <w:t>Noregs</w:t>
            </w:r>
            <w:proofErr w:type="spellEnd"/>
            <w:r w:rsidRPr="00CC19F7">
              <w:t xml:space="preserve"> forskingsråd og Gassnova – forsking og teknologiutvikling for framtidas energisystem</w:t>
            </w:r>
          </w:p>
        </w:tc>
        <w:tc>
          <w:tcPr>
            <w:tcW w:w="1275" w:type="dxa"/>
            <w:tcBorders>
              <w:top w:val="nil"/>
              <w:left w:val="nil"/>
              <w:bottom w:val="nil"/>
              <w:right w:val="nil"/>
            </w:tcBorders>
            <w:tcMar>
              <w:top w:w="128" w:type="dxa"/>
              <w:left w:w="43" w:type="dxa"/>
              <w:bottom w:w="43" w:type="dxa"/>
              <w:right w:w="43" w:type="dxa"/>
            </w:tcMar>
            <w:vAlign w:val="bottom"/>
          </w:tcPr>
          <w:p w14:paraId="7F88ACEA" w14:textId="77777777" w:rsidR="00FE02EF" w:rsidRPr="00CC19F7" w:rsidRDefault="00FE02EF" w:rsidP="00A74556">
            <w:pPr>
              <w:jc w:val="right"/>
            </w:pPr>
          </w:p>
        </w:tc>
        <w:tc>
          <w:tcPr>
            <w:tcW w:w="1479" w:type="dxa"/>
            <w:tcBorders>
              <w:top w:val="nil"/>
              <w:left w:val="nil"/>
              <w:bottom w:val="nil"/>
              <w:right w:val="nil"/>
            </w:tcBorders>
            <w:tcMar>
              <w:top w:w="128" w:type="dxa"/>
              <w:left w:w="43" w:type="dxa"/>
              <w:bottom w:w="43" w:type="dxa"/>
              <w:right w:w="43" w:type="dxa"/>
            </w:tcMar>
            <w:vAlign w:val="bottom"/>
          </w:tcPr>
          <w:p w14:paraId="395E832C" w14:textId="77777777" w:rsidR="00FE02EF" w:rsidRPr="00CC19F7" w:rsidRDefault="00881E58" w:rsidP="00A74556">
            <w:pPr>
              <w:jc w:val="right"/>
            </w:pPr>
            <w:r w:rsidRPr="00CC19F7">
              <w:t>993 500</w:t>
            </w:r>
          </w:p>
        </w:tc>
        <w:tc>
          <w:tcPr>
            <w:tcW w:w="1300" w:type="dxa"/>
            <w:tcBorders>
              <w:top w:val="nil"/>
              <w:left w:val="nil"/>
              <w:bottom w:val="nil"/>
              <w:right w:val="nil"/>
            </w:tcBorders>
            <w:tcMar>
              <w:top w:w="128" w:type="dxa"/>
              <w:left w:w="43" w:type="dxa"/>
              <w:bottom w:w="43" w:type="dxa"/>
              <w:right w:w="43" w:type="dxa"/>
            </w:tcMar>
            <w:vAlign w:val="bottom"/>
          </w:tcPr>
          <w:p w14:paraId="79DAF3B1" w14:textId="77777777" w:rsidR="00FE02EF" w:rsidRPr="00CC19F7" w:rsidRDefault="00881E58" w:rsidP="00A74556">
            <w:pPr>
              <w:jc w:val="right"/>
            </w:pPr>
            <w:r w:rsidRPr="00CC19F7">
              <w:t>1 008 200</w:t>
            </w:r>
          </w:p>
        </w:tc>
      </w:tr>
      <w:tr w:rsidR="00FE02EF" w:rsidRPr="00CC19F7" w14:paraId="7C7527CD" w14:textId="77777777" w:rsidTr="00A74556">
        <w:trPr>
          <w:trHeight w:val="380"/>
        </w:trPr>
        <w:tc>
          <w:tcPr>
            <w:tcW w:w="840" w:type="dxa"/>
            <w:tcBorders>
              <w:top w:val="nil"/>
              <w:left w:val="nil"/>
              <w:bottom w:val="nil"/>
              <w:right w:val="nil"/>
            </w:tcBorders>
            <w:tcMar>
              <w:top w:w="128" w:type="dxa"/>
              <w:left w:w="43" w:type="dxa"/>
              <w:bottom w:w="43" w:type="dxa"/>
              <w:right w:w="43" w:type="dxa"/>
            </w:tcMar>
          </w:tcPr>
          <w:p w14:paraId="732E9C5F" w14:textId="77777777" w:rsidR="00FE02EF" w:rsidRPr="00CC19F7" w:rsidRDefault="00881E58" w:rsidP="00CC19F7">
            <w:r w:rsidRPr="00CC19F7">
              <w:t>70</w:t>
            </w:r>
          </w:p>
        </w:tc>
        <w:tc>
          <w:tcPr>
            <w:tcW w:w="4646" w:type="dxa"/>
            <w:tcBorders>
              <w:top w:val="nil"/>
              <w:left w:val="nil"/>
              <w:bottom w:val="nil"/>
              <w:right w:val="nil"/>
            </w:tcBorders>
            <w:tcMar>
              <w:top w:w="128" w:type="dxa"/>
              <w:left w:w="43" w:type="dxa"/>
              <w:bottom w:w="43" w:type="dxa"/>
              <w:right w:w="43" w:type="dxa"/>
            </w:tcMar>
          </w:tcPr>
          <w:p w14:paraId="5E31E68A" w14:textId="77777777" w:rsidR="00FE02EF" w:rsidRPr="00CC19F7" w:rsidRDefault="00881E58" w:rsidP="00A74556">
            <w:r w:rsidRPr="00CC19F7">
              <w:t>Gassnova SF</w:t>
            </w:r>
          </w:p>
        </w:tc>
        <w:tc>
          <w:tcPr>
            <w:tcW w:w="1275" w:type="dxa"/>
            <w:tcBorders>
              <w:top w:val="nil"/>
              <w:left w:val="nil"/>
              <w:bottom w:val="nil"/>
              <w:right w:val="nil"/>
            </w:tcBorders>
            <w:tcMar>
              <w:top w:w="128" w:type="dxa"/>
              <w:left w:w="43" w:type="dxa"/>
              <w:bottom w:w="43" w:type="dxa"/>
              <w:right w:w="43" w:type="dxa"/>
            </w:tcMar>
            <w:vAlign w:val="bottom"/>
          </w:tcPr>
          <w:p w14:paraId="3B662A0E" w14:textId="77777777" w:rsidR="00FE02EF" w:rsidRPr="00CC19F7" w:rsidRDefault="00FE02EF" w:rsidP="00A74556">
            <w:pPr>
              <w:jc w:val="right"/>
            </w:pPr>
          </w:p>
        </w:tc>
        <w:tc>
          <w:tcPr>
            <w:tcW w:w="1479" w:type="dxa"/>
            <w:tcBorders>
              <w:top w:val="nil"/>
              <w:left w:val="nil"/>
              <w:bottom w:val="nil"/>
              <w:right w:val="nil"/>
            </w:tcBorders>
            <w:tcMar>
              <w:top w:w="128" w:type="dxa"/>
              <w:left w:w="43" w:type="dxa"/>
              <w:bottom w:w="43" w:type="dxa"/>
              <w:right w:w="43" w:type="dxa"/>
            </w:tcMar>
            <w:vAlign w:val="bottom"/>
          </w:tcPr>
          <w:p w14:paraId="59682078" w14:textId="77777777" w:rsidR="00FE02EF" w:rsidRPr="00CC19F7" w:rsidRDefault="00881E58" w:rsidP="00A74556">
            <w:pPr>
              <w:jc w:val="right"/>
            </w:pPr>
            <w:r w:rsidRPr="00CC19F7">
              <w:t>97 500</w:t>
            </w:r>
          </w:p>
        </w:tc>
        <w:tc>
          <w:tcPr>
            <w:tcW w:w="1300" w:type="dxa"/>
            <w:tcBorders>
              <w:top w:val="nil"/>
              <w:left w:val="nil"/>
              <w:bottom w:val="nil"/>
              <w:right w:val="nil"/>
            </w:tcBorders>
            <w:tcMar>
              <w:top w:w="128" w:type="dxa"/>
              <w:left w:w="43" w:type="dxa"/>
              <w:bottom w:w="43" w:type="dxa"/>
              <w:right w:w="43" w:type="dxa"/>
            </w:tcMar>
            <w:vAlign w:val="bottom"/>
          </w:tcPr>
          <w:p w14:paraId="0AB27D14" w14:textId="77777777" w:rsidR="00FE02EF" w:rsidRPr="00CC19F7" w:rsidRDefault="00881E58" w:rsidP="00A74556">
            <w:pPr>
              <w:jc w:val="right"/>
            </w:pPr>
            <w:r w:rsidRPr="00CC19F7">
              <w:t>106 800</w:t>
            </w:r>
          </w:p>
        </w:tc>
      </w:tr>
      <w:tr w:rsidR="00FE02EF" w:rsidRPr="00CC19F7" w14:paraId="3A30CE0A" w14:textId="77777777" w:rsidTr="00A74556">
        <w:trPr>
          <w:trHeight w:val="380"/>
        </w:trPr>
        <w:tc>
          <w:tcPr>
            <w:tcW w:w="840" w:type="dxa"/>
            <w:tcBorders>
              <w:top w:val="nil"/>
              <w:left w:val="nil"/>
              <w:bottom w:val="nil"/>
              <w:right w:val="nil"/>
            </w:tcBorders>
            <w:tcMar>
              <w:top w:w="128" w:type="dxa"/>
              <w:left w:w="43" w:type="dxa"/>
              <w:bottom w:w="43" w:type="dxa"/>
              <w:right w:w="43" w:type="dxa"/>
            </w:tcMar>
          </w:tcPr>
          <w:p w14:paraId="3584E4E0" w14:textId="77777777" w:rsidR="00FE02EF" w:rsidRPr="00CC19F7" w:rsidRDefault="00881E58" w:rsidP="00CC19F7">
            <w:r w:rsidRPr="00CC19F7">
              <w:t>71</w:t>
            </w:r>
          </w:p>
        </w:tc>
        <w:tc>
          <w:tcPr>
            <w:tcW w:w="4646" w:type="dxa"/>
            <w:tcBorders>
              <w:top w:val="nil"/>
              <w:left w:val="nil"/>
              <w:bottom w:val="nil"/>
              <w:right w:val="nil"/>
            </w:tcBorders>
            <w:tcMar>
              <w:top w:w="128" w:type="dxa"/>
              <w:left w:w="43" w:type="dxa"/>
              <w:bottom w:w="43" w:type="dxa"/>
              <w:right w:w="43" w:type="dxa"/>
            </w:tcMar>
          </w:tcPr>
          <w:p w14:paraId="464D3386" w14:textId="77777777" w:rsidR="00FE02EF" w:rsidRPr="00CC19F7" w:rsidRDefault="00881E58" w:rsidP="00A74556">
            <w:r w:rsidRPr="00CC19F7">
              <w:t>Teknologisenter Mongstad</w:t>
            </w:r>
          </w:p>
        </w:tc>
        <w:tc>
          <w:tcPr>
            <w:tcW w:w="1275" w:type="dxa"/>
            <w:tcBorders>
              <w:top w:val="nil"/>
              <w:left w:val="nil"/>
              <w:bottom w:val="nil"/>
              <w:right w:val="nil"/>
            </w:tcBorders>
            <w:tcMar>
              <w:top w:w="128" w:type="dxa"/>
              <w:left w:w="43" w:type="dxa"/>
              <w:bottom w:w="43" w:type="dxa"/>
              <w:right w:w="43" w:type="dxa"/>
            </w:tcMar>
            <w:vAlign w:val="bottom"/>
          </w:tcPr>
          <w:p w14:paraId="1ABE86D4" w14:textId="77777777" w:rsidR="00FE02EF" w:rsidRPr="00CC19F7" w:rsidRDefault="00FE02EF" w:rsidP="00A74556">
            <w:pPr>
              <w:jc w:val="right"/>
            </w:pPr>
          </w:p>
        </w:tc>
        <w:tc>
          <w:tcPr>
            <w:tcW w:w="1479" w:type="dxa"/>
            <w:tcBorders>
              <w:top w:val="nil"/>
              <w:left w:val="nil"/>
              <w:bottom w:val="nil"/>
              <w:right w:val="nil"/>
            </w:tcBorders>
            <w:tcMar>
              <w:top w:w="128" w:type="dxa"/>
              <w:left w:w="43" w:type="dxa"/>
              <w:bottom w:w="43" w:type="dxa"/>
              <w:right w:w="43" w:type="dxa"/>
            </w:tcMar>
            <w:vAlign w:val="bottom"/>
          </w:tcPr>
          <w:p w14:paraId="1A47431E" w14:textId="77777777" w:rsidR="00FE02EF" w:rsidRPr="00CC19F7" w:rsidRDefault="00881E58" w:rsidP="00A74556">
            <w:pPr>
              <w:jc w:val="right"/>
            </w:pPr>
            <w:r w:rsidRPr="00CC19F7">
              <w:t>161 000</w:t>
            </w:r>
          </w:p>
        </w:tc>
        <w:tc>
          <w:tcPr>
            <w:tcW w:w="1300" w:type="dxa"/>
            <w:tcBorders>
              <w:top w:val="nil"/>
              <w:left w:val="nil"/>
              <w:bottom w:val="nil"/>
              <w:right w:val="nil"/>
            </w:tcBorders>
            <w:tcMar>
              <w:top w:w="128" w:type="dxa"/>
              <w:left w:w="43" w:type="dxa"/>
              <w:bottom w:w="43" w:type="dxa"/>
              <w:right w:w="43" w:type="dxa"/>
            </w:tcMar>
            <w:vAlign w:val="bottom"/>
          </w:tcPr>
          <w:p w14:paraId="3AE6900B" w14:textId="77777777" w:rsidR="00FE02EF" w:rsidRPr="00CC19F7" w:rsidRDefault="00881E58" w:rsidP="00A74556">
            <w:pPr>
              <w:jc w:val="right"/>
            </w:pPr>
            <w:r w:rsidRPr="00CC19F7">
              <w:t>90 000</w:t>
            </w:r>
          </w:p>
        </w:tc>
      </w:tr>
      <w:tr w:rsidR="00FE02EF" w:rsidRPr="00CC19F7" w14:paraId="6D43EA87" w14:textId="77777777" w:rsidTr="00A74556">
        <w:trPr>
          <w:trHeight w:val="380"/>
        </w:trPr>
        <w:tc>
          <w:tcPr>
            <w:tcW w:w="840" w:type="dxa"/>
            <w:tcBorders>
              <w:top w:val="nil"/>
              <w:left w:val="nil"/>
              <w:bottom w:val="nil"/>
              <w:right w:val="nil"/>
            </w:tcBorders>
            <w:tcMar>
              <w:top w:w="128" w:type="dxa"/>
              <w:left w:w="43" w:type="dxa"/>
              <w:bottom w:w="43" w:type="dxa"/>
              <w:right w:w="43" w:type="dxa"/>
            </w:tcMar>
          </w:tcPr>
          <w:p w14:paraId="7D5D1984" w14:textId="77777777" w:rsidR="00FE02EF" w:rsidRPr="00CC19F7" w:rsidRDefault="00881E58" w:rsidP="00CC19F7">
            <w:r w:rsidRPr="00CC19F7">
              <w:t>72</w:t>
            </w:r>
          </w:p>
        </w:tc>
        <w:tc>
          <w:tcPr>
            <w:tcW w:w="4646" w:type="dxa"/>
            <w:tcBorders>
              <w:top w:val="nil"/>
              <w:left w:val="nil"/>
              <w:bottom w:val="nil"/>
              <w:right w:val="nil"/>
            </w:tcBorders>
            <w:tcMar>
              <w:top w:w="128" w:type="dxa"/>
              <w:left w:w="43" w:type="dxa"/>
              <w:bottom w:w="43" w:type="dxa"/>
              <w:right w:w="43" w:type="dxa"/>
            </w:tcMar>
          </w:tcPr>
          <w:p w14:paraId="77A8CC85" w14:textId="77777777" w:rsidR="00FE02EF" w:rsidRPr="00CC19F7" w:rsidRDefault="00881E58" w:rsidP="00A74556">
            <w:r w:rsidRPr="00CC19F7">
              <w:t>Langskip – fangst og lagring av CO</w:t>
            </w:r>
            <w:r w:rsidRPr="00CC19F7">
              <w:rPr>
                <w:rStyle w:val="skrift-senket"/>
              </w:rPr>
              <w:t>2</w:t>
            </w:r>
            <w:r w:rsidRPr="00CC19F7">
              <w:rPr>
                <w:rStyle w:val="kursiv"/>
              </w:rPr>
              <w:t>, kan </w:t>
            </w:r>
            <w:proofErr w:type="spellStart"/>
            <w:r w:rsidRPr="00CC19F7">
              <w:rPr>
                <w:rStyle w:val="kursiv"/>
              </w:rPr>
              <w:t>overførast</w:t>
            </w:r>
            <w:proofErr w:type="spellEnd"/>
          </w:p>
        </w:tc>
        <w:tc>
          <w:tcPr>
            <w:tcW w:w="1275" w:type="dxa"/>
            <w:tcBorders>
              <w:top w:val="nil"/>
              <w:left w:val="nil"/>
              <w:bottom w:val="nil"/>
              <w:right w:val="nil"/>
            </w:tcBorders>
            <w:tcMar>
              <w:top w:w="128" w:type="dxa"/>
              <w:left w:w="43" w:type="dxa"/>
              <w:bottom w:w="43" w:type="dxa"/>
              <w:right w:w="43" w:type="dxa"/>
            </w:tcMar>
            <w:vAlign w:val="bottom"/>
          </w:tcPr>
          <w:p w14:paraId="21BAF5FE" w14:textId="77777777" w:rsidR="00FE02EF" w:rsidRPr="00CC19F7" w:rsidRDefault="00FE02EF" w:rsidP="00A74556">
            <w:pPr>
              <w:jc w:val="right"/>
            </w:pPr>
          </w:p>
        </w:tc>
        <w:tc>
          <w:tcPr>
            <w:tcW w:w="1479" w:type="dxa"/>
            <w:tcBorders>
              <w:top w:val="nil"/>
              <w:left w:val="nil"/>
              <w:bottom w:val="nil"/>
              <w:right w:val="nil"/>
            </w:tcBorders>
            <w:tcMar>
              <w:top w:w="128" w:type="dxa"/>
              <w:left w:w="43" w:type="dxa"/>
              <w:bottom w:w="43" w:type="dxa"/>
              <w:right w:w="43" w:type="dxa"/>
            </w:tcMar>
            <w:vAlign w:val="bottom"/>
          </w:tcPr>
          <w:p w14:paraId="1C7BC580" w14:textId="77777777" w:rsidR="00FE02EF" w:rsidRPr="00CC19F7" w:rsidRDefault="00881E58" w:rsidP="00A74556">
            <w:pPr>
              <w:jc w:val="right"/>
            </w:pPr>
            <w:r w:rsidRPr="00CC19F7">
              <w:t>3 580 000</w:t>
            </w:r>
          </w:p>
        </w:tc>
        <w:tc>
          <w:tcPr>
            <w:tcW w:w="1300" w:type="dxa"/>
            <w:tcBorders>
              <w:top w:val="nil"/>
              <w:left w:val="nil"/>
              <w:bottom w:val="nil"/>
              <w:right w:val="nil"/>
            </w:tcBorders>
            <w:tcMar>
              <w:top w:w="128" w:type="dxa"/>
              <w:left w:w="43" w:type="dxa"/>
              <w:bottom w:w="43" w:type="dxa"/>
              <w:right w:w="43" w:type="dxa"/>
            </w:tcMar>
            <w:vAlign w:val="bottom"/>
          </w:tcPr>
          <w:p w14:paraId="53548A21" w14:textId="77777777" w:rsidR="00FE02EF" w:rsidRPr="00CC19F7" w:rsidRDefault="00881E58" w:rsidP="00A74556">
            <w:pPr>
              <w:jc w:val="right"/>
            </w:pPr>
            <w:r w:rsidRPr="00CC19F7">
              <w:t>2 600 000</w:t>
            </w:r>
          </w:p>
        </w:tc>
      </w:tr>
      <w:tr w:rsidR="00FE02EF" w:rsidRPr="00CC19F7" w14:paraId="6D8909C2" w14:textId="77777777" w:rsidTr="00A74556">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1893560" w14:textId="77777777" w:rsidR="00FE02EF" w:rsidRPr="00CC19F7" w:rsidRDefault="00881E58" w:rsidP="00CC19F7">
            <w:r w:rsidRPr="00CC19F7">
              <w:t>75</w:t>
            </w:r>
          </w:p>
        </w:tc>
        <w:tc>
          <w:tcPr>
            <w:tcW w:w="4646" w:type="dxa"/>
            <w:tcBorders>
              <w:top w:val="nil"/>
              <w:left w:val="nil"/>
              <w:bottom w:val="single" w:sz="4" w:space="0" w:color="000000"/>
              <w:right w:val="nil"/>
            </w:tcBorders>
            <w:tcMar>
              <w:top w:w="128" w:type="dxa"/>
              <w:left w:w="43" w:type="dxa"/>
              <w:bottom w:w="43" w:type="dxa"/>
              <w:right w:w="43" w:type="dxa"/>
            </w:tcMar>
          </w:tcPr>
          <w:p w14:paraId="67D19949" w14:textId="77777777" w:rsidR="00FE02EF" w:rsidRPr="00CC19F7" w:rsidRDefault="00881E58" w:rsidP="00A74556">
            <w:r w:rsidRPr="00CC19F7">
              <w:t>Norwegian Energy Partners</w:t>
            </w:r>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6EF2778F" w14:textId="77777777" w:rsidR="00FE02EF" w:rsidRPr="00CC19F7" w:rsidRDefault="00FE02EF" w:rsidP="00A74556">
            <w:pPr>
              <w:jc w:val="right"/>
            </w:pP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66E19452" w14:textId="77777777" w:rsidR="00FE02EF" w:rsidRPr="00CC19F7" w:rsidRDefault="00881E58" w:rsidP="00A74556">
            <w:pPr>
              <w:jc w:val="right"/>
            </w:pPr>
            <w:r w:rsidRPr="00CC19F7">
              <w:t>34 500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703F2DD" w14:textId="77777777" w:rsidR="00FE02EF" w:rsidRPr="00CC19F7" w:rsidRDefault="00881E58" w:rsidP="00A74556">
            <w:pPr>
              <w:jc w:val="right"/>
            </w:pPr>
            <w:r w:rsidRPr="00CC19F7">
              <w:t>26 400</w:t>
            </w:r>
          </w:p>
        </w:tc>
      </w:tr>
      <w:tr w:rsidR="00FE02EF" w:rsidRPr="00CC19F7" w14:paraId="6D0D0672" w14:textId="77777777" w:rsidTr="00A74556">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D4852E2" w14:textId="77777777" w:rsidR="00FE02EF" w:rsidRPr="00CC19F7" w:rsidRDefault="00FE02EF" w:rsidP="00CC19F7"/>
        </w:tc>
        <w:tc>
          <w:tcPr>
            <w:tcW w:w="4646" w:type="dxa"/>
            <w:tcBorders>
              <w:top w:val="nil"/>
              <w:left w:val="nil"/>
              <w:bottom w:val="single" w:sz="4" w:space="0" w:color="000000"/>
              <w:right w:val="nil"/>
            </w:tcBorders>
            <w:tcMar>
              <w:top w:w="128" w:type="dxa"/>
              <w:left w:w="43" w:type="dxa"/>
              <w:bottom w:w="43" w:type="dxa"/>
              <w:right w:w="43" w:type="dxa"/>
            </w:tcMar>
          </w:tcPr>
          <w:p w14:paraId="1AA0883D" w14:textId="77777777" w:rsidR="00FE02EF" w:rsidRPr="00CC19F7" w:rsidRDefault="00881E58" w:rsidP="00A74556">
            <w:r w:rsidRPr="00CC19F7">
              <w:t>Sum kap. 1850</w:t>
            </w:r>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1B97415D" w14:textId="77777777" w:rsidR="00FE02EF" w:rsidRPr="00CC19F7" w:rsidRDefault="00FE02EF" w:rsidP="00A74556">
            <w:pPr>
              <w:jc w:val="right"/>
            </w:pPr>
          </w:p>
        </w:tc>
        <w:tc>
          <w:tcPr>
            <w:tcW w:w="1479" w:type="dxa"/>
            <w:tcBorders>
              <w:top w:val="nil"/>
              <w:left w:val="nil"/>
              <w:bottom w:val="single" w:sz="4" w:space="0" w:color="000000"/>
              <w:right w:val="nil"/>
            </w:tcBorders>
            <w:tcMar>
              <w:top w:w="128" w:type="dxa"/>
              <w:left w:w="43" w:type="dxa"/>
              <w:bottom w:w="43" w:type="dxa"/>
              <w:right w:w="43" w:type="dxa"/>
            </w:tcMar>
            <w:vAlign w:val="bottom"/>
          </w:tcPr>
          <w:p w14:paraId="14B33EEA" w14:textId="77777777" w:rsidR="00FE02EF" w:rsidRPr="00CC19F7" w:rsidRDefault="00881E58" w:rsidP="00A74556">
            <w:pPr>
              <w:jc w:val="right"/>
            </w:pPr>
            <w:r w:rsidRPr="00CC19F7">
              <w:t>4 866 500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B815E57" w14:textId="77777777" w:rsidR="00FE02EF" w:rsidRPr="00CC19F7" w:rsidRDefault="00881E58" w:rsidP="00A74556">
            <w:pPr>
              <w:jc w:val="right"/>
            </w:pPr>
            <w:r w:rsidRPr="00CC19F7">
              <w:t>3 912 400</w:t>
            </w:r>
          </w:p>
        </w:tc>
      </w:tr>
    </w:tbl>
    <w:p w14:paraId="201795E8" w14:textId="77777777" w:rsidR="00FE02EF" w:rsidRPr="00CC19F7" w:rsidRDefault="00881E58" w:rsidP="00CC19F7">
      <w:pPr>
        <w:pStyle w:val="tabell-noter"/>
      </w:pPr>
      <w:r w:rsidRPr="00CC19F7">
        <w:rPr>
          <w:rStyle w:val="skrift-hevet"/>
        </w:rPr>
        <w:t>1</w:t>
      </w:r>
      <w:r w:rsidRPr="00CC19F7">
        <w:rPr>
          <w:rStyle w:val="skrift-hevet"/>
        </w:rPr>
        <w:tab/>
      </w:r>
      <w:proofErr w:type="spellStart"/>
      <w:r w:rsidRPr="00CC19F7">
        <w:t>Rekneskap</w:t>
      </w:r>
      <w:proofErr w:type="spellEnd"/>
      <w:r w:rsidRPr="00CC19F7">
        <w:t xml:space="preserve"> 2022 for </w:t>
      </w:r>
      <w:proofErr w:type="spellStart"/>
      <w:r w:rsidRPr="00CC19F7">
        <w:t>tidlegare</w:t>
      </w:r>
      <w:proofErr w:type="spellEnd"/>
      <w:r w:rsidRPr="00CC19F7">
        <w:t xml:space="preserve"> kapittel og </w:t>
      </w:r>
      <w:proofErr w:type="spellStart"/>
      <w:r w:rsidRPr="00CC19F7">
        <w:t>postar</w:t>
      </w:r>
      <w:proofErr w:type="spellEnd"/>
      <w:r w:rsidRPr="00CC19F7">
        <w:t xml:space="preserve"> går fram av tabell under punkt 2 i Del I </w:t>
      </w:r>
      <w:proofErr w:type="spellStart"/>
      <w:r w:rsidRPr="00CC19F7">
        <w:t>i</w:t>
      </w:r>
      <w:proofErr w:type="spellEnd"/>
      <w:r w:rsidRPr="00CC19F7">
        <w:t xml:space="preserve"> proposisjonen.</w:t>
      </w:r>
    </w:p>
    <w:p w14:paraId="43DEB275" w14:textId="77777777" w:rsidR="00FE02EF" w:rsidRPr="00CC19F7" w:rsidRDefault="00881E58" w:rsidP="00CC19F7">
      <w:pPr>
        <w:pStyle w:val="avsnitt-undertittel"/>
      </w:pPr>
      <w:r w:rsidRPr="00CC19F7">
        <w:t>Om 2023</w:t>
      </w:r>
    </w:p>
    <w:p w14:paraId="51710FCA" w14:textId="77777777" w:rsidR="00FE02EF" w:rsidRPr="00CC19F7" w:rsidRDefault="00881E58" w:rsidP="00CC19F7">
      <w:r w:rsidRPr="00CC19F7">
        <w:t xml:space="preserve">Ved Stortingets vedtak 16. juni 2023 blei post 70 </w:t>
      </w:r>
      <w:proofErr w:type="spellStart"/>
      <w:r w:rsidRPr="00CC19F7">
        <w:t>auka</w:t>
      </w:r>
      <w:proofErr w:type="spellEnd"/>
      <w:r w:rsidRPr="00CC19F7">
        <w:t xml:space="preserve"> med 7,083 mill. kroner og post 75 med 0,737 mill. kroner. </w:t>
      </w:r>
      <w:proofErr w:type="spellStart"/>
      <w:r w:rsidRPr="00CC19F7">
        <w:t>Vidare</w:t>
      </w:r>
      <w:proofErr w:type="spellEnd"/>
      <w:r w:rsidRPr="00CC19F7">
        <w:t xml:space="preserve"> blei post 50 redusert med 0,026 mill. kroner og post 72 med 300 mill. kroner, jf. </w:t>
      </w:r>
      <w:proofErr w:type="spellStart"/>
      <w:r w:rsidRPr="00CC19F7">
        <w:t>Prop</w:t>
      </w:r>
      <w:proofErr w:type="spellEnd"/>
      <w:r w:rsidRPr="00CC19F7">
        <w:t xml:space="preserve">. 118 S (2022–2023) og </w:t>
      </w:r>
      <w:proofErr w:type="spellStart"/>
      <w:r w:rsidRPr="00CC19F7">
        <w:t>Innst</w:t>
      </w:r>
      <w:proofErr w:type="spellEnd"/>
      <w:r w:rsidRPr="00CC19F7">
        <w:t>. 490 S (2022–2023).</w:t>
      </w:r>
    </w:p>
    <w:p w14:paraId="797797B0" w14:textId="77777777" w:rsidR="00FE02EF" w:rsidRPr="00CC19F7" w:rsidRDefault="00881E58" w:rsidP="00CC19F7">
      <w:pPr>
        <w:pStyle w:val="b-post"/>
      </w:pPr>
      <w:r w:rsidRPr="00CC19F7">
        <w:t>Post 21 Spesielle driftsutgifter</w:t>
      </w:r>
    </w:p>
    <w:p w14:paraId="7C033CEF" w14:textId="77777777" w:rsidR="00FE02EF" w:rsidRPr="00CC19F7" w:rsidRDefault="00881E58" w:rsidP="00CC19F7">
      <w:r w:rsidRPr="00CC19F7">
        <w:t xml:space="preserve">Det blir foreslått ei løyving på 81 mill. kroner til arbeid med havvind, førebuing av havvindutlysing i 2025 og NVEs arbeid med strategisk konsekvensutgreiing. Løyvinga skal </w:t>
      </w:r>
      <w:proofErr w:type="spellStart"/>
      <w:r w:rsidRPr="00CC19F7">
        <w:t>vidare</w:t>
      </w:r>
      <w:proofErr w:type="spellEnd"/>
      <w:r w:rsidRPr="00CC19F7">
        <w:t xml:space="preserve"> dekke utgifter til </w:t>
      </w:r>
      <w:proofErr w:type="spellStart"/>
      <w:r w:rsidRPr="00CC19F7">
        <w:t>feltundersøkingar</w:t>
      </w:r>
      <w:proofErr w:type="spellEnd"/>
      <w:r w:rsidRPr="00CC19F7">
        <w:t xml:space="preserve"> som </w:t>
      </w:r>
      <w:proofErr w:type="spellStart"/>
      <w:r w:rsidRPr="00CC19F7">
        <w:t>aukar</w:t>
      </w:r>
      <w:proofErr w:type="spellEnd"/>
      <w:r w:rsidRPr="00CC19F7">
        <w:t xml:space="preserve"> kunnskapsnivået om </w:t>
      </w:r>
      <w:proofErr w:type="spellStart"/>
      <w:r w:rsidRPr="00CC19F7">
        <w:t>naturmangfald</w:t>
      </w:r>
      <w:proofErr w:type="spellEnd"/>
      <w:r w:rsidRPr="00CC19F7">
        <w:t xml:space="preserve"> og miljø i </w:t>
      </w:r>
      <w:proofErr w:type="spellStart"/>
      <w:r w:rsidRPr="00CC19F7">
        <w:t>dei</w:t>
      </w:r>
      <w:proofErr w:type="spellEnd"/>
      <w:r w:rsidRPr="00CC19F7">
        <w:t xml:space="preserve"> områda som er aktuelle for utlysing i 2025.</w:t>
      </w:r>
    </w:p>
    <w:p w14:paraId="2345A2B9" w14:textId="77777777" w:rsidR="00FE02EF" w:rsidRPr="00CC19F7" w:rsidRDefault="00881E58" w:rsidP="00CC19F7">
      <w:r w:rsidRPr="00CC19F7">
        <w:t xml:space="preserve">Regjeringas ambisjon om å tildele areal med potensial for 30 GW havvindproduksjon på norsk sokkel </w:t>
      </w:r>
      <w:proofErr w:type="spellStart"/>
      <w:r w:rsidRPr="00CC19F7">
        <w:t>innan</w:t>
      </w:r>
      <w:proofErr w:type="spellEnd"/>
      <w:r w:rsidRPr="00CC19F7">
        <w:t xml:space="preserve"> 2040 </w:t>
      </w:r>
      <w:proofErr w:type="spellStart"/>
      <w:r w:rsidRPr="00CC19F7">
        <w:t>føreset</w:t>
      </w:r>
      <w:proofErr w:type="spellEnd"/>
      <w:r w:rsidRPr="00CC19F7">
        <w:t xml:space="preserve"> tilgang på nytt areal, </w:t>
      </w:r>
      <w:proofErr w:type="spellStart"/>
      <w:r w:rsidRPr="00CC19F7">
        <w:t>utlysingar</w:t>
      </w:r>
      <w:proofErr w:type="spellEnd"/>
      <w:r w:rsidRPr="00CC19F7">
        <w:t xml:space="preserve"> og </w:t>
      </w:r>
      <w:proofErr w:type="spellStart"/>
      <w:r w:rsidRPr="00CC19F7">
        <w:t>tildelingar</w:t>
      </w:r>
      <w:proofErr w:type="spellEnd"/>
      <w:r w:rsidRPr="00CC19F7">
        <w:t xml:space="preserve"> av prosjektområde med jamne mellomrom.</w:t>
      </w:r>
    </w:p>
    <w:p w14:paraId="41805D76" w14:textId="77777777" w:rsidR="00FE02EF" w:rsidRPr="00CC19F7" w:rsidRDefault="00881E58" w:rsidP="00CC19F7">
      <w:r w:rsidRPr="00CC19F7">
        <w:t xml:space="preserve">Neste utlysing av areal til havvind er </w:t>
      </w:r>
      <w:proofErr w:type="spellStart"/>
      <w:r w:rsidRPr="00CC19F7">
        <w:t>planlagd</w:t>
      </w:r>
      <w:proofErr w:type="spellEnd"/>
      <w:r w:rsidRPr="00CC19F7">
        <w:t xml:space="preserve"> i 2025. NVE leverte i 2023, </w:t>
      </w:r>
      <w:proofErr w:type="spellStart"/>
      <w:r w:rsidRPr="00CC19F7">
        <w:t>saman</w:t>
      </w:r>
      <w:proofErr w:type="spellEnd"/>
      <w:r w:rsidRPr="00CC19F7">
        <w:t xml:space="preserve"> med ei </w:t>
      </w:r>
      <w:proofErr w:type="spellStart"/>
      <w:r w:rsidRPr="00CC19F7">
        <w:t>direktoratsgruppe</w:t>
      </w:r>
      <w:proofErr w:type="spellEnd"/>
      <w:r w:rsidRPr="00CC19F7">
        <w:t xml:space="preserve">, forslag til 20 område som kan eigne seg for vindkraft til havs. Departementet inkluderer alle 20 områda i det videre arbeidet og har bedt NVE om å greie ut Vestavind B </w:t>
      </w:r>
      <w:proofErr w:type="spellStart"/>
      <w:r w:rsidRPr="00CC19F7">
        <w:t>saman</w:t>
      </w:r>
      <w:proofErr w:type="spellEnd"/>
      <w:r w:rsidRPr="00CC19F7">
        <w:t xml:space="preserve"> med Vestavind F og Sørvest F med sikte på utlysing i 2025, </w:t>
      </w:r>
      <w:proofErr w:type="spellStart"/>
      <w:r w:rsidRPr="00CC19F7">
        <w:t>medan</w:t>
      </w:r>
      <w:proofErr w:type="spellEnd"/>
      <w:r w:rsidRPr="00CC19F7">
        <w:t xml:space="preserve"> </w:t>
      </w:r>
      <w:proofErr w:type="spellStart"/>
      <w:r w:rsidRPr="00CC19F7">
        <w:t>dei</w:t>
      </w:r>
      <w:proofErr w:type="spellEnd"/>
      <w:r w:rsidRPr="00CC19F7">
        <w:t xml:space="preserve"> </w:t>
      </w:r>
      <w:proofErr w:type="spellStart"/>
      <w:r w:rsidRPr="00CC19F7">
        <w:t>resterande</w:t>
      </w:r>
      <w:proofErr w:type="spellEnd"/>
      <w:r w:rsidRPr="00CC19F7">
        <w:t xml:space="preserve"> 17 områda blir </w:t>
      </w:r>
      <w:proofErr w:type="spellStart"/>
      <w:r w:rsidRPr="00CC19F7">
        <w:t>utgreidde</w:t>
      </w:r>
      <w:proofErr w:type="spellEnd"/>
      <w:r w:rsidRPr="00CC19F7">
        <w:t xml:space="preserve"> med sikte på eventuell </w:t>
      </w:r>
      <w:proofErr w:type="spellStart"/>
      <w:r w:rsidRPr="00CC19F7">
        <w:t>opning</w:t>
      </w:r>
      <w:proofErr w:type="spellEnd"/>
      <w:r w:rsidRPr="00CC19F7">
        <w:t xml:space="preserve"> og tildeling i </w:t>
      </w:r>
      <w:proofErr w:type="spellStart"/>
      <w:r w:rsidRPr="00CC19F7">
        <w:t>seinare</w:t>
      </w:r>
      <w:proofErr w:type="spellEnd"/>
      <w:r w:rsidRPr="00CC19F7">
        <w:t xml:space="preserve"> </w:t>
      </w:r>
      <w:proofErr w:type="spellStart"/>
      <w:r w:rsidRPr="00CC19F7">
        <w:t>tildelingsrundar</w:t>
      </w:r>
      <w:proofErr w:type="spellEnd"/>
      <w:r w:rsidRPr="00CC19F7">
        <w:t xml:space="preserve">. Regjeringa ønsker å utvikle havvind i alle </w:t>
      </w:r>
      <w:proofErr w:type="spellStart"/>
      <w:r w:rsidRPr="00CC19F7">
        <w:t>dei</w:t>
      </w:r>
      <w:proofErr w:type="spellEnd"/>
      <w:r w:rsidRPr="00CC19F7">
        <w:t xml:space="preserve"> norske havområda, og i det </w:t>
      </w:r>
      <w:proofErr w:type="spellStart"/>
      <w:r w:rsidRPr="00CC19F7">
        <w:t>vidare</w:t>
      </w:r>
      <w:proofErr w:type="spellEnd"/>
      <w:r w:rsidRPr="00CC19F7">
        <w:t xml:space="preserve"> utgreiingsarbeidet vil det derfor inngå område langs heile den norske kysten.</w:t>
      </w:r>
    </w:p>
    <w:p w14:paraId="748E51EE" w14:textId="77777777" w:rsidR="00FE02EF" w:rsidRPr="00CC19F7" w:rsidRDefault="00881E58" w:rsidP="00CC19F7">
      <w:r w:rsidRPr="00CC19F7">
        <w:t xml:space="preserve">Arbeidet med å legge til rette for havvind krev </w:t>
      </w:r>
      <w:proofErr w:type="spellStart"/>
      <w:r w:rsidRPr="00CC19F7">
        <w:t>omfattande</w:t>
      </w:r>
      <w:proofErr w:type="spellEnd"/>
      <w:r w:rsidRPr="00CC19F7">
        <w:t xml:space="preserve"> </w:t>
      </w:r>
      <w:proofErr w:type="spellStart"/>
      <w:r w:rsidRPr="00CC19F7">
        <w:t>undersøkingar</w:t>
      </w:r>
      <w:proofErr w:type="spellEnd"/>
      <w:r w:rsidRPr="00CC19F7">
        <w:t xml:space="preserve">, </w:t>
      </w:r>
      <w:proofErr w:type="spellStart"/>
      <w:r w:rsidRPr="00CC19F7">
        <w:t>fagutgreiingar</w:t>
      </w:r>
      <w:proofErr w:type="spellEnd"/>
      <w:r w:rsidRPr="00CC19F7">
        <w:t xml:space="preserve"> og anna utgreiing med ulike </w:t>
      </w:r>
      <w:proofErr w:type="spellStart"/>
      <w:r w:rsidRPr="00CC19F7">
        <w:t>typar</w:t>
      </w:r>
      <w:proofErr w:type="spellEnd"/>
      <w:r w:rsidRPr="00CC19F7">
        <w:t xml:space="preserve"> ekstern bistand. Dette </w:t>
      </w:r>
      <w:proofErr w:type="spellStart"/>
      <w:r w:rsidRPr="00CC19F7">
        <w:t>omfattar</w:t>
      </w:r>
      <w:proofErr w:type="spellEnd"/>
      <w:r w:rsidRPr="00CC19F7">
        <w:t xml:space="preserve"> også bistand til utvikling av det regulatoriske rammeverket for havvind, arbeid med auksjonsmodell, evaluering og anna førebuing av havvindutlysing i 2025.</w:t>
      </w:r>
    </w:p>
    <w:p w14:paraId="12E9FE0A" w14:textId="77777777" w:rsidR="00FE02EF" w:rsidRPr="00CC19F7" w:rsidRDefault="00881E58" w:rsidP="00CC19F7">
      <w:r w:rsidRPr="00CC19F7">
        <w:t xml:space="preserve">Som </w:t>
      </w:r>
      <w:proofErr w:type="spellStart"/>
      <w:r w:rsidRPr="00CC19F7">
        <w:t>ein</w:t>
      </w:r>
      <w:proofErr w:type="spellEnd"/>
      <w:r w:rsidRPr="00CC19F7">
        <w:t xml:space="preserve"> del av </w:t>
      </w:r>
      <w:proofErr w:type="spellStart"/>
      <w:r w:rsidRPr="00CC19F7">
        <w:t>opningsprosessen</w:t>
      </w:r>
      <w:proofErr w:type="spellEnd"/>
      <w:r w:rsidRPr="00CC19F7">
        <w:t xml:space="preserve">, </w:t>
      </w:r>
      <w:proofErr w:type="spellStart"/>
      <w:r w:rsidRPr="00CC19F7">
        <w:t>ein</w:t>
      </w:r>
      <w:proofErr w:type="spellEnd"/>
      <w:r w:rsidRPr="00CC19F7">
        <w:t xml:space="preserve"> </w:t>
      </w:r>
      <w:proofErr w:type="spellStart"/>
      <w:r w:rsidRPr="00CC19F7">
        <w:t>heilskapleg</w:t>
      </w:r>
      <w:proofErr w:type="spellEnd"/>
      <w:r w:rsidRPr="00CC19F7">
        <w:t xml:space="preserve"> plan for naturkartlegging og mellom anna førebuing til havvindutlysinga i 2025 foreslår Olje- og energidepartementet å gjennomføre </w:t>
      </w:r>
      <w:proofErr w:type="spellStart"/>
      <w:r w:rsidRPr="00CC19F7">
        <w:t>feltundersøkingar</w:t>
      </w:r>
      <w:proofErr w:type="spellEnd"/>
      <w:r w:rsidRPr="00CC19F7">
        <w:t xml:space="preserve"> som </w:t>
      </w:r>
      <w:proofErr w:type="spellStart"/>
      <w:r w:rsidRPr="00CC19F7">
        <w:t>aukar</w:t>
      </w:r>
      <w:proofErr w:type="spellEnd"/>
      <w:r w:rsidRPr="00CC19F7">
        <w:t xml:space="preserve"> kunnskapsnivået om </w:t>
      </w:r>
      <w:proofErr w:type="spellStart"/>
      <w:r w:rsidRPr="00CC19F7">
        <w:t>naturmangfald</w:t>
      </w:r>
      <w:proofErr w:type="spellEnd"/>
      <w:r w:rsidRPr="00CC19F7">
        <w:t xml:space="preserve"> og miljø mellom anna i </w:t>
      </w:r>
      <w:proofErr w:type="spellStart"/>
      <w:r w:rsidRPr="00CC19F7">
        <w:t>dei</w:t>
      </w:r>
      <w:proofErr w:type="spellEnd"/>
      <w:r w:rsidRPr="00CC19F7">
        <w:t xml:space="preserve"> områda som er aktuelle for utlysing i 2025. </w:t>
      </w:r>
      <w:proofErr w:type="spellStart"/>
      <w:r w:rsidRPr="00CC19F7">
        <w:t>Undersøkingane</w:t>
      </w:r>
      <w:proofErr w:type="spellEnd"/>
      <w:r w:rsidRPr="00CC19F7">
        <w:t xml:space="preserve"> vil dekke </w:t>
      </w:r>
      <w:proofErr w:type="spellStart"/>
      <w:r w:rsidRPr="00CC19F7">
        <w:t>naturmangfald</w:t>
      </w:r>
      <w:proofErr w:type="spellEnd"/>
      <w:r w:rsidRPr="00CC19F7">
        <w:t xml:space="preserve"> over vatn, på </w:t>
      </w:r>
      <w:proofErr w:type="spellStart"/>
      <w:r w:rsidRPr="00CC19F7">
        <w:t>sjøbotnen</w:t>
      </w:r>
      <w:proofErr w:type="spellEnd"/>
      <w:r w:rsidRPr="00CC19F7">
        <w:t xml:space="preserve"> og i havkolonnen. Havforskingsinstituttet og MAREANO-programmet er aktuelle </w:t>
      </w:r>
      <w:proofErr w:type="spellStart"/>
      <w:r w:rsidRPr="00CC19F7">
        <w:t>aktørar</w:t>
      </w:r>
      <w:proofErr w:type="spellEnd"/>
      <w:r w:rsidRPr="00CC19F7">
        <w:t xml:space="preserve"> som kan gjennomføre </w:t>
      </w:r>
      <w:proofErr w:type="spellStart"/>
      <w:r w:rsidRPr="00CC19F7">
        <w:t>undersøkingar</w:t>
      </w:r>
      <w:proofErr w:type="spellEnd"/>
      <w:r w:rsidRPr="00CC19F7">
        <w:t xml:space="preserve"> knytte til fisk og sjøpattedyr og kartlegge botnsamfunn.</w:t>
      </w:r>
    </w:p>
    <w:p w14:paraId="35C392BC" w14:textId="77777777" w:rsidR="00FE02EF" w:rsidRPr="00CC19F7" w:rsidRDefault="00881E58" w:rsidP="00CC19F7">
      <w:proofErr w:type="spellStart"/>
      <w:r w:rsidRPr="00CC19F7">
        <w:t>Undersøkingar</w:t>
      </w:r>
      <w:proofErr w:type="spellEnd"/>
      <w:r w:rsidRPr="00CC19F7">
        <w:t xml:space="preserve"> som gjeld fugl, blir gjennomførte av sjøfuglprogramma SEAPOP og SEATRACK gjennom ei </w:t>
      </w:r>
      <w:proofErr w:type="spellStart"/>
      <w:r w:rsidRPr="00CC19F7">
        <w:t>øyremerkt</w:t>
      </w:r>
      <w:proofErr w:type="spellEnd"/>
      <w:r w:rsidRPr="00CC19F7">
        <w:t xml:space="preserve"> løyving på 22 mill. kroner til Forskingsrådet, jf. </w:t>
      </w:r>
      <w:proofErr w:type="spellStart"/>
      <w:r w:rsidRPr="00CC19F7">
        <w:t>nærmare</w:t>
      </w:r>
      <w:proofErr w:type="spellEnd"/>
      <w:r w:rsidRPr="00CC19F7">
        <w:t xml:space="preserve"> omtale under kap. 1850, post 50.</w:t>
      </w:r>
    </w:p>
    <w:p w14:paraId="2AE10C9E" w14:textId="77777777" w:rsidR="00FE02EF" w:rsidRPr="00CC19F7" w:rsidRDefault="00881E58" w:rsidP="00CC19F7">
      <w:pPr>
        <w:pStyle w:val="b-post"/>
      </w:pPr>
      <w:r w:rsidRPr="00CC19F7">
        <w:t xml:space="preserve">Post 50 </w:t>
      </w:r>
      <w:proofErr w:type="spellStart"/>
      <w:r w:rsidRPr="00CC19F7">
        <w:t>Noregs</w:t>
      </w:r>
      <w:proofErr w:type="spellEnd"/>
      <w:r w:rsidRPr="00CC19F7">
        <w:t xml:space="preserve"> forskingsråd og Gassnova – forsking og teknologiutvikling for framtidas energisystem</w:t>
      </w:r>
    </w:p>
    <w:p w14:paraId="16ADC678" w14:textId="77777777" w:rsidR="00FE02EF" w:rsidRPr="00CC19F7" w:rsidRDefault="00881E58" w:rsidP="00CC19F7">
      <w:r w:rsidRPr="00CC19F7">
        <w:t xml:space="preserve">Det blir foreslått ei løyving på 1 008,2 mill. kroner til relevante program i </w:t>
      </w:r>
      <w:proofErr w:type="spellStart"/>
      <w:r w:rsidRPr="00CC19F7">
        <w:t>Noregs</w:t>
      </w:r>
      <w:proofErr w:type="spellEnd"/>
      <w:r w:rsidRPr="00CC19F7">
        <w:t xml:space="preserve"> forskingsråd og Gassnova SF, i tillegg til bidrag til internasjonalt forskings- og teknologisamarbeid.</w:t>
      </w:r>
    </w:p>
    <w:p w14:paraId="23A39E7F" w14:textId="77777777" w:rsidR="00FE02EF" w:rsidRPr="00CC19F7" w:rsidRDefault="00881E58" w:rsidP="00CC19F7">
      <w:r w:rsidRPr="00CC19F7">
        <w:t xml:space="preserve">Auken </w:t>
      </w:r>
      <w:proofErr w:type="spellStart"/>
      <w:r w:rsidRPr="00CC19F7">
        <w:t>frå</w:t>
      </w:r>
      <w:proofErr w:type="spellEnd"/>
      <w:r w:rsidRPr="00CC19F7">
        <w:t xml:space="preserve"> Saldert budsjett 2023 har i </w:t>
      </w:r>
      <w:proofErr w:type="spellStart"/>
      <w:r w:rsidRPr="00CC19F7">
        <w:t>hovudsak</w:t>
      </w:r>
      <w:proofErr w:type="spellEnd"/>
      <w:r w:rsidRPr="00CC19F7">
        <w:t xml:space="preserve"> </w:t>
      </w:r>
      <w:proofErr w:type="spellStart"/>
      <w:r w:rsidRPr="00CC19F7">
        <w:t>samanheng</w:t>
      </w:r>
      <w:proofErr w:type="spellEnd"/>
      <w:r w:rsidRPr="00CC19F7">
        <w:t xml:space="preserve"> med overføring av </w:t>
      </w:r>
      <w:proofErr w:type="spellStart"/>
      <w:r w:rsidRPr="00CC19F7">
        <w:t>midlar</w:t>
      </w:r>
      <w:proofErr w:type="spellEnd"/>
      <w:r w:rsidRPr="00CC19F7">
        <w:t xml:space="preserve"> </w:t>
      </w:r>
      <w:proofErr w:type="spellStart"/>
      <w:r w:rsidRPr="00CC19F7">
        <w:t>frå</w:t>
      </w:r>
      <w:proofErr w:type="spellEnd"/>
      <w:r w:rsidRPr="00CC19F7">
        <w:t xml:space="preserve"> Arbeids- og inkluderingsdepartementet til forsking på helse, miljø og </w:t>
      </w:r>
      <w:proofErr w:type="spellStart"/>
      <w:r w:rsidRPr="00CC19F7">
        <w:t>sikkerheit</w:t>
      </w:r>
      <w:proofErr w:type="spellEnd"/>
      <w:r w:rsidRPr="00CC19F7">
        <w:t xml:space="preserve"> i </w:t>
      </w:r>
      <w:proofErr w:type="spellStart"/>
      <w:r w:rsidRPr="00CC19F7">
        <w:t>petroleumsverksemda</w:t>
      </w:r>
      <w:proofErr w:type="spellEnd"/>
      <w:r w:rsidRPr="00CC19F7">
        <w:t xml:space="preserve"> gjennom programmet PETROMAKS 2.</w:t>
      </w:r>
    </w:p>
    <w:p w14:paraId="46069A4C" w14:textId="065A4123" w:rsidR="00A74556" w:rsidRPr="00CC19F7" w:rsidRDefault="00A74556" w:rsidP="00A74556">
      <w:pPr>
        <w:pStyle w:val="tabell-tittel"/>
      </w:pPr>
      <w:r w:rsidRPr="00CC19F7">
        <w:t>Forslag til løyving under kap. 1850, post 50, fordelt på tema</w:t>
      </w:r>
    </w:p>
    <w:p w14:paraId="55E905EE" w14:textId="77777777" w:rsidR="00FE02EF" w:rsidRPr="00CC19F7" w:rsidRDefault="00881E58" w:rsidP="00CC19F7">
      <w:pPr>
        <w:pStyle w:val="Tabellnavn"/>
      </w:pPr>
      <w:r w:rsidRPr="00CC19F7">
        <w:t>06J2xt2</w:t>
      </w:r>
    </w:p>
    <w:tbl>
      <w:tblPr>
        <w:tblW w:w="9880" w:type="dxa"/>
        <w:tblInd w:w="43" w:type="dxa"/>
        <w:tblLayout w:type="fixed"/>
        <w:tblCellMar>
          <w:top w:w="128" w:type="dxa"/>
          <w:left w:w="43" w:type="dxa"/>
          <w:bottom w:w="43" w:type="dxa"/>
          <w:right w:w="43" w:type="dxa"/>
        </w:tblCellMar>
        <w:tblLook w:val="0000" w:firstRow="0" w:lastRow="0" w:firstColumn="0" w:lastColumn="0" w:noHBand="0" w:noVBand="0"/>
      </w:tblPr>
      <w:tblGrid>
        <w:gridCol w:w="1860"/>
        <w:gridCol w:w="1680"/>
        <w:gridCol w:w="2500"/>
        <w:gridCol w:w="1147"/>
        <w:gridCol w:w="1559"/>
        <w:gridCol w:w="1134"/>
      </w:tblGrid>
      <w:tr w:rsidR="00FE02EF" w:rsidRPr="00CC19F7" w14:paraId="2B5041F1" w14:textId="77777777" w:rsidTr="00A74556">
        <w:trPr>
          <w:trHeight w:val="360"/>
        </w:trPr>
        <w:tc>
          <w:tcPr>
            <w:tcW w:w="9880" w:type="dxa"/>
            <w:gridSpan w:val="6"/>
            <w:tcBorders>
              <w:top w:val="nil"/>
              <w:left w:val="nil"/>
              <w:bottom w:val="single" w:sz="4" w:space="0" w:color="000000"/>
              <w:right w:val="nil"/>
            </w:tcBorders>
            <w:tcMar>
              <w:top w:w="128" w:type="dxa"/>
              <w:left w:w="43" w:type="dxa"/>
              <w:bottom w:w="43" w:type="dxa"/>
              <w:right w:w="43" w:type="dxa"/>
            </w:tcMar>
            <w:vAlign w:val="bottom"/>
          </w:tcPr>
          <w:p w14:paraId="37008DE4" w14:textId="77777777" w:rsidR="00FE02EF" w:rsidRPr="00CC19F7" w:rsidRDefault="00881E58" w:rsidP="00A74556">
            <w:pPr>
              <w:jc w:val="right"/>
            </w:pPr>
            <w:r w:rsidRPr="00CC19F7">
              <w:t>(i 1 000 kroner)</w:t>
            </w:r>
          </w:p>
        </w:tc>
      </w:tr>
      <w:tr w:rsidR="00FE02EF" w:rsidRPr="00CC19F7" w14:paraId="0B1D3C26" w14:textId="77777777" w:rsidTr="00A74556">
        <w:trPr>
          <w:trHeight w:val="600"/>
        </w:trPr>
        <w:tc>
          <w:tcPr>
            <w:tcW w:w="1860" w:type="dxa"/>
            <w:tcBorders>
              <w:top w:val="nil"/>
              <w:left w:val="nil"/>
              <w:bottom w:val="single" w:sz="4" w:space="0" w:color="000000"/>
              <w:right w:val="nil"/>
            </w:tcBorders>
            <w:tcMar>
              <w:top w:w="128" w:type="dxa"/>
              <w:left w:w="43" w:type="dxa"/>
              <w:bottom w:w="43" w:type="dxa"/>
              <w:right w:w="43" w:type="dxa"/>
            </w:tcMar>
            <w:vAlign w:val="bottom"/>
          </w:tcPr>
          <w:p w14:paraId="40FE736C" w14:textId="77777777" w:rsidR="00FE02EF" w:rsidRPr="00CC19F7" w:rsidRDefault="00881E58" w:rsidP="00CC19F7">
            <w:r w:rsidRPr="00CC19F7">
              <w:t>Tema</w:t>
            </w:r>
          </w:p>
        </w:tc>
        <w:tc>
          <w:tcPr>
            <w:tcW w:w="1680" w:type="dxa"/>
            <w:tcBorders>
              <w:top w:val="nil"/>
              <w:left w:val="nil"/>
              <w:bottom w:val="single" w:sz="4" w:space="0" w:color="000000"/>
              <w:right w:val="nil"/>
            </w:tcBorders>
            <w:tcMar>
              <w:top w:w="128" w:type="dxa"/>
              <w:left w:w="43" w:type="dxa"/>
              <w:bottom w:w="43" w:type="dxa"/>
              <w:right w:w="43" w:type="dxa"/>
            </w:tcMar>
            <w:vAlign w:val="bottom"/>
          </w:tcPr>
          <w:p w14:paraId="7C9ECAE6" w14:textId="77777777" w:rsidR="00FE02EF" w:rsidRPr="00CC19F7" w:rsidRDefault="00881E58" w:rsidP="00CC19F7">
            <w:proofErr w:type="spellStart"/>
            <w:r w:rsidRPr="00CC19F7">
              <w:t>Forvaltar</w:t>
            </w:r>
            <w:proofErr w:type="spellEnd"/>
            <w:r w:rsidRPr="00CC19F7">
              <w:t>(ar)</w:t>
            </w:r>
          </w:p>
        </w:tc>
        <w:tc>
          <w:tcPr>
            <w:tcW w:w="2500" w:type="dxa"/>
            <w:tcBorders>
              <w:top w:val="nil"/>
              <w:left w:val="nil"/>
              <w:bottom w:val="single" w:sz="4" w:space="0" w:color="000000"/>
              <w:right w:val="nil"/>
            </w:tcBorders>
            <w:tcMar>
              <w:top w:w="128" w:type="dxa"/>
              <w:left w:w="43" w:type="dxa"/>
              <w:bottom w:w="43" w:type="dxa"/>
              <w:right w:w="43" w:type="dxa"/>
            </w:tcMar>
            <w:vAlign w:val="bottom"/>
          </w:tcPr>
          <w:p w14:paraId="72DAE37F" w14:textId="77777777" w:rsidR="00FE02EF" w:rsidRPr="00CC19F7" w:rsidRDefault="00881E58" w:rsidP="00CC19F7">
            <w:r w:rsidRPr="00CC19F7">
              <w:t>Program/</w:t>
            </w:r>
            <w:r w:rsidRPr="00CC19F7">
              <w:br/>
            </w:r>
            <w:proofErr w:type="spellStart"/>
            <w:r w:rsidRPr="00CC19F7">
              <w:t>verkemiddel</w:t>
            </w:r>
            <w:proofErr w:type="spellEnd"/>
          </w:p>
        </w:tc>
        <w:tc>
          <w:tcPr>
            <w:tcW w:w="1147" w:type="dxa"/>
            <w:tcBorders>
              <w:top w:val="nil"/>
              <w:left w:val="nil"/>
              <w:bottom w:val="single" w:sz="4" w:space="0" w:color="000000"/>
              <w:right w:val="nil"/>
            </w:tcBorders>
            <w:tcMar>
              <w:top w:w="128" w:type="dxa"/>
              <w:left w:w="43" w:type="dxa"/>
              <w:bottom w:w="43" w:type="dxa"/>
              <w:right w:w="43" w:type="dxa"/>
            </w:tcMar>
            <w:vAlign w:val="bottom"/>
          </w:tcPr>
          <w:p w14:paraId="52566869" w14:textId="77777777" w:rsidR="00FE02EF" w:rsidRPr="00CC19F7" w:rsidRDefault="00881E58" w:rsidP="00A74556">
            <w:pPr>
              <w:jc w:val="right"/>
            </w:pPr>
            <w:proofErr w:type="spellStart"/>
            <w:r w:rsidRPr="00CC19F7">
              <w:t>Rekneskap</w:t>
            </w:r>
            <w:proofErr w:type="spellEnd"/>
            <w:r w:rsidRPr="00CC19F7">
              <w:t xml:space="preserve"> 2022</w:t>
            </w:r>
            <w:r w:rsidRPr="00CC19F7">
              <w:rPr>
                <w:rStyle w:val="skrift-hevet"/>
              </w:rPr>
              <w:t>1</w:t>
            </w:r>
          </w:p>
        </w:tc>
        <w:tc>
          <w:tcPr>
            <w:tcW w:w="1559" w:type="dxa"/>
            <w:tcBorders>
              <w:top w:val="nil"/>
              <w:left w:val="nil"/>
              <w:bottom w:val="single" w:sz="4" w:space="0" w:color="000000"/>
              <w:right w:val="nil"/>
            </w:tcBorders>
            <w:tcMar>
              <w:top w:w="128" w:type="dxa"/>
              <w:left w:w="43" w:type="dxa"/>
              <w:bottom w:w="43" w:type="dxa"/>
              <w:right w:w="43" w:type="dxa"/>
            </w:tcMar>
            <w:vAlign w:val="bottom"/>
          </w:tcPr>
          <w:p w14:paraId="57F065ED" w14:textId="77777777" w:rsidR="00FE02EF" w:rsidRPr="00CC19F7" w:rsidRDefault="00881E58" w:rsidP="00A74556">
            <w:pPr>
              <w:jc w:val="right"/>
            </w:pPr>
            <w:r w:rsidRPr="00CC19F7">
              <w:t>Saldert</w:t>
            </w:r>
            <w:r w:rsidRPr="00CC19F7">
              <w:br/>
              <w:t xml:space="preserve"> budsjett 2023</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3C831083" w14:textId="77777777" w:rsidR="00FE02EF" w:rsidRPr="00CC19F7" w:rsidRDefault="00881E58" w:rsidP="00A74556">
            <w:pPr>
              <w:jc w:val="right"/>
            </w:pPr>
            <w:r w:rsidRPr="00CC19F7">
              <w:t>Forslag</w:t>
            </w:r>
            <w:r w:rsidRPr="00CC19F7">
              <w:br/>
              <w:t xml:space="preserve"> 2024</w:t>
            </w:r>
          </w:p>
        </w:tc>
      </w:tr>
      <w:tr w:rsidR="00FE02EF" w:rsidRPr="00CC19F7" w14:paraId="58C15A7C" w14:textId="77777777" w:rsidTr="00A74556">
        <w:trPr>
          <w:trHeight w:val="880"/>
        </w:trPr>
        <w:tc>
          <w:tcPr>
            <w:tcW w:w="1860" w:type="dxa"/>
            <w:tcBorders>
              <w:top w:val="single" w:sz="4" w:space="0" w:color="000000"/>
              <w:left w:val="nil"/>
              <w:bottom w:val="nil"/>
              <w:right w:val="nil"/>
            </w:tcBorders>
            <w:tcMar>
              <w:top w:w="128" w:type="dxa"/>
              <w:left w:w="43" w:type="dxa"/>
              <w:bottom w:w="43" w:type="dxa"/>
              <w:right w:w="43" w:type="dxa"/>
            </w:tcMar>
          </w:tcPr>
          <w:p w14:paraId="7B992703" w14:textId="77777777" w:rsidR="00FE02EF" w:rsidRPr="00CC19F7" w:rsidRDefault="00881E58" w:rsidP="00CC19F7">
            <w:r w:rsidRPr="00CC19F7">
              <w:t xml:space="preserve">Ny </w:t>
            </w:r>
            <w:proofErr w:type="spellStart"/>
            <w:r w:rsidRPr="00CC19F7">
              <w:t>klimavennleg</w:t>
            </w:r>
            <w:proofErr w:type="spellEnd"/>
            <w:r w:rsidRPr="00CC19F7">
              <w:t xml:space="preserve"> teknologi</w:t>
            </w:r>
          </w:p>
        </w:tc>
        <w:tc>
          <w:tcPr>
            <w:tcW w:w="1680" w:type="dxa"/>
            <w:tcBorders>
              <w:top w:val="single" w:sz="4" w:space="0" w:color="000000"/>
              <w:left w:val="nil"/>
              <w:bottom w:val="nil"/>
              <w:right w:val="nil"/>
            </w:tcBorders>
            <w:tcMar>
              <w:top w:w="128" w:type="dxa"/>
              <w:left w:w="43" w:type="dxa"/>
              <w:bottom w:w="43" w:type="dxa"/>
              <w:right w:w="43" w:type="dxa"/>
            </w:tcMar>
          </w:tcPr>
          <w:p w14:paraId="3D7A9A8C" w14:textId="77777777" w:rsidR="00FE02EF" w:rsidRPr="00CC19F7" w:rsidRDefault="00881E58" w:rsidP="00CC19F7">
            <w:r w:rsidRPr="00CC19F7">
              <w:t>Forskingsrådet</w:t>
            </w:r>
            <w:r w:rsidRPr="00CC19F7">
              <w:br/>
              <w:t>Gassnova SF</w:t>
            </w:r>
          </w:p>
        </w:tc>
        <w:tc>
          <w:tcPr>
            <w:tcW w:w="2500" w:type="dxa"/>
            <w:tcBorders>
              <w:top w:val="single" w:sz="4" w:space="0" w:color="000000"/>
              <w:left w:val="nil"/>
              <w:bottom w:val="nil"/>
              <w:right w:val="nil"/>
            </w:tcBorders>
            <w:tcMar>
              <w:top w:w="128" w:type="dxa"/>
              <w:left w:w="43" w:type="dxa"/>
              <w:bottom w:w="43" w:type="dxa"/>
              <w:right w:w="43" w:type="dxa"/>
            </w:tcMar>
          </w:tcPr>
          <w:p w14:paraId="2387BB76" w14:textId="77777777" w:rsidR="00FE02EF" w:rsidRPr="00CC19F7" w:rsidRDefault="00881E58" w:rsidP="00CC19F7">
            <w:r w:rsidRPr="00CC19F7">
              <w:t>ENERGIX</w:t>
            </w:r>
            <w:r w:rsidRPr="00CC19F7">
              <w:br/>
              <w:t>FME</w:t>
            </w:r>
            <w:r w:rsidRPr="00CC19F7">
              <w:br/>
              <w:t>CLIMIT</w:t>
            </w:r>
          </w:p>
        </w:tc>
        <w:tc>
          <w:tcPr>
            <w:tcW w:w="1147" w:type="dxa"/>
            <w:tcBorders>
              <w:top w:val="single" w:sz="4" w:space="0" w:color="000000"/>
              <w:left w:val="nil"/>
              <w:bottom w:val="nil"/>
              <w:right w:val="nil"/>
            </w:tcBorders>
            <w:tcMar>
              <w:top w:w="128" w:type="dxa"/>
              <w:left w:w="43" w:type="dxa"/>
              <w:bottom w:w="43" w:type="dxa"/>
              <w:right w:w="43" w:type="dxa"/>
            </w:tcMar>
            <w:vAlign w:val="bottom"/>
          </w:tcPr>
          <w:p w14:paraId="292F661A" w14:textId="77777777" w:rsidR="00FE02EF" w:rsidRPr="00CC19F7" w:rsidRDefault="00881E58" w:rsidP="00A74556">
            <w:pPr>
              <w:jc w:val="right"/>
            </w:pPr>
            <w:r w:rsidRPr="00CC19F7">
              <w:t>741 403</w:t>
            </w:r>
          </w:p>
        </w:tc>
        <w:tc>
          <w:tcPr>
            <w:tcW w:w="1559" w:type="dxa"/>
            <w:tcBorders>
              <w:top w:val="single" w:sz="4" w:space="0" w:color="000000"/>
              <w:left w:val="nil"/>
              <w:bottom w:val="nil"/>
              <w:right w:val="nil"/>
            </w:tcBorders>
            <w:tcMar>
              <w:top w:w="128" w:type="dxa"/>
              <w:left w:w="43" w:type="dxa"/>
              <w:bottom w:w="43" w:type="dxa"/>
              <w:right w:w="43" w:type="dxa"/>
            </w:tcMar>
            <w:vAlign w:val="bottom"/>
          </w:tcPr>
          <w:p w14:paraId="1A6CAAD2" w14:textId="77777777" w:rsidR="00FE02EF" w:rsidRPr="00CC19F7" w:rsidRDefault="00881E58" w:rsidP="00A74556">
            <w:pPr>
              <w:jc w:val="right"/>
            </w:pPr>
            <w:r w:rsidRPr="00CC19F7">
              <w:t>731 000</w:t>
            </w:r>
          </w:p>
        </w:tc>
        <w:tc>
          <w:tcPr>
            <w:tcW w:w="1134" w:type="dxa"/>
            <w:tcBorders>
              <w:top w:val="single" w:sz="4" w:space="0" w:color="000000"/>
              <w:left w:val="nil"/>
              <w:bottom w:val="nil"/>
              <w:right w:val="nil"/>
            </w:tcBorders>
            <w:tcMar>
              <w:top w:w="128" w:type="dxa"/>
              <w:left w:w="43" w:type="dxa"/>
              <w:bottom w:w="43" w:type="dxa"/>
              <w:right w:w="43" w:type="dxa"/>
            </w:tcMar>
            <w:vAlign w:val="bottom"/>
          </w:tcPr>
          <w:p w14:paraId="55E1F6AE" w14:textId="77777777" w:rsidR="00FE02EF" w:rsidRPr="00CC19F7" w:rsidRDefault="00881E58" w:rsidP="00A74556">
            <w:pPr>
              <w:jc w:val="right"/>
            </w:pPr>
            <w:r w:rsidRPr="00CC19F7">
              <w:t>716 200</w:t>
            </w:r>
          </w:p>
        </w:tc>
      </w:tr>
      <w:tr w:rsidR="00FE02EF" w:rsidRPr="00CC19F7" w14:paraId="4A117EA2" w14:textId="77777777" w:rsidTr="00A74556">
        <w:trPr>
          <w:trHeight w:val="880"/>
        </w:trPr>
        <w:tc>
          <w:tcPr>
            <w:tcW w:w="1860" w:type="dxa"/>
            <w:tcBorders>
              <w:top w:val="nil"/>
              <w:left w:val="nil"/>
              <w:bottom w:val="nil"/>
              <w:right w:val="nil"/>
            </w:tcBorders>
            <w:tcMar>
              <w:top w:w="128" w:type="dxa"/>
              <w:left w:w="43" w:type="dxa"/>
              <w:bottom w:w="43" w:type="dxa"/>
              <w:right w:w="43" w:type="dxa"/>
            </w:tcMar>
          </w:tcPr>
          <w:p w14:paraId="0CB928C2" w14:textId="77777777" w:rsidR="00FE02EF" w:rsidRPr="00CC19F7" w:rsidRDefault="00881E58" w:rsidP="00CC19F7">
            <w:r w:rsidRPr="00CC19F7">
              <w:t>Petroleum på veg mot nullutsleppssamfunnet</w:t>
            </w:r>
          </w:p>
        </w:tc>
        <w:tc>
          <w:tcPr>
            <w:tcW w:w="1680" w:type="dxa"/>
            <w:tcBorders>
              <w:top w:val="nil"/>
              <w:left w:val="nil"/>
              <w:bottom w:val="nil"/>
              <w:right w:val="nil"/>
            </w:tcBorders>
            <w:tcMar>
              <w:top w:w="128" w:type="dxa"/>
              <w:left w:w="43" w:type="dxa"/>
              <w:bottom w:w="43" w:type="dxa"/>
              <w:right w:w="43" w:type="dxa"/>
            </w:tcMar>
          </w:tcPr>
          <w:p w14:paraId="365D488F" w14:textId="77777777" w:rsidR="00FE02EF" w:rsidRPr="00CC19F7" w:rsidRDefault="00881E58" w:rsidP="00CC19F7">
            <w:r w:rsidRPr="00CC19F7">
              <w:t>Forskingsrådet</w:t>
            </w:r>
          </w:p>
        </w:tc>
        <w:tc>
          <w:tcPr>
            <w:tcW w:w="2500" w:type="dxa"/>
            <w:tcBorders>
              <w:top w:val="nil"/>
              <w:left w:val="nil"/>
              <w:bottom w:val="nil"/>
              <w:right w:val="nil"/>
            </w:tcBorders>
            <w:tcMar>
              <w:top w:w="128" w:type="dxa"/>
              <w:left w:w="43" w:type="dxa"/>
              <w:bottom w:w="43" w:type="dxa"/>
              <w:right w:w="43" w:type="dxa"/>
            </w:tcMar>
          </w:tcPr>
          <w:p w14:paraId="33B564A0" w14:textId="77777777" w:rsidR="00FE02EF" w:rsidRPr="00CC19F7" w:rsidRDefault="00881E58" w:rsidP="00CC19F7">
            <w:r w:rsidRPr="00CC19F7">
              <w:t>PETROMAKS 2</w:t>
            </w:r>
            <w:r w:rsidRPr="00CC19F7">
              <w:br/>
              <w:t>DEMO 2000</w:t>
            </w:r>
            <w:r w:rsidRPr="00CC19F7">
              <w:br/>
              <w:t>PETROSENTER</w:t>
            </w:r>
          </w:p>
        </w:tc>
        <w:tc>
          <w:tcPr>
            <w:tcW w:w="1147" w:type="dxa"/>
            <w:tcBorders>
              <w:top w:val="nil"/>
              <w:left w:val="nil"/>
              <w:bottom w:val="nil"/>
              <w:right w:val="nil"/>
            </w:tcBorders>
            <w:tcMar>
              <w:top w:w="128" w:type="dxa"/>
              <w:left w:w="43" w:type="dxa"/>
              <w:bottom w:w="43" w:type="dxa"/>
              <w:right w:w="43" w:type="dxa"/>
            </w:tcMar>
            <w:vAlign w:val="bottom"/>
          </w:tcPr>
          <w:p w14:paraId="50E21D53" w14:textId="77777777" w:rsidR="00FE02EF" w:rsidRPr="00CC19F7" w:rsidRDefault="00881E58" w:rsidP="00A74556">
            <w:pPr>
              <w:jc w:val="right"/>
            </w:pPr>
            <w:r w:rsidRPr="00CC19F7">
              <w:t>347 978</w:t>
            </w:r>
          </w:p>
        </w:tc>
        <w:tc>
          <w:tcPr>
            <w:tcW w:w="1559" w:type="dxa"/>
            <w:tcBorders>
              <w:top w:val="nil"/>
              <w:left w:val="nil"/>
              <w:bottom w:val="nil"/>
              <w:right w:val="nil"/>
            </w:tcBorders>
            <w:tcMar>
              <w:top w:w="128" w:type="dxa"/>
              <w:left w:w="43" w:type="dxa"/>
              <w:bottom w:w="43" w:type="dxa"/>
              <w:right w:w="43" w:type="dxa"/>
            </w:tcMar>
            <w:vAlign w:val="bottom"/>
          </w:tcPr>
          <w:p w14:paraId="0D8BD2C5" w14:textId="77777777" w:rsidR="00FE02EF" w:rsidRPr="00CC19F7" w:rsidRDefault="00881E58" w:rsidP="00A74556">
            <w:pPr>
              <w:jc w:val="right"/>
            </w:pPr>
            <w:r w:rsidRPr="00CC19F7">
              <w:t>230 000</w:t>
            </w:r>
          </w:p>
        </w:tc>
        <w:tc>
          <w:tcPr>
            <w:tcW w:w="1134" w:type="dxa"/>
            <w:tcBorders>
              <w:top w:val="nil"/>
              <w:left w:val="nil"/>
              <w:bottom w:val="nil"/>
              <w:right w:val="nil"/>
            </w:tcBorders>
            <w:tcMar>
              <w:top w:w="128" w:type="dxa"/>
              <w:left w:w="43" w:type="dxa"/>
              <w:bottom w:w="43" w:type="dxa"/>
              <w:right w:w="43" w:type="dxa"/>
            </w:tcMar>
            <w:vAlign w:val="bottom"/>
          </w:tcPr>
          <w:p w14:paraId="48218C55" w14:textId="77777777" w:rsidR="00FE02EF" w:rsidRPr="00CC19F7" w:rsidRDefault="00881E58" w:rsidP="00A74556">
            <w:pPr>
              <w:jc w:val="right"/>
            </w:pPr>
            <w:r w:rsidRPr="00CC19F7">
              <w:t>250 000</w:t>
            </w:r>
          </w:p>
        </w:tc>
      </w:tr>
      <w:tr w:rsidR="00FE02EF" w:rsidRPr="00CC19F7" w14:paraId="4281C546" w14:textId="77777777" w:rsidTr="00A74556">
        <w:trPr>
          <w:trHeight w:val="1140"/>
        </w:trPr>
        <w:tc>
          <w:tcPr>
            <w:tcW w:w="1860" w:type="dxa"/>
            <w:tcBorders>
              <w:top w:val="nil"/>
              <w:left w:val="nil"/>
              <w:bottom w:val="nil"/>
              <w:right w:val="nil"/>
            </w:tcBorders>
            <w:tcMar>
              <w:top w:w="128" w:type="dxa"/>
              <w:left w:w="43" w:type="dxa"/>
              <w:bottom w:w="43" w:type="dxa"/>
              <w:right w:w="43" w:type="dxa"/>
            </w:tcMar>
          </w:tcPr>
          <w:p w14:paraId="1C33D9F5" w14:textId="77777777" w:rsidR="00FE02EF" w:rsidRPr="00CC19F7" w:rsidRDefault="00881E58" w:rsidP="00CC19F7">
            <w:r w:rsidRPr="00CC19F7">
              <w:t xml:space="preserve">Internasjonalt </w:t>
            </w:r>
            <w:r w:rsidRPr="00CC19F7">
              <w:br/>
              <w:t xml:space="preserve">forskings- og </w:t>
            </w:r>
            <w:r w:rsidRPr="00CC19F7">
              <w:br/>
              <w:t>teknologisamarbeid</w:t>
            </w:r>
          </w:p>
        </w:tc>
        <w:tc>
          <w:tcPr>
            <w:tcW w:w="1680" w:type="dxa"/>
            <w:tcBorders>
              <w:top w:val="nil"/>
              <w:left w:val="nil"/>
              <w:bottom w:val="nil"/>
              <w:right w:val="nil"/>
            </w:tcBorders>
            <w:tcMar>
              <w:top w:w="128" w:type="dxa"/>
              <w:left w:w="43" w:type="dxa"/>
              <w:bottom w:w="43" w:type="dxa"/>
              <w:right w:w="43" w:type="dxa"/>
            </w:tcMar>
          </w:tcPr>
          <w:p w14:paraId="0C3D3BF6" w14:textId="77777777" w:rsidR="00FE02EF" w:rsidRPr="00CC19F7" w:rsidRDefault="00881E58" w:rsidP="00CC19F7">
            <w:r w:rsidRPr="00CC19F7">
              <w:t>Forskingsrådet</w:t>
            </w:r>
          </w:p>
        </w:tc>
        <w:tc>
          <w:tcPr>
            <w:tcW w:w="2500" w:type="dxa"/>
            <w:tcBorders>
              <w:top w:val="nil"/>
              <w:left w:val="nil"/>
              <w:bottom w:val="nil"/>
              <w:right w:val="nil"/>
            </w:tcBorders>
            <w:tcMar>
              <w:top w:w="128" w:type="dxa"/>
              <w:left w:w="43" w:type="dxa"/>
              <w:bottom w:w="43" w:type="dxa"/>
              <w:right w:w="43" w:type="dxa"/>
            </w:tcMar>
          </w:tcPr>
          <w:p w14:paraId="24320970" w14:textId="77777777" w:rsidR="00FE02EF" w:rsidRPr="00CA1D23" w:rsidRDefault="00881E58" w:rsidP="00CC19F7">
            <w:pPr>
              <w:rPr>
                <w:lang w:val="en-US"/>
              </w:rPr>
            </w:pPr>
            <w:r w:rsidRPr="00CA1D23">
              <w:rPr>
                <w:lang w:val="en-US"/>
              </w:rPr>
              <w:t>Nordisk Energiforsking</w:t>
            </w:r>
            <w:r w:rsidRPr="00CA1D23">
              <w:rPr>
                <w:lang w:val="en-US"/>
              </w:rPr>
              <w:br/>
              <w:t xml:space="preserve">PES2020 </w:t>
            </w:r>
            <w:r w:rsidRPr="00CA1D23">
              <w:rPr>
                <w:lang w:val="en-US"/>
              </w:rPr>
              <w:br/>
              <w:t>The International Ocean Discovery Program</w:t>
            </w:r>
          </w:p>
        </w:tc>
        <w:tc>
          <w:tcPr>
            <w:tcW w:w="1147" w:type="dxa"/>
            <w:tcBorders>
              <w:top w:val="nil"/>
              <w:left w:val="nil"/>
              <w:bottom w:val="nil"/>
              <w:right w:val="nil"/>
            </w:tcBorders>
            <w:tcMar>
              <w:top w:w="128" w:type="dxa"/>
              <w:left w:w="43" w:type="dxa"/>
              <w:bottom w:w="43" w:type="dxa"/>
              <w:right w:w="43" w:type="dxa"/>
            </w:tcMar>
            <w:vAlign w:val="bottom"/>
          </w:tcPr>
          <w:p w14:paraId="2EA0C297" w14:textId="77777777" w:rsidR="00FE02EF" w:rsidRPr="00CC19F7" w:rsidRDefault="00881E58" w:rsidP="00A74556">
            <w:pPr>
              <w:jc w:val="right"/>
            </w:pPr>
            <w:r w:rsidRPr="00CC19F7">
              <w:t>22 320</w:t>
            </w:r>
          </w:p>
        </w:tc>
        <w:tc>
          <w:tcPr>
            <w:tcW w:w="1559" w:type="dxa"/>
            <w:tcBorders>
              <w:top w:val="nil"/>
              <w:left w:val="nil"/>
              <w:bottom w:val="nil"/>
              <w:right w:val="nil"/>
            </w:tcBorders>
            <w:tcMar>
              <w:top w:w="128" w:type="dxa"/>
              <w:left w:w="43" w:type="dxa"/>
              <w:bottom w:w="43" w:type="dxa"/>
              <w:right w:w="43" w:type="dxa"/>
            </w:tcMar>
            <w:vAlign w:val="bottom"/>
          </w:tcPr>
          <w:p w14:paraId="6855D778" w14:textId="77777777" w:rsidR="00FE02EF" w:rsidRPr="00CC19F7" w:rsidRDefault="00881E58" w:rsidP="00A74556">
            <w:pPr>
              <w:jc w:val="right"/>
            </w:pPr>
            <w:r w:rsidRPr="00CC19F7">
              <w:t>19 500</w:t>
            </w:r>
          </w:p>
        </w:tc>
        <w:tc>
          <w:tcPr>
            <w:tcW w:w="1134" w:type="dxa"/>
            <w:tcBorders>
              <w:top w:val="nil"/>
              <w:left w:val="nil"/>
              <w:bottom w:val="nil"/>
              <w:right w:val="nil"/>
            </w:tcBorders>
            <w:tcMar>
              <w:top w:w="128" w:type="dxa"/>
              <w:left w:w="43" w:type="dxa"/>
              <w:bottom w:w="43" w:type="dxa"/>
              <w:right w:w="43" w:type="dxa"/>
            </w:tcMar>
            <w:vAlign w:val="bottom"/>
          </w:tcPr>
          <w:p w14:paraId="403814C6" w14:textId="77777777" w:rsidR="00FE02EF" w:rsidRPr="00CC19F7" w:rsidRDefault="00881E58" w:rsidP="00A74556">
            <w:pPr>
              <w:jc w:val="right"/>
            </w:pPr>
            <w:r w:rsidRPr="00CC19F7">
              <w:t>20 000</w:t>
            </w:r>
          </w:p>
        </w:tc>
      </w:tr>
      <w:tr w:rsidR="00FE02EF" w:rsidRPr="00CC19F7" w14:paraId="33ACFE41" w14:textId="77777777" w:rsidTr="00A74556">
        <w:trPr>
          <w:trHeight w:val="640"/>
        </w:trPr>
        <w:tc>
          <w:tcPr>
            <w:tcW w:w="1860" w:type="dxa"/>
            <w:tcBorders>
              <w:top w:val="nil"/>
              <w:left w:val="nil"/>
              <w:bottom w:val="single" w:sz="4" w:space="0" w:color="000000"/>
              <w:right w:val="nil"/>
            </w:tcBorders>
            <w:tcMar>
              <w:top w:w="128" w:type="dxa"/>
              <w:left w:w="43" w:type="dxa"/>
              <w:bottom w:w="43" w:type="dxa"/>
              <w:right w:w="43" w:type="dxa"/>
            </w:tcMar>
          </w:tcPr>
          <w:p w14:paraId="0779E400" w14:textId="77777777" w:rsidR="00FE02EF" w:rsidRPr="00CC19F7" w:rsidRDefault="00881E58" w:rsidP="00CC19F7">
            <w:r w:rsidRPr="00CC19F7">
              <w:t xml:space="preserve">Kartlegging </w:t>
            </w:r>
            <w:r w:rsidRPr="00CC19F7">
              <w:br/>
              <w:t>av sjøfugl</w:t>
            </w:r>
          </w:p>
        </w:tc>
        <w:tc>
          <w:tcPr>
            <w:tcW w:w="1680" w:type="dxa"/>
            <w:tcBorders>
              <w:top w:val="nil"/>
              <w:left w:val="nil"/>
              <w:bottom w:val="single" w:sz="4" w:space="0" w:color="000000"/>
              <w:right w:val="nil"/>
            </w:tcBorders>
            <w:tcMar>
              <w:top w:w="128" w:type="dxa"/>
              <w:left w:w="43" w:type="dxa"/>
              <w:bottom w:w="43" w:type="dxa"/>
              <w:right w:w="43" w:type="dxa"/>
            </w:tcMar>
          </w:tcPr>
          <w:p w14:paraId="6A2C981C" w14:textId="77777777" w:rsidR="00FE02EF" w:rsidRPr="00CC19F7" w:rsidRDefault="00881E58" w:rsidP="00CC19F7">
            <w:r w:rsidRPr="00CC19F7">
              <w:t>Forskingsrådet</w:t>
            </w:r>
          </w:p>
        </w:tc>
        <w:tc>
          <w:tcPr>
            <w:tcW w:w="2500" w:type="dxa"/>
            <w:tcBorders>
              <w:top w:val="nil"/>
              <w:left w:val="nil"/>
              <w:bottom w:val="single" w:sz="4" w:space="0" w:color="000000"/>
              <w:right w:val="nil"/>
            </w:tcBorders>
            <w:tcMar>
              <w:top w:w="128" w:type="dxa"/>
              <w:left w:w="43" w:type="dxa"/>
              <w:bottom w:w="43" w:type="dxa"/>
              <w:right w:w="43" w:type="dxa"/>
            </w:tcMar>
          </w:tcPr>
          <w:p w14:paraId="4BD44848" w14:textId="77777777" w:rsidR="00FE02EF" w:rsidRPr="00CC19F7" w:rsidRDefault="00881E58" w:rsidP="00CC19F7">
            <w:r w:rsidRPr="00CC19F7">
              <w:t>SEAPOP/SEATRACK</w:t>
            </w:r>
          </w:p>
        </w:tc>
        <w:tc>
          <w:tcPr>
            <w:tcW w:w="1147" w:type="dxa"/>
            <w:tcBorders>
              <w:top w:val="nil"/>
              <w:left w:val="nil"/>
              <w:bottom w:val="single" w:sz="4" w:space="0" w:color="000000"/>
              <w:right w:val="nil"/>
            </w:tcBorders>
            <w:tcMar>
              <w:top w:w="128" w:type="dxa"/>
              <w:left w:w="43" w:type="dxa"/>
              <w:bottom w:w="43" w:type="dxa"/>
              <w:right w:w="43" w:type="dxa"/>
            </w:tcMar>
            <w:vAlign w:val="bottom"/>
          </w:tcPr>
          <w:p w14:paraId="29E5D164" w14:textId="77777777" w:rsidR="00FE02EF" w:rsidRPr="00CC19F7" w:rsidRDefault="00881E58" w:rsidP="00A74556">
            <w:pPr>
              <w:jc w:val="right"/>
            </w:pPr>
            <w:r w:rsidRPr="00CC19F7">
              <w:t>5 982</w:t>
            </w:r>
          </w:p>
        </w:tc>
        <w:tc>
          <w:tcPr>
            <w:tcW w:w="1559" w:type="dxa"/>
            <w:tcBorders>
              <w:top w:val="nil"/>
              <w:left w:val="nil"/>
              <w:bottom w:val="single" w:sz="4" w:space="0" w:color="000000"/>
              <w:right w:val="nil"/>
            </w:tcBorders>
            <w:tcMar>
              <w:top w:w="128" w:type="dxa"/>
              <w:left w:w="43" w:type="dxa"/>
              <w:bottom w:w="43" w:type="dxa"/>
              <w:right w:w="43" w:type="dxa"/>
            </w:tcMar>
            <w:vAlign w:val="bottom"/>
          </w:tcPr>
          <w:p w14:paraId="709EBDFF" w14:textId="77777777" w:rsidR="00FE02EF" w:rsidRPr="00CC19F7" w:rsidRDefault="00881E58" w:rsidP="00A74556">
            <w:pPr>
              <w:jc w:val="right"/>
            </w:pPr>
            <w:r w:rsidRPr="00CC19F7">
              <w:t>13 000</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14EBC338" w14:textId="77777777" w:rsidR="00FE02EF" w:rsidRPr="00CC19F7" w:rsidRDefault="00881E58" w:rsidP="00A74556">
            <w:pPr>
              <w:jc w:val="right"/>
            </w:pPr>
            <w:r w:rsidRPr="00CC19F7">
              <w:t>22 000</w:t>
            </w:r>
          </w:p>
        </w:tc>
      </w:tr>
      <w:tr w:rsidR="00FE02EF" w:rsidRPr="00CC19F7" w14:paraId="666FB8CA" w14:textId="77777777" w:rsidTr="00A74556">
        <w:trPr>
          <w:trHeight w:val="380"/>
        </w:trPr>
        <w:tc>
          <w:tcPr>
            <w:tcW w:w="1860" w:type="dxa"/>
            <w:tcBorders>
              <w:top w:val="single" w:sz="4" w:space="0" w:color="000000"/>
              <w:left w:val="nil"/>
              <w:bottom w:val="single" w:sz="4" w:space="0" w:color="000000"/>
              <w:right w:val="nil"/>
            </w:tcBorders>
            <w:tcMar>
              <w:top w:w="128" w:type="dxa"/>
              <w:left w:w="43" w:type="dxa"/>
              <w:bottom w:w="43" w:type="dxa"/>
              <w:right w:w="43" w:type="dxa"/>
            </w:tcMar>
          </w:tcPr>
          <w:p w14:paraId="0EA2E553" w14:textId="77777777" w:rsidR="00FE02EF" w:rsidRPr="00CC19F7" w:rsidRDefault="00881E58" w:rsidP="00CC19F7">
            <w:r w:rsidRPr="00CC19F7">
              <w:t>Sum</w:t>
            </w:r>
          </w:p>
        </w:tc>
        <w:tc>
          <w:tcPr>
            <w:tcW w:w="1680" w:type="dxa"/>
            <w:tcBorders>
              <w:top w:val="single" w:sz="4" w:space="0" w:color="000000"/>
              <w:left w:val="nil"/>
              <w:bottom w:val="single" w:sz="4" w:space="0" w:color="000000"/>
              <w:right w:val="nil"/>
            </w:tcBorders>
            <w:tcMar>
              <w:top w:w="128" w:type="dxa"/>
              <w:left w:w="43" w:type="dxa"/>
              <w:bottom w:w="43" w:type="dxa"/>
              <w:right w:w="43" w:type="dxa"/>
            </w:tcMar>
          </w:tcPr>
          <w:p w14:paraId="1A444F3C" w14:textId="77777777" w:rsidR="00FE02EF" w:rsidRPr="00CC19F7" w:rsidRDefault="00FE02EF" w:rsidP="00CC19F7"/>
        </w:tc>
        <w:tc>
          <w:tcPr>
            <w:tcW w:w="2500" w:type="dxa"/>
            <w:tcBorders>
              <w:top w:val="single" w:sz="4" w:space="0" w:color="000000"/>
              <w:left w:val="nil"/>
              <w:bottom w:val="single" w:sz="4" w:space="0" w:color="000000"/>
              <w:right w:val="nil"/>
            </w:tcBorders>
            <w:tcMar>
              <w:top w:w="128" w:type="dxa"/>
              <w:left w:w="43" w:type="dxa"/>
              <w:bottom w:w="43" w:type="dxa"/>
              <w:right w:w="43" w:type="dxa"/>
            </w:tcMar>
          </w:tcPr>
          <w:p w14:paraId="49A07F79" w14:textId="77777777" w:rsidR="00FE02EF" w:rsidRPr="00CC19F7" w:rsidRDefault="00FE02EF" w:rsidP="00CC19F7"/>
        </w:tc>
        <w:tc>
          <w:tcPr>
            <w:tcW w:w="114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D471428" w14:textId="77777777" w:rsidR="00FE02EF" w:rsidRPr="00CC19F7" w:rsidRDefault="00881E58" w:rsidP="00A74556">
            <w:pPr>
              <w:jc w:val="right"/>
            </w:pPr>
            <w:r w:rsidRPr="00CC19F7">
              <w:t>1 117 683</w:t>
            </w:r>
          </w:p>
        </w:tc>
        <w:tc>
          <w:tcPr>
            <w:tcW w:w="155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ADD1C26" w14:textId="77777777" w:rsidR="00FE02EF" w:rsidRPr="00CC19F7" w:rsidRDefault="00881E58" w:rsidP="00A74556">
            <w:pPr>
              <w:jc w:val="right"/>
            </w:pPr>
            <w:r w:rsidRPr="00CC19F7">
              <w:t>993 500</w:t>
            </w:r>
          </w:p>
        </w:tc>
        <w:tc>
          <w:tcPr>
            <w:tcW w:w="113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F8D9A93" w14:textId="77777777" w:rsidR="00FE02EF" w:rsidRPr="00CC19F7" w:rsidRDefault="00881E58" w:rsidP="00A74556">
            <w:pPr>
              <w:jc w:val="right"/>
            </w:pPr>
            <w:r w:rsidRPr="00CC19F7">
              <w:t>1 008 200</w:t>
            </w:r>
          </w:p>
        </w:tc>
      </w:tr>
    </w:tbl>
    <w:p w14:paraId="14C02B27" w14:textId="77777777" w:rsidR="00FE02EF" w:rsidRPr="00CC19F7" w:rsidRDefault="00881E58" w:rsidP="00CC19F7">
      <w:pPr>
        <w:pStyle w:val="tabell-noter"/>
      </w:pPr>
      <w:r w:rsidRPr="00CC19F7">
        <w:rPr>
          <w:rStyle w:val="skrift-hevet"/>
        </w:rPr>
        <w:t>1</w:t>
      </w:r>
      <w:r w:rsidRPr="00CC19F7">
        <w:rPr>
          <w:rStyle w:val="skrift-hevet"/>
        </w:rPr>
        <w:tab/>
      </w:r>
      <w:r w:rsidRPr="00CC19F7">
        <w:t xml:space="preserve">Tildelt </w:t>
      </w:r>
      <w:proofErr w:type="spellStart"/>
      <w:r w:rsidRPr="00CC19F7">
        <w:t>frå</w:t>
      </w:r>
      <w:proofErr w:type="spellEnd"/>
      <w:r w:rsidRPr="00CC19F7">
        <w:t xml:space="preserve"> kap. 1800, post 50, kap. 1830, post 50, 51 og 71, og kap. 1840, post 50 i 2022.</w:t>
      </w:r>
    </w:p>
    <w:p w14:paraId="2B44343C" w14:textId="77777777" w:rsidR="00FE02EF" w:rsidRPr="00CC19F7" w:rsidRDefault="00881E58" w:rsidP="00CC19F7">
      <w:proofErr w:type="spellStart"/>
      <w:r w:rsidRPr="00CC19F7">
        <w:t>Midlar</w:t>
      </w:r>
      <w:proofErr w:type="spellEnd"/>
      <w:r w:rsidRPr="00CC19F7">
        <w:t xml:space="preserve"> til drift av Forskingsrådets </w:t>
      </w:r>
      <w:proofErr w:type="spellStart"/>
      <w:r w:rsidRPr="00CC19F7">
        <w:t>verksemd</w:t>
      </w:r>
      <w:proofErr w:type="spellEnd"/>
      <w:r w:rsidRPr="00CC19F7">
        <w:t xml:space="preserve"> og forskingsprogramma blir løyvde over Kunnskapsdepartementets kap. 285 </w:t>
      </w:r>
      <w:proofErr w:type="spellStart"/>
      <w:r w:rsidRPr="00CC19F7">
        <w:t>Noregs</w:t>
      </w:r>
      <w:proofErr w:type="spellEnd"/>
      <w:r w:rsidRPr="00CC19F7">
        <w:t xml:space="preserve"> forskingsråd, post 55 </w:t>
      </w:r>
      <w:proofErr w:type="spellStart"/>
      <w:r w:rsidRPr="00CC19F7">
        <w:t>Verksemdskostnader</w:t>
      </w:r>
      <w:proofErr w:type="spellEnd"/>
      <w:r w:rsidRPr="00CC19F7">
        <w:t>.</w:t>
      </w:r>
    </w:p>
    <w:p w14:paraId="7294BD0F" w14:textId="77777777" w:rsidR="00FE02EF" w:rsidRPr="00CC19F7" w:rsidRDefault="00881E58" w:rsidP="00CC19F7">
      <w:r w:rsidRPr="00CC19F7">
        <w:t xml:space="preserve">Figur 4.1 viser </w:t>
      </w:r>
      <w:proofErr w:type="spellStart"/>
      <w:r w:rsidRPr="00CC19F7">
        <w:t>dei</w:t>
      </w:r>
      <w:proofErr w:type="spellEnd"/>
      <w:r w:rsidRPr="00CC19F7">
        <w:t xml:space="preserve"> mest sentrale </w:t>
      </w:r>
      <w:proofErr w:type="spellStart"/>
      <w:r w:rsidRPr="00CC19F7">
        <w:t>verkemidla</w:t>
      </w:r>
      <w:proofErr w:type="spellEnd"/>
      <w:r w:rsidRPr="00CC19F7">
        <w:t xml:space="preserve"> </w:t>
      </w:r>
      <w:proofErr w:type="spellStart"/>
      <w:r w:rsidRPr="00CC19F7">
        <w:t>innanfor</w:t>
      </w:r>
      <w:proofErr w:type="spellEnd"/>
      <w:r w:rsidRPr="00CC19F7">
        <w:t xml:space="preserve"> petroleum, energi og CO</w:t>
      </w:r>
      <w:r w:rsidRPr="00CC19F7">
        <w:rPr>
          <w:rStyle w:val="skrift-senket"/>
        </w:rPr>
        <w:t>2</w:t>
      </w:r>
      <w:r w:rsidRPr="00CC19F7">
        <w:t xml:space="preserve">-handtering. </w:t>
      </w:r>
      <w:proofErr w:type="spellStart"/>
      <w:r w:rsidRPr="00CC19F7">
        <w:t>Enova</w:t>
      </w:r>
      <w:proofErr w:type="spellEnd"/>
      <w:r w:rsidRPr="00CC19F7">
        <w:t xml:space="preserve"> SF, som ligg under Klima- og miljødepartementet, er tatt med for å illustrere heile innovasjonskjeda for energi- og </w:t>
      </w:r>
      <w:proofErr w:type="spellStart"/>
      <w:r w:rsidRPr="00CC19F7">
        <w:t>klimateknologiar</w:t>
      </w:r>
      <w:proofErr w:type="spellEnd"/>
      <w:r w:rsidRPr="00CC19F7">
        <w:t>.</w:t>
      </w:r>
    </w:p>
    <w:p w14:paraId="4F25CB6E" w14:textId="0FB3A24F" w:rsidR="00FE02EF" w:rsidRPr="00CC19F7" w:rsidRDefault="00A74556" w:rsidP="00CC19F7">
      <w:r>
        <w:rPr>
          <w:noProof/>
        </w:rPr>
        <w:drawing>
          <wp:inline distT="0" distB="0" distL="0" distR="0" wp14:anchorId="78952D01" wp14:editId="4981B2C2">
            <wp:extent cx="6076950" cy="3238500"/>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6950" cy="3238500"/>
                    </a:xfrm>
                    <a:prstGeom prst="rect">
                      <a:avLst/>
                    </a:prstGeom>
                    <a:noFill/>
                    <a:ln>
                      <a:noFill/>
                    </a:ln>
                  </pic:spPr>
                </pic:pic>
              </a:graphicData>
            </a:graphic>
          </wp:inline>
        </w:drawing>
      </w:r>
    </w:p>
    <w:p w14:paraId="77FA12D9" w14:textId="77777777" w:rsidR="00FE02EF" w:rsidRPr="00CC19F7" w:rsidRDefault="00881E58" w:rsidP="00A74556">
      <w:pPr>
        <w:pStyle w:val="figur-tittel"/>
        <w:numPr>
          <w:ilvl w:val="5"/>
          <w:numId w:val="21"/>
        </w:numPr>
      </w:pPr>
      <w:proofErr w:type="spellStart"/>
      <w:r w:rsidRPr="00CC19F7">
        <w:t>Verkemiddel</w:t>
      </w:r>
      <w:proofErr w:type="spellEnd"/>
      <w:r w:rsidRPr="00CC19F7">
        <w:t xml:space="preserve"> </w:t>
      </w:r>
      <w:proofErr w:type="spellStart"/>
      <w:r w:rsidRPr="00CC19F7">
        <w:t>innanfor</w:t>
      </w:r>
      <w:proofErr w:type="spellEnd"/>
      <w:r w:rsidRPr="00CC19F7">
        <w:t xml:space="preserve"> petroleum, energi og CO</w:t>
      </w:r>
      <w:r w:rsidRPr="00CC19F7">
        <w:rPr>
          <w:rStyle w:val="skrift-senket"/>
        </w:rPr>
        <w:t>2</w:t>
      </w:r>
      <w:r w:rsidRPr="00CC19F7">
        <w:t xml:space="preserve">-handtering i innovasjonskjeda </w:t>
      </w:r>
      <w:proofErr w:type="spellStart"/>
      <w:r w:rsidRPr="00CC19F7">
        <w:t>frå</w:t>
      </w:r>
      <w:proofErr w:type="spellEnd"/>
      <w:r w:rsidRPr="00CC19F7">
        <w:t xml:space="preserve"> strategisk grunnforsking til og med pilotering/demonstrasjon</w:t>
      </w:r>
    </w:p>
    <w:p w14:paraId="4FB21182" w14:textId="77777777" w:rsidR="00FE02EF" w:rsidRPr="00CC19F7" w:rsidRDefault="00881E58" w:rsidP="00CC19F7">
      <w:pPr>
        <w:pStyle w:val="Kilde"/>
      </w:pPr>
      <w:r w:rsidRPr="00CC19F7">
        <w:t>Kjelde: Olje- og energidepartementet</w:t>
      </w:r>
    </w:p>
    <w:p w14:paraId="7D5679AC" w14:textId="77777777" w:rsidR="00FE02EF" w:rsidRPr="00CC19F7" w:rsidRDefault="00881E58" w:rsidP="00CC19F7">
      <w:r w:rsidRPr="00CC19F7">
        <w:t xml:space="preserve">Gjennom program og </w:t>
      </w:r>
      <w:proofErr w:type="spellStart"/>
      <w:r w:rsidRPr="00CC19F7">
        <w:t>aktivitetar</w:t>
      </w:r>
      <w:proofErr w:type="spellEnd"/>
      <w:r w:rsidRPr="00CC19F7">
        <w:t xml:space="preserve"> i Forskingsrådet, Gassnova SF og Nordisk Energiforsking blir langsiktig strategisk forsking, anvend forsking, teknologiutvikling, pilot- og demonstrasjonsprosjekt og </w:t>
      </w:r>
      <w:proofErr w:type="spellStart"/>
      <w:r w:rsidRPr="00CC19F7">
        <w:t>samfunnsfagleg</w:t>
      </w:r>
      <w:proofErr w:type="spellEnd"/>
      <w:r w:rsidRPr="00CC19F7">
        <w:t xml:space="preserve"> forsking </w:t>
      </w:r>
      <w:proofErr w:type="spellStart"/>
      <w:r w:rsidRPr="00CC19F7">
        <w:t>innanfor</w:t>
      </w:r>
      <w:proofErr w:type="spellEnd"/>
      <w:r w:rsidRPr="00CC19F7">
        <w:t xml:space="preserve"> energi, petroleum, CO</w:t>
      </w:r>
      <w:r w:rsidRPr="00CC19F7">
        <w:rPr>
          <w:rStyle w:val="skrift-senket"/>
        </w:rPr>
        <w:t>2</w:t>
      </w:r>
      <w:r w:rsidRPr="00CC19F7">
        <w:t>-handtering og hydrogen finansiert.</w:t>
      </w:r>
    </w:p>
    <w:p w14:paraId="7986A654" w14:textId="77777777" w:rsidR="00FE02EF" w:rsidRPr="00CC19F7" w:rsidRDefault="00881E58" w:rsidP="00CC19F7">
      <w:r w:rsidRPr="00CC19F7">
        <w:t xml:space="preserve">Konkurranseutsetting av </w:t>
      </w:r>
      <w:proofErr w:type="spellStart"/>
      <w:r w:rsidRPr="00CC19F7">
        <w:t>forskingsmidlane</w:t>
      </w:r>
      <w:proofErr w:type="spellEnd"/>
      <w:r w:rsidRPr="00CC19F7">
        <w:t xml:space="preserve"> står sentralt. Det </w:t>
      </w:r>
      <w:proofErr w:type="spellStart"/>
      <w:r w:rsidRPr="00CC19F7">
        <w:t>sikrar</w:t>
      </w:r>
      <w:proofErr w:type="spellEnd"/>
      <w:r w:rsidRPr="00CC19F7">
        <w:t xml:space="preserve"> kvalitet og relevans. Helse, miljø og </w:t>
      </w:r>
      <w:proofErr w:type="spellStart"/>
      <w:r w:rsidRPr="00CC19F7">
        <w:t>sikkerheit</w:t>
      </w:r>
      <w:proofErr w:type="spellEnd"/>
      <w:r w:rsidRPr="00CC19F7">
        <w:t xml:space="preserve"> (HMS) er </w:t>
      </w:r>
      <w:proofErr w:type="spellStart"/>
      <w:r w:rsidRPr="00CC19F7">
        <w:t>ein</w:t>
      </w:r>
      <w:proofErr w:type="spellEnd"/>
      <w:r w:rsidRPr="00CC19F7">
        <w:t xml:space="preserve"> integrert del av programma og </w:t>
      </w:r>
      <w:proofErr w:type="spellStart"/>
      <w:r w:rsidRPr="00CC19F7">
        <w:t>verksemda</w:t>
      </w:r>
      <w:proofErr w:type="spellEnd"/>
      <w:r w:rsidRPr="00CC19F7">
        <w:t>.</w:t>
      </w:r>
    </w:p>
    <w:p w14:paraId="3DA7E59E" w14:textId="77777777" w:rsidR="00FE02EF" w:rsidRPr="00CC19F7" w:rsidRDefault="00881E58" w:rsidP="00CC19F7">
      <w:pPr>
        <w:pStyle w:val="avsnitt-tittel"/>
      </w:pPr>
      <w:r w:rsidRPr="00CC19F7">
        <w:t xml:space="preserve">Mål og </w:t>
      </w:r>
      <w:proofErr w:type="spellStart"/>
      <w:r w:rsidRPr="00CC19F7">
        <w:t>aktivitetar</w:t>
      </w:r>
      <w:proofErr w:type="spellEnd"/>
    </w:p>
    <w:p w14:paraId="6D20B709" w14:textId="77777777" w:rsidR="00FE02EF" w:rsidRPr="00CC19F7" w:rsidRDefault="00881E58" w:rsidP="00CC19F7">
      <w:pPr>
        <w:pStyle w:val="avsnitt-undertittel"/>
      </w:pPr>
      <w:r w:rsidRPr="00CC19F7">
        <w:t xml:space="preserve">Ny </w:t>
      </w:r>
      <w:proofErr w:type="spellStart"/>
      <w:r w:rsidRPr="00CC19F7">
        <w:t>klimavennleg</w:t>
      </w:r>
      <w:proofErr w:type="spellEnd"/>
      <w:r w:rsidRPr="00CC19F7">
        <w:t xml:space="preserve"> energiteknologi</w:t>
      </w:r>
    </w:p>
    <w:p w14:paraId="1B1ACFE7" w14:textId="77777777" w:rsidR="00FE02EF" w:rsidRPr="00CC19F7" w:rsidRDefault="00881E58" w:rsidP="00CC19F7">
      <w:r w:rsidRPr="00CC19F7">
        <w:t xml:space="preserve">Energi21 er </w:t>
      </w:r>
      <w:proofErr w:type="spellStart"/>
      <w:r w:rsidRPr="00CC19F7">
        <w:t>Noregs</w:t>
      </w:r>
      <w:proofErr w:type="spellEnd"/>
      <w:r w:rsidRPr="00CC19F7">
        <w:t xml:space="preserve"> nasjonale strategi for forsking, utvikling og kommersialisering av ny </w:t>
      </w:r>
      <w:proofErr w:type="spellStart"/>
      <w:r w:rsidRPr="00CC19F7">
        <w:t>klimavennleg</w:t>
      </w:r>
      <w:proofErr w:type="spellEnd"/>
      <w:r w:rsidRPr="00CC19F7">
        <w:t xml:space="preserve"> energiteknologi og har mandatet sitt </w:t>
      </w:r>
      <w:proofErr w:type="spellStart"/>
      <w:r w:rsidRPr="00CC19F7">
        <w:t>frå</w:t>
      </w:r>
      <w:proofErr w:type="spellEnd"/>
      <w:r w:rsidRPr="00CC19F7">
        <w:t xml:space="preserve"> Olje- og energidepartementet. Målet er </w:t>
      </w:r>
      <w:proofErr w:type="spellStart"/>
      <w:r w:rsidRPr="00CC19F7">
        <w:t>auka</w:t>
      </w:r>
      <w:proofErr w:type="spellEnd"/>
      <w:r w:rsidRPr="00CC19F7">
        <w:t xml:space="preserve"> verdiskaping og effektiv ressursutnytting i energisektoren gjennom satsing på forsking og innovasjon. Energi21 gir råd til departementet om innretning og prioritering av forskings- og utviklingsinnsatsen som bør </w:t>
      </w:r>
      <w:proofErr w:type="spellStart"/>
      <w:r w:rsidRPr="00CC19F7">
        <w:t>gjennomførast</w:t>
      </w:r>
      <w:proofErr w:type="spellEnd"/>
      <w:r w:rsidRPr="00CC19F7">
        <w:t xml:space="preserve">. Strategien skal bidra til </w:t>
      </w:r>
      <w:proofErr w:type="spellStart"/>
      <w:r w:rsidRPr="00CC19F7">
        <w:t>eit</w:t>
      </w:r>
      <w:proofErr w:type="spellEnd"/>
      <w:r w:rsidRPr="00CC19F7">
        <w:t xml:space="preserve"> </w:t>
      </w:r>
      <w:proofErr w:type="spellStart"/>
      <w:r w:rsidRPr="00CC19F7">
        <w:t>meir</w:t>
      </w:r>
      <w:proofErr w:type="spellEnd"/>
      <w:r w:rsidRPr="00CC19F7">
        <w:t xml:space="preserve"> samordna og større engasjement i næringslivet når det </w:t>
      </w:r>
      <w:proofErr w:type="spellStart"/>
      <w:r w:rsidRPr="00CC19F7">
        <w:t>gjeld</w:t>
      </w:r>
      <w:proofErr w:type="spellEnd"/>
      <w:r w:rsidRPr="00CC19F7">
        <w:t xml:space="preserve"> forsking, teknologiutvikling, demonstrasjon og kommersialisering av </w:t>
      </w:r>
      <w:proofErr w:type="spellStart"/>
      <w:r w:rsidRPr="00CC19F7">
        <w:t>klimavennleg</w:t>
      </w:r>
      <w:proofErr w:type="spellEnd"/>
      <w:r w:rsidRPr="00CC19F7">
        <w:t xml:space="preserve"> energiteknologi for heile energisektoren, inkludert stasjonære formål og transport. Energi21 skal også </w:t>
      </w:r>
      <w:proofErr w:type="spellStart"/>
      <w:r w:rsidRPr="00CC19F7">
        <w:t>vere</w:t>
      </w:r>
      <w:proofErr w:type="spellEnd"/>
      <w:r w:rsidRPr="00CC19F7">
        <w:t xml:space="preserve"> retta mot kunnskapsoppbygging som kan </w:t>
      </w:r>
      <w:proofErr w:type="spellStart"/>
      <w:r w:rsidRPr="00CC19F7">
        <w:t>gjere</w:t>
      </w:r>
      <w:proofErr w:type="spellEnd"/>
      <w:r w:rsidRPr="00CC19F7">
        <w:t xml:space="preserve"> </w:t>
      </w:r>
      <w:proofErr w:type="spellStart"/>
      <w:r w:rsidRPr="00CC19F7">
        <w:t>Noreg</w:t>
      </w:r>
      <w:proofErr w:type="spellEnd"/>
      <w:r w:rsidRPr="00CC19F7">
        <w:t xml:space="preserve"> til </w:t>
      </w:r>
      <w:proofErr w:type="spellStart"/>
      <w:r w:rsidRPr="00CC19F7">
        <w:t>ein</w:t>
      </w:r>
      <w:proofErr w:type="spellEnd"/>
      <w:r w:rsidRPr="00CC19F7">
        <w:t xml:space="preserve"> viktig leverandør av </w:t>
      </w:r>
      <w:proofErr w:type="spellStart"/>
      <w:r w:rsidRPr="00CC19F7">
        <w:t>miljøvennlege</w:t>
      </w:r>
      <w:proofErr w:type="spellEnd"/>
      <w:r w:rsidRPr="00CC19F7">
        <w:t xml:space="preserve"> </w:t>
      </w:r>
      <w:proofErr w:type="spellStart"/>
      <w:r w:rsidRPr="00CC19F7">
        <w:t>energiløysingar</w:t>
      </w:r>
      <w:proofErr w:type="spellEnd"/>
      <w:r w:rsidRPr="00CC19F7">
        <w:t xml:space="preserve">, </w:t>
      </w:r>
      <w:proofErr w:type="spellStart"/>
      <w:r w:rsidRPr="00CC19F7">
        <w:t>systemtenester</w:t>
      </w:r>
      <w:proofErr w:type="spellEnd"/>
      <w:r w:rsidRPr="00CC19F7">
        <w:t>, kunnskap og teknologi internasjonalt.</w:t>
      </w:r>
    </w:p>
    <w:p w14:paraId="6EA69FAA" w14:textId="77777777" w:rsidR="00FE02EF" w:rsidRPr="00CC19F7" w:rsidRDefault="00881E58" w:rsidP="00CC19F7">
      <w:r w:rsidRPr="00CC19F7">
        <w:t>Med utgangspunkt i visjonen «</w:t>
      </w:r>
      <w:proofErr w:type="spellStart"/>
      <w:r w:rsidRPr="00CC19F7">
        <w:t>Vidareutvikle</w:t>
      </w:r>
      <w:proofErr w:type="spellEnd"/>
      <w:r w:rsidRPr="00CC19F7">
        <w:t xml:space="preserve"> Europas beste energisystem», </w:t>
      </w:r>
      <w:proofErr w:type="spellStart"/>
      <w:r w:rsidRPr="00CC19F7">
        <w:t>peikar</w:t>
      </w:r>
      <w:proofErr w:type="spellEnd"/>
      <w:r w:rsidRPr="00CC19F7">
        <w:t xml:space="preserve"> Energi21 på </w:t>
      </w:r>
      <w:proofErr w:type="spellStart"/>
      <w:r w:rsidRPr="00CC19F7">
        <w:t>dei</w:t>
      </w:r>
      <w:proofErr w:type="spellEnd"/>
      <w:r w:rsidRPr="00CC19F7">
        <w:t xml:space="preserve"> tre </w:t>
      </w:r>
      <w:proofErr w:type="spellStart"/>
      <w:r w:rsidRPr="00CC19F7">
        <w:t>viktigaste</w:t>
      </w:r>
      <w:proofErr w:type="spellEnd"/>
      <w:r w:rsidRPr="00CC19F7">
        <w:t xml:space="preserve"> </w:t>
      </w:r>
      <w:proofErr w:type="spellStart"/>
      <w:r w:rsidRPr="00CC19F7">
        <w:t>føresetnadene</w:t>
      </w:r>
      <w:proofErr w:type="spellEnd"/>
      <w:r w:rsidRPr="00CC19F7">
        <w:t xml:space="preserve"> for å oppnå visjonen i strategien:</w:t>
      </w:r>
    </w:p>
    <w:p w14:paraId="0948394B" w14:textId="77777777" w:rsidR="00FE02EF" w:rsidRPr="00CC19F7" w:rsidRDefault="00881E58" w:rsidP="00CC19F7">
      <w:pPr>
        <w:pStyle w:val="Nummerertliste"/>
      </w:pPr>
      <w:r w:rsidRPr="00CC19F7">
        <w:t>avkarbonisering av transport og industri</w:t>
      </w:r>
    </w:p>
    <w:p w14:paraId="32CAA187" w14:textId="77777777" w:rsidR="00FE02EF" w:rsidRPr="00CC19F7" w:rsidRDefault="00881E58" w:rsidP="00CC19F7">
      <w:pPr>
        <w:pStyle w:val="Nummerertliste"/>
      </w:pPr>
      <w:r w:rsidRPr="00CC19F7">
        <w:t xml:space="preserve">sikker, konkurransedyktig og </w:t>
      </w:r>
      <w:proofErr w:type="spellStart"/>
      <w:r w:rsidRPr="00CC19F7">
        <w:t>miljøvennleg</w:t>
      </w:r>
      <w:proofErr w:type="spellEnd"/>
      <w:r w:rsidRPr="00CC19F7">
        <w:t xml:space="preserve"> energiforsyning</w:t>
      </w:r>
    </w:p>
    <w:p w14:paraId="22A38320" w14:textId="77777777" w:rsidR="00FE02EF" w:rsidRPr="00CC19F7" w:rsidRDefault="00881E58" w:rsidP="00CC19F7">
      <w:pPr>
        <w:pStyle w:val="Nummerertliste"/>
      </w:pPr>
      <w:r w:rsidRPr="00CC19F7">
        <w:t xml:space="preserve">utvikling av nye </w:t>
      </w:r>
      <w:proofErr w:type="spellStart"/>
      <w:r w:rsidRPr="00CC19F7">
        <w:t>grøne</w:t>
      </w:r>
      <w:proofErr w:type="spellEnd"/>
      <w:r w:rsidRPr="00CC19F7">
        <w:t xml:space="preserve"> </w:t>
      </w:r>
      <w:proofErr w:type="spellStart"/>
      <w:r w:rsidRPr="00CC19F7">
        <w:t>industriar</w:t>
      </w:r>
      <w:proofErr w:type="spellEnd"/>
      <w:r w:rsidRPr="00CC19F7">
        <w:t xml:space="preserve"> og marine </w:t>
      </w:r>
      <w:proofErr w:type="spellStart"/>
      <w:r w:rsidRPr="00CC19F7">
        <w:t>energiteknologiar</w:t>
      </w:r>
      <w:proofErr w:type="spellEnd"/>
    </w:p>
    <w:p w14:paraId="75EA163F" w14:textId="77777777" w:rsidR="00FE02EF" w:rsidRPr="00CC19F7" w:rsidRDefault="00881E58" w:rsidP="00CC19F7">
      <w:r w:rsidRPr="00CC19F7">
        <w:t>Strategien trekker fram åtte prioriterte satsingsområde: havvind, hydrogen, solenergi, CO</w:t>
      </w:r>
      <w:r w:rsidRPr="00CC19F7">
        <w:rPr>
          <w:rStyle w:val="skrift-senket"/>
        </w:rPr>
        <w:t>2</w:t>
      </w:r>
      <w:r w:rsidRPr="00CC19F7">
        <w:t xml:space="preserve">-handtering, batteri og vasskraft, og </w:t>
      </w:r>
      <w:proofErr w:type="spellStart"/>
      <w:r w:rsidRPr="00CC19F7">
        <w:t>dessutan</w:t>
      </w:r>
      <w:proofErr w:type="spellEnd"/>
      <w:r w:rsidRPr="00CC19F7">
        <w:t xml:space="preserve"> satsingsområda «Integrerte og effektive energisystem» og «</w:t>
      </w:r>
      <w:proofErr w:type="spellStart"/>
      <w:r w:rsidRPr="00CC19F7">
        <w:t>Energimarknader</w:t>
      </w:r>
      <w:proofErr w:type="spellEnd"/>
      <w:r w:rsidRPr="00CC19F7">
        <w:t xml:space="preserve"> og regulering», som blir løfta fram spesielt. Området «Integrerte og effektive energisystem» er </w:t>
      </w:r>
      <w:proofErr w:type="spellStart"/>
      <w:r w:rsidRPr="00CC19F7">
        <w:t>berebjelken</w:t>
      </w:r>
      <w:proofErr w:type="spellEnd"/>
      <w:r w:rsidRPr="00CC19F7">
        <w:t xml:space="preserve"> i den </w:t>
      </w:r>
      <w:proofErr w:type="spellStart"/>
      <w:r w:rsidRPr="00CC19F7">
        <w:t>grøne</w:t>
      </w:r>
      <w:proofErr w:type="spellEnd"/>
      <w:r w:rsidRPr="00CC19F7">
        <w:t xml:space="preserve"> omstillinga i samfunnet. Området har </w:t>
      </w:r>
      <w:proofErr w:type="spellStart"/>
      <w:r w:rsidRPr="00CC19F7">
        <w:t>mykje</w:t>
      </w:r>
      <w:proofErr w:type="spellEnd"/>
      <w:r w:rsidRPr="00CC19F7">
        <w:t xml:space="preserve"> å </w:t>
      </w:r>
      <w:proofErr w:type="spellStart"/>
      <w:r w:rsidRPr="00CC19F7">
        <w:t>seie</w:t>
      </w:r>
      <w:proofErr w:type="spellEnd"/>
      <w:r w:rsidRPr="00CC19F7">
        <w:t xml:space="preserve"> for framtidig </w:t>
      </w:r>
      <w:proofErr w:type="spellStart"/>
      <w:r w:rsidRPr="00CC19F7">
        <w:t>forsyningssikkerheit</w:t>
      </w:r>
      <w:proofErr w:type="spellEnd"/>
      <w:r w:rsidRPr="00CC19F7">
        <w:t xml:space="preserve">, integrasjon av klimavennlege </w:t>
      </w:r>
      <w:proofErr w:type="spellStart"/>
      <w:r w:rsidRPr="00CC19F7">
        <w:t>løysingar</w:t>
      </w:r>
      <w:proofErr w:type="spellEnd"/>
      <w:r w:rsidRPr="00CC19F7">
        <w:t xml:space="preserve"> og verdiskaping i samfunnet, i tillegg til </w:t>
      </w:r>
      <w:proofErr w:type="spellStart"/>
      <w:r w:rsidRPr="00CC19F7">
        <w:t>berekraftig</w:t>
      </w:r>
      <w:proofErr w:type="spellEnd"/>
      <w:r w:rsidRPr="00CC19F7">
        <w:t xml:space="preserve"> energiforsyning. Satsingsområdet «</w:t>
      </w:r>
      <w:proofErr w:type="spellStart"/>
      <w:r w:rsidRPr="00CC19F7">
        <w:t>Energimarknader</w:t>
      </w:r>
      <w:proofErr w:type="spellEnd"/>
      <w:r w:rsidRPr="00CC19F7">
        <w:t xml:space="preserve"> og regulering» </w:t>
      </w:r>
      <w:proofErr w:type="spellStart"/>
      <w:r w:rsidRPr="00CC19F7">
        <w:t>omfattar</w:t>
      </w:r>
      <w:proofErr w:type="spellEnd"/>
      <w:r w:rsidRPr="00CC19F7">
        <w:t xml:space="preserve"> </w:t>
      </w:r>
      <w:proofErr w:type="spellStart"/>
      <w:r w:rsidRPr="00CC19F7">
        <w:t>problemstillingar</w:t>
      </w:r>
      <w:proofErr w:type="spellEnd"/>
      <w:r w:rsidRPr="00CC19F7">
        <w:t xml:space="preserve"> </w:t>
      </w:r>
      <w:proofErr w:type="spellStart"/>
      <w:r w:rsidRPr="00CC19F7">
        <w:t>innan</w:t>
      </w:r>
      <w:proofErr w:type="spellEnd"/>
      <w:r w:rsidRPr="00CC19F7">
        <w:t xml:space="preserve"> samfunnskunnskap, </w:t>
      </w:r>
      <w:proofErr w:type="spellStart"/>
      <w:r w:rsidRPr="00CC19F7">
        <w:t>marknadsdesign</w:t>
      </w:r>
      <w:proofErr w:type="spellEnd"/>
      <w:r w:rsidRPr="00CC19F7">
        <w:t>, juridisk tematikk og regulering.</w:t>
      </w:r>
    </w:p>
    <w:p w14:paraId="306474DC" w14:textId="6E3B3B40" w:rsidR="00FE02EF" w:rsidRDefault="00881E58" w:rsidP="00CC19F7">
      <w:r w:rsidRPr="00CC19F7">
        <w:t xml:space="preserve">Plasseringa av Energi21 i forskings- og innovasjonssystemet under Olje- og energidepartementet er illustrert i figur 4.1. Med bakgrunn i utviklinga til energisystemet og </w:t>
      </w:r>
      <w:proofErr w:type="spellStart"/>
      <w:r w:rsidRPr="00CC19F7">
        <w:t>auka</w:t>
      </w:r>
      <w:proofErr w:type="spellEnd"/>
      <w:r w:rsidRPr="00CC19F7">
        <w:t xml:space="preserve"> sektorkopling er det behov for finansiering og </w:t>
      </w:r>
      <w:proofErr w:type="spellStart"/>
      <w:r w:rsidRPr="00CC19F7">
        <w:t>verkemiddel</w:t>
      </w:r>
      <w:proofErr w:type="spellEnd"/>
      <w:r w:rsidRPr="00CC19F7">
        <w:t xml:space="preserve"> </w:t>
      </w:r>
      <w:proofErr w:type="spellStart"/>
      <w:r w:rsidRPr="00CC19F7">
        <w:t>frå</w:t>
      </w:r>
      <w:proofErr w:type="spellEnd"/>
      <w:r w:rsidRPr="00CC19F7">
        <w:t xml:space="preserve"> </w:t>
      </w:r>
      <w:proofErr w:type="spellStart"/>
      <w:r w:rsidRPr="00CC19F7">
        <w:t>fleire</w:t>
      </w:r>
      <w:proofErr w:type="spellEnd"/>
      <w:r w:rsidRPr="00CC19F7">
        <w:t xml:space="preserve"> departement til energiområdet.</w:t>
      </w:r>
    </w:p>
    <w:p w14:paraId="715CFE0F" w14:textId="178B7060" w:rsidR="00A74556" w:rsidRPr="00CC19F7" w:rsidRDefault="00A74556" w:rsidP="00A74556">
      <w:pPr>
        <w:pStyle w:val="tabell-tittel"/>
      </w:pPr>
      <w:r w:rsidRPr="00CC19F7">
        <w:t xml:space="preserve">Program og </w:t>
      </w:r>
      <w:proofErr w:type="spellStart"/>
      <w:r w:rsidRPr="00CC19F7">
        <w:t>verkemiddel</w:t>
      </w:r>
      <w:proofErr w:type="spellEnd"/>
      <w:r w:rsidRPr="00CC19F7">
        <w:t xml:space="preserve"> som skal bidra til å nå måla i Energi21-strategien</w:t>
      </w:r>
    </w:p>
    <w:p w14:paraId="18E3ED12" w14:textId="77777777" w:rsidR="00FE02EF" w:rsidRPr="00CC19F7" w:rsidRDefault="00881E58" w:rsidP="00CC19F7">
      <w:pPr>
        <w:pStyle w:val="Tabellnavn"/>
      </w:pPr>
      <w:r w:rsidRPr="00CC19F7">
        <w:t>02J1xx2</w:t>
      </w:r>
    </w:p>
    <w:tbl>
      <w:tblPr>
        <w:tblW w:w="9580" w:type="dxa"/>
        <w:tblInd w:w="43" w:type="dxa"/>
        <w:tblLayout w:type="fixed"/>
        <w:tblCellMar>
          <w:top w:w="128" w:type="dxa"/>
          <w:left w:w="43" w:type="dxa"/>
          <w:bottom w:w="43" w:type="dxa"/>
          <w:right w:w="43" w:type="dxa"/>
        </w:tblCellMar>
        <w:tblLook w:val="0000" w:firstRow="0" w:lastRow="0" w:firstColumn="0" w:lastColumn="0" w:noHBand="0" w:noVBand="0"/>
      </w:tblPr>
      <w:tblGrid>
        <w:gridCol w:w="2367"/>
        <w:gridCol w:w="7213"/>
      </w:tblGrid>
      <w:tr w:rsidR="00FE02EF" w:rsidRPr="00CC19F7" w14:paraId="7E5BC746" w14:textId="77777777" w:rsidTr="00A74556">
        <w:trPr>
          <w:trHeight w:val="360"/>
        </w:trPr>
        <w:tc>
          <w:tcPr>
            <w:tcW w:w="236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FC608F7" w14:textId="77777777" w:rsidR="00FE02EF" w:rsidRPr="00CC19F7" w:rsidRDefault="00881E58" w:rsidP="00CC19F7">
            <w:r w:rsidRPr="00CC19F7">
              <w:t>Program/</w:t>
            </w:r>
            <w:proofErr w:type="spellStart"/>
            <w:r w:rsidRPr="00CC19F7">
              <w:t>verkemiddel</w:t>
            </w:r>
            <w:proofErr w:type="spellEnd"/>
          </w:p>
        </w:tc>
        <w:tc>
          <w:tcPr>
            <w:tcW w:w="7213"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B52B0F8" w14:textId="77777777" w:rsidR="00FE02EF" w:rsidRPr="00CC19F7" w:rsidRDefault="00881E58" w:rsidP="00CC19F7">
            <w:r w:rsidRPr="00CC19F7">
              <w:t>Om</w:t>
            </w:r>
          </w:p>
        </w:tc>
      </w:tr>
      <w:tr w:rsidR="00FE02EF" w:rsidRPr="00CC19F7" w14:paraId="38E3BE29" w14:textId="77777777" w:rsidTr="00A74556">
        <w:trPr>
          <w:trHeight w:val="3960"/>
        </w:trPr>
        <w:tc>
          <w:tcPr>
            <w:tcW w:w="2367" w:type="dxa"/>
            <w:tcBorders>
              <w:top w:val="single" w:sz="4" w:space="0" w:color="000000"/>
              <w:left w:val="nil"/>
              <w:bottom w:val="single" w:sz="4" w:space="0" w:color="000000"/>
              <w:right w:val="nil"/>
            </w:tcBorders>
            <w:tcMar>
              <w:top w:w="128" w:type="dxa"/>
              <w:left w:w="43" w:type="dxa"/>
              <w:bottom w:w="43" w:type="dxa"/>
              <w:right w:w="43" w:type="dxa"/>
            </w:tcMar>
          </w:tcPr>
          <w:p w14:paraId="21F8B694" w14:textId="47F310E8" w:rsidR="00FE02EF" w:rsidRPr="00CC19F7" w:rsidRDefault="00881E58" w:rsidP="00CC19F7">
            <w:r w:rsidRPr="00CC19F7">
              <w:t xml:space="preserve">ENERGIX – utvikling </w:t>
            </w:r>
            <w:r w:rsidRPr="00CC19F7">
              <w:br/>
              <w:t xml:space="preserve">av </w:t>
            </w:r>
            <w:proofErr w:type="spellStart"/>
            <w:r w:rsidRPr="00CC19F7">
              <w:t>eit</w:t>
            </w:r>
            <w:proofErr w:type="spellEnd"/>
            <w:r w:rsidRPr="00CC19F7">
              <w:t xml:space="preserve"> </w:t>
            </w:r>
            <w:proofErr w:type="spellStart"/>
            <w:r w:rsidRPr="00CC19F7">
              <w:t>heilskapleg</w:t>
            </w:r>
            <w:proofErr w:type="spellEnd"/>
            <w:r w:rsidRPr="00CC19F7">
              <w:t xml:space="preserve"> </w:t>
            </w:r>
            <w:r w:rsidR="00A74556">
              <w:br/>
            </w:r>
            <w:r w:rsidRPr="00CC19F7">
              <w:t>energisystem</w:t>
            </w:r>
          </w:p>
        </w:tc>
        <w:tc>
          <w:tcPr>
            <w:tcW w:w="7213" w:type="dxa"/>
            <w:tcBorders>
              <w:top w:val="single" w:sz="4" w:space="0" w:color="000000"/>
              <w:left w:val="nil"/>
              <w:bottom w:val="single" w:sz="4" w:space="0" w:color="000000"/>
              <w:right w:val="nil"/>
            </w:tcBorders>
            <w:tcMar>
              <w:top w:w="128" w:type="dxa"/>
              <w:left w:w="43" w:type="dxa"/>
              <w:bottom w:w="43" w:type="dxa"/>
              <w:right w:w="43" w:type="dxa"/>
            </w:tcMar>
          </w:tcPr>
          <w:p w14:paraId="5D80FFD7" w14:textId="788B2EEA" w:rsidR="00FE02EF" w:rsidRPr="00CC19F7" w:rsidRDefault="00881E58" w:rsidP="00CC19F7">
            <w:r w:rsidRPr="00CC19F7">
              <w:t xml:space="preserve">Programmet </w:t>
            </w:r>
            <w:proofErr w:type="spellStart"/>
            <w:r w:rsidRPr="00CC19F7">
              <w:t>støttar</w:t>
            </w:r>
            <w:proofErr w:type="spellEnd"/>
            <w:r w:rsidRPr="00CC19F7">
              <w:t xml:space="preserve"> ei langsiktig og </w:t>
            </w:r>
            <w:proofErr w:type="spellStart"/>
            <w:r w:rsidRPr="00CC19F7">
              <w:t>berekraftig</w:t>
            </w:r>
            <w:proofErr w:type="spellEnd"/>
            <w:r w:rsidRPr="00CC19F7">
              <w:t xml:space="preserve"> utvikling av energisystemet og skal bidra til omstilling til </w:t>
            </w:r>
            <w:proofErr w:type="spellStart"/>
            <w:r w:rsidRPr="00CC19F7">
              <w:t>lågutsleppssamfunnet</w:t>
            </w:r>
            <w:proofErr w:type="spellEnd"/>
            <w:r w:rsidRPr="00CC19F7">
              <w:t xml:space="preserve">. Programmet </w:t>
            </w:r>
            <w:proofErr w:type="spellStart"/>
            <w:r w:rsidRPr="00CC19F7">
              <w:t>femner</w:t>
            </w:r>
            <w:proofErr w:type="spellEnd"/>
            <w:r w:rsidRPr="00CC19F7">
              <w:t xml:space="preserve"> breitt og dekker alle </w:t>
            </w:r>
            <w:proofErr w:type="spellStart"/>
            <w:r w:rsidRPr="00CC19F7">
              <w:t>bransjar</w:t>
            </w:r>
            <w:proofErr w:type="spellEnd"/>
            <w:r w:rsidRPr="00CC19F7">
              <w:t xml:space="preserve">, </w:t>
            </w:r>
            <w:proofErr w:type="spellStart"/>
            <w:r w:rsidRPr="00CC19F7">
              <w:t>næringar</w:t>
            </w:r>
            <w:proofErr w:type="spellEnd"/>
            <w:r w:rsidRPr="00CC19F7">
              <w:t xml:space="preserve"> og </w:t>
            </w:r>
            <w:proofErr w:type="spellStart"/>
            <w:r w:rsidRPr="00CC19F7">
              <w:t>samfunnssektorar</w:t>
            </w:r>
            <w:proofErr w:type="spellEnd"/>
            <w:r w:rsidRPr="00CC19F7">
              <w:t xml:space="preserve"> som produserer varme eller elektrisitet, </w:t>
            </w:r>
            <w:proofErr w:type="spellStart"/>
            <w:r w:rsidRPr="00CC19F7">
              <w:t>utviklar</w:t>
            </w:r>
            <w:proofErr w:type="spellEnd"/>
            <w:r w:rsidRPr="00CC19F7">
              <w:t xml:space="preserve"> og </w:t>
            </w:r>
            <w:proofErr w:type="spellStart"/>
            <w:r w:rsidRPr="00CC19F7">
              <w:t>driftar</w:t>
            </w:r>
            <w:proofErr w:type="spellEnd"/>
            <w:r w:rsidRPr="00CC19F7">
              <w:t xml:space="preserve"> infrastruktur for energidistribusjon, bruker fornybar energi og </w:t>
            </w:r>
            <w:proofErr w:type="spellStart"/>
            <w:r w:rsidRPr="00CC19F7">
              <w:t>utviklar</w:t>
            </w:r>
            <w:proofErr w:type="spellEnd"/>
            <w:r w:rsidRPr="00CC19F7">
              <w:t xml:space="preserve"> og </w:t>
            </w:r>
            <w:proofErr w:type="spellStart"/>
            <w:r w:rsidRPr="00CC19F7">
              <w:t>nyttar</w:t>
            </w:r>
            <w:proofErr w:type="spellEnd"/>
            <w:r w:rsidRPr="00CC19F7">
              <w:t xml:space="preserve"> kunnskap og </w:t>
            </w:r>
            <w:proofErr w:type="spellStart"/>
            <w:r w:rsidRPr="00CC19F7">
              <w:t>løysingar</w:t>
            </w:r>
            <w:proofErr w:type="spellEnd"/>
            <w:r w:rsidRPr="00CC19F7">
              <w:t xml:space="preserve"> for redusert energibruk eller omlegging til fornybar energibruk i bygg, område, transport og industri. Målet er at </w:t>
            </w:r>
            <w:proofErr w:type="spellStart"/>
            <w:r w:rsidRPr="00CC19F7">
              <w:t>Noreg</w:t>
            </w:r>
            <w:proofErr w:type="spellEnd"/>
            <w:r w:rsidRPr="00CC19F7">
              <w:t xml:space="preserve"> har nok fornybar energi og </w:t>
            </w:r>
            <w:proofErr w:type="spellStart"/>
            <w:r w:rsidRPr="00CC19F7">
              <w:t>eit</w:t>
            </w:r>
            <w:proofErr w:type="spellEnd"/>
            <w:r w:rsidRPr="00CC19F7">
              <w:t xml:space="preserve"> sikkert, </w:t>
            </w:r>
            <w:proofErr w:type="gramStart"/>
            <w:r w:rsidRPr="00CC19F7">
              <w:t>robust</w:t>
            </w:r>
            <w:proofErr w:type="gramEnd"/>
            <w:r w:rsidRPr="00CC19F7">
              <w:t xml:space="preserve"> og fleksibelt energisystem, at samfunnet er klimanøytralt og tar vare på </w:t>
            </w:r>
            <w:proofErr w:type="spellStart"/>
            <w:r w:rsidRPr="00CC19F7">
              <w:t>naturmangfald</w:t>
            </w:r>
            <w:proofErr w:type="spellEnd"/>
            <w:r w:rsidRPr="00CC19F7">
              <w:t xml:space="preserve">, og at omstillinga skjer kunnskapsbasert, </w:t>
            </w:r>
            <w:proofErr w:type="spellStart"/>
            <w:r w:rsidRPr="00CC19F7">
              <w:t>inkluderande</w:t>
            </w:r>
            <w:proofErr w:type="spellEnd"/>
            <w:r w:rsidRPr="00CC19F7">
              <w:t xml:space="preserve"> og rettferdig. Satsinga skal også bidra til at </w:t>
            </w:r>
            <w:proofErr w:type="spellStart"/>
            <w:r w:rsidRPr="00CC19F7">
              <w:t>vitskaplege</w:t>
            </w:r>
            <w:proofErr w:type="spellEnd"/>
            <w:r w:rsidRPr="00CC19F7">
              <w:t xml:space="preserve"> miljø </w:t>
            </w:r>
            <w:proofErr w:type="spellStart"/>
            <w:r w:rsidRPr="00CC19F7">
              <w:t>innanfor</w:t>
            </w:r>
            <w:proofErr w:type="spellEnd"/>
            <w:r w:rsidRPr="00CC19F7">
              <w:t xml:space="preserve"> energi og transport er relevante og framifrå. Satsinga </w:t>
            </w:r>
            <w:proofErr w:type="spellStart"/>
            <w:r w:rsidRPr="00CC19F7">
              <w:t>gjer</w:t>
            </w:r>
            <w:proofErr w:type="spellEnd"/>
            <w:r w:rsidRPr="00CC19F7">
              <w:t xml:space="preserve"> bruk av </w:t>
            </w:r>
            <w:proofErr w:type="spellStart"/>
            <w:r w:rsidRPr="00CC19F7">
              <w:t>eit</w:t>
            </w:r>
            <w:proofErr w:type="spellEnd"/>
            <w:r w:rsidRPr="00CC19F7">
              <w:t xml:space="preserve"> breitt spekter av </w:t>
            </w:r>
            <w:proofErr w:type="spellStart"/>
            <w:r w:rsidRPr="00CC19F7">
              <w:t>søknadstypar</w:t>
            </w:r>
            <w:proofErr w:type="spellEnd"/>
            <w:r w:rsidRPr="00CC19F7">
              <w:t xml:space="preserve"> i heile innovasjonskjeda </w:t>
            </w:r>
            <w:proofErr w:type="spellStart"/>
            <w:r w:rsidRPr="00CC19F7">
              <w:t>frå</w:t>
            </w:r>
            <w:proofErr w:type="spellEnd"/>
            <w:r w:rsidRPr="00CC19F7">
              <w:t xml:space="preserve"> </w:t>
            </w:r>
            <w:proofErr w:type="spellStart"/>
            <w:r w:rsidRPr="00CC19F7">
              <w:t>grunnleggande</w:t>
            </w:r>
            <w:proofErr w:type="spellEnd"/>
            <w:r w:rsidRPr="00CC19F7">
              <w:t xml:space="preserve"> energiforsking til innovasjonsprosjekt. </w:t>
            </w:r>
            <w:proofErr w:type="spellStart"/>
            <w:r w:rsidRPr="00CC19F7">
              <w:t>Ein</w:t>
            </w:r>
            <w:proofErr w:type="spellEnd"/>
            <w:r w:rsidRPr="00CC19F7">
              <w:t xml:space="preserve"> stor del av innsatsen blir retta mot innovasjon og kunnskapsbygging som er relevant for næringslivet, for å sikre at </w:t>
            </w:r>
            <w:proofErr w:type="spellStart"/>
            <w:r w:rsidRPr="00CC19F7">
              <w:t>eksisterande</w:t>
            </w:r>
            <w:proofErr w:type="spellEnd"/>
            <w:r w:rsidRPr="00CC19F7">
              <w:t xml:space="preserve"> og nytt næringsliv </w:t>
            </w:r>
            <w:proofErr w:type="spellStart"/>
            <w:r w:rsidRPr="00CC19F7">
              <w:t>innan</w:t>
            </w:r>
            <w:proofErr w:type="spellEnd"/>
            <w:r w:rsidRPr="00CC19F7">
              <w:t xml:space="preserve"> energi er konkurranse- og omstillingsdyktig.</w:t>
            </w:r>
          </w:p>
        </w:tc>
      </w:tr>
      <w:tr w:rsidR="00FE02EF" w:rsidRPr="00CC19F7" w14:paraId="691D5D44" w14:textId="77777777" w:rsidTr="00A74556">
        <w:trPr>
          <w:trHeight w:val="2940"/>
        </w:trPr>
        <w:tc>
          <w:tcPr>
            <w:tcW w:w="2367" w:type="dxa"/>
            <w:tcBorders>
              <w:top w:val="single" w:sz="4" w:space="0" w:color="000000"/>
              <w:left w:val="nil"/>
              <w:bottom w:val="single" w:sz="4" w:space="0" w:color="000000"/>
              <w:right w:val="nil"/>
            </w:tcBorders>
            <w:tcMar>
              <w:top w:w="128" w:type="dxa"/>
              <w:left w:w="43" w:type="dxa"/>
              <w:bottom w:w="43" w:type="dxa"/>
              <w:right w:w="43" w:type="dxa"/>
            </w:tcMar>
          </w:tcPr>
          <w:p w14:paraId="140309AF" w14:textId="77777777" w:rsidR="00FE02EF" w:rsidRPr="00CC19F7" w:rsidRDefault="00881E58" w:rsidP="00CC19F7">
            <w:r w:rsidRPr="00CC19F7">
              <w:t xml:space="preserve">Forskingssenter for </w:t>
            </w:r>
            <w:proofErr w:type="spellStart"/>
            <w:r w:rsidRPr="00CC19F7">
              <w:t>miljøvennleg</w:t>
            </w:r>
            <w:proofErr w:type="spellEnd"/>
            <w:r w:rsidRPr="00CC19F7">
              <w:t xml:space="preserve"> energi (FME) </w:t>
            </w:r>
          </w:p>
        </w:tc>
        <w:tc>
          <w:tcPr>
            <w:tcW w:w="7213" w:type="dxa"/>
            <w:tcBorders>
              <w:top w:val="single" w:sz="4" w:space="0" w:color="000000"/>
              <w:left w:val="nil"/>
              <w:bottom w:val="single" w:sz="4" w:space="0" w:color="000000"/>
              <w:right w:val="nil"/>
            </w:tcBorders>
            <w:tcMar>
              <w:top w:w="128" w:type="dxa"/>
              <w:left w:w="43" w:type="dxa"/>
              <w:bottom w:w="43" w:type="dxa"/>
              <w:right w:w="43" w:type="dxa"/>
            </w:tcMar>
          </w:tcPr>
          <w:p w14:paraId="5397296F" w14:textId="0E93C02C" w:rsidR="00FE02EF" w:rsidRPr="00CC19F7" w:rsidRDefault="00881E58" w:rsidP="00CC19F7">
            <w:proofErr w:type="spellStart"/>
            <w:r w:rsidRPr="00CC19F7">
              <w:t>Sentera</w:t>
            </w:r>
            <w:proofErr w:type="spellEnd"/>
            <w:r w:rsidRPr="00CC19F7">
              <w:t xml:space="preserve"> arbeider med forsking som er retta mot fornybar energi, energieffektivisering, CO</w:t>
            </w:r>
            <w:r w:rsidRPr="00CC19F7">
              <w:rPr>
                <w:rStyle w:val="skrift-senket"/>
              </w:rPr>
              <w:t>2</w:t>
            </w:r>
            <w:r w:rsidRPr="00CC19F7">
              <w:t xml:space="preserve">-handtering og </w:t>
            </w:r>
            <w:proofErr w:type="spellStart"/>
            <w:r w:rsidRPr="00CC19F7">
              <w:t>samfunnsvitskaplege</w:t>
            </w:r>
            <w:proofErr w:type="spellEnd"/>
            <w:r w:rsidRPr="00CC19F7">
              <w:t xml:space="preserve"> </w:t>
            </w:r>
            <w:proofErr w:type="spellStart"/>
            <w:r w:rsidRPr="00CC19F7">
              <w:t>problemstillingar</w:t>
            </w:r>
            <w:proofErr w:type="spellEnd"/>
            <w:r w:rsidRPr="00CC19F7">
              <w:t xml:space="preserve"> </w:t>
            </w:r>
            <w:r w:rsidRPr="00CC19F7">
              <w:br/>
              <w:t xml:space="preserve">som er relaterte til energiomstilling. Forskinga skjer i </w:t>
            </w:r>
            <w:proofErr w:type="spellStart"/>
            <w:r w:rsidRPr="00CC19F7">
              <w:t>eit</w:t>
            </w:r>
            <w:proofErr w:type="spellEnd"/>
            <w:r w:rsidRPr="00CC19F7">
              <w:t xml:space="preserve"> tett samarbeid mellom forskingsmiljø, næringsliv og forvaltning. </w:t>
            </w:r>
            <w:proofErr w:type="spellStart"/>
            <w:r w:rsidRPr="00CC19F7">
              <w:t>Sentera</w:t>
            </w:r>
            <w:proofErr w:type="spellEnd"/>
            <w:r w:rsidRPr="00CC19F7">
              <w:t xml:space="preserve"> gir </w:t>
            </w:r>
            <w:proofErr w:type="spellStart"/>
            <w:r w:rsidRPr="00CC19F7">
              <w:t>brukarpartnarane</w:t>
            </w:r>
            <w:proofErr w:type="spellEnd"/>
            <w:r w:rsidRPr="00CC19F7">
              <w:t xml:space="preserve"> høve til langtidsperspektiv, kontinuitet og </w:t>
            </w:r>
            <w:proofErr w:type="spellStart"/>
            <w:r w:rsidRPr="00CC19F7">
              <w:t>risikoavlasting</w:t>
            </w:r>
            <w:proofErr w:type="spellEnd"/>
            <w:r w:rsidRPr="00CC19F7">
              <w:t xml:space="preserve"> i satsinga på forsking. For forskingsmiljøa gir </w:t>
            </w:r>
            <w:proofErr w:type="spellStart"/>
            <w:r w:rsidRPr="00CC19F7">
              <w:t>sentera</w:t>
            </w:r>
            <w:proofErr w:type="spellEnd"/>
            <w:r w:rsidRPr="00CC19F7">
              <w:t xml:space="preserve"> høve til langsiktig kompetanseoppbygging gjennom forsking på </w:t>
            </w:r>
            <w:proofErr w:type="spellStart"/>
            <w:r w:rsidRPr="00CC19F7">
              <w:t>eit</w:t>
            </w:r>
            <w:proofErr w:type="spellEnd"/>
            <w:r w:rsidRPr="00CC19F7">
              <w:t xml:space="preserve"> høgt internasjonalt nivå i nært samarbeid med </w:t>
            </w:r>
            <w:proofErr w:type="spellStart"/>
            <w:r w:rsidRPr="00CC19F7">
              <w:t>brukarar</w:t>
            </w:r>
            <w:proofErr w:type="spellEnd"/>
            <w:r w:rsidRPr="00CC19F7">
              <w:t xml:space="preserve"> av forskingsresultata. Prosjekt ved </w:t>
            </w:r>
            <w:proofErr w:type="spellStart"/>
            <w:r w:rsidRPr="00CC19F7">
              <w:t>dei</w:t>
            </w:r>
            <w:proofErr w:type="spellEnd"/>
            <w:r w:rsidRPr="00CC19F7">
              <w:t xml:space="preserve"> ulike </w:t>
            </w:r>
            <w:proofErr w:type="spellStart"/>
            <w:r w:rsidRPr="00CC19F7">
              <w:t>sentera</w:t>
            </w:r>
            <w:proofErr w:type="spellEnd"/>
            <w:r w:rsidRPr="00CC19F7">
              <w:t xml:space="preserve"> kan også hente prosjektfinansiering </w:t>
            </w:r>
            <w:proofErr w:type="spellStart"/>
            <w:r w:rsidRPr="00CC19F7">
              <w:t>frå</w:t>
            </w:r>
            <w:proofErr w:type="spellEnd"/>
            <w:r w:rsidRPr="00CC19F7">
              <w:t xml:space="preserve"> CLIMIT og ENERGIX. Dette bidrar til god fleksibilitet og dynamikk i energiforskinga som blir finansiert av Forskingsrådet. Sjå tabell 4.5 for </w:t>
            </w:r>
            <w:proofErr w:type="spellStart"/>
            <w:r w:rsidRPr="00CC19F7">
              <w:t>nærmare</w:t>
            </w:r>
            <w:proofErr w:type="spellEnd"/>
            <w:r w:rsidRPr="00CC19F7">
              <w:t xml:space="preserve"> omtale av FME-ane.</w:t>
            </w:r>
          </w:p>
        </w:tc>
      </w:tr>
      <w:tr w:rsidR="00FE02EF" w:rsidRPr="00CC19F7" w14:paraId="39C6A6E1" w14:textId="77777777" w:rsidTr="00A74556">
        <w:trPr>
          <w:trHeight w:val="1400"/>
        </w:trPr>
        <w:tc>
          <w:tcPr>
            <w:tcW w:w="2367" w:type="dxa"/>
            <w:tcBorders>
              <w:top w:val="single" w:sz="4" w:space="0" w:color="000000"/>
              <w:left w:val="nil"/>
              <w:bottom w:val="single" w:sz="4" w:space="0" w:color="000000"/>
              <w:right w:val="nil"/>
            </w:tcBorders>
            <w:tcMar>
              <w:top w:w="128" w:type="dxa"/>
              <w:left w:w="43" w:type="dxa"/>
              <w:bottom w:w="43" w:type="dxa"/>
              <w:right w:w="43" w:type="dxa"/>
            </w:tcMar>
          </w:tcPr>
          <w:p w14:paraId="268FE0A8" w14:textId="77777777" w:rsidR="00FE02EF" w:rsidRPr="00CC19F7" w:rsidRDefault="00881E58" w:rsidP="00CC19F7">
            <w:r w:rsidRPr="00CC19F7">
              <w:t xml:space="preserve">PILOT-E </w:t>
            </w:r>
          </w:p>
        </w:tc>
        <w:tc>
          <w:tcPr>
            <w:tcW w:w="7213" w:type="dxa"/>
            <w:tcBorders>
              <w:top w:val="single" w:sz="4" w:space="0" w:color="000000"/>
              <w:left w:val="nil"/>
              <w:bottom w:val="single" w:sz="4" w:space="0" w:color="000000"/>
              <w:right w:val="nil"/>
            </w:tcBorders>
            <w:tcMar>
              <w:top w:w="128" w:type="dxa"/>
              <w:left w:w="43" w:type="dxa"/>
              <w:bottom w:w="43" w:type="dxa"/>
              <w:right w:w="43" w:type="dxa"/>
            </w:tcMar>
          </w:tcPr>
          <w:p w14:paraId="78AA5688" w14:textId="77777777" w:rsidR="00FE02EF" w:rsidRPr="00CC19F7" w:rsidRDefault="00881E58" w:rsidP="00CC19F7">
            <w:proofErr w:type="spellStart"/>
            <w:r w:rsidRPr="00CC19F7">
              <w:t>Finansieringstilbod</w:t>
            </w:r>
            <w:proofErr w:type="spellEnd"/>
            <w:r w:rsidRPr="00CC19F7">
              <w:t xml:space="preserve"> til norsk næringsliv, etablert av Forskingsrådet, Innovasjon </w:t>
            </w:r>
            <w:proofErr w:type="spellStart"/>
            <w:r w:rsidRPr="00CC19F7">
              <w:t>Noreg</w:t>
            </w:r>
            <w:proofErr w:type="spellEnd"/>
            <w:r w:rsidRPr="00CC19F7">
              <w:t xml:space="preserve"> og </w:t>
            </w:r>
            <w:proofErr w:type="spellStart"/>
            <w:r w:rsidRPr="00CC19F7">
              <w:t>Enova</w:t>
            </w:r>
            <w:proofErr w:type="spellEnd"/>
            <w:r w:rsidRPr="00CC19F7">
              <w:t xml:space="preserve">. Målet med ordninga er at heilt nye produkt og </w:t>
            </w:r>
            <w:proofErr w:type="spellStart"/>
            <w:r w:rsidRPr="00CC19F7">
              <w:t>tenester</w:t>
            </w:r>
            <w:proofErr w:type="spellEnd"/>
            <w:r w:rsidRPr="00CC19F7">
              <w:t xml:space="preserve"> </w:t>
            </w:r>
            <w:proofErr w:type="spellStart"/>
            <w:r w:rsidRPr="00CC19F7">
              <w:t>innan</w:t>
            </w:r>
            <w:proofErr w:type="spellEnd"/>
            <w:r w:rsidRPr="00CC19F7">
              <w:t xml:space="preserve"> </w:t>
            </w:r>
            <w:proofErr w:type="spellStart"/>
            <w:r w:rsidRPr="00CC19F7">
              <w:t>miljøvennleg</w:t>
            </w:r>
            <w:proofErr w:type="spellEnd"/>
            <w:r w:rsidRPr="00CC19F7">
              <w:t xml:space="preserve"> energiteknologi skal </w:t>
            </w:r>
            <w:proofErr w:type="spellStart"/>
            <w:r w:rsidRPr="00CC19F7">
              <w:t>utviklast</w:t>
            </w:r>
            <w:proofErr w:type="spellEnd"/>
            <w:r w:rsidRPr="00CC19F7">
              <w:t xml:space="preserve"> </w:t>
            </w:r>
            <w:proofErr w:type="spellStart"/>
            <w:r w:rsidRPr="00CC19F7">
              <w:t>raskare</w:t>
            </w:r>
            <w:proofErr w:type="spellEnd"/>
            <w:r w:rsidRPr="00CC19F7">
              <w:t xml:space="preserve">. Dei skal også </w:t>
            </w:r>
            <w:proofErr w:type="spellStart"/>
            <w:r w:rsidRPr="00CC19F7">
              <w:t>takast</w:t>
            </w:r>
            <w:proofErr w:type="spellEnd"/>
            <w:r w:rsidRPr="00CC19F7">
              <w:t xml:space="preserve"> i bruk for å bidra til </w:t>
            </w:r>
            <w:proofErr w:type="spellStart"/>
            <w:r w:rsidRPr="00CC19F7">
              <w:t>utsleppskutt</w:t>
            </w:r>
            <w:proofErr w:type="spellEnd"/>
            <w:r w:rsidRPr="00CC19F7">
              <w:t xml:space="preserve"> både i </w:t>
            </w:r>
            <w:proofErr w:type="spellStart"/>
            <w:r w:rsidRPr="00CC19F7">
              <w:t>Noreg</w:t>
            </w:r>
            <w:proofErr w:type="spellEnd"/>
            <w:r w:rsidRPr="00CC19F7">
              <w:t xml:space="preserve"> og internasjonalt. PILOT-E følger opp </w:t>
            </w:r>
            <w:proofErr w:type="spellStart"/>
            <w:r w:rsidRPr="00CC19F7">
              <w:t>aktørane</w:t>
            </w:r>
            <w:proofErr w:type="spellEnd"/>
            <w:r w:rsidRPr="00CC19F7">
              <w:t xml:space="preserve"> gjennom heile teknologiutviklingsløpet – </w:t>
            </w:r>
            <w:proofErr w:type="spellStart"/>
            <w:r w:rsidRPr="00CC19F7">
              <w:t>frå</w:t>
            </w:r>
            <w:proofErr w:type="spellEnd"/>
            <w:r w:rsidRPr="00CC19F7">
              <w:t xml:space="preserve"> idé til </w:t>
            </w:r>
            <w:proofErr w:type="spellStart"/>
            <w:r w:rsidRPr="00CC19F7">
              <w:t>marknad</w:t>
            </w:r>
            <w:proofErr w:type="spellEnd"/>
            <w:r w:rsidRPr="00CC19F7">
              <w:t>.</w:t>
            </w:r>
          </w:p>
        </w:tc>
      </w:tr>
      <w:tr w:rsidR="00FE02EF" w:rsidRPr="00CC19F7" w14:paraId="1D6CEEBF" w14:textId="77777777" w:rsidTr="00A74556">
        <w:trPr>
          <w:trHeight w:val="3200"/>
        </w:trPr>
        <w:tc>
          <w:tcPr>
            <w:tcW w:w="2367" w:type="dxa"/>
            <w:tcBorders>
              <w:top w:val="single" w:sz="4" w:space="0" w:color="000000"/>
              <w:left w:val="nil"/>
              <w:bottom w:val="single" w:sz="4" w:space="0" w:color="000000"/>
              <w:right w:val="nil"/>
            </w:tcBorders>
            <w:tcMar>
              <w:top w:w="128" w:type="dxa"/>
              <w:left w:w="43" w:type="dxa"/>
              <w:bottom w:w="43" w:type="dxa"/>
              <w:right w:w="43" w:type="dxa"/>
            </w:tcMar>
          </w:tcPr>
          <w:p w14:paraId="14FCC8CD" w14:textId="76087B26" w:rsidR="00FE02EF" w:rsidRPr="00CC19F7" w:rsidRDefault="00881E58" w:rsidP="00CC19F7">
            <w:r w:rsidRPr="00CC19F7">
              <w:t xml:space="preserve">CLIMIT – Forsking, utvikling og </w:t>
            </w:r>
            <w:r w:rsidRPr="00CC19F7">
              <w:br/>
              <w:t>demonstrasjon av CO</w:t>
            </w:r>
            <w:r w:rsidRPr="00CC19F7">
              <w:rPr>
                <w:rStyle w:val="skrift-senket"/>
              </w:rPr>
              <w:t>2</w:t>
            </w:r>
            <w:r w:rsidRPr="00CC19F7">
              <w:t>-handterings</w:t>
            </w:r>
            <w:r w:rsidR="00A74556">
              <w:softHyphen/>
            </w:r>
            <w:r w:rsidRPr="00CC19F7">
              <w:t xml:space="preserve">teknologi </w:t>
            </w:r>
          </w:p>
        </w:tc>
        <w:tc>
          <w:tcPr>
            <w:tcW w:w="7213" w:type="dxa"/>
            <w:tcBorders>
              <w:top w:val="single" w:sz="4" w:space="0" w:color="000000"/>
              <w:left w:val="nil"/>
              <w:bottom w:val="single" w:sz="4" w:space="0" w:color="000000"/>
              <w:right w:val="nil"/>
            </w:tcBorders>
            <w:tcMar>
              <w:top w:w="128" w:type="dxa"/>
              <w:left w:w="43" w:type="dxa"/>
              <w:bottom w:w="43" w:type="dxa"/>
              <w:right w:w="43" w:type="dxa"/>
            </w:tcMar>
          </w:tcPr>
          <w:p w14:paraId="40B029C1" w14:textId="3E695FF5" w:rsidR="00FE02EF" w:rsidRPr="00CC19F7" w:rsidRDefault="00881E58" w:rsidP="00CC19F7">
            <w:r w:rsidRPr="00CC19F7">
              <w:t xml:space="preserve">Programmet skal bidra til å utvikle teknologi og </w:t>
            </w:r>
            <w:proofErr w:type="spellStart"/>
            <w:r w:rsidRPr="00CC19F7">
              <w:t>løysingar</w:t>
            </w:r>
            <w:proofErr w:type="spellEnd"/>
            <w:r w:rsidRPr="00CC19F7">
              <w:t xml:space="preserve"> for CO</w:t>
            </w:r>
            <w:r w:rsidRPr="00CC19F7">
              <w:rPr>
                <w:rStyle w:val="skrift-senket"/>
              </w:rPr>
              <w:t>2</w:t>
            </w:r>
            <w:r w:rsidRPr="00CC19F7">
              <w:t xml:space="preserve">-handtering og til å redusere kostnader og risiko for </w:t>
            </w:r>
            <w:proofErr w:type="spellStart"/>
            <w:r w:rsidRPr="00CC19F7">
              <w:t>dei</w:t>
            </w:r>
            <w:proofErr w:type="spellEnd"/>
            <w:r w:rsidRPr="00CC19F7">
              <w:t xml:space="preserve"> som tar teknologien i bruk. Det er konkretisert </w:t>
            </w:r>
            <w:proofErr w:type="spellStart"/>
            <w:r w:rsidRPr="00CC19F7">
              <w:t>følgande</w:t>
            </w:r>
            <w:proofErr w:type="spellEnd"/>
            <w:r w:rsidRPr="00CC19F7">
              <w:t xml:space="preserve"> satsingsområde:</w:t>
            </w:r>
          </w:p>
          <w:p w14:paraId="413E9D51" w14:textId="77777777" w:rsidR="00FE02EF" w:rsidRPr="00CC19F7" w:rsidRDefault="00881E58" w:rsidP="00CC19F7">
            <w:pPr>
              <w:pStyle w:val="Liste"/>
            </w:pPr>
            <w:r w:rsidRPr="00CC19F7">
              <w:t xml:space="preserve">avkarbonisering av industri- og </w:t>
            </w:r>
            <w:proofErr w:type="spellStart"/>
            <w:r w:rsidRPr="00CC19F7">
              <w:t>energiressursar</w:t>
            </w:r>
            <w:proofErr w:type="spellEnd"/>
          </w:p>
          <w:p w14:paraId="1A25FBDA" w14:textId="77777777" w:rsidR="00FE02EF" w:rsidRPr="00CC19F7" w:rsidRDefault="00881E58" w:rsidP="00CC19F7">
            <w:pPr>
              <w:pStyle w:val="Liste"/>
            </w:pPr>
            <w:r w:rsidRPr="00CC19F7">
              <w:t>storskala CO</w:t>
            </w:r>
            <w:r w:rsidRPr="00CC19F7">
              <w:rPr>
                <w:rStyle w:val="skrift-senket"/>
              </w:rPr>
              <w:t>2</w:t>
            </w:r>
            <w:r w:rsidRPr="00CC19F7">
              <w:t>-lager på norsk sokkel</w:t>
            </w:r>
          </w:p>
          <w:p w14:paraId="3E3BA25A" w14:textId="77777777" w:rsidR="00FE02EF" w:rsidRPr="00CC19F7" w:rsidRDefault="00881E58" w:rsidP="00CC19F7">
            <w:pPr>
              <w:pStyle w:val="Liste"/>
            </w:pPr>
            <w:proofErr w:type="spellStart"/>
            <w:r w:rsidRPr="00CC19F7">
              <w:t>nyskapande</w:t>
            </w:r>
            <w:proofErr w:type="spellEnd"/>
            <w:r w:rsidRPr="00CC19F7">
              <w:t xml:space="preserve"> teknologiutvikling og </w:t>
            </w:r>
            <w:proofErr w:type="spellStart"/>
            <w:r w:rsidRPr="00CC19F7">
              <w:t>løysingar</w:t>
            </w:r>
            <w:proofErr w:type="spellEnd"/>
            <w:r w:rsidRPr="00CC19F7">
              <w:t xml:space="preserve"> for CO</w:t>
            </w:r>
            <w:r w:rsidRPr="00CC19F7">
              <w:rPr>
                <w:rStyle w:val="skrift-senket"/>
              </w:rPr>
              <w:t>2</w:t>
            </w:r>
            <w:r w:rsidRPr="00CC19F7">
              <w:t>-handtering</w:t>
            </w:r>
          </w:p>
          <w:p w14:paraId="10D02D77" w14:textId="05D746D9" w:rsidR="00FE02EF" w:rsidRPr="00CC19F7" w:rsidRDefault="00881E58" w:rsidP="00CC19F7">
            <w:r w:rsidRPr="00CC19F7">
              <w:t xml:space="preserve">Programmet har stor internasjonal aktivitet, mellom anna gjennom det internasjonale samfinansieringsprogrammet </w:t>
            </w:r>
            <w:proofErr w:type="spellStart"/>
            <w:r w:rsidRPr="00CC19F7">
              <w:t>Accelerating</w:t>
            </w:r>
            <w:proofErr w:type="spellEnd"/>
            <w:r w:rsidRPr="00CC19F7">
              <w:t xml:space="preserve"> CCS Technologies (ACT) og </w:t>
            </w:r>
            <w:proofErr w:type="spellStart"/>
            <w:r w:rsidRPr="00CC19F7">
              <w:t>Clean</w:t>
            </w:r>
            <w:proofErr w:type="spellEnd"/>
            <w:r w:rsidRPr="00CC19F7">
              <w:t xml:space="preserve"> Energy </w:t>
            </w:r>
            <w:proofErr w:type="spellStart"/>
            <w:r w:rsidRPr="00CC19F7">
              <w:t>Transition</w:t>
            </w:r>
            <w:proofErr w:type="spellEnd"/>
            <w:r w:rsidRPr="00CC19F7">
              <w:t xml:space="preserve"> </w:t>
            </w:r>
            <w:proofErr w:type="spellStart"/>
            <w:r w:rsidRPr="00CC19F7">
              <w:t>Partnership</w:t>
            </w:r>
            <w:proofErr w:type="spellEnd"/>
            <w:r w:rsidRPr="00CC19F7">
              <w:t xml:space="preserve"> (CETP). Programmet er </w:t>
            </w:r>
            <w:proofErr w:type="spellStart"/>
            <w:r w:rsidRPr="00CC19F7">
              <w:t>eit</w:t>
            </w:r>
            <w:proofErr w:type="spellEnd"/>
            <w:r w:rsidRPr="00CC19F7">
              <w:t xml:space="preserve"> samarbeid mellom Forskingsrådet, som handterer FoU-delen, og Gassnova, som handterer demonstrasjonsdelen. Programmet har felles sekretariat og programstyre.</w:t>
            </w:r>
          </w:p>
        </w:tc>
      </w:tr>
      <w:tr w:rsidR="00FE02EF" w:rsidRPr="00CC19F7" w14:paraId="3BB08F7E" w14:textId="77777777" w:rsidTr="00A74556">
        <w:trPr>
          <w:trHeight w:val="1660"/>
        </w:trPr>
        <w:tc>
          <w:tcPr>
            <w:tcW w:w="2367" w:type="dxa"/>
            <w:tcBorders>
              <w:top w:val="single" w:sz="4" w:space="0" w:color="000000"/>
              <w:left w:val="nil"/>
              <w:bottom w:val="single" w:sz="4" w:space="0" w:color="000000"/>
              <w:right w:val="nil"/>
            </w:tcBorders>
            <w:tcMar>
              <w:top w:w="128" w:type="dxa"/>
              <w:left w:w="43" w:type="dxa"/>
              <w:bottom w:w="43" w:type="dxa"/>
              <w:right w:w="43" w:type="dxa"/>
            </w:tcMar>
          </w:tcPr>
          <w:p w14:paraId="770FD7EC" w14:textId="77777777" w:rsidR="00FE02EF" w:rsidRPr="00CC19F7" w:rsidRDefault="00881E58" w:rsidP="00CC19F7">
            <w:r w:rsidRPr="00CC19F7">
              <w:t xml:space="preserve">HEILO på hydrogen, havvind og </w:t>
            </w:r>
            <w:r w:rsidRPr="00CC19F7">
              <w:br/>
              <w:t>CO</w:t>
            </w:r>
            <w:r w:rsidRPr="00CC19F7">
              <w:rPr>
                <w:rStyle w:val="skrift-senket"/>
              </w:rPr>
              <w:t>2</w:t>
            </w:r>
            <w:r w:rsidRPr="00CC19F7">
              <w:t xml:space="preserve">-handtering </w:t>
            </w:r>
          </w:p>
        </w:tc>
        <w:tc>
          <w:tcPr>
            <w:tcW w:w="7213" w:type="dxa"/>
            <w:tcBorders>
              <w:top w:val="single" w:sz="4" w:space="0" w:color="000000"/>
              <w:left w:val="nil"/>
              <w:bottom w:val="single" w:sz="4" w:space="0" w:color="000000"/>
              <w:right w:val="nil"/>
            </w:tcBorders>
            <w:tcMar>
              <w:top w:w="128" w:type="dxa"/>
              <w:left w:w="43" w:type="dxa"/>
              <w:bottom w:w="43" w:type="dxa"/>
              <w:right w:w="43" w:type="dxa"/>
            </w:tcMar>
          </w:tcPr>
          <w:p w14:paraId="35DB5DF7" w14:textId="77777777" w:rsidR="00FE02EF" w:rsidRPr="00CC19F7" w:rsidRDefault="00881E58" w:rsidP="00CC19F7">
            <w:r w:rsidRPr="00CC19F7">
              <w:t xml:space="preserve">Samarbeid mellom Forskingsrådet, Innovasjon </w:t>
            </w:r>
            <w:proofErr w:type="spellStart"/>
            <w:r w:rsidRPr="00CC19F7">
              <w:t>Noreg</w:t>
            </w:r>
            <w:proofErr w:type="spellEnd"/>
            <w:r w:rsidRPr="00CC19F7">
              <w:t xml:space="preserve">, Gassnova og </w:t>
            </w:r>
            <w:proofErr w:type="spellStart"/>
            <w:r w:rsidRPr="00CC19F7">
              <w:t>Enova</w:t>
            </w:r>
            <w:proofErr w:type="spellEnd"/>
            <w:r w:rsidRPr="00CC19F7">
              <w:t xml:space="preserve"> som skal bidra til betre samkøyring og koordinering av </w:t>
            </w:r>
            <w:proofErr w:type="spellStart"/>
            <w:r w:rsidRPr="00CC19F7">
              <w:t>verkemidla</w:t>
            </w:r>
            <w:proofErr w:type="spellEnd"/>
            <w:r w:rsidRPr="00CC19F7">
              <w:t xml:space="preserve"> og </w:t>
            </w:r>
            <w:proofErr w:type="spellStart"/>
            <w:r w:rsidRPr="00CC19F7">
              <w:t>aktivitetane</w:t>
            </w:r>
            <w:proofErr w:type="spellEnd"/>
            <w:r w:rsidRPr="00CC19F7">
              <w:t xml:space="preserve"> til </w:t>
            </w:r>
            <w:proofErr w:type="spellStart"/>
            <w:r w:rsidRPr="00CC19F7">
              <w:t>aktørane</w:t>
            </w:r>
            <w:proofErr w:type="spellEnd"/>
            <w:r w:rsidRPr="00CC19F7">
              <w:t xml:space="preserve">. Gjennom </w:t>
            </w:r>
            <w:proofErr w:type="spellStart"/>
            <w:r w:rsidRPr="00CC19F7">
              <w:t>verkemiddelapparatet</w:t>
            </w:r>
            <w:proofErr w:type="spellEnd"/>
            <w:r w:rsidRPr="00CC19F7">
              <w:t xml:space="preserve"> blir det finansiert prosjekt langs heile verdikjedene og i heile spennet </w:t>
            </w:r>
            <w:proofErr w:type="spellStart"/>
            <w:r w:rsidRPr="00CC19F7">
              <w:t>frå</w:t>
            </w:r>
            <w:proofErr w:type="spellEnd"/>
            <w:r w:rsidRPr="00CC19F7">
              <w:t xml:space="preserve"> grunnforsking til utvikling, innovasjon og </w:t>
            </w:r>
            <w:proofErr w:type="spellStart"/>
            <w:r w:rsidRPr="00CC19F7">
              <w:t>marknadsintroduksjon</w:t>
            </w:r>
            <w:proofErr w:type="spellEnd"/>
            <w:r w:rsidRPr="00CC19F7">
              <w:t xml:space="preserve">. HEILO gir </w:t>
            </w:r>
            <w:proofErr w:type="gramStart"/>
            <w:r w:rsidRPr="00CC19F7">
              <w:t>ei oversikt</w:t>
            </w:r>
            <w:proofErr w:type="gramEnd"/>
            <w:r w:rsidRPr="00CC19F7">
              <w:t xml:space="preserve"> over prosjekt som har fått støtte gjennom </w:t>
            </w:r>
            <w:proofErr w:type="spellStart"/>
            <w:r w:rsidRPr="00CC19F7">
              <w:t>verkemiddelapparatet</w:t>
            </w:r>
            <w:proofErr w:type="spellEnd"/>
            <w:r w:rsidRPr="00CC19F7">
              <w:t xml:space="preserve"> i </w:t>
            </w:r>
            <w:proofErr w:type="spellStart"/>
            <w:r w:rsidRPr="00CC19F7">
              <w:t>dei</w:t>
            </w:r>
            <w:proofErr w:type="spellEnd"/>
            <w:r w:rsidRPr="00CC19F7">
              <w:t xml:space="preserve"> ulike teknologiområda. </w:t>
            </w:r>
          </w:p>
        </w:tc>
      </w:tr>
    </w:tbl>
    <w:p w14:paraId="12B7B92F" w14:textId="2DD7537C" w:rsidR="00FE02EF" w:rsidRDefault="00881E58" w:rsidP="00CC19F7">
      <w:proofErr w:type="spellStart"/>
      <w:r w:rsidRPr="00CC19F7">
        <w:t>Meir</w:t>
      </w:r>
      <w:proofErr w:type="spellEnd"/>
      <w:r w:rsidRPr="00CC19F7">
        <w:t xml:space="preserve"> informasjon om programma </w:t>
      </w:r>
      <w:proofErr w:type="spellStart"/>
      <w:r w:rsidRPr="00CC19F7">
        <w:t>finst</w:t>
      </w:r>
      <w:proofErr w:type="spellEnd"/>
      <w:r w:rsidRPr="00CC19F7">
        <w:t xml:space="preserve"> på forskningsradet.no, innovasjonnorge.no, gassnova.no og enova.no.</w:t>
      </w:r>
    </w:p>
    <w:p w14:paraId="38AA74FE" w14:textId="7E570FE8" w:rsidR="00C0741D" w:rsidRPr="00CC19F7" w:rsidRDefault="00C0741D" w:rsidP="00C0741D">
      <w:pPr>
        <w:pStyle w:val="tabell-tittel"/>
      </w:pPr>
      <w:r w:rsidRPr="00CC19F7">
        <w:t xml:space="preserve">Forskingssenter for </w:t>
      </w:r>
      <w:proofErr w:type="spellStart"/>
      <w:r w:rsidRPr="00CC19F7">
        <w:t>miljøvennleg</w:t>
      </w:r>
      <w:proofErr w:type="spellEnd"/>
      <w:r w:rsidRPr="00CC19F7">
        <w:t xml:space="preserve"> energi (FME)</w:t>
      </w:r>
    </w:p>
    <w:p w14:paraId="2D480E13" w14:textId="77777777" w:rsidR="00FE02EF" w:rsidRPr="00CC19F7" w:rsidRDefault="00881E58" w:rsidP="00CC19F7">
      <w:pPr>
        <w:pStyle w:val="Tabellnavn"/>
      </w:pPr>
      <w:r w:rsidRPr="00CC19F7">
        <w:t>04J1xx2</w:t>
      </w:r>
    </w:p>
    <w:tbl>
      <w:tblPr>
        <w:tblW w:w="9596" w:type="dxa"/>
        <w:tblInd w:w="43" w:type="dxa"/>
        <w:tblLayout w:type="fixed"/>
        <w:tblCellMar>
          <w:top w:w="110" w:type="dxa"/>
          <w:left w:w="43" w:type="dxa"/>
          <w:bottom w:w="43" w:type="dxa"/>
          <w:right w:w="43" w:type="dxa"/>
        </w:tblCellMar>
        <w:tblLook w:val="0000" w:firstRow="0" w:lastRow="0" w:firstColumn="0" w:lastColumn="0" w:noHBand="0" w:noVBand="0"/>
      </w:tblPr>
      <w:tblGrid>
        <w:gridCol w:w="2480"/>
        <w:gridCol w:w="4080"/>
        <w:gridCol w:w="1477"/>
        <w:gridCol w:w="1559"/>
      </w:tblGrid>
      <w:tr w:rsidR="00FE02EF" w:rsidRPr="00CC19F7" w14:paraId="72C56A27" w14:textId="77777777" w:rsidTr="00C0741D">
        <w:trPr>
          <w:trHeight w:val="340"/>
        </w:trPr>
        <w:tc>
          <w:tcPr>
            <w:tcW w:w="2480" w:type="dxa"/>
            <w:tcBorders>
              <w:top w:val="single" w:sz="4" w:space="0" w:color="000000"/>
              <w:left w:val="nil"/>
              <w:bottom w:val="single" w:sz="4" w:space="0" w:color="000000"/>
              <w:right w:val="nil"/>
            </w:tcBorders>
            <w:tcMar>
              <w:top w:w="110" w:type="dxa"/>
              <w:left w:w="43" w:type="dxa"/>
              <w:bottom w:w="43" w:type="dxa"/>
              <w:right w:w="43" w:type="dxa"/>
            </w:tcMar>
            <w:vAlign w:val="bottom"/>
          </w:tcPr>
          <w:p w14:paraId="57990D22" w14:textId="77777777" w:rsidR="00FE02EF" w:rsidRPr="00CC19F7" w:rsidRDefault="00881E58" w:rsidP="00CC19F7">
            <w:proofErr w:type="spellStart"/>
            <w:r w:rsidRPr="00CC19F7">
              <w:t>Namn</w:t>
            </w:r>
            <w:proofErr w:type="spellEnd"/>
          </w:p>
        </w:tc>
        <w:tc>
          <w:tcPr>
            <w:tcW w:w="4080" w:type="dxa"/>
            <w:tcBorders>
              <w:top w:val="single" w:sz="4" w:space="0" w:color="000000"/>
              <w:left w:val="nil"/>
              <w:bottom w:val="single" w:sz="4" w:space="0" w:color="000000"/>
              <w:right w:val="nil"/>
            </w:tcBorders>
            <w:tcMar>
              <w:top w:w="110" w:type="dxa"/>
              <w:left w:w="43" w:type="dxa"/>
              <w:bottom w:w="43" w:type="dxa"/>
              <w:right w:w="43" w:type="dxa"/>
            </w:tcMar>
            <w:vAlign w:val="bottom"/>
          </w:tcPr>
          <w:p w14:paraId="2599B096" w14:textId="77777777" w:rsidR="00FE02EF" w:rsidRPr="00CC19F7" w:rsidRDefault="00881E58" w:rsidP="00CC19F7">
            <w:r w:rsidRPr="00CC19F7">
              <w:t>Om</w:t>
            </w:r>
          </w:p>
        </w:tc>
        <w:tc>
          <w:tcPr>
            <w:tcW w:w="1477" w:type="dxa"/>
            <w:tcBorders>
              <w:top w:val="single" w:sz="4" w:space="0" w:color="000000"/>
              <w:left w:val="nil"/>
              <w:bottom w:val="single" w:sz="4" w:space="0" w:color="000000"/>
              <w:right w:val="nil"/>
            </w:tcBorders>
            <w:tcMar>
              <w:top w:w="110" w:type="dxa"/>
              <w:left w:w="43" w:type="dxa"/>
              <w:bottom w:w="43" w:type="dxa"/>
              <w:right w:w="43" w:type="dxa"/>
            </w:tcMar>
            <w:vAlign w:val="bottom"/>
          </w:tcPr>
          <w:p w14:paraId="14183F2A" w14:textId="77777777" w:rsidR="00FE02EF" w:rsidRPr="00CC19F7" w:rsidRDefault="00881E58" w:rsidP="00CC19F7">
            <w:r w:rsidRPr="00CC19F7">
              <w:t>Vertskap</w:t>
            </w:r>
          </w:p>
        </w:tc>
        <w:tc>
          <w:tcPr>
            <w:tcW w:w="1559" w:type="dxa"/>
            <w:tcBorders>
              <w:top w:val="single" w:sz="4" w:space="0" w:color="000000"/>
              <w:left w:val="nil"/>
              <w:bottom w:val="single" w:sz="4" w:space="0" w:color="000000"/>
              <w:right w:val="nil"/>
            </w:tcBorders>
            <w:tcMar>
              <w:top w:w="110" w:type="dxa"/>
              <w:left w:w="43" w:type="dxa"/>
              <w:bottom w:w="43" w:type="dxa"/>
              <w:right w:w="43" w:type="dxa"/>
            </w:tcMar>
            <w:vAlign w:val="bottom"/>
          </w:tcPr>
          <w:p w14:paraId="013BEB7A" w14:textId="77777777" w:rsidR="00FE02EF" w:rsidRPr="00CC19F7" w:rsidRDefault="00881E58" w:rsidP="00C0741D">
            <w:pPr>
              <w:jc w:val="right"/>
            </w:pPr>
            <w:r w:rsidRPr="00CC19F7">
              <w:t>Avtaleperiode</w:t>
            </w:r>
          </w:p>
        </w:tc>
      </w:tr>
      <w:tr w:rsidR="00FE02EF" w:rsidRPr="00CC19F7" w14:paraId="087EF71E" w14:textId="77777777" w:rsidTr="00C0741D">
        <w:trPr>
          <w:trHeight w:val="860"/>
        </w:trPr>
        <w:tc>
          <w:tcPr>
            <w:tcW w:w="2480" w:type="dxa"/>
            <w:tcBorders>
              <w:top w:val="single" w:sz="4" w:space="0" w:color="000000"/>
              <w:left w:val="nil"/>
              <w:bottom w:val="single" w:sz="4" w:space="0" w:color="000000"/>
              <w:right w:val="nil"/>
            </w:tcBorders>
            <w:tcMar>
              <w:top w:w="110" w:type="dxa"/>
              <w:left w:w="43" w:type="dxa"/>
              <w:bottom w:w="43" w:type="dxa"/>
              <w:right w:w="43" w:type="dxa"/>
            </w:tcMar>
          </w:tcPr>
          <w:p w14:paraId="1A865B46" w14:textId="77777777" w:rsidR="00FE02EF" w:rsidRPr="00CA1D23" w:rsidRDefault="00881E58" w:rsidP="00CC19F7">
            <w:pPr>
              <w:rPr>
                <w:lang w:val="en-US"/>
              </w:rPr>
            </w:pPr>
            <w:r w:rsidRPr="00CA1D23">
              <w:rPr>
                <w:lang w:val="en-US"/>
              </w:rPr>
              <w:t xml:space="preserve">Norwegian CCS </w:t>
            </w:r>
            <w:r w:rsidRPr="00CA1D23">
              <w:rPr>
                <w:lang w:val="en-US"/>
              </w:rPr>
              <w:br/>
              <w:t xml:space="preserve">Research Centre </w:t>
            </w:r>
            <w:r w:rsidRPr="00CA1D23">
              <w:rPr>
                <w:lang w:val="en-US"/>
              </w:rPr>
              <w:br/>
              <w:t>(NCCS)</w:t>
            </w:r>
          </w:p>
        </w:tc>
        <w:tc>
          <w:tcPr>
            <w:tcW w:w="4080" w:type="dxa"/>
            <w:tcBorders>
              <w:top w:val="single" w:sz="4" w:space="0" w:color="000000"/>
              <w:left w:val="nil"/>
              <w:bottom w:val="single" w:sz="4" w:space="0" w:color="000000"/>
              <w:right w:val="nil"/>
            </w:tcBorders>
            <w:tcMar>
              <w:top w:w="110" w:type="dxa"/>
              <w:left w:w="43" w:type="dxa"/>
              <w:bottom w:w="43" w:type="dxa"/>
              <w:right w:w="43" w:type="dxa"/>
            </w:tcMar>
          </w:tcPr>
          <w:p w14:paraId="2F684A3F" w14:textId="77777777" w:rsidR="00FE02EF" w:rsidRPr="00CC19F7" w:rsidRDefault="00881E58" w:rsidP="00CC19F7">
            <w:r w:rsidRPr="00CC19F7">
              <w:t>Forskingssenter som skal utvikle ny teknologi og bidra til at CO</w:t>
            </w:r>
            <w:r w:rsidRPr="00CC19F7">
              <w:rPr>
                <w:rStyle w:val="skrift-senket"/>
              </w:rPr>
              <w:t>2</w:t>
            </w:r>
            <w:r w:rsidRPr="00CC19F7">
              <w:t>-handtering blir tatt raskere i bruk.</w:t>
            </w:r>
          </w:p>
        </w:tc>
        <w:tc>
          <w:tcPr>
            <w:tcW w:w="1477" w:type="dxa"/>
            <w:tcBorders>
              <w:top w:val="single" w:sz="4" w:space="0" w:color="000000"/>
              <w:left w:val="nil"/>
              <w:bottom w:val="single" w:sz="4" w:space="0" w:color="000000"/>
              <w:right w:val="nil"/>
            </w:tcBorders>
            <w:tcMar>
              <w:top w:w="110" w:type="dxa"/>
              <w:left w:w="43" w:type="dxa"/>
              <w:bottom w:w="43" w:type="dxa"/>
              <w:right w:w="43" w:type="dxa"/>
            </w:tcMar>
          </w:tcPr>
          <w:p w14:paraId="4EF5271B" w14:textId="77777777" w:rsidR="00FE02EF" w:rsidRPr="00CC19F7" w:rsidRDefault="00881E58" w:rsidP="00CC19F7">
            <w:r w:rsidRPr="00CC19F7">
              <w:t>SINTEF Energi</w:t>
            </w:r>
          </w:p>
        </w:tc>
        <w:tc>
          <w:tcPr>
            <w:tcW w:w="1559" w:type="dxa"/>
            <w:tcBorders>
              <w:top w:val="single" w:sz="4" w:space="0" w:color="000000"/>
              <w:left w:val="nil"/>
              <w:bottom w:val="single" w:sz="4" w:space="0" w:color="000000"/>
              <w:right w:val="nil"/>
            </w:tcBorders>
            <w:tcMar>
              <w:top w:w="110" w:type="dxa"/>
              <w:left w:w="43" w:type="dxa"/>
              <w:bottom w:w="43" w:type="dxa"/>
              <w:right w:w="43" w:type="dxa"/>
            </w:tcMar>
          </w:tcPr>
          <w:p w14:paraId="2DEA16F1" w14:textId="77777777" w:rsidR="00FE02EF" w:rsidRPr="00CC19F7" w:rsidRDefault="00881E58" w:rsidP="00C0741D">
            <w:pPr>
              <w:jc w:val="right"/>
            </w:pPr>
            <w:r w:rsidRPr="00CC19F7">
              <w:t>2016–2024</w:t>
            </w:r>
          </w:p>
        </w:tc>
      </w:tr>
      <w:tr w:rsidR="00FE02EF" w:rsidRPr="00CC19F7" w14:paraId="26429595" w14:textId="77777777" w:rsidTr="00C0741D">
        <w:trPr>
          <w:trHeight w:val="1120"/>
        </w:trPr>
        <w:tc>
          <w:tcPr>
            <w:tcW w:w="2480" w:type="dxa"/>
            <w:tcBorders>
              <w:top w:val="single" w:sz="4" w:space="0" w:color="000000"/>
              <w:left w:val="nil"/>
              <w:bottom w:val="single" w:sz="4" w:space="0" w:color="000000"/>
              <w:right w:val="nil"/>
            </w:tcBorders>
            <w:tcMar>
              <w:top w:w="110" w:type="dxa"/>
              <w:left w:w="43" w:type="dxa"/>
              <w:bottom w:w="43" w:type="dxa"/>
              <w:right w:w="43" w:type="dxa"/>
            </w:tcMar>
          </w:tcPr>
          <w:p w14:paraId="09DAEC07" w14:textId="77777777" w:rsidR="00FE02EF" w:rsidRPr="00CA1D23" w:rsidRDefault="00881E58" w:rsidP="00CC19F7">
            <w:pPr>
              <w:rPr>
                <w:lang w:val="en-US"/>
              </w:rPr>
            </w:pPr>
            <w:r w:rsidRPr="00CA1D23">
              <w:rPr>
                <w:lang w:val="en-US"/>
              </w:rPr>
              <w:t xml:space="preserve">Zero Emission </w:t>
            </w:r>
            <w:r w:rsidRPr="00CA1D23">
              <w:rPr>
                <w:lang w:val="en-US"/>
              </w:rPr>
              <w:br/>
              <w:t xml:space="preserve">Neighbourhoods in </w:t>
            </w:r>
            <w:r w:rsidRPr="00CA1D23">
              <w:rPr>
                <w:lang w:val="en-US"/>
              </w:rPr>
              <w:br/>
              <w:t>Smart Cities (ZEN)</w:t>
            </w:r>
          </w:p>
        </w:tc>
        <w:tc>
          <w:tcPr>
            <w:tcW w:w="4080" w:type="dxa"/>
            <w:tcBorders>
              <w:top w:val="single" w:sz="4" w:space="0" w:color="000000"/>
              <w:left w:val="nil"/>
              <w:bottom w:val="single" w:sz="4" w:space="0" w:color="000000"/>
              <w:right w:val="nil"/>
            </w:tcBorders>
            <w:tcMar>
              <w:top w:w="110" w:type="dxa"/>
              <w:left w:w="43" w:type="dxa"/>
              <w:bottom w:w="43" w:type="dxa"/>
              <w:right w:w="43" w:type="dxa"/>
            </w:tcMar>
          </w:tcPr>
          <w:p w14:paraId="2E9D8FE0" w14:textId="77777777" w:rsidR="00FE02EF" w:rsidRPr="00CC19F7" w:rsidRDefault="00881E58" w:rsidP="00CC19F7">
            <w:r w:rsidRPr="00CC19F7">
              <w:t xml:space="preserve">Forskingssenter for nullutsleppsområde i smarte </w:t>
            </w:r>
            <w:proofErr w:type="spellStart"/>
            <w:r w:rsidRPr="00CC19F7">
              <w:t>byar</w:t>
            </w:r>
            <w:proofErr w:type="spellEnd"/>
            <w:r w:rsidRPr="00CC19F7">
              <w:t xml:space="preserve"> som skal utvikle </w:t>
            </w:r>
            <w:proofErr w:type="spellStart"/>
            <w:r w:rsidRPr="00CC19F7">
              <w:t>berekraftige</w:t>
            </w:r>
            <w:proofErr w:type="spellEnd"/>
            <w:r w:rsidRPr="00CC19F7">
              <w:t xml:space="preserve"> og </w:t>
            </w:r>
            <w:proofErr w:type="gramStart"/>
            <w:r w:rsidRPr="00CC19F7">
              <w:t>energioptimale</w:t>
            </w:r>
            <w:proofErr w:type="gramEnd"/>
            <w:r w:rsidRPr="00CC19F7">
              <w:t xml:space="preserve"> nabolag med null </w:t>
            </w:r>
            <w:r w:rsidRPr="00CC19F7">
              <w:br/>
              <w:t xml:space="preserve">utslepp av </w:t>
            </w:r>
            <w:proofErr w:type="spellStart"/>
            <w:r w:rsidRPr="00CC19F7">
              <w:t>drivhusgassar</w:t>
            </w:r>
            <w:proofErr w:type="spellEnd"/>
            <w:r w:rsidRPr="00CC19F7">
              <w:t>.</w:t>
            </w:r>
          </w:p>
        </w:tc>
        <w:tc>
          <w:tcPr>
            <w:tcW w:w="1477" w:type="dxa"/>
            <w:tcBorders>
              <w:top w:val="single" w:sz="4" w:space="0" w:color="000000"/>
              <w:left w:val="nil"/>
              <w:bottom w:val="single" w:sz="4" w:space="0" w:color="000000"/>
              <w:right w:val="nil"/>
            </w:tcBorders>
            <w:tcMar>
              <w:top w:w="110" w:type="dxa"/>
              <w:left w:w="43" w:type="dxa"/>
              <w:bottom w:w="43" w:type="dxa"/>
              <w:right w:w="43" w:type="dxa"/>
            </w:tcMar>
          </w:tcPr>
          <w:p w14:paraId="6DA55B37" w14:textId="77777777" w:rsidR="00FE02EF" w:rsidRPr="00CC19F7" w:rsidRDefault="00881E58" w:rsidP="00CC19F7">
            <w:r w:rsidRPr="00CC19F7">
              <w:t>NTNU</w:t>
            </w:r>
          </w:p>
        </w:tc>
        <w:tc>
          <w:tcPr>
            <w:tcW w:w="1559" w:type="dxa"/>
            <w:tcBorders>
              <w:top w:val="single" w:sz="4" w:space="0" w:color="000000"/>
              <w:left w:val="nil"/>
              <w:bottom w:val="single" w:sz="4" w:space="0" w:color="000000"/>
              <w:right w:val="nil"/>
            </w:tcBorders>
            <w:tcMar>
              <w:top w:w="110" w:type="dxa"/>
              <w:left w:w="43" w:type="dxa"/>
              <w:bottom w:w="43" w:type="dxa"/>
              <w:right w:w="43" w:type="dxa"/>
            </w:tcMar>
          </w:tcPr>
          <w:p w14:paraId="7BA93AD2" w14:textId="77777777" w:rsidR="00FE02EF" w:rsidRPr="00CC19F7" w:rsidRDefault="00881E58" w:rsidP="00C0741D">
            <w:pPr>
              <w:jc w:val="right"/>
            </w:pPr>
            <w:r w:rsidRPr="00CC19F7">
              <w:t>2016–2024</w:t>
            </w:r>
          </w:p>
        </w:tc>
      </w:tr>
      <w:tr w:rsidR="00FE02EF" w:rsidRPr="00CC19F7" w14:paraId="280E392D" w14:textId="77777777" w:rsidTr="00C0741D">
        <w:trPr>
          <w:trHeight w:val="1640"/>
        </w:trPr>
        <w:tc>
          <w:tcPr>
            <w:tcW w:w="2480" w:type="dxa"/>
            <w:tcBorders>
              <w:top w:val="single" w:sz="4" w:space="0" w:color="000000"/>
              <w:left w:val="nil"/>
              <w:bottom w:val="single" w:sz="4" w:space="0" w:color="000000"/>
              <w:right w:val="nil"/>
            </w:tcBorders>
            <w:tcMar>
              <w:top w:w="110" w:type="dxa"/>
              <w:left w:w="43" w:type="dxa"/>
              <w:bottom w:w="43" w:type="dxa"/>
              <w:right w:w="43" w:type="dxa"/>
            </w:tcMar>
          </w:tcPr>
          <w:p w14:paraId="63714261" w14:textId="77777777" w:rsidR="00FE02EF" w:rsidRPr="00CA1D23" w:rsidRDefault="00881E58" w:rsidP="00CC19F7">
            <w:pPr>
              <w:rPr>
                <w:lang w:val="en-US"/>
              </w:rPr>
            </w:pPr>
            <w:r w:rsidRPr="00CA1D23">
              <w:rPr>
                <w:lang w:val="en-US"/>
              </w:rPr>
              <w:t xml:space="preserve">Centre for an Energy </w:t>
            </w:r>
            <w:r w:rsidRPr="00CA1D23">
              <w:rPr>
                <w:lang w:val="en-US"/>
              </w:rPr>
              <w:br/>
              <w:t>Efficient and Competitive Industry for the Future (HighEFF)</w:t>
            </w:r>
          </w:p>
        </w:tc>
        <w:tc>
          <w:tcPr>
            <w:tcW w:w="4080" w:type="dxa"/>
            <w:tcBorders>
              <w:top w:val="single" w:sz="4" w:space="0" w:color="000000"/>
              <w:left w:val="nil"/>
              <w:bottom w:val="single" w:sz="4" w:space="0" w:color="000000"/>
              <w:right w:val="nil"/>
            </w:tcBorders>
            <w:tcMar>
              <w:top w:w="110" w:type="dxa"/>
              <w:left w:w="43" w:type="dxa"/>
              <w:bottom w:w="43" w:type="dxa"/>
              <w:right w:w="43" w:type="dxa"/>
            </w:tcMar>
          </w:tcPr>
          <w:p w14:paraId="0B0C677F" w14:textId="2DFBFAD6" w:rsidR="00FE02EF" w:rsidRPr="00CC19F7" w:rsidRDefault="00881E58" w:rsidP="00CC19F7">
            <w:r w:rsidRPr="00CC19F7">
              <w:t xml:space="preserve">Forskingssenter for framtidas energieffektive og konkurransekraftige industri som skal sjå på utvikling og demonstrasjon av </w:t>
            </w:r>
            <w:proofErr w:type="spellStart"/>
            <w:r w:rsidRPr="00CC19F7">
              <w:t>teknologiar</w:t>
            </w:r>
            <w:proofErr w:type="spellEnd"/>
            <w:r w:rsidRPr="00CC19F7">
              <w:t xml:space="preserve"> som kan </w:t>
            </w:r>
            <w:proofErr w:type="spellStart"/>
            <w:r w:rsidRPr="00CC19F7">
              <w:t>forbetre</w:t>
            </w:r>
            <w:proofErr w:type="spellEnd"/>
            <w:r w:rsidRPr="00CC19F7">
              <w:t xml:space="preserve"> energieffektiviteten og redusere utslepp </w:t>
            </w:r>
            <w:proofErr w:type="spellStart"/>
            <w:r w:rsidRPr="00CC19F7">
              <w:t>frå</w:t>
            </w:r>
            <w:proofErr w:type="spellEnd"/>
            <w:r w:rsidRPr="00CC19F7">
              <w:t xml:space="preserve"> industrien.</w:t>
            </w:r>
          </w:p>
        </w:tc>
        <w:tc>
          <w:tcPr>
            <w:tcW w:w="1477" w:type="dxa"/>
            <w:tcBorders>
              <w:top w:val="single" w:sz="4" w:space="0" w:color="000000"/>
              <w:left w:val="nil"/>
              <w:bottom w:val="single" w:sz="4" w:space="0" w:color="000000"/>
              <w:right w:val="nil"/>
            </w:tcBorders>
            <w:tcMar>
              <w:top w:w="110" w:type="dxa"/>
              <w:left w:w="43" w:type="dxa"/>
              <w:bottom w:w="43" w:type="dxa"/>
              <w:right w:w="43" w:type="dxa"/>
            </w:tcMar>
          </w:tcPr>
          <w:p w14:paraId="75EB27F5" w14:textId="77777777" w:rsidR="00FE02EF" w:rsidRPr="00CC19F7" w:rsidRDefault="00881E58" w:rsidP="00CC19F7">
            <w:r w:rsidRPr="00CC19F7">
              <w:t>SINTEF Energi og NTNU</w:t>
            </w:r>
          </w:p>
        </w:tc>
        <w:tc>
          <w:tcPr>
            <w:tcW w:w="1559" w:type="dxa"/>
            <w:tcBorders>
              <w:top w:val="single" w:sz="4" w:space="0" w:color="000000"/>
              <w:left w:val="nil"/>
              <w:bottom w:val="single" w:sz="4" w:space="0" w:color="000000"/>
              <w:right w:val="nil"/>
            </w:tcBorders>
            <w:tcMar>
              <w:top w:w="110" w:type="dxa"/>
              <w:left w:w="43" w:type="dxa"/>
              <w:bottom w:w="43" w:type="dxa"/>
              <w:right w:w="43" w:type="dxa"/>
            </w:tcMar>
          </w:tcPr>
          <w:p w14:paraId="5968E461" w14:textId="77777777" w:rsidR="00FE02EF" w:rsidRPr="00CC19F7" w:rsidRDefault="00881E58" w:rsidP="00C0741D">
            <w:pPr>
              <w:jc w:val="right"/>
            </w:pPr>
            <w:r w:rsidRPr="00CC19F7">
              <w:t>2016–2024</w:t>
            </w:r>
          </w:p>
        </w:tc>
      </w:tr>
      <w:tr w:rsidR="00FE02EF" w:rsidRPr="00CC19F7" w14:paraId="51BEF3FA" w14:textId="77777777" w:rsidTr="00C0741D">
        <w:trPr>
          <w:trHeight w:val="1640"/>
        </w:trPr>
        <w:tc>
          <w:tcPr>
            <w:tcW w:w="2480" w:type="dxa"/>
            <w:tcBorders>
              <w:top w:val="single" w:sz="4" w:space="0" w:color="000000"/>
              <w:left w:val="nil"/>
              <w:bottom w:val="single" w:sz="4" w:space="0" w:color="000000"/>
              <w:right w:val="nil"/>
            </w:tcBorders>
            <w:tcMar>
              <w:top w:w="110" w:type="dxa"/>
              <w:left w:w="43" w:type="dxa"/>
              <w:bottom w:w="43" w:type="dxa"/>
              <w:right w:w="43" w:type="dxa"/>
            </w:tcMar>
          </w:tcPr>
          <w:p w14:paraId="44B44851" w14:textId="77777777" w:rsidR="00FE02EF" w:rsidRPr="00CA1D23" w:rsidRDefault="00881E58" w:rsidP="00CC19F7">
            <w:pPr>
              <w:rPr>
                <w:lang w:val="en-US"/>
              </w:rPr>
            </w:pPr>
            <w:r w:rsidRPr="00CA1D23">
              <w:rPr>
                <w:lang w:val="en-US"/>
              </w:rPr>
              <w:t xml:space="preserve">Mobility Zero Emission Energy Systems </w:t>
            </w:r>
            <w:r w:rsidRPr="00CA1D23">
              <w:rPr>
                <w:lang w:val="en-US"/>
              </w:rPr>
              <w:br/>
              <w:t>(MoZEES)</w:t>
            </w:r>
          </w:p>
        </w:tc>
        <w:tc>
          <w:tcPr>
            <w:tcW w:w="4080" w:type="dxa"/>
            <w:tcBorders>
              <w:top w:val="single" w:sz="4" w:space="0" w:color="000000"/>
              <w:left w:val="nil"/>
              <w:bottom w:val="single" w:sz="4" w:space="0" w:color="000000"/>
              <w:right w:val="nil"/>
            </w:tcBorders>
            <w:tcMar>
              <w:top w:w="110" w:type="dxa"/>
              <w:left w:w="43" w:type="dxa"/>
              <w:bottom w:w="43" w:type="dxa"/>
              <w:right w:w="43" w:type="dxa"/>
            </w:tcMar>
          </w:tcPr>
          <w:p w14:paraId="53472484" w14:textId="77777777" w:rsidR="00FE02EF" w:rsidRPr="00CC19F7" w:rsidRDefault="00881E58" w:rsidP="00CC19F7">
            <w:r w:rsidRPr="00CC19F7">
              <w:t xml:space="preserve">Forskingssenter for nullutsleppstransport som skal bidra til utvikling av nye batteri- og hydrogenmateriale, </w:t>
            </w:r>
            <w:proofErr w:type="spellStart"/>
            <w:r w:rsidRPr="00CC19F7">
              <w:t>komponentar</w:t>
            </w:r>
            <w:proofErr w:type="spellEnd"/>
            <w:r w:rsidRPr="00CC19F7">
              <w:t xml:space="preserve"> og system for </w:t>
            </w:r>
            <w:proofErr w:type="spellStart"/>
            <w:r w:rsidRPr="00CC19F7">
              <w:t>eksisterande</w:t>
            </w:r>
            <w:proofErr w:type="spellEnd"/>
            <w:r w:rsidRPr="00CC19F7">
              <w:t xml:space="preserve"> og framtidige </w:t>
            </w:r>
            <w:r w:rsidRPr="00CC19F7">
              <w:br/>
            </w:r>
            <w:proofErr w:type="spellStart"/>
            <w:r w:rsidRPr="00CC19F7">
              <w:t>applikasjonar</w:t>
            </w:r>
            <w:proofErr w:type="spellEnd"/>
            <w:r w:rsidRPr="00CC19F7">
              <w:t xml:space="preserve"> </w:t>
            </w:r>
            <w:proofErr w:type="spellStart"/>
            <w:r w:rsidRPr="00CC19F7">
              <w:t>innan</w:t>
            </w:r>
            <w:proofErr w:type="spellEnd"/>
            <w:r w:rsidRPr="00CC19F7">
              <w:t xml:space="preserve"> transportsektoren </w:t>
            </w:r>
            <w:r w:rsidRPr="00CC19F7">
              <w:br/>
              <w:t xml:space="preserve">(veg, </w:t>
            </w:r>
            <w:proofErr w:type="gramStart"/>
            <w:r w:rsidRPr="00CC19F7">
              <w:t>bane,</w:t>
            </w:r>
            <w:proofErr w:type="gramEnd"/>
            <w:r w:rsidRPr="00CC19F7">
              <w:t xml:space="preserve"> sjø).</w:t>
            </w:r>
          </w:p>
        </w:tc>
        <w:tc>
          <w:tcPr>
            <w:tcW w:w="1477" w:type="dxa"/>
            <w:tcBorders>
              <w:top w:val="single" w:sz="4" w:space="0" w:color="000000"/>
              <w:left w:val="nil"/>
              <w:bottom w:val="single" w:sz="4" w:space="0" w:color="000000"/>
              <w:right w:val="nil"/>
            </w:tcBorders>
            <w:tcMar>
              <w:top w:w="110" w:type="dxa"/>
              <w:left w:w="43" w:type="dxa"/>
              <w:bottom w:w="43" w:type="dxa"/>
              <w:right w:w="43" w:type="dxa"/>
            </w:tcMar>
          </w:tcPr>
          <w:p w14:paraId="6B50B4AA" w14:textId="77777777" w:rsidR="00FE02EF" w:rsidRPr="00CC19F7" w:rsidRDefault="00881E58" w:rsidP="00CC19F7">
            <w:r w:rsidRPr="00CC19F7">
              <w:t>IFE</w:t>
            </w:r>
          </w:p>
        </w:tc>
        <w:tc>
          <w:tcPr>
            <w:tcW w:w="1559" w:type="dxa"/>
            <w:tcBorders>
              <w:top w:val="single" w:sz="4" w:space="0" w:color="000000"/>
              <w:left w:val="nil"/>
              <w:bottom w:val="single" w:sz="4" w:space="0" w:color="000000"/>
              <w:right w:val="nil"/>
            </w:tcBorders>
            <w:tcMar>
              <w:top w:w="110" w:type="dxa"/>
              <w:left w:w="43" w:type="dxa"/>
              <w:bottom w:w="43" w:type="dxa"/>
              <w:right w:w="43" w:type="dxa"/>
            </w:tcMar>
          </w:tcPr>
          <w:p w14:paraId="122FE05C" w14:textId="77777777" w:rsidR="00FE02EF" w:rsidRPr="00CC19F7" w:rsidRDefault="00881E58" w:rsidP="00C0741D">
            <w:pPr>
              <w:jc w:val="right"/>
            </w:pPr>
            <w:r w:rsidRPr="00CC19F7">
              <w:t>2017–2024</w:t>
            </w:r>
          </w:p>
        </w:tc>
      </w:tr>
      <w:tr w:rsidR="00FE02EF" w:rsidRPr="00CC19F7" w14:paraId="5AA3DD1E" w14:textId="77777777" w:rsidTr="00C0741D">
        <w:trPr>
          <w:trHeight w:val="1380"/>
        </w:trPr>
        <w:tc>
          <w:tcPr>
            <w:tcW w:w="2480" w:type="dxa"/>
            <w:tcBorders>
              <w:top w:val="single" w:sz="4" w:space="0" w:color="000000"/>
              <w:left w:val="nil"/>
              <w:bottom w:val="single" w:sz="4" w:space="0" w:color="000000"/>
              <w:right w:val="nil"/>
            </w:tcBorders>
            <w:tcMar>
              <w:top w:w="110" w:type="dxa"/>
              <w:left w:w="43" w:type="dxa"/>
              <w:bottom w:w="43" w:type="dxa"/>
              <w:right w:w="43" w:type="dxa"/>
            </w:tcMar>
          </w:tcPr>
          <w:p w14:paraId="25A28D65" w14:textId="77777777" w:rsidR="00FE02EF" w:rsidRPr="00CA1D23" w:rsidRDefault="00881E58" w:rsidP="00CC19F7">
            <w:pPr>
              <w:rPr>
                <w:lang w:val="en-US"/>
              </w:rPr>
            </w:pPr>
            <w:r w:rsidRPr="00CA1D23">
              <w:rPr>
                <w:lang w:val="en-US"/>
              </w:rPr>
              <w:t xml:space="preserve">Norwegian Centre for Sustainable Bio-based </w:t>
            </w:r>
            <w:r w:rsidRPr="00CA1D23">
              <w:rPr>
                <w:lang w:val="en-US"/>
              </w:rPr>
              <w:br/>
              <w:t xml:space="preserve">Fuels and Energy </w:t>
            </w:r>
            <w:r w:rsidRPr="00CA1D23">
              <w:rPr>
                <w:lang w:val="en-US"/>
              </w:rPr>
              <w:br/>
              <w:t>(Bio4Fuels)</w:t>
            </w:r>
          </w:p>
        </w:tc>
        <w:tc>
          <w:tcPr>
            <w:tcW w:w="4080" w:type="dxa"/>
            <w:tcBorders>
              <w:top w:val="single" w:sz="4" w:space="0" w:color="000000"/>
              <w:left w:val="nil"/>
              <w:bottom w:val="single" w:sz="4" w:space="0" w:color="000000"/>
              <w:right w:val="nil"/>
            </w:tcBorders>
            <w:tcMar>
              <w:top w:w="110" w:type="dxa"/>
              <w:left w:w="43" w:type="dxa"/>
              <w:bottom w:w="43" w:type="dxa"/>
              <w:right w:w="43" w:type="dxa"/>
            </w:tcMar>
          </w:tcPr>
          <w:p w14:paraId="681731C8" w14:textId="77777777" w:rsidR="00FE02EF" w:rsidRPr="00CC19F7" w:rsidRDefault="00881E58" w:rsidP="00CC19F7">
            <w:r w:rsidRPr="00CC19F7">
              <w:t xml:space="preserve">Forskingssenter for </w:t>
            </w:r>
            <w:proofErr w:type="spellStart"/>
            <w:r w:rsidRPr="00CC19F7">
              <w:t>berekraftig</w:t>
            </w:r>
            <w:proofErr w:type="spellEnd"/>
            <w:r w:rsidRPr="00CC19F7">
              <w:t xml:space="preserve"> biodrivstoff som skal bidra til å redusere klimagassutslepp </w:t>
            </w:r>
            <w:proofErr w:type="spellStart"/>
            <w:r w:rsidRPr="00CC19F7">
              <w:t>frå</w:t>
            </w:r>
            <w:proofErr w:type="spellEnd"/>
            <w:r w:rsidRPr="00CC19F7">
              <w:t xml:space="preserve"> transportsektoren ved å </w:t>
            </w:r>
            <w:r w:rsidRPr="00CC19F7">
              <w:br/>
              <w:t xml:space="preserve">realisere </w:t>
            </w:r>
            <w:proofErr w:type="spellStart"/>
            <w:r w:rsidRPr="00CC19F7">
              <w:t>berekraftig</w:t>
            </w:r>
            <w:proofErr w:type="spellEnd"/>
            <w:r w:rsidRPr="00CC19F7">
              <w:t xml:space="preserve"> og økonomisk </w:t>
            </w:r>
            <w:r w:rsidRPr="00CC19F7">
              <w:br/>
              <w:t>norsk produksjon av biodrivstoff.</w:t>
            </w:r>
          </w:p>
        </w:tc>
        <w:tc>
          <w:tcPr>
            <w:tcW w:w="1477" w:type="dxa"/>
            <w:tcBorders>
              <w:top w:val="single" w:sz="4" w:space="0" w:color="000000"/>
              <w:left w:val="nil"/>
              <w:bottom w:val="single" w:sz="4" w:space="0" w:color="000000"/>
              <w:right w:val="nil"/>
            </w:tcBorders>
            <w:tcMar>
              <w:top w:w="110" w:type="dxa"/>
              <w:left w:w="43" w:type="dxa"/>
              <w:bottom w:w="43" w:type="dxa"/>
              <w:right w:w="43" w:type="dxa"/>
            </w:tcMar>
          </w:tcPr>
          <w:p w14:paraId="5CDDBA8B" w14:textId="77777777" w:rsidR="00FE02EF" w:rsidRPr="00CC19F7" w:rsidRDefault="00881E58" w:rsidP="00CC19F7">
            <w:r w:rsidRPr="00CC19F7">
              <w:t>NMBU</w:t>
            </w:r>
          </w:p>
        </w:tc>
        <w:tc>
          <w:tcPr>
            <w:tcW w:w="1559" w:type="dxa"/>
            <w:tcBorders>
              <w:top w:val="single" w:sz="4" w:space="0" w:color="000000"/>
              <w:left w:val="nil"/>
              <w:bottom w:val="single" w:sz="4" w:space="0" w:color="000000"/>
              <w:right w:val="nil"/>
            </w:tcBorders>
            <w:tcMar>
              <w:top w:w="110" w:type="dxa"/>
              <w:left w:w="43" w:type="dxa"/>
              <w:bottom w:w="43" w:type="dxa"/>
              <w:right w:w="43" w:type="dxa"/>
            </w:tcMar>
          </w:tcPr>
          <w:p w14:paraId="414A4E1F" w14:textId="77777777" w:rsidR="00FE02EF" w:rsidRPr="00CC19F7" w:rsidRDefault="00881E58" w:rsidP="00C0741D">
            <w:pPr>
              <w:jc w:val="right"/>
            </w:pPr>
            <w:r w:rsidRPr="00CC19F7">
              <w:t>2017–2025</w:t>
            </w:r>
          </w:p>
        </w:tc>
      </w:tr>
      <w:tr w:rsidR="00FE02EF" w:rsidRPr="00CC19F7" w14:paraId="4BF14D10" w14:textId="77777777" w:rsidTr="00C0741D">
        <w:trPr>
          <w:trHeight w:val="1120"/>
        </w:trPr>
        <w:tc>
          <w:tcPr>
            <w:tcW w:w="2480" w:type="dxa"/>
            <w:tcBorders>
              <w:top w:val="single" w:sz="4" w:space="0" w:color="000000"/>
              <w:left w:val="nil"/>
              <w:bottom w:val="single" w:sz="4" w:space="0" w:color="000000"/>
              <w:right w:val="nil"/>
            </w:tcBorders>
            <w:tcMar>
              <w:top w:w="110" w:type="dxa"/>
              <w:left w:w="43" w:type="dxa"/>
              <w:bottom w:w="43" w:type="dxa"/>
              <w:right w:w="43" w:type="dxa"/>
            </w:tcMar>
          </w:tcPr>
          <w:p w14:paraId="5B66AA47" w14:textId="77777777" w:rsidR="00FE02EF" w:rsidRPr="00CA1D23" w:rsidRDefault="00881E58" w:rsidP="00CC19F7">
            <w:pPr>
              <w:rPr>
                <w:lang w:val="en-US"/>
              </w:rPr>
            </w:pPr>
            <w:r w:rsidRPr="00CA1D23">
              <w:rPr>
                <w:lang w:val="en-US"/>
              </w:rPr>
              <w:t xml:space="preserve">Research Centre for </w:t>
            </w:r>
            <w:r w:rsidRPr="00CA1D23">
              <w:rPr>
                <w:lang w:val="en-US"/>
              </w:rPr>
              <w:br/>
              <w:t xml:space="preserve">Sustainable Solar Cell Technologies </w:t>
            </w:r>
            <w:r w:rsidRPr="00CA1D23">
              <w:rPr>
                <w:lang w:val="en-US"/>
              </w:rPr>
              <w:br/>
              <w:t>(SUSOLTECH)</w:t>
            </w:r>
          </w:p>
        </w:tc>
        <w:tc>
          <w:tcPr>
            <w:tcW w:w="4080" w:type="dxa"/>
            <w:tcBorders>
              <w:top w:val="single" w:sz="4" w:space="0" w:color="000000"/>
              <w:left w:val="nil"/>
              <w:bottom w:val="single" w:sz="4" w:space="0" w:color="000000"/>
              <w:right w:val="nil"/>
            </w:tcBorders>
            <w:tcMar>
              <w:top w:w="110" w:type="dxa"/>
              <w:left w:w="43" w:type="dxa"/>
              <w:bottom w:w="43" w:type="dxa"/>
              <w:right w:w="43" w:type="dxa"/>
            </w:tcMar>
          </w:tcPr>
          <w:p w14:paraId="0C9F5298" w14:textId="77777777" w:rsidR="00FE02EF" w:rsidRPr="00CC19F7" w:rsidRDefault="00881E58" w:rsidP="00CC19F7">
            <w:r w:rsidRPr="00CC19F7">
              <w:t xml:space="preserve">Forskingssenter for </w:t>
            </w:r>
            <w:proofErr w:type="spellStart"/>
            <w:r w:rsidRPr="00CC19F7">
              <w:t>berekraftig</w:t>
            </w:r>
            <w:proofErr w:type="spellEnd"/>
            <w:r w:rsidRPr="00CC19F7">
              <w:t xml:space="preserve"> solcelleteknologi som skal bidra til utvikling av kostnadseffektiv produksjon av materiale </w:t>
            </w:r>
            <w:r w:rsidRPr="00CC19F7">
              <w:br/>
              <w:t>til solcelleindustrien.</w:t>
            </w:r>
          </w:p>
        </w:tc>
        <w:tc>
          <w:tcPr>
            <w:tcW w:w="1477" w:type="dxa"/>
            <w:tcBorders>
              <w:top w:val="single" w:sz="4" w:space="0" w:color="000000"/>
              <w:left w:val="nil"/>
              <w:bottom w:val="single" w:sz="4" w:space="0" w:color="000000"/>
              <w:right w:val="nil"/>
            </w:tcBorders>
            <w:tcMar>
              <w:top w:w="110" w:type="dxa"/>
              <w:left w:w="43" w:type="dxa"/>
              <w:bottom w:w="43" w:type="dxa"/>
              <w:right w:w="43" w:type="dxa"/>
            </w:tcMar>
          </w:tcPr>
          <w:p w14:paraId="57303ACE" w14:textId="77777777" w:rsidR="00FE02EF" w:rsidRPr="00CC19F7" w:rsidRDefault="00881E58" w:rsidP="00CC19F7">
            <w:r w:rsidRPr="00CC19F7">
              <w:t>IFE</w:t>
            </w:r>
          </w:p>
        </w:tc>
        <w:tc>
          <w:tcPr>
            <w:tcW w:w="1559" w:type="dxa"/>
            <w:tcBorders>
              <w:top w:val="single" w:sz="4" w:space="0" w:color="000000"/>
              <w:left w:val="nil"/>
              <w:bottom w:val="single" w:sz="4" w:space="0" w:color="000000"/>
              <w:right w:val="nil"/>
            </w:tcBorders>
            <w:tcMar>
              <w:top w:w="110" w:type="dxa"/>
              <w:left w:w="43" w:type="dxa"/>
              <w:bottom w:w="43" w:type="dxa"/>
              <w:right w:w="43" w:type="dxa"/>
            </w:tcMar>
          </w:tcPr>
          <w:p w14:paraId="704CC367" w14:textId="77777777" w:rsidR="00FE02EF" w:rsidRPr="00CC19F7" w:rsidRDefault="00881E58" w:rsidP="00C0741D">
            <w:pPr>
              <w:jc w:val="right"/>
            </w:pPr>
            <w:r w:rsidRPr="00CC19F7">
              <w:t>2017–2025</w:t>
            </w:r>
          </w:p>
        </w:tc>
      </w:tr>
      <w:tr w:rsidR="00FE02EF" w:rsidRPr="00CC19F7" w14:paraId="1716E3D4" w14:textId="77777777" w:rsidTr="00C0741D">
        <w:trPr>
          <w:trHeight w:val="1380"/>
        </w:trPr>
        <w:tc>
          <w:tcPr>
            <w:tcW w:w="2480" w:type="dxa"/>
            <w:tcBorders>
              <w:top w:val="single" w:sz="4" w:space="0" w:color="000000"/>
              <w:left w:val="nil"/>
              <w:bottom w:val="single" w:sz="4" w:space="0" w:color="000000"/>
              <w:right w:val="nil"/>
            </w:tcBorders>
            <w:tcMar>
              <w:top w:w="110" w:type="dxa"/>
              <w:left w:w="43" w:type="dxa"/>
              <w:bottom w:w="43" w:type="dxa"/>
              <w:right w:w="43" w:type="dxa"/>
            </w:tcMar>
          </w:tcPr>
          <w:p w14:paraId="03264864" w14:textId="77777777" w:rsidR="00FE02EF" w:rsidRPr="00CA1D23" w:rsidRDefault="00881E58" w:rsidP="00CC19F7">
            <w:pPr>
              <w:rPr>
                <w:lang w:val="en-US"/>
              </w:rPr>
            </w:pPr>
            <w:r w:rsidRPr="00CA1D23">
              <w:rPr>
                <w:lang w:val="en-US"/>
              </w:rPr>
              <w:t xml:space="preserve">Norwegian Research </w:t>
            </w:r>
            <w:r w:rsidRPr="00CA1D23">
              <w:rPr>
                <w:lang w:val="en-US"/>
              </w:rPr>
              <w:br/>
              <w:t>Centre for Hydropower Technology (HydroCen)</w:t>
            </w:r>
          </w:p>
        </w:tc>
        <w:tc>
          <w:tcPr>
            <w:tcW w:w="4080" w:type="dxa"/>
            <w:tcBorders>
              <w:top w:val="single" w:sz="4" w:space="0" w:color="000000"/>
              <w:left w:val="nil"/>
              <w:bottom w:val="single" w:sz="4" w:space="0" w:color="000000"/>
              <w:right w:val="nil"/>
            </w:tcBorders>
            <w:tcMar>
              <w:top w:w="110" w:type="dxa"/>
              <w:left w:w="43" w:type="dxa"/>
              <w:bottom w:w="43" w:type="dxa"/>
              <w:right w:w="43" w:type="dxa"/>
            </w:tcMar>
          </w:tcPr>
          <w:p w14:paraId="6EB3D52E" w14:textId="3CE811B4" w:rsidR="00FE02EF" w:rsidRPr="00CC19F7" w:rsidRDefault="00881E58" w:rsidP="00CC19F7">
            <w:r w:rsidRPr="00CC19F7">
              <w:t xml:space="preserve">Forskingssenter for vasskraftteknologi som skal bidra til </w:t>
            </w:r>
            <w:proofErr w:type="spellStart"/>
            <w:r w:rsidRPr="00CC19F7">
              <w:t>vidareutvikling</w:t>
            </w:r>
            <w:proofErr w:type="spellEnd"/>
            <w:r w:rsidRPr="00CC19F7">
              <w:t xml:space="preserve"> av vasskraft for at denne skal </w:t>
            </w:r>
            <w:proofErr w:type="spellStart"/>
            <w:r w:rsidRPr="00CC19F7">
              <w:t>driftast</w:t>
            </w:r>
            <w:proofErr w:type="spellEnd"/>
            <w:r w:rsidRPr="00CC19F7">
              <w:t xml:space="preserve"> enda </w:t>
            </w:r>
            <w:proofErr w:type="spellStart"/>
            <w:r w:rsidRPr="00CC19F7">
              <w:t>meir</w:t>
            </w:r>
            <w:proofErr w:type="spellEnd"/>
            <w:r w:rsidRPr="00CC19F7">
              <w:t xml:space="preserve"> fleksibelt og </w:t>
            </w:r>
            <w:proofErr w:type="spellStart"/>
            <w:r w:rsidRPr="00CC19F7">
              <w:t>berekraftig</w:t>
            </w:r>
            <w:proofErr w:type="spellEnd"/>
            <w:r w:rsidRPr="00CC19F7">
              <w:t xml:space="preserve"> i samvirke </w:t>
            </w:r>
            <w:r w:rsidRPr="00CC19F7">
              <w:br/>
              <w:t>med sol- og vindkraft.</w:t>
            </w:r>
          </w:p>
        </w:tc>
        <w:tc>
          <w:tcPr>
            <w:tcW w:w="1477" w:type="dxa"/>
            <w:tcBorders>
              <w:top w:val="single" w:sz="4" w:space="0" w:color="000000"/>
              <w:left w:val="nil"/>
              <w:bottom w:val="single" w:sz="4" w:space="0" w:color="000000"/>
              <w:right w:val="nil"/>
            </w:tcBorders>
            <w:tcMar>
              <w:top w:w="110" w:type="dxa"/>
              <w:left w:w="43" w:type="dxa"/>
              <w:bottom w:w="43" w:type="dxa"/>
              <w:right w:w="43" w:type="dxa"/>
            </w:tcMar>
          </w:tcPr>
          <w:p w14:paraId="0406300A" w14:textId="77777777" w:rsidR="00FE02EF" w:rsidRPr="00CC19F7" w:rsidRDefault="00881E58" w:rsidP="00CC19F7">
            <w:r w:rsidRPr="00CC19F7">
              <w:t>NTNU</w:t>
            </w:r>
          </w:p>
        </w:tc>
        <w:tc>
          <w:tcPr>
            <w:tcW w:w="1559" w:type="dxa"/>
            <w:tcBorders>
              <w:top w:val="single" w:sz="4" w:space="0" w:color="000000"/>
              <w:left w:val="nil"/>
              <w:bottom w:val="single" w:sz="4" w:space="0" w:color="000000"/>
              <w:right w:val="nil"/>
            </w:tcBorders>
            <w:tcMar>
              <w:top w:w="110" w:type="dxa"/>
              <w:left w:w="43" w:type="dxa"/>
              <w:bottom w:w="43" w:type="dxa"/>
              <w:right w:w="43" w:type="dxa"/>
            </w:tcMar>
          </w:tcPr>
          <w:p w14:paraId="7C6DB071" w14:textId="77777777" w:rsidR="00FE02EF" w:rsidRPr="00CC19F7" w:rsidRDefault="00881E58" w:rsidP="00C0741D">
            <w:pPr>
              <w:jc w:val="right"/>
            </w:pPr>
            <w:r w:rsidRPr="00CC19F7">
              <w:t>2016–2024</w:t>
            </w:r>
          </w:p>
        </w:tc>
      </w:tr>
      <w:tr w:rsidR="00FE02EF" w:rsidRPr="00CC19F7" w14:paraId="090B316C" w14:textId="77777777" w:rsidTr="00C0741D">
        <w:trPr>
          <w:trHeight w:val="1380"/>
        </w:trPr>
        <w:tc>
          <w:tcPr>
            <w:tcW w:w="2480" w:type="dxa"/>
            <w:tcBorders>
              <w:top w:val="single" w:sz="4" w:space="0" w:color="000000"/>
              <w:left w:val="nil"/>
              <w:bottom w:val="single" w:sz="4" w:space="0" w:color="000000"/>
              <w:right w:val="nil"/>
            </w:tcBorders>
            <w:tcMar>
              <w:top w:w="110" w:type="dxa"/>
              <w:left w:w="43" w:type="dxa"/>
              <w:bottom w:w="43" w:type="dxa"/>
              <w:right w:w="43" w:type="dxa"/>
            </w:tcMar>
          </w:tcPr>
          <w:p w14:paraId="642EEA65" w14:textId="77777777" w:rsidR="00FE02EF" w:rsidRPr="00CA1D23" w:rsidRDefault="00881E58" w:rsidP="00CC19F7">
            <w:pPr>
              <w:rPr>
                <w:lang w:val="en-US"/>
              </w:rPr>
            </w:pPr>
            <w:r w:rsidRPr="00CA1D23">
              <w:rPr>
                <w:lang w:val="en-US"/>
              </w:rPr>
              <w:t xml:space="preserve">Norwegian Research </w:t>
            </w:r>
            <w:r w:rsidRPr="00CA1D23">
              <w:rPr>
                <w:lang w:val="en-US"/>
              </w:rPr>
              <w:br/>
              <w:t>Centre on Wind Energy (NorthWind)</w:t>
            </w:r>
          </w:p>
        </w:tc>
        <w:tc>
          <w:tcPr>
            <w:tcW w:w="4080" w:type="dxa"/>
            <w:tcBorders>
              <w:top w:val="single" w:sz="4" w:space="0" w:color="000000"/>
              <w:left w:val="nil"/>
              <w:bottom w:val="single" w:sz="4" w:space="0" w:color="000000"/>
              <w:right w:val="nil"/>
            </w:tcBorders>
            <w:tcMar>
              <w:top w:w="110" w:type="dxa"/>
              <w:left w:w="43" w:type="dxa"/>
              <w:bottom w:w="43" w:type="dxa"/>
              <w:right w:w="43" w:type="dxa"/>
            </w:tcMar>
          </w:tcPr>
          <w:p w14:paraId="76E30F3D" w14:textId="77777777" w:rsidR="00FE02EF" w:rsidRPr="00CC19F7" w:rsidRDefault="00881E58" w:rsidP="00CC19F7">
            <w:r w:rsidRPr="00CC19F7">
              <w:t xml:space="preserve">Forskingssenter for vindenergi som skal bidra til å redusere kostnadene ved </w:t>
            </w:r>
            <w:r w:rsidRPr="00CC19F7">
              <w:br/>
              <w:t xml:space="preserve">vindkraft, legge til rette for </w:t>
            </w:r>
            <w:proofErr w:type="spellStart"/>
            <w:r w:rsidRPr="00CC19F7">
              <w:t>berekraftig</w:t>
            </w:r>
            <w:proofErr w:type="spellEnd"/>
            <w:r w:rsidRPr="00CC19F7">
              <w:t xml:space="preserve"> utvikling, skape </w:t>
            </w:r>
            <w:proofErr w:type="spellStart"/>
            <w:r w:rsidRPr="00CC19F7">
              <w:t>arbeidsplassar</w:t>
            </w:r>
            <w:proofErr w:type="spellEnd"/>
            <w:r w:rsidRPr="00CC19F7">
              <w:t xml:space="preserve"> og </w:t>
            </w:r>
            <w:proofErr w:type="spellStart"/>
            <w:r w:rsidRPr="00CC19F7">
              <w:t>auke</w:t>
            </w:r>
            <w:proofErr w:type="spellEnd"/>
            <w:r w:rsidRPr="00CC19F7">
              <w:t xml:space="preserve"> eksporten.</w:t>
            </w:r>
          </w:p>
        </w:tc>
        <w:tc>
          <w:tcPr>
            <w:tcW w:w="1477" w:type="dxa"/>
            <w:tcBorders>
              <w:top w:val="single" w:sz="4" w:space="0" w:color="000000"/>
              <w:left w:val="nil"/>
              <w:bottom w:val="single" w:sz="4" w:space="0" w:color="000000"/>
              <w:right w:val="nil"/>
            </w:tcBorders>
            <w:tcMar>
              <w:top w:w="110" w:type="dxa"/>
              <w:left w:w="43" w:type="dxa"/>
              <w:bottom w:w="43" w:type="dxa"/>
              <w:right w:w="43" w:type="dxa"/>
            </w:tcMar>
          </w:tcPr>
          <w:p w14:paraId="7FCC7C3C" w14:textId="77777777" w:rsidR="00FE02EF" w:rsidRPr="00CC19F7" w:rsidRDefault="00881E58" w:rsidP="00CC19F7">
            <w:r w:rsidRPr="00CC19F7">
              <w:t>SINTEF Energi</w:t>
            </w:r>
          </w:p>
        </w:tc>
        <w:tc>
          <w:tcPr>
            <w:tcW w:w="1559" w:type="dxa"/>
            <w:tcBorders>
              <w:top w:val="single" w:sz="4" w:space="0" w:color="000000"/>
              <w:left w:val="nil"/>
              <w:bottom w:val="single" w:sz="4" w:space="0" w:color="000000"/>
              <w:right w:val="nil"/>
            </w:tcBorders>
            <w:tcMar>
              <w:top w:w="110" w:type="dxa"/>
              <w:left w:w="43" w:type="dxa"/>
              <w:bottom w:w="43" w:type="dxa"/>
              <w:right w:w="43" w:type="dxa"/>
            </w:tcMar>
          </w:tcPr>
          <w:p w14:paraId="62C70B59" w14:textId="77777777" w:rsidR="00FE02EF" w:rsidRPr="00CC19F7" w:rsidRDefault="00881E58" w:rsidP="00C0741D">
            <w:pPr>
              <w:jc w:val="right"/>
            </w:pPr>
            <w:r w:rsidRPr="00CC19F7">
              <w:t>2021–2029</w:t>
            </w:r>
          </w:p>
        </w:tc>
      </w:tr>
      <w:tr w:rsidR="00FE02EF" w:rsidRPr="00CC19F7" w14:paraId="2B3EC7EF" w14:textId="77777777" w:rsidTr="00C0741D">
        <w:trPr>
          <w:trHeight w:val="1640"/>
        </w:trPr>
        <w:tc>
          <w:tcPr>
            <w:tcW w:w="2480" w:type="dxa"/>
            <w:tcBorders>
              <w:top w:val="single" w:sz="4" w:space="0" w:color="000000"/>
              <w:left w:val="nil"/>
              <w:bottom w:val="single" w:sz="4" w:space="0" w:color="000000"/>
              <w:right w:val="nil"/>
            </w:tcBorders>
            <w:tcMar>
              <w:top w:w="110" w:type="dxa"/>
              <w:left w:w="43" w:type="dxa"/>
              <w:bottom w:w="43" w:type="dxa"/>
              <w:right w:w="43" w:type="dxa"/>
            </w:tcMar>
          </w:tcPr>
          <w:p w14:paraId="0D73B8C8" w14:textId="77777777" w:rsidR="00FE02EF" w:rsidRPr="00CA1D23" w:rsidRDefault="00881E58" w:rsidP="00CC19F7">
            <w:pPr>
              <w:rPr>
                <w:lang w:val="en-US"/>
              </w:rPr>
            </w:pPr>
            <w:r w:rsidRPr="00CA1D23">
              <w:rPr>
                <w:lang w:val="en-US"/>
              </w:rPr>
              <w:t xml:space="preserve">Centre for Intelligent </w:t>
            </w:r>
            <w:r w:rsidRPr="00CA1D23">
              <w:rPr>
                <w:lang w:val="en-US"/>
              </w:rPr>
              <w:br/>
              <w:t>Electricity Distribution (CINELDI)</w:t>
            </w:r>
          </w:p>
        </w:tc>
        <w:tc>
          <w:tcPr>
            <w:tcW w:w="4080" w:type="dxa"/>
            <w:tcBorders>
              <w:top w:val="single" w:sz="4" w:space="0" w:color="000000"/>
              <w:left w:val="nil"/>
              <w:bottom w:val="single" w:sz="4" w:space="0" w:color="000000"/>
              <w:right w:val="nil"/>
            </w:tcBorders>
            <w:tcMar>
              <w:top w:w="110" w:type="dxa"/>
              <w:left w:w="43" w:type="dxa"/>
              <w:bottom w:w="43" w:type="dxa"/>
              <w:right w:w="43" w:type="dxa"/>
            </w:tcMar>
          </w:tcPr>
          <w:p w14:paraId="2B847B24" w14:textId="77777777" w:rsidR="00FE02EF" w:rsidRPr="00CC19F7" w:rsidRDefault="00881E58" w:rsidP="00CC19F7">
            <w:r w:rsidRPr="00CC19F7">
              <w:t xml:space="preserve">Forskingssenter for intelligente elektriske distribusjonsnett som skal bidra til modernisering og digitalisering av distribusjonsnettet for </w:t>
            </w:r>
            <w:proofErr w:type="spellStart"/>
            <w:r w:rsidRPr="00CC19F7">
              <w:t>auka</w:t>
            </w:r>
            <w:proofErr w:type="spellEnd"/>
            <w:r w:rsidRPr="00CC19F7">
              <w:t xml:space="preserve"> effektivitet, fleksibilitet og </w:t>
            </w:r>
            <w:proofErr w:type="spellStart"/>
            <w:r w:rsidRPr="00CC19F7">
              <w:t>robustheit</w:t>
            </w:r>
            <w:proofErr w:type="spellEnd"/>
            <w:r w:rsidRPr="00CC19F7">
              <w:t xml:space="preserve"> i møte med </w:t>
            </w:r>
            <w:proofErr w:type="spellStart"/>
            <w:r w:rsidRPr="00CC19F7">
              <w:t>auka</w:t>
            </w:r>
            <w:proofErr w:type="spellEnd"/>
            <w:r w:rsidRPr="00CC19F7">
              <w:t xml:space="preserve"> elektrifisering av samfunnet.</w:t>
            </w:r>
          </w:p>
        </w:tc>
        <w:tc>
          <w:tcPr>
            <w:tcW w:w="1477" w:type="dxa"/>
            <w:tcBorders>
              <w:top w:val="single" w:sz="4" w:space="0" w:color="000000"/>
              <w:left w:val="nil"/>
              <w:bottom w:val="single" w:sz="4" w:space="0" w:color="000000"/>
              <w:right w:val="nil"/>
            </w:tcBorders>
            <w:tcMar>
              <w:top w:w="110" w:type="dxa"/>
              <w:left w:w="43" w:type="dxa"/>
              <w:bottom w:w="43" w:type="dxa"/>
              <w:right w:w="43" w:type="dxa"/>
            </w:tcMar>
          </w:tcPr>
          <w:p w14:paraId="1474ED8C" w14:textId="77777777" w:rsidR="00FE02EF" w:rsidRPr="00CC19F7" w:rsidRDefault="00881E58" w:rsidP="00CC19F7">
            <w:r w:rsidRPr="00CC19F7">
              <w:t>SINTEF Energi</w:t>
            </w:r>
          </w:p>
        </w:tc>
        <w:tc>
          <w:tcPr>
            <w:tcW w:w="1559" w:type="dxa"/>
            <w:tcBorders>
              <w:top w:val="single" w:sz="4" w:space="0" w:color="000000"/>
              <w:left w:val="nil"/>
              <w:bottom w:val="single" w:sz="4" w:space="0" w:color="000000"/>
              <w:right w:val="nil"/>
            </w:tcBorders>
            <w:tcMar>
              <w:top w:w="110" w:type="dxa"/>
              <w:left w:w="43" w:type="dxa"/>
              <w:bottom w:w="43" w:type="dxa"/>
              <w:right w:w="43" w:type="dxa"/>
            </w:tcMar>
          </w:tcPr>
          <w:p w14:paraId="64C9C2B0" w14:textId="77777777" w:rsidR="00FE02EF" w:rsidRPr="00CC19F7" w:rsidRDefault="00881E58" w:rsidP="00C0741D">
            <w:pPr>
              <w:jc w:val="right"/>
            </w:pPr>
            <w:r w:rsidRPr="00CC19F7">
              <w:t>2016–2024</w:t>
            </w:r>
          </w:p>
        </w:tc>
      </w:tr>
      <w:tr w:rsidR="00FE02EF" w:rsidRPr="00CC19F7" w14:paraId="3E27B5F0" w14:textId="77777777" w:rsidTr="00C0741D">
        <w:trPr>
          <w:trHeight w:val="1120"/>
        </w:trPr>
        <w:tc>
          <w:tcPr>
            <w:tcW w:w="2480" w:type="dxa"/>
            <w:tcBorders>
              <w:top w:val="single" w:sz="4" w:space="0" w:color="000000"/>
              <w:left w:val="nil"/>
              <w:bottom w:val="single" w:sz="4" w:space="0" w:color="000000"/>
              <w:right w:val="nil"/>
            </w:tcBorders>
            <w:tcMar>
              <w:top w:w="110" w:type="dxa"/>
              <w:left w:w="43" w:type="dxa"/>
              <w:bottom w:w="43" w:type="dxa"/>
              <w:right w:w="43" w:type="dxa"/>
            </w:tcMar>
          </w:tcPr>
          <w:p w14:paraId="2288E82E" w14:textId="77777777" w:rsidR="00FE02EF" w:rsidRPr="00CA1D23" w:rsidRDefault="00881E58" w:rsidP="00CC19F7">
            <w:pPr>
              <w:rPr>
                <w:lang w:val="en-US"/>
              </w:rPr>
            </w:pPr>
            <w:r w:rsidRPr="00CA1D23">
              <w:rPr>
                <w:lang w:val="en-US"/>
              </w:rPr>
              <w:t xml:space="preserve">INCLUsive </w:t>
            </w:r>
            <w:r w:rsidRPr="00CA1D23">
              <w:rPr>
                <w:lang w:val="en-US"/>
              </w:rPr>
              <w:br/>
              <w:t xml:space="preserve">Decarbonization and Energy Transition (INCLUDE) </w:t>
            </w:r>
          </w:p>
        </w:tc>
        <w:tc>
          <w:tcPr>
            <w:tcW w:w="4080" w:type="dxa"/>
            <w:tcBorders>
              <w:top w:val="single" w:sz="4" w:space="0" w:color="000000"/>
              <w:left w:val="nil"/>
              <w:bottom w:val="single" w:sz="4" w:space="0" w:color="000000"/>
              <w:right w:val="nil"/>
            </w:tcBorders>
            <w:tcMar>
              <w:top w:w="110" w:type="dxa"/>
              <w:left w:w="43" w:type="dxa"/>
              <w:bottom w:w="43" w:type="dxa"/>
              <w:right w:w="43" w:type="dxa"/>
            </w:tcMar>
          </w:tcPr>
          <w:p w14:paraId="793FE3B5" w14:textId="77777777" w:rsidR="00FE02EF" w:rsidRPr="00CC19F7" w:rsidRDefault="00881E58" w:rsidP="00CC19F7">
            <w:r w:rsidRPr="00CC19F7">
              <w:t xml:space="preserve">Forskingssenter for sosialt </w:t>
            </w:r>
            <w:proofErr w:type="spellStart"/>
            <w:r w:rsidRPr="00CC19F7">
              <w:t>inkluderande</w:t>
            </w:r>
            <w:proofErr w:type="spellEnd"/>
            <w:r w:rsidRPr="00CC19F7">
              <w:t xml:space="preserve"> energiomstilling som skal skaffe kunnskap om korleis </w:t>
            </w:r>
            <w:proofErr w:type="spellStart"/>
            <w:r w:rsidRPr="00CC19F7">
              <w:t>me</w:t>
            </w:r>
            <w:proofErr w:type="spellEnd"/>
            <w:r w:rsidRPr="00CC19F7">
              <w:t xml:space="preserve"> kan realisere </w:t>
            </w:r>
            <w:proofErr w:type="spellStart"/>
            <w:r w:rsidRPr="00CC19F7">
              <w:t>eit</w:t>
            </w:r>
            <w:proofErr w:type="spellEnd"/>
            <w:r w:rsidRPr="00CC19F7">
              <w:t xml:space="preserve"> rettferdig </w:t>
            </w:r>
            <w:proofErr w:type="spellStart"/>
            <w:r w:rsidRPr="00CC19F7">
              <w:t>lågutsleppssamfunn</w:t>
            </w:r>
            <w:proofErr w:type="spellEnd"/>
            <w:r w:rsidRPr="00CC19F7">
              <w:t>.</w:t>
            </w:r>
          </w:p>
        </w:tc>
        <w:tc>
          <w:tcPr>
            <w:tcW w:w="1477" w:type="dxa"/>
            <w:tcBorders>
              <w:top w:val="single" w:sz="4" w:space="0" w:color="000000"/>
              <w:left w:val="nil"/>
              <w:bottom w:val="single" w:sz="4" w:space="0" w:color="000000"/>
              <w:right w:val="nil"/>
            </w:tcBorders>
            <w:tcMar>
              <w:top w:w="110" w:type="dxa"/>
              <w:left w:w="43" w:type="dxa"/>
              <w:bottom w:w="43" w:type="dxa"/>
              <w:right w:w="43" w:type="dxa"/>
            </w:tcMar>
          </w:tcPr>
          <w:p w14:paraId="230F7D08" w14:textId="77777777" w:rsidR="00FE02EF" w:rsidRPr="00CC19F7" w:rsidRDefault="00881E58" w:rsidP="00CC19F7">
            <w:r w:rsidRPr="00CC19F7">
              <w:t xml:space="preserve">UiO </w:t>
            </w:r>
          </w:p>
        </w:tc>
        <w:tc>
          <w:tcPr>
            <w:tcW w:w="1559" w:type="dxa"/>
            <w:tcBorders>
              <w:top w:val="single" w:sz="4" w:space="0" w:color="000000"/>
              <w:left w:val="nil"/>
              <w:bottom w:val="single" w:sz="4" w:space="0" w:color="000000"/>
              <w:right w:val="nil"/>
            </w:tcBorders>
            <w:tcMar>
              <w:top w:w="110" w:type="dxa"/>
              <w:left w:w="43" w:type="dxa"/>
              <w:bottom w:w="43" w:type="dxa"/>
              <w:right w:w="43" w:type="dxa"/>
            </w:tcMar>
          </w:tcPr>
          <w:p w14:paraId="243C7380" w14:textId="77777777" w:rsidR="00FE02EF" w:rsidRPr="00CC19F7" w:rsidRDefault="00881E58" w:rsidP="00C0741D">
            <w:pPr>
              <w:jc w:val="right"/>
            </w:pPr>
            <w:r w:rsidRPr="00CC19F7">
              <w:t>2019–2027</w:t>
            </w:r>
          </w:p>
        </w:tc>
      </w:tr>
      <w:tr w:rsidR="00FE02EF" w:rsidRPr="00CC19F7" w14:paraId="49323344" w14:textId="77777777" w:rsidTr="00C0741D">
        <w:trPr>
          <w:trHeight w:val="1120"/>
        </w:trPr>
        <w:tc>
          <w:tcPr>
            <w:tcW w:w="2480" w:type="dxa"/>
            <w:tcBorders>
              <w:top w:val="single" w:sz="4" w:space="0" w:color="000000"/>
              <w:left w:val="nil"/>
              <w:bottom w:val="single" w:sz="4" w:space="0" w:color="000000"/>
              <w:right w:val="nil"/>
            </w:tcBorders>
            <w:tcMar>
              <w:top w:w="110" w:type="dxa"/>
              <w:left w:w="43" w:type="dxa"/>
              <w:bottom w:w="43" w:type="dxa"/>
              <w:right w:w="43" w:type="dxa"/>
            </w:tcMar>
          </w:tcPr>
          <w:p w14:paraId="147B9A1F" w14:textId="77777777" w:rsidR="00FE02EF" w:rsidRPr="00CC19F7" w:rsidRDefault="00881E58" w:rsidP="00CC19F7">
            <w:r w:rsidRPr="00CC19F7">
              <w:t xml:space="preserve">Norsk senter for </w:t>
            </w:r>
            <w:proofErr w:type="spellStart"/>
            <w:r w:rsidRPr="00CC19F7">
              <w:t>energiomstillingsstrategiar</w:t>
            </w:r>
            <w:proofErr w:type="spellEnd"/>
            <w:r w:rsidRPr="00CC19F7">
              <w:t xml:space="preserve"> (NTRANS) </w:t>
            </w:r>
          </w:p>
        </w:tc>
        <w:tc>
          <w:tcPr>
            <w:tcW w:w="4080" w:type="dxa"/>
            <w:tcBorders>
              <w:top w:val="single" w:sz="4" w:space="0" w:color="000000"/>
              <w:left w:val="nil"/>
              <w:bottom w:val="single" w:sz="4" w:space="0" w:color="000000"/>
              <w:right w:val="nil"/>
            </w:tcBorders>
            <w:tcMar>
              <w:top w:w="110" w:type="dxa"/>
              <w:left w:w="43" w:type="dxa"/>
              <w:bottom w:w="43" w:type="dxa"/>
              <w:right w:w="43" w:type="dxa"/>
            </w:tcMar>
          </w:tcPr>
          <w:p w14:paraId="64D45A3F" w14:textId="77777777" w:rsidR="00FE02EF" w:rsidRPr="00CC19F7" w:rsidRDefault="00881E58" w:rsidP="00CC19F7">
            <w:r w:rsidRPr="00CC19F7">
              <w:t xml:space="preserve">Forskingssenter som skal forske på kva rolle energisystemet har i avkarbonisering av </w:t>
            </w:r>
            <w:proofErr w:type="spellStart"/>
            <w:r w:rsidRPr="00CC19F7">
              <w:t>sektorar</w:t>
            </w:r>
            <w:proofErr w:type="spellEnd"/>
            <w:r w:rsidRPr="00CC19F7">
              <w:t xml:space="preserve"> som energi, transport, industri, bygg og </w:t>
            </w:r>
            <w:proofErr w:type="spellStart"/>
            <w:r w:rsidRPr="00CC19F7">
              <w:t>hushaldningar</w:t>
            </w:r>
            <w:proofErr w:type="spellEnd"/>
            <w:r w:rsidRPr="00CC19F7">
              <w:t>.</w:t>
            </w:r>
          </w:p>
        </w:tc>
        <w:tc>
          <w:tcPr>
            <w:tcW w:w="1477" w:type="dxa"/>
            <w:tcBorders>
              <w:top w:val="single" w:sz="4" w:space="0" w:color="000000"/>
              <w:left w:val="nil"/>
              <w:bottom w:val="single" w:sz="4" w:space="0" w:color="000000"/>
              <w:right w:val="nil"/>
            </w:tcBorders>
            <w:tcMar>
              <w:top w:w="110" w:type="dxa"/>
              <w:left w:w="43" w:type="dxa"/>
              <w:bottom w:w="43" w:type="dxa"/>
              <w:right w:w="43" w:type="dxa"/>
            </w:tcMar>
          </w:tcPr>
          <w:p w14:paraId="41970B90" w14:textId="77777777" w:rsidR="00FE02EF" w:rsidRPr="00CC19F7" w:rsidRDefault="00881E58" w:rsidP="00CC19F7">
            <w:r w:rsidRPr="00CC19F7">
              <w:t xml:space="preserve">NTNU </w:t>
            </w:r>
          </w:p>
        </w:tc>
        <w:tc>
          <w:tcPr>
            <w:tcW w:w="1559" w:type="dxa"/>
            <w:tcBorders>
              <w:top w:val="single" w:sz="4" w:space="0" w:color="000000"/>
              <w:left w:val="nil"/>
              <w:bottom w:val="single" w:sz="4" w:space="0" w:color="000000"/>
              <w:right w:val="nil"/>
            </w:tcBorders>
            <w:tcMar>
              <w:top w:w="110" w:type="dxa"/>
              <w:left w:w="43" w:type="dxa"/>
              <w:bottom w:w="43" w:type="dxa"/>
              <w:right w:w="43" w:type="dxa"/>
            </w:tcMar>
          </w:tcPr>
          <w:p w14:paraId="5AA363A2" w14:textId="77777777" w:rsidR="00FE02EF" w:rsidRPr="00CC19F7" w:rsidRDefault="00881E58" w:rsidP="00C0741D">
            <w:pPr>
              <w:jc w:val="right"/>
            </w:pPr>
            <w:r w:rsidRPr="00CC19F7">
              <w:t>2019–2027</w:t>
            </w:r>
          </w:p>
        </w:tc>
      </w:tr>
      <w:tr w:rsidR="00FE02EF" w:rsidRPr="00CC19F7" w14:paraId="08700D84" w14:textId="77777777" w:rsidTr="00C0741D">
        <w:trPr>
          <w:trHeight w:val="1640"/>
        </w:trPr>
        <w:tc>
          <w:tcPr>
            <w:tcW w:w="2480" w:type="dxa"/>
            <w:tcBorders>
              <w:top w:val="single" w:sz="4" w:space="0" w:color="000000"/>
              <w:left w:val="nil"/>
              <w:bottom w:val="single" w:sz="4" w:space="0" w:color="000000"/>
              <w:right w:val="nil"/>
            </w:tcBorders>
            <w:tcMar>
              <w:top w:w="110" w:type="dxa"/>
              <w:left w:w="43" w:type="dxa"/>
              <w:bottom w:w="43" w:type="dxa"/>
              <w:right w:w="43" w:type="dxa"/>
            </w:tcMar>
          </w:tcPr>
          <w:p w14:paraId="25E58362" w14:textId="77777777" w:rsidR="00FE02EF" w:rsidRPr="00CC19F7" w:rsidRDefault="00881E58" w:rsidP="00CC19F7">
            <w:proofErr w:type="spellStart"/>
            <w:r w:rsidRPr="00CC19F7">
              <w:t>HYDROGENi</w:t>
            </w:r>
            <w:proofErr w:type="spellEnd"/>
          </w:p>
        </w:tc>
        <w:tc>
          <w:tcPr>
            <w:tcW w:w="4080" w:type="dxa"/>
            <w:tcBorders>
              <w:top w:val="single" w:sz="4" w:space="0" w:color="000000"/>
              <w:left w:val="nil"/>
              <w:bottom w:val="single" w:sz="4" w:space="0" w:color="000000"/>
              <w:right w:val="nil"/>
            </w:tcBorders>
            <w:tcMar>
              <w:top w:w="110" w:type="dxa"/>
              <w:left w:w="43" w:type="dxa"/>
              <w:bottom w:w="43" w:type="dxa"/>
              <w:right w:w="43" w:type="dxa"/>
            </w:tcMar>
          </w:tcPr>
          <w:p w14:paraId="70EE0B9C" w14:textId="77777777" w:rsidR="00FE02EF" w:rsidRPr="00CC19F7" w:rsidRDefault="00881E58" w:rsidP="00CC19F7">
            <w:r w:rsidRPr="00CC19F7">
              <w:t xml:space="preserve">Forskingssenter som skal bidra til FoU </w:t>
            </w:r>
            <w:proofErr w:type="spellStart"/>
            <w:r w:rsidRPr="00CC19F7">
              <w:t>innan</w:t>
            </w:r>
            <w:proofErr w:type="spellEnd"/>
            <w:r w:rsidRPr="00CC19F7">
              <w:t xml:space="preserve"> heile </w:t>
            </w:r>
            <w:proofErr w:type="spellStart"/>
            <w:r w:rsidRPr="00CC19F7">
              <w:t>verdikjeda</w:t>
            </w:r>
            <w:proofErr w:type="spellEnd"/>
            <w:r w:rsidRPr="00CC19F7">
              <w:t xml:space="preserve"> for hydrogen, </w:t>
            </w:r>
            <w:r w:rsidRPr="00CC19F7">
              <w:br/>
              <w:t xml:space="preserve">inkludert kostnadseffektiv og skalerbar produksjon, transport og lagring i </w:t>
            </w:r>
            <w:proofErr w:type="spellStart"/>
            <w:r w:rsidRPr="00CC19F7">
              <w:t>Noreg</w:t>
            </w:r>
            <w:proofErr w:type="spellEnd"/>
            <w:r w:rsidRPr="00CC19F7">
              <w:t xml:space="preserve"> </w:t>
            </w:r>
            <w:r w:rsidRPr="00CC19F7">
              <w:br/>
              <w:t xml:space="preserve">og Europa, </w:t>
            </w:r>
            <w:proofErr w:type="spellStart"/>
            <w:r w:rsidRPr="00CC19F7">
              <w:t>sluttbruksteknologiar</w:t>
            </w:r>
            <w:proofErr w:type="spellEnd"/>
            <w:r w:rsidRPr="00CC19F7">
              <w:t xml:space="preserve"> og </w:t>
            </w:r>
            <w:r w:rsidRPr="00CC19F7">
              <w:br/>
            </w:r>
            <w:proofErr w:type="spellStart"/>
            <w:r w:rsidRPr="00CC19F7">
              <w:t>sikkerheit</w:t>
            </w:r>
            <w:proofErr w:type="spellEnd"/>
            <w:r w:rsidRPr="00CC19F7">
              <w:t xml:space="preserve"> og materialintegritet.</w:t>
            </w:r>
          </w:p>
        </w:tc>
        <w:tc>
          <w:tcPr>
            <w:tcW w:w="1477" w:type="dxa"/>
            <w:tcBorders>
              <w:top w:val="single" w:sz="4" w:space="0" w:color="000000"/>
              <w:left w:val="nil"/>
              <w:bottom w:val="single" w:sz="4" w:space="0" w:color="000000"/>
              <w:right w:val="nil"/>
            </w:tcBorders>
            <w:tcMar>
              <w:top w:w="110" w:type="dxa"/>
              <w:left w:w="43" w:type="dxa"/>
              <w:bottom w:w="43" w:type="dxa"/>
              <w:right w:w="43" w:type="dxa"/>
            </w:tcMar>
          </w:tcPr>
          <w:p w14:paraId="774044AC" w14:textId="77777777" w:rsidR="00FE02EF" w:rsidRPr="00CC19F7" w:rsidRDefault="00881E58" w:rsidP="00CC19F7">
            <w:r w:rsidRPr="00CC19F7">
              <w:t>SINTEF Energi</w:t>
            </w:r>
          </w:p>
        </w:tc>
        <w:tc>
          <w:tcPr>
            <w:tcW w:w="1559" w:type="dxa"/>
            <w:tcBorders>
              <w:top w:val="single" w:sz="4" w:space="0" w:color="000000"/>
              <w:left w:val="nil"/>
              <w:bottom w:val="single" w:sz="4" w:space="0" w:color="000000"/>
              <w:right w:val="nil"/>
            </w:tcBorders>
            <w:tcMar>
              <w:top w:w="110" w:type="dxa"/>
              <w:left w:w="43" w:type="dxa"/>
              <w:bottom w:w="43" w:type="dxa"/>
              <w:right w:w="43" w:type="dxa"/>
            </w:tcMar>
          </w:tcPr>
          <w:p w14:paraId="779774FD" w14:textId="77777777" w:rsidR="00FE02EF" w:rsidRPr="00CC19F7" w:rsidRDefault="00881E58" w:rsidP="00C0741D">
            <w:pPr>
              <w:jc w:val="right"/>
            </w:pPr>
            <w:r w:rsidRPr="00CC19F7">
              <w:t>2022–2030</w:t>
            </w:r>
          </w:p>
        </w:tc>
      </w:tr>
      <w:tr w:rsidR="00FE02EF" w:rsidRPr="00CC19F7" w14:paraId="2F9B11F9" w14:textId="77777777" w:rsidTr="00C0741D">
        <w:trPr>
          <w:trHeight w:val="1900"/>
        </w:trPr>
        <w:tc>
          <w:tcPr>
            <w:tcW w:w="2480" w:type="dxa"/>
            <w:tcBorders>
              <w:top w:val="single" w:sz="4" w:space="0" w:color="000000"/>
              <w:left w:val="nil"/>
              <w:bottom w:val="single" w:sz="4" w:space="0" w:color="000000"/>
              <w:right w:val="nil"/>
            </w:tcBorders>
            <w:tcMar>
              <w:top w:w="110" w:type="dxa"/>
              <w:left w:w="43" w:type="dxa"/>
              <w:bottom w:w="43" w:type="dxa"/>
              <w:right w:w="43" w:type="dxa"/>
            </w:tcMar>
          </w:tcPr>
          <w:p w14:paraId="4DC34151" w14:textId="77777777" w:rsidR="00FE02EF" w:rsidRPr="00CA1D23" w:rsidRDefault="00881E58" w:rsidP="00CC19F7">
            <w:pPr>
              <w:rPr>
                <w:lang w:val="en-US"/>
              </w:rPr>
            </w:pPr>
            <w:r w:rsidRPr="00CA1D23">
              <w:rPr>
                <w:lang w:val="en-US"/>
              </w:rPr>
              <w:t xml:space="preserve">Norwegian Centre for Hydrogen Research </w:t>
            </w:r>
            <w:r w:rsidRPr="00CA1D23">
              <w:rPr>
                <w:lang w:val="en-US"/>
              </w:rPr>
              <w:br/>
              <w:t>(HyValue)</w:t>
            </w:r>
          </w:p>
        </w:tc>
        <w:tc>
          <w:tcPr>
            <w:tcW w:w="4080" w:type="dxa"/>
            <w:tcBorders>
              <w:top w:val="single" w:sz="4" w:space="0" w:color="000000"/>
              <w:left w:val="nil"/>
              <w:bottom w:val="single" w:sz="4" w:space="0" w:color="000000"/>
              <w:right w:val="nil"/>
            </w:tcBorders>
            <w:tcMar>
              <w:top w:w="110" w:type="dxa"/>
              <w:left w:w="43" w:type="dxa"/>
              <w:bottom w:w="43" w:type="dxa"/>
              <w:right w:w="43" w:type="dxa"/>
            </w:tcMar>
          </w:tcPr>
          <w:p w14:paraId="56AD9B63" w14:textId="77777777" w:rsidR="00FE02EF" w:rsidRPr="00CC19F7" w:rsidRDefault="00881E58" w:rsidP="00CC19F7">
            <w:r w:rsidRPr="00CC19F7">
              <w:t xml:space="preserve">Forskingssenter som mellom anna skal </w:t>
            </w:r>
            <w:r w:rsidRPr="00CC19F7">
              <w:br/>
              <w:t xml:space="preserve">forske på </w:t>
            </w:r>
            <w:proofErr w:type="spellStart"/>
            <w:r w:rsidRPr="00CC19F7">
              <w:t>metodar</w:t>
            </w:r>
            <w:proofErr w:type="spellEnd"/>
            <w:r w:rsidRPr="00CC19F7">
              <w:t xml:space="preserve"> for produksjon av </w:t>
            </w:r>
            <w:r w:rsidRPr="00CC19F7">
              <w:br/>
              <w:t xml:space="preserve">hydrogen og ammoniakk, </w:t>
            </w:r>
            <w:proofErr w:type="spellStart"/>
            <w:r w:rsidRPr="00CC19F7">
              <w:t>løysingar</w:t>
            </w:r>
            <w:proofErr w:type="spellEnd"/>
            <w:r w:rsidRPr="00CC19F7">
              <w:t xml:space="preserve"> for transport, lagring og fylling/bunkring </w:t>
            </w:r>
            <w:r w:rsidRPr="00CC19F7">
              <w:br/>
              <w:t xml:space="preserve">av hydrogenbasert drivstoff, maritime </w:t>
            </w:r>
            <w:r w:rsidRPr="00CC19F7">
              <w:br/>
              <w:t xml:space="preserve">verdikjeder og utvikling av en metodikk </w:t>
            </w:r>
            <w:r w:rsidRPr="00CC19F7">
              <w:br/>
              <w:t xml:space="preserve">for å øke samfunnsmessig forankring. </w:t>
            </w:r>
          </w:p>
        </w:tc>
        <w:tc>
          <w:tcPr>
            <w:tcW w:w="1477" w:type="dxa"/>
            <w:tcBorders>
              <w:top w:val="single" w:sz="4" w:space="0" w:color="000000"/>
              <w:left w:val="nil"/>
              <w:bottom w:val="single" w:sz="4" w:space="0" w:color="000000"/>
              <w:right w:val="nil"/>
            </w:tcBorders>
            <w:tcMar>
              <w:top w:w="110" w:type="dxa"/>
              <w:left w:w="43" w:type="dxa"/>
              <w:bottom w:w="43" w:type="dxa"/>
              <w:right w:w="43" w:type="dxa"/>
            </w:tcMar>
          </w:tcPr>
          <w:p w14:paraId="5D2F126F" w14:textId="77777777" w:rsidR="00FE02EF" w:rsidRPr="00CC19F7" w:rsidRDefault="00881E58" w:rsidP="00CC19F7">
            <w:r w:rsidRPr="00CC19F7">
              <w:t>NORCE</w:t>
            </w:r>
          </w:p>
        </w:tc>
        <w:tc>
          <w:tcPr>
            <w:tcW w:w="1559" w:type="dxa"/>
            <w:tcBorders>
              <w:top w:val="single" w:sz="4" w:space="0" w:color="000000"/>
              <w:left w:val="nil"/>
              <w:bottom w:val="single" w:sz="4" w:space="0" w:color="000000"/>
              <w:right w:val="nil"/>
            </w:tcBorders>
            <w:tcMar>
              <w:top w:w="110" w:type="dxa"/>
              <w:left w:w="43" w:type="dxa"/>
              <w:bottom w:w="43" w:type="dxa"/>
              <w:right w:w="43" w:type="dxa"/>
            </w:tcMar>
          </w:tcPr>
          <w:p w14:paraId="71E3149F" w14:textId="77777777" w:rsidR="00FE02EF" w:rsidRPr="00CC19F7" w:rsidRDefault="00881E58" w:rsidP="00C0741D">
            <w:pPr>
              <w:jc w:val="right"/>
            </w:pPr>
            <w:r w:rsidRPr="00CC19F7">
              <w:t>2022–2030</w:t>
            </w:r>
          </w:p>
        </w:tc>
      </w:tr>
    </w:tbl>
    <w:p w14:paraId="7596816C" w14:textId="77777777" w:rsidR="00FE02EF" w:rsidRPr="00CC19F7" w:rsidRDefault="00881E58" w:rsidP="00CC19F7">
      <w:proofErr w:type="spellStart"/>
      <w:r w:rsidRPr="00CC19F7">
        <w:t>Meir</w:t>
      </w:r>
      <w:proofErr w:type="spellEnd"/>
      <w:r w:rsidRPr="00CC19F7">
        <w:t xml:space="preserve"> informasjon om </w:t>
      </w:r>
      <w:proofErr w:type="spellStart"/>
      <w:r w:rsidRPr="00CC19F7">
        <w:t>sentera</w:t>
      </w:r>
      <w:proofErr w:type="spellEnd"/>
      <w:r w:rsidRPr="00CC19F7">
        <w:t xml:space="preserve"> </w:t>
      </w:r>
      <w:proofErr w:type="spellStart"/>
      <w:r w:rsidRPr="00CC19F7">
        <w:t>finst</w:t>
      </w:r>
      <w:proofErr w:type="spellEnd"/>
      <w:r w:rsidRPr="00CC19F7">
        <w:t xml:space="preserve"> på forskningsradet.no.</w:t>
      </w:r>
    </w:p>
    <w:p w14:paraId="29F0053F" w14:textId="77777777" w:rsidR="00FE02EF" w:rsidRPr="00CC19F7" w:rsidRDefault="00881E58" w:rsidP="00CC19F7">
      <w:pPr>
        <w:pStyle w:val="avsnitt-undertittel"/>
      </w:pPr>
      <w:r w:rsidRPr="00CC19F7">
        <w:t xml:space="preserve">Petroleum på veg mot </w:t>
      </w:r>
      <w:proofErr w:type="spellStart"/>
      <w:r w:rsidRPr="00CC19F7">
        <w:t>eit</w:t>
      </w:r>
      <w:proofErr w:type="spellEnd"/>
      <w:r w:rsidRPr="00CC19F7">
        <w:t xml:space="preserve"> nullutsleppssamfunn</w:t>
      </w:r>
    </w:p>
    <w:p w14:paraId="780602D9" w14:textId="77777777" w:rsidR="00FE02EF" w:rsidRPr="00CC19F7" w:rsidRDefault="00881E58" w:rsidP="00CC19F7">
      <w:r w:rsidRPr="00CC19F7">
        <w:t xml:space="preserve">OG21 har mandatet sitt </w:t>
      </w:r>
      <w:proofErr w:type="spellStart"/>
      <w:r w:rsidRPr="00CC19F7">
        <w:t>frå</w:t>
      </w:r>
      <w:proofErr w:type="spellEnd"/>
      <w:r w:rsidRPr="00CC19F7">
        <w:t xml:space="preserve"> Olje- og energidepartementet. Formålet er å arbeide for effektiv, sikker og </w:t>
      </w:r>
      <w:proofErr w:type="spellStart"/>
      <w:r w:rsidRPr="00CC19F7">
        <w:t>miljøvennleg</w:t>
      </w:r>
      <w:proofErr w:type="spellEnd"/>
      <w:r w:rsidRPr="00CC19F7">
        <w:t xml:space="preserve"> verdiskaping </w:t>
      </w:r>
      <w:proofErr w:type="spellStart"/>
      <w:r w:rsidRPr="00CC19F7">
        <w:t>frå</w:t>
      </w:r>
      <w:proofErr w:type="spellEnd"/>
      <w:r w:rsidRPr="00CC19F7">
        <w:t xml:space="preserve"> norske olje- og </w:t>
      </w:r>
      <w:proofErr w:type="spellStart"/>
      <w:r w:rsidRPr="00CC19F7">
        <w:t>gassressursar</w:t>
      </w:r>
      <w:proofErr w:type="spellEnd"/>
      <w:r w:rsidRPr="00CC19F7">
        <w:t xml:space="preserve">. Dette skal skje gjennom </w:t>
      </w:r>
      <w:proofErr w:type="spellStart"/>
      <w:r w:rsidRPr="00CC19F7">
        <w:t>eit</w:t>
      </w:r>
      <w:proofErr w:type="spellEnd"/>
      <w:r w:rsidRPr="00CC19F7">
        <w:t xml:space="preserve"> samordna engasjement i </w:t>
      </w:r>
      <w:proofErr w:type="spellStart"/>
      <w:r w:rsidRPr="00CC19F7">
        <w:t>petroleumsklynga</w:t>
      </w:r>
      <w:proofErr w:type="spellEnd"/>
      <w:r w:rsidRPr="00CC19F7">
        <w:t xml:space="preserve"> </w:t>
      </w:r>
      <w:proofErr w:type="spellStart"/>
      <w:r w:rsidRPr="00CC19F7">
        <w:t>innanfor</w:t>
      </w:r>
      <w:proofErr w:type="spellEnd"/>
      <w:r w:rsidRPr="00CC19F7">
        <w:t xml:space="preserve"> utdanning, forsking, teknologiutvikling, demonstrasjon og kommersialisering. OG21 skal inspirere til utvikling og bruk av ny og betre kompetanse og teknologi tilpassa </w:t>
      </w:r>
      <w:proofErr w:type="spellStart"/>
      <w:r w:rsidRPr="00CC19F7">
        <w:t>eit</w:t>
      </w:r>
      <w:proofErr w:type="spellEnd"/>
      <w:r w:rsidRPr="00CC19F7">
        <w:t xml:space="preserve"> energisystem i endring og målet om reduserte klimagassutslepp. OG21 </w:t>
      </w:r>
      <w:proofErr w:type="spellStart"/>
      <w:r w:rsidRPr="00CC19F7">
        <w:t>samlar</w:t>
      </w:r>
      <w:proofErr w:type="spellEnd"/>
      <w:r w:rsidRPr="00CC19F7">
        <w:t xml:space="preserve"> selskap, universitet, forskingsinstitutt, </w:t>
      </w:r>
      <w:proofErr w:type="spellStart"/>
      <w:r w:rsidRPr="00CC19F7">
        <w:t>leverandørar</w:t>
      </w:r>
      <w:proofErr w:type="spellEnd"/>
      <w:r w:rsidRPr="00CC19F7">
        <w:t xml:space="preserve">, </w:t>
      </w:r>
      <w:proofErr w:type="spellStart"/>
      <w:r w:rsidRPr="00CC19F7">
        <w:t>myndigheiter</w:t>
      </w:r>
      <w:proofErr w:type="spellEnd"/>
      <w:r w:rsidRPr="00CC19F7">
        <w:t xml:space="preserve"> og </w:t>
      </w:r>
      <w:proofErr w:type="spellStart"/>
      <w:r w:rsidRPr="00CC19F7">
        <w:t>offentlege</w:t>
      </w:r>
      <w:proofErr w:type="spellEnd"/>
      <w:r w:rsidRPr="00CC19F7">
        <w:t xml:space="preserve"> organ i </w:t>
      </w:r>
      <w:proofErr w:type="spellStart"/>
      <w:r w:rsidRPr="00CC19F7">
        <w:t>ein</w:t>
      </w:r>
      <w:proofErr w:type="spellEnd"/>
      <w:r w:rsidRPr="00CC19F7">
        <w:t xml:space="preserve"> nasjonal strategi for petroleumsteknologi i </w:t>
      </w:r>
      <w:proofErr w:type="spellStart"/>
      <w:r w:rsidRPr="00CC19F7">
        <w:t>Noreg</w:t>
      </w:r>
      <w:proofErr w:type="spellEnd"/>
      <w:r w:rsidRPr="00CC19F7">
        <w:t>.</w:t>
      </w:r>
    </w:p>
    <w:p w14:paraId="19A82B2E" w14:textId="77777777" w:rsidR="00FE02EF" w:rsidRPr="00CC19F7" w:rsidRDefault="00881E58" w:rsidP="00CC19F7">
      <w:r w:rsidRPr="00CC19F7">
        <w:t xml:space="preserve">OG21-strategien </w:t>
      </w:r>
      <w:proofErr w:type="spellStart"/>
      <w:r w:rsidRPr="00CC19F7">
        <w:t>peikar</w:t>
      </w:r>
      <w:proofErr w:type="spellEnd"/>
      <w:r w:rsidRPr="00CC19F7">
        <w:t xml:space="preserve"> på åtte teknologiområde der forsking, teknologiutvikling og innovasjon er spesielt viktig. Dette inkluderer </w:t>
      </w:r>
      <w:proofErr w:type="spellStart"/>
      <w:r w:rsidRPr="00CC19F7">
        <w:t>forbetra</w:t>
      </w:r>
      <w:proofErr w:type="spellEnd"/>
      <w:r w:rsidRPr="00CC19F7">
        <w:t xml:space="preserve"> </w:t>
      </w:r>
      <w:proofErr w:type="spellStart"/>
      <w:r w:rsidRPr="00CC19F7">
        <w:t>undergrunnsforståing</w:t>
      </w:r>
      <w:proofErr w:type="spellEnd"/>
      <w:r w:rsidRPr="00CC19F7">
        <w:t xml:space="preserve">, kostnadseffektiv boring og nedstenging av </w:t>
      </w:r>
      <w:proofErr w:type="spellStart"/>
      <w:r w:rsidRPr="00CC19F7">
        <w:t>brønnar</w:t>
      </w:r>
      <w:proofErr w:type="spellEnd"/>
      <w:r w:rsidRPr="00CC19F7">
        <w:t>, energieffektivitet og kostnadseffektiv elektrifisering, CO</w:t>
      </w:r>
      <w:r w:rsidRPr="00CC19F7">
        <w:rPr>
          <w:rStyle w:val="skrift-senket"/>
        </w:rPr>
        <w:t>2</w:t>
      </w:r>
      <w:r w:rsidRPr="00CC19F7">
        <w:t xml:space="preserve">-handtering, digitalisering og </w:t>
      </w:r>
      <w:proofErr w:type="spellStart"/>
      <w:r w:rsidRPr="00CC19F7">
        <w:t>sikkerheit</w:t>
      </w:r>
      <w:proofErr w:type="spellEnd"/>
      <w:r w:rsidRPr="00CC19F7">
        <w:t xml:space="preserve"> og arbeidsmiljø. Strategien </w:t>
      </w:r>
      <w:proofErr w:type="spellStart"/>
      <w:r w:rsidRPr="00CC19F7">
        <w:t>peikar</w:t>
      </w:r>
      <w:proofErr w:type="spellEnd"/>
      <w:r w:rsidRPr="00CC19F7">
        <w:t xml:space="preserve"> også på andre viktige teknologiområde der kompetansen </w:t>
      </w:r>
      <w:proofErr w:type="spellStart"/>
      <w:r w:rsidRPr="00CC19F7">
        <w:t>frå</w:t>
      </w:r>
      <w:proofErr w:type="spellEnd"/>
      <w:r w:rsidRPr="00CC19F7">
        <w:t xml:space="preserve"> </w:t>
      </w:r>
      <w:proofErr w:type="spellStart"/>
      <w:r w:rsidRPr="00CC19F7">
        <w:t>petroleumsverksemda</w:t>
      </w:r>
      <w:proofErr w:type="spellEnd"/>
      <w:r w:rsidRPr="00CC19F7">
        <w:t xml:space="preserve"> kan </w:t>
      </w:r>
      <w:proofErr w:type="spellStart"/>
      <w:r w:rsidRPr="00CC19F7">
        <w:t>nyttast</w:t>
      </w:r>
      <w:proofErr w:type="spellEnd"/>
      <w:r w:rsidRPr="00CC19F7">
        <w:t xml:space="preserve">, slik som hydrogen og </w:t>
      </w:r>
      <w:proofErr w:type="spellStart"/>
      <w:r w:rsidRPr="00CC19F7">
        <w:t>hydrogenberarar</w:t>
      </w:r>
      <w:proofErr w:type="spellEnd"/>
      <w:r w:rsidRPr="00CC19F7">
        <w:t xml:space="preserve">, </w:t>
      </w:r>
      <w:proofErr w:type="spellStart"/>
      <w:r w:rsidRPr="00CC19F7">
        <w:t>flytande</w:t>
      </w:r>
      <w:proofErr w:type="spellEnd"/>
      <w:r w:rsidRPr="00CC19F7">
        <w:t xml:space="preserve"> havvind og utvinning av mineral </w:t>
      </w:r>
      <w:proofErr w:type="spellStart"/>
      <w:r w:rsidRPr="00CC19F7">
        <w:t>frå</w:t>
      </w:r>
      <w:proofErr w:type="spellEnd"/>
      <w:r w:rsidRPr="00CC19F7">
        <w:t xml:space="preserve"> havbotnen.</w:t>
      </w:r>
    </w:p>
    <w:p w14:paraId="638D505C" w14:textId="77777777" w:rsidR="00FE02EF" w:rsidRPr="00CC19F7" w:rsidRDefault="00881E58" w:rsidP="00CC19F7">
      <w:r w:rsidRPr="00CC19F7">
        <w:t xml:space="preserve">Forskingsrådet rår over </w:t>
      </w:r>
      <w:proofErr w:type="spellStart"/>
      <w:r w:rsidRPr="00CC19F7">
        <w:t>verkemiddel</w:t>
      </w:r>
      <w:proofErr w:type="spellEnd"/>
      <w:r w:rsidRPr="00CC19F7">
        <w:t xml:space="preserve"> som skal bidra til å følge opp og realisere OG21-strategien. Dette er illustrert i figur 4.1. Forskingsrådet skal rette innsatsen mot å utvikle sektoren i retning nullutslepp samtidig med nødvendige tiltak for ei kostnadseffektiv utnytting av </w:t>
      </w:r>
      <w:proofErr w:type="spellStart"/>
      <w:r w:rsidRPr="00CC19F7">
        <w:t>ressursane</w:t>
      </w:r>
      <w:proofErr w:type="spellEnd"/>
      <w:r w:rsidRPr="00CC19F7">
        <w:t xml:space="preserve">. Målet er </w:t>
      </w:r>
      <w:proofErr w:type="spellStart"/>
      <w:r w:rsidRPr="00CC19F7">
        <w:t>ein</w:t>
      </w:r>
      <w:proofErr w:type="spellEnd"/>
      <w:r w:rsidRPr="00CC19F7">
        <w:t xml:space="preserve"> utsleppsfri petroleumssektor i 2050 og, i takt med at </w:t>
      </w:r>
      <w:proofErr w:type="spellStart"/>
      <w:r w:rsidRPr="00CC19F7">
        <w:t>særleg</w:t>
      </w:r>
      <w:proofErr w:type="spellEnd"/>
      <w:r w:rsidRPr="00CC19F7">
        <w:t xml:space="preserve"> oljeproduksjonen blir redusert, å minimere det direkte og indirekte inntektstapet til staten ved den økonomiske omstillinga av </w:t>
      </w:r>
      <w:proofErr w:type="spellStart"/>
      <w:r w:rsidRPr="00CC19F7">
        <w:t>Noreg</w:t>
      </w:r>
      <w:proofErr w:type="spellEnd"/>
      <w:r w:rsidRPr="00CC19F7">
        <w:t>.</w:t>
      </w:r>
    </w:p>
    <w:p w14:paraId="3F50D2A8" w14:textId="5ECBA94C" w:rsidR="00FE02EF" w:rsidRDefault="00881E58" w:rsidP="00CC19F7">
      <w:r w:rsidRPr="00CC19F7">
        <w:t xml:space="preserve">Petroleumsforskinga finansiert gjennom Forskingsrådet er </w:t>
      </w:r>
      <w:proofErr w:type="spellStart"/>
      <w:r w:rsidRPr="00CC19F7">
        <w:t>særleg</w:t>
      </w:r>
      <w:proofErr w:type="spellEnd"/>
      <w:r w:rsidRPr="00CC19F7">
        <w:t xml:space="preserve"> retta mot leverandørindustrien og institutt og universitet som </w:t>
      </w:r>
      <w:proofErr w:type="spellStart"/>
      <w:r w:rsidRPr="00CC19F7">
        <w:t>mottakarar</w:t>
      </w:r>
      <w:proofErr w:type="spellEnd"/>
      <w:r w:rsidRPr="00CC19F7">
        <w:t xml:space="preserve"> av støtte. </w:t>
      </w:r>
      <w:proofErr w:type="spellStart"/>
      <w:r w:rsidRPr="00CC19F7">
        <w:t>Ein</w:t>
      </w:r>
      <w:proofErr w:type="spellEnd"/>
      <w:r w:rsidRPr="00CC19F7">
        <w:t xml:space="preserve"> analyse av petroleumsporteføljen i perioden 2018–2021 viser at </w:t>
      </w:r>
      <w:proofErr w:type="spellStart"/>
      <w:r w:rsidRPr="00CC19F7">
        <w:t>meir</w:t>
      </w:r>
      <w:proofErr w:type="spellEnd"/>
      <w:r w:rsidRPr="00CC19F7">
        <w:t xml:space="preserve"> enn 65 prosent av porteføljen består av prosjekt som har </w:t>
      </w:r>
      <w:proofErr w:type="spellStart"/>
      <w:r w:rsidRPr="00CC19F7">
        <w:t>auka</w:t>
      </w:r>
      <w:proofErr w:type="spellEnd"/>
      <w:r w:rsidRPr="00CC19F7">
        <w:t xml:space="preserve"> energieffektivitet og/eller </w:t>
      </w:r>
      <w:proofErr w:type="spellStart"/>
      <w:r w:rsidRPr="00CC19F7">
        <w:t>lågutsleppsløysingar</w:t>
      </w:r>
      <w:proofErr w:type="spellEnd"/>
      <w:r w:rsidRPr="00CC19F7">
        <w:t xml:space="preserve"> som prioriterte mål. </w:t>
      </w:r>
      <w:proofErr w:type="spellStart"/>
      <w:r w:rsidRPr="00CC19F7">
        <w:t>Dessutan</w:t>
      </w:r>
      <w:proofErr w:type="spellEnd"/>
      <w:r w:rsidRPr="00CC19F7">
        <w:t xml:space="preserve"> bidrar forskinga til betre ressursutnytting og høgt aktivitetsnivå på norsk sokkel også framover, </w:t>
      </w:r>
      <w:proofErr w:type="spellStart"/>
      <w:r w:rsidRPr="00CC19F7">
        <w:t>noko</w:t>
      </w:r>
      <w:proofErr w:type="spellEnd"/>
      <w:r w:rsidRPr="00CC19F7">
        <w:t xml:space="preserve"> som </w:t>
      </w:r>
      <w:proofErr w:type="spellStart"/>
      <w:r w:rsidRPr="00CC19F7">
        <w:t>sikrar</w:t>
      </w:r>
      <w:proofErr w:type="spellEnd"/>
      <w:r w:rsidRPr="00CC19F7">
        <w:t xml:space="preserve"> </w:t>
      </w:r>
      <w:proofErr w:type="spellStart"/>
      <w:r w:rsidRPr="00CC19F7">
        <w:t>fellesskapen</w:t>
      </w:r>
      <w:proofErr w:type="spellEnd"/>
      <w:r w:rsidRPr="00CC19F7">
        <w:t xml:space="preserve"> inntekter, verdiskaping og </w:t>
      </w:r>
      <w:proofErr w:type="spellStart"/>
      <w:r w:rsidRPr="00CC19F7">
        <w:t>arbeidsplassar</w:t>
      </w:r>
      <w:proofErr w:type="spellEnd"/>
      <w:r w:rsidRPr="00CC19F7">
        <w:t xml:space="preserve">. </w:t>
      </w:r>
      <w:proofErr w:type="spellStart"/>
      <w:r w:rsidRPr="00CC19F7">
        <w:t>Løyvingane</w:t>
      </w:r>
      <w:proofErr w:type="spellEnd"/>
      <w:r w:rsidRPr="00CC19F7">
        <w:t xml:space="preserve"> til Forskingsrådet utløyser også </w:t>
      </w:r>
      <w:proofErr w:type="spellStart"/>
      <w:r w:rsidRPr="00CC19F7">
        <w:t>betydelege</w:t>
      </w:r>
      <w:proofErr w:type="spellEnd"/>
      <w:r w:rsidRPr="00CC19F7">
        <w:t xml:space="preserve"> </w:t>
      </w:r>
      <w:proofErr w:type="spellStart"/>
      <w:r w:rsidRPr="00CC19F7">
        <w:t>midlar</w:t>
      </w:r>
      <w:proofErr w:type="spellEnd"/>
      <w:r w:rsidRPr="00CC19F7">
        <w:t xml:space="preserve"> </w:t>
      </w:r>
      <w:proofErr w:type="spellStart"/>
      <w:r w:rsidRPr="00CC19F7">
        <w:t>frå</w:t>
      </w:r>
      <w:proofErr w:type="spellEnd"/>
      <w:r w:rsidRPr="00CC19F7">
        <w:t xml:space="preserve"> </w:t>
      </w:r>
      <w:proofErr w:type="spellStart"/>
      <w:r w:rsidRPr="00CC19F7">
        <w:t>forskingsaktørane</w:t>
      </w:r>
      <w:proofErr w:type="spellEnd"/>
      <w:r w:rsidRPr="00CC19F7">
        <w:t xml:space="preserve"> og privat næringsliv og bidrar til å </w:t>
      </w:r>
      <w:proofErr w:type="spellStart"/>
      <w:r w:rsidRPr="00CC19F7">
        <w:t>auke</w:t>
      </w:r>
      <w:proofErr w:type="spellEnd"/>
      <w:r w:rsidRPr="00CC19F7">
        <w:t xml:space="preserve"> både forskingsinnsatsen og næringsrelevansen for prosjektporteføljen.</w:t>
      </w:r>
    </w:p>
    <w:p w14:paraId="462AAE5D" w14:textId="6E6FF2E2" w:rsidR="00C0741D" w:rsidRPr="00CC19F7" w:rsidRDefault="00C0741D" w:rsidP="00C0741D">
      <w:pPr>
        <w:pStyle w:val="tabell-tittel"/>
      </w:pPr>
      <w:r w:rsidRPr="00CC19F7">
        <w:t xml:space="preserve">Program og </w:t>
      </w:r>
      <w:proofErr w:type="spellStart"/>
      <w:r w:rsidRPr="00CC19F7">
        <w:t>verkemiddel</w:t>
      </w:r>
      <w:proofErr w:type="spellEnd"/>
      <w:r w:rsidRPr="00CC19F7">
        <w:t xml:space="preserve"> som skal bidra til å nå måla i OG21-strategien</w:t>
      </w:r>
    </w:p>
    <w:p w14:paraId="1AAE4CD4" w14:textId="77777777" w:rsidR="00FE02EF" w:rsidRPr="00CC19F7" w:rsidRDefault="00881E58" w:rsidP="00CC19F7">
      <w:pPr>
        <w:pStyle w:val="Tabellnavn"/>
      </w:pPr>
      <w:r w:rsidRPr="00CC19F7">
        <w:t>02J1xx2</w:t>
      </w:r>
    </w:p>
    <w:tbl>
      <w:tblPr>
        <w:tblW w:w="9560" w:type="dxa"/>
        <w:tblInd w:w="43" w:type="dxa"/>
        <w:tblLayout w:type="fixed"/>
        <w:tblCellMar>
          <w:top w:w="110" w:type="dxa"/>
          <w:left w:w="43" w:type="dxa"/>
          <w:bottom w:w="43" w:type="dxa"/>
          <w:right w:w="43" w:type="dxa"/>
        </w:tblCellMar>
        <w:tblLook w:val="0000" w:firstRow="0" w:lastRow="0" w:firstColumn="0" w:lastColumn="0" w:noHBand="0" w:noVBand="0"/>
      </w:tblPr>
      <w:tblGrid>
        <w:gridCol w:w="2300"/>
        <w:gridCol w:w="7260"/>
      </w:tblGrid>
      <w:tr w:rsidR="00FE02EF" w:rsidRPr="00CC19F7" w14:paraId="65207A94" w14:textId="77777777" w:rsidTr="00C0741D">
        <w:trPr>
          <w:trHeight w:val="340"/>
        </w:trPr>
        <w:tc>
          <w:tcPr>
            <w:tcW w:w="2300" w:type="dxa"/>
            <w:tcBorders>
              <w:top w:val="single" w:sz="4" w:space="0" w:color="000000"/>
              <w:left w:val="nil"/>
              <w:bottom w:val="single" w:sz="4" w:space="0" w:color="000000"/>
              <w:right w:val="nil"/>
            </w:tcBorders>
            <w:tcMar>
              <w:top w:w="110" w:type="dxa"/>
              <w:left w:w="43" w:type="dxa"/>
              <w:bottom w:w="43" w:type="dxa"/>
              <w:right w:w="43" w:type="dxa"/>
            </w:tcMar>
            <w:vAlign w:val="bottom"/>
          </w:tcPr>
          <w:p w14:paraId="74771D01" w14:textId="77777777" w:rsidR="00FE02EF" w:rsidRPr="00CC19F7" w:rsidRDefault="00881E58" w:rsidP="00CC19F7">
            <w:r w:rsidRPr="00CC19F7">
              <w:t>Program/</w:t>
            </w:r>
            <w:proofErr w:type="spellStart"/>
            <w:r w:rsidRPr="00CC19F7">
              <w:t>verkemiddel</w:t>
            </w:r>
            <w:proofErr w:type="spellEnd"/>
          </w:p>
        </w:tc>
        <w:tc>
          <w:tcPr>
            <w:tcW w:w="7260" w:type="dxa"/>
            <w:tcBorders>
              <w:top w:val="single" w:sz="4" w:space="0" w:color="000000"/>
              <w:left w:val="nil"/>
              <w:bottom w:val="single" w:sz="4" w:space="0" w:color="000000"/>
              <w:right w:val="nil"/>
            </w:tcBorders>
            <w:tcMar>
              <w:top w:w="110" w:type="dxa"/>
              <w:left w:w="43" w:type="dxa"/>
              <w:bottom w:w="43" w:type="dxa"/>
              <w:right w:w="43" w:type="dxa"/>
            </w:tcMar>
            <w:vAlign w:val="bottom"/>
          </w:tcPr>
          <w:p w14:paraId="18A09FD5" w14:textId="77777777" w:rsidR="00FE02EF" w:rsidRPr="00CC19F7" w:rsidRDefault="00881E58" w:rsidP="00CC19F7">
            <w:r w:rsidRPr="00CC19F7">
              <w:t>Om</w:t>
            </w:r>
          </w:p>
        </w:tc>
      </w:tr>
      <w:tr w:rsidR="00FE02EF" w:rsidRPr="00CC19F7" w14:paraId="48229FCA" w14:textId="77777777" w:rsidTr="00C0741D">
        <w:trPr>
          <w:trHeight w:val="2400"/>
        </w:trPr>
        <w:tc>
          <w:tcPr>
            <w:tcW w:w="2300" w:type="dxa"/>
            <w:tcBorders>
              <w:top w:val="single" w:sz="4" w:space="0" w:color="000000"/>
              <w:left w:val="nil"/>
              <w:bottom w:val="single" w:sz="4" w:space="0" w:color="000000"/>
              <w:right w:val="nil"/>
            </w:tcBorders>
            <w:tcMar>
              <w:top w:w="110" w:type="dxa"/>
              <w:left w:w="43" w:type="dxa"/>
              <w:bottom w:w="43" w:type="dxa"/>
              <w:right w:w="43" w:type="dxa"/>
            </w:tcMar>
          </w:tcPr>
          <w:p w14:paraId="2A0B758E" w14:textId="77777777" w:rsidR="00FE02EF" w:rsidRPr="00CC19F7" w:rsidRDefault="00881E58" w:rsidP="00CC19F7">
            <w:r w:rsidRPr="00CC19F7">
              <w:t>PETROMAKS 2</w:t>
            </w:r>
          </w:p>
        </w:tc>
        <w:tc>
          <w:tcPr>
            <w:tcW w:w="7260" w:type="dxa"/>
            <w:tcBorders>
              <w:top w:val="single" w:sz="4" w:space="0" w:color="000000"/>
              <w:left w:val="nil"/>
              <w:bottom w:val="single" w:sz="4" w:space="0" w:color="000000"/>
              <w:right w:val="nil"/>
            </w:tcBorders>
            <w:tcMar>
              <w:top w:w="110" w:type="dxa"/>
              <w:left w:w="43" w:type="dxa"/>
              <w:bottom w:w="43" w:type="dxa"/>
              <w:right w:w="43" w:type="dxa"/>
            </w:tcMar>
          </w:tcPr>
          <w:p w14:paraId="14A990BF" w14:textId="77777777" w:rsidR="00FE02EF" w:rsidRPr="00CC19F7" w:rsidRDefault="00881E58" w:rsidP="00CC19F7">
            <w:r w:rsidRPr="00CC19F7">
              <w:t xml:space="preserve">Bidra til </w:t>
            </w:r>
            <w:proofErr w:type="spellStart"/>
            <w:r w:rsidRPr="00CC19F7">
              <w:t>auka</w:t>
            </w:r>
            <w:proofErr w:type="spellEnd"/>
            <w:r w:rsidRPr="00CC19F7">
              <w:t xml:space="preserve"> verdiskaping og sikker, kostnadseffektiv og </w:t>
            </w:r>
            <w:proofErr w:type="spellStart"/>
            <w:r w:rsidRPr="00CC19F7">
              <w:t>berekraftig</w:t>
            </w:r>
            <w:proofErr w:type="spellEnd"/>
            <w:r w:rsidRPr="00CC19F7">
              <w:t xml:space="preserve"> utnytting av </w:t>
            </w:r>
            <w:proofErr w:type="spellStart"/>
            <w:r w:rsidRPr="00CC19F7">
              <w:t>petroleumsressursane</w:t>
            </w:r>
            <w:proofErr w:type="spellEnd"/>
            <w:r w:rsidRPr="00CC19F7">
              <w:t xml:space="preserve"> i </w:t>
            </w:r>
            <w:proofErr w:type="spellStart"/>
            <w:r w:rsidRPr="00CC19F7">
              <w:t>eit</w:t>
            </w:r>
            <w:proofErr w:type="spellEnd"/>
            <w:r w:rsidRPr="00CC19F7">
              <w:t xml:space="preserve"> </w:t>
            </w:r>
            <w:proofErr w:type="spellStart"/>
            <w:r w:rsidRPr="00CC19F7">
              <w:t>lågutsleppssamfunn</w:t>
            </w:r>
            <w:proofErr w:type="spellEnd"/>
            <w:r w:rsidRPr="00CC19F7">
              <w:t xml:space="preserve">. Programmet </w:t>
            </w:r>
            <w:r w:rsidRPr="00CC19F7">
              <w:br/>
              <w:t xml:space="preserve">er avgrensa til olje- og </w:t>
            </w:r>
            <w:proofErr w:type="spellStart"/>
            <w:r w:rsidRPr="00CC19F7">
              <w:t>gassverksemd</w:t>
            </w:r>
            <w:proofErr w:type="spellEnd"/>
            <w:r w:rsidRPr="00CC19F7">
              <w:t xml:space="preserve">, og alle prosjekt i porteføljen skal ha kopling til </w:t>
            </w:r>
            <w:proofErr w:type="spellStart"/>
            <w:r w:rsidRPr="00CC19F7">
              <w:t>problemstillingar</w:t>
            </w:r>
            <w:proofErr w:type="spellEnd"/>
            <w:r w:rsidRPr="00CC19F7">
              <w:t xml:space="preserve"> knytte til </w:t>
            </w:r>
            <w:proofErr w:type="spellStart"/>
            <w:r w:rsidRPr="00CC19F7">
              <w:t>petroleumsverksemda</w:t>
            </w:r>
            <w:proofErr w:type="spellEnd"/>
            <w:r w:rsidRPr="00CC19F7">
              <w:t xml:space="preserve"> i </w:t>
            </w:r>
            <w:proofErr w:type="spellStart"/>
            <w:r w:rsidRPr="00CC19F7">
              <w:t>opna</w:t>
            </w:r>
            <w:proofErr w:type="spellEnd"/>
            <w:r w:rsidRPr="00CC19F7">
              <w:t xml:space="preserve"> område </w:t>
            </w:r>
            <w:r w:rsidRPr="00CC19F7">
              <w:br/>
              <w:t xml:space="preserve">på norsk kontinentalsokkel og/eller </w:t>
            </w:r>
            <w:proofErr w:type="spellStart"/>
            <w:r w:rsidRPr="00CC19F7">
              <w:t>sikkerheit</w:t>
            </w:r>
            <w:proofErr w:type="spellEnd"/>
            <w:r w:rsidRPr="00CC19F7">
              <w:t xml:space="preserve"> på landanlegga i </w:t>
            </w:r>
            <w:proofErr w:type="spellStart"/>
            <w:r w:rsidRPr="00CC19F7">
              <w:t>Noreg</w:t>
            </w:r>
            <w:proofErr w:type="spellEnd"/>
            <w:r w:rsidRPr="00CC19F7">
              <w:t xml:space="preserve">. </w:t>
            </w:r>
            <w:r w:rsidRPr="00CC19F7">
              <w:br/>
              <w:t xml:space="preserve">Den samla aktiviteten dekker strategisk grunnforsking, kunnskaps- og </w:t>
            </w:r>
            <w:r w:rsidRPr="00CC19F7">
              <w:br/>
              <w:t xml:space="preserve">kompetansebygging, </w:t>
            </w:r>
            <w:proofErr w:type="spellStart"/>
            <w:r w:rsidRPr="00CC19F7">
              <w:t>forskarrekruttering</w:t>
            </w:r>
            <w:proofErr w:type="spellEnd"/>
            <w:r w:rsidRPr="00CC19F7">
              <w:t xml:space="preserve">, anvend forsking og teknologiutvikling. Programmet </w:t>
            </w:r>
            <w:proofErr w:type="spellStart"/>
            <w:r w:rsidRPr="00CC19F7">
              <w:t>omfattar</w:t>
            </w:r>
            <w:proofErr w:type="spellEnd"/>
            <w:r w:rsidRPr="00CC19F7">
              <w:t xml:space="preserve"> alle </w:t>
            </w:r>
            <w:proofErr w:type="spellStart"/>
            <w:r w:rsidRPr="00CC19F7">
              <w:t>dei</w:t>
            </w:r>
            <w:proofErr w:type="spellEnd"/>
            <w:r w:rsidRPr="00CC19F7">
              <w:t xml:space="preserve"> tematiske områda i porteføljeplanen for petroleum, og </w:t>
            </w:r>
            <w:proofErr w:type="spellStart"/>
            <w:r w:rsidRPr="00CC19F7">
              <w:t>dei</w:t>
            </w:r>
            <w:proofErr w:type="spellEnd"/>
            <w:r w:rsidRPr="00CC19F7">
              <w:t xml:space="preserve"> tematiske </w:t>
            </w:r>
            <w:proofErr w:type="spellStart"/>
            <w:r w:rsidRPr="00CC19F7">
              <w:t>prioriteringane</w:t>
            </w:r>
            <w:proofErr w:type="spellEnd"/>
            <w:r w:rsidRPr="00CC19F7">
              <w:t xml:space="preserve"> er i tråd med OG21-strategien.</w:t>
            </w:r>
          </w:p>
        </w:tc>
      </w:tr>
      <w:tr w:rsidR="00FE02EF" w:rsidRPr="00CC19F7" w14:paraId="5F05399A" w14:textId="77777777" w:rsidTr="00C0741D">
        <w:trPr>
          <w:trHeight w:val="2660"/>
        </w:trPr>
        <w:tc>
          <w:tcPr>
            <w:tcW w:w="2300" w:type="dxa"/>
            <w:tcBorders>
              <w:top w:val="single" w:sz="4" w:space="0" w:color="000000"/>
              <w:left w:val="nil"/>
              <w:bottom w:val="single" w:sz="4" w:space="0" w:color="000000"/>
              <w:right w:val="nil"/>
            </w:tcBorders>
            <w:tcMar>
              <w:top w:w="110" w:type="dxa"/>
              <w:left w:w="43" w:type="dxa"/>
              <w:bottom w:w="43" w:type="dxa"/>
              <w:right w:w="43" w:type="dxa"/>
            </w:tcMar>
          </w:tcPr>
          <w:p w14:paraId="7358EF42" w14:textId="77777777" w:rsidR="00FE02EF" w:rsidRPr="00CC19F7" w:rsidRDefault="00881E58" w:rsidP="00CC19F7">
            <w:r w:rsidRPr="00CC19F7">
              <w:t>DEMO 2000</w:t>
            </w:r>
          </w:p>
        </w:tc>
        <w:tc>
          <w:tcPr>
            <w:tcW w:w="7260" w:type="dxa"/>
            <w:tcBorders>
              <w:top w:val="single" w:sz="4" w:space="0" w:color="000000"/>
              <w:left w:val="nil"/>
              <w:bottom w:val="single" w:sz="4" w:space="0" w:color="000000"/>
              <w:right w:val="nil"/>
            </w:tcBorders>
            <w:tcMar>
              <w:top w:w="110" w:type="dxa"/>
              <w:left w:w="43" w:type="dxa"/>
              <w:bottom w:w="43" w:type="dxa"/>
              <w:right w:w="43" w:type="dxa"/>
            </w:tcMar>
          </w:tcPr>
          <w:p w14:paraId="35DF9FE1" w14:textId="77777777" w:rsidR="00FE02EF" w:rsidRPr="00CC19F7" w:rsidRDefault="00881E58" w:rsidP="00CC19F7">
            <w:r w:rsidRPr="00CC19F7">
              <w:t xml:space="preserve">Fremme langsiktig </w:t>
            </w:r>
            <w:proofErr w:type="spellStart"/>
            <w:r w:rsidRPr="00CC19F7">
              <w:t>konkurransedyktigheit</w:t>
            </w:r>
            <w:proofErr w:type="spellEnd"/>
            <w:r w:rsidRPr="00CC19F7">
              <w:t xml:space="preserve"> i petroleumsnæringa og </w:t>
            </w:r>
            <w:proofErr w:type="spellStart"/>
            <w:r w:rsidRPr="00CC19F7">
              <w:t>lønnsam</w:t>
            </w:r>
            <w:proofErr w:type="spellEnd"/>
            <w:r w:rsidRPr="00CC19F7">
              <w:t xml:space="preserve"> og </w:t>
            </w:r>
            <w:proofErr w:type="spellStart"/>
            <w:r w:rsidRPr="00CC19F7">
              <w:t>berekraftig</w:t>
            </w:r>
            <w:proofErr w:type="spellEnd"/>
            <w:r w:rsidRPr="00CC19F7">
              <w:t xml:space="preserve"> utvinning av </w:t>
            </w:r>
            <w:proofErr w:type="spellStart"/>
            <w:r w:rsidRPr="00CC19F7">
              <w:t>ressursane</w:t>
            </w:r>
            <w:proofErr w:type="spellEnd"/>
            <w:r w:rsidRPr="00CC19F7">
              <w:t xml:space="preserve"> på norsk sokkel i </w:t>
            </w:r>
            <w:proofErr w:type="spellStart"/>
            <w:r w:rsidRPr="00CC19F7">
              <w:t>eit</w:t>
            </w:r>
            <w:proofErr w:type="spellEnd"/>
            <w:r w:rsidRPr="00CC19F7">
              <w:t xml:space="preserve"> </w:t>
            </w:r>
            <w:proofErr w:type="spellStart"/>
            <w:r w:rsidRPr="00CC19F7">
              <w:t>lågutsleppssamfunn</w:t>
            </w:r>
            <w:proofErr w:type="spellEnd"/>
            <w:r w:rsidRPr="00CC19F7">
              <w:t xml:space="preserve"> også framover. Programmet bidrar med demonstrasjon og kvalifisering av ny teknologi og nye system i </w:t>
            </w:r>
            <w:proofErr w:type="spellStart"/>
            <w:r w:rsidRPr="00CC19F7">
              <w:t>eit</w:t>
            </w:r>
            <w:proofErr w:type="spellEnd"/>
            <w:r w:rsidRPr="00CC19F7">
              <w:t xml:space="preserve"> nært samarbeid mellom leverandørindustrien, energiselskap og forskingsinstitutt. Demonstrasjon og kvalifisering skal </w:t>
            </w:r>
            <w:proofErr w:type="spellStart"/>
            <w:r w:rsidRPr="00CC19F7">
              <w:t>gjerast</w:t>
            </w:r>
            <w:proofErr w:type="spellEnd"/>
            <w:r w:rsidRPr="00CC19F7">
              <w:t xml:space="preserve"> under realistiske vilkår offshore eller ved relevante anlegg på land. Den </w:t>
            </w:r>
            <w:proofErr w:type="spellStart"/>
            <w:r w:rsidRPr="00CC19F7">
              <w:t>offentlege</w:t>
            </w:r>
            <w:proofErr w:type="spellEnd"/>
            <w:r w:rsidRPr="00CC19F7">
              <w:t xml:space="preserve"> finansieringa gjennom DEMO 2000, som </w:t>
            </w:r>
            <w:r w:rsidRPr="00CC19F7">
              <w:br/>
            </w:r>
            <w:proofErr w:type="spellStart"/>
            <w:r w:rsidRPr="00CC19F7">
              <w:t>utgjer</w:t>
            </w:r>
            <w:proofErr w:type="spellEnd"/>
            <w:r w:rsidRPr="00CC19F7">
              <w:t xml:space="preserve"> </w:t>
            </w:r>
            <w:proofErr w:type="spellStart"/>
            <w:r w:rsidRPr="00CC19F7">
              <w:t>ein</w:t>
            </w:r>
            <w:proofErr w:type="spellEnd"/>
            <w:r w:rsidRPr="00CC19F7">
              <w:t xml:space="preserve"> mindre del av den samla finansieringa for prosjekta, er </w:t>
            </w:r>
            <w:proofErr w:type="spellStart"/>
            <w:r w:rsidRPr="00CC19F7">
              <w:t>ein</w:t>
            </w:r>
            <w:proofErr w:type="spellEnd"/>
            <w:r w:rsidRPr="00CC19F7">
              <w:t xml:space="preserve"> viktig </w:t>
            </w:r>
            <w:proofErr w:type="spellStart"/>
            <w:r w:rsidRPr="00CC19F7">
              <w:t>utløysande</w:t>
            </w:r>
            <w:proofErr w:type="spellEnd"/>
            <w:r w:rsidRPr="00CC19F7">
              <w:t xml:space="preserve"> faktor for å modne ny teknologi fram til </w:t>
            </w:r>
            <w:proofErr w:type="spellStart"/>
            <w:r w:rsidRPr="00CC19F7">
              <w:t>marknaden</w:t>
            </w:r>
            <w:proofErr w:type="spellEnd"/>
            <w:r w:rsidRPr="00CC19F7">
              <w:t xml:space="preserve">. </w:t>
            </w:r>
            <w:r w:rsidRPr="00CC19F7">
              <w:br/>
              <w:t xml:space="preserve">Tematiske </w:t>
            </w:r>
            <w:proofErr w:type="spellStart"/>
            <w:r w:rsidRPr="00CC19F7">
              <w:t>prioriteringar</w:t>
            </w:r>
            <w:proofErr w:type="spellEnd"/>
            <w:r w:rsidRPr="00CC19F7">
              <w:t xml:space="preserve"> er i tråd med OG21-strategien.</w:t>
            </w:r>
          </w:p>
        </w:tc>
      </w:tr>
      <w:tr w:rsidR="00FE02EF" w:rsidRPr="00CC19F7" w14:paraId="5E06B97E" w14:textId="77777777" w:rsidTr="00C0741D">
        <w:trPr>
          <w:trHeight w:val="1900"/>
        </w:trPr>
        <w:tc>
          <w:tcPr>
            <w:tcW w:w="2300" w:type="dxa"/>
            <w:tcBorders>
              <w:top w:val="single" w:sz="4" w:space="0" w:color="000000"/>
              <w:left w:val="nil"/>
              <w:bottom w:val="single" w:sz="4" w:space="0" w:color="000000"/>
              <w:right w:val="nil"/>
            </w:tcBorders>
            <w:tcMar>
              <w:top w:w="110" w:type="dxa"/>
              <w:left w:w="43" w:type="dxa"/>
              <w:bottom w:w="43" w:type="dxa"/>
              <w:right w:w="43" w:type="dxa"/>
            </w:tcMar>
          </w:tcPr>
          <w:p w14:paraId="667FB1FE" w14:textId="77777777" w:rsidR="00FE02EF" w:rsidRPr="00CC19F7" w:rsidRDefault="00881E58" w:rsidP="00CC19F7">
            <w:r w:rsidRPr="00CC19F7">
              <w:t xml:space="preserve">PETROSENTER </w:t>
            </w:r>
            <w:r w:rsidRPr="00CC19F7">
              <w:br/>
              <w:t>(Forskingssenter for petroleum)</w:t>
            </w:r>
          </w:p>
        </w:tc>
        <w:tc>
          <w:tcPr>
            <w:tcW w:w="7260" w:type="dxa"/>
            <w:tcBorders>
              <w:top w:val="single" w:sz="4" w:space="0" w:color="000000"/>
              <w:left w:val="nil"/>
              <w:bottom w:val="single" w:sz="4" w:space="0" w:color="000000"/>
              <w:right w:val="nil"/>
            </w:tcBorders>
            <w:tcMar>
              <w:top w:w="110" w:type="dxa"/>
              <w:left w:w="43" w:type="dxa"/>
              <w:bottom w:w="43" w:type="dxa"/>
              <w:right w:w="43" w:type="dxa"/>
            </w:tcMar>
          </w:tcPr>
          <w:p w14:paraId="4BDC5070" w14:textId="77777777" w:rsidR="00FE02EF" w:rsidRPr="00CC19F7" w:rsidRDefault="00881E58" w:rsidP="00CC19F7">
            <w:proofErr w:type="spellStart"/>
            <w:r w:rsidRPr="00CC19F7">
              <w:t>Sentera</w:t>
            </w:r>
            <w:proofErr w:type="spellEnd"/>
            <w:r w:rsidRPr="00CC19F7">
              <w:t xml:space="preserve"> skal gjennom fokusert og langsiktig forskingsinnsats på høgt internasjonalt nivå løyse </w:t>
            </w:r>
            <w:proofErr w:type="spellStart"/>
            <w:r w:rsidRPr="00CC19F7">
              <w:t>utpeika</w:t>
            </w:r>
            <w:proofErr w:type="spellEnd"/>
            <w:r w:rsidRPr="00CC19F7">
              <w:t xml:space="preserve"> </w:t>
            </w:r>
            <w:proofErr w:type="spellStart"/>
            <w:r w:rsidRPr="00CC19F7">
              <w:t>utfordringar</w:t>
            </w:r>
            <w:proofErr w:type="spellEnd"/>
            <w:r w:rsidRPr="00CC19F7">
              <w:t xml:space="preserve"> for utnytting av </w:t>
            </w:r>
            <w:proofErr w:type="spellStart"/>
            <w:r w:rsidRPr="00CC19F7">
              <w:t>petroleumsressursane</w:t>
            </w:r>
            <w:proofErr w:type="spellEnd"/>
            <w:r w:rsidRPr="00CC19F7">
              <w:t xml:space="preserve"> på norsk sokkel. Næringsretta </w:t>
            </w:r>
            <w:proofErr w:type="spellStart"/>
            <w:r w:rsidRPr="00CC19F7">
              <w:t>forskarutdanning</w:t>
            </w:r>
            <w:proofErr w:type="spellEnd"/>
            <w:r w:rsidRPr="00CC19F7">
              <w:t xml:space="preserve"> og langsiktig kompetansebygging står sentralt for </w:t>
            </w:r>
            <w:proofErr w:type="spellStart"/>
            <w:r w:rsidRPr="00CC19F7">
              <w:t>sentera</w:t>
            </w:r>
            <w:proofErr w:type="spellEnd"/>
            <w:r w:rsidRPr="00CC19F7">
              <w:t xml:space="preserve">. </w:t>
            </w:r>
            <w:proofErr w:type="spellStart"/>
            <w:r w:rsidRPr="00CC19F7">
              <w:t>Sentera</w:t>
            </w:r>
            <w:proofErr w:type="spellEnd"/>
            <w:r w:rsidRPr="00CC19F7">
              <w:t xml:space="preserve"> </w:t>
            </w:r>
            <w:proofErr w:type="spellStart"/>
            <w:r w:rsidRPr="00CC19F7">
              <w:t>utviklar</w:t>
            </w:r>
            <w:proofErr w:type="spellEnd"/>
            <w:r w:rsidRPr="00CC19F7">
              <w:t xml:space="preserve"> kunnskap </w:t>
            </w:r>
            <w:r w:rsidRPr="00CC19F7">
              <w:br/>
              <w:t xml:space="preserve">og teknologi som har stor betydning for verdiskaping og utnytting av </w:t>
            </w:r>
            <w:r w:rsidRPr="00CC19F7">
              <w:br/>
            </w:r>
            <w:proofErr w:type="spellStart"/>
            <w:r w:rsidRPr="00CC19F7">
              <w:t>gjenverande</w:t>
            </w:r>
            <w:proofErr w:type="spellEnd"/>
            <w:r w:rsidRPr="00CC19F7">
              <w:t xml:space="preserve"> </w:t>
            </w:r>
            <w:proofErr w:type="spellStart"/>
            <w:r w:rsidRPr="00CC19F7">
              <w:t>petroleumsressursar</w:t>
            </w:r>
            <w:proofErr w:type="spellEnd"/>
            <w:r w:rsidRPr="00CC19F7">
              <w:t xml:space="preserve"> og bygger bru til </w:t>
            </w:r>
            <w:proofErr w:type="spellStart"/>
            <w:r w:rsidRPr="00CC19F7">
              <w:t>framveksande</w:t>
            </w:r>
            <w:proofErr w:type="spellEnd"/>
            <w:r w:rsidRPr="00CC19F7">
              <w:t xml:space="preserve"> </w:t>
            </w:r>
            <w:proofErr w:type="spellStart"/>
            <w:r w:rsidRPr="00CC19F7">
              <w:t>næringar</w:t>
            </w:r>
            <w:proofErr w:type="spellEnd"/>
            <w:r w:rsidRPr="00CC19F7">
              <w:t xml:space="preserve"> som hydrogen og CO</w:t>
            </w:r>
            <w:r w:rsidRPr="00CC19F7">
              <w:rPr>
                <w:rStyle w:val="skrift-senket"/>
              </w:rPr>
              <w:t>2</w:t>
            </w:r>
            <w:r w:rsidRPr="00CC19F7">
              <w:t>-lagring.</w:t>
            </w:r>
          </w:p>
        </w:tc>
      </w:tr>
    </w:tbl>
    <w:p w14:paraId="0031DBB5" w14:textId="4CE46A01" w:rsidR="00FE02EF" w:rsidRDefault="00881E58" w:rsidP="00CC19F7">
      <w:proofErr w:type="spellStart"/>
      <w:r w:rsidRPr="00CC19F7">
        <w:t>Meir</w:t>
      </w:r>
      <w:proofErr w:type="spellEnd"/>
      <w:r w:rsidRPr="00CC19F7">
        <w:t xml:space="preserve"> informasjon om programma </w:t>
      </w:r>
      <w:proofErr w:type="spellStart"/>
      <w:r w:rsidRPr="00CC19F7">
        <w:t>finst</w:t>
      </w:r>
      <w:proofErr w:type="spellEnd"/>
      <w:r w:rsidRPr="00CC19F7">
        <w:t xml:space="preserve"> på forskningsradet.no.</w:t>
      </w:r>
    </w:p>
    <w:p w14:paraId="71C377A2" w14:textId="72D188CB" w:rsidR="00C0741D" w:rsidRPr="00CC19F7" w:rsidRDefault="00C0741D" w:rsidP="00C0741D">
      <w:pPr>
        <w:pStyle w:val="tabell-tittel"/>
      </w:pPr>
      <w:proofErr w:type="spellStart"/>
      <w:r w:rsidRPr="00CC19F7">
        <w:t>Forskingsenter</w:t>
      </w:r>
      <w:proofErr w:type="spellEnd"/>
      <w:r w:rsidRPr="00CC19F7">
        <w:t xml:space="preserve"> for petroleum</w:t>
      </w:r>
    </w:p>
    <w:p w14:paraId="13C65319" w14:textId="77777777" w:rsidR="00FE02EF" w:rsidRPr="00CC19F7" w:rsidRDefault="00881E58" w:rsidP="00CC19F7">
      <w:pPr>
        <w:pStyle w:val="Tabellnavn"/>
      </w:pPr>
      <w:r w:rsidRPr="00CC19F7">
        <w:t>04N1xx2</w:t>
      </w:r>
    </w:p>
    <w:tbl>
      <w:tblPr>
        <w:tblW w:w="9596" w:type="dxa"/>
        <w:tblInd w:w="43" w:type="dxa"/>
        <w:tblLayout w:type="fixed"/>
        <w:tblCellMar>
          <w:top w:w="110" w:type="dxa"/>
          <w:left w:w="43" w:type="dxa"/>
          <w:bottom w:w="43" w:type="dxa"/>
          <w:right w:w="43" w:type="dxa"/>
        </w:tblCellMar>
        <w:tblLook w:val="0000" w:firstRow="0" w:lastRow="0" w:firstColumn="0" w:lastColumn="0" w:noHBand="0" w:noVBand="0"/>
      </w:tblPr>
      <w:tblGrid>
        <w:gridCol w:w="2367"/>
        <w:gridCol w:w="4253"/>
        <w:gridCol w:w="1417"/>
        <w:gridCol w:w="1559"/>
      </w:tblGrid>
      <w:tr w:rsidR="00FE02EF" w:rsidRPr="00CC19F7" w14:paraId="43E8D1EE" w14:textId="77777777" w:rsidTr="00C0741D">
        <w:trPr>
          <w:trHeight w:val="340"/>
        </w:trPr>
        <w:tc>
          <w:tcPr>
            <w:tcW w:w="2367" w:type="dxa"/>
            <w:tcBorders>
              <w:top w:val="single" w:sz="4" w:space="0" w:color="000000"/>
              <w:left w:val="nil"/>
              <w:bottom w:val="single" w:sz="4" w:space="0" w:color="000000"/>
              <w:right w:val="nil"/>
            </w:tcBorders>
            <w:tcMar>
              <w:top w:w="110" w:type="dxa"/>
              <w:left w:w="43" w:type="dxa"/>
              <w:bottom w:w="43" w:type="dxa"/>
              <w:right w:w="43" w:type="dxa"/>
            </w:tcMar>
            <w:vAlign w:val="bottom"/>
          </w:tcPr>
          <w:p w14:paraId="585C2503" w14:textId="77777777" w:rsidR="00FE02EF" w:rsidRPr="00CC19F7" w:rsidRDefault="00881E58" w:rsidP="00CC19F7">
            <w:proofErr w:type="spellStart"/>
            <w:r w:rsidRPr="00CC19F7">
              <w:t>Namn</w:t>
            </w:r>
            <w:proofErr w:type="spellEnd"/>
          </w:p>
        </w:tc>
        <w:tc>
          <w:tcPr>
            <w:tcW w:w="4253" w:type="dxa"/>
            <w:tcBorders>
              <w:top w:val="single" w:sz="4" w:space="0" w:color="000000"/>
              <w:left w:val="nil"/>
              <w:bottom w:val="single" w:sz="4" w:space="0" w:color="000000"/>
              <w:right w:val="nil"/>
            </w:tcBorders>
            <w:tcMar>
              <w:top w:w="110" w:type="dxa"/>
              <w:left w:w="43" w:type="dxa"/>
              <w:bottom w:w="43" w:type="dxa"/>
              <w:right w:w="43" w:type="dxa"/>
            </w:tcMar>
            <w:vAlign w:val="bottom"/>
          </w:tcPr>
          <w:p w14:paraId="6204D5D4" w14:textId="77777777" w:rsidR="00FE02EF" w:rsidRPr="00CC19F7" w:rsidRDefault="00881E58" w:rsidP="00CC19F7">
            <w:r w:rsidRPr="00CC19F7">
              <w:t>Om</w:t>
            </w:r>
          </w:p>
        </w:tc>
        <w:tc>
          <w:tcPr>
            <w:tcW w:w="1417" w:type="dxa"/>
            <w:tcBorders>
              <w:top w:val="single" w:sz="4" w:space="0" w:color="000000"/>
              <w:left w:val="nil"/>
              <w:bottom w:val="single" w:sz="4" w:space="0" w:color="000000"/>
              <w:right w:val="nil"/>
            </w:tcBorders>
            <w:tcMar>
              <w:top w:w="110" w:type="dxa"/>
              <w:left w:w="43" w:type="dxa"/>
              <w:bottom w:w="43" w:type="dxa"/>
              <w:right w:w="43" w:type="dxa"/>
            </w:tcMar>
            <w:vAlign w:val="bottom"/>
          </w:tcPr>
          <w:p w14:paraId="6E8C1BE0" w14:textId="77777777" w:rsidR="00FE02EF" w:rsidRPr="00CC19F7" w:rsidRDefault="00881E58" w:rsidP="00C0741D">
            <w:pPr>
              <w:ind w:right="-43"/>
            </w:pPr>
            <w:r w:rsidRPr="00CC19F7">
              <w:t>Vertskap</w:t>
            </w:r>
          </w:p>
        </w:tc>
        <w:tc>
          <w:tcPr>
            <w:tcW w:w="1559" w:type="dxa"/>
            <w:tcBorders>
              <w:top w:val="single" w:sz="4" w:space="0" w:color="000000"/>
              <w:left w:val="nil"/>
              <w:bottom w:val="single" w:sz="4" w:space="0" w:color="000000"/>
              <w:right w:val="nil"/>
            </w:tcBorders>
            <w:tcMar>
              <w:top w:w="110" w:type="dxa"/>
              <w:left w:w="43" w:type="dxa"/>
              <w:bottom w:w="43" w:type="dxa"/>
              <w:right w:w="43" w:type="dxa"/>
            </w:tcMar>
            <w:vAlign w:val="bottom"/>
          </w:tcPr>
          <w:p w14:paraId="101655DE" w14:textId="77777777" w:rsidR="00FE02EF" w:rsidRPr="00CC19F7" w:rsidRDefault="00881E58" w:rsidP="00C0741D">
            <w:pPr>
              <w:jc w:val="right"/>
            </w:pPr>
            <w:r w:rsidRPr="00CC19F7">
              <w:t>Avtaleperiode</w:t>
            </w:r>
          </w:p>
        </w:tc>
      </w:tr>
      <w:tr w:rsidR="00FE02EF" w:rsidRPr="00CC19F7" w14:paraId="48C7609C" w14:textId="77777777" w:rsidTr="00C0741D">
        <w:trPr>
          <w:trHeight w:val="1380"/>
        </w:trPr>
        <w:tc>
          <w:tcPr>
            <w:tcW w:w="2367" w:type="dxa"/>
            <w:tcBorders>
              <w:top w:val="single" w:sz="4" w:space="0" w:color="000000"/>
              <w:left w:val="nil"/>
              <w:bottom w:val="single" w:sz="4" w:space="0" w:color="000000"/>
              <w:right w:val="nil"/>
            </w:tcBorders>
            <w:tcMar>
              <w:top w:w="110" w:type="dxa"/>
              <w:left w:w="43" w:type="dxa"/>
              <w:bottom w:w="43" w:type="dxa"/>
              <w:right w:w="43" w:type="dxa"/>
            </w:tcMar>
          </w:tcPr>
          <w:p w14:paraId="55CA7EB6" w14:textId="77777777" w:rsidR="00FE02EF" w:rsidRPr="00CC19F7" w:rsidRDefault="00881E58" w:rsidP="00CC19F7">
            <w:proofErr w:type="spellStart"/>
            <w:r w:rsidRPr="00CC19F7">
              <w:t>Lågutsleppsenteret</w:t>
            </w:r>
            <w:proofErr w:type="spellEnd"/>
            <w:r w:rsidRPr="00CC19F7">
              <w:t xml:space="preserve"> </w:t>
            </w:r>
            <w:r w:rsidRPr="00CC19F7">
              <w:br/>
              <w:t>(</w:t>
            </w:r>
            <w:proofErr w:type="spellStart"/>
            <w:r w:rsidRPr="00CC19F7">
              <w:t>Low</w:t>
            </w:r>
            <w:proofErr w:type="spellEnd"/>
            <w:r w:rsidRPr="00CC19F7">
              <w:t xml:space="preserve"> </w:t>
            </w:r>
            <w:proofErr w:type="spellStart"/>
            <w:r w:rsidRPr="00CC19F7">
              <w:t>Emission</w:t>
            </w:r>
            <w:proofErr w:type="spellEnd"/>
            <w:r w:rsidRPr="00CC19F7">
              <w:t>)</w:t>
            </w:r>
          </w:p>
        </w:tc>
        <w:tc>
          <w:tcPr>
            <w:tcW w:w="4253" w:type="dxa"/>
            <w:tcBorders>
              <w:top w:val="single" w:sz="4" w:space="0" w:color="000000"/>
              <w:left w:val="nil"/>
              <w:bottom w:val="single" w:sz="4" w:space="0" w:color="000000"/>
              <w:right w:val="nil"/>
            </w:tcBorders>
            <w:tcMar>
              <w:top w:w="110" w:type="dxa"/>
              <w:left w:w="43" w:type="dxa"/>
              <w:bottom w:w="43" w:type="dxa"/>
              <w:right w:w="43" w:type="dxa"/>
            </w:tcMar>
          </w:tcPr>
          <w:p w14:paraId="546BF17F" w14:textId="77777777" w:rsidR="00FE02EF" w:rsidRPr="00CC19F7" w:rsidRDefault="00881E58" w:rsidP="00CC19F7">
            <w:r w:rsidRPr="00CC19F7">
              <w:t xml:space="preserve">Bidra til å utvikle nye </w:t>
            </w:r>
            <w:proofErr w:type="spellStart"/>
            <w:r w:rsidRPr="00CC19F7">
              <w:t>teknologiar</w:t>
            </w:r>
            <w:proofErr w:type="spellEnd"/>
            <w:r w:rsidRPr="00CC19F7">
              <w:t xml:space="preserve"> og </w:t>
            </w:r>
            <w:r w:rsidRPr="00CC19F7">
              <w:br/>
              <w:t xml:space="preserve">konsept for offshore energisystem, energieffektivisering og integrasjon av </w:t>
            </w:r>
            <w:proofErr w:type="spellStart"/>
            <w:r w:rsidRPr="00CC19F7">
              <w:t>eksisterande</w:t>
            </w:r>
            <w:proofErr w:type="spellEnd"/>
            <w:r w:rsidRPr="00CC19F7">
              <w:t xml:space="preserve"> infrastruktur for fornybar kraftproduksjonsteknologi for implementering på norsk sokkel. </w:t>
            </w:r>
          </w:p>
        </w:tc>
        <w:tc>
          <w:tcPr>
            <w:tcW w:w="1417" w:type="dxa"/>
            <w:tcBorders>
              <w:top w:val="single" w:sz="4" w:space="0" w:color="000000"/>
              <w:left w:val="nil"/>
              <w:bottom w:val="single" w:sz="4" w:space="0" w:color="000000"/>
              <w:right w:val="nil"/>
            </w:tcBorders>
            <w:tcMar>
              <w:top w:w="110" w:type="dxa"/>
              <w:left w:w="43" w:type="dxa"/>
              <w:bottom w:w="43" w:type="dxa"/>
              <w:right w:w="43" w:type="dxa"/>
            </w:tcMar>
          </w:tcPr>
          <w:p w14:paraId="4C1C65C2" w14:textId="77777777" w:rsidR="00FE02EF" w:rsidRPr="00CC19F7" w:rsidRDefault="00881E58" w:rsidP="00C0741D">
            <w:pPr>
              <w:ind w:right="-43"/>
            </w:pPr>
            <w:r w:rsidRPr="00CC19F7">
              <w:t>SINTEF ENERGI</w:t>
            </w:r>
          </w:p>
        </w:tc>
        <w:tc>
          <w:tcPr>
            <w:tcW w:w="1559" w:type="dxa"/>
            <w:tcBorders>
              <w:top w:val="single" w:sz="4" w:space="0" w:color="000000"/>
              <w:left w:val="nil"/>
              <w:bottom w:val="single" w:sz="4" w:space="0" w:color="000000"/>
              <w:right w:val="nil"/>
            </w:tcBorders>
            <w:tcMar>
              <w:top w:w="110" w:type="dxa"/>
              <w:left w:w="43" w:type="dxa"/>
              <w:bottom w:w="43" w:type="dxa"/>
              <w:right w:w="43" w:type="dxa"/>
            </w:tcMar>
          </w:tcPr>
          <w:p w14:paraId="7878AE65" w14:textId="77777777" w:rsidR="00FE02EF" w:rsidRPr="00CC19F7" w:rsidRDefault="00881E58" w:rsidP="00C0741D">
            <w:pPr>
              <w:jc w:val="right"/>
            </w:pPr>
            <w:r w:rsidRPr="00CC19F7">
              <w:t>2019–2027</w:t>
            </w:r>
          </w:p>
        </w:tc>
      </w:tr>
      <w:tr w:rsidR="00FE02EF" w:rsidRPr="00CC19F7" w14:paraId="623E071C" w14:textId="77777777" w:rsidTr="00C0741D">
        <w:trPr>
          <w:trHeight w:val="1380"/>
        </w:trPr>
        <w:tc>
          <w:tcPr>
            <w:tcW w:w="2367" w:type="dxa"/>
            <w:tcBorders>
              <w:top w:val="single" w:sz="4" w:space="0" w:color="000000"/>
              <w:left w:val="nil"/>
              <w:bottom w:val="single" w:sz="4" w:space="0" w:color="000000"/>
              <w:right w:val="nil"/>
            </w:tcBorders>
            <w:tcMar>
              <w:top w:w="110" w:type="dxa"/>
              <w:left w:w="43" w:type="dxa"/>
              <w:bottom w:w="43" w:type="dxa"/>
              <w:right w:w="43" w:type="dxa"/>
            </w:tcMar>
          </w:tcPr>
          <w:p w14:paraId="23D22DB2" w14:textId="77777777" w:rsidR="00FE02EF" w:rsidRPr="00CC19F7" w:rsidRDefault="00881E58" w:rsidP="00CC19F7">
            <w:r w:rsidRPr="00CC19F7">
              <w:t xml:space="preserve">Senter for </w:t>
            </w:r>
            <w:proofErr w:type="spellStart"/>
            <w:r w:rsidRPr="00CC19F7">
              <w:t>berekraftig</w:t>
            </w:r>
            <w:proofErr w:type="spellEnd"/>
            <w:r w:rsidRPr="00CC19F7">
              <w:t xml:space="preserve"> utnytting av </w:t>
            </w:r>
            <w:proofErr w:type="spellStart"/>
            <w:r w:rsidRPr="00CC19F7">
              <w:t>petroleumsressursar</w:t>
            </w:r>
            <w:proofErr w:type="spellEnd"/>
            <w:r w:rsidRPr="00CC19F7">
              <w:t xml:space="preserve"> på norsk sokkel (NCS2030)</w:t>
            </w:r>
          </w:p>
        </w:tc>
        <w:tc>
          <w:tcPr>
            <w:tcW w:w="4253" w:type="dxa"/>
            <w:tcBorders>
              <w:top w:val="single" w:sz="4" w:space="0" w:color="000000"/>
              <w:left w:val="nil"/>
              <w:bottom w:val="single" w:sz="4" w:space="0" w:color="000000"/>
              <w:right w:val="nil"/>
            </w:tcBorders>
            <w:tcMar>
              <w:top w:w="110" w:type="dxa"/>
              <w:left w:w="43" w:type="dxa"/>
              <w:bottom w:w="43" w:type="dxa"/>
              <w:right w:w="43" w:type="dxa"/>
            </w:tcMar>
          </w:tcPr>
          <w:p w14:paraId="512FC427" w14:textId="77777777" w:rsidR="00FE02EF" w:rsidRPr="00CC19F7" w:rsidRDefault="00881E58" w:rsidP="00CC19F7">
            <w:r w:rsidRPr="00CC19F7">
              <w:t xml:space="preserve">Bidra til å skape ei </w:t>
            </w:r>
            <w:proofErr w:type="spellStart"/>
            <w:r w:rsidRPr="00CC19F7">
              <w:t>berekraftig</w:t>
            </w:r>
            <w:proofErr w:type="spellEnd"/>
            <w:r w:rsidRPr="00CC19F7">
              <w:t xml:space="preserve"> verdikjede </w:t>
            </w:r>
            <w:r w:rsidRPr="00CC19F7">
              <w:br/>
              <w:t xml:space="preserve">for </w:t>
            </w:r>
            <w:proofErr w:type="spellStart"/>
            <w:r w:rsidRPr="00CC19F7">
              <w:t>hydrokarbonressursane</w:t>
            </w:r>
            <w:proofErr w:type="spellEnd"/>
            <w:r w:rsidRPr="00CC19F7">
              <w:t xml:space="preserve"> ved utvikling av </w:t>
            </w:r>
            <w:proofErr w:type="spellStart"/>
            <w:r w:rsidRPr="00CC19F7">
              <w:t>løysingar</w:t>
            </w:r>
            <w:proofErr w:type="spellEnd"/>
            <w:r w:rsidRPr="00CC19F7">
              <w:t xml:space="preserve"> som maksimerer verdiskapinga </w:t>
            </w:r>
            <w:r w:rsidRPr="00CC19F7">
              <w:br/>
              <w:t xml:space="preserve">av </w:t>
            </w:r>
            <w:proofErr w:type="spellStart"/>
            <w:r w:rsidRPr="00CC19F7">
              <w:t>ressursane</w:t>
            </w:r>
            <w:proofErr w:type="spellEnd"/>
            <w:r w:rsidRPr="00CC19F7">
              <w:t xml:space="preserve">, samtidig som </w:t>
            </w:r>
            <w:proofErr w:type="spellStart"/>
            <w:r w:rsidRPr="00CC19F7">
              <w:t>ein</w:t>
            </w:r>
            <w:proofErr w:type="spellEnd"/>
            <w:r w:rsidRPr="00CC19F7">
              <w:t xml:space="preserve"> skal nå regjeringas mål om nullutslepp.</w:t>
            </w:r>
          </w:p>
        </w:tc>
        <w:tc>
          <w:tcPr>
            <w:tcW w:w="1417" w:type="dxa"/>
            <w:tcBorders>
              <w:top w:val="single" w:sz="4" w:space="0" w:color="000000"/>
              <w:left w:val="nil"/>
              <w:bottom w:val="single" w:sz="4" w:space="0" w:color="000000"/>
              <w:right w:val="nil"/>
            </w:tcBorders>
            <w:tcMar>
              <w:top w:w="110" w:type="dxa"/>
              <w:left w:w="43" w:type="dxa"/>
              <w:bottom w:w="43" w:type="dxa"/>
              <w:right w:w="43" w:type="dxa"/>
            </w:tcMar>
          </w:tcPr>
          <w:p w14:paraId="3084F8BE" w14:textId="77777777" w:rsidR="00FE02EF" w:rsidRPr="00CC19F7" w:rsidRDefault="00881E58" w:rsidP="00C0741D">
            <w:pPr>
              <w:ind w:right="-43"/>
            </w:pPr>
            <w:r w:rsidRPr="00CC19F7">
              <w:t xml:space="preserve">Universitetet </w:t>
            </w:r>
            <w:r w:rsidRPr="00CC19F7">
              <w:br/>
              <w:t>i Stavanger</w:t>
            </w:r>
          </w:p>
        </w:tc>
        <w:tc>
          <w:tcPr>
            <w:tcW w:w="1559" w:type="dxa"/>
            <w:tcBorders>
              <w:top w:val="single" w:sz="4" w:space="0" w:color="000000"/>
              <w:left w:val="nil"/>
              <w:bottom w:val="single" w:sz="4" w:space="0" w:color="000000"/>
              <w:right w:val="nil"/>
            </w:tcBorders>
            <w:tcMar>
              <w:top w:w="110" w:type="dxa"/>
              <w:left w:w="43" w:type="dxa"/>
              <w:bottom w:w="43" w:type="dxa"/>
              <w:right w:w="43" w:type="dxa"/>
            </w:tcMar>
          </w:tcPr>
          <w:p w14:paraId="78474C10" w14:textId="77777777" w:rsidR="00FE02EF" w:rsidRPr="00CC19F7" w:rsidRDefault="00881E58" w:rsidP="00C0741D">
            <w:pPr>
              <w:jc w:val="right"/>
            </w:pPr>
            <w:r w:rsidRPr="00CC19F7">
              <w:t>2022–2029</w:t>
            </w:r>
          </w:p>
        </w:tc>
      </w:tr>
      <w:tr w:rsidR="00FE02EF" w:rsidRPr="00CC19F7" w14:paraId="007A9BD4" w14:textId="77777777" w:rsidTr="00C0741D">
        <w:trPr>
          <w:trHeight w:val="1640"/>
        </w:trPr>
        <w:tc>
          <w:tcPr>
            <w:tcW w:w="2367" w:type="dxa"/>
            <w:tcBorders>
              <w:top w:val="single" w:sz="4" w:space="0" w:color="000000"/>
              <w:left w:val="nil"/>
              <w:bottom w:val="single" w:sz="4" w:space="0" w:color="000000"/>
              <w:right w:val="nil"/>
            </w:tcBorders>
            <w:tcMar>
              <w:top w:w="110" w:type="dxa"/>
              <w:left w:w="43" w:type="dxa"/>
              <w:bottom w:w="43" w:type="dxa"/>
              <w:right w:w="43" w:type="dxa"/>
            </w:tcMar>
          </w:tcPr>
          <w:p w14:paraId="00A39C69" w14:textId="77777777" w:rsidR="00FE02EF" w:rsidRPr="00CC19F7" w:rsidRDefault="00881E58" w:rsidP="00CC19F7">
            <w:r w:rsidRPr="00CC19F7">
              <w:t xml:space="preserve">Senter for </w:t>
            </w:r>
            <w:proofErr w:type="spellStart"/>
            <w:r w:rsidRPr="00CC19F7">
              <w:t>auka</w:t>
            </w:r>
            <w:proofErr w:type="spellEnd"/>
            <w:r w:rsidRPr="00CC19F7">
              <w:t xml:space="preserve"> </w:t>
            </w:r>
            <w:r w:rsidRPr="00CC19F7">
              <w:br/>
              <w:t xml:space="preserve">undergrunns- og </w:t>
            </w:r>
            <w:r w:rsidRPr="00CC19F7">
              <w:br/>
              <w:t>reservoarforståing (CSSR)</w:t>
            </w:r>
          </w:p>
        </w:tc>
        <w:tc>
          <w:tcPr>
            <w:tcW w:w="4253" w:type="dxa"/>
            <w:tcBorders>
              <w:top w:val="single" w:sz="4" w:space="0" w:color="000000"/>
              <w:left w:val="nil"/>
              <w:bottom w:val="single" w:sz="4" w:space="0" w:color="000000"/>
              <w:right w:val="nil"/>
            </w:tcBorders>
            <w:tcMar>
              <w:top w:w="110" w:type="dxa"/>
              <w:left w:w="43" w:type="dxa"/>
              <w:bottom w:w="43" w:type="dxa"/>
              <w:right w:w="43" w:type="dxa"/>
            </w:tcMar>
          </w:tcPr>
          <w:p w14:paraId="1FB41674" w14:textId="5CA667F7" w:rsidR="00FE02EF" w:rsidRPr="00CC19F7" w:rsidRDefault="00881E58" w:rsidP="00CC19F7">
            <w:r w:rsidRPr="00CC19F7">
              <w:t xml:space="preserve">Bidra til å sikre langsiktig verdi for petroleumsindustrien i overgangen til </w:t>
            </w:r>
            <w:proofErr w:type="spellStart"/>
            <w:r w:rsidRPr="00CC19F7">
              <w:t>eit</w:t>
            </w:r>
            <w:proofErr w:type="spellEnd"/>
            <w:r w:rsidRPr="00CC19F7">
              <w:t xml:space="preserve"> nytt energilandskap. Forståing av undergrunnen for energieffektiv utnytting av reservoaret og utvikling av ny kunnskap og digitale </w:t>
            </w:r>
            <w:r w:rsidRPr="00CC19F7">
              <w:br/>
            </w:r>
            <w:proofErr w:type="spellStart"/>
            <w:r w:rsidRPr="00CC19F7">
              <w:t>løysingar</w:t>
            </w:r>
            <w:proofErr w:type="spellEnd"/>
            <w:r w:rsidRPr="00CC19F7">
              <w:t xml:space="preserve"> står sentralt.</w:t>
            </w:r>
          </w:p>
        </w:tc>
        <w:tc>
          <w:tcPr>
            <w:tcW w:w="1417" w:type="dxa"/>
            <w:tcBorders>
              <w:top w:val="single" w:sz="4" w:space="0" w:color="000000"/>
              <w:left w:val="nil"/>
              <w:bottom w:val="single" w:sz="4" w:space="0" w:color="000000"/>
              <w:right w:val="nil"/>
            </w:tcBorders>
            <w:tcMar>
              <w:top w:w="110" w:type="dxa"/>
              <w:left w:w="43" w:type="dxa"/>
              <w:bottom w:w="43" w:type="dxa"/>
              <w:right w:w="43" w:type="dxa"/>
            </w:tcMar>
          </w:tcPr>
          <w:p w14:paraId="5ACE1D5B" w14:textId="77777777" w:rsidR="00FE02EF" w:rsidRPr="00CC19F7" w:rsidRDefault="00881E58" w:rsidP="00C0741D">
            <w:pPr>
              <w:ind w:right="-43"/>
            </w:pPr>
            <w:r w:rsidRPr="00CC19F7">
              <w:t>NORCE</w:t>
            </w:r>
          </w:p>
        </w:tc>
        <w:tc>
          <w:tcPr>
            <w:tcW w:w="1559" w:type="dxa"/>
            <w:tcBorders>
              <w:top w:val="single" w:sz="4" w:space="0" w:color="000000"/>
              <w:left w:val="nil"/>
              <w:bottom w:val="single" w:sz="4" w:space="0" w:color="000000"/>
              <w:right w:val="nil"/>
            </w:tcBorders>
            <w:tcMar>
              <w:top w:w="110" w:type="dxa"/>
              <w:left w:w="43" w:type="dxa"/>
              <w:bottom w:w="43" w:type="dxa"/>
              <w:right w:w="43" w:type="dxa"/>
            </w:tcMar>
          </w:tcPr>
          <w:p w14:paraId="304920C3" w14:textId="77777777" w:rsidR="00FE02EF" w:rsidRPr="00CC19F7" w:rsidRDefault="00881E58" w:rsidP="00C0741D">
            <w:pPr>
              <w:jc w:val="right"/>
            </w:pPr>
            <w:r w:rsidRPr="00CC19F7">
              <w:t>2022–2029</w:t>
            </w:r>
          </w:p>
        </w:tc>
      </w:tr>
    </w:tbl>
    <w:p w14:paraId="200324D8" w14:textId="77777777" w:rsidR="00FE02EF" w:rsidRPr="00CC19F7" w:rsidRDefault="00881E58" w:rsidP="00CC19F7">
      <w:proofErr w:type="spellStart"/>
      <w:r w:rsidRPr="00CC19F7">
        <w:t>Meir</w:t>
      </w:r>
      <w:proofErr w:type="spellEnd"/>
      <w:r w:rsidRPr="00CC19F7">
        <w:t xml:space="preserve"> informasjon om </w:t>
      </w:r>
      <w:proofErr w:type="spellStart"/>
      <w:r w:rsidRPr="00CC19F7">
        <w:t>sentera</w:t>
      </w:r>
      <w:proofErr w:type="spellEnd"/>
      <w:r w:rsidRPr="00CC19F7">
        <w:t xml:space="preserve"> </w:t>
      </w:r>
      <w:proofErr w:type="spellStart"/>
      <w:r w:rsidRPr="00CC19F7">
        <w:t>finst</w:t>
      </w:r>
      <w:proofErr w:type="spellEnd"/>
      <w:r w:rsidRPr="00CC19F7">
        <w:t xml:space="preserve"> på forskningsradet.no.</w:t>
      </w:r>
    </w:p>
    <w:p w14:paraId="33A926B2" w14:textId="77777777" w:rsidR="00FE02EF" w:rsidRPr="00CC19F7" w:rsidRDefault="00881E58" w:rsidP="00CC19F7">
      <w:pPr>
        <w:pStyle w:val="avsnitt-undertittel"/>
      </w:pPr>
      <w:r w:rsidRPr="00CC19F7">
        <w:t>Internasjonalt forskings- og teknologisamarbeid</w:t>
      </w:r>
    </w:p>
    <w:p w14:paraId="7B3E454A" w14:textId="77777777" w:rsidR="00FE02EF" w:rsidRPr="00CC19F7" w:rsidRDefault="00881E58" w:rsidP="00CC19F7">
      <w:r w:rsidRPr="00CC19F7">
        <w:t xml:space="preserve">Deltaking i internasjonalt forskings- og teknologisamarbeid på energi- og petroleumsområdet har </w:t>
      </w:r>
      <w:proofErr w:type="spellStart"/>
      <w:r w:rsidRPr="00CC19F7">
        <w:t>høg</w:t>
      </w:r>
      <w:proofErr w:type="spellEnd"/>
      <w:r w:rsidRPr="00CC19F7">
        <w:t xml:space="preserve"> prioritet og er </w:t>
      </w:r>
      <w:proofErr w:type="spellStart"/>
      <w:r w:rsidRPr="00CC19F7">
        <w:t>eit</w:t>
      </w:r>
      <w:proofErr w:type="spellEnd"/>
      <w:r w:rsidRPr="00CC19F7">
        <w:t xml:space="preserve"> viktig supplement til den nasjonale FoU-satsinga. </w:t>
      </w:r>
      <w:proofErr w:type="spellStart"/>
      <w:r w:rsidRPr="00CC19F7">
        <w:t>Noreg</w:t>
      </w:r>
      <w:proofErr w:type="spellEnd"/>
      <w:r w:rsidRPr="00CC19F7">
        <w:t xml:space="preserve"> deltar i </w:t>
      </w:r>
      <w:proofErr w:type="spellStart"/>
      <w:r w:rsidRPr="00CC19F7">
        <w:t>samarbeidsaktivitetar</w:t>
      </w:r>
      <w:proofErr w:type="spellEnd"/>
      <w:r w:rsidRPr="00CC19F7">
        <w:t xml:space="preserve"> i EU, gjennom Det internasjonale energibyrået (IEA) og på nordisk nivå. </w:t>
      </w:r>
      <w:proofErr w:type="spellStart"/>
      <w:r w:rsidRPr="00CC19F7">
        <w:t>Noreg</w:t>
      </w:r>
      <w:proofErr w:type="spellEnd"/>
      <w:r w:rsidRPr="00CC19F7">
        <w:t xml:space="preserve"> deltar også i bilateralt samarbeid med </w:t>
      </w:r>
      <w:proofErr w:type="spellStart"/>
      <w:r w:rsidRPr="00CC19F7">
        <w:t>fleire</w:t>
      </w:r>
      <w:proofErr w:type="spellEnd"/>
      <w:r w:rsidRPr="00CC19F7">
        <w:t xml:space="preserve"> land og i store </w:t>
      </w:r>
      <w:proofErr w:type="spellStart"/>
      <w:r w:rsidRPr="00CC19F7">
        <w:t>fleirnasjonale</w:t>
      </w:r>
      <w:proofErr w:type="spellEnd"/>
      <w:r w:rsidRPr="00CC19F7">
        <w:t xml:space="preserve"> samarbeidsforum.</w:t>
      </w:r>
    </w:p>
    <w:p w14:paraId="1EF524CA" w14:textId="77777777" w:rsidR="00FE02EF" w:rsidRPr="00CC19F7" w:rsidRDefault="00881E58" w:rsidP="00CC19F7">
      <w:r w:rsidRPr="00CC19F7">
        <w:t xml:space="preserve">Samarbeid på tvers av landegrenser er </w:t>
      </w:r>
      <w:proofErr w:type="spellStart"/>
      <w:r w:rsidRPr="00CC19F7">
        <w:t>avgjerande</w:t>
      </w:r>
      <w:proofErr w:type="spellEnd"/>
      <w:r w:rsidRPr="00CC19F7">
        <w:t xml:space="preserve">, </w:t>
      </w:r>
      <w:proofErr w:type="spellStart"/>
      <w:r w:rsidRPr="00CC19F7">
        <w:t>ikkje</w:t>
      </w:r>
      <w:proofErr w:type="spellEnd"/>
      <w:r w:rsidRPr="00CC19F7">
        <w:t xml:space="preserve"> </w:t>
      </w:r>
      <w:proofErr w:type="spellStart"/>
      <w:r w:rsidRPr="00CC19F7">
        <w:t>berre</w:t>
      </w:r>
      <w:proofErr w:type="spellEnd"/>
      <w:r w:rsidRPr="00CC19F7">
        <w:t xml:space="preserve"> for å kunne </w:t>
      </w:r>
      <w:proofErr w:type="spellStart"/>
      <w:r w:rsidRPr="00CC19F7">
        <w:t>halde</w:t>
      </w:r>
      <w:proofErr w:type="spellEnd"/>
      <w:r w:rsidRPr="00CC19F7">
        <w:t xml:space="preserve"> </w:t>
      </w:r>
      <w:proofErr w:type="spellStart"/>
      <w:r w:rsidRPr="00CC19F7">
        <w:t>eit</w:t>
      </w:r>
      <w:proofErr w:type="spellEnd"/>
      <w:r w:rsidRPr="00CC19F7">
        <w:t xml:space="preserve"> høgt </w:t>
      </w:r>
      <w:proofErr w:type="spellStart"/>
      <w:r w:rsidRPr="00CC19F7">
        <w:t>fagleg</w:t>
      </w:r>
      <w:proofErr w:type="spellEnd"/>
      <w:r w:rsidRPr="00CC19F7">
        <w:t xml:space="preserve"> nivå i norske forskingsmiljø, men også av strategiske </w:t>
      </w:r>
      <w:proofErr w:type="spellStart"/>
      <w:r w:rsidRPr="00CC19F7">
        <w:t>grunnar</w:t>
      </w:r>
      <w:proofErr w:type="spellEnd"/>
      <w:r w:rsidRPr="00CC19F7">
        <w:t xml:space="preserve"> for å etablere </w:t>
      </w:r>
      <w:proofErr w:type="spellStart"/>
      <w:r w:rsidRPr="00CC19F7">
        <w:t>kontaktar</w:t>
      </w:r>
      <w:proofErr w:type="spellEnd"/>
      <w:r w:rsidRPr="00CC19F7">
        <w:t xml:space="preserve"> og </w:t>
      </w:r>
      <w:proofErr w:type="spellStart"/>
      <w:r w:rsidRPr="00CC19F7">
        <w:t>alliansar</w:t>
      </w:r>
      <w:proofErr w:type="spellEnd"/>
      <w:r w:rsidRPr="00CC19F7">
        <w:t xml:space="preserve"> med andre land. Deltaking i internasjonale prosjekt er </w:t>
      </w:r>
      <w:proofErr w:type="spellStart"/>
      <w:r w:rsidRPr="00CC19F7">
        <w:t>kompetansebyggande</w:t>
      </w:r>
      <w:proofErr w:type="spellEnd"/>
      <w:r w:rsidRPr="00CC19F7">
        <w:t xml:space="preserve"> og gir både </w:t>
      </w:r>
      <w:proofErr w:type="spellStart"/>
      <w:r w:rsidRPr="00CC19F7">
        <w:t>fagleg</w:t>
      </w:r>
      <w:proofErr w:type="spellEnd"/>
      <w:r w:rsidRPr="00CC19F7">
        <w:t xml:space="preserve"> og økonomisk </w:t>
      </w:r>
      <w:proofErr w:type="spellStart"/>
      <w:r w:rsidRPr="00CC19F7">
        <w:t>draghjelp</w:t>
      </w:r>
      <w:proofErr w:type="spellEnd"/>
      <w:r w:rsidRPr="00CC19F7">
        <w:t xml:space="preserve"> til å løyse sentrale </w:t>
      </w:r>
      <w:proofErr w:type="spellStart"/>
      <w:r w:rsidRPr="00CC19F7">
        <w:t>forskingsoppgåver</w:t>
      </w:r>
      <w:proofErr w:type="spellEnd"/>
      <w:r w:rsidRPr="00CC19F7">
        <w:t xml:space="preserve">. Samtidig er internasjonalt samarbeid </w:t>
      </w:r>
      <w:proofErr w:type="spellStart"/>
      <w:r w:rsidRPr="00CC19F7">
        <w:t>eit</w:t>
      </w:r>
      <w:proofErr w:type="spellEnd"/>
      <w:r w:rsidRPr="00CC19F7">
        <w:t xml:space="preserve"> </w:t>
      </w:r>
      <w:proofErr w:type="spellStart"/>
      <w:r w:rsidRPr="00CC19F7">
        <w:t>utstillingsvindauge</w:t>
      </w:r>
      <w:proofErr w:type="spellEnd"/>
      <w:r w:rsidRPr="00CC19F7">
        <w:t xml:space="preserve"> for norske teknologi- og </w:t>
      </w:r>
      <w:proofErr w:type="spellStart"/>
      <w:r w:rsidRPr="00CC19F7">
        <w:t>kunnskapsleverandørar</w:t>
      </w:r>
      <w:proofErr w:type="spellEnd"/>
      <w:r w:rsidRPr="00CC19F7">
        <w:t xml:space="preserve"> og kan </w:t>
      </w:r>
      <w:proofErr w:type="spellStart"/>
      <w:r w:rsidRPr="00CC19F7">
        <w:t>vere</w:t>
      </w:r>
      <w:proofErr w:type="spellEnd"/>
      <w:r w:rsidRPr="00CC19F7">
        <w:t xml:space="preserve"> </w:t>
      </w:r>
      <w:proofErr w:type="spellStart"/>
      <w:r w:rsidRPr="00CC19F7">
        <w:t>ein</w:t>
      </w:r>
      <w:proofErr w:type="spellEnd"/>
      <w:r w:rsidRPr="00CC19F7">
        <w:t xml:space="preserve"> </w:t>
      </w:r>
      <w:proofErr w:type="spellStart"/>
      <w:r w:rsidRPr="00CC19F7">
        <w:t>døropnar</w:t>
      </w:r>
      <w:proofErr w:type="spellEnd"/>
      <w:r w:rsidRPr="00CC19F7">
        <w:t xml:space="preserve"> for nye </w:t>
      </w:r>
      <w:proofErr w:type="spellStart"/>
      <w:r w:rsidRPr="00CC19F7">
        <w:t>marknader</w:t>
      </w:r>
      <w:proofErr w:type="spellEnd"/>
      <w:r w:rsidRPr="00CC19F7">
        <w:t>.</w:t>
      </w:r>
    </w:p>
    <w:p w14:paraId="3D912B6E" w14:textId="77777777" w:rsidR="00FE02EF" w:rsidRPr="00CC19F7" w:rsidRDefault="00881E58" w:rsidP="00CC19F7">
      <w:r w:rsidRPr="00CC19F7">
        <w:t xml:space="preserve">Forskingsrådet skal stimulere til internasjonalt forskingssamarbeid </w:t>
      </w:r>
      <w:proofErr w:type="spellStart"/>
      <w:r w:rsidRPr="00CC19F7">
        <w:t>innanfor</w:t>
      </w:r>
      <w:proofErr w:type="spellEnd"/>
      <w:r w:rsidRPr="00CC19F7">
        <w:t xml:space="preserve"> EU, i </w:t>
      </w:r>
      <w:proofErr w:type="spellStart"/>
      <w:r w:rsidRPr="00CC19F7">
        <w:t>fleirnasjonale</w:t>
      </w:r>
      <w:proofErr w:type="spellEnd"/>
      <w:r w:rsidRPr="00CC19F7">
        <w:t xml:space="preserve"> samarbeidsforum som </w:t>
      </w:r>
      <w:proofErr w:type="spellStart"/>
      <w:r w:rsidRPr="00CC19F7">
        <w:t>Mission</w:t>
      </w:r>
      <w:proofErr w:type="spellEnd"/>
      <w:r w:rsidRPr="00CC19F7">
        <w:t xml:space="preserve"> </w:t>
      </w:r>
      <w:proofErr w:type="spellStart"/>
      <w:r w:rsidRPr="00CC19F7">
        <w:t>Innovation</w:t>
      </w:r>
      <w:proofErr w:type="spellEnd"/>
      <w:r w:rsidRPr="00CC19F7">
        <w:t xml:space="preserve"> og Nordisk Energiforsking og med prioriterte samarbeidsland som USA, Brasil og Canada, gjennom </w:t>
      </w:r>
      <w:proofErr w:type="spellStart"/>
      <w:r w:rsidRPr="00CC19F7">
        <w:t>dei</w:t>
      </w:r>
      <w:proofErr w:type="spellEnd"/>
      <w:r w:rsidRPr="00CC19F7">
        <w:t xml:space="preserve"> målretta </w:t>
      </w:r>
      <w:proofErr w:type="spellStart"/>
      <w:r w:rsidRPr="00CC19F7">
        <w:t>aktivitetane</w:t>
      </w:r>
      <w:proofErr w:type="spellEnd"/>
      <w:r w:rsidRPr="00CC19F7">
        <w:t xml:space="preserve"> </w:t>
      </w:r>
      <w:proofErr w:type="spellStart"/>
      <w:r w:rsidRPr="00CC19F7">
        <w:t>innan</w:t>
      </w:r>
      <w:proofErr w:type="spellEnd"/>
      <w:r w:rsidRPr="00CC19F7">
        <w:t xml:space="preserve"> energi- og petroleumsforskinga. </w:t>
      </w:r>
      <w:proofErr w:type="spellStart"/>
      <w:r w:rsidRPr="00CC19F7">
        <w:t>Forskingssentera</w:t>
      </w:r>
      <w:proofErr w:type="spellEnd"/>
      <w:r w:rsidRPr="00CC19F7">
        <w:t xml:space="preserve"> er også viktige kontaktpunkt for internasjonalt samarbeid generelt og bilateralt samarbeid spesielt. Gassnova skal bidra til utvikling av ny teknologi og </w:t>
      </w:r>
      <w:proofErr w:type="spellStart"/>
      <w:r w:rsidRPr="00CC19F7">
        <w:t>tenestekonsept</w:t>
      </w:r>
      <w:proofErr w:type="spellEnd"/>
      <w:r w:rsidRPr="00CC19F7">
        <w:t xml:space="preserve"> med kommersielt og internasjonalt potensial gjennom CLIMIT-Demo og støtter mellom anna internasjonale prosjekt </w:t>
      </w:r>
      <w:proofErr w:type="spellStart"/>
      <w:r w:rsidRPr="00CC19F7">
        <w:t>innanfor</w:t>
      </w:r>
      <w:proofErr w:type="spellEnd"/>
      <w:r w:rsidRPr="00CC19F7">
        <w:t xml:space="preserve"> CO</w:t>
      </w:r>
      <w:r w:rsidRPr="00CC19F7">
        <w:rPr>
          <w:rStyle w:val="skrift-senket"/>
        </w:rPr>
        <w:t>2</w:t>
      </w:r>
      <w:r w:rsidRPr="00CC19F7">
        <w:t>-handtering.</w:t>
      </w:r>
    </w:p>
    <w:p w14:paraId="053BF0D5" w14:textId="77777777" w:rsidR="00FE02EF" w:rsidRPr="00CC19F7" w:rsidRDefault="00881E58" w:rsidP="00CC19F7">
      <w:r w:rsidRPr="00CC19F7">
        <w:t xml:space="preserve">Samarbeidet på EU-arenaen er </w:t>
      </w:r>
      <w:proofErr w:type="spellStart"/>
      <w:r w:rsidRPr="00CC19F7">
        <w:t>særleg</w:t>
      </w:r>
      <w:proofErr w:type="spellEnd"/>
      <w:r w:rsidRPr="00CC19F7">
        <w:t xml:space="preserve"> viktig for norske </w:t>
      </w:r>
      <w:proofErr w:type="spellStart"/>
      <w:r w:rsidRPr="00CC19F7">
        <w:t>forskingsaktørar</w:t>
      </w:r>
      <w:proofErr w:type="spellEnd"/>
      <w:r w:rsidRPr="00CC19F7">
        <w:t xml:space="preserve"> og norsk næringsliv. </w:t>
      </w:r>
      <w:proofErr w:type="spellStart"/>
      <w:r w:rsidRPr="00CC19F7">
        <w:t>Noreg</w:t>
      </w:r>
      <w:proofErr w:type="spellEnd"/>
      <w:r w:rsidRPr="00CC19F7">
        <w:t xml:space="preserve"> har i </w:t>
      </w:r>
      <w:proofErr w:type="spellStart"/>
      <w:r w:rsidRPr="00CC19F7">
        <w:t>fleire</w:t>
      </w:r>
      <w:proofErr w:type="spellEnd"/>
      <w:r w:rsidRPr="00CC19F7">
        <w:t xml:space="preserve"> år gjort det svært godt </w:t>
      </w:r>
      <w:proofErr w:type="spellStart"/>
      <w:r w:rsidRPr="00CC19F7">
        <w:t>innanfor</w:t>
      </w:r>
      <w:proofErr w:type="spellEnd"/>
      <w:r w:rsidRPr="00CC19F7">
        <w:t xml:space="preserve"> energidelen av EUs rammeprogram Horisont Europa, med høg deltaking og godt tilslag i </w:t>
      </w:r>
      <w:proofErr w:type="spellStart"/>
      <w:r w:rsidRPr="00CC19F7">
        <w:t>utlysingane</w:t>
      </w:r>
      <w:proofErr w:type="spellEnd"/>
      <w:r w:rsidRPr="00CC19F7">
        <w:t xml:space="preserve"> til programmet. </w:t>
      </w:r>
      <w:proofErr w:type="spellStart"/>
      <w:r w:rsidRPr="00CC19F7">
        <w:t>Innanfor</w:t>
      </w:r>
      <w:proofErr w:type="spellEnd"/>
      <w:r w:rsidRPr="00CC19F7">
        <w:t xml:space="preserve"> petroleum har det </w:t>
      </w:r>
      <w:proofErr w:type="spellStart"/>
      <w:r w:rsidRPr="00CC19F7">
        <w:t>vore</w:t>
      </w:r>
      <w:proofErr w:type="spellEnd"/>
      <w:r w:rsidRPr="00CC19F7">
        <w:t xml:space="preserve"> </w:t>
      </w:r>
      <w:proofErr w:type="spellStart"/>
      <w:r w:rsidRPr="00CC19F7">
        <w:t>ein</w:t>
      </w:r>
      <w:proofErr w:type="spellEnd"/>
      <w:r w:rsidRPr="00CC19F7">
        <w:t xml:space="preserve"> relativt </w:t>
      </w:r>
      <w:proofErr w:type="spellStart"/>
      <w:r w:rsidRPr="00CC19F7">
        <w:t>låg</w:t>
      </w:r>
      <w:proofErr w:type="spellEnd"/>
      <w:r w:rsidRPr="00CC19F7">
        <w:t xml:space="preserve"> andel prosjekt som er blitt finansierte av EUs rammeprogram. Denne andelen har likevel </w:t>
      </w:r>
      <w:proofErr w:type="spellStart"/>
      <w:r w:rsidRPr="00CC19F7">
        <w:t>auka</w:t>
      </w:r>
      <w:proofErr w:type="spellEnd"/>
      <w:r w:rsidRPr="00CC19F7">
        <w:t xml:space="preserve"> </w:t>
      </w:r>
      <w:proofErr w:type="spellStart"/>
      <w:r w:rsidRPr="00CC19F7">
        <w:t>noko</w:t>
      </w:r>
      <w:proofErr w:type="spellEnd"/>
      <w:r w:rsidRPr="00CC19F7">
        <w:t xml:space="preserve"> </w:t>
      </w:r>
      <w:proofErr w:type="spellStart"/>
      <w:r w:rsidRPr="00CC19F7">
        <w:t>dei</w:t>
      </w:r>
      <w:proofErr w:type="spellEnd"/>
      <w:r w:rsidRPr="00CC19F7">
        <w:t xml:space="preserve"> siste åra, spesielt </w:t>
      </w:r>
      <w:proofErr w:type="spellStart"/>
      <w:r w:rsidRPr="00CC19F7">
        <w:t>innanfor</w:t>
      </w:r>
      <w:proofErr w:type="spellEnd"/>
      <w:r w:rsidRPr="00CC19F7">
        <w:t xml:space="preserve"> temaområdet reduksjon av </w:t>
      </w:r>
      <w:proofErr w:type="spellStart"/>
      <w:r w:rsidRPr="00CC19F7">
        <w:t>klimagassar</w:t>
      </w:r>
      <w:proofErr w:type="spellEnd"/>
      <w:r w:rsidRPr="00CC19F7">
        <w:t xml:space="preserve">, energieffektivisering og miljø. Horisont Europa </w:t>
      </w:r>
      <w:proofErr w:type="spellStart"/>
      <w:r w:rsidRPr="00CC19F7">
        <w:t>opnar</w:t>
      </w:r>
      <w:proofErr w:type="spellEnd"/>
      <w:r w:rsidRPr="00CC19F7">
        <w:t xml:space="preserve"> også for støtte til forsking og utvikling på utvinning av mineral på havbotnen. Departementet har som mål at norske </w:t>
      </w:r>
      <w:proofErr w:type="spellStart"/>
      <w:r w:rsidRPr="00CC19F7">
        <w:t>forskingsinstitusjonar</w:t>
      </w:r>
      <w:proofErr w:type="spellEnd"/>
      <w:r w:rsidRPr="00CC19F7">
        <w:t xml:space="preserve"> og norsk næringsliv i større grad </w:t>
      </w:r>
      <w:proofErr w:type="spellStart"/>
      <w:r w:rsidRPr="00CC19F7">
        <w:t>utnyttar</w:t>
      </w:r>
      <w:proofErr w:type="spellEnd"/>
      <w:r w:rsidRPr="00CC19F7">
        <w:t xml:space="preserve"> </w:t>
      </w:r>
      <w:proofErr w:type="spellStart"/>
      <w:r w:rsidRPr="00CC19F7">
        <w:t>moglegheitene</w:t>
      </w:r>
      <w:proofErr w:type="spellEnd"/>
      <w:r w:rsidRPr="00CC19F7">
        <w:t xml:space="preserve"> Horisont Europa gir på </w:t>
      </w:r>
      <w:proofErr w:type="spellStart"/>
      <w:r w:rsidRPr="00CC19F7">
        <w:t>desse</w:t>
      </w:r>
      <w:proofErr w:type="spellEnd"/>
      <w:r w:rsidRPr="00CC19F7">
        <w:t xml:space="preserve"> områda.</w:t>
      </w:r>
    </w:p>
    <w:p w14:paraId="6792D4FF" w14:textId="117E30B7" w:rsidR="00FE02EF" w:rsidRDefault="00881E58" w:rsidP="00CC19F7">
      <w:r w:rsidRPr="00CC19F7">
        <w:t xml:space="preserve">For å stimulere til </w:t>
      </w:r>
      <w:proofErr w:type="spellStart"/>
      <w:r w:rsidRPr="00CC19F7">
        <w:t>meir</w:t>
      </w:r>
      <w:proofErr w:type="spellEnd"/>
      <w:r w:rsidRPr="00CC19F7">
        <w:t xml:space="preserve"> internasjonalt samarbeid har programmet PETROMAKS 2 gjennomført </w:t>
      </w:r>
      <w:proofErr w:type="spellStart"/>
      <w:r w:rsidRPr="00CC19F7">
        <w:t>fleire</w:t>
      </w:r>
      <w:proofErr w:type="spellEnd"/>
      <w:r w:rsidRPr="00CC19F7">
        <w:t xml:space="preserve"> </w:t>
      </w:r>
      <w:proofErr w:type="spellStart"/>
      <w:r w:rsidRPr="00CC19F7">
        <w:t>fellesutlysingar</w:t>
      </w:r>
      <w:proofErr w:type="spellEnd"/>
      <w:r w:rsidRPr="00CC19F7">
        <w:t xml:space="preserve"> med panoramalanda Russland og Brasil. Samarbeidet med Russland er stoppa som følge av </w:t>
      </w:r>
      <w:proofErr w:type="spellStart"/>
      <w:r w:rsidRPr="00CC19F7">
        <w:t>sanksjonane</w:t>
      </w:r>
      <w:proofErr w:type="spellEnd"/>
      <w:r w:rsidRPr="00CC19F7">
        <w:t xml:space="preserve"> mot landet. Samarbeidet med Brasil vil </w:t>
      </w:r>
      <w:proofErr w:type="spellStart"/>
      <w:r w:rsidRPr="00CC19F7">
        <w:t>halde</w:t>
      </w:r>
      <w:proofErr w:type="spellEnd"/>
      <w:r w:rsidRPr="00CC19F7">
        <w:t xml:space="preserve"> fram, og målet er å få til </w:t>
      </w:r>
      <w:proofErr w:type="spellStart"/>
      <w:r w:rsidRPr="00CC19F7">
        <w:t>fleire</w:t>
      </w:r>
      <w:proofErr w:type="spellEnd"/>
      <w:r w:rsidRPr="00CC19F7">
        <w:t xml:space="preserve"> felles </w:t>
      </w:r>
      <w:proofErr w:type="spellStart"/>
      <w:r w:rsidRPr="00CC19F7">
        <w:t>utlysingar</w:t>
      </w:r>
      <w:proofErr w:type="spellEnd"/>
      <w:r w:rsidRPr="00CC19F7">
        <w:t>.</w:t>
      </w:r>
    </w:p>
    <w:p w14:paraId="07022EA1" w14:textId="5AFDFB81" w:rsidR="00FE02EF" w:rsidRPr="00CC19F7" w:rsidRDefault="00C0741D" w:rsidP="00CC19F7">
      <w:pPr>
        <w:pStyle w:val="tabell-tittel"/>
      </w:pPr>
      <w:r w:rsidRPr="00CC19F7">
        <w:t>Internasjonale forskingssamarbeid og deltaking i internasjonale fellesutlysingar</w:t>
      </w:r>
      <w:r w:rsidR="00881E58" w:rsidRPr="00CC19F7">
        <w:t>02J1xx2</w:t>
      </w:r>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2300"/>
        <w:gridCol w:w="7260"/>
      </w:tblGrid>
      <w:tr w:rsidR="00FE02EF" w:rsidRPr="00CC19F7" w14:paraId="56348C14" w14:textId="77777777" w:rsidTr="00C0741D">
        <w:trPr>
          <w:trHeight w:val="360"/>
        </w:trPr>
        <w:tc>
          <w:tcPr>
            <w:tcW w:w="2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0CE48E6" w14:textId="77777777" w:rsidR="00FE02EF" w:rsidRPr="00CC19F7" w:rsidRDefault="00881E58" w:rsidP="00CC19F7">
            <w:r w:rsidRPr="00CC19F7">
              <w:t>Program/</w:t>
            </w:r>
            <w:proofErr w:type="spellStart"/>
            <w:r w:rsidRPr="00CC19F7">
              <w:t>verkemiddel</w:t>
            </w:r>
            <w:proofErr w:type="spellEnd"/>
          </w:p>
        </w:tc>
        <w:tc>
          <w:tcPr>
            <w:tcW w:w="7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4CF77D1" w14:textId="77777777" w:rsidR="00FE02EF" w:rsidRPr="00CC19F7" w:rsidRDefault="00881E58" w:rsidP="00CC19F7">
            <w:r w:rsidRPr="00CC19F7">
              <w:t>Om</w:t>
            </w:r>
          </w:p>
        </w:tc>
      </w:tr>
      <w:tr w:rsidR="00FE02EF" w:rsidRPr="00CC19F7" w14:paraId="31C2CC4C" w14:textId="77777777" w:rsidTr="00C0741D">
        <w:trPr>
          <w:trHeight w:val="2420"/>
        </w:trPr>
        <w:tc>
          <w:tcPr>
            <w:tcW w:w="2300" w:type="dxa"/>
            <w:tcBorders>
              <w:top w:val="single" w:sz="4" w:space="0" w:color="000000"/>
              <w:left w:val="nil"/>
              <w:bottom w:val="single" w:sz="4" w:space="0" w:color="000000"/>
              <w:right w:val="nil"/>
            </w:tcBorders>
            <w:tcMar>
              <w:top w:w="128" w:type="dxa"/>
              <w:left w:w="43" w:type="dxa"/>
              <w:bottom w:w="43" w:type="dxa"/>
              <w:right w:w="43" w:type="dxa"/>
            </w:tcMar>
          </w:tcPr>
          <w:p w14:paraId="38EEBE8C" w14:textId="0DD49C0C" w:rsidR="00FE02EF" w:rsidRPr="00CC19F7" w:rsidRDefault="00881E58" w:rsidP="00CC19F7">
            <w:r w:rsidRPr="00CC19F7">
              <w:t xml:space="preserve">EUs rammeprogram for forsking og </w:t>
            </w:r>
            <w:r w:rsidR="00C0741D">
              <w:br/>
            </w:r>
            <w:r w:rsidRPr="00CC19F7">
              <w:t xml:space="preserve">innovasjon, </w:t>
            </w:r>
            <w:r w:rsidR="00C0741D">
              <w:br/>
            </w:r>
            <w:r w:rsidRPr="00CC19F7">
              <w:t xml:space="preserve">Horisont Europa </w:t>
            </w:r>
            <w:r w:rsidRPr="00CC19F7">
              <w:br/>
              <w:t>(2021–2027)</w:t>
            </w:r>
          </w:p>
        </w:tc>
        <w:tc>
          <w:tcPr>
            <w:tcW w:w="7260" w:type="dxa"/>
            <w:tcBorders>
              <w:top w:val="single" w:sz="4" w:space="0" w:color="000000"/>
              <w:left w:val="nil"/>
              <w:bottom w:val="single" w:sz="4" w:space="0" w:color="000000"/>
              <w:right w:val="nil"/>
            </w:tcBorders>
            <w:tcMar>
              <w:top w:w="128" w:type="dxa"/>
              <w:left w:w="43" w:type="dxa"/>
              <w:bottom w:w="43" w:type="dxa"/>
              <w:right w:w="43" w:type="dxa"/>
            </w:tcMar>
          </w:tcPr>
          <w:p w14:paraId="3A10CE30" w14:textId="30733BF2" w:rsidR="00FE02EF" w:rsidRPr="00CC19F7" w:rsidRDefault="00881E58" w:rsidP="00CC19F7">
            <w:r w:rsidRPr="00CC19F7">
              <w:t xml:space="preserve">Målet er å bidra til </w:t>
            </w:r>
            <w:proofErr w:type="spellStart"/>
            <w:r w:rsidRPr="00CC19F7">
              <w:t>arbeidsplassar</w:t>
            </w:r>
            <w:proofErr w:type="spellEnd"/>
            <w:r w:rsidRPr="00CC19F7">
              <w:t xml:space="preserve"> og økonomisk vekst i Europa, til å møte </w:t>
            </w:r>
            <w:proofErr w:type="spellStart"/>
            <w:r w:rsidRPr="00CC19F7">
              <w:t>samfunnsutfordringar</w:t>
            </w:r>
            <w:proofErr w:type="spellEnd"/>
            <w:r w:rsidRPr="00CC19F7">
              <w:t xml:space="preserve"> og til </w:t>
            </w:r>
            <w:proofErr w:type="spellStart"/>
            <w:r w:rsidRPr="00CC19F7">
              <w:t>ein</w:t>
            </w:r>
            <w:proofErr w:type="spellEnd"/>
            <w:r w:rsidRPr="00CC19F7">
              <w:t xml:space="preserve"> styrkt posisjon for Europa </w:t>
            </w:r>
            <w:proofErr w:type="spellStart"/>
            <w:r w:rsidRPr="00CC19F7">
              <w:t>innan</w:t>
            </w:r>
            <w:proofErr w:type="spellEnd"/>
            <w:r w:rsidRPr="00CC19F7">
              <w:t xml:space="preserve"> forsking, innovasjon og teknologi. </w:t>
            </w:r>
            <w:proofErr w:type="spellStart"/>
            <w:r w:rsidRPr="00CC19F7">
              <w:t>Innanfor</w:t>
            </w:r>
            <w:proofErr w:type="spellEnd"/>
            <w:r w:rsidRPr="00CC19F7">
              <w:t xml:space="preserve"> programdelen «Klima, energi og mobilitet» blir det gitt støtte til forsking og innovasjon </w:t>
            </w:r>
            <w:proofErr w:type="spellStart"/>
            <w:r w:rsidRPr="00CC19F7">
              <w:t>innanfor</w:t>
            </w:r>
            <w:proofErr w:type="spellEnd"/>
            <w:r w:rsidRPr="00CC19F7">
              <w:t xml:space="preserve"> mellom anna fornybare </w:t>
            </w:r>
            <w:proofErr w:type="spellStart"/>
            <w:r w:rsidRPr="00CC19F7">
              <w:t>energiteknologiar</w:t>
            </w:r>
            <w:proofErr w:type="spellEnd"/>
            <w:r w:rsidRPr="00CC19F7">
              <w:t>, energibruk i bygg og industri, energilagring, CO</w:t>
            </w:r>
            <w:r w:rsidRPr="00CC19F7">
              <w:rPr>
                <w:rStyle w:val="skrift-senket"/>
              </w:rPr>
              <w:t>2</w:t>
            </w:r>
            <w:r w:rsidRPr="00CC19F7">
              <w:t xml:space="preserve">-handtering og nettinfrastruktur. Tematisk korresponderer </w:t>
            </w:r>
            <w:proofErr w:type="spellStart"/>
            <w:r w:rsidRPr="00CC19F7">
              <w:t>desse</w:t>
            </w:r>
            <w:proofErr w:type="spellEnd"/>
            <w:r w:rsidRPr="00CC19F7">
              <w:t xml:space="preserve"> områda godt med norske FoU-</w:t>
            </w:r>
            <w:proofErr w:type="spellStart"/>
            <w:r w:rsidRPr="00CC19F7">
              <w:t>satsingar</w:t>
            </w:r>
            <w:proofErr w:type="spellEnd"/>
            <w:r w:rsidRPr="00CC19F7">
              <w:t xml:space="preserve">. Horisont Europa har </w:t>
            </w:r>
            <w:proofErr w:type="spellStart"/>
            <w:r w:rsidRPr="00CC19F7">
              <w:t>ein</w:t>
            </w:r>
            <w:proofErr w:type="spellEnd"/>
            <w:r w:rsidRPr="00CC19F7">
              <w:t xml:space="preserve"> stor portefølje av </w:t>
            </w:r>
            <w:proofErr w:type="spellStart"/>
            <w:r w:rsidRPr="00CC19F7">
              <w:t>partnarskap</w:t>
            </w:r>
            <w:proofErr w:type="spellEnd"/>
            <w:r w:rsidRPr="00CC19F7">
              <w:t xml:space="preserve"> </w:t>
            </w:r>
            <w:proofErr w:type="spellStart"/>
            <w:r w:rsidRPr="00CC19F7">
              <w:t>innanfor</w:t>
            </w:r>
            <w:proofErr w:type="spellEnd"/>
            <w:r w:rsidRPr="00CC19F7">
              <w:t xml:space="preserve"> energi og transport, mellom anna </w:t>
            </w:r>
            <w:proofErr w:type="spellStart"/>
            <w:r w:rsidRPr="00CC19F7">
              <w:t>Clean</w:t>
            </w:r>
            <w:proofErr w:type="spellEnd"/>
            <w:r w:rsidRPr="00CC19F7">
              <w:t xml:space="preserve"> Energy </w:t>
            </w:r>
            <w:proofErr w:type="spellStart"/>
            <w:r w:rsidRPr="00CC19F7">
              <w:t>Transition</w:t>
            </w:r>
            <w:proofErr w:type="spellEnd"/>
            <w:r w:rsidRPr="00CC19F7">
              <w:t xml:space="preserve"> </w:t>
            </w:r>
            <w:proofErr w:type="spellStart"/>
            <w:r w:rsidRPr="00CC19F7">
              <w:t>Partnership</w:t>
            </w:r>
            <w:proofErr w:type="spellEnd"/>
            <w:r w:rsidRPr="00CC19F7">
              <w:t xml:space="preserve"> (CETP), som er omtalt under.</w:t>
            </w:r>
          </w:p>
        </w:tc>
      </w:tr>
      <w:tr w:rsidR="00FE02EF" w:rsidRPr="00CC19F7" w14:paraId="75086136" w14:textId="77777777" w:rsidTr="00C0741D">
        <w:trPr>
          <w:trHeight w:val="1660"/>
        </w:trPr>
        <w:tc>
          <w:tcPr>
            <w:tcW w:w="2300" w:type="dxa"/>
            <w:tcBorders>
              <w:top w:val="single" w:sz="4" w:space="0" w:color="000000"/>
              <w:left w:val="nil"/>
              <w:bottom w:val="single" w:sz="4" w:space="0" w:color="000000"/>
              <w:right w:val="nil"/>
            </w:tcBorders>
            <w:tcMar>
              <w:top w:w="128" w:type="dxa"/>
              <w:left w:w="43" w:type="dxa"/>
              <w:bottom w:w="43" w:type="dxa"/>
              <w:right w:w="43" w:type="dxa"/>
            </w:tcMar>
          </w:tcPr>
          <w:p w14:paraId="192456AE" w14:textId="77777777" w:rsidR="00FE02EF" w:rsidRPr="00CA1D23" w:rsidRDefault="00881E58" w:rsidP="00CC19F7">
            <w:pPr>
              <w:rPr>
                <w:lang w:val="en-US"/>
              </w:rPr>
            </w:pPr>
            <w:r w:rsidRPr="00CA1D23">
              <w:rPr>
                <w:lang w:val="en-US"/>
              </w:rPr>
              <w:t xml:space="preserve">Clean Energy </w:t>
            </w:r>
            <w:r w:rsidRPr="00CA1D23">
              <w:rPr>
                <w:lang w:val="en-US"/>
              </w:rPr>
              <w:br/>
              <w:t xml:space="preserve">Transition Partnership (CETP) </w:t>
            </w:r>
          </w:p>
        </w:tc>
        <w:tc>
          <w:tcPr>
            <w:tcW w:w="7260" w:type="dxa"/>
            <w:tcBorders>
              <w:top w:val="single" w:sz="4" w:space="0" w:color="000000"/>
              <w:left w:val="nil"/>
              <w:bottom w:val="single" w:sz="4" w:space="0" w:color="000000"/>
              <w:right w:val="nil"/>
            </w:tcBorders>
            <w:tcMar>
              <w:top w:w="128" w:type="dxa"/>
              <w:left w:w="43" w:type="dxa"/>
              <w:bottom w:w="43" w:type="dxa"/>
              <w:right w:w="43" w:type="dxa"/>
            </w:tcMar>
          </w:tcPr>
          <w:p w14:paraId="221E073D" w14:textId="4FCF869C" w:rsidR="00FE02EF" w:rsidRPr="00CC19F7" w:rsidRDefault="00881E58" w:rsidP="00CC19F7">
            <w:r w:rsidRPr="00CC19F7">
              <w:t xml:space="preserve">Dette er </w:t>
            </w:r>
            <w:proofErr w:type="spellStart"/>
            <w:r w:rsidRPr="00CC19F7">
              <w:t>ein</w:t>
            </w:r>
            <w:proofErr w:type="spellEnd"/>
            <w:r w:rsidRPr="00CC19F7">
              <w:t xml:space="preserve"> internasjonal </w:t>
            </w:r>
            <w:proofErr w:type="spellStart"/>
            <w:r w:rsidRPr="00CC19F7">
              <w:t>partnarskap</w:t>
            </w:r>
            <w:proofErr w:type="spellEnd"/>
            <w:r w:rsidRPr="00CC19F7">
              <w:t xml:space="preserve"> under Horisont Europa der om lag 50 nasjonale og regionale forskings- og innovasjonsprogram (</w:t>
            </w:r>
            <w:proofErr w:type="spellStart"/>
            <w:r w:rsidRPr="00CC19F7">
              <w:t>FoUoI</w:t>
            </w:r>
            <w:proofErr w:type="spellEnd"/>
            <w:r w:rsidRPr="00CC19F7">
              <w:t xml:space="preserve">) i 30 land samarbeider. </w:t>
            </w:r>
            <w:proofErr w:type="spellStart"/>
            <w:r w:rsidRPr="00CC19F7">
              <w:t>Partnarskapen</w:t>
            </w:r>
            <w:proofErr w:type="spellEnd"/>
            <w:r w:rsidRPr="00CC19F7">
              <w:t xml:space="preserve"> har som mål å bidra til energiomstillinga gjennom </w:t>
            </w:r>
            <w:proofErr w:type="spellStart"/>
            <w:r w:rsidRPr="00CC19F7">
              <w:t>auka</w:t>
            </w:r>
            <w:proofErr w:type="spellEnd"/>
            <w:r w:rsidRPr="00CC19F7">
              <w:t xml:space="preserve"> </w:t>
            </w:r>
            <w:proofErr w:type="spellStart"/>
            <w:r w:rsidRPr="00CC19F7">
              <w:t>FoUoI</w:t>
            </w:r>
            <w:proofErr w:type="spellEnd"/>
            <w:r w:rsidRPr="00CC19F7">
              <w:t xml:space="preserve">-innsats og planlegg </w:t>
            </w:r>
            <w:proofErr w:type="spellStart"/>
            <w:r w:rsidRPr="00CC19F7">
              <w:t>årlege</w:t>
            </w:r>
            <w:proofErr w:type="spellEnd"/>
            <w:r w:rsidRPr="00CC19F7">
              <w:t xml:space="preserve"> </w:t>
            </w:r>
            <w:proofErr w:type="spellStart"/>
            <w:r w:rsidRPr="00CC19F7">
              <w:t>fellesutlysingar</w:t>
            </w:r>
            <w:proofErr w:type="spellEnd"/>
            <w:r w:rsidRPr="00CC19F7">
              <w:t xml:space="preserve">. I fellesutlysinga for 2023 er det forventa </w:t>
            </w:r>
            <w:proofErr w:type="spellStart"/>
            <w:r w:rsidRPr="00CC19F7">
              <w:t>eit</w:t>
            </w:r>
            <w:proofErr w:type="spellEnd"/>
            <w:r w:rsidRPr="00CC19F7">
              <w:t xml:space="preserve"> støttebeløp på over 120 mill. euro. CETP blir </w:t>
            </w:r>
            <w:proofErr w:type="spellStart"/>
            <w:r w:rsidRPr="00CC19F7">
              <w:t>frå</w:t>
            </w:r>
            <w:proofErr w:type="spellEnd"/>
            <w:r w:rsidRPr="00CC19F7">
              <w:t xml:space="preserve"> norsk side </w:t>
            </w:r>
            <w:proofErr w:type="spellStart"/>
            <w:r w:rsidRPr="00CC19F7">
              <w:t>følgd</w:t>
            </w:r>
            <w:proofErr w:type="spellEnd"/>
            <w:r w:rsidRPr="00CC19F7">
              <w:t xml:space="preserve"> opp av Forskingsrådet. </w:t>
            </w:r>
          </w:p>
        </w:tc>
      </w:tr>
      <w:tr w:rsidR="00FE02EF" w:rsidRPr="00CC19F7" w14:paraId="5E186CCD" w14:textId="77777777" w:rsidTr="00C0741D">
        <w:trPr>
          <w:trHeight w:val="2160"/>
        </w:trPr>
        <w:tc>
          <w:tcPr>
            <w:tcW w:w="2300" w:type="dxa"/>
            <w:tcBorders>
              <w:top w:val="single" w:sz="4" w:space="0" w:color="000000"/>
              <w:left w:val="nil"/>
              <w:bottom w:val="single" w:sz="4" w:space="0" w:color="000000"/>
              <w:right w:val="nil"/>
            </w:tcBorders>
            <w:tcMar>
              <w:top w:w="128" w:type="dxa"/>
              <w:left w:w="43" w:type="dxa"/>
              <w:bottom w:w="43" w:type="dxa"/>
              <w:right w:w="43" w:type="dxa"/>
            </w:tcMar>
          </w:tcPr>
          <w:p w14:paraId="5D863B58" w14:textId="77777777" w:rsidR="00FE02EF" w:rsidRPr="00CC19F7" w:rsidRDefault="00881E58" w:rsidP="00CC19F7">
            <w:r w:rsidRPr="00CC19F7">
              <w:t xml:space="preserve">Det internasjonale </w:t>
            </w:r>
            <w:r w:rsidRPr="00CC19F7">
              <w:br/>
              <w:t>energibyrået (IEA)</w:t>
            </w:r>
          </w:p>
        </w:tc>
        <w:tc>
          <w:tcPr>
            <w:tcW w:w="7260" w:type="dxa"/>
            <w:tcBorders>
              <w:top w:val="single" w:sz="4" w:space="0" w:color="000000"/>
              <w:left w:val="nil"/>
              <w:bottom w:val="single" w:sz="4" w:space="0" w:color="000000"/>
              <w:right w:val="nil"/>
            </w:tcBorders>
            <w:tcMar>
              <w:top w:w="128" w:type="dxa"/>
              <w:left w:w="43" w:type="dxa"/>
              <w:bottom w:w="43" w:type="dxa"/>
              <w:right w:w="43" w:type="dxa"/>
            </w:tcMar>
          </w:tcPr>
          <w:p w14:paraId="019F7A03" w14:textId="77777777" w:rsidR="00FE02EF" w:rsidRPr="00CC19F7" w:rsidRDefault="00881E58" w:rsidP="00CC19F7">
            <w:r w:rsidRPr="00CC19F7">
              <w:t xml:space="preserve">Organisasjon for </w:t>
            </w:r>
            <w:proofErr w:type="spellStart"/>
            <w:r w:rsidRPr="00CC19F7">
              <w:t>nærmare</w:t>
            </w:r>
            <w:proofErr w:type="spellEnd"/>
            <w:r w:rsidRPr="00CC19F7">
              <w:t xml:space="preserve"> 30 medlemsland som arbeider med styresmakter og industri for å skape ei sikker og </w:t>
            </w:r>
            <w:proofErr w:type="spellStart"/>
            <w:r w:rsidRPr="00CC19F7">
              <w:t>berekraftig</w:t>
            </w:r>
            <w:proofErr w:type="spellEnd"/>
            <w:r w:rsidRPr="00CC19F7">
              <w:t xml:space="preserve"> energiframtid for alle. IEA har oppretta ei rekke forskingsprogram knytte til ulike energitema. </w:t>
            </w:r>
            <w:proofErr w:type="spellStart"/>
            <w:r w:rsidRPr="00CC19F7">
              <w:t>Noreg</w:t>
            </w:r>
            <w:proofErr w:type="spellEnd"/>
            <w:r w:rsidRPr="00CC19F7">
              <w:t xml:space="preserve"> er medlem i rundt 20 samarbeidsprogram, som fordeler seg på områda </w:t>
            </w:r>
            <w:proofErr w:type="spellStart"/>
            <w:r w:rsidRPr="00CC19F7">
              <w:t>sluttbrukarteknologiar</w:t>
            </w:r>
            <w:proofErr w:type="spellEnd"/>
            <w:r w:rsidRPr="00CC19F7">
              <w:t xml:space="preserve">, fornybare </w:t>
            </w:r>
            <w:proofErr w:type="spellStart"/>
            <w:r w:rsidRPr="00CC19F7">
              <w:t>energiteknologiar</w:t>
            </w:r>
            <w:proofErr w:type="spellEnd"/>
            <w:r w:rsidRPr="00CC19F7">
              <w:t xml:space="preserve">, olje og gass og informasjonsutveksling. </w:t>
            </w:r>
            <w:proofErr w:type="spellStart"/>
            <w:r w:rsidRPr="00CC19F7">
              <w:t>Deltakarane</w:t>
            </w:r>
            <w:proofErr w:type="spellEnd"/>
            <w:r w:rsidRPr="00CC19F7">
              <w:t xml:space="preserve"> </w:t>
            </w:r>
            <w:proofErr w:type="spellStart"/>
            <w:r w:rsidRPr="00CC19F7">
              <w:t>frå</w:t>
            </w:r>
            <w:proofErr w:type="spellEnd"/>
            <w:r w:rsidRPr="00CC19F7">
              <w:t xml:space="preserve"> norsk side kan </w:t>
            </w:r>
            <w:proofErr w:type="spellStart"/>
            <w:r w:rsidRPr="00CC19F7">
              <w:t>vere</w:t>
            </w:r>
            <w:proofErr w:type="spellEnd"/>
            <w:r w:rsidRPr="00CC19F7">
              <w:t xml:space="preserve"> </w:t>
            </w:r>
            <w:proofErr w:type="spellStart"/>
            <w:r w:rsidRPr="00CC19F7">
              <w:t>frå</w:t>
            </w:r>
            <w:proofErr w:type="spellEnd"/>
            <w:r w:rsidRPr="00CC19F7">
              <w:t xml:space="preserve"> industrien, forskingsmiljøa eller </w:t>
            </w:r>
            <w:proofErr w:type="spellStart"/>
            <w:r w:rsidRPr="00CC19F7">
              <w:t>myndigheitene</w:t>
            </w:r>
            <w:proofErr w:type="spellEnd"/>
            <w:r w:rsidRPr="00CC19F7">
              <w:t xml:space="preserve">, avhengig av </w:t>
            </w:r>
            <w:proofErr w:type="spellStart"/>
            <w:r w:rsidRPr="00CC19F7">
              <w:t>aktivitetane</w:t>
            </w:r>
            <w:proofErr w:type="spellEnd"/>
            <w:r w:rsidRPr="00CC19F7">
              <w:t xml:space="preserve"> i programma. Forskingsrådet er koordinator for </w:t>
            </w:r>
            <w:proofErr w:type="spellStart"/>
            <w:r w:rsidRPr="00CC19F7">
              <w:t>dei</w:t>
            </w:r>
            <w:proofErr w:type="spellEnd"/>
            <w:r w:rsidRPr="00CC19F7">
              <w:t xml:space="preserve"> norske </w:t>
            </w:r>
            <w:proofErr w:type="spellStart"/>
            <w:r w:rsidRPr="00CC19F7">
              <w:t>forskingsaktivitetane</w:t>
            </w:r>
            <w:proofErr w:type="spellEnd"/>
            <w:r w:rsidRPr="00CC19F7">
              <w:t xml:space="preserve">. </w:t>
            </w:r>
          </w:p>
        </w:tc>
      </w:tr>
      <w:tr w:rsidR="00FE02EF" w:rsidRPr="00CC19F7" w14:paraId="72467ACF" w14:textId="77777777" w:rsidTr="00C0741D">
        <w:trPr>
          <w:trHeight w:val="1920"/>
        </w:trPr>
        <w:tc>
          <w:tcPr>
            <w:tcW w:w="2300" w:type="dxa"/>
            <w:tcBorders>
              <w:top w:val="single" w:sz="4" w:space="0" w:color="000000"/>
              <w:left w:val="nil"/>
              <w:bottom w:val="single" w:sz="4" w:space="0" w:color="000000"/>
              <w:right w:val="nil"/>
            </w:tcBorders>
            <w:tcMar>
              <w:top w:w="128" w:type="dxa"/>
              <w:left w:w="43" w:type="dxa"/>
              <w:bottom w:w="43" w:type="dxa"/>
              <w:right w:w="43" w:type="dxa"/>
            </w:tcMar>
          </w:tcPr>
          <w:p w14:paraId="6A12D8A7" w14:textId="77777777" w:rsidR="00FE02EF" w:rsidRPr="00CC19F7" w:rsidRDefault="00881E58" w:rsidP="00CC19F7">
            <w:proofErr w:type="spellStart"/>
            <w:r w:rsidRPr="00CC19F7">
              <w:t>Mission</w:t>
            </w:r>
            <w:proofErr w:type="spellEnd"/>
            <w:r w:rsidRPr="00CC19F7">
              <w:t xml:space="preserve"> </w:t>
            </w:r>
            <w:proofErr w:type="spellStart"/>
            <w:r w:rsidRPr="00CC19F7">
              <w:t>Innovation</w:t>
            </w:r>
            <w:proofErr w:type="spellEnd"/>
            <w:r w:rsidRPr="00CC19F7">
              <w:t xml:space="preserve"> </w:t>
            </w:r>
          </w:p>
        </w:tc>
        <w:tc>
          <w:tcPr>
            <w:tcW w:w="7260" w:type="dxa"/>
            <w:tcBorders>
              <w:top w:val="single" w:sz="4" w:space="0" w:color="000000"/>
              <w:left w:val="nil"/>
              <w:bottom w:val="single" w:sz="4" w:space="0" w:color="000000"/>
              <w:right w:val="nil"/>
            </w:tcBorders>
            <w:tcMar>
              <w:top w:w="128" w:type="dxa"/>
              <w:left w:w="43" w:type="dxa"/>
              <w:bottom w:w="43" w:type="dxa"/>
              <w:right w:w="43" w:type="dxa"/>
            </w:tcMar>
          </w:tcPr>
          <w:p w14:paraId="700E5E59" w14:textId="77777777" w:rsidR="00FE02EF" w:rsidRPr="00CC19F7" w:rsidRDefault="00881E58" w:rsidP="00CC19F7">
            <w:r w:rsidRPr="00CC19F7">
              <w:t xml:space="preserve">Internasjonalt samarbeid med 23 </w:t>
            </w:r>
            <w:proofErr w:type="spellStart"/>
            <w:r w:rsidRPr="00CC19F7">
              <w:t>deltakande</w:t>
            </w:r>
            <w:proofErr w:type="spellEnd"/>
            <w:r w:rsidRPr="00CC19F7">
              <w:t xml:space="preserve"> land pluss EU-kommisjonen </w:t>
            </w:r>
            <w:r w:rsidRPr="00CC19F7">
              <w:br/>
              <w:t xml:space="preserve">som har som mål å </w:t>
            </w:r>
            <w:proofErr w:type="spellStart"/>
            <w:r w:rsidRPr="00CC19F7">
              <w:t>auke</w:t>
            </w:r>
            <w:proofErr w:type="spellEnd"/>
            <w:r w:rsidRPr="00CC19F7">
              <w:t xml:space="preserve"> utviklinga og bruken av nye klimavennlege </w:t>
            </w:r>
            <w:proofErr w:type="spellStart"/>
            <w:r w:rsidRPr="00CC19F7">
              <w:t>energiteknologiar</w:t>
            </w:r>
            <w:proofErr w:type="spellEnd"/>
            <w:r w:rsidRPr="00CC19F7">
              <w:t xml:space="preserve">. Gjennom Forskingsrådet og Gassnova bidrar </w:t>
            </w:r>
            <w:proofErr w:type="spellStart"/>
            <w:r w:rsidRPr="00CC19F7">
              <w:t>Noreg</w:t>
            </w:r>
            <w:proofErr w:type="spellEnd"/>
            <w:r w:rsidRPr="00CC19F7">
              <w:t xml:space="preserve"> aktivt </w:t>
            </w:r>
            <w:r w:rsidRPr="00CC19F7">
              <w:br/>
              <w:t xml:space="preserve">i arbeidet </w:t>
            </w:r>
            <w:proofErr w:type="spellStart"/>
            <w:r w:rsidRPr="00CC19F7">
              <w:t>innanfor</w:t>
            </w:r>
            <w:proofErr w:type="spellEnd"/>
            <w:r w:rsidRPr="00CC19F7">
              <w:t xml:space="preserve"> </w:t>
            </w:r>
            <w:proofErr w:type="spellStart"/>
            <w:r w:rsidRPr="00CC19F7">
              <w:t>dei</w:t>
            </w:r>
            <w:proofErr w:type="spellEnd"/>
            <w:r w:rsidRPr="00CC19F7">
              <w:t xml:space="preserve"> prioriterte områda hydrogen, utsleppsfri maritim </w:t>
            </w:r>
            <w:r w:rsidRPr="00CC19F7">
              <w:br/>
              <w:t>transport og CO</w:t>
            </w:r>
            <w:r w:rsidRPr="00CC19F7">
              <w:rPr>
                <w:rStyle w:val="skrift-senket"/>
              </w:rPr>
              <w:t>2</w:t>
            </w:r>
            <w:r w:rsidRPr="00CC19F7">
              <w:t xml:space="preserve">-handtering. </w:t>
            </w:r>
            <w:proofErr w:type="spellStart"/>
            <w:r w:rsidRPr="00CC19F7">
              <w:t>Noreg</w:t>
            </w:r>
            <w:proofErr w:type="spellEnd"/>
            <w:r w:rsidRPr="00CC19F7">
              <w:t xml:space="preserve"> er </w:t>
            </w:r>
            <w:proofErr w:type="spellStart"/>
            <w:r w:rsidRPr="00CC19F7">
              <w:t>medleiar</w:t>
            </w:r>
            <w:proofErr w:type="spellEnd"/>
            <w:r w:rsidRPr="00CC19F7">
              <w:t xml:space="preserve"> i Zero </w:t>
            </w:r>
            <w:proofErr w:type="spellStart"/>
            <w:r w:rsidRPr="00CC19F7">
              <w:t>Emission</w:t>
            </w:r>
            <w:proofErr w:type="spellEnd"/>
            <w:r w:rsidRPr="00CC19F7">
              <w:t xml:space="preserve"> Shipping </w:t>
            </w:r>
            <w:proofErr w:type="spellStart"/>
            <w:r w:rsidRPr="00CC19F7">
              <w:t>Mission</w:t>
            </w:r>
            <w:proofErr w:type="spellEnd"/>
            <w:r w:rsidRPr="00CC19F7">
              <w:t xml:space="preserve"> og medlem i </w:t>
            </w:r>
            <w:proofErr w:type="spellStart"/>
            <w:r w:rsidRPr="00CC19F7">
              <w:t>Clean</w:t>
            </w:r>
            <w:proofErr w:type="spellEnd"/>
            <w:r w:rsidRPr="00CC19F7">
              <w:t xml:space="preserve"> Hydrogen </w:t>
            </w:r>
            <w:proofErr w:type="spellStart"/>
            <w:r w:rsidRPr="00CC19F7">
              <w:t>Mission</w:t>
            </w:r>
            <w:proofErr w:type="spellEnd"/>
            <w:r w:rsidRPr="00CC19F7">
              <w:t xml:space="preserve"> og </w:t>
            </w:r>
            <w:proofErr w:type="spellStart"/>
            <w:r w:rsidRPr="00CC19F7">
              <w:t>Carbon</w:t>
            </w:r>
            <w:proofErr w:type="spellEnd"/>
            <w:r w:rsidRPr="00CC19F7">
              <w:t xml:space="preserve"> </w:t>
            </w:r>
            <w:proofErr w:type="spellStart"/>
            <w:r w:rsidRPr="00CC19F7">
              <w:t>Dioxide</w:t>
            </w:r>
            <w:proofErr w:type="spellEnd"/>
            <w:r w:rsidRPr="00CC19F7">
              <w:t xml:space="preserve"> </w:t>
            </w:r>
            <w:proofErr w:type="spellStart"/>
            <w:r w:rsidRPr="00CC19F7">
              <w:t>Removal</w:t>
            </w:r>
            <w:proofErr w:type="spellEnd"/>
            <w:r w:rsidRPr="00CC19F7">
              <w:t xml:space="preserve"> </w:t>
            </w:r>
            <w:proofErr w:type="spellStart"/>
            <w:r w:rsidRPr="00CC19F7">
              <w:t>Mission</w:t>
            </w:r>
            <w:proofErr w:type="spellEnd"/>
            <w:r w:rsidRPr="00CC19F7">
              <w:t xml:space="preserve">. </w:t>
            </w:r>
          </w:p>
        </w:tc>
      </w:tr>
      <w:tr w:rsidR="00FE02EF" w:rsidRPr="00CC19F7" w14:paraId="67EB5D7B" w14:textId="77777777" w:rsidTr="00C0741D">
        <w:trPr>
          <w:trHeight w:val="880"/>
        </w:trPr>
        <w:tc>
          <w:tcPr>
            <w:tcW w:w="2300" w:type="dxa"/>
            <w:tcBorders>
              <w:top w:val="single" w:sz="4" w:space="0" w:color="000000"/>
              <w:left w:val="nil"/>
              <w:bottom w:val="single" w:sz="4" w:space="0" w:color="000000"/>
              <w:right w:val="nil"/>
            </w:tcBorders>
            <w:tcMar>
              <w:top w:w="128" w:type="dxa"/>
              <w:left w:w="43" w:type="dxa"/>
              <w:bottom w:w="43" w:type="dxa"/>
              <w:right w:w="43" w:type="dxa"/>
            </w:tcMar>
          </w:tcPr>
          <w:p w14:paraId="14E2486B" w14:textId="77777777" w:rsidR="00FE02EF" w:rsidRPr="00CA1D23" w:rsidRDefault="00881E58" w:rsidP="00CC19F7">
            <w:pPr>
              <w:rPr>
                <w:lang w:val="en-US"/>
              </w:rPr>
            </w:pPr>
            <w:r w:rsidRPr="00CA1D23">
              <w:rPr>
                <w:lang w:val="en-US"/>
              </w:rPr>
              <w:t>Carbon Sequestration Leadership Forum (CSLF)</w:t>
            </w:r>
          </w:p>
        </w:tc>
        <w:tc>
          <w:tcPr>
            <w:tcW w:w="7260" w:type="dxa"/>
            <w:tcBorders>
              <w:top w:val="single" w:sz="4" w:space="0" w:color="000000"/>
              <w:left w:val="nil"/>
              <w:bottom w:val="single" w:sz="4" w:space="0" w:color="000000"/>
              <w:right w:val="nil"/>
            </w:tcBorders>
            <w:tcMar>
              <w:top w:w="128" w:type="dxa"/>
              <w:left w:w="43" w:type="dxa"/>
              <w:bottom w:w="43" w:type="dxa"/>
              <w:right w:w="43" w:type="dxa"/>
            </w:tcMar>
          </w:tcPr>
          <w:p w14:paraId="4800F608" w14:textId="77777777" w:rsidR="00FE02EF" w:rsidRPr="00CC19F7" w:rsidRDefault="00881E58" w:rsidP="00CC19F7">
            <w:r w:rsidRPr="00CC19F7">
              <w:t xml:space="preserve">Internasjonalt initiativ for å fremme teknologiutvikling </w:t>
            </w:r>
            <w:proofErr w:type="spellStart"/>
            <w:r w:rsidRPr="00CC19F7">
              <w:t>innan</w:t>
            </w:r>
            <w:proofErr w:type="spellEnd"/>
            <w:r w:rsidRPr="00CC19F7">
              <w:t xml:space="preserve"> CO</w:t>
            </w:r>
            <w:r w:rsidRPr="00CC19F7">
              <w:rPr>
                <w:rStyle w:val="skrift-senket"/>
              </w:rPr>
              <w:t>2</w:t>
            </w:r>
            <w:r w:rsidRPr="00CC19F7">
              <w:t xml:space="preserve">-fangst </w:t>
            </w:r>
            <w:r w:rsidRPr="00CC19F7">
              <w:br/>
              <w:t xml:space="preserve">og -lagring globalt. Forumet er etablert på ministernivå og inkluderer </w:t>
            </w:r>
            <w:r w:rsidRPr="00CC19F7">
              <w:br/>
              <w:t>23 medlemsland og EU-kommisjonen.</w:t>
            </w:r>
          </w:p>
        </w:tc>
      </w:tr>
      <w:tr w:rsidR="00FE02EF" w:rsidRPr="00CC19F7" w14:paraId="70D51570" w14:textId="77777777" w:rsidTr="00C0741D">
        <w:trPr>
          <w:trHeight w:val="1140"/>
        </w:trPr>
        <w:tc>
          <w:tcPr>
            <w:tcW w:w="2300" w:type="dxa"/>
            <w:tcBorders>
              <w:top w:val="single" w:sz="4" w:space="0" w:color="000000"/>
              <w:left w:val="nil"/>
              <w:bottom w:val="single" w:sz="4" w:space="0" w:color="000000"/>
              <w:right w:val="nil"/>
            </w:tcBorders>
            <w:tcMar>
              <w:top w:w="128" w:type="dxa"/>
              <w:left w:w="43" w:type="dxa"/>
              <w:bottom w:w="43" w:type="dxa"/>
              <w:right w:w="43" w:type="dxa"/>
            </w:tcMar>
          </w:tcPr>
          <w:p w14:paraId="4B6E29F3" w14:textId="77777777" w:rsidR="00FE02EF" w:rsidRPr="00CC19F7" w:rsidRDefault="00881E58" w:rsidP="00CC19F7">
            <w:r w:rsidRPr="00CC19F7">
              <w:t xml:space="preserve">Memorandum </w:t>
            </w:r>
            <w:proofErr w:type="spellStart"/>
            <w:r w:rsidRPr="00CC19F7">
              <w:t>of</w:t>
            </w:r>
            <w:proofErr w:type="spellEnd"/>
            <w:r w:rsidRPr="00CC19F7">
              <w:t xml:space="preserve"> </w:t>
            </w:r>
            <w:r w:rsidRPr="00CC19F7">
              <w:br/>
            </w:r>
            <w:proofErr w:type="spellStart"/>
            <w:r w:rsidRPr="00CC19F7">
              <w:t>Understanding</w:t>
            </w:r>
            <w:proofErr w:type="spellEnd"/>
            <w:r w:rsidRPr="00CC19F7">
              <w:t xml:space="preserve"> (</w:t>
            </w:r>
            <w:proofErr w:type="spellStart"/>
            <w:r w:rsidRPr="00CC19F7">
              <w:t>MoU</w:t>
            </w:r>
            <w:proofErr w:type="spellEnd"/>
            <w:r w:rsidRPr="00CC19F7">
              <w:t xml:space="preserve">) mellom </w:t>
            </w:r>
            <w:proofErr w:type="spellStart"/>
            <w:r w:rsidRPr="00CC19F7">
              <w:t>Noreg</w:t>
            </w:r>
            <w:proofErr w:type="spellEnd"/>
            <w:r w:rsidRPr="00CC19F7">
              <w:t xml:space="preserve"> og USA </w:t>
            </w:r>
          </w:p>
        </w:tc>
        <w:tc>
          <w:tcPr>
            <w:tcW w:w="7260" w:type="dxa"/>
            <w:tcBorders>
              <w:top w:val="single" w:sz="4" w:space="0" w:color="000000"/>
              <w:left w:val="nil"/>
              <w:bottom w:val="single" w:sz="4" w:space="0" w:color="000000"/>
              <w:right w:val="nil"/>
            </w:tcBorders>
            <w:tcMar>
              <w:top w:w="128" w:type="dxa"/>
              <w:left w:w="43" w:type="dxa"/>
              <w:bottom w:w="43" w:type="dxa"/>
              <w:right w:w="43" w:type="dxa"/>
            </w:tcMar>
          </w:tcPr>
          <w:p w14:paraId="5C4C2931" w14:textId="77777777" w:rsidR="00FE02EF" w:rsidRPr="00CC19F7" w:rsidRDefault="00881E58" w:rsidP="00CC19F7">
            <w:r w:rsidRPr="00CC19F7">
              <w:t xml:space="preserve">Dette er </w:t>
            </w:r>
            <w:proofErr w:type="spellStart"/>
            <w:r w:rsidRPr="00CC19F7">
              <w:t>ein</w:t>
            </w:r>
            <w:proofErr w:type="spellEnd"/>
            <w:r w:rsidRPr="00CC19F7">
              <w:t xml:space="preserve"> bilateral samarbeidsavtale </w:t>
            </w:r>
            <w:proofErr w:type="spellStart"/>
            <w:r w:rsidRPr="00CC19F7">
              <w:t>innanfor</w:t>
            </w:r>
            <w:proofErr w:type="spellEnd"/>
            <w:r w:rsidRPr="00CC19F7">
              <w:t xml:space="preserve"> energirelatert forsking </w:t>
            </w:r>
            <w:r w:rsidRPr="00CC19F7">
              <w:br/>
              <w:t xml:space="preserve">og teknologi mellom Olje- og energidepartementet og det amerikanske energidepartementet. Samarbeidet er i </w:t>
            </w:r>
            <w:proofErr w:type="spellStart"/>
            <w:r w:rsidRPr="00CC19F7">
              <w:t>hovudsak</w:t>
            </w:r>
            <w:proofErr w:type="spellEnd"/>
            <w:r w:rsidRPr="00CC19F7">
              <w:t xml:space="preserve"> konsentrert om CO</w:t>
            </w:r>
            <w:r w:rsidRPr="00CC19F7">
              <w:rPr>
                <w:rStyle w:val="skrift-senket"/>
              </w:rPr>
              <w:t>2</w:t>
            </w:r>
            <w:r w:rsidRPr="00CC19F7">
              <w:t>-handtering og vasskraftforsking.</w:t>
            </w:r>
          </w:p>
        </w:tc>
      </w:tr>
      <w:tr w:rsidR="00FE02EF" w:rsidRPr="00CC19F7" w14:paraId="2873894D" w14:textId="77777777" w:rsidTr="00C0741D">
        <w:trPr>
          <w:trHeight w:val="1140"/>
        </w:trPr>
        <w:tc>
          <w:tcPr>
            <w:tcW w:w="2300" w:type="dxa"/>
            <w:tcBorders>
              <w:top w:val="single" w:sz="4" w:space="0" w:color="000000"/>
              <w:left w:val="nil"/>
              <w:bottom w:val="single" w:sz="4" w:space="0" w:color="000000"/>
              <w:right w:val="nil"/>
            </w:tcBorders>
            <w:tcMar>
              <w:top w:w="128" w:type="dxa"/>
              <w:left w:w="43" w:type="dxa"/>
              <w:bottom w:w="43" w:type="dxa"/>
              <w:right w:w="43" w:type="dxa"/>
            </w:tcMar>
          </w:tcPr>
          <w:p w14:paraId="39A46552" w14:textId="77777777" w:rsidR="00FE02EF" w:rsidRPr="00CA1D23" w:rsidRDefault="00881E58" w:rsidP="00CC19F7">
            <w:pPr>
              <w:rPr>
                <w:lang w:val="en-US"/>
              </w:rPr>
            </w:pPr>
            <w:r w:rsidRPr="00CA1D23">
              <w:rPr>
                <w:lang w:val="en-US"/>
              </w:rPr>
              <w:t>BN21 – Brazil-Norway in the 21st century</w:t>
            </w:r>
          </w:p>
        </w:tc>
        <w:tc>
          <w:tcPr>
            <w:tcW w:w="7260" w:type="dxa"/>
            <w:tcBorders>
              <w:top w:val="single" w:sz="4" w:space="0" w:color="000000"/>
              <w:left w:val="nil"/>
              <w:bottom w:val="single" w:sz="4" w:space="0" w:color="000000"/>
              <w:right w:val="nil"/>
            </w:tcBorders>
            <w:tcMar>
              <w:top w:w="128" w:type="dxa"/>
              <w:left w:w="43" w:type="dxa"/>
              <w:bottom w:w="43" w:type="dxa"/>
              <w:right w:w="43" w:type="dxa"/>
            </w:tcMar>
          </w:tcPr>
          <w:p w14:paraId="72CFC989" w14:textId="77777777" w:rsidR="00FE02EF" w:rsidRPr="00CC19F7" w:rsidRDefault="00881E58" w:rsidP="00CC19F7">
            <w:proofErr w:type="spellStart"/>
            <w:r w:rsidRPr="00CC19F7">
              <w:t>Eit</w:t>
            </w:r>
            <w:proofErr w:type="spellEnd"/>
            <w:r w:rsidRPr="00CC19F7">
              <w:t xml:space="preserve"> samarbeid om forsking </w:t>
            </w:r>
            <w:proofErr w:type="spellStart"/>
            <w:r w:rsidRPr="00CC19F7">
              <w:t>innan</w:t>
            </w:r>
            <w:proofErr w:type="spellEnd"/>
            <w:r w:rsidRPr="00CC19F7">
              <w:t xml:space="preserve"> område som har gjensidig interesse. </w:t>
            </w:r>
            <w:proofErr w:type="spellStart"/>
            <w:r w:rsidRPr="00CC19F7">
              <w:t>Særleg</w:t>
            </w:r>
            <w:proofErr w:type="spellEnd"/>
            <w:r w:rsidRPr="00CC19F7">
              <w:t xml:space="preserve"> </w:t>
            </w:r>
            <w:proofErr w:type="spellStart"/>
            <w:r w:rsidRPr="00CC19F7">
              <w:t>innan</w:t>
            </w:r>
            <w:proofErr w:type="spellEnd"/>
            <w:r w:rsidRPr="00CC19F7">
              <w:t xml:space="preserve"> petroleumsforsking har </w:t>
            </w:r>
            <w:proofErr w:type="spellStart"/>
            <w:r w:rsidRPr="00CC19F7">
              <w:t>dei</w:t>
            </w:r>
            <w:proofErr w:type="spellEnd"/>
            <w:r w:rsidRPr="00CC19F7">
              <w:t xml:space="preserve"> to landa mange av </w:t>
            </w:r>
            <w:proofErr w:type="spellStart"/>
            <w:r w:rsidRPr="00CC19F7">
              <w:t>dei</w:t>
            </w:r>
            <w:proofErr w:type="spellEnd"/>
            <w:r w:rsidRPr="00CC19F7">
              <w:t xml:space="preserve"> same teknologiske </w:t>
            </w:r>
            <w:proofErr w:type="spellStart"/>
            <w:r w:rsidRPr="00CC19F7">
              <w:t>utfordringane</w:t>
            </w:r>
            <w:proofErr w:type="spellEnd"/>
            <w:r w:rsidRPr="00CC19F7">
              <w:t xml:space="preserve">. </w:t>
            </w:r>
            <w:proofErr w:type="spellStart"/>
            <w:r w:rsidRPr="00CC19F7">
              <w:t>Noregs</w:t>
            </w:r>
            <w:proofErr w:type="spellEnd"/>
            <w:r w:rsidRPr="00CC19F7">
              <w:t xml:space="preserve"> forskingsråd og den brasilianske motparten, FINEP, har gjennomført </w:t>
            </w:r>
            <w:proofErr w:type="spellStart"/>
            <w:r w:rsidRPr="00CC19F7">
              <w:t>fleire</w:t>
            </w:r>
            <w:proofErr w:type="spellEnd"/>
            <w:r w:rsidRPr="00CC19F7">
              <w:t xml:space="preserve"> </w:t>
            </w:r>
            <w:proofErr w:type="spellStart"/>
            <w:r w:rsidRPr="00CC19F7">
              <w:t>fellesutlysingar</w:t>
            </w:r>
            <w:proofErr w:type="spellEnd"/>
            <w:r w:rsidRPr="00CC19F7">
              <w:t xml:space="preserve"> av </w:t>
            </w:r>
            <w:proofErr w:type="spellStart"/>
            <w:r w:rsidRPr="00CC19F7">
              <w:t>forskingsmidlar</w:t>
            </w:r>
            <w:proofErr w:type="spellEnd"/>
            <w:r w:rsidRPr="00CC19F7">
              <w:t xml:space="preserve">. </w:t>
            </w:r>
          </w:p>
        </w:tc>
      </w:tr>
      <w:tr w:rsidR="00FE02EF" w:rsidRPr="00CC19F7" w14:paraId="7EBDFE75" w14:textId="77777777" w:rsidTr="00C0741D">
        <w:trPr>
          <w:trHeight w:val="1400"/>
        </w:trPr>
        <w:tc>
          <w:tcPr>
            <w:tcW w:w="2300" w:type="dxa"/>
            <w:tcBorders>
              <w:top w:val="single" w:sz="4" w:space="0" w:color="000000"/>
              <w:left w:val="nil"/>
              <w:bottom w:val="single" w:sz="4" w:space="0" w:color="000000"/>
              <w:right w:val="nil"/>
            </w:tcBorders>
            <w:tcMar>
              <w:top w:w="128" w:type="dxa"/>
              <w:left w:w="43" w:type="dxa"/>
              <w:bottom w:w="43" w:type="dxa"/>
              <w:right w:w="43" w:type="dxa"/>
            </w:tcMar>
          </w:tcPr>
          <w:p w14:paraId="7367249D" w14:textId="77777777" w:rsidR="00FE02EF" w:rsidRPr="00CA1D23" w:rsidRDefault="00881E58" w:rsidP="00CC19F7">
            <w:pPr>
              <w:rPr>
                <w:lang w:val="en-US"/>
              </w:rPr>
            </w:pPr>
            <w:r w:rsidRPr="00CA1D23">
              <w:rPr>
                <w:lang w:val="en-US"/>
              </w:rPr>
              <w:t xml:space="preserve">The International Ocean Discovery </w:t>
            </w:r>
            <w:r w:rsidRPr="00CA1D23">
              <w:rPr>
                <w:lang w:val="en-US"/>
              </w:rPr>
              <w:br/>
              <w:t>Program</w:t>
            </w:r>
          </w:p>
        </w:tc>
        <w:tc>
          <w:tcPr>
            <w:tcW w:w="7260" w:type="dxa"/>
            <w:tcBorders>
              <w:top w:val="single" w:sz="4" w:space="0" w:color="000000"/>
              <w:left w:val="nil"/>
              <w:bottom w:val="single" w:sz="4" w:space="0" w:color="000000"/>
              <w:right w:val="nil"/>
            </w:tcBorders>
            <w:tcMar>
              <w:top w:w="128" w:type="dxa"/>
              <w:left w:w="43" w:type="dxa"/>
              <w:bottom w:w="43" w:type="dxa"/>
              <w:right w:w="43" w:type="dxa"/>
            </w:tcMar>
          </w:tcPr>
          <w:p w14:paraId="56F48C7A" w14:textId="77777777" w:rsidR="00FE02EF" w:rsidRPr="00CC19F7" w:rsidRDefault="00881E58" w:rsidP="00CC19F7">
            <w:proofErr w:type="spellStart"/>
            <w:r w:rsidRPr="00CC19F7">
              <w:t>Eit</w:t>
            </w:r>
            <w:proofErr w:type="spellEnd"/>
            <w:r w:rsidRPr="00CC19F7">
              <w:t xml:space="preserve"> marint geologisk forskingsprogram retta mellom anna mot forsking </w:t>
            </w:r>
            <w:r w:rsidRPr="00CC19F7">
              <w:br/>
              <w:t xml:space="preserve">i arktiske område. Resultata </w:t>
            </w:r>
            <w:proofErr w:type="spellStart"/>
            <w:r w:rsidRPr="00CC19F7">
              <w:t>frå</w:t>
            </w:r>
            <w:proofErr w:type="spellEnd"/>
            <w:r w:rsidRPr="00CC19F7">
              <w:t xml:space="preserve"> ulike tokt er viktige </w:t>
            </w:r>
            <w:proofErr w:type="spellStart"/>
            <w:r w:rsidRPr="00CC19F7">
              <w:t>referansar</w:t>
            </w:r>
            <w:proofErr w:type="spellEnd"/>
            <w:r w:rsidRPr="00CC19F7">
              <w:t xml:space="preserve"> for både </w:t>
            </w:r>
            <w:r w:rsidRPr="00CC19F7">
              <w:br/>
              <w:t xml:space="preserve">akademia og industrien i forståinga </w:t>
            </w:r>
            <w:proofErr w:type="spellStart"/>
            <w:r w:rsidRPr="00CC19F7">
              <w:t>deira</w:t>
            </w:r>
            <w:proofErr w:type="spellEnd"/>
            <w:r w:rsidRPr="00CC19F7">
              <w:t xml:space="preserve"> av den geologiske utviklinga av norsk sokkel. IODP blir avslutta i 2024, og finansiering av </w:t>
            </w:r>
            <w:proofErr w:type="spellStart"/>
            <w:r w:rsidRPr="00CC19F7">
              <w:t>ein</w:t>
            </w:r>
            <w:proofErr w:type="spellEnd"/>
            <w:r w:rsidRPr="00CC19F7">
              <w:t xml:space="preserve"> ny periode </w:t>
            </w:r>
            <w:r w:rsidRPr="00CC19F7">
              <w:br/>
              <w:t>er under vurdering.</w:t>
            </w:r>
          </w:p>
        </w:tc>
      </w:tr>
    </w:tbl>
    <w:p w14:paraId="445607C7" w14:textId="77777777" w:rsidR="00FE02EF" w:rsidRPr="00CC19F7" w:rsidRDefault="00881E58" w:rsidP="00CC19F7">
      <w:pPr>
        <w:pStyle w:val="avsnitt-undertittel"/>
      </w:pPr>
      <w:r w:rsidRPr="00CC19F7">
        <w:t>Kartlegging av sjøfugl</w:t>
      </w:r>
    </w:p>
    <w:p w14:paraId="33753AF4" w14:textId="77777777" w:rsidR="00FE02EF" w:rsidRPr="00CC19F7" w:rsidRDefault="00881E58" w:rsidP="00CC19F7">
      <w:r w:rsidRPr="00CC19F7">
        <w:t>Det blir foreslått å løyve 22 mill. kroner til sjøfuglprogrammet SEAPOP (</w:t>
      </w:r>
      <w:proofErr w:type="spellStart"/>
      <w:r w:rsidRPr="00CC19F7">
        <w:t>Seabird</w:t>
      </w:r>
      <w:proofErr w:type="spellEnd"/>
      <w:r w:rsidRPr="00CC19F7">
        <w:t xml:space="preserve"> </w:t>
      </w:r>
      <w:proofErr w:type="spellStart"/>
      <w:r w:rsidRPr="00CC19F7">
        <w:t>Population</w:t>
      </w:r>
      <w:proofErr w:type="spellEnd"/>
      <w:r w:rsidRPr="00CC19F7">
        <w:t xml:space="preserve"> Management and Petroleum Operations), som skal gi betre kunnskap om utbreiing, tilstand og utvikling av norske </w:t>
      </w:r>
      <w:proofErr w:type="spellStart"/>
      <w:r w:rsidRPr="00CC19F7">
        <w:t>sjøfuglbestandar</w:t>
      </w:r>
      <w:proofErr w:type="spellEnd"/>
      <w:r w:rsidRPr="00CC19F7">
        <w:t xml:space="preserve"> i lys av </w:t>
      </w:r>
      <w:proofErr w:type="spellStart"/>
      <w:r w:rsidRPr="00CC19F7">
        <w:t>menneskeleg</w:t>
      </w:r>
      <w:proofErr w:type="spellEnd"/>
      <w:r w:rsidRPr="00CC19F7">
        <w:t xml:space="preserve"> aktivitet i havområda og kystsona. </w:t>
      </w:r>
      <w:proofErr w:type="spellStart"/>
      <w:r w:rsidRPr="00CC19F7">
        <w:t>Midlane</w:t>
      </w:r>
      <w:proofErr w:type="spellEnd"/>
      <w:r w:rsidRPr="00CC19F7">
        <w:t xml:space="preserve"> skal </w:t>
      </w:r>
      <w:proofErr w:type="spellStart"/>
      <w:r w:rsidRPr="00CC19F7">
        <w:t>særleg</w:t>
      </w:r>
      <w:proofErr w:type="spellEnd"/>
      <w:r w:rsidRPr="00CC19F7">
        <w:t xml:space="preserve"> gå til </w:t>
      </w:r>
      <w:proofErr w:type="spellStart"/>
      <w:r w:rsidRPr="00CC19F7">
        <w:t>supplerande</w:t>
      </w:r>
      <w:proofErr w:type="spellEnd"/>
      <w:r w:rsidRPr="00CC19F7">
        <w:t xml:space="preserve"> </w:t>
      </w:r>
      <w:proofErr w:type="spellStart"/>
      <w:r w:rsidRPr="00CC19F7">
        <w:t>undersøkingar</w:t>
      </w:r>
      <w:proofErr w:type="spellEnd"/>
      <w:r w:rsidRPr="00CC19F7">
        <w:t xml:space="preserve"> om sjøfugl i område som er aktuelle for fornybar energiproduksjon til havs. Kartlegging av arealbruken til sjøfugl gjennom modulen SEATRACK (</w:t>
      </w:r>
      <w:proofErr w:type="spellStart"/>
      <w:r w:rsidRPr="00CC19F7">
        <w:t>Seabird</w:t>
      </w:r>
      <w:proofErr w:type="spellEnd"/>
      <w:r w:rsidRPr="00CC19F7">
        <w:t xml:space="preserve"> </w:t>
      </w:r>
      <w:proofErr w:type="spellStart"/>
      <w:r w:rsidRPr="00CC19F7">
        <w:t>Tracking</w:t>
      </w:r>
      <w:proofErr w:type="spellEnd"/>
      <w:r w:rsidRPr="00CC19F7">
        <w:t xml:space="preserve">) er </w:t>
      </w:r>
      <w:proofErr w:type="spellStart"/>
      <w:r w:rsidRPr="00CC19F7">
        <w:t>ein</w:t>
      </w:r>
      <w:proofErr w:type="spellEnd"/>
      <w:r w:rsidRPr="00CC19F7">
        <w:t xml:space="preserve"> prioritert aktivitet.</w:t>
      </w:r>
    </w:p>
    <w:p w14:paraId="33637E6E" w14:textId="77777777" w:rsidR="00FE02EF" w:rsidRPr="00CC19F7" w:rsidRDefault="00881E58" w:rsidP="00CC19F7">
      <w:pPr>
        <w:pStyle w:val="avsnitt-tittel"/>
      </w:pPr>
      <w:r w:rsidRPr="00CC19F7">
        <w:t>Resultat 2022</w:t>
      </w:r>
    </w:p>
    <w:p w14:paraId="0AF608FF" w14:textId="77777777" w:rsidR="00FE02EF" w:rsidRPr="00CC19F7" w:rsidRDefault="00881E58" w:rsidP="00CC19F7">
      <w:r w:rsidRPr="00CC19F7">
        <w:t>Samla vurdering av måloppnåing:</w:t>
      </w:r>
    </w:p>
    <w:p w14:paraId="1BC3D99C" w14:textId="77777777" w:rsidR="00FE02EF" w:rsidRPr="00CC19F7" w:rsidRDefault="00881E58" w:rsidP="00CC19F7">
      <w:pPr>
        <w:pStyle w:val="Liste"/>
      </w:pPr>
      <w:r w:rsidRPr="00CC19F7">
        <w:t xml:space="preserve">Det blei etablert to nye FME-ar på hydrogen og hydrogenbaserte </w:t>
      </w:r>
      <w:proofErr w:type="spellStart"/>
      <w:r w:rsidRPr="00CC19F7">
        <w:t>energiberarar</w:t>
      </w:r>
      <w:proofErr w:type="spellEnd"/>
      <w:r w:rsidRPr="00CC19F7">
        <w:t xml:space="preserve">. </w:t>
      </w:r>
      <w:proofErr w:type="spellStart"/>
      <w:r w:rsidRPr="00CC19F7">
        <w:t>Sentera</w:t>
      </w:r>
      <w:proofErr w:type="spellEnd"/>
      <w:r w:rsidRPr="00CC19F7">
        <w:t xml:space="preserve"> vil </w:t>
      </w:r>
      <w:proofErr w:type="spellStart"/>
      <w:r w:rsidRPr="00CC19F7">
        <w:t>vere</w:t>
      </w:r>
      <w:proofErr w:type="spellEnd"/>
      <w:r w:rsidRPr="00CC19F7">
        <w:t xml:space="preserve"> sentrale for at </w:t>
      </w:r>
      <w:proofErr w:type="spellStart"/>
      <w:r w:rsidRPr="00CC19F7">
        <w:t>Noreg</w:t>
      </w:r>
      <w:proofErr w:type="spellEnd"/>
      <w:r w:rsidRPr="00CC19F7">
        <w:t xml:space="preserve"> skal nå ambisjonen på hydrogenområdet.</w:t>
      </w:r>
    </w:p>
    <w:p w14:paraId="437FE746" w14:textId="77777777" w:rsidR="00FE02EF" w:rsidRPr="00CC19F7" w:rsidRDefault="00881E58" w:rsidP="00CC19F7">
      <w:pPr>
        <w:pStyle w:val="Liste"/>
      </w:pPr>
      <w:r w:rsidRPr="00CC19F7">
        <w:t xml:space="preserve">Det er positiv utvikling i prosjektporteføljen på havvind, mellom anna som følge av stor aktivitet i FME </w:t>
      </w:r>
      <w:proofErr w:type="spellStart"/>
      <w:r w:rsidRPr="00CC19F7">
        <w:t>NorthWind</w:t>
      </w:r>
      <w:proofErr w:type="spellEnd"/>
      <w:r w:rsidRPr="00CC19F7">
        <w:t xml:space="preserve">, som blei etablert i 2021, og som </w:t>
      </w:r>
      <w:proofErr w:type="spellStart"/>
      <w:r w:rsidRPr="00CC19F7">
        <w:t>no</w:t>
      </w:r>
      <w:proofErr w:type="spellEnd"/>
      <w:r w:rsidRPr="00CC19F7">
        <w:t xml:space="preserve"> er godt i gang.</w:t>
      </w:r>
    </w:p>
    <w:p w14:paraId="1CD84BB6" w14:textId="77777777" w:rsidR="00FE02EF" w:rsidRPr="00CC19F7" w:rsidRDefault="00881E58" w:rsidP="00CC19F7">
      <w:pPr>
        <w:pStyle w:val="Liste"/>
      </w:pPr>
      <w:r w:rsidRPr="00CC19F7">
        <w:t xml:space="preserve">Både på energi- og petroleumsområdet var program og forskingssenter tett integrerte, og det var gode vekselverknader mellom den breie og langsiktige satsinga i </w:t>
      </w:r>
      <w:proofErr w:type="spellStart"/>
      <w:r w:rsidRPr="00CC19F7">
        <w:t>sentera</w:t>
      </w:r>
      <w:proofErr w:type="spellEnd"/>
      <w:r w:rsidRPr="00CC19F7">
        <w:t xml:space="preserve"> og program som tar vare på fleksibilitet, dynamikk og </w:t>
      </w:r>
      <w:proofErr w:type="spellStart"/>
      <w:r w:rsidRPr="00CC19F7">
        <w:t>dei</w:t>
      </w:r>
      <w:proofErr w:type="spellEnd"/>
      <w:r w:rsidRPr="00CC19F7">
        <w:t xml:space="preserve"> </w:t>
      </w:r>
      <w:proofErr w:type="spellStart"/>
      <w:r w:rsidRPr="00CC19F7">
        <w:t>industridrivne</w:t>
      </w:r>
      <w:proofErr w:type="spellEnd"/>
      <w:r w:rsidRPr="00CC19F7">
        <w:t xml:space="preserve"> prosjekta.</w:t>
      </w:r>
    </w:p>
    <w:p w14:paraId="30DD5272" w14:textId="77777777" w:rsidR="00FE02EF" w:rsidRPr="00CC19F7" w:rsidRDefault="00881E58" w:rsidP="00CC19F7">
      <w:pPr>
        <w:pStyle w:val="Liste"/>
      </w:pPr>
      <w:r w:rsidRPr="00CC19F7">
        <w:t xml:space="preserve">Samarbeidet i </w:t>
      </w:r>
      <w:proofErr w:type="spellStart"/>
      <w:r w:rsidRPr="00CC19F7">
        <w:t>verkemiddelapparatet</w:t>
      </w:r>
      <w:proofErr w:type="spellEnd"/>
      <w:r w:rsidRPr="00CC19F7">
        <w:t xml:space="preserve"> var godt, og mange konkrete tiltak under Grøn vekst-avtalen blei </w:t>
      </w:r>
      <w:proofErr w:type="spellStart"/>
      <w:r w:rsidRPr="00CC19F7">
        <w:t>vidareutvikla</w:t>
      </w:r>
      <w:proofErr w:type="spellEnd"/>
      <w:r w:rsidRPr="00CC19F7">
        <w:t>. Mellom anna blei det etablert HEILO på havvind.</w:t>
      </w:r>
    </w:p>
    <w:p w14:paraId="35B0A446" w14:textId="77777777" w:rsidR="00FE02EF" w:rsidRPr="00CC19F7" w:rsidRDefault="00881E58" w:rsidP="00CC19F7">
      <w:pPr>
        <w:pStyle w:val="Liste"/>
      </w:pPr>
      <w:r w:rsidRPr="00CC19F7">
        <w:t xml:space="preserve">Norske miljø </w:t>
      </w:r>
      <w:proofErr w:type="spellStart"/>
      <w:r w:rsidRPr="00CC19F7">
        <w:t>innanfor</w:t>
      </w:r>
      <w:proofErr w:type="spellEnd"/>
      <w:r w:rsidRPr="00CC19F7">
        <w:t xml:space="preserve"> energiforsking oppnådde også i 2022 svært god retur </w:t>
      </w:r>
      <w:proofErr w:type="spellStart"/>
      <w:r w:rsidRPr="00CC19F7">
        <w:t>frå</w:t>
      </w:r>
      <w:proofErr w:type="spellEnd"/>
      <w:r w:rsidRPr="00CC19F7">
        <w:t xml:space="preserve"> EUs rammeprogram, og energi er blant områda med </w:t>
      </w:r>
      <w:proofErr w:type="spellStart"/>
      <w:r w:rsidRPr="00CC19F7">
        <w:t>høgast</w:t>
      </w:r>
      <w:proofErr w:type="spellEnd"/>
      <w:r w:rsidRPr="00CC19F7">
        <w:t xml:space="preserve"> retur.</w:t>
      </w:r>
    </w:p>
    <w:p w14:paraId="549AE87F" w14:textId="77777777" w:rsidR="00FE02EF" w:rsidRPr="00CC19F7" w:rsidRDefault="00881E58" w:rsidP="00CC19F7">
      <w:pPr>
        <w:pStyle w:val="Liste"/>
      </w:pPr>
      <w:r w:rsidRPr="00CC19F7">
        <w:t>FoU-prosjekta som blei finansierte gjennom EUs ACT-program for CO</w:t>
      </w:r>
      <w:r w:rsidRPr="00CC19F7">
        <w:rPr>
          <w:rStyle w:val="skrift-senket"/>
        </w:rPr>
        <w:t>2</w:t>
      </w:r>
      <w:r w:rsidRPr="00CC19F7">
        <w:t xml:space="preserve">-handtering, har lukka </w:t>
      </w:r>
      <w:proofErr w:type="spellStart"/>
      <w:r w:rsidRPr="00CC19F7">
        <w:t>fleire</w:t>
      </w:r>
      <w:proofErr w:type="spellEnd"/>
      <w:r w:rsidRPr="00CC19F7">
        <w:t xml:space="preserve"> </w:t>
      </w:r>
      <w:proofErr w:type="spellStart"/>
      <w:r w:rsidRPr="00CC19F7">
        <w:t>kunnskapshol</w:t>
      </w:r>
      <w:proofErr w:type="spellEnd"/>
      <w:r w:rsidRPr="00CC19F7">
        <w:t xml:space="preserve"> og levert resultat som er viktige for etablering av fullskala CO</w:t>
      </w:r>
      <w:r w:rsidRPr="00CC19F7">
        <w:rPr>
          <w:rStyle w:val="skrift-senket"/>
        </w:rPr>
        <w:t>2</w:t>
      </w:r>
      <w:r w:rsidRPr="00CC19F7">
        <w:t>-handteringsprosjekt i Europa.</w:t>
      </w:r>
    </w:p>
    <w:p w14:paraId="55D62C86" w14:textId="77777777" w:rsidR="00FE02EF" w:rsidRPr="00CC19F7" w:rsidRDefault="00881E58" w:rsidP="00CC19F7">
      <w:pPr>
        <w:pStyle w:val="Liste"/>
      </w:pPr>
      <w:r w:rsidRPr="00CC19F7">
        <w:t xml:space="preserve">To nye PETROSENTER hadde sine første år med aktivitet, og senteret for </w:t>
      </w:r>
      <w:proofErr w:type="spellStart"/>
      <w:r w:rsidRPr="00CC19F7">
        <w:t>lågutslepp</w:t>
      </w:r>
      <w:proofErr w:type="spellEnd"/>
      <w:r w:rsidRPr="00CC19F7">
        <w:t xml:space="preserve"> har blitt midtvegsevaluert. </w:t>
      </w:r>
      <w:proofErr w:type="spellStart"/>
      <w:r w:rsidRPr="00CC19F7">
        <w:t>Sentera</w:t>
      </w:r>
      <w:proofErr w:type="spellEnd"/>
      <w:r w:rsidRPr="00CC19F7">
        <w:t xml:space="preserve"> bidrar til ei </w:t>
      </w:r>
      <w:proofErr w:type="spellStart"/>
      <w:r w:rsidRPr="00CC19F7">
        <w:t>forsvarleg</w:t>
      </w:r>
      <w:proofErr w:type="spellEnd"/>
      <w:r w:rsidRPr="00CC19F7">
        <w:t xml:space="preserve"> forvaltning av </w:t>
      </w:r>
      <w:proofErr w:type="spellStart"/>
      <w:r w:rsidRPr="00CC19F7">
        <w:t>dei</w:t>
      </w:r>
      <w:proofErr w:type="spellEnd"/>
      <w:r w:rsidRPr="00CC19F7">
        <w:t xml:space="preserve"> norske </w:t>
      </w:r>
      <w:proofErr w:type="spellStart"/>
      <w:r w:rsidRPr="00CC19F7">
        <w:t>petroleumsressursane</w:t>
      </w:r>
      <w:proofErr w:type="spellEnd"/>
      <w:r w:rsidRPr="00CC19F7">
        <w:t xml:space="preserve"> i </w:t>
      </w:r>
      <w:proofErr w:type="spellStart"/>
      <w:r w:rsidRPr="00CC19F7">
        <w:t>opna</w:t>
      </w:r>
      <w:proofErr w:type="spellEnd"/>
      <w:r w:rsidRPr="00CC19F7">
        <w:t xml:space="preserve"> område og til reduksjon av klimagassutslepp.</w:t>
      </w:r>
    </w:p>
    <w:p w14:paraId="1476E919" w14:textId="77777777" w:rsidR="00FE02EF" w:rsidRPr="00CC19F7" w:rsidRDefault="00881E58" w:rsidP="00CC19F7">
      <w:pPr>
        <w:pStyle w:val="Liste"/>
      </w:pPr>
      <w:proofErr w:type="spellStart"/>
      <w:r w:rsidRPr="00CC19F7">
        <w:t>Eit</w:t>
      </w:r>
      <w:proofErr w:type="spellEnd"/>
      <w:r w:rsidRPr="00CC19F7">
        <w:t xml:space="preserve"> nytt internasjonalt samarbeid gjennom EU Joint Programming Initiative (JPI) Oceans gir </w:t>
      </w:r>
      <w:proofErr w:type="spellStart"/>
      <w:r w:rsidRPr="00CC19F7">
        <w:t>meir</w:t>
      </w:r>
      <w:proofErr w:type="spellEnd"/>
      <w:r w:rsidRPr="00CC19F7">
        <w:t xml:space="preserve"> kunnskap om </w:t>
      </w:r>
      <w:proofErr w:type="spellStart"/>
      <w:r w:rsidRPr="00CC19F7">
        <w:t>effektar</w:t>
      </w:r>
      <w:proofErr w:type="spellEnd"/>
      <w:r w:rsidRPr="00CC19F7">
        <w:t xml:space="preserve"> </w:t>
      </w:r>
      <w:proofErr w:type="spellStart"/>
      <w:r w:rsidRPr="00CC19F7">
        <w:t>frå</w:t>
      </w:r>
      <w:proofErr w:type="spellEnd"/>
      <w:r w:rsidRPr="00CC19F7">
        <w:t xml:space="preserve"> støy i havet relatert til energi- og </w:t>
      </w:r>
      <w:proofErr w:type="spellStart"/>
      <w:r w:rsidRPr="00CC19F7">
        <w:t>petroleumsaktivitetar</w:t>
      </w:r>
      <w:proofErr w:type="spellEnd"/>
      <w:r w:rsidRPr="00CC19F7">
        <w:t>.</w:t>
      </w:r>
    </w:p>
    <w:p w14:paraId="30D92472" w14:textId="77777777" w:rsidR="00FE02EF" w:rsidRPr="00CC19F7" w:rsidRDefault="00881E58" w:rsidP="00CC19F7">
      <w:pPr>
        <w:pStyle w:val="Liste"/>
      </w:pPr>
      <w:proofErr w:type="spellStart"/>
      <w:r w:rsidRPr="00CC19F7">
        <w:t>Utlysingane</w:t>
      </w:r>
      <w:proofErr w:type="spellEnd"/>
      <w:r w:rsidRPr="00CC19F7">
        <w:t xml:space="preserve"> </w:t>
      </w:r>
      <w:proofErr w:type="spellStart"/>
      <w:r w:rsidRPr="00CC19F7">
        <w:t>innan</w:t>
      </w:r>
      <w:proofErr w:type="spellEnd"/>
      <w:r w:rsidRPr="00CC19F7">
        <w:t xml:space="preserve"> petroleum har </w:t>
      </w:r>
      <w:proofErr w:type="spellStart"/>
      <w:r w:rsidRPr="00CC19F7">
        <w:t>særleg</w:t>
      </w:r>
      <w:proofErr w:type="spellEnd"/>
      <w:r w:rsidRPr="00CC19F7">
        <w:t xml:space="preserve"> prioritert å bidra til å nå målet til sektoren om reduksjon av klimagassutslepp. </w:t>
      </w:r>
      <w:proofErr w:type="spellStart"/>
      <w:r w:rsidRPr="00CC19F7">
        <w:t>Ein</w:t>
      </w:r>
      <w:proofErr w:type="spellEnd"/>
      <w:r w:rsidRPr="00CC19F7">
        <w:t xml:space="preserve"> ny analyse i 2022 viser at størsteparten (68 prosent) av petroleumsporteføljen </w:t>
      </w:r>
      <w:proofErr w:type="spellStart"/>
      <w:r w:rsidRPr="00CC19F7">
        <w:t>frå</w:t>
      </w:r>
      <w:proofErr w:type="spellEnd"/>
      <w:r w:rsidRPr="00CC19F7">
        <w:t xml:space="preserve"> 2018 til 2021 kan gi </w:t>
      </w:r>
      <w:proofErr w:type="spellStart"/>
      <w:r w:rsidRPr="00CC19F7">
        <w:t>effektar</w:t>
      </w:r>
      <w:proofErr w:type="spellEnd"/>
      <w:r w:rsidRPr="00CC19F7">
        <w:t xml:space="preserve"> som bidrar til å nå klimamåla.</w:t>
      </w:r>
    </w:p>
    <w:p w14:paraId="15580461" w14:textId="77777777" w:rsidR="00FE02EF" w:rsidRPr="00CC19F7" w:rsidRDefault="00881E58" w:rsidP="00CC19F7">
      <w:pPr>
        <w:pStyle w:val="avsnitt-undertittel"/>
      </w:pPr>
      <w:r w:rsidRPr="00CC19F7">
        <w:t xml:space="preserve">Ny </w:t>
      </w:r>
      <w:proofErr w:type="spellStart"/>
      <w:r w:rsidRPr="00CC19F7">
        <w:t>klimavennleg</w:t>
      </w:r>
      <w:proofErr w:type="spellEnd"/>
      <w:r w:rsidRPr="00CC19F7">
        <w:t xml:space="preserve"> energiteknologi</w:t>
      </w:r>
    </w:p>
    <w:p w14:paraId="6CACC458" w14:textId="77777777" w:rsidR="00FE02EF" w:rsidRPr="00CC19F7" w:rsidRDefault="00881E58" w:rsidP="00CC19F7">
      <w:r w:rsidRPr="00CC19F7">
        <w:t xml:space="preserve">Forskingsrådets målretta </w:t>
      </w:r>
      <w:proofErr w:type="spellStart"/>
      <w:r w:rsidRPr="00CC19F7">
        <w:t>satsingar</w:t>
      </w:r>
      <w:proofErr w:type="spellEnd"/>
      <w:r w:rsidRPr="00CC19F7">
        <w:t xml:space="preserve"> </w:t>
      </w:r>
      <w:proofErr w:type="spellStart"/>
      <w:r w:rsidRPr="00CC19F7">
        <w:t>innan</w:t>
      </w:r>
      <w:proofErr w:type="spellEnd"/>
      <w:r w:rsidRPr="00CC19F7">
        <w:t xml:space="preserve"> ny </w:t>
      </w:r>
      <w:proofErr w:type="spellStart"/>
      <w:r w:rsidRPr="00CC19F7">
        <w:t>klimavennleg</w:t>
      </w:r>
      <w:proofErr w:type="spellEnd"/>
      <w:r w:rsidRPr="00CC19F7">
        <w:t xml:space="preserve"> energiteknologi omfatta i 2022 ENERGIX, Forskingssenter for </w:t>
      </w:r>
      <w:proofErr w:type="spellStart"/>
      <w:r w:rsidRPr="00CC19F7">
        <w:t>miljøvennleg</w:t>
      </w:r>
      <w:proofErr w:type="spellEnd"/>
      <w:r w:rsidRPr="00CC19F7">
        <w:t xml:space="preserve"> energi (FME) og Forsking, utvikling og demonstrasjon av CO</w:t>
      </w:r>
      <w:r w:rsidRPr="00CC19F7">
        <w:rPr>
          <w:rStyle w:val="skrift-senket"/>
        </w:rPr>
        <w:t>2</w:t>
      </w:r>
      <w:r w:rsidRPr="00CC19F7">
        <w:t xml:space="preserve">-handteringsteknologi (CLIMIT). Det inkluderer også ei </w:t>
      </w:r>
      <w:proofErr w:type="spellStart"/>
      <w:r w:rsidRPr="00CC19F7">
        <w:t>særskild</w:t>
      </w:r>
      <w:proofErr w:type="spellEnd"/>
      <w:r w:rsidRPr="00CC19F7">
        <w:t xml:space="preserve"> satsing på infrastruktur og </w:t>
      </w:r>
      <w:proofErr w:type="spellStart"/>
      <w:r w:rsidRPr="00CC19F7">
        <w:t>marknadsutvikling</w:t>
      </w:r>
      <w:proofErr w:type="spellEnd"/>
      <w:r w:rsidRPr="00CC19F7">
        <w:t xml:space="preserve"> for hydrogen.</w:t>
      </w:r>
    </w:p>
    <w:p w14:paraId="3AF54C45" w14:textId="77777777" w:rsidR="00FE02EF" w:rsidRPr="00CC19F7" w:rsidRDefault="00881E58" w:rsidP="00CC19F7">
      <w:r w:rsidRPr="00CC19F7">
        <w:t xml:space="preserve">Forbruk i porteføljen over tid fordelt på temaområde er vist i figur 4.2. Den </w:t>
      </w:r>
      <w:proofErr w:type="spellStart"/>
      <w:r w:rsidRPr="00CC19F7">
        <w:t>tydelegaste</w:t>
      </w:r>
      <w:proofErr w:type="spellEnd"/>
      <w:r w:rsidRPr="00CC19F7">
        <w:t xml:space="preserve"> endringa i perioden er at den relative satsinga på hydrogen og batteri/elektrifisering av transport har </w:t>
      </w:r>
      <w:proofErr w:type="spellStart"/>
      <w:r w:rsidRPr="00CC19F7">
        <w:t>auka</w:t>
      </w:r>
      <w:proofErr w:type="spellEnd"/>
      <w:r w:rsidRPr="00CC19F7">
        <w:t xml:space="preserve">, </w:t>
      </w:r>
      <w:proofErr w:type="spellStart"/>
      <w:r w:rsidRPr="00CC19F7">
        <w:t>medan</w:t>
      </w:r>
      <w:proofErr w:type="spellEnd"/>
      <w:r w:rsidRPr="00CC19F7">
        <w:t xml:space="preserve"> </w:t>
      </w:r>
      <w:proofErr w:type="spellStart"/>
      <w:r w:rsidRPr="00CC19F7">
        <w:t>særleg</w:t>
      </w:r>
      <w:proofErr w:type="spellEnd"/>
      <w:r w:rsidRPr="00CC19F7">
        <w:t xml:space="preserve"> </w:t>
      </w:r>
      <w:proofErr w:type="spellStart"/>
      <w:r w:rsidRPr="00CC19F7">
        <w:t>andelane</w:t>
      </w:r>
      <w:proofErr w:type="spellEnd"/>
      <w:r w:rsidRPr="00CC19F7">
        <w:t xml:space="preserve"> som går til CO</w:t>
      </w:r>
      <w:r w:rsidRPr="00CC19F7">
        <w:rPr>
          <w:rStyle w:val="skrift-senket"/>
        </w:rPr>
        <w:t>2</w:t>
      </w:r>
      <w:r w:rsidRPr="00CC19F7">
        <w:t>-handtering og fornybar energi, er reduserte.</w:t>
      </w:r>
    </w:p>
    <w:p w14:paraId="6F7BC6E9" w14:textId="1F4B9EB5" w:rsidR="00FE02EF" w:rsidRPr="00CC19F7" w:rsidRDefault="00C0741D" w:rsidP="00CC19F7">
      <w:r>
        <w:rPr>
          <w:noProof/>
        </w:rPr>
        <w:drawing>
          <wp:inline distT="0" distB="0" distL="0" distR="0" wp14:anchorId="274B915B" wp14:editId="7C59E24D">
            <wp:extent cx="6076950" cy="2705100"/>
            <wp:effectExtent l="0" t="0" r="0" b="0"/>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6950" cy="2705100"/>
                    </a:xfrm>
                    <a:prstGeom prst="rect">
                      <a:avLst/>
                    </a:prstGeom>
                    <a:noFill/>
                    <a:ln>
                      <a:noFill/>
                    </a:ln>
                  </pic:spPr>
                </pic:pic>
              </a:graphicData>
            </a:graphic>
          </wp:inline>
        </w:drawing>
      </w:r>
    </w:p>
    <w:p w14:paraId="7A8ABC4C" w14:textId="77777777" w:rsidR="00FE02EF" w:rsidRPr="00CC19F7" w:rsidRDefault="00881E58" w:rsidP="00CC19F7">
      <w:pPr>
        <w:pStyle w:val="figur-tittel"/>
      </w:pPr>
      <w:r w:rsidRPr="00CC19F7">
        <w:t xml:space="preserve">Forbruk </w:t>
      </w:r>
      <w:proofErr w:type="spellStart"/>
      <w:r w:rsidRPr="00CC19F7">
        <w:t>frå</w:t>
      </w:r>
      <w:proofErr w:type="spellEnd"/>
      <w:r w:rsidRPr="00CC19F7">
        <w:t xml:space="preserve"> ENERGIX, CLIMIT og FME til prosjekt og senter i absolutte og relative tal, fordelt på tema</w:t>
      </w:r>
    </w:p>
    <w:p w14:paraId="37669FEE" w14:textId="77777777" w:rsidR="00FE02EF" w:rsidRPr="00CC19F7" w:rsidRDefault="00881E58" w:rsidP="00CC19F7">
      <w:pPr>
        <w:pStyle w:val="Kilde"/>
      </w:pPr>
      <w:r w:rsidRPr="00CC19F7">
        <w:t xml:space="preserve">Kjelde: </w:t>
      </w:r>
      <w:proofErr w:type="spellStart"/>
      <w:r w:rsidRPr="00CC19F7">
        <w:t>Noregs</w:t>
      </w:r>
      <w:proofErr w:type="spellEnd"/>
      <w:r w:rsidRPr="00CC19F7">
        <w:t xml:space="preserve"> forskingsråd</w:t>
      </w:r>
    </w:p>
    <w:p w14:paraId="77122BB9" w14:textId="77777777" w:rsidR="00FE02EF" w:rsidRPr="00CC19F7" w:rsidRDefault="00881E58" w:rsidP="00CC19F7">
      <w:r w:rsidRPr="00CC19F7">
        <w:t xml:space="preserve">Det er god koordinering og samhandling mellom programma og den breie og langsiktige satsinga i </w:t>
      </w:r>
      <w:proofErr w:type="spellStart"/>
      <w:r w:rsidRPr="00CC19F7">
        <w:t>forskingssentera</w:t>
      </w:r>
      <w:proofErr w:type="spellEnd"/>
      <w:r w:rsidRPr="00CC19F7">
        <w:t xml:space="preserve">. Det er også </w:t>
      </w:r>
      <w:proofErr w:type="spellStart"/>
      <w:r w:rsidRPr="00CC19F7">
        <w:t>eit</w:t>
      </w:r>
      <w:proofErr w:type="spellEnd"/>
      <w:r w:rsidRPr="00CC19F7">
        <w:t xml:space="preserve"> godt samarbeid på tvers i </w:t>
      </w:r>
      <w:proofErr w:type="spellStart"/>
      <w:r w:rsidRPr="00CC19F7">
        <w:t>verkemiddelapparatet</w:t>
      </w:r>
      <w:proofErr w:type="spellEnd"/>
      <w:r w:rsidRPr="00CC19F7">
        <w:t xml:space="preserve">, </w:t>
      </w:r>
      <w:proofErr w:type="spellStart"/>
      <w:r w:rsidRPr="00CC19F7">
        <w:t>noko</w:t>
      </w:r>
      <w:proofErr w:type="spellEnd"/>
      <w:r w:rsidRPr="00CC19F7">
        <w:t xml:space="preserve"> som er viktig for å realisere nye energi- og </w:t>
      </w:r>
      <w:proofErr w:type="spellStart"/>
      <w:r w:rsidRPr="00CC19F7">
        <w:t>klimaløysingar</w:t>
      </w:r>
      <w:proofErr w:type="spellEnd"/>
      <w:r w:rsidRPr="00CC19F7">
        <w:t xml:space="preserve">. I 2022 blei HEILO-samarbeidet mellom Forskingsrådet, </w:t>
      </w:r>
      <w:proofErr w:type="spellStart"/>
      <w:r w:rsidRPr="00CC19F7">
        <w:t>Enova</w:t>
      </w:r>
      <w:proofErr w:type="spellEnd"/>
      <w:r w:rsidRPr="00CC19F7">
        <w:t xml:space="preserve">, Innovasjon </w:t>
      </w:r>
      <w:proofErr w:type="spellStart"/>
      <w:r w:rsidRPr="00CC19F7">
        <w:t>Noreg</w:t>
      </w:r>
      <w:proofErr w:type="spellEnd"/>
      <w:r w:rsidRPr="00CC19F7">
        <w:t xml:space="preserve"> og Gassnova utvida til å omfatte havvind i tillegg til hydrogen. PILOT-E og Grøn plattform er andre eksempel på konkrete tiltak for koordinert verkemiddelbruk, og i 2022 blei det gjennomført ei PILOT-E-utlysing retta mot «</w:t>
      </w:r>
      <w:proofErr w:type="spellStart"/>
      <w:r w:rsidRPr="00CC19F7">
        <w:t>auka</w:t>
      </w:r>
      <w:proofErr w:type="spellEnd"/>
      <w:r w:rsidRPr="00CC19F7">
        <w:t xml:space="preserve"> fleksibilitet i kraftsystemet» og «høgtemperatur varme i industrien».</w:t>
      </w:r>
    </w:p>
    <w:p w14:paraId="0F24563D" w14:textId="77777777" w:rsidR="00FE02EF" w:rsidRPr="00CC19F7" w:rsidRDefault="00881E58" w:rsidP="00CC19F7">
      <w:r w:rsidRPr="00CC19F7">
        <w:t xml:space="preserve">Internasjonalt samarbeid er høgt prioritert, og </w:t>
      </w:r>
      <w:proofErr w:type="spellStart"/>
      <w:r w:rsidRPr="00CC19F7">
        <w:t>dei</w:t>
      </w:r>
      <w:proofErr w:type="spellEnd"/>
      <w:r w:rsidRPr="00CC19F7">
        <w:t xml:space="preserve"> fleste prosjekta i energiporteføljen har internasjonale </w:t>
      </w:r>
      <w:proofErr w:type="spellStart"/>
      <w:r w:rsidRPr="00CC19F7">
        <w:t>deltakarar</w:t>
      </w:r>
      <w:proofErr w:type="spellEnd"/>
      <w:r w:rsidRPr="00CC19F7">
        <w:t>. FME-ane er viktige kontaktpunkt for internasjonalt samarbeid generelt og bilateralt samarbeid spesielt.</w:t>
      </w:r>
    </w:p>
    <w:p w14:paraId="000D29B9" w14:textId="77777777" w:rsidR="00FE02EF" w:rsidRPr="00CC19F7" w:rsidRDefault="00881E58" w:rsidP="00CC19F7">
      <w:r w:rsidRPr="00CC19F7">
        <w:t xml:space="preserve">Regjeringas hydrogenstrategi (2020) og Vegkart for hydrogen (2021) blei i 2022 </w:t>
      </w:r>
      <w:proofErr w:type="spellStart"/>
      <w:r w:rsidRPr="00CC19F7">
        <w:t>følgt</w:t>
      </w:r>
      <w:proofErr w:type="spellEnd"/>
      <w:r w:rsidRPr="00CC19F7">
        <w:t xml:space="preserve"> opp med store støttebeløp </w:t>
      </w:r>
      <w:proofErr w:type="spellStart"/>
      <w:r w:rsidRPr="00CC19F7">
        <w:t>frå</w:t>
      </w:r>
      <w:proofErr w:type="spellEnd"/>
      <w:r w:rsidRPr="00CC19F7">
        <w:t xml:space="preserve"> </w:t>
      </w:r>
      <w:proofErr w:type="spellStart"/>
      <w:r w:rsidRPr="00CC19F7">
        <w:t>eit</w:t>
      </w:r>
      <w:proofErr w:type="spellEnd"/>
      <w:r w:rsidRPr="00CC19F7">
        <w:t xml:space="preserve"> samla </w:t>
      </w:r>
      <w:proofErr w:type="spellStart"/>
      <w:r w:rsidRPr="00CC19F7">
        <w:t>verkemiddelapparat</w:t>
      </w:r>
      <w:proofErr w:type="spellEnd"/>
      <w:r w:rsidRPr="00CC19F7">
        <w:t xml:space="preserve">, med tildeling </w:t>
      </w:r>
      <w:proofErr w:type="spellStart"/>
      <w:r w:rsidRPr="00CC19F7">
        <w:t>frå</w:t>
      </w:r>
      <w:proofErr w:type="spellEnd"/>
      <w:r w:rsidRPr="00CC19F7">
        <w:t xml:space="preserve"> Forskingsrådet til to nye FME-ar (</w:t>
      </w:r>
      <w:proofErr w:type="spellStart"/>
      <w:r w:rsidRPr="00CC19F7">
        <w:t>HYDROGENi</w:t>
      </w:r>
      <w:proofErr w:type="spellEnd"/>
      <w:r w:rsidRPr="00CC19F7">
        <w:t xml:space="preserve"> og Hy Value, der </w:t>
      </w:r>
      <w:proofErr w:type="spellStart"/>
      <w:r w:rsidRPr="00CC19F7">
        <w:t>høvesvis</w:t>
      </w:r>
      <w:proofErr w:type="spellEnd"/>
      <w:r w:rsidRPr="00CC19F7">
        <w:t xml:space="preserve"> SINTEF Energi og NORCE er i leiinga), i tillegg til 91 mill. kroner til ulike hydrogenprosjekt gjennom ENERGIX og 10 mill. kroner gjennom PETROMAKS 2. I Forskingsrådet er porteføljen </w:t>
      </w:r>
      <w:proofErr w:type="spellStart"/>
      <w:r w:rsidRPr="00CC19F7">
        <w:t>særleg</w:t>
      </w:r>
      <w:proofErr w:type="spellEnd"/>
      <w:r w:rsidRPr="00CC19F7">
        <w:t xml:space="preserve"> retta mot hydrogen til transport i maritim sektor, men porteføljen av prosjekt </w:t>
      </w:r>
      <w:proofErr w:type="spellStart"/>
      <w:r w:rsidRPr="00CC19F7">
        <w:t>innan</w:t>
      </w:r>
      <w:proofErr w:type="spellEnd"/>
      <w:r w:rsidRPr="00CC19F7">
        <w:t xml:space="preserve"> </w:t>
      </w:r>
      <w:proofErr w:type="spellStart"/>
      <w:r w:rsidRPr="00CC19F7">
        <w:t>fleire</w:t>
      </w:r>
      <w:proofErr w:type="spellEnd"/>
      <w:r w:rsidRPr="00CC19F7">
        <w:t xml:space="preserve"> industriområde som kunstgjødsel, oljeraffinering og </w:t>
      </w:r>
      <w:proofErr w:type="spellStart"/>
      <w:r w:rsidRPr="00CC19F7">
        <w:t>annan</w:t>
      </w:r>
      <w:proofErr w:type="spellEnd"/>
      <w:r w:rsidRPr="00CC19F7">
        <w:t xml:space="preserve"> kjemisk industri har </w:t>
      </w:r>
      <w:proofErr w:type="spellStart"/>
      <w:r w:rsidRPr="00CC19F7">
        <w:t>no</w:t>
      </w:r>
      <w:proofErr w:type="spellEnd"/>
      <w:r w:rsidRPr="00CC19F7">
        <w:t xml:space="preserve"> fått større plass.</w:t>
      </w:r>
    </w:p>
    <w:p w14:paraId="14063D3B" w14:textId="77777777" w:rsidR="00FE02EF" w:rsidRPr="00CC19F7" w:rsidRDefault="00881E58" w:rsidP="00CC19F7">
      <w:pPr>
        <w:pStyle w:val="tittel-ramme"/>
      </w:pPr>
      <w:r w:rsidRPr="00CC19F7">
        <w:t>Prosjekt med mål om utsleppsfri gjødselproduksjon</w:t>
      </w:r>
    </w:p>
    <w:p w14:paraId="4E67BB8E" w14:textId="77777777" w:rsidR="00FE02EF" w:rsidRPr="00CC19F7" w:rsidRDefault="00881E58" w:rsidP="00CC19F7">
      <w:r w:rsidRPr="00CC19F7">
        <w:t xml:space="preserve">Prosjektet «Realisering av verdikjede for </w:t>
      </w:r>
      <w:proofErr w:type="spellStart"/>
      <w:r w:rsidRPr="00CC19F7">
        <w:t>grøn</w:t>
      </w:r>
      <w:proofErr w:type="spellEnd"/>
      <w:r w:rsidRPr="00CC19F7">
        <w:t xml:space="preserve"> mineralgjødsel» med Yara i leiinga </w:t>
      </w:r>
      <w:proofErr w:type="spellStart"/>
      <w:r w:rsidRPr="00CC19F7">
        <w:t>fekk</w:t>
      </w:r>
      <w:proofErr w:type="spellEnd"/>
      <w:r w:rsidRPr="00CC19F7">
        <w:t xml:space="preserve"> i perioden 2019–2021 om lag 17 mill. kroner </w:t>
      </w:r>
      <w:proofErr w:type="spellStart"/>
      <w:r w:rsidRPr="00CC19F7">
        <w:t>frå</w:t>
      </w:r>
      <w:proofErr w:type="spellEnd"/>
      <w:r w:rsidRPr="00CC19F7">
        <w:t xml:space="preserve"> ENERGIX. Prosjektet har gitt </w:t>
      </w:r>
      <w:proofErr w:type="spellStart"/>
      <w:r w:rsidRPr="00CC19F7">
        <w:t>ein</w:t>
      </w:r>
      <w:proofErr w:type="spellEnd"/>
      <w:r w:rsidRPr="00CC19F7">
        <w:t xml:space="preserve"> stor </w:t>
      </w:r>
      <w:proofErr w:type="spellStart"/>
      <w:r w:rsidRPr="00CC19F7">
        <w:t>kompetanseauke</w:t>
      </w:r>
      <w:proofErr w:type="spellEnd"/>
      <w:r w:rsidRPr="00CC19F7">
        <w:t xml:space="preserve"> </w:t>
      </w:r>
      <w:proofErr w:type="spellStart"/>
      <w:r w:rsidRPr="00CC19F7">
        <w:t>innan</w:t>
      </w:r>
      <w:proofErr w:type="spellEnd"/>
      <w:r w:rsidRPr="00CC19F7">
        <w:t xml:space="preserve"> produksjon av </w:t>
      </w:r>
      <w:proofErr w:type="spellStart"/>
      <w:r w:rsidRPr="00CC19F7">
        <w:t>grøn</w:t>
      </w:r>
      <w:proofErr w:type="spellEnd"/>
      <w:r w:rsidRPr="00CC19F7">
        <w:t xml:space="preserve"> </w:t>
      </w:r>
      <w:proofErr w:type="spellStart"/>
      <w:r w:rsidRPr="00CC19F7">
        <w:t>berekraftig</w:t>
      </w:r>
      <w:proofErr w:type="spellEnd"/>
      <w:r w:rsidRPr="00CC19F7">
        <w:t xml:space="preserve"> mineralgjødsel </w:t>
      </w:r>
      <w:proofErr w:type="spellStart"/>
      <w:r w:rsidRPr="00CC19F7">
        <w:t>frå</w:t>
      </w:r>
      <w:proofErr w:type="spellEnd"/>
      <w:r w:rsidRPr="00CC19F7">
        <w:t xml:space="preserve"> fornybare energikjelder. Utvikling og design av prosessteknologi for integrert produksjon av nitrat </w:t>
      </w:r>
      <w:proofErr w:type="spellStart"/>
      <w:r w:rsidRPr="00CC19F7">
        <w:t>frå</w:t>
      </w:r>
      <w:proofErr w:type="spellEnd"/>
      <w:r w:rsidRPr="00CC19F7">
        <w:t xml:space="preserve"> fornybar, </w:t>
      </w:r>
      <w:proofErr w:type="spellStart"/>
      <w:r w:rsidRPr="00CC19F7">
        <w:t>varierande</w:t>
      </w:r>
      <w:proofErr w:type="spellEnd"/>
      <w:r w:rsidRPr="00CC19F7">
        <w:t xml:space="preserve"> energi har stått sentralt </w:t>
      </w:r>
      <w:proofErr w:type="spellStart"/>
      <w:r w:rsidRPr="00CC19F7">
        <w:t>saman</w:t>
      </w:r>
      <w:proofErr w:type="spellEnd"/>
      <w:r w:rsidRPr="00CC19F7">
        <w:t xml:space="preserve"> med utviklinga av </w:t>
      </w:r>
      <w:proofErr w:type="spellStart"/>
      <w:r w:rsidRPr="00CC19F7">
        <w:t>ein</w:t>
      </w:r>
      <w:proofErr w:type="spellEnd"/>
      <w:r w:rsidRPr="00CC19F7">
        <w:t xml:space="preserve"> ny salpetersyreprosess med betre energigjenvinning. Yara har, basert på resultata, starta forprosjektering av </w:t>
      </w:r>
      <w:proofErr w:type="spellStart"/>
      <w:r w:rsidRPr="00CC19F7">
        <w:t>eit</w:t>
      </w:r>
      <w:proofErr w:type="spellEnd"/>
      <w:r w:rsidRPr="00CC19F7">
        <w:t xml:space="preserve"> testanlegg for produksjon av hydrogen via vasselektrolyse ved anlegget i Porsgrunn, som vil legge grunnlag for </w:t>
      </w:r>
      <w:proofErr w:type="spellStart"/>
      <w:r w:rsidRPr="00CC19F7">
        <w:t>vidare</w:t>
      </w:r>
      <w:proofErr w:type="spellEnd"/>
      <w:r w:rsidRPr="00CC19F7">
        <w:t xml:space="preserve"> val av teknologi for utfasing av fossile råstoff og med det fjerning av CO</w:t>
      </w:r>
      <w:r w:rsidRPr="00CC19F7">
        <w:rPr>
          <w:rStyle w:val="skrift-senket"/>
        </w:rPr>
        <w:t>2</w:t>
      </w:r>
      <w:r w:rsidRPr="00CC19F7">
        <w:t xml:space="preserve">-utslepp </w:t>
      </w:r>
      <w:proofErr w:type="spellStart"/>
      <w:r w:rsidRPr="00CC19F7">
        <w:t>frå</w:t>
      </w:r>
      <w:proofErr w:type="spellEnd"/>
      <w:r w:rsidRPr="00CC19F7">
        <w:t xml:space="preserve"> produksjon av mineralgjødsel. Prosjektet blir </w:t>
      </w:r>
      <w:proofErr w:type="spellStart"/>
      <w:r w:rsidRPr="00CC19F7">
        <w:t>no</w:t>
      </w:r>
      <w:proofErr w:type="spellEnd"/>
      <w:r w:rsidRPr="00CC19F7">
        <w:t xml:space="preserve"> </w:t>
      </w:r>
      <w:proofErr w:type="spellStart"/>
      <w:r w:rsidRPr="00CC19F7">
        <w:t>vidareført</w:t>
      </w:r>
      <w:proofErr w:type="spellEnd"/>
      <w:r w:rsidRPr="00CC19F7">
        <w:t xml:space="preserve"> i to andre innovasjonsprosjekt med Yara i leiinga som kvar har blitt innvilga 10 mill. kroner i perioden 2021–2024. Begge prosjekta </w:t>
      </w:r>
      <w:proofErr w:type="gramStart"/>
      <w:r w:rsidRPr="00CC19F7">
        <w:t>fokuserer</w:t>
      </w:r>
      <w:proofErr w:type="gramEnd"/>
      <w:r w:rsidRPr="00CC19F7">
        <w:t xml:space="preserve"> på alternative </w:t>
      </w:r>
      <w:proofErr w:type="spellStart"/>
      <w:r w:rsidRPr="00CC19F7">
        <w:t>prosessar</w:t>
      </w:r>
      <w:proofErr w:type="spellEnd"/>
      <w:r w:rsidRPr="00CC19F7">
        <w:t xml:space="preserve"> for utsleppsfri gjødselproduksjon.</w:t>
      </w:r>
    </w:p>
    <w:p w14:paraId="7C9303C7" w14:textId="33144D9C" w:rsidR="00FE02EF" w:rsidRDefault="00881E58" w:rsidP="00CC19F7">
      <w:pPr>
        <w:pStyle w:val="Ramme-slutt"/>
      </w:pPr>
      <w:r w:rsidRPr="00CC19F7">
        <w:t>[Boks slutt]</w:t>
      </w:r>
    </w:p>
    <w:p w14:paraId="1CFFB906" w14:textId="1969CF55" w:rsidR="00C0741D" w:rsidRPr="00CC19F7" w:rsidRDefault="00C0741D" w:rsidP="00C0741D">
      <w:pPr>
        <w:pStyle w:val="tabell-tittel"/>
      </w:pPr>
      <w:r w:rsidRPr="00CC19F7">
        <w:t>Nøkkeltal for ENERGIX, CLIMIT og FME</w:t>
      </w:r>
    </w:p>
    <w:p w14:paraId="2F04E513" w14:textId="77777777" w:rsidR="00FE02EF" w:rsidRPr="00CC19F7" w:rsidRDefault="00881E58" w:rsidP="00CC19F7">
      <w:pPr>
        <w:pStyle w:val="Tabellnavn"/>
      </w:pPr>
      <w:r w:rsidRPr="00CC19F7">
        <w:t>03J1xt2</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6740"/>
        <w:gridCol w:w="1400"/>
        <w:gridCol w:w="1400"/>
      </w:tblGrid>
      <w:tr w:rsidR="00FE02EF" w:rsidRPr="00CC19F7" w14:paraId="6637BC88" w14:textId="77777777" w:rsidTr="00C0741D">
        <w:trPr>
          <w:trHeight w:val="360"/>
        </w:trPr>
        <w:tc>
          <w:tcPr>
            <w:tcW w:w="67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CC7871E" w14:textId="77777777" w:rsidR="00FE02EF" w:rsidRPr="00CC19F7" w:rsidRDefault="00FE02EF" w:rsidP="00C0741D"/>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D97659C" w14:textId="77777777" w:rsidR="00FE02EF" w:rsidRPr="00CC19F7" w:rsidRDefault="00881E58" w:rsidP="00C0741D">
            <w:pPr>
              <w:jc w:val="right"/>
            </w:pPr>
            <w:r w:rsidRPr="00CC19F7">
              <w:t>2021</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421F819" w14:textId="77777777" w:rsidR="00FE02EF" w:rsidRPr="00CC19F7" w:rsidRDefault="00881E58" w:rsidP="00C0741D">
            <w:pPr>
              <w:jc w:val="right"/>
            </w:pPr>
            <w:r w:rsidRPr="00CC19F7">
              <w:t>2022</w:t>
            </w:r>
          </w:p>
        </w:tc>
      </w:tr>
      <w:tr w:rsidR="00FE02EF" w:rsidRPr="00CC19F7" w14:paraId="32DD3091" w14:textId="77777777" w:rsidTr="00C0741D">
        <w:trPr>
          <w:trHeight w:val="380"/>
        </w:trPr>
        <w:tc>
          <w:tcPr>
            <w:tcW w:w="6740" w:type="dxa"/>
            <w:tcBorders>
              <w:top w:val="single" w:sz="4" w:space="0" w:color="000000"/>
              <w:left w:val="nil"/>
              <w:bottom w:val="nil"/>
              <w:right w:val="nil"/>
            </w:tcBorders>
            <w:tcMar>
              <w:top w:w="128" w:type="dxa"/>
              <w:left w:w="43" w:type="dxa"/>
              <w:bottom w:w="43" w:type="dxa"/>
              <w:right w:w="43" w:type="dxa"/>
            </w:tcMar>
          </w:tcPr>
          <w:p w14:paraId="0348AB5D" w14:textId="77777777" w:rsidR="00FE02EF" w:rsidRPr="00CC19F7" w:rsidRDefault="00881E58" w:rsidP="00C0741D">
            <w:r w:rsidRPr="00CC19F7">
              <w:t>Nye prosjekt</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15E2CF3A" w14:textId="77777777" w:rsidR="00FE02EF" w:rsidRPr="00CC19F7" w:rsidRDefault="00881E58" w:rsidP="00C0741D">
            <w:pPr>
              <w:jc w:val="right"/>
            </w:pPr>
            <w:r w:rsidRPr="00CC19F7">
              <w:t>100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9349FA4" w14:textId="77777777" w:rsidR="00FE02EF" w:rsidRPr="00CC19F7" w:rsidRDefault="00881E58" w:rsidP="00C0741D">
            <w:pPr>
              <w:jc w:val="right"/>
            </w:pPr>
            <w:r w:rsidRPr="00CC19F7">
              <w:t>94</w:t>
            </w:r>
          </w:p>
        </w:tc>
      </w:tr>
      <w:tr w:rsidR="00FE02EF" w:rsidRPr="00CC19F7" w14:paraId="7D8591CA" w14:textId="77777777" w:rsidTr="00C0741D">
        <w:trPr>
          <w:trHeight w:val="380"/>
        </w:trPr>
        <w:tc>
          <w:tcPr>
            <w:tcW w:w="6740" w:type="dxa"/>
            <w:tcBorders>
              <w:top w:val="nil"/>
              <w:left w:val="nil"/>
              <w:bottom w:val="nil"/>
              <w:right w:val="nil"/>
            </w:tcBorders>
            <w:tcMar>
              <w:top w:w="128" w:type="dxa"/>
              <w:left w:w="43" w:type="dxa"/>
              <w:bottom w:w="43" w:type="dxa"/>
              <w:right w:w="43" w:type="dxa"/>
            </w:tcMar>
          </w:tcPr>
          <w:p w14:paraId="6A9D0A48" w14:textId="77777777" w:rsidR="00FE02EF" w:rsidRPr="00CC19F7" w:rsidRDefault="00881E58" w:rsidP="00C0741D">
            <w:r w:rsidRPr="00CC19F7">
              <w:t>Innvilga finansiering til nye prosjekt (mill. kroner)</w:t>
            </w:r>
          </w:p>
        </w:tc>
        <w:tc>
          <w:tcPr>
            <w:tcW w:w="1400" w:type="dxa"/>
            <w:tcBorders>
              <w:top w:val="nil"/>
              <w:left w:val="nil"/>
              <w:bottom w:val="nil"/>
              <w:right w:val="nil"/>
            </w:tcBorders>
            <w:tcMar>
              <w:top w:w="128" w:type="dxa"/>
              <w:left w:w="43" w:type="dxa"/>
              <w:bottom w:w="43" w:type="dxa"/>
              <w:right w:w="43" w:type="dxa"/>
            </w:tcMar>
            <w:vAlign w:val="bottom"/>
          </w:tcPr>
          <w:p w14:paraId="25A063AB" w14:textId="77777777" w:rsidR="00FE02EF" w:rsidRPr="00CC19F7" w:rsidRDefault="00881E58" w:rsidP="00C0741D">
            <w:pPr>
              <w:jc w:val="right"/>
            </w:pPr>
            <w:r w:rsidRPr="00CC19F7">
              <w:t>738</w:t>
            </w:r>
          </w:p>
        </w:tc>
        <w:tc>
          <w:tcPr>
            <w:tcW w:w="1400" w:type="dxa"/>
            <w:tcBorders>
              <w:top w:val="nil"/>
              <w:left w:val="nil"/>
              <w:bottom w:val="nil"/>
              <w:right w:val="nil"/>
            </w:tcBorders>
            <w:tcMar>
              <w:top w:w="128" w:type="dxa"/>
              <w:left w:w="43" w:type="dxa"/>
              <w:bottom w:w="43" w:type="dxa"/>
              <w:right w:w="43" w:type="dxa"/>
            </w:tcMar>
            <w:vAlign w:val="bottom"/>
          </w:tcPr>
          <w:p w14:paraId="151C6619" w14:textId="77777777" w:rsidR="00FE02EF" w:rsidRPr="00CC19F7" w:rsidRDefault="00881E58" w:rsidP="00C0741D">
            <w:pPr>
              <w:jc w:val="right"/>
            </w:pPr>
            <w:r w:rsidRPr="00CC19F7">
              <w:t>946</w:t>
            </w:r>
          </w:p>
        </w:tc>
      </w:tr>
      <w:tr w:rsidR="00FE02EF" w:rsidRPr="00CC19F7" w14:paraId="06ED4B51" w14:textId="77777777" w:rsidTr="00C0741D">
        <w:trPr>
          <w:trHeight w:val="380"/>
        </w:trPr>
        <w:tc>
          <w:tcPr>
            <w:tcW w:w="6740" w:type="dxa"/>
            <w:tcBorders>
              <w:top w:val="nil"/>
              <w:left w:val="nil"/>
              <w:bottom w:val="nil"/>
              <w:right w:val="nil"/>
            </w:tcBorders>
            <w:tcMar>
              <w:top w:w="128" w:type="dxa"/>
              <w:left w:w="43" w:type="dxa"/>
              <w:bottom w:w="43" w:type="dxa"/>
              <w:right w:w="43" w:type="dxa"/>
            </w:tcMar>
          </w:tcPr>
          <w:p w14:paraId="0836E1E1" w14:textId="77777777" w:rsidR="00FE02EF" w:rsidRPr="00CC19F7" w:rsidRDefault="00881E58" w:rsidP="00C0741D">
            <w:proofErr w:type="spellStart"/>
            <w:r w:rsidRPr="00CC19F7">
              <w:t>Vitskaplege</w:t>
            </w:r>
            <w:proofErr w:type="spellEnd"/>
            <w:r w:rsidRPr="00CC19F7">
              <w:t xml:space="preserve"> </w:t>
            </w:r>
            <w:proofErr w:type="spellStart"/>
            <w:r w:rsidRPr="00CC19F7">
              <w:t>publikasjonar</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3C843301" w14:textId="77777777" w:rsidR="00FE02EF" w:rsidRPr="00CC19F7" w:rsidRDefault="00881E58" w:rsidP="00C0741D">
            <w:pPr>
              <w:jc w:val="right"/>
            </w:pPr>
            <w:r w:rsidRPr="00CC19F7">
              <w:t>787</w:t>
            </w:r>
          </w:p>
        </w:tc>
        <w:tc>
          <w:tcPr>
            <w:tcW w:w="1400" w:type="dxa"/>
            <w:tcBorders>
              <w:top w:val="nil"/>
              <w:left w:val="nil"/>
              <w:bottom w:val="nil"/>
              <w:right w:val="nil"/>
            </w:tcBorders>
            <w:tcMar>
              <w:top w:w="128" w:type="dxa"/>
              <w:left w:w="43" w:type="dxa"/>
              <w:bottom w:w="43" w:type="dxa"/>
              <w:right w:w="43" w:type="dxa"/>
            </w:tcMar>
            <w:vAlign w:val="bottom"/>
          </w:tcPr>
          <w:p w14:paraId="36A58508" w14:textId="77777777" w:rsidR="00FE02EF" w:rsidRPr="00CC19F7" w:rsidRDefault="00881E58" w:rsidP="00C0741D">
            <w:pPr>
              <w:jc w:val="right"/>
            </w:pPr>
            <w:r w:rsidRPr="00CC19F7">
              <w:t>614</w:t>
            </w:r>
          </w:p>
        </w:tc>
      </w:tr>
      <w:tr w:rsidR="00FE02EF" w:rsidRPr="00CC19F7" w14:paraId="69A6BBDB" w14:textId="77777777" w:rsidTr="00C0741D">
        <w:trPr>
          <w:trHeight w:val="380"/>
        </w:trPr>
        <w:tc>
          <w:tcPr>
            <w:tcW w:w="6740" w:type="dxa"/>
            <w:tcBorders>
              <w:top w:val="nil"/>
              <w:left w:val="nil"/>
              <w:bottom w:val="nil"/>
              <w:right w:val="nil"/>
            </w:tcBorders>
            <w:tcMar>
              <w:top w:w="128" w:type="dxa"/>
              <w:left w:w="43" w:type="dxa"/>
              <w:bottom w:w="43" w:type="dxa"/>
              <w:right w:w="43" w:type="dxa"/>
            </w:tcMar>
          </w:tcPr>
          <w:p w14:paraId="586F19DF" w14:textId="77777777" w:rsidR="00FE02EF" w:rsidRPr="00CC19F7" w:rsidRDefault="00881E58" w:rsidP="00C0741D">
            <w:r w:rsidRPr="00CC19F7">
              <w:t>Doktorgrader (årsverk)</w:t>
            </w:r>
          </w:p>
        </w:tc>
        <w:tc>
          <w:tcPr>
            <w:tcW w:w="1400" w:type="dxa"/>
            <w:tcBorders>
              <w:top w:val="nil"/>
              <w:left w:val="nil"/>
              <w:bottom w:val="nil"/>
              <w:right w:val="nil"/>
            </w:tcBorders>
            <w:tcMar>
              <w:top w:w="128" w:type="dxa"/>
              <w:left w:w="43" w:type="dxa"/>
              <w:bottom w:w="43" w:type="dxa"/>
              <w:right w:w="43" w:type="dxa"/>
            </w:tcMar>
            <w:vAlign w:val="bottom"/>
          </w:tcPr>
          <w:p w14:paraId="394069BC" w14:textId="77777777" w:rsidR="00FE02EF" w:rsidRPr="00CC19F7" w:rsidRDefault="00881E58" w:rsidP="00C0741D">
            <w:pPr>
              <w:jc w:val="right"/>
            </w:pPr>
            <w:r w:rsidRPr="00CC19F7">
              <w:t>152</w:t>
            </w:r>
          </w:p>
        </w:tc>
        <w:tc>
          <w:tcPr>
            <w:tcW w:w="1400" w:type="dxa"/>
            <w:tcBorders>
              <w:top w:val="nil"/>
              <w:left w:val="nil"/>
              <w:bottom w:val="nil"/>
              <w:right w:val="nil"/>
            </w:tcBorders>
            <w:tcMar>
              <w:top w:w="128" w:type="dxa"/>
              <w:left w:w="43" w:type="dxa"/>
              <w:bottom w:w="43" w:type="dxa"/>
              <w:right w:w="43" w:type="dxa"/>
            </w:tcMar>
            <w:vAlign w:val="bottom"/>
          </w:tcPr>
          <w:p w14:paraId="77253672" w14:textId="77777777" w:rsidR="00FE02EF" w:rsidRPr="00CC19F7" w:rsidRDefault="00881E58" w:rsidP="00C0741D">
            <w:pPr>
              <w:jc w:val="right"/>
            </w:pPr>
            <w:r w:rsidRPr="00CC19F7">
              <w:t>146</w:t>
            </w:r>
          </w:p>
        </w:tc>
      </w:tr>
      <w:tr w:rsidR="00FE02EF" w:rsidRPr="00CC19F7" w14:paraId="62DA5F7B" w14:textId="77777777" w:rsidTr="00C0741D">
        <w:trPr>
          <w:trHeight w:val="380"/>
        </w:trPr>
        <w:tc>
          <w:tcPr>
            <w:tcW w:w="6740" w:type="dxa"/>
            <w:tcBorders>
              <w:top w:val="nil"/>
              <w:left w:val="nil"/>
              <w:bottom w:val="single" w:sz="4" w:space="0" w:color="000000"/>
              <w:right w:val="nil"/>
            </w:tcBorders>
            <w:tcMar>
              <w:top w:w="128" w:type="dxa"/>
              <w:left w:w="43" w:type="dxa"/>
              <w:bottom w:w="43" w:type="dxa"/>
              <w:right w:w="43" w:type="dxa"/>
            </w:tcMar>
          </w:tcPr>
          <w:p w14:paraId="3C81B7EB" w14:textId="77777777" w:rsidR="00FE02EF" w:rsidRPr="00CC19F7" w:rsidRDefault="00881E58" w:rsidP="00C0741D">
            <w:r w:rsidRPr="00CC19F7">
              <w:t>Postdoktor (årsverk)</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77999C5" w14:textId="77777777" w:rsidR="00FE02EF" w:rsidRPr="00CC19F7" w:rsidRDefault="00881E58" w:rsidP="00C0741D">
            <w:pPr>
              <w:jc w:val="right"/>
            </w:pPr>
            <w:r w:rsidRPr="00CC19F7">
              <w:t>43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F0D0DE1" w14:textId="77777777" w:rsidR="00FE02EF" w:rsidRPr="00CC19F7" w:rsidRDefault="00881E58" w:rsidP="00C0741D">
            <w:pPr>
              <w:jc w:val="right"/>
            </w:pPr>
            <w:r w:rsidRPr="00CC19F7">
              <w:t>42</w:t>
            </w:r>
          </w:p>
        </w:tc>
      </w:tr>
    </w:tbl>
    <w:p w14:paraId="53778650" w14:textId="77777777" w:rsidR="00FE02EF" w:rsidRPr="00CC19F7" w:rsidRDefault="00881E58" w:rsidP="00CC19F7">
      <w:pPr>
        <w:pStyle w:val="avsnitt-under-undertittel"/>
      </w:pPr>
      <w:r w:rsidRPr="00CC19F7">
        <w:t>ENERGIX – stort program energi</w:t>
      </w:r>
    </w:p>
    <w:p w14:paraId="2B688CFF" w14:textId="77777777" w:rsidR="00FE02EF" w:rsidRPr="00CC19F7" w:rsidRDefault="00881E58" w:rsidP="00CC19F7">
      <w:r w:rsidRPr="00CC19F7">
        <w:t xml:space="preserve">I 2022 finansierte programmet 360 </w:t>
      </w:r>
      <w:proofErr w:type="spellStart"/>
      <w:r w:rsidRPr="00CC19F7">
        <w:t>pågåande</w:t>
      </w:r>
      <w:proofErr w:type="spellEnd"/>
      <w:r w:rsidRPr="00CC19F7">
        <w:t xml:space="preserve"> prosjekt med totalt 485 mill. kroner, av det omkring 395 mill. kroner </w:t>
      </w:r>
      <w:proofErr w:type="spellStart"/>
      <w:r w:rsidRPr="00CC19F7">
        <w:t>frå</w:t>
      </w:r>
      <w:proofErr w:type="spellEnd"/>
      <w:r w:rsidRPr="00CC19F7">
        <w:t xml:space="preserve"> Olje- og energidepartementet.</w:t>
      </w:r>
    </w:p>
    <w:p w14:paraId="64F5D59F" w14:textId="77777777" w:rsidR="00FE02EF" w:rsidRPr="00CC19F7" w:rsidRDefault="00881E58" w:rsidP="00CC19F7">
      <w:r w:rsidRPr="00CC19F7">
        <w:t xml:space="preserve">Gjennom </w:t>
      </w:r>
      <w:proofErr w:type="spellStart"/>
      <w:r w:rsidRPr="00CC19F7">
        <w:t>utlysingane</w:t>
      </w:r>
      <w:proofErr w:type="spellEnd"/>
      <w:r w:rsidRPr="00CC19F7">
        <w:t xml:space="preserve"> blei det tildelt til </w:t>
      </w:r>
      <w:proofErr w:type="spellStart"/>
      <w:r w:rsidRPr="00CC19F7">
        <w:t>saman</w:t>
      </w:r>
      <w:proofErr w:type="spellEnd"/>
      <w:r w:rsidRPr="00CC19F7">
        <w:t xml:space="preserve"> 536 mill. kroner til 83 nye prosjekt. Av dette gjekk 196 mill. kroner til innovasjonsprosjekt i næringslivet. </w:t>
      </w:r>
      <w:proofErr w:type="spellStart"/>
      <w:r w:rsidRPr="00CC19F7">
        <w:t>Talet</w:t>
      </w:r>
      <w:proofErr w:type="spellEnd"/>
      <w:r w:rsidRPr="00CC19F7">
        <w:t xml:space="preserve"> på søknader var i 2022 </w:t>
      </w:r>
      <w:proofErr w:type="spellStart"/>
      <w:r w:rsidRPr="00CC19F7">
        <w:t>noko</w:t>
      </w:r>
      <w:proofErr w:type="spellEnd"/>
      <w:r w:rsidRPr="00CC19F7">
        <w:t xml:space="preserve"> </w:t>
      </w:r>
      <w:proofErr w:type="spellStart"/>
      <w:r w:rsidRPr="00CC19F7">
        <w:t>lågare</w:t>
      </w:r>
      <w:proofErr w:type="spellEnd"/>
      <w:r w:rsidRPr="00CC19F7">
        <w:t xml:space="preserve"> enn i 2021, og det var søknader knytte til innovasjonsprosjekt som gjekk ned. Søknadene held jamt over </w:t>
      </w:r>
      <w:proofErr w:type="spellStart"/>
      <w:r w:rsidRPr="00CC19F7">
        <w:t>høg</w:t>
      </w:r>
      <w:proofErr w:type="spellEnd"/>
      <w:r w:rsidRPr="00CC19F7">
        <w:t xml:space="preserve"> kvalitet.</w:t>
      </w:r>
    </w:p>
    <w:p w14:paraId="46111D70" w14:textId="77777777" w:rsidR="00FE02EF" w:rsidRPr="00CC19F7" w:rsidRDefault="00881E58" w:rsidP="00CC19F7">
      <w:r w:rsidRPr="00CC19F7">
        <w:t xml:space="preserve">Fornybar energi (vasskraft, havvind og solkraft) er viktige </w:t>
      </w:r>
      <w:proofErr w:type="spellStart"/>
      <w:r w:rsidRPr="00CC19F7">
        <w:t>prioriteringar</w:t>
      </w:r>
      <w:proofErr w:type="spellEnd"/>
      <w:r w:rsidRPr="00CC19F7">
        <w:t xml:space="preserve"> i Energi21-strategien, og porteføljen av prosjekt i ENERGIX </w:t>
      </w:r>
      <w:proofErr w:type="spellStart"/>
      <w:r w:rsidRPr="00CC19F7">
        <w:t>speglar</w:t>
      </w:r>
      <w:proofErr w:type="spellEnd"/>
      <w:r w:rsidRPr="00CC19F7">
        <w:t xml:space="preserve"> dette. I 2022 finansierte ENERGIX prosjekt for totalt 103 mill. kroner </w:t>
      </w:r>
      <w:proofErr w:type="spellStart"/>
      <w:r w:rsidRPr="00CC19F7">
        <w:t>innan</w:t>
      </w:r>
      <w:proofErr w:type="spellEnd"/>
      <w:r w:rsidRPr="00CC19F7">
        <w:t xml:space="preserve"> temaet fornybar energi, av det gjekk 45 mill. kroner til havvindprosjekt. Havvindporteføljen har </w:t>
      </w:r>
      <w:proofErr w:type="spellStart"/>
      <w:r w:rsidRPr="00CC19F7">
        <w:t>eit</w:t>
      </w:r>
      <w:proofErr w:type="spellEnd"/>
      <w:r w:rsidRPr="00CC19F7">
        <w:t xml:space="preserve"> tyngdepunkt </w:t>
      </w:r>
      <w:proofErr w:type="spellStart"/>
      <w:r w:rsidRPr="00CC19F7">
        <w:t>innan</w:t>
      </w:r>
      <w:proofErr w:type="spellEnd"/>
      <w:r w:rsidRPr="00CC19F7">
        <w:t xml:space="preserve"> fundamentering og installasjon, men </w:t>
      </w:r>
      <w:proofErr w:type="spellStart"/>
      <w:r w:rsidRPr="00CC19F7">
        <w:t>femner</w:t>
      </w:r>
      <w:proofErr w:type="spellEnd"/>
      <w:r w:rsidRPr="00CC19F7">
        <w:t xml:space="preserve"> også </w:t>
      </w:r>
      <w:proofErr w:type="spellStart"/>
      <w:r w:rsidRPr="00CC19F7">
        <w:t>miljøkonsekvensar</w:t>
      </w:r>
      <w:proofErr w:type="spellEnd"/>
      <w:r w:rsidRPr="00CC19F7">
        <w:t xml:space="preserve">, kartlegging av </w:t>
      </w:r>
      <w:proofErr w:type="spellStart"/>
      <w:r w:rsidRPr="00CC19F7">
        <w:t>ressursar</w:t>
      </w:r>
      <w:proofErr w:type="spellEnd"/>
      <w:r w:rsidRPr="00CC19F7">
        <w:t xml:space="preserve">, utbygging, infrastruktur og juridiske </w:t>
      </w:r>
      <w:proofErr w:type="spellStart"/>
      <w:r w:rsidRPr="00CC19F7">
        <w:t>problemstillingar</w:t>
      </w:r>
      <w:proofErr w:type="spellEnd"/>
      <w:r w:rsidRPr="00CC19F7">
        <w:t>.</w:t>
      </w:r>
    </w:p>
    <w:p w14:paraId="19A32203" w14:textId="77777777" w:rsidR="00FE02EF" w:rsidRPr="00CC19F7" w:rsidRDefault="00881E58" w:rsidP="00CC19F7">
      <w:pPr>
        <w:pStyle w:val="tittel-ramme"/>
      </w:pPr>
      <w:r w:rsidRPr="00CC19F7">
        <w:t xml:space="preserve">Utvikling av kostnadseffektive </w:t>
      </w:r>
      <w:proofErr w:type="spellStart"/>
      <w:r w:rsidRPr="00CC19F7">
        <w:t>undersøkingsmetodar</w:t>
      </w:r>
      <w:proofErr w:type="spellEnd"/>
      <w:r w:rsidRPr="00CC19F7">
        <w:t xml:space="preserve"> av havbotnen ved planlegging for </w:t>
      </w:r>
      <w:proofErr w:type="spellStart"/>
      <w:r w:rsidRPr="00CC19F7">
        <w:t>havvindparkar</w:t>
      </w:r>
      <w:proofErr w:type="spellEnd"/>
    </w:p>
    <w:p w14:paraId="225C9C24" w14:textId="77777777" w:rsidR="00FE02EF" w:rsidRPr="00CC19F7" w:rsidRDefault="00881E58" w:rsidP="00CC19F7">
      <w:r w:rsidRPr="00CA1D23">
        <w:rPr>
          <w:lang w:val="en-US"/>
        </w:rPr>
        <w:t xml:space="preserve">Prosjektet 4SWIND (Advancing seismic seabed survey techniques and optimizing site selection for offshore wind farms) vart i 2022 tildelt 11,8 mill. kroner frå ENERGIX for perioden 2023–2027. </w:t>
      </w:r>
      <w:r w:rsidRPr="00CC19F7">
        <w:t xml:space="preserve">Forskingsprosjektet blir leia av UiB og har som overordna mål å </w:t>
      </w:r>
      <w:proofErr w:type="spellStart"/>
      <w:r w:rsidRPr="00CC19F7">
        <w:t>forbetra</w:t>
      </w:r>
      <w:proofErr w:type="spellEnd"/>
      <w:r w:rsidRPr="00CC19F7">
        <w:t xml:space="preserve"> og utvikla nye </w:t>
      </w:r>
      <w:proofErr w:type="spellStart"/>
      <w:r w:rsidRPr="00CC19F7">
        <w:t>metodar</w:t>
      </w:r>
      <w:proofErr w:type="spellEnd"/>
      <w:r w:rsidRPr="00CC19F7">
        <w:t xml:space="preserve"> for integrerte </w:t>
      </w:r>
      <w:proofErr w:type="spellStart"/>
      <w:r w:rsidRPr="00CC19F7">
        <w:t>undersøkingar</w:t>
      </w:r>
      <w:proofErr w:type="spellEnd"/>
      <w:r w:rsidRPr="00CC19F7">
        <w:t xml:space="preserve"> for store havvindområde for å bidra til </w:t>
      </w:r>
      <w:proofErr w:type="spellStart"/>
      <w:r w:rsidRPr="00CC19F7">
        <w:t>raskare</w:t>
      </w:r>
      <w:proofErr w:type="spellEnd"/>
      <w:r w:rsidRPr="00CC19F7">
        <w:t xml:space="preserve"> og betre planlegging og </w:t>
      </w:r>
      <w:proofErr w:type="spellStart"/>
      <w:r w:rsidRPr="00CC19F7">
        <w:t>meir</w:t>
      </w:r>
      <w:proofErr w:type="spellEnd"/>
      <w:r w:rsidRPr="00CC19F7">
        <w:t xml:space="preserve"> kostnadseffektiv måte å </w:t>
      </w:r>
      <w:proofErr w:type="spellStart"/>
      <w:r w:rsidRPr="00CC19F7">
        <w:t>byggja</w:t>
      </w:r>
      <w:proofErr w:type="spellEnd"/>
      <w:r w:rsidRPr="00CC19F7">
        <w:t xml:space="preserve"> ut </w:t>
      </w:r>
      <w:proofErr w:type="spellStart"/>
      <w:r w:rsidRPr="00CC19F7">
        <w:t>havvindparkar</w:t>
      </w:r>
      <w:proofErr w:type="spellEnd"/>
      <w:r w:rsidRPr="00CC19F7">
        <w:t xml:space="preserve"> på. Dette er viktig for realisering av havvind, då så </w:t>
      </w:r>
      <w:proofErr w:type="spellStart"/>
      <w:r w:rsidRPr="00CC19F7">
        <w:t>mykje</w:t>
      </w:r>
      <w:proofErr w:type="spellEnd"/>
      <w:r w:rsidRPr="00CC19F7">
        <w:t xml:space="preserve"> som 20–30 prosent av investeringskostnadene er relaterte til fundamenteringa. Basert på </w:t>
      </w:r>
      <w:proofErr w:type="spellStart"/>
      <w:r w:rsidRPr="00CC19F7">
        <w:t>tilgjengeleg</w:t>
      </w:r>
      <w:proofErr w:type="spellEnd"/>
      <w:r w:rsidRPr="00CC19F7">
        <w:t xml:space="preserve"> og nye geologiske, geofysiske og geotekniske data vil det bli utvikla detaljerte konseptuelle </w:t>
      </w:r>
      <w:proofErr w:type="spellStart"/>
      <w:r w:rsidRPr="00CC19F7">
        <w:t>modellar</w:t>
      </w:r>
      <w:proofErr w:type="spellEnd"/>
      <w:r w:rsidRPr="00CC19F7">
        <w:t xml:space="preserve"> for havvindområda Utsira Nord og </w:t>
      </w:r>
      <w:proofErr w:type="spellStart"/>
      <w:r w:rsidRPr="00CC19F7">
        <w:t>Sørlege</w:t>
      </w:r>
      <w:proofErr w:type="spellEnd"/>
      <w:r w:rsidRPr="00CC19F7">
        <w:t xml:space="preserve"> </w:t>
      </w:r>
      <w:proofErr w:type="spellStart"/>
      <w:r w:rsidRPr="00CC19F7">
        <w:t>Nordsjø</w:t>
      </w:r>
      <w:proofErr w:type="spellEnd"/>
      <w:r w:rsidRPr="00CC19F7">
        <w:t xml:space="preserve"> II.</w:t>
      </w:r>
    </w:p>
    <w:p w14:paraId="55DEDCC1" w14:textId="77777777" w:rsidR="00FE02EF" w:rsidRPr="00CC19F7" w:rsidRDefault="00881E58" w:rsidP="00CC19F7">
      <w:pPr>
        <w:pStyle w:val="Ramme-slutt"/>
      </w:pPr>
      <w:r w:rsidRPr="00CC19F7">
        <w:t>[Boks slutt]</w:t>
      </w:r>
    </w:p>
    <w:p w14:paraId="61C7C37C" w14:textId="77777777" w:rsidR="00FE02EF" w:rsidRPr="00CC19F7" w:rsidRDefault="00881E58" w:rsidP="00CC19F7">
      <w:pPr>
        <w:pStyle w:val="tittel-ramme"/>
      </w:pPr>
      <w:r w:rsidRPr="00CC19F7">
        <w:t xml:space="preserve">Prosjekt for utvikling av </w:t>
      </w:r>
      <w:proofErr w:type="spellStart"/>
      <w:r w:rsidRPr="00CC19F7">
        <w:t>særleg</w:t>
      </w:r>
      <w:proofErr w:type="spellEnd"/>
      <w:r w:rsidRPr="00CC19F7">
        <w:t xml:space="preserve"> store </w:t>
      </w:r>
      <w:proofErr w:type="spellStart"/>
      <w:r w:rsidRPr="00CC19F7">
        <w:t>rotorar</w:t>
      </w:r>
      <w:proofErr w:type="spellEnd"/>
      <w:r w:rsidRPr="00CC19F7">
        <w:t xml:space="preserve"> med mål om kostnadsreduksjon for </w:t>
      </w:r>
      <w:proofErr w:type="spellStart"/>
      <w:r w:rsidRPr="00CC19F7">
        <w:t>flytande</w:t>
      </w:r>
      <w:proofErr w:type="spellEnd"/>
      <w:r w:rsidRPr="00CC19F7">
        <w:t xml:space="preserve"> havvind</w:t>
      </w:r>
    </w:p>
    <w:p w14:paraId="47A3510D" w14:textId="77777777" w:rsidR="00FE02EF" w:rsidRPr="00CC19F7" w:rsidRDefault="00881E58" w:rsidP="00CC19F7">
      <w:r w:rsidRPr="00CA1D23">
        <w:rPr>
          <w:lang w:val="en-US"/>
        </w:rPr>
        <w:t xml:space="preserve">Prosjektet UPSCALE – Building knowledge on the future generation of floating substructures for very large rotors – er tildelt 12,2 mill. kroner frå ENERGIX for perioden 2020–2023. </w:t>
      </w:r>
      <w:r w:rsidRPr="00CC19F7">
        <w:t xml:space="preserve">IFE </w:t>
      </w:r>
      <w:proofErr w:type="spellStart"/>
      <w:r w:rsidRPr="00CC19F7">
        <w:t>leiar</w:t>
      </w:r>
      <w:proofErr w:type="spellEnd"/>
      <w:r w:rsidRPr="00CC19F7">
        <w:t xml:space="preserve"> prosjektet, som har som mål å bygge nødvendig kompetanse for neste generasjons enda større </w:t>
      </w:r>
      <w:proofErr w:type="spellStart"/>
      <w:r w:rsidRPr="00CC19F7">
        <w:t>vindturbinar</w:t>
      </w:r>
      <w:proofErr w:type="spellEnd"/>
      <w:r w:rsidRPr="00CC19F7">
        <w:t xml:space="preserve">. Store </w:t>
      </w:r>
      <w:proofErr w:type="spellStart"/>
      <w:r w:rsidRPr="00CC19F7">
        <w:t>rotorar</w:t>
      </w:r>
      <w:proofErr w:type="spellEnd"/>
      <w:r w:rsidRPr="00CC19F7">
        <w:t xml:space="preserve"> betyr færre </w:t>
      </w:r>
      <w:proofErr w:type="spellStart"/>
      <w:r w:rsidRPr="00CC19F7">
        <w:t>einingar</w:t>
      </w:r>
      <w:proofErr w:type="spellEnd"/>
      <w:r w:rsidRPr="00CC19F7">
        <w:t xml:space="preserve"> å installere og </w:t>
      </w:r>
      <w:proofErr w:type="spellStart"/>
      <w:r w:rsidRPr="00CC19F7">
        <w:t>halde</w:t>
      </w:r>
      <w:proofErr w:type="spellEnd"/>
      <w:r w:rsidRPr="00CC19F7">
        <w:t xml:space="preserve"> ved like og er dermed </w:t>
      </w:r>
      <w:proofErr w:type="spellStart"/>
      <w:r w:rsidRPr="00CC19F7">
        <w:t>kostnadsreduserande</w:t>
      </w:r>
      <w:proofErr w:type="spellEnd"/>
      <w:r w:rsidRPr="00CC19F7">
        <w:t xml:space="preserve">. Prosjektet skal utarbeide referansedesign av </w:t>
      </w:r>
      <w:proofErr w:type="spellStart"/>
      <w:r w:rsidRPr="00CC19F7">
        <w:t>ein</w:t>
      </w:r>
      <w:proofErr w:type="spellEnd"/>
      <w:r w:rsidRPr="00CC19F7">
        <w:t xml:space="preserve"> realistisk 25 MW turbin på halvt nedsenka understell, førebu verktøy som </w:t>
      </w:r>
      <w:proofErr w:type="spellStart"/>
      <w:r w:rsidRPr="00CC19F7">
        <w:t>gjer</w:t>
      </w:r>
      <w:proofErr w:type="spellEnd"/>
      <w:r w:rsidRPr="00CC19F7">
        <w:t xml:space="preserve"> det </w:t>
      </w:r>
      <w:proofErr w:type="spellStart"/>
      <w:r w:rsidRPr="00CC19F7">
        <w:t>mogleg</w:t>
      </w:r>
      <w:proofErr w:type="spellEnd"/>
      <w:r w:rsidRPr="00CC19F7">
        <w:t xml:space="preserve"> å simulere og designe neste generasjons </w:t>
      </w:r>
      <w:proofErr w:type="spellStart"/>
      <w:r w:rsidRPr="00CC19F7">
        <w:t>flytande</w:t>
      </w:r>
      <w:proofErr w:type="spellEnd"/>
      <w:r w:rsidRPr="00CC19F7">
        <w:t xml:space="preserve"> </w:t>
      </w:r>
      <w:proofErr w:type="spellStart"/>
      <w:r w:rsidRPr="00CC19F7">
        <w:t>vindturbinar</w:t>
      </w:r>
      <w:proofErr w:type="spellEnd"/>
      <w:r w:rsidRPr="00CC19F7">
        <w:t xml:space="preserve"> og </w:t>
      </w:r>
      <w:proofErr w:type="spellStart"/>
      <w:r w:rsidRPr="00CC19F7">
        <w:t>dessutan</w:t>
      </w:r>
      <w:proofErr w:type="spellEnd"/>
      <w:r w:rsidRPr="00CC19F7">
        <w:t xml:space="preserve"> utvikle </w:t>
      </w:r>
      <w:proofErr w:type="spellStart"/>
      <w:r w:rsidRPr="00CC19F7">
        <w:t>ein</w:t>
      </w:r>
      <w:proofErr w:type="spellEnd"/>
      <w:r w:rsidRPr="00CC19F7">
        <w:t xml:space="preserve"> ny type kontrollsystem som </w:t>
      </w:r>
      <w:proofErr w:type="spellStart"/>
      <w:r w:rsidRPr="00CC19F7">
        <w:t>mogleggjer</w:t>
      </w:r>
      <w:proofErr w:type="spellEnd"/>
      <w:r w:rsidRPr="00CC19F7">
        <w:t xml:space="preserve"> og reduserer </w:t>
      </w:r>
      <w:proofErr w:type="spellStart"/>
      <w:r w:rsidRPr="00CC19F7">
        <w:t>lastane</w:t>
      </w:r>
      <w:proofErr w:type="spellEnd"/>
      <w:r w:rsidRPr="00CC19F7">
        <w:t xml:space="preserve"> på neste generasjon </w:t>
      </w:r>
      <w:proofErr w:type="spellStart"/>
      <w:r w:rsidRPr="00CC19F7">
        <w:t>flytande</w:t>
      </w:r>
      <w:proofErr w:type="spellEnd"/>
      <w:r w:rsidRPr="00CC19F7">
        <w:t xml:space="preserve"> </w:t>
      </w:r>
      <w:proofErr w:type="spellStart"/>
      <w:r w:rsidRPr="00CC19F7">
        <w:t>vindturbinar</w:t>
      </w:r>
      <w:proofErr w:type="spellEnd"/>
      <w:r w:rsidRPr="00CC19F7">
        <w:t>.</w:t>
      </w:r>
    </w:p>
    <w:p w14:paraId="5F6933DE" w14:textId="77777777" w:rsidR="00FE02EF" w:rsidRPr="00CC19F7" w:rsidRDefault="00881E58" w:rsidP="00CC19F7">
      <w:pPr>
        <w:pStyle w:val="Ramme-slutt"/>
      </w:pPr>
      <w:r w:rsidRPr="00CC19F7">
        <w:t>[Boks slutt]</w:t>
      </w:r>
    </w:p>
    <w:p w14:paraId="61F7A4D0" w14:textId="77777777" w:rsidR="00FE02EF" w:rsidRPr="00CC19F7" w:rsidRDefault="00881E58" w:rsidP="00CC19F7">
      <w:r w:rsidRPr="00CC19F7">
        <w:t xml:space="preserve">Porteføljen </w:t>
      </w:r>
      <w:proofErr w:type="spellStart"/>
      <w:r w:rsidRPr="00CC19F7">
        <w:t>innan</w:t>
      </w:r>
      <w:proofErr w:type="spellEnd"/>
      <w:r w:rsidRPr="00CC19F7">
        <w:t xml:space="preserve"> Energidistribusjon (</w:t>
      </w:r>
      <w:proofErr w:type="spellStart"/>
      <w:r w:rsidRPr="00CC19F7">
        <w:t>eit</w:t>
      </w:r>
      <w:proofErr w:type="spellEnd"/>
      <w:r w:rsidRPr="00CC19F7">
        <w:t xml:space="preserve"> integrert og digitalisert straumnett) er innretta mot å knyte </w:t>
      </w:r>
      <w:proofErr w:type="spellStart"/>
      <w:r w:rsidRPr="00CC19F7">
        <w:t>saman</w:t>
      </w:r>
      <w:proofErr w:type="spellEnd"/>
      <w:r w:rsidRPr="00CC19F7">
        <w:t xml:space="preserve"> </w:t>
      </w:r>
      <w:proofErr w:type="spellStart"/>
      <w:r w:rsidRPr="00CC19F7">
        <w:t>brukarar</w:t>
      </w:r>
      <w:proofErr w:type="spellEnd"/>
      <w:r w:rsidRPr="00CC19F7">
        <w:t xml:space="preserve"> og </w:t>
      </w:r>
      <w:proofErr w:type="spellStart"/>
      <w:r w:rsidRPr="00CC19F7">
        <w:t>produsentar</w:t>
      </w:r>
      <w:proofErr w:type="spellEnd"/>
      <w:r w:rsidRPr="00CC19F7">
        <w:t xml:space="preserve"> av energi og energirelaterte </w:t>
      </w:r>
      <w:proofErr w:type="spellStart"/>
      <w:r w:rsidRPr="00CC19F7">
        <w:t>tenester</w:t>
      </w:r>
      <w:proofErr w:type="spellEnd"/>
      <w:r w:rsidRPr="00CC19F7">
        <w:t xml:space="preserve"> på </w:t>
      </w:r>
      <w:proofErr w:type="spellStart"/>
      <w:r w:rsidRPr="00CC19F7">
        <w:t>ein</w:t>
      </w:r>
      <w:proofErr w:type="spellEnd"/>
      <w:r w:rsidRPr="00CC19F7">
        <w:t xml:space="preserve"> sikker, </w:t>
      </w:r>
      <w:proofErr w:type="gramStart"/>
      <w:r w:rsidRPr="00CC19F7">
        <w:t>robust</w:t>
      </w:r>
      <w:proofErr w:type="gramEnd"/>
      <w:r w:rsidRPr="00CC19F7">
        <w:t xml:space="preserve"> og effektiv måte. For ENERGIX og FME-en CINELDI var den samla tildelinga på 119 mill. kroner i 2022.</w:t>
      </w:r>
    </w:p>
    <w:p w14:paraId="747A9F3E" w14:textId="77777777" w:rsidR="00FE02EF" w:rsidRPr="00CC19F7" w:rsidRDefault="00881E58" w:rsidP="00CC19F7">
      <w:pPr>
        <w:pStyle w:val="tittel-ramme"/>
      </w:pPr>
      <w:r w:rsidRPr="00CC19F7">
        <w:t xml:space="preserve">Korleis forsking kan føre til </w:t>
      </w:r>
      <w:proofErr w:type="spellStart"/>
      <w:r w:rsidRPr="00CC19F7">
        <w:t>innovasjonar</w:t>
      </w:r>
      <w:proofErr w:type="spellEnd"/>
      <w:r w:rsidRPr="00CC19F7">
        <w:t xml:space="preserve"> der </w:t>
      </w:r>
      <w:proofErr w:type="spellStart"/>
      <w:r w:rsidRPr="00CC19F7">
        <w:t>aktørane</w:t>
      </w:r>
      <w:proofErr w:type="spellEnd"/>
      <w:r w:rsidRPr="00CC19F7">
        <w:t xml:space="preserve"> bidrar til å balansere frekvensen på kraftnettet</w:t>
      </w:r>
    </w:p>
    <w:p w14:paraId="1F3C0C01" w14:textId="77777777" w:rsidR="00FE02EF" w:rsidRPr="00CC19F7" w:rsidRDefault="00881E58" w:rsidP="00CC19F7">
      <w:r w:rsidRPr="00CC19F7">
        <w:t xml:space="preserve">Prosjektet FLEX-E, effektiv fleksibilitetsaggregering for </w:t>
      </w:r>
      <w:proofErr w:type="spellStart"/>
      <w:r w:rsidRPr="00CC19F7">
        <w:t>næringsmarknaden</w:t>
      </w:r>
      <w:proofErr w:type="spellEnd"/>
      <w:r w:rsidRPr="00CC19F7">
        <w:t xml:space="preserve">, som blir leia av </w:t>
      </w:r>
      <w:proofErr w:type="spellStart"/>
      <w:r w:rsidRPr="00CC19F7">
        <w:t>Eviny</w:t>
      </w:r>
      <w:proofErr w:type="spellEnd"/>
      <w:r w:rsidRPr="00CC19F7">
        <w:t xml:space="preserve">, blei i 2022 tildelt 20 mill. kroner </w:t>
      </w:r>
      <w:proofErr w:type="spellStart"/>
      <w:r w:rsidRPr="00CC19F7">
        <w:t>frå</w:t>
      </w:r>
      <w:proofErr w:type="spellEnd"/>
      <w:r w:rsidRPr="00CC19F7">
        <w:t xml:space="preserve"> ENERGIX for perioden 2023–2025 gjennom PILOT-E-ordninga. Stadig </w:t>
      </w:r>
      <w:proofErr w:type="spellStart"/>
      <w:r w:rsidRPr="00CC19F7">
        <w:t>aukande</w:t>
      </w:r>
      <w:proofErr w:type="spellEnd"/>
      <w:r w:rsidRPr="00CC19F7">
        <w:t xml:space="preserve"> forbruk og </w:t>
      </w:r>
      <w:proofErr w:type="spellStart"/>
      <w:r w:rsidRPr="00CC19F7">
        <w:t>meir</w:t>
      </w:r>
      <w:proofErr w:type="spellEnd"/>
      <w:r w:rsidRPr="00CC19F7">
        <w:t xml:space="preserve"> </w:t>
      </w:r>
      <w:proofErr w:type="spellStart"/>
      <w:r w:rsidRPr="00CC19F7">
        <w:t>ikkje</w:t>
      </w:r>
      <w:proofErr w:type="spellEnd"/>
      <w:r w:rsidRPr="00CC19F7">
        <w:t xml:space="preserve">-regulerbar kraft </w:t>
      </w:r>
      <w:proofErr w:type="spellStart"/>
      <w:r w:rsidRPr="00CC19F7">
        <w:t>frå</w:t>
      </w:r>
      <w:proofErr w:type="spellEnd"/>
      <w:r w:rsidRPr="00CC19F7">
        <w:t xml:space="preserve"> vind og sol </w:t>
      </w:r>
      <w:proofErr w:type="spellStart"/>
      <w:r w:rsidRPr="00CC19F7">
        <w:t>aukar</w:t>
      </w:r>
      <w:proofErr w:type="spellEnd"/>
      <w:r w:rsidRPr="00CC19F7">
        <w:t xml:space="preserve"> belastninga på nettet og kan skape ubalanse i kraftsystemet. Bruk av fleksibilitet på tvers av </w:t>
      </w:r>
      <w:proofErr w:type="spellStart"/>
      <w:r w:rsidRPr="00CC19F7">
        <w:t>energiressursar</w:t>
      </w:r>
      <w:proofErr w:type="spellEnd"/>
      <w:r w:rsidRPr="00CC19F7">
        <w:t xml:space="preserve"> kan bidra til å balansere frekvensen på nettet og </w:t>
      </w:r>
      <w:proofErr w:type="spellStart"/>
      <w:r w:rsidRPr="00CC19F7">
        <w:t>dessutan</w:t>
      </w:r>
      <w:proofErr w:type="spellEnd"/>
      <w:r w:rsidRPr="00CC19F7">
        <w:t xml:space="preserve"> optimalisere utnyttinga av nettet. FLEX-E tar for seg effektiv fleksibilitetsaggregering for </w:t>
      </w:r>
      <w:proofErr w:type="spellStart"/>
      <w:r w:rsidRPr="00CC19F7">
        <w:t>næringsmarknaden</w:t>
      </w:r>
      <w:proofErr w:type="spellEnd"/>
      <w:r w:rsidRPr="00CC19F7">
        <w:t xml:space="preserve"> og dekker fleksibilitet </w:t>
      </w:r>
      <w:proofErr w:type="spellStart"/>
      <w:r w:rsidRPr="00CC19F7">
        <w:t>innan</w:t>
      </w:r>
      <w:proofErr w:type="spellEnd"/>
      <w:r w:rsidRPr="00CC19F7">
        <w:t xml:space="preserve"> landtransport, næringsbygg og maritim transport. Prosjektkonsortiet </w:t>
      </w:r>
      <w:proofErr w:type="spellStart"/>
      <w:r w:rsidRPr="00CC19F7">
        <w:t>omfattar</w:t>
      </w:r>
      <w:proofErr w:type="spellEnd"/>
      <w:r w:rsidRPr="00CC19F7">
        <w:t xml:space="preserve"> heile </w:t>
      </w:r>
      <w:proofErr w:type="spellStart"/>
      <w:r w:rsidRPr="00CC19F7">
        <w:t>verdikjeda</w:t>
      </w:r>
      <w:proofErr w:type="spellEnd"/>
      <w:r w:rsidRPr="00CC19F7">
        <w:t xml:space="preserve"> </w:t>
      </w:r>
      <w:proofErr w:type="spellStart"/>
      <w:r w:rsidRPr="00CC19F7">
        <w:t>frå</w:t>
      </w:r>
      <w:proofErr w:type="spellEnd"/>
      <w:r w:rsidRPr="00CC19F7">
        <w:t xml:space="preserve"> </w:t>
      </w:r>
      <w:proofErr w:type="spellStart"/>
      <w:r w:rsidRPr="00CC19F7">
        <w:t>eigarane</w:t>
      </w:r>
      <w:proofErr w:type="spellEnd"/>
      <w:r w:rsidRPr="00CC19F7">
        <w:t xml:space="preserve"> av </w:t>
      </w:r>
      <w:proofErr w:type="spellStart"/>
      <w:r w:rsidRPr="00CC19F7">
        <w:t>energiressursane</w:t>
      </w:r>
      <w:proofErr w:type="spellEnd"/>
      <w:r w:rsidRPr="00CC19F7">
        <w:t xml:space="preserve"> til </w:t>
      </w:r>
      <w:proofErr w:type="spellStart"/>
      <w:r w:rsidRPr="00CC19F7">
        <w:t>dei</w:t>
      </w:r>
      <w:proofErr w:type="spellEnd"/>
      <w:r w:rsidRPr="00CC19F7">
        <w:t xml:space="preserve"> </w:t>
      </w:r>
      <w:proofErr w:type="spellStart"/>
      <w:r w:rsidRPr="00CC19F7">
        <w:t>balanseansvarlege</w:t>
      </w:r>
      <w:proofErr w:type="spellEnd"/>
      <w:r w:rsidRPr="00CC19F7">
        <w:t xml:space="preserve">. FLEX-E skal realisere </w:t>
      </w:r>
      <w:proofErr w:type="spellStart"/>
      <w:r w:rsidRPr="00CC19F7">
        <w:t>løysingar</w:t>
      </w:r>
      <w:proofErr w:type="spellEnd"/>
      <w:r w:rsidRPr="00CC19F7">
        <w:t xml:space="preserve"> som aggregerer ulike </w:t>
      </w:r>
      <w:proofErr w:type="spellStart"/>
      <w:r w:rsidRPr="00CC19F7">
        <w:t>typar</w:t>
      </w:r>
      <w:proofErr w:type="spellEnd"/>
      <w:r w:rsidRPr="00CC19F7">
        <w:t xml:space="preserve"> </w:t>
      </w:r>
      <w:proofErr w:type="spellStart"/>
      <w:r w:rsidRPr="00CC19F7">
        <w:t>energiressursar</w:t>
      </w:r>
      <w:proofErr w:type="spellEnd"/>
      <w:r w:rsidRPr="00CC19F7">
        <w:t xml:space="preserve">, og utvikle og verifisere ei digital plattform for aggregering. Det skal teste og verifisere </w:t>
      </w:r>
      <w:proofErr w:type="spellStart"/>
      <w:r w:rsidRPr="00CC19F7">
        <w:t>ein</w:t>
      </w:r>
      <w:proofErr w:type="spellEnd"/>
      <w:r w:rsidRPr="00CC19F7">
        <w:t xml:space="preserve"> forretningsmodell for aggregering i heile </w:t>
      </w:r>
      <w:proofErr w:type="spellStart"/>
      <w:r w:rsidRPr="00CC19F7">
        <w:t>verdikjeda</w:t>
      </w:r>
      <w:proofErr w:type="spellEnd"/>
      <w:r w:rsidRPr="00CC19F7">
        <w:t xml:space="preserve"> og demonstrere at nye </w:t>
      </w:r>
      <w:proofErr w:type="spellStart"/>
      <w:r w:rsidRPr="00CC19F7">
        <w:t>aktørar</w:t>
      </w:r>
      <w:proofErr w:type="spellEnd"/>
      <w:r w:rsidRPr="00CC19F7">
        <w:t xml:space="preserve"> </w:t>
      </w:r>
      <w:proofErr w:type="spellStart"/>
      <w:r w:rsidRPr="00CC19F7">
        <w:t>utan</w:t>
      </w:r>
      <w:proofErr w:type="spellEnd"/>
      <w:r w:rsidRPr="00CC19F7">
        <w:t xml:space="preserve"> </w:t>
      </w:r>
      <w:proofErr w:type="spellStart"/>
      <w:r w:rsidRPr="00CC19F7">
        <w:t>forkunnskapar</w:t>
      </w:r>
      <w:proofErr w:type="spellEnd"/>
      <w:r w:rsidRPr="00CC19F7">
        <w:t xml:space="preserve"> kan bidra i </w:t>
      </w:r>
      <w:proofErr w:type="spellStart"/>
      <w:r w:rsidRPr="00CC19F7">
        <w:t>fleksibilitetsmarknader</w:t>
      </w:r>
      <w:proofErr w:type="spellEnd"/>
      <w:r w:rsidRPr="00CC19F7">
        <w:t xml:space="preserve"> via </w:t>
      </w:r>
      <w:proofErr w:type="spellStart"/>
      <w:r w:rsidRPr="00CC19F7">
        <w:t>ein</w:t>
      </w:r>
      <w:proofErr w:type="spellEnd"/>
      <w:r w:rsidRPr="00CC19F7">
        <w:t xml:space="preserve"> </w:t>
      </w:r>
      <w:proofErr w:type="spellStart"/>
      <w:r w:rsidRPr="00CC19F7">
        <w:t>aggregator</w:t>
      </w:r>
      <w:proofErr w:type="spellEnd"/>
      <w:r w:rsidRPr="00CC19F7">
        <w:t>.</w:t>
      </w:r>
    </w:p>
    <w:p w14:paraId="5DA54D37" w14:textId="77777777" w:rsidR="00FE02EF" w:rsidRPr="00CC19F7" w:rsidRDefault="00881E58" w:rsidP="00CC19F7">
      <w:pPr>
        <w:pStyle w:val="Ramme-slutt"/>
      </w:pPr>
      <w:r w:rsidRPr="00CC19F7">
        <w:t>[Boks slutt]</w:t>
      </w:r>
    </w:p>
    <w:p w14:paraId="2990226E" w14:textId="77777777" w:rsidR="00FE02EF" w:rsidRPr="00CC19F7" w:rsidRDefault="00881E58" w:rsidP="00CC19F7">
      <w:r w:rsidRPr="00CC19F7">
        <w:t xml:space="preserve">Porteføljen </w:t>
      </w:r>
      <w:proofErr w:type="spellStart"/>
      <w:r w:rsidRPr="00CC19F7">
        <w:t>innanfor</w:t>
      </w:r>
      <w:proofErr w:type="spellEnd"/>
      <w:r w:rsidRPr="00CC19F7">
        <w:t xml:space="preserve"> energiomstilling og verknader for samfunn, klima og natur er brei og består i </w:t>
      </w:r>
      <w:proofErr w:type="spellStart"/>
      <w:r w:rsidRPr="00CC19F7">
        <w:t>hovudsak</w:t>
      </w:r>
      <w:proofErr w:type="spellEnd"/>
      <w:r w:rsidRPr="00CC19F7">
        <w:t xml:space="preserve"> av </w:t>
      </w:r>
      <w:proofErr w:type="spellStart"/>
      <w:r w:rsidRPr="00CC19F7">
        <w:t>samfunnsvitskapleg</w:t>
      </w:r>
      <w:proofErr w:type="spellEnd"/>
      <w:r w:rsidRPr="00CC19F7">
        <w:t xml:space="preserve"> energiforsking. Prosjekta har bidratt til å strukturere og heve kvaliteten på norsk </w:t>
      </w:r>
      <w:proofErr w:type="spellStart"/>
      <w:r w:rsidRPr="00CC19F7">
        <w:t>samfunnsvitskapleg</w:t>
      </w:r>
      <w:proofErr w:type="spellEnd"/>
      <w:r w:rsidRPr="00CC19F7">
        <w:t xml:space="preserve"> energiforsking, og det er utvikla </w:t>
      </w:r>
      <w:proofErr w:type="spellStart"/>
      <w:r w:rsidRPr="00CC19F7">
        <w:t>eit</w:t>
      </w:r>
      <w:proofErr w:type="spellEnd"/>
      <w:r w:rsidRPr="00CC19F7">
        <w:t xml:space="preserve"> </w:t>
      </w:r>
      <w:proofErr w:type="spellStart"/>
      <w:r w:rsidRPr="00CC19F7">
        <w:t>tverrfagleg</w:t>
      </w:r>
      <w:proofErr w:type="spellEnd"/>
      <w:r w:rsidRPr="00CC19F7">
        <w:t xml:space="preserve"> samarbeid mellom </w:t>
      </w:r>
      <w:proofErr w:type="spellStart"/>
      <w:r w:rsidRPr="00CC19F7">
        <w:t>samfunnsvitskap</w:t>
      </w:r>
      <w:proofErr w:type="spellEnd"/>
      <w:r w:rsidRPr="00CC19F7">
        <w:t xml:space="preserve"> og teknologi.</w:t>
      </w:r>
    </w:p>
    <w:p w14:paraId="19859B92" w14:textId="77777777" w:rsidR="00FE02EF" w:rsidRPr="00CC19F7" w:rsidRDefault="00881E58" w:rsidP="00CC19F7">
      <w:pPr>
        <w:pStyle w:val="tittel-ramme"/>
      </w:pPr>
      <w:r w:rsidRPr="00CC19F7">
        <w:t>Korleis samfunnsforskinga har bidratt med kunnskap i debatten om energikrisa</w:t>
      </w:r>
    </w:p>
    <w:p w14:paraId="35AE0010" w14:textId="77777777" w:rsidR="00FE02EF" w:rsidRPr="00CC19F7" w:rsidRDefault="00881E58" w:rsidP="00CC19F7">
      <w:r w:rsidRPr="00CC19F7">
        <w:t xml:space="preserve">For forskinga </w:t>
      </w:r>
      <w:proofErr w:type="spellStart"/>
      <w:r w:rsidRPr="00CC19F7">
        <w:t>innanfor</w:t>
      </w:r>
      <w:proofErr w:type="spellEnd"/>
      <w:r w:rsidRPr="00CC19F7">
        <w:t xml:space="preserve"> energi- og klimafeltet var 2022 </w:t>
      </w:r>
      <w:proofErr w:type="spellStart"/>
      <w:r w:rsidRPr="00CC19F7">
        <w:t>eit</w:t>
      </w:r>
      <w:proofErr w:type="spellEnd"/>
      <w:r w:rsidRPr="00CC19F7">
        <w:t xml:space="preserve"> heilt spesielt år, prega av energikrise og </w:t>
      </w:r>
      <w:proofErr w:type="spellStart"/>
      <w:r w:rsidRPr="00CC19F7">
        <w:t>ein</w:t>
      </w:r>
      <w:proofErr w:type="spellEnd"/>
      <w:r w:rsidRPr="00CC19F7">
        <w:t xml:space="preserve"> ny og usikker geopolitisk situasjon. </w:t>
      </w:r>
      <w:proofErr w:type="spellStart"/>
      <w:r w:rsidRPr="00CC19F7">
        <w:t>Forskarar</w:t>
      </w:r>
      <w:proofErr w:type="spellEnd"/>
      <w:r w:rsidRPr="00CC19F7">
        <w:t xml:space="preserve"> </w:t>
      </w:r>
      <w:proofErr w:type="spellStart"/>
      <w:r w:rsidRPr="00CC19F7">
        <w:t>innanfor</w:t>
      </w:r>
      <w:proofErr w:type="spellEnd"/>
      <w:r w:rsidRPr="00CC19F7">
        <w:t xml:space="preserve"> </w:t>
      </w:r>
      <w:proofErr w:type="spellStart"/>
      <w:r w:rsidRPr="00CC19F7">
        <w:t>fleire</w:t>
      </w:r>
      <w:proofErr w:type="spellEnd"/>
      <w:r w:rsidRPr="00CC19F7">
        <w:t xml:space="preserve"> fagfelt har opplevd </w:t>
      </w:r>
      <w:proofErr w:type="spellStart"/>
      <w:r w:rsidRPr="00CC19F7">
        <w:t>ein</w:t>
      </w:r>
      <w:proofErr w:type="spellEnd"/>
      <w:r w:rsidRPr="00CC19F7">
        <w:t xml:space="preserve"> sterk pågang </w:t>
      </w:r>
      <w:proofErr w:type="spellStart"/>
      <w:r w:rsidRPr="00CC19F7">
        <w:t>frå</w:t>
      </w:r>
      <w:proofErr w:type="spellEnd"/>
      <w:r w:rsidRPr="00CC19F7">
        <w:t xml:space="preserve"> media, og ei rekke </w:t>
      </w:r>
      <w:proofErr w:type="spellStart"/>
      <w:r w:rsidRPr="00CC19F7">
        <w:t>forskarar</w:t>
      </w:r>
      <w:proofErr w:type="spellEnd"/>
      <w:r w:rsidRPr="00CC19F7">
        <w:t xml:space="preserve"> har bidratt med kunnskap i samfunnsdebatten om energikrisa. Workshop-serien «Energikrisa i Europa» bestod av seks </w:t>
      </w:r>
      <w:proofErr w:type="spellStart"/>
      <w:r w:rsidRPr="00CC19F7">
        <w:t>workshopar</w:t>
      </w:r>
      <w:proofErr w:type="spellEnd"/>
      <w:r w:rsidRPr="00CC19F7">
        <w:t xml:space="preserve"> og blei koordinert av FME NTRANS og gjennomført i samarbeid med vitskapsakademia og </w:t>
      </w:r>
      <w:proofErr w:type="spellStart"/>
      <w:r w:rsidRPr="00CC19F7">
        <w:t>fleire</w:t>
      </w:r>
      <w:proofErr w:type="spellEnd"/>
      <w:r w:rsidRPr="00CC19F7">
        <w:t xml:space="preserve"> FME-ar. Ei rekke </w:t>
      </w:r>
      <w:proofErr w:type="spellStart"/>
      <w:r w:rsidRPr="00CC19F7">
        <w:t>forskarar</w:t>
      </w:r>
      <w:proofErr w:type="spellEnd"/>
      <w:r w:rsidRPr="00CC19F7">
        <w:t xml:space="preserve"> og </w:t>
      </w:r>
      <w:proofErr w:type="spellStart"/>
      <w:r w:rsidRPr="00CC19F7">
        <w:t>leiande</w:t>
      </w:r>
      <w:proofErr w:type="spellEnd"/>
      <w:r w:rsidRPr="00CC19F7">
        <w:t xml:space="preserve"> </w:t>
      </w:r>
      <w:proofErr w:type="spellStart"/>
      <w:r w:rsidRPr="00CC19F7">
        <w:t>aktørar</w:t>
      </w:r>
      <w:proofErr w:type="spellEnd"/>
      <w:r w:rsidRPr="00CC19F7">
        <w:t xml:space="preserve"> i næringslivet deltok i serien for å diskutere og systematisere </w:t>
      </w:r>
      <w:proofErr w:type="spellStart"/>
      <w:r w:rsidRPr="00CC19F7">
        <w:t>eit</w:t>
      </w:r>
      <w:proofErr w:type="spellEnd"/>
      <w:r w:rsidRPr="00CC19F7">
        <w:t xml:space="preserve"> </w:t>
      </w:r>
      <w:proofErr w:type="spellStart"/>
      <w:r w:rsidRPr="00CC19F7">
        <w:t>tverrfagleg</w:t>
      </w:r>
      <w:proofErr w:type="spellEnd"/>
      <w:r w:rsidRPr="00CC19F7">
        <w:t xml:space="preserve"> faktagrunnlag på energifeltet, spesielt var FME-ane svært aktive.</w:t>
      </w:r>
    </w:p>
    <w:p w14:paraId="6F453F59" w14:textId="77777777" w:rsidR="00FE02EF" w:rsidRPr="00CC19F7" w:rsidRDefault="00881E58" w:rsidP="00CC19F7">
      <w:pPr>
        <w:pStyle w:val="Ramme-slutt"/>
      </w:pPr>
      <w:r w:rsidRPr="00CC19F7">
        <w:t>[Boks slutt]</w:t>
      </w:r>
    </w:p>
    <w:p w14:paraId="4E9C3BDB" w14:textId="77777777" w:rsidR="00FE02EF" w:rsidRPr="00CC19F7" w:rsidRDefault="00881E58" w:rsidP="00CC19F7">
      <w:pPr>
        <w:pStyle w:val="avsnitt-under-undertittel"/>
      </w:pPr>
      <w:r w:rsidRPr="00CC19F7">
        <w:t xml:space="preserve">FME – Forskingssenter for </w:t>
      </w:r>
      <w:proofErr w:type="spellStart"/>
      <w:r w:rsidRPr="00CC19F7">
        <w:t>miljøvennleg</w:t>
      </w:r>
      <w:proofErr w:type="spellEnd"/>
      <w:r w:rsidRPr="00CC19F7">
        <w:t xml:space="preserve"> energi</w:t>
      </w:r>
    </w:p>
    <w:p w14:paraId="5AB12A95" w14:textId="77777777" w:rsidR="00FE02EF" w:rsidRPr="00CC19F7" w:rsidRDefault="00881E58" w:rsidP="00CC19F7">
      <w:r w:rsidRPr="00CC19F7">
        <w:t xml:space="preserve">Det blei i 2022 utbetalt totalt om lag 189 mill. kroner til forskingssenter for </w:t>
      </w:r>
      <w:proofErr w:type="spellStart"/>
      <w:r w:rsidRPr="00CC19F7">
        <w:t>miljøvennleg</w:t>
      </w:r>
      <w:proofErr w:type="spellEnd"/>
      <w:r w:rsidRPr="00CC19F7">
        <w:t xml:space="preserve"> energi, av det om lag 181 mill. kroner </w:t>
      </w:r>
      <w:proofErr w:type="spellStart"/>
      <w:r w:rsidRPr="00CC19F7">
        <w:t>frå</w:t>
      </w:r>
      <w:proofErr w:type="spellEnd"/>
      <w:r w:rsidRPr="00CC19F7">
        <w:t xml:space="preserve"> Olje- og energidepartementet.</w:t>
      </w:r>
    </w:p>
    <w:p w14:paraId="59BB70CA" w14:textId="77777777" w:rsidR="00FE02EF" w:rsidRPr="00CC19F7" w:rsidRDefault="00881E58" w:rsidP="00CC19F7">
      <w:r w:rsidRPr="00CC19F7">
        <w:t xml:space="preserve">Gjennom </w:t>
      </w:r>
      <w:proofErr w:type="spellStart"/>
      <w:r w:rsidRPr="00CC19F7">
        <w:t>utlysingane</w:t>
      </w:r>
      <w:proofErr w:type="spellEnd"/>
      <w:r w:rsidRPr="00CC19F7">
        <w:t xml:space="preserve"> i 2022 blei det tildelt til </w:t>
      </w:r>
      <w:proofErr w:type="spellStart"/>
      <w:r w:rsidRPr="00CC19F7">
        <w:t>saman</w:t>
      </w:r>
      <w:proofErr w:type="spellEnd"/>
      <w:r w:rsidRPr="00CC19F7">
        <w:t xml:space="preserve"> 320 mill. kroner til to nye FME-ar på hydrogen og hydrogenbaserte </w:t>
      </w:r>
      <w:proofErr w:type="spellStart"/>
      <w:r w:rsidRPr="00CC19F7">
        <w:t>energiberarar</w:t>
      </w:r>
      <w:proofErr w:type="spellEnd"/>
      <w:r w:rsidRPr="00CC19F7">
        <w:t xml:space="preserve">. </w:t>
      </w:r>
      <w:proofErr w:type="spellStart"/>
      <w:r w:rsidRPr="00CC19F7">
        <w:t>Sentera</w:t>
      </w:r>
      <w:proofErr w:type="spellEnd"/>
      <w:r w:rsidRPr="00CC19F7">
        <w:t xml:space="preserve"> vil </w:t>
      </w:r>
      <w:proofErr w:type="spellStart"/>
      <w:r w:rsidRPr="00CC19F7">
        <w:t>vere</w:t>
      </w:r>
      <w:proofErr w:type="spellEnd"/>
      <w:r w:rsidRPr="00CC19F7">
        <w:t xml:space="preserve"> sentrale for satsinga på hydrogen i </w:t>
      </w:r>
      <w:proofErr w:type="spellStart"/>
      <w:r w:rsidRPr="00CC19F7">
        <w:t>Noreg</w:t>
      </w:r>
      <w:proofErr w:type="spellEnd"/>
      <w:r w:rsidRPr="00CC19F7">
        <w:t xml:space="preserve">. Dei to </w:t>
      </w:r>
      <w:proofErr w:type="spellStart"/>
      <w:r w:rsidRPr="00CC19F7">
        <w:t>sentera</w:t>
      </w:r>
      <w:proofErr w:type="spellEnd"/>
      <w:r w:rsidRPr="00CC19F7">
        <w:t xml:space="preserve"> </w:t>
      </w:r>
      <w:proofErr w:type="spellStart"/>
      <w:r w:rsidRPr="00CC19F7">
        <w:t>HYDROGENi</w:t>
      </w:r>
      <w:proofErr w:type="spellEnd"/>
      <w:r w:rsidRPr="00CC19F7">
        <w:t xml:space="preserve"> og </w:t>
      </w:r>
      <w:proofErr w:type="spellStart"/>
      <w:r w:rsidRPr="00CC19F7">
        <w:t>HyValue</w:t>
      </w:r>
      <w:proofErr w:type="spellEnd"/>
      <w:r w:rsidRPr="00CC19F7">
        <w:t xml:space="preserve"> er sterke og </w:t>
      </w:r>
      <w:proofErr w:type="spellStart"/>
      <w:r w:rsidRPr="00CC19F7">
        <w:t>utfyllande</w:t>
      </w:r>
      <w:proofErr w:type="spellEnd"/>
      <w:r w:rsidRPr="00CC19F7">
        <w:t xml:space="preserve"> nasjonale knutepunkt for kompetanse </w:t>
      </w:r>
      <w:proofErr w:type="spellStart"/>
      <w:r w:rsidRPr="00CC19F7">
        <w:t>innan</w:t>
      </w:r>
      <w:proofErr w:type="spellEnd"/>
      <w:r w:rsidRPr="00CC19F7">
        <w:t xml:space="preserve"> FoU om hydrogen. Ved utgangen av 2022 var det totalt 13 aktive senter for </w:t>
      </w:r>
      <w:proofErr w:type="spellStart"/>
      <w:r w:rsidRPr="00CC19F7">
        <w:t>miljøvennleg</w:t>
      </w:r>
      <w:proofErr w:type="spellEnd"/>
      <w:r w:rsidRPr="00CC19F7">
        <w:t xml:space="preserve"> energi.</w:t>
      </w:r>
    </w:p>
    <w:p w14:paraId="06E2ED59" w14:textId="77777777" w:rsidR="00FE02EF" w:rsidRPr="00CC19F7" w:rsidRDefault="00881E58" w:rsidP="00CC19F7">
      <w:r w:rsidRPr="00CC19F7">
        <w:t xml:space="preserve">I 2022 har det </w:t>
      </w:r>
      <w:proofErr w:type="spellStart"/>
      <w:r w:rsidRPr="00CC19F7">
        <w:t>vore</w:t>
      </w:r>
      <w:proofErr w:type="spellEnd"/>
      <w:r w:rsidRPr="00CC19F7">
        <w:t xml:space="preserve"> </w:t>
      </w:r>
      <w:proofErr w:type="spellStart"/>
      <w:r w:rsidRPr="00CC19F7">
        <w:t>arbeidd</w:t>
      </w:r>
      <w:proofErr w:type="spellEnd"/>
      <w:r w:rsidRPr="00CC19F7">
        <w:t xml:space="preserve"> med ei ny stor FME-utlysning med søknadsfrist i 2023.</w:t>
      </w:r>
    </w:p>
    <w:p w14:paraId="4AB81B64" w14:textId="77777777" w:rsidR="00FE02EF" w:rsidRPr="00CC19F7" w:rsidRDefault="00881E58" w:rsidP="00CC19F7">
      <w:pPr>
        <w:pStyle w:val="avsnitt-under-undertittel"/>
      </w:pPr>
      <w:r w:rsidRPr="00CC19F7">
        <w:t>CLIMIT</w:t>
      </w:r>
    </w:p>
    <w:p w14:paraId="13FF9DAD" w14:textId="77777777" w:rsidR="00FE02EF" w:rsidRPr="00CC19F7" w:rsidRDefault="00881E58" w:rsidP="00CC19F7">
      <w:r w:rsidRPr="00CC19F7">
        <w:t xml:space="preserve">I 2022 hadde CLIMIT-FoU </w:t>
      </w:r>
      <w:proofErr w:type="spellStart"/>
      <w:r w:rsidRPr="00CC19F7">
        <w:t>ein</w:t>
      </w:r>
      <w:proofErr w:type="spellEnd"/>
      <w:r w:rsidRPr="00CC19F7">
        <w:t xml:space="preserve"> portefølje på 59 prosjekt som til </w:t>
      </w:r>
      <w:proofErr w:type="spellStart"/>
      <w:r w:rsidRPr="00CC19F7">
        <w:t>saman</w:t>
      </w:r>
      <w:proofErr w:type="spellEnd"/>
      <w:r w:rsidRPr="00CC19F7">
        <w:t xml:space="preserve"> </w:t>
      </w:r>
      <w:proofErr w:type="spellStart"/>
      <w:r w:rsidRPr="00CC19F7">
        <w:t>fekk</w:t>
      </w:r>
      <w:proofErr w:type="spellEnd"/>
      <w:r w:rsidRPr="00CC19F7">
        <w:t xml:space="preserve"> om lag 75 mill. kroner i støtte </w:t>
      </w:r>
      <w:proofErr w:type="spellStart"/>
      <w:r w:rsidRPr="00CC19F7">
        <w:t>frå</w:t>
      </w:r>
      <w:proofErr w:type="spellEnd"/>
      <w:r w:rsidRPr="00CC19F7">
        <w:t xml:space="preserve"> Forskingsrådet. Prosjekta har ei kontraktfesta samla støtte </w:t>
      </w:r>
      <w:proofErr w:type="spellStart"/>
      <w:r w:rsidRPr="00CC19F7">
        <w:t>frå</w:t>
      </w:r>
      <w:proofErr w:type="spellEnd"/>
      <w:r w:rsidRPr="00CC19F7">
        <w:t xml:space="preserve"> Forskingsrådet på 375 mill. kroner i den totale levetida. Grovt sett </w:t>
      </w:r>
      <w:proofErr w:type="spellStart"/>
      <w:r w:rsidRPr="00CC19F7">
        <w:t>utgjer</w:t>
      </w:r>
      <w:proofErr w:type="spellEnd"/>
      <w:r w:rsidRPr="00CC19F7">
        <w:t xml:space="preserve"> nesten halvparten av porteføljen CO</w:t>
      </w:r>
      <w:r w:rsidRPr="00CC19F7">
        <w:rPr>
          <w:rStyle w:val="skrift-senket"/>
        </w:rPr>
        <w:t>2</w:t>
      </w:r>
      <w:r w:rsidRPr="00CC19F7">
        <w:t xml:space="preserve">-lagring, </w:t>
      </w:r>
      <w:proofErr w:type="spellStart"/>
      <w:r w:rsidRPr="00CC19F7">
        <w:t>medan</w:t>
      </w:r>
      <w:proofErr w:type="spellEnd"/>
      <w:r w:rsidRPr="00CC19F7">
        <w:t xml:space="preserve"> </w:t>
      </w:r>
      <w:proofErr w:type="spellStart"/>
      <w:r w:rsidRPr="00CC19F7">
        <w:t>ein</w:t>
      </w:r>
      <w:proofErr w:type="spellEnd"/>
      <w:r w:rsidRPr="00CC19F7">
        <w:t xml:space="preserve"> tredel er CO</w:t>
      </w:r>
      <w:r w:rsidRPr="00CC19F7">
        <w:rPr>
          <w:rStyle w:val="skrift-senket"/>
        </w:rPr>
        <w:t>2</w:t>
      </w:r>
      <w:r w:rsidRPr="00CC19F7">
        <w:t>-fangst og resten CO</w:t>
      </w:r>
      <w:r w:rsidRPr="00CC19F7">
        <w:rPr>
          <w:rStyle w:val="skrift-senket"/>
        </w:rPr>
        <w:t>2</w:t>
      </w:r>
      <w:r w:rsidRPr="00CC19F7">
        <w:t xml:space="preserve">-transport. I 2022 er </w:t>
      </w:r>
      <w:proofErr w:type="spellStart"/>
      <w:r w:rsidRPr="00CC19F7">
        <w:t>nærmare</w:t>
      </w:r>
      <w:proofErr w:type="spellEnd"/>
      <w:r w:rsidRPr="00CC19F7">
        <w:t xml:space="preserve"> 40 prosent av porteføljen internasjonale ACT-prosjekt</w:t>
      </w:r>
      <w:r w:rsidRPr="00CC19F7">
        <w:rPr>
          <w:rStyle w:val="Fotnotereferanse"/>
        </w:rPr>
        <w:footnoteReference w:id="5"/>
      </w:r>
      <w:r w:rsidRPr="00CC19F7">
        <w:t xml:space="preserve">. Dei siste åra har andelen </w:t>
      </w:r>
      <w:proofErr w:type="spellStart"/>
      <w:r w:rsidRPr="00CC19F7">
        <w:t>prosjekttypar</w:t>
      </w:r>
      <w:proofErr w:type="spellEnd"/>
      <w:r w:rsidRPr="00CC19F7">
        <w:t xml:space="preserve"> med deltaking </w:t>
      </w:r>
      <w:proofErr w:type="spellStart"/>
      <w:r w:rsidRPr="00CC19F7">
        <w:t>frå</w:t>
      </w:r>
      <w:proofErr w:type="spellEnd"/>
      <w:r w:rsidRPr="00CC19F7">
        <w:t xml:space="preserve"> industrien </w:t>
      </w:r>
      <w:proofErr w:type="spellStart"/>
      <w:r w:rsidRPr="00CC19F7">
        <w:t>auka</w:t>
      </w:r>
      <w:proofErr w:type="spellEnd"/>
      <w:r w:rsidRPr="00CC19F7">
        <w:t xml:space="preserve"> </w:t>
      </w:r>
      <w:proofErr w:type="spellStart"/>
      <w:r w:rsidRPr="00CC19F7">
        <w:t>medan</w:t>
      </w:r>
      <w:proofErr w:type="spellEnd"/>
      <w:r w:rsidRPr="00CC19F7">
        <w:t xml:space="preserve"> andelen forskingsprosjekt i universiteta og forskingsinstitutt har </w:t>
      </w:r>
      <w:proofErr w:type="spellStart"/>
      <w:r w:rsidRPr="00CC19F7">
        <w:t>vore</w:t>
      </w:r>
      <w:proofErr w:type="spellEnd"/>
      <w:r w:rsidRPr="00CC19F7">
        <w:t xml:space="preserve"> redusert. Prosjektporteføljen har </w:t>
      </w:r>
      <w:proofErr w:type="spellStart"/>
      <w:r w:rsidRPr="00CC19F7">
        <w:t>ein</w:t>
      </w:r>
      <w:proofErr w:type="spellEnd"/>
      <w:r w:rsidRPr="00CC19F7">
        <w:t xml:space="preserve"> </w:t>
      </w:r>
      <w:proofErr w:type="spellStart"/>
      <w:r w:rsidRPr="00CC19F7">
        <w:t>nedovergåande</w:t>
      </w:r>
      <w:proofErr w:type="spellEnd"/>
      <w:r w:rsidRPr="00CC19F7">
        <w:t xml:space="preserve"> trend, da </w:t>
      </w:r>
      <w:proofErr w:type="spellStart"/>
      <w:r w:rsidRPr="00CC19F7">
        <w:t>midlane</w:t>
      </w:r>
      <w:proofErr w:type="spellEnd"/>
      <w:r w:rsidRPr="00CC19F7">
        <w:t xml:space="preserve"> over statsbudsjettet er reduserte </w:t>
      </w:r>
      <w:proofErr w:type="spellStart"/>
      <w:r w:rsidRPr="00CC19F7">
        <w:t>dei</w:t>
      </w:r>
      <w:proofErr w:type="spellEnd"/>
      <w:r w:rsidRPr="00CC19F7">
        <w:t xml:space="preserve"> </w:t>
      </w:r>
      <w:proofErr w:type="spellStart"/>
      <w:r w:rsidRPr="00CC19F7">
        <w:t>seinare</w:t>
      </w:r>
      <w:proofErr w:type="spellEnd"/>
      <w:r w:rsidRPr="00CC19F7">
        <w:t xml:space="preserve"> åra.</w:t>
      </w:r>
    </w:p>
    <w:p w14:paraId="5050C13A" w14:textId="77777777" w:rsidR="00FE02EF" w:rsidRPr="00CC19F7" w:rsidRDefault="00881E58" w:rsidP="00CC19F7">
      <w:r w:rsidRPr="00CC19F7">
        <w:t xml:space="preserve">Gjennom prosjekt finansierte av CLIMIT bygger norske FoU-miljø kompetanse som på </w:t>
      </w:r>
      <w:proofErr w:type="spellStart"/>
      <w:r w:rsidRPr="00CC19F7">
        <w:t>fleire</w:t>
      </w:r>
      <w:proofErr w:type="spellEnd"/>
      <w:r w:rsidRPr="00CC19F7">
        <w:t xml:space="preserve"> område er </w:t>
      </w:r>
      <w:proofErr w:type="spellStart"/>
      <w:r w:rsidRPr="00CC19F7">
        <w:t>verdsleiande</w:t>
      </w:r>
      <w:proofErr w:type="spellEnd"/>
      <w:r w:rsidRPr="00CC19F7">
        <w:t xml:space="preserve">. Denne kunnskapsbasen har </w:t>
      </w:r>
      <w:proofErr w:type="spellStart"/>
      <w:r w:rsidRPr="00CC19F7">
        <w:t>vore</w:t>
      </w:r>
      <w:proofErr w:type="spellEnd"/>
      <w:r w:rsidRPr="00CC19F7">
        <w:t xml:space="preserve"> </w:t>
      </w:r>
      <w:proofErr w:type="spellStart"/>
      <w:r w:rsidRPr="00CC19F7">
        <w:t>avgjerande</w:t>
      </w:r>
      <w:proofErr w:type="spellEnd"/>
      <w:r w:rsidRPr="00CC19F7">
        <w:t xml:space="preserve"> for planlegginga av Langskip-prosjektet. Måla for arbeidet med CO</w:t>
      </w:r>
      <w:r w:rsidRPr="00CC19F7">
        <w:rPr>
          <w:rStyle w:val="skrift-senket"/>
        </w:rPr>
        <w:t>2</w:t>
      </w:r>
      <w:r w:rsidRPr="00CC19F7">
        <w:t xml:space="preserve">-handtering er å vise at det trygt og </w:t>
      </w:r>
      <w:proofErr w:type="spellStart"/>
      <w:r w:rsidRPr="00CC19F7">
        <w:t>mogleg</w:t>
      </w:r>
      <w:proofErr w:type="spellEnd"/>
      <w:r w:rsidRPr="00CC19F7">
        <w:t xml:space="preserve">, og å legge til rette for læring og </w:t>
      </w:r>
      <w:proofErr w:type="spellStart"/>
      <w:r w:rsidRPr="00CC19F7">
        <w:t>kostnadsreduksjonar</w:t>
      </w:r>
      <w:proofErr w:type="spellEnd"/>
      <w:r w:rsidRPr="00CC19F7">
        <w:t xml:space="preserve"> for </w:t>
      </w:r>
      <w:proofErr w:type="spellStart"/>
      <w:r w:rsidRPr="00CC19F7">
        <w:t>seinare</w:t>
      </w:r>
      <w:proofErr w:type="spellEnd"/>
      <w:r w:rsidRPr="00CC19F7">
        <w:t xml:space="preserve"> prosjekt. Satsinga på CO</w:t>
      </w:r>
      <w:r w:rsidRPr="00CC19F7">
        <w:rPr>
          <w:rStyle w:val="skrift-senket"/>
        </w:rPr>
        <w:t>2</w:t>
      </w:r>
      <w:r w:rsidRPr="00CC19F7">
        <w:t xml:space="preserve">-handtering </w:t>
      </w:r>
      <w:proofErr w:type="spellStart"/>
      <w:r w:rsidRPr="00CC19F7">
        <w:t>føreset</w:t>
      </w:r>
      <w:proofErr w:type="spellEnd"/>
      <w:r w:rsidRPr="00CC19F7">
        <w:t xml:space="preserve"> at andre </w:t>
      </w:r>
      <w:proofErr w:type="spellStart"/>
      <w:r w:rsidRPr="00CC19F7">
        <w:t>nyttar</w:t>
      </w:r>
      <w:proofErr w:type="spellEnd"/>
      <w:r w:rsidRPr="00CC19F7">
        <w:t xml:space="preserve"> infrastrukturen og/eller læringa som kjem ut av prosjektet, og at Europa og verda følger etter det norske demonstrasjonsprosjektet. Resultat som er oppnådde gjennom forskinga </w:t>
      </w:r>
      <w:proofErr w:type="spellStart"/>
      <w:r w:rsidRPr="00CC19F7">
        <w:t>innan</w:t>
      </w:r>
      <w:proofErr w:type="spellEnd"/>
      <w:r w:rsidRPr="00CC19F7">
        <w:t xml:space="preserve"> CO</w:t>
      </w:r>
      <w:r w:rsidRPr="00CC19F7">
        <w:rPr>
          <w:rStyle w:val="skrift-senket"/>
        </w:rPr>
        <w:t>2</w:t>
      </w:r>
      <w:r w:rsidRPr="00CC19F7">
        <w:t>-handtering, er også viktige for måloppnåinga.</w:t>
      </w:r>
    </w:p>
    <w:p w14:paraId="45119D92" w14:textId="77777777" w:rsidR="00FE02EF" w:rsidRPr="00CC19F7" w:rsidRDefault="00881E58" w:rsidP="00CC19F7">
      <w:pPr>
        <w:pStyle w:val="tittel-ramme"/>
      </w:pPr>
      <w:r w:rsidRPr="00CC19F7">
        <w:t>Prosjekt for fangst av CO</w:t>
      </w:r>
      <w:r w:rsidRPr="00CC19F7">
        <w:rPr>
          <w:rStyle w:val="skrift-senket"/>
        </w:rPr>
        <w:t>2</w:t>
      </w:r>
      <w:r w:rsidRPr="00CC19F7">
        <w:t xml:space="preserve"> </w:t>
      </w:r>
      <w:proofErr w:type="spellStart"/>
      <w:r w:rsidRPr="00CC19F7">
        <w:t>frå</w:t>
      </w:r>
      <w:proofErr w:type="spellEnd"/>
      <w:r w:rsidRPr="00CC19F7">
        <w:t xml:space="preserve"> avfallsforbrenning</w:t>
      </w:r>
    </w:p>
    <w:p w14:paraId="4FD6B92A" w14:textId="77777777" w:rsidR="00FE02EF" w:rsidRPr="00CC19F7" w:rsidRDefault="00881E58" w:rsidP="00CC19F7">
      <w:proofErr w:type="spellStart"/>
      <w:r w:rsidRPr="00CC19F7">
        <w:t>Ein</w:t>
      </w:r>
      <w:proofErr w:type="spellEnd"/>
      <w:r w:rsidRPr="00CC19F7">
        <w:t xml:space="preserve"> stor del av avfallet som blir brent ved </w:t>
      </w:r>
      <w:proofErr w:type="spellStart"/>
      <w:r w:rsidRPr="00CC19F7">
        <w:t>avfallshandteringsanlegg</w:t>
      </w:r>
      <w:proofErr w:type="spellEnd"/>
      <w:r w:rsidRPr="00CC19F7">
        <w:t xml:space="preserve"> er </w:t>
      </w:r>
      <w:proofErr w:type="spellStart"/>
      <w:r w:rsidRPr="00CC19F7">
        <w:t>frå</w:t>
      </w:r>
      <w:proofErr w:type="spellEnd"/>
      <w:r w:rsidRPr="00CC19F7">
        <w:t xml:space="preserve"> biomasse og i utgangspunktet klimanøytralt. Når </w:t>
      </w:r>
      <w:proofErr w:type="spellStart"/>
      <w:r w:rsidRPr="00CC19F7">
        <w:t>ein</w:t>
      </w:r>
      <w:proofErr w:type="spellEnd"/>
      <w:r w:rsidRPr="00CC19F7">
        <w:t xml:space="preserve"> </w:t>
      </w:r>
      <w:proofErr w:type="spellStart"/>
      <w:r w:rsidRPr="00CC19F7">
        <w:t>fangar</w:t>
      </w:r>
      <w:proofErr w:type="spellEnd"/>
      <w:r w:rsidRPr="00CC19F7">
        <w:t xml:space="preserve"> CO</w:t>
      </w:r>
      <w:r w:rsidRPr="00CC19F7">
        <w:rPr>
          <w:rStyle w:val="skrift-senket"/>
        </w:rPr>
        <w:t>2</w:t>
      </w:r>
      <w:r w:rsidRPr="00CC19F7">
        <w:t xml:space="preserve"> </w:t>
      </w:r>
      <w:proofErr w:type="spellStart"/>
      <w:r w:rsidRPr="00CC19F7">
        <w:t>frå</w:t>
      </w:r>
      <w:proofErr w:type="spellEnd"/>
      <w:r w:rsidRPr="00CC19F7">
        <w:t xml:space="preserve"> </w:t>
      </w:r>
      <w:proofErr w:type="spellStart"/>
      <w:r w:rsidRPr="00CC19F7">
        <w:t>avgassane</w:t>
      </w:r>
      <w:proofErr w:type="spellEnd"/>
      <w:r w:rsidRPr="00CC19F7">
        <w:t xml:space="preserve"> </w:t>
      </w:r>
      <w:proofErr w:type="spellStart"/>
      <w:r w:rsidRPr="00CC19F7">
        <w:t>frå</w:t>
      </w:r>
      <w:proofErr w:type="spellEnd"/>
      <w:r w:rsidRPr="00CC19F7">
        <w:t xml:space="preserve"> forbrenningsanlegga, betyr dette i realiteten at CO</w:t>
      </w:r>
      <w:r w:rsidRPr="00CC19F7">
        <w:rPr>
          <w:rStyle w:val="skrift-senket"/>
        </w:rPr>
        <w:t>2</w:t>
      </w:r>
      <w:r w:rsidRPr="00CC19F7">
        <w:t xml:space="preserve"> blir fjerna </w:t>
      </w:r>
      <w:proofErr w:type="spellStart"/>
      <w:r w:rsidRPr="00CC19F7">
        <w:t>frå</w:t>
      </w:r>
      <w:proofErr w:type="spellEnd"/>
      <w:r w:rsidRPr="00CC19F7">
        <w:t xml:space="preserve"> atmosfæren. I prosjektet CAPEWASTE har SINTEF </w:t>
      </w:r>
      <w:proofErr w:type="spellStart"/>
      <w:r w:rsidRPr="00CC19F7">
        <w:t>saman</w:t>
      </w:r>
      <w:proofErr w:type="spellEnd"/>
      <w:r w:rsidRPr="00CC19F7">
        <w:t xml:space="preserve"> med Oslo kommune, Miljødirektoratet og Linde Gas AS studert ny teknologi for CO</w:t>
      </w:r>
      <w:r w:rsidRPr="00CC19F7">
        <w:rPr>
          <w:rStyle w:val="skrift-senket"/>
        </w:rPr>
        <w:t>2</w:t>
      </w:r>
      <w:r w:rsidRPr="00CC19F7">
        <w:t xml:space="preserve">-fangst </w:t>
      </w:r>
      <w:proofErr w:type="spellStart"/>
      <w:r w:rsidRPr="00CC19F7">
        <w:t>frå</w:t>
      </w:r>
      <w:proofErr w:type="spellEnd"/>
      <w:r w:rsidRPr="00CC19F7">
        <w:t xml:space="preserve"> avfallsforbrenning. CO</w:t>
      </w:r>
      <w:r w:rsidRPr="00CC19F7">
        <w:rPr>
          <w:rStyle w:val="skrift-senket"/>
        </w:rPr>
        <w:t>2</w:t>
      </w:r>
      <w:r w:rsidRPr="00CC19F7">
        <w:t xml:space="preserve">-fangst blir </w:t>
      </w:r>
      <w:proofErr w:type="spellStart"/>
      <w:r w:rsidRPr="00CC19F7">
        <w:t>enklare</w:t>
      </w:r>
      <w:proofErr w:type="spellEnd"/>
      <w:r w:rsidRPr="00CC19F7">
        <w:t xml:space="preserve"> og </w:t>
      </w:r>
      <w:proofErr w:type="spellStart"/>
      <w:r w:rsidRPr="00CC19F7">
        <w:t>billigare</w:t>
      </w:r>
      <w:proofErr w:type="spellEnd"/>
      <w:r w:rsidRPr="00CC19F7">
        <w:t xml:space="preserve"> når det blir brukt </w:t>
      </w:r>
      <w:proofErr w:type="gramStart"/>
      <w:r w:rsidRPr="00CC19F7">
        <w:t>rein oksygen</w:t>
      </w:r>
      <w:proofErr w:type="gramEnd"/>
      <w:r w:rsidRPr="00CC19F7">
        <w:t xml:space="preserve"> og </w:t>
      </w:r>
      <w:proofErr w:type="spellStart"/>
      <w:r w:rsidRPr="00CC19F7">
        <w:t>ikkje</w:t>
      </w:r>
      <w:proofErr w:type="spellEnd"/>
      <w:r w:rsidRPr="00CC19F7">
        <w:t xml:space="preserve"> luft ved forbrenninga, </w:t>
      </w:r>
      <w:proofErr w:type="spellStart"/>
      <w:r w:rsidRPr="00CC19F7">
        <w:t>såkalla</w:t>
      </w:r>
      <w:proofErr w:type="spellEnd"/>
      <w:r w:rsidRPr="00CC19F7">
        <w:t xml:space="preserve"> </w:t>
      </w:r>
      <w:proofErr w:type="spellStart"/>
      <w:r w:rsidRPr="00CC19F7">
        <w:t>oxy-fuel</w:t>
      </w:r>
      <w:proofErr w:type="spellEnd"/>
      <w:r w:rsidRPr="00CC19F7">
        <w:t xml:space="preserve"> CO</w:t>
      </w:r>
      <w:r w:rsidRPr="00CC19F7">
        <w:rPr>
          <w:rStyle w:val="skrift-senket"/>
        </w:rPr>
        <w:t>2</w:t>
      </w:r>
      <w:r w:rsidRPr="00CC19F7">
        <w:t xml:space="preserve">-fangst. Produksjon av reint oksygen er </w:t>
      </w:r>
      <w:proofErr w:type="spellStart"/>
      <w:r w:rsidRPr="00CC19F7">
        <w:t>ein</w:t>
      </w:r>
      <w:proofErr w:type="spellEnd"/>
      <w:r w:rsidRPr="00CC19F7">
        <w:t xml:space="preserve"> stor kostnad, men dersom </w:t>
      </w:r>
      <w:proofErr w:type="spellStart"/>
      <w:r w:rsidRPr="00CC19F7">
        <w:t>overskot</w:t>
      </w:r>
      <w:proofErr w:type="spellEnd"/>
      <w:r w:rsidRPr="00CC19F7">
        <w:t xml:space="preserve"> av oksygen </w:t>
      </w:r>
      <w:proofErr w:type="spellStart"/>
      <w:r w:rsidRPr="00CC19F7">
        <w:t>frå</w:t>
      </w:r>
      <w:proofErr w:type="spellEnd"/>
      <w:r w:rsidRPr="00CC19F7">
        <w:t xml:space="preserve"> </w:t>
      </w:r>
      <w:proofErr w:type="spellStart"/>
      <w:r w:rsidRPr="00CC19F7">
        <w:t>elektrolyseprosessar</w:t>
      </w:r>
      <w:proofErr w:type="spellEnd"/>
      <w:r w:rsidRPr="00CC19F7">
        <w:t xml:space="preserve"> kan brukast, vil denne teknologien </w:t>
      </w:r>
      <w:proofErr w:type="spellStart"/>
      <w:r w:rsidRPr="00CC19F7">
        <w:t>vere</w:t>
      </w:r>
      <w:proofErr w:type="spellEnd"/>
      <w:r w:rsidRPr="00CC19F7">
        <w:t xml:space="preserve"> konkurransedyktig.</w:t>
      </w:r>
    </w:p>
    <w:p w14:paraId="7B8A52E7" w14:textId="77777777" w:rsidR="00FE02EF" w:rsidRPr="00CC19F7" w:rsidRDefault="00881E58" w:rsidP="00CC19F7">
      <w:pPr>
        <w:pStyle w:val="Ramme-slutt"/>
      </w:pPr>
      <w:r w:rsidRPr="00CC19F7">
        <w:t>[Boks slutt]</w:t>
      </w:r>
    </w:p>
    <w:p w14:paraId="049B4F2C" w14:textId="55610408" w:rsidR="00FE02EF" w:rsidRPr="00CC19F7" w:rsidRDefault="00C0741D" w:rsidP="00CC19F7">
      <w:r>
        <w:rPr>
          <w:noProof/>
        </w:rPr>
        <w:drawing>
          <wp:inline distT="0" distB="0" distL="0" distR="0" wp14:anchorId="13904FE4" wp14:editId="75BFAD1C">
            <wp:extent cx="6076950" cy="2886075"/>
            <wp:effectExtent l="0" t="0" r="0" b="9525"/>
            <wp:docPr id="11"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55390A26" w14:textId="77777777" w:rsidR="00FE02EF" w:rsidRPr="00CC19F7" w:rsidRDefault="00881E58" w:rsidP="00CC19F7">
      <w:pPr>
        <w:pStyle w:val="figur-tittel"/>
      </w:pPr>
      <w:proofErr w:type="spellStart"/>
      <w:r w:rsidRPr="00CC19F7">
        <w:t>Utbetalingar</w:t>
      </w:r>
      <w:proofErr w:type="spellEnd"/>
      <w:r w:rsidRPr="00CC19F7">
        <w:t xml:space="preserve"> </w:t>
      </w:r>
      <w:proofErr w:type="spellStart"/>
      <w:r w:rsidRPr="00CC19F7">
        <w:t>frå</w:t>
      </w:r>
      <w:proofErr w:type="spellEnd"/>
      <w:r w:rsidRPr="00CC19F7">
        <w:t xml:space="preserve"> CLIMIT-FoU til prosjekt (mill. kroner) kvart år fordelt på søknadstype</w:t>
      </w:r>
      <w:r w:rsidRPr="00CC19F7">
        <w:rPr>
          <w:rStyle w:val="skrift-hevet"/>
        </w:rPr>
        <w:t>1</w:t>
      </w:r>
      <w:r w:rsidRPr="00CC19F7">
        <w:t xml:space="preserve"> </w:t>
      </w:r>
      <w:proofErr w:type="spellStart"/>
      <w:r w:rsidRPr="00CC19F7">
        <w:t>frå</w:t>
      </w:r>
      <w:proofErr w:type="spellEnd"/>
      <w:r w:rsidRPr="00CC19F7">
        <w:t xml:space="preserve"> og med 2013</w:t>
      </w:r>
    </w:p>
    <w:p w14:paraId="0847325E" w14:textId="77777777" w:rsidR="00FE02EF" w:rsidRPr="00CC19F7" w:rsidRDefault="00881E58" w:rsidP="00CC19F7">
      <w:pPr>
        <w:pStyle w:val="figur-noter"/>
        <w:rPr>
          <w:rStyle w:val="skrift-hevet"/>
        </w:rPr>
      </w:pPr>
      <w:r w:rsidRPr="00CC19F7">
        <w:rPr>
          <w:rStyle w:val="skrift-hevet"/>
        </w:rPr>
        <w:t>1</w:t>
      </w:r>
      <w:r w:rsidRPr="00CC19F7">
        <w:tab/>
      </w:r>
      <w:proofErr w:type="spellStart"/>
      <w:r w:rsidRPr="00CC19F7">
        <w:t>Søknadstypar</w:t>
      </w:r>
      <w:proofErr w:type="spellEnd"/>
      <w:r w:rsidRPr="00CC19F7">
        <w:t xml:space="preserve"> viste i figuren er ACT (</w:t>
      </w:r>
      <w:proofErr w:type="spellStart"/>
      <w:r w:rsidRPr="00CC19F7">
        <w:t>Accelerating</w:t>
      </w:r>
      <w:proofErr w:type="spellEnd"/>
      <w:r w:rsidRPr="00CC19F7">
        <w:t xml:space="preserve"> CCS Technology), IPN (innovasjonsprosjekt i næringslivet), KSP (kompetanse- og samarbeidsprosjekt) og FP (forskarprosjekt).</w:t>
      </w:r>
    </w:p>
    <w:p w14:paraId="2E63FC78" w14:textId="77777777" w:rsidR="00FE02EF" w:rsidRPr="00CC19F7" w:rsidRDefault="00881E58" w:rsidP="00CC19F7">
      <w:pPr>
        <w:pStyle w:val="Kilde"/>
      </w:pPr>
      <w:r w:rsidRPr="00CC19F7">
        <w:t xml:space="preserve">Kjelde: </w:t>
      </w:r>
      <w:proofErr w:type="spellStart"/>
      <w:r w:rsidRPr="00CC19F7">
        <w:t>Noregs</w:t>
      </w:r>
      <w:proofErr w:type="spellEnd"/>
      <w:r w:rsidRPr="00CC19F7">
        <w:t xml:space="preserve"> forskingsråd</w:t>
      </w:r>
    </w:p>
    <w:p w14:paraId="4CD94389" w14:textId="77777777" w:rsidR="00FE02EF" w:rsidRPr="00CC19F7" w:rsidRDefault="00881E58" w:rsidP="00CC19F7">
      <w:r w:rsidRPr="00CC19F7">
        <w:t xml:space="preserve">I 2022 hadde CLIMIT-Demo </w:t>
      </w:r>
      <w:proofErr w:type="spellStart"/>
      <w:r w:rsidRPr="00CC19F7">
        <w:t>ein</w:t>
      </w:r>
      <w:proofErr w:type="spellEnd"/>
      <w:r w:rsidRPr="00CC19F7">
        <w:t xml:space="preserve"> portefølje på 82 aktive prosjekt som til </w:t>
      </w:r>
      <w:proofErr w:type="spellStart"/>
      <w:r w:rsidRPr="00CC19F7">
        <w:t>saman</w:t>
      </w:r>
      <w:proofErr w:type="spellEnd"/>
      <w:r w:rsidRPr="00CC19F7">
        <w:t xml:space="preserve"> </w:t>
      </w:r>
      <w:proofErr w:type="spellStart"/>
      <w:r w:rsidRPr="00CC19F7">
        <w:t>fekk</w:t>
      </w:r>
      <w:proofErr w:type="spellEnd"/>
      <w:r w:rsidRPr="00CC19F7">
        <w:t xml:space="preserve"> omkring 90 mill. kroner i støtte </w:t>
      </w:r>
      <w:proofErr w:type="spellStart"/>
      <w:r w:rsidRPr="00CC19F7">
        <w:t>frå</w:t>
      </w:r>
      <w:proofErr w:type="spellEnd"/>
      <w:r w:rsidRPr="00CC19F7">
        <w:t xml:space="preserve"> Gassnova. Prosjekta har ei kontraktfesta samla støtte </w:t>
      </w:r>
      <w:proofErr w:type="spellStart"/>
      <w:r w:rsidRPr="00CC19F7">
        <w:t>frå</w:t>
      </w:r>
      <w:proofErr w:type="spellEnd"/>
      <w:r w:rsidRPr="00CC19F7">
        <w:t xml:space="preserve"> Gassnova på 831 mill. kroner i den totale levetida. Ramma inkluderer CLIMIT-Demo-støtte på 406 mill. kroner og 425 mill. kroner </w:t>
      </w:r>
      <w:proofErr w:type="spellStart"/>
      <w:r w:rsidRPr="00CC19F7">
        <w:t>frå</w:t>
      </w:r>
      <w:proofErr w:type="spellEnd"/>
      <w:r w:rsidRPr="00CC19F7">
        <w:t xml:space="preserve"> </w:t>
      </w:r>
      <w:proofErr w:type="spellStart"/>
      <w:r w:rsidRPr="00CC19F7">
        <w:t>prosjekteigar</w:t>
      </w:r>
      <w:proofErr w:type="spellEnd"/>
      <w:r w:rsidRPr="00CC19F7">
        <w:t xml:space="preserve">(ar) og </w:t>
      </w:r>
      <w:proofErr w:type="spellStart"/>
      <w:r w:rsidRPr="00CC19F7">
        <w:t>partnar</w:t>
      </w:r>
      <w:proofErr w:type="spellEnd"/>
      <w:r w:rsidRPr="00CC19F7">
        <w:t xml:space="preserve">(ar). Blant </w:t>
      </w:r>
      <w:proofErr w:type="spellStart"/>
      <w:r w:rsidRPr="00CC19F7">
        <w:t>desse</w:t>
      </w:r>
      <w:proofErr w:type="spellEnd"/>
      <w:r w:rsidRPr="00CC19F7">
        <w:t xml:space="preserve"> var 25 nye prosjekt med 89,4 mill. kroner i støtte </w:t>
      </w:r>
      <w:proofErr w:type="spellStart"/>
      <w:r w:rsidRPr="00CC19F7">
        <w:t>frå</w:t>
      </w:r>
      <w:proofErr w:type="spellEnd"/>
      <w:r w:rsidRPr="00CC19F7">
        <w:t xml:space="preserve"> CLIMIT-Demo. Tildeling til nye prosjekt i 2022 gjekk i all </w:t>
      </w:r>
      <w:proofErr w:type="spellStart"/>
      <w:r w:rsidRPr="00CC19F7">
        <w:t>hovudsak</w:t>
      </w:r>
      <w:proofErr w:type="spellEnd"/>
      <w:r w:rsidRPr="00CC19F7">
        <w:t xml:space="preserve"> til formåla fangst og lager som figur 4.4 viser. I </w:t>
      </w:r>
      <w:proofErr w:type="spellStart"/>
      <w:r w:rsidRPr="00CC19F7">
        <w:t>dei</w:t>
      </w:r>
      <w:proofErr w:type="spellEnd"/>
      <w:r w:rsidRPr="00CC19F7">
        <w:t xml:space="preserve"> aktive prosjekta i 2022 var det 196 tekniske og finansielle </w:t>
      </w:r>
      <w:proofErr w:type="spellStart"/>
      <w:r w:rsidRPr="00CC19F7">
        <w:t>partnarar</w:t>
      </w:r>
      <w:proofErr w:type="spellEnd"/>
      <w:r w:rsidRPr="00CC19F7">
        <w:t xml:space="preserve"> </w:t>
      </w:r>
      <w:proofErr w:type="spellStart"/>
      <w:r w:rsidRPr="00CC19F7">
        <w:t>frå</w:t>
      </w:r>
      <w:proofErr w:type="spellEnd"/>
      <w:r w:rsidRPr="00CC19F7">
        <w:t xml:space="preserve"> 14 land. 24 prosjekt blei avslutta i 2022.</w:t>
      </w:r>
    </w:p>
    <w:p w14:paraId="4600C499" w14:textId="5041D7FD" w:rsidR="00FE02EF" w:rsidRPr="00CC19F7" w:rsidRDefault="00C0741D" w:rsidP="00CC19F7">
      <w:r>
        <w:rPr>
          <w:noProof/>
        </w:rPr>
        <w:drawing>
          <wp:inline distT="0" distB="0" distL="0" distR="0" wp14:anchorId="1749376C" wp14:editId="053152CB">
            <wp:extent cx="6076950" cy="2886075"/>
            <wp:effectExtent l="0" t="0" r="0" b="9525"/>
            <wp:docPr id="12" name="Bil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2682F5A7" w14:textId="77777777" w:rsidR="00FE02EF" w:rsidRPr="00CC19F7" w:rsidRDefault="00881E58" w:rsidP="00CC19F7">
      <w:pPr>
        <w:pStyle w:val="figur-tittel"/>
      </w:pPr>
      <w:proofErr w:type="spellStart"/>
      <w:r w:rsidRPr="00CC19F7">
        <w:t>Utbetalingar</w:t>
      </w:r>
      <w:proofErr w:type="spellEnd"/>
      <w:r w:rsidRPr="00CC19F7">
        <w:t xml:space="preserve"> </w:t>
      </w:r>
      <w:proofErr w:type="spellStart"/>
      <w:r w:rsidRPr="00CC19F7">
        <w:t>frå</w:t>
      </w:r>
      <w:proofErr w:type="spellEnd"/>
      <w:r w:rsidRPr="00CC19F7">
        <w:t xml:space="preserve"> CLIMIT-Demo (mill. kroner) til nye prosjekt kvart år fordelt på formål </w:t>
      </w:r>
      <w:proofErr w:type="spellStart"/>
      <w:r w:rsidRPr="00CC19F7">
        <w:t>frå</w:t>
      </w:r>
      <w:proofErr w:type="spellEnd"/>
      <w:r w:rsidRPr="00CC19F7">
        <w:t xml:space="preserve"> og med 2018</w:t>
      </w:r>
    </w:p>
    <w:p w14:paraId="0916D9DE" w14:textId="77777777" w:rsidR="00FE02EF" w:rsidRPr="00CC19F7" w:rsidRDefault="00881E58" w:rsidP="00CC19F7">
      <w:pPr>
        <w:pStyle w:val="Kilde"/>
      </w:pPr>
      <w:r w:rsidRPr="00CC19F7">
        <w:t>Kjelde: Gassnova SF</w:t>
      </w:r>
    </w:p>
    <w:p w14:paraId="4CB0D717" w14:textId="77777777" w:rsidR="00FE02EF" w:rsidRPr="00CC19F7" w:rsidRDefault="00881E58" w:rsidP="00CC19F7">
      <w:pPr>
        <w:pStyle w:val="tittel-ramme"/>
      </w:pPr>
      <w:r w:rsidRPr="00CC19F7">
        <w:t>Teknologiutvikling for fangst, transport og lagring av CO</w:t>
      </w:r>
      <w:r w:rsidRPr="00CC19F7">
        <w:rPr>
          <w:rStyle w:val="skrift-senket"/>
        </w:rPr>
        <w:t>2</w:t>
      </w:r>
    </w:p>
    <w:p w14:paraId="37386519" w14:textId="77777777" w:rsidR="00FE02EF" w:rsidRPr="00CC19F7" w:rsidRDefault="00881E58" w:rsidP="00CC19F7">
      <w:r w:rsidRPr="00CC19F7">
        <w:t xml:space="preserve">Prosjekta for utvikling av nye </w:t>
      </w:r>
      <w:proofErr w:type="spellStart"/>
      <w:r w:rsidRPr="00CC19F7">
        <w:t>fangstteknologiar</w:t>
      </w:r>
      <w:proofErr w:type="spellEnd"/>
      <w:r w:rsidRPr="00CC19F7">
        <w:t xml:space="preserve"> har </w:t>
      </w:r>
      <w:proofErr w:type="spellStart"/>
      <w:r w:rsidRPr="00CC19F7">
        <w:t>særleg</w:t>
      </w:r>
      <w:proofErr w:type="spellEnd"/>
      <w:r w:rsidRPr="00CC19F7">
        <w:t xml:space="preserve"> </w:t>
      </w:r>
      <w:proofErr w:type="gramStart"/>
      <w:r w:rsidRPr="00CC19F7">
        <w:t>fokus</w:t>
      </w:r>
      <w:proofErr w:type="gramEnd"/>
      <w:r w:rsidRPr="00CC19F7">
        <w:t xml:space="preserve"> på </w:t>
      </w:r>
      <w:proofErr w:type="spellStart"/>
      <w:r w:rsidRPr="00CC19F7">
        <w:t>kostnadsreduksjonar</w:t>
      </w:r>
      <w:proofErr w:type="spellEnd"/>
      <w:r w:rsidRPr="00CC19F7">
        <w:t xml:space="preserve"> knytte til handtering av CO</w:t>
      </w:r>
      <w:r w:rsidRPr="00CC19F7">
        <w:rPr>
          <w:rStyle w:val="skrift-senket"/>
        </w:rPr>
        <w:t>2</w:t>
      </w:r>
      <w:r w:rsidRPr="00CC19F7">
        <w:t xml:space="preserve"> </w:t>
      </w:r>
      <w:proofErr w:type="spellStart"/>
      <w:r w:rsidRPr="00CC19F7">
        <w:t>frå</w:t>
      </w:r>
      <w:proofErr w:type="spellEnd"/>
      <w:r w:rsidRPr="00CC19F7">
        <w:t xml:space="preserve"> ulike forbrennings- og </w:t>
      </w:r>
      <w:proofErr w:type="spellStart"/>
      <w:r w:rsidRPr="00CC19F7">
        <w:t>industriprosessar</w:t>
      </w:r>
      <w:proofErr w:type="spellEnd"/>
      <w:r w:rsidRPr="00CC19F7">
        <w:t xml:space="preserve"> og </w:t>
      </w:r>
      <w:proofErr w:type="spellStart"/>
      <w:r w:rsidRPr="00CC19F7">
        <w:t>frå</w:t>
      </w:r>
      <w:proofErr w:type="spellEnd"/>
      <w:r w:rsidRPr="00CC19F7">
        <w:t xml:space="preserve"> hydrogenproduksjon </w:t>
      </w:r>
      <w:proofErr w:type="spellStart"/>
      <w:r w:rsidRPr="00CC19F7">
        <w:t>frå</w:t>
      </w:r>
      <w:proofErr w:type="spellEnd"/>
      <w:r w:rsidRPr="00CC19F7">
        <w:t xml:space="preserve"> naturgass. I tillegg har prosjekta vektlagt utvikling av nye industrielle </w:t>
      </w:r>
      <w:proofErr w:type="spellStart"/>
      <w:r w:rsidRPr="00CC19F7">
        <w:t>produksjonsprosessar</w:t>
      </w:r>
      <w:proofErr w:type="spellEnd"/>
      <w:r w:rsidRPr="00CC19F7">
        <w:t xml:space="preserve"> med integrert CO</w:t>
      </w:r>
      <w:r w:rsidRPr="00CC19F7">
        <w:rPr>
          <w:rStyle w:val="skrift-senket"/>
        </w:rPr>
        <w:t>2</w:t>
      </w:r>
      <w:r w:rsidRPr="00CC19F7">
        <w:t xml:space="preserve">-handtering. For eksempel </w:t>
      </w:r>
      <w:proofErr w:type="spellStart"/>
      <w:r w:rsidRPr="00CC19F7">
        <w:t>støttar</w:t>
      </w:r>
      <w:proofErr w:type="spellEnd"/>
      <w:r w:rsidRPr="00CC19F7">
        <w:t xml:space="preserve"> CLIMIT-Demo utviklinga av fangstteknologien </w:t>
      </w:r>
      <w:proofErr w:type="spellStart"/>
      <w:r w:rsidRPr="00CC19F7">
        <w:t>Moving</w:t>
      </w:r>
      <w:proofErr w:type="spellEnd"/>
      <w:r w:rsidRPr="00CC19F7">
        <w:t xml:space="preserve"> Bed </w:t>
      </w:r>
      <w:proofErr w:type="spellStart"/>
      <w:r w:rsidRPr="00CC19F7">
        <w:t>Carbonate</w:t>
      </w:r>
      <w:proofErr w:type="spellEnd"/>
      <w:r w:rsidRPr="00CC19F7">
        <w:t xml:space="preserve"> Looping (MBCL), patentert av Fjell Technology Group og NTNU, som kan gi svært låge energitap ved for eksempel fangst </w:t>
      </w:r>
      <w:proofErr w:type="spellStart"/>
      <w:r w:rsidRPr="00CC19F7">
        <w:t>frå</w:t>
      </w:r>
      <w:proofErr w:type="spellEnd"/>
      <w:r w:rsidRPr="00CC19F7">
        <w:t xml:space="preserve"> gasskraftverk. Utviklinga har fått støtte </w:t>
      </w:r>
      <w:proofErr w:type="spellStart"/>
      <w:r w:rsidRPr="00CC19F7">
        <w:t>frå</w:t>
      </w:r>
      <w:proofErr w:type="spellEnd"/>
      <w:r w:rsidRPr="00CC19F7">
        <w:t xml:space="preserve"> CLIMIT i tre </w:t>
      </w:r>
      <w:proofErr w:type="spellStart"/>
      <w:r w:rsidRPr="00CC19F7">
        <w:t>fasar</w:t>
      </w:r>
      <w:proofErr w:type="spellEnd"/>
      <w:r w:rsidRPr="00CC19F7">
        <w:t xml:space="preserve"> </w:t>
      </w:r>
      <w:proofErr w:type="spellStart"/>
      <w:r w:rsidRPr="00CC19F7">
        <w:t>sidan</w:t>
      </w:r>
      <w:proofErr w:type="spellEnd"/>
      <w:r w:rsidRPr="00CC19F7">
        <w:t xml:space="preserve"> 2016, og neste fase er venta å </w:t>
      </w:r>
      <w:proofErr w:type="spellStart"/>
      <w:r w:rsidRPr="00CC19F7">
        <w:t>vere</w:t>
      </w:r>
      <w:proofErr w:type="spellEnd"/>
      <w:r w:rsidRPr="00CC19F7">
        <w:t xml:space="preserve"> testing i pilotskala.</w:t>
      </w:r>
    </w:p>
    <w:p w14:paraId="098B3E76" w14:textId="77777777" w:rsidR="00FE02EF" w:rsidRPr="00CC19F7" w:rsidRDefault="00881E58" w:rsidP="00CC19F7">
      <w:r w:rsidRPr="00CC19F7">
        <w:t xml:space="preserve">Lagerprosjekta </w:t>
      </w:r>
      <w:proofErr w:type="gramStart"/>
      <w:r w:rsidRPr="00CC19F7">
        <w:t>fokuserer</w:t>
      </w:r>
      <w:proofErr w:type="gramEnd"/>
      <w:r w:rsidRPr="00CC19F7">
        <w:t xml:space="preserve"> på utvikling av </w:t>
      </w:r>
      <w:proofErr w:type="spellStart"/>
      <w:r w:rsidRPr="00CC19F7">
        <w:t>overvakingsteknologiar</w:t>
      </w:r>
      <w:proofErr w:type="spellEnd"/>
      <w:r w:rsidRPr="00CC19F7">
        <w:t xml:space="preserve">, testing av simuleringsverktøy for lager i gigatonnskala, datainnsamling for å oppnå </w:t>
      </w:r>
      <w:proofErr w:type="spellStart"/>
      <w:r w:rsidRPr="00CC19F7">
        <w:t>auka</w:t>
      </w:r>
      <w:proofErr w:type="spellEnd"/>
      <w:r w:rsidRPr="00CC19F7">
        <w:t xml:space="preserve"> reservoar- og takbergartsforståing, </w:t>
      </w:r>
      <w:proofErr w:type="spellStart"/>
      <w:r w:rsidRPr="00CC19F7">
        <w:t>studiar</w:t>
      </w:r>
      <w:proofErr w:type="spellEnd"/>
      <w:r w:rsidRPr="00CC19F7">
        <w:t xml:space="preserve"> av injeksjon i tomme petroleumsfelt, </w:t>
      </w:r>
      <w:proofErr w:type="spellStart"/>
      <w:r w:rsidRPr="00CC19F7">
        <w:t>studiar</w:t>
      </w:r>
      <w:proofErr w:type="spellEnd"/>
      <w:r w:rsidRPr="00CC19F7">
        <w:t xml:space="preserve"> av injeksjon i CO</w:t>
      </w:r>
      <w:r w:rsidRPr="00CC19F7">
        <w:rPr>
          <w:rStyle w:val="skrift-senket"/>
        </w:rPr>
        <w:t>2</w:t>
      </w:r>
      <w:r w:rsidRPr="00CC19F7">
        <w:t xml:space="preserve">-førande lag og </w:t>
      </w:r>
      <w:proofErr w:type="spellStart"/>
      <w:r w:rsidRPr="00CC19F7">
        <w:t>vurderingar</w:t>
      </w:r>
      <w:proofErr w:type="spellEnd"/>
      <w:r w:rsidRPr="00CC19F7">
        <w:t xml:space="preserve"> av potensialet for storskala CO</w:t>
      </w:r>
      <w:r w:rsidRPr="00CC19F7">
        <w:rPr>
          <w:rStyle w:val="skrift-senket"/>
        </w:rPr>
        <w:t>2</w:t>
      </w:r>
      <w:r w:rsidRPr="00CC19F7">
        <w:t xml:space="preserve">-lagring på norsk sokkel. CLIMIT-Demo </w:t>
      </w:r>
      <w:proofErr w:type="spellStart"/>
      <w:r w:rsidRPr="00CC19F7">
        <w:t>støttar</w:t>
      </w:r>
      <w:proofErr w:type="spellEnd"/>
      <w:r w:rsidRPr="00CC19F7">
        <w:t xml:space="preserve"> mellom anna </w:t>
      </w:r>
      <w:proofErr w:type="spellStart"/>
      <w:r w:rsidRPr="00CC19F7">
        <w:t>eit</w:t>
      </w:r>
      <w:proofErr w:type="spellEnd"/>
      <w:r w:rsidRPr="00CC19F7">
        <w:t xml:space="preserve"> prosjekt leia av NORCE som har starta opp fase to av simuleringssoftwareprosjektet HPC (</w:t>
      </w:r>
      <w:proofErr w:type="spellStart"/>
      <w:r w:rsidRPr="00CC19F7">
        <w:t>high</w:t>
      </w:r>
      <w:proofErr w:type="spellEnd"/>
      <w:r w:rsidRPr="00CC19F7">
        <w:t xml:space="preserve"> </w:t>
      </w:r>
      <w:proofErr w:type="spellStart"/>
      <w:r w:rsidRPr="00CC19F7">
        <w:t>performance</w:t>
      </w:r>
      <w:proofErr w:type="spellEnd"/>
      <w:r w:rsidRPr="00CC19F7">
        <w:t xml:space="preserve"> </w:t>
      </w:r>
      <w:proofErr w:type="spellStart"/>
      <w:r w:rsidRPr="00CC19F7">
        <w:t>computing</w:t>
      </w:r>
      <w:proofErr w:type="spellEnd"/>
      <w:r w:rsidRPr="00CC19F7">
        <w:t>) for gigatonnlager i 2022 som skal støtte opp under avgjerder om gigatonnlager for CO</w:t>
      </w:r>
      <w:r w:rsidRPr="00CC19F7">
        <w:rPr>
          <w:rStyle w:val="skrift-senket"/>
        </w:rPr>
        <w:t>2</w:t>
      </w:r>
      <w:r w:rsidRPr="00CC19F7">
        <w:t xml:space="preserve"> på norsk kontinentalsokkel. I tillegg har </w:t>
      </w:r>
      <w:proofErr w:type="spellStart"/>
      <w:r w:rsidRPr="00CC19F7">
        <w:t>eDrilling</w:t>
      </w:r>
      <w:proofErr w:type="spellEnd"/>
      <w:r w:rsidRPr="00CC19F7">
        <w:t xml:space="preserve"> AS fått støtte til å sjå på brønnkontroll ved boring i eller ved CO</w:t>
      </w:r>
      <w:r w:rsidRPr="00CC19F7">
        <w:rPr>
          <w:rStyle w:val="skrift-senket"/>
        </w:rPr>
        <w:t>2</w:t>
      </w:r>
      <w:r w:rsidRPr="00CC19F7">
        <w:t>-førande lag. Formålet er å forstå korleis borevæske vil reagere med CO</w:t>
      </w:r>
      <w:r w:rsidRPr="00CC19F7">
        <w:rPr>
          <w:rStyle w:val="skrift-senket"/>
        </w:rPr>
        <w:t>2</w:t>
      </w:r>
      <w:r w:rsidRPr="00CC19F7">
        <w:t>, ei problemstilling som det er venta blir aktuell i nær framtid.</w:t>
      </w:r>
    </w:p>
    <w:p w14:paraId="3DE7E832" w14:textId="77777777" w:rsidR="00FE02EF" w:rsidRPr="00CC19F7" w:rsidRDefault="00881E58" w:rsidP="00CC19F7">
      <w:r w:rsidRPr="00CC19F7">
        <w:t xml:space="preserve">Transportprosjekta har det til felles at </w:t>
      </w:r>
      <w:proofErr w:type="spellStart"/>
      <w:r w:rsidRPr="00CC19F7">
        <w:t>dei</w:t>
      </w:r>
      <w:proofErr w:type="spellEnd"/>
      <w:r w:rsidRPr="00CC19F7">
        <w:t xml:space="preserve"> fokuserer </w:t>
      </w:r>
      <w:proofErr w:type="spellStart"/>
      <w:r w:rsidRPr="00CC19F7">
        <w:t>meir</w:t>
      </w:r>
      <w:proofErr w:type="spellEnd"/>
      <w:r w:rsidRPr="00CC19F7">
        <w:t xml:space="preserve"> på reduksjon av kostnader og risiko ved dagens teknologi enn på utvikling av ny teknologi. Prosjekta </w:t>
      </w:r>
      <w:proofErr w:type="spellStart"/>
      <w:r w:rsidRPr="00CC19F7">
        <w:t>utviklar</w:t>
      </w:r>
      <w:proofErr w:type="spellEnd"/>
      <w:r w:rsidRPr="00CC19F7">
        <w:t xml:space="preserve"> programvare for simulering av </w:t>
      </w:r>
      <w:proofErr w:type="spellStart"/>
      <w:r w:rsidRPr="00CC19F7">
        <w:t>fleirfase</w:t>
      </w:r>
      <w:proofErr w:type="spellEnd"/>
      <w:r w:rsidRPr="00CC19F7">
        <w:t xml:space="preserve"> CO</w:t>
      </w:r>
      <w:r w:rsidRPr="00CC19F7">
        <w:rPr>
          <w:rStyle w:val="skrift-senket"/>
        </w:rPr>
        <w:t>2</w:t>
      </w:r>
      <w:r w:rsidRPr="00CC19F7">
        <w:t xml:space="preserve">-transport, undersøker korleis </w:t>
      </w:r>
      <w:proofErr w:type="spellStart"/>
      <w:r w:rsidRPr="00CC19F7">
        <w:t>ureinheiter</w:t>
      </w:r>
      <w:proofErr w:type="spellEnd"/>
      <w:r w:rsidRPr="00CC19F7">
        <w:t xml:space="preserve"> i CO</w:t>
      </w:r>
      <w:r w:rsidRPr="00CC19F7">
        <w:rPr>
          <w:rStyle w:val="skrift-senket"/>
        </w:rPr>
        <w:t>2</w:t>
      </w:r>
      <w:r w:rsidRPr="00CC19F7">
        <w:t xml:space="preserve">-straumen påverkar det korrosive miljøet, og </w:t>
      </w:r>
      <w:proofErr w:type="spellStart"/>
      <w:r w:rsidRPr="00CC19F7">
        <w:t>utviklar</w:t>
      </w:r>
      <w:proofErr w:type="spellEnd"/>
      <w:r w:rsidRPr="00CC19F7">
        <w:t xml:space="preserve"> nye </w:t>
      </w:r>
      <w:proofErr w:type="spellStart"/>
      <w:r w:rsidRPr="00CC19F7">
        <w:t>løysingar</w:t>
      </w:r>
      <w:proofErr w:type="spellEnd"/>
      <w:r w:rsidRPr="00CC19F7">
        <w:t xml:space="preserve"> for skipstransport av CO</w:t>
      </w:r>
      <w:r w:rsidRPr="00CC19F7">
        <w:rPr>
          <w:rStyle w:val="skrift-senket"/>
        </w:rPr>
        <w:t>2</w:t>
      </w:r>
      <w:r w:rsidRPr="00CC19F7">
        <w:t xml:space="preserve">. CLIMIT-Demo </w:t>
      </w:r>
      <w:proofErr w:type="spellStart"/>
      <w:r w:rsidRPr="00CC19F7">
        <w:t>støttar</w:t>
      </w:r>
      <w:proofErr w:type="spellEnd"/>
      <w:r w:rsidRPr="00CC19F7">
        <w:t xml:space="preserve"> to prosjekt som </w:t>
      </w:r>
      <w:proofErr w:type="spellStart"/>
      <w:r w:rsidRPr="00CC19F7">
        <w:t>utviklar</w:t>
      </w:r>
      <w:proofErr w:type="spellEnd"/>
      <w:r w:rsidRPr="00CC19F7">
        <w:t xml:space="preserve"> </w:t>
      </w:r>
      <w:proofErr w:type="spellStart"/>
      <w:r w:rsidRPr="00CC19F7">
        <w:t>løysingar</w:t>
      </w:r>
      <w:proofErr w:type="spellEnd"/>
      <w:r w:rsidRPr="00CC19F7">
        <w:t xml:space="preserve"> for </w:t>
      </w:r>
      <w:proofErr w:type="spellStart"/>
      <w:r w:rsidRPr="00CC19F7">
        <w:t>lågare</w:t>
      </w:r>
      <w:proofErr w:type="spellEnd"/>
      <w:r w:rsidRPr="00CC19F7">
        <w:t xml:space="preserve"> og </w:t>
      </w:r>
      <w:proofErr w:type="spellStart"/>
      <w:r w:rsidRPr="00CC19F7">
        <w:t>høgare</w:t>
      </w:r>
      <w:proofErr w:type="spellEnd"/>
      <w:r w:rsidRPr="00CC19F7">
        <w:t xml:space="preserve"> trykk enn det som er dagens </w:t>
      </w:r>
      <w:proofErr w:type="spellStart"/>
      <w:r w:rsidRPr="00CC19F7">
        <w:t>løysingar</w:t>
      </w:r>
      <w:proofErr w:type="spellEnd"/>
      <w:r w:rsidRPr="00CC19F7">
        <w:t xml:space="preserve"> for transport av CO</w:t>
      </w:r>
      <w:r w:rsidRPr="00CC19F7">
        <w:rPr>
          <w:rStyle w:val="skrift-senket"/>
        </w:rPr>
        <w:t>2</w:t>
      </w:r>
      <w:r w:rsidRPr="00CC19F7">
        <w:t xml:space="preserve">. Både </w:t>
      </w:r>
      <w:proofErr w:type="spellStart"/>
      <w:r w:rsidRPr="00CC19F7">
        <w:t>høgare</w:t>
      </w:r>
      <w:proofErr w:type="spellEnd"/>
      <w:r w:rsidRPr="00CC19F7">
        <w:t xml:space="preserve"> og </w:t>
      </w:r>
      <w:proofErr w:type="spellStart"/>
      <w:r w:rsidRPr="00CC19F7">
        <w:t>lågare</w:t>
      </w:r>
      <w:proofErr w:type="spellEnd"/>
      <w:r w:rsidRPr="00CC19F7">
        <w:t xml:space="preserve"> trykk enn mellomtrykk kan av tekniske og økonomiske årsaker </w:t>
      </w:r>
      <w:proofErr w:type="spellStart"/>
      <w:r w:rsidRPr="00CC19F7">
        <w:t>vere</w:t>
      </w:r>
      <w:proofErr w:type="spellEnd"/>
      <w:r w:rsidRPr="00CC19F7">
        <w:t xml:space="preserve"> konkurransedyktige </w:t>
      </w:r>
      <w:proofErr w:type="spellStart"/>
      <w:r w:rsidRPr="00CC19F7">
        <w:t>løysingar</w:t>
      </w:r>
      <w:proofErr w:type="spellEnd"/>
      <w:r w:rsidRPr="00CC19F7">
        <w:t xml:space="preserve"> for framtidige prosjekt.</w:t>
      </w:r>
    </w:p>
    <w:p w14:paraId="04C389E7" w14:textId="77777777" w:rsidR="00FE02EF" w:rsidRPr="00CC19F7" w:rsidRDefault="00881E58" w:rsidP="00CC19F7">
      <w:pPr>
        <w:pStyle w:val="Ramme-slutt"/>
      </w:pPr>
      <w:r w:rsidRPr="00CC19F7">
        <w:t>[Boks slutt]</w:t>
      </w:r>
    </w:p>
    <w:p w14:paraId="5C8E1E2F" w14:textId="77777777" w:rsidR="00FE02EF" w:rsidRPr="00CC19F7" w:rsidRDefault="00881E58" w:rsidP="00CC19F7">
      <w:pPr>
        <w:pStyle w:val="avsnitt-undertittel"/>
      </w:pPr>
      <w:r w:rsidRPr="00CC19F7">
        <w:t xml:space="preserve">Petroleum på veg mot </w:t>
      </w:r>
      <w:proofErr w:type="spellStart"/>
      <w:r w:rsidRPr="00CC19F7">
        <w:t>eit</w:t>
      </w:r>
      <w:proofErr w:type="spellEnd"/>
      <w:r w:rsidRPr="00CC19F7">
        <w:t xml:space="preserve"> nullutsleppssamfunn</w:t>
      </w:r>
    </w:p>
    <w:p w14:paraId="5328E4EA" w14:textId="77777777" w:rsidR="00FE02EF" w:rsidRPr="00CC19F7" w:rsidRDefault="00881E58" w:rsidP="00CC19F7">
      <w:r w:rsidRPr="00CC19F7">
        <w:t xml:space="preserve">Forskingsrådets målretta </w:t>
      </w:r>
      <w:proofErr w:type="spellStart"/>
      <w:r w:rsidRPr="00CC19F7">
        <w:t>satsingar</w:t>
      </w:r>
      <w:proofErr w:type="spellEnd"/>
      <w:r w:rsidRPr="00CC19F7">
        <w:t xml:space="preserve"> </w:t>
      </w:r>
      <w:proofErr w:type="spellStart"/>
      <w:r w:rsidRPr="00CC19F7">
        <w:t>innanfor</w:t>
      </w:r>
      <w:proofErr w:type="spellEnd"/>
      <w:r w:rsidRPr="00CC19F7">
        <w:t xml:space="preserve"> petroleumssektoren omfatta i 2022 </w:t>
      </w:r>
      <w:proofErr w:type="spellStart"/>
      <w:r w:rsidRPr="00CC19F7">
        <w:t>dei</w:t>
      </w:r>
      <w:proofErr w:type="spellEnd"/>
      <w:r w:rsidRPr="00CC19F7">
        <w:t xml:space="preserve"> tre </w:t>
      </w:r>
      <w:proofErr w:type="spellStart"/>
      <w:r w:rsidRPr="00CC19F7">
        <w:t>aktivitetane</w:t>
      </w:r>
      <w:proofErr w:type="spellEnd"/>
      <w:r w:rsidRPr="00CC19F7">
        <w:t xml:space="preserve"> PETROMAKS 2, DEMO 2000 og PETROSENTER. Olje- og energidepartementet finansierte </w:t>
      </w:r>
      <w:proofErr w:type="spellStart"/>
      <w:r w:rsidRPr="00CC19F7">
        <w:t>hovuddelen</w:t>
      </w:r>
      <w:proofErr w:type="spellEnd"/>
      <w:r w:rsidRPr="00CC19F7">
        <w:t xml:space="preserve"> av aktiviteten.</w:t>
      </w:r>
    </w:p>
    <w:p w14:paraId="62E2B7CD" w14:textId="77777777" w:rsidR="00FE02EF" w:rsidRPr="00CC19F7" w:rsidRDefault="00881E58" w:rsidP="00CC19F7">
      <w:r w:rsidRPr="00CC19F7">
        <w:t xml:space="preserve">Prosjekta i petroleumsporteføljen bidrar med kunnskap og teknologi for ei </w:t>
      </w:r>
      <w:proofErr w:type="spellStart"/>
      <w:r w:rsidRPr="00CC19F7">
        <w:t>meir</w:t>
      </w:r>
      <w:proofErr w:type="spellEnd"/>
      <w:r w:rsidRPr="00CC19F7">
        <w:t xml:space="preserve"> kostnadseffektiv og </w:t>
      </w:r>
      <w:proofErr w:type="spellStart"/>
      <w:r w:rsidRPr="00CC19F7">
        <w:t>sikrare</w:t>
      </w:r>
      <w:proofErr w:type="spellEnd"/>
      <w:r w:rsidRPr="00CC19F7">
        <w:t xml:space="preserve"> </w:t>
      </w:r>
      <w:proofErr w:type="spellStart"/>
      <w:r w:rsidRPr="00CC19F7">
        <w:t>verksemd</w:t>
      </w:r>
      <w:proofErr w:type="spellEnd"/>
      <w:r w:rsidRPr="00CC19F7">
        <w:t xml:space="preserve">, og også ei </w:t>
      </w:r>
      <w:proofErr w:type="spellStart"/>
      <w:r w:rsidRPr="00CC19F7">
        <w:t>verksemd</w:t>
      </w:r>
      <w:proofErr w:type="spellEnd"/>
      <w:r w:rsidRPr="00CC19F7">
        <w:t xml:space="preserve"> med </w:t>
      </w:r>
      <w:proofErr w:type="spellStart"/>
      <w:r w:rsidRPr="00CC19F7">
        <w:t>eit</w:t>
      </w:r>
      <w:proofErr w:type="spellEnd"/>
      <w:r w:rsidRPr="00CC19F7">
        <w:t xml:space="preserve"> mindre miljømessig fotavtrykk. </w:t>
      </w:r>
      <w:proofErr w:type="spellStart"/>
      <w:r w:rsidRPr="00CC19F7">
        <w:t>Utlysingane</w:t>
      </w:r>
      <w:proofErr w:type="spellEnd"/>
      <w:r w:rsidRPr="00CC19F7">
        <w:t xml:space="preserve"> i 2022 har særskilt prioritert å nå måla for reduksjon av klimagassutslepp </w:t>
      </w:r>
      <w:proofErr w:type="spellStart"/>
      <w:r w:rsidRPr="00CC19F7">
        <w:t>frå</w:t>
      </w:r>
      <w:proofErr w:type="spellEnd"/>
      <w:r w:rsidRPr="00CC19F7">
        <w:t xml:space="preserve"> sektoren </w:t>
      </w:r>
      <w:proofErr w:type="spellStart"/>
      <w:r w:rsidRPr="00CC19F7">
        <w:t>innan</w:t>
      </w:r>
      <w:proofErr w:type="spellEnd"/>
      <w:r w:rsidRPr="00CC19F7">
        <w:t xml:space="preserve"> 2030 og 2050. Miljøperspektivet er </w:t>
      </w:r>
      <w:proofErr w:type="spellStart"/>
      <w:r w:rsidRPr="00CC19F7">
        <w:t>ytterlegare</w:t>
      </w:r>
      <w:proofErr w:type="spellEnd"/>
      <w:r w:rsidRPr="00CC19F7">
        <w:t xml:space="preserve"> styrkt gjennom deltaking i nasjonale og internasjonale </w:t>
      </w:r>
      <w:proofErr w:type="spellStart"/>
      <w:r w:rsidRPr="00CC19F7">
        <w:t>fellesutlysingar</w:t>
      </w:r>
      <w:proofErr w:type="spellEnd"/>
      <w:r w:rsidRPr="00CC19F7">
        <w:t xml:space="preserve"> i 2022 med </w:t>
      </w:r>
      <w:proofErr w:type="gramStart"/>
      <w:r w:rsidRPr="00CC19F7">
        <w:t>fokus</w:t>
      </w:r>
      <w:proofErr w:type="gramEnd"/>
      <w:r w:rsidRPr="00CC19F7">
        <w:t xml:space="preserve"> på marint miljø og energiomstilling.</w:t>
      </w:r>
    </w:p>
    <w:p w14:paraId="2EB228A9" w14:textId="77777777" w:rsidR="00FE02EF" w:rsidRPr="00CC19F7" w:rsidRDefault="00881E58" w:rsidP="00CC19F7">
      <w:r w:rsidRPr="00CC19F7">
        <w:t xml:space="preserve">Både PETROMAKS 2 og DEMO 2000 har størst volum av prosjekt </w:t>
      </w:r>
      <w:proofErr w:type="spellStart"/>
      <w:r w:rsidRPr="00CC19F7">
        <w:t>innan</w:t>
      </w:r>
      <w:proofErr w:type="spellEnd"/>
      <w:r w:rsidRPr="00CC19F7">
        <w:t xml:space="preserve"> </w:t>
      </w:r>
      <w:proofErr w:type="spellStart"/>
      <w:r w:rsidRPr="00CC19F7">
        <w:t>temaa</w:t>
      </w:r>
      <w:proofErr w:type="spellEnd"/>
      <w:r w:rsidRPr="00CC19F7">
        <w:t xml:space="preserve"> «Boring, komplettering, intervensjon og permanent avstenging av </w:t>
      </w:r>
      <w:proofErr w:type="spellStart"/>
      <w:r w:rsidRPr="00CC19F7">
        <w:t>brønnar</w:t>
      </w:r>
      <w:proofErr w:type="spellEnd"/>
      <w:r w:rsidRPr="00CC19F7">
        <w:t xml:space="preserve"> (P&amp;A)» og «Produksjon, prosessering og transport». Det er likevel ei god fordeling på alle tema. I tråd med OG21-strategien har prosjekta bidratt til kompetanseutvikling, større petroleumsreservar, </w:t>
      </w:r>
      <w:proofErr w:type="spellStart"/>
      <w:r w:rsidRPr="00CC19F7">
        <w:t>auka</w:t>
      </w:r>
      <w:proofErr w:type="spellEnd"/>
      <w:r w:rsidRPr="00CC19F7">
        <w:t xml:space="preserve"> verdiskaping og </w:t>
      </w:r>
      <w:proofErr w:type="spellStart"/>
      <w:r w:rsidRPr="00CC19F7">
        <w:t>lågare</w:t>
      </w:r>
      <w:proofErr w:type="spellEnd"/>
      <w:r w:rsidRPr="00CC19F7">
        <w:t xml:space="preserve"> klimagassutslepp på norsk sokkel.</w:t>
      </w:r>
    </w:p>
    <w:p w14:paraId="03CEB889" w14:textId="77777777" w:rsidR="00FE02EF" w:rsidRPr="00CC19F7" w:rsidRDefault="00881E58" w:rsidP="00CC19F7">
      <w:r w:rsidRPr="00CC19F7">
        <w:t xml:space="preserve">Av det totale budsjettet i den målretta porteføljen i 2022 blei om lag 51 prosent tildelt prosjekt i næringslivet. Næringslivet er også viktige </w:t>
      </w:r>
      <w:proofErr w:type="spellStart"/>
      <w:r w:rsidRPr="00CC19F7">
        <w:t>deltakarar</w:t>
      </w:r>
      <w:proofErr w:type="spellEnd"/>
      <w:r w:rsidRPr="00CC19F7">
        <w:t xml:space="preserve"> i </w:t>
      </w:r>
      <w:proofErr w:type="spellStart"/>
      <w:r w:rsidRPr="00CC19F7">
        <w:t>fleire</w:t>
      </w:r>
      <w:proofErr w:type="spellEnd"/>
      <w:r w:rsidRPr="00CC19F7">
        <w:t xml:space="preserve"> av </w:t>
      </w:r>
      <w:proofErr w:type="spellStart"/>
      <w:r w:rsidRPr="00CC19F7">
        <w:t>søknadstypane</w:t>
      </w:r>
      <w:proofErr w:type="spellEnd"/>
      <w:r w:rsidRPr="00CC19F7">
        <w:t xml:space="preserve"> retta mot </w:t>
      </w:r>
      <w:proofErr w:type="spellStart"/>
      <w:r w:rsidRPr="00CC19F7">
        <w:t>forskingsorganisasjonar</w:t>
      </w:r>
      <w:proofErr w:type="spellEnd"/>
      <w:r w:rsidRPr="00CC19F7">
        <w:t xml:space="preserve">, og i </w:t>
      </w:r>
      <w:proofErr w:type="spellStart"/>
      <w:r w:rsidRPr="00CC19F7">
        <w:t>utlysingane</w:t>
      </w:r>
      <w:proofErr w:type="spellEnd"/>
      <w:r w:rsidRPr="00CC19F7">
        <w:t xml:space="preserve"> for 2022 bidrog utlysing av kompetanseprosjekt for næringslivet (KPN) i PETROMAKS 2 til at omtrent 86 prosent av </w:t>
      </w:r>
      <w:proofErr w:type="spellStart"/>
      <w:r w:rsidRPr="00CC19F7">
        <w:t>tildelingane</w:t>
      </w:r>
      <w:proofErr w:type="spellEnd"/>
      <w:r w:rsidRPr="00CC19F7">
        <w:t xml:space="preserve"> i petroleumsporteføljen hadde deltaking </w:t>
      </w:r>
      <w:proofErr w:type="spellStart"/>
      <w:r w:rsidRPr="00CC19F7">
        <w:t>frå</w:t>
      </w:r>
      <w:proofErr w:type="spellEnd"/>
      <w:r w:rsidRPr="00CC19F7">
        <w:t xml:space="preserve"> næringslivet. Det var i 2022 kunngjort </w:t>
      </w:r>
      <w:proofErr w:type="spellStart"/>
      <w:r w:rsidRPr="00CC19F7">
        <w:t>meir</w:t>
      </w:r>
      <w:proofErr w:type="spellEnd"/>
      <w:r w:rsidRPr="00CC19F7">
        <w:t xml:space="preserve"> </w:t>
      </w:r>
      <w:proofErr w:type="spellStart"/>
      <w:r w:rsidRPr="00CC19F7">
        <w:t>midlar</w:t>
      </w:r>
      <w:proofErr w:type="spellEnd"/>
      <w:r w:rsidRPr="00CC19F7">
        <w:t xml:space="preserve"> enn det som blei tildelt til nye prosjekt, </w:t>
      </w:r>
      <w:proofErr w:type="spellStart"/>
      <w:r w:rsidRPr="00CC19F7">
        <w:t>noko</w:t>
      </w:r>
      <w:proofErr w:type="spellEnd"/>
      <w:r w:rsidRPr="00CC19F7">
        <w:t xml:space="preserve"> som i </w:t>
      </w:r>
      <w:proofErr w:type="spellStart"/>
      <w:r w:rsidRPr="00CC19F7">
        <w:t>hovudsak</w:t>
      </w:r>
      <w:proofErr w:type="spellEnd"/>
      <w:r w:rsidRPr="00CC19F7">
        <w:t xml:space="preserve"> kjem av tiltak for å redusere Forskingsrådets negative </w:t>
      </w:r>
      <w:proofErr w:type="spellStart"/>
      <w:r w:rsidRPr="00CC19F7">
        <w:t>avsetningar</w:t>
      </w:r>
      <w:proofErr w:type="spellEnd"/>
      <w:r w:rsidRPr="00CC19F7">
        <w:t xml:space="preserve">. For DEMO 2000 var det </w:t>
      </w:r>
      <w:proofErr w:type="spellStart"/>
      <w:r w:rsidRPr="00CC19F7">
        <w:t>eit</w:t>
      </w:r>
      <w:proofErr w:type="spellEnd"/>
      <w:r w:rsidRPr="00CC19F7">
        <w:t xml:space="preserve"> tilleggsmoment at søknadsvolumet var mindre enn forventa.</w:t>
      </w:r>
    </w:p>
    <w:p w14:paraId="2C8A0AC8" w14:textId="77777777" w:rsidR="00FE02EF" w:rsidRPr="00CC19F7" w:rsidRDefault="00881E58" w:rsidP="00CC19F7">
      <w:r w:rsidRPr="00CC19F7">
        <w:t xml:space="preserve">Ei </w:t>
      </w:r>
      <w:proofErr w:type="spellStart"/>
      <w:r w:rsidRPr="00CC19F7">
        <w:t>planlagd</w:t>
      </w:r>
      <w:proofErr w:type="spellEnd"/>
      <w:r w:rsidRPr="00CC19F7">
        <w:t xml:space="preserve"> norsk-russisk bilateral utlysing retta mot miljøaspekt og </w:t>
      </w:r>
      <w:proofErr w:type="spellStart"/>
      <w:r w:rsidRPr="00CC19F7">
        <w:t>berekraftig</w:t>
      </w:r>
      <w:proofErr w:type="spellEnd"/>
      <w:r w:rsidRPr="00CC19F7">
        <w:t xml:space="preserve"> utvikling av </w:t>
      </w:r>
      <w:proofErr w:type="spellStart"/>
      <w:r w:rsidRPr="00CC19F7">
        <w:t>ressursar</w:t>
      </w:r>
      <w:proofErr w:type="spellEnd"/>
      <w:r w:rsidRPr="00CC19F7">
        <w:t xml:space="preserve"> i nordområda blei kansellert på grunn av Russlands invasjon i Ukraina.</w:t>
      </w:r>
    </w:p>
    <w:p w14:paraId="46CC582C" w14:textId="77777777" w:rsidR="00FE02EF" w:rsidRPr="00CC19F7" w:rsidRDefault="00881E58" w:rsidP="00CC19F7">
      <w:r w:rsidRPr="00CC19F7">
        <w:t xml:space="preserve">PETROMAKS 2 og DEMO 2000 har over </w:t>
      </w:r>
      <w:proofErr w:type="spellStart"/>
      <w:r w:rsidRPr="00CC19F7">
        <w:t>fleire</w:t>
      </w:r>
      <w:proofErr w:type="spellEnd"/>
      <w:r w:rsidRPr="00CC19F7">
        <w:t xml:space="preserve"> år hatt ei samla </w:t>
      </w:r>
      <w:proofErr w:type="spellStart"/>
      <w:r w:rsidRPr="00CC19F7">
        <w:t>årleg</w:t>
      </w:r>
      <w:proofErr w:type="spellEnd"/>
      <w:r w:rsidRPr="00CC19F7">
        <w:t xml:space="preserve"> </w:t>
      </w:r>
      <w:proofErr w:type="spellStart"/>
      <w:r w:rsidRPr="00CC19F7">
        <w:t>øyremerking</w:t>
      </w:r>
      <w:proofErr w:type="spellEnd"/>
      <w:r w:rsidRPr="00CC19F7">
        <w:t xml:space="preserve"> retta mot energieffektivisering og reduksjon av klimagassutslepp knytt til olje- og gassproduksjon på norsk sokkel. </w:t>
      </w:r>
      <w:proofErr w:type="spellStart"/>
      <w:r w:rsidRPr="00CC19F7">
        <w:t>Øyremerkinga</w:t>
      </w:r>
      <w:proofErr w:type="spellEnd"/>
      <w:r w:rsidRPr="00CC19F7">
        <w:t xml:space="preserve"> var på 35 mill. kroner i 2022. I 2022 var tildelinga til prosjekt målretta mot reduksjon av klimagassutslepp og energieffektivisering </w:t>
      </w:r>
      <w:proofErr w:type="spellStart"/>
      <w:r w:rsidRPr="00CC19F7">
        <w:t>aukande</w:t>
      </w:r>
      <w:proofErr w:type="spellEnd"/>
      <w:r w:rsidRPr="00CC19F7">
        <w:t xml:space="preserve">, og det er </w:t>
      </w:r>
      <w:proofErr w:type="spellStart"/>
      <w:r w:rsidRPr="00CC19F7">
        <w:t>særleg</w:t>
      </w:r>
      <w:proofErr w:type="spellEnd"/>
      <w:r w:rsidRPr="00CC19F7">
        <w:t xml:space="preserve"> PETROMAKS 2 som bidrar til dette. Det blei også gjort </w:t>
      </w:r>
      <w:proofErr w:type="spellStart"/>
      <w:r w:rsidRPr="00CC19F7">
        <w:t>ein</w:t>
      </w:r>
      <w:proofErr w:type="spellEnd"/>
      <w:r w:rsidRPr="00CC19F7">
        <w:t xml:space="preserve"> ny analyse av porteføljen med tanke på </w:t>
      </w:r>
      <w:proofErr w:type="spellStart"/>
      <w:r w:rsidRPr="00CC19F7">
        <w:t>effektar</w:t>
      </w:r>
      <w:proofErr w:type="spellEnd"/>
      <w:r w:rsidRPr="00CC19F7">
        <w:t xml:space="preserve"> som bidrar til klimamåla. Analysen blei gjort på nye prosjekt i perioden 2018–2021 og viste at heile 137 av </w:t>
      </w:r>
      <w:proofErr w:type="spellStart"/>
      <w:r w:rsidRPr="00CC19F7">
        <w:t>dei</w:t>
      </w:r>
      <w:proofErr w:type="spellEnd"/>
      <w:r w:rsidRPr="00CC19F7">
        <w:t xml:space="preserve"> nye prosjekta i denne perioden vil gi positive </w:t>
      </w:r>
      <w:proofErr w:type="spellStart"/>
      <w:r w:rsidRPr="00CC19F7">
        <w:t>effektar</w:t>
      </w:r>
      <w:proofErr w:type="spellEnd"/>
      <w:r w:rsidRPr="00CC19F7">
        <w:t xml:space="preserve"> for miljøet. Resultata </w:t>
      </w:r>
      <w:proofErr w:type="spellStart"/>
      <w:r w:rsidRPr="00CC19F7">
        <w:t>frå</w:t>
      </w:r>
      <w:proofErr w:type="spellEnd"/>
      <w:r w:rsidRPr="00CC19F7">
        <w:t xml:space="preserve"> forskinga vil bidra til reduserte utslepp av </w:t>
      </w:r>
      <w:proofErr w:type="spellStart"/>
      <w:r w:rsidRPr="00CC19F7">
        <w:t>klimagassar</w:t>
      </w:r>
      <w:proofErr w:type="spellEnd"/>
      <w:r w:rsidRPr="00CC19F7">
        <w:t xml:space="preserve">, </w:t>
      </w:r>
      <w:proofErr w:type="spellStart"/>
      <w:r w:rsidRPr="00CC19F7">
        <w:t>anten</w:t>
      </w:r>
      <w:proofErr w:type="spellEnd"/>
      <w:r w:rsidRPr="00CC19F7">
        <w:t xml:space="preserve"> direkte ved reduksjon av </w:t>
      </w:r>
      <w:proofErr w:type="spellStart"/>
      <w:r w:rsidRPr="00CC19F7">
        <w:t>antal</w:t>
      </w:r>
      <w:proofErr w:type="spellEnd"/>
      <w:r w:rsidRPr="00CC19F7">
        <w:t xml:space="preserve"> tonn CO</w:t>
      </w:r>
      <w:r w:rsidRPr="00CC19F7">
        <w:rPr>
          <w:rStyle w:val="skrift-senket"/>
        </w:rPr>
        <w:t>2</w:t>
      </w:r>
      <w:r w:rsidRPr="00CC19F7">
        <w:t xml:space="preserve"> produsert eller indirekte ved </w:t>
      </w:r>
      <w:proofErr w:type="spellStart"/>
      <w:r w:rsidRPr="00CC19F7">
        <w:t>meir</w:t>
      </w:r>
      <w:proofErr w:type="spellEnd"/>
      <w:r w:rsidRPr="00CC19F7">
        <w:t xml:space="preserve"> energieffektive </w:t>
      </w:r>
      <w:proofErr w:type="spellStart"/>
      <w:r w:rsidRPr="00CC19F7">
        <w:t>prosessar</w:t>
      </w:r>
      <w:proofErr w:type="spellEnd"/>
      <w:r w:rsidRPr="00CC19F7">
        <w:t xml:space="preserve">. 68 prosent av prosjekta i analysen </w:t>
      </w:r>
      <w:proofErr w:type="spellStart"/>
      <w:r w:rsidRPr="00CC19F7">
        <w:t>stadfestar</w:t>
      </w:r>
      <w:proofErr w:type="spellEnd"/>
      <w:r w:rsidRPr="00CC19F7">
        <w:t xml:space="preserve"> at prosjekta </w:t>
      </w:r>
      <w:proofErr w:type="spellStart"/>
      <w:r w:rsidRPr="00CC19F7">
        <w:t>deira</w:t>
      </w:r>
      <w:proofErr w:type="spellEnd"/>
      <w:r w:rsidRPr="00CC19F7">
        <w:t xml:space="preserve"> har potensial for energieffektivisering eller mindre utslepp til luft.</w:t>
      </w:r>
    </w:p>
    <w:p w14:paraId="285F6EB2" w14:textId="77777777" w:rsidR="00FE02EF" w:rsidRPr="00CC19F7" w:rsidRDefault="00881E58" w:rsidP="00CC19F7">
      <w:r w:rsidRPr="00CC19F7">
        <w:t xml:space="preserve">HMS og storulykker er </w:t>
      </w:r>
      <w:proofErr w:type="spellStart"/>
      <w:r w:rsidRPr="00CC19F7">
        <w:t>ein</w:t>
      </w:r>
      <w:proofErr w:type="spellEnd"/>
      <w:r w:rsidRPr="00CC19F7">
        <w:t xml:space="preserve"> integrert del av petroleumsporteføljen, og i den reviderte OG21-strategien er temaet utvida til også å omfatte denne porteføljen.</w:t>
      </w:r>
    </w:p>
    <w:p w14:paraId="70266CEA" w14:textId="77777777" w:rsidR="00FE02EF" w:rsidRPr="00CC19F7" w:rsidRDefault="00881E58" w:rsidP="00CC19F7">
      <w:r w:rsidRPr="00CC19F7">
        <w:t xml:space="preserve">PETROMAKS 2 og DEMO 2000 erfarte i 2022 </w:t>
      </w:r>
      <w:proofErr w:type="spellStart"/>
      <w:r w:rsidRPr="00CC19F7">
        <w:t>ein</w:t>
      </w:r>
      <w:proofErr w:type="spellEnd"/>
      <w:r w:rsidRPr="00CC19F7">
        <w:t xml:space="preserve"> nedgang i </w:t>
      </w:r>
      <w:proofErr w:type="gramStart"/>
      <w:r w:rsidRPr="00CC19F7">
        <w:t>innsende</w:t>
      </w:r>
      <w:proofErr w:type="gramEnd"/>
      <w:r w:rsidRPr="00CC19F7">
        <w:t xml:space="preserve"> søknader, og da </w:t>
      </w:r>
      <w:proofErr w:type="spellStart"/>
      <w:r w:rsidRPr="00CC19F7">
        <w:t>særleg</w:t>
      </w:r>
      <w:proofErr w:type="spellEnd"/>
      <w:r w:rsidRPr="00CC19F7">
        <w:t xml:space="preserve"> </w:t>
      </w:r>
      <w:proofErr w:type="spellStart"/>
      <w:r w:rsidRPr="00CC19F7">
        <w:t>frå</w:t>
      </w:r>
      <w:proofErr w:type="spellEnd"/>
      <w:r w:rsidRPr="00CC19F7">
        <w:t xml:space="preserve"> næringslivet. Men </w:t>
      </w:r>
      <w:proofErr w:type="spellStart"/>
      <w:r w:rsidRPr="00CC19F7">
        <w:t>dei</w:t>
      </w:r>
      <w:proofErr w:type="spellEnd"/>
      <w:r w:rsidRPr="00CC19F7">
        <w:t xml:space="preserve"> innsende søknadene hadde </w:t>
      </w:r>
      <w:proofErr w:type="spellStart"/>
      <w:r w:rsidRPr="00CC19F7">
        <w:t>høg</w:t>
      </w:r>
      <w:proofErr w:type="spellEnd"/>
      <w:r w:rsidRPr="00CC19F7">
        <w:t xml:space="preserve"> kvalitet, så det løyvde prosjektvolumet held </w:t>
      </w:r>
      <w:proofErr w:type="spellStart"/>
      <w:r w:rsidRPr="00CC19F7">
        <w:t>høg</w:t>
      </w:r>
      <w:proofErr w:type="spellEnd"/>
      <w:r w:rsidRPr="00CC19F7">
        <w:t xml:space="preserve"> kvalitet.</w:t>
      </w:r>
    </w:p>
    <w:p w14:paraId="0D2D4D70" w14:textId="77777777" w:rsidR="00FE02EF" w:rsidRPr="00CC19F7" w:rsidRDefault="00881E58" w:rsidP="00CC19F7">
      <w:r w:rsidRPr="00CC19F7">
        <w:t xml:space="preserve">PETROSENTER hadde i 2022 tre aktive senter, og </w:t>
      </w:r>
      <w:proofErr w:type="spellStart"/>
      <w:r w:rsidRPr="00CC19F7">
        <w:t>eitt</w:t>
      </w:r>
      <w:proofErr w:type="spellEnd"/>
      <w:r w:rsidRPr="00CC19F7">
        <w:t xml:space="preserve"> av </w:t>
      </w:r>
      <w:proofErr w:type="spellStart"/>
      <w:r w:rsidRPr="00CC19F7">
        <w:t>dei</w:t>
      </w:r>
      <w:proofErr w:type="spellEnd"/>
      <w:r w:rsidRPr="00CC19F7">
        <w:t xml:space="preserve"> – </w:t>
      </w:r>
      <w:proofErr w:type="spellStart"/>
      <w:r w:rsidRPr="00CC19F7">
        <w:t>Lågutsleppssenteret</w:t>
      </w:r>
      <w:proofErr w:type="spellEnd"/>
      <w:r w:rsidRPr="00CC19F7">
        <w:t xml:space="preserve"> – blei midtvegsevaluert.</w:t>
      </w:r>
    </w:p>
    <w:p w14:paraId="1E00820E" w14:textId="640F95E9" w:rsidR="00FE02EF" w:rsidRPr="00CC19F7" w:rsidRDefault="00A06A7F" w:rsidP="00CC19F7">
      <w:r>
        <w:rPr>
          <w:noProof/>
        </w:rPr>
        <w:drawing>
          <wp:inline distT="0" distB="0" distL="0" distR="0" wp14:anchorId="4F4EA49E" wp14:editId="444D49A8">
            <wp:extent cx="6076950" cy="3238500"/>
            <wp:effectExtent l="0" t="0" r="0" b="0"/>
            <wp:docPr id="13" name="Bil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76950" cy="3238500"/>
                    </a:xfrm>
                    <a:prstGeom prst="rect">
                      <a:avLst/>
                    </a:prstGeom>
                    <a:noFill/>
                    <a:ln>
                      <a:noFill/>
                    </a:ln>
                  </pic:spPr>
                </pic:pic>
              </a:graphicData>
            </a:graphic>
          </wp:inline>
        </w:drawing>
      </w:r>
    </w:p>
    <w:p w14:paraId="148A07B0" w14:textId="77777777" w:rsidR="00FE02EF" w:rsidRPr="00CC19F7" w:rsidRDefault="00881E58" w:rsidP="00CC19F7">
      <w:pPr>
        <w:pStyle w:val="figur-tittel"/>
      </w:pPr>
      <w:r w:rsidRPr="00CC19F7">
        <w:t xml:space="preserve">Finansiering </w:t>
      </w:r>
      <w:proofErr w:type="spellStart"/>
      <w:r w:rsidRPr="00CC19F7">
        <w:t>frå</w:t>
      </w:r>
      <w:proofErr w:type="spellEnd"/>
      <w:r w:rsidRPr="00CC19F7">
        <w:t xml:space="preserve"> DEMO 2000, PETROMAKS 2 og PETROSENTER til aktive prosjekt i perioden 2019–2022 per temaområde</w:t>
      </w:r>
    </w:p>
    <w:p w14:paraId="0E55B20C" w14:textId="44F6EA5B" w:rsidR="00FE02EF" w:rsidRDefault="00881E58" w:rsidP="00CC19F7">
      <w:pPr>
        <w:pStyle w:val="Kilde"/>
      </w:pPr>
      <w:r w:rsidRPr="00CC19F7">
        <w:t xml:space="preserve">Kjelde: </w:t>
      </w:r>
      <w:proofErr w:type="spellStart"/>
      <w:r w:rsidRPr="00CC19F7">
        <w:t>Noregs</w:t>
      </w:r>
      <w:proofErr w:type="spellEnd"/>
      <w:r w:rsidRPr="00CC19F7">
        <w:t xml:space="preserve"> forskingsråd</w:t>
      </w:r>
    </w:p>
    <w:p w14:paraId="4C14FB65" w14:textId="5BFD380B" w:rsidR="00A06A7F" w:rsidRPr="00A06A7F" w:rsidRDefault="00A06A7F" w:rsidP="00A06A7F">
      <w:pPr>
        <w:pStyle w:val="tabell-tittel"/>
      </w:pPr>
      <w:r w:rsidRPr="00CC19F7">
        <w:t>Nøkkeltal for PETROMAKS 2, DEMO 2000 og PETROSENTER</w:t>
      </w:r>
    </w:p>
    <w:p w14:paraId="089C384D" w14:textId="77777777" w:rsidR="00FE02EF" w:rsidRPr="00CC19F7" w:rsidRDefault="00881E58" w:rsidP="00CC19F7">
      <w:pPr>
        <w:pStyle w:val="Tabellnavn"/>
      </w:pPr>
      <w:r w:rsidRPr="00CC19F7">
        <w:t>03J1xt2</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6740"/>
        <w:gridCol w:w="1400"/>
        <w:gridCol w:w="1400"/>
      </w:tblGrid>
      <w:tr w:rsidR="00FE02EF" w:rsidRPr="00CC19F7" w14:paraId="68C2FD40" w14:textId="77777777" w:rsidTr="00A06A7F">
        <w:trPr>
          <w:trHeight w:val="360"/>
        </w:trPr>
        <w:tc>
          <w:tcPr>
            <w:tcW w:w="67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1D3B411" w14:textId="77777777" w:rsidR="00FE02EF" w:rsidRPr="00CC19F7" w:rsidRDefault="00FE02EF" w:rsidP="00A06A7F"/>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1AFAE71" w14:textId="77777777" w:rsidR="00FE02EF" w:rsidRPr="00CC19F7" w:rsidRDefault="00881E58" w:rsidP="00A06A7F">
            <w:pPr>
              <w:jc w:val="right"/>
            </w:pPr>
            <w:r w:rsidRPr="00CC19F7">
              <w:t>2021</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BC3FCB8" w14:textId="77777777" w:rsidR="00FE02EF" w:rsidRPr="00CC19F7" w:rsidRDefault="00881E58" w:rsidP="00A06A7F">
            <w:pPr>
              <w:jc w:val="right"/>
            </w:pPr>
            <w:r w:rsidRPr="00CC19F7">
              <w:t>2022</w:t>
            </w:r>
          </w:p>
        </w:tc>
      </w:tr>
      <w:tr w:rsidR="00FE02EF" w:rsidRPr="00CC19F7" w14:paraId="03431015" w14:textId="77777777" w:rsidTr="00A06A7F">
        <w:trPr>
          <w:trHeight w:val="380"/>
        </w:trPr>
        <w:tc>
          <w:tcPr>
            <w:tcW w:w="6740" w:type="dxa"/>
            <w:tcBorders>
              <w:top w:val="single" w:sz="4" w:space="0" w:color="000000"/>
              <w:left w:val="nil"/>
              <w:bottom w:val="nil"/>
              <w:right w:val="nil"/>
            </w:tcBorders>
            <w:tcMar>
              <w:top w:w="128" w:type="dxa"/>
              <w:left w:w="43" w:type="dxa"/>
              <w:bottom w:w="43" w:type="dxa"/>
              <w:right w:w="43" w:type="dxa"/>
            </w:tcMar>
          </w:tcPr>
          <w:p w14:paraId="1B7A7B5C" w14:textId="77777777" w:rsidR="00FE02EF" w:rsidRPr="00CC19F7" w:rsidRDefault="00881E58" w:rsidP="00A06A7F">
            <w:r w:rsidRPr="00CC19F7">
              <w:t>Nye prosjekt</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4DB3C9B" w14:textId="77777777" w:rsidR="00FE02EF" w:rsidRPr="00CC19F7" w:rsidRDefault="00881E58" w:rsidP="00A06A7F">
            <w:pPr>
              <w:jc w:val="right"/>
            </w:pPr>
            <w:r w:rsidRPr="00CC19F7">
              <w:t>37</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9B0EB63" w14:textId="77777777" w:rsidR="00FE02EF" w:rsidRPr="00CC19F7" w:rsidRDefault="00881E58" w:rsidP="00A06A7F">
            <w:pPr>
              <w:jc w:val="right"/>
            </w:pPr>
            <w:r w:rsidRPr="00CC19F7">
              <w:t>22</w:t>
            </w:r>
            <w:r w:rsidRPr="00CC19F7">
              <w:rPr>
                <w:rStyle w:val="skrift-hevet"/>
              </w:rPr>
              <w:t>1</w:t>
            </w:r>
          </w:p>
        </w:tc>
      </w:tr>
      <w:tr w:rsidR="00FE02EF" w:rsidRPr="00CC19F7" w14:paraId="49E90C72" w14:textId="77777777" w:rsidTr="00A06A7F">
        <w:trPr>
          <w:trHeight w:val="380"/>
        </w:trPr>
        <w:tc>
          <w:tcPr>
            <w:tcW w:w="6740" w:type="dxa"/>
            <w:tcBorders>
              <w:top w:val="nil"/>
              <w:left w:val="nil"/>
              <w:bottom w:val="nil"/>
              <w:right w:val="nil"/>
            </w:tcBorders>
            <w:tcMar>
              <w:top w:w="128" w:type="dxa"/>
              <w:left w:w="43" w:type="dxa"/>
              <w:bottom w:w="43" w:type="dxa"/>
              <w:right w:w="43" w:type="dxa"/>
            </w:tcMar>
          </w:tcPr>
          <w:p w14:paraId="3ECCA44F" w14:textId="77777777" w:rsidR="00FE02EF" w:rsidRPr="00CC19F7" w:rsidRDefault="00881E58" w:rsidP="00A06A7F">
            <w:r w:rsidRPr="00CC19F7">
              <w:t>Innvilga finansiering til nye prosjekt (mill. kroner)</w:t>
            </w:r>
          </w:p>
        </w:tc>
        <w:tc>
          <w:tcPr>
            <w:tcW w:w="1400" w:type="dxa"/>
            <w:tcBorders>
              <w:top w:val="nil"/>
              <w:left w:val="nil"/>
              <w:bottom w:val="nil"/>
              <w:right w:val="nil"/>
            </w:tcBorders>
            <w:tcMar>
              <w:top w:w="128" w:type="dxa"/>
              <w:left w:w="43" w:type="dxa"/>
              <w:bottom w:w="43" w:type="dxa"/>
              <w:right w:w="43" w:type="dxa"/>
            </w:tcMar>
            <w:vAlign w:val="bottom"/>
          </w:tcPr>
          <w:p w14:paraId="4BC84AC2" w14:textId="77777777" w:rsidR="00FE02EF" w:rsidRPr="00CC19F7" w:rsidRDefault="00881E58" w:rsidP="00A06A7F">
            <w:pPr>
              <w:jc w:val="right"/>
            </w:pPr>
            <w:r w:rsidRPr="00CC19F7">
              <w:t>475</w:t>
            </w:r>
          </w:p>
        </w:tc>
        <w:tc>
          <w:tcPr>
            <w:tcW w:w="1400" w:type="dxa"/>
            <w:tcBorders>
              <w:top w:val="nil"/>
              <w:left w:val="nil"/>
              <w:bottom w:val="nil"/>
              <w:right w:val="nil"/>
            </w:tcBorders>
            <w:tcMar>
              <w:top w:w="128" w:type="dxa"/>
              <w:left w:w="43" w:type="dxa"/>
              <w:bottom w:w="43" w:type="dxa"/>
              <w:right w:w="43" w:type="dxa"/>
            </w:tcMar>
            <w:vAlign w:val="bottom"/>
          </w:tcPr>
          <w:p w14:paraId="5DE8E012" w14:textId="77777777" w:rsidR="00FE02EF" w:rsidRPr="00CC19F7" w:rsidRDefault="00881E58" w:rsidP="00A06A7F">
            <w:pPr>
              <w:jc w:val="right"/>
            </w:pPr>
            <w:r w:rsidRPr="00CC19F7">
              <w:t>230</w:t>
            </w:r>
          </w:p>
        </w:tc>
      </w:tr>
      <w:tr w:rsidR="00FE02EF" w:rsidRPr="00CC19F7" w14:paraId="182062D2" w14:textId="77777777" w:rsidTr="00A06A7F">
        <w:trPr>
          <w:trHeight w:val="380"/>
        </w:trPr>
        <w:tc>
          <w:tcPr>
            <w:tcW w:w="6740" w:type="dxa"/>
            <w:tcBorders>
              <w:top w:val="nil"/>
              <w:left w:val="nil"/>
              <w:bottom w:val="nil"/>
              <w:right w:val="nil"/>
            </w:tcBorders>
            <w:tcMar>
              <w:top w:w="128" w:type="dxa"/>
              <w:left w:w="43" w:type="dxa"/>
              <w:bottom w:w="43" w:type="dxa"/>
              <w:right w:w="43" w:type="dxa"/>
            </w:tcMar>
          </w:tcPr>
          <w:p w14:paraId="0C8F5F90" w14:textId="77777777" w:rsidR="00FE02EF" w:rsidRPr="00CC19F7" w:rsidRDefault="00881E58" w:rsidP="00A06A7F">
            <w:proofErr w:type="spellStart"/>
            <w:r w:rsidRPr="00CC19F7">
              <w:t>Vitskaplege</w:t>
            </w:r>
            <w:proofErr w:type="spellEnd"/>
            <w:r w:rsidRPr="00CC19F7">
              <w:t xml:space="preserve"> </w:t>
            </w:r>
            <w:proofErr w:type="spellStart"/>
            <w:r w:rsidRPr="00CC19F7">
              <w:t>publikasjonar</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7351CB3C" w14:textId="77777777" w:rsidR="00FE02EF" w:rsidRPr="00CC19F7" w:rsidRDefault="00881E58" w:rsidP="00A06A7F">
            <w:pPr>
              <w:jc w:val="right"/>
            </w:pPr>
            <w:r w:rsidRPr="00CC19F7">
              <w:t>330</w:t>
            </w:r>
          </w:p>
        </w:tc>
        <w:tc>
          <w:tcPr>
            <w:tcW w:w="1400" w:type="dxa"/>
            <w:tcBorders>
              <w:top w:val="nil"/>
              <w:left w:val="nil"/>
              <w:bottom w:val="nil"/>
              <w:right w:val="nil"/>
            </w:tcBorders>
            <w:tcMar>
              <w:top w:w="128" w:type="dxa"/>
              <w:left w:w="43" w:type="dxa"/>
              <w:bottom w:w="43" w:type="dxa"/>
              <w:right w:w="43" w:type="dxa"/>
            </w:tcMar>
            <w:vAlign w:val="bottom"/>
          </w:tcPr>
          <w:p w14:paraId="23EEB848" w14:textId="77777777" w:rsidR="00FE02EF" w:rsidRPr="00CC19F7" w:rsidRDefault="00881E58" w:rsidP="00A06A7F">
            <w:pPr>
              <w:jc w:val="right"/>
            </w:pPr>
            <w:r w:rsidRPr="00CC19F7">
              <w:t>267</w:t>
            </w:r>
          </w:p>
        </w:tc>
      </w:tr>
      <w:tr w:rsidR="00FE02EF" w:rsidRPr="00CC19F7" w14:paraId="190276E7" w14:textId="77777777" w:rsidTr="00A06A7F">
        <w:trPr>
          <w:trHeight w:val="380"/>
        </w:trPr>
        <w:tc>
          <w:tcPr>
            <w:tcW w:w="6740" w:type="dxa"/>
            <w:tcBorders>
              <w:top w:val="nil"/>
              <w:left w:val="nil"/>
              <w:bottom w:val="nil"/>
              <w:right w:val="nil"/>
            </w:tcBorders>
            <w:tcMar>
              <w:top w:w="128" w:type="dxa"/>
              <w:left w:w="43" w:type="dxa"/>
              <w:bottom w:w="43" w:type="dxa"/>
              <w:right w:w="43" w:type="dxa"/>
            </w:tcMar>
          </w:tcPr>
          <w:p w14:paraId="2D7BE2C3" w14:textId="77777777" w:rsidR="00FE02EF" w:rsidRPr="00CC19F7" w:rsidRDefault="00881E58" w:rsidP="00A06A7F">
            <w:proofErr w:type="spellStart"/>
            <w:r w:rsidRPr="00CC19F7">
              <w:t>Doktorgradar</w:t>
            </w:r>
            <w:proofErr w:type="spellEnd"/>
            <w:r w:rsidRPr="00CC19F7">
              <w:t xml:space="preserve"> (årsverk)</w:t>
            </w:r>
          </w:p>
        </w:tc>
        <w:tc>
          <w:tcPr>
            <w:tcW w:w="1400" w:type="dxa"/>
            <w:tcBorders>
              <w:top w:val="nil"/>
              <w:left w:val="nil"/>
              <w:bottom w:val="nil"/>
              <w:right w:val="nil"/>
            </w:tcBorders>
            <w:tcMar>
              <w:top w:w="128" w:type="dxa"/>
              <w:left w:w="43" w:type="dxa"/>
              <w:bottom w:w="43" w:type="dxa"/>
              <w:right w:w="43" w:type="dxa"/>
            </w:tcMar>
            <w:vAlign w:val="bottom"/>
          </w:tcPr>
          <w:p w14:paraId="04B72FD4" w14:textId="77777777" w:rsidR="00FE02EF" w:rsidRPr="00CC19F7" w:rsidRDefault="00881E58" w:rsidP="00A06A7F">
            <w:pPr>
              <w:jc w:val="right"/>
            </w:pPr>
            <w:r w:rsidRPr="00CC19F7">
              <w:t>86</w:t>
            </w:r>
          </w:p>
        </w:tc>
        <w:tc>
          <w:tcPr>
            <w:tcW w:w="1400" w:type="dxa"/>
            <w:tcBorders>
              <w:top w:val="nil"/>
              <w:left w:val="nil"/>
              <w:bottom w:val="nil"/>
              <w:right w:val="nil"/>
            </w:tcBorders>
            <w:tcMar>
              <w:top w:w="128" w:type="dxa"/>
              <w:left w:w="43" w:type="dxa"/>
              <w:bottom w:w="43" w:type="dxa"/>
              <w:right w:w="43" w:type="dxa"/>
            </w:tcMar>
            <w:vAlign w:val="bottom"/>
          </w:tcPr>
          <w:p w14:paraId="02B29B75" w14:textId="77777777" w:rsidR="00FE02EF" w:rsidRPr="00CC19F7" w:rsidRDefault="00881E58" w:rsidP="00A06A7F">
            <w:pPr>
              <w:jc w:val="right"/>
            </w:pPr>
            <w:r w:rsidRPr="00CC19F7">
              <w:t>84</w:t>
            </w:r>
          </w:p>
        </w:tc>
      </w:tr>
      <w:tr w:rsidR="00FE02EF" w:rsidRPr="00CC19F7" w14:paraId="4442483C" w14:textId="77777777" w:rsidTr="00A06A7F">
        <w:trPr>
          <w:trHeight w:val="380"/>
        </w:trPr>
        <w:tc>
          <w:tcPr>
            <w:tcW w:w="6740" w:type="dxa"/>
            <w:tcBorders>
              <w:top w:val="nil"/>
              <w:left w:val="nil"/>
              <w:bottom w:val="single" w:sz="4" w:space="0" w:color="000000"/>
              <w:right w:val="nil"/>
            </w:tcBorders>
            <w:tcMar>
              <w:top w:w="128" w:type="dxa"/>
              <w:left w:w="43" w:type="dxa"/>
              <w:bottom w:w="43" w:type="dxa"/>
              <w:right w:w="43" w:type="dxa"/>
            </w:tcMar>
          </w:tcPr>
          <w:p w14:paraId="0E983385" w14:textId="77777777" w:rsidR="00FE02EF" w:rsidRPr="00CC19F7" w:rsidRDefault="00881E58" w:rsidP="00A06A7F">
            <w:r w:rsidRPr="00CC19F7">
              <w:t>Postdoktor (årsverk)</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FFD3740" w14:textId="77777777" w:rsidR="00FE02EF" w:rsidRPr="00CC19F7" w:rsidRDefault="00881E58" w:rsidP="00A06A7F">
            <w:pPr>
              <w:jc w:val="right"/>
            </w:pPr>
            <w:r w:rsidRPr="00CC19F7">
              <w:t>32</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03D8C76" w14:textId="77777777" w:rsidR="00FE02EF" w:rsidRPr="00CC19F7" w:rsidRDefault="00881E58" w:rsidP="00A06A7F">
            <w:pPr>
              <w:jc w:val="right"/>
            </w:pPr>
            <w:r w:rsidRPr="00CC19F7">
              <w:t>25</w:t>
            </w:r>
          </w:p>
        </w:tc>
      </w:tr>
    </w:tbl>
    <w:p w14:paraId="6DD51188" w14:textId="77777777" w:rsidR="00FE02EF" w:rsidRPr="00CC19F7" w:rsidRDefault="00881E58" w:rsidP="00CC19F7">
      <w:pPr>
        <w:pStyle w:val="tabell-noter"/>
      </w:pPr>
      <w:r w:rsidRPr="00CC19F7">
        <w:rPr>
          <w:rStyle w:val="skrift-hevet"/>
        </w:rPr>
        <w:t>1</w:t>
      </w:r>
      <w:r w:rsidRPr="00CC19F7">
        <w:tab/>
      </w:r>
      <w:proofErr w:type="spellStart"/>
      <w:r w:rsidRPr="00CC19F7">
        <w:t>Fellesutlysingane</w:t>
      </w:r>
      <w:proofErr w:type="spellEnd"/>
      <w:r w:rsidRPr="00CC19F7">
        <w:t xml:space="preserve"> er </w:t>
      </w:r>
      <w:proofErr w:type="spellStart"/>
      <w:r w:rsidRPr="00CC19F7">
        <w:t>ikkje</w:t>
      </w:r>
      <w:proofErr w:type="spellEnd"/>
      <w:r w:rsidRPr="00CC19F7">
        <w:t xml:space="preserve"> inkludert.</w:t>
      </w:r>
    </w:p>
    <w:p w14:paraId="220E8E16" w14:textId="77777777" w:rsidR="00FE02EF" w:rsidRPr="00CC19F7" w:rsidRDefault="00881E58" w:rsidP="00CC19F7">
      <w:pPr>
        <w:pStyle w:val="avsnitt-under-undertittel"/>
      </w:pPr>
      <w:r w:rsidRPr="00CC19F7">
        <w:t>PETROMAKS 2 – stort program petroleum</w:t>
      </w:r>
    </w:p>
    <w:p w14:paraId="236DA940" w14:textId="77777777" w:rsidR="00FE02EF" w:rsidRPr="00CC19F7" w:rsidRDefault="00881E58" w:rsidP="00CC19F7">
      <w:r w:rsidRPr="00CC19F7">
        <w:t xml:space="preserve">PETROMAKS 2 finansierte totalt 148 prosjekt med 288 mill. kroner i 2022, om lag 227 mill. kroner kom </w:t>
      </w:r>
      <w:proofErr w:type="spellStart"/>
      <w:r w:rsidRPr="00CC19F7">
        <w:t>frå</w:t>
      </w:r>
      <w:proofErr w:type="spellEnd"/>
      <w:r w:rsidRPr="00CC19F7">
        <w:t xml:space="preserve"> Olje- og energidepartementet og omkring 24 mill. </w:t>
      </w:r>
      <w:proofErr w:type="spellStart"/>
      <w:r w:rsidRPr="00CC19F7">
        <w:t>frå</w:t>
      </w:r>
      <w:proofErr w:type="spellEnd"/>
      <w:r w:rsidRPr="00CC19F7">
        <w:t xml:space="preserve"> Arbeids- og inkluderingsdepartementet. Gjennom </w:t>
      </w:r>
      <w:proofErr w:type="spellStart"/>
      <w:r w:rsidRPr="00CC19F7">
        <w:t>utlysingane</w:t>
      </w:r>
      <w:proofErr w:type="spellEnd"/>
      <w:r w:rsidRPr="00CC19F7">
        <w:t xml:space="preserve"> blei det totalt tildelt om lag 177 mill. kroner til 15 nye prosjekt og </w:t>
      </w:r>
      <w:proofErr w:type="spellStart"/>
      <w:r w:rsidRPr="00CC19F7">
        <w:t>dessutan</w:t>
      </w:r>
      <w:proofErr w:type="spellEnd"/>
      <w:r w:rsidRPr="00CC19F7">
        <w:t xml:space="preserve"> delfinansiering av tre prosjekt gjennom ei fellesutlysing av «forskarprosjekt for fornying».</w:t>
      </w:r>
    </w:p>
    <w:p w14:paraId="4102CC20" w14:textId="77777777" w:rsidR="00FE02EF" w:rsidRPr="00CC19F7" w:rsidRDefault="00881E58" w:rsidP="00CC19F7">
      <w:r w:rsidRPr="00CC19F7">
        <w:t xml:space="preserve">For PETROMAKS 2 er det </w:t>
      </w:r>
      <w:proofErr w:type="spellStart"/>
      <w:r w:rsidRPr="00CC19F7">
        <w:t>fleire</w:t>
      </w:r>
      <w:proofErr w:type="spellEnd"/>
      <w:r w:rsidRPr="00CC19F7">
        <w:t xml:space="preserve"> prosjekt </w:t>
      </w:r>
      <w:proofErr w:type="spellStart"/>
      <w:r w:rsidRPr="00CC19F7">
        <w:t>innan</w:t>
      </w:r>
      <w:proofErr w:type="spellEnd"/>
      <w:r w:rsidRPr="00CC19F7">
        <w:t xml:space="preserve"> temaet «Reduksjon av </w:t>
      </w:r>
      <w:proofErr w:type="spellStart"/>
      <w:r w:rsidRPr="00CC19F7">
        <w:t>klimagassar</w:t>
      </w:r>
      <w:proofErr w:type="spellEnd"/>
      <w:r w:rsidRPr="00CC19F7">
        <w:t xml:space="preserve">, energieffektivisering og miljø» og også </w:t>
      </w:r>
      <w:proofErr w:type="spellStart"/>
      <w:r w:rsidRPr="00CC19F7">
        <w:t>innan</w:t>
      </w:r>
      <w:proofErr w:type="spellEnd"/>
      <w:r w:rsidRPr="00CC19F7">
        <w:t xml:space="preserve"> «</w:t>
      </w:r>
      <w:proofErr w:type="spellStart"/>
      <w:r w:rsidRPr="00CC19F7">
        <w:t>Undergrunnsforståing</w:t>
      </w:r>
      <w:proofErr w:type="spellEnd"/>
      <w:r w:rsidRPr="00CC19F7">
        <w:t xml:space="preserve">». Prosjekta i PETROMAKS 2 blir gjennomførte av både </w:t>
      </w:r>
      <w:proofErr w:type="spellStart"/>
      <w:r w:rsidRPr="00CC19F7">
        <w:t>forskingsorganisasjonar</w:t>
      </w:r>
      <w:proofErr w:type="spellEnd"/>
      <w:r w:rsidRPr="00CC19F7">
        <w:t xml:space="preserve"> og næringslivet.</w:t>
      </w:r>
    </w:p>
    <w:p w14:paraId="235DB33B" w14:textId="77777777" w:rsidR="00FE02EF" w:rsidRPr="00CC19F7" w:rsidRDefault="00881E58" w:rsidP="00CC19F7">
      <w:pPr>
        <w:pStyle w:val="tittel-ramme"/>
      </w:pPr>
      <w:r w:rsidRPr="00CC19F7">
        <w:t xml:space="preserve">Ammoniakk som drivstoff til skip og </w:t>
      </w:r>
      <w:proofErr w:type="spellStart"/>
      <w:r w:rsidRPr="00CC19F7">
        <w:t>riggar</w:t>
      </w:r>
      <w:proofErr w:type="spellEnd"/>
    </w:p>
    <w:p w14:paraId="5CB19C79" w14:textId="77777777" w:rsidR="00FE02EF" w:rsidRPr="00CC19F7" w:rsidRDefault="00881E58" w:rsidP="00CC19F7">
      <w:proofErr w:type="spellStart"/>
      <w:r w:rsidRPr="00CC19F7">
        <w:t>Wärtsilä</w:t>
      </w:r>
      <w:proofErr w:type="spellEnd"/>
      <w:r w:rsidRPr="00CC19F7">
        <w:t xml:space="preserve"> er i gang med å utvikle </w:t>
      </w:r>
      <w:proofErr w:type="spellStart"/>
      <w:r w:rsidRPr="00CC19F7">
        <w:t>forbrenningsmotorar</w:t>
      </w:r>
      <w:proofErr w:type="spellEnd"/>
      <w:r w:rsidRPr="00CC19F7">
        <w:t xml:space="preserve"> som kan bruke ammoniakk som drivstoff til skip og </w:t>
      </w:r>
      <w:proofErr w:type="spellStart"/>
      <w:r w:rsidRPr="00CC19F7">
        <w:t>riggar</w:t>
      </w:r>
      <w:proofErr w:type="spellEnd"/>
      <w:r w:rsidRPr="00CC19F7">
        <w:t xml:space="preserve">, </w:t>
      </w:r>
      <w:proofErr w:type="spellStart"/>
      <w:r w:rsidRPr="00CC19F7">
        <w:t>noko</w:t>
      </w:r>
      <w:proofErr w:type="spellEnd"/>
      <w:r w:rsidRPr="00CC19F7">
        <w:t xml:space="preserve"> som kan bidra til ei </w:t>
      </w:r>
      <w:proofErr w:type="spellStart"/>
      <w:r w:rsidRPr="00CC19F7">
        <w:t>mogleg</w:t>
      </w:r>
      <w:proofErr w:type="spellEnd"/>
      <w:r w:rsidRPr="00CC19F7">
        <w:t xml:space="preserve"> nullutsleppsløysing for skipsfarten. </w:t>
      </w:r>
      <w:proofErr w:type="spellStart"/>
      <w:r w:rsidRPr="00CC19F7">
        <w:t>Hovudmålet</w:t>
      </w:r>
      <w:proofErr w:type="spellEnd"/>
      <w:r w:rsidRPr="00CC19F7">
        <w:t xml:space="preserve"> med prosjektet er å utvikle system og kunnskap for å kunne bruke </w:t>
      </w:r>
      <w:proofErr w:type="spellStart"/>
      <w:r w:rsidRPr="00CC19F7">
        <w:t>grøn</w:t>
      </w:r>
      <w:proofErr w:type="spellEnd"/>
      <w:r w:rsidRPr="00CC19F7">
        <w:t xml:space="preserve"> ammoniakk som drivstoff i </w:t>
      </w:r>
      <w:proofErr w:type="spellStart"/>
      <w:r w:rsidRPr="00CC19F7">
        <w:t>forbrenningsmotorar</w:t>
      </w:r>
      <w:proofErr w:type="spellEnd"/>
      <w:r w:rsidRPr="00CC19F7">
        <w:t xml:space="preserve">, </w:t>
      </w:r>
      <w:proofErr w:type="spellStart"/>
      <w:r w:rsidRPr="00CC19F7">
        <w:t>noko</w:t>
      </w:r>
      <w:proofErr w:type="spellEnd"/>
      <w:r w:rsidRPr="00CC19F7">
        <w:t xml:space="preserve"> som kan gi norsk industri og skipsfart </w:t>
      </w:r>
      <w:proofErr w:type="spellStart"/>
      <w:r w:rsidRPr="00CC19F7">
        <w:t>eit</w:t>
      </w:r>
      <w:proofErr w:type="spellEnd"/>
      <w:r w:rsidRPr="00CC19F7">
        <w:t xml:space="preserve"> teknologisk forsprang på </w:t>
      </w:r>
      <w:proofErr w:type="spellStart"/>
      <w:r w:rsidRPr="00CC19F7">
        <w:t>ammoniakkmotorar</w:t>
      </w:r>
      <w:proofErr w:type="spellEnd"/>
      <w:r w:rsidRPr="00CC19F7">
        <w:t xml:space="preserve"> for skip og </w:t>
      </w:r>
      <w:proofErr w:type="spellStart"/>
      <w:r w:rsidRPr="00CC19F7">
        <w:t>riggar</w:t>
      </w:r>
      <w:proofErr w:type="spellEnd"/>
      <w:r w:rsidRPr="00CC19F7">
        <w:t xml:space="preserve">. Etter vellykka </w:t>
      </w:r>
      <w:proofErr w:type="spellStart"/>
      <w:r w:rsidRPr="00CC19F7">
        <w:t>motortestar</w:t>
      </w:r>
      <w:proofErr w:type="spellEnd"/>
      <w:r w:rsidRPr="00CC19F7">
        <w:t xml:space="preserve"> er planen at teknologien kan </w:t>
      </w:r>
      <w:proofErr w:type="spellStart"/>
      <w:r w:rsidRPr="00CC19F7">
        <w:t>vere</w:t>
      </w:r>
      <w:proofErr w:type="spellEnd"/>
      <w:r w:rsidRPr="00CC19F7">
        <w:t xml:space="preserve"> i operasjon på skip og </w:t>
      </w:r>
      <w:proofErr w:type="spellStart"/>
      <w:r w:rsidRPr="00CC19F7">
        <w:t>riggar</w:t>
      </w:r>
      <w:proofErr w:type="spellEnd"/>
      <w:r w:rsidRPr="00CC19F7">
        <w:t xml:space="preserve"> om to til tre år. Det er da forventa </w:t>
      </w:r>
      <w:proofErr w:type="spellStart"/>
      <w:r w:rsidRPr="00CC19F7">
        <w:t>ein</w:t>
      </w:r>
      <w:proofErr w:type="spellEnd"/>
      <w:r w:rsidRPr="00CC19F7">
        <w:t xml:space="preserve"> reduksjon i CO</w:t>
      </w:r>
      <w:r w:rsidRPr="00CC19F7">
        <w:rPr>
          <w:rStyle w:val="skrift-senket"/>
        </w:rPr>
        <w:t>2</w:t>
      </w:r>
      <w:r w:rsidRPr="00CC19F7">
        <w:t xml:space="preserve">-utslepp </w:t>
      </w:r>
      <w:proofErr w:type="spellStart"/>
      <w:r w:rsidRPr="00CC19F7">
        <w:t>tilsvarande</w:t>
      </w:r>
      <w:proofErr w:type="spellEnd"/>
      <w:r w:rsidRPr="00CC19F7">
        <w:t xml:space="preserve"> 1,3 tonn for kvart tonn forbrukt ammoniakk i forbrenningsmotoren.</w:t>
      </w:r>
    </w:p>
    <w:p w14:paraId="24CCB715" w14:textId="77777777" w:rsidR="00FE02EF" w:rsidRPr="00CC19F7" w:rsidRDefault="00881E58" w:rsidP="00CC19F7">
      <w:pPr>
        <w:pStyle w:val="Ramme-slutt"/>
      </w:pPr>
      <w:r w:rsidRPr="00CC19F7">
        <w:t>[Boks slutt]</w:t>
      </w:r>
    </w:p>
    <w:p w14:paraId="5C987466" w14:textId="77777777" w:rsidR="00FE02EF" w:rsidRPr="00CC19F7" w:rsidRDefault="00881E58" w:rsidP="00CC19F7">
      <w:pPr>
        <w:pStyle w:val="tittel-ramme"/>
      </w:pPr>
      <w:r w:rsidRPr="00CC19F7">
        <w:t>Reduserte klimagassutslepp gjennom større forståing av reservoaret</w:t>
      </w:r>
    </w:p>
    <w:p w14:paraId="5FB649BD" w14:textId="77777777" w:rsidR="00FE02EF" w:rsidRPr="00CC19F7" w:rsidRDefault="00881E58" w:rsidP="00CC19F7">
      <w:proofErr w:type="spellStart"/>
      <w:r w:rsidRPr="00CC19F7">
        <w:t>Eit</w:t>
      </w:r>
      <w:proofErr w:type="spellEnd"/>
      <w:r w:rsidRPr="00CC19F7">
        <w:t xml:space="preserve"> av </w:t>
      </w:r>
      <w:proofErr w:type="spellStart"/>
      <w:r w:rsidRPr="00CC19F7">
        <w:t>dei</w:t>
      </w:r>
      <w:proofErr w:type="spellEnd"/>
      <w:r w:rsidRPr="00CC19F7">
        <w:t xml:space="preserve"> nye prosjekta i temaområdet </w:t>
      </w:r>
      <w:proofErr w:type="spellStart"/>
      <w:r w:rsidRPr="00CC19F7">
        <w:t>undergrunnsforståing</w:t>
      </w:r>
      <w:proofErr w:type="spellEnd"/>
      <w:r w:rsidRPr="00CC19F7">
        <w:t xml:space="preserve"> er direkte retta mot reduksjon av klimagassutslepp. Prosjektresultata vil </w:t>
      </w:r>
      <w:proofErr w:type="spellStart"/>
      <w:r w:rsidRPr="00CC19F7">
        <w:t>vere</w:t>
      </w:r>
      <w:proofErr w:type="spellEnd"/>
      <w:r w:rsidRPr="00CC19F7">
        <w:t xml:space="preserve"> </w:t>
      </w:r>
      <w:proofErr w:type="spellStart"/>
      <w:r w:rsidRPr="00CC19F7">
        <w:t>avgjerdsmetodar</w:t>
      </w:r>
      <w:proofErr w:type="spellEnd"/>
      <w:r w:rsidRPr="00CC19F7">
        <w:t xml:space="preserve"> og </w:t>
      </w:r>
      <w:proofErr w:type="spellStart"/>
      <w:r w:rsidRPr="00CC19F7">
        <w:t>arbeidsflytar</w:t>
      </w:r>
      <w:proofErr w:type="spellEnd"/>
      <w:r w:rsidRPr="00CC19F7">
        <w:t xml:space="preserve"> der det blir tatt omsyn til krav om reduserte klimagassutslepp. Dette skal </w:t>
      </w:r>
      <w:proofErr w:type="spellStart"/>
      <w:r w:rsidRPr="00CC19F7">
        <w:t>gjere</w:t>
      </w:r>
      <w:proofErr w:type="spellEnd"/>
      <w:r w:rsidRPr="00CC19F7">
        <w:t xml:space="preserve"> det </w:t>
      </w:r>
      <w:proofErr w:type="spellStart"/>
      <w:r w:rsidRPr="00CC19F7">
        <w:t>mogleg</w:t>
      </w:r>
      <w:proofErr w:type="spellEnd"/>
      <w:r w:rsidRPr="00CC19F7">
        <w:t xml:space="preserve"> med </w:t>
      </w:r>
      <w:proofErr w:type="spellStart"/>
      <w:r w:rsidRPr="00CC19F7">
        <w:t>meir</w:t>
      </w:r>
      <w:proofErr w:type="spellEnd"/>
      <w:r w:rsidRPr="00CC19F7">
        <w:t xml:space="preserve"> effektiv behandling av reservoardata til bruk </w:t>
      </w:r>
      <w:proofErr w:type="spellStart"/>
      <w:r w:rsidRPr="00CC19F7">
        <w:t>innan</w:t>
      </w:r>
      <w:proofErr w:type="spellEnd"/>
      <w:r w:rsidRPr="00CC19F7">
        <w:t xml:space="preserve"> feltutvikling og reservoarproduksjon. Prosjektet blir leia av NORCE og utført i samarbeid med </w:t>
      </w:r>
      <w:proofErr w:type="spellStart"/>
      <w:r w:rsidRPr="00CC19F7">
        <w:t>forskingsorganisasjonar</w:t>
      </w:r>
      <w:proofErr w:type="spellEnd"/>
      <w:r w:rsidRPr="00CC19F7">
        <w:t xml:space="preserve"> og industri.</w:t>
      </w:r>
    </w:p>
    <w:p w14:paraId="6F37CBF2" w14:textId="77777777" w:rsidR="00FE02EF" w:rsidRPr="00CC19F7" w:rsidRDefault="00881E58" w:rsidP="00CC19F7">
      <w:pPr>
        <w:pStyle w:val="Ramme-slutt"/>
      </w:pPr>
      <w:r w:rsidRPr="00CC19F7">
        <w:t>[Boks slutt]</w:t>
      </w:r>
    </w:p>
    <w:p w14:paraId="4A97FF85" w14:textId="77777777" w:rsidR="00FE02EF" w:rsidRPr="00CC19F7" w:rsidRDefault="00881E58" w:rsidP="00CC19F7">
      <w:pPr>
        <w:pStyle w:val="avsnitt-under-undertittel"/>
      </w:pPr>
      <w:r w:rsidRPr="00CC19F7">
        <w:t>DEMO 2000 – prosjektretta teknologiutvikling</w:t>
      </w:r>
    </w:p>
    <w:p w14:paraId="44326DDA" w14:textId="77777777" w:rsidR="00FE02EF" w:rsidRPr="00CC19F7" w:rsidRDefault="00881E58" w:rsidP="00CC19F7">
      <w:r w:rsidRPr="00CC19F7">
        <w:t xml:space="preserve">DEMO 2000 finansierte totalt 54 prosjekt med 94 mill. kroner i 2022. Gjennom </w:t>
      </w:r>
      <w:proofErr w:type="spellStart"/>
      <w:r w:rsidRPr="00CC19F7">
        <w:t>utlysingane</w:t>
      </w:r>
      <w:proofErr w:type="spellEnd"/>
      <w:r w:rsidRPr="00CC19F7">
        <w:t xml:space="preserve"> blei det løyvd 53 mill. kroner til sju nye prosjekt som blir leia av bedrifter. Som ved PETROMAKS 2 var søknadstilfanget i 2022 mindre enn forventa. Tildelingsprosenten for nye demonstrasjonsprosjekt var 46. Det er </w:t>
      </w:r>
      <w:proofErr w:type="spellStart"/>
      <w:r w:rsidRPr="00CC19F7">
        <w:t>ein</w:t>
      </w:r>
      <w:proofErr w:type="spellEnd"/>
      <w:r w:rsidRPr="00CC19F7">
        <w:t xml:space="preserve"> god balanse mellom tema i DEMO 2000, med unntak av tematikken «Reduksjon av </w:t>
      </w:r>
      <w:proofErr w:type="spellStart"/>
      <w:r w:rsidRPr="00CC19F7">
        <w:t>klimagassar</w:t>
      </w:r>
      <w:proofErr w:type="spellEnd"/>
      <w:r w:rsidRPr="00CC19F7">
        <w:t xml:space="preserve">, energieffektivisering og miljø», der søknadstilfanget blir vurdert til å </w:t>
      </w:r>
      <w:proofErr w:type="spellStart"/>
      <w:r w:rsidRPr="00CC19F7">
        <w:t>vere</w:t>
      </w:r>
      <w:proofErr w:type="spellEnd"/>
      <w:r w:rsidRPr="00CC19F7">
        <w:t xml:space="preserve"> for lite.</w:t>
      </w:r>
    </w:p>
    <w:p w14:paraId="5DAD2A8C" w14:textId="77777777" w:rsidR="00FE02EF" w:rsidRPr="00CC19F7" w:rsidRDefault="00881E58" w:rsidP="00CC19F7">
      <w:pPr>
        <w:pStyle w:val="tittel-ramme"/>
      </w:pPr>
      <w:proofErr w:type="spellStart"/>
      <w:r w:rsidRPr="00CC19F7">
        <w:t>Lågare</w:t>
      </w:r>
      <w:proofErr w:type="spellEnd"/>
      <w:r w:rsidRPr="00CC19F7">
        <w:t xml:space="preserve"> kostnader og utslepp av CO</w:t>
      </w:r>
      <w:r w:rsidRPr="00CC19F7">
        <w:rPr>
          <w:rStyle w:val="skrift-senket"/>
        </w:rPr>
        <w:t>2</w:t>
      </w:r>
      <w:r w:rsidRPr="00CC19F7">
        <w:t xml:space="preserve"> med P&amp;A </w:t>
      </w:r>
      <w:proofErr w:type="spellStart"/>
      <w:r w:rsidRPr="00CC19F7">
        <w:t>utan</w:t>
      </w:r>
      <w:proofErr w:type="spellEnd"/>
      <w:r w:rsidRPr="00CC19F7">
        <w:t xml:space="preserve"> å bruke borerigg</w:t>
      </w:r>
    </w:p>
    <w:p w14:paraId="57461B58" w14:textId="77777777" w:rsidR="00FE02EF" w:rsidRPr="00CC19F7" w:rsidRDefault="00881E58" w:rsidP="00CC19F7">
      <w:r w:rsidRPr="00CC19F7">
        <w:t xml:space="preserve">På norsk sokkel aleine er det om lag 4 000 </w:t>
      </w:r>
      <w:proofErr w:type="spellStart"/>
      <w:r w:rsidRPr="00CC19F7">
        <w:t>brønnar</w:t>
      </w:r>
      <w:proofErr w:type="spellEnd"/>
      <w:r w:rsidRPr="00CC19F7">
        <w:t xml:space="preserve"> som vil trenge permanent nedstenging i framtida. </w:t>
      </w:r>
      <w:proofErr w:type="spellStart"/>
      <w:r w:rsidRPr="00CC19F7">
        <w:t>Lykkast</w:t>
      </w:r>
      <w:proofErr w:type="spellEnd"/>
      <w:r w:rsidRPr="00CC19F7">
        <w:t xml:space="preserve"> </w:t>
      </w:r>
      <w:proofErr w:type="spellStart"/>
      <w:r w:rsidRPr="00CC19F7">
        <w:t>ein</w:t>
      </w:r>
      <w:proofErr w:type="spellEnd"/>
      <w:r w:rsidRPr="00CC19F7">
        <w:t xml:space="preserve"> med kostnads- og energieffektive </w:t>
      </w:r>
      <w:proofErr w:type="spellStart"/>
      <w:r w:rsidRPr="00CC19F7">
        <w:t>løysingar</w:t>
      </w:r>
      <w:proofErr w:type="spellEnd"/>
      <w:r w:rsidRPr="00CC19F7">
        <w:t xml:space="preserve"> for permanent nedstenging, vil dette derfor løyse ei stor samfunnsutfordring, i tillegg til at det representerer </w:t>
      </w:r>
      <w:proofErr w:type="spellStart"/>
      <w:r w:rsidRPr="00CC19F7">
        <w:t>ein</w:t>
      </w:r>
      <w:proofErr w:type="spellEnd"/>
      <w:r w:rsidRPr="00CC19F7">
        <w:t xml:space="preserve"> viktig norsk eksportartikkel. I 2022 blei det tildelt </w:t>
      </w:r>
      <w:proofErr w:type="spellStart"/>
      <w:r w:rsidRPr="00CC19F7">
        <w:t>eit</w:t>
      </w:r>
      <w:proofErr w:type="spellEnd"/>
      <w:r w:rsidRPr="00CC19F7">
        <w:t xml:space="preserve"> nytt DEMO 2000-prosjekt som vil </w:t>
      </w:r>
      <w:proofErr w:type="spellStart"/>
      <w:r w:rsidRPr="00CC19F7">
        <w:t>gjere</w:t>
      </w:r>
      <w:proofErr w:type="spellEnd"/>
      <w:r w:rsidRPr="00CC19F7">
        <w:t xml:space="preserve"> det </w:t>
      </w:r>
      <w:proofErr w:type="spellStart"/>
      <w:r w:rsidRPr="00CC19F7">
        <w:t>mogleg</w:t>
      </w:r>
      <w:proofErr w:type="spellEnd"/>
      <w:r w:rsidRPr="00CC19F7">
        <w:t xml:space="preserve"> å utføre </w:t>
      </w:r>
      <w:proofErr w:type="spellStart"/>
      <w:r w:rsidRPr="00CC19F7">
        <w:t>dei</w:t>
      </w:r>
      <w:proofErr w:type="spellEnd"/>
      <w:r w:rsidRPr="00CC19F7">
        <w:t xml:space="preserve"> mange </w:t>
      </w:r>
      <w:proofErr w:type="spellStart"/>
      <w:r w:rsidRPr="00CC19F7">
        <w:t>operasjonane</w:t>
      </w:r>
      <w:proofErr w:type="spellEnd"/>
      <w:r w:rsidRPr="00CC19F7">
        <w:t xml:space="preserve"> som er involverte i permanent nedstenging, </w:t>
      </w:r>
      <w:proofErr w:type="spellStart"/>
      <w:r w:rsidRPr="00CC19F7">
        <w:t>utan</w:t>
      </w:r>
      <w:proofErr w:type="spellEnd"/>
      <w:r w:rsidRPr="00CC19F7">
        <w:t xml:space="preserve"> bruk av borerigg. Dette vil føre til reduserte kostnader og reduserte utslepp av CO</w:t>
      </w:r>
      <w:r w:rsidRPr="00CC19F7">
        <w:rPr>
          <w:rStyle w:val="skrift-senket"/>
        </w:rPr>
        <w:t>2</w:t>
      </w:r>
      <w:r w:rsidRPr="00CC19F7">
        <w:t xml:space="preserve">. Prosjektet skal demonstrere teknologi som er utvikla i </w:t>
      </w:r>
      <w:proofErr w:type="spellStart"/>
      <w:r w:rsidRPr="00CC19F7">
        <w:t>eit</w:t>
      </w:r>
      <w:proofErr w:type="spellEnd"/>
      <w:r w:rsidRPr="00CC19F7">
        <w:t xml:space="preserve"> </w:t>
      </w:r>
      <w:proofErr w:type="spellStart"/>
      <w:r w:rsidRPr="00CC19F7">
        <w:t>tidlegare</w:t>
      </w:r>
      <w:proofErr w:type="spellEnd"/>
      <w:r w:rsidRPr="00CC19F7">
        <w:t xml:space="preserve"> PETROMAKS 2-prosjekt. Prosjektet blir leia av </w:t>
      </w:r>
      <w:proofErr w:type="spellStart"/>
      <w:r w:rsidRPr="00CC19F7">
        <w:t>Innovation</w:t>
      </w:r>
      <w:proofErr w:type="spellEnd"/>
      <w:r w:rsidRPr="00CC19F7">
        <w:t xml:space="preserve"> Energy AS.</w:t>
      </w:r>
    </w:p>
    <w:p w14:paraId="3793DAAF" w14:textId="77777777" w:rsidR="00FE02EF" w:rsidRPr="00CC19F7" w:rsidRDefault="00881E58" w:rsidP="00CC19F7">
      <w:pPr>
        <w:pStyle w:val="Ramme-slutt"/>
      </w:pPr>
      <w:r w:rsidRPr="00CC19F7">
        <w:t>[Boks slutt]</w:t>
      </w:r>
    </w:p>
    <w:p w14:paraId="3E392BA3" w14:textId="77777777" w:rsidR="00FE02EF" w:rsidRPr="00CC19F7" w:rsidRDefault="00881E58" w:rsidP="00CC19F7">
      <w:pPr>
        <w:pStyle w:val="avsnitt-under-undertittel"/>
      </w:pPr>
      <w:r w:rsidRPr="00CC19F7">
        <w:t>PETROSENTER – Forskingssenter for petroleum</w:t>
      </w:r>
    </w:p>
    <w:p w14:paraId="324BF1AB" w14:textId="77777777" w:rsidR="00FE02EF" w:rsidRPr="00CC19F7" w:rsidRDefault="00881E58" w:rsidP="00CC19F7">
      <w:r w:rsidRPr="00CC19F7">
        <w:t xml:space="preserve">PETROSENTER finansierte i 2022 tre senter med 27 mill. kroner. </w:t>
      </w:r>
      <w:proofErr w:type="spellStart"/>
      <w:r w:rsidRPr="00CC19F7">
        <w:t>Sentera</w:t>
      </w:r>
      <w:proofErr w:type="spellEnd"/>
      <w:r w:rsidRPr="00CC19F7">
        <w:t xml:space="preserve"> </w:t>
      </w:r>
      <w:proofErr w:type="spellStart"/>
      <w:r w:rsidRPr="00CC19F7">
        <w:t>speglar</w:t>
      </w:r>
      <w:proofErr w:type="spellEnd"/>
      <w:r w:rsidRPr="00CC19F7">
        <w:t xml:space="preserve"> det politiske målet om å utvikle </w:t>
      </w:r>
      <w:proofErr w:type="spellStart"/>
      <w:r w:rsidRPr="00CC19F7">
        <w:t>petroleumsverksemda</w:t>
      </w:r>
      <w:proofErr w:type="spellEnd"/>
      <w:r w:rsidRPr="00CC19F7">
        <w:t xml:space="preserve">. I 2019 blei det sett i gang </w:t>
      </w:r>
      <w:proofErr w:type="spellStart"/>
      <w:r w:rsidRPr="00CC19F7">
        <w:t>eit</w:t>
      </w:r>
      <w:proofErr w:type="spellEnd"/>
      <w:r w:rsidRPr="00CC19F7">
        <w:t xml:space="preserve"> forskingssenter med mål om energieffektivisering og reduksjon av klimagassutslepp på norsk sokkel. Senteret blei midtvegsevaluert i 2022. Behovet for forskingsresultat på dette området er </w:t>
      </w:r>
      <w:proofErr w:type="spellStart"/>
      <w:r w:rsidRPr="00CC19F7">
        <w:t>ytterlegare</w:t>
      </w:r>
      <w:proofErr w:type="spellEnd"/>
      <w:r w:rsidRPr="00CC19F7">
        <w:t xml:space="preserve"> styrkt etter skipinga av senteret. Det er sett </w:t>
      </w:r>
      <w:proofErr w:type="spellStart"/>
      <w:r w:rsidRPr="00CC19F7">
        <w:t>tydelege</w:t>
      </w:r>
      <w:proofErr w:type="spellEnd"/>
      <w:r w:rsidRPr="00CC19F7">
        <w:t xml:space="preserve"> mål for </w:t>
      </w:r>
      <w:proofErr w:type="spellStart"/>
      <w:r w:rsidRPr="00CC19F7">
        <w:t>Noregs</w:t>
      </w:r>
      <w:proofErr w:type="spellEnd"/>
      <w:r w:rsidRPr="00CC19F7">
        <w:t xml:space="preserve"> </w:t>
      </w:r>
      <w:proofErr w:type="spellStart"/>
      <w:r w:rsidRPr="00CC19F7">
        <w:t>forpliktingar</w:t>
      </w:r>
      <w:proofErr w:type="spellEnd"/>
      <w:r w:rsidRPr="00CC19F7">
        <w:t xml:space="preserve"> </w:t>
      </w:r>
      <w:proofErr w:type="spellStart"/>
      <w:r w:rsidRPr="00CC19F7">
        <w:t>innan</w:t>
      </w:r>
      <w:proofErr w:type="spellEnd"/>
      <w:r w:rsidRPr="00CC19F7">
        <w:t xml:space="preserve"> 2030 og 2050, og forsking er </w:t>
      </w:r>
      <w:proofErr w:type="spellStart"/>
      <w:r w:rsidRPr="00CC19F7">
        <w:t>ein</w:t>
      </w:r>
      <w:proofErr w:type="spellEnd"/>
      <w:r w:rsidRPr="00CC19F7">
        <w:t xml:space="preserve"> viktig </w:t>
      </w:r>
      <w:proofErr w:type="spellStart"/>
      <w:r w:rsidRPr="00CC19F7">
        <w:t>føresetnad</w:t>
      </w:r>
      <w:proofErr w:type="spellEnd"/>
      <w:r w:rsidRPr="00CC19F7">
        <w:t xml:space="preserve"> for å kunne nå </w:t>
      </w:r>
      <w:proofErr w:type="spellStart"/>
      <w:r w:rsidRPr="00CC19F7">
        <w:t>desse</w:t>
      </w:r>
      <w:proofErr w:type="spellEnd"/>
      <w:r w:rsidRPr="00CC19F7">
        <w:t xml:space="preserve"> måla.</w:t>
      </w:r>
    </w:p>
    <w:p w14:paraId="268304B7" w14:textId="77777777" w:rsidR="00FE02EF" w:rsidRPr="00CC19F7" w:rsidRDefault="00881E58" w:rsidP="00CC19F7">
      <w:proofErr w:type="spellStart"/>
      <w:r w:rsidRPr="00CC19F7">
        <w:t>Undergrunnsforståing</w:t>
      </w:r>
      <w:proofErr w:type="spellEnd"/>
      <w:r w:rsidRPr="00CC19F7">
        <w:t xml:space="preserve">, som er fokusområdet for </w:t>
      </w:r>
      <w:proofErr w:type="spellStart"/>
      <w:r w:rsidRPr="00CC19F7">
        <w:t>dei</w:t>
      </w:r>
      <w:proofErr w:type="spellEnd"/>
      <w:r w:rsidRPr="00CC19F7">
        <w:t xml:space="preserve"> to nye </w:t>
      </w:r>
      <w:proofErr w:type="spellStart"/>
      <w:r w:rsidRPr="00CC19F7">
        <w:t>sentera</w:t>
      </w:r>
      <w:proofErr w:type="spellEnd"/>
      <w:r w:rsidRPr="00CC19F7">
        <w:t xml:space="preserve"> som blei starta opp i 2022, er høgt prioritert i OG21-strategien og har stor betydning når det </w:t>
      </w:r>
      <w:proofErr w:type="spellStart"/>
      <w:r w:rsidRPr="00CC19F7">
        <w:t>gjeld</w:t>
      </w:r>
      <w:proofErr w:type="spellEnd"/>
      <w:r w:rsidRPr="00CC19F7">
        <w:t xml:space="preserve"> å utvinne </w:t>
      </w:r>
      <w:proofErr w:type="spellStart"/>
      <w:r w:rsidRPr="00CC19F7">
        <w:t>petroleumsressursane</w:t>
      </w:r>
      <w:proofErr w:type="spellEnd"/>
      <w:r w:rsidRPr="00CC19F7">
        <w:t xml:space="preserve"> på best </w:t>
      </w:r>
      <w:proofErr w:type="spellStart"/>
      <w:r w:rsidRPr="00CC19F7">
        <w:t>mogleg</w:t>
      </w:r>
      <w:proofErr w:type="spellEnd"/>
      <w:r w:rsidRPr="00CC19F7">
        <w:t xml:space="preserve"> måte. Forsking på dette temaet kan også bidra i stor grad til energieffektivisering på norsk sokkel. I tillegg er dette kunnskap som </w:t>
      </w:r>
      <w:proofErr w:type="spellStart"/>
      <w:r w:rsidRPr="00CC19F7">
        <w:t>peikar</w:t>
      </w:r>
      <w:proofErr w:type="spellEnd"/>
      <w:r w:rsidRPr="00CC19F7">
        <w:t xml:space="preserve"> framover mot ny næringsutvikling på sokkelen, spesielt når det gjeld CO</w:t>
      </w:r>
      <w:r w:rsidRPr="00CC19F7">
        <w:rPr>
          <w:rStyle w:val="skrift-senket"/>
        </w:rPr>
        <w:t>2</w:t>
      </w:r>
      <w:r w:rsidRPr="00CC19F7">
        <w:t>-lagring.</w:t>
      </w:r>
    </w:p>
    <w:p w14:paraId="0B58A0EC" w14:textId="77777777" w:rsidR="00FE02EF" w:rsidRPr="00CC19F7" w:rsidRDefault="00881E58" w:rsidP="00CC19F7">
      <w:pPr>
        <w:pStyle w:val="avsnitt-undertittel"/>
      </w:pPr>
      <w:r w:rsidRPr="00CC19F7">
        <w:t>Internasjonalt forskings- og teknologisamarbeid</w:t>
      </w:r>
    </w:p>
    <w:p w14:paraId="6222394D" w14:textId="77777777" w:rsidR="00FE02EF" w:rsidRPr="00CC19F7" w:rsidRDefault="00881E58" w:rsidP="00CC19F7">
      <w:r w:rsidRPr="00CC19F7">
        <w:t xml:space="preserve">EUs forskings- og innovasjonsprogram Horisont Europa hadde i 2022 </w:t>
      </w:r>
      <w:proofErr w:type="spellStart"/>
      <w:r w:rsidRPr="00CC19F7">
        <w:t>satsingar</w:t>
      </w:r>
      <w:proofErr w:type="spellEnd"/>
      <w:r w:rsidRPr="00CC19F7">
        <w:t xml:space="preserve"> som samsvarte godt med </w:t>
      </w:r>
      <w:proofErr w:type="spellStart"/>
      <w:r w:rsidRPr="00CC19F7">
        <w:t>dei</w:t>
      </w:r>
      <w:proofErr w:type="spellEnd"/>
      <w:r w:rsidRPr="00CC19F7">
        <w:t xml:space="preserve"> nasjonale </w:t>
      </w:r>
      <w:proofErr w:type="spellStart"/>
      <w:r w:rsidRPr="00CC19F7">
        <w:t>prioriteringane</w:t>
      </w:r>
      <w:proofErr w:type="spellEnd"/>
      <w:r w:rsidRPr="00CC19F7">
        <w:t xml:space="preserve"> i energiporteføljen og i porteføljen av prosjekt </w:t>
      </w:r>
      <w:proofErr w:type="spellStart"/>
      <w:r w:rsidRPr="00CC19F7">
        <w:t>innan</w:t>
      </w:r>
      <w:proofErr w:type="spellEnd"/>
      <w:r w:rsidRPr="00CC19F7">
        <w:t xml:space="preserve"> CO</w:t>
      </w:r>
      <w:r w:rsidRPr="00CC19F7">
        <w:rPr>
          <w:rStyle w:val="skrift-senket"/>
        </w:rPr>
        <w:t>2</w:t>
      </w:r>
      <w:r w:rsidRPr="00CC19F7">
        <w:t xml:space="preserve">-handtering. Dei store fellesfinansierte europeiske </w:t>
      </w:r>
      <w:proofErr w:type="spellStart"/>
      <w:r w:rsidRPr="00CC19F7">
        <w:t>satsingane</w:t>
      </w:r>
      <w:proofErr w:type="spellEnd"/>
      <w:r w:rsidRPr="00CC19F7">
        <w:t xml:space="preserve"> (ERA-NET), inklusiv ACT (</w:t>
      </w:r>
      <w:proofErr w:type="spellStart"/>
      <w:r w:rsidRPr="00CC19F7">
        <w:t>Accelerating</w:t>
      </w:r>
      <w:proofErr w:type="spellEnd"/>
      <w:r w:rsidRPr="00CC19F7">
        <w:t xml:space="preserve"> CCS </w:t>
      </w:r>
      <w:proofErr w:type="spellStart"/>
      <w:r w:rsidRPr="00CC19F7">
        <w:t>technologies</w:t>
      </w:r>
      <w:proofErr w:type="spellEnd"/>
      <w:r w:rsidRPr="00CC19F7">
        <w:t xml:space="preserve">), som blei koordinert av Forskingsrådet, blir </w:t>
      </w:r>
      <w:proofErr w:type="spellStart"/>
      <w:r w:rsidRPr="00CC19F7">
        <w:t>no</w:t>
      </w:r>
      <w:proofErr w:type="spellEnd"/>
      <w:r w:rsidRPr="00CC19F7">
        <w:t xml:space="preserve"> førte </w:t>
      </w:r>
      <w:proofErr w:type="spellStart"/>
      <w:r w:rsidRPr="00CC19F7">
        <w:t>vidare</w:t>
      </w:r>
      <w:proofErr w:type="spellEnd"/>
      <w:r w:rsidRPr="00CC19F7">
        <w:t xml:space="preserve"> i EUs nye </w:t>
      </w:r>
      <w:proofErr w:type="spellStart"/>
      <w:r w:rsidRPr="00CC19F7">
        <w:t>partnarskap</w:t>
      </w:r>
      <w:proofErr w:type="spellEnd"/>
      <w:r w:rsidRPr="00CC19F7">
        <w:t xml:space="preserve"> </w:t>
      </w:r>
      <w:proofErr w:type="spellStart"/>
      <w:r w:rsidRPr="00CC19F7">
        <w:t>Clean</w:t>
      </w:r>
      <w:proofErr w:type="spellEnd"/>
      <w:r w:rsidRPr="00CC19F7">
        <w:t xml:space="preserve"> Energy </w:t>
      </w:r>
      <w:proofErr w:type="spellStart"/>
      <w:r w:rsidRPr="00CC19F7">
        <w:t>Transition</w:t>
      </w:r>
      <w:proofErr w:type="spellEnd"/>
      <w:r w:rsidRPr="00CC19F7">
        <w:t xml:space="preserve"> </w:t>
      </w:r>
      <w:proofErr w:type="spellStart"/>
      <w:r w:rsidRPr="00CC19F7">
        <w:t>Partnership</w:t>
      </w:r>
      <w:proofErr w:type="spellEnd"/>
      <w:r w:rsidRPr="00CC19F7">
        <w:t xml:space="preserve"> (CETP), som publiserte </w:t>
      </w:r>
      <w:proofErr w:type="spellStart"/>
      <w:r w:rsidRPr="00CC19F7">
        <w:t>si</w:t>
      </w:r>
      <w:proofErr w:type="spellEnd"/>
      <w:r w:rsidRPr="00CC19F7">
        <w:t xml:space="preserve"> første utlysing i 2022. Dei norske resultata </w:t>
      </w:r>
      <w:proofErr w:type="spellStart"/>
      <w:r w:rsidRPr="00CC19F7">
        <w:t>frå</w:t>
      </w:r>
      <w:proofErr w:type="spellEnd"/>
      <w:r w:rsidRPr="00CC19F7">
        <w:t xml:space="preserve"> deltakinga i Horisont Europa kan </w:t>
      </w:r>
      <w:proofErr w:type="spellStart"/>
      <w:r w:rsidRPr="00CC19F7">
        <w:t>finnast</w:t>
      </w:r>
      <w:proofErr w:type="spellEnd"/>
      <w:r w:rsidRPr="00CC19F7">
        <w:t xml:space="preserve"> under omtalen av PES2020.</w:t>
      </w:r>
    </w:p>
    <w:p w14:paraId="55FD2852" w14:textId="77777777" w:rsidR="00FE02EF" w:rsidRPr="00CC19F7" w:rsidRDefault="00881E58" w:rsidP="00CC19F7">
      <w:r w:rsidRPr="00CC19F7">
        <w:t xml:space="preserve">CLIMIT har </w:t>
      </w:r>
      <w:proofErr w:type="spellStart"/>
      <w:r w:rsidRPr="00CC19F7">
        <w:t>eit</w:t>
      </w:r>
      <w:proofErr w:type="spellEnd"/>
      <w:r w:rsidRPr="00CC19F7">
        <w:t xml:space="preserve"> </w:t>
      </w:r>
      <w:proofErr w:type="spellStart"/>
      <w:r w:rsidRPr="00CC19F7">
        <w:t>omfattande</w:t>
      </w:r>
      <w:proofErr w:type="spellEnd"/>
      <w:r w:rsidRPr="00CC19F7">
        <w:t xml:space="preserve"> internasjonalt samarbeid etablert gjennom ERA-</w:t>
      </w:r>
      <w:proofErr w:type="spellStart"/>
      <w:r w:rsidRPr="00CC19F7">
        <w:t>net</w:t>
      </w:r>
      <w:proofErr w:type="spellEnd"/>
      <w:r w:rsidRPr="00CC19F7">
        <w:t xml:space="preserve"> </w:t>
      </w:r>
      <w:proofErr w:type="spellStart"/>
      <w:r w:rsidRPr="00CC19F7">
        <w:t>Cofund</w:t>
      </w:r>
      <w:proofErr w:type="spellEnd"/>
      <w:r w:rsidRPr="00CC19F7">
        <w:t xml:space="preserve"> ACT (</w:t>
      </w:r>
      <w:proofErr w:type="spellStart"/>
      <w:r w:rsidRPr="00CC19F7">
        <w:t>Accelerating</w:t>
      </w:r>
      <w:proofErr w:type="spellEnd"/>
      <w:r w:rsidRPr="00CC19F7">
        <w:t xml:space="preserve"> CCS Technologies), der heile 15 land og </w:t>
      </w:r>
      <w:proofErr w:type="spellStart"/>
      <w:r w:rsidRPr="00CC19F7">
        <w:t>regionar</w:t>
      </w:r>
      <w:proofErr w:type="spellEnd"/>
      <w:r w:rsidRPr="00CC19F7">
        <w:t xml:space="preserve"> deltar. ACT blir koordinert av Forskingsrådet, og </w:t>
      </w:r>
      <w:proofErr w:type="spellStart"/>
      <w:r w:rsidRPr="00CC19F7">
        <w:t>Noreg</w:t>
      </w:r>
      <w:proofErr w:type="spellEnd"/>
      <w:r w:rsidRPr="00CC19F7">
        <w:t xml:space="preserve"> har </w:t>
      </w:r>
      <w:proofErr w:type="spellStart"/>
      <w:r w:rsidRPr="00CC19F7">
        <w:t>vore</w:t>
      </w:r>
      <w:proofErr w:type="spellEnd"/>
      <w:r w:rsidRPr="00CC19F7">
        <w:t xml:space="preserve"> </w:t>
      </w:r>
      <w:proofErr w:type="spellStart"/>
      <w:r w:rsidRPr="00CC19F7">
        <w:t>eit</w:t>
      </w:r>
      <w:proofErr w:type="spellEnd"/>
      <w:r w:rsidRPr="00CC19F7">
        <w:t xml:space="preserve"> viktig </w:t>
      </w:r>
      <w:proofErr w:type="spellStart"/>
      <w:r w:rsidRPr="00CC19F7">
        <w:t>føregangsland</w:t>
      </w:r>
      <w:proofErr w:type="spellEnd"/>
      <w:r w:rsidRPr="00CC19F7">
        <w:t xml:space="preserve"> i ACT. Resultata etter fem år med ACT er solide, og det har komme </w:t>
      </w:r>
      <w:proofErr w:type="spellStart"/>
      <w:r w:rsidRPr="00CC19F7">
        <w:t>lovande</w:t>
      </w:r>
      <w:proofErr w:type="spellEnd"/>
      <w:r w:rsidRPr="00CC19F7">
        <w:t xml:space="preserve"> </w:t>
      </w:r>
      <w:proofErr w:type="spellStart"/>
      <w:r w:rsidRPr="00CC19F7">
        <w:t>innovasjonar</w:t>
      </w:r>
      <w:proofErr w:type="spellEnd"/>
      <w:r w:rsidRPr="00CC19F7">
        <w:t xml:space="preserve"> </w:t>
      </w:r>
      <w:proofErr w:type="spellStart"/>
      <w:r w:rsidRPr="00CC19F7">
        <w:t>innan</w:t>
      </w:r>
      <w:proofErr w:type="spellEnd"/>
      <w:r w:rsidRPr="00CC19F7">
        <w:t xml:space="preserve"> både fangst, transport og lagring av CO</w:t>
      </w:r>
      <w:r w:rsidRPr="00CC19F7">
        <w:rPr>
          <w:rStyle w:val="skrift-senket"/>
        </w:rPr>
        <w:t>2</w:t>
      </w:r>
      <w:r w:rsidRPr="00CC19F7">
        <w:t xml:space="preserve">. </w:t>
      </w:r>
      <w:proofErr w:type="spellStart"/>
      <w:r w:rsidRPr="00CC19F7">
        <w:t>Sidan</w:t>
      </w:r>
      <w:proofErr w:type="spellEnd"/>
      <w:r w:rsidRPr="00CC19F7">
        <w:t xml:space="preserve"> oppstarten i 2016 er fire </w:t>
      </w:r>
      <w:proofErr w:type="spellStart"/>
      <w:r w:rsidRPr="00CC19F7">
        <w:t>utlysingar</w:t>
      </w:r>
      <w:proofErr w:type="spellEnd"/>
      <w:r w:rsidRPr="00CC19F7">
        <w:t xml:space="preserve"> gjennomførte og 39 prosjekt med </w:t>
      </w:r>
      <w:proofErr w:type="spellStart"/>
      <w:r w:rsidRPr="00CC19F7">
        <w:t>eit</w:t>
      </w:r>
      <w:proofErr w:type="spellEnd"/>
      <w:r w:rsidRPr="00CC19F7">
        <w:t xml:space="preserve"> samla budsjett på rundt 1,7 mrd. kroner blir støtta med 1,2 mrd. kroner </w:t>
      </w:r>
      <w:proofErr w:type="spellStart"/>
      <w:r w:rsidRPr="00CC19F7">
        <w:t>frå</w:t>
      </w:r>
      <w:proofErr w:type="spellEnd"/>
      <w:r w:rsidRPr="00CC19F7">
        <w:t xml:space="preserve"> ACT. Støtta </w:t>
      </w:r>
      <w:proofErr w:type="spellStart"/>
      <w:r w:rsidRPr="00CC19F7">
        <w:t>frå</w:t>
      </w:r>
      <w:proofErr w:type="spellEnd"/>
      <w:r w:rsidRPr="00CC19F7">
        <w:t xml:space="preserve"> ACT til norske </w:t>
      </w:r>
      <w:proofErr w:type="spellStart"/>
      <w:r w:rsidRPr="00CC19F7">
        <w:t>partnarar</w:t>
      </w:r>
      <w:proofErr w:type="spellEnd"/>
      <w:r w:rsidRPr="00CC19F7">
        <w:t xml:space="preserve"> er om lag 260 mill. kroner, av det kjem om lag 230 mill. kroner </w:t>
      </w:r>
      <w:proofErr w:type="spellStart"/>
      <w:r w:rsidRPr="00CC19F7">
        <w:t>frå</w:t>
      </w:r>
      <w:proofErr w:type="spellEnd"/>
      <w:r w:rsidRPr="00CC19F7">
        <w:t xml:space="preserve"> CLIMIT.</w:t>
      </w:r>
    </w:p>
    <w:p w14:paraId="6C00BA76" w14:textId="77777777" w:rsidR="00FE02EF" w:rsidRPr="00CC19F7" w:rsidRDefault="00881E58" w:rsidP="00CC19F7">
      <w:proofErr w:type="spellStart"/>
      <w:r w:rsidRPr="00CC19F7">
        <w:t>Noreg</w:t>
      </w:r>
      <w:proofErr w:type="spellEnd"/>
      <w:r w:rsidRPr="00CC19F7">
        <w:t xml:space="preserve"> er også aktivt med i </w:t>
      </w:r>
      <w:proofErr w:type="spellStart"/>
      <w:r w:rsidRPr="00CC19F7">
        <w:t>Mission</w:t>
      </w:r>
      <w:proofErr w:type="spellEnd"/>
      <w:r w:rsidRPr="00CC19F7">
        <w:t xml:space="preserve"> </w:t>
      </w:r>
      <w:proofErr w:type="spellStart"/>
      <w:r w:rsidRPr="00CC19F7">
        <w:t>Innovation</w:t>
      </w:r>
      <w:proofErr w:type="spellEnd"/>
      <w:r w:rsidRPr="00CC19F7">
        <w:t xml:space="preserve"> (MI) og deltar som </w:t>
      </w:r>
      <w:proofErr w:type="spellStart"/>
      <w:r w:rsidRPr="00CC19F7">
        <w:t>medleiar</w:t>
      </w:r>
      <w:proofErr w:type="spellEnd"/>
      <w:r w:rsidRPr="00CC19F7">
        <w:t xml:space="preserve"> i Zero </w:t>
      </w:r>
      <w:proofErr w:type="spellStart"/>
      <w:r w:rsidRPr="00CC19F7">
        <w:t>Emission</w:t>
      </w:r>
      <w:proofErr w:type="spellEnd"/>
      <w:r w:rsidRPr="00CC19F7">
        <w:t xml:space="preserve"> Shipping </w:t>
      </w:r>
      <w:proofErr w:type="spellStart"/>
      <w:r w:rsidRPr="00CC19F7">
        <w:t>Mission</w:t>
      </w:r>
      <w:proofErr w:type="spellEnd"/>
      <w:r w:rsidRPr="00CC19F7">
        <w:t xml:space="preserve"> (ZESM). Der var aktiviteten </w:t>
      </w:r>
      <w:proofErr w:type="spellStart"/>
      <w:r w:rsidRPr="00CC19F7">
        <w:t>særleg</w:t>
      </w:r>
      <w:proofErr w:type="spellEnd"/>
      <w:r w:rsidRPr="00CC19F7">
        <w:t xml:space="preserve"> høg i 2022, med utarbeiding av Action Plan og </w:t>
      </w:r>
      <w:proofErr w:type="spellStart"/>
      <w:r w:rsidRPr="00CC19F7">
        <w:t>ein</w:t>
      </w:r>
      <w:proofErr w:type="spellEnd"/>
      <w:r w:rsidRPr="00CC19F7">
        <w:t xml:space="preserve"> gjennomført </w:t>
      </w:r>
      <w:proofErr w:type="spellStart"/>
      <w:r w:rsidRPr="00CC19F7">
        <w:t>moglegheitsstudie</w:t>
      </w:r>
      <w:proofErr w:type="spellEnd"/>
      <w:r w:rsidRPr="00CC19F7">
        <w:t xml:space="preserve"> for skip </w:t>
      </w:r>
      <w:proofErr w:type="spellStart"/>
      <w:r w:rsidRPr="00CC19F7">
        <w:t>drivne</w:t>
      </w:r>
      <w:proofErr w:type="spellEnd"/>
      <w:r w:rsidRPr="00CC19F7">
        <w:t xml:space="preserve"> av ammoniakk over lange </w:t>
      </w:r>
      <w:proofErr w:type="spellStart"/>
      <w:r w:rsidRPr="00CC19F7">
        <w:t>strekningar</w:t>
      </w:r>
      <w:proofErr w:type="spellEnd"/>
      <w:r w:rsidRPr="00CC19F7">
        <w:t xml:space="preserve">, for eksempel mellom Europa og Amerika. </w:t>
      </w:r>
      <w:proofErr w:type="spellStart"/>
      <w:r w:rsidRPr="00CC19F7">
        <w:t>Noreg</w:t>
      </w:r>
      <w:proofErr w:type="spellEnd"/>
      <w:r w:rsidRPr="00CC19F7">
        <w:t xml:space="preserve"> er også medlem av </w:t>
      </w:r>
      <w:proofErr w:type="spellStart"/>
      <w:r w:rsidRPr="00CC19F7">
        <w:t>Clean</w:t>
      </w:r>
      <w:proofErr w:type="spellEnd"/>
      <w:r w:rsidRPr="00CC19F7">
        <w:t xml:space="preserve"> Hydrogen </w:t>
      </w:r>
      <w:proofErr w:type="spellStart"/>
      <w:r w:rsidRPr="00CC19F7">
        <w:t>Mission</w:t>
      </w:r>
      <w:proofErr w:type="spellEnd"/>
      <w:r w:rsidRPr="00CC19F7">
        <w:t xml:space="preserve"> </w:t>
      </w:r>
      <w:proofErr w:type="spellStart"/>
      <w:r w:rsidRPr="00CC19F7">
        <w:t>of</w:t>
      </w:r>
      <w:proofErr w:type="spellEnd"/>
      <w:r w:rsidRPr="00CC19F7">
        <w:t xml:space="preserve"> </w:t>
      </w:r>
      <w:proofErr w:type="spellStart"/>
      <w:r w:rsidRPr="00CC19F7">
        <w:t>Carbon</w:t>
      </w:r>
      <w:proofErr w:type="spellEnd"/>
      <w:r w:rsidRPr="00CC19F7">
        <w:t xml:space="preserve"> </w:t>
      </w:r>
      <w:proofErr w:type="spellStart"/>
      <w:r w:rsidRPr="00CC19F7">
        <w:t>Dioxide</w:t>
      </w:r>
      <w:proofErr w:type="spellEnd"/>
      <w:r w:rsidRPr="00CC19F7">
        <w:t xml:space="preserve"> </w:t>
      </w:r>
      <w:proofErr w:type="spellStart"/>
      <w:r w:rsidRPr="00CC19F7">
        <w:t>Removal</w:t>
      </w:r>
      <w:proofErr w:type="spellEnd"/>
      <w:r w:rsidRPr="00CC19F7">
        <w:t xml:space="preserve"> </w:t>
      </w:r>
      <w:proofErr w:type="spellStart"/>
      <w:r w:rsidRPr="00CC19F7">
        <w:t>Mission</w:t>
      </w:r>
      <w:proofErr w:type="spellEnd"/>
      <w:r w:rsidRPr="00CC19F7">
        <w:t xml:space="preserve"> i MI. Forskingsrådet og Gassnova har ei sentral rolle i oppfølginga av </w:t>
      </w:r>
      <w:proofErr w:type="spellStart"/>
      <w:r w:rsidRPr="00CC19F7">
        <w:t>desse</w:t>
      </w:r>
      <w:proofErr w:type="spellEnd"/>
      <w:r w:rsidRPr="00CC19F7">
        <w:t xml:space="preserve"> initiativa.</w:t>
      </w:r>
    </w:p>
    <w:p w14:paraId="72FE378D" w14:textId="77777777" w:rsidR="00FE02EF" w:rsidRPr="00CC19F7" w:rsidRDefault="00881E58" w:rsidP="00CC19F7">
      <w:r w:rsidRPr="00CC19F7">
        <w:t xml:space="preserve">I petroleumsporteføljen er det relativt få </w:t>
      </w:r>
      <w:proofErr w:type="spellStart"/>
      <w:r w:rsidRPr="00CC19F7">
        <w:t>moglegheiter</w:t>
      </w:r>
      <w:proofErr w:type="spellEnd"/>
      <w:r w:rsidRPr="00CC19F7">
        <w:t xml:space="preserve"> </w:t>
      </w:r>
      <w:proofErr w:type="spellStart"/>
      <w:r w:rsidRPr="00CC19F7">
        <w:t>innanfor</w:t>
      </w:r>
      <w:proofErr w:type="spellEnd"/>
      <w:r w:rsidRPr="00CC19F7">
        <w:t xml:space="preserve"> rammeprogramma i EU. Porteføljen har derfor stimulert til internasjonalt samarbeid og </w:t>
      </w:r>
      <w:proofErr w:type="spellStart"/>
      <w:r w:rsidRPr="00CC19F7">
        <w:t>utlysingar</w:t>
      </w:r>
      <w:proofErr w:type="spellEnd"/>
      <w:r w:rsidRPr="00CC19F7">
        <w:t xml:space="preserve"> </w:t>
      </w:r>
      <w:proofErr w:type="spellStart"/>
      <w:r w:rsidRPr="00CC19F7">
        <w:t>saman</w:t>
      </w:r>
      <w:proofErr w:type="spellEnd"/>
      <w:r w:rsidRPr="00CC19F7">
        <w:t xml:space="preserve"> med </w:t>
      </w:r>
      <w:proofErr w:type="spellStart"/>
      <w:r w:rsidRPr="00CC19F7">
        <w:t>organisasjonar</w:t>
      </w:r>
      <w:proofErr w:type="spellEnd"/>
      <w:r w:rsidRPr="00CC19F7">
        <w:t xml:space="preserve"> </w:t>
      </w:r>
      <w:proofErr w:type="spellStart"/>
      <w:r w:rsidRPr="00CC19F7">
        <w:t>tilsvarande</w:t>
      </w:r>
      <w:proofErr w:type="spellEnd"/>
      <w:r w:rsidRPr="00CC19F7">
        <w:t xml:space="preserve"> Forskingsrådet i andre land. I 2022 var deltakinga i JPI Oceans-utlysinga </w:t>
      </w:r>
      <w:proofErr w:type="spellStart"/>
      <w:r w:rsidRPr="00CC19F7">
        <w:t>eit</w:t>
      </w:r>
      <w:proofErr w:type="spellEnd"/>
      <w:r w:rsidRPr="00CC19F7">
        <w:t xml:space="preserve"> viktig bidrag. </w:t>
      </w:r>
      <w:proofErr w:type="spellStart"/>
      <w:r w:rsidRPr="00CC19F7">
        <w:t>Novemberkonferansen</w:t>
      </w:r>
      <w:proofErr w:type="spellEnd"/>
      <w:r w:rsidRPr="00CC19F7">
        <w:t xml:space="preserve">, som blir arrangert i Rio de Janeiro i Brasil kvart år, er </w:t>
      </w:r>
      <w:proofErr w:type="spellStart"/>
      <w:r w:rsidRPr="00CC19F7">
        <w:t>ein</w:t>
      </w:r>
      <w:proofErr w:type="spellEnd"/>
      <w:r w:rsidRPr="00CC19F7">
        <w:t xml:space="preserve"> viktig arena for diskusjon og nettverksbygging mellom norske og brasilianske forskingsmiljø. Konferansen i 2022 dreidde seg om tema </w:t>
      </w:r>
      <w:proofErr w:type="spellStart"/>
      <w:r w:rsidRPr="00CC19F7">
        <w:t>innanfor</w:t>
      </w:r>
      <w:proofErr w:type="spellEnd"/>
      <w:r w:rsidRPr="00CC19F7">
        <w:t xml:space="preserve"> petroleum, energiomstilling og den digitale omstillinga.</w:t>
      </w:r>
    </w:p>
    <w:p w14:paraId="1DA611A3" w14:textId="77777777" w:rsidR="00FE02EF" w:rsidRPr="00CC19F7" w:rsidRDefault="00881E58" w:rsidP="00CC19F7">
      <w:r w:rsidRPr="00CC19F7">
        <w:t xml:space="preserve">I forskingsprogrammet International Ocean </w:t>
      </w:r>
      <w:proofErr w:type="spellStart"/>
      <w:r w:rsidRPr="00CC19F7">
        <w:t>Discovery</w:t>
      </w:r>
      <w:proofErr w:type="spellEnd"/>
      <w:r w:rsidRPr="00CC19F7">
        <w:t xml:space="preserve"> Program (IODP) var det 21 medlemsland i 2022. Utforsking av Arktis og Antarktis, </w:t>
      </w:r>
      <w:proofErr w:type="spellStart"/>
      <w:r w:rsidRPr="00CC19F7">
        <w:t>klimaendringar</w:t>
      </w:r>
      <w:proofErr w:type="spellEnd"/>
      <w:r w:rsidRPr="00CC19F7">
        <w:t xml:space="preserve">, </w:t>
      </w:r>
      <w:proofErr w:type="spellStart"/>
      <w:r w:rsidRPr="00CC19F7">
        <w:t>naturkatastrofar</w:t>
      </w:r>
      <w:proofErr w:type="spellEnd"/>
      <w:r w:rsidRPr="00CC19F7">
        <w:t xml:space="preserve"> og </w:t>
      </w:r>
      <w:proofErr w:type="spellStart"/>
      <w:r w:rsidRPr="00CC19F7">
        <w:t>ressursar</w:t>
      </w:r>
      <w:proofErr w:type="spellEnd"/>
      <w:r w:rsidRPr="00CC19F7">
        <w:t xml:space="preserve"> var </w:t>
      </w:r>
      <w:proofErr w:type="spellStart"/>
      <w:r w:rsidRPr="00CC19F7">
        <w:t>dei</w:t>
      </w:r>
      <w:proofErr w:type="spellEnd"/>
      <w:r w:rsidRPr="00CC19F7">
        <w:t xml:space="preserve"> prioriterte forskingsområda for </w:t>
      </w:r>
      <w:proofErr w:type="spellStart"/>
      <w:r w:rsidRPr="00CC19F7">
        <w:t>Noreg</w:t>
      </w:r>
      <w:proofErr w:type="spellEnd"/>
      <w:r w:rsidRPr="00CC19F7">
        <w:t>.</w:t>
      </w:r>
    </w:p>
    <w:p w14:paraId="06FF65F9" w14:textId="77777777" w:rsidR="00FE02EF" w:rsidRPr="00CC19F7" w:rsidRDefault="00881E58" w:rsidP="00CC19F7">
      <w:pPr>
        <w:pStyle w:val="avsnitt-under-undertittel"/>
      </w:pPr>
      <w:r w:rsidRPr="00CC19F7">
        <w:t>PES2020 – Prosjektetableringsstøtte, Horisont Europa</w:t>
      </w:r>
    </w:p>
    <w:p w14:paraId="0EF7A713" w14:textId="77777777" w:rsidR="00FE02EF" w:rsidRPr="00CC19F7" w:rsidRDefault="00881E58" w:rsidP="00CC19F7">
      <w:r w:rsidRPr="00CC19F7">
        <w:t xml:space="preserve">Gjennom PES2020-ordninga blei det gitt støtte til etablering av prosjekt og utforming av prosjektsøknader retta mot EUs rammeprogram for forsking og innovasjon, Horisont Europa (2021–2027). I 2022 blei det utbetalt totalt om lag 159 mill. kroner gjennom ordninga, av det kom om lag 8,5 mill. kroner </w:t>
      </w:r>
      <w:proofErr w:type="spellStart"/>
      <w:r w:rsidRPr="00CC19F7">
        <w:t>frå</w:t>
      </w:r>
      <w:proofErr w:type="spellEnd"/>
      <w:r w:rsidRPr="00CC19F7">
        <w:t xml:space="preserve"> Olje- og energidepartementet.</w:t>
      </w:r>
    </w:p>
    <w:p w14:paraId="4DD13E6C" w14:textId="77777777" w:rsidR="00FE02EF" w:rsidRPr="00CC19F7" w:rsidRDefault="00881E58" w:rsidP="00CC19F7">
      <w:r w:rsidRPr="00CC19F7">
        <w:t xml:space="preserve">Norske </w:t>
      </w:r>
      <w:proofErr w:type="spellStart"/>
      <w:r w:rsidRPr="00CC19F7">
        <w:t>aktørar</w:t>
      </w:r>
      <w:proofErr w:type="spellEnd"/>
      <w:r w:rsidRPr="00CC19F7">
        <w:t xml:space="preserve"> har gjort det svært godt på energiområdet i Horisont Europa. Resultata </w:t>
      </w:r>
      <w:proofErr w:type="spellStart"/>
      <w:r w:rsidRPr="00CC19F7">
        <w:t>frå</w:t>
      </w:r>
      <w:proofErr w:type="spellEnd"/>
      <w:r w:rsidRPr="00CC19F7">
        <w:t xml:space="preserve"> </w:t>
      </w:r>
      <w:proofErr w:type="spellStart"/>
      <w:r w:rsidRPr="00CC19F7">
        <w:t>utlysingar</w:t>
      </w:r>
      <w:proofErr w:type="spellEnd"/>
      <w:r w:rsidRPr="00CC19F7">
        <w:t xml:space="preserve"> i Horisont Europa med </w:t>
      </w:r>
      <w:proofErr w:type="spellStart"/>
      <w:r w:rsidRPr="00CC19F7">
        <w:t>søknadsfristar</w:t>
      </w:r>
      <w:proofErr w:type="spellEnd"/>
      <w:r w:rsidRPr="00CC19F7">
        <w:t xml:space="preserve"> i 2022 viser at norske </w:t>
      </w:r>
      <w:proofErr w:type="spellStart"/>
      <w:r w:rsidRPr="00CC19F7">
        <w:t>aktørar</w:t>
      </w:r>
      <w:proofErr w:type="spellEnd"/>
      <w:r w:rsidRPr="00CC19F7">
        <w:t xml:space="preserve"> på energifeltet </w:t>
      </w:r>
      <w:proofErr w:type="spellStart"/>
      <w:r w:rsidRPr="00CC19F7">
        <w:t>hentar</w:t>
      </w:r>
      <w:proofErr w:type="spellEnd"/>
      <w:r w:rsidRPr="00CC19F7">
        <w:t xml:space="preserve"> heim 65 mill. euro i støtte. Dette svarer til </w:t>
      </w:r>
      <w:proofErr w:type="spellStart"/>
      <w:r w:rsidRPr="00CC19F7">
        <w:t>ein</w:t>
      </w:r>
      <w:proofErr w:type="spellEnd"/>
      <w:r w:rsidRPr="00CC19F7">
        <w:t xml:space="preserve"> økonomisk returdel på om lag 4,6 prosent, som </w:t>
      </w:r>
      <w:proofErr w:type="spellStart"/>
      <w:r w:rsidRPr="00CC19F7">
        <w:t>eit</w:t>
      </w:r>
      <w:proofErr w:type="spellEnd"/>
      <w:r w:rsidRPr="00CC19F7">
        <w:t xml:space="preserve"> uttrykk for kor stor del av </w:t>
      </w:r>
      <w:proofErr w:type="spellStart"/>
      <w:r w:rsidRPr="00CC19F7">
        <w:t>dei</w:t>
      </w:r>
      <w:proofErr w:type="spellEnd"/>
      <w:r w:rsidRPr="00CC19F7">
        <w:t xml:space="preserve"> konkurranseutsette </w:t>
      </w:r>
      <w:proofErr w:type="spellStart"/>
      <w:r w:rsidRPr="00CC19F7">
        <w:t>midlane</w:t>
      </w:r>
      <w:proofErr w:type="spellEnd"/>
      <w:r w:rsidRPr="00CC19F7">
        <w:t xml:space="preserve"> </w:t>
      </w:r>
      <w:proofErr w:type="spellStart"/>
      <w:r w:rsidRPr="00CC19F7">
        <w:t>eit</w:t>
      </w:r>
      <w:proofErr w:type="spellEnd"/>
      <w:r w:rsidRPr="00CC19F7">
        <w:t xml:space="preserve"> land blir tildelt.</w:t>
      </w:r>
    </w:p>
    <w:p w14:paraId="6F5489C0" w14:textId="77777777" w:rsidR="00FE02EF" w:rsidRPr="00CC19F7" w:rsidRDefault="00881E58" w:rsidP="00CC19F7">
      <w:pPr>
        <w:pStyle w:val="avsnitt-under-undertittel"/>
      </w:pPr>
      <w:r w:rsidRPr="00CC19F7">
        <w:t>Nordisk Energiforsking (kap. 1830, post 71 i 2022)</w:t>
      </w:r>
    </w:p>
    <w:p w14:paraId="193586C2" w14:textId="77777777" w:rsidR="00FE02EF" w:rsidRPr="00CC19F7" w:rsidRDefault="00881E58" w:rsidP="00CC19F7">
      <w:proofErr w:type="spellStart"/>
      <w:r w:rsidRPr="00CC19F7">
        <w:t>Noregs</w:t>
      </w:r>
      <w:proofErr w:type="spellEnd"/>
      <w:r w:rsidRPr="00CC19F7">
        <w:t xml:space="preserve"> andel av finansieringa av Nordisk Energiforsking (NEF) utgjorde om lag 10 mill. kroner i 2022. NEF har mellom anna gjennomført </w:t>
      </w:r>
      <w:proofErr w:type="spellStart"/>
      <w:r w:rsidRPr="00CC19F7">
        <w:t>følgande</w:t>
      </w:r>
      <w:proofErr w:type="spellEnd"/>
      <w:r w:rsidRPr="00CC19F7">
        <w:t xml:space="preserve"> </w:t>
      </w:r>
      <w:proofErr w:type="spellStart"/>
      <w:r w:rsidRPr="00CC19F7">
        <w:t>aktivitetar</w:t>
      </w:r>
      <w:proofErr w:type="spellEnd"/>
    </w:p>
    <w:p w14:paraId="357F8BA1" w14:textId="77777777" w:rsidR="00FE02EF" w:rsidRPr="00CC19F7" w:rsidRDefault="00881E58" w:rsidP="00CC19F7">
      <w:pPr>
        <w:pStyle w:val="Liste"/>
      </w:pPr>
      <w:r w:rsidRPr="00CC19F7">
        <w:t>programmet for større ph.d.- og forskarmobilitet</w:t>
      </w:r>
    </w:p>
    <w:p w14:paraId="791C8071" w14:textId="77777777" w:rsidR="00FE02EF" w:rsidRPr="00CC19F7" w:rsidRDefault="00881E58" w:rsidP="00CC19F7">
      <w:pPr>
        <w:pStyle w:val="Liste"/>
      </w:pPr>
      <w:r w:rsidRPr="00CC19F7">
        <w:t xml:space="preserve">lansering av </w:t>
      </w:r>
      <w:proofErr w:type="spellStart"/>
      <w:r w:rsidRPr="00CC19F7">
        <w:t>ein</w:t>
      </w:r>
      <w:proofErr w:type="spellEnd"/>
      <w:r w:rsidRPr="00CC19F7">
        <w:t xml:space="preserve"> rapport om sameksistens og biodiversitet i </w:t>
      </w:r>
      <w:proofErr w:type="spellStart"/>
      <w:r w:rsidRPr="00CC19F7">
        <w:t>konsesjonsprosessar</w:t>
      </w:r>
      <w:proofErr w:type="spellEnd"/>
      <w:r w:rsidRPr="00CC19F7">
        <w:t xml:space="preserve"> for havvind i Nordsjøen og Austersjøen, «</w:t>
      </w:r>
      <w:proofErr w:type="spellStart"/>
      <w:r w:rsidRPr="00CC19F7">
        <w:t>Accommodating</w:t>
      </w:r>
      <w:proofErr w:type="spellEnd"/>
      <w:r w:rsidRPr="00CC19F7">
        <w:t xml:space="preserve"> </w:t>
      </w:r>
      <w:proofErr w:type="spellStart"/>
      <w:r w:rsidRPr="00CC19F7">
        <w:t>Biodiversity</w:t>
      </w:r>
      <w:proofErr w:type="spellEnd"/>
      <w:r w:rsidRPr="00CC19F7">
        <w:t xml:space="preserve"> in Nordic Offshore Wind Projects»</w:t>
      </w:r>
    </w:p>
    <w:p w14:paraId="557870E7" w14:textId="77777777" w:rsidR="00FE02EF" w:rsidRPr="00CC19F7" w:rsidRDefault="00881E58" w:rsidP="00CC19F7">
      <w:pPr>
        <w:pStyle w:val="Liste"/>
      </w:pPr>
      <w:r w:rsidRPr="00CC19F7">
        <w:t xml:space="preserve">første utlysing av det nye hydrogenprogrammet «Nordic Hydrogen Valleys as Energy </w:t>
      </w:r>
      <w:proofErr w:type="spellStart"/>
      <w:r w:rsidRPr="00CC19F7">
        <w:t>Hubs</w:t>
      </w:r>
      <w:proofErr w:type="spellEnd"/>
      <w:r w:rsidRPr="00CC19F7">
        <w:t>»</w:t>
      </w:r>
    </w:p>
    <w:p w14:paraId="08901F85" w14:textId="77777777" w:rsidR="00FE02EF" w:rsidRPr="00CA1D23" w:rsidRDefault="00881E58" w:rsidP="00CC19F7">
      <w:pPr>
        <w:pStyle w:val="Liste"/>
        <w:rPr>
          <w:lang w:val="en-US"/>
        </w:rPr>
      </w:pPr>
      <w:r w:rsidRPr="00CA1D23">
        <w:rPr>
          <w:lang w:val="en-US"/>
        </w:rPr>
        <w:t>utlysingskoordinator for «Clean Energy Transition Partnership» (CETP)</w:t>
      </w:r>
    </w:p>
    <w:p w14:paraId="1C15DD60" w14:textId="77777777" w:rsidR="00FE02EF" w:rsidRPr="00CC19F7" w:rsidRDefault="00881E58" w:rsidP="00CC19F7">
      <w:pPr>
        <w:pStyle w:val="avsnitt-undertittel"/>
      </w:pPr>
      <w:r w:rsidRPr="00CC19F7">
        <w:t>Kartlegging av sjøfugl</w:t>
      </w:r>
    </w:p>
    <w:p w14:paraId="0DDA7E39" w14:textId="77777777" w:rsidR="00FE02EF" w:rsidRPr="00CC19F7" w:rsidRDefault="00881E58" w:rsidP="00CC19F7">
      <w:r w:rsidRPr="00CC19F7">
        <w:t xml:space="preserve">Det blei utbetalt om lag 6 mill. kroner til sjøfuglprogrammet </w:t>
      </w:r>
      <w:proofErr w:type="spellStart"/>
      <w:r w:rsidRPr="00CC19F7">
        <w:t>Seabird</w:t>
      </w:r>
      <w:proofErr w:type="spellEnd"/>
      <w:r w:rsidRPr="00CC19F7">
        <w:t xml:space="preserve"> </w:t>
      </w:r>
      <w:proofErr w:type="spellStart"/>
      <w:r w:rsidRPr="00CC19F7">
        <w:t>Population</w:t>
      </w:r>
      <w:proofErr w:type="spellEnd"/>
      <w:r w:rsidRPr="00CC19F7">
        <w:t xml:space="preserve"> Management and Petroleum Operations (SEAPOP) i 2022. Norsk institutt for naturforskning (NINA) og Norsk Polarinstitutt (NP) organiserer og utfører arbeidet i SEAPOP. På oppdrag </w:t>
      </w:r>
      <w:proofErr w:type="spellStart"/>
      <w:r w:rsidRPr="00CC19F7">
        <w:t>frå</w:t>
      </w:r>
      <w:proofErr w:type="spellEnd"/>
      <w:r w:rsidRPr="00CC19F7">
        <w:t xml:space="preserve"> Miljødirektoratet blei programmet i 2022 evaluert av Menon </w:t>
      </w:r>
      <w:proofErr w:type="spellStart"/>
      <w:r w:rsidRPr="00CC19F7">
        <w:t>Economics</w:t>
      </w:r>
      <w:proofErr w:type="spellEnd"/>
      <w:r w:rsidRPr="00CC19F7">
        <w:t xml:space="preserve"> som </w:t>
      </w:r>
      <w:proofErr w:type="spellStart"/>
      <w:r w:rsidRPr="00CC19F7">
        <w:t>ein</w:t>
      </w:r>
      <w:proofErr w:type="spellEnd"/>
      <w:r w:rsidRPr="00CC19F7">
        <w:t xml:space="preserve"> del av «Evaluering av programma for sjøfugl». Det blei gitt ei rekke </w:t>
      </w:r>
      <w:proofErr w:type="spellStart"/>
      <w:r w:rsidRPr="00CC19F7">
        <w:t>tilrådingar</w:t>
      </w:r>
      <w:proofErr w:type="spellEnd"/>
      <w:r w:rsidRPr="00CC19F7">
        <w:t xml:space="preserve"> mellom anna </w:t>
      </w:r>
      <w:proofErr w:type="spellStart"/>
      <w:r w:rsidRPr="00CC19F7">
        <w:t>innan</w:t>
      </w:r>
      <w:proofErr w:type="spellEnd"/>
      <w:r w:rsidRPr="00CC19F7">
        <w:t xml:space="preserve"> måloppnåing, organisering, koordinering, formidling og finansiering. Overordna vurderte </w:t>
      </w:r>
      <w:proofErr w:type="spellStart"/>
      <w:r w:rsidRPr="00CC19F7">
        <w:t>evaluatoren</w:t>
      </w:r>
      <w:proofErr w:type="spellEnd"/>
      <w:r w:rsidRPr="00CC19F7">
        <w:t xml:space="preserve"> det slik at målet om å talfeste utbreiinga, </w:t>
      </w:r>
      <w:proofErr w:type="spellStart"/>
      <w:r w:rsidRPr="00CC19F7">
        <w:t>vandringane</w:t>
      </w:r>
      <w:proofErr w:type="spellEnd"/>
      <w:r w:rsidRPr="00CC19F7">
        <w:t xml:space="preserve"> og habitatbruken til </w:t>
      </w:r>
      <w:proofErr w:type="spellStart"/>
      <w:r w:rsidRPr="00CC19F7">
        <w:t>sjøfuglbestandane</w:t>
      </w:r>
      <w:proofErr w:type="spellEnd"/>
      <w:r w:rsidRPr="00CC19F7">
        <w:t xml:space="preserve"> over tid i størst grad er oppfylt som følge av </w:t>
      </w:r>
      <w:proofErr w:type="spellStart"/>
      <w:r w:rsidRPr="00CC19F7">
        <w:t>overvakinga</w:t>
      </w:r>
      <w:proofErr w:type="spellEnd"/>
      <w:r w:rsidRPr="00CC19F7">
        <w:t xml:space="preserve"> av 15 </w:t>
      </w:r>
      <w:proofErr w:type="spellStart"/>
      <w:r w:rsidRPr="00CC19F7">
        <w:t>nøkkellokalitetar</w:t>
      </w:r>
      <w:proofErr w:type="spellEnd"/>
      <w:r w:rsidRPr="00CC19F7">
        <w:t xml:space="preserve"> og i </w:t>
      </w:r>
      <w:proofErr w:type="spellStart"/>
      <w:r w:rsidRPr="00CC19F7">
        <w:t>samspelet</w:t>
      </w:r>
      <w:proofErr w:type="spellEnd"/>
      <w:r w:rsidRPr="00CC19F7">
        <w:t xml:space="preserve"> med SEATRACK.</w:t>
      </w:r>
    </w:p>
    <w:p w14:paraId="12291C17" w14:textId="77777777" w:rsidR="00FE02EF" w:rsidRPr="00CC19F7" w:rsidRDefault="00881E58" w:rsidP="00CC19F7">
      <w:pPr>
        <w:pStyle w:val="b-post"/>
      </w:pPr>
      <w:r w:rsidRPr="00CC19F7">
        <w:t>Post 70 Gassnova SF</w:t>
      </w:r>
    </w:p>
    <w:p w14:paraId="4E27477E" w14:textId="77777777" w:rsidR="00FE02EF" w:rsidRPr="00CC19F7" w:rsidRDefault="00881E58" w:rsidP="00CC19F7">
      <w:r w:rsidRPr="00CC19F7">
        <w:t xml:space="preserve">Gassnova er </w:t>
      </w:r>
      <w:proofErr w:type="spellStart"/>
      <w:r w:rsidRPr="00CC19F7">
        <w:t>eit</w:t>
      </w:r>
      <w:proofErr w:type="spellEnd"/>
      <w:r w:rsidRPr="00CC19F7">
        <w:t xml:space="preserve"> </w:t>
      </w:r>
      <w:proofErr w:type="spellStart"/>
      <w:r w:rsidRPr="00CC19F7">
        <w:t>statsføretak</w:t>
      </w:r>
      <w:proofErr w:type="spellEnd"/>
      <w:r w:rsidRPr="00CC19F7">
        <w:t xml:space="preserve"> som tar hand om statens interesser knytte til CO</w:t>
      </w:r>
      <w:r w:rsidRPr="00CC19F7">
        <w:rPr>
          <w:rStyle w:val="skrift-senket"/>
        </w:rPr>
        <w:t>2</w:t>
      </w:r>
      <w:r w:rsidRPr="00CC19F7">
        <w:t>-handtering (fangst, transport og geologisk lagring av CO</w:t>
      </w:r>
      <w:r w:rsidRPr="00CC19F7">
        <w:rPr>
          <w:rStyle w:val="skrift-senket"/>
        </w:rPr>
        <w:t>2</w:t>
      </w:r>
      <w:r w:rsidRPr="00CC19F7">
        <w:t xml:space="preserve">). Dette inkluderer å fremme teknologiutvikling og kompetansebygging for kostnadseffektive og framtidsretta </w:t>
      </w:r>
      <w:proofErr w:type="spellStart"/>
      <w:r w:rsidRPr="00CC19F7">
        <w:t>løysingar</w:t>
      </w:r>
      <w:proofErr w:type="spellEnd"/>
      <w:r w:rsidRPr="00CC19F7">
        <w:t xml:space="preserve"> for CO</w:t>
      </w:r>
      <w:r w:rsidRPr="00CC19F7">
        <w:rPr>
          <w:rStyle w:val="skrift-senket"/>
        </w:rPr>
        <w:t>2</w:t>
      </w:r>
      <w:r w:rsidRPr="00CC19F7">
        <w:t xml:space="preserve">-handtering og å </w:t>
      </w:r>
      <w:proofErr w:type="spellStart"/>
      <w:r w:rsidRPr="00CC19F7">
        <w:t>vere</w:t>
      </w:r>
      <w:proofErr w:type="spellEnd"/>
      <w:r w:rsidRPr="00CC19F7">
        <w:t xml:space="preserve"> </w:t>
      </w:r>
      <w:proofErr w:type="spellStart"/>
      <w:r w:rsidRPr="00CC19F7">
        <w:t>rådgivar</w:t>
      </w:r>
      <w:proofErr w:type="spellEnd"/>
      <w:r w:rsidRPr="00CC19F7">
        <w:t xml:space="preserve"> for Olje- og energidepartementet i arbeidet med CO</w:t>
      </w:r>
      <w:r w:rsidRPr="00CC19F7">
        <w:rPr>
          <w:rStyle w:val="skrift-senket"/>
        </w:rPr>
        <w:t>2</w:t>
      </w:r>
      <w:r w:rsidRPr="00CC19F7">
        <w:t xml:space="preserve">-handtering. </w:t>
      </w:r>
      <w:proofErr w:type="spellStart"/>
      <w:r w:rsidRPr="00CC19F7">
        <w:t>Føretaket</w:t>
      </w:r>
      <w:proofErr w:type="spellEnd"/>
      <w:r w:rsidRPr="00CC19F7">
        <w:t xml:space="preserve"> er lokalisert i Porsgrunn. Selskapet utførte om lag 37 årsverk i 2022.</w:t>
      </w:r>
    </w:p>
    <w:p w14:paraId="53EE7BE6" w14:textId="77777777" w:rsidR="00FE02EF" w:rsidRPr="00CC19F7" w:rsidRDefault="00881E58" w:rsidP="00CC19F7">
      <w:r w:rsidRPr="00CC19F7">
        <w:t xml:space="preserve">Det blir foreslått ei løyving på om lag 107 mill. kroner til Gassnovas administrasjon og oppfølging av oppdraga </w:t>
      </w:r>
      <w:proofErr w:type="spellStart"/>
      <w:r w:rsidRPr="00CC19F7">
        <w:t>frå</w:t>
      </w:r>
      <w:proofErr w:type="spellEnd"/>
      <w:r w:rsidRPr="00CC19F7">
        <w:t xml:space="preserve"> staten: CLIMIT-Demo, Teknologisenter Mongstad (TCM) og Langskip. Dette inkluderer utgifter til eigen organisasjon og selskapets kjøp av eksterne </w:t>
      </w:r>
      <w:proofErr w:type="spellStart"/>
      <w:r w:rsidRPr="00CC19F7">
        <w:t>tenester</w:t>
      </w:r>
      <w:proofErr w:type="spellEnd"/>
      <w:r w:rsidRPr="00CC19F7">
        <w:t xml:space="preserve">, </w:t>
      </w:r>
      <w:proofErr w:type="spellStart"/>
      <w:r w:rsidRPr="00CC19F7">
        <w:t>særleg</w:t>
      </w:r>
      <w:proofErr w:type="spellEnd"/>
      <w:r w:rsidRPr="00CC19F7">
        <w:t xml:space="preserve"> knytte til </w:t>
      </w:r>
      <w:proofErr w:type="spellStart"/>
      <w:r w:rsidRPr="00CC19F7">
        <w:t>rådgivarar</w:t>
      </w:r>
      <w:proofErr w:type="spellEnd"/>
      <w:r w:rsidRPr="00CC19F7">
        <w:t xml:space="preserve"> og ekstern spisskompetanse. Auken </w:t>
      </w:r>
      <w:proofErr w:type="spellStart"/>
      <w:r w:rsidRPr="00CC19F7">
        <w:t>frå</w:t>
      </w:r>
      <w:proofErr w:type="spellEnd"/>
      <w:r w:rsidRPr="00CC19F7">
        <w:t xml:space="preserve"> Saldert budsjett 2023 har </w:t>
      </w:r>
      <w:proofErr w:type="spellStart"/>
      <w:r w:rsidRPr="00CC19F7">
        <w:t>samanheng</w:t>
      </w:r>
      <w:proofErr w:type="spellEnd"/>
      <w:r w:rsidRPr="00CC19F7">
        <w:t xml:space="preserve"> med oppfølging og </w:t>
      </w:r>
      <w:proofErr w:type="spellStart"/>
      <w:r w:rsidRPr="00CC19F7">
        <w:t>kvalitetssikringsaktivitetar</w:t>
      </w:r>
      <w:proofErr w:type="spellEnd"/>
      <w:r w:rsidRPr="00CC19F7">
        <w:t xml:space="preserve"> for mellom anna Langskip.</w:t>
      </w:r>
    </w:p>
    <w:p w14:paraId="7F13F932" w14:textId="77777777" w:rsidR="00FE02EF" w:rsidRPr="00CC19F7" w:rsidRDefault="00881E58" w:rsidP="00CC19F7">
      <w:proofErr w:type="spellStart"/>
      <w:r w:rsidRPr="00CC19F7">
        <w:t>Vidare</w:t>
      </w:r>
      <w:proofErr w:type="spellEnd"/>
      <w:r w:rsidRPr="00CC19F7">
        <w:t xml:space="preserve"> blir det foreslått ei </w:t>
      </w:r>
      <w:proofErr w:type="spellStart"/>
      <w:r w:rsidRPr="00CC19F7">
        <w:t>tilsegnsfullmakt</w:t>
      </w:r>
      <w:proofErr w:type="spellEnd"/>
      <w:r w:rsidRPr="00CC19F7">
        <w:t xml:space="preserve"> på inntil 20 mill. kroner, jf. forslag til vedtak IV.</w:t>
      </w:r>
    </w:p>
    <w:p w14:paraId="3C4C00C7" w14:textId="77777777" w:rsidR="00FE02EF" w:rsidRPr="00CC19F7" w:rsidRDefault="00881E58" w:rsidP="00CC19F7">
      <w:pPr>
        <w:pStyle w:val="avsnitt-tittel"/>
      </w:pPr>
      <w:r w:rsidRPr="00CC19F7">
        <w:t xml:space="preserve">Mål og </w:t>
      </w:r>
      <w:proofErr w:type="spellStart"/>
      <w:r w:rsidRPr="00CC19F7">
        <w:t>oppgåver</w:t>
      </w:r>
      <w:proofErr w:type="spellEnd"/>
    </w:p>
    <w:p w14:paraId="4AC6B7D2" w14:textId="77777777" w:rsidR="00FE02EF" w:rsidRPr="00CC19F7" w:rsidRDefault="00881E58" w:rsidP="00CC19F7">
      <w:proofErr w:type="spellStart"/>
      <w:r w:rsidRPr="00CC19F7">
        <w:t>Hovudmålet</w:t>
      </w:r>
      <w:proofErr w:type="spellEnd"/>
      <w:r w:rsidRPr="00CC19F7">
        <w:t xml:space="preserve"> til Gassnova er å fremme teknologiutvikling og kompetansebygging for kostnadseffektive og framtidsretta </w:t>
      </w:r>
      <w:proofErr w:type="spellStart"/>
      <w:r w:rsidRPr="00CC19F7">
        <w:t>løysingar</w:t>
      </w:r>
      <w:proofErr w:type="spellEnd"/>
      <w:r w:rsidRPr="00CC19F7">
        <w:t xml:space="preserve"> for CO</w:t>
      </w:r>
      <w:r w:rsidRPr="00CC19F7">
        <w:rPr>
          <w:rStyle w:val="skrift-senket"/>
        </w:rPr>
        <w:t>2</w:t>
      </w:r>
      <w:r w:rsidRPr="00CC19F7">
        <w:t xml:space="preserve">-handtering. Gassnova skal </w:t>
      </w:r>
      <w:proofErr w:type="spellStart"/>
      <w:r w:rsidRPr="00CC19F7">
        <w:t>vere</w:t>
      </w:r>
      <w:proofErr w:type="spellEnd"/>
      <w:r w:rsidRPr="00CC19F7">
        <w:t xml:space="preserve"> </w:t>
      </w:r>
      <w:proofErr w:type="spellStart"/>
      <w:r w:rsidRPr="00CC19F7">
        <w:t>ein</w:t>
      </w:r>
      <w:proofErr w:type="spellEnd"/>
      <w:r w:rsidRPr="00CC19F7">
        <w:t xml:space="preserve"> </w:t>
      </w:r>
      <w:proofErr w:type="spellStart"/>
      <w:r w:rsidRPr="00CC19F7">
        <w:t>fagleg</w:t>
      </w:r>
      <w:proofErr w:type="spellEnd"/>
      <w:r w:rsidRPr="00CC19F7">
        <w:t xml:space="preserve"> og strategisk </w:t>
      </w:r>
      <w:proofErr w:type="spellStart"/>
      <w:r w:rsidRPr="00CC19F7">
        <w:t>rådgivar</w:t>
      </w:r>
      <w:proofErr w:type="spellEnd"/>
      <w:r w:rsidRPr="00CC19F7">
        <w:t xml:space="preserve"> for departementet i arbeidet med CO</w:t>
      </w:r>
      <w:r w:rsidRPr="00CC19F7">
        <w:rPr>
          <w:rStyle w:val="skrift-senket"/>
        </w:rPr>
        <w:t>2</w:t>
      </w:r>
      <w:r w:rsidRPr="00CC19F7">
        <w:t xml:space="preserve">-handtering. Gassnova skal identifisere og utnytte </w:t>
      </w:r>
      <w:proofErr w:type="spellStart"/>
      <w:r w:rsidRPr="00CC19F7">
        <w:t>samordningsgevinstar</w:t>
      </w:r>
      <w:proofErr w:type="spellEnd"/>
      <w:r w:rsidRPr="00CC19F7">
        <w:t xml:space="preserve"> </w:t>
      </w:r>
      <w:proofErr w:type="spellStart"/>
      <w:r w:rsidRPr="00CC19F7">
        <w:t>frå</w:t>
      </w:r>
      <w:proofErr w:type="spellEnd"/>
      <w:r w:rsidRPr="00CC19F7">
        <w:t xml:space="preserve"> arbeidet med CLIMIT-programmet, Teknologisenter Mongstad (TCM) og Langskip gjennom å</w:t>
      </w:r>
    </w:p>
    <w:p w14:paraId="4486D1D9" w14:textId="77777777" w:rsidR="00FE02EF" w:rsidRPr="00CC19F7" w:rsidRDefault="00881E58" w:rsidP="00CC19F7">
      <w:pPr>
        <w:pStyle w:val="Liste"/>
      </w:pPr>
      <w:r w:rsidRPr="00CC19F7">
        <w:t xml:space="preserve">følge opp </w:t>
      </w:r>
      <w:proofErr w:type="spellStart"/>
      <w:r w:rsidRPr="00CC19F7">
        <w:t>tilskotsavtalane</w:t>
      </w:r>
      <w:proofErr w:type="spellEnd"/>
      <w:r w:rsidRPr="00CC19F7">
        <w:t xml:space="preserve"> og </w:t>
      </w:r>
      <w:proofErr w:type="spellStart"/>
      <w:r w:rsidRPr="00CC19F7">
        <w:t>industriaktørane</w:t>
      </w:r>
      <w:proofErr w:type="spellEnd"/>
      <w:r w:rsidRPr="00CC19F7">
        <w:t xml:space="preserve"> si prosjektstyring av Langskip på vegner av staten, i tråd med mandat gitt av Olje- og energidepartementet</w:t>
      </w:r>
    </w:p>
    <w:p w14:paraId="032D5484" w14:textId="77777777" w:rsidR="00FE02EF" w:rsidRPr="00CC19F7" w:rsidRDefault="00881E58" w:rsidP="00CC19F7">
      <w:pPr>
        <w:pStyle w:val="Liste"/>
      </w:pPr>
      <w:r w:rsidRPr="00CC19F7">
        <w:t>koordinere arbeidet med gevinstrealisering for Langskip</w:t>
      </w:r>
    </w:p>
    <w:p w14:paraId="7D1007E4" w14:textId="77777777" w:rsidR="00FE02EF" w:rsidRPr="00CC19F7" w:rsidRDefault="00881E58" w:rsidP="00CC19F7">
      <w:pPr>
        <w:pStyle w:val="Liste"/>
      </w:pPr>
      <w:r w:rsidRPr="00CC19F7">
        <w:t xml:space="preserve">legge til rette for god og langsiktig utnytting av anlegga på TCM, basert på </w:t>
      </w:r>
      <w:proofErr w:type="spellStart"/>
      <w:r w:rsidRPr="00CC19F7">
        <w:t>ein</w:t>
      </w:r>
      <w:proofErr w:type="spellEnd"/>
      <w:r w:rsidRPr="00CC19F7">
        <w:t xml:space="preserve"> eventuell ny avtale om drift og utvikling av TCM </w:t>
      </w:r>
      <w:proofErr w:type="spellStart"/>
      <w:r w:rsidRPr="00CC19F7">
        <w:t>frå</w:t>
      </w:r>
      <w:proofErr w:type="spellEnd"/>
      <w:r w:rsidRPr="00CC19F7">
        <w:t xml:space="preserve"> 2024</w:t>
      </w:r>
    </w:p>
    <w:p w14:paraId="6B0BC205" w14:textId="77777777" w:rsidR="00FE02EF" w:rsidRPr="00CC19F7" w:rsidRDefault="00881E58" w:rsidP="00CC19F7">
      <w:pPr>
        <w:pStyle w:val="Liste"/>
      </w:pPr>
      <w:r w:rsidRPr="00CC19F7">
        <w:t xml:space="preserve">legge til rette for kunnskaps- og erfaringsdeling i </w:t>
      </w:r>
      <w:proofErr w:type="spellStart"/>
      <w:r w:rsidRPr="00CC19F7">
        <w:t>Noreg</w:t>
      </w:r>
      <w:proofErr w:type="spellEnd"/>
      <w:r w:rsidRPr="00CC19F7">
        <w:t xml:space="preserve"> og utlandet</w:t>
      </w:r>
    </w:p>
    <w:p w14:paraId="3D1F24E4" w14:textId="77777777" w:rsidR="00FE02EF" w:rsidRPr="00CC19F7" w:rsidRDefault="00881E58" w:rsidP="00CC19F7">
      <w:pPr>
        <w:pStyle w:val="Liste"/>
      </w:pPr>
      <w:r w:rsidRPr="00CC19F7">
        <w:t xml:space="preserve">kartlegge </w:t>
      </w:r>
      <w:proofErr w:type="spellStart"/>
      <w:r w:rsidRPr="00CC19F7">
        <w:t>moglegheiter</w:t>
      </w:r>
      <w:proofErr w:type="spellEnd"/>
      <w:r w:rsidRPr="00CC19F7">
        <w:t xml:space="preserve"> og tiltak for CO</w:t>
      </w:r>
      <w:r w:rsidRPr="00CC19F7">
        <w:rPr>
          <w:rStyle w:val="skrift-senket"/>
        </w:rPr>
        <w:t>2</w:t>
      </w:r>
      <w:r w:rsidRPr="00CC19F7">
        <w:t xml:space="preserve">-handtering på forbrennings- og prosessanlegg i </w:t>
      </w:r>
      <w:proofErr w:type="spellStart"/>
      <w:r w:rsidRPr="00CC19F7">
        <w:t>Noreg</w:t>
      </w:r>
      <w:proofErr w:type="spellEnd"/>
      <w:r w:rsidRPr="00CC19F7">
        <w:t xml:space="preserve">, med utgangspunkt i </w:t>
      </w:r>
      <w:proofErr w:type="spellStart"/>
      <w:r w:rsidRPr="00CC19F7">
        <w:t>eksisterande</w:t>
      </w:r>
      <w:proofErr w:type="spellEnd"/>
      <w:r w:rsidRPr="00CC19F7">
        <w:t xml:space="preserve"> </w:t>
      </w:r>
      <w:proofErr w:type="spellStart"/>
      <w:r w:rsidRPr="00CC19F7">
        <w:t>verkemiddel</w:t>
      </w:r>
      <w:proofErr w:type="spellEnd"/>
    </w:p>
    <w:p w14:paraId="6ED70808" w14:textId="77777777" w:rsidR="00FE02EF" w:rsidRPr="00CC19F7" w:rsidRDefault="00881E58" w:rsidP="00CC19F7">
      <w:pPr>
        <w:pStyle w:val="Liste"/>
      </w:pPr>
      <w:r w:rsidRPr="00CC19F7">
        <w:t>bidra til reduksjon av CO</w:t>
      </w:r>
      <w:r w:rsidRPr="00CC19F7">
        <w:rPr>
          <w:rStyle w:val="skrift-senket"/>
        </w:rPr>
        <w:t>2</w:t>
      </w:r>
      <w:r w:rsidRPr="00CC19F7">
        <w:t xml:space="preserve">-utslepp i industrien gjennom kunnskapsdeling, med </w:t>
      </w:r>
      <w:proofErr w:type="spellStart"/>
      <w:r w:rsidRPr="00CC19F7">
        <w:t>særleg</w:t>
      </w:r>
      <w:proofErr w:type="spellEnd"/>
      <w:r w:rsidRPr="00CC19F7">
        <w:t xml:space="preserve"> vekt på industrielle klynger</w:t>
      </w:r>
    </w:p>
    <w:p w14:paraId="4A5C0681" w14:textId="77777777" w:rsidR="00FE02EF" w:rsidRPr="00CC19F7" w:rsidRDefault="00881E58" w:rsidP="00CC19F7">
      <w:pPr>
        <w:pStyle w:val="Liste"/>
      </w:pPr>
      <w:r w:rsidRPr="00CC19F7">
        <w:t xml:space="preserve">bidra til å knyte </w:t>
      </w:r>
      <w:proofErr w:type="spellStart"/>
      <w:r w:rsidRPr="00CC19F7">
        <w:t>saman</w:t>
      </w:r>
      <w:proofErr w:type="spellEnd"/>
      <w:r w:rsidRPr="00CC19F7">
        <w:t xml:space="preserve"> fagmiljø </w:t>
      </w:r>
      <w:proofErr w:type="spellStart"/>
      <w:r w:rsidRPr="00CC19F7">
        <w:t>innanfor</w:t>
      </w:r>
      <w:proofErr w:type="spellEnd"/>
      <w:r w:rsidRPr="00CC19F7">
        <w:t xml:space="preserve"> forsking, industri og </w:t>
      </w:r>
      <w:proofErr w:type="spellStart"/>
      <w:r w:rsidRPr="00CC19F7">
        <w:t>offentlege</w:t>
      </w:r>
      <w:proofErr w:type="spellEnd"/>
      <w:r w:rsidRPr="00CC19F7">
        <w:t xml:space="preserve"> </w:t>
      </w:r>
      <w:proofErr w:type="spellStart"/>
      <w:r w:rsidRPr="00CC19F7">
        <w:t>verksemder</w:t>
      </w:r>
      <w:proofErr w:type="spellEnd"/>
      <w:r w:rsidRPr="00CC19F7">
        <w:t xml:space="preserve"> og gjennom eigne initiativ og i samarbeid med andre legge til rette for at staten kan oppnå måla sine med satsinga på CO</w:t>
      </w:r>
      <w:r w:rsidRPr="00CC19F7">
        <w:rPr>
          <w:rStyle w:val="skrift-senket"/>
        </w:rPr>
        <w:t>2</w:t>
      </w:r>
      <w:r w:rsidRPr="00CC19F7">
        <w:t>-handtering</w:t>
      </w:r>
    </w:p>
    <w:p w14:paraId="47725668" w14:textId="77777777" w:rsidR="00FE02EF" w:rsidRPr="00CC19F7" w:rsidRDefault="00881E58" w:rsidP="00CC19F7">
      <w:pPr>
        <w:pStyle w:val="avsnitt-tittel"/>
      </w:pPr>
      <w:r w:rsidRPr="00CC19F7">
        <w:t>Resultat 2022</w:t>
      </w:r>
    </w:p>
    <w:p w14:paraId="0869C1EE" w14:textId="77777777" w:rsidR="00FE02EF" w:rsidRPr="00CC19F7" w:rsidRDefault="00881E58" w:rsidP="00CC19F7">
      <w:r w:rsidRPr="00CC19F7">
        <w:t xml:space="preserve">Morselskapet Gassnova SF hadde </w:t>
      </w:r>
      <w:proofErr w:type="spellStart"/>
      <w:r w:rsidRPr="00CC19F7">
        <w:t>eit</w:t>
      </w:r>
      <w:proofErr w:type="spellEnd"/>
      <w:r w:rsidRPr="00CC19F7">
        <w:t xml:space="preserve"> negativt årsresultat på om lag 5,1 mill. kroner, </w:t>
      </w:r>
      <w:proofErr w:type="spellStart"/>
      <w:r w:rsidRPr="00CC19F7">
        <w:t>medan</w:t>
      </w:r>
      <w:proofErr w:type="spellEnd"/>
      <w:r w:rsidRPr="00CC19F7">
        <w:t xml:space="preserve"> konsernet hadde </w:t>
      </w:r>
      <w:proofErr w:type="spellStart"/>
      <w:r w:rsidRPr="00CC19F7">
        <w:t>eit</w:t>
      </w:r>
      <w:proofErr w:type="spellEnd"/>
      <w:r w:rsidRPr="00CC19F7">
        <w:t xml:space="preserve"> negativt årsresultat på om lag 25 mill. kroner. Forskjellen på det negative årsresultatet mellom morselskapet og konsernet kjem i </w:t>
      </w:r>
      <w:proofErr w:type="spellStart"/>
      <w:r w:rsidRPr="00CC19F7">
        <w:t>hovudsak</w:t>
      </w:r>
      <w:proofErr w:type="spellEnd"/>
      <w:r w:rsidRPr="00CC19F7">
        <w:t xml:space="preserve"> av </w:t>
      </w:r>
      <w:proofErr w:type="spellStart"/>
      <w:r w:rsidRPr="00CC19F7">
        <w:t>avskrivingar</w:t>
      </w:r>
      <w:proofErr w:type="spellEnd"/>
      <w:r w:rsidRPr="00CC19F7">
        <w:t xml:space="preserve"> av anlegga ved TCM som blir </w:t>
      </w:r>
      <w:proofErr w:type="spellStart"/>
      <w:r w:rsidRPr="00CC19F7">
        <w:t>eigd</w:t>
      </w:r>
      <w:proofErr w:type="spellEnd"/>
      <w:r w:rsidRPr="00CC19F7">
        <w:t xml:space="preserve"> av TCM Assets, dotterselskapet til Gassnova SF. Annan eigenkapital var på om lag 16,4 mill. kroner i morselskapet og 47,5 mill. kroner i konsernet per 31. desember 2022.</w:t>
      </w:r>
    </w:p>
    <w:p w14:paraId="5C417B63" w14:textId="77777777" w:rsidR="00FE02EF" w:rsidRPr="00CC19F7" w:rsidRDefault="00881E58" w:rsidP="00CC19F7">
      <w:pPr>
        <w:pStyle w:val="avsnitt-undertittel"/>
      </w:pPr>
      <w:r w:rsidRPr="00CC19F7">
        <w:t>Teknologiutvikling</w:t>
      </w:r>
    </w:p>
    <w:p w14:paraId="57275A15" w14:textId="77777777" w:rsidR="00FE02EF" w:rsidRPr="00CC19F7" w:rsidRDefault="00881E58" w:rsidP="00CC19F7">
      <w:r w:rsidRPr="00CC19F7">
        <w:t xml:space="preserve">Gassnova har forvalta demonstrasjonsdelen av CLIMIT og </w:t>
      </w:r>
      <w:proofErr w:type="spellStart"/>
      <w:r w:rsidRPr="00CC19F7">
        <w:t>vore</w:t>
      </w:r>
      <w:proofErr w:type="spellEnd"/>
      <w:r w:rsidRPr="00CC19F7">
        <w:t xml:space="preserve"> </w:t>
      </w:r>
      <w:proofErr w:type="spellStart"/>
      <w:r w:rsidRPr="00CC19F7">
        <w:t>leiar</w:t>
      </w:r>
      <w:proofErr w:type="spellEnd"/>
      <w:r w:rsidRPr="00CC19F7">
        <w:t xml:space="preserve"> for sekretariatet til CLIMIT-programstyret.</w:t>
      </w:r>
    </w:p>
    <w:p w14:paraId="1BB7BEA8" w14:textId="77777777" w:rsidR="00FE02EF" w:rsidRPr="00CC19F7" w:rsidRDefault="00881E58" w:rsidP="00CC19F7">
      <w:r w:rsidRPr="00CC19F7">
        <w:t xml:space="preserve">Gassnova har, i samarbeid med Forskingsrådet og med støtte </w:t>
      </w:r>
      <w:proofErr w:type="spellStart"/>
      <w:r w:rsidRPr="00CC19F7">
        <w:t>frå</w:t>
      </w:r>
      <w:proofErr w:type="spellEnd"/>
      <w:r w:rsidRPr="00CC19F7">
        <w:t xml:space="preserve"> CLIMIT-Demo, arbeidd for at CLIMIT bidrar til gevinstrealisering av Langskip, og </w:t>
      </w:r>
      <w:proofErr w:type="spellStart"/>
      <w:r w:rsidRPr="00CC19F7">
        <w:t>løpande</w:t>
      </w:r>
      <w:proofErr w:type="spellEnd"/>
      <w:r w:rsidRPr="00CC19F7">
        <w:t xml:space="preserve"> kartlagt behov og tatt nødvendige initiativ knytte til utvikling av </w:t>
      </w:r>
      <w:proofErr w:type="spellStart"/>
      <w:r w:rsidRPr="00CC19F7">
        <w:t>teknologiar</w:t>
      </w:r>
      <w:proofErr w:type="spellEnd"/>
      <w:r w:rsidRPr="00CC19F7">
        <w:t xml:space="preserve"> for CO</w:t>
      </w:r>
      <w:r w:rsidRPr="00CC19F7">
        <w:rPr>
          <w:rStyle w:val="skrift-senket"/>
        </w:rPr>
        <w:t>2</w:t>
      </w:r>
      <w:r w:rsidRPr="00CC19F7">
        <w:t xml:space="preserve">-handtering, mellom anna gjennom deltaking i sentrale internasjonale forum. </w:t>
      </w:r>
      <w:proofErr w:type="spellStart"/>
      <w:r w:rsidRPr="00CC19F7">
        <w:t>Vidare</w:t>
      </w:r>
      <w:proofErr w:type="spellEnd"/>
      <w:r w:rsidRPr="00CC19F7">
        <w:t xml:space="preserve"> har Gassnova </w:t>
      </w:r>
      <w:proofErr w:type="spellStart"/>
      <w:r w:rsidRPr="00CC19F7">
        <w:t>vore</w:t>
      </w:r>
      <w:proofErr w:type="spellEnd"/>
      <w:r w:rsidRPr="00CC19F7">
        <w:t xml:space="preserve"> med på å følge opp </w:t>
      </w:r>
      <w:proofErr w:type="spellStart"/>
      <w:r w:rsidRPr="00CC19F7">
        <w:t>Noregs</w:t>
      </w:r>
      <w:proofErr w:type="spellEnd"/>
      <w:r w:rsidRPr="00CC19F7">
        <w:t xml:space="preserve"> deltaking i det internasjonale teknologisamarbeidet ACT (</w:t>
      </w:r>
      <w:proofErr w:type="spellStart"/>
      <w:r w:rsidRPr="00CC19F7">
        <w:t>Accelerating</w:t>
      </w:r>
      <w:proofErr w:type="spellEnd"/>
      <w:r w:rsidRPr="00CC19F7">
        <w:t xml:space="preserve"> CCS Technologies), som Forskingsrådet koordinerer, og støtte opp under samarbeidsavtalen departementet har med det amerikanske energidepartementet om forsking og utvikling. Der har CLIMIT-Demo og </w:t>
      </w:r>
      <w:proofErr w:type="spellStart"/>
      <w:r w:rsidRPr="00CC19F7">
        <w:t>dei</w:t>
      </w:r>
      <w:proofErr w:type="spellEnd"/>
      <w:r w:rsidRPr="00CC19F7">
        <w:t xml:space="preserve"> amerikanske </w:t>
      </w:r>
      <w:proofErr w:type="spellStart"/>
      <w:r w:rsidRPr="00CC19F7">
        <w:t>samarbeidspartnarane</w:t>
      </w:r>
      <w:proofErr w:type="spellEnd"/>
      <w:r w:rsidRPr="00CC19F7">
        <w:t xml:space="preserve"> </w:t>
      </w:r>
      <w:proofErr w:type="spellStart"/>
      <w:r w:rsidRPr="00CC19F7">
        <w:t>deira</w:t>
      </w:r>
      <w:proofErr w:type="spellEnd"/>
      <w:r w:rsidRPr="00CC19F7">
        <w:t xml:space="preserve"> i ei årrekke samfinansiert </w:t>
      </w:r>
      <w:proofErr w:type="spellStart"/>
      <w:r w:rsidRPr="00CC19F7">
        <w:t>fleire</w:t>
      </w:r>
      <w:proofErr w:type="spellEnd"/>
      <w:r w:rsidRPr="00CC19F7">
        <w:t xml:space="preserve"> prosjekt, </w:t>
      </w:r>
      <w:proofErr w:type="spellStart"/>
      <w:r w:rsidRPr="00CC19F7">
        <w:t>hovudsakleg</w:t>
      </w:r>
      <w:proofErr w:type="spellEnd"/>
      <w:r w:rsidRPr="00CC19F7">
        <w:t xml:space="preserve"> knytte til CO</w:t>
      </w:r>
      <w:r w:rsidRPr="00CC19F7">
        <w:rPr>
          <w:rStyle w:val="skrift-senket"/>
        </w:rPr>
        <w:t>2</w:t>
      </w:r>
      <w:r w:rsidRPr="00CC19F7">
        <w:t>-fangst og -lagring.</w:t>
      </w:r>
    </w:p>
    <w:p w14:paraId="731A0380" w14:textId="77777777" w:rsidR="00FE02EF" w:rsidRPr="00CC19F7" w:rsidRDefault="00881E58" w:rsidP="00CC19F7">
      <w:r w:rsidRPr="00CC19F7">
        <w:t xml:space="preserve">CLIMIT-FoU er </w:t>
      </w:r>
      <w:proofErr w:type="spellStart"/>
      <w:r w:rsidRPr="00CC19F7">
        <w:t>nærmare</w:t>
      </w:r>
      <w:proofErr w:type="spellEnd"/>
      <w:r w:rsidRPr="00CC19F7">
        <w:t xml:space="preserve"> omtalt under kap. 1850, post 50 Norges forskingsråd og Gassnova – Forsking og teknologiutvikling for framtidas energisystem.</w:t>
      </w:r>
    </w:p>
    <w:p w14:paraId="480548D9" w14:textId="77777777" w:rsidR="00FE02EF" w:rsidRPr="00CC19F7" w:rsidRDefault="00881E58" w:rsidP="00CC19F7">
      <w:pPr>
        <w:pStyle w:val="avsnitt-undertittel"/>
      </w:pPr>
      <w:r w:rsidRPr="00CC19F7">
        <w:t xml:space="preserve">Gevinstrealisering og </w:t>
      </w:r>
      <w:proofErr w:type="spellStart"/>
      <w:r w:rsidRPr="00CC19F7">
        <w:t>marknadsutvikling</w:t>
      </w:r>
      <w:proofErr w:type="spellEnd"/>
    </w:p>
    <w:p w14:paraId="0DC896B6" w14:textId="77777777" w:rsidR="00FE02EF" w:rsidRPr="00CC19F7" w:rsidRDefault="00881E58" w:rsidP="00CC19F7">
      <w:pPr>
        <w:pStyle w:val="avsnitt-under-undertittel"/>
      </w:pPr>
      <w:r w:rsidRPr="00CC19F7">
        <w:t>Gevinstrealisering Langskip</w:t>
      </w:r>
    </w:p>
    <w:p w14:paraId="634A6A7B" w14:textId="77777777" w:rsidR="00FE02EF" w:rsidRPr="00CC19F7" w:rsidRDefault="00881E58" w:rsidP="00CC19F7">
      <w:r w:rsidRPr="00CC19F7">
        <w:t xml:space="preserve">Det blei </w:t>
      </w:r>
      <w:proofErr w:type="spellStart"/>
      <w:r w:rsidRPr="00CC19F7">
        <w:t>arbeidd</w:t>
      </w:r>
      <w:proofErr w:type="spellEnd"/>
      <w:r w:rsidRPr="00CC19F7">
        <w:t xml:space="preserve"> med gevinstrealisering i tråd med etablerte planar og </w:t>
      </w:r>
      <w:proofErr w:type="spellStart"/>
      <w:r w:rsidRPr="00CC19F7">
        <w:t>tilskotsavtalar</w:t>
      </w:r>
      <w:proofErr w:type="spellEnd"/>
      <w:r w:rsidRPr="00CC19F7">
        <w:t xml:space="preserve"> hos både departementet, Gassnova og </w:t>
      </w:r>
      <w:proofErr w:type="spellStart"/>
      <w:r w:rsidRPr="00CC19F7">
        <w:t>industriaktørane</w:t>
      </w:r>
      <w:proofErr w:type="spellEnd"/>
      <w:r w:rsidRPr="00CC19F7">
        <w:t xml:space="preserve"> som er involvert i Langskip.</w:t>
      </w:r>
    </w:p>
    <w:p w14:paraId="38E3CA86" w14:textId="77777777" w:rsidR="00FE02EF" w:rsidRPr="00CC19F7" w:rsidRDefault="00881E58" w:rsidP="00CC19F7">
      <w:r w:rsidRPr="00CC19F7">
        <w:t xml:space="preserve">Gassnova har </w:t>
      </w:r>
      <w:proofErr w:type="spellStart"/>
      <w:r w:rsidRPr="00CC19F7">
        <w:t>følgt</w:t>
      </w:r>
      <w:proofErr w:type="spellEnd"/>
      <w:r w:rsidRPr="00CC19F7">
        <w:t xml:space="preserve"> opp gevinstrealiseringsarbeidet og utarbeidd </w:t>
      </w:r>
      <w:proofErr w:type="spellStart"/>
      <w:r w:rsidRPr="00CC19F7">
        <w:t>månadlege</w:t>
      </w:r>
      <w:proofErr w:type="spellEnd"/>
      <w:r w:rsidRPr="00CC19F7">
        <w:t xml:space="preserve"> </w:t>
      </w:r>
      <w:proofErr w:type="spellStart"/>
      <w:r w:rsidRPr="00CC19F7">
        <w:t>statusrapportar</w:t>
      </w:r>
      <w:proofErr w:type="spellEnd"/>
      <w:r w:rsidRPr="00CC19F7">
        <w:t xml:space="preserve"> til styringsgruppa for Langskip. </w:t>
      </w:r>
      <w:proofErr w:type="spellStart"/>
      <w:r w:rsidRPr="00CC19F7">
        <w:t>Industriaktørane</w:t>
      </w:r>
      <w:proofErr w:type="spellEnd"/>
      <w:r w:rsidRPr="00CC19F7">
        <w:t xml:space="preserve"> rapporterer </w:t>
      </w:r>
      <w:proofErr w:type="spellStart"/>
      <w:r w:rsidRPr="00CC19F7">
        <w:t>månadleg</w:t>
      </w:r>
      <w:proofErr w:type="spellEnd"/>
      <w:r w:rsidRPr="00CC19F7">
        <w:t xml:space="preserve"> til Gassnova om gevinstrealiseringsarbeidet sitt. Det er gjennomført </w:t>
      </w:r>
      <w:proofErr w:type="spellStart"/>
      <w:r w:rsidRPr="00CC19F7">
        <w:t>jamlege</w:t>
      </w:r>
      <w:proofErr w:type="spellEnd"/>
      <w:r w:rsidRPr="00CC19F7">
        <w:t xml:space="preserve"> statusmøte om bidraget </w:t>
      </w:r>
      <w:proofErr w:type="spellStart"/>
      <w:r w:rsidRPr="00CC19F7">
        <w:t>deira</w:t>
      </w:r>
      <w:proofErr w:type="spellEnd"/>
      <w:r w:rsidRPr="00CC19F7">
        <w:t xml:space="preserve"> til gevinstrealiseringa. I tillegg </w:t>
      </w:r>
      <w:proofErr w:type="spellStart"/>
      <w:r w:rsidRPr="00CC19F7">
        <w:t>leiar</w:t>
      </w:r>
      <w:proofErr w:type="spellEnd"/>
      <w:r w:rsidRPr="00CC19F7">
        <w:t xml:space="preserve"> Gassnova </w:t>
      </w:r>
      <w:proofErr w:type="spellStart"/>
      <w:r w:rsidRPr="00CC19F7">
        <w:t>eit</w:t>
      </w:r>
      <w:proofErr w:type="spellEnd"/>
      <w:r w:rsidRPr="00CC19F7">
        <w:t xml:space="preserve"> kommunikasjonsnettverk mellom </w:t>
      </w:r>
      <w:proofErr w:type="spellStart"/>
      <w:r w:rsidRPr="00CC19F7">
        <w:t>industriaktørane</w:t>
      </w:r>
      <w:proofErr w:type="spellEnd"/>
      <w:r w:rsidRPr="00CC19F7">
        <w:t xml:space="preserve"> i Langskip og staten.</w:t>
      </w:r>
    </w:p>
    <w:p w14:paraId="15DD485B" w14:textId="77777777" w:rsidR="00FE02EF" w:rsidRPr="00CC19F7" w:rsidRDefault="00881E58" w:rsidP="00CC19F7">
      <w:proofErr w:type="spellStart"/>
      <w:r w:rsidRPr="00CC19F7">
        <w:t>Forretningsutviklingsaktivitetar</w:t>
      </w:r>
      <w:proofErr w:type="spellEnd"/>
      <w:r w:rsidRPr="00CC19F7">
        <w:t xml:space="preserve"> i Northern </w:t>
      </w:r>
      <w:proofErr w:type="spellStart"/>
      <w:r w:rsidRPr="00CC19F7">
        <w:t>Lights</w:t>
      </w:r>
      <w:proofErr w:type="spellEnd"/>
      <w:r w:rsidRPr="00CC19F7">
        <w:t xml:space="preserve"> er </w:t>
      </w:r>
      <w:proofErr w:type="spellStart"/>
      <w:r w:rsidRPr="00CC19F7">
        <w:t>særleg</w:t>
      </w:r>
      <w:proofErr w:type="spellEnd"/>
      <w:r w:rsidRPr="00CC19F7">
        <w:t xml:space="preserve"> viktige bidrag til gevinstrealisering. I 2022 har Northern </w:t>
      </w:r>
      <w:proofErr w:type="spellStart"/>
      <w:r w:rsidRPr="00CC19F7">
        <w:t>Lights</w:t>
      </w:r>
      <w:proofErr w:type="spellEnd"/>
      <w:r w:rsidRPr="00CC19F7">
        <w:t xml:space="preserve"> tilbydd lagringsplass på kommersielle vilkår og modna </w:t>
      </w:r>
      <w:proofErr w:type="spellStart"/>
      <w:r w:rsidRPr="00CC19F7">
        <w:t>fleire</w:t>
      </w:r>
      <w:proofErr w:type="spellEnd"/>
      <w:r w:rsidRPr="00CC19F7">
        <w:t xml:space="preserve"> kommersielle </w:t>
      </w:r>
      <w:proofErr w:type="spellStart"/>
      <w:r w:rsidRPr="00CC19F7">
        <w:t>relasjonar</w:t>
      </w:r>
      <w:proofErr w:type="spellEnd"/>
      <w:r w:rsidRPr="00CC19F7">
        <w:t xml:space="preserve"> med </w:t>
      </w:r>
      <w:proofErr w:type="gramStart"/>
      <w:r w:rsidRPr="00CC19F7">
        <w:t>potensielle</w:t>
      </w:r>
      <w:proofErr w:type="gramEnd"/>
      <w:r w:rsidRPr="00CC19F7">
        <w:t xml:space="preserve"> </w:t>
      </w:r>
      <w:proofErr w:type="spellStart"/>
      <w:r w:rsidRPr="00CC19F7">
        <w:t>kundar</w:t>
      </w:r>
      <w:proofErr w:type="spellEnd"/>
      <w:r w:rsidRPr="00CC19F7">
        <w:t xml:space="preserve">. Northern </w:t>
      </w:r>
      <w:proofErr w:type="spellStart"/>
      <w:r w:rsidRPr="00CC19F7">
        <w:t>Lights</w:t>
      </w:r>
      <w:proofErr w:type="spellEnd"/>
      <w:r w:rsidRPr="00CC19F7">
        <w:t xml:space="preserve"> har også rapportert om </w:t>
      </w:r>
      <w:proofErr w:type="spellStart"/>
      <w:r w:rsidRPr="00CC19F7">
        <w:t>ein</w:t>
      </w:r>
      <w:proofErr w:type="spellEnd"/>
      <w:r w:rsidRPr="00CC19F7">
        <w:t xml:space="preserve"> intensjonsavtale med Yara som skal legge til rette for at om lag 800 000 tonn CO</w:t>
      </w:r>
      <w:r w:rsidRPr="00CC19F7">
        <w:rPr>
          <w:rStyle w:val="skrift-senket"/>
        </w:rPr>
        <w:t>2</w:t>
      </w:r>
      <w:r w:rsidRPr="00CC19F7">
        <w:t xml:space="preserve"> kan </w:t>
      </w:r>
      <w:proofErr w:type="spellStart"/>
      <w:r w:rsidRPr="00CC19F7">
        <w:t>transporterast</w:t>
      </w:r>
      <w:proofErr w:type="spellEnd"/>
      <w:r w:rsidRPr="00CC19F7">
        <w:t xml:space="preserve"> </w:t>
      </w:r>
      <w:proofErr w:type="spellStart"/>
      <w:r w:rsidRPr="00CC19F7">
        <w:t>frå</w:t>
      </w:r>
      <w:proofErr w:type="spellEnd"/>
      <w:r w:rsidRPr="00CC19F7">
        <w:t xml:space="preserve"> Nederland til Northern </w:t>
      </w:r>
      <w:proofErr w:type="spellStart"/>
      <w:r w:rsidRPr="00CC19F7">
        <w:t>Lights</w:t>
      </w:r>
      <w:proofErr w:type="spellEnd"/>
      <w:r w:rsidRPr="00CC19F7">
        <w:t xml:space="preserve"> </w:t>
      </w:r>
      <w:proofErr w:type="spellStart"/>
      <w:r w:rsidRPr="00CC19F7">
        <w:t>frå</w:t>
      </w:r>
      <w:proofErr w:type="spellEnd"/>
      <w:r w:rsidRPr="00CC19F7">
        <w:t xml:space="preserve"> 2025. Ved import av CO</w:t>
      </w:r>
      <w:r w:rsidRPr="00CC19F7">
        <w:rPr>
          <w:rStyle w:val="skrift-senket"/>
        </w:rPr>
        <w:t>2</w:t>
      </w:r>
      <w:r w:rsidRPr="00CC19F7">
        <w:t xml:space="preserve"> med sikte på lagring på norsk sokkel, er det krav om å få på plass </w:t>
      </w:r>
      <w:proofErr w:type="spellStart"/>
      <w:r w:rsidRPr="00CC19F7">
        <w:t>ein</w:t>
      </w:r>
      <w:proofErr w:type="spellEnd"/>
      <w:r w:rsidRPr="00CC19F7">
        <w:t xml:space="preserve"> bilateral avtale/arrangement mellom </w:t>
      </w:r>
      <w:proofErr w:type="spellStart"/>
      <w:r w:rsidRPr="00CC19F7">
        <w:t>Noreg</w:t>
      </w:r>
      <w:proofErr w:type="spellEnd"/>
      <w:r w:rsidRPr="00CC19F7">
        <w:t xml:space="preserve"> og landet det gjeld, for å oppfylle krava Londonprotokollen under FNs sjøfartsorganisasjon, IMO.</w:t>
      </w:r>
    </w:p>
    <w:p w14:paraId="652D7E15" w14:textId="77777777" w:rsidR="00FE02EF" w:rsidRPr="00CC19F7" w:rsidRDefault="00881E58" w:rsidP="00CC19F7">
      <w:r w:rsidRPr="00CC19F7">
        <w:t xml:space="preserve">I tråd med gevinstrealiseringsplanen er det </w:t>
      </w:r>
      <w:proofErr w:type="spellStart"/>
      <w:r w:rsidRPr="00CC19F7">
        <w:t>arbeidd</w:t>
      </w:r>
      <w:proofErr w:type="spellEnd"/>
      <w:r w:rsidRPr="00CC19F7">
        <w:t xml:space="preserve"> med å dokumentere og omarbeide læring </w:t>
      </w:r>
      <w:proofErr w:type="spellStart"/>
      <w:r w:rsidRPr="00CC19F7">
        <w:t>frå</w:t>
      </w:r>
      <w:proofErr w:type="spellEnd"/>
      <w:r w:rsidRPr="00CC19F7">
        <w:t xml:space="preserve"> </w:t>
      </w:r>
      <w:proofErr w:type="spellStart"/>
      <w:r w:rsidRPr="00CC19F7">
        <w:t>industriaktørane</w:t>
      </w:r>
      <w:proofErr w:type="spellEnd"/>
      <w:r w:rsidRPr="00CC19F7">
        <w:t xml:space="preserve"> i Langskip, departementet og Gassnova. Dette er delt via nettsida til Gassnova og i sosiale medier. I 2022 har nettsida til Gassnova hatt </w:t>
      </w:r>
      <w:proofErr w:type="spellStart"/>
      <w:r w:rsidRPr="00CC19F7">
        <w:t>meir</w:t>
      </w:r>
      <w:proofErr w:type="spellEnd"/>
      <w:r w:rsidRPr="00CC19F7">
        <w:t xml:space="preserve"> enn 14 000 unike </w:t>
      </w:r>
      <w:proofErr w:type="spellStart"/>
      <w:r w:rsidRPr="00CC19F7">
        <w:t>brukarar</w:t>
      </w:r>
      <w:proofErr w:type="spellEnd"/>
      <w:r w:rsidRPr="00CC19F7">
        <w:t xml:space="preserve"> </w:t>
      </w:r>
      <w:proofErr w:type="spellStart"/>
      <w:r w:rsidRPr="00CC19F7">
        <w:t>frå</w:t>
      </w:r>
      <w:proofErr w:type="spellEnd"/>
      <w:r w:rsidRPr="00CC19F7">
        <w:t xml:space="preserve"> ei rekke land, </w:t>
      </w:r>
      <w:proofErr w:type="spellStart"/>
      <w:r w:rsidRPr="00CC19F7">
        <w:t>særleg</w:t>
      </w:r>
      <w:proofErr w:type="spellEnd"/>
      <w:r w:rsidRPr="00CC19F7">
        <w:t xml:space="preserve"> </w:t>
      </w:r>
      <w:proofErr w:type="spellStart"/>
      <w:r w:rsidRPr="00CC19F7">
        <w:t>Noreg</w:t>
      </w:r>
      <w:proofErr w:type="spellEnd"/>
      <w:r w:rsidRPr="00CC19F7">
        <w:t xml:space="preserve">, Storbritannia, USA, Tyskland og Frankrike. </w:t>
      </w:r>
      <w:proofErr w:type="spellStart"/>
      <w:r w:rsidRPr="00CC19F7">
        <w:t>Erfaringar</w:t>
      </w:r>
      <w:proofErr w:type="spellEnd"/>
      <w:r w:rsidRPr="00CC19F7">
        <w:t xml:space="preserve"> </w:t>
      </w:r>
      <w:proofErr w:type="spellStart"/>
      <w:r w:rsidRPr="00CC19F7">
        <w:t>frå</w:t>
      </w:r>
      <w:proofErr w:type="spellEnd"/>
      <w:r w:rsidRPr="00CC19F7">
        <w:t xml:space="preserve"> Langskip er også delte både i møte med andre CO</w:t>
      </w:r>
      <w:r w:rsidRPr="00CC19F7">
        <w:rPr>
          <w:rStyle w:val="skrift-senket"/>
        </w:rPr>
        <w:t>2</w:t>
      </w:r>
      <w:r w:rsidRPr="00CC19F7">
        <w:t xml:space="preserve">-handteringsprosjekt, </w:t>
      </w:r>
      <w:proofErr w:type="spellStart"/>
      <w:r w:rsidRPr="00CC19F7">
        <w:t>myndigheitsaktørar</w:t>
      </w:r>
      <w:proofErr w:type="spellEnd"/>
      <w:r w:rsidRPr="00CC19F7">
        <w:t xml:space="preserve"> og andre </w:t>
      </w:r>
      <w:proofErr w:type="spellStart"/>
      <w:r w:rsidRPr="00CC19F7">
        <w:t>interessentar</w:t>
      </w:r>
      <w:proofErr w:type="spellEnd"/>
      <w:r w:rsidRPr="00CC19F7">
        <w:t xml:space="preserve">. Sentrale plattformer for deling er også foredrag på </w:t>
      </w:r>
      <w:proofErr w:type="spellStart"/>
      <w:r w:rsidRPr="00CC19F7">
        <w:t>konferansar</w:t>
      </w:r>
      <w:proofErr w:type="spellEnd"/>
      <w:r w:rsidRPr="00CC19F7">
        <w:t xml:space="preserve"> i </w:t>
      </w:r>
      <w:proofErr w:type="spellStart"/>
      <w:r w:rsidRPr="00CC19F7">
        <w:t>Noreg</w:t>
      </w:r>
      <w:proofErr w:type="spellEnd"/>
      <w:r w:rsidRPr="00CC19F7">
        <w:t xml:space="preserve"> og internasjonalt, besøk på anlegga og oppslag i media. Gassnova har også gitt ut fire </w:t>
      </w:r>
      <w:proofErr w:type="spellStart"/>
      <w:r w:rsidRPr="00CC19F7">
        <w:t>statusrapportar</w:t>
      </w:r>
      <w:proofErr w:type="spellEnd"/>
      <w:r w:rsidRPr="00CC19F7">
        <w:t xml:space="preserve"> </w:t>
      </w:r>
      <w:proofErr w:type="spellStart"/>
      <w:r w:rsidRPr="00CC19F7">
        <w:t>frå</w:t>
      </w:r>
      <w:proofErr w:type="spellEnd"/>
      <w:r w:rsidRPr="00CC19F7">
        <w:t xml:space="preserve"> Langskip som mellom anna er distribuerte av </w:t>
      </w:r>
      <w:proofErr w:type="spellStart"/>
      <w:r w:rsidRPr="00CC19F7">
        <w:t>Utanriksdepartementet</w:t>
      </w:r>
      <w:proofErr w:type="spellEnd"/>
      <w:r w:rsidRPr="00CC19F7">
        <w:t xml:space="preserve"> til norske </w:t>
      </w:r>
      <w:proofErr w:type="spellStart"/>
      <w:r w:rsidRPr="00CC19F7">
        <w:t>utanriksstasjonar</w:t>
      </w:r>
      <w:proofErr w:type="spellEnd"/>
      <w:r w:rsidRPr="00CC19F7">
        <w:t>.</w:t>
      </w:r>
    </w:p>
    <w:p w14:paraId="1D4AE038" w14:textId="77777777" w:rsidR="00FE02EF" w:rsidRPr="00CC19F7" w:rsidRDefault="00881E58" w:rsidP="00CC19F7">
      <w:r w:rsidRPr="00CC19F7">
        <w:t xml:space="preserve">Samarbeidet med </w:t>
      </w:r>
      <w:proofErr w:type="spellStart"/>
      <w:r w:rsidRPr="00CC19F7">
        <w:t>utanriksstasjonar</w:t>
      </w:r>
      <w:proofErr w:type="spellEnd"/>
      <w:r w:rsidRPr="00CC19F7">
        <w:t xml:space="preserve"> har også resultert i deling av </w:t>
      </w:r>
      <w:proofErr w:type="spellStart"/>
      <w:r w:rsidRPr="00CC19F7">
        <w:t>erfaringar</w:t>
      </w:r>
      <w:proofErr w:type="spellEnd"/>
      <w:r w:rsidRPr="00CC19F7">
        <w:t xml:space="preserve"> på arrangement i Europa og </w:t>
      </w:r>
      <w:proofErr w:type="spellStart"/>
      <w:r w:rsidRPr="00CC19F7">
        <w:t>studieturar</w:t>
      </w:r>
      <w:proofErr w:type="spellEnd"/>
      <w:r w:rsidRPr="00CC19F7">
        <w:t xml:space="preserve"> med </w:t>
      </w:r>
      <w:proofErr w:type="spellStart"/>
      <w:r w:rsidRPr="00CC19F7">
        <w:t>utanlandske</w:t>
      </w:r>
      <w:proofErr w:type="spellEnd"/>
      <w:r w:rsidRPr="00CC19F7">
        <w:t xml:space="preserve"> </w:t>
      </w:r>
      <w:proofErr w:type="spellStart"/>
      <w:r w:rsidRPr="00CC19F7">
        <w:t>delegasjonar</w:t>
      </w:r>
      <w:proofErr w:type="spellEnd"/>
      <w:r w:rsidRPr="00CC19F7">
        <w:t xml:space="preserve">. Gassnova har bidratt spesielt i Tyskland, der selskapet i samarbeid med den norske ambassaden har hatt informasjonstiltak knytte til </w:t>
      </w:r>
      <w:proofErr w:type="spellStart"/>
      <w:r w:rsidRPr="00CC19F7">
        <w:t>Noregs</w:t>
      </w:r>
      <w:proofErr w:type="spellEnd"/>
      <w:r w:rsidRPr="00CC19F7">
        <w:t xml:space="preserve"> erfaring med CO</w:t>
      </w:r>
      <w:r w:rsidRPr="00CC19F7">
        <w:rPr>
          <w:rStyle w:val="skrift-senket"/>
        </w:rPr>
        <w:t>2</w:t>
      </w:r>
      <w:r w:rsidRPr="00CC19F7">
        <w:t>-handtering og sikker lagring.</w:t>
      </w:r>
    </w:p>
    <w:p w14:paraId="5C889018" w14:textId="77777777" w:rsidR="00FE02EF" w:rsidRPr="00CC19F7" w:rsidRDefault="00881E58" w:rsidP="00CC19F7">
      <w:r w:rsidRPr="00CC19F7">
        <w:t xml:space="preserve">I 2022 har Gassnova publisert </w:t>
      </w:r>
      <w:proofErr w:type="spellStart"/>
      <w:r w:rsidRPr="00CC19F7">
        <w:t>ein</w:t>
      </w:r>
      <w:proofErr w:type="spellEnd"/>
      <w:r w:rsidRPr="00CC19F7">
        <w:t xml:space="preserve"> rapport om regulatorisk og kommersiell læring </w:t>
      </w:r>
      <w:proofErr w:type="spellStart"/>
      <w:r w:rsidRPr="00CC19F7">
        <w:t>frå</w:t>
      </w:r>
      <w:proofErr w:type="spellEnd"/>
      <w:r w:rsidRPr="00CC19F7">
        <w:t xml:space="preserve"> Langskip.</w:t>
      </w:r>
    </w:p>
    <w:p w14:paraId="7E0CDB0E" w14:textId="77777777" w:rsidR="00FE02EF" w:rsidRPr="00CC19F7" w:rsidRDefault="00881E58" w:rsidP="00CC19F7">
      <w:proofErr w:type="spellStart"/>
      <w:r w:rsidRPr="00CC19F7">
        <w:t>Synergiar</w:t>
      </w:r>
      <w:proofErr w:type="spellEnd"/>
      <w:r w:rsidRPr="00CC19F7">
        <w:t xml:space="preserve"> med Gassnovas øvrige </w:t>
      </w:r>
      <w:proofErr w:type="spellStart"/>
      <w:r w:rsidRPr="00CC19F7">
        <w:t>verksemd</w:t>
      </w:r>
      <w:proofErr w:type="spellEnd"/>
      <w:r w:rsidRPr="00CC19F7">
        <w:t xml:space="preserve"> – </w:t>
      </w:r>
      <w:proofErr w:type="spellStart"/>
      <w:r w:rsidRPr="00CC19F7">
        <w:t>særleg</w:t>
      </w:r>
      <w:proofErr w:type="spellEnd"/>
      <w:r w:rsidRPr="00CC19F7">
        <w:t xml:space="preserve"> aktiviteten til CLIMIT-Demo og Teknologisenter Mongstad – er viktige bidrag til gevinstrealisering og måloppnåing for Langskip. I 2022 har kunnskap og læring </w:t>
      </w:r>
      <w:proofErr w:type="spellStart"/>
      <w:r w:rsidRPr="00CC19F7">
        <w:t>frå</w:t>
      </w:r>
      <w:proofErr w:type="spellEnd"/>
      <w:r w:rsidRPr="00CC19F7">
        <w:t xml:space="preserve"> CLIMIT-Demo og TCM blitt delt med ei rekke </w:t>
      </w:r>
      <w:proofErr w:type="spellStart"/>
      <w:r w:rsidRPr="00CC19F7">
        <w:t>aktørar</w:t>
      </w:r>
      <w:proofErr w:type="spellEnd"/>
      <w:r w:rsidRPr="00CC19F7">
        <w:t xml:space="preserve"> </w:t>
      </w:r>
      <w:proofErr w:type="spellStart"/>
      <w:r w:rsidRPr="00CC19F7">
        <w:t>innan</w:t>
      </w:r>
      <w:proofErr w:type="spellEnd"/>
      <w:r w:rsidRPr="00CC19F7">
        <w:t xml:space="preserve"> teknologiutvikling, </w:t>
      </w:r>
      <w:proofErr w:type="spellStart"/>
      <w:r w:rsidRPr="00CC19F7">
        <w:t>etterfølgande</w:t>
      </w:r>
      <w:proofErr w:type="spellEnd"/>
      <w:r w:rsidRPr="00CC19F7">
        <w:t xml:space="preserve"> CO</w:t>
      </w:r>
      <w:r w:rsidRPr="00CC19F7">
        <w:rPr>
          <w:rStyle w:val="skrift-senket"/>
        </w:rPr>
        <w:t>2</w:t>
      </w:r>
      <w:r w:rsidRPr="00CC19F7">
        <w:t xml:space="preserve">-fangst og -lagringsprosjekt i </w:t>
      </w:r>
      <w:proofErr w:type="spellStart"/>
      <w:r w:rsidRPr="00CC19F7">
        <w:t>Noreg</w:t>
      </w:r>
      <w:proofErr w:type="spellEnd"/>
      <w:r w:rsidRPr="00CC19F7">
        <w:t xml:space="preserve"> og Europa, </w:t>
      </w:r>
      <w:proofErr w:type="spellStart"/>
      <w:r w:rsidRPr="00CC19F7">
        <w:t>myndigheitsaktørar</w:t>
      </w:r>
      <w:proofErr w:type="spellEnd"/>
      <w:r w:rsidRPr="00CC19F7">
        <w:t xml:space="preserve"> og andre </w:t>
      </w:r>
      <w:proofErr w:type="spellStart"/>
      <w:r w:rsidRPr="00CC19F7">
        <w:t>delar</w:t>
      </w:r>
      <w:proofErr w:type="spellEnd"/>
      <w:r w:rsidRPr="00CC19F7">
        <w:t xml:space="preserve"> av </w:t>
      </w:r>
      <w:proofErr w:type="spellStart"/>
      <w:r w:rsidRPr="00CC19F7">
        <w:t>verkemiddelapparatet</w:t>
      </w:r>
      <w:proofErr w:type="spellEnd"/>
      <w:r w:rsidRPr="00CC19F7">
        <w:t>.</w:t>
      </w:r>
    </w:p>
    <w:p w14:paraId="4E3CAF55" w14:textId="77777777" w:rsidR="00FE02EF" w:rsidRPr="00CC19F7" w:rsidRDefault="00881E58" w:rsidP="00CC19F7">
      <w:r w:rsidRPr="00CC19F7">
        <w:t xml:space="preserve">Gassnova har vurdert den samfunnsøkonomiske nytta av Langskip, basert på </w:t>
      </w:r>
      <w:proofErr w:type="spellStart"/>
      <w:r w:rsidRPr="00CC19F7">
        <w:t>endringar</w:t>
      </w:r>
      <w:proofErr w:type="spellEnd"/>
      <w:r w:rsidRPr="00CC19F7">
        <w:t xml:space="preserve"> i </w:t>
      </w:r>
      <w:proofErr w:type="spellStart"/>
      <w:r w:rsidRPr="00CC19F7">
        <w:t>marknaden</w:t>
      </w:r>
      <w:proofErr w:type="spellEnd"/>
      <w:r w:rsidRPr="00CC19F7">
        <w:t xml:space="preserve"> </w:t>
      </w:r>
      <w:proofErr w:type="spellStart"/>
      <w:r w:rsidRPr="00CC19F7">
        <w:t>frå</w:t>
      </w:r>
      <w:proofErr w:type="spellEnd"/>
      <w:r w:rsidRPr="00CC19F7">
        <w:t xml:space="preserve"> tidspunktet for investeringsavgjerda. Vurderinga viste at </w:t>
      </w:r>
      <w:proofErr w:type="spellStart"/>
      <w:r w:rsidRPr="00CC19F7">
        <w:t>marknaden</w:t>
      </w:r>
      <w:proofErr w:type="spellEnd"/>
      <w:r w:rsidRPr="00CC19F7">
        <w:t xml:space="preserve"> for CO</w:t>
      </w:r>
      <w:r w:rsidRPr="00CC19F7">
        <w:rPr>
          <w:rStyle w:val="skrift-senket"/>
        </w:rPr>
        <w:t>2</w:t>
      </w:r>
      <w:r w:rsidRPr="00CC19F7">
        <w:t xml:space="preserve">-handtering har bevega seg </w:t>
      </w:r>
      <w:proofErr w:type="spellStart"/>
      <w:r w:rsidRPr="00CC19F7">
        <w:t>betydeleg</w:t>
      </w:r>
      <w:proofErr w:type="spellEnd"/>
      <w:r w:rsidRPr="00CC19F7">
        <w:t xml:space="preserve"> i positiv retning </w:t>
      </w:r>
      <w:proofErr w:type="spellStart"/>
      <w:r w:rsidRPr="00CC19F7">
        <w:t>sidan</w:t>
      </w:r>
      <w:proofErr w:type="spellEnd"/>
      <w:r w:rsidRPr="00CC19F7">
        <w:t xml:space="preserve"> 2020. Vurderinga til Gassnova er </w:t>
      </w:r>
      <w:proofErr w:type="spellStart"/>
      <w:r w:rsidRPr="00CC19F7">
        <w:t>vidare</w:t>
      </w:r>
      <w:proofErr w:type="spellEnd"/>
      <w:r w:rsidRPr="00CC19F7">
        <w:t xml:space="preserve"> at Langskip har bidratt til å legge til rette for utviklinga i Europa. Northern </w:t>
      </w:r>
      <w:proofErr w:type="spellStart"/>
      <w:r w:rsidRPr="00CC19F7">
        <w:t>Lights</w:t>
      </w:r>
      <w:proofErr w:type="spellEnd"/>
      <w:r w:rsidRPr="00CC19F7">
        <w:t xml:space="preserve"> er det </w:t>
      </w:r>
      <w:proofErr w:type="spellStart"/>
      <w:r w:rsidRPr="00CC19F7">
        <w:t>einaste</w:t>
      </w:r>
      <w:proofErr w:type="spellEnd"/>
      <w:r w:rsidRPr="00CC19F7">
        <w:t xml:space="preserve"> lageret under utbygging i Europa. Langskip demonstrerer CO</w:t>
      </w:r>
      <w:r w:rsidRPr="00CC19F7">
        <w:rPr>
          <w:rStyle w:val="skrift-senket"/>
        </w:rPr>
        <w:t>2</w:t>
      </w:r>
      <w:r w:rsidRPr="00CC19F7">
        <w:t xml:space="preserve">-fangst i </w:t>
      </w:r>
      <w:proofErr w:type="spellStart"/>
      <w:r w:rsidRPr="00CC19F7">
        <w:t>bransjar</w:t>
      </w:r>
      <w:proofErr w:type="spellEnd"/>
      <w:r w:rsidRPr="00CC19F7">
        <w:t xml:space="preserve"> som vil </w:t>
      </w:r>
      <w:proofErr w:type="spellStart"/>
      <w:r w:rsidRPr="00CC19F7">
        <w:t>vere</w:t>
      </w:r>
      <w:proofErr w:type="spellEnd"/>
      <w:r w:rsidRPr="00CC19F7">
        <w:t xml:space="preserve"> relevante for </w:t>
      </w:r>
      <w:proofErr w:type="spellStart"/>
      <w:r w:rsidRPr="00CC19F7">
        <w:t>etterfølgande</w:t>
      </w:r>
      <w:proofErr w:type="spellEnd"/>
      <w:r w:rsidRPr="00CC19F7">
        <w:t xml:space="preserve"> prosjekt. Realiseringa av Langskip fell i tid </w:t>
      </w:r>
      <w:proofErr w:type="spellStart"/>
      <w:r w:rsidRPr="00CC19F7">
        <w:t>saman</w:t>
      </w:r>
      <w:proofErr w:type="spellEnd"/>
      <w:r w:rsidRPr="00CC19F7">
        <w:t xml:space="preserve"> med at EU og europeiske land har forsterka klimapolitikken. </w:t>
      </w:r>
      <w:proofErr w:type="spellStart"/>
      <w:r w:rsidRPr="00CC19F7">
        <w:t>Ein</w:t>
      </w:r>
      <w:proofErr w:type="spellEnd"/>
      <w:r w:rsidRPr="00CC19F7">
        <w:t xml:space="preserve"> </w:t>
      </w:r>
      <w:proofErr w:type="spellStart"/>
      <w:r w:rsidRPr="00CC19F7">
        <w:t>strammare</w:t>
      </w:r>
      <w:proofErr w:type="spellEnd"/>
      <w:r w:rsidRPr="00CC19F7">
        <w:t xml:space="preserve"> klimapolitikk og behov for å kutte utslepp i </w:t>
      </w:r>
      <w:proofErr w:type="spellStart"/>
      <w:r w:rsidRPr="00CC19F7">
        <w:t>sektorar</w:t>
      </w:r>
      <w:proofErr w:type="spellEnd"/>
      <w:r w:rsidRPr="00CC19F7">
        <w:t xml:space="preserve"> der det er </w:t>
      </w:r>
      <w:proofErr w:type="spellStart"/>
      <w:r w:rsidRPr="00CC19F7">
        <w:t>krevjande</w:t>
      </w:r>
      <w:proofErr w:type="spellEnd"/>
      <w:r w:rsidRPr="00CC19F7">
        <w:t xml:space="preserve"> å kutte utslepp, som sement-, kjemi- og stålindustrien, gir behov for </w:t>
      </w:r>
      <w:proofErr w:type="spellStart"/>
      <w:r w:rsidRPr="00CC19F7">
        <w:t>auka</w:t>
      </w:r>
      <w:proofErr w:type="spellEnd"/>
      <w:r w:rsidRPr="00CC19F7">
        <w:t xml:space="preserve"> satsing på CO</w:t>
      </w:r>
      <w:r w:rsidRPr="00CC19F7">
        <w:rPr>
          <w:rStyle w:val="skrift-senket"/>
        </w:rPr>
        <w:t>2</w:t>
      </w:r>
      <w:r w:rsidRPr="00CC19F7">
        <w:t>-handtering i Europa.</w:t>
      </w:r>
    </w:p>
    <w:p w14:paraId="091F247A" w14:textId="77777777" w:rsidR="00FE02EF" w:rsidRPr="00CC19F7" w:rsidRDefault="00881E58" w:rsidP="00CC19F7">
      <w:r w:rsidRPr="00CC19F7">
        <w:t xml:space="preserve">Gassnova har kartlagt </w:t>
      </w:r>
      <w:proofErr w:type="spellStart"/>
      <w:r w:rsidRPr="00CC19F7">
        <w:t>moglegheiter</w:t>
      </w:r>
      <w:proofErr w:type="spellEnd"/>
      <w:r w:rsidRPr="00CC19F7">
        <w:t xml:space="preserve"> for tilrettelegging av CO</w:t>
      </w:r>
      <w:r w:rsidRPr="00CC19F7">
        <w:rPr>
          <w:rStyle w:val="skrift-senket"/>
        </w:rPr>
        <w:t>2</w:t>
      </w:r>
      <w:r w:rsidRPr="00CC19F7">
        <w:t xml:space="preserve">-handtering på forbrennings- og prosessanlegg i </w:t>
      </w:r>
      <w:proofErr w:type="spellStart"/>
      <w:r w:rsidRPr="00CC19F7">
        <w:t>Noreg</w:t>
      </w:r>
      <w:proofErr w:type="spellEnd"/>
      <w:r w:rsidRPr="00CC19F7">
        <w:t>. Gassnova har kartlagt potensialet for CO</w:t>
      </w:r>
      <w:r w:rsidRPr="00CC19F7">
        <w:rPr>
          <w:rStyle w:val="skrift-senket"/>
        </w:rPr>
        <w:t>2</w:t>
      </w:r>
      <w:r w:rsidRPr="00CC19F7">
        <w:t>-handtering i landbasert industri i bidraget sitt til Miljødirektoratets arbeid «Grøn omstilling». Kartlegginga viser at CO</w:t>
      </w:r>
      <w:r w:rsidRPr="00CC19F7">
        <w:rPr>
          <w:rStyle w:val="skrift-senket"/>
        </w:rPr>
        <w:t>2</w:t>
      </w:r>
      <w:r w:rsidRPr="00CC19F7">
        <w:t xml:space="preserve">-handtering på forbrennings- og prosessanlegg i </w:t>
      </w:r>
      <w:proofErr w:type="spellStart"/>
      <w:r w:rsidRPr="00CC19F7">
        <w:t>Noreg</w:t>
      </w:r>
      <w:proofErr w:type="spellEnd"/>
      <w:r w:rsidRPr="00CC19F7">
        <w:t xml:space="preserve"> kan bidra til </w:t>
      </w:r>
      <w:proofErr w:type="spellStart"/>
      <w:r w:rsidRPr="00CC19F7">
        <w:t>ein</w:t>
      </w:r>
      <w:proofErr w:type="spellEnd"/>
      <w:r w:rsidRPr="00CC19F7">
        <w:t xml:space="preserve"> </w:t>
      </w:r>
      <w:proofErr w:type="spellStart"/>
      <w:r w:rsidRPr="00CC19F7">
        <w:t>vesentleg</w:t>
      </w:r>
      <w:proofErr w:type="spellEnd"/>
      <w:r w:rsidRPr="00CC19F7">
        <w:t xml:space="preserve"> reduksjon i norske CO</w:t>
      </w:r>
      <w:r w:rsidRPr="00CC19F7">
        <w:rPr>
          <w:rStyle w:val="skrift-senket"/>
        </w:rPr>
        <w:t>2</w:t>
      </w:r>
      <w:r w:rsidRPr="00CC19F7">
        <w:t>-utslepp og til industriell CO</w:t>
      </w:r>
      <w:r w:rsidRPr="00CC19F7">
        <w:rPr>
          <w:rStyle w:val="skrift-senket"/>
        </w:rPr>
        <w:t>2</w:t>
      </w:r>
      <w:r w:rsidRPr="00CC19F7">
        <w:t xml:space="preserve">-fjerning (fangst av </w:t>
      </w:r>
      <w:proofErr w:type="spellStart"/>
      <w:r w:rsidRPr="00CC19F7">
        <w:t>biogene</w:t>
      </w:r>
      <w:proofErr w:type="spellEnd"/>
      <w:r w:rsidRPr="00CC19F7">
        <w:t xml:space="preserve"> utslepp). Det er utarbeidd </w:t>
      </w:r>
      <w:proofErr w:type="gramStart"/>
      <w:r w:rsidRPr="00CC19F7">
        <w:t>ei oversikt</w:t>
      </w:r>
      <w:proofErr w:type="gramEnd"/>
      <w:r w:rsidRPr="00CC19F7">
        <w:t xml:space="preserve"> over </w:t>
      </w:r>
      <w:proofErr w:type="spellStart"/>
      <w:r w:rsidRPr="00CC19F7">
        <w:t>eksisterande</w:t>
      </w:r>
      <w:proofErr w:type="spellEnd"/>
      <w:r w:rsidRPr="00CC19F7">
        <w:t xml:space="preserve"> og foreslåtte </w:t>
      </w:r>
      <w:proofErr w:type="spellStart"/>
      <w:r w:rsidRPr="00CC19F7">
        <w:t>verkemiddel</w:t>
      </w:r>
      <w:proofErr w:type="spellEnd"/>
      <w:r w:rsidRPr="00CC19F7">
        <w:t xml:space="preserve"> for CO</w:t>
      </w:r>
      <w:r w:rsidRPr="00CC19F7">
        <w:rPr>
          <w:rStyle w:val="skrift-senket"/>
        </w:rPr>
        <w:t>2</w:t>
      </w:r>
      <w:r w:rsidRPr="00CC19F7">
        <w:t xml:space="preserve">-handtering og gjort ei vurdering av ulike </w:t>
      </w:r>
      <w:proofErr w:type="spellStart"/>
      <w:r w:rsidRPr="00CC19F7">
        <w:t>verkemiddel</w:t>
      </w:r>
      <w:proofErr w:type="spellEnd"/>
      <w:r w:rsidRPr="00CC19F7">
        <w:t xml:space="preserve"> for realisering av ei CO</w:t>
      </w:r>
      <w:r w:rsidRPr="00CC19F7">
        <w:rPr>
          <w:rStyle w:val="skrift-senket"/>
        </w:rPr>
        <w:t>2</w:t>
      </w:r>
      <w:r w:rsidRPr="00CC19F7">
        <w:t>-handteringskjede.</w:t>
      </w:r>
    </w:p>
    <w:p w14:paraId="0AC71292" w14:textId="77777777" w:rsidR="00FE02EF" w:rsidRPr="00CC19F7" w:rsidRDefault="00881E58" w:rsidP="00CC19F7">
      <w:pPr>
        <w:pStyle w:val="avsnitt-under-undertittel"/>
      </w:pPr>
      <w:proofErr w:type="spellStart"/>
      <w:r w:rsidRPr="00CC19F7">
        <w:t>Eigaroppfølging</w:t>
      </w:r>
      <w:proofErr w:type="spellEnd"/>
      <w:r w:rsidRPr="00CC19F7">
        <w:t xml:space="preserve"> av Teknologisenter Mongstad</w:t>
      </w:r>
    </w:p>
    <w:p w14:paraId="12203200" w14:textId="77777777" w:rsidR="00FE02EF" w:rsidRPr="00CC19F7" w:rsidRDefault="00881E58" w:rsidP="00CC19F7">
      <w:r w:rsidRPr="00CC19F7">
        <w:t>Gassnova har tatt vare på statens interesser i Teknologisenter Mongstad (TCM) og mellom anna bidratt til</w:t>
      </w:r>
    </w:p>
    <w:p w14:paraId="782ADDFF" w14:textId="77777777" w:rsidR="00FE02EF" w:rsidRPr="00CC19F7" w:rsidRDefault="00881E58" w:rsidP="00CC19F7">
      <w:pPr>
        <w:pStyle w:val="Liste"/>
      </w:pPr>
      <w:r w:rsidRPr="00CC19F7">
        <w:t xml:space="preserve">bidratt til rekruttering av </w:t>
      </w:r>
      <w:proofErr w:type="spellStart"/>
      <w:r w:rsidRPr="00CC19F7">
        <w:t>aktørar</w:t>
      </w:r>
      <w:proofErr w:type="spellEnd"/>
      <w:r w:rsidRPr="00CC19F7">
        <w:t xml:space="preserve"> som gjennomfører </w:t>
      </w:r>
      <w:proofErr w:type="spellStart"/>
      <w:r w:rsidRPr="00CC19F7">
        <w:t>testkampanjar</w:t>
      </w:r>
      <w:proofErr w:type="spellEnd"/>
    </w:p>
    <w:p w14:paraId="1F938217" w14:textId="77777777" w:rsidR="00FE02EF" w:rsidRPr="00CC19F7" w:rsidRDefault="00881E58" w:rsidP="00CC19F7">
      <w:pPr>
        <w:pStyle w:val="Liste"/>
      </w:pPr>
      <w:r w:rsidRPr="00CC19F7">
        <w:t>bidratt til spreiing av kunnskap, mellom anna gjennom bidrag til gevinstrealisering i Langskip</w:t>
      </w:r>
    </w:p>
    <w:p w14:paraId="78F268F8" w14:textId="77777777" w:rsidR="00FE02EF" w:rsidRPr="00CC19F7" w:rsidRDefault="00881E58" w:rsidP="00CC19F7">
      <w:pPr>
        <w:pStyle w:val="Liste"/>
      </w:pPr>
      <w:r w:rsidRPr="00CC19F7">
        <w:t xml:space="preserve">bidratt i arbeidet med å forsøke å rekruttere </w:t>
      </w:r>
      <w:proofErr w:type="spellStart"/>
      <w:r w:rsidRPr="00CC19F7">
        <w:t>fleire</w:t>
      </w:r>
      <w:proofErr w:type="spellEnd"/>
      <w:r w:rsidRPr="00CC19F7">
        <w:t xml:space="preserve"> </w:t>
      </w:r>
      <w:proofErr w:type="spellStart"/>
      <w:r w:rsidRPr="00CC19F7">
        <w:t>eigarar</w:t>
      </w:r>
      <w:proofErr w:type="spellEnd"/>
      <w:r w:rsidRPr="00CC19F7">
        <w:t xml:space="preserve">, anna finansiering, mellom anna gjennom større bidrag </w:t>
      </w:r>
      <w:proofErr w:type="spellStart"/>
      <w:r w:rsidRPr="00CC19F7">
        <w:t>frå</w:t>
      </w:r>
      <w:proofErr w:type="spellEnd"/>
      <w:r w:rsidRPr="00CC19F7">
        <w:t xml:space="preserve"> </w:t>
      </w:r>
      <w:proofErr w:type="spellStart"/>
      <w:r w:rsidRPr="00CC19F7">
        <w:t>aktørar</w:t>
      </w:r>
      <w:proofErr w:type="spellEnd"/>
      <w:r w:rsidRPr="00CC19F7">
        <w:t xml:space="preserve"> som </w:t>
      </w:r>
      <w:proofErr w:type="spellStart"/>
      <w:r w:rsidRPr="00CC19F7">
        <w:t>brukar</w:t>
      </w:r>
      <w:proofErr w:type="spellEnd"/>
      <w:r w:rsidRPr="00CC19F7">
        <w:t xml:space="preserve"> testanlegget, i tillegg til effektivisering av drifta</w:t>
      </w:r>
    </w:p>
    <w:p w14:paraId="06B1F047" w14:textId="77777777" w:rsidR="00FE02EF" w:rsidRPr="00CC19F7" w:rsidRDefault="00881E58" w:rsidP="00CC19F7">
      <w:r w:rsidRPr="00CC19F7">
        <w:t xml:space="preserve">For å </w:t>
      </w:r>
      <w:proofErr w:type="spellStart"/>
      <w:r w:rsidRPr="00CC19F7">
        <w:t>vidareutvikle</w:t>
      </w:r>
      <w:proofErr w:type="spellEnd"/>
      <w:r w:rsidRPr="00CC19F7">
        <w:t xml:space="preserve"> </w:t>
      </w:r>
      <w:proofErr w:type="spellStart"/>
      <w:r w:rsidRPr="00CC19F7">
        <w:t>modellar</w:t>
      </w:r>
      <w:proofErr w:type="spellEnd"/>
      <w:r w:rsidRPr="00CC19F7">
        <w:t xml:space="preserve"> med </w:t>
      </w:r>
      <w:proofErr w:type="spellStart"/>
      <w:r w:rsidRPr="00CC19F7">
        <w:t>lågare</w:t>
      </w:r>
      <w:proofErr w:type="spellEnd"/>
      <w:r w:rsidRPr="00CC19F7">
        <w:t xml:space="preserve"> </w:t>
      </w:r>
      <w:proofErr w:type="spellStart"/>
      <w:r w:rsidRPr="00CC19F7">
        <w:t>statleg</w:t>
      </w:r>
      <w:proofErr w:type="spellEnd"/>
      <w:r w:rsidRPr="00CC19F7">
        <w:t xml:space="preserve"> finansiering har Gassnova i 2022 </w:t>
      </w:r>
      <w:proofErr w:type="spellStart"/>
      <w:r w:rsidRPr="00CC19F7">
        <w:t>vidareført</w:t>
      </w:r>
      <w:proofErr w:type="spellEnd"/>
      <w:r w:rsidRPr="00CC19F7">
        <w:t xml:space="preserve"> arbeidet med </w:t>
      </w:r>
      <w:proofErr w:type="spellStart"/>
      <w:r w:rsidRPr="00CC19F7">
        <w:t>moglege</w:t>
      </w:r>
      <w:proofErr w:type="spellEnd"/>
      <w:r w:rsidRPr="00CC19F7">
        <w:t xml:space="preserve"> scenario for drift av TCM etter 2023.</w:t>
      </w:r>
    </w:p>
    <w:p w14:paraId="735B82C5" w14:textId="77777777" w:rsidR="00FE02EF" w:rsidRPr="00CC19F7" w:rsidRDefault="00881E58" w:rsidP="00CC19F7">
      <w:pPr>
        <w:pStyle w:val="avsnitt-undertittel"/>
      </w:pPr>
      <w:r w:rsidRPr="00CC19F7">
        <w:t xml:space="preserve">Oppfølging og koordinering av </w:t>
      </w:r>
      <w:proofErr w:type="spellStart"/>
      <w:r w:rsidRPr="00CC19F7">
        <w:t>støtteavtalane</w:t>
      </w:r>
      <w:proofErr w:type="spellEnd"/>
      <w:r w:rsidRPr="00CC19F7">
        <w:t xml:space="preserve"> i Langskip</w:t>
      </w:r>
    </w:p>
    <w:p w14:paraId="18B4BB80" w14:textId="77777777" w:rsidR="00FE02EF" w:rsidRPr="00CC19F7" w:rsidRDefault="00881E58" w:rsidP="00CC19F7">
      <w:r w:rsidRPr="00CC19F7">
        <w:t xml:space="preserve">Gjennom </w:t>
      </w:r>
      <w:proofErr w:type="spellStart"/>
      <w:r w:rsidRPr="00CC19F7">
        <w:t>månadlege</w:t>
      </w:r>
      <w:proofErr w:type="spellEnd"/>
      <w:r w:rsidRPr="00CC19F7">
        <w:t xml:space="preserve"> </w:t>
      </w:r>
      <w:proofErr w:type="spellStart"/>
      <w:r w:rsidRPr="00CC19F7">
        <w:t>rapporteringar</w:t>
      </w:r>
      <w:proofErr w:type="spellEnd"/>
      <w:r w:rsidRPr="00CC19F7">
        <w:t xml:space="preserve"> har Gassnova </w:t>
      </w:r>
      <w:proofErr w:type="spellStart"/>
      <w:r w:rsidRPr="00CC19F7">
        <w:t>følgt</w:t>
      </w:r>
      <w:proofErr w:type="spellEnd"/>
      <w:r w:rsidRPr="00CC19F7">
        <w:t xml:space="preserve"> opp prosjektstyringa og kostnads- og framdriftsutviklinga til </w:t>
      </w:r>
      <w:proofErr w:type="spellStart"/>
      <w:r w:rsidRPr="00CC19F7">
        <w:t>aktørane</w:t>
      </w:r>
      <w:proofErr w:type="spellEnd"/>
      <w:r w:rsidRPr="00CC19F7">
        <w:t xml:space="preserve">. I oppfølginga er det gjort </w:t>
      </w:r>
      <w:proofErr w:type="spellStart"/>
      <w:r w:rsidRPr="00CC19F7">
        <w:t>løpande</w:t>
      </w:r>
      <w:proofErr w:type="spellEnd"/>
      <w:r w:rsidRPr="00CC19F7">
        <w:t xml:space="preserve"> </w:t>
      </w:r>
      <w:proofErr w:type="spellStart"/>
      <w:r w:rsidRPr="00CC19F7">
        <w:t>vurderingar</w:t>
      </w:r>
      <w:proofErr w:type="spellEnd"/>
      <w:r w:rsidRPr="00CC19F7">
        <w:t xml:space="preserve"> av </w:t>
      </w:r>
      <w:proofErr w:type="spellStart"/>
      <w:r w:rsidRPr="00CC19F7">
        <w:t>risikoar</w:t>
      </w:r>
      <w:proofErr w:type="spellEnd"/>
      <w:r w:rsidRPr="00CC19F7">
        <w:t xml:space="preserve"> i prosjektet. Med dette skal </w:t>
      </w:r>
      <w:proofErr w:type="spellStart"/>
      <w:r w:rsidRPr="00CC19F7">
        <w:t>moglege</w:t>
      </w:r>
      <w:proofErr w:type="spellEnd"/>
      <w:r w:rsidRPr="00CC19F7">
        <w:t xml:space="preserve"> </w:t>
      </w:r>
      <w:proofErr w:type="spellStart"/>
      <w:r w:rsidRPr="00CC19F7">
        <w:t>utfordringar</w:t>
      </w:r>
      <w:proofErr w:type="spellEnd"/>
      <w:r w:rsidRPr="00CC19F7">
        <w:t xml:space="preserve"> </w:t>
      </w:r>
      <w:proofErr w:type="spellStart"/>
      <w:r w:rsidRPr="00CC19F7">
        <w:t>identifiserast</w:t>
      </w:r>
      <w:proofErr w:type="spellEnd"/>
      <w:r w:rsidRPr="00CC19F7">
        <w:t xml:space="preserve"> så </w:t>
      </w:r>
      <w:proofErr w:type="spellStart"/>
      <w:r w:rsidRPr="00CC19F7">
        <w:t>tidleg</w:t>
      </w:r>
      <w:proofErr w:type="spellEnd"/>
      <w:r w:rsidRPr="00CC19F7">
        <w:t xml:space="preserve"> som </w:t>
      </w:r>
      <w:proofErr w:type="spellStart"/>
      <w:r w:rsidRPr="00CC19F7">
        <w:t>mogleg</w:t>
      </w:r>
      <w:proofErr w:type="spellEnd"/>
      <w:r w:rsidRPr="00CC19F7">
        <w:t xml:space="preserve"> i rapporteringa til departementet. Gassnova har spesielt </w:t>
      </w:r>
      <w:proofErr w:type="gramStart"/>
      <w:r w:rsidRPr="00CC19F7">
        <w:t>fokus</w:t>
      </w:r>
      <w:proofErr w:type="gramEnd"/>
      <w:r w:rsidRPr="00CC19F7">
        <w:t xml:space="preserve"> på kostnadene til staten i </w:t>
      </w:r>
      <w:proofErr w:type="spellStart"/>
      <w:r w:rsidRPr="00CC19F7">
        <w:t>støtteavtalane</w:t>
      </w:r>
      <w:proofErr w:type="spellEnd"/>
      <w:r w:rsidRPr="00CC19F7">
        <w:t xml:space="preserve"> og på at </w:t>
      </w:r>
      <w:proofErr w:type="spellStart"/>
      <w:r w:rsidRPr="00CC19F7">
        <w:t>mekanismane</w:t>
      </w:r>
      <w:proofErr w:type="spellEnd"/>
      <w:r w:rsidRPr="00CC19F7">
        <w:t xml:space="preserve"> for deling av kostnader blir tolka korrekt.</w:t>
      </w:r>
    </w:p>
    <w:p w14:paraId="6889E1C2" w14:textId="77777777" w:rsidR="00FE02EF" w:rsidRPr="00CC19F7" w:rsidRDefault="00881E58" w:rsidP="00CC19F7">
      <w:r w:rsidRPr="00CC19F7">
        <w:t xml:space="preserve">I tråd med </w:t>
      </w:r>
      <w:proofErr w:type="spellStart"/>
      <w:r w:rsidRPr="00CC19F7">
        <w:t>støtteavtalane</w:t>
      </w:r>
      <w:proofErr w:type="spellEnd"/>
      <w:r w:rsidRPr="00CC19F7">
        <w:t xml:space="preserve"> blei det gjennomført </w:t>
      </w:r>
      <w:proofErr w:type="spellStart"/>
      <w:r w:rsidRPr="00CC19F7">
        <w:t>halvårlege</w:t>
      </w:r>
      <w:proofErr w:type="spellEnd"/>
      <w:r w:rsidRPr="00CC19F7">
        <w:t xml:space="preserve"> </w:t>
      </w:r>
      <w:proofErr w:type="spellStart"/>
      <w:r w:rsidRPr="00CC19F7">
        <w:t>gjennomgangar</w:t>
      </w:r>
      <w:proofErr w:type="spellEnd"/>
      <w:r w:rsidRPr="00CC19F7">
        <w:t xml:space="preserve"> med </w:t>
      </w:r>
      <w:proofErr w:type="gramStart"/>
      <w:r w:rsidRPr="00CC19F7">
        <w:t>fokus</w:t>
      </w:r>
      <w:proofErr w:type="gramEnd"/>
      <w:r w:rsidRPr="00CC19F7">
        <w:t xml:space="preserve"> på planar og kostnader. Kvaliteten og oppfyllinga av leveransekrava </w:t>
      </w:r>
      <w:proofErr w:type="spellStart"/>
      <w:r w:rsidRPr="00CC19F7">
        <w:t>betra</w:t>
      </w:r>
      <w:proofErr w:type="spellEnd"/>
      <w:r w:rsidRPr="00CC19F7">
        <w:t xml:space="preserve"> seg i 2022 både for Northern </w:t>
      </w:r>
      <w:proofErr w:type="spellStart"/>
      <w:r w:rsidRPr="00CC19F7">
        <w:t>Lights</w:t>
      </w:r>
      <w:proofErr w:type="spellEnd"/>
      <w:r w:rsidRPr="00CC19F7">
        <w:t xml:space="preserve"> og fangstprosjektet Brevik CCS hos Heidelberg Materials. Både Brevik CCS og Northern </w:t>
      </w:r>
      <w:proofErr w:type="spellStart"/>
      <w:r w:rsidRPr="00CC19F7">
        <w:t>Lights</w:t>
      </w:r>
      <w:proofErr w:type="spellEnd"/>
      <w:r w:rsidRPr="00CC19F7">
        <w:t xml:space="preserve"> hadde ei relativt stabil kostnadsutvikling </w:t>
      </w:r>
      <w:proofErr w:type="spellStart"/>
      <w:r w:rsidRPr="00CC19F7">
        <w:t>samanlikna</w:t>
      </w:r>
      <w:proofErr w:type="spellEnd"/>
      <w:r w:rsidRPr="00CC19F7">
        <w:t xml:space="preserve"> med </w:t>
      </w:r>
      <w:proofErr w:type="spellStart"/>
      <w:r w:rsidRPr="00CC19F7">
        <w:t>tidlegare</w:t>
      </w:r>
      <w:proofErr w:type="spellEnd"/>
      <w:r w:rsidRPr="00CC19F7">
        <w:t xml:space="preserve"> rapporterte kostnader, trass i </w:t>
      </w:r>
      <w:proofErr w:type="spellStart"/>
      <w:r w:rsidRPr="00CC19F7">
        <w:t>fleire</w:t>
      </w:r>
      <w:proofErr w:type="spellEnd"/>
      <w:r w:rsidRPr="00CC19F7">
        <w:t xml:space="preserve"> </w:t>
      </w:r>
      <w:proofErr w:type="spellStart"/>
      <w:r w:rsidRPr="00CC19F7">
        <w:t>utfordringar</w:t>
      </w:r>
      <w:proofErr w:type="spellEnd"/>
      <w:r w:rsidRPr="00CC19F7">
        <w:t xml:space="preserve"> i prosjektgjennomføringa.</w:t>
      </w:r>
    </w:p>
    <w:p w14:paraId="0CA6BB87" w14:textId="77777777" w:rsidR="00FE02EF" w:rsidRPr="00CC19F7" w:rsidRDefault="00881E58" w:rsidP="00CC19F7">
      <w:r w:rsidRPr="00CC19F7">
        <w:t xml:space="preserve">Staten, ved Olje- og energidepartementet, inngjekk 29. juni 2022 </w:t>
      </w:r>
      <w:proofErr w:type="spellStart"/>
      <w:r w:rsidRPr="00CC19F7">
        <w:t>ein</w:t>
      </w:r>
      <w:proofErr w:type="spellEnd"/>
      <w:r w:rsidRPr="00CC19F7">
        <w:t xml:space="preserve"> statsstøtteavtale med Hafslund Oslo </w:t>
      </w:r>
      <w:proofErr w:type="spellStart"/>
      <w:r w:rsidRPr="00CC19F7">
        <w:t>Celsio</w:t>
      </w:r>
      <w:proofErr w:type="spellEnd"/>
      <w:r w:rsidRPr="00CC19F7">
        <w:t xml:space="preserve"> (</w:t>
      </w:r>
      <w:proofErr w:type="spellStart"/>
      <w:r w:rsidRPr="00CC19F7">
        <w:t>Celsio</w:t>
      </w:r>
      <w:proofErr w:type="spellEnd"/>
      <w:r w:rsidRPr="00CC19F7">
        <w:t>) om finansiering av CO</w:t>
      </w:r>
      <w:r w:rsidRPr="00CC19F7">
        <w:rPr>
          <w:rStyle w:val="skrift-senket"/>
        </w:rPr>
        <w:t>2</w:t>
      </w:r>
      <w:r w:rsidRPr="00CC19F7">
        <w:t xml:space="preserve">-fangstprosjektet på Klemetsrud i Oslo. </w:t>
      </w:r>
      <w:proofErr w:type="spellStart"/>
      <w:r w:rsidRPr="00CC19F7">
        <w:t>Celsio</w:t>
      </w:r>
      <w:proofErr w:type="spellEnd"/>
      <w:r w:rsidRPr="00CC19F7">
        <w:t xml:space="preserve"> begynte det fysiske arbeidet i august 2022. Prosjektet er kvalitetssikra i samsvar med prosjektmodellen til staten, og våren 2022 blei det gjennomført </w:t>
      </w:r>
      <w:proofErr w:type="spellStart"/>
      <w:r w:rsidRPr="00CC19F7">
        <w:t>ein</w:t>
      </w:r>
      <w:proofErr w:type="spellEnd"/>
      <w:r w:rsidRPr="00CC19F7">
        <w:t xml:space="preserve"> kvalitetssikring av styringsunderlag og </w:t>
      </w:r>
      <w:proofErr w:type="spellStart"/>
      <w:r w:rsidRPr="00CC19F7">
        <w:t>dessutan</w:t>
      </w:r>
      <w:proofErr w:type="spellEnd"/>
      <w:r w:rsidRPr="00CC19F7">
        <w:t xml:space="preserve"> kostnadsoverslag (KS2). </w:t>
      </w:r>
    </w:p>
    <w:p w14:paraId="7374DAAB" w14:textId="77777777" w:rsidR="00FE02EF" w:rsidRPr="00CC19F7" w:rsidRDefault="00881E58" w:rsidP="00CC19F7">
      <w:proofErr w:type="spellStart"/>
      <w:r w:rsidRPr="00CC19F7">
        <w:t>Celsio</w:t>
      </w:r>
      <w:proofErr w:type="spellEnd"/>
      <w:r w:rsidRPr="00CC19F7">
        <w:t xml:space="preserve"> brukte resten av 2022 til å sette i gang gjennomføringsfasen av prosjektet. </w:t>
      </w:r>
      <w:proofErr w:type="spellStart"/>
      <w:r w:rsidRPr="00CC19F7">
        <w:t>Celsio</w:t>
      </w:r>
      <w:proofErr w:type="spellEnd"/>
      <w:r w:rsidRPr="00CC19F7">
        <w:t xml:space="preserve"> varsla gjennom </w:t>
      </w:r>
      <w:proofErr w:type="spellStart"/>
      <w:r w:rsidRPr="00CC19F7">
        <w:t>hausten</w:t>
      </w:r>
      <w:proofErr w:type="spellEnd"/>
      <w:r w:rsidRPr="00CC19F7">
        <w:t xml:space="preserve"> om </w:t>
      </w:r>
      <w:proofErr w:type="spellStart"/>
      <w:r w:rsidRPr="00CC19F7">
        <w:t>vesentlege</w:t>
      </w:r>
      <w:proofErr w:type="spellEnd"/>
      <w:r w:rsidRPr="00CC19F7">
        <w:t xml:space="preserve"> </w:t>
      </w:r>
      <w:proofErr w:type="spellStart"/>
      <w:r w:rsidRPr="00CC19F7">
        <w:t>endringar</w:t>
      </w:r>
      <w:proofErr w:type="spellEnd"/>
      <w:r w:rsidRPr="00CC19F7">
        <w:t xml:space="preserve"> </w:t>
      </w:r>
      <w:proofErr w:type="spellStart"/>
      <w:r w:rsidRPr="00CC19F7">
        <w:t>frå</w:t>
      </w:r>
      <w:proofErr w:type="spellEnd"/>
      <w:r w:rsidRPr="00CC19F7">
        <w:t xml:space="preserve"> forprosjektet som </w:t>
      </w:r>
      <w:proofErr w:type="spellStart"/>
      <w:r w:rsidRPr="00CC19F7">
        <w:t>omfattar</w:t>
      </w:r>
      <w:proofErr w:type="spellEnd"/>
      <w:r w:rsidRPr="00CC19F7">
        <w:t xml:space="preserve"> </w:t>
      </w:r>
      <w:proofErr w:type="spellStart"/>
      <w:r w:rsidRPr="00CC19F7">
        <w:t>allereie</w:t>
      </w:r>
      <w:proofErr w:type="spellEnd"/>
      <w:r w:rsidRPr="00CC19F7">
        <w:t xml:space="preserve"> inngåtte </w:t>
      </w:r>
      <w:proofErr w:type="spellStart"/>
      <w:r w:rsidRPr="00CC19F7">
        <w:t>kontraktar</w:t>
      </w:r>
      <w:proofErr w:type="spellEnd"/>
      <w:r w:rsidRPr="00CC19F7">
        <w:t xml:space="preserve">, organisering og større tekniske </w:t>
      </w:r>
      <w:proofErr w:type="spellStart"/>
      <w:r w:rsidRPr="00CC19F7">
        <w:t>endringar</w:t>
      </w:r>
      <w:proofErr w:type="spellEnd"/>
      <w:r w:rsidRPr="00CC19F7">
        <w:t xml:space="preserve">. Gassnova vurderte prosjektet på Klemetsrud som umodent til å </w:t>
      </w:r>
      <w:proofErr w:type="spellStart"/>
      <w:r w:rsidRPr="00CC19F7">
        <w:t>vere</w:t>
      </w:r>
      <w:proofErr w:type="spellEnd"/>
      <w:r w:rsidRPr="00CC19F7">
        <w:t xml:space="preserve"> i </w:t>
      </w:r>
      <w:proofErr w:type="spellStart"/>
      <w:r w:rsidRPr="00CC19F7">
        <w:t>ein</w:t>
      </w:r>
      <w:proofErr w:type="spellEnd"/>
      <w:r w:rsidRPr="00CC19F7">
        <w:t xml:space="preserve"> gjennomføringsfase. Det var </w:t>
      </w:r>
      <w:proofErr w:type="spellStart"/>
      <w:r w:rsidRPr="00CC19F7">
        <w:t>betydeleg</w:t>
      </w:r>
      <w:proofErr w:type="spellEnd"/>
      <w:r w:rsidRPr="00CC19F7">
        <w:t xml:space="preserve"> </w:t>
      </w:r>
      <w:proofErr w:type="spellStart"/>
      <w:r w:rsidRPr="00CC19F7">
        <w:t>usikkerheit</w:t>
      </w:r>
      <w:proofErr w:type="spellEnd"/>
      <w:r w:rsidRPr="00CC19F7">
        <w:t xml:space="preserve"> på ei rekke område.</w:t>
      </w:r>
    </w:p>
    <w:p w14:paraId="64F5CDE7" w14:textId="77777777" w:rsidR="00FE02EF" w:rsidRPr="00CC19F7" w:rsidRDefault="00881E58" w:rsidP="00CC19F7">
      <w:r w:rsidRPr="00CC19F7">
        <w:t xml:space="preserve">Gassnova informerte 21. november 2022 </w:t>
      </w:r>
      <w:proofErr w:type="spellStart"/>
      <w:r w:rsidRPr="00CC19F7">
        <w:t>Celsio</w:t>
      </w:r>
      <w:proofErr w:type="spellEnd"/>
      <w:r w:rsidRPr="00CC19F7">
        <w:t xml:space="preserve"> om bekymringa </w:t>
      </w:r>
      <w:proofErr w:type="spellStart"/>
      <w:r w:rsidRPr="00CC19F7">
        <w:t>dei</w:t>
      </w:r>
      <w:proofErr w:type="spellEnd"/>
      <w:r w:rsidRPr="00CC19F7">
        <w:t xml:space="preserve"> hadde for </w:t>
      </w:r>
      <w:proofErr w:type="spellStart"/>
      <w:r w:rsidRPr="00CC19F7">
        <w:t>modenheita</w:t>
      </w:r>
      <w:proofErr w:type="spellEnd"/>
      <w:r w:rsidRPr="00CC19F7">
        <w:t xml:space="preserve">, framtidige kostnader og framdrift, og bad </w:t>
      </w:r>
      <w:proofErr w:type="spellStart"/>
      <w:r w:rsidRPr="00CC19F7">
        <w:t>Celsio</w:t>
      </w:r>
      <w:proofErr w:type="spellEnd"/>
      <w:r w:rsidRPr="00CC19F7">
        <w:t xml:space="preserve"> komme tilbake med </w:t>
      </w:r>
      <w:proofErr w:type="gramStart"/>
      <w:r w:rsidRPr="00CC19F7">
        <w:t>si eiga vurdering</w:t>
      </w:r>
      <w:proofErr w:type="gramEnd"/>
      <w:r w:rsidRPr="00CC19F7">
        <w:t xml:space="preserve"> og tiltak, mellom anna ei vurdering av om prosjektet bør </w:t>
      </w:r>
      <w:proofErr w:type="spellStart"/>
      <w:r w:rsidRPr="00CC19F7">
        <w:t>settast</w:t>
      </w:r>
      <w:proofErr w:type="spellEnd"/>
      <w:r w:rsidRPr="00CC19F7">
        <w:t xml:space="preserve"> på vent.</w:t>
      </w:r>
    </w:p>
    <w:p w14:paraId="44E8F374" w14:textId="77777777" w:rsidR="00FE02EF" w:rsidRPr="00CC19F7" w:rsidRDefault="00881E58" w:rsidP="00CC19F7">
      <w:r w:rsidRPr="00CC19F7">
        <w:t xml:space="preserve">I tillegg til den eksterne kvalitetssikringa gjennomførte DNV på oppdrag </w:t>
      </w:r>
      <w:proofErr w:type="spellStart"/>
      <w:r w:rsidRPr="00CC19F7">
        <w:t>frå</w:t>
      </w:r>
      <w:proofErr w:type="spellEnd"/>
      <w:r w:rsidRPr="00CC19F7">
        <w:t xml:space="preserve"> Gassnova </w:t>
      </w:r>
      <w:proofErr w:type="spellStart"/>
      <w:r w:rsidRPr="00CC19F7">
        <w:t>ein</w:t>
      </w:r>
      <w:proofErr w:type="spellEnd"/>
      <w:r w:rsidRPr="00CC19F7">
        <w:t xml:space="preserve"> revisjon av Brevik CCS, med vekt på prosjektleiing, organisasjon og </w:t>
      </w:r>
      <w:proofErr w:type="spellStart"/>
      <w:r w:rsidRPr="00CC19F7">
        <w:t>styrande</w:t>
      </w:r>
      <w:proofErr w:type="spellEnd"/>
      <w:r w:rsidRPr="00CC19F7">
        <w:t xml:space="preserve"> dokument. I 2023 vedtok Hafslund Oslo </w:t>
      </w:r>
      <w:proofErr w:type="spellStart"/>
      <w:r w:rsidRPr="00CC19F7">
        <w:t>Celsio</w:t>
      </w:r>
      <w:proofErr w:type="spellEnd"/>
      <w:r w:rsidRPr="00CC19F7">
        <w:t xml:space="preserve"> å sette prosjektet sitt på vent med </w:t>
      </w:r>
      <w:proofErr w:type="spellStart"/>
      <w:r w:rsidRPr="00CC19F7">
        <w:t>eitt</w:t>
      </w:r>
      <w:proofErr w:type="spellEnd"/>
      <w:r w:rsidRPr="00CC19F7">
        <w:t xml:space="preserve"> år for arbeidde med å redusere kostnadene.</w:t>
      </w:r>
    </w:p>
    <w:p w14:paraId="37D08F7E" w14:textId="77777777" w:rsidR="00FE02EF" w:rsidRPr="00CC19F7" w:rsidRDefault="00881E58" w:rsidP="00CC19F7">
      <w:pPr>
        <w:pStyle w:val="b-post"/>
      </w:pPr>
      <w:r w:rsidRPr="00CC19F7">
        <w:t>Post 71 Teknologisenter Mongstad</w:t>
      </w:r>
    </w:p>
    <w:p w14:paraId="571DB342" w14:textId="77777777" w:rsidR="00FE02EF" w:rsidRPr="00CC19F7" w:rsidRDefault="00881E58" w:rsidP="00CC19F7">
      <w:r w:rsidRPr="00CC19F7">
        <w:t xml:space="preserve">Det blir foreslått ei løyving på 90 mill. kroner, som skal dekke statens del av driftsutgiftene til Teknologisenter Mongstad (TCM). Reduksjonen </w:t>
      </w:r>
      <w:proofErr w:type="spellStart"/>
      <w:r w:rsidRPr="00CC19F7">
        <w:t>frå</w:t>
      </w:r>
      <w:proofErr w:type="spellEnd"/>
      <w:r w:rsidRPr="00CC19F7">
        <w:t xml:space="preserve"> Saldert budsjett 2023 har </w:t>
      </w:r>
      <w:proofErr w:type="spellStart"/>
      <w:r w:rsidRPr="00CC19F7">
        <w:t>samanheng</w:t>
      </w:r>
      <w:proofErr w:type="spellEnd"/>
      <w:r w:rsidRPr="00CC19F7">
        <w:t xml:space="preserve"> med </w:t>
      </w:r>
      <w:proofErr w:type="spellStart"/>
      <w:r w:rsidRPr="00CC19F7">
        <w:t>føresetnad</w:t>
      </w:r>
      <w:proofErr w:type="spellEnd"/>
      <w:r w:rsidRPr="00CC19F7">
        <w:t xml:space="preserve"> om at utgiftene til staten skal </w:t>
      </w:r>
      <w:proofErr w:type="spellStart"/>
      <w:r w:rsidRPr="00CC19F7">
        <w:t>reduserast</w:t>
      </w:r>
      <w:proofErr w:type="spellEnd"/>
      <w:r w:rsidRPr="00CC19F7">
        <w:t xml:space="preserve"> i 2024, at industrielle </w:t>
      </w:r>
      <w:proofErr w:type="spellStart"/>
      <w:r w:rsidRPr="00CC19F7">
        <w:t>eigarar</w:t>
      </w:r>
      <w:proofErr w:type="spellEnd"/>
      <w:r w:rsidRPr="00CC19F7">
        <w:t xml:space="preserve"> </w:t>
      </w:r>
      <w:proofErr w:type="spellStart"/>
      <w:r w:rsidRPr="00CC19F7">
        <w:t>bidreg</w:t>
      </w:r>
      <w:proofErr w:type="spellEnd"/>
      <w:r w:rsidRPr="00CC19F7">
        <w:t xml:space="preserve"> til å dekke </w:t>
      </w:r>
      <w:proofErr w:type="spellStart"/>
      <w:r w:rsidRPr="00CC19F7">
        <w:t>meir</w:t>
      </w:r>
      <w:proofErr w:type="spellEnd"/>
      <w:r w:rsidRPr="00CC19F7">
        <w:t xml:space="preserve"> av driftsutgiftene til TCM DA eller at brukerbetalinga </w:t>
      </w:r>
      <w:proofErr w:type="spellStart"/>
      <w:r w:rsidRPr="00CC19F7">
        <w:t>aukar</w:t>
      </w:r>
      <w:proofErr w:type="spellEnd"/>
      <w:r w:rsidRPr="00CC19F7">
        <w:t>.</w:t>
      </w:r>
    </w:p>
    <w:p w14:paraId="2972C6B1" w14:textId="77777777" w:rsidR="00FE02EF" w:rsidRPr="00CC19F7" w:rsidRDefault="00881E58" w:rsidP="00CC19F7">
      <w:r w:rsidRPr="00CC19F7">
        <w:t xml:space="preserve">Statens del av </w:t>
      </w:r>
      <w:proofErr w:type="spellStart"/>
      <w:r w:rsidRPr="00CC19F7">
        <w:t>investeringar</w:t>
      </w:r>
      <w:proofErr w:type="spellEnd"/>
      <w:r w:rsidRPr="00CC19F7">
        <w:t xml:space="preserve"> og </w:t>
      </w:r>
      <w:proofErr w:type="spellStart"/>
      <w:r w:rsidRPr="00CC19F7">
        <w:t>vidareutvikling</w:t>
      </w:r>
      <w:proofErr w:type="spellEnd"/>
      <w:r w:rsidRPr="00CC19F7">
        <w:t xml:space="preserve"> ved TCM blir dekt </w:t>
      </w:r>
      <w:proofErr w:type="spellStart"/>
      <w:r w:rsidRPr="00CC19F7">
        <w:t>frå</w:t>
      </w:r>
      <w:proofErr w:type="spellEnd"/>
      <w:r w:rsidRPr="00CC19F7">
        <w:t xml:space="preserve"> Fond for CO</w:t>
      </w:r>
      <w:r w:rsidRPr="00CC19F7">
        <w:rPr>
          <w:rStyle w:val="skrift-senket"/>
        </w:rPr>
        <w:t>2</w:t>
      </w:r>
      <w:r w:rsidRPr="00CC19F7">
        <w:t>-handtering.</w:t>
      </w:r>
    </w:p>
    <w:p w14:paraId="333D345E" w14:textId="77777777" w:rsidR="00FE02EF" w:rsidRPr="00CC19F7" w:rsidRDefault="00881E58" w:rsidP="00CC19F7">
      <w:proofErr w:type="spellStart"/>
      <w:r w:rsidRPr="00CC19F7">
        <w:t>Eigarane</w:t>
      </w:r>
      <w:proofErr w:type="spellEnd"/>
      <w:r w:rsidRPr="00CC19F7">
        <w:t xml:space="preserve"> i TCM DA, som står for drifta av testanlegga, er staten, </w:t>
      </w:r>
      <w:proofErr w:type="spellStart"/>
      <w:r w:rsidRPr="00CC19F7">
        <w:t>Equinor</w:t>
      </w:r>
      <w:proofErr w:type="spellEnd"/>
      <w:r w:rsidRPr="00CC19F7">
        <w:t xml:space="preserve">, Shell og </w:t>
      </w:r>
      <w:proofErr w:type="spellStart"/>
      <w:r w:rsidRPr="00CC19F7">
        <w:t>TotalEnergies</w:t>
      </w:r>
      <w:proofErr w:type="spellEnd"/>
      <w:r w:rsidRPr="00CC19F7">
        <w:t xml:space="preserve">. Gassnova, som tar vare på statens </w:t>
      </w:r>
      <w:proofErr w:type="spellStart"/>
      <w:r w:rsidRPr="00CC19F7">
        <w:t>eigardel</w:t>
      </w:r>
      <w:proofErr w:type="spellEnd"/>
      <w:r w:rsidRPr="00CC19F7">
        <w:t xml:space="preserve"> i TCM DA, </w:t>
      </w:r>
      <w:proofErr w:type="spellStart"/>
      <w:r w:rsidRPr="00CC19F7">
        <w:t>forhandlar</w:t>
      </w:r>
      <w:proofErr w:type="spellEnd"/>
      <w:r w:rsidRPr="00CC19F7">
        <w:t xml:space="preserve"> på vegner av staten med </w:t>
      </w:r>
      <w:proofErr w:type="spellStart"/>
      <w:r w:rsidRPr="00CC19F7">
        <w:t>dei</w:t>
      </w:r>
      <w:proofErr w:type="spellEnd"/>
      <w:r w:rsidRPr="00CC19F7">
        <w:t xml:space="preserve"> industrielle </w:t>
      </w:r>
      <w:proofErr w:type="spellStart"/>
      <w:r w:rsidRPr="00CC19F7">
        <w:t>eigarane</w:t>
      </w:r>
      <w:proofErr w:type="spellEnd"/>
      <w:r w:rsidRPr="00CC19F7">
        <w:t xml:space="preserve"> om å forlenge </w:t>
      </w:r>
      <w:proofErr w:type="spellStart"/>
      <w:r w:rsidRPr="00CC19F7">
        <w:t>deltakaravtalen</w:t>
      </w:r>
      <w:proofErr w:type="spellEnd"/>
      <w:r w:rsidRPr="00CC19F7">
        <w:t xml:space="preserve"> etter utgangen av 2023.</w:t>
      </w:r>
    </w:p>
    <w:p w14:paraId="4E0EB93D" w14:textId="77777777" w:rsidR="00FE02EF" w:rsidRPr="00CC19F7" w:rsidRDefault="00881E58" w:rsidP="00CC19F7">
      <w:r w:rsidRPr="00CC19F7">
        <w:t xml:space="preserve">TCM Assets AS, som </w:t>
      </w:r>
      <w:proofErr w:type="spellStart"/>
      <w:r w:rsidRPr="00CC19F7">
        <w:t>eig</w:t>
      </w:r>
      <w:proofErr w:type="spellEnd"/>
      <w:r w:rsidRPr="00CC19F7">
        <w:t xml:space="preserve"> anlegga ved teknologisenteret og betaler den kommunale </w:t>
      </w:r>
      <w:proofErr w:type="spellStart"/>
      <w:r w:rsidRPr="00CC19F7">
        <w:t>eigedomsskatten</w:t>
      </w:r>
      <w:proofErr w:type="spellEnd"/>
      <w:r w:rsidRPr="00CC19F7">
        <w:t xml:space="preserve">, er </w:t>
      </w:r>
      <w:proofErr w:type="spellStart"/>
      <w:r w:rsidRPr="00CC19F7">
        <w:t>eit</w:t>
      </w:r>
      <w:proofErr w:type="spellEnd"/>
      <w:r w:rsidRPr="00CC19F7">
        <w:t xml:space="preserve"> dotterselskap av Gassnova SF.</w:t>
      </w:r>
    </w:p>
    <w:p w14:paraId="25E530C1" w14:textId="77777777" w:rsidR="00FE02EF" w:rsidRPr="00CC19F7" w:rsidRDefault="00881E58" w:rsidP="00CC19F7">
      <w:pPr>
        <w:pStyle w:val="avsnitt-tittel"/>
      </w:pPr>
      <w:r w:rsidRPr="00CC19F7">
        <w:t xml:space="preserve">Mål og </w:t>
      </w:r>
      <w:proofErr w:type="spellStart"/>
      <w:r w:rsidRPr="00CC19F7">
        <w:t>aktivitetar</w:t>
      </w:r>
      <w:proofErr w:type="spellEnd"/>
    </w:p>
    <w:p w14:paraId="648C1C8D" w14:textId="77777777" w:rsidR="00FE02EF" w:rsidRPr="00CC19F7" w:rsidRDefault="00881E58" w:rsidP="00CC19F7">
      <w:r w:rsidRPr="00CC19F7">
        <w:t>TCM fremmer CO</w:t>
      </w:r>
      <w:r w:rsidRPr="00CC19F7">
        <w:rPr>
          <w:rStyle w:val="skrift-senket"/>
        </w:rPr>
        <w:t>2</w:t>
      </w:r>
      <w:r w:rsidRPr="00CC19F7">
        <w:t xml:space="preserve">-fangst som </w:t>
      </w:r>
      <w:proofErr w:type="spellStart"/>
      <w:r w:rsidRPr="00CC19F7">
        <w:t>verkemiddel</w:t>
      </w:r>
      <w:proofErr w:type="spellEnd"/>
      <w:r w:rsidRPr="00CC19F7">
        <w:t xml:space="preserve"> for ei </w:t>
      </w:r>
      <w:proofErr w:type="spellStart"/>
      <w:r w:rsidRPr="00CC19F7">
        <w:t>reinare</w:t>
      </w:r>
      <w:proofErr w:type="spellEnd"/>
      <w:r w:rsidRPr="00CC19F7">
        <w:t xml:space="preserve"> og </w:t>
      </w:r>
      <w:proofErr w:type="spellStart"/>
      <w:r w:rsidRPr="00CC19F7">
        <w:t>grønare</w:t>
      </w:r>
      <w:proofErr w:type="spellEnd"/>
      <w:r w:rsidRPr="00CC19F7">
        <w:t xml:space="preserve"> framtid, ved å bygge bru mellom </w:t>
      </w:r>
      <w:proofErr w:type="spellStart"/>
      <w:r w:rsidRPr="00CC19F7">
        <w:t>teknologiutviklarar</w:t>
      </w:r>
      <w:proofErr w:type="spellEnd"/>
      <w:r w:rsidRPr="00CC19F7">
        <w:t xml:space="preserve">, </w:t>
      </w:r>
      <w:proofErr w:type="spellStart"/>
      <w:r w:rsidRPr="00CC19F7">
        <w:t>vitskap</w:t>
      </w:r>
      <w:proofErr w:type="spellEnd"/>
      <w:r w:rsidRPr="00CC19F7">
        <w:t xml:space="preserve"> og industriell bruk av </w:t>
      </w:r>
      <w:proofErr w:type="spellStart"/>
      <w:r w:rsidRPr="00CC19F7">
        <w:t>teknologiar</w:t>
      </w:r>
      <w:proofErr w:type="spellEnd"/>
      <w:r w:rsidRPr="00CC19F7">
        <w:t xml:space="preserve"> for CO</w:t>
      </w:r>
      <w:r w:rsidRPr="00CC19F7">
        <w:rPr>
          <w:rStyle w:val="skrift-senket"/>
        </w:rPr>
        <w:t>2</w:t>
      </w:r>
      <w:r w:rsidRPr="00CC19F7">
        <w:t>-fangst.</w:t>
      </w:r>
    </w:p>
    <w:p w14:paraId="6E302F27" w14:textId="77777777" w:rsidR="00FE02EF" w:rsidRPr="00CC19F7" w:rsidRDefault="00881E58" w:rsidP="00CC19F7">
      <w:r w:rsidRPr="00CC19F7">
        <w:t xml:space="preserve">Den </w:t>
      </w:r>
      <w:proofErr w:type="spellStart"/>
      <w:r w:rsidRPr="00CC19F7">
        <w:t>viktigaste</w:t>
      </w:r>
      <w:proofErr w:type="spellEnd"/>
      <w:r w:rsidRPr="00CC19F7">
        <w:t xml:space="preserve"> </w:t>
      </w:r>
      <w:proofErr w:type="spellStart"/>
      <w:r w:rsidRPr="00CC19F7">
        <w:t>oppgåva</w:t>
      </w:r>
      <w:proofErr w:type="spellEnd"/>
      <w:r w:rsidRPr="00CC19F7">
        <w:t xml:space="preserve"> til teknologisenteret er å teste, verifisere og demonstrere ulike </w:t>
      </w:r>
      <w:proofErr w:type="spellStart"/>
      <w:r w:rsidRPr="00CC19F7">
        <w:t>teknologiar</w:t>
      </w:r>
      <w:proofErr w:type="spellEnd"/>
      <w:r w:rsidRPr="00CC19F7">
        <w:t xml:space="preserve"> for kostnadseffektiv og industriell CO</w:t>
      </w:r>
      <w:r w:rsidRPr="00CC19F7">
        <w:rPr>
          <w:rStyle w:val="skrift-senket"/>
        </w:rPr>
        <w:t>2</w:t>
      </w:r>
      <w:r w:rsidRPr="00CC19F7">
        <w:t>-fangst i full skala. Målet er å legge til rette for ei utbreiing av CO</w:t>
      </w:r>
      <w:r w:rsidRPr="00CC19F7">
        <w:rPr>
          <w:rStyle w:val="skrift-senket"/>
        </w:rPr>
        <w:t>2</w:t>
      </w:r>
      <w:r w:rsidRPr="00CC19F7">
        <w:t xml:space="preserve">-fangstteknologi i ulike </w:t>
      </w:r>
      <w:proofErr w:type="spellStart"/>
      <w:r w:rsidRPr="00CC19F7">
        <w:t>bransjar</w:t>
      </w:r>
      <w:proofErr w:type="spellEnd"/>
      <w:r w:rsidRPr="00CC19F7">
        <w:t xml:space="preserve"> og </w:t>
      </w:r>
      <w:proofErr w:type="spellStart"/>
      <w:r w:rsidRPr="00CC19F7">
        <w:t>industriar</w:t>
      </w:r>
      <w:proofErr w:type="spellEnd"/>
      <w:r w:rsidRPr="00CC19F7">
        <w:t>.</w:t>
      </w:r>
    </w:p>
    <w:p w14:paraId="498DD484" w14:textId="77777777" w:rsidR="00FE02EF" w:rsidRPr="00CC19F7" w:rsidRDefault="00881E58" w:rsidP="00CC19F7">
      <w:r w:rsidRPr="00CC19F7">
        <w:t xml:space="preserve">Dersom </w:t>
      </w:r>
      <w:proofErr w:type="spellStart"/>
      <w:r w:rsidRPr="00CC19F7">
        <w:t>deltakaravtalen</w:t>
      </w:r>
      <w:proofErr w:type="spellEnd"/>
      <w:r w:rsidRPr="00CC19F7">
        <w:t xml:space="preserve"> blir </w:t>
      </w:r>
      <w:proofErr w:type="spellStart"/>
      <w:r w:rsidRPr="00CC19F7">
        <w:t>vidareført</w:t>
      </w:r>
      <w:proofErr w:type="spellEnd"/>
      <w:r w:rsidRPr="00CC19F7">
        <w:t xml:space="preserve">, vil Gassnova mellom anna arbeide med </w:t>
      </w:r>
      <w:proofErr w:type="spellStart"/>
      <w:r w:rsidRPr="00CC19F7">
        <w:t>følgande</w:t>
      </w:r>
      <w:proofErr w:type="spellEnd"/>
      <w:r w:rsidRPr="00CC19F7">
        <w:t xml:space="preserve"> </w:t>
      </w:r>
      <w:proofErr w:type="spellStart"/>
      <w:r w:rsidRPr="00CC19F7">
        <w:t>aktivitetar</w:t>
      </w:r>
      <w:proofErr w:type="spellEnd"/>
      <w:r w:rsidRPr="00CC19F7">
        <w:t>:</w:t>
      </w:r>
    </w:p>
    <w:p w14:paraId="611EB4C7" w14:textId="77777777" w:rsidR="00FE02EF" w:rsidRPr="00CC19F7" w:rsidRDefault="00881E58" w:rsidP="00CC19F7">
      <w:pPr>
        <w:pStyle w:val="Liste"/>
      </w:pPr>
      <w:r w:rsidRPr="00CC19F7">
        <w:t xml:space="preserve">legge til rette for at statens deltaking i teknologisenteret blir </w:t>
      </w:r>
      <w:proofErr w:type="spellStart"/>
      <w:r w:rsidRPr="00CC19F7">
        <w:t>nyttiggjord</w:t>
      </w:r>
      <w:proofErr w:type="spellEnd"/>
      <w:r w:rsidRPr="00CC19F7">
        <w:t xml:space="preserve"> best </w:t>
      </w:r>
      <w:proofErr w:type="spellStart"/>
      <w:r w:rsidRPr="00CC19F7">
        <w:t>mogleg</w:t>
      </w:r>
      <w:proofErr w:type="spellEnd"/>
      <w:r w:rsidRPr="00CC19F7">
        <w:t xml:space="preserve"> gjennom å </w:t>
      </w:r>
      <w:proofErr w:type="spellStart"/>
      <w:r w:rsidRPr="00CC19F7">
        <w:t>spreie</w:t>
      </w:r>
      <w:proofErr w:type="spellEnd"/>
      <w:r w:rsidRPr="00CC19F7">
        <w:t xml:space="preserve"> kunnskap og teknologi, slik at kostnader og risiko ved fullskala CO</w:t>
      </w:r>
      <w:r w:rsidRPr="00CC19F7">
        <w:rPr>
          <w:rStyle w:val="skrift-senket"/>
        </w:rPr>
        <w:t>2</w:t>
      </w:r>
      <w:r w:rsidRPr="00CC19F7">
        <w:t xml:space="preserve">-fangst kan </w:t>
      </w:r>
      <w:proofErr w:type="spellStart"/>
      <w:r w:rsidRPr="00CC19F7">
        <w:t>reduserast</w:t>
      </w:r>
      <w:proofErr w:type="spellEnd"/>
    </w:p>
    <w:p w14:paraId="720A148D" w14:textId="77777777" w:rsidR="00FE02EF" w:rsidRPr="00CC19F7" w:rsidRDefault="00881E58" w:rsidP="00CC19F7">
      <w:pPr>
        <w:pStyle w:val="Liste"/>
      </w:pPr>
      <w:r w:rsidRPr="00CC19F7">
        <w:t xml:space="preserve">rekruttere nye </w:t>
      </w:r>
      <w:proofErr w:type="spellStart"/>
      <w:r w:rsidRPr="00CC19F7">
        <w:t>aktørar</w:t>
      </w:r>
      <w:proofErr w:type="spellEnd"/>
      <w:r w:rsidRPr="00CC19F7">
        <w:t xml:space="preserve"> for gjennomføring av </w:t>
      </w:r>
      <w:proofErr w:type="spellStart"/>
      <w:r w:rsidRPr="00CC19F7">
        <w:t>testkampanjar</w:t>
      </w:r>
      <w:proofErr w:type="spellEnd"/>
    </w:p>
    <w:p w14:paraId="07C35266" w14:textId="77777777" w:rsidR="00FE02EF" w:rsidRPr="00CC19F7" w:rsidRDefault="00881E58" w:rsidP="00CC19F7">
      <w:pPr>
        <w:pStyle w:val="Liste"/>
      </w:pPr>
      <w:r w:rsidRPr="00CC19F7">
        <w:t>legge til rette for langsiktig og god utnytting av anlegga</w:t>
      </w:r>
    </w:p>
    <w:p w14:paraId="6B3CB931" w14:textId="77777777" w:rsidR="00FE02EF" w:rsidRPr="00CC19F7" w:rsidRDefault="00881E58" w:rsidP="00CC19F7">
      <w:pPr>
        <w:pStyle w:val="Liste"/>
      </w:pPr>
      <w:r w:rsidRPr="00CC19F7">
        <w:t>følge opp avtaleverket for TCM, mellom anna ta vare på statens interesser i TCM</w:t>
      </w:r>
    </w:p>
    <w:p w14:paraId="1399781A" w14:textId="77777777" w:rsidR="00FE02EF" w:rsidRPr="00CC19F7" w:rsidRDefault="00881E58" w:rsidP="00CC19F7">
      <w:pPr>
        <w:pStyle w:val="avsnitt-tittel"/>
      </w:pPr>
      <w:r w:rsidRPr="00CC19F7">
        <w:t>Resultat 2022</w:t>
      </w:r>
    </w:p>
    <w:p w14:paraId="01A1351F" w14:textId="77777777" w:rsidR="00FE02EF" w:rsidRPr="00CC19F7" w:rsidRDefault="00881E58" w:rsidP="00CC19F7">
      <w:r w:rsidRPr="00CC19F7">
        <w:t xml:space="preserve">Formidling av kunnskap om </w:t>
      </w:r>
      <w:proofErr w:type="spellStart"/>
      <w:r w:rsidRPr="00CC19F7">
        <w:t>teknologiar</w:t>
      </w:r>
      <w:proofErr w:type="spellEnd"/>
      <w:r w:rsidRPr="00CC19F7">
        <w:t xml:space="preserve"> for CO</w:t>
      </w:r>
      <w:r w:rsidRPr="00CC19F7">
        <w:rPr>
          <w:rStyle w:val="skrift-senket"/>
        </w:rPr>
        <w:t>2</w:t>
      </w:r>
      <w:r w:rsidRPr="00CC19F7">
        <w:t xml:space="preserve">-fangst er </w:t>
      </w:r>
      <w:proofErr w:type="spellStart"/>
      <w:r w:rsidRPr="00CC19F7">
        <w:t>ein</w:t>
      </w:r>
      <w:proofErr w:type="spellEnd"/>
      <w:r w:rsidRPr="00CC19F7">
        <w:t xml:space="preserve"> viktig del av oppdraget til TCM. TCM og </w:t>
      </w:r>
      <w:proofErr w:type="spellStart"/>
      <w:r w:rsidRPr="00CC19F7">
        <w:t>samarbeidspartnarar</w:t>
      </w:r>
      <w:proofErr w:type="spellEnd"/>
      <w:r w:rsidRPr="00CC19F7">
        <w:t xml:space="preserve"> har i 2022 publisert elleve </w:t>
      </w:r>
      <w:proofErr w:type="spellStart"/>
      <w:r w:rsidRPr="00CC19F7">
        <w:t>vitskaplege</w:t>
      </w:r>
      <w:proofErr w:type="spellEnd"/>
      <w:r w:rsidRPr="00CC19F7">
        <w:t xml:space="preserve"> </w:t>
      </w:r>
      <w:proofErr w:type="spellStart"/>
      <w:r w:rsidRPr="00CC19F7">
        <w:t>artiklar</w:t>
      </w:r>
      <w:proofErr w:type="spellEnd"/>
      <w:r w:rsidRPr="00CC19F7">
        <w:t xml:space="preserve"> med resultat </w:t>
      </w:r>
      <w:proofErr w:type="spellStart"/>
      <w:r w:rsidRPr="00CC19F7">
        <w:t>frå</w:t>
      </w:r>
      <w:proofErr w:type="spellEnd"/>
      <w:r w:rsidRPr="00CC19F7">
        <w:t xml:space="preserve"> testinga på TCM. I tillegg har TCM </w:t>
      </w:r>
      <w:proofErr w:type="spellStart"/>
      <w:r w:rsidRPr="00CC19F7">
        <w:t>vore</w:t>
      </w:r>
      <w:proofErr w:type="spellEnd"/>
      <w:r w:rsidRPr="00CC19F7">
        <w:t xml:space="preserve"> representert på ei rekke internasjonale </w:t>
      </w:r>
      <w:proofErr w:type="spellStart"/>
      <w:r w:rsidRPr="00CC19F7">
        <w:t>webinar</w:t>
      </w:r>
      <w:proofErr w:type="spellEnd"/>
      <w:r w:rsidRPr="00CC19F7">
        <w:t xml:space="preserve"> og </w:t>
      </w:r>
      <w:proofErr w:type="spellStart"/>
      <w:r w:rsidRPr="00CC19F7">
        <w:t>konferansar</w:t>
      </w:r>
      <w:proofErr w:type="spellEnd"/>
      <w:r w:rsidRPr="00CC19F7">
        <w:t xml:space="preserve">. </w:t>
      </w:r>
      <w:proofErr w:type="spellStart"/>
      <w:r w:rsidRPr="00CC19F7">
        <w:t>Elles</w:t>
      </w:r>
      <w:proofErr w:type="spellEnd"/>
      <w:r w:rsidRPr="00CC19F7">
        <w:t xml:space="preserve"> har TCM tatt imot mange </w:t>
      </w:r>
      <w:proofErr w:type="spellStart"/>
      <w:r w:rsidRPr="00CC19F7">
        <w:t>delegasjonar</w:t>
      </w:r>
      <w:proofErr w:type="spellEnd"/>
      <w:r w:rsidRPr="00CC19F7">
        <w:t xml:space="preserve"> som ønsker å oppleve </w:t>
      </w:r>
      <w:proofErr w:type="spellStart"/>
      <w:r w:rsidRPr="00CC19F7">
        <w:t>testfasilitetane</w:t>
      </w:r>
      <w:proofErr w:type="spellEnd"/>
      <w:r w:rsidRPr="00CC19F7">
        <w:t xml:space="preserve"> på Mongstad.</w:t>
      </w:r>
    </w:p>
    <w:p w14:paraId="207F982B" w14:textId="77777777" w:rsidR="00FE02EF" w:rsidRPr="00CC19F7" w:rsidRDefault="00881E58" w:rsidP="00CC19F7">
      <w:r w:rsidRPr="00CC19F7">
        <w:t xml:space="preserve">Som </w:t>
      </w:r>
      <w:proofErr w:type="spellStart"/>
      <w:r w:rsidRPr="00CC19F7">
        <w:t>ein</w:t>
      </w:r>
      <w:proofErr w:type="spellEnd"/>
      <w:r w:rsidRPr="00CC19F7">
        <w:t xml:space="preserve"> del av </w:t>
      </w:r>
      <w:proofErr w:type="spellStart"/>
      <w:r w:rsidRPr="00CC19F7">
        <w:t>TCMs</w:t>
      </w:r>
      <w:proofErr w:type="spellEnd"/>
      <w:r w:rsidRPr="00CC19F7">
        <w:t xml:space="preserve"> kunnskapsformidling er det </w:t>
      </w:r>
      <w:proofErr w:type="spellStart"/>
      <w:r w:rsidRPr="00CC19F7">
        <w:t>dei</w:t>
      </w:r>
      <w:proofErr w:type="spellEnd"/>
      <w:r w:rsidRPr="00CC19F7">
        <w:t xml:space="preserve"> </w:t>
      </w:r>
      <w:proofErr w:type="spellStart"/>
      <w:r w:rsidRPr="00CC19F7">
        <w:t>seinare</w:t>
      </w:r>
      <w:proofErr w:type="spellEnd"/>
      <w:r w:rsidRPr="00CC19F7">
        <w:t xml:space="preserve"> åra utvikla </w:t>
      </w:r>
      <w:proofErr w:type="spellStart"/>
      <w:r w:rsidRPr="00CC19F7">
        <w:t>rådgivingstenester</w:t>
      </w:r>
      <w:proofErr w:type="spellEnd"/>
      <w:r w:rsidRPr="00CC19F7">
        <w:t xml:space="preserve"> retta mot </w:t>
      </w:r>
      <w:proofErr w:type="spellStart"/>
      <w:r w:rsidRPr="00CC19F7">
        <w:t>prosjekteigarar</w:t>
      </w:r>
      <w:proofErr w:type="spellEnd"/>
      <w:r w:rsidRPr="00CC19F7">
        <w:t xml:space="preserve"> og </w:t>
      </w:r>
      <w:proofErr w:type="spellStart"/>
      <w:r w:rsidRPr="00CC19F7">
        <w:t>utviklarar</w:t>
      </w:r>
      <w:proofErr w:type="spellEnd"/>
      <w:r w:rsidRPr="00CC19F7">
        <w:t xml:space="preserve">. Formålet er å </w:t>
      </w:r>
      <w:proofErr w:type="spellStart"/>
      <w:r w:rsidRPr="00CC19F7">
        <w:t>gjere</w:t>
      </w:r>
      <w:proofErr w:type="spellEnd"/>
      <w:r w:rsidRPr="00CC19F7">
        <w:t xml:space="preserve"> </w:t>
      </w:r>
      <w:proofErr w:type="spellStart"/>
      <w:r w:rsidRPr="00CC19F7">
        <w:t>kundane</w:t>
      </w:r>
      <w:proofErr w:type="spellEnd"/>
      <w:r w:rsidRPr="00CC19F7">
        <w:t xml:space="preserve"> betre rusta til å løyse </w:t>
      </w:r>
      <w:proofErr w:type="spellStart"/>
      <w:r w:rsidRPr="00CC19F7">
        <w:t>utfordringar</w:t>
      </w:r>
      <w:proofErr w:type="spellEnd"/>
      <w:r w:rsidRPr="00CC19F7">
        <w:t xml:space="preserve"> ved CO</w:t>
      </w:r>
      <w:r w:rsidRPr="00CC19F7">
        <w:rPr>
          <w:rStyle w:val="skrift-senket"/>
        </w:rPr>
        <w:t>2</w:t>
      </w:r>
      <w:r w:rsidRPr="00CC19F7">
        <w:t xml:space="preserve">-handtering. På referanselista til TCM, som </w:t>
      </w:r>
      <w:proofErr w:type="spellStart"/>
      <w:r w:rsidRPr="00CC19F7">
        <w:t>omfattar</w:t>
      </w:r>
      <w:proofErr w:type="spellEnd"/>
      <w:r w:rsidRPr="00CC19F7">
        <w:t xml:space="preserve"> 19 </w:t>
      </w:r>
      <w:proofErr w:type="spellStart"/>
      <w:r w:rsidRPr="00CC19F7">
        <w:t>kundar</w:t>
      </w:r>
      <w:proofErr w:type="spellEnd"/>
      <w:r w:rsidRPr="00CC19F7">
        <w:t xml:space="preserve">, er mellom anna </w:t>
      </w:r>
      <w:proofErr w:type="spellStart"/>
      <w:r w:rsidRPr="00CC19F7">
        <w:t>dei</w:t>
      </w:r>
      <w:proofErr w:type="spellEnd"/>
      <w:r w:rsidRPr="00CC19F7">
        <w:t xml:space="preserve"> to norske prosjekta Brevik CCS og anlegget på Klemetsrud.</w:t>
      </w:r>
    </w:p>
    <w:p w14:paraId="59FD5C0C" w14:textId="77777777" w:rsidR="00FE02EF" w:rsidRPr="00CC19F7" w:rsidRDefault="00881E58" w:rsidP="00CC19F7">
      <w:r w:rsidRPr="00CC19F7">
        <w:t xml:space="preserve">I 2022 gjennomførte TCM </w:t>
      </w:r>
      <w:proofErr w:type="spellStart"/>
      <w:r w:rsidRPr="00CC19F7">
        <w:t>eit</w:t>
      </w:r>
      <w:proofErr w:type="spellEnd"/>
      <w:r w:rsidRPr="00CC19F7">
        <w:t xml:space="preserve"> testprogram kombinert med ombygging av aminanlegget der Research </w:t>
      </w:r>
      <w:proofErr w:type="spellStart"/>
      <w:r w:rsidRPr="00CC19F7">
        <w:t>Triangle</w:t>
      </w:r>
      <w:proofErr w:type="spellEnd"/>
      <w:r w:rsidRPr="00CC19F7">
        <w:t xml:space="preserve"> </w:t>
      </w:r>
      <w:proofErr w:type="spellStart"/>
      <w:r w:rsidRPr="00CC19F7">
        <w:t>Institute</w:t>
      </w:r>
      <w:proofErr w:type="spellEnd"/>
      <w:r w:rsidRPr="00CC19F7">
        <w:t xml:space="preserve"> (RTI) – med støtte </w:t>
      </w:r>
      <w:proofErr w:type="spellStart"/>
      <w:r w:rsidRPr="00CC19F7">
        <w:t>frå</w:t>
      </w:r>
      <w:proofErr w:type="spellEnd"/>
      <w:r w:rsidRPr="00CC19F7">
        <w:t xml:space="preserve"> det amerikanske energiforskingsprogrammet – testa NAS-basert (Non-</w:t>
      </w:r>
      <w:proofErr w:type="spellStart"/>
      <w:r w:rsidRPr="00CC19F7">
        <w:t>Aqueous</w:t>
      </w:r>
      <w:proofErr w:type="spellEnd"/>
      <w:r w:rsidRPr="00CC19F7">
        <w:t xml:space="preserve"> Solvent) CO</w:t>
      </w:r>
      <w:r w:rsidRPr="00CC19F7">
        <w:rPr>
          <w:rStyle w:val="skrift-senket"/>
        </w:rPr>
        <w:t>2</w:t>
      </w:r>
      <w:r w:rsidRPr="00CC19F7">
        <w:t>-fangstteknologi.</w:t>
      </w:r>
    </w:p>
    <w:p w14:paraId="67C12710" w14:textId="77777777" w:rsidR="00FE02EF" w:rsidRPr="00CC19F7" w:rsidRDefault="00881E58" w:rsidP="00CC19F7">
      <w:r w:rsidRPr="00CC19F7">
        <w:t xml:space="preserve">I 2021 starta testaktiviteten på pilotområdet «Site for </w:t>
      </w:r>
      <w:proofErr w:type="spellStart"/>
      <w:r w:rsidRPr="00CC19F7">
        <w:t>Emerging</w:t>
      </w:r>
      <w:proofErr w:type="spellEnd"/>
      <w:r w:rsidRPr="00CC19F7">
        <w:t xml:space="preserve"> Technologies», med </w:t>
      </w:r>
      <w:proofErr w:type="spellStart"/>
      <w:r w:rsidRPr="00CC19F7">
        <w:t>konteinarbaserte</w:t>
      </w:r>
      <w:proofErr w:type="spellEnd"/>
      <w:r w:rsidRPr="00CC19F7">
        <w:t xml:space="preserve"> </w:t>
      </w:r>
      <w:proofErr w:type="spellStart"/>
      <w:r w:rsidRPr="00CC19F7">
        <w:t>testeiningar</w:t>
      </w:r>
      <w:proofErr w:type="spellEnd"/>
      <w:r w:rsidRPr="00CC19F7">
        <w:t xml:space="preserve"> for </w:t>
      </w:r>
      <w:proofErr w:type="spellStart"/>
      <w:r w:rsidRPr="00CC19F7">
        <w:t>leverandørar</w:t>
      </w:r>
      <w:proofErr w:type="spellEnd"/>
      <w:r w:rsidRPr="00CC19F7">
        <w:t xml:space="preserve"> med mindre modne eller modulære </w:t>
      </w:r>
      <w:proofErr w:type="spellStart"/>
      <w:r w:rsidRPr="00CC19F7">
        <w:t>fangstteknologiar</w:t>
      </w:r>
      <w:proofErr w:type="spellEnd"/>
      <w:r w:rsidRPr="00CC19F7">
        <w:t xml:space="preserve">. Amerikanske TDA og MTR fullførte </w:t>
      </w:r>
      <w:proofErr w:type="spellStart"/>
      <w:r w:rsidRPr="00CC19F7">
        <w:t>testkampanjane</w:t>
      </w:r>
      <w:proofErr w:type="spellEnd"/>
      <w:r w:rsidRPr="00CC19F7">
        <w:t xml:space="preserve"> sine i 2022.</w:t>
      </w:r>
    </w:p>
    <w:p w14:paraId="78048C24" w14:textId="77777777" w:rsidR="00FE02EF" w:rsidRPr="00CC19F7" w:rsidRDefault="00881E58" w:rsidP="00CC19F7">
      <w:r w:rsidRPr="00CC19F7">
        <w:t xml:space="preserve">TCM har </w:t>
      </w:r>
      <w:proofErr w:type="spellStart"/>
      <w:r w:rsidRPr="00CC19F7">
        <w:t>arbeidd</w:t>
      </w:r>
      <w:proofErr w:type="spellEnd"/>
      <w:r w:rsidRPr="00CC19F7">
        <w:t xml:space="preserve"> systematisk for å </w:t>
      </w:r>
      <w:proofErr w:type="spellStart"/>
      <w:r w:rsidRPr="00CC19F7">
        <w:t>auke</w:t>
      </w:r>
      <w:proofErr w:type="spellEnd"/>
      <w:r w:rsidRPr="00CC19F7">
        <w:t xml:space="preserve"> bidraga </w:t>
      </w:r>
      <w:proofErr w:type="spellStart"/>
      <w:r w:rsidRPr="00CC19F7">
        <w:t>frå</w:t>
      </w:r>
      <w:proofErr w:type="spellEnd"/>
      <w:r w:rsidRPr="00CC19F7">
        <w:t xml:space="preserve"> </w:t>
      </w:r>
      <w:proofErr w:type="spellStart"/>
      <w:r w:rsidRPr="00CC19F7">
        <w:t>aktørar</w:t>
      </w:r>
      <w:proofErr w:type="spellEnd"/>
      <w:r w:rsidRPr="00CC19F7">
        <w:t xml:space="preserve"> som bruker testanlegget, og med det redusere </w:t>
      </w:r>
      <w:proofErr w:type="spellStart"/>
      <w:r w:rsidRPr="00CC19F7">
        <w:t>eigarfinansieringa</w:t>
      </w:r>
      <w:proofErr w:type="spellEnd"/>
      <w:r w:rsidRPr="00CC19F7">
        <w:t xml:space="preserve"> av TCM DA. </w:t>
      </w:r>
      <w:proofErr w:type="spellStart"/>
      <w:r w:rsidRPr="00CC19F7">
        <w:t>Eigarane</w:t>
      </w:r>
      <w:proofErr w:type="spellEnd"/>
      <w:r w:rsidRPr="00CC19F7">
        <w:t xml:space="preserve"> ved TCM har hatt stort </w:t>
      </w:r>
      <w:proofErr w:type="gramStart"/>
      <w:r w:rsidRPr="00CC19F7">
        <w:t>fokus</w:t>
      </w:r>
      <w:proofErr w:type="gramEnd"/>
      <w:r w:rsidRPr="00CC19F7">
        <w:t xml:space="preserve"> på dette i 2022, og </w:t>
      </w:r>
      <w:proofErr w:type="spellStart"/>
      <w:r w:rsidRPr="00CC19F7">
        <w:t>saman</w:t>
      </w:r>
      <w:proofErr w:type="spellEnd"/>
      <w:r w:rsidRPr="00CC19F7">
        <w:t xml:space="preserve"> med TCM har </w:t>
      </w:r>
      <w:proofErr w:type="spellStart"/>
      <w:r w:rsidRPr="00CC19F7">
        <w:t>ein</w:t>
      </w:r>
      <w:proofErr w:type="spellEnd"/>
      <w:r w:rsidRPr="00CC19F7">
        <w:t xml:space="preserve"> sett på ulike scenario for å </w:t>
      </w:r>
      <w:proofErr w:type="spellStart"/>
      <w:r w:rsidRPr="00CC19F7">
        <w:t>auke</w:t>
      </w:r>
      <w:proofErr w:type="spellEnd"/>
      <w:r w:rsidRPr="00CC19F7">
        <w:t xml:space="preserve"> inntektene. TCM har effektivisert driftsmodellen og redusert driftskostnadene. I 2022 har </w:t>
      </w:r>
      <w:proofErr w:type="spellStart"/>
      <w:r w:rsidRPr="00CC19F7">
        <w:t>dei</w:t>
      </w:r>
      <w:proofErr w:type="spellEnd"/>
      <w:r w:rsidRPr="00CC19F7">
        <w:t xml:space="preserve"> </w:t>
      </w:r>
      <w:proofErr w:type="spellStart"/>
      <w:r w:rsidRPr="00CC19F7">
        <w:t>følgt</w:t>
      </w:r>
      <w:proofErr w:type="spellEnd"/>
      <w:r w:rsidRPr="00CC19F7">
        <w:t xml:space="preserve"> driftsbudsjettet, trass i svært høge </w:t>
      </w:r>
      <w:proofErr w:type="spellStart"/>
      <w:r w:rsidRPr="00CC19F7">
        <w:t>energiprisar</w:t>
      </w:r>
      <w:proofErr w:type="spellEnd"/>
      <w:r w:rsidRPr="00CC19F7">
        <w:t>.</w:t>
      </w:r>
    </w:p>
    <w:p w14:paraId="61814088" w14:textId="77777777" w:rsidR="00FE02EF" w:rsidRPr="00CC19F7" w:rsidRDefault="00881E58" w:rsidP="00CC19F7">
      <w:pPr>
        <w:pStyle w:val="b-post"/>
      </w:pPr>
      <w:r w:rsidRPr="00CC19F7">
        <w:t>Post 72 Langskip – fangst og lagring av CO</w:t>
      </w:r>
      <w:r w:rsidRPr="00CC19F7">
        <w:rPr>
          <w:rStyle w:val="skrift-senket"/>
        </w:rPr>
        <w:t>2</w:t>
      </w:r>
      <w:r w:rsidRPr="00CC19F7">
        <w:t xml:space="preserve">, kan </w:t>
      </w:r>
      <w:proofErr w:type="spellStart"/>
      <w:r w:rsidRPr="00CC19F7">
        <w:t>overførast</w:t>
      </w:r>
      <w:proofErr w:type="spellEnd"/>
    </w:p>
    <w:p w14:paraId="36957A32" w14:textId="77777777" w:rsidR="00FE02EF" w:rsidRPr="00CC19F7" w:rsidRDefault="00881E58" w:rsidP="00CC19F7">
      <w:r w:rsidRPr="00CC19F7">
        <w:t>Det blir foreslått ei løyving på 2 600 mill. kroner til Langskip, som består av CO</w:t>
      </w:r>
      <w:r w:rsidRPr="00CC19F7">
        <w:rPr>
          <w:rStyle w:val="skrift-senket"/>
        </w:rPr>
        <w:t>2</w:t>
      </w:r>
      <w:r w:rsidRPr="00CC19F7">
        <w:t>-fangstprosjekt på sementfabrikken til Heidelberg Materials (</w:t>
      </w:r>
      <w:proofErr w:type="spellStart"/>
      <w:r w:rsidRPr="00CC19F7">
        <w:t>tidlegare</w:t>
      </w:r>
      <w:proofErr w:type="spellEnd"/>
      <w:r w:rsidRPr="00CC19F7">
        <w:t xml:space="preserve"> Norcem) i Brevik og på avfallsforbrenningsanlegget til Hafslund Oslo </w:t>
      </w:r>
      <w:proofErr w:type="spellStart"/>
      <w:r w:rsidRPr="00CC19F7">
        <w:t>Celsio</w:t>
      </w:r>
      <w:proofErr w:type="spellEnd"/>
      <w:r w:rsidRPr="00CC19F7">
        <w:t xml:space="preserve"> på Klemetsrud, og i tillegg transport og lagring av CO</w:t>
      </w:r>
      <w:r w:rsidRPr="00CC19F7">
        <w:rPr>
          <w:rStyle w:val="skrift-senket"/>
        </w:rPr>
        <w:t>2</w:t>
      </w:r>
      <w:r w:rsidRPr="00CC19F7">
        <w:t xml:space="preserve"> på kontinentalsokkelen ved Northern </w:t>
      </w:r>
      <w:proofErr w:type="spellStart"/>
      <w:r w:rsidRPr="00CC19F7">
        <w:t>Lights</w:t>
      </w:r>
      <w:proofErr w:type="spellEnd"/>
      <w:r w:rsidRPr="00CC19F7">
        <w:t xml:space="preserve">, </w:t>
      </w:r>
      <w:proofErr w:type="spellStart"/>
      <w:r w:rsidRPr="00CC19F7">
        <w:t>eit</w:t>
      </w:r>
      <w:proofErr w:type="spellEnd"/>
      <w:r w:rsidRPr="00CC19F7">
        <w:t xml:space="preserve"> samarbeid mellom </w:t>
      </w:r>
      <w:proofErr w:type="spellStart"/>
      <w:r w:rsidRPr="00CC19F7">
        <w:t>Equinor</w:t>
      </w:r>
      <w:proofErr w:type="spellEnd"/>
      <w:r w:rsidRPr="00CC19F7">
        <w:t xml:space="preserve">, </w:t>
      </w:r>
      <w:proofErr w:type="spellStart"/>
      <w:r w:rsidRPr="00CC19F7">
        <w:t>TotalEnergies</w:t>
      </w:r>
      <w:proofErr w:type="spellEnd"/>
      <w:r w:rsidRPr="00CC19F7">
        <w:t xml:space="preserve"> og Shell.</w:t>
      </w:r>
    </w:p>
    <w:p w14:paraId="1F7DB35F" w14:textId="77777777" w:rsidR="00FE02EF" w:rsidRPr="00CC19F7" w:rsidRDefault="00881E58" w:rsidP="00CC19F7">
      <w:r w:rsidRPr="00CC19F7">
        <w:t xml:space="preserve">I 2024 skal Northern </w:t>
      </w:r>
      <w:proofErr w:type="spellStart"/>
      <w:r w:rsidRPr="00CC19F7">
        <w:t>Lights</w:t>
      </w:r>
      <w:proofErr w:type="spellEnd"/>
      <w:r w:rsidRPr="00CC19F7">
        <w:t xml:space="preserve"> ferdigstille landanlegget i Øygarden, trekke inn </w:t>
      </w:r>
      <w:proofErr w:type="spellStart"/>
      <w:r w:rsidRPr="00CC19F7">
        <w:t>injeksjonsrøyret</w:t>
      </w:r>
      <w:proofErr w:type="spellEnd"/>
      <w:r w:rsidRPr="00CC19F7">
        <w:t xml:space="preserve"> til landanlegget, og ferdigstille to skip. Heidelberg Materials skal </w:t>
      </w:r>
      <w:proofErr w:type="spellStart"/>
      <w:r w:rsidRPr="00CC19F7">
        <w:t>halde</w:t>
      </w:r>
      <w:proofErr w:type="spellEnd"/>
      <w:r w:rsidRPr="00CC19F7">
        <w:t xml:space="preserve"> fram installasjonen av fangstanlegget, og mellom anna montere CO</w:t>
      </w:r>
      <w:r w:rsidRPr="00CC19F7">
        <w:rPr>
          <w:rStyle w:val="skrift-senket"/>
        </w:rPr>
        <w:t>2</w:t>
      </w:r>
      <w:r w:rsidRPr="00CC19F7">
        <w:t xml:space="preserve">-kompressor og integrasjon med sementfabrikken, arbeide på hamna og </w:t>
      </w:r>
      <w:proofErr w:type="spellStart"/>
      <w:r w:rsidRPr="00CC19F7">
        <w:t>ferdigstillingsaktivitetar</w:t>
      </w:r>
      <w:proofErr w:type="spellEnd"/>
      <w:r w:rsidRPr="00CC19F7">
        <w:t>.</w:t>
      </w:r>
    </w:p>
    <w:p w14:paraId="345709DF" w14:textId="77777777" w:rsidR="00FE02EF" w:rsidRPr="00CC19F7" w:rsidRDefault="00881E58" w:rsidP="00CC19F7">
      <w:r w:rsidRPr="00CC19F7">
        <w:t xml:space="preserve">Lagerprosjektet til Northern </w:t>
      </w:r>
      <w:proofErr w:type="spellStart"/>
      <w:r w:rsidRPr="00CC19F7">
        <w:t>Lights</w:t>
      </w:r>
      <w:proofErr w:type="spellEnd"/>
      <w:r w:rsidRPr="00CC19F7">
        <w:t xml:space="preserve"> er i rute til ferdigstilling </w:t>
      </w:r>
      <w:proofErr w:type="spellStart"/>
      <w:r w:rsidRPr="00CC19F7">
        <w:t>hausten</w:t>
      </w:r>
      <w:proofErr w:type="spellEnd"/>
      <w:r w:rsidRPr="00CC19F7">
        <w:t xml:space="preserve"> 2024.</w:t>
      </w:r>
    </w:p>
    <w:p w14:paraId="0A2278FF" w14:textId="77777777" w:rsidR="00FE02EF" w:rsidRPr="00CC19F7" w:rsidRDefault="00881E58" w:rsidP="00CC19F7">
      <w:r w:rsidRPr="00CC19F7">
        <w:t xml:space="preserve">I </w:t>
      </w:r>
      <w:proofErr w:type="spellStart"/>
      <w:r w:rsidRPr="00CC19F7">
        <w:t>Prop</w:t>
      </w:r>
      <w:proofErr w:type="spellEnd"/>
      <w:r w:rsidRPr="00CC19F7">
        <w:t xml:space="preserve">. 118 S (2022–2023) blei det gjort greie for </w:t>
      </w:r>
      <w:proofErr w:type="spellStart"/>
      <w:r w:rsidRPr="00CC19F7">
        <w:t>forseinka</w:t>
      </w:r>
      <w:proofErr w:type="spellEnd"/>
      <w:r w:rsidRPr="00CC19F7">
        <w:t xml:space="preserve"> oppstart av prosjektet til Heidelberg Materials i Brevik. Selskapet gjennomførte ei framdriftsanalyse som synte forventa ferdigstilling av prosjektet 1. mars 2025. Dette er om lag seks </w:t>
      </w:r>
      <w:proofErr w:type="spellStart"/>
      <w:r w:rsidRPr="00CC19F7">
        <w:t>månader</w:t>
      </w:r>
      <w:proofErr w:type="spellEnd"/>
      <w:r w:rsidRPr="00CC19F7">
        <w:t xml:space="preserve"> </w:t>
      </w:r>
      <w:proofErr w:type="spellStart"/>
      <w:r w:rsidRPr="00CC19F7">
        <w:t>seinare</w:t>
      </w:r>
      <w:proofErr w:type="spellEnd"/>
      <w:r w:rsidRPr="00CC19F7">
        <w:t xml:space="preserve"> enn </w:t>
      </w:r>
      <w:proofErr w:type="spellStart"/>
      <w:r w:rsidRPr="00CC19F7">
        <w:t>opprinneleg</w:t>
      </w:r>
      <w:proofErr w:type="spellEnd"/>
      <w:r w:rsidRPr="00CC19F7">
        <w:t xml:space="preserve"> estimat. Ved </w:t>
      </w:r>
      <w:proofErr w:type="spellStart"/>
      <w:r w:rsidRPr="00CC19F7">
        <w:t>forseinka</w:t>
      </w:r>
      <w:proofErr w:type="spellEnd"/>
      <w:r w:rsidRPr="00CC19F7">
        <w:t xml:space="preserve"> ferdigstilling i </w:t>
      </w:r>
      <w:proofErr w:type="spellStart"/>
      <w:r w:rsidRPr="00CC19F7">
        <w:t>eitt</w:t>
      </w:r>
      <w:proofErr w:type="spellEnd"/>
      <w:r w:rsidRPr="00CC19F7">
        <w:t xml:space="preserve"> ledd av fangst-, transport- og lagerkjeda, dekker staten gjennom </w:t>
      </w:r>
      <w:proofErr w:type="spellStart"/>
      <w:r w:rsidRPr="00CC19F7">
        <w:t>tilskotsavtalane</w:t>
      </w:r>
      <w:proofErr w:type="spellEnd"/>
      <w:r w:rsidRPr="00CC19F7">
        <w:t xml:space="preserve"> kostnadene for den delen av fangst-, transport- og lagerkjeda som </w:t>
      </w:r>
      <w:proofErr w:type="spellStart"/>
      <w:r w:rsidRPr="00CC19F7">
        <w:t>ikkje</w:t>
      </w:r>
      <w:proofErr w:type="spellEnd"/>
      <w:r w:rsidRPr="00CC19F7">
        <w:t xml:space="preserve"> er </w:t>
      </w:r>
      <w:proofErr w:type="spellStart"/>
      <w:r w:rsidRPr="00CC19F7">
        <w:t>forseinka</w:t>
      </w:r>
      <w:proofErr w:type="spellEnd"/>
      <w:r w:rsidRPr="00CC19F7">
        <w:t xml:space="preserve">. Slike kostnader er antatt å kunne komme i 2025. Ekstern </w:t>
      </w:r>
      <w:proofErr w:type="spellStart"/>
      <w:r w:rsidRPr="00CC19F7">
        <w:t>kvalitetssikrar</w:t>
      </w:r>
      <w:proofErr w:type="spellEnd"/>
      <w:r w:rsidRPr="00CC19F7">
        <w:t xml:space="preserve"> anslo i 2022 </w:t>
      </w:r>
      <w:proofErr w:type="spellStart"/>
      <w:r w:rsidRPr="00CC19F7">
        <w:t>månadlege</w:t>
      </w:r>
      <w:proofErr w:type="spellEnd"/>
      <w:r w:rsidRPr="00CC19F7">
        <w:t xml:space="preserve"> ventekostnader for Northern </w:t>
      </w:r>
      <w:proofErr w:type="spellStart"/>
      <w:r w:rsidRPr="00CC19F7">
        <w:t>Lights</w:t>
      </w:r>
      <w:proofErr w:type="spellEnd"/>
      <w:r w:rsidRPr="00CC19F7">
        <w:t xml:space="preserve"> til 20 mill. kroner. Gassnova samarbeider med </w:t>
      </w:r>
      <w:proofErr w:type="spellStart"/>
      <w:r w:rsidRPr="00CC19F7">
        <w:t>industriaktørane</w:t>
      </w:r>
      <w:proofErr w:type="spellEnd"/>
      <w:r w:rsidRPr="00CC19F7">
        <w:t xml:space="preserve"> for å best </w:t>
      </w:r>
      <w:proofErr w:type="spellStart"/>
      <w:r w:rsidRPr="00CC19F7">
        <w:t>mogleg</w:t>
      </w:r>
      <w:proofErr w:type="spellEnd"/>
      <w:r w:rsidRPr="00CC19F7">
        <w:t xml:space="preserve"> </w:t>
      </w:r>
      <w:proofErr w:type="spellStart"/>
      <w:r w:rsidRPr="00CC19F7">
        <w:t>samkøyre</w:t>
      </w:r>
      <w:proofErr w:type="spellEnd"/>
      <w:r w:rsidRPr="00CC19F7">
        <w:t xml:space="preserve"> oppstarten av heile kjeda.</w:t>
      </w:r>
    </w:p>
    <w:p w14:paraId="67887EF7" w14:textId="77777777" w:rsidR="00FE02EF" w:rsidRPr="00CC19F7" w:rsidRDefault="00881E58" w:rsidP="00CC19F7">
      <w:r w:rsidRPr="00CC19F7">
        <w:t xml:space="preserve">Staten, ved Olje- og energidepartementet, inngjekk 8. september 2023 </w:t>
      </w:r>
      <w:proofErr w:type="spellStart"/>
      <w:r w:rsidRPr="00CC19F7">
        <w:t>ein</w:t>
      </w:r>
      <w:proofErr w:type="spellEnd"/>
      <w:r w:rsidRPr="00CC19F7">
        <w:t xml:space="preserve"> avtale med Heidelberg Materials som </w:t>
      </w:r>
      <w:proofErr w:type="spellStart"/>
      <w:r w:rsidRPr="00CC19F7">
        <w:t>sikrar</w:t>
      </w:r>
      <w:proofErr w:type="spellEnd"/>
      <w:r w:rsidRPr="00CC19F7">
        <w:t xml:space="preserve"> </w:t>
      </w:r>
      <w:proofErr w:type="spellStart"/>
      <w:r w:rsidRPr="00CC19F7">
        <w:t>vidareføring</w:t>
      </w:r>
      <w:proofErr w:type="spellEnd"/>
      <w:r w:rsidRPr="00CC19F7">
        <w:t xml:space="preserve"> av CO</w:t>
      </w:r>
      <w:r w:rsidRPr="00CC19F7">
        <w:rPr>
          <w:rStyle w:val="skrift-senket"/>
        </w:rPr>
        <w:t>2</w:t>
      </w:r>
      <w:r w:rsidRPr="00CC19F7">
        <w:t xml:space="preserve">-fangstprosjektet på Norcem i Brevik. I avtalen </w:t>
      </w:r>
      <w:proofErr w:type="spellStart"/>
      <w:r w:rsidRPr="00CC19F7">
        <w:t>forpliktar</w:t>
      </w:r>
      <w:proofErr w:type="spellEnd"/>
      <w:r w:rsidRPr="00CC19F7">
        <w:t xml:space="preserve"> Heidelberg Materials seg til å fullføre prosjektet og dekke </w:t>
      </w:r>
      <w:proofErr w:type="spellStart"/>
      <w:r w:rsidRPr="00CC19F7">
        <w:t>auka</w:t>
      </w:r>
      <w:proofErr w:type="spellEnd"/>
      <w:r w:rsidRPr="00CC19F7">
        <w:t xml:space="preserve"> kostnader, mot at selskapet får </w:t>
      </w:r>
      <w:proofErr w:type="spellStart"/>
      <w:r w:rsidRPr="00CC19F7">
        <w:t>behalde</w:t>
      </w:r>
      <w:proofErr w:type="spellEnd"/>
      <w:r w:rsidRPr="00CC19F7">
        <w:t xml:space="preserve"> </w:t>
      </w:r>
      <w:proofErr w:type="spellStart"/>
      <w:r w:rsidRPr="00CC19F7">
        <w:t>ein</w:t>
      </w:r>
      <w:proofErr w:type="spellEnd"/>
      <w:r w:rsidRPr="00CC19F7">
        <w:t xml:space="preserve"> større del av den </w:t>
      </w:r>
      <w:proofErr w:type="gramStart"/>
      <w:r w:rsidRPr="00CC19F7">
        <w:t>potensielle</w:t>
      </w:r>
      <w:proofErr w:type="gramEnd"/>
      <w:r w:rsidRPr="00CC19F7">
        <w:t xml:space="preserve"> avkastninga i prosjektet. Staten </w:t>
      </w:r>
      <w:proofErr w:type="spellStart"/>
      <w:r w:rsidRPr="00CC19F7">
        <w:t>forpliktar</w:t>
      </w:r>
      <w:proofErr w:type="spellEnd"/>
      <w:r w:rsidRPr="00CC19F7">
        <w:t xml:space="preserve"> seg til å gi </w:t>
      </w:r>
      <w:proofErr w:type="spellStart"/>
      <w:r w:rsidRPr="00CC19F7">
        <w:t>eit</w:t>
      </w:r>
      <w:proofErr w:type="spellEnd"/>
      <w:r w:rsidRPr="00CC19F7">
        <w:t xml:space="preserve"> </w:t>
      </w:r>
      <w:proofErr w:type="spellStart"/>
      <w:r w:rsidRPr="00CC19F7">
        <w:t>oppstartstilskot</w:t>
      </w:r>
      <w:proofErr w:type="spellEnd"/>
      <w:r w:rsidRPr="00CC19F7">
        <w:t xml:space="preserve"> på inntil 150 mill. kroner når anlegget står klart til å skipe den første lasten med CO</w:t>
      </w:r>
      <w:r w:rsidRPr="00CC19F7">
        <w:rPr>
          <w:rStyle w:val="skrift-senket"/>
        </w:rPr>
        <w:t>2</w:t>
      </w:r>
      <w:r w:rsidRPr="00CC19F7">
        <w:t xml:space="preserve"> til Northern </w:t>
      </w:r>
      <w:proofErr w:type="spellStart"/>
      <w:r w:rsidRPr="00CC19F7">
        <w:t>Lights</w:t>
      </w:r>
      <w:proofErr w:type="spellEnd"/>
      <w:r w:rsidRPr="00CC19F7">
        <w:t>, jf. Vedlegg 1.</w:t>
      </w:r>
    </w:p>
    <w:p w14:paraId="7A7BA9A3" w14:textId="77777777" w:rsidR="00FE02EF" w:rsidRPr="00CC19F7" w:rsidRDefault="00881E58" w:rsidP="00CC19F7">
      <w:r w:rsidRPr="00CC19F7">
        <w:t xml:space="preserve">I </w:t>
      </w:r>
      <w:proofErr w:type="spellStart"/>
      <w:r w:rsidRPr="00CC19F7">
        <w:t>Prop</w:t>
      </w:r>
      <w:proofErr w:type="spellEnd"/>
      <w:r w:rsidRPr="00CC19F7">
        <w:t xml:space="preserve">. 118 S (2022–2023) blei det også gjort greie for at Hafslund Oslo </w:t>
      </w:r>
      <w:proofErr w:type="spellStart"/>
      <w:r w:rsidRPr="00CC19F7">
        <w:t>Celsio</w:t>
      </w:r>
      <w:proofErr w:type="spellEnd"/>
      <w:r w:rsidRPr="00CC19F7">
        <w:t xml:space="preserve"> har sett gjennomføringa av CO</w:t>
      </w:r>
      <w:r w:rsidRPr="00CC19F7">
        <w:rPr>
          <w:rStyle w:val="skrift-senket"/>
        </w:rPr>
        <w:t>2</w:t>
      </w:r>
      <w:r w:rsidRPr="00CC19F7">
        <w:t xml:space="preserve">-fangstprosjektet på Klemetsrud på vent for arbeidde med å redusere kostnadene. Selskapet planlegg å legge fram </w:t>
      </w:r>
      <w:proofErr w:type="spellStart"/>
      <w:r w:rsidRPr="00CC19F7">
        <w:t>eit</w:t>
      </w:r>
      <w:proofErr w:type="spellEnd"/>
      <w:r w:rsidRPr="00CC19F7">
        <w:t xml:space="preserve"> nytt prosjektgrunnlag i 2024. Det er tatt omsyn til det reduserte aktivitetsnivået hos Hafslund Oslo </w:t>
      </w:r>
      <w:proofErr w:type="spellStart"/>
      <w:r w:rsidRPr="00CC19F7">
        <w:t>Celsio</w:t>
      </w:r>
      <w:proofErr w:type="spellEnd"/>
      <w:r w:rsidRPr="00CC19F7">
        <w:t xml:space="preserve"> i forslag til løyving for 2024. Departementet vil komme tilbake med ei vurdering når Hafslund Oslo </w:t>
      </w:r>
      <w:proofErr w:type="spellStart"/>
      <w:r w:rsidRPr="00CC19F7">
        <w:t>Celsio</w:t>
      </w:r>
      <w:proofErr w:type="spellEnd"/>
      <w:r w:rsidRPr="00CC19F7">
        <w:t xml:space="preserve"> </w:t>
      </w:r>
      <w:proofErr w:type="spellStart"/>
      <w:r w:rsidRPr="00CC19F7">
        <w:t>legg</w:t>
      </w:r>
      <w:proofErr w:type="spellEnd"/>
      <w:r w:rsidRPr="00CC19F7">
        <w:t xml:space="preserve"> fram </w:t>
      </w:r>
      <w:proofErr w:type="spellStart"/>
      <w:r w:rsidRPr="00CC19F7">
        <w:t>eit</w:t>
      </w:r>
      <w:proofErr w:type="spellEnd"/>
      <w:r w:rsidRPr="00CC19F7">
        <w:t xml:space="preserve"> nytt prosjektgrunnlag.</w:t>
      </w:r>
    </w:p>
    <w:p w14:paraId="7527BF3C" w14:textId="6F84EAC7" w:rsidR="00FE02EF" w:rsidRDefault="00881E58" w:rsidP="00CC19F7">
      <w:r w:rsidRPr="00CC19F7">
        <w:t xml:space="preserve">Bygging og ti års drift av lager og </w:t>
      </w:r>
      <w:proofErr w:type="spellStart"/>
      <w:r w:rsidRPr="00CC19F7">
        <w:t>dei</w:t>
      </w:r>
      <w:proofErr w:type="spellEnd"/>
      <w:r w:rsidRPr="00CC19F7">
        <w:t xml:space="preserve"> to fangstanlegga i Langskip har ei valutajustert styringsramme (P50) på 30,1 mrd. 2023-kroner, der det </w:t>
      </w:r>
      <w:proofErr w:type="spellStart"/>
      <w:r w:rsidRPr="00CC19F7">
        <w:t>statlege</w:t>
      </w:r>
      <w:proofErr w:type="spellEnd"/>
      <w:r w:rsidRPr="00CC19F7">
        <w:t xml:space="preserve"> bidraget (P50) er anslått til 20,3 mrd. 2023-kroner. Kostnadsramma er i samsvar med statens prosjektstyringsmodell sett til P85, som er </w:t>
      </w:r>
      <w:proofErr w:type="spellStart"/>
      <w:r w:rsidRPr="00CC19F7">
        <w:t>eit</w:t>
      </w:r>
      <w:proofErr w:type="spellEnd"/>
      <w:r w:rsidRPr="00CC19F7">
        <w:t xml:space="preserve"> kostnadsestimat der sannsynet for </w:t>
      </w:r>
      <w:proofErr w:type="spellStart"/>
      <w:r w:rsidRPr="00CC19F7">
        <w:t>ikkje</w:t>
      </w:r>
      <w:proofErr w:type="spellEnd"/>
      <w:r w:rsidRPr="00CC19F7">
        <w:t xml:space="preserve"> å overskride er 85 prosent.</w:t>
      </w:r>
    </w:p>
    <w:p w14:paraId="592FC97B" w14:textId="195150D2" w:rsidR="00A06A7F" w:rsidRPr="00CC19F7" w:rsidRDefault="00A06A7F" w:rsidP="00A06A7F">
      <w:pPr>
        <w:pStyle w:val="tabell-tittel"/>
      </w:pPr>
      <w:r w:rsidRPr="00CC19F7">
        <w:t>Kostnadsramme for Langskip (i mill. kroner)</w:t>
      </w:r>
    </w:p>
    <w:p w14:paraId="10E045BA" w14:textId="77777777" w:rsidR="00FE02EF" w:rsidRPr="00CC19F7" w:rsidRDefault="00881E58" w:rsidP="00CC19F7">
      <w:pPr>
        <w:pStyle w:val="Tabellnavn"/>
      </w:pPr>
      <w:r w:rsidRPr="00CC19F7">
        <w:t>04J2xt2</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1580"/>
        <w:gridCol w:w="3622"/>
        <w:gridCol w:w="2126"/>
        <w:gridCol w:w="2212"/>
      </w:tblGrid>
      <w:tr w:rsidR="00FE02EF" w:rsidRPr="00CC19F7" w14:paraId="4C718BEE" w14:textId="77777777" w:rsidTr="00A06A7F">
        <w:trPr>
          <w:trHeight w:val="360"/>
        </w:trPr>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71B80B0" w14:textId="77777777" w:rsidR="00FE02EF" w:rsidRPr="00CC19F7" w:rsidRDefault="00FE02EF" w:rsidP="00A06A7F"/>
        </w:tc>
        <w:tc>
          <w:tcPr>
            <w:tcW w:w="362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5249596" w14:textId="77777777" w:rsidR="00FE02EF" w:rsidRPr="00CC19F7" w:rsidRDefault="00FE02EF" w:rsidP="00A06A7F"/>
        </w:tc>
        <w:tc>
          <w:tcPr>
            <w:tcW w:w="4338"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478B776E" w14:textId="77777777" w:rsidR="00FE02EF" w:rsidRPr="00CC19F7" w:rsidRDefault="00881E58" w:rsidP="00A06A7F">
            <w:pPr>
              <w:jc w:val="center"/>
            </w:pPr>
            <w:r w:rsidRPr="00CC19F7">
              <w:t>Kostnadsramme (P85) i 2023-kroner</w:t>
            </w:r>
            <w:r w:rsidRPr="00CC19F7">
              <w:rPr>
                <w:rStyle w:val="skrift-hevet"/>
              </w:rPr>
              <w:t>1</w:t>
            </w:r>
          </w:p>
        </w:tc>
      </w:tr>
      <w:tr w:rsidR="00FE02EF" w:rsidRPr="00CC19F7" w14:paraId="1F3491E0" w14:textId="77777777" w:rsidTr="00A06A7F">
        <w:trPr>
          <w:trHeight w:val="360"/>
        </w:trPr>
        <w:tc>
          <w:tcPr>
            <w:tcW w:w="1580" w:type="dxa"/>
            <w:tcBorders>
              <w:top w:val="nil"/>
              <w:left w:val="nil"/>
              <w:bottom w:val="single" w:sz="4" w:space="0" w:color="000000"/>
              <w:right w:val="nil"/>
            </w:tcBorders>
            <w:tcMar>
              <w:top w:w="128" w:type="dxa"/>
              <w:left w:w="43" w:type="dxa"/>
              <w:bottom w:w="43" w:type="dxa"/>
              <w:right w:w="43" w:type="dxa"/>
            </w:tcMar>
            <w:vAlign w:val="bottom"/>
          </w:tcPr>
          <w:p w14:paraId="3B12028D" w14:textId="77777777" w:rsidR="00FE02EF" w:rsidRPr="00CC19F7" w:rsidRDefault="00FE02EF" w:rsidP="00A06A7F"/>
        </w:tc>
        <w:tc>
          <w:tcPr>
            <w:tcW w:w="3622" w:type="dxa"/>
            <w:tcBorders>
              <w:top w:val="nil"/>
              <w:left w:val="nil"/>
              <w:bottom w:val="single" w:sz="4" w:space="0" w:color="000000"/>
              <w:right w:val="nil"/>
            </w:tcBorders>
            <w:tcMar>
              <w:top w:w="128" w:type="dxa"/>
              <w:left w:w="43" w:type="dxa"/>
              <w:bottom w:w="43" w:type="dxa"/>
              <w:right w:w="43" w:type="dxa"/>
            </w:tcMar>
            <w:vAlign w:val="bottom"/>
          </w:tcPr>
          <w:p w14:paraId="3CF8B3F0" w14:textId="77777777" w:rsidR="00FE02EF" w:rsidRPr="00CC19F7" w:rsidRDefault="00FE02EF" w:rsidP="00A06A7F"/>
        </w:tc>
        <w:tc>
          <w:tcPr>
            <w:tcW w:w="2126" w:type="dxa"/>
            <w:tcBorders>
              <w:top w:val="nil"/>
              <w:left w:val="nil"/>
              <w:bottom w:val="single" w:sz="4" w:space="0" w:color="000000"/>
              <w:right w:val="nil"/>
            </w:tcBorders>
            <w:tcMar>
              <w:top w:w="128" w:type="dxa"/>
              <w:left w:w="43" w:type="dxa"/>
              <w:bottom w:w="43" w:type="dxa"/>
              <w:right w:w="43" w:type="dxa"/>
            </w:tcMar>
            <w:vAlign w:val="bottom"/>
          </w:tcPr>
          <w:p w14:paraId="2C1BDA6D" w14:textId="77777777" w:rsidR="00FE02EF" w:rsidRPr="00CC19F7" w:rsidRDefault="00881E58" w:rsidP="00A06A7F">
            <w:pPr>
              <w:jc w:val="right"/>
            </w:pPr>
            <w:r w:rsidRPr="00CC19F7">
              <w:t>Totalt</w:t>
            </w:r>
          </w:p>
        </w:tc>
        <w:tc>
          <w:tcPr>
            <w:tcW w:w="2212" w:type="dxa"/>
            <w:tcBorders>
              <w:top w:val="nil"/>
              <w:left w:val="nil"/>
              <w:bottom w:val="single" w:sz="4" w:space="0" w:color="000000"/>
              <w:right w:val="nil"/>
            </w:tcBorders>
            <w:tcMar>
              <w:top w:w="128" w:type="dxa"/>
              <w:left w:w="43" w:type="dxa"/>
              <w:bottom w:w="43" w:type="dxa"/>
              <w:right w:w="43" w:type="dxa"/>
            </w:tcMar>
            <w:vAlign w:val="bottom"/>
          </w:tcPr>
          <w:p w14:paraId="43975214" w14:textId="77777777" w:rsidR="00FE02EF" w:rsidRPr="00CC19F7" w:rsidRDefault="00881E58" w:rsidP="00A06A7F">
            <w:pPr>
              <w:jc w:val="right"/>
            </w:pPr>
            <w:r w:rsidRPr="00CC19F7">
              <w:t>Statsstøtte</w:t>
            </w:r>
          </w:p>
        </w:tc>
      </w:tr>
      <w:tr w:rsidR="00FE02EF" w:rsidRPr="00CC19F7" w14:paraId="1458AC86" w14:textId="77777777" w:rsidTr="00A06A7F">
        <w:trPr>
          <w:trHeight w:val="380"/>
        </w:trPr>
        <w:tc>
          <w:tcPr>
            <w:tcW w:w="1580" w:type="dxa"/>
            <w:vMerge w:val="restart"/>
            <w:tcBorders>
              <w:top w:val="single" w:sz="4" w:space="0" w:color="000000"/>
              <w:left w:val="nil"/>
              <w:bottom w:val="nil"/>
              <w:right w:val="nil"/>
            </w:tcBorders>
            <w:tcMar>
              <w:top w:w="128" w:type="dxa"/>
              <w:left w:w="43" w:type="dxa"/>
              <w:bottom w:w="43" w:type="dxa"/>
              <w:right w:w="43" w:type="dxa"/>
            </w:tcMar>
            <w:vAlign w:val="center"/>
          </w:tcPr>
          <w:p w14:paraId="3ECCF23A" w14:textId="77777777" w:rsidR="00FE02EF" w:rsidRPr="00CC19F7" w:rsidRDefault="00881E58" w:rsidP="00A06A7F">
            <w:proofErr w:type="spellStart"/>
            <w:r w:rsidRPr="00CC19F7">
              <w:t>Investeringar</w:t>
            </w:r>
            <w:proofErr w:type="spellEnd"/>
          </w:p>
        </w:tc>
        <w:tc>
          <w:tcPr>
            <w:tcW w:w="3622" w:type="dxa"/>
            <w:tcBorders>
              <w:top w:val="single" w:sz="4" w:space="0" w:color="000000"/>
              <w:left w:val="nil"/>
              <w:bottom w:val="nil"/>
              <w:right w:val="nil"/>
            </w:tcBorders>
            <w:tcMar>
              <w:top w:w="128" w:type="dxa"/>
              <w:left w:w="43" w:type="dxa"/>
              <w:bottom w:w="43" w:type="dxa"/>
              <w:right w:w="43" w:type="dxa"/>
            </w:tcMar>
          </w:tcPr>
          <w:p w14:paraId="57756938" w14:textId="77777777" w:rsidR="00FE02EF" w:rsidRPr="00CC19F7" w:rsidRDefault="00881E58" w:rsidP="00A06A7F">
            <w:r w:rsidRPr="00CC19F7">
              <w:t xml:space="preserve">Northern </w:t>
            </w:r>
            <w:proofErr w:type="spellStart"/>
            <w:r w:rsidRPr="00CC19F7">
              <w:t>Lights</w:t>
            </w:r>
            <w:proofErr w:type="spellEnd"/>
          </w:p>
        </w:tc>
        <w:tc>
          <w:tcPr>
            <w:tcW w:w="2126" w:type="dxa"/>
            <w:vMerge w:val="restart"/>
            <w:tcBorders>
              <w:top w:val="single" w:sz="4" w:space="0" w:color="000000"/>
              <w:left w:val="nil"/>
              <w:bottom w:val="nil"/>
              <w:right w:val="nil"/>
            </w:tcBorders>
            <w:tcMar>
              <w:top w:w="128" w:type="dxa"/>
              <w:left w:w="43" w:type="dxa"/>
              <w:bottom w:w="43" w:type="dxa"/>
              <w:right w:w="43" w:type="dxa"/>
            </w:tcMar>
            <w:vAlign w:val="center"/>
          </w:tcPr>
          <w:p w14:paraId="4E52747E" w14:textId="77777777" w:rsidR="00FE02EF" w:rsidRPr="00CC19F7" w:rsidRDefault="00881E58" w:rsidP="00A06A7F">
            <w:pPr>
              <w:jc w:val="right"/>
            </w:pPr>
            <w:r w:rsidRPr="00CC19F7">
              <w:t>17 680</w:t>
            </w:r>
          </w:p>
        </w:tc>
        <w:tc>
          <w:tcPr>
            <w:tcW w:w="2212" w:type="dxa"/>
            <w:vMerge w:val="restart"/>
            <w:tcBorders>
              <w:top w:val="single" w:sz="4" w:space="0" w:color="000000"/>
              <w:left w:val="nil"/>
              <w:bottom w:val="nil"/>
              <w:right w:val="nil"/>
            </w:tcBorders>
            <w:tcMar>
              <w:top w:w="128" w:type="dxa"/>
              <w:left w:w="43" w:type="dxa"/>
              <w:bottom w:w="43" w:type="dxa"/>
              <w:right w:w="43" w:type="dxa"/>
            </w:tcMar>
            <w:vAlign w:val="center"/>
          </w:tcPr>
          <w:p w14:paraId="4C4BD5DF" w14:textId="77777777" w:rsidR="00FE02EF" w:rsidRPr="00CC19F7" w:rsidRDefault="00881E58" w:rsidP="00A06A7F">
            <w:pPr>
              <w:jc w:val="right"/>
            </w:pPr>
            <w:r w:rsidRPr="00CC19F7">
              <w:t>13 360</w:t>
            </w:r>
          </w:p>
        </w:tc>
      </w:tr>
      <w:tr w:rsidR="00FE02EF" w:rsidRPr="00CC19F7" w14:paraId="0CF2DA80" w14:textId="77777777" w:rsidTr="00A06A7F">
        <w:trPr>
          <w:trHeight w:val="380"/>
        </w:trPr>
        <w:tc>
          <w:tcPr>
            <w:tcW w:w="1580" w:type="dxa"/>
            <w:vMerge/>
            <w:tcBorders>
              <w:top w:val="single" w:sz="4" w:space="0" w:color="000000"/>
              <w:left w:val="nil"/>
              <w:bottom w:val="nil"/>
              <w:right w:val="nil"/>
            </w:tcBorders>
          </w:tcPr>
          <w:p w14:paraId="28DF425C" w14:textId="77777777" w:rsidR="00FE02EF" w:rsidRPr="00CC19F7" w:rsidRDefault="00FE02EF" w:rsidP="00A06A7F"/>
        </w:tc>
        <w:tc>
          <w:tcPr>
            <w:tcW w:w="3622" w:type="dxa"/>
            <w:tcBorders>
              <w:top w:val="nil"/>
              <w:left w:val="nil"/>
              <w:bottom w:val="nil"/>
              <w:right w:val="nil"/>
            </w:tcBorders>
            <w:tcMar>
              <w:top w:w="128" w:type="dxa"/>
              <w:left w:w="43" w:type="dxa"/>
              <w:bottom w:w="43" w:type="dxa"/>
              <w:right w:w="43" w:type="dxa"/>
            </w:tcMar>
          </w:tcPr>
          <w:p w14:paraId="1801874F" w14:textId="77777777" w:rsidR="00FE02EF" w:rsidRPr="00CC19F7" w:rsidRDefault="00881E58" w:rsidP="00A06A7F">
            <w:r w:rsidRPr="00CC19F7">
              <w:t xml:space="preserve">Heidelberg Materials </w:t>
            </w:r>
          </w:p>
        </w:tc>
        <w:tc>
          <w:tcPr>
            <w:tcW w:w="2126" w:type="dxa"/>
            <w:vMerge/>
            <w:tcBorders>
              <w:top w:val="single" w:sz="4" w:space="0" w:color="000000"/>
              <w:left w:val="nil"/>
              <w:bottom w:val="nil"/>
              <w:right w:val="nil"/>
            </w:tcBorders>
          </w:tcPr>
          <w:p w14:paraId="0DB0AAE8" w14:textId="77777777" w:rsidR="00FE02EF" w:rsidRPr="00CC19F7" w:rsidRDefault="00FE02EF" w:rsidP="00A06A7F">
            <w:pPr>
              <w:jc w:val="right"/>
            </w:pPr>
          </w:p>
        </w:tc>
        <w:tc>
          <w:tcPr>
            <w:tcW w:w="2212" w:type="dxa"/>
            <w:vMerge/>
            <w:tcBorders>
              <w:top w:val="single" w:sz="4" w:space="0" w:color="000000"/>
              <w:left w:val="nil"/>
              <w:bottom w:val="nil"/>
              <w:right w:val="nil"/>
            </w:tcBorders>
          </w:tcPr>
          <w:p w14:paraId="4D994B84" w14:textId="77777777" w:rsidR="00FE02EF" w:rsidRPr="00CC19F7" w:rsidRDefault="00FE02EF" w:rsidP="00A06A7F">
            <w:pPr>
              <w:jc w:val="right"/>
            </w:pPr>
          </w:p>
        </w:tc>
      </w:tr>
      <w:tr w:rsidR="00FE02EF" w:rsidRPr="00CC19F7" w14:paraId="4AB730CC" w14:textId="77777777" w:rsidTr="00A06A7F">
        <w:trPr>
          <w:trHeight w:val="380"/>
        </w:trPr>
        <w:tc>
          <w:tcPr>
            <w:tcW w:w="1580" w:type="dxa"/>
            <w:vMerge/>
            <w:tcBorders>
              <w:top w:val="single" w:sz="4" w:space="0" w:color="000000"/>
              <w:left w:val="nil"/>
              <w:bottom w:val="nil"/>
              <w:right w:val="nil"/>
            </w:tcBorders>
          </w:tcPr>
          <w:p w14:paraId="5BB52848" w14:textId="77777777" w:rsidR="00FE02EF" w:rsidRPr="00CC19F7" w:rsidRDefault="00FE02EF" w:rsidP="00A06A7F"/>
        </w:tc>
        <w:tc>
          <w:tcPr>
            <w:tcW w:w="3622" w:type="dxa"/>
            <w:tcBorders>
              <w:top w:val="nil"/>
              <w:left w:val="nil"/>
              <w:bottom w:val="single" w:sz="4" w:space="0" w:color="000000"/>
              <w:right w:val="nil"/>
            </w:tcBorders>
            <w:tcMar>
              <w:top w:w="128" w:type="dxa"/>
              <w:left w:w="43" w:type="dxa"/>
              <w:bottom w:w="43" w:type="dxa"/>
              <w:right w:w="43" w:type="dxa"/>
            </w:tcMar>
          </w:tcPr>
          <w:p w14:paraId="4FD72C72" w14:textId="77777777" w:rsidR="00FE02EF" w:rsidRPr="00CC19F7" w:rsidRDefault="00881E58" w:rsidP="00A06A7F">
            <w:r w:rsidRPr="00CC19F7">
              <w:t xml:space="preserve">Hafslund Oslo </w:t>
            </w:r>
            <w:proofErr w:type="spellStart"/>
            <w:r w:rsidRPr="00CC19F7">
              <w:t>Celsio</w:t>
            </w:r>
            <w:proofErr w:type="spellEnd"/>
          </w:p>
        </w:tc>
        <w:tc>
          <w:tcPr>
            <w:tcW w:w="2126" w:type="dxa"/>
            <w:tcBorders>
              <w:top w:val="nil"/>
              <w:left w:val="nil"/>
              <w:bottom w:val="single" w:sz="4" w:space="0" w:color="000000"/>
              <w:right w:val="nil"/>
            </w:tcBorders>
            <w:tcMar>
              <w:top w:w="128" w:type="dxa"/>
              <w:left w:w="43" w:type="dxa"/>
              <w:bottom w:w="43" w:type="dxa"/>
              <w:right w:w="43" w:type="dxa"/>
            </w:tcMar>
            <w:vAlign w:val="bottom"/>
          </w:tcPr>
          <w:p w14:paraId="0CD0E689" w14:textId="77777777" w:rsidR="00FE02EF" w:rsidRPr="00CC19F7" w:rsidRDefault="00881E58" w:rsidP="00A06A7F">
            <w:pPr>
              <w:jc w:val="right"/>
            </w:pPr>
            <w:r w:rsidRPr="00CC19F7">
              <w:t>6 940</w:t>
            </w:r>
          </w:p>
        </w:tc>
        <w:tc>
          <w:tcPr>
            <w:tcW w:w="2212" w:type="dxa"/>
            <w:tcBorders>
              <w:top w:val="nil"/>
              <w:left w:val="nil"/>
              <w:bottom w:val="single" w:sz="4" w:space="0" w:color="000000"/>
              <w:right w:val="nil"/>
            </w:tcBorders>
            <w:tcMar>
              <w:top w:w="128" w:type="dxa"/>
              <w:left w:w="43" w:type="dxa"/>
              <w:bottom w:w="43" w:type="dxa"/>
              <w:right w:w="43" w:type="dxa"/>
            </w:tcMar>
            <w:vAlign w:val="bottom"/>
          </w:tcPr>
          <w:p w14:paraId="4528D66F" w14:textId="77777777" w:rsidR="00FE02EF" w:rsidRPr="00CC19F7" w:rsidRDefault="00881E58" w:rsidP="00A06A7F">
            <w:pPr>
              <w:jc w:val="right"/>
            </w:pPr>
            <w:r w:rsidRPr="00CC19F7">
              <w:t>2 550</w:t>
            </w:r>
          </w:p>
        </w:tc>
      </w:tr>
      <w:tr w:rsidR="00FE02EF" w:rsidRPr="00CC19F7" w14:paraId="7050FA94" w14:textId="77777777" w:rsidTr="00A06A7F">
        <w:trPr>
          <w:trHeight w:val="380"/>
        </w:trPr>
        <w:tc>
          <w:tcPr>
            <w:tcW w:w="1580" w:type="dxa"/>
            <w:vMerge w:val="restart"/>
            <w:tcBorders>
              <w:top w:val="single" w:sz="4" w:space="0" w:color="000000"/>
              <w:left w:val="nil"/>
              <w:bottom w:val="single" w:sz="4" w:space="0" w:color="000000"/>
              <w:right w:val="nil"/>
            </w:tcBorders>
            <w:tcMar>
              <w:top w:w="128" w:type="dxa"/>
              <w:left w:w="43" w:type="dxa"/>
              <w:bottom w:w="43" w:type="dxa"/>
              <w:right w:w="43" w:type="dxa"/>
            </w:tcMar>
            <w:vAlign w:val="center"/>
          </w:tcPr>
          <w:p w14:paraId="70D7DF18" w14:textId="77777777" w:rsidR="00FE02EF" w:rsidRPr="00CC19F7" w:rsidRDefault="00881E58" w:rsidP="00A06A7F">
            <w:r w:rsidRPr="00CC19F7">
              <w:t>Drift (10 år)</w:t>
            </w:r>
          </w:p>
        </w:tc>
        <w:tc>
          <w:tcPr>
            <w:tcW w:w="3622" w:type="dxa"/>
            <w:tcBorders>
              <w:top w:val="single" w:sz="4" w:space="0" w:color="000000"/>
              <w:left w:val="nil"/>
              <w:bottom w:val="nil"/>
              <w:right w:val="nil"/>
            </w:tcBorders>
            <w:tcMar>
              <w:top w:w="128" w:type="dxa"/>
              <w:left w:w="43" w:type="dxa"/>
              <w:bottom w:w="43" w:type="dxa"/>
              <w:right w:w="43" w:type="dxa"/>
            </w:tcMar>
          </w:tcPr>
          <w:p w14:paraId="24968585" w14:textId="77777777" w:rsidR="00FE02EF" w:rsidRPr="00CC19F7" w:rsidRDefault="00881E58" w:rsidP="00A06A7F">
            <w:r w:rsidRPr="00CC19F7">
              <w:t xml:space="preserve">Northern </w:t>
            </w:r>
            <w:proofErr w:type="spellStart"/>
            <w:r w:rsidRPr="00CC19F7">
              <w:t>Lights</w:t>
            </w:r>
            <w:proofErr w:type="spellEnd"/>
          </w:p>
        </w:tc>
        <w:tc>
          <w:tcPr>
            <w:tcW w:w="2126" w:type="dxa"/>
            <w:vMerge w:val="restart"/>
            <w:tcBorders>
              <w:top w:val="single" w:sz="4" w:space="0" w:color="000000"/>
              <w:left w:val="nil"/>
              <w:bottom w:val="nil"/>
              <w:right w:val="nil"/>
            </w:tcBorders>
            <w:tcMar>
              <w:top w:w="128" w:type="dxa"/>
              <w:left w:w="43" w:type="dxa"/>
              <w:bottom w:w="43" w:type="dxa"/>
              <w:right w:w="43" w:type="dxa"/>
            </w:tcMar>
            <w:vAlign w:val="center"/>
          </w:tcPr>
          <w:p w14:paraId="3D8D0513" w14:textId="77777777" w:rsidR="00FE02EF" w:rsidRPr="00CC19F7" w:rsidRDefault="00881E58" w:rsidP="00A06A7F">
            <w:pPr>
              <w:jc w:val="right"/>
            </w:pPr>
            <w:r w:rsidRPr="00CC19F7">
              <w:t>7 750</w:t>
            </w:r>
          </w:p>
        </w:tc>
        <w:tc>
          <w:tcPr>
            <w:tcW w:w="2212" w:type="dxa"/>
            <w:vMerge w:val="restart"/>
            <w:tcBorders>
              <w:top w:val="single" w:sz="4" w:space="0" w:color="000000"/>
              <w:left w:val="nil"/>
              <w:bottom w:val="nil"/>
              <w:right w:val="nil"/>
            </w:tcBorders>
            <w:tcMar>
              <w:top w:w="128" w:type="dxa"/>
              <w:left w:w="43" w:type="dxa"/>
              <w:bottom w:w="43" w:type="dxa"/>
              <w:right w:w="43" w:type="dxa"/>
            </w:tcMar>
            <w:vAlign w:val="center"/>
          </w:tcPr>
          <w:p w14:paraId="660887DC" w14:textId="77777777" w:rsidR="00FE02EF" w:rsidRPr="00CC19F7" w:rsidRDefault="00881E58" w:rsidP="00A06A7F">
            <w:pPr>
              <w:jc w:val="right"/>
            </w:pPr>
            <w:r w:rsidRPr="00CC19F7">
              <w:t>6 000</w:t>
            </w:r>
          </w:p>
        </w:tc>
      </w:tr>
      <w:tr w:rsidR="00FE02EF" w:rsidRPr="00CC19F7" w14:paraId="4723F856" w14:textId="77777777" w:rsidTr="00A06A7F">
        <w:trPr>
          <w:trHeight w:val="380"/>
        </w:trPr>
        <w:tc>
          <w:tcPr>
            <w:tcW w:w="1580" w:type="dxa"/>
            <w:vMerge/>
            <w:tcBorders>
              <w:top w:val="single" w:sz="4" w:space="0" w:color="000000"/>
              <w:left w:val="nil"/>
              <w:bottom w:val="single" w:sz="4" w:space="0" w:color="000000"/>
              <w:right w:val="nil"/>
            </w:tcBorders>
          </w:tcPr>
          <w:p w14:paraId="6DAA030A" w14:textId="77777777" w:rsidR="00FE02EF" w:rsidRPr="00CC19F7" w:rsidRDefault="00FE02EF" w:rsidP="00A06A7F"/>
        </w:tc>
        <w:tc>
          <w:tcPr>
            <w:tcW w:w="3622" w:type="dxa"/>
            <w:tcBorders>
              <w:top w:val="nil"/>
              <w:left w:val="nil"/>
              <w:bottom w:val="nil"/>
              <w:right w:val="nil"/>
            </w:tcBorders>
            <w:tcMar>
              <w:top w:w="128" w:type="dxa"/>
              <w:left w:w="43" w:type="dxa"/>
              <w:bottom w:w="43" w:type="dxa"/>
              <w:right w:w="43" w:type="dxa"/>
            </w:tcMar>
          </w:tcPr>
          <w:p w14:paraId="2E437977" w14:textId="77777777" w:rsidR="00FE02EF" w:rsidRPr="00CC19F7" w:rsidRDefault="00881E58" w:rsidP="00A06A7F">
            <w:r w:rsidRPr="00CC19F7">
              <w:t xml:space="preserve">Heidelberg Materials </w:t>
            </w:r>
          </w:p>
        </w:tc>
        <w:tc>
          <w:tcPr>
            <w:tcW w:w="2126" w:type="dxa"/>
            <w:vMerge/>
            <w:tcBorders>
              <w:top w:val="single" w:sz="4" w:space="0" w:color="000000"/>
              <w:left w:val="nil"/>
              <w:bottom w:val="nil"/>
              <w:right w:val="nil"/>
            </w:tcBorders>
          </w:tcPr>
          <w:p w14:paraId="6D97942F" w14:textId="77777777" w:rsidR="00FE02EF" w:rsidRPr="00CC19F7" w:rsidRDefault="00FE02EF" w:rsidP="00A06A7F">
            <w:pPr>
              <w:jc w:val="right"/>
            </w:pPr>
          </w:p>
        </w:tc>
        <w:tc>
          <w:tcPr>
            <w:tcW w:w="2212" w:type="dxa"/>
            <w:vMerge/>
            <w:tcBorders>
              <w:top w:val="single" w:sz="4" w:space="0" w:color="000000"/>
              <w:left w:val="nil"/>
              <w:bottom w:val="nil"/>
              <w:right w:val="nil"/>
            </w:tcBorders>
          </w:tcPr>
          <w:p w14:paraId="6B1CB3A0" w14:textId="77777777" w:rsidR="00FE02EF" w:rsidRPr="00CC19F7" w:rsidRDefault="00FE02EF" w:rsidP="00A06A7F">
            <w:pPr>
              <w:jc w:val="right"/>
            </w:pPr>
          </w:p>
        </w:tc>
      </w:tr>
      <w:tr w:rsidR="00FE02EF" w:rsidRPr="00CC19F7" w14:paraId="7C745A5D" w14:textId="77777777" w:rsidTr="00A06A7F">
        <w:trPr>
          <w:trHeight w:val="380"/>
        </w:trPr>
        <w:tc>
          <w:tcPr>
            <w:tcW w:w="1580" w:type="dxa"/>
            <w:vMerge/>
            <w:tcBorders>
              <w:top w:val="single" w:sz="4" w:space="0" w:color="000000"/>
              <w:left w:val="nil"/>
              <w:bottom w:val="single" w:sz="4" w:space="0" w:color="000000"/>
              <w:right w:val="nil"/>
            </w:tcBorders>
          </w:tcPr>
          <w:p w14:paraId="49FAD4C8" w14:textId="77777777" w:rsidR="00FE02EF" w:rsidRPr="00CC19F7" w:rsidRDefault="00FE02EF" w:rsidP="00A06A7F"/>
        </w:tc>
        <w:tc>
          <w:tcPr>
            <w:tcW w:w="3622" w:type="dxa"/>
            <w:tcBorders>
              <w:top w:val="nil"/>
              <w:left w:val="nil"/>
              <w:bottom w:val="single" w:sz="4" w:space="0" w:color="000000"/>
              <w:right w:val="nil"/>
            </w:tcBorders>
            <w:tcMar>
              <w:top w:w="128" w:type="dxa"/>
              <w:left w:w="43" w:type="dxa"/>
              <w:bottom w:w="43" w:type="dxa"/>
              <w:right w:w="43" w:type="dxa"/>
            </w:tcMar>
          </w:tcPr>
          <w:p w14:paraId="36C1D8D2" w14:textId="77777777" w:rsidR="00FE02EF" w:rsidRPr="00CC19F7" w:rsidRDefault="00881E58" w:rsidP="00A06A7F">
            <w:r w:rsidRPr="00CC19F7">
              <w:t xml:space="preserve">Hafslund Oslo </w:t>
            </w:r>
            <w:proofErr w:type="spellStart"/>
            <w:r w:rsidRPr="00CC19F7">
              <w:t>Celsio</w:t>
            </w:r>
            <w:proofErr w:type="spellEnd"/>
          </w:p>
        </w:tc>
        <w:tc>
          <w:tcPr>
            <w:tcW w:w="2126" w:type="dxa"/>
            <w:tcBorders>
              <w:top w:val="nil"/>
              <w:left w:val="nil"/>
              <w:bottom w:val="single" w:sz="4" w:space="0" w:color="000000"/>
              <w:right w:val="nil"/>
            </w:tcBorders>
            <w:tcMar>
              <w:top w:w="128" w:type="dxa"/>
              <w:left w:w="43" w:type="dxa"/>
              <w:bottom w:w="43" w:type="dxa"/>
              <w:right w:w="43" w:type="dxa"/>
            </w:tcMar>
            <w:vAlign w:val="bottom"/>
          </w:tcPr>
          <w:p w14:paraId="45A7B3CD" w14:textId="77777777" w:rsidR="00FE02EF" w:rsidRPr="00CC19F7" w:rsidRDefault="00881E58" w:rsidP="00A06A7F">
            <w:pPr>
              <w:jc w:val="right"/>
            </w:pPr>
            <w:r w:rsidRPr="00CC19F7">
              <w:t xml:space="preserve">3 940 </w:t>
            </w:r>
          </w:p>
        </w:tc>
        <w:tc>
          <w:tcPr>
            <w:tcW w:w="2212" w:type="dxa"/>
            <w:tcBorders>
              <w:top w:val="nil"/>
              <w:left w:val="nil"/>
              <w:bottom w:val="single" w:sz="4" w:space="0" w:color="000000"/>
              <w:right w:val="nil"/>
            </w:tcBorders>
            <w:tcMar>
              <w:top w:w="128" w:type="dxa"/>
              <w:left w:w="43" w:type="dxa"/>
              <w:bottom w:w="43" w:type="dxa"/>
              <w:right w:w="43" w:type="dxa"/>
            </w:tcMar>
            <w:vAlign w:val="bottom"/>
          </w:tcPr>
          <w:p w14:paraId="4DA98C33" w14:textId="77777777" w:rsidR="00FE02EF" w:rsidRPr="00CC19F7" w:rsidRDefault="00881E58" w:rsidP="00A06A7F">
            <w:pPr>
              <w:jc w:val="right"/>
            </w:pPr>
            <w:r w:rsidRPr="00CC19F7">
              <w:t>1 450</w:t>
            </w:r>
          </w:p>
        </w:tc>
      </w:tr>
    </w:tbl>
    <w:p w14:paraId="3608E6D4" w14:textId="77777777" w:rsidR="00FE02EF" w:rsidRPr="00CC19F7" w:rsidRDefault="00881E58" w:rsidP="00CC19F7">
      <w:pPr>
        <w:pStyle w:val="tabell-noter"/>
      </w:pPr>
      <w:r w:rsidRPr="00CC19F7">
        <w:rPr>
          <w:rStyle w:val="skrift-hevet"/>
        </w:rPr>
        <w:t>1</w:t>
      </w:r>
      <w:r w:rsidRPr="00CC19F7">
        <w:tab/>
        <w:t>Per 1. juli 2023.</w:t>
      </w:r>
    </w:p>
    <w:p w14:paraId="0E8C2F2E" w14:textId="77777777" w:rsidR="00FE02EF" w:rsidRPr="00CC19F7" w:rsidRDefault="00881E58" w:rsidP="00CC19F7">
      <w:pPr>
        <w:pStyle w:val="avsnitt-tittel"/>
      </w:pPr>
      <w:r w:rsidRPr="00CC19F7">
        <w:t xml:space="preserve">Mål og </w:t>
      </w:r>
      <w:proofErr w:type="spellStart"/>
      <w:r w:rsidRPr="00CC19F7">
        <w:t>aktivitetar</w:t>
      </w:r>
      <w:proofErr w:type="spellEnd"/>
    </w:p>
    <w:p w14:paraId="32FABB39" w14:textId="77777777" w:rsidR="00FE02EF" w:rsidRPr="00CC19F7" w:rsidRDefault="00881E58" w:rsidP="00CC19F7">
      <w:r w:rsidRPr="00CC19F7">
        <w:t>Samfunnsmålet med Langskip er at demonstrasjon av CO</w:t>
      </w:r>
      <w:r w:rsidRPr="00CC19F7">
        <w:rPr>
          <w:rStyle w:val="skrift-senket"/>
        </w:rPr>
        <w:t>2</w:t>
      </w:r>
      <w:r w:rsidRPr="00CC19F7">
        <w:t>-handtering skal gi den nødvendige utviklinga av CO</w:t>
      </w:r>
      <w:r w:rsidRPr="00CC19F7">
        <w:rPr>
          <w:rStyle w:val="skrift-senket"/>
        </w:rPr>
        <w:t>2</w:t>
      </w:r>
      <w:r w:rsidRPr="00CC19F7">
        <w:t xml:space="preserve">-handtering, slik at </w:t>
      </w:r>
      <w:proofErr w:type="spellStart"/>
      <w:r w:rsidRPr="00CC19F7">
        <w:t>ein</w:t>
      </w:r>
      <w:proofErr w:type="spellEnd"/>
      <w:r w:rsidRPr="00CC19F7">
        <w:t xml:space="preserve"> kan nå </w:t>
      </w:r>
      <w:proofErr w:type="spellStart"/>
      <w:r w:rsidRPr="00CC19F7">
        <w:t>dei</w:t>
      </w:r>
      <w:proofErr w:type="spellEnd"/>
      <w:r w:rsidRPr="00CC19F7">
        <w:t xml:space="preserve"> langsiktige klimamåla i </w:t>
      </w:r>
      <w:proofErr w:type="spellStart"/>
      <w:r w:rsidRPr="00CC19F7">
        <w:t>Noreg</w:t>
      </w:r>
      <w:proofErr w:type="spellEnd"/>
      <w:r w:rsidRPr="00CC19F7">
        <w:t xml:space="preserve"> og EU med </w:t>
      </w:r>
      <w:proofErr w:type="spellStart"/>
      <w:r w:rsidRPr="00CC19F7">
        <w:t>lågast</w:t>
      </w:r>
      <w:proofErr w:type="spellEnd"/>
      <w:r w:rsidRPr="00CC19F7">
        <w:t xml:space="preserve"> </w:t>
      </w:r>
      <w:proofErr w:type="spellStart"/>
      <w:r w:rsidRPr="00CC19F7">
        <w:t>mogleg</w:t>
      </w:r>
      <w:proofErr w:type="spellEnd"/>
      <w:r w:rsidRPr="00CC19F7">
        <w:t xml:space="preserve"> kostnad. Effektmåla for Langskip er at </w:t>
      </w:r>
      <w:proofErr w:type="spellStart"/>
      <w:r w:rsidRPr="00CC19F7">
        <w:t>dei</w:t>
      </w:r>
      <w:proofErr w:type="spellEnd"/>
      <w:r w:rsidRPr="00CC19F7">
        <w:t xml:space="preserve"> skal</w:t>
      </w:r>
    </w:p>
    <w:p w14:paraId="57ED466F" w14:textId="77777777" w:rsidR="00FE02EF" w:rsidRPr="00CC19F7" w:rsidRDefault="00881E58" w:rsidP="00CC19F7">
      <w:pPr>
        <w:pStyle w:val="Liste"/>
      </w:pPr>
      <w:r w:rsidRPr="00CC19F7">
        <w:t xml:space="preserve">gi kunnskap som viser at det er </w:t>
      </w:r>
      <w:proofErr w:type="spellStart"/>
      <w:r w:rsidRPr="00CC19F7">
        <w:t>mogleg</w:t>
      </w:r>
      <w:proofErr w:type="spellEnd"/>
      <w:r w:rsidRPr="00CC19F7">
        <w:t xml:space="preserve"> og trygt å gjennomføre fullskala CO</w:t>
      </w:r>
      <w:r w:rsidRPr="00CC19F7">
        <w:rPr>
          <w:rStyle w:val="skrift-senket"/>
        </w:rPr>
        <w:t>2</w:t>
      </w:r>
      <w:r w:rsidRPr="00CC19F7">
        <w:t>-handtering</w:t>
      </w:r>
    </w:p>
    <w:p w14:paraId="44B3EA2A" w14:textId="77777777" w:rsidR="00FE02EF" w:rsidRPr="00CC19F7" w:rsidRDefault="00881E58" w:rsidP="00CC19F7">
      <w:pPr>
        <w:pStyle w:val="Liste"/>
      </w:pPr>
      <w:r w:rsidRPr="00CC19F7">
        <w:t xml:space="preserve">gi </w:t>
      </w:r>
      <w:proofErr w:type="spellStart"/>
      <w:r w:rsidRPr="00CC19F7">
        <w:t>produktivitetsgevinstar</w:t>
      </w:r>
      <w:proofErr w:type="spellEnd"/>
      <w:r w:rsidRPr="00CC19F7">
        <w:t xml:space="preserve"> for </w:t>
      </w:r>
      <w:proofErr w:type="spellStart"/>
      <w:r w:rsidRPr="00CC19F7">
        <w:t>kommande</w:t>
      </w:r>
      <w:proofErr w:type="spellEnd"/>
      <w:r w:rsidRPr="00CC19F7">
        <w:t xml:space="preserve"> prosjekt gjennom lærings- og </w:t>
      </w:r>
      <w:proofErr w:type="spellStart"/>
      <w:r w:rsidRPr="00CC19F7">
        <w:t>skalaeffektar</w:t>
      </w:r>
      <w:proofErr w:type="spellEnd"/>
    </w:p>
    <w:p w14:paraId="452B1EEE" w14:textId="77777777" w:rsidR="00FE02EF" w:rsidRPr="00CC19F7" w:rsidRDefault="00881E58" w:rsidP="00CC19F7">
      <w:pPr>
        <w:pStyle w:val="Liste"/>
      </w:pPr>
      <w:r w:rsidRPr="00CC19F7">
        <w:t>gi læring knytt til regulering og intensivering av CO</w:t>
      </w:r>
      <w:r w:rsidRPr="00CC19F7">
        <w:rPr>
          <w:rStyle w:val="skrift-senket"/>
        </w:rPr>
        <w:t>2</w:t>
      </w:r>
      <w:r w:rsidRPr="00CC19F7">
        <w:t>-handteringsaktivitetar</w:t>
      </w:r>
    </w:p>
    <w:p w14:paraId="224E69DA" w14:textId="77777777" w:rsidR="00FE02EF" w:rsidRPr="00CC19F7" w:rsidRDefault="00881E58" w:rsidP="00CC19F7">
      <w:pPr>
        <w:pStyle w:val="Liste"/>
      </w:pPr>
      <w:r w:rsidRPr="00CC19F7">
        <w:t>legge til rette for næringsutvikling</w:t>
      </w:r>
    </w:p>
    <w:p w14:paraId="353F9E6C" w14:textId="77777777" w:rsidR="00FE02EF" w:rsidRPr="00CC19F7" w:rsidRDefault="00881E58" w:rsidP="00CC19F7">
      <w:r w:rsidRPr="00CC19F7">
        <w:t>Langskip skal demonstrere at CO</w:t>
      </w:r>
      <w:r w:rsidRPr="00CC19F7">
        <w:rPr>
          <w:rStyle w:val="skrift-senket"/>
        </w:rPr>
        <w:t>2</w:t>
      </w:r>
      <w:r w:rsidRPr="00CC19F7">
        <w:t xml:space="preserve">-handtering er trygt og </w:t>
      </w:r>
      <w:proofErr w:type="spellStart"/>
      <w:r w:rsidRPr="00CC19F7">
        <w:t>mogleg</w:t>
      </w:r>
      <w:proofErr w:type="spellEnd"/>
      <w:r w:rsidRPr="00CC19F7">
        <w:t xml:space="preserve">, og legge til rette for læring og </w:t>
      </w:r>
      <w:proofErr w:type="spellStart"/>
      <w:r w:rsidRPr="00CC19F7">
        <w:t>kostnadsreduksjonar</w:t>
      </w:r>
      <w:proofErr w:type="spellEnd"/>
      <w:r w:rsidRPr="00CC19F7">
        <w:t xml:space="preserve"> for </w:t>
      </w:r>
      <w:proofErr w:type="spellStart"/>
      <w:r w:rsidRPr="00CC19F7">
        <w:t>seinare</w:t>
      </w:r>
      <w:proofErr w:type="spellEnd"/>
      <w:r w:rsidRPr="00CC19F7">
        <w:t xml:space="preserve"> prosjekt. Prosjektet vil </w:t>
      </w:r>
      <w:proofErr w:type="spellStart"/>
      <w:r w:rsidRPr="00CC19F7">
        <w:t>berre</w:t>
      </w:r>
      <w:proofErr w:type="spellEnd"/>
      <w:r w:rsidRPr="00CC19F7">
        <w:t xml:space="preserve"> </w:t>
      </w:r>
      <w:proofErr w:type="spellStart"/>
      <w:r w:rsidRPr="00CC19F7">
        <w:t>lykkast</w:t>
      </w:r>
      <w:proofErr w:type="spellEnd"/>
      <w:r w:rsidRPr="00CC19F7">
        <w:t xml:space="preserve"> dersom </w:t>
      </w:r>
      <w:proofErr w:type="spellStart"/>
      <w:r w:rsidRPr="00CC19F7">
        <w:t>seinare</w:t>
      </w:r>
      <w:proofErr w:type="spellEnd"/>
      <w:r w:rsidRPr="00CC19F7">
        <w:t xml:space="preserve"> prosjekt </w:t>
      </w:r>
      <w:proofErr w:type="spellStart"/>
      <w:r w:rsidRPr="00CC19F7">
        <w:t>nyttar</w:t>
      </w:r>
      <w:proofErr w:type="spellEnd"/>
      <w:r w:rsidRPr="00CC19F7">
        <w:t xml:space="preserve"> infrastrukturen og/eller læringa som kjem ut av prosjektet, og dersom Europa og verda følger etter det norske demonstrasjonsprosjektet. Lagerinfrastrukturen </w:t>
      </w:r>
      <w:proofErr w:type="spellStart"/>
      <w:r w:rsidRPr="00CC19F7">
        <w:t>byggast</w:t>
      </w:r>
      <w:proofErr w:type="spellEnd"/>
      <w:r w:rsidRPr="00CC19F7">
        <w:t xml:space="preserve"> derfor ut med kapasitet som kan </w:t>
      </w:r>
      <w:proofErr w:type="spellStart"/>
      <w:r w:rsidRPr="00CC19F7">
        <w:t>nyttast</w:t>
      </w:r>
      <w:proofErr w:type="spellEnd"/>
      <w:r w:rsidRPr="00CC19F7">
        <w:t xml:space="preserve"> av fangstprosjekt i andre land. Nye anlegg i Europa og verda </w:t>
      </w:r>
      <w:proofErr w:type="spellStart"/>
      <w:r w:rsidRPr="00CC19F7">
        <w:t>elles</w:t>
      </w:r>
      <w:proofErr w:type="spellEnd"/>
      <w:r w:rsidRPr="00CC19F7">
        <w:t xml:space="preserve"> er </w:t>
      </w:r>
      <w:proofErr w:type="spellStart"/>
      <w:r w:rsidRPr="00CC19F7">
        <w:t>ein</w:t>
      </w:r>
      <w:proofErr w:type="spellEnd"/>
      <w:r w:rsidRPr="00CC19F7">
        <w:t xml:space="preserve"> </w:t>
      </w:r>
      <w:proofErr w:type="spellStart"/>
      <w:r w:rsidRPr="00CC19F7">
        <w:t>føresetnad</w:t>
      </w:r>
      <w:proofErr w:type="spellEnd"/>
      <w:r w:rsidRPr="00CC19F7">
        <w:t xml:space="preserve"> for at CO</w:t>
      </w:r>
      <w:r w:rsidRPr="00CC19F7">
        <w:rPr>
          <w:rStyle w:val="skrift-senket"/>
        </w:rPr>
        <w:t>2</w:t>
      </w:r>
      <w:r w:rsidRPr="00CC19F7">
        <w:t xml:space="preserve">-handtering skal kunne bli </w:t>
      </w:r>
      <w:proofErr w:type="spellStart"/>
      <w:r w:rsidRPr="00CC19F7">
        <w:t>eit</w:t>
      </w:r>
      <w:proofErr w:type="spellEnd"/>
      <w:r w:rsidRPr="00CC19F7">
        <w:t xml:space="preserve"> effektivt og konkurransedyktig klimatiltak. Det er ei klar forventning om at Europa </w:t>
      </w:r>
      <w:proofErr w:type="spellStart"/>
      <w:r w:rsidRPr="00CC19F7">
        <w:t>no</w:t>
      </w:r>
      <w:proofErr w:type="spellEnd"/>
      <w:r w:rsidRPr="00CC19F7">
        <w:t xml:space="preserve"> følger etter, og at restkapasiteten i lageret skal kunne </w:t>
      </w:r>
      <w:proofErr w:type="spellStart"/>
      <w:r w:rsidRPr="00CC19F7">
        <w:t>nyttast</w:t>
      </w:r>
      <w:proofErr w:type="spellEnd"/>
      <w:r w:rsidRPr="00CC19F7">
        <w:t xml:space="preserve"> av </w:t>
      </w:r>
      <w:proofErr w:type="spellStart"/>
      <w:r w:rsidRPr="00CC19F7">
        <w:t>tredjepartar</w:t>
      </w:r>
      <w:proofErr w:type="spellEnd"/>
      <w:r w:rsidRPr="00CC19F7">
        <w:t xml:space="preserve">, som </w:t>
      </w:r>
      <w:proofErr w:type="spellStart"/>
      <w:r w:rsidRPr="00CC19F7">
        <w:t>ikkje</w:t>
      </w:r>
      <w:proofErr w:type="spellEnd"/>
      <w:r w:rsidRPr="00CC19F7">
        <w:t xml:space="preserve"> den norske stat finansierer direkte. Northern </w:t>
      </w:r>
      <w:proofErr w:type="spellStart"/>
      <w:r w:rsidRPr="00CC19F7">
        <w:t>Lights</w:t>
      </w:r>
      <w:proofErr w:type="spellEnd"/>
      <w:r w:rsidRPr="00CC19F7">
        <w:t xml:space="preserve"> har inngått </w:t>
      </w:r>
      <w:proofErr w:type="spellStart"/>
      <w:r w:rsidRPr="00CC19F7">
        <w:t>avtalar</w:t>
      </w:r>
      <w:proofErr w:type="spellEnd"/>
      <w:r w:rsidRPr="00CC19F7">
        <w:t xml:space="preserve"> for å ta imot CO</w:t>
      </w:r>
      <w:r w:rsidRPr="00CC19F7">
        <w:rPr>
          <w:rStyle w:val="skrift-senket"/>
        </w:rPr>
        <w:t>2</w:t>
      </w:r>
      <w:r w:rsidRPr="00CC19F7">
        <w:t xml:space="preserve"> fra Ørsted i Danmark og Yara i Nederland.</w:t>
      </w:r>
    </w:p>
    <w:p w14:paraId="64AD60FC" w14:textId="77777777" w:rsidR="00FE02EF" w:rsidRPr="00CC19F7" w:rsidRDefault="00881E58" w:rsidP="00CC19F7">
      <w:r w:rsidRPr="00CC19F7">
        <w:t xml:space="preserve">Selskapa bak fangst-, transport- og lagerprosjekta skal eige og drive sine respektive </w:t>
      </w:r>
      <w:proofErr w:type="spellStart"/>
      <w:r w:rsidRPr="00CC19F7">
        <w:t>delar</w:t>
      </w:r>
      <w:proofErr w:type="spellEnd"/>
      <w:r w:rsidRPr="00CC19F7">
        <w:t xml:space="preserve"> av prosjektet. </w:t>
      </w:r>
      <w:proofErr w:type="spellStart"/>
      <w:r w:rsidRPr="00CC19F7">
        <w:t>Tilskotsavtalane</w:t>
      </w:r>
      <w:proofErr w:type="spellEnd"/>
      <w:r w:rsidRPr="00CC19F7">
        <w:t xml:space="preserve"> regulerer kostnads- og risikodeling mellom selskapa og staten. Staten tar </w:t>
      </w:r>
      <w:proofErr w:type="spellStart"/>
      <w:r w:rsidRPr="00CC19F7">
        <w:t>ein</w:t>
      </w:r>
      <w:proofErr w:type="spellEnd"/>
      <w:r w:rsidRPr="00CC19F7">
        <w:t xml:space="preserve"> </w:t>
      </w:r>
      <w:proofErr w:type="spellStart"/>
      <w:r w:rsidRPr="00CC19F7">
        <w:t>vesentleg</w:t>
      </w:r>
      <w:proofErr w:type="spellEnd"/>
      <w:r w:rsidRPr="00CC19F7">
        <w:t xml:space="preserve"> del av kostnadene og risikoen i Langskip, mellom anna risikoen i grensesnittet mellom fangst, transport og lager.</w:t>
      </w:r>
    </w:p>
    <w:p w14:paraId="6A6E95E3" w14:textId="77777777" w:rsidR="00FE02EF" w:rsidRPr="00CC19F7" w:rsidRDefault="00881E58" w:rsidP="00CC19F7">
      <w:pPr>
        <w:pStyle w:val="avsnitt-tittel"/>
      </w:pPr>
      <w:r w:rsidRPr="00CC19F7">
        <w:t>Resultat 2022</w:t>
      </w:r>
    </w:p>
    <w:p w14:paraId="2F790659" w14:textId="77777777" w:rsidR="00FE02EF" w:rsidRPr="00CC19F7" w:rsidRDefault="00881E58" w:rsidP="00CC19F7">
      <w:r w:rsidRPr="00CC19F7">
        <w:t>Ved utgangen av 2022 melde Heidelberg Materials (</w:t>
      </w:r>
      <w:proofErr w:type="spellStart"/>
      <w:r w:rsidRPr="00CC19F7">
        <w:t>tidlegare</w:t>
      </w:r>
      <w:proofErr w:type="spellEnd"/>
      <w:r w:rsidRPr="00CC19F7">
        <w:t xml:space="preserve"> Norcem) om ei </w:t>
      </w:r>
      <w:proofErr w:type="spellStart"/>
      <w:r w:rsidRPr="00CC19F7">
        <w:t>forseinking</w:t>
      </w:r>
      <w:proofErr w:type="spellEnd"/>
      <w:r w:rsidRPr="00CC19F7">
        <w:t xml:space="preserve"> på 3,5 </w:t>
      </w:r>
      <w:proofErr w:type="spellStart"/>
      <w:r w:rsidRPr="00CC19F7">
        <w:t>månader</w:t>
      </w:r>
      <w:proofErr w:type="spellEnd"/>
      <w:r w:rsidRPr="00CC19F7">
        <w:t xml:space="preserve"> i ferdigstillinga av anlegget. Både Heidelberg Materials og Northern </w:t>
      </w:r>
      <w:proofErr w:type="spellStart"/>
      <w:r w:rsidRPr="00CC19F7">
        <w:t>Lights</w:t>
      </w:r>
      <w:proofErr w:type="spellEnd"/>
      <w:r w:rsidRPr="00CC19F7">
        <w:t xml:space="preserve"> har vist ei relativt stabil kostnadsutvikling, </w:t>
      </w:r>
      <w:proofErr w:type="spellStart"/>
      <w:r w:rsidRPr="00CC19F7">
        <w:t>sjølv</w:t>
      </w:r>
      <w:proofErr w:type="spellEnd"/>
      <w:r w:rsidRPr="00CC19F7">
        <w:t xml:space="preserve"> med </w:t>
      </w:r>
      <w:proofErr w:type="spellStart"/>
      <w:r w:rsidRPr="00CC19F7">
        <w:t>fleire</w:t>
      </w:r>
      <w:proofErr w:type="spellEnd"/>
      <w:r w:rsidRPr="00CC19F7">
        <w:t xml:space="preserve"> </w:t>
      </w:r>
      <w:proofErr w:type="spellStart"/>
      <w:r w:rsidRPr="00CC19F7">
        <w:t>utfordringar</w:t>
      </w:r>
      <w:proofErr w:type="spellEnd"/>
      <w:r w:rsidRPr="00CC19F7">
        <w:t xml:space="preserve"> i prosjektgjennomføringa.</w:t>
      </w:r>
    </w:p>
    <w:p w14:paraId="50F558DA" w14:textId="77777777" w:rsidR="00FE02EF" w:rsidRPr="00CC19F7" w:rsidRDefault="00881E58" w:rsidP="00CC19F7">
      <w:r w:rsidRPr="00CC19F7">
        <w:t xml:space="preserve">Heidelberg Materials blei i </w:t>
      </w:r>
      <w:proofErr w:type="spellStart"/>
      <w:r w:rsidRPr="00CC19F7">
        <w:t>hovudsak</w:t>
      </w:r>
      <w:proofErr w:type="spellEnd"/>
      <w:r w:rsidRPr="00CC19F7">
        <w:t xml:space="preserve"> ferdig med </w:t>
      </w:r>
      <w:proofErr w:type="spellStart"/>
      <w:r w:rsidRPr="00CC19F7">
        <w:t>rivinga</w:t>
      </w:r>
      <w:proofErr w:type="spellEnd"/>
      <w:r w:rsidRPr="00CC19F7">
        <w:t xml:space="preserve"> av det gamle anlegget og grunnarbeidet. Installasjonsarbeidet og </w:t>
      </w:r>
      <w:proofErr w:type="spellStart"/>
      <w:r w:rsidRPr="00CC19F7">
        <w:t>klargjeringa</w:t>
      </w:r>
      <w:proofErr w:type="spellEnd"/>
      <w:r w:rsidRPr="00CC19F7">
        <w:t xml:space="preserve"> av byggeplassen til tungløftkampanje første kvartal 2023 var påbegynt. Gjennomføringsplanen var under press, og prosjektet arbeidde med </w:t>
      </w:r>
      <w:proofErr w:type="spellStart"/>
      <w:r w:rsidRPr="00CC19F7">
        <w:t>mildnande</w:t>
      </w:r>
      <w:proofErr w:type="spellEnd"/>
      <w:r w:rsidRPr="00CC19F7">
        <w:t xml:space="preserve"> tiltak for å sikre ferdigstilling i samsvar med den </w:t>
      </w:r>
      <w:proofErr w:type="spellStart"/>
      <w:r w:rsidRPr="00CC19F7">
        <w:t>allereie</w:t>
      </w:r>
      <w:proofErr w:type="spellEnd"/>
      <w:r w:rsidRPr="00CC19F7">
        <w:t xml:space="preserve"> varsla </w:t>
      </w:r>
      <w:proofErr w:type="spellStart"/>
      <w:r w:rsidRPr="00CC19F7">
        <w:t>forseinkinga</w:t>
      </w:r>
      <w:proofErr w:type="spellEnd"/>
      <w:r w:rsidRPr="00CC19F7">
        <w:t>.</w:t>
      </w:r>
    </w:p>
    <w:p w14:paraId="6F5E78D6" w14:textId="77777777" w:rsidR="00FE02EF" w:rsidRPr="00CC19F7" w:rsidRDefault="00881E58" w:rsidP="00CC19F7">
      <w:r w:rsidRPr="00CC19F7">
        <w:t xml:space="preserve">Northern </w:t>
      </w:r>
      <w:proofErr w:type="spellStart"/>
      <w:r w:rsidRPr="00CC19F7">
        <w:t>Lights</w:t>
      </w:r>
      <w:proofErr w:type="spellEnd"/>
      <w:r w:rsidRPr="00CC19F7">
        <w:t xml:space="preserve"> ferdigstilte i 2022 grunnarbeidet i Øygarden og </w:t>
      </w:r>
      <w:proofErr w:type="spellStart"/>
      <w:r w:rsidRPr="00CC19F7">
        <w:t>opna</w:t>
      </w:r>
      <w:proofErr w:type="spellEnd"/>
      <w:r w:rsidRPr="00CC19F7">
        <w:t xml:space="preserve"> besøkssenteret. Boring av to </w:t>
      </w:r>
      <w:proofErr w:type="spellStart"/>
      <w:r w:rsidRPr="00CC19F7">
        <w:t>offshorebrønnar</w:t>
      </w:r>
      <w:proofErr w:type="spellEnd"/>
      <w:r w:rsidRPr="00CC19F7">
        <w:t xml:space="preserve"> blei gjennomført, og arbeidet med landtunnel for </w:t>
      </w:r>
      <w:proofErr w:type="spellStart"/>
      <w:r w:rsidRPr="00CC19F7">
        <w:t>røyrleidning</w:t>
      </w:r>
      <w:proofErr w:type="spellEnd"/>
      <w:r w:rsidRPr="00CC19F7">
        <w:t xml:space="preserve"> blei starta opp. Prosjektet </w:t>
      </w:r>
      <w:proofErr w:type="spellStart"/>
      <w:r w:rsidRPr="00CC19F7">
        <w:t>fekk</w:t>
      </w:r>
      <w:proofErr w:type="spellEnd"/>
      <w:r w:rsidRPr="00CC19F7">
        <w:t xml:space="preserve"> </w:t>
      </w:r>
      <w:proofErr w:type="spellStart"/>
      <w:r w:rsidRPr="00CC19F7">
        <w:t>dei</w:t>
      </w:r>
      <w:proofErr w:type="spellEnd"/>
      <w:r w:rsidRPr="00CC19F7">
        <w:t xml:space="preserve"> første sju </w:t>
      </w:r>
      <w:proofErr w:type="spellStart"/>
      <w:r w:rsidRPr="00CC19F7">
        <w:t>lagertankane</w:t>
      </w:r>
      <w:proofErr w:type="spellEnd"/>
      <w:r w:rsidRPr="00CC19F7">
        <w:t xml:space="preserve"> og begynte installasjonen av plattformer og røyr.</w:t>
      </w:r>
    </w:p>
    <w:p w14:paraId="164E9B30" w14:textId="77777777" w:rsidR="00FE02EF" w:rsidRPr="00CC19F7" w:rsidRDefault="00881E58" w:rsidP="00CC19F7">
      <w:r w:rsidRPr="00CC19F7">
        <w:t xml:space="preserve">I november blei det første stålkuttet for skipa gjennomført på verftet Dalian. Prosjektet har signert </w:t>
      </w:r>
      <w:proofErr w:type="spellStart"/>
      <w:r w:rsidRPr="00CC19F7">
        <w:t>ein</w:t>
      </w:r>
      <w:proofErr w:type="spellEnd"/>
      <w:r w:rsidRPr="00CC19F7">
        <w:t xml:space="preserve"> intensjonsavtale om volum som vil fylle fase </w:t>
      </w:r>
      <w:proofErr w:type="spellStart"/>
      <w:r w:rsidRPr="00CC19F7">
        <w:t>ein</w:t>
      </w:r>
      <w:proofErr w:type="spellEnd"/>
      <w:r w:rsidRPr="00CC19F7">
        <w:t>. Prosjektet arbeidde med modning av avgjerdsunderlag for fase to og planlegging av nødvendig materiell og utstyr for denne fasen.</w:t>
      </w:r>
    </w:p>
    <w:p w14:paraId="60A43436" w14:textId="77777777" w:rsidR="00FE02EF" w:rsidRPr="00CC19F7" w:rsidRDefault="00881E58" w:rsidP="00CC19F7">
      <w:r w:rsidRPr="00CC19F7">
        <w:t xml:space="preserve">På oppdrag </w:t>
      </w:r>
      <w:proofErr w:type="spellStart"/>
      <w:r w:rsidRPr="00CC19F7">
        <w:t>frå</w:t>
      </w:r>
      <w:proofErr w:type="spellEnd"/>
      <w:r w:rsidRPr="00CC19F7">
        <w:t xml:space="preserve"> Olje- og energidepartementet og Finansdepartementet gjennomførte Atkins ei ekstern kvalitetssikring gjennom </w:t>
      </w:r>
      <w:proofErr w:type="spellStart"/>
      <w:r w:rsidRPr="00CC19F7">
        <w:t>supplerande</w:t>
      </w:r>
      <w:proofErr w:type="spellEnd"/>
      <w:r w:rsidRPr="00CC19F7">
        <w:t xml:space="preserve"> analyse av Langskip-prosjektet. </w:t>
      </w:r>
      <w:proofErr w:type="spellStart"/>
      <w:r w:rsidRPr="00CC19F7">
        <w:t>Hovudvekta</w:t>
      </w:r>
      <w:proofErr w:type="spellEnd"/>
      <w:r w:rsidRPr="00CC19F7">
        <w:t xml:space="preserve"> av kvalitetssikringa skulle </w:t>
      </w:r>
      <w:proofErr w:type="spellStart"/>
      <w:r w:rsidRPr="00CC19F7">
        <w:t>leggast</w:t>
      </w:r>
      <w:proofErr w:type="spellEnd"/>
      <w:r w:rsidRPr="00CC19F7">
        <w:t xml:space="preserve"> på framdrifta, kostnadene og </w:t>
      </w:r>
      <w:proofErr w:type="spellStart"/>
      <w:r w:rsidRPr="00CC19F7">
        <w:t>usikkerheita</w:t>
      </w:r>
      <w:proofErr w:type="spellEnd"/>
      <w:r w:rsidRPr="00CC19F7">
        <w:t xml:space="preserve"> for det samla Langskip-prosjektet.</w:t>
      </w:r>
    </w:p>
    <w:p w14:paraId="1673E92A" w14:textId="77777777" w:rsidR="00FE02EF" w:rsidRPr="00CC19F7" w:rsidRDefault="00881E58" w:rsidP="00CC19F7">
      <w:r w:rsidRPr="00CC19F7">
        <w:t xml:space="preserve">Hafslund Oslo </w:t>
      </w:r>
      <w:proofErr w:type="spellStart"/>
      <w:r w:rsidRPr="00CC19F7">
        <w:t>Celsio</w:t>
      </w:r>
      <w:proofErr w:type="spellEnd"/>
      <w:r w:rsidRPr="00CC19F7">
        <w:t xml:space="preserve"> starta sitt prosjekt etter avtale med Olje- og energidepartementet om støtta, datert 29. juni 2022. Prosjektet har hatt </w:t>
      </w:r>
      <w:proofErr w:type="spellStart"/>
      <w:r w:rsidRPr="00CC19F7">
        <w:t>fleire</w:t>
      </w:r>
      <w:proofErr w:type="spellEnd"/>
      <w:r w:rsidRPr="00CC19F7">
        <w:t xml:space="preserve"> </w:t>
      </w:r>
      <w:proofErr w:type="spellStart"/>
      <w:r w:rsidRPr="00CC19F7">
        <w:t>utfordringar</w:t>
      </w:r>
      <w:proofErr w:type="spellEnd"/>
      <w:r w:rsidRPr="00CC19F7">
        <w:t xml:space="preserve"> i oppstarten. Hafslund Oslo </w:t>
      </w:r>
      <w:proofErr w:type="spellStart"/>
      <w:r w:rsidRPr="00CC19F7">
        <w:t>Celsio</w:t>
      </w:r>
      <w:proofErr w:type="spellEnd"/>
      <w:r w:rsidRPr="00CC19F7">
        <w:t xml:space="preserve"> gjorde </w:t>
      </w:r>
      <w:proofErr w:type="spellStart"/>
      <w:r w:rsidRPr="00CC19F7">
        <w:t>fleire</w:t>
      </w:r>
      <w:proofErr w:type="spellEnd"/>
      <w:r w:rsidRPr="00CC19F7">
        <w:t xml:space="preserve"> </w:t>
      </w:r>
      <w:proofErr w:type="spellStart"/>
      <w:r w:rsidRPr="00CC19F7">
        <w:t>endringar</w:t>
      </w:r>
      <w:proofErr w:type="spellEnd"/>
      <w:r w:rsidRPr="00CC19F7">
        <w:t xml:space="preserve">: Organisasjonen blei endra og forsterka, og det blei jobba med </w:t>
      </w:r>
      <w:proofErr w:type="spellStart"/>
      <w:r w:rsidRPr="00CC19F7">
        <w:t>fleire</w:t>
      </w:r>
      <w:proofErr w:type="spellEnd"/>
      <w:r w:rsidRPr="00CC19F7">
        <w:t xml:space="preserve"> større tekniske </w:t>
      </w:r>
      <w:proofErr w:type="spellStart"/>
      <w:r w:rsidRPr="00CC19F7">
        <w:t>endringar</w:t>
      </w:r>
      <w:proofErr w:type="spellEnd"/>
      <w:r w:rsidRPr="00CC19F7">
        <w:t xml:space="preserve"> i prosjektet også på Klemetsrud. Dette medfører behov for </w:t>
      </w:r>
      <w:proofErr w:type="spellStart"/>
      <w:r w:rsidRPr="00CC19F7">
        <w:t>endringar</w:t>
      </w:r>
      <w:proofErr w:type="spellEnd"/>
      <w:r w:rsidRPr="00CC19F7">
        <w:t xml:space="preserve"> av </w:t>
      </w:r>
      <w:proofErr w:type="spellStart"/>
      <w:r w:rsidRPr="00CC19F7">
        <w:t>allereie</w:t>
      </w:r>
      <w:proofErr w:type="spellEnd"/>
      <w:r w:rsidRPr="00CC19F7">
        <w:t xml:space="preserve"> inngåtte </w:t>
      </w:r>
      <w:proofErr w:type="spellStart"/>
      <w:r w:rsidRPr="00CC19F7">
        <w:t>kontraktar</w:t>
      </w:r>
      <w:proofErr w:type="spellEnd"/>
      <w:r w:rsidRPr="00CC19F7">
        <w:t>.</w:t>
      </w:r>
    </w:p>
    <w:p w14:paraId="77C4B929" w14:textId="77777777" w:rsidR="00FE02EF" w:rsidRPr="00CC19F7" w:rsidRDefault="00881E58" w:rsidP="00CC19F7">
      <w:pPr>
        <w:pStyle w:val="b-post"/>
      </w:pPr>
      <w:r w:rsidRPr="00CC19F7">
        <w:t>Post 75 Norwegian Energy Partners</w:t>
      </w:r>
    </w:p>
    <w:p w14:paraId="51004FFB" w14:textId="77777777" w:rsidR="00FE02EF" w:rsidRPr="00CC19F7" w:rsidRDefault="00881E58" w:rsidP="00CC19F7">
      <w:r w:rsidRPr="00CC19F7">
        <w:t>Norwegian Energy Partners (NORWEP) er ei stifting</w:t>
      </w:r>
      <w:r w:rsidRPr="00CC19F7">
        <w:rPr>
          <w:rStyle w:val="Fotnotereferanse"/>
        </w:rPr>
        <w:footnoteReference w:id="6"/>
      </w:r>
      <w:r w:rsidRPr="00CC19F7">
        <w:t xml:space="preserve"> med mål om å styrke grunnlaget for norsk verdiskaping og sysselsetting </w:t>
      </w:r>
      <w:proofErr w:type="spellStart"/>
      <w:r w:rsidRPr="00CC19F7">
        <w:t>innan</w:t>
      </w:r>
      <w:proofErr w:type="spellEnd"/>
      <w:r w:rsidRPr="00CC19F7">
        <w:t xml:space="preserve"> </w:t>
      </w:r>
      <w:proofErr w:type="spellStart"/>
      <w:r w:rsidRPr="00CC19F7">
        <w:t>energiverksemdene</w:t>
      </w:r>
      <w:proofErr w:type="spellEnd"/>
      <w:r w:rsidRPr="00CC19F7">
        <w:t xml:space="preserve"> ved å legge til rette for å fremme internasjonal satsing </w:t>
      </w:r>
      <w:proofErr w:type="spellStart"/>
      <w:r w:rsidRPr="00CC19F7">
        <w:t>innan</w:t>
      </w:r>
      <w:proofErr w:type="spellEnd"/>
      <w:r w:rsidRPr="00CC19F7">
        <w:t xml:space="preserve"> </w:t>
      </w:r>
      <w:proofErr w:type="spellStart"/>
      <w:r w:rsidRPr="00CC19F7">
        <w:t>energiverksemda</w:t>
      </w:r>
      <w:proofErr w:type="spellEnd"/>
      <w:r w:rsidRPr="00CC19F7">
        <w:t xml:space="preserve"> som har base i </w:t>
      </w:r>
      <w:proofErr w:type="spellStart"/>
      <w:r w:rsidRPr="00CC19F7">
        <w:t>Noreg</w:t>
      </w:r>
      <w:proofErr w:type="spellEnd"/>
      <w:r w:rsidRPr="00CC19F7">
        <w:t xml:space="preserve">. Dette blir mellom anna gjort gjennom samarbeid og dialog mellom norsk industri og internasjonale selskap og </w:t>
      </w:r>
      <w:proofErr w:type="spellStart"/>
      <w:r w:rsidRPr="00CC19F7">
        <w:t>myndigheiter</w:t>
      </w:r>
      <w:proofErr w:type="spellEnd"/>
      <w:r w:rsidRPr="00CC19F7">
        <w:t>.</w:t>
      </w:r>
    </w:p>
    <w:p w14:paraId="14093437" w14:textId="77777777" w:rsidR="00FE02EF" w:rsidRPr="00CC19F7" w:rsidRDefault="00881E58" w:rsidP="00CC19F7">
      <w:r w:rsidRPr="00CC19F7">
        <w:t xml:space="preserve">Menon </w:t>
      </w:r>
      <w:proofErr w:type="spellStart"/>
      <w:r w:rsidRPr="00CC19F7">
        <w:t>Economics</w:t>
      </w:r>
      <w:proofErr w:type="spellEnd"/>
      <w:r w:rsidRPr="00CC19F7">
        <w:t xml:space="preserve"> har gjennomført ei evaluering av måloppnåing og effektivitet for NORWEP og </w:t>
      </w:r>
      <w:proofErr w:type="spellStart"/>
      <w:r w:rsidRPr="00CC19F7">
        <w:t>moglegheiter</w:t>
      </w:r>
      <w:proofErr w:type="spellEnd"/>
      <w:r w:rsidRPr="00CC19F7">
        <w:t xml:space="preserve"> for å endre finansieringsform (Menon-publikasjon nummer 90/2023). I evalueringa blir det </w:t>
      </w:r>
      <w:proofErr w:type="spellStart"/>
      <w:r w:rsidRPr="00CC19F7">
        <w:t>trekt</w:t>
      </w:r>
      <w:proofErr w:type="spellEnd"/>
      <w:r w:rsidRPr="00CC19F7">
        <w:t xml:space="preserve"> fram at NORWEP har bidratt til </w:t>
      </w:r>
      <w:proofErr w:type="spellStart"/>
      <w:r w:rsidRPr="00CC19F7">
        <w:t>auka</w:t>
      </w:r>
      <w:proofErr w:type="spellEnd"/>
      <w:r w:rsidRPr="00CC19F7">
        <w:t xml:space="preserve"> og/eller </w:t>
      </w:r>
      <w:proofErr w:type="spellStart"/>
      <w:r w:rsidRPr="00CC19F7">
        <w:t>raskare</w:t>
      </w:r>
      <w:proofErr w:type="spellEnd"/>
      <w:r w:rsidRPr="00CC19F7">
        <w:t xml:space="preserve"> internasjonalisering av industrien, og at organisasjonen når måla som er sett på </w:t>
      </w:r>
      <w:proofErr w:type="spellStart"/>
      <w:r w:rsidRPr="00CC19F7">
        <w:t>ein</w:t>
      </w:r>
      <w:proofErr w:type="spellEnd"/>
      <w:r w:rsidRPr="00CC19F7">
        <w:t xml:space="preserve"> god måte. Effektiviteten til NORWEP blir vurdert som høg, men grenseflatene mellom NORWEP og Innovasjon </w:t>
      </w:r>
      <w:proofErr w:type="spellStart"/>
      <w:r w:rsidRPr="00CC19F7">
        <w:t>Noreg</w:t>
      </w:r>
      <w:proofErr w:type="spellEnd"/>
      <w:r w:rsidRPr="00CC19F7">
        <w:t xml:space="preserve"> er </w:t>
      </w:r>
      <w:proofErr w:type="spellStart"/>
      <w:r w:rsidRPr="00CC19F7">
        <w:t>ikkje</w:t>
      </w:r>
      <w:proofErr w:type="spellEnd"/>
      <w:r w:rsidRPr="00CC19F7">
        <w:t xml:space="preserve"> </w:t>
      </w:r>
      <w:proofErr w:type="spellStart"/>
      <w:r w:rsidRPr="00CC19F7">
        <w:t>tilstrekkeleg</w:t>
      </w:r>
      <w:proofErr w:type="spellEnd"/>
      <w:r w:rsidRPr="00CC19F7">
        <w:t xml:space="preserve"> klare, </w:t>
      </w:r>
      <w:proofErr w:type="spellStart"/>
      <w:r w:rsidRPr="00CC19F7">
        <w:t>noko</w:t>
      </w:r>
      <w:proofErr w:type="spellEnd"/>
      <w:r w:rsidRPr="00CC19F7">
        <w:t xml:space="preserve"> som trekker ned effektiviteten. For å betre koordineringa mellom Nærings- og fiskeridepartementet og Olje- og energidepartementet og grenseflatene mellom NORWEP og Innovasjon </w:t>
      </w:r>
      <w:proofErr w:type="spellStart"/>
      <w:r w:rsidRPr="00CC19F7">
        <w:t>Noreg</w:t>
      </w:r>
      <w:proofErr w:type="spellEnd"/>
      <w:r w:rsidRPr="00CC19F7">
        <w:t xml:space="preserve">, blir det foreslått at rolla til NORWEP blir gjord </w:t>
      </w:r>
      <w:proofErr w:type="spellStart"/>
      <w:r w:rsidRPr="00CC19F7">
        <w:t>tydeleg</w:t>
      </w:r>
      <w:proofErr w:type="spellEnd"/>
      <w:r w:rsidRPr="00CC19F7">
        <w:t xml:space="preserve"> og inngår som </w:t>
      </w:r>
      <w:proofErr w:type="spellStart"/>
      <w:r w:rsidRPr="00CC19F7">
        <w:t>oppdragstakar</w:t>
      </w:r>
      <w:proofErr w:type="spellEnd"/>
      <w:r w:rsidRPr="00CC19F7">
        <w:t xml:space="preserve"> </w:t>
      </w:r>
      <w:proofErr w:type="spellStart"/>
      <w:r w:rsidRPr="00CC19F7">
        <w:t>saman</w:t>
      </w:r>
      <w:proofErr w:type="spellEnd"/>
      <w:r w:rsidRPr="00CC19F7">
        <w:t xml:space="preserve"> med Innovasjon </w:t>
      </w:r>
      <w:proofErr w:type="spellStart"/>
      <w:r w:rsidRPr="00CC19F7">
        <w:t>Noreg</w:t>
      </w:r>
      <w:proofErr w:type="spellEnd"/>
      <w:r w:rsidRPr="00CC19F7">
        <w:t xml:space="preserve"> under eksportfremmetiltak med finansiering over Nærings- og fiskeridepartementets budsjett, jf. kap. 940 Internasjonaliseringstiltak, post 70 Eksportfremmetiltak.</w:t>
      </w:r>
    </w:p>
    <w:p w14:paraId="4024E843" w14:textId="77777777" w:rsidR="00FE02EF" w:rsidRPr="00CC19F7" w:rsidRDefault="00881E58" w:rsidP="00CC19F7">
      <w:r w:rsidRPr="00CC19F7">
        <w:t xml:space="preserve">Det blir foreslått </w:t>
      </w:r>
      <w:proofErr w:type="spellStart"/>
      <w:r w:rsidRPr="00CC19F7">
        <w:t>eit</w:t>
      </w:r>
      <w:proofErr w:type="spellEnd"/>
      <w:r w:rsidRPr="00CC19F7">
        <w:t xml:space="preserve"> </w:t>
      </w:r>
      <w:proofErr w:type="spellStart"/>
      <w:r w:rsidRPr="00CC19F7">
        <w:t>tilskot</w:t>
      </w:r>
      <w:proofErr w:type="spellEnd"/>
      <w:r w:rsidRPr="00CC19F7">
        <w:t xml:space="preserve"> på 26,4 mill. kroner til NORWEP. I tillegg blir det foreslått </w:t>
      </w:r>
      <w:proofErr w:type="spellStart"/>
      <w:r w:rsidRPr="00CC19F7">
        <w:t>eit</w:t>
      </w:r>
      <w:proofErr w:type="spellEnd"/>
      <w:r w:rsidRPr="00CC19F7">
        <w:t xml:space="preserve"> </w:t>
      </w:r>
      <w:proofErr w:type="spellStart"/>
      <w:r w:rsidRPr="00CC19F7">
        <w:t>tilskot</w:t>
      </w:r>
      <w:proofErr w:type="spellEnd"/>
      <w:r w:rsidRPr="00CC19F7">
        <w:t xml:space="preserve"> på 10 mill. kroner til NORWEP om eksportfremme over Nærings- og fiskeridepartementets budsjett i tett samarbeid med resten av </w:t>
      </w:r>
      <w:proofErr w:type="spellStart"/>
      <w:r w:rsidRPr="00CC19F7">
        <w:t>dei</w:t>
      </w:r>
      <w:proofErr w:type="spellEnd"/>
      <w:r w:rsidRPr="00CC19F7">
        <w:t xml:space="preserve"> næringsretta </w:t>
      </w:r>
      <w:proofErr w:type="spellStart"/>
      <w:r w:rsidRPr="00CC19F7">
        <w:t>verkemiddelaktørane</w:t>
      </w:r>
      <w:proofErr w:type="spellEnd"/>
      <w:r w:rsidRPr="00CC19F7">
        <w:t xml:space="preserve"> og </w:t>
      </w:r>
      <w:proofErr w:type="spellStart"/>
      <w:r w:rsidRPr="00CC19F7">
        <w:t>utanrikstenesta</w:t>
      </w:r>
      <w:proofErr w:type="spellEnd"/>
      <w:r w:rsidRPr="00CC19F7">
        <w:t xml:space="preserve">. </w:t>
      </w:r>
      <w:proofErr w:type="spellStart"/>
      <w:r w:rsidRPr="00CC19F7">
        <w:t>Midlane</w:t>
      </w:r>
      <w:proofErr w:type="spellEnd"/>
      <w:r w:rsidRPr="00CC19F7">
        <w:t xml:space="preserve"> til eksportfremme skal brukast til å gjennomføre strategiske </w:t>
      </w:r>
      <w:proofErr w:type="spellStart"/>
      <w:r w:rsidRPr="00CC19F7">
        <w:t>eksportfremmesatsingar</w:t>
      </w:r>
      <w:proofErr w:type="spellEnd"/>
      <w:r w:rsidRPr="00CC19F7">
        <w:t>, jf. kap. 940 Internasjonaliseringstiltak, post 70 Eksportfremme.</w:t>
      </w:r>
    </w:p>
    <w:p w14:paraId="62EF3AB7" w14:textId="77777777" w:rsidR="00FE02EF" w:rsidRPr="00CC19F7" w:rsidRDefault="00881E58" w:rsidP="00CC19F7">
      <w:proofErr w:type="spellStart"/>
      <w:r w:rsidRPr="00CC19F7">
        <w:t>Tilskot</w:t>
      </w:r>
      <w:proofErr w:type="spellEnd"/>
      <w:r w:rsidRPr="00CC19F7">
        <w:t xml:space="preserve"> skal bidra til å fremme internasjonal </w:t>
      </w:r>
      <w:proofErr w:type="spellStart"/>
      <w:r w:rsidRPr="00CC19F7">
        <w:t>verksemd</w:t>
      </w:r>
      <w:proofErr w:type="spellEnd"/>
      <w:r w:rsidRPr="00CC19F7">
        <w:t xml:space="preserve"> for norske selskap </w:t>
      </w:r>
      <w:proofErr w:type="spellStart"/>
      <w:r w:rsidRPr="00CC19F7">
        <w:t>innan</w:t>
      </w:r>
      <w:proofErr w:type="spellEnd"/>
      <w:r w:rsidRPr="00CC19F7">
        <w:t xml:space="preserve"> energisektoren og dele informasjon om </w:t>
      </w:r>
      <w:proofErr w:type="spellStart"/>
      <w:r w:rsidRPr="00CC19F7">
        <w:t>moglegheiter</w:t>
      </w:r>
      <w:proofErr w:type="spellEnd"/>
      <w:r w:rsidRPr="00CC19F7">
        <w:t xml:space="preserve"> i internasjonale </w:t>
      </w:r>
      <w:proofErr w:type="spellStart"/>
      <w:r w:rsidRPr="00CC19F7">
        <w:t>marknader</w:t>
      </w:r>
      <w:proofErr w:type="spellEnd"/>
      <w:r w:rsidRPr="00CC19F7">
        <w:t xml:space="preserve"> ved mellom anna å </w:t>
      </w:r>
      <w:proofErr w:type="spellStart"/>
      <w:r w:rsidRPr="00CC19F7">
        <w:t>halde</w:t>
      </w:r>
      <w:proofErr w:type="spellEnd"/>
      <w:r w:rsidRPr="00CC19F7">
        <w:t xml:space="preserve"> seminar og legge til rette for </w:t>
      </w:r>
      <w:proofErr w:type="spellStart"/>
      <w:r w:rsidRPr="00CC19F7">
        <w:t>møteplassar</w:t>
      </w:r>
      <w:proofErr w:type="spellEnd"/>
      <w:r w:rsidRPr="00CC19F7">
        <w:t xml:space="preserve"> som er </w:t>
      </w:r>
      <w:proofErr w:type="spellStart"/>
      <w:r w:rsidRPr="00CC19F7">
        <w:t>opne</w:t>
      </w:r>
      <w:proofErr w:type="spellEnd"/>
      <w:r w:rsidRPr="00CC19F7">
        <w:t xml:space="preserve"> for alle </w:t>
      </w:r>
      <w:proofErr w:type="spellStart"/>
      <w:r w:rsidRPr="00CC19F7">
        <w:t>verksemder</w:t>
      </w:r>
      <w:proofErr w:type="spellEnd"/>
      <w:r w:rsidRPr="00CC19F7">
        <w:t xml:space="preserve"> som ønsker å delta.</w:t>
      </w:r>
    </w:p>
    <w:p w14:paraId="0EAC594C" w14:textId="77777777" w:rsidR="00FE02EF" w:rsidRPr="00CC19F7" w:rsidRDefault="00881E58" w:rsidP="00CC19F7">
      <w:pPr>
        <w:pStyle w:val="avsnitt-tittel"/>
      </w:pPr>
      <w:r w:rsidRPr="00CC19F7">
        <w:t xml:space="preserve">Mål og </w:t>
      </w:r>
      <w:proofErr w:type="spellStart"/>
      <w:r w:rsidRPr="00CC19F7">
        <w:t>aktivitetar</w:t>
      </w:r>
      <w:proofErr w:type="spellEnd"/>
    </w:p>
    <w:p w14:paraId="04EA71C9" w14:textId="77777777" w:rsidR="00FE02EF" w:rsidRPr="00CC19F7" w:rsidRDefault="00881E58" w:rsidP="00CC19F7">
      <w:r w:rsidRPr="00CC19F7">
        <w:t xml:space="preserve">NORWEP arbeider for eksportfremme ved mellom anna å styrke posisjonen til norsk leverandørindustri </w:t>
      </w:r>
      <w:proofErr w:type="spellStart"/>
      <w:r w:rsidRPr="00CC19F7">
        <w:t>innan</w:t>
      </w:r>
      <w:proofErr w:type="spellEnd"/>
      <w:r w:rsidRPr="00CC19F7">
        <w:t xml:space="preserve"> fornybar energi og å </w:t>
      </w:r>
      <w:proofErr w:type="spellStart"/>
      <w:r w:rsidRPr="00CC19F7">
        <w:t>halde</w:t>
      </w:r>
      <w:proofErr w:type="spellEnd"/>
      <w:r w:rsidRPr="00CC19F7">
        <w:t xml:space="preserve"> oppe den sterke posisjonen norsk leverandørindustri har </w:t>
      </w:r>
      <w:proofErr w:type="spellStart"/>
      <w:r w:rsidRPr="00CC19F7">
        <w:t>innanfor</w:t>
      </w:r>
      <w:proofErr w:type="spellEnd"/>
      <w:r w:rsidRPr="00CC19F7">
        <w:t xml:space="preserve"> olje- og gassnæringa. NORWEP har også ei viktig rolle i å følge opp regjeringas ambisjon om </w:t>
      </w:r>
      <w:proofErr w:type="spellStart"/>
      <w:r w:rsidRPr="00CC19F7">
        <w:t>auka</w:t>
      </w:r>
      <w:proofErr w:type="spellEnd"/>
      <w:r w:rsidRPr="00CC19F7">
        <w:t xml:space="preserve"> eksport og satsinga «Heile </w:t>
      </w:r>
      <w:proofErr w:type="spellStart"/>
      <w:r w:rsidRPr="00CC19F7">
        <w:t>Noreg</w:t>
      </w:r>
      <w:proofErr w:type="spellEnd"/>
      <w:r w:rsidRPr="00CC19F7">
        <w:t xml:space="preserve"> eksporterer».</w:t>
      </w:r>
    </w:p>
    <w:p w14:paraId="311BCFD6" w14:textId="77777777" w:rsidR="00FE02EF" w:rsidRPr="00CC19F7" w:rsidRDefault="00881E58" w:rsidP="00CC19F7">
      <w:r w:rsidRPr="00CC19F7">
        <w:t xml:space="preserve">Det er </w:t>
      </w:r>
      <w:proofErr w:type="spellStart"/>
      <w:r w:rsidRPr="00CC19F7">
        <w:t>framleis</w:t>
      </w:r>
      <w:proofErr w:type="spellEnd"/>
      <w:r w:rsidRPr="00CC19F7">
        <w:t xml:space="preserve"> mange internasjonale </w:t>
      </w:r>
      <w:proofErr w:type="spellStart"/>
      <w:r w:rsidRPr="00CC19F7">
        <w:t>prosjektmoglegheiter</w:t>
      </w:r>
      <w:proofErr w:type="spellEnd"/>
      <w:r w:rsidRPr="00CC19F7">
        <w:t xml:space="preserve"> </w:t>
      </w:r>
      <w:proofErr w:type="spellStart"/>
      <w:r w:rsidRPr="00CC19F7">
        <w:t>innanfor</w:t>
      </w:r>
      <w:proofErr w:type="spellEnd"/>
      <w:r w:rsidRPr="00CC19F7">
        <w:t xml:space="preserve"> olje og gass. NORWEP vil arbeide for at </w:t>
      </w:r>
      <w:proofErr w:type="spellStart"/>
      <w:r w:rsidRPr="00CC19F7">
        <w:t>Noreg</w:t>
      </w:r>
      <w:proofErr w:type="spellEnd"/>
      <w:r w:rsidRPr="00CC19F7">
        <w:t xml:space="preserve"> kan </w:t>
      </w:r>
      <w:proofErr w:type="spellStart"/>
      <w:r w:rsidRPr="00CC19F7">
        <w:t>behalde</w:t>
      </w:r>
      <w:proofErr w:type="spellEnd"/>
      <w:r w:rsidRPr="00CC19F7">
        <w:t xml:space="preserve">, og </w:t>
      </w:r>
      <w:proofErr w:type="spellStart"/>
      <w:r w:rsidRPr="00CC19F7">
        <w:t>auke</w:t>
      </w:r>
      <w:proofErr w:type="spellEnd"/>
      <w:r w:rsidRPr="00CC19F7">
        <w:t xml:space="preserve">, sin </w:t>
      </w:r>
      <w:proofErr w:type="spellStart"/>
      <w:r w:rsidRPr="00CC19F7">
        <w:t>marknadsandel</w:t>
      </w:r>
      <w:proofErr w:type="spellEnd"/>
      <w:r w:rsidRPr="00CC19F7">
        <w:t xml:space="preserve"> i den globale </w:t>
      </w:r>
      <w:proofErr w:type="spellStart"/>
      <w:r w:rsidRPr="00CC19F7">
        <w:t>marknaden</w:t>
      </w:r>
      <w:proofErr w:type="spellEnd"/>
      <w:r w:rsidRPr="00CC19F7">
        <w:t>.</w:t>
      </w:r>
    </w:p>
    <w:p w14:paraId="130117D7" w14:textId="77777777" w:rsidR="00FE02EF" w:rsidRPr="00CC19F7" w:rsidRDefault="00881E58" w:rsidP="00CC19F7">
      <w:r w:rsidRPr="00CC19F7">
        <w:t xml:space="preserve">I den internasjonale </w:t>
      </w:r>
      <w:proofErr w:type="spellStart"/>
      <w:r w:rsidRPr="00CC19F7">
        <w:t>marknaden</w:t>
      </w:r>
      <w:proofErr w:type="spellEnd"/>
      <w:r w:rsidRPr="00CC19F7">
        <w:t xml:space="preserve"> for fornybar energi er det størst </w:t>
      </w:r>
      <w:proofErr w:type="spellStart"/>
      <w:r w:rsidRPr="00CC19F7">
        <w:t>vekstmoglegheiter</w:t>
      </w:r>
      <w:proofErr w:type="spellEnd"/>
      <w:r w:rsidRPr="00CC19F7">
        <w:t xml:space="preserve"> </w:t>
      </w:r>
      <w:proofErr w:type="spellStart"/>
      <w:r w:rsidRPr="00CC19F7">
        <w:t>innan</w:t>
      </w:r>
      <w:proofErr w:type="spellEnd"/>
      <w:r w:rsidRPr="00CC19F7">
        <w:t xml:space="preserve"> havvind. Norske </w:t>
      </w:r>
      <w:proofErr w:type="spellStart"/>
      <w:r w:rsidRPr="00CC19F7">
        <w:t>aktørar</w:t>
      </w:r>
      <w:proofErr w:type="spellEnd"/>
      <w:r w:rsidRPr="00CC19F7">
        <w:t xml:space="preserve"> har </w:t>
      </w:r>
      <w:proofErr w:type="spellStart"/>
      <w:r w:rsidRPr="00CC19F7">
        <w:t>ein</w:t>
      </w:r>
      <w:proofErr w:type="spellEnd"/>
      <w:r w:rsidRPr="00CC19F7">
        <w:t xml:space="preserve"> relativt liten andel av </w:t>
      </w:r>
      <w:proofErr w:type="spellStart"/>
      <w:r w:rsidRPr="00CC19F7">
        <w:t>ein</w:t>
      </w:r>
      <w:proofErr w:type="spellEnd"/>
      <w:r w:rsidRPr="00CC19F7">
        <w:t xml:space="preserve"> sterkt </w:t>
      </w:r>
      <w:proofErr w:type="spellStart"/>
      <w:r w:rsidRPr="00CC19F7">
        <w:t>veksande</w:t>
      </w:r>
      <w:proofErr w:type="spellEnd"/>
      <w:r w:rsidRPr="00CC19F7">
        <w:t xml:space="preserve"> internasjonal </w:t>
      </w:r>
      <w:proofErr w:type="spellStart"/>
      <w:r w:rsidRPr="00CC19F7">
        <w:t>marknad</w:t>
      </w:r>
      <w:proofErr w:type="spellEnd"/>
      <w:r w:rsidRPr="00CC19F7">
        <w:t xml:space="preserve"> </w:t>
      </w:r>
      <w:proofErr w:type="spellStart"/>
      <w:r w:rsidRPr="00CC19F7">
        <w:t>innanfor</w:t>
      </w:r>
      <w:proofErr w:type="spellEnd"/>
      <w:r w:rsidRPr="00CC19F7">
        <w:t xml:space="preserve"> fornybar energi, men som det er </w:t>
      </w:r>
      <w:proofErr w:type="spellStart"/>
      <w:r w:rsidRPr="00CC19F7">
        <w:t>mogleg</w:t>
      </w:r>
      <w:proofErr w:type="spellEnd"/>
      <w:r w:rsidRPr="00CC19F7">
        <w:t xml:space="preserve"> å </w:t>
      </w:r>
      <w:proofErr w:type="spellStart"/>
      <w:r w:rsidRPr="00CC19F7">
        <w:t>auke</w:t>
      </w:r>
      <w:proofErr w:type="spellEnd"/>
      <w:r w:rsidRPr="00CC19F7">
        <w:t xml:space="preserve">. Innsatsen </w:t>
      </w:r>
      <w:proofErr w:type="spellStart"/>
      <w:r w:rsidRPr="00CC19F7">
        <w:t>innan</w:t>
      </w:r>
      <w:proofErr w:type="spellEnd"/>
      <w:r w:rsidRPr="00CC19F7">
        <w:t xml:space="preserve"> fornybar energi / kraftsektoren vil ha </w:t>
      </w:r>
      <w:proofErr w:type="spellStart"/>
      <w:r w:rsidRPr="00CC19F7">
        <w:t>hovudvekt</w:t>
      </w:r>
      <w:proofErr w:type="spellEnd"/>
      <w:r w:rsidRPr="00CC19F7">
        <w:t xml:space="preserve"> på havvind, vasskraft og </w:t>
      </w:r>
      <w:proofErr w:type="spellStart"/>
      <w:r w:rsidRPr="00CC19F7">
        <w:t>såkalla</w:t>
      </w:r>
      <w:proofErr w:type="spellEnd"/>
      <w:r w:rsidRPr="00CC19F7">
        <w:t xml:space="preserve"> </w:t>
      </w:r>
      <w:proofErr w:type="spellStart"/>
      <w:r w:rsidRPr="00CC19F7">
        <w:t>mogleggjerande</w:t>
      </w:r>
      <w:proofErr w:type="spellEnd"/>
      <w:r w:rsidRPr="00CC19F7">
        <w:t xml:space="preserve"> </w:t>
      </w:r>
      <w:proofErr w:type="spellStart"/>
      <w:r w:rsidRPr="00CC19F7">
        <w:t>teknologiar</w:t>
      </w:r>
      <w:proofErr w:type="spellEnd"/>
      <w:r w:rsidRPr="00CC19F7">
        <w:t xml:space="preserve">, det vil </w:t>
      </w:r>
      <w:proofErr w:type="spellStart"/>
      <w:r w:rsidRPr="00CC19F7">
        <w:t>seie</w:t>
      </w:r>
      <w:proofErr w:type="spellEnd"/>
      <w:r w:rsidRPr="00CC19F7">
        <w:t xml:space="preserve"> kompetanse på system og </w:t>
      </w:r>
      <w:proofErr w:type="spellStart"/>
      <w:r w:rsidRPr="00CC19F7">
        <w:t>teknologiar</w:t>
      </w:r>
      <w:proofErr w:type="spellEnd"/>
      <w:r w:rsidRPr="00CC19F7">
        <w:t xml:space="preserve"> som høyrer til fornybar energiproduksjon, deriblant digitalisering.</w:t>
      </w:r>
    </w:p>
    <w:p w14:paraId="2BFC5771" w14:textId="77777777" w:rsidR="00FE02EF" w:rsidRPr="00CC19F7" w:rsidRDefault="00881E58" w:rsidP="00CC19F7">
      <w:r w:rsidRPr="00CC19F7">
        <w:t xml:space="preserve">For små selskap er det ekstra </w:t>
      </w:r>
      <w:proofErr w:type="spellStart"/>
      <w:r w:rsidRPr="00CC19F7">
        <w:t>krevjande</w:t>
      </w:r>
      <w:proofErr w:type="spellEnd"/>
      <w:r w:rsidRPr="00CC19F7">
        <w:t xml:space="preserve"> å nå internasjonale </w:t>
      </w:r>
      <w:proofErr w:type="spellStart"/>
      <w:r w:rsidRPr="00CC19F7">
        <w:t>marknader</w:t>
      </w:r>
      <w:proofErr w:type="spellEnd"/>
      <w:r w:rsidRPr="00CC19F7">
        <w:t xml:space="preserve">. NORWEP tilbyr derfor rådgiving til </w:t>
      </w:r>
      <w:proofErr w:type="spellStart"/>
      <w:r w:rsidRPr="00CC19F7">
        <w:t>partnarane</w:t>
      </w:r>
      <w:proofErr w:type="spellEnd"/>
      <w:r w:rsidRPr="00CC19F7">
        <w:t xml:space="preserve"> </w:t>
      </w:r>
      <w:proofErr w:type="spellStart"/>
      <w:r w:rsidRPr="00CC19F7">
        <w:t>innanfor</w:t>
      </w:r>
      <w:proofErr w:type="spellEnd"/>
      <w:r w:rsidRPr="00CC19F7">
        <w:t xml:space="preserve"> </w:t>
      </w:r>
      <w:proofErr w:type="spellStart"/>
      <w:r w:rsidRPr="00CC19F7">
        <w:t>desse</w:t>
      </w:r>
      <w:proofErr w:type="spellEnd"/>
      <w:r w:rsidRPr="00CC19F7">
        <w:t xml:space="preserve"> områda og har </w:t>
      </w:r>
      <w:proofErr w:type="spellStart"/>
      <w:r w:rsidRPr="00CC19F7">
        <w:t>eit</w:t>
      </w:r>
      <w:proofErr w:type="spellEnd"/>
      <w:r w:rsidRPr="00CC19F7">
        <w:t xml:space="preserve"> eige opplegg knytt til antikorrupsjon. Ved å opptre samla får </w:t>
      </w:r>
      <w:proofErr w:type="spellStart"/>
      <w:r w:rsidRPr="00CC19F7">
        <w:t>særleg</w:t>
      </w:r>
      <w:proofErr w:type="spellEnd"/>
      <w:r w:rsidRPr="00CC19F7">
        <w:t xml:space="preserve"> </w:t>
      </w:r>
      <w:proofErr w:type="spellStart"/>
      <w:r w:rsidRPr="00CC19F7">
        <w:t>dei</w:t>
      </w:r>
      <w:proofErr w:type="spellEnd"/>
      <w:r w:rsidRPr="00CC19F7">
        <w:t xml:space="preserve"> små og mellomstore bedriftene </w:t>
      </w:r>
      <w:proofErr w:type="spellStart"/>
      <w:r w:rsidRPr="00CC19F7">
        <w:t>lettare</w:t>
      </w:r>
      <w:proofErr w:type="spellEnd"/>
      <w:r w:rsidRPr="00CC19F7">
        <w:t xml:space="preserve"> tilgang til </w:t>
      </w:r>
      <w:proofErr w:type="spellStart"/>
      <w:r w:rsidRPr="00CC19F7">
        <w:t>myndigheiter</w:t>
      </w:r>
      <w:proofErr w:type="spellEnd"/>
      <w:r w:rsidRPr="00CC19F7">
        <w:t xml:space="preserve"> og </w:t>
      </w:r>
      <w:proofErr w:type="spellStart"/>
      <w:r w:rsidRPr="00CC19F7">
        <w:t>kundar</w:t>
      </w:r>
      <w:proofErr w:type="spellEnd"/>
      <w:r w:rsidRPr="00CC19F7">
        <w:t xml:space="preserve"> i utlandet.</w:t>
      </w:r>
    </w:p>
    <w:p w14:paraId="0AB356B5" w14:textId="77777777" w:rsidR="00FE02EF" w:rsidRPr="00CC19F7" w:rsidRDefault="00881E58" w:rsidP="00CC19F7">
      <w:proofErr w:type="spellStart"/>
      <w:r w:rsidRPr="00CC19F7">
        <w:t>Eit</w:t>
      </w:r>
      <w:proofErr w:type="spellEnd"/>
      <w:r w:rsidRPr="00CC19F7">
        <w:t xml:space="preserve"> viktig område for NORWEP er nye teknologiområde der kompetanse </w:t>
      </w:r>
      <w:proofErr w:type="spellStart"/>
      <w:r w:rsidRPr="00CC19F7">
        <w:t>frå</w:t>
      </w:r>
      <w:proofErr w:type="spellEnd"/>
      <w:r w:rsidRPr="00CC19F7">
        <w:t xml:space="preserve"> både fornybar- og petroleumsnæringa kan </w:t>
      </w:r>
      <w:proofErr w:type="spellStart"/>
      <w:r w:rsidRPr="00CC19F7">
        <w:t>utnyttast</w:t>
      </w:r>
      <w:proofErr w:type="spellEnd"/>
      <w:r w:rsidRPr="00CC19F7">
        <w:t xml:space="preserve"> for å </w:t>
      </w:r>
      <w:proofErr w:type="spellStart"/>
      <w:r w:rsidRPr="00CC19F7">
        <w:t>auke</w:t>
      </w:r>
      <w:proofErr w:type="spellEnd"/>
      <w:r w:rsidRPr="00CC19F7">
        <w:t xml:space="preserve"> eksporten av norske varer og </w:t>
      </w:r>
      <w:proofErr w:type="spellStart"/>
      <w:r w:rsidRPr="00CC19F7">
        <w:t>tenester</w:t>
      </w:r>
      <w:proofErr w:type="spellEnd"/>
      <w:r w:rsidRPr="00CC19F7">
        <w:t xml:space="preserve">. </w:t>
      </w:r>
      <w:proofErr w:type="spellStart"/>
      <w:r w:rsidRPr="00CC19F7">
        <w:t>Særleg</w:t>
      </w:r>
      <w:proofErr w:type="spellEnd"/>
      <w:r w:rsidRPr="00CC19F7">
        <w:t xml:space="preserve"> </w:t>
      </w:r>
      <w:proofErr w:type="spellStart"/>
      <w:r w:rsidRPr="00CC19F7">
        <w:t>innanfor</w:t>
      </w:r>
      <w:proofErr w:type="spellEnd"/>
      <w:r w:rsidRPr="00CC19F7">
        <w:t xml:space="preserve"> havvind er det </w:t>
      </w:r>
      <w:proofErr w:type="spellStart"/>
      <w:r w:rsidRPr="00CC19F7">
        <w:t>aukande</w:t>
      </w:r>
      <w:proofErr w:type="spellEnd"/>
      <w:r w:rsidRPr="00CC19F7">
        <w:t xml:space="preserve"> interesse </w:t>
      </w:r>
      <w:proofErr w:type="spellStart"/>
      <w:r w:rsidRPr="00CC19F7">
        <w:t>frå</w:t>
      </w:r>
      <w:proofErr w:type="spellEnd"/>
      <w:r w:rsidRPr="00CC19F7">
        <w:t xml:space="preserve"> selskap som i dag </w:t>
      </w:r>
      <w:proofErr w:type="spellStart"/>
      <w:r w:rsidRPr="00CC19F7">
        <w:t>hovudsakleg</w:t>
      </w:r>
      <w:proofErr w:type="spellEnd"/>
      <w:r w:rsidRPr="00CC19F7">
        <w:t xml:space="preserve"> er </w:t>
      </w:r>
      <w:proofErr w:type="spellStart"/>
      <w:r w:rsidRPr="00CC19F7">
        <w:t>leverandørar</w:t>
      </w:r>
      <w:proofErr w:type="spellEnd"/>
      <w:r w:rsidRPr="00CC19F7">
        <w:t xml:space="preserve"> til petroleumssektoren. </w:t>
      </w:r>
      <w:proofErr w:type="spellStart"/>
      <w:r w:rsidRPr="00CC19F7">
        <w:t>Innanfor</w:t>
      </w:r>
      <w:proofErr w:type="spellEnd"/>
      <w:r w:rsidRPr="00CC19F7">
        <w:t xml:space="preserve"> CO</w:t>
      </w:r>
      <w:r w:rsidRPr="00CC19F7">
        <w:rPr>
          <w:rStyle w:val="skrift-senket"/>
        </w:rPr>
        <w:t>2</w:t>
      </w:r>
      <w:r w:rsidRPr="00CC19F7">
        <w:t>-handtering og hydrogen vil også NORWEP kunne hjelpe norskbasert teknologi og kompetanse med å konkurrere i utlandet.</w:t>
      </w:r>
    </w:p>
    <w:p w14:paraId="1D120A44" w14:textId="77777777" w:rsidR="00FE02EF" w:rsidRPr="00CC19F7" w:rsidRDefault="00881E58" w:rsidP="00CC19F7">
      <w:r w:rsidRPr="00CC19F7">
        <w:t xml:space="preserve">NORWEP har i </w:t>
      </w:r>
      <w:proofErr w:type="spellStart"/>
      <w:r w:rsidRPr="00CC19F7">
        <w:t>dei</w:t>
      </w:r>
      <w:proofErr w:type="spellEnd"/>
      <w:r w:rsidRPr="00CC19F7">
        <w:t xml:space="preserve"> </w:t>
      </w:r>
      <w:proofErr w:type="spellStart"/>
      <w:r w:rsidRPr="00CC19F7">
        <w:t>seinare</w:t>
      </w:r>
      <w:proofErr w:type="spellEnd"/>
      <w:r w:rsidRPr="00CC19F7">
        <w:t xml:space="preserve"> åra bygd </w:t>
      </w:r>
      <w:proofErr w:type="spellStart"/>
      <w:r w:rsidRPr="00CC19F7">
        <w:t>ein</w:t>
      </w:r>
      <w:proofErr w:type="spellEnd"/>
      <w:r w:rsidRPr="00CC19F7">
        <w:t xml:space="preserve"> sterk organisasjon med fagkompetanse </w:t>
      </w:r>
      <w:proofErr w:type="spellStart"/>
      <w:r w:rsidRPr="00CC19F7">
        <w:t>innan</w:t>
      </w:r>
      <w:proofErr w:type="spellEnd"/>
      <w:r w:rsidRPr="00CC19F7">
        <w:t xml:space="preserve"> alle teknologiområda. Organisasjonen har styrkt uteapparatet og er </w:t>
      </w:r>
      <w:proofErr w:type="spellStart"/>
      <w:r w:rsidRPr="00CC19F7">
        <w:t>no</w:t>
      </w:r>
      <w:proofErr w:type="spellEnd"/>
      <w:r w:rsidRPr="00CC19F7">
        <w:t xml:space="preserve"> representert i 27 </w:t>
      </w:r>
      <w:proofErr w:type="spellStart"/>
      <w:r w:rsidRPr="00CC19F7">
        <w:t>marknader</w:t>
      </w:r>
      <w:proofErr w:type="spellEnd"/>
      <w:r w:rsidRPr="00CC19F7">
        <w:t xml:space="preserve"> </w:t>
      </w:r>
      <w:proofErr w:type="spellStart"/>
      <w:r w:rsidRPr="00CC19F7">
        <w:t>utanfor</w:t>
      </w:r>
      <w:proofErr w:type="spellEnd"/>
      <w:r w:rsidRPr="00CC19F7">
        <w:t xml:space="preserve"> </w:t>
      </w:r>
      <w:proofErr w:type="spellStart"/>
      <w:r w:rsidRPr="00CC19F7">
        <w:t>Noreg</w:t>
      </w:r>
      <w:proofErr w:type="spellEnd"/>
      <w:r w:rsidRPr="00CC19F7">
        <w:t xml:space="preserve">. Dei internasjonale </w:t>
      </w:r>
      <w:proofErr w:type="spellStart"/>
      <w:r w:rsidRPr="00CC19F7">
        <w:t>rådgivarane</w:t>
      </w:r>
      <w:proofErr w:type="spellEnd"/>
      <w:r w:rsidRPr="00CC19F7">
        <w:t xml:space="preserve"> skal dekke heile energifeltet.</w:t>
      </w:r>
    </w:p>
    <w:p w14:paraId="58208222" w14:textId="77777777" w:rsidR="00FE02EF" w:rsidRPr="00CC19F7" w:rsidRDefault="00881E58" w:rsidP="00CC19F7">
      <w:pPr>
        <w:pStyle w:val="avsnitt-tittel"/>
      </w:pPr>
      <w:r w:rsidRPr="00CC19F7">
        <w:t>Resultat 2022</w:t>
      </w:r>
    </w:p>
    <w:p w14:paraId="722D2B5D" w14:textId="77777777" w:rsidR="00FE02EF" w:rsidRPr="00CC19F7" w:rsidRDefault="00881E58" w:rsidP="00CC19F7">
      <w:r w:rsidRPr="00CC19F7">
        <w:t xml:space="preserve">NORWEP hadde inntekter på om lag 51 mill. kroner i 2022, av </w:t>
      </w:r>
      <w:proofErr w:type="spellStart"/>
      <w:r w:rsidRPr="00CC19F7">
        <w:t>dei</w:t>
      </w:r>
      <w:proofErr w:type="spellEnd"/>
      <w:r w:rsidRPr="00CC19F7">
        <w:t xml:space="preserve"> var 29 mill. kroner </w:t>
      </w:r>
      <w:proofErr w:type="spellStart"/>
      <w:r w:rsidRPr="00CC19F7">
        <w:t>tilskot</w:t>
      </w:r>
      <w:proofErr w:type="spellEnd"/>
      <w:r w:rsidRPr="00CC19F7">
        <w:t xml:space="preserve"> </w:t>
      </w:r>
      <w:proofErr w:type="spellStart"/>
      <w:r w:rsidRPr="00CC19F7">
        <w:t>frå</w:t>
      </w:r>
      <w:proofErr w:type="spellEnd"/>
      <w:r w:rsidRPr="00CC19F7">
        <w:t xml:space="preserve"> Olje- og energidepartementet. NORWEP hadde </w:t>
      </w:r>
      <w:proofErr w:type="spellStart"/>
      <w:r w:rsidRPr="00CC19F7">
        <w:t>eit</w:t>
      </w:r>
      <w:proofErr w:type="spellEnd"/>
      <w:r w:rsidRPr="00CC19F7">
        <w:t xml:space="preserve"> negativt årsresultat på om lag 11,6 mill. kroner, som blei dekt inn </w:t>
      </w:r>
      <w:proofErr w:type="spellStart"/>
      <w:r w:rsidRPr="00CC19F7">
        <w:t>frå</w:t>
      </w:r>
      <w:proofErr w:type="spellEnd"/>
      <w:r w:rsidRPr="00CC19F7">
        <w:t xml:space="preserve"> </w:t>
      </w:r>
      <w:proofErr w:type="spellStart"/>
      <w:r w:rsidRPr="00CC19F7">
        <w:t>annan</w:t>
      </w:r>
      <w:proofErr w:type="spellEnd"/>
      <w:r w:rsidRPr="00CC19F7">
        <w:t xml:space="preserve"> eigenkapital. Annan eigenkapital var på om lag 11 mill. kroner per 31. desember 2022.</w:t>
      </w:r>
    </w:p>
    <w:p w14:paraId="49E586E5" w14:textId="77777777" w:rsidR="00FE02EF" w:rsidRPr="00CC19F7" w:rsidRDefault="00881E58" w:rsidP="00CC19F7">
      <w:r w:rsidRPr="00CC19F7">
        <w:t xml:space="preserve">NORWEP hadde 320 </w:t>
      </w:r>
      <w:proofErr w:type="spellStart"/>
      <w:r w:rsidRPr="00CC19F7">
        <w:t>partnarar</w:t>
      </w:r>
      <w:proofErr w:type="spellEnd"/>
      <w:r w:rsidRPr="00CC19F7">
        <w:t xml:space="preserve"> per 31. desember 2022. Små og mellomstore bedrifter </w:t>
      </w:r>
      <w:proofErr w:type="spellStart"/>
      <w:r w:rsidRPr="00CC19F7">
        <w:t>utgjer</w:t>
      </w:r>
      <w:proofErr w:type="spellEnd"/>
      <w:r w:rsidRPr="00CC19F7">
        <w:t xml:space="preserve"> </w:t>
      </w:r>
      <w:proofErr w:type="spellStart"/>
      <w:r w:rsidRPr="00CC19F7">
        <w:t>meir</w:t>
      </w:r>
      <w:proofErr w:type="spellEnd"/>
      <w:r w:rsidRPr="00CC19F7">
        <w:t xml:space="preserve"> enn 70 prosent. Digitale </w:t>
      </w:r>
      <w:proofErr w:type="spellStart"/>
      <w:r w:rsidRPr="00CC19F7">
        <w:t>møteplassar</w:t>
      </w:r>
      <w:proofErr w:type="spellEnd"/>
      <w:r w:rsidRPr="00CC19F7">
        <w:t xml:space="preserve"> viste seg </w:t>
      </w:r>
      <w:proofErr w:type="gramStart"/>
      <w:r w:rsidRPr="00CC19F7">
        <w:t xml:space="preserve">å </w:t>
      </w:r>
      <w:proofErr w:type="spellStart"/>
      <w:r w:rsidRPr="00CC19F7">
        <w:t>vere</w:t>
      </w:r>
      <w:proofErr w:type="spellEnd"/>
      <w:proofErr w:type="gramEnd"/>
      <w:r w:rsidRPr="00CC19F7">
        <w:t xml:space="preserve"> viktige og effektive </w:t>
      </w:r>
      <w:proofErr w:type="spellStart"/>
      <w:r w:rsidRPr="00CC19F7">
        <w:t>møteplassar</w:t>
      </w:r>
      <w:proofErr w:type="spellEnd"/>
      <w:r w:rsidRPr="00CC19F7">
        <w:t xml:space="preserve"> også i 2022, og stod for nær 50 prosent av </w:t>
      </w:r>
      <w:proofErr w:type="spellStart"/>
      <w:r w:rsidRPr="00CC19F7">
        <w:t>NORWEPs</w:t>
      </w:r>
      <w:proofErr w:type="spellEnd"/>
      <w:r w:rsidRPr="00CC19F7">
        <w:t xml:space="preserve"> møtearenaer. Det å arrangere digitale </w:t>
      </w:r>
      <w:proofErr w:type="spellStart"/>
      <w:r w:rsidRPr="00CC19F7">
        <w:t>møteplassar</w:t>
      </w:r>
      <w:proofErr w:type="spellEnd"/>
      <w:r w:rsidRPr="00CC19F7">
        <w:t xml:space="preserve"> kontra fysiske har gitt store </w:t>
      </w:r>
      <w:proofErr w:type="spellStart"/>
      <w:r w:rsidRPr="00CC19F7">
        <w:t>moglegheiter</w:t>
      </w:r>
      <w:proofErr w:type="spellEnd"/>
      <w:r w:rsidRPr="00CC19F7">
        <w:t xml:space="preserve"> fordi </w:t>
      </w:r>
      <w:proofErr w:type="spellStart"/>
      <w:r w:rsidRPr="00CC19F7">
        <w:t>dei</w:t>
      </w:r>
      <w:proofErr w:type="spellEnd"/>
      <w:r w:rsidRPr="00CC19F7">
        <w:t xml:space="preserve"> kan </w:t>
      </w:r>
      <w:proofErr w:type="spellStart"/>
      <w:r w:rsidRPr="00CC19F7">
        <w:t>arrangerast</w:t>
      </w:r>
      <w:proofErr w:type="spellEnd"/>
      <w:r w:rsidRPr="00CC19F7">
        <w:t xml:space="preserve"> på tvers av globale </w:t>
      </w:r>
      <w:proofErr w:type="spellStart"/>
      <w:r w:rsidRPr="00CC19F7">
        <w:t>marknader</w:t>
      </w:r>
      <w:proofErr w:type="spellEnd"/>
      <w:r w:rsidRPr="00CC19F7">
        <w:t xml:space="preserve">. På den måten har det </w:t>
      </w:r>
      <w:proofErr w:type="spellStart"/>
      <w:r w:rsidRPr="00CC19F7">
        <w:t>vore</w:t>
      </w:r>
      <w:proofErr w:type="spellEnd"/>
      <w:r w:rsidRPr="00CC19F7">
        <w:t xml:space="preserve"> </w:t>
      </w:r>
      <w:proofErr w:type="spellStart"/>
      <w:r w:rsidRPr="00CC19F7">
        <w:t>mogleg</w:t>
      </w:r>
      <w:proofErr w:type="spellEnd"/>
      <w:r w:rsidRPr="00CC19F7">
        <w:t xml:space="preserve"> for NORWEP å </w:t>
      </w:r>
      <w:proofErr w:type="gramStart"/>
      <w:r w:rsidRPr="00CC19F7">
        <w:t>fokusere</w:t>
      </w:r>
      <w:proofErr w:type="gramEnd"/>
      <w:r w:rsidRPr="00CC19F7">
        <w:t xml:space="preserve"> på teknologiområde framfor geografiske </w:t>
      </w:r>
      <w:proofErr w:type="spellStart"/>
      <w:r w:rsidRPr="00CC19F7">
        <w:t>skilje</w:t>
      </w:r>
      <w:proofErr w:type="spellEnd"/>
      <w:r w:rsidRPr="00CC19F7">
        <w:t xml:space="preserve">. Slik blir </w:t>
      </w:r>
      <w:proofErr w:type="spellStart"/>
      <w:r w:rsidRPr="00CC19F7">
        <w:t>ein</w:t>
      </w:r>
      <w:proofErr w:type="spellEnd"/>
      <w:r w:rsidRPr="00CC19F7">
        <w:t xml:space="preserve"> </w:t>
      </w:r>
      <w:proofErr w:type="spellStart"/>
      <w:r w:rsidRPr="00CC19F7">
        <w:t>breiare</w:t>
      </w:r>
      <w:proofErr w:type="spellEnd"/>
      <w:r w:rsidRPr="00CC19F7">
        <w:t xml:space="preserve"> kompetanse involvert både </w:t>
      </w:r>
      <w:proofErr w:type="spellStart"/>
      <w:r w:rsidRPr="00CC19F7">
        <w:t>frå</w:t>
      </w:r>
      <w:proofErr w:type="spellEnd"/>
      <w:r w:rsidRPr="00CC19F7">
        <w:t xml:space="preserve"> NORWEP i </w:t>
      </w:r>
      <w:proofErr w:type="spellStart"/>
      <w:r w:rsidRPr="00CC19F7">
        <w:t>Noreg</w:t>
      </w:r>
      <w:proofErr w:type="spellEnd"/>
      <w:r w:rsidRPr="00CC19F7">
        <w:t xml:space="preserve"> og </w:t>
      </w:r>
      <w:proofErr w:type="spellStart"/>
      <w:r w:rsidRPr="00CC19F7">
        <w:t>deira</w:t>
      </w:r>
      <w:proofErr w:type="spellEnd"/>
      <w:r w:rsidRPr="00CC19F7">
        <w:t xml:space="preserve"> internasjonale </w:t>
      </w:r>
      <w:proofErr w:type="spellStart"/>
      <w:r w:rsidRPr="00CC19F7">
        <w:t>rådgivarar</w:t>
      </w:r>
      <w:proofErr w:type="spellEnd"/>
      <w:r w:rsidRPr="00CC19F7">
        <w:t xml:space="preserve">. </w:t>
      </w:r>
      <w:proofErr w:type="spellStart"/>
      <w:r w:rsidRPr="00CC19F7">
        <w:t>NORWEPs</w:t>
      </w:r>
      <w:proofErr w:type="spellEnd"/>
      <w:r w:rsidRPr="00CC19F7">
        <w:t xml:space="preserve"> </w:t>
      </w:r>
      <w:proofErr w:type="spellStart"/>
      <w:r w:rsidRPr="00CC19F7">
        <w:t>marknadsrapportar</w:t>
      </w:r>
      <w:proofErr w:type="spellEnd"/>
      <w:r w:rsidRPr="00CC19F7">
        <w:t xml:space="preserve"> og </w:t>
      </w:r>
      <w:proofErr w:type="spellStart"/>
      <w:r w:rsidRPr="00CC19F7">
        <w:t>marknadsinformasjon</w:t>
      </w:r>
      <w:proofErr w:type="spellEnd"/>
      <w:r w:rsidRPr="00CC19F7">
        <w:t xml:space="preserve"> har også bidratt til å gi verdifull informasjon til norske </w:t>
      </w:r>
      <w:proofErr w:type="spellStart"/>
      <w:r w:rsidRPr="00CC19F7">
        <w:t>aktørar</w:t>
      </w:r>
      <w:proofErr w:type="spellEnd"/>
      <w:r w:rsidRPr="00CC19F7">
        <w:t>.</w:t>
      </w:r>
    </w:p>
    <w:p w14:paraId="0574DFA1" w14:textId="77777777" w:rsidR="00FE02EF" w:rsidRPr="00CC19F7" w:rsidRDefault="00881E58" w:rsidP="00CC19F7">
      <w:r w:rsidRPr="00CC19F7">
        <w:t xml:space="preserve">Det blei gjennomført 98 arrangement med totalt 6 481 </w:t>
      </w:r>
      <w:proofErr w:type="spellStart"/>
      <w:r w:rsidRPr="00CC19F7">
        <w:t>deltakarar</w:t>
      </w:r>
      <w:proofErr w:type="spellEnd"/>
      <w:r w:rsidRPr="00CC19F7">
        <w:t xml:space="preserve">. Om lag halvparten var </w:t>
      </w:r>
      <w:proofErr w:type="spellStart"/>
      <w:r w:rsidRPr="00CC19F7">
        <w:t>innan</w:t>
      </w:r>
      <w:proofErr w:type="spellEnd"/>
      <w:r w:rsidRPr="00CC19F7">
        <w:t xml:space="preserve"> fornybar energi og om lag 40 prosent </w:t>
      </w:r>
      <w:proofErr w:type="spellStart"/>
      <w:r w:rsidRPr="00CC19F7">
        <w:t>innan</w:t>
      </w:r>
      <w:proofErr w:type="spellEnd"/>
      <w:r w:rsidRPr="00CC19F7">
        <w:t xml:space="preserve"> olje og gass. I tillegg blei det gjennomført </w:t>
      </w:r>
      <w:proofErr w:type="spellStart"/>
      <w:r w:rsidRPr="00CC19F7">
        <w:t>ein</w:t>
      </w:r>
      <w:proofErr w:type="spellEnd"/>
      <w:r w:rsidRPr="00CC19F7">
        <w:t xml:space="preserve"> del arrangement som omfatta hele energiområdet. Dette året var det første der </w:t>
      </w:r>
      <w:proofErr w:type="spellStart"/>
      <w:r w:rsidRPr="00CC19F7">
        <w:t>talet</w:t>
      </w:r>
      <w:proofErr w:type="spellEnd"/>
      <w:r w:rsidRPr="00CC19F7">
        <w:t xml:space="preserve"> på arrangement for fornybar energi var </w:t>
      </w:r>
      <w:proofErr w:type="spellStart"/>
      <w:r w:rsidRPr="00CC19F7">
        <w:t>høgare</w:t>
      </w:r>
      <w:proofErr w:type="spellEnd"/>
      <w:r w:rsidRPr="00CC19F7">
        <w:t xml:space="preserve"> enn for olje og gass.</w:t>
      </w:r>
    </w:p>
    <w:p w14:paraId="6FB3CE32" w14:textId="77777777" w:rsidR="00FE02EF" w:rsidRPr="00CC19F7" w:rsidRDefault="00881E58" w:rsidP="00CC19F7">
      <w:pPr>
        <w:pStyle w:val="b-progkat"/>
      </w:pPr>
      <w:r w:rsidRPr="00CC19F7">
        <w:t xml:space="preserve">Programkategori 18.60 </w:t>
      </w:r>
      <w:proofErr w:type="spellStart"/>
      <w:r w:rsidRPr="00CC19F7">
        <w:t>Sikkerheit</w:t>
      </w:r>
      <w:proofErr w:type="spellEnd"/>
      <w:r w:rsidRPr="00CC19F7">
        <w:t xml:space="preserve"> og arbeidsmiljø</w:t>
      </w:r>
    </w:p>
    <w:p w14:paraId="5FFA4288" w14:textId="77777777" w:rsidR="00FE02EF" w:rsidRPr="00CC19F7" w:rsidRDefault="00881E58" w:rsidP="00CC19F7">
      <w:pPr>
        <w:pStyle w:val="Undertittel"/>
      </w:pPr>
      <w:r w:rsidRPr="00CC19F7">
        <w:t>Utviklingstrekk</w:t>
      </w:r>
    </w:p>
    <w:p w14:paraId="1ED74AAD" w14:textId="77777777" w:rsidR="00FE02EF" w:rsidRPr="00CC19F7" w:rsidRDefault="00881E58" w:rsidP="00CC19F7">
      <w:proofErr w:type="spellStart"/>
      <w:r w:rsidRPr="00CC19F7">
        <w:t>Petroleumsverksemda</w:t>
      </w:r>
      <w:proofErr w:type="spellEnd"/>
      <w:r w:rsidRPr="00CC19F7">
        <w:t xml:space="preserve"> har over tid utvikla </w:t>
      </w:r>
      <w:proofErr w:type="spellStart"/>
      <w:r w:rsidRPr="00CC19F7">
        <w:t>eit</w:t>
      </w:r>
      <w:proofErr w:type="spellEnd"/>
      <w:r w:rsidRPr="00CC19F7">
        <w:t xml:space="preserve"> høgt HMS-nivå. </w:t>
      </w:r>
      <w:proofErr w:type="spellStart"/>
      <w:r w:rsidRPr="00CC19F7">
        <w:t>Myndigheitene</w:t>
      </w:r>
      <w:proofErr w:type="spellEnd"/>
      <w:r w:rsidRPr="00CC19F7">
        <w:t xml:space="preserve"> </w:t>
      </w:r>
      <w:proofErr w:type="spellStart"/>
      <w:r w:rsidRPr="00CC19F7">
        <w:t>legg</w:t>
      </w:r>
      <w:proofErr w:type="spellEnd"/>
      <w:r w:rsidRPr="00CC19F7">
        <w:t xml:space="preserve"> til rette gjennom utvikling og forvaltning av regelverk, kunnskapsutvikling og oppfølging av at næringa varetar det pålagde ansvaret. </w:t>
      </w:r>
      <w:proofErr w:type="spellStart"/>
      <w:r w:rsidRPr="00CC19F7">
        <w:t>Eit</w:t>
      </w:r>
      <w:proofErr w:type="spellEnd"/>
      <w:r w:rsidRPr="00CC19F7">
        <w:t xml:space="preserve"> fullt </w:t>
      </w:r>
      <w:proofErr w:type="spellStart"/>
      <w:r w:rsidRPr="00CC19F7">
        <w:t>forsvarleg</w:t>
      </w:r>
      <w:proofErr w:type="spellEnd"/>
      <w:r w:rsidRPr="00CC19F7">
        <w:t xml:space="preserve"> arbeidsmiljø og sikker drift i næringa blir </w:t>
      </w:r>
      <w:proofErr w:type="spellStart"/>
      <w:r w:rsidRPr="00CC19F7">
        <w:t>oppretthalde</w:t>
      </w:r>
      <w:proofErr w:type="spellEnd"/>
      <w:r w:rsidRPr="00CC19F7">
        <w:t xml:space="preserve"> over tid gjennom at det blir lagt til rette for </w:t>
      </w:r>
      <w:proofErr w:type="spellStart"/>
      <w:r w:rsidRPr="00CC19F7">
        <w:t>medverknad</w:t>
      </w:r>
      <w:proofErr w:type="spellEnd"/>
      <w:r w:rsidRPr="00CC19F7">
        <w:t xml:space="preserve">, systematisk risikovurdering, </w:t>
      </w:r>
      <w:proofErr w:type="spellStart"/>
      <w:r w:rsidRPr="00CC19F7">
        <w:t>førebygging</w:t>
      </w:r>
      <w:proofErr w:type="spellEnd"/>
      <w:r w:rsidRPr="00CC19F7">
        <w:t xml:space="preserve"> og </w:t>
      </w:r>
      <w:proofErr w:type="spellStart"/>
      <w:r w:rsidRPr="00CC19F7">
        <w:t>kontinuerleg</w:t>
      </w:r>
      <w:proofErr w:type="spellEnd"/>
      <w:r w:rsidRPr="00CC19F7">
        <w:t xml:space="preserve"> </w:t>
      </w:r>
      <w:proofErr w:type="spellStart"/>
      <w:r w:rsidRPr="00CC19F7">
        <w:t>forbetring</w:t>
      </w:r>
      <w:proofErr w:type="spellEnd"/>
      <w:r w:rsidRPr="00CC19F7">
        <w:t xml:space="preserve"> og læring.</w:t>
      </w:r>
    </w:p>
    <w:p w14:paraId="44589E92" w14:textId="77777777" w:rsidR="00FE02EF" w:rsidRPr="00CC19F7" w:rsidRDefault="00881E58" w:rsidP="00CC19F7">
      <w:r w:rsidRPr="00CC19F7">
        <w:t xml:space="preserve">Prosjektet Risikonivå i norsk </w:t>
      </w:r>
      <w:proofErr w:type="spellStart"/>
      <w:r w:rsidRPr="00CC19F7">
        <w:t>petroleumsverksemd</w:t>
      </w:r>
      <w:proofErr w:type="spellEnd"/>
      <w:r w:rsidRPr="00CC19F7">
        <w:t xml:space="preserve"> (RNNP) </w:t>
      </w:r>
      <w:proofErr w:type="spellStart"/>
      <w:r w:rsidRPr="00CC19F7">
        <w:t>overvakar</w:t>
      </w:r>
      <w:proofErr w:type="spellEnd"/>
      <w:r w:rsidRPr="00CC19F7">
        <w:t xml:space="preserve"> risikoutviklinga i </w:t>
      </w:r>
      <w:proofErr w:type="spellStart"/>
      <w:r w:rsidRPr="00CC19F7">
        <w:t>petroleumsverksemda</w:t>
      </w:r>
      <w:proofErr w:type="spellEnd"/>
      <w:r w:rsidRPr="00CC19F7">
        <w:t xml:space="preserve"> og er organisert i </w:t>
      </w:r>
      <w:proofErr w:type="spellStart"/>
      <w:r w:rsidRPr="00CC19F7">
        <w:t>eit</w:t>
      </w:r>
      <w:proofErr w:type="spellEnd"/>
      <w:r w:rsidRPr="00CC19F7">
        <w:t xml:space="preserve"> samarbeid mellom Havindustritilsynet, </w:t>
      </w:r>
      <w:proofErr w:type="spellStart"/>
      <w:r w:rsidRPr="00CC19F7">
        <w:t>partane</w:t>
      </w:r>
      <w:proofErr w:type="spellEnd"/>
      <w:r w:rsidRPr="00CC19F7">
        <w:t xml:space="preserve"> i næringa og forskingsmiljø. RNNP består av fire </w:t>
      </w:r>
      <w:proofErr w:type="spellStart"/>
      <w:r w:rsidRPr="00CC19F7">
        <w:t>årlege</w:t>
      </w:r>
      <w:proofErr w:type="spellEnd"/>
      <w:r w:rsidRPr="00CC19F7">
        <w:t xml:space="preserve"> </w:t>
      </w:r>
      <w:proofErr w:type="spellStart"/>
      <w:r w:rsidRPr="00CC19F7">
        <w:t>rapportar</w:t>
      </w:r>
      <w:proofErr w:type="spellEnd"/>
      <w:r w:rsidRPr="00CC19F7">
        <w:t xml:space="preserve">. </w:t>
      </w:r>
      <w:proofErr w:type="spellStart"/>
      <w:r w:rsidRPr="00CC19F7">
        <w:t>Hovudrapporten</w:t>
      </w:r>
      <w:proofErr w:type="spellEnd"/>
      <w:r w:rsidRPr="00CC19F7">
        <w:t xml:space="preserve">, landrapporten og </w:t>
      </w:r>
      <w:proofErr w:type="spellStart"/>
      <w:r w:rsidRPr="00CC19F7">
        <w:t>samandragsrapporten</w:t>
      </w:r>
      <w:proofErr w:type="spellEnd"/>
      <w:r w:rsidRPr="00CC19F7">
        <w:t xml:space="preserve"> for sokkelen blir publiserte i april. Rapporten om akutte utslepp blir publisert i oktober, sjå omtale i Del III </w:t>
      </w:r>
      <w:r w:rsidRPr="00CC19F7">
        <w:rPr>
          <w:rStyle w:val="kursiv"/>
        </w:rPr>
        <w:t>Omtale av klima- og miljørelevante saker</w:t>
      </w:r>
      <w:r w:rsidRPr="00CC19F7">
        <w:t xml:space="preserve">. RNNP bygger mellom anna på innrapportering </w:t>
      </w:r>
      <w:proofErr w:type="spellStart"/>
      <w:r w:rsidRPr="00CC19F7">
        <w:t>frå</w:t>
      </w:r>
      <w:proofErr w:type="spellEnd"/>
      <w:r w:rsidRPr="00CC19F7">
        <w:t xml:space="preserve"> næringa og gjennomføring av ei </w:t>
      </w:r>
      <w:proofErr w:type="spellStart"/>
      <w:r w:rsidRPr="00CC19F7">
        <w:t>spørjeundersøking</w:t>
      </w:r>
      <w:proofErr w:type="spellEnd"/>
      <w:r w:rsidRPr="00CC19F7">
        <w:t xml:space="preserve"> om HMS-tilstand, arbeidsmiljø og vurdering av eiga helse. Det er utvikla </w:t>
      </w:r>
      <w:proofErr w:type="spellStart"/>
      <w:r w:rsidRPr="00CC19F7">
        <w:t>særlege</w:t>
      </w:r>
      <w:proofErr w:type="spellEnd"/>
      <w:r w:rsidRPr="00CC19F7">
        <w:t xml:space="preserve"> </w:t>
      </w:r>
      <w:proofErr w:type="spellStart"/>
      <w:r w:rsidRPr="00CC19F7">
        <w:t>storulykkeindikatorar</w:t>
      </w:r>
      <w:proofErr w:type="spellEnd"/>
      <w:r w:rsidRPr="00CC19F7">
        <w:t xml:space="preserve"> for arbeidet med RNNP. Utviklinga på andre risikorelaterte område kan </w:t>
      </w:r>
      <w:proofErr w:type="spellStart"/>
      <w:r w:rsidRPr="00CC19F7">
        <w:t>vurderast</w:t>
      </w:r>
      <w:proofErr w:type="spellEnd"/>
      <w:r w:rsidRPr="00CC19F7">
        <w:t xml:space="preserve"> enkeltvis og i </w:t>
      </w:r>
      <w:proofErr w:type="spellStart"/>
      <w:r w:rsidRPr="00CC19F7">
        <w:t>samanheng</w:t>
      </w:r>
      <w:proofErr w:type="spellEnd"/>
      <w:r w:rsidRPr="00CC19F7">
        <w:t xml:space="preserve"> med </w:t>
      </w:r>
      <w:proofErr w:type="spellStart"/>
      <w:r w:rsidRPr="00CC19F7">
        <w:t>storulykkeindikatorane</w:t>
      </w:r>
      <w:proofErr w:type="spellEnd"/>
      <w:r w:rsidRPr="00CC19F7">
        <w:t>.</w:t>
      </w:r>
    </w:p>
    <w:p w14:paraId="16C82B12" w14:textId="77777777" w:rsidR="00FE02EF" w:rsidRPr="00CC19F7" w:rsidRDefault="00881E58" w:rsidP="00CC19F7">
      <w:r w:rsidRPr="00CC19F7">
        <w:t xml:space="preserve">RNNP viser at HMS-nivået i </w:t>
      </w:r>
      <w:proofErr w:type="spellStart"/>
      <w:r w:rsidRPr="00CC19F7">
        <w:t>petroleumsverksemda</w:t>
      </w:r>
      <w:proofErr w:type="spellEnd"/>
      <w:r w:rsidRPr="00CC19F7">
        <w:t xml:space="preserve"> over tid har utvikla seg i positiv retning, og </w:t>
      </w:r>
      <w:proofErr w:type="spellStart"/>
      <w:r w:rsidRPr="00CC19F7">
        <w:t>myndigheitene</w:t>
      </w:r>
      <w:proofErr w:type="spellEnd"/>
      <w:r w:rsidRPr="00CC19F7">
        <w:t xml:space="preserve"> og </w:t>
      </w:r>
      <w:proofErr w:type="spellStart"/>
      <w:r w:rsidRPr="00CC19F7">
        <w:t>partane</w:t>
      </w:r>
      <w:proofErr w:type="spellEnd"/>
      <w:r w:rsidRPr="00CC19F7">
        <w:t xml:space="preserve"> er </w:t>
      </w:r>
      <w:proofErr w:type="spellStart"/>
      <w:r w:rsidRPr="00CC19F7">
        <w:t>einige</w:t>
      </w:r>
      <w:proofErr w:type="spellEnd"/>
      <w:r w:rsidRPr="00CC19F7">
        <w:t xml:space="preserve"> om at HMS-nivået i norsk </w:t>
      </w:r>
      <w:proofErr w:type="spellStart"/>
      <w:r w:rsidRPr="00CC19F7">
        <w:t>petroleumsverksemd</w:t>
      </w:r>
      <w:proofErr w:type="spellEnd"/>
      <w:r w:rsidRPr="00CC19F7">
        <w:t xml:space="preserve"> er høgt. Storulykkeindikatoren, som reflekterer både </w:t>
      </w:r>
      <w:proofErr w:type="spellStart"/>
      <w:r w:rsidRPr="00CC19F7">
        <w:t>talet</w:t>
      </w:r>
      <w:proofErr w:type="spellEnd"/>
      <w:r w:rsidRPr="00CC19F7">
        <w:t xml:space="preserve"> på </w:t>
      </w:r>
      <w:proofErr w:type="spellStart"/>
      <w:r w:rsidRPr="00CC19F7">
        <w:t>alvorlege</w:t>
      </w:r>
      <w:proofErr w:type="spellEnd"/>
      <w:r w:rsidRPr="00CC19F7">
        <w:t xml:space="preserve"> </w:t>
      </w:r>
      <w:proofErr w:type="spellStart"/>
      <w:r w:rsidRPr="00CC19F7">
        <w:t>hendingar</w:t>
      </w:r>
      <w:proofErr w:type="spellEnd"/>
      <w:r w:rsidRPr="00CC19F7">
        <w:t xml:space="preserve"> og potensialet for tap av liv som følge av </w:t>
      </w:r>
      <w:proofErr w:type="spellStart"/>
      <w:r w:rsidRPr="00CC19F7">
        <w:t>hendingane</w:t>
      </w:r>
      <w:proofErr w:type="spellEnd"/>
      <w:r w:rsidRPr="00CC19F7">
        <w:t xml:space="preserve">, viser i </w:t>
      </w:r>
      <w:proofErr w:type="spellStart"/>
      <w:r w:rsidRPr="00CC19F7">
        <w:t>hovudsak</w:t>
      </w:r>
      <w:proofErr w:type="spellEnd"/>
      <w:r w:rsidRPr="00CC19F7">
        <w:t xml:space="preserve"> ei langsiktig positiv utvikling. Dei siste åra har trendlinja flata ut. Dette indikerer at det </w:t>
      </w:r>
      <w:proofErr w:type="spellStart"/>
      <w:r w:rsidRPr="00CC19F7">
        <w:t>framleis</w:t>
      </w:r>
      <w:proofErr w:type="spellEnd"/>
      <w:r w:rsidRPr="00CC19F7">
        <w:t xml:space="preserve"> er behov for å rette stor </w:t>
      </w:r>
      <w:proofErr w:type="spellStart"/>
      <w:r w:rsidRPr="00CC19F7">
        <w:t>merksemd</w:t>
      </w:r>
      <w:proofErr w:type="spellEnd"/>
      <w:r w:rsidRPr="00CC19F7">
        <w:t xml:space="preserve"> mot stadig </w:t>
      </w:r>
      <w:proofErr w:type="spellStart"/>
      <w:r w:rsidRPr="00CC19F7">
        <w:t>forbetring</w:t>
      </w:r>
      <w:proofErr w:type="spellEnd"/>
      <w:r w:rsidRPr="00CC19F7">
        <w:t xml:space="preserve"> og </w:t>
      </w:r>
      <w:proofErr w:type="spellStart"/>
      <w:r w:rsidRPr="00CC19F7">
        <w:t>førebyggande</w:t>
      </w:r>
      <w:proofErr w:type="spellEnd"/>
      <w:r w:rsidRPr="00CC19F7">
        <w:t xml:space="preserve"> arbeid knytt til helse, miljø og </w:t>
      </w:r>
      <w:proofErr w:type="spellStart"/>
      <w:r w:rsidRPr="00CC19F7">
        <w:t>sikkerheit</w:t>
      </w:r>
      <w:proofErr w:type="spellEnd"/>
      <w:r w:rsidRPr="00CC19F7">
        <w:t>.</w:t>
      </w:r>
    </w:p>
    <w:p w14:paraId="182917D3" w14:textId="77777777" w:rsidR="00FE02EF" w:rsidRPr="00CC19F7" w:rsidRDefault="00881E58" w:rsidP="00CC19F7">
      <w:proofErr w:type="spellStart"/>
      <w:r w:rsidRPr="00CC19F7">
        <w:t>Talet</w:t>
      </w:r>
      <w:proofErr w:type="spellEnd"/>
      <w:r w:rsidRPr="00CC19F7">
        <w:t xml:space="preserve"> på </w:t>
      </w:r>
      <w:proofErr w:type="spellStart"/>
      <w:r w:rsidRPr="00CC19F7">
        <w:t>hendingar</w:t>
      </w:r>
      <w:proofErr w:type="spellEnd"/>
      <w:r w:rsidRPr="00CC19F7">
        <w:t xml:space="preserve"> med storulykkepotensial på sokkelen har lege på </w:t>
      </w:r>
      <w:proofErr w:type="spellStart"/>
      <w:r w:rsidRPr="00CC19F7">
        <w:t>eit</w:t>
      </w:r>
      <w:proofErr w:type="spellEnd"/>
      <w:r w:rsidRPr="00CC19F7">
        <w:t xml:space="preserve"> stabilt lågt nivå </w:t>
      </w:r>
      <w:proofErr w:type="spellStart"/>
      <w:r w:rsidRPr="00CC19F7">
        <w:t>sidan</w:t>
      </w:r>
      <w:proofErr w:type="spellEnd"/>
      <w:r w:rsidRPr="00CC19F7">
        <w:t xml:space="preserve"> 2012. Nivået i perioden 2012–2022 er </w:t>
      </w:r>
      <w:proofErr w:type="spellStart"/>
      <w:r w:rsidRPr="00CC19F7">
        <w:t>lågare</w:t>
      </w:r>
      <w:proofErr w:type="spellEnd"/>
      <w:r w:rsidRPr="00CC19F7">
        <w:t xml:space="preserve"> enn i perioden før. Resultata for landanlegga viser likevel </w:t>
      </w:r>
      <w:proofErr w:type="spellStart"/>
      <w:r w:rsidRPr="00CC19F7">
        <w:t>ein</w:t>
      </w:r>
      <w:proofErr w:type="spellEnd"/>
      <w:r w:rsidRPr="00CC19F7">
        <w:t xml:space="preserve"> </w:t>
      </w:r>
      <w:proofErr w:type="spellStart"/>
      <w:r w:rsidRPr="00CC19F7">
        <w:t>auke</w:t>
      </w:r>
      <w:proofErr w:type="spellEnd"/>
      <w:r w:rsidRPr="00CC19F7">
        <w:t xml:space="preserve"> i </w:t>
      </w:r>
      <w:proofErr w:type="spellStart"/>
      <w:r w:rsidRPr="00CC19F7">
        <w:t>talet</w:t>
      </w:r>
      <w:proofErr w:type="spellEnd"/>
      <w:r w:rsidRPr="00CC19F7">
        <w:t xml:space="preserve"> på </w:t>
      </w:r>
      <w:proofErr w:type="spellStart"/>
      <w:r w:rsidRPr="00CC19F7">
        <w:t>hendingar</w:t>
      </w:r>
      <w:proofErr w:type="spellEnd"/>
      <w:r w:rsidRPr="00CC19F7">
        <w:t xml:space="preserve"> med storulykkepotensial </w:t>
      </w:r>
      <w:proofErr w:type="spellStart"/>
      <w:r w:rsidRPr="00CC19F7">
        <w:t>sidan</w:t>
      </w:r>
      <w:proofErr w:type="spellEnd"/>
      <w:r w:rsidRPr="00CC19F7">
        <w:t xml:space="preserve"> 2019, først og fremst </w:t>
      </w:r>
      <w:proofErr w:type="spellStart"/>
      <w:r w:rsidRPr="00CC19F7">
        <w:t>innan</w:t>
      </w:r>
      <w:proofErr w:type="spellEnd"/>
      <w:r w:rsidRPr="00CC19F7">
        <w:t xml:space="preserve"> </w:t>
      </w:r>
      <w:proofErr w:type="spellStart"/>
      <w:r w:rsidRPr="00CC19F7">
        <w:t>utende</w:t>
      </w:r>
      <w:proofErr w:type="spellEnd"/>
      <w:r w:rsidRPr="00CC19F7">
        <w:t xml:space="preserve"> </w:t>
      </w:r>
      <w:proofErr w:type="spellStart"/>
      <w:r w:rsidRPr="00CC19F7">
        <w:t>hydrokarbonlekkasjar</w:t>
      </w:r>
      <w:proofErr w:type="spellEnd"/>
      <w:r w:rsidRPr="00CC19F7">
        <w:t xml:space="preserve">. Også frekvensen for </w:t>
      </w:r>
      <w:proofErr w:type="spellStart"/>
      <w:r w:rsidRPr="00CC19F7">
        <w:t>alvorlege</w:t>
      </w:r>
      <w:proofErr w:type="spellEnd"/>
      <w:r w:rsidRPr="00CC19F7">
        <w:t xml:space="preserve"> </w:t>
      </w:r>
      <w:proofErr w:type="spellStart"/>
      <w:r w:rsidRPr="00CC19F7">
        <w:t>personskadar</w:t>
      </w:r>
      <w:proofErr w:type="spellEnd"/>
      <w:r w:rsidRPr="00CC19F7">
        <w:t xml:space="preserve"> per million </w:t>
      </w:r>
      <w:proofErr w:type="spellStart"/>
      <w:r w:rsidRPr="00CC19F7">
        <w:t>arbeidstimar</w:t>
      </w:r>
      <w:proofErr w:type="spellEnd"/>
      <w:r w:rsidRPr="00CC19F7">
        <w:t xml:space="preserve"> viser </w:t>
      </w:r>
      <w:proofErr w:type="spellStart"/>
      <w:r w:rsidRPr="00CC19F7">
        <w:t>ein</w:t>
      </w:r>
      <w:proofErr w:type="spellEnd"/>
      <w:r w:rsidRPr="00CC19F7">
        <w:t xml:space="preserve"> svakt </w:t>
      </w:r>
      <w:proofErr w:type="spellStart"/>
      <w:r w:rsidRPr="00CC19F7">
        <w:t>aukande</w:t>
      </w:r>
      <w:proofErr w:type="spellEnd"/>
      <w:r w:rsidRPr="00CC19F7">
        <w:t xml:space="preserve"> trend både på sokkelen og på landanlegga </w:t>
      </w:r>
      <w:proofErr w:type="spellStart"/>
      <w:r w:rsidRPr="00CC19F7">
        <w:t>dei</w:t>
      </w:r>
      <w:proofErr w:type="spellEnd"/>
      <w:r w:rsidRPr="00CC19F7">
        <w:t xml:space="preserve"> siste åra. </w:t>
      </w:r>
      <w:proofErr w:type="spellStart"/>
      <w:r w:rsidRPr="00CC19F7">
        <w:t>Talgrunnlaget</w:t>
      </w:r>
      <w:proofErr w:type="spellEnd"/>
      <w:r w:rsidRPr="00CC19F7">
        <w:t xml:space="preserve"> viser at det kan </w:t>
      </w:r>
      <w:proofErr w:type="spellStart"/>
      <w:r w:rsidRPr="00CC19F7">
        <w:t>vere</w:t>
      </w:r>
      <w:proofErr w:type="spellEnd"/>
      <w:r w:rsidRPr="00CC19F7">
        <w:t xml:space="preserve"> store </w:t>
      </w:r>
      <w:proofErr w:type="spellStart"/>
      <w:r w:rsidRPr="00CC19F7">
        <w:t>forskjellar</w:t>
      </w:r>
      <w:proofErr w:type="spellEnd"/>
      <w:r w:rsidRPr="00CC19F7">
        <w:t xml:space="preserve"> mellom selskap, anlegg og </w:t>
      </w:r>
      <w:proofErr w:type="spellStart"/>
      <w:r w:rsidRPr="00CC19F7">
        <w:t>innretningar</w:t>
      </w:r>
      <w:proofErr w:type="spellEnd"/>
      <w:r w:rsidRPr="00CC19F7">
        <w:t>.</w:t>
      </w:r>
    </w:p>
    <w:p w14:paraId="7B83BBA9" w14:textId="77777777" w:rsidR="00FE02EF" w:rsidRPr="00CC19F7" w:rsidRDefault="00881E58" w:rsidP="00CC19F7">
      <w:r w:rsidRPr="00CC19F7">
        <w:t xml:space="preserve">Arbeidsmiljøet i </w:t>
      </w:r>
      <w:proofErr w:type="spellStart"/>
      <w:r w:rsidRPr="00CC19F7">
        <w:t>petroleumsverksemda</w:t>
      </w:r>
      <w:proofErr w:type="spellEnd"/>
      <w:r w:rsidRPr="00CC19F7">
        <w:t xml:space="preserve"> har i </w:t>
      </w:r>
      <w:proofErr w:type="spellStart"/>
      <w:r w:rsidRPr="00CC19F7">
        <w:t>hovudsak</w:t>
      </w:r>
      <w:proofErr w:type="spellEnd"/>
      <w:r w:rsidRPr="00CC19F7">
        <w:t xml:space="preserve"> hatt ei positiv utvikling over tid, men næringa har </w:t>
      </w:r>
      <w:proofErr w:type="spellStart"/>
      <w:r w:rsidRPr="00CC19F7">
        <w:t>framleis</w:t>
      </w:r>
      <w:proofErr w:type="spellEnd"/>
      <w:r w:rsidRPr="00CC19F7">
        <w:t xml:space="preserve"> enkelte </w:t>
      </w:r>
      <w:proofErr w:type="spellStart"/>
      <w:r w:rsidRPr="00CC19F7">
        <w:t>utfordringar</w:t>
      </w:r>
      <w:proofErr w:type="spellEnd"/>
      <w:r w:rsidRPr="00CC19F7">
        <w:t xml:space="preserve">. Tal </w:t>
      </w:r>
      <w:proofErr w:type="spellStart"/>
      <w:r w:rsidRPr="00CC19F7">
        <w:t>frå</w:t>
      </w:r>
      <w:proofErr w:type="spellEnd"/>
      <w:r w:rsidRPr="00CC19F7">
        <w:t xml:space="preserve"> RNNP 2022 viser at det på norsk sokkel blei meldt 229 rapporteringspliktige </w:t>
      </w:r>
      <w:proofErr w:type="spellStart"/>
      <w:r w:rsidRPr="00CC19F7">
        <w:t>personskadar</w:t>
      </w:r>
      <w:proofErr w:type="spellEnd"/>
      <w:r w:rsidRPr="00CC19F7">
        <w:t xml:space="preserve"> til Havindustritilsynet i 2022. Dette er </w:t>
      </w:r>
      <w:proofErr w:type="spellStart"/>
      <w:r w:rsidRPr="00CC19F7">
        <w:t>ein</w:t>
      </w:r>
      <w:proofErr w:type="spellEnd"/>
      <w:r w:rsidRPr="00CC19F7">
        <w:t xml:space="preserve"> liten </w:t>
      </w:r>
      <w:proofErr w:type="spellStart"/>
      <w:r w:rsidRPr="00CC19F7">
        <w:t>auke</w:t>
      </w:r>
      <w:proofErr w:type="spellEnd"/>
      <w:r w:rsidRPr="00CC19F7">
        <w:t xml:space="preserve"> </w:t>
      </w:r>
      <w:proofErr w:type="spellStart"/>
      <w:r w:rsidRPr="00CC19F7">
        <w:t>samanlikna</w:t>
      </w:r>
      <w:proofErr w:type="spellEnd"/>
      <w:r w:rsidRPr="00CC19F7">
        <w:t xml:space="preserve"> med 2021. </w:t>
      </w:r>
      <w:proofErr w:type="spellStart"/>
      <w:r w:rsidRPr="00CC19F7">
        <w:t>Talet</w:t>
      </w:r>
      <w:proofErr w:type="spellEnd"/>
      <w:r w:rsidRPr="00CC19F7">
        <w:t xml:space="preserve"> på </w:t>
      </w:r>
      <w:proofErr w:type="spellStart"/>
      <w:r w:rsidRPr="00CC19F7">
        <w:t>alvorlege</w:t>
      </w:r>
      <w:proofErr w:type="spellEnd"/>
      <w:r w:rsidRPr="00CC19F7">
        <w:t xml:space="preserve"> </w:t>
      </w:r>
      <w:proofErr w:type="spellStart"/>
      <w:r w:rsidRPr="00CC19F7">
        <w:t>personskadar</w:t>
      </w:r>
      <w:proofErr w:type="spellEnd"/>
      <w:r w:rsidRPr="00CC19F7">
        <w:t xml:space="preserve"> på sokkelen viser samtidig </w:t>
      </w:r>
      <w:proofErr w:type="spellStart"/>
      <w:r w:rsidRPr="00CC19F7">
        <w:t>ein</w:t>
      </w:r>
      <w:proofErr w:type="spellEnd"/>
      <w:r w:rsidRPr="00CC19F7">
        <w:t xml:space="preserve"> nedgang i 2022, da det blei registrert 21 </w:t>
      </w:r>
      <w:proofErr w:type="spellStart"/>
      <w:r w:rsidRPr="00CC19F7">
        <w:t>hendingar</w:t>
      </w:r>
      <w:proofErr w:type="spellEnd"/>
      <w:r w:rsidRPr="00CC19F7">
        <w:t xml:space="preserve"> av denne typen, mot 27 i 2021. </w:t>
      </w:r>
      <w:proofErr w:type="spellStart"/>
      <w:r w:rsidRPr="00CC19F7">
        <w:t>Sidan</w:t>
      </w:r>
      <w:proofErr w:type="spellEnd"/>
      <w:r w:rsidRPr="00CC19F7">
        <w:t xml:space="preserve"> 2010 har det </w:t>
      </w:r>
      <w:proofErr w:type="spellStart"/>
      <w:r w:rsidRPr="00CC19F7">
        <w:t>vore</w:t>
      </w:r>
      <w:proofErr w:type="spellEnd"/>
      <w:r w:rsidRPr="00CC19F7">
        <w:t xml:space="preserve"> to dødsulykker i norsk </w:t>
      </w:r>
      <w:proofErr w:type="spellStart"/>
      <w:r w:rsidRPr="00CC19F7">
        <w:t>petroleumsverksemd</w:t>
      </w:r>
      <w:proofErr w:type="spellEnd"/>
      <w:r w:rsidRPr="00CC19F7">
        <w:t xml:space="preserve">, mot seks i tiårsperioden før. Den siste dødsulykka skjedde i 2017. I tillegg viser </w:t>
      </w:r>
      <w:proofErr w:type="spellStart"/>
      <w:r w:rsidRPr="00CC19F7">
        <w:t>tilsynsobservasjonar</w:t>
      </w:r>
      <w:proofErr w:type="spellEnd"/>
      <w:r w:rsidRPr="00CC19F7">
        <w:t xml:space="preserve">, tal </w:t>
      </w:r>
      <w:proofErr w:type="spellStart"/>
      <w:r w:rsidRPr="00CC19F7">
        <w:t>frå</w:t>
      </w:r>
      <w:proofErr w:type="spellEnd"/>
      <w:r w:rsidRPr="00CC19F7">
        <w:t xml:space="preserve"> RNNP og </w:t>
      </w:r>
      <w:proofErr w:type="spellStart"/>
      <w:r w:rsidRPr="00CC19F7">
        <w:t>bekymringsmeldingar</w:t>
      </w:r>
      <w:proofErr w:type="spellEnd"/>
      <w:r w:rsidRPr="00CC19F7">
        <w:t xml:space="preserve"> at </w:t>
      </w:r>
      <w:proofErr w:type="spellStart"/>
      <w:r w:rsidRPr="00CC19F7">
        <w:t>arbeidstidsordningane</w:t>
      </w:r>
      <w:proofErr w:type="spellEnd"/>
      <w:r w:rsidRPr="00CC19F7">
        <w:t xml:space="preserve"> er under press, og at bruken av overtidsarbeid </w:t>
      </w:r>
      <w:proofErr w:type="spellStart"/>
      <w:r w:rsidRPr="00CC19F7">
        <w:t>aukar</w:t>
      </w:r>
      <w:proofErr w:type="spellEnd"/>
      <w:r w:rsidRPr="00CC19F7">
        <w:t xml:space="preserve">. Det er mellom anna avdekt </w:t>
      </w:r>
      <w:proofErr w:type="spellStart"/>
      <w:r w:rsidRPr="00CC19F7">
        <w:t>brot</w:t>
      </w:r>
      <w:proofErr w:type="spellEnd"/>
      <w:r w:rsidRPr="00CC19F7">
        <w:t xml:space="preserve"> på regelverket og tilfelle av </w:t>
      </w:r>
      <w:proofErr w:type="spellStart"/>
      <w:r w:rsidRPr="00CC19F7">
        <w:t>manglande</w:t>
      </w:r>
      <w:proofErr w:type="spellEnd"/>
      <w:r w:rsidRPr="00CC19F7">
        <w:t xml:space="preserve"> styring av arbeidstid, </w:t>
      </w:r>
      <w:proofErr w:type="spellStart"/>
      <w:r w:rsidRPr="00CC19F7">
        <w:t>vidare</w:t>
      </w:r>
      <w:proofErr w:type="spellEnd"/>
      <w:r w:rsidRPr="00CC19F7">
        <w:t xml:space="preserve"> har det </w:t>
      </w:r>
      <w:proofErr w:type="spellStart"/>
      <w:r w:rsidRPr="00CC19F7">
        <w:t>vore</w:t>
      </w:r>
      <w:proofErr w:type="spellEnd"/>
      <w:r w:rsidRPr="00CC19F7">
        <w:t xml:space="preserve"> </w:t>
      </w:r>
      <w:proofErr w:type="spellStart"/>
      <w:r w:rsidRPr="00CC19F7">
        <w:t>omfattande</w:t>
      </w:r>
      <w:proofErr w:type="spellEnd"/>
      <w:r w:rsidRPr="00CC19F7">
        <w:t xml:space="preserve"> bruk av utvida </w:t>
      </w:r>
      <w:proofErr w:type="spellStart"/>
      <w:r w:rsidRPr="00CC19F7">
        <w:t>opphaldsperiodar</w:t>
      </w:r>
      <w:proofErr w:type="spellEnd"/>
      <w:r w:rsidRPr="00CC19F7">
        <w:t xml:space="preserve"> offshore. Samla kan dette tyde på høg arbeidsbelastning og press på kapasitet og kompetanse.</w:t>
      </w:r>
    </w:p>
    <w:p w14:paraId="07C34393" w14:textId="77777777" w:rsidR="00FE02EF" w:rsidRPr="00CC19F7" w:rsidRDefault="00881E58" w:rsidP="00CC19F7">
      <w:r w:rsidRPr="00CC19F7">
        <w:t xml:space="preserve">Det endra </w:t>
      </w:r>
      <w:proofErr w:type="spellStart"/>
      <w:r w:rsidRPr="00CC19F7">
        <w:t>sikkerheitsbiletet</w:t>
      </w:r>
      <w:proofErr w:type="spellEnd"/>
      <w:r w:rsidRPr="00CC19F7">
        <w:t xml:space="preserve"> i samband med Russlands invasjon av Ukraina har ført til større </w:t>
      </w:r>
      <w:proofErr w:type="spellStart"/>
      <w:r w:rsidRPr="00CC19F7">
        <w:t>merksemd</w:t>
      </w:r>
      <w:proofErr w:type="spellEnd"/>
      <w:r w:rsidRPr="00CC19F7">
        <w:t xml:space="preserve"> om </w:t>
      </w:r>
      <w:proofErr w:type="spellStart"/>
      <w:r w:rsidRPr="00CC19F7">
        <w:t>energisikkerheit</w:t>
      </w:r>
      <w:proofErr w:type="spellEnd"/>
      <w:r w:rsidRPr="00CC19F7">
        <w:t xml:space="preserve"> i Europa. </w:t>
      </w:r>
      <w:proofErr w:type="spellStart"/>
      <w:r w:rsidRPr="00CC19F7">
        <w:t>Trusselbiletet</w:t>
      </w:r>
      <w:proofErr w:type="spellEnd"/>
      <w:r w:rsidRPr="00CC19F7">
        <w:t xml:space="preserve"> for petroleumssektoren har </w:t>
      </w:r>
      <w:proofErr w:type="spellStart"/>
      <w:r w:rsidRPr="00CC19F7">
        <w:t>ytterlegare</w:t>
      </w:r>
      <w:proofErr w:type="spellEnd"/>
      <w:r w:rsidRPr="00CC19F7">
        <w:t xml:space="preserve"> aktualisert </w:t>
      </w:r>
      <w:proofErr w:type="spellStart"/>
      <w:r w:rsidRPr="00CC19F7">
        <w:t>viktigheita</w:t>
      </w:r>
      <w:proofErr w:type="spellEnd"/>
      <w:r w:rsidRPr="00CC19F7">
        <w:t xml:space="preserve"> av sikker drift på norsk sokkel. Samtidig er aktivitetsnivået i bransjen </w:t>
      </w:r>
      <w:proofErr w:type="spellStart"/>
      <w:r w:rsidRPr="00CC19F7">
        <w:t>aukande</w:t>
      </w:r>
      <w:proofErr w:type="spellEnd"/>
      <w:r w:rsidRPr="00CC19F7">
        <w:t xml:space="preserve">, </w:t>
      </w:r>
      <w:proofErr w:type="spellStart"/>
      <w:r w:rsidRPr="00CC19F7">
        <w:t>noko</w:t>
      </w:r>
      <w:proofErr w:type="spellEnd"/>
      <w:r w:rsidRPr="00CC19F7">
        <w:t xml:space="preserve"> som gir press på kapasitet og kompetanse </w:t>
      </w:r>
      <w:proofErr w:type="spellStart"/>
      <w:r w:rsidRPr="00CC19F7">
        <w:t>innan</w:t>
      </w:r>
      <w:proofErr w:type="spellEnd"/>
      <w:r w:rsidRPr="00CC19F7">
        <w:t xml:space="preserve"> </w:t>
      </w:r>
      <w:proofErr w:type="spellStart"/>
      <w:r w:rsidRPr="00CC19F7">
        <w:t>fleire</w:t>
      </w:r>
      <w:proofErr w:type="spellEnd"/>
      <w:r w:rsidRPr="00CC19F7">
        <w:t xml:space="preserve"> </w:t>
      </w:r>
      <w:proofErr w:type="spellStart"/>
      <w:r w:rsidRPr="00CC19F7">
        <w:t>fagdisiplinar</w:t>
      </w:r>
      <w:proofErr w:type="spellEnd"/>
      <w:r w:rsidRPr="00CC19F7">
        <w:t>.</w:t>
      </w:r>
    </w:p>
    <w:p w14:paraId="69041792" w14:textId="77777777" w:rsidR="00FE02EF" w:rsidRPr="00CC19F7" w:rsidRDefault="00881E58" w:rsidP="00CC19F7">
      <w:proofErr w:type="spellStart"/>
      <w:r w:rsidRPr="00CC19F7">
        <w:t>Klimautfordringane</w:t>
      </w:r>
      <w:proofErr w:type="spellEnd"/>
      <w:r w:rsidRPr="00CC19F7">
        <w:t xml:space="preserve"> påverkar også i stadig større grad utviklinga i </w:t>
      </w:r>
      <w:proofErr w:type="spellStart"/>
      <w:r w:rsidRPr="00CC19F7">
        <w:t>petroleumsverksemda</w:t>
      </w:r>
      <w:proofErr w:type="spellEnd"/>
      <w:r w:rsidRPr="00CC19F7">
        <w:t xml:space="preserve">. Næringa </w:t>
      </w:r>
      <w:proofErr w:type="spellStart"/>
      <w:r w:rsidRPr="00CC19F7">
        <w:t>utviklar</w:t>
      </w:r>
      <w:proofErr w:type="spellEnd"/>
      <w:r w:rsidRPr="00CC19F7">
        <w:t xml:space="preserve"> og tar i bruk stadig </w:t>
      </w:r>
      <w:proofErr w:type="spellStart"/>
      <w:r w:rsidRPr="00CC19F7">
        <w:t>meir</w:t>
      </w:r>
      <w:proofErr w:type="spellEnd"/>
      <w:r w:rsidRPr="00CC19F7">
        <w:t xml:space="preserve"> ressurseffektive og </w:t>
      </w:r>
      <w:proofErr w:type="spellStart"/>
      <w:r w:rsidRPr="00CC19F7">
        <w:t>miljøvennlege</w:t>
      </w:r>
      <w:proofErr w:type="spellEnd"/>
      <w:r w:rsidRPr="00CC19F7">
        <w:t xml:space="preserve"> </w:t>
      </w:r>
      <w:proofErr w:type="spellStart"/>
      <w:r w:rsidRPr="00CC19F7">
        <w:t>løysingar</w:t>
      </w:r>
      <w:proofErr w:type="spellEnd"/>
      <w:r w:rsidRPr="00CC19F7">
        <w:t xml:space="preserve">, og omstiller seg til også å bidra </w:t>
      </w:r>
      <w:proofErr w:type="spellStart"/>
      <w:r w:rsidRPr="00CC19F7">
        <w:t>innan</w:t>
      </w:r>
      <w:proofErr w:type="spellEnd"/>
      <w:r w:rsidRPr="00CC19F7">
        <w:t xml:space="preserve"> nye energiformer. </w:t>
      </w:r>
      <w:proofErr w:type="spellStart"/>
      <w:r w:rsidRPr="00CC19F7">
        <w:t>Endringsprosessane</w:t>
      </w:r>
      <w:proofErr w:type="spellEnd"/>
      <w:r w:rsidRPr="00CC19F7">
        <w:t xml:space="preserve"> er ofte komplekse, og det kan </w:t>
      </w:r>
      <w:proofErr w:type="spellStart"/>
      <w:r w:rsidRPr="00CC19F7">
        <w:t>vere</w:t>
      </w:r>
      <w:proofErr w:type="spellEnd"/>
      <w:r w:rsidRPr="00CC19F7">
        <w:t xml:space="preserve"> </w:t>
      </w:r>
      <w:proofErr w:type="spellStart"/>
      <w:r w:rsidRPr="00CC19F7">
        <w:t>utfordrande</w:t>
      </w:r>
      <w:proofErr w:type="spellEnd"/>
      <w:r w:rsidRPr="00CC19F7">
        <w:t xml:space="preserve"> å gjennomføre </w:t>
      </w:r>
      <w:proofErr w:type="spellStart"/>
      <w:r w:rsidRPr="00CC19F7">
        <w:t>heilskaplege</w:t>
      </w:r>
      <w:proofErr w:type="spellEnd"/>
      <w:r w:rsidRPr="00CC19F7">
        <w:t xml:space="preserve"> </w:t>
      </w:r>
      <w:proofErr w:type="spellStart"/>
      <w:r w:rsidRPr="00CC19F7">
        <w:t>vurderingar</w:t>
      </w:r>
      <w:proofErr w:type="spellEnd"/>
      <w:r w:rsidRPr="00CC19F7">
        <w:t xml:space="preserve"> av kva </w:t>
      </w:r>
      <w:proofErr w:type="spellStart"/>
      <w:r w:rsidRPr="00CC19F7">
        <w:t>konsekvensar</w:t>
      </w:r>
      <w:proofErr w:type="spellEnd"/>
      <w:r w:rsidRPr="00CC19F7">
        <w:t xml:space="preserve"> </w:t>
      </w:r>
      <w:proofErr w:type="spellStart"/>
      <w:r w:rsidRPr="00CC19F7">
        <w:t>endringane</w:t>
      </w:r>
      <w:proofErr w:type="spellEnd"/>
      <w:r w:rsidRPr="00CC19F7">
        <w:t xml:space="preserve"> kan få for </w:t>
      </w:r>
      <w:proofErr w:type="spellStart"/>
      <w:r w:rsidRPr="00CC19F7">
        <w:t>sikkerheit</w:t>
      </w:r>
      <w:proofErr w:type="spellEnd"/>
      <w:r w:rsidRPr="00CC19F7">
        <w:t xml:space="preserve"> og arbeidsmiljø. </w:t>
      </w:r>
      <w:proofErr w:type="spellStart"/>
      <w:r w:rsidRPr="00CC19F7">
        <w:t>Myndigheitene</w:t>
      </w:r>
      <w:proofErr w:type="spellEnd"/>
      <w:r w:rsidRPr="00CC19F7">
        <w:t xml:space="preserve"> følger utviklinga tett, mellom anna gjennom dialog med aktuelle </w:t>
      </w:r>
      <w:proofErr w:type="spellStart"/>
      <w:r w:rsidRPr="00CC19F7">
        <w:t>partar</w:t>
      </w:r>
      <w:proofErr w:type="spellEnd"/>
      <w:r w:rsidRPr="00CC19F7">
        <w:t xml:space="preserve"> og samarbeid mellom aktuelle </w:t>
      </w:r>
      <w:proofErr w:type="spellStart"/>
      <w:r w:rsidRPr="00CC19F7">
        <w:t>myndigheiter</w:t>
      </w:r>
      <w:proofErr w:type="spellEnd"/>
      <w:r w:rsidRPr="00CC19F7">
        <w:t>.</w:t>
      </w:r>
    </w:p>
    <w:p w14:paraId="5D092C94" w14:textId="77777777" w:rsidR="00FE02EF" w:rsidRPr="00CC19F7" w:rsidRDefault="00881E58" w:rsidP="00CC19F7">
      <w:pPr>
        <w:pStyle w:val="Undertittel"/>
      </w:pPr>
      <w:proofErr w:type="spellStart"/>
      <w:r w:rsidRPr="00CC19F7">
        <w:t>Hovudmål</w:t>
      </w:r>
      <w:proofErr w:type="spellEnd"/>
      <w:r w:rsidRPr="00CC19F7">
        <w:t xml:space="preserve"> for </w:t>
      </w:r>
      <w:proofErr w:type="spellStart"/>
      <w:r w:rsidRPr="00CC19F7">
        <w:t>sikkerheit</w:t>
      </w:r>
      <w:proofErr w:type="spellEnd"/>
      <w:r w:rsidRPr="00CC19F7">
        <w:t xml:space="preserve"> og arbeidsmiljø i </w:t>
      </w:r>
      <w:proofErr w:type="spellStart"/>
      <w:r w:rsidRPr="00CC19F7">
        <w:t>petroleumsverksemda</w:t>
      </w:r>
      <w:proofErr w:type="spellEnd"/>
      <w:r w:rsidRPr="00CC19F7">
        <w:t xml:space="preserve"> og anna </w:t>
      </w:r>
      <w:proofErr w:type="spellStart"/>
      <w:r w:rsidRPr="00CC19F7">
        <w:t>industriverksemd</w:t>
      </w:r>
      <w:proofErr w:type="spellEnd"/>
      <w:r w:rsidRPr="00CC19F7">
        <w:t xml:space="preserve"> til havs</w:t>
      </w:r>
    </w:p>
    <w:p w14:paraId="44002339" w14:textId="77777777" w:rsidR="00FE02EF" w:rsidRPr="00CC19F7" w:rsidRDefault="00881E58" w:rsidP="00CC19F7">
      <w:r w:rsidRPr="00CC19F7">
        <w:t xml:space="preserve">Regjeringa har som ambisjon at norsk </w:t>
      </w:r>
      <w:proofErr w:type="spellStart"/>
      <w:r w:rsidRPr="00CC19F7">
        <w:t>petroleumsverksemd</w:t>
      </w:r>
      <w:proofErr w:type="spellEnd"/>
      <w:r w:rsidRPr="00CC19F7">
        <w:t xml:space="preserve"> skal </w:t>
      </w:r>
      <w:proofErr w:type="spellStart"/>
      <w:r w:rsidRPr="00CC19F7">
        <w:t>vere</w:t>
      </w:r>
      <w:proofErr w:type="spellEnd"/>
      <w:r w:rsidRPr="00CC19F7">
        <w:t xml:space="preserve"> </w:t>
      </w:r>
      <w:proofErr w:type="spellStart"/>
      <w:r w:rsidRPr="00CC19F7">
        <w:t>verdsleiande</w:t>
      </w:r>
      <w:proofErr w:type="spellEnd"/>
      <w:r w:rsidRPr="00CC19F7">
        <w:t xml:space="preserve"> på HMS. Denne ambisjonen er </w:t>
      </w:r>
      <w:proofErr w:type="spellStart"/>
      <w:r w:rsidRPr="00CC19F7">
        <w:t>eit</w:t>
      </w:r>
      <w:proofErr w:type="spellEnd"/>
      <w:r w:rsidRPr="00CC19F7">
        <w:t xml:space="preserve"> </w:t>
      </w:r>
      <w:proofErr w:type="spellStart"/>
      <w:r w:rsidRPr="00CC19F7">
        <w:t>tydeleg</w:t>
      </w:r>
      <w:proofErr w:type="spellEnd"/>
      <w:r w:rsidRPr="00CC19F7">
        <w:t xml:space="preserve"> signal om at petroleumsnæringa </w:t>
      </w:r>
      <w:proofErr w:type="spellStart"/>
      <w:r w:rsidRPr="00CC19F7">
        <w:t>ikkje</w:t>
      </w:r>
      <w:proofErr w:type="spellEnd"/>
      <w:r w:rsidRPr="00CC19F7">
        <w:t xml:space="preserve"> kan slå seg til ro med </w:t>
      </w:r>
      <w:proofErr w:type="spellStart"/>
      <w:r w:rsidRPr="00CC19F7">
        <w:t>eit</w:t>
      </w:r>
      <w:proofErr w:type="spellEnd"/>
      <w:r w:rsidRPr="00CC19F7">
        <w:t xml:space="preserve"> godt nok HMS-nivå, men må jobbe for stadig </w:t>
      </w:r>
      <w:proofErr w:type="spellStart"/>
      <w:r w:rsidRPr="00CC19F7">
        <w:t>forbetring</w:t>
      </w:r>
      <w:proofErr w:type="spellEnd"/>
      <w:r w:rsidRPr="00CC19F7">
        <w:t xml:space="preserve">. Også for ny </w:t>
      </w:r>
      <w:proofErr w:type="spellStart"/>
      <w:r w:rsidRPr="00CC19F7">
        <w:t>industriverksemd</w:t>
      </w:r>
      <w:proofErr w:type="spellEnd"/>
      <w:r w:rsidRPr="00CC19F7">
        <w:t xml:space="preserve"> til havs skal det </w:t>
      </w:r>
      <w:proofErr w:type="spellStart"/>
      <w:r w:rsidRPr="00CC19F7">
        <w:t>etablerast</w:t>
      </w:r>
      <w:proofErr w:type="spellEnd"/>
      <w:r w:rsidRPr="00CC19F7">
        <w:t xml:space="preserve"> </w:t>
      </w:r>
      <w:proofErr w:type="spellStart"/>
      <w:r w:rsidRPr="00CC19F7">
        <w:t>eit</w:t>
      </w:r>
      <w:proofErr w:type="spellEnd"/>
      <w:r w:rsidRPr="00CC19F7">
        <w:t xml:space="preserve"> høgt nivå på helse, miljø og </w:t>
      </w:r>
      <w:proofErr w:type="spellStart"/>
      <w:r w:rsidRPr="00CC19F7">
        <w:t>sikkerheit</w:t>
      </w:r>
      <w:proofErr w:type="spellEnd"/>
      <w:r w:rsidRPr="00CC19F7">
        <w:t>.</w:t>
      </w:r>
    </w:p>
    <w:p w14:paraId="54542C67" w14:textId="77777777" w:rsidR="00FE02EF" w:rsidRPr="00CC19F7" w:rsidRDefault="00881E58" w:rsidP="00CC19F7">
      <w:proofErr w:type="spellStart"/>
      <w:r w:rsidRPr="00CC19F7">
        <w:t>Eit</w:t>
      </w:r>
      <w:proofErr w:type="spellEnd"/>
      <w:r w:rsidRPr="00CC19F7">
        <w:t xml:space="preserve"> høgt HMS-nivå kan </w:t>
      </w:r>
      <w:proofErr w:type="spellStart"/>
      <w:r w:rsidRPr="00CC19F7">
        <w:t>ein</w:t>
      </w:r>
      <w:proofErr w:type="spellEnd"/>
      <w:r w:rsidRPr="00CC19F7">
        <w:t xml:space="preserve"> </w:t>
      </w:r>
      <w:proofErr w:type="spellStart"/>
      <w:r w:rsidRPr="00CC19F7">
        <w:t>ikkje</w:t>
      </w:r>
      <w:proofErr w:type="spellEnd"/>
      <w:r w:rsidRPr="00CC19F7">
        <w:t xml:space="preserve"> ta for gitt. På enkelte område er det </w:t>
      </w:r>
      <w:proofErr w:type="spellStart"/>
      <w:r w:rsidRPr="00CC19F7">
        <w:t>framleis</w:t>
      </w:r>
      <w:proofErr w:type="spellEnd"/>
      <w:r w:rsidRPr="00CC19F7">
        <w:t xml:space="preserve"> behov for betre </w:t>
      </w:r>
      <w:proofErr w:type="spellStart"/>
      <w:r w:rsidRPr="00CC19F7">
        <w:t>førebyggande</w:t>
      </w:r>
      <w:proofErr w:type="spellEnd"/>
      <w:r w:rsidRPr="00CC19F7">
        <w:t xml:space="preserve"> arbeid og tilpassa oppfølging av risiko. Regjeringa </w:t>
      </w:r>
      <w:proofErr w:type="spellStart"/>
      <w:r w:rsidRPr="00CC19F7">
        <w:t>legg</w:t>
      </w:r>
      <w:proofErr w:type="spellEnd"/>
      <w:r w:rsidRPr="00CC19F7">
        <w:t xml:space="preserve"> til grunn at det etablerte HMS-regimet med </w:t>
      </w:r>
      <w:proofErr w:type="spellStart"/>
      <w:r w:rsidRPr="00CC19F7">
        <w:t>eit</w:t>
      </w:r>
      <w:proofErr w:type="spellEnd"/>
      <w:r w:rsidRPr="00CC19F7">
        <w:t xml:space="preserve"> godt partssamarbeid og ei </w:t>
      </w:r>
      <w:proofErr w:type="spellStart"/>
      <w:r w:rsidRPr="00CC19F7">
        <w:t>tydeleg</w:t>
      </w:r>
      <w:proofErr w:type="spellEnd"/>
      <w:r w:rsidRPr="00CC19F7">
        <w:t xml:space="preserve"> </w:t>
      </w:r>
      <w:proofErr w:type="spellStart"/>
      <w:proofErr w:type="gramStart"/>
      <w:r w:rsidRPr="00CC19F7">
        <w:t>tilsynsmyndigheit</w:t>
      </w:r>
      <w:proofErr w:type="spellEnd"/>
      <w:r w:rsidRPr="00CC19F7">
        <w:t xml:space="preserve"> </w:t>
      </w:r>
      <w:proofErr w:type="spellStart"/>
      <w:r w:rsidRPr="00CC19F7">
        <w:t>framleis</w:t>
      </w:r>
      <w:proofErr w:type="spellEnd"/>
      <w:proofErr w:type="gramEnd"/>
      <w:r w:rsidRPr="00CC19F7">
        <w:t xml:space="preserve"> vil </w:t>
      </w:r>
      <w:proofErr w:type="spellStart"/>
      <w:r w:rsidRPr="00CC19F7">
        <w:t>vere</w:t>
      </w:r>
      <w:proofErr w:type="spellEnd"/>
      <w:r w:rsidRPr="00CC19F7">
        <w:t xml:space="preserve"> </w:t>
      </w:r>
      <w:proofErr w:type="spellStart"/>
      <w:r w:rsidRPr="00CC19F7">
        <w:t>avgjerande</w:t>
      </w:r>
      <w:proofErr w:type="spellEnd"/>
      <w:r w:rsidRPr="00CC19F7">
        <w:t xml:space="preserve"> for ei </w:t>
      </w:r>
      <w:proofErr w:type="spellStart"/>
      <w:r w:rsidRPr="00CC19F7">
        <w:t>kontinuerleg</w:t>
      </w:r>
      <w:proofErr w:type="spellEnd"/>
      <w:r w:rsidRPr="00CC19F7">
        <w:t xml:space="preserve"> </w:t>
      </w:r>
      <w:proofErr w:type="spellStart"/>
      <w:r w:rsidRPr="00CC19F7">
        <w:t>forbetring</w:t>
      </w:r>
      <w:proofErr w:type="spellEnd"/>
      <w:r w:rsidRPr="00CC19F7">
        <w:t xml:space="preserve"> av HMS-nivået på sokkelen.</w:t>
      </w:r>
    </w:p>
    <w:p w14:paraId="3C385E6F" w14:textId="77777777" w:rsidR="00FE02EF" w:rsidRPr="00CC19F7" w:rsidRDefault="00881E58" w:rsidP="00CC19F7">
      <w:r w:rsidRPr="00CC19F7">
        <w:t xml:space="preserve">Både ansvaret for og nøkkelen til </w:t>
      </w:r>
      <w:proofErr w:type="spellStart"/>
      <w:r w:rsidRPr="00CC19F7">
        <w:t>kontinuerleg</w:t>
      </w:r>
      <w:proofErr w:type="spellEnd"/>
      <w:r w:rsidRPr="00CC19F7">
        <w:t xml:space="preserve"> </w:t>
      </w:r>
      <w:proofErr w:type="spellStart"/>
      <w:r w:rsidRPr="00CC19F7">
        <w:t>forbetring</w:t>
      </w:r>
      <w:proofErr w:type="spellEnd"/>
      <w:r w:rsidRPr="00CC19F7">
        <w:t xml:space="preserve"> av HMS-nivået og effektiv drift ligg hos næringa </w:t>
      </w:r>
      <w:proofErr w:type="spellStart"/>
      <w:r w:rsidRPr="00CC19F7">
        <w:t>sjølv</w:t>
      </w:r>
      <w:proofErr w:type="spellEnd"/>
      <w:r w:rsidRPr="00CC19F7">
        <w:t xml:space="preserve">. Oppfølginga </w:t>
      </w:r>
      <w:proofErr w:type="spellStart"/>
      <w:r w:rsidRPr="00CC19F7">
        <w:t>frå</w:t>
      </w:r>
      <w:proofErr w:type="spellEnd"/>
      <w:r w:rsidRPr="00CC19F7">
        <w:t xml:space="preserve"> </w:t>
      </w:r>
      <w:proofErr w:type="spellStart"/>
      <w:r w:rsidRPr="00CC19F7">
        <w:t>myndigheitene</w:t>
      </w:r>
      <w:proofErr w:type="spellEnd"/>
      <w:r w:rsidRPr="00CC19F7">
        <w:t xml:space="preserve"> kjem i tillegg til, </w:t>
      </w:r>
      <w:proofErr w:type="spellStart"/>
      <w:r w:rsidRPr="00CC19F7">
        <w:t>ikkje</w:t>
      </w:r>
      <w:proofErr w:type="spellEnd"/>
      <w:r w:rsidRPr="00CC19F7">
        <w:t xml:space="preserve"> som erstatning for, oppfølging </w:t>
      </w:r>
      <w:proofErr w:type="spellStart"/>
      <w:r w:rsidRPr="00CC19F7">
        <w:t>frå</w:t>
      </w:r>
      <w:proofErr w:type="spellEnd"/>
      <w:r w:rsidRPr="00CC19F7">
        <w:t xml:space="preserve"> selskapa sjølve. Dette ansvaret </w:t>
      </w:r>
      <w:proofErr w:type="spellStart"/>
      <w:r w:rsidRPr="00CC19F7">
        <w:t>inneber</w:t>
      </w:r>
      <w:proofErr w:type="spellEnd"/>
      <w:r w:rsidRPr="00CC19F7">
        <w:t xml:space="preserve"> også oppfølging av kontrollplikta, både operatøren si oppfølging av </w:t>
      </w:r>
      <w:proofErr w:type="spellStart"/>
      <w:r w:rsidRPr="00CC19F7">
        <w:t>leverandørar</w:t>
      </w:r>
      <w:proofErr w:type="spellEnd"/>
      <w:r w:rsidRPr="00CC19F7">
        <w:t xml:space="preserve"> nedover i kjeda og </w:t>
      </w:r>
      <w:proofErr w:type="spellStart"/>
      <w:r w:rsidRPr="00CC19F7">
        <w:t>rettshavaren</w:t>
      </w:r>
      <w:proofErr w:type="spellEnd"/>
      <w:r w:rsidRPr="00CC19F7">
        <w:t xml:space="preserve"> si oppfølging av operatøren. </w:t>
      </w:r>
      <w:proofErr w:type="spellStart"/>
      <w:r w:rsidRPr="00CC19F7">
        <w:t>Myndigheitene</w:t>
      </w:r>
      <w:proofErr w:type="spellEnd"/>
      <w:r w:rsidRPr="00CC19F7">
        <w:t xml:space="preserve"> </w:t>
      </w:r>
      <w:proofErr w:type="spellStart"/>
      <w:r w:rsidRPr="00CC19F7">
        <w:t>forventar</w:t>
      </w:r>
      <w:proofErr w:type="spellEnd"/>
      <w:r w:rsidRPr="00CC19F7">
        <w:t xml:space="preserve"> at næringa er i stand til å styre og tilpasse seg </w:t>
      </w:r>
      <w:proofErr w:type="spellStart"/>
      <w:r w:rsidRPr="00CC19F7">
        <w:t>endringar</w:t>
      </w:r>
      <w:proofErr w:type="spellEnd"/>
      <w:r w:rsidRPr="00CC19F7">
        <w:t xml:space="preserve"> i </w:t>
      </w:r>
      <w:proofErr w:type="spellStart"/>
      <w:r w:rsidRPr="00CC19F7">
        <w:t>petroleumsverksemda</w:t>
      </w:r>
      <w:proofErr w:type="spellEnd"/>
      <w:r w:rsidRPr="00CC19F7">
        <w:t xml:space="preserve"> og samtidig ta ansvar for å </w:t>
      </w:r>
      <w:proofErr w:type="spellStart"/>
      <w:r w:rsidRPr="00CC19F7">
        <w:t>vidareutvikle</w:t>
      </w:r>
      <w:proofErr w:type="spellEnd"/>
      <w:r w:rsidRPr="00CC19F7">
        <w:t xml:space="preserve"> og styrke </w:t>
      </w:r>
      <w:proofErr w:type="spellStart"/>
      <w:r w:rsidRPr="00CC19F7">
        <w:t>sikkerheita</w:t>
      </w:r>
      <w:proofErr w:type="spellEnd"/>
      <w:r w:rsidRPr="00CC19F7">
        <w:t xml:space="preserve"> og arbeidsmiljøet.</w:t>
      </w:r>
    </w:p>
    <w:p w14:paraId="598B9B32" w14:textId="77777777" w:rsidR="00FE02EF" w:rsidRPr="00CC19F7" w:rsidRDefault="00881E58" w:rsidP="00CC19F7">
      <w:r w:rsidRPr="00CC19F7">
        <w:t xml:space="preserve">Kunnskap og ny teknologi er i rask utvikling i </w:t>
      </w:r>
      <w:proofErr w:type="spellStart"/>
      <w:r w:rsidRPr="00CC19F7">
        <w:t>petroleumsverksemda</w:t>
      </w:r>
      <w:proofErr w:type="spellEnd"/>
      <w:r w:rsidRPr="00CC19F7">
        <w:t xml:space="preserve"> og i ny </w:t>
      </w:r>
      <w:proofErr w:type="spellStart"/>
      <w:r w:rsidRPr="00CC19F7">
        <w:t>industriverksemd</w:t>
      </w:r>
      <w:proofErr w:type="spellEnd"/>
      <w:r w:rsidRPr="00CC19F7">
        <w:t xml:space="preserve"> til havs. Teknologiutvikling fører i all </w:t>
      </w:r>
      <w:proofErr w:type="spellStart"/>
      <w:r w:rsidRPr="00CC19F7">
        <w:t>hovudsak</w:t>
      </w:r>
      <w:proofErr w:type="spellEnd"/>
      <w:r w:rsidRPr="00CC19F7">
        <w:t xml:space="preserve"> til større </w:t>
      </w:r>
      <w:proofErr w:type="spellStart"/>
      <w:r w:rsidRPr="00CC19F7">
        <w:t>sikkerheit</w:t>
      </w:r>
      <w:proofErr w:type="spellEnd"/>
      <w:r w:rsidRPr="00CC19F7">
        <w:t xml:space="preserve"> og effektivitet, men kan også føre med seg nye </w:t>
      </w:r>
      <w:proofErr w:type="spellStart"/>
      <w:r w:rsidRPr="00CC19F7">
        <w:t>utfordringar</w:t>
      </w:r>
      <w:proofErr w:type="spellEnd"/>
      <w:r w:rsidRPr="00CC19F7">
        <w:t xml:space="preserve"> som næringa må handtere. Det er forventa at næringa </w:t>
      </w:r>
      <w:proofErr w:type="spellStart"/>
      <w:r w:rsidRPr="00CC19F7">
        <w:t>utviklar</w:t>
      </w:r>
      <w:proofErr w:type="spellEnd"/>
      <w:r w:rsidRPr="00CC19F7">
        <w:t xml:space="preserve"> og tar i bruk ny teknologi som bidrar til større effektivitet og </w:t>
      </w:r>
      <w:proofErr w:type="spellStart"/>
      <w:r w:rsidRPr="00CC19F7">
        <w:t>sikkerheit</w:t>
      </w:r>
      <w:proofErr w:type="spellEnd"/>
      <w:r w:rsidRPr="00CC19F7">
        <w:t xml:space="preserve"> og til </w:t>
      </w:r>
      <w:proofErr w:type="spellStart"/>
      <w:r w:rsidRPr="00CC19F7">
        <w:t>kontinuerleg</w:t>
      </w:r>
      <w:proofErr w:type="spellEnd"/>
      <w:r w:rsidRPr="00CC19F7">
        <w:t xml:space="preserve"> </w:t>
      </w:r>
      <w:proofErr w:type="spellStart"/>
      <w:r w:rsidRPr="00CC19F7">
        <w:t>forbetring</w:t>
      </w:r>
      <w:proofErr w:type="spellEnd"/>
      <w:r w:rsidRPr="00CC19F7">
        <w:t xml:space="preserve"> av HMS-nivået.</w:t>
      </w:r>
    </w:p>
    <w:p w14:paraId="5BCDA2F5" w14:textId="77777777" w:rsidR="00FE02EF" w:rsidRPr="00CC19F7" w:rsidRDefault="00881E58" w:rsidP="00CC19F7">
      <w:r w:rsidRPr="00CC19F7">
        <w:t xml:space="preserve">Det er nødvendig med </w:t>
      </w:r>
      <w:proofErr w:type="spellStart"/>
      <w:r w:rsidRPr="00CC19F7">
        <w:t>kontinuerleg</w:t>
      </w:r>
      <w:proofErr w:type="spellEnd"/>
      <w:r w:rsidRPr="00CC19F7">
        <w:t xml:space="preserve"> kunnskapsutvikling og god dokumentasjon om HMS og sikring i </w:t>
      </w:r>
      <w:proofErr w:type="spellStart"/>
      <w:r w:rsidRPr="00CC19F7">
        <w:t>petroleumsverksemda</w:t>
      </w:r>
      <w:proofErr w:type="spellEnd"/>
      <w:r w:rsidRPr="00CC19F7">
        <w:t xml:space="preserve">, </w:t>
      </w:r>
      <w:proofErr w:type="spellStart"/>
      <w:r w:rsidRPr="00CC19F7">
        <w:t>ikkje</w:t>
      </w:r>
      <w:proofErr w:type="spellEnd"/>
      <w:r w:rsidRPr="00CC19F7">
        <w:t xml:space="preserve"> minst som følge av den teknologiske utviklinga. </w:t>
      </w:r>
      <w:proofErr w:type="spellStart"/>
      <w:r w:rsidRPr="00CC19F7">
        <w:t>Løpande</w:t>
      </w:r>
      <w:proofErr w:type="spellEnd"/>
      <w:r w:rsidRPr="00CC19F7">
        <w:t xml:space="preserve"> utvikling og oppfølging av RNNP er </w:t>
      </w:r>
      <w:proofErr w:type="spellStart"/>
      <w:r w:rsidRPr="00CC19F7">
        <w:t>eit</w:t>
      </w:r>
      <w:proofErr w:type="spellEnd"/>
      <w:r w:rsidRPr="00CC19F7">
        <w:t xml:space="preserve"> viktig tiltak i denne </w:t>
      </w:r>
      <w:proofErr w:type="spellStart"/>
      <w:r w:rsidRPr="00CC19F7">
        <w:t>samanhengen</w:t>
      </w:r>
      <w:proofErr w:type="spellEnd"/>
      <w:r w:rsidRPr="00CC19F7">
        <w:t>.</w:t>
      </w:r>
    </w:p>
    <w:p w14:paraId="7AF16A04" w14:textId="77777777" w:rsidR="00FE02EF" w:rsidRPr="00CC19F7" w:rsidRDefault="00881E58" w:rsidP="00CC19F7">
      <w:r w:rsidRPr="00CC19F7">
        <w:t xml:space="preserve">Det er behov for framleis å satse på forsking og innovasjon </w:t>
      </w:r>
      <w:proofErr w:type="spellStart"/>
      <w:r w:rsidRPr="00CC19F7">
        <w:t>innan</w:t>
      </w:r>
      <w:proofErr w:type="spellEnd"/>
      <w:r w:rsidRPr="00CC19F7">
        <w:t xml:space="preserve"> HMS i sektoren. </w:t>
      </w:r>
      <w:proofErr w:type="spellStart"/>
      <w:r w:rsidRPr="00CC19F7">
        <w:t>Grunnleggande</w:t>
      </w:r>
      <w:proofErr w:type="spellEnd"/>
      <w:r w:rsidRPr="00CC19F7">
        <w:t xml:space="preserve"> og anvend forsking bidrar til ny kompetanse, teknologi og innovasjon for å forhindre storulykker og </w:t>
      </w:r>
      <w:proofErr w:type="spellStart"/>
      <w:r w:rsidRPr="00CC19F7">
        <w:t>forbetre</w:t>
      </w:r>
      <w:proofErr w:type="spellEnd"/>
      <w:r w:rsidRPr="00CC19F7">
        <w:t xml:space="preserve"> helse, arbeidsmiljø og </w:t>
      </w:r>
      <w:proofErr w:type="spellStart"/>
      <w:r w:rsidRPr="00CC19F7">
        <w:t>sikkerheit</w:t>
      </w:r>
      <w:proofErr w:type="spellEnd"/>
      <w:r w:rsidRPr="00CC19F7">
        <w:t xml:space="preserve"> i </w:t>
      </w:r>
      <w:proofErr w:type="spellStart"/>
      <w:r w:rsidRPr="00CC19F7">
        <w:t>petroleumsverksemda</w:t>
      </w:r>
      <w:proofErr w:type="spellEnd"/>
      <w:r w:rsidRPr="00CC19F7">
        <w:t>.</w:t>
      </w:r>
    </w:p>
    <w:p w14:paraId="1A7D1391" w14:textId="77777777" w:rsidR="00FE02EF" w:rsidRPr="00CC19F7" w:rsidRDefault="00881E58" w:rsidP="00CC19F7">
      <w:pPr>
        <w:pStyle w:val="Undertittel"/>
      </w:pPr>
      <w:r w:rsidRPr="00CC19F7">
        <w:t xml:space="preserve">Olje- og energidepartementets mål og </w:t>
      </w:r>
      <w:proofErr w:type="spellStart"/>
      <w:r w:rsidRPr="00CC19F7">
        <w:t>oppgåver</w:t>
      </w:r>
      <w:proofErr w:type="spellEnd"/>
    </w:p>
    <w:p w14:paraId="4B645BBF" w14:textId="77777777" w:rsidR="00FE02EF" w:rsidRPr="00CC19F7" w:rsidRDefault="00881E58" w:rsidP="00CC19F7">
      <w:r w:rsidRPr="00CC19F7">
        <w:t xml:space="preserve">Ved </w:t>
      </w:r>
      <w:proofErr w:type="spellStart"/>
      <w:r w:rsidRPr="00CC19F7">
        <w:t>kongeleg</w:t>
      </w:r>
      <w:proofErr w:type="spellEnd"/>
      <w:r w:rsidRPr="00CC19F7">
        <w:t xml:space="preserve"> resolusjon 11. mai og 20. juni 2023 overtok Olje- og energidepartementet ansvaret for etatsstyringa av Havindustritilsynet og forvaltningsansvaret for arbeidsmiljø, </w:t>
      </w:r>
      <w:proofErr w:type="spellStart"/>
      <w:r w:rsidRPr="00CC19F7">
        <w:t>sikkerheit</w:t>
      </w:r>
      <w:proofErr w:type="spellEnd"/>
      <w:r w:rsidRPr="00CC19F7">
        <w:t xml:space="preserve">, beredskap og sikring etter petroleumslova, havenergilova, havbotnminerallova og for arbeidsmiljølova når det gjeld </w:t>
      </w:r>
      <w:proofErr w:type="spellStart"/>
      <w:r w:rsidRPr="00CC19F7">
        <w:t>verksemd</w:t>
      </w:r>
      <w:proofErr w:type="spellEnd"/>
      <w:r w:rsidRPr="00CC19F7">
        <w:t xml:space="preserve"> under Havindustritilsynets tilsynsområde, </w:t>
      </w:r>
      <w:proofErr w:type="spellStart"/>
      <w:r w:rsidRPr="00CC19F7">
        <w:t>frå</w:t>
      </w:r>
      <w:proofErr w:type="spellEnd"/>
      <w:r w:rsidRPr="00CC19F7">
        <w:t xml:space="preserve"> Arbeids- og inkluderingsdepartementet. Olje- og energidepartementet er samtidig delegert </w:t>
      </w:r>
      <w:proofErr w:type="spellStart"/>
      <w:r w:rsidRPr="00CC19F7">
        <w:t>myndigheit</w:t>
      </w:r>
      <w:proofErr w:type="spellEnd"/>
      <w:r w:rsidRPr="00CC19F7">
        <w:t xml:space="preserve"> etter </w:t>
      </w:r>
      <w:r w:rsidRPr="00CC19F7">
        <w:rPr>
          <w:rStyle w:val="kursiv"/>
        </w:rPr>
        <w:t>lov 21. juni 1963 nr. 12 om vitenskapelig utforskning og undersøkelse etter og utnyttelse av andre undersjøiske naturforekomster enn petroleums- og mineralforekomster</w:t>
      </w:r>
      <w:r w:rsidRPr="00CC19F7">
        <w:t xml:space="preserve"> når det </w:t>
      </w:r>
      <w:proofErr w:type="spellStart"/>
      <w:r w:rsidRPr="00CC19F7">
        <w:t>gjeld</w:t>
      </w:r>
      <w:proofErr w:type="spellEnd"/>
      <w:r w:rsidRPr="00CC19F7">
        <w:t xml:space="preserve"> transport og lagring av CO</w:t>
      </w:r>
      <w:r w:rsidRPr="00CC19F7">
        <w:rPr>
          <w:rStyle w:val="skrift-senket"/>
        </w:rPr>
        <w:t>2</w:t>
      </w:r>
      <w:r w:rsidRPr="00CC19F7">
        <w:t xml:space="preserve"> på kontinentalsokkelen.</w:t>
      </w:r>
    </w:p>
    <w:p w14:paraId="64207F75" w14:textId="77777777" w:rsidR="00FE02EF" w:rsidRPr="00CC19F7" w:rsidRDefault="00881E58" w:rsidP="00CC19F7">
      <w:r w:rsidRPr="00CC19F7">
        <w:t xml:space="preserve">Olje- og energidepartementet har dermed fått det overordna ansvaret for forvaltninga av arbeidsmiljøet og for </w:t>
      </w:r>
      <w:proofErr w:type="spellStart"/>
      <w:r w:rsidRPr="00CC19F7">
        <w:t>sikkerheit</w:t>
      </w:r>
      <w:proofErr w:type="spellEnd"/>
      <w:r w:rsidRPr="00CC19F7">
        <w:t xml:space="preserve"> og beredskap i </w:t>
      </w:r>
      <w:proofErr w:type="spellStart"/>
      <w:r w:rsidRPr="00CC19F7">
        <w:t>petroleumsverksemda</w:t>
      </w:r>
      <w:proofErr w:type="spellEnd"/>
      <w:r w:rsidRPr="00CC19F7">
        <w:t xml:space="preserve"> og anna </w:t>
      </w:r>
      <w:proofErr w:type="spellStart"/>
      <w:r w:rsidRPr="00CC19F7">
        <w:t>industriverksemd</w:t>
      </w:r>
      <w:proofErr w:type="spellEnd"/>
      <w:r w:rsidRPr="00CC19F7">
        <w:t xml:space="preserve"> til havs. Departementet skal sørge for ei samordna og </w:t>
      </w:r>
      <w:proofErr w:type="spellStart"/>
      <w:r w:rsidRPr="00CC19F7">
        <w:t>heilskapleg</w:t>
      </w:r>
      <w:proofErr w:type="spellEnd"/>
      <w:r w:rsidRPr="00CC19F7">
        <w:t xml:space="preserve"> forvaltning av </w:t>
      </w:r>
      <w:proofErr w:type="spellStart"/>
      <w:r w:rsidRPr="00CC19F7">
        <w:t>lovreglar</w:t>
      </w:r>
      <w:proofErr w:type="spellEnd"/>
      <w:r w:rsidRPr="00CC19F7">
        <w:t xml:space="preserve"> som </w:t>
      </w:r>
      <w:proofErr w:type="spellStart"/>
      <w:r w:rsidRPr="00CC19F7">
        <w:t>handlar</w:t>
      </w:r>
      <w:proofErr w:type="spellEnd"/>
      <w:r w:rsidRPr="00CC19F7">
        <w:t xml:space="preserve"> om krav til og tilsyn med arbeidsmiljø, </w:t>
      </w:r>
      <w:proofErr w:type="spellStart"/>
      <w:r w:rsidRPr="00CC19F7">
        <w:t>sikkerheit</w:t>
      </w:r>
      <w:proofErr w:type="spellEnd"/>
      <w:r w:rsidRPr="00CC19F7">
        <w:t>, beredskap og sikring.</w:t>
      </w:r>
    </w:p>
    <w:p w14:paraId="4DC699DF" w14:textId="77777777" w:rsidR="00FE02EF" w:rsidRPr="00CC19F7" w:rsidRDefault="00881E58" w:rsidP="00CC19F7">
      <w:r w:rsidRPr="00CC19F7">
        <w:t xml:space="preserve">Departementet vil gjennom styringsdialogen følge opp Havindustritilsynets arbeid med arbeidsmiljø, </w:t>
      </w:r>
      <w:proofErr w:type="spellStart"/>
      <w:r w:rsidRPr="00CC19F7">
        <w:t>sikkerheit</w:t>
      </w:r>
      <w:proofErr w:type="spellEnd"/>
      <w:r w:rsidRPr="00CC19F7">
        <w:t xml:space="preserve">, beredskap og sikring i </w:t>
      </w:r>
      <w:proofErr w:type="spellStart"/>
      <w:r w:rsidRPr="00CC19F7">
        <w:t>petroleumsverksemda</w:t>
      </w:r>
      <w:proofErr w:type="spellEnd"/>
      <w:r w:rsidRPr="00CC19F7">
        <w:t xml:space="preserve"> og i </w:t>
      </w:r>
      <w:proofErr w:type="spellStart"/>
      <w:r w:rsidRPr="00CC19F7">
        <w:t>tilknyting</w:t>
      </w:r>
      <w:proofErr w:type="spellEnd"/>
      <w:r w:rsidRPr="00CC19F7">
        <w:t xml:space="preserve"> til anna </w:t>
      </w:r>
      <w:proofErr w:type="spellStart"/>
      <w:r w:rsidRPr="00CC19F7">
        <w:t>industriverksemd</w:t>
      </w:r>
      <w:proofErr w:type="spellEnd"/>
      <w:r w:rsidRPr="00CC19F7">
        <w:t xml:space="preserve"> til havs.</w:t>
      </w:r>
    </w:p>
    <w:p w14:paraId="5709EF34" w14:textId="77777777" w:rsidR="00FE02EF" w:rsidRPr="00CC19F7" w:rsidRDefault="00881E58" w:rsidP="00CC19F7">
      <w:r w:rsidRPr="00CC19F7">
        <w:t xml:space="preserve">Departementet vil gjennom etatsstyringa av Havindustritilsynet arbeide for aktiv myndigheitsoppfølging av </w:t>
      </w:r>
      <w:proofErr w:type="spellStart"/>
      <w:r w:rsidRPr="00CC19F7">
        <w:t>verksemdene</w:t>
      </w:r>
      <w:proofErr w:type="spellEnd"/>
      <w:r w:rsidRPr="00CC19F7">
        <w:t xml:space="preserve"> og legge vekt på at Havindustritilsynet er </w:t>
      </w:r>
      <w:proofErr w:type="spellStart"/>
      <w:r w:rsidRPr="00CC19F7">
        <w:t>tydeleg</w:t>
      </w:r>
      <w:proofErr w:type="spellEnd"/>
      <w:r w:rsidRPr="00CC19F7">
        <w:t xml:space="preserve"> i bruken av </w:t>
      </w:r>
      <w:proofErr w:type="spellStart"/>
      <w:r w:rsidRPr="00CC19F7">
        <w:t>verkemiddel</w:t>
      </w:r>
      <w:proofErr w:type="spellEnd"/>
      <w:r w:rsidRPr="00CC19F7">
        <w:t xml:space="preserve"> og </w:t>
      </w:r>
      <w:proofErr w:type="spellStart"/>
      <w:r w:rsidRPr="00CC19F7">
        <w:t>reaksjonar</w:t>
      </w:r>
      <w:proofErr w:type="spellEnd"/>
      <w:r w:rsidRPr="00CC19F7">
        <w:t>.</w:t>
      </w:r>
    </w:p>
    <w:p w14:paraId="332A8D03" w14:textId="77777777" w:rsidR="00FE02EF" w:rsidRPr="00CC19F7" w:rsidRDefault="00881E58" w:rsidP="00CC19F7">
      <w:r w:rsidRPr="00CC19F7">
        <w:t xml:space="preserve">Departementet vil i gjennomføringa av </w:t>
      </w:r>
      <w:proofErr w:type="spellStart"/>
      <w:r w:rsidRPr="00CC19F7">
        <w:t>konsesjonsrundar</w:t>
      </w:r>
      <w:proofErr w:type="spellEnd"/>
      <w:r w:rsidRPr="00CC19F7">
        <w:t xml:space="preserve"> og godkjenning av </w:t>
      </w:r>
      <w:proofErr w:type="spellStart"/>
      <w:proofErr w:type="gramStart"/>
      <w:r w:rsidRPr="00CC19F7">
        <w:t>utbyggingsplanar</w:t>
      </w:r>
      <w:proofErr w:type="spellEnd"/>
      <w:r w:rsidRPr="00CC19F7">
        <w:t xml:space="preserve"> sjå</w:t>
      </w:r>
      <w:proofErr w:type="gramEnd"/>
      <w:r w:rsidRPr="00CC19F7">
        <w:t xml:space="preserve"> til at </w:t>
      </w:r>
      <w:proofErr w:type="spellStart"/>
      <w:r w:rsidRPr="00CC19F7">
        <w:t>aktørane</w:t>
      </w:r>
      <w:proofErr w:type="spellEnd"/>
      <w:r w:rsidRPr="00CC19F7">
        <w:t xml:space="preserve"> på norsk sokkel er seriøse og kompetente, og på den måten bidra til å </w:t>
      </w:r>
      <w:proofErr w:type="spellStart"/>
      <w:r w:rsidRPr="00CC19F7">
        <w:t>oppretthalde</w:t>
      </w:r>
      <w:proofErr w:type="spellEnd"/>
      <w:r w:rsidRPr="00CC19F7">
        <w:t xml:space="preserve"> </w:t>
      </w:r>
      <w:proofErr w:type="spellStart"/>
      <w:r w:rsidRPr="00CC19F7">
        <w:t>eit</w:t>
      </w:r>
      <w:proofErr w:type="spellEnd"/>
      <w:r w:rsidRPr="00CC19F7">
        <w:t xml:space="preserve"> høgt HMS-nivå på norsk sokkel.</w:t>
      </w:r>
    </w:p>
    <w:p w14:paraId="02706DE2" w14:textId="77777777" w:rsidR="00FE02EF" w:rsidRPr="00CC19F7" w:rsidRDefault="00881E58" w:rsidP="00CC19F7">
      <w:r w:rsidRPr="00CC19F7">
        <w:t xml:space="preserve">To- og trepartssamarbeidet er </w:t>
      </w:r>
      <w:proofErr w:type="spellStart"/>
      <w:r w:rsidRPr="00CC19F7">
        <w:t>vesentlege</w:t>
      </w:r>
      <w:proofErr w:type="spellEnd"/>
      <w:r w:rsidRPr="00CC19F7">
        <w:t xml:space="preserve"> </w:t>
      </w:r>
      <w:proofErr w:type="spellStart"/>
      <w:r w:rsidRPr="00CC19F7">
        <w:t>føresetnader</w:t>
      </w:r>
      <w:proofErr w:type="spellEnd"/>
      <w:r w:rsidRPr="00CC19F7">
        <w:t xml:space="preserve"> og viktige arenaer for HMS-regimet i norsk </w:t>
      </w:r>
      <w:proofErr w:type="spellStart"/>
      <w:r w:rsidRPr="00CC19F7">
        <w:t>petroleumsverksemd</w:t>
      </w:r>
      <w:proofErr w:type="spellEnd"/>
      <w:r w:rsidRPr="00CC19F7">
        <w:t xml:space="preserve">. </w:t>
      </w:r>
      <w:proofErr w:type="spellStart"/>
      <w:r w:rsidRPr="00CC19F7">
        <w:t>Eit</w:t>
      </w:r>
      <w:proofErr w:type="spellEnd"/>
      <w:r w:rsidRPr="00CC19F7">
        <w:t xml:space="preserve"> godt samarbeid </w:t>
      </w:r>
      <w:proofErr w:type="spellStart"/>
      <w:r w:rsidRPr="00CC19F7">
        <w:t>føreset</w:t>
      </w:r>
      <w:proofErr w:type="spellEnd"/>
      <w:r w:rsidRPr="00CC19F7">
        <w:t xml:space="preserve"> god og </w:t>
      </w:r>
      <w:proofErr w:type="spellStart"/>
      <w:r w:rsidRPr="00CC19F7">
        <w:t>open</w:t>
      </w:r>
      <w:proofErr w:type="spellEnd"/>
      <w:r w:rsidRPr="00CC19F7">
        <w:t xml:space="preserve"> kommunikasjon, gjensidig anerkjenning av roller og ansvar og reell </w:t>
      </w:r>
      <w:proofErr w:type="spellStart"/>
      <w:r w:rsidRPr="00CC19F7">
        <w:t>medverknad</w:t>
      </w:r>
      <w:proofErr w:type="spellEnd"/>
      <w:r w:rsidRPr="00CC19F7">
        <w:t xml:space="preserve"> </w:t>
      </w:r>
      <w:proofErr w:type="spellStart"/>
      <w:r w:rsidRPr="00CC19F7">
        <w:t>frå</w:t>
      </w:r>
      <w:proofErr w:type="spellEnd"/>
      <w:r w:rsidRPr="00CC19F7">
        <w:t xml:space="preserve"> </w:t>
      </w:r>
      <w:proofErr w:type="spellStart"/>
      <w:r w:rsidRPr="00CC19F7">
        <w:t>arbeidstakarane</w:t>
      </w:r>
      <w:proofErr w:type="spellEnd"/>
      <w:r w:rsidRPr="00CC19F7">
        <w:t xml:space="preserve">. Departementet vil legge vekt på at Havindustritilsynet i samarbeid med næringa held fram med å legge til rette for </w:t>
      </w:r>
      <w:proofErr w:type="spellStart"/>
      <w:r w:rsidRPr="00CC19F7">
        <w:t>eit</w:t>
      </w:r>
      <w:proofErr w:type="spellEnd"/>
      <w:r w:rsidRPr="00CC19F7">
        <w:t xml:space="preserve"> godt partssamarbeid.</w:t>
      </w:r>
    </w:p>
    <w:p w14:paraId="2E3416A6" w14:textId="77777777" w:rsidR="00FE02EF" w:rsidRPr="00CC19F7" w:rsidRDefault="00881E58" w:rsidP="00CC19F7">
      <w:pPr>
        <w:pStyle w:val="Undertittel"/>
      </w:pPr>
      <w:r w:rsidRPr="00CC19F7">
        <w:t>Havindustritilsynet</w:t>
      </w:r>
    </w:p>
    <w:p w14:paraId="1F55A3D8" w14:textId="77777777" w:rsidR="00FE02EF" w:rsidRPr="00CC19F7" w:rsidRDefault="00881E58" w:rsidP="00CC19F7">
      <w:r w:rsidRPr="00CC19F7">
        <w:t xml:space="preserve">Havindustritilsynet skal legge </w:t>
      </w:r>
      <w:proofErr w:type="spellStart"/>
      <w:r w:rsidRPr="00CC19F7">
        <w:t>premissar</w:t>
      </w:r>
      <w:proofErr w:type="spellEnd"/>
      <w:r w:rsidRPr="00CC19F7">
        <w:t xml:space="preserve"> for </w:t>
      </w:r>
      <w:proofErr w:type="spellStart"/>
      <w:r w:rsidRPr="00CC19F7">
        <w:t>og</w:t>
      </w:r>
      <w:proofErr w:type="spellEnd"/>
      <w:r w:rsidRPr="00CC19F7">
        <w:t xml:space="preserve"> følge opp at </w:t>
      </w:r>
      <w:proofErr w:type="spellStart"/>
      <w:r w:rsidRPr="00CC19F7">
        <w:t>aktørane</w:t>
      </w:r>
      <w:proofErr w:type="spellEnd"/>
      <w:r w:rsidRPr="00CC19F7">
        <w:t xml:space="preserve"> </w:t>
      </w:r>
      <w:proofErr w:type="spellStart"/>
      <w:r w:rsidRPr="00CC19F7">
        <w:t>innanfor</w:t>
      </w:r>
      <w:proofErr w:type="spellEnd"/>
      <w:r w:rsidRPr="00CC19F7">
        <w:t xml:space="preserve"> </w:t>
      </w:r>
      <w:proofErr w:type="spellStart"/>
      <w:r w:rsidRPr="00CC19F7">
        <w:t>myndigheitsområdet</w:t>
      </w:r>
      <w:proofErr w:type="spellEnd"/>
      <w:r w:rsidRPr="00CC19F7">
        <w:t xml:space="preserve"> til tilsynet held </w:t>
      </w:r>
      <w:proofErr w:type="spellStart"/>
      <w:r w:rsidRPr="00CC19F7">
        <w:t>eit</w:t>
      </w:r>
      <w:proofErr w:type="spellEnd"/>
      <w:r w:rsidRPr="00CC19F7">
        <w:t xml:space="preserve"> høgt nivå når det </w:t>
      </w:r>
      <w:proofErr w:type="spellStart"/>
      <w:r w:rsidRPr="00CC19F7">
        <w:t>gjeld</w:t>
      </w:r>
      <w:proofErr w:type="spellEnd"/>
      <w:r w:rsidRPr="00CC19F7">
        <w:t xml:space="preserve"> </w:t>
      </w:r>
      <w:proofErr w:type="spellStart"/>
      <w:r w:rsidRPr="00CC19F7">
        <w:t>sikkerheit</w:t>
      </w:r>
      <w:proofErr w:type="spellEnd"/>
      <w:r w:rsidRPr="00CC19F7">
        <w:t>, helse, arbeidsmiljø og sikring.</w:t>
      </w:r>
    </w:p>
    <w:p w14:paraId="337B4F2A" w14:textId="77777777" w:rsidR="00FE02EF" w:rsidRPr="00CC19F7" w:rsidRDefault="00881E58" w:rsidP="00CC19F7">
      <w:proofErr w:type="spellStart"/>
      <w:r w:rsidRPr="00CC19F7">
        <w:t>Myndigheitsansvaret</w:t>
      </w:r>
      <w:proofErr w:type="spellEnd"/>
      <w:r w:rsidRPr="00CC19F7">
        <w:t xml:space="preserve"> til Havindustritilsynet </w:t>
      </w:r>
      <w:proofErr w:type="spellStart"/>
      <w:r w:rsidRPr="00CC19F7">
        <w:t>omfattar</w:t>
      </w:r>
      <w:proofErr w:type="spellEnd"/>
      <w:r w:rsidRPr="00CC19F7">
        <w:t xml:space="preserve"> </w:t>
      </w:r>
      <w:proofErr w:type="spellStart"/>
      <w:r w:rsidRPr="00CC19F7">
        <w:t>petroleumsverksemda</w:t>
      </w:r>
      <w:proofErr w:type="spellEnd"/>
      <w:r w:rsidRPr="00CC19F7">
        <w:t xml:space="preserve"> på norsk kontinentalsokkel i tillegg til enkelte </w:t>
      </w:r>
      <w:proofErr w:type="spellStart"/>
      <w:r w:rsidRPr="00CC19F7">
        <w:t>nærmare</w:t>
      </w:r>
      <w:proofErr w:type="spellEnd"/>
      <w:r w:rsidRPr="00CC19F7">
        <w:t xml:space="preserve"> angitte petroleumsanlegg på land. Havindustritilsynet har også ansvar for å følge opp </w:t>
      </w:r>
      <w:proofErr w:type="spellStart"/>
      <w:r w:rsidRPr="00CC19F7">
        <w:t>aktørane</w:t>
      </w:r>
      <w:proofErr w:type="spellEnd"/>
      <w:r w:rsidRPr="00CC19F7">
        <w:t xml:space="preserve"> sine sikringstiltak og </w:t>
      </w:r>
      <w:proofErr w:type="spellStart"/>
      <w:r w:rsidRPr="00CC19F7">
        <w:t>deira</w:t>
      </w:r>
      <w:proofErr w:type="spellEnd"/>
      <w:r w:rsidRPr="00CC19F7">
        <w:t xml:space="preserve"> beredskap mot bevisste anslag.</w:t>
      </w:r>
    </w:p>
    <w:p w14:paraId="1C98D2DB" w14:textId="77777777" w:rsidR="00FE02EF" w:rsidRPr="00CC19F7" w:rsidRDefault="00881E58" w:rsidP="00CC19F7">
      <w:r w:rsidRPr="00CC19F7">
        <w:t xml:space="preserve">Havindustritilsynet blei i mai 2023 </w:t>
      </w:r>
      <w:proofErr w:type="spellStart"/>
      <w:r w:rsidRPr="00CC19F7">
        <w:t>utpeikt</w:t>
      </w:r>
      <w:proofErr w:type="spellEnd"/>
      <w:r w:rsidRPr="00CC19F7">
        <w:t xml:space="preserve"> som sektortilsyn etter </w:t>
      </w:r>
      <w:proofErr w:type="spellStart"/>
      <w:r w:rsidRPr="00CC19F7">
        <w:t>sikkerheitslova</w:t>
      </w:r>
      <w:proofErr w:type="spellEnd"/>
      <w:r w:rsidRPr="00CC19F7">
        <w:t xml:space="preserve"> for </w:t>
      </w:r>
      <w:proofErr w:type="spellStart"/>
      <w:r w:rsidRPr="00CC19F7">
        <w:t>petroleumsverksemda</w:t>
      </w:r>
      <w:proofErr w:type="spellEnd"/>
      <w:r w:rsidRPr="00CC19F7">
        <w:t xml:space="preserve">, og følger opp at </w:t>
      </w:r>
      <w:proofErr w:type="spellStart"/>
      <w:r w:rsidRPr="00CC19F7">
        <w:t>verksemdene</w:t>
      </w:r>
      <w:proofErr w:type="spellEnd"/>
      <w:r w:rsidRPr="00CC19F7">
        <w:t xml:space="preserve"> tar ansvar for </w:t>
      </w:r>
      <w:proofErr w:type="spellStart"/>
      <w:r w:rsidRPr="00CC19F7">
        <w:t>sikkerheit</w:t>
      </w:r>
      <w:proofErr w:type="spellEnd"/>
      <w:r w:rsidRPr="00CC19F7">
        <w:t xml:space="preserve"> og sikring i tråd med sektorregelverket og </w:t>
      </w:r>
      <w:proofErr w:type="spellStart"/>
      <w:r w:rsidRPr="00CC19F7">
        <w:t>sikkerheitsregelverket</w:t>
      </w:r>
      <w:proofErr w:type="spellEnd"/>
      <w:r w:rsidRPr="00CC19F7">
        <w:t xml:space="preserve">. </w:t>
      </w:r>
    </w:p>
    <w:p w14:paraId="2DDDD1CF" w14:textId="77777777" w:rsidR="00FE02EF" w:rsidRPr="00CC19F7" w:rsidRDefault="00881E58" w:rsidP="00CC19F7">
      <w:r w:rsidRPr="00CC19F7">
        <w:t xml:space="preserve">Havindustritilsynet har også tilsynsansvar for arbeidsmiljø, </w:t>
      </w:r>
      <w:proofErr w:type="spellStart"/>
      <w:r w:rsidRPr="00CC19F7">
        <w:t>sikkerheit</w:t>
      </w:r>
      <w:proofErr w:type="spellEnd"/>
      <w:r w:rsidRPr="00CC19F7">
        <w:t>, beredskap og sikring for transport og lagring av CO</w:t>
      </w:r>
      <w:r w:rsidRPr="00CC19F7">
        <w:rPr>
          <w:rStyle w:val="skrift-senket"/>
        </w:rPr>
        <w:t>2</w:t>
      </w:r>
      <w:r w:rsidRPr="00CC19F7">
        <w:t xml:space="preserve"> i undersjøiske geologiske </w:t>
      </w:r>
      <w:proofErr w:type="spellStart"/>
      <w:r w:rsidRPr="00CC19F7">
        <w:t>formasjonar</w:t>
      </w:r>
      <w:proofErr w:type="spellEnd"/>
      <w:r w:rsidRPr="00CC19F7">
        <w:t xml:space="preserve"> på kontinentalsokkelen. Havindustritilsynet har </w:t>
      </w:r>
      <w:proofErr w:type="spellStart"/>
      <w:r w:rsidRPr="00CC19F7">
        <w:t>vidare</w:t>
      </w:r>
      <w:proofErr w:type="spellEnd"/>
      <w:r w:rsidRPr="00CC19F7">
        <w:t xml:space="preserve"> ansvar knytt til havenergilova § 5-1 om beredskap, </w:t>
      </w:r>
      <w:proofErr w:type="spellStart"/>
      <w:r w:rsidRPr="00CC19F7">
        <w:t>sikkerheit</w:t>
      </w:r>
      <w:proofErr w:type="spellEnd"/>
      <w:r w:rsidRPr="00CC19F7">
        <w:t xml:space="preserve"> og arbeidsmiljø, og havbotnminerallova kapittel 6 og § 9-1 om </w:t>
      </w:r>
      <w:proofErr w:type="spellStart"/>
      <w:r w:rsidRPr="00CC19F7">
        <w:t>sikkerheit</w:t>
      </w:r>
      <w:proofErr w:type="spellEnd"/>
      <w:r w:rsidRPr="00CC19F7">
        <w:t xml:space="preserve"> og beredskap.</w:t>
      </w:r>
    </w:p>
    <w:p w14:paraId="31C6B928" w14:textId="77777777" w:rsidR="00FE02EF" w:rsidRPr="00CC19F7" w:rsidRDefault="00881E58" w:rsidP="00CC19F7">
      <w:r w:rsidRPr="00CC19F7">
        <w:t xml:space="preserve">Havindustritilsynet skal, på </w:t>
      </w:r>
      <w:proofErr w:type="spellStart"/>
      <w:r w:rsidRPr="00CC19F7">
        <w:t>eit</w:t>
      </w:r>
      <w:proofErr w:type="spellEnd"/>
      <w:r w:rsidRPr="00CC19F7">
        <w:t xml:space="preserve"> </w:t>
      </w:r>
      <w:proofErr w:type="spellStart"/>
      <w:r w:rsidRPr="00CC19F7">
        <w:t>fagleg</w:t>
      </w:r>
      <w:proofErr w:type="spellEnd"/>
      <w:r w:rsidRPr="00CC19F7">
        <w:t xml:space="preserve"> og sjølvstendig grunnlag, følge opp at </w:t>
      </w:r>
      <w:proofErr w:type="spellStart"/>
      <w:r w:rsidRPr="00CC19F7">
        <w:t>aktørane</w:t>
      </w:r>
      <w:proofErr w:type="spellEnd"/>
      <w:r w:rsidRPr="00CC19F7">
        <w:t xml:space="preserve"> følger opp ansvaret </w:t>
      </w:r>
      <w:proofErr w:type="spellStart"/>
      <w:r w:rsidRPr="00CC19F7">
        <w:t>dei</w:t>
      </w:r>
      <w:proofErr w:type="spellEnd"/>
      <w:r w:rsidRPr="00CC19F7">
        <w:t xml:space="preserve"> har etter petroleumslovgivinga, </w:t>
      </w:r>
      <w:proofErr w:type="spellStart"/>
      <w:r w:rsidRPr="00CC19F7">
        <w:t>arbeidsmiljølovgivinga</w:t>
      </w:r>
      <w:proofErr w:type="spellEnd"/>
      <w:r w:rsidRPr="00CC19F7">
        <w:t xml:space="preserve"> og anna relevant regelverk som er tillagt </w:t>
      </w:r>
      <w:proofErr w:type="spellStart"/>
      <w:r w:rsidRPr="00CC19F7">
        <w:t>myndigheita</w:t>
      </w:r>
      <w:proofErr w:type="spellEnd"/>
      <w:r w:rsidRPr="00CC19F7">
        <w:t xml:space="preserve"> til Havindustritilsynet.</w:t>
      </w:r>
    </w:p>
    <w:p w14:paraId="2FBA0DE5" w14:textId="77777777" w:rsidR="00FE02EF" w:rsidRPr="00CC19F7" w:rsidRDefault="00881E58" w:rsidP="00CC19F7">
      <w:r w:rsidRPr="00CC19F7">
        <w:t>Havindustritilsynet har kontor i Stavanger. Det blei utført 174 årsverk i 2022.</w:t>
      </w:r>
    </w:p>
    <w:p w14:paraId="0FB3E648" w14:textId="77777777" w:rsidR="00FE02EF" w:rsidRPr="00CC19F7" w:rsidRDefault="00881E58" w:rsidP="00CC19F7">
      <w:pPr>
        <w:pStyle w:val="avsnitt-tittel"/>
      </w:pPr>
      <w:r w:rsidRPr="00CC19F7">
        <w:t>Mål</w:t>
      </w:r>
    </w:p>
    <w:p w14:paraId="039614B4" w14:textId="77777777" w:rsidR="00FE02EF" w:rsidRPr="00CC19F7" w:rsidRDefault="00881E58" w:rsidP="00CC19F7">
      <w:r w:rsidRPr="00CC19F7">
        <w:t xml:space="preserve">Havindustritilsynet skal i 2024 </w:t>
      </w:r>
      <w:proofErr w:type="spellStart"/>
      <w:r w:rsidRPr="00CC19F7">
        <w:t>innan</w:t>
      </w:r>
      <w:proofErr w:type="spellEnd"/>
      <w:r w:rsidRPr="00CC19F7">
        <w:t xml:space="preserve"> ansvarsområdet sitt bidra til å nå </w:t>
      </w:r>
      <w:proofErr w:type="spellStart"/>
      <w:r w:rsidRPr="00CC19F7">
        <w:t>desse</w:t>
      </w:r>
      <w:proofErr w:type="spellEnd"/>
      <w:r w:rsidRPr="00CC19F7">
        <w:t xml:space="preserve"> </w:t>
      </w:r>
      <w:proofErr w:type="spellStart"/>
      <w:r w:rsidRPr="00CC19F7">
        <w:t>hovudmåla</w:t>
      </w:r>
      <w:proofErr w:type="spellEnd"/>
      <w:r w:rsidRPr="00CC19F7">
        <w:t>:</w:t>
      </w:r>
    </w:p>
    <w:p w14:paraId="2FA4E7E0" w14:textId="77777777" w:rsidR="00FE02EF" w:rsidRPr="00CC19F7" w:rsidRDefault="00881E58" w:rsidP="00CC19F7">
      <w:pPr>
        <w:pStyle w:val="Liste"/>
      </w:pPr>
      <w:r w:rsidRPr="00CC19F7">
        <w:t xml:space="preserve">redusert risiko for storulykke i </w:t>
      </w:r>
      <w:proofErr w:type="spellStart"/>
      <w:r w:rsidRPr="00CC19F7">
        <w:t>petroleumsverksemda</w:t>
      </w:r>
      <w:proofErr w:type="spellEnd"/>
    </w:p>
    <w:p w14:paraId="646055D6" w14:textId="77777777" w:rsidR="00FE02EF" w:rsidRPr="00CC19F7" w:rsidRDefault="00881E58" w:rsidP="00CC19F7">
      <w:pPr>
        <w:pStyle w:val="Liste"/>
      </w:pPr>
      <w:r w:rsidRPr="00CC19F7">
        <w:t xml:space="preserve">at </w:t>
      </w:r>
      <w:proofErr w:type="spellStart"/>
      <w:r w:rsidRPr="00CC19F7">
        <w:t>verksemdene</w:t>
      </w:r>
      <w:proofErr w:type="spellEnd"/>
      <w:r w:rsidRPr="00CC19F7">
        <w:t xml:space="preserve"> har </w:t>
      </w:r>
      <w:proofErr w:type="spellStart"/>
      <w:r w:rsidRPr="00CC19F7">
        <w:t>eit</w:t>
      </w:r>
      <w:proofErr w:type="spellEnd"/>
      <w:r w:rsidRPr="00CC19F7">
        <w:t xml:space="preserve"> systematisk </w:t>
      </w:r>
      <w:proofErr w:type="spellStart"/>
      <w:r w:rsidRPr="00CC19F7">
        <w:t>førebyggande</w:t>
      </w:r>
      <w:proofErr w:type="spellEnd"/>
      <w:r w:rsidRPr="00CC19F7">
        <w:t xml:space="preserve"> helse-, arbeidsmiljø- og </w:t>
      </w:r>
      <w:proofErr w:type="spellStart"/>
      <w:r w:rsidRPr="00CC19F7">
        <w:t>sikkerheitsarbeid</w:t>
      </w:r>
      <w:proofErr w:type="spellEnd"/>
      <w:r w:rsidRPr="00CC19F7">
        <w:t xml:space="preserve"> og </w:t>
      </w:r>
      <w:proofErr w:type="spellStart"/>
      <w:r w:rsidRPr="00CC19F7">
        <w:t>forsvarlege</w:t>
      </w:r>
      <w:proofErr w:type="spellEnd"/>
      <w:r w:rsidRPr="00CC19F7">
        <w:t xml:space="preserve"> arbeidsforhold</w:t>
      </w:r>
    </w:p>
    <w:p w14:paraId="5EC9EE4C" w14:textId="77777777" w:rsidR="00FE02EF" w:rsidRPr="00CC19F7" w:rsidRDefault="00881E58" w:rsidP="00CC19F7">
      <w:pPr>
        <w:pStyle w:val="Liste"/>
      </w:pPr>
      <w:r w:rsidRPr="00CC19F7">
        <w:t xml:space="preserve">at </w:t>
      </w:r>
      <w:proofErr w:type="spellStart"/>
      <w:r w:rsidRPr="00CC19F7">
        <w:t>verksemdene</w:t>
      </w:r>
      <w:proofErr w:type="spellEnd"/>
      <w:r w:rsidRPr="00CC19F7">
        <w:t xml:space="preserve"> har nødvendige sikringstiltak som skal bidra til å hindre uønskte </w:t>
      </w:r>
      <w:proofErr w:type="spellStart"/>
      <w:r w:rsidRPr="00CC19F7">
        <w:t>hendingar</w:t>
      </w:r>
      <w:proofErr w:type="spellEnd"/>
      <w:r w:rsidRPr="00CC19F7">
        <w:t xml:space="preserve">, og sørger for beredskap tilpassa det til ei kvar tid </w:t>
      </w:r>
      <w:proofErr w:type="spellStart"/>
      <w:r w:rsidRPr="00CC19F7">
        <w:t>gjeldande</w:t>
      </w:r>
      <w:proofErr w:type="spellEnd"/>
      <w:r w:rsidRPr="00CC19F7">
        <w:t xml:space="preserve"> </w:t>
      </w:r>
      <w:proofErr w:type="spellStart"/>
      <w:r w:rsidRPr="00CC19F7">
        <w:t>risikobiletet</w:t>
      </w:r>
      <w:proofErr w:type="spellEnd"/>
    </w:p>
    <w:p w14:paraId="03C7C79C" w14:textId="77777777" w:rsidR="00FE02EF" w:rsidRPr="00CC19F7" w:rsidRDefault="00881E58" w:rsidP="00CC19F7">
      <w:r w:rsidRPr="00CC19F7">
        <w:t xml:space="preserve">Havindustritilsynet følger opp </w:t>
      </w:r>
      <w:proofErr w:type="spellStart"/>
      <w:r w:rsidRPr="00CC19F7">
        <w:t>verksemdene</w:t>
      </w:r>
      <w:proofErr w:type="spellEnd"/>
      <w:r w:rsidRPr="00CC19F7">
        <w:t xml:space="preserve"> gjennom mellom anna informasjon, rettleiing og tilsyn. Havindustritilsynet legg i oppfølginga av </w:t>
      </w:r>
      <w:proofErr w:type="spellStart"/>
      <w:r w:rsidRPr="00CC19F7">
        <w:t>verksemdene</w:t>
      </w:r>
      <w:proofErr w:type="spellEnd"/>
      <w:r w:rsidRPr="00CC19F7">
        <w:t xml:space="preserve"> vekt på å </w:t>
      </w:r>
      <w:proofErr w:type="spellStart"/>
      <w:r w:rsidRPr="00CC19F7">
        <w:t>vere</w:t>
      </w:r>
      <w:proofErr w:type="spellEnd"/>
      <w:r w:rsidRPr="00CC19F7">
        <w:t xml:space="preserve"> ei sterk og </w:t>
      </w:r>
      <w:proofErr w:type="spellStart"/>
      <w:r w:rsidRPr="00CC19F7">
        <w:t>tydeleg</w:t>
      </w:r>
      <w:proofErr w:type="spellEnd"/>
      <w:r w:rsidRPr="00CC19F7">
        <w:t xml:space="preserve"> </w:t>
      </w:r>
      <w:proofErr w:type="spellStart"/>
      <w:r w:rsidRPr="00CC19F7">
        <w:t>tilsynsmyndigheit</w:t>
      </w:r>
      <w:proofErr w:type="spellEnd"/>
      <w:r w:rsidRPr="00CC19F7">
        <w:t xml:space="preserve"> som har nødvendig tillit, legitimitet og autoritet gjennom tilsynsrolla.</w:t>
      </w:r>
    </w:p>
    <w:p w14:paraId="224151AA" w14:textId="77777777" w:rsidR="00FE02EF" w:rsidRPr="00CC19F7" w:rsidRDefault="00881E58" w:rsidP="00CC19F7">
      <w:r w:rsidRPr="00CC19F7">
        <w:t xml:space="preserve">Det er </w:t>
      </w:r>
      <w:proofErr w:type="spellStart"/>
      <w:r w:rsidRPr="00CC19F7">
        <w:t>verksemdene</w:t>
      </w:r>
      <w:proofErr w:type="spellEnd"/>
      <w:r w:rsidRPr="00CC19F7">
        <w:t xml:space="preserve"> som er </w:t>
      </w:r>
      <w:proofErr w:type="spellStart"/>
      <w:r w:rsidRPr="00CC19F7">
        <w:t>ansvarlege</w:t>
      </w:r>
      <w:proofErr w:type="spellEnd"/>
      <w:r w:rsidRPr="00CC19F7">
        <w:t xml:space="preserve"> for HMS-nivået på eigne anlegg og </w:t>
      </w:r>
      <w:proofErr w:type="spellStart"/>
      <w:r w:rsidRPr="00CC19F7">
        <w:t>innretningar</w:t>
      </w:r>
      <w:proofErr w:type="spellEnd"/>
      <w:r w:rsidRPr="00CC19F7">
        <w:t xml:space="preserve">. Oppfølginga </w:t>
      </w:r>
      <w:proofErr w:type="spellStart"/>
      <w:r w:rsidRPr="00CC19F7">
        <w:t>frå</w:t>
      </w:r>
      <w:proofErr w:type="spellEnd"/>
      <w:r w:rsidRPr="00CC19F7">
        <w:t xml:space="preserve"> </w:t>
      </w:r>
      <w:proofErr w:type="spellStart"/>
      <w:r w:rsidRPr="00CC19F7">
        <w:t>myndigheitene</w:t>
      </w:r>
      <w:proofErr w:type="spellEnd"/>
      <w:r w:rsidRPr="00CC19F7">
        <w:t xml:space="preserve"> </w:t>
      </w:r>
      <w:proofErr w:type="spellStart"/>
      <w:r w:rsidRPr="00CC19F7">
        <w:t>si</w:t>
      </w:r>
      <w:proofErr w:type="spellEnd"/>
      <w:r w:rsidRPr="00CC19F7">
        <w:t xml:space="preserve"> side kjem i tillegg til, </w:t>
      </w:r>
      <w:proofErr w:type="spellStart"/>
      <w:r w:rsidRPr="00CC19F7">
        <w:t>ikkje</w:t>
      </w:r>
      <w:proofErr w:type="spellEnd"/>
      <w:r w:rsidRPr="00CC19F7">
        <w:t xml:space="preserve"> som erstatning for, oppfølginga </w:t>
      </w:r>
      <w:proofErr w:type="spellStart"/>
      <w:r w:rsidRPr="00CC19F7">
        <w:t>frå</w:t>
      </w:r>
      <w:proofErr w:type="spellEnd"/>
      <w:r w:rsidRPr="00CC19F7">
        <w:t xml:space="preserve"> </w:t>
      </w:r>
      <w:proofErr w:type="spellStart"/>
      <w:r w:rsidRPr="00CC19F7">
        <w:t>verksemdene</w:t>
      </w:r>
      <w:proofErr w:type="spellEnd"/>
      <w:r w:rsidRPr="00CC19F7">
        <w:t xml:space="preserve"> sjølve. Havindustritilsynet fører tilsyn med at </w:t>
      </w:r>
      <w:proofErr w:type="spellStart"/>
      <w:r w:rsidRPr="00CC19F7">
        <w:t>aktørane</w:t>
      </w:r>
      <w:proofErr w:type="spellEnd"/>
      <w:r w:rsidRPr="00CC19F7">
        <w:t xml:space="preserve"> følger opp ansvaret sitt gjennom alle </w:t>
      </w:r>
      <w:proofErr w:type="spellStart"/>
      <w:r w:rsidRPr="00CC19F7">
        <w:t>fasar</w:t>
      </w:r>
      <w:proofErr w:type="spellEnd"/>
      <w:r w:rsidRPr="00CC19F7">
        <w:t xml:space="preserve"> av </w:t>
      </w:r>
      <w:proofErr w:type="spellStart"/>
      <w:r w:rsidRPr="00CC19F7">
        <w:t>verksemda</w:t>
      </w:r>
      <w:proofErr w:type="spellEnd"/>
      <w:r w:rsidRPr="00CC19F7">
        <w:t>.</w:t>
      </w:r>
    </w:p>
    <w:p w14:paraId="3EE69DC1" w14:textId="77777777" w:rsidR="00FE02EF" w:rsidRPr="00CC19F7" w:rsidRDefault="00881E58" w:rsidP="00CC19F7">
      <w:r w:rsidRPr="00CC19F7">
        <w:t xml:space="preserve">I </w:t>
      </w:r>
      <w:proofErr w:type="spellStart"/>
      <w:r w:rsidRPr="00CC19F7">
        <w:t>petroleumsverksemda</w:t>
      </w:r>
      <w:proofErr w:type="spellEnd"/>
      <w:r w:rsidRPr="00CC19F7">
        <w:t xml:space="preserve"> er det potensial for storulykker. </w:t>
      </w:r>
      <w:proofErr w:type="spellStart"/>
      <w:r w:rsidRPr="00CC19F7">
        <w:t>Verksemdene</w:t>
      </w:r>
      <w:proofErr w:type="spellEnd"/>
      <w:r w:rsidRPr="00CC19F7">
        <w:t xml:space="preserve"> er derfor </w:t>
      </w:r>
      <w:proofErr w:type="spellStart"/>
      <w:r w:rsidRPr="00CC19F7">
        <w:t>ansvarlege</w:t>
      </w:r>
      <w:proofErr w:type="spellEnd"/>
      <w:r w:rsidRPr="00CC19F7">
        <w:t xml:space="preserve"> for å </w:t>
      </w:r>
      <w:proofErr w:type="spellStart"/>
      <w:r w:rsidRPr="00CC19F7">
        <w:t>førebygge</w:t>
      </w:r>
      <w:proofErr w:type="spellEnd"/>
      <w:r w:rsidRPr="00CC19F7">
        <w:t xml:space="preserve">, ha beredskap for </w:t>
      </w:r>
      <w:proofErr w:type="spellStart"/>
      <w:r w:rsidRPr="00CC19F7">
        <w:t>og</w:t>
      </w:r>
      <w:proofErr w:type="spellEnd"/>
      <w:r w:rsidRPr="00CC19F7">
        <w:t xml:space="preserve"> sette i verk </w:t>
      </w:r>
      <w:proofErr w:type="spellStart"/>
      <w:r w:rsidRPr="00CC19F7">
        <w:t>risikoreduserande</w:t>
      </w:r>
      <w:proofErr w:type="spellEnd"/>
      <w:r w:rsidRPr="00CC19F7">
        <w:t xml:space="preserve"> tiltak i tråd med regelverket.</w:t>
      </w:r>
    </w:p>
    <w:p w14:paraId="303EDB64" w14:textId="77777777" w:rsidR="00FE02EF" w:rsidRPr="00CC19F7" w:rsidRDefault="00881E58" w:rsidP="00CC19F7">
      <w:proofErr w:type="spellStart"/>
      <w:r w:rsidRPr="00CC19F7">
        <w:t>Ein</w:t>
      </w:r>
      <w:proofErr w:type="spellEnd"/>
      <w:r w:rsidRPr="00CC19F7">
        <w:t xml:space="preserve"> </w:t>
      </w:r>
      <w:proofErr w:type="spellStart"/>
      <w:r w:rsidRPr="00CC19F7">
        <w:t>føresetnad</w:t>
      </w:r>
      <w:proofErr w:type="spellEnd"/>
      <w:r w:rsidRPr="00CC19F7">
        <w:t xml:space="preserve"> for å kunne vareta sikker drift, </w:t>
      </w:r>
      <w:proofErr w:type="spellStart"/>
      <w:r w:rsidRPr="00CC19F7">
        <w:t>eit</w:t>
      </w:r>
      <w:proofErr w:type="spellEnd"/>
      <w:r w:rsidRPr="00CC19F7">
        <w:t xml:space="preserve"> fullt </w:t>
      </w:r>
      <w:proofErr w:type="spellStart"/>
      <w:r w:rsidRPr="00CC19F7">
        <w:t>forsvarleg</w:t>
      </w:r>
      <w:proofErr w:type="spellEnd"/>
      <w:r w:rsidRPr="00CC19F7">
        <w:t xml:space="preserve"> arbeidsmiljø og arbeidsforhold i tråd med regelverket er at </w:t>
      </w:r>
      <w:proofErr w:type="spellStart"/>
      <w:r w:rsidRPr="00CC19F7">
        <w:t>verksemdene</w:t>
      </w:r>
      <w:proofErr w:type="spellEnd"/>
      <w:r w:rsidRPr="00CC19F7">
        <w:t xml:space="preserve"> på den enkelte arbeidsplassen </w:t>
      </w:r>
      <w:proofErr w:type="spellStart"/>
      <w:r w:rsidRPr="00CC19F7">
        <w:t>legg</w:t>
      </w:r>
      <w:proofErr w:type="spellEnd"/>
      <w:r w:rsidRPr="00CC19F7">
        <w:t xml:space="preserve"> til rette for </w:t>
      </w:r>
      <w:proofErr w:type="spellStart"/>
      <w:r w:rsidRPr="00CC19F7">
        <w:t>eit</w:t>
      </w:r>
      <w:proofErr w:type="spellEnd"/>
      <w:r w:rsidRPr="00CC19F7">
        <w:t xml:space="preserve"> godt </w:t>
      </w:r>
      <w:proofErr w:type="spellStart"/>
      <w:r w:rsidRPr="00CC19F7">
        <w:t>fungerande</w:t>
      </w:r>
      <w:proofErr w:type="spellEnd"/>
      <w:r w:rsidRPr="00CC19F7">
        <w:t xml:space="preserve"> topartssamarbeid, </w:t>
      </w:r>
      <w:proofErr w:type="spellStart"/>
      <w:r w:rsidRPr="00CC19F7">
        <w:t>gjer</w:t>
      </w:r>
      <w:proofErr w:type="spellEnd"/>
      <w:r w:rsidRPr="00CC19F7">
        <w:t xml:space="preserve"> systematiske </w:t>
      </w:r>
      <w:proofErr w:type="spellStart"/>
      <w:r w:rsidRPr="00CC19F7">
        <w:t>risikovurderingar</w:t>
      </w:r>
      <w:proofErr w:type="spellEnd"/>
      <w:r w:rsidRPr="00CC19F7">
        <w:t xml:space="preserve"> og </w:t>
      </w:r>
      <w:proofErr w:type="spellStart"/>
      <w:r w:rsidRPr="00CC19F7">
        <w:t>set</w:t>
      </w:r>
      <w:proofErr w:type="spellEnd"/>
      <w:r w:rsidRPr="00CC19F7">
        <w:t xml:space="preserve"> i verk </w:t>
      </w:r>
      <w:proofErr w:type="spellStart"/>
      <w:r w:rsidRPr="00CC19F7">
        <w:t>risikoreduserande</w:t>
      </w:r>
      <w:proofErr w:type="spellEnd"/>
      <w:r w:rsidRPr="00CC19F7">
        <w:t xml:space="preserve"> tiltak for </w:t>
      </w:r>
      <w:proofErr w:type="spellStart"/>
      <w:r w:rsidRPr="00CC19F7">
        <w:t>kontinuerleg</w:t>
      </w:r>
      <w:proofErr w:type="spellEnd"/>
      <w:r w:rsidRPr="00CC19F7">
        <w:t xml:space="preserve"> læring og </w:t>
      </w:r>
      <w:proofErr w:type="spellStart"/>
      <w:r w:rsidRPr="00CC19F7">
        <w:t>forbetring</w:t>
      </w:r>
      <w:proofErr w:type="spellEnd"/>
      <w:r w:rsidRPr="00CC19F7">
        <w:t>.</w:t>
      </w:r>
    </w:p>
    <w:p w14:paraId="767362D7" w14:textId="77777777" w:rsidR="00FE02EF" w:rsidRPr="00CC19F7" w:rsidRDefault="00881E58" w:rsidP="00CC19F7">
      <w:pPr>
        <w:pStyle w:val="avsnitt-tittel"/>
      </w:pPr>
      <w:r w:rsidRPr="00CC19F7">
        <w:t>Resultat 2022</w:t>
      </w:r>
    </w:p>
    <w:p w14:paraId="43A3D84D" w14:textId="77777777" w:rsidR="00FE02EF" w:rsidRPr="00CC19F7" w:rsidRDefault="00881E58" w:rsidP="00CC19F7">
      <w:pPr>
        <w:pStyle w:val="avsnitt-undertittel"/>
      </w:pPr>
      <w:r w:rsidRPr="00CC19F7">
        <w:t>Redusere risikoen for storulykker</w:t>
      </w:r>
    </w:p>
    <w:p w14:paraId="7FADE819" w14:textId="77777777" w:rsidR="00FE02EF" w:rsidRPr="00CC19F7" w:rsidRDefault="00881E58" w:rsidP="00CC19F7">
      <w:r w:rsidRPr="00CC19F7">
        <w:t xml:space="preserve">Havindustritilsynet bruker resultat </w:t>
      </w:r>
      <w:proofErr w:type="spellStart"/>
      <w:r w:rsidRPr="00CC19F7">
        <w:t>frå</w:t>
      </w:r>
      <w:proofErr w:type="spellEnd"/>
      <w:r w:rsidRPr="00CC19F7">
        <w:t xml:space="preserve"> RNNP </w:t>
      </w:r>
      <w:proofErr w:type="spellStart"/>
      <w:r w:rsidRPr="00CC19F7">
        <w:t>saman</w:t>
      </w:r>
      <w:proofErr w:type="spellEnd"/>
      <w:r w:rsidRPr="00CC19F7">
        <w:t xml:space="preserve"> med informasjon </w:t>
      </w:r>
      <w:proofErr w:type="spellStart"/>
      <w:r w:rsidRPr="00CC19F7">
        <w:t>frå</w:t>
      </w:r>
      <w:proofErr w:type="spellEnd"/>
      <w:r w:rsidRPr="00CC19F7">
        <w:t xml:space="preserve"> </w:t>
      </w:r>
      <w:proofErr w:type="spellStart"/>
      <w:r w:rsidRPr="00CC19F7">
        <w:t>tilsynsaktivitetar</w:t>
      </w:r>
      <w:proofErr w:type="spellEnd"/>
      <w:r w:rsidRPr="00CC19F7">
        <w:t xml:space="preserve"> som grunnlag for å sikre ei målretta og risikobasert tilsynsoppfølging. Havindustritilsynet har i </w:t>
      </w:r>
      <w:proofErr w:type="spellStart"/>
      <w:r w:rsidRPr="00CC19F7">
        <w:t>tilknyting</w:t>
      </w:r>
      <w:proofErr w:type="spellEnd"/>
      <w:r w:rsidRPr="00CC19F7">
        <w:t xml:space="preserve"> til </w:t>
      </w:r>
      <w:proofErr w:type="spellStart"/>
      <w:r w:rsidRPr="00CC19F7">
        <w:t>hovudmålet</w:t>
      </w:r>
      <w:proofErr w:type="spellEnd"/>
      <w:r w:rsidRPr="00CC19F7">
        <w:t xml:space="preserve"> om å redusere risikoen for storulykker i petroleumssektoren prioritert </w:t>
      </w:r>
      <w:proofErr w:type="spellStart"/>
      <w:r w:rsidRPr="00CC19F7">
        <w:t>desse</w:t>
      </w:r>
      <w:proofErr w:type="spellEnd"/>
      <w:r w:rsidRPr="00CC19F7">
        <w:t xml:space="preserve"> områda for oppfølging i 2022:</w:t>
      </w:r>
    </w:p>
    <w:p w14:paraId="4DADF706" w14:textId="77777777" w:rsidR="00FE02EF" w:rsidRPr="00CC19F7" w:rsidRDefault="00881E58" w:rsidP="00CC19F7">
      <w:pPr>
        <w:rPr>
          <w:rStyle w:val="kursiv"/>
        </w:rPr>
      </w:pPr>
      <w:proofErr w:type="spellStart"/>
      <w:r w:rsidRPr="00CC19F7">
        <w:rPr>
          <w:rStyle w:val="kursiv"/>
        </w:rPr>
        <w:t>Brønnkontrollhendingar</w:t>
      </w:r>
      <w:proofErr w:type="spellEnd"/>
      <w:r w:rsidRPr="00CC19F7">
        <w:t xml:space="preserve"> kan </w:t>
      </w:r>
      <w:proofErr w:type="spellStart"/>
      <w:r w:rsidRPr="00CC19F7">
        <w:t>innebere</w:t>
      </w:r>
      <w:proofErr w:type="spellEnd"/>
      <w:r w:rsidRPr="00CC19F7">
        <w:t xml:space="preserve"> fare for storulykke og er </w:t>
      </w:r>
      <w:proofErr w:type="spellStart"/>
      <w:r w:rsidRPr="00CC19F7">
        <w:t>eit</w:t>
      </w:r>
      <w:proofErr w:type="spellEnd"/>
      <w:r w:rsidRPr="00CC19F7">
        <w:t xml:space="preserve"> område med </w:t>
      </w:r>
      <w:proofErr w:type="spellStart"/>
      <w:r w:rsidRPr="00CC19F7">
        <w:t>høg</w:t>
      </w:r>
      <w:proofErr w:type="spellEnd"/>
      <w:r w:rsidRPr="00CC19F7">
        <w:t xml:space="preserve"> prioritet for Havindustritilsynet. I 2022 innleia Havindustritilsynet </w:t>
      </w:r>
      <w:proofErr w:type="spellStart"/>
      <w:r w:rsidRPr="00CC19F7">
        <w:t>ein</w:t>
      </w:r>
      <w:proofErr w:type="spellEnd"/>
      <w:r w:rsidRPr="00CC19F7">
        <w:t xml:space="preserve"> møteserie med </w:t>
      </w:r>
      <w:proofErr w:type="spellStart"/>
      <w:r w:rsidRPr="00CC19F7">
        <w:t>operatørar</w:t>
      </w:r>
      <w:proofErr w:type="spellEnd"/>
      <w:r w:rsidRPr="00CC19F7">
        <w:t xml:space="preserve"> om </w:t>
      </w:r>
      <w:proofErr w:type="spellStart"/>
      <w:r w:rsidRPr="00CC19F7">
        <w:t>førebygging</w:t>
      </w:r>
      <w:proofErr w:type="spellEnd"/>
      <w:r w:rsidRPr="00CC19F7">
        <w:t xml:space="preserve"> av </w:t>
      </w:r>
      <w:proofErr w:type="spellStart"/>
      <w:r w:rsidRPr="00CC19F7">
        <w:t>brønnkontrollhendingar</w:t>
      </w:r>
      <w:proofErr w:type="spellEnd"/>
      <w:r w:rsidRPr="00CC19F7">
        <w:t xml:space="preserve"> gjennom betre estimering av pore- og oppsprekkingstrykk. Denne møteserien blir ført </w:t>
      </w:r>
      <w:proofErr w:type="spellStart"/>
      <w:r w:rsidRPr="00CC19F7">
        <w:t>vidare</w:t>
      </w:r>
      <w:proofErr w:type="spellEnd"/>
      <w:r w:rsidRPr="00CC19F7">
        <w:t xml:space="preserve"> i 2023 og 2024. Havindustritilsynet gjennomførte </w:t>
      </w:r>
      <w:proofErr w:type="spellStart"/>
      <w:r w:rsidRPr="00CC19F7">
        <w:t>fleire</w:t>
      </w:r>
      <w:proofErr w:type="spellEnd"/>
      <w:r w:rsidRPr="00CC19F7">
        <w:t xml:space="preserve"> tilsyn med planlegging og gjennomføring av bore- og </w:t>
      </w:r>
      <w:proofErr w:type="spellStart"/>
      <w:r w:rsidRPr="00CC19F7">
        <w:t>brønnintervensjonsoperasjonar</w:t>
      </w:r>
      <w:proofErr w:type="spellEnd"/>
      <w:r w:rsidRPr="00CC19F7">
        <w:t xml:space="preserve"> og førte også tilsyn med brønnkontrollkompetanse hos </w:t>
      </w:r>
      <w:proofErr w:type="spellStart"/>
      <w:r w:rsidRPr="00CC19F7">
        <w:t>entreprenørane</w:t>
      </w:r>
      <w:proofErr w:type="spellEnd"/>
      <w:r w:rsidRPr="00CC19F7">
        <w:t>. I januar 2023 sette Havindustritilsynet i verk ei gransking av ei brønnkontrollhending på Gullfaks-feltet.</w:t>
      </w:r>
    </w:p>
    <w:p w14:paraId="25EA8968" w14:textId="77777777" w:rsidR="00FE02EF" w:rsidRPr="00CC19F7" w:rsidRDefault="00881E58" w:rsidP="00CC19F7">
      <w:pPr>
        <w:rPr>
          <w:rStyle w:val="kursiv"/>
        </w:rPr>
      </w:pPr>
      <w:proofErr w:type="spellStart"/>
      <w:r w:rsidRPr="00CC19F7">
        <w:rPr>
          <w:rStyle w:val="kursiv"/>
        </w:rPr>
        <w:t>Hydrokarbonlekkasjar</w:t>
      </w:r>
      <w:proofErr w:type="spellEnd"/>
      <w:r w:rsidRPr="00CC19F7">
        <w:t xml:space="preserve"> som antenner, kan resultere i brann eller eksplosjon og dermed tap av menneskeliv, akutte utslepp av hydrokarbon til luft og sjø og tap av store materielle </w:t>
      </w:r>
      <w:proofErr w:type="spellStart"/>
      <w:r w:rsidRPr="00CC19F7">
        <w:t>verdiar</w:t>
      </w:r>
      <w:proofErr w:type="spellEnd"/>
      <w:r w:rsidRPr="00CC19F7">
        <w:t xml:space="preserve">. Oppfølginga </w:t>
      </w:r>
      <w:proofErr w:type="spellStart"/>
      <w:r w:rsidRPr="00CC19F7">
        <w:t>frå</w:t>
      </w:r>
      <w:proofErr w:type="spellEnd"/>
      <w:r w:rsidRPr="00CC19F7">
        <w:t xml:space="preserve"> Havindustritilsynet skjer gjennom oppfølging av </w:t>
      </w:r>
      <w:proofErr w:type="spellStart"/>
      <w:r w:rsidRPr="00CC19F7">
        <w:t>hendingar</w:t>
      </w:r>
      <w:proofErr w:type="spellEnd"/>
      <w:r w:rsidRPr="00CC19F7">
        <w:t xml:space="preserve"> og selskapa sine system og </w:t>
      </w:r>
      <w:proofErr w:type="spellStart"/>
      <w:r w:rsidRPr="00CC19F7">
        <w:t>arbeidsprosessar</w:t>
      </w:r>
      <w:proofErr w:type="spellEnd"/>
      <w:r w:rsidRPr="00CC19F7">
        <w:t xml:space="preserve"> som skal hindre </w:t>
      </w:r>
      <w:proofErr w:type="spellStart"/>
      <w:r w:rsidRPr="00CC19F7">
        <w:t>lekkasjar</w:t>
      </w:r>
      <w:proofErr w:type="spellEnd"/>
      <w:r w:rsidRPr="00CC19F7">
        <w:t>.</w:t>
      </w:r>
    </w:p>
    <w:p w14:paraId="31A627A9" w14:textId="77777777" w:rsidR="00FE02EF" w:rsidRPr="00CC19F7" w:rsidRDefault="00881E58" w:rsidP="00CC19F7">
      <w:r w:rsidRPr="00CC19F7">
        <w:t xml:space="preserve">Havindustritilsynet har granska ei hending og gjennomført </w:t>
      </w:r>
      <w:proofErr w:type="spellStart"/>
      <w:r w:rsidRPr="00CC19F7">
        <w:t>fleire</w:t>
      </w:r>
      <w:proofErr w:type="spellEnd"/>
      <w:r w:rsidRPr="00CC19F7">
        <w:t xml:space="preserve"> tilsyn med barrierestyring knytt til </w:t>
      </w:r>
      <w:proofErr w:type="spellStart"/>
      <w:r w:rsidRPr="00CC19F7">
        <w:t>hydrokarbonlekkasjar</w:t>
      </w:r>
      <w:proofErr w:type="spellEnd"/>
      <w:r w:rsidRPr="00CC19F7">
        <w:t xml:space="preserve"> som tema. Havindustritilsynet har også gjennomført </w:t>
      </w:r>
      <w:proofErr w:type="spellStart"/>
      <w:r w:rsidRPr="00CC19F7">
        <w:t>fleire</w:t>
      </w:r>
      <w:proofErr w:type="spellEnd"/>
      <w:r w:rsidRPr="00CC19F7">
        <w:t xml:space="preserve"> tilsyn med </w:t>
      </w:r>
      <w:proofErr w:type="spellStart"/>
      <w:r w:rsidRPr="00CC19F7">
        <w:t>elsikkerheit</w:t>
      </w:r>
      <w:proofErr w:type="spellEnd"/>
      <w:r w:rsidRPr="00CC19F7">
        <w:t xml:space="preserve"> på </w:t>
      </w:r>
      <w:proofErr w:type="spellStart"/>
      <w:r w:rsidRPr="00CC19F7">
        <w:t>innretningar</w:t>
      </w:r>
      <w:proofErr w:type="spellEnd"/>
      <w:r w:rsidRPr="00CC19F7">
        <w:t xml:space="preserve">, da feil i elektrisk utsyr kan fungere som </w:t>
      </w:r>
      <w:proofErr w:type="spellStart"/>
      <w:r w:rsidRPr="00CC19F7">
        <w:t>tennkjelde</w:t>
      </w:r>
      <w:proofErr w:type="spellEnd"/>
      <w:r w:rsidRPr="00CC19F7">
        <w:t xml:space="preserve"> i tillegg til å føre til personskade i seg </w:t>
      </w:r>
      <w:proofErr w:type="spellStart"/>
      <w:r w:rsidRPr="00CC19F7">
        <w:t>sjølv</w:t>
      </w:r>
      <w:proofErr w:type="spellEnd"/>
      <w:r w:rsidRPr="00CC19F7">
        <w:t xml:space="preserve">. Målet er å </w:t>
      </w:r>
      <w:proofErr w:type="spellStart"/>
      <w:r w:rsidRPr="00CC19F7">
        <w:t>auke</w:t>
      </w:r>
      <w:proofErr w:type="spellEnd"/>
      <w:r w:rsidRPr="00CC19F7">
        <w:t xml:space="preserve"> forståinga av kor viktig god barrierestyring er med tanke på </w:t>
      </w:r>
      <w:proofErr w:type="spellStart"/>
      <w:r w:rsidRPr="00CC19F7">
        <w:t>forsvarleg</w:t>
      </w:r>
      <w:proofErr w:type="spellEnd"/>
      <w:r w:rsidRPr="00CC19F7">
        <w:t xml:space="preserve"> drift. I sum gir </w:t>
      </w:r>
      <w:proofErr w:type="spellStart"/>
      <w:r w:rsidRPr="00CC19F7">
        <w:t>tilsynserfaringar</w:t>
      </w:r>
      <w:proofErr w:type="spellEnd"/>
      <w:r w:rsidRPr="00CC19F7">
        <w:t xml:space="preserve"> og informasjon </w:t>
      </w:r>
      <w:proofErr w:type="spellStart"/>
      <w:r w:rsidRPr="00CC19F7">
        <w:t>frå</w:t>
      </w:r>
      <w:proofErr w:type="spellEnd"/>
      <w:r w:rsidRPr="00CC19F7">
        <w:t xml:space="preserve"> RNNP </w:t>
      </w:r>
      <w:proofErr w:type="spellStart"/>
      <w:r w:rsidRPr="00CC19F7">
        <w:t>eit</w:t>
      </w:r>
      <w:proofErr w:type="spellEnd"/>
      <w:r w:rsidRPr="00CC19F7">
        <w:t xml:space="preserve"> </w:t>
      </w:r>
      <w:proofErr w:type="spellStart"/>
      <w:r w:rsidRPr="00CC19F7">
        <w:t>bilete</w:t>
      </w:r>
      <w:proofErr w:type="spellEnd"/>
      <w:r w:rsidRPr="00CC19F7">
        <w:t xml:space="preserve"> som </w:t>
      </w:r>
      <w:proofErr w:type="spellStart"/>
      <w:r w:rsidRPr="00CC19F7">
        <w:t>tilseier</w:t>
      </w:r>
      <w:proofErr w:type="spellEnd"/>
      <w:r w:rsidRPr="00CC19F7">
        <w:t xml:space="preserve"> at næringa blir stadig betre til å styre </w:t>
      </w:r>
      <w:proofErr w:type="spellStart"/>
      <w:r w:rsidRPr="00CC19F7">
        <w:t>sikkerheitskritiske</w:t>
      </w:r>
      <w:proofErr w:type="spellEnd"/>
      <w:r w:rsidRPr="00CC19F7">
        <w:t xml:space="preserve"> </w:t>
      </w:r>
      <w:proofErr w:type="spellStart"/>
      <w:r w:rsidRPr="00CC19F7">
        <w:t>barrierar</w:t>
      </w:r>
      <w:proofErr w:type="spellEnd"/>
      <w:r w:rsidRPr="00CC19F7">
        <w:t>.</w:t>
      </w:r>
    </w:p>
    <w:p w14:paraId="4E4C3FCE" w14:textId="77777777" w:rsidR="00FE02EF" w:rsidRPr="00CC19F7" w:rsidRDefault="00881E58" w:rsidP="00CC19F7">
      <w:proofErr w:type="spellStart"/>
      <w:r w:rsidRPr="00CC19F7">
        <w:t>Manglande</w:t>
      </w:r>
      <w:proofErr w:type="spellEnd"/>
      <w:r w:rsidRPr="00CC19F7">
        <w:t xml:space="preserve"> </w:t>
      </w:r>
      <w:proofErr w:type="spellStart"/>
      <w:r w:rsidRPr="00CC19F7">
        <w:t>vedlikehald</w:t>
      </w:r>
      <w:proofErr w:type="spellEnd"/>
      <w:r w:rsidRPr="00CC19F7">
        <w:t xml:space="preserve"> er ofte ei </w:t>
      </w:r>
      <w:proofErr w:type="spellStart"/>
      <w:r w:rsidRPr="00CC19F7">
        <w:t>medverkande</w:t>
      </w:r>
      <w:proofErr w:type="spellEnd"/>
      <w:r w:rsidRPr="00CC19F7">
        <w:t xml:space="preserve"> årsak til mellom anna </w:t>
      </w:r>
      <w:proofErr w:type="spellStart"/>
      <w:r w:rsidRPr="00CC19F7">
        <w:rPr>
          <w:rStyle w:val="kursiv"/>
        </w:rPr>
        <w:t>konstruksjonshendingar</w:t>
      </w:r>
      <w:proofErr w:type="spellEnd"/>
      <w:r w:rsidRPr="00CC19F7">
        <w:t xml:space="preserve">. Tilsyn </w:t>
      </w:r>
      <w:proofErr w:type="spellStart"/>
      <w:r w:rsidRPr="00CC19F7">
        <w:t>frå</w:t>
      </w:r>
      <w:proofErr w:type="spellEnd"/>
      <w:r w:rsidRPr="00CC19F7">
        <w:t xml:space="preserve"> Havindustritilsynet viser at selskapa </w:t>
      </w:r>
      <w:proofErr w:type="spellStart"/>
      <w:r w:rsidRPr="00CC19F7">
        <w:t>framleis</w:t>
      </w:r>
      <w:proofErr w:type="spellEnd"/>
      <w:r w:rsidRPr="00CC19F7">
        <w:t xml:space="preserve"> har </w:t>
      </w:r>
      <w:proofErr w:type="spellStart"/>
      <w:r w:rsidRPr="00CC19F7">
        <w:t>eit</w:t>
      </w:r>
      <w:proofErr w:type="spellEnd"/>
      <w:r w:rsidRPr="00CC19F7">
        <w:t xml:space="preserve"> </w:t>
      </w:r>
      <w:proofErr w:type="spellStart"/>
      <w:r w:rsidRPr="00CC19F7">
        <w:t>forbetringspotensial</w:t>
      </w:r>
      <w:proofErr w:type="spellEnd"/>
      <w:r w:rsidRPr="00CC19F7">
        <w:t xml:space="preserve"> når det gjeld </w:t>
      </w:r>
      <w:proofErr w:type="spellStart"/>
      <w:r w:rsidRPr="00CC19F7">
        <w:t>vedlikehaldsstyring</w:t>
      </w:r>
      <w:proofErr w:type="spellEnd"/>
      <w:r w:rsidRPr="00CC19F7">
        <w:t xml:space="preserve">. Havindustritilsynet har gjennomført ei rekke tilsyn og </w:t>
      </w:r>
      <w:proofErr w:type="spellStart"/>
      <w:r w:rsidRPr="00CC19F7">
        <w:t>studiar</w:t>
      </w:r>
      <w:proofErr w:type="spellEnd"/>
      <w:r w:rsidRPr="00CC19F7">
        <w:t xml:space="preserve"> med måten selskapa handterer integriteten til </w:t>
      </w:r>
      <w:proofErr w:type="spellStart"/>
      <w:r w:rsidRPr="00CC19F7">
        <w:t>konstruksjonar</w:t>
      </w:r>
      <w:proofErr w:type="spellEnd"/>
      <w:r w:rsidRPr="00CC19F7">
        <w:t xml:space="preserve"> på, som tema, med formål å bidra til betre </w:t>
      </w:r>
      <w:proofErr w:type="spellStart"/>
      <w:r w:rsidRPr="00CC19F7">
        <w:t>sikkerheit</w:t>
      </w:r>
      <w:proofErr w:type="spellEnd"/>
      <w:r w:rsidRPr="00CC19F7">
        <w:t xml:space="preserve"> på dette området. Oppfølginga er </w:t>
      </w:r>
      <w:proofErr w:type="spellStart"/>
      <w:r w:rsidRPr="00CC19F7">
        <w:t>særleg</w:t>
      </w:r>
      <w:proofErr w:type="spellEnd"/>
      <w:r w:rsidRPr="00CC19F7">
        <w:t xml:space="preserve"> retta mot korrosjon under isolasjon i prosessanlegg, marine system og </w:t>
      </w:r>
      <w:proofErr w:type="spellStart"/>
      <w:r w:rsidRPr="00CC19F7">
        <w:t>røyrleidningar</w:t>
      </w:r>
      <w:proofErr w:type="spellEnd"/>
      <w:r w:rsidRPr="00CC19F7">
        <w:t xml:space="preserve"> for transport av olje og gass. Havindustritilsynets kunnskapsformidling bidrar også til å sette </w:t>
      </w:r>
      <w:proofErr w:type="spellStart"/>
      <w:r w:rsidRPr="00CC19F7">
        <w:t>vedlikehald</w:t>
      </w:r>
      <w:proofErr w:type="spellEnd"/>
      <w:r w:rsidRPr="00CC19F7">
        <w:t xml:space="preserve"> høgt på dagsordenen og til å </w:t>
      </w:r>
      <w:proofErr w:type="spellStart"/>
      <w:r w:rsidRPr="00CC19F7">
        <w:t>auke</w:t>
      </w:r>
      <w:proofErr w:type="spellEnd"/>
      <w:r w:rsidRPr="00CC19F7">
        <w:t xml:space="preserve"> </w:t>
      </w:r>
      <w:proofErr w:type="spellStart"/>
      <w:r w:rsidRPr="00CC19F7">
        <w:t>bevisstheita</w:t>
      </w:r>
      <w:proofErr w:type="spellEnd"/>
      <w:r w:rsidRPr="00CC19F7">
        <w:t xml:space="preserve"> rundt god </w:t>
      </w:r>
      <w:proofErr w:type="spellStart"/>
      <w:r w:rsidRPr="00CC19F7">
        <w:t>vedlikehaldsstyring</w:t>
      </w:r>
      <w:proofErr w:type="spellEnd"/>
      <w:r w:rsidRPr="00CC19F7">
        <w:t xml:space="preserve"> for reduksjon av storulykkerisiko.</w:t>
      </w:r>
    </w:p>
    <w:p w14:paraId="5E38B1A1" w14:textId="77777777" w:rsidR="00FE02EF" w:rsidRPr="00CC19F7" w:rsidRDefault="00881E58" w:rsidP="00CC19F7">
      <w:r w:rsidRPr="00CC19F7">
        <w:t xml:space="preserve">Havindustritilsynet har </w:t>
      </w:r>
      <w:proofErr w:type="spellStart"/>
      <w:r w:rsidRPr="00CC19F7">
        <w:t>dei</w:t>
      </w:r>
      <w:proofErr w:type="spellEnd"/>
      <w:r w:rsidRPr="00CC19F7">
        <w:t xml:space="preserve"> </w:t>
      </w:r>
      <w:proofErr w:type="spellStart"/>
      <w:r w:rsidRPr="00CC19F7">
        <w:t>seinare</w:t>
      </w:r>
      <w:proofErr w:type="spellEnd"/>
      <w:r w:rsidRPr="00CC19F7">
        <w:t xml:space="preserve"> åra hatt større </w:t>
      </w:r>
      <w:proofErr w:type="spellStart"/>
      <w:r w:rsidRPr="00CC19F7">
        <w:t>merksemd</w:t>
      </w:r>
      <w:proofErr w:type="spellEnd"/>
      <w:r w:rsidRPr="00CC19F7">
        <w:t xml:space="preserve"> på arbeidet med </w:t>
      </w:r>
      <w:r w:rsidRPr="00CC19F7">
        <w:rPr>
          <w:rStyle w:val="kursiv"/>
        </w:rPr>
        <w:t>IKT-</w:t>
      </w:r>
      <w:proofErr w:type="spellStart"/>
      <w:r w:rsidRPr="00CC19F7">
        <w:rPr>
          <w:rStyle w:val="kursiv"/>
        </w:rPr>
        <w:t>sikkerheit</w:t>
      </w:r>
      <w:proofErr w:type="spellEnd"/>
      <w:r w:rsidRPr="00CC19F7">
        <w:t xml:space="preserve"> og sikring av IKT-system, mellom anna gjennom kunnskapsutvikling og formidling. I 2022 prioriterte Havindustritilsynet tilsyn med korleis selskapa følger opp styring av risiko knytt til </w:t>
      </w:r>
      <w:proofErr w:type="spellStart"/>
      <w:r w:rsidRPr="00CC19F7">
        <w:t>informasjonssikkerheit</w:t>
      </w:r>
      <w:proofErr w:type="spellEnd"/>
      <w:r w:rsidRPr="00CC19F7">
        <w:t xml:space="preserve"> for industrielle IKT-system. Havindustritilsynet er delegert ansvaret som responsmiljø for petroleumssektoren, og har inngått </w:t>
      </w:r>
      <w:proofErr w:type="spellStart"/>
      <w:r w:rsidRPr="00CC19F7">
        <w:t>ein</w:t>
      </w:r>
      <w:proofErr w:type="spellEnd"/>
      <w:r w:rsidRPr="00CC19F7">
        <w:t xml:space="preserve"> avtale med </w:t>
      </w:r>
      <w:proofErr w:type="spellStart"/>
      <w:r w:rsidRPr="00CC19F7">
        <w:t>KraftCERT</w:t>
      </w:r>
      <w:proofErr w:type="spellEnd"/>
      <w:r w:rsidRPr="00CC19F7">
        <w:t xml:space="preserve">, som også varetar </w:t>
      </w:r>
      <w:proofErr w:type="spellStart"/>
      <w:r w:rsidRPr="00CC19F7">
        <w:t>tilsvarande</w:t>
      </w:r>
      <w:proofErr w:type="spellEnd"/>
      <w:r w:rsidRPr="00CC19F7">
        <w:t xml:space="preserve"> </w:t>
      </w:r>
      <w:proofErr w:type="spellStart"/>
      <w:r w:rsidRPr="00CC19F7">
        <w:t>oppgåver</w:t>
      </w:r>
      <w:proofErr w:type="spellEnd"/>
      <w:r w:rsidRPr="00CC19F7">
        <w:t xml:space="preserve"> for den nasjonale kraftforsyninga i </w:t>
      </w:r>
      <w:proofErr w:type="spellStart"/>
      <w:r w:rsidRPr="00CC19F7">
        <w:t>Noreg</w:t>
      </w:r>
      <w:proofErr w:type="spellEnd"/>
      <w:r w:rsidRPr="00CC19F7">
        <w:t>.</w:t>
      </w:r>
    </w:p>
    <w:p w14:paraId="400347A1" w14:textId="77777777" w:rsidR="00FE02EF" w:rsidRPr="00CC19F7" w:rsidRDefault="00881E58" w:rsidP="00CC19F7">
      <w:pPr>
        <w:rPr>
          <w:rStyle w:val="kursiv"/>
        </w:rPr>
      </w:pPr>
      <w:r w:rsidRPr="00CC19F7">
        <w:rPr>
          <w:rStyle w:val="kursiv"/>
        </w:rPr>
        <w:t>Sikring mot bevisste anslag</w:t>
      </w:r>
      <w:r w:rsidRPr="00CC19F7">
        <w:t xml:space="preserve"> har fått </w:t>
      </w:r>
      <w:proofErr w:type="spellStart"/>
      <w:r w:rsidRPr="00CC19F7">
        <w:t>særleg</w:t>
      </w:r>
      <w:proofErr w:type="spellEnd"/>
      <w:r w:rsidRPr="00CC19F7">
        <w:t xml:space="preserve"> </w:t>
      </w:r>
      <w:proofErr w:type="spellStart"/>
      <w:r w:rsidRPr="00CC19F7">
        <w:t>auka</w:t>
      </w:r>
      <w:proofErr w:type="spellEnd"/>
      <w:r w:rsidRPr="00CC19F7">
        <w:t xml:space="preserve"> </w:t>
      </w:r>
      <w:proofErr w:type="spellStart"/>
      <w:r w:rsidRPr="00CC19F7">
        <w:t>merksemd</w:t>
      </w:r>
      <w:proofErr w:type="spellEnd"/>
      <w:r w:rsidRPr="00CC19F7">
        <w:t xml:space="preserve"> i samband med Russlands invasjon av Ukraina og den </w:t>
      </w:r>
      <w:proofErr w:type="spellStart"/>
      <w:r w:rsidRPr="00CC19F7">
        <w:t>krevjande</w:t>
      </w:r>
      <w:proofErr w:type="spellEnd"/>
      <w:r w:rsidRPr="00CC19F7">
        <w:t xml:space="preserve"> </w:t>
      </w:r>
      <w:proofErr w:type="spellStart"/>
      <w:r w:rsidRPr="00CC19F7">
        <w:t>sikkerheitssituasjonen</w:t>
      </w:r>
      <w:proofErr w:type="spellEnd"/>
      <w:r w:rsidRPr="00CC19F7">
        <w:t xml:space="preserve"> i Europa. Havindustritilsynet har bidratt til å </w:t>
      </w:r>
      <w:proofErr w:type="spellStart"/>
      <w:r w:rsidRPr="00CC19F7">
        <w:t>forbetre</w:t>
      </w:r>
      <w:proofErr w:type="spellEnd"/>
      <w:r w:rsidRPr="00CC19F7">
        <w:t xml:space="preserve"> sikringstilstanden gjennom tilsyn, dialog og møte med </w:t>
      </w:r>
      <w:proofErr w:type="spellStart"/>
      <w:r w:rsidRPr="00CC19F7">
        <w:t>aktørane</w:t>
      </w:r>
      <w:proofErr w:type="spellEnd"/>
      <w:r w:rsidRPr="00CC19F7">
        <w:t xml:space="preserve"> i næringa og andre </w:t>
      </w:r>
      <w:proofErr w:type="spellStart"/>
      <w:r w:rsidRPr="00CC19F7">
        <w:t>myndigheiter</w:t>
      </w:r>
      <w:proofErr w:type="spellEnd"/>
      <w:r w:rsidRPr="00CC19F7">
        <w:t xml:space="preserve">. Havindustritilsynet har også bidratt til den nasjonale beredskaps- og krisehandteringa gjennom å bidra til å avklare </w:t>
      </w:r>
      <w:proofErr w:type="spellStart"/>
      <w:r w:rsidRPr="00CC19F7">
        <w:t>situasjonsbiletet</w:t>
      </w:r>
      <w:proofErr w:type="spellEnd"/>
      <w:r w:rsidRPr="00CC19F7">
        <w:t xml:space="preserve">. Dette har ført til betre avgjerdsgrunnlag for handtering av situasjonen, samhandling om iverksetting av tiltak, oppfølging av </w:t>
      </w:r>
      <w:proofErr w:type="spellStart"/>
      <w:r w:rsidRPr="00CC19F7">
        <w:t>aktørane</w:t>
      </w:r>
      <w:proofErr w:type="spellEnd"/>
      <w:r w:rsidRPr="00CC19F7">
        <w:t xml:space="preserve"> og bidrag til totalforsvaret.</w:t>
      </w:r>
    </w:p>
    <w:p w14:paraId="58DFB2AB" w14:textId="77777777" w:rsidR="00FE02EF" w:rsidRPr="00CC19F7" w:rsidRDefault="00881E58" w:rsidP="00CC19F7">
      <w:pPr>
        <w:pStyle w:val="avsnitt-undertittel"/>
      </w:pPr>
      <w:proofErr w:type="spellStart"/>
      <w:r w:rsidRPr="00CC19F7">
        <w:t>Førebyggande</w:t>
      </w:r>
      <w:proofErr w:type="spellEnd"/>
      <w:r w:rsidRPr="00CC19F7">
        <w:t xml:space="preserve"> arbeidsmiljø, helse og </w:t>
      </w:r>
      <w:proofErr w:type="spellStart"/>
      <w:r w:rsidRPr="00CC19F7">
        <w:t>sikkerheit</w:t>
      </w:r>
      <w:proofErr w:type="spellEnd"/>
    </w:p>
    <w:p w14:paraId="18D63964" w14:textId="77777777" w:rsidR="00FE02EF" w:rsidRPr="00CC19F7" w:rsidRDefault="00881E58" w:rsidP="00CC19F7">
      <w:r w:rsidRPr="00CC19F7">
        <w:t xml:space="preserve">Havindustritilsynet har </w:t>
      </w:r>
      <w:proofErr w:type="spellStart"/>
      <w:r w:rsidRPr="00CC19F7">
        <w:t>særleg</w:t>
      </w:r>
      <w:proofErr w:type="spellEnd"/>
      <w:r w:rsidRPr="00CC19F7">
        <w:t xml:space="preserve"> lagt vekt på korleis selskapa styrer oppfølging av det fysiske og kjemiske arbeidsmiljøet, og organisatorisk/psykososialt arbeidsmiljø og ergonomi. Dette kjem i tillegg til den </w:t>
      </w:r>
      <w:proofErr w:type="spellStart"/>
      <w:r w:rsidRPr="00CC19F7">
        <w:t>kontinuerlege</w:t>
      </w:r>
      <w:proofErr w:type="spellEnd"/>
      <w:r w:rsidRPr="00CC19F7">
        <w:t xml:space="preserve"> oppfølginga av det </w:t>
      </w:r>
      <w:proofErr w:type="spellStart"/>
      <w:r w:rsidRPr="00CC19F7">
        <w:t>førebyggande</w:t>
      </w:r>
      <w:proofErr w:type="spellEnd"/>
      <w:r w:rsidRPr="00CC19F7">
        <w:t xml:space="preserve"> arbeidet i selskapa for å redusere arbeidsmiljørisiko, </w:t>
      </w:r>
      <w:proofErr w:type="spellStart"/>
      <w:r w:rsidRPr="00CC19F7">
        <w:t>førebygging</w:t>
      </w:r>
      <w:proofErr w:type="spellEnd"/>
      <w:r w:rsidRPr="00CC19F7">
        <w:t xml:space="preserve"> av akutte </w:t>
      </w:r>
      <w:proofErr w:type="spellStart"/>
      <w:r w:rsidRPr="00CC19F7">
        <w:t>personskadar</w:t>
      </w:r>
      <w:proofErr w:type="spellEnd"/>
      <w:r w:rsidRPr="00CC19F7">
        <w:t xml:space="preserve"> og varetaking av seriøse og anstendige arbeidsvilkår.</w:t>
      </w:r>
    </w:p>
    <w:p w14:paraId="6D64810D" w14:textId="77777777" w:rsidR="00FE02EF" w:rsidRPr="00CC19F7" w:rsidRDefault="00881E58" w:rsidP="00CC19F7">
      <w:r w:rsidRPr="00CC19F7">
        <w:t xml:space="preserve">Havindustritilsynet har mellom anna lagt vekt på risiko knytt til eksponering for </w:t>
      </w:r>
      <w:proofErr w:type="spellStart"/>
      <w:r w:rsidRPr="00CC19F7">
        <w:t>kreftframkallande</w:t>
      </w:r>
      <w:proofErr w:type="spellEnd"/>
      <w:r w:rsidRPr="00CC19F7">
        <w:t xml:space="preserve"> </w:t>
      </w:r>
      <w:proofErr w:type="spellStart"/>
      <w:r w:rsidRPr="00CC19F7">
        <w:t>kjemikaliar</w:t>
      </w:r>
      <w:proofErr w:type="spellEnd"/>
      <w:r w:rsidRPr="00CC19F7">
        <w:t xml:space="preserve">, </w:t>
      </w:r>
      <w:proofErr w:type="spellStart"/>
      <w:r w:rsidRPr="00CC19F7">
        <w:t>særleg</w:t>
      </w:r>
      <w:proofErr w:type="spellEnd"/>
      <w:r w:rsidRPr="00CC19F7">
        <w:t xml:space="preserve"> eksponeringsrisiko for benzen. Havindustritilsynet har </w:t>
      </w:r>
      <w:proofErr w:type="spellStart"/>
      <w:r w:rsidRPr="00CC19F7">
        <w:t>følgt</w:t>
      </w:r>
      <w:proofErr w:type="spellEnd"/>
      <w:r w:rsidRPr="00CC19F7">
        <w:t xml:space="preserve"> opp handteringa i selskapa både gjennom tilsyn med enkeltselskap og gjennom informasjonsinnhenting og kunnskapsutvikling.</w:t>
      </w:r>
    </w:p>
    <w:p w14:paraId="43B7B3C1" w14:textId="77777777" w:rsidR="00FE02EF" w:rsidRPr="00CC19F7" w:rsidRDefault="00881E58" w:rsidP="00CC19F7">
      <w:r w:rsidRPr="00CC19F7">
        <w:t xml:space="preserve">Havindustritilsynet har også hatt </w:t>
      </w:r>
      <w:proofErr w:type="spellStart"/>
      <w:r w:rsidRPr="00CC19F7">
        <w:t>merksemd</w:t>
      </w:r>
      <w:proofErr w:type="spellEnd"/>
      <w:r w:rsidRPr="00CC19F7">
        <w:t xml:space="preserve"> på korleis selskapa handterer ergonomi / mekaniske </w:t>
      </w:r>
      <w:proofErr w:type="spellStart"/>
      <w:r w:rsidRPr="00CC19F7">
        <w:t>faktorar</w:t>
      </w:r>
      <w:proofErr w:type="spellEnd"/>
      <w:r w:rsidRPr="00CC19F7">
        <w:t xml:space="preserve">, psykososialt arbeidsmiljø og </w:t>
      </w:r>
      <w:proofErr w:type="spellStart"/>
      <w:r w:rsidRPr="00CC19F7">
        <w:t>menneskelege</w:t>
      </w:r>
      <w:proofErr w:type="spellEnd"/>
      <w:r w:rsidRPr="00CC19F7">
        <w:t xml:space="preserve"> og organisatoriske forhold når nye digitale </w:t>
      </w:r>
      <w:proofErr w:type="spellStart"/>
      <w:r w:rsidRPr="00CC19F7">
        <w:t>løysingar</w:t>
      </w:r>
      <w:proofErr w:type="spellEnd"/>
      <w:r w:rsidRPr="00CC19F7">
        <w:t xml:space="preserve"> blir tatt i bruk. Den samla oppfølginga </w:t>
      </w:r>
      <w:proofErr w:type="spellStart"/>
      <w:r w:rsidRPr="00CC19F7">
        <w:t>frå</w:t>
      </w:r>
      <w:proofErr w:type="spellEnd"/>
      <w:r w:rsidRPr="00CC19F7">
        <w:t xml:space="preserve"> Havindustritilsynet har bidratt til større kunnskap, og selskapa gjennomfører tiltak som følge av </w:t>
      </w:r>
      <w:proofErr w:type="spellStart"/>
      <w:r w:rsidRPr="00CC19F7">
        <w:t>tilsynsaktivitetane</w:t>
      </w:r>
      <w:proofErr w:type="spellEnd"/>
      <w:r w:rsidRPr="00CC19F7">
        <w:t xml:space="preserve"> til Havindustritilsynet.</w:t>
      </w:r>
    </w:p>
    <w:p w14:paraId="7977B978" w14:textId="77777777" w:rsidR="00FE02EF" w:rsidRPr="00CC19F7" w:rsidRDefault="00881E58" w:rsidP="00CC19F7">
      <w:r w:rsidRPr="00CC19F7">
        <w:t xml:space="preserve">Havindustritilsynet har gjennomført </w:t>
      </w:r>
      <w:proofErr w:type="spellStart"/>
      <w:r w:rsidRPr="00CC19F7">
        <w:t>fleire</w:t>
      </w:r>
      <w:proofErr w:type="spellEnd"/>
      <w:r w:rsidRPr="00CC19F7">
        <w:t xml:space="preserve"> tilsyn med både </w:t>
      </w:r>
      <w:proofErr w:type="spellStart"/>
      <w:r w:rsidRPr="00CC19F7">
        <w:t>operatørar</w:t>
      </w:r>
      <w:proofErr w:type="spellEnd"/>
      <w:r w:rsidRPr="00CC19F7">
        <w:t xml:space="preserve"> og </w:t>
      </w:r>
      <w:proofErr w:type="spellStart"/>
      <w:r w:rsidRPr="00CC19F7">
        <w:t>entreprenørar</w:t>
      </w:r>
      <w:proofErr w:type="spellEnd"/>
      <w:r w:rsidRPr="00CC19F7">
        <w:t xml:space="preserve"> med arbeidstid og </w:t>
      </w:r>
      <w:proofErr w:type="gramStart"/>
      <w:r w:rsidRPr="00CC19F7">
        <w:t>robust</w:t>
      </w:r>
      <w:proofErr w:type="gramEnd"/>
      <w:r w:rsidRPr="00CC19F7">
        <w:t xml:space="preserve"> bemanning som tema.</w:t>
      </w:r>
    </w:p>
    <w:p w14:paraId="01131FF1" w14:textId="77777777" w:rsidR="00FE02EF" w:rsidRPr="00CC19F7" w:rsidRDefault="00881E58" w:rsidP="00CC19F7">
      <w:r w:rsidRPr="00CC19F7">
        <w:t xml:space="preserve">Havindustritilsynet har i </w:t>
      </w:r>
      <w:proofErr w:type="spellStart"/>
      <w:r w:rsidRPr="00CC19F7">
        <w:t>tilsynsverksemda</w:t>
      </w:r>
      <w:proofErr w:type="spellEnd"/>
      <w:r w:rsidRPr="00CC19F7">
        <w:t xml:space="preserve"> si hatt </w:t>
      </w:r>
      <w:proofErr w:type="spellStart"/>
      <w:r w:rsidRPr="00CC19F7">
        <w:t>auka</w:t>
      </w:r>
      <w:proofErr w:type="spellEnd"/>
      <w:r w:rsidRPr="00CC19F7">
        <w:t xml:space="preserve"> </w:t>
      </w:r>
      <w:proofErr w:type="spellStart"/>
      <w:r w:rsidRPr="00CC19F7">
        <w:t>merksemd</w:t>
      </w:r>
      <w:proofErr w:type="spellEnd"/>
      <w:r w:rsidRPr="00CC19F7">
        <w:t xml:space="preserve"> på </w:t>
      </w:r>
      <w:proofErr w:type="spellStart"/>
      <w:r w:rsidRPr="00CC19F7">
        <w:t>førebygging</w:t>
      </w:r>
      <w:proofErr w:type="spellEnd"/>
      <w:r w:rsidRPr="00CC19F7">
        <w:t xml:space="preserve"> av </w:t>
      </w:r>
      <w:proofErr w:type="spellStart"/>
      <w:r w:rsidRPr="00CC19F7">
        <w:t>personskadar</w:t>
      </w:r>
      <w:proofErr w:type="spellEnd"/>
      <w:r w:rsidRPr="00CC19F7">
        <w:t xml:space="preserve"> i </w:t>
      </w:r>
      <w:proofErr w:type="spellStart"/>
      <w:r w:rsidRPr="00CC19F7">
        <w:t>tilknyting</w:t>
      </w:r>
      <w:proofErr w:type="spellEnd"/>
      <w:r w:rsidRPr="00CC19F7">
        <w:t xml:space="preserve"> til </w:t>
      </w:r>
      <w:proofErr w:type="spellStart"/>
      <w:r w:rsidRPr="00CC19F7">
        <w:t>løfteoperasjonar</w:t>
      </w:r>
      <w:proofErr w:type="spellEnd"/>
      <w:r w:rsidRPr="00CC19F7">
        <w:t xml:space="preserve">. I tilsyn har Havindustritilsynet mellom anna registrert at </w:t>
      </w:r>
      <w:proofErr w:type="spellStart"/>
      <w:r w:rsidRPr="00CC19F7">
        <w:t>fleire</w:t>
      </w:r>
      <w:proofErr w:type="spellEnd"/>
      <w:r w:rsidRPr="00CC19F7">
        <w:t xml:space="preserve"> selskap har prioritert å gi personell med operasjonelt ansvar </w:t>
      </w:r>
      <w:proofErr w:type="spellStart"/>
      <w:r w:rsidRPr="00CC19F7">
        <w:t>eit</w:t>
      </w:r>
      <w:proofErr w:type="spellEnd"/>
      <w:r w:rsidRPr="00CC19F7">
        <w:t xml:space="preserve"> kompetanseløft knytt til </w:t>
      </w:r>
      <w:proofErr w:type="spellStart"/>
      <w:r w:rsidRPr="00CC19F7">
        <w:t>løfteoperasjonar</w:t>
      </w:r>
      <w:proofErr w:type="spellEnd"/>
      <w:r w:rsidRPr="00CC19F7">
        <w:t>.</w:t>
      </w:r>
    </w:p>
    <w:p w14:paraId="55BD1107" w14:textId="77777777" w:rsidR="00FE02EF" w:rsidRPr="00CC19F7" w:rsidRDefault="00881E58" w:rsidP="00CC19F7">
      <w:r w:rsidRPr="00CC19F7">
        <w:t xml:space="preserve">Havindustritilsynet gjennomførte fem tilsyn med </w:t>
      </w:r>
      <w:proofErr w:type="spellStart"/>
      <w:r w:rsidRPr="00CC19F7">
        <w:t>innleige</w:t>
      </w:r>
      <w:proofErr w:type="spellEnd"/>
      <w:r w:rsidRPr="00CC19F7">
        <w:t xml:space="preserve"> av arbeidskraft </w:t>
      </w:r>
      <w:proofErr w:type="spellStart"/>
      <w:r w:rsidRPr="00CC19F7">
        <w:t>frå</w:t>
      </w:r>
      <w:proofErr w:type="spellEnd"/>
      <w:r w:rsidRPr="00CC19F7">
        <w:t xml:space="preserve"> </w:t>
      </w:r>
      <w:proofErr w:type="spellStart"/>
      <w:r w:rsidRPr="00CC19F7">
        <w:t>bemanningsføretak</w:t>
      </w:r>
      <w:proofErr w:type="spellEnd"/>
      <w:r w:rsidRPr="00CC19F7">
        <w:t xml:space="preserve">. Tilsyna har hatt god effekt, og Havindustritilsynet ser ei </w:t>
      </w:r>
      <w:proofErr w:type="spellStart"/>
      <w:r w:rsidRPr="00CC19F7">
        <w:t>tydeleg</w:t>
      </w:r>
      <w:proofErr w:type="spellEnd"/>
      <w:r w:rsidRPr="00CC19F7">
        <w:t xml:space="preserve"> </w:t>
      </w:r>
      <w:proofErr w:type="spellStart"/>
      <w:r w:rsidRPr="00CC19F7">
        <w:t>forbetring</w:t>
      </w:r>
      <w:proofErr w:type="spellEnd"/>
      <w:r w:rsidRPr="00CC19F7">
        <w:t xml:space="preserve"> hos </w:t>
      </w:r>
      <w:proofErr w:type="spellStart"/>
      <w:r w:rsidRPr="00CC19F7">
        <w:t>aktørane</w:t>
      </w:r>
      <w:proofErr w:type="spellEnd"/>
      <w:r w:rsidRPr="00CC19F7">
        <w:t xml:space="preserve"> når det </w:t>
      </w:r>
      <w:proofErr w:type="spellStart"/>
      <w:r w:rsidRPr="00CC19F7">
        <w:t>gjeld</w:t>
      </w:r>
      <w:proofErr w:type="spellEnd"/>
      <w:r w:rsidRPr="00CC19F7">
        <w:t xml:space="preserve"> å følge opp krava i </w:t>
      </w:r>
      <w:proofErr w:type="spellStart"/>
      <w:r w:rsidRPr="00CC19F7">
        <w:t>innleigeregelverket</w:t>
      </w:r>
      <w:proofErr w:type="spellEnd"/>
      <w:r w:rsidRPr="00CC19F7">
        <w:t xml:space="preserve">. </w:t>
      </w:r>
      <w:proofErr w:type="spellStart"/>
      <w:r w:rsidRPr="00CC19F7">
        <w:t>Forbetringa</w:t>
      </w:r>
      <w:proofErr w:type="spellEnd"/>
      <w:r w:rsidRPr="00CC19F7">
        <w:t xml:space="preserve"> kjem dels av den </w:t>
      </w:r>
      <w:proofErr w:type="spellStart"/>
      <w:r w:rsidRPr="00CC19F7">
        <w:t>auka</w:t>
      </w:r>
      <w:proofErr w:type="spellEnd"/>
      <w:r w:rsidRPr="00CC19F7">
        <w:t xml:space="preserve"> </w:t>
      </w:r>
      <w:proofErr w:type="spellStart"/>
      <w:r w:rsidRPr="00CC19F7">
        <w:t>merksemda</w:t>
      </w:r>
      <w:proofErr w:type="spellEnd"/>
      <w:r w:rsidRPr="00CC19F7">
        <w:t xml:space="preserve"> temaet og enkelte av tilsyna har hatt i media både lokalt og nasjonalt, i tillegg til at Havindustritilsynet har hatt søkelys på </w:t>
      </w:r>
      <w:proofErr w:type="spellStart"/>
      <w:r w:rsidRPr="00CC19F7">
        <w:t>innleige</w:t>
      </w:r>
      <w:proofErr w:type="spellEnd"/>
      <w:r w:rsidRPr="00CC19F7">
        <w:t xml:space="preserve"> på heimesidene sine og på ulike </w:t>
      </w:r>
      <w:proofErr w:type="spellStart"/>
      <w:r w:rsidRPr="00CC19F7">
        <w:t>konferansar</w:t>
      </w:r>
      <w:proofErr w:type="spellEnd"/>
      <w:r w:rsidRPr="00CC19F7">
        <w:t>.</w:t>
      </w:r>
    </w:p>
    <w:p w14:paraId="51432763" w14:textId="77777777" w:rsidR="00FE02EF" w:rsidRPr="00CC19F7" w:rsidRDefault="00881E58" w:rsidP="00CC19F7">
      <w:r w:rsidRPr="00CC19F7">
        <w:t xml:space="preserve">Tilrettelegging for </w:t>
      </w:r>
      <w:proofErr w:type="spellStart"/>
      <w:r w:rsidRPr="00CC19F7">
        <w:t>medverknad</w:t>
      </w:r>
      <w:proofErr w:type="spellEnd"/>
      <w:r w:rsidRPr="00CC19F7">
        <w:t xml:space="preserve"> </w:t>
      </w:r>
      <w:proofErr w:type="spellStart"/>
      <w:r w:rsidRPr="00CC19F7">
        <w:t>frå</w:t>
      </w:r>
      <w:proofErr w:type="spellEnd"/>
      <w:r w:rsidRPr="00CC19F7">
        <w:t xml:space="preserve"> </w:t>
      </w:r>
      <w:proofErr w:type="spellStart"/>
      <w:r w:rsidRPr="00CC19F7">
        <w:t>arbeidstakarane</w:t>
      </w:r>
      <w:proofErr w:type="spellEnd"/>
      <w:r w:rsidRPr="00CC19F7">
        <w:t xml:space="preserve"> er </w:t>
      </w:r>
      <w:proofErr w:type="spellStart"/>
      <w:r w:rsidRPr="00CC19F7">
        <w:t>eit</w:t>
      </w:r>
      <w:proofErr w:type="spellEnd"/>
      <w:r w:rsidRPr="00CC19F7">
        <w:t xml:space="preserve"> sentralt krav i petroleumsregelverket og arbeidsmiljølova. Dette har også i 2022 </w:t>
      </w:r>
      <w:proofErr w:type="spellStart"/>
      <w:r w:rsidRPr="00CC19F7">
        <w:t>vore</w:t>
      </w:r>
      <w:proofErr w:type="spellEnd"/>
      <w:r w:rsidRPr="00CC19F7">
        <w:t xml:space="preserve"> </w:t>
      </w:r>
      <w:proofErr w:type="spellStart"/>
      <w:r w:rsidRPr="00CC19F7">
        <w:t>eit</w:t>
      </w:r>
      <w:proofErr w:type="spellEnd"/>
      <w:r w:rsidRPr="00CC19F7">
        <w:t xml:space="preserve"> viktig tema i tilsyn, i statusmøte med selskapa og med </w:t>
      </w:r>
      <w:proofErr w:type="spellStart"/>
      <w:r w:rsidRPr="00CC19F7">
        <w:t>partane</w:t>
      </w:r>
      <w:proofErr w:type="spellEnd"/>
      <w:r w:rsidRPr="00CC19F7">
        <w:t xml:space="preserve"> i arbeidslivet og forum for </w:t>
      </w:r>
      <w:proofErr w:type="spellStart"/>
      <w:r w:rsidRPr="00CC19F7">
        <w:t>koordinerande</w:t>
      </w:r>
      <w:proofErr w:type="spellEnd"/>
      <w:r w:rsidRPr="00CC19F7">
        <w:t xml:space="preserve"> </w:t>
      </w:r>
      <w:proofErr w:type="spellStart"/>
      <w:r w:rsidRPr="00CC19F7">
        <w:t>hovudverneombod</w:t>
      </w:r>
      <w:proofErr w:type="spellEnd"/>
      <w:r w:rsidRPr="00CC19F7">
        <w:t xml:space="preserve">. Havindustritilsynet ser at selskapa som har </w:t>
      </w:r>
      <w:proofErr w:type="spellStart"/>
      <w:r w:rsidRPr="00CC19F7">
        <w:t>arbeidstakarmedverknad</w:t>
      </w:r>
      <w:proofErr w:type="spellEnd"/>
      <w:r w:rsidRPr="00CC19F7">
        <w:t xml:space="preserve"> godt innarbeida i leiinga og i styringssystema sine, også klarer seg best i </w:t>
      </w:r>
      <w:proofErr w:type="spellStart"/>
      <w:r w:rsidRPr="00CC19F7">
        <w:t>periodar</w:t>
      </w:r>
      <w:proofErr w:type="spellEnd"/>
      <w:r w:rsidRPr="00CC19F7">
        <w:t xml:space="preserve"> med ulike </w:t>
      </w:r>
      <w:proofErr w:type="spellStart"/>
      <w:r w:rsidRPr="00CC19F7">
        <w:t>utfordringar</w:t>
      </w:r>
      <w:proofErr w:type="spellEnd"/>
      <w:r w:rsidRPr="00CC19F7">
        <w:t xml:space="preserve"> og </w:t>
      </w:r>
      <w:proofErr w:type="spellStart"/>
      <w:r w:rsidRPr="00CC19F7">
        <w:t>endringar</w:t>
      </w:r>
      <w:proofErr w:type="spellEnd"/>
      <w:r w:rsidRPr="00CC19F7">
        <w:t>.</w:t>
      </w:r>
    </w:p>
    <w:p w14:paraId="184AF136" w14:textId="77777777" w:rsidR="00FE02EF" w:rsidRPr="00CC19F7" w:rsidRDefault="00881E58" w:rsidP="00CC19F7">
      <w:pPr>
        <w:pStyle w:val="avsnitt-undertittel"/>
      </w:pPr>
      <w:r w:rsidRPr="00CC19F7">
        <w:t xml:space="preserve">Ny </w:t>
      </w:r>
      <w:proofErr w:type="spellStart"/>
      <w:r w:rsidRPr="00CC19F7">
        <w:t>industriverksemd</w:t>
      </w:r>
      <w:proofErr w:type="spellEnd"/>
      <w:r w:rsidRPr="00CC19F7">
        <w:t xml:space="preserve"> til havs</w:t>
      </w:r>
    </w:p>
    <w:p w14:paraId="0E145BD8" w14:textId="77777777" w:rsidR="00FE02EF" w:rsidRPr="00CC19F7" w:rsidRDefault="00881E58" w:rsidP="00CC19F7">
      <w:r w:rsidRPr="00CC19F7">
        <w:t xml:space="preserve">Havindustritilsynet blei i 2022 delegert </w:t>
      </w:r>
      <w:proofErr w:type="spellStart"/>
      <w:r w:rsidRPr="00CC19F7">
        <w:t>myndigheit</w:t>
      </w:r>
      <w:proofErr w:type="spellEnd"/>
      <w:r w:rsidRPr="00CC19F7">
        <w:t xml:space="preserve"> for fornybar energiproduksjon til havs, og har </w:t>
      </w:r>
      <w:proofErr w:type="spellStart"/>
      <w:r w:rsidRPr="00CC19F7">
        <w:t>sidan</w:t>
      </w:r>
      <w:proofErr w:type="spellEnd"/>
      <w:r w:rsidRPr="00CC19F7">
        <w:t xml:space="preserve"> jobba med kunnskapsutvikling, regelverksutvikling og </w:t>
      </w:r>
      <w:proofErr w:type="spellStart"/>
      <w:r w:rsidRPr="00CC19F7">
        <w:t>førebuingar</w:t>
      </w:r>
      <w:proofErr w:type="spellEnd"/>
      <w:r w:rsidRPr="00CC19F7">
        <w:t xml:space="preserve"> til tilsyn.</w:t>
      </w:r>
    </w:p>
    <w:p w14:paraId="3E141BED" w14:textId="77777777" w:rsidR="00FE02EF" w:rsidRPr="00CC19F7" w:rsidRDefault="00881E58" w:rsidP="00CC19F7">
      <w:pPr>
        <w:pStyle w:val="b-budkaptit"/>
      </w:pPr>
      <w:r w:rsidRPr="00CC19F7">
        <w:t>Kap. 1860 Havindustritilsynet</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504"/>
        <w:gridCol w:w="1276"/>
        <w:gridCol w:w="1620"/>
        <w:gridCol w:w="1300"/>
      </w:tblGrid>
      <w:tr w:rsidR="00FE02EF" w:rsidRPr="00CC19F7" w14:paraId="55DA959B" w14:textId="77777777" w:rsidTr="00A06A7F">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4801E41" w14:textId="77777777" w:rsidR="00FE02EF" w:rsidRPr="00CC19F7" w:rsidRDefault="00881E58" w:rsidP="00CC19F7">
            <w:pPr>
              <w:pStyle w:val="Tabellnavn"/>
            </w:pPr>
            <w:r w:rsidRPr="00CC19F7">
              <w:t>KPAL</w:t>
            </w:r>
          </w:p>
        </w:tc>
        <w:tc>
          <w:tcPr>
            <w:tcW w:w="4504" w:type="dxa"/>
            <w:tcBorders>
              <w:top w:val="nil"/>
              <w:left w:val="nil"/>
              <w:bottom w:val="single" w:sz="4" w:space="0" w:color="000000"/>
              <w:right w:val="nil"/>
            </w:tcBorders>
            <w:tcMar>
              <w:top w:w="128" w:type="dxa"/>
              <w:left w:w="43" w:type="dxa"/>
              <w:bottom w:w="43" w:type="dxa"/>
              <w:right w:w="43" w:type="dxa"/>
            </w:tcMar>
            <w:vAlign w:val="bottom"/>
          </w:tcPr>
          <w:p w14:paraId="62155E35" w14:textId="77777777" w:rsidR="00FE02EF" w:rsidRPr="00CC19F7" w:rsidRDefault="00FE02EF" w:rsidP="00A06A7F"/>
        </w:tc>
        <w:tc>
          <w:tcPr>
            <w:tcW w:w="1276" w:type="dxa"/>
            <w:tcBorders>
              <w:top w:val="nil"/>
              <w:left w:val="nil"/>
              <w:bottom w:val="single" w:sz="4" w:space="0" w:color="000000"/>
              <w:right w:val="nil"/>
            </w:tcBorders>
            <w:tcMar>
              <w:top w:w="128" w:type="dxa"/>
              <w:left w:w="43" w:type="dxa"/>
              <w:bottom w:w="43" w:type="dxa"/>
              <w:right w:w="43" w:type="dxa"/>
            </w:tcMar>
            <w:vAlign w:val="bottom"/>
          </w:tcPr>
          <w:p w14:paraId="68CBF2BD" w14:textId="77777777" w:rsidR="00FE02EF" w:rsidRPr="00CC19F7" w:rsidRDefault="00FE02EF" w:rsidP="00A06A7F">
            <w:pPr>
              <w:jc w:val="right"/>
            </w:pPr>
          </w:p>
        </w:tc>
        <w:tc>
          <w:tcPr>
            <w:tcW w:w="1620" w:type="dxa"/>
            <w:tcBorders>
              <w:top w:val="nil"/>
              <w:left w:val="nil"/>
              <w:bottom w:val="single" w:sz="4" w:space="0" w:color="000000"/>
              <w:right w:val="nil"/>
            </w:tcBorders>
            <w:tcMar>
              <w:top w:w="128" w:type="dxa"/>
              <w:left w:w="43" w:type="dxa"/>
              <w:bottom w:w="43" w:type="dxa"/>
              <w:right w:w="43" w:type="dxa"/>
            </w:tcMar>
            <w:vAlign w:val="bottom"/>
          </w:tcPr>
          <w:p w14:paraId="732C348B" w14:textId="77777777" w:rsidR="00FE02EF" w:rsidRPr="00CC19F7" w:rsidRDefault="00FE02EF" w:rsidP="00A06A7F">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1E8AA51" w14:textId="77777777" w:rsidR="00FE02EF" w:rsidRPr="00CC19F7" w:rsidRDefault="00881E58" w:rsidP="00A06A7F">
            <w:pPr>
              <w:jc w:val="right"/>
            </w:pPr>
            <w:r w:rsidRPr="00CC19F7">
              <w:t>(i 1 000 kr)</w:t>
            </w:r>
          </w:p>
        </w:tc>
      </w:tr>
      <w:tr w:rsidR="00FE02EF" w:rsidRPr="00CC19F7" w14:paraId="79BBE65D" w14:textId="77777777" w:rsidTr="00A06A7F">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DAA2D48" w14:textId="77777777" w:rsidR="00FE02EF" w:rsidRPr="00CC19F7" w:rsidRDefault="00881E58" w:rsidP="00CC19F7">
            <w:r w:rsidRPr="00CC19F7">
              <w:t>Post</w:t>
            </w:r>
          </w:p>
        </w:tc>
        <w:tc>
          <w:tcPr>
            <w:tcW w:w="4504" w:type="dxa"/>
            <w:tcBorders>
              <w:top w:val="nil"/>
              <w:left w:val="nil"/>
              <w:bottom w:val="single" w:sz="4" w:space="0" w:color="000000"/>
              <w:right w:val="nil"/>
            </w:tcBorders>
            <w:tcMar>
              <w:top w:w="128" w:type="dxa"/>
              <w:left w:w="43" w:type="dxa"/>
              <w:bottom w:w="43" w:type="dxa"/>
              <w:right w:w="43" w:type="dxa"/>
            </w:tcMar>
            <w:vAlign w:val="bottom"/>
          </w:tcPr>
          <w:p w14:paraId="4498090F" w14:textId="77777777" w:rsidR="00FE02EF" w:rsidRPr="00CC19F7" w:rsidRDefault="00881E58" w:rsidP="00A06A7F">
            <w:proofErr w:type="spellStart"/>
            <w:r w:rsidRPr="00CC19F7">
              <w:t>Nemning</w:t>
            </w:r>
            <w:proofErr w:type="spellEnd"/>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17A05F7D" w14:textId="77777777" w:rsidR="00FE02EF" w:rsidRPr="00CC19F7" w:rsidRDefault="00881E58" w:rsidP="00A06A7F">
            <w:pPr>
              <w:jc w:val="right"/>
            </w:pPr>
            <w:proofErr w:type="spellStart"/>
            <w:r w:rsidRPr="00CC19F7">
              <w:t>Rekneskap</w:t>
            </w:r>
            <w:proofErr w:type="spellEnd"/>
            <w:r w:rsidRPr="00CC19F7">
              <w:br/>
              <w:t>2022</w:t>
            </w:r>
            <w:r w:rsidRPr="00CC19F7">
              <w:rPr>
                <w:rStyle w:val="skrift-hevet"/>
              </w:rPr>
              <w:t>1</w:t>
            </w:r>
          </w:p>
        </w:tc>
        <w:tc>
          <w:tcPr>
            <w:tcW w:w="1620" w:type="dxa"/>
            <w:tcBorders>
              <w:top w:val="nil"/>
              <w:left w:val="nil"/>
              <w:bottom w:val="single" w:sz="4" w:space="0" w:color="000000"/>
              <w:right w:val="nil"/>
            </w:tcBorders>
            <w:tcMar>
              <w:top w:w="128" w:type="dxa"/>
              <w:left w:w="43" w:type="dxa"/>
              <w:bottom w:w="43" w:type="dxa"/>
              <w:right w:w="43" w:type="dxa"/>
            </w:tcMar>
            <w:vAlign w:val="bottom"/>
          </w:tcPr>
          <w:p w14:paraId="7E7C0C7B" w14:textId="77777777" w:rsidR="00FE02EF" w:rsidRPr="00CC19F7" w:rsidRDefault="00881E58" w:rsidP="00A06A7F">
            <w:pPr>
              <w:jc w:val="right"/>
            </w:pPr>
            <w:r w:rsidRPr="00CC19F7">
              <w:t>Saldert</w:t>
            </w:r>
            <w:r w:rsidRPr="00CC19F7">
              <w:br/>
              <w:t>budsjett 2023</w:t>
            </w:r>
            <w:r w:rsidRPr="00CC19F7">
              <w:rPr>
                <w:rStyle w:val="skrift-hevet"/>
              </w:rPr>
              <w:t>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7F7D539" w14:textId="77777777" w:rsidR="00FE02EF" w:rsidRPr="00CC19F7" w:rsidRDefault="00881E58" w:rsidP="00A06A7F">
            <w:pPr>
              <w:jc w:val="right"/>
            </w:pPr>
            <w:r w:rsidRPr="00CC19F7">
              <w:t>Forslag</w:t>
            </w:r>
            <w:r w:rsidRPr="00CC19F7">
              <w:br/>
              <w:t>2024</w:t>
            </w:r>
          </w:p>
        </w:tc>
      </w:tr>
      <w:tr w:rsidR="00FE02EF" w:rsidRPr="00CC19F7" w14:paraId="35EEF0FF" w14:textId="77777777" w:rsidTr="00A06A7F">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388164F6" w14:textId="77777777" w:rsidR="00FE02EF" w:rsidRPr="00CC19F7" w:rsidRDefault="00881E58" w:rsidP="00CC19F7">
            <w:r w:rsidRPr="00CC19F7">
              <w:t>01</w:t>
            </w:r>
          </w:p>
        </w:tc>
        <w:tc>
          <w:tcPr>
            <w:tcW w:w="4504" w:type="dxa"/>
            <w:tcBorders>
              <w:top w:val="single" w:sz="4" w:space="0" w:color="000000"/>
              <w:left w:val="nil"/>
              <w:bottom w:val="nil"/>
              <w:right w:val="nil"/>
            </w:tcBorders>
            <w:tcMar>
              <w:top w:w="128" w:type="dxa"/>
              <w:left w:w="43" w:type="dxa"/>
              <w:bottom w:w="43" w:type="dxa"/>
              <w:right w:w="43" w:type="dxa"/>
            </w:tcMar>
          </w:tcPr>
          <w:p w14:paraId="570B0FDA" w14:textId="77777777" w:rsidR="00FE02EF" w:rsidRPr="00CC19F7" w:rsidRDefault="00881E58" w:rsidP="00A06A7F">
            <w:r w:rsidRPr="00CC19F7">
              <w:t>Driftsutgifter</w:t>
            </w:r>
            <w:r w:rsidRPr="00CC19F7">
              <w:rPr>
                <w:rStyle w:val="kursiv"/>
              </w:rPr>
              <w:t xml:space="preserve">, kan </w:t>
            </w:r>
            <w:proofErr w:type="spellStart"/>
            <w:r w:rsidRPr="00CC19F7">
              <w:rPr>
                <w:rStyle w:val="kursiv"/>
              </w:rPr>
              <w:t>nyttast</w:t>
            </w:r>
            <w:proofErr w:type="spellEnd"/>
            <w:r w:rsidRPr="00CC19F7">
              <w:rPr>
                <w:rStyle w:val="kursiv"/>
              </w:rPr>
              <w:t xml:space="preserve"> under post 21</w:t>
            </w:r>
          </w:p>
        </w:tc>
        <w:tc>
          <w:tcPr>
            <w:tcW w:w="1276" w:type="dxa"/>
            <w:tcBorders>
              <w:top w:val="single" w:sz="4" w:space="0" w:color="000000"/>
              <w:left w:val="nil"/>
              <w:bottom w:val="nil"/>
              <w:right w:val="nil"/>
            </w:tcBorders>
            <w:tcMar>
              <w:top w:w="128" w:type="dxa"/>
              <w:left w:w="43" w:type="dxa"/>
              <w:bottom w:w="43" w:type="dxa"/>
              <w:right w:w="43" w:type="dxa"/>
            </w:tcMar>
            <w:vAlign w:val="bottom"/>
          </w:tcPr>
          <w:p w14:paraId="5E6BF9E8" w14:textId="77777777" w:rsidR="00FE02EF" w:rsidRPr="00CC19F7" w:rsidRDefault="00FE02EF" w:rsidP="00A06A7F">
            <w:pPr>
              <w:jc w:val="right"/>
            </w:pPr>
          </w:p>
        </w:tc>
        <w:tc>
          <w:tcPr>
            <w:tcW w:w="1620" w:type="dxa"/>
            <w:tcBorders>
              <w:top w:val="single" w:sz="4" w:space="0" w:color="000000"/>
              <w:left w:val="nil"/>
              <w:bottom w:val="nil"/>
              <w:right w:val="nil"/>
            </w:tcBorders>
            <w:tcMar>
              <w:top w:w="128" w:type="dxa"/>
              <w:left w:w="43" w:type="dxa"/>
              <w:bottom w:w="43" w:type="dxa"/>
              <w:right w:w="43" w:type="dxa"/>
            </w:tcMar>
            <w:vAlign w:val="bottom"/>
          </w:tcPr>
          <w:p w14:paraId="6F5F1FB5" w14:textId="77777777" w:rsidR="00FE02EF" w:rsidRPr="00CC19F7" w:rsidRDefault="00FE02EF" w:rsidP="00A06A7F">
            <w:pPr>
              <w:jc w:val="right"/>
            </w:pP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F504835" w14:textId="77777777" w:rsidR="00FE02EF" w:rsidRPr="00CC19F7" w:rsidRDefault="00881E58" w:rsidP="00A06A7F">
            <w:pPr>
              <w:jc w:val="right"/>
            </w:pPr>
            <w:r w:rsidRPr="00CC19F7">
              <w:t>349 324</w:t>
            </w:r>
          </w:p>
        </w:tc>
      </w:tr>
      <w:tr w:rsidR="00FE02EF" w:rsidRPr="00CC19F7" w14:paraId="0ADF4145" w14:textId="77777777" w:rsidTr="00A06A7F">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AA03503" w14:textId="77777777" w:rsidR="00FE02EF" w:rsidRPr="00CC19F7" w:rsidRDefault="00881E58" w:rsidP="00CC19F7">
            <w:r w:rsidRPr="00CC19F7">
              <w:t>21</w:t>
            </w:r>
          </w:p>
        </w:tc>
        <w:tc>
          <w:tcPr>
            <w:tcW w:w="4504" w:type="dxa"/>
            <w:tcBorders>
              <w:top w:val="nil"/>
              <w:left w:val="nil"/>
              <w:bottom w:val="single" w:sz="4" w:space="0" w:color="000000"/>
              <w:right w:val="nil"/>
            </w:tcBorders>
            <w:tcMar>
              <w:top w:w="128" w:type="dxa"/>
              <w:left w:w="43" w:type="dxa"/>
              <w:bottom w:w="43" w:type="dxa"/>
              <w:right w:w="43" w:type="dxa"/>
            </w:tcMar>
          </w:tcPr>
          <w:p w14:paraId="5F1E8DC7" w14:textId="77777777" w:rsidR="00FE02EF" w:rsidRPr="00CC19F7" w:rsidRDefault="00881E58" w:rsidP="00A06A7F">
            <w:r w:rsidRPr="00CC19F7">
              <w:t>Spesielle driftsutgifter</w:t>
            </w:r>
            <w:r w:rsidRPr="00CC19F7">
              <w:rPr>
                <w:rStyle w:val="kursiv"/>
              </w:rPr>
              <w:t>, kan </w:t>
            </w:r>
            <w:proofErr w:type="spellStart"/>
            <w:r w:rsidRPr="00CC19F7">
              <w:rPr>
                <w:rStyle w:val="kursiv"/>
              </w:rPr>
              <w:t>overførast</w:t>
            </w:r>
            <w:proofErr w:type="spellEnd"/>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3231F565" w14:textId="77777777" w:rsidR="00FE02EF" w:rsidRPr="00CC19F7" w:rsidRDefault="00FE02EF" w:rsidP="00A06A7F">
            <w:pPr>
              <w:jc w:val="right"/>
            </w:pPr>
          </w:p>
        </w:tc>
        <w:tc>
          <w:tcPr>
            <w:tcW w:w="1620" w:type="dxa"/>
            <w:tcBorders>
              <w:top w:val="nil"/>
              <w:left w:val="nil"/>
              <w:bottom w:val="single" w:sz="4" w:space="0" w:color="000000"/>
              <w:right w:val="nil"/>
            </w:tcBorders>
            <w:tcMar>
              <w:top w:w="128" w:type="dxa"/>
              <w:left w:w="43" w:type="dxa"/>
              <w:bottom w:w="43" w:type="dxa"/>
              <w:right w:w="43" w:type="dxa"/>
            </w:tcMar>
            <w:vAlign w:val="bottom"/>
          </w:tcPr>
          <w:p w14:paraId="419FDEF6" w14:textId="77777777" w:rsidR="00FE02EF" w:rsidRPr="00CC19F7" w:rsidRDefault="00FE02EF" w:rsidP="00A06A7F">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D3950D8" w14:textId="77777777" w:rsidR="00FE02EF" w:rsidRPr="00CC19F7" w:rsidRDefault="00881E58" w:rsidP="00A06A7F">
            <w:pPr>
              <w:jc w:val="right"/>
            </w:pPr>
            <w:r w:rsidRPr="00CC19F7">
              <w:t>34 400</w:t>
            </w:r>
          </w:p>
        </w:tc>
      </w:tr>
      <w:tr w:rsidR="00FE02EF" w:rsidRPr="00CC19F7" w14:paraId="79CDB970" w14:textId="77777777" w:rsidTr="00A06A7F">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1D79C87" w14:textId="77777777" w:rsidR="00FE02EF" w:rsidRPr="00CC19F7" w:rsidRDefault="00FE02EF" w:rsidP="00CC19F7"/>
        </w:tc>
        <w:tc>
          <w:tcPr>
            <w:tcW w:w="4504" w:type="dxa"/>
            <w:tcBorders>
              <w:top w:val="nil"/>
              <w:left w:val="nil"/>
              <w:bottom w:val="single" w:sz="4" w:space="0" w:color="000000"/>
              <w:right w:val="nil"/>
            </w:tcBorders>
            <w:tcMar>
              <w:top w:w="128" w:type="dxa"/>
              <w:left w:w="43" w:type="dxa"/>
              <w:bottom w:w="43" w:type="dxa"/>
              <w:right w:w="43" w:type="dxa"/>
            </w:tcMar>
          </w:tcPr>
          <w:p w14:paraId="379CC42E" w14:textId="77777777" w:rsidR="00FE02EF" w:rsidRPr="00CC19F7" w:rsidRDefault="00881E58" w:rsidP="00A06A7F">
            <w:r w:rsidRPr="00CC19F7">
              <w:t>Sum kap. 1860</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141EEA16" w14:textId="77777777" w:rsidR="00FE02EF" w:rsidRPr="00CC19F7" w:rsidRDefault="00FE02EF" w:rsidP="00A06A7F">
            <w:pPr>
              <w:jc w:val="right"/>
            </w:pPr>
          </w:p>
        </w:tc>
        <w:tc>
          <w:tcPr>
            <w:tcW w:w="1620" w:type="dxa"/>
            <w:tcBorders>
              <w:top w:val="nil"/>
              <w:left w:val="nil"/>
              <w:bottom w:val="single" w:sz="4" w:space="0" w:color="000000"/>
              <w:right w:val="nil"/>
            </w:tcBorders>
            <w:tcMar>
              <w:top w:w="128" w:type="dxa"/>
              <w:left w:w="43" w:type="dxa"/>
              <w:bottom w:w="43" w:type="dxa"/>
              <w:right w:w="43" w:type="dxa"/>
            </w:tcMar>
            <w:vAlign w:val="bottom"/>
          </w:tcPr>
          <w:p w14:paraId="01070B83" w14:textId="77777777" w:rsidR="00FE02EF" w:rsidRPr="00CC19F7" w:rsidRDefault="00FE02EF" w:rsidP="00A06A7F">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65158F1" w14:textId="77777777" w:rsidR="00FE02EF" w:rsidRPr="00CC19F7" w:rsidRDefault="00881E58" w:rsidP="00A06A7F">
            <w:pPr>
              <w:jc w:val="right"/>
            </w:pPr>
            <w:r w:rsidRPr="00CC19F7">
              <w:t>383 724</w:t>
            </w:r>
          </w:p>
        </w:tc>
      </w:tr>
    </w:tbl>
    <w:p w14:paraId="6D8D934A" w14:textId="77777777" w:rsidR="00FE02EF" w:rsidRPr="00CC19F7" w:rsidRDefault="00881E58" w:rsidP="00CC19F7">
      <w:pPr>
        <w:pStyle w:val="tabell-noter"/>
        <w:rPr>
          <w:rStyle w:val="skrift-hevet"/>
        </w:rPr>
      </w:pPr>
      <w:r w:rsidRPr="00CC19F7">
        <w:rPr>
          <w:rStyle w:val="skrift-hevet"/>
        </w:rPr>
        <w:t>1</w:t>
      </w:r>
      <w:r w:rsidRPr="00CC19F7">
        <w:rPr>
          <w:rStyle w:val="skrift-hevet"/>
        </w:rPr>
        <w:tab/>
      </w:r>
      <w:r w:rsidRPr="00CC19F7">
        <w:t>Blei regnskapsført på kap. 642 under Arbeids- og inkluderingsdepartementet</w:t>
      </w:r>
    </w:p>
    <w:p w14:paraId="6B58741E" w14:textId="77777777" w:rsidR="00FE02EF" w:rsidRPr="00CC19F7" w:rsidRDefault="00881E58" w:rsidP="00CC19F7">
      <w:pPr>
        <w:pStyle w:val="tabell-noter"/>
      </w:pPr>
      <w:r w:rsidRPr="00CC19F7">
        <w:rPr>
          <w:rStyle w:val="skrift-hevet"/>
        </w:rPr>
        <w:t>2</w:t>
      </w:r>
      <w:r w:rsidRPr="00CC19F7">
        <w:rPr>
          <w:rStyle w:val="skrift-hevet"/>
        </w:rPr>
        <w:tab/>
      </w:r>
      <w:r w:rsidRPr="00CC19F7">
        <w:t>Blei løyvd på kap. 642 under Arbeids- og inkluderingsdepartementet</w:t>
      </w:r>
    </w:p>
    <w:p w14:paraId="3B6B9504" w14:textId="77777777" w:rsidR="00FE02EF" w:rsidRPr="00CC19F7" w:rsidRDefault="00881E58" w:rsidP="00CC19F7">
      <w:pPr>
        <w:pStyle w:val="avsnitt-undertittel"/>
      </w:pPr>
      <w:r w:rsidRPr="00CC19F7">
        <w:t>Om 2023</w:t>
      </w:r>
    </w:p>
    <w:p w14:paraId="29408682" w14:textId="77777777" w:rsidR="00FE02EF" w:rsidRPr="00CC19F7" w:rsidRDefault="00881E58" w:rsidP="00CC19F7">
      <w:r w:rsidRPr="00CC19F7">
        <w:t xml:space="preserve">Ved Stortingets vedtak 16. juni 2023 blei det under kap. 1812, post 01 løyvd 333,73 mill. kroner og kap. 1812, post 21 løyvd 33,145 mill. kroner, jf. </w:t>
      </w:r>
      <w:proofErr w:type="spellStart"/>
      <w:r w:rsidRPr="00CC19F7">
        <w:t>Prop</w:t>
      </w:r>
      <w:proofErr w:type="spellEnd"/>
      <w:r w:rsidRPr="00CC19F7">
        <w:t xml:space="preserve">. 118 S (2022–2023) og </w:t>
      </w:r>
      <w:proofErr w:type="spellStart"/>
      <w:r w:rsidRPr="00CC19F7">
        <w:t>Innst</w:t>
      </w:r>
      <w:proofErr w:type="spellEnd"/>
      <w:r w:rsidRPr="00CC19F7">
        <w:t>. 490 S (2022–2023).</w:t>
      </w:r>
    </w:p>
    <w:p w14:paraId="2B74EAB7" w14:textId="77777777" w:rsidR="00FE02EF" w:rsidRPr="00CC19F7" w:rsidRDefault="00881E58" w:rsidP="00CC19F7">
      <w:pPr>
        <w:pStyle w:val="b-post"/>
      </w:pPr>
      <w:r w:rsidRPr="00CC19F7">
        <w:t xml:space="preserve">Post 01 Driftsutgifter, kan </w:t>
      </w:r>
      <w:proofErr w:type="spellStart"/>
      <w:r w:rsidRPr="00CC19F7">
        <w:t>nyttast</w:t>
      </w:r>
      <w:proofErr w:type="spellEnd"/>
      <w:r w:rsidRPr="00CC19F7">
        <w:t xml:space="preserve"> under post 21</w:t>
      </w:r>
    </w:p>
    <w:p w14:paraId="3F5D3EE1" w14:textId="77777777" w:rsidR="00FE02EF" w:rsidRPr="00CC19F7" w:rsidRDefault="00881E58" w:rsidP="00CC19F7">
      <w:r w:rsidRPr="00CC19F7">
        <w:t xml:space="preserve">Det blir foreslått ei løyving på om lag 349,3 mill. kroner til lønnsutgifter og andre utgifter til drift av Havindustritilsynet. Lønnsrelaterte utgifter </w:t>
      </w:r>
      <w:proofErr w:type="spellStart"/>
      <w:r w:rsidRPr="00CC19F7">
        <w:t>utgjer</w:t>
      </w:r>
      <w:proofErr w:type="spellEnd"/>
      <w:r w:rsidRPr="00CC19F7">
        <w:t xml:space="preserve"> om lag 80 prosent. </w:t>
      </w:r>
      <w:proofErr w:type="spellStart"/>
      <w:r w:rsidRPr="00CC19F7">
        <w:t>Vidare</w:t>
      </w:r>
      <w:proofErr w:type="spellEnd"/>
      <w:r w:rsidRPr="00CC19F7">
        <w:t xml:space="preserve"> blir det foreslått ei fullmakt til å overskride løyvinga mot </w:t>
      </w:r>
      <w:proofErr w:type="spellStart"/>
      <w:r w:rsidRPr="00CC19F7">
        <w:t>tilsvarande</w:t>
      </w:r>
      <w:proofErr w:type="spellEnd"/>
      <w:r w:rsidRPr="00CC19F7">
        <w:t xml:space="preserve"> </w:t>
      </w:r>
      <w:proofErr w:type="spellStart"/>
      <w:r w:rsidRPr="00CC19F7">
        <w:t>meirinntekter</w:t>
      </w:r>
      <w:proofErr w:type="spellEnd"/>
      <w:r w:rsidRPr="00CC19F7">
        <w:t xml:space="preserve"> under kap. 4860, post 10 </w:t>
      </w:r>
      <w:proofErr w:type="spellStart"/>
      <w:r w:rsidRPr="00CC19F7">
        <w:t>Refusjonar</w:t>
      </w:r>
      <w:proofErr w:type="spellEnd"/>
      <w:r w:rsidRPr="00CC19F7">
        <w:t>, jf. forslag til vedtak II.</w:t>
      </w:r>
    </w:p>
    <w:p w14:paraId="774213C1" w14:textId="77777777" w:rsidR="00FE02EF" w:rsidRPr="00CC19F7" w:rsidRDefault="00881E58" w:rsidP="00CC19F7">
      <w:pPr>
        <w:pStyle w:val="b-post"/>
      </w:pPr>
      <w:r w:rsidRPr="00CC19F7">
        <w:t xml:space="preserve">Post 21 Spesielle driftsutgifter, kan </w:t>
      </w:r>
      <w:proofErr w:type="spellStart"/>
      <w:r w:rsidRPr="00CC19F7">
        <w:t>overførast</w:t>
      </w:r>
      <w:proofErr w:type="spellEnd"/>
    </w:p>
    <w:p w14:paraId="3CFCC109" w14:textId="77777777" w:rsidR="00FE02EF" w:rsidRPr="00CC19F7" w:rsidRDefault="00881E58" w:rsidP="00CC19F7">
      <w:r w:rsidRPr="00CC19F7">
        <w:t xml:space="preserve">Det blir foreslått ei løyving på 34,4 mill. kroner og ei fullmakt til å overskride løyvinga mot </w:t>
      </w:r>
      <w:proofErr w:type="spellStart"/>
      <w:r w:rsidRPr="00CC19F7">
        <w:t>tilsvarande</w:t>
      </w:r>
      <w:proofErr w:type="spellEnd"/>
      <w:r w:rsidRPr="00CC19F7">
        <w:t xml:space="preserve"> </w:t>
      </w:r>
      <w:proofErr w:type="spellStart"/>
      <w:r w:rsidRPr="00CC19F7">
        <w:t>meirinntekter</w:t>
      </w:r>
      <w:proofErr w:type="spellEnd"/>
      <w:r w:rsidRPr="00CC19F7">
        <w:t xml:space="preserve"> under kap. 4860, post 02 Oppdrags- og samarbeidsinntekter, jf. forslag til vedtak II.</w:t>
      </w:r>
    </w:p>
    <w:p w14:paraId="47863BBA" w14:textId="77777777" w:rsidR="00FE02EF" w:rsidRPr="00CC19F7" w:rsidRDefault="00881E58" w:rsidP="00CC19F7">
      <w:r w:rsidRPr="00CC19F7">
        <w:t xml:space="preserve">Løyvinga dekker utgifter til tilsyn med </w:t>
      </w:r>
      <w:proofErr w:type="spellStart"/>
      <w:r w:rsidRPr="00CC19F7">
        <w:t>petroleumsaktivitetar</w:t>
      </w:r>
      <w:proofErr w:type="spellEnd"/>
      <w:r w:rsidRPr="00CC19F7">
        <w:t xml:space="preserve"> og </w:t>
      </w:r>
      <w:proofErr w:type="spellStart"/>
      <w:r w:rsidRPr="00CC19F7">
        <w:t>annan</w:t>
      </w:r>
      <w:proofErr w:type="spellEnd"/>
      <w:r w:rsidRPr="00CC19F7">
        <w:t xml:space="preserve"> aktivitet som Havindustritilsynet utfører på eiga hand eller med bistand. Utgiftene blir dekket enten av inntekter </w:t>
      </w:r>
      <w:proofErr w:type="spellStart"/>
      <w:r w:rsidRPr="00CC19F7">
        <w:t>frå</w:t>
      </w:r>
      <w:proofErr w:type="spellEnd"/>
      <w:r w:rsidRPr="00CC19F7">
        <w:t xml:space="preserve"> gebyr eller sektoravgift </w:t>
      </w:r>
      <w:proofErr w:type="spellStart"/>
      <w:r w:rsidRPr="00CC19F7">
        <w:t>frå</w:t>
      </w:r>
      <w:proofErr w:type="spellEnd"/>
      <w:r w:rsidRPr="00CC19F7">
        <w:t xml:space="preserve"> operatørselskapa/</w:t>
      </w:r>
      <w:proofErr w:type="spellStart"/>
      <w:r w:rsidRPr="00CC19F7">
        <w:t>kontraktørane</w:t>
      </w:r>
      <w:proofErr w:type="spellEnd"/>
      <w:r w:rsidRPr="00CC19F7">
        <w:t>. Inntektene blir ført under kap. 4860, post 01 Gebyrinntekter eller kap. 5582, post 75 Sektoravgifter under Havindustritilsynet.</w:t>
      </w:r>
    </w:p>
    <w:p w14:paraId="03AE3706" w14:textId="77777777" w:rsidR="00FE02EF" w:rsidRPr="00CC19F7" w:rsidRDefault="00881E58" w:rsidP="00CC19F7">
      <w:r w:rsidRPr="00CC19F7">
        <w:t>Løyvinga dekker også utgifter knytt til oppdrag/samarbeid overfor Norad. Utgiftene blir refundert av Norad, jf. kap. 4810, post 02.</w:t>
      </w:r>
    </w:p>
    <w:p w14:paraId="4D819C99" w14:textId="77777777" w:rsidR="00FE02EF" w:rsidRPr="00CC19F7" w:rsidRDefault="00881E58" w:rsidP="00CC19F7">
      <w:pPr>
        <w:pStyle w:val="b-budkaptit"/>
      </w:pPr>
      <w:r w:rsidRPr="00CC19F7">
        <w:t>Kap. 4860 Havindustritilsynet</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504"/>
        <w:gridCol w:w="1276"/>
        <w:gridCol w:w="1620"/>
        <w:gridCol w:w="1300"/>
      </w:tblGrid>
      <w:tr w:rsidR="00FE02EF" w:rsidRPr="00CC19F7" w14:paraId="4CF20808" w14:textId="77777777" w:rsidTr="00A06A7F">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0617500" w14:textId="77777777" w:rsidR="00FE02EF" w:rsidRPr="00CC19F7" w:rsidRDefault="00881E58" w:rsidP="00CC19F7">
            <w:pPr>
              <w:pStyle w:val="Tabellnavn"/>
            </w:pPr>
            <w:r w:rsidRPr="00CC19F7">
              <w:t>KPAL</w:t>
            </w:r>
          </w:p>
        </w:tc>
        <w:tc>
          <w:tcPr>
            <w:tcW w:w="4504" w:type="dxa"/>
            <w:tcBorders>
              <w:top w:val="nil"/>
              <w:left w:val="nil"/>
              <w:bottom w:val="single" w:sz="4" w:space="0" w:color="000000"/>
              <w:right w:val="nil"/>
            </w:tcBorders>
            <w:tcMar>
              <w:top w:w="128" w:type="dxa"/>
              <w:left w:w="43" w:type="dxa"/>
              <w:bottom w:w="43" w:type="dxa"/>
              <w:right w:w="43" w:type="dxa"/>
            </w:tcMar>
            <w:vAlign w:val="bottom"/>
          </w:tcPr>
          <w:p w14:paraId="35D22531" w14:textId="77777777" w:rsidR="00FE02EF" w:rsidRPr="00CC19F7" w:rsidRDefault="00FE02EF" w:rsidP="00A06A7F"/>
        </w:tc>
        <w:tc>
          <w:tcPr>
            <w:tcW w:w="1276" w:type="dxa"/>
            <w:tcBorders>
              <w:top w:val="nil"/>
              <w:left w:val="nil"/>
              <w:bottom w:val="single" w:sz="4" w:space="0" w:color="000000"/>
              <w:right w:val="nil"/>
            </w:tcBorders>
            <w:tcMar>
              <w:top w:w="128" w:type="dxa"/>
              <w:left w:w="43" w:type="dxa"/>
              <w:bottom w:w="43" w:type="dxa"/>
              <w:right w:w="43" w:type="dxa"/>
            </w:tcMar>
            <w:vAlign w:val="bottom"/>
          </w:tcPr>
          <w:p w14:paraId="59E99860" w14:textId="77777777" w:rsidR="00FE02EF" w:rsidRPr="00CC19F7" w:rsidRDefault="00FE02EF" w:rsidP="00A06A7F">
            <w:pPr>
              <w:jc w:val="right"/>
            </w:pPr>
          </w:p>
        </w:tc>
        <w:tc>
          <w:tcPr>
            <w:tcW w:w="1620" w:type="dxa"/>
            <w:tcBorders>
              <w:top w:val="nil"/>
              <w:left w:val="nil"/>
              <w:bottom w:val="single" w:sz="4" w:space="0" w:color="000000"/>
              <w:right w:val="nil"/>
            </w:tcBorders>
            <w:tcMar>
              <w:top w:w="128" w:type="dxa"/>
              <w:left w:w="43" w:type="dxa"/>
              <w:bottom w:w="43" w:type="dxa"/>
              <w:right w:w="43" w:type="dxa"/>
            </w:tcMar>
            <w:vAlign w:val="bottom"/>
          </w:tcPr>
          <w:p w14:paraId="71877F5A" w14:textId="77777777" w:rsidR="00FE02EF" w:rsidRPr="00CC19F7" w:rsidRDefault="00FE02EF" w:rsidP="00A06A7F">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62D8FC9" w14:textId="77777777" w:rsidR="00FE02EF" w:rsidRPr="00CC19F7" w:rsidRDefault="00881E58" w:rsidP="00A06A7F">
            <w:pPr>
              <w:jc w:val="right"/>
            </w:pPr>
            <w:r w:rsidRPr="00CC19F7">
              <w:t>(i 1 000 kr)</w:t>
            </w:r>
          </w:p>
        </w:tc>
      </w:tr>
      <w:tr w:rsidR="00FE02EF" w:rsidRPr="00CC19F7" w14:paraId="2DDAEE1F" w14:textId="77777777" w:rsidTr="00A06A7F">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C2AF80A" w14:textId="77777777" w:rsidR="00FE02EF" w:rsidRPr="00CC19F7" w:rsidRDefault="00881E58" w:rsidP="00CC19F7">
            <w:r w:rsidRPr="00CC19F7">
              <w:t>Post</w:t>
            </w:r>
          </w:p>
        </w:tc>
        <w:tc>
          <w:tcPr>
            <w:tcW w:w="4504" w:type="dxa"/>
            <w:tcBorders>
              <w:top w:val="nil"/>
              <w:left w:val="nil"/>
              <w:bottom w:val="single" w:sz="4" w:space="0" w:color="000000"/>
              <w:right w:val="nil"/>
            </w:tcBorders>
            <w:tcMar>
              <w:top w:w="128" w:type="dxa"/>
              <w:left w:w="43" w:type="dxa"/>
              <w:bottom w:w="43" w:type="dxa"/>
              <w:right w:w="43" w:type="dxa"/>
            </w:tcMar>
            <w:vAlign w:val="bottom"/>
          </w:tcPr>
          <w:p w14:paraId="177A8F5F" w14:textId="77777777" w:rsidR="00FE02EF" w:rsidRPr="00CC19F7" w:rsidRDefault="00881E58" w:rsidP="00A06A7F">
            <w:proofErr w:type="spellStart"/>
            <w:r w:rsidRPr="00CC19F7">
              <w:t>Nemning</w:t>
            </w:r>
            <w:proofErr w:type="spellEnd"/>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53DAED2D" w14:textId="77777777" w:rsidR="00FE02EF" w:rsidRPr="00CC19F7" w:rsidRDefault="00881E58" w:rsidP="00A06A7F">
            <w:pPr>
              <w:jc w:val="right"/>
            </w:pPr>
            <w:proofErr w:type="spellStart"/>
            <w:r w:rsidRPr="00CC19F7">
              <w:t>Rekneskap</w:t>
            </w:r>
            <w:proofErr w:type="spellEnd"/>
            <w:r w:rsidRPr="00CC19F7">
              <w:br/>
              <w:t>2022</w:t>
            </w:r>
            <w:r w:rsidRPr="00CC19F7">
              <w:rPr>
                <w:rStyle w:val="skrift-hevet"/>
              </w:rPr>
              <w:t>1</w:t>
            </w:r>
          </w:p>
        </w:tc>
        <w:tc>
          <w:tcPr>
            <w:tcW w:w="1620" w:type="dxa"/>
            <w:tcBorders>
              <w:top w:val="nil"/>
              <w:left w:val="nil"/>
              <w:bottom w:val="single" w:sz="4" w:space="0" w:color="000000"/>
              <w:right w:val="nil"/>
            </w:tcBorders>
            <w:tcMar>
              <w:top w:w="128" w:type="dxa"/>
              <w:left w:w="43" w:type="dxa"/>
              <w:bottom w:w="43" w:type="dxa"/>
              <w:right w:w="43" w:type="dxa"/>
            </w:tcMar>
            <w:vAlign w:val="bottom"/>
          </w:tcPr>
          <w:p w14:paraId="10C9C3FF" w14:textId="77777777" w:rsidR="00FE02EF" w:rsidRPr="00CC19F7" w:rsidRDefault="00881E58" w:rsidP="00A06A7F">
            <w:pPr>
              <w:jc w:val="right"/>
            </w:pPr>
            <w:r w:rsidRPr="00CC19F7">
              <w:t>Saldert</w:t>
            </w:r>
            <w:r w:rsidRPr="00CC19F7">
              <w:br/>
              <w:t>budsjett 2023</w:t>
            </w:r>
            <w:r w:rsidRPr="00CC19F7">
              <w:rPr>
                <w:rStyle w:val="skrift-hevet"/>
              </w:rPr>
              <w:t>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770CFA6" w14:textId="77777777" w:rsidR="00FE02EF" w:rsidRPr="00CC19F7" w:rsidRDefault="00881E58" w:rsidP="00A06A7F">
            <w:pPr>
              <w:jc w:val="right"/>
            </w:pPr>
            <w:r w:rsidRPr="00CC19F7">
              <w:t>Forslag</w:t>
            </w:r>
            <w:r w:rsidRPr="00CC19F7">
              <w:br/>
              <w:t>2024</w:t>
            </w:r>
          </w:p>
        </w:tc>
      </w:tr>
      <w:tr w:rsidR="00FE02EF" w:rsidRPr="00CC19F7" w14:paraId="772902DD" w14:textId="77777777" w:rsidTr="00A06A7F">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42EDD46F" w14:textId="77777777" w:rsidR="00FE02EF" w:rsidRPr="00CC19F7" w:rsidRDefault="00881E58" w:rsidP="00CC19F7">
            <w:r w:rsidRPr="00CC19F7">
              <w:t>01</w:t>
            </w:r>
          </w:p>
        </w:tc>
        <w:tc>
          <w:tcPr>
            <w:tcW w:w="4504" w:type="dxa"/>
            <w:tcBorders>
              <w:top w:val="single" w:sz="4" w:space="0" w:color="000000"/>
              <w:left w:val="nil"/>
              <w:bottom w:val="nil"/>
              <w:right w:val="nil"/>
            </w:tcBorders>
            <w:tcMar>
              <w:top w:w="128" w:type="dxa"/>
              <w:left w:w="43" w:type="dxa"/>
              <w:bottom w:w="43" w:type="dxa"/>
              <w:right w:w="43" w:type="dxa"/>
            </w:tcMar>
          </w:tcPr>
          <w:p w14:paraId="38FB7081" w14:textId="77777777" w:rsidR="00FE02EF" w:rsidRPr="00CC19F7" w:rsidRDefault="00881E58" w:rsidP="00A06A7F">
            <w:r w:rsidRPr="00CC19F7">
              <w:t>Gebyrinntekter</w:t>
            </w:r>
          </w:p>
        </w:tc>
        <w:tc>
          <w:tcPr>
            <w:tcW w:w="1276" w:type="dxa"/>
            <w:tcBorders>
              <w:top w:val="single" w:sz="4" w:space="0" w:color="000000"/>
              <w:left w:val="nil"/>
              <w:bottom w:val="nil"/>
              <w:right w:val="nil"/>
            </w:tcBorders>
            <w:tcMar>
              <w:top w:w="128" w:type="dxa"/>
              <w:left w:w="43" w:type="dxa"/>
              <w:bottom w:w="43" w:type="dxa"/>
              <w:right w:w="43" w:type="dxa"/>
            </w:tcMar>
            <w:vAlign w:val="bottom"/>
          </w:tcPr>
          <w:p w14:paraId="2117D7F6" w14:textId="77777777" w:rsidR="00FE02EF" w:rsidRPr="00CC19F7" w:rsidRDefault="00FE02EF" w:rsidP="00A06A7F">
            <w:pPr>
              <w:jc w:val="right"/>
            </w:pPr>
          </w:p>
        </w:tc>
        <w:tc>
          <w:tcPr>
            <w:tcW w:w="1620" w:type="dxa"/>
            <w:tcBorders>
              <w:top w:val="single" w:sz="4" w:space="0" w:color="000000"/>
              <w:left w:val="nil"/>
              <w:bottom w:val="nil"/>
              <w:right w:val="nil"/>
            </w:tcBorders>
            <w:tcMar>
              <w:top w:w="128" w:type="dxa"/>
              <w:left w:w="43" w:type="dxa"/>
              <w:bottom w:w="43" w:type="dxa"/>
              <w:right w:w="43" w:type="dxa"/>
            </w:tcMar>
            <w:vAlign w:val="bottom"/>
          </w:tcPr>
          <w:p w14:paraId="2AC4BCB4" w14:textId="77777777" w:rsidR="00FE02EF" w:rsidRPr="00CC19F7" w:rsidRDefault="00FE02EF" w:rsidP="00A06A7F">
            <w:pPr>
              <w:jc w:val="right"/>
            </w:pP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888120B" w14:textId="77777777" w:rsidR="00FE02EF" w:rsidRPr="00CC19F7" w:rsidRDefault="00881E58" w:rsidP="00A06A7F">
            <w:pPr>
              <w:jc w:val="right"/>
            </w:pPr>
            <w:r w:rsidRPr="00CC19F7">
              <w:t>85 800</w:t>
            </w:r>
          </w:p>
        </w:tc>
      </w:tr>
      <w:tr w:rsidR="00FE02EF" w:rsidRPr="00CC19F7" w14:paraId="1E64375B" w14:textId="77777777" w:rsidTr="00A06A7F">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B5FD470" w14:textId="77777777" w:rsidR="00FE02EF" w:rsidRPr="00CC19F7" w:rsidRDefault="00881E58" w:rsidP="00CC19F7">
            <w:r w:rsidRPr="00CC19F7">
              <w:t>02</w:t>
            </w:r>
          </w:p>
        </w:tc>
        <w:tc>
          <w:tcPr>
            <w:tcW w:w="4504" w:type="dxa"/>
            <w:tcBorders>
              <w:top w:val="nil"/>
              <w:left w:val="nil"/>
              <w:bottom w:val="single" w:sz="4" w:space="0" w:color="000000"/>
              <w:right w:val="nil"/>
            </w:tcBorders>
            <w:tcMar>
              <w:top w:w="128" w:type="dxa"/>
              <w:left w:w="43" w:type="dxa"/>
              <w:bottom w:w="43" w:type="dxa"/>
              <w:right w:w="43" w:type="dxa"/>
            </w:tcMar>
          </w:tcPr>
          <w:p w14:paraId="2665CC24" w14:textId="77777777" w:rsidR="00FE02EF" w:rsidRPr="00CC19F7" w:rsidRDefault="00881E58" w:rsidP="00A06A7F">
            <w:r w:rsidRPr="00CC19F7">
              <w:t>Oppdrags- og samarbeidsinntekter</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2A5559DF" w14:textId="77777777" w:rsidR="00FE02EF" w:rsidRPr="00CC19F7" w:rsidRDefault="00FE02EF" w:rsidP="00A06A7F">
            <w:pPr>
              <w:jc w:val="right"/>
            </w:pPr>
          </w:p>
        </w:tc>
        <w:tc>
          <w:tcPr>
            <w:tcW w:w="1620" w:type="dxa"/>
            <w:tcBorders>
              <w:top w:val="nil"/>
              <w:left w:val="nil"/>
              <w:bottom w:val="single" w:sz="4" w:space="0" w:color="000000"/>
              <w:right w:val="nil"/>
            </w:tcBorders>
            <w:tcMar>
              <w:top w:w="128" w:type="dxa"/>
              <w:left w:w="43" w:type="dxa"/>
              <w:bottom w:w="43" w:type="dxa"/>
              <w:right w:w="43" w:type="dxa"/>
            </w:tcMar>
            <w:vAlign w:val="bottom"/>
          </w:tcPr>
          <w:p w14:paraId="27657CDB" w14:textId="77777777" w:rsidR="00FE02EF" w:rsidRPr="00CC19F7" w:rsidRDefault="00FE02EF" w:rsidP="00A06A7F">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B73A3EA" w14:textId="77777777" w:rsidR="00FE02EF" w:rsidRPr="00CC19F7" w:rsidRDefault="00881E58" w:rsidP="00A06A7F">
            <w:pPr>
              <w:jc w:val="right"/>
            </w:pPr>
            <w:r w:rsidRPr="00CC19F7">
              <w:t>8 900</w:t>
            </w:r>
          </w:p>
        </w:tc>
      </w:tr>
      <w:tr w:rsidR="00FE02EF" w:rsidRPr="00CC19F7" w14:paraId="0DE79895" w14:textId="77777777" w:rsidTr="00A06A7F">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5AC4E8B" w14:textId="77777777" w:rsidR="00FE02EF" w:rsidRPr="00CC19F7" w:rsidRDefault="00FE02EF" w:rsidP="00CC19F7"/>
        </w:tc>
        <w:tc>
          <w:tcPr>
            <w:tcW w:w="4504" w:type="dxa"/>
            <w:tcBorders>
              <w:top w:val="nil"/>
              <w:left w:val="nil"/>
              <w:bottom w:val="single" w:sz="4" w:space="0" w:color="000000"/>
              <w:right w:val="nil"/>
            </w:tcBorders>
            <w:tcMar>
              <w:top w:w="128" w:type="dxa"/>
              <w:left w:w="43" w:type="dxa"/>
              <w:bottom w:w="43" w:type="dxa"/>
              <w:right w:w="43" w:type="dxa"/>
            </w:tcMar>
          </w:tcPr>
          <w:p w14:paraId="3E4DCB9D" w14:textId="77777777" w:rsidR="00FE02EF" w:rsidRPr="00CC19F7" w:rsidRDefault="00881E58" w:rsidP="00A06A7F">
            <w:r w:rsidRPr="00CC19F7">
              <w:t>Sum kap. 4860</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49892AD0" w14:textId="77777777" w:rsidR="00FE02EF" w:rsidRPr="00CC19F7" w:rsidRDefault="00FE02EF" w:rsidP="00A06A7F">
            <w:pPr>
              <w:jc w:val="right"/>
            </w:pPr>
          </w:p>
        </w:tc>
        <w:tc>
          <w:tcPr>
            <w:tcW w:w="1620" w:type="dxa"/>
            <w:tcBorders>
              <w:top w:val="nil"/>
              <w:left w:val="nil"/>
              <w:bottom w:val="single" w:sz="4" w:space="0" w:color="000000"/>
              <w:right w:val="nil"/>
            </w:tcBorders>
            <w:tcMar>
              <w:top w:w="128" w:type="dxa"/>
              <w:left w:w="43" w:type="dxa"/>
              <w:bottom w:w="43" w:type="dxa"/>
              <w:right w:w="43" w:type="dxa"/>
            </w:tcMar>
            <w:vAlign w:val="bottom"/>
          </w:tcPr>
          <w:p w14:paraId="2E3C532B" w14:textId="77777777" w:rsidR="00FE02EF" w:rsidRPr="00CC19F7" w:rsidRDefault="00FE02EF" w:rsidP="00A06A7F">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B4F57C9" w14:textId="77777777" w:rsidR="00FE02EF" w:rsidRPr="00CC19F7" w:rsidRDefault="00881E58" w:rsidP="00A06A7F">
            <w:pPr>
              <w:jc w:val="right"/>
            </w:pPr>
            <w:r w:rsidRPr="00CC19F7">
              <w:t>94 700</w:t>
            </w:r>
          </w:p>
        </w:tc>
      </w:tr>
    </w:tbl>
    <w:p w14:paraId="79491FB8" w14:textId="77777777" w:rsidR="00FE02EF" w:rsidRPr="00CC19F7" w:rsidRDefault="00881E58" w:rsidP="00CC19F7">
      <w:pPr>
        <w:pStyle w:val="tabell-noter"/>
        <w:rPr>
          <w:rStyle w:val="skrift-hevet"/>
        </w:rPr>
      </w:pPr>
      <w:r w:rsidRPr="00CC19F7">
        <w:rPr>
          <w:rStyle w:val="skrift-hevet"/>
        </w:rPr>
        <w:t>1</w:t>
      </w:r>
      <w:r w:rsidRPr="00CC19F7">
        <w:rPr>
          <w:rStyle w:val="skrift-hevet"/>
        </w:rPr>
        <w:tab/>
      </w:r>
      <w:r w:rsidRPr="00CC19F7">
        <w:t>Blei inntektsført på kap. 3642 under Arbeids- og inkluderingsdepartementets</w:t>
      </w:r>
    </w:p>
    <w:p w14:paraId="0552BBAD" w14:textId="77777777" w:rsidR="00FE02EF" w:rsidRPr="00CC19F7" w:rsidRDefault="00881E58" w:rsidP="00CC19F7">
      <w:pPr>
        <w:pStyle w:val="tabell-noter"/>
      </w:pPr>
      <w:r w:rsidRPr="00CC19F7">
        <w:rPr>
          <w:rStyle w:val="skrift-hevet"/>
        </w:rPr>
        <w:t>2</w:t>
      </w:r>
      <w:r w:rsidRPr="00CC19F7">
        <w:rPr>
          <w:rStyle w:val="skrift-hevet"/>
        </w:rPr>
        <w:tab/>
      </w:r>
      <w:r w:rsidRPr="00CC19F7">
        <w:t>Blei løyvd på kap. 3642 under Arbeids- og inkluderingsdepartementet</w:t>
      </w:r>
    </w:p>
    <w:p w14:paraId="51F689A1" w14:textId="77777777" w:rsidR="00FE02EF" w:rsidRPr="00CC19F7" w:rsidRDefault="00881E58" w:rsidP="00CC19F7">
      <w:pPr>
        <w:pStyle w:val="avsnitt-undertittel"/>
      </w:pPr>
      <w:r w:rsidRPr="00CC19F7">
        <w:t>Om 2023</w:t>
      </w:r>
    </w:p>
    <w:p w14:paraId="7A0ABEA6" w14:textId="77777777" w:rsidR="00FE02EF" w:rsidRPr="00CC19F7" w:rsidRDefault="00881E58" w:rsidP="00CC19F7">
      <w:r w:rsidRPr="00CC19F7">
        <w:t xml:space="preserve">Ved Stortingets vedtak 16. juni 2023 blei det under kap. 4812, post 01 løyvd 82,615 mill. kroner og kap. 4812, post 02 løyvd 8,509 mill. kroner, jf. </w:t>
      </w:r>
      <w:proofErr w:type="spellStart"/>
      <w:r w:rsidRPr="00CC19F7">
        <w:t>Prop</w:t>
      </w:r>
      <w:proofErr w:type="spellEnd"/>
      <w:r w:rsidRPr="00CC19F7">
        <w:t xml:space="preserve">. 118 S (2022–2023) og </w:t>
      </w:r>
      <w:proofErr w:type="spellStart"/>
      <w:r w:rsidRPr="00CC19F7">
        <w:t>Innst</w:t>
      </w:r>
      <w:proofErr w:type="spellEnd"/>
      <w:r w:rsidRPr="00CC19F7">
        <w:t>. 490 S (2022–2023).</w:t>
      </w:r>
    </w:p>
    <w:p w14:paraId="0940EC5B" w14:textId="77777777" w:rsidR="00FE02EF" w:rsidRPr="00CC19F7" w:rsidRDefault="00881E58" w:rsidP="00CC19F7">
      <w:pPr>
        <w:pStyle w:val="b-post"/>
      </w:pPr>
      <w:r w:rsidRPr="00CC19F7">
        <w:t>Post 01 Gebyrinntekter</w:t>
      </w:r>
    </w:p>
    <w:p w14:paraId="1AB810E3" w14:textId="77777777" w:rsidR="00FE02EF" w:rsidRPr="00CC19F7" w:rsidRDefault="00881E58" w:rsidP="00CC19F7">
      <w:r w:rsidRPr="00CC19F7">
        <w:t xml:space="preserve">Posten </w:t>
      </w:r>
      <w:proofErr w:type="spellStart"/>
      <w:r w:rsidRPr="00CC19F7">
        <w:t>omfattar</w:t>
      </w:r>
      <w:proofErr w:type="spellEnd"/>
      <w:r w:rsidRPr="00CC19F7">
        <w:t xml:space="preserve"> gebyrinntekter </w:t>
      </w:r>
      <w:proofErr w:type="spellStart"/>
      <w:r w:rsidRPr="00CC19F7">
        <w:t>frå</w:t>
      </w:r>
      <w:proofErr w:type="spellEnd"/>
      <w:r w:rsidRPr="00CC19F7">
        <w:t xml:space="preserve"> tilsyn med helse, miljø og </w:t>
      </w:r>
      <w:proofErr w:type="spellStart"/>
      <w:r w:rsidRPr="00CC19F7">
        <w:t>sikkerheit</w:t>
      </w:r>
      <w:proofErr w:type="spellEnd"/>
      <w:r w:rsidRPr="00CC19F7">
        <w:t xml:space="preserve"> i petroleumssektoren og som </w:t>
      </w:r>
      <w:proofErr w:type="spellStart"/>
      <w:r w:rsidRPr="00CC19F7">
        <w:t>rettar</w:t>
      </w:r>
      <w:proofErr w:type="spellEnd"/>
      <w:r w:rsidRPr="00CC19F7">
        <w:t xml:space="preserve"> seg mot </w:t>
      </w:r>
      <w:proofErr w:type="spellStart"/>
      <w:r w:rsidRPr="00CC19F7">
        <w:t>eitt</w:t>
      </w:r>
      <w:proofErr w:type="spellEnd"/>
      <w:r w:rsidRPr="00CC19F7">
        <w:t xml:space="preserve"> selskap.</w:t>
      </w:r>
    </w:p>
    <w:p w14:paraId="226CA64A" w14:textId="77777777" w:rsidR="00FE02EF" w:rsidRPr="00CC19F7" w:rsidRDefault="00881E58" w:rsidP="00CC19F7">
      <w:pPr>
        <w:pStyle w:val="b-post"/>
      </w:pPr>
      <w:r w:rsidRPr="00CC19F7">
        <w:t>Post 02 Oppdrags- og samarbeidsinntekter</w:t>
      </w:r>
    </w:p>
    <w:p w14:paraId="3D3425D9" w14:textId="77777777" w:rsidR="00FE02EF" w:rsidRPr="00CC19F7" w:rsidRDefault="00881E58" w:rsidP="00CC19F7">
      <w:r w:rsidRPr="00CC19F7">
        <w:t xml:space="preserve">Posten </w:t>
      </w:r>
      <w:proofErr w:type="spellStart"/>
      <w:r w:rsidRPr="00CC19F7">
        <w:t>omfattar</w:t>
      </w:r>
      <w:proofErr w:type="spellEnd"/>
      <w:r w:rsidRPr="00CC19F7">
        <w:t xml:space="preserve"> inntekter knytt til oppdrag/samarbeid overfor Norad, jf. kap. 1860, post 21.</w:t>
      </w:r>
    </w:p>
    <w:p w14:paraId="149CBBD1" w14:textId="77777777" w:rsidR="00FE02EF" w:rsidRPr="00CC19F7" w:rsidRDefault="00881E58" w:rsidP="00CC19F7">
      <w:pPr>
        <w:pStyle w:val="b-budkaptit"/>
      </w:pPr>
      <w:r w:rsidRPr="00CC19F7">
        <w:t>Kap. 5582 Sektoravgifter under Olje- og energidepartementet</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504"/>
        <w:gridCol w:w="1276"/>
        <w:gridCol w:w="1620"/>
        <w:gridCol w:w="1300"/>
      </w:tblGrid>
      <w:tr w:rsidR="00FE02EF" w:rsidRPr="00CC19F7" w14:paraId="12069101" w14:textId="77777777" w:rsidTr="00A06A7F">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BDE0D6D" w14:textId="77777777" w:rsidR="00FE02EF" w:rsidRPr="00CC19F7" w:rsidRDefault="00881E58" w:rsidP="00CC19F7">
            <w:pPr>
              <w:pStyle w:val="Tabellnavn"/>
            </w:pPr>
            <w:r w:rsidRPr="00CC19F7">
              <w:t>KPAL</w:t>
            </w:r>
          </w:p>
        </w:tc>
        <w:tc>
          <w:tcPr>
            <w:tcW w:w="4504" w:type="dxa"/>
            <w:tcBorders>
              <w:top w:val="nil"/>
              <w:left w:val="nil"/>
              <w:bottom w:val="single" w:sz="4" w:space="0" w:color="000000"/>
              <w:right w:val="nil"/>
            </w:tcBorders>
            <w:tcMar>
              <w:top w:w="128" w:type="dxa"/>
              <w:left w:w="43" w:type="dxa"/>
              <w:bottom w:w="43" w:type="dxa"/>
              <w:right w:w="43" w:type="dxa"/>
            </w:tcMar>
            <w:vAlign w:val="bottom"/>
          </w:tcPr>
          <w:p w14:paraId="70B5F9E4" w14:textId="77777777" w:rsidR="00FE02EF" w:rsidRPr="00CC19F7" w:rsidRDefault="00FE02EF" w:rsidP="00A06A7F"/>
        </w:tc>
        <w:tc>
          <w:tcPr>
            <w:tcW w:w="1276" w:type="dxa"/>
            <w:tcBorders>
              <w:top w:val="nil"/>
              <w:left w:val="nil"/>
              <w:bottom w:val="single" w:sz="4" w:space="0" w:color="000000"/>
              <w:right w:val="nil"/>
            </w:tcBorders>
            <w:tcMar>
              <w:top w:w="128" w:type="dxa"/>
              <w:left w:w="43" w:type="dxa"/>
              <w:bottom w:w="43" w:type="dxa"/>
              <w:right w:w="43" w:type="dxa"/>
            </w:tcMar>
            <w:vAlign w:val="bottom"/>
          </w:tcPr>
          <w:p w14:paraId="1040A43B" w14:textId="77777777" w:rsidR="00FE02EF" w:rsidRPr="00CC19F7" w:rsidRDefault="00FE02EF" w:rsidP="00A06A7F">
            <w:pPr>
              <w:jc w:val="right"/>
            </w:pPr>
          </w:p>
        </w:tc>
        <w:tc>
          <w:tcPr>
            <w:tcW w:w="1620" w:type="dxa"/>
            <w:tcBorders>
              <w:top w:val="nil"/>
              <w:left w:val="nil"/>
              <w:bottom w:val="single" w:sz="4" w:space="0" w:color="000000"/>
              <w:right w:val="nil"/>
            </w:tcBorders>
            <w:tcMar>
              <w:top w:w="128" w:type="dxa"/>
              <w:left w:w="43" w:type="dxa"/>
              <w:bottom w:w="43" w:type="dxa"/>
              <w:right w:w="43" w:type="dxa"/>
            </w:tcMar>
            <w:vAlign w:val="bottom"/>
          </w:tcPr>
          <w:p w14:paraId="1AE91D6A" w14:textId="77777777" w:rsidR="00FE02EF" w:rsidRPr="00CC19F7" w:rsidRDefault="00FE02EF" w:rsidP="00A06A7F">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C1A24E6" w14:textId="77777777" w:rsidR="00FE02EF" w:rsidRPr="00CC19F7" w:rsidRDefault="00881E58" w:rsidP="00A06A7F">
            <w:pPr>
              <w:jc w:val="right"/>
            </w:pPr>
            <w:r w:rsidRPr="00CC19F7">
              <w:t>(i 1 000 kr)</w:t>
            </w:r>
          </w:p>
        </w:tc>
      </w:tr>
      <w:tr w:rsidR="00FE02EF" w:rsidRPr="00CC19F7" w14:paraId="63E6DBA6" w14:textId="77777777" w:rsidTr="00A06A7F">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0F59A2C" w14:textId="77777777" w:rsidR="00FE02EF" w:rsidRPr="00CC19F7" w:rsidRDefault="00881E58" w:rsidP="00CC19F7">
            <w:r w:rsidRPr="00CC19F7">
              <w:t>Post</w:t>
            </w:r>
          </w:p>
        </w:tc>
        <w:tc>
          <w:tcPr>
            <w:tcW w:w="4504" w:type="dxa"/>
            <w:tcBorders>
              <w:top w:val="nil"/>
              <w:left w:val="nil"/>
              <w:bottom w:val="single" w:sz="4" w:space="0" w:color="000000"/>
              <w:right w:val="nil"/>
            </w:tcBorders>
            <w:tcMar>
              <w:top w:w="128" w:type="dxa"/>
              <w:left w:w="43" w:type="dxa"/>
              <w:bottom w:w="43" w:type="dxa"/>
              <w:right w:w="43" w:type="dxa"/>
            </w:tcMar>
            <w:vAlign w:val="bottom"/>
          </w:tcPr>
          <w:p w14:paraId="0928566A" w14:textId="77777777" w:rsidR="00FE02EF" w:rsidRPr="00CC19F7" w:rsidRDefault="00881E58" w:rsidP="00A06A7F">
            <w:proofErr w:type="spellStart"/>
            <w:r w:rsidRPr="00CC19F7">
              <w:t>Nemning</w:t>
            </w:r>
            <w:proofErr w:type="spellEnd"/>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6B87DE79" w14:textId="77777777" w:rsidR="00FE02EF" w:rsidRPr="00CC19F7" w:rsidRDefault="00881E58" w:rsidP="00A06A7F">
            <w:pPr>
              <w:jc w:val="right"/>
            </w:pPr>
            <w:proofErr w:type="spellStart"/>
            <w:r w:rsidRPr="00CC19F7">
              <w:t>Rekneskap</w:t>
            </w:r>
            <w:proofErr w:type="spellEnd"/>
            <w:r w:rsidRPr="00CC19F7">
              <w:br/>
              <w:t>2022</w:t>
            </w:r>
            <w:r w:rsidRPr="00CC19F7">
              <w:rPr>
                <w:rStyle w:val="skrift-hevet"/>
              </w:rPr>
              <w:t>1</w:t>
            </w:r>
          </w:p>
        </w:tc>
        <w:tc>
          <w:tcPr>
            <w:tcW w:w="1620" w:type="dxa"/>
            <w:tcBorders>
              <w:top w:val="nil"/>
              <w:left w:val="nil"/>
              <w:bottom w:val="single" w:sz="4" w:space="0" w:color="000000"/>
              <w:right w:val="nil"/>
            </w:tcBorders>
            <w:tcMar>
              <w:top w:w="128" w:type="dxa"/>
              <w:left w:w="43" w:type="dxa"/>
              <w:bottom w:w="43" w:type="dxa"/>
              <w:right w:w="43" w:type="dxa"/>
            </w:tcMar>
            <w:vAlign w:val="bottom"/>
          </w:tcPr>
          <w:p w14:paraId="566EAA1D" w14:textId="77777777" w:rsidR="00FE02EF" w:rsidRPr="00CC19F7" w:rsidRDefault="00881E58" w:rsidP="00A06A7F">
            <w:pPr>
              <w:jc w:val="right"/>
            </w:pPr>
            <w:r w:rsidRPr="00CC19F7">
              <w:t>Saldert</w:t>
            </w:r>
            <w:r w:rsidRPr="00CC19F7">
              <w:br/>
              <w:t>budsjett 2023</w:t>
            </w:r>
            <w:r w:rsidRPr="00CC19F7">
              <w:rPr>
                <w:rStyle w:val="skrift-hevet"/>
              </w:rPr>
              <w:t>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E80F293" w14:textId="77777777" w:rsidR="00FE02EF" w:rsidRPr="00CC19F7" w:rsidRDefault="00881E58" w:rsidP="00A06A7F">
            <w:pPr>
              <w:jc w:val="right"/>
            </w:pPr>
            <w:r w:rsidRPr="00CC19F7">
              <w:t>Forslag</w:t>
            </w:r>
            <w:r w:rsidRPr="00CC19F7">
              <w:br/>
              <w:t>2024</w:t>
            </w:r>
          </w:p>
        </w:tc>
      </w:tr>
      <w:tr w:rsidR="00FE02EF" w:rsidRPr="00CC19F7" w14:paraId="4D4228F0" w14:textId="77777777" w:rsidTr="00A06A7F">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2A855F06" w14:textId="77777777" w:rsidR="00FE02EF" w:rsidRPr="00CC19F7" w:rsidRDefault="00881E58" w:rsidP="00CC19F7">
            <w:r w:rsidRPr="00CC19F7">
              <w:t>75</w:t>
            </w:r>
          </w:p>
        </w:tc>
        <w:tc>
          <w:tcPr>
            <w:tcW w:w="4504" w:type="dxa"/>
            <w:tcBorders>
              <w:top w:val="single" w:sz="4" w:space="0" w:color="000000"/>
              <w:left w:val="nil"/>
              <w:bottom w:val="single" w:sz="4" w:space="0" w:color="000000"/>
              <w:right w:val="nil"/>
            </w:tcBorders>
            <w:tcMar>
              <w:top w:w="128" w:type="dxa"/>
              <w:left w:w="43" w:type="dxa"/>
              <w:bottom w:w="43" w:type="dxa"/>
              <w:right w:w="43" w:type="dxa"/>
            </w:tcMar>
          </w:tcPr>
          <w:p w14:paraId="599B3C59" w14:textId="77777777" w:rsidR="00FE02EF" w:rsidRPr="00CC19F7" w:rsidRDefault="00881E58" w:rsidP="00A06A7F">
            <w:r w:rsidRPr="00CC19F7">
              <w:t>Sektoravgifter under Havindustritilsynet</w:t>
            </w:r>
          </w:p>
        </w:tc>
        <w:tc>
          <w:tcPr>
            <w:tcW w:w="127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3671400" w14:textId="77777777" w:rsidR="00FE02EF" w:rsidRPr="00CC19F7" w:rsidRDefault="00FE02EF" w:rsidP="00A06A7F">
            <w:pPr>
              <w:jc w:val="right"/>
            </w:pPr>
          </w:p>
        </w:tc>
        <w:tc>
          <w:tcPr>
            <w:tcW w:w="1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4770C89" w14:textId="77777777" w:rsidR="00FE02EF" w:rsidRPr="00CC19F7" w:rsidRDefault="00FE02EF" w:rsidP="00A06A7F">
            <w:pPr>
              <w:jc w:val="right"/>
            </w:pP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62890A7" w14:textId="77777777" w:rsidR="00FE02EF" w:rsidRPr="00CC19F7" w:rsidRDefault="00881E58" w:rsidP="00A06A7F">
            <w:pPr>
              <w:jc w:val="right"/>
            </w:pPr>
            <w:r w:rsidRPr="00CC19F7">
              <w:t>134 933</w:t>
            </w:r>
          </w:p>
        </w:tc>
      </w:tr>
      <w:tr w:rsidR="00FE02EF" w:rsidRPr="00CC19F7" w14:paraId="3B0D9557" w14:textId="77777777" w:rsidTr="00A06A7F">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E2969F5" w14:textId="77777777" w:rsidR="00FE02EF" w:rsidRPr="00CC19F7" w:rsidRDefault="00FE02EF" w:rsidP="00CC19F7"/>
        </w:tc>
        <w:tc>
          <w:tcPr>
            <w:tcW w:w="4504" w:type="dxa"/>
            <w:tcBorders>
              <w:top w:val="nil"/>
              <w:left w:val="nil"/>
              <w:bottom w:val="single" w:sz="4" w:space="0" w:color="000000"/>
              <w:right w:val="nil"/>
            </w:tcBorders>
            <w:tcMar>
              <w:top w:w="128" w:type="dxa"/>
              <w:left w:w="43" w:type="dxa"/>
              <w:bottom w:w="43" w:type="dxa"/>
              <w:right w:w="43" w:type="dxa"/>
            </w:tcMar>
          </w:tcPr>
          <w:p w14:paraId="15D2D5FD" w14:textId="77777777" w:rsidR="00FE02EF" w:rsidRPr="00CC19F7" w:rsidRDefault="00881E58" w:rsidP="00A06A7F">
            <w:r w:rsidRPr="00CC19F7">
              <w:t>Sum kap. 5582</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546819A9" w14:textId="77777777" w:rsidR="00FE02EF" w:rsidRPr="00CC19F7" w:rsidRDefault="00FE02EF" w:rsidP="00A06A7F">
            <w:pPr>
              <w:jc w:val="right"/>
            </w:pPr>
          </w:p>
        </w:tc>
        <w:tc>
          <w:tcPr>
            <w:tcW w:w="1620" w:type="dxa"/>
            <w:tcBorders>
              <w:top w:val="nil"/>
              <w:left w:val="nil"/>
              <w:bottom w:val="single" w:sz="4" w:space="0" w:color="000000"/>
              <w:right w:val="nil"/>
            </w:tcBorders>
            <w:tcMar>
              <w:top w:w="128" w:type="dxa"/>
              <w:left w:w="43" w:type="dxa"/>
              <w:bottom w:w="43" w:type="dxa"/>
              <w:right w:w="43" w:type="dxa"/>
            </w:tcMar>
            <w:vAlign w:val="bottom"/>
          </w:tcPr>
          <w:p w14:paraId="38AD3E90" w14:textId="77777777" w:rsidR="00FE02EF" w:rsidRPr="00CC19F7" w:rsidRDefault="00FE02EF" w:rsidP="00A06A7F">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945EFCE" w14:textId="77777777" w:rsidR="00FE02EF" w:rsidRPr="00CC19F7" w:rsidRDefault="00881E58" w:rsidP="00A06A7F">
            <w:pPr>
              <w:jc w:val="right"/>
            </w:pPr>
            <w:r w:rsidRPr="00CC19F7">
              <w:t>134 933</w:t>
            </w:r>
          </w:p>
        </w:tc>
      </w:tr>
    </w:tbl>
    <w:p w14:paraId="5C244C9A" w14:textId="77777777" w:rsidR="00FE02EF" w:rsidRPr="00CC19F7" w:rsidRDefault="00881E58" w:rsidP="00CC19F7">
      <w:pPr>
        <w:pStyle w:val="tabell-noter"/>
        <w:rPr>
          <w:rStyle w:val="skrift-hevet"/>
        </w:rPr>
      </w:pPr>
      <w:r w:rsidRPr="00CC19F7">
        <w:rPr>
          <w:rStyle w:val="skrift-hevet"/>
        </w:rPr>
        <w:t>1</w:t>
      </w:r>
      <w:r w:rsidRPr="00CC19F7">
        <w:rPr>
          <w:rStyle w:val="skrift-hevet"/>
        </w:rPr>
        <w:tab/>
      </w:r>
      <w:r w:rsidRPr="00CC19F7">
        <w:t>Blei inntektsført på kap. 5571 under Arbeids- og inkluderingsdepartementet</w:t>
      </w:r>
    </w:p>
    <w:p w14:paraId="779B8822" w14:textId="77777777" w:rsidR="00FE02EF" w:rsidRPr="00CC19F7" w:rsidRDefault="00881E58" w:rsidP="00CC19F7">
      <w:pPr>
        <w:pStyle w:val="tabell-noter"/>
      </w:pPr>
      <w:r w:rsidRPr="00CC19F7">
        <w:rPr>
          <w:rStyle w:val="skrift-hevet"/>
        </w:rPr>
        <w:t>2</w:t>
      </w:r>
      <w:r w:rsidRPr="00CC19F7">
        <w:rPr>
          <w:rStyle w:val="skrift-hevet"/>
        </w:rPr>
        <w:tab/>
      </w:r>
      <w:r w:rsidRPr="00CC19F7">
        <w:t>Blei løyvd på kap. 5571 under Arbeids- og inkluderingsdepartementet</w:t>
      </w:r>
    </w:p>
    <w:p w14:paraId="24C2788A" w14:textId="77777777" w:rsidR="00FE02EF" w:rsidRPr="00CC19F7" w:rsidRDefault="00881E58" w:rsidP="00CC19F7">
      <w:pPr>
        <w:pStyle w:val="avsnitt-undertittel"/>
      </w:pPr>
      <w:r w:rsidRPr="00CC19F7">
        <w:t>Om 2023</w:t>
      </w:r>
    </w:p>
    <w:p w14:paraId="53970718" w14:textId="77777777" w:rsidR="00FE02EF" w:rsidRPr="00CC19F7" w:rsidRDefault="00881E58" w:rsidP="00CC19F7">
      <w:r w:rsidRPr="00CC19F7">
        <w:t xml:space="preserve">Ved Stortingets vedtak 16. juni 2023 blei det under post 75 løyvd 132,316 mill. kroner, jf. </w:t>
      </w:r>
      <w:proofErr w:type="spellStart"/>
      <w:r w:rsidRPr="00CC19F7">
        <w:t>Prop</w:t>
      </w:r>
      <w:proofErr w:type="spellEnd"/>
      <w:r w:rsidRPr="00CC19F7">
        <w:t xml:space="preserve">. 118 S (2022–2023) og </w:t>
      </w:r>
      <w:proofErr w:type="spellStart"/>
      <w:r w:rsidRPr="00CC19F7">
        <w:t>Innst</w:t>
      </w:r>
      <w:proofErr w:type="spellEnd"/>
      <w:r w:rsidRPr="00CC19F7">
        <w:t>. 490 S (2022–2023).</w:t>
      </w:r>
    </w:p>
    <w:p w14:paraId="63F81010" w14:textId="77777777" w:rsidR="00FE02EF" w:rsidRPr="00CC19F7" w:rsidRDefault="00881E58" w:rsidP="00CC19F7">
      <w:pPr>
        <w:pStyle w:val="b-post"/>
      </w:pPr>
      <w:r w:rsidRPr="00CC19F7">
        <w:t>Post 75 Sektoravgifter under Havindustritilsynet</w:t>
      </w:r>
    </w:p>
    <w:p w14:paraId="3E8D28AE" w14:textId="77777777" w:rsidR="00FE02EF" w:rsidRPr="00CC19F7" w:rsidRDefault="00881E58" w:rsidP="00CC19F7">
      <w:r w:rsidRPr="00CC19F7">
        <w:t xml:space="preserve">Havindustritilsynet kan </w:t>
      </w:r>
      <w:proofErr w:type="spellStart"/>
      <w:r w:rsidRPr="00CC19F7">
        <w:t>krevje</w:t>
      </w:r>
      <w:proofErr w:type="spellEnd"/>
      <w:r w:rsidRPr="00CC19F7">
        <w:t xml:space="preserve"> sektoravgift for tiltak retta mot heile eller </w:t>
      </w:r>
      <w:proofErr w:type="spellStart"/>
      <w:r w:rsidRPr="00CC19F7">
        <w:t>delar</w:t>
      </w:r>
      <w:proofErr w:type="spellEnd"/>
      <w:r w:rsidRPr="00CC19F7">
        <w:t xml:space="preserve"> av petroleumsnæringa. Sektoroppgåvene </w:t>
      </w:r>
      <w:proofErr w:type="spellStart"/>
      <w:r w:rsidRPr="00CC19F7">
        <w:t>omfattar</w:t>
      </w:r>
      <w:proofErr w:type="spellEnd"/>
      <w:r w:rsidRPr="00CC19F7">
        <w:t xml:space="preserve"> mellom anna erfaringsoverføring </w:t>
      </w:r>
      <w:proofErr w:type="spellStart"/>
      <w:r w:rsidRPr="00CC19F7">
        <w:t>frå</w:t>
      </w:r>
      <w:proofErr w:type="spellEnd"/>
      <w:r w:rsidRPr="00CC19F7">
        <w:t xml:space="preserve"> Havindustritilsynet til næringa, kunnskapsutvikling og tilrettelegging for </w:t>
      </w:r>
      <w:proofErr w:type="spellStart"/>
      <w:r w:rsidRPr="00CC19F7">
        <w:t>tilsynskampanjar</w:t>
      </w:r>
      <w:proofErr w:type="spellEnd"/>
      <w:r w:rsidRPr="00CC19F7">
        <w:t xml:space="preserve">. Sektoravgifta blir fordelt på </w:t>
      </w:r>
      <w:proofErr w:type="spellStart"/>
      <w:r w:rsidRPr="00CC19F7">
        <w:t>fleire</w:t>
      </w:r>
      <w:proofErr w:type="spellEnd"/>
      <w:r w:rsidRPr="00CC19F7">
        <w:t xml:space="preserve"> selskap i samsvar med </w:t>
      </w:r>
      <w:proofErr w:type="spellStart"/>
      <w:r w:rsidRPr="00CC19F7">
        <w:t>ein</w:t>
      </w:r>
      <w:proofErr w:type="spellEnd"/>
      <w:r w:rsidRPr="00CC19F7">
        <w:t xml:space="preserve"> fordelingsnøkkel som blir fastsett av Havindustritilsynet.</w:t>
      </w:r>
    </w:p>
    <w:p w14:paraId="485E6025" w14:textId="77777777" w:rsidR="00FE02EF" w:rsidRPr="00CC19F7" w:rsidRDefault="00881E58" w:rsidP="00CC19F7">
      <w:r w:rsidRPr="00CC19F7">
        <w:t xml:space="preserve">Sektoravgifta dekker Havindustritilsynets faktiske kostnader for oppfølging av næringa i tillegg til gebyr </w:t>
      </w:r>
      <w:proofErr w:type="spellStart"/>
      <w:r w:rsidRPr="00CC19F7">
        <w:t>frå</w:t>
      </w:r>
      <w:proofErr w:type="spellEnd"/>
      <w:r w:rsidRPr="00CC19F7">
        <w:t xml:space="preserve"> tilsyn under kap. 4860, post 01.</w:t>
      </w:r>
    </w:p>
    <w:p w14:paraId="679B4979" w14:textId="528E5653" w:rsidR="00FE02EF" w:rsidRPr="00CC19F7" w:rsidRDefault="00A06A7F" w:rsidP="00CC19F7">
      <w:pPr>
        <w:pStyle w:val="del-nr"/>
      </w:pPr>
      <w:r>
        <w:t>Del III</w:t>
      </w:r>
    </w:p>
    <w:p w14:paraId="4B5EA596" w14:textId="77777777" w:rsidR="00FE02EF" w:rsidRPr="00CC19F7" w:rsidRDefault="00881E58" w:rsidP="00CC19F7">
      <w:pPr>
        <w:pStyle w:val="del-tittel"/>
      </w:pPr>
      <w:r w:rsidRPr="00CC19F7">
        <w:t xml:space="preserve">Omtale av </w:t>
      </w:r>
      <w:proofErr w:type="spellStart"/>
      <w:r w:rsidRPr="00CC19F7">
        <w:t>særskilde</w:t>
      </w:r>
      <w:proofErr w:type="spellEnd"/>
      <w:r w:rsidRPr="00CC19F7">
        <w:t xml:space="preserve"> tema</w:t>
      </w:r>
    </w:p>
    <w:p w14:paraId="09034449" w14:textId="77777777" w:rsidR="00FE02EF" w:rsidRPr="00CC19F7" w:rsidRDefault="00881E58" w:rsidP="00CC19F7">
      <w:pPr>
        <w:pStyle w:val="Overskrift1"/>
      </w:pPr>
      <w:r w:rsidRPr="00CC19F7">
        <w:t>Prosjekt under utbygging på norsk kontinentalsokkel</w:t>
      </w:r>
    </w:p>
    <w:p w14:paraId="5D5F615C" w14:textId="77777777" w:rsidR="00FE02EF" w:rsidRPr="00CC19F7" w:rsidRDefault="00881E58" w:rsidP="00CC19F7">
      <w:r w:rsidRPr="00CC19F7">
        <w:t xml:space="preserve">Før utbygging, drift og transport kan skje på norsk kontinentalsokkel, må det leverast inn plan for utbygging og drift (PUD) eller plan for anlegg og drift (PAD) til godkjenning hos </w:t>
      </w:r>
      <w:proofErr w:type="spellStart"/>
      <w:r w:rsidRPr="00CC19F7">
        <w:t>myndigheitene</w:t>
      </w:r>
      <w:proofErr w:type="spellEnd"/>
      <w:r w:rsidRPr="00CC19F7">
        <w:t xml:space="preserve">. Det er </w:t>
      </w:r>
      <w:proofErr w:type="spellStart"/>
      <w:r w:rsidRPr="00CC19F7">
        <w:t>dei</w:t>
      </w:r>
      <w:proofErr w:type="spellEnd"/>
      <w:r w:rsidRPr="00CC19F7">
        <w:t xml:space="preserve"> ulike </w:t>
      </w:r>
      <w:proofErr w:type="spellStart"/>
      <w:r w:rsidRPr="00CC19F7">
        <w:t>rettshavargruppene</w:t>
      </w:r>
      <w:proofErr w:type="spellEnd"/>
      <w:r w:rsidRPr="00CC19F7">
        <w:t xml:space="preserve"> som har ansvaret for å utarbeide </w:t>
      </w:r>
      <w:proofErr w:type="spellStart"/>
      <w:r w:rsidRPr="00CC19F7">
        <w:t>ein</w:t>
      </w:r>
      <w:proofErr w:type="spellEnd"/>
      <w:r w:rsidRPr="00CC19F7">
        <w:t xml:space="preserve"> utbyggingsplan og for å gjennomføre utbygginga i samsvar med den </w:t>
      </w:r>
      <w:proofErr w:type="spellStart"/>
      <w:r w:rsidRPr="00CC19F7">
        <w:t>godkjende</w:t>
      </w:r>
      <w:proofErr w:type="spellEnd"/>
      <w:r w:rsidRPr="00CC19F7">
        <w:t xml:space="preserve"> planen.</w:t>
      </w:r>
    </w:p>
    <w:p w14:paraId="2F26F325" w14:textId="77777777" w:rsidR="00FE02EF" w:rsidRPr="00CC19F7" w:rsidRDefault="00881E58" w:rsidP="00CC19F7">
      <w:r w:rsidRPr="00CC19F7">
        <w:t xml:space="preserve">I dette kapittelet følger </w:t>
      </w:r>
      <w:proofErr w:type="spellStart"/>
      <w:r w:rsidRPr="00CC19F7">
        <w:t>ein</w:t>
      </w:r>
      <w:proofErr w:type="spellEnd"/>
      <w:r w:rsidRPr="00CC19F7">
        <w:t xml:space="preserve"> omtale av utviklinga for </w:t>
      </w:r>
      <w:proofErr w:type="spellStart"/>
      <w:r w:rsidRPr="00CC19F7">
        <w:t>dei</w:t>
      </w:r>
      <w:proofErr w:type="spellEnd"/>
      <w:r w:rsidRPr="00CC19F7">
        <w:t xml:space="preserve"> prosjekta som har fått utbyggingsplan </w:t>
      </w:r>
      <w:proofErr w:type="spellStart"/>
      <w:r w:rsidRPr="00CC19F7">
        <w:t>godkjend</w:t>
      </w:r>
      <w:proofErr w:type="spellEnd"/>
      <w:r w:rsidRPr="00CC19F7">
        <w:t xml:space="preserve"> av </w:t>
      </w:r>
      <w:proofErr w:type="spellStart"/>
      <w:r w:rsidRPr="00CC19F7">
        <w:t>myndigheitene</w:t>
      </w:r>
      <w:proofErr w:type="spellEnd"/>
      <w:r w:rsidRPr="00CC19F7">
        <w:t xml:space="preserve">, men som </w:t>
      </w:r>
      <w:proofErr w:type="spellStart"/>
      <w:r w:rsidRPr="00CC19F7">
        <w:t>framleis</w:t>
      </w:r>
      <w:proofErr w:type="spellEnd"/>
      <w:r w:rsidRPr="00CC19F7">
        <w:t xml:space="preserve"> er under utbygging, og </w:t>
      </w:r>
      <w:proofErr w:type="spellStart"/>
      <w:r w:rsidRPr="00CC19F7">
        <w:t>dei</w:t>
      </w:r>
      <w:proofErr w:type="spellEnd"/>
      <w:r w:rsidRPr="00CC19F7">
        <w:t xml:space="preserve"> prosjekta som har komme i produksjon etter rapporteringa i </w:t>
      </w:r>
      <w:proofErr w:type="spellStart"/>
      <w:r w:rsidRPr="00CC19F7">
        <w:t>Prop</w:t>
      </w:r>
      <w:proofErr w:type="spellEnd"/>
      <w:r w:rsidRPr="00CC19F7">
        <w:t xml:space="preserve">. 1 S (2022–2023) </w:t>
      </w:r>
      <w:proofErr w:type="spellStart"/>
      <w:r w:rsidRPr="00CC19F7">
        <w:t>frå</w:t>
      </w:r>
      <w:proofErr w:type="spellEnd"/>
      <w:r w:rsidRPr="00CC19F7">
        <w:t xml:space="preserve"> Olje- og energidepartementet i fjor.</w:t>
      </w:r>
    </w:p>
    <w:p w14:paraId="044A9B6D" w14:textId="77777777" w:rsidR="00FE02EF" w:rsidRPr="00CC19F7" w:rsidRDefault="00881E58" w:rsidP="00CC19F7">
      <w:r w:rsidRPr="00CC19F7">
        <w:t xml:space="preserve">Per 1. september var det 26 utbyggingsprosjekt eller </w:t>
      </w:r>
      <w:proofErr w:type="spellStart"/>
      <w:r w:rsidRPr="00CC19F7">
        <w:t>feltutbyggingar</w:t>
      </w:r>
      <w:proofErr w:type="spellEnd"/>
      <w:r w:rsidRPr="00CC19F7">
        <w:t xml:space="preserve"> på norsk kontinentalsokkel med </w:t>
      </w:r>
      <w:proofErr w:type="spellStart"/>
      <w:r w:rsidRPr="00CC19F7">
        <w:t>ein</w:t>
      </w:r>
      <w:proofErr w:type="spellEnd"/>
      <w:r w:rsidRPr="00CC19F7">
        <w:t xml:space="preserve"> utbyggingsplan </w:t>
      </w:r>
      <w:proofErr w:type="spellStart"/>
      <w:r w:rsidRPr="00CC19F7">
        <w:t>godkjend</w:t>
      </w:r>
      <w:proofErr w:type="spellEnd"/>
      <w:r w:rsidRPr="00CC19F7">
        <w:t xml:space="preserve"> av departementet i gang. 14 av prosjekta er i Nordsjøen, ti er i Norskehavet, og to er i Barentshavet. Seks utbyggingsprosjekt er ferdigstilte </w:t>
      </w:r>
      <w:proofErr w:type="gramStart"/>
      <w:r w:rsidRPr="00CC19F7">
        <w:t>og sette</w:t>
      </w:r>
      <w:proofErr w:type="gramEnd"/>
      <w:r w:rsidRPr="00CC19F7">
        <w:t xml:space="preserve"> i produksjon etter 1. august 2022: Njord </w:t>
      </w:r>
      <w:proofErr w:type="spellStart"/>
      <w:r w:rsidRPr="00CC19F7">
        <w:t>Future</w:t>
      </w:r>
      <w:proofErr w:type="spellEnd"/>
      <w:r w:rsidRPr="00CC19F7">
        <w:t xml:space="preserve">, Bauge, </w:t>
      </w:r>
      <w:proofErr w:type="spellStart"/>
      <w:r w:rsidRPr="00CC19F7">
        <w:t>Fenja</w:t>
      </w:r>
      <w:proofErr w:type="spellEnd"/>
      <w:r w:rsidRPr="00CC19F7">
        <w:t xml:space="preserve">, Johan Sverdrup Byggetrinn II, Frosk og </w:t>
      </w:r>
      <w:proofErr w:type="spellStart"/>
      <w:r w:rsidRPr="00CC19F7">
        <w:t>Hywind</w:t>
      </w:r>
      <w:proofErr w:type="spellEnd"/>
      <w:r w:rsidRPr="00CC19F7">
        <w:t xml:space="preserve"> Tampen.</w:t>
      </w:r>
    </w:p>
    <w:p w14:paraId="3D3954ED" w14:textId="77777777" w:rsidR="00FE02EF" w:rsidRPr="00CC19F7" w:rsidRDefault="00881E58" w:rsidP="00CC19F7">
      <w:r w:rsidRPr="00CC19F7">
        <w:t xml:space="preserve">Departementet har som bakgrunn for omtalen av prosjekta under henta inn oppdaterte </w:t>
      </w:r>
      <w:proofErr w:type="spellStart"/>
      <w:r w:rsidRPr="00CC19F7">
        <w:t>opplysningar</w:t>
      </w:r>
      <w:proofErr w:type="spellEnd"/>
      <w:r w:rsidRPr="00CC19F7">
        <w:t xml:space="preserve"> per september 2023 </w:t>
      </w:r>
      <w:proofErr w:type="spellStart"/>
      <w:r w:rsidRPr="00CC19F7">
        <w:t>frå</w:t>
      </w:r>
      <w:proofErr w:type="spellEnd"/>
      <w:r w:rsidRPr="00CC19F7">
        <w:t xml:space="preserve"> operatørselskapa for </w:t>
      </w:r>
      <w:proofErr w:type="spellStart"/>
      <w:r w:rsidRPr="00CC19F7">
        <w:t>dei</w:t>
      </w:r>
      <w:proofErr w:type="spellEnd"/>
      <w:r w:rsidRPr="00CC19F7">
        <w:t xml:space="preserve"> ulike prosjekta. </w:t>
      </w:r>
      <w:proofErr w:type="spellStart"/>
      <w:r w:rsidRPr="00CC19F7">
        <w:t>Utbyggingsplanane</w:t>
      </w:r>
      <w:proofErr w:type="spellEnd"/>
      <w:r w:rsidRPr="00CC19F7">
        <w:t xml:space="preserve"> for Yggdrasil, Tyrving, </w:t>
      </w:r>
      <w:proofErr w:type="spellStart"/>
      <w:r w:rsidRPr="00CC19F7">
        <w:t>Irpa</w:t>
      </w:r>
      <w:proofErr w:type="spellEnd"/>
      <w:r w:rsidRPr="00CC19F7">
        <w:t xml:space="preserve">, Verdande, </w:t>
      </w:r>
      <w:proofErr w:type="spellStart"/>
      <w:r w:rsidRPr="00CC19F7">
        <w:t>Dvalin</w:t>
      </w:r>
      <w:proofErr w:type="spellEnd"/>
      <w:r w:rsidRPr="00CC19F7">
        <w:t xml:space="preserve"> Nord, Symra, Ørn, Idun Nord, </w:t>
      </w:r>
      <w:proofErr w:type="spellStart"/>
      <w:r w:rsidRPr="00CC19F7">
        <w:t>Alve</w:t>
      </w:r>
      <w:proofErr w:type="spellEnd"/>
      <w:r w:rsidRPr="00CC19F7">
        <w:t xml:space="preserve"> Nord, </w:t>
      </w:r>
      <w:proofErr w:type="spellStart"/>
      <w:r w:rsidRPr="00CC19F7">
        <w:t>Berling</w:t>
      </w:r>
      <w:proofErr w:type="spellEnd"/>
      <w:r w:rsidRPr="00CC19F7">
        <w:t>, Valhall/</w:t>
      </w:r>
      <w:proofErr w:type="spellStart"/>
      <w:r w:rsidRPr="00CC19F7">
        <w:t>Fenris</w:t>
      </w:r>
      <w:proofErr w:type="spellEnd"/>
      <w:r w:rsidRPr="00CC19F7">
        <w:t xml:space="preserve">, Snøhvit </w:t>
      </w:r>
      <w:proofErr w:type="spellStart"/>
      <w:r w:rsidRPr="00CC19F7">
        <w:t>Future</w:t>
      </w:r>
      <w:proofErr w:type="spellEnd"/>
      <w:r w:rsidRPr="00CC19F7">
        <w:t xml:space="preserve"> og Maria fase 2, er </w:t>
      </w:r>
      <w:proofErr w:type="spellStart"/>
      <w:r w:rsidRPr="00CC19F7">
        <w:t>nyleg</w:t>
      </w:r>
      <w:proofErr w:type="spellEnd"/>
      <w:r w:rsidRPr="00CC19F7">
        <w:t xml:space="preserve"> </w:t>
      </w:r>
      <w:proofErr w:type="spellStart"/>
      <w:r w:rsidRPr="00CC19F7">
        <w:t>godkjende</w:t>
      </w:r>
      <w:proofErr w:type="spellEnd"/>
      <w:r w:rsidRPr="00CC19F7">
        <w:t xml:space="preserve"> av Olje- og energidepartementet. For </w:t>
      </w:r>
      <w:proofErr w:type="spellStart"/>
      <w:r w:rsidRPr="00CC19F7">
        <w:t>desse</w:t>
      </w:r>
      <w:proofErr w:type="spellEnd"/>
      <w:r w:rsidRPr="00CC19F7">
        <w:t xml:space="preserve"> prosjekta er det </w:t>
      </w:r>
      <w:proofErr w:type="spellStart"/>
      <w:r w:rsidRPr="00CC19F7">
        <w:t>ikkje</w:t>
      </w:r>
      <w:proofErr w:type="spellEnd"/>
      <w:r w:rsidRPr="00CC19F7">
        <w:t xml:space="preserve"> innhenta oppdaterte kostnadsanslag.</w:t>
      </w:r>
    </w:p>
    <w:p w14:paraId="5B7BE801" w14:textId="77777777" w:rsidR="00FE02EF" w:rsidRPr="00CC19F7" w:rsidRDefault="00881E58" w:rsidP="00CC19F7">
      <w:r w:rsidRPr="00CC19F7">
        <w:t xml:space="preserve">Olje- og gassnæringa er </w:t>
      </w:r>
      <w:proofErr w:type="spellStart"/>
      <w:r w:rsidRPr="00CC19F7">
        <w:t>ein</w:t>
      </w:r>
      <w:proofErr w:type="spellEnd"/>
      <w:r w:rsidRPr="00CC19F7">
        <w:t xml:space="preserve"> syklisk og global industri. </w:t>
      </w:r>
      <w:proofErr w:type="spellStart"/>
      <w:r w:rsidRPr="00CC19F7">
        <w:t>Utbyggingar</w:t>
      </w:r>
      <w:proofErr w:type="spellEnd"/>
      <w:r w:rsidRPr="00CC19F7">
        <w:t xml:space="preserve"> på norsk kontinentalsokkel er store og komplekse prosjekt, og </w:t>
      </w:r>
      <w:proofErr w:type="spellStart"/>
      <w:r w:rsidRPr="00CC19F7">
        <w:t>omfattar</w:t>
      </w:r>
      <w:proofErr w:type="spellEnd"/>
      <w:r w:rsidRPr="00CC19F7">
        <w:t xml:space="preserve"> </w:t>
      </w:r>
      <w:proofErr w:type="spellStart"/>
      <w:r w:rsidRPr="00CC19F7">
        <w:t>fleire</w:t>
      </w:r>
      <w:proofErr w:type="spellEnd"/>
      <w:r w:rsidRPr="00CC19F7">
        <w:t xml:space="preserve"> ulike </w:t>
      </w:r>
      <w:proofErr w:type="spellStart"/>
      <w:r w:rsidRPr="00CC19F7">
        <w:t>aktivitetar</w:t>
      </w:r>
      <w:proofErr w:type="spellEnd"/>
      <w:r w:rsidRPr="00CC19F7">
        <w:t xml:space="preserve">. </w:t>
      </w:r>
      <w:proofErr w:type="spellStart"/>
      <w:r w:rsidRPr="00CC19F7">
        <w:t>Desse</w:t>
      </w:r>
      <w:proofErr w:type="spellEnd"/>
      <w:r w:rsidRPr="00CC19F7">
        <w:t xml:space="preserve"> </w:t>
      </w:r>
      <w:proofErr w:type="spellStart"/>
      <w:r w:rsidRPr="00CC19F7">
        <w:t>aktivitetane</w:t>
      </w:r>
      <w:proofErr w:type="spellEnd"/>
      <w:r w:rsidRPr="00CC19F7">
        <w:t xml:space="preserve"> går føre seg på ulike geografiske </w:t>
      </w:r>
      <w:proofErr w:type="spellStart"/>
      <w:r w:rsidRPr="00CC19F7">
        <w:t>stader</w:t>
      </w:r>
      <w:proofErr w:type="spellEnd"/>
      <w:r w:rsidRPr="00CC19F7">
        <w:t xml:space="preserve">, </w:t>
      </w:r>
      <w:proofErr w:type="spellStart"/>
      <w:r w:rsidRPr="00CC19F7">
        <w:t>noko</w:t>
      </w:r>
      <w:proofErr w:type="spellEnd"/>
      <w:r w:rsidRPr="00CC19F7">
        <w:t xml:space="preserve"> som krev </w:t>
      </w:r>
      <w:proofErr w:type="spellStart"/>
      <w:r w:rsidRPr="00CC19F7">
        <w:t>utstrekt</w:t>
      </w:r>
      <w:proofErr w:type="spellEnd"/>
      <w:r w:rsidRPr="00CC19F7">
        <w:t xml:space="preserve"> kommunikasjon og godt samarbeid mellom </w:t>
      </w:r>
      <w:proofErr w:type="spellStart"/>
      <w:r w:rsidRPr="00CC19F7">
        <w:t>dei</w:t>
      </w:r>
      <w:proofErr w:type="spellEnd"/>
      <w:r w:rsidRPr="00CC19F7">
        <w:t xml:space="preserve"> ulike </w:t>
      </w:r>
      <w:proofErr w:type="spellStart"/>
      <w:r w:rsidRPr="00CC19F7">
        <w:t>aktørane</w:t>
      </w:r>
      <w:proofErr w:type="spellEnd"/>
      <w:r w:rsidRPr="00CC19F7">
        <w:t xml:space="preserve">. </w:t>
      </w:r>
      <w:proofErr w:type="spellStart"/>
      <w:r w:rsidRPr="00CC19F7">
        <w:t>Eit</w:t>
      </w:r>
      <w:proofErr w:type="spellEnd"/>
      <w:r w:rsidRPr="00CC19F7">
        <w:t xml:space="preserve"> vellykka resultat er for eksempel avhengig av at </w:t>
      </w:r>
      <w:proofErr w:type="spellStart"/>
      <w:r w:rsidRPr="00CC19F7">
        <w:t>dei</w:t>
      </w:r>
      <w:proofErr w:type="spellEnd"/>
      <w:r w:rsidRPr="00CC19F7">
        <w:t xml:space="preserve"> involverte ferdigstiller sine </w:t>
      </w:r>
      <w:proofErr w:type="spellStart"/>
      <w:r w:rsidRPr="00CC19F7">
        <w:t>leveransar</w:t>
      </w:r>
      <w:proofErr w:type="spellEnd"/>
      <w:r w:rsidRPr="00CC19F7">
        <w:t xml:space="preserve"> til rett tid. At næringa er syklisk, </w:t>
      </w:r>
      <w:proofErr w:type="spellStart"/>
      <w:r w:rsidRPr="00CC19F7">
        <w:t>aukar</w:t>
      </w:r>
      <w:proofErr w:type="spellEnd"/>
      <w:r w:rsidRPr="00CC19F7">
        <w:t xml:space="preserve"> kompleksiteten ved at det påverkar tilgangen på varer og </w:t>
      </w:r>
      <w:proofErr w:type="spellStart"/>
      <w:r w:rsidRPr="00CC19F7">
        <w:t>tenester</w:t>
      </w:r>
      <w:proofErr w:type="spellEnd"/>
      <w:r w:rsidRPr="00CC19F7">
        <w:t xml:space="preserve"> av god kvalitet. God planlegging og god styring av gjennomføringa er nødvendig for å </w:t>
      </w:r>
      <w:proofErr w:type="spellStart"/>
      <w:r w:rsidRPr="00CC19F7">
        <w:t>lykkast</w:t>
      </w:r>
      <w:proofErr w:type="spellEnd"/>
      <w:r w:rsidRPr="00CC19F7">
        <w:t>.</w:t>
      </w:r>
    </w:p>
    <w:p w14:paraId="3B805B62" w14:textId="77777777" w:rsidR="00FE02EF" w:rsidRPr="00CC19F7" w:rsidRDefault="00881E58" w:rsidP="00CC19F7">
      <w:r w:rsidRPr="00CC19F7">
        <w:t xml:space="preserve">Koronapandemien og smitteverntiltak heime og ute skapte </w:t>
      </w:r>
      <w:proofErr w:type="spellStart"/>
      <w:r w:rsidRPr="00CC19F7">
        <w:t>utfordringar</w:t>
      </w:r>
      <w:proofErr w:type="spellEnd"/>
      <w:r w:rsidRPr="00CC19F7">
        <w:t xml:space="preserve"> for </w:t>
      </w:r>
      <w:proofErr w:type="spellStart"/>
      <w:r w:rsidRPr="00CC19F7">
        <w:t>fleire</w:t>
      </w:r>
      <w:proofErr w:type="spellEnd"/>
      <w:r w:rsidRPr="00CC19F7">
        <w:t xml:space="preserve"> av </w:t>
      </w:r>
      <w:proofErr w:type="spellStart"/>
      <w:r w:rsidRPr="00CC19F7">
        <w:t>dei</w:t>
      </w:r>
      <w:proofErr w:type="spellEnd"/>
      <w:r w:rsidRPr="00CC19F7">
        <w:t xml:space="preserve"> </w:t>
      </w:r>
      <w:proofErr w:type="spellStart"/>
      <w:r w:rsidRPr="00CC19F7">
        <w:t>pågåande</w:t>
      </w:r>
      <w:proofErr w:type="spellEnd"/>
      <w:r w:rsidRPr="00CC19F7">
        <w:t xml:space="preserve"> utbyggingsprosjekta på kontinentalsokkelen og har for </w:t>
      </w:r>
      <w:proofErr w:type="spellStart"/>
      <w:r w:rsidRPr="00CC19F7">
        <w:t>fleire</w:t>
      </w:r>
      <w:proofErr w:type="spellEnd"/>
      <w:r w:rsidRPr="00CC19F7">
        <w:t xml:space="preserve"> ført til </w:t>
      </w:r>
      <w:proofErr w:type="spellStart"/>
      <w:r w:rsidRPr="00CC19F7">
        <w:t>forseinkingar</w:t>
      </w:r>
      <w:proofErr w:type="spellEnd"/>
      <w:r w:rsidRPr="00CC19F7">
        <w:t xml:space="preserve"> og </w:t>
      </w:r>
      <w:proofErr w:type="spellStart"/>
      <w:r w:rsidRPr="00CC19F7">
        <w:t>auka</w:t>
      </w:r>
      <w:proofErr w:type="spellEnd"/>
      <w:r w:rsidRPr="00CC19F7">
        <w:t xml:space="preserve"> kostnader.</w:t>
      </w:r>
    </w:p>
    <w:p w14:paraId="463EA374" w14:textId="77777777" w:rsidR="00FE02EF" w:rsidRPr="00CC19F7" w:rsidRDefault="00881E58" w:rsidP="00CC19F7">
      <w:r w:rsidRPr="00CC19F7">
        <w:t xml:space="preserve">Utviklinga i råvare- og </w:t>
      </w:r>
      <w:proofErr w:type="spellStart"/>
      <w:r w:rsidRPr="00CC19F7">
        <w:t>tenesteprisar</w:t>
      </w:r>
      <w:proofErr w:type="spellEnd"/>
      <w:r w:rsidRPr="00CC19F7">
        <w:t xml:space="preserve"> nasjonalt og internasjonalt har </w:t>
      </w:r>
      <w:proofErr w:type="spellStart"/>
      <w:r w:rsidRPr="00CC19F7">
        <w:t>betydeleg</w:t>
      </w:r>
      <w:proofErr w:type="spellEnd"/>
      <w:r w:rsidRPr="00CC19F7">
        <w:t xml:space="preserve"> verknad på utbyggingskostnadene.</w:t>
      </w:r>
    </w:p>
    <w:p w14:paraId="6C1185B6" w14:textId="77777777" w:rsidR="00FE02EF" w:rsidRPr="00CC19F7" w:rsidRDefault="00881E58" w:rsidP="00CC19F7">
      <w:r w:rsidRPr="00CC19F7">
        <w:t xml:space="preserve">Dei siste åra har krona svekt seg. Målt i norske kroner har derfor </w:t>
      </w:r>
      <w:proofErr w:type="spellStart"/>
      <w:r w:rsidRPr="00CC19F7">
        <w:t>dei</w:t>
      </w:r>
      <w:proofErr w:type="spellEnd"/>
      <w:r w:rsidRPr="00CC19F7">
        <w:t xml:space="preserve"> </w:t>
      </w:r>
      <w:proofErr w:type="spellStart"/>
      <w:r w:rsidRPr="00CC19F7">
        <w:t>delane</w:t>
      </w:r>
      <w:proofErr w:type="spellEnd"/>
      <w:r w:rsidRPr="00CC19F7">
        <w:t xml:space="preserve"> av prosjektet der kostnadene har </w:t>
      </w:r>
      <w:proofErr w:type="spellStart"/>
      <w:r w:rsidRPr="00CC19F7">
        <w:t>vore</w:t>
      </w:r>
      <w:proofErr w:type="spellEnd"/>
      <w:r w:rsidRPr="00CC19F7">
        <w:t xml:space="preserve"> i </w:t>
      </w:r>
      <w:proofErr w:type="spellStart"/>
      <w:r w:rsidRPr="00CC19F7">
        <w:t>utanlandsk</w:t>
      </w:r>
      <w:proofErr w:type="spellEnd"/>
      <w:r w:rsidRPr="00CC19F7">
        <w:t xml:space="preserve"> valuta </w:t>
      </w:r>
      <w:proofErr w:type="spellStart"/>
      <w:r w:rsidRPr="00CC19F7">
        <w:t>auka</w:t>
      </w:r>
      <w:proofErr w:type="spellEnd"/>
      <w:r w:rsidRPr="00CC19F7">
        <w:t xml:space="preserve">. Dette </w:t>
      </w:r>
      <w:proofErr w:type="spellStart"/>
      <w:r w:rsidRPr="00CC19F7">
        <w:t>utgjer</w:t>
      </w:r>
      <w:proofErr w:type="spellEnd"/>
      <w:r w:rsidRPr="00CC19F7">
        <w:t xml:space="preserve"> </w:t>
      </w:r>
      <w:proofErr w:type="spellStart"/>
      <w:r w:rsidRPr="00CC19F7">
        <w:t>ein</w:t>
      </w:r>
      <w:proofErr w:type="spellEnd"/>
      <w:r w:rsidRPr="00CC19F7">
        <w:t xml:space="preserve"> </w:t>
      </w:r>
      <w:proofErr w:type="spellStart"/>
      <w:r w:rsidRPr="00CC19F7">
        <w:t>betydeleg</w:t>
      </w:r>
      <w:proofErr w:type="spellEnd"/>
      <w:r w:rsidRPr="00CC19F7">
        <w:t xml:space="preserve"> </w:t>
      </w:r>
      <w:proofErr w:type="spellStart"/>
      <w:r w:rsidRPr="00CC19F7">
        <w:t>auke</w:t>
      </w:r>
      <w:proofErr w:type="spellEnd"/>
      <w:r w:rsidRPr="00CC19F7">
        <w:t xml:space="preserve"> i investeringsanslaget for </w:t>
      </w:r>
      <w:proofErr w:type="spellStart"/>
      <w:r w:rsidRPr="00CC19F7">
        <w:t>fleire</w:t>
      </w:r>
      <w:proofErr w:type="spellEnd"/>
      <w:r w:rsidRPr="00CC19F7">
        <w:t xml:space="preserve"> prosjekt.</w:t>
      </w:r>
    </w:p>
    <w:p w14:paraId="77437885" w14:textId="77777777" w:rsidR="00FE02EF" w:rsidRPr="00CC19F7" w:rsidRDefault="00881E58" w:rsidP="00CC19F7">
      <w:pPr>
        <w:pStyle w:val="avsnitt-tittel"/>
      </w:pPr>
      <w:r w:rsidRPr="00CC19F7">
        <w:t>Status for utbyggingsprosjekta</w:t>
      </w:r>
    </w:p>
    <w:p w14:paraId="72738B9C" w14:textId="77777777" w:rsidR="00FE02EF" w:rsidRPr="00CC19F7" w:rsidRDefault="00881E58" w:rsidP="00CC19F7">
      <w:r w:rsidRPr="00CC19F7">
        <w:t xml:space="preserve">På investeringstidspunktet er det svært usikkert kor store kostnader og </w:t>
      </w:r>
      <w:proofErr w:type="spellStart"/>
      <w:r w:rsidRPr="00CC19F7">
        <w:t>investeringar</w:t>
      </w:r>
      <w:proofErr w:type="spellEnd"/>
      <w:r w:rsidRPr="00CC19F7">
        <w:t xml:space="preserve"> </w:t>
      </w:r>
      <w:proofErr w:type="spellStart"/>
      <w:r w:rsidRPr="00CC19F7">
        <w:t>eit</w:t>
      </w:r>
      <w:proofErr w:type="spellEnd"/>
      <w:r w:rsidRPr="00CC19F7">
        <w:t xml:space="preserve"> prosjekt faktisk vil medføre. Derfor har kostnadsanslaga i PUD/PAD </w:t>
      </w:r>
      <w:proofErr w:type="spellStart"/>
      <w:r w:rsidRPr="00CC19F7">
        <w:t>eit</w:t>
      </w:r>
      <w:proofErr w:type="spellEnd"/>
      <w:r w:rsidRPr="00CC19F7">
        <w:t xml:space="preserve"> </w:t>
      </w:r>
      <w:proofErr w:type="spellStart"/>
      <w:r w:rsidRPr="00CC19F7">
        <w:t>usikkerheitsspenn</w:t>
      </w:r>
      <w:proofErr w:type="spellEnd"/>
      <w:r w:rsidRPr="00CC19F7">
        <w:t xml:space="preserve"> på +/- 20 prosent. Erfaring </w:t>
      </w:r>
      <w:proofErr w:type="spellStart"/>
      <w:r w:rsidRPr="00CC19F7">
        <w:t>tilseier</w:t>
      </w:r>
      <w:proofErr w:type="spellEnd"/>
      <w:r w:rsidRPr="00CC19F7">
        <w:t xml:space="preserve"> at </w:t>
      </w:r>
      <w:proofErr w:type="spellStart"/>
      <w:r w:rsidRPr="00CC19F7">
        <w:t>dei</w:t>
      </w:r>
      <w:proofErr w:type="spellEnd"/>
      <w:r w:rsidRPr="00CC19F7">
        <w:t xml:space="preserve"> fleste </w:t>
      </w:r>
      <w:proofErr w:type="spellStart"/>
      <w:r w:rsidRPr="00CC19F7">
        <w:t>utbyggingane</w:t>
      </w:r>
      <w:proofErr w:type="spellEnd"/>
      <w:r w:rsidRPr="00CC19F7">
        <w:t xml:space="preserve"> på norsk sokkel </w:t>
      </w:r>
      <w:proofErr w:type="spellStart"/>
      <w:r w:rsidRPr="00CC19F7">
        <w:t>endar</w:t>
      </w:r>
      <w:proofErr w:type="spellEnd"/>
      <w:r w:rsidRPr="00CC19F7">
        <w:t xml:space="preserve"> </w:t>
      </w:r>
      <w:proofErr w:type="spellStart"/>
      <w:r w:rsidRPr="00CC19F7">
        <w:t>innanfor</w:t>
      </w:r>
      <w:proofErr w:type="spellEnd"/>
      <w:r w:rsidRPr="00CC19F7">
        <w:t xml:space="preserve"> </w:t>
      </w:r>
      <w:proofErr w:type="spellStart"/>
      <w:r w:rsidRPr="00CC19F7">
        <w:t>usikkerheitsspennet</w:t>
      </w:r>
      <w:proofErr w:type="spellEnd"/>
      <w:r w:rsidRPr="00CC19F7">
        <w:t xml:space="preserve"> i PUD/PAD.</w:t>
      </w:r>
    </w:p>
    <w:p w14:paraId="55BFE545" w14:textId="77777777" w:rsidR="00FE02EF" w:rsidRPr="00CC19F7" w:rsidRDefault="00881E58" w:rsidP="00CC19F7">
      <w:proofErr w:type="spellStart"/>
      <w:r w:rsidRPr="00CC19F7">
        <w:t>Eit</w:t>
      </w:r>
      <w:proofErr w:type="spellEnd"/>
      <w:r w:rsidRPr="00CC19F7">
        <w:t xml:space="preserve"> </w:t>
      </w:r>
      <w:proofErr w:type="spellStart"/>
      <w:r w:rsidRPr="00CC19F7">
        <w:t>høgare</w:t>
      </w:r>
      <w:proofErr w:type="spellEnd"/>
      <w:r w:rsidRPr="00CC19F7">
        <w:t xml:space="preserve"> investeringsnivå enn anslått i utbyggingsplanen er </w:t>
      </w:r>
      <w:proofErr w:type="spellStart"/>
      <w:r w:rsidRPr="00CC19F7">
        <w:t>ikkje</w:t>
      </w:r>
      <w:proofErr w:type="spellEnd"/>
      <w:r w:rsidRPr="00CC19F7">
        <w:t xml:space="preserve"> nødvendigvis negativt for </w:t>
      </w:r>
      <w:proofErr w:type="spellStart"/>
      <w:r w:rsidRPr="00CC19F7">
        <w:t>lønnsemda</w:t>
      </w:r>
      <w:proofErr w:type="spellEnd"/>
      <w:r w:rsidRPr="00CC19F7">
        <w:t xml:space="preserve"> i </w:t>
      </w:r>
      <w:proofErr w:type="spellStart"/>
      <w:r w:rsidRPr="00CC19F7">
        <w:t>eit</w:t>
      </w:r>
      <w:proofErr w:type="spellEnd"/>
      <w:r w:rsidRPr="00CC19F7">
        <w:t xml:space="preserve"> prosjekt. Dersom </w:t>
      </w:r>
      <w:proofErr w:type="spellStart"/>
      <w:r w:rsidRPr="00CC19F7">
        <w:t>dei</w:t>
      </w:r>
      <w:proofErr w:type="spellEnd"/>
      <w:r w:rsidRPr="00CC19F7">
        <w:t xml:space="preserve"> </w:t>
      </w:r>
      <w:proofErr w:type="spellStart"/>
      <w:r w:rsidRPr="00CC19F7">
        <w:t>auka</w:t>
      </w:r>
      <w:proofErr w:type="spellEnd"/>
      <w:r w:rsidRPr="00CC19F7">
        <w:t xml:space="preserve"> </w:t>
      </w:r>
      <w:proofErr w:type="spellStart"/>
      <w:r w:rsidRPr="00CC19F7">
        <w:t>investeringane</w:t>
      </w:r>
      <w:proofErr w:type="spellEnd"/>
      <w:r w:rsidRPr="00CC19F7">
        <w:t xml:space="preserve"> gir </w:t>
      </w:r>
      <w:proofErr w:type="spellStart"/>
      <w:r w:rsidRPr="00CC19F7">
        <w:t>høgare</w:t>
      </w:r>
      <w:proofErr w:type="spellEnd"/>
      <w:r w:rsidRPr="00CC19F7">
        <w:t xml:space="preserve"> inntekter, kan det </w:t>
      </w:r>
      <w:proofErr w:type="spellStart"/>
      <w:r w:rsidRPr="00CC19F7">
        <w:t>medverke</w:t>
      </w:r>
      <w:proofErr w:type="spellEnd"/>
      <w:r w:rsidRPr="00CC19F7">
        <w:t xml:space="preserve"> til større verdiskaping for prosjektet.</w:t>
      </w:r>
    </w:p>
    <w:p w14:paraId="3DCB5CD0" w14:textId="77777777" w:rsidR="00FE02EF" w:rsidRPr="00CC19F7" w:rsidRDefault="00881E58" w:rsidP="00CC19F7">
      <w:proofErr w:type="gramStart"/>
      <w:r w:rsidRPr="00CC19F7">
        <w:t>Ei oversikt</w:t>
      </w:r>
      <w:proofErr w:type="gramEnd"/>
      <w:r w:rsidRPr="00CC19F7">
        <w:t xml:space="preserve"> over forskjellen mellom investeringsanslaga til </w:t>
      </w:r>
      <w:proofErr w:type="spellStart"/>
      <w:r w:rsidRPr="00CC19F7">
        <w:t>operatørane</w:t>
      </w:r>
      <w:proofErr w:type="spellEnd"/>
      <w:r w:rsidRPr="00CC19F7">
        <w:t xml:space="preserve"> på tidspunktet for innlevering av den aktuelle utbyggingsplanen, anslaga </w:t>
      </w:r>
      <w:proofErr w:type="spellStart"/>
      <w:r w:rsidRPr="00CC19F7">
        <w:t>deira</w:t>
      </w:r>
      <w:proofErr w:type="spellEnd"/>
      <w:r w:rsidRPr="00CC19F7">
        <w:t xml:space="preserve"> per september 2023 og endringa i investeringsanslaga </w:t>
      </w:r>
      <w:proofErr w:type="spellStart"/>
      <w:r w:rsidRPr="00CC19F7">
        <w:t>sidan</w:t>
      </w:r>
      <w:proofErr w:type="spellEnd"/>
      <w:r w:rsidRPr="00CC19F7">
        <w:t xml:space="preserve"> fjorårets rapportering i </w:t>
      </w:r>
      <w:proofErr w:type="spellStart"/>
      <w:r w:rsidRPr="00CC19F7">
        <w:t>Prop</w:t>
      </w:r>
      <w:proofErr w:type="spellEnd"/>
      <w:r w:rsidRPr="00CC19F7">
        <w:t xml:space="preserve">. 1 S (2022–2023) </w:t>
      </w:r>
      <w:proofErr w:type="spellStart"/>
      <w:r w:rsidRPr="00CC19F7">
        <w:t>frå</w:t>
      </w:r>
      <w:proofErr w:type="spellEnd"/>
      <w:r w:rsidRPr="00CC19F7">
        <w:t xml:space="preserve"> Olje- og energidepartementet går fram av tabell 5.1 og 5.2.</w:t>
      </w:r>
    </w:p>
    <w:p w14:paraId="3DB45BBF" w14:textId="77777777" w:rsidR="00FE02EF" w:rsidRPr="00CC19F7" w:rsidRDefault="00881E58" w:rsidP="00CC19F7">
      <w:r w:rsidRPr="00CC19F7">
        <w:t xml:space="preserve">Samla sett har prosjekta som er under utbygging </w:t>
      </w:r>
      <w:proofErr w:type="spellStart"/>
      <w:r w:rsidRPr="00CC19F7">
        <w:t>no</w:t>
      </w:r>
      <w:proofErr w:type="spellEnd"/>
      <w:r w:rsidRPr="00CC19F7">
        <w:t xml:space="preserve">, anslåtte </w:t>
      </w:r>
      <w:proofErr w:type="spellStart"/>
      <w:r w:rsidRPr="00CC19F7">
        <w:t>investeringar</w:t>
      </w:r>
      <w:proofErr w:type="spellEnd"/>
      <w:r w:rsidRPr="00CC19F7">
        <w:t xml:space="preserve"> på om lag 494 mrd. 2023-kroner, mot 451 mrd. 2023-kroner på PUD/PAD-tidspunktet. Dette </w:t>
      </w:r>
      <w:proofErr w:type="spellStart"/>
      <w:r w:rsidRPr="00CC19F7">
        <w:t>utgjer</w:t>
      </w:r>
      <w:proofErr w:type="spellEnd"/>
      <w:r w:rsidRPr="00CC19F7">
        <w:t xml:space="preserve"> </w:t>
      </w:r>
      <w:proofErr w:type="spellStart"/>
      <w:r w:rsidRPr="00CC19F7">
        <w:t>ein</w:t>
      </w:r>
      <w:proofErr w:type="spellEnd"/>
      <w:r w:rsidRPr="00CC19F7">
        <w:t xml:space="preserve"> </w:t>
      </w:r>
      <w:proofErr w:type="spellStart"/>
      <w:r w:rsidRPr="00CC19F7">
        <w:t>auke</w:t>
      </w:r>
      <w:proofErr w:type="spellEnd"/>
      <w:r w:rsidRPr="00CC19F7">
        <w:t xml:space="preserve"> på om lag 10 prosent. </w:t>
      </w:r>
      <w:proofErr w:type="spellStart"/>
      <w:r w:rsidRPr="00CC19F7">
        <w:t>Tilsvarande</w:t>
      </w:r>
      <w:proofErr w:type="spellEnd"/>
      <w:r w:rsidRPr="00CC19F7">
        <w:t xml:space="preserve"> har prosjekta som er sette i produksjon det siste året, oppdaterte </w:t>
      </w:r>
      <w:proofErr w:type="spellStart"/>
      <w:r w:rsidRPr="00CC19F7">
        <w:t>investeringar</w:t>
      </w:r>
      <w:proofErr w:type="spellEnd"/>
      <w:r w:rsidRPr="00CC19F7">
        <w:t xml:space="preserve"> på om lag 113 mrd. 2023-kroner, mot om lag 94 mrd. 2023-kroner på PUD/PAD-tidspunktet. Dette </w:t>
      </w:r>
      <w:proofErr w:type="spellStart"/>
      <w:r w:rsidRPr="00CC19F7">
        <w:t>utgjer</w:t>
      </w:r>
      <w:proofErr w:type="spellEnd"/>
      <w:r w:rsidRPr="00CC19F7">
        <w:t xml:space="preserve"> </w:t>
      </w:r>
      <w:proofErr w:type="spellStart"/>
      <w:r w:rsidRPr="00CC19F7">
        <w:t>ein</w:t>
      </w:r>
      <w:proofErr w:type="spellEnd"/>
      <w:r w:rsidRPr="00CC19F7">
        <w:t xml:space="preserve"> </w:t>
      </w:r>
      <w:proofErr w:type="spellStart"/>
      <w:r w:rsidRPr="00CC19F7">
        <w:t>auke</w:t>
      </w:r>
      <w:proofErr w:type="spellEnd"/>
      <w:r w:rsidRPr="00CC19F7">
        <w:t xml:space="preserve"> på om lag 20 prosent.</w:t>
      </w:r>
    </w:p>
    <w:p w14:paraId="4B309377" w14:textId="77777777" w:rsidR="00FE02EF" w:rsidRPr="00CC19F7" w:rsidRDefault="00881E58" w:rsidP="00CC19F7">
      <w:r w:rsidRPr="00CC19F7">
        <w:t xml:space="preserve">28 av </w:t>
      </w:r>
      <w:proofErr w:type="spellStart"/>
      <w:r w:rsidRPr="00CC19F7">
        <w:t>dei</w:t>
      </w:r>
      <w:proofErr w:type="spellEnd"/>
      <w:r w:rsidRPr="00CC19F7">
        <w:t xml:space="preserve"> 32 prosjekta som </w:t>
      </w:r>
      <w:proofErr w:type="spellStart"/>
      <w:r w:rsidRPr="00CC19F7">
        <w:t>no</w:t>
      </w:r>
      <w:proofErr w:type="spellEnd"/>
      <w:r w:rsidRPr="00CC19F7">
        <w:t xml:space="preserve"> er under utbygging eller har komme i produksjon etter rapporteringa i fjor, har kostnadsanslag som er </w:t>
      </w:r>
      <w:proofErr w:type="spellStart"/>
      <w:r w:rsidRPr="00CC19F7">
        <w:t>innanfor</w:t>
      </w:r>
      <w:proofErr w:type="spellEnd"/>
      <w:r w:rsidRPr="00CC19F7">
        <w:t xml:space="preserve"> </w:t>
      </w:r>
      <w:proofErr w:type="spellStart"/>
      <w:r w:rsidRPr="00CC19F7">
        <w:t>usikkerheitsspennet</w:t>
      </w:r>
      <w:proofErr w:type="spellEnd"/>
      <w:r w:rsidRPr="00CC19F7">
        <w:t xml:space="preserve"> </w:t>
      </w:r>
      <w:proofErr w:type="spellStart"/>
      <w:r w:rsidRPr="00CC19F7">
        <w:t>frå</w:t>
      </w:r>
      <w:proofErr w:type="spellEnd"/>
      <w:r w:rsidRPr="00CC19F7">
        <w:t xml:space="preserve"> utbyggingsplanen. Prosjekta Johan Castberg, Njord </w:t>
      </w:r>
      <w:proofErr w:type="spellStart"/>
      <w:r w:rsidRPr="00CC19F7">
        <w:t>Future</w:t>
      </w:r>
      <w:proofErr w:type="spellEnd"/>
      <w:r w:rsidRPr="00CC19F7">
        <w:t xml:space="preserve">, Balder </w:t>
      </w:r>
      <w:proofErr w:type="spellStart"/>
      <w:r w:rsidRPr="00CC19F7">
        <w:t>Future</w:t>
      </w:r>
      <w:proofErr w:type="spellEnd"/>
      <w:r w:rsidRPr="00CC19F7">
        <w:t xml:space="preserve"> og </w:t>
      </w:r>
      <w:proofErr w:type="spellStart"/>
      <w:r w:rsidRPr="00CC19F7">
        <w:t>Hywind</w:t>
      </w:r>
      <w:proofErr w:type="spellEnd"/>
      <w:r w:rsidRPr="00CC19F7">
        <w:t xml:space="preserve"> Tampen ligg på oversida av </w:t>
      </w:r>
      <w:proofErr w:type="spellStart"/>
      <w:r w:rsidRPr="00CC19F7">
        <w:t>usikkerheitsspennet</w:t>
      </w:r>
      <w:proofErr w:type="spellEnd"/>
      <w:r w:rsidRPr="00CC19F7">
        <w:t>.</w:t>
      </w:r>
    </w:p>
    <w:p w14:paraId="21961758" w14:textId="77777777" w:rsidR="00FE02EF" w:rsidRPr="00CC19F7" w:rsidRDefault="00881E58" w:rsidP="00CC19F7">
      <w:r w:rsidRPr="00CC19F7">
        <w:t xml:space="preserve">Basert på innrapporteringa har departementet berekna verdien av å føre </w:t>
      </w:r>
      <w:proofErr w:type="spellStart"/>
      <w:r w:rsidRPr="00CC19F7">
        <w:t>vidare</w:t>
      </w:r>
      <w:proofErr w:type="spellEnd"/>
      <w:r w:rsidRPr="00CC19F7">
        <w:t xml:space="preserve"> prosjekta og internrenta for den samla prosjektporteføljen. I </w:t>
      </w:r>
      <w:proofErr w:type="spellStart"/>
      <w:r w:rsidRPr="00CC19F7">
        <w:t>berekningane</w:t>
      </w:r>
      <w:proofErr w:type="spellEnd"/>
      <w:r w:rsidRPr="00CC19F7">
        <w:t xml:space="preserve"> er Olje- og energidepartementet sine eigne prisanslag for olje og gass lagt til grunn.</w:t>
      </w:r>
      <w:r w:rsidRPr="00CC19F7">
        <w:rPr>
          <w:rStyle w:val="Fotnotereferanse"/>
        </w:rPr>
        <w:footnoteReference w:id="7"/>
      </w:r>
    </w:p>
    <w:p w14:paraId="160A6004" w14:textId="77777777" w:rsidR="00FE02EF" w:rsidRPr="00CC19F7" w:rsidRDefault="00881E58" w:rsidP="00CC19F7">
      <w:r w:rsidRPr="00CC19F7">
        <w:t xml:space="preserve">Verdien av å føre </w:t>
      </w:r>
      <w:proofErr w:type="spellStart"/>
      <w:r w:rsidRPr="00CC19F7">
        <w:t>vidare</w:t>
      </w:r>
      <w:proofErr w:type="spellEnd"/>
      <w:r w:rsidRPr="00CC19F7">
        <w:t xml:space="preserve"> prosjektporteføljen er berekna ut </w:t>
      </w:r>
      <w:proofErr w:type="spellStart"/>
      <w:r w:rsidRPr="00CC19F7">
        <w:t>frå</w:t>
      </w:r>
      <w:proofErr w:type="spellEnd"/>
      <w:r w:rsidRPr="00CC19F7">
        <w:t xml:space="preserve"> </w:t>
      </w:r>
      <w:proofErr w:type="spellStart"/>
      <w:r w:rsidRPr="00CC19F7">
        <w:t>noverdien</w:t>
      </w:r>
      <w:proofErr w:type="spellEnd"/>
      <w:r w:rsidRPr="00CC19F7">
        <w:t xml:space="preserve"> av </w:t>
      </w:r>
      <w:proofErr w:type="spellStart"/>
      <w:r w:rsidRPr="00CC19F7">
        <w:t>dei</w:t>
      </w:r>
      <w:proofErr w:type="spellEnd"/>
      <w:r w:rsidRPr="00CC19F7">
        <w:t xml:space="preserve"> framtidige forventa </w:t>
      </w:r>
      <w:proofErr w:type="spellStart"/>
      <w:r w:rsidRPr="00CC19F7">
        <w:t>kontantstraumane</w:t>
      </w:r>
      <w:proofErr w:type="spellEnd"/>
      <w:r w:rsidRPr="00CC19F7">
        <w:t xml:space="preserve"> </w:t>
      </w:r>
      <w:proofErr w:type="spellStart"/>
      <w:r w:rsidRPr="00CC19F7">
        <w:t>frå</w:t>
      </w:r>
      <w:proofErr w:type="spellEnd"/>
      <w:r w:rsidRPr="00CC19F7">
        <w:t xml:space="preserve"> prosjekta. Historiske </w:t>
      </w:r>
      <w:proofErr w:type="spellStart"/>
      <w:r w:rsidRPr="00CC19F7">
        <w:t>kontantstraumar</w:t>
      </w:r>
      <w:proofErr w:type="spellEnd"/>
      <w:r w:rsidRPr="00CC19F7">
        <w:t xml:space="preserve"> blir da </w:t>
      </w:r>
      <w:proofErr w:type="spellStart"/>
      <w:r w:rsidRPr="00CC19F7">
        <w:t>ikkje</w:t>
      </w:r>
      <w:proofErr w:type="spellEnd"/>
      <w:r w:rsidRPr="00CC19F7">
        <w:t xml:space="preserve"> tatt med da </w:t>
      </w:r>
      <w:proofErr w:type="spellStart"/>
      <w:r w:rsidRPr="00CC19F7">
        <w:t>dei</w:t>
      </w:r>
      <w:proofErr w:type="spellEnd"/>
      <w:r w:rsidRPr="00CC19F7">
        <w:t xml:space="preserve"> </w:t>
      </w:r>
      <w:proofErr w:type="spellStart"/>
      <w:r w:rsidRPr="00CC19F7">
        <w:t>ikkje</w:t>
      </w:r>
      <w:proofErr w:type="spellEnd"/>
      <w:r w:rsidRPr="00CC19F7">
        <w:t xml:space="preserve"> kan påverkast. Samla har prosjekta </w:t>
      </w:r>
      <w:proofErr w:type="spellStart"/>
      <w:r w:rsidRPr="00CC19F7">
        <w:t>ein</w:t>
      </w:r>
      <w:proofErr w:type="spellEnd"/>
      <w:r w:rsidRPr="00CC19F7">
        <w:t xml:space="preserve"> berekna </w:t>
      </w:r>
      <w:proofErr w:type="spellStart"/>
      <w:r w:rsidRPr="00CC19F7">
        <w:t>noverdi</w:t>
      </w:r>
      <w:proofErr w:type="spellEnd"/>
      <w:r w:rsidRPr="00CC19F7">
        <w:t xml:space="preserve"> framover på om lag 1 600 mrd. kroner med 7 prosent kalkulasjonsrente reelt før skatt, og om lag 1 900 mrd. kroner med 4 prosent kalkulasjonsrente.</w:t>
      </w:r>
    </w:p>
    <w:p w14:paraId="27123326" w14:textId="632681CF" w:rsidR="00FE02EF" w:rsidRDefault="00881E58" w:rsidP="00CC19F7">
      <w:r w:rsidRPr="00CC19F7">
        <w:t xml:space="preserve">Internrenta er </w:t>
      </w:r>
      <w:proofErr w:type="spellStart"/>
      <w:r w:rsidRPr="00CC19F7">
        <w:t>eit</w:t>
      </w:r>
      <w:proofErr w:type="spellEnd"/>
      <w:r w:rsidRPr="00CC19F7">
        <w:t xml:space="preserve"> prosentmål på avkastning for ei investering. Dei historiske </w:t>
      </w:r>
      <w:proofErr w:type="spellStart"/>
      <w:r w:rsidRPr="00CC19F7">
        <w:t>kontantstraumane</w:t>
      </w:r>
      <w:proofErr w:type="spellEnd"/>
      <w:r w:rsidRPr="00CC19F7">
        <w:t xml:space="preserve"> er </w:t>
      </w:r>
      <w:proofErr w:type="spellStart"/>
      <w:r w:rsidRPr="00CC19F7">
        <w:t>kjende</w:t>
      </w:r>
      <w:proofErr w:type="spellEnd"/>
      <w:r w:rsidRPr="00CC19F7">
        <w:t xml:space="preserve">, </w:t>
      </w:r>
      <w:proofErr w:type="spellStart"/>
      <w:r w:rsidRPr="00CC19F7">
        <w:t>medan</w:t>
      </w:r>
      <w:proofErr w:type="spellEnd"/>
      <w:r w:rsidRPr="00CC19F7">
        <w:t xml:space="preserve"> </w:t>
      </w:r>
      <w:proofErr w:type="spellStart"/>
      <w:r w:rsidRPr="00CC19F7">
        <w:t>dei</w:t>
      </w:r>
      <w:proofErr w:type="spellEnd"/>
      <w:r w:rsidRPr="00CC19F7">
        <w:t xml:space="preserve"> framtidige er anslått basert på oppdaterte </w:t>
      </w:r>
      <w:proofErr w:type="spellStart"/>
      <w:r w:rsidRPr="00CC19F7">
        <w:t>forventningar</w:t>
      </w:r>
      <w:proofErr w:type="spellEnd"/>
      <w:r w:rsidRPr="00CC19F7">
        <w:t xml:space="preserve"> </w:t>
      </w:r>
      <w:proofErr w:type="spellStart"/>
      <w:r w:rsidRPr="00CC19F7">
        <w:t>frå</w:t>
      </w:r>
      <w:proofErr w:type="spellEnd"/>
      <w:r w:rsidRPr="00CC19F7">
        <w:t xml:space="preserve"> </w:t>
      </w:r>
      <w:proofErr w:type="spellStart"/>
      <w:r w:rsidRPr="00CC19F7">
        <w:t>operatørane</w:t>
      </w:r>
      <w:proofErr w:type="spellEnd"/>
      <w:r w:rsidRPr="00CC19F7">
        <w:t xml:space="preserve">. Internrenta til den samla porteføljen av prosjekt under utbygging </w:t>
      </w:r>
      <w:proofErr w:type="spellStart"/>
      <w:r w:rsidRPr="00CC19F7">
        <w:t>frå</w:t>
      </w:r>
      <w:proofErr w:type="spellEnd"/>
      <w:r w:rsidRPr="00CC19F7">
        <w:t xml:space="preserve"> tidspunktet </w:t>
      </w:r>
      <w:proofErr w:type="spellStart"/>
      <w:r w:rsidRPr="00CC19F7">
        <w:t>utbyggingsplanane</w:t>
      </w:r>
      <w:proofErr w:type="spellEnd"/>
      <w:r w:rsidRPr="00CC19F7">
        <w:t xml:space="preserve"> blei levert er berekna til om lag 34 prosent.</w:t>
      </w:r>
    </w:p>
    <w:p w14:paraId="574ECD58" w14:textId="05289F6F" w:rsidR="00A06A7F" w:rsidRPr="00CC19F7" w:rsidRDefault="00A06A7F" w:rsidP="00A06A7F">
      <w:pPr>
        <w:pStyle w:val="tabell-tittel"/>
      </w:pPr>
      <w:r w:rsidRPr="00CC19F7">
        <w:t xml:space="preserve">Investeringsanslag, prosjekt under utbygging </w:t>
      </w:r>
      <w:proofErr w:type="spellStart"/>
      <w:r w:rsidRPr="00CC19F7">
        <w:t>godkjende</w:t>
      </w:r>
      <w:proofErr w:type="spellEnd"/>
      <w:r w:rsidRPr="00CC19F7">
        <w:t xml:space="preserve"> 1. september 2023</w:t>
      </w:r>
    </w:p>
    <w:p w14:paraId="00410D67" w14:textId="77777777" w:rsidR="00FE02EF" w:rsidRPr="00CC19F7" w:rsidRDefault="00881E58" w:rsidP="00CC19F7">
      <w:pPr>
        <w:pStyle w:val="Tabellnavn"/>
      </w:pPr>
      <w:r w:rsidRPr="00CC19F7">
        <w:t>07J2xt2</w:t>
      </w:r>
    </w:p>
    <w:tbl>
      <w:tblPr>
        <w:tblW w:w="9580" w:type="dxa"/>
        <w:tblInd w:w="43" w:type="dxa"/>
        <w:tblLayout w:type="fixed"/>
        <w:tblCellMar>
          <w:top w:w="128" w:type="dxa"/>
          <w:left w:w="43" w:type="dxa"/>
          <w:bottom w:w="43" w:type="dxa"/>
          <w:right w:w="43" w:type="dxa"/>
        </w:tblCellMar>
        <w:tblLook w:val="0000" w:firstRow="0" w:lastRow="0" w:firstColumn="0" w:lastColumn="0" w:noHBand="0" w:noVBand="0"/>
      </w:tblPr>
      <w:tblGrid>
        <w:gridCol w:w="2651"/>
        <w:gridCol w:w="1275"/>
        <w:gridCol w:w="1154"/>
        <w:gridCol w:w="973"/>
        <w:gridCol w:w="1134"/>
        <w:gridCol w:w="992"/>
        <w:gridCol w:w="1401"/>
      </w:tblGrid>
      <w:tr w:rsidR="00FE02EF" w:rsidRPr="00CC19F7" w14:paraId="78439B9E" w14:textId="77777777" w:rsidTr="00A06A7F">
        <w:trPr>
          <w:trHeight w:val="360"/>
        </w:trPr>
        <w:tc>
          <w:tcPr>
            <w:tcW w:w="2651" w:type="dxa"/>
            <w:tcBorders>
              <w:top w:val="nil"/>
              <w:left w:val="nil"/>
              <w:bottom w:val="single" w:sz="4" w:space="0" w:color="000000"/>
              <w:right w:val="nil"/>
            </w:tcBorders>
            <w:tcMar>
              <w:top w:w="128" w:type="dxa"/>
              <w:left w:w="43" w:type="dxa"/>
              <w:bottom w:w="43" w:type="dxa"/>
              <w:right w:w="43" w:type="dxa"/>
            </w:tcMar>
            <w:vAlign w:val="bottom"/>
          </w:tcPr>
          <w:p w14:paraId="6124A104" w14:textId="77777777" w:rsidR="00FE02EF" w:rsidRPr="00CC19F7" w:rsidRDefault="00FE02EF" w:rsidP="00A06A7F"/>
        </w:tc>
        <w:tc>
          <w:tcPr>
            <w:tcW w:w="1275" w:type="dxa"/>
            <w:tcBorders>
              <w:top w:val="nil"/>
              <w:left w:val="nil"/>
              <w:bottom w:val="single" w:sz="4" w:space="0" w:color="000000"/>
              <w:right w:val="nil"/>
            </w:tcBorders>
            <w:tcMar>
              <w:top w:w="128" w:type="dxa"/>
              <w:left w:w="43" w:type="dxa"/>
              <w:bottom w:w="43" w:type="dxa"/>
              <w:right w:w="43" w:type="dxa"/>
            </w:tcMar>
            <w:vAlign w:val="bottom"/>
          </w:tcPr>
          <w:p w14:paraId="5541EDBE" w14:textId="77777777" w:rsidR="00FE02EF" w:rsidRPr="00CC19F7" w:rsidRDefault="00881E58" w:rsidP="00A06A7F">
            <w:pPr>
              <w:jc w:val="right"/>
            </w:pPr>
            <w:r w:rsidRPr="00CC19F7">
              <w:t xml:space="preserve"> </w:t>
            </w:r>
          </w:p>
        </w:tc>
        <w:tc>
          <w:tcPr>
            <w:tcW w:w="1154" w:type="dxa"/>
            <w:tcBorders>
              <w:top w:val="nil"/>
              <w:left w:val="nil"/>
              <w:bottom w:val="single" w:sz="4" w:space="0" w:color="000000"/>
              <w:right w:val="nil"/>
            </w:tcBorders>
            <w:tcMar>
              <w:top w:w="128" w:type="dxa"/>
              <w:left w:w="43" w:type="dxa"/>
              <w:bottom w:w="43" w:type="dxa"/>
              <w:right w:w="43" w:type="dxa"/>
            </w:tcMar>
            <w:vAlign w:val="bottom"/>
          </w:tcPr>
          <w:p w14:paraId="5D4A8350" w14:textId="77777777" w:rsidR="00FE02EF" w:rsidRPr="00CC19F7" w:rsidRDefault="00881E58" w:rsidP="00A06A7F">
            <w:pPr>
              <w:jc w:val="right"/>
            </w:pPr>
            <w:r w:rsidRPr="00CC19F7">
              <w:t xml:space="preserve"> </w:t>
            </w:r>
          </w:p>
        </w:tc>
        <w:tc>
          <w:tcPr>
            <w:tcW w:w="973" w:type="dxa"/>
            <w:tcBorders>
              <w:top w:val="nil"/>
              <w:left w:val="nil"/>
              <w:bottom w:val="single" w:sz="4" w:space="0" w:color="000000"/>
              <w:right w:val="nil"/>
            </w:tcBorders>
            <w:tcMar>
              <w:top w:w="128" w:type="dxa"/>
              <w:left w:w="43" w:type="dxa"/>
              <w:bottom w:w="43" w:type="dxa"/>
              <w:right w:w="43" w:type="dxa"/>
            </w:tcMar>
            <w:vAlign w:val="bottom"/>
          </w:tcPr>
          <w:p w14:paraId="0E9C867B" w14:textId="77777777" w:rsidR="00FE02EF" w:rsidRPr="00CC19F7" w:rsidRDefault="00881E58" w:rsidP="00A06A7F">
            <w:pPr>
              <w:jc w:val="right"/>
            </w:pPr>
            <w:r w:rsidRPr="00CC19F7">
              <w:t xml:space="preserve"> </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25DFDE2C" w14:textId="77777777" w:rsidR="00FE02EF" w:rsidRPr="00CC19F7" w:rsidRDefault="00881E58" w:rsidP="00A06A7F">
            <w:pPr>
              <w:jc w:val="right"/>
            </w:pPr>
            <w:r w:rsidRPr="00CC19F7">
              <w:t xml:space="preserve"> </w:t>
            </w:r>
          </w:p>
        </w:tc>
        <w:tc>
          <w:tcPr>
            <w:tcW w:w="2393" w:type="dxa"/>
            <w:gridSpan w:val="2"/>
            <w:tcBorders>
              <w:top w:val="nil"/>
              <w:left w:val="nil"/>
              <w:bottom w:val="single" w:sz="4" w:space="0" w:color="000000"/>
              <w:right w:val="nil"/>
            </w:tcBorders>
            <w:tcMar>
              <w:top w:w="128" w:type="dxa"/>
              <w:left w:w="43" w:type="dxa"/>
              <w:bottom w:w="43" w:type="dxa"/>
              <w:right w:w="43" w:type="dxa"/>
            </w:tcMar>
            <w:vAlign w:val="bottom"/>
          </w:tcPr>
          <w:p w14:paraId="185B0E63" w14:textId="77777777" w:rsidR="00FE02EF" w:rsidRPr="00CC19F7" w:rsidRDefault="00881E58" w:rsidP="00A06A7F">
            <w:pPr>
              <w:jc w:val="right"/>
            </w:pPr>
            <w:r w:rsidRPr="00CC19F7">
              <w:t>(i mrd. 2023-kroner)</w:t>
            </w:r>
          </w:p>
        </w:tc>
      </w:tr>
      <w:tr w:rsidR="00FE02EF" w:rsidRPr="00CC19F7" w14:paraId="5CF55AF4" w14:textId="77777777" w:rsidTr="00A06A7F">
        <w:trPr>
          <w:trHeight w:val="600"/>
        </w:trPr>
        <w:tc>
          <w:tcPr>
            <w:tcW w:w="2651" w:type="dxa"/>
            <w:tcBorders>
              <w:top w:val="nil"/>
              <w:left w:val="nil"/>
              <w:bottom w:val="single" w:sz="4" w:space="0" w:color="000000"/>
              <w:right w:val="nil"/>
            </w:tcBorders>
            <w:tcMar>
              <w:top w:w="128" w:type="dxa"/>
              <w:left w:w="43" w:type="dxa"/>
              <w:bottom w:w="43" w:type="dxa"/>
              <w:right w:w="43" w:type="dxa"/>
            </w:tcMar>
            <w:vAlign w:val="bottom"/>
          </w:tcPr>
          <w:p w14:paraId="54B5EA51" w14:textId="77777777" w:rsidR="00FE02EF" w:rsidRPr="00CC19F7" w:rsidRDefault="00881E58" w:rsidP="00A06A7F">
            <w:r w:rsidRPr="00CC19F7">
              <w:t xml:space="preserve"> </w:t>
            </w:r>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61EB113F" w14:textId="77777777" w:rsidR="00FE02EF" w:rsidRPr="00CC19F7" w:rsidRDefault="00881E58" w:rsidP="00A06A7F">
            <w:pPr>
              <w:jc w:val="right"/>
            </w:pPr>
            <w:r w:rsidRPr="00CC19F7">
              <w:t xml:space="preserve">PUD/PAD- </w:t>
            </w:r>
            <w:proofErr w:type="spellStart"/>
            <w:r w:rsidRPr="00CC19F7">
              <w:t>godkjend</w:t>
            </w:r>
            <w:proofErr w:type="spellEnd"/>
          </w:p>
        </w:tc>
        <w:tc>
          <w:tcPr>
            <w:tcW w:w="1154" w:type="dxa"/>
            <w:tcBorders>
              <w:top w:val="nil"/>
              <w:left w:val="nil"/>
              <w:bottom w:val="single" w:sz="4" w:space="0" w:color="000000"/>
              <w:right w:val="nil"/>
            </w:tcBorders>
            <w:tcMar>
              <w:top w:w="128" w:type="dxa"/>
              <w:left w:w="43" w:type="dxa"/>
              <w:bottom w:w="43" w:type="dxa"/>
              <w:right w:w="43" w:type="dxa"/>
            </w:tcMar>
            <w:vAlign w:val="bottom"/>
          </w:tcPr>
          <w:p w14:paraId="12018657" w14:textId="77777777" w:rsidR="00FE02EF" w:rsidRPr="00CC19F7" w:rsidRDefault="00881E58" w:rsidP="00A06A7F">
            <w:pPr>
              <w:jc w:val="right"/>
            </w:pPr>
            <w:r w:rsidRPr="00CC19F7">
              <w:t>PUD/PAD-estimat</w:t>
            </w:r>
          </w:p>
        </w:tc>
        <w:tc>
          <w:tcPr>
            <w:tcW w:w="973" w:type="dxa"/>
            <w:tcBorders>
              <w:top w:val="nil"/>
              <w:left w:val="nil"/>
              <w:bottom w:val="single" w:sz="4" w:space="0" w:color="000000"/>
              <w:right w:val="nil"/>
            </w:tcBorders>
            <w:tcMar>
              <w:top w:w="128" w:type="dxa"/>
              <w:left w:w="43" w:type="dxa"/>
              <w:bottom w:w="43" w:type="dxa"/>
              <w:right w:w="43" w:type="dxa"/>
            </w:tcMar>
            <w:vAlign w:val="bottom"/>
          </w:tcPr>
          <w:p w14:paraId="5F8B7306" w14:textId="77777777" w:rsidR="00FE02EF" w:rsidRPr="00CC19F7" w:rsidRDefault="00881E58" w:rsidP="00A06A7F">
            <w:pPr>
              <w:jc w:val="right"/>
            </w:pPr>
            <w:r w:rsidRPr="00CC19F7">
              <w:t>Nye</w:t>
            </w:r>
            <w:r w:rsidRPr="00CC19F7">
              <w:br/>
              <w:t xml:space="preserve"> anslag</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03C88899" w14:textId="77777777" w:rsidR="00FE02EF" w:rsidRPr="00CC19F7" w:rsidRDefault="00881E58" w:rsidP="00A06A7F">
            <w:pPr>
              <w:jc w:val="right"/>
            </w:pPr>
            <w:r w:rsidRPr="00CC19F7">
              <w:t>Endring</w:t>
            </w:r>
            <w:r w:rsidRPr="00CC19F7">
              <w:br/>
              <w:t xml:space="preserve"> </w:t>
            </w:r>
            <w:proofErr w:type="spellStart"/>
            <w:r w:rsidRPr="00CC19F7">
              <w:t>frå</w:t>
            </w:r>
            <w:proofErr w:type="spellEnd"/>
            <w:r w:rsidRPr="00CC19F7">
              <w:t xml:space="preserve"> i fjor</w:t>
            </w:r>
          </w:p>
        </w:tc>
        <w:tc>
          <w:tcPr>
            <w:tcW w:w="992" w:type="dxa"/>
            <w:tcBorders>
              <w:top w:val="nil"/>
              <w:left w:val="nil"/>
              <w:bottom w:val="single" w:sz="4" w:space="0" w:color="000000"/>
              <w:right w:val="nil"/>
            </w:tcBorders>
            <w:tcMar>
              <w:top w:w="128" w:type="dxa"/>
              <w:left w:w="43" w:type="dxa"/>
              <w:bottom w:w="43" w:type="dxa"/>
              <w:right w:w="43" w:type="dxa"/>
            </w:tcMar>
            <w:vAlign w:val="bottom"/>
          </w:tcPr>
          <w:p w14:paraId="3F2CF9C6" w14:textId="77777777" w:rsidR="00FE02EF" w:rsidRPr="00CC19F7" w:rsidRDefault="00881E58" w:rsidP="00A06A7F">
            <w:pPr>
              <w:jc w:val="right"/>
            </w:pPr>
            <w:r w:rsidRPr="00CC19F7">
              <w:t>Totalendring</w:t>
            </w:r>
          </w:p>
        </w:tc>
        <w:tc>
          <w:tcPr>
            <w:tcW w:w="1401" w:type="dxa"/>
            <w:tcBorders>
              <w:top w:val="nil"/>
              <w:left w:val="nil"/>
              <w:bottom w:val="single" w:sz="4" w:space="0" w:color="000000"/>
              <w:right w:val="nil"/>
            </w:tcBorders>
            <w:tcMar>
              <w:top w:w="128" w:type="dxa"/>
              <w:left w:w="43" w:type="dxa"/>
              <w:bottom w:w="43" w:type="dxa"/>
              <w:right w:w="43" w:type="dxa"/>
            </w:tcMar>
            <w:vAlign w:val="bottom"/>
          </w:tcPr>
          <w:p w14:paraId="3B76F081" w14:textId="77777777" w:rsidR="00FE02EF" w:rsidRPr="00CC19F7" w:rsidRDefault="00881E58" w:rsidP="00A06A7F">
            <w:pPr>
              <w:jc w:val="right"/>
            </w:pPr>
            <w:r w:rsidRPr="00CC19F7">
              <w:t>Totalendring i prosent</w:t>
            </w:r>
          </w:p>
        </w:tc>
      </w:tr>
      <w:tr w:rsidR="00FE02EF" w:rsidRPr="00CC19F7" w14:paraId="66246E05" w14:textId="77777777" w:rsidTr="00A06A7F">
        <w:trPr>
          <w:trHeight w:val="380"/>
        </w:trPr>
        <w:tc>
          <w:tcPr>
            <w:tcW w:w="2651" w:type="dxa"/>
            <w:tcBorders>
              <w:top w:val="single" w:sz="4" w:space="0" w:color="000000"/>
              <w:left w:val="nil"/>
              <w:bottom w:val="nil"/>
              <w:right w:val="nil"/>
            </w:tcBorders>
            <w:tcMar>
              <w:top w:w="128" w:type="dxa"/>
              <w:left w:w="43" w:type="dxa"/>
              <w:bottom w:w="43" w:type="dxa"/>
              <w:right w:w="43" w:type="dxa"/>
            </w:tcMar>
          </w:tcPr>
          <w:p w14:paraId="4BAF3787" w14:textId="77777777" w:rsidR="00FE02EF" w:rsidRPr="00CC19F7" w:rsidRDefault="00881E58" w:rsidP="00A06A7F">
            <w:r w:rsidRPr="00CC19F7">
              <w:t>Johan Castberg</w:t>
            </w:r>
          </w:p>
        </w:tc>
        <w:tc>
          <w:tcPr>
            <w:tcW w:w="1275" w:type="dxa"/>
            <w:tcBorders>
              <w:top w:val="single" w:sz="4" w:space="0" w:color="000000"/>
              <w:left w:val="nil"/>
              <w:bottom w:val="nil"/>
              <w:right w:val="nil"/>
            </w:tcBorders>
            <w:tcMar>
              <w:top w:w="128" w:type="dxa"/>
              <w:left w:w="43" w:type="dxa"/>
              <w:bottom w:w="43" w:type="dxa"/>
              <w:right w:w="43" w:type="dxa"/>
            </w:tcMar>
            <w:vAlign w:val="bottom"/>
          </w:tcPr>
          <w:p w14:paraId="1BF21DAC" w14:textId="77777777" w:rsidR="00FE02EF" w:rsidRPr="00CC19F7" w:rsidRDefault="00881E58" w:rsidP="00A06A7F">
            <w:pPr>
              <w:jc w:val="right"/>
            </w:pPr>
            <w:r w:rsidRPr="00CC19F7">
              <w:t>2018</w:t>
            </w:r>
          </w:p>
        </w:tc>
        <w:tc>
          <w:tcPr>
            <w:tcW w:w="1154" w:type="dxa"/>
            <w:tcBorders>
              <w:top w:val="single" w:sz="4" w:space="0" w:color="000000"/>
              <w:left w:val="nil"/>
              <w:bottom w:val="nil"/>
              <w:right w:val="nil"/>
            </w:tcBorders>
            <w:tcMar>
              <w:top w:w="128" w:type="dxa"/>
              <w:left w:w="43" w:type="dxa"/>
              <w:bottom w:w="43" w:type="dxa"/>
              <w:right w:w="43" w:type="dxa"/>
            </w:tcMar>
            <w:vAlign w:val="bottom"/>
          </w:tcPr>
          <w:p w14:paraId="32690AFB" w14:textId="77777777" w:rsidR="00FE02EF" w:rsidRPr="00CC19F7" w:rsidRDefault="00881E58" w:rsidP="00A06A7F">
            <w:pPr>
              <w:jc w:val="right"/>
            </w:pPr>
            <w:r w:rsidRPr="00CC19F7">
              <w:t>57,7</w:t>
            </w:r>
          </w:p>
        </w:tc>
        <w:tc>
          <w:tcPr>
            <w:tcW w:w="973" w:type="dxa"/>
            <w:tcBorders>
              <w:top w:val="single" w:sz="4" w:space="0" w:color="000000"/>
              <w:left w:val="nil"/>
              <w:bottom w:val="nil"/>
              <w:right w:val="nil"/>
            </w:tcBorders>
            <w:tcMar>
              <w:top w:w="128" w:type="dxa"/>
              <w:left w:w="43" w:type="dxa"/>
              <w:bottom w:w="43" w:type="dxa"/>
              <w:right w:w="43" w:type="dxa"/>
            </w:tcMar>
            <w:vAlign w:val="bottom"/>
          </w:tcPr>
          <w:p w14:paraId="02D6FB35" w14:textId="77777777" w:rsidR="00FE02EF" w:rsidRPr="00CC19F7" w:rsidRDefault="00881E58" w:rsidP="00A06A7F">
            <w:pPr>
              <w:jc w:val="right"/>
            </w:pPr>
            <w:r w:rsidRPr="00CC19F7">
              <w:t>80,3</w:t>
            </w:r>
          </w:p>
        </w:tc>
        <w:tc>
          <w:tcPr>
            <w:tcW w:w="1134" w:type="dxa"/>
            <w:tcBorders>
              <w:top w:val="single" w:sz="4" w:space="0" w:color="000000"/>
              <w:left w:val="nil"/>
              <w:bottom w:val="nil"/>
              <w:right w:val="nil"/>
            </w:tcBorders>
            <w:tcMar>
              <w:top w:w="128" w:type="dxa"/>
              <w:left w:w="43" w:type="dxa"/>
              <w:bottom w:w="43" w:type="dxa"/>
              <w:right w:w="43" w:type="dxa"/>
            </w:tcMar>
            <w:vAlign w:val="bottom"/>
          </w:tcPr>
          <w:p w14:paraId="0C6FC054" w14:textId="77777777" w:rsidR="00FE02EF" w:rsidRPr="00CC19F7" w:rsidRDefault="00881E58" w:rsidP="00A06A7F">
            <w:pPr>
              <w:jc w:val="right"/>
            </w:pPr>
            <w:r w:rsidRPr="00CC19F7">
              <w:t>13,0</w:t>
            </w:r>
          </w:p>
        </w:tc>
        <w:tc>
          <w:tcPr>
            <w:tcW w:w="992" w:type="dxa"/>
            <w:tcBorders>
              <w:top w:val="single" w:sz="4" w:space="0" w:color="000000"/>
              <w:left w:val="nil"/>
              <w:bottom w:val="nil"/>
              <w:right w:val="nil"/>
            </w:tcBorders>
            <w:tcMar>
              <w:top w:w="128" w:type="dxa"/>
              <w:left w:w="43" w:type="dxa"/>
              <w:bottom w:w="43" w:type="dxa"/>
              <w:right w:w="43" w:type="dxa"/>
            </w:tcMar>
            <w:vAlign w:val="bottom"/>
          </w:tcPr>
          <w:p w14:paraId="3632001B" w14:textId="77777777" w:rsidR="00FE02EF" w:rsidRPr="00CC19F7" w:rsidRDefault="00881E58" w:rsidP="00A06A7F">
            <w:pPr>
              <w:jc w:val="right"/>
            </w:pPr>
            <w:r w:rsidRPr="00CC19F7">
              <w:t>22,6</w:t>
            </w:r>
          </w:p>
        </w:tc>
        <w:tc>
          <w:tcPr>
            <w:tcW w:w="1401" w:type="dxa"/>
            <w:tcBorders>
              <w:top w:val="single" w:sz="4" w:space="0" w:color="000000"/>
              <w:left w:val="nil"/>
              <w:bottom w:val="nil"/>
              <w:right w:val="nil"/>
            </w:tcBorders>
            <w:tcMar>
              <w:top w:w="128" w:type="dxa"/>
              <w:left w:w="43" w:type="dxa"/>
              <w:bottom w:w="43" w:type="dxa"/>
              <w:right w:w="43" w:type="dxa"/>
            </w:tcMar>
            <w:vAlign w:val="bottom"/>
          </w:tcPr>
          <w:p w14:paraId="373ACF03" w14:textId="77777777" w:rsidR="00FE02EF" w:rsidRPr="00CC19F7" w:rsidRDefault="00881E58" w:rsidP="00A06A7F">
            <w:pPr>
              <w:jc w:val="right"/>
            </w:pPr>
            <w:r w:rsidRPr="00CC19F7">
              <w:t>39</w:t>
            </w:r>
          </w:p>
        </w:tc>
      </w:tr>
      <w:tr w:rsidR="00FE02EF" w:rsidRPr="00CC19F7" w14:paraId="03F37F6D" w14:textId="77777777" w:rsidTr="00A06A7F">
        <w:trPr>
          <w:trHeight w:val="380"/>
        </w:trPr>
        <w:tc>
          <w:tcPr>
            <w:tcW w:w="2651" w:type="dxa"/>
            <w:tcBorders>
              <w:top w:val="nil"/>
              <w:left w:val="nil"/>
              <w:bottom w:val="nil"/>
              <w:right w:val="nil"/>
            </w:tcBorders>
            <w:tcMar>
              <w:top w:w="128" w:type="dxa"/>
              <w:left w:w="43" w:type="dxa"/>
              <w:bottom w:w="43" w:type="dxa"/>
              <w:right w:w="43" w:type="dxa"/>
            </w:tcMar>
          </w:tcPr>
          <w:p w14:paraId="1E9D9E0B" w14:textId="77777777" w:rsidR="00FE02EF" w:rsidRPr="00CC19F7" w:rsidRDefault="00881E58" w:rsidP="00A06A7F">
            <w:r w:rsidRPr="00CC19F7">
              <w:t xml:space="preserve">Balder </w:t>
            </w:r>
            <w:proofErr w:type="spellStart"/>
            <w:r w:rsidRPr="00CC19F7">
              <w:t>Future</w:t>
            </w:r>
            <w:proofErr w:type="spellEnd"/>
          </w:p>
        </w:tc>
        <w:tc>
          <w:tcPr>
            <w:tcW w:w="1275" w:type="dxa"/>
            <w:tcBorders>
              <w:top w:val="nil"/>
              <w:left w:val="nil"/>
              <w:bottom w:val="nil"/>
              <w:right w:val="nil"/>
            </w:tcBorders>
            <w:tcMar>
              <w:top w:w="128" w:type="dxa"/>
              <w:left w:w="43" w:type="dxa"/>
              <w:bottom w:w="43" w:type="dxa"/>
              <w:right w:w="43" w:type="dxa"/>
            </w:tcMar>
            <w:vAlign w:val="bottom"/>
          </w:tcPr>
          <w:p w14:paraId="1FC4D8E0" w14:textId="77777777" w:rsidR="00FE02EF" w:rsidRPr="00CC19F7" w:rsidRDefault="00881E58" w:rsidP="00A06A7F">
            <w:pPr>
              <w:jc w:val="right"/>
            </w:pPr>
            <w:r w:rsidRPr="00CC19F7">
              <w:t>2020</w:t>
            </w:r>
          </w:p>
        </w:tc>
        <w:tc>
          <w:tcPr>
            <w:tcW w:w="1154" w:type="dxa"/>
            <w:tcBorders>
              <w:top w:val="nil"/>
              <w:left w:val="nil"/>
              <w:bottom w:val="nil"/>
              <w:right w:val="nil"/>
            </w:tcBorders>
            <w:tcMar>
              <w:top w:w="128" w:type="dxa"/>
              <w:left w:w="43" w:type="dxa"/>
              <w:bottom w:w="43" w:type="dxa"/>
              <w:right w:w="43" w:type="dxa"/>
            </w:tcMar>
            <w:vAlign w:val="bottom"/>
          </w:tcPr>
          <w:p w14:paraId="5DC0CAC9" w14:textId="77777777" w:rsidR="00FE02EF" w:rsidRPr="00CC19F7" w:rsidRDefault="00881E58" w:rsidP="00A06A7F">
            <w:pPr>
              <w:jc w:val="right"/>
            </w:pPr>
            <w:r w:rsidRPr="00CC19F7">
              <w:t>22,6</w:t>
            </w:r>
          </w:p>
        </w:tc>
        <w:tc>
          <w:tcPr>
            <w:tcW w:w="973" w:type="dxa"/>
            <w:tcBorders>
              <w:top w:val="nil"/>
              <w:left w:val="nil"/>
              <w:bottom w:val="nil"/>
              <w:right w:val="nil"/>
            </w:tcBorders>
            <w:tcMar>
              <w:top w:w="128" w:type="dxa"/>
              <w:left w:w="43" w:type="dxa"/>
              <w:bottom w:w="43" w:type="dxa"/>
              <w:right w:w="43" w:type="dxa"/>
            </w:tcMar>
            <w:vAlign w:val="bottom"/>
          </w:tcPr>
          <w:p w14:paraId="483070D0" w14:textId="77777777" w:rsidR="00FE02EF" w:rsidRPr="00CC19F7" w:rsidRDefault="00881E58" w:rsidP="00A06A7F">
            <w:pPr>
              <w:jc w:val="right"/>
            </w:pPr>
            <w:r w:rsidRPr="00CC19F7">
              <w:t>44,5</w:t>
            </w:r>
          </w:p>
        </w:tc>
        <w:tc>
          <w:tcPr>
            <w:tcW w:w="1134" w:type="dxa"/>
            <w:tcBorders>
              <w:top w:val="nil"/>
              <w:left w:val="nil"/>
              <w:bottom w:val="nil"/>
              <w:right w:val="nil"/>
            </w:tcBorders>
            <w:tcMar>
              <w:top w:w="128" w:type="dxa"/>
              <w:left w:w="43" w:type="dxa"/>
              <w:bottom w:w="43" w:type="dxa"/>
              <w:right w:w="43" w:type="dxa"/>
            </w:tcMar>
            <w:vAlign w:val="bottom"/>
          </w:tcPr>
          <w:p w14:paraId="0564B5B5" w14:textId="77777777" w:rsidR="00FE02EF" w:rsidRPr="00CC19F7" w:rsidRDefault="00881E58" w:rsidP="00A06A7F">
            <w:pPr>
              <w:jc w:val="right"/>
            </w:pPr>
            <w:r w:rsidRPr="00CC19F7">
              <w:t>3,4</w:t>
            </w:r>
          </w:p>
        </w:tc>
        <w:tc>
          <w:tcPr>
            <w:tcW w:w="992" w:type="dxa"/>
            <w:tcBorders>
              <w:top w:val="nil"/>
              <w:left w:val="nil"/>
              <w:bottom w:val="nil"/>
              <w:right w:val="nil"/>
            </w:tcBorders>
            <w:tcMar>
              <w:top w:w="128" w:type="dxa"/>
              <w:left w:w="43" w:type="dxa"/>
              <w:bottom w:w="43" w:type="dxa"/>
              <w:right w:w="43" w:type="dxa"/>
            </w:tcMar>
            <w:vAlign w:val="bottom"/>
          </w:tcPr>
          <w:p w14:paraId="039B8194" w14:textId="77777777" w:rsidR="00FE02EF" w:rsidRPr="00CC19F7" w:rsidRDefault="00881E58" w:rsidP="00A06A7F">
            <w:pPr>
              <w:jc w:val="right"/>
            </w:pPr>
            <w:r w:rsidRPr="00CC19F7">
              <w:t>22,0</w:t>
            </w:r>
          </w:p>
        </w:tc>
        <w:tc>
          <w:tcPr>
            <w:tcW w:w="1401" w:type="dxa"/>
            <w:tcBorders>
              <w:top w:val="nil"/>
              <w:left w:val="nil"/>
              <w:bottom w:val="nil"/>
              <w:right w:val="nil"/>
            </w:tcBorders>
            <w:tcMar>
              <w:top w:w="128" w:type="dxa"/>
              <w:left w:w="43" w:type="dxa"/>
              <w:bottom w:w="43" w:type="dxa"/>
              <w:right w:w="43" w:type="dxa"/>
            </w:tcMar>
            <w:vAlign w:val="bottom"/>
          </w:tcPr>
          <w:p w14:paraId="7FC6AD4E" w14:textId="77777777" w:rsidR="00FE02EF" w:rsidRPr="00CC19F7" w:rsidRDefault="00881E58" w:rsidP="00A06A7F">
            <w:pPr>
              <w:jc w:val="right"/>
            </w:pPr>
            <w:r w:rsidRPr="00CC19F7">
              <w:t>97</w:t>
            </w:r>
          </w:p>
        </w:tc>
      </w:tr>
      <w:tr w:rsidR="00FE02EF" w:rsidRPr="00CC19F7" w14:paraId="143D8596" w14:textId="77777777" w:rsidTr="00A06A7F">
        <w:trPr>
          <w:trHeight w:val="380"/>
        </w:trPr>
        <w:tc>
          <w:tcPr>
            <w:tcW w:w="2651" w:type="dxa"/>
            <w:tcBorders>
              <w:top w:val="nil"/>
              <w:left w:val="nil"/>
              <w:bottom w:val="nil"/>
              <w:right w:val="nil"/>
            </w:tcBorders>
            <w:tcMar>
              <w:top w:w="128" w:type="dxa"/>
              <w:left w:w="43" w:type="dxa"/>
              <w:bottom w:w="43" w:type="dxa"/>
              <w:right w:w="43" w:type="dxa"/>
            </w:tcMar>
          </w:tcPr>
          <w:p w14:paraId="2F6C3644" w14:textId="77777777" w:rsidR="00FE02EF" w:rsidRPr="00CC19F7" w:rsidRDefault="00881E58" w:rsidP="00A06A7F">
            <w:r w:rsidRPr="00CC19F7">
              <w:t>Breidablikk</w:t>
            </w:r>
          </w:p>
        </w:tc>
        <w:tc>
          <w:tcPr>
            <w:tcW w:w="1275" w:type="dxa"/>
            <w:tcBorders>
              <w:top w:val="nil"/>
              <w:left w:val="nil"/>
              <w:bottom w:val="nil"/>
              <w:right w:val="nil"/>
            </w:tcBorders>
            <w:tcMar>
              <w:top w:w="128" w:type="dxa"/>
              <w:left w:w="43" w:type="dxa"/>
              <w:bottom w:w="43" w:type="dxa"/>
              <w:right w:w="43" w:type="dxa"/>
            </w:tcMar>
            <w:vAlign w:val="bottom"/>
          </w:tcPr>
          <w:p w14:paraId="656A94FC" w14:textId="77777777" w:rsidR="00FE02EF" w:rsidRPr="00CC19F7" w:rsidRDefault="00881E58" w:rsidP="00A06A7F">
            <w:pPr>
              <w:jc w:val="right"/>
            </w:pPr>
            <w:r w:rsidRPr="00CC19F7">
              <w:t>2021</w:t>
            </w:r>
          </w:p>
        </w:tc>
        <w:tc>
          <w:tcPr>
            <w:tcW w:w="1154" w:type="dxa"/>
            <w:tcBorders>
              <w:top w:val="nil"/>
              <w:left w:val="nil"/>
              <w:bottom w:val="nil"/>
              <w:right w:val="nil"/>
            </w:tcBorders>
            <w:tcMar>
              <w:top w:w="128" w:type="dxa"/>
              <w:left w:w="43" w:type="dxa"/>
              <w:bottom w:w="43" w:type="dxa"/>
              <w:right w:w="43" w:type="dxa"/>
            </w:tcMar>
            <w:vAlign w:val="bottom"/>
          </w:tcPr>
          <w:p w14:paraId="44E26FEC" w14:textId="77777777" w:rsidR="00FE02EF" w:rsidRPr="00CC19F7" w:rsidRDefault="00881E58" w:rsidP="00A06A7F">
            <w:pPr>
              <w:jc w:val="right"/>
            </w:pPr>
            <w:r w:rsidRPr="00CC19F7">
              <w:t>21,4</w:t>
            </w:r>
          </w:p>
        </w:tc>
        <w:tc>
          <w:tcPr>
            <w:tcW w:w="973" w:type="dxa"/>
            <w:tcBorders>
              <w:top w:val="nil"/>
              <w:left w:val="nil"/>
              <w:bottom w:val="nil"/>
              <w:right w:val="nil"/>
            </w:tcBorders>
            <w:tcMar>
              <w:top w:w="128" w:type="dxa"/>
              <w:left w:w="43" w:type="dxa"/>
              <w:bottom w:w="43" w:type="dxa"/>
              <w:right w:w="43" w:type="dxa"/>
            </w:tcMar>
            <w:vAlign w:val="bottom"/>
          </w:tcPr>
          <w:p w14:paraId="3DEC8B8C" w14:textId="77777777" w:rsidR="00FE02EF" w:rsidRPr="00CC19F7" w:rsidRDefault="00881E58" w:rsidP="00A06A7F">
            <w:pPr>
              <w:jc w:val="right"/>
            </w:pPr>
            <w:r w:rsidRPr="00CC19F7">
              <w:t>21,4</w:t>
            </w:r>
          </w:p>
        </w:tc>
        <w:tc>
          <w:tcPr>
            <w:tcW w:w="1134" w:type="dxa"/>
            <w:tcBorders>
              <w:top w:val="nil"/>
              <w:left w:val="nil"/>
              <w:bottom w:val="nil"/>
              <w:right w:val="nil"/>
            </w:tcBorders>
            <w:tcMar>
              <w:top w:w="128" w:type="dxa"/>
              <w:left w:w="43" w:type="dxa"/>
              <w:bottom w:w="43" w:type="dxa"/>
              <w:right w:w="43" w:type="dxa"/>
            </w:tcMar>
            <w:vAlign w:val="bottom"/>
          </w:tcPr>
          <w:p w14:paraId="36B25965" w14:textId="77777777" w:rsidR="00FE02EF" w:rsidRPr="00CC19F7" w:rsidRDefault="00881E58" w:rsidP="00A06A7F">
            <w:pPr>
              <w:jc w:val="right"/>
            </w:pPr>
            <w:r w:rsidRPr="00CC19F7">
              <w:t>0,3</w:t>
            </w:r>
          </w:p>
        </w:tc>
        <w:tc>
          <w:tcPr>
            <w:tcW w:w="992" w:type="dxa"/>
            <w:tcBorders>
              <w:top w:val="nil"/>
              <w:left w:val="nil"/>
              <w:bottom w:val="nil"/>
              <w:right w:val="nil"/>
            </w:tcBorders>
            <w:tcMar>
              <w:top w:w="128" w:type="dxa"/>
              <w:left w:w="43" w:type="dxa"/>
              <w:bottom w:w="43" w:type="dxa"/>
              <w:right w:w="43" w:type="dxa"/>
            </w:tcMar>
            <w:vAlign w:val="bottom"/>
          </w:tcPr>
          <w:p w14:paraId="731C41DE" w14:textId="77777777" w:rsidR="00FE02EF" w:rsidRPr="00CC19F7" w:rsidRDefault="00881E58" w:rsidP="00A06A7F">
            <w:pPr>
              <w:jc w:val="right"/>
            </w:pPr>
            <w:r w:rsidRPr="00CC19F7">
              <w:t>-</w:t>
            </w:r>
          </w:p>
        </w:tc>
        <w:tc>
          <w:tcPr>
            <w:tcW w:w="1401" w:type="dxa"/>
            <w:tcBorders>
              <w:top w:val="nil"/>
              <w:left w:val="nil"/>
              <w:bottom w:val="nil"/>
              <w:right w:val="nil"/>
            </w:tcBorders>
            <w:tcMar>
              <w:top w:w="128" w:type="dxa"/>
              <w:left w:w="43" w:type="dxa"/>
              <w:bottom w:w="43" w:type="dxa"/>
              <w:right w:w="43" w:type="dxa"/>
            </w:tcMar>
            <w:vAlign w:val="bottom"/>
          </w:tcPr>
          <w:p w14:paraId="1E17DB1C" w14:textId="77777777" w:rsidR="00FE02EF" w:rsidRPr="00CC19F7" w:rsidRDefault="00881E58" w:rsidP="00A06A7F">
            <w:pPr>
              <w:jc w:val="right"/>
            </w:pPr>
            <w:r w:rsidRPr="00CC19F7">
              <w:t>-</w:t>
            </w:r>
          </w:p>
        </w:tc>
      </w:tr>
      <w:tr w:rsidR="00FE02EF" w:rsidRPr="00CC19F7" w14:paraId="2CD60F22" w14:textId="77777777" w:rsidTr="00A06A7F">
        <w:trPr>
          <w:trHeight w:val="380"/>
        </w:trPr>
        <w:tc>
          <w:tcPr>
            <w:tcW w:w="2651" w:type="dxa"/>
            <w:tcBorders>
              <w:top w:val="nil"/>
              <w:left w:val="nil"/>
              <w:bottom w:val="nil"/>
              <w:right w:val="nil"/>
            </w:tcBorders>
            <w:tcMar>
              <w:top w:w="128" w:type="dxa"/>
              <w:left w:w="43" w:type="dxa"/>
              <w:bottom w:w="43" w:type="dxa"/>
              <w:right w:w="43" w:type="dxa"/>
            </w:tcMar>
          </w:tcPr>
          <w:p w14:paraId="173A78C0" w14:textId="77777777" w:rsidR="00FE02EF" w:rsidRPr="00CC19F7" w:rsidRDefault="00881E58" w:rsidP="00A06A7F">
            <w:r w:rsidRPr="00CC19F7">
              <w:t>Kristin Sør</w:t>
            </w:r>
          </w:p>
        </w:tc>
        <w:tc>
          <w:tcPr>
            <w:tcW w:w="1275" w:type="dxa"/>
            <w:tcBorders>
              <w:top w:val="nil"/>
              <w:left w:val="nil"/>
              <w:bottom w:val="nil"/>
              <w:right w:val="nil"/>
            </w:tcBorders>
            <w:tcMar>
              <w:top w:w="128" w:type="dxa"/>
              <w:left w:w="43" w:type="dxa"/>
              <w:bottom w:w="43" w:type="dxa"/>
              <w:right w:w="43" w:type="dxa"/>
            </w:tcMar>
            <w:vAlign w:val="bottom"/>
          </w:tcPr>
          <w:p w14:paraId="39372C80" w14:textId="77777777" w:rsidR="00FE02EF" w:rsidRPr="00CC19F7" w:rsidRDefault="00881E58" w:rsidP="00A06A7F">
            <w:pPr>
              <w:jc w:val="right"/>
            </w:pPr>
            <w:r w:rsidRPr="00CC19F7">
              <w:t>2022</w:t>
            </w:r>
          </w:p>
        </w:tc>
        <w:tc>
          <w:tcPr>
            <w:tcW w:w="1154" w:type="dxa"/>
            <w:tcBorders>
              <w:top w:val="nil"/>
              <w:left w:val="nil"/>
              <w:bottom w:val="nil"/>
              <w:right w:val="nil"/>
            </w:tcBorders>
            <w:tcMar>
              <w:top w:w="128" w:type="dxa"/>
              <w:left w:w="43" w:type="dxa"/>
              <w:bottom w:w="43" w:type="dxa"/>
              <w:right w:w="43" w:type="dxa"/>
            </w:tcMar>
            <w:vAlign w:val="bottom"/>
          </w:tcPr>
          <w:p w14:paraId="14B300AC" w14:textId="77777777" w:rsidR="00FE02EF" w:rsidRPr="00CC19F7" w:rsidRDefault="00881E58" w:rsidP="00A06A7F">
            <w:pPr>
              <w:jc w:val="right"/>
            </w:pPr>
            <w:r w:rsidRPr="00CC19F7">
              <w:t>7,5</w:t>
            </w:r>
          </w:p>
        </w:tc>
        <w:tc>
          <w:tcPr>
            <w:tcW w:w="973" w:type="dxa"/>
            <w:tcBorders>
              <w:top w:val="nil"/>
              <w:left w:val="nil"/>
              <w:bottom w:val="nil"/>
              <w:right w:val="nil"/>
            </w:tcBorders>
            <w:tcMar>
              <w:top w:w="128" w:type="dxa"/>
              <w:left w:w="43" w:type="dxa"/>
              <w:bottom w:w="43" w:type="dxa"/>
              <w:right w:w="43" w:type="dxa"/>
            </w:tcMar>
            <w:vAlign w:val="bottom"/>
          </w:tcPr>
          <w:p w14:paraId="322D759E" w14:textId="77777777" w:rsidR="00FE02EF" w:rsidRPr="00CC19F7" w:rsidRDefault="00881E58" w:rsidP="00A06A7F">
            <w:pPr>
              <w:jc w:val="right"/>
            </w:pPr>
            <w:r w:rsidRPr="00CC19F7">
              <w:t>7,6</w:t>
            </w:r>
          </w:p>
        </w:tc>
        <w:tc>
          <w:tcPr>
            <w:tcW w:w="1134" w:type="dxa"/>
            <w:tcBorders>
              <w:top w:val="nil"/>
              <w:left w:val="nil"/>
              <w:bottom w:val="nil"/>
              <w:right w:val="nil"/>
            </w:tcBorders>
            <w:tcMar>
              <w:top w:w="128" w:type="dxa"/>
              <w:left w:w="43" w:type="dxa"/>
              <w:bottom w:w="43" w:type="dxa"/>
              <w:right w:w="43" w:type="dxa"/>
            </w:tcMar>
            <w:vAlign w:val="bottom"/>
          </w:tcPr>
          <w:p w14:paraId="1505EB8B" w14:textId="77777777" w:rsidR="00FE02EF" w:rsidRPr="00CC19F7" w:rsidRDefault="00881E58" w:rsidP="00A06A7F">
            <w:pPr>
              <w:jc w:val="right"/>
            </w:pPr>
            <w:r w:rsidRPr="00CC19F7">
              <w:t>0,5</w:t>
            </w:r>
          </w:p>
        </w:tc>
        <w:tc>
          <w:tcPr>
            <w:tcW w:w="992" w:type="dxa"/>
            <w:tcBorders>
              <w:top w:val="nil"/>
              <w:left w:val="nil"/>
              <w:bottom w:val="nil"/>
              <w:right w:val="nil"/>
            </w:tcBorders>
            <w:tcMar>
              <w:top w:w="128" w:type="dxa"/>
              <w:left w:w="43" w:type="dxa"/>
              <w:bottom w:w="43" w:type="dxa"/>
              <w:right w:w="43" w:type="dxa"/>
            </w:tcMar>
            <w:vAlign w:val="bottom"/>
          </w:tcPr>
          <w:p w14:paraId="1F29EF5E" w14:textId="77777777" w:rsidR="00FE02EF" w:rsidRPr="00CC19F7" w:rsidRDefault="00881E58" w:rsidP="00A06A7F">
            <w:pPr>
              <w:jc w:val="right"/>
            </w:pPr>
            <w:r w:rsidRPr="00CC19F7">
              <w:t>0,2</w:t>
            </w:r>
          </w:p>
        </w:tc>
        <w:tc>
          <w:tcPr>
            <w:tcW w:w="1401" w:type="dxa"/>
            <w:tcBorders>
              <w:top w:val="nil"/>
              <w:left w:val="nil"/>
              <w:bottom w:val="nil"/>
              <w:right w:val="nil"/>
            </w:tcBorders>
            <w:tcMar>
              <w:top w:w="128" w:type="dxa"/>
              <w:left w:w="43" w:type="dxa"/>
              <w:bottom w:w="43" w:type="dxa"/>
              <w:right w:w="43" w:type="dxa"/>
            </w:tcMar>
            <w:vAlign w:val="bottom"/>
          </w:tcPr>
          <w:p w14:paraId="26D0A1A5" w14:textId="77777777" w:rsidR="00FE02EF" w:rsidRPr="00CC19F7" w:rsidRDefault="00881E58" w:rsidP="00A06A7F">
            <w:pPr>
              <w:jc w:val="right"/>
            </w:pPr>
            <w:r w:rsidRPr="00CC19F7">
              <w:t>2</w:t>
            </w:r>
          </w:p>
        </w:tc>
      </w:tr>
      <w:tr w:rsidR="00FE02EF" w:rsidRPr="00CC19F7" w14:paraId="346052CE" w14:textId="77777777" w:rsidTr="00A06A7F">
        <w:trPr>
          <w:trHeight w:val="380"/>
        </w:trPr>
        <w:tc>
          <w:tcPr>
            <w:tcW w:w="2651" w:type="dxa"/>
            <w:tcBorders>
              <w:top w:val="nil"/>
              <w:left w:val="nil"/>
              <w:bottom w:val="nil"/>
              <w:right w:val="nil"/>
            </w:tcBorders>
            <w:tcMar>
              <w:top w:w="128" w:type="dxa"/>
              <w:left w:w="43" w:type="dxa"/>
              <w:bottom w:w="43" w:type="dxa"/>
              <w:right w:w="43" w:type="dxa"/>
            </w:tcMar>
          </w:tcPr>
          <w:p w14:paraId="2B0F5D2D" w14:textId="77777777" w:rsidR="00FE02EF" w:rsidRPr="00CC19F7" w:rsidRDefault="00881E58" w:rsidP="00A06A7F">
            <w:r w:rsidRPr="00CC19F7">
              <w:t>Kobra East and Gekko</w:t>
            </w:r>
          </w:p>
        </w:tc>
        <w:tc>
          <w:tcPr>
            <w:tcW w:w="1275" w:type="dxa"/>
            <w:tcBorders>
              <w:top w:val="nil"/>
              <w:left w:val="nil"/>
              <w:bottom w:val="nil"/>
              <w:right w:val="nil"/>
            </w:tcBorders>
            <w:tcMar>
              <w:top w:w="128" w:type="dxa"/>
              <w:left w:w="43" w:type="dxa"/>
              <w:bottom w:w="43" w:type="dxa"/>
              <w:right w:w="43" w:type="dxa"/>
            </w:tcMar>
            <w:vAlign w:val="bottom"/>
          </w:tcPr>
          <w:p w14:paraId="07764850" w14:textId="77777777" w:rsidR="00FE02EF" w:rsidRPr="00CC19F7" w:rsidRDefault="00881E58" w:rsidP="00A06A7F">
            <w:pPr>
              <w:jc w:val="right"/>
            </w:pPr>
            <w:r w:rsidRPr="00CC19F7">
              <w:t>2022</w:t>
            </w:r>
          </w:p>
        </w:tc>
        <w:tc>
          <w:tcPr>
            <w:tcW w:w="1154" w:type="dxa"/>
            <w:tcBorders>
              <w:top w:val="nil"/>
              <w:left w:val="nil"/>
              <w:bottom w:val="nil"/>
              <w:right w:val="nil"/>
            </w:tcBorders>
            <w:tcMar>
              <w:top w:w="128" w:type="dxa"/>
              <w:left w:w="43" w:type="dxa"/>
              <w:bottom w:w="43" w:type="dxa"/>
              <w:right w:w="43" w:type="dxa"/>
            </w:tcMar>
            <w:vAlign w:val="bottom"/>
          </w:tcPr>
          <w:p w14:paraId="5FC0EB0B" w14:textId="77777777" w:rsidR="00FE02EF" w:rsidRPr="00CC19F7" w:rsidRDefault="00881E58" w:rsidP="00A06A7F">
            <w:pPr>
              <w:jc w:val="right"/>
            </w:pPr>
            <w:r w:rsidRPr="00CC19F7">
              <w:t>8,8</w:t>
            </w:r>
          </w:p>
        </w:tc>
        <w:tc>
          <w:tcPr>
            <w:tcW w:w="973" w:type="dxa"/>
            <w:tcBorders>
              <w:top w:val="nil"/>
              <w:left w:val="nil"/>
              <w:bottom w:val="nil"/>
              <w:right w:val="nil"/>
            </w:tcBorders>
            <w:tcMar>
              <w:top w:w="128" w:type="dxa"/>
              <w:left w:w="43" w:type="dxa"/>
              <w:bottom w:w="43" w:type="dxa"/>
              <w:right w:w="43" w:type="dxa"/>
            </w:tcMar>
            <w:vAlign w:val="bottom"/>
          </w:tcPr>
          <w:p w14:paraId="0705F7DD" w14:textId="77777777" w:rsidR="00FE02EF" w:rsidRPr="00CC19F7" w:rsidRDefault="00881E58" w:rsidP="00A06A7F">
            <w:pPr>
              <w:jc w:val="right"/>
            </w:pPr>
            <w:r w:rsidRPr="00CC19F7">
              <w:t>8,3</w:t>
            </w:r>
          </w:p>
        </w:tc>
        <w:tc>
          <w:tcPr>
            <w:tcW w:w="1134" w:type="dxa"/>
            <w:tcBorders>
              <w:top w:val="nil"/>
              <w:left w:val="nil"/>
              <w:bottom w:val="nil"/>
              <w:right w:val="nil"/>
            </w:tcBorders>
            <w:tcMar>
              <w:top w:w="128" w:type="dxa"/>
              <w:left w:w="43" w:type="dxa"/>
              <w:bottom w:w="43" w:type="dxa"/>
              <w:right w:w="43" w:type="dxa"/>
            </w:tcMar>
            <w:vAlign w:val="bottom"/>
          </w:tcPr>
          <w:p w14:paraId="0B029E39" w14:textId="77777777" w:rsidR="00FE02EF" w:rsidRPr="00CC19F7" w:rsidRDefault="00881E58" w:rsidP="00A06A7F">
            <w:pPr>
              <w:jc w:val="right"/>
            </w:pPr>
            <w:r w:rsidRPr="00CC19F7">
              <w:t>-0,7</w:t>
            </w:r>
          </w:p>
        </w:tc>
        <w:tc>
          <w:tcPr>
            <w:tcW w:w="992" w:type="dxa"/>
            <w:tcBorders>
              <w:top w:val="nil"/>
              <w:left w:val="nil"/>
              <w:bottom w:val="nil"/>
              <w:right w:val="nil"/>
            </w:tcBorders>
            <w:tcMar>
              <w:top w:w="128" w:type="dxa"/>
              <w:left w:w="43" w:type="dxa"/>
              <w:bottom w:w="43" w:type="dxa"/>
              <w:right w:w="43" w:type="dxa"/>
            </w:tcMar>
            <w:vAlign w:val="bottom"/>
          </w:tcPr>
          <w:p w14:paraId="7E7CA860" w14:textId="77777777" w:rsidR="00FE02EF" w:rsidRPr="00CC19F7" w:rsidRDefault="00881E58" w:rsidP="00A06A7F">
            <w:pPr>
              <w:jc w:val="right"/>
            </w:pPr>
            <w:r w:rsidRPr="00CC19F7">
              <w:t>-0,5</w:t>
            </w:r>
          </w:p>
        </w:tc>
        <w:tc>
          <w:tcPr>
            <w:tcW w:w="1401" w:type="dxa"/>
            <w:tcBorders>
              <w:top w:val="nil"/>
              <w:left w:val="nil"/>
              <w:bottom w:val="nil"/>
              <w:right w:val="nil"/>
            </w:tcBorders>
            <w:tcMar>
              <w:top w:w="128" w:type="dxa"/>
              <w:left w:w="43" w:type="dxa"/>
              <w:bottom w:w="43" w:type="dxa"/>
              <w:right w:w="43" w:type="dxa"/>
            </w:tcMar>
            <w:vAlign w:val="bottom"/>
          </w:tcPr>
          <w:p w14:paraId="0F546982" w14:textId="77777777" w:rsidR="00FE02EF" w:rsidRPr="00CC19F7" w:rsidRDefault="00881E58" w:rsidP="00A06A7F">
            <w:pPr>
              <w:jc w:val="right"/>
            </w:pPr>
            <w:r w:rsidRPr="00CC19F7">
              <w:t>-6</w:t>
            </w:r>
          </w:p>
        </w:tc>
      </w:tr>
      <w:tr w:rsidR="00FE02EF" w:rsidRPr="00CC19F7" w14:paraId="2EDEC5F6" w14:textId="77777777" w:rsidTr="00A06A7F">
        <w:trPr>
          <w:trHeight w:val="380"/>
        </w:trPr>
        <w:tc>
          <w:tcPr>
            <w:tcW w:w="2651" w:type="dxa"/>
            <w:tcBorders>
              <w:top w:val="nil"/>
              <w:left w:val="nil"/>
              <w:bottom w:val="nil"/>
              <w:right w:val="nil"/>
            </w:tcBorders>
            <w:tcMar>
              <w:top w:w="128" w:type="dxa"/>
              <w:left w:w="43" w:type="dxa"/>
              <w:bottom w:w="43" w:type="dxa"/>
              <w:right w:w="43" w:type="dxa"/>
            </w:tcMar>
          </w:tcPr>
          <w:p w14:paraId="6E55739D" w14:textId="77777777" w:rsidR="00FE02EF" w:rsidRPr="00CC19F7" w:rsidRDefault="00881E58" w:rsidP="00A06A7F">
            <w:r w:rsidRPr="00CC19F7">
              <w:t>Tommeliten A</w:t>
            </w:r>
          </w:p>
        </w:tc>
        <w:tc>
          <w:tcPr>
            <w:tcW w:w="1275" w:type="dxa"/>
            <w:tcBorders>
              <w:top w:val="nil"/>
              <w:left w:val="nil"/>
              <w:bottom w:val="nil"/>
              <w:right w:val="nil"/>
            </w:tcBorders>
            <w:tcMar>
              <w:top w:w="128" w:type="dxa"/>
              <w:left w:w="43" w:type="dxa"/>
              <w:bottom w:w="43" w:type="dxa"/>
              <w:right w:w="43" w:type="dxa"/>
            </w:tcMar>
            <w:vAlign w:val="bottom"/>
          </w:tcPr>
          <w:p w14:paraId="5F413283" w14:textId="77777777" w:rsidR="00FE02EF" w:rsidRPr="00CC19F7" w:rsidRDefault="00881E58" w:rsidP="00A06A7F">
            <w:pPr>
              <w:jc w:val="right"/>
            </w:pPr>
            <w:r w:rsidRPr="00CC19F7">
              <w:t>2022</w:t>
            </w:r>
          </w:p>
        </w:tc>
        <w:tc>
          <w:tcPr>
            <w:tcW w:w="1154" w:type="dxa"/>
            <w:tcBorders>
              <w:top w:val="nil"/>
              <w:left w:val="nil"/>
              <w:bottom w:val="nil"/>
              <w:right w:val="nil"/>
            </w:tcBorders>
            <w:tcMar>
              <w:top w:w="128" w:type="dxa"/>
              <w:left w:w="43" w:type="dxa"/>
              <w:bottom w:w="43" w:type="dxa"/>
              <w:right w:w="43" w:type="dxa"/>
            </w:tcMar>
            <w:vAlign w:val="bottom"/>
          </w:tcPr>
          <w:p w14:paraId="633BBBC1" w14:textId="77777777" w:rsidR="00FE02EF" w:rsidRPr="00CC19F7" w:rsidRDefault="00881E58" w:rsidP="00A06A7F">
            <w:pPr>
              <w:jc w:val="right"/>
            </w:pPr>
            <w:r w:rsidRPr="00CC19F7">
              <w:t>13,9</w:t>
            </w:r>
          </w:p>
        </w:tc>
        <w:tc>
          <w:tcPr>
            <w:tcW w:w="973" w:type="dxa"/>
            <w:tcBorders>
              <w:top w:val="nil"/>
              <w:left w:val="nil"/>
              <w:bottom w:val="nil"/>
              <w:right w:val="nil"/>
            </w:tcBorders>
            <w:tcMar>
              <w:top w:w="128" w:type="dxa"/>
              <w:left w:w="43" w:type="dxa"/>
              <w:bottom w:w="43" w:type="dxa"/>
              <w:right w:w="43" w:type="dxa"/>
            </w:tcMar>
            <w:vAlign w:val="bottom"/>
          </w:tcPr>
          <w:p w14:paraId="059ED819" w14:textId="77777777" w:rsidR="00FE02EF" w:rsidRPr="00CC19F7" w:rsidRDefault="00881E58" w:rsidP="00A06A7F">
            <w:pPr>
              <w:jc w:val="right"/>
            </w:pPr>
            <w:r w:rsidRPr="00CC19F7">
              <w:t>12,7</w:t>
            </w:r>
          </w:p>
        </w:tc>
        <w:tc>
          <w:tcPr>
            <w:tcW w:w="1134" w:type="dxa"/>
            <w:tcBorders>
              <w:top w:val="nil"/>
              <w:left w:val="nil"/>
              <w:bottom w:val="nil"/>
              <w:right w:val="nil"/>
            </w:tcBorders>
            <w:tcMar>
              <w:top w:w="128" w:type="dxa"/>
              <w:left w:w="43" w:type="dxa"/>
              <w:bottom w:w="43" w:type="dxa"/>
              <w:right w:w="43" w:type="dxa"/>
            </w:tcMar>
            <w:vAlign w:val="bottom"/>
          </w:tcPr>
          <w:p w14:paraId="39D4E9A9" w14:textId="77777777" w:rsidR="00FE02EF" w:rsidRPr="00CC19F7" w:rsidRDefault="00881E58" w:rsidP="00A06A7F">
            <w:pPr>
              <w:jc w:val="right"/>
            </w:pPr>
            <w:r w:rsidRPr="00CC19F7">
              <w:t>-0,8</w:t>
            </w:r>
          </w:p>
        </w:tc>
        <w:tc>
          <w:tcPr>
            <w:tcW w:w="992" w:type="dxa"/>
            <w:tcBorders>
              <w:top w:val="nil"/>
              <w:left w:val="nil"/>
              <w:bottom w:val="nil"/>
              <w:right w:val="nil"/>
            </w:tcBorders>
            <w:tcMar>
              <w:top w:w="128" w:type="dxa"/>
              <w:left w:w="43" w:type="dxa"/>
              <w:bottom w:w="43" w:type="dxa"/>
              <w:right w:w="43" w:type="dxa"/>
            </w:tcMar>
            <w:vAlign w:val="bottom"/>
          </w:tcPr>
          <w:p w14:paraId="3814C32C" w14:textId="77777777" w:rsidR="00FE02EF" w:rsidRPr="00CC19F7" w:rsidRDefault="00881E58" w:rsidP="00A06A7F">
            <w:pPr>
              <w:jc w:val="right"/>
            </w:pPr>
            <w:r w:rsidRPr="00CC19F7">
              <w:t>-1,1</w:t>
            </w:r>
          </w:p>
        </w:tc>
        <w:tc>
          <w:tcPr>
            <w:tcW w:w="1401" w:type="dxa"/>
            <w:tcBorders>
              <w:top w:val="nil"/>
              <w:left w:val="nil"/>
              <w:bottom w:val="nil"/>
              <w:right w:val="nil"/>
            </w:tcBorders>
            <w:tcMar>
              <w:top w:w="128" w:type="dxa"/>
              <w:left w:w="43" w:type="dxa"/>
              <w:bottom w:w="43" w:type="dxa"/>
              <w:right w:w="43" w:type="dxa"/>
            </w:tcMar>
            <w:vAlign w:val="bottom"/>
          </w:tcPr>
          <w:p w14:paraId="0F905377" w14:textId="77777777" w:rsidR="00FE02EF" w:rsidRPr="00CC19F7" w:rsidRDefault="00881E58" w:rsidP="00A06A7F">
            <w:pPr>
              <w:jc w:val="right"/>
            </w:pPr>
            <w:r w:rsidRPr="00CC19F7">
              <w:t>-8</w:t>
            </w:r>
          </w:p>
        </w:tc>
      </w:tr>
      <w:tr w:rsidR="00FE02EF" w:rsidRPr="00CC19F7" w14:paraId="7F520140" w14:textId="77777777" w:rsidTr="00A06A7F">
        <w:trPr>
          <w:trHeight w:val="380"/>
        </w:trPr>
        <w:tc>
          <w:tcPr>
            <w:tcW w:w="2651" w:type="dxa"/>
            <w:tcBorders>
              <w:top w:val="nil"/>
              <w:left w:val="nil"/>
              <w:bottom w:val="nil"/>
              <w:right w:val="nil"/>
            </w:tcBorders>
            <w:tcMar>
              <w:top w:w="128" w:type="dxa"/>
              <w:left w:w="43" w:type="dxa"/>
              <w:bottom w:w="43" w:type="dxa"/>
              <w:right w:w="43" w:type="dxa"/>
            </w:tcMar>
          </w:tcPr>
          <w:p w14:paraId="335D3E04" w14:textId="77777777" w:rsidR="00FE02EF" w:rsidRPr="00CC19F7" w:rsidRDefault="00881E58" w:rsidP="00A06A7F">
            <w:r w:rsidRPr="00CC19F7">
              <w:t>Ormen Lange fase 3</w:t>
            </w:r>
          </w:p>
        </w:tc>
        <w:tc>
          <w:tcPr>
            <w:tcW w:w="1275" w:type="dxa"/>
            <w:tcBorders>
              <w:top w:val="nil"/>
              <w:left w:val="nil"/>
              <w:bottom w:val="nil"/>
              <w:right w:val="nil"/>
            </w:tcBorders>
            <w:tcMar>
              <w:top w:w="128" w:type="dxa"/>
              <w:left w:w="43" w:type="dxa"/>
              <w:bottom w:w="43" w:type="dxa"/>
              <w:right w:w="43" w:type="dxa"/>
            </w:tcMar>
            <w:vAlign w:val="bottom"/>
          </w:tcPr>
          <w:p w14:paraId="1B20FC84" w14:textId="77777777" w:rsidR="00FE02EF" w:rsidRPr="00CC19F7" w:rsidRDefault="00881E58" w:rsidP="00A06A7F">
            <w:pPr>
              <w:jc w:val="right"/>
            </w:pPr>
            <w:r w:rsidRPr="00CC19F7">
              <w:t>2022</w:t>
            </w:r>
          </w:p>
        </w:tc>
        <w:tc>
          <w:tcPr>
            <w:tcW w:w="1154" w:type="dxa"/>
            <w:tcBorders>
              <w:top w:val="nil"/>
              <w:left w:val="nil"/>
              <w:bottom w:val="nil"/>
              <w:right w:val="nil"/>
            </w:tcBorders>
            <w:tcMar>
              <w:top w:w="128" w:type="dxa"/>
              <w:left w:w="43" w:type="dxa"/>
              <w:bottom w:w="43" w:type="dxa"/>
              <w:right w:w="43" w:type="dxa"/>
            </w:tcMar>
            <w:vAlign w:val="bottom"/>
          </w:tcPr>
          <w:p w14:paraId="5B841E5B" w14:textId="77777777" w:rsidR="00FE02EF" w:rsidRPr="00CC19F7" w:rsidRDefault="00881E58" w:rsidP="00A06A7F">
            <w:pPr>
              <w:jc w:val="right"/>
            </w:pPr>
            <w:r w:rsidRPr="00CC19F7">
              <w:t>13,0</w:t>
            </w:r>
          </w:p>
        </w:tc>
        <w:tc>
          <w:tcPr>
            <w:tcW w:w="973" w:type="dxa"/>
            <w:tcBorders>
              <w:top w:val="nil"/>
              <w:left w:val="nil"/>
              <w:bottom w:val="nil"/>
              <w:right w:val="nil"/>
            </w:tcBorders>
            <w:tcMar>
              <w:top w:w="128" w:type="dxa"/>
              <w:left w:w="43" w:type="dxa"/>
              <w:bottom w:w="43" w:type="dxa"/>
              <w:right w:w="43" w:type="dxa"/>
            </w:tcMar>
            <w:vAlign w:val="bottom"/>
          </w:tcPr>
          <w:p w14:paraId="768D710E" w14:textId="77777777" w:rsidR="00FE02EF" w:rsidRPr="00CC19F7" w:rsidRDefault="00881E58" w:rsidP="00A06A7F">
            <w:pPr>
              <w:jc w:val="right"/>
            </w:pPr>
            <w:r w:rsidRPr="00CC19F7">
              <w:t>12,1</w:t>
            </w:r>
          </w:p>
        </w:tc>
        <w:tc>
          <w:tcPr>
            <w:tcW w:w="1134" w:type="dxa"/>
            <w:tcBorders>
              <w:top w:val="nil"/>
              <w:left w:val="nil"/>
              <w:bottom w:val="nil"/>
              <w:right w:val="nil"/>
            </w:tcBorders>
            <w:tcMar>
              <w:top w:w="128" w:type="dxa"/>
              <w:left w:w="43" w:type="dxa"/>
              <w:bottom w:w="43" w:type="dxa"/>
              <w:right w:w="43" w:type="dxa"/>
            </w:tcMar>
            <w:vAlign w:val="bottom"/>
          </w:tcPr>
          <w:p w14:paraId="2B372AC9" w14:textId="77777777" w:rsidR="00FE02EF" w:rsidRPr="00CC19F7" w:rsidRDefault="00881E58" w:rsidP="00A06A7F">
            <w:pPr>
              <w:jc w:val="right"/>
            </w:pPr>
            <w:r w:rsidRPr="00CC19F7">
              <w:t>-0,6</w:t>
            </w:r>
          </w:p>
        </w:tc>
        <w:tc>
          <w:tcPr>
            <w:tcW w:w="992" w:type="dxa"/>
            <w:tcBorders>
              <w:top w:val="nil"/>
              <w:left w:val="nil"/>
              <w:bottom w:val="nil"/>
              <w:right w:val="nil"/>
            </w:tcBorders>
            <w:tcMar>
              <w:top w:w="128" w:type="dxa"/>
              <w:left w:w="43" w:type="dxa"/>
              <w:bottom w:w="43" w:type="dxa"/>
              <w:right w:w="43" w:type="dxa"/>
            </w:tcMar>
            <w:vAlign w:val="bottom"/>
          </w:tcPr>
          <w:p w14:paraId="7E712EDE" w14:textId="77777777" w:rsidR="00FE02EF" w:rsidRPr="00CC19F7" w:rsidRDefault="00881E58" w:rsidP="00A06A7F">
            <w:pPr>
              <w:jc w:val="right"/>
            </w:pPr>
            <w:r w:rsidRPr="00CC19F7">
              <w:t>-0,9</w:t>
            </w:r>
          </w:p>
        </w:tc>
        <w:tc>
          <w:tcPr>
            <w:tcW w:w="1401" w:type="dxa"/>
            <w:tcBorders>
              <w:top w:val="nil"/>
              <w:left w:val="nil"/>
              <w:bottom w:val="nil"/>
              <w:right w:val="nil"/>
            </w:tcBorders>
            <w:tcMar>
              <w:top w:w="128" w:type="dxa"/>
              <w:left w:w="43" w:type="dxa"/>
              <w:bottom w:w="43" w:type="dxa"/>
              <w:right w:w="43" w:type="dxa"/>
            </w:tcMar>
            <w:vAlign w:val="bottom"/>
          </w:tcPr>
          <w:p w14:paraId="571FF049" w14:textId="77777777" w:rsidR="00FE02EF" w:rsidRPr="00CC19F7" w:rsidRDefault="00881E58" w:rsidP="00A06A7F">
            <w:pPr>
              <w:jc w:val="right"/>
            </w:pPr>
            <w:r w:rsidRPr="00CC19F7">
              <w:t>-7</w:t>
            </w:r>
          </w:p>
        </w:tc>
      </w:tr>
      <w:tr w:rsidR="00FE02EF" w:rsidRPr="00CC19F7" w14:paraId="115F0500" w14:textId="77777777" w:rsidTr="00A06A7F">
        <w:trPr>
          <w:trHeight w:val="380"/>
        </w:trPr>
        <w:tc>
          <w:tcPr>
            <w:tcW w:w="2651" w:type="dxa"/>
            <w:tcBorders>
              <w:top w:val="nil"/>
              <w:left w:val="nil"/>
              <w:bottom w:val="nil"/>
              <w:right w:val="nil"/>
            </w:tcBorders>
            <w:tcMar>
              <w:top w:w="128" w:type="dxa"/>
              <w:left w:w="43" w:type="dxa"/>
              <w:bottom w:w="43" w:type="dxa"/>
              <w:right w:w="43" w:type="dxa"/>
            </w:tcMar>
          </w:tcPr>
          <w:p w14:paraId="0806E133" w14:textId="77777777" w:rsidR="00FE02EF" w:rsidRPr="00CC19F7" w:rsidRDefault="00881E58" w:rsidP="00A06A7F">
            <w:r w:rsidRPr="00CC19F7">
              <w:t>Oseberg OGP</w:t>
            </w:r>
          </w:p>
        </w:tc>
        <w:tc>
          <w:tcPr>
            <w:tcW w:w="1275" w:type="dxa"/>
            <w:tcBorders>
              <w:top w:val="nil"/>
              <w:left w:val="nil"/>
              <w:bottom w:val="nil"/>
              <w:right w:val="nil"/>
            </w:tcBorders>
            <w:tcMar>
              <w:top w:w="128" w:type="dxa"/>
              <w:left w:w="43" w:type="dxa"/>
              <w:bottom w:w="43" w:type="dxa"/>
              <w:right w:w="43" w:type="dxa"/>
            </w:tcMar>
            <w:vAlign w:val="bottom"/>
          </w:tcPr>
          <w:p w14:paraId="0AFA1934" w14:textId="77777777" w:rsidR="00FE02EF" w:rsidRPr="00CC19F7" w:rsidRDefault="00881E58" w:rsidP="00A06A7F">
            <w:pPr>
              <w:jc w:val="right"/>
            </w:pPr>
            <w:r w:rsidRPr="00CC19F7">
              <w:t>2022</w:t>
            </w:r>
          </w:p>
        </w:tc>
        <w:tc>
          <w:tcPr>
            <w:tcW w:w="1154" w:type="dxa"/>
            <w:tcBorders>
              <w:top w:val="nil"/>
              <w:left w:val="nil"/>
              <w:bottom w:val="nil"/>
              <w:right w:val="nil"/>
            </w:tcBorders>
            <w:tcMar>
              <w:top w:w="128" w:type="dxa"/>
              <w:left w:w="43" w:type="dxa"/>
              <w:bottom w:w="43" w:type="dxa"/>
              <w:right w:w="43" w:type="dxa"/>
            </w:tcMar>
            <w:vAlign w:val="bottom"/>
          </w:tcPr>
          <w:p w14:paraId="37A591CB" w14:textId="77777777" w:rsidR="00FE02EF" w:rsidRPr="00CC19F7" w:rsidRDefault="00881E58" w:rsidP="00A06A7F">
            <w:pPr>
              <w:jc w:val="right"/>
            </w:pPr>
            <w:r w:rsidRPr="00CC19F7">
              <w:t>11,2</w:t>
            </w:r>
          </w:p>
        </w:tc>
        <w:tc>
          <w:tcPr>
            <w:tcW w:w="973" w:type="dxa"/>
            <w:tcBorders>
              <w:top w:val="nil"/>
              <w:left w:val="nil"/>
              <w:bottom w:val="nil"/>
              <w:right w:val="nil"/>
            </w:tcBorders>
            <w:tcMar>
              <w:top w:w="128" w:type="dxa"/>
              <w:left w:w="43" w:type="dxa"/>
              <w:bottom w:w="43" w:type="dxa"/>
              <w:right w:w="43" w:type="dxa"/>
            </w:tcMar>
            <w:vAlign w:val="bottom"/>
          </w:tcPr>
          <w:p w14:paraId="65D6F189" w14:textId="77777777" w:rsidR="00FE02EF" w:rsidRPr="00CC19F7" w:rsidRDefault="00881E58" w:rsidP="00A06A7F">
            <w:pPr>
              <w:jc w:val="right"/>
            </w:pPr>
            <w:r w:rsidRPr="00CC19F7">
              <w:t>12,4</w:t>
            </w:r>
          </w:p>
        </w:tc>
        <w:tc>
          <w:tcPr>
            <w:tcW w:w="1134" w:type="dxa"/>
            <w:tcBorders>
              <w:top w:val="nil"/>
              <w:left w:val="nil"/>
              <w:bottom w:val="nil"/>
              <w:right w:val="nil"/>
            </w:tcBorders>
            <w:tcMar>
              <w:top w:w="128" w:type="dxa"/>
              <w:left w:w="43" w:type="dxa"/>
              <w:bottom w:w="43" w:type="dxa"/>
              <w:right w:w="43" w:type="dxa"/>
            </w:tcMar>
            <w:vAlign w:val="bottom"/>
          </w:tcPr>
          <w:p w14:paraId="01FCF7FB" w14:textId="77777777" w:rsidR="00FE02EF" w:rsidRPr="00CC19F7" w:rsidRDefault="00881E58" w:rsidP="00A06A7F">
            <w:pPr>
              <w:jc w:val="right"/>
            </w:pPr>
            <w:r w:rsidRPr="00CC19F7">
              <w:t>-</w:t>
            </w:r>
          </w:p>
        </w:tc>
        <w:tc>
          <w:tcPr>
            <w:tcW w:w="992" w:type="dxa"/>
            <w:tcBorders>
              <w:top w:val="nil"/>
              <w:left w:val="nil"/>
              <w:bottom w:val="nil"/>
              <w:right w:val="nil"/>
            </w:tcBorders>
            <w:tcMar>
              <w:top w:w="128" w:type="dxa"/>
              <w:left w:w="43" w:type="dxa"/>
              <w:bottom w:w="43" w:type="dxa"/>
              <w:right w:w="43" w:type="dxa"/>
            </w:tcMar>
            <w:vAlign w:val="bottom"/>
          </w:tcPr>
          <w:p w14:paraId="60C1F82D" w14:textId="77777777" w:rsidR="00FE02EF" w:rsidRPr="00CC19F7" w:rsidRDefault="00881E58" w:rsidP="00A06A7F">
            <w:pPr>
              <w:jc w:val="right"/>
            </w:pPr>
            <w:r w:rsidRPr="00CC19F7">
              <w:t>1,2</w:t>
            </w:r>
          </w:p>
        </w:tc>
        <w:tc>
          <w:tcPr>
            <w:tcW w:w="1401" w:type="dxa"/>
            <w:tcBorders>
              <w:top w:val="nil"/>
              <w:left w:val="nil"/>
              <w:bottom w:val="nil"/>
              <w:right w:val="nil"/>
            </w:tcBorders>
            <w:tcMar>
              <w:top w:w="128" w:type="dxa"/>
              <w:left w:w="43" w:type="dxa"/>
              <w:bottom w:w="43" w:type="dxa"/>
              <w:right w:w="43" w:type="dxa"/>
            </w:tcMar>
            <w:vAlign w:val="bottom"/>
          </w:tcPr>
          <w:p w14:paraId="0C5AC5B2" w14:textId="77777777" w:rsidR="00FE02EF" w:rsidRPr="00CC19F7" w:rsidRDefault="00881E58" w:rsidP="00A06A7F">
            <w:pPr>
              <w:jc w:val="right"/>
            </w:pPr>
            <w:r w:rsidRPr="00CC19F7">
              <w:t>11</w:t>
            </w:r>
          </w:p>
        </w:tc>
      </w:tr>
      <w:tr w:rsidR="00FE02EF" w:rsidRPr="00CC19F7" w14:paraId="4E2B1661" w14:textId="77777777" w:rsidTr="00A06A7F">
        <w:trPr>
          <w:trHeight w:val="380"/>
        </w:trPr>
        <w:tc>
          <w:tcPr>
            <w:tcW w:w="2651" w:type="dxa"/>
            <w:tcBorders>
              <w:top w:val="nil"/>
              <w:left w:val="nil"/>
              <w:bottom w:val="nil"/>
              <w:right w:val="nil"/>
            </w:tcBorders>
            <w:tcMar>
              <w:top w:w="128" w:type="dxa"/>
              <w:left w:w="43" w:type="dxa"/>
              <w:bottom w:w="43" w:type="dxa"/>
              <w:right w:w="43" w:type="dxa"/>
            </w:tcMar>
          </w:tcPr>
          <w:p w14:paraId="054F817C" w14:textId="77777777" w:rsidR="00FE02EF" w:rsidRPr="00CC19F7" w:rsidRDefault="00881E58" w:rsidP="00A06A7F">
            <w:proofErr w:type="spellStart"/>
            <w:r w:rsidRPr="00CC19F7">
              <w:t>Eldisk</w:t>
            </w:r>
            <w:proofErr w:type="spellEnd"/>
            <w:r w:rsidRPr="00CC19F7">
              <w:t xml:space="preserve"> Nord</w:t>
            </w:r>
          </w:p>
        </w:tc>
        <w:tc>
          <w:tcPr>
            <w:tcW w:w="1275" w:type="dxa"/>
            <w:tcBorders>
              <w:top w:val="nil"/>
              <w:left w:val="nil"/>
              <w:bottom w:val="nil"/>
              <w:right w:val="nil"/>
            </w:tcBorders>
            <w:tcMar>
              <w:top w:w="128" w:type="dxa"/>
              <w:left w:w="43" w:type="dxa"/>
              <w:bottom w:w="43" w:type="dxa"/>
              <w:right w:w="43" w:type="dxa"/>
            </w:tcMar>
            <w:vAlign w:val="bottom"/>
          </w:tcPr>
          <w:p w14:paraId="5627132A" w14:textId="77777777" w:rsidR="00FE02EF" w:rsidRPr="00CC19F7" w:rsidRDefault="00881E58" w:rsidP="00A06A7F">
            <w:pPr>
              <w:jc w:val="right"/>
            </w:pPr>
            <w:r w:rsidRPr="00CC19F7">
              <w:t>2022</w:t>
            </w:r>
          </w:p>
        </w:tc>
        <w:tc>
          <w:tcPr>
            <w:tcW w:w="1154" w:type="dxa"/>
            <w:tcBorders>
              <w:top w:val="nil"/>
              <w:left w:val="nil"/>
              <w:bottom w:val="nil"/>
              <w:right w:val="nil"/>
            </w:tcBorders>
            <w:tcMar>
              <w:top w:w="128" w:type="dxa"/>
              <w:left w:w="43" w:type="dxa"/>
              <w:bottom w:w="43" w:type="dxa"/>
              <w:right w:w="43" w:type="dxa"/>
            </w:tcMar>
            <w:vAlign w:val="bottom"/>
          </w:tcPr>
          <w:p w14:paraId="3417170A" w14:textId="77777777" w:rsidR="00FE02EF" w:rsidRPr="00CC19F7" w:rsidRDefault="00881E58" w:rsidP="00A06A7F">
            <w:pPr>
              <w:jc w:val="right"/>
            </w:pPr>
            <w:r w:rsidRPr="00CC19F7">
              <w:t>11,3</w:t>
            </w:r>
          </w:p>
        </w:tc>
        <w:tc>
          <w:tcPr>
            <w:tcW w:w="973" w:type="dxa"/>
            <w:tcBorders>
              <w:top w:val="nil"/>
              <w:left w:val="nil"/>
              <w:bottom w:val="nil"/>
              <w:right w:val="nil"/>
            </w:tcBorders>
            <w:tcMar>
              <w:top w:w="128" w:type="dxa"/>
              <w:left w:w="43" w:type="dxa"/>
              <w:bottom w:w="43" w:type="dxa"/>
              <w:right w:w="43" w:type="dxa"/>
            </w:tcMar>
            <w:vAlign w:val="bottom"/>
          </w:tcPr>
          <w:p w14:paraId="74DB99DF" w14:textId="77777777" w:rsidR="00FE02EF" w:rsidRPr="00CC19F7" w:rsidRDefault="00881E58" w:rsidP="00A06A7F">
            <w:pPr>
              <w:jc w:val="right"/>
            </w:pPr>
            <w:r w:rsidRPr="00CC19F7">
              <w:t>12,2</w:t>
            </w:r>
          </w:p>
        </w:tc>
        <w:tc>
          <w:tcPr>
            <w:tcW w:w="1134" w:type="dxa"/>
            <w:tcBorders>
              <w:top w:val="nil"/>
              <w:left w:val="nil"/>
              <w:bottom w:val="nil"/>
              <w:right w:val="nil"/>
            </w:tcBorders>
            <w:tcMar>
              <w:top w:w="128" w:type="dxa"/>
              <w:left w:w="43" w:type="dxa"/>
              <w:bottom w:w="43" w:type="dxa"/>
              <w:right w:w="43" w:type="dxa"/>
            </w:tcMar>
            <w:vAlign w:val="bottom"/>
          </w:tcPr>
          <w:p w14:paraId="27AAE58B" w14:textId="77777777" w:rsidR="00FE02EF" w:rsidRPr="00CC19F7" w:rsidRDefault="00881E58" w:rsidP="00A06A7F">
            <w:pPr>
              <w:jc w:val="right"/>
            </w:pPr>
            <w:r w:rsidRPr="00CC19F7">
              <w:t>-</w:t>
            </w:r>
          </w:p>
        </w:tc>
        <w:tc>
          <w:tcPr>
            <w:tcW w:w="992" w:type="dxa"/>
            <w:tcBorders>
              <w:top w:val="nil"/>
              <w:left w:val="nil"/>
              <w:bottom w:val="nil"/>
              <w:right w:val="nil"/>
            </w:tcBorders>
            <w:tcMar>
              <w:top w:w="128" w:type="dxa"/>
              <w:left w:w="43" w:type="dxa"/>
              <w:bottom w:w="43" w:type="dxa"/>
              <w:right w:w="43" w:type="dxa"/>
            </w:tcMar>
            <w:vAlign w:val="bottom"/>
          </w:tcPr>
          <w:p w14:paraId="6234BDC4" w14:textId="77777777" w:rsidR="00FE02EF" w:rsidRPr="00CC19F7" w:rsidRDefault="00881E58" w:rsidP="00A06A7F">
            <w:pPr>
              <w:jc w:val="right"/>
            </w:pPr>
            <w:r w:rsidRPr="00CC19F7">
              <w:t>0,9</w:t>
            </w:r>
          </w:p>
        </w:tc>
        <w:tc>
          <w:tcPr>
            <w:tcW w:w="1401" w:type="dxa"/>
            <w:tcBorders>
              <w:top w:val="nil"/>
              <w:left w:val="nil"/>
              <w:bottom w:val="nil"/>
              <w:right w:val="nil"/>
            </w:tcBorders>
            <w:tcMar>
              <w:top w:w="128" w:type="dxa"/>
              <w:left w:w="43" w:type="dxa"/>
              <w:bottom w:w="43" w:type="dxa"/>
              <w:right w:w="43" w:type="dxa"/>
            </w:tcMar>
            <w:vAlign w:val="bottom"/>
          </w:tcPr>
          <w:p w14:paraId="1C60F1DB" w14:textId="77777777" w:rsidR="00FE02EF" w:rsidRPr="00CC19F7" w:rsidRDefault="00881E58" w:rsidP="00A06A7F">
            <w:pPr>
              <w:jc w:val="right"/>
            </w:pPr>
            <w:r w:rsidRPr="00CC19F7">
              <w:t>8</w:t>
            </w:r>
          </w:p>
        </w:tc>
      </w:tr>
      <w:tr w:rsidR="00FE02EF" w:rsidRPr="00CC19F7" w14:paraId="4F85C45C" w14:textId="77777777" w:rsidTr="00A06A7F">
        <w:trPr>
          <w:trHeight w:val="640"/>
        </w:trPr>
        <w:tc>
          <w:tcPr>
            <w:tcW w:w="2651" w:type="dxa"/>
            <w:tcBorders>
              <w:top w:val="nil"/>
              <w:left w:val="nil"/>
              <w:bottom w:val="nil"/>
              <w:right w:val="nil"/>
            </w:tcBorders>
            <w:tcMar>
              <w:top w:w="128" w:type="dxa"/>
              <w:left w:w="43" w:type="dxa"/>
              <w:bottom w:w="43" w:type="dxa"/>
              <w:right w:w="43" w:type="dxa"/>
            </w:tcMar>
          </w:tcPr>
          <w:p w14:paraId="66066D70" w14:textId="77777777" w:rsidR="00FE02EF" w:rsidRPr="00CC19F7" w:rsidRDefault="00881E58" w:rsidP="00A06A7F">
            <w:r w:rsidRPr="00CC19F7">
              <w:t xml:space="preserve">Gina Krog – alternativ </w:t>
            </w:r>
            <w:r w:rsidRPr="00CC19F7">
              <w:br/>
              <w:t>eksportløysing</w:t>
            </w:r>
          </w:p>
        </w:tc>
        <w:tc>
          <w:tcPr>
            <w:tcW w:w="1275" w:type="dxa"/>
            <w:tcBorders>
              <w:top w:val="nil"/>
              <w:left w:val="nil"/>
              <w:bottom w:val="nil"/>
              <w:right w:val="nil"/>
            </w:tcBorders>
            <w:tcMar>
              <w:top w:w="128" w:type="dxa"/>
              <w:left w:w="43" w:type="dxa"/>
              <w:bottom w:w="43" w:type="dxa"/>
              <w:right w:w="43" w:type="dxa"/>
            </w:tcMar>
            <w:vAlign w:val="bottom"/>
          </w:tcPr>
          <w:p w14:paraId="1FA1589A" w14:textId="77777777" w:rsidR="00FE02EF" w:rsidRPr="00CC19F7" w:rsidRDefault="00881E58" w:rsidP="00A06A7F">
            <w:pPr>
              <w:jc w:val="right"/>
            </w:pPr>
            <w:r w:rsidRPr="00CC19F7">
              <w:t>2022</w:t>
            </w:r>
          </w:p>
        </w:tc>
        <w:tc>
          <w:tcPr>
            <w:tcW w:w="1154" w:type="dxa"/>
            <w:tcBorders>
              <w:top w:val="nil"/>
              <w:left w:val="nil"/>
              <w:bottom w:val="nil"/>
              <w:right w:val="nil"/>
            </w:tcBorders>
            <w:tcMar>
              <w:top w:w="128" w:type="dxa"/>
              <w:left w:w="43" w:type="dxa"/>
              <w:bottom w:w="43" w:type="dxa"/>
              <w:right w:w="43" w:type="dxa"/>
            </w:tcMar>
            <w:vAlign w:val="bottom"/>
          </w:tcPr>
          <w:p w14:paraId="0BD0C98A" w14:textId="77777777" w:rsidR="00FE02EF" w:rsidRPr="00CC19F7" w:rsidRDefault="00881E58" w:rsidP="00A06A7F">
            <w:pPr>
              <w:jc w:val="right"/>
            </w:pPr>
            <w:r w:rsidRPr="00CC19F7">
              <w:t>1,3</w:t>
            </w:r>
          </w:p>
        </w:tc>
        <w:tc>
          <w:tcPr>
            <w:tcW w:w="973" w:type="dxa"/>
            <w:tcBorders>
              <w:top w:val="nil"/>
              <w:left w:val="nil"/>
              <w:bottom w:val="nil"/>
              <w:right w:val="nil"/>
            </w:tcBorders>
            <w:tcMar>
              <w:top w:w="128" w:type="dxa"/>
              <w:left w:w="43" w:type="dxa"/>
              <w:bottom w:w="43" w:type="dxa"/>
              <w:right w:w="43" w:type="dxa"/>
            </w:tcMar>
            <w:vAlign w:val="bottom"/>
          </w:tcPr>
          <w:p w14:paraId="63D07272" w14:textId="77777777" w:rsidR="00FE02EF" w:rsidRPr="00CC19F7" w:rsidRDefault="00881E58" w:rsidP="00A06A7F">
            <w:pPr>
              <w:jc w:val="right"/>
            </w:pPr>
            <w:r w:rsidRPr="00CC19F7">
              <w:t>1,3</w:t>
            </w:r>
          </w:p>
        </w:tc>
        <w:tc>
          <w:tcPr>
            <w:tcW w:w="1134" w:type="dxa"/>
            <w:tcBorders>
              <w:top w:val="nil"/>
              <w:left w:val="nil"/>
              <w:bottom w:val="nil"/>
              <w:right w:val="nil"/>
            </w:tcBorders>
            <w:tcMar>
              <w:top w:w="128" w:type="dxa"/>
              <w:left w:w="43" w:type="dxa"/>
              <w:bottom w:w="43" w:type="dxa"/>
              <w:right w:w="43" w:type="dxa"/>
            </w:tcMar>
            <w:vAlign w:val="bottom"/>
          </w:tcPr>
          <w:p w14:paraId="4EC36BE9" w14:textId="77777777" w:rsidR="00FE02EF" w:rsidRPr="00CC19F7" w:rsidRDefault="00881E58" w:rsidP="00A06A7F">
            <w:pPr>
              <w:jc w:val="right"/>
            </w:pPr>
            <w:r w:rsidRPr="00CC19F7">
              <w:t>-</w:t>
            </w:r>
          </w:p>
        </w:tc>
        <w:tc>
          <w:tcPr>
            <w:tcW w:w="992" w:type="dxa"/>
            <w:tcBorders>
              <w:top w:val="nil"/>
              <w:left w:val="nil"/>
              <w:bottom w:val="nil"/>
              <w:right w:val="nil"/>
            </w:tcBorders>
            <w:tcMar>
              <w:top w:w="128" w:type="dxa"/>
              <w:left w:w="43" w:type="dxa"/>
              <w:bottom w:w="43" w:type="dxa"/>
              <w:right w:w="43" w:type="dxa"/>
            </w:tcMar>
            <w:vAlign w:val="bottom"/>
          </w:tcPr>
          <w:p w14:paraId="3A0FA415" w14:textId="77777777" w:rsidR="00FE02EF" w:rsidRPr="00CC19F7" w:rsidRDefault="00881E58" w:rsidP="00A06A7F">
            <w:pPr>
              <w:jc w:val="right"/>
            </w:pPr>
            <w:r w:rsidRPr="00CC19F7">
              <w:t>-</w:t>
            </w:r>
          </w:p>
        </w:tc>
        <w:tc>
          <w:tcPr>
            <w:tcW w:w="1401" w:type="dxa"/>
            <w:tcBorders>
              <w:top w:val="nil"/>
              <w:left w:val="nil"/>
              <w:bottom w:val="nil"/>
              <w:right w:val="nil"/>
            </w:tcBorders>
            <w:tcMar>
              <w:top w:w="128" w:type="dxa"/>
              <w:left w:w="43" w:type="dxa"/>
              <w:bottom w:w="43" w:type="dxa"/>
              <w:right w:w="43" w:type="dxa"/>
            </w:tcMar>
            <w:vAlign w:val="bottom"/>
          </w:tcPr>
          <w:p w14:paraId="05169CB0" w14:textId="77777777" w:rsidR="00FE02EF" w:rsidRPr="00CC19F7" w:rsidRDefault="00881E58" w:rsidP="00A06A7F">
            <w:pPr>
              <w:jc w:val="right"/>
            </w:pPr>
            <w:r w:rsidRPr="00CC19F7">
              <w:t>-</w:t>
            </w:r>
          </w:p>
        </w:tc>
      </w:tr>
      <w:tr w:rsidR="00FE02EF" w:rsidRPr="00CC19F7" w14:paraId="77C324F2" w14:textId="77777777" w:rsidTr="00A06A7F">
        <w:trPr>
          <w:trHeight w:val="380"/>
        </w:trPr>
        <w:tc>
          <w:tcPr>
            <w:tcW w:w="2651" w:type="dxa"/>
            <w:tcBorders>
              <w:top w:val="nil"/>
              <w:left w:val="nil"/>
              <w:bottom w:val="nil"/>
              <w:right w:val="nil"/>
            </w:tcBorders>
            <w:tcMar>
              <w:top w:w="128" w:type="dxa"/>
              <w:left w:w="43" w:type="dxa"/>
              <w:bottom w:w="43" w:type="dxa"/>
              <w:right w:w="43" w:type="dxa"/>
            </w:tcMar>
          </w:tcPr>
          <w:p w14:paraId="59CACEA5" w14:textId="77777777" w:rsidR="00FE02EF" w:rsidRPr="00CC19F7" w:rsidRDefault="00881E58" w:rsidP="00A06A7F">
            <w:r w:rsidRPr="00CC19F7">
              <w:t>Halten Øst</w:t>
            </w:r>
          </w:p>
        </w:tc>
        <w:tc>
          <w:tcPr>
            <w:tcW w:w="1275" w:type="dxa"/>
            <w:tcBorders>
              <w:top w:val="nil"/>
              <w:left w:val="nil"/>
              <w:bottom w:val="nil"/>
              <w:right w:val="nil"/>
            </w:tcBorders>
            <w:tcMar>
              <w:top w:w="128" w:type="dxa"/>
              <w:left w:w="43" w:type="dxa"/>
              <w:bottom w:w="43" w:type="dxa"/>
              <w:right w:w="43" w:type="dxa"/>
            </w:tcMar>
            <w:vAlign w:val="bottom"/>
          </w:tcPr>
          <w:p w14:paraId="546665E2" w14:textId="77777777" w:rsidR="00FE02EF" w:rsidRPr="00CC19F7" w:rsidRDefault="00881E58" w:rsidP="00A06A7F">
            <w:pPr>
              <w:jc w:val="right"/>
            </w:pPr>
            <w:r w:rsidRPr="00CC19F7">
              <w:t>2023</w:t>
            </w:r>
          </w:p>
        </w:tc>
        <w:tc>
          <w:tcPr>
            <w:tcW w:w="1154" w:type="dxa"/>
            <w:tcBorders>
              <w:top w:val="nil"/>
              <w:left w:val="nil"/>
              <w:bottom w:val="nil"/>
              <w:right w:val="nil"/>
            </w:tcBorders>
            <w:tcMar>
              <w:top w:w="128" w:type="dxa"/>
              <w:left w:w="43" w:type="dxa"/>
              <w:bottom w:w="43" w:type="dxa"/>
              <w:right w:w="43" w:type="dxa"/>
            </w:tcMar>
            <w:vAlign w:val="bottom"/>
          </w:tcPr>
          <w:p w14:paraId="775F760D" w14:textId="77777777" w:rsidR="00FE02EF" w:rsidRPr="00CC19F7" w:rsidRDefault="00881E58" w:rsidP="00A06A7F">
            <w:pPr>
              <w:jc w:val="right"/>
            </w:pPr>
            <w:r w:rsidRPr="00CC19F7">
              <w:t>9,3</w:t>
            </w:r>
          </w:p>
        </w:tc>
        <w:tc>
          <w:tcPr>
            <w:tcW w:w="973" w:type="dxa"/>
            <w:tcBorders>
              <w:top w:val="nil"/>
              <w:left w:val="nil"/>
              <w:bottom w:val="nil"/>
              <w:right w:val="nil"/>
            </w:tcBorders>
            <w:tcMar>
              <w:top w:w="128" w:type="dxa"/>
              <w:left w:w="43" w:type="dxa"/>
              <w:bottom w:w="43" w:type="dxa"/>
              <w:right w:w="43" w:type="dxa"/>
            </w:tcMar>
            <w:vAlign w:val="bottom"/>
          </w:tcPr>
          <w:p w14:paraId="2440C098" w14:textId="77777777" w:rsidR="00FE02EF" w:rsidRPr="00CC19F7" w:rsidRDefault="00881E58" w:rsidP="00A06A7F">
            <w:pPr>
              <w:jc w:val="right"/>
            </w:pPr>
            <w:r w:rsidRPr="00CC19F7">
              <w:t>9,2</w:t>
            </w:r>
          </w:p>
        </w:tc>
        <w:tc>
          <w:tcPr>
            <w:tcW w:w="1134" w:type="dxa"/>
            <w:tcBorders>
              <w:top w:val="nil"/>
              <w:left w:val="nil"/>
              <w:bottom w:val="nil"/>
              <w:right w:val="nil"/>
            </w:tcBorders>
            <w:tcMar>
              <w:top w:w="128" w:type="dxa"/>
              <w:left w:w="43" w:type="dxa"/>
              <w:bottom w:w="43" w:type="dxa"/>
              <w:right w:w="43" w:type="dxa"/>
            </w:tcMar>
            <w:vAlign w:val="bottom"/>
          </w:tcPr>
          <w:p w14:paraId="63294209" w14:textId="77777777" w:rsidR="00FE02EF" w:rsidRPr="00CC19F7" w:rsidRDefault="00881E58" w:rsidP="00A06A7F">
            <w:pPr>
              <w:jc w:val="right"/>
            </w:pPr>
            <w:r w:rsidRPr="00CC19F7">
              <w:t>-</w:t>
            </w:r>
          </w:p>
        </w:tc>
        <w:tc>
          <w:tcPr>
            <w:tcW w:w="992" w:type="dxa"/>
            <w:tcBorders>
              <w:top w:val="nil"/>
              <w:left w:val="nil"/>
              <w:bottom w:val="nil"/>
              <w:right w:val="nil"/>
            </w:tcBorders>
            <w:tcMar>
              <w:top w:w="128" w:type="dxa"/>
              <w:left w:w="43" w:type="dxa"/>
              <w:bottom w:w="43" w:type="dxa"/>
              <w:right w:w="43" w:type="dxa"/>
            </w:tcMar>
            <w:vAlign w:val="bottom"/>
          </w:tcPr>
          <w:p w14:paraId="40D743AA" w14:textId="77777777" w:rsidR="00FE02EF" w:rsidRPr="00CC19F7" w:rsidRDefault="00881E58" w:rsidP="00A06A7F">
            <w:pPr>
              <w:jc w:val="right"/>
            </w:pPr>
            <w:r w:rsidRPr="00CC19F7">
              <w:t>-0,1</w:t>
            </w:r>
          </w:p>
        </w:tc>
        <w:tc>
          <w:tcPr>
            <w:tcW w:w="1401" w:type="dxa"/>
            <w:tcBorders>
              <w:top w:val="nil"/>
              <w:left w:val="nil"/>
              <w:bottom w:val="nil"/>
              <w:right w:val="nil"/>
            </w:tcBorders>
            <w:tcMar>
              <w:top w:w="128" w:type="dxa"/>
              <w:left w:w="43" w:type="dxa"/>
              <w:bottom w:w="43" w:type="dxa"/>
              <w:right w:w="43" w:type="dxa"/>
            </w:tcMar>
            <w:vAlign w:val="bottom"/>
          </w:tcPr>
          <w:p w14:paraId="1D4B95EB" w14:textId="77777777" w:rsidR="00FE02EF" w:rsidRPr="00CC19F7" w:rsidRDefault="00881E58" w:rsidP="00A06A7F">
            <w:pPr>
              <w:jc w:val="right"/>
            </w:pPr>
            <w:r w:rsidRPr="00CC19F7">
              <w:t>-1</w:t>
            </w:r>
          </w:p>
        </w:tc>
      </w:tr>
      <w:tr w:rsidR="00FE02EF" w:rsidRPr="00CC19F7" w14:paraId="13CAC654" w14:textId="77777777" w:rsidTr="00A06A7F">
        <w:trPr>
          <w:trHeight w:val="380"/>
        </w:trPr>
        <w:tc>
          <w:tcPr>
            <w:tcW w:w="2651" w:type="dxa"/>
            <w:tcBorders>
              <w:top w:val="nil"/>
              <w:left w:val="nil"/>
              <w:bottom w:val="nil"/>
              <w:right w:val="nil"/>
            </w:tcBorders>
            <w:tcMar>
              <w:top w:w="128" w:type="dxa"/>
              <w:left w:w="43" w:type="dxa"/>
              <w:bottom w:w="43" w:type="dxa"/>
              <w:right w:w="43" w:type="dxa"/>
            </w:tcMar>
          </w:tcPr>
          <w:p w14:paraId="146D4A2F" w14:textId="77777777" w:rsidR="00FE02EF" w:rsidRPr="00CC19F7" w:rsidRDefault="00881E58" w:rsidP="00A06A7F">
            <w:r w:rsidRPr="00CC19F7">
              <w:t>Tyrving</w:t>
            </w:r>
          </w:p>
        </w:tc>
        <w:tc>
          <w:tcPr>
            <w:tcW w:w="1275" w:type="dxa"/>
            <w:tcBorders>
              <w:top w:val="nil"/>
              <w:left w:val="nil"/>
              <w:bottom w:val="nil"/>
              <w:right w:val="nil"/>
            </w:tcBorders>
            <w:tcMar>
              <w:top w:w="128" w:type="dxa"/>
              <w:left w:w="43" w:type="dxa"/>
              <w:bottom w:w="43" w:type="dxa"/>
              <w:right w:w="43" w:type="dxa"/>
            </w:tcMar>
            <w:vAlign w:val="bottom"/>
          </w:tcPr>
          <w:p w14:paraId="3FC3A0B3" w14:textId="77777777" w:rsidR="00FE02EF" w:rsidRPr="00CC19F7" w:rsidRDefault="00881E58" w:rsidP="00A06A7F">
            <w:pPr>
              <w:jc w:val="right"/>
            </w:pPr>
            <w:r w:rsidRPr="00CC19F7">
              <w:t>2023</w:t>
            </w:r>
          </w:p>
        </w:tc>
        <w:tc>
          <w:tcPr>
            <w:tcW w:w="1154" w:type="dxa"/>
            <w:tcBorders>
              <w:top w:val="nil"/>
              <w:left w:val="nil"/>
              <w:bottom w:val="nil"/>
              <w:right w:val="nil"/>
            </w:tcBorders>
            <w:tcMar>
              <w:top w:w="128" w:type="dxa"/>
              <w:left w:w="43" w:type="dxa"/>
              <w:bottom w:w="43" w:type="dxa"/>
              <w:right w:w="43" w:type="dxa"/>
            </w:tcMar>
            <w:vAlign w:val="bottom"/>
          </w:tcPr>
          <w:p w14:paraId="4EF8D2A3" w14:textId="77777777" w:rsidR="00FE02EF" w:rsidRPr="00CC19F7" w:rsidRDefault="00881E58" w:rsidP="00A06A7F">
            <w:pPr>
              <w:jc w:val="right"/>
            </w:pPr>
            <w:r w:rsidRPr="00CC19F7">
              <w:t>6,5</w:t>
            </w:r>
          </w:p>
        </w:tc>
        <w:tc>
          <w:tcPr>
            <w:tcW w:w="973" w:type="dxa"/>
            <w:tcBorders>
              <w:top w:val="nil"/>
              <w:left w:val="nil"/>
              <w:bottom w:val="nil"/>
              <w:right w:val="nil"/>
            </w:tcBorders>
            <w:tcMar>
              <w:top w:w="128" w:type="dxa"/>
              <w:left w:w="43" w:type="dxa"/>
              <w:bottom w:w="43" w:type="dxa"/>
              <w:right w:w="43" w:type="dxa"/>
            </w:tcMar>
            <w:vAlign w:val="bottom"/>
          </w:tcPr>
          <w:p w14:paraId="3AB5885D" w14:textId="77777777" w:rsidR="00FE02EF" w:rsidRPr="00CC19F7" w:rsidRDefault="00881E58" w:rsidP="00A06A7F">
            <w:pPr>
              <w:jc w:val="right"/>
            </w:pPr>
            <w:r w:rsidRPr="00CC19F7">
              <w:t>6,5</w:t>
            </w:r>
          </w:p>
        </w:tc>
        <w:tc>
          <w:tcPr>
            <w:tcW w:w="1134" w:type="dxa"/>
            <w:tcBorders>
              <w:top w:val="nil"/>
              <w:left w:val="nil"/>
              <w:bottom w:val="nil"/>
              <w:right w:val="nil"/>
            </w:tcBorders>
            <w:tcMar>
              <w:top w:w="128" w:type="dxa"/>
              <w:left w:w="43" w:type="dxa"/>
              <w:bottom w:w="43" w:type="dxa"/>
              <w:right w:w="43" w:type="dxa"/>
            </w:tcMar>
            <w:vAlign w:val="bottom"/>
          </w:tcPr>
          <w:p w14:paraId="613D26C2" w14:textId="77777777" w:rsidR="00FE02EF" w:rsidRPr="00CC19F7" w:rsidRDefault="00881E58" w:rsidP="00A06A7F">
            <w:pPr>
              <w:jc w:val="right"/>
            </w:pPr>
            <w:r w:rsidRPr="00CC19F7">
              <w:t>-</w:t>
            </w:r>
          </w:p>
        </w:tc>
        <w:tc>
          <w:tcPr>
            <w:tcW w:w="992" w:type="dxa"/>
            <w:tcBorders>
              <w:top w:val="nil"/>
              <w:left w:val="nil"/>
              <w:bottom w:val="nil"/>
              <w:right w:val="nil"/>
            </w:tcBorders>
            <w:tcMar>
              <w:top w:w="128" w:type="dxa"/>
              <w:left w:w="43" w:type="dxa"/>
              <w:bottom w:w="43" w:type="dxa"/>
              <w:right w:w="43" w:type="dxa"/>
            </w:tcMar>
            <w:vAlign w:val="bottom"/>
          </w:tcPr>
          <w:p w14:paraId="0204CB8E" w14:textId="77777777" w:rsidR="00FE02EF" w:rsidRPr="00CC19F7" w:rsidRDefault="00881E58" w:rsidP="00A06A7F">
            <w:pPr>
              <w:jc w:val="right"/>
            </w:pPr>
            <w:r w:rsidRPr="00CC19F7">
              <w:t>-</w:t>
            </w:r>
          </w:p>
        </w:tc>
        <w:tc>
          <w:tcPr>
            <w:tcW w:w="1401" w:type="dxa"/>
            <w:tcBorders>
              <w:top w:val="nil"/>
              <w:left w:val="nil"/>
              <w:bottom w:val="nil"/>
              <w:right w:val="nil"/>
            </w:tcBorders>
            <w:tcMar>
              <w:top w:w="128" w:type="dxa"/>
              <w:left w:w="43" w:type="dxa"/>
              <w:bottom w:w="43" w:type="dxa"/>
              <w:right w:w="43" w:type="dxa"/>
            </w:tcMar>
            <w:vAlign w:val="bottom"/>
          </w:tcPr>
          <w:p w14:paraId="0D01A95B" w14:textId="77777777" w:rsidR="00FE02EF" w:rsidRPr="00CC19F7" w:rsidRDefault="00881E58" w:rsidP="00A06A7F">
            <w:pPr>
              <w:jc w:val="right"/>
            </w:pPr>
            <w:r w:rsidRPr="00CC19F7">
              <w:t>-</w:t>
            </w:r>
          </w:p>
        </w:tc>
      </w:tr>
      <w:tr w:rsidR="00FE02EF" w:rsidRPr="00CC19F7" w14:paraId="6AA8B3DF" w14:textId="77777777" w:rsidTr="00A06A7F">
        <w:trPr>
          <w:trHeight w:val="380"/>
        </w:trPr>
        <w:tc>
          <w:tcPr>
            <w:tcW w:w="2651" w:type="dxa"/>
            <w:tcBorders>
              <w:top w:val="nil"/>
              <w:left w:val="nil"/>
              <w:bottom w:val="nil"/>
              <w:right w:val="nil"/>
            </w:tcBorders>
            <w:tcMar>
              <w:top w:w="128" w:type="dxa"/>
              <w:left w:w="43" w:type="dxa"/>
              <w:bottom w:w="43" w:type="dxa"/>
              <w:right w:w="43" w:type="dxa"/>
            </w:tcMar>
          </w:tcPr>
          <w:p w14:paraId="65274CCF" w14:textId="77777777" w:rsidR="00FE02EF" w:rsidRPr="00CC19F7" w:rsidRDefault="00881E58" w:rsidP="00A06A7F">
            <w:r w:rsidRPr="00CC19F7">
              <w:t>Yggdrasil</w:t>
            </w:r>
          </w:p>
        </w:tc>
        <w:tc>
          <w:tcPr>
            <w:tcW w:w="1275" w:type="dxa"/>
            <w:tcBorders>
              <w:top w:val="nil"/>
              <w:left w:val="nil"/>
              <w:bottom w:val="nil"/>
              <w:right w:val="nil"/>
            </w:tcBorders>
            <w:tcMar>
              <w:top w:w="128" w:type="dxa"/>
              <w:left w:w="43" w:type="dxa"/>
              <w:bottom w:w="43" w:type="dxa"/>
              <w:right w:w="43" w:type="dxa"/>
            </w:tcMar>
            <w:vAlign w:val="bottom"/>
          </w:tcPr>
          <w:p w14:paraId="2FBA9D05" w14:textId="77777777" w:rsidR="00FE02EF" w:rsidRPr="00CC19F7" w:rsidRDefault="00881E58" w:rsidP="00A06A7F">
            <w:pPr>
              <w:jc w:val="right"/>
            </w:pPr>
            <w:r w:rsidRPr="00CC19F7">
              <w:t>2023</w:t>
            </w:r>
          </w:p>
        </w:tc>
        <w:tc>
          <w:tcPr>
            <w:tcW w:w="1154" w:type="dxa"/>
            <w:tcBorders>
              <w:top w:val="nil"/>
              <w:left w:val="nil"/>
              <w:bottom w:val="nil"/>
              <w:right w:val="nil"/>
            </w:tcBorders>
            <w:tcMar>
              <w:top w:w="128" w:type="dxa"/>
              <w:left w:w="43" w:type="dxa"/>
              <w:bottom w:w="43" w:type="dxa"/>
              <w:right w:w="43" w:type="dxa"/>
            </w:tcMar>
            <w:vAlign w:val="bottom"/>
          </w:tcPr>
          <w:p w14:paraId="252695B2" w14:textId="77777777" w:rsidR="00FE02EF" w:rsidRPr="00CC19F7" w:rsidRDefault="00881E58" w:rsidP="00A06A7F">
            <w:pPr>
              <w:jc w:val="right"/>
            </w:pPr>
            <w:r w:rsidRPr="00CC19F7">
              <w:t>120,8</w:t>
            </w:r>
          </w:p>
        </w:tc>
        <w:tc>
          <w:tcPr>
            <w:tcW w:w="973" w:type="dxa"/>
            <w:tcBorders>
              <w:top w:val="nil"/>
              <w:left w:val="nil"/>
              <w:bottom w:val="nil"/>
              <w:right w:val="nil"/>
            </w:tcBorders>
            <w:tcMar>
              <w:top w:w="128" w:type="dxa"/>
              <w:left w:w="43" w:type="dxa"/>
              <w:bottom w:w="43" w:type="dxa"/>
              <w:right w:w="43" w:type="dxa"/>
            </w:tcMar>
            <w:vAlign w:val="bottom"/>
          </w:tcPr>
          <w:p w14:paraId="54498F13" w14:textId="77777777" w:rsidR="00FE02EF" w:rsidRPr="00CC19F7" w:rsidRDefault="00881E58" w:rsidP="00A06A7F">
            <w:pPr>
              <w:jc w:val="right"/>
            </w:pPr>
            <w:r w:rsidRPr="00CC19F7">
              <w:t>120,8</w:t>
            </w:r>
          </w:p>
        </w:tc>
        <w:tc>
          <w:tcPr>
            <w:tcW w:w="1134" w:type="dxa"/>
            <w:tcBorders>
              <w:top w:val="nil"/>
              <w:left w:val="nil"/>
              <w:bottom w:val="nil"/>
              <w:right w:val="nil"/>
            </w:tcBorders>
            <w:tcMar>
              <w:top w:w="128" w:type="dxa"/>
              <w:left w:w="43" w:type="dxa"/>
              <w:bottom w:w="43" w:type="dxa"/>
              <w:right w:w="43" w:type="dxa"/>
            </w:tcMar>
            <w:vAlign w:val="bottom"/>
          </w:tcPr>
          <w:p w14:paraId="2502BBB3" w14:textId="77777777" w:rsidR="00FE02EF" w:rsidRPr="00CC19F7" w:rsidRDefault="00881E58" w:rsidP="00A06A7F">
            <w:pPr>
              <w:jc w:val="right"/>
            </w:pPr>
            <w:r w:rsidRPr="00CC19F7">
              <w:t>-</w:t>
            </w:r>
          </w:p>
        </w:tc>
        <w:tc>
          <w:tcPr>
            <w:tcW w:w="992" w:type="dxa"/>
            <w:tcBorders>
              <w:top w:val="nil"/>
              <w:left w:val="nil"/>
              <w:bottom w:val="nil"/>
              <w:right w:val="nil"/>
            </w:tcBorders>
            <w:tcMar>
              <w:top w:w="128" w:type="dxa"/>
              <w:left w:w="43" w:type="dxa"/>
              <w:bottom w:w="43" w:type="dxa"/>
              <w:right w:w="43" w:type="dxa"/>
            </w:tcMar>
            <w:vAlign w:val="bottom"/>
          </w:tcPr>
          <w:p w14:paraId="74E775CD" w14:textId="77777777" w:rsidR="00FE02EF" w:rsidRPr="00CC19F7" w:rsidRDefault="00881E58" w:rsidP="00A06A7F">
            <w:pPr>
              <w:jc w:val="right"/>
            </w:pPr>
            <w:r w:rsidRPr="00CC19F7">
              <w:t>-</w:t>
            </w:r>
          </w:p>
        </w:tc>
        <w:tc>
          <w:tcPr>
            <w:tcW w:w="1401" w:type="dxa"/>
            <w:tcBorders>
              <w:top w:val="nil"/>
              <w:left w:val="nil"/>
              <w:bottom w:val="nil"/>
              <w:right w:val="nil"/>
            </w:tcBorders>
            <w:tcMar>
              <w:top w:w="128" w:type="dxa"/>
              <w:left w:w="43" w:type="dxa"/>
              <w:bottom w:w="43" w:type="dxa"/>
              <w:right w:w="43" w:type="dxa"/>
            </w:tcMar>
            <w:vAlign w:val="bottom"/>
          </w:tcPr>
          <w:p w14:paraId="6E9F2704" w14:textId="77777777" w:rsidR="00FE02EF" w:rsidRPr="00CC19F7" w:rsidRDefault="00881E58" w:rsidP="00A06A7F">
            <w:pPr>
              <w:jc w:val="right"/>
            </w:pPr>
            <w:r w:rsidRPr="00CC19F7">
              <w:t>-</w:t>
            </w:r>
          </w:p>
        </w:tc>
      </w:tr>
      <w:tr w:rsidR="00FE02EF" w:rsidRPr="00CC19F7" w14:paraId="0691362F" w14:textId="77777777" w:rsidTr="00A06A7F">
        <w:trPr>
          <w:trHeight w:val="380"/>
        </w:trPr>
        <w:tc>
          <w:tcPr>
            <w:tcW w:w="2651" w:type="dxa"/>
            <w:tcBorders>
              <w:top w:val="nil"/>
              <w:left w:val="nil"/>
              <w:bottom w:val="nil"/>
              <w:right w:val="nil"/>
            </w:tcBorders>
            <w:tcMar>
              <w:top w:w="128" w:type="dxa"/>
              <w:left w:w="43" w:type="dxa"/>
              <w:bottom w:w="43" w:type="dxa"/>
              <w:right w:w="43" w:type="dxa"/>
            </w:tcMar>
          </w:tcPr>
          <w:p w14:paraId="65094FBF" w14:textId="77777777" w:rsidR="00FE02EF" w:rsidRPr="00CC19F7" w:rsidRDefault="00881E58" w:rsidP="00A06A7F">
            <w:r w:rsidRPr="00CC19F7">
              <w:t>Valhall/</w:t>
            </w:r>
            <w:proofErr w:type="spellStart"/>
            <w:r w:rsidRPr="00CC19F7">
              <w:t>Fenris</w:t>
            </w:r>
            <w:proofErr w:type="spellEnd"/>
          </w:p>
        </w:tc>
        <w:tc>
          <w:tcPr>
            <w:tcW w:w="1275" w:type="dxa"/>
            <w:tcBorders>
              <w:top w:val="nil"/>
              <w:left w:val="nil"/>
              <w:bottom w:val="nil"/>
              <w:right w:val="nil"/>
            </w:tcBorders>
            <w:tcMar>
              <w:top w:w="128" w:type="dxa"/>
              <w:left w:w="43" w:type="dxa"/>
              <w:bottom w:w="43" w:type="dxa"/>
              <w:right w:w="43" w:type="dxa"/>
            </w:tcMar>
            <w:vAlign w:val="bottom"/>
          </w:tcPr>
          <w:p w14:paraId="31453525" w14:textId="77777777" w:rsidR="00FE02EF" w:rsidRPr="00CC19F7" w:rsidRDefault="00881E58" w:rsidP="00A06A7F">
            <w:pPr>
              <w:jc w:val="right"/>
            </w:pPr>
            <w:r w:rsidRPr="00CC19F7">
              <w:t>2023</w:t>
            </w:r>
          </w:p>
        </w:tc>
        <w:tc>
          <w:tcPr>
            <w:tcW w:w="1154" w:type="dxa"/>
            <w:tcBorders>
              <w:top w:val="nil"/>
              <w:left w:val="nil"/>
              <w:bottom w:val="nil"/>
              <w:right w:val="nil"/>
            </w:tcBorders>
            <w:tcMar>
              <w:top w:w="128" w:type="dxa"/>
              <w:left w:w="43" w:type="dxa"/>
              <w:bottom w:w="43" w:type="dxa"/>
              <w:right w:w="43" w:type="dxa"/>
            </w:tcMar>
            <w:vAlign w:val="bottom"/>
          </w:tcPr>
          <w:p w14:paraId="47148F5A" w14:textId="77777777" w:rsidR="00FE02EF" w:rsidRPr="00CC19F7" w:rsidRDefault="00881E58" w:rsidP="00A06A7F">
            <w:pPr>
              <w:jc w:val="right"/>
            </w:pPr>
            <w:r w:rsidRPr="00CC19F7">
              <w:t>52,9</w:t>
            </w:r>
          </w:p>
        </w:tc>
        <w:tc>
          <w:tcPr>
            <w:tcW w:w="973" w:type="dxa"/>
            <w:tcBorders>
              <w:top w:val="nil"/>
              <w:left w:val="nil"/>
              <w:bottom w:val="nil"/>
              <w:right w:val="nil"/>
            </w:tcBorders>
            <w:tcMar>
              <w:top w:w="128" w:type="dxa"/>
              <w:left w:w="43" w:type="dxa"/>
              <w:bottom w:w="43" w:type="dxa"/>
              <w:right w:w="43" w:type="dxa"/>
            </w:tcMar>
            <w:vAlign w:val="bottom"/>
          </w:tcPr>
          <w:p w14:paraId="7ACC5166" w14:textId="77777777" w:rsidR="00FE02EF" w:rsidRPr="00CC19F7" w:rsidRDefault="00881E58" w:rsidP="00A06A7F">
            <w:pPr>
              <w:jc w:val="right"/>
            </w:pPr>
            <w:r w:rsidRPr="00CC19F7">
              <w:t>52,9</w:t>
            </w:r>
          </w:p>
        </w:tc>
        <w:tc>
          <w:tcPr>
            <w:tcW w:w="1134" w:type="dxa"/>
            <w:tcBorders>
              <w:top w:val="nil"/>
              <w:left w:val="nil"/>
              <w:bottom w:val="nil"/>
              <w:right w:val="nil"/>
            </w:tcBorders>
            <w:tcMar>
              <w:top w:w="128" w:type="dxa"/>
              <w:left w:w="43" w:type="dxa"/>
              <w:bottom w:w="43" w:type="dxa"/>
              <w:right w:w="43" w:type="dxa"/>
            </w:tcMar>
            <w:vAlign w:val="bottom"/>
          </w:tcPr>
          <w:p w14:paraId="0B5BB0DE" w14:textId="77777777" w:rsidR="00FE02EF" w:rsidRPr="00CC19F7" w:rsidRDefault="00881E58" w:rsidP="00A06A7F">
            <w:pPr>
              <w:jc w:val="right"/>
            </w:pPr>
            <w:r w:rsidRPr="00CC19F7">
              <w:t>-</w:t>
            </w:r>
          </w:p>
        </w:tc>
        <w:tc>
          <w:tcPr>
            <w:tcW w:w="992" w:type="dxa"/>
            <w:tcBorders>
              <w:top w:val="nil"/>
              <w:left w:val="nil"/>
              <w:bottom w:val="nil"/>
              <w:right w:val="nil"/>
            </w:tcBorders>
            <w:tcMar>
              <w:top w:w="128" w:type="dxa"/>
              <w:left w:w="43" w:type="dxa"/>
              <w:bottom w:w="43" w:type="dxa"/>
              <w:right w:w="43" w:type="dxa"/>
            </w:tcMar>
            <w:vAlign w:val="bottom"/>
          </w:tcPr>
          <w:p w14:paraId="579CDD09" w14:textId="77777777" w:rsidR="00FE02EF" w:rsidRPr="00CC19F7" w:rsidRDefault="00881E58" w:rsidP="00A06A7F">
            <w:pPr>
              <w:jc w:val="right"/>
            </w:pPr>
            <w:r w:rsidRPr="00CC19F7">
              <w:t>-</w:t>
            </w:r>
          </w:p>
        </w:tc>
        <w:tc>
          <w:tcPr>
            <w:tcW w:w="1401" w:type="dxa"/>
            <w:tcBorders>
              <w:top w:val="nil"/>
              <w:left w:val="nil"/>
              <w:bottom w:val="nil"/>
              <w:right w:val="nil"/>
            </w:tcBorders>
            <w:tcMar>
              <w:top w:w="128" w:type="dxa"/>
              <w:left w:w="43" w:type="dxa"/>
              <w:bottom w:w="43" w:type="dxa"/>
              <w:right w:w="43" w:type="dxa"/>
            </w:tcMar>
            <w:vAlign w:val="bottom"/>
          </w:tcPr>
          <w:p w14:paraId="37D87870" w14:textId="77777777" w:rsidR="00FE02EF" w:rsidRPr="00CC19F7" w:rsidRDefault="00881E58" w:rsidP="00A06A7F">
            <w:pPr>
              <w:jc w:val="right"/>
            </w:pPr>
            <w:r w:rsidRPr="00CC19F7">
              <w:t>-</w:t>
            </w:r>
          </w:p>
        </w:tc>
      </w:tr>
      <w:tr w:rsidR="00FE02EF" w:rsidRPr="00CC19F7" w14:paraId="45A56B0D" w14:textId="77777777" w:rsidTr="00A06A7F">
        <w:trPr>
          <w:trHeight w:val="380"/>
        </w:trPr>
        <w:tc>
          <w:tcPr>
            <w:tcW w:w="2651" w:type="dxa"/>
            <w:tcBorders>
              <w:top w:val="nil"/>
              <w:left w:val="nil"/>
              <w:bottom w:val="nil"/>
              <w:right w:val="nil"/>
            </w:tcBorders>
            <w:tcMar>
              <w:top w:w="128" w:type="dxa"/>
              <w:left w:w="43" w:type="dxa"/>
              <w:bottom w:w="43" w:type="dxa"/>
              <w:right w:w="43" w:type="dxa"/>
            </w:tcMar>
          </w:tcPr>
          <w:p w14:paraId="0BD86638" w14:textId="77777777" w:rsidR="00FE02EF" w:rsidRPr="00CC19F7" w:rsidRDefault="00881E58" w:rsidP="00A06A7F">
            <w:r w:rsidRPr="00CC19F7">
              <w:t>Symra</w:t>
            </w:r>
          </w:p>
        </w:tc>
        <w:tc>
          <w:tcPr>
            <w:tcW w:w="1275" w:type="dxa"/>
            <w:tcBorders>
              <w:top w:val="nil"/>
              <w:left w:val="nil"/>
              <w:bottom w:val="nil"/>
              <w:right w:val="nil"/>
            </w:tcBorders>
            <w:tcMar>
              <w:top w:w="128" w:type="dxa"/>
              <w:left w:w="43" w:type="dxa"/>
              <w:bottom w:w="43" w:type="dxa"/>
              <w:right w:w="43" w:type="dxa"/>
            </w:tcMar>
            <w:vAlign w:val="bottom"/>
          </w:tcPr>
          <w:p w14:paraId="07D62E37" w14:textId="77777777" w:rsidR="00FE02EF" w:rsidRPr="00CC19F7" w:rsidRDefault="00881E58" w:rsidP="00A06A7F">
            <w:pPr>
              <w:jc w:val="right"/>
            </w:pPr>
            <w:r w:rsidRPr="00CC19F7">
              <w:t>2023</w:t>
            </w:r>
          </w:p>
        </w:tc>
        <w:tc>
          <w:tcPr>
            <w:tcW w:w="1154" w:type="dxa"/>
            <w:tcBorders>
              <w:top w:val="nil"/>
              <w:left w:val="nil"/>
              <w:bottom w:val="nil"/>
              <w:right w:val="nil"/>
            </w:tcBorders>
            <w:tcMar>
              <w:top w:w="128" w:type="dxa"/>
              <w:left w:w="43" w:type="dxa"/>
              <w:bottom w:w="43" w:type="dxa"/>
              <w:right w:w="43" w:type="dxa"/>
            </w:tcMar>
            <w:vAlign w:val="bottom"/>
          </w:tcPr>
          <w:p w14:paraId="3EB7AC7A" w14:textId="77777777" w:rsidR="00FE02EF" w:rsidRPr="00CC19F7" w:rsidRDefault="00881E58" w:rsidP="00A06A7F">
            <w:pPr>
              <w:jc w:val="right"/>
            </w:pPr>
            <w:r w:rsidRPr="00CC19F7">
              <w:t>9,6</w:t>
            </w:r>
          </w:p>
        </w:tc>
        <w:tc>
          <w:tcPr>
            <w:tcW w:w="973" w:type="dxa"/>
            <w:tcBorders>
              <w:top w:val="nil"/>
              <w:left w:val="nil"/>
              <w:bottom w:val="nil"/>
              <w:right w:val="nil"/>
            </w:tcBorders>
            <w:tcMar>
              <w:top w:w="128" w:type="dxa"/>
              <w:left w:w="43" w:type="dxa"/>
              <w:bottom w:w="43" w:type="dxa"/>
              <w:right w:w="43" w:type="dxa"/>
            </w:tcMar>
            <w:vAlign w:val="bottom"/>
          </w:tcPr>
          <w:p w14:paraId="27609C83" w14:textId="77777777" w:rsidR="00FE02EF" w:rsidRPr="00CC19F7" w:rsidRDefault="00881E58" w:rsidP="00A06A7F">
            <w:pPr>
              <w:jc w:val="right"/>
            </w:pPr>
            <w:r w:rsidRPr="00CC19F7">
              <w:t>9,6</w:t>
            </w:r>
          </w:p>
        </w:tc>
        <w:tc>
          <w:tcPr>
            <w:tcW w:w="1134" w:type="dxa"/>
            <w:tcBorders>
              <w:top w:val="nil"/>
              <w:left w:val="nil"/>
              <w:bottom w:val="nil"/>
              <w:right w:val="nil"/>
            </w:tcBorders>
            <w:tcMar>
              <w:top w:w="128" w:type="dxa"/>
              <w:left w:w="43" w:type="dxa"/>
              <w:bottom w:w="43" w:type="dxa"/>
              <w:right w:w="43" w:type="dxa"/>
            </w:tcMar>
            <w:vAlign w:val="bottom"/>
          </w:tcPr>
          <w:p w14:paraId="40611F69" w14:textId="77777777" w:rsidR="00FE02EF" w:rsidRPr="00CC19F7" w:rsidRDefault="00881E58" w:rsidP="00A06A7F">
            <w:pPr>
              <w:jc w:val="right"/>
            </w:pPr>
            <w:r w:rsidRPr="00CC19F7">
              <w:t>-</w:t>
            </w:r>
          </w:p>
        </w:tc>
        <w:tc>
          <w:tcPr>
            <w:tcW w:w="992" w:type="dxa"/>
            <w:tcBorders>
              <w:top w:val="nil"/>
              <w:left w:val="nil"/>
              <w:bottom w:val="nil"/>
              <w:right w:val="nil"/>
            </w:tcBorders>
            <w:tcMar>
              <w:top w:w="128" w:type="dxa"/>
              <w:left w:w="43" w:type="dxa"/>
              <w:bottom w:w="43" w:type="dxa"/>
              <w:right w:w="43" w:type="dxa"/>
            </w:tcMar>
            <w:vAlign w:val="bottom"/>
          </w:tcPr>
          <w:p w14:paraId="68FEE678" w14:textId="77777777" w:rsidR="00FE02EF" w:rsidRPr="00CC19F7" w:rsidRDefault="00881E58" w:rsidP="00A06A7F">
            <w:pPr>
              <w:jc w:val="right"/>
            </w:pPr>
            <w:r w:rsidRPr="00CC19F7">
              <w:t>-</w:t>
            </w:r>
          </w:p>
        </w:tc>
        <w:tc>
          <w:tcPr>
            <w:tcW w:w="1401" w:type="dxa"/>
            <w:tcBorders>
              <w:top w:val="nil"/>
              <w:left w:val="nil"/>
              <w:bottom w:val="nil"/>
              <w:right w:val="nil"/>
            </w:tcBorders>
            <w:tcMar>
              <w:top w:w="128" w:type="dxa"/>
              <w:left w:w="43" w:type="dxa"/>
              <w:bottom w:w="43" w:type="dxa"/>
              <w:right w:w="43" w:type="dxa"/>
            </w:tcMar>
            <w:vAlign w:val="bottom"/>
          </w:tcPr>
          <w:p w14:paraId="15DC75F1" w14:textId="77777777" w:rsidR="00FE02EF" w:rsidRPr="00CC19F7" w:rsidRDefault="00881E58" w:rsidP="00A06A7F">
            <w:pPr>
              <w:jc w:val="right"/>
            </w:pPr>
            <w:r w:rsidRPr="00CC19F7">
              <w:t>-</w:t>
            </w:r>
          </w:p>
        </w:tc>
      </w:tr>
      <w:tr w:rsidR="00FE02EF" w:rsidRPr="00CC19F7" w14:paraId="27425636" w14:textId="77777777" w:rsidTr="00A06A7F">
        <w:trPr>
          <w:trHeight w:val="380"/>
        </w:trPr>
        <w:tc>
          <w:tcPr>
            <w:tcW w:w="2651" w:type="dxa"/>
            <w:tcBorders>
              <w:top w:val="nil"/>
              <w:left w:val="nil"/>
              <w:bottom w:val="nil"/>
              <w:right w:val="nil"/>
            </w:tcBorders>
            <w:tcMar>
              <w:top w:w="128" w:type="dxa"/>
              <w:left w:w="43" w:type="dxa"/>
              <w:bottom w:w="43" w:type="dxa"/>
              <w:right w:w="43" w:type="dxa"/>
            </w:tcMar>
          </w:tcPr>
          <w:p w14:paraId="7608BD04" w14:textId="77777777" w:rsidR="00FE02EF" w:rsidRPr="00CC19F7" w:rsidRDefault="00881E58" w:rsidP="00A06A7F">
            <w:proofErr w:type="spellStart"/>
            <w:r w:rsidRPr="00CC19F7">
              <w:t>Irpa</w:t>
            </w:r>
            <w:proofErr w:type="spellEnd"/>
          </w:p>
        </w:tc>
        <w:tc>
          <w:tcPr>
            <w:tcW w:w="1275" w:type="dxa"/>
            <w:tcBorders>
              <w:top w:val="nil"/>
              <w:left w:val="nil"/>
              <w:bottom w:val="nil"/>
              <w:right w:val="nil"/>
            </w:tcBorders>
            <w:tcMar>
              <w:top w:w="128" w:type="dxa"/>
              <w:left w:w="43" w:type="dxa"/>
              <w:bottom w:w="43" w:type="dxa"/>
              <w:right w:w="43" w:type="dxa"/>
            </w:tcMar>
            <w:vAlign w:val="bottom"/>
          </w:tcPr>
          <w:p w14:paraId="484846DA" w14:textId="77777777" w:rsidR="00FE02EF" w:rsidRPr="00CC19F7" w:rsidRDefault="00881E58" w:rsidP="00A06A7F">
            <w:pPr>
              <w:jc w:val="right"/>
            </w:pPr>
            <w:r w:rsidRPr="00CC19F7">
              <w:t>2023</w:t>
            </w:r>
          </w:p>
        </w:tc>
        <w:tc>
          <w:tcPr>
            <w:tcW w:w="1154" w:type="dxa"/>
            <w:tcBorders>
              <w:top w:val="nil"/>
              <w:left w:val="nil"/>
              <w:bottom w:val="nil"/>
              <w:right w:val="nil"/>
            </w:tcBorders>
            <w:tcMar>
              <w:top w:w="128" w:type="dxa"/>
              <w:left w:w="43" w:type="dxa"/>
              <w:bottom w:w="43" w:type="dxa"/>
              <w:right w:w="43" w:type="dxa"/>
            </w:tcMar>
            <w:vAlign w:val="bottom"/>
          </w:tcPr>
          <w:p w14:paraId="17D2F18A" w14:textId="77777777" w:rsidR="00FE02EF" w:rsidRPr="00CC19F7" w:rsidRDefault="00881E58" w:rsidP="00A06A7F">
            <w:pPr>
              <w:jc w:val="right"/>
            </w:pPr>
            <w:r w:rsidRPr="00CC19F7">
              <w:t>15,6</w:t>
            </w:r>
          </w:p>
        </w:tc>
        <w:tc>
          <w:tcPr>
            <w:tcW w:w="973" w:type="dxa"/>
            <w:tcBorders>
              <w:top w:val="nil"/>
              <w:left w:val="nil"/>
              <w:bottom w:val="nil"/>
              <w:right w:val="nil"/>
            </w:tcBorders>
            <w:tcMar>
              <w:top w:w="128" w:type="dxa"/>
              <w:left w:w="43" w:type="dxa"/>
              <w:bottom w:w="43" w:type="dxa"/>
              <w:right w:w="43" w:type="dxa"/>
            </w:tcMar>
            <w:vAlign w:val="bottom"/>
          </w:tcPr>
          <w:p w14:paraId="1288F488" w14:textId="77777777" w:rsidR="00FE02EF" w:rsidRPr="00CC19F7" w:rsidRDefault="00881E58" w:rsidP="00A06A7F">
            <w:pPr>
              <w:jc w:val="right"/>
            </w:pPr>
            <w:r w:rsidRPr="00CC19F7">
              <w:t>15,6</w:t>
            </w:r>
          </w:p>
        </w:tc>
        <w:tc>
          <w:tcPr>
            <w:tcW w:w="1134" w:type="dxa"/>
            <w:tcBorders>
              <w:top w:val="nil"/>
              <w:left w:val="nil"/>
              <w:bottom w:val="nil"/>
              <w:right w:val="nil"/>
            </w:tcBorders>
            <w:tcMar>
              <w:top w:w="128" w:type="dxa"/>
              <w:left w:w="43" w:type="dxa"/>
              <w:bottom w:w="43" w:type="dxa"/>
              <w:right w:w="43" w:type="dxa"/>
            </w:tcMar>
            <w:vAlign w:val="bottom"/>
          </w:tcPr>
          <w:p w14:paraId="2B19BE21" w14:textId="77777777" w:rsidR="00FE02EF" w:rsidRPr="00CC19F7" w:rsidRDefault="00881E58" w:rsidP="00A06A7F">
            <w:pPr>
              <w:jc w:val="right"/>
            </w:pPr>
            <w:r w:rsidRPr="00CC19F7">
              <w:t>-</w:t>
            </w:r>
          </w:p>
        </w:tc>
        <w:tc>
          <w:tcPr>
            <w:tcW w:w="992" w:type="dxa"/>
            <w:tcBorders>
              <w:top w:val="nil"/>
              <w:left w:val="nil"/>
              <w:bottom w:val="nil"/>
              <w:right w:val="nil"/>
            </w:tcBorders>
            <w:tcMar>
              <w:top w:w="128" w:type="dxa"/>
              <w:left w:w="43" w:type="dxa"/>
              <w:bottom w:w="43" w:type="dxa"/>
              <w:right w:w="43" w:type="dxa"/>
            </w:tcMar>
            <w:vAlign w:val="bottom"/>
          </w:tcPr>
          <w:p w14:paraId="159FBEB9" w14:textId="77777777" w:rsidR="00FE02EF" w:rsidRPr="00CC19F7" w:rsidRDefault="00881E58" w:rsidP="00A06A7F">
            <w:pPr>
              <w:jc w:val="right"/>
            </w:pPr>
            <w:r w:rsidRPr="00CC19F7">
              <w:t>-</w:t>
            </w:r>
          </w:p>
        </w:tc>
        <w:tc>
          <w:tcPr>
            <w:tcW w:w="1401" w:type="dxa"/>
            <w:tcBorders>
              <w:top w:val="nil"/>
              <w:left w:val="nil"/>
              <w:bottom w:val="nil"/>
              <w:right w:val="nil"/>
            </w:tcBorders>
            <w:tcMar>
              <w:top w:w="128" w:type="dxa"/>
              <w:left w:w="43" w:type="dxa"/>
              <w:bottom w:w="43" w:type="dxa"/>
              <w:right w:w="43" w:type="dxa"/>
            </w:tcMar>
            <w:vAlign w:val="bottom"/>
          </w:tcPr>
          <w:p w14:paraId="2C6484AB" w14:textId="77777777" w:rsidR="00FE02EF" w:rsidRPr="00CC19F7" w:rsidRDefault="00881E58" w:rsidP="00A06A7F">
            <w:pPr>
              <w:jc w:val="right"/>
            </w:pPr>
            <w:r w:rsidRPr="00CC19F7">
              <w:t>-</w:t>
            </w:r>
          </w:p>
        </w:tc>
      </w:tr>
      <w:tr w:rsidR="00FE02EF" w:rsidRPr="00CC19F7" w14:paraId="6844995F" w14:textId="77777777" w:rsidTr="00A06A7F">
        <w:trPr>
          <w:trHeight w:val="380"/>
        </w:trPr>
        <w:tc>
          <w:tcPr>
            <w:tcW w:w="2651" w:type="dxa"/>
            <w:tcBorders>
              <w:top w:val="nil"/>
              <w:left w:val="nil"/>
              <w:bottom w:val="nil"/>
              <w:right w:val="nil"/>
            </w:tcBorders>
            <w:tcMar>
              <w:top w:w="128" w:type="dxa"/>
              <w:left w:w="43" w:type="dxa"/>
              <w:bottom w:w="43" w:type="dxa"/>
              <w:right w:w="43" w:type="dxa"/>
            </w:tcMar>
          </w:tcPr>
          <w:p w14:paraId="36F21109" w14:textId="77777777" w:rsidR="00FE02EF" w:rsidRPr="00CC19F7" w:rsidRDefault="00881E58" w:rsidP="00A06A7F">
            <w:r w:rsidRPr="00CC19F7">
              <w:t>Verdande</w:t>
            </w:r>
          </w:p>
        </w:tc>
        <w:tc>
          <w:tcPr>
            <w:tcW w:w="1275" w:type="dxa"/>
            <w:tcBorders>
              <w:top w:val="nil"/>
              <w:left w:val="nil"/>
              <w:bottom w:val="nil"/>
              <w:right w:val="nil"/>
            </w:tcBorders>
            <w:tcMar>
              <w:top w:w="128" w:type="dxa"/>
              <w:left w:w="43" w:type="dxa"/>
              <w:bottom w:w="43" w:type="dxa"/>
              <w:right w:w="43" w:type="dxa"/>
            </w:tcMar>
            <w:vAlign w:val="bottom"/>
          </w:tcPr>
          <w:p w14:paraId="7F8461AE" w14:textId="77777777" w:rsidR="00FE02EF" w:rsidRPr="00CC19F7" w:rsidRDefault="00881E58" w:rsidP="00A06A7F">
            <w:pPr>
              <w:jc w:val="right"/>
            </w:pPr>
            <w:r w:rsidRPr="00CC19F7">
              <w:t>2023</w:t>
            </w:r>
          </w:p>
        </w:tc>
        <w:tc>
          <w:tcPr>
            <w:tcW w:w="1154" w:type="dxa"/>
            <w:tcBorders>
              <w:top w:val="nil"/>
              <w:left w:val="nil"/>
              <w:bottom w:val="nil"/>
              <w:right w:val="nil"/>
            </w:tcBorders>
            <w:tcMar>
              <w:top w:w="128" w:type="dxa"/>
              <w:left w:w="43" w:type="dxa"/>
              <w:bottom w:w="43" w:type="dxa"/>
              <w:right w:w="43" w:type="dxa"/>
            </w:tcMar>
            <w:vAlign w:val="bottom"/>
          </w:tcPr>
          <w:p w14:paraId="14A44121" w14:textId="77777777" w:rsidR="00FE02EF" w:rsidRPr="00CC19F7" w:rsidRDefault="00881E58" w:rsidP="00A06A7F">
            <w:pPr>
              <w:jc w:val="right"/>
            </w:pPr>
            <w:r w:rsidRPr="00CC19F7">
              <w:t>5,0</w:t>
            </w:r>
          </w:p>
        </w:tc>
        <w:tc>
          <w:tcPr>
            <w:tcW w:w="973" w:type="dxa"/>
            <w:tcBorders>
              <w:top w:val="nil"/>
              <w:left w:val="nil"/>
              <w:bottom w:val="nil"/>
              <w:right w:val="nil"/>
            </w:tcBorders>
            <w:tcMar>
              <w:top w:w="128" w:type="dxa"/>
              <w:left w:w="43" w:type="dxa"/>
              <w:bottom w:w="43" w:type="dxa"/>
              <w:right w:w="43" w:type="dxa"/>
            </w:tcMar>
            <w:vAlign w:val="bottom"/>
          </w:tcPr>
          <w:p w14:paraId="7C635EA2" w14:textId="77777777" w:rsidR="00FE02EF" w:rsidRPr="00CC19F7" w:rsidRDefault="00881E58" w:rsidP="00A06A7F">
            <w:pPr>
              <w:jc w:val="right"/>
            </w:pPr>
            <w:r w:rsidRPr="00CC19F7">
              <w:t>5,0</w:t>
            </w:r>
          </w:p>
        </w:tc>
        <w:tc>
          <w:tcPr>
            <w:tcW w:w="1134" w:type="dxa"/>
            <w:tcBorders>
              <w:top w:val="nil"/>
              <w:left w:val="nil"/>
              <w:bottom w:val="nil"/>
              <w:right w:val="nil"/>
            </w:tcBorders>
            <w:tcMar>
              <w:top w:w="128" w:type="dxa"/>
              <w:left w:w="43" w:type="dxa"/>
              <w:bottom w:w="43" w:type="dxa"/>
              <w:right w:w="43" w:type="dxa"/>
            </w:tcMar>
            <w:vAlign w:val="bottom"/>
          </w:tcPr>
          <w:p w14:paraId="0B327048" w14:textId="77777777" w:rsidR="00FE02EF" w:rsidRPr="00CC19F7" w:rsidRDefault="00881E58" w:rsidP="00A06A7F">
            <w:pPr>
              <w:jc w:val="right"/>
            </w:pPr>
            <w:r w:rsidRPr="00CC19F7">
              <w:t>-</w:t>
            </w:r>
          </w:p>
        </w:tc>
        <w:tc>
          <w:tcPr>
            <w:tcW w:w="992" w:type="dxa"/>
            <w:tcBorders>
              <w:top w:val="nil"/>
              <w:left w:val="nil"/>
              <w:bottom w:val="nil"/>
              <w:right w:val="nil"/>
            </w:tcBorders>
            <w:tcMar>
              <w:top w:w="128" w:type="dxa"/>
              <w:left w:w="43" w:type="dxa"/>
              <w:bottom w:w="43" w:type="dxa"/>
              <w:right w:w="43" w:type="dxa"/>
            </w:tcMar>
            <w:vAlign w:val="bottom"/>
          </w:tcPr>
          <w:p w14:paraId="290A1E59" w14:textId="77777777" w:rsidR="00FE02EF" w:rsidRPr="00CC19F7" w:rsidRDefault="00881E58" w:rsidP="00A06A7F">
            <w:pPr>
              <w:jc w:val="right"/>
            </w:pPr>
            <w:r w:rsidRPr="00CC19F7">
              <w:t>-</w:t>
            </w:r>
          </w:p>
        </w:tc>
        <w:tc>
          <w:tcPr>
            <w:tcW w:w="1401" w:type="dxa"/>
            <w:tcBorders>
              <w:top w:val="nil"/>
              <w:left w:val="nil"/>
              <w:bottom w:val="nil"/>
              <w:right w:val="nil"/>
            </w:tcBorders>
            <w:tcMar>
              <w:top w:w="128" w:type="dxa"/>
              <w:left w:w="43" w:type="dxa"/>
              <w:bottom w:w="43" w:type="dxa"/>
              <w:right w:w="43" w:type="dxa"/>
            </w:tcMar>
            <w:vAlign w:val="bottom"/>
          </w:tcPr>
          <w:p w14:paraId="043B0BE9" w14:textId="77777777" w:rsidR="00FE02EF" w:rsidRPr="00CC19F7" w:rsidRDefault="00881E58" w:rsidP="00A06A7F">
            <w:pPr>
              <w:jc w:val="right"/>
            </w:pPr>
            <w:r w:rsidRPr="00CC19F7">
              <w:t>-</w:t>
            </w:r>
          </w:p>
        </w:tc>
      </w:tr>
      <w:tr w:rsidR="00FE02EF" w:rsidRPr="00CC19F7" w14:paraId="0465DB08" w14:textId="77777777" w:rsidTr="00A06A7F">
        <w:trPr>
          <w:trHeight w:val="380"/>
        </w:trPr>
        <w:tc>
          <w:tcPr>
            <w:tcW w:w="2651" w:type="dxa"/>
            <w:tcBorders>
              <w:top w:val="nil"/>
              <w:left w:val="nil"/>
              <w:bottom w:val="nil"/>
              <w:right w:val="nil"/>
            </w:tcBorders>
            <w:tcMar>
              <w:top w:w="128" w:type="dxa"/>
              <w:left w:w="43" w:type="dxa"/>
              <w:bottom w:w="43" w:type="dxa"/>
              <w:right w:w="43" w:type="dxa"/>
            </w:tcMar>
          </w:tcPr>
          <w:p w14:paraId="2ABCC667" w14:textId="77777777" w:rsidR="00FE02EF" w:rsidRPr="00CC19F7" w:rsidRDefault="00881E58" w:rsidP="00A06A7F">
            <w:proofErr w:type="spellStart"/>
            <w:r w:rsidRPr="00CC19F7">
              <w:t>Alve</w:t>
            </w:r>
            <w:proofErr w:type="spellEnd"/>
            <w:r w:rsidRPr="00CC19F7">
              <w:t xml:space="preserve"> Nord</w:t>
            </w:r>
          </w:p>
        </w:tc>
        <w:tc>
          <w:tcPr>
            <w:tcW w:w="1275" w:type="dxa"/>
            <w:tcBorders>
              <w:top w:val="nil"/>
              <w:left w:val="nil"/>
              <w:bottom w:val="nil"/>
              <w:right w:val="nil"/>
            </w:tcBorders>
            <w:tcMar>
              <w:top w:w="128" w:type="dxa"/>
              <w:left w:w="43" w:type="dxa"/>
              <w:bottom w:w="43" w:type="dxa"/>
              <w:right w:w="43" w:type="dxa"/>
            </w:tcMar>
            <w:vAlign w:val="bottom"/>
          </w:tcPr>
          <w:p w14:paraId="27141EAF" w14:textId="77777777" w:rsidR="00FE02EF" w:rsidRPr="00CC19F7" w:rsidRDefault="00881E58" w:rsidP="00A06A7F">
            <w:pPr>
              <w:jc w:val="right"/>
            </w:pPr>
            <w:r w:rsidRPr="00CC19F7">
              <w:t>2023</w:t>
            </w:r>
          </w:p>
        </w:tc>
        <w:tc>
          <w:tcPr>
            <w:tcW w:w="1154" w:type="dxa"/>
            <w:tcBorders>
              <w:top w:val="nil"/>
              <w:left w:val="nil"/>
              <w:bottom w:val="nil"/>
              <w:right w:val="nil"/>
            </w:tcBorders>
            <w:tcMar>
              <w:top w:w="128" w:type="dxa"/>
              <w:left w:w="43" w:type="dxa"/>
              <w:bottom w:w="43" w:type="dxa"/>
              <w:right w:w="43" w:type="dxa"/>
            </w:tcMar>
            <w:vAlign w:val="bottom"/>
          </w:tcPr>
          <w:p w14:paraId="49E9DB11" w14:textId="77777777" w:rsidR="00FE02EF" w:rsidRPr="00CC19F7" w:rsidRDefault="00881E58" w:rsidP="00A06A7F">
            <w:pPr>
              <w:jc w:val="right"/>
            </w:pPr>
            <w:r w:rsidRPr="00CC19F7">
              <w:t>6,6</w:t>
            </w:r>
          </w:p>
        </w:tc>
        <w:tc>
          <w:tcPr>
            <w:tcW w:w="973" w:type="dxa"/>
            <w:tcBorders>
              <w:top w:val="nil"/>
              <w:left w:val="nil"/>
              <w:bottom w:val="nil"/>
              <w:right w:val="nil"/>
            </w:tcBorders>
            <w:tcMar>
              <w:top w:w="128" w:type="dxa"/>
              <w:left w:w="43" w:type="dxa"/>
              <w:bottom w:w="43" w:type="dxa"/>
              <w:right w:w="43" w:type="dxa"/>
            </w:tcMar>
            <w:vAlign w:val="bottom"/>
          </w:tcPr>
          <w:p w14:paraId="2B85FD8F" w14:textId="77777777" w:rsidR="00FE02EF" w:rsidRPr="00CC19F7" w:rsidRDefault="00881E58" w:rsidP="00A06A7F">
            <w:pPr>
              <w:jc w:val="right"/>
            </w:pPr>
            <w:r w:rsidRPr="00CC19F7">
              <w:t>6,6</w:t>
            </w:r>
          </w:p>
        </w:tc>
        <w:tc>
          <w:tcPr>
            <w:tcW w:w="1134" w:type="dxa"/>
            <w:tcBorders>
              <w:top w:val="nil"/>
              <w:left w:val="nil"/>
              <w:bottom w:val="nil"/>
              <w:right w:val="nil"/>
            </w:tcBorders>
            <w:tcMar>
              <w:top w:w="128" w:type="dxa"/>
              <w:left w:w="43" w:type="dxa"/>
              <w:bottom w:w="43" w:type="dxa"/>
              <w:right w:w="43" w:type="dxa"/>
            </w:tcMar>
            <w:vAlign w:val="bottom"/>
          </w:tcPr>
          <w:p w14:paraId="4E5D1D62" w14:textId="77777777" w:rsidR="00FE02EF" w:rsidRPr="00CC19F7" w:rsidRDefault="00881E58" w:rsidP="00A06A7F">
            <w:pPr>
              <w:jc w:val="right"/>
            </w:pPr>
            <w:r w:rsidRPr="00CC19F7">
              <w:t>-</w:t>
            </w:r>
          </w:p>
        </w:tc>
        <w:tc>
          <w:tcPr>
            <w:tcW w:w="992" w:type="dxa"/>
            <w:tcBorders>
              <w:top w:val="nil"/>
              <w:left w:val="nil"/>
              <w:bottom w:val="nil"/>
              <w:right w:val="nil"/>
            </w:tcBorders>
            <w:tcMar>
              <w:top w:w="128" w:type="dxa"/>
              <w:left w:w="43" w:type="dxa"/>
              <w:bottom w:w="43" w:type="dxa"/>
              <w:right w:w="43" w:type="dxa"/>
            </w:tcMar>
            <w:vAlign w:val="bottom"/>
          </w:tcPr>
          <w:p w14:paraId="653D088C" w14:textId="77777777" w:rsidR="00FE02EF" w:rsidRPr="00CC19F7" w:rsidRDefault="00881E58" w:rsidP="00A06A7F">
            <w:pPr>
              <w:jc w:val="right"/>
            </w:pPr>
            <w:r w:rsidRPr="00CC19F7">
              <w:t>-</w:t>
            </w:r>
          </w:p>
        </w:tc>
        <w:tc>
          <w:tcPr>
            <w:tcW w:w="1401" w:type="dxa"/>
            <w:tcBorders>
              <w:top w:val="nil"/>
              <w:left w:val="nil"/>
              <w:bottom w:val="nil"/>
              <w:right w:val="nil"/>
            </w:tcBorders>
            <w:tcMar>
              <w:top w:w="128" w:type="dxa"/>
              <w:left w:w="43" w:type="dxa"/>
              <w:bottom w:w="43" w:type="dxa"/>
              <w:right w:w="43" w:type="dxa"/>
            </w:tcMar>
            <w:vAlign w:val="bottom"/>
          </w:tcPr>
          <w:p w14:paraId="717DDBCA" w14:textId="77777777" w:rsidR="00FE02EF" w:rsidRPr="00CC19F7" w:rsidRDefault="00881E58" w:rsidP="00A06A7F">
            <w:pPr>
              <w:jc w:val="right"/>
            </w:pPr>
            <w:r w:rsidRPr="00CC19F7">
              <w:t>-</w:t>
            </w:r>
          </w:p>
        </w:tc>
      </w:tr>
      <w:tr w:rsidR="00FE02EF" w:rsidRPr="00CC19F7" w14:paraId="29DEE660" w14:textId="77777777" w:rsidTr="00A06A7F">
        <w:trPr>
          <w:trHeight w:val="380"/>
        </w:trPr>
        <w:tc>
          <w:tcPr>
            <w:tcW w:w="2651" w:type="dxa"/>
            <w:tcBorders>
              <w:top w:val="nil"/>
              <w:left w:val="nil"/>
              <w:bottom w:val="nil"/>
              <w:right w:val="nil"/>
            </w:tcBorders>
            <w:tcMar>
              <w:top w:w="128" w:type="dxa"/>
              <w:left w:w="43" w:type="dxa"/>
              <w:bottom w:w="43" w:type="dxa"/>
              <w:right w:w="43" w:type="dxa"/>
            </w:tcMar>
          </w:tcPr>
          <w:p w14:paraId="5290851E" w14:textId="77777777" w:rsidR="00FE02EF" w:rsidRPr="00CC19F7" w:rsidRDefault="00881E58" w:rsidP="00A06A7F">
            <w:r w:rsidRPr="00CC19F7">
              <w:t>Idun Nord</w:t>
            </w:r>
          </w:p>
        </w:tc>
        <w:tc>
          <w:tcPr>
            <w:tcW w:w="1275" w:type="dxa"/>
            <w:tcBorders>
              <w:top w:val="nil"/>
              <w:left w:val="nil"/>
              <w:bottom w:val="nil"/>
              <w:right w:val="nil"/>
            </w:tcBorders>
            <w:tcMar>
              <w:top w:w="128" w:type="dxa"/>
              <w:left w:w="43" w:type="dxa"/>
              <w:bottom w:w="43" w:type="dxa"/>
              <w:right w:w="43" w:type="dxa"/>
            </w:tcMar>
            <w:vAlign w:val="bottom"/>
          </w:tcPr>
          <w:p w14:paraId="0D4FA71E" w14:textId="77777777" w:rsidR="00FE02EF" w:rsidRPr="00CC19F7" w:rsidRDefault="00881E58" w:rsidP="00A06A7F">
            <w:pPr>
              <w:jc w:val="right"/>
            </w:pPr>
            <w:r w:rsidRPr="00CC19F7">
              <w:t>2023</w:t>
            </w:r>
          </w:p>
        </w:tc>
        <w:tc>
          <w:tcPr>
            <w:tcW w:w="1154" w:type="dxa"/>
            <w:tcBorders>
              <w:top w:val="nil"/>
              <w:left w:val="nil"/>
              <w:bottom w:val="nil"/>
              <w:right w:val="nil"/>
            </w:tcBorders>
            <w:tcMar>
              <w:top w:w="128" w:type="dxa"/>
              <w:left w:w="43" w:type="dxa"/>
              <w:bottom w:w="43" w:type="dxa"/>
              <w:right w:w="43" w:type="dxa"/>
            </w:tcMar>
            <w:vAlign w:val="bottom"/>
          </w:tcPr>
          <w:p w14:paraId="43CAEDDC" w14:textId="77777777" w:rsidR="00FE02EF" w:rsidRPr="00CC19F7" w:rsidRDefault="00881E58" w:rsidP="00A06A7F">
            <w:pPr>
              <w:jc w:val="right"/>
            </w:pPr>
            <w:r w:rsidRPr="00CC19F7">
              <w:t>4,0</w:t>
            </w:r>
          </w:p>
        </w:tc>
        <w:tc>
          <w:tcPr>
            <w:tcW w:w="973" w:type="dxa"/>
            <w:tcBorders>
              <w:top w:val="nil"/>
              <w:left w:val="nil"/>
              <w:bottom w:val="nil"/>
              <w:right w:val="nil"/>
            </w:tcBorders>
            <w:tcMar>
              <w:top w:w="128" w:type="dxa"/>
              <w:left w:w="43" w:type="dxa"/>
              <w:bottom w:w="43" w:type="dxa"/>
              <w:right w:w="43" w:type="dxa"/>
            </w:tcMar>
            <w:vAlign w:val="bottom"/>
          </w:tcPr>
          <w:p w14:paraId="5B13E118" w14:textId="77777777" w:rsidR="00FE02EF" w:rsidRPr="00CC19F7" w:rsidRDefault="00881E58" w:rsidP="00A06A7F">
            <w:pPr>
              <w:jc w:val="right"/>
            </w:pPr>
            <w:r w:rsidRPr="00CC19F7">
              <w:t>4,0</w:t>
            </w:r>
          </w:p>
        </w:tc>
        <w:tc>
          <w:tcPr>
            <w:tcW w:w="1134" w:type="dxa"/>
            <w:tcBorders>
              <w:top w:val="nil"/>
              <w:left w:val="nil"/>
              <w:bottom w:val="nil"/>
              <w:right w:val="nil"/>
            </w:tcBorders>
            <w:tcMar>
              <w:top w:w="128" w:type="dxa"/>
              <w:left w:w="43" w:type="dxa"/>
              <w:bottom w:w="43" w:type="dxa"/>
              <w:right w:w="43" w:type="dxa"/>
            </w:tcMar>
            <w:vAlign w:val="bottom"/>
          </w:tcPr>
          <w:p w14:paraId="24AF3D32" w14:textId="77777777" w:rsidR="00FE02EF" w:rsidRPr="00CC19F7" w:rsidRDefault="00881E58" w:rsidP="00A06A7F">
            <w:pPr>
              <w:jc w:val="right"/>
            </w:pPr>
            <w:r w:rsidRPr="00CC19F7">
              <w:t>-</w:t>
            </w:r>
          </w:p>
        </w:tc>
        <w:tc>
          <w:tcPr>
            <w:tcW w:w="992" w:type="dxa"/>
            <w:tcBorders>
              <w:top w:val="nil"/>
              <w:left w:val="nil"/>
              <w:bottom w:val="nil"/>
              <w:right w:val="nil"/>
            </w:tcBorders>
            <w:tcMar>
              <w:top w:w="128" w:type="dxa"/>
              <w:left w:w="43" w:type="dxa"/>
              <w:bottom w:w="43" w:type="dxa"/>
              <w:right w:w="43" w:type="dxa"/>
            </w:tcMar>
            <w:vAlign w:val="bottom"/>
          </w:tcPr>
          <w:p w14:paraId="71CB7B15" w14:textId="77777777" w:rsidR="00FE02EF" w:rsidRPr="00CC19F7" w:rsidRDefault="00881E58" w:rsidP="00A06A7F">
            <w:pPr>
              <w:jc w:val="right"/>
            </w:pPr>
            <w:r w:rsidRPr="00CC19F7">
              <w:t>-</w:t>
            </w:r>
          </w:p>
        </w:tc>
        <w:tc>
          <w:tcPr>
            <w:tcW w:w="1401" w:type="dxa"/>
            <w:tcBorders>
              <w:top w:val="nil"/>
              <w:left w:val="nil"/>
              <w:bottom w:val="nil"/>
              <w:right w:val="nil"/>
            </w:tcBorders>
            <w:tcMar>
              <w:top w:w="128" w:type="dxa"/>
              <w:left w:w="43" w:type="dxa"/>
              <w:bottom w:w="43" w:type="dxa"/>
              <w:right w:w="43" w:type="dxa"/>
            </w:tcMar>
            <w:vAlign w:val="bottom"/>
          </w:tcPr>
          <w:p w14:paraId="263DBF41" w14:textId="77777777" w:rsidR="00FE02EF" w:rsidRPr="00CC19F7" w:rsidRDefault="00881E58" w:rsidP="00A06A7F">
            <w:pPr>
              <w:jc w:val="right"/>
            </w:pPr>
            <w:r w:rsidRPr="00CC19F7">
              <w:t>-</w:t>
            </w:r>
          </w:p>
        </w:tc>
      </w:tr>
      <w:tr w:rsidR="00FE02EF" w:rsidRPr="00CC19F7" w14:paraId="60386957" w14:textId="77777777" w:rsidTr="00A06A7F">
        <w:trPr>
          <w:trHeight w:val="380"/>
        </w:trPr>
        <w:tc>
          <w:tcPr>
            <w:tcW w:w="2651" w:type="dxa"/>
            <w:tcBorders>
              <w:top w:val="nil"/>
              <w:left w:val="nil"/>
              <w:bottom w:val="nil"/>
              <w:right w:val="nil"/>
            </w:tcBorders>
            <w:tcMar>
              <w:top w:w="128" w:type="dxa"/>
              <w:left w:w="43" w:type="dxa"/>
              <w:bottom w:w="43" w:type="dxa"/>
              <w:right w:w="43" w:type="dxa"/>
            </w:tcMar>
          </w:tcPr>
          <w:p w14:paraId="6738A878" w14:textId="77777777" w:rsidR="00FE02EF" w:rsidRPr="00CC19F7" w:rsidRDefault="00881E58" w:rsidP="00A06A7F">
            <w:r w:rsidRPr="00CC19F7">
              <w:t>Ørn</w:t>
            </w:r>
          </w:p>
        </w:tc>
        <w:tc>
          <w:tcPr>
            <w:tcW w:w="1275" w:type="dxa"/>
            <w:tcBorders>
              <w:top w:val="nil"/>
              <w:left w:val="nil"/>
              <w:bottom w:val="nil"/>
              <w:right w:val="nil"/>
            </w:tcBorders>
            <w:tcMar>
              <w:top w:w="128" w:type="dxa"/>
              <w:left w:w="43" w:type="dxa"/>
              <w:bottom w:w="43" w:type="dxa"/>
              <w:right w:w="43" w:type="dxa"/>
            </w:tcMar>
            <w:vAlign w:val="bottom"/>
          </w:tcPr>
          <w:p w14:paraId="03A3FB42" w14:textId="77777777" w:rsidR="00FE02EF" w:rsidRPr="00CC19F7" w:rsidRDefault="00881E58" w:rsidP="00A06A7F">
            <w:pPr>
              <w:jc w:val="right"/>
            </w:pPr>
            <w:r w:rsidRPr="00CC19F7">
              <w:t>2023</w:t>
            </w:r>
          </w:p>
        </w:tc>
        <w:tc>
          <w:tcPr>
            <w:tcW w:w="1154" w:type="dxa"/>
            <w:tcBorders>
              <w:top w:val="nil"/>
              <w:left w:val="nil"/>
              <w:bottom w:val="nil"/>
              <w:right w:val="nil"/>
            </w:tcBorders>
            <w:tcMar>
              <w:top w:w="128" w:type="dxa"/>
              <w:left w:w="43" w:type="dxa"/>
              <w:bottom w:w="43" w:type="dxa"/>
              <w:right w:w="43" w:type="dxa"/>
            </w:tcMar>
            <w:vAlign w:val="bottom"/>
          </w:tcPr>
          <w:p w14:paraId="44EAC986" w14:textId="77777777" w:rsidR="00FE02EF" w:rsidRPr="00CC19F7" w:rsidRDefault="00881E58" w:rsidP="00A06A7F">
            <w:pPr>
              <w:jc w:val="right"/>
            </w:pPr>
            <w:r w:rsidRPr="00CC19F7">
              <w:t>6,8</w:t>
            </w:r>
          </w:p>
        </w:tc>
        <w:tc>
          <w:tcPr>
            <w:tcW w:w="973" w:type="dxa"/>
            <w:tcBorders>
              <w:top w:val="nil"/>
              <w:left w:val="nil"/>
              <w:bottom w:val="nil"/>
              <w:right w:val="nil"/>
            </w:tcBorders>
            <w:tcMar>
              <w:top w:w="128" w:type="dxa"/>
              <w:left w:w="43" w:type="dxa"/>
              <w:bottom w:w="43" w:type="dxa"/>
              <w:right w:w="43" w:type="dxa"/>
            </w:tcMar>
            <w:vAlign w:val="bottom"/>
          </w:tcPr>
          <w:p w14:paraId="7E41FC82" w14:textId="77777777" w:rsidR="00FE02EF" w:rsidRPr="00CC19F7" w:rsidRDefault="00881E58" w:rsidP="00A06A7F">
            <w:pPr>
              <w:jc w:val="right"/>
            </w:pPr>
            <w:r w:rsidRPr="00CC19F7">
              <w:t>6,8</w:t>
            </w:r>
          </w:p>
        </w:tc>
        <w:tc>
          <w:tcPr>
            <w:tcW w:w="1134" w:type="dxa"/>
            <w:tcBorders>
              <w:top w:val="nil"/>
              <w:left w:val="nil"/>
              <w:bottom w:val="nil"/>
              <w:right w:val="nil"/>
            </w:tcBorders>
            <w:tcMar>
              <w:top w:w="128" w:type="dxa"/>
              <w:left w:w="43" w:type="dxa"/>
              <w:bottom w:w="43" w:type="dxa"/>
              <w:right w:w="43" w:type="dxa"/>
            </w:tcMar>
            <w:vAlign w:val="bottom"/>
          </w:tcPr>
          <w:p w14:paraId="4480F778" w14:textId="77777777" w:rsidR="00FE02EF" w:rsidRPr="00CC19F7" w:rsidRDefault="00881E58" w:rsidP="00A06A7F">
            <w:pPr>
              <w:jc w:val="right"/>
            </w:pPr>
            <w:r w:rsidRPr="00CC19F7">
              <w:t>-</w:t>
            </w:r>
          </w:p>
        </w:tc>
        <w:tc>
          <w:tcPr>
            <w:tcW w:w="992" w:type="dxa"/>
            <w:tcBorders>
              <w:top w:val="nil"/>
              <w:left w:val="nil"/>
              <w:bottom w:val="nil"/>
              <w:right w:val="nil"/>
            </w:tcBorders>
            <w:tcMar>
              <w:top w:w="128" w:type="dxa"/>
              <w:left w:w="43" w:type="dxa"/>
              <w:bottom w:w="43" w:type="dxa"/>
              <w:right w:w="43" w:type="dxa"/>
            </w:tcMar>
            <w:vAlign w:val="bottom"/>
          </w:tcPr>
          <w:p w14:paraId="22A29455" w14:textId="77777777" w:rsidR="00FE02EF" w:rsidRPr="00CC19F7" w:rsidRDefault="00881E58" w:rsidP="00A06A7F">
            <w:pPr>
              <w:jc w:val="right"/>
            </w:pPr>
            <w:r w:rsidRPr="00CC19F7">
              <w:t>-</w:t>
            </w:r>
          </w:p>
        </w:tc>
        <w:tc>
          <w:tcPr>
            <w:tcW w:w="1401" w:type="dxa"/>
            <w:tcBorders>
              <w:top w:val="nil"/>
              <w:left w:val="nil"/>
              <w:bottom w:val="nil"/>
              <w:right w:val="nil"/>
            </w:tcBorders>
            <w:tcMar>
              <w:top w:w="128" w:type="dxa"/>
              <w:left w:w="43" w:type="dxa"/>
              <w:bottom w:w="43" w:type="dxa"/>
              <w:right w:w="43" w:type="dxa"/>
            </w:tcMar>
            <w:vAlign w:val="bottom"/>
          </w:tcPr>
          <w:p w14:paraId="52213D45" w14:textId="77777777" w:rsidR="00FE02EF" w:rsidRPr="00CC19F7" w:rsidRDefault="00881E58" w:rsidP="00A06A7F">
            <w:pPr>
              <w:jc w:val="right"/>
            </w:pPr>
            <w:r w:rsidRPr="00CC19F7">
              <w:t>-</w:t>
            </w:r>
          </w:p>
        </w:tc>
      </w:tr>
      <w:tr w:rsidR="00FE02EF" w:rsidRPr="00CC19F7" w14:paraId="3A263CAA" w14:textId="77777777" w:rsidTr="00A06A7F">
        <w:trPr>
          <w:trHeight w:val="380"/>
        </w:trPr>
        <w:tc>
          <w:tcPr>
            <w:tcW w:w="2651" w:type="dxa"/>
            <w:tcBorders>
              <w:top w:val="nil"/>
              <w:left w:val="nil"/>
              <w:bottom w:val="nil"/>
              <w:right w:val="nil"/>
            </w:tcBorders>
            <w:tcMar>
              <w:top w:w="128" w:type="dxa"/>
              <w:left w:w="43" w:type="dxa"/>
              <w:bottom w:w="43" w:type="dxa"/>
              <w:right w:w="43" w:type="dxa"/>
            </w:tcMar>
          </w:tcPr>
          <w:p w14:paraId="6F2E104F" w14:textId="77777777" w:rsidR="00FE02EF" w:rsidRPr="00CC19F7" w:rsidRDefault="00881E58" w:rsidP="00A06A7F">
            <w:r w:rsidRPr="00CC19F7">
              <w:t>Maria fase 2</w:t>
            </w:r>
          </w:p>
        </w:tc>
        <w:tc>
          <w:tcPr>
            <w:tcW w:w="1275" w:type="dxa"/>
            <w:tcBorders>
              <w:top w:val="nil"/>
              <w:left w:val="nil"/>
              <w:bottom w:val="nil"/>
              <w:right w:val="nil"/>
            </w:tcBorders>
            <w:tcMar>
              <w:top w:w="128" w:type="dxa"/>
              <w:left w:w="43" w:type="dxa"/>
              <w:bottom w:w="43" w:type="dxa"/>
              <w:right w:w="43" w:type="dxa"/>
            </w:tcMar>
            <w:vAlign w:val="bottom"/>
          </w:tcPr>
          <w:p w14:paraId="5534A181" w14:textId="77777777" w:rsidR="00FE02EF" w:rsidRPr="00CC19F7" w:rsidRDefault="00881E58" w:rsidP="00A06A7F">
            <w:pPr>
              <w:jc w:val="right"/>
            </w:pPr>
            <w:r w:rsidRPr="00CC19F7">
              <w:t>2023</w:t>
            </w:r>
          </w:p>
        </w:tc>
        <w:tc>
          <w:tcPr>
            <w:tcW w:w="1154" w:type="dxa"/>
            <w:tcBorders>
              <w:top w:val="nil"/>
              <w:left w:val="nil"/>
              <w:bottom w:val="nil"/>
              <w:right w:val="nil"/>
            </w:tcBorders>
            <w:tcMar>
              <w:top w:w="128" w:type="dxa"/>
              <w:left w:w="43" w:type="dxa"/>
              <w:bottom w:w="43" w:type="dxa"/>
              <w:right w:w="43" w:type="dxa"/>
            </w:tcMar>
            <w:vAlign w:val="bottom"/>
          </w:tcPr>
          <w:p w14:paraId="5F24C6FA" w14:textId="77777777" w:rsidR="00FE02EF" w:rsidRPr="00CC19F7" w:rsidRDefault="00881E58" w:rsidP="00A06A7F">
            <w:pPr>
              <w:jc w:val="right"/>
            </w:pPr>
            <w:r w:rsidRPr="00CC19F7">
              <w:t>4,3</w:t>
            </w:r>
          </w:p>
        </w:tc>
        <w:tc>
          <w:tcPr>
            <w:tcW w:w="973" w:type="dxa"/>
            <w:tcBorders>
              <w:top w:val="nil"/>
              <w:left w:val="nil"/>
              <w:bottom w:val="nil"/>
              <w:right w:val="nil"/>
            </w:tcBorders>
            <w:tcMar>
              <w:top w:w="128" w:type="dxa"/>
              <w:left w:w="43" w:type="dxa"/>
              <w:bottom w:w="43" w:type="dxa"/>
              <w:right w:w="43" w:type="dxa"/>
            </w:tcMar>
            <w:vAlign w:val="bottom"/>
          </w:tcPr>
          <w:p w14:paraId="20F23AFD" w14:textId="77777777" w:rsidR="00FE02EF" w:rsidRPr="00CC19F7" w:rsidRDefault="00881E58" w:rsidP="00A06A7F">
            <w:pPr>
              <w:jc w:val="right"/>
            </w:pPr>
            <w:r w:rsidRPr="00CC19F7">
              <w:t>4,3</w:t>
            </w:r>
          </w:p>
        </w:tc>
        <w:tc>
          <w:tcPr>
            <w:tcW w:w="1134" w:type="dxa"/>
            <w:tcBorders>
              <w:top w:val="nil"/>
              <w:left w:val="nil"/>
              <w:bottom w:val="nil"/>
              <w:right w:val="nil"/>
            </w:tcBorders>
            <w:tcMar>
              <w:top w:w="128" w:type="dxa"/>
              <w:left w:w="43" w:type="dxa"/>
              <w:bottom w:w="43" w:type="dxa"/>
              <w:right w:w="43" w:type="dxa"/>
            </w:tcMar>
            <w:vAlign w:val="bottom"/>
          </w:tcPr>
          <w:p w14:paraId="07CDD168" w14:textId="77777777" w:rsidR="00FE02EF" w:rsidRPr="00CC19F7" w:rsidRDefault="00881E58" w:rsidP="00A06A7F">
            <w:pPr>
              <w:jc w:val="right"/>
            </w:pPr>
            <w:r w:rsidRPr="00CC19F7">
              <w:t>-</w:t>
            </w:r>
          </w:p>
        </w:tc>
        <w:tc>
          <w:tcPr>
            <w:tcW w:w="992" w:type="dxa"/>
            <w:tcBorders>
              <w:top w:val="nil"/>
              <w:left w:val="nil"/>
              <w:bottom w:val="nil"/>
              <w:right w:val="nil"/>
            </w:tcBorders>
            <w:tcMar>
              <w:top w:w="128" w:type="dxa"/>
              <w:left w:w="43" w:type="dxa"/>
              <w:bottom w:w="43" w:type="dxa"/>
              <w:right w:w="43" w:type="dxa"/>
            </w:tcMar>
            <w:vAlign w:val="bottom"/>
          </w:tcPr>
          <w:p w14:paraId="7DE73FEB" w14:textId="77777777" w:rsidR="00FE02EF" w:rsidRPr="00CC19F7" w:rsidRDefault="00881E58" w:rsidP="00A06A7F">
            <w:pPr>
              <w:jc w:val="right"/>
            </w:pPr>
            <w:r w:rsidRPr="00CC19F7">
              <w:t>-</w:t>
            </w:r>
          </w:p>
        </w:tc>
        <w:tc>
          <w:tcPr>
            <w:tcW w:w="1401" w:type="dxa"/>
            <w:tcBorders>
              <w:top w:val="nil"/>
              <w:left w:val="nil"/>
              <w:bottom w:val="nil"/>
              <w:right w:val="nil"/>
            </w:tcBorders>
            <w:tcMar>
              <w:top w:w="128" w:type="dxa"/>
              <w:left w:w="43" w:type="dxa"/>
              <w:bottom w:w="43" w:type="dxa"/>
              <w:right w:w="43" w:type="dxa"/>
            </w:tcMar>
            <w:vAlign w:val="bottom"/>
          </w:tcPr>
          <w:p w14:paraId="2B8C22F8" w14:textId="77777777" w:rsidR="00FE02EF" w:rsidRPr="00CC19F7" w:rsidRDefault="00881E58" w:rsidP="00A06A7F">
            <w:pPr>
              <w:jc w:val="right"/>
            </w:pPr>
            <w:r w:rsidRPr="00CC19F7">
              <w:t>-</w:t>
            </w:r>
          </w:p>
        </w:tc>
      </w:tr>
      <w:tr w:rsidR="00FE02EF" w:rsidRPr="00CC19F7" w14:paraId="3765F17F" w14:textId="77777777" w:rsidTr="00A06A7F">
        <w:trPr>
          <w:trHeight w:val="380"/>
        </w:trPr>
        <w:tc>
          <w:tcPr>
            <w:tcW w:w="2651" w:type="dxa"/>
            <w:tcBorders>
              <w:top w:val="nil"/>
              <w:left w:val="nil"/>
              <w:bottom w:val="nil"/>
              <w:right w:val="nil"/>
            </w:tcBorders>
            <w:tcMar>
              <w:top w:w="128" w:type="dxa"/>
              <w:left w:w="43" w:type="dxa"/>
              <w:bottom w:w="43" w:type="dxa"/>
              <w:right w:w="43" w:type="dxa"/>
            </w:tcMar>
          </w:tcPr>
          <w:p w14:paraId="67F224EA" w14:textId="77777777" w:rsidR="00FE02EF" w:rsidRPr="00CC19F7" w:rsidRDefault="00881E58" w:rsidP="00A06A7F">
            <w:proofErr w:type="spellStart"/>
            <w:r w:rsidRPr="00CC19F7">
              <w:t>Dvalin</w:t>
            </w:r>
            <w:proofErr w:type="spellEnd"/>
            <w:r w:rsidRPr="00CC19F7">
              <w:t xml:space="preserve"> Nord</w:t>
            </w:r>
          </w:p>
        </w:tc>
        <w:tc>
          <w:tcPr>
            <w:tcW w:w="1275" w:type="dxa"/>
            <w:tcBorders>
              <w:top w:val="nil"/>
              <w:left w:val="nil"/>
              <w:bottom w:val="nil"/>
              <w:right w:val="nil"/>
            </w:tcBorders>
            <w:tcMar>
              <w:top w:w="128" w:type="dxa"/>
              <w:left w:w="43" w:type="dxa"/>
              <w:bottom w:w="43" w:type="dxa"/>
              <w:right w:w="43" w:type="dxa"/>
            </w:tcMar>
            <w:vAlign w:val="bottom"/>
          </w:tcPr>
          <w:p w14:paraId="4F7F1912" w14:textId="77777777" w:rsidR="00FE02EF" w:rsidRPr="00CC19F7" w:rsidRDefault="00881E58" w:rsidP="00A06A7F">
            <w:pPr>
              <w:jc w:val="right"/>
            </w:pPr>
            <w:r w:rsidRPr="00CC19F7">
              <w:t>2023</w:t>
            </w:r>
          </w:p>
        </w:tc>
        <w:tc>
          <w:tcPr>
            <w:tcW w:w="1154" w:type="dxa"/>
            <w:tcBorders>
              <w:top w:val="nil"/>
              <w:left w:val="nil"/>
              <w:bottom w:val="nil"/>
              <w:right w:val="nil"/>
            </w:tcBorders>
            <w:tcMar>
              <w:top w:w="128" w:type="dxa"/>
              <w:left w:w="43" w:type="dxa"/>
              <w:bottom w:w="43" w:type="dxa"/>
              <w:right w:w="43" w:type="dxa"/>
            </w:tcMar>
            <w:vAlign w:val="bottom"/>
          </w:tcPr>
          <w:p w14:paraId="59F1AF3D" w14:textId="77777777" w:rsidR="00FE02EF" w:rsidRPr="00CC19F7" w:rsidRDefault="00881E58" w:rsidP="00A06A7F">
            <w:pPr>
              <w:jc w:val="right"/>
            </w:pPr>
            <w:r w:rsidRPr="00CC19F7">
              <w:t>7,9</w:t>
            </w:r>
          </w:p>
        </w:tc>
        <w:tc>
          <w:tcPr>
            <w:tcW w:w="973" w:type="dxa"/>
            <w:tcBorders>
              <w:top w:val="nil"/>
              <w:left w:val="nil"/>
              <w:bottom w:val="nil"/>
              <w:right w:val="nil"/>
            </w:tcBorders>
            <w:tcMar>
              <w:top w:w="128" w:type="dxa"/>
              <w:left w:w="43" w:type="dxa"/>
              <w:bottom w:w="43" w:type="dxa"/>
              <w:right w:w="43" w:type="dxa"/>
            </w:tcMar>
            <w:vAlign w:val="bottom"/>
          </w:tcPr>
          <w:p w14:paraId="27DC9FFD" w14:textId="77777777" w:rsidR="00FE02EF" w:rsidRPr="00CC19F7" w:rsidRDefault="00881E58" w:rsidP="00A06A7F">
            <w:pPr>
              <w:jc w:val="right"/>
            </w:pPr>
            <w:r w:rsidRPr="00CC19F7">
              <w:t>7,9</w:t>
            </w:r>
          </w:p>
        </w:tc>
        <w:tc>
          <w:tcPr>
            <w:tcW w:w="1134" w:type="dxa"/>
            <w:tcBorders>
              <w:top w:val="nil"/>
              <w:left w:val="nil"/>
              <w:bottom w:val="nil"/>
              <w:right w:val="nil"/>
            </w:tcBorders>
            <w:tcMar>
              <w:top w:w="128" w:type="dxa"/>
              <w:left w:w="43" w:type="dxa"/>
              <w:bottom w:w="43" w:type="dxa"/>
              <w:right w:w="43" w:type="dxa"/>
            </w:tcMar>
            <w:vAlign w:val="bottom"/>
          </w:tcPr>
          <w:p w14:paraId="55F264CE" w14:textId="77777777" w:rsidR="00FE02EF" w:rsidRPr="00CC19F7" w:rsidRDefault="00881E58" w:rsidP="00A06A7F">
            <w:pPr>
              <w:jc w:val="right"/>
            </w:pPr>
            <w:r w:rsidRPr="00CC19F7">
              <w:t>-</w:t>
            </w:r>
          </w:p>
        </w:tc>
        <w:tc>
          <w:tcPr>
            <w:tcW w:w="992" w:type="dxa"/>
            <w:tcBorders>
              <w:top w:val="nil"/>
              <w:left w:val="nil"/>
              <w:bottom w:val="nil"/>
              <w:right w:val="nil"/>
            </w:tcBorders>
            <w:tcMar>
              <w:top w:w="128" w:type="dxa"/>
              <w:left w:w="43" w:type="dxa"/>
              <w:bottom w:w="43" w:type="dxa"/>
              <w:right w:w="43" w:type="dxa"/>
            </w:tcMar>
            <w:vAlign w:val="bottom"/>
          </w:tcPr>
          <w:p w14:paraId="4F122002" w14:textId="77777777" w:rsidR="00FE02EF" w:rsidRPr="00CC19F7" w:rsidRDefault="00881E58" w:rsidP="00A06A7F">
            <w:pPr>
              <w:jc w:val="right"/>
            </w:pPr>
            <w:r w:rsidRPr="00CC19F7">
              <w:t>-</w:t>
            </w:r>
          </w:p>
        </w:tc>
        <w:tc>
          <w:tcPr>
            <w:tcW w:w="1401" w:type="dxa"/>
            <w:tcBorders>
              <w:top w:val="nil"/>
              <w:left w:val="nil"/>
              <w:bottom w:val="nil"/>
              <w:right w:val="nil"/>
            </w:tcBorders>
            <w:tcMar>
              <w:top w:w="128" w:type="dxa"/>
              <w:left w:w="43" w:type="dxa"/>
              <w:bottom w:w="43" w:type="dxa"/>
              <w:right w:w="43" w:type="dxa"/>
            </w:tcMar>
            <w:vAlign w:val="bottom"/>
          </w:tcPr>
          <w:p w14:paraId="0562B928" w14:textId="77777777" w:rsidR="00FE02EF" w:rsidRPr="00CC19F7" w:rsidRDefault="00881E58" w:rsidP="00A06A7F">
            <w:pPr>
              <w:jc w:val="right"/>
            </w:pPr>
            <w:r w:rsidRPr="00CC19F7">
              <w:t>-</w:t>
            </w:r>
          </w:p>
        </w:tc>
      </w:tr>
      <w:tr w:rsidR="00FE02EF" w:rsidRPr="00CC19F7" w14:paraId="208A6861" w14:textId="77777777" w:rsidTr="00A06A7F">
        <w:trPr>
          <w:trHeight w:val="380"/>
        </w:trPr>
        <w:tc>
          <w:tcPr>
            <w:tcW w:w="2651" w:type="dxa"/>
            <w:tcBorders>
              <w:top w:val="nil"/>
              <w:left w:val="nil"/>
              <w:bottom w:val="nil"/>
              <w:right w:val="nil"/>
            </w:tcBorders>
            <w:tcMar>
              <w:top w:w="128" w:type="dxa"/>
              <w:left w:w="43" w:type="dxa"/>
              <w:bottom w:w="43" w:type="dxa"/>
              <w:right w:w="43" w:type="dxa"/>
            </w:tcMar>
          </w:tcPr>
          <w:p w14:paraId="5CEE774B" w14:textId="77777777" w:rsidR="00FE02EF" w:rsidRPr="00CC19F7" w:rsidRDefault="00881E58" w:rsidP="00A06A7F">
            <w:proofErr w:type="spellStart"/>
            <w:r w:rsidRPr="00CC19F7">
              <w:t>Berling</w:t>
            </w:r>
            <w:proofErr w:type="spellEnd"/>
          </w:p>
        </w:tc>
        <w:tc>
          <w:tcPr>
            <w:tcW w:w="1275" w:type="dxa"/>
            <w:tcBorders>
              <w:top w:val="nil"/>
              <w:left w:val="nil"/>
              <w:bottom w:val="nil"/>
              <w:right w:val="nil"/>
            </w:tcBorders>
            <w:tcMar>
              <w:top w:w="128" w:type="dxa"/>
              <w:left w:w="43" w:type="dxa"/>
              <w:bottom w:w="43" w:type="dxa"/>
              <w:right w:w="43" w:type="dxa"/>
            </w:tcMar>
            <w:vAlign w:val="bottom"/>
          </w:tcPr>
          <w:p w14:paraId="43635023" w14:textId="77777777" w:rsidR="00FE02EF" w:rsidRPr="00CC19F7" w:rsidRDefault="00881E58" w:rsidP="00A06A7F">
            <w:pPr>
              <w:jc w:val="right"/>
            </w:pPr>
            <w:r w:rsidRPr="00CC19F7">
              <w:t>2023</w:t>
            </w:r>
          </w:p>
        </w:tc>
        <w:tc>
          <w:tcPr>
            <w:tcW w:w="1154" w:type="dxa"/>
            <w:tcBorders>
              <w:top w:val="nil"/>
              <w:left w:val="nil"/>
              <w:bottom w:val="nil"/>
              <w:right w:val="nil"/>
            </w:tcBorders>
            <w:tcMar>
              <w:top w:w="128" w:type="dxa"/>
              <w:left w:w="43" w:type="dxa"/>
              <w:bottom w:w="43" w:type="dxa"/>
              <w:right w:w="43" w:type="dxa"/>
            </w:tcMar>
            <w:vAlign w:val="bottom"/>
          </w:tcPr>
          <w:p w14:paraId="54062B07" w14:textId="77777777" w:rsidR="00FE02EF" w:rsidRPr="00CC19F7" w:rsidRDefault="00881E58" w:rsidP="00A06A7F">
            <w:pPr>
              <w:jc w:val="right"/>
            </w:pPr>
            <w:r w:rsidRPr="00CC19F7">
              <w:t>9,5</w:t>
            </w:r>
          </w:p>
        </w:tc>
        <w:tc>
          <w:tcPr>
            <w:tcW w:w="973" w:type="dxa"/>
            <w:tcBorders>
              <w:top w:val="nil"/>
              <w:left w:val="nil"/>
              <w:bottom w:val="nil"/>
              <w:right w:val="nil"/>
            </w:tcBorders>
            <w:tcMar>
              <w:top w:w="128" w:type="dxa"/>
              <w:left w:w="43" w:type="dxa"/>
              <w:bottom w:w="43" w:type="dxa"/>
              <w:right w:w="43" w:type="dxa"/>
            </w:tcMar>
            <w:vAlign w:val="bottom"/>
          </w:tcPr>
          <w:p w14:paraId="0BAD7CFE" w14:textId="77777777" w:rsidR="00FE02EF" w:rsidRPr="00CC19F7" w:rsidRDefault="00881E58" w:rsidP="00A06A7F">
            <w:pPr>
              <w:jc w:val="right"/>
            </w:pPr>
            <w:r w:rsidRPr="00CC19F7">
              <w:t>9,5</w:t>
            </w:r>
          </w:p>
        </w:tc>
        <w:tc>
          <w:tcPr>
            <w:tcW w:w="1134" w:type="dxa"/>
            <w:tcBorders>
              <w:top w:val="nil"/>
              <w:left w:val="nil"/>
              <w:bottom w:val="nil"/>
              <w:right w:val="nil"/>
            </w:tcBorders>
            <w:tcMar>
              <w:top w:w="128" w:type="dxa"/>
              <w:left w:w="43" w:type="dxa"/>
              <w:bottom w:w="43" w:type="dxa"/>
              <w:right w:w="43" w:type="dxa"/>
            </w:tcMar>
            <w:vAlign w:val="bottom"/>
          </w:tcPr>
          <w:p w14:paraId="19A0E0C3" w14:textId="77777777" w:rsidR="00FE02EF" w:rsidRPr="00CC19F7" w:rsidRDefault="00881E58" w:rsidP="00A06A7F">
            <w:pPr>
              <w:jc w:val="right"/>
            </w:pPr>
            <w:r w:rsidRPr="00CC19F7">
              <w:t>-</w:t>
            </w:r>
          </w:p>
        </w:tc>
        <w:tc>
          <w:tcPr>
            <w:tcW w:w="992" w:type="dxa"/>
            <w:tcBorders>
              <w:top w:val="nil"/>
              <w:left w:val="nil"/>
              <w:bottom w:val="nil"/>
              <w:right w:val="nil"/>
            </w:tcBorders>
            <w:tcMar>
              <w:top w:w="128" w:type="dxa"/>
              <w:left w:w="43" w:type="dxa"/>
              <w:bottom w:w="43" w:type="dxa"/>
              <w:right w:w="43" w:type="dxa"/>
            </w:tcMar>
            <w:vAlign w:val="bottom"/>
          </w:tcPr>
          <w:p w14:paraId="4BDB4D11" w14:textId="77777777" w:rsidR="00FE02EF" w:rsidRPr="00CC19F7" w:rsidRDefault="00881E58" w:rsidP="00A06A7F">
            <w:pPr>
              <w:jc w:val="right"/>
            </w:pPr>
            <w:r w:rsidRPr="00CC19F7">
              <w:t>-</w:t>
            </w:r>
          </w:p>
        </w:tc>
        <w:tc>
          <w:tcPr>
            <w:tcW w:w="1401" w:type="dxa"/>
            <w:tcBorders>
              <w:top w:val="nil"/>
              <w:left w:val="nil"/>
              <w:bottom w:val="nil"/>
              <w:right w:val="nil"/>
            </w:tcBorders>
            <w:tcMar>
              <w:top w:w="128" w:type="dxa"/>
              <w:left w:w="43" w:type="dxa"/>
              <w:bottom w:w="43" w:type="dxa"/>
              <w:right w:w="43" w:type="dxa"/>
            </w:tcMar>
            <w:vAlign w:val="bottom"/>
          </w:tcPr>
          <w:p w14:paraId="37284FCE" w14:textId="77777777" w:rsidR="00FE02EF" w:rsidRPr="00CC19F7" w:rsidRDefault="00881E58" w:rsidP="00A06A7F">
            <w:pPr>
              <w:jc w:val="right"/>
            </w:pPr>
            <w:r w:rsidRPr="00CC19F7">
              <w:t>-</w:t>
            </w:r>
          </w:p>
        </w:tc>
      </w:tr>
      <w:tr w:rsidR="00FE02EF" w:rsidRPr="00CC19F7" w14:paraId="2A86381B" w14:textId="77777777" w:rsidTr="00A06A7F">
        <w:trPr>
          <w:trHeight w:val="380"/>
        </w:trPr>
        <w:tc>
          <w:tcPr>
            <w:tcW w:w="2651" w:type="dxa"/>
            <w:tcBorders>
              <w:top w:val="nil"/>
              <w:left w:val="nil"/>
              <w:bottom w:val="nil"/>
              <w:right w:val="nil"/>
            </w:tcBorders>
            <w:tcMar>
              <w:top w:w="128" w:type="dxa"/>
              <w:left w:w="43" w:type="dxa"/>
              <w:bottom w:w="43" w:type="dxa"/>
              <w:right w:w="43" w:type="dxa"/>
            </w:tcMar>
          </w:tcPr>
          <w:p w14:paraId="78D32335" w14:textId="77777777" w:rsidR="00FE02EF" w:rsidRPr="00CC19F7" w:rsidRDefault="00881E58" w:rsidP="00A06A7F">
            <w:r w:rsidRPr="00CC19F7">
              <w:t xml:space="preserve">Snøhvit </w:t>
            </w:r>
            <w:proofErr w:type="spellStart"/>
            <w:r w:rsidRPr="00CC19F7">
              <w:t>Future</w:t>
            </w:r>
            <w:proofErr w:type="spellEnd"/>
          </w:p>
        </w:tc>
        <w:tc>
          <w:tcPr>
            <w:tcW w:w="1275" w:type="dxa"/>
            <w:tcBorders>
              <w:top w:val="nil"/>
              <w:left w:val="nil"/>
              <w:bottom w:val="nil"/>
              <w:right w:val="nil"/>
            </w:tcBorders>
            <w:tcMar>
              <w:top w:w="128" w:type="dxa"/>
              <w:left w:w="43" w:type="dxa"/>
              <w:bottom w:w="43" w:type="dxa"/>
              <w:right w:w="43" w:type="dxa"/>
            </w:tcMar>
            <w:vAlign w:val="bottom"/>
          </w:tcPr>
          <w:p w14:paraId="56FA9D84" w14:textId="77777777" w:rsidR="00FE02EF" w:rsidRPr="00CC19F7" w:rsidRDefault="00881E58" w:rsidP="00A06A7F">
            <w:pPr>
              <w:jc w:val="right"/>
            </w:pPr>
            <w:r w:rsidRPr="00CC19F7">
              <w:t>2023</w:t>
            </w:r>
          </w:p>
        </w:tc>
        <w:tc>
          <w:tcPr>
            <w:tcW w:w="1154" w:type="dxa"/>
            <w:tcBorders>
              <w:top w:val="nil"/>
              <w:left w:val="nil"/>
              <w:bottom w:val="nil"/>
              <w:right w:val="nil"/>
            </w:tcBorders>
            <w:tcMar>
              <w:top w:w="128" w:type="dxa"/>
              <w:left w:w="43" w:type="dxa"/>
              <w:bottom w:w="43" w:type="dxa"/>
              <w:right w:w="43" w:type="dxa"/>
            </w:tcMar>
            <w:vAlign w:val="bottom"/>
          </w:tcPr>
          <w:p w14:paraId="6779B521" w14:textId="77777777" w:rsidR="00FE02EF" w:rsidRPr="00CC19F7" w:rsidRDefault="00881E58" w:rsidP="00A06A7F">
            <w:pPr>
              <w:jc w:val="right"/>
            </w:pPr>
            <w:r w:rsidRPr="00CC19F7">
              <w:t>13,8</w:t>
            </w:r>
          </w:p>
        </w:tc>
        <w:tc>
          <w:tcPr>
            <w:tcW w:w="973" w:type="dxa"/>
            <w:tcBorders>
              <w:top w:val="nil"/>
              <w:left w:val="nil"/>
              <w:bottom w:val="nil"/>
              <w:right w:val="nil"/>
            </w:tcBorders>
            <w:tcMar>
              <w:top w:w="128" w:type="dxa"/>
              <w:left w:w="43" w:type="dxa"/>
              <w:bottom w:w="43" w:type="dxa"/>
              <w:right w:w="43" w:type="dxa"/>
            </w:tcMar>
            <w:vAlign w:val="bottom"/>
          </w:tcPr>
          <w:p w14:paraId="4326AD92" w14:textId="77777777" w:rsidR="00FE02EF" w:rsidRPr="00CC19F7" w:rsidRDefault="00881E58" w:rsidP="00A06A7F">
            <w:pPr>
              <w:jc w:val="right"/>
            </w:pPr>
            <w:r w:rsidRPr="00CC19F7">
              <w:t>13,8</w:t>
            </w:r>
          </w:p>
        </w:tc>
        <w:tc>
          <w:tcPr>
            <w:tcW w:w="1134" w:type="dxa"/>
            <w:tcBorders>
              <w:top w:val="nil"/>
              <w:left w:val="nil"/>
              <w:bottom w:val="nil"/>
              <w:right w:val="nil"/>
            </w:tcBorders>
            <w:tcMar>
              <w:top w:w="128" w:type="dxa"/>
              <w:left w:w="43" w:type="dxa"/>
              <w:bottom w:w="43" w:type="dxa"/>
              <w:right w:w="43" w:type="dxa"/>
            </w:tcMar>
            <w:vAlign w:val="bottom"/>
          </w:tcPr>
          <w:p w14:paraId="3DDD9A2C" w14:textId="77777777" w:rsidR="00FE02EF" w:rsidRPr="00CC19F7" w:rsidRDefault="00881E58" w:rsidP="00A06A7F">
            <w:pPr>
              <w:jc w:val="right"/>
            </w:pPr>
            <w:r w:rsidRPr="00CC19F7">
              <w:t>-</w:t>
            </w:r>
          </w:p>
        </w:tc>
        <w:tc>
          <w:tcPr>
            <w:tcW w:w="992" w:type="dxa"/>
            <w:tcBorders>
              <w:top w:val="nil"/>
              <w:left w:val="nil"/>
              <w:bottom w:val="nil"/>
              <w:right w:val="nil"/>
            </w:tcBorders>
            <w:tcMar>
              <w:top w:w="128" w:type="dxa"/>
              <w:left w:w="43" w:type="dxa"/>
              <w:bottom w:w="43" w:type="dxa"/>
              <w:right w:w="43" w:type="dxa"/>
            </w:tcMar>
            <w:vAlign w:val="bottom"/>
          </w:tcPr>
          <w:p w14:paraId="7970658B" w14:textId="77777777" w:rsidR="00FE02EF" w:rsidRPr="00CC19F7" w:rsidRDefault="00881E58" w:rsidP="00A06A7F">
            <w:pPr>
              <w:jc w:val="right"/>
            </w:pPr>
            <w:r w:rsidRPr="00CC19F7">
              <w:t>-</w:t>
            </w:r>
          </w:p>
        </w:tc>
        <w:tc>
          <w:tcPr>
            <w:tcW w:w="1401" w:type="dxa"/>
            <w:tcBorders>
              <w:top w:val="nil"/>
              <w:left w:val="nil"/>
              <w:bottom w:val="nil"/>
              <w:right w:val="nil"/>
            </w:tcBorders>
            <w:tcMar>
              <w:top w:w="128" w:type="dxa"/>
              <w:left w:w="43" w:type="dxa"/>
              <w:bottom w:w="43" w:type="dxa"/>
              <w:right w:w="43" w:type="dxa"/>
            </w:tcMar>
            <w:vAlign w:val="bottom"/>
          </w:tcPr>
          <w:p w14:paraId="67F48459" w14:textId="77777777" w:rsidR="00FE02EF" w:rsidRPr="00CC19F7" w:rsidRDefault="00881E58" w:rsidP="00A06A7F">
            <w:pPr>
              <w:jc w:val="right"/>
            </w:pPr>
            <w:r w:rsidRPr="00CC19F7">
              <w:t>-</w:t>
            </w:r>
          </w:p>
        </w:tc>
      </w:tr>
      <w:tr w:rsidR="00FE02EF" w:rsidRPr="00CC19F7" w14:paraId="496C171E" w14:textId="77777777" w:rsidTr="00A06A7F">
        <w:trPr>
          <w:trHeight w:val="380"/>
        </w:trPr>
        <w:tc>
          <w:tcPr>
            <w:tcW w:w="2651" w:type="dxa"/>
            <w:tcBorders>
              <w:top w:val="nil"/>
              <w:left w:val="nil"/>
              <w:bottom w:val="nil"/>
              <w:right w:val="nil"/>
            </w:tcBorders>
            <w:tcMar>
              <w:top w:w="128" w:type="dxa"/>
              <w:left w:w="43" w:type="dxa"/>
              <w:bottom w:w="43" w:type="dxa"/>
              <w:right w:w="43" w:type="dxa"/>
            </w:tcMar>
          </w:tcPr>
          <w:p w14:paraId="7A231B41" w14:textId="77777777" w:rsidR="00FE02EF" w:rsidRPr="00CC19F7" w:rsidRDefault="00881E58" w:rsidP="00A06A7F">
            <w:r w:rsidRPr="00CC19F7">
              <w:t>Sleipner Kraft fra land</w:t>
            </w:r>
          </w:p>
        </w:tc>
        <w:tc>
          <w:tcPr>
            <w:tcW w:w="1275" w:type="dxa"/>
            <w:tcBorders>
              <w:top w:val="nil"/>
              <w:left w:val="nil"/>
              <w:bottom w:val="nil"/>
              <w:right w:val="nil"/>
            </w:tcBorders>
            <w:tcMar>
              <w:top w:w="128" w:type="dxa"/>
              <w:left w:w="43" w:type="dxa"/>
              <w:bottom w:w="43" w:type="dxa"/>
              <w:right w:w="43" w:type="dxa"/>
            </w:tcMar>
            <w:vAlign w:val="bottom"/>
          </w:tcPr>
          <w:p w14:paraId="2FD97657" w14:textId="77777777" w:rsidR="00FE02EF" w:rsidRPr="00CC19F7" w:rsidRDefault="00881E58" w:rsidP="00A06A7F">
            <w:pPr>
              <w:jc w:val="right"/>
            </w:pPr>
            <w:r w:rsidRPr="00CC19F7">
              <w:t>2021</w:t>
            </w:r>
          </w:p>
        </w:tc>
        <w:tc>
          <w:tcPr>
            <w:tcW w:w="1154" w:type="dxa"/>
            <w:tcBorders>
              <w:top w:val="nil"/>
              <w:left w:val="nil"/>
              <w:bottom w:val="nil"/>
              <w:right w:val="nil"/>
            </w:tcBorders>
            <w:tcMar>
              <w:top w:w="128" w:type="dxa"/>
              <w:left w:w="43" w:type="dxa"/>
              <w:bottom w:w="43" w:type="dxa"/>
              <w:right w:w="43" w:type="dxa"/>
            </w:tcMar>
            <w:vAlign w:val="bottom"/>
          </w:tcPr>
          <w:p w14:paraId="449DA678" w14:textId="77777777" w:rsidR="00FE02EF" w:rsidRPr="00CC19F7" w:rsidRDefault="00881E58" w:rsidP="00A06A7F">
            <w:pPr>
              <w:jc w:val="right"/>
            </w:pPr>
            <w:r w:rsidRPr="00CC19F7">
              <w:t>1,0</w:t>
            </w:r>
          </w:p>
        </w:tc>
        <w:tc>
          <w:tcPr>
            <w:tcW w:w="973" w:type="dxa"/>
            <w:tcBorders>
              <w:top w:val="nil"/>
              <w:left w:val="nil"/>
              <w:bottom w:val="nil"/>
              <w:right w:val="nil"/>
            </w:tcBorders>
            <w:tcMar>
              <w:top w:w="128" w:type="dxa"/>
              <w:left w:w="43" w:type="dxa"/>
              <w:bottom w:w="43" w:type="dxa"/>
              <w:right w:w="43" w:type="dxa"/>
            </w:tcMar>
            <w:vAlign w:val="bottom"/>
          </w:tcPr>
          <w:p w14:paraId="6F0832A4" w14:textId="77777777" w:rsidR="00FE02EF" w:rsidRPr="00CC19F7" w:rsidRDefault="00881E58" w:rsidP="00A06A7F">
            <w:pPr>
              <w:jc w:val="right"/>
            </w:pPr>
            <w:r w:rsidRPr="00CC19F7">
              <w:t>1,1</w:t>
            </w:r>
          </w:p>
        </w:tc>
        <w:tc>
          <w:tcPr>
            <w:tcW w:w="1134" w:type="dxa"/>
            <w:tcBorders>
              <w:top w:val="nil"/>
              <w:left w:val="nil"/>
              <w:bottom w:val="nil"/>
              <w:right w:val="nil"/>
            </w:tcBorders>
            <w:tcMar>
              <w:top w:w="128" w:type="dxa"/>
              <w:left w:w="43" w:type="dxa"/>
              <w:bottom w:w="43" w:type="dxa"/>
              <w:right w:w="43" w:type="dxa"/>
            </w:tcMar>
            <w:vAlign w:val="bottom"/>
          </w:tcPr>
          <w:p w14:paraId="288BB0BF" w14:textId="77777777" w:rsidR="00FE02EF" w:rsidRPr="00CC19F7" w:rsidRDefault="00881E58" w:rsidP="00A06A7F">
            <w:pPr>
              <w:jc w:val="right"/>
            </w:pPr>
            <w:r w:rsidRPr="00CC19F7">
              <w:t>0,2</w:t>
            </w:r>
          </w:p>
        </w:tc>
        <w:tc>
          <w:tcPr>
            <w:tcW w:w="992" w:type="dxa"/>
            <w:tcBorders>
              <w:top w:val="nil"/>
              <w:left w:val="nil"/>
              <w:bottom w:val="nil"/>
              <w:right w:val="nil"/>
            </w:tcBorders>
            <w:tcMar>
              <w:top w:w="128" w:type="dxa"/>
              <w:left w:w="43" w:type="dxa"/>
              <w:bottom w:w="43" w:type="dxa"/>
              <w:right w:w="43" w:type="dxa"/>
            </w:tcMar>
            <w:vAlign w:val="bottom"/>
          </w:tcPr>
          <w:p w14:paraId="120849E9" w14:textId="77777777" w:rsidR="00FE02EF" w:rsidRPr="00CC19F7" w:rsidRDefault="00881E58" w:rsidP="00A06A7F">
            <w:pPr>
              <w:jc w:val="right"/>
            </w:pPr>
            <w:r w:rsidRPr="00CC19F7">
              <w:t>0,1</w:t>
            </w:r>
          </w:p>
        </w:tc>
        <w:tc>
          <w:tcPr>
            <w:tcW w:w="1401" w:type="dxa"/>
            <w:tcBorders>
              <w:top w:val="nil"/>
              <w:left w:val="nil"/>
              <w:bottom w:val="nil"/>
              <w:right w:val="nil"/>
            </w:tcBorders>
            <w:tcMar>
              <w:top w:w="128" w:type="dxa"/>
              <w:left w:w="43" w:type="dxa"/>
              <w:bottom w:w="43" w:type="dxa"/>
              <w:right w:w="43" w:type="dxa"/>
            </w:tcMar>
            <w:vAlign w:val="bottom"/>
          </w:tcPr>
          <w:p w14:paraId="63081DCC" w14:textId="77777777" w:rsidR="00FE02EF" w:rsidRPr="00CC19F7" w:rsidRDefault="00881E58" w:rsidP="00A06A7F">
            <w:pPr>
              <w:jc w:val="right"/>
            </w:pPr>
            <w:r w:rsidRPr="00CC19F7">
              <w:t>14</w:t>
            </w:r>
          </w:p>
        </w:tc>
      </w:tr>
      <w:tr w:rsidR="00FE02EF" w:rsidRPr="00CC19F7" w14:paraId="2C912D0F" w14:textId="77777777" w:rsidTr="00A06A7F">
        <w:trPr>
          <w:trHeight w:val="380"/>
        </w:trPr>
        <w:tc>
          <w:tcPr>
            <w:tcW w:w="2651" w:type="dxa"/>
            <w:tcBorders>
              <w:top w:val="nil"/>
              <w:left w:val="nil"/>
              <w:bottom w:val="single" w:sz="4" w:space="0" w:color="000000"/>
              <w:right w:val="nil"/>
            </w:tcBorders>
            <w:tcMar>
              <w:top w:w="128" w:type="dxa"/>
              <w:left w:w="43" w:type="dxa"/>
              <w:bottom w:w="43" w:type="dxa"/>
              <w:right w:w="43" w:type="dxa"/>
            </w:tcMar>
          </w:tcPr>
          <w:p w14:paraId="52BFA4FA" w14:textId="77777777" w:rsidR="00FE02EF" w:rsidRPr="00CC19F7" w:rsidRDefault="00881E58" w:rsidP="00A06A7F">
            <w:r w:rsidRPr="00CC19F7">
              <w:t>Troll Vest Elektrifisering</w:t>
            </w:r>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1D28E4D0" w14:textId="77777777" w:rsidR="00FE02EF" w:rsidRPr="00CC19F7" w:rsidRDefault="00881E58" w:rsidP="00A06A7F">
            <w:pPr>
              <w:jc w:val="right"/>
            </w:pPr>
            <w:r w:rsidRPr="00CC19F7">
              <w:t>2021</w:t>
            </w:r>
          </w:p>
        </w:tc>
        <w:tc>
          <w:tcPr>
            <w:tcW w:w="1154" w:type="dxa"/>
            <w:tcBorders>
              <w:top w:val="nil"/>
              <w:left w:val="nil"/>
              <w:bottom w:val="single" w:sz="4" w:space="0" w:color="000000"/>
              <w:right w:val="nil"/>
            </w:tcBorders>
            <w:tcMar>
              <w:top w:w="128" w:type="dxa"/>
              <w:left w:w="43" w:type="dxa"/>
              <w:bottom w:w="43" w:type="dxa"/>
              <w:right w:w="43" w:type="dxa"/>
            </w:tcMar>
            <w:vAlign w:val="bottom"/>
          </w:tcPr>
          <w:p w14:paraId="44DEB8CF" w14:textId="77777777" w:rsidR="00FE02EF" w:rsidRPr="00CC19F7" w:rsidRDefault="00881E58" w:rsidP="00A06A7F">
            <w:pPr>
              <w:jc w:val="right"/>
            </w:pPr>
            <w:r w:rsidRPr="00CC19F7">
              <w:t>8,7</w:t>
            </w:r>
          </w:p>
        </w:tc>
        <w:tc>
          <w:tcPr>
            <w:tcW w:w="973" w:type="dxa"/>
            <w:tcBorders>
              <w:top w:val="nil"/>
              <w:left w:val="nil"/>
              <w:bottom w:val="single" w:sz="4" w:space="0" w:color="000000"/>
              <w:right w:val="nil"/>
            </w:tcBorders>
            <w:tcMar>
              <w:top w:w="128" w:type="dxa"/>
              <w:left w:w="43" w:type="dxa"/>
              <w:bottom w:w="43" w:type="dxa"/>
              <w:right w:w="43" w:type="dxa"/>
            </w:tcMar>
            <w:vAlign w:val="bottom"/>
          </w:tcPr>
          <w:p w14:paraId="2F64AE59" w14:textId="77777777" w:rsidR="00FE02EF" w:rsidRPr="00CC19F7" w:rsidRDefault="00881E58" w:rsidP="00A06A7F">
            <w:pPr>
              <w:jc w:val="right"/>
            </w:pPr>
            <w:r w:rsidRPr="00CC19F7">
              <w:t>7,7</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44815B4E" w14:textId="77777777" w:rsidR="00FE02EF" w:rsidRPr="00CC19F7" w:rsidRDefault="00881E58" w:rsidP="00A06A7F">
            <w:pPr>
              <w:jc w:val="right"/>
            </w:pPr>
            <w:r w:rsidRPr="00CC19F7">
              <w:t>-0,1</w:t>
            </w:r>
          </w:p>
        </w:tc>
        <w:tc>
          <w:tcPr>
            <w:tcW w:w="992" w:type="dxa"/>
            <w:tcBorders>
              <w:top w:val="nil"/>
              <w:left w:val="nil"/>
              <w:bottom w:val="single" w:sz="4" w:space="0" w:color="000000"/>
              <w:right w:val="nil"/>
            </w:tcBorders>
            <w:tcMar>
              <w:top w:w="128" w:type="dxa"/>
              <w:left w:w="43" w:type="dxa"/>
              <w:bottom w:w="43" w:type="dxa"/>
              <w:right w:w="43" w:type="dxa"/>
            </w:tcMar>
            <w:vAlign w:val="bottom"/>
          </w:tcPr>
          <w:p w14:paraId="3198AA69" w14:textId="77777777" w:rsidR="00FE02EF" w:rsidRPr="00CC19F7" w:rsidRDefault="00881E58" w:rsidP="00A06A7F">
            <w:pPr>
              <w:jc w:val="right"/>
            </w:pPr>
            <w:r w:rsidRPr="00CC19F7">
              <w:t>-1,0</w:t>
            </w:r>
          </w:p>
        </w:tc>
        <w:tc>
          <w:tcPr>
            <w:tcW w:w="1401" w:type="dxa"/>
            <w:tcBorders>
              <w:top w:val="nil"/>
              <w:left w:val="nil"/>
              <w:bottom w:val="single" w:sz="4" w:space="0" w:color="000000"/>
              <w:right w:val="nil"/>
            </w:tcBorders>
            <w:tcMar>
              <w:top w:w="128" w:type="dxa"/>
              <w:left w:w="43" w:type="dxa"/>
              <w:bottom w:w="43" w:type="dxa"/>
              <w:right w:w="43" w:type="dxa"/>
            </w:tcMar>
            <w:vAlign w:val="bottom"/>
          </w:tcPr>
          <w:p w14:paraId="48CE4746" w14:textId="77777777" w:rsidR="00FE02EF" w:rsidRPr="00CC19F7" w:rsidRDefault="00881E58" w:rsidP="00A06A7F">
            <w:pPr>
              <w:jc w:val="right"/>
            </w:pPr>
            <w:r w:rsidRPr="00CC19F7">
              <w:t>-12</w:t>
            </w:r>
          </w:p>
        </w:tc>
      </w:tr>
      <w:tr w:rsidR="00FE02EF" w:rsidRPr="00CC19F7" w14:paraId="66C61CFB" w14:textId="77777777" w:rsidTr="00A06A7F">
        <w:trPr>
          <w:trHeight w:val="380"/>
        </w:trPr>
        <w:tc>
          <w:tcPr>
            <w:tcW w:w="2651" w:type="dxa"/>
            <w:tcBorders>
              <w:top w:val="single" w:sz="4" w:space="0" w:color="000000"/>
              <w:left w:val="nil"/>
              <w:bottom w:val="single" w:sz="4" w:space="0" w:color="000000"/>
              <w:right w:val="nil"/>
            </w:tcBorders>
            <w:tcMar>
              <w:top w:w="128" w:type="dxa"/>
              <w:left w:w="43" w:type="dxa"/>
              <w:bottom w:w="43" w:type="dxa"/>
              <w:right w:w="43" w:type="dxa"/>
            </w:tcMar>
          </w:tcPr>
          <w:p w14:paraId="587A701D" w14:textId="77777777" w:rsidR="00FE02EF" w:rsidRPr="00CC19F7" w:rsidRDefault="00881E58" w:rsidP="00A06A7F">
            <w:r w:rsidRPr="00CC19F7">
              <w:t>Sum</w:t>
            </w:r>
          </w:p>
        </w:tc>
        <w:tc>
          <w:tcPr>
            <w:tcW w:w="127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C2BF64D" w14:textId="77777777" w:rsidR="00FE02EF" w:rsidRPr="00CC19F7" w:rsidRDefault="00FE02EF" w:rsidP="00A06A7F">
            <w:pPr>
              <w:jc w:val="right"/>
            </w:pPr>
          </w:p>
        </w:tc>
        <w:tc>
          <w:tcPr>
            <w:tcW w:w="115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D94EC25" w14:textId="77777777" w:rsidR="00FE02EF" w:rsidRPr="00CC19F7" w:rsidRDefault="00881E58" w:rsidP="00A06A7F">
            <w:pPr>
              <w:jc w:val="right"/>
            </w:pPr>
            <w:r w:rsidRPr="00CC19F7">
              <w:t>451,0</w:t>
            </w:r>
          </w:p>
        </w:tc>
        <w:tc>
          <w:tcPr>
            <w:tcW w:w="973"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534312B" w14:textId="77777777" w:rsidR="00FE02EF" w:rsidRPr="00CC19F7" w:rsidRDefault="00881E58" w:rsidP="00A06A7F">
            <w:pPr>
              <w:jc w:val="right"/>
            </w:pPr>
            <w:r w:rsidRPr="00CC19F7">
              <w:t>494,1</w:t>
            </w:r>
          </w:p>
        </w:tc>
        <w:tc>
          <w:tcPr>
            <w:tcW w:w="113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E4EFD7D" w14:textId="77777777" w:rsidR="00FE02EF" w:rsidRPr="00CC19F7" w:rsidRDefault="00881E58" w:rsidP="00A06A7F">
            <w:pPr>
              <w:jc w:val="right"/>
            </w:pPr>
            <w:r w:rsidRPr="00CC19F7">
              <w:t>15,2</w:t>
            </w:r>
          </w:p>
        </w:tc>
        <w:tc>
          <w:tcPr>
            <w:tcW w:w="99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75F6718" w14:textId="77777777" w:rsidR="00FE02EF" w:rsidRPr="00CC19F7" w:rsidRDefault="00881E58" w:rsidP="00A06A7F">
            <w:pPr>
              <w:jc w:val="right"/>
            </w:pPr>
            <w:r w:rsidRPr="00CC19F7">
              <w:t>43,2</w:t>
            </w:r>
          </w:p>
        </w:tc>
        <w:tc>
          <w:tcPr>
            <w:tcW w:w="140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202F6E3" w14:textId="77777777" w:rsidR="00FE02EF" w:rsidRPr="00CC19F7" w:rsidRDefault="00881E58" w:rsidP="00A06A7F">
            <w:pPr>
              <w:jc w:val="right"/>
            </w:pPr>
            <w:r w:rsidRPr="00CC19F7">
              <w:t>10</w:t>
            </w:r>
          </w:p>
        </w:tc>
      </w:tr>
    </w:tbl>
    <w:p w14:paraId="573895D1" w14:textId="519B4A58" w:rsidR="00FE02EF" w:rsidRDefault="00881E58" w:rsidP="00CC19F7">
      <w:pPr>
        <w:pStyle w:val="tabell-noter"/>
      </w:pPr>
      <w:proofErr w:type="spellStart"/>
      <w:r w:rsidRPr="00CC19F7">
        <w:t>Berekningane</w:t>
      </w:r>
      <w:proofErr w:type="spellEnd"/>
      <w:r w:rsidRPr="00CC19F7">
        <w:t xml:space="preserve"> er gjort ut </w:t>
      </w:r>
      <w:proofErr w:type="spellStart"/>
      <w:r w:rsidRPr="00CC19F7">
        <w:t>frå</w:t>
      </w:r>
      <w:proofErr w:type="spellEnd"/>
      <w:r w:rsidRPr="00CC19F7">
        <w:t xml:space="preserve"> tal som </w:t>
      </w:r>
      <w:proofErr w:type="spellStart"/>
      <w:r w:rsidRPr="00CC19F7">
        <w:t>ikkje</w:t>
      </w:r>
      <w:proofErr w:type="spellEnd"/>
      <w:r w:rsidRPr="00CC19F7">
        <w:t xml:space="preserve"> er avrunda til </w:t>
      </w:r>
      <w:proofErr w:type="spellStart"/>
      <w:r w:rsidRPr="00CC19F7">
        <w:t>nærmaste</w:t>
      </w:r>
      <w:proofErr w:type="spellEnd"/>
      <w:r w:rsidRPr="00CC19F7">
        <w:t xml:space="preserve"> desimal.</w:t>
      </w:r>
    </w:p>
    <w:p w14:paraId="4D7FFCD1" w14:textId="07A31476" w:rsidR="00A06A7F" w:rsidRDefault="00A06A7F" w:rsidP="00A06A7F"/>
    <w:p w14:paraId="16549B68" w14:textId="46DAA286" w:rsidR="00A06A7F" w:rsidRPr="00A06A7F" w:rsidRDefault="00A06A7F" w:rsidP="00A06A7F">
      <w:pPr>
        <w:pStyle w:val="tabell-tittel"/>
      </w:pPr>
      <w:r w:rsidRPr="00CC19F7">
        <w:t>Investeringsanslag, prosjekt som er ferdigstilte etter 1. august 2022</w:t>
      </w:r>
    </w:p>
    <w:p w14:paraId="30D8645E" w14:textId="77777777" w:rsidR="00FE02EF" w:rsidRPr="00CC19F7" w:rsidRDefault="00881E58" w:rsidP="00CC19F7">
      <w:pPr>
        <w:pStyle w:val="Tabellnavn"/>
      </w:pPr>
      <w:r w:rsidRPr="00CC19F7">
        <w:t>07J2xt2</w:t>
      </w:r>
    </w:p>
    <w:tbl>
      <w:tblPr>
        <w:tblW w:w="9580" w:type="dxa"/>
        <w:tblInd w:w="43" w:type="dxa"/>
        <w:tblLayout w:type="fixed"/>
        <w:tblCellMar>
          <w:top w:w="128" w:type="dxa"/>
          <w:left w:w="43" w:type="dxa"/>
          <w:bottom w:w="43" w:type="dxa"/>
          <w:right w:w="43" w:type="dxa"/>
        </w:tblCellMar>
        <w:tblLook w:val="0000" w:firstRow="0" w:lastRow="0" w:firstColumn="0" w:lastColumn="0" w:noHBand="0" w:noVBand="0"/>
      </w:tblPr>
      <w:tblGrid>
        <w:gridCol w:w="2651"/>
        <w:gridCol w:w="1275"/>
        <w:gridCol w:w="1154"/>
        <w:gridCol w:w="973"/>
        <w:gridCol w:w="1134"/>
        <w:gridCol w:w="992"/>
        <w:gridCol w:w="1401"/>
      </w:tblGrid>
      <w:tr w:rsidR="00FE02EF" w:rsidRPr="00CC19F7" w14:paraId="1830CA23" w14:textId="77777777" w:rsidTr="002E78FA">
        <w:trPr>
          <w:trHeight w:val="360"/>
        </w:trPr>
        <w:tc>
          <w:tcPr>
            <w:tcW w:w="2651" w:type="dxa"/>
            <w:tcBorders>
              <w:top w:val="nil"/>
              <w:left w:val="nil"/>
              <w:bottom w:val="single" w:sz="4" w:space="0" w:color="000000"/>
              <w:right w:val="nil"/>
            </w:tcBorders>
            <w:tcMar>
              <w:top w:w="128" w:type="dxa"/>
              <w:left w:w="43" w:type="dxa"/>
              <w:bottom w:w="43" w:type="dxa"/>
              <w:right w:w="43" w:type="dxa"/>
            </w:tcMar>
            <w:vAlign w:val="bottom"/>
          </w:tcPr>
          <w:p w14:paraId="4AD28B4D" w14:textId="77777777" w:rsidR="00FE02EF" w:rsidRPr="00CC19F7" w:rsidRDefault="00881E58" w:rsidP="00A06A7F">
            <w:r w:rsidRPr="00CC19F7">
              <w:t xml:space="preserve"> </w:t>
            </w:r>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0A36D7F3" w14:textId="77777777" w:rsidR="00FE02EF" w:rsidRPr="00CC19F7" w:rsidRDefault="00881E58" w:rsidP="002E78FA">
            <w:pPr>
              <w:jc w:val="right"/>
            </w:pPr>
            <w:r w:rsidRPr="00CC19F7">
              <w:t xml:space="preserve"> </w:t>
            </w:r>
          </w:p>
        </w:tc>
        <w:tc>
          <w:tcPr>
            <w:tcW w:w="1154" w:type="dxa"/>
            <w:tcBorders>
              <w:top w:val="nil"/>
              <w:left w:val="nil"/>
              <w:bottom w:val="single" w:sz="4" w:space="0" w:color="000000"/>
              <w:right w:val="nil"/>
            </w:tcBorders>
            <w:tcMar>
              <w:top w:w="128" w:type="dxa"/>
              <w:left w:w="43" w:type="dxa"/>
              <w:bottom w:w="43" w:type="dxa"/>
              <w:right w:w="43" w:type="dxa"/>
            </w:tcMar>
            <w:vAlign w:val="bottom"/>
          </w:tcPr>
          <w:p w14:paraId="750749FC" w14:textId="77777777" w:rsidR="00FE02EF" w:rsidRPr="00CC19F7" w:rsidRDefault="00881E58" w:rsidP="002E78FA">
            <w:pPr>
              <w:jc w:val="right"/>
            </w:pPr>
            <w:r w:rsidRPr="00CC19F7">
              <w:t xml:space="preserve"> </w:t>
            </w:r>
          </w:p>
        </w:tc>
        <w:tc>
          <w:tcPr>
            <w:tcW w:w="973" w:type="dxa"/>
            <w:tcBorders>
              <w:top w:val="nil"/>
              <w:left w:val="nil"/>
              <w:bottom w:val="single" w:sz="4" w:space="0" w:color="000000"/>
              <w:right w:val="nil"/>
            </w:tcBorders>
            <w:tcMar>
              <w:top w:w="128" w:type="dxa"/>
              <w:left w:w="43" w:type="dxa"/>
              <w:bottom w:w="43" w:type="dxa"/>
              <w:right w:w="43" w:type="dxa"/>
            </w:tcMar>
            <w:vAlign w:val="bottom"/>
          </w:tcPr>
          <w:p w14:paraId="33AE380B" w14:textId="77777777" w:rsidR="00FE02EF" w:rsidRPr="00CC19F7" w:rsidRDefault="00881E58" w:rsidP="002E78FA">
            <w:pPr>
              <w:jc w:val="right"/>
            </w:pPr>
            <w:r w:rsidRPr="00CC19F7">
              <w:t xml:space="preserve"> </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3DA8BC43" w14:textId="77777777" w:rsidR="00FE02EF" w:rsidRPr="00CC19F7" w:rsidRDefault="00881E58" w:rsidP="002E78FA">
            <w:pPr>
              <w:jc w:val="right"/>
            </w:pPr>
            <w:r w:rsidRPr="00CC19F7">
              <w:t xml:space="preserve"> </w:t>
            </w:r>
          </w:p>
        </w:tc>
        <w:tc>
          <w:tcPr>
            <w:tcW w:w="2393" w:type="dxa"/>
            <w:gridSpan w:val="2"/>
            <w:tcBorders>
              <w:top w:val="nil"/>
              <w:left w:val="nil"/>
              <w:bottom w:val="single" w:sz="4" w:space="0" w:color="000000"/>
              <w:right w:val="nil"/>
            </w:tcBorders>
            <w:tcMar>
              <w:top w:w="128" w:type="dxa"/>
              <w:left w:w="43" w:type="dxa"/>
              <w:bottom w:w="43" w:type="dxa"/>
              <w:right w:w="43" w:type="dxa"/>
            </w:tcMar>
            <w:vAlign w:val="bottom"/>
          </w:tcPr>
          <w:p w14:paraId="0D4B2E02" w14:textId="77777777" w:rsidR="00FE02EF" w:rsidRPr="00CC19F7" w:rsidRDefault="00881E58" w:rsidP="002E78FA">
            <w:pPr>
              <w:jc w:val="right"/>
            </w:pPr>
            <w:r w:rsidRPr="00CC19F7">
              <w:t>(i mrd. 2023-kroner)</w:t>
            </w:r>
          </w:p>
        </w:tc>
      </w:tr>
      <w:tr w:rsidR="00FE02EF" w:rsidRPr="00CC19F7" w14:paraId="3304015A" w14:textId="77777777" w:rsidTr="002E78FA">
        <w:trPr>
          <w:trHeight w:val="600"/>
        </w:trPr>
        <w:tc>
          <w:tcPr>
            <w:tcW w:w="2651" w:type="dxa"/>
            <w:tcBorders>
              <w:top w:val="nil"/>
              <w:left w:val="nil"/>
              <w:bottom w:val="single" w:sz="4" w:space="0" w:color="000000"/>
              <w:right w:val="nil"/>
            </w:tcBorders>
            <w:tcMar>
              <w:top w:w="128" w:type="dxa"/>
              <w:left w:w="43" w:type="dxa"/>
              <w:bottom w:w="43" w:type="dxa"/>
              <w:right w:w="43" w:type="dxa"/>
            </w:tcMar>
            <w:vAlign w:val="bottom"/>
          </w:tcPr>
          <w:p w14:paraId="22C7582A" w14:textId="77777777" w:rsidR="00FE02EF" w:rsidRPr="00CC19F7" w:rsidRDefault="00881E58" w:rsidP="00A06A7F">
            <w:r w:rsidRPr="00CC19F7">
              <w:t xml:space="preserve"> </w:t>
            </w:r>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548E069E" w14:textId="77777777" w:rsidR="00FE02EF" w:rsidRPr="00CC19F7" w:rsidRDefault="00881E58" w:rsidP="002E78FA">
            <w:pPr>
              <w:jc w:val="right"/>
            </w:pPr>
            <w:r w:rsidRPr="00CC19F7">
              <w:t xml:space="preserve">PUD/PAD- </w:t>
            </w:r>
            <w:proofErr w:type="spellStart"/>
            <w:r w:rsidRPr="00CC19F7">
              <w:t>godkjend</w:t>
            </w:r>
            <w:proofErr w:type="spellEnd"/>
          </w:p>
        </w:tc>
        <w:tc>
          <w:tcPr>
            <w:tcW w:w="1154" w:type="dxa"/>
            <w:tcBorders>
              <w:top w:val="nil"/>
              <w:left w:val="nil"/>
              <w:bottom w:val="single" w:sz="4" w:space="0" w:color="000000"/>
              <w:right w:val="nil"/>
            </w:tcBorders>
            <w:tcMar>
              <w:top w:w="128" w:type="dxa"/>
              <w:left w:w="43" w:type="dxa"/>
              <w:bottom w:w="43" w:type="dxa"/>
              <w:right w:w="43" w:type="dxa"/>
            </w:tcMar>
            <w:vAlign w:val="bottom"/>
          </w:tcPr>
          <w:p w14:paraId="67A0C08D" w14:textId="77777777" w:rsidR="00FE02EF" w:rsidRPr="00CC19F7" w:rsidRDefault="00881E58" w:rsidP="002E78FA">
            <w:pPr>
              <w:jc w:val="right"/>
            </w:pPr>
            <w:r w:rsidRPr="00CC19F7">
              <w:t>PUD/PAD-estimat</w:t>
            </w:r>
          </w:p>
        </w:tc>
        <w:tc>
          <w:tcPr>
            <w:tcW w:w="973" w:type="dxa"/>
            <w:tcBorders>
              <w:top w:val="nil"/>
              <w:left w:val="nil"/>
              <w:bottom w:val="single" w:sz="4" w:space="0" w:color="000000"/>
              <w:right w:val="nil"/>
            </w:tcBorders>
            <w:tcMar>
              <w:top w:w="128" w:type="dxa"/>
              <w:left w:w="43" w:type="dxa"/>
              <w:bottom w:w="43" w:type="dxa"/>
              <w:right w:w="43" w:type="dxa"/>
            </w:tcMar>
            <w:vAlign w:val="bottom"/>
          </w:tcPr>
          <w:p w14:paraId="1D07C34E" w14:textId="77777777" w:rsidR="00FE02EF" w:rsidRPr="00CC19F7" w:rsidRDefault="00881E58" w:rsidP="002E78FA">
            <w:pPr>
              <w:jc w:val="right"/>
            </w:pPr>
            <w:r w:rsidRPr="00CC19F7">
              <w:t>Nye</w:t>
            </w:r>
            <w:r w:rsidRPr="00CC19F7">
              <w:br/>
              <w:t xml:space="preserve"> anslag</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4DDC5842" w14:textId="77777777" w:rsidR="00FE02EF" w:rsidRPr="00CC19F7" w:rsidRDefault="00881E58" w:rsidP="002E78FA">
            <w:pPr>
              <w:jc w:val="right"/>
            </w:pPr>
            <w:r w:rsidRPr="00CC19F7">
              <w:t>Endring</w:t>
            </w:r>
            <w:r w:rsidRPr="00CC19F7">
              <w:br/>
              <w:t xml:space="preserve"> </w:t>
            </w:r>
            <w:proofErr w:type="spellStart"/>
            <w:r w:rsidRPr="00CC19F7">
              <w:t>frå</w:t>
            </w:r>
            <w:proofErr w:type="spellEnd"/>
            <w:r w:rsidRPr="00CC19F7">
              <w:t xml:space="preserve"> i fjor</w:t>
            </w:r>
          </w:p>
        </w:tc>
        <w:tc>
          <w:tcPr>
            <w:tcW w:w="992" w:type="dxa"/>
            <w:tcBorders>
              <w:top w:val="nil"/>
              <w:left w:val="nil"/>
              <w:bottom w:val="single" w:sz="4" w:space="0" w:color="000000"/>
              <w:right w:val="nil"/>
            </w:tcBorders>
            <w:tcMar>
              <w:top w:w="128" w:type="dxa"/>
              <w:left w:w="43" w:type="dxa"/>
              <w:bottom w:w="43" w:type="dxa"/>
              <w:right w:w="43" w:type="dxa"/>
            </w:tcMar>
            <w:vAlign w:val="bottom"/>
          </w:tcPr>
          <w:p w14:paraId="1932BC69" w14:textId="77777777" w:rsidR="00FE02EF" w:rsidRPr="00CC19F7" w:rsidRDefault="00881E58" w:rsidP="002E78FA">
            <w:pPr>
              <w:jc w:val="right"/>
            </w:pPr>
            <w:r w:rsidRPr="00CC19F7">
              <w:t>Totalendring</w:t>
            </w:r>
          </w:p>
        </w:tc>
        <w:tc>
          <w:tcPr>
            <w:tcW w:w="1401" w:type="dxa"/>
            <w:tcBorders>
              <w:top w:val="nil"/>
              <w:left w:val="nil"/>
              <w:bottom w:val="single" w:sz="4" w:space="0" w:color="000000"/>
              <w:right w:val="nil"/>
            </w:tcBorders>
            <w:tcMar>
              <w:top w:w="128" w:type="dxa"/>
              <w:left w:w="43" w:type="dxa"/>
              <w:bottom w:w="43" w:type="dxa"/>
              <w:right w:w="43" w:type="dxa"/>
            </w:tcMar>
            <w:vAlign w:val="bottom"/>
          </w:tcPr>
          <w:p w14:paraId="4A72D937" w14:textId="77777777" w:rsidR="00FE02EF" w:rsidRPr="00CC19F7" w:rsidRDefault="00881E58" w:rsidP="002E78FA">
            <w:pPr>
              <w:jc w:val="right"/>
            </w:pPr>
            <w:r w:rsidRPr="00CC19F7">
              <w:t>Totalendring</w:t>
            </w:r>
            <w:r w:rsidRPr="00CC19F7">
              <w:br/>
              <w:t xml:space="preserve"> i prosent</w:t>
            </w:r>
          </w:p>
        </w:tc>
      </w:tr>
      <w:tr w:rsidR="00FE02EF" w:rsidRPr="00CC19F7" w14:paraId="2D102961" w14:textId="77777777" w:rsidTr="002E78FA">
        <w:trPr>
          <w:trHeight w:val="380"/>
        </w:trPr>
        <w:tc>
          <w:tcPr>
            <w:tcW w:w="2651" w:type="dxa"/>
            <w:tcBorders>
              <w:top w:val="single" w:sz="4" w:space="0" w:color="000000"/>
              <w:left w:val="nil"/>
              <w:bottom w:val="nil"/>
              <w:right w:val="nil"/>
            </w:tcBorders>
            <w:tcMar>
              <w:top w:w="128" w:type="dxa"/>
              <w:left w:w="43" w:type="dxa"/>
              <w:bottom w:w="43" w:type="dxa"/>
              <w:right w:w="43" w:type="dxa"/>
            </w:tcMar>
          </w:tcPr>
          <w:p w14:paraId="3BB4A287" w14:textId="77777777" w:rsidR="00FE02EF" w:rsidRPr="00CC19F7" w:rsidRDefault="00881E58" w:rsidP="00A06A7F">
            <w:r w:rsidRPr="00CC19F7">
              <w:t xml:space="preserve">Njord </w:t>
            </w:r>
            <w:proofErr w:type="spellStart"/>
            <w:r w:rsidRPr="00CC19F7">
              <w:t>Future</w:t>
            </w:r>
            <w:proofErr w:type="spellEnd"/>
          </w:p>
        </w:tc>
        <w:tc>
          <w:tcPr>
            <w:tcW w:w="1275" w:type="dxa"/>
            <w:tcBorders>
              <w:top w:val="single" w:sz="4" w:space="0" w:color="000000"/>
              <w:left w:val="nil"/>
              <w:bottom w:val="nil"/>
              <w:right w:val="nil"/>
            </w:tcBorders>
            <w:tcMar>
              <w:top w:w="128" w:type="dxa"/>
              <w:left w:w="43" w:type="dxa"/>
              <w:bottom w:w="43" w:type="dxa"/>
              <w:right w:w="43" w:type="dxa"/>
            </w:tcMar>
            <w:vAlign w:val="bottom"/>
          </w:tcPr>
          <w:p w14:paraId="1BCBDDCD" w14:textId="77777777" w:rsidR="00FE02EF" w:rsidRPr="00CC19F7" w:rsidRDefault="00881E58" w:rsidP="002E78FA">
            <w:pPr>
              <w:jc w:val="right"/>
            </w:pPr>
            <w:r w:rsidRPr="00CC19F7">
              <w:t>2017</w:t>
            </w:r>
          </w:p>
        </w:tc>
        <w:tc>
          <w:tcPr>
            <w:tcW w:w="1154" w:type="dxa"/>
            <w:tcBorders>
              <w:top w:val="single" w:sz="4" w:space="0" w:color="000000"/>
              <w:left w:val="nil"/>
              <w:bottom w:val="nil"/>
              <w:right w:val="nil"/>
            </w:tcBorders>
            <w:tcMar>
              <w:top w:w="128" w:type="dxa"/>
              <w:left w:w="43" w:type="dxa"/>
              <w:bottom w:w="43" w:type="dxa"/>
              <w:right w:w="43" w:type="dxa"/>
            </w:tcMar>
            <w:vAlign w:val="bottom"/>
          </w:tcPr>
          <w:p w14:paraId="7708C342" w14:textId="77777777" w:rsidR="00FE02EF" w:rsidRPr="00CC19F7" w:rsidRDefault="00881E58" w:rsidP="002E78FA">
            <w:pPr>
              <w:jc w:val="right"/>
            </w:pPr>
            <w:r w:rsidRPr="00CC19F7">
              <w:t>18,4</w:t>
            </w:r>
          </w:p>
        </w:tc>
        <w:tc>
          <w:tcPr>
            <w:tcW w:w="973" w:type="dxa"/>
            <w:tcBorders>
              <w:top w:val="single" w:sz="4" w:space="0" w:color="000000"/>
              <w:left w:val="nil"/>
              <w:bottom w:val="nil"/>
              <w:right w:val="nil"/>
            </w:tcBorders>
            <w:tcMar>
              <w:top w:w="128" w:type="dxa"/>
              <w:left w:w="43" w:type="dxa"/>
              <w:bottom w:w="43" w:type="dxa"/>
              <w:right w:w="43" w:type="dxa"/>
            </w:tcMar>
            <w:vAlign w:val="bottom"/>
          </w:tcPr>
          <w:p w14:paraId="2637A740" w14:textId="77777777" w:rsidR="00FE02EF" w:rsidRPr="00CC19F7" w:rsidRDefault="00881E58" w:rsidP="002E78FA">
            <w:pPr>
              <w:jc w:val="right"/>
            </w:pPr>
            <w:r w:rsidRPr="00CC19F7">
              <w:t>33,2</w:t>
            </w:r>
          </w:p>
        </w:tc>
        <w:tc>
          <w:tcPr>
            <w:tcW w:w="1134" w:type="dxa"/>
            <w:tcBorders>
              <w:top w:val="single" w:sz="4" w:space="0" w:color="000000"/>
              <w:left w:val="nil"/>
              <w:bottom w:val="nil"/>
              <w:right w:val="nil"/>
            </w:tcBorders>
            <w:tcMar>
              <w:top w:w="128" w:type="dxa"/>
              <w:left w:w="43" w:type="dxa"/>
              <w:bottom w:w="43" w:type="dxa"/>
              <w:right w:w="43" w:type="dxa"/>
            </w:tcMar>
            <w:vAlign w:val="bottom"/>
          </w:tcPr>
          <w:p w14:paraId="401807DC" w14:textId="77777777" w:rsidR="00FE02EF" w:rsidRPr="00CC19F7" w:rsidRDefault="00881E58" w:rsidP="002E78FA">
            <w:pPr>
              <w:jc w:val="right"/>
            </w:pPr>
            <w:r w:rsidRPr="00CC19F7">
              <w:t>-0,1</w:t>
            </w:r>
          </w:p>
        </w:tc>
        <w:tc>
          <w:tcPr>
            <w:tcW w:w="992" w:type="dxa"/>
            <w:tcBorders>
              <w:top w:val="single" w:sz="4" w:space="0" w:color="000000"/>
              <w:left w:val="nil"/>
              <w:bottom w:val="nil"/>
              <w:right w:val="nil"/>
            </w:tcBorders>
            <w:tcMar>
              <w:top w:w="128" w:type="dxa"/>
              <w:left w:w="43" w:type="dxa"/>
              <w:bottom w:w="43" w:type="dxa"/>
              <w:right w:w="43" w:type="dxa"/>
            </w:tcMar>
            <w:vAlign w:val="bottom"/>
          </w:tcPr>
          <w:p w14:paraId="74F252F1" w14:textId="77777777" w:rsidR="00FE02EF" w:rsidRPr="00CC19F7" w:rsidRDefault="00881E58" w:rsidP="002E78FA">
            <w:pPr>
              <w:jc w:val="right"/>
            </w:pPr>
            <w:r w:rsidRPr="00CC19F7">
              <w:t>14,8</w:t>
            </w:r>
          </w:p>
        </w:tc>
        <w:tc>
          <w:tcPr>
            <w:tcW w:w="1401" w:type="dxa"/>
            <w:tcBorders>
              <w:top w:val="single" w:sz="4" w:space="0" w:color="000000"/>
              <w:left w:val="nil"/>
              <w:bottom w:val="nil"/>
              <w:right w:val="nil"/>
            </w:tcBorders>
            <w:tcMar>
              <w:top w:w="128" w:type="dxa"/>
              <w:left w:w="43" w:type="dxa"/>
              <w:bottom w:w="43" w:type="dxa"/>
              <w:right w:w="43" w:type="dxa"/>
            </w:tcMar>
            <w:vAlign w:val="bottom"/>
          </w:tcPr>
          <w:p w14:paraId="0F64E775" w14:textId="77777777" w:rsidR="00FE02EF" w:rsidRPr="00CC19F7" w:rsidRDefault="00881E58" w:rsidP="002E78FA">
            <w:pPr>
              <w:jc w:val="right"/>
            </w:pPr>
            <w:r w:rsidRPr="00CC19F7">
              <w:t>80</w:t>
            </w:r>
          </w:p>
        </w:tc>
      </w:tr>
      <w:tr w:rsidR="00FE02EF" w:rsidRPr="00CC19F7" w14:paraId="63F6C9CF" w14:textId="77777777" w:rsidTr="002E78FA">
        <w:trPr>
          <w:trHeight w:val="380"/>
        </w:trPr>
        <w:tc>
          <w:tcPr>
            <w:tcW w:w="2651" w:type="dxa"/>
            <w:tcBorders>
              <w:top w:val="nil"/>
              <w:left w:val="nil"/>
              <w:bottom w:val="nil"/>
              <w:right w:val="nil"/>
            </w:tcBorders>
            <w:tcMar>
              <w:top w:w="128" w:type="dxa"/>
              <w:left w:w="43" w:type="dxa"/>
              <w:bottom w:w="43" w:type="dxa"/>
              <w:right w:w="43" w:type="dxa"/>
            </w:tcMar>
          </w:tcPr>
          <w:p w14:paraId="601038B7" w14:textId="77777777" w:rsidR="00FE02EF" w:rsidRPr="00CC19F7" w:rsidRDefault="00881E58" w:rsidP="00A06A7F">
            <w:r w:rsidRPr="00CC19F7">
              <w:t>Bauge</w:t>
            </w:r>
          </w:p>
        </w:tc>
        <w:tc>
          <w:tcPr>
            <w:tcW w:w="1275" w:type="dxa"/>
            <w:tcBorders>
              <w:top w:val="nil"/>
              <w:left w:val="nil"/>
              <w:bottom w:val="nil"/>
              <w:right w:val="nil"/>
            </w:tcBorders>
            <w:tcMar>
              <w:top w:w="128" w:type="dxa"/>
              <w:left w:w="43" w:type="dxa"/>
              <w:bottom w:w="43" w:type="dxa"/>
              <w:right w:w="43" w:type="dxa"/>
            </w:tcMar>
            <w:vAlign w:val="bottom"/>
          </w:tcPr>
          <w:p w14:paraId="695CB372" w14:textId="77777777" w:rsidR="00FE02EF" w:rsidRPr="00CC19F7" w:rsidRDefault="00881E58" w:rsidP="002E78FA">
            <w:pPr>
              <w:jc w:val="right"/>
            </w:pPr>
            <w:r w:rsidRPr="00CC19F7">
              <w:t>2017</w:t>
            </w:r>
          </w:p>
        </w:tc>
        <w:tc>
          <w:tcPr>
            <w:tcW w:w="1154" w:type="dxa"/>
            <w:tcBorders>
              <w:top w:val="nil"/>
              <w:left w:val="nil"/>
              <w:bottom w:val="nil"/>
              <w:right w:val="nil"/>
            </w:tcBorders>
            <w:tcMar>
              <w:top w:w="128" w:type="dxa"/>
              <w:left w:w="43" w:type="dxa"/>
              <w:bottom w:w="43" w:type="dxa"/>
              <w:right w:w="43" w:type="dxa"/>
            </w:tcMar>
            <w:vAlign w:val="bottom"/>
          </w:tcPr>
          <w:p w14:paraId="245D1CFE" w14:textId="77777777" w:rsidR="00FE02EF" w:rsidRPr="00CC19F7" w:rsidRDefault="00881E58" w:rsidP="002E78FA">
            <w:pPr>
              <w:jc w:val="right"/>
            </w:pPr>
            <w:r w:rsidRPr="00CC19F7">
              <w:t>4,8</w:t>
            </w:r>
          </w:p>
        </w:tc>
        <w:tc>
          <w:tcPr>
            <w:tcW w:w="973" w:type="dxa"/>
            <w:tcBorders>
              <w:top w:val="nil"/>
              <w:left w:val="nil"/>
              <w:bottom w:val="nil"/>
              <w:right w:val="nil"/>
            </w:tcBorders>
            <w:tcMar>
              <w:top w:w="128" w:type="dxa"/>
              <w:left w:w="43" w:type="dxa"/>
              <w:bottom w:w="43" w:type="dxa"/>
              <w:right w:w="43" w:type="dxa"/>
            </w:tcMar>
            <w:vAlign w:val="bottom"/>
          </w:tcPr>
          <w:p w14:paraId="232E0A6D" w14:textId="77777777" w:rsidR="00FE02EF" w:rsidRPr="00CC19F7" w:rsidRDefault="00881E58" w:rsidP="002E78FA">
            <w:pPr>
              <w:jc w:val="right"/>
            </w:pPr>
            <w:r w:rsidRPr="00CC19F7">
              <w:t>4,6</w:t>
            </w:r>
          </w:p>
        </w:tc>
        <w:tc>
          <w:tcPr>
            <w:tcW w:w="1134" w:type="dxa"/>
            <w:tcBorders>
              <w:top w:val="nil"/>
              <w:left w:val="nil"/>
              <w:bottom w:val="nil"/>
              <w:right w:val="nil"/>
            </w:tcBorders>
            <w:tcMar>
              <w:top w:w="128" w:type="dxa"/>
              <w:left w:w="43" w:type="dxa"/>
              <w:bottom w:w="43" w:type="dxa"/>
              <w:right w:w="43" w:type="dxa"/>
            </w:tcMar>
            <w:vAlign w:val="bottom"/>
          </w:tcPr>
          <w:p w14:paraId="3852BC62" w14:textId="77777777" w:rsidR="00FE02EF" w:rsidRPr="00CC19F7" w:rsidRDefault="00881E58" w:rsidP="002E78FA">
            <w:pPr>
              <w:jc w:val="right"/>
            </w:pPr>
            <w:r w:rsidRPr="00CC19F7">
              <w:t>0</w:t>
            </w:r>
          </w:p>
        </w:tc>
        <w:tc>
          <w:tcPr>
            <w:tcW w:w="992" w:type="dxa"/>
            <w:tcBorders>
              <w:top w:val="nil"/>
              <w:left w:val="nil"/>
              <w:bottom w:val="nil"/>
              <w:right w:val="nil"/>
            </w:tcBorders>
            <w:tcMar>
              <w:top w:w="128" w:type="dxa"/>
              <w:left w:w="43" w:type="dxa"/>
              <w:bottom w:w="43" w:type="dxa"/>
              <w:right w:w="43" w:type="dxa"/>
            </w:tcMar>
            <w:vAlign w:val="bottom"/>
          </w:tcPr>
          <w:p w14:paraId="5911CBB3" w14:textId="77777777" w:rsidR="00FE02EF" w:rsidRPr="00CC19F7" w:rsidRDefault="00881E58" w:rsidP="002E78FA">
            <w:pPr>
              <w:jc w:val="right"/>
            </w:pPr>
            <w:r w:rsidRPr="00CC19F7">
              <w:t>-0,2</w:t>
            </w:r>
          </w:p>
        </w:tc>
        <w:tc>
          <w:tcPr>
            <w:tcW w:w="1401" w:type="dxa"/>
            <w:tcBorders>
              <w:top w:val="nil"/>
              <w:left w:val="nil"/>
              <w:bottom w:val="nil"/>
              <w:right w:val="nil"/>
            </w:tcBorders>
            <w:tcMar>
              <w:top w:w="128" w:type="dxa"/>
              <w:left w:w="43" w:type="dxa"/>
              <w:bottom w:w="43" w:type="dxa"/>
              <w:right w:w="43" w:type="dxa"/>
            </w:tcMar>
            <w:vAlign w:val="bottom"/>
          </w:tcPr>
          <w:p w14:paraId="1AC0728A" w14:textId="77777777" w:rsidR="00FE02EF" w:rsidRPr="00CC19F7" w:rsidRDefault="00881E58" w:rsidP="002E78FA">
            <w:pPr>
              <w:jc w:val="right"/>
            </w:pPr>
            <w:r w:rsidRPr="00CC19F7">
              <w:t>-5</w:t>
            </w:r>
          </w:p>
        </w:tc>
      </w:tr>
      <w:tr w:rsidR="00FE02EF" w:rsidRPr="00CC19F7" w14:paraId="6FDF3697" w14:textId="77777777" w:rsidTr="002E78FA">
        <w:trPr>
          <w:trHeight w:val="380"/>
        </w:trPr>
        <w:tc>
          <w:tcPr>
            <w:tcW w:w="2651" w:type="dxa"/>
            <w:tcBorders>
              <w:top w:val="nil"/>
              <w:left w:val="nil"/>
              <w:bottom w:val="nil"/>
              <w:right w:val="nil"/>
            </w:tcBorders>
            <w:tcMar>
              <w:top w:w="128" w:type="dxa"/>
              <w:left w:w="43" w:type="dxa"/>
              <w:bottom w:w="43" w:type="dxa"/>
              <w:right w:w="43" w:type="dxa"/>
            </w:tcMar>
          </w:tcPr>
          <w:p w14:paraId="0DA8F473" w14:textId="77777777" w:rsidR="00FE02EF" w:rsidRPr="00CC19F7" w:rsidRDefault="00881E58" w:rsidP="00A06A7F">
            <w:proofErr w:type="spellStart"/>
            <w:r w:rsidRPr="00CC19F7">
              <w:t>Fenja</w:t>
            </w:r>
            <w:proofErr w:type="spellEnd"/>
          </w:p>
        </w:tc>
        <w:tc>
          <w:tcPr>
            <w:tcW w:w="1275" w:type="dxa"/>
            <w:tcBorders>
              <w:top w:val="nil"/>
              <w:left w:val="nil"/>
              <w:bottom w:val="nil"/>
              <w:right w:val="nil"/>
            </w:tcBorders>
            <w:tcMar>
              <w:top w:w="128" w:type="dxa"/>
              <w:left w:w="43" w:type="dxa"/>
              <w:bottom w:w="43" w:type="dxa"/>
              <w:right w:w="43" w:type="dxa"/>
            </w:tcMar>
            <w:vAlign w:val="bottom"/>
          </w:tcPr>
          <w:p w14:paraId="25B6A8FC" w14:textId="77777777" w:rsidR="00FE02EF" w:rsidRPr="00CC19F7" w:rsidRDefault="00881E58" w:rsidP="002E78FA">
            <w:pPr>
              <w:jc w:val="right"/>
            </w:pPr>
            <w:r w:rsidRPr="00CC19F7">
              <w:t>2018</w:t>
            </w:r>
          </w:p>
        </w:tc>
        <w:tc>
          <w:tcPr>
            <w:tcW w:w="1154" w:type="dxa"/>
            <w:tcBorders>
              <w:top w:val="nil"/>
              <w:left w:val="nil"/>
              <w:bottom w:val="nil"/>
              <w:right w:val="nil"/>
            </w:tcBorders>
            <w:tcMar>
              <w:top w:w="128" w:type="dxa"/>
              <w:left w:w="43" w:type="dxa"/>
              <w:bottom w:w="43" w:type="dxa"/>
              <w:right w:w="43" w:type="dxa"/>
            </w:tcMar>
            <w:vAlign w:val="bottom"/>
          </w:tcPr>
          <w:p w14:paraId="6B7D90C7" w14:textId="77777777" w:rsidR="00FE02EF" w:rsidRPr="00CC19F7" w:rsidRDefault="00881E58" w:rsidP="002E78FA">
            <w:pPr>
              <w:jc w:val="right"/>
            </w:pPr>
            <w:r w:rsidRPr="00CC19F7">
              <w:t>12,5</w:t>
            </w:r>
          </w:p>
        </w:tc>
        <w:tc>
          <w:tcPr>
            <w:tcW w:w="973" w:type="dxa"/>
            <w:tcBorders>
              <w:top w:val="nil"/>
              <w:left w:val="nil"/>
              <w:bottom w:val="nil"/>
              <w:right w:val="nil"/>
            </w:tcBorders>
            <w:tcMar>
              <w:top w:w="128" w:type="dxa"/>
              <w:left w:w="43" w:type="dxa"/>
              <w:bottom w:w="43" w:type="dxa"/>
              <w:right w:w="43" w:type="dxa"/>
            </w:tcMar>
            <w:vAlign w:val="bottom"/>
          </w:tcPr>
          <w:p w14:paraId="4B281C33" w14:textId="77777777" w:rsidR="00FE02EF" w:rsidRPr="00CC19F7" w:rsidRDefault="00881E58" w:rsidP="002E78FA">
            <w:pPr>
              <w:jc w:val="right"/>
            </w:pPr>
            <w:r w:rsidRPr="00CC19F7">
              <w:t>12,6</w:t>
            </w:r>
          </w:p>
        </w:tc>
        <w:tc>
          <w:tcPr>
            <w:tcW w:w="1134" w:type="dxa"/>
            <w:tcBorders>
              <w:top w:val="nil"/>
              <w:left w:val="nil"/>
              <w:bottom w:val="nil"/>
              <w:right w:val="nil"/>
            </w:tcBorders>
            <w:tcMar>
              <w:top w:w="128" w:type="dxa"/>
              <w:left w:w="43" w:type="dxa"/>
              <w:bottom w:w="43" w:type="dxa"/>
              <w:right w:w="43" w:type="dxa"/>
            </w:tcMar>
            <w:vAlign w:val="bottom"/>
          </w:tcPr>
          <w:p w14:paraId="5CCEBEBF" w14:textId="77777777" w:rsidR="00FE02EF" w:rsidRPr="00CC19F7" w:rsidRDefault="00881E58" w:rsidP="002E78FA">
            <w:pPr>
              <w:jc w:val="right"/>
            </w:pPr>
            <w:r w:rsidRPr="00CC19F7">
              <w:t>-0,3</w:t>
            </w:r>
          </w:p>
        </w:tc>
        <w:tc>
          <w:tcPr>
            <w:tcW w:w="992" w:type="dxa"/>
            <w:tcBorders>
              <w:top w:val="nil"/>
              <w:left w:val="nil"/>
              <w:bottom w:val="nil"/>
              <w:right w:val="nil"/>
            </w:tcBorders>
            <w:tcMar>
              <w:top w:w="128" w:type="dxa"/>
              <w:left w:w="43" w:type="dxa"/>
              <w:bottom w:w="43" w:type="dxa"/>
              <w:right w:w="43" w:type="dxa"/>
            </w:tcMar>
            <w:vAlign w:val="bottom"/>
          </w:tcPr>
          <w:p w14:paraId="027886A6" w14:textId="77777777" w:rsidR="00FE02EF" w:rsidRPr="00CC19F7" w:rsidRDefault="00881E58" w:rsidP="002E78FA">
            <w:pPr>
              <w:jc w:val="right"/>
            </w:pPr>
            <w:r w:rsidRPr="00CC19F7">
              <w:t>0,2</w:t>
            </w:r>
          </w:p>
        </w:tc>
        <w:tc>
          <w:tcPr>
            <w:tcW w:w="1401" w:type="dxa"/>
            <w:tcBorders>
              <w:top w:val="nil"/>
              <w:left w:val="nil"/>
              <w:bottom w:val="nil"/>
              <w:right w:val="nil"/>
            </w:tcBorders>
            <w:tcMar>
              <w:top w:w="128" w:type="dxa"/>
              <w:left w:w="43" w:type="dxa"/>
              <w:bottom w:w="43" w:type="dxa"/>
              <w:right w:w="43" w:type="dxa"/>
            </w:tcMar>
            <w:vAlign w:val="bottom"/>
          </w:tcPr>
          <w:p w14:paraId="64D238F0" w14:textId="77777777" w:rsidR="00FE02EF" w:rsidRPr="00CC19F7" w:rsidRDefault="00881E58" w:rsidP="002E78FA">
            <w:pPr>
              <w:jc w:val="right"/>
            </w:pPr>
            <w:r w:rsidRPr="00CC19F7">
              <w:t>1</w:t>
            </w:r>
          </w:p>
        </w:tc>
      </w:tr>
      <w:tr w:rsidR="00FE02EF" w:rsidRPr="00CC19F7" w14:paraId="6414D2EF" w14:textId="77777777" w:rsidTr="002E78FA">
        <w:trPr>
          <w:trHeight w:val="380"/>
        </w:trPr>
        <w:tc>
          <w:tcPr>
            <w:tcW w:w="2651" w:type="dxa"/>
            <w:tcBorders>
              <w:top w:val="nil"/>
              <w:left w:val="nil"/>
              <w:bottom w:val="nil"/>
              <w:right w:val="nil"/>
            </w:tcBorders>
            <w:tcMar>
              <w:top w:w="128" w:type="dxa"/>
              <w:left w:w="43" w:type="dxa"/>
              <w:bottom w:w="43" w:type="dxa"/>
              <w:right w:w="43" w:type="dxa"/>
            </w:tcMar>
          </w:tcPr>
          <w:p w14:paraId="613E22CF" w14:textId="77777777" w:rsidR="00FE02EF" w:rsidRPr="00CC19F7" w:rsidRDefault="00881E58" w:rsidP="00A06A7F">
            <w:r w:rsidRPr="00CC19F7">
              <w:t>Sverdrup Byggetrinn II</w:t>
            </w:r>
          </w:p>
        </w:tc>
        <w:tc>
          <w:tcPr>
            <w:tcW w:w="1275" w:type="dxa"/>
            <w:tcBorders>
              <w:top w:val="nil"/>
              <w:left w:val="nil"/>
              <w:bottom w:val="nil"/>
              <w:right w:val="nil"/>
            </w:tcBorders>
            <w:tcMar>
              <w:top w:w="128" w:type="dxa"/>
              <w:left w:w="43" w:type="dxa"/>
              <w:bottom w:w="43" w:type="dxa"/>
              <w:right w:w="43" w:type="dxa"/>
            </w:tcMar>
            <w:vAlign w:val="bottom"/>
          </w:tcPr>
          <w:p w14:paraId="27CA4507" w14:textId="77777777" w:rsidR="00FE02EF" w:rsidRPr="00CC19F7" w:rsidRDefault="00881E58" w:rsidP="002E78FA">
            <w:pPr>
              <w:jc w:val="right"/>
            </w:pPr>
            <w:r w:rsidRPr="00CC19F7">
              <w:t>2019</w:t>
            </w:r>
          </w:p>
        </w:tc>
        <w:tc>
          <w:tcPr>
            <w:tcW w:w="1154" w:type="dxa"/>
            <w:tcBorders>
              <w:top w:val="nil"/>
              <w:left w:val="nil"/>
              <w:bottom w:val="nil"/>
              <w:right w:val="nil"/>
            </w:tcBorders>
            <w:tcMar>
              <w:top w:w="128" w:type="dxa"/>
              <w:left w:w="43" w:type="dxa"/>
              <w:bottom w:w="43" w:type="dxa"/>
              <w:right w:w="43" w:type="dxa"/>
            </w:tcMar>
            <w:vAlign w:val="bottom"/>
          </w:tcPr>
          <w:p w14:paraId="15C6F19E" w14:textId="77777777" w:rsidR="00FE02EF" w:rsidRPr="00CC19F7" w:rsidRDefault="00881E58" w:rsidP="002E78FA">
            <w:pPr>
              <w:jc w:val="right"/>
            </w:pPr>
            <w:r w:rsidRPr="00CC19F7">
              <w:t>50,3</w:t>
            </w:r>
          </w:p>
        </w:tc>
        <w:tc>
          <w:tcPr>
            <w:tcW w:w="973" w:type="dxa"/>
            <w:tcBorders>
              <w:top w:val="nil"/>
              <w:left w:val="nil"/>
              <w:bottom w:val="nil"/>
              <w:right w:val="nil"/>
            </w:tcBorders>
            <w:tcMar>
              <w:top w:w="128" w:type="dxa"/>
              <w:left w:w="43" w:type="dxa"/>
              <w:bottom w:w="43" w:type="dxa"/>
              <w:right w:w="43" w:type="dxa"/>
            </w:tcMar>
            <w:vAlign w:val="bottom"/>
          </w:tcPr>
          <w:p w14:paraId="0C2FE63C" w14:textId="77777777" w:rsidR="00FE02EF" w:rsidRPr="00CC19F7" w:rsidRDefault="00881E58" w:rsidP="002E78FA">
            <w:pPr>
              <w:jc w:val="right"/>
            </w:pPr>
            <w:r w:rsidRPr="00CC19F7">
              <w:t>52,2</w:t>
            </w:r>
          </w:p>
        </w:tc>
        <w:tc>
          <w:tcPr>
            <w:tcW w:w="1134" w:type="dxa"/>
            <w:tcBorders>
              <w:top w:val="nil"/>
              <w:left w:val="nil"/>
              <w:bottom w:val="nil"/>
              <w:right w:val="nil"/>
            </w:tcBorders>
            <w:tcMar>
              <w:top w:w="128" w:type="dxa"/>
              <w:left w:w="43" w:type="dxa"/>
              <w:bottom w:w="43" w:type="dxa"/>
              <w:right w:w="43" w:type="dxa"/>
            </w:tcMar>
            <w:vAlign w:val="bottom"/>
          </w:tcPr>
          <w:p w14:paraId="24A0493D" w14:textId="77777777" w:rsidR="00FE02EF" w:rsidRPr="00CC19F7" w:rsidRDefault="00881E58" w:rsidP="002E78FA">
            <w:pPr>
              <w:jc w:val="right"/>
            </w:pPr>
            <w:r w:rsidRPr="00CC19F7">
              <w:t>0,9</w:t>
            </w:r>
          </w:p>
        </w:tc>
        <w:tc>
          <w:tcPr>
            <w:tcW w:w="992" w:type="dxa"/>
            <w:tcBorders>
              <w:top w:val="nil"/>
              <w:left w:val="nil"/>
              <w:bottom w:val="nil"/>
              <w:right w:val="nil"/>
            </w:tcBorders>
            <w:tcMar>
              <w:top w:w="128" w:type="dxa"/>
              <w:left w:w="43" w:type="dxa"/>
              <w:bottom w:w="43" w:type="dxa"/>
              <w:right w:w="43" w:type="dxa"/>
            </w:tcMar>
            <w:vAlign w:val="bottom"/>
          </w:tcPr>
          <w:p w14:paraId="342680E7" w14:textId="77777777" w:rsidR="00FE02EF" w:rsidRPr="00CC19F7" w:rsidRDefault="00881E58" w:rsidP="002E78FA">
            <w:pPr>
              <w:jc w:val="right"/>
            </w:pPr>
            <w:r w:rsidRPr="00CC19F7">
              <w:t>1,9</w:t>
            </w:r>
          </w:p>
        </w:tc>
        <w:tc>
          <w:tcPr>
            <w:tcW w:w="1401" w:type="dxa"/>
            <w:tcBorders>
              <w:top w:val="nil"/>
              <w:left w:val="nil"/>
              <w:bottom w:val="nil"/>
              <w:right w:val="nil"/>
            </w:tcBorders>
            <w:tcMar>
              <w:top w:w="128" w:type="dxa"/>
              <w:left w:w="43" w:type="dxa"/>
              <w:bottom w:w="43" w:type="dxa"/>
              <w:right w:w="43" w:type="dxa"/>
            </w:tcMar>
            <w:vAlign w:val="bottom"/>
          </w:tcPr>
          <w:p w14:paraId="442BEC4B" w14:textId="77777777" w:rsidR="00FE02EF" w:rsidRPr="00CC19F7" w:rsidRDefault="00881E58" w:rsidP="002E78FA">
            <w:pPr>
              <w:jc w:val="right"/>
            </w:pPr>
            <w:r w:rsidRPr="00CC19F7">
              <w:t>4</w:t>
            </w:r>
          </w:p>
        </w:tc>
      </w:tr>
      <w:tr w:rsidR="00FE02EF" w:rsidRPr="00CC19F7" w14:paraId="4D2A49AA" w14:textId="77777777" w:rsidTr="002E78FA">
        <w:trPr>
          <w:trHeight w:val="380"/>
        </w:trPr>
        <w:tc>
          <w:tcPr>
            <w:tcW w:w="2651" w:type="dxa"/>
            <w:tcBorders>
              <w:top w:val="nil"/>
              <w:left w:val="nil"/>
              <w:bottom w:val="nil"/>
              <w:right w:val="nil"/>
            </w:tcBorders>
            <w:tcMar>
              <w:top w:w="128" w:type="dxa"/>
              <w:left w:w="43" w:type="dxa"/>
              <w:bottom w:w="43" w:type="dxa"/>
              <w:right w:w="43" w:type="dxa"/>
            </w:tcMar>
          </w:tcPr>
          <w:p w14:paraId="0DED04ED" w14:textId="77777777" w:rsidR="00FE02EF" w:rsidRPr="00CC19F7" w:rsidRDefault="00881E58" w:rsidP="00A06A7F">
            <w:r w:rsidRPr="00CC19F7">
              <w:t>Frosk</w:t>
            </w:r>
          </w:p>
        </w:tc>
        <w:tc>
          <w:tcPr>
            <w:tcW w:w="1275" w:type="dxa"/>
            <w:tcBorders>
              <w:top w:val="nil"/>
              <w:left w:val="nil"/>
              <w:bottom w:val="nil"/>
              <w:right w:val="nil"/>
            </w:tcBorders>
            <w:tcMar>
              <w:top w:w="128" w:type="dxa"/>
              <w:left w:w="43" w:type="dxa"/>
              <w:bottom w:w="43" w:type="dxa"/>
              <w:right w:w="43" w:type="dxa"/>
            </w:tcMar>
            <w:vAlign w:val="bottom"/>
          </w:tcPr>
          <w:p w14:paraId="58E2B35D" w14:textId="77777777" w:rsidR="00FE02EF" w:rsidRPr="00CC19F7" w:rsidRDefault="00881E58" w:rsidP="002E78FA">
            <w:pPr>
              <w:jc w:val="right"/>
            </w:pPr>
            <w:r w:rsidRPr="00CC19F7">
              <w:t>2022</w:t>
            </w:r>
          </w:p>
        </w:tc>
        <w:tc>
          <w:tcPr>
            <w:tcW w:w="1154" w:type="dxa"/>
            <w:tcBorders>
              <w:top w:val="nil"/>
              <w:left w:val="nil"/>
              <w:bottom w:val="nil"/>
              <w:right w:val="nil"/>
            </w:tcBorders>
            <w:tcMar>
              <w:top w:w="128" w:type="dxa"/>
              <w:left w:w="43" w:type="dxa"/>
              <w:bottom w:w="43" w:type="dxa"/>
              <w:right w:w="43" w:type="dxa"/>
            </w:tcMar>
            <w:vAlign w:val="bottom"/>
          </w:tcPr>
          <w:p w14:paraId="0C07EAA1" w14:textId="77777777" w:rsidR="00FE02EF" w:rsidRPr="00CC19F7" w:rsidRDefault="00881E58" w:rsidP="002E78FA">
            <w:pPr>
              <w:jc w:val="right"/>
            </w:pPr>
            <w:r w:rsidRPr="00CC19F7">
              <w:t>2,3</w:t>
            </w:r>
          </w:p>
        </w:tc>
        <w:tc>
          <w:tcPr>
            <w:tcW w:w="973" w:type="dxa"/>
            <w:tcBorders>
              <w:top w:val="nil"/>
              <w:left w:val="nil"/>
              <w:bottom w:val="nil"/>
              <w:right w:val="nil"/>
            </w:tcBorders>
            <w:tcMar>
              <w:top w:w="128" w:type="dxa"/>
              <w:left w:w="43" w:type="dxa"/>
              <w:bottom w:w="43" w:type="dxa"/>
              <w:right w:w="43" w:type="dxa"/>
            </w:tcMar>
            <w:vAlign w:val="bottom"/>
          </w:tcPr>
          <w:p w14:paraId="26C0CEEC" w14:textId="77777777" w:rsidR="00FE02EF" w:rsidRPr="00CC19F7" w:rsidRDefault="00881E58" w:rsidP="002E78FA">
            <w:pPr>
              <w:jc w:val="right"/>
            </w:pPr>
            <w:r w:rsidRPr="00CC19F7">
              <w:t>2,0</w:t>
            </w:r>
          </w:p>
        </w:tc>
        <w:tc>
          <w:tcPr>
            <w:tcW w:w="1134" w:type="dxa"/>
            <w:tcBorders>
              <w:top w:val="nil"/>
              <w:left w:val="nil"/>
              <w:bottom w:val="nil"/>
              <w:right w:val="nil"/>
            </w:tcBorders>
            <w:tcMar>
              <w:top w:w="128" w:type="dxa"/>
              <w:left w:w="43" w:type="dxa"/>
              <w:bottom w:w="43" w:type="dxa"/>
              <w:right w:w="43" w:type="dxa"/>
            </w:tcMar>
            <w:vAlign w:val="bottom"/>
          </w:tcPr>
          <w:p w14:paraId="4DCF028F" w14:textId="77777777" w:rsidR="00FE02EF" w:rsidRPr="00CC19F7" w:rsidRDefault="00881E58" w:rsidP="002E78FA">
            <w:pPr>
              <w:jc w:val="right"/>
            </w:pPr>
            <w:r w:rsidRPr="00CC19F7">
              <w:t>-0,2</w:t>
            </w:r>
          </w:p>
        </w:tc>
        <w:tc>
          <w:tcPr>
            <w:tcW w:w="992" w:type="dxa"/>
            <w:tcBorders>
              <w:top w:val="nil"/>
              <w:left w:val="nil"/>
              <w:bottom w:val="nil"/>
              <w:right w:val="nil"/>
            </w:tcBorders>
            <w:tcMar>
              <w:top w:w="128" w:type="dxa"/>
              <w:left w:w="43" w:type="dxa"/>
              <w:bottom w:w="43" w:type="dxa"/>
              <w:right w:w="43" w:type="dxa"/>
            </w:tcMar>
            <w:vAlign w:val="bottom"/>
          </w:tcPr>
          <w:p w14:paraId="19A20516" w14:textId="77777777" w:rsidR="00FE02EF" w:rsidRPr="00CC19F7" w:rsidRDefault="00881E58" w:rsidP="002E78FA">
            <w:pPr>
              <w:jc w:val="right"/>
            </w:pPr>
            <w:r w:rsidRPr="00CC19F7">
              <w:t>-0,2</w:t>
            </w:r>
          </w:p>
        </w:tc>
        <w:tc>
          <w:tcPr>
            <w:tcW w:w="1401" w:type="dxa"/>
            <w:tcBorders>
              <w:top w:val="nil"/>
              <w:left w:val="nil"/>
              <w:bottom w:val="nil"/>
              <w:right w:val="nil"/>
            </w:tcBorders>
            <w:tcMar>
              <w:top w:w="128" w:type="dxa"/>
              <w:left w:w="43" w:type="dxa"/>
              <w:bottom w:w="43" w:type="dxa"/>
              <w:right w:w="43" w:type="dxa"/>
            </w:tcMar>
            <w:vAlign w:val="bottom"/>
          </w:tcPr>
          <w:p w14:paraId="77A9EE5C" w14:textId="77777777" w:rsidR="00FE02EF" w:rsidRPr="00CC19F7" w:rsidRDefault="00881E58" w:rsidP="002E78FA">
            <w:pPr>
              <w:jc w:val="right"/>
            </w:pPr>
            <w:r w:rsidRPr="00CC19F7">
              <w:t>-10</w:t>
            </w:r>
          </w:p>
        </w:tc>
      </w:tr>
      <w:tr w:rsidR="00FE02EF" w:rsidRPr="00CC19F7" w14:paraId="2F88E574" w14:textId="77777777" w:rsidTr="002E78FA">
        <w:trPr>
          <w:trHeight w:val="380"/>
        </w:trPr>
        <w:tc>
          <w:tcPr>
            <w:tcW w:w="2651" w:type="dxa"/>
            <w:tcBorders>
              <w:top w:val="nil"/>
              <w:left w:val="nil"/>
              <w:bottom w:val="single" w:sz="4" w:space="0" w:color="000000"/>
              <w:right w:val="nil"/>
            </w:tcBorders>
            <w:tcMar>
              <w:top w:w="128" w:type="dxa"/>
              <w:left w:w="43" w:type="dxa"/>
              <w:bottom w:w="43" w:type="dxa"/>
              <w:right w:w="43" w:type="dxa"/>
            </w:tcMar>
          </w:tcPr>
          <w:p w14:paraId="6A58DD8A" w14:textId="77777777" w:rsidR="00FE02EF" w:rsidRPr="00CC19F7" w:rsidRDefault="00881E58" w:rsidP="00A06A7F">
            <w:proofErr w:type="spellStart"/>
            <w:r w:rsidRPr="00CC19F7">
              <w:t>Hywind</w:t>
            </w:r>
            <w:proofErr w:type="spellEnd"/>
            <w:r w:rsidRPr="00CC19F7">
              <w:t xml:space="preserve"> Tampen</w:t>
            </w:r>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6E37EEB7" w14:textId="77777777" w:rsidR="00FE02EF" w:rsidRPr="00CC19F7" w:rsidRDefault="00881E58" w:rsidP="002E78FA">
            <w:pPr>
              <w:jc w:val="right"/>
            </w:pPr>
            <w:r w:rsidRPr="00CC19F7">
              <w:t>2020</w:t>
            </w:r>
          </w:p>
        </w:tc>
        <w:tc>
          <w:tcPr>
            <w:tcW w:w="1154" w:type="dxa"/>
            <w:tcBorders>
              <w:top w:val="nil"/>
              <w:left w:val="nil"/>
              <w:bottom w:val="single" w:sz="4" w:space="0" w:color="000000"/>
              <w:right w:val="nil"/>
            </w:tcBorders>
            <w:tcMar>
              <w:top w:w="128" w:type="dxa"/>
              <w:left w:w="43" w:type="dxa"/>
              <w:bottom w:w="43" w:type="dxa"/>
              <w:right w:w="43" w:type="dxa"/>
            </w:tcMar>
            <w:vAlign w:val="bottom"/>
          </w:tcPr>
          <w:p w14:paraId="72CDDEC9" w14:textId="77777777" w:rsidR="00FE02EF" w:rsidRPr="00CC19F7" w:rsidRDefault="00881E58" w:rsidP="002E78FA">
            <w:pPr>
              <w:jc w:val="right"/>
            </w:pPr>
            <w:r w:rsidRPr="00CC19F7">
              <w:t>5,5</w:t>
            </w:r>
          </w:p>
        </w:tc>
        <w:tc>
          <w:tcPr>
            <w:tcW w:w="973" w:type="dxa"/>
            <w:tcBorders>
              <w:top w:val="nil"/>
              <w:left w:val="nil"/>
              <w:bottom w:val="single" w:sz="4" w:space="0" w:color="000000"/>
              <w:right w:val="nil"/>
            </w:tcBorders>
            <w:tcMar>
              <w:top w:w="128" w:type="dxa"/>
              <w:left w:w="43" w:type="dxa"/>
              <w:bottom w:w="43" w:type="dxa"/>
              <w:right w:w="43" w:type="dxa"/>
            </w:tcMar>
            <w:vAlign w:val="bottom"/>
          </w:tcPr>
          <w:p w14:paraId="5EE8AC0B" w14:textId="77777777" w:rsidR="00FE02EF" w:rsidRPr="00CC19F7" w:rsidRDefault="00881E58" w:rsidP="002E78FA">
            <w:pPr>
              <w:jc w:val="right"/>
            </w:pPr>
            <w:r w:rsidRPr="00CC19F7">
              <w:t>8,0</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1F1D18E9" w14:textId="77777777" w:rsidR="00FE02EF" w:rsidRPr="00CC19F7" w:rsidRDefault="00881E58" w:rsidP="002E78FA">
            <w:pPr>
              <w:jc w:val="right"/>
            </w:pPr>
            <w:r w:rsidRPr="00CC19F7">
              <w:t>0,9</w:t>
            </w:r>
          </w:p>
        </w:tc>
        <w:tc>
          <w:tcPr>
            <w:tcW w:w="992" w:type="dxa"/>
            <w:tcBorders>
              <w:top w:val="nil"/>
              <w:left w:val="nil"/>
              <w:bottom w:val="single" w:sz="4" w:space="0" w:color="000000"/>
              <w:right w:val="nil"/>
            </w:tcBorders>
            <w:tcMar>
              <w:top w:w="128" w:type="dxa"/>
              <w:left w:w="43" w:type="dxa"/>
              <w:bottom w:w="43" w:type="dxa"/>
              <w:right w:w="43" w:type="dxa"/>
            </w:tcMar>
            <w:vAlign w:val="bottom"/>
          </w:tcPr>
          <w:p w14:paraId="3A51603C" w14:textId="77777777" w:rsidR="00FE02EF" w:rsidRPr="00CC19F7" w:rsidRDefault="00881E58" w:rsidP="002E78FA">
            <w:pPr>
              <w:jc w:val="right"/>
            </w:pPr>
            <w:r w:rsidRPr="00CC19F7">
              <w:t>2,4</w:t>
            </w:r>
          </w:p>
        </w:tc>
        <w:tc>
          <w:tcPr>
            <w:tcW w:w="1401" w:type="dxa"/>
            <w:tcBorders>
              <w:top w:val="nil"/>
              <w:left w:val="nil"/>
              <w:bottom w:val="single" w:sz="4" w:space="0" w:color="000000"/>
              <w:right w:val="nil"/>
            </w:tcBorders>
            <w:tcMar>
              <w:top w:w="128" w:type="dxa"/>
              <w:left w:w="43" w:type="dxa"/>
              <w:bottom w:w="43" w:type="dxa"/>
              <w:right w:w="43" w:type="dxa"/>
            </w:tcMar>
            <w:vAlign w:val="bottom"/>
          </w:tcPr>
          <w:p w14:paraId="5EE5C379" w14:textId="77777777" w:rsidR="00FE02EF" w:rsidRPr="00CC19F7" w:rsidRDefault="00881E58" w:rsidP="002E78FA">
            <w:pPr>
              <w:jc w:val="right"/>
            </w:pPr>
            <w:r w:rsidRPr="00CC19F7">
              <w:t>44</w:t>
            </w:r>
          </w:p>
        </w:tc>
      </w:tr>
      <w:tr w:rsidR="00FE02EF" w:rsidRPr="00CC19F7" w14:paraId="743AFA61" w14:textId="77777777" w:rsidTr="002E78FA">
        <w:trPr>
          <w:trHeight w:val="380"/>
        </w:trPr>
        <w:tc>
          <w:tcPr>
            <w:tcW w:w="2651" w:type="dxa"/>
            <w:tcBorders>
              <w:top w:val="single" w:sz="4" w:space="0" w:color="000000"/>
              <w:left w:val="nil"/>
              <w:bottom w:val="single" w:sz="4" w:space="0" w:color="000000"/>
              <w:right w:val="nil"/>
            </w:tcBorders>
            <w:tcMar>
              <w:top w:w="128" w:type="dxa"/>
              <w:left w:w="43" w:type="dxa"/>
              <w:bottom w:w="43" w:type="dxa"/>
              <w:right w:w="43" w:type="dxa"/>
            </w:tcMar>
          </w:tcPr>
          <w:p w14:paraId="31D76D95" w14:textId="77777777" w:rsidR="00FE02EF" w:rsidRPr="00CC19F7" w:rsidRDefault="00881E58" w:rsidP="00A06A7F">
            <w:r w:rsidRPr="00CC19F7">
              <w:t>Sum</w:t>
            </w:r>
          </w:p>
        </w:tc>
        <w:tc>
          <w:tcPr>
            <w:tcW w:w="127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093A9D2" w14:textId="77777777" w:rsidR="00FE02EF" w:rsidRPr="00CC19F7" w:rsidRDefault="00FE02EF" w:rsidP="002E78FA">
            <w:pPr>
              <w:jc w:val="right"/>
            </w:pPr>
          </w:p>
        </w:tc>
        <w:tc>
          <w:tcPr>
            <w:tcW w:w="115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BE6BC13" w14:textId="77777777" w:rsidR="00FE02EF" w:rsidRPr="00CC19F7" w:rsidRDefault="00881E58" w:rsidP="002E78FA">
            <w:pPr>
              <w:jc w:val="right"/>
            </w:pPr>
            <w:r w:rsidRPr="00CC19F7">
              <w:t>93,8</w:t>
            </w:r>
          </w:p>
        </w:tc>
        <w:tc>
          <w:tcPr>
            <w:tcW w:w="973"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DC9F620" w14:textId="77777777" w:rsidR="00FE02EF" w:rsidRPr="00CC19F7" w:rsidRDefault="00881E58" w:rsidP="002E78FA">
            <w:pPr>
              <w:jc w:val="right"/>
            </w:pPr>
            <w:r w:rsidRPr="00CC19F7">
              <w:t>112,6</w:t>
            </w:r>
          </w:p>
        </w:tc>
        <w:tc>
          <w:tcPr>
            <w:tcW w:w="113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7F3FF91" w14:textId="77777777" w:rsidR="00FE02EF" w:rsidRPr="00CC19F7" w:rsidRDefault="00881E58" w:rsidP="002E78FA">
            <w:pPr>
              <w:jc w:val="right"/>
            </w:pPr>
            <w:r w:rsidRPr="00CC19F7">
              <w:t>1,2</w:t>
            </w:r>
          </w:p>
        </w:tc>
        <w:tc>
          <w:tcPr>
            <w:tcW w:w="99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6A044A1" w14:textId="77777777" w:rsidR="00FE02EF" w:rsidRPr="00CC19F7" w:rsidRDefault="00881E58" w:rsidP="002E78FA">
            <w:pPr>
              <w:jc w:val="right"/>
            </w:pPr>
            <w:r w:rsidRPr="00CC19F7">
              <w:t>18,9</w:t>
            </w:r>
          </w:p>
        </w:tc>
        <w:tc>
          <w:tcPr>
            <w:tcW w:w="140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D759DFF" w14:textId="77777777" w:rsidR="00FE02EF" w:rsidRPr="00CC19F7" w:rsidRDefault="00881E58" w:rsidP="002E78FA">
            <w:pPr>
              <w:jc w:val="right"/>
            </w:pPr>
            <w:r w:rsidRPr="00CC19F7">
              <w:t>20</w:t>
            </w:r>
          </w:p>
        </w:tc>
      </w:tr>
    </w:tbl>
    <w:p w14:paraId="59EAF71D" w14:textId="77777777" w:rsidR="00FE02EF" w:rsidRPr="00CC19F7" w:rsidRDefault="00881E58" w:rsidP="00CC19F7">
      <w:pPr>
        <w:pStyle w:val="tabell-noter"/>
      </w:pPr>
      <w:proofErr w:type="spellStart"/>
      <w:r w:rsidRPr="00CC19F7">
        <w:t>Berekningane</w:t>
      </w:r>
      <w:proofErr w:type="spellEnd"/>
      <w:r w:rsidRPr="00CC19F7">
        <w:t xml:space="preserve"> er gjort ut </w:t>
      </w:r>
      <w:proofErr w:type="spellStart"/>
      <w:r w:rsidRPr="00CC19F7">
        <w:t>frå</w:t>
      </w:r>
      <w:proofErr w:type="spellEnd"/>
      <w:r w:rsidRPr="00CC19F7">
        <w:t xml:space="preserve"> tal som </w:t>
      </w:r>
      <w:proofErr w:type="spellStart"/>
      <w:r w:rsidRPr="00CC19F7">
        <w:t>ikkje</w:t>
      </w:r>
      <w:proofErr w:type="spellEnd"/>
      <w:r w:rsidRPr="00CC19F7">
        <w:t xml:space="preserve"> er avrunda til </w:t>
      </w:r>
      <w:proofErr w:type="spellStart"/>
      <w:r w:rsidRPr="00CC19F7">
        <w:t>nærmaste</w:t>
      </w:r>
      <w:proofErr w:type="spellEnd"/>
      <w:r w:rsidRPr="00CC19F7">
        <w:t xml:space="preserve"> desimal.</w:t>
      </w:r>
    </w:p>
    <w:p w14:paraId="2616E6B5" w14:textId="77777777" w:rsidR="00FE02EF" w:rsidRPr="00CC19F7" w:rsidRDefault="00881E58" w:rsidP="00CC19F7">
      <w:pPr>
        <w:pStyle w:val="avsnitt-tittel"/>
      </w:pPr>
      <w:proofErr w:type="spellStart"/>
      <w:r w:rsidRPr="00CC19F7">
        <w:t>Nærmare</w:t>
      </w:r>
      <w:proofErr w:type="spellEnd"/>
      <w:r w:rsidRPr="00CC19F7">
        <w:t xml:space="preserve"> omtale av enkeltprosjekt</w:t>
      </w:r>
    </w:p>
    <w:p w14:paraId="579D790E" w14:textId="77777777" w:rsidR="00FE02EF" w:rsidRPr="00CC19F7" w:rsidRDefault="00881E58" w:rsidP="00CC19F7">
      <w:r w:rsidRPr="00CC19F7">
        <w:t xml:space="preserve">Under følger </w:t>
      </w:r>
      <w:proofErr w:type="spellStart"/>
      <w:r w:rsidRPr="00CC19F7">
        <w:t>ein</w:t>
      </w:r>
      <w:proofErr w:type="spellEnd"/>
      <w:r w:rsidRPr="00CC19F7">
        <w:t xml:space="preserve"> </w:t>
      </w:r>
      <w:proofErr w:type="spellStart"/>
      <w:r w:rsidRPr="00CC19F7">
        <w:t>nærmare</w:t>
      </w:r>
      <w:proofErr w:type="spellEnd"/>
      <w:r w:rsidRPr="00CC19F7">
        <w:t xml:space="preserve"> omtale av prosjekta som </w:t>
      </w:r>
      <w:proofErr w:type="spellStart"/>
      <w:r w:rsidRPr="00CC19F7">
        <w:t>no</w:t>
      </w:r>
      <w:proofErr w:type="spellEnd"/>
      <w:r w:rsidRPr="00CC19F7">
        <w:t xml:space="preserve"> har </w:t>
      </w:r>
      <w:proofErr w:type="spellStart"/>
      <w:r w:rsidRPr="00CC19F7">
        <w:t>eit</w:t>
      </w:r>
      <w:proofErr w:type="spellEnd"/>
      <w:r w:rsidRPr="00CC19F7">
        <w:t xml:space="preserve"> investeringsanslag eller realiserte </w:t>
      </w:r>
      <w:proofErr w:type="spellStart"/>
      <w:r w:rsidRPr="00CC19F7">
        <w:t>investeringar</w:t>
      </w:r>
      <w:proofErr w:type="spellEnd"/>
      <w:r w:rsidRPr="00CC19F7">
        <w:t xml:space="preserve"> </w:t>
      </w:r>
      <w:proofErr w:type="spellStart"/>
      <w:r w:rsidRPr="00CC19F7">
        <w:t>utanfor</w:t>
      </w:r>
      <w:proofErr w:type="spellEnd"/>
      <w:r w:rsidRPr="00CC19F7">
        <w:t xml:space="preserve"> </w:t>
      </w:r>
      <w:proofErr w:type="spellStart"/>
      <w:r w:rsidRPr="00CC19F7">
        <w:t>usikkerheitsspennet</w:t>
      </w:r>
      <w:proofErr w:type="spellEnd"/>
      <w:r w:rsidRPr="00CC19F7">
        <w:t xml:space="preserve"> i utbyggingsplanen på +/- 20 prosent.</w:t>
      </w:r>
    </w:p>
    <w:p w14:paraId="4F39FCFB" w14:textId="77777777" w:rsidR="00FE02EF" w:rsidRPr="00CC19F7" w:rsidRDefault="00881E58" w:rsidP="00CC19F7">
      <w:pPr>
        <w:pStyle w:val="avsnitt-undertittel"/>
      </w:pPr>
      <w:r w:rsidRPr="00CC19F7">
        <w:t>Johan Castberg</w:t>
      </w:r>
    </w:p>
    <w:p w14:paraId="7EAAFC6D" w14:textId="77777777" w:rsidR="00FE02EF" w:rsidRPr="00CC19F7" w:rsidRDefault="00881E58" w:rsidP="00CC19F7">
      <w:r w:rsidRPr="00CC19F7">
        <w:t xml:space="preserve">Johan Castberg-feltet blir bygd ut med </w:t>
      </w:r>
      <w:proofErr w:type="spellStart"/>
      <w:r w:rsidRPr="00CC19F7">
        <w:t>eit</w:t>
      </w:r>
      <w:proofErr w:type="spellEnd"/>
      <w:r w:rsidRPr="00CC19F7">
        <w:t xml:space="preserve"> havbotnanlegg knytt til </w:t>
      </w:r>
      <w:proofErr w:type="spellStart"/>
      <w:r w:rsidRPr="00CC19F7">
        <w:t>eit</w:t>
      </w:r>
      <w:proofErr w:type="spellEnd"/>
      <w:r w:rsidRPr="00CC19F7">
        <w:t xml:space="preserve"> </w:t>
      </w:r>
      <w:proofErr w:type="spellStart"/>
      <w:r w:rsidRPr="00CC19F7">
        <w:t>flytande</w:t>
      </w:r>
      <w:proofErr w:type="spellEnd"/>
      <w:r w:rsidRPr="00CC19F7">
        <w:t xml:space="preserve"> produksjonsskip (FPSO). Utbygginga hadde i </w:t>
      </w:r>
      <w:proofErr w:type="spellStart"/>
      <w:r w:rsidRPr="00CC19F7">
        <w:t>fleire</w:t>
      </w:r>
      <w:proofErr w:type="spellEnd"/>
      <w:r w:rsidRPr="00CC19F7">
        <w:t xml:space="preserve"> år ei positiv kostnadsutvikling, fram til prosjektet blei ramma av koronapandemien. Pandemien ramma spesielt bygginga av produksjonsskipet svært hardt. Smitteverntiltak og redusert tilgang på arbeidskraft ga </w:t>
      </w:r>
      <w:proofErr w:type="spellStart"/>
      <w:r w:rsidRPr="00CC19F7">
        <w:t>utfordringar</w:t>
      </w:r>
      <w:proofErr w:type="spellEnd"/>
      <w:r w:rsidRPr="00CC19F7">
        <w:t xml:space="preserve"> med framdrifta og førte til </w:t>
      </w:r>
      <w:proofErr w:type="spellStart"/>
      <w:r w:rsidRPr="00CC19F7">
        <w:t>forseinka</w:t>
      </w:r>
      <w:proofErr w:type="spellEnd"/>
      <w:r w:rsidRPr="00CC19F7">
        <w:t xml:space="preserve"> </w:t>
      </w:r>
      <w:proofErr w:type="spellStart"/>
      <w:r w:rsidRPr="00CC19F7">
        <w:t>leveransar</w:t>
      </w:r>
      <w:proofErr w:type="spellEnd"/>
      <w:r w:rsidRPr="00CC19F7">
        <w:t xml:space="preserve"> </w:t>
      </w:r>
      <w:proofErr w:type="spellStart"/>
      <w:r w:rsidRPr="00CC19F7">
        <w:t>frå</w:t>
      </w:r>
      <w:proofErr w:type="spellEnd"/>
      <w:r w:rsidRPr="00CC19F7">
        <w:t xml:space="preserve"> verft i Singapore og </w:t>
      </w:r>
      <w:proofErr w:type="spellStart"/>
      <w:r w:rsidRPr="00CC19F7">
        <w:t>Noreg</w:t>
      </w:r>
      <w:proofErr w:type="spellEnd"/>
      <w:r w:rsidRPr="00CC19F7">
        <w:t xml:space="preserve">. I tillegg har prosjektet hatt </w:t>
      </w:r>
      <w:proofErr w:type="spellStart"/>
      <w:r w:rsidRPr="00CC19F7">
        <w:t>utfordringar</w:t>
      </w:r>
      <w:proofErr w:type="spellEnd"/>
      <w:r w:rsidRPr="00CC19F7">
        <w:t xml:space="preserve"> med kvalitetsavvik på sveising. Auken i kostnader relatert til produksjonsskipet blei dels </w:t>
      </w:r>
      <w:proofErr w:type="spellStart"/>
      <w:r w:rsidRPr="00CC19F7">
        <w:t>motverka</w:t>
      </w:r>
      <w:proofErr w:type="spellEnd"/>
      <w:r w:rsidRPr="00CC19F7">
        <w:t xml:space="preserve"> av ei positiv kostnadsutvikling på havbotnanlegg, boring og komplettering.</w:t>
      </w:r>
    </w:p>
    <w:p w14:paraId="00A2DA3D" w14:textId="77777777" w:rsidR="00FE02EF" w:rsidRPr="00CC19F7" w:rsidRDefault="00881E58" w:rsidP="00CC19F7">
      <w:r w:rsidRPr="00CC19F7">
        <w:t xml:space="preserve">Produksjonsskipet ligg </w:t>
      </w:r>
      <w:proofErr w:type="spellStart"/>
      <w:r w:rsidRPr="00CC19F7">
        <w:t>no</w:t>
      </w:r>
      <w:proofErr w:type="spellEnd"/>
      <w:r w:rsidRPr="00CC19F7">
        <w:t xml:space="preserve"> på Stord for integrasjonsarbeid og ferdigstilling. Arbeidsomfanget har vist seg </w:t>
      </w:r>
      <w:proofErr w:type="gramStart"/>
      <w:r w:rsidRPr="00CC19F7">
        <w:t xml:space="preserve">å </w:t>
      </w:r>
      <w:proofErr w:type="spellStart"/>
      <w:r w:rsidRPr="00CC19F7">
        <w:t>vere</w:t>
      </w:r>
      <w:proofErr w:type="spellEnd"/>
      <w:proofErr w:type="gramEnd"/>
      <w:r w:rsidRPr="00CC19F7">
        <w:t xml:space="preserve"> </w:t>
      </w:r>
      <w:proofErr w:type="spellStart"/>
      <w:r w:rsidRPr="00CC19F7">
        <w:t>betydeleg</w:t>
      </w:r>
      <w:proofErr w:type="spellEnd"/>
      <w:r w:rsidRPr="00CC19F7">
        <w:t xml:space="preserve"> større enn planlagt. Dette gir </w:t>
      </w:r>
      <w:proofErr w:type="spellStart"/>
      <w:r w:rsidRPr="00CC19F7">
        <w:t>fleire</w:t>
      </w:r>
      <w:proofErr w:type="spellEnd"/>
      <w:r w:rsidRPr="00CC19F7">
        <w:t xml:space="preserve"> </w:t>
      </w:r>
      <w:proofErr w:type="spellStart"/>
      <w:r w:rsidRPr="00CC19F7">
        <w:t>arbeidstimar</w:t>
      </w:r>
      <w:proofErr w:type="spellEnd"/>
      <w:r w:rsidRPr="00CC19F7">
        <w:t xml:space="preserve"> og kostnadsauke. Dette er </w:t>
      </w:r>
      <w:proofErr w:type="spellStart"/>
      <w:r w:rsidRPr="00CC19F7">
        <w:t>hovudårsaka</w:t>
      </w:r>
      <w:proofErr w:type="spellEnd"/>
      <w:r w:rsidRPr="00CC19F7">
        <w:t xml:space="preserve"> til at investeringsanslaget </w:t>
      </w:r>
      <w:proofErr w:type="spellStart"/>
      <w:r w:rsidRPr="00CC19F7">
        <w:t>sidan</w:t>
      </w:r>
      <w:proofErr w:type="spellEnd"/>
      <w:r w:rsidRPr="00CC19F7">
        <w:t xml:space="preserve"> innrapporteringa i fjor har </w:t>
      </w:r>
      <w:proofErr w:type="spellStart"/>
      <w:r w:rsidRPr="00CC19F7">
        <w:t>auka</w:t>
      </w:r>
      <w:proofErr w:type="spellEnd"/>
      <w:r w:rsidRPr="00CC19F7">
        <w:t xml:space="preserve"> med 13 mrd. 2023-kroner. I tillegg er det </w:t>
      </w:r>
      <w:proofErr w:type="spellStart"/>
      <w:r w:rsidRPr="00CC19F7">
        <w:t>auka</w:t>
      </w:r>
      <w:proofErr w:type="spellEnd"/>
      <w:r w:rsidRPr="00CC19F7">
        <w:t xml:space="preserve"> kostnader for boring og komplettering, i </w:t>
      </w:r>
      <w:proofErr w:type="spellStart"/>
      <w:r w:rsidRPr="00CC19F7">
        <w:t>hovudsak</w:t>
      </w:r>
      <w:proofErr w:type="spellEnd"/>
      <w:r w:rsidRPr="00CC19F7">
        <w:t xml:space="preserve"> på grunn av </w:t>
      </w:r>
      <w:proofErr w:type="spellStart"/>
      <w:r w:rsidRPr="00CC19F7">
        <w:t>marknadsutviklinga</w:t>
      </w:r>
      <w:proofErr w:type="spellEnd"/>
      <w:r w:rsidRPr="00CC19F7">
        <w:t xml:space="preserve"> </w:t>
      </w:r>
      <w:proofErr w:type="spellStart"/>
      <w:r w:rsidRPr="00CC19F7">
        <w:t>sidan</w:t>
      </w:r>
      <w:proofErr w:type="spellEnd"/>
      <w:r w:rsidRPr="00CC19F7">
        <w:t xml:space="preserve"> i fjor.</w:t>
      </w:r>
    </w:p>
    <w:p w14:paraId="029AF45C" w14:textId="77777777" w:rsidR="00FE02EF" w:rsidRPr="00CC19F7" w:rsidRDefault="00881E58" w:rsidP="00CC19F7">
      <w:proofErr w:type="spellStart"/>
      <w:r w:rsidRPr="00CC19F7">
        <w:t>Sidan</w:t>
      </w:r>
      <w:proofErr w:type="spellEnd"/>
      <w:r w:rsidRPr="00CC19F7">
        <w:t xml:space="preserve"> PUD blei </w:t>
      </w:r>
      <w:proofErr w:type="spellStart"/>
      <w:r w:rsidRPr="00CC19F7">
        <w:t>godkjend</w:t>
      </w:r>
      <w:proofErr w:type="spellEnd"/>
      <w:r w:rsidRPr="00CC19F7">
        <w:t xml:space="preserve"> i juni 2018, har </w:t>
      </w:r>
      <w:proofErr w:type="spellStart"/>
      <w:r w:rsidRPr="00CC19F7">
        <w:t>dei</w:t>
      </w:r>
      <w:proofErr w:type="spellEnd"/>
      <w:r w:rsidRPr="00CC19F7">
        <w:t xml:space="preserve"> estimerte kostnadene </w:t>
      </w:r>
      <w:proofErr w:type="spellStart"/>
      <w:r w:rsidRPr="00CC19F7">
        <w:t>auka</w:t>
      </w:r>
      <w:proofErr w:type="spellEnd"/>
      <w:r w:rsidRPr="00CC19F7">
        <w:t xml:space="preserve"> med 15,5 mrd. 2023-kroner. Det er i tillegg estimert </w:t>
      </w:r>
      <w:proofErr w:type="spellStart"/>
      <w:r w:rsidRPr="00CC19F7">
        <w:t>eit</w:t>
      </w:r>
      <w:proofErr w:type="spellEnd"/>
      <w:r w:rsidRPr="00CC19F7">
        <w:t xml:space="preserve"> valutatap på 7,1 mrd. 2023-kroner på grunn av ei svekt norsk krone. Netto </w:t>
      </w:r>
      <w:proofErr w:type="spellStart"/>
      <w:r w:rsidRPr="00CC19F7">
        <w:t>auke</w:t>
      </w:r>
      <w:proofErr w:type="spellEnd"/>
      <w:r w:rsidRPr="00CC19F7">
        <w:t xml:space="preserve"> </w:t>
      </w:r>
      <w:proofErr w:type="spellStart"/>
      <w:r w:rsidRPr="00CC19F7">
        <w:t>frå</w:t>
      </w:r>
      <w:proofErr w:type="spellEnd"/>
      <w:r w:rsidRPr="00CC19F7">
        <w:t xml:space="preserve"> PUD, inkludert valutatap, er </w:t>
      </w:r>
      <w:proofErr w:type="spellStart"/>
      <w:r w:rsidRPr="00CC19F7">
        <w:t>no</w:t>
      </w:r>
      <w:proofErr w:type="spellEnd"/>
      <w:r w:rsidRPr="00CC19F7">
        <w:t xml:space="preserve"> på 22,6 mrd. 2023-kroner, </w:t>
      </w:r>
      <w:proofErr w:type="spellStart"/>
      <w:r w:rsidRPr="00CC19F7">
        <w:t>ein</w:t>
      </w:r>
      <w:proofErr w:type="spellEnd"/>
      <w:r w:rsidRPr="00CC19F7">
        <w:t xml:space="preserve"> kostnadsauke på om lag 39 prosent </w:t>
      </w:r>
      <w:proofErr w:type="spellStart"/>
      <w:r w:rsidRPr="00CC19F7">
        <w:t>sidan</w:t>
      </w:r>
      <w:proofErr w:type="spellEnd"/>
      <w:r w:rsidRPr="00CC19F7">
        <w:t xml:space="preserve"> PUD. Produksjonsstart for Johan Castberg er venta i fjerde kvartal 2024.</w:t>
      </w:r>
    </w:p>
    <w:p w14:paraId="0D9D289F" w14:textId="77777777" w:rsidR="00FE02EF" w:rsidRPr="00CC19F7" w:rsidRDefault="00881E58" w:rsidP="00CC19F7">
      <w:pPr>
        <w:pStyle w:val="avsnitt-undertittel"/>
      </w:pPr>
      <w:r w:rsidRPr="00CC19F7">
        <w:t xml:space="preserve">Balder </w:t>
      </w:r>
      <w:proofErr w:type="spellStart"/>
      <w:r w:rsidRPr="00CC19F7">
        <w:t>Future</w:t>
      </w:r>
      <w:proofErr w:type="spellEnd"/>
    </w:p>
    <w:p w14:paraId="612C0767" w14:textId="77777777" w:rsidR="00FE02EF" w:rsidRPr="00CC19F7" w:rsidRDefault="00881E58" w:rsidP="00CC19F7">
      <w:r w:rsidRPr="00CC19F7">
        <w:t xml:space="preserve">Balder </w:t>
      </w:r>
      <w:proofErr w:type="spellStart"/>
      <w:r w:rsidRPr="00CC19F7">
        <w:t>Future</w:t>
      </w:r>
      <w:proofErr w:type="spellEnd"/>
      <w:r w:rsidRPr="00CC19F7">
        <w:t xml:space="preserve">-prosjektet </w:t>
      </w:r>
      <w:proofErr w:type="spellStart"/>
      <w:r w:rsidRPr="00CC19F7">
        <w:t>inneber</w:t>
      </w:r>
      <w:proofErr w:type="spellEnd"/>
      <w:r w:rsidRPr="00CC19F7">
        <w:t xml:space="preserve"> at produksjons- og lagerskipet Jotun FPSO gjennomgår ei oppgradering og forlenging av levetida før det blir plassert ut sentralt mellom Balder- og </w:t>
      </w:r>
      <w:proofErr w:type="spellStart"/>
      <w:r w:rsidRPr="00CC19F7">
        <w:t>Ringhornefelta</w:t>
      </w:r>
      <w:proofErr w:type="spellEnd"/>
      <w:r w:rsidRPr="00CC19F7">
        <w:t xml:space="preserve"> i Nordsjøen. Prosjektet er </w:t>
      </w:r>
      <w:proofErr w:type="spellStart"/>
      <w:r w:rsidRPr="00CC19F7">
        <w:t>ein</w:t>
      </w:r>
      <w:proofErr w:type="spellEnd"/>
      <w:r w:rsidRPr="00CC19F7">
        <w:t xml:space="preserve"> del av </w:t>
      </w:r>
      <w:proofErr w:type="spellStart"/>
      <w:r w:rsidRPr="00CC19F7">
        <w:t>ein</w:t>
      </w:r>
      <w:proofErr w:type="spellEnd"/>
      <w:r w:rsidRPr="00CC19F7">
        <w:t xml:space="preserve"> større områdeutviklingsplan.</w:t>
      </w:r>
    </w:p>
    <w:p w14:paraId="7124EF57" w14:textId="77777777" w:rsidR="00FE02EF" w:rsidRPr="00CC19F7" w:rsidRDefault="00881E58" w:rsidP="00CC19F7">
      <w:proofErr w:type="spellStart"/>
      <w:r w:rsidRPr="00CC19F7">
        <w:t>Sidan</w:t>
      </w:r>
      <w:proofErr w:type="spellEnd"/>
      <w:r w:rsidRPr="00CC19F7">
        <w:t xml:space="preserve"> godkjenning har prosjektet hatt </w:t>
      </w:r>
      <w:proofErr w:type="spellStart"/>
      <w:r w:rsidRPr="00CC19F7">
        <w:t>betydelege</w:t>
      </w:r>
      <w:proofErr w:type="spellEnd"/>
      <w:r w:rsidRPr="00CC19F7">
        <w:t xml:space="preserve"> </w:t>
      </w:r>
      <w:proofErr w:type="spellStart"/>
      <w:r w:rsidRPr="00CC19F7">
        <w:t>utfordringar</w:t>
      </w:r>
      <w:proofErr w:type="spellEnd"/>
      <w:r w:rsidRPr="00CC19F7">
        <w:t xml:space="preserve"> knytte til koronapandemien som har </w:t>
      </w:r>
      <w:proofErr w:type="spellStart"/>
      <w:r w:rsidRPr="00CC19F7">
        <w:t>påverka</w:t>
      </w:r>
      <w:proofErr w:type="spellEnd"/>
      <w:r w:rsidRPr="00CC19F7">
        <w:t xml:space="preserve"> </w:t>
      </w:r>
      <w:proofErr w:type="spellStart"/>
      <w:r w:rsidRPr="00CC19F7">
        <w:t>utstyrsleveransar</w:t>
      </w:r>
      <w:proofErr w:type="spellEnd"/>
      <w:r w:rsidRPr="00CC19F7">
        <w:t xml:space="preserve"> og </w:t>
      </w:r>
      <w:proofErr w:type="spellStart"/>
      <w:r w:rsidRPr="00CC19F7">
        <w:t>tilgjengeleg</w:t>
      </w:r>
      <w:proofErr w:type="spellEnd"/>
      <w:r w:rsidRPr="00CC19F7">
        <w:t xml:space="preserve"> bemanning på verftet i Stavanger, </w:t>
      </w:r>
      <w:proofErr w:type="spellStart"/>
      <w:r w:rsidRPr="00CC19F7">
        <w:t>noko</w:t>
      </w:r>
      <w:proofErr w:type="spellEnd"/>
      <w:r w:rsidRPr="00CC19F7">
        <w:t xml:space="preserve"> som igjen har </w:t>
      </w:r>
      <w:proofErr w:type="spellStart"/>
      <w:r w:rsidRPr="00CC19F7">
        <w:t>påverka</w:t>
      </w:r>
      <w:proofErr w:type="spellEnd"/>
      <w:r w:rsidRPr="00CC19F7">
        <w:t xml:space="preserve"> framdrifta av prosjektet. I tillegg har arbeidsomfanget blitt </w:t>
      </w:r>
      <w:proofErr w:type="spellStart"/>
      <w:r w:rsidRPr="00CC19F7">
        <w:t>meir</w:t>
      </w:r>
      <w:proofErr w:type="spellEnd"/>
      <w:r w:rsidRPr="00CC19F7">
        <w:t xml:space="preserve"> </w:t>
      </w:r>
      <w:proofErr w:type="spellStart"/>
      <w:r w:rsidRPr="00CC19F7">
        <w:t>omfattande</w:t>
      </w:r>
      <w:proofErr w:type="spellEnd"/>
      <w:r w:rsidRPr="00CC19F7">
        <w:t xml:space="preserve"> </w:t>
      </w:r>
      <w:proofErr w:type="spellStart"/>
      <w:r w:rsidRPr="00CC19F7">
        <w:t>særleg</w:t>
      </w:r>
      <w:proofErr w:type="spellEnd"/>
      <w:r w:rsidRPr="00CC19F7">
        <w:t xml:space="preserve"> knytt til produksjons- og lagerskipet. Innleiingsvis var det og tekniske </w:t>
      </w:r>
      <w:proofErr w:type="spellStart"/>
      <w:r w:rsidRPr="00CC19F7">
        <w:t>utfordringar</w:t>
      </w:r>
      <w:proofErr w:type="spellEnd"/>
      <w:r w:rsidRPr="00CC19F7">
        <w:t xml:space="preserve"> knytte til boreprogrammet. Stramme </w:t>
      </w:r>
      <w:proofErr w:type="spellStart"/>
      <w:r w:rsidRPr="00CC19F7">
        <w:t>marknader</w:t>
      </w:r>
      <w:proofErr w:type="spellEnd"/>
      <w:r w:rsidRPr="00CC19F7">
        <w:t xml:space="preserve"> og </w:t>
      </w:r>
      <w:proofErr w:type="spellStart"/>
      <w:r w:rsidRPr="00CC19F7">
        <w:t>forstyrringar</w:t>
      </w:r>
      <w:proofErr w:type="spellEnd"/>
      <w:r w:rsidRPr="00CC19F7">
        <w:t xml:space="preserve"> i verdikjedene, forsterka av krigen i Ukraina, har samtidig gitt kostnadsinflasjon for varer og </w:t>
      </w:r>
      <w:proofErr w:type="spellStart"/>
      <w:r w:rsidRPr="00CC19F7">
        <w:t>tenester</w:t>
      </w:r>
      <w:proofErr w:type="spellEnd"/>
      <w:r w:rsidRPr="00CC19F7">
        <w:t xml:space="preserve"> som har </w:t>
      </w:r>
      <w:proofErr w:type="spellStart"/>
      <w:r w:rsidRPr="00CC19F7">
        <w:t>påverka</w:t>
      </w:r>
      <w:proofErr w:type="spellEnd"/>
      <w:r w:rsidRPr="00CC19F7">
        <w:t xml:space="preserve"> prosjektet. </w:t>
      </w:r>
      <w:proofErr w:type="spellStart"/>
      <w:r w:rsidRPr="00CC19F7">
        <w:t>Sidan</w:t>
      </w:r>
      <w:proofErr w:type="spellEnd"/>
      <w:r w:rsidRPr="00CC19F7">
        <w:t xml:space="preserve"> utbyggingsplanen blei levert har investeringsanslaget </w:t>
      </w:r>
      <w:proofErr w:type="spellStart"/>
      <w:r w:rsidRPr="00CC19F7">
        <w:t>auka</w:t>
      </w:r>
      <w:proofErr w:type="spellEnd"/>
      <w:r w:rsidRPr="00CC19F7">
        <w:t xml:space="preserve"> med 22 mrd. 2023-kroner, </w:t>
      </w:r>
      <w:proofErr w:type="spellStart"/>
      <w:r w:rsidRPr="00CC19F7">
        <w:t>noko</w:t>
      </w:r>
      <w:proofErr w:type="spellEnd"/>
      <w:r w:rsidRPr="00CC19F7">
        <w:t xml:space="preserve"> som svarer til </w:t>
      </w:r>
      <w:proofErr w:type="spellStart"/>
      <w:r w:rsidRPr="00CC19F7">
        <w:t>ein</w:t>
      </w:r>
      <w:proofErr w:type="spellEnd"/>
      <w:r w:rsidRPr="00CC19F7">
        <w:t xml:space="preserve"> </w:t>
      </w:r>
      <w:proofErr w:type="spellStart"/>
      <w:r w:rsidRPr="00CC19F7">
        <w:t>auke</w:t>
      </w:r>
      <w:proofErr w:type="spellEnd"/>
      <w:r w:rsidRPr="00CC19F7">
        <w:t xml:space="preserve"> på om lag 97 prosent.</w:t>
      </w:r>
    </w:p>
    <w:p w14:paraId="30FEDAF0" w14:textId="77777777" w:rsidR="00FE02EF" w:rsidRPr="00CC19F7" w:rsidRDefault="00881E58" w:rsidP="00CC19F7">
      <w:proofErr w:type="spellStart"/>
      <w:r w:rsidRPr="00CC19F7">
        <w:t>Sidan</w:t>
      </w:r>
      <w:proofErr w:type="spellEnd"/>
      <w:r w:rsidRPr="00CC19F7">
        <w:t xml:space="preserve"> innrapporteringa i fjor har investeringsanslaget </w:t>
      </w:r>
      <w:proofErr w:type="spellStart"/>
      <w:r w:rsidRPr="00CC19F7">
        <w:t>auka</w:t>
      </w:r>
      <w:proofErr w:type="spellEnd"/>
      <w:r w:rsidRPr="00CC19F7">
        <w:t xml:space="preserve"> med 3,4 mrd. 2023-kroner, som </w:t>
      </w:r>
      <w:proofErr w:type="spellStart"/>
      <w:r w:rsidRPr="00CC19F7">
        <w:t>svarar</w:t>
      </w:r>
      <w:proofErr w:type="spellEnd"/>
      <w:r w:rsidRPr="00CC19F7">
        <w:t xml:space="preserve"> til ei auking på om lag 8 prosent. Dette kjem i </w:t>
      </w:r>
      <w:proofErr w:type="spellStart"/>
      <w:r w:rsidRPr="00CC19F7">
        <w:t>hovudsak</w:t>
      </w:r>
      <w:proofErr w:type="spellEnd"/>
      <w:r w:rsidRPr="00CC19F7">
        <w:t xml:space="preserve"> av investering i tiltak for å </w:t>
      </w:r>
      <w:proofErr w:type="spellStart"/>
      <w:r w:rsidRPr="00CC19F7">
        <w:t>gjere</w:t>
      </w:r>
      <w:proofErr w:type="spellEnd"/>
      <w:r w:rsidRPr="00CC19F7">
        <w:t xml:space="preserve"> prosjektplanen </w:t>
      </w:r>
      <w:proofErr w:type="spellStart"/>
      <w:r w:rsidRPr="00CC19F7">
        <w:t>meir</w:t>
      </w:r>
      <w:proofErr w:type="spellEnd"/>
      <w:r w:rsidRPr="00CC19F7">
        <w:t xml:space="preserve"> </w:t>
      </w:r>
      <w:proofErr w:type="gramStart"/>
      <w:r w:rsidRPr="00CC19F7">
        <w:t>robust</w:t>
      </w:r>
      <w:proofErr w:type="gramEnd"/>
      <w:r w:rsidRPr="00CC19F7">
        <w:t xml:space="preserve">. På boring har prosjektet iverksett ny teknologi som </w:t>
      </w:r>
      <w:proofErr w:type="spellStart"/>
      <w:r w:rsidRPr="00CC19F7">
        <w:t>ein</w:t>
      </w:r>
      <w:proofErr w:type="spellEnd"/>
      <w:r w:rsidRPr="00CC19F7">
        <w:t xml:space="preserve"> </w:t>
      </w:r>
      <w:proofErr w:type="spellStart"/>
      <w:r w:rsidRPr="00CC19F7">
        <w:t>forventar</w:t>
      </w:r>
      <w:proofErr w:type="spellEnd"/>
      <w:r w:rsidRPr="00CC19F7">
        <w:t xml:space="preserve"> vil gi </w:t>
      </w:r>
      <w:proofErr w:type="spellStart"/>
      <w:r w:rsidRPr="00CC19F7">
        <w:t>ein</w:t>
      </w:r>
      <w:proofErr w:type="spellEnd"/>
      <w:r w:rsidRPr="00CC19F7">
        <w:t xml:space="preserve"> positiv effekt på framdrift og ferdigstilling i siste fase av prosjektet. For oppkoplingsfasen av Jotun FPSO-en er det bestemt at det skal </w:t>
      </w:r>
      <w:proofErr w:type="spellStart"/>
      <w:r w:rsidRPr="00CC19F7">
        <w:t>takast</w:t>
      </w:r>
      <w:proofErr w:type="spellEnd"/>
      <w:r w:rsidRPr="00CC19F7">
        <w:t xml:space="preserve"> i bruk flotell, og i tillegg </w:t>
      </w:r>
      <w:proofErr w:type="spellStart"/>
      <w:r w:rsidRPr="00CC19F7">
        <w:t>framskynding</w:t>
      </w:r>
      <w:proofErr w:type="spellEnd"/>
      <w:r w:rsidRPr="00CC19F7">
        <w:t xml:space="preserve"> av </w:t>
      </w:r>
      <w:proofErr w:type="spellStart"/>
      <w:r w:rsidRPr="00CC19F7">
        <w:t>undervassinstallasjonskampanjar</w:t>
      </w:r>
      <w:proofErr w:type="spellEnd"/>
      <w:r w:rsidRPr="00CC19F7">
        <w:t xml:space="preserve"> for å redusere </w:t>
      </w:r>
      <w:proofErr w:type="spellStart"/>
      <w:r w:rsidRPr="00CC19F7">
        <w:t>talet</w:t>
      </w:r>
      <w:proofErr w:type="spellEnd"/>
      <w:r w:rsidRPr="00CC19F7">
        <w:t xml:space="preserve"> på samtidige </w:t>
      </w:r>
      <w:proofErr w:type="spellStart"/>
      <w:r w:rsidRPr="00CC19F7">
        <w:t>operasjonar</w:t>
      </w:r>
      <w:proofErr w:type="spellEnd"/>
      <w:r w:rsidRPr="00CC19F7">
        <w:t xml:space="preserve"> på feltet. </w:t>
      </w:r>
      <w:proofErr w:type="spellStart"/>
      <w:r w:rsidRPr="00CC19F7">
        <w:t>Planlagd</w:t>
      </w:r>
      <w:proofErr w:type="spellEnd"/>
      <w:r w:rsidRPr="00CC19F7">
        <w:t xml:space="preserve"> oppstart er </w:t>
      </w:r>
      <w:proofErr w:type="spellStart"/>
      <w:r w:rsidRPr="00CC19F7">
        <w:t>framleis</w:t>
      </w:r>
      <w:proofErr w:type="spellEnd"/>
      <w:r w:rsidRPr="00CC19F7">
        <w:t xml:space="preserve"> tredje kvartal 2024.</w:t>
      </w:r>
    </w:p>
    <w:p w14:paraId="3C21E641" w14:textId="77777777" w:rsidR="00FE02EF" w:rsidRPr="00CC19F7" w:rsidRDefault="00881E58" w:rsidP="00CC19F7">
      <w:pPr>
        <w:pStyle w:val="avsnitt-undertittel"/>
      </w:pPr>
      <w:proofErr w:type="spellStart"/>
      <w:r w:rsidRPr="00CC19F7">
        <w:t>Hywind</w:t>
      </w:r>
      <w:proofErr w:type="spellEnd"/>
      <w:r w:rsidRPr="00CC19F7">
        <w:t xml:space="preserve"> Tampen</w:t>
      </w:r>
    </w:p>
    <w:p w14:paraId="7B8B26DF" w14:textId="77777777" w:rsidR="00FE02EF" w:rsidRPr="00CC19F7" w:rsidRDefault="00881E58" w:rsidP="00CC19F7">
      <w:proofErr w:type="spellStart"/>
      <w:r w:rsidRPr="00CC19F7">
        <w:t>Hywind</w:t>
      </w:r>
      <w:proofErr w:type="spellEnd"/>
      <w:r w:rsidRPr="00CC19F7">
        <w:t xml:space="preserve"> Tampen er verdas største </w:t>
      </w:r>
      <w:proofErr w:type="spellStart"/>
      <w:r w:rsidRPr="00CC19F7">
        <w:t>flytande</w:t>
      </w:r>
      <w:proofErr w:type="spellEnd"/>
      <w:r w:rsidRPr="00CC19F7">
        <w:t xml:space="preserve"> vindpark og den </w:t>
      </w:r>
      <w:proofErr w:type="spellStart"/>
      <w:r w:rsidRPr="00CC19F7">
        <w:t>einaste</w:t>
      </w:r>
      <w:proofErr w:type="spellEnd"/>
      <w:r w:rsidRPr="00CC19F7">
        <w:t xml:space="preserve"> vindparken i verda som forsyner olje- og </w:t>
      </w:r>
      <w:proofErr w:type="spellStart"/>
      <w:r w:rsidRPr="00CC19F7">
        <w:t>gassinstallasjonar</w:t>
      </w:r>
      <w:proofErr w:type="spellEnd"/>
      <w:r w:rsidRPr="00CC19F7">
        <w:t xml:space="preserve"> med </w:t>
      </w:r>
      <w:proofErr w:type="spellStart"/>
      <w:r w:rsidRPr="00CC19F7">
        <w:t>straum</w:t>
      </w:r>
      <w:proofErr w:type="spellEnd"/>
      <w:r w:rsidRPr="00CC19F7">
        <w:t xml:space="preserve">. Vindparken har elleve </w:t>
      </w:r>
      <w:proofErr w:type="spellStart"/>
      <w:r w:rsidRPr="00CC19F7">
        <w:t>turbinar</w:t>
      </w:r>
      <w:proofErr w:type="spellEnd"/>
      <w:r w:rsidRPr="00CC19F7">
        <w:t xml:space="preserve">, oppgraderte </w:t>
      </w:r>
      <w:proofErr w:type="spellStart"/>
      <w:r w:rsidRPr="00CC19F7">
        <w:t>frå</w:t>
      </w:r>
      <w:proofErr w:type="spellEnd"/>
      <w:r w:rsidRPr="00CC19F7">
        <w:t xml:space="preserve"> 8 til 8,6 MW </w:t>
      </w:r>
      <w:proofErr w:type="spellStart"/>
      <w:r w:rsidRPr="00CC19F7">
        <w:t>sidan</w:t>
      </w:r>
      <w:proofErr w:type="spellEnd"/>
      <w:r w:rsidRPr="00CC19F7">
        <w:t xml:space="preserve"> utbyggingsplanen blei levert. Alle </w:t>
      </w:r>
      <w:proofErr w:type="spellStart"/>
      <w:r w:rsidRPr="00CC19F7">
        <w:t>turbinane</w:t>
      </w:r>
      <w:proofErr w:type="spellEnd"/>
      <w:r w:rsidRPr="00CC19F7">
        <w:t xml:space="preserve"> er i drift per august 2023. Det blir produsert for fullt til Gullfaks (fem </w:t>
      </w:r>
      <w:proofErr w:type="spellStart"/>
      <w:r w:rsidRPr="00CC19F7">
        <w:t>turbinar</w:t>
      </w:r>
      <w:proofErr w:type="spellEnd"/>
      <w:r w:rsidRPr="00CC19F7">
        <w:t xml:space="preserve">), </w:t>
      </w:r>
      <w:proofErr w:type="spellStart"/>
      <w:r w:rsidRPr="00CC19F7">
        <w:t>medan</w:t>
      </w:r>
      <w:proofErr w:type="spellEnd"/>
      <w:r w:rsidRPr="00CC19F7">
        <w:t xml:space="preserve"> ferdigstilling og testing av kraftstyringssystemet på Snorre (seks </w:t>
      </w:r>
      <w:proofErr w:type="spellStart"/>
      <w:r w:rsidRPr="00CC19F7">
        <w:t>turbinar</w:t>
      </w:r>
      <w:proofErr w:type="spellEnd"/>
      <w:r w:rsidRPr="00CC19F7">
        <w:t xml:space="preserve">) pågår. Det er forventa at vindkraft er fullt </w:t>
      </w:r>
      <w:proofErr w:type="gramStart"/>
      <w:r w:rsidRPr="00CC19F7">
        <w:t>integrert</w:t>
      </w:r>
      <w:proofErr w:type="gramEnd"/>
      <w:r w:rsidRPr="00CC19F7">
        <w:t xml:space="preserve"> med plattformene i løpet av oktober 2023.</w:t>
      </w:r>
    </w:p>
    <w:p w14:paraId="245F425B" w14:textId="77777777" w:rsidR="00FE02EF" w:rsidRPr="00CC19F7" w:rsidRDefault="00881E58" w:rsidP="00CC19F7">
      <w:proofErr w:type="spellStart"/>
      <w:r w:rsidRPr="00CC19F7">
        <w:t>Sidan</w:t>
      </w:r>
      <w:proofErr w:type="spellEnd"/>
      <w:r w:rsidRPr="00CC19F7">
        <w:t xml:space="preserve"> PUD har investeringsestimatet </w:t>
      </w:r>
      <w:proofErr w:type="spellStart"/>
      <w:r w:rsidRPr="00CC19F7">
        <w:t>auka</w:t>
      </w:r>
      <w:proofErr w:type="spellEnd"/>
      <w:r w:rsidRPr="00CC19F7">
        <w:t xml:space="preserve"> med 2,4 mrd. 2023-kroner på grunn av </w:t>
      </w:r>
      <w:proofErr w:type="spellStart"/>
      <w:r w:rsidRPr="00CC19F7">
        <w:t>forseinkingar</w:t>
      </w:r>
      <w:proofErr w:type="spellEnd"/>
      <w:r w:rsidRPr="00CC19F7">
        <w:t xml:space="preserve"> i leveransen av straumkabel og kvalitetsavvik i stålplater til </w:t>
      </w:r>
      <w:proofErr w:type="spellStart"/>
      <w:r w:rsidRPr="00CC19F7">
        <w:t>tårnseksjonar</w:t>
      </w:r>
      <w:proofErr w:type="spellEnd"/>
      <w:r w:rsidRPr="00CC19F7">
        <w:t xml:space="preserve">, i tillegg til </w:t>
      </w:r>
      <w:proofErr w:type="spellStart"/>
      <w:r w:rsidRPr="00CC19F7">
        <w:t>marknadseffektar</w:t>
      </w:r>
      <w:proofErr w:type="spellEnd"/>
      <w:r w:rsidRPr="00CC19F7">
        <w:t xml:space="preserve">. Det er også </w:t>
      </w:r>
      <w:proofErr w:type="spellStart"/>
      <w:r w:rsidRPr="00CC19F7">
        <w:t>auka</w:t>
      </w:r>
      <w:proofErr w:type="spellEnd"/>
      <w:r w:rsidRPr="00CC19F7">
        <w:t xml:space="preserve"> kostnader knytte til </w:t>
      </w:r>
      <w:proofErr w:type="spellStart"/>
      <w:r w:rsidRPr="00CC19F7">
        <w:t>topside-modifikasjonar</w:t>
      </w:r>
      <w:proofErr w:type="spellEnd"/>
      <w:r w:rsidRPr="00CC19F7">
        <w:t xml:space="preserve"> på Snorre- og Gullfaksfeltet og </w:t>
      </w:r>
      <w:proofErr w:type="spellStart"/>
      <w:r w:rsidRPr="00CC19F7">
        <w:t>eit</w:t>
      </w:r>
      <w:proofErr w:type="spellEnd"/>
      <w:r w:rsidRPr="00CC19F7">
        <w:t xml:space="preserve"> estimert valutatap på 0,4 mrd. 2023-kroner på grunn av ei svekt norsk krone.</w:t>
      </w:r>
    </w:p>
    <w:p w14:paraId="758174F2" w14:textId="77777777" w:rsidR="00FE02EF" w:rsidRPr="00CC19F7" w:rsidRDefault="00881E58" w:rsidP="00CC19F7">
      <w:proofErr w:type="spellStart"/>
      <w:r w:rsidRPr="00CC19F7">
        <w:t>Sidan</w:t>
      </w:r>
      <w:proofErr w:type="spellEnd"/>
      <w:r w:rsidRPr="00CC19F7">
        <w:t xml:space="preserve"> rapporteringa i fjor har investeringsestimatet </w:t>
      </w:r>
      <w:proofErr w:type="spellStart"/>
      <w:r w:rsidRPr="00CC19F7">
        <w:t>auka</w:t>
      </w:r>
      <w:proofErr w:type="spellEnd"/>
      <w:r w:rsidRPr="00CC19F7">
        <w:t xml:space="preserve"> med 0,9 mrd. 2023-kroner som følge av behov for marine </w:t>
      </w:r>
      <w:proofErr w:type="spellStart"/>
      <w:r w:rsidRPr="00CC19F7">
        <w:t>operasjonar</w:t>
      </w:r>
      <w:proofErr w:type="spellEnd"/>
      <w:r w:rsidRPr="00CC19F7">
        <w:t xml:space="preserve"> i 2023 med </w:t>
      </w:r>
      <w:proofErr w:type="spellStart"/>
      <w:r w:rsidRPr="00CC19F7">
        <w:t>tilhøyrande</w:t>
      </w:r>
      <w:proofErr w:type="spellEnd"/>
      <w:r w:rsidRPr="00CC19F7">
        <w:t xml:space="preserve"> </w:t>
      </w:r>
      <w:proofErr w:type="spellStart"/>
      <w:r w:rsidRPr="00CC19F7">
        <w:t>auka</w:t>
      </w:r>
      <w:proofErr w:type="spellEnd"/>
      <w:r w:rsidRPr="00CC19F7">
        <w:t xml:space="preserve"> personalkostnader i tillegg til </w:t>
      </w:r>
      <w:proofErr w:type="spellStart"/>
      <w:r w:rsidRPr="00CC19F7">
        <w:t>auka</w:t>
      </w:r>
      <w:proofErr w:type="spellEnd"/>
      <w:r w:rsidRPr="00CC19F7">
        <w:t xml:space="preserve"> </w:t>
      </w:r>
      <w:proofErr w:type="spellStart"/>
      <w:r w:rsidRPr="00CC19F7">
        <w:t>valutaeffektar</w:t>
      </w:r>
      <w:proofErr w:type="spellEnd"/>
      <w:r w:rsidRPr="00CC19F7">
        <w:t>.</w:t>
      </w:r>
    </w:p>
    <w:p w14:paraId="02706A98" w14:textId="77777777" w:rsidR="00FE02EF" w:rsidRPr="00CC19F7" w:rsidRDefault="00881E58" w:rsidP="00CC19F7">
      <w:pPr>
        <w:pStyle w:val="avsnitt-undertittel"/>
      </w:pPr>
      <w:r w:rsidRPr="00CC19F7">
        <w:t xml:space="preserve">Njord </w:t>
      </w:r>
      <w:proofErr w:type="spellStart"/>
      <w:r w:rsidRPr="00CC19F7">
        <w:t>Future</w:t>
      </w:r>
      <w:proofErr w:type="spellEnd"/>
    </w:p>
    <w:p w14:paraId="2DB5F44E" w14:textId="77777777" w:rsidR="00FE02EF" w:rsidRPr="00CC19F7" w:rsidRDefault="00881E58" w:rsidP="00CC19F7">
      <w:r w:rsidRPr="00CC19F7">
        <w:t xml:space="preserve">Njord </w:t>
      </w:r>
      <w:proofErr w:type="spellStart"/>
      <w:r w:rsidRPr="00CC19F7">
        <w:t>Future</w:t>
      </w:r>
      <w:proofErr w:type="spellEnd"/>
      <w:r w:rsidRPr="00CC19F7">
        <w:t xml:space="preserve">-utbygginga var ei stor oppgradering av plattforma Njord A og lagerskipet Njord Bravo, som har </w:t>
      </w:r>
      <w:proofErr w:type="spellStart"/>
      <w:r w:rsidRPr="00CC19F7">
        <w:t>vore</w:t>
      </w:r>
      <w:proofErr w:type="spellEnd"/>
      <w:r w:rsidRPr="00CC19F7">
        <w:t xml:space="preserve"> i bruk på feltet </w:t>
      </w:r>
      <w:proofErr w:type="spellStart"/>
      <w:r w:rsidRPr="00CC19F7">
        <w:t>sidan</w:t>
      </w:r>
      <w:proofErr w:type="spellEnd"/>
      <w:r w:rsidRPr="00CC19F7">
        <w:t xml:space="preserve"> oppstarten i 1997. Prosjektet gjorde det også </w:t>
      </w:r>
      <w:proofErr w:type="spellStart"/>
      <w:r w:rsidRPr="00CC19F7">
        <w:t>mogleg</w:t>
      </w:r>
      <w:proofErr w:type="spellEnd"/>
      <w:r w:rsidRPr="00CC19F7">
        <w:t xml:space="preserve"> </w:t>
      </w:r>
      <w:proofErr w:type="spellStart"/>
      <w:r w:rsidRPr="00CC19F7">
        <w:t>å</w:t>
      </w:r>
      <w:proofErr w:type="spellEnd"/>
      <w:r w:rsidRPr="00CC19F7">
        <w:t xml:space="preserve"> samtidig bygge ut Bauge- og </w:t>
      </w:r>
      <w:proofErr w:type="spellStart"/>
      <w:r w:rsidRPr="00CC19F7">
        <w:t>Fenja</w:t>
      </w:r>
      <w:proofErr w:type="spellEnd"/>
      <w:r w:rsidRPr="00CC19F7">
        <w:t>-felta, som er kopla til Njord A.</w:t>
      </w:r>
    </w:p>
    <w:p w14:paraId="594721E1" w14:textId="7CF2E091" w:rsidR="00FE02EF" w:rsidRPr="00CC19F7" w:rsidRDefault="00881E58" w:rsidP="00CC19F7">
      <w:proofErr w:type="spellStart"/>
      <w:r w:rsidRPr="00CC19F7">
        <w:t>Sidan</w:t>
      </w:r>
      <w:proofErr w:type="spellEnd"/>
      <w:r w:rsidRPr="00CC19F7">
        <w:t xml:space="preserve"> utbyggingsplanen blei levert har investeringsanslaget </w:t>
      </w:r>
      <w:proofErr w:type="spellStart"/>
      <w:r w:rsidRPr="00CC19F7">
        <w:t>auka</w:t>
      </w:r>
      <w:proofErr w:type="spellEnd"/>
      <w:r w:rsidRPr="00CC19F7">
        <w:t xml:space="preserve"> med 14,8 mrd. 2023-kroner, eller 80 prosent. Årsaka er vekst i arbeidsomfang og pandemien. </w:t>
      </w:r>
      <w:proofErr w:type="spellStart"/>
      <w:r w:rsidRPr="00CC19F7">
        <w:t>Omfattande</w:t>
      </w:r>
      <w:proofErr w:type="spellEnd"/>
      <w:r w:rsidRPr="00CC19F7">
        <w:t xml:space="preserve"> </w:t>
      </w:r>
      <w:proofErr w:type="spellStart"/>
      <w:r w:rsidRPr="00CC19F7">
        <w:t>utskiftingar</w:t>
      </w:r>
      <w:proofErr w:type="spellEnd"/>
      <w:r w:rsidRPr="00CC19F7">
        <w:t xml:space="preserve"> på begge </w:t>
      </w:r>
      <w:proofErr w:type="spellStart"/>
      <w:r w:rsidRPr="00CC19F7">
        <w:t>installasjonane</w:t>
      </w:r>
      <w:proofErr w:type="spellEnd"/>
      <w:r w:rsidRPr="00CC19F7">
        <w:t xml:space="preserve"> med </w:t>
      </w:r>
      <w:proofErr w:type="spellStart"/>
      <w:r w:rsidRPr="00CC19F7">
        <w:t>tilhøyrande</w:t>
      </w:r>
      <w:proofErr w:type="spellEnd"/>
      <w:r w:rsidRPr="00CC19F7">
        <w:t xml:space="preserve"> prosjektering har </w:t>
      </w:r>
      <w:proofErr w:type="spellStart"/>
      <w:r w:rsidRPr="00CC19F7">
        <w:t>vore</w:t>
      </w:r>
      <w:proofErr w:type="spellEnd"/>
      <w:r w:rsidRPr="00CC19F7">
        <w:t xml:space="preserve"> nødvendige og </w:t>
      </w:r>
      <w:proofErr w:type="spellStart"/>
      <w:r w:rsidRPr="00CC19F7">
        <w:t>meir</w:t>
      </w:r>
      <w:proofErr w:type="spellEnd"/>
      <w:r w:rsidRPr="00CC19F7">
        <w:t xml:space="preserve"> </w:t>
      </w:r>
      <w:proofErr w:type="spellStart"/>
      <w:r w:rsidRPr="00CC19F7">
        <w:t>omfattande</w:t>
      </w:r>
      <w:proofErr w:type="spellEnd"/>
      <w:r w:rsidRPr="00CC19F7">
        <w:t xml:space="preserve"> enn venta. På begge </w:t>
      </w:r>
      <w:proofErr w:type="spellStart"/>
      <w:r w:rsidRPr="00CC19F7">
        <w:t>installasjonane</w:t>
      </w:r>
      <w:proofErr w:type="spellEnd"/>
      <w:r w:rsidRPr="00CC19F7">
        <w:t xml:space="preserve"> har det også </w:t>
      </w:r>
      <w:proofErr w:type="spellStart"/>
      <w:r w:rsidRPr="00CC19F7">
        <w:t>vore</w:t>
      </w:r>
      <w:proofErr w:type="spellEnd"/>
      <w:r w:rsidRPr="00CC19F7">
        <w:t xml:space="preserve"> nødvendig med endringsarbeid i område der det </w:t>
      </w:r>
      <w:proofErr w:type="spellStart"/>
      <w:r w:rsidRPr="00CC19F7">
        <w:t>ikkje</w:t>
      </w:r>
      <w:proofErr w:type="spellEnd"/>
      <w:r w:rsidRPr="00CC19F7">
        <w:t xml:space="preserve"> var planlagt, </w:t>
      </w:r>
      <w:proofErr w:type="spellStart"/>
      <w:r w:rsidRPr="00CC19F7">
        <w:t>noko</w:t>
      </w:r>
      <w:proofErr w:type="spellEnd"/>
      <w:r w:rsidRPr="00CC19F7">
        <w:t xml:space="preserve"> som har </w:t>
      </w:r>
      <w:proofErr w:type="spellStart"/>
      <w:r w:rsidRPr="00CC19F7">
        <w:t>påverka</w:t>
      </w:r>
      <w:proofErr w:type="spellEnd"/>
      <w:r w:rsidRPr="00CC19F7">
        <w:t xml:space="preserve"> produktiviteten til kontraktoren negativt. Smitteverntiltak og </w:t>
      </w:r>
      <w:proofErr w:type="spellStart"/>
      <w:r w:rsidRPr="00CC19F7">
        <w:t>restriksjonar</w:t>
      </w:r>
      <w:proofErr w:type="spellEnd"/>
      <w:r w:rsidRPr="00CC19F7">
        <w:t xml:space="preserve"> har ramma prosjektet. Det har i </w:t>
      </w:r>
      <w:proofErr w:type="spellStart"/>
      <w:r w:rsidRPr="00CC19F7">
        <w:t>periodar</w:t>
      </w:r>
      <w:proofErr w:type="spellEnd"/>
      <w:r w:rsidRPr="00CC19F7">
        <w:t xml:space="preserve"> </w:t>
      </w:r>
      <w:proofErr w:type="spellStart"/>
      <w:r w:rsidRPr="00CC19F7">
        <w:t>vore</w:t>
      </w:r>
      <w:proofErr w:type="spellEnd"/>
      <w:r w:rsidRPr="00CC19F7">
        <w:t xml:space="preserve"> stor mangel på arbeidskraft som følge av </w:t>
      </w:r>
      <w:proofErr w:type="spellStart"/>
      <w:r w:rsidRPr="00CC19F7">
        <w:t>innreiserestriksjonar</w:t>
      </w:r>
      <w:proofErr w:type="spellEnd"/>
      <w:r w:rsidRPr="00CC19F7">
        <w:t xml:space="preserve"> til </w:t>
      </w:r>
      <w:proofErr w:type="spellStart"/>
      <w:r w:rsidRPr="00CC19F7">
        <w:t>Noreg</w:t>
      </w:r>
      <w:proofErr w:type="spellEnd"/>
      <w:r w:rsidRPr="00CC19F7">
        <w:t xml:space="preserve">. Dette har </w:t>
      </w:r>
      <w:proofErr w:type="spellStart"/>
      <w:r w:rsidRPr="00CC19F7">
        <w:t>påverka</w:t>
      </w:r>
      <w:proofErr w:type="spellEnd"/>
      <w:r w:rsidRPr="00CC19F7">
        <w:t xml:space="preserve"> produktiviteten, ført til </w:t>
      </w:r>
      <w:proofErr w:type="spellStart"/>
      <w:r w:rsidRPr="00CC19F7">
        <w:t>auka</w:t>
      </w:r>
      <w:proofErr w:type="spellEnd"/>
      <w:r w:rsidRPr="00CC19F7">
        <w:t xml:space="preserve"> kostnader og </w:t>
      </w:r>
      <w:proofErr w:type="spellStart"/>
      <w:r w:rsidRPr="00CC19F7">
        <w:t>forlengd</w:t>
      </w:r>
      <w:proofErr w:type="spellEnd"/>
      <w:r w:rsidRPr="00CC19F7">
        <w:t xml:space="preserve"> prosjektgjennomføring, </w:t>
      </w:r>
      <w:proofErr w:type="spellStart"/>
      <w:r w:rsidRPr="00CC19F7">
        <w:t>noko</w:t>
      </w:r>
      <w:proofErr w:type="spellEnd"/>
      <w:r w:rsidRPr="00CC19F7">
        <w:t xml:space="preserve"> som igjen gav utsatt produksjonsstart.</w:t>
      </w:r>
    </w:p>
    <w:p w14:paraId="18EB9CAB" w14:textId="77777777" w:rsidR="00FE02EF" w:rsidRPr="00CC19F7" w:rsidRDefault="00881E58" w:rsidP="00CC19F7">
      <w:pPr>
        <w:pStyle w:val="Overskrift1"/>
      </w:pPr>
      <w:r w:rsidRPr="00CC19F7">
        <w:t>Omtale av klima- og miljørelevante saker</w:t>
      </w:r>
    </w:p>
    <w:p w14:paraId="21E5FD20" w14:textId="77777777" w:rsidR="00FE02EF" w:rsidRPr="00CC19F7" w:rsidRDefault="00881E58" w:rsidP="00CC19F7">
      <w:r w:rsidRPr="00CC19F7">
        <w:t xml:space="preserve">Klima- og miljøpolitikken til regjeringa bygger på at alle </w:t>
      </w:r>
      <w:proofErr w:type="spellStart"/>
      <w:r w:rsidRPr="00CC19F7">
        <w:t>samfunnssektorar</w:t>
      </w:r>
      <w:proofErr w:type="spellEnd"/>
      <w:r w:rsidRPr="00CC19F7">
        <w:t xml:space="preserve"> har </w:t>
      </w:r>
      <w:proofErr w:type="spellStart"/>
      <w:r w:rsidRPr="00CC19F7">
        <w:t>eit</w:t>
      </w:r>
      <w:proofErr w:type="spellEnd"/>
      <w:r w:rsidRPr="00CC19F7">
        <w:t xml:space="preserve"> sjølvstendig ansvar for å legge miljøomsyn til grunn for </w:t>
      </w:r>
      <w:proofErr w:type="spellStart"/>
      <w:r w:rsidRPr="00CC19F7">
        <w:t>aktivitetane</w:t>
      </w:r>
      <w:proofErr w:type="spellEnd"/>
      <w:r w:rsidRPr="00CC19F7">
        <w:t xml:space="preserve"> sine og for å </w:t>
      </w:r>
      <w:proofErr w:type="spellStart"/>
      <w:r w:rsidRPr="00CC19F7">
        <w:t>medverke</w:t>
      </w:r>
      <w:proofErr w:type="spellEnd"/>
      <w:r w:rsidRPr="00CC19F7">
        <w:t xml:space="preserve"> til å nå </w:t>
      </w:r>
      <w:proofErr w:type="spellStart"/>
      <w:r w:rsidRPr="00CC19F7">
        <w:t>dei</w:t>
      </w:r>
      <w:proofErr w:type="spellEnd"/>
      <w:r w:rsidRPr="00CC19F7">
        <w:t xml:space="preserve"> nasjonale klima- og miljømåla. </w:t>
      </w:r>
      <w:proofErr w:type="spellStart"/>
      <w:r w:rsidRPr="00CC19F7">
        <w:t>Sektormyndigheitene</w:t>
      </w:r>
      <w:proofErr w:type="spellEnd"/>
      <w:r w:rsidRPr="00CC19F7">
        <w:t xml:space="preserve"> har ansvar for å sette i verk tiltak på </w:t>
      </w:r>
      <w:proofErr w:type="gramStart"/>
      <w:r w:rsidRPr="00CC19F7">
        <w:t>sine eigne område</w:t>
      </w:r>
      <w:proofErr w:type="gramEnd"/>
      <w:r w:rsidRPr="00CC19F7">
        <w:t xml:space="preserve">. Fagproposisjonen </w:t>
      </w:r>
      <w:proofErr w:type="spellStart"/>
      <w:r w:rsidRPr="00CC19F7">
        <w:t>frå</w:t>
      </w:r>
      <w:proofErr w:type="spellEnd"/>
      <w:r w:rsidRPr="00CC19F7">
        <w:t xml:space="preserve"> Klima- og miljødepartementet </w:t>
      </w:r>
      <w:proofErr w:type="spellStart"/>
      <w:r w:rsidRPr="00CC19F7">
        <w:t>inneheld</w:t>
      </w:r>
      <w:proofErr w:type="spellEnd"/>
      <w:r w:rsidRPr="00CC19F7">
        <w:t xml:space="preserve"> </w:t>
      </w:r>
      <w:proofErr w:type="spellStart"/>
      <w:r w:rsidRPr="00CC19F7">
        <w:t>ein</w:t>
      </w:r>
      <w:proofErr w:type="spellEnd"/>
      <w:r w:rsidRPr="00CC19F7">
        <w:t xml:space="preserve"> samla omtale av klima- og miljørelevante saker.</w:t>
      </w:r>
    </w:p>
    <w:p w14:paraId="0F2C8686" w14:textId="77777777" w:rsidR="00FE02EF" w:rsidRPr="00CC19F7" w:rsidRDefault="00881E58" w:rsidP="00CC19F7">
      <w:proofErr w:type="spellStart"/>
      <w:r w:rsidRPr="00CC19F7">
        <w:t>Noreg</w:t>
      </w:r>
      <w:proofErr w:type="spellEnd"/>
      <w:r w:rsidRPr="00CC19F7">
        <w:t xml:space="preserve"> har </w:t>
      </w:r>
      <w:proofErr w:type="spellStart"/>
      <w:r w:rsidRPr="00CC19F7">
        <w:t>ein</w:t>
      </w:r>
      <w:proofErr w:type="spellEnd"/>
      <w:r w:rsidRPr="00CC19F7">
        <w:t xml:space="preserve"> </w:t>
      </w:r>
      <w:proofErr w:type="spellStart"/>
      <w:r w:rsidRPr="00CC19F7">
        <w:t>omfattande</w:t>
      </w:r>
      <w:proofErr w:type="spellEnd"/>
      <w:r w:rsidRPr="00CC19F7">
        <w:t xml:space="preserve"> vasskraftproduksjon og er </w:t>
      </w:r>
      <w:proofErr w:type="spellStart"/>
      <w:r w:rsidRPr="00CC19F7">
        <w:t>ein</w:t>
      </w:r>
      <w:proofErr w:type="spellEnd"/>
      <w:r w:rsidRPr="00CC19F7">
        <w:t xml:space="preserve"> viktig leverandør av olje og gass til den globale </w:t>
      </w:r>
      <w:proofErr w:type="spellStart"/>
      <w:r w:rsidRPr="00CC19F7">
        <w:t>marknaden</w:t>
      </w:r>
      <w:proofErr w:type="spellEnd"/>
      <w:r w:rsidRPr="00CC19F7">
        <w:t>.</w:t>
      </w:r>
    </w:p>
    <w:p w14:paraId="3A318A9D" w14:textId="77777777" w:rsidR="00FE02EF" w:rsidRPr="00CC19F7" w:rsidRDefault="00881E58" w:rsidP="00CC19F7">
      <w:r w:rsidRPr="00CC19F7">
        <w:t xml:space="preserve">Omsynet til miljø og </w:t>
      </w:r>
      <w:proofErr w:type="spellStart"/>
      <w:r w:rsidRPr="00CC19F7">
        <w:t>berekraftig</w:t>
      </w:r>
      <w:proofErr w:type="spellEnd"/>
      <w:r w:rsidRPr="00CC19F7">
        <w:t xml:space="preserve"> utvikling er og har alltid </w:t>
      </w:r>
      <w:proofErr w:type="spellStart"/>
      <w:r w:rsidRPr="00CC19F7">
        <w:t>vore</w:t>
      </w:r>
      <w:proofErr w:type="spellEnd"/>
      <w:r w:rsidRPr="00CC19F7">
        <w:t xml:space="preserve"> </w:t>
      </w:r>
      <w:proofErr w:type="spellStart"/>
      <w:r w:rsidRPr="00CC19F7">
        <w:t>ein</w:t>
      </w:r>
      <w:proofErr w:type="spellEnd"/>
      <w:r w:rsidRPr="00CC19F7">
        <w:t xml:space="preserve"> integrert del av den norske </w:t>
      </w:r>
      <w:proofErr w:type="spellStart"/>
      <w:r w:rsidRPr="00CC19F7">
        <w:t>petroleumsverksemda</w:t>
      </w:r>
      <w:proofErr w:type="spellEnd"/>
      <w:r w:rsidRPr="00CC19F7">
        <w:t xml:space="preserve">. Ei rekke </w:t>
      </w:r>
      <w:proofErr w:type="spellStart"/>
      <w:r w:rsidRPr="00CC19F7">
        <w:t>reguleringar</w:t>
      </w:r>
      <w:proofErr w:type="spellEnd"/>
      <w:r w:rsidRPr="00CC19F7">
        <w:t xml:space="preserve"> </w:t>
      </w:r>
      <w:proofErr w:type="spellStart"/>
      <w:r w:rsidRPr="00CC19F7">
        <w:t>medverkar</w:t>
      </w:r>
      <w:proofErr w:type="spellEnd"/>
      <w:r w:rsidRPr="00CC19F7">
        <w:t xml:space="preserve"> til at det blir tatt omsyn til miljøet i alle </w:t>
      </w:r>
      <w:proofErr w:type="spellStart"/>
      <w:r w:rsidRPr="00CC19F7">
        <w:t>fasar</w:t>
      </w:r>
      <w:proofErr w:type="spellEnd"/>
      <w:r w:rsidRPr="00CC19F7">
        <w:t xml:space="preserve"> av </w:t>
      </w:r>
      <w:proofErr w:type="spellStart"/>
      <w:r w:rsidRPr="00CC19F7">
        <w:t>petroleumsverksemda</w:t>
      </w:r>
      <w:proofErr w:type="spellEnd"/>
      <w:r w:rsidRPr="00CC19F7">
        <w:t xml:space="preserve">. Brenning av assosiert gass har aldri </w:t>
      </w:r>
      <w:proofErr w:type="spellStart"/>
      <w:r w:rsidRPr="00CC19F7">
        <w:t>vore</w:t>
      </w:r>
      <w:proofErr w:type="spellEnd"/>
      <w:r w:rsidRPr="00CC19F7">
        <w:t xml:space="preserve"> akseptert. Petroleumssektoren har betalt CO</w:t>
      </w:r>
      <w:r w:rsidRPr="00CC19F7">
        <w:rPr>
          <w:rStyle w:val="skrift-senket"/>
        </w:rPr>
        <w:t>2</w:t>
      </w:r>
      <w:r w:rsidRPr="00CC19F7">
        <w:t xml:space="preserve">-avgift </w:t>
      </w:r>
      <w:proofErr w:type="spellStart"/>
      <w:r w:rsidRPr="00CC19F7">
        <w:t>sidan</w:t>
      </w:r>
      <w:proofErr w:type="spellEnd"/>
      <w:r w:rsidRPr="00CC19F7">
        <w:t xml:space="preserve"> 1991 og </w:t>
      </w:r>
      <w:proofErr w:type="spellStart"/>
      <w:r w:rsidRPr="00CC19F7">
        <w:t>vore</w:t>
      </w:r>
      <w:proofErr w:type="spellEnd"/>
      <w:r w:rsidRPr="00CC19F7">
        <w:t xml:space="preserve"> </w:t>
      </w:r>
      <w:proofErr w:type="spellStart"/>
      <w:r w:rsidRPr="00CC19F7">
        <w:t>ein</w:t>
      </w:r>
      <w:proofErr w:type="spellEnd"/>
      <w:r w:rsidRPr="00CC19F7">
        <w:t xml:space="preserve"> del av det europeiske kvotesystemet </w:t>
      </w:r>
      <w:proofErr w:type="spellStart"/>
      <w:r w:rsidRPr="00CC19F7">
        <w:t>sidan</w:t>
      </w:r>
      <w:proofErr w:type="spellEnd"/>
      <w:r w:rsidRPr="00CC19F7">
        <w:t xml:space="preserve"> 2008. Dette </w:t>
      </w:r>
      <w:proofErr w:type="spellStart"/>
      <w:r w:rsidRPr="00CC19F7">
        <w:t>gjer</w:t>
      </w:r>
      <w:proofErr w:type="spellEnd"/>
      <w:r w:rsidRPr="00CC19F7">
        <w:t xml:space="preserve"> utsleppsreduserende tiltak fra petroleumsproduksjonen </w:t>
      </w:r>
      <w:proofErr w:type="spellStart"/>
      <w:r w:rsidRPr="00CC19F7">
        <w:t>meir</w:t>
      </w:r>
      <w:proofErr w:type="spellEnd"/>
      <w:r w:rsidRPr="00CC19F7">
        <w:t xml:space="preserve"> lønnsame for selskapa enn i andre </w:t>
      </w:r>
      <w:proofErr w:type="spellStart"/>
      <w:r w:rsidRPr="00CC19F7">
        <w:t>industriar</w:t>
      </w:r>
      <w:proofErr w:type="spellEnd"/>
      <w:r w:rsidRPr="00CC19F7">
        <w:t xml:space="preserve">. Som følge av dette skjer produksjonen av olje og gass i gjennomsnitt med låge utslepp i global </w:t>
      </w:r>
      <w:proofErr w:type="spellStart"/>
      <w:r w:rsidRPr="00CC19F7">
        <w:t>samanheng</w:t>
      </w:r>
      <w:proofErr w:type="spellEnd"/>
      <w:r w:rsidRPr="00CC19F7">
        <w:t>.</w:t>
      </w:r>
    </w:p>
    <w:p w14:paraId="199F6AE6" w14:textId="77777777" w:rsidR="00FE02EF" w:rsidRPr="00CC19F7" w:rsidRDefault="00881E58" w:rsidP="00CC19F7">
      <w:r w:rsidRPr="00CC19F7">
        <w:t xml:space="preserve">Ettersom utsleppa </w:t>
      </w:r>
      <w:proofErr w:type="spellStart"/>
      <w:r w:rsidRPr="00CC19F7">
        <w:t>frå</w:t>
      </w:r>
      <w:proofErr w:type="spellEnd"/>
      <w:r w:rsidRPr="00CC19F7">
        <w:t xml:space="preserve"> olje- og </w:t>
      </w:r>
      <w:proofErr w:type="spellStart"/>
      <w:r w:rsidRPr="00CC19F7">
        <w:t>gassverksemda</w:t>
      </w:r>
      <w:proofErr w:type="spellEnd"/>
      <w:r w:rsidRPr="00CC19F7">
        <w:t xml:space="preserve"> på norsk sokkel er </w:t>
      </w:r>
      <w:proofErr w:type="spellStart"/>
      <w:r w:rsidRPr="00CC19F7">
        <w:t>underlagde</w:t>
      </w:r>
      <w:proofErr w:type="spellEnd"/>
      <w:r w:rsidRPr="00CC19F7">
        <w:t xml:space="preserve"> det europeiske kvotesystemet, vil oljeselskapa på norsk sokkel, på lik linje med bedrifter i EU, </w:t>
      </w:r>
      <w:proofErr w:type="spellStart"/>
      <w:r w:rsidRPr="00CC19F7">
        <w:t>medverke</w:t>
      </w:r>
      <w:proofErr w:type="spellEnd"/>
      <w:r w:rsidRPr="00CC19F7">
        <w:t xml:space="preserve"> til å redusere </w:t>
      </w:r>
      <w:proofErr w:type="spellStart"/>
      <w:r w:rsidRPr="00CC19F7">
        <w:t>dei</w:t>
      </w:r>
      <w:proofErr w:type="spellEnd"/>
      <w:r w:rsidRPr="00CC19F7">
        <w:t xml:space="preserve"> kvotepliktige utsleppa fram mot 2030. I tillegg har næringa ambisiøse mål for </w:t>
      </w:r>
      <w:proofErr w:type="spellStart"/>
      <w:r w:rsidRPr="00CC19F7">
        <w:t>utsleppskutt</w:t>
      </w:r>
      <w:proofErr w:type="spellEnd"/>
      <w:r w:rsidRPr="00CC19F7">
        <w:t xml:space="preserve"> fram mot 2030 og </w:t>
      </w:r>
      <w:proofErr w:type="spellStart"/>
      <w:r w:rsidRPr="00CC19F7">
        <w:t>vidare</w:t>
      </w:r>
      <w:proofErr w:type="spellEnd"/>
      <w:r w:rsidRPr="00CC19F7">
        <w:t xml:space="preserve"> mot 2050. Regjeringa vil i samarbeid med næringa jobbe for at utsleppa </w:t>
      </w:r>
      <w:proofErr w:type="spellStart"/>
      <w:r w:rsidRPr="00CC19F7">
        <w:t>frå</w:t>
      </w:r>
      <w:proofErr w:type="spellEnd"/>
      <w:r w:rsidRPr="00CC19F7">
        <w:t xml:space="preserve"> olje- og gassproduksjonen blir kutta med 50 prosent </w:t>
      </w:r>
      <w:proofErr w:type="spellStart"/>
      <w:r w:rsidRPr="00CC19F7">
        <w:t>innan</w:t>
      </w:r>
      <w:proofErr w:type="spellEnd"/>
      <w:r w:rsidRPr="00CC19F7">
        <w:t xml:space="preserve"> 2030 og til netto null i 2050. Det er såleis på plass ambisiøse mål og </w:t>
      </w:r>
      <w:proofErr w:type="spellStart"/>
      <w:r w:rsidRPr="00CC19F7">
        <w:t>ein</w:t>
      </w:r>
      <w:proofErr w:type="spellEnd"/>
      <w:r w:rsidRPr="00CC19F7">
        <w:t xml:space="preserve"> sterk verkemiddelbruk for å redusere utsleppa </w:t>
      </w:r>
      <w:proofErr w:type="spellStart"/>
      <w:r w:rsidRPr="00CC19F7">
        <w:t>frå</w:t>
      </w:r>
      <w:proofErr w:type="spellEnd"/>
      <w:r w:rsidRPr="00CC19F7">
        <w:t xml:space="preserve"> olje- og gassproduksjon i </w:t>
      </w:r>
      <w:proofErr w:type="spellStart"/>
      <w:r w:rsidRPr="00CC19F7">
        <w:t>Noreg</w:t>
      </w:r>
      <w:proofErr w:type="spellEnd"/>
      <w:r w:rsidRPr="00CC19F7">
        <w:t xml:space="preserve">. Regjeringa vil føre </w:t>
      </w:r>
      <w:proofErr w:type="spellStart"/>
      <w:r w:rsidRPr="00CC19F7">
        <w:t>vidare</w:t>
      </w:r>
      <w:proofErr w:type="spellEnd"/>
      <w:r w:rsidRPr="00CC19F7">
        <w:t xml:space="preserve"> kvoteplikt og CO</w:t>
      </w:r>
      <w:r w:rsidRPr="00CC19F7">
        <w:rPr>
          <w:rStyle w:val="skrift-senket"/>
        </w:rPr>
        <w:t>2</w:t>
      </w:r>
      <w:r w:rsidRPr="00CC19F7">
        <w:t xml:space="preserve">-avgift som </w:t>
      </w:r>
      <w:proofErr w:type="spellStart"/>
      <w:r w:rsidRPr="00CC19F7">
        <w:t>hovudverkemiddel</w:t>
      </w:r>
      <w:proofErr w:type="spellEnd"/>
      <w:r w:rsidRPr="00CC19F7">
        <w:t xml:space="preserve"> i klimapolitikken på norsk sokkel. Med utgangspunkt i dagens avgiftsnivå og </w:t>
      </w:r>
      <w:proofErr w:type="spellStart"/>
      <w:r w:rsidRPr="00CC19F7">
        <w:t>gjennomsnittleg</w:t>
      </w:r>
      <w:proofErr w:type="spellEnd"/>
      <w:r w:rsidRPr="00CC19F7">
        <w:t xml:space="preserve"> kvotepris så langt i år, har den samla prisen på CO</w:t>
      </w:r>
      <w:r w:rsidRPr="00CC19F7">
        <w:rPr>
          <w:rStyle w:val="skrift-senket"/>
        </w:rPr>
        <w:t>2</w:t>
      </w:r>
      <w:r w:rsidRPr="00CC19F7">
        <w:t xml:space="preserve">-utslepp i 2023 </w:t>
      </w:r>
      <w:proofErr w:type="spellStart"/>
      <w:r w:rsidRPr="00CC19F7">
        <w:t>vore</w:t>
      </w:r>
      <w:proofErr w:type="spellEnd"/>
      <w:r w:rsidRPr="00CC19F7">
        <w:t xml:space="preserve"> på om lag 1 760 kroner per tonn CO</w:t>
      </w:r>
      <w:r w:rsidRPr="00CC19F7">
        <w:rPr>
          <w:rStyle w:val="skrift-senket"/>
        </w:rPr>
        <w:t>2</w:t>
      </w:r>
      <w:r w:rsidRPr="00CC19F7">
        <w:t>.</w:t>
      </w:r>
    </w:p>
    <w:p w14:paraId="13D4C66F" w14:textId="77777777" w:rsidR="00FE02EF" w:rsidRPr="00CC19F7" w:rsidRDefault="00881E58" w:rsidP="00CC19F7">
      <w:r w:rsidRPr="00CC19F7">
        <w:t xml:space="preserve">Dei same </w:t>
      </w:r>
      <w:proofErr w:type="spellStart"/>
      <w:r w:rsidRPr="00CC19F7">
        <w:t>faktorane</w:t>
      </w:r>
      <w:proofErr w:type="spellEnd"/>
      <w:r w:rsidRPr="00CC19F7">
        <w:t xml:space="preserve"> som </w:t>
      </w:r>
      <w:proofErr w:type="spellStart"/>
      <w:r w:rsidRPr="00CC19F7">
        <w:t>førebygger</w:t>
      </w:r>
      <w:proofErr w:type="spellEnd"/>
      <w:r w:rsidRPr="00CC19F7">
        <w:t xml:space="preserve"> </w:t>
      </w:r>
      <w:proofErr w:type="spellStart"/>
      <w:r w:rsidRPr="00CC19F7">
        <w:t>personskadar</w:t>
      </w:r>
      <w:proofErr w:type="spellEnd"/>
      <w:r w:rsidRPr="00CC19F7">
        <w:t xml:space="preserve"> og storulykker, vil ofte også kunne bidra til å </w:t>
      </w:r>
      <w:proofErr w:type="spellStart"/>
      <w:r w:rsidRPr="00CC19F7">
        <w:t>førebygge</w:t>
      </w:r>
      <w:proofErr w:type="spellEnd"/>
      <w:r w:rsidRPr="00CC19F7">
        <w:t xml:space="preserve"> ulykker som kan føre til </w:t>
      </w:r>
      <w:proofErr w:type="spellStart"/>
      <w:r w:rsidRPr="00CC19F7">
        <w:t>forureining</w:t>
      </w:r>
      <w:proofErr w:type="spellEnd"/>
      <w:r w:rsidRPr="00CC19F7">
        <w:t xml:space="preserve"> knytt til </w:t>
      </w:r>
      <w:proofErr w:type="spellStart"/>
      <w:r w:rsidRPr="00CC19F7">
        <w:t>petroleumsverksemda</w:t>
      </w:r>
      <w:proofErr w:type="spellEnd"/>
      <w:r w:rsidRPr="00CC19F7">
        <w:t xml:space="preserve">. Ulykker kan ramme både menneske, miljø og materielle </w:t>
      </w:r>
      <w:proofErr w:type="spellStart"/>
      <w:r w:rsidRPr="00CC19F7">
        <w:t>verdiar</w:t>
      </w:r>
      <w:proofErr w:type="spellEnd"/>
      <w:r w:rsidRPr="00CC19F7">
        <w:t xml:space="preserve">, og det er </w:t>
      </w:r>
      <w:proofErr w:type="spellStart"/>
      <w:r w:rsidRPr="00CC19F7">
        <w:t>dei</w:t>
      </w:r>
      <w:proofErr w:type="spellEnd"/>
      <w:r w:rsidRPr="00CC19F7">
        <w:t xml:space="preserve"> same </w:t>
      </w:r>
      <w:proofErr w:type="spellStart"/>
      <w:r w:rsidRPr="00CC19F7">
        <w:t>førebyggingsmekanismane</w:t>
      </w:r>
      <w:proofErr w:type="spellEnd"/>
      <w:r w:rsidRPr="00CC19F7">
        <w:t xml:space="preserve"> som kan hindre ulykker, uavhengig av kva eller kven som kan bli ramma. Det er </w:t>
      </w:r>
      <w:proofErr w:type="spellStart"/>
      <w:r w:rsidRPr="00CC19F7">
        <w:t>dei</w:t>
      </w:r>
      <w:proofErr w:type="spellEnd"/>
      <w:r w:rsidRPr="00CC19F7">
        <w:t xml:space="preserve"> enkelte petroleumsselskapa som er </w:t>
      </w:r>
      <w:proofErr w:type="spellStart"/>
      <w:r w:rsidRPr="00CC19F7">
        <w:t>ansvarlege</w:t>
      </w:r>
      <w:proofErr w:type="spellEnd"/>
      <w:r w:rsidRPr="00CC19F7">
        <w:t xml:space="preserve"> for at krava til helse, miljø, </w:t>
      </w:r>
      <w:proofErr w:type="spellStart"/>
      <w:r w:rsidRPr="00CC19F7">
        <w:t>sikkerheit</w:t>
      </w:r>
      <w:proofErr w:type="spellEnd"/>
      <w:r w:rsidRPr="00CC19F7">
        <w:t xml:space="preserve"> og sikring blir </w:t>
      </w:r>
      <w:proofErr w:type="spellStart"/>
      <w:r w:rsidRPr="00CC19F7">
        <w:t>følgde</w:t>
      </w:r>
      <w:proofErr w:type="spellEnd"/>
      <w:r w:rsidRPr="00CC19F7">
        <w:t xml:space="preserve"> opp. </w:t>
      </w:r>
      <w:proofErr w:type="spellStart"/>
      <w:r w:rsidRPr="00CC19F7">
        <w:t>Førebygging</w:t>
      </w:r>
      <w:proofErr w:type="spellEnd"/>
      <w:r w:rsidRPr="00CC19F7">
        <w:t xml:space="preserve"> av ulykker og uønskte </w:t>
      </w:r>
      <w:proofErr w:type="spellStart"/>
      <w:r w:rsidRPr="00CC19F7">
        <w:t>hendingar</w:t>
      </w:r>
      <w:proofErr w:type="spellEnd"/>
      <w:r w:rsidRPr="00CC19F7">
        <w:t xml:space="preserve"> som kan føre til </w:t>
      </w:r>
      <w:proofErr w:type="spellStart"/>
      <w:r w:rsidRPr="00CC19F7">
        <w:t>forureining</w:t>
      </w:r>
      <w:proofErr w:type="spellEnd"/>
      <w:r w:rsidRPr="00CC19F7">
        <w:t xml:space="preserve"> </w:t>
      </w:r>
      <w:proofErr w:type="spellStart"/>
      <w:r w:rsidRPr="00CC19F7">
        <w:t>frå</w:t>
      </w:r>
      <w:proofErr w:type="spellEnd"/>
      <w:r w:rsidRPr="00CC19F7">
        <w:t xml:space="preserve"> </w:t>
      </w:r>
      <w:proofErr w:type="spellStart"/>
      <w:r w:rsidRPr="00CC19F7">
        <w:t>petroleumsverksemda</w:t>
      </w:r>
      <w:proofErr w:type="spellEnd"/>
      <w:r w:rsidRPr="00CC19F7">
        <w:t xml:space="preserve">, </w:t>
      </w:r>
      <w:proofErr w:type="spellStart"/>
      <w:r w:rsidRPr="00CC19F7">
        <w:t>utgjer</w:t>
      </w:r>
      <w:proofErr w:type="spellEnd"/>
      <w:r w:rsidRPr="00CC19F7">
        <w:t xml:space="preserve"> </w:t>
      </w:r>
      <w:proofErr w:type="spellStart"/>
      <w:r w:rsidRPr="00CC19F7">
        <w:t>eit</w:t>
      </w:r>
      <w:proofErr w:type="spellEnd"/>
      <w:r w:rsidRPr="00CC19F7">
        <w:t xml:space="preserve"> viktig bidrag i arbeidet med klima og i det å vareta miljøomsyn.</w:t>
      </w:r>
    </w:p>
    <w:p w14:paraId="64CD51BC" w14:textId="77777777" w:rsidR="00FE02EF" w:rsidRPr="00CC19F7" w:rsidRDefault="00881E58" w:rsidP="00CC19F7">
      <w:proofErr w:type="spellStart"/>
      <w:r w:rsidRPr="00CC19F7">
        <w:t>Eit</w:t>
      </w:r>
      <w:proofErr w:type="spellEnd"/>
      <w:r w:rsidRPr="00CC19F7">
        <w:t xml:space="preserve"> viktig mål i energipolitikken er å sikre </w:t>
      </w:r>
      <w:proofErr w:type="spellStart"/>
      <w:r w:rsidRPr="00CC19F7">
        <w:t>ein</w:t>
      </w:r>
      <w:proofErr w:type="spellEnd"/>
      <w:r w:rsidRPr="00CC19F7">
        <w:t xml:space="preserve"> god, langsiktig og </w:t>
      </w:r>
      <w:proofErr w:type="spellStart"/>
      <w:r w:rsidRPr="00CC19F7">
        <w:t>berekraftig</w:t>
      </w:r>
      <w:proofErr w:type="spellEnd"/>
      <w:r w:rsidRPr="00CC19F7">
        <w:t xml:space="preserve"> forvaltning av våre fornybare </w:t>
      </w:r>
      <w:proofErr w:type="spellStart"/>
      <w:r w:rsidRPr="00CC19F7">
        <w:t>ressursar</w:t>
      </w:r>
      <w:proofErr w:type="spellEnd"/>
      <w:r w:rsidRPr="00CC19F7">
        <w:t xml:space="preserve">. For å styrke utviklinga av </w:t>
      </w:r>
      <w:proofErr w:type="spellStart"/>
      <w:r w:rsidRPr="00CC19F7">
        <w:t>miljøvennleg</w:t>
      </w:r>
      <w:proofErr w:type="spellEnd"/>
      <w:r w:rsidRPr="00CC19F7">
        <w:t xml:space="preserve"> produksjon og bruk av energi, er det viktig å ha langsiktige og stabile rammevilkår.</w:t>
      </w:r>
    </w:p>
    <w:p w14:paraId="33C58917" w14:textId="77777777" w:rsidR="00FE02EF" w:rsidRPr="00CC19F7" w:rsidRDefault="00881E58" w:rsidP="00CC19F7">
      <w:proofErr w:type="spellStart"/>
      <w:r w:rsidRPr="00CC19F7">
        <w:t>Fleire</w:t>
      </w:r>
      <w:proofErr w:type="spellEnd"/>
      <w:r w:rsidRPr="00CC19F7">
        <w:t xml:space="preserve"> </w:t>
      </w:r>
      <w:proofErr w:type="spellStart"/>
      <w:r w:rsidRPr="00CC19F7">
        <w:t>verkemiddel</w:t>
      </w:r>
      <w:proofErr w:type="spellEnd"/>
      <w:r w:rsidRPr="00CC19F7">
        <w:t xml:space="preserve"> bidrar i utviklinga av energisystema for framtida og </w:t>
      </w:r>
      <w:proofErr w:type="spellStart"/>
      <w:r w:rsidRPr="00CC19F7">
        <w:t>lågutsleppssamfunnet</w:t>
      </w:r>
      <w:proofErr w:type="spellEnd"/>
      <w:r w:rsidRPr="00CC19F7">
        <w:t xml:space="preserve">, først og fremst miljøavgifter, direkte </w:t>
      </w:r>
      <w:proofErr w:type="spellStart"/>
      <w:r w:rsidRPr="00CC19F7">
        <w:t>reguleringar</w:t>
      </w:r>
      <w:proofErr w:type="spellEnd"/>
      <w:r w:rsidRPr="00CC19F7">
        <w:t xml:space="preserve"> og </w:t>
      </w:r>
      <w:proofErr w:type="spellStart"/>
      <w:r w:rsidRPr="00CC19F7">
        <w:t>støtteordningar</w:t>
      </w:r>
      <w:proofErr w:type="spellEnd"/>
      <w:r w:rsidRPr="00CC19F7">
        <w:t>.</w:t>
      </w:r>
    </w:p>
    <w:p w14:paraId="3C29117F" w14:textId="77777777" w:rsidR="00FE02EF" w:rsidRPr="00CC19F7" w:rsidRDefault="00881E58" w:rsidP="00CC19F7">
      <w:r w:rsidRPr="00CC19F7">
        <w:t xml:space="preserve">Regjeringa vil fremme </w:t>
      </w:r>
      <w:proofErr w:type="spellStart"/>
      <w:r w:rsidRPr="00CC19F7">
        <w:t>ein</w:t>
      </w:r>
      <w:proofErr w:type="spellEnd"/>
      <w:r w:rsidRPr="00CC19F7">
        <w:t xml:space="preserve"> effektiv, klima- og </w:t>
      </w:r>
      <w:proofErr w:type="spellStart"/>
      <w:r w:rsidRPr="00CC19F7">
        <w:t>miljøvennleg</w:t>
      </w:r>
      <w:proofErr w:type="spellEnd"/>
      <w:r w:rsidRPr="00CC19F7">
        <w:t xml:space="preserve"> og sikker energiproduksjon og sikre ei </w:t>
      </w:r>
      <w:proofErr w:type="spellStart"/>
      <w:r w:rsidRPr="00CC19F7">
        <w:t>berekraftig</w:t>
      </w:r>
      <w:proofErr w:type="spellEnd"/>
      <w:r w:rsidRPr="00CC19F7">
        <w:t xml:space="preserve"> forvaltning av naturen. Det er viktig at utbygginga av fornybar kraft skjer </w:t>
      </w:r>
      <w:proofErr w:type="spellStart"/>
      <w:r w:rsidRPr="00CC19F7">
        <w:t>utan</w:t>
      </w:r>
      <w:proofErr w:type="spellEnd"/>
      <w:r w:rsidRPr="00CC19F7">
        <w:t xml:space="preserve"> at store </w:t>
      </w:r>
      <w:proofErr w:type="spellStart"/>
      <w:r w:rsidRPr="00CC19F7">
        <w:t>verdiar</w:t>
      </w:r>
      <w:proofErr w:type="spellEnd"/>
      <w:r w:rsidRPr="00CC19F7">
        <w:t xml:space="preserve"> knytte til mellom anna </w:t>
      </w:r>
      <w:proofErr w:type="spellStart"/>
      <w:r w:rsidRPr="00CC19F7">
        <w:t>naturmangfald</w:t>
      </w:r>
      <w:proofErr w:type="spellEnd"/>
      <w:r w:rsidRPr="00CC19F7">
        <w:t xml:space="preserve"> eller landskap går tapt.</w:t>
      </w:r>
    </w:p>
    <w:p w14:paraId="0E90FC52" w14:textId="77777777" w:rsidR="00FE02EF" w:rsidRPr="00CC19F7" w:rsidRDefault="00881E58" w:rsidP="00CC19F7">
      <w:r w:rsidRPr="00CC19F7">
        <w:t xml:space="preserve">I Meld. St. 11 (2021–2022) </w:t>
      </w:r>
      <w:r w:rsidRPr="00CC19F7">
        <w:rPr>
          <w:rStyle w:val="kursiv"/>
        </w:rPr>
        <w:t>Tilleggsmelding til Meld. St. 36 (2020–2021) Energi til arbeid – langsiktig verdiskaping fra norske energiressurser</w:t>
      </w:r>
      <w:r w:rsidRPr="00CC19F7">
        <w:t xml:space="preserve">, </w:t>
      </w:r>
      <w:proofErr w:type="spellStart"/>
      <w:r w:rsidRPr="00CC19F7">
        <w:t>klargjer</w:t>
      </w:r>
      <w:proofErr w:type="spellEnd"/>
      <w:r w:rsidRPr="00CC19F7">
        <w:t xml:space="preserve"> regjeringa </w:t>
      </w:r>
      <w:proofErr w:type="spellStart"/>
      <w:r w:rsidRPr="00CC19F7">
        <w:t>ambisjonane</w:t>
      </w:r>
      <w:proofErr w:type="spellEnd"/>
      <w:r w:rsidRPr="00CC19F7">
        <w:t xml:space="preserve"> og </w:t>
      </w:r>
      <w:proofErr w:type="spellStart"/>
      <w:r w:rsidRPr="00CC19F7">
        <w:t>prioriteringane</w:t>
      </w:r>
      <w:proofErr w:type="spellEnd"/>
      <w:r w:rsidRPr="00CC19F7">
        <w:t xml:space="preserve"> sine i energipolitikken. Regjeringa vil føre </w:t>
      </w:r>
      <w:proofErr w:type="spellStart"/>
      <w:r w:rsidRPr="00CC19F7">
        <w:t>ein</w:t>
      </w:r>
      <w:proofErr w:type="spellEnd"/>
      <w:r w:rsidRPr="00CC19F7">
        <w:t xml:space="preserve"> energipolitikk som bidrar til </w:t>
      </w:r>
      <w:proofErr w:type="spellStart"/>
      <w:r w:rsidRPr="00CC19F7">
        <w:t>auka</w:t>
      </w:r>
      <w:proofErr w:type="spellEnd"/>
      <w:r w:rsidRPr="00CC19F7">
        <w:t xml:space="preserve"> verdiskaping og innfrir </w:t>
      </w:r>
      <w:proofErr w:type="spellStart"/>
      <w:r w:rsidRPr="00CC19F7">
        <w:t>Noregs</w:t>
      </w:r>
      <w:proofErr w:type="spellEnd"/>
      <w:r w:rsidRPr="00CC19F7">
        <w:t xml:space="preserve"> internasjonale </w:t>
      </w:r>
      <w:proofErr w:type="spellStart"/>
      <w:r w:rsidRPr="00CC19F7">
        <w:t>klimaforpliktingar</w:t>
      </w:r>
      <w:proofErr w:type="spellEnd"/>
      <w:r w:rsidRPr="00CC19F7">
        <w:t xml:space="preserve">. Regjeringa vil utvikle norsk petroleumsnæring. Regjeringa ønsker </w:t>
      </w:r>
      <w:proofErr w:type="spellStart"/>
      <w:r w:rsidRPr="00CC19F7">
        <w:t>eit</w:t>
      </w:r>
      <w:proofErr w:type="spellEnd"/>
      <w:r w:rsidRPr="00CC19F7">
        <w:t xml:space="preserve"> stabilt aktivitetsnivå på norsk sokkel, med </w:t>
      </w:r>
      <w:proofErr w:type="spellStart"/>
      <w:r w:rsidRPr="00CC19F7">
        <w:t>auka</w:t>
      </w:r>
      <w:proofErr w:type="spellEnd"/>
      <w:r w:rsidRPr="00CC19F7">
        <w:t xml:space="preserve"> innslag av nye </w:t>
      </w:r>
      <w:proofErr w:type="spellStart"/>
      <w:r w:rsidRPr="00CC19F7">
        <w:t>næringar</w:t>
      </w:r>
      <w:proofErr w:type="spellEnd"/>
      <w:r w:rsidRPr="00CC19F7">
        <w:t xml:space="preserve"> knytte til CO</w:t>
      </w:r>
      <w:r w:rsidRPr="00CC19F7">
        <w:rPr>
          <w:rStyle w:val="skrift-senket"/>
        </w:rPr>
        <w:t>2</w:t>
      </w:r>
      <w:r w:rsidRPr="00CC19F7">
        <w:t xml:space="preserve">-handtering, hydrogen, havvind, havbruk og mineralutvinning. I tilleggsmeldinga presenterer regjeringa korleis ho vil satse på nye, </w:t>
      </w:r>
      <w:proofErr w:type="spellStart"/>
      <w:r w:rsidRPr="00CC19F7">
        <w:t>grøne</w:t>
      </w:r>
      <w:proofErr w:type="spellEnd"/>
      <w:r w:rsidRPr="00CC19F7">
        <w:t xml:space="preserve"> </w:t>
      </w:r>
      <w:proofErr w:type="spellStart"/>
      <w:r w:rsidRPr="00CC19F7">
        <w:t>næringar</w:t>
      </w:r>
      <w:proofErr w:type="spellEnd"/>
      <w:r w:rsidRPr="00CC19F7">
        <w:t>, som hydrogen, havvind, CO</w:t>
      </w:r>
      <w:r w:rsidRPr="00CC19F7">
        <w:rPr>
          <w:rStyle w:val="skrift-senket"/>
        </w:rPr>
        <w:t>2</w:t>
      </w:r>
      <w:r w:rsidRPr="00CC19F7">
        <w:t xml:space="preserve">-handtering og ei framtidsretta olje- og gassnæring med låge utslepp. Dette blir </w:t>
      </w:r>
      <w:proofErr w:type="spellStart"/>
      <w:r w:rsidRPr="00CC19F7">
        <w:t>no</w:t>
      </w:r>
      <w:proofErr w:type="spellEnd"/>
      <w:r w:rsidRPr="00CC19F7">
        <w:t xml:space="preserve"> </w:t>
      </w:r>
      <w:proofErr w:type="spellStart"/>
      <w:r w:rsidRPr="00CC19F7">
        <w:t>følgt</w:t>
      </w:r>
      <w:proofErr w:type="spellEnd"/>
      <w:r w:rsidRPr="00CC19F7">
        <w:t xml:space="preserve"> opp. Regjeringa har </w:t>
      </w:r>
      <w:proofErr w:type="spellStart"/>
      <w:r w:rsidRPr="00CC19F7">
        <w:t>følgt</w:t>
      </w:r>
      <w:proofErr w:type="spellEnd"/>
      <w:r w:rsidRPr="00CC19F7">
        <w:t xml:space="preserve"> opp tilleggsmeldinga langs </w:t>
      </w:r>
      <w:proofErr w:type="spellStart"/>
      <w:r w:rsidRPr="00CC19F7">
        <w:t>fleire</w:t>
      </w:r>
      <w:proofErr w:type="spellEnd"/>
      <w:r w:rsidRPr="00CC19F7">
        <w:t xml:space="preserve"> spor. Mellom anna har regjeringa fremma </w:t>
      </w:r>
      <w:proofErr w:type="spellStart"/>
      <w:r w:rsidRPr="00CC19F7">
        <w:t>ein</w:t>
      </w:r>
      <w:proofErr w:type="spellEnd"/>
      <w:r w:rsidRPr="00CC19F7">
        <w:t xml:space="preserve"> proposisjon for Stortinget med forslag til støtteordning for første fase av </w:t>
      </w:r>
      <w:proofErr w:type="spellStart"/>
      <w:r w:rsidRPr="00CC19F7">
        <w:t>Sørlege</w:t>
      </w:r>
      <w:proofErr w:type="spellEnd"/>
      <w:r w:rsidRPr="00CC19F7">
        <w:t xml:space="preserve"> </w:t>
      </w:r>
      <w:proofErr w:type="spellStart"/>
      <w:r w:rsidRPr="00CC19F7">
        <w:t>Nordsjø</w:t>
      </w:r>
      <w:proofErr w:type="spellEnd"/>
      <w:r w:rsidRPr="00CC19F7">
        <w:t xml:space="preserve"> II, jf. </w:t>
      </w:r>
      <w:proofErr w:type="spellStart"/>
      <w:r w:rsidRPr="00CC19F7">
        <w:t>Prop</w:t>
      </w:r>
      <w:proofErr w:type="spellEnd"/>
      <w:r w:rsidRPr="00CC19F7">
        <w:t xml:space="preserve">. 93 S (2022–2023) </w:t>
      </w:r>
      <w:r w:rsidRPr="00CC19F7">
        <w:rPr>
          <w:rStyle w:val="kursiv"/>
        </w:rPr>
        <w:t xml:space="preserve">Fullmakt til å inngå </w:t>
      </w:r>
      <w:proofErr w:type="spellStart"/>
      <w:r w:rsidRPr="00CC19F7">
        <w:rPr>
          <w:rStyle w:val="kursiv"/>
        </w:rPr>
        <w:t>ein</w:t>
      </w:r>
      <w:proofErr w:type="spellEnd"/>
      <w:r w:rsidRPr="00CC19F7">
        <w:rPr>
          <w:rStyle w:val="kursiv"/>
        </w:rPr>
        <w:t xml:space="preserve"> tosidig differansekontrakt for støtte til fornybar energiproduksjon til havs </w:t>
      </w:r>
      <w:proofErr w:type="spellStart"/>
      <w:r w:rsidRPr="00CC19F7">
        <w:rPr>
          <w:rStyle w:val="kursiv"/>
        </w:rPr>
        <w:t>frå</w:t>
      </w:r>
      <w:proofErr w:type="spellEnd"/>
      <w:r w:rsidRPr="00CC19F7">
        <w:rPr>
          <w:rStyle w:val="kursiv"/>
        </w:rPr>
        <w:t xml:space="preserve"> første fase av </w:t>
      </w:r>
      <w:proofErr w:type="spellStart"/>
      <w:r w:rsidRPr="00CC19F7">
        <w:rPr>
          <w:rStyle w:val="kursiv"/>
        </w:rPr>
        <w:t>Sørlege</w:t>
      </w:r>
      <w:proofErr w:type="spellEnd"/>
      <w:r w:rsidRPr="00CC19F7">
        <w:rPr>
          <w:rStyle w:val="kursiv"/>
        </w:rPr>
        <w:t xml:space="preserve"> </w:t>
      </w:r>
      <w:proofErr w:type="spellStart"/>
      <w:r w:rsidRPr="00CC19F7">
        <w:rPr>
          <w:rStyle w:val="kursiv"/>
        </w:rPr>
        <w:t>Nordsjø</w:t>
      </w:r>
      <w:proofErr w:type="spellEnd"/>
      <w:r w:rsidRPr="00CC19F7">
        <w:rPr>
          <w:rStyle w:val="kursiv"/>
        </w:rPr>
        <w:t xml:space="preserve"> II</w:t>
      </w:r>
      <w:r w:rsidRPr="00CC19F7">
        <w:t xml:space="preserve"> og </w:t>
      </w:r>
      <w:proofErr w:type="spellStart"/>
      <w:r w:rsidRPr="00CC19F7">
        <w:t>Innst</w:t>
      </w:r>
      <w:proofErr w:type="spellEnd"/>
      <w:r w:rsidRPr="00CC19F7">
        <w:t>. 496 S (2022–2023).</w:t>
      </w:r>
    </w:p>
    <w:p w14:paraId="6B2C9EB1" w14:textId="77777777" w:rsidR="00FE02EF" w:rsidRPr="00CC19F7" w:rsidRDefault="00881E58" w:rsidP="00CC19F7">
      <w:r w:rsidRPr="00CC19F7">
        <w:t xml:space="preserve">I Stortingets behandling av Meld. St. 28 (2019–2020) </w:t>
      </w:r>
      <w:r w:rsidRPr="00CC19F7">
        <w:rPr>
          <w:rStyle w:val="kursiv"/>
        </w:rPr>
        <w:t>Vindkraft på land – Endringer i konsesjonsbehandlingen</w:t>
      </w:r>
      <w:r w:rsidRPr="00CC19F7">
        <w:t xml:space="preserve"> er det stadfesta </w:t>
      </w:r>
      <w:proofErr w:type="spellStart"/>
      <w:r w:rsidRPr="00CC19F7">
        <w:t>fleire</w:t>
      </w:r>
      <w:proofErr w:type="spellEnd"/>
      <w:r w:rsidRPr="00CC19F7">
        <w:t xml:space="preserve"> tiltak for å stramme inn behandlinga av </w:t>
      </w:r>
      <w:proofErr w:type="spellStart"/>
      <w:r w:rsidRPr="00CC19F7">
        <w:t>vindkraftkonsesjonar</w:t>
      </w:r>
      <w:proofErr w:type="spellEnd"/>
      <w:r w:rsidRPr="00CC19F7">
        <w:t xml:space="preserve">, mellom anna at det skal </w:t>
      </w:r>
      <w:proofErr w:type="spellStart"/>
      <w:r w:rsidRPr="00CC19F7">
        <w:t>leggast</w:t>
      </w:r>
      <w:proofErr w:type="spellEnd"/>
      <w:r w:rsidRPr="00CC19F7">
        <w:t xml:space="preserve"> større vekt på omsynet til miljø og landskap ved utbygging av vindkraft på land. Kunnskapsgrunnlaget om miljø og andre samfunnsinteresser er oppdatert i </w:t>
      </w:r>
      <w:proofErr w:type="spellStart"/>
      <w:r w:rsidRPr="00CC19F7">
        <w:t>eit</w:t>
      </w:r>
      <w:proofErr w:type="spellEnd"/>
      <w:r w:rsidRPr="00CC19F7">
        <w:t xml:space="preserve"> samarbeid mellom ulike </w:t>
      </w:r>
      <w:proofErr w:type="spellStart"/>
      <w:r w:rsidRPr="00CC19F7">
        <w:t>statlege</w:t>
      </w:r>
      <w:proofErr w:type="spellEnd"/>
      <w:r w:rsidRPr="00CC19F7">
        <w:t xml:space="preserve"> </w:t>
      </w:r>
      <w:proofErr w:type="spellStart"/>
      <w:r w:rsidRPr="00CC19F7">
        <w:t>etatar</w:t>
      </w:r>
      <w:proofErr w:type="spellEnd"/>
      <w:r w:rsidRPr="00CC19F7">
        <w:t xml:space="preserve">. I juni 2023 slutta Stortinget seg til regjeringas forslag om </w:t>
      </w:r>
      <w:proofErr w:type="spellStart"/>
      <w:r w:rsidRPr="00CC19F7">
        <w:t>endringar</w:t>
      </w:r>
      <w:proofErr w:type="spellEnd"/>
      <w:r w:rsidRPr="00CC19F7">
        <w:t xml:space="preserve"> i energilova og plan- og bygningslova knytte til vindkraft på land, jf. </w:t>
      </w:r>
      <w:proofErr w:type="spellStart"/>
      <w:r w:rsidRPr="00CC19F7">
        <w:t>Prop</w:t>
      </w:r>
      <w:proofErr w:type="spellEnd"/>
      <w:r w:rsidRPr="00CC19F7">
        <w:t xml:space="preserve">. 111 L (2022–2023) og </w:t>
      </w:r>
      <w:proofErr w:type="spellStart"/>
      <w:r w:rsidRPr="00CC19F7">
        <w:t>Innst</w:t>
      </w:r>
      <w:proofErr w:type="spellEnd"/>
      <w:r w:rsidRPr="00CC19F7">
        <w:t xml:space="preserve">. 483 L (2022–2023). Det skal framover </w:t>
      </w:r>
      <w:proofErr w:type="spellStart"/>
      <w:r w:rsidRPr="00CC19F7">
        <w:t>vere</w:t>
      </w:r>
      <w:proofErr w:type="spellEnd"/>
      <w:r w:rsidRPr="00CC19F7">
        <w:t xml:space="preserve"> ei overordna kommunal områderegulering før </w:t>
      </w:r>
      <w:proofErr w:type="spellStart"/>
      <w:r w:rsidRPr="00CC19F7">
        <w:t>eit</w:t>
      </w:r>
      <w:proofErr w:type="spellEnd"/>
      <w:r w:rsidRPr="00CC19F7">
        <w:t xml:space="preserve"> konsesjonsvedtak blir gitt. Dette skal gi betre lokal forankring og styrke </w:t>
      </w:r>
      <w:proofErr w:type="spellStart"/>
      <w:r w:rsidRPr="00CC19F7">
        <w:t>kommunane</w:t>
      </w:r>
      <w:proofErr w:type="spellEnd"/>
      <w:r w:rsidRPr="00CC19F7">
        <w:t xml:space="preserve"> </w:t>
      </w:r>
      <w:proofErr w:type="spellStart"/>
      <w:r w:rsidRPr="00CC19F7">
        <w:t>si</w:t>
      </w:r>
      <w:proofErr w:type="spellEnd"/>
      <w:r w:rsidRPr="00CC19F7">
        <w:t xml:space="preserve"> rolle i prosessen når det </w:t>
      </w:r>
      <w:proofErr w:type="spellStart"/>
      <w:r w:rsidRPr="00CC19F7">
        <w:t>gjeld</w:t>
      </w:r>
      <w:proofErr w:type="spellEnd"/>
      <w:r w:rsidRPr="00CC19F7">
        <w:t xml:space="preserve"> vindkraft på land.</w:t>
      </w:r>
    </w:p>
    <w:p w14:paraId="29D0E264" w14:textId="77777777" w:rsidR="00FE02EF" w:rsidRPr="00CC19F7" w:rsidRDefault="00881E58" w:rsidP="00CC19F7">
      <w:r w:rsidRPr="00CC19F7">
        <w:t xml:space="preserve">Regjeringa har sett i gang ei storstilt satsing på havvind i </w:t>
      </w:r>
      <w:proofErr w:type="spellStart"/>
      <w:r w:rsidRPr="00CC19F7">
        <w:t>Noreg</w:t>
      </w:r>
      <w:proofErr w:type="spellEnd"/>
      <w:r w:rsidRPr="00CC19F7">
        <w:t xml:space="preserve">. Konkurranse om </w:t>
      </w:r>
      <w:proofErr w:type="spellStart"/>
      <w:r w:rsidRPr="00CC19F7">
        <w:t>dei</w:t>
      </w:r>
      <w:proofErr w:type="spellEnd"/>
      <w:r w:rsidRPr="00CC19F7">
        <w:t xml:space="preserve"> første prosjektområda i Utsira Nord og </w:t>
      </w:r>
      <w:proofErr w:type="spellStart"/>
      <w:r w:rsidRPr="00CC19F7">
        <w:t>Sørlege</w:t>
      </w:r>
      <w:proofErr w:type="spellEnd"/>
      <w:r w:rsidRPr="00CC19F7">
        <w:t xml:space="preserve"> </w:t>
      </w:r>
      <w:proofErr w:type="spellStart"/>
      <w:r w:rsidRPr="00CC19F7">
        <w:t>Nordsjø</w:t>
      </w:r>
      <w:proofErr w:type="spellEnd"/>
      <w:r w:rsidRPr="00CC19F7">
        <w:t xml:space="preserve"> II blei lyst ut i første kvartal 2023. </w:t>
      </w:r>
      <w:proofErr w:type="spellStart"/>
      <w:r w:rsidRPr="00CC19F7">
        <w:t>Noregs</w:t>
      </w:r>
      <w:proofErr w:type="spellEnd"/>
      <w:r w:rsidRPr="00CC19F7">
        <w:t xml:space="preserve"> vassdrags- og energidirektorat har </w:t>
      </w:r>
      <w:proofErr w:type="spellStart"/>
      <w:r w:rsidRPr="00CC19F7">
        <w:t>saman</w:t>
      </w:r>
      <w:proofErr w:type="spellEnd"/>
      <w:r w:rsidRPr="00CC19F7">
        <w:t xml:space="preserve"> med ei breitt samansett </w:t>
      </w:r>
      <w:proofErr w:type="spellStart"/>
      <w:r w:rsidRPr="00CC19F7">
        <w:t>direktoratsgruppe</w:t>
      </w:r>
      <w:proofErr w:type="spellEnd"/>
      <w:r w:rsidRPr="00CC19F7">
        <w:t xml:space="preserve"> identifisert nye område som kan eigne seg for havvind. Det skal etter havenergilova </w:t>
      </w:r>
      <w:proofErr w:type="spellStart"/>
      <w:r w:rsidRPr="00CC19F7">
        <w:t>gjennomførast</w:t>
      </w:r>
      <w:proofErr w:type="spellEnd"/>
      <w:r w:rsidRPr="00CC19F7">
        <w:t xml:space="preserve"> ei konsekvensutgreiing av områda før ei eventuell </w:t>
      </w:r>
      <w:proofErr w:type="spellStart"/>
      <w:r w:rsidRPr="00CC19F7">
        <w:t>opning</w:t>
      </w:r>
      <w:proofErr w:type="spellEnd"/>
      <w:r w:rsidRPr="00CC19F7">
        <w:t xml:space="preserve">. Neste runde med utlysing av prosjektområde er </w:t>
      </w:r>
      <w:proofErr w:type="spellStart"/>
      <w:r w:rsidRPr="00CC19F7">
        <w:t>planlagd</w:t>
      </w:r>
      <w:proofErr w:type="spellEnd"/>
      <w:r w:rsidRPr="00CC19F7">
        <w:t xml:space="preserve"> i 2025.</w:t>
      </w:r>
    </w:p>
    <w:p w14:paraId="4D89D3FE" w14:textId="77777777" w:rsidR="00FE02EF" w:rsidRPr="00CC19F7" w:rsidRDefault="00881E58" w:rsidP="00CC19F7">
      <w:r w:rsidRPr="00CC19F7">
        <w:t xml:space="preserve">Forsking og utvikling er viktig for å nå </w:t>
      </w:r>
      <w:proofErr w:type="spellStart"/>
      <w:r w:rsidRPr="00CC19F7">
        <w:t>dei</w:t>
      </w:r>
      <w:proofErr w:type="spellEnd"/>
      <w:r w:rsidRPr="00CC19F7">
        <w:t xml:space="preserve"> nasjonale klima- og miljømåla. Satsinga </w:t>
      </w:r>
      <w:proofErr w:type="spellStart"/>
      <w:r w:rsidRPr="00CC19F7">
        <w:t>frå</w:t>
      </w:r>
      <w:proofErr w:type="spellEnd"/>
      <w:r w:rsidRPr="00CC19F7">
        <w:t xml:space="preserve"> regjeringas side gir ny kunnskap og kompetanse i petroleums- og energisektoren som blir brukt til å utvikle teknologi og </w:t>
      </w:r>
      <w:proofErr w:type="spellStart"/>
      <w:r w:rsidRPr="00CC19F7">
        <w:t>løysingar</w:t>
      </w:r>
      <w:proofErr w:type="spellEnd"/>
      <w:r w:rsidRPr="00CC19F7">
        <w:t xml:space="preserve"> som reduserer naturinngrep og utslepp av </w:t>
      </w:r>
      <w:proofErr w:type="spellStart"/>
      <w:r w:rsidRPr="00CC19F7">
        <w:t>klimagassar</w:t>
      </w:r>
      <w:proofErr w:type="spellEnd"/>
      <w:r w:rsidRPr="00CC19F7">
        <w:t>.</w:t>
      </w:r>
    </w:p>
    <w:p w14:paraId="3B96A3EC" w14:textId="77777777" w:rsidR="00FE02EF" w:rsidRPr="00CC19F7" w:rsidRDefault="00881E58" w:rsidP="00CC19F7">
      <w:r w:rsidRPr="00CC19F7">
        <w:t xml:space="preserve">Regjeringa </w:t>
      </w:r>
      <w:proofErr w:type="spellStart"/>
      <w:r w:rsidRPr="00CC19F7">
        <w:t>satsar</w:t>
      </w:r>
      <w:proofErr w:type="spellEnd"/>
      <w:r w:rsidRPr="00CC19F7">
        <w:t xml:space="preserve"> breitt på å utvikle </w:t>
      </w:r>
      <w:proofErr w:type="spellStart"/>
      <w:r w:rsidRPr="00CC19F7">
        <w:t>ein</w:t>
      </w:r>
      <w:proofErr w:type="spellEnd"/>
      <w:r w:rsidRPr="00CC19F7">
        <w:t xml:space="preserve"> kostnadseffektiv teknologi for fangst, transport og lagring av CO</w:t>
      </w:r>
      <w:r w:rsidRPr="00CC19F7">
        <w:rPr>
          <w:rStyle w:val="skrift-senket"/>
        </w:rPr>
        <w:t>2</w:t>
      </w:r>
      <w:r w:rsidRPr="00CC19F7">
        <w:t xml:space="preserve">. Stortinget vedtok </w:t>
      </w:r>
      <w:proofErr w:type="spellStart"/>
      <w:r w:rsidRPr="00CC19F7">
        <w:t>hausten</w:t>
      </w:r>
      <w:proofErr w:type="spellEnd"/>
      <w:r w:rsidRPr="00CC19F7">
        <w:t xml:space="preserve"> 2020 å gjennomføre Langskip i tråd med Meld. St. 33 (2019–2020) og </w:t>
      </w:r>
      <w:proofErr w:type="spellStart"/>
      <w:r w:rsidRPr="00CC19F7">
        <w:t>Prop</w:t>
      </w:r>
      <w:proofErr w:type="spellEnd"/>
      <w:r w:rsidRPr="00CC19F7">
        <w:t xml:space="preserve">. 1 S (2020–2021) </w:t>
      </w:r>
      <w:proofErr w:type="spellStart"/>
      <w:r w:rsidRPr="00CC19F7">
        <w:t>frå</w:t>
      </w:r>
      <w:proofErr w:type="spellEnd"/>
      <w:r w:rsidRPr="00CC19F7">
        <w:t xml:space="preserve"> Olje- og energidepartementet. Lagerprosjektet til Northern </w:t>
      </w:r>
      <w:proofErr w:type="spellStart"/>
      <w:r w:rsidRPr="00CC19F7">
        <w:t>Lights</w:t>
      </w:r>
      <w:proofErr w:type="spellEnd"/>
      <w:r w:rsidRPr="00CC19F7">
        <w:t xml:space="preserve"> er i rute til ferdigstilling </w:t>
      </w:r>
      <w:proofErr w:type="spellStart"/>
      <w:r w:rsidRPr="00CC19F7">
        <w:t>hausten</w:t>
      </w:r>
      <w:proofErr w:type="spellEnd"/>
      <w:r w:rsidRPr="00CC19F7">
        <w:t xml:space="preserve"> 2024. Fangstprosjektet til Heidelberg Materials i Brevik (</w:t>
      </w:r>
      <w:proofErr w:type="spellStart"/>
      <w:r w:rsidRPr="00CC19F7">
        <w:t>tidlegare</w:t>
      </w:r>
      <w:proofErr w:type="spellEnd"/>
      <w:r w:rsidRPr="00CC19F7">
        <w:t xml:space="preserve"> Norcem) ligg an til oppstart våren 2025. Prosjektet til Hafslund Oslo </w:t>
      </w:r>
      <w:proofErr w:type="spellStart"/>
      <w:r w:rsidRPr="00CC19F7">
        <w:t>Celsio</w:t>
      </w:r>
      <w:proofErr w:type="spellEnd"/>
      <w:r w:rsidRPr="00CC19F7">
        <w:t xml:space="preserve"> er sett på vent for å redusere kostnadene. Arbeidet med å fremme CO</w:t>
      </w:r>
      <w:r w:rsidRPr="00CC19F7">
        <w:rPr>
          <w:rStyle w:val="skrift-senket"/>
        </w:rPr>
        <w:t>2</w:t>
      </w:r>
      <w:r w:rsidRPr="00CC19F7">
        <w:t xml:space="preserve">-handtering som </w:t>
      </w:r>
      <w:proofErr w:type="spellStart"/>
      <w:r w:rsidRPr="00CC19F7">
        <w:t>eit</w:t>
      </w:r>
      <w:proofErr w:type="spellEnd"/>
      <w:r w:rsidRPr="00CC19F7">
        <w:t xml:space="preserve"> klimatiltak internasjonalt held fram. Departementet vil legge fram ei utgreiing om </w:t>
      </w:r>
      <w:proofErr w:type="spellStart"/>
      <w:r w:rsidRPr="00CC19F7">
        <w:t>verkemiddel</w:t>
      </w:r>
      <w:proofErr w:type="spellEnd"/>
      <w:r w:rsidRPr="00CC19F7">
        <w:t xml:space="preserve"> for CO</w:t>
      </w:r>
      <w:r w:rsidRPr="00CC19F7">
        <w:rPr>
          <w:rStyle w:val="skrift-senket"/>
        </w:rPr>
        <w:t>2</w:t>
      </w:r>
      <w:r w:rsidRPr="00CC19F7">
        <w:t xml:space="preserve">-handtering ved avfallsforbrenning og i industrien. Målet med utgreiinga er å få </w:t>
      </w:r>
      <w:proofErr w:type="spellStart"/>
      <w:r w:rsidRPr="00CC19F7">
        <w:t>eit</w:t>
      </w:r>
      <w:proofErr w:type="spellEnd"/>
      <w:r w:rsidRPr="00CC19F7">
        <w:t xml:space="preserve"> betre kunnskapsgrunnlag om </w:t>
      </w:r>
      <w:proofErr w:type="spellStart"/>
      <w:r w:rsidRPr="00CC19F7">
        <w:t>verkemiddel</w:t>
      </w:r>
      <w:proofErr w:type="spellEnd"/>
      <w:r w:rsidRPr="00CC19F7">
        <w:t xml:space="preserve"> som kan legge til rette for CO</w:t>
      </w:r>
      <w:r w:rsidRPr="00CC19F7">
        <w:rPr>
          <w:rStyle w:val="skrift-senket"/>
        </w:rPr>
        <w:t>2</w:t>
      </w:r>
      <w:r w:rsidRPr="00CC19F7">
        <w:t>-handtering ved avfallsforbrenning og i industrien. Utgreiinga vil ta for seg heile CO</w:t>
      </w:r>
      <w:r w:rsidRPr="00CC19F7">
        <w:rPr>
          <w:rStyle w:val="skrift-senket"/>
        </w:rPr>
        <w:t>2</w:t>
      </w:r>
      <w:r w:rsidRPr="00CC19F7">
        <w:t>-handteringskjeda.</w:t>
      </w:r>
    </w:p>
    <w:p w14:paraId="1D1B56C0" w14:textId="77777777" w:rsidR="00FE02EF" w:rsidRPr="00CC19F7" w:rsidRDefault="00881E58" w:rsidP="00CC19F7">
      <w:r w:rsidRPr="00CC19F7">
        <w:t xml:space="preserve">Regjeringa vil legge til rette for kommersiell og samfunnsøkonomisk </w:t>
      </w:r>
      <w:proofErr w:type="spellStart"/>
      <w:r w:rsidRPr="00CC19F7">
        <w:t>lønnsam</w:t>
      </w:r>
      <w:proofErr w:type="spellEnd"/>
      <w:r w:rsidRPr="00CC19F7">
        <w:t xml:space="preserve"> lagring av CO</w:t>
      </w:r>
      <w:r w:rsidRPr="00CC19F7">
        <w:rPr>
          <w:rStyle w:val="skrift-senket"/>
        </w:rPr>
        <w:t>2</w:t>
      </w:r>
      <w:r w:rsidRPr="00CC19F7">
        <w:t xml:space="preserve"> på norsk kontinentalsokkel gjennom å tildele lagringsareal til selskap med konkrete industrielle planar som </w:t>
      </w:r>
      <w:proofErr w:type="spellStart"/>
      <w:r w:rsidRPr="00CC19F7">
        <w:t>gjer</w:t>
      </w:r>
      <w:proofErr w:type="spellEnd"/>
      <w:r w:rsidRPr="00CC19F7">
        <w:t xml:space="preserve"> at </w:t>
      </w:r>
      <w:proofErr w:type="spellStart"/>
      <w:r w:rsidRPr="00CC19F7">
        <w:t>dei</w:t>
      </w:r>
      <w:proofErr w:type="spellEnd"/>
      <w:r w:rsidRPr="00CC19F7">
        <w:t xml:space="preserve"> har lagringsbehov, ved å behandle relevante søknader om </w:t>
      </w:r>
      <w:proofErr w:type="spellStart"/>
      <w:r w:rsidRPr="00CC19F7">
        <w:t>utbyggingar</w:t>
      </w:r>
      <w:proofErr w:type="spellEnd"/>
      <w:r w:rsidRPr="00CC19F7">
        <w:t xml:space="preserve"> under lagringsforskrifta raskt og effektivt og ved å </w:t>
      </w:r>
      <w:proofErr w:type="spellStart"/>
      <w:r w:rsidRPr="00CC19F7">
        <w:t>halde</w:t>
      </w:r>
      <w:proofErr w:type="spellEnd"/>
      <w:r w:rsidRPr="00CC19F7">
        <w:t xml:space="preserve"> fram med å fremme CO</w:t>
      </w:r>
      <w:r w:rsidRPr="00CC19F7">
        <w:rPr>
          <w:rStyle w:val="skrift-senket"/>
        </w:rPr>
        <w:t>2</w:t>
      </w:r>
      <w:r w:rsidRPr="00CC19F7">
        <w:t xml:space="preserve">-handtering som </w:t>
      </w:r>
      <w:proofErr w:type="spellStart"/>
      <w:r w:rsidRPr="00CC19F7">
        <w:t>eit</w:t>
      </w:r>
      <w:proofErr w:type="spellEnd"/>
      <w:r w:rsidRPr="00CC19F7">
        <w:t xml:space="preserve"> viktig bidrag til å redusere klimagassutsleppa i verda.</w:t>
      </w:r>
    </w:p>
    <w:p w14:paraId="3CDBB833" w14:textId="77777777" w:rsidR="00FE02EF" w:rsidRPr="00CC19F7" w:rsidRDefault="00881E58" w:rsidP="00CC19F7">
      <w:r w:rsidRPr="00CC19F7">
        <w:t xml:space="preserve">Hydrogen kan </w:t>
      </w:r>
      <w:proofErr w:type="spellStart"/>
      <w:r w:rsidRPr="00CC19F7">
        <w:t>vere</w:t>
      </w:r>
      <w:proofErr w:type="spellEnd"/>
      <w:r w:rsidRPr="00CC19F7">
        <w:t xml:space="preserve"> </w:t>
      </w:r>
      <w:proofErr w:type="spellStart"/>
      <w:r w:rsidRPr="00CC19F7">
        <w:t>ein</w:t>
      </w:r>
      <w:proofErr w:type="spellEnd"/>
      <w:r w:rsidRPr="00CC19F7">
        <w:t xml:space="preserve"> låg- eller utsleppsfri </w:t>
      </w:r>
      <w:proofErr w:type="spellStart"/>
      <w:r w:rsidRPr="00CC19F7">
        <w:t>energiberar</w:t>
      </w:r>
      <w:proofErr w:type="spellEnd"/>
      <w:r w:rsidRPr="00CC19F7">
        <w:t xml:space="preserve"> når det blir produsert </w:t>
      </w:r>
      <w:proofErr w:type="spellStart"/>
      <w:r w:rsidRPr="00CC19F7">
        <w:t>frå</w:t>
      </w:r>
      <w:proofErr w:type="spellEnd"/>
      <w:r w:rsidRPr="00CC19F7">
        <w:t xml:space="preserve"> naturgass med CO</w:t>
      </w:r>
      <w:r w:rsidRPr="00CC19F7">
        <w:rPr>
          <w:rStyle w:val="skrift-senket"/>
        </w:rPr>
        <w:t>2</w:t>
      </w:r>
      <w:r w:rsidRPr="00CC19F7">
        <w:t xml:space="preserve">-handtering eller ved elektrolyse av vatn med fornybar kraft. Derfor kan hydrogen </w:t>
      </w:r>
      <w:proofErr w:type="spellStart"/>
      <w:r w:rsidRPr="00CC19F7">
        <w:t>spele</w:t>
      </w:r>
      <w:proofErr w:type="spellEnd"/>
      <w:r w:rsidRPr="00CC19F7">
        <w:t xml:space="preserve"> ei sentral rolle i å redusere klimagassutslepp, </w:t>
      </w:r>
      <w:proofErr w:type="spellStart"/>
      <w:r w:rsidRPr="00CC19F7">
        <w:t>særleg</w:t>
      </w:r>
      <w:proofErr w:type="spellEnd"/>
      <w:r w:rsidRPr="00CC19F7">
        <w:t xml:space="preserve"> på område der direkte elektrifisering og bruk av batteri er </w:t>
      </w:r>
      <w:proofErr w:type="spellStart"/>
      <w:r w:rsidRPr="00CC19F7">
        <w:t>vanskeleg</w:t>
      </w:r>
      <w:proofErr w:type="spellEnd"/>
      <w:r w:rsidRPr="00CC19F7">
        <w:t xml:space="preserve">. </w:t>
      </w:r>
      <w:proofErr w:type="spellStart"/>
      <w:r w:rsidRPr="00CC19F7">
        <w:t>Noreg</w:t>
      </w:r>
      <w:proofErr w:type="spellEnd"/>
      <w:r w:rsidRPr="00CC19F7">
        <w:t xml:space="preserve"> har i utgangspunktet gode </w:t>
      </w:r>
      <w:proofErr w:type="spellStart"/>
      <w:r w:rsidRPr="00CC19F7">
        <w:t>føresetnader</w:t>
      </w:r>
      <w:proofErr w:type="spellEnd"/>
      <w:r w:rsidRPr="00CC19F7">
        <w:t xml:space="preserve"> for å ta del i </w:t>
      </w:r>
      <w:proofErr w:type="spellStart"/>
      <w:r w:rsidRPr="00CC19F7">
        <w:t>ein</w:t>
      </w:r>
      <w:proofErr w:type="spellEnd"/>
      <w:r w:rsidRPr="00CC19F7">
        <w:t xml:space="preserve"> eventuell framtidig </w:t>
      </w:r>
      <w:proofErr w:type="spellStart"/>
      <w:r w:rsidRPr="00CC19F7">
        <w:t>hydrogenmarknad</w:t>
      </w:r>
      <w:proofErr w:type="spellEnd"/>
      <w:r w:rsidRPr="00CC19F7">
        <w:t xml:space="preserve">, med </w:t>
      </w:r>
      <w:proofErr w:type="spellStart"/>
      <w:r w:rsidRPr="00CC19F7">
        <w:t>eit</w:t>
      </w:r>
      <w:proofErr w:type="spellEnd"/>
      <w:r w:rsidRPr="00CC19F7">
        <w:t xml:space="preserve"> sterkt næringsliv og gode forskings- og teknologimiljø. Hydrogen kan dermed på sikt skape </w:t>
      </w:r>
      <w:proofErr w:type="spellStart"/>
      <w:r w:rsidRPr="00CC19F7">
        <w:t>verdiar</w:t>
      </w:r>
      <w:proofErr w:type="spellEnd"/>
      <w:r w:rsidRPr="00CC19F7">
        <w:t xml:space="preserve"> for norsk næringsliv. Regjeringa har lagt fram politikken sin for dette i Meld. St. 11 (2021–2022) </w:t>
      </w:r>
      <w:r w:rsidRPr="00CC19F7">
        <w:rPr>
          <w:rStyle w:val="kursiv"/>
        </w:rPr>
        <w:t>Tilleggsmelding til Meld. St. 36 (2020–2021) Energi til arbeid – langsiktig verdiskaping fra norske energiressurser</w:t>
      </w:r>
      <w:r w:rsidRPr="00CC19F7">
        <w:t xml:space="preserve">. Olje- og energidepartementet mottok i mai 2023 ei </w:t>
      </w:r>
      <w:proofErr w:type="spellStart"/>
      <w:r w:rsidRPr="00CC19F7">
        <w:t>heilskapleg</w:t>
      </w:r>
      <w:proofErr w:type="spellEnd"/>
      <w:r w:rsidRPr="00CC19F7">
        <w:t xml:space="preserve"> utgreiing av verdikjeder for hydrogen, gjennomført av Oslo </w:t>
      </w:r>
      <w:proofErr w:type="spellStart"/>
      <w:r w:rsidRPr="00CC19F7">
        <w:t>Economics</w:t>
      </w:r>
      <w:proofErr w:type="spellEnd"/>
      <w:r w:rsidRPr="00CC19F7">
        <w:t xml:space="preserve">, Sintef og </w:t>
      </w:r>
      <w:proofErr w:type="spellStart"/>
      <w:r w:rsidRPr="00CC19F7">
        <w:t>Greensight</w:t>
      </w:r>
      <w:proofErr w:type="spellEnd"/>
      <w:r w:rsidRPr="00CC19F7">
        <w:t xml:space="preserve">. Utgreiinga viser kva som er </w:t>
      </w:r>
      <w:proofErr w:type="spellStart"/>
      <w:r w:rsidRPr="00CC19F7">
        <w:t>avvegingane</w:t>
      </w:r>
      <w:proofErr w:type="spellEnd"/>
      <w:r w:rsidRPr="00CC19F7">
        <w:t xml:space="preserve"> dersom </w:t>
      </w:r>
      <w:proofErr w:type="spellStart"/>
      <w:r w:rsidRPr="00CC19F7">
        <w:t>Noreg</w:t>
      </w:r>
      <w:proofErr w:type="spellEnd"/>
      <w:r w:rsidRPr="00CC19F7">
        <w:t xml:space="preserve"> skal ta </w:t>
      </w:r>
      <w:proofErr w:type="spellStart"/>
      <w:r w:rsidRPr="00CC19F7">
        <w:t>ein</w:t>
      </w:r>
      <w:proofErr w:type="spellEnd"/>
      <w:r w:rsidRPr="00CC19F7">
        <w:t xml:space="preserve"> posisjon i </w:t>
      </w:r>
      <w:proofErr w:type="spellStart"/>
      <w:r w:rsidRPr="00CC19F7">
        <w:t>ein</w:t>
      </w:r>
      <w:proofErr w:type="spellEnd"/>
      <w:r w:rsidRPr="00CC19F7">
        <w:t xml:space="preserve"> framtidig </w:t>
      </w:r>
      <w:proofErr w:type="spellStart"/>
      <w:r w:rsidRPr="00CC19F7">
        <w:t>hydrogenmarknad</w:t>
      </w:r>
      <w:proofErr w:type="spellEnd"/>
      <w:r w:rsidRPr="00CC19F7">
        <w:t xml:space="preserve">. Dette vil </w:t>
      </w:r>
      <w:proofErr w:type="spellStart"/>
      <w:r w:rsidRPr="00CC19F7">
        <w:t>vere</w:t>
      </w:r>
      <w:proofErr w:type="spellEnd"/>
      <w:r w:rsidRPr="00CC19F7">
        <w:t xml:space="preserve"> </w:t>
      </w:r>
      <w:proofErr w:type="spellStart"/>
      <w:r w:rsidRPr="00CC19F7">
        <w:t>ein</w:t>
      </w:r>
      <w:proofErr w:type="spellEnd"/>
      <w:r w:rsidRPr="00CC19F7">
        <w:t xml:space="preserve"> viktig del av det </w:t>
      </w:r>
      <w:proofErr w:type="spellStart"/>
      <w:r w:rsidRPr="00CC19F7">
        <w:t>faglege</w:t>
      </w:r>
      <w:proofErr w:type="spellEnd"/>
      <w:r w:rsidRPr="00CC19F7">
        <w:t xml:space="preserve"> grunnlaget for korleis staten best kan </w:t>
      </w:r>
      <w:proofErr w:type="spellStart"/>
      <w:r w:rsidRPr="00CC19F7">
        <w:t>medverke</w:t>
      </w:r>
      <w:proofErr w:type="spellEnd"/>
      <w:r w:rsidRPr="00CC19F7">
        <w:t xml:space="preserve"> til oppbygginga av økonomisk </w:t>
      </w:r>
      <w:proofErr w:type="spellStart"/>
      <w:r w:rsidRPr="00CC19F7">
        <w:t>berekraftige</w:t>
      </w:r>
      <w:proofErr w:type="spellEnd"/>
      <w:r w:rsidRPr="00CC19F7">
        <w:t xml:space="preserve"> verdikjeder for hydrogen, mellom anna gjennom det </w:t>
      </w:r>
      <w:proofErr w:type="spellStart"/>
      <w:r w:rsidRPr="00CC19F7">
        <w:t>offentlege</w:t>
      </w:r>
      <w:proofErr w:type="spellEnd"/>
      <w:r w:rsidRPr="00CC19F7">
        <w:t xml:space="preserve"> </w:t>
      </w:r>
      <w:proofErr w:type="spellStart"/>
      <w:r w:rsidRPr="00CC19F7">
        <w:t>verkemiddelapparatet</w:t>
      </w:r>
      <w:proofErr w:type="spellEnd"/>
      <w:r w:rsidRPr="00CC19F7">
        <w:t xml:space="preserve">. I perioden 2020–2022 blei det løyvd om lag 4,7 mrd. kroner til hydrogenprosjekt gjennom </w:t>
      </w:r>
      <w:proofErr w:type="spellStart"/>
      <w:r w:rsidRPr="00CC19F7">
        <w:t>Enova</w:t>
      </w:r>
      <w:proofErr w:type="spellEnd"/>
      <w:r w:rsidRPr="00CC19F7">
        <w:t xml:space="preserve">, </w:t>
      </w:r>
      <w:proofErr w:type="spellStart"/>
      <w:r w:rsidRPr="00CC19F7">
        <w:t>Noregs</w:t>
      </w:r>
      <w:proofErr w:type="spellEnd"/>
      <w:r w:rsidRPr="00CC19F7">
        <w:t xml:space="preserve"> forskingsråd og Innovasjon </w:t>
      </w:r>
      <w:proofErr w:type="spellStart"/>
      <w:r w:rsidRPr="00CC19F7">
        <w:t>Noreg</w:t>
      </w:r>
      <w:proofErr w:type="spellEnd"/>
      <w:r w:rsidRPr="00CC19F7">
        <w:t xml:space="preserve">. Trass i </w:t>
      </w:r>
      <w:proofErr w:type="spellStart"/>
      <w:r w:rsidRPr="00CC19F7">
        <w:t>betydeleg</w:t>
      </w:r>
      <w:proofErr w:type="spellEnd"/>
      <w:r w:rsidRPr="00CC19F7">
        <w:t xml:space="preserve"> </w:t>
      </w:r>
      <w:proofErr w:type="spellStart"/>
      <w:r w:rsidRPr="00CC19F7">
        <w:t>offentleg</w:t>
      </w:r>
      <w:proofErr w:type="spellEnd"/>
      <w:r w:rsidRPr="00CC19F7">
        <w:t xml:space="preserve"> støtte har det for mange av </w:t>
      </w:r>
      <w:proofErr w:type="spellStart"/>
      <w:r w:rsidRPr="00CC19F7">
        <w:t>desse</w:t>
      </w:r>
      <w:proofErr w:type="spellEnd"/>
      <w:r w:rsidRPr="00CC19F7">
        <w:t xml:space="preserve"> prosjekta </w:t>
      </w:r>
      <w:proofErr w:type="spellStart"/>
      <w:r w:rsidRPr="00CC19F7">
        <w:t>vore</w:t>
      </w:r>
      <w:proofErr w:type="spellEnd"/>
      <w:r w:rsidRPr="00CC19F7">
        <w:t xml:space="preserve"> </w:t>
      </w:r>
      <w:proofErr w:type="spellStart"/>
      <w:r w:rsidRPr="00CC19F7">
        <w:t>krevjande</w:t>
      </w:r>
      <w:proofErr w:type="spellEnd"/>
      <w:r w:rsidRPr="00CC19F7">
        <w:t xml:space="preserve"> å ta ei investeringsavgjerd slik at </w:t>
      </w:r>
      <w:proofErr w:type="spellStart"/>
      <w:r w:rsidRPr="00CC19F7">
        <w:t>dei</w:t>
      </w:r>
      <w:proofErr w:type="spellEnd"/>
      <w:r w:rsidRPr="00CC19F7">
        <w:t xml:space="preserve"> kan </w:t>
      </w:r>
      <w:proofErr w:type="spellStart"/>
      <w:r w:rsidRPr="00CC19F7">
        <w:t>realiserast</w:t>
      </w:r>
      <w:proofErr w:type="spellEnd"/>
      <w:r w:rsidRPr="00CC19F7">
        <w:t xml:space="preserve">. Årsaka er mellom anna høge kostnader og stor </w:t>
      </w:r>
      <w:proofErr w:type="spellStart"/>
      <w:r w:rsidRPr="00CC19F7">
        <w:t>usikkerheit</w:t>
      </w:r>
      <w:proofErr w:type="spellEnd"/>
      <w:r w:rsidRPr="00CC19F7">
        <w:t xml:space="preserve"> om den framtidige </w:t>
      </w:r>
      <w:proofErr w:type="spellStart"/>
      <w:r w:rsidRPr="00CC19F7">
        <w:t>marknaden</w:t>
      </w:r>
      <w:proofErr w:type="spellEnd"/>
      <w:r w:rsidRPr="00CC19F7">
        <w:t xml:space="preserve"> for hydrogen. Regjeringa tar sikte på at norske </w:t>
      </w:r>
      <w:proofErr w:type="spellStart"/>
      <w:r w:rsidRPr="00CC19F7">
        <w:t>aktørar</w:t>
      </w:r>
      <w:proofErr w:type="spellEnd"/>
      <w:r w:rsidRPr="00CC19F7">
        <w:t xml:space="preserve"> så raskt som </w:t>
      </w:r>
      <w:proofErr w:type="spellStart"/>
      <w:r w:rsidRPr="00CC19F7">
        <w:t>mogleg</w:t>
      </w:r>
      <w:proofErr w:type="spellEnd"/>
      <w:r w:rsidRPr="00CC19F7">
        <w:t xml:space="preserve"> vil kunne delta i </w:t>
      </w:r>
      <w:proofErr w:type="spellStart"/>
      <w:r w:rsidRPr="00CC19F7">
        <w:t>utlysingar</w:t>
      </w:r>
      <w:proofErr w:type="spellEnd"/>
      <w:r w:rsidRPr="00CC19F7">
        <w:t xml:space="preserve"> under EUs hydrogenbank. Dette vil kunne </w:t>
      </w:r>
      <w:proofErr w:type="spellStart"/>
      <w:r w:rsidRPr="00CC19F7">
        <w:t>medverke</w:t>
      </w:r>
      <w:proofErr w:type="spellEnd"/>
      <w:r w:rsidRPr="00CC19F7">
        <w:t xml:space="preserve"> til arbeidet med regjeringas ambisjon om å utvikle </w:t>
      </w:r>
      <w:proofErr w:type="spellStart"/>
      <w:r w:rsidRPr="00CC19F7">
        <w:t>samanhengande</w:t>
      </w:r>
      <w:proofErr w:type="spellEnd"/>
      <w:r w:rsidRPr="00CC19F7">
        <w:t xml:space="preserve"> verdikjeder for hydrogen produsert med låge eller ingen utslepp, der produksjon, distribusjon og bruk blir utvikla parallelt.</w:t>
      </w:r>
    </w:p>
    <w:p w14:paraId="54365C0F" w14:textId="77777777" w:rsidR="00FE02EF" w:rsidRPr="00CC19F7" w:rsidRDefault="00881E58" w:rsidP="00CC19F7">
      <w:pPr>
        <w:pStyle w:val="Overskrift2"/>
      </w:pPr>
      <w:r w:rsidRPr="00CC19F7">
        <w:t xml:space="preserve">Klima- og </w:t>
      </w:r>
      <w:proofErr w:type="spellStart"/>
      <w:r w:rsidRPr="00CC19F7">
        <w:t>miljøutfordringar</w:t>
      </w:r>
      <w:proofErr w:type="spellEnd"/>
    </w:p>
    <w:p w14:paraId="44769BFE" w14:textId="77777777" w:rsidR="00FE02EF" w:rsidRPr="00CC19F7" w:rsidRDefault="00881E58" w:rsidP="00CC19F7">
      <w:r w:rsidRPr="00CC19F7">
        <w:t xml:space="preserve">Olje- og gassutvinning fører til utslepp til luft og til sjø. Utbygging av vasskraft, vindkraft og </w:t>
      </w:r>
      <w:proofErr w:type="spellStart"/>
      <w:r w:rsidRPr="00CC19F7">
        <w:t>kraftleidningar</w:t>
      </w:r>
      <w:proofErr w:type="spellEnd"/>
      <w:r w:rsidRPr="00CC19F7">
        <w:t xml:space="preserve"> </w:t>
      </w:r>
      <w:proofErr w:type="spellStart"/>
      <w:r w:rsidRPr="00CC19F7">
        <w:t>legg</w:t>
      </w:r>
      <w:proofErr w:type="spellEnd"/>
      <w:r w:rsidRPr="00CC19F7">
        <w:t xml:space="preserve"> beslag på areal og fører med seg inngrep i natur- og kulturmiljø.</w:t>
      </w:r>
    </w:p>
    <w:p w14:paraId="154B325F" w14:textId="77777777" w:rsidR="00FE02EF" w:rsidRPr="00CC19F7" w:rsidRDefault="00881E58" w:rsidP="00CC19F7">
      <w:pPr>
        <w:pStyle w:val="avsnitt-tittel"/>
      </w:pPr>
      <w:r w:rsidRPr="00CC19F7">
        <w:t>Utslepp til luft</w:t>
      </w:r>
    </w:p>
    <w:p w14:paraId="00D82ADA" w14:textId="77777777" w:rsidR="00FE02EF" w:rsidRPr="00CC19F7" w:rsidRDefault="00881E58" w:rsidP="00CC19F7">
      <w:r w:rsidRPr="00CC19F7">
        <w:t>Stasjonær forbrenning, inklusiv olje- og gassutvinning, står for utslepp til luft av karbondioksid (CO</w:t>
      </w:r>
      <w:r w:rsidRPr="00CC19F7">
        <w:rPr>
          <w:rStyle w:val="skrift-senket"/>
        </w:rPr>
        <w:t>2</w:t>
      </w:r>
      <w:r w:rsidRPr="00CC19F7">
        <w:t xml:space="preserve">), nitrogenoksid (NOx), flyktige organiske </w:t>
      </w:r>
      <w:proofErr w:type="spellStart"/>
      <w:r w:rsidRPr="00CC19F7">
        <w:t>sambindingar</w:t>
      </w:r>
      <w:proofErr w:type="spellEnd"/>
      <w:r w:rsidRPr="00CC19F7">
        <w:t xml:space="preserve"> </w:t>
      </w:r>
      <w:proofErr w:type="spellStart"/>
      <w:r w:rsidRPr="00CC19F7">
        <w:t>utan</w:t>
      </w:r>
      <w:proofErr w:type="spellEnd"/>
      <w:r w:rsidRPr="00CC19F7">
        <w:t xml:space="preserve"> metan (</w:t>
      </w:r>
      <w:proofErr w:type="spellStart"/>
      <w:r w:rsidRPr="00CC19F7">
        <w:t>nmVOC</w:t>
      </w:r>
      <w:proofErr w:type="spellEnd"/>
      <w:r w:rsidRPr="00CC19F7">
        <w:t>), metan (CH</w:t>
      </w:r>
      <w:r w:rsidRPr="00CC19F7">
        <w:rPr>
          <w:rStyle w:val="skrift-senket"/>
        </w:rPr>
        <w:t>4</w:t>
      </w:r>
      <w:r w:rsidRPr="00CC19F7">
        <w:t>), svoveldioksid (SO</w:t>
      </w:r>
      <w:r w:rsidRPr="00CC19F7">
        <w:rPr>
          <w:rStyle w:val="skrift-senket"/>
        </w:rPr>
        <w:t>2</w:t>
      </w:r>
      <w:r w:rsidRPr="00CC19F7">
        <w:t xml:space="preserve">), </w:t>
      </w:r>
      <w:proofErr w:type="spellStart"/>
      <w:r w:rsidRPr="00CC19F7">
        <w:t>partiklar</w:t>
      </w:r>
      <w:proofErr w:type="spellEnd"/>
      <w:r w:rsidRPr="00CC19F7">
        <w:t xml:space="preserve"> (PM) og polysykliske aromatiske hydrokarbon (PAH).</w:t>
      </w:r>
    </w:p>
    <w:p w14:paraId="7FF0937B" w14:textId="77777777" w:rsidR="00FE02EF" w:rsidRPr="00CC19F7" w:rsidRDefault="00881E58" w:rsidP="00CC19F7">
      <w:proofErr w:type="spellStart"/>
      <w:r w:rsidRPr="00CC19F7">
        <w:t>Noreg</w:t>
      </w:r>
      <w:proofErr w:type="spellEnd"/>
      <w:r w:rsidRPr="00CC19F7">
        <w:t xml:space="preserve"> </w:t>
      </w:r>
      <w:proofErr w:type="spellStart"/>
      <w:r w:rsidRPr="00CC19F7">
        <w:t>skil</w:t>
      </w:r>
      <w:proofErr w:type="spellEnd"/>
      <w:r w:rsidRPr="00CC19F7">
        <w:t xml:space="preserve"> seg </w:t>
      </w:r>
      <w:proofErr w:type="spellStart"/>
      <w:r w:rsidRPr="00CC19F7">
        <w:t>frå</w:t>
      </w:r>
      <w:proofErr w:type="spellEnd"/>
      <w:r w:rsidRPr="00CC19F7">
        <w:t xml:space="preserve"> andre land ved at størstedelen av det </w:t>
      </w:r>
      <w:proofErr w:type="spellStart"/>
      <w:r w:rsidRPr="00CC19F7">
        <w:t>innanlandske</w:t>
      </w:r>
      <w:proofErr w:type="spellEnd"/>
      <w:r w:rsidRPr="00CC19F7">
        <w:t xml:space="preserve"> stasjonære energiforbruket er dekt av elektrisitet og den </w:t>
      </w:r>
      <w:proofErr w:type="spellStart"/>
      <w:r w:rsidRPr="00CC19F7">
        <w:t>innanlandske</w:t>
      </w:r>
      <w:proofErr w:type="spellEnd"/>
      <w:r w:rsidRPr="00CC19F7">
        <w:t xml:space="preserve"> elektrisitetsproduksjonen er basert på vasskraft og vindkraft. Elektrisitet </w:t>
      </w:r>
      <w:proofErr w:type="spellStart"/>
      <w:r w:rsidRPr="00CC19F7">
        <w:t>frå</w:t>
      </w:r>
      <w:proofErr w:type="spellEnd"/>
      <w:r w:rsidRPr="00CC19F7">
        <w:t xml:space="preserve"> fornybare kjelder bidrar til låge luftutslepp </w:t>
      </w:r>
      <w:proofErr w:type="spellStart"/>
      <w:r w:rsidRPr="00CC19F7">
        <w:t>frå</w:t>
      </w:r>
      <w:proofErr w:type="spellEnd"/>
      <w:r w:rsidRPr="00CC19F7">
        <w:t xml:space="preserve"> den </w:t>
      </w:r>
      <w:proofErr w:type="spellStart"/>
      <w:r w:rsidRPr="00CC19F7">
        <w:t>innanlandske</w:t>
      </w:r>
      <w:proofErr w:type="spellEnd"/>
      <w:r w:rsidRPr="00CC19F7">
        <w:t xml:space="preserve"> stasjonære energibruken. Det </w:t>
      </w:r>
      <w:proofErr w:type="spellStart"/>
      <w:r w:rsidRPr="00CC19F7">
        <w:t>inneber</w:t>
      </w:r>
      <w:proofErr w:type="spellEnd"/>
      <w:r w:rsidRPr="00CC19F7">
        <w:t xml:space="preserve"> også at </w:t>
      </w:r>
      <w:proofErr w:type="spellStart"/>
      <w:r w:rsidRPr="00CC19F7">
        <w:t>Noreg</w:t>
      </w:r>
      <w:proofErr w:type="spellEnd"/>
      <w:r w:rsidRPr="00CC19F7">
        <w:t xml:space="preserve"> har </w:t>
      </w:r>
      <w:proofErr w:type="spellStart"/>
      <w:r w:rsidRPr="00CC19F7">
        <w:t>eit</w:t>
      </w:r>
      <w:proofErr w:type="spellEnd"/>
      <w:r w:rsidRPr="00CC19F7">
        <w:t xml:space="preserve"> </w:t>
      </w:r>
      <w:proofErr w:type="spellStart"/>
      <w:r w:rsidRPr="00CC19F7">
        <w:t>snevrare</w:t>
      </w:r>
      <w:proofErr w:type="spellEnd"/>
      <w:r w:rsidRPr="00CC19F7">
        <w:t xml:space="preserve"> grunnlag for å redusere utsleppa </w:t>
      </w:r>
      <w:proofErr w:type="spellStart"/>
      <w:r w:rsidRPr="00CC19F7">
        <w:t>frå</w:t>
      </w:r>
      <w:proofErr w:type="spellEnd"/>
      <w:r w:rsidRPr="00CC19F7">
        <w:t xml:space="preserve"> elektrisitetsproduksjon enn andre land. Utsleppa </w:t>
      </w:r>
      <w:proofErr w:type="spellStart"/>
      <w:r w:rsidRPr="00CC19F7">
        <w:t>frå</w:t>
      </w:r>
      <w:proofErr w:type="spellEnd"/>
      <w:r w:rsidRPr="00CC19F7">
        <w:t xml:space="preserve"> </w:t>
      </w:r>
      <w:proofErr w:type="spellStart"/>
      <w:r w:rsidRPr="00CC19F7">
        <w:t>innanlandsk</w:t>
      </w:r>
      <w:proofErr w:type="spellEnd"/>
      <w:r w:rsidRPr="00CC19F7">
        <w:t xml:space="preserve"> energiforsyning (</w:t>
      </w:r>
      <w:proofErr w:type="spellStart"/>
      <w:r w:rsidRPr="00CC19F7">
        <w:t>medrekna</w:t>
      </w:r>
      <w:proofErr w:type="spellEnd"/>
      <w:r w:rsidRPr="00CC19F7">
        <w:t xml:space="preserve"> utslepp </w:t>
      </w:r>
      <w:proofErr w:type="spellStart"/>
      <w:r w:rsidRPr="00CC19F7">
        <w:t>frå</w:t>
      </w:r>
      <w:proofErr w:type="spellEnd"/>
      <w:r w:rsidRPr="00CC19F7">
        <w:t xml:space="preserve"> brenning av avfall der varmen blir utnytta til energiformål) og energi brukt til oppvarming i andre </w:t>
      </w:r>
      <w:proofErr w:type="spellStart"/>
      <w:r w:rsidRPr="00CC19F7">
        <w:t>næringar</w:t>
      </w:r>
      <w:proofErr w:type="spellEnd"/>
      <w:r w:rsidRPr="00CC19F7">
        <w:t xml:space="preserve"> og </w:t>
      </w:r>
      <w:proofErr w:type="spellStart"/>
      <w:r w:rsidRPr="00CC19F7">
        <w:t>hushaldningar</w:t>
      </w:r>
      <w:proofErr w:type="spellEnd"/>
      <w:r w:rsidRPr="00CC19F7">
        <w:t xml:space="preserve"> var ifølge SSB på 2,0 mill. tonn CO</w:t>
      </w:r>
      <w:r w:rsidRPr="00CC19F7">
        <w:rPr>
          <w:rStyle w:val="skrift-senket"/>
        </w:rPr>
        <w:t>2</w:t>
      </w:r>
      <w:r w:rsidRPr="00CC19F7">
        <w:t>-ekvivalentar i 2022.</w:t>
      </w:r>
    </w:p>
    <w:p w14:paraId="4B56CEEB" w14:textId="77777777" w:rsidR="00FE02EF" w:rsidRPr="00CC19F7" w:rsidRDefault="00881E58" w:rsidP="00CC19F7">
      <w:r w:rsidRPr="00CC19F7">
        <w:t xml:space="preserve">Produksjon og bruk av elektrisk kraft kan variere </w:t>
      </w:r>
      <w:proofErr w:type="spellStart"/>
      <w:r w:rsidRPr="00CC19F7">
        <w:t>mykje</w:t>
      </w:r>
      <w:proofErr w:type="spellEnd"/>
      <w:r w:rsidRPr="00CC19F7">
        <w:t xml:space="preserve"> </w:t>
      </w:r>
      <w:proofErr w:type="spellStart"/>
      <w:r w:rsidRPr="00CC19F7">
        <w:t>frå</w:t>
      </w:r>
      <w:proofErr w:type="spellEnd"/>
      <w:r w:rsidRPr="00CC19F7">
        <w:t xml:space="preserve"> år til år som følge av </w:t>
      </w:r>
      <w:proofErr w:type="spellStart"/>
      <w:r w:rsidRPr="00CC19F7">
        <w:t>variasjonar</w:t>
      </w:r>
      <w:proofErr w:type="spellEnd"/>
      <w:r w:rsidRPr="00CC19F7">
        <w:t xml:space="preserve"> i tilsig og temperatur. I år med lågt tilsig og relativt høge </w:t>
      </w:r>
      <w:proofErr w:type="spellStart"/>
      <w:r w:rsidRPr="00CC19F7">
        <w:t>prisar</w:t>
      </w:r>
      <w:proofErr w:type="spellEnd"/>
      <w:r w:rsidRPr="00CC19F7">
        <w:t xml:space="preserve"> på elektrisk kraft vil bruken av alternative </w:t>
      </w:r>
      <w:proofErr w:type="spellStart"/>
      <w:r w:rsidRPr="00CC19F7">
        <w:t>energiberarar</w:t>
      </w:r>
      <w:proofErr w:type="spellEnd"/>
      <w:r w:rsidRPr="00CC19F7">
        <w:t xml:space="preserve">, som fyringsolje, gass og biomasse, normalt </w:t>
      </w:r>
      <w:proofErr w:type="spellStart"/>
      <w:r w:rsidRPr="00CC19F7">
        <w:t>auke</w:t>
      </w:r>
      <w:proofErr w:type="spellEnd"/>
      <w:r w:rsidRPr="00CC19F7">
        <w:t xml:space="preserve">. Dette er ei viktig årsak til at utsleppa </w:t>
      </w:r>
      <w:proofErr w:type="spellStart"/>
      <w:r w:rsidRPr="00CC19F7">
        <w:t>frå</w:t>
      </w:r>
      <w:proofErr w:type="spellEnd"/>
      <w:r w:rsidRPr="00CC19F7">
        <w:t xml:space="preserve"> stasjonær energibruk på fastlandet varierer </w:t>
      </w:r>
      <w:proofErr w:type="spellStart"/>
      <w:r w:rsidRPr="00CC19F7">
        <w:t>frå</w:t>
      </w:r>
      <w:proofErr w:type="spellEnd"/>
      <w:r w:rsidRPr="00CC19F7">
        <w:t xml:space="preserve"> år til år.</w:t>
      </w:r>
    </w:p>
    <w:p w14:paraId="5C4CEEB4" w14:textId="77777777" w:rsidR="00FE02EF" w:rsidRPr="00CC19F7" w:rsidRDefault="00881E58" w:rsidP="00CC19F7">
      <w:r w:rsidRPr="00CC19F7">
        <w:t xml:space="preserve">På grunn av den særeigne samansetninga av norsk økonomi og at kraftproduksjonen på fastlandet nesten </w:t>
      </w:r>
      <w:proofErr w:type="spellStart"/>
      <w:r w:rsidRPr="00CC19F7">
        <w:t>berre</w:t>
      </w:r>
      <w:proofErr w:type="spellEnd"/>
      <w:r w:rsidRPr="00CC19F7">
        <w:t xml:space="preserve"> er i form av vasskraft, står </w:t>
      </w:r>
      <w:proofErr w:type="spellStart"/>
      <w:r w:rsidRPr="00CC19F7">
        <w:t>verksemda</w:t>
      </w:r>
      <w:proofErr w:type="spellEnd"/>
      <w:r w:rsidRPr="00CC19F7">
        <w:t xml:space="preserve"> på kontinentalsokkelen for om lag </w:t>
      </w:r>
      <w:proofErr w:type="spellStart"/>
      <w:r w:rsidRPr="00CC19F7">
        <w:t>ein</w:t>
      </w:r>
      <w:proofErr w:type="spellEnd"/>
      <w:r w:rsidRPr="00CC19F7">
        <w:t xml:space="preserve"> firedel av </w:t>
      </w:r>
      <w:proofErr w:type="spellStart"/>
      <w:r w:rsidRPr="00CC19F7">
        <w:t>dei</w:t>
      </w:r>
      <w:proofErr w:type="spellEnd"/>
      <w:r w:rsidRPr="00CC19F7">
        <w:t xml:space="preserve"> samla norske klimagassutsleppa. I 2022 </w:t>
      </w:r>
      <w:proofErr w:type="spellStart"/>
      <w:r w:rsidRPr="00CC19F7">
        <w:t>sleppte</w:t>
      </w:r>
      <w:proofErr w:type="spellEnd"/>
      <w:r w:rsidRPr="00CC19F7">
        <w:t xml:space="preserve"> </w:t>
      </w:r>
      <w:proofErr w:type="spellStart"/>
      <w:r w:rsidRPr="00CC19F7">
        <w:t>petroleumsverksemda</w:t>
      </w:r>
      <w:proofErr w:type="spellEnd"/>
      <w:r w:rsidRPr="00CC19F7">
        <w:t xml:space="preserve"> ut </w:t>
      </w:r>
      <w:proofErr w:type="spellStart"/>
      <w:r w:rsidRPr="00CC19F7">
        <w:t>klimagassar</w:t>
      </w:r>
      <w:proofErr w:type="spellEnd"/>
      <w:r w:rsidRPr="00CC19F7">
        <w:t xml:space="preserve"> (CO</w:t>
      </w:r>
      <w:r w:rsidRPr="00CC19F7">
        <w:rPr>
          <w:rStyle w:val="skrift-senket"/>
        </w:rPr>
        <w:t>2</w:t>
      </w:r>
      <w:r w:rsidRPr="00CC19F7">
        <w:t xml:space="preserve"> og metan) </w:t>
      </w:r>
      <w:proofErr w:type="spellStart"/>
      <w:r w:rsidRPr="00CC19F7">
        <w:t>tilsvarande</w:t>
      </w:r>
      <w:proofErr w:type="spellEnd"/>
      <w:r w:rsidRPr="00CC19F7">
        <w:t xml:space="preserve"> om lag 12 mill. tonn CO</w:t>
      </w:r>
      <w:r w:rsidRPr="00CC19F7">
        <w:rPr>
          <w:rStyle w:val="skrift-senket"/>
        </w:rPr>
        <w:t>2</w:t>
      </w:r>
      <w:r w:rsidRPr="00CC19F7">
        <w:t xml:space="preserve">-ekvivalentar. Dette er om lag 3 mill. tonn </w:t>
      </w:r>
      <w:proofErr w:type="spellStart"/>
      <w:r w:rsidRPr="00CC19F7">
        <w:t>lågare</w:t>
      </w:r>
      <w:proofErr w:type="spellEnd"/>
      <w:r w:rsidRPr="00CC19F7">
        <w:t xml:space="preserve"> enn i 2015 og same nivå som året før, </w:t>
      </w:r>
      <w:proofErr w:type="spellStart"/>
      <w:r w:rsidRPr="00CC19F7">
        <w:t>sjølv</w:t>
      </w:r>
      <w:proofErr w:type="spellEnd"/>
      <w:r w:rsidRPr="00CC19F7">
        <w:t xml:space="preserve"> om Hammerfest LNG kom i drift igjen i mai 2022 etter å ha </w:t>
      </w:r>
      <w:proofErr w:type="spellStart"/>
      <w:r w:rsidRPr="00CC19F7">
        <w:t>vore</w:t>
      </w:r>
      <w:proofErr w:type="spellEnd"/>
      <w:r w:rsidRPr="00CC19F7">
        <w:t xml:space="preserve"> stengt ned i 2021. Næringa jobbar </w:t>
      </w:r>
      <w:proofErr w:type="spellStart"/>
      <w:r w:rsidRPr="00CC19F7">
        <w:t>kontinuerleg</w:t>
      </w:r>
      <w:proofErr w:type="spellEnd"/>
      <w:r w:rsidRPr="00CC19F7">
        <w:t xml:space="preserve"> med energieffektivisering og har ei sterk </w:t>
      </w:r>
      <w:proofErr w:type="spellStart"/>
      <w:r w:rsidRPr="00CC19F7">
        <w:t>merksemd</w:t>
      </w:r>
      <w:proofErr w:type="spellEnd"/>
      <w:r w:rsidRPr="00CC19F7">
        <w:t xml:space="preserve"> på å minimere utsleppa sine.</w:t>
      </w:r>
    </w:p>
    <w:p w14:paraId="0E6E475C" w14:textId="77777777" w:rsidR="00FE02EF" w:rsidRPr="00CC19F7" w:rsidRDefault="00881E58" w:rsidP="00CC19F7">
      <w:proofErr w:type="spellStart"/>
      <w:r w:rsidRPr="00CC19F7">
        <w:t>Petroleumsverksemda</w:t>
      </w:r>
      <w:proofErr w:type="spellEnd"/>
      <w:r w:rsidRPr="00CC19F7">
        <w:t xml:space="preserve"> </w:t>
      </w:r>
      <w:proofErr w:type="spellStart"/>
      <w:r w:rsidRPr="00CC19F7">
        <w:t>sleppte</w:t>
      </w:r>
      <w:proofErr w:type="spellEnd"/>
      <w:r w:rsidRPr="00CC19F7">
        <w:t xml:space="preserve"> i 2022 ut om lag 37 700 tonn NOx (nitrogenoksid). </w:t>
      </w:r>
      <w:proofErr w:type="spellStart"/>
      <w:r w:rsidRPr="00CC19F7">
        <w:t>Petroleumsverksemda</w:t>
      </w:r>
      <w:proofErr w:type="spellEnd"/>
      <w:r w:rsidRPr="00CC19F7">
        <w:t xml:space="preserve"> står for </w:t>
      </w:r>
      <w:proofErr w:type="spellStart"/>
      <w:r w:rsidRPr="00CC19F7">
        <w:t>noko</w:t>
      </w:r>
      <w:proofErr w:type="spellEnd"/>
      <w:r w:rsidRPr="00CC19F7">
        <w:t xml:space="preserve"> over </w:t>
      </w:r>
      <w:proofErr w:type="spellStart"/>
      <w:r w:rsidRPr="00CC19F7">
        <w:t>ein</w:t>
      </w:r>
      <w:proofErr w:type="spellEnd"/>
      <w:r w:rsidRPr="00CC19F7">
        <w:t xml:space="preserve"> firedel av </w:t>
      </w:r>
      <w:proofErr w:type="spellStart"/>
      <w:r w:rsidRPr="00CC19F7">
        <w:t>dei</w:t>
      </w:r>
      <w:proofErr w:type="spellEnd"/>
      <w:r w:rsidRPr="00CC19F7">
        <w:t xml:space="preserve"> samla NOx-utsleppa i </w:t>
      </w:r>
      <w:proofErr w:type="spellStart"/>
      <w:r w:rsidRPr="00CC19F7">
        <w:t>Noreg</w:t>
      </w:r>
      <w:proofErr w:type="spellEnd"/>
      <w:r w:rsidRPr="00CC19F7">
        <w:t xml:space="preserve">. Gassbrenning i </w:t>
      </w:r>
      <w:proofErr w:type="spellStart"/>
      <w:r w:rsidRPr="00CC19F7">
        <w:t>turbinar</w:t>
      </w:r>
      <w:proofErr w:type="spellEnd"/>
      <w:r w:rsidRPr="00CC19F7">
        <w:t xml:space="preserve">, </w:t>
      </w:r>
      <w:proofErr w:type="spellStart"/>
      <w:r w:rsidRPr="00CC19F7">
        <w:t>fakling</w:t>
      </w:r>
      <w:proofErr w:type="spellEnd"/>
      <w:r w:rsidRPr="00CC19F7">
        <w:t xml:space="preserve"> av gass og dieselbruk på </w:t>
      </w:r>
      <w:proofErr w:type="spellStart"/>
      <w:r w:rsidRPr="00CC19F7">
        <w:t>innretningane</w:t>
      </w:r>
      <w:proofErr w:type="spellEnd"/>
      <w:r w:rsidRPr="00CC19F7">
        <w:t xml:space="preserve"> på kontinentalsokkelen er sentrale utsleppskjelder for NOx.</w:t>
      </w:r>
    </w:p>
    <w:p w14:paraId="37B45157" w14:textId="77777777" w:rsidR="00FE02EF" w:rsidRPr="00CC19F7" w:rsidRDefault="00881E58" w:rsidP="00CC19F7">
      <w:r w:rsidRPr="00CC19F7">
        <w:t xml:space="preserve">Olje- og gassutvinning står for om lag </w:t>
      </w:r>
      <w:proofErr w:type="spellStart"/>
      <w:r w:rsidRPr="00CC19F7">
        <w:t>ein</w:t>
      </w:r>
      <w:proofErr w:type="spellEnd"/>
      <w:r w:rsidRPr="00CC19F7">
        <w:t xml:space="preserve"> femdel av </w:t>
      </w:r>
      <w:proofErr w:type="spellStart"/>
      <w:r w:rsidRPr="00CC19F7">
        <w:t>dei</w:t>
      </w:r>
      <w:proofErr w:type="spellEnd"/>
      <w:r w:rsidRPr="00CC19F7">
        <w:t xml:space="preserve"> samla norske </w:t>
      </w:r>
      <w:proofErr w:type="spellStart"/>
      <w:r w:rsidRPr="00CC19F7">
        <w:t>nmVOC</w:t>
      </w:r>
      <w:proofErr w:type="spellEnd"/>
      <w:r w:rsidRPr="00CC19F7">
        <w:t xml:space="preserve">-utsleppa (flyktige organiske </w:t>
      </w:r>
      <w:proofErr w:type="spellStart"/>
      <w:r w:rsidRPr="00CC19F7">
        <w:t>sambindingar</w:t>
      </w:r>
      <w:proofErr w:type="spellEnd"/>
      <w:r w:rsidRPr="00CC19F7">
        <w:t xml:space="preserve"> </w:t>
      </w:r>
      <w:proofErr w:type="spellStart"/>
      <w:r w:rsidRPr="00CC19F7">
        <w:t>utan</w:t>
      </w:r>
      <w:proofErr w:type="spellEnd"/>
      <w:r w:rsidRPr="00CC19F7">
        <w:t xml:space="preserve"> metan), med utslepp i 2022 på om lag 26 800 tonn. </w:t>
      </w:r>
      <w:proofErr w:type="spellStart"/>
      <w:r w:rsidRPr="00CC19F7">
        <w:t>Sidan</w:t>
      </w:r>
      <w:proofErr w:type="spellEnd"/>
      <w:r w:rsidRPr="00CC19F7">
        <w:t xml:space="preserve"> starten av 2000-talet er utsleppa av </w:t>
      </w:r>
      <w:proofErr w:type="spellStart"/>
      <w:r w:rsidRPr="00CC19F7">
        <w:t>nmVOC</w:t>
      </w:r>
      <w:proofErr w:type="spellEnd"/>
      <w:r w:rsidRPr="00CC19F7">
        <w:t xml:space="preserve"> </w:t>
      </w:r>
      <w:proofErr w:type="spellStart"/>
      <w:r w:rsidRPr="00CC19F7">
        <w:t>frå</w:t>
      </w:r>
      <w:proofErr w:type="spellEnd"/>
      <w:r w:rsidRPr="00CC19F7">
        <w:t xml:space="preserve"> </w:t>
      </w:r>
      <w:proofErr w:type="spellStart"/>
      <w:r w:rsidRPr="00CC19F7">
        <w:t>petroleumsverksemda</w:t>
      </w:r>
      <w:proofErr w:type="spellEnd"/>
      <w:r w:rsidRPr="00CC19F7">
        <w:t xml:space="preserve"> sterkt reduserte. </w:t>
      </w:r>
      <w:proofErr w:type="spellStart"/>
      <w:r w:rsidRPr="00CC19F7">
        <w:t>Utsleppsreduksjonane</w:t>
      </w:r>
      <w:proofErr w:type="spellEnd"/>
      <w:r w:rsidRPr="00CC19F7">
        <w:t xml:space="preserve"> er oppnådd som følge av at det er installert anlegg for fjerning og gjenvinning av oljedamp på lagerskip og </w:t>
      </w:r>
      <w:proofErr w:type="spellStart"/>
      <w:r w:rsidRPr="00CC19F7">
        <w:t>skytteltankarar</w:t>
      </w:r>
      <w:proofErr w:type="spellEnd"/>
      <w:r w:rsidRPr="00CC19F7">
        <w:t>.</w:t>
      </w:r>
    </w:p>
    <w:p w14:paraId="1BA143EF" w14:textId="77777777" w:rsidR="00FE02EF" w:rsidRPr="00CC19F7" w:rsidRDefault="00881E58" w:rsidP="00CC19F7">
      <w:r w:rsidRPr="00CC19F7">
        <w:t xml:space="preserve">At norsk </w:t>
      </w:r>
      <w:proofErr w:type="spellStart"/>
      <w:r w:rsidRPr="00CC19F7">
        <w:t>petroleumsverksemd</w:t>
      </w:r>
      <w:proofErr w:type="spellEnd"/>
      <w:r w:rsidRPr="00CC19F7">
        <w:t xml:space="preserve"> er </w:t>
      </w:r>
      <w:proofErr w:type="spellStart"/>
      <w:r w:rsidRPr="00CC19F7">
        <w:t>underlagd</w:t>
      </w:r>
      <w:proofErr w:type="spellEnd"/>
      <w:r w:rsidRPr="00CC19F7">
        <w:t xml:space="preserve"> </w:t>
      </w:r>
      <w:proofErr w:type="spellStart"/>
      <w:r w:rsidRPr="00CC19F7">
        <w:t>ein</w:t>
      </w:r>
      <w:proofErr w:type="spellEnd"/>
      <w:r w:rsidRPr="00CC19F7">
        <w:t xml:space="preserve"> streng verkemiddelbruk, gir resultat. Norske utslepp er </w:t>
      </w:r>
      <w:proofErr w:type="spellStart"/>
      <w:r w:rsidRPr="00CC19F7">
        <w:t>vesentleg</w:t>
      </w:r>
      <w:proofErr w:type="spellEnd"/>
      <w:r w:rsidRPr="00CC19F7">
        <w:t xml:space="preserve"> </w:t>
      </w:r>
      <w:proofErr w:type="spellStart"/>
      <w:r w:rsidRPr="00CC19F7">
        <w:t>lågare</w:t>
      </w:r>
      <w:proofErr w:type="spellEnd"/>
      <w:r w:rsidRPr="00CC19F7">
        <w:t xml:space="preserve"> per produsert eining enn gjennomsnittet for </w:t>
      </w:r>
      <w:proofErr w:type="spellStart"/>
      <w:r w:rsidRPr="00CC19F7">
        <w:t>oljeproduserande</w:t>
      </w:r>
      <w:proofErr w:type="spellEnd"/>
      <w:r w:rsidRPr="00CC19F7">
        <w:t xml:space="preserve"> land, sjå figur 6.1. Utsleppa varierer mellom </w:t>
      </w:r>
      <w:proofErr w:type="spellStart"/>
      <w:r w:rsidRPr="00CC19F7">
        <w:t>dei</w:t>
      </w:r>
      <w:proofErr w:type="spellEnd"/>
      <w:r w:rsidRPr="00CC19F7">
        <w:t xml:space="preserve"> ulike felta, både i </w:t>
      </w:r>
      <w:proofErr w:type="spellStart"/>
      <w:r w:rsidRPr="00CC19F7">
        <w:t>Noreg</w:t>
      </w:r>
      <w:proofErr w:type="spellEnd"/>
      <w:r w:rsidRPr="00CC19F7">
        <w:t xml:space="preserve"> og internasjonalt.</w:t>
      </w:r>
    </w:p>
    <w:p w14:paraId="14B7ECB0" w14:textId="6DC8575F" w:rsidR="00FE02EF" w:rsidRPr="00CC19F7" w:rsidRDefault="002E78FA" w:rsidP="00CC19F7">
      <w:r>
        <w:rPr>
          <w:noProof/>
        </w:rPr>
        <w:drawing>
          <wp:inline distT="0" distB="0" distL="0" distR="0" wp14:anchorId="7BF6811B" wp14:editId="6DA4FE9A">
            <wp:extent cx="6076950" cy="2886075"/>
            <wp:effectExtent l="0" t="0" r="0" b="9525"/>
            <wp:docPr id="14" name="Bil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6EFFCCA3" w14:textId="77777777" w:rsidR="00FE02EF" w:rsidRPr="00CC19F7" w:rsidRDefault="00881E58" w:rsidP="00CC19F7">
      <w:pPr>
        <w:pStyle w:val="figur-tittel"/>
      </w:pPr>
      <w:r w:rsidRPr="00CC19F7">
        <w:t xml:space="preserve">Utslepp til luft på norsk sokkel </w:t>
      </w:r>
      <w:proofErr w:type="spellStart"/>
      <w:r w:rsidRPr="00CC19F7">
        <w:t>samanlikna</w:t>
      </w:r>
      <w:proofErr w:type="spellEnd"/>
      <w:r w:rsidRPr="00CC19F7">
        <w:t xml:space="preserve"> med internasjonalt gjennomsnitt</w:t>
      </w:r>
    </w:p>
    <w:p w14:paraId="665A8BF6" w14:textId="77777777" w:rsidR="00FE02EF" w:rsidRPr="00CA1D23" w:rsidRDefault="00881E58" w:rsidP="00CC19F7">
      <w:pPr>
        <w:pStyle w:val="Kilde"/>
        <w:rPr>
          <w:lang w:val="en-US"/>
        </w:rPr>
      </w:pPr>
      <w:r w:rsidRPr="00CA1D23">
        <w:rPr>
          <w:lang w:val="en-US"/>
        </w:rPr>
        <w:t>Kjelder: International Association of Oil and Gas Producers (IOGP), Epim Environmental Hub (EEH) og Offshore Norge.</w:t>
      </w:r>
    </w:p>
    <w:p w14:paraId="3AB85B39" w14:textId="77777777" w:rsidR="00FE02EF" w:rsidRPr="00CC19F7" w:rsidRDefault="00881E58" w:rsidP="00CC19F7">
      <w:pPr>
        <w:pStyle w:val="avsnitt-tittel"/>
      </w:pPr>
      <w:r w:rsidRPr="00CC19F7">
        <w:t>Utslepp til sjø</w:t>
      </w:r>
    </w:p>
    <w:p w14:paraId="4D90610A" w14:textId="77777777" w:rsidR="00FE02EF" w:rsidRPr="00CC19F7" w:rsidRDefault="00881E58" w:rsidP="00CC19F7">
      <w:r w:rsidRPr="00CC19F7">
        <w:t xml:space="preserve">Utsleppa til sjø </w:t>
      </w:r>
      <w:proofErr w:type="spellStart"/>
      <w:r w:rsidRPr="00CC19F7">
        <w:t>frå</w:t>
      </w:r>
      <w:proofErr w:type="spellEnd"/>
      <w:r w:rsidRPr="00CC19F7">
        <w:t xml:space="preserve"> </w:t>
      </w:r>
      <w:proofErr w:type="spellStart"/>
      <w:r w:rsidRPr="00CC19F7">
        <w:t>petroleumsverksemda</w:t>
      </w:r>
      <w:proofErr w:type="spellEnd"/>
      <w:r w:rsidRPr="00CC19F7">
        <w:t xml:space="preserve"> </w:t>
      </w:r>
      <w:proofErr w:type="spellStart"/>
      <w:r w:rsidRPr="00CC19F7">
        <w:t>stammar</w:t>
      </w:r>
      <w:proofErr w:type="spellEnd"/>
      <w:r w:rsidRPr="00CC19F7">
        <w:t xml:space="preserve"> i all </w:t>
      </w:r>
      <w:proofErr w:type="spellStart"/>
      <w:r w:rsidRPr="00CC19F7">
        <w:t>hovudsak</w:t>
      </w:r>
      <w:proofErr w:type="spellEnd"/>
      <w:r w:rsidRPr="00CC19F7">
        <w:t xml:space="preserve"> </w:t>
      </w:r>
      <w:proofErr w:type="spellStart"/>
      <w:r w:rsidRPr="00CC19F7">
        <w:t>frå</w:t>
      </w:r>
      <w:proofErr w:type="spellEnd"/>
      <w:r w:rsidRPr="00CC19F7">
        <w:t xml:space="preserve"> den regulære drifta og kjem </w:t>
      </w:r>
      <w:proofErr w:type="spellStart"/>
      <w:r w:rsidRPr="00CC19F7">
        <w:t>frå</w:t>
      </w:r>
      <w:proofErr w:type="spellEnd"/>
      <w:r w:rsidRPr="00CC19F7">
        <w:t xml:space="preserve"> produsert vatn, </w:t>
      </w:r>
      <w:proofErr w:type="spellStart"/>
      <w:r w:rsidRPr="00CC19F7">
        <w:t>borekaks</w:t>
      </w:r>
      <w:proofErr w:type="spellEnd"/>
      <w:r w:rsidRPr="00CC19F7">
        <w:t xml:space="preserve"> og </w:t>
      </w:r>
      <w:proofErr w:type="spellStart"/>
      <w:r w:rsidRPr="00CC19F7">
        <w:t>restar</w:t>
      </w:r>
      <w:proofErr w:type="spellEnd"/>
      <w:r w:rsidRPr="00CC19F7">
        <w:t xml:space="preserve"> av </w:t>
      </w:r>
      <w:proofErr w:type="spellStart"/>
      <w:r w:rsidRPr="00CC19F7">
        <w:t>kjemikaliar</w:t>
      </w:r>
      <w:proofErr w:type="spellEnd"/>
      <w:r w:rsidRPr="00CC19F7">
        <w:t xml:space="preserve"> og sement etter boring. </w:t>
      </w:r>
      <w:proofErr w:type="spellStart"/>
      <w:r w:rsidRPr="00CC19F7">
        <w:t>Myndigheitene</w:t>
      </w:r>
      <w:proofErr w:type="spellEnd"/>
      <w:r w:rsidRPr="00CC19F7">
        <w:t xml:space="preserve"> stiller strenge krav om at </w:t>
      </w:r>
      <w:proofErr w:type="spellStart"/>
      <w:r w:rsidRPr="00CC19F7">
        <w:t>desse</w:t>
      </w:r>
      <w:proofErr w:type="spellEnd"/>
      <w:r w:rsidRPr="00CC19F7">
        <w:t xml:space="preserve"> utsleppa er så låge som </w:t>
      </w:r>
      <w:proofErr w:type="spellStart"/>
      <w:r w:rsidRPr="00CC19F7">
        <w:t>mogleg</w:t>
      </w:r>
      <w:proofErr w:type="spellEnd"/>
      <w:r w:rsidRPr="00CC19F7">
        <w:t xml:space="preserve">, at </w:t>
      </w:r>
      <w:proofErr w:type="spellStart"/>
      <w:r w:rsidRPr="00CC19F7">
        <w:t>operatørane</w:t>
      </w:r>
      <w:proofErr w:type="spellEnd"/>
      <w:r w:rsidRPr="00CC19F7">
        <w:t xml:space="preserve"> bruker </w:t>
      </w:r>
      <w:proofErr w:type="spellStart"/>
      <w:r w:rsidRPr="00CC19F7">
        <w:t>kjemikaliar</w:t>
      </w:r>
      <w:proofErr w:type="spellEnd"/>
      <w:r w:rsidRPr="00CC19F7">
        <w:t xml:space="preserve"> som </w:t>
      </w:r>
      <w:proofErr w:type="spellStart"/>
      <w:r w:rsidRPr="00CC19F7">
        <w:t>inneheld</w:t>
      </w:r>
      <w:proofErr w:type="spellEnd"/>
      <w:r w:rsidRPr="00CC19F7">
        <w:t xml:space="preserve"> minst </w:t>
      </w:r>
      <w:proofErr w:type="spellStart"/>
      <w:r w:rsidRPr="00CC19F7">
        <w:t>mogleg</w:t>
      </w:r>
      <w:proofErr w:type="spellEnd"/>
      <w:r w:rsidRPr="00CC19F7">
        <w:t xml:space="preserve"> av </w:t>
      </w:r>
      <w:proofErr w:type="spellStart"/>
      <w:r w:rsidRPr="00CC19F7">
        <w:t>miljøfarlege</w:t>
      </w:r>
      <w:proofErr w:type="spellEnd"/>
      <w:r w:rsidRPr="00CC19F7">
        <w:t xml:space="preserve"> stoff, og at industrien </w:t>
      </w:r>
      <w:proofErr w:type="spellStart"/>
      <w:r w:rsidRPr="00CC19F7">
        <w:t>utviklar</w:t>
      </w:r>
      <w:proofErr w:type="spellEnd"/>
      <w:r w:rsidRPr="00CC19F7">
        <w:t xml:space="preserve"> ny teknologi som kan redusere utsleppa. </w:t>
      </w:r>
      <w:proofErr w:type="spellStart"/>
      <w:r w:rsidRPr="00CC19F7">
        <w:t>Petroleumsverksemda</w:t>
      </w:r>
      <w:proofErr w:type="spellEnd"/>
      <w:r w:rsidRPr="00CC19F7">
        <w:t xml:space="preserve"> har over tid investert i tiltak som har redusert utsleppa </w:t>
      </w:r>
      <w:proofErr w:type="spellStart"/>
      <w:r w:rsidRPr="00CC19F7">
        <w:t>betydeleg</w:t>
      </w:r>
      <w:proofErr w:type="spellEnd"/>
      <w:r w:rsidRPr="00CC19F7">
        <w:t xml:space="preserve">. Produsert vatn følger med oljen opp </w:t>
      </w:r>
      <w:proofErr w:type="spellStart"/>
      <w:r w:rsidRPr="00CC19F7">
        <w:t>frå</w:t>
      </w:r>
      <w:proofErr w:type="spellEnd"/>
      <w:r w:rsidRPr="00CC19F7">
        <w:t xml:space="preserve"> reservoaret og </w:t>
      </w:r>
      <w:proofErr w:type="spellStart"/>
      <w:r w:rsidRPr="00CC19F7">
        <w:t>inneheld</w:t>
      </w:r>
      <w:proofErr w:type="spellEnd"/>
      <w:r w:rsidRPr="00CC19F7">
        <w:t xml:space="preserve"> stoff som </w:t>
      </w:r>
      <w:proofErr w:type="spellStart"/>
      <w:r w:rsidRPr="00CC19F7">
        <w:t>naturleg</w:t>
      </w:r>
      <w:proofErr w:type="spellEnd"/>
      <w:r w:rsidRPr="00CC19F7">
        <w:t xml:space="preserve"> </w:t>
      </w:r>
      <w:proofErr w:type="spellStart"/>
      <w:r w:rsidRPr="00CC19F7">
        <w:t>finst</w:t>
      </w:r>
      <w:proofErr w:type="spellEnd"/>
      <w:r w:rsidRPr="00CC19F7">
        <w:t xml:space="preserve"> der, og </w:t>
      </w:r>
      <w:proofErr w:type="spellStart"/>
      <w:r w:rsidRPr="00CC19F7">
        <w:t>restar</w:t>
      </w:r>
      <w:proofErr w:type="spellEnd"/>
      <w:r w:rsidRPr="00CC19F7">
        <w:t xml:space="preserve"> av </w:t>
      </w:r>
      <w:proofErr w:type="gramStart"/>
      <w:r w:rsidRPr="00CC19F7">
        <w:t>tilsette</w:t>
      </w:r>
      <w:proofErr w:type="gramEnd"/>
      <w:r w:rsidRPr="00CC19F7">
        <w:t xml:space="preserve"> stoff. I dag blir det produserte vatnet </w:t>
      </w:r>
      <w:proofErr w:type="spellStart"/>
      <w:r w:rsidRPr="00CC19F7">
        <w:t>reinsa</w:t>
      </w:r>
      <w:proofErr w:type="spellEnd"/>
      <w:r w:rsidRPr="00CC19F7">
        <w:t xml:space="preserve"> før utslepp til sjø eller injisert tilbake i undergrunnen. </w:t>
      </w:r>
      <w:proofErr w:type="spellStart"/>
      <w:r w:rsidRPr="00CC19F7">
        <w:t>Borekaks</w:t>
      </w:r>
      <w:proofErr w:type="spellEnd"/>
      <w:r w:rsidRPr="00CC19F7">
        <w:t xml:space="preserve"> som </w:t>
      </w:r>
      <w:proofErr w:type="spellStart"/>
      <w:r w:rsidRPr="00CC19F7">
        <w:t>inneheld</w:t>
      </w:r>
      <w:proofErr w:type="spellEnd"/>
      <w:r w:rsidRPr="00CC19F7">
        <w:t xml:space="preserve"> olje og borevæske, stod </w:t>
      </w:r>
      <w:proofErr w:type="spellStart"/>
      <w:r w:rsidRPr="00CC19F7">
        <w:t>tidlegare</w:t>
      </w:r>
      <w:proofErr w:type="spellEnd"/>
      <w:r w:rsidRPr="00CC19F7">
        <w:t xml:space="preserve"> for </w:t>
      </w:r>
      <w:proofErr w:type="spellStart"/>
      <w:r w:rsidRPr="00CC19F7">
        <w:t>ein</w:t>
      </w:r>
      <w:proofErr w:type="spellEnd"/>
      <w:r w:rsidRPr="00CC19F7">
        <w:t xml:space="preserve"> </w:t>
      </w:r>
      <w:proofErr w:type="spellStart"/>
      <w:r w:rsidRPr="00CC19F7">
        <w:t>vesentleg</w:t>
      </w:r>
      <w:proofErr w:type="spellEnd"/>
      <w:r w:rsidRPr="00CC19F7">
        <w:t xml:space="preserve"> del av oljeutsleppa </w:t>
      </w:r>
      <w:proofErr w:type="spellStart"/>
      <w:r w:rsidRPr="00CC19F7">
        <w:t>frå</w:t>
      </w:r>
      <w:proofErr w:type="spellEnd"/>
      <w:r w:rsidRPr="00CC19F7">
        <w:t xml:space="preserve"> </w:t>
      </w:r>
      <w:proofErr w:type="spellStart"/>
      <w:r w:rsidRPr="00CC19F7">
        <w:t>verksemda</w:t>
      </w:r>
      <w:proofErr w:type="spellEnd"/>
      <w:r w:rsidRPr="00CC19F7">
        <w:t xml:space="preserve">, men blir </w:t>
      </w:r>
      <w:proofErr w:type="spellStart"/>
      <w:r w:rsidRPr="00CC19F7">
        <w:t>no</w:t>
      </w:r>
      <w:proofErr w:type="spellEnd"/>
      <w:r w:rsidRPr="00CC19F7">
        <w:t xml:space="preserve"> injisert i eigne reservoar eller tatt til land for </w:t>
      </w:r>
      <w:proofErr w:type="spellStart"/>
      <w:r w:rsidRPr="00CC19F7">
        <w:t>vidare</w:t>
      </w:r>
      <w:proofErr w:type="spellEnd"/>
      <w:r w:rsidRPr="00CC19F7">
        <w:t xml:space="preserve"> behandling. </w:t>
      </w:r>
      <w:proofErr w:type="spellStart"/>
      <w:r w:rsidRPr="00CC19F7">
        <w:t>Ein</w:t>
      </w:r>
      <w:proofErr w:type="spellEnd"/>
      <w:r w:rsidRPr="00CC19F7">
        <w:t xml:space="preserve"> sideeffekt av å injisere produsert vatn og </w:t>
      </w:r>
      <w:proofErr w:type="spellStart"/>
      <w:r w:rsidRPr="00CC19F7">
        <w:t>oljehaldig</w:t>
      </w:r>
      <w:proofErr w:type="spellEnd"/>
      <w:r w:rsidRPr="00CC19F7">
        <w:t xml:space="preserve"> </w:t>
      </w:r>
      <w:proofErr w:type="spellStart"/>
      <w:r w:rsidRPr="00CC19F7">
        <w:t>borekaks</w:t>
      </w:r>
      <w:proofErr w:type="spellEnd"/>
      <w:r w:rsidRPr="00CC19F7">
        <w:t xml:space="preserve">/-væske er </w:t>
      </w:r>
      <w:proofErr w:type="spellStart"/>
      <w:r w:rsidRPr="00CC19F7">
        <w:t>auka</w:t>
      </w:r>
      <w:proofErr w:type="spellEnd"/>
      <w:r w:rsidRPr="00CC19F7">
        <w:t xml:space="preserve"> energibruk og dermed større utslepp til luft. Ilandføring av </w:t>
      </w:r>
      <w:proofErr w:type="spellStart"/>
      <w:r w:rsidRPr="00CC19F7">
        <w:t>borekaks</w:t>
      </w:r>
      <w:proofErr w:type="spellEnd"/>
      <w:r w:rsidRPr="00CC19F7">
        <w:t xml:space="preserve">/-væske </w:t>
      </w:r>
      <w:proofErr w:type="spellStart"/>
      <w:r w:rsidRPr="00CC19F7">
        <w:t>aukar</w:t>
      </w:r>
      <w:proofErr w:type="spellEnd"/>
      <w:r w:rsidRPr="00CC19F7">
        <w:t xml:space="preserve"> transportbehovet og omfanget av avfallshandteringa på land. Oljeselskapa er pålagde </w:t>
      </w:r>
      <w:proofErr w:type="spellStart"/>
      <w:r w:rsidRPr="00CC19F7">
        <w:t>miljøovervaking</w:t>
      </w:r>
      <w:proofErr w:type="spellEnd"/>
      <w:r w:rsidRPr="00CC19F7">
        <w:t xml:space="preserve"> for å følge med på verknaden av utslepp til sjø. Det er </w:t>
      </w:r>
      <w:proofErr w:type="spellStart"/>
      <w:r w:rsidRPr="00CC19F7">
        <w:t>ikkje</w:t>
      </w:r>
      <w:proofErr w:type="spellEnd"/>
      <w:r w:rsidRPr="00CC19F7">
        <w:t xml:space="preserve"> påvist </w:t>
      </w:r>
      <w:proofErr w:type="spellStart"/>
      <w:r w:rsidRPr="00CC19F7">
        <w:t>skadelege</w:t>
      </w:r>
      <w:proofErr w:type="spellEnd"/>
      <w:r w:rsidRPr="00CC19F7">
        <w:t xml:space="preserve"> </w:t>
      </w:r>
      <w:proofErr w:type="spellStart"/>
      <w:r w:rsidRPr="00CC19F7">
        <w:t>effektar</w:t>
      </w:r>
      <w:proofErr w:type="spellEnd"/>
      <w:r w:rsidRPr="00CC19F7">
        <w:t xml:space="preserve"> på miljøet som følge av utslepp av produsert vatn på norsk sokkel. Det er venta at voluma av produsert vatn </w:t>
      </w:r>
      <w:proofErr w:type="spellStart"/>
      <w:r w:rsidRPr="00CC19F7">
        <w:t>dei</w:t>
      </w:r>
      <w:proofErr w:type="spellEnd"/>
      <w:r w:rsidRPr="00CC19F7">
        <w:t xml:space="preserve"> neste </w:t>
      </w:r>
      <w:proofErr w:type="spellStart"/>
      <w:r w:rsidRPr="00CC19F7">
        <w:t>åra</w:t>
      </w:r>
      <w:proofErr w:type="spellEnd"/>
      <w:r w:rsidRPr="00CC19F7">
        <w:t xml:space="preserve"> vil </w:t>
      </w:r>
      <w:proofErr w:type="spellStart"/>
      <w:r w:rsidRPr="00CC19F7">
        <w:t>halde</w:t>
      </w:r>
      <w:proofErr w:type="spellEnd"/>
      <w:r w:rsidRPr="00CC19F7">
        <w:t xml:space="preserve"> seg på om lag same nivå som i dag.</w:t>
      </w:r>
    </w:p>
    <w:p w14:paraId="36E7937A" w14:textId="77777777" w:rsidR="00FE02EF" w:rsidRPr="00CC19F7" w:rsidRDefault="00881E58" w:rsidP="00CC19F7">
      <w:pPr>
        <w:pStyle w:val="avsnitt-tittel"/>
      </w:pPr>
      <w:r w:rsidRPr="00CC19F7">
        <w:t>Akutte utslepp til sjø</w:t>
      </w:r>
    </w:p>
    <w:p w14:paraId="6D1176CD" w14:textId="77777777" w:rsidR="00FE02EF" w:rsidRPr="00CC19F7" w:rsidRDefault="00881E58" w:rsidP="00CC19F7">
      <w:proofErr w:type="spellStart"/>
      <w:r w:rsidRPr="00CC19F7">
        <w:t>Petroleumsverksemda</w:t>
      </w:r>
      <w:proofErr w:type="spellEnd"/>
      <w:r w:rsidRPr="00CC19F7">
        <w:t xml:space="preserve"> har i </w:t>
      </w:r>
      <w:proofErr w:type="spellStart"/>
      <w:r w:rsidRPr="00CC19F7">
        <w:t>dei</w:t>
      </w:r>
      <w:proofErr w:type="spellEnd"/>
      <w:r w:rsidRPr="00CC19F7">
        <w:t xml:space="preserve"> 50 åra det har </w:t>
      </w:r>
      <w:proofErr w:type="spellStart"/>
      <w:r w:rsidRPr="00CC19F7">
        <w:t>vore</w:t>
      </w:r>
      <w:proofErr w:type="spellEnd"/>
      <w:r w:rsidRPr="00CC19F7">
        <w:t xml:space="preserve"> </w:t>
      </w:r>
      <w:proofErr w:type="spellStart"/>
      <w:r w:rsidRPr="00CC19F7">
        <w:t>verksemd</w:t>
      </w:r>
      <w:proofErr w:type="spellEnd"/>
      <w:r w:rsidRPr="00CC19F7">
        <w:t xml:space="preserve"> på norsk kontinentalsokkel </w:t>
      </w:r>
      <w:proofErr w:type="spellStart"/>
      <w:r w:rsidRPr="00CC19F7">
        <w:t>ikkje</w:t>
      </w:r>
      <w:proofErr w:type="spellEnd"/>
      <w:r w:rsidRPr="00CC19F7">
        <w:t xml:space="preserve"> ført til store akutte utslepp av olje som har nådd land eller har gitt større miljøskade. </w:t>
      </w:r>
      <w:proofErr w:type="spellStart"/>
      <w:r w:rsidRPr="00CC19F7">
        <w:t>Talet</w:t>
      </w:r>
      <w:proofErr w:type="spellEnd"/>
      <w:r w:rsidRPr="00CC19F7">
        <w:t xml:space="preserve"> på utslepp på over </w:t>
      </w:r>
      <w:proofErr w:type="spellStart"/>
      <w:r w:rsidRPr="00CC19F7">
        <w:t>ein</w:t>
      </w:r>
      <w:proofErr w:type="spellEnd"/>
      <w:r w:rsidRPr="00CC19F7">
        <w:t xml:space="preserve"> kubikkmeter er av avgrensa omfang.</w:t>
      </w:r>
    </w:p>
    <w:p w14:paraId="52077B40" w14:textId="77777777" w:rsidR="00FE02EF" w:rsidRPr="00CC19F7" w:rsidRDefault="00881E58" w:rsidP="00CC19F7">
      <w:r w:rsidRPr="00CC19F7">
        <w:t xml:space="preserve">Havindustritilsynet gir </w:t>
      </w:r>
      <w:proofErr w:type="spellStart"/>
      <w:r w:rsidRPr="00CC19F7">
        <w:t>seinhaustes</w:t>
      </w:r>
      <w:proofErr w:type="spellEnd"/>
      <w:r w:rsidRPr="00CC19F7">
        <w:t xml:space="preserve"> ut Risikonivå i norsk </w:t>
      </w:r>
      <w:proofErr w:type="spellStart"/>
      <w:r w:rsidRPr="00CC19F7">
        <w:t>petroleumsverksemd</w:t>
      </w:r>
      <w:proofErr w:type="spellEnd"/>
      <w:r w:rsidRPr="00CC19F7">
        <w:t xml:space="preserve">, akutte utslepp (RNNP-AU). Gjennom dette arbeidet </w:t>
      </w:r>
      <w:proofErr w:type="spellStart"/>
      <w:r w:rsidRPr="00CC19F7">
        <w:t>overvakar</w:t>
      </w:r>
      <w:proofErr w:type="spellEnd"/>
      <w:r w:rsidRPr="00CC19F7">
        <w:t xml:space="preserve"> Havindustritilsynet </w:t>
      </w:r>
      <w:proofErr w:type="spellStart"/>
      <w:r w:rsidRPr="00CC19F7">
        <w:t>trendar</w:t>
      </w:r>
      <w:proofErr w:type="spellEnd"/>
      <w:r w:rsidRPr="00CC19F7">
        <w:t xml:space="preserve"> for uønskte </w:t>
      </w:r>
      <w:proofErr w:type="spellStart"/>
      <w:r w:rsidRPr="00CC19F7">
        <w:t>hendingar</w:t>
      </w:r>
      <w:proofErr w:type="spellEnd"/>
      <w:r w:rsidRPr="00CC19F7">
        <w:t xml:space="preserve"> og ulykker i </w:t>
      </w:r>
      <w:proofErr w:type="spellStart"/>
      <w:r w:rsidRPr="00CC19F7">
        <w:t>petroleumsverksemda</w:t>
      </w:r>
      <w:proofErr w:type="spellEnd"/>
      <w:r w:rsidRPr="00CC19F7">
        <w:t xml:space="preserve"> som har, eller kunne ha, ført til akutt </w:t>
      </w:r>
      <w:proofErr w:type="spellStart"/>
      <w:r w:rsidRPr="00CC19F7">
        <w:t>forureining</w:t>
      </w:r>
      <w:proofErr w:type="spellEnd"/>
      <w:r w:rsidRPr="00CC19F7">
        <w:t xml:space="preserve">. Dette arbeidet gir viktig informasjon for å kunne betre effekten av </w:t>
      </w:r>
      <w:proofErr w:type="spellStart"/>
      <w:r w:rsidRPr="00CC19F7">
        <w:t>sikkerheitsarbeid</w:t>
      </w:r>
      <w:proofErr w:type="spellEnd"/>
      <w:r w:rsidRPr="00CC19F7">
        <w:t xml:space="preserve"> og dermed kunne </w:t>
      </w:r>
      <w:proofErr w:type="spellStart"/>
      <w:r w:rsidRPr="00CC19F7">
        <w:t>førebygge</w:t>
      </w:r>
      <w:proofErr w:type="spellEnd"/>
      <w:r w:rsidRPr="00CC19F7">
        <w:t xml:space="preserve"> </w:t>
      </w:r>
      <w:proofErr w:type="spellStart"/>
      <w:r w:rsidRPr="00CC19F7">
        <w:t>hendingar</w:t>
      </w:r>
      <w:proofErr w:type="spellEnd"/>
      <w:r w:rsidRPr="00CC19F7">
        <w:t xml:space="preserve"> som kan gi akutt </w:t>
      </w:r>
      <w:proofErr w:type="spellStart"/>
      <w:r w:rsidRPr="00CC19F7">
        <w:t>forureining</w:t>
      </w:r>
      <w:proofErr w:type="spellEnd"/>
      <w:r w:rsidRPr="00CC19F7">
        <w:t xml:space="preserve"> på norsk sokkel. </w:t>
      </w:r>
      <w:proofErr w:type="spellStart"/>
      <w:r w:rsidRPr="00CC19F7">
        <w:t>Talet</w:t>
      </w:r>
      <w:proofErr w:type="spellEnd"/>
      <w:r w:rsidRPr="00CC19F7">
        <w:t xml:space="preserve"> på </w:t>
      </w:r>
      <w:proofErr w:type="spellStart"/>
      <w:r w:rsidRPr="00CC19F7">
        <w:t>hendingar</w:t>
      </w:r>
      <w:proofErr w:type="spellEnd"/>
      <w:r w:rsidRPr="00CC19F7">
        <w:t xml:space="preserve"> med akutte råoljeutslepp viser </w:t>
      </w:r>
      <w:proofErr w:type="spellStart"/>
      <w:r w:rsidRPr="00CC19F7">
        <w:t>ein</w:t>
      </w:r>
      <w:proofErr w:type="spellEnd"/>
      <w:r w:rsidRPr="00CC19F7">
        <w:t xml:space="preserve"> positiv trend totalt sett i perioden 2005–2021. Den </w:t>
      </w:r>
      <w:proofErr w:type="spellStart"/>
      <w:r w:rsidRPr="00CC19F7">
        <w:t>nedgåande</w:t>
      </w:r>
      <w:proofErr w:type="spellEnd"/>
      <w:r w:rsidRPr="00CC19F7">
        <w:t xml:space="preserve"> trenden viser likevel ei utflating med variasjon i siste halvdel av perioden. I 2022 var </w:t>
      </w:r>
      <w:proofErr w:type="spellStart"/>
      <w:r w:rsidRPr="00CC19F7">
        <w:t>talet</w:t>
      </w:r>
      <w:proofErr w:type="spellEnd"/>
      <w:r w:rsidRPr="00CC19F7">
        <w:t xml:space="preserve"> på akutte oljeutslepp på same nivå som året før, og på sitt </w:t>
      </w:r>
      <w:proofErr w:type="spellStart"/>
      <w:r w:rsidRPr="00CC19F7">
        <w:t>høgaste</w:t>
      </w:r>
      <w:proofErr w:type="spellEnd"/>
      <w:r w:rsidRPr="00CC19F7">
        <w:t xml:space="preserve"> </w:t>
      </w:r>
      <w:proofErr w:type="spellStart"/>
      <w:r w:rsidRPr="00CC19F7">
        <w:t>sidan</w:t>
      </w:r>
      <w:proofErr w:type="spellEnd"/>
      <w:r w:rsidRPr="00CC19F7">
        <w:t xml:space="preserve"> 2011. </w:t>
      </w:r>
      <w:proofErr w:type="spellStart"/>
      <w:r w:rsidRPr="00CC19F7">
        <w:t>Førebelse</w:t>
      </w:r>
      <w:proofErr w:type="spellEnd"/>
      <w:r w:rsidRPr="00CC19F7">
        <w:t xml:space="preserve"> tal </w:t>
      </w:r>
      <w:proofErr w:type="spellStart"/>
      <w:r w:rsidRPr="00CC19F7">
        <w:t>frå</w:t>
      </w:r>
      <w:proofErr w:type="spellEnd"/>
      <w:r w:rsidRPr="00CC19F7">
        <w:t xml:space="preserve"> RNNP-AU 2022 viser per juni 2023 så langt inga endring. Det er for </w:t>
      </w:r>
      <w:proofErr w:type="spellStart"/>
      <w:r w:rsidRPr="00CC19F7">
        <w:t>tidleg</w:t>
      </w:r>
      <w:proofErr w:type="spellEnd"/>
      <w:r w:rsidRPr="00CC19F7">
        <w:t xml:space="preserve"> å </w:t>
      </w:r>
      <w:proofErr w:type="spellStart"/>
      <w:r w:rsidRPr="00CC19F7">
        <w:t>seie</w:t>
      </w:r>
      <w:proofErr w:type="spellEnd"/>
      <w:r w:rsidRPr="00CC19F7">
        <w:t xml:space="preserve"> om denne utviklinga representerer </w:t>
      </w:r>
      <w:proofErr w:type="spellStart"/>
      <w:r w:rsidRPr="00CC19F7">
        <w:t>ein</w:t>
      </w:r>
      <w:proofErr w:type="spellEnd"/>
      <w:r w:rsidRPr="00CC19F7">
        <w:t xml:space="preserve"> negativ trend.</w:t>
      </w:r>
    </w:p>
    <w:p w14:paraId="04102BEF" w14:textId="77777777" w:rsidR="00FE02EF" w:rsidRPr="00CC19F7" w:rsidRDefault="00881E58" w:rsidP="00CC19F7">
      <w:proofErr w:type="spellStart"/>
      <w:r w:rsidRPr="00CC19F7">
        <w:t>Talet</w:t>
      </w:r>
      <w:proofErr w:type="spellEnd"/>
      <w:r w:rsidRPr="00CC19F7">
        <w:t xml:space="preserve"> på </w:t>
      </w:r>
      <w:proofErr w:type="spellStart"/>
      <w:r w:rsidRPr="00CC19F7">
        <w:t>hendingar</w:t>
      </w:r>
      <w:proofErr w:type="spellEnd"/>
      <w:r w:rsidRPr="00CC19F7">
        <w:t xml:space="preserve"> med kjemikalieutslepp har variert rundt </w:t>
      </w:r>
      <w:proofErr w:type="spellStart"/>
      <w:r w:rsidRPr="00CC19F7">
        <w:t>eit</w:t>
      </w:r>
      <w:proofErr w:type="spellEnd"/>
      <w:r w:rsidRPr="00CC19F7">
        <w:t xml:space="preserve"> relativt stabilt nivå i perioden, men kan </w:t>
      </w:r>
      <w:proofErr w:type="spellStart"/>
      <w:r w:rsidRPr="00CC19F7">
        <w:t>synast</w:t>
      </w:r>
      <w:proofErr w:type="spellEnd"/>
      <w:r w:rsidRPr="00CC19F7">
        <w:t xml:space="preserve"> å ha </w:t>
      </w:r>
      <w:proofErr w:type="spellStart"/>
      <w:r w:rsidRPr="00CC19F7">
        <w:t>ein</w:t>
      </w:r>
      <w:proofErr w:type="spellEnd"/>
      <w:r w:rsidRPr="00CC19F7">
        <w:t xml:space="preserve"> </w:t>
      </w:r>
      <w:proofErr w:type="spellStart"/>
      <w:r w:rsidRPr="00CC19F7">
        <w:t>aukande</w:t>
      </w:r>
      <w:proofErr w:type="spellEnd"/>
      <w:r w:rsidRPr="00CC19F7">
        <w:t xml:space="preserve"> trend </w:t>
      </w:r>
      <w:proofErr w:type="spellStart"/>
      <w:r w:rsidRPr="00CC19F7">
        <w:t>dei</w:t>
      </w:r>
      <w:proofErr w:type="spellEnd"/>
      <w:r w:rsidRPr="00CC19F7">
        <w:t xml:space="preserve"> siste åra. Den </w:t>
      </w:r>
      <w:proofErr w:type="spellStart"/>
      <w:r w:rsidRPr="00CC19F7">
        <w:t>årlege</w:t>
      </w:r>
      <w:proofErr w:type="spellEnd"/>
      <w:r w:rsidRPr="00CC19F7">
        <w:t xml:space="preserve"> </w:t>
      </w:r>
      <w:proofErr w:type="spellStart"/>
      <w:r w:rsidRPr="00CC19F7">
        <w:t>utsleppsmengda</w:t>
      </w:r>
      <w:proofErr w:type="spellEnd"/>
      <w:r w:rsidRPr="00CC19F7">
        <w:t xml:space="preserve"> av </w:t>
      </w:r>
      <w:proofErr w:type="spellStart"/>
      <w:r w:rsidRPr="00CC19F7">
        <w:t>kjemikaliar</w:t>
      </w:r>
      <w:proofErr w:type="spellEnd"/>
      <w:r w:rsidRPr="00CC19F7">
        <w:t xml:space="preserve"> på norsk sokkel har også variert gjennom perioden </w:t>
      </w:r>
      <w:proofErr w:type="spellStart"/>
      <w:r w:rsidRPr="00CC19F7">
        <w:t>frå</w:t>
      </w:r>
      <w:proofErr w:type="spellEnd"/>
      <w:r w:rsidRPr="00CC19F7">
        <w:t xml:space="preserve"> 2005 til 2020. Trass i 194 faktiske </w:t>
      </w:r>
      <w:proofErr w:type="spellStart"/>
      <w:r w:rsidRPr="00CC19F7">
        <w:t>utsleppshendingar</w:t>
      </w:r>
      <w:proofErr w:type="spellEnd"/>
      <w:r w:rsidRPr="00CC19F7">
        <w:t xml:space="preserve"> i 2022 er </w:t>
      </w:r>
      <w:proofErr w:type="spellStart"/>
      <w:r w:rsidRPr="00CC19F7">
        <w:t>utsleppsmengda</w:t>
      </w:r>
      <w:proofErr w:type="spellEnd"/>
      <w:r w:rsidRPr="00CC19F7">
        <w:t xml:space="preserve"> låg </w:t>
      </w:r>
      <w:proofErr w:type="spellStart"/>
      <w:r w:rsidRPr="00CC19F7">
        <w:t>samanlikna</w:t>
      </w:r>
      <w:proofErr w:type="spellEnd"/>
      <w:r w:rsidRPr="00CC19F7">
        <w:t xml:space="preserve"> med enkelte </w:t>
      </w:r>
      <w:proofErr w:type="spellStart"/>
      <w:r w:rsidRPr="00CC19F7">
        <w:t>tidlegare</w:t>
      </w:r>
      <w:proofErr w:type="spellEnd"/>
      <w:r w:rsidRPr="00CC19F7">
        <w:t xml:space="preserve"> år, mellom anna hadde 2020 </w:t>
      </w:r>
      <w:proofErr w:type="spellStart"/>
      <w:r w:rsidRPr="00CC19F7">
        <w:t>fleire</w:t>
      </w:r>
      <w:proofErr w:type="spellEnd"/>
      <w:r w:rsidRPr="00CC19F7">
        <w:t xml:space="preserve"> store utslepp. Akutte kjemikalieutslepp er </w:t>
      </w:r>
      <w:proofErr w:type="spellStart"/>
      <w:r w:rsidRPr="00CC19F7">
        <w:t>framleis</w:t>
      </w:r>
      <w:proofErr w:type="spellEnd"/>
      <w:r w:rsidRPr="00CC19F7">
        <w:t xml:space="preserve"> den </w:t>
      </w:r>
      <w:proofErr w:type="spellStart"/>
      <w:r w:rsidRPr="00CC19F7">
        <w:t>dominerande</w:t>
      </w:r>
      <w:proofErr w:type="spellEnd"/>
      <w:r w:rsidRPr="00CC19F7">
        <w:t xml:space="preserve"> typen utslepp </w:t>
      </w:r>
      <w:proofErr w:type="spellStart"/>
      <w:r w:rsidRPr="00CC19F7">
        <w:t>frå</w:t>
      </w:r>
      <w:proofErr w:type="spellEnd"/>
      <w:r w:rsidRPr="00CC19F7">
        <w:t xml:space="preserve"> norsk </w:t>
      </w:r>
      <w:proofErr w:type="spellStart"/>
      <w:r w:rsidRPr="00CC19F7">
        <w:t>petroleumsverksemd</w:t>
      </w:r>
      <w:proofErr w:type="spellEnd"/>
      <w:r w:rsidRPr="00CC19F7">
        <w:t xml:space="preserve">, både når det gjeld </w:t>
      </w:r>
      <w:proofErr w:type="spellStart"/>
      <w:r w:rsidRPr="00CC19F7">
        <w:t>talet</w:t>
      </w:r>
      <w:proofErr w:type="spellEnd"/>
      <w:r w:rsidRPr="00CC19F7">
        <w:t xml:space="preserve"> på utslepp og </w:t>
      </w:r>
      <w:proofErr w:type="spellStart"/>
      <w:r w:rsidRPr="00CC19F7">
        <w:t>årlege</w:t>
      </w:r>
      <w:proofErr w:type="spellEnd"/>
      <w:r w:rsidRPr="00CC19F7">
        <w:t xml:space="preserve"> </w:t>
      </w:r>
      <w:proofErr w:type="spellStart"/>
      <w:r w:rsidRPr="00CC19F7">
        <w:t>utsleppsmengder</w:t>
      </w:r>
      <w:proofErr w:type="spellEnd"/>
      <w:r w:rsidRPr="00CC19F7">
        <w:t>.</w:t>
      </w:r>
    </w:p>
    <w:p w14:paraId="7B720F97" w14:textId="77777777" w:rsidR="00FE02EF" w:rsidRPr="00CC19F7" w:rsidRDefault="00881E58" w:rsidP="00CC19F7">
      <w:pPr>
        <w:pStyle w:val="avsnitt-tittel"/>
      </w:pPr>
      <w:r w:rsidRPr="00CC19F7">
        <w:t>Inngrep ved utbygging av fornybar energi og nett</w:t>
      </w:r>
    </w:p>
    <w:p w14:paraId="61CD14A8" w14:textId="77777777" w:rsidR="00FE02EF" w:rsidRPr="00CC19F7" w:rsidRDefault="00881E58" w:rsidP="00CC19F7">
      <w:r w:rsidRPr="00CC19F7">
        <w:t xml:space="preserve">Utbygging av fornybar energiproduksjon som vasskraft, vindkraft og solkraft </w:t>
      </w:r>
      <w:proofErr w:type="spellStart"/>
      <w:r w:rsidRPr="00CC19F7">
        <w:t>legg</w:t>
      </w:r>
      <w:proofErr w:type="spellEnd"/>
      <w:r w:rsidRPr="00CC19F7">
        <w:t xml:space="preserve"> beslag på areal og fører med seg inngrep i natur- og kulturmiljø. Ved utnytting av fornybare energikjelder og ved bygging av </w:t>
      </w:r>
      <w:proofErr w:type="spellStart"/>
      <w:r w:rsidRPr="00CC19F7">
        <w:t>kraftleidningar</w:t>
      </w:r>
      <w:proofErr w:type="spellEnd"/>
      <w:r w:rsidRPr="00CC19F7">
        <w:t xml:space="preserve"> må samfunnet </w:t>
      </w:r>
      <w:proofErr w:type="spellStart"/>
      <w:r w:rsidRPr="00CC19F7">
        <w:t>gjere</w:t>
      </w:r>
      <w:proofErr w:type="spellEnd"/>
      <w:r w:rsidRPr="00CC19F7">
        <w:t xml:space="preserve"> viktige </w:t>
      </w:r>
      <w:proofErr w:type="spellStart"/>
      <w:r w:rsidRPr="00CC19F7">
        <w:t>avvegingar</w:t>
      </w:r>
      <w:proofErr w:type="spellEnd"/>
      <w:r w:rsidRPr="00CC19F7">
        <w:t xml:space="preserve">. Vegar, </w:t>
      </w:r>
      <w:proofErr w:type="spellStart"/>
      <w:r w:rsidRPr="00CC19F7">
        <w:t>kraftleidningar</w:t>
      </w:r>
      <w:proofErr w:type="spellEnd"/>
      <w:r w:rsidRPr="00CC19F7">
        <w:t xml:space="preserve"> og andre </w:t>
      </w:r>
      <w:proofErr w:type="spellStart"/>
      <w:r w:rsidRPr="00CC19F7">
        <w:t>installasjonar</w:t>
      </w:r>
      <w:proofErr w:type="spellEnd"/>
      <w:r w:rsidRPr="00CC19F7">
        <w:t xml:space="preserve"> knytte til produksjonsanlegg vil kunne </w:t>
      </w:r>
      <w:proofErr w:type="spellStart"/>
      <w:r w:rsidRPr="00CC19F7">
        <w:t>påverke</w:t>
      </w:r>
      <w:proofErr w:type="spellEnd"/>
      <w:r w:rsidRPr="00CC19F7">
        <w:t xml:space="preserve"> økosystem, </w:t>
      </w:r>
      <w:proofErr w:type="spellStart"/>
      <w:r w:rsidRPr="00CC19F7">
        <w:t>naturverdiar</w:t>
      </w:r>
      <w:proofErr w:type="spellEnd"/>
      <w:r w:rsidRPr="00CC19F7">
        <w:t xml:space="preserve"> og </w:t>
      </w:r>
      <w:proofErr w:type="spellStart"/>
      <w:r w:rsidRPr="00CC19F7">
        <w:t>naturopplevingar</w:t>
      </w:r>
      <w:proofErr w:type="spellEnd"/>
      <w:r w:rsidRPr="00CC19F7">
        <w:t xml:space="preserve">. Utbygging og drift av fornybar kraftproduksjon har </w:t>
      </w:r>
      <w:proofErr w:type="spellStart"/>
      <w:r w:rsidRPr="00CC19F7">
        <w:t>noko</w:t>
      </w:r>
      <w:proofErr w:type="spellEnd"/>
      <w:r w:rsidRPr="00CC19F7">
        <w:t xml:space="preserve"> klimagassutslepp, for eksempel i byggeperioden. Mellom anna blir det brukt store mengder betong, og det er også </w:t>
      </w:r>
      <w:proofErr w:type="spellStart"/>
      <w:r w:rsidRPr="00CC19F7">
        <w:t>utfordringar</w:t>
      </w:r>
      <w:proofErr w:type="spellEnd"/>
      <w:r w:rsidRPr="00CC19F7">
        <w:t xml:space="preserve"> med materiale som blir brukte </w:t>
      </w:r>
      <w:proofErr w:type="spellStart"/>
      <w:r w:rsidRPr="00CC19F7">
        <w:t>innan</w:t>
      </w:r>
      <w:proofErr w:type="spellEnd"/>
      <w:r w:rsidRPr="00CC19F7">
        <w:t xml:space="preserve"> vindkraft og solkraft. Mangel på sirkulære </w:t>
      </w:r>
      <w:proofErr w:type="spellStart"/>
      <w:r w:rsidRPr="00CC19F7">
        <w:t>forretningsmodellar</w:t>
      </w:r>
      <w:proofErr w:type="spellEnd"/>
      <w:r w:rsidRPr="00CC19F7">
        <w:t xml:space="preserve"> er ei utfordring. Ved utbygging av ny produksjon og nye </w:t>
      </w:r>
      <w:proofErr w:type="spellStart"/>
      <w:r w:rsidRPr="00CC19F7">
        <w:t>kraftoverføringar</w:t>
      </w:r>
      <w:proofErr w:type="spellEnd"/>
      <w:r w:rsidRPr="00CC19F7">
        <w:t xml:space="preserve"> er det viktig å finne </w:t>
      </w:r>
      <w:proofErr w:type="spellStart"/>
      <w:r w:rsidRPr="00CC19F7">
        <w:t>dei</w:t>
      </w:r>
      <w:proofErr w:type="spellEnd"/>
      <w:r w:rsidRPr="00CC19F7">
        <w:t xml:space="preserve"> beste </w:t>
      </w:r>
      <w:proofErr w:type="spellStart"/>
      <w:r w:rsidRPr="00CC19F7">
        <w:t>løysingane</w:t>
      </w:r>
      <w:proofErr w:type="spellEnd"/>
      <w:r w:rsidRPr="00CC19F7">
        <w:t xml:space="preserve"> ut </w:t>
      </w:r>
      <w:proofErr w:type="spellStart"/>
      <w:r w:rsidRPr="00CC19F7">
        <w:t>frå</w:t>
      </w:r>
      <w:proofErr w:type="spellEnd"/>
      <w:r w:rsidRPr="00CC19F7">
        <w:t xml:space="preserve"> ei </w:t>
      </w:r>
      <w:proofErr w:type="spellStart"/>
      <w:r w:rsidRPr="00CC19F7">
        <w:t>heilskapleg</w:t>
      </w:r>
      <w:proofErr w:type="spellEnd"/>
      <w:r w:rsidRPr="00CC19F7">
        <w:t xml:space="preserve"> avveging av miljøomsyn og andre samfunnsomsyn.</w:t>
      </w:r>
    </w:p>
    <w:p w14:paraId="139E542A" w14:textId="77777777" w:rsidR="00FE02EF" w:rsidRPr="00CC19F7" w:rsidRDefault="00881E58" w:rsidP="00CC19F7">
      <w:pPr>
        <w:pStyle w:val="Overskrift2"/>
      </w:pPr>
      <w:proofErr w:type="spellStart"/>
      <w:r w:rsidRPr="00CC19F7">
        <w:t>Verkemiddel</w:t>
      </w:r>
      <w:proofErr w:type="spellEnd"/>
      <w:r w:rsidRPr="00CC19F7">
        <w:t xml:space="preserve"> som har </w:t>
      </w:r>
      <w:proofErr w:type="spellStart"/>
      <w:r w:rsidRPr="00CC19F7">
        <w:t>ein</w:t>
      </w:r>
      <w:proofErr w:type="spellEnd"/>
      <w:r w:rsidRPr="00CC19F7">
        <w:t xml:space="preserve"> klima- og miljøeffekt</w:t>
      </w:r>
    </w:p>
    <w:p w14:paraId="3C0F8EA6" w14:textId="77777777" w:rsidR="00FE02EF" w:rsidRPr="00CC19F7" w:rsidRDefault="00881E58" w:rsidP="00CC19F7">
      <w:pPr>
        <w:pStyle w:val="avsnitt-tittel"/>
      </w:pPr>
      <w:r w:rsidRPr="00CC19F7">
        <w:t>CO</w:t>
      </w:r>
      <w:r w:rsidRPr="00CC19F7">
        <w:rPr>
          <w:rStyle w:val="skrift-senket"/>
        </w:rPr>
        <w:t>2</w:t>
      </w:r>
      <w:r w:rsidRPr="00CC19F7">
        <w:t>-handtering</w:t>
      </w:r>
    </w:p>
    <w:p w14:paraId="3BE04368" w14:textId="77777777" w:rsidR="00FE02EF" w:rsidRPr="00CC19F7" w:rsidRDefault="00881E58" w:rsidP="00CC19F7">
      <w:r w:rsidRPr="00CC19F7">
        <w:t xml:space="preserve">Regjeringa prioriterer arbeidet med å utvikle </w:t>
      </w:r>
      <w:proofErr w:type="spellStart"/>
      <w:r w:rsidRPr="00CC19F7">
        <w:t>teknologiar</w:t>
      </w:r>
      <w:proofErr w:type="spellEnd"/>
      <w:r w:rsidRPr="00CC19F7">
        <w:t xml:space="preserve"> og </w:t>
      </w:r>
      <w:proofErr w:type="spellStart"/>
      <w:r w:rsidRPr="00CC19F7">
        <w:t>løysingar</w:t>
      </w:r>
      <w:proofErr w:type="spellEnd"/>
      <w:r w:rsidRPr="00CC19F7">
        <w:t xml:space="preserve"> som kan </w:t>
      </w:r>
      <w:proofErr w:type="spellStart"/>
      <w:r w:rsidRPr="00CC19F7">
        <w:t>medverke</w:t>
      </w:r>
      <w:proofErr w:type="spellEnd"/>
      <w:r w:rsidRPr="00CC19F7">
        <w:t xml:space="preserve"> til å redusere klimagassutsleppa. Arbeidet med å utvikle kostnadseffektive </w:t>
      </w:r>
      <w:proofErr w:type="spellStart"/>
      <w:r w:rsidRPr="00CC19F7">
        <w:t>løysingar</w:t>
      </w:r>
      <w:proofErr w:type="spellEnd"/>
      <w:r w:rsidRPr="00CC19F7">
        <w:t xml:space="preserve"> for fangst og lagring av CO</w:t>
      </w:r>
      <w:r w:rsidRPr="00CC19F7">
        <w:rPr>
          <w:rStyle w:val="skrift-senket"/>
        </w:rPr>
        <w:t>2</w:t>
      </w:r>
      <w:r w:rsidRPr="00CC19F7">
        <w:t xml:space="preserve"> er </w:t>
      </w:r>
      <w:proofErr w:type="spellStart"/>
      <w:r w:rsidRPr="00CC19F7">
        <w:t>ein</w:t>
      </w:r>
      <w:proofErr w:type="spellEnd"/>
      <w:r w:rsidRPr="00CC19F7">
        <w:t xml:space="preserve"> viktig del av denne satsinga. Stortinget vedtok </w:t>
      </w:r>
      <w:proofErr w:type="spellStart"/>
      <w:r w:rsidRPr="00CC19F7">
        <w:t>hausten</w:t>
      </w:r>
      <w:proofErr w:type="spellEnd"/>
      <w:r w:rsidRPr="00CC19F7">
        <w:t xml:space="preserve"> 2020 å gjennomføre Langskip i tråd med Meld. St. 33 (2019–2020) og </w:t>
      </w:r>
      <w:proofErr w:type="spellStart"/>
      <w:r w:rsidRPr="00CC19F7">
        <w:t>Prop</w:t>
      </w:r>
      <w:proofErr w:type="spellEnd"/>
      <w:r w:rsidRPr="00CC19F7">
        <w:t xml:space="preserve">. 1 S (2020–2021) </w:t>
      </w:r>
      <w:proofErr w:type="spellStart"/>
      <w:r w:rsidRPr="00CC19F7">
        <w:t>frå</w:t>
      </w:r>
      <w:proofErr w:type="spellEnd"/>
      <w:r w:rsidRPr="00CC19F7">
        <w:t xml:space="preserve"> Olje- og energidepartementet. Lagerprosjektet til Northern </w:t>
      </w:r>
      <w:proofErr w:type="spellStart"/>
      <w:r w:rsidRPr="00CC19F7">
        <w:t>Lights</w:t>
      </w:r>
      <w:proofErr w:type="spellEnd"/>
      <w:r w:rsidRPr="00CC19F7">
        <w:t xml:space="preserve"> er i rute til ferdigstilling </w:t>
      </w:r>
      <w:proofErr w:type="spellStart"/>
      <w:r w:rsidRPr="00CC19F7">
        <w:t>hausten</w:t>
      </w:r>
      <w:proofErr w:type="spellEnd"/>
      <w:r w:rsidRPr="00CC19F7">
        <w:t xml:space="preserve"> 2024. Fangstprosjektet til Heidelberg Materials i Brevik (</w:t>
      </w:r>
      <w:proofErr w:type="spellStart"/>
      <w:r w:rsidRPr="00CC19F7">
        <w:t>tidlegare</w:t>
      </w:r>
      <w:proofErr w:type="spellEnd"/>
      <w:r w:rsidRPr="00CC19F7">
        <w:t xml:space="preserve"> Norcem) ligg an til oppstart våren 2025. I 2022 sikra regjeringa </w:t>
      </w:r>
      <w:proofErr w:type="spellStart"/>
      <w:r w:rsidRPr="00CC19F7">
        <w:t>saman</w:t>
      </w:r>
      <w:proofErr w:type="spellEnd"/>
      <w:r w:rsidRPr="00CC19F7">
        <w:t xml:space="preserve"> med </w:t>
      </w:r>
      <w:proofErr w:type="spellStart"/>
      <w:r w:rsidRPr="00CC19F7">
        <w:t>dei</w:t>
      </w:r>
      <w:proofErr w:type="spellEnd"/>
      <w:r w:rsidRPr="00CC19F7">
        <w:t xml:space="preserve"> nye </w:t>
      </w:r>
      <w:proofErr w:type="spellStart"/>
      <w:r w:rsidRPr="00CC19F7">
        <w:t>eigarane</w:t>
      </w:r>
      <w:proofErr w:type="spellEnd"/>
      <w:r w:rsidRPr="00CC19F7">
        <w:t xml:space="preserve">, Hafslund Oslo </w:t>
      </w:r>
      <w:proofErr w:type="spellStart"/>
      <w:r w:rsidRPr="00CC19F7">
        <w:t>Celsio</w:t>
      </w:r>
      <w:proofErr w:type="spellEnd"/>
      <w:r w:rsidRPr="00CC19F7">
        <w:t xml:space="preserve">, finansiering av </w:t>
      </w:r>
      <w:proofErr w:type="spellStart"/>
      <w:r w:rsidRPr="00CC19F7">
        <w:t>eit</w:t>
      </w:r>
      <w:proofErr w:type="spellEnd"/>
      <w:r w:rsidRPr="00CC19F7">
        <w:t xml:space="preserve"> CO</w:t>
      </w:r>
      <w:r w:rsidRPr="00CC19F7">
        <w:rPr>
          <w:rStyle w:val="skrift-senket"/>
        </w:rPr>
        <w:t>2</w:t>
      </w:r>
      <w:r w:rsidRPr="00CC19F7">
        <w:t>-fangstprosjekt på Klemetsrud i Oslo. Selskapet har i 2023 sett prosjektet på vent for å få ned kostnadene. Regjeringas arbeid med CO</w:t>
      </w:r>
      <w:r w:rsidRPr="00CC19F7">
        <w:rPr>
          <w:rStyle w:val="skrift-senket"/>
        </w:rPr>
        <w:t>2</w:t>
      </w:r>
      <w:r w:rsidRPr="00CC19F7">
        <w:t xml:space="preserve">-handtering </w:t>
      </w:r>
      <w:proofErr w:type="spellStart"/>
      <w:r w:rsidRPr="00CC19F7">
        <w:t>omfattar</w:t>
      </w:r>
      <w:proofErr w:type="spellEnd"/>
      <w:r w:rsidRPr="00CC19F7">
        <w:t xml:space="preserve"> </w:t>
      </w:r>
      <w:proofErr w:type="spellStart"/>
      <w:r w:rsidRPr="00CC19F7">
        <w:t>eit</w:t>
      </w:r>
      <w:proofErr w:type="spellEnd"/>
      <w:r w:rsidRPr="00CC19F7">
        <w:t xml:space="preserve"> breitt spekter av </w:t>
      </w:r>
      <w:proofErr w:type="spellStart"/>
      <w:r w:rsidRPr="00CC19F7">
        <w:t>aktivitetar</w:t>
      </w:r>
      <w:proofErr w:type="spellEnd"/>
      <w:r w:rsidRPr="00CC19F7">
        <w:t>, forsking, utvikling og demonstrasjon, i tillegg til internasjonalt arbeid for å fremme CO</w:t>
      </w:r>
      <w:r w:rsidRPr="00CC19F7">
        <w:rPr>
          <w:rStyle w:val="skrift-senket"/>
        </w:rPr>
        <w:t>2</w:t>
      </w:r>
      <w:r w:rsidRPr="00CC19F7">
        <w:t xml:space="preserve">-handtering. Teknologisenter Mongstad (TCM) står sentralt i denne satsinga. Målet med teknologisenteret er å skape </w:t>
      </w:r>
      <w:proofErr w:type="spellStart"/>
      <w:r w:rsidRPr="00CC19F7">
        <w:t>ein</w:t>
      </w:r>
      <w:proofErr w:type="spellEnd"/>
      <w:r w:rsidRPr="00CC19F7">
        <w:t xml:space="preserve"> arena for målretta utvikling, testing og kvalifisering av teknologi for CO</w:t>
      </w:r>
      <w:r w:rsidRPr="00CC19F7">
        <w:rPr>
          <w:rStyle w:val="skrift-senket"/>
        </w:rPr>
        <w:t>2</w:t>
      </w:r>
      <w:r w:rsidRPr="00CC19F7">
        <w:t>-fangst. TCM er det største og mest fleksible testsenteret for CO</w:t>
      </w:r>
      <w:r w:rsidRPr="00CC19F7">
        <w:rPr>
          <w:rStyle w:val="skrift-senket"/>
        </w:rPr>
        <w:t>2</w:t>
      </w:r>
      <w:r w:rsidRPr="00CC19F7">
        <w:t xml:space="preserve">-fangstteknologi i verda. Staten og </w:t>
      </w:r>
      <w:proofErr w:type="spellStart"/>
      <w:r w:rsidRPr="00CC19F7">
        <w:t>dei</w:t>
      </w:r>
      <w:proofErr w:type="spellEnd"/>
      <w:r w:rsidRPr="00CC19F7">
        <w:t xml:space="preserve"> industrielle </w:t>
      </w:r>
      <w:proofErr w:type="spellStart"/>
      <w:r w:rsidRPr="00CC19F7">
        <w:t>partnarane</w:t>
      </w:r>
      <w:proofErr w:type="spellEnd"/>
      <w:r w:rsidRPr="00CC19F7">
        <w:t xml:space="preserve"> </w:t>
      </w:r>
      <w:proofErr w:type="spellStart"/>
      <w:r w:rsidRPr="00CC19F7">
        <w:t>Equinor</w:t>
      </w:r>
      <w:proofErr w:type="spellEnd"/>
      <w:r w:rsidRPr="00CC19F7">
        <w:t xml:space="preserve">, Shell og </w:t>
      </w:r>
      <w:proofErr w:type="spellStart"/>
      <w:r w:rsidRPr="00CC19F7">
        <w:t>TotalEnergies</w:t>
      </w:r>
      <w:proofErr w:type="spellEnd"/>
      <w:r w:rsidRPr="00CC19F7">
        <w:t xml:space="preserve"> er i </w:t>
      </w:r>
      <w:proofErr w:type="spellStart"/>
      <w:r w:rsidRPr="00CC19F7">
        <w:t>forhandlingar</w:t>
      </w:r>
      <w:proofErr w:type="spellEnd"/>
      <w:r w:rsidRPr="00CC19F7">
        <w:t xml:space="preserve"> om å forlenge </w:t>
      </w:r>
      <w:proofErr w:type="spellStart"/>
      <w:r w:rsidRPr="00CC19F7">
        <w:t>deltakaravtalen</w:t>
      </w:r>
      <w:proofErr w:type="spellEnd"/>
      <w:r w:rsidRPr="00CC19F7">
        <w:t>, som varer ut 2023. CLIMIT-programmet for forsking, utvikling og demonstrasjon av teknologi for CO</w:t>
      </w:r>
      <w:r w:rsidRPr="00CC19F7">
        <w:rPr>
          <w:rStyle w:val="skrift-senket"/>
        </w:rPr>
        <w:t>2</w:t>
      </w:r>
      <w:r w:rsidRPr="00CC19F7">
        <w:t xml:space="preserve">-handtering og ordninga med forskingssenter for </w:t>
      </w:r>
      <w:proofErr w:type="spellStart"/>
      <w:r w:rsidRPr="00CC19F7">
        <w:t>miljøvennleg</w:t>
      </w:r>
      <w:proofErr w:type="spellEnd"/>
      <w:r w:rsidRPr="00CC19F7">
        <w:t xml:space="preserve"> energi (FME) er også viktige i arbeidet med CO</w:t>
      </w:r>
      <w:r w:rsidRPr="00CC19F7">
        <w:rPr>
          <w:rStyle w:val="skrift-senket"/>
        </w:rPr>
        <w:t>2</w:t>
      </w:r>
      <w:r w:rsidRPr="00CC19F7">
        <w:t xml:space="preserve">-handtering. Olje- og energidepartementet greier ut </w:t>
      </w:r>
      <w:proofErr w:type="spellStart"/>
      <w:r w:rsidRPr="00CC19F7">
        <w:t>verkemiddel</w:t>
      </w:r>
      <w:proofErr w:type="spellEnd"/>
      <w:r w:rsidRPr="00CC19F7">
        <w:t xml:space="preserve"> for CO</w:t>
      </w:r>
      <w:r w:rsidRPr="00CC19F7">
        <w:rPr>
          <w:rStyle w:val="skrift-senket"/>
        </w:rPr>
        <w:t>2</w:t>
      </w:r>
      <w:r w:rsidRPr="00CC19F7">
        <w:t xml:space="preserve">-handtering ved avfallsforbrenning og i industrien. Formålet med utgreiinga er å få </w:t>
      </w:r>
      <w:proofErr w:type="spellStart"/>
      <w:r w:rsidRPr="00CC19F7">
        <w:t>eit</w:t>
      </w:r>
      <w:proofErr w:type="spellEnd"/>
      <w:r w:rsidRPr="00CC19F7">
        <w:t xml:space="preserve"> betre kunnskapsgrunnlag om </w:t>
      </w:r>
      <w:proofErr w:type="spellStart"/>
      <w:r w:rsidRPr="00CC19F7">
        <w:t>verkemiddel</w:t>
      </w:r>
      <w:proofErr w:type="spellEnd"/>
      <w:r w:rsidRPr="00CC19F7">
        <w:t xml:space="preserve"> som kan legge til rette for </w:t>
      </w:r>
      <w:proofErr w:type="spellStart"/>
      <w:r w:rsidRPr="00CC19F7">
        <w:t>fleire</w:t>
      </w:r>
      <w:proofErr w:type="spellEnd"/>
      <w:r w:rsidRPr="00CC19F7">
        <w:t xml:space="preserve"> prosjekt i </w:t>
      </w:r>
      <w:proofErr w:type="spellStart"/>
      <w:r w:rsidRPr="00CC19F7">
        <w:t>Noreg</w:t>
      </w:r>
      <w:proofErr w:type="spellEnd"/>
      <w:r w:rsidRPr="00CC19F7">
        <w:t>. Utgreiinga vil sjå på heile CO</w:t>
      </w:r>
      <w:r w:rsidRPr="00CC19F7">
        <w:rPr>
          <w:rStyle w:val="skrift-senket"/>
        </w:rPr>
        <w:t>2</w:t>
      </w:r>
      <w:r w:rsidRPr="00CC19F7">
        <w:t>-handteringskjeda.</w:t>
      </w:r>
    </w:p>
    <w:p w14:paraId="2586C31A" w14:textId="77777777" w:rsidR="00FE02EF" w:rsidRPr="00CC19F7" w:rsidRDefault="00881E58" w:rsidP="00CC19F7">
      <w:r w:rsidRPr="00CC19F7">
        <w:t xml:space="preserve">Olje- og energidepartementet har </w:t>
      </w:r>
      <w:proofErr w:type="spellStart"/>
      <w:r w:rsidRPr="00CC19F7">
        <w:t>sidan</w:t>
      </w:r>
      <w:proofErr w:type="spellEnd"/>
      <w:r w:rsidRPr="00CC19F7">
        <w:t xml:space="preserve"> 2008 leia oppfølginga av handlingsplanen for å fremme utvikling og bruk av CO</w:t>
      </w:r>
      <w:r w:rsidRPr="00CC19F7">
        <w:rPr>
          <w:rStyle w:val="skrift-senket"/>
        </w:rPr>
        <w:t>2</w:t>
      </w:r>
      <w:r w:rsidRPr="00CC19F7">
        <w:t xml:space="preserve">-handtering internasjonalt. Måla for arbeidet er å få </w:t>
      </w:r>
      <w:proofErr w:type="spellStart"/>
      <w:r w:rsidRPr="00CC19F7">
        <w:t>auka</w:t>
      </w:r>
      <w:proofErr w:type="spellEnd"/>
      <w:r w:rsidRPr="00CC19F7">
        <w:t xml:space="preserve"> aksept for fangst og lagring av CO</w:t>
      </w:r>
      <w:r w:rsidRPr="00CC19F7">
        <w:rPr>
          <w:rStyle w:val="skrift-senket"/>
        </w:rPr>
        <w:t>2</w:t>
      </w:r>
      <w:r w:rsidRPr="00CC19F7">
        <w:t xml:space="preserve"> som </w:t>
      </w:r>
      <w:proofErr w:type="spellStart"/>
      <w:r w:rsidRPr="00CC19F7">
        <w:t>eit</w:t>
      </w:r>
      <w:proofErr w:type="spellEnd"/>
      <w:r w:rsidRPr="00CC19F7">
        <w:t xml:space="preserve"> viktig klimatiltak, få ei brei forståing for reduksjonspotensialet som følger av teknologien, og </w:t>
      </w:r>
      <w:proofErr w:type="spellStart"/>
      <w:r w:rsidRPr="00CC19F7">
        <w:t>medverke</w:t>
      </w:r>
      <w:proofErr w:type="spellEnd"/>
      <w:r w:rsidRPr="00CC19F7">
        <w:t xml:space="preserve"> til at teknologien blir tatt i bruk </w:t>
      </w:r>
      <w:proofErr w:type="spellStart"/>
      <w:r w:rsidRPr="00CC19F7">
        <w:t>utanfor</w:t>
      </w:r>
      <w:proofErr w:type="spellEnd"/>
      <w:r w:rsidRPr="00CC19F7">
        <w:t xml:space="preserve"> </w:t>
      </w:r>
      <w:proofErr w:type="spellStart"/>
      <w:r w:rsidRPr="00CC19F7">
        <w:t>Noreg</w:t>
      </w:r>
      <w:proofErr w:type="spellEnd"/>
      <w:r w:rsidRPr="00CC19F7">
        <w:t xml:space="preserve">. Det er oppretta ei rekke regionale og internasjonale samarbeid der </w:t>
      </w:r>
      <w:proofErr w:type="spellStart"/>
      <w:r w:rsidRPr="00CC19F7">
        <w:t>Noreg</w:t>
      </w:r>
      <w:proofErr w:type="spellEnd"/>
      <w:r w:rsidRPr="00CC19F7">
        <w:t xml:space="preserve"> ved Olje- og energidepartementet deltar. Departementet deltar i North Sea </w:t>
      </w:r>
      <w:proofErr w:type="spellStart"/>
      <w:r w:rsidRPr="00CC19F7">
        <w:t>Basin</w:t>
      </w:r>
      <w:proofErr w:type="spellEnd"/>
      <w:r w:rsidRPr="00CC19F7">
        <w:t xml:space="preserve"> </w:t>
      </w:r>
      <w:proofErr w:type="spellStart"/>
      <w:r w:rsidRPr="00CC19F7">
        <w:t>Task</w:t>
      </w:r>
      <w:proofErr w:type="spellEnd"/>
      <w:r w:rsidRPr="00CC19F7">
        <w:t xml:space="preserve"> Force, </w:t>
      </w:r>
      <w:proofErr w:type="spellStart"/>
      <w:r w:rsidRPr="00CC19F7">
        <w:t>Carbon</w:t>
      </w:r>
      <w:proofErr w:type="spellEnd"/>
      <w:r w:rsidRPr="00CC19F7">
        <w:t xml:space="preserve"> </w:t>
      </w:r>
      <w:proofErr w:type="spellStart"/>
      <w:r w:rsidRPr="00CC19F7">
        <w:t>Capture</w:t>
      </w:r>
      <w:proofErr w:type="spellEnd"/>
      <w:r w:rsidRPr="00CC19F7">
        <w:t xml:space="preserve"> </w:t>
      </w:r>
      <w:proofErr w:type="spellStart"/>
      <w:r w:rsidRPr="00CC19F7">
        <w:t>Utilisation</w:t>
      </w:r>
      <w:proofErr w:type="spellEnd"/>
      <w:r w:rsidRPr="00CC19F7">
        <w:t xml:space="preserve"> and Storage Initiative under </w:t>
      </w:r>
      <w:proofErr w:type="spellStart"/>
      <w:r w:rsidRPr="00CC19F7">
        <w:t>Clean</w:t>
      </w:r>
      <w:proofErr w:type="spellEnd"/>
      <w:r w:rsidRPr="00CC19F7">
        <w:t xml:space="preserve"> Energy </w:t>
      </w:r>
      <w:proofErr w:type="spellStart"/>
      <w:r w:rsidRPr="00CC19F7">
        <w:t>Ministerial</w:t>
      </w:r>
      <w:proofErr w:type="spellEnd"/>
      <w:r w:rsidRPr="00CC19F7">
        <w:t xml:space="preserve"> og </w:t>
      </w:r>
      <w:proofErr w:type="spellStart"/>
      <w:r w:rsidRPr="00CC19F7">
        <w:t>Carbon</w:t>
      </w:r>
      <w:proofErr w:type="spellEnd"/>
      <w:r w:rsidRPr="00CC19F7">
        <w:t xml:space="preserve"> </w:t>
      </w:r>
      <w:proofErr w:type="spellStart"/>
      <w:r w:rsidRPr="00CC19F7">
        <w:t>Sequestration</w:t>
      </w:r>
      <w:proofErr w:type="spellEnd"/>
      <w:r w:rsidRPr="00CC19F7">
        <w:t xml:space="preserve"> </w:t>
      </w:r>
      <w:proofErr w:type="spellStart"/>
      <w:r w:rsidRPr="00CC19F7">
        <w:t>Leadership</w:t>
      </w:r>
      <w:proofErr w:type="spellEnd"/>
      <w:r w:rsidRPr="00CC19F7">
        <w:t xml:space="preserve"> Forum, som er retta mot å utvikle og ta i bruk teknologi for CO</w:t>
      </w:r>
      <w:r w:rsidRPr="00CC19F7">
        <w:rPr>
          <w:rStyle w:val="skrift-senket"/>
        </w:rPr>
        <w:t>2</w:t>
      </w:r>
      <w:r w:rsidRPr="00CC19F7">
        <w:t>-handtering og utvikle rammeverk for sikker fangst og lagring av CO</w:t>
      </w:r>
      <w:r w:rsidRPr="00CC19F7">
        <w:rPr>
          <w:rStyle w:val="skrift-senket"/>
        </w:rPr>
        <w:t>2</w:t>
      </w:r>
      <w:r w:rsidRPr="00CC19F7">
        <w:t xml:space="preserve">. </w:t>
      </w:r>
      <w:proofErr w:type="spellStart"/>
      <w:r w:rsidRPr="00CC19F7">
        <w:t>Noreg</w:t>
      </w:r>
      <w:proofErr w:type="spellEnd"/>
      <w:r w:rsidRPr="00CC19F7">
        <w:t xml:space="preserve"> samarbeider tett med EU, og Olje- og energidepartementet var vertskap for Europakommisjonens nyoppretta CCUS Forum i 2022. Olje- og energidepartementet er også i dialog med </w:t>
      </w:r>
      <w:proofErr w:type="spellStart"/>
      <w:r w:rsidRPr="00CC19F7">
        <w:t>myndigheitene</w:t>
      </w:r>
      <w:proofErr w:type="spellEnd"/>
      <w:r w:rsidRPr="00CC19F7">
        <w:t xml:space="preserve"> i </w:t>
      </w:r>
      <w:proofErr w:type="spellStart"/>
      <w:r w:rsidRPr="00CC19F7">
        <w:t>fleire</w:t>
      </w:r>
      <w:proofErr w:type="spellEnd"/>
      <w:r w:rsidRPr="00CC19F7">
        <w:t xml:space="preserve"> aktuelle land i Europa om å inngå bilaterale </w:t>
      </w:r>
      <w:proofErr w:type="spellStart"/>
      <w:r w:rsidRPr="00CC19F7">
        <w:t>avtalar</w:t>
      </w:r>
      <w:proofErr w:type="spellEnd"/>
      <w:r w:rsidRPr="00CC19F7">
        <w:t xml:space="preserve"> for å kunne ta imot CO</w:t>
      </w:r>
      <w:r w:rsidRPr="00CC19F7">
        <w:rPr>
          <w:rStyle w:val="skrift-senket"/>
        </w:rPr>
        <w:t>2</w:t>
      </w:r>
      <w:r w:rsidRPr="00CC19F7">
        <w:t xml:space="preserve"> for permanent geologisk lagring på norsk kontinentalsokkel.</w:t>
      </w:r>
    </w:p>
    <w:p w14:paraId="3DF77983" w14:textId="77777777" w:rsidR="00FE02EF" w:rsidRPr="00CC19F7" w:rsidRDefault="00881E58" w:rsidP="00CC19F7">
      <w:pPr>
        <w:pStyle w:val="avsnitt-tittel"/>
      </w:pPr>
      <w:r w:rsidRPr="00CC19F7">
        <w:t xml:space="preserve">Energi og </w:t>
      </w:r>
      <w:proofErr w:type="spellStart"/>
      <w:r w:rsidRPr="00CC19F7">
        <w:t>vassressursar</w:t>
      </w:r>
      <w:proofErr w:type="spellEnd"/>
    </w:p>
    <w:p w14:paraId="59FD71DA" w14:textId="77777777" w:rsidR="00FE02EF" w:rsidRPr="00CC19F7" w:rsidRDefault="00881E58" w:rsidP="00CC19F7">
      <w:pPr>
        <w:pStyle w:val="avsnitt-undertittel"/>
      </w:pPr>
      <w:r w:rsidRPr="00CC19F7">
        <w:t>Energiomlegging, energi- og klimateknologisatsing</w:t>
      </w:r>
    </w:p>
    <w:p w14:paraId="6B059B2C" w14:textId="77777777" w:rsidR="00FE02EF" w:rsidRPr="00CC19F7" w:rsidRDefault="00881E58" w:rsidP="00CC19F7">
      <w:r w:rsidRPr="00CC19F7">
        <w:t>Kvotesystemet, CO</w:t>
      </w:r>
      <w:r w:rsidRPr="00CC19F7">
        <w:rPr>
          <w:rStyle w:val="skrift-senket"/>
        </w:rPr>
        <w:t>2</w:t>
      </w:r>
      <w:r w:rsidRPr="00CC19F7">
        <w:t xml:space="preserve">-avgift og </w:t>
      </w:r>
      <w:proofErr w:type="spellStart"/>
      <w:r w:rsidRPr="00CC19F7">
        <w:t>fleire</w:t>
      </w:r>
      <w:proofErr w:type="spellEnd"/>
      <w:r w:rsidRPr="00CC19F7">
        <w:t xml:space="preserve"> andre </w:t>
      </w:r>
      <w:proofErr w:type="spellStart"/>
      <w:r w:rsidRPr="00CC19F7">
        <w:t>verkemiddel</w:t>
      </w:r>
      <w:proofErr w:type="spellEnd"/>
      <w:r w:rsidRPr="00CC19F7">
        <w:t xml:space="preserve"> er med på å bygge opp under ei </w:t>
      </w:r>
      <w:proofErr w:type="spellStart"/>
      <w:r w:rsidRPr="00CC19F7">
        <w:t>miljøvennleg</w:t>
      </w:r>
      <w:proofErr w:type="spellEnd"/>
      <w:r w:rsidRPr="00CC19F7">
        <w:t xml:space="preserve"> energiomlegging og utvikling av energi- og klimateknologi. Miljøavgifter og særavgifter knytte til energi </w:t>
      </w:r>
      <w:proofErr w:type="spellStart"/>
      <w:r w:rsidRPr="00CC19F7">
        <w:t>medverkar</w:t>
      </w:r>
      <w:proofErr w:type="spellEnd"/>
      <w:r w:rsidRPr="00CC19F7">
        <w:t xml:space="preserve"> også til å </w:t>
      </w:r>
      <w:proofErr w:type="spellStart"/>
      <w:r w:rsidRPr="00CC19F7">
        <w:t>påverke</w:t>
      </w:r>
      <w:proofErr w:type="spellEnd"/>
      <w:r w:rsidRPr="00CC19F7">
        <w:t xml:space="preserve"> energibruken. Det er innført </w:t>
      </w:r>
      <w:proofErr w:type="spellStart"/>
      <w:r w:rsidRPr="00CC19F7">
        <w:t>energistandardar</w:t>
      </w:r>
      <w:proofErr w:type="spellEnd"/>
      <w:r w:rsidRPr="00CC19F7">
        <w:t xml:space="preserve"> og </w:t>
      </w:r>
      <w:proofErr w:type="spellStart"/>
      <w:r w:rsidRPr="00CC19F7">
        <w:t>energimerkeordningar</w:t>
      </w:r>
      <w:proofErr w:type="spellEnd"/>
      <w:r w:rsidRPr="00CC19F7">
        <w:t xml:space="preserve"> for ei rekke produkt. Det er også innført strenge forskrifter med krav til energibehov i nye bygg og ved større </w:t>
      </w:r>
      <w:proofErr w:type="spellStart"/>
      <w:r w:rsidRPr="00CC19F7">
        <w:t>rehabiliteringar</w:t>
      </w:r>
      <w:proofErr w:type="spellEnd"/>
      <w:r w:rsidRPr="00CC19F7">
        <w:t xml:space="preserve">, og det er innført krav om energimerking ved sal, </w:t>
      </w:r>
      <w:proofErr w:type="spellStart"/>
      <w:r w:rsidRPr="00CC19F7">
        <w:t>utleige</w:t>
      </w:r>
      <w:proofErr w:type="spellEnd"/>
      <w:r w:rsidRPr="00CC19F7">
        <w:t xml:space="preserve"> og </w:t>
      </w:r>
      <w:proofErr w:type="spellStart"/>
      <w:r w:rsidRPr="00CC19F7">
        <w:t>nyoppføring</w:t>
      </w:r>
      <w:proofErr w:type="spellEnd"/>
      <w:r w:rsidRPr="00CC19F7">
        <w:t xml:space="preserve"> av </w:t>
      </w:r>
      <w:proofErr w:type="spellStart"/>
      <w:r w:rsidRPr="00CC19F7">
        <w:t>bygningar</w:t>
      </w:r>
      <w:proofErr w:type="spellEnd"/>
      <w:r w:rsidRPr="00CC19F7">
        <w:t xml:space="preserve">. </w:t>
      </w:r>
      <w:proofErr w:type="spellStart"/>
      <w:r w:rsidRPr="00CC19F7">
        <w:t>Vidare</w:t>
      </w:r>
      <w:proofErr w:type="spellEnd"/>
      <w:r w:rsidRPr="00CC19F7">
        <w:t xml:space="preserve"> er det </w:t>
      </w:r>
      <w:proofErr w:type="spellStart"/>
      <w:r w:rsidRPr="00CC19F7">
        <w:t>fleire</w:t>
      </w:r>
      <w:proofErr w:type="spellEnd"/>
      <w:r w:rsidRPr="00CC19F7">
        <w:t xml:space="preserve"> </w:t>
      </w:r>
      <w:proofErr w:type="spellStart"/>
      <w:r w:rsidRPr="00CC19F7">
        <w:t>støtteordningar</w:t>
      </w:r>
      <w:proofErr w:type="spellEnd"/>
      <w:r w:rsidRPr="00CC19F7">
        <w:t xml:space="preserve"> for energieffektivisering, mellom anna gjennom </w:t>
      </w:r>
      <w:proofErr w:type="spellStart"/>
      <w:r w:rsidRPr="00CC19F7">
        <w:t>Enova</w:t>
      </w:r>
      <w:proofErr w:type="spellEnd"/>
      <w:r w:rsidRPr="00CC19F7">
        <w:t xml:space="preserve">, Husbanken og kommunale </w:t>
      </w:r>
      <w:proofErr w:type="spellStart"/>
      <w:r w:rsidRPr="00CC19F7">
        <w:t>støtteordningar</w:t>
      </w:r>
      <w:proofErr w:type="spellEnd"/>
      <w:r w:rsidRPr="00CC19F7">
        <w:t xml:space="preserve">. Energieffektivisering vil </w:t>
      </w:r>
      <w:proofErr w:type="spellStart"/>
      <w:r w:rsidRPr="00CC19F7">
        <w:t>vere</w:t>
      </w:r>
      <w:proofErr w:type="spellEnd"/>
      <w:r w:rsidRPr="00CC19F7">
        <w:t xml:space="preserve"> </w:t>
      </w:r>
      <w:proofErr w:type="spellStart"/>
      <w:r w:rsidRPr="00CC19F7">
        <w:t>eit</w:t>
      </w:r>
      <w:proofErr w:type="spellEnd"/>
      <w:r w:rsidRPr="00CC19F7">
        <w:t xml:space="preserve"> viktig bidrag til å redusere forbruksveksten i energi. Verknaden av energieffektivisering er ofte størst om vinteren, når behovet for kraft er størst og </w:t>
      </w:r>
      <w:proofErr w:type="spellStart"/>
      <w:r w:rsidRPr="00CC19F7">
        <w:t>prisane</w:t>
      </w:r>
      <w:proofErr w:type="spellEnd"/>
      <w:r w:rsidRPr="00CC19F7">
        <w:t xml:space="preserve"> er på sitt </w:t>
      </w:r>
      <w:proofErr w:type="spellStart"/>
      <w:r w:rsidRPr="00CC19F7">
        <w:t>høgaste</w:t>
      </w:r>
      <w:proofErr w:type="spellEnd"/>
      <w:r w:rsidRPr="00CC19F7">
        <w:t xml:space="preserve">. Energieffektivisering og fleksibelt forbruk som reduserer </w:t>
      </w:r>
      <w:proofErr w:type="spellStart"/>
      <w:r w:rsidRPr="00CC19F7">
        <w:t>forbrukstoppane</w:t>
      </w:r>
      <w:proofErr w:type="spellEnd"/>
      <w:r w:rsidRPr="00CC19F7">
        <w:t xml:space="preserve"> for elektrisitet, kan over tid føre til </w:t>
      </w:r>
      <w:proofErr w:type="spellStart"/>
      <w:r w:rsidRPr="00CC19F7">
        <w:t>lågare</w:t>
      </w:r>
      <w:proofErr w:type="spellEnd"/>
      <w:r w:rsidRPr="00CC19F7">
        <w:t xml:space="preserve"> investeringsbehov i straumnettet og redusere behovet for andre tiltak for å sikre effektbalansen </w:t>
      </w:r>
      <w:proofErr w:type="spellStart"/>
      <w:r w:rsidRPr="00CC19F7">
        <w:t>delar</w:t>
      </w:r>
      <w:proofErr w:type="spellEnd"/>
      <w:r w:rsidRPr="00CC19F7">
        <w:t xml:space="preserve"> av året.</w:t>
      </w:r>
    </w:p>
    <w:p w14:paraId="511EE52A" w14:textId="77777777" w:rsidR="00FE02EF" w:rsidRPr="00CC19F7" w:rsidRDefault="00881E58" w:rsidP="00CC19F7">
      <w:r w:rsidRPr="00CC19F7">
        <w:t xml:space="preserve">Bruk av fyringsolje har minka </w:t>
      </w:r>
      <w:proofErr w:type="spellStart"/>
      <w:r w:rsidRPr="00CC19F7">
        <w:t>dei</w:t>
      </w:r>
      <w:proofErr w:type="spellEnd"/>
      <w:r w:rsidRPr="00CC19F7">
        <w:t xml:space="preserve"> siste åra, </w:t>
      </w:r>
      <w:proofErr w:type="spellStart"/>
      <w:r w:rsidRPr="00CC19F7">
        <w:t>noko</w:t>
      </w:r>
      <w:proofErr w:type="spellEnd"/>
      <w:r w:rsidRPr="00CC19F7">
        <w:t xml:space="preserve"> som har resultert i reduserte utslepp. Ifølge </w:t>
      </w:r>
      <w:proofErr w:type="spellStart"/>
      <w:r w:rsidRPr="00CC19F7">
        <w:rPr>
          <w:rStyle w:val="kursiv"/>
        </w:rPr>
        <w:t>byggteknisk</w:t>
      </w:r>
      <w:proofErr w:type="spellEnd"/>
      <w:r w:rsidRPr="00CC19F7">
        <w:rPr>
          <w:rStyle w:val="kursiv"/>
        </w:rPr>
        <w:t xml:space="preserve"> forskrift</w:t>
      </w:r>
      <w:r w:rsidRPr="00CC19F7">
        <w:t xml:space="preserve"> er </w:t>
      </w:r>
      <w:proofErr w:type="spellStart"/>
      <w:r w:rsidRPr="00CC19F7">
        <w:t>varmeinstallasjonar</w:t>
      </w:r>
      <w:proofErr w:type="spellEnd"/>
      <w:r w:rsidRPr="00CC19F7">
        <w:t xml:space="preserve"> for fossilt brensel </w:t>
      </w:r>
      <w:proofErr w:type="spellStart"/>
      <w:r w:rsidRPr="00CC19F7">
        <w:t>ikkje</w:t>
      </w:r>
      <w:proofErr w:type="spellEnd"/>
      <w:r w:rsidRPr="00CC19F7">
        <w:t xml:space="preserve"> lov i nybygg og ved store </w:t>
      </w:r>
      <w:proofErr w:type="spellStart"/>
      <w:r w:rsidRPr="00CC19F7">
        <w:t>ombyggingar</w:t>
      </w:r>
      <w:proofErr w:type="spellEnd"/>
      <w:r w:rsidRPr="00CC19F7">
        <w:t xml:space="preserve">. </w:t>
      </w:r>
      <w:proofErr w:type="spellStart"/>
      <w:r w:rsidRPr="00CC19F7">
        <w:t>Sidan</w:t>
      </w:r>
      <w:proofErr w:type="spellEnd"/>
      <w:r w:rsidRPr="00CC19F7">
        <w:t xml:space="preserve"> 1. januar 2020 har det </w:t>
      </w:r>
      <w:proofErr w:type="spellStart"/>
      <w:r w:rsidRPr="00CC19F7">
        <w:t>vore</w:t>
      </w:r>
      <w:proofErr w:type="spellEnd"/>
      <w:r w:rsidRPr="00CC19F7">
        <w:t xml:space="preserve"> </w:t>
      </w:r>
      <w:proofErr w:type="spellStart"/>
      <w:r w:rsidRPr="00CC19F7">
        <w:t>forbode</w:t>
      </w:r>
      <w:proofErr w:type="spellEnd"/>
      <w:r w:rsidRPr="00CC19F7">
        <w:t xml:space="preserve"> å bruke mineralolje til oppvarming av bygg. </w:t>
      </w:r>
      <w:proofErr w:type="spellStart"/>
      <w:r w:rsidRPr="00CC19F7">
        <w:t>Frå</w:t>
      </w:r>
      <w:proofErr w:type="spellEnd"/>
      <w:r w:rsidRPr="00CC19F7">
        <w:t xml:space="preserve"> 1. januar 2022 blei </w:t>
      </w:r>
      <w:proofErr w:type="spellStart"/>
      <w:r w:rsidRPr="00CC19F7">
        <w:t>forbodet</w:t>
      </w:r>
      <w:proofErr w:type="spellEnd"/>
      <w:r w:rsidRPr="00CC19F7">
        <w:t xml:space="preserve"> utvida til også å omfatte bruken av fossil olje til mellombels oppvarming og tørking av bygg under oppføring og rehabilitering.</w:t>
      </w:r>
    </w:p>
    <w:p w14:paraId="294A519A" w14:textId="77777777" w:rsidR="00FE02EF" w:rsidRPr="00CC19F7" w:rsidRDefault="00881E58" w:rsidP="00CC19F7">
      <w:r w:rsidRPr="00CC19F7">
        <w:t xml:space="preserve">Den felles norsk-svenske </w:t>
      </w:r>
      <w:proofErr w:type="spellStart"/>
      <w:r w:rsidRPr="00CC19F7">
        <w:t>marknaden</w:t>
      </w:r>
      <w:proofErr w:type="spellEnd"/>
      <w:r w:rsidRPr="00CC19F7">
        <w:t xml:space="preserve"> for elsertifikat har </w:t>
      </w:r>
      <w:proofErr w:type="spellStart"/>
      <w:r w:rsidRPr="00CC19F7">
        <w:t>vore</w:t>
      </w:r>
      <w:proofErr w:type="spellEnd"/>
      <w:r w:rsidRPr="00CC19F7">
        <w:t xml:space="preserve"> </w:t>
      </w:r>
      <w:proofErr w:type="spellStart"/>
      <w:r w:rsidRPr="00CC19F7">
        <w:t>eit</w:t>
      </w:r>
      <w:proofErr w:type="spellEnd"/>
      <w:r w:rsidRPr="00CC19F7">
        <w:t xml:space="preserve"> viktig </w:t>
      </w:r>
      <w:proofErr w:type="spellStart"/>
      <w:r w:rsidRPr="00CC19F7">
        <w:t>verkemiddel</w:t>
      </w:r>
      <w:proofErr w:type="spellEnd"/>
      <w:r w:rsidRPr="00CC19F7">
        <w:t xml:space="preserve"> for å nå det norske målet på 67,5 prosent under fornybardirektivet. Ordninga starta opp 1. januar 2012. Det samla målet for ny fornybar elektrisitet i den felles </w:t>
      </w:r>
      <w:proofErr w:type="spellStart"/>
      <w:r w:rsidRPr="00CC19F7">
        <w:t>elsertifikatmarknaden</w:t>
      </w:r>
      <w:proofErr w:type="spellEnd"/>
      <w:r w:rsidRPr="00CC19F7">
        <w:t xml:space="preserve"> er 28,4 </w:t>
      </w:r>
      <w:proofErr w:type="spellStart"/>
      <w:r w:rsidRPr="00CC19F7">
        <w:t>TWh</w:t>
      </w:r>
      <w:proofErr w:type="spellEnd"/>
      <w:r w:rsidRPr="00CC19F7">
        <w:t xml:space="preserve"> i 2020. Av dette har </w:t>
      </w:r>
      <w:proofErr w:type="spellStart"/>
      <w:r w:rsidRPr="00CC19F7">
        <w:t>Noreg</w:t>
      </w:r>
      <w:proofErr w:type="spellEnd"/>
      <w:r w:rsidRPr="00CC19F7">
        <w:t xml:space="preserve"> forplikta seg til å finansiere 13,2 </w:t>
      </w:r>
      <w:proofErr w:type="spellStart"/>
      <w:r w:rsidRPr="00CC19F7">
        <w:t>TWh</w:t>
      </w:r>
      <w:proofErr w:type="spellEnd"/>
      <w:r w:rsidRPr="00CC19F7">
        <w:t xml:space="preserve">, </w:t>
      </w:r>
      <w:proofErr w:type="spellStart"/>
      <w:r w:rsidRPr="00CC19F7">
        <w:t>medan</w:t>
      </w:r>
      <w:proofErr w:type="spellEnd"/>
      <w:r w:rsidRPr="00CC19F7">
        <w:t xml:space="preserve"> Sverige finansierer 15,2 </w:t>
      </w:r>
      <w:proofErr w:type="spellStart"/>
      <w:r w:rsidRPr="00CC19F7">
        <w:t>TWh</w:t>
      </w:r>
      <w:proofErr w:type="spellEnd"/>
      <w:r w:rsidRPr="00CC19F7">
        <w:t xml:space="preserve">, uavhengig av kvar produksjonen kjem. Sverige har i tillegg </w:t>
      </w:r>
      <w:proofErr w:type="spellStart"/>
      <w:r w:rsidRPr="00CC19F7">
        <w:t>eit</w:t>
      </w:r>
      <w:proofErr w:type="spellEnd"/>
      <w:r w:rsidRPr="00CC19F7">
        <w:t xml:space="preserve"> mål om </w:t>
      </w:r>
      <w:proofErr w:type="spellStart"/>
      <w:r w:rsidRPr="00CC19F7">
        <w:t>ytterlegare</w:t>
      </w:r>
      <w:proofErr w:type="spellEnd"/>
      <w:r w:rsidRPr="00CC19F7">
        <w:t xml:space="preserve"> 18 </w:t>
      </w:r>
      <w:proofErr w:type="spellStart"/>
      <w:r w:rsidRPr="00CC19F7">
        <w:t>TWh</w:t>
      </w:r>
      <w:proofErr w:type="spellEnd"/>
      <w:r w:rsidRPr="00CC19F7">
        <w:t xml:space="preserve"> ny fornybar elektrisitetsproduksjon i 2030, som blir finansiert av Sverige. Siste søknadsfrist for nye anlegg var 1. april 2022. Det vil </w:t>
      </w:r>
      <w:proofErr w:type="spellStart"/>
      <w:r w:rsidRPr="00CC19F7">
        <w:t>seie</w:t>
      </w:r>
      <w:proofErr w:type="spellEnd"/>
      <w:r w:rsidRPr="00CC19F7">
        <w:t xml:space="preserve"> at det </w:t>
      </w:r>
      <w:proofErr w:type="spellStart"/>
      <w:r w:rsidRPr="00CC19F7">
        <w:t>ikkje</w:t>
      </w:r>
      <w:proofErr w:type="spellEnd"/>
      <w:r w:rsidRPr="00CC19F7">
        <w:t xml:space="preserve"> vil bli godkjent </w:t>
      </w:r>
      <w:proofErr w:type="spellStart"/>
      <w:r w:rsidRPr="00CC19F7">
        <w:t>fleire</w:t>
      </w:r>
      <w:proofErr w:type="spellEnd"/>
      <w:r w:rsidRPr="00CC19F7">
        <w:t xml:space="preserve"> anlegg i elsertifikatordninga. Av produksjonen som inngår i produksjonsmålet, er det per 1. juli 2023 godkjent anlegg med </w:t>
      </w:r>
      <w:proofErr w:type="spellStart"/>
      <w:r w:rsidRPr="00CC19F7">
        <w:t>ein</w:t>
      </w:r>
      <w:proofErr w:type="spellEnd"/>
      <w:r w:rsidRPr="00CC19F7">
        <w:t xml:space="preserve"> normalårsproduksjon på 56,3 </w:t>
      </w:r>
      <w:proofErr w:type="spellStart"/>
      <w:r w:rsidRPr="00CC19F7">
        <w:t>TWh</w:t>
      </w:r>
      <w:proofErr w:type="spellEnd"/>
      <w:r w:rsidRPr="00CC19F7">
        <w:t xml:space="preserve">. Av dette er anlegg med </w:t>
      </w:r>
      <w:proofErr w:type="spellStart"/>
      <w:r w:rsidRPr="00CC19F7">
        <w:t>ein</w:t>
      </w:r>
      <w:proofErr w:type="spellEnd"/>
      <w:r w:rsidRPr="00CC19F7">
        <w:t xml:space="preserve"> normalårsproduksjon på 21 </w:t>
      </w:r>
      <w:proofErr w:type="spellStart"/>
      <w:r w:rsidRPr="00CC19F7">
        <w:t>TWh</w:t>
      </w:r>
      <w:proofErr w:type="spellEnd"/>
      <w:r w:rsidRPr="00CC19F7">
        <w:t xml:space="preserve"> bygde i </w:t>
      </w:r>
      <w:proofErr w:type="spellStart"/>
      <w:r w:rsidRPr="00CC19F7">
        <w:t>Noreg</w:t>
      </w:r>
      <w:proofErr w:type="spellEnd"/>
      <w:r w:rsidRPr="00CC19F7">
        <w:t xml:space="preserve"> og anlegg med </w:t>
      </w:r>
      <w:proofErr w:type="spellStart"/>
      <w:r w:rsidRPr="00CC19F7">
        <w:t>ein</w:t>
      </w:r>
      <w:proofErr w:type="spellEnd"/>
      <w:r w:rsidRPr="00CC19F7">
        <w:t xml:space="preserve"> normalårsproduksjon på 35,3 </w:t>
      </w:r>
      <w:proofErr w:type="spellStart"/>
      <w:r w:rsidRPr="00CC19F7">
        <w:t>TWh</w:t>
      </w:r>
      <w:proofErr w:type="spellEnd"/>
      <w:r w:rsidRPr="00CC19F7">
        <w:t xml:space="preserve"> bygde i Sverige. I </w:t>
      </w:r>
      <w:proofErr w:type="spellStart"/>
      <w:r w:rsidRPr="00CC19F7">
        <w:t>Noreg</w:t>
      </w:r>
      <w:proofErr w:type="spellEnd"/>
      <w:r w:rsidRPr="00CC19F7">
        <w:t xml:space="preserve"> er det i tillegg godkjent anlegg under overgangsordninga med </w:t>
      </w:r>
      <w:proofErr w:type="spellStart"/>
      <w:r w:rsidRPr="00CC19F7">
        <w:t>ein</w:t>
      </w:r>
      <w:proofErr w:type="spellEnd"/>
      <w:r w:rsidRPr="00CC19F7">
        <w:t xml:space="preserve"> normalårsproduksjon på 3,1 </w:t>
      </w:r>
      <w:proofErr w:type="spellStart"/>
      <w:r w:rsidRPr="00CC19F7">
        <w:t>TWh</w:t>
      </w:r>
      <w:proofErr w:type="spellEnd"/>
      <w:r w:rsidRPr="00CC19F7">
        <w:t>.</w:t>
      </w:r>
    </w:p>
    <w:p w14:paraId="23295684" w14:textId="77777777" w:rsidR="00FE02EF" w:rsidRPr="00CC19F7" w:rsidRDefault="00881E58" w:rsidP="00CC19F7">
      <w:r w:rsidRPr="00CC19F7">
        <w:t xml:space="preserve">I 2021 blei det innført </w:t>
      </w:r>
      <w:proofErr w:type="spellStart"/>
      <w:r w:rsidRPr="00CC19F7">
        <w:t>reglar</w:t>
      </w:r>
      <w:proofErr w:type="spellEnd"/>
      <w:r w:rsidRPr="00CC19F7">
        <w:t xml:space="preserve"> om </w:t>
      </w:r>
      <w:proofErr w:type="spellStart"/>
      <w:r w:rsidRPr="00CC19F7">
        <w:t>tilknyting</w:t>
      </w:r>
      <w:proofErr w:type="spellEnd"/>
      <w:r w:rsidRPr="00CC19F7">
        <w:t xml:space="preserve"> av forbruk og produksjon med vilkår om utkopling eller reduksjon som alternativ til </w:t>
      </w:r>
      <w:proofErr w:type="spellStart"/>
      <w:r w:rsidRPr="00CC19F7">
        <w:t>nettinvesteringar</w:t>
      </w:r>
      <w:proofErr w:type="spellEnd"/>
      <w:r w:rsidRPr="00CC19F7">
        <w:t xml:space="preserve">. I 2022 blei det innført effektbaserte </w:t>
      </w:r>
      <w:proofErr w:type="spellStart"/>
      <w:r w:rsidRPr="00CC19F7">
        <w:t>tariffar</w:t>
      </w:r>
      <w:proofErr w:type="spellEnd"/>
      <w:r w:rsidRPr="00CC19F7">
        <w:t xml:space="preserve"> i distribusjonsnettet. </w:t>
      </w:r>
      <w:proofErr w:type="spellStart"/>
      <w:r w:rsidRPr="00CC19F7">
        <w:t>Desse</w:t>
      </w:r>
      <w:proofErr w:type="spellEnd"/>
      <w:r w:rsidRPr="00CC19F7">
        <w:t xml:space="preserve"> </w:t>
      </w:r>
      <w:proofErr w:type="spellStart"/>
      <w:r w:rsidRPr="00CC19F7">
        <w:t>reglane</w:t>
      </w:r>
      <w:proofErr w:type="spellEnd"/>
      <w:r w:rsidRPr="00CC19F7">
        <w:t xml:space="preserve"> legg til rette for at straumnettet blir utnytta på </w:t>
      </w:r>
      <w:proofErr w:type="spellStart"/>
      <w:r w:rsidRPr="00CC19F7">
        <w:t>ein</w:t>
      </w:r>
      <w:proofErr w:type="spellEnd"/>
      <w:r w:rsidRPr="00CC19F7">
        <w:t xml:space="preserve"> effektiv måte. Betre utnytting av straumnettet reduserer behovet for nettutbygging og </w:t>
      </w:r>
      <w:proofErr w:type="spellStart"/>
      <w:r w:rsidRPr="00CC19F7">
        <w:t>tilhøyrande</w:t>
      </w:r>
      <w:proofErr w:type="spellEnd"/>
      <w:r w:rsidRPr="00CC19F7">
        <w:t xml:space="preserve"> naturinngrep.</w:t>
      </w:r>
    </w:p>
    <w:p w14:paraId="03E8CA11" w14:textId="77777777" w:rsidR="00FE02EF" w:rsidRPr="00CC19F7" w:rsidRDefault="00881E58" w:rsidP="00CC19F7">
      <w:pPr>
        <w:pStyle w:val="avsnitt-undertittel"/>
      </w:pPr>
      <w:r w:rsidRPr="00CC19F7">
        <w:t xml:space="preserve">Miljøomsyn ved vassdrags- og </w:t>
      </w:r>
      <w:proofErr w:type="spellStart"/>
      <w:r w:rsidRPr="00CC19F7">
        <w:t>energiverksemd</w:t>
      </w:r>
      <w:proofErr w:type="spellEnd"/>
    </w:p>
    <w:p w14:paraId="149CA5ED" w14:textId="77777777" w:rsidR="00FE02EF" w:rsidRPr="00CC19F7" w:rsidRDefault="00881E58" w:rsidP="00CC19F7">
      <w:r w:rsidRPr="00CC19F7">
        <w:t xml:space="preserve">Miljøomsyn i samband med fornybar kraftproduksjon og nettutvikling er tatt vare på gjennom sektorlovgivinga, plan- og bygningslova, </w:t>
      </w:r>
      <w:proofErr w:type="spellStart"/>
      <w:r w:rsidRPr="00CC19F7">
        <w:t>forureiningslova</w:t>
      </w:r>
      <w:proofErr w:type="spellEnd"/>
      <w:r w:rsidRPr="00CC19F7">
        <w:t xml:space="preserve">, </w:t>
      </w:r>
      <w:proofErr w:type="spellStart"/>
      <w:r w:rsidRPr="00CC19F7">
        <w:t>naturmangfaldslova</w:t>
      </w:r>
      <w:proofErr w:type="spellEnd"/>
      <w:r w:rsidRPr="00CC19F7">
        <w:t xml:space="preserve"> og vassforskrifta.</w:t>
      </w:r>
    </w:p>
    <w:p w14:paraId="58962DF8" w14:textId="77777777" w:rsidR="00FE02EF" w:rsidRPr="00CC19F7" w:rsidRDefault="00881E58" w:rsidP="00CC19F7">
      <w:r w:rsidRPr="00CC19F7">
        <w:t xml:space="preserve">Konsesjonsbehandling av fornybar kraftproduksjon og nett har </w:t>
      </w:r>
      <w:proofErr w:type="spellStart"/>
      <w:r w:rsidRPr="00CC19F7">
        <w:t>dei</w:t>
      </w:r>
      <w:proofErr w:type="spellEnd"/>
      <w:r w:rsidRPr="00CC19F7">
        <w:t xml:space="preserve"> siste åra hatt </w:t>
      </w:r>
      <w:proofErr w:type="spellStart"/>
      <w:r w:rsidRPr="00CC19F7">
        <w:t>høg</w:t>
      </w:r>
      <w:proofErr w:type="spellEnd"/>
      <w:r w:rsidRPr="00CC19F7">
        <w:t xml:space="preserve"> prioritet. Det er viktig å sjå prosjekta i </w:t>
      </w:r>
      <w:proofErr w:type="spellStart"/>
      <w:r w:rsidRPr="00CC19F7">
        <w:t>samanheng</w:t>
      </w:r>
      <w:proofErr w:type="spellEnd"/>
      <w:r w:rsidRPr="00CC19F7">
        <w:t xml:space="preserve"> for å finne </w:t>
      </w:r>
      <w:proofErr w:type="spellStart"/>
      <w:r w:rsidRPr="00CC19F7">
        <w:t>dei</w:t>
      </w:r>
      <w:proofErr w:type="spellEnd"/>
      <w:r w:rsidRPr="00CC19F7">
        <w:t xml:space="preserve"> totalt sett beste </w:t>
      </w:r>
      <w:proofErr w:type="spellStart"/>
      <w:r w:rsidRPr="00CC19F7">
        <w:t>løysingane</w:t>
      </w:r>
      <w:proofErr w:type="spellEnd"/>
      <w:r w:rsidRPr="00CC19F7">
        <w:t xml:space="preserve">. Det blir derfor søkt å få til ei mest </w:t>
      </w:r>
      <w:proofErr w:type="spellStart"/>
      <w:r w:rsidRPr="00CC19F7">
        <w:t>mogleg</w:t>
      </w:r>
      <w:proofErr w:type="spellEnd"/>
      <w:r w:rsidRPr="00CC19F7">
        <w:t xml:space="preserve"> samordna behandling av prosjekt i same område, og mellom nett og produksjon.</w:t>
      </w:r>
    </w:p>
    <w:p w14:paraId="146E57C4" w14:textId="77777777" w:rsidR="00FE02EF" w:rsidRPr="00CC19F7" w:rsidRDefault="00881E58" w:rsidP="00CC19F7">
      <w:r w:rsidRPr="00CC19F7">
        <w:t xml:space="preserve">Miljøtilsynet i NVE kontrollerer at miljøkrav som er fastsette i </w:t>
      </w:r>
      <w:proofErr w:type="spellStart"/>
      <w:r w:rsidRPr="00CC19F7">
        <w:t>konsesjonar</w:t>
      </w:r>
      <w:proofErr w:type="spellEnd"/>
      <w:r w:rsidRPr="00CC19F7">
        <w:t xml:space="preserve">, blir etterlevde både i anleggs- og driftsfasen. Ei viktig </w:t>
      </w:r>
      <w:proofErr w:type="spellStart"/>
      <w:r w:rsidRPr="00CC19F7">
        <w:t>oppgåve</w:t>
      </w:r>
      <w:proofErr w:type="spellEnd"/>
      <w:r w:rsidRPr="00CC19F7">
        <w:t xml:space="preserve"> er godkjenning og oppfølging av </w:t>
      </w:r>
      <w:proofErr w:type="spellStart"/>
      <w:r w:rsidRPr="00CC19F7">
        <w:t>detaljplanar</w:t>
      </w:r>
      <w:proofErr w:type="spellEnd"/>
      <w:r w:rsidRPr="00CC19F7">
        <w:t xml:space="preserve"> for vassdrags- og energianlegg.</w:t>
      </w:r>
    </w:p>
    <w:p w14:paraId="6829B76B" w14:textId="77777777" w:rsidR="00FE02EF" w:rsidRPr="00CC19F7" w:rsidRDefault="00881E58" w:rsidP="00CC19F7">
      <w:r w:rsidRPr="00CC19F7">
        <w:t xml:space="preserve">Kunnskap om og systematisk oversikt over viktige område for trua </w:t>
      </w:r>
      <w:proofErr w:type="spellStart"/>
      <w:r w:rsidRPr="00CC19F7">
        <w:t>artar</w:t>
      </w:r>
      <w:proofErr w:type="spellEnd"/>
      <w:r w:rsidRPr="00CC19F7">
        <w:t xml:space="preserve"> og </w:t>
      </w:r>
      <w:proofErr w:type="spellStart"/>
      <w:r w:rsidRPr="00CC19F7">
        <w:t>naturtypar</w:t>
      </w:r>
      <w:proofErr w:type="spellEnd"/>
      <w:r w:rsidRPr="00CC19F7">
        <w:t xml:space="preserve"> er </w:t>
      </w:r>
      <w:proofErr w:type="spellStart"/>
      <w:r w:rsidRPr="00CC19F7">
        <w:t>ein</w:t>
      </w:r>
      <w:proofErr w:type="spellEnd"/>
      <w:r w:rsidRPr="00CC19F7">
        <w:t xml:space="preserve"> </w:t>
      </w:r>
      <w:proofErr w:type="spellStart"/>
      <w:r w:rsidRPr="00CC19F7">
        <w:t>føresetnad</w:t>
      </w:r>
      <w:proofErr w:type="spellEnd"/>
      <w:r w:rsidRPr="00CC19F7">
        <w:t xml:space="preserve"> for å stanse tapet av </w:t>
      </w:r>
      <w:proofErr w:type="spellStart"/>
      <w:r w:rsidRPr="00CC19F7">
        <w:t>naturmangfald</w:t>
      </w:r>
      <w:proofErr w:type="spellEnd"/>
      <w:r w:rsidRPr="00CC19F7">
        <w:t xml:space="preserve">. Her speler Artsdatabanken ei viktig rolle. Formålet med Artsdatabanken er å tette </w:t>
      </w:r>
      <w:proofErr w:type="spellStart"/>
      <w:r w:rsidRPr="00CC19F7">
        <w:t>hòl</w:t>
      </w:r>
      <w:proofErr w:type="spellEnd"/>
      <w:r w:rsidRPr="00CC19F7">
        <w:t xml:space="preserve"> i kunnskapen og </w:t>
      </w:r>
      <w:proofErr w:type="spellStart"/>
      <w:r w:rsidRPr="00CC19F7">
        <w:t>medverke</w:t>
      </w:r>
      <w:proofErr w:type="spellEnd"/>
      <w:r w:rsidRPr="00CC19F7">
        <w:t xml:space="preserve"> til at data om </w:t>
      </w:r>
      <w:proofErr w:type="spellStart"/>
      <w:r w:rsidRPr="00CC19F7">
        <w:t>naturmangfald</w:t>
      </w:r>
      <w:proofErr w:type="spellEnd"/>
      <w:r w:rsidRPr="00CC19F7">
        <w:t xml:space="preserve"> blir samla i nasjonale </w:t>
      </w:r>
      <w:proofErr w:type="spellStart"/>
      <w:r w:rsidRPr="00CC19F7">
        <w:t>databasar</w:t>
      </w:r>
      <w:proofErr w:type="spellEnd"/>
      <w:r w:rsidRPr="00CC19F7">
        <w:t>.</w:t>
      </w:r>
    </w:p>
    <w:p w14:paraId="236E6D13" w14:textId="77777777" w:rsidR="00FE02EF" w:rsidRPr="00CC19F7" w:rsidRDefault="00881E58" w:rsidP="00CC19F7">
      <w:r w:rsidRPr="00CC19F7">
        <w:t xml:space="preserve">Energikommisjonen, jf. NOU 2023: 3 </w:t>
      </w:r>
      <w:r w:rsidRPr="00CC19F7">
        <w:rPr>
          <w:rStyle w:val="kursiv"/>
        </w:rPr>
        <w:t>Mer av alt – raskere</w:t>
      </w:r>
      <w:r w:rsidRPr="00CC19F7">
        <w:t xml:space="preserve">, har </w:t>
      </w:r>
      <w:proofErr w:type="spellStart"/>
      <w:r w:rsidRPr="00CC19F7">
        <w:t>peika</w:t>
      </w:r>
      <w:proofErr w:type="spellEnd"/>
      <w:r w:rsidRPr="00CC19F7">
        <w:t xml:space="preserve"> på at vi treng </w:t>
      </w:r>
      <w:proofErr w:type="spellStart"/>
      <w:r w:rsidRPr="00CC19F7">
        <w:t>meir</w:t>
      </w:r>
      <w:proofErr w:type="spellEnd"/>
      <w:r w:rsidRPr="00CC19F7">
        <w:t xml:space="preserve"> fornybar kraftproduksjon i </w:t>
      </w:r>
      <w:proofErr w:type="spellStart"/>
      <w:r w:rsidRPr="00CC19F7">
        <w:t>Noreg</w:t>
      </w:r>
      <w:proofErr w:type="spellEnd"/>
      <w:r w:rsidRPr="00CC19F7">
        <w:t xml:space="preserve">. Utbygging av ny fornybar kraftproduksjon må samtidig </w:t>
      </w:r>
      <w:proofErr w:type="spellStart"/>
      <w:r w:rsidRPr="00CC19F7">
        <w:t>vere</w:t>
      </w:r>
      <w:proofErr w:type="spellEnd"/>
      <w:r w:rsidRPr="00CC19F7">
        <w:t xml:space="preserve"> </w:t>
      </w:r>
      <w:proofErr w:type="spellStart"/>
      <w:r w:rsidRPr="00CC19F7">
        <w:t>lønnsam</w:t>
      </w:r>
      <w:proofErr w:type="spellEnd"/>
      <w:r w:rsidRPr="00CC19F7">
        <w:t xml:space="preserve"> og skje i </w:t>
      </w:r>
      <w:proofErr w:type="spellStart"/>
      <w:r w:rsidRPr="00CC19F7">
        <w:t>eit</w:t>
      </w:r>
      <w:proofErr w:type="spellEnd"/>
      <w:r w:rsidRPr="00CC19F7">
        <w:t xml:space="preserve"> tempo og omfang som </w:t>
      </w:r>
      <w:proofErr w:type="spellStart"/>
      <w:r w:rsidRPr="00CC19F7">
        <w:t>ikkje</w:t>
      </w:r>
      <w:proofErr w:type="spellEnd"/>
      <w:r w:rsidRPr="00CC19F7">
        <w:t xml:space="preserve"> får uakseptable verknader for lokalsamfunn og viktige miljø- og samfunnsinteresser. Det skal </w:t>
      </w:r>
      <w:proofErr w:type="spellStart"/>
      <w:r w:rsidRPr="00CC19F7">
        <w:t>vere</w:t>
      </w:r>
      <w:proofErr w:type="spellEnd"/>
      <w:r w:rsidRPr="00CC19F7">
        <w:t xml:space="preserve"> ei balansert utbygging basert på grundige </w:t>
      </w:r>
      <w:proofErr w:type="spellStart"/>
      <w:r w:rsidRPr="00CC19F7">
        <w:t>avvegingar</w:t>
      </w:r>
      <w:proofErr w:type="spellEnd"/>
      <w:r w:rsidRPr="00CC19F7">
        <w:t xml:space="preserve"> av </w:t>
      </w:r>
      <w:proofErr w:type="spellStart"/>
      <w:r w:rsidRPr="00CC19F7">
        <w:t>fordelar</w:t>
      </w:r>
      <w:proofErr w:type="spellEnd"/>
      <w:r w:rsidRPr="00CC19F7">
        <w:t xml:space="preserve"> og ulemper for samfunnet.</w:t>
      </w:r>
    </w:p>
    <w:p w14:paraId="5E5B2647" w14:textId="77777777" w:rsidR="00FE02EF" w:rsidRPr="00CC19F7" w:rsidRDefault="00881E58" w:rsidP="00CC19F7">
      <w:r w:rsidRPr="00CC19F7">
        <w:t xml:space="preserve">For betre å sikre dette på vindkraftområdet er det som følge av Stortingets behandling av Meld. St. 28 (2019–2020) </w:t>
      </w:r>
      <w:r w:rsidRPr="00CC19F7">
        <w:rPr>
          <w:rStyle w:val="kursiv"/>
        </w:rPr>
        <w:t>Vindkraft på land – Endringer i konsesjonsbehandlingen</w:t>
      </w:r>
      <w:r w:rsidRPr="00CC19F7">
        <w:t xml:space="preserve">, jf. </w:t>
      </w:r>
      <w:proofErr w:type="spellStart"/>
      <w:r w:rsidRPr="00CC19F7">
        <w:t>Innst</w:t>
      </w:r>
      <w:proofErr w:type="spellEnd"/>
      <w:r w:rsidRPr="00CC19F7">
        <w:t xml:space="preserve">. 101 S (2020–2021), stadfesta </w:t>
      </w:r>
      <w:proofErr w:type="spellStart"/>
      <w:r w:rsidRPr="00CC19F7">
        <w:t>fleire</w:t>
      </w:r>
      <w:proofErr w:type="spellEnd"/>
      <w:r w:rsidRPr="00CC19F7">
        <w:t xml:space="preserve"> tiltak for å stramme inn behandlinga av </w:t>
      </w:r>
      <w:proofErr w:type="spellStart"/>
      <w:r w:rsidRPr="00CC19F7">
        <w:t>vindkraftkonsesjonar</w:t>
      </w:r>
      <w:proofErr w:type="spellEnd"/>
      <w:r w:rsidRPr="00CC19F7">
        <w:t xml:space="preserve">, mellom anna ved å legge </w:t>
      </w:r>
      <w:proofErr w:type="spellStart"/>
      <w:r w:rsidRPr="00CC19F7">
        <w:t>meir</w:t>
      </w:r>
      <w:proofErr w:type="spellEnd"/>
      <w:r w:rsidRPr="00CC19F7">
        <w:t xml:space="preserve"> vekt på verknader for landskap og miljø, samfunn og </w:t>
      </w:r>
      <w:proofErr w:type="spellStart"/>
      <w:r w:rsidRPr="00CC19F7">
        <w:t>naboar</w:t>
      </w:r>
      <w:proofErr w:type="spellEnd"/>
      <w:r w:rsidRPr="00CC19F7">
        <w:t>.</w:t>
      </w:r>
    </w:p>
    <w:p w14:paraId="69D84A5B" w14:textId="77777777" w:rsidR="00FE02EF" w:rsidRPr="00CC19F7" w:rsidRDefault="00881E58" w:rsidP="00CC19F7">
      <w:r w:rsidRPr="00CC19F7">
        <w:t xml:space="preserve">Verneplanen for vassdrag er viktig for å sikre </w:t>
      </w:r>
      <w:proofErr w:type="spellStart"/>
      <w:r w:rsidRPr="00CC19F7">
        <w:t>eit</w:t>
      </w:r>
      <w:proofErr w:type="spellEnd"/>
      <w:r w:rsidRPr="00CC19F7">
        <w:t xml:space="preserve"> representativt </w:t>
      </w:r>
      <w:proofErr w:type="spellStart"/>
      <w:r w:rsidRPr="00CC19F7">
        <w:t>utval</w:t>
      </w:r>
      <w:proofErr w:type="spellEnd"/>
      <w:r w:rsidRPr="00CC19F7">
        <w:t xml:space="preserve"> av vassdragsnaturen i landet. Vernet er først og fremst mot kraftutbygging, men </w:t>
      </w:r>
      <w:proofErr w:type="spellStart"/>
      <w:r w:rsidRPr="00CC19F7">
        <w:t>verneverdiane</w:t>
      </w:r>
      <w:proofErr w:type="spellEnd"/>
      <w:r w:rsidRPr="00CC19F7">
        <w:t xml:space="preserve"> skal også </w:t>
      </w:r>
      <w:proofErr w:type="spellStart"/>
      <w:r w:rsidRPr="00CC19F7">
        <w:t>takast</w:t>
      </w:r>
      <w:proofErr w:type="spellEnd"/>
      <w:r w:rsidRPr="00CC19F7">
        <w:t xml:space="preserve"> omsyn til ved andre inngrep.</w:t>
      </w:r>
    </w:p>
    <w:p w14:paraId="29A979B9" w14:textId="77777777" w:rsidR="00FE02EF" w:rsidRPr="00CC19F7" w:rsidRDefault="00881E58" w:rsidP="00CC19F7">
      <w:r w:rsidRPr="00CC19F7">
        <w:t xml:space="preserve">Gjennomføringa av EUs vassdirektiv med </w:t>
      </w:r>
      <w:proofErr w:type="spellStart"/>
      <w:r w:rsidRPr="00CC19F7">
        <w:t>tilhøyrande</w:t>
      </w:r>
      <w:proofErr w:type="spellEnd"/>
      <w:r w:rsidRPr="00CC19F7">
        <w:t xml:space="preserve"> </w:t>
      </w:r>
      <w:proofErr w:type="spellStart"/>
      <w:r w:rsidRPr="00CC19F7">
        <w:t>forvaltningsplanar</w:t>
      </w:r>
      <w:proofErr w:type="spellEnd"/>
      <w:r w:rsidRPr="00CC19F7">
        <w:t xml:space="preserve"> skal fremme ei </w:t>
      </w:r>
      <w:proofErr w:type="spellStart"/>
      <w:r w:rsidRPr="00CC19F7">
        <w:t>heilskapleg</w:t>
      </w:r>
      <w:proofErr w:type="spellEnd"/>
      <w:r w:rsidRPr="00CC19F7">
        <w:t xml:space="preserve"> forvaltning av </w:t>
      </w:r>
      <w:proofErr w:type="spellStart"/>
      <w:r w:rsidRPr="00CC19F7">
        <w:t>vassressursane</w:t>
      </w:r>
      <w:proofErr w:type="spellEnd"/>
      <w:r w:rsidRPr="00CC19F7">
        <w:t xml:space="preserve">. Olje- og energidepartementet </w:t>
      </w:r>
      <w:proofErr w:type="spellStart"/>
      <w:r w:rsidRPr="00CC19F7">
        <w:t>medverkar</w:t>
      </w:r>
      <w:proofErr w:type="spellEnd"/>
      <w:r w:rsidRPr="00CC19F7">
        <w:t xml:space="preserve"> </w:t>
      </w:r>
      <w:proofErr w:type="spellStart"/>
      <w:r w:rsidRPr="00CC19F7">
        <w:t>saman</w:t>
      </w:r>
      <w:proofErr w:type="spellEnd"/>
      <w:r w:rsidRPr="00CC19F7">
        <w:t xml:space="preserve"> med NVE aktivt i dette arbeidet.</w:t>
      </w:r>
    </w:p>
    <w:p w14:paraId="65AF80ED" w14:textId="77777777" w:rsidR="00FE02EF" w:rsidRPr="00CC19F7" w:rsidRDefault="00881E58" w:rsidP="00CC19F7">
      <w:pPr>
        <w:pStyle w:val="avsnitt-undertittel"/>
      </w:pPr>
      <w:r w:rsidRPr="00CC19F7">
        <w:t>Klimatilpassing</w:t>
      </w:r>
    </w:p>
    <w:p w14:paraId="18F1F252" w14:textId="77777777" w:rsidR="00FE02EF" w:rsidRPr="00CC19F7" w:rsidRDefault="00881E58" w:rsidP="00CC19F7">
      <w:proofErr w:type="spellStart"/>
      <w:r w:rsidRPr="00CC19F7">
        <w:t>Eit</w:t>
      </w:r>
      <w:proofErr w:type="spellEnd"/>
      <w:r w:rsidRPr="00CC19F7">
        <w:t xml:space="preserve"> endra klima med </w:t>
      </w:r>
      <w:proofErr w:type="spellStart"/>
      <w:r w:rsidRPr="00CC19F7">
        <w:t>meir</w:t>
      </w:r>
      <w:proofErr w:type="spellEnd"/>
      <w:r w:rsidRPr="00CC19F7">
        <w:t xml:space="preserve"> nedbør og </w:t>
      </w:r>
      <w:proofErr w:type="spellStart"/>
      <w:r w:rsidRPr="00CC19F7">
        <w:t>ekstremvêr</w:t>
      </w:r>
      <w:proofErr w:type="spellEnd"/>
      <w:r w:rsidRPr="00CC19F7">
        <w:t xml:space="preserve"> krev </w:t>
      </w:r>
      <w:proofErr w:type="spellStart"/>
      <w:r w:rsidRPr="00CC19F7">
        <w:t>tilpassingar</w:t>
      </w:r>
      <w:proofErr w:type="spellEnd"/>
      <w:r w:rsidRPr="00CC19F7">
        <w:t xml:space="preserve">. Klimatilpassing er viktig </w:t>
      </w:r>
      <w:proofErr w:type="spellStart"/>
      <w:r w:rsidRPr="00CC19F7">
        <w:t>innanfor</w:t>
      </w:r>
      <w:proofErr w:type="spellEnd"/>
      <w:r w:rsidRPr="00CC19F7">
        <w:t xml:space="preserve"> energi- og vassdragsforvaltninga. NVE tar omsyn til behovet for klimatilpassing i arbeidet med </w:t>
      </w:r>
      <w:proofErr w:type="spellStart"/>
      <w:r w:rsidRPr="00CC19F7">
        <w:t>flaum</w:t>
      </w:r>
      <w:proofErr w:type="spellEnd"/>
      <w:r w:rsidRPr="00CC19F7">
        <w:t xml:space="preserve"> og skred, </w:t>
      </w:r>
      <w:proofErr w:type="spellStart"/>
      <w:r w:rsidRPr="00CC19F7">
        <w:t>damsikkerheit</w:t>
      </w:r>
      <w:proofErr w:type="spellEnd"/>
      <w:r w:rsidRPr="00CC19F7">
        <w:t xml:space="preserve">, </w:t>
      </w:r>
      <w:proofErr w:type="spellStart"/>
      <w:r w:rsidRPr="00CC19F7">
        <w:t>vassdragskonsesjonar</w:t>
      </w:r>
      <w:proofErr w:type="spellEnd"/>
      <w:r w:rsidRPr="00CC19F7">
        <w:t xml:space="preserve">, </w:t>
      </w:r>
      <w:proofErr w:type="spellStart"/>
      <w:r w:rsidRPr="00CC19F7">
        <w:t>energikonsesjonar</w:t>
      </w:r>
      <w:proofErr w:type="spellEnd"/>
      <w:r w:rsidRPr="00CC19F7">
        <w:t>, miljøtilsyn, kraftforsyning og energietterspørsel.</w:t>
      </w:r>
    </w:p>
    <w:p w14:paraId="14E9EEB0" w14:textId="77777777" w:rsidR="00FE02EF" w:rsidRPr="00CC19F7" w:rsidRDefault="00881E58" w:rsidP="00CC19F7">
      <w:r w:rsidRPr="00CC19F7">
        <w:t xml:space="preserve">NVEs </w:t>
      </w:r>
      <w:proofErr w:type="spellStart"/>
      <w:r w:rsidRPr="00CC19F7">
        <w:t>oppgåver</w:t>
      </w:r>
      <w:proofErr w:type="spellEnd"/>
      <w:r w:rsidRPr="00CC19F7">
        <w:t xml:space="preserve"> knytte til </w:t>
      </w:r>
      <w:proofErr w:type="spellStart"/>
      <w:r w:rsidRPr="00CC19F7">
        <w:t>flaum</w:t>
      </w:r>
      <w:proofErr w:type="spellEnd"/>
      <w:r w:rsidRPr="00CC19F7">
        <w:t xml:space="preserve"> og skred er delte inn i </w:t>
      </w:r>
      <w:proofErr w:type="spellStart"/>
      <w:r w:rsidRPr="00CC19F7">
        <w:t>desse</w:t>
      </w:r>
      <w:proofErr w:type="spellEnd"/>
      <w:r w:rsidRPr="00CC19F7">
        <w:t xml:space="preserve"> områda: kartlegging, arealplanlegging, sikring, varsling/</w:t>
      </w:r>
      <w:proofErr w:type="spellStart"/>
      <w:r w:rsidRPr="00CC19F7">
        <w:t>overvaking</w:t>
      </w:r>
      <w:proofErr w:type="spellEnd"/>
      <w:r w:rsidRPr="00CC19F7">
        <w:t xml:space="preserve"> og skred- og </w:t>
      </w:r>
      <w:proofErr w:type="spellStart"/>
      <w:r w:rsidRPr="00CC19F7">
        <w:t>flaumfagleg</w:t>
      </w:r>
      <w:proofErr w:type="spellEnd"/>
      <w:r w:rsidRPr="00CC19F7">
        <w:t xml:space="preserve"> støtte i beredskaps- og </w:t>
      </w:r>
      <w:proofErr w:type="spellStart"/>
      <w:r w:rsidRPr="00CC19F7">
        <w:t>krisesituasjonar</w:t>
      </w:r>
      <w:proofErr w:type="spellEnd"/>
      <w:r w:rsidRPr="00CC19F7">
        <w:t xml:space="preserve">. For å </w:t>
      </w:r>
      <w:proofErr w:type="spellStart"/>
      <w:r w:rsidRPr="00CC19F7">
        <w:t>førebygge</w:t>
      </w:r>
      <w:proofErr w:type="spellEnd"/>
      <w:r w:rsidRPr="00CC19F7">
        <w:t xml:space="preserve"> skade på liv, helse og </w:t>
      </w:r>
      <w:proofErr w:type="spellStart"/>
      <w:r w:rsidRPr="00CC19F7">
        <w:t>verdiar</w:t>
      </w:r>
      <w:proofErr w:type="spellEnd"/>
      <w:r w:rsidRPr="00CC19F7">
        <w:t xml:space="preserve"> blir det ved utarbeiding av naturfarekart tatt høgde for </w:t>
      </w:r>
      <w:proofErr w:type="spellStart"/>
      <w:r w:rsidRPr="00CC19F7">
        <w:t>eit</w:t>
      </w:r>
      <w:proofErr w:type="spellEnd"/>
      <w:r w:rsidRPr="00CC19F7">
        <w:t xml:space="preserve"> endra framtidig klima. </w:t>
      </w:r>
      <w:proofErr w:type="spellStart"/>
      <w:r w:rsidRPr="00CC19F7">
        <w:t>Desse</w:t>
      </w:r>
      <w:proofErr w:type="spellEnd"/>
      <w:r w:rsidRPr="00CC19F7">
        <w:t xml:space="preserve"> karta og </w:t>
      </w:r>
      <w:proofErr w:type="spellStart"/>
      <w:r w:rsidRPr="00CC19F7">
        <w:t>fagleg</w:t>
      </w:r>
      <w:proofErr w:type="spellEnd"/>
      <w:r w:rsidRPr="00CC19F7">
        <w:t xml:space="preserve"> rådgiving om </w:t>
      </w:r>
      <w:proofErr w:type="spellStart"/>
      <w:r w:rsidRPr="00CC19F7">
        <w:t>klimaendringar</w:t>
      </w:r>
      <w:proofErr w:type="spellEnd"/>
      <w:r w:rsidRPr="00CC19F7">
        <w:t xml:space="preserve"> er </w:t>
      </w:r>
      <w:proofErr w:type="spellStart"/>
      <w:r w:rsidRPr="00CC19F7">
        <w:t>eit</w:t>
      </w:r>
      <w:proofErr w:type="spellEnd"/>
      <w:r w:rsidRPr="00CC19F7">
        <w:t xml:space="preserve"> viktig grunnlag for arealplanarbeidet i </w:t>
      </w:r>
      <w:proofErr w:type="spellStart"/>
      <w:r w:rsidRPr="00CC19F7">
        <w:t>kommunane</w:t>
      </w:r>
      <w:proofErr w:type="spellEnd"/>
      <w:r w:rsidRPr="00CC19F7">
        <w:t xml:space="preserve"> og </w:t>
      </w:r>
      <w:proofErr w:type="spellStart"/>
      <w:r w:rsidRPr="00CC19F7">
        <w:t>medverkar</w:t>
      </w:r>
      <w:proofErr w:type="spellEnd"/>
      <w:r w:rsidRPr="00CC19F7">
        <w:t xml:space="preserve"> til at nye </w:t>
      </w:r>
      <w:proofErr w:type="spellStart"/>
      <w:r w:rsidRPr="00CC19F7">
        <w:t>utbyggingar</w:t>
      </w:r>
      <w:proofErr w:type="spellEnd"/>
      <w:r w:rsidRPr="00CC19F7">
        <w:t xml:space="preserve"> skjer i trygge område. I arealplanarbeid etter plan- og bygningslova er NVE </w:t>
      </w:r>
      <w:proofErr w:type="spellStart"/>
      <w:r w:rsidRPr="00CC19F7">
        <w:t>høyringspart</w:t>
      </w:r>
      <w:proofErr w:type="spellEnd"/>
      <w:r w:rsidRPr="00CC19F7">
        <w:t xml:space="preserve"> og kan fremme </w:t>
      </w:r>
      <w:proofErr w:type="spellStart"/>
      <w:r w:rsidRPr="00CC19F7">
        <w:t>motsegn</w:t>
      </w:r>
      <w:proofErr w:type="spellEnd"/>
      <w:r w:rsidRPr="00CC19F7">
        <w:t xml:space="preserve"> mot planar der NVE har </w:t>
      </w:r>
      <w:proofErr w:type="spellStart"/>
      <w:r w:rsidRPr="00CC19F7">
        <w:t>eit</w:t>
      </w:r>
      <w:proofErr w:type="spellEnd"/>
      <w:r w:rsidRPr="00CC19F7">
        <w:t xml:space="preserve"> forvaltningsansvar. Bistand til sikring av </w:t>
      </w:r>
      <w:proofErr w:type="spellStart"/>
      <w:r w:rsidRPr="00CC19F7">
        <w:t>eksisterande</w:t>
      </w:r>
      <w:proofErr w:type="spellEnd"/>
      <w:r w:rsidRPr="00CC19F7">
        <w:t xml:space="preserve"> busetting står også sentralt i NVEs arbeid med klimatilpassing. NVE arrangerer </w:t>
      </w:r>
      <w:proofErr w:type="spellStart"/>
      <w:r w:rsidRPr="00CC19F7">
        <w:t>fagsamlingar</w:t>
      </w:r>
      <w:proofErr w:type="spellEnd"/>
      <w:r w:rsidRPr="00CC19F7">
        <w:t xml:space="preserve"> for </w:t>
      </w:r>
      <w:proofErr w:type="spellStart"/>
      <w:r w:rsidRPr="00CC19F7">
        <w:t>kommunar</w:t>
      </w:r>
      <w:proofErr w:type="spellEnd"/>
      <w:r w:rsidRPr="00CC19F7">
        <w:t xml:space="preserve">, </w:t>
      </w:r>
      <w:proofErr w:type="spellStart"/>
      <w:r w:rsidRPr="00CC19F7">
        <w:t>konsulentar</w:t>
      </w:r>
      <w:proofErr w:type="spellEnd"/>
      <w:r w:rsidRPr="00CC19F7">
        <w:t xml:space="preserve"> og andre, der kunnskap om </w:t>
      </w:r>
      <w:proofErr w:type="spellStart"/>
      <w:r w:rsidRPr="00CC19F7">
        <w:t>flaum</w:t>
      </w:r>
      <w:proofErr w:type="spellEnd"/>
      <w:r w:rsidRPr="00CC19F7">
        <w:t xml:space="preserve">- og skredfare og klimatilpassing blir formidla. For arbeidet med </w:t>
      </w:r>
      <w:proofErr w:type="spellStart"/>
      <w:r w:rsidRPr="00CC19F7">
        <w:t>flaum</w:t>
      </w:r>
      <w:proofErr w:type="spellEnd"/>
      <w:r w:rsidRPr="00CC19F7">
        <w:t xml:space="preserve"> og skred er det utvikla </w:t>
      </w:r>
      <w:proofErr w:type="spellStart"/>
      <w:r w:rsidRPr="00CC19F7">
        <w:t>eit</w:t>
      </w:r>
      <w:proofErr w:type="spellEnd"/>
      <w:r w:rsidRPr="00CC19F7">
        <w:t xml:space="preserve"> godt samarbeid med andre </w:t>
      </w:r>
      <w:proofErr w:type="spellStart"/>
      <w:r w:rsidRPr="00CC19F7">
        <w:t>statlege</w:t>
      </w:r>
      <w:proofErr w:type="spellEnd"/>
      <w:r w:rsidRPr="00CC19F7">
        <w:t xml:space="preserve"> </w:t>
      </w:r>
      <w:proofErr w:type="spellStart"/>
      <w:r w:rsidRPr="00CC19F7">
        <w:t>etatar</w:t>
      </w:r>
      <w:proofErr w:type="spellEnd"/>
      <w:r w:rsidRPr="00CC19F7">
        <w:t xml:space="preserve">, som Meteorologisk institutt, Direktoratet for samfunnstryggleik og beredskap, Statens vegvesen, Jernbaneverket og andre. I 2019 </w:t>
      </w:r>
      <w:proofErr w:type="spellStart"/>
      <w:r w:rsidRPr="00CC19F7">
        <w:t>fekk</w:t>
      </w:r>
      <w:proofErr w:type="spellEnd"/>
      <w:r w:rsidRPr="00CC19F7">
        <w:t xml:space="preserve"> NVE også i oppdrag å bistå </w:t>
      </w:r>
      <w:proofErr w:type="spellStart"/>
      <w:r w:rsidRPr="00CC19F7">
        <w:t>kommunane</w:t>
      </w:r>
      <w:proofErr w:type="spellEnd"/>
      <w:r w:rsidRPr="00CC19F7">
        <w:t xml:space="preserve"> i å </w:t>
      </w:r>
      <w:proofErr w:type="spellStart"/>
      <w:r w:rsidRPr="00CC19F7">
        <w:t>førebygge</w:t>
      </w:r>
      <w:proofErr w:type="spellEnd"/>
      <w:r w:rsidRPr="00CC19F7">
        <w:t xml:space="preserve"> </w:t>
      </w:r>
      <w:proofErr w:type="spellStart"/>
      <w:r w:rsidRPr="00CC19F7">
        <w:t>skadar</w:t>
      </w:r>
      <w:proofErr w:type="spellEnd"/>
      <w:r w:rsidRPr="00CC19F7">
        <w:t xml:space="preserve"> </w:t>
      </w:r>
      <w:proofErr w:type="spellStart"/>
      <w:r w:rsidRPr="00CC19F7">
        <w:t>frå</w:t>
      </w:r>
      <w:proofErr w:type="spellEnd"/>
      <w:r w:rsidRPr="00CC19F7">
        <w:t xml:space="preserve"> overvatn gjennom kunnskap om avrenning i tettbygde strøk og rettleiing ved kommunal arealplanlegging.</w:t>
      </w:r>
    </w:p>
    <w:p w14:paraId="6D768092" w14:textId="77777777" w:rsidR="00FE02EF" w:rsidRPr="00CC19F7" w:rsidRDefault="00881E58" w:rsidP="00CC19F7">
      <w:r w:rsidRPr="00CC19F7">
        <w:t xml:space="preserve">Gjennom datainnsamling og </w:t>
      </w:r>
      <w:proofErr w:type="spellStart"/>
      <w:r w:rsidRPr="00CC19F7">
        <w:t>analysar</w:t>
      </w:r>
      <w:proofErr w:type="spellEnd"/>
      <w:r w:rsidRPr="00CC19F7">
        <w:t xml:space="preserve"> av lange </w:t>
      </w:r>
      <w:proofErr w:type="spellStart"/>
      <w:r w:rsidRPr="00CC19F7">
        <w:t>tidsseriar</w:t>
      </w:r>
      <w:proofErr w:type="spellEnd"/>
      <w:r w:rsidRPr="00CC19F7">
        <w:t xml:space="preserve"> overvaker og vurderer NVE hydrologiske </w:t>
      </w:r>
      <w:proofErr w:type="spellStart"/>
      <w:r w:rsidRPr="00CC19F7">
        <w:t>effektar</w:t>
      </w:r>
      <w:proofErr w:type="spellEnd"/>
      <w:r w:rsidRPr="00CC19F7">
        <w:t xml:space="preserve"> av </w:t>
      </w:r>
      <w:proofErr w:type="spellStart"/>
      <w:r w:rsidRPr="00CC19F7">
        <w:t>klimaendringar</w:t>
      </w:r>
      <w:proofErr w:type="spellEnd"/>
      <w:r w:rsidRPr="00CC19F7">
        <w:t>. NVE har FoU-</w:t>
      </w:r>
      <w:proofErr w:type="spellStart"/>
      <w:r w:rsidRPr="00CC19F7">
        <w:t>aktivitetar</w:t>
      </w:r>
      <w:proofErr w:type="spellEnd"/>
      <w:r w:rsidRPr="00CC19F7">
        <w:t xml:space="preserve"> </w:t>
      </w:r>
      <w:proofErr w:type="spellStart"/>
      <w:r w:rsidRPr="00CC19F7">
        <w:t>innan</w:t>
      </w:r>
      <w:proofErr w:type="spellEnd"/>
      <w:r w:rsidRPr="00CC19F7">
        <w:t xml:space="preserve"> modellering av kva effekt </w:t>
      </w:r>
      <w:proofErr w:type="spellStart"/>
      <w:r w:rsidRPr="00CC19F7">
        <w:t>klimaendringar</w:t>
      </w:r>
      <w:proofErr w:type="spellEnd"/>
      <w:r w:rsidRPr="00CC19F7">
        <w:t xml:space="preserve"> har og vil få på hydrologien i </w:t>
      </w:r>
      <w:proofErr w:type="spellStart"/>
      <w:r w:rsidRPr="00CC19F7">
        <w:t>Noreg</w:t>
      </w:r>
      <w:proofErr w:type="spellEnd"/>
      <w:r w:rsidRPr="00CC19F7">
        <w:t xml:space="preserve">. Dette inkluderer effekten på </w:t>
      </w:r>
      <w:proofErr w:type="spellStart"/>
      <w:r w:rsidRPr="00CC19F7">
        <w:t>flaum</w:t>
      </w:r>
      <w:proofErr w:type="spellEnd"/>
      <w:r w:rsidRPr="00CC19F7">
        <w:t xml:space="preserve">, tørke, snømengder og utbreiing av </w:t>
      </w:r>
      <w:proofErr w:type="spellStart"/>
      <w:r w:rsidRPr="00CC19F7">
        <w:t>isbrear</w:t>
      </w:r>
      <w:proofErr w:type="spellEnd"/>
      <w:r w:rsidRPr="00CC19F7">
        <w:t xml:space="preserve"> og gir grunnlag for klimatilpassing i </w:t>
      </w:r>
      <w:proofErr w:type="spellStart"/>
      <w:r w:rsidRPr="00CC19F7">
        <w:t>fleire</w:t>
      </w:r>
      <w:proofErr w:type="spellEnd"/>
      <w:r w:rsidRPr="00CC19F7">
        <w:t xml:space="preserve"> </w:t>
      </w:r>
      <w:proofErr w:type="spellStart"/>
      <w:r w:rsidRPr="00CC19F7">
        <w:t>sektorar</w:t>
      </w:r>
      <w:proofErr w:type="spellEnd"/>
      <w:r w:rsidRPr="00CC19F7">
        <w:t xml:space="preserve">. Arbeidet er </w:t>
      </w:r>
      <w:proofErr w:type="spellStart"/>
      <w:r w:rsidRPr="00CC19F7">
        <w:t>ein</w:t>
      </w:r>
      <w:proofErr w:type="spellEnd"/>
      <w:r w:rsidRPr="00CC19F7">
        <w:t xml:space="preserve"> del av samarbeidet i </w:t>
      </w:r>
      <w:r w:rsidRPr="00CC19F7">
        <w:rPr>
          <w:rStyle w:val="kursiv"/>
        </w:rPr>
        <w:t>Norsk klimaservicesenter</w:t>
      </w:r>
      <w:r w:rsidRPr="00CC19F7">
        <w:t>, der NVE deltar.</w:t>
      </w:r>
    </w:p>
    <w:p w14:paraId="762F4870" w14:textId="77777777" w:rsidR="00FE02EF" w:rsidRPr="00CC19F7" w:rsidRDefault="00881E58" w:rsidP="00CC19F7">
      <w:pPr>
        <w:pStyle w:val="avsnitt-tittel"/>
      </w:pPr>
      <w:proofErr w:type="spellStart"/>
      <w:r w:rsidRPr="00CC19F7">
        <w:t>Petroleumsverksemda</w:t>
      </w:r>
      <w:proofErr w:type="spellEnd"/>
    </w:p>
    <w:p w14:paraId="0EFAE401" w14:textId="77777777" w:rsidR="00FE02EF" w:rsidRPr="00CC19F7" w:rsidRDefault="00881E58" w:rsidP="00CC19F7">
      <w:r w:rsidRPr="00CC19F7">
        <w:t xml:space="preserve">I samsvar med </w:t>
      </w:r>
      <w:proofErr w:type="spellStart"/>
      <w:r w:rsidRPr="00CC19F7">
        <w:t>dei</w:t>
      </w:r>
      <w:proofErr w:type="spellEnd"/>
      <w:r w:rsidRPr="00CC19F7">
        <w:t xml:space="preserve"> overordna prinsippa for klimapolitikken i </w:t>
      </w:r>
      <w:proofErr w:type="spellStart"/>
      <w:r w:rsidRPr="00CC19F7">
        <w:t>Noreg</w:t>
      </w:r>
      <w:proofErr w:type="spellEnd"/>
      <w:r w:rsidRPr="00CC19F7">
        <w:t xml:space="preserve"> er petroleumssektoren omfatta av sterke økonomiske </w:t>
      </w:r>
      <w:proofErr w:type="spellStart"/>
      <w:r w:rsidRPr="00CC19F7">
        <w:t>verkemiddel</w:t>
      </w:r>
      <w:proofErr w:type="spellEnd"/>
      <w:r w:rsidRPr="00CC19F7">
        <w:t>, som CO</w:t>
      </w:r>
      <w:r w:rsidRPr="00CC19F7">
        <w:rPr>
          <w:rStyle w:val="skrift-senket"/>
        </w:rPr>
        <w:t>2</w:t>
      </w:r>
      <w:r w:rsidRPr="00CC19F7">
        <w:t xml:space="preserve">-avgift og EUs klimakvotesystem. Samla </w:t>
      </w:r>
      <w:proofErr w:type="spellStart"/>
      <w:r w:rsidRPr="00CC19F7">
        <w:t>gjer</w:t>
      </w:r>
      <w:proofErr w:type="spellEnd"/>
      <w:r w:rsidRPr="00CC19F7">
        <w:t xml:space="preserve"> det at næringa betaler </w:t>
      </w:r>
      <w:proofErr w:type="spellStart"/>
      <w:r w:rsidRPr="00CC19F7">
        <w:t>ein</w:t>
      </w:r>
      <w:proofErr w:type="spellEnd"/>
      <w:r w:rsidRPr="00CC19F7">
        <w:t xml:space="preserve"> </w:t>
      </w:r>
      <w:proofErr w:type="spellStart"/>
      <w:r w:rsidRPr="00CC19F7">
        <w:t>høg</w:t>
      </w:r>
      <w:proofErr w:type="spellEnd"/>
      <w:r w:rsidRPr="00CC19F7">
        <w:t xml:space="preserve"> pris for utslepp, </w:t>
      </w:r>
      <w:proofErr w:type="spellStart"/>
      <w:r w:rsidRPr="00CC19F7">
        <w:t>noko</w:t>
      </w:r>
      <w:proofErr w:type="spellEnd"/>
      <w:r w:rsidRPr="00CC19F7">
        <w:t xml:space="preserve"> som </w:t>
      </w:r>
      <w:proofErr w:type="spellStart"/>
      <w:r w:rsidRPr="00CC19F7">
        <w:t>legg</w:t>
      </w:r>
      <w:proofErr w:type="spellEnd"/>
      <w:r w:rsidRPr="00CC19F7">
        <w:t xml:space="preserve"> til rette for </w:t>
      </w:r>
      <w:proofErr w:type="spellStart"/>
      <w:r w:rsidRPr="00CC19F7">
        <w:t>betydelege</w:t>
      </w:r>
      <w:proofErr w:type="spellEnd"/>
      <w:r w:rsidRPr="00CC19F7">
        <w:t xml:space="preserve"> </w:t>
      </w:r>
      <w:proofErr w:type="spellStart"/>
      <w:r w:rsidRPr="00CC19F7">
        <w:t>utsleppsreduksjonar</w:t>
      </w:r>
      <w:proofErr w:type="spellEnd"/>
      <w:r w:rsidRPr="00CC19F7">
        <w:t xml:space="preserve">. Selskapa med </w:t>
      </w:r>
      <w:proofErr w:type="spellStart"/>
      <w:r w:rsidRPr="00CC19F7">
        <w:t>verksemd</w:t>
      </w:r>
      <w:proofErr w:type="spellEnd"/>
      <w:r w:rsidRPr="00CC19F7">
        <w:t xml:space="preserve"> på norsk kontinentalsokkel vil på lik linje med bedrifter i EU </w:t>
      </w:r>
      <w:proofErr w:type="spellStart"/>
      <w:r w:rsidRPr="00CC19F7">
        <w:t>medverke</w:t>
      </w:r>
      <w:proofErr w:type="spellEnd"/>
      <w:r w:rsidRPr="00CC19F7">
        <w:t xml:space="preserve"> til å redusere kvotepliktige utslepp fram mot 2030.</w:t>
      </w:r>
    </w:p>
    <w:p w14:paraId="4A09C2D2" w14:textId="77777777" w:rsidR="00FE02EF" w:rsidRPr="00CC19F7" w:rsidRDefault="00881E58" w:rsidP="00CC19F7">
      <w:r w:rsidRPr="00CC19F7">
        <w:t xml:space="preserve">Regjeringa vil føre </w:t>
      </w:r>
      <w:proofErr w:type="spellStart"/>
      <w:r w:rsidRPr="00CC19F7">
        <w:t>vidare</w:t>
      </w:r>
      <w:proofErr w:type="spellEnd"/>
      <w:r w:rsidRPr="00CC19F7">
        <w:t xml:space="preserve"> kvoteplikt og CO</w:t>
      </w:r>
      <w:r w:rsidRPr="00CC19F7">
        <w:rPr>
          <w:rStyle w:val="skrift-senket"/>
        </w:rPr>
        <w:t>2</w:t>
      </w:r>
      <w:r w:rsidRPr="00CC19F7">
        <w:t xml:space="preserve">-avgift som </w:t>
      </w:r>
      <w:proofErr w:type="spellStart"/>
      <w:r w:rsidRPr="00CC19F7">
        <w:t>hovudverkemiddel</w:t>
      </w:r>
      <w:proofErr w:type="spellEnd"/>
      <w:r w:rsidRPr="00CC19F7">
        <w:t xml:space="preserve"> i klimapolitikken på norsk sokkel. </w:t>
      </w:r>
      <w:proofErr w:type="spellStart"/>
      <w:r w:rsidRPr="00CC19F7">
        <w:t>Vidare</w:t>
      </w:r>
      <w:proofErr w:type="spellEnd"/>
      <w:r w:rsidRPr="00CC19F7">
        <w:t xml:space="preserve"> må selskapa betale avgift for sine utslepp av NOx eller slutte seg til miljøavtalen mellom den norske staten og </w:t>
      </w:r>
      <w:proofErr w:type="spellStart"/>
      <w:r w:rsidRPr="00CC19F7">
        <w:t>næringsorganisasjonane</w:t>
      </w:r>
      <w:proofErr w:type="spellEnd"/>
      <w:r w:rsidRPr="00CC19F7">
        <w:t xml:space="preserve">. Avtalen er </w:t>
      </w:r>
      <w:proofErr w:type="spellStart"/>
      <w:r w:rsidRPr="00CC19F7">
        <w:t>no</w:t>
      </w:r>
      <w:proofErr w:type="spellEnd"/>
      <w:r w:rsidRPr="00CC19F7">
        <w:t xml:space="preserve"> ført </w:t>
      </w:r>
      <w:proofErr w:type="spellStart"/>
      <w:r w:rsidRPr="00CC19F7">
        <w:t>vidare</w:t>
      </w:r>
      <w:proofErr w:type="spellEnd"/>
      <w:r w:rsidRPr="00CC19F7">
        <w:t xml:space="preserve"> til 2027. Med </w:t>
      </w:r>
      <w:proofErr w:type="spellStart"/>
      <w:r w:rsidRPr="00CC19F7">
        <w:t>gjeldande</w:t>
      </w:r>
      <w:proofErr w:type="spellEnd"/>
      <w:r w:rsidRPr="00CC19F7">
        <w:t xml:space="preserve"> kvotepris og avgift har den samla utsleppskostnaden (kvotepris og avgift) i </w:t>
      </w:r>
      <w:proofErr w:type="spellStart"/>
      <w:r w:rsidRPr="00CC19F7">
        <w:t>petroleumsverksemda</w:t>
      </w:r>
      <w:proofErr w:type="spellEnd"/>
      <w:r w:rsidRPr="00CC19F7">
        <w:t xml:space="preserve"> </w:t>
      </w:r>
      <w:proofErr w:type="spellStart"/>
      <w:r w:rsidRPr="00CC19F7">
        <w:t>vore</w:t>
      </w:r>
      <w:proofErr w:type="spellEnd"/>
      <w:r w:rsidRPr="00CC19F7">
        <w:t xml:space="preserve"> på om lag 1 760 kroner per tonn CO</w:t>
      </w:r>
      <w:r w:rsidRPr="00CC19F7">
        <w:rPr>
          <w:rStyle w:val="skrift-senket"/>
        </w:rPr>
        <w:t>2</w:t>
      </w:r>
      <w:r w:rsidRPr="00CC19F7">
        <w:t xml:space="preserve"> i 2023. Høge utsleppskostnader gir selskapa som opererer på norsk sokkel, </w:t>
      </w:r>
      <w:proofErr w:type="gramStart"/>
      <w:r w:rsidRPr="00CC19F7">
        <w:t>ei sterk eigeninteresse</w:t>
      </w:r>
      <w:proofErr w:type="gramEnd"/>
      <w:r w:rsidRPr="00CC19F7">
        <w:t xml:space="preserve"> av å redusere utslepp av </w:t>
      </w:r>
      <w:proofErr w:type="spellStart"/>
      <w:r w:rsidRPr="00CC19F7">
        <w:t>klimagassar</w:t>
      </w:r>
      <w:proofErr w:type="spellEnd"/>
      <w:r w:rsidRPr="00CC19F7">
        <w:t xml:space="preserve"> og samtidig forske på og utvikle </w:t>
      </w:r>
      <w:proofErr w:type="spellStart"/>
      <w:r w:rsidRPr="00CC19F7">
        <w:t>teknologiar</w:t>
      </w:r>
      <w:proofErr w:type="spellEnd"/>
      <w:r w:rsidRPr="00CC19F7">
        <w:t xml:space="preserve"> med </w:t>
      </w:r>
      <w:proofErr w:type="spellStart"/>
      <w:r w:rsidRPr="00CC19F7">
        <w:t>lågare</w:t>
      </w:r>
      <w:proofErr w:type="spellEnd"/>
      <w:r w:rsidRPr="00CC19F7">
        <w:t xml:space="preserve"> utslepp. I Hurdalsplattforma skriv regjeringa at ho gradvis vil </w:t>
      </w:r>
      <w:proofErr w:type="spellStart"/>
      <w:r w:rsidRPr="00CC19F7">
        <w:t>auke</w:t>
      </w:r>
      <w:proofErr w:type="spellEnd"/>
      <w:r w:rsidRPr="00CC19F7">
        <w:t xml:space="preserve"> CO</w:t>
      </w:r>
      <w:r w:rsidRPr="00CC19F7">
        <w:rPr>
          <w:rStyle w:val="skrift-senket"/>
        </w:rPr>
        <w:t>2</w:t>
      </w:r>
      <w:r w:rsidRPr="00CC19F7">
        <w:t xml:space="preserve">-avgifta på sokkelen. Dette vil bli vurdert i </w:t>
      </w:r>
      <w:proofErr w:type="spellStart"/>
      <w:r w:rsidRPr="00CC19F7">
        <w:t>dei</w:t>
      </w:r>
      <w:proofErr w:type="spellEnd"/>
      <w:r w:rsidRPr="00CC19F7">
        <w:t xml:space="preserve"> </w:t>
      </w:r>
      <w:proofErr w:type="spellStart"/>
      <w:r w:rsidRPr="00CC19F7">
        <w:t>årlege</w:t>
      </w:r>
      <w:proofErr w:type="spellEnd"/>
      <w:r w:rsidRPr="00CC19F7">
        <w:t xml:space="preserve"> budsjetta.</w:t>
      </w:r>
    </w:p>
    <w:p w14:paraId="7383BE90" w14:textId="77777777" w:rsidR="00FE02EF" w:rsidRPr="00CC19F7" w:rsidRDefault="00881E58" w:rsidP="00CC19F7">
      <w:r w:rsidRPr="00CC19F7">
        <w:t xml:space="preserve">Omsynet til miljø er </w:t>
      </w:r>
      <w:proofErr w:type="spellStart"/>
      <w:r w:rsidRPr="00CC19F7">
        <w:t>ein</w:t>
      </w:r>
      <w:proofErr w:type="spellEnd"/>
      <w:r w:rsidRPr="00CC19F7">
        <w:t xml:space="preserve"> integrert del av forvaltninga av </w:t>
      </w:r>
      <w:proofErr w:type="spellStart"/>
      <w:r w:rsidRPr="00CC19F7">
        <w:t>dei</w:t>
      </w:r>
      <w:proofErr w:type="spellEnd"/>
      <w:r w:rsidRPr="00CC19F7">
        <w:t xml:space="preserve"> norske </w:t>
      </w:r>
      <w:proofErr w:type="spellStart"/>
      <w:r w:rsidRPr="00CC19F7">
        <w:t>petroleumsressursane</w:t>
      </w:r>
      <w:proofErr w:type="spellEnd"/>
      <w:r w:rsidRPr="00CC19F7">
        <w:t xml:space="preserve">. </w:t>
      </w:r>
      <w:proofErr w:type="spellStart"/>
      <w:r w:rsidRPr="00CC19F7">
        <w:t>Miljøreguleringar</w:t>
      </w:r>
      <w:proofErr w:type="spellEnd"/>
      <w:r w:rsidRPr="00CC19F7">
        <w:t xml:space="preserve"> skjer på alle stadium av </w:t>
      </w:r>
      <w:proofErr w:type="spellStart"/>
      <w:r w:rsidRPr="00CC19F7">
        <w:t>verksemda</w:t>
      </w:r>
      <w:proofErr w:type="spellEnd"/>
      <w:r w:rsidRPr="00CC19F7">
        <w:t xml:space="preserve">: </w:t>
      </w:r>
      <w:proofErr w:type="spellStart"/>
      <w:r w:rsidRPr="00CC19F7">
        <w:t>frå</w:t>
      </w:r>
      <w:proofErr w:type="spellEnd"/>
      <w:r w:rsidRPr="00CC19F7">
        <w:t xml:space="preserve"> vurdering av </w:t>
      </w:r>
      <w:proofErr w:type="spellStart"/>
      <w:r w:rsidRPr="00CC19F7">
        <w:t>opning</w:t>
      </w:r>
      <w:proofErr w:type="spellEnd"/>
      <w:r w:rsidRPr="00CC19F7">
        <w:t xml:space="preserve"> av </w:t>
      </w:r>
      <w:proofErr w:type="spellStart"/>
      <w:r w:rsidRPr="00CC19F7">
        <w:t>eit</w:t>
      </w:r>
      <w:proofErr w:type="spellEnd"/>
      <w:r w:rsidRPr="00CC19F7">
        <w:t xml:space="preserve"> område for </w:t>
      </w:r>
      <w:proofErr w:type="spellStart"/>
      <w:r w:rsidRPr="00CC19F7">
        <w:t>petroleumsverksemd</w:t>
      </w:r>
      <w:proofErr w:type="spellEnd"/>
      <w:r w:rsidRPr="00CC19F7">
        <w:t xml:space="preserve">; gjennom leiting; vurdering av korleis </w:t>
      </w:r>
      <w:proofErr w:type="spellStart"/>
      <w:r w:rsidRPr="00CC19F7">
        <w:t>eit</w:t>
      </w:r>
      <w:proofErr w:type="spellEnd"/>
      <w:r w:rsidRPr="00CC19F7">
        <w:t xml:space="preserve"> felt skal </w:t>
      </w:r>
      <w:proofErr w:type="spellStart"/>
      <w:r w:rsidRPr="00CC19F7">
        <w:t>byggast</w:t>
      </w:r>
      <w:proofErr w:type="spellEnd"/>
      <w:r w:rsidRPr="00CC19F7">
        <w:t xml:space="preserve"> ut; spesifikke løyve knytte til drifta av feltet, </w:t>
      </w:r>
      <w:proofErr w:type="spellStart"/>
      <w:r w:rsidRPr="00CC19F7">
        <w:t>årlege</w:t>
      </w:r>
      <w:proofErr w:type="spellEnd"/>
      <w:r w:rsidRPr="00CC19F7">
        <w:t xml:space="preserve"> </w:t>
      </w:r>
      <w:proofErr w:type="spellStart"/>
      <w:r w:rsidRPr="00CC19F7">
        <w:t>endringar</w:t>
      </w:r>
      <w:proofErr w:type="spellEnd"/>
      <w:r w:rsidRPr="00CC19F7">
        <w:t xml:space="preserve"> av </w:t>
      </w:r>
      <w:proofErr w:type="spellStart"/>
      <w:r w:rsidRPr="00CC19F7">
        <w:t>desse</w:t>
      </w:r>
      <w:proofErr w:type="spellEnd"/>
      <w:r w:rsidRPr="00CC19F7">
        <w:t xml:space="preserve"> og fram til produksjonen skal </w:t>
      </w:r>
      <w:proofErr w:type="spellStart"/>
      <w:r w:rsidRPr="00CC19F7">
        <w:t>avsluttast</w:t>
      </w:r>
      <w:proofErr w:type="spellEnd"/>
      <w:r w:rsidRPr="00CC19F7">
        <w:t xml:space="preserve">; og disponering av </w:t>
      </w:r>
      <w:proofErr w:type="spellStart"/>
      <w:r w:rsidRPr="00CC19F7">
        <w:t>innretningane</w:t>
      </w:r>
      <w:proofErr w:type="spellEnd"/>
      <w:r w:rsidRPr="00CC19F7">
        <w:t xml:space="preserve">. Dette </w:t>
      </w:r>
      <w:proofErr w:type="spellStart"/>
      <w:r w:rsidRPr="00CC19F7">
        <w:t>sikrar</w:t>
      </w:r>
      <w:proofErr w:type="spellEnd"/>
      <w:r w:rsidRPr="00CC19F7">
        <w:t xml:space="preserve"> </w:t>
      </w:r>
      <w:proofErr w:type="spellStart"/>
      <w:r w:rsidRPr="00CC19F7">
        <w:t>eit</w:t>
      </w:r>
      <w:proofErr w:type="spellEnd"/>
      <w:r w:rsidRPr="00CC19F7">
        <w:t xml:space="preserve"> </w:t>
      </w:r>
      <w:proofErr w:type="spellStart"/>
      <w:r w:rsidRPr="00CC19F7">
        <w:t>omfattande</w:t>
      </w:r>
      <w:proofErr w:type="spellEnd"/>
      <w:r w:rsidRPr="00CC19F7">
        <w:t xml:space="preserve"> system der alle relevante </w:t>
      </w:r>
      <w:proofErr w:type="spellStart"/>
      <w:r w:rsidRPr="00CC19F7">
        <w:t>myndigheiter</w:t>
      </w:r>
      <w:proofErr w:type="spellEnd"/>
      <w:r w:rsidRPr="00CC19F7">
        <w:t xml:space="preserve"> er med.</w:t>
      </w:r>
    </w:p>
    <w:p w14:paraId="20329712" w14:textId="77777777" w:rsidR="00FE02EF" w:rsidRPr="00CC19F7" w:rsidRDefault="00881E58" w:rsidP="00CC19F7">
      <w:r w:rsidRPr="00CC19F7">
        <w:t xml:space="preserve">Utsleppa </w:t>
      </w:r>
      <w:proofErr w:type="spellStart"/>
      <w:r w:rsidRPr="00CC19F7">
        <w:t>frå</w:t>
      </w:r>
      <w:proofErr w:type="spellEnd"/>
      <w:r w:rsidRPr="00CC19F7">
        <w:t xml:space="preserve"> </w:t>
      </w:r>
      <w:proofErr w:type="spellStart"/>
      <w:r w:rsidRPr="00CC19F7">
        <w:t>petroleumsverksemda</w:t>
      </w:r>
      <w:proofErr w:type="spellEnd"/>
      <w:r w:rsidRPr="00CC19F7">
        <w:t xml:space="preserve"> i </w:t>
      </w:r>
      <w:proofErr w:type="spellStart"/>
      <w:r w:rsidRPr="00CC19F7">
        <w:t>Noreg</w:t>
      </w:r>
      <w:proofErr w:type="spellEnd"/>
      <w:r w:rsidRPr="00CC19F7">
        <w:t xml:space="preserve"> er regulert gjennom </w:t>
      </w:r>
      <w:proofErr w:type="spellStart"/>
      <w:r w:rsidRPr="00CC19F7">
        <w:t>fleire</w:t>
      </w:r>
      <w:proofErr w:type="spellEnd"/>
      <w:r w:rsidRPr="00CC19F7">
        <w:t xml:space="preserve"> lover, mellom anna petroleumslova, CO</w:t>
      </w:r>
      <w:r w:rsidRPr="00CC19F7">
        <w:rPr>
          <w:rStyle w:val="skrift-senket"/>
        </w:rPr>
        <w:t>2</w:t>
      </w:r>
      <w:r w:rsidRPr="00CC19F7">
        <w:t xml:space="preserve">-avgiftslova, særavgiftslova, klimakvotelova og </w:t>
      </w:r>
      <w:proofErr w:type="spellStart"/>
      <w:r w:rsidRPr="00CC19F7">
        <w:t>forureiningslova</w:t>
      </w:r>
      <w:proofErr w:type="spellEnd"/>
      <w:r w:rsidRPr="00CC19F7">
        <w:t xml:space="preserve">. </w:t>
      </w:r>
      <w:proofErr w:type="spellStart"/>
      <w:r w:rsidRPr="00CC19F7">
        <w:t>Oppdateringar</w:t>
      </w:r>
      <w:proofErr w:type="spellEnd"/>
      <w:r w:rsidRPr="00CC19F7">
        <w:t xml:space="preserve"> av </w:t>
      </w:r>
      <w:proofErr w:type="spellStart"/>
      <w:r w:rsidRPr="00CC19F7">
        <w:t>forvaltningsplanar</w:t>
      </w:r>
      <w:proofErr w:type="spellEnd"/>
      <w:r w:rsidRPr="00CC19F7">
        <w:t xml:space="preserve"> og nye </w:t>
      </w:r>
      <w:proofErr w:type="spellStart"/>
      <w:r w:rsidRPr="00CC19F7">
        <w:t>konsekvensutgreiingar</w:t>
      </w:r>
      <w:proofErr w:type="spellEnd"/>
      <w:r w:rsidRPr="00CC19F7">
        <w:t xml:space="preserve"> med oppdatert kunnskap </w:t>
      </w:r>
      <w:proofErr w:type="spellStart"/>
      <w:r w:rsidRPr="00CC19F7">
        <w:t>gjer</w:t>
      </w:r>
      <w:proofErr w:type="spellEnd"/>
      <w:r w:rsidRPr="00CC19F7">
        <w:t xml:space="preserve"> at avgjerder kan </w:t>
      </w:r>
      <w:proofErr w:type="spellStart"/>
      <w:r w:rsidRPr="00CC19F7">
        <w:t>takast</w:t>
      </w:r>
      <w:proofErr w:type="spellEnd"/>
      <w:r w:rsidRPr="00CC19F7">
        <w:t xml:space="preserve"> på </w:t>
      </w:r>
      <w:proofErr w:type="spellStart"/>
      <w:r w:rsidRPr="00CC19F7">
        <w:t>eit</w:t>
      </w:r>
      <w:proofErr w:type="spellEnd"/>
      <w:r w:rsidRPr="00CC19F7">
        <w:t xml:space="preserve"> best </w:t>
      </w:r>
      <w:proofErr w:type="spellStart"/>
      <w:r w:rsidRPr="00CC19F7">
        <w:t>mogleg</w:t>
      </w:r>
      <w:proofErr w:type="spellEnd"/>
      <w:r w:rsidRPr="00CC19F7">
        <w:t xml:space="preserve"> faktagrunnlag. </w:t>
      </w:r>
      <w:proofErr w:type="spellStart"/>
      <w:r w:rsidRPr="00CC19F7">
        <w:t>Høyringsrundar</w:t>
      </w:r>
      <w:proofErr w:type="spellEnd"/>
      <w:r w:rsidRPr="00CC19F7">
        <w:t xml:space="preserve"> gir alle </w:t>
      </w:r>
      <w:proofErr w:type="spellStart"/>
      <w:r w:rsidRPr="00CC19F7">
        <w:t>aktørar</w:t>
      </w:r>
      <w:proofErr w:type="spellEnd"/>
      <w:r w:rsidRPr="00CC19F7">
        <w:t xml:space="preserve"> høve til å bli </w:t>
      </w:r>
      <w:proofErr w:type="spellStart"/>
      <w:r w:rsidRPr="00CC19F7">
        <w:t>høyrde</w:t>
      </w:r>
      <w:proofErr w:type="spellEnd"/>
      <w:r w:rsidRPr="00CC19F7">
        <w:t xml:space="preserve">. I tillegg kan </w:t>
      </w:r>
      <w:proofErr w:type="spellStart"/>
      <w:r w:rsidRPr="00CC19F7">
        <w:t>myndigheitene</w:t>
      </w:r>
      <w:proofErr w:type="spellEnd"/>
      <w:r w:rsidRPr="00CC19F7">
        <w:t xml:space="preserve"> </w:t>
      </w:r>
      <w:proofErr w:type="spellStart"/>
      <w:r w:rsidRPr="00CC19F7">
        <w:t>gjere</w:t>
      </w:r>
      <w:proofErr w:type="spellEnd"/>
      <w:r w:rsidRPr="00CC19F7">
        <w:t xml:space="preserve"> enkeltvedtak, for eksempel ved godkjenning av </w:t>
      </w:r>
      <w:proofErr w:type="spellStart"/>
      <w:r w:rsidRPr="00CC19F7">
        <w:t>utbyggingsplanar</w:t>
      </w:r>
      <w:proofErr w:type="spellEnd"/>
      <w:r w:rsidRPr="00CC19F7">
        <w:t xml:space="preserve">. Brenning av </w:t>
      </w:r>
      <w:proofErr w:type="spellStart"/>
      <w:r w:rsidRPr="00CC19F7">
        <w:t>overskotsgass</w:t>
      </w:r>
      <w:proofErr w:type="spellEnd"/>
      <w:r w:rsidRPr="00CC19F7">
        <w:t xml:space="preserve"> har aldri </w:t>
      </w:r>
      <w:proofErr w:type="spellStart"/>
      <w:r w:rsidRPr="00CC19F7">
        <w:t>vore</w:t>
      </w:r>
      <w:proofErr w:type="spellEnd"/>
      <w:r w:rsidRPr="00CC19F7">
        <w:t xml:space="preserve"> lov på norsk sokkel, og brenning av gass i fakkel er </w:t>
      </w:r>
      <w:proofErr w:type="spellStart"/>
      <w:r w:rsidRPr="00CC19F7">
        <w:t>berre</w:t>
      </w:r>
      <w:proofErr w:type="spellEnd"/>
      <w:r w:rsidRPr="00CC19F7">
        <w:t xml:space="preserve"> lov når det er nødvendig av </w:t>
      </w:r>
      <w:proofErr w:type="spellStart"/>
      <w:r w:rsidRPr="00CC19F7">
        <w:t>sikkerheitsgrunnar</w:t>
      </w:r>
      <w:proofErr w:type="spellEnd"/>
      <w:r w:rsidRPr="00CC19F7">
        <w:t xml:space="preserve">. Slik brenning er også </w:t>
      </w:r>
      <w:proofErr w:type="spellStart"/>
      <w:r w:rsidRPr="00CC19F7">
        <w:t>berre</w:t>
      </w:r>
      <w:proofErr w:type="spellEnd"/>
      <w:r w:rsidRPr="00CC19F7">
        <w:t xml:space="preserve"> lov etter løyve </w:t>
      </w:r>
      <w:proofErr w:type="spellStart"/>
      <w:r w:rsidRPr="00CC19F7">
        <w:t>frå</w:t>
      </w:r>
      <w:proofErr w:type="spellEnd"/>
      <w:r w:rsidRPr="00CC19F7">
        <w:t xml:space="preserve"> Olje- og energidepartementet. Utnytting av </w:t>
      </w:r>
      <w:proofErr w:type="spellStart"/>
      <w:r w:rsidRPr="00CC19F7">
        <w:t>stordriftsfordelar</w:t>
      </w:r>
      <w:proofErr w:type="spellEnd"/>
      <w:r w:rsidRPr="00CC19F7">
        <w:t xml:space="preserve"> som </w:t>
      </w:r>
      <w:proofErr w:type="spellStart"/>
      <w:r w:rsidRPr="00CC19F7">
        <w:t>legg</w:t>
      </w:r>
      <w:proofErr w:type="spellEnd"/>
      <w:r w:rsidRPr="00CC19F7">
        <w:t xml:space="preserve"> til rette for energieffektiv drift, har alltid </w:t>
      </w:r>
      <w:proofErr w:type="spellStart"/>
      <w:r w:rsidRPr="00CC19F7">
        <w:t>vore</w:t>
      </w:r>
      <w:proofErr w:type="spellEnd"/>
      <w:r w:rsidRPr="00CC19F7">
        <w:t xml:space="preserve"> </w:t>
      </w:r>
      <w:proofErr w:type="spellStart"/>
      <w:r w:rsidRPr="00CC19F7">
        <w:t>eit</w:t>
      </w:r>
      <w:proofErr w:type="spellEnd"/>
      <w:r w:rsidRPr="00CC19F7">
        <w:t xml:space="preserve"> viktig omsyn for aktiviteten på sokkelen. Nye </w:t>
      </w:r>
      <w:proofErr w:type="spellStart"/>
      <w:r w:rsidRPr="00CC19F7">
        <w:t>utbyggingar</w:t>
      </w:r>
      <w:proofErr w:type="spellEnd"/>
      <w:r w:rsidRPr="00CC19F7">
        <w:t xml:space="preserve"> baserer seg på best </w:t>
      </w:r>
      <w:proofErr w:type="spellStart"/>
      <w:r w:rsidRPr="00CC19F7">
        <w:t>tilgjengeleg</w:t>
      </w:r>
      <w:proofErr w:type="spellEnd"/>
      <w:r w:rsidRPr="00CC19F7">
        <w:t xml:space="preserve"> teknologi.</w:t>
      </w:r>
    </w:p>
    <w:p w14:paraId="4FDA51A6" w14:textId="4D3E3034" w:rsidR="00FE02EF" w:rsidRPr="00CC19F7" w:rsidRDefault="00881E58" w:rsidP="00CC19F7">
      <w:r w:rsidRPr="00CC19F7">
        <w:t xml:space="preserve">Kraft </w:t>
      </w:r>
      <w:proofErr w:type="spellStart"/>
      <w:r w:rsidRPr="00CC19F7">
        <w:t>frå</w:t>
      </w:r>
      <w:proofErr w:type="spellEnd"/>
      <w:r w:rsidRPr="00CC19F7">
        <w:t xml:space="preserve"> land er den løysinga som kan redusere utsleppa </w:t>
      </w:r>
      <w:proofErr w:type="spellStart"/>
      <w:r w:rsidRPr="00CC19F7">
        <w:t>monaleg</w:t>
      </w:r>
      <w:proofErr w:type="spellEnd"/>
      <w:r w:rsidRPr="00CC19F7">
        <w:t xml:space="preserve"> på kontinentalsokkelen fram mot 2030. Nye prosjekt med omlegging til drift med kraft </w:t>
      </w:r>
      <w:proofErr w:type="spellStart"/>
      <w:r w:rsidRPr="00CC19F7">
        <w:t>frå</w:t>
      </w:r>
      <w:proofErr w:type="spellEnd"/>
      <w:r w:rsidRPr="00CC19F7">
        <w:t xml:space="preserve"> land som selskapa arbeider med er umodne og i </w:t>
      </w:r>
      <w:proofErr w:type="spellStart"/>
      <w:r w:rsidRPr="00CC19F7">
        <w:t>ein</w:t>
      </w:r>
      <w:proofErr w:type="spellEnd"/>
      <w:r w:rsidRPr="00CC19F7">
        <w:t xml:space="preserve"> </w:t>
      </w:r>
      <w:proofErr w:type="spellStart"/>
      <w:r w:rsidRPr="00CC19F7">
        <w:t>tidleg</w:t>
      </w:r>
      <w:proofErr w:type="spellEnd"/>
      <w:r w:rsidRPr="00CC19F7">
        <w:t xml:space="preserve"> planleggingsfase. Departementet venter derfor </w:t>
      </w:r>
      <w:proofErr w:type="spellStart"/>
      <w:r w:rsidRPr="00CC19F7">
        <w:t>ikkje</w:t>
      </w:r>
      <w:proofErr w:type="spellEnd"/>
      <w:r w:rsidRPr="00CC19F7">
        <w:t xml:space="preserve"> avgjerd om investering og innlevering av søknader om godkjenning av omlegging til drift med kraft </w:t>
      </w:r>
      <w:proofErr w:type="spellStart"/>
      <w:r w:rsidRPr="00CC19F7">
        <w:t>frå</w:t>
      </w:r>
      <w:proofErr w:type="spellEnd"/>
      <w:r w:rsidRPr="00CC19F7">
        <w:t xml:space="preserve"> land i 2024. Tiltak som karbonfangst og </w:t>
      </w:r>
      <w:r w:rsidR="00CC19F7">
        <w:t>-</w:t>
      </w:r>
      <w:r w:rsidRPr="00CC19F7">
        <w:t xml:space="preserve">lagring, hydrogen/ammoniakk og brenselsceller fremstår </w:t>
      </w:r>
      <w:proofErr w:type="spellStart"/>
      <w:r w:rsidRPr="00CC19F7">
        <w:t>ikkje</w:t>
      </w:r>
      <w:proofErr w:type="spellEnd"/>
      <w:r w:rsidRPr="00CC19F7">
        <w:t xml:space="preserve"> </w:t>
      </w:r>
      <w:proofErr w:type="spellStart"/>
      <w:r w:rsidRPr="00CC19F7">
        <w:t>no</w:t>
      </w:r>
      <w:proofErr w:type="spellEnd"/>
      <w:r w:rsidRPr="00CC19F7">
        <w:t xml:space="preserve"> som realistiske </w:t>
      </w:r>
      <w:proofErr w:type="spellStart"/>
      <w:r w:rsidRPr="00CC19F7">
        <w:t>løysingar</w:t>
      </w:r>
      <w:proofErr w:type="spellEnd"/>
      <w:r w:rsidRPr="00CC19F7">
        <w:t xml:space="preserve"> for å redusere utsleppa på </w:t>
      </w:r>
      <w:proofErr w:type="spellStart"/>
      <w:r w:rsidRPr="00CC19F7">
        <w:t>innretningane</w:t>
      </w:r>
      <w:proofErr w:type="spellEnd"/>
      <w:r w:rsidRPr="00CC19F7">
        <w:t xml:space="preserve"> i stor grad fram mot 2030. </w:t>
      </w:r>
      <w:proofErr w:type="spellStart"/>
      <w:r w:rsidRPr="00CC19F7">
        <w:t>Desse</w:t>
      </w:r>
      <w:proofErr w:type="spellEnd"/>
      <w:r w:rsidRPr="00CC19F7">
        <w:t xml:space="preserve"> tiltaka er i dag umodne til bruk offshore, og det vil </w:t>
      </w:r>
      <w:proofErr w:type="spellStart"/>
      <w:r w:rsidRPr="00CC19F7">
        <w:t>krevje</w:t>
      </w:r>
      <w:proofErr w:type="spellEnd"/>
      <w:r w:rsidRPr="00CC19F7">
        <w:t xml:space="preserve"> </w:t>
      </w:r>
      <w:proofErr w:type="spellStart"/>
      <w:r w:rsidRPr="00CC19F7">
        <w:t>vesentlege</w:t>
      </w:r>
      <w:proofErr w:type="spellEnd"/>
      <w:r w:rsidRPr="00CC19F7">
        <w:t xml:space="preserve"> </w:t>
      </w:r>
      <w:proofErr w:type="spellStart"/>
      <w:r w:rsidRPr="00CC19F7">
        <w:t>forbetringar</w:t>
      </w:r>
      <w:proofErr w:type="spellEnd"/>
      <w:r w:rsidRPr="00CC19F7">
        <w:t xml:space="preserve"> i teknologisk </w:t>
      </w:r>
      <w:proofErr w:type="spellStart"/>
      <w:r w:rsidRPr="00CC19F7">
        <w:t>modenheit</w:t>
      </w:r>
      <w:proofErr w:type="spellEnd"/>
      <w:r w:rsidRPr="00CC19F7">
        <w:t xml:space="preserve"> og kostnader før det eventuelt er venta at tiltaka kan bidra med </w:t>
      </w:r>
      <w:proofErr w:type="spellStart"/>
      <w:r w:rsidRPr="00CC19F7">
        <w:t>vesentlege</w:t>
      </w:r>
      <w:proofErr w:type="spellEnd"/>
      <w:r w:rsidRPr="00CC19F7">
        <w:t xml:space="preserve"> </w:t>
      </w:r>
      <w:proofErr w:type="spellStart"/>
      <w:r w:rsidRPr="00CC19F7">
        <w:t>utsleppsreduksjonar</w:t>
      </w:r>
      <w:proofErr w:type="spellEnd"/>
      <w:r w:rsidRPr="00CC19F7">
        <w:t xml:space="preserve">. Det er generelt </w:t>
      </w:r>
      <w:proofErr w:type="spellStart"/>
      <w:r w:rsidRPr="00CC19F7">
        <w:t>krevjande</w:t>
      </w:r>
      <w:proofErr w:type="spellEnd"/>
      <w:r w:rsidRPr="00CC19F7">
        <w:t xml:space="preserve"> med tiltak på </w:t>
      </w:r>
      <w:proofErr w:type="spellStart"/>
      <w:r w:rsidRPr="00CC19F7">
        <w:t>innretningar</w:t>
      </w:r>
      <w:proofErr w:type="spellEnd"/>
      <w:r w:rsidRPr="00CC19F7">
        <w:t xml:space="preserve"> til havs på grunn av forhold som høge tomtekostnader, ombyggingskostnader, plassmangel og omsyn til sikker drift. Denne type </w:t>
      </w:r>
      <w:proofErr w:type="spellStart"/>
      <w:r w:rsidRPr="00CC19F7">
        <w:t>løysingar</w:t>
      </w:r>
      <w:proofErr w:type="spellEnd"/>
      <w:r w:rsidRPr="00CC19F7">
        <w:t xml:space="preserve"> kan likevel </w:t>
      </w:r>
      <w:proofErr w:type="spellStart"/>
      <w:r w:rsidRPr="00CC19F7">
        <w:t>vere</w:t>
      </w:r>
      <w:proofErr w:type="spellEnd"/>
      <w:r w:rsidRPr="00CC19F7">
        <w:t xml:space="preserve"> aktuelle for </w:t>
      </w:r>
      <w:proofErr w:type="spellStart"/>
      <w:r w:rsidRPr="00CC19F7">
        <w:t>einskilde</w:t>
      </w:r>
      <w:proofErr w:type="spellEnd"/>
      <w:r w:rsidRPr="00CC19F7">
        <w:t xml:space="preserve"> utsleppskjelder i </w:t>
      </w:r>
      <w:proofErr w:type="spellStart"/>
      <w:r w:rsidRPr="00CC19F7">
        <w:t>eit</w:t>
      </w:r>
      <w:proofErr w:type="spellEnd"/>
      <w:r w:rsidRPr="00CC19F7">
        <w:t xml:space="preserve"> lengre perspektiv mot 2050.</w:t>
      </w:r>
    </w:p>
    <w:p w14:paraId="057B2B6B" w14:textId="77777777" w:rsidR="00FE02EF" w:rsidRPr="00CC19F7" w:rsidRDefault="00881E58" w:rsidP="00CC19F7">
      <w:r w:rsidRPr="00CC19F7">
        <w:t xml:space="preserve">Kraft </w:t>
      </w:r>
      <w:proofErr w:type="spellStart"/>
      <w:r w:rsidRPr="00CC19F7">
        <w:t>frå</w:t>
      </w:r>
      <w:proofErr w:type="spellEnd"/>
      <w:r w:rsidRPr="00CC19F7">
        <w:t xml:space="preserve"> land-prosjekt vil bli vurderte </w:t>
      </w:r>
      <w:proofErr w:type="spellStart"/>
      <w:r w:rsidRPr="00CC19F7">
        <w:t>frå</w:t>
      </w:r>
      <w:proofErr w:type="spellEnd"/>
      <w:r w:rsidRPr="00CC19F7">
        <w:t xml:space="preserve"> sak til sak og </w:t>
      </w:r>
      <w:proofErr w:type="spellStart"/>
      <w:r w:rsidRPr="00CC19F7">
        <w:t>ein</w:t>
      </w:r>
      <w:proofErr w:type="spellEnd"/>
      <w:r w:rsidRPr="00CC19F7">
        <w:t xml:space="preserve"> må ta omsyn til </w:t>
      </w:r>
      <w:proofErr w:type="spellStart"/>
      <w:r w:rsidRPr="00CC19F7">
        <w:t>konsekvensane</w:t>
      </w:r>
      <w:proofErr w:type="spellEnd"/>
      <w:r w:rsidRPr="00CC19F7">
        <w:t xml:space="preserve"> for kraftsystemet og tilgangen på fornybar kraft for andre </w:t>
      </w:r>
      <w:proofErr w:type="spellStart"/>
      <w:r w:rsidRPr="00CC19F7">
        <w:t>næringar</w:t>
      </w:r>
      <w:proofErr w:type="spellEnd"/>
      <w:r w:rsidRPr="00CC19F7">
        <w:t xml:space="preserve"> og </w:t>
      </w:r>
      <w:proofErr w:type="spellStart"/>
      <w:r w:rsidRPr="00CC19F7">
        <w:t>hushaldningane</w:t>
      </w:r>
      <w:proofErr w:type="spellEnd"/>
      <w:r w:rsidRPr="00CC19F7">
        <w:t xml:space="preserve">. Ei løysing med kraft </w:t>
      </w:r>
      <w:proofErr w:type="spellStart"/>
      <w:r w:rsidRPr="00CC19F7">
        <w:t>frå</w:t>
      </w:r>
      <w:proofErr w:type="spellEnd"/>
      <w:r w:rsidRPr="00CC19F7">
        <w:t xml:space="preserve"> land skal </w:t>
      </w:r>
      <w:proofErr w:type="spellStart"/>
      <w:r w:rsidRPr="00CC19F7">
        <w:t>vurderast</w:t>
      </w:r>
      <w:proofErr w:type="spellEnd"/>
      <w:r w:rsidRPr="00CC19F7">
        <w:t xml:space="preserve"> av </w:t>
      </w:r>
      <w:proofErr w:type="spellStart"/>
      <w:r w:rsidRPr="00CC19F7">
        <w:t>rettshavarane</w:t>
      </w:r>
      <w:proofErr w:type="spellEnd"/>
      <w:r w:rsidRPr="00CC19F7">
        <w:t xml:space="preserve"> ved kvar plan for utbygging og drift. Ei kraft-</w:t>
      </w:r>
      <w:proofErr w:type="spellStart"/>
      <w:r w:rsidRPr="00CC19F7">
        <w:t>frå</w:t>
      </w:r>
      <w:proofErr w:type="spellEnd"/>
      <w:r w:rsidRPr="00CC19F7">
        <w:t xml:space="preserve">-land-løysing krev normalt løyve etter både energilova og petroleumslova. Ei sak-til-sak-vurdering </w:t>
      </w:r>
      <w:proofErr w:type="spellStart"/>
      <w:r w:rsidRPr="00CC19F7">
        <w:t>sikrar</w:t>
      </w:r>
      <w:proofErr w:type="spellEnd"/>
      <w:r w:rsidRPr="00CC19F7">
        <w:t xml:space="preserve"> at relevante omsyn, inklusiv omsynet til kraftsystemet, blir varetatt i </w:t>
      </w:r>
      <w:proofErr w:type="spellStart"/>
      <w:r w:rsidRPr="00CC19F7">
        <w:t>valet</w:t>
      </w:r>
      <w:proofErr w:type="spellEnd"/>
      <w:r w:rsidRPr="00CC19F7">
        <w:t xml:space="preserve"> av slike </w:t>
      </w:r>
      <w:proofErr w:type="spellStart"/>
      <w:r w:rsidRPr="00CC19F7">
        <w:t>løysingar</w:t>
      </w:r>
      <w:proofErr w:type="spellEnd"/>
      <w:r w:rsidRPr="00CC19F7">
        <w:t xml:space="preserve">. Kraft </w:t>
      </w:r>
      <w:proofErr w:type="spellStart"/>
      <w:r w:rsidRPr="00CC19F7">
        <w:t>frå</w:t>
      </w:r>
      <w:proofErr w:type="spellEnd"/>
      <w:r w:rsidRPr="00CC19F7">
        <w:t xml:space="preserve"> land krev store </w:t>
      </w:r>
      <w:proofErr w:type="spellStart"/>
      <w:r w:rsidRPr="00CC19F7">
        <w:t>investeringar</w:t>
      </w:r>
      <w:proofErr w:type="spellEnd"/>
      <w:r w:rsidRPr="00CC19F7">
        <w:t xml:space="preserve"> og vil ofte </w:t>
      </w:r>
      <w:proofErr w:type="spellStart"/>
      <w:r w:rsidRPr="00CC19F7">
        <w:t>berre</w:t>
      </w:r>
      <w:proofErr w:type="spellEnd"/>
      <w:r w:rsidRPr="00CC19F7">
        <w:t xml:space="preserve"> </w:t>
      </w:r>
      <w:proofErr w:type="spellStart"/>
      <w:r w:rsidRPr="00CC19F7">
        <w:t>vere</w:t>
      </w:r>
      <w:proofErr w:type="spellEnd"/>
      <w:r w:rsidRPr="00CC19F7">
        <w:t xml:space="preserve"> realistisk ved enkelte større, sjølvstendige </w:t>
      </w:r>
      <w:proofErr w:type="spellStart"/>
      <w:r w:rsidRPr="00CC19F7">
        <w:t>utbyggingar</w:t>
      </w:r>
      <w:proofErr w:type="spellEnd"/>
      <w:r w:rsidRPr="00CC19F7">
        <w:t xml:space="preserve"> eller større </w:t>
      </w:r>
      <w:proofErr w:type="spellStart"/>
      <w:r w:rsidRPr="00CC19F7">
        <w:t>ombyggingar</w:t>
      </w:r>
      <w:proofErr w:type="spellEnd"/>
      <w:r w:rsidRPr="00CC19F7">
        <w:t xml:space="preserve"> av store felt. Kraft </w:t>
      </w:r>
      <w:proofErr w:type="spellStart"/>
      <w:r w:rsidRPr="00CC19F7">
        <w:t>frå</w:t>
      </w:r>
      <w:proofErr w:type="spellEnd"/>
      <w:r w:rsidRPr="00CC19F7">
        <w:t xml:space="preserve"> land til </w:t>
      </w:r>
      <w:proofErr w:type="spellStart"/>
      <w:r w:rsidRPr="00CC19F7">
        <w:t>eksisterande</w:t>
      </w:r>
      <w:proofErr w:type="spellEnd"/>
      <w:r w:rsidRPr="00CC19F7">
        <w:t xml:space="preserve"> </w:t>
      </w:r>
      <w:proofErr w:type="spellStart"/>
      <w:r w:rsidRPr="00CC19F7">
        <w:t>innretningar</w:t>
      </w:r>
      <w:proofErr w:type="spellEnd"/>
      <w:r w:rsidRPr="00CC19F7">
        <w:t xml:space="preserve"> er generelt svært dyrt. Gitt variasjonen i </w:t>
      </w:r>
      <w:proofErr w:type="spellStart"/>
      <w:r w:rsidRPr="00CC19F7">
        <w:t>konsekvensar</w:t>
      </w:r>
      <w:proofErr w:type="spellEnd"/>
      <w:r w:rsidRPr="00CC19F7">
        <w:t xml:space="preserve"> er det </w:t>
      </w:r>
      <w:proofErr w:type="spellStart"/>
      <w:r w:rsidRPr="00CC19F7">
        <w:t>avgjerande</w:t>
      </w:r>
      <w:proofErr w:type="spellEnd"/>
      <w:r w:rsidRPr="00CC19F7">
        <w:t xml:space="preserve"> å ta stilling til spørsmålet om bruk av kraft </w:t>
      </w:r>
      <w:proofErr w:type="spellStart"/>
      <w:r w:rsidRPr="00CC19F7">
        <w:t>frå</w:t>
      </w:r>
      <w:proofErr w:type="spellEnd"/>
      <w:r w:rsidRPr="00CC19F7">
        <w:t xml:space="preserve"> land ved </w:t>
      </w:r>
      <w:proofErr w:type="spellStart"/>
      <w:r w:rsidRPr="00CC19F7">
        <w:t>behandlinga</w:t>
      </w:r>
      <w:proofErr w:type="spellEnd"/>
      <w:r w:rsidRPr="00CC19F7">
        <w:t xml:space="preserve"> av den enkelte utbygginga.</w:t>
      </w:r>
    </w:p>
    <w:p w14:paraId="613D60BD" w14:textId="77777777" w:rsidR="00FE02EF" w:rsidRPr="00CC19F7" w:rsidRDefault="00881E58" w:rsidP="00CC19F7">
      <w:proofErr w:type="spellStart"/>
      <w:r w:rsidRPr="00CC19F7">
        <w:t>Verkemidla</w:t>
      </w:r>
      <w:proofErr w:type="spellEnd"/>
      <w:r w:rsidRPr="00CC19F7">
        <w:t xml:space="preserve"> i </w:t>
      </w:r>
      <w:proofErr w:type="spellStart"/>
      <w:r w:rsidRPr="00CC19F7">
        <w:t>petroleumsverksemda</w:t>
      </w:r>
      <w:proofErr w:type="spellEnd"/>
      <w:r w:rsidRPr="00CC19F7">
        <w:t xml:space="preserve"> har resultert i at det er gjennomført </w:t>
      </w:r>
      <w:proofErr w:type="spellStart"/>
      <w:r w:rsidRPr="00CC19F7">
        <w:t>omfattande</w:t>
      </w:r>
      <w:proofErr w:type="spellEnd"/>
      <w:r w:rsidRPr="00CC19F7">
        <w:t xml:space="preserve"> tiltak som direkte eller indirekte har gitt </w:t>
      </w:r>
      <w:proofErr w:type="spellStart"/>
      <w:r w:rsidRPr="00CC19F7">
        <w:t>lågare</w:t>
      </w:r>
      <w:proofErr w:type="spellEnd"/>
      <w:r w:rsidRPr="00CC19F7">
        <w:t xml:space="preserve"> utslepp av </w:t>
      </w:r>
      <w:proofErr w:type="spellStart"/>
      <w:r w:rsidRPr="00CC19F7">
        <w:t>klimagassar</w:t>
      </w:r>
      <w:proofErr w:type="spellEnd"/>
      <w:r w:rsidRPr="00CC19F7">
        <w:t xml:space="preserve">. Det </w:t>
      </w:r>
      <w:proofErr w:type="spellStart"/>
      <w:r w:rsidRPr="00CC19F7">
        <w:t>gjer</w:t>
      </w:r>
      <w:proofErr w:type="spellEnd"/>
      <w:r w:rsidRPr="00CC19F7">
        <w:t xml:space="preserve"> at den samla norske </w:t>
      </w:r>
      <w:proofErr w:type="spellStart"/>
      <w:r w:rsidRPr="00CC19F7">
        <w:t>petroleumsverksemda</w:t>
      </w:r>
      <w:proofErr w:type="spellEnd"/>
      <w:r w:rsidRPr="00CC19F7">
        <w:t xml:space="preserve"> skjer med </w:t>
      </w:r>
      <w:proofErr w:type="spellStart"/>
      <w:r w:rsidRPr="00CC19F7">
        <w:t>vesentleg</w:t>
      </w:r>
      <w:proofErr w:type="spellEnd"/>
      <w:r w:rsidRPr="00CC19F7">
        <w:t xml:space="preserve"> </w:t>
      </w:r>
      <w:proofErr w:type="spellStart"/>
      <w:r w:rsidRPr="00CC19F7">
        <w:t>lågare</w:t>
      </w:r>
      <w:proofErr w:type="spellEnd"/>
      <w:r w:rsidRPr="00CC19F7">
        <w:t xml:space="preserve"> klimagassutslepp per produsert eining enn gjennomsnittet for </w:t>
      </w:r>
      <w:proofErr w:type="spellStart"/>
      <w:r w:rsidRPr="00CC19F7">
        <w:t>oljeproduserande</w:t>
      </w:r>
      <w:proofErr w:type="spellEnd"/>
      <w:r w:rsidRPr="00CC19F7">
        <w:t xml:space="preserve"> land. Utsleppa varierer mellom ulike felt og </w:t>
      </w:r>
      <w:proofErr w:type="spellStart"/>
      <w:r w:rsidRPr="00CC19F7">
        <w:t>fasar</w:t>
      </w:r>
      <w:proofErr w:type="spellEnd"/>
      <w:r w:rsidRPr="00CC19F7">
        <w:t xml:space="preserve">, både i </w:t>
      </w:r>
      <w:proofErr w:type="spellStart"/>
      <w:r w:rsidRPr="00CC19F7">
        <w:t>Noreg</w:t>
      </w:r>
      <w:proofErr w:type="spellEnd"/>
      <w:r w:rsidRPr="00CC19F7">
        <w:t xml:space="preserve"> og internasjonalt.</w:t>
      </w:r>
    </w:p>
    <w:p w14:paraId="0AB52DB2" w14:textId="77777777" w:rsidR="00FE02EF" w:rsidRPr="00CC19F7" w:rsidRDefault="00881E58" w:rsidP="00CC19F7">
      <w:pPr>
        <w:pStyle w:val="avsnitt-tittel"/>
      </w:pPr>
      <w:r w:rsidRPr="00CC19F7">
        <w:t>Forsking og utvikling</w:t>
      </w:r>
    </w:p>
    <w:p w14:paraId="63A6C2E1" w14:textId="77777777" w:rsidR="00FE02EF" w:rsidRPr="00CC19F7" w:rsidRDefault="00881E58" w:rsidP="00CC19F7">
      <w:r w:rsidRPr="00CC19F7">
        <w:t xml:space="preserve">Regjeringas satsing på forsking og utvikling i energi- og </w:t>
      </w:r>
      <w:proofErr w:type="spellStart"/>
      <w:r w:rsidRPr="00CC19F7">
        <w:t>petroleumsverksemda</w:t>
      </w:r>
      <w:proofErr w:type="spellEnd"/>
      <w:r w:rsidRPr="00CC19F7">
        <w:t xml:space="preserve"> er </w:t>
      </w:r>
      <w:proofErr w:type="spellStart"/>
      <w:r w:rsidRPr="00CC19F7">
        <w:t>avgjerande</w:t>
      </w:r>
      <w:proofErr w:type="spellEnd"/>
      <w:r w:rsidRPr="00CC19F7">
        <w:t xml:space="preserve"> for at </w:t>
      </w:r>
      <w:proofErr w:type="spellStart"/>
      <w:r w:rsidRPr="00CC19F7">
        <w:t>Noreg</w:t>
      </w:r>
      <w:proofErr w:type="spellEnd"/>
      <w:r w:rsidRPr="00CC19F7">
        <w:t xml:space="preserve"> skal </w:t>
      </w:r>
      <w:proofErr w:type="spellStart"/>
      <w:r w:rsidRPr="00CC19F7">
        <w:t>vere</w:t>
      </w:r>
      <w:proofErr w:type="spellEnd"/>
      <w:r w:rsidRPr="00CC19F7">
        <w:t xml:space="preserve"> </w:t>
      </w:r>
      <w:proofErr w:type="spellStart"/>
      <w:r w:rsidRPr="00CC19F7">
        <w:t>ein</w:t>
      </w:r>
      <w:proofErr w:type="spellEnd"/>
      <w:r w:rsidRPr="00CC19F7">
        <w:t xml:space="preserve"> </w:t>
      </w:r>
      <w:proofErr w:type="spellStart"/>
      <w:r w:rsidRPr="00CC19F7">
        <w:t>føregangsnasjon</w:t>
      </w:r>
      <w:proofErr w:type="spellEnd"/>
      <w:r w:rsidRPr="00CC19F7">
        <w:t xml:space="preserve"> </w:t>
      </w:r>
      <w:proofErr w:type="spellStart"/>
      <w:r w:rsidRPr="00CC19F7">
        <w:t>innan</w:t>
      </w:r>
      <w:proofErr w:type="spellEnd"/>
      <w:r w:rsidRPr="00CC19F7">
        <w:t xml:space="preserve"> </w:t>
      </w:r>
      <w:proofErr w:type="spellStart"/>
      <w:r w:rsidRPr="00CC19F7">
        <w:t>miljøvennleg</w:t>
      </w:r>
      <w:proofErr w:type="spellEnd"/>
      <w:r w:rsidRPr="00CC19F7">
        <w:t xml:space="preserve"> energiproduksjon og -bruk. Satsinga bidrar til å utvikle og ta i bruk nye </w:t>
      </w:r>
      <w:proofErr w:type="spellStart"/>
      <w:r w:rsidRPr="00CC19F7">
        <w:t>teknologiar</w:t>
      </w:r>
      <w:proofErr w:type="spellEnd"/>
      <w:r w:rsidRPr="00CC19F7">
        <w:t xml:space="preserve"> og </w:t>
      </w:r>
      <w:proofErr w:type="spellStart"/>
      <w:r w:rsidRPr="00CC19F7">
        <w:t>løysingar</w:t>
      </w:r>
      <w:proofErr w:type="spellEnd"/>
      <w:r w:rsidRPr="00CC19F7">
        <w:t xml:space="preserve"> og til effektiv og </w:t>
      </w:r>
      <w:proofErr w:type="spellStart"/>
      <w:r w:rsidRPr="00CC19F7">
        <w:t>berekraftig</w:t>
      </w:r>
      <w:proofErr w:type="spellEnd"/>
      <w:r w:rsidRPr="00CC19F7">
        <w:t xml:space="preserve"> utnytting av </w:t>
      </w:r>
      <w:proofErr w:type="spellStart"/>
      <w:r w:rsidRPr="00CC19F7">
        <w:t>dei</w:t>
      </w:r>
      <w:proofErr w:type="spellEnd"/>
      <w:r w:rsidRPr="00CC19F7">
        <w:t xml:space="preserve"> norske energi- og </w:t>
      </w:r>
      <w:proofErr w:type="spellStart"/>
      <w:r w:rsidRPr="00CC19F7">
        <w:t>petroleumsressursane</w:t>
      </w:r>
      <w:proofErr w:type="spellEnd"/>
      <w:r w:rsidRPr="00CC19F7">
        <w:t xml:space="preserve">. Samtidig skal støtta gi norsk næringsliv og kompetansemiljø betre evne til å konkurrere i </w:t>
      </w:r>
      <w:proofErr w:type="spellStart"/>
      <w:r w:rsidRPr="00CC19F7">
        <w:t>dei</w:t>
      </w:r>
      <w:proofErr w:type="spellEnd"/>
      <w:r w:rsidRPr="00CC19F7">
        <w:t xml:space="preserve"> internasjonale </w:t>
      </w:r>
      <w:proofErr w:type="spellStart"/>
      <w:r w:rsidRPr="00CC19F7">
        <w:t>marknadene</w:t>
      </w:r>
      <w:proofErr w:type="spellEnd"/>
      <w:r w:rsidRPr="00CC19F7">
        <w:t xml:space="preserve"> for miljø- og klimavennlege </w:t>
      </w:r>
      <w:proofErr w:type="spellStart"/>
      <w:r w:rsidRPr="00CC19F7">
        <w:t>energiløysingar</w:t>
      </w:r>
      <w:proofErr w:type="spellEnd"/>
      <w:r w:rsidRPr="00CC19F7">
        <w:t xml:space="preserve">. Olje- og energidepartementet er gjennom </w:t>
      </w:r>
      <w:proofErr w:type="spellStart"/>
      <w:r w:rsidRPr="00CC19F7">
        <w:t>Noregs</w:t>
      </w:r>
      <w:proofErr w:type="spellEnd"/>
      <w:r w:rsidRPr="00CC19F7">
        <w:t xml:space="preserve"> forskingsråd den største </w:t>
      </w:r>
      <w:proofErr w:type="spellStart"/>
      <w:r w:rsidRPr="00CC19F7">
        <w:t>bidragsytaren</w:t>
      </w:r>
      <w:proofErr w:type="spellEnd"/>
      <w:r w:rsidRPr="00CC19F7">
        <w:t xml:space="preserve"> til finansiering av miljø- og klimarelevant forsking og utvikling.</w:t>
      </w:r>
    </w:p>
    <w:p w14:paraId="0F8F1AF1" w14:textId="77777777" w:rsidR="00FE02EF" w:rsidRPr="00CC19F7" w:rsidRDefault="00881E58" w:rsidP="00CC19F7">
      <w:pPr>
        <w:pStyle w:val="avsnitt-undertittel"/>
      </w:pPr>
      <w:r w:rsidRPr="00CC19F7">
        <w:t>Energiforsking</w:t>
      </w:r>
    </w:p>
    <w:p w14:paraId="000943EE" w14:textId="77777777" w:rsidR="00FE02EF" w:rsidRPr="00CC19F7" w:rsidRDefault="00881E58" w:rsidP="00CC19F7">
      <w:proofErr w:type="spellStart"/>
      <w:r w:rsidRPr="00CC19F7">
        <w:t>Offentleg</w:t>
      </w:r>
      <w:proofErr w:type="spellEnd"/>
      <w:r w:rsidRPr="00CC19F7">
        <w:t xml:space="preserve"> støtte til energiforsking skal </w:t>
      </w:r>
      <w:proofErr w:type="spellStart"/>
      <w:r w:rsidRPr="00CC19F7">
        <w:t>medverke</w:t>
      </w:r>
      <w:proofErr w:type="spellEnd"/>
      <w:r w:rsidRPr="00CC19F7">
        <w:t xml:space="preserve"> til ei effektiv og </w:t>
      </w:r>
      <w:proofErr w:type="spellStart"/>
      <w:r w:rsidRPr="00CC19F7">
        <w:t>berekraftig</w:t>
      </w:r>
      <w:proofErr w:type="spellEnd"/>
      <w:r w:rsidRPr="00CC19F7">
        <w:t xml:space="preserve"> utnytting av nasjonale </w:t>
      </w:r>
      <w:proofErr w:type="spellStart"/>
      <w:r w:rsidRPr="00CC19F7">
        <w:t>energiressursar</w:t>
      </w:r>
      <w:proofErr w:type="spellEnd"/>
      <w:r w:rsidRPr="00CC19F7">
        <w:t xml:space="preserve"> og til ei effektiv, </w:t>
      </w:r>
      <w:proofErr w:type="gramStart"/>
      <w:r w:rsidRPr="00CC19F7">
        <w:t>robust</w:t>
      </w:r>
      <w:proofErr w:type="gramEnd"/>
      <w:r w:rsidRPr="00CC19F7">
        <w:t xml:space="preserve"> og </w:t>
      </w:r>
      <w:proofErr w:type="spellStart"/>
      <w:r w:rsidRPr="00CC19F7">
        <w:t>miljøvennleg</w:t>
      </w:r>
      <w:proofErr w:type="spellEnd"/>
      <w:r w:rsidRPr="00CC19F7">
        <w:t xml:space="preserve"> kraft- og energiforsyning i </w:t>
      </w:r>
      <w:proofErr w:type="spellStart"/>
      <w:r w:rsidRPr="00CC19F7">
        <w:t>Noreg</w:t>
      </w:r>
      <w:proofErr w:type="spellEnd"/>
      <w:r w:rsidRPr="00CC19F7">
        <w:t xml:space="preserve">. Satsinga skal </w:t>
      </w:r>
      <w:proofErr w:type="spellStart"/>
      <w:r w:rsidRPr="00CC19F7">
        <w:t>vere</w:t>
      </w:r>
      <w:proofErr w:type="spellEnd"/>
      <w:r w:rsidRPr="00CC19F7">
        <w:t xml:space="preserve"> med på å utvikle </w:t>
      </w:r>
      <w:proofErr w:type="spellStart"/>
      <w:r w:rsidRPr="00CC19F7">
        <w:t>miljøvennlege</w:t>
      </w:r>
      <w:proofErr w:type="spellEnd"/>
      <w:r w:rsidRPr="00CC19F7">
        <w:t xml:space="preserve"> produkt, </w:t>
      </w:r>
      <w:proofErr w:type="spellStart"/>
      <w:r w:rsidRPr="00CC19F7">
        <w:t>tenester</w:t>
      </w:r>
      <w:proofErr w:type="spellEnd"/>
      <w:r w:rsidRPr="00CC19F7">
        <w:t xml:space="preserve"> og </w:t>
      </w:r>
      <w:proofErr w:type="spellStart"/>
      <w:r w:rsidRPr="00CC19F7">
        <w:t>prosessar</w:t>
      </w:r>
      <w:proofErr w:type="spellEnd"/>
      <w:r w:rsidRPr="00CC19F7">
        <w:t xml:space="preserve">, mellom anna nye </w:t>
      </w:r>
      <w:proofErr w:type="spellStart"/>
      <w:r w:rsidRPr="00CC19F7">
        <w:t>teknologiar</w:t>
      </w:r>
      <w:proofErr w:type="spellEnd"/>
      <w:r w:rsidRPr="00CC19F7">
        <w:t xml:space="preserve"> for fornybar energi, energieffektivisering og CO</w:t>
      </w:r>
      <w:r w:rsidRPr="00CC19F7">
        <w:rPr>
          <w:rStyle w:val="skrift-senket"/>
        </w:rPr>
        <w:t>2</w:t>
      </w:r>
      <w:r w:rsidRPr="00CC19F7">
        <w:t xml:space="preserve">-handtering. Den </w:t>
      </w:r>
      <w:proofErr w:type="spellStart"/>
      <w:r w:rsidRPr="00CC19F7">
        <w:t>offentlege</w:t>
      </w:r>
      <w:proofErr w:type="spellEnd"/>
      <w:r w:rsidRPr="00CC19F7">
        <w:t xml:space="preserve"> satsinga på energiforsking skal også </w:t>
      </w:r>
      <w:proofErr w:type="spellStart"/>
      <w:r w:rsidRPr="00CC19F7">
        <w:t>medverke</w:t>
      </w:r>
      <w:proofErr w:type="spellEnd"/>
      <w:r w:rsidRPr="00CC19F7">
        <w:t xml:space="preserve"> til næringsutvikling og til å bygge opp kunnskap av </w:t>
      </w:r>
      <w:proofErr w:type="spellStart"/>
      <w:r w:rsidRPr="00CC19F7">
        <w:t>samfunnsfagleg</w:t>
      </w:r>
      <w:proofErr w:type="spellEnd"/>
      <w:r w:rsidRPr="00CC19F7">
        <w:t xml:space="preserve"> karakter, for eksempel om </w:t>
      </w:r>
      <w:proofErr w:type="spellStart"/>
      <w:r w:rsidRPr="00CC19F7">
        <w:t>effektar</w:t>
      </w:r>
      <w:proofErr w:type="spellEnd"/>
      <w:r w:rsidRPr="00CC19F7">
        <w:t xml:space="preserve"> av </w:t>
      </w:r>
      <w:proofErr w:type="spellStart"/>
      <w:r w:rsidRPr="00CC19F7">
        <w:t>klimaendringar</w:t>
      </w:r>
      <w:proofErr w:type="spellEnd"/>
      <w:r w:rsidRPr="00CC19F7">
        <w:t xml:space="preserve"> på energiområdet (</w:t>
      </w:r>
      <w:proofErr w:type="spellStart"/>
      <w:r w:rsidRPr="00CC19F7">
        <w:t>meir</w:t>
      </w:r>
      <w:proofErr w:type="spellEnd"/>
      <w:r w:rsidRPr="00CC19F7">
        <w:t xml:space="preserve"> nedbør, </w:t>
      </w:r>
      <w:proofErr w:type="spellStart"/>
      <w:r w:rsidRPr="00CC19F7">
        <w:t>flaum</w:t>
      </w:r>
      <w:proofErr w:type="spellEnd"/>
      <w:r w:rsidRPr="00CC19F7">
        <w:t xml:space="preserve">, redusert oppvarmingsbehov). Energi21 er </w:t>
      </w:r>
      <w:proofErr w:type="spellStart"/>
      <w:r w:rsidRPr="00CC19F7">
        <w:t>myndigheitene</w:t>
      </w:r>
      <w:proofErr w:type="spellEnd"/>
      <w:r w:rsidRPr="00CC19F7">
        <w:t xml:space="preserve"> og næringa sin strategi for forsking, utvikling, demonstrasjon og kommersialisering av ny, </w:t>
      </w:r>
      <w:proofErr w:type="spellStart"/>
      <w:r w:rsidRPr="00CC19F7">
        <w:t>klimavennleg</w:t>
      </w:r>
      <w:proofErr w:type="spellEnd"/>
      <w:r w:rsidRPr="00CC19F7">
        <w:t xml:space="preserve"> energiteknologi. Energi21 gir </w:t>
      </w:r>
      <w:proofErr w:type="spellStart"/>
      <w:r w:rsidRPr="00CC19F7">
        <w:t>myndigheitene</w:t>
      </w:r>
      <w:proofErr w:type="spellEnd"/>
      <w:r w:rsidRPr="00CC19F7">
        <w:t xml:space="preserve"> og energibransjen råd om innretning av satsinga på forsking og utvikling av </w:t>
      </w:r>
      <w:proofErr w:type="spellStart"/>
      <w:r w:rsidRPr="00CC19F7">
        <w:t>teknologiar</w:t>
      </w:r>
      <w:proofErr w:type="spellEnd"/>
      <w:r w:rsidRPr="00CC19F7">
        <w:t xml:space="preserve"> for fornybar energi, energisystemet, energieffektivisering, CO</w:t>
      </w:r>
      <w:r w:rsidRPr="00CC19F7">
        <w:rPr>
          <w:rStyle w:val="skrift-senket"/>
        </w:rPr>
        <w:t>2</w:t>
      </w:r>
      <w:r w:rsidRPr="00CC19F7">
        <w:t xml:space="preserve">-handtering og energi til transportformål. Energi21-strategien </w:t>
      </w:r>
      <w:proofErr w:type="spellStart"/>
      <w:r w:rsidRPr="00CC19F7">
        <w:t>frå</w:t>
      </w:r>
      <w:proofErr w:type="spellEnd"/>
      <w:r w:rsidRPr="00CC19F7">
        <w:t xml:space="preserve"> 2022 tilrår å prioritere satsinga på energiteknologi på </w:t>
      </w:r>
      <w:proofErr w:type="gramStart"/>
      <w:r w:rsidRPr="00CC19F7">
        <w:t>åtte område</w:t>
      </w:r>
      <w:proofErr w:type="gramEnd"/>
      <w:r w:rsidRPr="00CC19F7">
        <w:t xml:space="preserve">, med </w:t>
      </w:r>
      <w:proofErr w:type="spellStart"/>
      <w:r w:rsidRPr="00CC19F7">
        <w:t>særleg</w:t>
      </w:r>
      <w:proofErr w:type="spellEnd"/>
      <w:r w:rsidRPr="00CC19F7">
        <w:t xml:space="preserve"> vekt på </w:t>
      </w:r>
      <w:proofErr w:type="spellStart"/>
      <w:r w:rsidRPr="00CC19F7">
        <w:t>dei</w:t>
      </w:r>
      <w:proofErr w:type="spellEnd"/>
      <w:r w:rsidRPr="00CC19F7">
        <w:t xml:space="preserve"> to første. Dei åtte områda er: integrerte og effektive energisystem, </w:t>
      </w:r>
      <w:proofErr w:type="spellStart"/>
      <w:r w:rsidRPr="00CC19F7">
        <w:t>energimarknader</w:t>
      </w:r>
      <w:proofErr w:type="spellEnd"/>
      <w:r w:rsidRPr="00CC19F7">
        <w:t xml:space="preserve"> og regulering, hydrogen, vasskraft, batteri, solenergi, havvind og CO</w:t>
      </w:r>
      <w:r w:rsidRPr="00CC19F7">
        <w:rPr>
          <w:rStyle w:val="skrift-senket"/>
        </w:rPr>
        <w:t>2</w:t>
      </w:r>
      <w:r w:rsidRPr="00CC19F7">
        <w:t xml:space="preserve">-handtering. Det er elleve teknologisk retta forskingssenter for </w:t>
      </w:r>
      <w:proofErr w:type="spellStart"/>
      <w:r w:rsidRPr="00CC19F7">
        <w:t>miljøvennleg</w:t>
      </w:r>
      <w:proofErr w:type="spellEnd"/>
      <w:r w:rsidRPr="00CC19F7">
        <w:t xml:space="preserve"> energi (FME) for </w:t>
      </w:r>
      <w:proofErr w:type="spellStart"/>
      <w:r w:rsidRPr="00CC19F7">
        <w:t>høvesvis</w:t>
      </w:r>
      <w:proofErr w:type="spellEnd"/>
      <w:r w:rsidRPr="00CC19F7">
        <w:t xml:space="preserve"> CO</w:t>
      </w:r>
      <w:r w:rsidRPr="00CC19F7">
        <w:rPr>
          <w:rStyle w:val="skrift-senket"/>
        </w:rPr>
        <w:t>2</w:t>
      </w:r>
      <w:r w:rsidRPr="00CC19F7">
        <w:t xml:space="preserve">-handtering, </w:t>
      </w:r>
      <w:proofErr w:type="spellStart"/>
      <w:r w:rsidRPr="00CC19F7">
        <w:t>miljøvennleg</w:t>
      </w:r>
      <w:proofErr w:type="spellEnd"/>
      <w:r w:rsidRPr="00CC19F7">
        <w:t xml:space="preserve"> transport, vasskraft, vindkraft, biodrivstoff, energieffektivisering i industrien, smarte energisystem, nullutslepp i byområde, solceller og to på hydrogen. Det er også to </w:t>
      </w:r>
      <w:proofErr w:type="spellStart"/>
      <w:r w:rsidRPr="00CC19F7">
        <w:t>samfunnsvitskaplege</w:t>
      </w:r>
      <w:proofErr w:type="spellEnd"/>
      <w:r w:rsidRPr="00CC19F7">
        <w:t xml:space="preserve"> FME-ar: NTRANS, som skal forske på kva rolle energisystemet har i omstillinga til </w:t>
      </w:r>
      <w:proofErr w:type="spellStart"/>
      <w:r w:rsidRPr="00CC19F7">
        <w:t>eit</w:t>
      </w:r>
      <w:proofErr w:type="spellEnd"/>
      <w:r w:rsidRPr="00CC19F7">
        <w:t xml:space="preserve"> </w:t>
      </w:r>
      <w:proofErr w:type="spellStart"/>
      <w:r w:rsidRPr="00CC19F7">
        <w:t>lågutsleppssamfunn</w:t>
      </w:r>
      <w:proofErr w:type="spellEnd"/>
      <w:r w:rsidRPr="00CC19F7">
        <w:t xml:space="preserve">, og INCLUDE, som skal utvikle kunnskap og </w:t>
      </w:r>
      <w:proofErr w:type="spellStart"/>
      <w:r w:rsidRPr="00CC19F7">
        <w:t>løysingar</w:t>
      </w:r>
      <w:proofErr w:type="spellEnd"/>
      <w:r w:rsidRPr="00CC19F7">
        <w:t xml:space="preserve"> for å få </w:t>
      </w:r>
      <w:proofErr w:type="spellStart"/>
      <w:r w:rsidRPr="00CC19F7">
        <w:t>eit</w:t>
      </w:r>
      <w:proofErr w:type="spellEnd"/>
      <w:r w:rsidRPr="00CC19F7">
        <w:t xml:space="preserve"> sosialt rettferdig </w:t>
      </w:r>
      <w:proofErr w:type="spellStart"/>
      <w:r w:rsidRPr="00CC19F7">
        <w:t>lågutsleppssamfunn</w:t>
      </w:r>
      <w:proofErr w:type="spellEnd"/>
      <w:r w:rsidRPr="00CC19F7">
        <w:t xml:space="preserve">. FME-ordninga, som ligg under </w:t>
      </w:r>
      <w:proofErr w:type="spellStart"/>
      <w:r w:rsidRPr="00CC19F7">
        <w:t>Noregs</w:t>
      </w:r>
      <w:proofErr w:type="spellEnd"/>
      <w:r w:rsidRPr="00CC19F7">
        <w:t xml:space="preserve"> forskingsråd, er </w:t>
      </w:r>
      <w:proofErr w:type="spellStart"/>
      <w:r w:rsidRPr="00CC19F7">
        <w:t>ein</w:t>
      </w:r>
      <w:proofErr w:type="spellEnd"/>
      <w:r w:rsidRPr="00CC19F7">
        <w:t xml:space="preserve"> av </w:t>
      </w:r>
      <w:proofErr w:type="spellStart"/>
      <w:r w:rsidRPr="00CC19F7">
        <w:t>dei</w:t>
      </w:r>
      <w:proofErr w:type="spellEnd"/>
      <w:r w:rsidRPr="00CC19F7">
        <w:t xml:space="preserve"> </w:t>
      </w:r>
      <w:proofErr w:type="spellStart"/>
      <w:r w:rsidRPr="00CC19F7">
        <w:t>viktigaste</w:t>
      </w:r>
      <w:proofErr w:type="spellEnd"/>
      <w:r w:rsidRPr="00CC19F7">
        <w:t xml:space="preserve"> </w:t>
      </w:r>
      <w:proofErr w:type="spellStart"/>
      <w:r w:rsidRPr="00CC19F7">
        <w:t>berebjelkane</w:t>
      </w:r>
      <w:proofErr w:type="spellEnd"/>
      <w:r w:rsidRPr="00CC19F7">
        <w:t xml:space="preserve"> for norsk satsing på forsking, utvikling og innovasjon for </w:t>
      </w:r>
      <w:proofErr w:type="spellStart"/>
      <w:r w:rsidRPr="00CC19F7">
        <w:t>berekraftige</w:t>
      </w:r>
      <w:proofErr w:type="spellEnd"/>
      <w:r w:rsidRPr="00CC19F7">
        <w:t xml:space="preserve"> energisystem i framtida. ENERGIX er </w:t>
      </w:r>
      <w:proofErr w:type="spellStart"/>
      <w:r w:rsidRPr="00CC19F7">
        <w:t>Noregs</w:t>
      </w:r>
      <w:proofErr w:type="spellEnd"/>
      <w:r w:rsidRPr="00CC19F7">
        <w:t xml:space="preserve"> forskingsråds store, målretta program på energiområdet og det </w:t>
      </w:r>
      <w:proofErr w:type="spellStart"/>
      <w:r w:rsidRPr="00CC19F7">
        <w:t>viktigaste</w:t>
      </w:r>
      <w:proofErr w:type="spellEnd"/>
      <w:r w:rsidRPr="00CC19F7">
        <w:t xml:space="preserve"> programmet for forsking på reduserte utslepp. ENERGIX finansierer forsking og innovasjon for ei </w:t>
      </w:r>
      <w:proofErr w:type="spellStart"/>
      <w:r w:rsidRPr="00CC19F7">
        <w:t>berekraftig</w:t>
      </w:r>
      <w:proofErr w:type="spellEnd"/>
      <w:r w:rsidRPr="00CC19F7">
        <w:t xml:space="preserve"> utvikling av energisystemet. Programmet </w:t>
      </w:r>
      <w:proofErr w:type="spellStart"/>
      <w:r w:rsidRPr="00CC19F7">
        <w:t>omfattar</w:t>
      </w:r>
      <w:proofErr w:type="spellEnd"/>
      <w:r w:rsidRPr="00CC19F7">
        <w:t xml:space="preserve"> alt </w:t>
      </w:r>
      <w:proofErr w:type="spellStart"/>
      <w:r w:rsidRPr="00CC19F7">
        <w:t>frå</w:t>
      </w:r>
      <w:proofErr w:type="spellEnd"/>
      <w:r w:rsidRPr="00CC19F7">
        <w:t xml:space="preserve"> utvikling av energisystemet og fornybar energiteknologi til effektiv bruk av energi i bygg, industri og transport. Målet er å </w:t>
      </w:r>
      <w:proofErr w:type="spellStart"/>
      <w:r w:rsidRPr="00CC19F7">
        <w:t>medverke</w:t>
      </w:r>
      <w:proofErr w:type="spellEnd"/>
      <w:r w:rsidRPr="00CC19F7">
        <w:t xml:space="preserve"> til omstilling til </w:t>
      </w:r>
      <w:proofErr w:type="spellStart"/>
      <w:r w:rsidRPr="00CC19F7">
        <w:t>lågutsleppssamfunnet</w:t>
      </w:r>
      <w:proofErr w:type="spellEnd"/>
      <w:r w:rsidRPr="00CC19F7">
        <w:t xml:space="preserve"> og å fremme </w:t>
      </w:r>
      <w:proofErr w:type="spellStart"/>
      <w:r w:rsidRPr="00CC19F7">
        <w:t>eit</w:t>
      </w:r>
      <w:proofErr w:type="spellEnd"/>
      <w:r w:rsidRPr="00CC19F7">
        <w:t xml:space="preserve"> konkurransedyktig norsk næringsliv. </w:t>
      </w:r>
      <w:proofErr w:type="spellStart"/>
      <w:r w:rsidRPr="00CC19F7">
        <w:t>Noreg</w:t>
      </w:r>
      <w:proofErr w:type="spellEnd"/>
      <w:r w:rsidRPr="00CC19F7">
        <w:t xml:space="preserve"> har ei internasjonal </w:t>
      </w:r>
      <w:proofErr w:type="spellStart"/>
      <w:r w:rsidRPr="00CC19F7">
        <w:t>leiarrolle</w:t>
      </w:r>
      <w:proofErr w:type="spellEnd"/>
      <w:r w:rsidRPr="00CC19F7">
        <w:t xml:space="preserve"> i utviklinga av teknologi for CO</w:t>
      </w:r>
      <w:r w:rsidRPr="00CC19F7">
        <w:rPr>
          <w:rStyle w:val="skrift-senket"/>
        </w:rPr>
        <w:t>2</w:t>
      </w:r>
      <w:r w:rsidRPr="00CC19F7">
        <w:t xml:space="preserve">-handtering. CLIMIT er det </w:t>
      </w:r>
      <w:proofErr w:type="spellStart"/>
      <w:r w:rsidRPr="00CC19F7">
        <w:t>offentlege</w:t>
      </w:r>
      <w:proofErr w:type="spellEnd"/>
      <w:r w:rsidRPr="00CC19F7">
        <w:t xml:space="preserve"> støtteprogrammet for forsking, utvikling og demonstrasjon av </w:t>
      </w:r>
      <w:proofErr w:type="spellStart"/>
      <w:r w:rsidRPr="00CC19F7">
        <w:t>teknologiar</w:t>
      </w:r>
      <w:proofErr w:type="spellEnd"/>
      <w:r w:rsidRPr="00CC19F7">
        <w:t xml:space="preserve"> for CO</w:t>
      </w:r>
      <w:r w:rsidRPr="00CC19F7">
        <w:rPr>
          <w:rStyle w:val="skrift-senket"/>
        </w:rPr>
        <w:t>2</w:t>
      </w:r>
      <w:r w:rsidRPr="00CC19F7">
        <w:t xml:space="preserve">-handtering. Programmet er administrert av Gassnova </w:t>
      </w:r>
      <w:proofErr w:type="spellStart"/>
      <w:r w:rsidRPr="00CC19F7">
        <w:t>saman</w:t>
      </w:r>
      <w:proofErr w:type="spellEnd"/>
      <w:r w:rsidRPr="00CC19F7">
        <w:t xml:space="preserve"> med </w:t>
      </w:r>
      <w:proofErr w:type="spellStart"/>
      <w:r w:rsidRPr="00CC19F7">
        <w:t>Noregs</w:t>
      </w:r>
      <w:proofErr w:type="spellEnd"/>
      <w:r w:rsidRPr="00CC19F7">
        <w:t xml:space="preserve"> forskingsråd. CLIMIT skal gi økonomisk støtte til prosjekt som </w:t>
      </w:r>
      <w:proofErr w:type="spellStart"/>
      <w:r w:rsidRPr="00CC19F7">
        <w:t>utviklar</w:t>
      </w:r>
      <w:proofErr w:type="spellEnd"/>
      <w:r w:rsidRPr="00CC19F7">
        <w:t xml:space="preserve"> kunnskap, kompetanse, teknologi og </w:t>
      </w:r>
      <w:proofErr w:type="spellStart"/>
      <w:r w:rsidRPr="00CC19F7">
        <w:t>løysingar</w:t>
      </w:r>
      <w:proofErr w:type="spellEnd"/>
      <w:r w:rsidRPr="00CC19F7">
        <w:t xml:space="preserve"> som kan gi viktige bidrag til </w:t>
      </w:r>
      <w:proofErr w:type="spellStart"/>
      <w:r w:rsidRPr="00CC19F7">
        <w:t>kostnadsreduksjonar</w:t>
      </w:r>
      <w:proofErr w:type="spellEnd"/>
      <w:r w:rsidRPr="00CC19F7">
        <w:t xml:space="preserve"> og stor internasjonal utbreiing av CO</w:t>
      </w:r>
      <w:r w:rsidRPr="00CC19F7">
        <w:rPr>
          <w:rStyle w:val="skrift-senket"/>
        </w:rPr>
        <w:t>2</w:t>
      </w:r>
      <w:r w:rsidRPr="00CC19F7">
        <w:t>-handtering.</w:t>
      </w:r>
    </w:p>
    <w:p w14:paraId="7E7FB3A9" w14:textId="77777777" w:rsidR="00FE02EF" w:rsidRPr="00CC19F7" w:rsidRDefault="00881E58" w:rsidP="00CC19F7">
      <w:pPr>
        <w:pStyle w:val="avsnitt-undertittel"/>
      </w:pPr>
      <w:r w:rsidRPr="00CC19F7">
        <w:t>Petroleumsforsking</w:t>
      </w:r>
    </w:p>
    <w:p w14:paraId="041C4F10" w14:textId="77777777" w:rsidR="00FE02EF" w:rsidRPr="00CC19F7" w:rsidRDefault="00881E58" w:rsidP="00CC19F7">
      <w:proofErr w:type="spellStart"/>
      <w:r w:rsidRPr="00CC19F7">
        <w:t>Offentleg</w:t>
      </w:r>
      <w:proofErr w:type="spellEnd"/>
      <w:r w:rsidRPr="00CC19F7">
        <w:t xml:space="preserve"> støtte til FoU og kompetansebygging i </w:t>
      </w:r>
      <w:proofErr w:type="spellStart"/>
      <w:r w:rsidRPr="00CC19F7">
        <w:t>petroleumsverksemda</w:t>
      </w:r>
      <w:proofErr w:type="spellEnd"/>
      <w:r w:rsidRPr="00CC19F7">
        <w:t xml:space="preserve"> er viktig for å sikre ei effektiv og </w:t>
      </w:r>
      <w:proofErr w:type="spellStart"/>
      <w:r w:rsidRPr="00CC19F7">
        <w:t>miljøvennleg</w:t>
      </w:r>
      <w:proofErr w:type="spellEnd"/>
      <w:r w:rsidRPr="00CC19F7">
        <w:t xml:space="preserve"> utnytting av </w:t>
      </w:r>
      <w:proofErr w:type="spellStart"/>
      <w:r w:rsidRPr="00CC19F7">
        <w:t>petroleumsressursane</w:t>
      </w:r>
      <w:proofErr w:type="spellEnd"/>
      <w:r w:rsidRPr="00CC19F7">
        <w:t xml:space="preserve"> og samtidig </w:t>
      </w:r>
      <w:proofErr w:type="spellStart"/>
      <w:r w:rsidRPr="00CC19F7">
        <w:t>medverke</w:t>
      </w:r>
      <w:proofErr w:type="spellEnd"/>
      <w:r w:rsidRPr="00CC19F7">
        <w:t xml:space="preserve"> til utvikling av den norske </w:t>
      </w:r>
      <w:proofErr w:type="spellStart"/>
      <w:r w:rsidRPr="00CC19F7">
        <w:t>petroleumsverksemda</w:t>
      </w:r>
      <w:proofErr w:type="spellEnd"/>
      <w:r w:rsidRPr="00CC19F7">
        <w:t xml:space="preserve"> som vår fremste høgteknologiske kunnskapsindustri. Slik vil det bli lagt til rette for at norsk kontinentalsokkel framleis skal </w:t>
      </w:r>
      <w:proofErr w:type="spellStart"/>
      <w:r w:rsidRPr="00CC19F7">
        <w:t>vere</w:t>
      </w:r>
      <w:proofErr w:type="spellEnd"/>
      <w:r w:rsidRPr="00CC19F7">
        <w:t xml:space="preserve"> </w:t>
      </w:r>
      <w:proofErr w:type="spellStart"/>
      <w:r w:rsidRPr="00CC19F7">
        <w:t>ein</w:t>
      </w:r>
      <w:proofErr w:type="spellEnd"/>
      <w:r w:rsidRPr="00CC19F7">
        <w:t xml:space="preserve"> stabil og langsiktig leverandør av olje og gass til Europa. Satsinga bidrar også til å bygge opp kunnskap og utvikle nye, </w:t>
      </w:r>
      <w:proofErr w:type="spellStart"/>
      <w:r w:rsidRPr="00CC19F7">
        <w:t>meir</w:t>
      </w:r>
      <w:proofErr w:type="spellEnd"/>
      <w:r w:rsidRPr="00CC19F7">
        <w:t xml:space="preserve"> </w:t>
      </w:r>
      <w:proofErr w:type="spellStart"/>
      <w:r w:rsidRPr="00CC19F7">
        <w:t>miljøvennlege</w:t>
      </w:r>
      <w:proofErr w:type="spellEnd"/>
      <w:r w:rsidRPr="00CC19F7">
        <w:t xml:space="preserve"> </w:t>
      </w:r>
      <w:proofErr w:type="spellStart"/>
      <w:r w:rsidRPr="00CC19F7">
        <w:t>teknologiar</w:t>
      </w:r>
      <w:proofErr w:type="spellEnd"/>
      <w:r w:rsidRPr="00CC19F7">
        <w:t xml:space="preserve"> og </w:t>
      </w:r>
      <w:proofErr w:type="spellStart"/>
      <w:r w:rsidRPr="00CC19F7">
        <w:t>løysingar</w:t>
      </w:r>
      <w:proofErr w:type="spellEnd"/>
      <w:r w:rsidRPr="00CC19F7">
        <w:t>.</w:t>
      </w:r>
    </w:p>
    <w:p w14:paraId="4D11D2E2" w14:textId="77777777" w:rsidR="00FE02EF" w:rsidRPr="00CC19F7" w:rsidRDefault="00881E58" w:rsidP="00CC19F7">
      <w:r w:rsidRPr="00CC19F7">
        <w:t xml:space="preserve">Den nasjonale teknologistrategien for </w:t>
      </w:r>
      <w:proofErr w:type="spellStart"/>
      <w:r w:rsidRPr="00CC19F7">
        <w:t>petroleumsverksemda</w:t>
      </w:r>
      <w:proofErr w:type="spellEnd"/>
      <w:r w:rsidRPr="00CC19F7">
        <w:t xml:space="preserve">, OG21, </w:t>
      </w:r>
      <w:proofErr w:type="spellStart"/>
      <w:r w:rsidRPr="00CC19F7">
        <w:t>peikar</w:t>
      </w:r>
      <w:proofErr w:type="spellEnd"/>
      <w:r w:rsidRPr="00CC19F7">
        <w:t xml:space="preserve"> på åtte teknologiområde der forsking, teknologiutvikling og innovasjon er spesielt viktig. Dette inkluderer mellom anna </w:t>
      </w:r>
      <w:proofErr w:type="spellStart"/>
      <w:r w:rsidRPr="00CC19F7">
        <w:t>forbetra</w:t>
      </w:r>
      <w:proofErr w:type="spellEnd"/>
      <w:r w:rsidRPr="00CC19F7">
        <w:t xml:space="preserve"> </w:t>
      </w:r>
      <w:proofErr w:type="spellStart"/>
      <w:r w:rsidRPr="00CC19F7">
        <w:t>undergrunnsforståing</w:t>
      </w:r>
      <w:proofErr w:type="spellEnd"/>
      <w:r w:rsidRPr="00CC19F7">
        <w:t xml:space="preserve">, kostnadseffektiv boring og nedstenging av </w:t>
      </w:r>
      <w:proofErr w:type="spellStart"/>
      <w:r w:rsidRPr="00CC19F7">
        <w:t>brønnar</w:t>
      </w:r>
      <w:proofErr w:type="spellEnd"/>
      <w:r w:rsidRPr="00CC19F7">
        <w:t>, energieffektivitet og kostnadseffektiv elektrifisering, CO</w:t>
      </w:r>
      <w:r w:rsidRPr="00CC19F7">
        <w:rPr>
          <w:rStyle w:val="skrift-senket"/>
        </w:rPr>
        <w:t>2</w:t>
      </w:r>
      <w:r w:rsidRPr="00CC19F7">
        <w:t xml:space="preserve">-handtering, digitalisering og </w:t>
      </w:r>
      <w:proofErr w:type="spellStart"/>
      <w:r w:rsidRPr="00CC19F7">
        <w:t>sikkerheit</w:t>
      </w:r>
      <w:proofErr w:type="spellEnd"/>
      <w:r w:rsidRPr="00CC19F7">
        <w:t xml:space="preserve"> og arbeidsmiljø. Strategien har ei </w:t>
      </w:r>
      <w:proofErr w:type="spellStart"/>
      <w:r w:rsidRPr="00CC19F7">
        <w:t>betydeleg</w:t>
      </w:r>
      <w:proofErr w:type="spellEnd"/>
      <w:r w:rsidRPr="00CC19F7">
        <w:t xml:space="preserve"> </w:t>
      </w:r>
      <w:proofErr w:type="spellStart"/>
      <w:r w:rsidRPr="00CC19F7">
        <w:t>merksemd</w:t>
      </w:r>
      <w:proofErr w:type="spellEnd"/>
      <w:r w:rsidRPr="00CC19F7">
        <w:t xml:space="preserve"> retta mot å bidra til energiomstilling og nullutsleppssamfunnet, der </w:t>
      </w:r>
      <w:proofErr w:type="spellStart"/>
      <w:r w:rsidRPr="00CC19F7">
        <w:t>dei</w:t>
      </w:r>
      <w:proofErr w:type="spellEnd"/>
      <w:r w:rsidRPr="00CC19F7">
        <w:t xml:space="preserve"> sentrale elementa er </w:t>
      </w:r>
      <w:proofErr w:type="spellStart"/>
      <w:r w:rsidRPr="00CC19F7">
        <w:t>dekarbonisering</w:t>
      </w:r>
      <w:proofErr w:type="spellEnd"/>
      <w:r w:rsidRPr="00CC19F7">
        <w:t xml:space="preserve"> av produksjonen i industrien, </w:t>
      </w:r>
      <w:proofErr w:type="spellStart"/>
      <w:r w:rsidRPr="00CC19F7">
        <w:t>dekarbonisering</w:t>
      </w:r>
      <w:proofErr w:type="spellEnd"/>
      <w:r w:rsidRPr="00CC19F7">
        <w:t xml:space="preserve"> av verdikjeder for petroleum og deltaking i og overføring av kompetanse og </w:t>
      </w:r>
      <w:proofErr w:type="spellStart"/>
      <w:r w:rsidRPr="00CC19F7">
        <w:t>løysingar</w:t>
      </w:r>
      <w:proofErr w:type="spellEnd"/>
      <w:r w:rsidRPr="00CC19F7">
        <w:t xml:space="preserve"> til nye </w:t>
      </w:r>
      <w:proofErr w:type="spellStart"/>
      <w:r w:rsidRPr="00CC19F7">
        <w:t>lågutsleppsindustriar</w:t>
      </w:r>
      <w:proofErr w:type="spellEnd"/>
      <w:r w:rsidRPr="00CC19F7">
        <w:t>.</w:t>
      </w:r>
    </w:p>
    <w:p w14:paraId="3FD3F92D" w14:textId="77777777" w:rsidR="00FE02EF" w:rsidRPr="00CC19F7" w:rsidRDefault="00881E58" w:rsidP="00CC19F7">
      <w:r w:rsidRPr="00CC19F7">
        <w:t xml:space="preserve">Forskingsprogramma PETROMAKS 2 og DEMO 2000 har </w:t>
      </w:r>
      <w:proofErr w:type="spellStart"/>
      <w:r w:rsidRPr="00CC19F7">
        <w:t>sidan</w:t>
      </w:r>
      <w:proofErr w:type="spellEnd"/>
      <w:r w:rsidRPr="00CC19F7">
        <w:t xml:space="preserve"> klimaforliket hatt ei samla </w:t>
      </w:r>
      <w:proofErr w:type="spellStart"/>
      <w:r w:rsidRPr="00CC19F7">
        <w:t>årleg</w:t>
      </w:r>
      <w:proofErr w:type="spellEnd"/>
      <w:r w:rsidRPr="00CC19F7">
        <w:t xml:space="preserve"> </w:t>
      </w:r>
      <w:proofErr w:type="spellStart"/>
      <w:r w:rsidRPr="00CC19F7">
        <w:t>øyremerking</w:t>
      </w:r>
      <w:proofErr w:type="spellEnd"/>
      <w:r w:rsidRPr="00CC19F7">
        <w:t xml:space="preserve"> retta mot energieffektivisering og reduksjon av klimagassutslepp knytte til olje- og gassproduksjonen på norsk sokkel. </w:t>
      </w:r>
      <w:proofErr w:type="spellStart"/>
      <w:r w:rsidRPr="00CC19F7">
        <w:t>Øyremerkinga</w:t>
      </w:r>
      <w:proofErr w:type="spellEnd"/>
      <w:r w:rsidRPr="00CC19F7">
        <w:t xml:space="preserve"> var på 35 mill. kroner i 2022. Det blei i 2022 utført </w:t>
      </w:r>
      <w:proofErr w:type="spellStart"/>
      <w:r w:rsidRPr="00CC19F7">
        <w:t>ein</w:t>
      </w:r>
      <w:proofErr w:type="spellEnd"/>
      <w:r w:rsidRPr="00CC19F7">
        <w:t xml:space="preserve"> ny analyse av petroleumsporteføljen med tanke på </w:t>
      </w:r>
      <w:proofErr w:type="spellStart"/>
      <w:r w:rsidRPr="00CC19F7">
        <w:t>effektar</w:t>
      </w:r>
      <w:proofErr w:type="spellEnd"/>
      <w:r w:rsidRPr="00CC19F7">
        <w:t xml:space="preserve"> som bidrar til klimamåla. Analysen blei utført på nye prosjekt i perioden 2018–2021 og viste at heile 137 av </w:t>
      </w:r>
      <w:proofErr w:type="spellStart"/>
      <w:r w:rsidRPr="00CC19F7">
        <w:t>dei</w:t>
      </w:r>
      <w:proofErr w:type="spellEnd"/>
      <w:r w:rsidRPr="00CC19F7">
        <w:t xml:space="preserve"> nye prosjekta i denne perioden vil gi positive </w:t>
      </w:r>
      <w:proofErr w:type="spellStart"/>
      <w:r w:rsidRPr="00CC19F7">
        <w:t>effektar</w:t>
      </w:r>
      <w:proofErr w:type="spellEnd"/>
      <w:r w:rsidRPr="00CC19F7">
        <w:t xml:space="preserve"> for miljøet. Resultata </w:t>
      </w:r>
      <w:proofErr w:type="spellStart"/>
      <w:r w:rsidRPr="00CC19F7">
        <w:t>frå</w:t>
      </w:r>
      <w:proofErr w:type="spellEnd"/>
      <w:r w:rsidRPr="00CC19F7">
        <w:t xml:space="preserve"> forskinga vil bidra til reduserte utslepp av </w:t>
      </w:r>
      <w:proofErr w:type="spellStart"/>
      <w:r w:rsidRPr="00CC19F7">
        <w:t>klimagassar</w:t>
      </w:r>
      <w:proofErr w:type="spellEnd"/>
      <w:r w:rsidRPr="00CC19F7">
        <w:t xml:space="preserve">, </w:t>
      </w:r>
      <w:proofErr w:type="spellStart"/>
      <w:r w:rsidRPr="00CC19F7">
        <w:t>anten</w:t>
      </w:r>
      <w:proofErr w:type="spellEnd"/>
      <w:r w:rsidRPr="00CC19F7">
        <w:t xml:space="preserve"> direkte ved reduksjon av </w:t>
      </w:r>
      <w:proofErr w:type="spellStart"/>
      <w:r w:rsidRPr="00CC19F7">
        <w:t>antal</w:t>
      </w:r>
      <w:proofErr w:type="spellEnd"/>
      <w:r w:rsidRPr="00CC19F7">
        <w:t xml:space="preserve"> tonn CO</w:t>
      </w:r>
      <w:r w:rsidRPr="00CC19F7">
        <w:rPr>
          <w:rStyle w:val="skrift-senket"/>
        </w:rPr>
        <w:t>2</w:t>
      </w:r>
      <w:r w:rsidRPr="00CC19F7">
        <w:t xml:space="preserve"> produsert eller indirekte ved </w:t>
      </w:r>
      <w:proofErr w:type="spellStart"/>
      <w:r w:rsidRPr="00CC19F7">
        <w:t>meir</w:t>
      </w:r>
      <w:proofErr w:type="spellEnd"/>
      <w:r w:rsidRPr="00CC19F7">
        <w:t xml:space="preserve"> energieffektive </w:t>
      </w:r>
      <w:proofErr w:type="spellStart"/>
      <w:r w:rsidRPr="00CC19F7">
        <w:t>prosessar</w:t>
      </w:r>
      <w:proofErr w:type="spellEnd"/>
      <w:r w:rsidRPr="00CC19F7">
        <w:t xml:space="preserve">. 68 prosent av prosjekta i analysen </w:t>
      </w:r>
      <w:proofErr w:type="spellStart"/>
      <w:r w:rsidRPr="00CC19F7">
        <w:t>stadfestar</w:t>
      </w:r>
      <w:proofErr w:type="spellEnd"/>
      <w:r w:rsidRPr="00CC19F7">
        <w:t xml:space="preserve"> at prosjekta </w:t>
      </w:r>
      <w:proofErr w:type="spellStart"/>
      <w:r w:rsidRPr="00CC19F7">
        <w:t>deira</w:t>
      </w:r>
      <w:proofErr w:type="spellEnd"/>
      <w:r w:rsidRPr="00CC19F7">
        <w:t xml:space="preserve"> har potensial for energieffektivisering eller mindre utslepp til luft.</w:t>
      </w:r>
    </w:p>
    <w:p w14:paraId="420AFB5B" w14:textId="77777777" w:rsidR="00FE02EF" w:rsidRPr="00CC19F7" w:rsidRDefault="00881E58" w:rsidP="00CC19F7">
      <w:r w:rsidRPr="00CC19F7">
        <w:t xml:space="preserve">Det blir løyvd </w:t>
      </w:r>
      <w:proofErr w:type="spellStart"/>
      <w:r w:rsidRPr="00CC19F7">
        <w:t>midlar</w:t>
      </w:r>
      <w:proofErr w:type="spellEnd"/>
      <w:r w:rsidRPr="00CC19F7">
        <w:t xml:space="preserve"> til tre forskingssenter som mellom anna skal utvikle klima- og </w:t>
      </w:r>
      <w:proofErr w:type="spellStart"/>
      <w:r w:rsidRPr="00CC19F7">
        <w:t>miljøvennlege</w:t>
      </w:r>
      <w:proofErr w:type="spellEnd"/>
      <w:r w:rsidRPr="00CC19F7">
        <w:t xml:space="preserve"> </w:t>
      </w:r>
      <w:proofErr w:type="spellStart"/>
      <w:r w:rsidRPr="00CC19F7">
        <w:t>løysingar</w:t>
      </w:r>
      <w:proofErr w:type="spellEnd"/>
      <w:r w:rsidRPr="00CC19F7">
        <w:t xml:space="preserve"> for norsk </w:t>
      </w:r>
      <w:proofErr w:type="spellStart"/>
      <w:r w:rsidRPr="00CC19F7">
        <w:t>petroleumsverksemd</w:t>
      </w:r>
      <w:proofErr w:type="spellEnd"/>
      <w:r w:rsidRPr="00CC19F7">
        <w:t xml:space="preserve">. Forskingssenteret for </w:t>
      </w:r>
      <w:proofErr w:type="spellStart"/>
      <w:r w:rsidRPr="00CC19F7">
        <w:t>lågutsleppsteknologi</w:t>
      </w:r>
      <w:proofErr w:type="spellEnd"/>
      <w:r w:rsidRPr="00CC19F7">
        <w:t xml:space="preserve"> for </w:t>
      </w:r>
      <w:proofErr w:type="spellStart"/>
      <w:r w:rsidRPr="00CC19F7">
        <w:t>petroleumsverksemda</w:t>
      </w:r>
      <w:proofErr w:type="spellEnd"/>
      <w:r w:rsidRPr="00CC19F7">
        <w:t xml:space="preserve"> på norsk sokkel skal utvikle </w:t>
      </w:r>
      <w:proofErr w:type="spellStart"/>
      <w:r w:rsidRPr="00CC19F7">
        <w:t>lågutslepps</w:t>
      </w:r>
      <w:proofErr w:type="spellEnd"/>
      <w:r w:rsidRPr="00CC19F7">
        <w:t xml:space="preserve">- eller nullutsleppsteknologi som </w:t>
      </w:r>
      <w:proofErr w:type="spellStart"/>
      <w:r w:rsidRPr="00CC19F7">
        <w:t>gjer</w:t>
      </w:r>
      <w:proofErr w:type="spellEnd"/>
      <w:r w:rsidRPr="00CC19F7">
        <w:t xml:space="preserve"> at utbygging og drift av </w:t>
      </w:r>
      <w:proofErr w:type="spellStart"/>
      <w:r w:rsidRPr="00CC19F7">
        <w:t>petroleumsførekomstar</w:t>
      </w:r>
      <w:proofErr w:type="spellEnd"/>
      <w:r w:rsidRPr="00CC19F7">
        <w:t xml:space="preserve"> i framtida kan skje med </w:t>
      </w:r>
      <w:proofErr w:type="spellStart"/>
      <w:r w:rsidRPr="00CC19F7">
        <w:t>lågast</w:t>
      </w:r>
      <w:proofErr w:type="spellEnd"/>
      <w:r w:rsidRPr="00CC19F7">
        <w:t xml:space="preserve"> </w:t>
      </w:r>
      <w:proofErr w:type="spellStart"/>
      <w:r w:rsidRPr="00CC19F7">
        <w:t>moglege</w:t>
      </w:r>
      <w:proofErr w:type="spellEnd"/>
      <w:r w:rsidRPr="00CC19F7">
        <w:t xml:space="preserve"> utslepp av </w:t>
      </w:r>
      <w:proofErr w:type="spellStart"/>
      <w:r w:rsidRPr="00CC19F7">
        <w:t>klimagassar</w:t>
      </w:r>
      <w:proofErr w:type="spellEnd"/>
      <w:r w:rsidRPr="00CC19F7">
        <w:t xml:space="preserve">. Senteret skal også utvikle teknologi som kan </w:t>
      </w:r>
      <w:proofErr w:type="spellStart"/>
      <w:r w:rsidRPr="00CC19F7">
        <w:t>medverke</w:t>
      </w:r>
      <w:proofErr w:type="spellEnd"/>
      <w:r w:rsidRPr="00CC19F7">
        <w:t xml:space="preserve"> til </w:t>
      </w:r>
      <w:proofErr w:type="spellStart"/>
      <w:r w:rsidRPr="00CC19F7">
        <w:t>ein</w:t>
      </w:r>
      <w:proofErr w:type="spellEnd"/>
      <w:r w:rsidRPr="00CC19F7">
        <w:t xml:space="preserve"> </w:t>
      </w:r>
      <w:proofErr w:type="spellStart"/>
      <w:r w:rsidRPr="00CC19F7">
        <w:t>betydeleg</w:t>
      </w:r>
      <w:proofErr w:type="spellEnd"/>
      <w:r w:rsidRPr="00CC19F7">
        <w:t xml:space="preserve"> reduksjon av utslepp </w:t>
      </w:r>
      <w:proofErr w:type="spellStart"/>
      <w:r w:rsidRPr="00CC19F7">
        <w:t>frå</w:t>
      </w:r>
      <w:proofErr w:type="spellEnd"/>
      <w:r w:rsidRPr="00CC19F7">
        <w:t xml:space="preserve"> </w:t>
      </w:r>
      <w:proofErr w:type="spellStart"/>
      <w:r w:rsidRPr="00CC19F7">
        <w:t>eksisterande</w:t>
      </w:r>
      <w:proofErr w:type="spellEnd"/>
      <w:r w:rsidRPr="00CC19F7">
        <w:t xml:space="preserve"> </w:t>
      </w:r>
      <w:proofErr w:type="spellStart"/>
      <w:r w:rsidRPr="00CC19F7">
        <w:t>installasjonar</w:t>
      </w:r>
      <w:proofErr w:type="spellEnd"/>
      <w:r w:rsidRPr="00CC19F7">
        <w:t xml:space="preserve">. Dei to andre </w:t>
      </w:r>
      <w:proofErr w:type="spellStart"/>
      <w:r w:rsidRPr="00CC19F7">
        <w:t>sentera</w:t>
      </w:r>
      <w:proofErr w:type="spellEnd"/>
      <w:r w:rsidRPr="00CC19F7">
        <w:t xml:space="preserve"> er konsentrerte om </w:t>
      </w:r>
      <w:proofErr w:type="spellStart"/>
      <w:r w:rsidRPr="00CC19F7">
        <w:t>høvesvis</w:t>
      </w:r>
      <w:proofErr w:type="spellEnd"/>
      <w:r w:rsidRPr="00CC19F7">
        <w:t xml:space="preserve"> </w:t>
      </w:r>
      <w:proofErr w:type="spellStart"/>
      <w:r w:rsidRPr="00CC19F7">
        <w:t>berekraftig</w:t>
      </w:r>
      <w:proofErr w:type="spellEnd"/>
      <w:r w:rsidRPr="00CC19F7">
        <w:t xml:space="preserve"> utnytting av </w:t>
      </w:r>
      <w:proofErr w:type="spellStart"/>
      <w:r w:rsidRPr="00CC19F7">
        <w:t>petroleumsressursane</w:t>
      </w:r>
      <w:proofErr w:type="spellEnd"/>
      <w:r w:rsidRPr="00CC19F7">
        <w:t xml:space="preserve"> og betre undergrunns- og reservoarforståing. Begge </w:t>
      </w:r>
      <w:proofErr w:type="spellStart"/>
      <w:r w:rsidRPr="00CC19F7">
        <w:t>sentera</w:t>
      </w:r>
      <w:proofErr w:type="spellEnd"/>
      <w:r w:rsidRPr="00CC19F7">
        <w:t xml:space="preserve"> skal gi kunnskap og </w:t>
      </w:r>
      <w:proofErr w:type="spellStart"/>
      <w:r w:rsidRPr="00CC19F7">
        <w:t>løysingar</w:t>
      </w:r>
      <w:proofErr w:type="spellEnd"/>
      <w:r w:rsidRPr="00CC19F7">
        <w:t xml:space="preserve"> når det </w:t>
      </w:r>
      <w:proofErr w:type="spellStart"/>
      <w:r w:rsidRPr="00CC19F7">
        <w:t>gjeld</w:t>
      </w:r>
      <w:proofErr w:type="spellEnd"/>
      <w:r w:rsidRPr="00CC19F7">
        <w:t xml:space="preserve"> å nå måla om nullutslepp.</w:t>
      </w:r>
    </w:p>
    <w:p w14:paraId="3A599AE4" w14:textId="77777777" w:rsidR="00FE02EF" w:rsidRPr="00CC19F7" w:rsidRDefault="00881E58" w:rsidP="00CC19F7">
      <w:pPr>
        <w:pStyle w:val="avsnitt-tittel"/>
      </w:pPr>
      <w:r w:rsidRPr="00CC19F7">
        <w:t>Kartlegging av sjøfugl</w:t>
      </w:r>
    </w:p>
    <w:p w14:paraId="1A97E596" w14:textId="77777777" w:rsidR="00FE02EF" w:rsidRPr="00CC19F7" w:rsidRDefault="00881E58" w:rsidP="00CC19F7">
      <w:r w:rsidRPr="00CC19F7">
        <w:t xml:space="preserve">Det blir også løyvd </w:t>
      </w:r>
      <w:proofErr w:type="spellStart"/>
      <w:r w:rsidRPr="00CC19F7">
        <w:t>midlar</w:t>
      </w:r>
      <w:proofErr w:type="spellEnd"/>
      <w:r w:rsidRPr="00CC19F7">
        <w:t xml:space="preserve"> til sjøfuglprogrammet SEAPOP (</w:t>
      </w:r>
      <w:proofErr w:type="spellStart"/>
      <w:r w:rsidRPr="00CC19F7">
        <w:t>Seabird</w:t>
      </w:r>
      <w:proofErr w:type="spellEnd"/>
      <w:r w:rsidRPr="00CC19F7">
        <w:t xml:space="preserve"> </w:t>
      </w:r>
      <w:proofErr w:type="spellStart"/>
      <w:r w:rsidRPr="00CC19F7">
        <w:t>Population</w:t>
      </w:r>
      <w:proofErr w:type="spellEnd"/>
      <w:r w:rsidRPr="00CC19F7">
        <w:t xml:space="preserve"> Management and Petroleum Operations) og kartlegging av arealbruken til </w:t>
      </w:r>
      <w:proofErr w:type="spellStart"/>
      <w:r w:rsidRPr="00CC19F7">
        <w:t>sjøfuglar</w:t>
      </w:r>
      <w:proofErr w:type="spellEnd"/>
      <w:r w:rsidRPr="00CC19F7">
        <w:t xml:space="preserve"> gjennom modulen SEATRACK (</w:t>
      </w:r>
      <w:proofErr w:type="spellStart"/>
      <w:r w:rsidRPr="00CC19F7">
        <w:t>Seabird</w:t>
      </w:r>
      <w:proofErr w:type="spellEnd"/>
      <w:r w:rsidRPr="00CC19F7">
        <w:t xml:space="preserve"> </w:t>
      </w:r>
      <w:proofErr w:type="spellStart"/>
      <w:r w:rsidRPr="00CC19F7">
        <w:t>Tracking</w:t>
      </w:r>
      <w:proofErr w:type="spellEnd"/>
      <w:r w:rsidRPr="00CC19F7">
        <w:t xml:space="preserve">). Programmet skal gi betre kunnskap om utbreiing, tilstand og utvikling av norske </w:t>
      </w:r>
      <w:proofErr w:type="spellStart"/>
      <w:r w:rsidRPr="00CC19F7">
        <w:t>sjøfuglbestandar</w:t>
      </w:r>
      <w:proofErr w:type="spellEnd"/>
      <w:r w:rsidRPr="00CC19F7">
        <w:t xml:space="preserve"> i lys av </w:t>
      </w:r>
      <w:proofErr w:type="spellStart"/>
      <w:r w:rsidRPr="00CC19F7">
        <w:t>menneskeleg</w:t>
      </w:r>
      <w:proofErr w:type="spellEnd"/>
      <w:r w:rsidRPr="00CC19F7">
        <w:t xml:space="preserve"> aktivitet i havområda og kystsona.</w:t>
      </w:r>
    </w:p>
    <w:p w14:paraId="504F6D47" w14:textId="77777777" w:rsidR="00FE02EF" w:rsidRPr="00CC19F7" w:rsidRDefault="00881E58" w:rsidP="00CC19F7">
      <w:pPr>
        <w:pStyle w:val="Overskrift2"/>
      </w:pPr>
      <w:r w:rsidRPr="00CC19F7">
        <w:t xml:space="preserve">Status for utsleppsutviklinga </w:t>
      </w:r>
      <w:proofErr w:type="spellStart"/>
      <w:r w:rsidRPr="00CC19F7">
        <w:t>frå</w:t>
      </w:r>
      <w:proofErr w:type="spellEnd"/>
      <w:r w:rsidRPr="00CC19F7">
        <w:t xml:space="preserve"> </w:t>
      </w:r>
      <w:proofErr w:type="spellStart"/>
      <w:r w:rsidRPr="00CC19F7">
        <w:t>petroleumsverksemda</w:t>
      </w:r>
      <w:proofErr w:type="spellEnd"/>
    </w:p>
    <w:p w14:paraId="12202911" w14:textId="77777777" w:rsidR="00FE02EF" w:rsidRPr="00CC19F7" w:rsidRDefault="00881E58" w:rsidP="00CC19F7">
      <w:r w:rsidRPr="00CC19F7">
        <w:t xml:space="preserve">For å redusere klimagassutsleppa </w:t>
      </w:r>
      <w:proofErr w:type="spellStart"/>
      <w:r w:rsidRPr="00CC19F7">
        <w:t>frå</w:t>
      </w:r>
      <w:proofErr w:type="spellEnd"/>
      <w:r w:rsidRPr="00CC19F7">
        <w:t xml:space="preserve"> petroleumssektoren har det i </w:t>
      </w:r>
      <w:proofErr w:type="spellStart"/>
      <w:r w:rsidRPr="00CC19F7">
        <w:t>fleire</w:t>
      </w:r>
      <w:proofErr w:type="spellEnd"/>
      <w:r w:rsidRPr="00CC19F7">
        <w:t xml:space="preserve"> tiår </w:t>
      </w:r>
      <w:proofErr w:type="spellStart"/>
      <w:r w:rsidRPr="00CC19F7">
        <w:t>vore</w:t>
      </w:r>
      <w:proofErr w:type="spellEnd"/>
      <w:r w:rsidRPr="00CC19F7">
        <w:t xml:space="preserve"> brukt sterke </w:t>
      </w:r>
      <w:proofErr w:type="spellStart"/>
      <w:r w:rsidRPr="00CC19F7">
        <w:t>verkemiddel</w:t>
      </w:r>
      <w:proofErr w:type="spellEnd"/>
      <w:r w:rsidRPr="00CC19F7">
        <w:t>. CO</w:t>
      </w:r>
      <w:r w:rsidRPr="00CC19F7">
        <w:rPr>
          <w:rStyle w:val="skrift-senket"/>
        </w:rPr>
        <w:t>2</w:t>
      </w:r>
      <w:r w:rsidRPr="00CC19F7">
        <w:t xml:space="preserve">-avgift og kvoteplikt er </w:t>
      </w:r>
      <w:proofErr w:type="spellStart"/>
      <w:r w:rsidRPr="00CC19F7">
        <w:t>hovudverkemidla</w:t>
      </w:r>
      <w:proofErr w:type="spellEnd"/>
      <w:r w:rsidRPr="00CC19F7">
        <w:t>. CO</w:t>
      </w:r>
      <w:r w:rsidRPr="00CC19F7">
        <w:rPr>
          <w:rStyle w:val="skrift-senket"/>
        </w:rPr>
        <w:t>2</w:t>
      </w:r>
      <w:r w:rsidRPr="00CC19F7">
        <w:t xml:space="preserve">-avgifta blei innført i 1991, og i dag er om lag 95 prosent av utsleppa </w:t>
      </w:r>
      <w:proofErr w:type="spellStart"/>
      <w:r w:rsidRPr="00CC19F7">
        <w:t>frå</w:t>
      </w:r>
      <w:proofErr w:type="spellEnd"/>
      <w:r w:rsidRPr="00CC19F7">
        <w:t xml:space="preserve"> sektoren omfatta av EUs kvotesystem.</w:t>
      </w:r>
    </w:p>
    <w:p w14:paraId="76D436B5" w14:textId="77777777" w:rsidR="00FE02EF" w:rsidRPr="00CC19F7" w:rsidRDefault="00881E58" w:rsidP="00CC19F7">
      <w:r w:rsidRPr="00CC19F7">
        <w:t xml:space="preserve">Som ledd i oppfølginga av Stortingets oppmodingsvedtak nr. 684 av 12. juni 2020, blei det i </w:t>
      </w:r>
      <w:proofErr w:type="spellStart"/>
      <w:r w:rsidRPr="00CC19F7">
        <w:t>Prop</w:t>
      </w:r>
      <w:proofErr w:type="spellEnd"/>
      <w:r w:rsidRPr="00CC19F7">
        <w:t xml:space="preserve"> 1 S (2022–2023) gitt </w:t>
      </w:r>
      <w:proofErr w:type="gramStart"/>
      <w:r w:rsidRPr="00CC19F7">
        <w:t>ei oversikt</w:t>
      </w:r>
      <w:proofErr w:type="gramEnd"/>
      <w:r w:rsidRPr="00CC19F7">
        <w:t xml:space="preserve"> over korleis utsiktene </w:t>
      </w:r>
      <w:proofErr w:type="spellStart"/>
      <w:r w:rsidRPr="00CC19F7">
        <w:t>hausten</w:t>
      </w:r>
      <w:proofErr w:type="spellEnd"/>
      <w:r w:rsidRPr="00CC19F7">
        <w:t xml:space="preserve"> 2022 var for å kunne nå </w:t>
      </w:r>
      <w:proofErr w:type="spellStart"/>
      <w:r w:rsidRPr="00CC19F7">
        <w:t>ein</w:t>
      </w:r>
      <w:proofErr w:type="spellEnd"/>
      <w:r w:rsidRPr="00CC19F7">
        <w:t xml:space="preserve"> </w:t>
      </w:r>
      <w:proofErr w:type="spellStart"/>
      <w:r w:rsidRPr="00CC19F7">
        <w:t>utsleppsreduksjon</w:t>
      </w:r>
      <w:proofErr w:type="spellEnd"/>
      <w:r w:rsidRPr="00CC19F7">
        <w:t xml:space="preserve"> på 50 prosent </w:t>
      </w:r>
      <w:proofErr w:type="spellStart"/>
      <w:r w:rsidRPr="00CC19F7">
        <w:t>innan</w:t>
      </w:r>
      <w:proofErr w:type="spellEnd"/>
      <w:r w:rsidRPr="00CC19F7">
        <w:t xml:space="preserve"> 2030. Denne </w:t>
      </w:r>
      <w:proofErr w:type="spellStart"/>
      <w:r w:rsidRPr="00CC19F7">
        <w:t>oversikta</w:t>
      </w:r>
      <w:proofErr w:type="spellEnd"/>
      <w:r w:rsidRPr="00CC19F7">
        <w:t xml:space="preserve"> viste at utsleppa er på veg ned, men at 50 prosent reduksjon er forventa nådd midt på 2030-talet.</w:t>
      </w:r>
    </w:p>
    <w:p w14:paraId="4643AD2C" w14:textId="77777777" w:rsidR="00FE02EF" w:rsidRPr="00CC19F7" w:rsidRDefault="00881E58" w:rsidP="00CC19F7">
      <w:r w:rsidRPr="00CC19F7">
        <w:t xml:space="preserve">Sokkeldirektoratets siste </w:t>
      </w:r>
      <w:proofErr w:type="spellStart"/>
      <w:r w:rsidRPr="00CC19F7">
        <w:t>berekningar</w:t>
      </w:r>
      <w:proofErr w:type="spellEnd"/>
      <w:r w:rsidRPr="00CC19F7">
        <w:t xml:space="preserve"> viser </w:t>
      </w:r>
      <w:proofErr w:type="spellStart"/>
      <w:r w:rsidRPr="00CC19F7">
        <w:t>eit</w:t>
      </w:r>
      <w:proofErr w:type="spellEnd"/>
      <w:r w:rsidRPr="00CC19F7">
        <w:t xml:space="preserve"> </w:t>
      </w:r>
      <w:proofErr w:type="spellStart"/>
      <w:r w:rsidRPr="00CC19F7">
        <w:t>liknande</w:t>
      </w:r>
      <w:proofErr w:type="spellEnd"/>
      <w:r w:rsidRPr="00CC19F7">
        <w:t xml:space="preserve"> </w:t>
      </w:r>
      <w:proofErr w:type="spellStart"/>
      <w:r w:rsidRPr="00CC19F7">
        <w:t>bilete</w:t>
      </w:r>
      <w:proofErr w:type="spellEnd"/>
      <w:r w:rsidRPr="00CC19F7">
        <w:t xml:space="preserve"> som det som blei presentert i 2022, jf. figur 6.2. Utsleppa er venta å bli reduserte med rundt 37 prosent </w:t>
      </w:r>
      <w:proofErr w:type="spellStart"/>
      <w:r w:rsidRPr="00CC19F7">
        <w:t>innan</w:t>
      </w:r>
      <w:proofErr w:type="spellEnd"/>
      <w:r w:rsidRPr="00CC19F7">
        <w:t xml:space="preserve"> 2030 </w:t>
      </w:r>
      <w:proofErr w:type="spellStart"/>
      <w:r w:rsidRPr="00CC19F7">
        <w:t>samanlikna</w:t>
      </w:r>
      <w:proofErr w:type="spellEnd"/>
      <w:r w:rsidRPr="00CC19F7">
        <w:t xml:space="preserve"> med 2005, og utsleppa er venta å bli halverte midt på 2030-talet. Reduksjonen kjem i </w:t>
      </w:r>
      <w:proofErr w:type="spellStart"/>
      <w:r w:rsidRPr="00CC19F7">
        <w:t>hovudsak</w:t>
      </w:r>
      <w:proofErr w:type="spellEnd"/>
      <w:r w:rsidRPr="00CC19F7">
        <w:t xml:space="preserve"> av at </w:t>
      </w:r>
      <w:proofErr w:type="spellStart"/>
      <w:r w:rsidRPr="00CC19F7">
        <w:t>fleire</w:t>
      </w:r>
      <w:proofErr w:type="spellEnd"/>
      <w:r w:rsidRPr="00CC19F7">
        <w:t xml:space="preserve"> felt har fått godkjent ei utbyggingsløysing med kraft </w:t>
      </w:r>
      <w:proofErr w:type="spellStart"/>
      <w:r w:rsidRPr="00CC19F7">
        <w:t>frå</w:t>
      </w:r>
      <w:proofErr w:type="spellEnd"/>
      <w:r w:rsidRPr="00CC19F7">
        <w:t xml:space="preserve"> land og som vil starta opp før 2030, og </w:t>
      </w:r>
      <w:proofErr w:type="spellStart"/>
      <w:r w:rsidRPr="00CC19F7">
        <w:t>dessutan</w:t>
      </w:r>
      <w:proofErr w:type="spellEnd"/>
      <w:r w:rsidRPr="00CC19F7">
        <w:t xml:space="preserve"> at enkelte felt blir </w:t>
      </w:r>
      <w:proofErr w:type="spellStart"/>
      <w:r w:rsidRPr="00CC19F7">
        <w:t>nedstengde</w:t>
      </w:r>
      <w:proofErr w:type="spellEnd"/>
      <w:r w:rsidRPr="00CC19F7">
        <w:t xml:space="preserve">. I anslaget </w:t>
      </w:r>
      <w:proofErr w:type="spellStart"/>
      <w:r w:rsidRPr="00CC19F7">
        <w:t>ligg</w:t>
      </w:r>
      <w:proofErr w:type="spellEnd"/>
      <w:r w:rsidRPr="00CC19F7">
        <w:t xml:space="preserve"> det inne omlegging til full drift med kraft </w:t>
      </w:r>
      <w:proofErr w:type="spellStart"/>
      <w:r w:rsidRPr="00CC19F7">
        <w:t>frå</w:t>
      </w:r>
      <w:proofErr w:type="spellEnd"/>
      <w:r w:rsidRPr="00CC19F7">
        <w:t xml:space="preserve"> nettet ved Hammerfest LNG 1.1.2030. Det er, som for alle anslag om framtida, </w:t>
      </w:r>
      <w:proofErr w:type="spellStart"/>
      <w:r w:rsidRPr="00CC19F7">
        <w:t>usikkerheit</w:t>
      </w:r>
      <w:proofErr w:type="spellEnd"/>
      <w:r w:rsidRPr="00CC19F7">
        <w:t xml:space="preserve"> om utsleppsutviklinga fram mot og etter 2030.</w:t>
      </w:r>
    </w:p>
    <w:p w14:paraId="2D574EB9" w14:textId="504C9762" w:rsidR="00FE02EF" w:rsidRPr="00CC19F7" w:rsidRDefault="002E78FA" w:rsidP="00CC19F7">
      <w:r>
        <w:rPr>
          <w:noProof/>
        </w:rPr>
        <w:drawing>
          <wp:inline distT="0" distB="0" distL="0" distR="0" wp14:anchorId="27A5BC97" wp14:editId="290C19F5">
            <wp:extent cx="6076950" cy="3238500"/>
            <wp:effectExtent l="0" t="0" r="0" b="0"/>
            <wp:docPr id="15" name="Bil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76950" cy="3238500"/>
                    </a:xfrm>
                    <a:prstGeom prst="rect">
                      <a:avLst/>
                    </a:prstGeom>
                    <a:noFill/>
                    <a:ln>
                      <a:noFill/>
                    </a:ln>
                  </pic:spPr>
                </pic:pic>
              </a:graphicData>
            </a:graphic>
          </wp:inline>
        </w:drawing>
      </w:r>
    </w:p>
    <w:p w14:paraId="0973CB9A" w14:textId="77777777" w:rsidR="00FE02EF" w:rsidRPr="00CC19F7" w:rsidRDefault="00881E58" w:rsidP="00CC19F7">
      <w:pPr>
        <w:pStyle w:val="figur-tittel"/>
      </w:pPr>
      <w:r w:rsidRPr="00CC19F7">
        <w:t xml:space="preserve">Anslag på utsleppsutviklinga i </w:t>
      </w:r>
      <w:proofErr w:type="spellStart"/>
      <w:r w:rsidRPr="00CC19F7">
        <w:t>petroleumsverksemda</w:t>
      </w:r>
      <w:proofErr w:type="spellEnd"/>
    </w:p>
    <w:p w14:paraId="3A5695DB" w14:textId="77777777" w:rsidR="00FE02EF" w:rsidRPr="00CC19F7" w:rsidRDefault="00881E58" w:rsidP="00CC19F7">
      <w:pPr>
        <w:pStyle w:val="Kilde"/>
      </w:pPr>
      <w:r w:rsidRPr="00CC19F7">
        <w:t>Kjelde: Sokkeldirektoratet</w:t>
      </w:r>
    </w:p>
    <w:p w14:paraId="26BFD444" w14:textId="77777777" w:rsidR="00FE02EF" w:rsidRPr="00CC19F7" w:rsidRDefault="00881E58" w:rsidP="00CC19F7">
      <w:r w:rsidRPr="00CC19F7">
        <w:t xml:space="preserve">Olje- og </w:t>
      </w:r>
      <w:proofErr w:type="spellStart"/>
      <w:r w:rsidRPr="00CC19F7">
        <w:t>gassverksemda</w:t>
      </w:r>
      <w:proofErr w:type="spellEnd"/>
      <w:r w:rsidRPr="00CC19F7">
        <w:t xml:space="preserve"> </w:t>
      </w:r>
      <w:proofErr w:type="spellStart"/>
      <w:r w:rsidRPr="00CC19F7">
        <w:t>gjer</w:t>
      </w:r>
      <w:proofErr w:type="spellEnd"/>
      <w:r w:rsidRPr="00CC19F7">
        <w:t xml:space="preserve"> gjennom </w:t>
      </w:r>
      <w:proofErr w:type="spellStart"/>
      <w:r w:rsidRPr="00CC19F7">
        <w:t>KonKraft</w:t>
      </w:r>
      <w:proofErr w:type="spellEnd"/>
      <w:r w:rsidRPr="00CC19F7">
        <w:t xml:space="preserve">, </w:t>
      </w:r>
      <w:proofErr w:type="spellStart"/>
      <w:r w:rsidRPr="00CC19F7">
        <w:t>ein</w:t>
      </w:r>
      <w:proofErr w:type="spellEnd"/>
      <w:r w:rsidRPr="00CC19F7">
        <w:t xml:space="preserve"> samarbeidsarena for Offshore Norge, Norsk Industri, Norges Rederiforbund, Næringslivets Hovedorganisasjon (NHO) og Landsorganisasjonen i Norge (LO) med LO-forbunda Fellesforbundet og Industri Energi, </w:t>
      </w:r>
      <w:proofErr w:type="spellStart"/>
      <w:r w:rsidRPr="00CC19F7">
        <w:t>årleg</w:t>
      </w:r>
      <w:proofErr w:type="spellEnd"/>
      <w:r w:rsidRPr="00CC19F7">
        <w:t xml:space="preserve"> ei eiga vurdering av utsleppsutviklinga </w:t>
      </w:r>
      <w:proofErr w:type="spellStart"/>
      <w:r w:rsidRPr="00CC19F7">
        <w:t>innan</w:t>
      </w:r>
      <w:proofErr w:type="spellEnd"/>
      <w:r w:rsidRPr="00CC19F7">
        <w:t xml:space="preserve"> sektoren. I rapporten </w:t>
      </w:r>
      <w:r w:rsidRPr="00CC19F7">
        <w:rPr>
          <w:rStyle w:val="kursiv"/>
        </w:rPr>
        <w:t>Framtidens energinæring på norsk sokkel – Klimastrategi mot 2030 og 2050 – Statusrapport 2023</w:t>
      </w:r>
      <w:r w:rsidRPr="00CC19F7">
        <w:t xml:space="preserve"> skriv </w:t>
      </w:r>
      <w:proofErr w:type="spellStart"/>
      <w:r w:rsidRPr="00CC19F7">
        <w:t>KonKraft</w:t>
      </w:r>
      <w:proofErr w:type="spellEnd"/>
      <w:r w:rsidRPr="00CC19F7">
        <w:t xml:space="preserve"> at det </w:t>
      </w:r>
      <w:proofErr w:type="spellStart"/>
      <w:r w:rsidRPr="00CC19F7">
        <w:t>framleis</w:t>
      </w:r>
      <w:proofErr w:type="spellEnd"/>
      <w:r w:rsidRPr="00CC19F7">
        <w:t xml:space="preserve"> er </w:t>
      </w:r>
      <w:proofErr w:type="spellStart"/>
      <w:r w:rsidRPr="00CC19F7">
        <w:t>mogleg</w:t>
      </w:r>
      <w:proofErr w:type="spellEnd"/>
      <w:r w:rsidRPr="00CC19F7">
        <w:t xml:space="preserve"> å redusere utsleppa med 50 prosent i 2030, men at det har blitt </w:t>
      </w:r>
      <w:proofErr w:type="spellStart"/>
      <w:r w:rsidRPr="00CC19F7">
        <w:t>meir</w:t>
      </w:r>
      <w:proofErr w:type="spellEnd"/>
      <w:r w:rsidRPr="00CC19F7">
        <w:t xml:space="preserve"> </w:t>
      </w:r>
      <w:proofErr w:type="spellStart"/>
      <w:r w:rsidRPr="00CC19F7">
        <w:t>krevjande</w:t>
      </w:r>
      <w:proofErr w:type="spellEnd"/>
      <w:r w:rsidRPr="00CC19F7">
        <w:t xml:space="preserve"> som følge av </w:t>
      </w:r>
      <w:proofErr w:type="spellStart"/>
      <w:r w:rsidRPr="00CC19F7">
        <w:t>auka</w:t>
      </w:r>
      <w:proofErr w:type="spellEnd"/>
      <w:r w:rsidRPr="00CC19F7">
        <w:t xml:space="preserve"> kostnader, </w:t>
      </w:r>
      <w:proofErr w:type="spellStart"/>
      <w:r w:rsidRPr="00CC19F7">
        <w:t>ein</w:t>
      </w:r>
      <w:proofErr w:type="spellEnd"/>
      <w:r w:rsidRPr="00CC19F7">
        <w:t xml:space="preserve"> pressa </w:t>
      </w:r>
      <w:proofErr w:type="spellStart"/>
      <w:r w:rsidRPr="00CC19F7">
        <w:t>leverandørmarknad</w:t>
      </w:r>
      <w:proofErr w:type="spellEnd"/>
      <w:r w:rsidRPr="00CC19F7">
        <w:t xml:space="preserve"> og </w:t>
      </w:r>
      <w:proofErr w:type="spellStart"/>
      <w:r w:rsidRPr="00CC19F7">
        <w:t>ein</w:t>
      </w:r>
      <w:proofErr w:type="spellEnd"/>
      <w:r w:rsidRPr="00CC19F7">
        <w:t xml:space="preserve"> </w:t>
      </w:r>
      <w:proofErr w:type="spellStart"/>
      <w:r w:rsidRPr="00CC19F7">
        <w:t>meir</w:t>
      </w:r>
      <w:proofErr w:type="spellEnd"/>
      <w:r w:rsidRPr="00CC19F7">
        <w:t xml:space="preserve"> </w:t>
      </w:r>
      <w:proofErr w:type="spellStart"/>
      <w:r w:rsidRPr="00CC19F7">
        <w:t>krevjande</w:t>
      </w:r>
      <w:proofErr w:type="spellEnd"/>
      <w:r w:rsidRPr="00CC19F7">
        <w:t xml:space="preserve"> kraftsituasjon og </w:t>
      </w:r>
      <w:proofErr w:type="spellStart"/>
      <w:r w:rsidRPr="00CC19F7">
        <w:t>utfordringar</w:t>
      </w:r>
      <w:proofErr w:type="spellEnd"/>
      <w:r w:rsidRPr="00CC19F7">
        <w:t xml:space="preserve"> med </w:t>
      </w:r>
      <w:proofErr w:type="spellStart"/>
      <w:r w:rsidRPr="00CC19F7">
        <w:t>tilstrekkeleg</w:t>
      </w:r>
      <w:proofErr w:type="spellEnd"/>
      <w:r w:rsidRPr="00CC19F7">
        <w:t xml:space="preserve"> nettkapasitet. Elektrifisering av olje- og </w:t>
      </w:r>
      <w:proofErr w:type="spellStart"/>
      <w:r w:rsidRPr="00CC19F7">
        <w:t>gassinstallasjonar</w:t>
      </w:r>
      <w:proofErr w:type="spellEnd"/>
      <w:r w:rsidRPr="00CC19F7">
        <w:t xml:space="preserve"> med kraft </w:t>
      </w:r>
      <w:proofErr w:type="spellStart"/>
      <w:r w:rsidRPr="00CC19F7">
        <w:t>frå</w:t>
      </w:r>
      <w:proofErr w:type="spellEnd"/>
      <w:r w:rsidRPr="00CC19F7">
        <w:t xml:space="preserve"> land er heilt </w:t>
      </w:r>
      <w:proofErr w:type="spellStart"/>
      <w:r w:rsidRPr="00CC19F7">
        <w:t>avgjerande</w:t>
      </w:r>
      <w:proofErr w:type="spellEnd"/>
      <w:r w:rsidRPr="00CC19F7">
        <w:t xml:space="preserve"> for måloppnåinga. Analysen </w:t>
      </w:r>
      <w:proofErr w:type="spellStart"/>
      <w:r w:rsidRPr="00CC19F7">
        <w:t>omfattar</w:t>
      </w:r>
      <w:proofErr w:type="spellEnd"/>
      <w:r w:rsidRPr="00CC19F7">
        <w:t xml:space="preserve"> alle tiltaka selskapa arbeider med, inkludert kraft </w:t>
      </w:r>
      <w:proofErr w:type="spellStart"/>
      <w:r w:rsidRPr="00CC19F7">
        <w:t>frå</w:t>
      </w:r>
      <w:proofErr w:type="spellEnd"/>
      <w:r w:rsidRPr="00CC19F7">
        <w:t xml:space="preserve"> land og samordning/nedlegging av infrastruktur. Det er knytt </w:t>
      </w:r>
      <w:proofErr w:type="spellStart"/>
      <w:r w:rsidRPr="00CC19F7">
        <w:t>ein</w:t>
      </w:r>
      <w:proofErr w:type="spellEnd"/>
      <w:r w:rsidRPr="00CC19F7">
        <w:t xml:space="preserve"> del </w:t>
      </w:r>
      <w:proofErr w:type="spellStart"/>
      <w:r w:rsidRPr="00CC19F7">
        <w:t>føresetnader</w:t>
      </w:r>
      <w:proofErr w:type="spellEnd"/>
      <w:r w:rsidRPr="00CC19F7">
        <w:t xml:space="preserve"> til ei slik utsleppsutvikling, mellom anna tilgang til kraft </w:t>
      </w:r>
      <w:proofErr w:type="spellStart"/>
      <w:r w:rsidRPr="00CC19F7">
        <w:t>frå</w:t>
      </w:r>
      <w:proofErr w:type="spellEnd"/>
      <w:r w:rsidRPr="00CC19F7">
        <w:t xml:space="preserve"> land til nye prosjekt, opprettinga av </w:t>
      </w:r>
      <w:proofErr w:type="spellStart"/>
      <w:r w:rsidRPr="00CC19F7">
        <w:t>eit</w:t>
      </w:r>
      <w:proofErr w:type="spellEnd"/>
      <w:r w:rsidRPr="00CC19F7">
        <w:t xml:space="preserve"> CO</w:t>
      </w:r>
      <w:r w:rsidRPr="00CC19F7">
        <w:rPr>
          <w:rStyle w:val="skrift-senket"/>
        </w:rPr>
        <w:t>2</w:t>
      </w:r>
      <w:r w:rsidRPr="00CC19F7">
        <w:t>-fond, forlenging av NO</w:t>
      </w:r>
      <w:r w:rsidRPr="00CC19F7">
        <w:rPr>
          <w:rStyle w:val="skrift-senket"/>
        </w:rPr>
        <w:t>x</w:t>
      </w:r>
      <w:r w:rsidRPr="00CC19F7">
        <w:t xml:space="preserve">-fondet utover 2027 og </w:t>
      </w:r>
      <w:proofErr w:type="spellStart"/>
      <w:r w:rsidRPr="00CC19F7">
        <w:t>fleire</w:t>
      </w:r>
      <w:proofErr w:type="spellEnd"/>
      <w:r w:rsidRPr="00CC19F7">
        <w:t xml:space="preserve"> </w:t>
      </w:r>
      <w:proofErr w:type="spellStart"/>
      <w:r w:rsidRPr="00CC19F7">
        <w:t>støtteordningar</w:t>
      </w:r>
      <w:proofErr w:type="spellEnd"/>
      <w:r w:rsidRPr="00CC19F7">
        <w:t>.</w:t>
      </w:r>
    </w:p>
    <w:p w14:paraId="283F0926" w14:textId="77777777" w:rsidR="00FE02EF" w:rsidRPr="00CC19F7" w:rsidRDefault="00881E58" w:rsidP="00CC19F7">
      <w:r w:rsidRPr="00CC19F7">
        <w:t xml:space="preserve">Det klart </w:t>
      </w:r>
      <w:proofErr w:type="spellStart"/>
      <w:r w:rsidRPr="00CC19F7">
        <w:t>viktigaste</w:t>
      </w:r>
      <w:proofErr w:type="spellEnd"/>
      <w:r w:rsidRPr="00CC19F7">
        <w:t xml:space="preserve"> tiltaket for å redusere utsleppa både historisk og </w:t>
      </w:r>
      <w:proofErr w:type="spellStart"/>
      <w:r w:rsidRPr="00CC19F7">
        <w:t>dei</w:t>
      </w:r>
      <w:proofErr w:type="spellEnd"/>
      <w:r w:rsidRPr="00CC19F7">
        <w:t xml:space="preserve"> </w:t>
      </w:r>
      <w:proofErr w:type="spellStart"/>
      <w:r w:rsidRPr="00CC19F7">
        <w:t>nærmaste</w:t>
      </w:r>
      <w:proofErr w:type="spellEnd"/>
      <w:r w:rsidRPr="00CC19F7">
        <w:t xml:space="preserve"> åra vil </w:t>
      </w:r>
      <w:proofErr w:type="spellStart"/>
      <w:r w:rsidRPr="00CC19F7">
        <w:t>vere</w:t>
      </w:r>
      <w:proofErr w:type="spellEnd"/>
      <w:r w:rsidRPr="00CC19F7">
        <w:t xml:space="preserve"> gjennomføring av </w:t>
      </w:r>
      <w:proofErr w:type="spellStart"/>
      <w:r w:rsidRPr="00CC19F7">
        <w:t>allereie</w:t>
      </w:r>
      <w:proofErr w:type="spellEnd"/>
      <w:r w:rsidRPr="00CC19F7">
        <w:t xml:space="preserve"> </w:t>
      </w:r>
      <w:proofErr w:type="spellStart"/>
      <w:r w:rsidRPr="00CC19F7">
        <w:t>godkjende</w:t>
      </w:r>
      <w:proofErr w:type="spellEnd"/>
      <w:r w:rsidRPr="00CC19F7">
        <w:t xml:space="preserve"> kraft-</w:t>
      </w:r>
      <w:proofErr w:type="spellStart"/>
      <w:r w:rsidRPr="00CC19F7">
        <w:t>frå</w:t>
      </w:r>
      <w:proofErr w:type="spellEnd"/>
      <w:r w:rsidRPr="00CC19F7">
        <w:t xml:space="preserve">-land-prosjekt. I tillegg kjem omlegginga av energiforsyninga på felta Draugen og Njord til drift med kraft </w:t>
      </w:r>
      <w:proofErr w:type="spellStart"/>
      <w:r w:rsidRPr="00CC19F7">
        <w:t>frå</w:t>
      </w:r>
      <w:proofErr w:type="spellEnd"/>
      <w:r w:rsidRPr="00CC19F7">
        <w:t xml:space="preserve"> land som er til behandling.</w:t>
      </w:r>
    </w:p>
    <w:p w14:paraId="154EC57B" w14:textId="77777777" w:rsidR="00FE02EF" w:rsidRPr="00CC19F7" w:rsidRDefault="00881E58" w:rsidP="00CC19F7">
      <w:r w:rsidRPr="00CC19F7">
        <w:t xml:space="preserve">Vindkraftanlegget </w:t>
      </w:r>
      <w:proofErr w:type="spellStart"/>
      <w:r w:rsidRPr="00CC19F7">
        <w:t>Hywind</w:t>
      </w:r>
      <w:proofErr w:type="spellEnd"/>
      <w:r w:rsidRPr="00CC19F7">
        <w:t xml:space="preserve"> Tampen – som delvis forsyner felta Gullfaks og Snorre med </w:t>
      </w:r>
      <w:proofErr w:type="spellStart"/>
      <w:r w:rsidRPr="00CC19F7">
        <w:t>straum</w:t>
      </w:r>
      <w:proofErr w:type="spellEnd"/>
      <w:r w:rsidRPr="00CC19F7">
        <w:t xml:space="preserve">, er sett i drift. </w:t>
      </w:r>
      <w:proofErr w:type="spellStart"/>
      <w:r w:rsidRPr="00CC19F7">
        <w:t>Ein</w:t>
      </w:r>
      <w:proofErr w:type="spellEnd"/>
      <w:r w:rsidRPr="00CC19F7">
        <w:t xml:space="preserve"> </w:t>
      </w:r>
      <w:proofErr w:type="spellStart"/>
      <w:r w:rsidRPr="00CC19F7">
        <w:t>føresetnad</w:t>
      </w:r>
      <w:proofErr w:type="spellEnd"/>
      <w:r w:rsidRPr="00CC19F7">
        <w:t xml:space="preserve"> for bruk av havvind er at felta også har ei anna, stabil, løysing for kraftforsyninga, i praksis </w:t>
      </w:r>
      <w:proofErr w:type="spellStart"/>
      <w:r w:rsidRPr="00CC19F7">
        <w:t>gassturbinar</w:t>
      </w:r>
      <w:proofErr w:type="spellEnd"/>
      <w:r w:rsidRPr="00CC19F7">
        <w:t xml:space="preserve"> eller kraft </w:t>
      </w:r>
      <w:proofErr w:type="spellStart"/>
      <w:r w:rsidRPr="00CC19F7">
        <w:t>frå</w:t>
      </w:r>
      <w:proofErr w:type="spellEnd"/>
      <w:r w:rsidRPr="00CC19F7">
        <w:t xml:space="preserve"> land. Effekten på utsleppa på sokkelen vil </w:t>
      </w:r>
      <w:proofErr w:type="spellStart"/>
      <w:r w:rsidRPr="00CC19F7">
        <w:t>vere</w:t>
      </w:r>
      <w:proofErr w:type="spellEnd"/>
      <w:r w:rsidRPr="00CC19F7">
        <w:t xml:space="preserve"> avhengig av kva energiløysing som blir erstatta og av oppetida. Denne typen </w:t>
      </w:r>
      <w:proofErr w:type="spellStart"/>
      <w:r w:rsidRPr="00CC19F7">
        <w:t>løysingar</w:t>
      </w:r>
      <w:proofErr w:type="spellEnd"/>
      <w:r w:rsidRPr="00CC19F7">
        <w:t xml:space="preserve"> er under vurdering på enkelte andre felt.</w:t>
      </w:r>
    </w:p>
    <w:p w14:paraId="09FACEE3" w14:textId="77777777" w:rsidR="00FE02EF" w:rsidRPr="00CC19F7" w:rsidRDefault="00881E58" w:rsidP="00CC19F7">
      <w:r w:rsidRPr="00CC19F7">
        <w:t xml:space="preserve">Høge utsleppskostnader kombinert med mellom anna selskapa sine eigne utsleppsmål kan føre til større </w:t>
      </w:r>
      <w:proofErr w:type="spellStart"/>
      <w:r w:rsidRPr="00CC19F7">
        <w:t>endringar</w:t>
      </w:r>
      <w:proofErr w:type="spellEnd"/>
      <w:r w:rsidRPr="00CC19F7">
        <w:t xml:space="preserve"> i </w:t>
      </w:r>
      <w:proofErr w:type="spellStart"/>
      <w:r w:rsidRPr="00CC19F7">
        <w:t>oppstraumsinfrastrukturen</w:t>
      </w:r>
      <w:proofErr w:type="spellEnd"/>
      <w:r w:rsidRPr="00CC19F7">
        <w:t xml:space="preserve"> for å redusere utsleppa, for eksempel ved å fjerne </w:t>
      </w:r>
      <w:proofErr w:type="spellStart"/>
      <w:r w:rsidRPr="00CC19F7">
        <w:t>innretningar</w:t>
      </w:r>
      <w:proofErr w:type="spellEnd"/>
      <w:r w:rsidRPr="00CC19F7">
        <w:t xml:space="preserve"> ved å rute </w:t>
      </w:r>
      <w:proofErr w:type="spellStart"/>
      <w:r w:rsidRPr="00CC19F7">
        <w:t>brønnstraumen</w:t>
      </w:r>
      <w:proofErr w:type="spellEnd"/>
      <w:r w:rsidRPr="00CC19F7">
        <w:t xml:space="preserve"> om til </w:t>
      </w:r>
      <w:proofErr w:type="spellStart"/>
      <w:r w:rsidRPr="00CC19F7">
        <w:t>eit</w:t>
      </w:r>
      <w:proofErr w:type="spellEnd"/>
      <w:r w:rsidRPr="00CC19F7">
        <w:t xml:space="preserve"> anna anlegg med reservekapasitet eller stenge </w:t>
      </w:r>
      <w:proofErr w:type="spellStart"/>
      <w:r w:rsidRPr="00CC19F7">
        <w:t>brønnar</w:t>
      </w:r>
      <w:proofErr w:type="spellEnd"/>
      <w:r w:rsidRPr="00CC19F7">
        <w:t xml:space="preserve">. I den grad konsolidering </w:t>
      </w:r>
      <w:proofErr w:type="spellStart"/>
      <w:r w:rsidRPr="00CC19F7">
        <w:t>inneber</w:t>
      </w:r>
      <w:proofErr w:type="spellEnd"/>
      <w:r w:rsidRPr="00CC19F7">
        <w:t xml:space="preserve"> at </w:t>
      </w:r>
      <w:proofErr w:type="spellStart"/>
      <w:r w:rsidRPr="00CC19F7">
        <w:t>lønnsam</w:t>
      </w:r>
      <w:proofErr w:type="spellEnd"/>
      <w:r w:rsidRPr="00CC19F7">
        <w:t xml:space="preserve"> produksjonskapasitet eller framtidig fleksibilitet blir avvikla, kan dette ofte </w:t>
      </w:r>
      <w:proofErr w:type="spellStart"/>
      <w:r w:rsidRPr="00CC19F7">
        <w:t>vere</w:t>
      </w:r>
      <w:proofErr w:type="spellEnd"/>
      <w:r w:rsidRPr="00CC19F7">
        <w:t xml:space="preserve"> svært dyre tiltak i </w:t>
      </w:r>
      <w:proofErr w:type="spellStart"/>
      <w:r w:rsidRPr="00CC19F7">
        <w:t>eit</w:t>
      </w:r>
      <w:proofErr w:type="spellEnd"/>
      <w:r w:rsidRPr="00CC19F7">
        <w:t xml:space="preserve"> </w:t>
      </w:r>
      <w:proofErr w:type="spellStart"/>
      <w:r w:rsidRPr="00CC19F7">
        <w:t>heilskapleg</w:t>
      </w:r>
      <w:proofErr w:type="spellEnd"/>
      <w:r w:rsidRPr="00CC19F7">
        <w:t xml:space="preserve"> sokkelperspektiv. </w:t>
      </w:r>
      <w:proofErr w:type="spellStart"/>
      <w:r w:rsidRPr="00CC19F7">
        <w:t>Utan</w:t>
      </w:r>
      <w:proofErr w:type="spellEnd"/>
      <w:r w:rsidRPr="00CC19F7">
        <w:t xml:space="preserve"> </w:t>
      </w:r>
      <w:proofErr w:type="spellStart"/>
      <w:r w:rsidRPr="00CC19F7">
        <w:t>heilskaplege</w:t>
      </w:r>
      <w:proofErr w:type="spellEnd"/>
      <w:r w:rsidRPr="00CC19F7">
        <w:t xml:space="preserve"> </w:t>
      </w:r>
      <w:proofErr w:type="spellStart"/>
      <w:r w:rsidRPr="00CC19F7">
        <w:t>vurderingar</w:t>
      </w:r>
      <w:proofErr w:type="spellEnd"/>
      <w:r w:rsidRPr="00CC19F7">
        <w:t xml:space="preserve"> kan slik konsolidering av infrastruktur gå på kostnad av god ressursforvaltning og av kor </w:t>
      </w:r>
      <w:proofErr w:type="spellStart"/>
      <w:r w:rsidRPr="00CC19F7">
        <w:t>mykje</w:t>
      </w:r>
      <w:proofErr w:type="spellEnd"/>
      <w:r w:rsidRPr="00CC19F7">
        <w:t xml:space="preserve"> </w:t>
      </w:r>
      <w:proofErr w:type="spellStart"/>
      <w:r w:rsidRPr="00CC19F7">
        <w:t>lønnsam</w:t>
      </w:r>
      <w:proofErr w:type="spellEnd"/>
      <w:r w:rsidRPr="00CC19F7">
        <w:t xml:space="preserve"> olje og gass som kan </w:t>
      </w:r>
      <w:proofErr w:type="spellStart"/>
      <w:r w:rsidRPr="00CC19F7">
        <w:t>bringast</w:t>
      </w:r>
      <w:proofErr w:type="spellEnd"/>
      <w:r w:rsidRPr="00CC19F7">
        <w:t xml:space="preserve"> til </w:t>
      </w:r>
      <w:proofErr w:type="spellStart"/>
      <w:r w:rsidRPr="00CC19F7">
        <w:t>marknaden</w:t>
      </w:r>
      <w:proofErr w:type="spellEnd"/>
      <w:r w:rsidRPr="00CC19F7">
        <w:t xml:space="preserve"> over tid. Situasjonen i den europeiske </w:t>
      </w:r>
      <w:proofErr w:type="spellStart"/>
      <w:r w:rsidRPr="00CC19F7">
        <w:t>energimarknaden</w:t>
      </w:r>
      <w:proofErr w:type="spellEnd"/>
      <w:r w:rsidRPr="00CC19F7">
        <w:t xml:space="preserve">, der våre allierte i Europa i lang tid framover vil </w:t>
      </w:r>
      <w:proofErr w:type="spellStart"/>
      <w:r w:rsidRPr="00CC19F7">
        <w:t>vere</w:t>
      </w:r>
      <w:proofErr w:type="spellEnd"/>
      <w:r w:rsidRPr="00CC19F7">
        <w:t xml:space="preserve"> avhengige av å importere olje og gass </w:t>
      </w:r>
      <w:proofErr w:type="spellStart"/>
      <w:r w:rsidRPr="00CC19F7">
        <w:t>frå</w:t>
      </w:r>
      <w:proofErr w:type="spellEnd"/>
      <w:r w:rsidRPr="00CC19F7">
        <w:t xml:space="preserve"> norsk kontinentalsokkel, </w:t>
      </w:r>
      <w:proofErr w:type="spellStart"/>
      <w:r w:rsidRPr="00CC19F7">
        <w:t>gjer</w:t>
      </w:r>
      <w:proofErr w:type="spellEnd"/>
      <w:r w:rsidRPr="00CC19F7">
        <w:t xml:space="preserve"> dette enda </w:t>
      </w:r>
      <w:proofErr w:type="spellStart"/>
      <w:r w:rsidRPr="00CC19F7">
        <w:t>meir</w:t>
      </w:r>
      <w:proofErr w:type="spellEnd"/>
      <w:r w:rsidRPr="00CC19F7">
        <w:t xml:space="preserve"> </w:t>
      </w:r>
      <w:proofErr w:type="spellStart"/>
      <w:r w:rsidRPr="00CC19F7">
        <w:t>krevjande</w:t>
      </w:r>
      <w:proofErr w:type="spellEnd"/>
      <w:r w:rsidRPr="00CC19F7">
        <w:t>.</w:t>
      </w:r>
    </w:p>
    <w:p w14:paraId="75DF8DB6" w14:textId="77777777" w:rsidR="00FE02EF" w:rsidRPr="00CC19F7" w:rsidRDefault="00881E58" w:rsidP="00CC19F7">
      <w:proofErr w:type="spellStart"/>
      <w:r w:rsidRPr="00CC19F7">
        <w:t>Rettshavarane</w:t>
      </w:r>
      <w:proofErr w:type="spellEnd"/>
      <w:r w:rsidRPr="00CC19F7">
        <w:t xml:space="preserve"> arbeider </w:t>
      </w:r>
      <w:proofErr w:type="spellStart"/>
      <w:r w:rsidRPr="00CC19F7">
        <w:t>vidare</w:t>
      </w:r>
      <w:proofErr w:type="spellEnd"/>
      <w:r w:rsidRPr="00CC19F7">
        <w:t xml:space="preserve"> med planar for </w:t>
      </w:r>
      <w:proofErr w:type="spellStart"/>
      <w:r w:rsidRPr="00CC19F7">
        <w:t>utsleppsreduksjonar</w:t>
      </w:r>
      <w:proofErr w:type="spellEnd"/>
      <w:r w:rsidRPr="00CC19F7">
        <w:t xml:space="preserve"> både på landanlegg og på ei rekke felt i drift. Selskapa arbeider mellom anna </w:t>
      </w:r>
      <w:proofErr w:type="spellStart"/>
      <w:r w:rsidRPr="00CC19F7">
        <w:t>kontinuerleg</w:t>
      </w:r>
      <w:proofErr w:type="spellEnd"/>
      <w:r w:rsidRPr="00CC19F7">
        <w:t xml:space="preserve"> med energieffektivisering og redusert </w:t>
      </w:r>
      <w:proofErr w:type="spellStart"/>
      <w:r w:rsidRPr="00CC19F7">
        <w:t>fakling</w:t>
      </w:r>
      <w:proofErr w:type="spellEnd"/>
      <w:r w:rsidRPr="00CC19F7">
        <w:t xml:space="preserve">. Energieffektivisering </w:t>
      </w:r>
      <w:proofErr w:type="spellStart"/>
      <w:r w:rsidRPr="00CC19F7">
        <w:t>inneber</w:t>
      </w:r>
      <w:proofErr w:type="spellEnd"/>
      <w:r w:rsidRPr="00CC19F7">
        <w:t xml:space="preserve"> </w:t>
      </w:r>
      <w:proofErr w:type="spellStart"/>
      <w:r w:rsidRPr="00CC19F7">
        <w:t>meir</w:t>
      </w:r>
      <w:proofErr w:type="spellEnd"/>
      <w:r w:rsidRPr="00CC19F7">
        <w:t xml:space="preserve"> effektiv kraftproduksjon </w:t>
      </w:r>
      <w:proofErr w:type="spellStart"/>
      <w:r w:rsidRPr="00CC19F7">
        <w:t>frå</w:t>
      </w:r>
      <w:proofErr w:type="spellEnd"/>
      <w:r w:rsidRPr="00CC19F7">
        <w:t xml:space="preserve"> </w:t>
      </w:r>
      <w:proofErr w:type="spellStart"/>
      <w:r w:rsidRPr="00CC19F7">
        <w:t>gassturbinane</w:t>
      </w:r>
      <w:proofErr w:type="spellEnd"/>
      <w:r w:rsidRPr="00CC19F7">
        <w:t xml:space="preserve"> og/eller </w:t>
      </w:r>
      <w:proofErr w:type="spellStart"/>
      <w:r w:rsidRPr="00CC19F7">
        <w:t>meir</w:t>
      </w:r>
      <w:proofErr w:type="spellEnd"/>
      <w:r w:rsidRPr="00CC19F7">
        <w:t xml:space="preserve"> effektiv bruk av krafta. Generelt er dette mange mindre tiltak som til </w:t>
      </w:r>
      <w:proofErr w:type="spellStart"/>
      <w:r w:rsidRPr="00CC19F7">
        <w:t>saman</w:t>
      </w:r>
      <w:proofErr w:type="spellEnd"/>
      <w:r w:rsidRPr="00CC19F7">
        <w:t xml:space="preserve"> over tid bidrar til </w:t>
      </w:r>
      <w:proofErr w:type="spellStart"/>
      <w:r w:rsidRPr="00CC19F7">
        <w:t>ikkje</w:t>
      </w:r>
      <w:proofErr w:type="spellEnd"/>
      <w:r w:rsidRPr="00CC19F7">
        <w:t xml:space="preserve"> </w:t>
      </w:r>
      <w:proofErr w:type="spellStart"/>
      <w:r w:rsidRPr="00CC19F7">
        <w:t>ubetydelege</w:t>
      </w:r>
      <w:proofErr w:type="spellEnd"/>
      <w:r w:rsidRPr="00CC19F7">
        <w:t xml:space="preserve"> </w:t>
      </w:r>
      <w:proofErr w:type="spellStart"/>
      <w:r w:rsidRPr="00CC19F7">
        <w:t>utsleppsreduksjonar</w:t>
      </w:r>
      <w:proofErr w:type="spellEnd"/>
      <w:r w:rsidRPr="00CC19F7">
        <w:t>. På lengre sikt kan tiltak som CO</w:t>
      </w:r>
      <w:r w:rsidRPr="00CC19F7">
        <w:rPr>
          <w:rStyle w:val="skrift-senket"/>
        </w:rPr>
        <w:t>2</w:t>
      </w:r>
      <w:r w:rsidRPr="00CC19F7">
        <w:t xml:space="preserve">-handtering, hydrogen/ammoniakk og brenselceller også bli aktuelle for enkeltanlegg. </w:t>
      </w:r>
      <w:proofErr w:type="spellStart"/>
      <w:r w:rsidRPr="00CC19F7">
        <w:t>Desse</w:t>
      </w:r>
      <w:proofErr w:type="spellEnd"/>
      <w:r w:rsidRPr="00CC19F7">
        <w:t xml:space="preserve"> tiltaka er i dag umodne offshore, og det vil </w:t>
      </w:r>
      <w:proofErr w:type="spellStart"/>
      <w:r w:rsidRPr="00CC19F7">
        <w:t>krevje</w:t>
      </w:r>
      <w:proofErr w:type="spellEnd"/>
      <w:r w:rsidRPr="00CC19F7">
        <w:t xml:space="preserve"> </w:t>
      </w:r>
      <w:proofErr w:type="spellStart"/>
      <w:r w:rsidRPr="00CC19F7">
        <w:t>vesentlege</w:t>
      </w:r>
      <w:proofErr w:type="spellEnd"/>
      <w:r w:rsidRPr="00CC19F7">
        <w:t xml:space="preserve"> </w:t>
      </w:r>
      <w:proofErr w:type="spellStart"/>
      <w:r w:rsidRPr="00CC19F7">
        <w:t>forbetringar</w:t>
      </w:r>
      <w:proofErr w:type="spellEnd"/>
      <w:r w:rsidRPr="00CC19F7">
        <w:t xml:space="preserve"> i teknologisk modning og kostnader før tiltaka eventuelt kan </w:t>
      </w:r>
      <w:proofErr w:type="spellStart"/>
      <w:r w:rsidRPr="00CC19F7">
        <w:t>ventast</w:t>
      </w:r>
      <w:proofErr w:type="spellEnd"/>
      <w:r w:rsidRPr="00CC19F7">
        <w:t xml:space="preserve"> å levere </w:t>
      </w:r>
      <w:proofErr w:type="spellStart"/>
      <w:r w:rsidRPr="00CC19F7">
        <w:t>utsleppsreduksjonar</w:t>
      </w:r>
      <w:proofErr w:type="spellEnd"/>
      <w:r w:rsidRPr="00CC19F7">
        <w:t xml:space="preserve">. Dei vil derfor </w:t>
      </w:r>
      <w:proofErr w:type="spellStart"/>
      <w:r w:rsidRPr="00CC19F7">
        <w:t>truleg</w:t>
      </w:r>
      <w:proofErr w:type="spellEnd"/>
      <w:r w:rsidRPr="00CC19F7">
        <w:t xml:space="preserve"> </w:t>
      </w:r>
      <w:proofErr w:type="spellStart"/>
      <w:r w:rsidRPr="00CC19F7">
        <w:t>ikkje</w:t>
      </w:r>
      <w:proofErr w:type="spellEnd"/>
      <w:r w:rsidRPr="00CC19F7">
        <w:t xml:space="preserve"> bidra før </w:t>
      </w:r>
      <w:proofErr w:type="spellStart"/>
      <w:r w:rsidRPr="00CC19F7">
        <w:t>tidlegast</w:t>
      </w:r>
      <w:proofErr w:type="spellEnd"/>
      <w:r w:rsidRPr="00CC19F7">
        <w:t xml:space="preserve"> ut på 2030-talet.</w:t>
      </w:r>
    </w:p>
    <w:p w14:paraId="1C4C889D" w14:textId="77777777" w:rsidR="00FE02EF" w:rsidRPr="00CC19F7" w:rsidRDefault="00881E58" w:rsidP="00CC19F7">
      <w:r w:rsidRPr="00CC19F7">
        <w:t xml:space="preserve">Oljeselskapa og den kompetansen og erfaringa som er opparbeidd i olje- og gassnæringa, er viktig også for å bidra til reduserte utslepp i tilknytte </w:t>
      </w:r>
      <w:proofErr w:type="spellStart"/>
      <w:r w:rsidRPr="00CC19F7">
        <w:t>næringar</w:t>
      </w:r>
      <w:proofErr w:type="spellEnd"/>
      <w:r w:rsidRPr="00CC19F7">
        <w:t xml:space="preserve"> og andre </w:t>
      </w:r>
      <w:proofErr w:type="spellStart"/>
      <w:r w:rsidRPr="00CC19F7">
        <w:t>sektorar</w:t>
      </w:r>
      <w:proofErr w:type="spellEnd"/>
      <w:r w:rsidRPr="00CC19F7">
        <w:t xml:space="preserve">. Petroleumsnæringa ligg mellom anna langt framme når det </w:t>
      </w:r>
      <w:proofErr w:type="spellStart"/>
      <w:r w:rsidRPr="00CC19F7">
        <w:t>gjeld</w:t>
      </w:r>
      <w:proofErr w:type="spellEnd"/>
      <w:r w:rsidRPr="00CC19F7">
        <w:t xml:space="preserve"> å kontrahere skip som bruker ulike </w:t>
      </w:r>
      <w:proofErr w:type="spellStart"/>
      <w:r w:rsidRPr="00CC19F7">
        <w:t>utsleppsreduserande</w:t>
      </w:r>
      <w:proofErr w:type="spellEnd"/>
      <w:r w:rsidRPr="00CC19F7">
        <w:t xml:space="preserve"> </w:t>
      </w:r>
      <w:proofErr w:type="spellStart"/>
      <w:r w:rsidRPr="00CC19F7">
        <w:t>teknologiar</w:t>
      </w:r>
      <w:proofErr w:type="spellEnd"/>
      <w:r w:rsidRPr="00CC19F7">
        <w:t xml:space="preserve">. </w:t>
      </w:r>
      <w:proofErr w:type="spellStart"/>
      <w:r w:rsidRPr="00CC19F7">
        <w:t>Fleire</w:t>
      </w:r>
      <w:proofErr w:type="spellEnd"/>
      <w:r w:rsidRPr="00CC19F7">
        <w:t xml:space="preserve"> operatørselskap har stilt krav om for eksempel batterihybride skip, </w:t>
      </w:r>
      <w:proofErr w:type="spellStart"/>
      <w:r w:rsidRPr="00CC19F7">
        <w:t>landstraum</w:t>
      </w:r>
      <w:proofErr w:type="spellEnd"/>
      <w:r w:rsidRPr="00CC19F7">
        <w:t xml:space="preserve"> og energieffektivisering ved nye </w:t>
      </w:r>
      <w:proofErr w:type="spellStart"/>
      <w:r w:rsidRPr="00CC19F7">
        <w:t>langtidskontraktar</w:t>
      </w:r>
      <w:proofErr w:type="spellEnd"/>
      <w:r w:rsidRPr="00CC19F7">
        <w:t xml:space="preserve">. Regjeringa arbeider med å greie ut krav til offshore </w:t>
      </w:r>
      <w:proofErr w:type="spellStart"/>
      <w:r w:rsidRPr="00CC19F7">
        <w:t>supplyskip</w:t>
      </w:r>
      <w:proofErr w:type="spellEnd"/>
      <w:r w:rsidRPr="00CC19F7">
        <w:t xml:space="preserve"> om </w:t>
      </w:r>
      <w:proofErr w:type="spellStart"/>
      <w:r w:rsidRPr="00CC19F7">
        <w:t>lågutsleppsløysingar</w:t>
      </w:r>
      <w:proofErr w:type="spellEnd"/>
      <w:r w:rsidRPr="00CC19F7">
        <w:t xml:space="preserve"> </w:t>
      </w:r>
      <w:proofErr w:type="spellStart"/>
      <w:r w:rsidRPr="00CC19F7">
        <w:t>frå</w:t>
      </w:r>
      <w:proofErr w:type="spellEnd"/>
      <w:r w:rsidRPr="00CC19F7">
        <w:t xml:space="preserve"> 2025 og nullutslepp </w:t>
      </w:r>
      <w:proofErr w:type="spellStart"/>
      <w:r w:rsidRPr="00CC19F7">
        <w:t>frå</w:t>
      </w:r>
      <w:proofErr w:type="spellEnd"/>
      <w:r w:rsidRPr="00CC19F7">
        <w:t xml:space="preserve"> 2029.</w:t>
      </w:r>
    </w:p>
    <w:p w14:paraId="3F21AE80" w14:textId="77777777" w:rsidR="00FE02EF" w:rsidRPr="00CC19F7" w:rsidRDefault="00881E58" w:rsidP="00CC19F7">
      <w:proofErr w:type="spellStart"/>
      <w:r w:rsidRPr="00CC19F7">
        <w:t>Fleire</w:t>
      </w:r>
      <w:proofErr w:type="spellEnd"/>
      <w:r w:rsidRPr="00CC19F7">
        <w:t xml:space="preserve"> av </w:t>
      </w:r>
      <w:proofErr w:type="spellStart"/>
      <w:r w:rsidRPr="00CC19F7">
        <w:t>rettshavarane</w:t>
      </w:r>
      <w:proofErr w:type="spellEnd"/>
      <w:r w:rsidRPr="00CC19F7">
        <w:t xml:space="preserve"> på kontinentalsokkelen er også involverte i CO</w:t>
      </w:r>
      <w:r w:rsidRPr="00CC19F7">
        <w:rPr>
          <w:rStyle w:val="skrift-senket"/>
        </w:rPr>
        <w:t>2</w:t>
      </w:r>
      <w:r w:rsidRPr="00CC19F7">
        <w:t xml:space="preserve">-lagringsprosjekt i </w:t>
      </w:r>
      <w:proofErr w:type="spellStart"/>
      <w:r w:rsidRPr="00CC19F7">
        <w:t>Noreg</w:t>
      </w:r>
      <w:proofErr w:type="spellEnd"/>
      <w:r w:rsidRPr="00CC19F7">
        <w:t xml:space="preserve">. Departementet har tildelt </w:t>
      </w:r>
      <w:proofErr w:type="spellStart"/>
      <w:r w:rsidRPr="00CC19F7">
        <w:t>fleire</w:t>
      </w:r>
      <w:proofErr w:type="spellEnd"/>
      <w:r w:rsidRPr="00CC19F7">
        <w:t xml:space="preserve"> selskap som er aktive </w:t>
      </w:r>
      <w:proofErr w:type="spellStart"/>
      <w:r w:rsidRPr="00CC19F7">
        <w:t>petroleumsprodusentar</w:t>
      </w:r>
      <w:proofErr w:type="spellEnd"/>
      <w:r w:rsidRPr="00CC19F7">
        <w:t xml:space="preserve"> på norsk sokkel, løyve med sikte på vurdering av potensialet for utnytting av </w:t>
      </w:r>
      <w:proofErr w:type="spellStart"/>
      <w:r w:rsidRPr="00CC19F7">
        <w:t>eit</w:t>
      </w:r>
      <w:proofErr w:type="spellEnd"/>
      <w:r w:rsidRPr="00CC19F7">
        <w:t xml:space="preserve"> undersjøisk reservoar til lagring av CO</w:t>
      </w:r>
      <w:r w:rsidRPr="00CC19F7">
        <w:rPr>
          <w:rStyle w:val="skrift-senket"/>
        </w:rPr>
        <w:t>2</w:t>
      </w:r>
      <w:r w:rsidRPr="00CC19F7">
        <w:t xml:space="preserve"> etter lagringsforskrifta. Selskapa arbeider med å kunne tilby </w:t>
      </w:r>
      <w:proofErr w:type="spellStart"/>
      <w:r w:rsidRPr="00CC19F7">
        <w:t>aktørar</w:t>
      </w:r>
      <w:proofErr w:type="spellEnd"/>
      <w:r w:rsidRPr="00CC19F7">
        <w:t xml:space="preserve"> med CO</w:t>
      </w:r>
      <w:r w:rsidRPr="00CC19F7">
        <w:rPr>
          <w:rStyle w:val="skrift-senket"/>
        </w:rPr>
        <w:t>2</w:t>
      </w:r>
      <w:r w:rsidRPr="00CC19F7">
        <w:t>-utslepp lagring av fanga CO</w:t>
      </w:r>
      <w:r w:rsidRPr="00CC19F7">
        <w:rPr>
          <w:rStyle w:val="skrift-senket"/>
        </w:rPr>
        <w:t>2</w:t>
      </w:r>
      <w:r w:rsidRPr="00CC19F7">
        <w:t xml:space="preserve"> på kommersielle vilkår.</w:t>
      </w:r>
    </w:p>
    <w:p w14:paraId="0A303893" w14:textId="77777777" w:rsidR="00FE02EF" w:rsidRPr="00CC19F7" w:rsidRDefault="00881E58" w:rsidP="00CC19F7">
      <w:r w:rsidRPr="00CC19F7">
        <w:t xml:space="preserve">Olje- og energidepartementet følger utsleppsutviklinga nøye framover, og regjeringa vil i 2024 komme med </w:t>
      </w:r>
      <w:proofErr w:type="spellStart"/>
      <w:r w:rsidRPr="00CC19F7">
        <w:t>ein</w:t>
      </w:r>
      <w:proofErr w:type="spellEnd"/>
      <w:r w:rsidRPr="00CC19F7">
        <w:t xml:space="preserve"> </w:t>
      </w:r>
      <w:proofErr w:type="spellStart"/>
      <w:r w:rsidRPr="00CC19F7">
        <w:t>breiare</w:t>
      </w:r>
      <w:proofErr w:type="spellEnd"/>
      <w:r w:rsidRPr="00CC19F7">
        <w:t xml:space="preserve"> gjennomgang av utsleppsutviklinga. Dersom utsleppsutviklinga viser </w:t>
      </w:r>
      <w:proofErr w:type="spellStart"/>
      <w:r w:rsidRPr="00CC19F7">
        <w:t>vesentlege</w:t>
      </w:r>
      <w:proofErr w:type="spellEnd"/>
      <w:r w:rsidRPr="00CC19F7">
        <w:t xml:space="preserve"> avvik </w:t>
      </w:r>
      <w:proofErr w:type="spellStart"/>
      <w:r w:rsidRPr="00CC19F7">
        <w:t>frå</w:t>
      </w:r>
      <w:proofErr w:type="spellEnd"/>
      <w:r w:rsidRPr="00CC19F7">
        <w:t xml:space="preserve"> 2021-planen, vil departementet komme tilbake i 2024 med ei vurdering av behovet for tiltak i samband med prosessen knytt til </w:t>
      </w:r>
      <w:proofErr w:type="spellStart"/>
      <w:r w:rsidRPr="00CC19F7">
        <w:t>innmeldingane</w:t>
      </w:r>
      <w:proofErr w:type="spellEnd"/>
      <w:r w:rsidRPr="00CC19F7">
        <w:t xml:space="preserve"> av forsterka klimamål under Parisavtalen og ny klimamelding.</w:t>
      </w:r>
    </w:p>
    <w:p w14:paraId="76F70B3B" w14:textId="77777777" w:rsidR="00FE02EF" w:rsidRPr="00CC19F7" w:rsidRDefault="00881E58" w:rsidP="00CC19F7">
      <w:pPr>
        <w:pStyle w:val="Overskrift2"/>
      </w:pPr>
      <w:r w:rsidRPr="00CC19F7">
        <w:t>Klimaeffekten av budsjettet som er lagt fram</w:t>
      </w:r>
    </w:p>
    <w:p w14:paraId="7E76E099" w14:textId="77777777" w:rsidR="00FE02EF" w:rsidRPr="00CC19F7" w:rsidRDefault="00881E58" w:rsidP="00CC19F7">
      <w:r w:rsidRPr="00CC19F7">
        <w:t xml:space="preserve">Satsinga på FoU og ny teknologi i energi- og </w:t>
      </w:r>
      <w:proofErr w:type="spellStart"/>
      <w:r w:rsidRPr="00CC19F7">
        <w:t>petroleumsverksemda</w:t>
      </w:r>
      <w:proofErr w:type="spellEnd"/>
      <w:r w:rsidRPr="00CC19F7">
        <w:t xml:space="preserve"> skal </w:t>
      </w:r>
      <w:proofErr w:type="spellStart"/>
      <w:r w:rsidRPr="00CC19F7">
        <w:t>medverke</w:t>
      </w:r>
      <w:proofErr w:type="spellEnd"/>
      <w:r w:rsidRPr="00CC19F7">
        <w:t xml:space="preserve"> til </w:t>
      </w:r>
      <w:proofErr w:type="spellStart"/>
      <w:r w:rsidRPr="00CC19F7">
        <w:t>meir</w:t>
      </w:r>
      <w:proofErr w:type="spellEnd"/>
      <w:r w:rsidRPr="00CC19F7">
        <w:t xml:space="preserve"> effektiv og </w:t>
      </w:r>
      <w:proofErr w:type="spellStart"/>
      <w:r w:rsidRPr="00CC19F7">
        <w:t>miljøvennleg</w:t>
      </w:r>
      <w:proofErr w:type="spellEnd"/>
      <w:r w:rsidRPr="00CC19F7">
        <w:t xml:space="preserve"> utnytting av norske </w:t>
      </w:r>
      <w:proofErr w:type="spellStart"/>
      <w:r w:rsidRPr="00CC19F7">
        <w:t>energiressursar</w:t>
      </w:r>
      <w:proofErr w:type="spellEnd"/>
      <w:r w:rsidRPr="00CC19F7">
        <w:t xml:space="preserve">. </w:t>
      </w:r>
      <w:proofErr w:type="spellStart"/>
      <w:r w:rsidRPr="00CC19F7">
        <w:t>Vidare</w:t>
      </w:r>
      <w:proofErr w:type="spellEnd"/>
      <w:r w:rsidRPr="00CC19F7">
        <w:t xml:space="preserve"> skal satsinga bidra til å redusere nasjonale og globale utslepp utover det </w:t>
      </w:r>
      <w:proofErr w:type="spellStart"/>
      <w:r w:rsidRPr="00CC19F7">
        <w:t>ein</w:t>
      </w:r>
      <w:proofErr w:type="spellEnd"/>
      <w:r w:rsidRPr="00CC19F7">
        <w:t xml:space="preserve"> kan forvente med </w:t>
      </w:r>
      <w:proofErr w:type="spellStart"/>
      <w:r w:rsidRPr="00CC19F7">
        <w:t>eksisterande</w:t>
      </w:r>
      <w:proofErr w:type="spellEnd"/>
      <w:r w:rsidRPr="00CC19F7">
        <w:t xml:space="preserve"> teknologi og </w:t>
      </w:r>
      <w:proofErr w:type="spellStart"/>
      <w:r w:rsidRPr="00CC19F7">
        <w:t>løysingar</w:t>
      </w:r>
      <w:proofErr w:type="spellEnd"/>
      <w:r w:rsidRPr="00CC19F7">
        <w:t xml:space="preserve">. Den kunnskapen </w:t>
      </w:r>
      <w:proofErr w:type="spellStart"/>
      <w:r w:rsidRPr="00CC19F7">
        <w:t>ein</w:t>
      </w:r>
      <w:proofErr w:type="spellEnd"/>
      <w:r w:rsidRPr="00CC19F7">
        <w:t xml:space="preserve"> kjem fram til i dag, vil kunne gi grunnlag for ny forsking og ny kunnskap. På grunn av at omfanget av og tidspunktet for introdusering og kommersialisering av ny teknologi eller teknologi under utvikling er usikkert, </w:t>
      </w:r>
      <w:proofErr w:type="spellStart"/>
      <w:r w:rsidRPr="00CC19F7">
        <w:t>finst</w:t>
      </w:r>
      <w:proofErr w:type="spellEnd"/>
      <w:r w:rsidRPr="00CC19F7">
        <w:t xml:space="preserve"> det i dag ingen presise overslag over framtidige </w:t>
      </w:r>
      <w:proofErr w:type="spellStart"/>
      <w:r w:rsidRPr="00CC19F7">
        <w:t>utsleppseffektar</w:t>
      </w:r>
      <w:proofErr w:type="spellEnd"/>
      <w:r w:rsidRPr="00CC19F7">
        <w:t xml:space="preserve"> av denne teknologien.</w:t>
      </w:r>
    </w:p>
    <w:p w14:paraId="31934BB0" w14:textId="77777777" w:rsidR="00FE02EF" w:rsidRPr="00CC19F7" w:rsidRDefault="00881E58" w:rsidP="00CC19F7">
      <w:r w:rsidRPr="00CC19F7">
        <w:t>Arbeidet med CO</w:t>
      </w:r>
      <w:r w:rsidRPr="00CC19F7">
        <w:rPr>
          <w:rStyle w:val="skrift-senket"/>
        </w:rPr>
        <w:t>2</w:t>
      </w:r>
      <w:r w:rsidRPr="00CC19F7">
        <w:t xml:space="preserve">-handtering skal </w:t>
      </w:r>
      <w:proofErr w:type="spellStart"/>
      <w:r w:rsidRPr="00CC19F7">
        <w:t>medverke</w:t>
      </w:r>
      <w:proofErr w:type="spellEnd"/>
      <w:r w:rsidRPr="00CC19F7">
        <w:t xml:space="preserve"> til å utvikle og demonstrere teknologi for fangst og lagring av CO</w:t>
      </w:r>
      <w:r w:rsidRPr="00CC19F7">
        <w:rPr>
          <w:rStyle w:val="skrift-senket"/>
        </w:rPr>
        <w:t>2</w:t>
      </w:r>
      <w:r w:rsidRPr="00CC19F7">
        <w:t xml:space="preserve"> med </w:t>
      </w:r>
      <w:proofErr w:type="spellStart"/>
      <w:r w:rsidRPr="00CC19F7">
        <w:t>eit</w:t>
      </w:r>
      <w:proofErr w:type="spellEnd"/>
      <w:r w:rsidRPr="00CC19F7">
        <w:t xml:space="preserve"> spreiingspotensial. Det overordna målet er å </w:t>
      </w:r>
      <w:proofErr w:type="spellStart"/>
      <w:r w:rsidRPr="00CC19F7">
        <w:t>medverke</w:t>
      </w:r>
      <w:proofErr w:type="spellEnd"/>
      <w:r w:rsidRPr="00CC19F7">
        <w:t xml:space="preserve"> til at CO</w:t>
      </w:r>
      <w:r w:rsidRPr="00CC19F7">
        <w:rPr>
          <w:rStyle w:val="skrift-senket"/>
        </w:rPr>
        <w:t>2</w:t>
      </w:r>
      <w:r w:rsidRPr="00CC19F7">
        <w:t xml:space="preserve">-handtering blir </w:t>
      </w:r>
      <w:proofErr w:type="spellStart"/>
      <w:r w:rsidRPr="00CC19F7">
        <w:t>eit</w:t>
      </w:r>
      <w:proofErr w:type="spellEnd"/>
      <w:r w:rsidRPr="00CC19F7">
        <w:t xml:space="preserve"> kostnadseffektivt tiltak i arbeidet mot globale </w:t>
      </w:r>
      <w:proofErr w:type="spellStart"/>
      <w:r w:rsidRPr="00CC19F7">
        <w:t>klimaendringar</w:t>
      </w:r>
      <w:proofErr w:type="spellEnd"/>
      <w:r w:rsidRPr="00CC19F7">
        <w:t xml:space="preserve">. Tiltaka i arbeidet til regjeringa </w:t>
      </w:r>
      <w:proofErr w:type="spellStart"/>
      <w:r w:rsidRPr="00CC19F7">
        <w:t>omfattar</w:t>
      </w:r>
      <w:proofErr w:type="spellEnd"/>
      <w:r w:rsidRPr="00CC19F7">
        <w:t xml:space="preserve"> forsking, utvikling og demonstrasjon, i tillegg til internasjonalt arbeid for å fremme CO</w:t>
      </w:r>
      <w:r w:rsidRPr="00CC19F7">
        <w:rPr>
          <w:rStyle w:val="skrift-senket"/>
        </w:rPr>
        <w:t>2</w:t>
      </w:r>
      <w:r w:rsidRPr="00CC19F7">
        <w:t xml:space="preserve">-handtering. Gassnova </w:t>
      </w:r>
      <w:proofErr w:type="spellStart"/>
      <w:r w:rsidRPr="00CC19F7">
        <w:t>forhandlar</w:t>
      </w:r>
      <w:proofErr w:type="spellEnd"/>
      <w:r w:rsidRPr="00CC19F7">
        <w:t xml:space="preserve"> på vegner av staten med </w:t>
      </w:r>
      <w:proofErr w:type="spellStart"/>
      <w:r w:rsidRPr="00CC19F7">
        <w:t>dei</w:t>
      </w:r>
      <w:proofErr w:type="spellEnd"/>
      <w:r w:rsidRPr="00CC19F7">
        <w:t xml:space="preserve"> industrielle </w:t>
      </w:r>
      <w:proofErr w:type="spellStart"/>
      <w:r w:rsidRPr="00CC19F7">
        <w:t>eigarane</w:t>
      </w:r>
      <w:proofErr w:type="spellEnd"/>
      <w:r w:rsidRPr="00CC19F7">
        <w:t xml:space="preserve"> om å forlenge </w:t>
      </w:r>
      <w:proofErr w:type="spellStart"/>
      <w:r w:rsidRPr="00CC19F7">
        <w:t>deltakaravtalen</w:t>
      </w:r>
      <w:proofErr w:type="spellEnd"/>
      <w:r w:rsidRPr="00CC19F7">
        <w:t xml:space="preserve"> til Teknologisenter Mongstad etter utgangen av 2023. Det er </w:t>
      </w:r>
      <w:proofErr w:type="spellStart"/>
      <w:r w:rsidRPr="00CC19F7">
        <w:t>ikkje</w:t>
      </w:r>
      <w:proofErr w:type="spellEnd"/>
      <w:r w:rsidRPr="00CC19F7">
        <w:t xml:space="preserve"> </w:t>
      </w:r>
      <w:proofErr w:type="spellStart"/>
      <w:r w:rsidRPr="00CC19F7">
        <w:t>mogleg</w:t>
      </w:r>
      <w:proofErr w:type="spellEnd"/>
      <w:r w:rsidRPr="00CC19F7">
        <w:t xml:space="preserve"> per i dag å kvantifisere </w:t>
      </w:r>
      <w:proofErr w:type="spellStart"/>
      <w:r w:rsidRPr="00CC19F7">
        <w:t>utsleppsreduksjonane</w:t>
      </w:r>
      <w:proofErr w:type="spellEnd"/>
      <w:r w:rsidRPr="00CC19F7">
        <w:t xml:space="preserve"> som </w:t>
      </w:r>
      <w:proofErr w:type="spellStart"/>
      <w:r w:rsidRPr="00CC19F7">
        <w:t>desse</w:t>
      </w:r>
      <w:proofErr w:type="spellEnd"/>
      <w:r w:rsidRPr="00CC19F7">
        <w:t xml:space="preserve"> tiltaka kan utløyse.</w:t>
      </w:r>
    </w:p>
    <w:p w14:paraId="7ACB6D62" w14:textId="77777777" w:rsidR="00FE02EF" w:rsidRPr="00CC19F7" w:rsidRDefault="00881E58" w:rsidP="00CC19F7">
      <w:proofErr w:type="spellStart"/>
      <w:r w:rsidRPr="00CC19F7">
        <w:t>Klimaeffektane</w:t>
      </w:r>
      <w:proofErr w:type="spellEnd"/>
      <w:r w:rsidRPr="00CC19F7">
        <w:t xml:space="preserve"> av Langskip-prosjektet kjem både direkte gjennom </w:t>
      </w:r>
      <w:proofErr w:type="spellStart"/>
      <w:r w:rsidRPr="00CC19F7">
        <w:t>utsleppsreduksjonar</w:t>
      </w:r>
      <w:proofErr w:type="spellEnd"/>
      <w:r w:rsidRPr="00CC19F7">
        <w:t xml:space="preserve"> i </w:t>
      </w:r>
      <w:proofErr w:type="spellStart"/>
      <w:r w:rsidRPr="00CC19F7">
        <w:t>Noreg</w:t>
      </w:r>
      <w:proofErr w:type="spellEnd"/>
      <w:r w:rsidRPr="00CC19F7">
        <w:t xml:space="preserve"> og indirekte gjennom </w:t>
      </w:r>
      <w:proofErr w:type="spellStart"/>
      <w:r w:rsidRPr="00CC19F7">
        <w:t>kostnadsreduksjonane</w:t>
      </w:r>
      <w:proofErr w:type="spellEnd"/>
      <w:r w:rsidRPr="00CC19F7">
        <w:t xml:space="preserve"> demonstrasjon og utvikling av CO</w:t>
      </w:r>
      <w:r w:rsidRPr="00CC19F7">
        <w:rPr>
          <w:rStyle w:val="skrift-senket"/>
        </w:rPr>
        <w:t>2</w:t>
      </w:r>
      <w:r w:rsidRPr="00CC19F7">
        <w:t xml:space="preserve">-handtering vil gi, og at det blir etablert infrastruktur for prosjekta som kjem etter. Dei direkte nasjonale </w:t>
      </w:r>
      <w:proofErr w:type="spellStart"/>
      <w:r w:rsidRPr="00CC19F7">
        <w:t>utsleppsreduksjonane</w:t>
      </w:r>
      <w:proofErr w:type="spellEnd"/>
      <w:r w:rsidRPr="00CC19F7">
        <w:t xml:space="preserve"> </w:t>
      </w:r>
      <w:proofErr w:type="spellStart"/>
      <w:r w:rsidRPr="00CC19F7">
        <w:t>frå</w:t>
      </w:r>
      <w:proofErr w:type="spellEnd"/>
      <w:r w:rsidRPr="00CC19F7">
        <w:t xml:space="preserve"> prosjektet vil i første omgang </w:t>
      </w:r>
      <w:proofErr w:type="spellStart"/>
      <w:r w:rsidRPr="00CC19F7">
        <w:t>vere</w:t>
      </w:r>
      <w:proofErr w:type="spellEnd"/>
      <w:r w:rsidRPr="00CC19F7">
        <w:t xml:space="preserve"> om lag 400 000 tonn CO</w:t>
      </w:r>
      <w:r w:rsidRPr="00CC19F7">
        <w:rPr>
          <w:rStyle w:val="skrift-senket"/>
        </w:rPr>
        <w:t>2</w:t>
      </w:r>
      <w:r w:rsidRPr="00CC19F7">
        <w:t xml:space="preserve"> per år når Heidelberg Materials’ (</w:t>
      </w:r>
      <w:proofErr w:type="spellStart"/>
      <w:r w:rsidRPr="00CC19F7">
        <w:t>tidlegare</w:t>
      </w:r>
      <w:proofErr w:type="spellEnd"/>
      <w:r w:rsidRPr="00CC19F7">
        <w:t xml:space="preserve"> Norcem) fangstprosjekt etter planen blir sett i drift i 2025, og </w:t>
      </w:r>
      <w:proofErr w:type="spellStart"/>
      <w:r w:rsidRPr="00CC19F7">
        <w:t>auke</w:t>
      </w:r>
      <w:proofErr w:type="spellEnd"/>
      <w:r w:rsidRPr="00CC19F7">
        <w:t xml:space="preserve"> til om lag 800 000 tonn CO</w:t>
      </w:r>
      <w:r w:rsidRPr="00CC19F7">
        <w:rPr>
          <w:rStyle w:val="skrift-senket"/>
        </w:rPr>
        <w:t>2</w:t>
      </w:r>
      <w:r w:rsidRPr="00CC19F7">
        <w:t xml:space="preserve"> per år når Hafslund Oslo </w:t>
      </w:r>
      <w:proofErr w:type="spellStart"/>
      <w:r w:rsidRPr="00CC19F7">
        <w:t>Celsios</w:t>
      </w:r>
      <w:proofErr w:type="spellEnd"/>
      <w:r w:rsidRPr="00CC19F7">
        <w:t xml:space="preserve"> prosjekt blir sett i drift. Av </w:t>
      </w:r>
      <w:proofErr w:type="spellStart"/>
      <w:r w:rsidRPr="00CC19F7">
        <w:t>dei</w:t>
      </w:r>
      <w:proofErr w:type="spellEnd"/>
      <w:r w:rsidRPr="00CC19F7">
        <w:t xml:space="preserve"> vil om lag 200 000 tonn CO</w:t>
      </w:r>
      <w:r w:rsidRPr="00CC19F7">
        <w:rPr>
          <w:rStyle w:val="skrift-senket"/>
        </w:rPr>
        <w:t>2</w:t>
      </w:r>
      <w:r w:rsidRPr="00CC19F7">
        <w:t xml:space="preserve"> </w:t>
      </w:r>
      <w:proofErr w:type="spellStart"/>
      <w:r w:rsidRPr="00CC19F7">
        <w:t>frå</w:t>
      </w:r>
      <w:proofErr w:type="spellEnd"/>
      <w:r w:rsidRPr="00CC19F7">
        <w:t xml:space="preserve"> Hafslund Oslo </w:t>
      </w:r>
      <w:proofErr w:type="spellStart"/>
      <w:r w:rsidRPr="00CC19F7">
        <w:t>Celsio</w:t>
      </w:r>
      <w:proofErr w:type="spellEnd"/>
      <w:r w:rsidRPr="00CC19F7">
        <w:t xml:space="preserve"> kunne </w:t>
      </w:r>
      <w:proofErr w:type="spellStart"/>
      <w:r w:rsidRPr="00CC19F7">
        <w:t>reknast</w:t>
      </w:r>
      <w:proofErr w:type="spellEnd"/>
      <w:r w:rsidRPr="00CC19F7">
        <w:t xml:space="preserve"> mot forpliktinga </w:t>
      </w:r>
      <w:proofErr w:type="spellStart"/>
      <w:r w:rsidRPr="00CC19F7">
        <w:t>Noreg</w:t>
      </w:r>
      <w:proofErr w:type="spellEnd"/>
      <w:r w:rsidRPr="00CC19F7">
        <w:t xml:space="preserve"> har overfor EU om </w:t>
      </w:r>
      <w:proofErr w:type="spellStart"/>
      <w:r w:rsidRPr="00CC19F7">
        <w:t>reduksjonar</w:t>
      </w:r>
      <w:proofErr w:type="spellEnd"/>
      <w:r w:rsidRPr="00CC19F7">
        <w:t xml:space="preserve"> i </w:t>
      </w:r>
      <w:proofErr w:type="spellStart"/>
      <w:r w:rsidRPr="00CC19F7">
        <w:t>ikkje</w:t>
      </w:r>
      <w:proofErr w:type="spellEnd"/>
      <w:r w:rsidRPr="00CC19F7">
        <w:t xml:space="preserve">-kvotepliktige utslepp. Heidelberg Materials’ sementfabrikk er </w:t>
      </w:r>
      <w:proofErr w:type="spellStart"/>
      <w:r w:rsidRPr="00CC19F7">
        <w:t>ein</w:t>
      </w:r>
      <w:proofErr w:type="spellEnd"/>
      <w:r w:rsidRPr="00CC19F7">
        <w:t xml:space="preserve"> del av kvotepliktig sektor.</w:t>
      </w:r>
    </w:p>
    <w:p w14:paraId="69304F9F" w14:textId="77777777" w:rsidR="00FE02EF" w:rsidRPr="00CC19F7" w:rsidRDefault="00881E58" w:rsidP="00CC19F7">
      <w:r w:rsidRPr="00CC19F7">
        <w:t xml:space="preserve">Regjeringa har </w:t>
      </w:r>
      <w:proofErr w:type="spellStart"/>
      <w:r w:rsidRPr="00CC19F7">
        <w:t>ein</w:t>
      </w:r>
      <w:proofErr w:type="spellEnd"/>
      <w:r w:rsidRPr="00CC19F7">
        <w:t xml:space="preserve"> ambisjon om å tildele areal med kapasitet til 30 GW havvind på norsk sokkel </w:t>
      </w:r>
      <w:proofErr w:type="spellStart"/>
      <w:r w:rsidRPr="00CC19F7">
        <w:t>innan</w:t>
      </w:r>
      <w:proofErr w:type="spellEnd"/>
      <w:r w:rsidRPr="00CC19F7">
        <w:t xml:space="preserve"> 2040. Departementet vil arbeide for at satsinga bidrar til industriutvikling, tilrettelegging for innovasjon og teknologiutvikling og større utsleppsfri kraftproduksjon i </w:t>
      </w:r>
      <w:proofErr w:type="spellStart"/>
      <w:r w:rsidRPr="00CC19F7">
        <w:t>Noreg</w:t>
      </w:r>
      <w:proofErr w:type="spellEnd"/>
      <w:r w:rsidRPr="00CC19F7">
        <w:t xml:space="preserve">. I 2024 planlegg departementet å tildele </w:t>
      </w:r>
      <w:proofErr w:type="spellStart"/>
      <w:r w:rsidRPr="00CC19F7">
        <w:t>dei</w:t>
      </w:r>
      <w:proofErr w:type="spellEnd"/>
      <w:r w:rsidRPr="00CC19F7">
        <w:t xml:space="preserve"> første prosjektområda for havvind. Departementet vil gjennomføre ei evaluering av den første tildelingsrunden og førebu havvindutlysinga som er </w:t>
      </w:r>
      <w:proofErr w:type="spellStart"/>
      <w:r w:rsidRPr="00CC19F7">
        <w:t>planlagd</w:t>
      </w:r>
      <w:proofErr w:type="spellEnd"/>
      <w:r w:rsidRPr="00CC19F7">
        <w:t xml:space="preserve"> i 2025. NVE vil mellom anna gjennomføre </w:t>
      </w:r>
      <w:proofErr w:type="spellStart"/>
      <w:r w:rsidRPr="00CC19F7">
        <w:t>konsekvensutgreiingar</w:t>
      </w:r>
      <w:proofErr w:type="spellEnd"/>
      <w:r w:rsidRPr="00CC19F7">
        <w:t xml:space="preserve"> av nye område, og Sokkeldirektoratet vil ferdigstille </w:t>
      </w:r>
      <w:proofErr w:type="spellStart"/>
      <w:r w:rsidRPr="00CC19F7">
        <w:t>grunnundersøkingar</w:t>
      </w:r>
      <w:proofErr w:type="spellEnd"/>
      <w:r w:rsidRPr="00CC19F7">
        <w:t xml:space="preserve"> for den delen av havvindområdet Utsira Nord som er lyst ut. Det vil også bli gjennomført </w:t>
      </w:r>
      <w:proofErr w:type="spellStart"/>
      <w:r w:rsidRPr="00CC19F7">
        <w:t>feltundersøkingar</w:t>
      </w:r>
      <w:proofErr w:type="spellEnd"/>
      <w:r w:rsidRPr="00CC19F7">
        <w:t xml:space="preserve"> som </w:t>
      </w:r>
      <w:proofErr w:type="spellStart"/>
      <w:r w:rsidRPr="00CC19F7">
        <w:t>aukar</w:t>
      </w:r>
      <w:proofErr w:type="spellEnd"/>
      <w:r w:rsidRPr="00CC19F7">
        <w:t xml:space="preserve"> kunnskapsnivået om </w:t>
      </w:r>
      <w:proofErr w:type="spellStart"/>
      <w:r w:rsidRPr="00CC19F7">
        <w:t>naturmangfald</w:t>
      </w:r>
      <w:proofErr w:type="spellEnd"/>
      <w:r w:rsidRPr="00CC19F7">
        <w:t xml:space="preserve"> og miljø mellom anna i </w:t>
      </w:r>
      <w:proofErr w:type="spellStart"/>
      <w:r w:rsidRPr="00CC19F7">
        <w:t>dei</w:t>
      </w:r>
      <w:proofErr w:type="spellEnd"/>
      <w:r w:rsidRPr="00CC19F7">
        <w:t xml:space="preserve"> områda som er aktuelle for utlysing i 2025.</w:t>
      </w:r>
    </w:p>
    <w:p w14:paraId="7D6B6CE3" w14:textId="77777777" w:rsidR="00FE02EF" w:rsidRPr="00CC19F7" w:rsidRDefault="00881E58" w:rsidP="00CC19F7">
      <w:proofErr w:type="spellStart"/>
      <w:r w:rsidRPr="00CC19F7">
        <w:t>Vidare</w:t>
      </w:r>
      <w:proofErr w:type="spellEnd"/>
      <w:r w:rsidRPr="00CC19F7">
        <w:t xml:space="preserve"> foreslår regjeringa å styrke </w:t>
      </w:r>
      <w:proofErr w:type="spellStart"/>
      <w:r w:rsidRPr="00CC19F7">
        <w:t>tilskotsordninga</w:t>
      </w:r>
      <w:proofErr w:type="spellEnd"/>
      <w:r w:rsidRPr="00CC19F7">
        <w:t xml:space="preserve"> for kompetansemiljø for havvind. Ordninga skal bidra til kapasitets- og kunnskapsoppbygging, kompetanseoverføring og formidling for industriutvikling og tilrettelegging for innovasjon og teknologiutvikling på havvind. Ordninga blir </w:t>
      </w:r>
      <w:proofErr w:type="spellStart"/>
      <w:r w:rsidRPr="00CC19F7">
        <w:t>følgt</w:t>
      </w:r>
      <w:proofErr w:type="spellEnd"/>
      <w:r w:rsidRPr="00CC19F7">
        <w:t xml:space="preserve"> opp av Sørlandets Kompetansesenter.</w:t>
      </w:r>
    </w:p>
    <w:p w14:paraId="1D3D3069" w14:textId="77777777" w:rsidR="00FE02EF" w:rsidRPr="00CC19F7" w:rsidRDefault="00881E58" w:rsidP="00CC19F7">
      <w:r w:rsidRPr="00CC19F7">
        <w:t xml:space="preserve">Fornybar energiproduksjon til havs kan ha </w:t>
      </w:r>
      <w:proofErr w:type="spellStart"/>
      <w:r w:rsidRPr="00CC19F7">
        <w:t>ein</w:t>
      </w:r>
      <w:proofErr w:type="spellEnd"/>
      <w:r w:rsidRPr="00CC19F7">
        <w:t xml:space="preserve"> positiv klimaeffekt når anlegga er sette i drift, men effekten er usikker.</w:t>
      </w:r>
    </w:p>
    <w:p w14:paraId="4F76EE02" w14:textId="77777777" w:rsidR="00FE02EF" w:rsidRPr="00CC19F7" w:rsidRDefault="00881E58" w:rsidP="00CC19F7">
      <w:r w:rsidRPr="00CC19F7">
        <w:t xml:space="preserve">Regjeringa følger opp handlingsplanen for energieffektivitet i alle </w:t>
      </w:r>
      <w:proofErr w:type="spellStart"/>
      <w:r w:rsidRPr="00CC19F7">
        <w:t>delar</w:t>
      </w:r>
      <w:proofErr w:type="spellEnd"/>
      <w:r w:rsidRPr="00CC19F7">
        <w:t xml:space="preserve"> av norsk økonomi ved å </w:t>
      </w:r>
      <w:proofErr w:type="spellStart"/>
      <w:r w:rsidRPr="00CC19F7">
        <w:t>auke</w:t>
      </w:r>
      <w:proofErr w:type="spellEnd"/>
      <w:r w:rsidRPr="00CC19F7">
        <w:t xml:space="preserve"> overføringa til Klima- og energifondet til tiltak for </w:t>
      </w:r>
      <w:proofErr w:type="spellStart"/>
      <w:r w:rsidRPr="00CC19F7">
        <w:t>meir</w:t>
      </w:r>
      <w:proofErr w:type="spellEnd"/>
      <w:r w:rsidRPr="00CC19F7">
        <w:t xml:space="preserve"> effektiv energibruk og </w:t>
      </w:r>
      <w:proofErr w:type="spellStart"/>
      <w:r w:rsidRPr="00CC19F7">
        <w:t>eit</w:t>
      </w:r>
      <w:proofErr w:type="spellEnd"/>
      <w:r w:rsidRPr="00CC19F7">
        <w:t xml:space="preserve"> </w:t>
      </w:r>
      <w:proofErr w:type="spellStart"/>
      <w:r w:rsidRPr="00CC19F7">
        <w:t>meir</w:t>
      </w:r>
      <w:proofErr w:type="spellEnd"/>
      <w:r w:rsidRPr="00CC19F7">
        <w:t xml:space="preserve"> fleksibelt energisystem. </w:t>
      </w:r>
      <w:proofErr w:type="spellStart"/>
      <w:r w:rsidRPr="00CC19F7">
        <w:t>Vidare</w:t>
      </w:r>
      <w:proofErr w:type="spellEnd"/>
      <w:r w:rsidRPr="00CC19F7">
        <w:t xml:space="preserve"> </w:t>
      </w:r>
      <w:proofErr w:type="spellStart"/>
      <w:r w:rsidRPr="00CC19F7">
        <w:t>aukar</w:t>
      </w:r>
      <w:proofErr w:type="spellEnd"/>
      <w:r w:rsidRPr="00CC19F7">
        <w:t xml:space="preserve"> regjeringa løyvinga til </w:t>
      </w:r>
      <w:proofErr w:type="spellStart"/>
      <w:r w:rsidRPr="00CC19F7">
        <w:t>tilskot</w:t>
      </w:r>
      <w:proofErr w:type="spellEnd"/>
      <w:r w:rsidRPr="00CC19F7">
        <w:t xml:space="preserve"> til energitiltak i kommunale bygg. </w:t>
      </w:r>
      <w:proofErr w:type="spellStart"/>
      <w:r w:rsidRPr="00CC19F7">
        <w:t>Tilskotet</w:t>
      </w:r>
      <w:proofErr w:type="spellEnd"/>
      <w:r w:rsidRPr="00CC19F7">
        <w:t xml:space="preserve"> skal bidra til gjennomføring av energieffektiviseringstiltak og tiltak for større energifleksibilitet i kommunalt </w:t>
      </w:r>
      <w:proofErr w:type="spellStart"/>
      <w:r w:rsidRPr="00CC19F7">
        <w:t>eigde</w:t>
      </w:r>
      <w:proofErr w:type="spellEnd"/>
      <w:r w:rsidRPr="00CC19F7">
        <w:t xml:space="preserve"> </w:t>
      </w:r>
      <w:proofErr w:type="spellStart"/>
      <w:r w:rsidRPr="00CC19F7">
        <w:t>utleigebustader</w:t>
      </w:r>
      <w:proofErr w:type="spellEnd"/>
      <w:r w:rsidRPr="00CC19F7">
        <w:t xml:space="preserve">, </w:t>
      </w:r>
      <w:proofErr w:type="spellStart"/>
      <w:r w:rsidRPr="00CC19F7">
        <w:t>omsorgsbustader</w:t>
      </w:r>
      <w:proofErr w:type="spellEnd"/>
      <w:r w:rsidRPr="00CC19F7">
        <w:t xml:space="preserve"> og </w:t>
      </w:r>
      <w:proofErr w:type="spellStart"/>
      <w:r w:rsidRPr="00CC19F7">
        <w:t>sjukeheimar</w:t>
      </w:r>
      <w:proofErr w:type="spellEnd"/>
      <w:r w:rsidRPr="00CC19F7">
        <w:t xml:space="preserve">. Energitiltak i bygg vil kunne ha </w:t>
      </w:r>
      <w:proofErr w:type="spellStart"/>
      <w:r w:rsidRPr="00CC19F7">
        <w:t>ein</w:t>
      </w:r>
      <w:proofErr w:type="spellEnd"/>
      <w:r w:rsidRPr="00CC19F7">
        <w:t xml:space="preserve"> positiv klimaeffekt på kort, mellomlang og lang sikt.</w:t>
      </w:r>
    </w:p>
    <w:p w14:paraId="20958F9B" w14:textId="77777777" w:rsidR="00FE02EF" w:rsidRPr="00CC19F7" w:rsidRDefault="00881E58" w:rsidP="00CC19F7">
      <w:pPr>
        <w:pStyle w:val="Overskrift2"/>
      </w:pPr>
      <w:r w:rsidRPr="00CC19F7">
        <w:t xml:space="preserve">Olje- og energidepartementets miljøarbeid i eiga </w:t>
      </w:r>
      <w:proofErr w:type="spellStart"/>
      <w:r w:rsidRPr="00CC19F7">
        <w:t>verksemd</w:t>
      </w:r>
      <w:proofErr w:type="spellEnd"/>
    </w:p>
    <w:p w14:paraId="24B2EEB9" w14:textId="77777777" w:rsidR="00FE02EF" w:rsidRPr="00CC19F7" w:rsidRDefault="00881E58" w:rsidP="00CC19F7">
      <w:proofErr w:type="spellStart"/>
      <w:r w:rsidRPr="00CC19F7">
        <w:t>Departementsfellesskapen</w:t>
      </w:r>
      <w:proofErr w:type="spellEnd"/>
      <w:r w:rsidRPr="00CC19F7">
        <w:t xml:space="preserve"> er miljøsertifisert og registrert i EMAS (Eco-Management and </w:t>
      </w:r>
      <w:proofErr w:type="spellStart"/>
      <w:r w:rsidRPr="00CC19F7">
        <w:t>Audit</w:t>
      </w:r>
      <w:proofErr w:type="spellEnd"/>
      <w:r w:rsidRPr="00CC19F7">
        <w:t xml:space="preserve"> </w:t>
      </w:r>
      <w:proofErr w:type="spellStart"/>
      <w:r w:rsidRPr="00CC19F7">
        <w:t>Scheme</w:t>
      </w:r>
      <w:proofErr w:type="spellEnd"/>
      <w:r w:rsidRPr="00CC19F7">
        <w:t xml:space="preserve">). I samarbeid med </w:t>
      </w:r>
      <w:proofErr w:type="spellStart"/>
      <w:r w:rsidRPr="00CC19F7">
        <w:t>dei</w:t>
      </w:r>
      <w:proofErr w:type="spellEnd"/>
      <w:r w:rsidRPr="00CC19F7">
        <w:t xml:space="preserve"> andre departementa jobbar Olje- og energidepartementet for </w:t>
      </w:r>
      <w:proofErr w:type="spellStart"/>
      <w:r w:rsidRPr="00CC19F7">
        <w:t>kontinuerleg</w:t>
      </w:r>
      <w:proofErr w:type="spellEnd"/>
      <w:r w:rsidRPr="00CC19F7">
        <w:t xml:space="preserve"> å redusere miljøpåverknaden i den </w:t>
      </w:r>
      <w:proofErr w:type="spellStart"/>
      <w:r w:rsidRPr="00CC19F7">
        <w:t>daglege</w:t>
      </w:r>
      <w:proofErr w:type="spellEnd"/>
      <w:r w:rsidRPr="00CC19F7">
        <w:t xml:space="preserve"> drifta av eige departement. </w:t>
      </w:r>
      <w:proofErr w:type="spellStart"/>
      <w:r w:rsidRPr="00CC19F7">
        <w:t>Ein</w:t>
      </w:r>
      <w:proofErr w:type="spellEnd"/>
      <w:r w:rsidRPr="00CC19F7">
        <w:t xml:space="preserve"> rapport om miljøarbeidet i departementa blir publisert </w:t>
      </w:r>
      <w:proofErr w:type="spellStart"/>
      <w:r w:rsidRPr="00CC19F7">
        <w:t>årleg</w:t>
      </w:r>
      <w:proofErr w:type="spellEnd"/>
      <w:r w:rsidRPr="00CC19F7">
        <w:t xml:space="preserve"> på regjeringa.no.</w:t>
      </w:r>
    </w:p>
    <w:p w14:paraId="7F7CF8A2" w14:textId="77777777" w:rsidR="00FE02EF" w:rsidRPr="00CC19F7" w:rsidRDefault="00881E58" w:rsidP="00CC19F7">
      <w:pPr>
        <w:pStyle w:val="Overskrift2"/>
      </w:pPr>
      <w:r w:rsidRPr="00CC19F7">
        <w:t xml:space="preserve">Oppfølging av FNs </w:t>
      </w:r>
      <w:proofErr w:type="spellStart"/>
      <w:r w:rsidRPr="00CC19F7">
        <w:t>berekraftsmål</w:t>
      </w:r>
      <w:proofErr w:type="spellEnd"/>
    </w:p>
    <w:p w14:paraId="785B5F5A" w14:textId="77777777" w:rsidR="00FE02EF" w:rsidRPr="00CC19F7" w:rsidRDefault="00881E58" w:rsidP="00CC19F7">
      <w:r w:rsidRPr="00CC19F7">
        <w:t xml:space="preserve">I 2015 vedtok FNs medlemsland 17 mål for </w:t>
      </w:r>
      <w:proofErr w:type="spellStart"/>
      <w:r w:rsidRPr="00CC19F7">
        <w:t>berekraftig</w:t>
      </w:r>
      <w:proofErr w:type="spellEnd"/>
      <w:r w:rsidRPr="00CC19F7">
        <w:t xml:space="preserve"> utvikling fram mot 2030. </w:t>
      </w:r>
      <w:proofErr w:type="spellStart"/>
      <w:r w:rsidRPr="00CC19F7">
        <w:t>Berekraftsmåla</w:t>
      </w:r>
      <w:proofErr w:type="spellEnd"/>
      <w:r w:rsidRPr="00CC19F7">
        <w:t xml:space="preserve"> består av 17 </w:t>
      </w:r>
      <w:proofErr w:type="spellStart"/>
      <w:r w:rsidRPr="00CC19F7">
        <w:t>hovudmål</w:t>
      </w:r>
      <w:proofErr w:type="spellEnd"/>
      <w:r w:rsidRPr="00CC19F7">
        <w:t xml:space="preserve"> og 169 delmål og </w:t>
      </w:r>
      <w:proofErr w:type="spellStart"/>
      <w:r w:rsidRPr="00CC19F7">
        <w:t>utgjer</w:t>
      </w:r>
      <w:proofErr w:type="spellEnd"/>
      <w:r w:rsidRPr="00CC19F7">
        <w:t xml:space="preserve"> FNs arbeidsplan for å utrydde fattigdom, nedkjempe ulikskap og stoppe </w:t>
      </w:r>
      <w:proofErr w:type="spellStart"/>
      <w:r w:rsidRPr="00CC19F7">
        <w:t>klimaendringane</w:t>
      </w:r>
      <w:proofErr w:type="spellEnd"/>
      <w:r w:rsidRPr="00CC19F7">
        <w:t xml:space="preserve"> </w:t>
      </w:r>
      <w:proofErr w:type="spellStart"/>
      <w:r w:rsidRPr="00CC19F7">
        <w:t>innan</w:t>
      </w:r>
      <w:proofErr w:type="spellEnd"/>
      <w:r w:rsidRPr="00CC19F7">
        <w:t xml:space="preserve"> 2030. Kvart </w:t>
      </w:r>
      <w:proofErr w:type="spellStart"/>
      <w:r w:rsidRPr="00CC19F7">
        <w:t>hovudmål</w:t>
      </w:r>
      <w:proofErr w:type="spellEnd"/>
      <w:r w:rsidRPr="00CC19F7">
        <w:t xml:space="preserve"> har ulike delmål, og for å følge utviklinga til delmåla har FN vedtatt 231 globale </w:t>
      </w:r>
      <w:proofErr w:type="spellStart"/>
      <w:r w:rsidRPr="00CC19F7">
        <w:t>indikatorar</w:t>
      </w:r>
      <w:proofErr w:type="spellEnd"/>
      <w:r w:rsidRPr="00CC19F7">
        <w:t xml:space="preserve">. Meld. St. 40 (2020–2021) </w:t>
      </w:r>
      <w:r w:rsidRPr="00CC19F7">
        <w:rPr>
          <w:rStyle w:val="kursiv"/>
        </w:rPr>
        <w:t xml:space="preserve">Mål med mening – Norges handlingsplan for å nå </w:t>
      </w:r>
      <w:proofErr w:type="spellStart"/>
      <w:r w:rsidRPr="00CC19F7">
        <w:rPr>
          <w:rStyle w:val="kursiv"/>
        </w:rPr>
        <w:t>bærekraftsmålene</w:t>
      </w:r>
      <w:proofErr w:type="spellEnd"/>
      <w:r w:rsidRPr="00CC19F7">
        <w:rPr>
          <w:rStyle w:val="kursiv"/>
        </w:rPr>
        <w:t xml:space="preserve"> innen 2030</w:t>
      </w:r>
      <w:r w:rsidRPr="00CC19F7">
        <w:t xml:space="preserve"> beskriv arbeidet med å utvikle nasjonale målepunkt i </w:t>
      </w:r>
      <w:proofErr w:type="spellStart"/>
      <w:r w:rsidRPr="00CC19F7">
        <w:t>Noreg</w:t>
      </w:r>
      <w:proofErr w:type="spellEnd"/>
      <w:r w:rsidRPr="00CC19F7">
        <w:t xml:space="preserve">, som </w:t>
      </w:r>
      <w:proofErr w:type="spellStart"/>
      <w:r w:rsidRPr="00CC19F7">
        <w:t>eit</w:t>
      </w:r>
      <w:proofErr w:type="spellEnd"/>
      <w:r w:rsidRPr="00CC19F7">
        <w:t xml:space="preserve"> supplement til </w:t>
      </w:r>
      <w:proofErr w:type="spellStart"/>
      <w:r w:rsidRPr="00CC19F7">
        <w:t>dei</w:t>
      </w:r>
      <w:proofErr w:type="spellEnd"/>
      <w:r w:rsidRPr="00CC19F7">
        <w:t xml:space="preserve"> globale </w:t>
      </w:r>
      <w:proofErr w:type="spellStart"/>
      <w:r w:rsidRPr="00CC19F7">
        <w:t>indikatorane</w:t>
      </w:r>
      <w:proofErr w:type="spellEnd"/>
      <w:r w:rsidRPr="00CC19F7">
        <w:t xml:space="preserve">. Måla er universelle, det vil </w:t>
      </w:r>
      <w:proofErr w:type="spellStart"/>
      <w:r w:rsidRPr="00CC19F7">
        <w:t>seie</w:t>
      </w:r>
      <w:proofErr w:type="spellEnd"/>
      <w:r w:rsidRPr="00CC19F7">
        <w:t xml:space="preserve"> at alle land har ansvar for å følge opp måla nasjonalt. Måla skal fungere som ei felles global retning for </w:t>
      </w:r>
      <w:proofErr w:type="spellStart"/>
      <w:r w:rsidRPr="00CC19F7">
        <w:t>statar</w:t>
      </w:r>
      <w:proofErr w:type="spellEnd"/>
      <w:r w:rsidRPr="00CC19F7">
        <w:t>, næringsliv og sivilsamfunn.</w:t>
      </w:r>
    </w:p>
    <w:p w14:paraId="6465ED50" w14:textId="77777777" w:rsidR="00FE02EF" w:rsidRPr="00CC19F7" w:rsidRDefault="00881E58" w:rsidP="00CC19F7">
      <w:r w:rsidRPr="00CC19F7">
        <w:t xml:space="preserve">Kommunal- og </w:t>
      </w:r>
      <w:proofErr w:type="spellStart"/>
      <w:r w:rsidRPr="00CC19F7">
        <w:t>distriktsdepartementet</w:t>
      </w:r>
      <w:proofErr w:type="spellEnd"/>
      <w:r w:rsidRPr="00CC19F7">
        <w:t xml:space="preserve"> koordinerer arbeidet med den nasjonale oppfølginga av </w:t>
      </w:r>
      <w:proofErr w:type="spellStart"/>
      <w:r w:rsidRPr="00CC19F7">
        <w:t>berekraftsmåla</w:t>
      </w:r>
      <w:proofErr w:type="spellEnd"/>
      <w:r w:rsidRPr="00CC19F7">
        <w:t xml:space="preserve">. Olje- og energidepartementet har ansvar for oppfølging av </w:t>
      </w:r>
      <w:proofErr w:type="spellStart"/>
      <w:r w:rsidRPr="00CC19F7">
        <w:t>hovudmål</w:t>
      </w:r>
      <w:proofErr w:type="spellEnd"/>
      <w:r w:rsidRPr="00CC19F7">
        <w:t xml:space="preserve"> 7 Rein energi til alle. I tillegg har Olje- og energidepartementet ansvar for oppfølging av tiltak </w:t>
      </w:r>
      <w:proofErr w:type="spellStart"/>
      <w:r w:rsidRPr="00CC19F7">
        <w:t>innanfor</w:t>
      </w:r>
      <w:proofErr w:type="spellEnd"/>
      <w:r w:rsidRPr="00CC19F7">
        <w:t xml:space="preserve"> delmål under </w:t>
      </w:r>
      <w:proofErr w:type="spellStart"/>
      <w:r w:rsidRPr="00CC19F7">
        <w:t>fleire</w:t>
      </w:r>
      <w:proofErr w:type="spellEnd"/>
      <w:r w:rsidRPr="00CC19F7">
        <w:t xml:space="preserve"> av </w:t>
      </w:r>
      <w:proofErr w:type="spellStart"/>
      <w:r w:rsidRPr="00CC19F7">
        <w:t>hovudmåla</w:t>
      </w:r>
      <w:proofErr w:type="spellEnd"/>
      <w:r w:rsidRPr="00CC19F7">
        <w:t>.</w:t>
      </w:r>
    </w:p>
    <w:p w14:paraId="354E0C60" w14:textId="77777777" w:rsidR="00FE02EF" w:rsidRPr="00CC19F7" w:rsidRDefault="00881E58" w:rsidP="00CC19F7">
      <w:pPr>
        <w:pStyle w:val="avsnitt-tittel"/>
      </w:pPr>
      <w:r w:rsidRPr="00CC19F7">
        <w:t xml:space="preserve">Mål 6: Sikre </w:t>
      </w:r>
      <w:proofErr w:type="spellStart"/>
      <w:r w:rsidRPr="00CC19F7">
        <w:t>berekraftig</w:t>
      </w:r>
      <w:proofErr w:type="spellEnd"/>
      <w:r w:rsidRPr="00CC19F7">
        <w:t xml:space="preserve"> vassforvaltning og tilgang til vatn og gode sanitærforhold for alle</w:t>
      </w:r>
    </w:p>
    <w:p w14:paraId="0E3D9173" w14:textId="77777777" w:rsidR="00FE02EF" w:rsidRPr="00CC19F7" w:rsidRDefault="00881E58" w:rsidP="00CC19F7">
      <w:pPr>
        <w:pStyle w:val="avsnitt-undertittel"/>
      </w:pPr>
      <w:r w:rsidRPr="00CC19F7">
        <w:t xml:space="preserve">Delmål 6.5) </w:t>
      </w:r>
      <w:proofErr w:type="spellStart"/>
      <w:r w:rsidRPr="00CC19F7">
        <w:t>Innan</w:t>
      </w:r>
      <w:proofErr w:type="spellEnd"/>
      <w:r w:rsidRPr="00CC19F7">
        <w:t xml:space="preserve"> 2030 innføre integrert forvaltning av </w:t>
      </w:r>
      <w:proofErr w:type="spellStart"/>
      <w:r w:rsidRPr="00CC19F7">
        <w:t>vassressursar</w:t>
      </w:r>
      <w:proofErr w:type="spellEnd"/>
      <w:r w:rsidRPr="00CC19F7">
        <w:t xml:space="preserve"> på alle nivå, mellom anna gjennom samarbeid over landegrensene der det er aktuelt</w:t>
      </w:r>
    </w:p>
    <w:p w14:paraId="6B01A2B2" w14:textId="77777777" w:rsidR="00FE02EF" w:rsidRPr="00CC19F7" w:rsidRDefault="00881E58" w:rsidP="00CC19F7">
      <w:r w:rsidRPr="00CC19F7">
        <w:t xml:space="preserve">NVE bidrar til å sikre ei </w:t>
      </w:r>
      <w:proofErr w:type="spellStart"/>
      <w:r w:rsidRPr="00CC19F7">
        <w:t>berekraftig</w:t>
      </w:r>
      <w:proofErr w:type="spellEnd"/>
      <w:r w:rsidRPr="00CC19F7">
        <w:t xml:space="preserve"> vassforvaltning. Omsynet til ei </w:t>
      </w:r>
      <w:proofErr w:type="spellStart"/>
      <w:r w:rsidRPr="00CC19F7">
        <w:t>heilskapleg</w:t>
      </w:r>
      <w:proofErr w:type="spellEnd"/>
      <w:r w:rsidRPr="00CC19F7">
        <w:t xml:space="preserve"> og integrert vassforvaltning blir varetatt gjennom </w:t>
      </w:r>
      <w:proofErr w:type="spellStart"/>
      <w:r w:rsidRPr="00CC19F7">
        <w:t>dei</w:t>
      </w:r>
      <w:proofErr w:type="spellEnd"/>
      <w:r w:rsidRPr="00CC19F7">
        <w:t xml:space="preserve"> norske </w:t>
      </w:r>
      <w:proofErr w:type="spellStart"/>
      <w:r w:rsidRPr="00CC19F7">
        <w:t>vassforvaltningsplanane</w:t>
      </w:r>
      <w:proofErr w:type="spellEnd"/>
      <w:r w:rsidRPr="00CC19F7">
        <w:t xml:space="preserve"> som følger av EUs vassdirektiv, som er gjennomført i norsk rett.</w:t>
      </w:r>
    </w:p>
    <w:p w14:paraId="38CB702A" w14:textId="77777777" w:rsidR="00FE02EF" w:rsidRPr="00CC19F7" w:rsidRDefault="00881E58" w:rsidP="00CC19F7">
      <w:pPr>
        <w:pStyle w:val="avsnitt-undertittel"/>
      </w:pPr>
      <w:r w:rsidRPr="00CC19F7">
        <w:t xml:space="preserve">Delmål 6.6) </w:t>
      </w:r>
      <w:proofErr w:type="spellStart"/>
      <w:r w:rsidRPr="00CC19F7">
        <w:t>Innan</w:t>
      </w:r>
      <w:proofErr w:type="spellEnd"/>
      <w:r w:rsidRPr="00CC19F7">
        <w:t xml:space="preserve"> 2020 verne og bygge opp att vassrelaterte økosystem, inkludert fjell, </w:t>
      </w:r>
      <w:proofErr w:type="spellStart"/>
      <w:r w:rsidRPr="00CC19F7">
        <w:t>skogar</w:t>
      </w:r>
      <w:proofErr w:type="spellEnd"/>
      <w:r w:rsidRPr="00CC19F7">
        <w:t xml:space="preserve">, våtmarker, elver, </w:t>
      </w:r>
      <w:proofErr w:type="spellStart"/>
      <w:r w:rsidRPr="00CC19F7">
        <w:t>vassførande</w:t>
      </w:r>
      <w:proofErr w:type="spellEnd"/>
      <w:r w:rsidRPr="00CC19F7">
        <w:t xml:space="preserve"> </w:t>
      </w:r>
      <w:proofErr w:type="spellStart"/>
      <w:r w:rsidRPr="00CC19F7">
        <w:t>bergartar</w:t>
      </w:r>
      <w:proofErr w:type="spellEnd"/>
      <w:r w:rsidRPr="00CC19F7">
        <w:t xml:space="preserve"> og </w:t>
      </w:r>
      <w:proofErr w:type="spellStart"/>
      <w:r w:rsidRPr="00CC19F7">
        <w:t>innsjøar</w:t>
      </w:r>
      <w:proofErr w:type="spellEnd"/>
    </w:p>
    <w:p w14:paraId="6F9ACB81" w14:textId="77777777" w:rsidR="00FE02EF" w:rsidRPr="00CC19F7" w:rsidRDefault="00881E58" w:rsidP="00CC19F7">
      <w:r w:rsidRPr="00CC19F7">
        <w:t xml:space="preserve">NVE bidrar til å verne og restaurere vassrelaterte økosystem ved å ta omsyn til miljø og vern som </w:t>
      </w:r>
      <w:proofErr w:type="spellStart"/>
      <w:r w:rsidRPr="00CC19F7">
        <w:t>ein</w:t>
      </w:r>
      <w:proofErr w:type="spellEnd"/>
      <w:r w:rsidRPr="00CC19F7">
        <w:t xml:space="preserve"> del av </w:t>
      </w:r>
      <w:proofErr w:type="spellStart"/>
      <w:r w:rsidRPr="00CC19F7">
        <w:t>behandlinga</w:t>
      </w:r>
      <w:proofErr w:type="spellEnd"/>
      <w:r w:rsidRPr="00CC19F7">
        <w:t xml:space="preserve"> i arealplansaker i og langs vassdrag og gjennom arbeid knytt til NVEs </w:t>
      </w:r>
      <w:proofErr w:type="spellStart"/>
      <w:r w:rsidRPr="00CC19F7">
        <w:t>tilskots</w:t>
      </w:r>
      <w:proofErr w:type="spellEnd"/>
      <w:r w:rsidRPr="00CC19F7">
        <w:t xml:space="preserve">- og bistandsordning for sikrings- og miljøtiltak. NVE gir </w:t>
      </w:r>
      <w:proofErr w:type="spellStart"/>
      <w:r w:rsidRPr="00CC19F7">
        <w:t>årleg</w:t>
      </w:r>
      <w:proofErr w:type="spellEnd"/>
      <w:r w:rsidRPr="00CC19F7">
        <w:t xml:space="preserve"> </w:t>
      </w:r>
      <w:proofErr w:type="spellStart"/>
      <w:r w:rsidRPr="00CC19F7">
        <w:t>tilskot</w:t>
      </w:r>
      <w:proofErr w:type="spellEnd"/>
      <w:r w:rsidRPr="00CC19F7">
        <w:t xml:space="preserve"> til, og gjennomfører </w:t>
      </w:r>
      <w:proofErr w:type="spellStart"/>
      <w:r w:rsidRPr="00CC19F7">
        <w:t>sjølv</w:t>
      </w:r>
      <w:proofErr w:type="spellEnd"/>
      <w:r w:rsidRPr="00CC19F7">
        <w:t>, restaurering av vassdrag.</w:t>
      </w:r>
    </w:p>
    <w:p w14:paraId="207E024F" w14:textId="77777777" w:rsidR="00FE02EF" w:rsidRPr="00CC19F7" w:rsidRDefault="00881E58" w:rsidP="00CC19F7">
      <w:pPr>
        <w:pStyle w:val="avsnitt-tittel"/>
      </w:pPr>
      <w:r w:rsidRPr="00CC19F7">
        <w:t xml:space="preserve">Mål 7: Sikre tilgang til </w:t>
      </w:r>
      <w:proofErr w:type="spellStart"/>
      <w:r w:rsidRPr="00CC19F7">
        <w:t>påliteleg</w:t>
      </w:r>
      <w:proofErr w:type="spellEnd"/>
      <w:r w:rsidRPr="00CC19F7">
        <w:t xml:space="preserve">, </w:t>
      </w:r>
      <w:proofErr w:type="spellStart"/>
      <w:r w:rsidRPr="00CC19F7">
        <w:t>berekraftig</w:t>
      </w:r>
      <w:proofErr w:type="spellEnd"/>
      <w:r w:rsidRPr="00CC19F7">
        <w:t xml:space="preserve"> og moderne energi til </w:t>
      </w:r>
      <w:proofErr w:type="spellStart"/>
      <w:r w:rsidRPr="00CC19F7">
        <w:t>ein</w:t>
      </w:r>
      <w:proofErr w:type="spellEnd"/>
      <w:r w:rsidRPr="00CC19F7">
        <w:t xml:space="preserve"> </w:t>
      </w:r>
      <w:proofErr w:type="spellStart"/>
      <w:r w:rsidRPr="00CC19F7">
        <w:t>overkommeleg</w:t>
      </w:r>
      <w:proofErr w:type="spellEnd"/>
      <w:r w:rsidRPr="00CC19F7">
        <w:t xml:space="preserve"> pris</w:t>
      </w:r>
    </w:p>
    <w:p w14:paraId="1D2B60A6" w14:textId="77777777" w:rsidR="00FE02EF" w:rsidRPr="00CC19F7" w:rsidRDefault="00881E58" w:rsidP="00CC19F7">
      <w:r w:rsidRPr="00CC19F7">
        <w:t>Olje- og energidepartementet har ansvaret for å koordinere energipolitikken til regjeringa.</w:t>
      </w:r>
    </w:p>
    <w:p w14:paraId="242792E1" w14:textId="77777777" w:rsidR="00FE02EF" w:rsidRPr="00CC19F7" w:rsidRDefault="00881E58" w:rsidP="00CC19F7">
      <w:r w:rsidRPr="00CC19F7">
        <w:t xml:space="preserve">Verdas befolkning og næringsliv er avhengig av energi for å fungere og for å nå FNs </w:t>
      </w:r>
      <w:proofErr w:type="spellStart"/>
      <w:r w:rsidRPr="00CC19F7">
        <w:t>berekraftsmål</w:t>
      </w:r>
      <w:proofErr w:type="spellEnd"/>
      <w:r w:rsidRPr="00CC19F7">
        <w:t xml:space="preserve">. Energibruk og velstandsnivå heng nært </w:t>
      </w:r>
      <w:proofErr w:type="spellStart"/>
      <w:r w:rsidRPr="00CC19F7">
        <w:t>saman</w:t>
      </w:r>
      <w:proofErr w:type="spellEnd"/>
      <w:r w:rsidRPr="00CC19F7">
        <w:t xml:space="preserve">. Veksten i energibruk er nært knytt til befolkningsutvikling og økonomisk vekst. </w:t>
      </w:r>
      <w:proofErr w:type="spellStart"/>
      <w:r w:rsidRPr="00CC19F7">
        <w:t>Rikeleg</w:t>
      </w:r>
      <w:proofErr w:type="spellEnd"/>
      <w:r w:rsidRPr="00CC19F7">
        <w:t xml:space="preserve"> og </w:t>
      </w:r>
      <w:proofErr w:type="spellStart"/>
      <w:r w:rsidRPr="00CC19F7">
        <w:t>kontinuerleg</w:t>
      </w:r>
      <w:proofErr w:type="spellEnd"/>
      <w:r w:rsidRPr="00CC19F7">
        <w:t xml:space="preserve"> tilgang på </w:t>
      </w:r>
      <w:proofErr w:type="spellStart"/>
      <w:r w:rsidRPr="00CC19F7">
        <w:t>rimeleg</w:t>
      </w:r>
      <w:proofErr w:type="spellEnd"/>
      <w:r w:rsidRPr="00CC19F7">
        <w:t xml:space="preserve"> energi er </w:t>
      </w:r>
      <w:proofErr w:type="spellStart"/>
      <w:r w:rsidRPr="00CC19F7">
        <w:t>ein</w:t>
      </w:r>
      <w:proofErr w:type="spellEnd"/>
      <w:r w:rsidRPr="00CC19F7">
        <w:t xml:space="preserve"> </w:t>
      </w:r>
      <w:proofErr w:type="spellStart"/>
      <w:r w:rsidRPr="00CC19F7">
        <w:t>føresetnad</w:t>
      </w:r>
      <w:proofErr w:type="spellEnd"/>
      <w:r w:rsidRPr="00CC19F7">
        <w:t xml:space="preserve"> for </w:t>
      </w:r>
      <w:proofErr w:type="spellStart"/>
      <w:r w:rsidRPr="00CC19F7">
        <w:t>berekraftig</w:t>
      </w:r>
      <w:proofErr w:type="spellEnd"/>
      <w:r w:rsidRPr="00CC19F7">
        <w:t xml:space="preserve"> økonomisk framgang og velstandsutvikling.</w:t>
      </w:r>
    </w:p>
    <w:p w14:paraId="1D3A7BA9" w14:textId="77777777" w:rsidR="00FE02EF" w:rsidRPr="00CC19F7" w:rsidRDefault="00881E58" w:rsidP="00CC19F7">
      <w:r w:rsidRPr="00CC19F7">
        <w:t xml:space="preserve">Det er </w:t>
      </w:r>
      <w:proofErr w:type="spellStart"/>
      <w:r w:rsidRPr="00CC19F7">
        <w:t>eit</w:t>
      </w:r>
      <w:proofErr w:type="spellEnd"/>
      <w:r w:rsidRPr="00CC19F7">
        <w:t xml:space="preserve"> stort </w:t>
      </w:r>
      <w:proofErr w:type="spellStart"/>
      <w:r w:rsidRPr="00CC19F7">
        <w:t>underliggande</w:t>
      </w:r>
      <w:proofErr w:type="spellEnd"/>
      <w:r w:rsidRPr="00CC19F7">
        <w:t xml:space="preserve"> energibehov </w:t>
      </w:r>
      <w:proofErr w:type="spellStart"/>
      <w:r w:rsidRPr="00CC19F7">
        <w:t>særleg</w:t>
      </w:r>
      <w:proofErr w:type="spellEnd"/>
      <w:r w:rsidRPr="00CC19F7">
        <w:t xml:space="preserve"> i utviklingsland. Der treng ei </w:t>
      </w:r>
      <w:proofErr w:type="spellStart"/>
      <w:r w:rsidRPr="00CC19F7">
        <w:t>veksande</w:t>
      </w:r>
      <w:proofErr w:type="spellEnd"/>
      <w:r w:rsidRPr="00CC19F7">
        <w:t xml:space="preserve"> befolkning energi både til å dekke sine </w:t>
      </w:r>
      <w:proofErr w:type="spellStart"/>
      <w:r w:rsidRPr="00CC19F7">
        <w:t>grunnleggande</w:t>
      </w:r>
      <w:proofErr w:type="spellEnd"/>
      <w:r w:rsidRPr="00CC19F7">
        <w:t xml:space="preserve"> behov og til å få oppfylt ønsket om </w:t>
      </w:r>
      <w:proofErr w:type="spellStart"/>
      <w:r w:rsidRPr="00CC19F7">
        <w:t>eit</w:t>
      </w:r>
      <w:proofErr w:type="spellEnd"/>
      <w:r w:rsidRPr="00CC19F7">
        <w:t xml:space="preserve"> liv og </w:t>
      </w:r>
      <w:proofErr w:type="spellStart"/>
      <w:r w:rsidRPr="00CC19F7">
        <w:t>ein</w:t>
      </w:r>
      <w:proofErr w:type="spellEnd"/>
      <w:r w:rsidRPr="00CC19F7">
        <w:t xml:space="preserve"> levestandard lik det </w:t>
      </w:r>
      <w:proofErr w:type="spellStart"/>
      <w:r w:rsidRPr="00CC19F7">
        <w:t>dei</w:t>
      </w:r>
      <w:proofErr w:type="spellEnd"/>
      <w:r w:rsidRPr="00CC19F7">
        <w:t xml:space="preserve"> ser i vår del av verda. Folkerike land og </w:t>
      </w:r>
      <w:proofErr w:type="spellStart"/>
      <w:r w:rsidRPr="00CC19F7">
        <w:t>regionar</w:t>
      </w:r>
      <w:proofErr w:type="spellEnd"/>
      <w:r w:rsidRPr="00CC19F7">
        <w:t xml:space="preserve"> som India og Afrika har </w:t>
      </w:r>
      <w:proofErr w:type="spellStart"/>
      <w:r w:rsidRPr="00CC19F7">
        <w:t>eit</w:t>
      </w:r>
      <w:proofErr w:type="spellEnd"/>
      <w:r w:rsidRPr="00CC19F7">
        <w:t xml:space="preserve"> lågt energibruk per </w:t>
      </w:r>
      <w:proofErr w:type="spellStart"/>
      <w:r w:rsidRPr="00CC19F7">
        <w:t>innbyggar</w:t>
      </w:r>
      <w:proofErr w:type="spellEnd"/>
      <w:r w:rsidRPr="00CC19F7">
        <w:t xml:space="preserve"> og </w:t>
      </w:r>
      <w:proofErr w:type="spellStart"/>
      <w:r w:rsidRPr="00CC19F7">
        <w:t>eit</w:t>
      </w:r>
      <w:proofErr w:type="spellEnd"/>
      <w:r w:rsidRPr="00CC19F7">
        <w:t xml:space="preserve"> </w:t>
      </w:r>
      <w:proofErr w:type="spellStart"/>
      <w:r w:rsidRPr="00CC19F7">
        <w:t>tilhøyrande</w:t>
      </w:r>
      <w:proofErr w:type="spellEnd"/>
      <w:r w:rsidRPr="00CC19F7">
        <w:t xml:space="preserve"> lågt inntektsnivå. Energiforbruket per </w:t>
      </w:r>
      <w:proofErr w:type="spellStart"/>
      <w:r w:rsidRPr="00CC19F7">
        <w:t>innbyggar</w:t>
      </w:r>
      <w:proofErr w:type="spellEnd"/>
      <w:r w:rsidRPr="00CC19F7">
        <w:t xml:space="preserve"> i EU er </w:t>
      </w:r>
      <w:proofErr w:type="spellStart"/>
      <w:r w:rsidRPr="00CC19F7">
        <w:t>framleis</w:t>
      </w:r>
      <w:proofErr w:type="spellEnd"/>
      <w:r w:rsidRPr="00CC19F7">
        <w:t xml:space="preserve"> seks gonger </w:t>
      </w:r>
      <w:proofErr w:type="spellStart"/>
      <w:r w:rsidRPr="00CC19F7">
        <w:t>høgare</w:t>
      </w:r>
      <w:proofErr w:type="spellEnd"/>
      <w:r w:rsidRPr="00CC19F7">
        <w:t xml:space="preserve"> enn i India. </w:t>
      </w:r>
      <w:proofErr w:type="spellStart"/>
      <w:r w:rsidRPr="00CC19F7">
        <w:t>Samanlikna</w:t>
      </w:r>
      <w:proofErr w:type="spellEnd"/>
      <w:r w:rsidRPr="00CC19F7">
        <w:t xml:space="preserve"> med mange land i Afrika er energibruken opp mot 100 gonger større. Spania bruker for eksempel like </w:t>
      </w:r>
      <w:proofErr w:type="spellStart"/>
      <w:r w:rsidRPr="00CC19F7">
        <w:t>mykje</w:t>
      </w:r>
      <w:proofErr w:type="spellEnd"/>
      <w:r w:rsidRPr="00CC19F7">
        <w:t xml:space="preserve"> elektrisitet som landa i Afrika sør for Sahara til </w:t>
      </w:r>
      <w:proofErr w:type="spellStart"/>
      <w:r w:rsidRPr="00CC19F7">
        <w:t>saman</w:t>
      </w:r>
      <w:proofErr w:type="spellEnd"/>
      <w:r w:rsidRPr="00CC19F7">
        <w:t xml:space="preserve">, </w:t>
      </w:r>
      <w:proofErr w:type="spellStart"/>
      <w:r w:rsidRPr="00CC19F7">
        <w:t>sjølv</w:t>
      </w:r>
      <w:proofErr w:type="spellEnd"/>
      <w:r w:rsidRPr="00CC19F7">
        <w:t xml:space="preserve"> om befolkninga i Afrika sør for Sahara er 18 gonger så stor. Det er ei stor utfordring å skaffe tilgang på nok energi til ei </w:t>
      </w:r>
      <w:proofErr w:type="spellStart"/>
      <w:r w:rsidRPr="00CC19F7">
        <w:t>veksande</w:t>
      </w:r>
      <w:proofErr w:type="spellEnd"/>
      <w:r w:rsidRPr="00CC19F7">
        <w:t xml:space="preserve"> befolkning.</w:t>
      </w:r>
    </w:p>
    <w:p w14:paraId="67A6C587" w14:textId="77777777" w:rsidR="00FE02EF" w:rsidRPr="00CC19F7" w:rsidRDefault="00881E58" w:rsidP="00CC19F7">
      <w:r w:rsidRPr="00CC19F7">
        <w:t xml:space="preserve">Samtidig er dagens kompliserte, globale energisystem dominert av kol, olje og gass. Andelen av </w:t>
      </w:r>
      <w:proofErr w:type="spellStart"/>
      <w:r w:rsidRPr="00CC19F7">
        <w:t>desse</w:t>
      </w:r>
      <w:proofErr w:type="spellEnd"/>
      <w:r w:rsidRPr="00CC19F7">
        <w:t xml:space="preserve"> energikjeldene til energiforsyninga har over lang tid lege relativt stabilt på rundt 80 prosent. Det gir store utslepp av </w:t>
      </w:r>
      <w:proofErr w:type="spellStart"/>
      <w:r w:rsidRPr="00CC19F7">
        <w:t>klimagassar</w:t>
      </w:r>
      <w:proofErr w:type="spellEnd"/>
      <w:r w:rsidRPr="00CC19F7">
        <w:t xml:space="preserve"> og bidrar til global oppvarming, </w:t>
      </w:r>
      <w:proofErr w:type="spellStart"/>
      <w:r w:rsidRPr="00CC19F7">
        <w:t>noko</w:t>
      </w:r>
      <w:proofErr w:type="spellEnd"/>
      <w:r w:rsidRPr="00CC19F7">
        <w:t xml:space="preserve"> som vil føre til </w:t>
      </w:r>
      <w:proofErr w:type="spellStart"/>
      <w:r w:rsidRPr="00CC19F7">
        <w:t>alvorlege</w:t>
      </w:r>
      <w:proofErr w:type="spellEnd"/>
      <w:r w:rsidRPr="00CC19F7">
        <w:t xml:space="preserve"> og irreversible </w:t>
      </w:r>
      <w:proofErr w:type="spellStart"/>
      <w:r w:rsidRPr="00CC19F7">
        <w:t>konsekvensar</w:t>
      </w:r>
      <w:proofErr w:type="spellEnd"/>
      <w:r w:rsidRPr="00CC19F7">
        <w:t xml:space="preserve"> for dyr, natur og menneske over heile kloden. Behovet for store og raske </w:t>
      </w:r>
      <w:proofErr w:type="spellStart"/>
      <w:r w:rsidRPr="00CC19F7">
        <w:t>utsleppskutt</w:t>
      </w:r>
      <w:proofErr w:type="spellEnd"/>
      <w:r w:rsidRPr="00CC19F7">
        <w:t xml:space="preserve"> i tråd med måla i Parisavtalen krev ei stor endring av energiforsyninga i verda, </w:t>
      </w:r>
      <w:proofErr w:type="spellStart"/>
      <w:r w:rsidRPr="00CC19F7">
        <w:t>noko</w:t>
      </w:r>
      <w:proofErr w:type="spellEnd"/>
      <w:r w:rsidRPr="00CC19F7">
        <w:t xml:space="preserve"> som </w:t>
      </w:r>
      <w:proofErr w:type="spellStart"/>
      <w:r w:rsidRPr="00CC19F7">
        <w:t>inneber</w:t>
      </w:r>
      <w:proofErr w:type="spellEnd"/>
      <w:r w:rsidRPr="00CC19F7">
        <w:t xml:space="preserve"> effektivisering av energibruken, </w:t>
      </w:r>
      <w:proofErr w:type="spellStart"/>
      <w:r w:rsidRPr="00CC19F7">
        <w:t>meir</w:t>
      </w:r>
      <w:proofErr w:type="spellEnd"/>
      <w:r w:rsidRPr="00CC19F7">
        <w:t xml:space="preserve"> utbygging av fornybar energi og utvikling av nye </w:t>
      </w:r>
      <w:proofErr w:type="spellStart"/>
      <w:r w:rsidRPr="00CC19F7">
        <w:t>lågutsleppsløysingar</w:t>
      </w:r>
      <w:proofErr w:type="spellEnd"/>
      <w:r w:rsidRPr="00CC19F7">
        <w:t xml:space="preserve"> som for eksempel CO</w:t>
      </w:r>
      <w:r w:rsidRPr="00CC19F7">
        <w:rPr>
          <w:rStyle w:val="skrift-senket"/>
        </w:rPr>
        <w:t>2</w:t>
      </w:r>
      <w:r w:rsidRPr="00CC19F7">
        <w:t xml:space="preserve">-handtering. Dette er </w:t>
      </w:r>
      <w:proofErr w:type="spellStart"/>
      <w:r w:rsidRPr="00CC19F7">
        <w:t>krevjande</w:t>
      </w:r>
      <w:proofErr w:type="spellEnd"/>
      <w:r w:rsidRPr="00CC19F7">
        <w:t xml:space="preserve"> mellom anna fordi energisystemet i verda er stort og komplekst. Systemet er avhengig av </w:t>
      </w:r>
      <w:proofErr w:type="spellStart"/>
      <w:r w:rsidRPr="00CC19F7">
        <w:t>omfattande</w:t>
      </w:r>
      <w:proofErr w:type="spellEnd"/>
      <w:r w:rsidRPr="00CC19F7">
        <w:t xml:space="preserve"> infrastruktur til produksjon, distribusjon og bruk. I mange land er det </w:t>
      </w:r>
      <w:proofErr w:type="spellStart"/>
      <w:r w:rsidRPr="00CC19F7">
        <w:t>arealkonfliktar</w:t>
      </w:r>
      <w:proofErr w:type="spellEnd"/>
      <w:r w:rsidRPr="00CC19F7">
        <w:t xml:space="preserve"> og </w:t>
      </w:r>
      <w:proofErr w:type="spellStart"/>
      <w:r w:rsidRPr="00CC19F7">
        <w:t>annan</w:t>
      </w:r>
      <w:proofErr w:type="spellEnd"/>
      <w:r w:rsidRPr="00CC19F7">
        <w:t xml:space="preserve"> type motstand mot etablering av ny energiproduksjon og </w:t>
      </w:r>
      <w:proofErr w:type="spellStart"/>
      <w:r w:rsidRPr="00CC19F7">
        <w:t>tilhøyrande</w:t>
      </w:r>
      <w:proofErr w:type="spellEnd"/>
      <w:r w:rsidRPr="00CC19F7">
        <w:t xml:space="preserve"> infrastruktur. Kostnader knytte til </w:t>
      </w:r>
      <w:proofErr w:type="spellStart"/>
      <w:r w:rsidRPr="00CC19F7">
        <w:t>energileveransar</w:t>
      </w:r>
      <w:proofErr w:type="spellEnd"/>
      <w:r w:rsidRPr="00CC19F7">
        <w:t xml:space="preserve"> påverkar levestandarden og kostnadsnivået til </w:t>
      </w:r>
      <w:proofErr w:type="spellStart"/>
      <w:r w:rsidRPr="00CC19F7">
        <w:t>innbyggarane</w:t>
      </w:r>
      <w:proofErr w:type="spellEnd"/>
      <w:r w:rsidRPr="00CC19F7">
        <w:t xml:space="preserve"> og dermed konkurransekrafta til næringslivet. Fordi stabil tilgang på </w:t>
      </w:r>
      <w:proofErr w:type="spellStart"/>
      <w:r w:rsidRPr="00CC19F7">
        <w:t>rimeleg</w:t>
      </w:r>
      <w:proofErr w:type="spellEnd"/>
      <w:r w:rsidRPr="00CC19F7">
        <w:t xml:space="preserve"> energi er viktig for </w:t>
      </w:r>
      <w:proofErr w:type="spellStart"/>
      <w:r w:rsidRPr="00CC19F7">
        <w:t>hushaldningar</w:t>
      </w:r>
      <w:proofErr w:type="spellEnd"/>
      <w:r w:rsidRPr="00CC19F7">
        <w:t xml:space="preserve"> og næringsliv, er omsynet til </w:t>
      </w:r>
      <w:proofErr w:type="spellStart"/>
      <w:r w:rsidRPr="00CC19F7">
        <w:t>energisikkerheit</w:t>
      </w:r>
      <w:proofErr w:type="spellEnd"/>
      <w:r w:rsidRPr="00CC19F7">
        <w:t xml:space="preserve"> </w:t>
      </w:r>
      <w:proofErr w:type="spellStart"/>
      <w:r w:rsidRPr="00CC19F7">
        <w:t>ein</w:t>
      </w:r>
      <w:proofErr w:type="spellEnd"/>
      <w:r w:rsidRPr="00CC19F7">
        <w:t xml:space="preserve"> prioritet i alle land.</w:t>
      </w:r>
    </w:p>
    <w:p w14:paraId="03F4C2A9" w14:textId="77777777" w:rsidR="00FE02EF" w:rsidRPr="00CC19F7" w:rsidRDefault="00881E58" w:rsidP="00CC19F7">
      <w:r w:rsidRPr="00CC19F7">
        <w:t xml:space="preserve">Verdas befolkning og næringsliv er avhengig av energi for å fungere og for å nå FNs ulike </w:t>
      </w:r>
      <w:proofErr w:type="spellStart"/>
      <w:r w:rsidRPr="00CC19F7">
        <w:t>berekraftsmål</w:t>
      </w:r>
      <w:proofErr w:type="spellEnd"/>
      <w:r w:rsidRPr="00CC19F7">
        <w:t xml:space="preserve">. Det er </w:t>
      </w:r>
      <w:proofErr w:type="spellStart"/>
      <w:r w:rsidRPr="00CC19F7">
        <w:t>samanhengar</w:t>
      </w:r>
      <w:proofErr w:type="spellEnd"/>
      <w:r w:rsidRPr="00CC19F7">
        <w:t xml:space="preserve"> og </w:t>
      </w:r>
      <w:proofErr w:type="gramStart"/>
      <w:r w:rsidRPr="00CC19F7">
        <w:t>potensielle</w:t>
      </w:r>
      <w:proofErr w:type="gramEnd"/>
      <w:r w:rsidRPr="00CC19F7">
        <w:t xml:space="preserve"> </w:t>
      </w:r>
      <w:proofErr w:type="spellStart"/>
      <w:r w:rsidRPr="00CC19F7">
        <w:t>målkonfliktar</w:t>
      </w:r>
      <w:proofErr w:type="spellEnd"/>
      <w:r w:rsidRPr="00CC19F7">
        <w:t xml:space="preserve"> mellom </w:t>
      </w:r>
      <w:proofErr w:type="spellStart"/>
      <w:r w:rsidRPr="00CC19F7">
        <w:t>berekraftsmåla</w:t>
      </w:r>
      <w:proofErr w:type="spellEnd"/>
      <w:r w:rsidRPr="00CC19F7">
        <w:t xml:space="preserve">. Det er derfor viktig at det å oppnå </w:t>
      </w:r>
      <w:proofErr w:type="spellStart"/>
      <w:r w:rsidRPr="00CC19F7">
        <w:t>eitt</w:t>
      </w:r>
      <w:proofErr w:type="spellEnd"/>
      <w:r w:rsidRPr="00CC19F7">
        <w:t xml:space="preserve"> mål blir sett i </w:t>
      </w:r>
      <w:proofErr w:type="spellStart"/>
      <w:r w:rsidRPr="00CC19F7">
        <w:t>samanheng</w:t>
      </w:r>
      <w:proofErr w:type="spellEnd"/>
      <w:r w:rsidRPr="00CC19F7">
        <w:t xml:space="preserve"> med påverknad på andre mål. Energi- og </w:t>
      </w:r>
      <w:proofErr w:type="spellStart"/>
      <w:r w:rsidRPr="00CC19F7">
        <w:t>klimautfordringane</w:t>
      </w:r>
      <w:proofErr w:type="spellEnd"/>
      <w:r w:rsidRPr="00CC19F7">
        <w:t xml:space="preserve"> verda står overfor, må </w:t>
      </w:r>
      <w:proofErr w:type="spellStart"/>
      <w:r w:rsidRPr="00CC19F7">
        <w:t>løysast</w:t>
      </w:r>
      <w:proofErr w:type="spellEnd"/>
      <w:r w:rsidRPr="00CC19F7">
        <w:t xml:space="preserve"> parallelt.</w:t>
      </w:r>
    </w:p>
    <w:p w14:paraId="5FDC6F1C" w14:textId="77777777" w:rsidR="00FE02EF" w:rsidRPr="00CC19F7" w:rsidRDefault="00881E58" w:rsidP="00CC19F7">
      <w:pPr>
        <w:pStyle w:val="avsnitt-undertittel"/>
      </w:pPr>
      <w:r w:rsidRPr="00CC19F7">
        <w:t xml:space="preserve">Delmål 7.1) </w:t>
      </w:r>
      <w:proofErr w:type="spellStart"/>
      <w:r w:rsidRPr="00CC19F7">
        <w:t>Innan</w:t>
      </w:r>
      <w:proofErr w:type="spellEnd"/>
      <w:r w:rsidRPr="00CC19F7">
        <w:t xml:space="preserve"> 2030 sikre allmenn tilgang til </w:t>
      </w:r>
      <w:proofErr w:type="spellStart"/>
      <w:r w:rsidRPr="00CC19F7">
        <w:t>pålitelege</w:t>
      </w:r>
      <w:proofErr w:type="spellEnd"/>
      <w:r w:rsidRPr="00CC19F7">
        <w:t xml:space="preserve"> og moderne </w:t>
      </w:r>
      <w:proofErr w:type="spellStart"/>
      <w:r w:rsidRPr="00CC19F7">
        <w:t>energitenester</w:t>
      </w:r>
      <w:proofErr w:type="spellEnd"/>
      <w:r w:rsidRPr="00CC19F7">
        <w:t xml:space="preserve"> til </w:t>
      </w:r>
      <w:proofErr w:type="spellStart"/>
      <w:r w:rsidRPr="00CC19F7">
        <w:t>ein</w:t>
      </w:r>
      <w:proofErr w:type="spellEnd"/>
      <w:r w:rsidRPr="00CC19F7">
        <w:t xml:space="preserve"> </w:t>
      </w:r>
      <w:proofErr w:type="spellStart"/>
      <w:r w:rsidRPr="00CC19F7">
        <w:t>overkommeleg</w:t>
      </w:r>
      <w:proofErr w:type="spellEnd"/>
      <w:r w:rsidRPr="00CC19F7">
        <w:t xml:space="preserve"> pris</w:t>
      </w:r>
    </w:p>
    <w:p w14:paraId="269F7B56" w14:textId="77777777" w:rsidR="00FE02EF" w:rsidRPr="00CC19F7" w:rsidRDefault="00881E58" w:rsidP="00CC19F7">
      <w:r w:rsidRPr="00CC19F7">
        <w:t xml:space="preserve">I </w:t>
      </w:r>
      <w:proofErr w:type="spellStart"/>
      <w:r w:rsidRPr="00CC19F7">
        <w:t>Noreg</w:t>
      </w:r>
      <w:proofErr w:type="spellEnd"/>
      <w:r w:rsidRPr="00CC19F7">
        <w:t xml:space="preserve"> er praktisk talt alle sikra tilgang til energi. </w:t>
      </w:r>
      <w:proofErr w:type="spellStart"/>
      <w:r w:rsidRPr="00CC19F7">
        <w:t>Eit</w:t>
      </w:r>
      <w:proofErr w:type="spellEnd"/>
      <w:r w:rsidRPr="00CC19F7">
        <w:t xml:space="preserve"> veldrive og effektivt energisystem gir god </w:t>
      </w:r>
      <w:proofErr w:type="spellStart"/>
      <w:r w:rsidRPr="00CC19F7">
        <w:t>forsyningssikkerheit</w:t>
      </w:r>
      <w:proofErr w:type="spellEnd"/>
      <w:r w:rsidRPr="00CC19F7">
        <w:t xml:space="preserve"> og bidrar til å </w:t>
      </w:r>
      <w:proofErr w:type="spellStart"/>
      <w:r w:rsidRPr="00CC19F7">
        <w:t>halde</w:t>
      </w:r>
      <w:proofErr w:type="spellEnd"/>
      <w:r w:rsidRPr="00CC19F7">
        <w:t xml:space="preserve"> kostnadene nede.</w:t>
      </w:r>
    </w:p>
    <w:p w14:paraId="4F4B56E0" w14:textId="77777777" w:rsidR="00FE02EF" w:rsidRPr="00CC19F7" w:rsidRDefault="00881E58" w:rsidP="00CC19F7">
      <w:r w:rsidRPr="00CC19F7">
        <w:t xml:space="preserve">Det norske energisystemet består av to </w:t>
      </w:r>
      <w:proofErr w:type="spellStart"/>
      <w:r w:rsidRPr="00CC19F7">
        <w:t>hovuddelar</w:t>
      </w:r>
      <w:proofErr w:type="spellEnd"/>
      <w:r w:rsidRPr="00CC19F7">
        <w:t xml:space="preserve">. Kraftproduksjonen og </w:t>
      </w:r>
      <w:proofErr w:type="spellStart"/>
      <w:r w:rsidRPr="00CC19F7">
        <w:t>tilhøyrande</w:t>
      </w:r>
      <w:proofErr w:type="spellEnd"/>
      <w:r w:rsidRPr="00CC19F7">
        <w:t xml:space="preserve"> nett dekker </w:t>
      </w:r>
      <w:proofErr w:type="spellStart"/>
      <w:r w:rsidRPr="00CC19F7">
        <w:t>innanlands</w:t>
      </w:r>
      <w:proofErr w:type="spellEnd"/>
      <w:r w:rsidRPr="00CC19F7">
        <w:t xml:space="preserve"> etterspørsel etter kraft, </w:t>
      </w:r>
      <w:proofErr w:type="spellStart"/>
      <w:r w:rsidRPr="00CC19F7">
        <w:t>medan</w:t>
      </w:r>
      <w:proofErr w:type="spellEnd"/>
      <w:r w:rsidRPr="00CC19F7">
        <w:t xml:space="preserve"> petroleumssektoren er eksportorientert og bidrar til å dekke verdas behov for energi. SSBs </w:t>
      </w:r>
      <w:proofErr w:type="spellStart"/>
      <w:r w:rsidRPr="00CC19F7">
        <w:t>førebelse</w:t>
      </w:r>
      <w:proofErr w:type="spellEnd"/>
      <w:r w:rsidRPr="00CC19F7">
        <w:t xml:space="preserve"> (juni 2023) tal for 2022 viser at det blei produsert 2510 </w:t>
      </w:r>
      <w:proofErr w:type="spellStart"/>
      <w:r w:rsidRPr="00CC19F7">
        <w:t>TWh</w:t>
      </w:r>
      <w:proofErr w:type="spellEnd"/>
      <w:r w:rsidRPr="00CC19F7">
        <w:t xml:space="preserve"> primærenergi i </w:t>
      </w:r>
      <w:proofErr w:type="spellStart"/>
      <w:r w:rsidRPr="00CC19F7">
        <w:t>Noreg</w:t>
      </w:r>
      <w:proofErr w:type="spellEnd"/>
      <w:r w:rsidRPr="00CC19F7">
        <w:t xml:space="preserve">, </w:t>
      </w:r>
      <w:proofErr w:type="spellStart"/>
      <w:r w:rsidRPr="00CC19F7">
        <w:t>medan</w:t>
      </w:r>
      <w:proofErr w:type="spellEnd"/>
      <w:r w:rsidRPr="00CC19F7">
        <w:t xml:space="preserve"> forbruket var på 218 </w:t>
      </w:r>
      <w:proofErr w:type="spellStart"/>
      <w:r w:rsidRPr="00CC19F7">
        <w:t>TWh</w:t>
      </w:r>
      <w:proofErr w:type="spellEnd"/>
      <w:r w:rsidRPr="00CC19F7">
        <w:t xml:space="preserve">. Vasskrafta står i dag for nesten 90 prosent av den norske kraftforsyninga. Totalt er om lag 98 prosent av kraftproduksjonen i </w:t>
      </w:r>
      <w:proofErr w:type="spellStart"/>
      <w:r w:rsidRPr="00CC19F7">
        <w:t>Noreg</w:t>
      </w:r>
      <w:proofErr w:type="spellEnd"/>
      <w:r w:rsidRPr="00CC19F7">
        <w:t xml:space="preserve"> fornybar. Den samla kraftproduksjonen i 2022 var ifølge NVE 146,0 </w:t>
      </w:r>
      <w:proofErr w:type="spellStart"/>
      <w:r w:rsidRPr="00CC19F7">
        <w:t>TWh</w:t>
      </w:r>
      <w:proofErr w:type="spellEnd"/>
      <w:r w:rsidRPr="00CC19F7">
        <w:t xml:space="preserve">. Nettoeksporten av energi kjem i </w:t>
      </w:r>
      <w:proofErr w:type="spellStart"/>
      <w:r w:rsidRPr="00CC19F7">
        <w:t>hovudsak</w:t>
      </w:r>
      <w:proofErr w:type="spellEnd"/>
      <w:r w:rsidRPr="00CC19F7">
        <w:t xml:space="preserve"> </w:t>
      </w:r>
      <w:proofErr w:type="spellStart"/>
      <w:r w:rsidRPr="00CC19F7">
        <w:t>frå</w:t>
      </w:r>
      <w:proofErr w:type="spellEnd"/>
      <w:r w:rsidRPr="00CC19F7">
        <w:t xml:space="preserve"> </w:t>
      </w:r>
      <w:proofErr w:type="spellStart"/>
      <w:r w:rsidRPr="00CC19F7">
        <w:t>petroleumsverksemda</w:t>
      </w:r>
      <w:proofErr w:type="spellEnd"/>
      <w:r w:rsidRPr="00CC19F7">
        <w:t xml:space="preserve">. </w:t>
      </w:r>
      <w:proofErr w:type="spellStart"/>
      <w:r w:rsidRPr="00CC19F7">
        <w:t>Noreg</w:t>
      </w:r>
      <w:proofErr w:type="spellEnd"/>
      <w:r w:rsidRPr="00CC19F7">
        <w:t xml:space="preserve"> er den største produsenten og den </w:t>
      </w:r>
      <w:proofErr w:type="spellStart"/>
      <w:r w:rsidRPr="00CC19F7">
        <w:t>einaste</w:t>
      </w:r>
      <w:proofErr w:type="spellEnd"/>
      <w:r w:rsidRPr="00CC19F7">
        <w:t xml:space="preserve"> nettoeksportøren av olje og gass i </w:t>
      </w:r>
      <w:proofErr w:type="spellStart"/>
      <w:r w:rsidRPr="00CC19F7">
        <w:t>dei</w:t>
      </w:r>
      <w:proofErr w:type="spellEnd"/>
      <w:r w:rsidRPr="00CC19F7">
        <w:t xml:space="preserve"> demokratiske </w:t>
      </w:r>
      <w:proofErr w:type="spellStart"/>
      <w:r w:rsidRPr="00CC19F7">
        <w:t>delane</w:t>
      </w:r>
      <w:proofErr w:type="spellEnd"/>
      <w:r w:rsidRPr="00CC19F7">
        <w:t xml:space="preserve"> av Europa.</w:t>
      </w:r>
    </w:p>
    <w:p w14:paraId="1850B7E7" w14:textId="77777777" w:rsidR="00FE02EF" w:rsidRPr="00CC19F7" w:rsidRDefault="00881E58" w:rsidP="00CC19F7">
      <w:pPr>
        <w:pStyle w:val="avsnitt-under-undertittel"/>
      </w:pPr>
      <w:proofErr w:type="spellStart"/>
      <w:r w:rsidRPr="00CC19F7">
        <w:t>Innanlands</w:t>
      </w:r>
      <w:proofErr w:type="spellEnd"/>
      <w:r w:rsidRPr="00CC19F7">
        <w:t xml:space="preserve"> energiforsyning</w:t>
      </w:r>
    </w:p>
    <w:p w14:paraId="6BABDB4D" w14:textId="77777777" w:rsidR="00FE02EF" w:rsidRPr="00CC19F7" w:rsidRDefault="00881E58" w:rsidP="00CC19F7">
      <w:proofErr w:type="spellStart"/>
      <w:r w:rsidRPr="00CC19F7">
        <w:t>Noreg</w:t>
      </w:r>
      <w:proofErr w:type="spellEnd"/>
      <w:r w:rsidRPr="00CC19F7">
        <w:t xml:space="preserve"> har </w:t>
      </w:r>
      <w:proofErr w:type="spellStart"/>
      <w:r w:rsidRPr="00CC19F7">
        <w:t>overskot</w:t>
      </w:r>
      <w:proofErr w:type="spellEnd"/>
      <w:r w:rsidRPr="00CC19F7">
        <w:t xml:space="preserve"> av kraft i </w:t>
      </w:r>
      <w:proofErr w:type="spellStart"/>
      <w:r w:rsidRPr="00CC19F7">
        <w:t>eit</w:t>
      </w:r>
      <w:proofErr w:type="spellEnd"/>
      <w:r w:rsidRPr="00CC19F7">
        <w:t xml:space="preserve"> normalår. I åra framover er det forventa </w:t>
      </w:r>
      <w:proofErr w:type="spellStart"/>
      <w:r w:rsidRPr="00CC19F7">
        <w:t>ein</w:t>
      </w:r>
      <w:proofErr w:type="spellEnd"/>
      <w:r w:rsidRPr="00CC19F7">
        <w:t xml:space="preserve"> </w:t>
      </w:r>
      <w:proofErr w:type="spellStart"/>
      <w:r w:rsidRPr="00CC19F7">
        <w:t>sterkare</w:t>
      </w:r>
      <w:proofErr w:type="spellEnd"/>
      <w:r w:rsidRPr="00CC19F7">
        <w:t xml:space="preserve"> vekst i kraftbehovet, i takt med ei </w:t>
      </w:r>
      <w:proofErr w:type="spellStart"/>
      <w:r w:rsidRPr="00CC19F7">
        <w:t>aukande</w:t>
      </w:r>
      <w:proofErr w:type="spellEnd"/>
      <w:r w:rsidRPr="00CC19F7">
        <w:t xml:space="preserve"> elektrifisering av samfunnet, ny </w:t>
      </w:r>
      <w:proofErr w:type="spellStart"/>
      <w:r w:rsidRPr="00CC19F7">
        <w:t>næringsverksemd</w:t>
      </w:r>
      <w:proofErr w:type="spellEnd"/>
      <w:r w:rsidRPr="00CC19F7">
        <w:t xml:space="preserve"> med stort kraftbehov og </w:t>
      </w:r>
      <w:proofErr w:type="spellStart"/>
      <w:r w:rsidRPr="00CC19F7">
        <w:t>vidare</w:t>
      </w:r>
      <w:proofErr w:type="spellEnd"/>
      <w:r w:rsidRPr="00CC19F7">
        <w:t xml:space="preserve"> omlegging </w:t>
      </w:r>
      <w:proofErr w:type="spellStart"/>
      <w:r w:rsidRPr="00CC19F7">
        <w:t>frå</w:t>
      </w:r>
      <w:proofErr w:type="spellEnd"/>
      <w:r w:rsidRPr="00CC19F7">
        <w:t xml:space="preserve"> fossil energi til fornybar kraft. I NVEs rapport om den kortsiktige kraftbalansen i </w:t>
      </w:r>
      <w:proofErr w:type="spellStart"/>
      <w:r w:rsidRPr="00CC19F7">
        <w:t>Noreg</w:t>
      </w:r>
      <w:proofErr w:type="spellEnd"/>
      <w:r w:rsidRPr="00CC19F7">
        <w:t xml:space="preserve"> fram mot 2028 som blei lagd fram 14. august 2023, er </w:t>
      </w:r>
      <w:proofErr w:type="spellStart"/>
      <w:r w:rsidRPr="00CC19F7">
        <w:t>hovudkonklusjonen</w:t>
      </w:r>
      <w:proofErr w:type="spellEnd"/>
      <w:r w:rsidRPr="00CC19F7">
        <w:t xml:space="preserve"> at </w:t>
      </w:r>
      <w:proofErr w:type="spellStart"/>
      <w:r w:rsidRPr="00CC19F7">
        <w:t>kraftoverskotet</w:t>
      </w:r>
      <w:proofErr w:type="spellEnd"/>
      <w:r w:rsidRPr="00CC19F7">
        <w:t xml:space="preserve"> i </w:t>
      </w:r>
      <w:proofErr w:type="spellStart"/>
      <w:r w:rsidRPr="00CC19F7">
        <w:t>Noreg</w:t>
      </w:r>
      <w:proofErr w:type="spellEnd"/>
      <w:r w:rsidRPr="00CC19F7">
        <w:t xml:space="preserve"> held fram </w:t>
      </w:r>
      <w:proofErr w:type="spellStart"/>
      <w:r w:rsidRPr="00CC19F7">
        <w:t>dei</w:t>
      </w:r>
      <w:proofErr w:type="spellEnd"/>
      <w:r w:rsidRPr="00CC19F7">
        <w:t xml:space="preserve"> neste fem åra. NVE </w:t>
      </w:r>
      <w:proofErr w:type="spellStart"/>
      <w:r w:rsidRPr="00CC19F7">
        <w:t>peikar</w:t>
      </w:r>
      <w:proofErr w:type="spellEnd"/>
      <w:r w:rsidRPr="00CC19F7">
        <w:t xml:space="preserve"> likevel på at sterk vekst i forbruket </w:t>
      </w:r>
      <w:proofErr w:type="spellStart"/>
      <w:r w:rsidRPr="00CC19F7">
        <w:t>saman</w:t>
      </w:r>
      <w:proofErr w:type="spellEnd"/>
      <w:r w:rsidRPr="00CC19F7">
        <w:t xml:space="preserve"> med svak vekst i produksjonen vil redusere </w:t>
      </w:r>
      <w:proofErr w:type="spellStart"/>
      <w:r w:rsidRPr="00CC19F7">
        <w:t>kraftoverskotet</w:t>
      </w:r>
      <w:proofErr w:type="spellEnd"/>
      <w:r w:rsidRPr="00CC19F7">
        <w:t xml:space="preserve"> fram mot 2028.</w:t>
      </w:r>
    </w:p>
    <w:p w14:paraId="3B0916A1" w14:textId="77777777" w:rsidR="00FE02EF" w:rsidRPr="00CC19F7" w:rsidRDefault="00881E58" w:rsidP="00CC19F7">
      <w:r w:rsidRPr="00CC19F7">
        <w:t xml:space="preserve">Energikommisjonen overleverte sin rapport, NOU 2023: 3 </w:t>
      </w:r>
      <w:r w:rsidRPr="00CC19F7">
        <w:rPr>
          <w:rStyle w:val="kursiv"/>
        </w:rPr>
        <w:t>Mer av alt – raskere</w:t>
      </w:r>
      <w:r w:rsidRPr="00CC19F7">
        <w:t xml:space="preserve">, i februar 2023. Kommisjonen blei </w:t>
      </w:r>
      <w:proofErr w:type="spellStart"/>
      <w:r w:rsidRPr="00CC19F7">
        <w:t>utnemnd</w:t>
      </w:r>
      <w:proofErr w:type="spellEnd"/>
      <w:r w:rsidRPr="00CC19F7">
        <w:t xml:space="preserve"> i 2022 for å kartlegge energibehova og foreslå </w:t>
      </w:r>
      <w:proofErr w:type="spellStart"/>
      <w:r w:rsidRPr="00CC19F7">
        <w:t>auka</w:t>
      </w:r>
      <w:proofErr w:type="spellEnd"/>
      <w:r w:rsidRPr="00CC19F7">
        <w:t xml:space="preserve"> energiproduksjon, med mål om at </w:t>
      </w:r>
      <w:proofErr w:type="spellStart"/>
      <w:r w:rsidRPr="00CC19F7">
        <w:t>Noreg</w:t>
      </w:r>
      <w:proofErr w:type="spellEnd"/>
      <w:r w:rsidRPr="00CC19F7">
        <w:t xml:space="preserve"> </w:t>
      </w:r>
      <w:proofErr w:type="spellStart"/>
      <w:r w:rsidRPr="00CC19F7">
        <w:t>framleis</w:t>
      </w:r>
      <w:proofErr w:type="spellEnd"/>
      <w:r w:rsidRPr="00CC19F7">
        <w:t xml:space="preserve"> skal ha </w:t>
      </w:r>
      <w:proofErr w:type="spellStart"/>
      <w:r w:rsidRPr="00CC19F7">
        <w:t>overskotsproduksjon</w:t>
      </w:r>
      <w:proofErr w:type="spellEnd"/>
      <w:r w:rsidRPr="00CC19F7">
        <w:t xml:space="preserve"> av kraft, og at norske </w:t>
      </w:r>
      <w:proofErr w:type="spellStart"/>
      <w:r w:rsidRPr="00CC19F7">
        <w:t>straumkundar</w:t>
      </w:r>
      <w:proofErr w:type="spellEnd"/>
      <w:r w:rsidRPr="00CC19F7">
        <w:t xml:space="preserve"> framleis skal ha tilgang på </w:t>
      </w:r>
      <w:proofErr w:type="spellStart"/>
      <w:r w:rsidRPr="00CC19F7">
        <w:t>rimeleg</w:t>
      </w:r>
      <w:proofErr w:type="spellEnd"/>
      <w:r w:rsidRPr="00CC19F7">
        <w:t xml:space="preserve"> fornybar kraft. Rapporten </w:t>
      </w:r>
      <w:proofErr w:type="spellStart"/>
      <w:r w:rsidRPr="00CC19F7">
        <w:t>frå</w:t>
      </w:r>
      <w:proofErr w:type="spellEnd"/>
      <w:r w:rsidRPr="00CC19F7">
        <w:t xml:space="preserve"> Energikommisjonen var på </w:t>
      </w:r>
      <w:proofErr w:type="spellStart"/>
      <w:r w:rsidRPr="00CC19F7">
        <w:t>høyring</w:t>
      </w:r>
      <w:proofErr w:type="spellEnd"/>
      <w:r w:rsidRPr="00CC19F7">
        <w:t xml:space="preserve"> fram til mai 2023. Regjeringa har </w:t>
      </w:r>
      <w:proofErr w:type="spellStart"/>
      <w:r w:rsidRPr="00CC19F7">
        <w:t>allereie</w:t>
      </w:r>
      <w:proofErr w:type="spellEnd"/>
      <w:r w:rsidRPr="00CC19F7">
        <w:t xml:space="preserve"> gjennomført </w:t>
      </w:r>
      <w:proofErr w:type="spellStart"/>
      <w:r w:rsidRPr="00CC19F7">
        <w:t>fleire</w:t>
      </w:r>
      <w:proofErr w:type="spellEnd"/>
      <w:r w:rsidRPr="00CC19F7">
        <w:t xml:space="preserve"> av tiltaka Energikommisjonen foreslår. Den </w:t>
      </w:r>
      <w:proofErr w:type="spellStart"/>
      <w:r w:rsidRPr="00CC19F7">
        <w:t>vidare</w:t>
      </w:r>
      <w:proofErr w:type="spellEnd"/>
      <w:r w:rsidRPr="00CC19F7">
        <w:t xml:space="preserve"> oppfølginga av utgreiinga </w:t>
      </w:r>
      <w:proofErr w:type="spellStart"/>
      <w:r w:rsidRPr="00CC19F7">
        <w:t>frå</w:t>
      </w:r>
      <w:proofErr w:type="spellEnd"/>
      <w:r w:rsidRPr="00CC19F7">
        <w:t xml:space="preserve"> Energikommisjonen vil bli sett i lys av </w:t>
      </w:r>
      <w:proofErr w:type="spellStart"/>
      <w:r w:rsidRPr="00CC19F7">
        <w:t>høyringsinnspela</w:t>
      </w:r>
      <w:proofErr w:type="spellEnd"/>
      <w:r w:rsidRPr="00CC19F7">
        <w:t>.</w:t>
      </w:r>
    </w:p>
    <w:p w14:paraId="66B5E97D" w14:textId="77777777" w:rsidR="00FE02EF" w:rsidRPr="00CC19F7" w:rsidRDefault="00881E58" w:rsidP="00CC19F7">
      <w:r w:rsidRPr="00CC19F7">
        <w:t xml:space="preserve">Regjeringa har sett ned </w:t>
      </w:r>
      <w:proofErr w:type="spellStart"/>
      <w:r w:rsidRPr="00CC19F7">
        <w:t>eit</w:t>
      </w:r>
      <w:proofErr w:type="spellEnd"/>
      <w:r w:rsidRPr="00CC19F7">
        <w:t xml:space="preserve"> </w:t>
      </w:r>
      <w:proofErr w:type="spellStart"/>
      <w:r w:rsidRPr="00CC19F7">
        <w:t>ekspertutval</w:t>
      </w:r>
      <w:proofErr w:type="spellEnd"/>
      <w:r w:rsidRPr="00CC19F7">
        <w:t xml:space="preserve"> som skal vurdere dagens system for å fastsette straumprisen. </w:t>
      </w:r>
      <w:proofErr w:type="spellStart"/>
      <w:r w:rsidRPr="00CC19F7">
        <w:t>Utvalet</w:t>
      </w:r>
      <w:proofErr w:type="spellEnd"/>
      <w:r w:rsidRPr="00CC19F7">
        <w:t xml:space="preserve"> skal vurdere korleis tiltak på kort og lang sikt kan sikre </w:t>
      </w:r>
      <w:proofErr w:type="spellStart"/>
      <w:r w:rsidRPr="00CC19F7">
        <w:t>straumbrukarar</w:t>
      </w:r>
      <w:proofErr w:type="spellEnd"/>
      <w:r w:rsidRPr="00CC19F7">
        <w:t xml:space="preserve"> </w:t>
      </w:r>
      <w:proofErr w:type="spellStart"/>
      <w:r w:rsidRPr="00CC19F7">
        <w:t>lågare</w:t>
      </w:r>
      <w:proofErr w:type="spellEnd"/>
      <w:r w:rsidRPr="00CC19F7">
        <w:t xml:space="preserve"> og </w:t>
      </w:r>
      <w:proofErr w:type="spellStart"/>
      <w:r w:rsidRPr="00CC19F7">
        <w:t>meir</w:t>
      </w:r>
      <w:proofErr w:type="spellEnd"/>
      <w:r w:rsidRPr="00CC19F7">
        <w:t xml:space="preserve"> </w:t>
      </w:r>
      <w:proofErr w:type="spellStart"/>
      <w:r w:rsidRPr="00CC19F7">
        <w:t>føreseielege</w:t>
      </w:r>
      <w:proofErr w:type="spellEnd"/>
      <w:r w:rsidRPr="00CC19F7">
        <w:t xml:space="preserve"> </w:t>
      </w:r>
      <w:proofErr w:type="spellStart"/>
      <w:r w:rsidRPr="00CC19F7">
        <w:t>prisar</w:t>
      </w:r>
      <w:proofErr w:type="spellEnd"/>
      <w:r w:rsidRPr="00CC19F7">
        <w:t xml:space="preserve">, </w:t>
      </w:r>
      <w:proofErr w:type="spellStart"/>
      <w:r w:rsidRPr="00CC19F7">
        <w:t>innanfor</w:t>
      </w:r>
      <w:proofErr w:type="spellEnd"/>
      <w:r w:rsidRPr="00CC19F7">
        <w:t xml:space="preserve"> handlingsrommet i EØS-avtalen. </w:t>
      </w:r>
      <w:proofErr w:type="spellStart"/>
      <w:r w:rsidRPr="00CC19F7">
        <w:t>Utvalet</w:t>
      </w:r>
      <w:proofErr w:type="spellEnd"/>
      <w:r w:rsidRPr="00CC19F7">
        <w:t xml:space="preserve"> har frist til 15. oktober 2023 med å levere rapport til Olje- og energidepartementet.</w:t>
      </w:r>
    </w:p>
    <w:p w14:paraId="6BCB59CB" w14:textId="77777777" w:rsidR="00FE02EF" w:rsidRPr="00CC19F7" w:rsidRDefault="00881E58" w:rsidP="00CC19F7">
      <w:r w:rsidRPr="00CC19F7">
        <w:t xml:space="preserve">Også hydrogen kan få ei viss rolle å </w:t>
      </w:r>
      <w:proofErr w:type="spellStart"/>
      <w:r w:rsidRPr="00CC19F7">
        <w:t>spele</w:t>
      </w:r>
      <w:proofErr w:type="spellEnd"/>
      <w:r w:rsidRPr="00CC19F7">
        <w:t xml:space="preserve"> i energisystemet mot 2030, </w:t>
      </w:r>
      <w:proofErr w:type="spellStart"/>
      <w:r w:rsidRPr="00CC19F7">
        <w:t>særleg</w:t>
      </w:r>
      <w:proofErr w:type="spellEnd"/>
      <w:r w:rsidRPr="00CC19F7">
        <w:t xml:space="preserve"> som drivstoff i maritim sektor og i industrien. Men ulike </w:t>
      </w:r>
      <w:proofErr w:type="spellStart"/>
      <w:r w:rsidRPr="00CC19F7">
        <w:t>analysar</w:t>
      </w:r>
      <w:proofErr w:type="spellEnd"/>
      <w:r w:rsidRPr="00CC19F7">
        <w:t xml:space="preserve"> viser at det er usikkert om og når </w:t>
      </w:r>
      <w:proofErr w:type="spellStart"/>
      <w:r w:rsidRPr="00CC19F7">
        <w:t>ein</w:t>
      </w:r>
      <w:proofErr w:type="spellEnd"/>
      <w:r w:rsidRPr="00CC19F7">
        <w:t xml:space="preserve"> </w:t>
      </w:r>
      <w:proofErr w:type="spellStart"/>
      <w:r w:rsidRPr="00CC19F7">
        <w:t>hydrogenmarknad</w:t>
      </w:r>
      <w:proofErr w:type="spellEnd"/>
      <w:r w:rsidRPr="00CC19F7">
        <w:t xml:space="preserve"> vil komme opp i </w:t>
      </w:r>
      <w:proofErr w:type="spellStart"/>
      <w:r w:rsidRPr="00CC19F7">
        <w:t>ein</w:t>
      </w:r>
      <w:proofErr w:type="spellEnd"/>
      <w:r w:rsidRPr="00CC19F7">
        <w:t xml:space="preserve"> viss størrelse. Det er også </w:t>
      </w:r>
      <w:proofErr w:type="gramStart"/>
      <w:r w:rsidRPr="00CC19F7">
        <w:t xml:space="preserve">uvisst </w:t>
      </w:r>
      <w:proofErr w:type="spellStart"/>
      <w:r w:rsidRPr="00CC19F7">
        <w:t>kva</w:t>
      </w:r>
      <w:proofErr w:type="spellEnd"/>
      <w:proofErr w:type="gramEnd"/>
      <w:r w:rsidRPr="00CC19F7">
        <w:t xml:space="preserve"> segment hydrogen eventuelt vil vinne fram i, og dermed korleis hydrogen produsert med låge eller ingen utslepp kan bidra til å nå </w:t>
      </w:r>
      <w:proofErr w:type="spellStart"/>
      <w:r w:rsidRPr="00CC19F7">
        <w:t>berekraftsmålet</w:t>
      </w:r>
      <w:proofErr w:type="spellEnd"/>
      <w:r w:rsidRPr="00CC19F7">
        <w:t xml:space="preserve">. Regjeringa har lagt fram sin hydrogenpolitikk i Meld. St. 11 (2021–2022) </w:t>
      </w:r>
      <w:r w:rsidRPr="00CC19F7">
        <w:rPr>
          <w:rStyle w:val="kursiv"/>
        </w:rPr>
        <w:t>Tilleggsmelding til Meld. St. 36 (2020–2021)</w:t>
      </w:r>
      <w:r w:rsidRPr="00CC19F7">
        <w:t xml:space="preserve"> og i vegkartet for grønt industriløft.</w:t>
      </w:r>
    </w:p>
    <w:p w14:paraId="7340A479" w14:textId="77777777" w:rsidR="00FE02EF" w:rsidRPr="00CC19F7" w:rsidRDefault="00881E58" w:rsidP="00CC19F7">
      <w:pPr>
        <w:pStyle w:val="avsnitt-under-undertittel"/>
      </w:pPr>
      <w:r w:rsidRPr="00CC19F7">
        <w:t>Petroleumssektorens globale verknad</w:t>
      </w:r>
    </w:p>
    <w:p w14:paraId="11F2AD2C" w14:textId="77777777" w:rsidR="00FE02EF" w:rsidRPr="00CC19F7" w:rsidRDefault="00881E58" w:rsidP="00CC19F7">
      <w:r w:rsidRPr="00CC19F7">
        <w:t xml:space="preserve">Petroleumssektoren bidrar til å dekke det globale behovet for stabile </w:t>
      </w:r>
      <w:proofErr w:type="spellStart"/>
      <w:r w:rsidRPr="00CC19F7">
        <w:t>energileveransar</w:t>
      </w:r>
      <w:proofErr w:type="spellEnd"/>
      <w:r w:rsidRPr="00CC19F7">
        <w:t xml:space="preserve">, deriblant tilgangen på </w:t>
      </w:r>
      <w:proofErr w:type="spellStart"/>
      <w:r w:rsidRPr="00CC19F7">
        <w:t>føreseieleg</w:t>
      </w:r>
      <w:proofErr w:type="spellEnd"/>
      <w:r w:rsidRPr="00CC19F7">
        <w:t xml:space="preserve"> kraftproduksjon. Norsk </w:t>
      </w:r>
      <w:proofErr w:type="spellStart"/>
      <w:r w:rsidRPr="00CC19F7">
        <w:t>petroleumsverksemd</w:t>
      </w:r>
      <w:proofErr w:type="spellEnd"/>
      <w:r w:rsidRPr="00CC19F7">
        <w:t xml:space="preserve"> skjer med </w:t>
      </w:r>
      <w:proofErr w:type="spellStart"/>
      <w:r w:rsidRPr="00CC19F7">
        <w:t>vesentleg</w:t>
      </w:r>
      <w:proofErr w:type="spellEnd"/>
      <w:r w:rsidRPr="00CC19F7">
        <w:t xml:space="preserve"> </w:t>
      </w:r>
      <w:proofErr w:type="spellStart"/>
      <w:r w:rsidRPr="00CC19F7">
        <w:t>lågare</w:t>
      </w:r>
      <w:proofErr w:type="spellEnd"/>
      <w:r w:rsidRPr="00CC19F7">
        <w:t xml:space="preserve"> klimagassutslepp per produsert eining enn gjennomsnittet for </w:t>
      </w:r>
      <w:proofErr w:type="spellStart"/>
      <w:r w:rsidRPr="00CC19F7">
        <w:t>oljeproduserande</w:t>
      </w:r>
      <w:proofErr w:type="spellEnd"/>
      <w:r w:rsidRPr="00CC19F7">
        <w:t xml:space="preserve"> land, og utsleppa er </w:t>
      </w:r>
      <w:proofErr w:type="spellStart"/>
      <w:r w:rsidRPr="00CC19F7">
        <w:t>vidare</w:t>
      </w:r>
      <w:proofErr w:type="spellEnd"/>
      <w:r w:rsidRPr="00CC19F7">
        <w:t xml:space="preserve"> omfatta av det europeiske kvotesystemet.</w:t>
      </w:r>
    </w:p>
    <w:p w14:paraId="25EA242A" w14:textId="77777777" w:rsidR="00FE02EF" w:rsidRPr="00CC19F7" w:rsidRDefault="00881E58" w:rsidP="00CC19F7">
      <w:proofErr w:type="spellStart"/>
      <w:r w:rsidRPr="00CC19F7">
        <w:t>Noreg</w:t>
      </w:r>
      <w:proofErr w:type="spellEnd"/>
      <w:r w:rsidRPr="00CC19F7">
        <w:t xml:space="preserve"> er </w:t>
      </w:r>
      <w:proofErr w:type="spellStart"/>
      <w:r w:rsidRPr="00CC19F7">
        <w:t>ein</w:t>
      </w:r>
      <w:proofErr w:type="spellEnd"/>
      <w:r w:rsidRPr="00CC19F7">
        <w:t xml:space="preserve"> energieksportør som bidrar til å dekke det </w:t>
      </w:r>
      <w:proofErr w:type="spellStart"/>
      <w:r w:rsidRPr="00CC19F7">
        <w:t>grunnleggande</w:t>
      </w:r>
      <w:proofErr w:type="spellEnd"/>
      <w:r w:rsidRPr="00CC19F7">
        <w:t xml:space="preserve"> behovet for energi i verda deriblant elektrisitetsgenerering, </w:t>
      </w:r>
      <w:proofErr w:type="spellStart"/>
      <w:r w:rsidRPr="00CC19F7">
        <w:t>ikkje</w:t>
      </w:r>
      <w:proofErr w:type="spellEnd"/>
      <w:r w:rsidRPr="00CC19F7">
        <w:t xml:space="preserve"> minst i Europa. Produksjonen </w:t>
      </w:r>
      <w:proofErr w:type="spellStart"/>
      <w:r w:rsidRPr="00CC19F7">
        <w:t>frå</w:t>
      </w:r>
      <w:proofErr w:type="spellEnd"/>
      <w:r w:rsidRPr="00CC19F7">
        <w:t xml:space="preserve"> norske olje- og gassfelt er derfor viktig for </w:t>
      </w:r>
      <w:proofErr w:type="spellStart"/>
      <w:r w:rsidRPr="00CC19F7">
        <w:t>energisikkerheita</w:t>
      </w:r>
      <w:proofErr w:type="spellEnd"/>
      <w:r w:rsidRPr="00CC19F7">
        <w:t xml:space="preserve"> og stabiliteten hos våre allierte. Som følge av stans i </w:t>
      </w:r>
      <w:proofErr w:type="spellStart"/>
      <w:r w:rsidRPr="00CC19F7">
        <w:t>leveransar</w:t>
      </w:r>
      <w:proofErr w:type="spellEnd"/>
      <w:r w:rsidRPr="00CC19F7">
        <w:t xml:space="preserve"> </w:t>
      </w:r>
      <w:proofErr w:type="spellStart"/>
      <w:r w:rsidRPr="00CC19F7">
        <w:t>frå</w:t>
      </w:r>
      <w:proofErr w:type="spellEnd"/>
      <w:r w:rsidRPr="00CC19F7">
        <w:t xml:space="preserve"> russiske </w:t>
      </w:r>
      <w:proofErr w:type="spellStart"/>
      <w:r w:rsidRPr="00CC19F7">
        <w:t>gassrøyrleidningar</w:t>
      </w:r>
      <w:proofErr w:type="spellEnd"/>
      <w:r w:rsidRPr="00CC19F7">
        <w:t xml:space="preserve"> i 2022 blei felta på norsk kontinentalsokkel den største </w:t>
      </w:r>
      <w:proofErr w:type="spellStart"/>
      <w:r w:rsidRPr="00CC19F7">
        <w:t>enkeltkjelda</w:t>
      </w:r>
      <w:proofErr w:type="spellEnd"/>
      <w:r w:rsidRPr="00CC19F7">
        <w:t xml:space="preserve"> for gass til Europa. </w:t>
      </w:r>
      <w:proofErr w:type="spellStart"/>
      <w:r w:rsidRPr="00CC19F7">
        <w:t>Noreg</w:t>
      </w:r>
      <w:proofErr w:type="spellEnd"/>
      <w:r w:rsidRPr="00CC19F7">
        <w:t xml:space="preserve"> produserte og </w:t>
      </w:r>
      <w:proofErr w:type="spellStart"/>
      <w:r w:rsidRPr="00CC19F7">
        <w:t>selde</w:t>
      </w:r>
      <w:proofErr w:type="spellEnd"/>
      <w:r w:rsidRPr="00CC19F7">
        <w:t xml:space="preserve"> gass </w:t>
      </w:r>
      <w:proofErr w:type="spellStart"/>
      <w:r w:rsidRPr="00CC19F7">
        <w:t>tilsvarande</w:t>
      </w:r>
      <w:proofErr w:type="spellEnd"/>
      <w:r w:rsidRPr="00CC19F7">
        <w:t xml:space="preserve"> om lag 1360 </w:t>
      </w:r>
      <w:proofErr w:type="spellStart"/>
      <w:r w:rsidRPr="00CC19F7">
        <w:t>TWh</w:t>
      </w:r>
      <w:proofErr w:type="spellEnd"/>
      <w:r w:rsidRPr="00CC19F7">
        <w:t xml:space="preserve"> energi i 2022, </w:t>
      </w:r>
      <w:proofErr w:type="spellStart"/>
      <w:r w:rsidRPr="00CC19F7">
        <w:t>ein</w:t>
      </w:r>
      <w:proofErr w:type="spellEnd"/>
      <w:r w:rsidRPr="00CC19F7">
        <w:t xml:space="preserve"> </w:t>
      </w:r>
      <w:proofErr w:type="spellStart"/>
      <w:r w:rsidRPr="00CC19F7">
        <w:t>auke</w:t>
      </w:r>
      <w:proofErr w:type="spellEnd"/>
      <w:r w:rsidRPr="00CC19F7">
        <w:t xml:space="preserve"> på rundt 8 prosent </w:t>
      </w:r>
      <w:proofErr w:type="spellStart"/>
      <w:r w:rsidRPr="00CC19F7">
        <w:t>frå</w:t>
      </w:r>
      <w:proofErr w:type="spellEnd"/>
      <w:r w:rsidRPr="00CC19F7">
        <w:t xml:space="preserve"> 2021. Dei norske </w:t>
      </w:r>
      <w:proofErr w:type="spellStart"/>
      <w:r w:rsidRPr="00CC19F7">
        <w:t>gassleveransane</w:t>
      </w:r>
      <w:proofErr w:type="spellEnd"/>
      <w:r w:rsidRPr="00CC19F7">
        <w:t xml:space="preserve"> var </w:t>
      </w:r>
      <w:proofErr w:type="spellStart"/>
      <w:r w:rsidRPr="00CC19F7">
        <w:t>avgjerande</w:t>
      </w:r>
      <w:proofErr w:type="spellEnd"/>
      <w:r w:rsidRPr="00CC19F7">
        <w:t xml:space="preserve"> for å unngå kollaps i energiforsyninga til Europa som følge av Russlands angrep og </w:t>
      </w:r>
      <w:proofErr w:type="spellStart"/>
      <w:r w:rsidRPr="00CC19F7">
        <w:t>etterfølgande</w:t>
      </w:r>
      <w:proofErr w:type="spellEnd"/>
      <w:r w:rsidRPr="00CC19F7">
        <w:t xml:space="preserve"> krig i Ukraina. </w:t>
      </w:r>
      <w:proofErr w:type="spellStart"/>
      <w:r w:rsidRPr="00CC19F7">
        <w:t>Utan</w:t>
      </w:r>
      <w:proofErr w:type="spellEnd"/>
      <w:r w:rsidRPr="00CC19F7">
        <w:t xml:space="preserve"> </w:t>
      </w:r>
      <w:proofErr w:type="spellStart"/>
      <w:r w:rsidRPr="00CC19F7">
        <w:t>auken</w:t>
      </w:r>
      <w:proofErr w:type="spellEnd"/>
      <w:r w:rsidRPr="00CC19F7">
        <w:t xml:space="preserve"> i den norske produksjonen ville Europa stått overfor ei enda større krise, med enda </w:t>
      </w:r>
      <w:proofErr w:type="spellStart"/>
      <w:r w:rsidRPr="00CC19F7">
        <w:t>høgare</w:t>
      </w:r>
      <w:proofErr w:type="spellEnd"/>
      <w:r w:rsidRPr="00CC19F7">
        <w:t xml:space="preserve"> </w:t>
      </w:r>
      <w:proofErr w:type="spellStart"/>
      <w:r w:rsidRPr="00CC19F7">
        <w:t>energiprisar</w:t>
      </w:r>
      <w:proofErr w:type="spellEnd"/>
      <w:r w:rsidRPr="00CC19F7">
        <w:t xml:space="preserve"> og </w:t>
      </w:r>
      <w:proofErr w:type="spellStart"/>
      <w:r w:rsidRPr="00CC19F7">
        <w:t>moglege</w:t>
      </w:r>
      <w:proofErr w:type="spellEnd"/>
      <w:r w:rsidRPr="00CC19F7">
        <w:t xml:space="preserve"> sosiale følger av dette.</w:t>
      </w:r>
    </w:p>
    <w:p w14:paraId="227A150F" w14:textId="77777777" w:rsidR="00FE02EF" w:rsidRPr="00CC19F7" w:rsidRDefault="00881E58" w:rsidP="00CC19F7">
      <w:r w:rsidRPr="00CC19F7">
        <w:t xml:space="preserve">Dei høge </w:t>
      </w:r>
      <w:proofErr w:type="spellStart"/>
      <w:r w:rsidRPr="00CC19F7">
        <w:t>gassprisane</w:t>
      </w:r>
      <w:proofErr w:type="spellEnd"/>
      <w:r w:rsidRPr="00CC19F7">
        <w:t xml:space="preserve"> i Europa i fjor vinter gjorde at også Europa </w:t>
      </w:r>
      <w:proofErr w:type="spellStart"/>
      <w:r w:rsidRPr="00CC19F7">
        <w:t>tiltrekte</w:t>
      </w:r>
      <w:proofErr w:type="spellEnd"/>
      <w:r w:rsidRPr="00CC19F7">
        <w:t xml:space="preserve"> seg LNG på kostnad av andre </w:t>
      </w:r>
      <w:proofErr w:type="spellStart"/>
      <w:r w:rsidRPr="00CC19F7">
        <w:t>marknader</w:t>
      </w:r>
      <w:proofErr w:type="spellEnd"/>
      <w:r w:rsidRPr="00CC19F7">
        <w:t xml:space="preserve">. Dei </w:t>
      </w:r>
      <w:proofErr w:type="spellStart"/>
      <w:r w:rsidRPr="00CC19F7">
        <w:t>fattigaste</w:t>
      </w:r>
      <w:proofErr w:type="spellEnd"/>
      <w:r w:rsidRPr="00CC19F7">
        <w:t xml:space="preserve"> og mest sårbare i verda blei spesielt hardt ramma, og ifølge IEAs World Energy Outlook 2022 </w:t>
      </w:r>
      <w:proofErr w:type="spellStart"/>
      <w:r w:rsidRPr="00CC19F7">
        <w:t>auka</w:t>
      </w:r>
      <w:proofErr w:type="spellEnd"/>
      <w:r w:rsidRPr="00CC19F7">
        <w:t xml:space="preserve"> </w:t>
      </w:r>
      <w:proofErr w:type="spellStart"/>
      <w:r w:rsidRPr="00CC19F7">
        <w:t>talet</w:t>
      </w:r>
      <w:proofErr w:type="spellEnd"/>
      <w:r w:rsidRPr="00CC19F7">
        <w:t xml:space="preserve"> på menneske </w:t>
      </w:r>
      <w:proofErr w:type="spellStart"/>
      <w:r w:rsidRPr="00CC19F7">
        <w:t>utan</w:t>
      </w:r>
      <w:proofErr w:type="spellEnd"/>
      <w:r w:rsidRPr="00CC19F7">
        <w:t xml:space="preserve"> tilgang til moderne energi. Mellom anna </w:t>
      </w:r>
      <w:proofErr w:type="spellStart"/>
      <w:r w:rsidRPr="00CC19F7">
        <w:t>fekk</w:t>
      </w:r>
      <w:proofErr w:type="spellEnd"/>
      <w:r w:rsidRPr="00CC19F7">
        <w:t xml:space="preserve"> land som Pakistan og Bangladesh problem med kraftforsyninga. Dei høge </w:t>
      </w:r>
      <w:proofErr w:type="spellStart"/>
      <w:r w:rsidRPr="00CC19F7">
        <w:t>gassprisane</w:t>
      </w:r>
      <w:proofErr w:type="spellEnd"/>
      <w:r w:rsidRPr="00CC19F7">
        <w:t xml:space="preserve">, </w:t>
      </w:r>
      <w:proofErr w:type="spellStart"/>
      <w:r w:rsidRPr="00CC19F7">
        <w:t>drivne</w:t>
      </w:r>
      <w:proofErr w:type="spellEnd"/>
      <w:r w:rsidRPr="00CC19F7">
        <w:t xml:space="preserve"> av </w:t>
      </w:r>
      <w:proofErr w:type="spellStart"/>
      <w:r w:rsidRPr="00CC19F7">
        <w:t>ein</w:t>
      </w:r>
      <w:proofErr w:type="spellEnd"/>
      <w:r w:rsidRPr="00CC19F7">
        <w:t xml:space="preserve"> enorm </w:t>
      </w:r>
      <w:proofErr w:type="spellStart"/>
      <w:r w:rsidRPr="00CC19F7">
        <w:t>auke</w:t>
      </w:r>
      <w:proofErr w:type="spellEnd"/>
      <w:r w:rsidRPr="00CC19F7">
        <w:t xml:space="preserve"> i etterspørsel etter LNG i Europa, var </w:t>
      </w:r>
      <w:proofErr w:type="spellStart"/>
      <w:r w:rsidRPr="00CC19F7">
        <w:t>hovudårsaka</w:t>
      </w:r>
      <w:proofErr w:type="spellEnd"/>
      <w:r w:rsidRPr="00CC19F7">
        <w:t xml:space="preserve"> til at mange </w:t>
      </w:r>
      <w:proofErr w:type="spellStart"/>
      <w:r w:rsidRPr="00CC19F7">
        <w:t>regionar</w:t>
      </w:r>
      <w:proofErr w:type="spellEnd"/>
      <w:r w:rsidRPr="00CC19F7">
        <w:t xml:space="preserve"> måtte skifte </w:t>
      </w:r>
      <w:proofErr w:type="spellStart"/>
      <w:r w:rsidRPr="00CC19F7">
        <w:t>frå</w:t>
      </w:r>
      <w:proofErr w:type="spellEnd"/>
      <w:r w:rsidRPr="00CC19F7">
        <w:t xml:space="preserve"> gass til kol for å sikre kraftforsyninga. Global kolkraftproduksjon steig til det </w:t>
      </w:r>
      <w:proofErr w:type="spellStart"/>
      <w:r w:rsidRPr="00CC19F7">
        <w:t>høgaste</w:t>
      </w:r>
      <w:proofErr w:type="spellEnd"/>
      <w:r w:rsidRPr="00CC19F7">
        <w:t xml:space="preserve"> nivået </w:t>
      </w:r>
      <w:proofErr w:type="spellStart"/>
      <w:r w:rsidRPr="00CC19F7">
        <w:t>nokosinne</w:t>
      </w:r>
      <w:proofErr w:type="spellEnd"/>
      <w:r w:rsidRPr="00CC19F7">
        <w:t xml:space="preserve"> og dekte </w:t>
      </w:r>
      <w:proofErr w:type="spellStart"/>
      <w:r w:rsidRPr="00CC19F7">
        <w:t>meir</w:t>
      </w:r>
      <w:proofErr w:type="spellEnd"/>
      <w:r w:rsidRPr="00CC19F7">
        <w:t xml:space="preserve"> enn </w:t>
      </w:r>
      <w:proofErr w:type="spellStart"/>
      <w:r w:rsidRPr="00CC19F7">
        <w:t>ein</w:t>
      </w:r>
      <w:proofErr w:type="spellEnd"/>
      <w:r w:rsidRPr="00CC19F7">
        <w:t xml:space="preserve"> tredel av den globale kraftetterspørselen i 2022.</w:t>
      </w:r>
    </w:p>
    <w:p w14:paraId="4086A3F6" w14:textId="77777777" w:rsidR="00FE02EF" w:rsidRPr="00CC19F7" w:rsidRDefault="00881E58" w:rsidP="00CC19F7">
      <w:r w:rsidRPr="00CC19F7">
        <w:t xml:space="preserve">Dei </w:t>
      </w:r>
      <w:proofErr w:type="spellStart"/>
      <w:r w:rsidRPr="00CC19F7">
        <w:t>seinare</w:t>
      </w:r>
      <w:proofErr w:type="spellEnd"/>
      <w:r w:rsidRPr="00CC19F7">
        <w:t xml:space="preserve"> åra har det </w:t>
      </w:r>
      <w:proofErr w:type="spellStart"/>
      <w:r w:rsidRPr="00CC19F7">
        <w:t>vore</w:t>
      </w:r>
      <w:proofErr w:type="spellEnd"/>
      <w:r w:rsidRPr="00CC19F7">
        <w:t xml:space="preserve"> </w:t>
      </w:r>
      <w:proofErr w:type="spellStart"/>
      <w:r w:rsidRPr="00CC19F7">
        <w:t>ein</w:t>
      </w:r>
      <w:proofErr w:type="spellEnd"/>
      <w:r w:rsidRPr="00CC19F7">
        <w:t xml:space="preserve"> sterk </w:t>
      </w:r>
      <w:proofErr w:type="spellStart"/>
      <w:r w:rsidRPr="00CC19F7">
        <w:t>auke</w:t>
      </w:r>
      <w:proofErr w:type="spellEnd"/>
      <w:r w:rsidRPr="00CC19F7">
        <w:t xml:space="preserve"> i utbygginga av fornybare energikjelder, som sol- og vindkraft. Denne satsinga held fram og gjør at fornybare energikjelder over tid vil dekke </w:t>
      </w:r>
      <w:proofErr w:type="spellStart"/>
      <w:r w:rsidRPr="00CC19F7">
        <w:t>ein</w:t>
      </w:r>
      <w:proofErr w:type="spellEnd"/>
      <w:r w:rsidRPr="00CC19F7">
        <w:t xml:space="preserve"> </w:t>
      </w:r>
      <w:proofErr w:type="spellStart"/>
      <w:r w:rsidRPr="00CC19F7">
        <w:t>aukande</w:t>
      </w:r>
      <w:proofErr w:type="spellEnd"/>
      <w:r w:rsidRPr="00CC19F7">
        <w:t xml:space="preserve"> del av verdas energibehov. Samtidig </w:t>
      </w:r>
      <w:proofErr w:type="spellStart"/>
      <w:r w:rsidRPr="00CC19F7">
        <w:t>forventar</w:t>
      </w:r>
      <w:proofErr w:type="spellEnd"/>
      <w:r w:rsidRPr="00CC19F7">
        <w:t xml:space="preserve"> </w:t>
      </w:r>
      <w:proofErr w:type="spellStart"/>
      <w:r w:rsidRPr="00CC19F7">
        <w:t>ein</w:t>
      </w:r>
      <w:proofErr w:type="spellEnd"/>
      <w:r w:rsidRPr="00CC19F7">
        <w:t xml:space="preserve"> at produksjonen </w:t>
      </w:r>
      <w:proofErr w:type="spellStart"/>
      <w:r w:rsidRPr="00CC19F7">
        <w:t>frå</w:t>
      </w:r>
      <w:proofErr w:type="spellEnd"/>
      <w:r w:rsidRPr="00CC19F7">
        <w:t xml:space="preserve"> norsk sokkel vil gå raskt nedover utover midten av 2030-talet, med mindre det blir gjort nye store funn som blir utbygde.</w:t>
      </w:r>
    </w:p>
    <w:p w14:paraId="084CE119" w14:textId="77777777" w:rsidR="00FE02EF" w:rsidRPr="00CC19F7" w:rsidRDefault="00881E58" w:rsidP="00CC19F7">
      <w:proofErr w:type="spellStart"/>
      <w:r w:rsidRPr="00CC19F7">
        <w:t>Sjølv</w:t>
      </w:r>
      <w:proofErr w:type="spellEnd"/>
      <w:r w:rsidRPr="00CC19F7">
        <w:t xml:space="preserve"> om Storbritannia og EU har </w:t>
      </w:r>
      <w:proofErr w:type="spellStart"/>
      <w:r w:rsidRPr="00CC19F7">
        <w:t>ambisjonar</w:t>
      </w:r>
      <w:proofErr w:type="spellEnd"/>
      <w:r w:rsidRPr="00CC19F7">
        <w:t xml:space="preserve"> om å redusere gassforbruket, er Europas importbehov venta å bli høgt det neste tiåret, og gass er svært viktig i den europeiske energiforsyninga for å balansere </w:t>
      </w:r>
      <w:proofErr w:type="spellStart"/>
      <w:r w:rsidRPr="00CC19F7">
        <w:t>marknaden</w:t>
      </w:r>
      <w:proofErr w:type="spellEnd"/>
      <w:r w:rsidRPr="00CC19F7">
        <w:t xml:space="preserve"> og slik </w:t>
      </w:r>
      <w:proofErr w:type="spellStart"/>
      <w:r w:rsidRPr="00CC19F7">
        <w:t>mogleggjere</w:t>
      </w:r>
      <w:proofErr w:type="spellEnd"/>
      <w:r w:rsidRPr="00CC19F7">
        <w:t xml:space="preserve"> at </w:t>
      </w:r>
      <w:proofErr w:type="spellStart"/>
      <w:r w:rsidRPr="00CC19F7">
        <w:t>auka</w:t>
      </w:r>
      <w:proofErr w:type="spellEnd"/>
      <w:r w:rsidRPr="00CC19F7">
        <w:t xml:space="preserve"> </w:t>
      </w:r>
      <w:proofErr w:type="spellStart"/>
      <w:r w:rsidRPr="00CC19F7">
        <w:t>uregulerbar</w:t>
      </w:r>
      <w:proofErr w:type="spellEnd"/>
      <w:r w:rsidRPr="00CC19F7">
        <w:t xml:space="preserve"> kraftproduksjon kan erstatte tradisjonell grunnlast. I </w:t>
      </w:r>
      <w:proofErr w:type="spellStart"/>
      <w:r w:rsidRPr="00CC19F7">
        <w:t>ein</w:t>
      </w:r>
      <w:proofErr w:type="spellEnd"/>
      <w:r w:rsidRPr="00CC19F7">
        <w:t xml:space="preserve"> felles uttale </w:t>
      </w:r>
      <w:proofErr w:type="spellStart"/>
      <w:r w:rsidRPr="00CC19F7">
        <w:t>frå</w:t>
      </w:r>
      <w:proofErr w:type="spellEnd"/>
      <w:r w:rsidRPr="00CC19F7">
        <w:t xml:space="preserve"> 2022 har EU uttrykt støtte til og takksemd for at </w:t>
      </w:r>
      <w:proofErr w:type="spellStart"/>
      <w:r w:rsidRPr="00CC19F7">
        <w:t>Noreg</w:t>
      </w:r>
      <w:proofErr w:type="spellEnd"/>
      <w:r w:rsidRPr="00CC19F7">
        <w:t xml:space="preserve"> </w:t>
      </w:r>
      <w:proofErr w:type="spellStart"/>
      <w:r w:rsidRPr="00CC19F7">
        <w:t>utviklar</w:t>
      </w:r>
      <w:proofErr w:type="spellEnd"/>
      <w:r w:rsidRPr="00CC19F7">
        <w:t xml:space="preserve"> nye olje- og </w:t>
      </w:r>
      <w:proofErr w:type="spellStart"/>
      <w:r w:rsidRPr="00CC19F7">
        <w:t>gassressursar</w:t>
      </w:r>
      <w:proofErr w:type="spellEnd"/>
      <w:r w:rsidRPr="00CC19F7">
        <w:t xml:space="preserve"> for å forsyne den europeiske </w:t>
      </w:r>
      <w:proofErr w:type="spellStart"/>
      <w:r w:rsidRPr="00CC19F7">
        <w:t>marknaden</w:t>
      </w:r>
      <w:proofErr w:type="spellEnd"/>
      <w:r w:rsidRPr="00CC19F7">
        <w:t xml:space="preserve">. </w:t>
      </w:r>
      <w:proofErr w:type="spellStart"/>
      <w:r w:rsidRPr="00CC19F7">
        <w:t>Meir</w:t>
      </w:r>
      <w:proofErr w:type="spellEnd"/>
      <w:r w:rsidRPr="00CC19F7">
        <w:t xml:space="preserve"> globalt er det venta at </w:t>
      </w:r>
      <w:proofErr w:type="spellStart"/>
      <w:r w:rsidRPr="00CC19F7">
        <w:t>utan</w:t>
      </w:r>
      <w:proofErr w:type="spellEnd"/>
      <w:r w:rsidRPr="00CC19F7">
        <w:t xml:space="preserve"> </w:t>
      </w:r>
      <w:proofErr w:type="spellStart"/>
      <w:r w:rsidRPr="00CC19F7">
        <w:t>betydelege</w:t>
      </w:r>
      <w:proofErr w:type="spellEnd"/>
      <w:r w:rsidRPr="00CC19F7">
        <w:t xml:space="preserve">, nye </w:t>
      </w:r>
      <w:proofErr w:type="spellStart"/>
      <w:r w:rsidRPr="00CC19F7">
        <w:t>investeringar</w:t>
      </w:r>
      <w:proofErr w:type="spellEnd"/>
      <w:r w:rsidRPr="00CC19F7">
        <w:t xml:space="preserve"> også i tradisjonelle energikjelder framover må </w:t>
      </w:r>
      <w:proofErr w:type="spellStart"/>
      <w:r w:rsidRPr="00CC19F7">
        <w:t>ein</w:t>
      </w:r>
      <w:proofErr w:type="spellEnd"/>
      <w:r w:rsidRPr="00CC19F7">
        <w:t xml:space="preserve"> forvente relativt sett høge </w:t>
      </w:r>
      <w:proofErr w:type="spellStart"/>
      <w:r w:rsidRPr="00CC19F7">
        <w:t>prisar</w:t>
      </w:r>
      <w:proofErr w:type="spellEnd"/>
      <w:r w:rsidRPr="00CC19F7">
        <w:t xml:space="preserve"> på mange </w:t>
      </w:r>
      <w:proofErr w:type="spellStart"/>
      <w:r w:rsidRPr="00CC19F7">
        <w:t>energiløysingar</w:t>
      </w:r>
      <w:proofErr w:type="spellEnd"/>
      <w:r w:rsidRPr="00CC19F7">
        <w:t xml:space="preserve"> på kort og mellomlang sikt. Dette gjeld </w:t>
      </w:r>
      <w:proofErr w:type="spellStart"/>
      <w:r w:rsidRPr="00CC19F7">
        <w:t>sjølv</w:t>
      </w:r>
      <w:proofErr w:type="spellEnd"/>
      <w:r w:rsidRPr="00CC19F7">
        <w:t xml:space="preserve"> om etterspørselen etter olje og gass skulle slutte å </w:t>
      </w:r>
      <w:proofErr w:type="spellStart"/>
      <w:r w:rsidRPr="00CC19F7">
        <w:t>vekse</w:t>
      </w:r>
      <w:proofErr w:type="spellEnd"/>
      <w:r w:rsidRPr="00CC19F7">
        <w:t xml:space="preserve"> år for år.</w:t>
      </w:r>
    </w:p>
    <w:p w14:paraId="08642F90" w14:textId="77777777" w:rsidR="00FE02EF" w:rsidRPr="00CC19F7" w:rsidRDefault="00881E58" w:rsidP="00CC19F7">
      <w:proofErr w:type="spellStart"/>
      <w:r w:rsidRPr="00CC19F7">
        <w:t>Eit</w:t>
      </w:r>
      <w:proofErr w:type="spellEnd"/>
      <w:r w:rsidRPr="00CC19F7">
        <w:t xml:space="preserve"> viktig bidrag </w:t>
      </w:r>
      <w:proofErr w:type="spellStart"/>
      <w:r w:rsidRPr="00CC19F7">
        <w:t>frå</w:t>
      </w:r>
      <w:proofErr w:type="spellEnd"/>
      <w:r w:rsidRPr="00CC19F7">
        <w:t xml:space="preserve"> </w:t>
      </w:r>
      <w:proofErr w:type="spellStart"/>
      <w:r w:rsidRPr="00CC19F7">
        <w:t>Noreg</w:t>
      </w:r>
      <w:proofErr w:type="spellEnd"/>
      <w:r w:rsidRPr="00CC19F7">
        <w:t xml:space="preserve"> til dette </w:t>
      </w:r>
      <w:proofErr w:type="spellStart"/>
      <w:r w:rsidRPr="00CC19F7">
        <w:t>berekraftsmålet</w:t>
      </w:r>
      <w:proofErr w:type="spellEnd"/>
      <w:r w:rsidRPr="00CC19F7">
        <w:t xml:space="preserve"> vil derfor </w:t>
      </w:r>
      <w:proofErr w:type="spellStart"/>
      <w:r w:rsidRPr="00CC19F7">
        <w:t>vere</w:t>
      </w:r>
      <w:proofErr w:type="spellEnd"/>
      <w:r w:rsidRPr="00CC19F7">
        <w:t xml:space="preserve"> å </w:t>
      </w:r>
      <w:proofErr w:type="spellStart"/>
      <w:r w:rsidRPr="00CC19F7">
        <w:t>oppretthalde</w:t>
      </w:r>
      <w:proofErr w:type="spellEnd"/>
      <w:r w:rsidRPr="00CC19F7">
        <w:t xml:space="preserve"> nettoeksporten til den globale </w:t>
      </w:r>
      <w:proofErr w:type="spellStart"/>
      <w:r w:rsidRPr="00CC19F7">
        <w:t>marknaden</w:t>
      </w:r>
      <w:proofErr w:type="spellEnd"/>
      <w:r w:rsidRPr="00CC19F7">
        <w:t xml:space="preserve"> og </w:t>
      </w:r>
      <w:proofErr w:type="spellStart"/>
      <w:r w:rsidRPr="00CC19F7">
        <w:t>særleg</w:t>
      </w:r>
      <w:proofErr w:type="spellEnd"/>
      <w:r w:rsidRPr="00CC19F7">
        <w:t xml:space="preserve"> </w:t>
      </w:r>
      <w:proofErr w:type="spellStart"/>
      <w:r w:rsidRPr="00CC19F7">
        <w:t>dei</w:t>
      </w:r>
      <w:proofErr w:type="spellEnd"/>
      <w:r w:rsidRPr="00CC19F7">
        <w:t xml:space="preserve"> store </w:t>
      </w:r>
      <w:proofErr w:type="spellStart"/>
      <w:r w:rsidRPr="00CC19F7">
        <w:t>gassleveransane</w:t>
      </w:r>
      <w:proofErr w:type="spellEnd"/>
      <w:r w:rsidRPr="00CC19F7">
        <w:t xml:space="preserve"> til EU og Storbritannia. For å kunne </w:t>
      </w:r>
      <w:proofErr w:type="spellStart"/>
      <w:r w:rsidRPr="00CC19F7">
        <w:t>oppretthalde</w:t>
      </w:r>
      <w:proofErr w:type="spellEnd"/>
      <w:r w:rsidRPr="00CC19F7">
        <w:t xml:space="preserve"> store og trygge </w:t>
      </w:r>
      <w:proofErr w:type="spellStart"/>
      <w:r w:rsidRPr="00CC19F7">
        <w:t>energileveransar</w:t>
      </w:r>
      <w:proofErr w:type="spellEnd"/>
      <w:r w:rsidRPr="00CC19F7">
        <w:t xml:space="preserve"> framover må nye </w:t>
      </w:r>
      <w:proofErr w:type="spellStart"/>
      <w:r w:rsidRPr="00CC19F7">
        <w:t>ressursar</w:t>
      </w:r>
      <w:proofErr w:type="spellEnd"/>
      <w:r w:rsidRPr="00CC19F7">
        <w:t xml:space="preserve"> </w:t>
      </w:r>
      <w:proofErr w:type="spellStart"/>
      <w:r w:rsidRPr="00CC19F7">
        <w:t>påvisast</w:t>
      </w:r>
      <w:proofErr w:type="spellEnd"/>
      <w:r w:rsidRPr="00CC19F7">
        <w:t xml:space="preserve"> og </w:t>
      </w:r>
      <w:proofErr w:type="spellStart"/>
      <w:r w:rsidRPr="00CC19F7">
        <w:t>settast</w:t>
      </w:r>
      <w:proofErr w:type="spellEnd"/>
      <w:r w:rsidRPr="00CC19F7">
        <w:t xml:space="preserve"> i produksjon og arbeidet med å redusere utsleppa </w:t>
      </w:r>
      <w:proofErr w:type="spellStart"/>
      <w:r w:rsidRPr="00CC19F7">
        <w:t>frå</w:t>
      </w:r>
      <w:proofErr w:type="spellEnd"/>
      <w:r w:rsidRPr="00CC19F7">
        <w:t xml:space="preserve"> produksjonen må </w:t>
      </w:r>
      <w:proofErr w:type="spellStart"/>
      <w:r w:rsidRPr="00CC19F7">
        <w:t>halde</w:t>
      </w:r>
      <w:proofErr w:type="spellEnd"/>
      <w:r w:rsidRPr="00CC19F7">
        <w:t xml:space="preserve"> fram. </w:t>
      </w:r>
      <w:proofErr w:type="spellStart"/>
      <w:r w:rsidRPr="00CC19F7">
        <w:t>Noreg</w:t>
      </w:r>
      <w:proofErr w:type="spellEnd"/>
      <w:r w:rsidRPr="00CC19F7">
        <w:t xml:space="preserve"> er </w:t>
      </w:r>
      <w:proofErr w:type="spellStart"/>
      <w:r w:rsidRPr="00CC19F7">
        <w:t>ein</w:t>
      </w:r>
      <w:proofErr w:type="spellEnd"/>
      <w:r w:rsidRPr="00CC19F7">
        <w:t xml:space="preserve"> liten produsent av olje og gass i </w:t>
      </w:r>
      <w:proofErr w:type="spellStart"/>
      <w:r w:rsidRPr="00CC19F7">
        <w:t>eit</w:t>
      </w:r>
      <w:proofErr w:type="spellEnd"/>
      <w:r w:rsidRPr="00CC19F7">
        <w:t xml:space="preserve"> globalt perspektiv, men det største produsentlandet og </w:t>
      </w:r>
      <w:proofErr w:type="spellStart"/>
      <w:r w:rsidRPr="00CC19F7">
        <w:t>einaste</w:t>
      </w:r>
      <w:proofErr w:type="spellEnd"/>
      <w:r w:rsidRPr="00CC19F7">
        <w:t xml:space="preserve"> nettoeksportør i Vest-Europa. Regjeringa vil legge til rette for at norsk kontinentalsokkel framleis skal </w:t>
      </w:r>
      <w:proofErr w:type="spellStart"/>
      <w:r w:rsidRPr="00CC19F7">
        <w:t>vere</w:t>
      </w:r>
      <w:proofErr w:type="spellEnd"/>
      <w:r w:rsidRPr="00CC19F7">
        <w:t xml:space="preserve"> </w:t>
      </w:r>
      <w:proofErr w:type="spellStart"/>
      <w:r w:rsidRPr="00CC19F7">
        <w:t>ein</w:t>
      </w:r>
      <w:proofErr w:type="spellEnd"/>
      <w:r w:rsidRPr="00CC19F7">
        <w:t xml:space="preserve"> stabil og langsiktig leverandør av olje og gass produsert med låge utslepp til Europa og resten av verda.</w:t>
      </w:r>
    </w:p>
    <w:p w14:paraId="068152A0" w14:textId="77777777" w:rsidR="00FE02EF" w:rsidRPr="00CC19F7" w:rsidRDefault="00881E58" w:rsidP="00CC19F7">
      <w:pPr>
        <w:pStyle w:val="avsnitt-undertittel"/>
      </w:pPr>
      <w:r w:rsidRPr="00CC19F7">
        <w:t xml:space="preserve">Delmål 7.2) </w:t>
      </w:r>
      <w:proofErr w:type="spellStart"/>
      <w:r w:rsidRPr="00CC19F7">
        <w:t>Innan</w:t>
      </w:r>
      <w:proofErr w:type="spellEnd"/>
      <w:r w:rsidRPr="00CC19F7">
        <w:t xml:space="preserve"> 2030 </w:t>
      </w:r>
      <w:proofErr w:type="spellStart"/>
      <w:r w:rsidRPr="00CC19F7">
        <w:t>auke</w:t>
      </w:r>
      <w:proofErr w:type="spellEnd"/>
      <w:r w:rsidRPr="00CC19F7">
        <w:t xml:space="preserve"> prosentdelen fornybar energi i det samla energiforbruket i verda </w:t>
      </w:r>
      <w:proofErr w:type="spellStart"/>
      <w:r w:rsidRPr="00CC19F7">
        <w:t>vesentleg</w:t>
      </w:r>
      <w:proofErr w:type="spellEnd"/>
    </w:p>
    <w:p w14:paraId="2A4B7727" w14:textId="77777777" w:rsidR="00FE02EF" w:rsidRPr="00CC19F7" w:rsidRDefault="00881E58" w:rsidP="00CC19F7">
      <w:r w:rsidRPr="00CC19F7">
        <w:t xml:space="preserve">Vasskrafta står i dag for nesten 90 prosent av den norske kraftforsyninga, og potensialet for ny vasskraft er avgrensa. Totalt er om lag 98 prosent av kraftproduksjonen i </w:t>
      </w:r>
      <w:proofErr w:type="spellStart"/>
      <w:r w:rsidRPr="00CC19F7">
        <w:t>Noreg</w:t>
      </w:r>
      <w:proofErr w:type="spellEnd"/>
      <w:r w:rsidRPr="00CC19F7">
        <w:t xml:space="preserve"> fornybar. </w:t>
      </w:r>
      <w:proofErr w:type="spellStart"/>
      <w:r w:rsidRPr="00CC19F7">
        <w:t>Sjølv</w:t>
      </w:r>
      <w:proofErr w:type="spellEnd"/>
      <w:r w:rsidRPr="00CC19F7">
        <w:t xml:space="preserve"> om det største potensialet er realisert, vil vasskrafta framleis stå for størsteparten av den norske kraftforsyninga i tida framover.</w:t>
      </w:r>
    </w:p>
    <w:p w14:paraId="2C26E165" w14:textId="77777777" w:rsidR="00FE02EF" w:rsidRPr="00CC19F7" w:rsidRDefault="00881E58" w:rsidP="00CC19F7">
      <w:r w:rsidRPr="00CC19F7">
        <w:t xml:space="preserve">Verneplanen for vassdrag ligg i </w:t>
      </w:r>
      <w:proofErr w:type="spellStart"/>
      <w:r w:rsidRPr="00CC19F7">
        <w:t>hovudsak</w:t>
      </w:r>
      <w:proofErr w:type="spellEnd"/>
      <w:r w:rsidRPr="00CC19F7">
        <w:t xml:space="preserve"> fast, og konsesjonsbehandling av vassdrag over 1 MW kan </w:t>
      </w:r>
      <w:proofErr w:type="spellStart"/>
      <w:r w:rsidRPr="00CC19F7">
        <w:t>berre</w:t>
      </w:r>
      <w:proofErr w:type="spellEnd"/>
      <w:r w:rsidRPr="00CC19F7">
        <w:t xml:space="preserve"> </w:t>
      </w:r>
      <w:proofErr w:type="spellStart"/>
      <w:r w:rsidRPr="00CC19F7">
        <w:t>vurderst</w:t>
      </w:r>
      <w:proofErr w:type="spellEnd"/>
      <w:r w:rsidRPr="00CC19F7">
        <w:t xml:space="preserve"> i </w:t>
      </w:r>
      <w:proofErr w:type="spellStart"/>
      <w:r w:rsidRPr="00CC19F7">
        <w:t>dei</w:t>
      </w:r>
      <w:proofErr w:type="spellEnd"/>
      <w:r w:rsidRPr="00CC19F7">
        <w:t xml:space="preserve"> tilfella </w:t>
      </w:r>
      <w:proofErr w:type="spellStart"/>
      <w:r w:rsidRPr="00CC19F7">
        <w:t>flaumdemping</w:t>
      </w:r>
      <w:proofErr w:type="spellEnd"/>
      <w:r w:rsidRPr="00CC19F7">
        <w:t xml:space="preserve"> er formålet med ei eventuell utbygging, jf. </w:t>
      </w:r>
      <w:proofErr w:type="spellStart"/>
      <w:r w:rsidRPr="00CC19F7">
        <w:t>Innst</w:t>
      </w:r>
      <w:proofErr w:type="spellEnd"/>
      <w:r w:rsidRPr="00CC19F7">
        <w:t xml:space="preserve">. 401 S (2015–2016) i samband med Stortingets behandling av St.meld. nr. 25 (2015–2016) – </w:t>
      </w:r>
      <w:r w:rsidRPr="00CC19F7">
        <w:rPr>
          <w:rStyle w:val="kursiv"/>
        </w:rPr>
        <w:t>Kraft til endring</w:t>
      </w:r>
      <w:r w:rsidRPr="00CC19F7">
        <w:t>.</w:t>
      </w:r>
    </w:p>
    <w:p w14:paraId="6AA1AB71" w14:textId="77777777" w:rsidR="00FE02EF" w:rsidRPr="00CC19F7" w:rsidRDefault="00881E58" w:rsidP="00CC19F7">
      <w:r w:rsidRPr="00CC19F7">
        <w:t xml:space="preserve">Dei siste åra er det </w:t>
      </w:r>
      <w:proofErr w:type="spellStart"/>
      <w:r w:rsidRPr="00CC19F7">
        <w:t>særleg</w:t>
      </w:r>
      <w:proofErr w:type="spellEnd"/>
      <w:r w:rsidRPr="00CC19F7">
        <w:t xml:space="preserve"> vindkraft på land som har bidratt med ny fornybar kraftproduksjon. Produksjon av vindkraft og </w:t>
      </w:r>
      <w:proofErr w:type="spellStart"/>
      <w:r w:rsidRPr="00CC19F7">
        <w:t>annan</w:t>
      </w:r>
      <w:proofErr w:type="spellEnd"/>
      <w:r w:rsidRPr="00CC19F7">
        <w:t xml:space="preserve"> fornybar energi er </w:t>
      </w:r>
      <w:proofErr w:type="spellStart"/>
      <w:r w:rsidRPr="00CC19F7">
        <w:t>klimavennleg</w:t>
      </w:r>
      <w:proofErr w:type="spellEnd"/>
      <w:r w:rsidRPr="00CC19F7">
        <w:t xml:space="preserve">. Samtidig må utbygginga skje slik at det </w:t>
      </w:r>
      <w:proofErr w:type="spellStart"/>
      <w:r w:rsidRPr="00CC19F7">
        <w:t>ikkje</w:t>
      </w:r>
      <w:proofErr w:type="spellEnd"/>
      <w:r w:rsidRPr="00CC19F7">
        <w:t xml:space="preserve"> gir uakseptable verknader for lokalsamfunn og viktige miljø- og samfunnsinteresser. </w:t>
      </w:r>
      <w:proofErr w:type="spellStart"/>
      <w:r w:rsidRPr="00CC19F7">
        <w:t>Behandlinga</w:t>
      </w:r>
      <w:proofErr w:type="spellEnd"/>
      <w:r w:rsidRPr="00CC19F7">
        <w:t xml:space="preserve"> av nye prosjekt skjer på bakgrunn av vindkraftmeldinga, jf. Meld. St. 28 (2019–2020) og </w:t>
      </w:r>
      <w:proofErr w:type="spellStart"/>
      <w:r w:rsidRPr="00CC19F7">
        <w:t>Innst</w:t>
      </w:r>
      <w:proofErr w:type="spellEnd"/>
      <w:r w:rsidRPr="00CC19F7">
        <w:t xml:space="preserve">. 101 S (2020–2021), og stortingsbehandlinga av denne. I juni 2023 slutta Stortinget seg til regjeringas forslag om </w:t>
      </w:r>
      <w:proofErr w:type="spellStart"/>
      <w:r w:rsidRPr="00CC19F7">
        <w:t>endringar</w:t>
      </w:r>
      <w:proofErr w:type="spellEnd"/>
      <w:r w:rsidRPr="00CC19F7">
        <w:t xml:space="preserve"> i energilova og plan- og bygningslova knytt til vindkraft på land, jf. </w:t>
      </w:r>
      <w:proofErr w:type="spellStart"/>
      <w:r w:rsidRPr="00CC19F7">
        <w:t>Prop</w:t>
      </w:r>
      <w:proofErr w:type="spellEnd"/>
      <w:r w:rsidRPr="00CC19F7">
        <w:t xml:space="preserve">. 111 L (2022–2023) og </w:t>
      </w:r>
      <w:proofErr w:type="spellStart"/>
      <w:r w:rsidRPr="00CC19F7">
        <w:t>Innst</w:t>
      </w:r>
      <w:proofErr w:type="spellEnd"/>
      <w:r w:rsidRPr="00CC19F7">
        <w:t xml:space="preserve">. 101 S (2022–2023). Det skal framover </w:t>
      </w:r>
      <w:proofErr w:type="spellStart"/>
      <w:r w:rsidRPr="00CC19F7">
        <w:t>vere</w:t>
      </w:r>
      <w:proofErr w:type="spellEnd"/>
      <w:r w:rsidRPr="00CC19F7">
        <w:t xml:space="preserve"> ei overordna kommunal områderegulering før </w:t>
      </w:r>
      <w:proofErr w:type="spellStart"/>
      <w:r w:rsidRPr="00CC19F7">
        <w:t>eit</w:t>
      </w:r>
      <w:proofErr w:type="spellEnd"/>
      <w:r w:rsidRPr="00CC19F7">
        <w:t xml:space="preserve"> konsesjonsvedtak blir gitt. Dette skal gi betre lokal forankring og styrke </w:t>
      </w:r>
      <w:proofErr w:type="spellStart"/>
      <w:r w:rsidRPr="00CC19F7">
        <w:t>kommunane</w:t>
      </w:r>
      <w:proofErr w:type="spellEnd"/>
      <w:r w:rsidRPr="00CC19F7">
        <w:t xml:space="preserve"> </w:t>
      </w:r>
      <w:proofErr w:type="spellStart"/>
      <w:r w:rsidRPr="00CC19F7">
        <w:t>si</w:t>
      </w:r>
      <w:proofErr w:type="spellEnd"/>
      <w:r w:rsidRPr="00CC19F7">
        <w:t xml:space="preserve"> rolle i prosessen når det </w:t>
      </w:r>
      <w:proofErr w:type="spellStart"/>
      <w:r w:rsidRPr="00CC19F7">
        <w:t>gjeld</w:t>
      </w:r>
      <w:proofErr w:type="spellEnd"/>
      <w:r w:rsidRPr="00CC19F7">
        <w:t xml:space="preserve"> vindkraft på land.</w:t>
      </w:r>
    </w:p>
    <w:p w14:paraId="573B0064" w14:textId="77777777" w:rsidR="00FE02EF" w:rsidRPr="00CC19F7" w:rsidRDefault="00881E58" w:rsidP="00CC19F7">
      <w:r w:rsidRPr="00CC19F7">
        <w:t xml:space="preserve">Regjeringa vil legge til rette for at lokalsamfunn som stiller </w:t>
      </w:r>
      <w:proofErr w:type="spellStart"/>
      <w:r w:rsidRPr="00CC19F7">
        <w:t>naturressursane</w:t>
      </w:r>
      <w:proofErr w:type="spellEnd"/>
      <w:r w:rsidRPr="00CC19F7">
        <w:t xml:space="preserve"> sine til disposisjon for vindkraftutbygging, får </w:t>
      </w:r>
      <w:proofErr w:type="spellStart"/>
      <w:r w:rsidRPr="00CC19F7">
        <w:t>meir</w:t>
      </w:r>
      <w:proofErr w:type="spellEnd"/>
      <w:r w:rsidRPr="00CC19F7">
        <w:t xml:space="preserve"> igjen for det og blir sikra </w:t>
      </w:r>
      <w:proofErr w:type="spellStart"/>
      <w:r w:rsidRPr="00CC19F7">
        <w:t>ein</w:t>
      </w:r>
      <w:proofErr w:type="spellEnd"/>
      <w:r w:rsidRPr="00CC19F7">
        <w:t xml:space="preserve"> rettmessig del av verdiskapinga. Regjeringa vil også legge til rette for </w:t>
      </w:r>
      <w:proofErr w:type="spellStart"/>
      <w:r w:rsidRPr="00CC19F7">
        <w:t>meir</w:t>
      </w:r>
      <w:proofErr w:type="spellEnd"/>
      <w:r w:rsidRPr="00CC19F7">
        <w:t xml:space="preserve"> utbygging av solkraft og lokal energiproduksjon.</w:t>
      </w:r>
    </w:p>
    <w:p w14:paraId="0D8ADD37" w14:textId="77777777" w:rsidR="00FE02EF" w:rsidRPr="00CC19F7" w:rsidRDefault="00881E58" w:rsidP="00CC19F7">
      <w:r w:rsidRPr="00CC19F7">
        <w:t xml:space="preserve">Regjeringa har </w:t>
      </w:r>
      <w:proofErr w:type="spellStart"/>
      <w:r w:rsidRPr="00CC19F7">
        <w:t>ein</w:t>
      </w:r>
      <w:proofErr w:type="spellEnd"/>
      <w:r w:rsidRPr="00CC19F7">
        <w:t xml:space="preserve"> ambisjon om </w:t>
      </w:r>
      <w:proofErr w:type="spellStart"/>
      <w:r w:rsidRPr="00CC19F7">
        <w:t>innan</w:t>
      </w:r>
      <w:proofErr w:type="spellEnd"/>
      <w:r w:rsidRPr="00CC19F7">
        <w:t xml:space="preserve"> 2040 å tildele areal </w:t>
      </w:r>
      <w:proofErr w:type="spellStart"/>
      <w:r w:rsidRPr="00CC19F7">
        <w:t>tilsvarande</w:t>
      </w:r>
      <w:proofErr w:type="spellEnd"/>
      <w:r w:rsidRPr="00CC19F7">
        <w:t xml:space="preserve"> 30 GW havvind. Dette er nesten like </w:t>
      </w:r>
      <w:proofErr w:type="spellStart"/>
      <w:r w:rsidRPr="00CC19F7">
        <w:t>mykje</w:t>
      </w:r>
      <w:proofErr w:type="spellEnd"/>
      <w:r w:rsidRPr="00CC19F7">
        <w:t xml:space="preserve"> som heile det norske vasskraftsystemet. I mars 2023 lyste Olje- og energidepartementet ut </w:t>
      </w:r>
      <w:proofErr w:type="spellStart"/>
      <w:r w:rsidRPr="00CC19F7">
        <w:t>ein</w:t>
      </w:r>
      <w:proofErr w:type="spellEnd"/>
      <w:r w:rsidRPr="00CC19F7">
        <w:t xml:space="preserve"> konkurranse om prosjektområde til fornybar energiproduksjon til havs i to område på norsk kontinentalsokkel: </w:t>
      </w:r>
      <w:proofErr w:type="spellStart"/>
      <w:r w:rsidRPr="00CC19F7">
        <w:t>Sørlege</w:t>
      </w:r>
      <w:proofErr w:type="spellEnd"/>
      <w:r w:rsidRPr="00CC19F7">
        <w:t xml:space="preserve"> </w:t>
      </w:r>
      <w:proofErr w:type="spellStart"/>
      <w:r w:rsidRPr="00CC19F7">
        <w:t>Nordsjø</w:t>
      </w:r>
      <w:proofErr w:type="spellEnd"/>
      <w:r w:rsidRPr="00CC19F7">
        <w:t xml:space="preserve"> II og Utsira Nord. NVE har, </w:t>
      </w:r>
      <w:proofErr w:type="spellStart"/>
      <w:r w:rsidRPr="00CC19F7">
        <w:t>saman</w:t>
      </w:r>
      <w:proofErr w:type="spellEnd"/>
      <w:r w:rsidRPr="00CC19F7">
        <w:t xml:space="preserve"> med ei </w:t>
      </w:r>
      <w:proofErr w:type="spellStart"/>
      <w:r w:rsidRPr="00CC19F7">
        <w:t>direktoratsgruppe</w:t>
      </w:r>
      <w:proofErr w:type="spellEnd"/>
      <w:r w:rsidRPr="00CC19F7">
        <w:t xml:space="preserve">, identifisert 20 område som kan eigne seg for havvind. Dei nye områda skal gjennom ei strategisk konsekvensutgreiing før </w:t>
      </w:r>
      <w:proofErr w:type="spellStart"/>
      <w:r w:rsidRPr="00CC19F7">
        <w:t>dei</w:t>
      </w:r>
      <w:proofErr w:type="spellEnd"/>
      <w:r w:rsidRPr="00CC19F7">
        <w:t xml:space="preserve"> eventuelt blir </w:t>
      </w:r>
      <w:proofErr w:type="spellStart"/>
      <w:r w:rsidRPr="00CC19F7">
        <w:t>opna</w:t>
      </w:r>
      <w:proofErr w:type="spellEnd"/>
      <w:r w:rsidRPr="00CC19F7">
        <w:t xml:space="preserve">. For å sikre </w:t>
      </w:r>
      <w:proofErr w:type="spellStart"/>
      <w:r w:rsidRPr="00CC19F7">
        <w:t>eit</w:t>
      </w:r>
      <w:proofErr w:type="spellEnd"/>
      <w:r w:rsidRPr="00CC19F7">
        <w:t xml:space="preserve"> handlingsrom til å justere eller redusere </w:t>
      </w:r>
      <w:proofErr w:type="spellStart"/>
      <w:r w:rsidRPr="00CC19F7">
        <w:t>dei</w:t>
      </w:r>
      <w:proofErr w:type="spellEnd"/>
      <w:r w:rsidRPr="00CC19F7">
        <w:t xml:space="preserve"> identifiserte områda har NVE og </w:t>
      </w:r>
      <w:proofErr w:type="spellStart"/>
      <w:r w:rsidRPr="00CC19F7">
        <w:t>direktoratsgruppa</w:t>
      </w:r>
      <w:proofErr w:type="spellEnd"/>
      <w:r w:rsidRPr="00CC19F7">
        <w:t xml:space="preserve"> identifisert </w:t>
      </w:r>
      <w:proofErr w:type="spellStart"/>
      <w:r w:rsidRPr="00CC19F7">
        <w:t>vesentleg</w:t>
      </w:r>
      <w:proofErr w:type="spellEnd"/>
      <w:r w:rsidRPr="00CC19F7">
        <w:t xml:space="preserve"> </w:t>
      </w:r>
      <w:proofErr w:type="spellStart"/>
      <w:r w:rsidRPr="00CC19F7">
        <w:t>meir</w:t>
      </w:r>
      <w:proofErr w:type="spellEnd"/>
      <w:r w:rsidRPr="00CC19F7">
        <w:t xml:space="preserve"> areal enn det som faktisk er nødvendig for å bygge ut 30 000 MW havvind. Kva område som eventuelt blir </w:t>
      </w:r>
      <w:proofErr w:type="spellStart"/>
      <w:r w:rsidRPr="00CC19F7">
        <w:t>opna</w:t>
      </w:r>
      <w:proofErr w:type="spellEnd"/>
      <w:r w:rsidRPr="00CC19F7">
        <w:t xml:space="preserve"> og utvikla, vil avhenge av den strategiske konsekvensutgreiinga.</w:t>
      </w:r>
    </w:p>
    <w:p w14:paraId="23553523" w14:textId="77777777" w:rsidR="00FE02EF" w:rsidRPr="00CC19F7" w:rsidRDefault="00881E58" w:rsidP="00CC19F7">
      <w:proofErr w:type="spellStart"/>
      <w:r w:rsidRPr="00CC19F7">
        <w:t>Hywind</w:t>
      </w:r>
      <w:proofErr w:type="spellEnd"/>
      <w:r w:rsidRPr="00CC19F7">
        <w:t xml:space="preserve"> Tampen </w:t>
      </w:r>
      <w:proofErr w:type="spellStart"/>
      <w:r w:rsidRPr="00CC19F7">
        <w:t>opna</w:t>
      </w:r>
      <w:proofErr w:type="spellEnd"/>
      <w:r w:rsidRPr="00CC19F7">
        <w:t xml:space="preserve"> 23. august 2023. Dette er den største </w:t>
      </w:r>
      <w:proofErr w:type="spellStart"/>
      <w:r w:rsidRPr="00CC19F7">
        <w:t>flytande</w:t>
      </w:r>
      <w:proofErr w:type="spellEnd"/>
      <w:r w:rsidRPr="00CC19F7">
        <w:t xml:space="preserve"> havvindparken i verda og har </w:t>
      </w:r>
      <w:proofErr w:type="spellStart"/>
      <w:r w:rsidRPr="00CC19F7">
        <w:t>ein</w:t>
      </w:r>
      <w:proofErr w:type="spellEnd"/>
      <w:r w:rsidRPr="00CC19F7">
        <w:t xml:space="preserve"> kapasitet på 88 MW. Havvindparken dekker </w:t>
      </w:r>
      <w:proofErr w:type="spellStart"/>
      <w:r w:rsidRPr="00CC19F7">
        <w:t>delar</w:t>
      </w:r>
      <w:proofErr w:type="spellEnd"/>
      <w:r w:rsidRPr="00CC19F7">
        <w:t xml:space="preserve"> av kraftbehovet på petroleumsfelta Snorre og Gullfaks.</w:t>
      </w:r>
    </w:p>
    <w:p w14:paraId="16E4555C" w14:textId="77777777" w:rsidR="00FE02EF" w:rsidRPr="00CC19F7" w:rsidRDefault="00881E58" w:rsidP="00CC19F7">
      <w:pPr>
        <w:pStyle w:val="avsnitt-undertittel"/>
      </w:pPr>
      <w:r w:rsidRPr="00CC19F7">
        <w:t xml:space="preserve">Delmål 7.3) </w:t>
      </w:r>
      <w:proofErr w:type="spellStart"/>
      <w:r w:rsidRPr="00CC19F7">
        <w:t>Innan</w:t>
      </w:r>
      <w:proofErr w:type="spellEnd"/>
      <w:r w:rsidRPr="00CC19F7">
        <w:t xml:space="preserve"> 2030 få </w:t>
      </w:r>
      <w:proofErr w:type="spellStart"/>
      <w:r w:rsidRPr="00CC19F7">
        <w:t>forbetringa</w:t>
      </w:r>
      <w:proofErr w:type="spellEnd"/>
      <w:r w:rsidRPr="00CC19F7">
        <w:t xml:space="preserve"> av energieffektivitet på verdsbasis til å gå dobbelt så fort.</w:t>
      </w:r>
    </w:p>
    <w:p w14:paraId="50AB7580" w14:textId="77777777" w:rsidR="00FE02EF" w:rsidRPr="00CC19F7" w:rsidRDefault="00881E58" w:rsidP="00CC19F7">
      <w:r w:rsidRPr="00CC19F7">
        <w:t xml:space="preserve">I åra framover er bruken av elektrisitet i </w:t>
      </w:r>
      <w:proofErr w:type="spellStart"/>
      <w:r w:rsidRPr="00CC19F7">
        <w:t>Noreg</w:t>
      </w:r>
      <w:proofErr w:type="spellEnd"/>
      <w:r w:rsidRPr="00CC19F7">
        <w:t xml:space="preserve"> venta å </w:t>
      </w:r>
      <w:proofErr w:type="spellStart"/>
      <w:r w:rsidRPr="00CC19F7">
        <w:t>auke</w:t>
      </w:r>
      <w:proofErr w:type="spellEnd"/>
      <w:r w:rsidRPr="00CC19F7">
        <w:t xml:space="preserve"> i </w:t>
      </w:r>
      <w:proofErr w:type="spellStart"/>
      <w:r w:rsidRPr="00CC19F7">
        <w:t>fleire</w:t>
      </w:r>
      <w:proofErr w:type="spellEnd"/>
      <w:r w:rsidRPr="00CC19F7">
        <w:t xml:space="preserve"> </w:t>
      </w:r>
      <w:proofErr w:type="spellStart"/>
      <w:r w:rsidRPr="00CC19F7">
        <w:t>sektorar</w:t>
      </w:r>
      <w:proofErr w:type="spellEnd"/>
      <w:r w:rsidRPr="00CC19F7">
        <w:t xml:space="preserve"> og på nye område, </w:t>
      </w:r>
      <w:proofErr w:type="spellStart"/>
      <w:r w:rsidRPr="00CC19F7">
        <w:t>særleg</w:t>
      </w:r>
      <w:proofErr w:type="spellEnd"/>
      <w:r w:rsidRPr="00CC19F7">
        <w:t xml:space="preserve"> på grunn av elektrifisering av industri, transport, </w:t>
      </w:r>
      <w:proofErr w:type="spellStart"/>
      <w:r w:rsidRPr="00CC19F7">
        <w:t>installasjonar</w:t>
      </w:r>
      <w:proofErr w:type="spellEnd"/>
      <w:r w:rsidRPr="00CC19F7">
        <w:t xml:space="preserve"> på norsk kontinentalsokkel og ny, </w:t>
      </w:r>
      <w:proofErr w:type="spellStart"/>
      <w:r w:rsidRPr="00CC19F7">
        <w:t>kraftkrevjande</w:t>
      </w:r>
      <w:proofErr w:type="spellEnd"/>
      <w:r w:rsidRPr="00CC19F7">
        <w:t xml:space="preserve"> </w:t>
      </w:r>
      <w:proofErr w:type="spellStart"/>
      <w:r w:rsidRPr="00CC19F7">
        <w:t>næringsverksemd</w:t>
      </w:r>
      <w:proofErr w:type="spellEnd"/>
      <w:r w:rsidRPr="00CC19F7">
        <w:t xml:space="preserve">. </w:t>
      </w:r>
      <w:proofErr w:type="spellStart"/>
      <w:r w:rsidRPr="00CC19F7">
        <w:t>Noreg</w:t>
      </w:r>
      <w:proofErr w:type="spellEnd"/>
      <w:r w:rsidRPr="00CC19F7">
        <w:t xml:space="preserve"> har </w:t>
      </w:r>
      <w:proofErr w:type="spellStart"/>
      <w:r w:rsidRPr="00CC19F7">
        <w:t>eit</w:t>
      </w:r>
      <w:proofErr w:type="spellEnd"/>
      <w:r w:rsidRPr="00CC19F7">
        <w:t xml:space="preserve"> nasjonalt mål om å </w:t>
      </w:r>
      <w:proofErr w:type="spellStart"/>
      <w:r w:rsidRPr="00CC19F7">
        <w:t>forbetre</w:t>
      </w:r>
      <w:proofErr w:type="spellEnd"/>
      <w:r w:rsidRPr="00CC19F7">
        <w:t xml:space="preserve"> energiintensiteten med 30 prosent </w:t>
      </w:r>
      <w:proofErr w:type="spellStart"/>
      <w:r w:rsidRPr="00CC19F7">
        <w:t>frå</w:t>
      </w:r>
      <w:proofErr w:type="spellEnd"/>
      <w:r w:rsidRPr="00CC19F7">
        <w:t xml:space="preserve"> 2015 til 2030. Energiintensiteten viser kor effektivt vi som samfunn bruker energien. </w:t>
      </w:r>
      <w:proofErr w:type="spellStart"/>
      <w:r w:rsidRPr="00CC19F7">
        <w:t>Frå</w:t>
      </w:r>
      <w:proofErr w:type="spellEnd"/>
      <w:r w:rsidRPr="00CC19F7">
        <w:t xml:space="preserve"> 2015 til 2022 har det </w:t>
      </w:r>
      <w:proofErr w:type="spellStart"/>
      <w:r w:rsidRPr="00CC19F7">
        <w:t>innanlandske</w:t>
      </w:r>
      <w:proofErr w:type="spellEnd"/>
      <w:r w:rsidRPr="00CC19F7">
        <w:t xml:space="preserve"> energiforbruket </w:t>
      </w:r>
      <w:proofErr w:type="spellStart"/>
      <w:r w:rsidRPr="00CC19F7">
        <w:t>auka</w:t>
      </w:r>
      <w:proofErr w:type="spellEnd"/>
      <w:r w:rsidRPr="00CC19F7">
        <w:t xml:space="preserve"> med 1,7 prosent. I same periode har BNP for Fastlands-</w:t>
      </w:r>
      <w:proofErr w:type="spellStart"/>
      <w:r w:rsidRPr="00CC19F7">
        <w:t>Noreg</w:t>
      </w:r>
      <w:proofErr w:type="spellEnd"/>
      <w:r w:rsidRPr="00CC19F7">
        <w:t xml:space="preserve"> </w:t>
      </w:r>
      <w:proofErr w:type="spellStart"/>
      <w:r w:rsidRPr="00CC19F7">
        <w:t>auka</w:t>
      </w:r>
      <w:proofErr w:type="spellEnd"/>
      <w:r w:rsidRPr="00CC19F7">
        <w:t xml:space="preserve"> med 13,3 prosent, </w:t>
      </w:r>
      <w:proofErr w:type="spellStart"/>
      <w:r w:rsidRPr="00CC19F7">
        <w:t>noko</w:t>
      </w:r>
      <w:proofErr w:type="spellEnd"/>
      <w:r w:rsidRPr="00CC19F7">
        <w:t xml:space="preserve"> som har gitt ei </w:t>
      </w:r>
      <w:proofErr w:type="spellStart"/>
      <w:r w:rsidRPr="00CC19F7">
        <w:t>forbetring</w:t>
      </w:r>
      <w:proofErr w:type="spellEnd"/>
      <w:r w:rsidRPr="00CC19F7">
        <w:t xml:space="preserve"> i energiintensiteten på rundt 10 prosent </w:t>
      </w:r>
      <w:proofErr w:type="spellStart"/>
      <w:r w:rsidRPr="00CC19F7">
        <w:t>sidan</w:t>
      </w:r>
      <w:proofErr w:type="spellEnd"/>
      <w:r w:rsidRPr="00CC19F7">
        <w:t xml:space="preserve"> 2015. Regjeringas handlingsplan for energieffektivisering </w:t>
      </w:r>
      <w:proofErr w:type="spellStart"/>
      <w:r w:rsidRPr="00CC19F7">
        <w:t>inneheld</w:t>
      </w:r>
      <w:proofErr w:type="spellEnd"/>
      <w:r w:rsidRPr="00CC19F7">
        <w:t xml:space="preserve"> viktige grep for </w:t>
      </w:r>
      <w:proofErr w:type="spellStart"/>
      <w:r w:rsidRPr="00CC19F7">
        <w:t>auka</w:t>
      </w:r>
      <w:proofErr w:type="spellEnd"/>
      <w:r w:rsidRPr="00CC19F7">
        <w:t xml:space="preserve"> energieffektivisering i alle </w:t>
      </w:r>
      <w:proofErr w:type="spellStart"/>
      <w:r w:rsidRPr="00CC19F7">
        <w:t>delar</w:t>
      </w:r>
      <w:proofErr w:type="spellEnd"/>
      <w:r w:rsidRPr="00CC19F7">
        <w:t xml:space="preserve"> av norsk økonomi og følger opp </w:t>
      </w:r>
      <w:proofErr w:type="spellStart"/>
      <w:r w:rsidRPr="00CC19F7">
        <w:t>fleire</w:t>
      </w:r>
      <w:proofErr w:type="spellEnd"/>
      <w:r w:rsidRPr="00CC19F7">
        <w:t xml:space="preserve"> av </w:t>
      </w:r>
      <w:proofErr w:type="spellStart"/>
      <w:r w:rsidRPr="00CC19F7">
        <w:t>anbefalingane</w:t>
      </w:r>
      <w:proofErr w:type="spellEnd"/>
      <w:r w:rsidRPr="00CC19F7">
        <w:t xml:space="preserve"> </w:t>
      </w:r>
      <w:proofErr w:type="spellStart"/>
      <w:r w:rsidRPr="00CC19F7">
        <w:t>frå</w:t>
      </w:r>
      <w:proofErr w:type="spellEnd"/>
      <w:r w:rsidRPr="00CC19F7">
        <w:t xml:space="preserve"> Energikommisjonen.</w:t>
      </w:r>
    </w:p>
    <w:p w14:paraId="5CC7897D" w14:textId="77777777" w:rsidR="00FE02EF" w:rsidRPr="00CC19F7" w:rsidRDefault="00881E58" w:rsidP="00CC19F7">
      <w:pPr>
        <w:pStyle w:val="avsnitt-undertittel"/>
      </w:pPr>
      <w:r w:rsidRPr="00CC19F7">
        <w:t xml:space="preserve">Delmål 7.a) </w:t>
      </w:r>
      <w:proofErr w:type="spellStart"/>
      <w:r w:rsidRPr="00CC19F7">
        <w:t>Innan</w:t>
      </w:r>
      <w:proofErr w:type="spellEnd"/>
      <w:r w:rsidRPr="00CC19F7">
        <w:t xml:space="preserve"> 2030 styrke det internasjonale samarbeidet for å lette tilgangen til forsking og teknologi på området rein energi, inkludert fornybar energi, energieffektivisering og avansert og </w:t>
      </w:r>
      <w:proofErr w:type="spellStart"/>
      <w:r w:rsidRPr="00CC19F7">
        <w:t>reinare</w:t>
      </w:r>
      <w:proofErr w:type="spellEnd"/>
      <w:r w:rsidRPr="00CC19F7">
        <w:t xml:space="preserve"> teknologi for fossilt brensel, og fremme </w:t>
      </w:r>
      <w:proofErr w:type="spellStart"/>
      <w:r w:rsidRPr="00CC19F7">
        <w:t>investeringar</w:t>
      </w:r>
      <w:proofErr w:type="spellEnd"/>
      <w:r w:rsidRPr="00CC19F7">
        <w:t xml:space="preserve"> i energiinfrastruktur og teknologi for rein energi</w:t>
      </w:r>
    </w:p>
    <w:p w14:paraId="6DF26004" w14:textId="77777777" w:rsidR="00FE02EF" w:rsidRPr="00CC19F7" w:rsidRDefault="00881E58" w:rsidP="00CC19F7">
      <w:r w:rsidRPr="00CC19F7">
        <w:t xml:space="preserve">For å nå klima- og </w:t>
      </w:r>
      <w:proofErr w:type="spellStart"/>
      <w:r w:rsidRPr="00CC19F7">
        <w:t>berekraftsmåla</w:t>
      </w:r>
      <w:proofErr w:type="spellEnd"/>
      <w:r w:rsidRPr="00CC19F7">
        <w:t xml:space="preserve"> må den globale innsatsen </w:t>
      </w:r>
      <w:proofErr w:type="spellStart"/>
      <w:r w:rsidRPr="00CC19F7">
        <w:t>styrkast</w:t>
      </w:r>
      <w:proofErr w:type="spellEnd"/>
      <w:r w:rsidRPr="00CC19F7">
        <w:t xml:space="preserve"> og </w:t>
      </w:r>
      <w:proofErr w:type="spellStart"/>
      <w:r w:rsidRPr="00CC19F7">
        <w:t>investeringane</w:t>
      </w:r>
      <w:proofErr w:type="spellEnd"/>
      <w:r w:rsidRPr="00CC19F7">
        <w:t xml:space="preserve"> minst </w:t>
      </w:r>
      <w:proofErr w:type="spellStart"/>
      <w:r w:rsidRPr="00CC19F7">
        <w:t>firedoblast</w:t>
      </w:r>
      <w:proofErr w:type="spellEnd"/>
      <w:r w:rsidRPr="00CC19F7">
        <w:t xml:space="preserve"> fram mot 2030. Regjeringa </w:t>
      </w:r>
      <w:proofErr w:type="spellStart"/>
      <w:r w:rsidRPr="00CC19F7">
        <w:t>støttar</w:t>
      </w:r>
      <w:proofErr w:type="spellEnd"/>
      <w:r w:rsidRPr="00CC19F7">
        <w:t xml:space="preserve"> internasjonale initiativ som bidrar til varig energiomlegging og utfasing av kolkraft i utviklingsland. </w:t>
      </w:r>
      <w:proofErr w:type="spellStart"/>
      <w:r w:rsidRPr="00CC19F7">
        <w:t>Noreg</w:t>
      </w:r>
      <w:proofErr w:type="spellEnd"/>
      <w:r w:rsidRPr="00CC19F7">
        <w:t xml:space="preserve"> er </w:t>
      </w:r>
      <w:proofErr w:type="spellStart"/>
      <w:r w:rsidRPr="00CC19F7">
        <w:t>partnar</w:t>
      </w:r>
      <w:proofErr w:type="spellEnd"/>
      <w:r w:rsidRPr="00CC19F7">
        <w:t xml:space="preserve"> til større internasjonale program leia av G7-landa for rettferdig omstilling av energisektoren og utfasing av kolkraftverk i Indonesia og Vietnam. Statsministeren </w:t>
      </w:r>
      <w:proofErr w:type="spellStart"/>
      <w:r w:rsidRPr="00CC19F7">
        <w:t>leiar</w:t>
      </w:r>
      <w:proofErr w:type="spellEnd"/>
      <w:r w:rsidRPr="00CC19F7">
        <w:t xml:space="preserve"> alliansen «Global Energy Alliance for People and Planet» (GEAPP), som bidrar til å mobilisere privat og </w:t>
      </w:r>
      <w:proofErr w:type="spellStart"/>
      <w:r w:rsidRPr="00CC19F7">
        <w:t>offentleg</w:t>
      </w:r>
      <w:proofErr w:type="spellEnd"/>
      <w:r w:rsidRPr="00CC19F7">
        <w:t xml:space="preserve"> kapital til </w:t>
      </w:r>
      <w:proofErr w:type="spellStart"/>
      <w:r w:rsidRPr="00CC19F7">
        <w:t>investeringar</w:t>
      </w:r>
      <w:proofErr w:type="spellEnd"/>
      <w:r w:rsidRPr="00CC19F7">
        <w:t xml:space="preserve"> i fornybar energi i utviklingsland.</w:t>
      </w:r>
    </w:p>
    <w:p w14:paraId="065A70F8" w14:textId="77777777" w:rsidR="00FE02EF" w:rsidRPr="00CC19F7" w:rsidRDefault="00881E58" w:rsidP="00CC19F7">
      <w:r w:rsidRPr="00CC19F7">
        <w:t xml:space="preserve">Regjeringa støtta også i 2022 nye garantiinstrument gjennom internasjonale </w:t>
      </w:r>
      <w:proofErr w:type="spellStart"/>
      <w:r w:rsidRPr="00CC19F7">
        <w:t>organisasjonar</w:t>
      </w:r>
      <w:proofErr w:type="spellEnd"/>
      <w:r w:rsidRPr="00CC19F7">
        <w:t xml:space="preserve"> (MIGA – Multilateral Investment </w:t>
      </w:r>
      <w:proofErr w:type="spellStart"/>
      <w:r w:rsidRPr="00CC19F7">
        <w:t>Guarantee</w:t>
      </w:r>
      <w:proofErr w:type="spellEnd"/>
      <w:r w:rsidRPr="00CC19F7">
        <w:t xml:space="preserve"> </w:t>
      </w:r>
      <w:proofErr w:type="spellStart"/>
      <w:r w:rsidRPr="00CC19F7">
        <w:t>Agency</w:t>
      </w:r>
      <w:proofErr w:type="spellEnd"/>
      <w:r w:rsidRPr="00CC19F7">
        <w:t xml:space="preserve"> og ATI – </w:t>
      </w:r>
      <w:proofErr w:type="spellStart"/>
      <w:r w:rsidRPr="00CC19F7">
        <w:t>African</w:t>
      </w:r>
      <w:proofErr w:type="spellEnd"/>
      <w:r w:rsidRPr="00CC19F7">
        <w:t xml:space="preserve"> Trade Insurance </w:t>
      </w:r>
      <w:proofErr w:type="spellStart"/>
      <w:r w:rsidRPr="00CC19F7">
        <w:t>Agency</w:t>
      </w:r>
      <w:proofErr w:type="spellEnd"/>
      <w:r w:rsidRPr="00CC19F7">
        <w:t xml:space="preserve">). Kunnskapsprogrammet </w:t>
      </w:r>
      <w:r w:rsidRPr="00CC19F7">
        <w:rPr>
          <w:rStyle w:val="kursiv"/>
        </w:rPr>
        <w:t>Energi for utvikling</w:t>
      </w:r>
      <w:r w:rsidRPr="00CC19F7">
        <w:t xml:space="preserve"> blei også lansert. Løyvinga til fornybar energi dekker tiltak som </w:t>
      </w:r>
      <w:proofErr w:type="spellStart"/>
      <w:r w:rsidRPr="00CC19F7">
        <w:t>forbetrar</w:t>
      </w:r>
      <w:proofErr w:type="spellEnd"/>
      <w:r w:rsidRPr="00CC19F7">
        <w:t xml:space="preserve"> investeringsklimaet, </w:t>
      </w:r>
      <w:proofErr w:type="spellStart"/>
      <w:r w:rsidRPr="00CC19F7">
        <w:t>betrar</w:t>
      </w:r>
      <w:proofErr w:type="spellEnd"/>
      <w:r w:rsidRPr="00CC19F7">
        <w:t xml:space="preserve"> energiforvaltninga i samarbeidslanda, bygger ut straumnettet, </w:t>
      </w:r>
      <w:proofErr w:type="spellStart"/>
      <w:r w:rsidRPr="00CC19F7">
        <w:t>støttar</w:t>
      </w:r>
      <w:proofErr w:type="spellEnd"/>
      <w:r w:rsidRPr="00CC19F7">
        <w:t xml:space="preserve"> lokale </w:t>
      </w:r>
      <w:proofErr w:type="spellStart"/>
      <w:r w:rsidRPr="00CC19F7">
        <w:t>straumløysingar</w:t>
      </w:r>
      <w:proofErr w:type="spellEnd"/>
      <w:r w:rsidRPr="00CC19F7">
        <w:t xml:space="preserve">, bidrar til </w:t>
      </w:r>
      <w:proofErr w:type="spellStart"/>
      <w:r w:rsidRPr="00CC19F7">
        <w:t>auka</w:t>
      </w:r>
      <w:proofErr w:type="spellEnd"/>
      <w:r w:rsidRPr="00CC19F7">
        <w:t xml:space="preserve"> bruk av reine </w:t>
      </w:r>
      <w:proofErr w:type="spellStart"/>
      <w:r w:rsidRPr="00CC19F7">
        <w:t>kokeomnar</w:t>
      </w:r>
      <w:proofErr w:type="spellEnd"/>
      <w:r w:rsidRPr="00CC19F7">
        <w:t xml:space="preserve">, til energieffektivisering og til å fase ut kol. Innsatsen er </w:t>
      </w:r>
      <w:proofErr w:type="spellStart"/>
      <w:r w:rsidRPr="00CC19F7">
        <w:t>særleg</w:t>
      </w:r>
      <w:proofErr w:type="spellEnd"/>
      <w:r w:rsidRPr="00CC19F7">
        <w:t xml:space="preserve"> retta mot </w:t>
      </w:r>
      <w:proofErr w:type="spellStart"/>
      <w:r w:rsidRPr="00CC19F7">
        <w:t>partnarland</w:t>
      </w:r>
      <w:proofErr w:type="spellEnd"/>
      <w:r w:rsidRPr="00CC19F7">
        <w:t xml:space="preserve"> i Afrika.</w:t>
      </w:r>
    </w:p>
    <w:p w14:paraId="56AC82C7" w14:textId="77777777" w:rsidR="00FE02EF" w:rsidRPr="00CC19F7" w:rsidRDefault="00881E58" w:rsidP="00CC19F7">
      <w:r w:rsidRPr="00CC19F7">
        <w:t>Gjennom EØS-</w:t>
      </w:r>
      <w:proofErr w:type="spellStart"/>
      <w:r w:rsidRPr="00CC19F7">
        <w:t>midlane</w:t>
      </w:r>
      <w:proofErr w:type="spellEnd"/>
      <w:r w:rsidRPr="00CC19F7">
        <w:t xml:space="preserve"> bidrar </w:t>
      </w:r>
      <w:proofErr w:type="spellStart"/>
      <w:r w:rsidRPr="00CC19F7">
        <w:t>Noreg</w:t>
      </w:r>
      <w:proofErr w:type="spellEnd"/>
      <w:r w:rsidRPr="00CC19F7">
        <w:t xml:space="preserve"> til å støtte målet om rein energi til EØS-landa. Støtta er primært retta mot fornybar energi, energieffektivisering og </w:t>
      </w:r>
      <w:proofErr w:type="spellStart"/>
      <w:r w:rsidRPr="00CC19F7">
        <w:t>energisikkerheit</w:t>
      </w:r>
      <w:proofErr w:type="spellEnd"/>
      <w:r w:rsidRPr="00CC19F7">
        <w:t>.</w:t>
      </w:r>
    </w:p>
    <w:p w14:paraId="3321FE56" w14:textId="77777777" w:rsidR="00FE02EF" w:rsidRPr="00CC19F7" w:rsidRDefault="00881E58" w:rsidP="00CC19F7">
      <w:proofErr w:type="spellStart"/>
      <w:r w:rsidRPr="00CC19F7">
        <w:t>Noreg</w:t>
      </w:r>
      <w:proofErr w:type="spellEnd"/>
      <w:r w:rsidRPr="00CC19F7">
        <w:t xml:space="preserve"> deltar i ei rekke internasjonale samarbeidsforum for energiforsking og -innovasjon, for å utvikle og fremme bruken av nye og </w:t>
      </w:r>
      <w:proofErr w:type="spellStart"/>
      <w:r w:rsidRPr="00CC19F7">
        <w:t>meir</w:t>
      </w:r>
      <w:proofErr w:type="spellEnd"/>
      <w:r w:rsidRPr="00CC19F7">
        <w:t xml:space="preserve"> effektive klima- og </w:t>
      </w:r>
      <w:proofErr w:type="spellStart"/>
      <w:r w:rsidRPr="00CC19F7">
        <w:t>miljøvennlege</w:t>
      </w:r>
      <w:proofErr w:type="spellEnd"/>
      <w:r w:rsidRPr="00CC19F7">
        <w:t xml:space="preserve"> </w:t>
      </w:r>
      <w:proofErr w:type="spellStart"/>
      <w:r w:rsidRPr="00CC19F7">
        <w:t>energiteknologiar</w:t>
      </w:r>
      <w:proofErr w:type="spellEnd"/>
      <w:r w:rsidRPr="00CC19F7">
        <w:t xml:space="preserve">. Samarbeidet på EU-arenaen er det klart </w:t>
      </w:r>
      <w:proofErr w:type="spellStart"/>
      <w:r w:rsidRPr="00CC19F7">
        <w:t>viktigaste</w:t>
      </w:r>
      <w:proofErr w:type="spellEnd"/>
      <w:r w:rsidRPr="00CC19F7">
        <w:t xml:space="preserve"> for norske </w:t>
      </w:r>
      <w:proofErr w:type="spellStart"/>
      <w:r w:rsidRPr="00CC19F7">
        <w:t>forskingsaktørar</w:t>
      </w:r>
      <w:proofErr w:type="spellEnd"/>
      <w:r w:rsidRPr="00CC19F7">
        <w:t xml:space="preserve"> og norsk næringsliv, men </w:t>
      </w:r>
      <w:proofErr w:type="spellStart"/>
      <w:r w:rsidRPr="00CC19F7">
        <w:t>dei</w:t>
      </w:r>
      <w:proofErr w:type="spellEnd"/>
      <w:r w:rsidRPr="00CC19F7">
        <w:t xml:space="preserve"> </w:t>
      </w:r>
      <w:proofErr w:type="spellStart"/>
      <w:r w:rsidRPr="00CC19F7">
        <w:t>seinare</w:t>
      </w:r>
      <w:proofErr w:type="spellEnd"/>
      <w:r w:rsidRPr="00CC19F7">
        <w:t xml:space="preserve"> åra har også </w:t>
      </w:r>
      <w:proofErr w:type="spellStart"/>
      <w:r w:rsidRPr="00CC19F7">
        <w:t>Mission</w:t>
      </w:r>
      <w:proofErr w:type="spellEnd"/>
      <w:r w:rsidRPr="00CC19F7">
        <w:t xml:space="preserve"> </w:t>
      </w:r>
      <w:proofErr w:type="spellStart"/>
      <w:r w:rsidRPr="00CC19F7">
        <w:t>Innovation</w:t>
      </w:r>
      <w:proofErr w:type="spellEnd"/>
      <w:r w:rsidRPr="00CC19F7">
        <w:t xml:space="preserve"> fått </w:t>
      </w:r>
      <w:proofErr w:type="spellStart"/>
      <w:r w:rsidRPr="00CC19F7">
        <w:t>auka</w:t>
      </w:r>
      <w:proofErr w:type="spellEnd"/>
      <w:r w:rsidRPr="00CC19F7">
        <w:t xml:space="preserve"> </w:t>
      </w:r>
      <w:proofErr w:type="spellStart"/>
      <w:r w:rsidRPr="00CC19F7">
        <w:t>merksemd</w:t>
      </w:r>
      <w:proofErr w:type="spellEnd"/>
      <w:r w:rsidRPr="00CC19F7">
        <w:t xml:space="preserve">. </w:t>
      </w:r>
      <w:proofErr w:type="spellStart"/>
      <w:r w:rsidRPr="00CC19F7">
        <w:t>Mission</w:t>
      </w:r>
      <w:proofErr w:type="spellEnd"/>
      <w:r w:rsidRPr="00CC19F7">
        <w:t xml:space="preserve"> </w:t>
      </w:r>
      <w:proofErr w:type="spellStart"/>
      <w:r w:rsidRPr="00CC19F7">
        <w:t>Innovation</w:t>
      </w:r>
      <w:proofErr w:type="spellEnd"/>
      <w:r w:rsidRPr="00CC19F7">
        <w:t xml:space="preserve"> er </w:t>
      </w:r>
      <w:proofErr w:type="spellStart"/>
      <w:r w:rsidRPr="00CC19F7">
        <w:t>eit</w:t>
      </w:r>
      <w:proofErr w:type="spellEnd"/>
      <w:r w:rsidRPr="00CC19F7">
        <w:t xml:space="preserve"> globalt initiativ med 22 </w:t>
      </w:r>
      <w:proofErr w:type="spellStart"/>
      <w:r w:rsidRPr="00CC19F7">
        <w:t>deltakande</w:t>
      </w:r>
      <w:proofErr w:type="spellEnd"/>
      <w:r w:rsidRPr="00CC19F7">
        <w:t xml:space="preserve"> land pluss EU-kommisjonen som har som mål å akselerere </w:t>
      </w:r>
      <w:proofErr w:type="spellStart"/>
      <w:r w:rsidRPr="00CC19F7">
        <w:t>offentleg</w:t>
      </w:r>
      <w:proofErr w:type="spellEnd"/>
      <w:r w:rsidRPr="00CC19F7">
        <w:t xml:space="preserve"> og privat rein energiinnovasjon for å møte </w:t>
      </w:r>
      <w:proofErr w:type="spellStart"/>
      <w:r w:rsidRPr="00CC19F7">
        <w:t>klimaendringar</w:t>
      </w:r>
      <w:proofErr w:type="spellEnd"/>
      <w:r w:rsidRPr="00CC19F7">
        <w:t xml:space="preserve">, </w:t>
      </w:r>
      <w:proofErr w:type="spellStart"/>
      <w:r w:rsidRPr="00CC19F7">
        <w:t>gjere</w:t>
      </w:r>
      <w:proofErr w:type="spellEnd"/>
      <w:r w:rsidRPr="00CC19F7">
        <w:t xml:space="preserve"> rein energi </w:t>
      </w:r>
      <w:proofErr w:type="spellStart"/>
      <w:r w:rsidRPr="00CC19F7">
        <w:t>rimeleg</w:t>
      </w:r>
      <w:proofErr w:type="spellEnd"/>
      <w:r w:rsidRPr="00CC19F7">
        <w:t xml:space="preserve"> for </w:t>
      </w:r>
      <w:proofErr w:type="spellStart"/>
      <w:r w:rsidRPr="00CC19F7">
        <w:t>forbrukarar</w:t>
      </w:r>
      <w:proofErr w:type="spellEnd"/>
      <w:r w:rsidRPr="00CC19F7">
        <w:t xml:space="preserve"> og skape </w:t>
      </w:r>
      <w:proofErr w:type="spellStart"/>
      <w:r w:rsidRPr="00CC19F7">
        <w:t>grøne</w:t>
      </w:r>
      <w:proofErr w:type="spellEnd"/>
      <w:r w:rsidRPr="00CC19F7">
        <w:t xml:space="preserve"> </w:t>
      </w:r>
      <w:proofErr w:type="spellStart"/>
      <w:r w:rsidRPr="00CC19F7">
        <w:t>arbeidsplassar</w:t>
      </w:r>
      <w:proofErr w:type="spellEnd"/>
      <w:r w:rsidRPr="00CC19F7">
        <w:t xml:space="preserve"> og kommersielle </w:t>
      </w:r>
      <w:proofErr w:type="spellStart"/>
      <w:r w:rsidRPr="00CC19F7">
        <w:t>moglegheiter</w:t>
      </w:r>
      <w:proofErr w:type="spellEnd"/>
      <w:r w:rsidRPr="00CC19F7">
        <w:t xml:space="preserve">. </w:t>
      </w:r>
      <w:proofErr w:type="spellStart"/>
      <w:r w:rsidRPr="00CC19F7">
        <w:t>Noreg</w:t>
      </w:r>
      <w:proofErr w:type="spellEnd"/>
      <w:r w:rsidRPr="00CC19F7">
        <w:t xml:space="preserve"> ved Olje- og energidepartementet deltar i </w:t>
      </w:r>
      <w:proofErr w:type="spellStart"/>
      <w:r w:rsidRPr="00CC19F7">
        <w:t>dei</w:t>
      </w:r>
      <w:proofErr w:type="spellEnd"/>
      <w:r w:rsidRPr="00CC19F7">
        <w:t xml:space="preserve"> </w:t>
      </w:r>
      <w:proofErr w:type="spellStart"/>
      <w:r w:rsidRPr="00CC19F7">
        <w:t>årlege</w:t>
      </w:r>
      <w:proofErr w:type="spellEnd"/>
      <w:r w:rsidRPr="00CC19F7">
        <w:t xml:space="preserve"> ministermøta, </w:t>
      </w:r>
      <w:proofErr w:type="spellStart"/>
      <w:r w:rsidRPr="00CC19F7">
        <w:t>medan</w:t>
      </w:r>
      <w:proofErr w:type="spellEnd"/>
      <w:r w:rsidRPr="00CC19F7">
        <w:t xml:space="preserve"> </w:t>
      </w:r>
      <w:proofErr w:type="spellStart"/>
      <w:r w:rsidRPr="00CC19F7">
        <w:t>Noregs</w:t>
      </w:r>
      <w:proofErr w:type="spellEnd"/>
      <w:r w:rsidRPr="00CC19F7">
        <w:t xml:space="preserve"> forskingsråd og Gassnova bidrar aktivt i arbeidet </w:t>
      </w:r>
      <w:proofErr w:type="spellStart"/>
      <w:r w:rsidRPr="00CC19F7">
        <w:t>innanfor</w:t>
      </w:r>
      <w:proofErr w:type="spellEnd"/>
      <w:r w:rsidRPr="00CC19F7">
        <w:t xml:space="preserve"> </w:t>
      </w:r>
      <w:proofErr w:type="spellStart"/>
      <w:r w:rsidRPr="00CC19F7">
        <w:t>dei</w:t>
      </w:r>
      <w:proofErr w:type="spellEnd"/>
      <w:r w:rsidRPr="00CC19F7">
        <w:t xml:space="preserve"> prioriterte områda reint hydrogen, utsleppsfri maritim transport og CO</w:t>
      </w:r>
      <w:r w:rsidRPr="00CC19F7">
        <w:rPr>
          <w:rStyle w:val="skrift-senket"/>
        </w:rPr>
        <w:t>2</w:t>
      </w:r>
      <w:r w:rsidRPr="00CC19F7">
        <w:t>-handtering (</w:t>
      </w:r>
      <w:proofErr w:type="spellStart"/>
      <w:r w:rsidRPr="00CC19F7">
        <w:t>Carbon</w:t>
      </w:r>
      <w:proofErr w:type="spellEnd"/>
      <w:r w:rsidRPr="00CC19F7">
        <w:t xml:space="preserve"> </w:t>
      </w:r>
      <w:proofErr w:type="spellStart"/>
      <w:r w:rsidRPr="00CC19F7">
        <w:t>Dioxide</w:t>
      </w:r>
      <w:proofErr w:type="spellEnd"/>
      <w:r w:rsidRPr="00CC19F7">
        <w:t xml:space="preserve"> </w:t>
      </w:r>
      <w:proofErr w:type="spellStart"/>
      <w:r w:rsidRPr="00CC19F7">
        <w:t>Removal</w:t>
      </w:r>
      <w:proofErr w:type="spellEnd"/>
      <w:r w:rsidRPr="00CC19F7">
        <w:t>).</w:t>
      </w:r>
    </w:p>
    <w:p w14:paraId="3A26EE40" w14:textId="77777777" w:rsidR="00FE02EF" w:rsidRPr="00CC19F7" w:rsidRDefault="00881E58" w:rsidP="00CC19F7">
      <w:pPr>
        <w:pStyle w:val="avsnitt-undertittel"/>
      </w:pPr>
      <w:r w:rsidRPr="00CC19F7">
        <w:t xml:space="preserve">Delmål 7.b) </w:t>
      </w:r>
      <w:proofErr w:type="spellStart"/>
      <w:r w:rsidRPr="00CC19F7">
        <w:t>Innan</w:t>
      </w:r>
      <w:proofErr w:type="spellEnd"/>
      <w:r w:rsidRPr="00CC19F7">
        <w:t xml:space="preserve"> 2030 bygge ut infrastruktur og oppgradere teknologi for å tilby moderne og </w:t>
      </w:r>
      <w:proofErr w:type="spellStart"/>
      <w:r w:rsidRPr="00CC19F7">
        <w:t>berekraftige</w:t>
      </w:r>
      <w:proofErr w:type="spellEnd"/>
      <w:r w:rsidRPr="00CC19F7">
        <w:t xml:space="preserve"> </w:t>
      </w:r>
      <w:proofErr w:type="spellStart"/>
      <w:r w:rsidRPr="00CC19F7">
        <w:t>energitenester</w:t>
      </w:r>
      <w:proofErr w:type="spellEnd"/>
      <w:r w:rsidRPr="00CC19F7">
        <w:t xml:space="preserve"> til alle </w:t>
      </w:r>
      <w:proofErr w:type="spellStart"/>
      <w:r w:rsidRPr="00CC19F7">
        <w:t>innbyggarar</w:t>
      </w:r>
      <w:proofErr w:type="spellEnd"/>
      <w:r w:rsidRPr="00CC19F7">
        <w:t xml:space="preserve"> i utviklingsland, </w:t>
      </w:r>
      <w:proofErr w:type="spellStart"/>
      <w:r w:rsidRPr="00CC19F7">
        <w:t>særleg</w:t>
      </w:r>
      <w:proofErr w:type="spellEnd"/>
      <w:r w:rsidRPr="00CC19F7">
        <w:t xml:space="preserve"> i </w:t>
      </w:r>
      <w:proofErr w:type="spellStart"/>
      <w:r w:rsidRPr="00CC19F7">
        <w:t>dei</w:t>
      </w:r>
      <w:proofErr w:type="spellEnd"/>
      <w:r w:rsidRPr="00CC19F7">
        <w:t xml:space="preserve"> minst utvikla </w:t>
      </w:r>
      <w:proofErr w:type="spellStart"/>
      <w:proofErr w:type="gramStart"/>
      <w:r w:rsidRPr="00CC19F7">
        <w:t>landa,små</w:t>
      </w:r>
      <w:proofErr w:type="spellEnd"/>
      <w:proofErr w:type="gramEnd"/>
      <w:r w:rsidRPr="00CC19F7">
        <w:t xml:space="preserve"> </w:t>
      </w:r>
      <w:proofErr w:type="spellStart"/>
      <w:r w:rsidRPr="00CC19F7">
        <w:t>utviklingsøystatar</w:t>
      </w:r>
      <w:proofErr w:type="spellEnd"/>
      <w:r w:rsidRPr="00CC19F7">
        <w:t xml:space="preserve"> og kystlause utviklingsland, i samsvar med </w:t>
      </w:r>
      <w:proofErr w:type="spellStart"/>
      <w:r w:rsidRPr="00CC19F7">
        <w:t>dei</w:t>
      </w:r>
      <w:proofErr w:type="spellEnd"/>
      <w:r w:rsidRPr="00CC19F7">
        <w:t xml:space="preserve"> respektive støtteprogramma i landa</w:t>
      </w:r>
    </w:p>
    <w:p w14:paraId="028EF242" w14:textId="77777777" w:rsidR="00FE02EF" w:rsidRPr="00CC19F7" w:rsidRDefault="00881E58" w:rsidP="00CC19F7">
      <w:r w:rsidRPr="00CC19F7">
        <w:t xml:space="preserve">Bistandsbudsjettet bidrar til </w:t>
      </w:r>
      <w:proofErr w:type="spellStart"/>
      <w:r w:rsidRPr="00CC19F7">
        <w:t>auka</w:t>
      </w:r>
      <w:proofErr w:type="spellEnd"/>
      <w:r w:rsidRPr="00CC19F7">
        <w:t xml:space="preserve"> utbygging av fornybar energi og større tilgang til elektrisitet og </w:t>
      </w:r>
      <w:proofErr w:type="spellStart"/>
      <w:r w:rsidRPr="00CC19F7">
        <w:t>reinare</w:t>
      </w:r>
      <w:proofErr w:type="spellEnd"/>
      <w:r w:rsidRPr="00CC19F7">
        <w:t xml:space="preserve"> </w:t>
      </w:r>
      <w:proofErr w:type="spellStart"/>
      <w:r w:rsidRPr="00CC19F7">
        <w:t>kokeløysingar</w:t>
      </w:r>
      <w:proofErr w:type="spellEnd"/>
      <w:r w:rsidRPr="00CC19F7">
        <w:t xml:space="preserve">. Om lag 700 </w:t>
      </w:r>
      <w:proofErr w:type="spellStart"/>
      <w:r w:rsidRPr="00CC19F7">
        <w:t>millionar</w:t>
      </w:r>
      <w:proofErr w:type="spellEnd"/>
      <w:r w:rsidRPr="00CC19F7">
        <w:t xml:space="preserve"> menneske </w:t>
      </w:r>
      <w:proofErr w:type="spellStart"/>
      <w:r w:rsidRPr="00CC19F7">
        <w:t>manglar</w:t>
      </w:r>
      <w:proofErr w:type="spellEnd"/>
      <w:r w:rsidRPr="00CC19F7">
        <w:t xml:space="preserve"> tilgang til elektrisitet, og 2,4 </w:t>
      </w:r>
      <w:proofErr w:type="spellStart"/>
      <w:r w:rsidRPr="00CC19F7">
        <w:t>milliardar</w:t>
      </w:r>
      <w:proofErr w:type="spellEnd"/>
      <w:r w:rsidRPr="00CC19F7">
        <w:t xml:space="preserve"> har </w:t>
      </w:r>
      <w:proofErr w:type="spellStart"/>
      <w:r w:rsidRPr="00CC19F7">
        <w:t>ikkje</w:t>
      </w:r>
      <w:proofErr w:type="spellEnd"/>
      <w:r w:rsidRPr="00CC19F7">
        <w:t xml:space="preserve"> tilgang til reine </w:t>
      </w:r>
      <w:proofErr w:type="spellStart"/>
      <w:r w:rsidRPr="00CC19F7">
        <w:t>kokeløysingar</w:t>
      </w:r>
      <w:proofErr w:type="spellEnd"/>
      <w:r w:rsidRPr="00CC19F7">
        <w:t xml:space="preserve">. </w:t>
      </w:r>
      <w:proofErr w:type="spellStart"/>
      <w:r w:rsidRPr="00CC19F7">
        <w:t>Utfordringane</w:t>
      </w:r>
      <w:proofErr w:type="spellEnd"/>
      <w:r w:rsidRPr="00CC19F7">
        <w:t xml:space="preserve"> er størst i Afrika, der nesten 600 </w:t>
      </w:r>
      <w:proofErr w:type="spellStart"/>
      <w:r w:rsidRPr="00CC19F7">
        <w:t>millionar</w:t>
      </w:r>
      <w:proofErr w:type="spellEnd"/>
      <w:r w:rsidRPr="00CC19F7">
        <w:t xml:space="preserve"> menneske </w:t>
      </w:r>
      <w:proofErr w:type="spellStart"/>
      <w:r w:rsidRPr="00CC19F7">
        <w:t>manglar</w:t>
      </w:r>
      <w:proofErr w:type="spellEnd"/>
      <w:r w:rsidRPr="00CC19F7">
        <w:t xml:space="preserve"> tilgang til elektrisitet. Mindre enn </w:t>
      </w:r>
      <w:proofErr w:type="spellStart"/>
      <w:r w:rsidRPr="00CC19F7">
        <w:t>éin</w:t>
      </w:r>
      <w:proofErr w:type="spellEnd"/>
      <w:r w:rsidRPr="00CC19F7">
        <w:t xml:space="preserve"> prosent av </w:t>
      </w:r>
      <w:proofErr w:type="spellStart"/>
      <w:r w:rsidRPr="00CC19F7">
        <w:t>dei</w:t>
      </w:r>
      <w:proofErr w:type="spellEnd"/>
      <w:r w:rsidRPr="00CC19F7">
        <w:t xml:space="preserve"> globale </w:t>
      </w:r>
      <w:proofErr w:type="spellStart"/>
      <w:r w:rsidRPr="00CC19F7">
        <w:t>energiinvesteringane</w:t>
      </w:r>
      <w:proofErr w:type="spellEnd"/>
      <w:r w:rsidRPr="00CC19F7">
        <w:t xml:space="preserve"> skjer i </w:t>
      </w:r>
      <w:proofErr w:type="spellStart"/>
      <w:r w:rsidRPr="00CC19F7">
        <w:t>dei</w:t>
      </w:r>
      <w:proofErr w:type="spellEnd"/>
      <w:r w:rsidRPr="00CC19F7">
        <w:t xml:space="preserve"> minst utvikla landa.</w:t>
      </w:r>
    </w:p>
    <w:p w14:paraId="40F07BC2" w14:textId="77777777" w:rsidR="00FE02EF" w:rsidRPr="00CC19F7" w:rsidRDefault="00881E58" w:rsidP="00CC19F7">
      <w:proofErr w:type="spellStart"/>
      <w:r w:rsidRPr="00CC19F7">
        <w:t>Norfund</w:t>
      </w:r>
      <w:proofErr w:type="spellEnd"/>
      <w:r w:rsidRPr="00CC19F7">
        <w:t xml:space="preserve">, som er </w:t>
      </w:r>
      <w:proofErr w:type="spellStart"/>
      <w:r w:rsidRPr="00CC19F7">
        <w:t>Noregs</w:t>
      </w:r>
      <w:proofErr w:type="spellEnd"/>
      <w:r w:rsidRPr="00CC19F7">
        <w:t xml:space="preserve"> </w:t>
      </w:r>
      <w:proofErr w:type="spellStart"/>
      <w:r w:rsidRPr="00CC19F7">
        <w:t>hovudinstrument</w:t>
      </w:r>
      <w:proofErr w:type="spellEnd"/>
      <w:r w:rsidRPr="00CC19F7">
        <w:t xml:space="preserve"> for utbygging av fornybar energi i utviklingsland, forplikta seg i 2022 til 1,073 mrd. kroner til </w:t>
      </w:r>
      <w:proofErr w:type="spellStart"/>
      <w:r w:rsidRPr="00CC19F7">
        <w:t>investeringar</w:t>
      </w:r>
      <w:proofErr w:type="spellEnd"/>
      <w:r w:rsidRPr="00CC19F7">
        <w:t xml:space="preserve"> i fornybar energi (</w:t>
      </w:r>
      <w:proofErr w:type="spellStart"/>
      <w:r w:rsidRPr="00CC19F7">
        <w:t>innanfor</w:t>
      </w:r>
      <w:proofErr w:type="spellEnd"/>
      <w:r w:rsidRPr="00CC19F7">
        <w:t xml:space="preserve"> utviklingsmandatet). </w:t>
      </w:r>
      <w:proofErr w:type="spellStart"/>
      <w:r w:rsidRPr="00CC19F7">
        <w:t>Desse</w:t>
      </w:r>
      <w:proofErr w:type="spellEnd"/>
      <w:r w:rsidRPr="00CC19F7">
        <w:t xml:space="preserve"> </w:t>
      </w:r>
      <w:proofErr w:type="spellStart"/>
      <w:r w:rsidRPr="00CC19F7">
        <w:t>investeringane</w:t>
      </w:r>
      <w:proofErr w:type="spellEnd"/>
      <w:r w:rsidRPr="00CC19F7">
        <w:t xml:space="preserve"> vil gi 1,415 MW i </w:t>
      </w:r>
      <w:proofErr w:type="spellStart"/>
      <w:r w:rsidRPr="00CC19F7">
        <w:t>auka</w:t>
      </w:r>
      <w:proofErr w:type="spellEnd"/>
      <w:r w:rsidRPr="00CC19F7">
        <w:t xml:space="preserve"> produksjonskapasitet. Klimainvesteringsfondet blei operativt i 2022. </w:t>
      </w:r>
      <w:proofErr w:type="spellStart"/>
      <w:r w:rsidRPr="00CC19F7">
        <w:t>Norfund</w:t>
      </w:r>
      <w:proofErr w:type="spellEnd"/>
      <w:r w:rsidRPr="00CC19F7">
        <w:t xml:space="preserve"> har gjennom dette forplikta seg til 2,14 mrd. kroner til </w:t>
      </w:r>
      <w:proofErr w:type="spellStart"/>
      <w:r w:rsidRPr="00CC19F7">
        <w:t>investeringar</w:t>
      </w:r>
      <w:proofErr w:type="spellEnd"/>
      <w:r w:rsidRPr="00CC19F7">
        <w:t xml:space="preserve"> i prosjekt i Sør-Afrika og India, </w:t>
      </w:r>
      <w:proofErr w:type="spellStart"/>
      <w:r w:rsidRPr="00CC19F7">
        <w:t>noko</w:t>
      </w:r>
      <w:proofErr w:type="spellEnd"/>
      <w:r w:rsidRPr="00CC19F7">
        <w:t xml:space="preserve"> som vil gi 2,443 MW og redusere forventa utslepp av </w:t>
      </w:r>
      <w:proofErr w:type="spellStart"/>
      <w:r w:rsidRPr="00CC19F7">
        <w:t>klimagassar</w:t>
      </w:r>
      <w:proofErr w:type="spellEnd"/>
      <w:r w:rsidRPr="00CC19F7">
        <w:t xml:space="preserve"> med 6,2 mill. tonn CO</w:t>
      </w:r>
      <w:r w:rsidRPr="00CC19F7">
        <w:rPr>
          <w:rStyle w:val="skrift-senket"/>
        </w:rPr>
        <w:t>2</w:t>
      </w:r>
      <w:r w:rsidRPr="00CC19F7">
        <w:t xml:space="preserve">-ekvivalentar. Fondet får </w:t>
      </w:r>
      <w:proofErr w:type="spellStart"/>
      <w:r w:rsidRPr="00CC19F7">
        <w:t>ein</w:t>
      </w:r>
      <w:proofErr w:type="spellEnd"/>
      <w:r w:rsidRPr="00CC19F7">
        <w:t xml:space="preserve"> </w:t>
      </w:r>
      <w:proofErr w:type="spellStart"/>
      <w:r w:rsidRPr="00CC19F7">
        <w:t>årleg</w:t>
      </w:r>
      <w:proofErr w:type="spellEnd"/>
      <w:r w:rsidRPr="00CC19F7">
        <w:t xml:space="preserve"> kapitaltilførsel på 1 mrd. kroner over statsbudsjettet og 1 mrd. kroner </w:t>
      </w:r>
      <w:proofErr w:type="spellStart"/>
      <w:r w:rsidRPr="00CC19F7">
        <w:t>frå</w:t>
      </w:r>
      <w:proofErr w:type="spellEnd"/>
      <w:r w:rsidRPr="00CC19F7">
        <w:t xml:space="preserve"> </w:t>
      </w:r>
      <w:proofErr w:type="spellStart"/>
      <w:r w:rsidRPr="00CC19F7">
        <w:t>Norfund</w:t>
      </w:r>
      <w:proofErr w:type="spellEnd"/>
      <w:r w:rsidRPr="00CC19F7">
        <w:t>.</w:t>
      </w:r>
    </w:p>
    <w:p w14:paraId="64C89AA4" w14:textId="77777777" w:rsidR="00FE02EF" w:rsidRPr="00CC19F7" w:rsidRDefault="00881E58" w:rsidP="00CC19F7">
      <w:pPr>
        <w:pStyle w:val="avsnitt-tittel"/>
      </w:pPr>
      <w:r w:rsidRPr="00CC19F7">
        <w:t xml:space="preserve">Mål 9: Bygge solid infrastruktur og fremme </w:t>
      </w:r>
      <w:proofErr w:type="spellStart"/>
      <w:r w:rsidRPr="00CC19F7">
        <w:t>inkluderande</w:t>
      </w:r>
      <w:proofErr w:type="spellEnd"/>
      <w:r w:rsidRPr="00CC19F7">
        <w:t xml:space="preserve"> og </w:t>
      </w:r>
      <w:proofErr w:type="spellStart"/>
      <w:r w:rsidRPr="00CC19F7">
        <w:t>berekraftig</w:t>
      </w:r>
      <w:proofErr w:type="spellEnd"/>
      <w:r w:rsidRPr="00CC19F7">
        <w:t xml:space="preserve"> industrialisering og innovasjon</w:t>
      </w:r>
    </w:p>
    <w:p w14:paraId="7EE17C43" w14:textId="77777777" w:rsidR="00FE02EF" w:rsidRPr="00CC19F7" w:rsidRDefault="00881E58" w:rsidP="00CC19F7">
      <w:pPr>
        <w:pStyle w:val="avsnitt-undertittel"/>
      </w:pPr>
      <w:r w:rsidRPr="00CC19F7">
        <w:t xml:space="preserve">Delmål 9.1 Utvikle </w:t>
      </w:r>
      <w:proofErr w:type="spellStart"/>
      <w:r w:rsidRPr="00CC19F7">
        <w:t>påliteleg</w:t>
      </w:r>
      <w:proofErr w:type="spellEnd"/>
      <w:r w:rsidRPr="00CC19F7">
        <w:t xml:space="preserve">, </w:t>
      </w:r>
      <w:proofErr w:type="spellStart"/>
      <w:r w:rsidRPr="00CC19F7">
        <w:t>berekraftig</w:t>
      </w:r>
      <w:proofErr w:type="spellEnd"/>
      <w:r w:rsidRPr="00CC19F7">
        <w:t xml:space="preserve"> og solid infrastruktur av </w:t>
      </w:r>
      <w:proofErr w:type="spellStart"/>
      <w:r w:rsidRPr="00CC19F7">
        <w:t>høg</w:t>
      </w:r>
      <w:proofErr w:type="spellEnd"/>
      <w:r w:rsidRPr="00CC19F7">
        <w:t xml:space="preserve"> kvalitet, inkludert regional og </w:t>
      </w:r>
      <w:proofErr w:type="spellStart"/>
      <w:r w:rsidRPr="00CC19F7">
        <w:t>grensekryssande</w:t>
      </w:r>
      <w:proofErr w:type="spellEnd"/>
      <w:r w:rsidRPr="00CC19F7">
        <w:t xml:space="preserve"> infrastruktur, for å støtte økonomisk utvikling og livskvalitet med vekt på </w:t>
      </w:r>
      <w:proofErr w:type="spellStart"/>
      <w:r w:rsidRPr="00CC19F7">
        <w:t>overkommeleg</w:t>
      </w:r>
      <w:proofErr w:type="spellEnd"/>
      <w:r w:rsidRPr="00CC19F7">
        <w:t xml:space="preserve"> pris og likeverdig tilgang for alle</w:t>
      </w:r>
    </w:p>
    <w:p w14:paraId="2B690BC1" w14:textId="77777777" w:rsidR="00FE02EF" w:rsidRPr="00CC19F7" w:rsidRDefault="00881E58" w:rsidP="00CC19F7">
      <w:proofErr w:type="spellStart"/>
      <w:r w:rsidRPr="00CC19F7">
        <w:t>Gassco</w:t>
      </w:r>
      <w:proofErr w:type="spellEnd"/>
      <w:r w:rsidRPr="00CC19F7">
        <w:t xml:space="preserve"> AS har </w:t>
      </w:r>
      <w:proofErr w:type="spellStart"/>
      <w:r w:rsidRPr="00CC19F7">
        <w:t>eit</w:t>
      </w:r>
      <w:proofErr w:type="spellEnd"/>
      <w:r w:rsidRPr="00CC19F7">
        <w:t xml:space="preserve"> mandat til å koordinere drift og </w:t>
      </w:r>
      <w:proofErr w:type="spellStart"/>
      <w:r w:rsidRPr="00CC19F7">
        <w:t>vidareutvikling</w:t>
      </w:r>
      <w:proofErr w:type="spellEnd"/>
      <w:r w:rsidRPr="00CC19F7">
        <w:t xml:space="preserve"> av gasstransportsystemet med mål om å oppnå </w:t>
      </w:r>
      <w:proofErr w:type="spellStart"/>
      <w:r w:rsidRPr="00CC19F7">
        <w:t>heilskaplege</w:t>
      </w:r>
      <w:proofErr w:type="spellEnd"/>
      <w:r w:rsidRPr="00CC19F7">
        <w:t xml:space="preserve"> </w:t>
      </w:r>
      <w:proofErr w:type="spellStart"/>
      <w:r w:rsidRPr="00CC19F7">
        <w:t>løysingar</w:t>
      </w:r>
      <w:proofErr w:type="spellEnd"/>
      <w:r w:rsidRPr="00CC19F7">
        <w:t xml:space="preserve">. Rolla som systemoperatør bidrar også til å utvikle </w:t>
      </w:r>
      <w:proofErr w:type="spellStart"/>
      <w:r w:rsidRPr="00CC19F7">
        <w:t>ein</w:t>
      </w:r>
      <w:proofErr w:type="spellEnd"/>
      <w:r w:rsidRPr="00CC19F7">
        <w:t xml:space="preserve"> sikker, </w:t>
      </w:r>
      <w:proofErr w:type="spellStart"/>
      <w:r w:rsidRPr="00CC19F7">
        <w:t>påliteleg</w:t>
      </w:r>
      <w:proofErr w:type="spellEnd"/>
      <w:r w:rsidRPr="00CC19F7">
        <w:t xml:space="preserve"> og </w:t>
      </w:r>
      <w:proofErr w:type="spellStart"/>
      <w:r w:rsidRPr="00CC19F7">
        <w:t>berekraftig</w:t>
      </w:r>
      <w:proofErr w:type="spellEnd"/>
      <w:r w:rsidRPr="00CC19F7">
        <w:t xml:space="preserve"> infrastruktur av </w:t>
      </w:r>
      <w:proofErr w:type="spellStart"/>
      <w:r w:rsidRPr="00CC19F7">
        <w:t>høg</w:t>
      </w:r>
      <w:proofErr w:type="spellEnd"/>
      <w:r w:rsidRPr="00CC19F7">
        <w:t xml:space="preserve"> kvalitet. Framtidig utnytting og utvikling av </w:t>
      </w:r>
      <w:proofErr w:type="spellStart"/>
      <w:r w:rsidRPr="00CC19F7">
        <w:t>eksisterande</w:t>
      </w:r>
      <w:proofErr w:type="spellEnd"/>
      <w:r w:rsidRPr="00CC19F7">
        <w:t xml:space="preserve"> gassinfrastruktur vil ha samfunnsøkonomisk og miljømessig effekt.</w:t>
      </w:r>
    </w:p>
    <w:p w14:paraId="77F4B6DD" w14:textId="77777777" w:rsidR="00FE02EF" w:rsidRPr="00CC19F7" w:rsidRDefault="00881E58" w:rsidP="00CC19F7">
      <w:r w:rsidRPr="00CC19F7">
        <w:t xml:space="preserve">Å førebu gassinfrastrukturen for framtida i </w:t>
      </w:r>
      <w:proofErr w:type="spellStart"/>
      <w:r w:rsidRPr="00CC19F7">
        <w:t>eit</w:t>
      </w:r>
      <w:proofErr w:type="spellEnd"/>
      <w:r w:rsidRPr="00CC19F7">
        <w:t xml:space="preserve"> langsiktig perspektiv har </w:t>
      </w:r>
      <w:proofErr w:type="spellStart"/>
      <w:r w:rsidRPr="00CC19F7">
        <w:t>vore</w:t>
      </w:r>
      <w:proofErr w:type="spellEnd"/>
      <w:r w:rsidRPr="00CC19F7">
        <w:t xml:space="preserve"> </w:t>
      </w:r>
      <w:proofErr w:type="spellStart"/>
      <w:r w:rsidRPr="00CC19F7">
        <w:t>eit</w:t>
      </w:r>
      <w:proofErr w:type="spellEnd"/>
      <w:r w:rsidRPr="00CC19F7">
        <w:t xml:space="preserve"> prioritert analyseområde for </w:t>
      </w:r>
      <w:proofErr w:type="spellStart"/>
      <w:r w:rsidRPr="00CC19F7">
        <w:t>Gassco</w:t>
      </w:r>
      <w:proofErr w:type="spellEnd"/>
      <w:r w:rsidRPr="00CC19F7">
        <w:t xml:space="preserve"> AS </w:t>
      </w:r>
      <w:proofErr w:type="spellStart"/>
      <w:r w:rsidRPr="00CC19F7">
        <w:t>sidan</w:t>
      </w:r>
      <w:proofErr w:type="spellEnd"/>
      <w:r w:rsidRPr="00CC19F7">
        <w:t xml:space="preserve"> 2021. Arbeidet har vist at gassinfrastrukturen er fleksibel og tilpassingsdyktig, og at systemet kan </w:t>
      </w:r>
      <w:proofErr w:type="spellStart"/>
      <w:r w:rsidRPr="00CC19F7">
        <w:t>nyttast</w:t>
      </w:r>
      <w:proofErr w:type="spellEnd"/>
      <w:r w:rsidRPr="00CC19F7">
        <w:t xml:space="preserve"> for alternativ bruk, for eksempel transport av hydrogen og CO</w:t>
      </w:r>
      <w:r w:rsidRPr="00CC19F7">
        <w:rPr>
          <w:rStyle w:val="skrift-senket"/>
        </w:rPr>
        <w:t>2</w:t>
      </w:r>
      <w:r w:rsidRPr="00CC19F7">
        <w:t>.</w:t>
      </w:r>
    </w:p>
    <w:p w14:paraId="02182EA1" w14:textId="77777777" w:rsidR="00FE02EF" w:rsidRPr="00CC19F7" w:rsidRDefault="00881E58" w:rsidP="00CC19F7">
      <w:r w:rsidRPr="00CC19F7">
        <w:t xml:space="preserve">Tilgang til </w:t>
      </w:r>
      <w:proofErr w:type="spellStart"/>
      <w:r w:rsidRPr="00CC19F7">
        <w:t>straum</w:t>
      </w:r>
      <w:proofErr w:type="spellEnd"/>
      <w:r w:rsidRPr="00CC19F7">
        <w:t xml:space="preserve"> er </w:t>
      </w:r>
      <w:proofErr w:type="spellStart"/>
      <w:r w:rsidRPr="00CC19F7">
        <w:t>ein</w:t>
      </w:r>
      <w:proofErr w:type="spellEnd"/>
      <w:r w:rsidRPr="00CC19F7">
        <w:t xml:space="preserve"> viktig faktor i næringsutvikling. Både nettselskapa og </w:t>
      </w:r>
      <w:proofErr w:type="spellStart"/>
      <w:r w:rsidRPr="00CC19F7">
        <w:t>energimyndigheitene</w:t>
      </w:r>
      <w:proofErr w:type="spellEnd"/>
      <w:r w:rsidRPr="00CC19F7">
        <w:t xml:space="preserve"> opplever stor pågang </w:t>
      </w:r>
      <w:proofErr w:type="spellStart"/>
      <w:r w:rsidRPr="00CC19F7">
        <w:t>frå</w:t>
      </w:r>
      <w:proofErr w:type="spellEnd"/>
      <w:r w:rsidRPr="00CC19F7">
        <w:t xml:space="preserve"> </w:t>
      </w:r>
      <w:proofErr w:type="spellStart"/>
      <w:r w:rsidRPr="00CC19F7">
        <w:t>aktørar</w:t>
      </w:r>
      <w:proofErr w:type="spellEnd"/>
      <w:r w:rsidRPr="00CC19F7">
        <w:t xml:space="preserve"> som ønsker </w:t>
      </w:r>
      <w:proofErr w:type="spellStart"/>
      <w:r w:rsidRPr="00CC19F7">
        <w:t>tilknyting</w:t>
      </w:r>
      <w:proofErr w:type="spellEnd"/>
      <w:r w:rsidRPr="00CC19F7">
        <w:t xml:space="preserve"> til straumnettet. I dag er det mange </w:t>
      </w:r>
      <w:proofErr w:type="spellStart"/>
      <w:r w:rsidRPr="00CC19F7">
        <w:t>aktørar</w:t>
      </w:r>
      <w:proofErr w:type="spellEnd"/>
      <w:r w:rsidRPr="00CC19F7">
        <w:t xml:space="preserve"> som må vente i kø. Regjeringa har derfor tatt grep for </w:t>
      </w:r>
      <w:proofErr w:type="spellStart"/>
      <w:r w:rsidRPr="00CC19F7">
        <w:t>raskare</w:t>
      </w:r>
      <w:proofErr w:type="spellEnd"/>
      <w:r w:rsidRPr="00CC19F7">
        <w:t xml:space="preserve"> nettutbygging og </w:t>
      </w:r>
      <w:proofErr w:type="spellStart"/>
      <w:r w:rsidRPr="00CC19F7">
        <w:t>meir</w:t>
      </w:r>
      <w:proofErr w:type="spellEnd"/>
      <w:r w:rsidRPr="00CC19F7">
        <w:t xml:space="preserve"> effektiv bruk av det </w:t>
      </w:r>
      <w:proofErr w:type="spellStart"/>
      <w:r w:rsidRPr="00CC19F7">
        <w:t>eksisterande</w:t>
      </w:r>
      <w:proofErr w:type="spellEnd"/>
      <w:r w:rsidRPr="00CC19F7">
        <w:t xml:space="preserve"> nettet. Både NVE og Olje- og energidepartementet har fått tildelt </w:t>
      </w:r>
      <w:proofErr w:type="spellStart"/>
      <w:r w:rsidRPr="00CC19F7">
        <w:t>midlar</w:t>
      </w:r>
      <w:proofErr w:type="spellEnd"/>
      <w:r w:rsidRPr="00CC19F7">
        <w:t xml:space="preserve"> til å </w:t>
      </w:r>
      <w:proofErr w:type="spellStart"/>
      <w:r w:rsidRPr="00CC19F7">
        <w:t>auke</w:t>
      </w:r>
      <w:proofErr w:type="spellEnd"/>
      <w:r w:rsidRPr="00CC19F7">
        <w:t xml:space="preserve"> behandlingskapasiteten i konsesjonssaker, samtidig som NVE også har fått </w:t>
      </w:r>
      <w:proofErr w:type="spellStart"/>
      <w:r w:rsidRPr="00CC19F7">
        <w:t>meir</w:t>
      </w:r>
      <w:proofErr w:type="spellEnd"/>
      <w:r w:rsidRPr="00CC19F7">
        <w:t xml:space="preserve"> </w:t>
      </w:r>
      <w:proofErr w:type="spellStart"/>
      <w:r w:rsidRPr="00CC19F7">
        <w:t>midlar</w:t>
      </w:r>
      <w:proofErr w:type="spellEnd"/>
      <w:r w:rsidRPr="00CC19F7">
        <w:t xml:space="preserve"> til digitalisering av nettplanlegging og konsesjonsbehandling. NVE er også bedt om å forenkle behandlinga av nettsaker </w:t>
      </w:r>
      <w:proofErr w:type="spellStart"/>
      <w:r w:rsidRPr="00CC19F7">
        <w:t>ytterlegare</w:t>
      </w:r>
      <w:proofErr w:type="spellEnd"/>
      <w:r w:rsidRPr="00CC19F7">
        <w:t xml:space="preserve">, deriblant å </w:t>
      </w:r>
      <w:proofErr w:type="spellStart"/>
      <w:r w:rsidRPr="00CC19F7">
        <w:t>vidareutvikle</w:t>
      </w:r>
      <w:proofErr w:type="spellEnd"/>
      <w:r w:rsidRPr="00CC19F7">
        <w:t xml:space="preserve"> </w:t>
      </w:r>
      <w:proofErr w:type="spellStart"/>
      <w:r w:rsidRPr="00CC19F7">
        <w:t>eit</w:t>
      </w:r>
      <w:proofErr w:type="spellEnd"/>
      <w:r w:rsidRPr="00CC19F7">
        <w:t xml:space="preserve"> hurtigspor for små og/eller enkle saker.</w:t>
      </w:r>
    </w:p>
    <w:p w14:paraId="74C19127" w14:textId="77777777" w:rsidR="00FE02EF" w:rsidRPr="00CC19F7" w:rsidRDefault="00881E58" w:rsidP="00CC19F7">
      <w:r w:rsidRPr="00CC19F7">
        <w:t xml:space="preserve">I tillegg har regjeringa lansert </w:t>
      </w:r>
      <w:proofErr w:type="spellStart"/>
      <w:r w:rsidRPr="00CC19F7">
        <w:t>ein</w:t>
      </w:r>
      <w:proofErr w:type="spellEnd"/>
      <w:r w:rsidRPr="00CC19F7">
        <w:t xml:space="preserve"> handlingsplan for </w:t>
      </w:r>
      <w:proofErr w:type="spellStart"/>
      <w:r w:rsidRPr="00CC19F7">
        <w:t>raskare</w:t>
      </w:r>
      <w:proofErr w:type="spellEnd"/>
      <w:r w:rsidRPr="00CC19F7">
        <w:t xml:space="preserve"> nettutbygging og </w:t>
      </w:r>
      <w:proofErr w:type="spellStart"/>
      <w:r w:rsidRPr="00CC19F7">
        <w:t>meir</w:t>
      </w:r>
      <w:proofErr w:type="spellEnd"/>
      <w:r w:rsidRPr="00CC19F7">
        <w:t xml:space="preserve"> effektiv bruk av nettet. I handlingsplanen </w:t>
      </w:r>
      <w:proofErr w:type="spellStart"/>
      <w:r w:rsidRPr="00CC19F7">
        <w:t>varslar</w:t>
      </w:r>
      <w:proofErr w:type="spellEnd"/>
      <w:r w:rsidRPr="00CC19F7">
        <w:t xml:space="preserve"> regjeringa </w:t>
      </w:r>
      <w:proofErr w:type="spellStart"/>
      <w:r w:rsidRPr="00CC19F7">
        <w:t>fleire</w:t>
      </w:r>
      <w:proofErr w:type="spellEnd"/>
      <w:r w:rsidRPr="00CC19F7">
        <w:t xml:space="preserve"> </w:t>
      </w:r>
      <w:proofErr w:type="spellStart"/>
      <w:r w:rsidRPr="00CC19F7">
        <w:t>forskriftsendringar</w:t>
      </w:r>
      <w:proofErr w:type="spellEnd"/>
      <w:r w:rsidRPr="00CC19F7">
        <w:t xml:space="preserve"> som skal bidra til </w:t>
      </w:r>
      <w:proofErr w:type="spellStart"/>
      <w:r w:rsidRPr="00CC19F7">
        <w:t>ein</w:t>
      </w:r>
      <w:proofErr w:type="spellEnd"/>
      <w:r w:rsidRPr="00CC19F7">
        <w:t xml:space="preserve"> </w:t>
      </w:r>
      <w:proofErr w:type="spellStart"/>
      <w:r w:rsidRPr="00CC19F7">
        <w:t>meir</w:t>
      </w:r>
      <w:proofErr w:type="spellEnd"/>
      <w:r w:rsidRPr="00CC19F7">
        <w:t xml:space="preserve"> effektiv </w:t>
      </w:r>
      <w:proofErr w:type="spellStart"/>
      <w:r w:rsidRPr="00CC19F7">
        <w:t>tilknytingsprosess</w:t>
      </w:r>
      <w:proofErr w:type="spellEnd"/>
      <w:r w:rsidRPr="00CC19F7">
        <w:t xml:space="preserve">. Olje- og energidepartementet har gitt </w:t>
      </w:r>
      <w:proofErr w:type="spellStart"/>
      <w:r w:rsidRPr="00CC19F7">
        <w:t>Reguleringsmyndigheita</w:t>
      </w:r>
      <w:proofErr w:type="spellEnd"/>
      <w:r w:rsidRPr="00CC19F7">
        <w:t xml:space="preserve"> for energi i oppdrag å utarbeide forslag til </w:t>
      </w:r>
      <w:proofErr w:type="spellStart"/>
      <w:r w:rsidRPr="00CC19F7">
        <w:t>forskriftsendringar</w:t>
      </w:r>
      <w:proofErr w:type="spellEnd"/>
      <w:r w:rsidRPr="00CC19F7">
        <w:t>.</w:t>
      </w:r>
    </w:p>
    <w:p w14:paraId="40EA8DFD" w14:textId="77777777" w:rsidR="00FE02EF" w:rsidRPr="00CC19F7" w:rsidRDefault="00881E58" w:rsidP="00CC19F7">
      <w:pPr>
        <w:pStyle w:val="avsnitt-tittel"/>
      </w:pPr>
      <w:r w:rsidRPr="00CC19F7">
        <w:t xml:space="preserve">Mål 11: </w:t>
      </w:r>
      <w:proofErr w:type="spellStart"/>
      <w:r w:rsidRPr="00CC19F7">
        <w:t>Berekraftige</w:t>
      </w:r>
      <w:proofErr w:type="spellEnd"/>
      <w:r w:rsidRPr="00CC19F7">
        <w:t xml:space="preserve"> </w:t>
      </w:r>
      <w:proofErr w:type="spellStart"/>
      <w:r w:rsidRPr="00CC19F7">
        <w:t>byar</w:t>
      </w:r>
      <w:proofErr w:type="spellEnd"/>
      <w:r w:rsidRPr="00CC19F7">
        <w:t xml:space="preserve"> og lokalsamfunn</w:t>
      </w:r>
    </w:p>
    <w:p w14:paraId="01560765" w14:textId="77777777" w:rsidR="00FE02EF" w:rsidRPr="00CC19F7" w:rsidRDefault="00881E58" w:rsidP="00CC19F7">
      <w:pPr>
        <w:pStyle w:val="avsnitt-undertittel"/>
      </w:pPr>
      <w:r w:rsidRPr="00CC19F7">
        <w:t xml:space="preserve">Delmål 11.3) </w:t>
      </w:r>
      <w:proofErr w:type="spellStart"/>
      <w:r w:rsidRPr="00CC19F7">
        <w:t>Innan</w:t>
      </w:r>
      <w:proofErr w:type="spellEnd"/>
      <w:r w:rsidRPr="00CC19F7">
        <w:t xml:space="preserve"> 2030 styrke </w:t>
      </w:r>
      <w:proofErr w:type="spellStart"/>
      <w:r w:rsidRPr="00CC19F7">
        <w:t>inkluderande</w:t>
      </w:r>
      <w:proofErr w:type="spellEnd"/>
      <w:r w:rsidRPr="00CC19F7">
        <w:t xml:space="preserve"> og </w:t>
      </w:r>
      <w:proofErr w:type="spellStart"/>
      <w:r w:rsidRPr="00CC19F7">
        <w:t>berekraftig</w:t>
      </w:r>
      <w:proofErr w:type="spellEnd"/>
      <w:r w:rsidRPr="00CC19F7">
        <w:t xml:space="preserve"> urbanisering og </w:t>
      </w:r>
      <w:proofErr w:type="spellStart"/>
      <w:r w:rsidRPr="00CC19F7">
        <w:t>moglegheitene</w:t>
      </w:r>
      <w:proofErr w:type="spellEnd"/>
      <w:r w:rsidRPr="00CC19F7">
        <w:t xml:space="preserve"> for ei </w:t>
      </w:r>
      <w:proofErr w:type="spellStart"/>
      <w:r w:rsidRPr="00CC19F7">
        <w:t>deltakande</w:t>
      </w:r>
      <w:proofErr w:type="spellEnd"/>
      <w:r w:rsidRPr="00CC19F7">
        <w:t xml:space="preserve">, integrert og </w:t>
      </w:r>
      <w:proofErr w:type="spellStart"/>
      <w:r w:rsidRPr="00CC19F7">
        <w:t>berekraftig</w:t>
      </w:r>
      <w:proofErr w:type="spellEnd"/>
      <w:r w:rsidRPr="00CC19F7">
        <w:t xml:space="preserve"> samfunnsplanlegging og forvaltning</w:t>
      </w:r>
    </w:p>
    <w:p w14:paraId="5C66510E" w14:textId="77777777" w:rsidR="00FE02EF" w:rsidRPr="00CC19F7" w:rsidRDefault="00881E58" w:rsidP="00CC19F7">
      <w:r w:rsidRPr="00CC19F7">
        <w:t xml:space="preserve">NVE bidrar til å </w:t>
      </w:r>
      <w:proofErr w:type="spellStart"/>
      <w:r w:rsidRPr="00CC19F7">
        <w:t>gjere</w:t>
      </w:r>
      <w:proofErr w:type="spellEnd"/>
      <w:r w:rsidRPr="00CC19F7">
        <w:t xml:space="preserve"> </w:t>
      </w:r>
      <w:proofErr w:type="spellStart"/>
      <w:r w:rsidRPr="00CC19F7">
        <w:t>byar</w:t>
      </w:r>
      <w:proofErr w:type="spellEnd"/>
      <w:r w:rsidRPr="00CC19F7">
        <w:t xml:space="preserve"> og lokalsamfunn trygge, </w:t>
      </w:r>
      <w:proofErr w:type="gramStart"/>
      <w:r w:rsidRPr="00CC19F7">
        <w:t>robuste</w:t>
      </w:r>
      <w:proofErr w:type="gramEnd"/>
      <w:r w:rsidRPr="00CC19F7">
        <w:t xml:space="preserve"> og </w:t>
      </w:r>
      <w:proofErr w:type="spellStart"/>
      <w:r w:rsidRPr="00CC19F7">
        <w:t>berekraftige</w:t>
      </w:r>
      <w:proofErr w:type="spellEnd"/>
      <w:r w:rsidRPr="00CC19F7">
        <w:t xml:space="preserve"> gjennom å </w:t>
      </w:r>
      <w:proofErr w:type="spellStart"/>
      <w:r w:rsidRPr="00CC19F7">
        <w:t>førebygge</w:t>
      </w:r>
      <w:proofErr w:type="spellEnd"/>
      <w:r w:rsidRPr="00CC19F7">
        <w:t xml:space="preserve"> og sikre mot </w:t>
      </w:r>
      <w:proofErr w:type="spellStart"/>
      <w:r w:rsidRPr="00CC19F7">
        <w:t>skadar</w:t>
      </w:r>
      <w:proofErr w:type="spellEnd"/>
      <w:r w:rsidRPr="00CC19F7">
        <w:t xml:space="preserve"> </w:t>
      </w:r>
      <w:proofErr w:type="spellStart"/>
      <w:r w:rsidRPr="00CC19F7">
        <w:t>frå</w:t>
      </w:r>
      <w:proofErr w:type="spellEnd"/>
      <w:r w:rsidRPr="00CC19F7">
        <w:t xml:space="preserve"> </w:t>
      </w:r>
      <w:proofErr w:type="spellStart"/>
      <w:r w:rsidRPr="00CC19F7">
        <w:t>flaum</w:t>
      </w:r>
      <w:proofErr w:type="spellEnd"/>
      <w:r w:rsidRPr="00CC19F7">
        <w:t xml:space="preserve">, skred og overvatn. I </w:t>
      </w:r>
      <w:proofErr w:type="spellStart"/>
      <w:r w:rsidRPr="00CC19F7">
        <w:t>Noreg</w:t>
      </w:r>
      <w:proofErr w:type="spellEnd"/>
      <w:r w:rsidRPr="00CC19F7">
        <w:t xml:space="preserve"> er det blitt bygd i område der det er fare for </w:t>
      </w:r>
      <w:proofErr w:type="spellStart"/>
      <w:r w:rsidRPr="00CC19F7">
        <w:t>flaum</w:t>
      </w:r>
      <w:proofErr w:type="spellEnd"/>
      <w:r w:rsidRPr="00CC19F7">
        <w:t xml:space="preserve"> og skred, i ei tid da det </w:t>
      </w:r>
      <w:proofErr w:type="spellStart"/>
      <w:r w:rsidRPr="00CC19F7">
        <w:t>ikkje</w:t>
      </w:r>
      <w:proofErr w:type="spellEnd"/>
      <w:r w:rsidRPr="00CC19F7">
        <w:t xml:space="preserve"> blei stilt strenge krav til </w:t>
      </w:r>
      <w:proofErr w:type="spellStart"/>
      <w:r w:rsidRPr="00CC19F7">
        <w:t>sikkerheit</w:t>
      </w:r>
      <w:proofErr w:type="spellEnd"/>
      <w:r w:rsidRPr="00CC19F7">
        <w:t xml:space="preserve"> ved nybygging. NVE bidrar til å nå målet om </w:t>
      </w:r>
      <w:proofErr w:type="spellStart"/>
      <w:r w:rsidRPr="00CC19F7">
        <w:t>berekraftige</w:t>
      </w:r>
      <w:proofErr w:type="spellEnd"/>
      <w:r w:rsidRPr="00CC19F7">
        <w:t xml:space="preserve"> </w:t>
      </w:r>
      <w:proofErr w:type="spellStart"/>
      <w:r w:rsidRPr="00CC19F7">
        <w:t>byar</w:t>
      </w:r>
      <w:proofErr w:type="spellEnd"/>
      <w:r w:rsidRPr="00CC19F7">
        <w:t xml:space="preserve"> og lokalsamfunn gjennom arbeidet med kartlegging, sikring, arealplanbehandling og </w:t>
      </w:r>
      <w:proofErr w:type="spellStart"/>
      <w:r w:rsidRPr="00CC19F7">
        <w:t>overvaking</w:t>
      </w:r>
      <w:proofErr w:type="spellEnd"/>
      <w:r w:rsidRPr="00CC19F7">
        <w:t xml:space="preserve"> og varsling av </w:t>
      </w:r>
      <w:proofErr w:type="spellStart"/>
      <w:r w:rsidRPr="00CC19F7">
        <w:t>naturfare</w:t>
      </w:r>
      <w:proofErr w:type="spellEnd"/>
      <w:r w:rsidRPr="00CC19F7">
        <w:t xml:space="preserve">. Klimaet er i endring, og </w:t>
      </w:r>
      <w:proofErr w:type="spellStart"/>
      <w:r w:rsidRPr="00CC19F7">
        <w:t>meir</w:t>
      </w:r>
      <w:proofErr w:type="spellEnd"/>
      <w:r w:rsidRPr="00CC19F7">
        <w:t xml:space="preserve"> </w:t>
      </w:r>
      <w:proofErr w:type="spellStart"/>
      <w:r w:rsidRPr="00CC19F7">
        <w:t>ekstremvêr</w:t>
      </w:r>
      <w:proofErr w:type="spellEnd"/>
      <w:r w:rsidRPr="00CC19F7">
        <w:t xml:space="preserve"> kan føre til </w:t>
      </w:r>
      <w:proofErr w:type="spellStart"/>
      <w:r w:rsidRPr="00CC19F7">
        <w:t>meir</w:t>
      </w:r>
      <w:proofErr w:type="spellEnd"/>
      <w:r w:rsidRPr="00CC19F7">
        <w:t xml:space="preserve"> overvatn og </w:t>
      </w:r>
      <w:proofErr w:type="spellStart"/>
      <w:r w:rsidRPr="00CC19F7">
        <w:t>fleire</w:t>
      </w:r>
      <w:proofErr w:type="spellEnd"/>
      <w:r w:rsidRPr="00CC19F7">
        <w:t xml:space="preserve"> og større </w:t>
      </w:r>
      <w:proofErr w:type="spellStart"/>
      <w:r w:rsidRPr="00CC19F7">
        <w:t>flaum</w:t>
      </w:r>
      <w:proofErr w:type="spellEnd"/>
      <w:r w:rsidRPr="00CC19F7">
        <w:t xml:space="preserve">- og </w:t>
      </w:r>
      <w:proofErr w:type="spellStart"/>
      <w:r w:rsidRPr="00CC19F7">
        <w:t>skredhendingar</w:t>
      </w:r>
      <w:proofErr w:type="spellEnd"/>
      <w:r w:rsidRPr="00CC19F7">
        <w:t xml:space="preserve">. </w:t>
      </w:r>
      <w:proofErr w:type="spellStart"/>
      <w:r w:rsidRPr="00CC19F7">
        <w:t>Eit</w:t>
      </w:r>
      <w:proofErr w:type="spellEnd"/>
      <w:r w:rsidRPr="00CC19F7">
        <w:t xml:space="preserve"> </w:t>
      </w:r>
      <w:proofErr w:type="spellStart"/>
      <w:r w:rsidRPr="00CC19F7">
        <w:t>auka</w:t>
      </w:r>
      <w:proofErr w:type="spellEnd"/>
      <w:r w:rsidRPr="00CC19F7">
        <w:t xml:space="preserve"> press på areal for utbygging vil </w:t>
      </w:r>
      <w:proofErr w:type="spellStart"/>
      <w:r w:rsidRPr="00CC19F7">
        <w:t>auke</w:t>
      </w:r>
      <w:proofErr w:type="spellEnd"/>
      <w:r w:rsidRPr="00CC19F7">
        <w:t xml:space="preserve"> behovet for kunnskap, rettleiing, </w:t>
      </w:r>
      <w:proofErr w:type="spellStart"/>
      <w:r w:rsidRPr="00CC19F7">
        <w:t>overvaking</w:t>
      </w:r>
      <w:proofErr w:type="spellEnd"/>
      <w:r w:rsidRPr="00CC19F7">
        <w:t xml:space="preserve"> og sikring.</w:t>
      </w:r>
    </w:p>
    <w:p w14:paraId="5C407C19" w14:textId="77777777" w:rsidR="00FE02EF" w:rsidRPr="00CC19F7" w:rsidRDefault="00881E58" w:rsidP="00CC19F7">
      <w:pPr>
        <w:pStyle w:val="avsnitt-tittel"/>
      </w:pPr>
      <w:r w:rsidRPr="00CC19F7">
        <w:t xml:space="preserve">Mål 12: Sikre </w:t>
      </w:r>
      <w:proofErr w:type="spellStart"/>
      <w:r w:rsidRPr="00CC19F7">
        <w:t>berekraftige</w:t>
      </w:r>
      <w:proofErr w:type="spellEnd"/>
      <w:r w:rsidRPr="00CC19F7">
        <w:t xml:space="preserve"> forbruks- og produksjonsmønster</w:t>
      </w:r>
    </w:p>
    <w:p w14:paraId="30E5B39C" w14:textId="77777777" w:rsidR="00FE02EF" w:rsidRPr="00CC19F7" w:rsidRDefault="00881E58" w:rsidP="00CC19F7">
      <w:pPr>
        <w:pStyle w:val="avsnitt-undertittel"/>
      </w:pPr>
      <w:r w:rsidRPr="00CC19F7">
        <w:t xml:space="preserve">Delmål 12.2) </w:t>
      </w:r>
      <w:proofErr w:type="spellStart"/>
      <w:r w:rsidRPr="00CC19F7">
        <w:t>Innan</w:t>
      </w:r>
      <w:proofErr w:type="spellEnd"/>
      <w:r w:rsidRPr="00CC19F7">
        <w:t xml:space="preserve"> 2030 oppnå </w:t>
      </w:r>
      <w:proofErr w:type="spellStart"/>
      <w:r w:rsidRPr="00CC19F7">
        <w:t>berekraftig</w:t>
      </w:r>
      <w:proofErr w:type="spellEnd"/>
      <w:r w:rsidRPr="00CC19F7">
        <w:t xml:space="preserve"> forvaltning og effektiv bruk av </w:t>
      </w:r>
      <w:proofErr w:type="spellStart"/>
      <w:r w:rsidRPr="00CC19F7">
        <w:t>naturressursar</w:t>
      </w:r>
      <w:proofErr w:type="spellEnd"/>
    </w:p>
    <w:p w14:paraId="77282A0E" w14:textId="77777777" w:rsidR="00FE02EF" w:rsidRPr="00CC19F7" w:rsidRDefault="00881E58" w:rsidP="00CC19F7">
      <w:proofErr w:type="spellStart"/>
      <w:r w:rsidRPr="00CC19F7">
        <w:t>Auka</w:t>
      </w:r>
      <w:proofErr w:type="spellEnd"/>
      <w:r w:rsidRPr="00CC19F7">
        <w:t xml:space="preserve"> og </w:t>
      </w:r>
      <w:proofErr w:type="spellStart"/>
      <w:r w:rsidRPr="00CC19F7">
        <w:t>meir</w:t>
      </w:r>
      <w:proofErr w:type="spellEnd"/>
      <w:r w:rsidRPr="00CC19F7">
        <w:t xml:space="preserve"> effektiv bruk av fornybare </w:t>
      </w:r>
      <w:proofErr w:type="spellStart"/>
      <w:r w:rsidRPr="00CC19F7">
        <w:t>ressursar</w:t>
      </w:r>
      <w:proofErr w:type="spellEnd"/>
      <w:r w:rsidRPr="00CC19F7">
        <w:t xml:space="preserve"> </w:t>
      </w:r>
      <w:proofErr w:type="spellStart"/>
      <w:r w:rsidRPr="00CC19F7">
        <w:t>innanfor</w:t>
      </w:r>
      <w:proofErr w:type="spellEnd"/>
      <w:r w:rsidRPr="00CC19F7">
        <w:t xml:space="preserve"> </w:t>
      </w:r>
      <w:proofErr w:type="spellStart"/>
      <w:r w:rsidRPr="00CC19F7">
        <w:t>berekraftige</w:t>
      </w:r>
      <w:proofErr w:type="spellEnd"/>
      <w:r w:rsidRPr="00CC19F7">
        <w:t xml:space="preserve"> rammer er sentralt for </w:t>
      </w:r>
      <w:proofErr w:type="spellStart"/>
      <w:r w:rsidRPr="00CC19F7">
        <w:t>grøn</w:t>
      </w:r>
      <w:proofErr w:type="spellEnd"/>
      <w:r w:rsidRPr="00CC19F7">
        <w:t xml:space="preserve"> omstilling. </w:t>
      </w:r>
      <w:proofErr w:type="spellStart"/>
      <w:r w:rsidRPr="00CC19F7">
        <w:t>Noreg</w:t>
      </w:r>
      <w:proofErr w:type="spellEnd"/>
      <w:r w:rsidRPr="00CC19F7">
        <w:t xml:space="preserve"> har </w:t>
      </w:r>
      <w:proofErr w:type="spellStart"/>
      <w:r w:rsidRPr="00CC19F7">
        <w:t>rikeleg</w:t>
      </w:r>
      <w:proofErr w:type="spellEnd"/>
      <w:r w:rsidRPr="00CC19F7">
        <w:t xml:space="preserve"> tilgang på fornybare </w:t>
      </w:r>
      <w:proofErr w:type="spellStart"/>
      <w:r w:rsidRPr="00CC19F7">
        <w:t>ressursar</w:t>
      </w:r>
      <w:proofErr w:type="spellEnd"/>
      <w:r w:rsidRPr="00CC19F7">
        <w:t xml:space="preserve"> og </w:t>
      </w:r>
      <w:proofErr w:type="spellStart"/>
      <w:r w:rsidRPr="00CC19F7">
        <w:t>ein</w:t>
      </w:r>
      <w:proofErr w:type="spellEnd"/>
      <w:r w:rsidRPr="00CC19F7">
        <w:t xml:space="preserve"> industri- og kompetansebase som er godt eigna til å utnytte dette potensialet. </w:t>
      </w:r>
      <w:proofErr w:type="spellStart"/>
      <w:r w:rsidRPr="00CC19F7">
        <w:t>Ein</w:t>
      </w:r>
      <w:proofErr w:type="spellEnd"/>
      <w:r w:rsidRPr="00CC19F7">
        <w:t xml:space="preserve"> </w:t>
      </w:r>
      <w:proofErr w:type="spellStart"/>
      <w:r w:rsidRPr="00CC19F7">
        <w:t>berekraftig</w:t>
      </w:r>
      <w:proofErr w:type="spellEnd"/>
      <w:r w:rsidRPr="00CC19F7">
        <w:t xml:space="preserve"> bruk av norske </w:t>
      </w:r>
      <w:proofErr w:type="spellStart"/>
      <w:r w:rsidRPr="00CC19F7">
        <w:t>naturressursar</w:t>
      </w:r>
      <w:proofErr w:type="spellEnd"/>
      <w:r w:rsidRPr="00CC19F7">
        <w:t xml:space="preserve"> er </w:t>
      </w:r>
      <w:proofErr w:type="spellStart"/>
      <w:r w:rsidRPr="00CC19F7">
        <w:t>avgjerande</w:t>
      </w:r>
      <w:proofErr w:type="spellEnd"/>
      <w:r w:rsidRPr="00CC19F7">
        <w:t xml:space="preserve"> for å legge til rette for framtidig verdiskaping, </w:t>
      </w:r>
      <w:proofErr w:type="spellStart"/>
      <w:r w:rsidRPr="00CC19F7">
        <w:t>arbeidsplassar</w:t>
      </w:r>
      <w:proofErr w:type="spellEnd"/>
      <w:r w:rsidRPr="00CC19F7">
        <w:t xml:space="preserve"> og </w:t>
      </w:r>
      <w:proofErr w:type="spellStart"/>
      <w:r w:rsidRPr="00CC19F7">
        <w:t>busetnad</w:t>
      </w:r>
      <w:proofErr w:type="spellEnd"/>
      <w:r w:rsidRPr="00CC19F7">
        <w:t xml:space="preserve"> over heile landet. Samtidig som det </w:t>
      </w:r>
      <w:proofErr w:type="spellStart"/>
      <w:r w:rsidRPr="00CC19F7">
        <w:t>trengst</w:t>
      </w:r>
      <w:proofErr w:type="spellEnd"/>
      <w:r w:rsidRPr="00CC19F7">
        <w:t xml:space="preserve"> areal for å dekke etterspørselen etter fornybar kraft, er endra arealbruk den faktoren som har størst negativ påverknad på natur i </w:t>
      </w:r>
      <w:proofErr w:type="spellStart"/>
      <w:r w:rsidRPr="00CC19F7">
        <w:t>Noreg</w:t>
      </w:r>
      <w:proofErr w:type="spellEnd"/>
      <w:r w:rsidRPr="00CC19F7">
        <w:t xml:space="preserve"> i dag. Klima og natur må </w:t>
      </w:r>
      <w:proofErr w:type="spellStart"/>
      <w:r w:rsidRPr="00CC19F7">
        <w:t>sjåast</w:t>
      </w:r>
      <w:proofErr w:type="spellEnd"/>
      <w:r w:rsidRPr="00CC19F7">
        <w:t xml:space="preserve"> i </w:t>
      </w:r>
      <w:proofErr w:type="spellStart"/>
      <w:r w:rsidRPr="00CC19F7">
        <w:t>samanheng</w:t>
      </w:r>
      <w:proofErr w:type="spellEnd"/>
      <w:r w:rsidRPr="00CC19F7">
        <w:t xml:space="preserve">, slik at viktige natur- og økosystem </w:t>
      </w:r>
      <w:proofErr w:type="spellStart"/>
      <w:r w:rsidRPr="00CC19F7">
        <w:t>ikkje</w:t>
      </w:r>
      <w:proofErr w:type="spellEnd"/>
      <w:r w:rsidRPr="00CC19F7">
        <w:t xml:space="preserve"> går tapt for å nå klimamål. Omsynet til jordvern må også </w:t>
      </w:r>
      <w:proofErr w:type="spellStart"/>
      <w:r w:rsidRPr="00CC19F7">
        <w:t>takast</w:t>
      </w:r>
      <w:proofErr w:type="spellEnd"/>
      <w:r w:rsidRPr="00CC19F7">
        <w:t xml:space="preserve"> vare på. Å </w:t>
      </w:r>
      <w:proofErr w:type="spellStart"/>
      <w:r w:rsidRPr="00CC19F7">
        <w:t>oppretthalde</w:t>
      </w:r>
      <w:proofErr w:type="spellEnd"/>
      <w:r w:rsidRPr="00CC19F7">
        <w:t xml:space="preserve"> natur kan </w:t>
      </w:r>
      <w:proofErr w:type="spellStart"/>
      <w:r w:rsidRPr="00CC19F7">
        <w:t>vere</w:t>
      </w:r>
      <w:proofErr w:type="spellEnd"/>
      <w:r w:rsidRPr="00CC19F7">
        <w:t xml:space="preserve"> </w:t>
      </w:r>
      <w:proofErr w:type="spellStart"/>
      <w:r w:rsidRPr="00CC19F7">
        <w:t>eit</w:t>
      </w:r>
      <w:proofErr w:type="spellEnd"/>
      <w:r w:rsidRPr="00CC19F7">
        <w:t xml:space="preserve"> viktig klimatiltak som </w:t>
      </w:r>
      <w:proofErr w:type="spellStart"/>
      <w:r w:rsidRPr="00CC19F7">
        <w:t>gjer</w:t>
      </w:r>
      <w:proofErr w:type="spellEnd"/>
      <w:r w:rsidRPr="00CC19F7">
        <w:t xml:space="preserve"> oss </w:t>
      </w:r>
      <w:proofErr w:type="spellStart"/>
      <w:r w:rsidRPr="00CC19F7">
        <w:t>meir</w:t>
      </w:r>
      <w:proofErr w:type="spellEnd"/>
      <w:r w:rsidRPr="00CC19F7">
        <w:t xml:space="preserve"> </w:t>
      </w:r>
      <w:proofErr w:type="gramStart"/>
      <w:r w:rsidRPr="00CC19F7">
        <w:t>robuste</w:t>
      </w:r>
      <w:proofErr w:type="gramEnd"/>
      <w:r w:rsidRPr="00CC19F7">
        <w:t xml:space="preserve"> mot </w:t>
      </w:r>
      <w:proofErr w:type="spellStart"/>
      <w:r w:rsidRPr="00CC19F7">
        <w:t>klimaendringar</w:t>
      </w:r>
      <w:proofErr w:type="spellEnd"/>
      <w:r w:rsidRPr="00CC19F7">
        <w:t xml:space="preserve">. Avgjerder om endra arealbruk må ta omsyn til slike </w:t>
      </w:r>
      <w:proofErr w:type="spellStart"/>
      <w:r w:rsidRPr="00CC19F7">
        <w:t>konsekvensar</w:t>
      </w:r>
      <w:proofErr w:type="spellEnd"/>
      <w:r w:rsidRPr="00CC19F7">
        <w:t xml:space="preserve"> for miljø og lokalsamfunn og basere seg på </w:t>
      </w:r>
      <w:proofErr w:type="spellStart"/>
      <w:r w:rsidRPr="00CC19F7">
        <w:t>heilskaplege</w:t>
      </w:r>
      <w:proofErr w:type="spellEnd"/>
      <w:r w:rsidRPr="00CC19F7">
        <w:t xml:space="preserve"> </w:t>
      </w:r>
      <w:proofErr w:type="spellStart"/>
      <w:r w:rsidRPr="00CC19F7">
        <w:t>avvegingar</w:t>
      </w:r>
      <w:proofErr w:type="spellEnd"/>
      <w:r w:rsidRPr="00CC19F7">
        <w:t xml:space="preserve"> som </w:t>
      </w:r>
      <w:proofErr w:type="spellStart"/>
      <w:r w:rsidRPr="00CC19F7">
        <w:t>sikrar</w:t>
      </w:r>
      <w:proofErr w:type="spellEnd"/>
      <w:r w:rsidRPr="00CC19F7">
        <w:t xml:space="preserve"> at utbygging av fornybar energi blir gjennomført på </w:t>
      </w:r>
      <w:proofErr w:type="spellStart"/>
      <w:r w:rsidRPr="00CC19F7">
        <w:t>ein</w:t>
      </w:r>
      <w:proofErr w:type="spellEnd"/>
      <w:r w:rsidRPr="00CC19F7">
        <w:t xml:space="preserve"> </w:t>
      </w:r>
      <w:proofErr w:type="spellStart"/>
      <w:r w:rsidRPr="00CC19F7">
        <w:t>berekraftig</w:t>
      </w:r>
      <w:proofErr w:type="spellEnd"/>
      <w:r w:rsidRPr="00CC19F7">
        <w:t xml:space="preserve"> måte.</w:t>
      </w:r>
    </w:p>
    <w:p w14:paraId="5AE258BD" w14:textId="77777777" w:rsidR="00FE02EF" w:rsidRPr="00CC19F7" w:rsidRDefault="00881E58" w:rsidP="00CC19F7">
      <w:pPr>
        <w:pStyle w:val="avsnitt-tittel"/>
      </w:pPr>
      <w:r w:rsidRPr="00CC19F7">
        <w:t xml:space="preserve">Mål 13: Stoppe </w:t>
      </w:r>
      <w:proofErr w:type="spellStart"/>
      <w:r w:rsidRPr="00CC19F7">
        <w:t>klimaendringane</w:t>
      </w:r>
      <w:proofErr w:type="spellEnd"/>
    </w:p>
    <w:p w14:paraId="38733C07" w14:textId="77777777" w:rsidR="00FE02EF" w:rsidRPr="00CC19F7" w:rsidRDefault="00881E58" w:rsidP="00CC19F7">
      <w:r w:rsidRPr="00CC19F7">
        <w:t xml:space="preserve">Regjeringas klima- og miljøpolitikk bygger på at alle </w:t>
      </w:r>
      <w:proofErr w:type="spellStart"/>
      <w:r w:rsidRPr="00CC19F7">
        <w:t>samfunnssektorar</w:t>
      </w:r>
      <w:proofErr w:type="spellEnd"/>
      <w:r w:rsidRPr="00CC19F7">
        <w:t xml:space="preserve"> har </w:t>
      </w:r>
      <w:proofErr w:type="spellStart"/>
      <w:r w:rsidRPr="00CC19F7">
        <w:t>eit</w:t>
      </w:r>
      <w:proofErr w:type="spellEnd"/>
      <w:r w:rsidRPr="00CC19F7">
        <w:t xml:space="preserve"> sjølvstendig ansvar for å legge miljøomsyn til grunn for </w:t>
      </w:r>
      <w:proofErr w:type="spellStart"/>
      <w:r w:rsidRPr="00CC19F7">
        <w:t>aktivitetane</w:t>
      </w:r>
      <w:proofErr w:type="spellEnd"/>
      <w:r w:rsidRPr="00CC19F7">
        <w:t xml:space="preserve"> sine og for å </w:t>
      </w:r>
      <w:proofErr w:type="spellStart"/>
      <w:r w:rsidRPr="00CC19F7">
        <w:t>medverke</w:t>
      </w:r>
      <w:proofErr w:type="spellEnd"/>
      <w:r w:rsidRPr="00CC19F7">
        <w:t xml:space="preserve"> til å nå </w:t>
      </w:r>
      <w:proofErr w:type="spellStart"/>
      <w:r w:rsidRPr="00CC19F7">
        <w:t>dei</w:t>
      </w:r>
      <w:proofErr w:type="spellEnd"/>
      <w:r w:rsidRPr="00CC19F7">
        <w:t xml:space="preserve"> nasjonale klima- og miljømåla. Fagproposisjonen </w:t>
      </w:r>
      <w:proofErr w:type="spellStart"/>
      <w:r w:rsidRPr="00CC19F7">
        <w:t>frå</w:t>
      </w:r>
      <w:proofErr w:type="spellEnd"/>
      <w:r w:rsidRPr="00CC19F7">
        <w:t xml:space="preserve"> Klima- og miljødepartementet </w:t>
      </w:r>
      <w:proofErr w:type="spellStart"/>
      <w:r w:rsidRPr="00CC19F7">
        <w:t>inneheld</w:t>
      </w:r>
      <w:proofErr w:type="spellEnd"/>
      <w:r w:rsidRPr="00CC19F7">
        <w:t xml:space="preserve"> ei samla omtale av klima- og miljørelevante saker.</w:t>
      </w:r>
    </w:p>
    <w:p w14:paraId="37D2AB90" w14:textId="6360834A" w:rsidR="00FE02EF" w:rsidRPr="00CC19F7" w:rsidRDefault="00881E58" w:rsidP="00CC19F7">
      <w:r w:rsidRPr="00CC19F7">
        <w:t xml:space="preserve">Omsynet til miljø og </w:t>
      </w:r>
      <w:proofErr w:type="spellStart"/>
      <w:r w:rsidRPr="00CC19F7">
        <w:t>berekraftig</w:t>
      </w:r>
      <w:proofErr w:type="spellEnd"/>
      <w:r w:rsidRPr="00CC19F7">
        <w:t xml:space="preserve"> utvikling er</w:t>
      </w:r>
      <w:r w:rsidR="00CC19F7">
        <w:t xml:space="preserve"> </w:t>
      </w:r>
      <w:proofErr w:type="spellStart"/>
      <w:r w:rsidRPr="00CC19F7">
        <w:t>ein</w:t>
      </w:r>
      <w:proofErr w:type="spellEnd"/>
      <w:r w:rsidRPr="00CC19F7">
        <w:t xml:space="preserve"> integrert del av den norske </w:t>
      </w:r>
      <w:proofErr w:type="spellStart"/>
      <w:r w:rsidRPr="00CC19F7">
        <w:t>petroleumsverksemda</w:t>
      </w:r>
      <w:proofErr w:type="spellEnd"/>
      <w:r w:rsidRPr="00CC19F7">
        <w:t xml:space="preserve"> og kraftproduksjonen. Regjeringa vil at </w:t>
      </w:r>
      <w:proofErr w:type="spellStart"/>
      <w:r w:rsidRPr="00CC19F7">
        <w:t>Noreg</w:t>
      </w:r>
      <w:proofErr w:type="spellEnd"/>
      <w:r w:rsidRPr="00CC19F7">
        <w:t xml:space="preserve"> skal </w:t>
      </w:r>
      <w:proofErr w:type="spellStart"/>
      <w:r w:rsidRPr="00CC19F7">
        <w:t>vere</w:t>
      </w:r>
      <w:proofErr w:type="spellEnd"/>
      <w:r w:rsidRPr="00CC19F7">
        <w:t xml:space="preserve"> </w:t>
      </w:r>
      <w:proofErr w:type="spellStart"/>
      <w:r w:rsidRPr="00CC19F7">
        <w:t>ein</w:t>
      </w:r>
      <w:proofErr w:type="spellEnd"/>
      <w:r w:rsidRPr="00CC19F7">
        <w:t xml:space="preserve"> </w:t>
      </w:r>
      <w:proofErr w:type="spellStart"/>
      <w:r w:rsidRPr="00CC19F7">
        <w:t>føregangsnasjon</w:t>
      </w:r>
      <w:proofErr w:type="spellEnd"/>
      <w:r w:rsidRPr="00CC19F7">
        <w:t xml:space="preserve"> </w:t>
      </w:r>
      <w:proofErr w:type="spellStart"/>
      <w:r w:rsidRPr="00CC19F7">
        <w:t>innan</w:t>
      </w:r>
      <w:proofErr w:type="spellEnd"/>
      <w:r w:rsidRPr="00CC19F7">
        <w:t xml:space="preserve"> </w:t>
      </w:r>
      <w:proofErr w:type="spellStart"/>
      <w:r w:rsidRPr="00CC19F7">
        <w:t>miljøvennleg</w:t>
      </w:r>
      <w:proofErr w:type="spellEnd"/>
      <w:r w:rsidRPr="00CC19F7">
        <w:t xml:space="preserve"> energibruk og produksjon av fornybar energi. Regjeringa vil fremme </w:t>
      </w:r>
      <w:proofErr w:type="spellStart"/>
      <w:r w:rsidRPr="00CC19F7">
        <w:t>ein</w:t>
      </w:r>
      <w:proofErr w:type="spellEnd"/>
      <w:r w:rsidRPr="00CC19F7">
        <w:t xml:space="preserve"> effektiv, klima- og </w:t>
      </w:r>
      <w:proofErr w:type="spellStart"/>
      <w:r w:rsidRPr="00CC19F7">
        <w:t>miljøvennleg</w:t>
      </w:r>
      <w:proofErr w:type="spellEnd"/>
      <w:r w:rsidRPr="00CC19F7">
        <w:t xml:space="preserve"> og sikker energiproduksjon og sikre ei </w:t>
      </w:r>
      <w:proofErr w:type="spellStart"/>
      <w:r w:rsidRPr="00CC19F7">
        <w:t>berekraftig</w:t>
      </w:r>
      <w:proofErr w:type="spellEnd"/>
      <w:r w:rsidRPr="00CC19F7">
        <w:t xml:space="preserve"> forvaltning av naturen.</w:t>
      </w:r>
    </w:p>
    <w:p w14:paraId="280C970B" w14:textId="77777777" w:rsidR="00FE02EF" w:rsidRPr="00CC19F7" w:rsidRDefault="00881E58" w:rsidP="00CC19F7">
      <w:pPr>
        <w:pStyle w:val="avsnitt-undertittel"/>
      </w:pPr>
      <w:r w:rsidRPr="00CC19F7">
        <w:t xml:space="preserve">Delmål 13.1) Styrke evna til å stå imot og tilpasse seg klimarelaterte </w:t>
      </w:r>
      <w:proofErr w:type="spellStart"/>
      <w:r w:rsidRPr="00CC19F7">
        <w:t>farar</w:t>
      </w:r>
      <w:proofErr w:type="spellEnd"/>
      <w:r w:rsidRPr="00CC19F7">
        <w:t xml:space="preserve"> og </w:t>
      </w:r>
      <w:proofErr w:type="spellStart"/>
      <w:r w:rsidRPr="00CC19F7">
        <w:t>naturkatastrofar</w:t>
      </w:r>
      <w:proofErr w:type="spellEnd"/>
      <w:r w:rsidRPr="00CC19F7">
        <w:t xml:space="preserve"> i alle land</w:t>
      </w:r>
    </w:p>
    <w:p w14:paraId="060B51C6" w14:textId="77777777" w:rsidR="00FE02EF" w:rsidRPr="00CC19F7" w:rsidRDefault="00881E58" w:rsidP="00CC19F7">
      <w:r w:rsidRPr="00CC19F7">
        <w:t xml:space="preserve">Departementet vil gjennomgå rammene for </w:t>
      </w:r>
      <w:proofErr w:type="spellStart"/>
      <w:r w:rsidRPr="00CC19F7">
        <w:t>førebygging</w:t>
      </w:r>
      <w:proofErr w:type="spellEnd"/>
      <w:r w:rsidRPr="00CC19F7">
        <w:t xml:space="preserve"> av </w:t>
      </w:r>
      <w:proofErr w:type="spellStart"/>
      <w:r w:rsidRPr="00CC19F7">
        <w:t>flaum</w:t>
      </w:r>
      <w:proofErr w:type="spellEnd"/>
      <w:r w:rsidRPr="00CC19F7">
        <w:t xml:space="preserve">- og </w:t>
      </w:r>
      <w:proofErr w:type="spellStart"/>
      <w:r w:rsidRPr="00CC19F7">
        <w:t>skredskadar</w:t>
      </w:r>
      <w:proofErr w:type="spellEnd"/>
      <w:r w:rsidRPr="00CC19F7">
        <w:t xml:space="preserve"> i samband med at regjeringa har varsla at </w:t>
      </w:r>
      <w:proofErr w:type="spellStart"/>
      <w:r w:rsidRPr="00CC19F7">
        <w:t>dei</w:t>
      </w:r>
      <w:proofErr w:type="spellEnd"/>
      <w:r w:rsidRPr="00CC19F7">
        <w:t xml:space="preserve"> vil legge fram for Stortinget ei ny melding om </w:t>
      </w:r>
      <w:proofErr w:type="spellStart"/>
      <w:r w:rsidRPr="00CC19F7">
        <w:t>flaum</w:t>
      </w:r>
      <w:proofErr w:type="spellEnd"/>
      <w:r w:rsidRPr="00CC19F7">
        <w:t xml:space="preserve"> og skred i 2024.</w:t>
      </w:r>
    </w:p>
    <w:p w14:paraId="7B4CC50F" w14:textId="77777777" w:rsidR="00FE02EF" w:rsidRPr="00CC19F7" w:rsidRDefault="00881E58" w:rsidP="00CC19F7">
      <w:r w:rsidRPr="00CC19F7">
        <w:t xml:space="preserve">Nasjonalt bidrar NVE til å styrke evna til å stå imot og tilpasse seg klimarelaterte </w:t>
      </w:r>
      <w:proofErr w:type="spellStart"/>
      <w:r w:rsidRPr="00CC19F7">
        <w:t>farar</w:t>
      </w:r>
      <w:proofErr w:type="spellEnd"/>
      <w:r w:rsidRPr="00CC19F7">
        <w:t xml:space="preserve"> og </w:t>
      </w:r>
      <w:proofErr w:type="spellStart"/>
      <w:r w:rsidRPr="00CC19F7">
        <w:t>naturkatastrofar</w:t>
      </w:r>
      <w:proofErr w:type="spellEnd"/>
      <w:r w:rsidRPr="00CC19F7">
        <w:t xml:space="preserve"> gjennom arbeidet med kunnskapsbygging, kartlegging, sikring, arealplanbehandling og </w:t>
      </w:r>
      <w:proofErr w:type="spellStart"/>
      <w:r w:rsidRPr="00CC19F7">
        <w:t>overvaking</w:t>
      </w:r>
      <w:proofErr w:type="spellEnd"/>
      <w:r w:rsidRPr="00CC19F7">
        <w:t xml:space="preserve"> av </w:t>
      </w:r>
      <w:proofErr w:type="spellStart"/>
      <w:r w:rsidRPr="00CC19F7">
        <w:t>naturfare</w:t>
      </w:r>
      <w:proofErr w:type="spellEnd"/>
      <w:r w:rsidRPr="00CC19F7">
        <w:t xml:space="preserve">. </w:t>
      </w:r>
      <w:proofErr w:type="spellStart"/>
      <w:r w:rsidRPr="00CC19F7">
        <w:t>Eit</w:t>
      </w:r>
      <w:proofErr w:type="spellEnd"/>
      <w:r w:rsidRPr="00CC19F7">
        <w:t xml:space="preserve"> av </w:t>
      </w:r>
      <w:proofErr w:type="spellStart"/>
      <w:r w:rsidRPr="00CC19F7">
        <w:t>hovudmåla</w:t>
      </w:r>
      <w:proofErr w:type="spellEnd"/>
      <w:r w:rsidRPr="00CC19F7">
        <w:t xml:space="preserve"> til NVE er å betre evna til å handtere </w:t>
      </w:r>
      <w:proofErr w:type="spellStart"/>
      <w:r w:rsidRPr="00CC19F7">
        <w:t>flaum</w:t>
      </w:r>
      <w:proofErr w:type="spellEnd"/>
      <w:r w:rsidRPr="00CC19F7">
        <w:t xml:space="preserve"> og skred.</w:t>
      </w:r>
    </w:p>
    <w:p w14:paraId="4B30D020" w14:textId="77777777" w:rsidR="00FE02EF" w:rsidRPr="00CC19F7" w:rsidRDefault="00881E58" w:rsidP="00CC19F7">
      <w:r w:rsidRPr="00CC19F7">
        <w:t xml:space="preserve">NVE bidrar til å skaffe fram ny kunnskap om klimasystemet og </w:t>
      </w:r>
      <w:proofErr w:type="spellStart"/>
      <w:r w:rsidRPr="00CC19F7">
        <w:t>effektar</w:t>
      </w:r>
      <w:proofErr w:type="spellEnd"/>
      <w:r w:rsidRPr="00CC19F7">
        <w:t xml:space="preserve"> av </w:t>
      </w:r>
      <w:proofErr w:type="spellStart"/>
      <w:r w:rsidRPr="00CC19F7">
        <w:t>klimaendringar</w:t>
      </w:r>
      <w:proofErr w:type="spellEnd"/>
      <w:r w:rsidRPr="00CC19F7">
        <w:t xml:space="preserve"> på hydrologi, </w:t>
      </w:r>
      <w:proofErr w:type="spellStart"/>
      <w:r w:rsidRPr="00CC19F7">
        <w:t>kryosfære</w:t>
      </w:r>
      <w:proofErr w:type="spellEnd"/>
      <w:r w:rsidRPr="00CC19F7">
        <w:t xml:space="preserve"> og </w:t>
      </w:r>
      <w:proofErr w:type="spellStart"/>
      <w:r w:rsidRPr="00CC19F7">
        <w:t>naturfare</w:t>
      </w:r>
      <w:proofErr w:type="spellEnd"/>
      <w:r w:rsidRPr="00CC19F7">
        <w:t xml:space="preserve"> gjennom nasjonale og internasjonale FoU-prosjekt.</w:t>
      </w:r>
    </w:p>
    <w:p w14:paraId="2AAD493F" w14:textId="77777777" w:rsidR="00FE02EF" w:rsidRPr="00CC19F7" w:rsidRDefault="00881E58" w:rsidP="00CC19F7">
      <w:r w:rsidRPr="00CC19F7">
        <w:t xml:space="preserve">Statnett skal sørge for sikker drift og effektiv kraftforsyning, uansett </w:t>
      </w:r>
      <w:proofErr w:type="spellStart"/>
      <w:r w:rsidRPr="00CC19F7">
        <w:t>vêr</w:t>
      </w:r>
      <w:proofErr w:type="spellEnd"/>
      <w:r w:rsidRPr="00CC19F7">
        <w:t xml:space="preserve">. Statnett arbeider målretta med å </w:t>
      </w:r>
      <w:proofErr w:type="spellStart"/>
      <w:r w:rsidRPr="00CC19F7">
        <w:t>auke</w:t>
      </w:r>
      <w:proofErr w:type="spellEnd"/>
      <w:r w:rsidRPr="00CC19F7">
        <w:t xml:space="preserve"> kunnskapen om klimabelastning og </w:t>
      </w:r>
      <w:proofErr w:type="spellStart"/>
      <w:r w:rsidRPr="00CC19F7">
        <w:t>klimaendringar</w:t>
      </w:r>
      <w:proofErr w:type="spellEnd"/>
      <w:r w:rsidRPr="00CC19F7">
        <w:t xml:space="preserve"> og med å utvikle </w:t>
      </w:r>
      <w:proofErr w:type="spellStart"/>
      <w:r w:rsidRPr="00CC19F7">
        <w:t>metodar</w:t>
      </w:r>
      <w:proofErr w:type="spellEnd"/>
      <w:r w:rsidRPr="00CC19F7">
        <w:t xml:space="preserve"> og teknologi for å bygge </w:t>
      </w:r>
      <w:proofErr w:type="spellStart"/>
      <w:r w:rsidRPr="00CC19F7">
        <w:t>pålitelege</w:t>
      </w:r>
      <w:proofErr w:type="spellEnd"/>
      <w:r w:rsidRPr="00CC19F7">
        <w:t xml:space="preserve"> anlegg i straumforsyninga.</w:t>
      </w:r>
    </w:p>
    <w:p w14:paraId="54DFC5C2" w14:textId="77777777" w:rsidR="00FE02EF" w:rsidRPr="00CC19F7" w:rsidRDefault="00881E58" w:rsidP="00CC19F7">
      <w:pPr>
        <w:pStyle w:val="avsnitt-undertittel"/>
      </w:pPr>
      <w:r w:rsidRPr="00CC19F7">
        <w:t xml:space="preserve">Delmål 13.2) Innarbeide tiltak mot </w:t>
      </w:r>
      <w:proofErr w:type="spellStart"/>
      <w:r w:rsidRPr="00CC19F7">
        <w:t>klimaendringar</w:t>
      </w:r>
      <w:proofErr w:type="spellEnd"/>
      <w:r w:rsidRPr="00CC19F7">
        <w:t xml:space="preserve"> i politikk, </w:t>
      </w:r>
      <w:proofErr w:type="spellStart"/>
      <w:r w:rsidRPr="00CC19F7">
        <w:t>strategiar</w:t>
      </w:r>
      <w:proofErr w:type="spellEnd"/>
      <w:r w:rsidRPr="00CC19F7">
        <w:t xml:space="preserve"> og planlegging på nasjonalt nivå</w:t>
      </w:r>
    </w:p>
    <w:p w14:paraId="27B29572" w14:textId="77777777" w:rsidR="00FE02EF" w:rsidRPr="00CC19F7" w:rsidRDefault="00881E58" w:rsidP="00CC19F7">
      <w:pPr>
        <w:rPr>
          <w:rStyle w:val="kursiv"/>
        </w:rPr>
      </w:pPr>
      <w:r w:rsidRPr="00CC19F7">
        <w:rPr>
          <w:rStyle w:val="kursiv"/>
        </w:rPr>
        <w:t>CO</w:t>
      </w:r>
      <w:r w:rsidRPr="00CC19F7">
        <w:rPr>
          <w:rStyle w:val="skrift-senket"/>
        </w:rPr>
        <w:t>2</w:t>
      </w:r>
      <w:r w:rsidRPr="00CC19F7">
        <w:rPr>
          <w:rStyle w:val="kursiv"/>
        </w:rPr>
        <w:t>-handtering:</w:t>
      </w:r>
      <w:r w:rsidRPr="00CC19F7">
        <w:t xml:space="preserve"> Regjeringas satsing på fangst, transport og lagring av CO</w:t>
      </w:r>
      <w:r w:rsidRPr="00CC19F7">
        <w:rPr>
          <w:rStyle w:val="skrift-senket"/>
        </w:rPr>
        <w:t>2</w:t>
      </w:r>
      <w:r w:rsidRPr="00CC19F7">
        <w:t xml:space="preserve"> er </w:t>
      </w:r>
      <w:proofErr w:type="spellStart"/>
      <w:r w:rsidRPr="00CC19F7">
        <w:t>eit</w:t>
      </w:r>
      <w:proofErr w:type="spellEnd"/>
      <w:r w:rsidRPr="00CC19F7">
        <w:t xml:space="preserve"> klimatiltak som vil redusere klimagassutslepp og utvikle teknologi for CO</w:t>
      </w:r>
      <w:r w:rsidRPr="00CC19F7">
        <w:rPr>
          <w:rStyle w:val="skrift-senket"/>
        </w:rPr>
        <w:t>2</w:t>
      </w:r>
      <w:r w:rsidRPr="00CC19F7">
        <w:t>-handtering.</w:t>
      </w:r>
    </w:p>
    <w:p w14:paraId="091BF475" w14:textId="77777777" w:rsidR="00FE02EF" w:rsidRPr="00CC19F7" w:rsidRDefault="00881E58" w:rsidP="00CC19F7">
      <w:r w:rsidRPr="00CC19F7">
        <w:t xml:space="preserve">Regjeringa har sett i gang prosjektet Langskip, </w:t>
      </w:r>
      <w:proofErr w:type="spellStart"/>
      <w:r w:rsidRPr="00CC19F7">
        <w:t>eit</w:t>
      </w:r>
      <w:proofErr w:type="spellEnd"/>
      <w:r w:rsidRPr="00CC19F7">
        <w:t xml:space="preserve"> prosjekt for å fange, transportere og lagre CO</w:t>
      </w:r>
      <w:r w:rsidRPr="00CC19F7">
        <w:rPr>
          <w:rStyle w:val="skrift-senket"/>
        </w:rPr>
        <w:t>2</w:t>
      </w:r>
      <w:r w:rsidRPr="00CC19F7">
        <w:t xml:space="preserve">. Gjennom Langskip-prosjektet bidrar </w:t>
      </w:r>
      <w:proofErr w:type="spellStart"/>
      <w:r w:rsidRPr="00CC19F7">
        <w:t>Noreg</w:t>
      </w:r>
      <w:proofErr w:type="spellEnd"/>
      <w:r w:rsidRPr="00CC19F7">
        <w:t xml:space="preserve"> til å utvikle CO</w:t>
      </w:r>
      <w:r w:rsidRPr="00CC19F7">
        <w:rPr>
          <w:rStyle w:val="skrift-senket"/>
        </w:rPr>
        <w:t>2</w:t>
      </w:r>
      <w:r w:rsidRPr="00CC19F7">
        <w:t xml:space="preserve">-handtering som </w:t>
      </w:r>
      <w:proofErr w:type="spellStart"/>
      <w:r w:rsidRPr="00CC19F7">
        <w:t>eit</w:t>
      </w:r>
      <w:proofErr w:type="spellEnd"/>
      <w:r w:rsidRPr="00CC19F7">
        <w:t xml:space="preserve"> effektivt klimatiltak og til teknologiutvikling i </w:t>
      </w:r>
      <w:proofErr w:type="spellStart"/>
      <w:r w:rsidRPr="00CC19F7">
        <w:t>eit</w:t>
      </w:r>
      <w:proofErr w:type="spellEnd"/>
      <w:r w:rsidRPr="00CC19F7">
        <w:t xml:space="preserve"> internasjonalt perspektiv, jf. Meld. St. 40 (2020–2021) </w:t>
      </w:r>
      <w:r w:rsidRPr="00CC19F7">
        <w:rPr>
          <w:rStyle w:val="kursiv"/>
        </w:rPr>
        <w:t xml:space="preserve">Mål med mening – Norges handlingsplan for å nå </w:t>
      </w:r>
      <w:proofErr w:type="spellStart"/>
      <w:r w:rsidRPr="00CC19F7">
        <w:rPr>
          <w:rStyle w:val="kursiv"/>
        </w:rPr>
        <w:t>bærekraftsmålene</w:t>
      </w:r>
      <w:proofErr w:type="spellEnd"/>
      <w:r w:rsidRPr="00CC19F7">
        <w:rPr>
          <w:rStyle w:val="kursiv"/>
        </w:rPr>
        <w:t xml:space="preserve"> innen 2030</w:t>
      </w:r>
      <w:r w:rsidRPr="00CC19F7">
        <w:t>.</w:t>
      </w:r>
    </w:p>
    <w:p w14:paraId="107DEF45" w14:textId="77777777" w:rsidR="00FE02EF" w:rsidRPr="00CC19F7" w:rsidRDefault="00881E58" w:rsidP="00CC19F7">
      <w:r w:rsidRPr="00CC19F7">
        <w:t xml:space="preserve">På vegner av staten fremmer Gassnova teknologiutvikling, kompetansebygging og kostnadseffektive </w:t>
      </w:r>
      <w:proofErr w:type="spellStart"/>
      <w:r w:rsidRPr="00CC19F7">
        <w:t>løysingar</w:t>
      </w:r>
      <w:proofErr w:type="spellEnd"/>
      <w:r w:rsidRPr="00CC19F7">
        <w:t xml:space="preserve"> for CO</w:t>
      </w:r>
      <w:r w:rsidRPr="00CC19F7">
        <w:rPr>
          <w:rStyle w:val="skrift-senket"/>
        </w:rPr>
        <w:t>2</w:t>
      </w:r>
      <w:r w:rsidRPr="00CC19F7">
        <w:t>-handtering – nasjonalt og internasjonalt.</w:t>
      </w:r>
    </w:p>
    <w:p w14:paraId="4A50D779" w14:textId="77777777" w:rsidR="00FE02EF" w:rsidRPr="00CC19F7" w:rsidRDefault="00881E58" w:rsidP="00CC19F7">
      <w:pPr>
        <w:rPr>
          <w:rStyle w:val="kursiv"/>
        </w:rPr>
      </w:pPr>
      <w:r w:rsidRPr="00CC19F7">
        <w:rPr>
          <w:rStyle w:val="kursiv"/>
        </w:rPr>
        <w:t>SF</w:t>
      </w:r>
      <w:r w:rsidRPr="00CC19F7">
        <w:rPr>
          <w:rStyle w:val="skrift-senket"/>
        </w:rPr>
        <w:t>6</w:t>
      </w:r>
      <w:r w:rsidRPr="00CC19F7">
        <w:rPr>
          <w:rStyle w:val="kursiv"/>
        </w:rPr>
        <w:t xml:space="preserve"> i kraftbransjen:</w:t>
      </w:r>
      <w:r w:rsidRPr="00CC19F7">
        <w:t xml:space="preserve"> Ei stor klimautfordring i kraftbransjen er bruken av den potente klimagassen SF</w:t>
      </w:r>
      <w:r w:rsidRPr="00CC19F7">
        <w:rPr>
          <w:rStyle w:val="skrift-senket"/>
        </w:rPr>
        <w:t>6</w:t>
      </w:r>
      <w:r w:rsidRPr="00CC19F7">
        <w:t xml:space="preserve">, som blir brukt som isolasjons- og </w:t>
      </w:r>
      <w:proofErr w:type="spellStart"/>
      <w:r w:rsidRPr="00CC19F7">
        <w:t>sløkkemiddel</w:t>
      </w:r>
      <w:proofErr w:type="spellEnd"/>
      <w:r w:rsidRPr="00CC19F7">
        <w:t xml:space="preserve"> i </w:t>
      </w:r>
      <w:proofErr w:type="spellStart"/>
      <w:r w:rsidRPr="00CC19F7">
        <w:t>kapslande</w:t>
      </w:r>
      <w:proofErr w:type="spellEnd"/>
      <w:r w:rsidRPr="00CC19F7">
        <w:t xml:space="preserve"> anlegg (GIS-anlegg) og i andre </w:t>
      </w:r>
      <w:proofErr w:type="spellStart"/>
      <w:r w:rsidRPr="00CC19F7">
        <w:t>komponentar</w:t>
      </w:r>
      <w:proofErr w:type="spellEnd"/>
      <w:r w:rsidRPr="00CC19F7">
        <w:t xml:space="preserve"> som for eksempel </w:t>
      </w:r>
      <w:proofErr w:type="spellStart"/>
      <w:r w:rsidRPr="00CC19F7">
        <w:t>effektbrytarar</w:t>
      </w:r>
      <w:proofErr w:type="spellEnd"/>
      <w:r w:rsidRPr="00CC19F7">
        <w:t xml:space="preserve">. Statnett har stor </w:t>
      </w:r>
      <w:proofErr w:type="spellStart"/>
      <w:r w:rsidRPr="00CC19F7">
        <w:t>merksemd</w:t>
      </w:r>
      <w:proofErr w:type="spellEnd"/>
      <w:r w:rsidRPr="00CC19F7">
        <w:t xml:space="preserve"> på å redusere lekkasje av SF</w:t>
      </w:r>
      <w:r w:rsidRPr="00CC19F7">
        <w:rPr>
          <w:rStyle w:val="skrift-senket"/>
        </w:rPr>
        <w:t>6</w:t>
      </w:r>
      <w:r w:rsidRPr="00CC19F7">
        <w:t xml:space="preserve">-gass </w:t>
      </w:r>
      <w:proofErr w:type="spellStart"/>
      <w:r w:rsidRPr="00CC19F7">
        <w:t>frå</w:t>
      </w:r>
      <w:proofErr w:type="spellEnd"/>
      <w:r w:rsidRPr="00CC19F7">
        <w:t xml:space="preserve"> anlegga sine og har sett i verk </w:t>
      </w:r>
      <w:proofErr w:type="spellStart"/>
      <w:r w:rsidRPr="00CC19F7">
        <w:t>fleire</w:t>
      </w:r>
      <w:proofErr w:type="spellEnd"/>
      <w:r w:rsidRPr="00CC19F7">
        <w:t xml:space="preserve"> tiltak. Det går både på </w:t>
      </w:r>
      <w:proofErr w:type="spellStart"/>
      <w:r w:rsidRPr="00CC19F7">
        <w:t>forbetring</w:t>
      </w:r>
      <w:proofErr w:type="spellEnd"/>
      <w:r w:rsidRPr="00CC19F7">
        <w:t xml:space="preserve"> av </w:t>
      </w:r>
      <w:proofErr w:type="spellStart"/>
      <w:r w:rsidRPr="00CC19F7">
        <w:t>vedlikehaldsrutinar</w:t>
      </w:r>
      <w:proofErr w:type="spellEnd"/>
      <w:r w:rsidRPr="00CC19F7">
        <w:t xml:space="preserve"> og teknologikvalifisering av alternative </w:t>
      </w:r>
      <w:proofErr w:type="spellStart"/>
      <w:r w:rsidRPr="00CC19F7">
        <w:t>gassar</w:t>
      </w:r>
      <w:proofErr w:type="spellEnd"/>
      <w:r w:rsidRPr="00CC19F7">
        <w:t xml:space="preserve">. Statnetts mål er å redusere utslepp av den totale </w:t>
      </w:r>
      <w:proofErr w:type="spellStart"/>
      <w:r w:rsidRPr="00CC19F7">
        <w:t>behaldninga</w:t>
      </w:r>
      <w:proofErr w:type="spellEnd"/>
      <w:r w:rsidRPr="00CC19F7">
        <w:t xml:space="preserve"> SF</w:t>
      </w:r>
      <w:r w:rsidRPr="00CC19F7">
        <w:rPr>
          <w:rStyle w:val="skrift-senket"/>
        </w:rPr>
        <w:t>6</w:t>
      </w:r>
      <w:r w:rsidRPr="00CC19F7">
        <w:t xml:space="preserve">-gass til 0,15 prosent </w:t>
      </w:r>
      <w:proofErr w:type="spellStart"/>
      <w:r w:rsidRPr="00CC19F7">
        <w:t>innan</w:t>
      </w:r>
      <w:proofErr w:type="spellEnd"/>
      <w:r w:rsidRPr="00CC19F7">
        <w:t xml:space="preserve"> 2025. I 2021 var </w:t>
      </w:r>
      <w:proofErr w:type="spellStart"/>
      <w:r w:rsidRPr="00CC19F7">
        <w:t>utsleppsraten</w:t>
      </w:r>
      <w:proofErr w:type="spellEnd"/>
      <w:r w:rsidRPr="00CC19F7">
        <w:t xml:space="preserve"> på 0,17 prosent, </w:t>
      </w:r>
      <w:proofErr w:type="spellStart"/>
      <w:r w:rsidRPr="00CC19F7">
        <w:t>ein</w:t>
      </w:r>
      <w:proofErr w:type="spellEnd"/>
      <w:r w:rsidRPr="00CC19F7">
        <w:t xml:space="preserve"> reduksjon </w:t>
      </w:r>
      <w:proofErr w:type="spellStart"/>
      <w:r w:rsidRPr="00CC19F7">
        <w:t>frå</w:t>
      </w:r>
      <w:proofErr w:type="spellEnd"/>
      <w:r w:rsidRPr="00CC19F7">
        <w:t xml:space="preserve"> 2020.</w:t>
      </w:r>
    </w:p>
    <w:p w14:paraId="1A6719A5" w14:textId="77777777" w:rsidR="00FE02EF" w:rsidRPr="00CC19F7" w:rsidRDefault="00881E58" w:rsidP="00CC19F7">
      <w:pPr>
        <w:pStyle w:val="avsnitt-tittel"/>
      </w:pPr>
      <w:r w:rsidRPr="00CC19F7">
        <w:t xml:space="preserve">Mål 15: Verne, tilbakeføre og fremme </w:t>
      </w:r>
      <w:proofErr w:type="spellStart"/>
      <w:r w:rsidRPr="00CC19F7">
        <w:t>berekraftig</w:t>
      </w:r>
      <w:proofErr w:type="spellEnd"/>
      <w:r w:rsidRPr="00CC19F7">
        <w:t xml:space="preserve"> bruk av økosystem, sikre </w:t>
      </w:r>
      <w:proofErr w:type="spellStart"/>
      <w:r w:rsidRPr="00CC19F7">
        <w:t>berekraftig</w:t>
      </w:r>
      <w:proofErr w:type="spellEnd"/>
      <w:r w:rsidRPr="00CC19F7">
        <w:t xml:space="preserve"> skogforvaltning, </w:t>
      </w:r>
      <w:proofErr w:type="spellStart"/>
      <w:r w:rsidRPr="00CC19F7">
        <w:t>motverke</w:t>
      </w:r>
      <w:proofErr w:type="spellEnd"/>
      <w:r w:rsidRPr="00CC19F7">
        <w:t xml:space="preserve"> ørkenspreiing, stanse og reversere landforringing og stanse tap av </w:t>
      </w:r>
      <w:proofErr w:type="spellStart"/>
      <w:r w:rsidRPr="00CC19F7">
        <w:t>artsmangfald</w:t>
      </w:r>
      <w:proofErr w:type="spellEnd"/>
    </w:p>
    <w:p w14:paraId="004F9CDF" w14:textId="77777777" w:rsidR="00FE02EF" w:rsidRPr="00CC19F7" w:rsidRDefault="00881E58" w:rsidP="00CC19F7">
      <w:pPr>
        <w:pStyle w:val="avsnitt-undertittel"/>
      </w:pPr>
      <w:r w:rsidRPr="00CC19F7">
        <w:t xml:space="preserve">Delmål 15.1) </w:t>
      </w:r>
      <w:proofErr w:type="spellStart"/>
      <w:r w:rsidRPr="00CC19F7">
        <w:t>Innan</w:t>
      </w:r>
      <w:proofErr w:type="spellEnd"/>
      <w:r w:rsidRPr="00CC19F7">
        <w:t xml:space="preserve"> 2020 bevare og rette opp </w:t>
      </w:r>
      <w:proofErr w:type="spellStart"/>
      <w:r w:rsidRPr="00CC19F7">
        <w:t>berekraftig</w:t>
      </w:r>
      <w:proofErr w:type="spellEnd"/>
      <w:r w:rsidRPr="00CC19F7">
        <w:t xml:space="preserve"> bruk av ferskvassbaserte økosystem og </w:t>
      </w:r>
      <w:proofErr w:type="spellStart"/>
      <w:r w:rsidRPr="00CC19F7">
        <w:t>tenester</w:t>
      </w:r>
      <w:proofErr w:type="spellEnd"/>
      <w:r w:rsidRPr="00CC19F7">
        <w:t xml:space="preserve"> som </w:t>
      </w:r>
      <w:proofErr w:type="spellStart"/>
      <w:r w:rsidRPr="00CC19F7">
        <w:t>nyttar</w:t>
      </w:r>
      <w:proofErr w:type="spellEnd"/>
      <w:r w:rsidRPr="00CC19F7">
        <w:t xml:space="preserve"> seg av </w:t>
      </w:r>
      <w:proofErr w:type="spellStart"/>
      <w:r w:rsidRPr="00CC19F7">
        <w:t>desse</w:t>
      </w:r>
      <w:proofErr w:type="spellEnd"/>
      <w:r w:rsidRPr="00CC19F7">
        <w:t xml:space="preserve"> økosystema, på land og i innlandsområde, </w:t>
      </w:r>
      <w:proofErr w:type="spellStart"/>
      <w:r w:rsidRPr="00CC19F7">
        <w:t>særleg</w:t>
      </w:r>
      <w:proofErr w:type="spellEnd"/>
      <w:r w:rsidRPr="00CC19F7">
        <w:t xml:space="preserve"> </w:t>
      </w:r>
      <w:proofErr w:type="spellStart"/>
      <w:r w:rsidRPr="00CC19F7">
        <w:t>skogar</w:t>
      </w:r>
      <w:proofErr w:type="spellEnd"/>
      <w:r w:rsidRPr="00CC19F7">
        <w:t>, våtmarker, fjell og tørre område</w:t>
      </w:r>
    </w:p>
    <w:p w14:paraId="0941C6E5" w14:textId="77777777" w:rsidR="00FE02EF" w:rsidRPr="00CC19F7" w:rsidRDefault="00881E58" w:rsidP="00CC19F7">
      <w:r w:rsidRPr="00CC19F7">
        <w:t xml:space="preserve">Regjeringa legg i </w:t>
      </w:r>
      <w:proofErr w:type="spellStart"/>
      <w:r w:rsidRPr="00CC19F7">
        <w:t>dei</w:t>
      </w:r>
      <w:proofErr w:type="spellEnd"/>
      <w:r w:rsidRPr="00CC19F7">
        <w:t xml:space="preserve"> regionale </w:t>
      </w:r>
      <w:proofErr w:type="spellStart"/>
      <w:r w:rsidRPr="00CC19F7">
        <w:t>vassforvaltningsplanane</w:t>
      </w:r>
      <w:proofErr w:type="spellEnd"/>
      <w:r w:rsidRPr="00CC19F7">
        <w:t xml:space="preserve"> til rette for å verne om og bruke elver, </w:t>
      </w:r>
      <w:proofErr w:type="spellStart"/>
      <w:r w:rsidRPr="00CC19F7">
        <w:t>innsjøar</w:t>
      </w:r>
      <w:proofErr w:type="spellEnd"/>
      <w:r w:rsidRPr="00CC19F7">
        <w:t xml:space="preserve">, grunnvatn og kystvatn på </w:t>
      </w:r>
      <w:proofErr w:type="spellStart"/>
      <w:r w:rsidRPr="00CC19F7">
        <w:t>ein</w:t>
      </w:r>
      <w:proofErr w:type="spellEnd"/>
      <w:r w:rsidRPr="00CC19F7">
        <w:t xml:space="preserve"> </w:t>
      </w:r>
      <w:proofErr w:type="spellStart"/>
      <w:r w:rsidRPr="00CC19F7">
        <w:t>berekraftig</w:t>
      </w:r>
      <w:proofErr w:type="spellEnd"/>
      <w:r w:rsidRPr="00CC19F7">
        <w:t xml:space="preserve"> måte. Samordninga mellom ulike </w:t>
      </w:r>
      <w:proofErr w:type="spellStart"/>
      <w:r w:rsidRPr="00CC19F7">
        <w:t>sektormyndigheiter</w:t>
      </w:r>
      <w:proofErr w:type="spellEnd"/>
      <w:r w:rsidRPr="00CC19F7">
        <w:t xml:space="preserve"> og </w:t>
      </w:r>
      <w:proofErr w:type="spellStart"/>
      <w:r w:rsidRPr="00CC19F7">
        <w:t>myndigheitsnivå</w:t>
      </w:r>
      <w:proofErr w:type="spellEnd"/>
      <w:r w:rsidRPr="00CC19F7">
        <w:t xml:space="preserve"> i vassplanarbeidet </w:t>
      </w:r>
      <w:proofErr w:type="spellStart"/>
      <w:r w:rsidRPr="00CC19F7">
        <w:t>sikrar</w:t>
      </w:r>
      <w:proofErr w:type="spellEnd"/>
      <w:r w:rsidRPr="00CC19F7">
        <w:t xml:space="preserve"> ei felles forståing av tilstanden til og påverknaden på vassmiljøet og av rammer for miljømål, </w:t>
      </w:r>
      <w:proofErr w:type="spellStart"/>
      <w:r w:rsidRPr="00CC19F7">
        <w:t>prioriteringar</w:t>
      </w:r>
      <w:proofErr w:type="spellEnd"/>
      <w:r w:rsidRPr="00CC19F7">
        <w:t xml:space="preserve"> og tiltaksbehov. </w:t>
      </w:r>
      <w:proofErr w:type="spellStart"/>
      <w:r w:rsidRPr="00CC19F7">
        <w:t>Planane</w:t>
      </w:r>
      <w:proofErr w:type="spellEnd"/>
      <w:r w:rsidRPr="00CC19F7">
        <w:t xml:space="preserve"> tar vare på vassmiljøet </w:t>
      </w:r>
      <w:proofErr w:type="spellStart"/>
      <w:r w:rsidRPr="00CC19F7">
        <w:t>si</w:t>
      </w:r>
      <w:proofErr w:type="spellEnd"/>
      <w:r w:rsidRPr="00CC19F7">
        <w:t xml:space="preserve"> evne til å levere </w:t>
      </w:r>
      <w:proofErr w:type="spellStart"/>
      <w:r w:rsidRPr="00CC19F7">
        <w:t>økosystemtenester</w:t>
      </w:r>
      <w:proofErr w:type="spellEnd"/>
      <w:r w:rsidRPr="00CC19F7">
        <w:t xml:space="preserve"> som reint drikkevatn, god kvalitet på badevatn, trygg sjømat, fiske, rekreasjon og turisme, samtidig som </w:t>
      </w:r>
      <w:proofErr w:type="spellStart"/>
      <w:r w:rsidRPr="00CC19F7">
        <w:t>ein</w:t>
      </w:r>
      <w:proofErr w:type="spellEnd"/>
      <w:r w:rsidRPr="00CC19F7">
        <w:t xml:space="preserve"> </w:t>
      </w:r>
      <w:proofErr w:type="spellStart"/>
      <w:r w:rsidRPr="00CC19F7">
        <w:t>sikrar</w:t>
      </w:r>
      <w:proofErr w:type="spellEnd"/>
      <w:r w:rsidRPr="00CC19F7">
        <w:t xml:space="preserve"> det langsiktige grunnlaget for verdiskaping og næringsutvikling. </w:t>
      </w:r>
      <w:proofErr w:type="gramStart"/>
      <w:r w:rsidRPr="00CC19F7">
        <w:t>Robuste</w:t>
      </w:r>
      <w:proofErr w:type="gramEnd"/>
      <w:r w:rsidRPr="00CC19F7">
        <w:t xml:space="preserve"> vassøkosystem kan også dempe effekten av </w:t>
      </w:r>
      <w:proofErr w:type="spellStart"/>
      <w:r w:rsidRPr="00CC19F7">
        <w:t>klimaendringane</w:t>
      </w:r>
      <w:proofErr w:type="spellEnd"/>
      <w:r w:rsidRPr="00CC19F7">
        <w:t xml:space="preserve"> for eksempel i form av </w:t>
      </w:r>
      <w:proofErr w:type="spellStart"/>
      <w:r w:rsidRPr="00CC19F7">
        <w:t>flaumdemping</w:t>
      </w:r>
      <w:proofErr w:type="spellEnd"/>
      <w:r w:rsidRPr="00CC19F7">
        <w:t xml:space="preserve">, overvasshandtering og </w:t>
      </w:r>
      <w:proofErr w:type="spellStart"/>
      <w:r w:rsidRPr="00CC19F7">
        <w:t>vassreinsing</w:t>
      </w:r>
      <w:proofErr w:type="spellEnd"/>
      <w:r w:rsidRPr="00CC19F7">
        <w:t xml:space="preserve">. Regjeringa arbeider med å styrke norsk vassforvaltning gjennom </w:t>
      </w:r>
      <w:proofErr w:type="spellStart"/>
      <w:r w:rsidRPr="00CC19F7">
        <w:t>ein</w:t>
      </w:r>
      <w:proofErr w:type="spellEnd"/>
      <w:r w:rsidRPr="00CC19F7">
        <w:t xml:space="preserve"> samordna innsats mellom involverte </w:t>
      </w:r>
      <w:proofErr w:type="spellStart"/>
      <w:r w:rsidRPr="00CC19F7">
        <w:t>sektorar</w:t>
      </w:r>
      <w:proofErr w:type="spellEnd"/>
      <w:r w:rsidRPr="00CC19F7">
        <w:t xml:space="preserve"> for å følge opp tiltak i </w:t>
      </w:r>
      <w:proofErr w:type="spellStart"/>
      <w:r w:rsidRPr="00CC19F7">
        <w:t>vassforvaltningsplanane</w:t>
      </w:r>
      <w:proofErr w:type="spellEnd"/>
      <w:r w:rsidRPr="00CC19F7">
        <w:t>.</w:t>
      </w:r>
    </w:p>
    <w:p w14:paraId="3B77F54B" w14:textId="77777777" w:rsidR="00FE02EF" w:rsidRPr="00CC19F7" w:rsidRDefault="00881E58" w:rsidP="00CC19F7">
      <w:pPr>
        <w:pStyle w:val="avsnitt-undertittel"/>
      </w:pPr>
      <w:r w:rsidRPr="00CC19F7">
        <w:t xml:space="preserve">Delmål 15.5) Sette i verk </w:t>
      </w:r>
      <w:proofErr w:type="spellStart"/>
      <w:r w:rsidRPr="00CC19F7">
        <w:t>omgåande</w:t>
      </w:r>
      <w:proofErr w:type="spellEnd"/>
      <w:r w:rsidRPr="00CC19F7">
        <w:t xml:space="preserve"> og </w:t>
      </w:r>
      <w:proofErr w:type="spellStart"/>
      <w:r w:rsidRPr="00CC19F7">
        <w:t>omfattande</w:t>
      </w:r>
      <w:proofErr w:type="spellEnd"/>
      <w:r w:rsidRPr="00CC19F7">
        <w:t xml:space="preserve"> tiltak for å redusere øydelegginga av habitat, stanse tap av biologisk </w:t>
      </w:r>
      <w:proofErr w:type="spellStart"/>
      <w:r w:rsidRPr="00CC19F7">
        <w:t>mangfald</w:t>
      </w:r>
      <w:proofErr w:type="spellEnd"/>
      <w:r w:rsidRPr="00CC19F7">
        <w:t xml:space="preserve"> og </w:t>
      </w:r>
      <w:proofErr w:type="spellStart"/>
      <w:r w:rsidRPr="00CC19F7">
        <w:t>innan</w:t>
      </w:r>
      <w:proofErr w:type="spellEnd"/>
      <w:r w:rsidRPr="00CC19F7">
        <w:t xml:space="preserve"> 2020 verne trua </w:t>
      </w:r>
      <w:proofErr w:type="spellStart"/>
      <w:r w:rsidRPr="00CC19F7">
        <w:t>artar</w:t>
      </w:r>
      <w:proofErr w:type="spellEnd"/>
      <w:r w:rsidRPr="00CC19F7">
        <w:t xml:space="preserve"> og hindre at </w:t>
      </w:r>
      <w:proofErr w:type="spellStart"/>
      <w:r w:rsidRPr="00CC19F7">
        <w:t>dei</w:t>
      </w:r>
      <w:proofErr w:type="spellEnd"/>
      <w:r w:rsidRPr="00CC19F7">
        <w:t xml:space="preserve"> </w:t>
      </w:r>
      <w:proofErr w:type="spellStart"/>
      <w:r w:rsidRPr="00CC19F7">
        <w:t>døyr</w:t>
      </w:r>
      <w:proofErr w:type="spellEnd"/>
      <w:r w:rsidRPr="00CC19F7">
        <w:t xml:space="preserve"> ut</w:t>
      </w:r>
    </w:p>
    <w:p w14:paraId="040A05A6" w14:textId="77777777" w:rsidR="00FE02EF" w:rsidRPr="00CC19F7" w:rsidRDefault="00881E58" w:rsidP="00CC19F7">
      <w:proofErr w:type="spellStart"/>
      <w:r w:rsidRPr="00CC19F7">
        <w:t>Arealendringar</w:t>
      </w:r>
      <w:proofErr w:type="spellEnd"/>
      <w:r w:rsidRPr="00CC19F7">
        <w:t xml:space="preserve"> er den største trusselen mot </w:t>
      </w:r>
      <w:proofErr w:type="spellStart"/>
      <w:r w:rsidRPr="00CC19F7">
        <w:t>naturmangfaldet</w:t>
      </w:r>
      <w:proofErr w:type="spellEnd"/>
      <w:r w:rsidRPr="00CC19F7">
        <w:t xml:space="preserve">. Utbygging og drift av produksjonsanlegg med </w:t>
      </w:r>
      <w:proofErr w:type="spellStart"/>
      <w:r w:rsidRPr="00CC19F7">
        <w:t>tilhøyrande</w:t>
      </w:r>
      <w:proofErr w:type="spellEnd"/>
      <w:r w:rsidRPr="00CC19F7">
        <w:t xml:space="preserve"> infrastruktur påverkar det biologiske </w:t>
      </w:r>
      <w:proofErr w:type="spellStart"/>
      <w:r w:rsidRPr="00CC19F7">
        <w:t>mangfaldet</w:t>
      </w:r>
      <w:proofErr w:type="spellEnd"/>
      <w:r w:rsidRPr="00CC19F7">
        <w:t xml:space="preserve"> gjennom fragmentering og degradering av leveområdet til </w:t>
      </w:r>
      <w:proofErr w:type="spellStart"/>
      <w:r w:rsidRPr="00CC19F7">
        <w:t>artane</w:t>
      </w:r>
      <w:proofErr w:type="spellEnd"/>
      <w:r w:rsidRPr="00CC19F7">
        <w:t xml:space="preserve">. I </w:t>
      </w:r>
      <w:proofErr w:type="spellStart"/>
      <w:r w:rsidRPr="00CC19F7">
        <w:t>konsesjonsprosessane</w:t>
      </w:r>
      <w:proofErr w:type="spellEnd"/>
      <w:r w:rsidRPr="00CC19F7">
        <w:t xml:space="preserve"> blir det gjort aktive </w:t>
      </w:r>
      <w:proofErr w:type="spellStart"/>
      <w:r w:rsidRPr="00CC19F7">
        <w:t>arealval</w:t>
      </w:r>
      <w:proofErr w:type="spellEnd"/>
      <w:r w:rsidRPr="00CC19F7">
        <w:t xml:space="preserve"> for å unngå </w:t>
      </w:r>
      <w:proofErr w:type="spellStart"/>
      <w:r w:rsidRPr="00CC19F7">
        <w:t>dei</w:t>
      </w:r>
      <w:proofErr w:type="spellEnd"/>
      <w:r w:rsidRPr="00CC19F7">
        <w:t xml:space="preserve"> mest sårbare naturområda. </w:t>
      </w:r>
      <w:proofErr w:type="spellStart"/>
      <w:r w:rsidRPr="00CC19F7">
        <w:t>Konsesjonane</w:t>
      </w:r>
      <w:proofErr w:type="spellEnd"/>
      <w:r w:rsidRPr="00CC19F7">
        <w:t xml:space="preserve"> som blir gitt i dag, </w:t>
      </w:r>
      <w:proofErr w:type="spellStart"/>
      <w:r w:rsidRPr="00CC19F7">
        <w:t>inneheld</w:t>
      </w:r>
      <w:proofErr w:type="spellEnd"/>
      <w:r w:rsidRPr="00CC19F7">
        <w:t xml:space="preserve"> krav om </w:t>
      </w:r>
      <w:proofErr w:type="spellStart"/>
      <w:r w:rsidRPr="00CC19F7">
        <w:t>fleire</w:t>
      </w:r>
      <w:proofErr w:type="spellEnd"/>
      <w:r w:rsidRPr="00CC19F7">
        <w:t xml:space="preserve"> </w:t>
      </w:r>
      <w:proofErr w:type="spellStart"/>
      <w:r w:rsidRPr="00CC19F7">
        <w:t>avbøtande</w:t>
      </w:r>
      <w:proofErr w:type="spellEnd"/>
      <w:r w:rsidRPr="00CC19F7">
        <w:t xml:space="preserve"> tiltak på miljø, for eksempel slepp av minstevassføring for vasskraftanlegg. </w:t>
      </w:r>
      <w:proofErr w:type="spellStart"/>
      <w:r w:rsidRPr="00CC19F7">
        <w:t>Vidare</w:t>
      </w:r>
      <w:proofErr w:type="spellEnd"/>
      <w:r w:rsidRPr="00CC19F7">
        <w:t xml:space="preserve"> får </w:t>
      </w:r>
      <w:proofErr w:type="spellStart"/>
      <w:r w:rsidRPr="00CC19F7">
        <w:t>eksisterande</w:t>
      </w:r>
      <w:proofErr w:type="spellEnd"/>
      <w:r w:rsidRPr="00CC19F7">
        <w:t xml:space="preserve"> vasskraftanlegg oppjusterte miljøvilkår i tråd med ny kunnskap. I tillegg jobbar regjeringa aktivt med å </w:t>
      </w:r>
      <w:proofErr w:type="spellStart"/>
      <w:r w:rsidRPr="00CC19F7">
        <w:t>forbetre</w:t>
      </w:r>
      <w:proofErr w:type="spellEnd"/>
      <w:r w:rsidRPr="00CC19F7">
        <w:t xml:space="preserve"> kunnskapsgrunnlaget for konsesjonsbehandlinga.</w:t>
      </w:r>
    </w:p>
    <w:p w14:paraId="0F875978" w14:textId="77777777" w:rsidR="00FE02EF" w:rsidRPr="00CC19F7" w:rsidRDefault="00881E58" w:rsidP="00CC19F7">
      <w:r w:rsidRPr="00CC19F7">
        <w:t xml:space="preserve">Statnett arbeider aktivt for å redusere negativ påverknad </w:t>
      </w:r>
      <w:proofErr w:type="spellStart"/>
      <w:r w:rsidRPr="00CC19F7">
        <w:t>frå</w:t>
      </w:r>
      <w:proofErr w:type="spellEnd"/>
      <w:r w:rsidRPr="00CC19F7">
        <w:t xml:space="preserve"> naturinngrep. Fram mot 2030 vil Statnett aktivt legge til rette for </w:t>
      </w:r>
      <w:proofErr w:type="spellStart"/>
      <w:r w:rsidRPr="00CC19F7">
        <w:t>naturmangfald</w:t>
      </w:r>
      <w:proofErr w:type="spellEnd"/>
      <w:r w:rsidRPr="00CC19F7">
        <w:t xml:space="preserve"> i og rundt anlegga sine, og dette skal </w:t>
      </w:r>
      <w:proofErr w:type="spellStart"/>
      <w:r w:rsidRPr="00CC19F7">
        <w:t>vere</w:t>
      </w:r>
      <w:proofErr w:type="spellEnd"/>
      <w:r w:rsidRPr="00CC19F7">
        <w:t xml:space="preserve"> </w:t>
      </w:r>
      <w:proofErr w:type="spellStart"/>
      <w:r w:rsidRPr="00CC19F7">
        <w:t>ein</w:t>
      </w:r>
      <w:proofErr w:type="spellEnd"/>
      <w:r w:rsidRPr="00CC19F7">
        <w:t xml:space="preserve"> integrert del av planlegginga og drifta av anlegga. Statnett tar omsyn til </w:t>
      </w:r>
      <w:proofErr w:type="spellStart"/>
      <w:r w:rsidRPr="00CC19F7">
        <w:t>naturtypar</w:t>
      </w:r>
      <w:proofErr w:type="spellEnd"/>
      <w:r w:rsidRPr="00CC19F7">
        <w:t xml:space="preserve"> og </w:t>
      </w:r>
      <w:proofErr w:type="spellStart"/>
      <w:r w:rsidRPr="00CC19F7">
        <w:t>artar</w:t>
      </w:r>
      <w:proofErr w:type="spellEnd"/>
      <w:r w:rsidRPr="00CC19F7">
        <w:t xml:space="preserve"> ved planlegging, val av </w:t>
      </w:r>
      <w:proofErr w:type="spellStart"/>
      <w:r w:rsidRPr="00CC19F7">
        <w:t>løysingar</w:t>
      </w:r>
      <w:proofErr w:type="spellEnd"/>
      <w:r w:rsidRPr="00CC19F7">
        <w:t xml:space="preserve"> og under bygging og drift av anlegg. Der det </w:t>
      </w:r>
      <w:proofErr w:type="spellStart"/>
      <w:r w:rsidRPr="00CC19F7">
        <w:t>ikkje</w:t>
      </w:r>
      <w:proofErr w:type="spellEnd"/>
      <w:r w:rsidRPr="00CC19F7">
        <w:t xml:space="preserve"> er </w:t>
      </w:r>
      <w:proofErr w:type="spellStart"/>
      <w:r w:rsidRPr="00CC19F7">
        <w:t>mogleg</w:t>
      </w:r>
      <w:proofErr w:type="spellEnd"/>
      <w:r w:rsidRPr="00CC19F7">
        <w:t xml:space="preserve"> å unngå å </w:t>
      </w:r>
      <w:proofErr w:type="spellStart"/>
      <w:r w:rsidRPr="00CC19F7">
        <w:t>påverke</w:t>
      </w:r>
      <w:proofErr w:type="spellEnd"/>
      <w:r w:rsidRPr="00CC19F7">
        <w:t xml:space="preserve"> </w:t>
      </w:r>
      <w:proofErr w:type="spellStart"/>
      <w:r w:rsidRPr="00CC19F7">
        <w:t>naturmangfaldet</w:t>
      </w:r>
      <w:proofErr w:type="spellEnd"/>
      <w:r w:rsidRPr="00CC19F7">
        <w:t xml:space="preserve">, blir det sett inn tiltak for å avgrense eller avbøte verknader </w:t>
      </w:r>
      <w:proofErr w:type="spellStart"/>
      <w:r w:rsidRPr="00CC19F7">
        <w:t>frå</w:t>
      </w:r>
      <w:proofErr w:type="spellEnd"/>
      <w:r w:rsidRPr="00CC19F7">
        <w:t xml:space="preserve"> </w:t>
      </w:r>
      <w:proofErr w:type="spellStart"/>
      <w:r w:rsidRPr="00CC19F7">
        <w:t>anleggsverksemda</w:t>
      </w:r>
      <w:proofErr w:type="spellEnd"/>
      <w:r w:rsidRPr="00CC19F7">
        <w:t>.</w:t>
      </w:r>
    </w:p>
    <w:p w14:paraId="568011DB" w14:textId="77777777" w:rsidR="00FE02EF" w:rsidRPr="00CC19F7" w:rsidRDefault="00881E58" w:rsidP="00CC19F7">
      <w:r w:rsidRPr="00CC19F7">
        <w:t xml:space="preserve">Som </w:t>
      </w:r>
      <w:proofErr w:type="spellStart"/>
      <w:r w:rsidRPr="00CC19F7">
        <w:t>ein</w:t>
      </w:r>
      <w:proofErr w:type="spellEnd"/>
      <w:r w:rsidRPr="00CC19F7">
        <w:t xml:space="preserve"> del av </w:t>
      </w:r>
      <w:proofErr w:type="spellStart"/>
      <w:r w:rsidRPr="00CC19F7">
        <w:t>opningsprosessen</w:t>
      </w:r>
      <w:proofErr w:type="spellEnd"/>
      <w:r w:rsidRPr="00CC19F7">
        <w:t xml:space="preserve">, </w:t>
      </w:r>
      <w:proofErr w:type="spellStart"/>
      <w:r w:rsidRPr="00CC19F7">
        <w:t>ein</w:t>
      </w:r>
      <w:proofErr w:type="spellEnd"/>
      <w:r w:rsidRPr="00CC19F7">
        <w:t xml:space="preserve"> </w:t>
      </w:r>
      <w:proofErr w:type="spellStart"/>
      <w:r w:rsidRPr="00CC19F7">
        <w:t>heilskapleg</w:t>
      </w:r>
      <w:proofErr w:type="spellEnd"/>
      <w:r w:rsidRPr="00CC19F7">
        <w:t xml:space="preserve"> plan for naturkartlegging og mellom anna førebuing til havvindutlysinga i 2025 foreslår Olje- og energidepartementet å gjennomføre </w:t>
      </w:r>
      <w:proofErr w:type="spellStart"/>
      <w:r w:rsidRPr="00CC19F7">
        <w:t>feltundersøkingar</w:t>
      </w:r>
      <w:proofErr w:type="spellEnd"/>
      <w:r w:rsidRPr="00CC19F7">
        <w:t xml:space="preserve"> som </w:t>
      </w:r>
      <w:proofErr w:type="spellStart"/>
      <w:r w:rsidRPr="00CC19F7">
        <w:t>aukar</w:t>
      </w:r>
      <w:proofErr w:type="spellEnd"/>
      <w:r w:rsidRPr="00CC19F7">
        <w:t xml:space="preserve"> kunnskapsnivået om </w:t>
      </w:r>
      <w:proofErr w:type="spellStart"/>
      <w:r w:rsidRPr="00CC19F7">
        <w:t>naturmangfald</w:t>
      </w:r>
      <w:proofErr w:type="spellEnd"/>
      <w:r w:rsidRPr="00CC19F7">
        <w:t xml:space="preserve"> og miljø i </w:t>
      </w:r>
      <w:proofErr w:type="spellStart"/>
      <w:r w:rsidRPr="00CC19F7">
        <w:t>dei</w:t>
      </w:r>
      <w:proofErr w:type="spellEnd"/>
      <w:r w:rsidRPr="00CC19F7">
        <w:t xml:space="preserve"> områda som er aktuelle for utlysing i 2025. </w:t>
      </w:r>
      <w:proofErr w:type="spellStart"/>
      <w:r w:rsidRPr="00CC19F7">
        <w:t>Undersøkingane</w:t>
      </w:r>
      <w:proofErr w:type="spellEnd"/>
      <w:r w:rsidRPr="00CC19F7">
        <w:t xml:space="preserve"> vil dekke </w:t>
      </w:r>
      <w:proofErr w:type="spellStart"/>
      <w:r w:rsidRPr="00CC19F7">
        <w:t>naturmangfald</w:t>
      </w:r>
      <w:proofErr w:type="spellEnd"/>
      <w:r w:rsidRPr="00CC19F7">
        <w:t xml:space="preserve"> over vatn, på </w:t>
      </w:r>
      <w:proofErr w:type="spellStart"/>
      <w:r w:rsidRPr="00CC19F7">
        <w:t>sjøbotnen</w:t>
      </w:r>
      <w:proofErr w:type="spellEnd"/>
      <w:r w:rsidRPr="00CC19F7">
        <w:t xml:space="preserve"> og i havkolonnen.</w:t>
      </w:r>
    </w:p>
    <w:p w14:paraId="0A39E06B" w14:textId="77777777" w:rsidR="00FE02EF" w:rsidRPr="00CC19F7" w:rsidRDefault="00881E58" w:rsidP="00CC19F7">
      <w:pPr>
        <w:pStyle w:val="Overskrift1"/>
      </w:pPr>
      <w:proofErr w:type="spellStart"/>
      <w:r w:rsidRPr="00CC19F7">
        <w:t>Sikkerheits</w:t>
      </w:r>
      <w:proofErr w:type="spellEnd"/>
      <w:r w:rsidRPr="00CC19F7">
        <w:t>- og beredskapsarbeid</w:t>
      </w:r>
    </w:p>
    <w:p w14:paraId="696324E3" w14:textId="77777777" w:rsidR="00FE02EF" w:rsidRPr="00CC19F7" w:rsidRDefault="00881E58" w:rsidP="00CC19F7">
      <w:r w:rsidRPr="00CC19F7">
        <w:t xml:space="preserve">Olje- og energidepartementet (OED) har ansvar for eigen beredskap og skal </w:t>
      </w:r>
      <w:proofErr w:type="spellStart"/>
      <w:r w:rsidRPr="00CC19F7">
        <w:t>vere</w:t>
      </w:r>
      <w:proofErr w:type="spellEnd"/>
      <w:r w:rsidRPr="00CC19F7">
        <w:t xml:space="preserve"> klar til å delta i ei sentral handtering ved nasjonale kriser.</w:t>
      </w:r>
    </w:p>
    <w:p w14:paraId="1B8B0543" w14:textId="77777777" w:rsidR="00FE02EF" w:rsidRPr="00CC19F7" w:rsidRDefault="00881E58" w:rsidP="00CC19F7">
      <w:r w:rsidRPr="00CC19F7">
        <w:t xml:space="preserve">Departementet har også det overordna ansvaret for den kritiske samfunnsfunksjonen kraftforsyning. Forhold knytte til den aktuelle kraftsituasjonen er omtalte i kapittel 7.2 «Ei sikker kraftforsyning». OED har </w:t>
      </w:r>
      <w:proofErr w:type="spellStart"/>
      <w:r w:rsidRPr="00CC19F7">
        <w:t>vidare</w:t>
      </w:r>
      <w:proofErr w:type="spellEnd"/>
      <w:r w:rsidRPr="00CC19F7">
        <w:t xml:space="preserve"> ansvar og </w:t>
      </w:r>
      <w:proofErr w:type="spellStart"/>
      <w:r w:rsidRPr="00CC19F7">
        <w:t>oppgåver</w:t>
      </w:r>
      <w:proofErr w:type="spellEnd"/>
      <w:r w:rsidRPr="00CC19F7">
        <w:t xml:space="preserve"> knytte til å </w:t>
      </w:r>
      <w:proofErr w:type="spellStart"/>
      <w:r w:rsidRPr="00CC19F7">
        <w:t>førebygge</w:t>
      </w:r>
      <w:proofErr w:type="spellEnd"/>
      <w:r w:rsidRPr="00CC19F7">
        <w:t xml:space="preserve"> skade som følge av </w:t>
      </w:r>
      <w:proofErr w:type="spellStart"/>
      <w:r w:rsidRPr="00CC19F7">
        <w:t>dambrot</w:t>
      </w:r>
      <w:proofErr w:type="spellEnd"/>
      <w:r w:rsidRPr="00CC19F7">
        <w:t xml:space="preserve">, </w:t>
      </w:r>
      <w:proofErr w:type="spellStart"/>
      <w:r w:rsidRPr="00CC19F7">
        <w:t>flaum</w:t>
      </w:r>
      <w:proofErr w:type="spellEnd"/>
      <w:r w:rsidRPr="00CC19F7">
        <w:t xml:space="preserve"> og skred.</w:t>
      </w:r>
    </w:p>
    <w:p w14:paraId="3F55AB4A" w14:textId="77777777" w:rsidR="00FE02EF" w:rsidRPr="00CC19F7" w:rsidRDefault="00881E58" w:rsidP="00CC19F7">
      <w:r w:rsidRPr="00CC19F7">
        <w:t xml:space="preserve">Departementet har sektoransvar for olje- og </w:t>
      </w:r>
      <w:proofErr w:type="spellStart"/>
      <w:r w:rsidRPr="00CC19F7">
        <w:t>gassaktivitetane</w:t>
      </w:r>
      <w:proofErr w:type="spellEnd"/>
      <w:r w:rsidRPr="00CC19F7">
        <w:t xml:space="preserve"> under petroleumslova. Departementet har også sektoransvar for aktiviteten under forskrift om utnytting av undersjøiske reservoar på kontinentalsokkelen til lagring og transport av CO</w:t>
      </w:r>
      <w:r w:rsidRPr="00CC19F7">
        <w:rPr>
          <w:rStyle w:val="skrift-senket"/>
        </w:rPr>
        <w:t>2</w:t>
      </w:r>
      <w:r w:rsidRPr="00CC19F7">
        <w:t xml:space="preserve"> på kontinentalsokkelen og havbotnminerallova.</w:t>
      </w:r>
    </w:p>
    <w:p w14:paraId="54990874" w14:textId="77777777" w:rsidR="00FE02EF" w:rsidRPr="00CC19F7" w:rsidRDefault="00881E58" w:rsidP="00CC19F7">
      <w:r w:rsidRPr="00CC19F7">
        <w:t xml:space="preserve">Ved </w:t>
      </w:r>
      <w:proofErr w:type="spellStart"/>
      <w:r w:rsidRPr="00CC19F7">
        <w:t>kongeleg</w:t>
      </w:r>
      <w:proofErr w:type="spellEnd"/>
      <w:r w:rsidRPr="00CC19F7">
        <w:t xml:space="preserve"> resolusjon 11. mai og 20. juni 2023 overtok Olje- og energidepartementet ansvaret for etatsstyringa av Havindustritilsynet og forvaltningsansvaret for arbeidsmiljø, </w:t>
      </w:r>
      <w:proofErr w:type="spellStart"/>
      <w:r w:rsidRPr="00CC19F7">
        <w:t>sikkerheit</w:t>
      </w:r>
      <w:proofErr w:type="spellEnd"/>
      <w:r w:rsidRPr="00CC19F7">
        <w:t xml:space="preserve">, beredskap og sikring etter petroleumslova, havenergilova, havbotnminerallova og når det </w:t>
      </w:r>
      <w:proofErr w:type="spellStart"/>
      <w:r w:rsidRPr="00CC19F7">
        <w:t>gjeld</w:t>
      </w:r>
      <w:proofErr w:type="spellEnd"/>
      <w:r w:rsidRPr="00CC19F7">
        <w:t xml:space="preserve"> transport og lagring av CO</w:t>
      </w:r>
      <w:r w:rsidRPr="00CC19F7">
        <w:rPr>
          <w:rStyle w:val="skrift-senket"/>
        </w:rPr>
        <w:t>2</w:t>
      </w:r>
      <w:r w:rsidRPr="00CC19F7">
        <w:t xml:space="preserve"> på kontinentalsokkelen.</w:t>
      </w:r>
    </w:p>
    <w:p w14:paraId="0DE62A6D" w14:textId="77777777" w:rsidR="00FE02EF" w:rsidRPr="00CC19F7" w:rsidRDefault="00881E58" w:rsidP="00CC19F7">
      <w:pPr>
        <w:pStyle w:val="Overskrift2"/>
      </w:pPr>
      <w:r w:rsidRPr="00CC19F7">
        <w:t xml:space="preserve">Arbeidet med oppfølging av </w:t>
      </w:r>
      <w:proofErr w:type="spellStart"/>
      <w:r w:rsidRPr="00CC19F7">
        <w:t>sikkerheitslova</w:t>
      </w:r>
      <w:proofErr w:type="spellEnd"/>
    </w:p>
    <w:p w14:paraId="51F65ABC" w14:textId="77777777" w:rsidR="00FE02EF" w:rsidRPr="00CC19F7" w:rsidRDefault="00881E58" w:rsidP="00CC19F7">
      <w:pPr>
        <w:rPr>
          <w:rStyle w:val="kursiv"/>
        </w:rPr>
      </w:pPr>
      <w:r w:rsidRPr="00CC19F7">
        <w:rPr>
          <w:rStyle w:val="kursiv"/>
        </w:rPr>
        <w:t xml:space="preserve">Lov om nasjonal </w:t>
      </w:r>
      <w:proofErr w:type="spellStart"/>
      <w:r w:rsidRPr="00CC19F7">
        <w:rPr>
          <w:rStyle w:val="kursiv"/>
        </w:rPr>
        <w:t>sikkerheit</w:t>
      </w:r>
      <w:proofErr w:type="spellEnd"/>
      <w:r w:rsidRPr="00CC19F7">
        <w:t xml:space="preserve"> (</w:t>
      </w:r>
      <w:proofErr w:type="spellStart"/>
      <w:r w:rsidRPr="00CC19F7">
        <w:t>sikkerheitslova</w:t>
      </w:r>
      <w:proofErr w:type="spellEnd"/>
      <w:r w:rsidRPr="00CC19F7">
        <w:t xml:space="preserve">) tok til å gjelde 1. januar 2019, og alle </w:t>
      </w:r>
      <w:proofErr w:type="spellStart"/>
      <w:r w:rsidRPr="00CC19F7">
        <w:t>sektorar</w:t>
      </w:r>
      <w:proofErr w:type="spellEnd"/>
      <w:r w:rsidRPr="00CC19F7">
        <w:t xml:space="preserve"> arbeider med å </w:t>
      </w:r>
      <w:proofErr w:type="gramStart"/>
      <w:r w:rsidRPr="00CC19F7">
        <w:t>implementere</w:t>
      </w:r>
      <w:proofErr w:type="gramEnd"/>
      <w:r w:rsidRPr="00CC19F7">
        <w:t xml:space="preserve"> lova. Formålet med lova er å trygge </w:t>
      </w:r>
      <w:proofErr w:type="spellStart"/>
      <w:r w:rsidRPr="00CC19F7">
        <w:t>dei</w:t>
      </w:r>
      <w:proofErr w:type="spellEnd"/>
      <w:r w:rsidRPr="00CC19F7">
        <w:t xml:space="preserve"> nasjonale </w:t>
      </w:r>
      <w:proofErr w:type="spellStart"/>
      <w:r w:rsidRPr="00CC19F7">
        <w:t>sikkerheitsinteressene</w:t>
      </w:r>
      <w:proofErr w:type="spellEnd"/>
      <w:r w:rsidRPr="00CC19F7">
        <w:t xml:space="preserve"> våre og å </w:t>
      </w:r>
      <w:proofErr w:type="spellStart"/>
      <w:r w:rsidRPr="00CC19F7">
        <w:t>førebygge</w:t>
      </w:r>
      <w:proofErr w:type="spellEnd"/>
      <w:r w:rsidRPr="00CC19F7">
        <w:t xml:space="preserve">, avdekke og </w:t>
      </w:r>
      <w:proofErr w:type="spellStart"/>
      <w:r w:rsidRPr="00CC19F7">
        <w:t>motverke</w:t>
      </w:r>
      <w:proofErr w:type="spellEnd"/>
      <w:r w:rsidRPr="00CC19F7">
        <w:t xml:space="preserve"> </w:t>
      </w:r>
      <w:proofErr w:type="spellStart"/>
      <w:r w:rsidRPr="00CC19F7">
        <w:t>verksemd</w:t>
      </w:r>
      <w:proofErr w:type="spellEnd"/>
      <w:r w:rsidRPr="00CC19F7">
        <w:t xml:space="preserve"> som </w:t>
      </w:r>
      <w:proofErr w:type="spellStart"/>
      <w:r w:rsidRPr="00CC19F7">
        <w:t>truar</w:t>
      </w:r>
      <w:proofErr w:type="spellEnd"/>
      <w:r w:rsidRPr="00CC19F7">
        <w:t xml:space="preserve"> </w:t>
      </w:r>
      <w:proofErr w:type="spellStart"/>
      <w:r w:rsidRPr="00CC19F7">
        <w:t>sikkerheita</w:t>
      </w:r>
      <w:proofErr w:type="spellEnd"/>
      <w:r w:rsidRPr="00CC19F7">
        <w:t xml:space="preserve">. Departementa skal identifisere eventuelle </w:t>
      </w:r>
      <w:proofErr w:type="spellStart"/>
      <w:r w:rsidRPr="00CC19F7">
        <w:t>grunnleggande</w:t>
      </w:r>
      <w:proofErr w:type="spellEnd"/>
      <w:r w:rsidRPr="00CC19F7">
        <w:t xml:space="preserve"> nasjonale </w:t>
      </w:r>
      <w:proofErr w:type="spellStart"/>
      <w:r w:rsidRPr="00CC19F7">
        <w:t>funksjonar</w:t>
      </w:r>
      <w:proofErr w:type="spellEnd"/>
      <w:r w:rsidRPr="00CC19F7">
        <w:t xml:space="preserve"> (GNF) </w:t>
      </w:r>
      <w:proofErr w:type="spellStart"/>
      <w:r w:rsidRPr="00CC19F7">
        <w:t>innanfor</w:t>
      </w:r>
      <w:proofErr w:type="spellEnd"/>
      <w:r w:rsidRPr="00CC19F7">
        <w:t xml:space="preserve"> </w:t>
      </w:r>
      <w:proofErr w:type="gramStart"/>
      <w:r w:rsidRPr="00CC19F7">
        <w:t>sine ansvarsområde</w:t>
      </w:r>
      <w:proofErr w:type="gramEnd"/>
      <w:r w:rsidRPr="00CC19F7">
        <w:t xml:space="preserve">. </w:t>
      </w:r>
      <w:proofErr w:type="spellStart"/>
      <w:r w:rsidRPr="00CC19F7">
        <w:t>Verksemder</w:t>
      </w:r>
      <w:proofErr w:type="spellEnd"/>
      <w:r w:rsidRPr="00CC19F7">
        <w:t xml:space="preserve"> av </w:t>
      </w:r>
      <w:proofErr w:type="spellStart"/>
      <w:r w:rsidRPr="00CC19F7">
        <w:t>avgjerande</w:t>
      </w:r>
      <w:proofErr w:type="spellEnd"/>
      <w:r w:rsidRPr="00CC19F7">
        <w:t xml:space="preserve"> betydning for GNF blir </w:t>
      </w:r>
      <w:proofErr w:type="spellStart"/>
      <w:r w:rsidRPr="00CC19F7">
        <w:t>underlagde</w:t>
      </w:r>
      <w:proofErr w:type="spellEnd"/>
      <w:r w:rsidRPr="00CC19F7">
        <w:t xml:space="preserve"> </w:t>
      </w:r>
      <w:proofErr w:type="spellStart"/>
      <w:r w:rsidRPr="00CC19F7">
        <w:t>sikkerheitslova</w:t>
      </w:r>
      <w:proofErr w:type="spellEnd"/>
      <w:r w:rsidRPr="00CC19F7">
        <w:t xml:space="preserve">, og nødvendige sikringstiltak for skjermingsverdige </w:t>
      </w:r>
      <w:proofErr w:type="spellStart"/>
      <w:r w:rsidRPr="00CC19F7">
        <w:t>verdiar</w:t>
      </w:r>
      <w:proofErr w:type="spellEnd"/>
      <w:r w:rsidRPr="00CC19F7">
        <w:t xml:space="preserve"> blir gjennomførte. For å vareta formålet med lova vil GNF-prosessen </w:t>
      </w:r>
      <w:proofErr w:type="spellStart"/>
      <w:r w:rsidRPr="00CC19F7">
        <w:t>vere</w:t>
      </w:r>
      <w:proofErr w:type="spellEnd"/>
      <w:r w:rsidRPr="00CC19F7">
        <w:t xml:space="preserve"> </w:t>
      </w:r>
      <w:proofErr w:type="spellStart"/>
      <w:r w:rsidRPr="00CC19F7">
        <w:t>ein</w:t>
      </w:r>
      <w:proofErr w:type="spellEnd"/>
      <w:r w:rsidRPr="00CC19F7">
        <w:t xml:space="preserve"> </w:t>
      </w:r>
      <w:proofErr w:type="spellStart"/>
      <w:r w:rsidRPr="00CC19F7">
        <w:t>kontinuerleg</w:t>
      </w:r>
      <w:proofErr w:type="spellEnd"/>
      <w:r w:rsidRPr="00CC19F7">
        <w:t xml:space="preserve"> prosess. Denne prosessen kan føre til </w:t>
      </w:r>
      <w:proofErr w:type="spellStart"/>
      <w:r w:rsidRPr="00CC19F7">
        <w:t>endringar</w:t>
      </w:r>
      <w:proofErr w:type="spellEnd"/>
      <w:r w:rsidRPr="00CC19F7">
        <w:t xml:space="preserve"> når det </w:t>
      </w:r>
      <w:proofErr w:type="spellStart"/>
      <w:r w:rsidRPr="00CC19F7">
        <w:t>gjeld</w:t>
      </w:r>
      <w:proofErr w:type="spellEnd"/>
      <w:r w:rsidRPr="00CC19F7">
        <w:t xml:space="preserve"> identifiserte </w:t>
      </w:r>
      <w:proofErr w:type="spellStart"/>
      <w:r w:rsidRPr="00CC19F7">
        <w:t>funksjonar</w:t>
      </w:r>
      <w:proofErr w:type="spellEnd"/>
      <w:r w:rsidRPr="00CC19F7">
        <w:t xml:space="preserve"> og skjermingsverdige </w:t>
      </w:r>
      <w:proofErr w:type="spellStart"/>
      <w:r w:rsidRPr="00CC19F7">
        <w:t>verdiar</w:t>
      </w:r>
      <w:proofErr w:type="spellEnd"/>
      <w:r w:rsidRPr="00CC19F7">
        <w:t xml:space="preserve">, kva for </w:t>
      </w:r>
      <w:proofErr w:type="spellStart"/>
      <w:r w:rsidRPr="00CC19F7">
        <w:t>verksemder</w:t>
      </w:r>
      <w:proofErr w:type="spellEnd"/>
      <w:r w:rsidRPr="00CC19F7">
        <w:t xml:space="preserve"> som er av </w:t>
      </w:r>
      <w:proofErr w:type="spellStart"/>
      <w:r w:rsidRPr="00CC19F7">
        <w:t>vesentleg</w:t>
      </w:r>
      <w:proofErr w:type="spellEnd"/>
      <w:r w:rsidRPr="00CC19F7">
        <w:t xml:space="preserve"> og </w:t>
      </w:r>
      <w:proofErr w:type="spellStart"/>
      <w:r w:rsidRPr="00CC19F7">
        <w:t>avgjerande</w:t>
      </w:r>
      <w:proofErr w:type="spellEnd"/>
      <w:r w:rsidRPr="00CC19F7">
        <w:t xml:space="preserve"> </w:t>
      </w:r>
      <w:proofErr w:type="spellStart"/>
      <w:r w:rsidRPr="00CC19F7">
        <w:t>betyding</w:t>
      </w:r>
      <w:proofErr w:type="spellEnd"/>
      <w:r w:rsidRPr="00CC19F7">
        <w:t xml:space="preserve">, og i kva grad ei </w:t>
      </w:r>
      <w:proofErr w:type="spellStart"/>
      <w:r w:rsidRPr="00CC19F7">
        <w:t>verksemd</w:t>
      </w:r>
      <w:proofErr w:type="spellEnd"/>
      <w:r w:rsidRPr="00CC19F7">
        <w:t xml:space="preserve"> er avhengig av eksterne </w:t>
      </w:r>
      <w:proofErr w:type="spellStart"/>
      <w:r w:rsidRPr="00CC19F7">
        <w:t>ressursar</w:t>
      </w:r>
      <w:proofErr w:type="spellEnd"/>
      <w:r w:rsidRPr="00CC19F7">
        <w:t xml:space="preserve"> (andre </w:t>
      </w:r>
      <w:proofErr w:type="spellStart"/>
      <w:r w:rsidRPr="00CC19F7">
        <w:t>verksemder</w:t>
      </w:r>
      <w:proofErr w:type="spellEnd"/>
      <w:r w:rsidRPr="00CC19F7">
        <w:t xml:space="preserve">). Kva som </w:t>
      </w:r>
      <w:proofErr w:type="spellStart"/>
      <w:r w:rsidRPr="00CC19F7">
        <w:t>krevst</w:t>
      </w:r>
      <w:proofErr w:type="spellEnd"/>
      <w:r w:rsidRPr="00CC19F7">
        <w:t xml:space="preserve"> for å oppnå </w:t>
      </w:r>
      <w:proofErr w:type="spellStart"/>
      <w:r w:rsidRPr="00CC19F7">
        <w:t>eit</w:t>
      </w:r>
      <w:proofErr w:type="spellEnd"/>
      <w:r w:rsidRPr="00CC19F7">
        <w:t xml:space="preserve"> </w:t>
      </w:r>
      <w:proofErr w:type="spellStart"/>
      <w:r w:rsidRPr="00CC19F7">
        <w:t>forsvarleg</w:t>
      </w:r>
      <w:proofErr w:type="spellEnd"/>
      <w:r w:rsidRPr="00CC19F7">
        <w:t xml:space="preserve"> </w:t>
      </w:r>
      <w:proofErr w:type="spellStart"/>
      <w:r w:rsidRPr="00CC19F7">
        <w:t>sikkerheitsnivå</w:t>
      </w:r>
      <w:proofErr w:type="spellEnd"/>
      <w:r w:rsidRPr="00CC19F7">
        <w:t xml:space="preserve">, kan også bli endra. OED har identifisert </w:t>
      </w:r>
      <w:proofErr w:type="spellStart"/>
      <w:r w:rsidRPr="00CC19F7">
        <w:t>desse</w:t>
      </w:r>
      <w:proofErr w:type="spellEnd"/>
      <w:r w:rsidRPr="00CC19F7">
        <w:t xml:space="preserve"> </w:t>
      </w:r>
      <w:proofErr w:type="spellStart"/>
      <w:r w:rsidRPr="00CC19F7">
        <w:t>grunnleggande</w:t>
      </w:r>
      <w:proofErr w:type="spellEnd"/>
      <w:r w:rsidRPr="00CC19F7">
        <w:t xml:space="preserve"> nasjonale </w:t>
      </w:r>
      <w:proofErr w:type="spellStart"/>
      <w:r w:rsidRPr="00CC19F7">
        <w:t>funksjonane</w:t>
      </w:r>
      <w:proofErr w:type="spellEnd"/>
      <w:r w:rsidRPr="00CC19F7">
        <w:t xml:space="preserve"> </w:t>
      </w:r>
      <w:proofErr w:type="spellStart"/>
      <w:r w:rsidRPr="00CC19F7">
        <w:t>innanfor</w:t>
      </w:r>
      <w:proofErr w:type="spellEnd"/>
      <w:r w:rsidRPr="00CC19F7">
        <w:t xml:space="preserve"> sitt sektoransvar:</w:t>
      </w:r>
    </w:p>
    <w:p w14:paraId="7303AE8B" w14:textId="77777777" w:rsidR="00FE02EF" w:rsidRPr="00CC19F7" w:rsidRDefault="00881E58" w:rsidP="00CC19F7">
      <w:pPr>
        <w:pStyle w:val="Liste"/>
      </w:pPr>
      <w:r w:rsidRPr="00CC19F7">
        <w:t xml:space="preserve">GNF 1: nasjonal kraftforsyning som representerer </w:t>
      </w:r>
      <w:proofErr w:type="spellStart"/>
      <w:r w:rsidRPr="00CC19F7">
        <w:t>ein</w:t>
      </w:r>
      <w:proofErr w:type="spellEnd"/>
      <w:r w:rsidRPr="00CC19F7">
        <w:t xml:space="preserve"> samla nasjonal funksjon og er å forstå som kraftsystemet på nasjonalt nivå</w:t>
      </w:r>
    </w:p>
    <w:p w14:paraId="6F4BF8F0" w14:textId="77777777" w:rsidR="00FE02EF" w:rsidRPr="00CC19F7" w:rsidRDefault="00881E58" w:rsidP="00CC19F7">
      <w:pPr>
        <w:pStyle w:val="Liste"/>
      </w:pPr>
      <w:r w:rsidRPr="00CC19F7">
        <w:t xml:space="preserve">GNF 2: OEDs </w:t>
      </w:r>
      <w:proofErr w:type="spellStart"/>
      <w:r w:rsidRPr="00CC19F7">
        <w:t>verksemd</w:t>
      </w:r>
      <w:proofErr w:type="spellEnd"/>
      <w:r w:rsidRPr="00CC19F7">
        <w:t xml:space="preserve">, handlefridom og avgjerdsdyktigheit, som </w:t>
      </w:r>
      <w:proofErr w:type="spellStart"/>
      <w:r w:rsidRPr="00CC19F7">
        <w:t>omfattar</w:t>
      </w:r>
      <w:proofErr w:type="spellEnd"/>
      <w:r w:rsidRPr="00CC19F7">
        <w:t xml:space="preserve"> departementets rolle som </w:t>
      </w:r>
      <w:proofErr w:type="spellStart"/>
      <w:r w:rsidRPr="00CC19F7">
        <w:t>fagleg</w:t>
      </w:r>
      <w:proofErr w:type="spellEnd"/>
      <w:r w:rsidRPr="00CC19F7">
        <w:t xml:space="preserve"> sekretariat for politisk leiing, utøving av </w:t>
      </w:r>
      <w:proofErr w:type="spellStart"/>
      <w:r w:rsidRPr="00CC19F7">
        <w:t>myndigheit</w:t>
      </w:r>
      <w:proofErr w:type="spellEnd"/>
      <w:r w:rsidRPr="00CC19F7">
        <w:t xml:space="preserve"> og styring og oppfølging av </w:t>
      </w:r>
      <w:proofErr w:type="spellStart"/>
      <w:r w:rsidRPr="00CC19F7">
        <w:t>underliggande</w:t>
      </w:r>
      <w:proofErr w:type="spellEnd"/>
      <w:r w:rsidRPr="00CC19F7">
        <w:t xml:space="preserve"> </w:t>
      </w:r>
      <w:proofErr w:type="spellStart"/>
      <w:r w:rsidRPr="00CC19F7">
        <w:t>verksemder</w:t>
      </w:r>
      <w:proofErr w:type="spellEnd"/>
    </w:p>
    <w:p w14:paraId="509A0580" w14:textId="77777777" w:rsidR="00FE02EF" w:rsidRPr="00CC19F7" w:rsidRDefault="00881E58" w:rsidP="00CC19F7">
      <w:pPr>
        <w:pStyle w:val="Liste"/>
      </w:pPr>
      <w:r w:rsidRPr="00CC19F7">
        <w:t>GNF 3: kontroll med utvinning av petroleum på norsk sokkel</w:t>
      </w:r>
    </w:p>
    <w:p w14:paraId="3FD1D225" w14:textId="77777777" w:rsidR="00FE02EF" w:rsidRPr="00CC19F7" w:rsidRDefault="00881E58" w:rsidP="00CC19F7">
      <w:pPr>
        <w:pStyle w:val="Liste"/>
      </w:pPr>
      <w:r w:rsidRPr="00CC19F7">
        <w:t>GNF 4: transport av gass i røyr til Europa</w:t>
      </w:r>
    </w:p>
    <w:p w14:paraId="6F77BCB1" w14:textId="77777777" w:rsidR="00FE02EF" w:rsidRPr="00CC19F7" w:rsidRDefault="00881E58" w:rsidP="00CC19F7">
      <w:r w:rsidRPr="00CC19F7">
        <w:t xml:space="preserve">Dei identifiserte GNF-ane er melde inn til Nasjonal </w:t>
      </w:r>
      <w:proofErr w:type="spellStart"/>
      <w:r w:rsidRPr="00CC19F7">
        <w:t>sikkerheitsmyndigheit</w:t>
      </w:r>
      <w:proofErr w:type="spellEnd"/>
      <w:r w:rsidRPr="00CC19F7">
        <w:t xml:space="preserve">. Departementet har identifisert </w:t>
      </w:r>
      <w:proofErr w:type="spellStart"/>
      <w:r w:rsidRPr="00CC19F7">
        <w:t>verksemder</w:t>
      </w:r>
      <w:proofErr w:type="spellEnd"/>
      <w:r w:rsidRPr="00CC19F7">
        <w:t xml:space="preserve"> som er av </w:t>
      </w:r>
      <w:proofErr w:type="spellStart"/>
      <w:r w:rsidRPr="00CC19F7">
        <w:t>vesentleg</w:t>
      </w:r>
      <w:proofErr w:type="spellEnd"/>
      <w:r w:rsidRPr="00CC19F7">
        <w:t xml:space="preserve"> eller </w:t>
      </w:r>
      <w:proofErr w:type="spellStart"/>
      <w:r w:rsidRPr="00CC19F7">
        <w:t>avgjerande</w:t>
      </w:r>
      <w:proofErr w:type="spellEnd"/>
      <w:r w:rsidRPr="00CC19F7">
        <w:t xml:space="preserve"> betydning for GNF-ane. </w:t>
      </w:r>
      <w:proofErr w:type="spellStart"/>
      <w:r w:rsidRPr="00CC19F7">
        <w:t>Verksemdene</w:t>
      </w:r>
      <w:proofErr w:type="spellEnd"/>
      <w:r w:rsidRPr="00CC19F7">
        <w:t xml:space="preserve"> som er identifisert for GNF-ane 3 og 4, er </w:t>
      </w:r>
      <w:proofErr w:type="spellStart"/>
      <w:r w:rsidRPr="00CC19F7">
        <w:t>underlagd</w:t>
      </w:r>
      <w:proofErr w:type="spellEnd"/>
      <w:r w:rsidRPr="00CC19F7">
        <w:t xml:space="preserve"> </w:t>
      </w:r>
      <w:proofErr w:type="spellStart"/>
      <w:r w:rsidRPr="00CC19F7">
        <w:t>sikkerheitslova</w:t>
      </w:r>
      <w:proofErr w:type="spellEnd"/>
      <w:r w:rsidRPr="00CC19F7">
        <w:t xml:space="preserve">, har gjennomført </w:t>
      </w:r>
      <w:proofErr w:type="spellStart"/>
      <w:r w:rsidRPr="00CC19F7">
        <w:t>omfattande</w:t>
      </w:r>
      <w:proofErr w:type="spellEnd"/>
      <w:r w:rsidRPr="00CC19F7">
        <w:t xml:space="preserve"> </w:t>
      </w:r>
      <w:proofErr w:type="spellStart"/>
      <w:r w:rsidRPr="00CC19F7">
        <w:t>skadevurderingar</w:t>
      </w:r>
      <w:proofErr w:type="spellEnd"/>
      <w:r w:rsidRPr="00CC19F7">
        <w:t xml:space="preserve"> for </w:t>
      </w:r>
      <w:proofErr w:type="spellStart"/>
      <w:r w:rsidRPr="00CC19F7">
        <w:t>si</w:t>
      </w:r>
      <w:proofErr w:type="spellEnd"/>
      <w:r w:rsidRPr="00CC19F7">
        <w:t xml:space="preserve"> </w:t>
      </w:r>
      <w:proofErr w:type="spellStart"/>
      <w:r w:rsidRPr="00CC19F7">
        <w:t>verksemd</w:t>
      </w:r>
      <w:proofErr w:type="spellEnd"/>
      <w:r w:rsidRPr="00CC19F7">
        <w:t xml:space="preserve"> og er </w:t>
      </w:r>
      <w:proofErr w:type="spellStart"/>
      <w:r w:rsidRPr="00CC19F7">
        <w:t>no</w:t>
      </w:r>
      <w:proofErr w:type="spellEnd"/>
      <w:r w:rsidRPr="00CC19F7">
        <w:t xml:space="preserve"> i gang med å vurdere klassifisering. Departementet vil på bakgrunn av dette arbeidet </w:t>
      </w:r>
      <w:proofErr w:type="spellStart"/>
      <w:r w:rsidRPr="00CC19F7">
        <w:t>gjere</w:t>
      </w:r>
      <w:proofErr w:type="spellEnd"/>
      <w:r w:rsidRPr="00CC19F7">
        <w:t xml:space="preserve"> vedtak om klassifisering i tråd med </w:t>
      </w:r>
      <w:proofErr w:type="spellStart"/>
      <w:r w:rsidRPr="00CC19F7">
        <w:t>sikkerheitslova</w:t>
      </w:r>
      <w:proofErr w:type="spellEnd"/>
      <w:r w:rsidRPr="00CC19F7">
        <w:t>.</w:t>
      </w:r>
    </w:p>
    <w:p w14:paraId="5F8EB7AD" w14:textId="77777777" w:rsidR="00FE02EF" w:rsidRPr="00CC19F7" w:rsidRDefault="00881E58" w:rsidP="00CC19F7">
      <w:r w:rsidRPr="00CC19F7">
        <w:t xml:space="preserve">NVE er etter </w:t>
      </w:r>
      <w:proofErr w:type="spellStart"/>
      <w:r w:rsidRPr="00CC19F7">
        <w:t>sikkerheitslova</w:t>
      </w:r>
      <w:proofErr w:type="spellEnd"/>
      <w:r w:rsidRPr="00CC19F7">
        <w:t xml:space="preserve"> </w:t>
      </w:r>
      <w:proofErr w:type="spellStart"/>
      <w:r w:rsidRPr="00CC19F7">
        <w:t>peika</w:t>
      </w:r>
      <w:proofErr w:type="spellEnd"/>
      <w:r w:rsidRPr="00CC19F7">
        <w:t xml:space="preserve"> ut som sektortilsyn for kraftsektoren.</w:t>
      </w:r>
    </w:p>
    <w:p w14:paraId="01295EEA" w14:textId="77777777" w:rsidR="00FE02EF" w:rsidRPr="00CC19F7" w:rsidRDefault="00881E58" w:rsidP="00CC19F7">
      <w:r w:rsidRPr="00CC19F7">
        <w:t xml:space="preserve">Havindustritilsynet er etter </w:t>
      </w:r>
      <w:proofErr w:type="spellStart"/>
      <w:r w:rsidRPr="00CC19F7">
        <w:t>sikkerheitslova</w:t>
      </w:r>
      <w:proofErr w:type="spellEnd"/>
      <w:r w:rsidRPr="00CC19F7">
        <w:t xml:space="preserve"> </w:t>
      </w:r>
      <w:proofErr w:type="spellStart"/>
      <w:r w:rsidRPr="00CC19F7">
        <w:t>peika</w:t>
      </w:r>
      <w:proofErr w:type="spellEnd"/>
      <w:r w:rsidRPr="00CC19F7">
        <w:t xml:space="preserve"> ut som sektortilsyn for </w:t>
      </w:r>
      <w:proofErr w:type="spellStart"/>
      <w:r w:rsidRPr="00CC19F7">
        <w:t>petroleumsverksemda</w:t>
      </w:r>
      <w:proofErr w:type="spellEnd"/>
      <w:r w:rsidRPr="00CC19F7">
        <w:t>.</w:t>
      </w:r>
    </w:p>
    <w:p w14:paraId="2B2ADC2D" w14:textId="77777777" w:rsidR="00FE02EF" w:rsidRPr="00CC19F7" w:rsidRDefault="00881E58" w:rsidP="00CC19F7">
      <w:r w:rsidRPr="00CC19F7">
        <w:t xml:space="preserve">OED vil følge opp eventuelle </w:t>
      </w:r>
      <w:proofErr w:type="spellStart"/>
      <w:r w:rsidRPr="00CC19F7">
        <w:t>avhengnader</w:t>
      </w:r>
      <w:proofErr w:type="spellEnd"/>
      <w:r w:rsidRPr="00CC19F7">
        <w:t xml:space="preserve"> som blir melde inn </w:t>
      </w:r>
      <w:proofErr w:type="spellStart"/>
      <w:r w:rsidRPr="00CC19F7">
        <w:t>frå</w:t>
      </w:r>
      <w:proofErr w:type="spellEnd"/>
      <w:r w:rsidRPr="00CC19F7">
        <w:t xml:space="preserve"> andre departement.</w:t>
      </w:r>
    </w:p>
    <w:p w14:paraId="264D616C" w14:textId="77777777" w:rsidR="00FE02EF" w:rsidRPr="00CC19F7" w:rsidRDefault="00881E58" w:rsidP="00CC19F7">
      <w:pPr>
        <w:pStyle w:val="Overskrift2"/>
      </w:pPr>
      <w:r w:rsidRPr="00CC19F7">
        <w:t>Ei sikker kraftforsyning</w:t>
      </w:r>
    </w:p>
    <w:p w14:paraId="019F3E9F" w14:textId="77777777" w:rsidR="00FE02EF" w:rsidRPr="00CC19F7" w:rsidRDefault="00881E58" w:rsidP="00CC19F7">
      <w:proofErr w:type="spellStart"/>
      <w:r w:rsidRPr="00CC19F7">
        <w:t>Eit</w:t>
      </w:r>
      <w:proofErr w:type="spellEnd"/>
      <w:r w:rsidRPr="00CC19F7">
        <w:t xml:space="preserve"> overordna mål for energi- og vassressursområdet er å legge til rette for ei effektiv, sikker og </w:t>
      </w:r>
      <w:proofErr w:type="spellStart"/>
      <w:r w:rsidRPr="00CC19F7">
        <w:t>miljøvennleg</w:t>
      </w:r>
      <w:proofErr w:type="spellEnd"/>
      <w:r w:rsidRPr="00CC19F7">
        <w:t xml:space="preserve"> energiforsyning. Målet om ei sikker kraftforsyning dreier seg om å </w:t>
      </w:r>
      <w:proofErr w:type="spellStart"/>
      <w:r w:rsidRPr="00CC19F7">
        <w:t>oppretthalde</w:t>
      </w:r>
      <w:proofErr w:type="spellEnd"/>
      <w:r w:rsidRPr="00CC19F7">
        <w:t xml:space="preserve"> og betre </w:t>
      </w:r>
      <w:proofErr w:type="spellStart"/>
      <w:r w:rsidRPr="00CC19F7">
        <w:t>forsyningssikkerheita</w:t>
      </w:r>
      <w:proofErr w:type="spellEnd"/>
      <w:r w:rsidRPr="00CC19F7">
        <w:t xml:space="preserve">, minimere </w:t>
      </w:r>
      <w:proofErr w:type="spellStart"/>
      <w:r w:rsidRPr="00CC19F7">
        <w:t>konsekvensane</w:t>
      </w:r>
      <w:proofErr w:type="spellEnd"/>
      <w:r w:rsidRPr="00CC19F7">
        <w:t xml:space="preserve"> av </w:t>
      </w:r>
      <w:proofErr w:type="spellStart"/>
      <w:r w:rsidRPr="00CC19F7">
        <w:t>avbrot</w:t>
      </w:r>
      <w:proofErr w:type="spellEnd"/>
      <w:r w:rsidRPr="00CC19F7">
        <w:t xml:space="preserve"> og gjenopprette forsyninga på </w:t>
      </w:r>
      <w:proofErr w:type="spellStart"/>
      <w:r w:rsidRPr="00CC19F7">
        <w:t>ein</w:t>
      </w:r>
      <w:proofErr w:type="spellEnd"/>
      <w:r w:rsidRPr="00CC19F7">
        <w:t xml:space="preserve"> effektiv måte. Kraftforsyninga er </w:t>
      </w:r>
      <w:proofErr w:type="spellStart"/>
      <w:r w:rsidRPr="00CC19F7">
        <w:t>rekna</w:t>
      </w:r>
      <w:proofErr w:type="spellEnd"/>
      <w:r w:rsidRPr="00CC19F7">
        <w:t xml:space="preserve"> som </w:t>
      </w:r>
      <w:proofErr w:type="spellStart"/>
      <w:r w:rsidRPr="00CC19F7">
        <w:t>ein</w:t>
      </w:r>
      <w:proofErr w:type="spellEnd"/>
      <w:r w:rsidRPr="00CC19F7">
        <w:t xml:space="preserve"> sentral del av </w:t>
      </w:r>
      <w:proofErr w:type="spellStart"/>
      <w:r w:rsidRPr="00CC19F7">
        <w:t>Noregs</w:t>
      </w:r>
      <w:proofErr w:type="spellEnd"/>
      <w:r w:rsidRPr="00CC19F7">
        <w:t xml:space="preserve"> kritiske infrastruktur. Tilgang på elektrisk kraft blir stadig </w:t>
      </w:r>
      <w:proofErr w:type="spellStart"/>
      <w:r w:rsidRPr="00CC19F7">
        <w:t>viktigare</w:t>
      </w:r>
      <w:proofErr w:type="spellEnd"/>
      <w:r w:rsidRPr="00CC19F7">
        <w:t xml:space="preserve"> for å kunne </w:t>
      </w:r>
      <w:proofErr w:type="spellStart"/>
      <w:r w:rsidRPr="00CC19F7">
        <w:t>oppretthalde</w:t>
      </w:r>
      <w:proofErr w:type="spellEnd"/>
      <w:r w:rsidRPr="00CC19F7">
        <w:t xml:space="preserve"> normal aktivitet i samfunnet. Stabil og sikker elektrisitetsforsyning er også av stor verdi når det </w:t>
      </w:r>
      <w:proofErr w:type="spellStart"/>
      <w:r w:rsidRPr="00CC19F7">
        <w:t>gjeld</w:t>
      </w:r>
      <w:proofErr w:type="spellEnd"/>
      <w:r w:rsidRPr="00CC19F7">
        <w:t xml:space="preserve"> å sikre kritiske </w:t>
      </w:r>
      <w:proofErr w:type="spellStart"/>
      <w:r w:rsidRPr="00CC19F7">
        <w:t>samfunnsfunksjonar</w:t>
      </w:r>
      <w:proofErr w:type="spellEnd"/>
      <w:r w:rsidRPr="00CC19F7">
        <w:t xml:space="preserve"> i </w:t>
      </w:r>
      <w:proofErr w:type="spellStart"/>
      <w:r w:rsidRPr="00CC19F7">
        <w:t>krisesituasjonar</w:t>
      </w:r>
      <w:proofErr w:type="spellEnd"/>
      <w:r w:rsidRPr="00CC19F7">
        <w:t xml:space="preserve"> og å </w:t>
      </w:r>
      <w:proofErr w:type="spellStart"/>
      <w:r w:rsidRPr="00CC19F7">
        <w:t>oppretthalde</w:t>
      </w:r>
      <w:proofErr w:type="spellEnd"/>
      <w:r w:rsidRPr="00CC19F7">
        <w:t xml:space="preserve"> forsvarsevna under beredskap og i krig.</w:t>
      </w:r>
    </w:p>
    <w:p w14:paraId="55321571" w14:textId="77777777" w:rsidR="00FE02EF" w:rsidRPr="00CC19F7" w:rsidRDefault="00881E58" w:rsidP="00CC19F7">
      <w:r w:rsidRPr="00CC19F7">
        <w:t xml:space="preserve">Det operative ansvaret for kraftforsyningsberedskapen er delegert til </w:t>
      </w:r>
      <w:proofErr w:type="spellStart"/>
      <w:r w:rsidRPr="00CC19F7">
        <w:t>Noregs</w:t>
      </w:r>
      <w:proofErr w:type="spellEnd"/>
      <w:r w:rsidRPr="00CC19F7">
        <w:t xml:space="preserve"> vassdrags- og energidirektorat, NVE, som er beredskapsmyndigheit etter energilova kapittel 9. NVE </w:t>
      </w:r>
      <w:proofErr w:type="spellStart"/>
      <w:r w:rsidRPr="00CC19F7">
        <w:t>leiar</w:t>
      </w:r>
      <w:proofErr w:type="spellEnd"/>
      <w:r w:rsidRPr="00CC19F7">
        <w:t xml:space="preserve"> Kraftforsyningas beredskapsorganisasjon (KBO), der </w:t>
      </w:r>
      <w:proofErr w:type="spellStart"/>
      <w:r w:rsidRPr="00CC19F7">
        <w:t>einingane</w:t>
      </w:r>
      <w:proofErr w:type="spellEnd"/>
      <w:r w:rsidRPr="00CC19F7">
        <w:t xml:space="preserve"> i kraftforsyninga deltar. Ved problem over </w:t>
      </w:r>
      <w:proofErr w:type="spellStart"/>
      <w:r w:rsidRPr="00CC19F7">
        <w:t>kortare</w:t>
      </w:r>
      <w:proofErr w:type="spellEnd"/>
      <w:r w:rsidRPr="00CC19F7">
        <w:t xml:space="preserve"> tid med å balansere forbruk og </w:t>
      </w:r>
      <w:proofErr w:type="spellStart"/>
      <w:r w:rsidRPr="00CC19F7">
        <w:t>tilgjengeleg</w:t>
      </w:r>
      <w:proofErr w:type="spellEnd"/>
      <w:r w:rsidRPr="00CC19F7">
        <w:t xml:space="preserve"> forsyning (effektmangel) har Statnett som </w:t>
      </w:r>
      <w:proofErr w:type="spellStart"/>
      <w:r w:rsidRPr="00CC19F7">
        <w:t>systemansvarleg</w:t>
      </w:r>
      <w:proofErr w:type="spellEnd"/>
      <w:r w:rsidRPr="00CC19F7">
        <w:t xml:space="preserve"> fullmakt til å sette i verk nødvendige tiltak. Som </w:t>
      </w:r>
      <w:proofErr w:type="spellStart"/>
      <w:r w:rsidRPr="00CC19F7">
        <w:t>ein</w:t>
      </w:r>
      <w:proofErr w:type="spellEnd"/>
      <w:r w:rsidRPr="00CC19F7">
        <w:t xml:space="preserve"> del av arbeidet med </w:t>
      </w:r>
      <w:proofErr w:type="spellStart"/>
      <w:r w:rsidRPr="00CC19F7">
        <w:t>samfunnssikkerheit</w:t>
      </w:r>
      <w:proofErr w:type="spellEnd"/>
      <w:r w:rsidRPr="00CC19F7">
        <w:t xml:space="preserve"> og beredskap knytt til </w:t>
      </w:r>
      <w:proofErr w:type="spellStart"/>
      <w:r w:rsidRPr="00CC19F7">
        <w:t>samfunnssikkerheitsinstruksen</w:t>
      </w:r>
      <w:proofErr w:type="spellEnd"/>
      <w:r w:rsidRPr="00CC19F7">
        <w:t xml:space="preserve"> gjorde departementet ei vurdering av tilstanden i kraftforsyninga i </w:t>
      </w:r>
      <w:proofErr w:type="spellStart"/>
      <w:r w:rsidRPr="00CC19F7">
        <w:t>Prop</w:t>
      </w:r>
      <w:proofErr w:type="spellEnd"/>
      <w:r w:rsidRPr="00CC19F7">
        <w:t>. 1 S (2021–2022).</w:t>
      </w:r>
    </w:p>
    <w:p w14:paraId="7D6D70AB" w14:textId="77777777" w:rsidR="00FE02EF" w:rsidRPr="00CC19F7" w:rsidRDefault="00881E58" w:rsidP="00CC19F7">
      <w:r w:rsidRPr="00CC19F7">
        <w:t xml:space="preserve">For å rapportere om status og tilstanden i kraftforsyninga har NVE på oppdrag </w:t>
      </w:r>
      <w:proofErr w:type="spellStart"/>
      <w:r w:rsidRPr="00CC19F7">
        <w:t>frå</w:t>
      </w:r>
      <w:proofErr w:type="spellEnd"/>
      <w:r w:rsidRPr="00CC19F7">
        <w:t xml:space="preserve"> departementet utarbeidd statistikk og </w:t>
      </w:r>
      <w:proofErr w:type="spellStart"/>
      <w:r w:rsidRPr="00CC19F7">
        <w:t>indikatorar</w:t>
      </w:r>
      <w:proofErr w:type="spellEnd"/>
      <w:r w:rsidRPr="00CC19F7">
        <w:t xml:space="preserve"> som seier </w:t>
      </w:r>
      <w:proofErr w:type="spellStart"/>
      <w:r w:rsidRPr="00CC19F7">
        <w:t>noko</w:t>
      </w:r>
      <w:proofErr w:type="spellEnd"/>
      <w:r w:rsidRPr="00CC19F7">
        <w:t xml:space="preserve"> om tilstanden i kraftforsyninga over tid. </w:t>
      </w:r>
      <w:proofErr w:type="spellStart"/>
      <w:r w:rsidRPr="00CC19F7">
        <w:t>Nokre</w:t>
      </w:r>
      <w:proofErr w:type="spellEnd"/>
      <w:r w:rsidRPr="00CC19F7">
        <w:t xml:space="preserve"> av </w:t>
      </w:r>
      <w:proofErr w:type="spellStart"/>
      <w:r w:rsidRPr="00CC19F7">
        <w:t>indikatorane</w:t>
      </w:r>
      <w:proofErr w:type="spellEnd"/>
      <w:r w:rsidRPr="00CC19F7">
        <w:t xml:space="preserve"> baserer seg på statistikk og data, </w:t>
      </w:r>
      <w:proofErr w:type="spellStart"/>
      <w:r w:rsidRPr="00CC19F7">
        <w:t>medan</w:t>
      </w:r>
      <w:proofErr w:type="spellEnd"/>
      <w:r w:rsidRPr="00CC19F7">
        <w:t xml:space="preserve"> andre er baserte på resultat </w:t>
      </w:r>
      <w:proofErr w:type="spellStart"/>
      <w:r w:rsidRPr="00CC19F7">
        <w:t>frå</w:t>
      </w:r>
      <w:proofErr w:type="spellEnd"/>
      <w:r w:rsidRPr="00CC19F7">
        <w:t xml:space="preserve"> </w:t>
      </w:r>
      <w:proofErr w:type="spellStart"/>
      <w:r w:rsidRPr="00CC19F7">
        <w:t>analysar</w:t>
      </w:r>
      <w:proofErr w:type="spellEnd"/>
      <w:r w:rsidRPr="00CC19F7">
        <w:t xml:space="preserve">, tilsyn og andre </w:t>
      </w:r>
      <w:proofErr w:type="spellStart"/>
      <w:r w:rsidRPr="00CC19F7">
        <w:t>erfaringar</w:t>
      </w:r>
      <w:proofErr w:type="spellEnd"/>
      <w:r w:rsidRPr="00CC19F7">
        <w:t xml:space="preserve">. </w:t>
      </w:r>
      <w:proofErr w:type="spellStart"/>
      <w:r w:rsidRPr="00CC19F7">
        <w:t>Avbrotsstatistikken</w:t>
      </w:r>
      <w:proofErr w:type="spellEnd"/>
      <w:r w:rsidRPr="00CC19F7">
        <w:t xml:space="preserve"> viser at i </w:t>
      </w:r>
      <w:proofErr w:type="spellStart"/>
      <w:r w:rsidRPr="00CC19F7">
        <w:t>dei</w:t>
      </w:r>
      <w:proofErr w:type="spellEnd"/>
      <w:r w:rsidRPr="00CC19F7">
        <w:t xml:space="preserve"> siste ti åra har </w:t>
      </w:r>
      <w:proofErr w:type="spellStart"/>
      <w:r w:rsidRPr="00CC19F7">
        <w:t>ein</w:t>
      </w:r>
      <w:proofErr w:type="spellEnd"/>
      <w:r w:rsidRPr="00CC19F7">
        <w:t xml:space="preserve"> </w:t>
      </w:r>
      <w:proofErr w:type="spellStart"/>
      <w:r w:rsidRPr="00CC19F7">
        <w:t>gjennomsnittleg</w:t>
      </w:r>
      <w:proofErr w:type="spellEnd"/>
      <w:r w:rsidRPr="00CC19F7">
        <w:t xml:space="preserve"> norsk </w:t>
      </w:r>
      <w:proofErr w:type="spellStart"/>
      <w:r w:rsidRPr="00CC19F7">
        <w:t>sluttbrukar</w:t>
      </w:r>
      <w:proofErr w:type="spellEnd"/>
      <w:r w:rsidRPr="00CC19F7">
        <w:t xml:space="preserve"> opplevd at </w:t>
      </w:r>
      <w:proofErr w:type="spellStart"/>
      <w:r w:rsidRPr="00CC19F7">
        <w:t>straumen</w:t>
      </w:r>
      <w:proofErr w:type="spellEnd"/>
      <w:r w:rsidRPr="00CC19F7">
        <w:t xml:space="preserve"> er vekke i </w:t>
      </w:r>
      <w:proofErr w:type="spellStart"/>
      <w:r w:rsidRPr="00CC19F7">
        <w:t>meir</w:t>
      </w:r>
      <w:proofErr w:type="spellEnd"/>
      <w:r w:rsidRPr="00CC19F7">
        <w:t xml:space="preserve"> enn tre minutt to gonger i året, totalt litt over </w:t>
      </w:r>
      <w:proofErr w:type="spellStart"/>
      <w:r w:rsidRPr="00CC19F7">
        <w:t>ein</w:t>
      </w:r>
      <w:proofErr w:type="spellEnd"/>
      <w:r w:rsidRPr="00CC19F7">
        <w:t xml:space="preserve"> og </w:t>
      </w:r>
      <w:proofErr w:type="spellStart"/>
      <w:r w:rsidRPr="00CC19F7">
        <w:t>ein</w:t>
      </w:r>
      <w:proofErr w:type="spellEnd"/>
      <w:r w:rsidRPr="00CC19F7">
        <w:t xml:space="preserve"> halv time. Feilstatistikken viser at trefall, vind, lyn og snø/is var </w:t>
      </w:r>
      <w:proofErr w:type="spellStart"/>
      <w:r w:rsidRPr="00CC19F7">
        <w:t>dei</w:t>
      </w:r>
      <w:proofErr w:type="spellEnd"/>
      <w:r w:rsidRPr="00CC19F7">
        <w:t xml:space="preserve"> </w:t>
      </w:r>
      <w:proofErr w:type="spellStart"/>
      <w:r w:rsidRPr="00CC19F7">
        <w:t>viktigaste</w:t>
      </w:r>
      <w:proofErr w:type="spellEnd"/>
      <w:r w:rsidRPr="00CC19F7">
        <w:t xml:space="preserve"> eksterne årsakene til </w:t>
      </w:r>
      <w:proofErr w:type="spellStart"/>
      <w:r w:rsidRPr="00CC19F7">
        <w:t>avbrot</w:t>
      </w:r>
      <w:proofErr w:type="spellEnd"/>
      <w:r w:rsidRPr="00CC19F7">
        <w:t xml:space="preserve"> i perioden 2017–2022.</w:t>
      </w:r>
    </w:p>
    <w:p w14:paraId="6A88514C" w14:textId="77777777" w:rsidR="00FE02EF" w:rsidRPr="00CC19F7" w:rsidRDefault="00881E58" w:rsidP="00CC19F7">
      <w:r w:rsidRPr="00CC19F7">
        <w:t>KBO-</w:t>
      </w:r>
      <w:proofErr w:type="spellStart"/>
      <w:r w:rsidRPr="00CC19F7">
        <w:t>einingane</w:t>
      </w:r>
      <w:proofErr w:type="spellEnd"/>
      <w:r w:rsidRPr="00CC19F7">
        <w:t xml:space="preserve"> rapporterer </w:t>
      </w:r>
      <w:proofErr w:type="spellStart"/>
      <w:r w:rsidRPr="00CC19F7">
        <w:t>årleg</w:t>
      </w:r>
      <w:proofErr w:type="spellEnd"/>
      <w:r w:rsidRPr="00CC19F7">
        <w:t xml:space="preserve"> om </w:t>
      </w:r>
      <w:proofErr w:type="spellStart"/>
      <w:r w:rsidRPr="00CC19F7">
        <w:t>ikkje</w:t>
      </w:r>
      <w:proofErr w:type="spellEnd"/>
      <w:r w:rsidRPr="00CC19F7">
        <w:t xml:space="preserve">-ønskte </w:t>
      </w:r>
      <w:proofErr w:type="spellStart"/>
      <w:r w:rsidRPr="00CC19F7">
        <w:t>hendingar</w:t>
      </w:r>
      <w:proofErr w:type="spellEnd"/>
      <w:r w:rsidRPr="00CC19F7">
        <w:t xml:space="preserve">. Dei </w:t>
      </w:r>
      <w:proofErr w:type="spellStart"/>
      <w:r w:rsidRPr="00CC19F7">
        <w:t>vanlegaste</w:t>
      </w:r>
      <w:proofErr w:type="spellEnd"/>
      <w:r w:rsidRPr="00CC19F7">
        <w:t xml:space="preserve"> er </w:t>
      </w:r>
      <w:proofErr w:type="spellStart"/>
      <w:r w:rsidRPr="00CC19F7">
        <w:t>innan</w:t>
      </w:r>
      <w:proofErr w:type="spellEnd"/>
      <w:r w:rsidRPr="00CC19F7">
        <w:t xml:space="preserve"> </w:t>
      </w:r>
      <w:proofErr w:type="spellStart"/>
      <w:r w:rsidRPr="00CC19F7">
        <w:t>informasjonssikkerheit</w:t>
      </w:r>
      <w:proofErr w:type="spellEnd"/>
      <w:r w:rsidRPr="00CC19F7">
        <w:t xml:space="preserve">, </w:t>
      </w:r>
      <w:proofErr w:type="spellStart"/>
      <w:r w:rsidRPr="00CC19F7">
        <w:t>utfordrande</w:t>
      </w:r>
      <w:proofErr w:type="spellEnd"/>
      <w:r w:rsidRPr="00CC19F7">
        <w:t xml:space="preserve"> </w:t>
      </w:r>
      <w:proofErr w:type="spellStart"/>
      <w:r w:rsidRPr="00CC19F7">
        <w:t>vêr</w:t>
      </w:r>
      <w:proofErr w:type="spellEnd"/>
      <w:r w:rsidRPr="00CC19F7">
        <w:t xml:space="preserve">, </w:t>
      </w:r>
      <w:proofErr w:type="spellStart"/>
      <w:r w:rsidRPr="00CC19F7">
        <w:t>innbrot</w:t>
      </w:r>
      <w:proofErr w:type="spellEnd"/>
      <w:r w:rsidRPr="00CC19F7">
        <w:t xml:space="preserve">/hærverk/tjuveri og teknisk svikt. </w:t>
      </w:r>
      <w:proofErr w:type="spellStart"/>
      <w:r w:rsidRPr="00CC19F7">
        <w:t>Særleg</w:t>
      </w:r>
      <w:proofErr w:type="spellEnd"/>
      <w:r w:rsidRPr="00CC19F7">
        <w:t xml:space="preserve"> har </w:t>
      </w:r>
      <w:proofErr w:type="spellStart"/>
      <w:r w:rsidRPr="00CC19F7">
        <w:t>talet</w:t>
      </w:r>
      <w:proofErr w:type="spellEnd"/>
      <w:r w:rsidRPr="00CC19F7">
        <w:t xml:space="preserve"> på uønskte </w:t>
      </w:r>
      <w:proofErr w:type="spellStart"/>
      <w:r w:rsidRPr="00CC19F7">
        <w:t>hendingar</w:t>
      </w:r>
      <w:proofErr w:type="spellEnd"/>
      <w:r w:rsidRPr="00CC19F7">
        <w:t xml:space="preserve"> </w:t>
      </w:r>
      <w:proofErr w:type="spellStart"/>
      <w:r w:rsidRPr="00CC19F7">
        <w:t>innan</w:t>
      </w:r>
      <w:proofErr w:type="spellEnd"/>
      <w:r w:rsidRPr="00CC19F7">
        <w:t xml:space="preserve"> </w:t>
      </w:r>
      <w:proofErr w:type="spellStart"/>
      <w:r w:rsidRPr="00CC19F7">
        <w:t>informasjonssikkerheit</w:t>
      </w:r>
      <w:proofErr w:type="spellEnd"/>
      <w:r w:rsidRPr="00CC19F7">
        <w:t xml:space="preserve"> </w:t>
      </w:r>
      <w:proofErr w:type="spellStart"/>
      <w:r w:rsidRPr="00CC19F7">
        <w:t>auka</w:t>
      </w:r>
      <w:proofErr w:type="spellEnd"/>
      <w:r w:rsidRPr="00CC19F7">
        <w:t xml:space="preserve"> </w:t>
      </w:r>
      <w:proofErr w:type="spellStart"/>
      <w:r w:rsidRPr="00CC19F7">
        <w:t>mykje</w:t>
      </w:r>
      <w:proofErr w:type="spellEnd"/>
      <w:r w:rsidRPr="00CC19F7">
        <w:t xml:space="preserve"> </w:t>
      </w:r>
      <w:proofErr w:type="spellStart"/>
      <w:r w:rsidRPr="00CC19F7">
        <w:t>dei</w:t>
      </w:r>
      <w:proofErr w:type="spellEnd"/>
      <w:r w:rsidRPr="00CC19F7">
        <w:t xml:space="preserve"> siste to åra. Denne kategorien </w:t>
      </w:r>
      <w:proofErr w:type="spellStart"/>
      <w:r w:rsidRPr="00CC19F7">
        <w:t>omfattar</w:t>
      </w:r>
      <w:proofErr w:type="spellEnd"/>
      <w:r w:rsidRPr="00CC19F7">
        <w:t xml:space="preserve"> </w:t>
      </w:r>
      <w:proofErr w:type="spellStart"/>
      <w:r w:rsidRPr="00CC19F7">
        <w:t>hendingar</w:t>
      </w:r>
      <w:proofErr w:type="spellEnd"/>
      <w:r w:rsidRPr="00CC19F7">
        <w:t xml:space="preserve"> der kraftsensitiv informasjon har komme, eller kunne ha komme, på </w:t>
      </w:r>
      <w:proofErr w:type="spellStart"/>
      <w:r w:rsidRPr="00CC19F7">
        <w:t>avvegar</w:t>
      </w:r>
      <w:proofErr w:type="spellEnd"/>
      <w:r w:rsidRPr="00CC19F7">
        <w:t xml:space="preserve">, og </w:t>
      </w:r>
      <w:proofErr w:type="spellStart"/>
      <w:r w:rsidRPr="00CC19F7">
        <w:t>gjeld</w:t>
      </w:r>
      <w:proofErr w:type="spellEnd"/>
      <w:r w:rsidRPr="00CC19F7">
        <w:t xml:space="preserve"> både digitale og papirbaserte system. Dei fleste </w:t>
      </w:r>
      <w:proofErr w:type="spellStart"/>
      <w:r w:rsidRPr="00CC19F7">
        <w:t>hendingar</w:t>
      </w:r>
      <w:proofErr w:type="spellEnd"/>
      <w:r w:rsidRPr="00CC19F7">
        <w:t xml:space="preserve"> med uønskt interesse for kraftforsyninga er vurderte til å ha små </w:t>
      </w:r>
      <w:proofErr w:type="spellStart"/>
      <w:r w:rsidRPr="00CC19F7">
        <w:t>konsekvensar</w:t>
      </w:r>
      <w:proofErr w:type="spellEnd"/>
      <w:r w:rsidRPr="00CC19F7">
        <w:t xml:space="preserve"> ettersom KBO har hatt gode </w:t>
      </w:r>
      <w:proofErr w:type="spellStart"/>
      <w:r w:rsidRPr="00CC19F7">
        <w:t>rutinar</w:t>
      </w:r>
      <w:proofErr w:type="spellEnd"/>
      <w:r w:rsidRPr="00CC19F7">
        <w:t xml:space="preserve"> for å følge opp slike </w:t>
      </w:r>
      <w:proofErr w:type="spellStart"/>
      <w:r w:rsidRPr="00CC19F7">
        <w:t>hendingar</w:t>
      </w:r>
      <w:proofErr w:type="spellEnd"/>
      <w:r w:rsidRPr="00CC19F7">
        <w:t>. NVE vurderer det samtidig slik at det framover er viktig å bidra til å sørge for at IKT-</w:t>
      </w:r>
      <w:proofErr w:type="spellStart"/>
      <w:r w:rsidRPr="00CC19F7">
        <w:t>hendingar</w:t>
      </w:r>
      <w:proofErr w:type="spellEnd"/>
      <w:r w:rsidRPr="00CC19F7">
        <w:t xml:space="preserve"> </w:t>
      </w:r>
      <w:proofErr w:type="spellStart"/>
      <w:r w:rsidRPr="00CC19F7">
        <w:t>ikkje</w:t>
      </w:r>
      <w:proofErr w:type="spellEnd"/>
      <w:r w:rsidRPr="00CC19F7">
        <w:t xml:space="preserve"> gir </w:t>
      </w:r>
      <w:proofErr w:type="spellStart"/>
      <w:r w:rsidRPr="00CC19F7">
        <w:t>ein</w:t>
      </w:r>
      <w:proofErr w:type="spellEnd"/>
      <w:r w:rsidRPr="00CC19F7">
        <w:t xml:space="preserve"> </w:t>
      </w:r>
      <w:proofErr w:type="spellStart"/>
      <w:r w:rsidRPr="00CC19F7">
        <w:t>auka</w:t>
      </w:r>
      <w:proofErr w:type="spellEnd"/>
      <w:r w:rsidRPr="00CC19F7">
        <w:t xml:space="preserve"> risiko for kraftforsyninga.</w:t>
      </w:r>
    </w:p>
    <w:p w14:paraId="0AA3B026" w14:textId="77777777" w:rsidR="00FE02EF" w:rsidRPr="00CC19F7" w:rsidRDefault="00881E58" w:rsidP="00CC19F7">
      <w:r w:rsidRPr="00CC19F7">
        <w:t xml:space="preserve">Resultat </w:t>
      </w:r>
      <w:proofErr w:type="spellStart"/>
      <w:r w:rsidRPr="00CC19F7">
        <w:t>frå</w:t>
      </w:r>
      <w:proofErr w:type="spellEnd"/>
      <w:r w:rsidRPr="00CC19F7">
        <w:t xml:space="preserve"> tilsyn viser at </w:t>
      </w:r>
      <w:proofErr w:type="spellStart"/>
      <w:r w:rsidRPr="00CC19F7">
        <w:t>dei</w:t>
      </w:r>
      <w:proofErr w:type="spellEnd"/>
      <w:r w:rsidRPr="00CC19F7">
        <w:t xml:space="preserve"> </w:t>
      </w:r>
      <w:proofErr w:type="spellStart"/>
      <w:r w:rsidRPr="00CC19F7">
        <w:t>vanlegaste</w:t>
      </w:r>
      <w:proofErr w:type="spellEnd"/>
      <w:r w:rsidRPr="00CC19F7">
        <w:t xml:space="preserve"> avvika i </w:t>
      </w:r>
      <w:proofErr w:type="spellStart"/>
      <w:r w:rsidRPr="00CC19F7">
        <w:t>verksemdene</w:t>
      </w:r>
      <w:proofErr w:type="spellEnd"/>
      <w:r w:rsidRPr="00CC19F7">
        <w:t xml:space="preserve"> er </w:t>
      </w:r>
      <w:proofErr w:type="spellStart"/>
      <w:r w:rsidRPr="00CC19F7">
        <w:t>manglar</w:t>
      </w:r>
      <w:proofErr w:type="spellEnd"/>
      <w:r w:rsidRPr="00CC19F7">
        <w:t xml:space="preserve"> i </w:t>
      </w:r>
      <w:proofErr w:type="spellStart"/>
      <w:r w:rsidRPr="00CC19F7">
        <w:t>rutinane</w:t>
      </w:r>
      <w:proofErr w:type="spellEnd"/>
      <w:r w:rsidRPr="00CC19F7">
        <w:t xml:space="preserve"> som gjeld risikovurdering, beredskapsplanlegging, øving, evaluering og internkontrollsystem. Samtidig meiner NVE at det over tid har skjedd ei </w:t>
      </w:r>
      <w:proofErr w:type="spellStart"/>
      <w:r w:rsidRPr="00CC19F7">
        <w:t>forbetring</w:t>
      </w:r>
      <w:proofErr w:type="spellEnd"/>
      <w:r w:rsidRPr="00CC19F7">
        <w:t xml:space="preserve"> av kvaliteten, og at </w:t>
      </w:r>
      <w:proofErr w:type="spellStart"/>
      <w:r w:rsidRPr="00CC19F7">
        <w:t>verksemdene</w:t>
      </w:r>
      <w:proofErr w:type="spellEnd"/>
      <w:r w:rsidRPr="00CC19F7">
        <w:t xml:space="preserve"> har større </w:t>
      </w:r>
      <w:proofErr w:type="spellStart"/>
      <w:r w:rsidRPr="00CC19F7">
        <w:t>eigarskap</w:t>
      </w:r>
      <w:proofErr w:type="spellEnd"/>
      <w:r w:rsidRPr="00CC19F7">
        <w:t xml:space="preserve"> til </w:t>
      </w:r>
      <w:proofErr w:type="spellStart"/>
      <w:r w:rsidRPr="00CC19F7">
        <w:t>rutinane</w:t>
      </w:r>
      <w:proofErr w:type="spellEnd"/>
      <w:r w:rsidRPr="00CC19F7">
        <w:t xml:space="preserve"> på dette området. NVE opplyser også at </w:t>
      </w:r>
      <w:proofErr w:type="spellStart"/>
      <w:r w:rsidRPr="00CC19F7">
        <w:t>dei</w:t>
      </w:r>
      <w:proofErr w:type="spellEnd"/>
      <w:r w:rsidRPr="00CC19F7">
        <w:t xml:space="preserve"> ved tilsyn finn </w:t>
      </w:r>
      <w:proofErr w:type="spellStart"/>
      <w:r w:rsidRPr="00CC19F7">
        <w:t>fleire</w:t>
      </w:r>
      <w:proofErr w:type="spellEnd"/>
      <w:r w:rsidRPr="00CC19F7">
        <w:t xml:space="preserve"> avvik når det </w:t>
      </w:r>
      <w:proofErr w:type="spellStart"/>
      <w:r w:rsidRPr="00CC19F7">
        <w:t>gjeld</w:t>
      </w:r>
      <w:proofErr w:type="spellEnd"/>
      <w:r w:rsidRPr="00CC19F7">
        <w:t xml:space="preserve"> digitale informasjonssystem, men at dette har </w:t>
      </w:r>
      <w:proofErr w:type="spellStart"/>
      <w:r w:rsidRPr="00CC19F7">
        <w:t>samanheng</w:t>
      </w:r>
      <w:proofErr w:type="spellEnd"/>
      <w:r w:rsidRPr="00CC19F7">
        <w:t xml:space="preserve"> med at </w:t>
      </w:r>
      <w:proofErr w:type="spellStart"/>
      <w:r w:rsidRPr="00CC19F7">
        <w:t>dei</w:t>
      </w:r>
      <w:proofErr w:type="spellEnd"/>
      <w:r w:rsidRPr="00CC19F7">
        <w:t xml:space="preserve"> </w:t>
      </w:r>
      <w:proofErr w:type="spellStart"/>
      <w:r w:rsidRPr="00CC19F7">
        <w:t>no</w:t>
      </w:r>
      <w:proofErr w:type="spellEnd"/>
      <w:r w:rsidRPr="00CC19F7">
        <w:t xml:space="preserve"> har betre verktøy til hjelp i tilsynsarbeidet. Ifølge NVE har </w:t>
      </w:r>
      <w:proofErr w:type="spellStart"/>
      <w:r w:rsidRPr="00CC19F7">
        <w:t>verksemdene</w:t>
      </w:r>
      <w:proofErr w:type="spellEnd"/>
      <w:r w:rsidRPr="00CC19F7">
        <w:t xml:space="preserve"> </w:t>
      </w:r>
      <w:proofErr w:type="spellStart"/>
      <w:r w:rsidRPr="00CC19F7">
        <w:t>dei</w:t>
      </w:r>
      <w:proofErr w:type="spellEnd"/>
      <w:r w:rsidRPr="00CC19F7">
        <w:t xml:space="preserve"> siste åra skaffa seg større kompetanse </w:t>
      </w:r>
      <w:proofErr w:type="spellStart"/>
      <w:r w:rsidRPr="00CC19F7">
        <w:t>innan</w:t>
      </w:r>
      <w:proofErr w:type="spellEnd"/>
      <w:r w:rsidRPr="00CC19F7">
        <w:t xml:space="preserve"> IKT-</w:t>
      </w:r>
      <w:proofErr w:type="spellStart"/>
      <w:r w:rsidRPr="00CC19F7">
        <w:t>sikkerheit</w:t>
      </w:r>
      <w:proofErr w:type="spellEnd"/>
      <w:r w:rsidRPr="00CC19F7">
        <w:t xml:space="preserve"> og investert i teknologi som </w:t>
      </w:r>
      <w:proofErr w:type="spellStart"/>
      <w:r w:rsidRPr="00CC19F7">
        <w:t>sikrar</w:t>
      </w:r>
      <w:proofErr w:type="spellEnd"/>
      <w:r w:rsidRPr="00CC19F7">
        <w:t xml:space="preserve"> </w:t>
      </w:r>
      <w:proofErr w:type="spellStart"/>
      <w:r w:rsidRPr="00CC19F7">
        <w:t>deira</w:t>
      </w:r>
      <w:proofErr w:type="spellEnd"/>
      <w:r w:rsidRPr="00CC19F7">
        <w:t xml:space="preserve"> eigne datasystem betre.</w:t>
      </w:r>
    </w:p>
    <w:p w14:paraId="44A9459F" w14:textId="77777777" w:rsidR="00FE02EF" w:rsidRPr="00CC19F7" w:rsidRDefault="00881E58" w:rsidP="00CC19F7">
      <w:proofErr w:type="spellStart"/>
      <w:r w:rsidRPr="00CC19F7">
        <w:t>Ein</w:t>
      </w:r>
      <w:proofErr w:type="spellEnd"/>
      <w:r w:rsidRPr="00CC19F7">
        <w:t xml:space="preserve"> </w:t>
      </w:r>
      <w:proofErr w:type="spellStart"/>
      <w:r w:rsidRPr="00CC19F7">
        <w:t>svakare</w:t>
      </w:r>
      <w:proofErr w:type="spellEnd"/>
      <w:r w:rsidRPr="00CC19F7">
        <w:t xml:space="preserve"> ressurssituasjon enn normalt i Sør-</w:t>
      </w:r>
      <w:proofErr w:type="spellStart"/>
      <w:r w:rsidRPr="00CC19F7">
        <w:t>Noreg</w:t>
      </w:r>
      <w:proofErr w:type="spellEnd"/>
      <w:r w:rsidRPr="00CC19F7">
        <w:t xml:space="preserve"> </w:t>
      </w:r>
      <w:proofErr w:type="spellStart"/>
      <w:r w:rsidRPr="00CC19F7">
        <w:t>frå</w:t>
      </w:r>
      <w:proofErr w:type="spellEnd"/>
      <w:r w:rsidRPr="00CC19F7">
        <w:t xml:space="preserve"> vinteren 2021 til vinteren 2022, i kombinasjon med </w:t>
      </w:r>
      <w:proofErr w:type="spellStart"/>
      <w:r w:rsidRPr="00CC19F7">
        <w:t>ein</w:t>
      </w:r>
      <w:proofErr w:type="spellEnd"/>
      <w:r w:rsidRPr="00CC19F7">
        <w:t xml:space="preserve"> </w:t>
      </w:r>
      <w:proofErr w:type="spellStart"/>
      <w:r w:rsidRPr="00CC19F7">
        <w:t>uoversiktleg</w:t>
      </w:r>
      <w:proofErr w:type="spellEnd"/>
      <w:r w:rsidRPr="00CC19F7">
        <w:t xml:space="preserve"> energisituasjon i Europa, førte til at </w:t>
      </w:r>
      <w:proofErr w:type="spellStart"/>
      <w:r w:rsidRPr="00CC19F7">
        <w:t>energimyndigheitene</w:t>
      </w:r>
      <w:proofErr w:type="spellEnd"/>
      <w:r w:rsidRPr="00CC19F7">
        <w:t xml:space="preserve"> </w:t>
      </w:r>
      <w:proofErr w:type="spellStart"/>
      <w:r w:rsidRPr="00CC19F7">
        <w:t>følgde</w:t>
      </w:r>
      <w:proofErr w:type="spellEnd"/>
      <w:r w:rsidRPr="00CC19F7">
        <w:t xml:space="preserve"> situasjonen </w:t>
      </w:r>
      <w:proofErr w:type="spellStart"/>
      <w:r w:rsidRPr="00CC19F7">
        <w:t>tettare</w:t>
      </w:r>
      <w:proofErr w:type="spellEnd"/>
      <w:r w:rsidRPr="00CC19F7">
        <w:t xml:space="preserve"> enn </w:t>
      </w:r>
      <w:proofErr w:type="spellStart"/>
      <w:r w:rsidRPr="00CC19F7">
        <w:t>vanleg</w:t>
      </w:r>
      <w:proofErr w:type="spellEnd"/>
      <w:r w:rsidRPr="00CC19F7">
        <w:t xml:space="preserve">. I tillegg til å publisere </w:t>
      </w:r>
      <w:proofErr w:type="spellStart"/>
      <w:r w:rsidRPr="00CC19F7">
        <w:t>rapportar</w:t>
      </w:r>
      <w:proofErr w:type="spellEnd"/>
      <w:r w:rsidRPr="00CC19F7">
        <w:t xml:space="preserve"> om kraftsituasjonen kvar veke innførte NVE ei mellombels rapporteringsordning for store </w:t>
      </w:r>
      <w:proofErr w:type="spellStart"/>
      <w:r w:rsidRPr="00CC19F7">
        <w:t>vasskraftprodusentar</w:t>
      </w:r>
      <w:proofErr w:type="spellEnd"/>
      <w:r w:rsidRPr="00CC19F7">
        <w:t xml:space="preserve"> i </w:t>
      </w:r>
      <w:proofErr w:type="spellStart"/>
      <w:r w:rsidRPr="00CC19F7">
        <w:t>sørlege</w:t>
      </w:r>
      <w:proofErr w:type="spellEnd"/>
      <w:r w:rsidRPr="00CC19F7">
        <w:t xml:space="preserve"> </w:t>
      </w:r>
      <w:proofErr w:type="spellStart"/>
      <w:r w:rsidRPr="00CC19F7">
        <w:t>delar</w:t>
      </w:r>
      <w:proofErr w:type="spellEnd"/>
      <w:r w:rsidRPr="00CC19F7">
        <w:t xml:space="preserve"> av </w:t>
      </w:r>
      <w:proofErr w:type="spellStart"/>
      <w:r w:rsidRPr="00CC19F7">
        <w:t>Noreg</w:t>
      </w:r>
      <w:proofErr w:type="spellEnd"/>
      <w:r w:rsidRPr="00CC19F7">
        <w:t xml:space="preserve">. Ordninga gav </w:t>
      </w:r>
      <w:proofErr w:type="spellStart"/>
      <w:r w:rsidRPr="00CC19F7">
        <w:t>energimyndigheitene</w:t>
      </w:r>
      <w:proofErr w:type="spellEnd"/>
      <w:r w:rsidRPr="00CC19F7">
        <w:t xml:space="preserve"> </w:t>
      </w:r>
      <w:proofErr w:type="spellStart"/>
      <w:r w:rsidRPr="00CC19F7">
        <w:t>eit</w:t>
      </w:r>
      <w:proofErr w:type="spellEnd"/>
      <w:r w:rsidRPr="00CC19F7">
        <w:t xml:space="preserve"> godt grunnlag for å vurdere ressurssituasjonen og faren for kraftrasjonering. Ved </w:t>
      </w:r>
      <w:proofErr w:type="spellStart"/>
      <w:r w:rsidRPr="00CC19F7">
        <w:t>ein</w:t>
      </w:r>
      <w:proofErr w:type="spellEnd"/>
      <w:r w:rsidRPr="00CC19F7">
        <w:t xml:space="preserve"> energimangel har </w:t>
      </w:r>
      <w:proofErr w:type="spellStart"/>
      <w:r w:rsidRPr="00CC19F7">
        <w:t>energimyndigheitene</w:t>
      </w:r>
      <w:proofErr w:type="spellEnd"/>
      <w:r w:rsidRPr="00CC19F7">
        <w:t xml:space="preserve"> </w:t>
      </w:r>
      <w:proofErr w:type="spellStart"/>
      <w:r w:rsidRPr="00CC19F7">
        <w:t>særskilde</w:t>
      </w:r>
      <w:proofErr w:type="spellEnd"/>
      <w:r w:rsidRPr="00CC19F7">
        <w:t xml:space="preserve"> tiltak å sette i verk for å redusere faren for rasjonering. I </w:t>
      </w:r>
      <w:proofErr w:type="spellStart"/>
      <w:r w:rsidRPr="00CC19F7">
        <w:t>dei</w:t>
      </w:r>
      <w:proofErr w:type="spellEnd"/>
      <w:r w:rsidRPr="00CC19F7">
        <w:t xml:space="preserve"> </w:t>
      </w:r>
      <w:proofErr w:type="spellStart"/>
      <w:r w:rsidRPr="00CC19F7">
        <w:t>ytste</w:t>
      </w:r>
      <w:proofErr w:type="spellEnd"/>
      <w:r w:rsidRPr="00CC19F7">
        <w:t xml:space="preserve"> tilfella kan departementet innføre rasjonering. Som rasjoneringsmyndigheit har NVE det siste året informert om risiko for, og tiltak ved, rasjonering i møte med </w:t>
      </w:r>
      <w:proofErr w:type="spellStart"/>
      <w:r w:rsidRPr="00CC19F7">
        <w:t>statsforvaltarar</w:t>
      </w:r>
      <w:proofErr w:type="spellEnd"/>
      <w:r w:rsidRPr="00CC19F7">
        <w:t xml:space="preserve"> og andre. </w:t>
      </w:r>
      <w:proofErr w:type="spellStart"/>
      <w:r w:rsidRPr="00CC19F7">
        <w:t>Erfaringar</w:t>
      </w:r>
      <w:proofErr w:type="spellEnd"/>
      <w:r w:rsidRPr="00CC19F7">
        <w:t xml:space="preserve"> </w:t>
      </w:r>
      <w:proofErr w:type="spellStart"/>
      <w:r w:rsidRPr="00CC19F7">
        <w:t>frå</w:t>
      </w:r>
      <w:proofErr w:type="spellEnd"/>
      <w:r w:rsidRPr="00CC19F7">
        <w:t xml:space="preserve"> kraftsituasjonen i perioden 2021–2022 resulterte i at </w:t>
      </w:r>
      <w:proofErr w:type="spellStart"/>
      <w:r w:rsidRPr="00CC19F7">
        <w:t>energimyndigheitene</w:t>
      </w:r>
      <w:proofErr w:type="spellEnd"/>
      <w:r w:rsidRPr="00CC19F7">
        <w:t xml:space="preserve"> i juni 2023 sende på </w:t>
      </w:r>
      <w:proofErr w:type="spellStart"/>
      <w:r w:rsidRPr="00CC19F7">
        <w:t>høyring</w:t>
      </w:r>
      <w:proofErr w:type="spellEnd"/>
      <w:r w:rsidRPr="00CC19F7">
        <w:t xml:space="preserve"> </w:t>
      </w:r>
      <w:proofErr w:type="spellStart"/>
      <w:r w:rsidRPr="00CC19F7">
        <w:t>fleire</w:t>
      </w:r>
      <w:proofErr w:type="spellEnd"/>
      <w:r w:rsidRPr="00CC19F7">
        <w:t xml:space="preserve"> forslag til lov- og forskriftsendring som skulle bidra til å styrke </w:t>
      </w:r>
      <w:proofErr w:type="spellStart"/>
      <w:r w:rsidRPr="00CC19F7">
        <w:t>forsyningssikkerheita</w:t>
      </w:r>
      <w:proofErr w:type="spellEnd"/>
      <w:r w:rsidRPr="00CC19F7">
        <w:t>.</w:t>
      </w:r>
    </w:p>
    <w:p w14:paraId="2CE0B7DC" w14:textId="77777777" w:rsidR="00FE02EF" w:rsidRPr="00CC19F7" w:rsidRDefault="00881E58" w:rsidP="00CC19F7">
      <w:r w:rsidRPr="00CC19F7">
        <w:t xml:space="preserve">Som følge av krigen i Ukraina har NVE </w:t>
      </w:r>
      <w:proofErr w:type="spellStart"/>
      <w:r w:rsidRPr="00CC19F7">
        <w:t>vore</w:t>
      </w:r>
      <w:proofErr w:type="spellEnd"/>
      <w:r w:rsidRPr="00CC19F7">
        <w:t xml:space="preserve"> i beredskapsnivået «</w:t>
      </w:r>
      <w:proofErr w:type="spellStart"/>
      <w:r w:rsidRPr="00CC19F7">
        <w:t>auka</w:t>
      </w:r>
      <w:proofErr w:type="spellEnd"/>
      <w:r w:rsidRPr="00CC19F7">
        <w:t xml:space="preserve"> </w:t>
      </w:r>
      <w:proofErr w:type="spellStart"/>
      <w:r w:rsidRPr="00CC19F7">
        <w:t>aktsemd</w:t>
      </w:r>
      <w:proofErr w:type="spellEnd"/>
      <w:r w:rsidRPr="00CC19F7">
        <w:t xml:space="preserve">» </w:t>
      </w:r>
      <w:proofErr w:type="spellStart"/>
      <w:r w:rsidRPr="00CC19F7">
        <w:t>sidan</w:t>
      </w:r>
      <w:proofErr w:type="spellEnd"/>
      <w:r w:rsidRPr="00CC19F7">
        <w:t xml:space="preserve"> 2022. NVE har oppgradert </w:t>
      </w:r>
      <w:proofErr w:type="spellStart"/>
      <w:r w:rsidRPr="00CC19F7">
        <w:t>oversikta</w:t>
      </w:r>
      <w:proofErr w:type="spellEnd"/>
      <w:r w:rsidRPr="00CC19F7">
        <w:t xml:space="preserve"> over kva kraftforsyningsobjekt det er </w:t>
      </w:r>
      <w:proofErr w:type="spellStart"/>
      <w:r w:rsidRPr="00CC19F7">
        <w:t>viktigast</w:t>
      </w:r>
      <w:proofErr w:type="spellEnd"/>
      <w:r w:rsidRPr="00CC19F7">
        <w:t xml:space="preserve"> å verne. NVE har bedt enkelte KBO-</w:t>
      </w:r>
      <w:proofErr w:type="spellStart"/>
      <w:r w:rsidRPr="00CC19F7">
        <w:t>einingar</w:t>
      </w:r>
      <w:proofErr w:type="spellEnd"/>
      <w:r w:rsidRPr="00CC19F7">
        <w:t xml:space="preserve"> om å gå gjennom reparasjonsberedskapen sin og vurdere på nytt gjenopprettingstider ved ulike scenario.</w:t>
      </w:r>
    </w:p>
    <w:p w14:paraId="43FA3742" w14:textId="77777777" w:rsidR="00FE02EF" w:rsidRPr="00CC19F7" w:rsidRDefault="00881E58" w:rsidP="00CC19F7">
      <w:r w:rsidRPr="00CC19F7">
        <w:t xml:space="preserve">Arbeid med </w:t>
      </w:r>
      <w:proofErr w:type="spellStart"/>
      <w:r w:rsidRPr="00CC19F7">
        <w:t>sikkerheit</w:t>
      </w:r>
      <w:proofErr w:type="spellEnd"/>
      <w:r w:rsidRPr="00CC19F7">
        <w:t xml:space="preserve"> og beredskap i kraftforsyninga vil </w:t>
      </w:r>
      <w:proofErr w:type="spellStart"/>
      <w:r w:rsidRPr="00CC19F7">
        <w:t>vere</w:t>
      </w:r>
      <w:proofErr w:type="spellEnd"/>
      <w:r w:rsidRPr="00CC19F7">
        <w:t xml:space="preserve"> viktig også som følge av den </w:t>
      </w:r>
      <w:proofErr w:type="spellStart"/>
      <w:r w:rsidRPr="00CC19F7">
        <w:t>sikkerheitspolitiske</w:t>
      </w:r>
      <w:proofErr w:type="spellEnd"/>
      <w:r w:rsidRPr="00CC19F7">
        <w:t xml:space="preserve"> situasjonen og </w:t>
      </w:r>
      <w:proofErr w:type="spellStart"/>
      <w:r w:rsidRPr="00CC19F7">
        <w:t>klimaendringar</w:t>
      </w:r>
      <w:proofErr w:type="spellEnd"/>
      <w:r w:rsidRPr="00CC19F7">
        <w:t xml:space="preserve">. </w:t>
      </w:r>
      <w:proofErr w:type="spellStart"/>
      <w:r w:rsidRPr="00CC19F7">
        <w:t>Meir</w:t>
      </w:r>
      <w:proofErr w:type="spellEnd"/>
      <w:r w:rsidRPr="00CC19F7">
        <w:t xml:space="preserve"> elektrifisering, </w:t>
      </w:r>
      <w:proofErr w:type="spellStart"/>
      <w:r w:rsidRPr="00CC19F7">
        <w:t>ikkje</w:t>
      </w:r>
      <w:proofErr w:type="spellEnd"/>
      <w:r w:rsidRPr="00CC19F7">
        <w:t xml:space="preserve">-regulerbar produksjon og </w:t>
      </w:r>
      <w:proofErr w:type="spellStart"/>
      <w:r w:rsidRPr="00CC19F7">
        <w:t>meir</w:t>
      </w:r>
      <w:proofErr w:type="spellEnd"/>
      <w:r w:rsidRPr="00CC19F7">
        <w:t xml:space="preserve"> bruk av digital teknologi </w:t>
      </w:r>
      <w:proofErr w:type="spellStart"/>
      <w:r w:rsidRPr="00CC19F7">
        <w:t>gjer</w:t>
      </w:r>
      <w:proofErr w:type="spellEnd"/>
      <w:r w:rsidRPr="00CC19F7">
        <w:t xml:space="preserve"> at </w:t>
      </w:r>
      <w:proofErr w:type="spellStart"/>
      <w:r w:rsidRPr="00CC19F7">
        <w:t>sårbarheita</w:t>
      </w:r>
      <w:proofErr w:type="spellEnd"/>
      <w:r w:rsidRPr="00CC19F7">
        <w:t xml:space="preserve"> </w:t>
      </w:r>
      <w:proofErr w:type="spellStart"/>
      <w:r w:rsidRPr="00CC19F7">
        <w:t>endrar</w:t>
      </w:r>
      <w:proofErr w:type="spellEnd"/>
      <w:r w:rsidRPr="00CC19F7">
        <w:t xml:space="preserve"> seg. NVE arbeider med </w:t>
      </w:r>
      <w:proofErr w:type="spellStart"/>
      <w:r w:rsidRPr="00CC19F7">
        <w:t>ein</w:t>
      </w:r>
      <w:proofErr w:type="spellEnd"/>
      <w:r w:rsidRPr="00CC19F7">
        <w:t xml:space="preserve"> oppdatert risikoanalyse for ulike scenario som vil </w:t>
      </w:r>
      <w:proofErr w:type="spellStart"/>
      <w:r w:rsidRPr="00CC19F7">
        <w:t>påverke</w:t>
      </w:r>
      <w:proofErr w:type="spellEnd"/>
      <w:r w:rsidRPr="00CC19F7">
        <w:t xml:space="preserve"> kraftforsyninga dersom </w:t>
      </w:r>
      <w:proofErr w:type="spellStart"/>
      <w:r w:rsidRPr="00CC19F7">
        <w:t>dei</w:t>
      </w:r>
      <w:proofErr w:type="spellEnd"/>
      <w:r w:rsidRPr="00CC19F7">
        <w:t xml:space="preserve"> inntreffer, som </w:t>
      </w:r>
      <w:proofErr w:type="spellStart"/>
      <w:r w:rsidRPr="00CC19F7">
        <w:t>saman</w:t>
      </w:r>
      <w:proofErr w:type="spellEnd"/>
      <w:r w:rsidRPr="00CC19F7">
        <w:t xml:space="preserve"> med anna rapportering når det gjeld </w:t>
      </w:r>
      <w:proofErr w:type="spellStart"/>
      <w:r w:rsidRPr="00CC19F7">
        <w:t>samfunnssikkerheit</w:t>
      </w:r>
      <w:proofErr w:type="spellEnd"/>
      <w:r w:rsidRPr="00CC19F7">
        <w:t xml:space="preserve">, vil danne grunnlag for </w:t>
      </w:r>
      <w:proofErr w:type="spellStart"/>
      <w:r w:rsidRPr="00CC19F7">
        <w:t>energimyndigheitene</w:t>
      </w:r>
      <w:proofErr w:type="spellEnd"/>
      <w:r w:rsidRPr="00CC19F7">
        <w:t xml:space="preserve"> til å vurdere behovet for nye tiltak.</w:t>
      </w:r>
    </w:p>
    <w:p w14:paraId="7126ABA0" w14:textId="77777777" w:rsidR="00FE02EF" w:rsidRPr="00CC19F7" w:rsidRDefault="00881E58" w:rsidP="00CC19F7">
      <w:r w:rsidRPr="00CC19F7">
        <w:t xml:space="preserve">Slik ressurssituasjonen er </w:t>
      </w:r>
      <w:proofErr w:type="spellStart"/>
      <w:r w:rsidRPr="00CC19F7">
        <w:t>no</w:t>
      </w:r>
      <w:proofErr w:type="spellEnd"/>
      <w:r w:rsidRPr="00CC19F7">
        <w:t xml:space="preserve">, er rasjonering lite </w:t>
      </w:r>
      <w:proofErr w:type="spellStart"/>
      <w:r w:rsidRPr="00CC19F7">
        <w:t>truleg</w:t>
      </w:r>
      <w:proofErr w:type="spellEnd"/>
      <w:r w:rsidRPr="00CC19F7">
        <w:t xml:space="preserve">, og ressurssituasjonen i </w:t>
      </w:r>
      <w:proofErr w:type="spellStart"/>
      <w:r w:rsidRPr="00CC19F7">
        <w:t>Noreg</w:t>
      </w:r>
      <w:proofErr w:type="spellEnd"/>
      <w:r w:rsidRPr="00CC19F7">
        <w:t xml:space="preserve"> er god inn mot neste vinter. Statistikken er stabil og viser </w:t>
      </w:r>
      <w:proofErr w:type="spellStart"/>
      <w:r w:rsidRPr="00CC19F7">
        <w:t>påliteleg</w:t>
      </w:r>
      <w:proofErr w:type="spellEnd"/>
      <w:r w:rsidRPr="00CC19F7">
        <w:t xml:space="preserve"> levering og få </w:t>
      </w:r>
      <w:proofErr w:type="spellStart"/>
      <w:r w:rsidRPr="00CC19F7">
        <w:t>avbrot</w:t>
      </w:r>
      <w:proofErr w:type="spellEnd"/>
      <w:r w:rsidRPr="00CC19F7">
        <w:t xml:space="preserve">. Departementet vurderer det slik at dette, </w:t>
      </w:r>
      <w:proofErr w:type="spellStart"/>
      <w:r w:rsidRPr="00CC19F7">
        <w:t>saman</w:t>
      </w:r>
      <w:proofErr w:type="spellEnd"/>
      <w:r w:rsidRPr="00CC19F7">
        <w:t xml:space="preserve"> med </w:t>
      </w:r>
      <w:proofErr w:type="spellStart"/>
      <w:r w:rsidRPr="00CC19F7">
        <w:t>dei</w:t>
      </w:r>
      <w:proofErr w:type="spellEnd"/>
      <w:r w:rsidRPr="00CC19F7">
        <w:t xml:space="preserve"> andre </w:t>
      </w:r>
      <w:proofErr w:type="spellStart"/>
      <w:r w:rsidRPr="00CC19F7">
        <w:t>indikatorane</w:t>
      </w:r>
      <w:proofErr w:type="spellEnd"/>
      <w:r w:rsidRPr="00CC19F7">
        <w:t xml:space="preserve"> som er gjennomgått, </w:t>
      </w:r>
      <w:proofErr w:type="spellStart"/>
      <w:r w:rsidRPr="00CC19F7">
        <w:t>dannar</w:t>
      </w:r>
      <w:proofErr w:type="spellEnd"/>
      <w:r w:rsidRPr="00CC19F7">
        <w:t xml:space="preserve"> </w:t>
      </w:r>
      <w:proofErr w:type="spellStart"/>
      <w:r w:rsidRPr="00CC19F7">
        <w:t>eit</w:t>
      </w:r>
      <w:proofErr w:type="spellEnd"/>
      <w:r w:rsidRPr="00CC19F7">
        <w:t xml:space="preserve"> godt grunnlag for å slå fast at tilstanden i kraftforsyninga er god. </w:t>
      </w:r>
      <w:proofErr w:type="spellStart"/>
      <w:r w:rsidRPr="00CC19F7">
        <w:t>Ein</w:t>
      </w:r>
      <w:proofErr w:type="spellEnd"/>
      <w:r w:rsidRPr="00CC19F7">
        <w:t xml:space="preserve"> kan likevel aldri garantere at det </w:t>
      </w:r>
      <w:proofErr w:type="spellStart"/>
      <w:r w:rsidRPr="00CC19F7">
        <w:t>ikkje</w:t>
      </w:r>
      <w:proofErr w:type="spellEnd"/>
      <w:r w:rsidRPr="00CC19F7">
        <w:t xml:space="preserve"> vil </w:t>
      </w:r>
      <w:proofErr w:type="spellStart"/>
      <w:r w:rsidRPr="00CC19F7">
        <w:t>førekomme</w:t>
      </w:r>
      <w:proofErr w:type="spellEnd"/>
      <w:r w:rsidRPr="00CC19F7">
        <w:t xml:space="preserve"> </w:t>
      </w:r>
      <w:proofErr w:type="spellStart"/>
      <w:r w:rsidRPr="00CC19F7">
        <w:t>avbrot</w:t>
      </w:r>
      <w:proofErr w:type="spellEnd"/>
      <w:r w:rsidRPr="00CC19F7">
        <w:t xml:space="preserve">, og dette må </w:t>
      </w:r>
      <w:proofErr w:type="spellStart"/>
      <w:r w:rsidRPr="00CC19F7">
        <w:t>ein</w:t>
      </w:r>
      <w:proofErr w:type="spellEnd"/>
      <w:r w:rsidRPr="00CC19F7">
        <w:t xml:space="preserve"> ta høgde for i samfunnsplanlegginga. </w:t>
      </w:r>
      <w:proofErr w:type="spellStart"/>
      <w:r w:rsidRPr="00CC19F7">
        <w:t>Aktørar</w:t>
      </w:r>
      <w:proofErr w:type="spellEnd"/>
      <w:r w:rsidRPr="00CC19F7">
        <w:t xml:space="preserve"> som er heilt avhengige av ei straumforsyning </w:t>
      </w:r>
      <w:proofErr w:type="spellStart"/>
      <w:r w:rsidRPr="00CC19F7">
        <w:t>utan</w:t>
      </w:r>
      <w:proofErr w:type="spellEnd"/>
      <w:r w:rsidRPr="00CC19F7">
        <w:t xml:space="preserve"> </w:t>
      </w:r>
      <w:proofErr w:type="spellStart"/>
      <w:r w:rsidRPr="00CC19F7">
        <w:t>avbrot</w:t>
      </w:r>
      <w:proofErr w:type="spellEnd"/>
      <w:r w:rsidRPr="00CC19F7">
        <w:t xml:space="preserve">, må sjølve sørge for beredskap gjennom </w:t>
      </w:r>
      <w:proofErr w:type="spellStart"/>
      <w:r w:rsidRPr="00CC19F7">
        <w:t>naudstraumaggregat</w:t>
      </w:r>
      <w:proofErr w:type="spellEnd"/>
      <w:r w:rsidRPr="00CC19F7">
        <w:t xml:space="preserve"> eller andre </w:t>
      </w:r>
      <w:proofErr w:type="spellStart"/>
      <w:r w:rsidRPr="00CC19F7">
        <w:t>løysingar</w:t>
      </w:r>
      <w:proofErr w:type="spellEnd"/>
      <w:r w:rsidRPr="00CC19F7">
        <w:t xml:space="preserve">. Dette </w:t>
      </w:r>
      <w:proofErr w:type="spellStart"/>
      <w:r w:rsidRPr="00CC19F7">
        <w:t>gjeld</w:t>
      </w:r>
      <w:proofErr w:type="spellEnd"/>
      <w:r w:rsidRPr="00CC19F7">
        <w:t xml:space="preserve"> særskilt </w:t>
      </w:r>
      <w:proofErr w:type="spellStart"/>
      <w:r w:rsidRPr="00CC19F7">
        <w:t>verksemder</w:t>
      </w:r>
      <w:proofErr w:type="spellEnd"/>
      <w:r w:rsidRPr="00CC19F7">
        <w:t xml:space="preserve"> som er </w:t>
      </w:r>
      <w:proofErr w:type="spellStart"/>
      <w:r w:rsidRPr="00CC19F7">
        <w:t>underlagde</w:t>
      </w:r>
      <w:proofErr w:type="spellEnd"/>
      <w:r w:rsidRPr="00CC19F7">
        <w:t xml:space="preserve"> </w:t>
      </w:r>
      <w:proofErr w:type="spellStart"/>
      <w:r w:rsidRPr="00CC19F7">
        <w:t>sikkerheitslova</w:t>
      </w:r>
      <w:proofErr w:type="spellEnd"/>
      <w:r w:rsidRPr="00CC19F7">
        <w:t xml:space="preserve">, og som er kritisk avhengige av </w:t>
      </w:r>
      <w:proofErr w:type="spellStart"/>
      <w:r w:rsidRPr="00CC19F7">
        <w:t>straum</w:t>
      </w:r>
      <w:proofErr w:type="spellEnd"/>
      <w:r w:rsidRPr="00CC19F7">
        <w:t>.</w:t>
      </w:r>
    </w:p>
    <w:p w14:paraId="7393125B" w14:textId="77777777" w:rsidR="00FE02EF" w:rsidRPr="00CC19F7" w:rsidRDefault="00881E58" w:rsidP="00CC19F7">
      <w:pPr>
        <w:pStyle w:val="Overskrift2"/>
      </w:pPr>
      <w:r w:rsidRPr="00CC19F7">
        <w:t>Skred og vassdrag</w:t>
      </w:r>
    </w:p>
    <w:p w14:paraId="6C34295D" w14:textId="77777777" w:rsidR="00FE02EF" w:rsidRPr="00CC19F7" w:rsidRDefault="00881E58" w:rsidP="00CC19F7">
      <w:r w:rsidRPr="00CC19F7">
        <w:t xml:space="preserve">Ansvaret for gjennomføringa av </w:t>
      </w:r>
      <w:proofErr w:type="spellStart"/>
      <w:r w:rsidRPr="00CC19F7">
        <w:t>statlege</w:t>
      </w:r>
      <w:proofErr w:type="spellEnd"/>
      <w:r w:rsidRPr="00CC19F7">
        <w:t xml:space="preserve"> </w:t>
      </w:r>
      <w:proofErr w:type="spellStart"/>
      <w:r w:rsidRPr="00CC19F7">
        <w:t>oppgåver</w:t>
      </w:r>
      <w:proofErr w:type="spellEnd"/>
      <w:r w:rsidRPr="00CC19F7">
        <w:t xml:space="preserve"> med å </w:t>
      </w:r>
      <w:proofErr w:type="spellStart"/>
      <w:r w:rsidRPr="00CC19F7">
        <w:t>førebygge</w:t>
      </w:r>
      <w:proofErr w:type="spellEnd"/>
      <w:r w:rsidRPr="00CC19F7">
        <w:t xml:space="preserve"> skade som følge av </w:t>
      </w:r>
      <w:proofErr w:type="spellStart"/>
      <w:r w:rsidRPr="00CC19F7">
        <w:t>dambrot</w:t>
      </w:r>
      <w:proofErr w:type="spellEnd"/>
      <w:r w:rsidRPr="00CC19F7">
        <w:t xml:space="preserve">, </w:t>
      </w:r>
      <w:proofErr w:type="spellStart"/>
      <w:r w:rsidRPr="00CC19F7">
        <w:t>flaum</w:t>
      </w:r>
      <w:proofErr w:type="spellEnd"/>
      <w:r w:rsidRPr="00CC19F7">
        <w:t xml:space="preserve"> og skred er delegert til NVE.</w:t>
      </w:r>
    </w:p>
    <w:p w14:paraId="2823BBD0" w14:textId="77777777" w:rsidR="00FE02EF" w:rsidRPr="00CC19F7" w:rsidRDefault="00881E58" w:rsidP="00CC19F7">
      <w:r w:rsidRPr="00CC19F7">
        <w:t xml:space="preserve">NVE har ansvar for å sjå til at </w:t>
      </w:r>
      <w:proofErr w:type="spellStart"/>
      <w:r w:rsidRPr="00CC19F7">
        <w:t>tiltakshavarar</w:t>
      </w:r>
      <w:proofErr w:type="spellEnd"/>
      <w:r w:rsidRPr="00CC19F7">
        <w:t xml:space="preserve"> planlegg, bygger og driv vassdragsanlegg slik at </w:t>
      </w:r>
      <w:proofErr w:type="spellStart"/>
      <w:r w:rsidRPr="00CC19F7">
        <w:t>sikkerheita</w:t>
      </w:r>
      <w:proofErr w:type="spellEnd"/>
      <w:r w:rsidRPr="00CC19F7">
        <w:t xml:space="preserve"> for menneske, miljø og </w:t>
      </w:r>
      <w:proofErr w:type="spellStart"/>
      <w:r w:rsidRPr="00CC19F7">
        <w:t>eigedom</w:t>
      </w:r>
      <w:proofErr w:type="spellEnd"/>
      <w:r w:rsidRPr="00CC19F7">
        <w:t xml:space="preserve"> blir tatt vare på, og at det blir utarbeidd </w:t>
      </w:r>
      <w:proofErr w:type="spellStart"/>
      <w:r w:rsidRPr="00CC19F7">
        <w:t>beredskapsplanar</w:t>
      </w:r>
      <w:proofErr w:type="spellEnd"/>
      <w:r w:rsidRPr="00CC19F7">
        <w:t xml:space="preserve"> for å handtere større </w:t>
      </w:r>
      <w:proofErr w:type="spellStart"/>
      <w:r w:rsidRPr="00CC19F7">
        <w:t>hendingar</w:t>
      </w:r>
      <w:proofErr w:type="spellEnd"/>
      <w:r w:rsidRPr="00CC19F7">
        <w:t xml:space="preserve">. NVE kan gi pålegg til </w:t>
      </w:r>
      <w:proofErr w:type="spellStart"/>
      <w:r w:rsidRPr="00CC19F7">
        <w:t>eigarar</w:t>
      </w:r>
      <w:proofErr w:type="spellEnd"/>
      <w:r w:rsidRPr="00CC19F7">
        <w:t xml:space="preserve"> av vassdragsanlegg om å gjennomføre tiltak for å avgrense </w:t>
      </w:r>
      <w:proofErr w:type="spellStart"/>
      <w:r w:rsidRPr="00CC19F7">
        <w:t>skadar</w:t>
      </w:r>
      <w:proofErr w:type="spellEnd"/>
      <w:r w:rsidRPr="00CC19F7">
        <w:t xml:space="preserve">. NVE kan også </w:t>
      </w:r>
      <w:proofErr w:type="spellStart"/>
      <w:r w:rsidRPr="00CC19F7">
        <w:t>sjølv</w:t>
      </w:r>
      <w:proofErr w:type="spellEnd"/>
      <w:r w:rsidRPr="00CC19F7">
        <w:t xml:space="preserve"> sette i verk tiltak når det er </w:t>
      </w:r>
      <w:proofErr w:type="spellStart"/>
      <w:r w:rsidRPr="00CC19F7">
        <w:t>særskild</w:t>
      </w:r>
      <w:proofErr w:type="spellEnd"/>
      <w:r w:rsidRPr="00CC19F7">
        <w:t xml:space="preserve"> fare for </w:t>
      </w:r>
      <w:proofErr w:type="spellStart"/>
      <w:r w:rsidRPr="00CC19F7">
        <w:t>alvorleg</w:t>
      </w:r>
      <w:proofErr w:type="spellEnd"/>
      <w:r w:rsidRPr="00CC19F7">
        <w:t xml:space="preserve"> skade.</w:t>
      </w:r>
    </w:p>
    <w:p w14:paraId="7DE8EB1B" w14:textId="77777777" w:rsidR="00FE02EF" w:rsidRPr="00CC19F7" w:rsidRDefault="00881E58" w:rsidP="00CC19F7">
      <w:r w:rsidRPr="00CC19F7">
        <w:t xml:space="preserve">NVE gir hjelp til og </w:t>
      </w:r>
      <w:proofErr w:type="spellStart"/>
      <w:r w:rsidRPr="00CC19F7">
        <w:t>rettleiar</w:t>
      </w:r>
      <w:proofErr w:type="spellEnd"/>
      <w:r w:rsidRPr="00CC19F7">
        <w:t xml:space="preserve"> </w:t>
      </w:r>
      <w:proofErr w:type="spellStart"/>
      <w:r w:rsidRPr="00CC19F7">
        <w:t>kommunane</w:t>
      </w:r>
      <w:proofErr w:type="spellEnd"/>
      <w:r w:rsidRPr="00CC19F7">
        <w:t xml:space="preserve"> i å </w:t>
      </w:r>
      <w:proofErr w:type="spellStart"/>
      <w:r w:rsidRPr="00CC19F7">
        <w:t>førebygge</w:t>
      </w:r>
      <w:proofErr w:type="spellEnd"/>
      <w:r w:rsidRPr="00CC19F7">
        <w:t xml:space="preserve"> </w:t>
      </w:r>
      <w:proofErr w:type="spellStart"/>
      <w:r w:rsidRPr="00CC19F7">
        <w:t>skadar</w:t>
      </w:r>
      <w:proofErr w:type="spellEnd"/>
      <w:r w:rsidRPr="00CC19F7">
        <w:t xml:space="preserve"> </w:t>
      </w:r>
      <w:proofErr w:type="spellStart"/>
      <w:r w:rsidRPr="00CC19F7">
        <w:t>frå</w:t>
      </w:r>
      <w:proofErr w:type="spellEnd"/>
      <w:r w:rsidRPr="00CC19F7">
        <w:t xml:space="preserve"> </w:t>
      </w:r>
      <w:proofErr w:type="spellStart"/>
      <w:r w:rsidRPr="00CC19F7">
        <w:t>flaum</w:t>
      </w:r>
      <w:proofErr w:type="spellEnd"/>
      <w:r w:rsidRPr="00CC19F7">
        <w:t xml:space="preserve">, erosjon og skred. </w:t>
      </w:r>
      <w:proofErr w:type="spellStart"/>
      <w:r w:rsidRPr="00CC19F7">
        <w:t>Oppgåvene</w:t>
      </w:r>
      <w:proofErr w:type="spellEnd"/>
      <w:r w:rsidRPr="00CC19F7">
        <w:t xml:space="preserve"> </w:t>
      </w:r>
      <w:proofErr w:type="spellStart"/>
      <w:r w:rsidRPr="00CC19F7">
        <w:t>inneber</w:t>
      </w:r>
      <w:proofErr w:type="spellEnd"/>
      <w:r w:rsidRPr="00CC19F7">
        <w:t xml:space="preserve"> å kartlegge og informere om fareområde, gi </w:t>
      </w:r>
      <w:proofErr w:type="spellStart"/>
      <w:r w:rsidRPr="00CC19F7">
        <w:t>faglege</w:t>
      </w:r>
      <w:proofErr w:type="spellEnd"/>
      <w:r w:rsidRPr="00CC19F7">
        <w:t xml:space="preserve"> råd og retningslinjer for kommunal arealplanlegging, </w:t>
      </w:r>
      <w:proofErr w:type="spellStart"/>
      <w:r w:rsidRPr="00CC19F7">
        <w:t>fagleg</w:t>
      </w:r>
      <w:proofErr w:type="spellEnd"/>
      <w:r w:rsidRPr="00CC19F7">
        <w:t xml:space="preserve"> og økonomisk hjelp til planlegging og gjennomføring av sikringstiltak og overvake og varsle om </w:t>
      </w:r>
      <w:proofErr w:type="spellStart"/>
      <w:r w:rsidRPr="00CC19F7">
        <w:t>flaum</w:t>
      </w:r>
      <w:proofErr w:type="spellEnd"/>
      <w:r w:rsidRPr="00CC19F7">
        <w:t xml:space="preserve">- og skredfare. I tillegg gir NVE råd til </w:t>
      </w:r>
      <w:proofErr w:type="spellStart"/>
      <w:r w:rsidRPr="00CC19F7">
        <w:t>kommunane</w:t>
      </w:r>
      <w:proofErr w:type="spellEnd"/>
      <w:r w:rsidRPr="00CC19F7">
        <w:t xml:space="preserve"> og politiet i beredskaps- og </w:t>
      </w:r>
      <w:proofErr w:type="spellStart"/>
      <w:r w:rsidRPr="00CC19F7">
        <w:t>krisesituasjonar</w:t>
      </w:r>
      <w:proofErr w:type="spellEnd"/>
      <w:r w:rsidRPr="00CC19F7">
        <w:t>.</w:t>
      </w:r>
    </w:p>
    <w:p w14:paraId="6B907520" w14:textId="77777777" w:rsidR="00FE02EF" w:rsidRPr="00CC19F7" w:rsidRDefault="00881E58" w:rsidP="00CC19F7">
      <w:pPr>
        <w:pStyle w:val="Overskrift2"/>
      </w:pPr>
      <w:proofErr w:type="spellStart"/>
      <w:r w:rsidRPr="00CC19F7">
        <w:t>Petroleumsverksemda</w:t>
      </w:r>
      <w:proofErr w:type="spellEnd"/>
    </w:p>
    <w:p w14:paraId="1FEA3274" w14:textId="77777777" w:rsidR="00FE02EF" w:rsidRPr="00CC19F7" w:rsidRDefault="00881E58" w:rsidP="00CC19F7">
      <w:r w:rsidRPr="00CC19F7">
        <w:t xml:space="preserve">Havindustritilsynet har ansvaret for å følge opp og vareta </w:t>
      </w:r>
      <w:proofErr w:type="spellStart"/>
      <w:r w:rsidRPr="00CC19F7">
        <w:t>samfunnssikkerheit</w:t>
      </w:r>
      <w:proofErr w:type="spellEnd"/>
      <w:r w:rsidRPr="00CC19F7">
        <w:t xml:space="preserve">, sikring og beredskap </w:t>
      </w:r>
      <w:proofErr w:type="spellStart"/>
      <w:r w:rsidRPr="00CC19F7">
        <w:t>innan</w:t>
      </w:r>
      <w:proofErr w:type="spellEnd"/>
      <w:r w:rsidRPr="00CC19F7">
        <w:t xml:space="preserve"> eige </w:t>
      </w:r>
      <w:proofErr w:type="spellStart"/>
      <w:r w:rsidRPr="00CC19F7">
        <w:t>myndigheitsområde</w:t>
      </w:r>
      <w:proofErr w:type="spellEnd"/>
      <w:r w:rsidRPr="00CC19F7">
        <w:t xml:space="preserve">, mellom anna føre tilsyn med at </w:t>
      </w:r>
      <w:proofErr w:type="spellStart"/>
      <w:r w:rsidRPr="00CC19F7">
        <w:t>aktørane</w:t>
      </w:r>
      <w:proofErr w:type="spellEnd"/>
      <w:r w:rsidRPr="00CC19F7">
        <w:t xml:space="preserve"> i </w:t>
      </w:r>
      <w:proofErr w:type="spellStart"/>
      <w:r w:rsidRPr="00CC19F7">
        <w:t>petroleumsverksemda</w:t>
      </w:r>
      <w:proofErr w:type="spellEnd"/>
      <w:r w:rsidRPr="00CC19F7">
        <w:t xml:space="preserve"> tar ansvar for å </w:t>
      </w:r>
      <w:proofErr w:type="spellStart"/>
      <w:r w:rsidRPr="00CC19F7">
        <w:t>førebygge</w:t>
      </w:r>
      <w:proofErr w:type="spellEnd"/>
      <w:r w:rsidRPr="00CC19F7">
        <w:t xml:space="preserve"> og handtere risiko og </w:t>
      </w:r>
      <w:proofErr w:type="spellStart"/>
      <w:r w:rsidRPr="00CC19F7">
        <w:t>sikkerheitskritiske</w:t>
      </w:r>
      <w:proofErr w:type="spellEnd"/>
      <w:r w:rsidRPr="00CC19F7">
        <w:t xml:space="preserve"> forhold som påverkar </w:t>
      </w:r>
      <w:proofErr w:type="spellStart"/>
      <w:r w:rsidRPr="00CC19F7">
        <w:t>sikkerheit</w:t>
      </w:r>
      <w:proofErr w:type="spellEnd"/>
      <w:r w:rsidRPr="00CC19F7">
        <w:t xml:space="preserve">, storulykkerisiko og sikring i </w:t>
      </w:r>
      <w:proofErr w:type="spellStart"/>
      <w:r w:rsidRPr="00CC19F7">
        <w:t>petroleumsverksemda</w:t>
      </w:r>
      <w:proofErr w:type="spellEnd"/>
      <w:r w:rsidRPr="00CC19F7">
        <w:t xml:space="preserve"> på norsk sokkel og ved </w:t>
      </w:r>
      <w:proofErr w:type="spellStart"/>
      <w:r w:rsidRPr="00CC19F7">
        <w:t>nærmare</w:t>
      </w:r>
      <w:proofErr w:type="spellEnd"/>
      <w:r w:rsidRPr="00CC19F7">
        <w:t xml:space="preserve"> angitte landanlegg. Tilsynet gir </w:t>
      </w:r>
      <w:proofErr w:type="spellStart"/>
      <w:r w:rsidRPr="00CC19F7">
        <w:t>aktørane</w:t>
      </w:r>
      <w:proofErr w:type="spellEnd"/>
      <w:r w:rsidRPr="00CC19F7">
        <w:t xml:space="preserve"> rettleiing og informasjon og fører tilsyn med at </w:t>
      </w:r>
      <w:proofErr w:type="spellStart"/>
      <w:r w:rsidRPr="00CC19F7">
        <w:t>dei</w:t>
      </w:r>
      <w:proofErr w:type="spellEnd"/>
      <w:r w:rsidRPr="00CC19F7">
        <w:t xml:space="preserve"> tar ansvar i tråd med regelverket.</w:t>
      </w:r>
    </w:p>
    <w:p w14:paraId="769E6048" w14:textId="77777777" w:rsidR="00FE02EF" w:rsidRPr="00CC19F7" w:rsidRDefault="00881E58" w:rsidP="00CC19F7">
      <w:r w:rsidRPr="00CC19F7">
        <w:t xml:space="preserve">Petroleumsregelverket stiller strenge krav til innsatsen hos </w:t>
      </w:r>
      <w:proofErr w:type="spellStart"/>
      <w:r w:rsidRPr="00CC19F7">
        <w:t>dei</w:t>
      </w:r>
      <w:proofErr w:type="spellEnd"/>
      <w:r w:rsidRPr="00CC19F7">
        <w:t xml:space="preserve"> enkelte selskapa. Styring av storulykkerisiko skal </w:t>
      </w:r>
      <w:proofErr w:type="spellStart"/>
      <w:r w:rsidRPr="00CC19F7">
        <w:t>vere</w:t>
      </w:r>
      <w:proofErr w:type="spellEnd"/>
      <w:r w:rsidRPr="00CC19F7">
        <w:t xml:space="preserve"> </w:t>
      </w:r>
      <w:proofErr w:type="spellStart"/>
      <w:r w:rsidRPr="00CC19F7">
        <w:t>ein</w:t>
      </w:r>
      <w:proofErr w:type="spellEnd"/>
      <w:r w:rsidRPr="00CC19F7">
        <w:t xml:space="preserve"> integrert del av aktiviteten til selskapa. Petroleumslova pålegg </w:t>
      </w:r>
      <w:proofErr w:type="spellStart"/>
      <w:r w:rsidRPr="00CC19F7">
        <w:t>rettshavarane</w:t>
      </w:r>
      <w:proofErr w:type="spellEnd"/>
      <w:r w:rsidRPr="00CC19F7">
        <w:t xml:space="preserve"> og </w:t>
      </w:r>
      <w:proofErr w:type="spellStart"/>
      <w:r w:rsidRPr="00CC19F7">
        <w:t>operatørane</w:t>
      </w:r>
      <w:proofErr w:type="spellEnd"/>
      <w:r w:rsidRPr="00CC19F7">
        <w:t xml:space="preserve"> i </w:t>
      </w:r>
      <w:proofErr w:type="spellStart"/>
      <w:r w:rsidRPr="00CC19F7">
        <w:t>petroleumsverksemda</w:t>
      </w:r>
      <w:proofErr w:type="spellEnd"/>
      <w:r w:rsidRPr="00CC19F7">
        <w:t xml:space="preserve"> </w:t>
      </w:r>
      <w:proofErr w:type="spellStart"/>
      <w:r w:rsidRPr="00CC19F7">
        <w:t>eit</w:t>
      </w:r>
      <w:proofErr w:type="spellEnd"/>
      <w:r w:rsidRPr="00CC19F7">
        <w:t xml:space="preserve"> sjølvstendig ansvar for beredskap mot fare- og </w:t>
      </w:r>
      <w:proofErr w:type="spellStart"/>
      <w:r w:rsidRPr="00CC19F7">
        <w:t>ulykkessituasjonar</w:t>
      </w:r>
      <w:proofErr w:type="spellEnd"/>
      <w:r w:rsidRPr="00CC19F7">
        <w:t xml:space="preserve"> og for å sjå til at </w:t>
      </w:r>
      <w:proofErr w:type="spellStart"/>
      <w:r w:rsidRPr="00CC19F7">
        <w:t>underentreprenørar</w:t>
      </w:r>
      <w:proofErr w:type="spellEnd"/>
      <w:r w:rsidRPr="00CC19F7">
        <w:t xml:space="preserve"> mv. oppfyller krava til beredskaps- og </w:t>
      </w:r>
      <w:proofErr w:type="spellStart"/>
      <w:r w:rsidRPr="00CC19F7">
        <w:t>sikkerheitstiltak</w:t>
      </w:r>
      <w:proofErr w:type="spellEnd"/>
      <w:r w:rsidRPr="00CC19F7">
        <w:t xml:space="preserve">. Operatøren har også ansvar for å rapportere om uønskte </w:t>
      </w:r>
      <w:proofErr w:type="spellStart"/>
      <w:r w:rsidRPr="00CC19F7">
        <w:t>hendingar</w:t>
      </w:r>
      <w:proofErr w:type="spellEnd"/>
      <w:r w:rsidRPr="00CC19F7">
        <w:t xml:space="preserve"> til Havindustritilsynet og andre involverte </w:t>
      </w:r>
      <w:proofErr w:type="spellStart"/>
      <w:r w:rsidRPr="00CC19F7">
        <w:t>etatar</w:t>
      </w:r>
      <w:proofErr w:type="spellEnd"/>
      <w:r w:rsidRPr="00CC19F7">
        <w:t xml:space="preserve">. Havindustritilsynet har ei beredskapsvaktordning som </w:t>
      </w:r>
      <w:proofErr w:type="spellStart"/>
      <w:r w:rsidRPr="00CC19F7">
        <w:t>varslar</w:t>
      </w:r>
      <w:proofErr w:type="spellEnd"/>
      <w:r w:rsidRPr="00CC19F7">
        <w:t xml:space="preserve"> </w:t>
      </w:r>
      <w:proofErr w:type="spellStart"/>
      <w:r w:rsidRPr="00CC19F7">
        <w:t>vidare</w:t>
      </w:r>
      <w:proofErr w:type="spellEnd"/>
      <w:r w:rsidRPr="00CC19F7">
        <w:t xml:space="preserve"> til andre </w:t>
      </w:r>
      <w:proofErr w:type="spellStart"/>
      <w:r w:rsidRPr="00CC19F7">
        <w:t>myndigheiter</w:t>
      </w:r>
      <w:proofErr w:type="spellEnd"/>
      <w:r w:rsidRPr="00CC19F7">
        <w:t xml:space="preserve"> og </w:t>
      </w:r>
      <w:proofErr w:type="spellStart"/>
      <w:r w:rsidRPr="00CC19F7">
        <w:t>sikrar</w:t>
      </w:r>
      <w:proofErr w:type="spellEnd"/>
      <w:r w:rsidRPr="00CC19F7">
        <w:t xml:space="preserve"> effektiv oppfølging av eige ansvarsområde i </w:t>
      </w:r>
      <w:proofErr w:type="spellStart"/>
      <w:r w:rsidRPr="00CC19F7">
        <w:t>krisesituasjonar</w:t>
      </w:r>
      <w:proofErr w:type="spellEnd"/>
      <w:r w:rsidRPr="00CC19F7">
        <w:t>.</w:t>
      </w:r>
    </w:p>
    <w:p w14:paraId="34E0A9AF" w14:textId="77777777" w:rsidR="00FE02EF" w:rsidRPr="00CC19F7" w:rsidRDefault="00881E58" w:rsidP="00CC19F7">
      <w:r w:rsidRPr="00CC19F7">
        <w:t xml:space="preserve">Det er </w:t>
      </w:r>
      <w:proofErr w:type="spellStart"/>
      <w:r w:rsidRPr="00CC19F7">
        <w:t>aktørane</w:t>
      </w:r>
      <w:proofErr w:type="spellEnd"/>
      <w:r w:rsidRPr="00CC19F7">
        <w:t xml:space="preserve"> i næringa som er </w:t>
      </w:r>
      <w:proofErr w:type="spellStart"/>
      <w:r w:rsidRPr="00CC19F7">
        <w:t>ansvarlege</w:t>
      </w:r>
      <w:proofErr w:type="spellEnd"/>
      <w:r w:rsidRPr="00CC19F7">
        <w:t xml:space="preserve"> for at </w:t>
      </w:r>
      <w:proofErr w:type="spellStart"/>
      <w:r w:rsidRPr="00CC19F7">
        <w:t>verksemda</w:t>
      </w:r>
      <w:proofErr w:type="spellEnd"/>
      <w:r w:rsidRPr="00CC19F7">
        <w:t xml:space="preserve"> til ei kvar tid er </w:t>
      </w:r>
      <w:proofErr w:type="spellStart"/>
      <w:r w:rsidRPr="00CC19F7">
        <w:t>forsvarleg</w:t>
      </w:r>
      <w:proofErr w:type="spellEnd"/>
      <w:r w:rsidRPr="00CC19F7">
        <w:t xml:space="preserve"> og i tråd med regelverket. </w:t>
      </w:r>
      <w:proofErr w:type="spellStart"/>
      <w:r w:rsidRPr="00CC19F7">
        <w:t>Rettshavarar</w:t>
      </w:r>
      <w:proofErr w:type="spellEnd"/>
      <w:r w:rsidRPr="00CC19F7">
        <w:t xml:space="preserve"> og andre som deltar i </w:t>
      </w:r>
      <w:proofErr w:type="spellStart"/>
      <w:r w:rsidRPr="00CC19F7">
        <w:t>petroleumsverksemda</w:t>
      </w:r>
      <w:proofErr w:type="spellEnd"/>
      <w:r w:rsidRPr="00CC19F7">
        <w:t xml:space="preserve">, skal til ei kvar tid </w:t>
      </w:r>
      <w:proofErr w:type="spellStart"/>
      <w:r w:rsidRPr="00CC19F7">
        <w:t>oppretthalde</w:t>
      </w:r>
      <w:proofErr w:type="spellEnd"/>
      <w:r w:rsidRPr="00CC19F7">
        <w:t xml:space="preserve"> </w:t>
      </w:r>
      <w:proofErr w:type="spellStart"/>
      <w:r w:rsidRPr="00CC19F7">
        <w:t>ein</w:t>
      </w:r>
      <w:proofErr w:type="spellEnd"/>
      <w:r w:rsidRPr="00CC19F7">
        <w:t xml:space="preserve"> effektiv beredskap med sikte på å møte fare- og </w:t>
      </w:r>
      <w:proofErr w:type="spellStart"/>
      <w:r w:rsidRPr="00CC19F7">
        <w:t>ulykkessituasjonar</w:t>
      </w:r>
      <w:proofErr w:type="spellEnd"/>
      <w:r w:rsidRPr="00CC19F7">
        <w:t xml:space="preserve"> som kan føre til tap av menneskeliv eller personskade, </w:t>
      </w:r>
      <w:proofErr w:type="spellStart"/>
      <w:r w:rsidRPr="00CC19F7">
        <w:t>forureining</w:t>
      </w:r>
      <w:proofErr w:type="spellEnd"/>
      <w:r w:rsidRPr="00CC19F7">
        <w:t xml:space="preserve"> eller stor materiell skade. </w:t>
      </w:r>
      <w:proofErr w:type="spellStart"/>
      <w:r w:rsidRPr="00CC19F7">
        <w:t>Rettshavarane</w:t>
      </w:r>
      <w:proofErr w:type="spellEnd"/>
      <w:r w:rsidRPr="00CC19F7">
        <w:t xml:space="preserve"> skal også sette i verk og </w:t>
      </w:r>
      <w:proofErr w:type="spellStart"/>
      <w:r w:rsidRPr="00CC19F7">
        <w:t>oppretthalde</w:t>
      </w:r>
      <w:proofErr w:type="spellEnd"/>
      <w:r w:rsidRPr="00CC19F7">
        <w:t xml:space="preserve"> sikringstiltak for å bidra til å hindre bevisste anslag mot </w:t>
      </w:r>
      <w:proofErr w:type="spellStart"/>
      <w:r w:rsidRPr="00CC19F7">
        <w:t>innretningar</w:t>
      </w:r>
      <w:proofErr w:type="spellEnd"/>
      <w:r w:rsidRPr="00CC19F7">
        <w:t xml:space="preserve"> og ha </w:t>
      </w:r>
      <w:proofErr w:type="spellStart"/>
      <w:r w:rsidRPr="00CC19F7">
        <w:t>beredskapsplanar</w:t>
      </w:r>
      <w:proofErr w:type="spellEnd"/>
      <w:r w:rsidRPr="00CC19F7">
        <w:t xml:space="preserve"> for dette.</w:t>
      </w:r>
    </w:p>
    <w:p w14:paraId="29DA7E69" w14:textId="77777777" w:rsidR="00FE02EF" w:rsidRPr="00CC19F7" w:rsidRDefault="00881E58" w:rsidP="00CC19F7">
      <w:pPr>
        <w:pStyle w:val="Overskrift2"/>
      </w:pPr>
      <w:r w:rsidRPr="00CC19F7">
        <w:t xml:space="preserve">Sentral krisehandtering og </w:t>
      </w:r>
      <w:proofErr w:type="gramStart"/>
      <w:r w:rsidRPr="00CC19F7">
        <w:t>departementets eigen beredskap</w:t>
      </w:r>
      <w:proofErr w:type="gramEnd"/>
    </w:p>
    <w:p w14:paraId="3E3041D6" w14:textId="77777777" w:rsidR="00FE02EF" w:rsidRPr="00CC19F7" w:rsidRDefault="00881E58" w:rsidP="00CC19F7">
      <w:r w:rsidRPr="00CC19F7">
        <w:t xml:space="preserve">I </w:t>
      </w:r>
      <w:r w:rsidRPr="00CC19F7">
        <w:rPr>
          <w:rStyle w:val="kursiv"/>
        </w:rPr>
        <w:t>Instruks for departementenes arbeid med samfunnssikkerhet</w:t>
      </w:r>
      <w:r w:rsidRPr="00CC19F7">
        <w:t xml:space="preserve"> (</w:t>
      </w:r>
      <w:proofErr w:type="spellStart"/>
      <w:r w:rsidRPr="00CC19F7">
        <w:t>samfunnssikkerheitsinstruksen</w:t>
      </w:r>
      <w:proofErr w:type="spellEnd"/>
      <w:r w:rsidRPr="00CC19F7">
        <w:t xml:space="preserve">) er det stilt krav til arbeidet med </w:t>
      </w:r>
      <w:proofErr w:type="spellStart"/>
      <w:r w:rsidRPr="00CC19F7">
        <w:t>samfunnssikkerheit</w:t>
      </w:r>
      <w:proofErr w:type="spellEnd"/>
      <w:r w:rsidRPr="00CC19F7">
        <w:t xml:space="preserve"> og beredskap i departementa.</w:t>
      </w:r>
    </w:p>
    <w:p w14:paraId="5C5A715A" w14:textId="77777777" w:rsidR="00FE02EF" w:rsidRPr="00CC19F7" w:rsidRDefault="00881E58" w:rsidP="00CC19F7">
      <w:r w:rsidRPr="00CC19F7">
        <w:t xml:space="preserve">Departementet skal gjennom </w:t>
      </w:r>
      <w:proofErr w:type="spellStart"/>
      <w:r w:rsidRPr="00CC19F7">
        <w:t>eit</w:t>
      </w:r>
      <w:proofErr w:type="spellEnd"/>
      <w:r w:rsidRPr="00CC19F7">
        <w:t xml:space="preserve"> godt eigna beredskapsplanverk, </w:t>
      </w:r>
      <w:proofErr w:type="gramStart"/>
      <w:r w:rsidRPr="00CC19F7">
        <w:t>robust</w:t>
      </w:r>
      <w:proofErr w:type="gramEnd"/>
      <w:r w:rsidRPr="00CC19F7">
        <w:t xml:space="preserve"> organisering og hyppige og relevante </w:t>
      </w:r>
      <w:proofErr w:type="spellStart"/>
      <w:r w:rsidRPr="00CC19F7">
        <w:t>øvingar</w:t>
      </w:r>
      <w:proofErr w:type="spellEnd"/>
      <w:r w:rsidRPr="00CC19F7">
        <w:t xml:space="preserve"> </w:t>
      </w:r>
      <w:proofErr w:type="spellStart"/>
      <w:r w:rsidRPr="00CC19F7">
        <w:t>vere</w:t>
      </w:r>
      <w:proofErr w:type="spellEnd"/>
      <w:r w:rsidRPr="00CC19F7">
        <w:t xml:space="preserve"> førebudd på å møte alle </w:t>
      </w:r>
      <w:proofErr w:type="spellStart"/>
      <w:r w:rsidRPr="00CC19F7">
        <w:t>typar</w:t>
      </w:r>
      <w:proofErr w:type="spellEnd"/>
      <w:r w:rsidRPr="00CC19F7">
        <w:t xml:space="preserve"> kriser i eigen sektor. </w:t>
      </w:r>
      <w:proofErr w:type="spellStart"/>
      <w:r w:rsidRPr="00CC19F7">
        <w:t>Vidare</w:t>
      </w:r>
      <w:proofErr w:type="spellEnd"/>
      <w:r w:rsidRPr="00CC19F7">
        <w:t xml:space="preserve"> skal departementet effektivt og profesjonelt kunne yte bistand til andre departement og, når det </w:t>
      </w:r>
      <w:proofErr w:type="spellStart"/>
      <w:r w:rsidRPr="00CC19F7">
        <w:t>trengst</w:t>
      </w:r>
      <w:proofErr w:type="spellEnd"/>
      <w:r w:rsidRPr="00CC19F7">
        <w:t xml:space="preserve">, ta rolla som </w:t>
      </w:r>
      <w:proofErr w:type="spellStart"/>
      <w:r w:rsidRPr="00CC19F7">
        <w:t>leiardepartement</w:t>
      </w:r>
      <w:proofErr w:type="spellEnd"/>
      <w:r w:rsidRPr="00CC19F7">
        <w:t>.</w:t>
      </w:r>
    </w:p>
    <w:p w14:paraId="14BB75E5" w14:textId="77777777" w:rsidR="00FE02EF" w:rsidRPr="00CC19F7" w:rsidRDefault="00881E58" w:rsidP="00CC19F7">
      <w:r w:rsidRPr="00CC19F7">
        <w:t xml:space="preserve">OEDs planverk for krisehandtering dekker ulike </w:t>
      </w:r>
      <w:proofErr w:type="spellStart"/>
      <w:r w:rsidRPr="00CC19F7">
        <w:t>typar</w:t>
      </w:r>
      <w:proofErr w:type="spellEnd"/>
      <w:r w:rsidRPr="00CC19F7">
        <w:t xml:space="preserve"> kriser som OED kan bli involvert i, både i sektoren og ved kriser som gjeld departementet </w:t>
      </w:r>
      <w:proofErr w:type="spellStart"/>
      <w:r w:rsidRPr="00CC19F7">
        <w:t>sjølv</w:t>
      </w:r>
      <w:proofErr w:type="spellEnd"/>
      <w:r w:rsidRPr="00CC19F7">
        <w:t>.</w:t>
      </w:r>
    </w:p>
    <w:p w14:paraId="76A690C1" w14:textId="77777777" w:rsidR="00FE02EF" w:rsidRPr="00CC19F7" w:rsidRDefault="00881E58" w:rsidP="00CC19F7">
      <w:r w:rsidRPr="00CC19F7">
        <w:t xml:space="preserve">Direktoratet for samfunnstryggleik og beredskap (DSB) gjennomførte på vegne av Justis- og beredskapsdepartementet tilsyn med OED i perioden </w:t>
      </w:r>
      <w:proofErr w:type="spellStart"/>
      <w:r w:rsidRPr="00CC19F7">
        <w:t>frå</w:t>
      </w:r>
      <w:proofErr w:type="spellEnd"/>
      <w:r w:rsidRPr="00CC19F7">
        <w:t xml:space="preserve"> juni 2019 til januar 2020. Tilsynet blei ført etter </w:t>
      </w:r>
      <w:r w:rsidRPr="00CC19F7">
        <w:rPr>
          <w:rStyle w:val="kursiv"/>
        </w:rPr>
        <w:t>Instruks for departementenes arbeid med samfunnssikkerhet</w:t>
      </w:r>
      <w:r w:rsidRPr="00CC19F7">
        <w:t xml:space="preserve">. DSB konkluderte med at OED har stor </w:t>
      </w:r>
      <w:proofErr w:type="spellStart"/>
      <w:r w:rsidRPr="00CC19F7">
        <w:t>merksemd</w:t>
      </w:r>
      <w:proofErr w:type="spellEnd"/>
      <w:r w:rsidRPr="00CC19F7">
        <w:t xml:space="preserve"> på </w:t>
      </w:r>
      <w:proofErr w:type="spellStart"/>
      <w:r w:rsidRPr="00CC19F7">
        <w:t>samfunnssikkerheit</w:t>
      </w:r>
      <w:proofErr w:type="spellEnd"/>
      <w:r w:rsidRPr="00CC19F7">
        <w:t xml:space="preserve">, men </w:t>
      </w:r>
      <w:proofErr w:type="spellStart"/>
      <w:r w:rsidRPr="00CC19F7">
        <w:t>fann</w:t>
      </w:r>
      <w:proofErr w:type="spellEnd"/>
      <w:r w:rsidRPr="00CC19F7">
        <w:t xml:space="preserve"> tre </w:t>
      </w:r>
      <w:proofErr w:type="spellStart"/>
      <w:r w:rsidRPr="00CC19F7">
        <w:t>brot</w:t>
      </w:r>
      <w:proofErr w:type="spellEnd"/>
      <w:r w:rsidRPr="00CC19F7">
        <w:t xml:space="preserve"> på krav i instruksen som gjaldt </w:t>
      </w:r>
      <w:proofErr w:type="spellStart"/>
      <w:r w:rsidRPr="00CC19F7">
        <w:t>øvingar</w:t>
      </w:r>
      <w:proofErr w:type="spellEnd"/>
      <w:r w:rsidRPr="00CC19F7">
        <w:t xml:space="preserve"> og evaluering. For å svare ut funna i tilsynet har OED </w:t>
      </w:r>
      <w:proofErr w:type="spellStart"/>
      <w:r w:rsidRPr="00CC19F7">
        <w:t>vidareutvikla</w:t>
      </w:r>
      <w:proofErr w:type="spellEnd"/>
      <w:r w:rsidRPr="00CC19F7">
        <w:t xml:space="preserve"> øvingsplanen, tatt initiativ til </w:t>
      </w:r>
      <w:proofErr w:type="spellStart"/>
      <w:r w:rsidRPr="00CC19F7">
        <w:t>øvingar</w:t>
      </w:r>
      <w:proofErr w:type="spellEnd"/>
      <w:r w:rsidRPr="00CC19F7">
        <w:t xml:space="preserve">, utarbeidd </w:t>
      </w:r>
      <w:proofErr w:type="spellStart"/>
      <w:r w:rsidRPr="00CC19F7">
        <w:t>ein</w:t>
      </w:r>
      <w:proofErr w:type="spellEnd"/>
      <w:r w:rsidRPr="00CC19F7">
        <w:t xml:space="preserve"> metodikk for å evaluere og følge opp </w:t>
      </w:r>
      <w:proofErr w:type="spellStart"/>
      <w:r w:rsidRPr="00CC19F7">
        <w:t>øvingar</w:t>
      </w:r>
      <w:proofErr w:type="spellEnd"/>
      <w:r w:rsidRPr="00CC19F7">
        <w:t xml:space="preserve"> og </w:t>
      </w:r>
      <w:proofErr w:type="spellStart"/>
      <w:r w:rsidRPr="00CC19F7">
        <w:t>hendingar</w:t>
      </w:r>
      <w:proofErr w:type="spellEnd"/>
      <w:r w:rsidRPr="00CC19F7">
        <w:t xml:space="preserve"> og i 2022 gjennomført ei tverrdepartemental øving </w:t>
      </w:r>
      <w:proofErr w:type="spellStart"/>
      <w:r w:rsidRPr="00CC19F7">
        <w:t>innanfor</w:t>
      </w:r>
      <w:proofErr w:type="spellEnd"/>
      <w:r w:rsidRPr="00CC19F7">
        <w:t xml:space="preserve"> kraftforsyning. </w:t>
      </w:r>
      <w:proofErr w:type="spellStart"/>
      <w:r w:rsidRPr="00CC19F7">
        <w:t>Brota</w:t>
      </w:r>
      <w:proofErr w:type="spellEnd"/>
      <w:r w:rsidRPr="00CC19F7">
        <w:t xml:space="preserve"> på krava i instruksen er lukka, og tilsynet er lukka av Justis- og beredskapsdepartementet i 2023.</w:t>
      </w:r>
    </w:p>
    <w:p w14:paraId="6F0C2FA6" w14:textId="77777777" w:rsidR="00FE02EF" w:rsidRPr="00CC19F7" w:rsidRDefault="00881E58" w:rsidP="00CC19F7">
      <w:pPr>
        <w:pStyle w:val="Overskrift1"/>
      </w:pPr>
      <w:r w:rsidRPr="00CC19F7">
        <w:t xml:space="preserve">Likestilling og </w:t>
      </w:r>
      <w:proofErr w:type="spellStart"/>
      <w:r w:rsidRPr="00CC19F7">
        <w:t>mangfald</w:t>
      </w:r>
      <w:proofErr w:type="spellEnd"/>
    </w:p>
    <w:p w14:paraId="418CF71B" w14:textId="77777777" w:rsidR="00FE02EF" w:rsidRPr="00CC19F7" w:rsidRDefault="00881E58" w:rsidP="00CC19F7">
      <w:r w:rsidRPr="00CC19F7">
        <w:t xml:space="preserve">Etter </w:t>
      </w:r>
      <w:r w:rsidRPr="00CC19F7">
        <w:rPr>
          <w:rStyle w:val="kursiv"/>
        </w:rPr>
        <w:t>lov om likestilling og forbud mot diskriminering</w:t>
      </w:r>
      <w:r w:rsidRPr="00CC19F7">
        <w:t xml:space="preserve"> er </w:t>
      </w:r>
      <w:proofErr w:type="spellStart"/>
      <w:r w:rsidRPr="00CC19F7">
        <w:t>arbeidsgivarar</w:t>
      </w:r>
      <w:proofErr w:type="spellEnd"/>
      <w:r w:rsidRPr="00CC19F7">
        <w:t xml:space="preserve"> pålagde å arbeide aktivt, målretta og planmessig for å fremme likestilling og hindre diskriminering (aktivitets- og meldeplikta). Olje- og energidepartementet </w:t>
      </w:r>
      <w:proofErr w:type="spellStart"/>
      <w:r w:rsidRPr="00CC19F7">
        <w:t>gjer</w:t>
      </w:r>
      <w:proofErr w:type="spellEnd"/>
      <w:r w:rsidRPr="00CC19F7">
        <w:t xml:space="preserve"> her greie for tilstanden i departementet.</w:t>
      </w:r>
    </w:p>
    <w:p w14:paraId="57F08DC4" w14:textId="77777777" w:rsidR="00FE02EF" w:rsidRPr="00CC19F7" w:rsidRDefault="00881E58" w:rsidP="00CC19F7">
      <w:r w:rsidRPr="00CC19F7">
        <w:t xml:space="preserve">Omtale av arbeid med likestilling og </w:t>
      </w:r>
      <w:proofErr w:type="spellStart"/>
      <w:r w:rsidRPr="00CC19F7">
        <w:t>mangfald</w:t>
      </w:r>
      <w:proofErr w:type="spellEnd"/>
      <w:r w:rsidRPr="00CC19F7">
        <w:t xml:space="preserve"> i Sokkeldirektoratet og </w:t>
      </w:r>
      <w:proofErr w:type="spellStart"/>
      <w:r w:rsidRPr="00CC19F7">
        <w:t>Noregs</w:t>
      </w:r>
      <w:proofErr w:type="spellEnd"/>
      <w:r w:rsidRPr="00CC19F7">
        <w:t xml:space="preserve"> vassdrags- og energidirektorat ligg i </w:t>
      </w:r>
      <w:proofErr w:type="spellStart"/>
      <w:r w:rsidRPr="00CC19F7">
        <w:t>årsrapportane</w:t>
      </w:r>
      <w:proofErr w:type="spellEnd"/>
      <w:r w:rsidRPr="00CC19F7">
        <w:t xml:space="preserve"> </w:t>
      </w:r>
      <w:proofErr w:type="spellStart"/>
      <w:r w:rsidRPr="00CC19F7">
        <w:t>frå</w:t>
      </w:r>
      <w:proofErr w:type="spellEnd"/>
      <w:r w:rsidRPr="00CC19F7">
        <w:t xml:space="preserve"> </w:t>
      </w:r>
      <w:proofErr w:type="spellStart"/>
      <w:r w:rsidRPr="00CC19F7">
        <w:t>etatane</w:t>
      </w:r>
      <w:proofErr w:type="spellEnd"/>
      <w:r w:rsidRPr="00CC19F7">
        <w:t xml:space="preserve">. For Havindustritilsynet er rapporteringa </w:t>
      </w:r>
      <w:proofErr w:type="spellStart"/>
      <w:r w:rsidRPr="00CC19F7">
        <w:t>offentleggjord</w:t>
      </w:r>
      <w:proofErr w:type="spellEnd"/>
      <w:r w:rsidRPr="00CC19F7">
        <w:t xml:space="preserve"> på nettsida </w:t>
      </w:r>
      <w:proofErr w:type="spellStart"/>
      <w:r w:rsidRPr="00CC19F7">
        <w:t>deira</w:t>
      </w:r>
      <w:proofErr w:type="spellEnd"/>
      <w:r w:rsidRPr="00CC19F7">
        <w:t>.</w:t>
      </w:r>
    </w:p>
    <w:p w14:paraId="427B7291" w14:textId="77777777" w:rsidR="00FE02EF" w:rsidRPr="00CC19F7" w:rsidRDefault="00881E58" w:rsidP="00CC19F7">
      <w:pPr>
        <w:pStyle w:val="Overskrift2"/>
      </w:pPr>
      <w:r w:rsidRPr="00CC19F7">
        <w:t>Tilstanden for likestilling mellom kjønna</w:t>
      </w:r>
    </w:p>
    <w:p w14:paraId="14E700C4" w14:textId="77777777" w:rsidR="00FE02EF" w:rsidRPr="00CC19F7" w:rsidRDefault="00881E58" w:rsidP="00CC19F7">
      <w:r w:rsidRPr="00CC19F7">
        <w:t xml:space="preserve">Likestillingsperspektivet er forankra i personalpolitikken, lønnspolitikken og tilpassingsavtalen. Likestilling er </w:t>
      </w:r>
      <w:proofErr w:type="spellStart"/>
      <w:r w:rsidRPr="00CC19F7">
        <w:t>ein</w:t>
      </w:r>
      <w:proofErr w:type="spellEnd"/>
      <w:r w:rsidRPr="00CC19F7">
        <w:t xml:space="preserve"> integrert del av </w:t>
      </w:r>
      <w:proofErr w:type="spellStart"/>
      <w:r w:rsidRPr="00CC19F7">
        <w:t>verksemda</w:t>
      </w:r>
      <w:proofErr w:type="spellEnd"/>
      <w:r w:rsidRPr="00CC19F7">
        <w:t xml:space="preserve"> som departementet arbeider systematisk med:</w:t>
      </w:r>
    </w:p>
    <w:p w14:paraId="7D151BBE" w14:textId="77777777" w:rsidR="00FE02EF" w:rsidRPr="00CC19F7" w:rsidRDefault="00881E58" w:rsidP="00CC19F7">
      <w:pPr>
        <w:pStyle w:val="Liste"/>
      </w:pPr>
      <w:r w:rsidRPr="00CC19F7">
        <w:t xml:space="preserve">Den enkelte </w:t>
      </w:r>
      <w:proofErr w:type="spellStart"/>
      <w:r w:rsidRPr="00CC19F7">
        <w:t>leiaren</w:t>
      </w:r>
      <w:proofErr w:type="spellEnd"/>
      <w:r w:rsidRPr="00CC19F7">
        <w:t xml:space="preserve"> skal følge opp at kvinner og menn får likeverdige </w:t>
      </w:r>
      <w:proofErr w:type="spellStart"/>
      <w:r w:rsidRPr="00CC19F7">
        <w:t>arbeidsoppgåver</w:t>
      </w:r>
      <w:proofErr w:type="spellEnd"/>
      <w:r w:rsidRPr="00CC19F7">
        <w:t xml:space="preserve"> og same høve til </w:t>
      </w:r>
      <w:proofErr w:type="spellStart"/>
      <w:r w:rsidRPr="00CC19F7">
        <w:t>fagleg</w:t>
      </w:r>
      <w:proofErr w:type="spellEnd"/>
      <w:r w:rsidRPr="00CC19F7">
        <w:t xml:space="preserve"> og </w:t>
      </w:r>
      <w:proofErr w:type="spellStart"/>
      <w:r w:rsidRPr="00CC19F7">
        <w:t>personleg</w:t>
      </w:r>
      <w:proofErr w:type="spellEnd"/>
      <w:r w:rsidRPr="00CC19F7">
        <w:t xml:space="preserve"> utvikling i departementet.</w:t>
      </w:r>
    </w:p>
    <w:p w14:paraId="2DD63F3C" w14:textId="77777777" w:rsidR="00FE02EF" w:rsidRPr="00CC19F7" w:rsidRDefault="00881E58" w:rsidP="00CC19F7">
      <w:pPr>
        <w:pStyle w:val="Liste"/>
      </w:pPr>
      <w:proofErr w:type="spellStart"/>
      <w:r w:rsidRPr="00CC19F7">
        <w:t>Kompetansegivande</w:t>
      </w:r>
      <w:proofErr w:type="spellEnd"/>
      <w:r w:rsidRPr="00CC19F7">
        <w:t xml:space="preserve"> </w:t>
      </w:r>
      <w:proofErr w:type="spellStart"/>
      <w:r w:rsidRPr="00CC19F7">
        <w:t>oppgåver</w:t>
      </w:r>
      <w:proofErr w:type="spellEnd"/>
      <w:r w:rsidRPr="00CC19F7">
        <w:t xml:space="preserve"> og tiltak skal </w:t>
      </w:r>
      <w:proofErr w:type="spellStart"/>
      <w:r w:rsidRPr="00CC19F7">
        <w:t>fordelast</w:t>
      </w:r>
      <w:proofErr w:type="spellEnd"/>
      <w:r w:rsidRPr="00CC19F7">
        <w:t xml:space="preserve"> slik at </w:t>
      </w:r>
      <w:proofErr w:type="spellStart"/>
      <w:r w:rsidRPr="00CC19F7">
        <w:t>dei</w:t>
      </w:r>
      <w:proofErr w:type="spellEnd"/>
      <w:r w:rsidRPr="00CC19F7">
        <w:t xml:space="preserve"> bidrar til likestilling mellom kvinner og menn.</w:t>
      </w:r>
    </w:p>
    <w:p w14:paraId="0F44BA57" w14:textId="77777777" w:rsidR="00FE02EF" w:rsidRPr="00CC19F7" w:rsidRDefault="00881E58" w:rsidP="00CC19F7">
      <w:pPr>
        <w:pStyle w:val="Liste"/>
      </w:pPr>
      <w:r w:rsidRPr="00CC19F7">
        <w:t xml:space="preserve">Departementet skal ha </w:t>
      </w:r>
      <w:proofErr w:type="spellStart"/>
      <w:r w:rsidRPr="00CC19F7">
        <w:t>ein</w:t>
      </w:r>
      <w:proofErr w:type="spellEnd"/>
      <w:r w:rsidRPr="00CC19F7">
        <w:t xml:space="preserve"> lønnspolitikk som bidrar til å fjerne eventuelle kjønnsrelaterte </w:t>
      </w:r>
      <w:proofErr w:type="spellStart"/>
      <w:r w:rsidRPr="00CC19F7">
        <w:t>lønnsforskjellar</w:t>
      </w:r>
      <w:proofErr w:type="spellEnd"/>
      <w:r w:rsidRPr="00CC19F7">
        <w:t xml:space="preserve"> på alle nivå.</w:t>
      </w:r>
    </w:p>
    <w:p w14:paraId="5AAD5167" w14:textId="77777777" w:rsidR="00FE02EF" w:rsidRPr="00CC19F7" w:rsidRDefault="00881E58" w:rsidP="00CC19F7">
      <w:pPr>
        <w:pStyle w:val="Liste"/>
      </w:pPr>
      <w:r w:rsidRPr="00CC19F7">
        <w:t xml:space="preserve">Omsynet til likestilling skal </w:t>
      </w:r>
      <w:proofErr w:type="spellStart"/>
      <w:r w:rsidRPr="00CC19F7">
        <w:t>vere</w:t>
      </w:r>
      <w:proofErr w:type="spellEnd"/>
      <w:r w:rsidRPr="00CC19F7">
        <w:t xml:space="preserve"> </w:t>
      </w:r>
      <w:proofErr w:type="spellStart"/>
      <w:r w:rsidRPr="00CC19F7">
        <w:t>eit</w:t>
      </w:r>
      <w:proofErr w:type="spellEnd"/>
      <w:r w:rsidRPr="00CC19F7">
        <w:t xml:space="preserve"> av kriteria som blir lagde til grunn ved rekruttering til ledige </w:t>
      </w:r>
      <w:proofErr w:type="spellStart"/>
      <w:r w:rsidRPr="00CC19F7">
        <w:t>leiarstillingar</w:t>
      </w:r>
      <w:proofErr w:type="spellEnd"/>
      <w:r w:rsidRPr="00CC19F7">
        <w:t>.</w:t>
      </w:r>
    </w:p>
    <w:p w14:paraId="4618C64B" w14:textId="77777777" w:rsidR="00FE02EF" w:rsidRPr="00CC19F7" w:rsidRDefault="00881E58" w:rsidP="00CC19F7">
      <w:pPr>
        <w:pStyle w:val="Liste"/>
      </w:pPr>
      <w:r w:rsidRPr="00CC19F7">
        <w:t xml:space="preserve">Den </w:t>
      </w:r>
      <w:proofErr w:type="spellStart"/>
      <w:r w:rsidRPr="00CC19F7">
        <w:t>årlege</w:t>
      </w:r>
      <w:proofErr w:type="spellEnd"/>
      <w:r w:rsidRPr="00CC19F7">
        <w:t xml:space="preserve"> personalstatistikken skal gi </w:t>
      </w:r>
      <w:proofErr w:type="gramStart"/>
      <w:r w:rsidRPr="00CC19F7">
        <w:t>ei oversikt</w:t>
      </w:r>
      <w:proofErr w:type="gramEnd"/>
      <w:r w:rsidRPr="00CC19F7">
        <w:t xml:space="preserve"> over aktuelle likestillingsrelaterte spørsmål i departementet.</w:t>
      </w:r>
    </w:p>
    <w:p w14:paraId="3F7BF7F9" w14:textId="6D5F3DD3" w:rsidR="00FE02EF" w:rsidRDefault="00881E58" w:rsidP="00CC19F7">
      <w:pPr>
        <w:pStyle w:val="Liste"/>
      </w:pPr>
      <w:r w:rsidRPr="00CC19F7">
        <w:t xml:space="preserve">Den </w:t>
      </w:r>
      <w:proofErr w:type="spellStart"/>
      <w:r w:rsidRPr="00CC19F7">
        <w:t>likestillingstillitsvalde</w:t>
      </w:r>
      <w:proofErr w:type="spellEnd"/>
      <w:r w:rsidRPr="00CC19F7">
        <w:t xml:space="preserve"> skal bidra til at </w:t>
      </w:r>
      <w:proofErr w:type="spellStart"/>
      <w:r w:rsidRPr="00CC19F7">
        <w:t>intensjonane</w:t>
      </w:r>
      <w:proofErr w:type="spellEnd"/>
      <w:r w:rsidRPr="00CC19F7">
        <w:t xml:space="preserve"> og føresegnene i </w:t>
      </w:r>
      <w:proofErr w:type="spellStart"/>
      <w:r w:rsidRPr="00CC19F7">
        <w:t>hovudavtalen</w:t>
      </w:r>
      <w:proofErr w:type="spellEnd"/>
      <w:r w:rsidRPr="00CC19F7">
        <w:t xml:space="preserve">, tilpassingsavtalen og likestillingslova blir </w:t>
      </w:r>
      <w:proofErr w:type="spellStart"/>
      <w:r w:rsidRPr="00CC19F7">
        <w:t>følgde</w:t>
      </w:r>
      <w:proofErr w:type="spellEnd"/>
      <w:r w:rsidRPr="00CC19F7">
        <w:t xml:space="preserve"> opp.</w:t>
      </w:r>
    </w:p>
    <w:p w14:paraId="79D3AD07" w14:textId="48A1DC9B" w:rsidR="002E78FA" w:rsidRPr="00CC19F7" w:rsidRDefault="002E78FA" w:rsidP="002E78FA">
      <w:pPr>
        <w:pStyle w:val="tabell-tittel"/>
      </w:pPr>
      <w:r w:rsidRPr="00CC19F7">
        <w:t xml:space="preserve">Tilstanden for kjønnslikestilling per 31.12.2022, </w:t>
      </w:r>
      <w:proofErr w:type="spellStart"/>
      <w:r w:rsidRPr="00CC19F7">
        <w:t>samanlikna</w:t>
      </w:r>
      <w:proofErr w:type="spellEnd"/>
      <w:r w:rsidRPr="00CC19F7">
        <w:t xml:space="preserve"> med tilstandsrapporteringa per 31.12.2021</w:t>
      </w:r>
    </w:p>
    <w:p w14:paraId="11E4E54D" w14:textId="77777777" w:rsidR="00FE02EF" w:rsidRPr="00CC19F7" w:rsidRDefault="00881E58" w:rsidP="00CC19F7">
      <w:pPr>
        <w:pStyle w:val="Tabellnavn"/>
      </w:pPr>
      <w:r w:rsidRPr="00CC19F7">
        <w:t>07J2xt2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225"/>
        <w:gridCol w:w="851"/>
        <w:gridCol w:w="1134"/>
        <w:gridCol w:w="992"/>
        <w:gridCol w:w="1276"/>
        <w:gridCol w:w="1276"/>
        <w:gridCol w:w="1766"/>
      </w:tblGrid>
      <w:tr w:rsidR="00FE02EF" w:rsidRPr="00CC19F7" w14:paraId="467970A4" w14:textId="77777777" w:rsidTr="002E78FA">
        <w:trPr>
          <w:trHeight w:val="600"/>
        </w:trPr>
        <w:tc>
          <w:tcPr>
            <w:tcW w:w="222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06D1616" w14:textId="77777777" w:rsidR="00FE02EF" w:rsidRPr="00CC19F7" w:rsidRDefault="00881E58" w:rsidP="002E78FA">
            <w:r w:rsidRPr="00CC19F7">
              <w:t>Stillingsgruppe</w:t>
            </w:r>
          </w:p>
        </w:tc>
        <w:tc>
          <w:tcPr>
            <w:tcW w:w="85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3F515BF" w14:textId="77777777" w:rsidR="00FE02EF" w:rsidRPr="00CC19F7" w:rsidRDefault="00881E58" w:rsidP="002E78FA">
            <w:r w:rsidRPr="00CC19F7">
              <w:t>År</w:t>
            </w:r>
          </w:p>
        </w:tc>
        <w:tc>
          <w:tcPr>
            <w:tcW w:w="2126"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2C500C5E" w14:textId="77777777" w:rsidR="00FE02EF" w:rsidRPr="00CC19F7" w:rsidRDefault="00881E58" w:rsidP="002E78FA">
            <w:pPr>
              <w:jc w:val="center"/>
            </w:pPr>
            <w:r w:rsidRPr="00CC19F7">
              <w:t>Kjønnsfordeling på ulike stillingsgrupper</w:t>
            </w:r>
          </w:p>
        </w:tc>
        <w:tc>
          <w:tcPr>
            <w:tcW w:w="4318" w:type="dxa"/>
            <w:gridSpan w:val="3"/>
            <w:tcBorders>
              <w:top w:val="single" w:sz="4" w:space="0" w:color="000000"/>
              <w:left w:val="nil"/>
              <w:bottom w:val="single" w:sz="4" w:space="0" w:color="000000"/>
              <w:right w:val="nil"/>
            </w:tcBorders>
            <w:tcMar>
              <w:top w:w="128" w:type="dxa"/>
              <w:left w:w="43" w:type="dxa"/>
              <w:bottom w:w="43" w:type="dxa"/>
              <w:right w:w="43" w:type="dxa"/>
            </w:tcMar>
            <w:vAlign w:val="bottom"/>
          </w:tcPr>
          <w:p w14:paraId="15F72CAC" w14:textId="094554C8" w:rsidR="00FE02EF" w:rsidRPr="00CC19F7" w:rsidRDefault="00881E58" w:rsidP="002E78FA">
            <w:pPr>
              <w:jc w:val="center"/>
            </w:pPr>
            <w:r w:rsidRPr="00CC19F7">
              <w:t xml:space="preserve">Gjennomsnittslønn/ </w:t>
            </w:r>
            <w:proofErr w:type="spellStart"/>
            <w:r w:rsidRPr="00CC19F7">
              <w:t>Lønnsforskjellar</w:t>
            </w:r>
            <w:proofErr w:type="spellEnd"/>
          </w:p>
        </w:tc>
      </w:tr>
      <w:tr w:rsidR="00FE02EF" w:rsidRPr="00CC19F7" w14:paraId="34FE3288" w14:textId="77777777" w:rsidTr="002E78FA">
        <w:trPr>
          <w:trHeight w:val="600"/>
        </w:trPr>
        <w:tc>
          <w:tcPr>
            <w:tcW w:w="2225" w:type="dxa"/>
            <w:tcBorders>
              <w:top w:val="nil"/>
              <w:left w:val="nil"/>
              <w:bottom w:val="single" w:sz="4" w:space="0" w:color="000000"/>
              <w:right w:val="nil"/>
            </w:tcBorders>
            <w:tcMar>
              <w:top w:w="128" w:type="dxa"/>
              <w:left w:w="43" w:type="dxa"/>
              <w:bottom w:w="43" w:type="dxa"/>
              <w:right w:w="43" w:type="dxa"/>
            </w:tcMar>
            <w:vAlign w:val="bottom"/>
          </w:tcPr>
          <w:p w14:paraId="3BE31939" w14:textId="77777777" w:rsidR="00FE02EF" w:rsidRPr="00CC19F7" w:rsidRDefault="00FE02EF" w:rsidP="002E78FA"/>
        </w:tc>
        <w:tc>
          <w:tcPr>
            <w:tcW w:w="851" w:type="dxa"/>
            <w:tcBorders>
              <w:top w:val="nil"/>
              <w:left w:val="nil"/>
              <w:bottom w:val="single" w:sz="4" w:space="0" w:color="000000"/>
              <w:right w:val="nil"/>
            </w:tcBorders>
            <w:tcMar>
              <w:top w:w="128" w:type="dxa"/>
              <w:left w:w="43" w:type="dxa"/>
              <w:bottom w:w="43" w:type="dxa"/>
              <w:right w:w="43" w:type="dxa"/>
            </w:tcMar>
            <w:vAlign w:val="bottom"/>
          </w:tcPr>
          <w:p w14:paraId="124B6ACA" w14:textId="77777777" w:rsidR="00FE02EF" w:rsidRPr="00CC19F7" w:rsidRDefault="00FE02EF" w:rsidP="002E78FA"/>
        </w:tc>
        <w:tc>
          <w:tcPr>
            <w:tcW w:w="1134" w:type="dxa"/>
            <w:tcBorders>
              <w:top w:val="nil"/>
              <w:left w:val="nil"/>
              <w:bottom w:val="single" w:sz="4" w:space="0" w:color="000000"/>
              <w:right w:val="nil"/>
            </w:tcBorders>
            <w:tcMar>
              <w:top w:w="128" w:type="dxa"/>
              <w:left w:w="43" w:type="dxa"/>
              <w:bottom w:w="43" w:type="dxa"/>
              <w:right w:w="43" w:type="dxa"/>
            </w:tcMar>
            <w:vAlign w:val="bottom"/>
          </w:tcPr>
          <w:p w14:paraId="724C7B01" w14:textId="77777777" w:rsidR="00FE02EF" w:rsidRPr="00CC19F7" w:rsidRDefault="00881E58" w:rsidP="002E78FA">
            <w:pPr>
              <w:jc w:val="right"/>
            </w:pPr>
            <w:r w:rsidRPr="00CC19F7">
              <w:t>Kvinner</w:t>
            </w:r>
          </w:p>
        </w:tc>
        <w:tc>
          <w:tcPr>
            <w:tcW w:w="992" w:type="dxa"/>
            <w:tcBorders>
              <w:top w:val="nil"/>
              <w:left w:val="nil"/>
              <w:bottom w:val="single" w:sz="4" w:space="0" w:color="000000"/>
              <w:right w:val="nil"/>
            </w:tcBorders>
            <w:tcMar>
              <w:top w:w="128" w:type="dxa"/>
              <w:left w:w="43" w:type="dxa"/>
              <w:bottom w:w="43" w:type="dxa"/>
              <w:right w:w="43" w:type="dxa"/>
            </w:tcMar>
            <w:vAlign w:val="bottom"/>
          </w:tcPr>
          <w:p w14:paraId="7B17DB55" w14:textId="77777777" w:rsidR="00FE02EF" w:rsidRPr="00CC19F7" w:rsidRDefault="00881E58" w:rsidP="002E78FA">
            <w:pPr>
              <w:jc w:val="right"/>
            </w:pPr>
            <w:r w:rsidRPr="00CC19F7">
              <w:t>Menn</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5D464363" w14:textId="77777777" w:rsidR="00FE02EF" w:rsidRPr="00CC19F7" w:rsidRDefault="00881E58" w:rsidP="002E78FA">
            <w:pPr>
              <w:jc w:val="right"/>
            </w:pPr>
            <w:r w:rsidRPr="00CC19F7">
              <w:t>Kroner per år, kvinner</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6B942260" w14:textId="77777777" w:rsidR="00FE02EF" w:rsidRPr="00CC19F7" w:rsidRDefault="00881E58" w:rsidP="002E78FA">
            <w:pPr>
              <w:jc w:val="right"/>
            </w:pPr>
            <w:r w:rsidRPr="00CC19F7">
              <w:t>Kroner per år, menn</w:t>
            </w:r>
          </w:p>
        </w:tc>
        <w:tc>
          <w:tcPr>
            <w:tcW w:w="1766" w:type="dxa"/>
            <w:tcBorders>
              <w:top w:val="nil"/>
              <w:left w:val="nil"/>
              <w:bottom w:val="single" w:sz="4" w:space="0" w:color="000000"/>
              <w:right w:val="nil"/>
            </w:tcBorders>
            <w:tcMar>
              <w:top w:w="128" w:type="dxa"/>
              <w:left w:w="43" w:type="dxa"/>
              <w:bottom w:w="43" w:type="dxa"/>
              <w:right w:w="43" w:type="dxa"/>
            </w:tcMar>
            <w:vAlign w:val="bottom"/>
          </w:tcPr>
          <w:p w14:paraId="2CF7AEEB" w14:textId="77777777" w:rsidR="00FE02EF" w:rsidRPr="00CC19F7" w:rsidRDefault="00881E58" w:rsidP="002E78FA">
            <w:pPr>
              <w:jc w:val="right"/>
            </w:pPr>
            <w:r w:rsidRPr="00CC19F7">
              <w:t>Kvinners lønn/</w:t>
            </w:r>
            <w:r w:rsidRPr="00CC19F7">
              <w:br/>
              <w:t>menns lønn</w:t>
            </w:r>
          </w:p>
        </w:tc>
      </w:tr>
      <w:tr w:rsidR="00FE02EF" w:rsidRPr="00CC19F7" w14:paraId="55A95D2F" w14:textId="77777777" w:rsidTr="002E78FA">
        <w:trPr>
          <w:trHeight w:val="380"/>
        </w:trPr>
        <w:tc>
          <w:tcPr>
            <w:tcW w:w="2225" w:type="dxa"/>
            <w:vMerge w:val="restart"/>
            <w:tcBorders>
              <w:top w:val="single" w:sz="4" w:space="0" w:color="000000"/>
              <w:left w:val="nil"/>
              <w:bottom w:val="nil"/>
              <w:right w:val="nil"/>
            </w:tcBorders>
            <w:tcMar>
              <w:top w:w="128" w:type="dxa"/>
              <w:left w:w="43" w:type="dxa"/>
              <w:bottom w:w="43" w:type="dxa"/>
              <w:right w:w="43" w:type="dxa"/>
            </w:tcMar>
          </w:tcPr>
          <w:p w14:paraId="16E557FC" w14:textId="77777777" w:rsidR="00FE02EF" w:rsidRPr="00CC19F7" w:rsidRDefault="00881E58" w:rsidP="002E78FA">
            <w:r w:rsidRPr="00CC19F7">
              <w:t>Totalt</w:t>
            </w:r>
          </w:p>
        </w:tc>
        <w:tc>
          <w:tcPr>
            <w:tcW w:w="851" w:type="dxa"/>
            <w:tcBorders>
              <w:top w:val="single" w:sz="4" w:space="0" w:color="000000"/>
              <w:left w:val="nil"/>
              <w:bottom w:val="nil"/>
              <w:right w:val="nil"/>
            </w:tcBorders>
            <w:tcMar>
              <w:top w:w="128" w:type="dxa"/>
              <w:left w:w="43" w:type="dxa"/>
              <w:bottom w:w="43" w:type="dxa"/>
              <w:right w:w="43" w:type="dxa"/>
            </w:tcMar>
          </w:tcPr>
          <w:p w14:paraId="776D2A72" w14:textId="77777777" w:rsidR="00FE02EF" w:rsidRPr="00CC19F7" w:rsidRDefault="00881E58" w:rsidP="002E78FA">
            <w:r w:rsidRPr="00CC19F7">
              <w:t>2022</w:t>
            </w:r>
          </w:p>
        </w:tc>
        <w:tc>
          <w:tcPr>
            <w:tcW w:w="1134" w:type="dxa"/>
            <w:tcBorders>
              <w:top w:val="single" w:sz="4" w:space="0" w:color="000000"/>
              <w:left w:val="nil"/>
              <w:bottom w:val="nil"/>
              <w:right w:val="nil"/>
            </w:tcBorders>
            <w:tcMar>
              <w:top w:w="128" w:type="dxa"/>
              <w:left w:w="43" w:type="dxa"/>
              <w:bottom w:w="43" w:type="dxa"/>
              <w:right w:w="43" w:type="dxa"/>
            </w:tcMar>
            <w:vAlign w:val="bottom"/>
          </w:tcPr>
          <w:p w14:paraId="320257B1" w14:textId="77777777" w:rsidR="00FE02EF" w:rsidRPr="00CC19F7" w:rsidRDefault="00881E58" w:rsidP="002E78FA">
            <w:pPr>
              <w:jc w:val="right"/>
            </w:pPr>
            <w:r w:rsidRPr="00CC19F7">
              <w:t>81</w:t>
            </w:r>
          </w:p>
        </w:tc>
        <w:tc>
          <w:tcPr>
            <w:tcW w:w="992" w:type="dxa"/>
            <w:tcBorders>
              <w:top w:val="single" w:sz="4" w:space="0" w:color="000000"/>
              <w:left w:val="nil"/>
              <w:bottom w:val="nil"/>
              <w:right w:val="nil"/>
            </w:tcBorders>
            <w:tcMar>
              <w:top w:w="128" w:type="dxa"/>
              <w:left w:w="43" w:type="dxa"/>
              <w:bottom w:w="43" w:type="dxa"/>
              <w:right w:w="43" w:type="dxa"/>
            </w:tcMar>
            <w:vAlign w:val="bottom"/>
          </w:tcPr>
          <w:p w14:paraId="1EEAF9F1" w14:textId="77777777" w:rsidR="00FE02EF" w:rsidRPr="00CC19F7" w:rsidRDefault="00881E58" w:rsidP="002E78FA">
            <w:pPr>
              <w:jc w:val="right"/>
            </w:pPr>
            <w:r w:rsidRPr="00CC19F7">
              <w:t>72</w:t>
            </w:r>
          </w:p>
        </w:tc>
        <w:tc>
          <w:tcPr>
            <w:tcW w:w="1276" w:type="dxa"/>
            <w:tcBorders>
              <w:top w:val="single" w:sz="4" w:space="0" w:color="000000"/>
              <w:left w:val="nil"/>
              <w:bottom w:val="nil"/>
              <w:right w:val="nil"/>
            </w:tcBorders>
            <w:tcMar>
              <w:top w:w="128" w:type="dxa"/>
              <w:left w:w="43" w:type="dxa"/>
              <w:bottom w:w="43" w:type="dxa"/>
              <w:right w:w="43" w:type="dxa"/>
            </w:tcMar>
            <w:vAlign w:val="bottom"/>
          </w:tcPr>
          <w:p w14:paraId="378367D2" w14:textId="77777777" w:rsidR="00FE02EF" w:rsidRPr="00CC19F7" w:rsidRDefault="00881E58" w:rsidP="002E78FA">
            <w:pPr>
              <w:jc w:val="right"/>
            </w:pPr>
            <w:r w:rsidRPr="00CC19F7">
              <w:t>734 082</w:t>
            </w:r>
          </w:p>
        </w:tc>
        <w:tc>
          <w:tcPr>
            <w:tcW w:w="1276" w:type="dxa"/>
            <w:tcBorders>
              <w:top w:val="single" w:sz="4" w:space="0" w:color="000000"/>
              <w:left w:val="nil"/>
              <w:bottom w:val="nil"/>
              <w:right w:val="nil"/>
            </w:tcBorders>
            <w:tcMar>
              <w:top w:w="128" w:type="dxa"/>
              <w:left w:w="43" w:type="dxa"/>
              <w:bottom w:w="43" w:type="dxa"/>
              <w:right w:w="43" w:type="dxa"/>
            </w:tcMar>
            <w:vAlign w:val="bottom"/>
          </w:tcPr>
          <w:p w14:paraId="4732B1E4" w14:textId="77777777" w:rsidR="00FE02EF" w:rsidRPr="00CC19F7" w:rsidRDefault="00881E58" w:rsidP="002E78FA">
            <w:pPr>
              <w:jc w:val="right"/>
            </w:pPr>
            <w:r w:rsidRPr="00CC19F7">
              <w:t>850 785</w:t>
            </w:r>
          </w:p>
        </w:tc>
        <w:tc>
          <w:tcPr>
            <w:tcW w:w="1766" w:type="dxa"/>
            <w:tcBorders>
              <w:top w:val="single" w:sz="4" w:space="0" w:color="000000"/>
              <w:left w:val="nil"/>
              <w:bottom w:val="nil"/>
              <w:right w:val="nil"/>
            </w:tcBorders>
            <w:tcMar>
              <w:top w:w="128" w:type="dxa"/>
              <w:left w:w="43" w:type="dxa"/>
              <w:bottom w:w="43" w:type="dxa"/>
              <w:right w:w="43" w:type="dxa"/>
            </w:tcMar>
            <w:vAlign w:val="bottom"/>
          </w:tcPr>
          <w:p w14:paraId="7EDF400E" w14:textId="77777777" w:rsidR="00FE02EF" w:rsidRPr="00CC19F7" w:rsidRDefault="00881E58" w:rsidP="002E78FA">
            <w:pPr>
              <w:jc w:val="right"/>
            </w:pPr>
            <w:r w:rsidRPr="00CC19F7">
              <w:t>86,28</w:t>
            </w:r>
          </w:p>
        </w:tc>
      </w:tr>
      <w:tr w:rsidR="00FE02EF" w:rsidRPr="00CC19F7" w14:paraId="6F8AB65F" w14:textId="77777777" w:rsidTr="002E78FA">
        <w:trPr>
          <w:trHeight w:val="380"/>
        </w:trPr>
        <w:tc>
          <w:tcPr>
            <w:tcW w:w="2225" w:type="dxa"/>
            <w:vMerge/>
            <w:tcBorders>
              <w:top w:val="single" w:sz="4" w:space="0" w:color="000000"/>
              <w:left w:val="nil"/>
              <w:bottom w:val="nil"/>
              <w:right w:val="nil"/>
            </w:tcBorders>
          </w:tcPr>
          <w:p w14:paraId="5D68B6E7" w14:textId="77777777" w:rsidR="00FE02EF" w:rsidRPr="00CC19F7" w:rsidRDefault="00FE02EF" w:rsidP="002E78FA"/>
        </w:tc>
        <w:tc>
          <w:tcPr>
            <w:tcW w:w="851" w:type="dxa"/>
            <w:tcBorders>
              <w:top w:val="nil"/>
              <w:left w:val="nil"/>
              <w:bottom w:val="nil"/>
              <w:right w:val="nil"/>
            </w:tcBorders>
            <w:tcMar>
              <w:top w:w="128" w:type="dxa"/>
              <w:left w:w="43" w:type="dxa"/>
              <w:bottom w:w="43" w:type="dxa"/>
              <w:right w:w="43" w:type="dxa"/>
            </w:tcMar>
          </w:tcPr>
          <w:p w14:paraId="153DAC2A" w14:textId="77777777" w:rsidR="00FE02EF" w:rsidRPr="00CC19F7" w:rsidRDefault="00881E58" w:rsidP="002E78FA">
            <w:r w:rsidRPr="00CC19F7">
              <w:t>2021</w:t>
            </w:r>
          </w:p>
        </w:tc>
        <w:tc>
          <w:tcPr>
            <w:tcW w:w="1134" w:type="dxa"/>
            <w:tcBorders>
              <w:top w:val="nil"/>
              <w:left w:val="nil"/>
              <w:bottom w:val="nil"/>
              <w:right w:val="nil"/>
            </w:tcBorders>
            <w:tcMar>
              <w:top w:w="128" w:type="dxa"/>
              <w:left w:w="43" w:type="dxa"/>
              <w:bottom w:w="43" w:type="dxa"/>
              <w:right w:w="43" w:type="dxa"/>
            </w:tcMar>
            <w:vAlign w:val="bottom"/>
          </w:tcPr>
          <w:p w14:paraId="7A027E7A" w14:textId="77777777" w:rsidR="00FE02EF" w:rsidRPr="00CC19F7" w:rsidRDefault="00881E58" w:rsidP="002E78FA">
            <w:pPr>
              <w:jc w:val="right"/>
            </w:pPr>
            <w:r w:rsidRPr="00CC19F7">
              <w:t>76</w:t>
            </w:r>
          </w:p>
        </w:tc>
        <w:tc>
          <w:tcPr>
            <w:tcW w:w="992" w:type="dxa"/>
            <w:tcBorders>
              <w:top w:val="nil"/>
              <w:left w:val="nil"/>
              <w:bottom w:val="nil"/>
              <w:right w:val="nil"/>
            </w:tcBorders>
            <w:tcMar>
              <w:top w:w="128" w:type="dxa"/>
              <w:left w:w="43" w:type="dxa"/>
              <w:bottom w:w="43" w:type="dxa"/>
              <w:right w:w="43" w:type="dxa"/>
            </w:tcMar>
            <w:vAlign w:val="bottom"/>
          </w:tcPr>
          <w:p w14:paraId="4CBB0981" w14:textId="77777777" w:rsidR="00FE02EF" w:rsidRPr="00CC19F7" w:rsidRDefault="00881E58" w:rsidP="002E78FA">
            <w:pPr>
              <w:jc w:val="right"/>
            </w:pPr>
            <w:r w:rsidRPr="00CC19F7">
              <w:t>79</w:t>
            </w:r>
          </w:p>
        </w:tc>
        <w:tc>
          <w:tcPr>
            <w:tcW w:w="1276" w:type="dxa"/>
            <w:tcBorders>
              <w:top w:val="nil"/>
              <w:left w:val="nil"/>
              <w:bottom w:val="nil"/>
              <w:right w:val="nil"/>
            </w:tcBorders>
            <w:tcMar>
              <w:top w:w="128" w:type="dxa"/>
              <w:left w:w="43" w:type="dxa"/>
              <w:bottom w:w="43" w:type="dxa"/>
              <w:right w:w="43" w:type="dxa"/>
            </w:tcMar>
            <w:vAlign w:val="bottom"/>
          </w:tcPr>
          <w:p w14:paraId="3E686504" w14:textId="77777777" w:rsidR="00FE02EF" w:rsidRPr="00CC19F7" w:rsidRDefault="00881E58" w:rsidP="002E78FA">
            <w:pPr>
              <w:jc w:val="right"/>
            </w:pPr>
            <w:r w:rsidRPr="00CC19F7">
              <w:t>705 020</w:t>
            </w:r>
          </w:p>
        </w:tc>
        <w:tc>
          <w:tcPr>
            <w:tcW w:w="1276" w:type="dxa"/>
            <w:tcBorders>
              <w:top w:val="nil"/>
              <w:left w:val="nil"/>
              <w:bottom w:val="nil"/>
              <w:right w:val="nil"/>
            </w:tcBorders>
            <w:tcMar>
              <w:top w:w="128" w:type="dxa"/>
              <w:left w:w="43" w:type="dxa"/>
              <w:bottom w:w="43" w:type="dxa"/>
              <w:right w:w="43" w:type="dxa"/>
            </w:tcMar>
            <w:vAlign w:val="bottom"/>
          </w:tcPr>
          <w:p w14:paraId="45F82B69" w14:textId="77777777" w:rsidR="00FE02EF" w:rsidRPr="00CC19F7" w:rsidRDefault="00881E58" w:rsidP="002E78FA">
            <w:pPr>
              <w:jc w:val="right"/>
            </w:pPr>
            <w:r w:rsidRPr="00CC19F7">
              <w:t>830 028</w:t>
            </w:r>
          </w:p>
        </w:tc>
        <w:tc>
          <w:tcPr>
            <w:tcW w:w="1766" w:type="dxa"/>
            <w:tcBorders>
              <w:top w:val="nil"/>
              <w:left w:val="nil"/>
              <w:bottom w:val="nil"/>
              <w:right w:val="nil"/>
            </w:tcBorders>
            <w:tcMar>
              <w:top w:w="128" w:type="dxa"/>
              <w:left w:w="43" w:type="dxa"/>
              <w:bottom w:w="43" w:type="dxa"/>
              <w:right w:w="43" w:type="dxa"/>
            </w:tcMar>
            <w:vAlign w:val="bottom"/>
          </w:tcPr>
          <w:p w14:paraId="5CA636A1" w14:textId="77777777" w:rsidR="00FE02EF" w:rsidRPr="00CC19F7" w:rsidRDefault="00881E58" w:rsidP="002E78FA">
            <w:pPr>
              <w:jc w:val="right"/>
            </w:pPr>
            <w:r w:rsidRPr="00CC19F7">
              <w:t>84,94</w:t>
            </w:r>
          </w:p>
        </w:tc>
      </w:tr>
      <w:tr w:rsidR="00FE02EF" w:rsidRPr="00CC19F7" w14:paraId="4DD4768A" w14:textId="77777777" w:rsidTr="002E78FA">
        <w:trPr>
          <w:trHeight w:val="380"/>
        </w:trPr>
        <w:tc>
          <w:tcPr>
            <w:tcW w:w="2225" w:type="dxa"/>
            <w:vMerge w:val="restart"/>
            <w:tcBorders>
              <w:top w:val="nil"/>
              <w:left w:val="nil"/>
              <w:bottom w:val="nil"/>
              <w:right w:val="nil"/>
            </w:tcBorders>
            <w:tcMar>
              <w:top w:w="128" w:type="dxa"/>
              <w:left w:w="43" w:type="dxa"/>
              <w:bottom w:w="43" w:type="dxa"/>
              <w:right w:w="43" w:type="dxa"/>
            </w:tcMar>
          </w:tcPr>
          <w:p w14:paraId="37834C54" w14:textId="77777777" w:rsidR="00FE02EF" w:rsidRPr="00CC19F7" w:rsidRDefault="00881E58" w:rsidP="002E78FA">
            <w:r w:rsidRPr="00CC19F7">
              <w:t>Departementsråd/</w:t>
            </w:r>
            <w:r w:rsidRPr="00CC19F7">
              <w:br/>
              <w:t>ekspedisjonssjef</w:t>
            </w:r>
          </w:p>
        </w:tc>
        <w:tc>
          <w:tcPr>
            <w:tcW w:w="851" w:type="dxa"/>
            <w:tcBorders>
              <w:top w:val="nil"/>
              <w:left w:val="nil"/>
              <w:bottom w:val="nil"/>
              <w:right w:val="nil"/>
            </w:tcBorders>
            <w:tcMar>
              <w:top w:w="128" w:type="dxa"/>
              <w:left w:w="43" w:type="dxa"/>
              <w:bottom w:w="43" w:type="dxa"/>
              <w:right w:w="43" w:type="dxa"/>
            </w:tcMar>
          </w:tcPr>
          <w:p w14:paraId="4314090F" w14:textId="77777777" w:rsidR="00FE02EF" w:rsidRPr="00CC19F7" w:rsidRDefault="00881E58" w:rsidP="002E78FA">
            <w:r w:rsidRPr="00CC19F7">
              <w:t>2022</w:t>
            </w:r>
          </w:p>
        </w:tc>
        <w:tc>
          <w:tcPr>
            <w:tcW w:w="1134" w:type="dxa"/>
            <w:tcBorders>
              <w:top w:val="nil"/>
              <w:left w:val="nil"/>
              <w:bottom w:val="nil"/>
              <w:right w:val="nil"/>
            </w:tcBorders>
            <w:tcMar>
              <w:top w:w="128" w:type="dxa"/>
              <w:left w:w="43" w:type="dxa"/>
              <w:bottom w:w="43" w:type="dxa"/>
              <w:right w:w="43" w:type="dxa"/>
            </w:tcMar>
            <w:vAlign w:val="bottom"/>
          </w:tcPr>
          <w:p w14:paraId="72AC566B" w14:textId="77777777" w:rsidR="00FE02EF" w:rsidRPr="00CC19F7" w:rsidRDefault="00881E58" w:rsidP="002E78FA">
            <w:pPr>
              <w:jc w:val="right"/>
            </w:pPr>
            <w:r w:rsidRPr="00CC19F7">
              <w:t>2</w:t>
            </w:r>
          </w:p>
        </w:tc>
        <w:tc>
          <w:tcPr>
            <w:tcW w:w="992" w:type="dxa"/>
            <w:tcBorders>
              <w:top w:val="nil"/>
              <w:left w:val="nil"/>
              <w:bottom w:val="nil"/>
              <w:right w:val="nil"/>
            </w:tcBorders>
            <w:tcMar>
              <w:top w:w="128" w:type="dxa"/>
              <w:left w:w="43" w:type="dxa"/>
              <w:bottom w:w="43" w:type="dxa"/>
              <w:right w:w="43" w:type="dxa"/>
            </w:tcMar>
            <w:vAlign w:val="bottom"/>
          </w:tcPr>
          <w:p w14:paraId="587C3C22" w14:textId="77777777" w:rsidR="00FE02EF" w:rsidRPr="00CC19F7" w:rsidRDefault="00881E58" w:rsidP="002E78FA">
            <w:pPr>
              <w:jc w:val="right"/>
            </w:pPr>
            <w:r w:rsidRPr="00CC19F7">
              <w:t>4</w:t>
            </w:r>
          </w:p>
        </w:tc>
        <w:tc>
          <w:tcPr>
            <w:tcW w:w="1276" w:type="dxa"/>
            <w:tcBorders>
              <w:top w:val="nil"/>
              <w:left w:val="nil"/>
              <w:bottom w:val="nil"/>
              <w:right w:val="nil"/>
            </w:tcBorders>
            <w:tcMar>
              <w:top w:w="128" w:type="dxa"/>
              <w:left w:w="43" w:type="dxa"/>
              <w:bottom w:w="43" w:type="dxa"/>
              <w:right w:w="43" w:type="dxa"/>
            </w:tcMar>
            <w:vAlign w:val="bottom"/>
          </w:tcPr>
          <w:p w14:paraId="311BC888" w14:textId="77777777" w:rsidR="00FE02EF" w:rsidRPr="00CC19F7" w:rsidRDefault="00881E58" w:rsidP="002E78FA">
            <w:pPr>
              <w:jc w:val="right"/>
            </w:pPr>
            <w:r w:rsidRPr="00CC19F7">
              <w:t>1 432 122</w:t>
            </w:r>
          </w:p>
        </w:tc>
        <w:tc>
          <w:tcPr>
            <w:tcW w:w="1276" w:type="dxa"/>
            <w:tcBorders>
              <w:top w:val="nil"/>
              <w:left w:val="nil"/>
              <w:bottom w:val="nil"/>
              <w:right w:val="nil"/>
            </w:tcBorders>
            <w:tcMar>
              <w:top w:w="128" w:type="dxa"/>
              <w:left w:w="43" w:type="dxa"/>
              <w:bottom w:w="43" w:type="dxa"/>
              <w:right w:w="43" w:type="dxa"/>
            </w:tcMar>
            <w:vAlign w:val="bottom"/>
          </w:tcPr>
          <w:p w14:paraId="11E8DDA1" w14:textId="77777777" w:rsidR="00FE02EF" w:rsidRPr="00CC19F7" w:rsidRDefault="00881E58" w:rsidP="002E78FA">
            <w:pPr>
              <w:jc w:val="right"/>
            </w:pPr>
            <w:r w:rsidRPr="00CC19F7">
              <w:t>1 511 753</w:t>
            </w:r>
          </w:p>
        </w:tc>
        <w:tc>
          <w:tcPr>
            <w:tcW w:w="1766" w:type="dxa"/>
            <w:tcBorders>
              <w:top w:val="nil"/>
              <w:left w:val="nil"/>
              <w:bottom w:val="nil"/>
              <w:right w:val="nil"/>
            </w:tcBorders>
            <w:tcMar>
              <w:top w:w="128" w:type="dxa"/>
              <w:left w:w="43" w:type="dxa"/>
              <w:bottom w:w="43" w:type="dxa"/>
              <w:right w:w="43" w:type="dxa"/>
            </w:tcMar>
            <w:vAlign w:val="bottom"/>
          </w:tcPr>
          <w:p w14:paraId="2D8B2342" w14:textId="77777777" w:rsidR="00FE02EF" w:rsidRPr="00CC19F7" w:rsidRDefault="00881E58" w:rsidP="002E78FA">
            <w:pPr>
              <w:jc w:val="right"/>
            </w:pPr>
            <w:r w:rsidRPr="00CC19F7">
              <w:t>94,73</w:t>
            </w:r>
          </w:p>
        </w:tc>
      </w:tr>
      <w:tr w:rsidR="00FE02EF" w:rsidRPr="00CC19F7" w14:paraId="45DB1096" w14:textId="77777777" w:rsidTr="002E78FA">
        <w:trPr>
          <w:trHeight w:val="380"/>
        </w:trPr>
        <w:tc>
          <w:tcPr>
            <w:tcW w:w="2225" w:type="dxa"/>
            <w:vMerge/>
            <w:tcBorders>
              <w:top w:val="nil"/>
              <w:left w:val="nil"/>
              <w:bottom w:val="nil"/>
              <w:right w:val="nil"/>
            </w:tcBorders>
          </w:tcPr>
          <w:p w14:paraId="6AD4649F" w14:textId="77777777" w:rsidR="00FE02EF" w:rsidRPr="00CC19F7" w:rsidRDefault="00FE02EF" w:rsidP="002E78FA"/>
        </w:tc>
        <w:tc>
          <w:tcPr>
            <w:tcW w:w="851" w:type="dxa"/>
            <w:tcBorders>
              <w:top w:val="nil"/>
              <w:left w:val="nil"/>
              <w:bottom w:val="nil"/>
              <w:right w:val="nil"/>
            </w:tcBorders>
            <w:tcMar>
              <w:top w:w="128" w:type="dxa"/>
              <w:left w:w="43" w:type="dxa"/>
              <w:bottom w:w="43" w:type="dxa"/>
              <w:right w:w="43" w:type="dxa"/>
            </w:tcMar>
          </w:tcPr>
          <w:p w14:paraId="71251574" w14:textId="77777777" w:rsidR="00FE02EF" w:rsidRPr="00CC19F7" w:rsidRDefault="00881E58" w:rsidP="002E78FA">
            <w:r w:rsidRPr="00CC19F7">
              <w:t>2021</w:t>
            </w:r>
          </w:p>
        </w:tc>
        <w:tc>
          <w:tcPr>
            <w:tcW w:w="1134" w:type="dxa"/>
            <w:tcBorders>
              <w:top w:val="nil"/>
              <w:left w:val="nil"/>
              <w:bottom w:val="nil"/>
              <w:right w:val="nil"/>
            </w:tcBorders>
            <w:tcMar>
              <w:top w:w="128" w:type="dxa"/>
              <w:left w:w="43" w:type="dxa"/>
              <w:bottom w:w="43" w:type="dxa"/>
              <w:right w:w="43" w:type="dxa"/>
            </w:tcMar>
            <w:vAlign w:val="bottom"/>
          </w:tcPr>
          <w:p w14:paraId="36B50059" w14:textId="77777777" w:rsidR="00FE02EF" w:rsidRPr="00CC19F7" w:rsidRDefault="00881E58" w:rsidP="002E78FA">
            <w:pPr>
              <w:jc w:val="right"/>
            </w:pPr>
            <w:r w:rsidRPr="00CC19F7">
              <w:t>1</w:t>
            </w:r>
          </w:p>
        </w:tc>
        <w:tc>
          <w:tcPr>
            <w:tcW w:w="992" w:type="dxa"/>
            <w:tcBorders>
              <w:top w:val="nil"/>
              <w:left w:val="nil"/>
              <w:bottom w:val="nil"/>
              <w:right w:val="nil"/>
            </w:tcBorders>
            <w:tcMar>
              <w:top w:w="128" w:type="dxa"/>
              <w:left w:w="43" w:type="dxa"/>
              <w:bottom w:w="43" w:type="dxa"/>
              <w:right w:w="43" w:type="dxa"/>
            </w:tcMar>
            <w:vAlign w:val="bottom"/>
          </w:tcPr>
          <w:p w14:paraId="58DB1DE3" w14:textId="77777777" w:rsidR="00FE02EF" w:rsidRPr="00CC19F7" w:rsidRDefault="00881E58" w:rsidP="002E78FA">
            <w:pPr>
              <w:jc w:val="right"/>
            </w:pPr>
            <w:r w:rsidRPr="00CC19F7">
              <w:t>4</w:t>
            </w:r>
          </w:p>
        </w:tc>
        <w:tc>
          <w:tcPr>
            <w:tcW w:w="1276" w:type="dxa"/>
            <w:tcBorders>
              <w:top w:val="nil"/>
              <w:left w:val="nil"/>
              <w:bottom w:val="nil"/>
              <w:right w:val="nil"/>
            </w:tcBorders>
            <w:tcMar>
              <w:top w:w="128" w:type="dxa"/>
              <w:left w:w="43" w:type="dxa"/>
              <w:bottom w:w="43" w:type="dxa"/>
              <w:right w:w="43" w:type="dxa"/>
            </w:tcMar>
            <w:vAlign w:val="bottom"/>
          </w:tcPr>
          <w:p w14:paraId="69167936" w14:textId="77777777" w:rsidR="00FE02EF" w:rsidRPr="00CC19F7" w:rsidRDefault="00881E58" w:rsidP="002E78FA">
            <w:pPr>
              <w:jc w:val="right"/>
            </w:pPr>
            <w:r w:rsidRPr="00CC19F7">
              <w:t>-</w:t>
            </w:r>
          </w:p>
        </w:tc>
        <w:tc>
          <w:tcPr>
            <w:tcW w:w="1276" w:type="dxa"/>
            <w:tcBorders>
              <w:top w:val="nil"/>
              <w:left w:val="nil"/>
              <w:bottom w:val="nil"/>
              <w:right w:val="nil"/>
            </w:tcBorders>
            <w:tcMar>
              <w:top w:w="128" w:type="dxa"/>
              <w:left w:w="43" w:type="dxa"/>
              <w:bottom w:w="43" w:type="dxa"/>
              <w:right w:w="43" w:type="dxa"/>
            </w:tcMar>
            <w:vAlign w:val="bottom"/>
          </w:tcPr>
          <w:p w14:paraId="1E34EE1A" w14:textId="77777777" w:rsidR="00FE02EF" w:rsidRPr="00CC19F7" w:rsidRDefault="00881E58" w:rsidP="002E78FA">
            <w:pPr>
              <w:jc w:val="right"/>
            </w:pPr>
            <w:r w:rsidRPr="00CC19F7">
              <w:t>1 519 000</w:t>
            </w:r>
          </w:p>
        </w:tc>
        <w:tc>
          <w:tcPr>
            <w:tcW w:w="1766" w:type="dxa"/>
            <w:tcBorders>
              <w:top w:val="nil"/>
              <w:left w:val="nil"/>
              <w:bottom w:val="nil"/>
              <w:right w:val="nil"/>
            </w:tcBorders>
            <w:tcMar>
              <w:top w:w="128" w:type="dxa"/>
              <w:left w:w="43" w:type="dxa"/>
              <w:bottom w:w="43" w:type="dxa"/>
              <w:right w:w="43" w:type="dxa"/>
            </w:tcMar>
            <w:vAlign w:val="bottom"/>
          </w:tcPr>
          <w:p w14:paraId="6F9F1AFB" w14:textId="77777777" w:rsidR="00FE02EF" w:rsidRPr="00CC19F7" w:rsidRDefault="00881E58" w:rsidP="002E78FA">
            <w:pPr>
              <w:jc w:val="right"/>
            </w:pPr>
            <w:r w:rsidRPr="00CC19F7">
              <w:t>-</w:t>
            </w:r>
          </w:p>
        </w:tc>
      </w:tr>
      <w:tr w:rsidR="00FE02EF" w:rsidRPr="00CC19F7" w14:paraId="0F6D2089" w14:textId="77777777" w:rsidTr="002E78FA">
        <w:trPr>
          <w:trHeight w:val="380"/>
        </w:trPr>
        <w:tc>
          <w:tcPr>
            <w:tcW w:w="2225" w:type="dxa"/>
            <w:vMerge w:val="restart"/>
            <w:tcBorders>
              <w:top w:val="nil"/>
              <w:left w:val="nil"/>
              <w:bottom w:val="nil"/>
              <w:right w:val="nil"/>
            </w:tcBorders>
            <w:tcMar>
              <w:top w:w="128" w:type="dxa"/>
              <w:left w:w="43" w:type="dxa"/>
              <w:bottom w:w="43" w:type="dxa"/>
              <w:right w:w="43" w:type="dxa"/>
            </w:tcMar>
          </w:tcPr>
          <w:p w14:paraId="001818A6" w14:textId="77777777" w:rsidR="00FE02EF" w:rsidRPr="00CC19F7" w:rsidRDefault="00881E58" w:rsidP="002E78FA">
            <w:r w:rsidRPr="00CC19F7">
              <w:t>Avdelingsdirektør</w:t>
            </w:r>
          </w:p>
        </w:tc>
        <w:tc>
          <w:tcPr>
            <w:tcW w:w="851" w:type="dxa"/>
            <w:tcBorders>
              <w:top w:val="nil"/>
              <w:left w:val="nil"/>
              <w:bottom w:val="nil"/>
              <w:right w:val="nil"/>
            </w:tcBorders>
            <w:tcMar>
              <w:top w:w="128" w:type="dxa"/>
              <w:left w:w="43" w:type="dxa"/>
              <w:bottom w:w="43" w:type="dxa"/>
              <w:right w:w="43" w:type="dxa"/>
            </w:tcMar>
          </w:tcPr>
          <w:p w14:paraId="377636BA" w14:textId="77777777" w:rsidR="00FE02EF" w:rsidRPr="00CC19F7" w:rsidRDefault="00881E58" w:rsidP="002E78FA">
            <w:r w:rsidRPr="00CC19F7">
              <w:t>2022</w:t>
            </w:r>
          </w:p>
        </w:tc>
        <w:tc>
          <w:tcPr>
            <w:tcW w:w="1134" w:type="dxa"/>
            <w:tcBorders>
              <w:top w:val="nil"/>
              <w:left w:val="nil"/>
              <w:bottom w:val="nil"/>
              <w:right w:val="nil"/>
            </w:tcBorders>
            <w:tcMar>
              <w:top w:w="128" w:type="dxa"/>
              <w:left w:w="43" w:type="dxa"/>
              <w:bottom w:w="43" w:type="dxa"/>
              <w:right w:w="43" w:type="dxa"/>
            </w:tcMar>
            <w:vAlign w:val="bottom"/>
          </w:tcPr>
          <w:p w14:paraId="4D1E4DAB" w14:textId="77777777" w:rsidR="00FE02EF" w:rsidRPr="00CC19F7" w:rsidRDefault="00881E58" w:rsidP="002E78FA">
            <w:pPr>
              <w:jc w:val="right"/>
            </w:pPr>
            <w:r w:rsidRPr="00CC19F7">
              <w:t>7</w:t>
            </w:r>
          </w:p>
        </w:tc>
        <w:tc>
          <w:tcPr>
            <w:tcW w:w="992" w:type="dxa"/>
            <w:tcBorders>
              <w:top w:val="nil"/>
              <w:left w:val="nil"/>
              <w:bottom w:val="nil"/>
              <w:right w:val="nil"/>
            </w:tcBorders>
            <w:tcMar>
              <w:top w:w="128" w:type="dxa"/>
              <w:left w:w="43" w:type="dxa"/>
              <w:bottom w:w="43" w:type="dxa"/>
              <w:right w:w="43" w:type="dxa"/>
            </w:tcMar>
            <w:vAlign w:val="bottom"/>
          </w:tcPr>
          <w:p w14:paraId="1E968745" w14:textId="77777777" w:rsidR="00FE02EF" w:rsidRPr="00CC19F7" w:rsidRDefault="00881E58" w:rsidP="002E78FA">
            <w:pPr>
              <w:jc w:val="right"/>
            </w:pPr>
            <w:r w:rsidRPr="00CC19F7">
              <w:t>15</w:t>
            </w:r>
          </w:p>
        </w:tc>
        <w:tc>
          <w:tcPr>
            <w:tcW w:w="1276" w:type="dxa"/>
            <w:tcBorders>
              <w:top w:val="nil"/>
              <w:left w:val="nil"/>
              <w:bottom w:val="nil"/>
              <w:right w:val="nil"/>
            </w:tcBorders>
            <w:tcMar>
              <w:top w:w="128" w:type="dxa"/>
              <w:left w:w="43" w:type="dxa"/>
              <w:bottom w:w="43" w:type="dxa"/>
              <w:right w:w="43" w:type="dxa"/>
            </w:tcMar>
            <w:vAlign w:val="bottom"/>
          </w:tcPr>
          <w:p w14:paraId="0FD015FF" w14:textId="77777777" w:rsidR="00FE02EF" w:rsidRPr="00CC19F7" w:rsidRDefault="00881E58" w:rsidP="002E78FA">
            <w:pPr>
              <w:jc w:val="right"/>
            </w:pPr>
            <w:r w:rsidRPr="00CC19F7">
              <w:t>1 091 291</w:t>
            </w:r>
          </w:p>
        </w:tc>
        <w:tc>
          <w:tcPr>
            <w:tcW w:w="1276" w:type="dxa"/>
            <w:tcBorders>
              <w:top w:val="nil"/>
              <w:left w:val="nil"/>
              <w:bottom w:val="nil"/>
              <w:right w:val="nil"/>
            </w:tcBorders>
            <w:tcMar>
              <w:top w:w="128" w:type="dxa"/>
              <w:left w:w="43" w:type="dxa"/>
              <w:bottom w:w="43" w:type="dxa"/>
              <w:right w:w="43" w:type="dxa"/>
            </w:tcMar>
            <w:vAlign w:val="bottom"/>
          </w:tcPr>
          <w:p w14:paraId="3CE88664" w14:textId="77777777" w:rsidR="00FE02EF" w:rsidRPr="00CC19F7" w:rsidRDefault="00881E58" w:rsidP="002E78FA">
            <w:pPr>
              <w:jc w:val="right"/>
            </w:pPr>
            <w:r w:rsidRPr="00CC19F7">
              <w:t>1 104 552</w:t>
            </w:r>
          </w:p>
        </w:tc>
        <w:tc>
          <w:tcPr>
            <w:tcW w:w="1766" w:type="dxa"/>
            <w:tcBorders>
              <w:top w:val="nil"/>
              <w:left w:val="nil"/>
              <w:bottom w:val="nil"/>
              <w:right w:val="nil"/>
            </w:tcBorders>
            <w:tcMar>
              <w:top w:w="128" w:type="dxa"/>
              <w:left w:w="43" w:type="dxa"/>
              <w:bottom w:w="43" w:type="dxa"/>
              <w:right w:w="43" w:type="dxa"/>
            </w:tcMar>
            <w:vAlign w:val="bottom"/>
          </w:tcPr>
          <w:p w14:paraId="3F78915B" w14:textId="77777777" w:rsidR="00FE02EF" w:rsidRPr="00CC19F7" w:rsidRDefault="00881E58" w:rsidP="002E78FA">
            <w:pPr>
              <w:jc w:val="right"/>
            </w:pPr>
            <w:r w:rsidRPr="00CC19F7">
              <w:t>98,80</w:t>
            </w:r>
          </w:p>
        </w:tc>
      </w:tr>
      <w:tr w:rsidR="00FE02EF" w:rsidRPr="00CC19F7" w14:paraId="4946D0B7" w14:textId="77777777" w:rsidTr="002E78FA">
        <w:trPr>
          <w:trHeight w:val="380"/>
        </w:trPr>
        <w:tc>
          <w:tcPr>
            <w:tcW w:w="2225" w:type="dxa"/>
            <w:vMerge/>
            <w:tcBorders>
              <w:top w:val="nil"/>
              <w:left w:val="nil"/>
              <w:bottom w:val="nil"/>
              <w:right w:val="nil"/>
            </w:tcBorders>
          </w:tcPr>
          <w:p w14:paraId="6885DE64" w14:textId="77777777" w:rsidR="00FE02EF" w:rsidRPr="00CC19F7" w:rsidRDefault="00FE02EF" w:rsidP="002E78FA"/>
        </w:tc>
        <w:tc>
          <w:tcPr>
            <w:tcW w:w="851" w:type="dxa"/>
            <w:tcBorders>
              <w:top w:val="nil"/>
              <w:left w:val="nil"/>
              <w:bottom w:val="nil"/>
              <w:right w:val="nil"/>
            </w:tcBorders>
            <w:tcMar>
              <w:top w:w="128" w:type="dxa"/>
              <w:left w:w="43" w:type="dxa"/>
              <w:bottom w:w="43" w:type="dxa"/>
              <w:right w:w="43" w:type="dxa"/>
            </w:tcMar>
          </w:tcPr>
          <w:p w14:paraId="72B18C20" w14:textId="77777777" w:rsidR="00FE02EF" w:rsidRPr="00CC19F7" w:rsidRDefault="00881E58" w:rsidP="002E78FA">
            <w:r w:rsidRPr="00CC19F7">
              <w:t>2021</w:t>
            </w:r>
          </w:p>
        </w:tc>
        <w:tc>
          <w:tcPr>
            <w:tcW w:w="1134" w:type="dxa"/>
            <w:tcBorders>
              <w:top w:val="nil"/>
              <w:left w:val="nil"/>
              <w:bottom w:val="nil"/>
              <w:right w:val="nil"/>
            </w:tcBorders>
            <w:tcMar>
              <w:top w:w="128" w:type="dxa"/>
              <w:left w:w="43" w:type="dxa"/>
              <w:bottom w:w="43" w:type="dxa"/>
              <w:right w:w="43" w:type="dxa"/>
            </w:tcMar>
            <w:vAlign w:val="bottom"/>
          </w:tcPr>
          <w:p w14:paraId="205993C0" w14:textId="77777777" w:rsidR="00FE02EF" w:rsidRPr="00CC19F7" w:rsidRDefault="00881E58" w:rsidP="002E78FA">
            <w:pPr>
              <w:jc w:val="right"/>
            </w:pPr>
            <w:r w:rsidRPr="00CC19F7">
              <w:t>6</w:t>
            </w:r>
          </w:p>
        </w:tc>
        <w:tc>
          <w:tcPr>
            <w:tcW w:w="992" w:type="dxa"/>
            <w:tcBorders>
              <w:top w:val="nil"/>
              <w:left w:val="nil"/>
              <w:bottom w:val="nil"/>
              <w:right w:val="nil"/>
            </w:tcBorders>
            <w:tcMar>
              <w:top w:w="128" w:type="dxa"/>
              <w:left w:w="43" w:type="dxa"/>
              <w:bottom w:w="43" w:type="dxa"/>
              <w:right w:w="43" w:type="dxa"/>
            </w:tcMar>
            <w:vAlign w:val="bottom"/>
          </w:tcPr>
          <w:p w14:paraId="2785E46C" w14:textId="77777777" w:rsidR="00FE02EF" w:rsidRPr="00CC19F7" w:rsidRDefault="00881E58" w:rsidP="002E78FA">
            <w:pPr>
              <w:jc w:val="right"/>
            </w:pPr>
            <w:r w:rsidRPr="00CC19F7">
              <w:t>16</w:t>
            </w:r>
          </w:p>
        </w:tc>
        <w:tc>
          <w:tcPr>
            <w:tcW w:w="1276" w:type="dxa"/>
            <w:tcBorders>
              <w:top w:val="nil"/>
              <w:left w:val="nil"/>
              <w:bottom w:val="nil"/>
              <w:right w:val="nil"/>
            </w:tcBorders>
            <w:tcMar>
              <w:top w:w="128" w:type="dxa"/>
              <w:left w:w="43" w:type="dxa"/>
              <w:bottom w:w="43" w:type="dxa"/>
              <w:right w:w="43" w:type="dxa"/>
            </w:tcMar>
            <w:vAlign w:val="bottom"/>
          </w:tcPr>
          <w:p w14:paraId="5698DB80" w14:textId="77777777" w:rsidR="00FE02EF" w:rsidRPr="00CC19F7" w:rsidRDefault="00881E58" w:rsidP="002E78FA">
            <w:pPr>
              <w:jc w:val="right"/>
            </w:pPr>
            <w:r w:rsidRPr="00CC19F7">
              <w:t>1 091 420</w:t>
            </w:r>
          </w:p>
        </w:tc>
        <w:tc>
          <w:tcPr>
            <w:tcW w:w="1276" w:type="dxa"/>
            <w:tcBorders>
              <w:top w:val="nil"/>
              <w:left w:val="nil"/>
              <w:bottom w:val="nil"/>
              <w:right w:val="nil"/>
            </w:tcBorders>
            <w:tcMar>
              <w:top w:w="128" w:type="dxa"/>
              <w:left w:w="43" w:type="dxa"/>
              <w:bottom w:w="43" w:type="dxa"/>
              <w:right w:w="43" w:type="dxa"/>
            </w:tcMar>
            <w:vAlign w:val="bottom"/>
          </w:tcPr>
          <w:p w14:paraId="4129964A" w14:textId="77777777" w:rsidR="00FE02EF" w:rsidRPr="00CC19F7" w:rsidRDefault="00881E58" w:rsidP="002E78FA">
            <w:pPr>
              <w:jc w:val="right"/>
            </w:pPr>
            <w:r w:rsidRPr="00CC19F7">
              <w:t>1 087 296</w:t>
            </w:r>
          </w:p>
        </w:tc>
        <w:tc>
          <w:tcPr>
            <w:tcW w:w="1766" w:type="dxa"/>
            <w:tcBorders>
              <w:top w:val="nil"/>
              <w:left w:val="nil"/>
              <w:bottom w:val="nil"/>
              <w:right w:val="nil"/>
            </w:tcBorders>
            <w:tcMar>
              <w:top w:w="128" w:type="dxa"/>
              <w:left w:w="43" w:type="dxa"/>
              <w:bottom w:w="43" w:type="dxa"/>
              <w:right w:w="43" w:type="dxa"/>
            </w:tcMar>
            <w:vAlign w:val="bottom"/>
          </w:tcPr>
          <w:p w14:paraId="73777816" w14:textId="77777777" w:rsidR="00FE02EF" w:rsidRPr="00CC19F7" w:rsidRDefault="00881E58" w:rsidP="002E78FA">
            <w:pPr>
              <w:jc w:val="right"/>
            </w:pPr>
            <w:r w:rsidRPr="00CC19F7">
              <w:t>100,38</w:t>
            </w:r>
          </w:p>
        </w:tc>
      </w:tr>
      <w:tr w:rsidR="00FE02EF" w:rsidRPr="00CC19F7" w14:paraId="4AE398BA" w14:textId="77777777" w:rsidTr="002E78FA">
        <w:trPr>
          <w:trHeight w:val="380"/>
        </w:trPr>
        <w:tc>
          <w:tcPr>
            <w:tcW w:w="2225" w:type="dxa"/>
            <w:vMerge w:val="restart"/>
            <w:tcBorders>
              <w:top w:val="nil"/>
              <w:left w:val="nil"/>
              <w:bottom w:val="nil"/>
              <w:right w:val="nil"/>
            </w:tcBorders>
            <w:tcMar>
              <w:top w:w="128" w:type="dxa"/>
              <w:left w:w="43" w:type="dxa"/>
              <w:bottom w:w="43" w:type="dxa"/>
              <w:right w:w="43" w:type="dxa"/>
            </w:tcMar>
          </w:tcPr>
          <w:p w14:paraId="3CC1C589" w14:textId="77777777" w:rsidR="00FE02EF" w:rsidRPr="00CC19F7" w:rsidRDefault="00881E58" w:rsidP="002E78FA">
            <w:r w:rsidRPr="00CC19F7">
              <w:t>Fagdirektør</w:t>
            </w:r>
          </w:p>
        </w:tc>
        <w:tc>
          <w:tcPr>
            <w:tcW w:w="851" w:type="dxa"/>
            <w:tcBorders>
              <w:top w:val="nil"/>
              <w:left w:val="nil"/>
              <w:bottom w:val="nil"/>
              <w:right w:val="nil"/>
            </w:tcBorders>
            <w:tcMar>
              <w:top w:w="128" w:type="dxa"/>
              <w:left w:w="43" w:type="dxa"/>
              <w:bottom w:w="43" w:type="dxa"/>
              <w:right w:w="43" w:type="dxa"/>
            </w:tcMar>
          </w:tcPr>
          <w:p w14:paraId="70C3F66D" w14:textId="77777777" w:rsidR="00FE02EF" w:rsidRPr="00CC19F7" w:rsidRDefault="00881E58" w:rsidP="002E78FA">
            <w:r w:rsidRPr="00CC19F7">
              <w:t>2022</w:t>
            </w:r>
          </w:p>
        </w:tc>
        <w:tc>
          <w:tcPr>
            <w:tcW w:w="1134" w:type="dxa"/>
            <w:tcBorders>
              <w:top w:val="nil"/>
              <w:left w:val="nil"/>
              <w:bottom w:val="nil"/>
              <w:right w:val="nil"/>
            </w:tcBorders>
            <w:tcMar>
              <w:top w:w="128" w:type="dxa"/>
              <w:left w:w="43" w:type="dxa"/>
              <w:bottom w:w="43" w:type="dxa"/>
              <w:right w:w="43" w:type="dxa"/>
            </w:tcMar>
            <w:vAlign w:val="bottom"/>
          </w:tcPr>
          <w:p w14:paraId="28D1B5C0" w14:textId="77777777" w:rsidR="00FE02EF" w:rsidRPr="00CC19F7" w:rsidRDefault="00881E58" w:rsidP="002E78FA">
            <w:pPr>
              <w:jc w:val="right"/>
            </w:pPr>
            <w:r w:rsidRPr="00CC19F7">
              <w:t>-</w:t>
            </w:r>
          </w:p>
        </w:tc>
        <w:tc>
          <w:tcPr>
            <w:tcW w:w="992" w:type="dxa"/>
            <w:tcBorders>
              <w:top w:val="nil"/>
              <w:left w:val="nil"/>
              <w:bottom w:val="nil"/>
              <w:right w:val="nil"/>
            </w:tcBorders>
            <w:tcMar>
              <w:top w:w="128" w:type="dxa"/>
              <w:left w:w="43" w:type="dxa"/>
              <w:bottom w:w="43" w:type="dxa"/>
              <w:right w:w="43" w:type="dxa"/>
            </w:tcMar>
            <w:vAlign w:val="bottom"/>
          </w:tcPr>
          <w:p w14:paraId="10364DDC" w14:textId="77777777" w:rsidR="00FE02EF" w:rsidRPr="00CC19F7" w:rsidRDefault="00881E58" w:rsidP="002E78FA">
            <w:pPr>
              <w:jc w:val="right"/>
            </w:pPr>
            <w:r w:rsidRPr="00CC19F7">
              <w:t>2</w:t>
            </w:r>
          </w:p>
        </w:tc>
        <w:tc>
          <w:tcPr>
            <w:tcW w:w="1276" w:type="dxa"/>
            <w:tcBorders>
              <w:top w:val="nil"/>
              <w:left w:val="nil"/>
              <w:bottom w:val="nil"/>
              <w:right w:val="nil"/>
            </w:tcBorders>
            <w:tcMar>
              <w:top w:w="128" w:type="dxa"/>
              <w:left w:w="43" w:type="dxa"/>
              <w:bottom w:w="43" w:type="dxa"/>
              <w:right w:w="43" w:type="dxa"/>
            </w:tcMar>
            <w:vAlign w:val="bottom"/>
          </w:tcPr>
          <w:p w14:paraId="0E55B2DD" w14:textId="77777777" w:rsidR="00FE02EF" w:rsidRPr="00CC19F7" w:rsidRDefault="00881E58" w:rsidP="002E78FA">
            <w:pPr>
              <w:jc w:val="right"/>
            </w:pPr>
            <w:r w:rsidRPr="00CC19F7">
              <w:t>-</w:t>
            </w:r>
          </w:p>
        </w:tc>
        <w:tc>
          <w:tcPr>
            <w:tcW w:w="1276" w:type="dxa"/>
            <w:tcBorders>
              <w:top w:val="nil"/>
              <w:left w:val="nil"/>
              <w:bottom w:val="nil"/>
              <w:right w:val="nil"/>
            </w:tcBorders>
            <w:tcMar>
              <w:top w:w="128" w:type="dxa"/>
              <w:left w:w="43" w:type="dxa"/>
              <w:bottom w:w="43" w:type="dxa"/>
              <w:right w:w="43" w:type="dxa"/>
            </w:tcMar>
            <w:vAlign w:val="bottom"/>
          </w:tcPr>
          <w:p w14:paraId="08BB75C5" w14:textId="77777777" w:rsidR="00FE02EF" w:rsidRPr="00CC19F7" w:rsidRDefault="00881E58" w:rsidP="002E78FA">
            <w:pPr>
              <w:jc w:val="right"/>
            </w:pPr>
            <w:r w:rsidRPr="00CC19F7">
              <w:t>987 986</w:t>
            </w:r>
          </w:p>
        </w:tc>
        <w:tc>
          <w:tcPr>
            <w:tcW w:w="1766" w:type="dxa"/>
            <w:tcBorders>
              <w:top w:val="nil"/>
              <w:left w:val="nil"/>
              <w:bottom w:val="nil"/>
              <w:right w:val="nil"/>
            </w:tcBorders>
            <w:tcMar>
              <w:top w:w="128" w:type="dxa"/>
              <w:left w:w="43" w:type="dxa"/>
              <w:bottom w:w="43" w:type="dxa"/>
              <w:right w:w="43" w:type="dxa"/>
            </w:tcMar>
            <w:vAlign w:val="bottom"/>
          </w:tcPr>
          <w:p w14:paraId="1AA1C3DC" w14:textId="77777777" w:rsidR="00FE02EF" w:rsidRPr="00CC19F7" w:rsidRDefault="00881E58" w:rsidP="002E78FA">
            <w:pPr>
              <w:jc w:val="right"/>
            </w:pPr>
            <w:r w:rsidRPr="00CC19F7">
              <w:t>-</w:t>
            </w:r>
          </w:p>
        </w:tc>
      </w:tr>
      <w:tr w:rsidR="00FE02EF" w:rsidRPr="00CC19F7" w14:paraId="08BF5654" w14:textId="77777777" w:rsidTr="002E78FA">
        <w:trPr>
          <w:trHeight w:val="380"/>
        </w:trPr>
        <w:tc>
          <w:tcPr>
            <w:tcW w:w="2225" w:type="dxa"/>
            <w:vMerge/>
            <w:tcBorders>
              <w:top w:val="nil"/>
              <w:left w:val="nil"/>
              <w:bottom w:val="nil"/>
              <w:right w:val="nil"/>
            </w:tcBorders>
          </w:tcPr>
          <w:p w14:paraId="1866EE31" w14:textId="77777777" w:rsidR="00FE02EF" w:rsidRPr="00CC19F7" w:rsidRDefault="00FE02EF" w:rsidP="002E78FA"/>
        </w:tc>
        <w:tc>
          <w:tcPr>
            <w:tcW w:w="851" w:type="dxa"/>
            <w:tcBorders>
              <w:top w:val="nil"/>
              <w:left w:val="nil"/>
              <w:bottom w:val="nil"/>
              <w:right w:val="nil"/>
            </w:tcBorders>
            <w:tcMar>
              <w:top w:w="128" w:type="dxa"/>
              <w:left w:w="43" w:type="dxa"/>
              <w:bottom w:w="43" w:type="dxa"/>
              <w:right w:w="43" w:type="dxa"/>
            </w:tcMar>
          </w:tcPr>
          <w:p w14:paraId="3FCC8061" w14:textId="77777777" w:rsidR="00FE02EF" w:rsidRPr="00CC19F7" w:rsidRDefault="00881E58" w:rsidP="002E78FA">
            <w:r w:rsidRPr="00CC19F7">
              <w:t>2021</w:t>
            </w:r>
          </w:p>
        </w:tc>
        <w:tc>
          <w:tcPr>
            <w:tcW w:w="1134" w:type="dxa"/>
            <w:tcBorders>
              <w:top w:val="nil"/>
              <w:left w:val="nil"/>
              <w:bottom w:val="nil"/>
              <w:right w:val="nil"/>
            </w:tcBorders>
            <w:tcMar>
              <w:top w:w="128" w:type="dxa"/>
              <w:left w:w="43" w:type="dxa"/>
              <w:bottom w:w="43" w:type="dxa"/>
              <w:right w:w="43" w:type="dxa"/>
            </w:tcMar>
            <w:vAlign w:val="bottom"/>
          </w:tcPr>
          <w:p w14:paraId="2365D405" w14:textId="77777777" w:rsidR="00FE02EF" w:rsidRPr="00CC19F7" w:rsidRDefault="00881E58" w:rsidP="002E78FA">
            <w:pPr>
              <w:jc w:val="right"/>
            </w:pPr>
            <w:r w:rsidRPr="00CC19F7">
              <w:t>2</w:t>
            </w:r>
          </w:p>
        </w:tc>
        <w:tc>
          <w:tcPr>
            <w:tcW w:w="992" w:type="dxa"/>
            <w:tcBorders>
              <w:top w:val="nil"/>
              <w:left w:val="nil"/>
              <w:bottom w:val="nil"/>
              <w:right w:val="nil"/>
            </w:tcBorders>
            <w:tcMar>
              <w:top w:w="128" w:type="dxa"/>
              <w:left w:w="43" w:type="dxa"/>
              <w:bottom w:w="43" w:type="dxa"/>
              <w:right w:w="43" w:type="dxa"/>
            </w:tcMar>
            <w:vAlign w:val="bottom"/>
          </w:tcPr>
          <w:p w14:paraId="148381EF" w14:textId="77777777" w:rsidR="00FE02EF" w:rsidRPr="00CC19F7" w:rsidRDefault="00881E58" w:rsidP="002E78FA">
            <w:pPr>
              <w:jc w:val="right"/>
            </w:pPr>
            <w:r w:rsidRPr="00CC19F7">
              <w:t>2</w:t>
            </w:r>
          </w:p>
        </w:tc>
        <w:tc>
          <w:tcPr>
            <w:tcW w:w="1276" w:type="dxa"/>
            <w:tcBorders>
              <w:top w:val="nil"/>
              <w:left w:val="nil"/>
              <w:bottom w:val="nil"/>
              <w:right w:val="nil"/>
            </w:tcBorders>
            <w:tcMar>
              <w:top w:w="128" w:type="dxa"/>
              <w:left w:w="43" w:type="dxa"/>
              <w:bottom w:w="43" w:type="dxa"/>
              <w:right w:w="43" w:type="dxa"/>
            </w:tcMar>
            <w:vAlign w:val="bottom"/>
          </w:tcPr>
          <w:p w14:paraId="141C778F" w14:textId="77777777" w:rsidR="00FE02EF" w:rsidRPr="00CC19F7" w:rsidRDefault="00881E58" w:rsidP="002E78FA">
            <w:pPr>
              <w:jc w:val="right"/>
            </w:pPr>
            <w:r w:rsidRPr="00CC19F7">
              <w:t>802 784</w:t>
            </w:r>
          </w:p>
        </w:tc>
        <w:tc>
          <w:tcPr>
            <w:tcW w:w="1276" w:type="dxa"/>
            <w:tcBorders>
              <w:top w:val="nil"/>
              <w:left w:val="nil"/>
              <w:bottom w:val="nil"/>
              <w:right w:val="nil"/>
            </w:tcBorders>
            <w:tcMar>
              <w:top w:w="128" w:type="dxa"/>
              <w:left w:w="43" w:type="dxa"/>
              <w:bottom w:w="43" w:type="dxa"/>
              <w:right w:w="43" w:type="dxa"/>
            </w:tcMar>
            <w:vAlign w:val="bottom"/>
          </w:tcPr>
          <w:p w14:paraId="2323523D" w14:textId="77777777" w:rsidR="00FE02EF" w:rsidRPr="00CC19F7" w:rsidRDefault="00881E58" w:rsidP="002E78FA">
            <w:pPr>
              <w:jc w:val="right"/>
            </w:pPr>
            <w:r w:rsidRPr="00CC19F7">
              <w:t>944 307</w:t>
            </w:r>
          </w:p>
        </w:tc>
        <w:tc>
          <w:tcPr>
            <w:tcW w:w="1766" w:type="dxa"/>
            <w:tcBorders>
              <w:top w:val="nil"/>
              <w:left w:val="nil"/>
              <w:bottom w:val="nil"/>
              <w:right w:val="nil"/>
            </w:tcBorders>
            <w:tcMar>
              <w:top w:w="128" w:type="dxa"/>
              <w:left w:w="43" w:type="dxa"/>
              <w:bottom w:w="43" w:type="dxa"/>
              <w:right w:w="43" w:type="dxa"/>
            </w:tcMar>
            <w:vAlign w:val="bottom"/>
          </w:tcPr>
          <w:p w14:paraId="1D16A4DC" w14:textId="77777777" w:rsidR="00FE02EF" w:rsidRPr="00CC19F7" w:rsidRDefault="00881E58" w:rsidP="002E78FA">
            <w:pPr>
              <w:jc w:val="right"/>
            </w:pPr>
            <w:r w:rsidRPr="00CC19F7">
              <w:t>85,01</w:t>
            </w:r>
          </w:p>
        </w:tc>
      </w:tr>
      <w:tr w:rsidR="00FE02EF" w:rsidRPr="00CC19F7" w14:paraId="47EC50BB" w14:textId="77777777" w:rsidTr="002E78FA">
        <w:trPr>
          <w:trHeight w:val="380"/>
        </w:trPr>
        <w:tc>
          <w:tcPr>
            <w:tcW w:w="2225" w:type="dxa"/>
            <w:vMerge w:val="restart"/>
            <w:tcBorders>
              <w:top w:val="nil"/>
              <w:left w:val="nil"/>
              <w:bottom w:val="nil"/>
              <w:right w:val="nil"/>
            </w:tcBorders>
            <w:tcMar>
              <w:top w:w="128" w:type="dxa"/>
              <w:left w:w="43" w:type="dxa"/>
              <w:bottom w:w="43" w:type="dxa"/>
              <w:right w:w="43" w:type="dxa"/>
            </w:tcMar>
          </w:tcPr>
          <w:p w14:paraId="2F5F9627" w14:textId="77777777" w:rsidR="00FE02EF" w:rsidRPr="00CC19F7" w:rsidRDefault="00881E58" w:rsidP="002E78FA">
            <w:r w:rsidRPr="00CC19F7">
              <w:t>Underdirektør</w:t>
            </w:r>
          </w:p>
        </w:tc>
        <w:tc>
          <w:tcPr>
            <w:tcW w:w="851" w:type="dxa"/>
            <w:tcBorders>
              <w:top w:val="nil"/>
              <w:left w:val="nil"/>
              <w:bottom w:val="nil"/>
              <w:right w:val="nil"/>
            </w:tcBorders>
            <w:tcMar>
              <w:top w:w="128" w:type="dxa"/>
              <w:left w:w="43" w:type="dxa"/>
              <w:bottom w:w="43" w:type="dxa"/>
              <w:right w:w="43" w:type="dxa"/>
            </w:tcMar>
          </w:tcPr>
          <w:p w14:paraId="01103482" w14:textId="77777777" w:rsidR="00FE02EF" w:rsidRPr="00CC19F7" w:rsidRDefault="00881E58" w:rsidP="002E78FA">
            <w:r w:rsidRPr="00CC19F7">
              <w:t>2022</w:t>
            </w:r>
          </w:p>
        </w:tc>
        <w:tc>
          <w:tcPr>
            <w:tcW w:w="1134" w:type="dxa"/>
            <w:tcBorders>
              <w:top w:val="nil"/>
              <w:left w:val="nil"/>
              <w:bottom w:val="nil"/>
              <w:right w:val="nil"/>
            </w:tcBorders>
            <w:tcMar>
              <w:top w:w="128" w:type="dxa"/>
              <w:left w:w="43" w:type="dxa"/>
              <w:bottom w:w="43" w:type="dxa"/>
              <w:right w:w="43" w:type="dxa"/>
            </w:tcMar>
            <w:vAlign w:val="bottom"/>
          </w:tcPr>
          <w:p w14:paraId="65BB06A3" w14:textId="77777777" w:rsidR="00FE02EF" w:rsidRPr="00CC19F7" w:rsidRDefault="00881E58" w:rsidP="002E78FA">
            <w:pPr>
              <w:jc w:val="right"/>
            </w:pPr>
            <w:r w:rsidRPr="00CC19F7">
              <w:t>12</w:t>
            </w:r>
          </w:p>
        </w:tc>
        <w:tc>
          <w:tcPr>
            <w:tcW w:w="992" w:type="dxa"/>
            <w:tcBorders>
              <w:top w:val="nil"/>
              <w:left w:val="nil"/>
              <w:bottom w:val="nil"/>
              <w:right w:val="nil"/>
            </w:tcBorders>
            <w:tcMar>
              <w:top w:w="128" w:type="dxa"/>
              <w:left w:w="43" w:type="dxa"/>
              <w:bottom w:w="43" w:type="dxa"/>
              <w:right w:w="43" w:type="dxa"/>
            </w:tcMar>
            <w:vAlign w:val="bottom"/>
          </w:tcPr>
          <w:p w14:paraId="52FA89E2" w14:textId="77777777" w:rsidR="00FE02EF" w:rsidRPr="00CC19F7" w:rsidRDefault="00881E58" w:rsidP="002E78FA">
            <w:pPr>
              <w:jc w:val="right"/>
            </w:pPr>
            <w:r w:rsidRPr="00CC19F7">
              <w:t>13</w:t>
            </w:r>
          </w:p>
        </w:tc>
        <w:tc>
          <w:tcPr>
            <w:tcW w:w="1276" w:type="dxa"/>
            <w:tcBorders>
              <w:top w:val="nil"/>
              <w:left w:val="nil"/>
              <w:bottom w:val="nil"/>
              <w:right w:val="nil"/>
            </w:tcBorders>
            <w:tcMar>
              <w:top w:w="128" w:type="dxa"/>
              <w:left w:w="43" w:type="dxa"/>
              <w:bottom w:w="43" w:type="dxa"/>
              <w:right w:w="43" w:type="dxa"/>
            </w:tcMar>
            <w:vAlign w:val="bottom"/>
          </w:tcPr>
          <w:p w14:paraId="70889344" w14:textId="77777777" w:rsidR="00FE02EF" w:rsidRPr="00CC19F7" w:rsidRDefault="00881E58" w:rsidP="002E78FA">
            <w:pPr>
              <w:jc w:val="right"/>
            </w:pPr>
            <w:r w:rsidRPr="00CC19F7">
              <w:t>851 516</w:t>
            </w:r>
          </w:p>
        </w:tc>
        <w:tc>
          <w:tcPr>
            <w:tcW w:w="1276" w:type="dxa"/>
            <w:tcBorders>
              <w:top w:val="nil"/>
              <w:left w:val="nil"/>
              <w:bottom w:val="nil"/>
              <w:right w:val="nil"/>
            </w:tcBorders>
            <w:tcMar>
              <w:top w:w="128" w:type="dxa"/>
              <w:left w:w="43" w:type="dxa"/>
              <w:bottom w:w="43" w:type="dxa"/>
              <w:right w:w="43" w:type="dxa"/>
            </w:tcMar>
            <w:vAlign w:val="bottom"/>
          </w:tcPr>
          <w:p w14:paraId="428694AF" w14:textId="77777777" w:rsidR="00FE02EF" w:rsidRPr="00CC19F7" w:rsidRDefault="00881E58" w:rsidP="002E78FA">
            <w:pPr>
              <w:jc w:val="right"/>
            </w:pPr>
            <w:r w:rsidRPr="00CC19F7">
              <w:t>842 098</w:t>
            </w:r>
          </w:p>
        </w:tc>
        <w:tc>
          <w:tcPr>
            <w:tcW w:w="1766" w:type="dxa"/>
            <w:tcBorders>
              <w:top w:val="nil"/>
              <w:left w:val="nil"/>
              <w:bottom w:val="nil"/>
              <w:right w:val="nil"/>
            </w:tcBorders>
            <w:tcMar>
              <w:top w:w="128" w:type="dxa"/>
              <w:left w:w="43" w:type="dxa"/>
              <w:bottom w:w="43" w:type="dxa"/>
              <w:right w:w="43" w:type="dxa"/>
            </w:tcMar>
            <w:vAlign w:val="bottom"/>
          </w:tcPr>
          <w:p w14:paraId="4002D684" w14:textId="77777777" w:rsidR="00FE02EF" w:rsidRPr="00CC19F7" w:rsidRDefault="00881E58" w:rsidP="002E78FA">
            <w:pPr>
              <w:jc w:val="right"/>
            </w:pPr>
            <w:r w:rsidRPr="00CC19F7">
              <w:t>101,12</w:t>
            </w:r>
          </w:p>
        </w:tc>
      </w:tr>
      <w:tr w:rsidR="00FE02EF" w:rsidRPr="00CC19F7" w14:paraId="5C28DDBA" w14:textId="77777777" w:rsidTr="002E78FA">
        <w:trPr>
          <w:trHeight w:val="380"/>
        </w:trPr>
        <w:tc>
          <w:tcPr>
            <w:tcW w:w="2225" w:type="dxa"/>
            <w:vMerge/>
            <w:tcBorders>
              <w:top w:val="nil"/>
              <w:left w:val="nil"/>
              <w:bottom w:val="nil"/>
              <w:right w:val="nil"/>
            </w:tcBorders>
          </w:tcPr>
          <w:p w14:paraId="4FE1FA69" w14:textId="77777777" w:rsidR="00FE02EF" w:rsidRPr="00CC19F7" w:rsidRDefault="00FE02EF" w:rsidP="002E78FA"/>
        </w:tc>
        <w:tc>
          <w:tcPr>
            <w:tcW w:w="851" w:type="dxa"/>
            <w:tcBorders>
              <w:top w:val="nil"/>
              <w:left w:val="nil"/>
              <w:bottom w:val="nil"/>
              <w:right w:val="nil"/>
            </w:tcBorders>
            <w:tcMar>
              <w:top w:w="128" w:type="dxa"/>
              <w:left w:w="43" w:type="dxa"/>
              <w:bottom w:w="43" w:type="dxa"/>
              <w:right w:w="43" w:type="dxa"/>
            </w:tcMar>
          </w:tcPr>
          <w:p w14:paraId="2B507E3D" w14:textId="77777777" w:rsidR="00FE02EF" w:rsidRPr="00CC19F7" w:rsidRDefault="00881E58" w:rsidP="002E78FA">
            <w:r w:rsidRPr="00CC19F7">
              <w:t>2021</w:t>
            </w:r>
          </w:p>
        </w:tc>
        <w:tc>
          <w:tcPr>
            <w:tcW w:w="1134" w:type="dxa"/>
            <w:tcBorders>
              <w:top w:val="nil"/>
              <w:left w:val="nil"/>
              <w:bottom w:val="nil"/>
              <w:right w:val="nil"/>
            </w:tcBorders>
            <w:tcMar>
              <w:top w:w="128" w:type="dxa"/>
              <w:left w:w="43" w:type="dxa"/>
              <w:bottom w:w="43" w:type="dxa"/>
              <w:right w:w="43" w:type="dxa"/>
            </w:tcMar>
            <w:vAlign w:val="bottom"/>
          </w:tcPr>
          <w:p w14:paraId="4A07B9CF" w14:textId="77777777" w:rsidR="00FE02EF" w:rsidRPr="00CC19F7" w:rsidRDefault="00881E58" w:rsidP="002E78FA">
            <w:pPr>
              <w:jc w:val="right"/>
            </w:pPr>
            <w:r w:rsidRPr="00CC19F7">
              <w:t>13</w:t>
            </w:r>
          </w:p>
        </w:tc>
        <w:tc>
          <w:tcPr>
            <w:tcW w:w="992" w:type="dxa"/>
            <w:tcBorders>
              <w:top w:val="nil"/>
              <w:left w:val="nil"/>
              <w:bottom w:val="nil"/>
              <w:right w:val="nil"/>
            </w:tcBorders>
            <w:tcMar>
              <w:top w:w="128" w:type="dxa"/>
              <w:left w:w="43" w:type="dxa"/>
              <w:bottom w:w="43" w:type="dxa"/>
              <w:right w:w="43" w:type="dxa"/>
            </w:tcMar>
            <w:vAlign w:val="bottom"/>
          </w:tcPr>
          <w:p w14:paraId="25701743" w14:textId="77777777" w:rsidR="00FE02EF" w:rsidRPr="00CC19F7" w:rsidRDefault="00881E58" w:rsidP="002E78FA">
            <w:pPr>
              <w:jc w:val="right"/>
            </w:pPr>
            <w:r w:rsidRPr="00CC19F7">
              <w:t>15</w:t>
            </w:r>
          </w:p>
        </w:tc>
        <w:tc>
          <w:tcPr>
            <w:tcW w:w="1276" w:type="dxa"/>
            <w:tcBorders>
              <w:top w:val="nil"/>
              <w:left w:val="nil"/>
              <w:bottom w:val="nil"/>
              <w:right w:val="nil"/>
            </w:tcBorders>
            <w:tcMar>
              <w:top w:w="128" w:type="dxa"/>
              <w:left w:w="43" w:type="dxa"/>
              <w:bottom w:w="43" w:type="dxa"/>
              <w:right w:w="43" w:type="dxa"/>
            </w:tcMar>
            <w:vAlign w:val="bottom"/>
          </w:tcPr>
          <w:p w14:paraId="58392FBE" w14:textId="77777777" w:rsidR="00FE02EF" w:rsidRPr="00CC19F7" w:rsidRDefault="00881E58" w:rsidP="002E78FA">
            <w:pPr>
              <w:jc w:val="right"/>
            </w:pPr>
            <w:r w:rsidRPr="00CC19F7">
              <w:t>804 034</w:t>
            </w:r>
          </w:p>
        </w:tc>
        <w:tc>
          <w:tcPr>
            <w:tcW w:w="1276" w:type="dxa"/>
            <w:tcBorders>
              <w:top w:val="nil"/>
              <w:left w:val="nil"/>
              <w:bottom w:val="nil"/>
              <w:right w:val="nil"/>
            </w:tcBorders>
            <w:tcMar>
              <w:top w:w="128" w:type="dxa"/>
              <w:left w:w="43" w:type="dxa"/>
              <w:bottom w:w="43" w:type="dxa"/>
              <w:right w:w="43" w:type="dxa"/>
            </w:tcMar>
            <w:vAlign w:val="bottom"/>
          </w:tcPr>
          <w:p w14:paraId="24E97407" w14:textId="77777777" w:rsidR="00FE02EF" w:rsidRPr="00CC19F7" w:rsidRDefault="00881E58" w:rsidP="002E78FA">
            <w:pPr>
              <w:jc w:val="right"/>
            </w:pPr>
            <w:r w:rsidRPr="00CC19F7">
              <w:t>803 092</w:t>
            </w:r>
          </w:p>
        </w:tc>
        <w:tc>
          <w:tcPr>
            <w:tcW w:w="1766" w:type="dxa"/>
            <w:tcBorders>
              <w:top w:val="nil"/>
              <w:left w:val="nil"/>
              <w:bottom w:val="nil"/>
              <w:right w:val="nil"/>
            </w:tcBorders>
            <w:tcMar>
              <w:top w:w="128" w:type="dxa"/>
              <w:left w:w="43" w:type="dxa"/>
              <w:bottom w:w="43" w:type="dxa"/>
              <w:right w:w="43" w:type="dxa"/>
            </w:tcMar>
            <w:vAlign w:val="bottom"/>
          </w:tcPr>
          <w:p w14:paraId="2B14E884" w14:textId="77777777" w:rsidR="00FE02EF" w:rsidRPr="00CC19F7" w:rsidRDefault="00881E58" w:rsidP="002E78FA">
            <w:pPr>
              <w:jc w:val="right"/>
            </w:pPr>
            <w:r w:rsidRPr="00CC19F7">
              <w:t>100,12</w:t>
            </w:r>
          </w:p>
        </w:tc>
      </w:tr>
      <w:tr w:rsidR="00FE02EF" w:rsidRPr="00CC19F7" w14:paraId="79D06702" w14:textId="77777777" w:rsidTr="002E78FA">
        <w:trPr>
          <w:trHeight w:val="380"/>
        </w:trPr>
        <w:tc>
          <w:tcPr>
            <w:tcW w:w="2225" w:type="dxa"/>
            <w:vMerge w:val="restart"/>
            <w:tcBorders>
              <w:top w:val="nil"/>
              <w:left w:val="nil"/>
              <w:bottom w:val="nil"/>
              <w:right w:val="nil"/>
            </w:tcBorders>
            <w:tcMar>
              <w:top w:w="128" w:type="dxa"/>
              <w:left w:w="43" w:type="dxa"/>
              <w:bottom w:w="43" w:type="dxa"/>
              <w:right w:w="43" w:type="dxa"/>
            </w:tcMar>
          </w:tcPr>
          <w:p w14:paraId="26CF173E" w14:textId="77777777" w:rsidR="00FE02EF" w:rsidRPr="00CC19F7" w:rsidRDefault="00881E58" w:rsidP="002E78FA">
            <w:proofErr w:type="spellStart"/>
            <w:r w:rsidRPr="00CC19F7">
              <w:t>Utgreiingsleiar</w:t>
            </w:r>
            <w:proofErr w:type="spellEnd"/>
          </w:p>
        </w:tc>
        <w:tc>
          <w:tcPr>
            <w:tcW w:w="851" w:type="dxa"/>
            <w:tcBorders>
              <w:top w:val="nil"/>
              <w:left w:val="nil"/>
              <w:bottom w:val="nil"/>
              <w:right w:val="nil"/>
            </w:tcBorders>
            <w:tcMar>
              <w:top w:w="128" w:type="dxa"/>
              <w:left w:w="43" w:type="dxa"/>
              <w:bottom w:w="43" w:type="dxa"/>
              <w:right w:w="43" w:type="dxa"/>
            </w:tcMar>
          </w:tcPr>
          <w:p w14:paraId="71BB63DC" w14:textId="77777777" w:rsidR="00FE02EF" w:rsidRPr="00CC19F7" w:rsidRDefault="00881E58" w:rsidP="002E78FA">
            <w:r w:rsidRPr="00CC19F7">
              <w:t>2022</w:t>
            </w:r>
          </w:p>
        </w:tc>
        <w:tc>
          <w:tcPr>
            <w:tcW w:w="1134" w:type="dxa"/>
            <w:tcBorders>
              <w:top w:val="nil"/>
              <w:left w:val="nil"/>
              <w:bottom w:val="nil"/>
              <w:right w:val="nil"/>
            </w:tcBorders>
            <w:tcMar>
              <w:top w:w="128" w:type="dxa"/>
              <w:left w:w="43" w:type="dxa"/>
              <w:bottom w:w="43" w:type="dxa"/>
              <w:right w:w="43" w:type="dxa"/>
            </w:tcMar>
            <w:vAlign w:val="bottom"/>
          </w:tcPr>
          <w:p w14:paraId="3CF2F3EC" w14:textId="77777777" w:rsidR="00FE02EF" w:rsidRPr="00CC19F7" w:rsidRDefault="00881E58" w:rsidP="002E78FA">
            <w:pPr>
              <w:jc w:val="right"/>
            </w:pPr>
            <w:r w:rsidRPr="00CC19F7">
              <w:t>8</w:t>
            </w:r>
          </w:p>
        </w:tc>
        <w:tc>
          <w:tcPr>
            <w:tcW w:w="992" w:type="dxa"/>
            <w:tcBorders>
              <w:top w:val="nil"/>
              <w:left w:val="nil"/>
              <w:bottom w:val="nil"/>
              <w:right w:val="nil"/>
            </w:tcBorders>
            <w:tcMar>
              <w:top w:w="128" w:type="dxa"/>
              <w:left w:w="43" w:type="dxa"/>
              <w:bottom w:w="43" w:type="dxa"/>
              <w:right w:w="43" w:type="dxa"/>
            </w:tcMar>
            <w:vAlign w:val="bottom"/>
          </w:tcPr>
          <w:p w14:paraId="4F846818" w14:textId="77777777" w:rsidR="00FE02EF" w:rsidRPr="00CC19F7" w:rsidRDefault="00881E58" w:rsidP="002E78FA">
            <w:pPr>
              <w:jc w:val="right"/>
            </w:pPr>
            <w:r w:rsidRPr="00CC19F7">
              <w:t>3</w:t>
            </w:r>
          </w:p>
        </w:tc>
        <w:tc>
          <w:tcPr>
            <w:tcW w:w="1276" w:type="dxa"/>
            <w:tcBorders>
              <w:top w:val="nil"/>
              <w:left w:val="nil"/>
              <w:bottom w:val="nil"/>
              <w:right w:val="nil"/>
            </w:tcBorders>
            <w:tcMar>
              <w:top w:w="128" w:type="dxa"/>
              <w:left w:w="43" w:type="dxa"/>
              <w:bottom w:w="43" w:type="dxa"/>
              <w:right w:w="43" w:type="dxa"/>
            </w:tcMar>
            <w:vAlign w:val="bottom"/>
          </w:tcPr>
          <w:p w14:paraId="259A45E0" w14:textId="77777777" w:rsidR="00FE02EF" w:rsidRPr="00CC19F7" w:rsidRDefault="00881E58" w:rsidP="002E78FA">
            <w:pPr>
              <w:jc w:val="right"/>
            </w:pPr>
            <w:r w:rsidRPr="00CC19F7">
              <w:t>788 976</w:t>
            </w:r>
          </w:p>
        </w:tc>
        <w:tc>
          <w:tcPr>
            <w:tcW w:w="1276" w:type="dxa"/>
            <w:tcBorders>
              <w:top w:val="nil"/>
              <w:left w:val="nil"/>
              <w:bottom w:val="nil"/>
              <w:right w:val="nil"/>
            </w:tcBorders>
            <w:tcMar>
              <w:top w:w="128" w:type="dxa"/>
              <w:left w:w="43" w:type="dxa"/>
              <w:bottom w:w="43" w:type="dxa"/>
              <w:right w:w="43" w:type="dxa"/>
            </w:tcMar>
            <w:vAlign w:val="bottom"/>
          </w:tcPr>
          <w:p w14:paraId="2A775E18" w14:textId="77777777" w:rsidR="00FE02EF" w:rsidRPr="00CC19F7" w:rsidRDefault="00881E58" w:rsidP="002E78FA">
            <w:pPr>
              <w:jc w:val="right"/>
            </w:pPr>
            <w:r w:rsidRPr="00CC19F7">
              <w:t>859 003</w:t>
            </w:r>
          </w:p>
        </w:tc>
        <w:tc>
          <w:tcPr>
            <w:tcW w:w="1766" w:type="dxa"/>
            <w:tcBorders>
              <w:top w:val="nil"/>
              <w:left w:val="nil"/>
              <w:bottom w:val="nil"/>
              <w:right w:val="nil"/>
            </w:tcBorders>
            <w:tcMar>
              <w:top w:w="128" w:type="dxa"/>
              <w:left w:w="43" w:type="dxa"/>
              <w:bottom w:w="43" w:type="dxa"/>
              <w:right w:w="43" w:type="dxa"/>
            </w:tcMar>
            <w:vAlign w:val="bottom"/>
          </w:tcPr>
          <w:p w14:paraId="40618FA4" w14:textId="77777777" w:rsidR="00FE02EF" w:rsidRPr="00CC19F7" w:rsidRDefault="00881E58" w:rsidP="002E78FA">
            <w:pPr>
              <w:jc w:val="right"/>
            </w:pPr>
            <w:r w:rsidRPr="00CC19F7">
              <w:t>91,85</w:t>
            </w:r>
          </w:p>
        </w:tc>
      </w:tr>
      <w:tr w:rsidR="00FE02EF" w:rsidRPr="00CC19F7" w14:paraId="2BBD2E3D" w14:textId="77777777" w:rsidTr="002E78FA">
        <w:trPr>
          <w:trHeight w:val="380"/>
        </w:trPr>
        <w:tc>
          <w:tcPr>
            <w:tcW w:w="2225" w:type="dxa"/>
            <w:vMerge/>
            <w:tcBorders>
              <w:top w:val="nil"/>
              <w:left w:val="nil"/>
              <w:bottom w:val="nil"/>
              <w:right w:val="nil"/>
            </w:tcBorders>
          </w:tcPr>
          <w:p w14:paraId="4B0CAF29" w14:textId="77777777" w:rsidR="00FE02EF" w:rsidRPr="00CC19F7" w:rsidRDefault="00FE02EF" w:rsidP="002E78FA"/>
        </w:tc>
        <w:tc>
          <w:tcPr>
            <w:tcW w:w="851" w:type="dxa"/>
            <w:tcBorders>
              <w:top w:val="nil"/>
              <w:left w:val="nil"/>
              <w:bottom w:val="nil"/>
              <w:right w:val="nil"/>
            </w:tcBorders>
            <w:tcMar>
              <w:top w:w="128" w:type="dxa"/>
              <w:left w:w="43" w:type="dxa"/>
              <w:bottom w:w="43" w:type="dxa"/>
              <w:right w:w="43" w:type="dxa"/>
            </w:tcMar>
          </w:tcPr>
          <w:p w14:paraId="40A8A66A" w14:textId="77777777" w:rsidR="00FE02EF" w:rsidRPr="00CC19F7" w:rsidRDefault="00881E58" w:rsidP="002E78FA">
            <w:r w:rsidRPr="00CC19F7">
              <w:t>2021</w:t>
            </w:r>
          </w:p>
        </w:tc>
        <w:tc>
          <w:tcPr>
            <w:tcW w:w="1134" w:type="dxa"/>
            <w:tcBorders>
              <w:top w:val="nil"/>
              <w:left w:val="nil"/>
              <w:bottom w:val="nil"/>
              <w:right w:val="nil"/>
            </w:tcBorders>
            <w:tcMar>
              <w:top w:w="128" w:type="dxa"/>
              <w:left w:w="43" w:type="dxa"/>
              <w:bottom w:w="43" w:type="dxa"/>
              <w:right w:w="43" w:type="dxa"/>
            </w:tcMar>
            <w:vAlign w:val="bottom"/>
          </w:tcPr>
          <w:p w14:paraId="21050747" w14:textId="77777777" w:rsidR="00FE02EF" w:rsidRPr="00CC19F7" w:rsidRDefault="00881E58" w:rsidP="002E78FA">
            <w:pPr>
              <w:jc w:val="right"/>
            </w:pPr>
            <w:r w:rsidRPr="00CC19F7">
              <w:t>6</w:t>
            </w:r>
          </w:p>
        </w:tc>
        <w:tc>
          <w:tcPr>
            <w:tcW w:w="992" w:type="dxa"/>
            <w:tcBorders>
              <w:top w:val="nil"/>
              <w:left w:val="nil"/>
              <w:bottom w:val="nil"/>
              <w:right w:val="nil"/>
            </w:tcBorders>
            <w:tcMar>
              <w:top w:w="128" w:type="dxa"/>
              <w:left w:w="43" w:type="dxa"/>
              <w:bottom w:w="43" w:type="dxa"/>
              <w:right w:w="43" w:type="dxa"/>
            </w:tcMar>
            <w:vAlign w:val="bottom"/>
          </w:tcPr>
          <w:p w14:paraId="58F4EF4E" w14:textId="77777777" w:rsidR="00FE02EF" w:rsidRPr="00CC19F7" w:rsidRDefault="00881E58" w:rsidP="002E78FA">
            <w:pPr>
              <w:jc w:val="right"/>
            </w:pPr>
            <w:r w:rsidRPr="00CC19F7">
              <w:t>5</w:t>
            </w:r>
          </w:p>
        </w:tc>
        <w:tc>
          <w:tcPr>
            <w:tcW w:w="1276" w:type="dxa"/>
            <w:tcBorders>
              <w:top w:val="nil"/>
              <w:left w:val="nil"/>
              <w:bottom w:val="nil"/>
              <w:right w:val="nil"/>
            </w:tcBorders>
            <w:tcMar>
              <w:top w:w="128" w:type="dxa"/>
              <w:left w:w="43" w:type="dxa"/>
              <w:bottom w:w="43" w:type="dxa"/>
              <w:right w:w="43" w:type="dxa"/>
            </w:tcMar>
            <w:vAlign w:val="bottom"/>
          </w:tcPr>
          <w:p w14:paraId="478D6C3C" w14:textId="77777777" w:rsidR="00FE02EF" w:rsidRPr="00CC19F7" w:rsidRDefault="00881E58" w:rsidP="002E78FA">
            <w:pPr>
              <w:jc w:val="right"/>
            </w:pPr>
            <w:r w:rsidRPr="00CC19F7">
              <w:t>757 582</w:t>
            </w:r>
          </w:p>
        </w:tc>
        <w:tc>
          <w:tcPr>
            <w:tcW w:w="1276" w:type="dxa"/>
            <w:tcBorders>
              <w:top w:val="nil"/>
              <w:left w:val="nil"/>
              <w:bottom w:val="nil"/>
              <w:right w:val="nil"/>
            </w:tcBorders>
            <w:tcMar>
              <w:top w:w="128" w:type="dxa"/>
              <w:left w:w="43" w:type="dxa"/>
              <w:bottom w:w="43" w:type="dxa"/>
              <w:right w:w="43" w:type="dxa"/>
            </w:tcMar>
            <w:vAlign w:val="bottom"/>
          </w:tcPr>
          <w:p w14:paraId="177E1F07" w14:textId="77777777" w:rsidR="00FE02EF" w:rsidRPr="00CC19F7" w:rsidRDefault="00881E58" w:rsidP="002E78FA">
            <w:pPr>
              <w:jc w:val="right"/>
            </w:pPr>
            <w:r w:rsidRPr="00CC19F7">
              <w:t>790 534</w:t>
            </w:r>
          </w:p>
        </w:tc>
        <w:tc>
          <w:tcPr>
            <w:tcW w:w="1766" w:type="dxa"/>
            <w:tcBorders>
              <w:top w:val="nil"/>
              <w:left w:val="nil"/>
              <w:bottom w:val="nil"/>
              <w:right w:val="nil"/>
            </w:tcBorders>
            <w:tcMar>
              <w:top w:w="128" w:type="dxa"/>
              <w:left w:w="43" w:type="dxa"/>
              <w:bottom w:w="43" w:type="dxa"/>
              <w:right w:w="43" w:type="dxa"/>
            </w:tcMar>
            <w:vAlign w:val="bottom"/>
          </w:tcPr>
          <w:p w14:paraId="5C79123A" w14:textId="77777777" w:rsidR="00FE02EF" w:rsidRPr="00CC19F7" w:rsidRDefault="00881E58" w:rsidP="002E78FA">
            <w:pPr>
              <w:jc w:val="right"/>
            </w:pPr>
            <w:r w:rsidRPr="00CC19F7">
              <w:t>95,83</w:t>
            </w:r>
          </w:p>
        </w:tc>
      </w:tr>
      <w:tr w:rsidR="00FE02EF" w:rsidRPr="00CC19F7" w14:paraId="238E3AD5" w14:textId="77777777" w:rsidTr="002E78FA">
        <w:trPr>
          <w:trHeight w:val="380"/>
        </w:trPr>
        <w:tc>
          <w:tcPr>
            <w:tcW w:w="2225" w:type="dxa"/>
            <w:vMerge w:val="restart"/>
            <w:tcBorders>
              <w:top w:val="nil"/>
              <w:left w:val="nil"/>
              <w:bottom w:val="nil"/>
              <w:right w:val="nil"/>
            </w:tcBorders>
            <w:tcMar>
              <w:top w:w="128" w:type="dxa"/>
              <w:left w:w="43" w:type="dxa"/>
              <w:bottom w:w="43" w:type="dxa"/>
              <w:right w:w="43" w:type="dxa"/>
            </w:tcMar>
          </w:tcPr>
          <w:p w14:paraId="13A3949B" w14:textId="77777777" w:rsidR="00FE02EF" w:rsidRPr="00CC19F7" w:rsidRDefault="00881E58" w:rsidP="002E78FA">
            <w:proofErr w:type="spellStart"/>
            <w:r w:rsidRPr="00CC19F7">
              <w:t>Seniorrådgivar</w:t>
            </w:r>
            <w:proofErr w:type="spellEnd"/>
          </w:p>
        </w:tc>
        <w:tc>
          <w:tcPr>
            <w:tcW w:w="851" w:type="dxa"/>
            <w:tcBorders>
              <w:top w:val="nil"/>
              <w:left w:val="nil"/>
              <w:bottom w:val="nil"/>
              <w:right w:val="nil"/>
            </w:tcBorders>
            <w:tcMar>
              <w:top w:w="128" w:type="dxa"/>
              <w:left w:w="43" w:type="dxa"/>
              <w:bottom w:w="43" w:type="dxa"/>
              <w:right w:w="43" w:type="dxa"/>
            </w:tcMar>
          </w:tcPr>
          <w:p w14:paraId="0588CBDD" w14:textId="77777777" w:rsidR="00FE02EF" w:rsidRPr="00CC19F7" w:rsidRDefault="00881E58" w:rsidP="002E78FA">
            <w:r w:rsidRPr="00CC19F7">
              <w:t>2022</w:t>
            </w:r>
          </w:p>
        </w:tc>
        <w:tc>
          <w:tcPr>
            <w:tcW w:w="1134" w:type="dxa"/>
            <w:tcBorders>
              <w:top w:val="nil"/>
              <w:left w:val="nil"/>
              <w:bottom w:val="nil"/>
              <w:right w:val="nil"/>
            </w:tcBorders>
            <w:tcMar>
              <w:top w:w="128" w:type="dxa"/>
              <w:left w:w="43" w:type="dxa"/>
              <w:bottom w:w="43" w:type="dxa"/>
              <w:right w:w="43" w:type="dxa"/>
            </w:tcMar>
            <w:vAlign w:val="bottom"/>
          </w:tcPr>
          <w:p w14:paraId="6C0190AF" w14:textId="77777777" w:rsidR="00FE02EF" w:rsidRPr="00CC19F7" w:rsidRDefault="00881E58" w:rsidP="002E78FA">
            <w:pPr>
              <w:jc w:val="right"/>
            </w:pPr>
            <w:r w:rsidRPr="00CC19F7">
              <w:t>39</w:t>
            </w:r>
          </w:p>
        </w:tc>
        <w:tc>
          <w:tcPr>
            <w:tcW w:w="992" w:type="dxa"/>
            <w:tcBorders>
              <w:top w:val="nil"/>
              <w:left w:val="nil"/>
              <w:bottom w:val="nil"/>
              <w:right w:val="nil"/>
            </w:tcBorders>
            <w:tcMar>
              <w:top w:w="128" w:type="dxa"/>
              <w:left w:w="43" w:type="dxa"/>
              <w:bottom w:w="43" w:type="dxa"/>
              <w:right w:w="43" w:type="dxa"/>
            </w:tcMar>
            <w:vAlign w:val="bottom"/>
          </w:tcPr>
          <w:p w14:paraId="13187AA5" w14:textId="77777777" w:rsidR="00FE02EF" w:rsidRPr="00CC19F7" w:rsidRDefault="00881E58" w:rsidP="002E78FA">
            <w:pPr>
              <w:jc w:val="right"/>
            </w:pPr>
            <w:r w:rsidRPr="00CC19F7">
              <w:t>24</w:t>
            </w:r>
          </w:p>
        </w:tc>
        <w:tc>
          <w:tcPr>
            <w:tcW w:w="1276" w:type="dxa"/>
            <w:tcBorders>
              <w:top w:val="nil"/>
              <w:left w:val="nil"/>
              <w:bottom w:val="nil"/>
              <w:right w:val="nil"/>
            </w:tcBorders>
            <w:tcMar>
              <w:top w:w="128" w:type="dxa"/>
              <w:left w:w="43" w:type="dxa"/>
              <w:bottom w:w="43" w:type="dxa"/>
              <w:right w:w="43" w:type="dxa"/>
            </w:tcMar>
            <w:vAlign w:val="bottom"/>
          </w:tcPr>
          <w:p w14:paraId="2D25C32A" w14:textId="77777777" w:rsidR="00FE02EF" w:rsidRPr="00CC19F7" w:rsidRDefault="00881E58" w:rsidP="002E78FA">
            <w:pPr>
              <w:jc w:val="right"/>
            </w:pPr>
            <w:r w:rsidRPr="00CC19F7">
              <w:t>657 365</w:t>
            </w:r>
          </w:p>
        </w:tc>
        <w:tc>
          <w:tcPr>
            <w:tcW w:w="1276" w:type="dxa"/>
            <w:tcBorders>
              <w:top w:val="nil"/>
              <w:left w:val="nil"/>
              <w:bottom w:val="nil"/>
              <w:right w:val="nil"/>
            </w:tcBorders>
            <w:tcMar>
              <w:top w:w="128" w:type="dxa"/>
              <w:left w:w="43" w:type="dxa"/>
              <w:bottom w:w="43" w:type="dxa"/>
              <w:right w:w="43" w:type="dxa"/>
            </w:tcMar>
            <w:vAlign w:val="bottom"/>
          </w:tcPr>
          <w:p w14:paraId="1CBCF714" w14:textId="77777777" w:rsidR="00FE02EF" w:rsidRPr="00CC19F7" w:rsidRDefault="00881E58" w:rsidP="002E78FA">
            <w:pPr>
              <w:jc w:val="right"/>
            </w:pPr>
            <w:r w:rsidRPr="00CC19F7">
              <w:t>695 458</w:t>
            </w:r>
          </w:p>
        </w:tc>
        <w:tc>
          <w:tcPr>
            <w:tcW w:w="1766" w:type="dxa"/>
            <w:tcBorders>
              <w:top w:val="nil"/>
              <w:left w:val="nil"/>
              <w:bottom w:val="nil"/>
              <w:right w:val="nil"/>
            </w:tcBorders>
            <w:tcMar>
              <w:top w:w="128" w:type="dxa"/>
              <w:left w:w="43" w:type="dxa"/>
              <w:bottom w:w="43" w:type="dxa"/>
              <w:right w:w="43" w:type="dxa"/>
            </w:tcMar>
            <w:vAlign w:val="bottom"/>
          </w:tcPr>
          <w:p w14:paraId="185F856C" w14:textId="77777777" w:rsidR="00FE02EF" w:rsidRPr="00CC19F7" w:rsidRDefault="00881E58" w:rsidP="002E78FA">
            <w:pPr>
              <w:jc w:val="right"/>
            </w:pPr>
            <w:r w:rsidRPr="00CC19F7">
              <w:t>94,52</w:t>
            </w:r>
          </w:p>
        </w:tc>
      </w:tr>
      <w:tr w:rsidR="00FE02EF" w:rsidRPr="00CC19F7" w14:paraId="3CF249D2" w14:textId="77777777" w:rsidTr="002E78FA">
        <w:trPr>
          <w:trHeight w:val="380"/>
        </w:trPr>
        <w:tc>
          <w:tcPr>
            <w:tcW w:w="2225" w:type="dxa"/>
            <w:vMerge/>
            <w:tcBorders>
              <w:top w:val="nil"/>
              <w:left w:val="nil"/>
              <w:bottom w:val="nil"/>
              <w:right w:val="nil"/>
            </w:tcBorders>
          </w:tcPr>
          <w:p w14:paraId="2273B281" w14:textId="77777777" w:rsidR="00FE02EF" w:rsidRPr="00CC19F7" w:rsidRDefault="00FE02EF" w:rsidP="002E78FA"/>
        </w:tc>
        <w:tc>
          <w:tcPr>
            <w:tcW w:w="851" w:type="dxa"/>
            <w:tcBorders>
              <w:top w:val="nil"/>
              <w:left w:val="nil"/>
              <w:bottom w:val="nil"/>
              <w:right w:val="nil"/>
            </w:tcBorders>
            <w:tcMar>
              <w:top w:w="128" w:type="dxa"/>
              <w:left w:w="43" w:type="dxa"/>
              <w:bottom w:w="43" w:type="dxa"/>
              <w:right w:w="43" w:type="dxa"/>
            </w:tcMar>
          </w:tcPr>
          <w:p w14:paraId="4B93D063" w14:textId="77777777" w:rsidR="00FE02EF" w:rsidRPr="00CC19F7" w:rsidRDefault="00881E58" w:rsidP="002E78FA">
            <w:r w:rsidRPr="00CC19F7">
              <w:t>2021</w:t>
            </w:r>
          </w:p>
        </w:tc>
        <w:tc>
          <w:tcPr>
            <w:tcW w:w="1134" w:type="dxa"/>
            <w:tcBorders>
              <w:top w:val="nil"/>
              <w:left w:val="nil"/>
              <w:bottom w:val="nil"/>
              <w:right w:val="nil"/>
            </w:tcBorders>
            <w:tcMar>
              <w:top w:w="128" w:type="dxa"/>
              <w:left w:w="43" w:type="dxa"/>
              <w:bottom w:w="43" w:type="dxa"/>
              <w:right w:w="43" w:type="dxa"/>
            </w:tcMar>
            <w:vAlign w:val="bottom"/>
          </w:tcPr>
          <w:p w14:paraId="00AE316C" w14:textId="77777777" w:rsidR="00FE02EF" w:rsidRPr="00CC19F7" w:rsidRDefault="00881E58" w:rsidP="002E78FA">
            <w:pPr>
              <w:jc w:val="right"/>
            </w:pPr>
            <w:r w:rsidRPr="00CC19F7">
              <w:t>38</w:t>
            </w:r>
          </w:p>
        </w:tc>
        <w:tc>
          <w:tcPr>
            <w:tcW w:w="992" w:type="dxa"/>
            <w:tcBorders>
              <w:top w:val="nil"/>
              <w:left w:val="nil"/>
              <w:bottom w:val="nil"/>
              <w:right w:val="nil"/>
            </w:tcBorders>
            <w:tcMar>
              <w:top w:w="128" w:type="dxa"/>
              <w:left w:w="43" w:type="dxa"/>
              <w:bottom w:w="43" w:type="dxa"/>
              <w:right w:w="43" w:type="dxa"/>
            </w:tcMar>
            <w:vAlign w:val="bottom"/>
          </w:tcPr>
          <w:p w14:paraId="35AAAC57" w14:textId="77777777" w:rsidR="00FE02EF" w:rsidRPr="00CC19F7" w:rsidRDefault="00881E58" w:rsidP="002E78FA">
            <w:pPr>
              <w:jc w:val="right"/>
            </w:pPr>
            <w:r w:rsidRPr="00CC19F7">
              <w:t>27</w:t>
            </w:r>
          </w:p>
        </w:tc>
        <w:tc>
          <w:tcPr>
            <w:tcW w:w="1276" w:type="dxa"/>
            <w:tcBorders>
              <w:top w:val="nil"/>
              <w:left w:val="nil"/>
              <w:bottom w:val="nil"/>
              <w:right w:val="nil"/>
            </w:tcBorders>
            <w:tcMar>
              <w:top w:w="128" w:type="dxa"/>
              <w:left w:w="43" w:type="dxa"/>
              <w:bottom w:w="43" w:type="dxa"/>
              <w:right w:w="43" w:type="dxa"/>
            </w:tcMar>
            <w:vAlign w:val="bottom"/>
          </w:tcPr>
          <w:p w14:paraId="6FA2509B" w14:textId="77777777" w:rsidR="00FE02EF" w:rsidRPr="00CC19F7" w:rsidRDefault="00881E58" w:rsidP="002E78FA">
            <w:pPr>
              <w:jc w:val="right"/>
            </w:pPr>
            <w:r w:rsidRPr="00CC19F7">
              <w:t>625 474</w:t>
            </w:r>
          </w:p>
        </w:tc>
        <w:tc>
          <w:tcPr>
            <w:tcW w:w="1276" w:type="dxa"/>
            <w:tcBorders>
              <w:top w:val="nil"/>
              <w:left w:val="nil"/>
              <w:bottom w:val="nil"/>
              <w:right w:val="nil"/>
            </w:tcBorders>
            <w:tcMar>
              <w:top w:w="128" w:type="dxa"/>
              <w:left w:w="43" w:type="dxa"/>
              <w:bottom w:w="43" w:type="dxa"/>
              <w:right w:w="43" w:type="dxa"/>
            </w:tcMar>
            <w:vAlign w:val="bottom"/>
          </w:tcPr>
          <w:p w14:paraId="40FB4F28" w14:textId="77777777" w:rsidR="00FE02EF" w:rsidRPr="00CC19F7" w:rsidRDefault="00881E58" w:rsidP="002E78FA">
            <w:pPr>
              <w:jc w:val="right"/>
            </w:pPr>
            <w:r w:rsidRPr="00CC19F7">
              <w:t>663 946</w:t>
            </w:r>
          </w:p>
        </w:tc>
        <w:tc>
          <w:tcPr>
            <w:tcW w:w="1766" w:type="dxa"/>
            <w:tcBorders>
              <w:top w:val="nil"/>
              <w:left w:val="nil"/>
              <w:bottom w:val="nil"/>
              <w:right w:val="nil"/>
            </w:tcBorders>
            <w:tcMar>
              <w:top w:w="128" w:type="dxa"/>
              <w:left w:w="43" w:type="dxa"/>
              <w:bottom w:w="43" w:type="dxa"/>
              <w:right w:w="43" w:type="dxa"/>
            </w:tcMar>
            <w:vAlign w:val="bottom"/>
          </w:tcPr>
          <w:p w14:paraId="04188D53" w14:textId="77777777" w:rsidR="00FE02EF" w:rsidRPr="00CC19F7" w:rsidRDefault="00881E58" w:rsidP="002E78FA">
            <w:pPr>
              <w:jc w:val="right"/>
            </w:pPr>
            <w:r w:rsidRPr="00CC19F7">
              <w:t>94,21</w:t>
            </w:r>
          </w:p>
        </w:tc>
      </w:tr>
      <w:tr w:rsidR="00FE02EF" w:rsidRPr="00CC19F7" w14:paraId="10828E6D" w14:textId="77777777" w:rsidTr="002E78FA">
        <w:trPr>
          <w:trHeight w:val="380"/>
        </w:trPr>
        <w:tc>
          <w:tcPr>
            <w:tcW w:w="2225" w:type="dxa"/>
            <w:vMerge w:val="restart"/>
            <w:tcBorders>
              <w:top w:val="nil"/>
              <w:left w:val="nil"/>
              <w:bottom w:val="nil"/>
              <w:right w:val="nil"/>
            </w:tcBorders>
            <w:tcMar>
              <w:top w:w="128" w:type="dxa"/>
              <w:left w:w="43" w:type="dxa"/>
              <w:bottom w:w="43" w:type="dxa"/>
              <w:right w:w="43" w:type="dxa"/>
            </w:tcMar>
          </w:tcPr>
          <w:p w14:paraId="3606DE9F" w14:textId="77777777" w:rsidR="00FE02EF" w:rsidRPr="00CC19F7" w:rsidRDefault="00881E58" w:rsidP="002E78FA">
            <w:proofErr w:type="spellStart"/>
            <w:r w:rsidRPr="00CC19F7">
              <w:t>Rådgivar</w:t>
            </w:r>
            <w:proofErr w:type="spellEnd"/>
          </w:p>
        </w:tc>
        <w:tc>
          <w:tcPr>
            <w:tcW w:w="851" w:type="dxa"/>
            <w:tcBorders>
              <w:top w:val="nil"/>
              <w:left w:val="nil"/>
              <w:bottom w:val="nil"/>
              <w:right w:val="nil"/>
            </w:tcBorders>
            <w:tcMar>
              <w:top w:w="128" w:type="dxa"/>
              <w:left w:w="43" w:type="dxa"/>
              <w:bottom w:w="43" w:type="dxa"/>
              <w:right w:w="43" w:type="dxa"/>
            </w:tcMar>
          </w:tcPr>
          <w:p w14:paraId="409751BA" w14:textId="77777777" w:rsidR="00FE02EF" w:rsidRPr="00CC19F7" w:rsidRDefault="00881E58" w:rsidP="002E78FA">
            <w:r w:rsidRPr="00CC19F7">
              <w:t>2022</w:t>
            </w:r>
          </w:p>
        </w:tc>
        <w:tc>
          <w:tcPr>
            <w:tcW w:w="1134" w:type="dxa"/>
            <w:tcBorders>
              <w:top w:val="nil"/>
              <w:left w:val="nil"/>
              <w:bottom w:val="nil"/>
              <w:right w:val="nil"/>
            </w:tcBorders>
            <w:tcMar>
              <w:top w:w="128" w:type="dxa"/>
              <w:left w:w="43" w:type="dxa"/>
              <w:bottom w:w="43" w:type="dxa"/>
              <w:right w:w="43" w:type="dxa"/>
            </w:tcMar>
            <w:vAlign w:val="bottom"/>
          </w:tcPr>
          <w:p w14:paraId="08272FDB" w14:textId="77777777" w:rsidR="00FE02EF" w:rsidRPr="00CC19F7" w:rsidRDefault="00881E58" w:rsidP="002E78FA">
            <w:pPr>
              <w:jc w:val="right"/>
            </w:pPr>
            <w:r w:rsidRPr="00CC19F7">
              <w:t>9</w:t>
            </w:r>
          </w:p>
        </w:tc>
        <w:tc>
          <w:tcPr>
            <w:tcW w:w="992" w:type="dxa"/>
            <w:tcBorders>
              <w:top w:val="nil"/>
              <w:left w:val="nil"/>
              <w:bottom w:val="nil"/>
              <w:right w:val="nil"/>
            </w:tcBorders>
            <w:tcMar>
              <w:top w:w="128" w:type="dxa"/>
              <w:left w:w="43" w:type="dxa"/>
              <w:bottom w:w="43" w:type="dxa"/>
              <w:right w:w="43" w:type="dxa"/>
            </w:tcMar>
            <w:vAlign w:val="bottom"/>
          </w:tcPr>
          <w:p w14:paraId="62638B85" w14:textId="77777777" w:rsidR="00FE02EF" w:rsidRPr="00CC19F7" w:rsidRDefault="00881E58" w:rsidP="002E78FA">
            <w:pPr>
              <w:jc w:val="right"/>
            </w:pPr>
            <w:r w:rsidRPr="00CC19F7">
              <w:t>5</w:t>
            </w:r>
          </w:p>
        </w:tc>
        <w:tc>
          <w:tcPr>
            <w:tcW w:w="1276" w:type="dxa"/>
            <w:tcBorders>
              <w:top w:val="nil"/>
              <w:left w:val="nil"/>
              <w:bottom w:val="nil"/>
              <w:right w:val="nil"/>
            </w:tcBorders>
            <w:tcMar>
              <w:top w:w="128" w:type="dxa"/>
              <w:left w:w="43" w:type="dxa"/>
              <w:bottom w:w="43" w:type="dxa"/>
              <w:right w:w="43" w:type="dxa"/>
            </w:tcMar>
            <w:vAlign w:val="bottom"/>
          </w:tcPr>
          <w:p w14:paraId="1FEC588B" w14:textId="77777777" w:rsidR="00FE02EF" w:rsidRPr="00CC19F7" w:rsidRDefault="00881E58" w:rsidP="002E78FA">
            <w:pPr>
              <w:jc w:val="right"/>
            </w:pPr>
            <w:r w:rsidRPr="00CC19F7">
              <w:t>560 303</w:t>
            </w:r>
          </w:p>
        </w:tc>
        <w:tc>
          <w:tcPr>
            <w:tcW w:w="1276" w:type="dxa"/>
            <w:tcBorders>
              <w:top w:val="nil"/>
              <w:left w:val="nil"/>
              <w:bottom w:val="nil"/>
              <w:right w:val="nil"/>
            </w:tcBorders>
            <w:tcMar>
              <w:top w:w="128" w:type="dxa"/>
              <w:left w:w="43" w:type="dxa"/>
              <w:bottom w:w="43" w:type="dxa"/>
              <w:right w:w="43" w:type="dxa"/>
            </w:tcMar>
            <w:vAlign w:val="bottom"/>
          </w:tcPr>
          <w:p w14:paraId="490D7D33" w14:textId="77777777" w:rsidR="00FE02EF" w:rsidRPr="00CC19F7" w:rsidRDefault="00881E58" w:rsidP="002E78FA">
            <w:pPr>
              <w:jc w:val="right"/>
            </w:pPr>
            <w:r w:rsidRPr="00CC19F7">
              <w:t>556 549</w:t>
            </w:r>
          </w:p>
        </w:tc>
        <w:tc>
          <w:tcPr>
            <w:tcW w:w="1766" w:type="dxa"/>
            <w:tcBorders>
              <w:top w:val="nil"/>
              <w:left w:val="nil"/>
              <w:bottom w:val="nil"/>
              <w:right w:val="nil"/>
            </w:tcBorders>
            <w:tcMar>
              <w:top w:w="128" w:type="dxa"/>
              <w:left w:w="43" w:type="dxa"/>
              <w:bottom w:w="43" w:type="dxa"/>
              <w:right w:w="43" w:type="dxa"/>
            </w:tcMar>
            <w:vAlign w:val="bottom"/>
          </w:tcPr>
          <w:p w14:paraId="2588E9EA" w14:textId="77777777" w:rsidR="00FE02EF" w:rsidRPr="00CC19F7" w:rsidRDefault="00881E58" w:rsidP="002E78FA">
            <w:pPr>
              <w:jc w:val="right"/>
            </w:pPr>
            <w:r w:rsidRPr="00CC19F7">
              <w:t>100,67</w:t>
            </w:r>
          </w:p>
        </w:tc>
      </w:tr>
      <w:tr w:rsidR="00FE02EF" w:rsidRPr="00CC19F7" w14:paraId="04DECB8E" w14:textId="77777777" w:rsidTr="002E78FA">
        <w:trPr>
          <w:trHeight w:val="380"/>
        </w:trPr>
        <w:tc>
          <w:tcPr>
            <w:tcW w:w="2225" w:type="dxa"/>
            <w:vMerge/>
            <w:tcBorders>
              <w:top w:val="nil"/>
              <w:left w:val="nil"/>
              <w:bottom w:val="nil"/>
              <w:right w:val="nil"/>
            </w:tcBorders>
          </w:tcPr>
          <w:p w14:paraId="7B9EABF5" w14:textId="77777777" w:rsidR="00FE02EF" w:rsidRPr="00CC19F7" w:rsidRDefault="00FE02EF" w:rsidP="002E78FA"/>
        </w:tc>
        <w:tc>
          <w:tcPr>
            <w:tcW w:w="851" w:type="dxa"/>
            <w:tcBorders>
              <w:top w:val="nil"/>
              <w:left w:val="nil"/>
              <w:bottom w:val="nil"/>
              <w:right w:val="nil"/>
            </w:tcBorders>
            <w:tcMar>
              <w:top w:w="128" w:type="dxa"/>
              <w:left w:w="43" w:type="dxa"/>
              <w:bottom w:w="43" w:type="dxa"/>
              <w:right w:w="43" w:type="dxa"/>
            </w:tcMar>
          </w:tcPr>
          <w:p w14:paraId="1137D755" w14:textId="77777777" w:rsidR="00FE02EF" w:rsidRPr="00CC19F7" w:rsidRDefault="00881E58" w:rsidP="002E78FA">
            <w:r w:rsidRPr="00CC19F7">
              <w:t>2021</w:t>
            </w:r>
          </w:p>
        </w:tc>
        <w:tc>
          <w:tcPr>
            <w:tcW w:w="1134" w:type="dxa"/>
            <w:tcBorders>
              <w:top w:val="nil"/>
              <w:left w:val="nil"/>
              <w:bottom w:val="nil"/>
              <w:right w:val="nil"/>
            </w:tcBorders>
            <w:tcMar>
              <w:top w:w="128" w:type="dxa"/>
              <w:left w:w="43" w:type="dxa"/>
              <w:bottom w:w="43" w:type="dxa"/>
              <w:right w:w="43" w:type="dxa"/>
            </w:tcMar>
            <w:vAlign w:val="bottom"/>
          </w:tcPr>
          <w:p w14:paraId="264C9F23" w14:textId="77777777" w:rsidR="00FE02EF" w:rsidRPr="00CC19F7" w:rsidRDefault="00881E58" w:rsidP="002E78FA">
            <w:pPr>
              <w:jc w:val="right"/>
            </w:pPr>
            <w:r w:rsidRPr="00CC19F7">
              <w:t>10</w:t>
            </w:r>
          </w:p>
        </w:tc>
        <w:tc>
          <w:tcPr>
            <w:tcW w:w="992" w:type="dxa"/>
            <w:tcBorders>
              <w:top w:val="nil"/>
              <w:left w:val="nil"/>
              <w:bottom w:val="nil"/>
              <w:right w:val="nil"/>
            </w:tcBorders>
            <w:tcMar>
              <w:top w:w="128" w:type="dxa"/>
              <w:left w:w="43" w:type="dxa"/>
              <w:bottom w:w="43" w:type="dxa"/>
              <w:right w:w="43" w:type="dxa"/>
            </w:tcMar>
            <w:vAlign w:val="bottom"/>
          </w:tcPr>
          <w:p w14:paraId="6481D196" w14:textId="77777777" w:rsidR="00FE02EF" w:rsidRPr="00CC19F7" w:rsidRDefault="00881E58" w:rsidP="002E78FA">
            <w:pPr>
              <w:jc w:val="right"/>
            </w:pPr>
            <w:r w:rsidRPr="00CC19F7">
              <w:t>5</w:t>
            </w:r>
          </w:p>
        </w:tc>
        <w:tc>
          <w:tcPr>
            <w:tcW w:w="1276" w:type="dxa"/>
            <w:tcBorders>
              <w:top w:val="nil"/>
              <w:left w:val="nil"/>
              <w:bottom w:val="nil"/>
              <w:right w:val="nil"/>
            </w:tcBorders>
            <w:tcMar>
              <w:top w:w="128" w:type="dxa"/>
              <w:left w:w="43" w:type="dxa"/>
              <w:bottom w:w="43" w:type="dxa"/>
              <w:right w:w="43" w:type="dxa"/>
            </w:tcMar>
            <w:vAlign w:val="bottom"/>
          </w:tcPr>
          <w:p w14:paraId="63525975" w14:textId="77777777" w:rsidR="00FE02EF" w:rsidRPr="00CC19F7" w:rsidRDefault="00881E58" w:rsidP="002E78FA">
            <w:pPr>
              <w:jc w:val="right"/>
            </w:pPr>
            <w:r w:rsidRPr="00CC19F7">
              <w:t>524 948</w:t>
            </w:r>
          </w:p>
        </w:tc>
        <w:tc>
          <w:tcPr>
            <w:tcW w:w="1276" w:type="dxa"/>
            <w:tcBorders>
              <w:top w:val="nil"/>
              <w:left w:val="nil"/>
              <w:bottom w:val="nil"/>
              <w:right w:val="nil"/>
            </w:tcBorders>
            <w:tcMar>
              <w:top w:w="128" w:type="dxa"/>
              <w:left w:w="43" w:type="dxa"/>
              <w:bottom w:w="43" w:type="dxa"/>
              <w:right w:w="43" w:type="dxa"/>
            </w:tcMar>
            <w:vAlign w:val="bottom"/>
          </w:tcPr>
          <w:p w14:paraId="693EC1E8" w14:textId="77777777" w:rsidR="00FE02EF" w:rsidRPr="00CC19F7" w:rsidRDefault="00881E58" w:rsidP="002E78FA">
            <w:pPr>
              <w:jc w:val="right"/>
            </w:pPr>
            <w:r w:rsidRPr="00CC19F7">
              <w:t>520 035</w:t>
            </w:r>
          </w:p>
        </w:tc>
        <w:tc>
          <w:tcPr>
            <w:tcW w:w="1766" w:type="dxa"/>
            <w:tcBorders>
              <w:top w:val="nil"/>
              <w:left w:val="nil"/>
              <w:bottom w:val="nil"/>
              <w:right w:val="nil"/>
            </w:tcBorders>
            <w:tcMar>
              <w:top w:w="128" w:type="dxa"/>
              <w:left w:w="43" w:type="dxa"/>
              <w:bottom w:w="43" w:type="dxa"/>
              <w:right w:w="43" w:type="dxa"/>
            </w:tcMar>
            <w:vAlign w:val="bottom"/>
          </w:tcPr>
          <w:p w14:paraId="27A1CA68" w14:textId="77777777" w:rsidR="00FE02EF" w:rsidRPr="00CC19F7" w:rsidRDefault="00881E58" w:rsidP="002E78FA">
            <w:pPr>
              <w:jc w:val="right"/>
            </w:pPr>
            <w:r w:rsidRPr="00CC19F7">
              <w:t>100,94</w:t>
            </w:r>
          </w:p>
        </w:tc>
      </w:tr>
      <w:tr w:rsidR="00FE02EF" w:rsidRPr="00CC19F7" w14:paraId="6AED0BCB" w14:textId="77777777" w:rsidTr="002E78FA">
        <w:trPr>
          <w:trHeight w:val="380"/>
        </w:trPr>
        <w:tc>
          <w:tcPr>
            <w:tcW w:w="2225" w:type="dxa"/>
            <w:vMerge w:val="restart"/>
            <w:tcBorders>
              <w:top w:val="nil"/>
              <w:left w:val="nil"/>
              <w:bottom w:val="single" w:sz="4" w:space="0" w:color="000000"/>
              <w:right w:val="nil"/>
            </w:tcBorders>
            <w:tcMar>
              <w:top w:w="128" w:type="dxa"/>
              <w:left w:w="43" w:type="dxa"/>
              <w:bottom w:w="43" w:type="dxa"/>
              <w:right w:w="43" w:type="dxa"/>
            </w:tcMar>
          </w:tcPr>
          <w:p w14:paraId="7233BCE8" w14:textId="77777777" w:rsidR="00FE02EF" w:rsidRPr="00CC19F7" w:rsidRDefault="00881E58" w:rsidP="002E78FA">
            <w:r w:rsidRPr="00CC19F7">
              <w:t>Førstekonsulent</w:t>
            </w:r>
          </w:p>
        </w:tc>
        <w:tc>
          <w:tcPr>
            <w:tcW w:w="851" w:type="dxa"/>
            <w:tcBorders>
              <w:top w:val="nil"/>
              <w:left w:val="nil"/>
              <w:bottom w:val="nil"/>
              <w:right w:val="nil"/>
            </w:tcBorders>
            <w:tcMar>
              <w:top w:w="128" w:type="dxa"/>
              <w:left w:w="43" w:type="dxa"/>
              <w:bottom w:w="43" w:type="dxa"/>
              <w:right w:w="43" w:type="dxa"/>
            </w:tcMar>
          </w:tcPr>
          <w:p w14:paraId="45E30492" w14:textId="77777777" w:rsidR="00FE02EF" w:rsidRPr="00CC19F7" w:rsidRDefault="00881E58" w:rsidP="002E78FA">
            <w:r w:rsidRPr="00CC19F7">
              <w:t>2022</w:t>
            </w:r>
          </w:p>
        </w:tc>
        <w:tc>
          <w:tcPr>
            <w:tcW w:w="1134" w:type="dxa"/>
            <w:tcBorders>
              <w:top w:val="nil"/>
              <w:left w:val="nil"/>
              <w:bottom w:val="nil"/>
              <w:right w:val="nil"/>
            </w:tcBorders>
            <w:tcMar>
              <w:top w:w="128" w:type="dxa"/>
              <w:left w:w="43" w:type="dxa"/>
              <w:bottom w:w="43" w:type="dxa"/>
              <w:right w:w="43" w:type="dxa"/>
            </w:tcMar>
            <w:vAlign w:val="bottom"/>
          </w:tcPr>
          <w:p w14:paraId="31332B48" w14:textId="77777777" w:rsidR="00FE02EF" w:rsidRPr="00CC19F7" w:rsidRDefault="00881E58" w:rsidP="002E78FA">
            <w:pPr>
              <w:jc w:val="right"/>
            </w:pPr>
            <w:r w:rsidRPr="00CC19F7">
              <w:t>6</w:t>
            </w:r>
          </w:p>
        </w:tc>
        <w:tc>
          <w:tcPr>
            <w:tcW w:w="992" w:type="dxa"/>
            <w:tcBorders>
              <w:top w:val="nil"/>
              <w:left w:val="nil"/>
              <w:bottom w:val="nil"/>
              <w:right w:val="nil"/>
            </w:tcBorders>
            <w:tcMar>
              <w:top w:w="128" w:type="dxa"/>
              <w:left w:w="43" w:type="dxa"/>
              <w:bottom w:w="43" w:type="dxa"/>
              <w:right w:w="43" w:type="dxa"/>
            </w:tcMar>
            <w:vAlign w:val="bottom"/>
          </w:tcPr>
          <w:p w14:paraId="1310459F" w14:textId="77777777" w:rsidR="00FE02EF" w:rsidRPr="00CC19F7" w:rsidRDefault="00881E58" w:rsidP="002E78FA">
            <w:pPr>
              <w:jc w:val="right"/>
            </w:pPr>
            <w:r w:rsidRPr="00CC19F7">
              <w:t>9</w:t>
            </w:r>
          </w:p>
        </w:tc>
        <w:tc>
          <w:tcPr>
            <w:tcW w:w="1276" w:type="dxa"/>
            <w:tcBorders>
              <w:top w:val="nil"/>
              <w:left w:val="nil"/>
              <w:bottom w:val="nil"/>
              <w:right w:val="nil"/>
            </w:tcBorders>
            <w:tcMar>
              <w:top w:w="128" w:type="dxa"/>
              <w:left w:w="43" w:type="dxa"/>
              <w:bottom w:w="43" w:type="dxa"/>
              <w:right w:w="43" w:type="dxa"/>
            </w:tcMar>
            <w:vAlign w:val="bottom"/>
          </w:tcPr>
          <w:p w14:paraId="724B9DC8" w14:textId="77777777" w:rsidR="00FE02EF" w:rsidRPr="00CC19F7" w:rsidRDefault="00881E58" w:rsidP="002E78FA">
            <w:pPr>
              <w:jc w:val="right"/>
            </w:pPr>
            <w:r w:rsidRPr="00CC19F7">
              <w:t>516 667</w:t>
            </w:r>
          </w:p>
        </w:tc>
        <w:tc>
          <w:tcPr>
            <w:tcW w:w="1276" w:type="dxa"/>
            <w:tcBorders>
              <w:top w:val="nil"/>
              <w:left w:val="nil"/>
              <w:bottom w:val="nil"/>
              <w:right w:val="nil"/>
            </w:tcBorders>
            <w:tcMar>
              <w:top w:w="128" w:type="dxa"/>
              <w:left w:w="43" w:type="dxa"/>
              <w:bottom w:w="43" w:type="dxa"/>
              <w:right w:w="43" w:type="dxa"/>
            </w:tcMar>
            <w:vAlign w:val="bottom"/>
          </w:tcPr>
          <w:p w14:paraId="59F0E443" w14:textId="77777777" w:rsidR="00FE02EF" w:rsidRPr="00CC19F7" w:rsidRDefault="00881E58" w:rsidP="002E78FA">
            <w:pPr>
              <w:jc w:val="right"/>
            </w:pPr>
            <w:r w:rsidRPr="00CC19F7">
              <w:t>521 388</w:t>
            </w:r>
          </w:p>
        </w:tc>
        <w:tc>
          <w:tcPr>
            <w:tcW w:w="1766" w:type="dxa"/>
            <w:tcBorders>
              <w:top w:val="nil"/>
              <w:left w:val="nil"/>
              <w:bottom w:val="nil"/>
              <w:right w:val="nil"/>
            </w:tcBorders>
            <w:tcMar>
              <w:top w:w="128" w:type="dxa"/>
              <w:left w:w="43" w:type="dxa"/>
              <w:bottom w:w="43" w:type="dxa"/>
              <w:right w:w="43" w:type="dxa"/>
            </w:tcMar>
            <w:vAlign w:val="bottom"/>
          </w:tcPr>
          <w:p w14:paraId="0971B9AE" w14:textId="77777777" w:rsidR="00FE02EF" w:rsidRPr="00CC19F7" w:rsidRDefault="00881E58" w:rsidP="002E78FA">
            <w:pPr>
              <w:jc w:val="right"/>
            </w:pPr>
            <w:r w:rsidRPr="00CC19F7">
              <w:t>99,09</w:t>
            </w:r>
          </w:p>
        </w:tc>
      </w:tr>
      <w:tr w:rsidR="00FE02EF" w:rsidRPr="00CC19F7" w14:paraId="62BE2CAB" w14:textId="77777777" w:rsidTr="002E78FA">
        <w:trPr>
          <w:trHeight w:val="380"/>
        </w:trPr>
        <w:tc>
          <w:tcPr>
            <w:tcW w:w="2225" w:type="dxa"/>
            <w:vMerge/>
            <w:tcBorders>
              <w:top w:val="nil"/>
              <w:left w:val="nil"/>
              <w:bottom w:val="single" w:sz="4" w:space="0" w:color="000000"/>
              <w:right w:val="nil"/>
            </w:tcBorders>
          </w:tcPr>
          <w:p w14:paraId="22EA64CE" w14:textId="77777777" w:rsidR="00FE02EF" w:rsidRPr="00CC19F7" w:rsidRDefault="00FE02EF" w:rsidP="002E78FA"/>
        </w:tc>
        <w:tc>
          <w:tcPr>
            <w:tcW w:w="851" w:type="dxa"/>
            <w:tcBorders>
              <w:top w:val="nil"/>
              <w:left w:val="nil"/>
              <w:bottom w:val="single" w:sz="4" w:space="0" w:color="000000"/>
              <w:right w:val="nil"/>
            </w:tcBorders>
            <w:tcMar>
              <w:top w:w="128" w:type="dxa"/>
              <w:left w:w="43" w:type="dxa"/>
              <w:bottom w:w="43" w:type="dxa"/>
              <w:right w:w="43" w:type="dxa"/>
            </w:tcMar>
          </w:tcPr>
          <w:p w14:paraId="152A08A2" w14:textId="77777777" w:rsidR="00FE02EF" w:rsidRPr="00CC19F7" w:rsidRDefault="00881E58" w:rsidP="002E78FA">
            <w:r w:rsidRPr="00CC19F7">
              <w:t>2021</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0899E182" w14:textId="77777777" w:rsidR="00FE02EF" w:rsidRPr="00CC19F7" w:rsidRDefault="00881E58" w:rsidP="002E78FA">
            <w:pPr>
              <w:jc w:val="right"/>
            </w:pPr>
            <w:r w:rsidRPr="00CC19F7">
              <w:t>-</w:t>
            </w:r>
          </w:p>
        </w:tc>
        <w:tc>
          <w:tcPr>
            <w:tcW w:w="992" w:type="dxa"/>
            <w:tcBorders>
              <w:top w:val="nil"/>
              <w:left w:val="nil"/>
              <w:bottom w:val="single" w:sz="4" w:space="0" w:color="000000"/>
              <w:right w:val="nil"/>
            </w:tcBorders>
            <w:tcMar>
              <w:top w:w="128" w:type="dxa"/>
              <w:left w:w="43" w:type="dxa"/>
              <w:bottom w:w="43" w:type="dxa"/>
              <w:right w:w="43" w:type="dxa"/>
            </w:tcMar>
            <w:vAlign w:val="bottom"/>
          </w:tcPr>
          <w:p w14:paraId="126CE39D" w14:textId="77777777" w:rsidR="00FE02EF" w:rsidRPr="00CC19F7" w:rsidRDefault="00881E58" w:rsidP="002E78FA">
            <w:pPr>
              <w:jc w:val="right"/>
            </w:pPr>
            <w:r w:rsidRPr="00CC19F7">
              <w:t>3</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7664B807" w14:textId="77777777" w:rsidR="00FE02EF" w:rsidRPr="00CC19F7" w:rsidRDefault="00881E58" w:rsidP="002E78FA">
            <w:pPr>
              <w:jc w:val="right"/>
            </w:pPr>
            <w:r w:rsidRPr="00CC19F7">
              <w:t>-</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10F4D503" w14:textId="77777777" w:rsidR="00FE02EF" w:rsidRPr="00CC19F7" w:rsidRDefault="00881E58" w:rsidP="002E78FA">
            <w:pPr>
              <w:jc w:val="right"/>
            </w:pPr>
            <w:r w:rsidRPr="00CC19F7">
              <w:t>483 700</w:t>
            </w:r>
          </w:p>
        </w:tc>
        <w:tc>
          <w:tcPr>
            <w:tcW w:w="1766" w:type="dxa"/>
            <w:tcBorders>
              <w:top w:val="nil"/>
              <w:left w:val="nil"/>
              <w:bottom w:val="single" w:sz="4" w:space="0" w:color="000000"/>
              <w:right w:val="nil"/>
            </w:tcBorders>
            <w:tcMar>
              <w:top w:w="128" w:type="dxa"/>
              <w:left w:w="43" w:type="dxa"/>
              <w:bottom w:w="43" w:type="dxa"/>
              <w:right w:w="43" w:type="dxa"/>
            </w:tcMar>
            <w:vAlign w:val="bottom"/>
          </w:tcPr>
          <w:p w14:paraId="1B9CA04B" w14:textId="77777777" w:rsidR="00FE02EF" w:rsidRPr="00CC19F7" w:rsidRDefault="00881E58" w:rsidP="002E78FA">
            <w:pPr>
              <w:jc w:val="right"/>
            </w:pPr>
            <w:r w:rsidRPr="00CC19F7">
              <w:t>-</w:t>
            </w:r>
          </w:p>
        </w:tc>
      </w:tr>
    </w:tbl>
    <w:p w14:paraId="73078C58" w14:textId="703FE906" w:rsidR="00FE02EF" w:rsidRDefault="00881E58" w:rsidP="00CC19F7">
      <w:pPr>
        <w:pStyle w:val="tabell-noter"/>
      </w:pPr>
      <w:r w:rsidRPr="00CC19F7">
        <w:t xml:space="preserve">Tilsette i ulønt permisjon er </w:t>
      </w:r>
      <w:proofErr w:type="spellStart"/>
      <w:r w:rsidRPr="00CC19F7">
        <w:t>rekna</w:t>
      </w:r>
      <w:proofErr w:type="spellEnd"/>
      <w:r w:rsidRPr="00CC19F7">
        <w:t xml:space="preserve"> med i </w:t>
      </w:r>
      <w:proofErr w:type="spellStart"/>
      <w:r w:rsidRPr="00CC19F7">
        <w:t>oversikta</w:t>
      </w:r>
      <w:proofErr w:type="spellEnd"/>
      <w:r w:rsidRPr="00CC19F7">
        <w:t xml:space="preserve"> over </w:t>
      </w:r>
      <w:proofErr w:type="spellStart"/>
      <w:r w:rsidRPr="00CC19F7">
        <w:t>lønnsforskjellar</w:t>
      </w:r>
      <w:proofErr w:type="spellEnd"/>
      <w:r w:rsidRPr="00CC19F7">
        <w:t xml:space="preserve">. </w:t>
      </w:r>
      <w:proofErr w:type="spellStart"/>
      <w:r w:rsidRPr="00CC19F7">
        <w:t>Kategoriar</w:t>
      </w:r>
      <w:proofErr w:type="spellEnd"/>
      <w:r w:rsidRPr="00CC19F7">
        <w:t xml:space="preserve"> med </w:t>
      </w:r>
      <w:proofErr w:type="spellStart"/>
      <w:r w:rsidRPr="00CC19F7">
        <w:t>berre</w:t>
      </w:r>
      <w:proofErr w:type="spellEnd"/>
      <w:r w:rsidRPr="00CC19F7">
        <w:t xml:space="preserve"> </w:t>
      </w:r>
      <w:proofErr w:type="spellStart"/>
      <w:r w:rsidRPr="00CC19F7">
        <w:t>éin</w:t>
      </w:r>
      <w:proofErr w:type="spellEnd"/>
      <w:r w:rsidRPr="00CC19F7">
        <w:t xml:space="preserve"> tilsett er </w:t>
      </w:r>
      <w:proofErr w:type="spellStart"/>
      <w:r w:rsidRPr="00CC19F7">
        <w:t>ikkje</w:t>
      </w:r>
      <w:proofErr w:type="spellEnd"/>
      <w:r w:rsidRPr="00CC19F7">
        <w:t xml:space="preserve"> med.</w:t>
      </w:r>
      <w:r w:rsidR="002E78FA">
        <w:t>¨</w:t>
      </w:r>
    </w:p>
    <w:p w14:paraId="4D8F1AA2" w14:textId="05FD9BE9" w:rsidR="002E78FA" w:rsidRPr="002E78FA" w:rsidRDefault="002E78FA" w:rsidP="002E78FA">
      <w:pPr>
        <w:pStyle w:val="tabell-tittel"/>
      </w:pPr>
      <w:r w:rsidRPr="00CC19F7">
        <w:t>Kjønnsbalanse</w:t>
      </w:r>
    </w:p>
    <w:p w14:paraId="039FF2D9" w14:textId="77777777" w:rsidR="00FE02EF" w:rsidRPr="00CC19F7" w:rsidRDefault="00881E58" w:rsidP="00CC19F7">
      <w:pPr>
        <w:pStyle w:val="Tabellnavn"/>
      </w:pPr>
      <w:r w:rsidRPr="00CC19F7">
        <w:t>10J2xt2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940"/>
        <w:gridCol w:w="940"/>
        <w:gridCol w:w="940"/>
        <w:gridCol w:w="940"/>
        <w:gridCol w:w="940"/>
        <w:gridCol w:w="940"/>
        <w:gridCol w:w="940"/>
        <w:gridCol w:w="940"/>
        <w:gridCol w:w="940"/>
        <w:gridCol w:w="940"/>
      </w:tblGrid>
      <w:tr w:rsidR="00FE02EF" w:rsidRPr="00CC19F7" w14:paraId="1FD2E8F6" w14:textId="77777777">
        <w:trPr>
          <w:trHeight w:val="860"/>
        </w:trPr>
        <w:tc>
          <w:tcPr>
            <w:tcW w:w="188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1D985DD1" w14:textId="77777777" w:rsidR="00FE02EF" w:rsidRPr="00CC19F7" w:rsidRDefault="00881E58" w:rsidP="002E78FA">
            <w:pPr>
              <w:jc w:val="center"/>
            </w:pPr>
            <w:r w:rsidRPr="00CC19F7">
              <w:t>Kjønnsbalanse</w:t>
            </w:r>
          </w:p>
          <w:p w14:paraId="7953E819" w14:textId="77777777" w:rsidR="00FE02EF" w:rsidRPr="00CC19F7" w:rsidRDefault="00881E58" w:rsidP="002E78FA">
            <w:pPr>
              <w:jc w:val="center"/>
            </w:pPr>
            <w:r w:rsidRPr="00CC19F7">
              <w:t>(</w:t>
            </w:r>
            <w:proofErr w:type="spellStart"/>
            <w:r w:rsidRPr="00CC19F7">
              <w:t>antal</w:t>
            </w:r>
            <w:proofErr w:type="spellEnd"/>
            <w:r w:rsidRPr="00CC19F7">
              <w:t xml:space="preserve"> tilsette)</w:t>
            </w:r>
          </w:p>
        </w:tc>
        <w:tc>
          <w:tcPr>
            <w:tcW w:w="188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22FC0ABC" w14:textId="77777777" w:rsidR="00FE02EF" w:rsidRPr="00CC19F7" w:rsidRDefault="00881E58" w:rsidP="002E78FA">
            <w:pPr>
              <w:jc w:val="center"/>
            </w:pPr>
            <w:r w:rsidRPr="00CC19F7">
              <w:t>Mellombels tilsette per 31.12.2022</w:t>
            </w:r>
          </w:p>
          <w:p w14:paraId="3A348751" w14:textId="77777777" w:rsidR="00FE02EF" w:rsidRPr="00CC19F7" w:rsidRDefault="00881E58" w:rsidP="002E78FA">
            <w:pPr>
              <w:jc w:val="center"/>
            </w:pPr>
            <w:r w:rsidRPr="00CC19F7">
              <w:t>(</w:t>
            </w:r>
            <w:proofErr w:type="spellStart"/>
            <w:r w:rsidRPr="00CC19F7">
              <w:t>antal</w:t>
            </w:r>
            <w:proofErr w:type="spellEnd"/>
            <w:r w:rsidRPr="00CC19F7">
              <w:t xml:space="preserve"> tilsette)</w:t>
            </w:r>
          </w:p>
        </w:tc>
        <w:tc>
          <w:tcPr>
            <w:tcW w:w="188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0C381109" w14:textId="77777777" w:rsidR="00FE02EF" w:rsidRPr="00CC19F7" w:rsidRDefault="00881E58" w:rsidP="002E78FA">
            <w:pPr>
              <w:jc w:val="center"/>
            </w:pPr>
            <w:r w:rsidRPr="00CC19F7">
              <w:t>Foreldrepermisjon</w:t>
            </w:r>
            <w:r w:rsidRPr="00CC19F7">
              <w:br/>
              <w:t xml:space="preserve"> i 2022</w:t>
            </w:r>
          </w:p>
          <w:p w14:paraId="5DF23B3E" w14:textId="77777777" w:rsidR="00FE02EF" w:rsidRPr="00CC19F7" w:rsidRDefault="00881E58" w:rsidP="002E78FA">
            <w:pPr>
              <w:jc w:val="center"/>
            </w:pPr>
            <w:r w:rsidRPr="00CC19F7">
              <w:t>(</w:t>
            </w:r>
            <w:proofErr w:type="spellStart"/>
            <w:r w:rsidRPr="00CC19F7">
              <w:t>antal</w:t>
            </w:r>
            <w:proofErr w:type="spellEnd"/>
            <w:r w:rsidRPr="00CC19F7">
              <w:t xml:space="preserve"> tilsette)</w:t>
            </w:r>
          </w:p>
        </w:tc>
        <w:tc>
          <w:tcPr>
            <w:tcW w:w="188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30D7A379" w14:textId="77777777" w:rsidR="00FE02EF" w:rsidRPr="00CC19F7" w:rsidRDefault="00881E58" w:rsidP="002E78FA">
            <w:pPr>
              <w:jc w:val="center"/>
            </w:pPr>
            <w:r w:rsidRPr="00CC19F7">
              <w:t>Faktisk deltid per 31.12.2022</w:t>
            </w:r>
          </w:p>
          <w:p w14:paraId="5BA72CA7" w14:textId="77777777" w:rsidR="00FE02EF" w:rsidRPr="00CC19F7" w:rsidRDefault="00881E58" w:rsidP="002E78FA">
            <w:pPr>
              <w:jc w:val="center"/>
            </w:pPr>
            <w:r w:rsidRPr="00CC19F7">
              <w:t>(</w:t>
            </w:r>
            <w:proofErr w:type="spellStart"/>
            <w:r w:rsidRPr="00CC19F7">
              <w:t>antal</w:t>
            </w:r>
            <w:proofErr w:type="spellEnd"/>
            <w:r w:rsidRPr="00CC19F7">
              <w:t xml:space="preserve"> tilsette)</w:t>
            </w:r>
          </w:p>
        </w:tc>
        <w:tc>
          <w:tcPr>
            <w:tcW w:w="188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3768D863" w14:textId="77777777" w:rsidR="00FE02EF" w:rsidRPr="00CC19F7" w:rsidRDefault="00881E58" w:rsidP="002E78FA">
            <w:pPr>
              <w:jc w:val="center"/>
            </w:pPr>
            <w:proofErr w:type="spellStart"/>
            <w:r w:rsidRPr="00CC19F7">
              <w:t>Sjukefråvær</w:t>
            </w:r>
            <w:proofErr w:type="spellEnd"/>
            <w:r w:rsidRPr="00CC19F7">
              <w:t xml:space="preserve"> 2022</w:t>
            </w:r>
          </w:p>
          <w:p w14:paraId="4C422003" w14:textId="77777777" w:rsidR="00FE02EF" w:rsidRPr="00CC19F7" w:rsidRDefault="00881E58" w:rsidP="002E78FA">
            <w:pPr>
              <w:jc w:val="center"/>
            </w:pPr>
            <w:r w:rsidRPr="00CC19F7">
              <w:t>(prosentandel av</w:t>
            </w:r>
            <w:r w:rsidRPr="00CC19F7">
              <w:br/>
              <w:t xml:space="preserve"> tilsette)</w:t>
            </w:r>
          </w:p>
        </w:tc>
      </w:tr>
      <w:tr w:rsidR="00FE02EF" w:rsidRPr="00CC19F7" w14:paraId="1CC99399" w14:textId="77777777">
        <w:trPr>
          <w:trHeight w:val="360"/>
        </w:trPr>
        <w:tc>
          <w:tcPr>
            <w:tcW w:w="940" w:type="dxa"/>
            <w:tcBorders>
              <w:top w:val="nil"/>
              <w:left w:val="nil"/>
              <w:bottom w:val="single" w:sz="4" w:space="0" w:color="000000"/>
              <w:right w:val="nil"/>
            </w:tcBorders>
            <w:tcMar>
              <w:top w:w="128" w:type="dxa"/>
              <w:left w:w="43" w:type="dxa"/>
              <w:bottom w:w="43" w:type="dxa"/>
              <w:right w:w="43" w:type="dxa"/>
            </w:tcMar>
            <w:vAlign w:val="bottom"/>
          </w:tcPr>
          <w:p w14:paraId="793FDEFC" w14:textId="77777777" w:rsidR="00FE02EF" w:rsidRPr="00CC19F7" w:rsidRDefault="00881E58" w:rsidP="002E78FA">
            <w:pPr>
              <w:jc w:val="center"/>
            </w:pPr>
            <w:r w:rsidRPr="00CC19F7">
              <w:t>Kvinner</w:t>
            </w:r>
          </w:p>
        </w:tc>
        <w:tc>
          <w:tcPr>
            <w:tcW w:w="940" w:type="dxa"/>
            <w:tcBorders>
              <w:top w:val="nil"/>
              <w:left w:val="nil"/>
              <w:bottom w:val="single" w:sz="4" w:space="0" w:color="000000"/>
              <w:right w:val="nil"/>
            </w:tcBorders>
            <w:tcMar>
              <w:top w:w="128" w:type="dxa"/>
              <w:left w:w="43" w:type="dxa"/>
              <w:bottom w:w="43" w:type="dxa"/>
              <w:right w:w="43" w:type="dxa"/>
            </w:tcMar>
            <w:vAlign w:val="bottom"/>
          </w:tcPr>
          <w:p w14:paraId="225A5D8A" w14:textId="77777777" w:rsidR="00FE02EF" w:rsidRPr="00CC19F7" w:rsidRDefault="00881E58" w:rsidP="002E78FA">
            <w:pPr>
              <w:jc w:val="center"/>
            </w:pPr>
            <w:r w:rsidRPr="00CC19F7">
              <w:t>Menn</w:t>
            </w:r>
          </w:p>
        </w:tc>
        <w:tc>
          <w:tcPr>
            <w:tcW w:w="940" w:type="dxa"/>
            <w:tcBorders>
              <w:top w:val="nil"/>
              <w:left w:val="nil"/>
              <w:bottom w:val="single" w:sz="4" w:space="0" w:color="000000"/>
              <w:right w:val="nil"/>
            </w:tcBorders>
            <w:tcMar>
              <w:top w:w="128" w:type="dxa"/>
              <w:left w:w="43" w:type="dxa"/>
              <w:bottom w:w="43" w:type="dxa"/>
              <w:right w:w="43" w:type="dxa"/>
            </w:tcMar>
            <w:vAlign w:val="bottom"/>
          </w:tcPr>
          <w:p w14:paraId="7FC33180" w14:textId="77777777" w:rsidR="00FE02EF" w:rsidRPr="00CC19F7" w:rsidRDefault="00881E58" w:rsidP="002E78FA">
            <w:pPr>
              <w:jc w:val="center"/>
            </w:pPr>
            <w:r w:rsidRPr="00CC19F7">
              <w:t>Kvinner</w:t>
            </w:r>
          </w:p>
        </w:tc>
        <w:tc>
          <w:tcPr>
            <w:tcW w:w="940" w:type="dxa"/>
            <w:tcBorders>
              <w:top w:val="nil"/>
              <w:left w:val="nil"/>
              <w:bottom w:val="single" w:sz="4" w:space="0" w:color="000000"/>
              <w:right w:val="nil"/>
            </w:tcBorders>
            <w:tcMar>
              <w:top w:w="128" w:type="dxa"/>
              <w:left w:w="43" w:type="dxa"/>
              <w:bottom w:w="43" w:type="dxa"/>
              <w:right w:w="43" w:type="dxa"/>
            </w:tcMar>
            <w:vAlign w:val="bottom"/>
          </w:tcPr>
          <w:p w14:paraId="7E4EE871" w14:textId="77777777" w:rsidR="00FE02EF" w:rsidRPr="00CC19F7" w:rsidRDefault="00881E58" w:rsidP="002E78FA">
            <w:pPr>
              <w:jc w:val="center"/>
            </w:pPr>
            <w:r w:rsidRPr="00CC19F7">
              <w:t>Menn</w:t>
            </w:r>
          </w:p>
        </w:tc>
        <w:tc>
          <w:tcPr>
            <w:tcW w:w="940" w:type="dxa"/>
            <w:tcBorders>
              <w:top w:val="nil"/>
              <w:left w:val="nil"/>
              <w:bottom w:val="single" w:sz="4" w:space="0" w:color="000000"/>
              <w:right w:val="nil"/>
            </w:tcBorders>
            <w:tcMar>
              <w:top w:w="128" w:type="dxa"/>
              <w:left w:w="43" w:type="dxa"/>
              <w:bottom w:w="43" w:type="dxa"/>
              <w:right w:w="43" w:type="dxa"/>
            </w:tcMar>
            <w:vAlign w:val="bottom"/>
          </w:tcPr>
          <w:p w14:paraId="34383B73" w14:textId="77777777" w:rsidR="00FE02EF" w:rsidRPr="00CC19F7" w:rsidRDefault="00881E58" w:rsidP="002E78FA">
            <w:pPr>
              <w:jc w:val="center"/>
            </w:pPr>
            <w:r w:rsidRPr="00CC19F7">
              <w:t>Kvinner</w:t>
            </w:r>
          </w:p>
        </w:tc>
        <w:tc>
          <w:tcPr>
            <w:tcW w:w="940" w:type="dxa"/>
            <w:tcBorders>
              <w:top w:val="nil"/>
              <w:left w:val="nil"/>
              <w:bottom w:val="single" w:sz="4" w:space="0" w:color="000000"/>
              <w:right w:val="nil"/>
            </w:tcBorders>
            <w:tcMar>
              <w:top w:w="128" w:type="dxa"/>
              <w:left w:w="43" w:type="dxa"/>
              <w:bottom w:w="43" w:type="dxa"/>
              <w:right w:w="43" w:type="dxa"/>
            </w:tcMar>
            <w:vAlign w:val="bottom"/>
          </w:tcPr>
          <w:p w14:paraId="6C4D831E" w14:textId="77777777" w:rsidR="00FE02EF" w:rsidRPr="00CC19F7" w:rsidRDefault="00881E58" w:rsidP="002E78FA">
            <w:pPr>
              <w:jc w:val="center"/>
            </w:pPr>
            <w:r w:rsidRPr="00CC19F7">
              <w:t>Menn</w:t>
            </w:r>
          </w:p>
        </w:tc>
        <w:tc>
          <w:tcPr>
            <w:tcW w:w="940" w:type="dxa"/>
            <w:tcBorders>
              <w:top w:val="nil"/>
              <w:left w:val="nil"/>
              <w:bottom w:val="single" w:sz="4" w:space="0" w:color="000000"/>
              <w:right w:val="nil"/>
            </w:tcBorders>
            <w:tcMar>
              <w:top w:w="128" w:type="dxa"/>
              <w:left w:w="43" w:type="dxa"/>
              <w:bottom w:w="43" w:type="dxa"/>
              <w:right w:w="43" w:type="dxa"/>
            </w:tcMar>
            <w:vAlign w:val="bottom"/>
          </w:tcPr>
          <w:p w14:paraId="74ABF5A7" w14:textId="77777777" w:rsidR="00FE02EF" w:rsidRPr="00CC19F7" w:rsidRDefault="00881E58" w:rsidP="002E78FA">
            <w:pPr>
              <w:jc w:val="center"/>
            </w:pPr>
            <w:r w:rsidRPr="00CC19F7">
              <w:t>Kvinner</w:t>
            </w:r>
          </w:p>
        </w:tc>
        <w:tc>
          <w:tcPr>
            <w:tcW w:w="940" w:type="dxa"/>
            <w:tcBorders>
              <w:top w:val="nil"/>
              <w:left w:val="nil"/>
              <w:bottom w:val="single" w:sz="4" w:space="0" w:color="000000"/>
              <w:right w:val="nil"/>
            </w:tcBorders>
            <w:tcMar>
              <w:top w:w="128" w:type="dxa"/>
              <w:left w:w="43" w:type="dxa"/>
              <w:bottom w:w="43" w:type="dxa"/>
              <w:right w:w="43" w:type="dxa"/>
            </w:tcMar>
            <w:vAlign w:val="bottom"/>
          </w:tcPr>
          <w:p w14:paraId="03FC0D45" w14:textId="77777777" w:rsidR="00FE02EF" w:rsidRPr="00CC19F7" w:rsidRDefault="00881E58" w:rsidP="002E78FA">
            <w:pPr>
              <w:jc w:val="center"/>
            </w:pPr>
            <w:r w:rsidRPr="00CC19F7">
              <w:t>Menn</w:t>
            </w:r>
          </w:p>
        </w:tc>
        <w:tc>
          <w:tcPr>
            <w:tcW w:w="940" w:type="dxa"/>
            <w:tcBorders>
              <w:top w:val="nil"/>
              <w:left w:val="nil"/>
              <w:bottom w:val="single" w:sz="4" w:space="0" w:color="000000"/>
              <w:right w:val="nil"/>
            </w:tcBorders>
            <w:tcMar>
              <w:top w:w="128" w:type="dxa"/>
              <w:left w:w="43" w:type="dxa"/>
              <w:bottom w:w="43" w:type="dxa"/>
              <w:right w:w="43" w:type="dxa"/>
            </w:tcMar>
            <w:vAlign w:val="bottom"/>
          </w:tcPr>
          <w:p w14:paraId="7795BE72" w14:textId="072FDAD6" w:rsidR="00FE02EF" w:rsidRPr="00CC19F7" w:rsidRDefault="00881E58" w:rsidP="002E78FA">
            <w:pPr>
              <w:jc w:val="center"/>
            </w:pPr>
            <w:r w:rsidRPr="00CC19F7">
              <w:t>Kvinner</w:t>
            </w:r>
          </w:p>
        </w:tc>
        <w:tc>
          <w:tcPr>
            <w:tcW w:w="940" w:type="dxa"/>
            <w:tcBorders>
              <w:top w:val="nil"/>
              <w:left w:val="nil"/>
              <w:bottom w:val="single" w:sz="4" w:space="0" w:color="000000"/>
              <w:right w:val="nil"/>
            </w:tcBorders>
            <w:tcMar>
              <w:top w:w="128" w:type="dxa"/>
              <w:left w:w="43" w:type="dxa"/>
              <w:bottom w:w="43" w:type="dxa"/>
              <w:right w:w="43" w:type="dxa"/>
            </w:tcMar>
            <w:vAlign w:val="bottom"/>
          </w:tcPr>
          <w:p w14:paraId="46B805F6" w14:textId="77777777" w:rsidR="00FE02EF" w:rsidRPr="00CC19F7" w:rsidRDefault="00881E58" w:rsidP="002E78FA">
            <w:pPr>
              <w:jc w:val="center"/>
            </w:pPr>
            <w:r w:rsidRPr="00CC19F7">
              <w:t>Menn</w:t>
            </w:r>
          </w:p>
        </w:tc>
      </w:tr>
      <w:tr w:rsidR="00FE02EF" w:rsidRPr="00CC19F7" w14:paraId="213AFEC6" w14:textId="77777777">
        <w:trPr>
          <w:trHeight w:val="380"/>
        </w:trPr>
        <w:tc>
          <w:tcPr>
            <w:tcW w:w="940" w:type="dxa"/>
            <w:tcBorders>
              <w:top w:val="single" w:sz="4" w:space="0" w:color="000000"/>
              <w:left w:val="nil"/>
              <w:bottom w:val="single" w:sz="4" w:space="0" w:color="000000"/>
              <w:right w:val="nil"/>
            </w:tcBorders>
            <w:tcMar>
              <w:top w:w="128" w:type="dxa"/>
              <w:left w:w="43" w:type="dxa"/>
              <w:bottom w:w="43" w:type="dxa"/>
              <w:right w:w="43" w:type="dxa"/>
            </w:tcMar>
          </w:tcPr>
          <w:p w14:paraId="7C301744" w14:textId="77777777" w:rsidR="00FE02EF" w:rsidRPr="00CC19F7" w:rsidRDefault="00881E58" w:rsidP="002E78FA">
            <w:pPr>
              <w:jc w:val="center"/>
            </w:pPr>
            <w:r w:rsidRPr="00CC19F7">
              <w:t>81</w:t>
            </w:r>
          </w:p>
        </w:tc>
        <w:tc>
          <w:tcPr>
            <w:tcW w:w="9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BF97EDE" w14:textId="77777777" w:rsidR="00FE02EF" w:rsidRPr="00CC19F7" w:rsidRDefault="00881E58" w:rsidP="002E78FA">
            <w:pPr>
              <w:jc w:val="center"/>
            </w:pPr>
            <w:r w:rsidRPr="00CC19F7">
              <w:t>72</w:t>
            </w:r>
          </w:p>
        </w:tc>
        <w:tc>
          <w:tcPr>
            <w:tcW w:w="9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D84EB89" w14:textId="77777777" w:rsidR="00FE02EF" w:rsidRPr="00CC19F7" w:rsidRDefault="00881E58" w:rsidP="002E78FA">
            <w:pPr>
              <w:jc w:val="center"/>
            </w:pPr>
            <w:r w:rsidRPr="00CC19F7">
              <w:t>4</w:t>
            </w:r>
          </w:p>
        </w:tc>
        <w:tc>
          <w:tcPr>
            <w:tcW w:w="9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F4C94ED" w14:textId="77777777" w:rsidR="00FE02EF" w:rsidRPr="00CC19F7" w:rsidRDefault="00881E58" w:rsidP="002E78FA">
            <w:pPr>
              <w:jc w:val="center"/>
            </w:pPr>
            <w:r w:rsidRPr="00CC19F7">
              <w:t>3</w:t>
            </w:r>
          </w:p>
        </w:tc>
        <w:tc>
          <w:tcPr>
            <w:tcW w:w="9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7FA1DBD" w14:textId="77777777" w:rsidR="00FE02EF" w:rsidRPr="00CC19F7" w:rsidRDefault="00881E58" w:rsidP="002E78FA">
            <w:pPr>
              <w:jc w:val="center"/>
            </w:pPr>
            <w:r w:rsidRPr="00CC19F7">
              <w:t>5</w:t>
            </w:r>
          </w:p>
        </w:tc>
        <w:tc>
          <w:tcPr>
            <w:tcW w:w="9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153CD1A" w14:textId="77777777" w:rsidR="00FE02EF" w:rsidRPr="00CC19F7" w:rsidRDefault="00881E58" w:rsidP="002E78FA">
            <w:pPr>
              <w:jc w:val="center"/>
            </w:pPr>
            <w:r w:rsidRPr="00CC19F7">
              <w:t>2</w:t>
            </w:r>
          </w:p>
        </w:tc>
        <w:tc>
          <w:tcPr>
            <w:tcW w:w="9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6F03896" w14:textId="77777777" w:rsidR="00FE02EF" w:rsidRPr="00CC19F7" w:rsidRDefault="00881E58" w:rsidP="002E78FA">
            <w:pPr>
              <w:jc w:val="center"/>
            </w:pPr>
            <w:r w:rsidRPr="00CC19F7">
              <w:t>1</w:t>
            </w:r>
          </w:p>
        </w:tc>
        <w:tc>
          <w:tcPr>
            <w:tcW w:w="9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8B799AD" w14:textId="77777777" w:rsidR="00FE02EF" w:rsidRPr="00CC19F7" w:rsidRDefault="00881E58" w:rsidP="002E78FA">
            <w:pPr>
              <w:jc w:val="center"/>
            </w:pPr>
            <w:r w:rsidRPr="00CC19F7">
              <w:t>2</w:t>
            </w:r>
          </w:p>
        </w:tc>
        <w:tc>
          <w:tcPr>
            <w:tcW w:w="9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68F4AC0" w14:textId="77777777" w:rsidR="00FE02EF" w:rsidRPr="00CC19F7" w:rsidRDefault="00881E58" w:rsidP="002E78FA">
            <w:pPr>
              <w:jc w:val="center"/>
            </w:pPr>
            <w:r w:rsidRPr="00CC19F7">
              <w:t>6,3</w:t>
            </w:r>
          </w:p>
        </w:tc>
        <w:tc>
          <w:tcPr>
            <w:tcW w:w="9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2339DD6" w14:textId="77777777" w:rsidR="00FE02EF" w:rsidRPr="00CC19F7" w:rsidRDefault="00881E58" w:rsidP="002E78FA">
            <w:pPr>
              <w:jc w:val="center"/>
            </w:pPr>
            <w:r w:rsidRPr="00CC19F7">
              <w:t>1,0</w:t>
            </w:r>
          </w:p>
        </w:tc>
      </w:tr>
    </w:tbl>
    <w:p w14:paraId="6D43D7FD" w14:textId="77777777" w:rsidR="00FE02EF" w:rsidRPr="00CC19F7" w:rsidRDefault="00881E58" w:rsidP="00CC19F7">
      <w:r w:rsidRPr="00CC19F7">
        <w:t xml:space="preserve">Det samla </w:t>
      </w:r>
      <w:proofErr w:type="spellStart"/>
      <w:r w:rsidRPr="00CC19F7">
        <w:t>sjukefråværet</w:t>
      </w:r>
      <w:proofErr w:type="spellEnd"/>
      <w:r w:rsidRPr="00CC19F7">
        <w:t xml:space="preserve"> var på 3,8 prosent i 2022, mot 2,8 prosent i 2021.</w:t>
      </w:r>
    </w:p>
    <w:p w14:paraId="5EC20629" w14:textId="77777777" w:rsidR="00FE02EF" w:rsidRPr="00CC19F7" w:rsidRDefault="00881E58" w:rsidP="00CC19F7">
      <w:pPr>
        <w:pStyle w:val="Overskrift2"/>
      </w:pPr>
      <w:r w:rsidRPr="00CC19F7">
        <w:t>Om arbeidet med å oppfylle aktivitetsplikta</w:t>
      </w:r>
    </w:p>
    <w:p w14:paraId="54733978" w14:textId="77777777" w:rsidR="00FE02EF" w:rsidRPr="00CC19F7" w:rsidRDefault="00881E58" w:rsidP="00CC19F7">
      <w:r w:rsidRPr="00CC19F7">
        <w:t xml:space="preserve">I 2020 og 2021 jobba ei partssamansett arbeidsgruppe i departementet med å vurdere likestillingssituasjonen i OED, mellom anna ved å identifisere </w:t>
      </w:r>
      <w:proofErr w:type="spellStart"/>
      <w:r w:rsidRPr="00CC19F7">
        <w:t>moglege</w:t>
      </w:r>
      <w:proofErr w:type="spellEnd"/>
      <w:r w:rsidRPr="00CC19F7">
        <w:t xml:space="preserve"> hinder for likestilling, vurdere årsakene og definere mål og tiltak. Det blei fokusert spesielt på skeiv kjønnsfordeling når det gjeld </w:t>
      </w:r>
      <w:proofErr w:type="spellStart"/>
      <w:r w:rsidRPr="00CC19F7">
        <w:t>leiarar</w:t>
      </w:r>
      <w:proofErr w:type="spellEnd"/>
      <w:r w:rsidRPr="00CC19F7">
        <w:t xml:space="preserve"> i departementet, i tillegg til </w:t>
      </w:r>
      <w:proofErr w:type="spellStart"/>
      <w:r w:rsidRPr="00CC19F7">
        <w:t>utfordringar</w:t>
      </w:r>
      <w:proofErr w:type="spellEnd"/>
      <w:r w:rsidRPr="00CC19F7">
        <w:t xml:space="preserve"> knytte til arbeidsbelastning, tilrettelegging for </w:t>
      </w:r>
      <w:proofErr w:type="spellStart"/>
      <w:r w:rsidRPr="00CC19F7">
        <w:t>fagleg</w:t>
      </w:r>
      <w:proofErr w:type="spellEnd"/>
      <w:r w:rsidRPr="00CC19F7">
        <w:t xml:space="preserve"> utvikling og </w:t>
      </w:r>
      <w:proofErr w:type="spellStart"/>
      <w:r w:rsidRPr="00CC19F7">
        <w:t>omsorgsoppgåver</w:t>
      </w:r>
      <w:proofErr w:type="spellEnd"/>
      <w:r w:rsidRPr="00CC19F7">
        <w:t xml:space="preserve">. Det er </w:t>
      </w:r>
      <w:proofErr w:type="spellStart"/>
      <w:r w:rsidRPr="00CC19F7">
        <w:t>ikkje</w:t>
      </w:r>
      <w:proofErr w:type="spellEnd"/>
      <w:r w:rsidRPr="00CC19F7">
        <w:t xml:space="preserve"> identifisert nye </w:t>
      </w:r>
      <w:proofErr w:type="spellStart"/>
      <w:r w:rsidRPr="00CC19F7">
        <w:t>utfordringar</w:t>
      </w:r>
      <w:proofErr w:type="spellEnd"/>
      <w:r w:rsidRPr="00CC19F7">
        <w:t>.</w:t>
      </w:r>
    </w:p>
    <w:p w14:paraId="6370A3FB" w14:textId="77777777" w:rsidR="00FE02EF" w:rsidRPr="00CC19F7" w:rsidRDefault="00881E58" w:rsidP="00CC19F7">
      <w:pPr>
        <w:pStyle w:val="Overskrift3"/>
      </w:pPr>
      <w:r w:rsidRPr="00CC19F7">
        <w:t>Rekruttering</w:t>
      </w:r>
    </w:p>
    <w:p w14:paraId="734FC9E5" w14:textId="77777777" w:rsidR="00FE02EF" w:rsidRPr="00CC19F7" w:rsidRDefault="00881E58" w:rsidP="00CC19F7">
      <w:r w:rsidRPr="00CC19F7">
        <w:t xml:space="preserve">Den </w:t>
      </w:r>
      <w:proofErr w:type="spellStart"/>
      <w:r w:rsidRPr="00CC19F7">
        <w:t>statlege</w:t>
      </w:r>
      <w:proofErr w:type="spellEnd"/>
      <w:r w:rsidRPr="00CC19F7">
        <w:t xml:space="preserve"> arbeidsstyrken skal i størst </w:t>
      </w:r>
      <w:proofErr w:type="spellStart"/>
      <w:r w:rsidRPr="00CC19F7">
        <w:t>mogleg</w:t>
      </w:r>
      <w:proofErr w:type="spellEnd"/>
      <w:r w:rsidRPr="00CC19F7">
        <w:t xml:space="preserve"> grad </w:t>
      </w:r>
      <w:proofErr w:type="spellStart"/>
      <w:r w:rsidRPr="00CC19F7">
        <w:t>spegle</w:t>
      </w:r>
      <w:proofErr w:type="spellEnd"/>
      <w:r w:rsidRPr="00CC19F7">
        <w:t xml:space="preserve"> </w:t>
      </w:r>
      <w:proofErr w:type="spellStart"/>
      <w:r w:rsidRPr="00CC19F7">
        <w:t>mangfaldet</w:t>
      </w:r>
      <w:proofErr w:type="spellEnd"/>
      <w:r w:rsidRPr="00CC19F7">
        <w:t xml:space="preserve"> i samfunnet. </w:t>
      </w:r>
      <w:proofErr w:type="spellStart"/>
      <w:r w:rsidRPr="00CC19F7">
        <w:t>Mangfaldserklæringa</w:t>
      </w:r>
      <w:proofErr w:type="spellEnd"/>
      <w:r w:rsidRPr="00CC19F7">
        <w:t xml:space="preserve"> går fram av </w:t>
      </w:r>
      <w:proofErr w:type="spellStart"/>
      <w:r w:rsidRPr="00CC19F7">
        <w:t>utlysingsteksten</w:t>
      </w:r>
      <w:proofErr w:type="spellEnd"/>
      <w:r w:rsidRPr="00CC19F7">
        <w:t xml:space="preserve"> når OED lyser ut ledige </w:t>
      </w:r>
      <w:proofErr w:type="spellStart"/>
      <w:r w:rsidRPr="00CC19F7">
        <w:t>stillingar</w:t>
      </w:r>
      <w:proofErr w:type="spellEnd"/>
      <w:r w:rsidRPr="00CC19F7">
        <w:t>.</w:t>
      </w:r>
    </w:p>
    <w:p w14:paraId="57013DBE" w14:textId="77777777" w:rsidR="00FE02EF" w:rsidRPr="00CC19F7" w:rsidRDefault="00881E58" w:rsidP="00CC19F7">
      <w:r w:rsidRPr="00CC19F7">
        <w:t xml:space="preserve">Det er </w:t>
      </w:r>
      <w:proofErr w:type="spellStart"/>
      <w:r w:rsidRPr="00CC19F7">
        <w:t>eit</w:t>
      </w:r>
      <w:proofErr w:type="spellEnd"/>
      <w:r w:rsidRPr="00CC19F7">
        <w:t xml:space="preserve"> mål å </w:t>
      </w:r>
      <w:proofErr w:type="spellStart"/>
      <w:r w:rsidRPr="00CC19F7">
        <w:t>oppretthalde</w:t>
      </w:r>
      <w:proofErr w:type="spellEnd"/>
      <w:r w:rsidRPr="00CC19F7">
        <w:t xml:space="preserve"> jamn kjønnsbalanse i departementet og få ei kjønnsfordeling på </w:t>
      </w:r>
      <w:proofErr w:type="spellStart"/>
      <w:r w:rsidRPr="00CC19F7">
        <w:t>leiarnivå</w:t>
      </w:r>
      <w:proofErr w:type="spellEnd"/>
      <w:r w:rsidRPr="00CC19F7">
        <w:t xml:space="preserve"> i tråd med denne. Departementet </w:t>
      </w:r>
      <w:proofErr w:type="spellStart"/>
      <w:r w:rsidRPr="00CC19F7">
        <w:t>oppfordrar</w:t>
      </w:r>
      <w:proofErr w:type="spellEnd"/>
      <w:r w:rsidRPr="00CC19F7">
        <w:t xml:space="preserve"> kvinner til å søke </w:t>
      </w:r>
      <w:proofErr w:type="spellStart"/>
      <w:r w:rsidRPr="00CC19F7">
        <w:t>leiarstillingar</w:t>
      </w:r>
      <w:proofErr w:type="spellEnd"/>
      <w:r w:rsidRPr="00CC19F7">
        <w:t xml:space="preserve"> og følger opp at kvalifiserte kvinner blir vurderte på same måte som kvalifiserte menn. Den </w:t>
      </w:r>
      <w:proofErr w:type="spellStart"/>
      <w:r w:rsidRPr="00CC19F7">
        <w:t>likestillingstillitsvalde</w:t>
      </w:r>
      <w:proofErr w:type="spellEnd"/>
      <w:r w:rsidRPr="00CC19F7">
        <w:t xml:space="preserve"> får </w:t>
      </w:r>
      <w:proofErr w:type="spellStart"/>
      <w:r w:rsidRPr="00CC19F7">
        <w:t>kunngjeringstekstar</w:t>
      </w:r>
      <w:proofErr w:type="spellEnd"/>
      <w:r w:rsidRPr="00CC19F7">
        <w:t xml:space="preserve"> på </w:t>
      </w:r>
      <w:proofErr w:type="spellStart"/>
      <w:r w:rsidRPr="00CC19F7">
        <w:t>leiarnivå</w:t>
      </w:r>
      <w:proofErr w:type="spellEnd"/>
      <w:r w:rsidRPr="00CC19F7">
        <w:t xml:space="preserve"> til uttale. OED ønsker å rekruttere </w:t>
      </w:r>
      <w:proofErr w:type="spellStart"/>
      <w:r w:rsidRPr="00CC19F7">
        <w:t>fleire</w:t>
      </w:r>
      <w:proofErr w:type="spellEnd"/>
      <w:r w:rsidRPr="00CC19F7">
        <w:t xml:space="preserve"> tilsette med </w:t>
      </w:r>
      <w:proofErr w:type="spellStart"/>
      <w:r w:rsidRPr="00CC19F7">
        <w:t>innvandrarbakgrunn</w:t>
      </w:r>
      <w:proofErr w:type="spellEnd"/>
      <w:r w:rsidRPr="00CC19F7">
        <w:t xml:space="preserve">, nedsett funksjonsevne eller </w:t>
      </w:r>
      <w:proofErr w:type="spellStart"/>
      <w:r w:rsidRPr="00CC19F7">
        <w:t>hòl</w:t>
      </w:r>
      <w:proofErr w:type="spellEnd"/>
      <w:r w:rsidRPr="00CC19F7">
        <w:t xml:space="preserve"> i CV-en, men opplever at det er få </w:t>
      </w:r>
      <w:proofErr w:type="spellStart"/>
      <w:r w:rsidRPr="00CC19F7">
        <w:t>fagleg</w:t>
      </w:r>
      <w:proofErr w:type="spellEnd"/>
      <w:r w:rsidRPr="00CC19F7">
        <w:t xml:space="preserve"> kvalifiserte </w:t>
      </w:r>
      <w:proofErr w:type="spellStart"/>
      <w:r w:rsidRPr="00CC19F7">
        <w:t>søkarar</w:t>
      </w:r>
      <w:proofErr w:type="spellEnd"/>
      <w:r w:rsidRPr="00CC19F7">
        <w:t xml:space="preserve"> i målgruppa. Departementet har gjennomgått rekrutteringsprosessen med </w:t>
      </w:r>
      <w:proofErr w:type="gramStart"/>
      <w:r w:rsidRPr="00CC19F7">
        <w:t>fokus</w:t>
      </w:r>
      <w:proofErr w:type="gramEnd"/>
      <w:r w:rsidRPr="00CC19F7">
        <w:t xml:space="preserve"> på inkludering, vurderer krav til norsk og </w:t>
      </w:r>
      <w:proofErr w:type="spellStart"/>
      <w:r w:rsidRPr="00CC19F7">
        <w:t>innhald</w:t>
      </w:r>
      <w:proofErr w:type="spellEnd"/>
      <w:r w:rsidRPr="00CC19F7">
        <w:t xml:space="preserve"> i </w:t>
      </w:r>
      <w:proofErr w:type="spellStart"/>
      <w:r w:rsidRPr="00CC19F7">
        <w:t>stillingar</w:t>
      </w:r>
      <w:proofErr w:type="spellEnd"/>
      <w:r w:rsidRPr="00CC19F7">
        <w:t xml:space="preserve"> som blir lyste ut, og bruker </w:t>
      </w:r>
      <w:proofErr w:type="spellStart"/>
      <w:r w:rsidRPr="00CC19F7">
        <w:t>kanalar</w:t>
      </w:r>
      <w:proofErr w:type="spellEnd"/>
      <w:r w:rsidRPr="00CC19F7">
        <w:t xml:space="preserve"> for annonsering som </w:t>
      </w:r>
      <w:proofErr w:type="spellStart"/>
      <w:r w:rsidRPr="00CC19F7">
        <w:t>rettar</w:t>
      </w:r>
      <w:proofErr w:type="spellEnd"/>
      <w:r w:rsidRPr="00CC19F7">
        <w:t xml:space="preserve"> seg mot målgruppa.</w:t>
      </w:r>
    </w:p>
    <w:p w14:paraId="65AA7D0F" w14:textId="77777777" w:rsidR="00FE02EF" w:rsidRPr="00CC19F7" w:rsidRDefault="00881E58" w:rsidP="00CC19F7">
      <w:pPr>
        <w:pStyle w:val="Overskrift3"/>
      </w:pPr>
      <w:r w:rsidRPr="00CC19F7">
        <w:t>Tilrettelegging</w:t>
      </w:r>
    </w:p>
    <w:p w14:paraId="588C9CE3" w14:textId="77777777" w:rsidR="00FE02EF" w:rsidRPr="00CC19F7" w:rsidRDefault="00881E58" w:rsidP="00CC19F7">
      <w:r w:rsidRPr="00CC19F7">
        <w:t xml:space="preserve">I arbeidet med aktivitets- og utgreiingsplikta blei det avdekt at </w:t>
      </w:r>
      <w:proofErr w:type="spellStart"/>
      <w:r w:rsidRPr="00CC19F7">
        <w:t>moglegheitene</w:t>
      </w:r>
      <w:proofErr w:type="spellEnd"/>
      <w:r w:rsidRPr="00CC19F7">
        <w:t xml:space="preserve"> for tilrettelegging </w:t>
      </w:r>
      <w:proofErr w:type="spellStart"/>
      <w:r w:rsidRPr="00CC19F7">
        <w:t>ikkje</w:t>
      </w:r>
      <w:proofErr w:type="spellEnd"/>
      <w:r w:rsidRPr="00CC19F7">
        <w:t xml:space="preserve"> var godt nok kommuniserte til </w:t>
      </w:r>
      <w:proofErr w:type="spellStart"/>
      <w:r w:rsidRPr="00CC19F7">
        <w:t>dei</w:t>
      </w:r>
      <w:proofErr w:type="spellEnd"/>
      <w:r w:rsidRPr="00CC19F7">
        <w:t xml:space="preserve"> tilsette. Departementet </w:t>
      </w:r>
      <w:proofErr w:type="spellStart"/>
      <w:r w:rsidRPr="00CC19F7">
        <w:t>legg</w:t>
      </w:r>
      <w:proofErr w:type="spellEnd"/>
      <w:r w:rsidRPr="00CC19F7">
        <w:t xml:space="preserve"> til rette ved konkrete behov. Tilrettelegging er </w:t>
      </w:r>
      <w:proofErr w:type="spellStart"/>
      <w:r w:rsidRPr="00CC19F7">
        <w:t>ein</w:t>
      </w:r>
      <w:proofErr w:type="spellEnd"/>
      <w:r w:rsidRPr="00CC19F7">
        <w:t xml:space="preserve"> del av </w:t>
      </w:r>
      <w:proofErr w:type="spellStart"/>
      <w:r w:rsidRPr="00CC19F7">
        <w:t>dei</w:t>
      </w:r>
      <w:proofErr w:type="spellEnd"/>
      <w:r w:rsidRPr="00CC19F7">
        <w:t xml:space="preserve"> interne retningslinjene for personalpolitikken og kommunisert i dialog med </w:t>
      </w:r>
      <w:proofErr w:type="spellStart"/>
      <w:r w:rsidRPr="00CC19F7">
        <w:t>leiarar</w:t>
      </w:r>
      <w:proofErr w:type="spellEnd"/>
      <w:r w:rsidRPr="00CC19F7">
        <w:t>/</w:t>
      </w:r>
      <w:proofErr w:type="spellStart"/>
      <w:r w:rsidRPr="00CC19F7">
        <w:t>medarbeidarar</w:t>
      </w:r>
      <w:proofErr w:type="spellEnd"/>
      <w:r w:rsidRPr="00CC19F7">
        <w:t>.</w:t>
      </w:r>
    </w:p>
    <w:p w14:paraId="256B94A5" w14:textId="77777777" w:rsidR="00FE02EF" w:rsidRPr="00CC19F7" w:rsidRDefault="00881E58" w:rsidP="00CC19F7">
      <w:pPr>
        <w:pStyle w:val="Overskrift3"/>
      </w:pPr>
      <w:r w:rsidRPr="00CC19F7">
        <w:t>Balanse mellom jobb og fritid</w:t>
      </w:r>
    </w:p>
    <w:p w14:paraId="2B32522A" w14:textId="77777777" w:rsidR="00FE02EF" w:rsidRPr="00CC19F7" w:rsidRDefault="00881E58" w:rsidP="00CC19F7">
      <w:r w:rsidRPr="00CC19F7">
        <w:t xml:space="preserve">For å bidra til at </w:t>
      </w:r>
      <w:proofErr w:type="spellStart"/>
      <w:r w:rsidRPr="00CC19F7">
        <w:t>medarbeidarar</w:t>
      </w:r>
      <w:proofErr w:type="spellEnd"/>
      <w:r w:rsidRPr="00CC19F7">
        <w:t xml:space="preserve"> og </w:t>
      </w:r>
      <w:proofErr w:type="spellStart"/>
      <w:r w:rsidRPr="00CC19F7">
        <w:t>leiarar</w:t>
      </w:r>
      <w:proofErr w:type="spellEnd"/>
      <w:r w:rsidRPr="00CC19F7">
        <w:t xml:space="preserve"> har ei </w:t>
      </w:r>
      <w:proofErr w:type="spellStart"/>
      <w:r w:rsidRPr="00CC19F7">
        <w:t>tilfredsstillande</w:t>
      </w:r>
      <w:proofErr w:type="spellEnd"/>
      <w:r w:rsidRPr="00CC19F7">
        <w:t xml:space="preserve"> arbeidsbelastning, blir det oppfordra til </w:t>
      </w:r>
      <w:proofErr w:type="spellStart"/>
      <w:r w:rsidRPr="00CC19F7">
        <w:t>ein</w:t>
      </w:r>
      <w:proofErr w:type="spellEnd"/>
      <w:r w:rsidRPr="00CC19F7">
        <w:t xml:space="preserve"> gjennomgang av fordelinga av </w:t>
      </w:r>
      <w:proofErr w:type="spellStart"/>
      <w:r w:rsidRPr="00CC19F7">
        <w:t>oppgåvene</w:t>
      </w:r>
      <w:proofErr w:type="spellEnd"/>
      <w:r w:rsidRPr="00CC19F7">
        <w:t xml:space="preserve"> i </w:t>
      </w:r>
      <w:proofErr w:type="spellStart"/>
      <w:r w:rsidRPr="00CC19F7">
        <w:t>seksjonar</w:t>
      </w:r>
      <w:proofErr w:type="spellEnd"/>
      <w:r w:rsidRPr="00CC19F7">
        <w:t>/</w:t>
      </w:r>
      <w:proofErr w:type="spellStart"/>
      <w:r w:rsidRPr="00CC19F7">
        <w:t>avdelingar</w:t>
      </w:r>
      <w:proofErr w:type="spellEnd"/>
      <w:r w:rsidRPr="00CC19F7">
        <w:t xml:space="preserve">. Arbeidsbelastning har </w:t>
      </w:r>
      <w:proofErr w:type="spellStart"/>
      <w:r w:rsidRPr="00CC19F7">
        <w:t>vore</w:t>
      </w:r>
      <w:proofErr w:type="spellEnd"/>
      <w:r w:rsidRPr="00CC19F7">
        <w:t xml:space="preserve"> tema i møte i </w:t>
      </w:r>
      <w:proofErr w:type="spellStart"/>
      <w:r w:rsidRPr="00CC19F7">
        <w:t>Arbeidsmiljøutvalet</w:t>
      </w:r>
      <w:proofErr w:type="spellEnd"/>
      <w:r w:rsidRPr="00CC19F7">
        <w:t>, og overtidsbruken blir gjennomgått.</w:t>
      </w:r>
    </w:p>
    <w:p w14:paraId="4486CF07" w14:textId="77777777" w:rsidR="00FE02EF" w:rsidRPr="00CC19F7" w:rsidRDefault="00881E58" w:rsidP="00CC19F7">
      <w:pPr>
        <w:pStyle w:val="Overskrift3"/>
      </w:pPr>
      <w:r w:rsidRPr="00CC19F7">
        <w:t>Lønns- og arbeidsvilkår</w:t>
      </w:r>
    </w:p>
    <w:p w14:paraId="02C11B1C" w14:textId="77777777" w:rsidR="00FE02EF" w:rsidRPr="00CC19F7" w:rsidRDefault="00881E58" w:rsidP="00CC19F7">
      <w:r w:rsidRPr="00CC19F7">
        <w:t>Målet er å sikre kjønnsnøytral og lik lønn for same arbeid eller arbeid av lik verdi.</w:t>
      </w:r>
    </w:p>
    <w:p w14:paraId="4539B34D" w14:textId="77777777" w:rsidR="00FE02EF" w:rsidRPr="00CC19F7" w:rsidRDefault="00881E58" w:rsidP="00CC19F7">
      <w:r w:rsidRPr="00CC19F7">
        <w:t xml:space="preserve">Lønnsstatistikken viser at menn samla sett har </w:t>
      </w:r>
      <w:proofErr w:type="spellStart"/>
      <w:r w:rsidRPr="00CC19F7">
        <w:t>høgare</w:t>
      </w:r>
      <w:proofErr w:type="spellEnd"/>
      <w:r w:rsidRPr="00CC19F7">
        <w:t xml:space="preserve"> snittlønn enn kvinner. Årsakene er samansette, men alderssamansetning og ansiennitet er </w:t>
      </w:r>
      <w:proofErr w:type="spellStart"/>
      <w:r w:rsidRPr="00CC19F7">
        <w:t>noko</w:t>
      </w:r>
      <w:proofErr w:type="spellEnd"/>
      <w:r w:rsidRPr="00CC19F7">
        <w:t xml:space="preserve"> av forklaringa. Tiltak for å sikre likelønn er nedfelte i personalpolitikken, lønnspolitikken og tilpassingsavtalen. Det blir gjort </w:t>
      </w:r>
      <w:proofErr w:type="spellStart"/>
      <w:r w:rsidRPr="00CC19F7">
        <w:t>likelønnsvurderingar</w:t>
      </w:r>
      <w:proofErr w:type="spellEnd"/>
      <w:r w:rsidRPr="00CC19F7">
        <w:t xml:space="preserve"> før </w:t>
      </w:r>
      <w:proofErr w:type="spellStart"/>
      <w:r w:rsidRPr="00CC19F7">
        <w:t>dei</w:t>
      </w:r>
      <w:proofErr w:type="spellEnd"/>
      <w:r w:rsidRPr="00CC19F7">
        <w:t xml:space="preserve"> </w:t>
      </w:r>
      <w:proofErr w:type="spellStart"/>
      <w:r w:rsidRPr="00CC19F7">
        <w:t>årlege</w:t>
      </w:r>
      <w:proofErr w:type="spellEnd"/>
      <w:r w:rsidRPr="00CC19F7">
        <w:t xml:space="preserve"> lokale </w:t>
      </w:r>
      <w:proofErr w:type="spellStart"/>
      <w:r w:rsidRPr="00CC19F7">
        <w:t>lønnsforhandlingane</w:t>
      </w:r>
      <w:proofErr w:type="spellEnd"/>
      <w:r w:rsidRPr="00CC19F7">
        <w:t xml:space="preserve">, baserte på kjønnsdelt lønnsstatistikk. For å </w:t>
      </w:r>
      <w:proofErr w:type="spellStart"/>
      <w:r w:rsidRPr="00CC19F7">
        <w:t>gjere</w:t>
      </w:r>
      <w:proofErr w:type="spellEnd"/>
      <w:r w:rsidRPr="00CC19F7">
        <w:t xml:space="preserve"> objektive </w:t>
      </w:r>
      <w:proofErr w:type="spellStart"/>
      <w:r w:rsidRPr="00CC19F7">
        <w:t>vurderingar</w:t>
      </w:r>
      <w:proofErr w:type="spellEnd"/>
      <w:r w:rsidRPr="00CC19F7">
        <w:t xml:space="preserve"> under </w:t>
      </w:r>
      <w:proofErr w:type="spellStart"/>
      <w:r w:rsidRPr="00CC19F7">
        <w:t>dei</w:t>
      </w:r>
      <w:proofErr w:type="spellEnd"/>
      <w:r w:rsidRPr="00CC19F7">
        <w:t xml:space="preserve"> lokale </w:t>
      </w:r>
      <w:proofErr w:type="spellStart"/>
      <w:r w:rsidRPr="00CC19F7">
        <w:t>forhandlingane</w:t>
      </w:r>
      <w:proofErr w:type="spellEnd"/>
      <w:r w:rsidRPr="00CC19F7">
        <w:t xml:space="preserve"> blir vurderingskriterium for lønnsfastsetting i den lokale lønnspolitikken i departementet nytta.</w:t>
      </w:r>
    </w:p>
    <w:p w14:paraId="51A0584E" w14:textId="77777777" w:rsidR="00FE02EF" w:rsidRPr="00CC19F7" w:rsidRDefault="00881E58" w:rsidP="00CC19F7">
      <w:pPr>
        <w:pStyle w:val="Overskrift3"/>
      </w:pPr>
      <w:r w:rsidRPr="00CC19F7">
        <w:t>Forfremming og utvikling</w:t>
      </w:r>
    </w:p>
    <w:p w14:paraId="0F68962F" w14:textId="77777777" w:rsidR="00FE02EF" w:rsidRPr="00CC19F7" w:rsidRDefault="00881E58" w:rsidP="00CC19F7">
      <w:r w:rsidRPr="00CC19F7">
        <w:t xml:space="preserve">Målet er å sikre </w:t>
      </w:r>
      <w:proofErr w:type="spellStart"/>
      <w:r w:rsidRPr="00CC19F7">
        <w:t>fagleg</w:t>
      </w:r>
      <w:proofErr w:type="spellEnd"/>
      <w:r w:rsidRPr="00CC19F7">
        <w:t xml:space="preserve"> og </w:t>
      </w:r>
      <w:proofErr w:type="spellStart"/>
      <w:r w:rsidRPr="00CC19F7">
        <w:t>personleg</w:t>
      </w:r>
      <w:proofErr w:type="spellEnd"/>
      <w:r w:rsidRPr="00CC19F7">
        <w:t xml:space="preserve"> utvikling for alle tilsette. Den enkelte </w:t>
      </w:r>
      <w:proofErr w:type="spellStart"/>
      <w:r w:rsidRPr="00CC19F7">
        <w:t>leiaren</w:t>
      </w:r>
      <w:proofErr w:type="spellEnd"/>
      <w:r w:rsidRPr="00CC19F7">
        <w:t xml:space="preserve"> har </w:t>
      </w:r>
      <w:proofErr w:type="spellStart"/>
      <w:r w:rsidRPr="00CC19F7">
        <w:t>hovudansvaret</w:t>
      </w:r>
      <w:proofErr w:type="spellEnd"/>
      <w:r w:rsidRPr="00CC19F7">
        <w:t xml:space="preserve"> for at </w:t>
      </w:r>
      <w:proofErr w:type="spellStart"/>
      <w:r w:rsidRPr="00CC19F7">
        <w:t>dei</w:t>
      </w:r>
      <w:proofErr w:type="spellEnd"/>
      <w:r w:rsidRPr="00CC19F7">
        <w:t xml:space="preserve"> tilsette får nødvendig kompetanse til å utføre </w:t>
      </w:r>
      <w:proofErr w:type="spellStart"/>
      <w:r w:rsidRPr="00CC19F7">
        <w:t>arbeidsoppgåvene</w:t>
      </w:r>
      <w:proofErr w:type="spellEnd"/>
      <w:r w:rsidRPr="00CC19F7">
        <w:t xml:space="preserve"> sine på </w:t>
      </w:r>
      <w:proofErr w:type="spellStart"/>
      <w:r w:rsidRPr="00CC19F7">
        <w:t>ein</w:t>
      </w:r>
      <w:proofErr w:type="spellEnd"/>
      <w:r w:rsidRPr="00CC19F7">
        <w:t xml:space="preserve"> </w:t>
      </w:r>
      <w:proofErr w:type="spellStart"/>
      <w:r w:rsidRPr="00CC19F7">
        <w:t>tilfredsstillande</w:t>
      </w:r>
      <w:proofErr w:type="spellEnd"/>
      <w:r w:rsidRPr="00CC19F7">
        <w:t xml:space="preserve"> måte. I prosjekt der </w:t>
      </w:r>
      <w:proofErr w:type="spellStart"/>
      <w:r w:rsidRPr="00CC19F7">
        <w:t>saksbehandlarar</w:t>
      </w:r>
      <w:proofErr w:type="spellEnd"/>
      <w:r w:rsidRPr="00CC19F7">
        <w:t xml:space="preserve"> får </w:t>
      </w:r>
      <w:proofErr w:type="spellStart"/>
      <w:r w:rsidRPr="00CC19F7">
        <w:t>leiaransvar</w:t>
      </w:r>
      <w:proofErr w:type="spellEnd"/>
      <w:r w:rsidRPr="00CC19F7">
        <w:t xml:space="preserve">, skal det </w:t>
      </w:r>
      <w:proofErr w:type="spellStart"/>
      <w:r w:rsidRPr="00CC19F7">
        <w:t>leggast</w:t>
      </w:r>
      <w:proofErr w:type="spellEnd"/>
      <w:r w:rsidRPr="00CC19F7">
        <w:t xml:space="preserve"> </w:t>
      </w:r>
      <w:proofErr w:type="spellStart"/>
      <w:r w:rsidRPr="00CC19F7">
        <w:t>særleg</w:t>
      </w:r>
      <w:proofErr w:type="spellEnd"/>
      <w:r w:rsidRPr="00CC19F7">
        <w:t xml:space="preserve"> vekt på å gi kvinner høve til </w:t>
      </w:r>
      <w:proofErr w:type="spellStart"/>
      <w:r w:rsidRPr="00CC19F7">
        <w:t>leiareksponering</w:t>
      </w:r>
      <w:proofErr w:type="spellEnd"/>
      <w:r w:rsidRPr="00CC19F7">
        <w:t>.</w:t>
      </w:r>
    </w:p>
    <w:p w14:paraId="3A56477D" w14:textId="77777777" w:rsidR="00FE02EF" w:rsidRPr="00CC19F7" w:rsidRDefault="00881E58" w:rsidP="00CC19F7">
      <w:pPr>
        <w:pStyle w:val="Overskrift3"/>
      </w:pPr>
      <w:r w:rsidRPr="00CC19F7">
        <w:t>Arbeidsmiljø</w:t>
      </w:r>
    </w:p>
    <w:p w14:paraId="1B016C04" w14:textId="77777777" w:rsidR="00FE02EF" w:rsidRPr="00CC19F7" w:rsidRDefault="00881E58" w:rsidP="00CC19F7">
      <w:proofErr w:type="spellStart"/>
      <w:r w:rsidRPr="00CC19F7">
        <w:t>Arbeidsmiljøundersøkingar</w:t>
      </w:r>
      <w:proofErr w:type="spellEnd"/>
      <w:r w:rsidRPr="00CC19F7">
        <w:t xml:space="preserve"> og </w:t>
      </w:r>
      <w:proofErr w:type="spellStart"/>
      <w:r w:rsidRPr="00CC19F7">
        <w:t>medarbeidarsamtalar</w:t>
      </w:r>
      <w:proofErr w:type="spellEnd"/>
      <w:r w:rsidRPr="00CC19F7">
        <w:t xml:space="preserve"> skal gi informasjon om arbeidsmiljøet i departementet og mellom anna bidra til å avdekke eventuelle </w:t>
      </w:r>
      <w:proofErr w:type="spellStart"/>
      <w:r w:rsidRPr="00CC19F7">
        <w:t>tilfelle</w:t>
      </w:r>
      <w:proofErr w:type="spellEnd"/>
      <w:r w:rsidRPr="00CC19F7">
        <w:t xml:space="preserve"> av trakassering. Departementet har eigne </w:t>
      </w:r>
      <w:proofErr w:type="spellStart"/>
      <w:r w:rsidRPr="00CC19F7">
        <w:t>varslingsrutinar</w:t>
      </w:r>
      <w:proofErr w:type="spellEnd"/>
      <w:r w:rsidRPr="00CC19F7">
        <w:t xml:space="preserve"> i </w:t>
      </w:r>
      <w:proofErr w:type="spellStart"/>
      <w:r w:rsidRPr="00CC19F7">
        <w:t>medhald</w:t>
      </w:r>
      <w:proofErr w:type="spellEnd"/>
      <w:r w:rsidRPr="00CC19F7">
        <w:t xml:space="preserve"> av arbeidsmiljølova, har </w:t>
      </w:r>
      <w:proofErr w:type="spellStart"/>
      <w:r w:rsidRPr="00CC19F7">
        <w:t>månadlege</w:t>
      </w:r>
      <w:proofErr w:type="spellEnd"/>
      <w:r w:rsidRPr="00CC19F7">
        <w:t xml:space="preserve"> møte med lokale </w:t>
      </w:r>
      <w:proofErr w:type="spellStart"/>
      <w:r w:rsidRPr="00CC19F7">
        <w:t>partar</w:t>
      </w:r>
      <w:proofErr w:type="spellEnd"/>
      <w:r w:rsidRPr="00CC19F7">
        <w:t xml:space="preserve"> i departementet og følger lov- og avtaleverket knytt til </w:t>
      </w:r>
      <w:proofErr w:type="spellStart"/>
      <w:r w:rsidRPr="00CC19F7">
        <w:t>verneombod</w:t>
      </w:r>
      <w:proofErr w:type="spellEnd"/>
      <w:r w:rsidRPr="00CC19F7">
        <w:t xml:space="preserve">, </w:t>
      </w:r>
      <w:proofErr w:type="spellStart"/>
      <w:r w:rsidRPr="00CC19F7">
        <w:t>helseteneste</w:t>
      </w:r>
      <w:proofErr w:type="spellEnd"/>
      <w:r w:rsidRPr="00CC19F7">
        <w:t xml:space="preserve"> o.a.</w:t>
      </w:r>
    </w:p>
    <w:p w14:paraId="2099949F" w14:textId="77777777" w:rsidR="00FE02EF" w:rsidRPr="00CC19F7" w:rsidRDefault="00881E58" w:rsidP="00CC19F7">
      <w:pPr>
        <w:pStyle w:val="Overskrift1"/>
      </w:pPr>
      <w:r w:rsidRPr="00CC19F7">
        <w:t xml:space="preserve">Tilsettingsvilkår for </w:t>
      </w:r>
      <w:proofErr w:type="spellStart"/>
      <w:r w:rsidRPr="00CC19F7">
        <w:t>leiarar</w:t>
      </w:r>
      <w:proofErr w:type="spellEnd"/>
      <w:r w:rsidRPr="00CC19F7">
        <w:t xml:space="preserve"> i </w:t>
      </w:r>
      <w:proofErr w:type="spellStart"/>
      <w:r w:rsidRPr="00CC19F7">
        <w:t>heileigde</w:t>
      </w:r>
      <w:proofErr w:type="spellEnd"/>
      <w:r w:rsidRPr="00CC19F7">
        <w:t xml:space="preserve"> </w:t>
      </w:r>
      <w:proofErr w:type="spellStart"/>
      <w:r w:rsidRPr="00CC19F7">
        <w:t>statlege</w:t>
      </w:r>
      <w:proofErr w:type="spellEnd"/>
      <w:r w:rsidRPr="00CC19F7">
        <w:t xml:space="preserve"> </w:t>
      </w:r>
      <w:proofErr w:type="spellStart"/>
      <w:r w:rsidRPr="00CC19F7">
        <w:t>føretak</w:t>
      </w:r>
      <w:proofErr w:type="spellEnd"/>
      <w:r w:rsidRPr="00CC19F7">
        <w:t xml:space="preserve"> under Olje- og energidepartementet</w:t>
      </w:r>
    </w:p>
    <w:p w14:paraId="3EE74FF5" w14:textId="77777777" w:rsidR="00FE02EF" w:rsidRPr="00CC19F7" w:rsidRDefault="00881E58" w:rsidP="00CC19F7">
      <w:pPr>
        <w:pStyle w:val="Overskrift2"/>
      </w:pPr>
      <w:r w:rsidRPr="00CC19F7">
        <w:t>Gassnova SF</w:t>
      </w:r>
    </w:p>
    <w:p w14:paraId="4AF34CAF" w14:textId="77777777" w:rsidR="00FE02EF" w:rsidRPr="00CC19F7" w:rsidRDefault="00881E58" w:rsidP="00CC19F7">
      <w:proofErr w:type="spellStart"/>
      <w:r w:rsidRPr="00CC19F7">
        <w:t>Administrerande</w:t>
      </w:r>
      <w:proofErr w:type="spellEnd"/>
      <w:r w:rsidRPr="00CC19F7">
        <w:t xml:space="preserve"> direktør Roy Vardheim hadde ei lønn på 2 111 671 kroner i 2022. Kostnadsførte </w:t>
      </w:r>
      <w:proofErr w:type="spellStart"/>
      <w:r w:rsidRPr="00CC19F7">
        <w:t>pensjonsforpliktingar</w:t>
      </w:r>
      <w:proofErr w:type="spellEnd"/>
      <w:r w:rsidRPr="00CC19F7">
        <w:t xml:space="preserve"> var på 350 514 kroner.</w:t>
      </w:r>
    </w:p>
    <w:p w14:paraId="72D1B7E1" w14:textId="77777777" w:rsidR="00FE02EF" w:rsidRPr="00CC19F7" w:rsidRDefault="00881E58" w:rsidP="00CC19F7">
      <w:r w:rsidRPr="00CC19F7">
        <w:t xml:space="preserve">Pensjonsordninga i </w:t>
      </w:r>
      <w:proofErr w:type="spellStart"/>
      <w:r w:rsidRPr="00CC19F7">
        <w:t>føretaket</w:t>
      </w:r>
      <w:proofErr w:type="spellEnd"/>
      <w:r w:rsidRPr="00CC19F7">
        <w:t xml:space="preserve"> </w:t>
      </w:r>
      <w:proofErr w:type="spellStart"/>
      <w:r w:rsidRPr="00CC19F7">
        <w:t>omfattar</w:t>
      </w:r>
      <w:proofErr w:type="spellEnd"/>
      <w:r w:rsidRPr="00CC19F7">
        <w:t xml:space="preserve"> alle tilsette og er basert på Statens pensjonskasses til kvar tid </w:t>
      </w:r>
      <w:proofErr w:type="spellStart"/>
      <w:r w:rsidRPr="00CC19F7">
        <w:t>gjeldande</w:t>
      </w:r>
      <w:proofErr w:type="spellEnd"/>
      <w:r w:rsidRPr="00CC19F7">
        <w:t xml:space="preserve"> </w:t>
      </w:r>
      <w:proofErr w:type="spellStart"/>
      <w:r w:rsidRPr="00CC19F7">
        <w:t>reglar</w:t>
      </w:r>
      <w:proofErr w:type="spellEnd"/>
      <w:r w:rsidRPr="00CC19F7">
        <w:t xml:space="preserve"> for pensjonsalder og aldersgrense. Samla kompensasjonsgrad skal </w:t>
      </w:r>
      <w:proofErr w:type="spellStart"/>
      <w:r w:rsidRPr="00CC19F7">
        <w:t>ikkje</w:t>
      </w:r>
      <w:proofErr w:type="spellEnd"/>
      <w:r w:rsidRPr="00CC19F7">
        <w:t xml:space="preserve"> overstige 66 prosent av lønna, avgrensa opp til 12 G.</w:t>
      </w:r>
    </w:p>
    <w:p w14:paraId="72881890" w14:textId="77777777" w:rsidR="00FE02EF" w:rsidRPr="00CC19F7" w:rsidRDefault="00881E58" w:rsidP="00CC19F7">
      <w:r w:rsidRPr="00CC19F7">
        <w:t xml:space="preserve">Den gjensidige </w:t>
      </w:r>
      <w:proofErr w:type="spellStart"/>
      <w:r w:rsidRPr="00CC19F7">
        <w:t>oppseiingstida</w:t>
      </w:r>
      <w:proofErr w:type="spellEnd"/>
      <w:r w:rsidRPr="00CC19F7">
        <w:t xml:space="preserve"> er seks </w:t>
      </w:r>
      <w:proofErr w:type="spellStart"/>
      <w:r w:rsidRPr="00CC19F7">
        <w:t>månader</w:t>
      </w:r>
      <w:proofErr w:type="spellEnd"/>
      <w:r w:rsidRPr="00CC19F7">
        <w:t xml:space="preserve">. Vardheim har </w:t>
      </w:r>
      <w:proofErr w:type="spellStart"/>
      <w:r w:rsidRPr="00CC19F7">
        <w:t>ikkje</w:t>
      </w:r>
      <w:proofErr w:type="spellEnd"/>
      <w:r w:rsidRPr="00CC19F7">
        <w:t xml:space="preserve"> avtale om etterlønn.</w:t>
      </w:r>
    </w:p>
    <w:p w14:paraId="6A2346D1" w14:textId="77777777" w:rsidR="00FE02EF" w:rsidRPr="00CC19F7" w:rsidRDefault="00881E58" w:rsidP="00CC19F7">
      <w:pPr>
        <w:pStyle w:val="Overskrift2"/>
      </w:pPr>
      <w:r w:rsidRPr="00CC19F7">
        <w:t>Statnett SF</w:t>
      </w:r>
    </w:p>
    <w:p w14:paraId="6660BF87" w14:textId="77777777" w:rsidR="00FE02EF" w:rsidRPr="00CC19F7" w:rsidRDefault="00881E58" w:rsidP="00CC19F7">
      <w:r w:rsidRPr="00CC19F7">
        <w:t xml:space="preserve">Konsernsjef Hilde Tonne hadde ei lønn på 5 277 352 kroner i 2022. I tillegg </w:t>
      </w:r>
      <w:proofErr w:type="spellStart"/>
      <w:r w:rsidRPr="00CC19F7">
        <w:t>fekk</w:t>
      </w:r>
      <w:proofErr w:type="spellEnd"/>
      <w:r w:rsidRPr="00CC19F7">
        <w:t xml:space="preserve"> ho 192 653 kroner i anna </w:t>
      </w:r>
      <w:proofErr w:type="spellStart"/>
      <w:r w:rsidRPr="00CC19F7">
        <w:t>godtgjering</w:t>
      </w:r>
      <w:proofErr w:type="spellEnd"/>
      <w:r w:rsidRPr="00CC19F7">
        <w:t xml:space="preserve">. Kostnadsførte </w:t>
      </w:r>
      <w:proofErr w:type="spellStart"/>
      <w:r w:rsidRPr="00CC19F7">
        <w:t>pensjonsforpliktingar</w:t>
      </w:r>
      <w:proofErr w:type="spellEnd"/>
      <w:r w:rsidRPr="00CC19F7">
        <w:t xml:space="preserve"> var på 189 584 kroner.</w:t>
      </w:r>
    </w:p>
    <w:p w14:paraId="28A084B2" w14:textId="77777777" w:rsidR="00FE02EF" w:rsidRPr="00CC19F7" w:rsidRDefault="00881E58" w:rsidP="00CC19F7">
      <w:r w:rsidRPr="00CC19F7">
        <w:t xml:space="preserve">Konsernsjefen deltar i Statnetts kollektive </w:t>
      </w:r>
      <w:proofErr w:type="spellStart"/>
      <w:r w:rsidRPr="00CC19F7">
        <w:t>innskotspensjonsordning</w:t>
      </w:r>
      <w:proofErr w:type="spellEnd"/>
      <w:r w:rsidRPr="00CC19F7">
        <w:t xml:space="preserve"> etter </w:t>
      </w:r>
      <w:proofErr w:type="spellStart"/>
      <w:r w:rsidRPr="00CC19F7">
        <w:t>dei</w:t>
      </w:r>
      <w:proofErr w:type="spellEnd"/>
      <w:r w:rsidRPr="00CC19F7">
        <w:t xml:space="preserve"> vilkåra som til kvar tid gjeld. Pensjonsgrunnlaget for alderspensjon overstig </w:t>
      </w:r>
      <w:proofErr w:type="spellStart"/>
      <w:r w:rsidRPr="00CC19F7">
        <w:t>ikkje</w:t>
      </w:r>
      <w:proofErr w:type="spellEnd"/>
      <w:r w:rsidRPr="00CC19F7">
        <w:t xml:space="preserve"> 12 G. </w:t>
      </w:r>
      <w:proofErr w:type="spellStart"/>
      <w:r w:rsidRPr="00CC19F7">
        <w:t>Oppteningsalderen</w:t>
      </w:r>
      <w:proofErr w:type="spellEnd"/>
      <w:r w:rsidRPr="00CC19F7">
        <w:t xml:space="preserve"> er 70 år.</w:t>
      </w:r>
    </w:p>
    <w:p w14:paraId="310F74A9" w14:textId="77777777" w:rsidR="00FE02EF" w:rsidRPr="00CC19F7" w:rsidRDefault="00881E58" w:rsidP="00CC19F7">
      <w:r w:rsidRPr="00CC19F7">
        <w:t xml:space="preserve">Konsernsjefen har avtale om 12 </w:t>
      </w:r>
      <w:proofErr w:type="spellStart"/>
      <w:r w:rsidRPr="00CC19F7">
        <w:t>månaders</w:t>
      </w:r>
      <w:proofErr w:type="spellEnd"/>
      <w:r w:rsidRPr="00CC19F7">
        <w:t xml:space="preserve"> etterlønn inkludert </w:t>
      </w:r>
      <w:proofErr w:type="spellStart"/>
      <w:r w:rsidRPr="00CC19F7">
        <w:t>oppseiingstida</w:t>
      </w:r>
      <w:proofErr w:type="spellEnd"/>
      <w:r w:rsidRPr="00CC19F7">
        <w:t xml:space="preserve"> ved </w:t>
      </w:r>
      <w:proofErr w:type="spellStart"/>
      <w:r w:rsidRPr="00CC19F7">
        <w:t>oppseiing</w:t>
      </w:r>
      <w:proofErr w:type="spellEnd"/>
      <w:r w:rsidRPr="00CC19F7">
        <w:t xml:space="preserve"> </w:t>
      </w:r>
      <w:proofErr w:type="spellStart"/>
      <w:r w:rsidRPr="00CC19F7">
        <w:t>frå</w:t>
      </w:r>
      <w:proofErr w:type="spellEnd"/>
      <w:r w:rsidRPr="00CC19F7">
        <w:t xml:space="preserve"> selskapet </w:t>
      </w:r>
      <w:proofErr w:type="spellStart"/>
      <w:r w:rsidRPr="00CC19F7">
        <w:t>si</w:t>
      </w:r>
      <w:proofErr w:type="spellEnd"/>
      <w:r w:rsidRPr="00CC19F7">
        <w:t xml:space="preserve"> side.</w:t>
      </w:r>
    </w:p>
    <w:p w14:paraId="38FB42A0" w14:textId="77777777" w:rsidR="00FE02EF" w:rsidRPr="00CC19F7" w:rsidRDefault="00881E58" w:rsidP="00CC19F7">
      <w:pPr>
        <w:pStyle w:val="Overskrift2"/>
      </w:pPr>
      <w:proofErr w:type="spellStart"/>
      <w:r w:rsidRPr="00CC19F7">
        <w:t>Gassco</w:t>
      </w:r>
      <w:proofErr w:type="spellEnd"/>
      <w:r w:rsidRPr="00CC19F7">
        <w:t xml:space="preserve"> AS</w:t>
      </w:r>
    </w:p>
    <w:p w14:paraId="1A37B5B1" w14:textId="77777777" w:rsidR="00FE02EF" w:rsidRPr="00CC19F7" w:rsidRDefault="00881E58" w:rsidP="00CC19F7">
      <w:proofErr w:type="spellStart"/>
      <w:r w:rsidRPr="00CC19F7">
        <w:t>Administrerande</w:t>
      </w:r>
      <w:proofErr w:type="spellEnd"/>
      <w:r w:rsidRPr="00CC19F7">
        <w:t xml:space="preserve"> direktør Frode Leversund hadde ei lønn på 3 750 000 kroner i 2022. I tillegg </w:t>
      </w:r>
      <w:proofErr w:type="spellStart"/>
      <w:r w:rsidRPr="00CC19F7">
        <w:t>fekk</w:t>
      </w:r>
      <w:proofErr w:type="spellEnd"/>
      <w:r w:rsidRPr="00CC19F7">
        <w:t xml:space="preserve"> han 287 000 kroner i variabel lønn og 53 000 kroner i anna </w:t>
      </w:r>
      <w:proofErr w:type="spellStart"/>
      <w:r w:rsidRPr="00CC19F7">
        <w:t>godtgjering</w:t>
      </w:r>
      <w:proofErr w:type="spellEnd"/>
      <w:r w:rsidRPr="00CC19F7">
        <w:t xml:space="preserve">. Kostnadsførte </w:t>
      </w:r>
      <w:proofErr w:type="spellStart"/>
      <w:r w:rsidRPr="00CC19F7">
        <w:t>pensjonsforpliktingar</w:t>
      </w:r>
      <w:proofErr w:type="spellEnd"/>
      <w:r w:rsidRPr="00CC19F7">
        <w:t xml:space="preserve"> var på 349 000 kroner.</w:t>
      </w:r>
    </w:p>
    <w:p w14:paraId="6641F84D" w14:textId="77777777" w:rsidR="00FE02EF" w:rsidRPr="00CC19F7" w:rsidRDefault="00881E58" w:rsidP="00CC19F7">
      <w:proofErr w:type="spellStart"/>
      <w:r w:rsidRPr="00CC19F7">
        <w:t>Administrerande</w:t>
      </w:r>
      <w:proofErr w:type="spellEnd"/>
      <w:r w:rsidRPr="00CC19F7">
        <w:t xml:space="preserve"> direktør deltar på linje med andre tilsette i ei kollektiv bonusordning som kan gi inntil 10 prosent av fastlønna i bonus dersom selskapet oppnår avtalte mål. Leversund har ei ytingsbasert pensjonsordning. </w:t>
      </w:r>
      <w:proofErr w:type="spellStart"/>
      <w:r w:rsidRPr="00CC19F7">
        <w:t>Oppteningsalderen</w:t>
      </w:r>
      <w:proofErr w:type="spellEnd"/>
      <w:r w:rsidRPr="00CC19F7">
        <w:t xml:space="preserve"> er 67 år. Han har </w:t>
      </w:r>
      <w:proofErr w:type="spellStart"/>
      <w:r w:rsidRPr="00CC19F7">
        <w:t>ikkje</w:t>
      </w:r>
      <w:proofErr w:type="spellEnd"/>
      <w:r w:rsidRPr="00CC19F7">
        <w:t xml:space="preserve"> </w:t>
      </w:r>
      <w:proofErr w:type="spellStart"/>
      <w:r w:rsidRPr="00CC19F7">
        <w:t>pensjonsopptening</w:t>
      </w:r>
      <w:proofErr w:type="spellEnd"/>
      <w:r w:rsidRPr="00CC19F7">
        <w:t xml:space="preserve"> for lønn over 12 G.</w:t>
      </w:r>
    </w:p>
    <w:p w14:paraId="0BDF9A3C" w14:textId="77777777" w:rsidR="00FE02EF" w:rsidRPr="00CC19F7" w:rsidRDefault="00881E58" w:rsidP="00CC19F7">
      <w:r w:rsidRPr="00CC19F7">
        <w:t xml:space="preserve">Den gjensidige </w:t>
      </w:r>
      <w:proofErr w:type="spellStart"/>
      <w:r w:rsidRPr="00CC19F7">
        <w:t>oppseiingstida</w:t>
      </w:r>
      <w:proofErr w:type="spellEnd"/>
      <w:r w:rsidRPr="00CC19F7">
        <w:t xml:space="preserve"> er seks </w:t>
      </w:r>
      <w:proofErr w:type="spellStart"/>
      <w:r w:rsidRPr="00CC19F7">
        <w:t>månader</w:t>
      </w:r>
      <w:proofErr w:type="spellEnd"/>
      <w:r w:rsidRPr="00CC19F7">
        <w:t xml:space="preserve"> der anna </w:t>
      </w:r>
      <w:proofErr w:type="spellStart"/>
      <w:r w:rsidRPr="00CC19F7">
        <w:t>ikkje</w:t>
      </w:r>
      <w:proofErr w:type="spellEnd"/>
      <w:r w:rsidRPr="00CC19F7">
        <w:t xml:space="preserve"> følger av </w:t>
      </w:r>
      <w:proofErr w:type="spellStart"/>
      <w:r w:rsidRPr="00CC19F7">
        <w:t>gjeldande</w:t>
      </w:r>
      <w:proofErr w:type="spellEnd"/>
      <w:r w:rsidRPr="00CC19F7">
        <w:t xml:space="preserve"> lovverk. Leversund har </w:t>
      </w:r>
      <w:proofErr w:type="spellStart"/>
      <w:r w:rsidRPr="00CC19F7">
        <w:t>ikkje</w:t>
      </w:r>
      <w:proofErr w:type="spellEnd"/>
      <w:r w:rsidRPr="00CC19F7">
        <w:t xml:space="preserve"> avtale om etterlønn.</w:t>
      </w:r>
    </w:p>
    <w:p w14:paraId="1C2CB7BB" w14:textId="77777777" w:rsidR="00FE02EF" w:rsidRPr="00CC19F7" w:rsidRDefault="00881E58" w:rsidP="00CC19F7">
      <w:pPr>
        <w:pStyle w:val="a-tilraar-dep"/>
      </w:pPr>
      <w:r w:rsidRPr="00CC19F7">
        <w:t>Olje- og energidepartementet</w:t>
      </w:r>
    </w:p>
    <w:p w14:paraId="7A9142CB" w14:textId="77777777" w:rsidR="00FE02EF" w:rsidRPr="00CC19F7" w:rsidRDefault="00881E58" w:rsidP="00CC19F7">
      <w:pPr>
        <w:pStyle w:val="a-tilraar-tit"/>
      </w:pPr>
      <w:r w:rsidRPr="00CC19F7">
        <w:t>tilrår:</w:t>
      </w:r>
    </w:p>
    <w:p w14:paraId="31BC58FD" w14:textId="77777777" w:rsidR="00FE02EF" w:rsidRPr="00CC19F7" w:rsidRDefault="00881E58" w:rsidP="00CC19F7">
      <w:r w:rsidRPr="00CC19F7">
        <w:t xml:space="preserve">I </w:t>
      </w:r>
      <w:proofErr w:type="spellStart"/>
      <w:r w:rsidRPr="00CC19F7">
        <w:t>Prop</w:t>
      </w:r>
      <w:proofErr w:type="spellEnd"/>
      <w:r w:rsidRPr="00CC19F7">
        <w:t xml:space="preserve">. 1 S (2023–2024) om statsbudsjettet for år 2024 blir </w:t>
      </w:r>
      <w:proofErr w:type="spellStart"/>
      <w:r w:rsidRPr="00CC19F7">
        <w:t>dei</w:t>
      </w:r>
      <w:proofErr w:type="spellEnd"/>
      <w:r w:rsidRPr="00CC19F7">
        <w:t xml:space="preserve"> forslag til vedtak </w:t>
      </w:r>
      <w:proofErr w:type="spellStart"/>
      <w:r w:rsidRPr="00CC19F7">
        <w:t>førde</w:t>
      </w:r>
      <w:proofErr w:type="spellEnd"/>
      <w:r w:rsidRPr="00CC19F7">
        <w:t xml:space="preserve"> opp som er </w:t>
      </w:r>
      <w:proofErr w:type="spellStart"/>
      <w:r w:rsidRPr="00CC19F7">
        <w:t>nemnde</w:t>
      </w:r>
      <w:proofErr w:type="spellEnd"/>
      <w:r w:rsidRPr="00CC19F7">
        <w:t xml:space="preserve"> i </w:t>
      </w:r>
      <w:proofErr w:type="spellStart"/>
      <w:r w:rsidRPr="00CC19F7">
        <w:t>eit</w:t>
      </w:r>
      <w:proofErr w:type="spellEnd"/>
      <w:r w:rsidRPr="00CC19F7">
        <w:t xml:space="preserve"> framlagt forslag.</w:t>
      </w:r>
    </w:p>
    <w:p w14:paraId="43C23053" w14:textId="77777777" w:rsidR="00FE02EF" w:rsidRPr="00CC19F7" w:rsidRDefault="00881E58" w:rsidP="00CC19F7">
      <w:pPr>
        <w:pStyle w:val="a-vedtak-tit"/>
      </w:pPr>
      <w:r w:rsidRPr="00CC19F7">
        <w:t>Forslag</w:t>
      </w:r>
    </w:p>
    <w:p w14:paraId="0BC4B20D" w14:textId="77777777" w:rsidR="00FE02EF" w:rsidRPr="00CC19F7" w:rsidRDefault="00881E58" w:rsidP="00CC19F7">
      <w:pPr>
        <w:pStyle w:val="a-vedtakdep-tit"/>
      </w:pPr>
      <w:r w:rsidRPr="00CC19F7">
        <w:t xml:space="preserve">Under Olje- og energidepartementet blir i </w:t>
      </w:r>
      <w:proofErr w:type="spellStart"/>
      <w:r w:rsidRPr="00CC19F7">
        <w:t>Prop</w:t>
      </w:r>
      <w:proofErr w:type="spellEnd"/>
      <w:r w:rsidRPr="00CC19F7">
        <w:t xml:space="preserve">. 1 S (2023–2024) </w:t>
      </w:r>
      <w:r w:rsidRPr="00CC19F7">
        <w:br/>
        <w:t xml:space="preserve">statsbudsjettet for budsjettåret 2024 </w:t>
      </w:r>
      <w:proofErr w:type="spellStart"/>
      <w:r w:rsidRPr="00CC19F7">
        <w:t>dei</w:t>
      </w:r>
      <w:proofErr w:type="spellEnd"/>
      <w:r w:rsidRPr="00CC19F7">
        <w:t xml:space="preserve"> forslag til vedtak som følger, </w:t>
      </w:r>
      <w:proofErr w:type="spellStart"/>
      <w:r w:rsidRPr="00CC19F7">
        <w:t>førde</w:t>
      </w:r>
      <w:proofErr w:type="spellEnd"/>
      <w:r w:rsidRPr="00CC19F7">
        <w:t xml:space="preserve"> opp:</w:t>
      </w:r>
    </w:p>
    <w:p w14:paraId="13EF64A8" w14:textId="77777777" w:rsidR="00FE02EF" w:rsidRPr="00CC19F7" w:rsidRDefault="00881E58" w:rsidP="00CC19F7">
      <w:pPr>
        <w:pStyle w:val="a-vedtakkap-tit"/>
      </w:pPr>
      <w:r w:rsidRPr="00CC19F7">
        <w:t>Kapitla 1800, 1810, 1820, 1825, 1850, 1860, 4800, 4810, 4820, 4860, 5582 og 5680</w:t>
      </w:r>
    </w:p>
    <w:p w14:paraId="61F542E4" w14:textId="77777777" w:rsidR="00FE02EF" w:rsidRPr="00CC19F7" w:rsidRDefault="00881E58" w:rsidP="00CC19F7">
      <w:pPr>
        <w:pStyle w:val="a-vedtak-del"/>
      </w:pPr>
      <w:r w:rsidRPr="00CC19F7">
        <w:t>I</w:t>
      </w:r>
    </w:p>
    <w:p w14:paraId="19141812" w14:textId="77777777" w:rsidR="00FE02EF" w:rsidRPr="00CC19F7" w:rsidRDefault="00881E58" w:rsidP="00CC19F7">
      <w:pPr>
        <w:pStyle w:val="a-vedtak-tekst"/>
      </w:pPr>
      <w:r w:rsidRPr="00CC19F7">
        <w:t>Utgifter: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5040"/>
        <w:gridCol w:w="1580"/>
        <w:gridCol w:w="1580"/>
      </w:tblGrid>
      <w:tr w:rsidR="00FE02EF" w:rsidRPr="00CC19F7" w14:paraId="326CD35E" w14:textId="77777777">
        <w:trPr>
          <w:trHeight w:val="860"/>
          <w:hidden/>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2EC2BF4" w14:textId="77777777" w:rsidR="00FE02EF" w:rsidRPr="00CC19F7" w:rsidRDefault="00881E58" w:rsidP="00CC19F7">
            <w:pPr>
              <w:pStyle w:val="Tabellnavn"/>
            </w:pPr>
            <w:r w:rsidRPr="00CC19F7">
              <w:t>VK</w:t>
            </w:r>
          </w:p>
          <w:p w14:paraId="295EF912" w14:textId="77777777" w:rsidR="00FE02EF" w:rsidRPr="00CC19F7" w:rsidRDefault="00881E58" w:rsidP="00CC19F7">
            <w:r w:rsidRPr="00CC19F7">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B8601AE" w14:textId="77777777" w:rsidR="00FE02EF" w:rsidRPr="00CC19F7" w:rsidRDefault="00881E58" w:rsidP="00CC19F7">
            <w:r w:rsidRPr="00CC19F7">
              <w:t>Post</w:t>
            </w:r>
          </w:p>
        </w:tc>
        <w:tc>
          <w:tcPr>
            <w:tcW w:w="5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EFB3765" w14:textId="77777777" w:rsidR="00FE02EF" w:rsidRPr="00CC19F7" w:rsidRDefault="00FE02EF" w:rsidP="002E78FA"/>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688E699" w14:textId="77777777" w:rsidR="00FE02EF" w:rsidRPr="00CC19F7" w:rsidRDefault="00881E58" w:rsidP="002E78FA">
            <w:pPr>
              <w:jc w:val="right"/>
            </w:pPr>
            <w:r w:rsidRPr="00CC19F7">
              <w:t>Kroner</w:t>
            </w:r>
          </w:p>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D034B4E" w14:textId="77777777" w:rsidR="00FE02EF" w:rsidRPr="00CC19F7" w:rsidRDefault="00881E58" w:rsidP="002E78FA">
            <w:pPr>
              <w:jc w:val="right"/>
            </w:pPr>
            <w:r w:rsidRPr="00CC19F7">
              <w:t>Kroner</w:t>
            </w:r>
          </w:p>
        </w:tc>
      </w:tr>
      <w:tr w:rsidR="00FE02EF" w:rsidRPr="00CC19F7" w14:paraId="4CC2DB35" w14:textId="77777777">
        <w:trPr>
          <w:trHeight w:val="380"/>
        </w:trPr>
        <w:tc>
          <w:tcPr>
            <w:tcW w:w="9560" w:type="dxa"/>
            <w:gridSpan w:val="5"/>
            <w:tcBorders>
              <w:top w:val="single" w:sz="4" w:space="0" w:color="000000"/>
              <w:left w:val="nil"/>
              <w:bottom w:val="nil"/>
              <w:right w:val="nil"/>
            </w:tcBorders>
            <w:tcMar>
              <w:top w:w="128" w:type="dxa"/>
              <w:left w:w="43" w:type="dxa"/>
              <w:bottom w:w="43" w:type="dxa"/>
              <w:right w:w="43" w:type="dxa"/>
            </w:tcMar>
          </w:tcPr>
          <w:p w14:paraId="13F58382" w14:textId="77777777" w:rsidR="00FE02EF" w:rsidRPr="00CC19F7" w:rsidRDefault="00881E58" w:rsidP="002E78FA">
            <w:pPr>
              <w:jc w:val="center"/>
            </w:pPr>
            <w:r w:rsidRPr="00CC19F7">
              <w:t>Administrasjon</w:t>
            </w:r>
          </w:p>
        </w:tc>
      </w:tr>
      <w:tr w:rsidR="00FE02EF" w:rsidRPr="00CC19F7" w14:paraId="0E420328" w14:textId="77777777">
        <w:trPr>
          <w:trHeight w:val="380"/>
        </w:trPr>
        <w:tc>
          <w:tcPr>
            <w:tcW w:w="680" w:type="dxa"/>
            <w:tcBorders>
              <w:top w:val="nil"/>
              <w:left w:val="nil"/>
              <w:bottom w:val="nil"/>
              <w:right w:val="nil"/>
            </w:tcBorders>
            <w:tcMar>
              <w:top w:w="128" w:type="dxa"/>
              <w:left w:w="43" w:type="dxa"/>
              <w:bottom w:w="43" w:type="dxa"/>
              <w:right w:w="43" w:type="dxa"/>
            </w:tcMar>
          </w:tcPr>
          <w:p w14:paraId="6A6056F2" w14:textId="77777777" w:rsidR="00FE02EF" w:rsidRPr="00CC19F7" w:rsidRDefault="00881E58" w:rsidP="002E78FA">
            <w:r w:rsidRPr="00CC19F7">
              <w:t>1800</w:t>
            </w:r>
          </w:p>
        </w:tc>
        <w:tc>
          <w:tcPr>
            <w:tcW w:w="680" w:type="dxa"/>
            <w:tcBorders>
              <w:top w:val="nil"/>
              <w:left w:val="nil"/>
              <w:bottom w:val="nil"/>
              <w:right w:val="nil"/>
            </w:tcBorders>
            <w:tcMar>
              <w:top w:w="128" w:type="dxa"/>
              <w:left w:w="43" w:type="dxa"/>
              <w:bottom w:w="43" w:type="dxa"/>
              <w:right w:w="43" w:type="dxa"/>
            </w:tcMar>
          </w:tcPr>
          <w:p w14:paraId="0CF461D3" w14:textId="77777777" w:rsidR="00FE02EF" w:rsidRPr="00CC19F7" w:rsidRDefault="00FE02EF" w:rsidP="002E78FA"/>
        </w:tc>
        <w:tc>
          <w:tcPr>
            <w:tcW w:w="5040" w:type="dxa"/>
            <w:tcBorders>
              <w:top w:val="nil"/>
              <w:left w:val="nil"/>
              <w:bottom w:val="nil"/>
              <w:right w:val="nil"/>
            </w:tcBorders>
            <w:tcMar>
              <w:top w:w="128" w:type="dxa"/>
              <w:left w:w="43" w:type="dxa"/>
              <w:bottom w:w="43" w:type="dxa"/>
              <w:right w:w="43" w:type="dxa"/>
            </w:tcMar>
          </w:tcPr>
          <w:p w14:paraId="1659A250" w14:textId="77777777" w:rsidR="00FE02EF" w:rsidRPr="00CC19F7" w:rsidRDefault="00881E58" w:rsidP="002E78FA">
            <w:r w:rsidRPr="00CC19F7">
              <w:t>Olje- og energidepartementet</w:t>
            </w:r>
          </w:p>
        </w:tc>
        <w:tc>
          <w:tcPr>
            <w:tcW w:w="1580" w:type="dxa"/>
            <w:tcBorders>
              <w:top w:val="nil"/>
              <w:left w:val="nil"/>
              <w:bottom w:val="nil"/>
              <w:right w:val="nil"/>
            </w:tcBorders>
            <w:tcMar>
              <w:top w:w="128" w:type="dxa"/>
              <w:left w:w="43" w:type="dxa"/>
              <w:bottom w:w="43" w:type="dxa"/>
              <w:right w:w="43" w:type="dxa"/>
            </w:tcMar>
            <w:vAlign w:val="bottom"/>
          </w:tcPr>
          <w:p w14:paraId="07B4958E" w14:textId="77777777" w:rsidR="00FE02EF" w:rsidRPr="00CC19F7" w:rsidRDefault="00FE02EF" w:rsidP="002E78FA">
            <w:pPr>
              <w:jc w:val="right"/>
            </w:pPr>
          </w:p>
        </w:tc>
        <w:tc>
          <w:tcPr>
            <w:tcW w:w="1580" w:type="dxa"/>
            <w:tcBorders>
              <w:top w:val="nil"/>
              <w:left w:val="nil"/>
              <w:bottom w:val="nil"/>
              <w:right w:val="nil"/>
            </w:tcBorders>
            <w:tcMar>
              <w:top w:w="128" w:type="dxa"/>
              <w:left w:w="43" w:type="dxa"/>
              <w:bottom w:w="43" w:type="dxa"/>
              <w:right w:w="43" w:type="dxa"/>
            </w:tcMar>
            <w:vAlign w:val="bottom"/>
          </w:tcPr>
          <w:p w14:paraId="35DA2ECB" w14:textId="77777777" w:rsidR="00FE02EF" w:rsidRPr="00CC19F7" w:rsidRDefault="00FE02EF" w:rsidP="002E78FA">
            <w:pPr>
              <w:jc w:val="right"/>
            </w:pPr>
          </w:p>
        </w:tc>
      </w:tr>
      <w:tr w:rsidR="00FE02EF" w:rsidRPr="00CC19F7" w14:paraId="78CC497E" w14:textId="77777777">
        <w:trPr>
          <w:trHeight w:val="380"/>
        </w:trPr>
        <w:tc>
          <w:tcPr>
            <w:tcW w:w="680" w:type="dxa"/>
            <w:tcBorders>
              <w:top w:val="nil"/>
              <w:left w:val="nil"/>
              <w:bottom w:val="nil"/>
              <w:right w:val="nil"/>
            </w:tcBorders>
            <w:tcMar>
              <w:top w:w="128" w:type="dxa"/>
              <w:left w:w="43" w:type="dxa"/>
              <w:bottom w:w="43" w:type="dxa"/>
              <w:right w:w="43" w:type="dxa"/>
            </w:tcMar>
          </w:tcPr>
          <w:p w14:paraId="157FCE1B" w14:textId="77777777" w:rsidR="00FE02EF" w:rsidRPr="00CC19F7" w:rsidRDefault="00FE02EF" w:rsidP="002E78FA"/>
        </w:tc>
        <w:tc>
          <w:tcPr>
            <w:tcW w:w="680" w:type="dxa"/>
            <w:tcBorders>
              <w:top w:val="nil"/>
              <w:left w:val="nil"/>
              <w:bottom w:val="nil"/>
              <w:right w:val="nil"/>
            </w:tcBorders>
            <w:tcMar>
              <w:top w:w="128" w:type="dxa"/>
              <w:left w:w="43" w:type="dxa"/>
              <w:bottom w:w="43" w:type="dxa"/>
              <w:right w:w="43" w:type="dxa"/>
            </w:tcMar>
          </w:tcPr>
          <w:p w14:paraId="63129A9A" w14:textId="77777777" w:rsidR="00FE02EF" w:rsidRPr="00CC19F7" w:rsidRDefault="00881E58" w:rsidP="002E78FA">
            <w:r w:rsidRPr="00CC19F7">
              <w:t>01</w:t>
            </w:r>
          </w:p>
        </w:tc>
        <w:tc>
          <w:tcPr>
            <w:tcW w:w="5040" w:type="dxa"/>
            <w:tcBorders>
              <w:top w:val="nil"/>
              <w:left w:val="nil"/>
              <w:bottom w:val="nil"/>
              <w:right w:val="nil"/>
            </w:tcBorders>
            <w:tcMar>
              <w:top w:w="128" w:type="dxa"/>
              <w:left w:w="43" w:type="dxa"/>
              <w:bottom w:w="43" w:type="dxa"/>
              <w:right w:w="43" w:type="dxa"/>
            </w:tcMar>
          </w:tcPr>
          <w:p w14:paraId="5BC1FA02" w14:textId="77777777" w:rsidR="00FE02EF" w:rsidRPr="00CC19F7" w:rsidRDefault="00881E58" w:rsidP="002E78FA">
            <w:r w:rsidRPr="00CC19F7">
              <w:t>Driftsutgifter</w:t>
            </w:r>
          </w:p>
        </w:tc>
        <w:tc>
          <w:tcPr>
            <w:tcW w:w="1580" w:type="dxa"/>
            <w:tcBorders>
              <w:top w:val="nil"/>
              <w:left w:val="nil"/>
              <w:bottom w:val="nil"/>
              <w:right w:val="nil"/>
            </w:tcBorders>
            <w:tcMar>
              <w:top w:w="128" w:type="dxa"/>
              <w:left w:w="43" w:type="dxa"/>
              <w:bottom w:w="43" w:type="dxa"/>
              <w:right w:w="43" w:type="dxa"/>
            </w:tcMar>
            <w:vAlign w:val="bottom"/>
          </w:tcPr>
          <w:p w14:paraId="3BA1066E" w14:textId="77777777" w:rsidR="00FE02EF" w:rsidRPr="00CC19F7" w:rsidRDefault="00881E58" w:rsidP="002E78FA">
            <w:pPr>
              <w:jc w:val="right"/>
            </w:pPr>
            <w:r w:rsidRPr="00CC19F7">
              <w:t>246 100 000</w:t>
            </w:r>
          </w:p>
        </w:tc>
        <w:tc>
          <w:tcPr>
            <w:tcW w:w="1580" w:type="dxa"/>
            <w:tcBorders>
              <w:top w:val="nil"/>
              <w:left w:val="nil"/>
              <w:bottom w:val="nil"/>
              <w:right w:val="nil"/>
            </w:tcBorders>
            <w:tcMar>
              <w:top w:w="128" w:type="dxa"/>
              <w:left w:w="43" w:type="dxa"/>
              <w:bottom w:w="43" w:type="dxa"/>
              <w:right w:w="43" w:type="dxa"/>
            </w:tcMar>
            <w:vAlign w:val="bottom"/>
          </w:tcPr>
          <w:p w14:paraId="2B806C6D" w14:textId="77777777" w:rsidR="00FE02EF" w:rsidRPr="00CC19F7" w:rsidRDefault="00FE02EF" w:rsidP="002E78FA">
            <w:pPr>
              <w:jc w:val="right"/>
            </w:pPr>
          </w:p>
        </w:tc>
      </w:tr>
      <w:tr w:rsidR="00FE02EF" w:rsidRPr="00CC19F7" w14:paraId="5B2D5795" w14:textId="77777777">
        <w:trPr>
          <w:trHeight w:val="640"/>
        </w:trPr>
        <w:tc>
          <w:tcPr>
            <w:tcW w:w="680" w:type="dxa"/>
            <w:tcBorders>
              <w:top w:val="nil"/>
              <w:left w:val="nil"/>
              <w:bottom w:val="nil"/>
              <w:right w:val="nil"/>
            </w:tcBorders>
            <w:tcMar>
              <w:top w:w="128" w:type="dxa"/>
              <w:left w:w="43" w:type="dxa"/>
              <w:bottom w:w="43" w:type="dxa"/>
              <w:right w:w="43" w:type="dxa"/>
            </w:tcMar>
          </w:tcPr>
          <w:p w14:paraId="502C53F1" w14:textId="77777777" w:rsidR="00FE02EF" w:rsidRPr="00CC19F7" w:rsidRDefault="00FE02EF" w:rsidP="002E78FA"/>
        </w:tc>
        <w:tc>
          <w:tcPr>
            <w:tcW w:w="680" w:type="dxa"/>
            <w:tcBorders>
              <w:top w:val="nil"/>
              <w:left w:val="nil"/>
              <w:bottom w:val="nil"/>
              <w:right w:val="nil"/>
            </w:tcBorders>
            <w:tcMar>
              <w:top w:w="128" w:type="dxa"/>
              <w:left w:w="43" w:type="dxa"/>
              <w:bottom w:w="43" w:type="dxa"/>
              <w:right w:w="43" w:type="dxa"/>
            </w:tcMar>
          </w:tcPr>
          <w:p w14:paraId="4F9D376A" w14:textId="77777777" w:rsidR="00FE02EF" w:rsidRPr="00CC19F7" w:rsidRDefault="00881E58" w:rsidP="002E78FA">
            <w:r w:rsidRPr="00CC19F7">
              <w:t>21</w:t>
            </w:r>
          </w:p>
        </w:tc>
        <w:tc>
          <w:tcPr>
            <w:tcW w:w="5040" w:type="dxa"/>
            <w:tcBorders>
              <w:top w:val="nil"/>
              <w:left w:val="nil"/>
              <w:bottom w:val="nil"/>
              <w:right w:val="nil"/>
            </w:tcBorders>
            <w:tcMar>
              <w:top w:w="128" w:type="dxa"/>
              <w:left w:w="43" w:type="dxa"/>
              <w:bottom w:w="43" w:type="dxa"/>
              <w:right w:w="43" w:type="dxa"/>
            </w:tcMar>
          </w:tcPr>
          <w:p w14:paraId="5D63C8CE" w14:textId="77777777" w:rsidR="00FE02EF" w:rsidRPr="00CC19F7" w:rsidRDefault="00881E58" w:rsidP="002E78FA">
            <w:r w:rsidRPr="00CC19F7">
              <w:t>Spesielle driftsutgifter</w:t>
            </w:r>
            <w:r w:rsidRPr="00CC19F7">
              <w:rPr>
                <w:rStyle w:val="kursiv"/>
              </w:rPr>
              <w:t>, kan </w:t>
            </w:r>
            <w:proofErr w:type="spellStart"/>
            <w:r w:rsidRPr="00CC19F7">
              <w:rPr>
                <w:rStyle w:val="kursiv"/>
              </w:rPr>
              <w:t>overførast</w:t>
            </w:r>
            <w:proofErr w:type="spellEnd"/>
            <w:r w:rsidRPr="00CC19F7">
              <w:rPr>
                <w:rStyle w:val="kursiv"/>
              </w:rPr>
              <w:t xml:space="preserve">, kan </w:t>
            </w:r>
            <w:proofErr w:type="spellStart"/>
            <w:r w:rsidRPr="00CC19F7">
              <w:rPr>
                <w:rStyle w:val="kursiv"/>
              </w:rPr>
              <w:t>nyttast</w:t>
            </w:r>
            <w:proofErr w:type="spellEnd"/>
            <w:r w:rsidRPr="00CC19F7">
              <w:rPr>
                <w:rStyle w:val="kursiv"/>
              </w:rPr>
              <w:t xml:space="preserve"> under </w:t>
            </w:r>
            <w:proofErr w:type="spellStart"/>
            <w:r w:rsidRPr="00CC19F7">
              <w:rPr>
                <w:rStyle w:val="kursiv"/>
              </w:rPr>
              <w:t>postane</w:t>
            </w:r>
            <w:proofErr w:type="spellEnd"/>
            <w:r w:rsidRPr="00CC19F7">
              <w:rPr>
                <w:rStyle w:val="kursiv"/>
              </w:rPr>
              <w:t xml:space="preserve"> 50, 71 og 72</w:t>
            </w:r>
          </w:p>
        </w:tc>
        <w:tc>
          <w:tcPr>
            <w:tcW w:w="1580" w:type="dxa"/>
            <w:tcBorders>
              <w:top w:val="nil"/>
              <w:left w:val="nil"/>
              <w:bottom w:val="nil"/>
              <w:right w:val="nil"/>
            </w:tcBorders>
            <w:tcMar>
              <w:top w:w="128" w:type="dxa"/>
              <w:left w:w="43" w:type="dxa"/>
              <w:bottom w:w="43" w:type="dxa"/>
              <w:right w:w="43" w:type="dxa"/>
            </w:tcMar>
            <w:vAlign w:val="bottom"/>
          </w:tcPr>
          <w:p w14:paraId="581B64DF" w14:textId="77777777" w:rsidR="00FE02EF" w:rsidRPr="00CC19F7" w:rsidRDefault="00881E58" w:rsidP="002E78FA">
            <w:pPr>
              <w:jc w:val="right"/>
            </w:pPr>
            <w:r w:rsidRPr="00CC19F7">
              <w:t>33 000 000</w:t>
            </w:r>
          </w:p>
        </w:tc>
        <w:tc>
          <w:tcPr>
            <w:tcW w:w="1580" w:type="dxa"/>
            <w:tcBorders>
              <w:top w:val="nil"/>
              <w:left w:val="nil"/>
              <w:bottom w:val="nil"/>
              <w:right w:val="nil"/>
            </w:tcBorders>
            <w:tcMar>
              <w:top w:w="128" w:type="dxa"/>
              <w:left w:w="43" w:type="dxa"/>
              <w:bottom w:w="43" w:type="dxa"/>
              <w:right w:w="43" w:type="dxa"/>
            </w:tcMar>
            <w:vAlign w:val="bottom"/>
          </w:tcPr>
          <w:p w14:paraId="2DF99747" w14:textId="77777777" w:rsidR="00FE02EF" w:rsidRPr="00CC19F7" w:rsidRDefault="00FE02EF" w:rsidP="002E78FA">
            <w:pPr>
              <w:jc w:val="right"/>
            </w:pPr>
          </w:p>
        </w:tc>
      </w:tr>
      <w:tr w:rsidR="00FE02EF" w:rsidRPr="00CC19F7" w14:paraId="57983519" w14:textId="77777777">
        <w:trPr>
          <w:trHeight w:val="380"/>
        </w:trPr>
        <w:tc>
          <w:tcPr>
            <w:tcW w:w="680" w:type="dxa"/>
            <w:tcBorders>
              <w:top w:val="nil"/>
              <w:left w:val="nil"/>
              <w:bottom w:val="nil"/>
              <w:right w:val="nil"/>
            </w:tcBorders>
            <w:tcMar>
              <w:top w:w="128" w:type="dxa"/>
              <w:left w:w="43" w:type="dxa"/>
              <w:bottom w:w="43" w:type="dxa"/>
              <w:right w:w="43" w:type="dxa"/>
            </w:tcMar>
          </w:tcPr>
          <w:p w14:paraId="7585D255" w14:textId="77777777" w:rsidR="00FE02EF" w:rsidRPr="00CC19F7" w:rsidRDefault="00FE02EF" w:rsidP="002E78FA"/>
        </w:tc>
        <w:tc>
          <w:tcPr>
            <w:tcW w:w="680" w:type="dxa"/>
            <w:tcBorders>
              <w:top w:val="nil"/>
              <w:left w:val="nil"/>
              <w:bottom w:val="nil"/>
              <w:right w:val="nil"/>
            </w:tcBorders>
            <w:tcMar>
              <w:top w:w="128" w:type="dxa"/>
              <w:left w:w="43" w:type="dxa"/>
              <w:bottom w:w="43" w:type="dxa"/>
              <w:right w:w="43" w:type="dxa"/>
            </w:tcMar>
          </w:tcPr>
          <w:p w14:paraId="29E2F39A" w14:textId="77777777" w:rsidR="00FE02EF" w:rsidRPr="00CC19F7" w:rsidRDefault="00881E58" w:rsidP="002E78FA">
            <w:r w:rsidRPr="00CC19F7">
              <w:t>50</w:t>
            </w:r>
          </w:p>
        </w:tc>
        <w:tc>
          <w:tcPr>
            <w:tcW w:w="5040" w:type="dxa"/>
            <w:tcBorders>
              <w:top w:val="nil"/>
              <w:left w:val="nil"/>
              <w:bottom w:val="nil"/>
              <w:right w:val="nil"/>
            </w:tcBorders>
            <w:tcMar>
              <w:top w:w="128" w:type="dxa"/>
              <w:left w:w="43" w:type="dxa"/>
              <w:bottom w:w="43" w:type="dxa"/>
              <w:right w:w="43" w:type="dxa"/>
            </w:tcMar>
          </w:tcPr>
          <w:p w14:paraId="02A82401" w14:textId="77777777" w:rsidR="00FE02EF" w:rsidRPr="00CC19F7" w:rsidRDefault="00881E58" w:rsidP="002E78FA">
            <w:r w:rsidRPr="00CC19F7">
              <w:t>Overføring til andre forvaltningsorgan</w:t>
            </w:r>
            <w:r w:rsidRPr="00CC19F7">
              <w:rPr>
                <w:rStyle w:val="kursiv"/>
              </w:rPr>
              <w:t>, kan </w:t>
            </w:r>
            <w:proofErr w:type="spellStart"/>
            <w:r w:rsidRPr="00CC19F7">
              <w:rPr>
                <w:rStyle w:val="kursiv"/>
              </w:rPr>
              <w:t>overførast</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0779F1AA" w14:textId="77777777" w:rsidR="00FE02EF" w:rsidRPr="00CC19F7" w:rsidRDefault="00881E58" w:rsidP="002E78FA">
            <w:pPr>
              <w:jc w:val="right"/>
            </w:pPr>
            <w:r w:rsidRPr="00CC19F7">
              <w:t>1 500 000</w:t>
            </w:r>
          </w:p>
        </w:tc>
        <w:tc>
          <w:tcPr>
            <w:tcW w:w="1580" w:type="dxa"/>
            <w:tcBorders>
              <w:top w:val="nil"/>
              <w:left w:val="nil"/>
              <w:bottom w:val="nil"/>
              <w:right w:val="nil"/>
            </w:tcBorders>
            <w:tcMar>
              <w:top w:w="128" w:type="dxa"/>
              <w:left w:w="43" w:type="dxa"/>
              <w:bottom w:w="43" w:type="dxa"/>
              <w:right w:w="43" w:type="dxa"/>
            </w:tcMar>
            <w:vAlign w:val="bottom"/>
          </w:tcPr>
          <w:p w14:paraId="6C38BC2F" w14:textId="77777777" w:rsidR="00FE02EF" w:rsidRPr="00CC19F7" w:rsidRDefault="00FE02EF" w:rsidP="002E78FA">
            <w:pPr>
              <w:jc w:val="right"/>
            </w:pPr>
          </w:p>
        </w:tc>
      </w:tr>
      <w:tr w:rsidR="00FE02EF" w:rsidRPr="00CC19F7" w14:paraId="2D67498C" w14:textId="77777777">
        <w:trPr>
          <w:trHeight w:val="380"/>
        </w:trPr>
        <w:tc>
          <w:tcPr>
            <w:tcW w:w="680" w:type="dxa"/>
            <w:tcBorders>
              <w:top w:val="nil"/>
              <w:left w:val="nil"/>
              <w:bottom w:val="nil"/>
              <w:right w:val="nil"/>
            </w:tcBorders>
            <w:tcMar>
              <w:top w:w="128" w:type="dxa"/>
              <w:left w:w="43" w:type="dxa"/>
              <w:bottom w:w="43" w:type="dxa"/>
              <w:right w:w="43" w:type="dxa"/>
            </w:tcMar>
          </w:tcPr>
          <w:p w14:paraId="0539EF81" w14:textId="77777777" w:rsidR="00FE02EF" w:rsidRPr="00CC19F7" w:rsidRDefault="00FE02EF" w:rsidP="002E78FA"/>
        </w:tc>
        <w:tc>
          <w:tcPr>
            <w:tcW w:w="680" w:type="dxa"/>
            <w:tcBorders>
              <w:top w:val="nil"/>
              <w:left w:val="nil"/>
              <w:bottom w:val="nil"/>
              <w:right w:val="nil"/>
            </w:tcBorders>
            <w:tcMar>
              <w:top w:w="128" w:type="dxa"/>
              <w:left w:w="43" w:type="dxa"/>
              <w:bottom w:w="43" w:type="dxa"/>
              <w:right w:w="43" w:type="dxa"/>
            </w:tcMar>
          </w:tcPr>
          <w:p w14:paraId="1AA5DF2A" w14:textId="77777777" w:rsidR="00FE02EF" w:rsidRPr="00CC19F7" w:rsidRDefault="00881E58" w:rsidP="002E78FA">
            <w:r w:rsidRPr="00CC19F7">
              <w:t>70</w:t>
            </w:r>
          </w:p>
        </w:tc>
        <w:tc>
          <w:tcPr>
            <w:tcW w:w="5040" w:type="dxa"/>
            <w:tcBorders>
              <w:top w:val="nil"/>
              <w:left w:val="nil"/>
              <w:bottom w:val="nil"/>
              <w:right w:val="nil"/>
            </w:tcBorders>
            <w:tcMar>
              <w:top w:w="128" w:type="dxa"/>
              <w:left w:w="43" w:type="dxa"/>
              <w:bottom w:w="43" w:type="dxa"/>
              <w:right w:w="43" w:type="dxa"/>
            </w:tcMar>
          </w:tcPr>
          <w:p w14:paraId="686F03AE" w14:textId="77777777" w:rsidR="00FE02EF" w:rsidRPr="00CC19F7" w:rsidRDefault="00881E58" w:rsidP="002E78FA">
            <w:proofErr w:type="spellStart"/>
            <w:r w:rsidRPr="00CC19F7">
              <w:t>Tilskot</w:t>
            </w:r>
            <w:proofErr w:type="spellEnd"/>
            <w:r w:rsidRPr="00CC19F7">
              <w:t xml:space="preserve"> til internasjonale </w:t>
            </w:r>
            <w:proofErr w:type="spellStart"/>
            <w:r w:rsidRPr="00CC19F7">
              <w:t>organisasjonar</w:t>
            </w:r>
            <w:proofErr w:type="spellEnd"/>
            <w:r w:rsidRPr="00CC19F7">
              <w:t xml:space="preserve"> mv.</w:t>
            </w:r>
          </w:p>
        </w:tc>
        <w:tc>
          <w:tcPr>
            <w:tcW w:w="1580" w:type="dxa"/>
            <w:tcBorders>
              <w:top w:val="nil"/>
              <w:left w:val="nil"/>
              <w:bottom w:val="nil"/>
              <w:right w:val="nil"/>
            </w:tcBorders>
            <w:tcMar>
              <w:top w:w="128" w:type="dxa"/>
              <w:left w:w="43" w:type="dxa"/>
              <w:bottom w:w="43" w:type="dxa"/>
              <w:right w:w="43" w:type="dxa"/>
            </w:tcMar>
            <w:vAlign w:val="bottom"/>
          </w:tcPr>
          <w:p w14:paraId="05ED179C" w14:textId="77777777" w:rsidR="00FE02EF" w:rsidRPr="00CC19F7" w:rsidRDefault="00881E58" w:rsidP="002E78FA">
            <w:pPr>
              <w:jc w:val="right"/>
            </w:pPr>
            <w:r w:rsidRPr="00CC19F7">
              <w:t>13 200 000</w:t>
            </w:r>
          </w:p>
        </w:tc>
        <w:tc>
          <w:tcPr>
            <w:tcW w:w="1580" w:type="dxa"/>
            <w:tcBorders>
              <w:top w:val="nil"/>
              <w:left w:val="nil"/>
              <w:bottom w:val="nil"/>
              <w:right w:val="nil"/>
            </w:tcBorders>
            <w:tcMar>
              <w:top w:w="128" w:type="dxa"/>
              <w:left w:w="43" w:type="dxa"/>
              <w:bottom w:w="43" w:type="dxa"/>
              <w:right w:w="43" w:type="dxa"/>
            </w:tcMar>
            <w:vAlign w:val="bottom"/>
          </w:tcPr>
          <w:p w14:paraId="73AF76A3" w14:textId="77777777" w:rsidR="00FE02EF" w:rsidRPr="00CC19F7" w:rsidRDefault="00FE02EF" w:rsidP="002E78FA">
            <w:pPr>
              <w:jc w:val="right"/>
            </w:pPr>
          </w:p>
        </w:tc>
      </w:tr>
      <w:tr w:rsidR="00FE02EF" w:rsidRPr="00CC19F7" w14:paraId="0D25B80E" w14:textId="77777777">
        <w:trPr>
          <w:trHeight w:val="380"/>
        </w:trPr>
        <w:tc>
          <w:tcPr>
            <w:tcW w:w="680" w:type="dxa"/>
            <w:tcBorders>
              <w:top w:val="nil"/>
              <w:left w:val="nil"/>
              <w:bottom w:val="nil"/>
              <w:right w:val="nil"/>
            </w:tcBorders>
            <w:tcMar>
              <w:top w:w="128" w:type="dxa"/>
              <w:left w:w="43" w:type="dxa"/>
              <w:bottom w:w="43" w:type="dxa"/>
              <w:right w:w="43" w:type="dxa"/>
            </w:tcMar>
          </w:tcPr>
          <w:p w14:paraId="6E7D3CEC" w14:textId="77777777" w:rsidR="00FE02EF" w:rsidRPr="00CC19F7" w:rsidRDefault="00FE02EF" w:rsidP="002E78FA"/>
        </w:tc>
        <w:tc>
          <w:tcPr>
            <w:tcW w:w="680" w:type="dxa"/>
            <w:tcBorders>
              <w:top w:val="nil"/>
              <w:left w:val="nil"/>
              <w:bottom w:val="nil"/>
              <w:right w:val="nil"/>
            </w:tcBorders>
            <w:tcMar>
              <w:top w:w="128" w:type="dxa"/>
              <w:left w:w="43" w:type="dxa"/>
              <w:bottom w:w="43" w:type="dxa"/>
              <w:right w:w="43" w:type="dxa"/>
            </w:tcMar>
          </w:tcPr>
          <w:p w14:paraId="55972B5C" w14:textId="77777777" w:rsidR="00FE02EF" w:rsidRPr="00CC19F7" w:rsidRDefault="00881E58" w:rsidP="002E78FA">
            <w:r w:rsidRPr="00CC19F7">
              <w:t>71</w:t>
            </w:r>
          </w:p>
        </w:tc>
        <w:tc>
          <w:tcPr>
            <w:tcW w:w="5040" w:type="dxa"/>
            <w:tcBorders>
              <w:top w:val="nil"/>
              <w:left w:val="nil"/>
              <w:bottom w:val="nil"/>
              <w:right w:val="nil"/>
            </w:tcBorders>
            <w:tcMar>
              <w:top w:w="128" w:type="dxa"/>
              <w:left w:w="43" w:type="dxa"/>
              <w:bottom w:w="43" w:type="dxa"/>
              <w:right w:w="43" w:type="dxa"/>
            </w:tcMar>
          </w:tcPr>
          <w:p w14:paraId="23674B8E" w14:textId="77777777" w:rsidR="00FE02EF" w:rsidRPr="00CC19F7" w:rsidRDefault="00881E58" w:rsidP="002E78FA">
            <w:r w:rsidRPr="00CC19F7">
              <w:t>Norsk Oljemuseum</w:t>
            </w:r>
          </w:p>
        </w:tc>
        <w:tc>
          <w:tcPr>
            <w:tcW w:w="1580" w:type="dxa"/>
            <w:tcBorders>
              <w:top w:val="nil"/>
              <w:left w:val="nil"/>
              <w:bottom w:val="nil"/>
              <w:right w:val="nil"/>
            </w:tcBorders>
            <w:tcMar>
              <w:top w:w="128" w:type="dxa"/>
              <w:left w:w="43" w:type="dxa"/>
              <w:bottom w:w="43" w:type="dxa"/>
              <w:right w:w="43" w:type="dxa"/>
            </w:tcMar>
            <w:vAlign w:val="bottom"/>
          </w:tcPr>
          <w:p w14:paraId="4CCA45FA" w14:textId="77777777" w:rsidR="00FE02EF" w:rsidRPr="00CC19F7" w:rsidRDefault="00881E58" w:rsidP="002E78FA">
            <w:pPr>
              <w:jc w:val="right"/>
            </w:pPr>
            <w:r w:rsidRPr="00CC19F7">
              <w:t>16 200 000</w:t>
            </w:r>
          </w:p>
        </w:tc>
        <w:tc>
          <w:tcPr>
            <w:tcW w:w="1580" w:type="dxa"/>
            <w:tcBorders>
              <w:top w:val="nil"/>
              <w:left w:val="nil"/>
              <w:bottom w:val="nil"/>
              <w:right w:val="nil"/>
            </w:tcBorders>
            <w:tcMar>
              <w:top w:w="128" w:type="dxa"/>
              <w:left w:w="43" w:type="dxa"/>
              <w:bottom w:w="43" w:type="dxa"/>
              <w:right w:w="43" w:type="dxa"/>
            </w:tcMar>
            <w:vAlign w:val="bottom"/>
          </w:tcPr>
          <w:p w14:paraId="06EB54ED" w14:textId="77777777" w:rsidR="00FE02EF" w:rsidRPr="00CC19F7" w:rsidRDefault="00FE02EF" w:rsidP="002E78FA">
            <w:pPr>
              <w:jc w:val="right"/>
            </w:pPr>
          </w:p>
        </w:tc>
      </w:tr>
      <w:tr w:rsidR="00FE02EF" w:rsidRPr="00CC19F7" w14:paraId="2217E27E" w14:textId="77777777">
        <w:trPr>
          <w:trHeight w:val="640"/>
        </w:trPr>
        <w:tc>
          <w:tcPr>
            <w:tcW w:w="680" w:type="dxa"/>
            <w:tcBorders>
              <w:top w:val="nil"/>
              <w:left w:val="nil"/>
              <w:bottom w:val="nil"/>
              <w:right w:val="nil"/>
            </w:tcBorders>
            <w:tcMar>
              <w:top w:w="128" w:type="dxa"/>
              <w:left w:w="43" w:type="dxa"/>
              <w:bottom w:w="43" w:type="dxa"/>
              <w:right w:w="43" w:type="dxa"/>
            </w:tcMar>
          </w:tcPr>
          <w:p w14:paraId="7B12AE26" w14:textId="77777777" w:rsidR="00FE02EF" w:rsidRPr="00CC19F7" w:rsidRDefault="00FE02EF" w:rsidP="002E78FA"/>
        </w:tc>
        <w:tc>
          <w:tcPr>
            <w:tcW w:w="680" w:type="dxa"/>
            <w:tcBorders>
              <w:top w:val="nil"/>
              <w:left w:val="nil"/>
              <w:bottom w:val="nil"/>
              <w:right w:val="nil"/>
            </w:tcBorders>
            <w:tcMar>
              <w:top w:w="128" w:type="dxa"/>
              <w:left w:w="43" w:type="dxa"/>
              <w:bottom w:w="43" w:type="dxa"/>
              <w:right w:w="43" w:type="dxa"/>
            </w:tcMar>
          </w:tcPr>
          <w:p w14:paraId="16AFE96F" w14:textId="77777777" w:rsidR="00FE02EF" w:rsidRPr="00CC19F7" w:rsidRDefault="00881E58" w:rsidP="002E78FA">
            <w:r w:rsidRPr="00CC19F7">
              <w:t>72</w:t>
            </w:r>
          </w:p>
        </w:tc>
        <w:tc>
          <w:tcPr>
            <w:tcW w:w="5040" w:type="dxa"/>
            <w:tcBorders>
              <w:top w:val="nil"/>
              <w:left w:val="nil"/>
              <w:bottom w:val="nil"/>
              <w:right w:val="nil"/>
            </w:tcBorders>
            <w:tcMar>
              <w:top w:w="128" w:type="dxa"/>
              <w:left w:w="43" w:type="dxa"/>
              <w:bottom w:w="43" w:type="dxa"/>
              <w:right w:w="43" w:type="dxa"/>
            </w:tcMar>
          </w:tcPr>
          <w:p w14:paraId="759B0417" w14:textId="77777777" w:rsidR="00FE02EF" w:rsidRPr="00CC19F7" w:rsidRDefault="00881E58" w:rsidP="002E78FA">
            <w:proofErr w:type="spellStart"/>
            <w:r w:rsidRPr="00CC19F7">
              <w:t>Tilskot</w:t>
            </w:r>
            <w:proofErr w:type="spellEnd"/>
            <w:r w:rsidRPr="00CC19F7">
              <w:t xml:space="preserve"> til petroleums- og energiformål</w:t>
            </w:r>
            <w:r w:rsidRPr="00CC19F7">
              <w:rPr>
                <w:rStyle w:val="kursiv"/>
              </w:rPr>
              <w:t xml:space="preserve">, </w:t>
            </w:r>
            <w:r w:rsidRPr="00CC19F7">
              <w:rPr>
                <w:rStyle w:val="kursiv"/>
              </w:rPr>
              <w:br/>
              <w:t>kan </w:t>
            </w:r>
            <w:proofErr w:type="spellStart"/>
            <w:r w:rsidRPr="00CC19F7">
              <w:rPr>
                <w:rStyle w:val="kursiv"/>
              </w:rPr>
              <w:t>overførast</w:t>
            </w:r>
            <w:proofErr w:type="spellEnd"/>
            <w:r w:rsidRPr="00CC19F7">
              <w:rPr>
                <w:rStyle w:val="kursiv"/>
              </w:rPr>
              <w:t xml:space="preserve">, kan </w:t>
            </w:r>
            <w:proofErr w:type="spellStart"/>
            <w:r w:rsidRPr="00CC19F7">
              <w:rPr>
                <w:rStyle w:val="kursiv"/>
              </w:rPr>
              <w:t>nyttast</w:t>
            </w:r>
            <w:proofErr w:type="spellEnd"/>
            <w:r w:rsidRPr="00CC19F7">
              <w:rPr>
                <w:rStyle w:val="kursiv"/>
              </w:rPr>
              <w:t xml:space="preserve"> under post 21</w:t>
            </w:r>
          </w:p>
        </w:tc>
        <w:tc>
          <w:tcPr>
            <w:tcW w:w="1580" w:type="dxa"/>
            <w:tcBorders>
              <w:top w:val="nil"/>
              <w:left w:val="nil"/>
              <w:bottom w:val="nil"/>
              <w:right w:val="nil"/>
            </w:tcBorders>
            <w:tcMar>
              <w:top w:w="128" w:type="dxa"/>
              <w:left w:w="43" w:type="dxa"/>
              <w:bottom w:w="43" w:type="dxa"/>
              <w:right w:w="43" w:type="dxa"/>
            </w:tcMar>
            <w:vAlign w:val="bottom"/>
          </w:tcPr>
          <w:p w14:paraId="56F8CC1B" w14:textId="77777777" w:rsidR="00FE02EF" w:rsidRPr="00CC19F7" w:rsidRDefault="00881E58" w:rsidP="002E78FA">
            <w:pPr>
              <w:jc w:val="right"/>
            </w:pPr>
            <w:r w:rsidRPr="00CC19F7">
              <w:t>14 000 000</w:t>
            </w:r>
          </w:p>
        </w:tc>
        <w:tc>
          <w:tcPr>
            <w:tcW w:w="1580" w:type="dxa"/>
            <w:tcBorders>
              <w:top w:val="nil"/>
              <w:left w:val="nil"/>
              <w:bottom w:val="nil"/>
              <w:right w:val="nil"/>
            </w:tcBorders>
            <w:tcMar>
              <w:top w:w="128" w:type="dxa"/>
              <w:left w:w="43" w:type="dxa"/>
              <w:bottom w:w="43" w:type="dxa"/>
              <w:right w:w="43" w:type="dxa"/>
            </w:tcMar>
            <w:vAlign w:val="bottom"/>
          </w:tcPr>
          <w:p w14:paraId="21BB1B6D" w14:textId="77777777" w:rsidR="00FE02EF" w:rsidRPr="00CC19F7" w:rsidRDefault="00881E58" w:rsidP="002E78FA">
            <w:pPr>
              <w:jc w:val="right"/>
            </w:pPr>
            <w:r w:rsidRPr="00CC19F7">
              <w:t>324 000 000</w:t>
            </w:r>
          </w:p>
        </w:tc>
      </w:tr>
      <w:tr w:rsidR="00FE02EF" w:rsidRPr="00CC19F7" w14:paraId="19D9E7A6" w14:textId="77777777">
        <w:trPr>
          <w:trHeight w:val="380"/>
        </w:trPr>
        <w:tc>
          <w:tcPr>
            <w:tcW w:w="680" w:type="dxa"/>
            <w:tcBorders>
              <w:top w:val="nil"/>
              <w:left w:val="nil"/>
              <w:bottom w:val="nil"/>
              <w:right w:val="nil"/>
            </w:tcBorders>
            <w:tcMar>
              <w:top w:w="128" w:type="dxa"/>
              <w:left w:w="43" w:type="dxa"/>
              <w:bottom w:w="43" w:type="dxa"/>
              <w:right w:w="43" w:type="dxa"/>
            </w:tcMar>
          </w:tcPr>
          <w:p w14:paraId="0958B09A" w14:textId="77777777" w:rsidR="00FE02EF" w:rsidRPr="00CC19F7" w:rsidRDefault="00FE02EF" w:rsidP="002E78FA"/>
        </w:tc>
        <w:tc>
          <w:tcPr>
            <w:tcW w:w="680" w:type="dxa"/>
            <w:tcBorders>
              <w:top w:val="nil"/>
              <w:left w:val="nil"/>
              <w:bottom w:val="nil"/>
              <w:right w:val="nil"/>
            </w:tcBorders>
            <w:tcMar>
              <w:top w:w="128" w:type="dxa"/>
              <w:left w:w="43" w:type="dxa"/>
              <w:bottom w:w="43" w:type="dxa"/>
              <w:right w:w="43" w:type="dxa"/>
            </w:tcMar>
          </w:tcPr>
          <w:p w14:paraId="2A7BB998" w14:textId="77777777" w:rsidR="00FE02EF" w:rsidRPr="00CC19F7" w:rsidRDefault="00FE02EF" w:rsidP="002E78FA"/>
        </w:tc>
        <w:tc>
          <w:tcPr>
            <w:tcW w:w="5040" w:type="dxa"/>
            <w:tcBorders>
              <w:top w:val="nil"/>
              <w:left w:val="nil"/>
              <w:bottom w:val="nil"/>
              <w:right w:val="nil"/>
            </w:tcBorders>
            <w:tcMar>
              <w:top w:w="128" w:type="dxa"/>
              <w:left w:w="43" w:type="dxa"/>
              <w:bottom w:w="43" w:type="dxa"/>
              <w:right w:w="43" w:type="dxa"/>
            </w:tcMar>
          </w:tcPr>
          <w:p w14:paraId="678BD827" w14:textId="77777777" w:rsidR="00FE02EF" w:rsidRPr="00CC19F7" w:rsidRDefault="00881E58" w:rsidP="002E78FA">
            <w:r w:rsidRPr="00CC19F7">
              <w:t>Sum Administrasjon</w:t>
            </w:r>
          </w:p>
        </w:tc>
        <w:tc>
          <w:tcPr>
            <w:tcW w:w="1580" w:type="dxa"/>
            <w:tcBorders>
              <w:top w:val="nil"/>
              <w:left w:val="nil"/>
              <w:bottom w:val="nil"/>
              <w:right w:val="nil"/>
            </w:tcBorders>
            <w:tcMar>
              <w:top w:w="128" w:type="dxa"/>
              <w:left w:w="43" w:type="dxa"/>
              <w:bottom w:w="43" w:type="dxa"/>
              <w:right w:w="43" w:type="dxa"/>
            </w:tcMar>
            <w:vAlign w:val="bottom"/>
          </w:tcPr>
          <w:p w14:paraId="7AF04B7F" w14:textId="77777777" w:rsidR="00FE02EF" w:rsidRPr="00CC19F7" w:rsidRDefault="00FE02EF" w:rsidP="002E78FA">
            <w:pPr>
              <w:jc w:val="right"/>
            </w:pPr>
          </w:p>
        </w:tc>
        <w:tc>
          <w:tcPr>
            <w:tcW w:w="1580" w:type="dxa"/>
            <w:tcBorders>
              <w:top w:val="nil"/>
              <w:left w:val="nil"/>
              <w:bottom w:val="nil"/>
              <w:right w:val="nil"/>
            </w:tcBorders>
            <w:tcMar>
              <w:top w:w="128" w:type="dxa"/>
              <w:left w:w="43" w:type="dxa"/>
              <w:bottom w:w="43" w:type="dxa"/>
              <w:right w:w="43" w:type="dxa"/>
            </w:tcMar>
            <w:vAlign w:val="bottom"/>
          </w:tcPr>
          <w:p w14:paraId="6F8D4696" w14:textId="77777777" w:rsidR="00FE02EF" w:rsidRPr="00CC19F7" w:rsidRDefault="00881E58" w:rsidP="002E78FA">
            <w:pPr>
              <w:jc w:val="right"/>
            </w:pPr>
            <w:r w:rsidRPr="00CC19F7">
              <w:t>324 000 000</w:t>
            </w:r>
          </w:p>
        </w:tc>
      </w:tr>
      <w:tr w:rsidR="00FE02EF" w:rsidRPr="00CC19F7" w14:paraId="11AEC009" w14:textId="77777777">
        <w:trPr>
          <w:trHeight w:val="380"/>
        </w:trPr>
        <w:tc>
          <w:tcPr>
            <w:tcW w:w="9560" w:type="dxa"/>
            <w:gridSpan w:val="5"/>
            <w:tcBorders>
              <w:top w:val="nil"/>
              <w:left w:val="nil"/>
              <w:bottom w:val="nil"/>
              <w:right w:val="nil"/>
            </w:tcBorders>
            <w:tcMar>
              <w:top w:w="128" w:type="dxa"/>
              <w:left w:w="43" w:type="dxa"/>
              <w:bottom w:w="43" w:type="dxa"/>
              <w:right w:w="43" w:type="dxa"/>
            </w:tcMar>
          </w:tcPr>
          <w:p w14:paraId="57988838" w14:textId="77777777" w:rsidR="00FE02EF" w:rsidRPr="00CC19F7" w:rsidRDefault="00881E58" w:rsidP="002E78FA">
            <w:pPr>
              <w:jc w:val="center"/>
            </w:pPr>
            <w:r w:rsidRPr="00CC19F7">
              <w:t>Petroleum</w:t>
            </w:r>
          </w:p>
        </w:tc>
      </w:tr>
      <w:tr w:rsidR="00FE02EF" w:rsidRPr="00CC19F7" w14:paraId="7CE20886" w14:textId="77777777">
        <w:trPr>
          <w:trHeight w:val="380"/>
        </w:trPr>
        <w:tc>
          <w:tcPr>
            <w:tcW w:w="680" w:type="dxa"/>
            <w:tcBorders>
              <w:top w:val="nil"/>
              <w:left w:val="nil"/>
              <w:bottom w:val="nil"/>
              <w:right w:val="nil"/>
            </w:tcBorders>
            <w:tcMar>
              <w:top w:w="128" w:type="dxa"/>
              <w:left w:w="43" w:type="dxa"/>
              <w:bottom w:w="43" w:type="dxa"/>
              <w:right w:w="43" w:type="dxa"/>
            </w:tcMar>
          </w:tcPr>
          <w:p w14:paraId="7809DE20" w14:textId="77777777" w:rsidR="00FE02EF" w:rsidRPr="00CC19F7" w:rsidRDefault="00881E58" w:rsidP="002E78FA">
            <w:r w:rsidRPr="00CC19F7">
              <w:t>1810</w:t>
            </w:r>
          </w:p>
        </w:tc>
        <w:tc>
          <w:tcPr>
            <w:tcW w:w="680" w:type="dxa"/>
            <w:tcBorders>
              <w:top w:val="nil"/>
              <w:left w:val="nil"/>
              <w:bottom w:val="nil"/>
              <w:right w:val="nil"/>
            </w:tcBorders>
            <w:tcMar>
              <w:top w:w="128" w:type="dxa"/>
              <w:left w:w="43" w:type="dxa"/>
              <w:bottom w:w="43" w:type="dxa"/>
              <w:right w:w="43" w:type="dxa"/>
            </w:tcMar>
          </w:tcPr>
          <w:p w14:paraId="2D9B6F0E" w14:textId="77777777" w:rsidR="00FE02EF" w:rsidRPr="00CC19F7" w:rsidRDefault="00FE02EF" w:rsidP="002E78FA"/>
        </w:tc>
        <w:tc>
          <w:tcPr>
            <w:tcW w:w="5040" w:type="dxa"/>
            <w:tcBorders>
              <w:top w:val="nil"/>
              <w:left w:val="nil"/>
              <w:bottom w:val="nil"/>
              <w:right w:val="nil"/>
            </w:tcBorders>
            <w:tcMar>
              <w:top w:w="128" w:type="dxa"/>
              <w:left w:w="43" w:type="dxa"/>
              <w:bottom w:w="43" w:type="dxa"/>
              <w:right w:w="43" w:type="dxa"/>
            </w:tcMar>
          </w:tcPr>
          <w:p w14:paraId="3F00489F" w14:textId="77777777" w:rsidR="00FE02EF" w:rsidRPr="00CC19F7" w:rsidRDefault="00881E58" w:rsidP="002E78FA">
            <w:r w:rsidRPr="00CC19F7">
              <w:t>Sokkeldirektoratet</w:t>
            </w:r>
          </w:p>
        </w:tc>
        <w:tc>
          <w:tcPr>
            <w:tcW w:w="1580" w:type="dxa"/>
            <w:tcBorders>
              <w:top w:val="nil"/>
              <w:left w:val="nil"/>
              <w:bottom w:val="nil"/>
              <w:right w:val="nil"/>
            </w:tcBorders>
            <w:tcMar>
              <w:top w:w="128" w:type="dxa"/>
              <w:left w:w="43" w:type="dxa"/>
              <w:bottom w:w="43" w:type="dxa"/>
              <w:right w:w="43" w:type="dxa"/>
            </w:tcMar>
            <w:vAlign w:val="bottom"/>
          </w:tcPr>
          <w:p w14:paraId="08EEE21E" w14:textId="77777777" w:rsidR="00FE02EF" w:rsidRPr="00CC19F7" w:rsidRDefault="00FE02EF" w:rsidP="002E78FA">
            <w:pPr>
              <w:jc w:val="right"/>
            </w:pPr>
          </w:p>
        </w:tc>
        <w:tc>
          <w:tcPr>
            <w:tcW w:w="1580" w:type="dxa"/>
            <w:tcBorders>
              <w:top w:val="nil"/>
              <w:left w:val="nil"/>
              <w:bottom w:val="nil"/>
              <w:right w:val="nil"/>
            </w:tcBorders>
            <w:tcMar>
              <w:top w:w="128" w:type="dxa"/>
              <w:left w:w="43" w:type="dxa"/>
              <w:bottom w:w="43" w:type="dxa"/>
              <w:right w:w="43" w:type="dxa"/>
            </w:tcMar>
            <w:vAlign w:val="bottom"/>
          </w:tcPr>
          <w:p w14:paraId="4F655105" w14:textId="77777777" w:rsidR="00FE02EF" w:rsidRPr="00CC19F7" w:rsidRDefault="00FE02EF" w:rsidP="002E78FA">
            <w:pPr>
              <w:jc w:val="right"/>
            </w:pPr>
          </w:p>
        </w:tc>
      </w:tr>
      <w:tr w:rsidR="00FE02EF" w:rsidRPr="00CC19F7" w14:paraId="643DC9E2" w14:textId="77777777">
        <w:trPr>
          <w:trHeight w:val="380"/>
        </w:trPr>
        <w:tc>
          <w:tcPr>
            <w:tcW w:w="680" w:type="dxa"/>
            <w:tcBorders>
              <w:top w:val="nil"/>
              <w:left w:val="nil"/>
              <w:bottom w:val="nil"/>
              <w:right w:val="nil"/>
            </w:tcBorders>
            <w:tcMar>
              <w:top w:w="128" w:type="dxa"/>
              <w:left w:w="43" w:type="dxa"/>
              <w:bottom w:w="43" w:type="dxa"/>
              <w:right w:w="43" w:type="dxa"/>
            </w:tcMar>
          </w:tcPr>
          <w:p w14:paraId="066E0979" w14:textId="77777777" w:rsidR="00FE02EF" w:rsidRPr="00CC19F7" w:rsidRDefault="00FE02EF" w:rsidP="002E78FA"/>
        </w:tc>
        <w:tc>
          <w:tcPr>
            <w:tcW w:w="680" w:type="dxa"/>
            <w:tcBorders>
              <w:top w:val="nil"/>
              <w:left w:val="nil"/>
              <w:bottom w:val="nil"/>
              <w:right w:val="nil"/>
            </w:tcBorders>
            <w:tcMar>
              <w:top w:w="128" w:type="dxa"/>
              <w:left w:w="43" w:type="dxa"/>
              <w:bottom w:w="43" w:type="dxa"/>
              <w:right w:w="43" w:type="dxa"/>
            </w:tcMar>
          </w:tcPr>
          <w:p w14:paraId="466E261F" w14:textId="77777777" w:rsidR="00FE02EF" w:rsidRPr="00CC19F7" w:rsidRDefault="00881E58" w:rsidP="002E78FA">
            <w:r w:rsidRPr="00CC19F7">
              <w:t>01</w:t>
            </w:r>
          </w:p>
        </w:tc>
        <w:tc>
          <w:tcPr>
            <w:tcW w:w="5040" w:type="dxa"/>
            <w:tcBorders>
              <w:top w:val="nil"/>
              <w:left w:val="nil"/>
              <w:bottom w:val="nil"/>
              <w:right w:val="nil"/>
            </w:tcBorders>
            <w:tcMar>
              <w:top w:w="128" w:type="dxa"/>
              <w:left w:w="43" w:type="dxa"/>
              <w:bottom w:w="43" w:type="dxa"/>
              <w:right w:w="43" w:type="dxa"/>
            </w:tcMar>
          </w:tcPr>
          <w:p w14:paraId="0AB951D3" w14:textId="77777777" w:rsidR="00FE02EF" w:rsidRPr="00CC19F7" w:rsidRDefault="00881E58" w:rsidP="002E78FA">
            <w:r w:rsidRPr="00CC19F7">
              <w:t>Driftsutgifter</w:t>
            </w:r>
          </w:p>
        </w:tc>
        <w:tc>
          <w:tcPr>
            <w:tcW w:w="1580" w:type="dxa"/>
            <w:tcBorders>
              <w:top w:val="nil"/>
              <w:left w:val="nil"/>
              <w:bottom w:val="nil"/>
              <w:right w:val="nil"/>
            </w:tcBorders>
            <w:tcMar>
              <w:top w:w="128" w:type="dxa"/>
              <w:left w:w="43" w:type="dxa"/>
              <w:bottom w:w="43" w:type="dxa"/>
              <w:right w:w="43" w:type="dxa"/>
            </w:tcMar>
            <w:vAlign w:val="bottom"/>
          </w:tcPr>
          <w:p w14:paraId="0284C7F9" w14:textId="77777777" w:rsidR="00FE02EF" w:rsidRPr="00CC19F7" w:rsidRDefault="00881E58" w:rsidP="002E78FA">
            <w:pPr>
              <w:jc w:val="right"/>
            </w:pPr>
            <w:r w:rsidRPr="00CC19F7">
              <w:t>346 800 000</w:t>
            </w:r>
          </w:p>
        </w:tc>
        <w:tc>
          <w:tcPr>
            <w:tcW w:w="1580" w:type="dxa"/>
            <w:tcBorders>
              <w:top w:val="nil"/>
              <w:left w:val="nil"/>
              <w:bottom w:val="nil"/>
              <w:right w:val="nil"/>
            </w:tcBorders>
            <w:tcMar>
              <w:top w:w="128" w:type="dxa"/>
              <w:left w:w="43" w:type="dxa"/>
              <w:bottom w:w="43" w:type="dxa"/>
              <w:right w:w="43" w:type="dxa"/>
            </w:tcMar>
            <w:vAlign w:val="bottom"/>
          </w:tcPr>
          <w:p w14:paraId="3AF85766" w14:textId="77777777" w:rsidR="00FE02EF" w:rsidRPr="00CC19F7" w:rsidRDefault="00FE02EF" w:rsidP="002E78FA">
            <w:pPr>
              <w:jc w:val="right"/>
            </w:pPr>
          </w:p>
        </w:tc>
      </w:tr>
      <w:tr w:rsidR="00FE02EF" w:rsidRPr="00CC19F7" w14:paraId="03B7F89A" w14:textId="77777777">
        <w:trPr>
          <w:trHeight w:val="380"/>
        </w:trPr>
        <w:tc>
          <w:tcPr>
            <w:tcW w:w="680" w:type="dxa"/>
            <w:tcBorders>
              <w:top w:val="nil"/>
              <w:left w:val="nil"/>
              <w:bottom w:val="nil"/>
              <w:right w:val="nil"/>
            </w:tcBorders>
            <w:tcMar>
              <w:top w:w="128" w:type="dxa"/>
              <w:left w:w="43" w:type="dxa"/>
              <w:bottom w:w="43" w:type="dxa"/>
              <w:right w:w="43" w:type="dxa"/>
            </w:tcMar>
          </w:tcPr>
          <w:p w14:paraId="3176CE2D" w14:textId="77777777" w:rsidR="00FE02EF" w:rsidRPr="00CC19F7" w:rsidRDefault="00FE02EF" w:rsidP="002E78FA"/>
        </w:tc>
        <w:tc>
          <w:tcPr>
            <w:tcW w:w="680" w:type="dxa"/>
            <w:tcBorders>
              <w:top w:val="nil"/>
              <w:left w:val="nil"/>
              <w:bottom w:val="nil"/>
              <w:right w:val="nil"/>
            </w:tcBorders>
            <w:tcMar>
              <w:top w:w="128" w:type="dxa"/>
              <w:left w:w="43" w:type="dxa"/>
              <w:bottom w:w="43" w:type="dxa"/>
              <w:right w:w="43" w:type="dxa"/>
            </w:tcMar>
          </w:tcPr>
          <w:p w14:paraId="35D05D7B" w14:textId="77777777" w:rsidR="00FE02EF" w:rsidRPr="00CC19F7" w:rsidRDefault="00881E58" w:rsidP="002E78FA">
            <w:r w:rsidRPr="00CC19F7">
              <w:t>21</w:t>
            </w:r>
          </w:p>
        </w:tc>
        <w:tc>
          <w:tcPr>
            <w:tcW w:w="5040" w:type="dxa"/>
            <w:tcBorders>
              <w:top w:val="nil"/>
              <w:left w:val="nil"/>
              <w:bottom w:val="nil"/>
              <w:right w:val="nil"/>
            </w:tcBorders>
            <w:tcMar>
              <w:top w:w="128" w:type="dxa"/>
              <w:left w:w="43" w:type="dxa"/>
              <w:bottom w:w="43" w:type="dxa"/>
              <w:right w:w="43" w:type="dxa"/>
            </w:tcMar>
          </w:tcPr>
          <w:p w14:paraId="159EF5F4" w14:textId="77777777" w:rsidR="00FE02EF" w:rsidRPr="00CC19F7" w:rsidRDefault="00881E58" w:rsidP="002E78FA">
            <w:r w:rsidRPr="00CC19F7">
              <w:t>Spesielle driftsutgifter</w:t>
            </w:r>
            <w:r w:rsidRPr="00CC19F7">
              <w:rPr>
                <w:rStyle w:val="kursiv"/>
              </w:rPr>
              <w:t>, kan </w:t>
            </w:r>
            <w:proofErr w:type="spellStart"/>
            <w:r w:rsidRPr="00CC19F7">
              <w:rPr>
                <w:rStyle w:val="kursiv"/>
              </w:rPr>
              <w:t>overførast</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0E4E42F2" w14:textId="77777777" w:rsidR="00FE02EF" w:rsidRPr="00CC19F7" w:rsidRDefault="00881E58" w:rsidP="002E78FA">
            <w:pPr>
              <w:jc w:val="right"/>
            </w:pPr>
            <w:r w:rsidRPr="00CC19F7">
              <w:t>102 500 000</w:t>
            </w:r>
          </w:p>
        </w:tc>
        <w:tc>
          <w:tcPr>
            <w:tcW w:w="1580" w:type="dxa"/>
            <w:tcBorders>
              <w:top w:val="nil"/>
              <w:left w:val="nil"/>
              <w:bottom w:val="nil"/>
              <w:right w:val="nil"/>
            </w:tcBorders>
            <w:tcMar>
              <w:top w:w="128" w:type="dxa"/>
              <w:left w:w="43" w:type="dxa"/>
              <w:bottom w:w="43" w:type="dxa"/>
              <w:right w:w="43" w:type="dxa"/>
            </w:tcMar>
            <w:vAlign w:val="bottom"/>
          </w:tcPr>
          <w:p w14:paraId="6B6B0552" w14:textId="77777777" w:rsidR="00FE02EF" w:rsidRPr="00CC19F7" w:rsidRDefault="00FE02EF" w:rsidP="002E78FA">
            <w:pPr>
              <w:jc w:val="right"/>
            </w:pPr>
          </w:p>
        </w:tc>
      </w:tr>
      <w:tr w:rsidR="00FE02EF" w:rsidRPr="00CC19F7" w14:paraId="5E7D8427" w14:textId="77777777">
        <w:trPr>
          <w:trHeight w:val="380"/>
        </w:trPr>
        <w:tc>
          <w:tcPr>
            <w:tcW w:w="680" w:type="dxa"/>
            <w:tcBorders>
              <w:top w:val="nil"/>
              <w:left w:val="nil"/>
              <w:bottom w:val="nil"/>
              <w:right w:val="nil"/>
            </w:tcBorders>
            <w:tcMar>
              <w:top w:w="128" w:type="dxa"/>
              <w:left w:w="43" w:type="dxa"/>
              <w:bottom w:w="43" w:type="dxa"/>
              <w:right w:w="43" w:type="dxa"/>
            </w:tcMar>
          </w:tcPr>
          <w:p w14:paraId="43C8EF4E" w14:textId="77777777" w:rsidR="00FE02EF" w:rsidRPr="00CC19F7" w:rsidRDefault="00FE02EF" w:rsidP="002E78FA"/>
        </w:tc>
        <w:tc>
          <w:tcPr>
            <w:tcW w:w="680" w:type="dxa"/>
            <w:tcBorders>
              <w:top w:val="nil"/>
              <w:left w:val="nil"/>
              <w:bottom w:val="nil"/>
              <w:right w:val="nil"/>
            </w:tcBorders>
            <w:tcMar>
              <w:top w:w="128" w:type="dxa"/>
              <w:left w:w="43" w:type="dxa"/>
              <w:bottom w:w="43" w:type="dxa"/>
              <w:right w:w="43" w:type="dxa"/>
            </w:tcMar>
          </w:tcPr>
          <w:p w14:paraId="0E91687E" w14:textId="77777777" w:rsidR="00FE02EF" w:rsidRPr="00CC19F7" w:rsidRDefault="00881E58" w:rsidP="002E78FA">
            <w:r w:rsidRPr="00CC19F7">
              <w:t>23</w:t>
            </w:r>
          </w:p>
        </w:tc>
        <w:tc>
          <w:tcPr>
            <w:tcW w:w="5040" w:type="dxa"/>
            <w:tcBorders>
              <w:top w:val="nil"/>
              <w:left w:val="nil"/>
              <w:bottom w:val="nil"/>
              <w:right w:val="nil"/>
            </w:tcBorders>
            <w:tcMar>
              <w:top w:w="128" w:type="dxa"/>
              <w:left w:w="43" w:type="dxa"/>
              <w:bottom w:w="43" w:type="dxa"/>
              <w:right w:w="43" w:type="dxa"/>
            </w:tcMar>
          </w:tcPr>
          <w:p w14:paraId="7B62657D" w14:textId="77777777" w:rsidR="00FE02EF" w:rsidRPr="00CC19F7" w:rsidRDefault="00881E58" w:rsidP="002E78FA">
            <w:r w:rsidRPr="00CC19F7">
              <w:t xml:space="preserve">Oppdrags- og </w:t>
            </w:r>
            <w:proofErr w:type="spellStart"/>
            <w:r w:rsidRPr="00CC19F7">
              <w:t>samarbeidsverksemd</w:t>
            </w:r>
            <w:proofErr w:type="spellEnd"/>
            <w:r w:rsidRPr="00CC19F7">
              <w:rPr>
                <w:rStyle w:val="kursiv"/>
              </w:rPr>
              <w:t>, kan </w:t>
            </w:r>
            <w:proofErr w:type="spellStart"/>
            <w:r w:rsidRPr="00CC19F7">
              <w:rPr>
                <w:rStyle w:val="kursiv"/>
              </w:rPr>
              <w:t>overførast</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08DC63B3" w14:textId="77777777" w:rsidR="00FE02EF" w:rsidRPr="00CC19F7" w:rsidRDefault="00881E58" w:rsidP="002E78FA">
            <w:pPr>
              <w:jc w:val="right"/>
            </w:pPr>
            <w:r w:rsidRPr="00CC19F7">
              <w:t>57 500 000</w:t>
            </w:r>
          </w:p>
        </w:tc>
        <w:tc>
          <w:tcPr>
            <w:tcW w:w="1580" w:type="dxa"/>
            <w:tcBorders>
              <w:top w:val="nil"/>
              <w:left w:val="nil"/>
              <w:bottom w:val="nil"/>
              <w:right w:val="nil"/>
            </w:tcBorders>
            <w:tcMar>
              <w:top w:w="128" w:type="dxa"/>
              <w:left w:w="43" w:type="dxa"/>
              <w:bottom w:w="43" w:type="dxa"/>
              <w:right w:w="43" w:type="dxa"/>
            </w:tcMar>
            <w:vAlign w:val="bottom"/>
          </w:tcPr>
          <w:p w14:paraId="09E9841A" w14:textId="77777777" w:rsidR="00FE02EF" w:rsidRPr="00CC19F7" w:rsidRDefault="00881E58" w:rsidP="002E78FA">
            <w:pPr>
              <w:jc w:val="right"/>
            </w:pPr>
            <w:r w:rsidRPr="00CC19F7">
              <w:t>506 800 000</w:t>
            </w:r>
          </w:p>
        </w:tc>
      </w:tr>
      <w:tr w:rsidR="00FE02EF" w:rsidRPr="00CC19F7" w14:paraId="6EBB7909" w14:textId="77777777">
        <w:trPr>
          <w:trHeight w:val="380"/>
        </w:trPr>
        <w:tc>
          <w:tcPr>
            <w:tcW w:w="680" w:type="dxa"/>
            <w:tcBorders>
              <w:top w:val="nil"/>
              <w:left w:val="nil"/>
              <w:bottom w:val="nil"/>
              <w:right w:val="nil"/>
            </w:tcBorders>
            <w:tcMar>
              <w:top w:w="128" w:type="dxa"/>
              <w:left w:w="43" w:type="dxa"/>
              <w:bottom w:w="43" w:type="dxa"/>
              <w:right w:w="43" w:type="dxa"/>
            </w:tcMar>
          </w:tcPr>
          <w:p w14:paraId="1043BA8A" w14:textId="77777777" w:rsidR="00FE02EF" w:rsidRPr="00CC19F7" w:rsidRDefault="00FE02EF" w:rsidP="002E78FA"/>
        </w:tc>
        <w:tc>
          <w:tcPr>
            <w:tcW w:w="680" w:type="dxa"/>
            <w:tcBorders>
              <w:top w:val="nil"/>
              <w:left w:val="nil"/>
              <w:bottom w:val="nil"/>
              <w:right w:val="nil"/>
            </w:tcBorders>
            <w:tcMar>
              <w:top w:w="128" w:type="dxa"/>
              <w:left w:w="43" w:type="dxa"/>
              <w:bottom w:w="43" w:type="dxa"/>
              <w:right w:w="43" w:type="dxa"/>
            </w:tcMar>
          </w:tcPr>
          <w:p w14:paraId="115808F7" w14:textId="77777777" w:rsidR="00FE02EF" w:rsidRPr="00CC19F7" w:rsidRDefault="00FE02EF" w:rsidP="002E78FA"/>
        </w:tc>
        <w:tc>
          <w:tcPr>
            <w:tcW w:w="5040" w:type="dxa"/>
            <w:tcBorders>
              <w:top w:val="nil"/>
              <w:left w:val="nil"/>
              <w:bottom w:val="nil"/>
              <w:right w:val="nil"/>
            </w:tcBorders>
            <w:tcMar>
              <w:top w:w="128" w:type="dxa"/>
              <w:left w:w="43" w:type="dxa"/>
              <w:bottom w:w="43" w:type="dxa"/>
              <w:right w:w="43" w:type="dxa"/>
            </w:tcMar>
          </w:tcPr>
          <w:p w14:paraId="795CB47C" w14:textId="77777777" w:rsidR="00FE02EF" w:rsidRPr="00CC19F7" w:rsidRDefault="00881E58" w:rsidP="002E78FA">
            <w:r w:rsidRPr="00CC19F7">
              <w:t>Sum Petroleum</w:t>
            </w:r>
          </w:p>
        </w:tc>
        <w:tc>
          <w:tcPr>
            <w:tcW w:w="1580" w:type="dxa"/>
            <w:tcBorders>
              <w:top w:val="nil"/>
              <w:left w:val="nil"/>
              <w:bottom w:val="nil"/>
              <w:right w:val="nil"/>
            </w:tcBorders>
            <w:tcMar>
              <w:top w:w="128" w:type="dxa"/>
              <w:left w:w="43" w:type="dxa"/>
              <w:bottom w:w="43" w:type="dxa"/>
              <w:right w:w="43" w:type="dxa"/>
            </w:tcMar>
            <w:vAlign w:val="bottom"/>
          </w:tcPr>
          <w:p w14:paraId="7484E132" w14:textId="77777777" w:rsidR="00FE02EF" w:rsidRPr="00CC19F7" w:rsidRDefault="00FE02EF" w:rsidP="002E78FA">
            <w:pPr>
              <w:jc w:val="right"/>
            </w:pPr>
          </w:p>
        </w:tc>
        <w:tc>
          <w:tcPr>
            <w:tcW w:w="1580" w:type="dxa"/>
            <w:tcBorders>
              <w:top w:val="nil"/>
              <w:left w:val="nil"/>
              <w:bottom w:val="nil"/>
              <w:right w:val="nil"/>
            </w:tcBorders>
            <w:tcMar>
              <w:top w:w="128" w:type="dxa"/>
              <w:left w:w="43" w:type="dxa"/>
              <w:bottom w:w="43" w:type="dxa"/>
              <w:right w:w="43" w:type="dxa"/>
            </w:tcMar>
            <w:vAlign w:val="bottom"/>
          </w:tcPr>
          <w:p w14:paraId="28C02796" w14:textId="77777777" w:rsidR="00FE02EF" w:rsidRPr="00CC19F7" w:rsidRDefault="00881E58" w:rsidP="002E78FA">
            <w:pPr>
              <w:jc w:val="right"/>
            </w:pPr>
            <w:r w:rsidRPr="00CC19F7">
              <w:t>506 800 000</w:t>
            </w:r>
          </w:p>
        </w:tc>
      </w:tr>
      <w:tr w:rsidR="00FE02EF" w:rsidRPr="00CC19F7" w14:paraId="2E5D88F3" w14:textId="77777777">
        <w:trPr>
          <w:trHeight w:val="380"/>
        </w:trPr>
        <w:tc>
          <w:tcPr>
            <w:tcW w:w="9560" w:type="dxa"/>
            <w:gridSpan w:val="5"/>
            <w:tcBorders>
              <w:top w:val="nil"/>
              <w:left w:val="nil"/>
              <w:bottom w:val="nil"/>
              <w:right w:val="nil"/>
            </w:tcBorders>
            <w:tcMar>
              <w:top w:w="128" w:type="dxa"/>
              <w:left w:w="43" w:type="dxa"/>
              <w:bottom w:w="43" w:type="dxa"/>
              <w:right w:w="43" w:type="dxa"/>
            </w:tcMar>
          </w:tcPr>
          <w:p w14:paraId="291F3C6A" w14:textId="77777777" w:rsidR="00FE02EF" w:rsidRPr="00CC19F7" w:rsidRDefault="00881E58" w:rsidP="002E78FA">
            <w:pPr>
              <w:jc w:val="center"/>
            </w:pPr>
            <w:r w:rsidRPr="00CC19F7">
              <w:t xml:space="preserve">Energi og </w:t>
            </w:r>
            <w:proofErr w:type="spellStart"/>
            <w:r w:rsidRPr="00CC19F7">
              <w:t>vassressursar</w:t>
            </w:r>
            <w:proofErr w:type="spellEnd"/>
          </w:p>
        </w:tc>
      </w:tr>
      <w:tr w:rsidR="00FE02EF" w:rsidRPr="00CC19F7" w14:paraId="4CA38A0B" w14:textId="77777777">
        <w:trPr>
          <w:trHeight w:val="380"/>
        </w:trPr>
        <w:tc>
          <w:tcPr>
            <w:tcW w:w="680" w:type="dxa"/>
            <w:tcBorders>
              <w:top w:val="nil"/>
              <w:left w:val="nil"/>
              <w:bottom w:val="nil"/>
              <w:right w:val="nil"/>
            </w:tcBorders>
            <w:tcMar>
              <w:top w:w="128" w:type="dxa"/>
              <w:left w:w="43" w:type="dxa"/>
              <w:bottom w:w="43" w:type="dxa"/>
              <w:right w:w="43" w:type="dxa"/>
            </w:tcMar>
          </w:tcPr>
          <w:p w14:paraId="555B8EF8" w14:textId="77777777" w:rsidR="00FE02EF" w:rsidRPr="00CC19F7" w:rsidRDefault="00881E58" w:rsidP="002E78FA">
            <w:r w:rsidRPr="00CC19F7">
              <w:t>1820</w:t>
            </w:r>
          </w:p>
        </w:tc>
        <w:tc>
          <w:tcPr>
            <w:tcW w:w="680" w:type="dxa"/>
            <w:tcBorders>
              <w:top w:val="nil"/>
              <w:left w:val="nil"/>
              <w:bottom w:val="nil"/>
              <w:right w:val="nil"/>
            </w:tcBorders>
            <w:tcMar>
              <w:top w:w="128" w:type="dxa"/>
              <w:left w:w="43" w:type="dxa"/>
              <w:bottom w:w="43" w:type="dxa"/>
              <w:right w:w="43" w:type="dxa"/>
            </w:tcMar>
          </w:tcPr>
          <w:p w14:paraId="34889EE1" w14:textId="77777777" w:rsidR="00FE02EF" w:rsidRPr="00CC19F7" w:rsidRDefault="00FE02EF" w:rsidP="002E78FA"/>
        </w:tc>
        <w:tc>
          <w:tcPr>
            <w:tcW w:w="5040" w:type="dxa"/>
            <w:tcBorders>
              <w:top w:val="nil"/>
              <w:left w:val="nil"/>
              <w:bottom w:val="nil"/>
              <w:right w:val="nil"/>
            </w:tcBorders>
            <w:tcMar>
              <w:top w:w="128" w:type="dxa"/>
              <w:left w:w="43" w:type="dxa"/>
              <w:bottom w:w="43" w:type="dxa"/>
              <w:right w:w="43" w:type="dxa"/>
            </w:tcMar>
          </w:tcPr>
          <w:p w14:paraId="7843EEF5" w14:textId="77777777" w:rsidR="00FE02EF" w:rsidRPr="00CC19F7" w:rsidRDefault="00881E58" w:rsidP="002E78FA">
            <w:proofErr w:type="spellStart"/>
            <w:r w:rsidRPr="00CC19F7">
              <w:t>Noregs</w:t>
            </w:r>
            <w:proofErr w:type="spellEnd"/>
            <w:r w:rsidRPr="00CC19F7">
              <w:t xml:space="preserve"> vassdrags- og energidirektorat</w:t>
            </w:r>
          </w:p>
        </w:tc>
        <w:tc>
          <w:tcPr>
            <w:tcW w:w="1580" w:type="dxa"/>
            <w:tcBorders>
              <w:top w:val="nil"/>
              <w:left w:val="nil"/>
              <w:bottom w:val="nil"/>
              <w:right w:val="nil"/>
            </w:tcBorders>
            <w:tcMar>
              <w:top w:w="128" w:type="dxa"/>
              <w:left w:w="43" w:type="dxa"/>
              <w:bottom w:w="43" w:type="dxa"/>
              <w:right w:w="43" w:type="dxa"/>
            </w:tcMar>
            <w:vAlign w:val="bottom"/>
          </w:tcPr>
          <w:p w14:paraId="6133294F" w14:textId="77777777" w:rsidR="00FE02EF" w:rsidRPr="00CC19F7" w:rsidRDefault="00FE02EF" w:rsidP="002E78FA">
            <w:pPr>
              <w:jc w:val="right"/>
            </w:pPr>
          </w:p>
        </w:tc>
        <w:tc>
          <w:tcPr>
            <w:tcW w:w="1580" w:type="dxa"/>
            <w:tcBorders>
              <w:top w:val="nil"/>
              <w:left w:val="nil"/>
              <w:bottom w:val="nil"/>
              <w:right w:val="nil"/>
            </w:tcBorders>
            <w:tcMar>
              <w:top w:w="128" w:type="dxa"/>
              <w:left w:w="43" w:type="dxa"/>
              <w:bottom w:w="43" w:type="dxa"/>
              <w:right w:w="43" w:type="dxa"/>
            </w:tcMar>
            <w:vAlign w:val="bottom"/>
          </w:tcPr>
          <w:p w14:paraId="02C4A2BB" w14:textId="77777777" w:rsidR="00FE02EF" w:rsidRPr="00CC19F7" w:rsidRDefault="00FE02EF" w:rsidP="002E78FA">
            <w:pPr>
              <w:jc w:val="right"/>
            </w:pPr>
          </w:p>
        </w:tc>
      </w:tr>
      <w:tr w:rsidR="00FE02EF" w:rsidRPr="00CC19F7" w14:paraId="076EE434" w14:textId="77777777">
        <w:trPr>
          <w:trHeight w:val="380"/>
        </w:trPr>
        <w:tc>
          <w:tcPr>
            <w:tcW w:w="680" w:type="dxa"/>
            <w:tcBorders>
              <w:top w:val="nil"/>
              <w:left w:val="nil"/>
              <w:bottom w:val="nil"/>
              <w:right w:val="nil"/>
            </w:tcBorders>
            <w:tcMar>
              <w:top w:w="128" w:type="dxa"/>
              <w:left w:w="43" w:type="dxa"/>
              <w:bottom w:w="43" w:type="dxa"/>
              <w:right w:w="43" w:type="dxa"/>
            </w:tcMar>
          </w:tcPr>
          <w:p w14:paraId="38F3A4FC" w14:textId="77777777" w:rsidR="00FE02EF" w:rsidRPr="00CC19F7" w:rsidRDefault="00FE02EF" w:rsidP="002E78FA"/>
        </w:tc>
        <w:tc>
          <w:tcPr>
            <w:tcW w:w="680" w:type="dxa"/>
            <w:tcBorders>
              <w:top w:val="nil"/>
              <w:left w:val="nil"/>
              <w:bottom w:val="nil"/>
              <w:right w:val="nil"/>
            </w:tcBorders>
            <w:tcMar>
              <w:top w:w="128" w:type="dxa"/>
              <w:left w:w="43" w:type="dxa"/>
              <w:bottom w:w="43" w:type="dxa"/>
              <w:right w:w="43" w:type="dxa"/>
            </w:tcMar>
          </w:tcPr>
          <w:p w14:paraId="760D31FB" w14:textId="77777777" w:rsidR="00FE02EF" w:rsidRPr="00CC19F7" w:rsidRDefault="00881E58" w:rsidP="002E78FA">
            <w:r w:rsidRPr="00CC19F7">
              <w:t>01</w:t>
            </w:r>
          </w:p>
        </w:tc>
        <w:tc>
          <w:tcPr>
            <w:tcW w:w="5040" w:type="dxa"/>
            <w:tcBorders>
              <w:top w:val="nil"/>
              <w:left w:val="nil"/>
              <w:bottom w:val="nil"/>
              <w:right w:val="nil"/>
            </w:tcBorders>
            <w:tcMar>
              <w:top w:w="128" w:type="dxa"/>
              <w:left w:w="43" w:type="dxa"/>
              <w:bottom w:w="43" w:type="dxa"/>
              <w:right w:w="43" w:type="dxa"/>
            </w:tcMar>
          </w:tcPr>
          <w:p w14:paraId="73437399" w14:textId="77777777" w:rsidR="00FE02EF" w:rsidRPr="00CC19F7" w:rsidRDefault="00881E58" w:rsidP="002E78FA">
            <w:r w:rsidRPr="00CC19F7">
              <w:t>Driftsutgifter</w:t>
            </w:r>
          </w:p>
        </w:tc>
        <w:tc>
          <w:tcPr>
            <w:tcW w:w="1580" w:type="dxa"/>
            <w:tcBorders>
              <w:top w:val="nil"/>
              <w:left w:val="nil"/>
              <w:bottom w:val="nil"/>
              <w:right w:val="nil"/>
            </w:tcBorders>
            <w:tcMar>
              <w:top w:w="128" w:type="dxa"/>
              <w:left w:w="43" w:type="dxa"/>
              <w:bottom w:w="43" w:type="dxa"/>
              <w:right w:w="43" w:type="dxa"/>
            </w:tcMar>
            <w:vAlign w:val="bottom"/>
          </w:tcPr>
          <w:p w14:paraId="7DB6B9E0" w14:textId="77777777" w:rsidR="00FE02EF" w:rsidRPr="00CC19F7" w:rsidRDefault="00881E58" w:rsidP="002E78FA">
            <w:pPr>
              <w:jc w:val="right"/>
            </w:pPr>
            <w:r w:rsidRPr="00CC19F7">
              <w:t>899 000 000</w:t>
            </w:r>
          </w:p>
        </w:tc>
        <w:tc>
          <w:tcPr>
            <w:tcW w:w="1580" w:type="dxa"/>
            <w:tcBorders>
              <w:top w:val="nil"/>
              <w:left w:val="nil"/>
              <w:bottom w:val="nil"/>
              <w:right w:val="nil"/>
            </w:tcBorders>
            <w:tcMar>
              <w:top w:w="128" w:type="dxa"/>
              <w:left w:w="43" w:type="dxa"/>
              <w:bottom w:w="43" w:type="dxa"/>
              <w:right w:w="43" w:type="dxa"/>
            </w:tcMar>
            <w:vAlign w:val="bottom"/>
          </w:tcPr>
          <w:p w14:paraId="6605CBF8" w14:textId="77777777" w:rsidR="00FE02EF" w:rsidRPr="00CC19F7" w:rsidRDefault="00FE02EF" w:rsidP="002E78FA">
            <w:pPr>
              <w:jc w:val="right"/>
            </w:pPr>
          </w:p>
        </w:tc>
      </w:tr>
      <w:tr w:rsidR="00FE02EF" w:rsidRPr="00CC19F7" w14:paraId="162E8651" w14:textId="77777777">
        <w:trPr>
          <w:trHeight w:val="380"/>
        </w:trPr>
        <w:tc>
          <w:tcPr>
            <w:tcW w:w="680" w:type="dxa"/>
            <w:tcBorders>
              <w:top w:val="nil"/>
              <w:left w:val="nil"/>
              <w:bottom w:val="nil"/>
              <w:right w:val="nil"/>
            </w:tcBorders>
            <w:tcMar>
              <w:top w:w="128" w:type="dxa"/>
              <w:left w:w="43" w:type="dxa"/>
              <w:bottom w:w="43" w:type="dxa"/>
              <w:right w:w="43" w:type="dxa"/>
            </w:tcMar>
          </w:tcPr>
          <w:p w14:paraId="44356313" w14:textId="77777777" w:rsidR="00FE02EF" w:rsidRPr="00CC19F7" w:rsidRDefault="00FE02EF" w:rsidP="002E78FA"/>
        </w:tc>
        <w:tc>
          <w:tcPr>
            <w:tcW w:w="680" w:type="dxa"/>
            <w:tcBorders>
              <w:top w:val="nil"/>
              <w:left w:val="nil"/>
              <w:bottom w:val="nil"/>
              <w:right w:val="nil"/>
            </w:tcBorders>
            <w:tcMar>
              <w:top w:w="128" w:type="dxa"/>
              <w:left w:w="43" w:type="dxa"/>
              <w:bottom w:w="43" w:type="dxa"/>
              <w:right w:w="43" w:type="dxa"/>
            </w:tcMar>
          </w:tcPr>
          <w:p w14:paraId="4F26B4FB" w14:textId="77777777" w:rsidR="00FE02EF" w:rsidRPr="00CC19F7" w:rsidRDefault="00881E58" w:rsidP="002E78FA">
            <w:r w:rsidRPr="00CC19F7">
              <w:t>21</w:t>
            </w:r>
          </w:p>
        </w:tc>
        <w:tc>
          <w:tcPr>
            <w:tcW w:w="5040" w:type="dxa"/>
            <w:tcBorders>
              <w:top w:val="nil"/>
              <w:left w:val="nil"/>
              <w:bottom w:val="nil"/>
              <w:right w:val="nil"/>
            </w:tcBorders>
            <w:tcMar>
              <w:top w:w="128" w:type="dxa"/>
              <w:left w:w="43" w:type="dxa"/>
              <w:bottom w:w="43" w:type="dxa"/>
              <w:right w:w="43" w:type="dxa"/>
            </w:tcMar>
          </w:tcPr>
          <w:p w14:paraId="1AF9DC4D" w14:textId="77777777" w:rsidR="00FE02EF" w:rsidRPr="00CC19F7" w:rsidRDefault="00881E58" w:rsidP="002E78FA">
            <w:r w:rsidRPr="00CC19F7">
              <w:t>Spesielle driftsutgifter</w:t>
            </w:r>
            <w:r w:rsidRPr="00CC19F7">
              <w:rPr>
                <w:rStyle w:val="kursiv"/>
              </w:rPr>
              <w:t>, kan </w:t>
            </w:r>
            <w:proofErr w:type="spellStart"/>
            <w:r w:rsidRPr="00CC19F7">
              <w:rPr>
                <w:rStyle w:val="kursiv"/>
              </w:rPr>
              <w:t>overførast</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7E8524A6" w14:textId="77777777" w:rsidR="00FE02EF" w:rsidRPr="00CC19F7" w:rsidRDefault="00881E58" w:rsidP="002E78FA">
            <w:pPr>
              <w:jc w:val="right"/>
            </w:pPr>
            <w:r w:rsidRPr="00CC19F7">
              <w:t>91 000 000</w:t>
            </w:r>
          </w:p>
        </w:tc>
        <w:tc>
          <w:tcPr>
            <w:tcW w:w="1580" w:type="dxa"/>
            <w:tcBorders>
              <w:top w:val="nil"/>
              <w:left w:val="nil"/>
              <w:bottom w:val="nil"/>
              <w:right w:val="nil"/>
            </w:tcBorders>
            <w:tcMar>
              <w:top w:w="128" w:type="dxa"/>
              <w:left w:w="43" w:type="dxa"/>
              <w:bottom w:w="43" w:type="dxa"/>
              <w:right w:w="43" w:type="dxa"/>
            </w:tcMar>
            <w:vAlign w:val="bottom"/>
          </w:tcPr>
          <w:p w14:paraId="54DBFABA" w14:textId="77777777" w:rsidR="00FE02EF" w:rsidRPr="00CC19F7" w:rsidRDefault="00FE02EF" w:rsidP="002E78FA">
            <w:pPr>
              <w:jc w:val="right"/>
            </w:pPr>
          </w:p>
        </w:tc>
      </w:tr>
      <w:tr w:rsidR="00FE02EF" w:rsidRPr="00CC19F7" w14:paraId="0FADEB00" w14:textId="77777777">
        <w:trPr>
          <w:trHeight w:val="640"/>
        </w:trPr>
        <w:tc>
          <w:tcPr>
            <w:tcW w:w="680" w:type="dxa"/>
            <w:tcBorders>
              <w:top w:val="nil"/>
              <w:left w:val="nil"/>
              <w:bottom w:val="nil"/>
              <w:right w:val="nil"/>
            </w:tcBorders>
            <w:tcMar>
              <w:top w:w="128" w:type="dxa"/>
              <w:left w:w="43" w:type="dxa"/>
              <w:bottom w:w="43" w:type="dxa"/>
              <w:right w:w="43" w:type="dxa"/>
            </w:tcMar>
          </w:tcPr>
          <w:p w14:paraId="11E3959D" w14:textId="77777777" w:rsidR="00FE02EF" w:rsidRPr="00CC19F7" w:rsidRDefault="00FE02EF" w:rsidP="002E78FA"/>
        </w:tc>
        <w:tc>
          <w:tcPr>
            <w:tcW w:w="680" w:type="dxa"/>
            <w:tcBorders>
              <w:top w:val="nil"/>
              <w:left w:val="nil"/>
              <w:bottom w:val="nil"/>
              <w:right w:val="nil"/>
            </w:tcBorders>
            <w:tcMar>
              <w:top w:w="128" w:type="dxa"/>
              <w:left w:w="43" w:type="dxa"/>
              <w:bottom w:w="43" w:type="dxa"/>
              <w:right w:w="43" w:type="dxa"/>
            </w:tcMar>
          </w:tcPr>
          <w:p w14:paraId="62EF66C0" w14:textId="77777777" w:rsidR="00FE02EF" w:rsidRPr="00CC19F7" w:rsidRDefault="00881E58" w:rsidP="002E78FA">
            <w:r w:rsidRPr="00CC19F7">
              <w:t>22</w:t>
            </w:r>
          </w:p>
        </w:tc>
        <w:tc>
          <w:tcPr>
            <w:tcW w:w="5040" w:type="dxa"/>
            <w:tcBorders>
              <w:top w:val="nil"/>
              <w:left w:val="nil"/>
              <w:bottom w:val="nil"/>
              <w:right w:val="nil"/>
            </w:tcBorders>
            <w:tcMar>
              <w:top w:w="128" w:type="dxa"/>
              <w:left w:w="43" w:type="dxa"/>
              <w:bottom w:w="43" w:type="dxa"/>
              <w:right w:w="43" w:type="dxa"/>
            </w:tcMar>
          </w:tcPr>
          <w:p w14:paraId="1545AEDE" w14:textId="77777777" w:rsidR="00FE02EF" w:rsidRPr="00CC19F7" w:rsidRDefault="00881E58" w:rsidP="002E78FA">
            <w:proofErr w:type="spellStart"/>
            <w:r w:rsidRPr="00CC19F7">
              <w:t>Flaum</w:t>
            </w:r>
            <w:proofErr w:type="spellEnd"/>
            <w:r w:rsidRPr="00CC19F7">
              <w:t xml:space="preserve">- og </w:t>
            </w:r>
            <w:proofErr w:type="spellStart"/>
            <w:r w:rsidRPr="00CC19F7">
              <w:t>skredførebygging</w:t>
            </w:r>
            <w:proofErr w:type="spellEnd"/>
            <w:r w:rsidRPr="00CC19F7">
              <w:rPr>
                <w:rStyle w:val="kursiv"/>
              </w:rPr>
              <w:t>, kan </w:t>
            </w:r>
            <w:proofErr w:type="spellStart"/>
            <w:r w:rsidRPr="00CC19F7">
              <w:rPr>
                <w:rStyle w:val="kursiv"/>
              </w:rPr>
              <w:t>overførast</w:t>
            </w:r>
            <w:proofErr w:type="spellEnd"/>
            <w:r w:rsidRPr="00CC19F7">
              <w:rPr>
                <w:rStyle w:val="kursiv"/>
              </w:rPr>
              <w:t xml:space="preserve">, </w:t>
            </w:r>
            <w:r w:rsidRPr="00CC19F7">
              <w:rPr>
                <w:rStyle w:val="kursiv"/>
              </w:rPr>
              <w:br/>
              <w:t xml:space="preserve">kan </w:t>
            </w:r>
            <w:proofErr w:type="spellStart"/>
            <w:r w:rsidRPr="00CC19F7">
              <w:rPr>
                <w:rStyle w:val="kursiv"/>
              </w:rPr>
              <w:t>nyttast</w:t>
            </w:r>
            <w:proofErr w:type="spellEnd"/>
            <w:r w:rsidRPr="00CC19F7">
              <w:rPr>
                <w:rStyle w:val="kursiv"/>
              </w:rPr>
              <w:t xml:space="preserve"> under </w:t>
            </w:r>
            <w:proofErr w:type="spellStart"/>
            <w:r w:rsidRPr="00CC19F7">
              <w:rPr>
                <w:rStyle w:val="kursiv"/>
              </w:rPr>
              <w:t>postane</w:t>
            </w:r>
            <w:proofErr w:type="spellEnd"/>
            <w:r w:rsidRPr="00CC19F7">
              <w:rPr>
                <w:rStyle w:val="kursiv"/>
              </w:rPr>
              <w:t xml:space="preserve"> 45, 60 og 72</w:t>
            </w:r>
          </w:p>
        </w:tc>
        <w:tc>
          <w:tcPr>
            <w:tcW w:w="1580" w:type="dxa"/>
            <w:tcBorders>
              <w:top w:val="nil"/>
              <w:left w:val="nil"/>
              <w:bottom w:val="nil"/>
              <w:right w:val="nil"/>
            </w:tcBorders>
            <w:tcMar>
              <w:top w:w="128" w:type="dxa"/>
              <w:left w:w="43" w:type="dxa"/>
              <w:bottom w:w="43" w:type="dxa"/>
              <w:right w:w="43" w:type="dxa"/>
            </w:tcMar>
            <w:vAlign w:val="bottom"/>
          </w:tcPr>
          <w:p w14:paraId="2D522955" w14:textId="77777777" w:rsidR="00FE02EF" w:rsidRPr="00CC19F7" w:rsidRDefault="00881E58" w:rsidP="002E78FA">
            <w:pPr>
              <w:jc w:val="right"/>
            </w:pPr>
            <w:r w:rsidRPr="00CC19F7">
              <w:t>332 000 000</w:t>
            </w:r>
          </w:p>
        </w:tc>
        <w:tc>
          <w:tcPr>
            <w:tcW w:w="1580" w:type="dxa"/>
            <w:tcBorders>
              <w:top w:val="nil"/>
              <w:left w:val="nil"/>
              <w:bottom w:val="nil"/>
              <w:right w:val="nil"/>
            </w:tcBorders>
            <w:tcMar>
              <w:top w:w="128" w:type="dxa"/>
              <w:left w:w="43" w:type="dxa"/>
              <w:bottom w:w="43" w:type="dxa"/>
              <w:right w:w="43" w:type="dxa"/>
            </w:tcMar>
            <w:vAlign w:val="bottom"/>
          </w:tcPr>
          <w:p w14:paraId="44085B93" w14:textId="77777777" w:rsidR="00FE02EF" w:rsidRPr="00CC19F7" w:rsidRDefault="00FE02EF" w:rsidP="002E78FA">
            <w:pPr>
              <w:jc w:val="right"/>
            </w:pPr>
          </w:p>
        </w:tc>
      </w:tr>
      <w:tr w:rsidR="00FE02EF" w:rsidRPr="00CC19F7" w14:paraId="178B537E" w14:textId="77777777">
        <w:trPr>
          <w:trHeight w:val="380"/>
        </w:trPr>
        <w:tc>
          <w:tcPr>
            <w:tcW w:w="680" w:type="dxa"/>
            <w:tcBorders>
              <w:top w:val="nil"/>
              <w:left w:val="nil"/>
              <w:bottom w:val="nil"/>
              <w:right w:val="nil"/>
            </w:tcBorders>
            <w:tcMar>
              <w:top w:w="128" w:type="dxa"/>
              <w:left w:w="43" w:type="dxa"/>
              <w:bottom w:w="43" w:type="dxa"/>
              <w:right w:w="43" w:type="dxa"/>
            </w:tcMar>
          </w:tcPr>
          <w:p w14:paraId="1E1D1540" w14:textId="77777777" w:rsidR="00FE02EF" w:rsidRPr="00CC19F7" w:rsidRDefault="00FE02EF" w:rsidP="002E78FA"/>
        </w:tc>
        <w:tc>
          <w:tcPr>
            <w:tcW w:w="680" w:type="dxa"/>
            <w:tcBorders>
              <w:top w:val="nil"/>
              <w:left w:val="nil"/>
              <w:bottom w:val="nil"/>
              <w:right w:val="nil"/>
            </w:tcBorders>
            <w:tcMar>
              <w:top w:w="128" w:type="dxa"/>
              <w:left w:w="43" w:type="dxa"/>
              <w:bottom w:w="43" w:type="dxa"/>
              <w:right w:w="43" w:type="dxa"/>
            </w:tcMar>
          </w:tcPr>
          <w:p w14:paraId="5CC4FF35" w14:textId="77777777" w:rsidR="00FE02EF" w:rsidRPr="00CC19F7" w:rsidRDefault="00881E58" w:rsidP="002E78FA">
            <w:r w:rsidRPr="00CC19F7">
              <w:t>23</w:t>
            </w:r>
          </w:p>
        </w:tc>
        <w:tc>
          <w:tcPr>
            <w:tcW w:w="5040" w:type="dxa"/>
            <w:tcBorders>
              <w:top w:val="nil"/>
              <w:left w:val="nil"/>
              <w:bottom w:val="nil"/>
              <w:right w:val="nil"/>
            </w:tcBorders>
            <w:tcMar>
              <w:top w:w="128" w:type="dxa"/>
              <w:left w:w="43" w:type="dxa"/>
              <w:bottom w:w="43" w:type="dxa"/>
              <w:right w:w="43" w:type="dxa"/>
            </w:tcMar>
          </w:tcPr>
          <w:p w14:paraId="0C7F6E9F" w14:textId="77777777" w:rsidR="00FE02EF" w:rsidRPr="00CC19F7" w:rsidRDefault="00881E58" w:rsidP="002E78FA">
            <w:r w:rsidRPr="00CC19F7">
              <w:t xml:space="preserve">Oppdrags- og </w:t>
            </w:r>
            <w:proofErr w:type="spellStart"/>
            <w:r w:rsidRPr="00CC19F7">
              <w:t>samarbeidsverksemd</w:t>
            </w:r>
            <w:proofErr w:type="spellEnd"/>
            <w:r w:rsidRPr="00CC19F7">
              <w:rPr>
                <w:rStyle w:val="kursiv"/>
              </w:rPr>
              <w:t>, kan </w:t>
            </w:r>
            <w:proofErr w:type="spellStart"/>
            <w:r w:rsidRPr="00CC19F7">
              <w:rPr>
                <w:rStyle w:val="kursiv"/>
              </w:rPr>
              <w:t>overførast</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0FC37F7D" w14:textId="77777777" w:rsidR="00FE02EF" w:rsidRPr="00CC19F7" w:rsidRDefault="00881E58" w:rsidP="002E78FA">
            <w:pPr>
              <w:jc w:val="right"/>
            </w:pPr>
            <w:r w:rsidRPr="00CC19F7">
              <w:t>70 000 000</w:t>
            </w:r>
          </w:p>
        </w:tc>
        <w:tc>
          <w:tcPr>
            <w:tcW w:w="1580" w:type="dxa"/>
            <w:tcBorders>
              <w:top w:val="nil"/>
              <w:left w:val="nil"/>
              <w:bottom w:val="nil"/>
              <w:right w:val="nil"/>
            </w:tcBorders>
            <w:tcMar>
              <w:top w:w="128" w:type="dxa"/>
              <w:left w:w="43" w:type="dxa"/>
              <w:bottom w:w="43" w:type="dxa"/>
              <w:right w:w="43" w:type="dxa"/>
            </w:tcMar>
            <w:vAlign w:val="bottom"/>
          </w:tcPr>
          <w:p w14:paraId="59FE9AF3" w14:textId="77777777" w:rsidR="00FE02EF" w:rsidRPr="00CC19F7" w:rsidRDefault="00FE02EF" w:rsidP="002E78FA">
            <w:pPr>
              <w:jc w:val="right"/>
            </w:pPr>
          </w:p>
        </w:tc>
      </w:tr>
      <w:tr w:rsidR="00FE02EF" w:rsidRPr="00CC19F7" w14:paraId="11BFEDBA" w14:textId="77777777">
        <w:trPr>
          <w:trHeight w:val="640"/>
        </w:trPr>
        <w:tc>
          <w:tcPr>
            <w:tcW w:w="680" w:type="dxa"/>
            <w:tcBorders>
              <w:top w:val="nil"/>
              <w:left w:val="nil"/>
              <w:bottom w:val="nil"/>
              <w:right w:val="nil"/>
            </w:tcBorders>
            <w:tcMar>
              <w:top w:w="128" w:type="dxa"/>
              <w:left w:w="43" w:type="dxa"/>
              <w:bottom w:w="43" w:type="dxa"/>
              <w:right w:w="43" w:type="dxa"/>
            </w:tcMar>
          </w:tcPr>
          <w:p w14:paraId="570EBBE0" w14:textId="77777777" w:rsidR="00FE02EF" w:rsidRPr="00CC19F7" w:rsidRDefault="00FE02EF" w:rsidP="002E78FA"/>
        </w:tc>
        <w:tc>
          <w:tcPr>
            <w:tcW w:w="680" w:type="dxa"/>
            <w:tcBorders>
              <w:top w:val="nil"/>
              <w:left w:val="nil"/>
              <w:bottom w:val="nil"/>
              <w:right w:val="nil"/>
            </w:tcBorders>
            <w:tcMar>
              <w:top w:w="128" w:type="dxa"/>
              <w:left w:w="43" w:type="dxa"/>
              <w:bottom w:w="43" w:type="dxa"/>
              <w:right w:w="43" w:type="dxa"/>
            </w:tcMar>
          </w:tcPr>
          <w:p w14:paraId="6B4A5591" w14:textId="77777777" w:rsidR="00FE02EF" w:rsidRPr="00CC19F7" w:rsidRDefault="00881E58" w:rsidP="002E78FA">
            <w:r w:rsidRPr="00CC19F7">
              <w:t>25</w:t>
            </w:r>
          </w:p>
        </w:tc>
        <w:tc>
          <w:tcPr>
            <w:tcW w:w="5040" w:type="dxa"/>
            <w:tcBorders>
              <w:top w:val="nil"/>
              <w:left w:val="nil"/>
              <w:bottom w:val="nil"/>
              <w:right w:val="nil"/>
            </w:tcBorders>
            <w:tcMar>
              <w:top w:w="128" w:type="dxa"/>
              <w:left w:w="43" w:type="dxa"/>
              <w:bottom w:w="43" w:type="dxa"/>
              <w:right w:w="43" w:type="dxa"/>
            </w:tcMar>
          </w:tcPr>
          <w:p w14:paraId="1DC189AC" w14:textId="77777777" w:rsidR="00FE02EF" w:rsidRPr="00CC19F7" w:rsidRDefault="00881E58" w:rsidP="002E78FA">
            <w:r w:rsidRPr="00CC19F7">
              <w:t xml:space="preserve">Krise- og hastetiltak i samband med </w:t>
            </w:r>
            <w:proofErr w:type="spellStart"/>
            <w:r w:rsidRPr="00CC19F7">
              <w:t>flaum</w:t>
            </w:r>
            <w:proofErr w:type="spellEnd"/>
            <w:r w:rsidRPr="00CC19F7">
              <w:t xml:space="preserve">- </w:t>
            </w:r>
            <w:r w:rsidRPr="00CC19F7">
              <w:br/>
              <w:t xml:space="preserve">og </w:t>
            </w:r>
            <w:proofErr w:type="spellStart"/>
            <w:r w:rsidRPr="00CC19F7">
              <w:t>skredhendingar</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24CB57D7" w14:textId="77777777" w:rsidR="00FE02EF" w:rsidRPr="00CC19F7" w:rsidRDefault="00881E58" w:rsidP="002E78FA">
            <w:pPr>
              <w:jc w:val="right"/>
            </w:pPr>
            <w:r w:rsidRPr="00CC19F7">
              <w:t>200 000 000</w:t>
            </w:r>
          </w:p>
        </w:tc>
        <w:tc>
          <w:tcPr>
            <w:tcW w:w="1580" w:type="dxa"/>
            <w:tcBorders>
              <w:top w:val="nil"/>
              <w:left w:val="nil"/>
              <w:bottom w:val="nil"/>
              <w:right w:val="nil"/>
            </w:tcBorders>
            <w:tcMar>
              <w:top w:w="128" w:type="dxa"/>
              <w:left w:w="43" w:type="dxa"/>
              <w:bottom w:w="43" w:type="dxa"/>
              <w:right w:w="43" w:type="dxa"/>
            </w:tcMar>
            <w:vAlign w:val="bottom"/>
          </w:tcPr>
          <w:p w14:paraId="27F58A1B" w14:textId="77777777" w:rsidR="00FE02EF" w:rsidRPr="00CC19F7" w:rsidRDefault="00FE02EF" w:rsidP="002E78FA">
            <w:pPr>
              <w:jc w:val="right"/>
            </w:pPr>
          </w:p>
        </w:tc>
      </w:tr>
      <w:tr w:rsidR="00FE02EF" w:rsidRPr="00CC19F7" w14:paraId="3189C5CC" w14:textId="77777777">
        <w:trPr>
          <w:trHeight w:val="380"/>
        </w:trPr>
        <w:tc>
          <w:tcPr>
            <w:tcW w:w="680" w:type="dxa"/>
            <w:tcBorders>
              <w:top w:val="nil"/>
              <w:left w:val="nil"/>
              <w:bottom w:val="nil"/>
              <w:right w:val="nil"/>
            </w:tcBorders>
            <w:tcMar>
              <w:top w:w="128" w:type="dxa"/>
              <w:left w:w="43" w:type="dxa"/>
              <w:bottom w:w="43" w:type="dxa"/>
              <w:right w:w="43" w:type="dxa"/>
            </w:tcMar>
          </w:tcPr>
          <w:p w14:paraId="0B0FA9BA" w14:textId="77777777" w:rsidR="00FE02EF" w:rsidRPr="00CC19F7" w:rsidRDefault="00FE02EF" w:rsidP="002E78FA"/>
        </w:tc>
        <w:tc>
          <w:tcPr>
            <w:tcW w:w="680" w:type="dxa"/>
            <w:tcBorders>
              <w:top w:val="nil"/>
              <w:left w:val="nil"/>
              <w:bottom w:val="nil"/>
              <w:right w:val="nil"/>
            </w:tcBorders>
            <w:tcMar>
              <w:top w:w="128" w:type="dxa"/>
              <w:left w:w="43" w:type="dxa"/>
              <w:bottom w:w="43" w:type="dxa"/>
              <w:right w:w="43" w:type="dxa"/>
            </w:tcMar>
          </w:tcPr>
          <w:p w14:paraId="72EEFE0A" w14:textId="77777777" w:rsidR="00FE02EF" w:rsidRPr="00CC19F7" w:rsidRDefault="00881E58" w:rsidP="002E78FA">
            <w:r w:rsidRPr="00CC19F7">
              <w:t>26</w:t>
            </w:r>
          </w:p>
        </w:tc>
        <w:tc>
          <w:tcPr>
            <w:tcW w:w="5040" w:type="dxa"/>
            <w:tcBorders>
              <w:top w:val="nil"/>
              <w:left w:val="nil"/>
              <w:bottom w:val="nil"/>
              <w:right w:val="nil"/>
            </w:tcBorders>
            <w:tcMar>
              <w:top w:w="128" w:type="dxa"/>
              <w:left w:w="43" w:type="dxa"/>
              <w:bottom w:w="43" w:type="dxa"/>
              <w:right w:w="43" w:type="dxa"/>
            </w:tcMar>
          </w:tcPr>
          <w:p w14:paraId="5594ABAF" w14:textId="77777777" w:rsidR="00FE02EF" w:rsidRPr="00CC19F7" w:rsidRDefault="00881E58" w:rsidP="002E78FA">
            <w:proofErr w:type="spellStart"/>
            <w:r w:rsidRPr="00CC19F7">
              <w:t>Reguleringsmyndigheita</w:t>
            </w:r>
            <w:proofErr w:type="spellEnd"/>
            <w:r w:rsidRPr="00CC19F7">
              <w:t xml:space="preserve"> for energi</w:t>
            </w:r>
          </w:p>
        </w:tc>
        <w:tc>
          <w:tcPr>
            <w:tcW w:w="1580" w:type="dxa"/>
            <w:tcBorders>
              <w:top w:val="nil"/>
              <w:left w:val="nil"/>
              <w:bottom w:val="nil"/>
              <w:right w:val="nil"/>
            </w:tcBorders>
            <w:tcMar>
              <w:top w:w="128" w:type="dxa"/>
              <w:left w:w="43" w:type="dxa"/>
              <w:bottom w:w="43" w:type="dxa"/>
              <w:right w:w="43" w:type="dxa"/>
            </w:tcMar>
            <w:vAlign w:val="bottom"/>
          </w:tcPr>
          <w:p w14:paraId="438B41B3" w14:textId="77777777" w:rsidR="00FE02EF" w:rsidRPr="00CC19F7" w:rsidRDefault="00881E58" w:rsidP="002E78FA">
            <w:pPr>
              <w:jc w:val="right"/>
            </w:pPr>
            <w:r w:rsidRPr="00CC19F7">
              <w:t>81 200 000</w:t>
            </w:r>
          </w:p>
        </w:tc>
        <w:tc>
          <w:tcPr>
            <w:tcW w:w="1580" w:type="dxa"/>
            <w:tcBorders>
              <w:top w:val="nil"/>
              <w:left w:val="nil"/>
              <w:bottom w:val="nil"/>
              <w:right w:val="nil"/>
            </w:tcBorders>
            <w:tcMar>
              <w:top w:w="128" w:type="dxa"/>
              <w:left w:w="43" w:type="dxa"/>
              <w:bottom w:w="43" w:type="dxa"/>
              <w:right w:w="43" w:type="dxa"/>
            </w:tcMar>
            <w:vAlign w:val="bottom"/>
          </w:tcPr>
          <w:p w14:paraId="506443CC" w14:textId="77777777" w:rsidR="00FE02EF" w:rsidRPr="00CC19F7" w:rsidRDefault="00FE02EF" w:rsidP="002E78FA">
            <w:pPr>
              <w:jc w:val="right"/>
            </w:pPr>
          </w:p>
        </w:tc>
      </w:tr>
      <w:tr w:rsidR="00FE02EF" w:rsidRPr="00CC19F7" w14:paraId="23BD93CD" w14:textId="77777777">
        <w:trPr>
          <w:trHeight w:val="640"/>
        </w:trPr>
        <w:tc>
          <w:tcPr>
            <w:tcW w:w="680" w:type="dxa"/>
            <w:tcBorders>
              <w:top w:val="single" w:sz="4" w:space="0" w:color="000000"/>
              <w:left w:val="nil"/>
              <w:bottom w:val="nil"/>
              <w:right w:val="nil"/>
            </w:tcBorders>
            <w:tcMar>
              <w:top w:w="128" w:type="dxa"/>
              <w:left w:w="43" w:type="dxa"/>
              <w:bottom w:w="43" w:type="dxa"/>
              <w:right w:w="43" w:type="dxa"/>
            </w:tcMar>
          </w:tcPr>
          <w:p w14:paraId="0D75F10A" w14:textId="77777777" w:rsidR="00FE02EF" w:rsidRPr="00CC19F7" w:rsidRDefault="00FE02EF" w:rsidP="002E78FA"/>
        </w:tc>
        <w:tc>
          <w:tcPr>
            <w:tcW w:w="680" w:type="dxa"/>
            <w:tcBorders>
              <w:top w:val="single" w:sz="4" w:space="0" w:color="000000"/>
              <w:left w:val="nil"/>
              <w:bottom w:val="nil"/>
              <w:right w:val="nil"/>
            </w:tcBorders>
            <w:tcMar>
              <w:top w:w="128" w:type="dxa"/>
              <w:left w:w="43" w:type="dxa"/>
              <w:bottom w:w="43" w:type="dxa"/>
              <w:right w:w="43" w:type="dxa"/>
            </w:tcMar>
          </w:tcPr>
          <w:p w14:paraId="00ACBC84" w14:textId="77777777" w:rsidR="00FE02EF" w:rsidRPr="00CC19F7" w:rsidRDefault="00881E58" w:rsidP="002E78FA">
            <w:r w:rsidRPr="00CC19F7">
              <w:t>45</w:t>
            </w:r>
          </w:p>
        </w:tc>
        <w:tc>
          <w:tcPr>
            <w:tcW w:w="5040" w:type="dxa"/>
            <w:tcBorders>
              <w:top w:val="single" w:sz="4" w:space="0" w:color="000000"/>
              <w:left w:val="nil"/>
              <w:bottom w:val="nil"/>
              <w:right w:val="nil"/>
            </w:tcBorders>
            <w:tcMar>
              <w:top w:w="128" w:type="dxa"/>
              <w:left w:w="43" w:type="dxa"/>
              <w:bottom w:w="43" w:type="dxa"/>
              <w:right w:w="43" w:type="dxa"/>
            </w:tcMar>
          </w:tcPr>
          <w:p w14:paraId="7DC8CA0C" w14:textId="77777777" w:rsidR="00FE02EF" w:rsidRPr="00CC19F7" w:rsidRDefault="00881E58" w:rsidP="002E78FA">
            <w:r w:rsidRPr="00CC19F7">
              <w:t xml:space="preserve">Større utstyrsinnkjøp og </w:t>
            </w:r>
            <w:proofErr w:type="spellStart"/>
            <w:r w:rsidRPr="00CC19F7">
              <w:t>vedlikehald</w:t>
            </w:r>
            <w:proofErr w:type="spellEnd"/>
            <w:r w:rsidRPr="00CC19F7">
              <w:rPr>
                <w:rStyle w:val="kursiv"/>
              </w:rPr>
              <w:t>, kan </w:t>
            </w:r>
            <w:proofErr w:type="spellStart"/>
            <w:r w:rsidRPr="00CC19F7">
              <w:rPr>
                <w:rStyle w:val="kursiv"/>
              </w:rPr>
              <w:t>overførast</w:t>
            </w:r>
            <w:proofErr w:type="spellEnd"/>
            <w:r w:rsidRPr="00CC19F7">
              <w:rPr>
                <w:rStyle w:val="kursiv"/>
              </w:rPr>
              <w:t xml:space="preserve">, kan </w:t>
            </w:r>
            <w:proofErr w:type="spellStart"/>
            <w:r w:rsidRPr="00CC19F7">
              <w:rPr>
                <w:rStyle w:val="kursiv"/>
              </w:rPr>
              <w:t>nyttast</w:t>
            </w:r>
            <w:proofErr w:type="spellEnd"/>
            <w:r w:rsidRPr="00CC19F7">
              <w:rPr>
                <w:rStyle w:val="kursiv"/>
              </w:rPr>
              <w:t xml:space="preserve"> under post 22</w:t>
            </w:r>
          </w:p>
        </w:tc>
        <w:tc>
          <w:tcPr>
            <w:tcW w:w="1580" w:type="dxa"/>
            <w:tcBorders>
              <w:top w:val="single" w:sz="4" w:space="0" w:color="000000"/>
              <w:left w:val="nil"/>
              <w:bottom w:val="nil"/>
              <w:right w:val="nil"/>
            </w:tcBorders>
            <w:tcMar>
              <w:top w:w="128" w:type="dxa"/>
              <w:left w:w="43" w:type="dxa"/>
              <w:bottom w:w="43" w:type="dxa"/>
              <w:right w:w="43" w:type="dxa"/>
            </w:tcMar>
            <w:vAlign w:val="bottom"/>
          </w:tcPr>
          <w:p w14:paraId="1AFC341C" w14:textId="77777777" w:rsidR="00FE02EF" w:rsidRPr="00CC19F7" w:rsidRDefault="00881E58" w:rsidP="002E78FA">
            <w:pPr>
              <w:jc w:val="right"/>
            </w:pPr>
            <w:r w:rsidRPr="00CC19F7">
              <w:t>29 000 000</w:t>
            </w:r>
          </w:p>
        </w:tc>
        <w:tc>
          <w:tcPr>
            <w:tcW w:w="1580" w:type="dxa"/>
            <w:tcBorders>
              <w:top w:val="single" w:sz="4" w:space="0" w:color="000000"/>
              <w:left w:val="nil"/>
              <w:bottom w:val="nil"/>
              <w:right w:val="nil"/>
            </w:tcBorders>
            <w:tcMar>
              <w:top w:w="128" w:type="dxa"/>
              <w:left w:w="43" w:type="dxa"/>
              <w:bottom w:w="43" w:type="dxa"/>
              <w:right w:w="43" w:type="dxa"/>
            </w:tcMar>
            <w:vAlign w:val="bottom"/>
          </w:tcPr>
          <w:p w14:paraId="5867DE07" w14:textId="77777777" w:rsidR="00FE02EF" w:rsidRPr="00CC19F7" w:rsidRDefault="00FE02EF" w:rsidP="002E78FA">
            <w:pPr>
              <w:jc w:val="right"/>
            </w:pPr>
          </w:p>
        </w:tc>
      </w:tr>
      <w:tr w:rsidR="00FE02EF" w:rsidRPr="00CC19F7" w14:paraId="4B55AD1B" w14:textId="77777777">
        <w:trPr>
          <w:trHeight w:val="640"/>
        </w:trPr>
        <w:tc>
          <w:tcPr>
            <w:tcW w:w="680" w:type="dxa"/>
            <w:tcBorders>
              <w:top w:val="nil"/>
              <w:left w:val="nil"/>
              <w:bottom w:val="nil"/>
              <w:right w:val="nil"/>
            </w:tcBorders>
            <w:tcMar>
              <w:top w:w="128" w:type="dxa"/>
              <w:left w:w="43" w:type="dxa"/>
              <w:bottom w:w="43" w:type="dxa"/>
              <w:right w:w="43" w:type="dxa"/>
            </w:tcMar>
          </w:tcPr>
          <w:p w14:paraId="3ADBF079" w14:textId="77777777" w:rsidR="00FE02EF" w:rsidRPr="00CC19F7" w:rsidRDefault="00FE02EF" w:rsidP="002E78FA"/>
        </w:tc>
        <w:tc>
          <w:tcPr>
            <w:tcW w:w="680" w:type="dxa"/>
            <w:tcBorders>
              <w:top w:val="nil"/>
              <w:left w:val="nil"/>
              <w:bottom w:val="nil"/>
              <w:right w:val="nil"/>
            </w:tcBorders>
            <w:tcMar>
              <w:top w:w="128" w:type="dxa"/>
              <w:left w:w="43" w:type="dxa"/>
              <w:bottom w:w="43" w:type="dxa"/>
              <w:right w:w="43" w:type="dxa"/>
            </w:tcMar>
          </w:tcPr>
          <w:p w14:paraId="22A512FF" w14:textId="77777777" w:rsidR="00FE02EF" w:rsidRPr="00CC19F7" w:rsidRDefault="00881E58" w:rsidP="002E78FA">
            <w:r w:rsidRPr="00CC19F7">
              <w:t>60</w:t>
            </w:r>
          </w:p>
        </w:tc>
        <w:tc>
          <w:tcPr>
            <w:tcW w:w="5040" w:type="dxa"/>
            <w:tcBorders>
              <w:top w:val="nil"/>
              <w:left w:val="nil"/>
              <w:bottom w:val="nil"/>
              <w:right w:val="nil"/>
            </w:tcBorders>
            <w:tcMar>
              <w:top w:w="128" w:type="dxa"/>
              <w:left w:w="43" w:type="dxa"/>
              <w:bottom w:w="43" w:type="dxa"/>
              <w:right w:w="43" w:type="dxa"/>
            </w:tcMar>
          </w:tcPr>
          <w:p w14:paraId="31D68D97" w14:textId="77777777" w:rsidR="00FE02EF" w:rsidRPr="00CC19F7" w:rsidRDefault="00881E58" w:rsidP="002E78FA">
            <w:proofErr w:type="spellStart"/>
            <w:r w:rsidRPr="00CC19F7">
              <w:t>Tilskot</w:t>
            </w:r>
            <w:proofErr w:type="spellEnd"/>
            <w:r w:rsidRPr="00CC19F7">
              <w:t xml:space="preserve"> til </w:t>
            </w:r>
            <w:proofErr w:type="spellStart"/>
            <w:r w:rsidRPr="00CC19F7">
              <w:t>flaum</w:t>
            </w:r>
            <w:proofErr w:type="spellEnd"/>
            <w:r w:rsidRPr="00CC19F7">
              <w:t xml:space="preserve">- og </w:t>
            </w:r>
            <w:proofErr w:type="spellStart"/>
            <w:r w:rsidRPr="00CC19F7">
              <w:t>skredførebygging</w:t>
            </w:r>
            <w:proofErr w:type="spellEnd"/>
            <w:r w:rsidRPr="00CC19F7">
              <w:rPr>
                <w:rStyle w:val="kursiv"/>
              </w:rPr>
              <w:t>, kan </w:t>
            </w:r>
            <w:proofErr w:type="spellStart"/>
            <w:r w:rsidRPr="00CC19F7">
              <w:rPr>
                <w:rStyle w:val="kursiv"/>
              </w:rPr>
              <w:t>overførast</w:t>
            </w:r>
            <w:proofErr w:type="spellEnd"/>
            <w:r w:rsidRPr="00CC19F7">
              <w:rPr>
                <w:rStyle w:val="kursiv"/>
              </w:rPr>
              <w:t xml:space="preserve">, kan </w:t>
            </w:r>
            <w:proofErr w:type="spellStart"/>
            <w:r w:rsidRPr="00CC19F7">
              <w:rPr>
                <w:rStyle w:val="kursiv"/>
              </w:rPr>
              <w:t>nyttast</w:t>
            </w:r>
            <w:proofErr w:type="spellEnd"/>
            <w:r w:rsidRPr="00CC19F7">
              <w:rPr>
                <w:rStyle w:val="kursiv"/>
              </w:rPr>
              <w:t xml:space="preserve"> under </w:t>
            </w:r>
            <w:proofErr w:type="spellStart"/>
            <w:r w:rsidRPr="00CC19F7">
              <w:rPr>
                <w:rStyle w:val="kursiv"/>
              </w:rPr>
              <w:t>postane</w:t>
            </w:r>
            <w:proofErr w:type="spellEnd"/>
            <w:r w:rsidRPr="00CC19F7">
              <w:rPr>
                <w:rStyle w:val="kursiv"/>
              </w:rPr>
              <w:t xml:space="preserve"> 22 og 72</w:t>
            </w:r>
          </w:p>
        </w:tc>
        <w:tc>
          <w:tcPr>
            <w:tcW w:w="1580" w:type="dxa"/>
            <w:tcBorders>
              <w:top w:val="nil"/>
              <w:left w:val="nil"/>
              <w:bottom w:val="nil"/>
              <w:right w:val="nil"/>
            </w:tcBorders>
            <w:tcMar>
              <w:top w:w="128" w:type="dxa"/>
              <w:left w:w="43" w:type="dxa"/>
              <w:bottom w:w="43" w:type="dxa"/>
              <w:right w:w="43" w:type="dxa"/>
            </w:tcMar>
            <w:vAlign w:val="bottom"/>
          </w:tcPr>
          <w:p w14:paraId="0F02A23D" w14:textId="77777777" w:rsidR="00FE02EF" w:rsidRPr="00CC19F7" w:rsidRDefault="00881E58" w:rsidP="002E78FA">
            <w:pPr>
              <w:jc w:val="right"/>
            </w:pPr>
            <w:r w:rsidRPr="00CC19F7">
              <w:t>105 000 000</w:t>
            </w:r>
          </w:p>
        </w:tc>
        <w:tc>
          <w:tcPr>
            <w:tcW w:w="1580" w:type="dxa"/>
            <w:tcBorders>
              <w:top w:val="nil"/>
              <w:left w:val="nil"/>
              <w:bottom w:val="nil"/>
              <w:right w:val="nil"/>
            </w:tcBorders>
            <w:tcMar>
              <w:top w:w="128" w:type="dxa"/>
              <w:left w:w="43" w:type="dxa"/>
              <w:bottom w:w="43" w:type="dxa"/>
              <w:right w:w="43" w:type="dxa"/>
            </w:tcMar>
            <w:vAlign w:val="bottom"/>
          </w:tcPr>
          <w:p w14:paraId="7316C377" w14:textId="77777777" w:rsidR="00FE02EF" w:rsidRPr="00CC19F7" w:rsidRDefault="00FE02EF" w:rsidP="002E78FA">
            <w:pPr>
              <w:jc w:val="right"/>
            </w:pPr>
          </w:p>
        </w:tc>
      </w:tr>
      <w:tr w:rsidR="00FE02EF" w:rsidRPr="00CC19F7" w14:paraId="6EF73A5E" w14:textId="77777777">
        <w:trPr>
          <w:trHeight w:val="640"/>
        </w:trPr>
        <w:tc>
          <w:tcPr>
            <w:tcW w:w="680" w:type="dxa"/>
            <w:tcBorders>
              <w:top w:val="nil"/>
              <w:left w:val="nil"/>
              <w:bottom w:val="nil"/>
              <w:right w:val="nil"/>
            </w:tcBorders>
            <w:tcMar>
              <w:top w:w="128" w:type="dxa"/>
              <w:left w:w="43" w:type="dxa"/>
              <w:bottom w:w="43" w:type="dxa"/>
              <w:right w:w="43" w:type="dxa"/>
            </w:tcMar>
          </w:tcPr>
          <w:p w14:paraId="30DECED5" w14:textId="77777777" w:rsidR="00FE02EF" w:rsidRPr="00CC19F7" w:rsidRDefault="00FE02EF" w:rsidP="002E78FA"/>
        </w:tc>
        <w:tc>
          <w:tcPr>
            <w:tcW w:w="680" w:type="dxa"/>
            <w:tcBorders>
              <w:top w:val="nil"/>
              <w:left w:val="nil"/>
              <w:bottom w:val="nil"/>
              <w:right w:val="nil"/>
            </w:tcBorders>
            <w:tcMar>
              <w:top w:w="128" w:type="dxa"/>
              <w:left w:w="43" w:type="dxa"/>
              <w:bottom w:w="43" w:type="dxa"/>
              <w:right w:w="43" w:type="dxa"/>
            </w:tcMar>
          </w:tcPr>
          <w:p w14:paraId="6EB19C0A" w14:textId="77777777" w:rsidR="00FE02EF" w:rsidRPr="00CC19F7" w:rsidRDefault="00881E58" w:rsidP="002E78FA">
            <w:r w:rsidRPr="00CC19F7">
              <w:t>62</w:t>
            </w:r>
          </w:p>
        </w:tc>
        <w:tc>
          <w:tcPr>
            <w:tcW w:w="5040" w:type="dxa"/>
            <w:tcBorders>
              <w:top w:val="nil"/>
              <w:left w:val="nil"/>
              <w:bottom w:val="nil"/>
              <w:right w:val="nil"/>
            </w:tcBorders>
            <w:tcMar>
              <w:top w:w="128" w:type="dxa"/>
              <w:left w:w="43" w:type="dxa"/>
              <w:bottom w:w="43" w:type="dxa"/>
              <w:right w:w="43" w:type="dxa"/>
            </w:tcMar>
          </w:tcPr>
          <w:p w14:paraId="2EBC2398" w14:textId="77777777" w:rsidR="00FE02EF" w:rsidRPr="00CC19F7" w:rsidRDefault="00881E58" w:rsidP="002E78FA">
            <w:r w:rsidRPr="00CC19F7">
              <w:t xml:space="preserve">Tilbakeføring av produksjonsavgift </w:t>
            </w:r>
            <w:proofErr w:type="spellStart"/>
            <w:r w:rsidRPr="00CC19F7">
              <w:t>frå</w:t>
            </w:r>
            <w:proofErr w:type="spellEnd"/>
            <w:r w:rsidRPr="00CC19F7">
              <w:t xml:space="preserve"> landbasert vindkraft</w:t>
            </w:r>
          </w:p>
        </w:tc>
        <w:tc>
          <w:tcPr>
            <w:tcW w:w="1580" w:type="dxa"/>
            <w:tcBorders>
              <w:top w:val="nil"/>
              <w:left w:val="nil"/>
              <w:bottom w:val="nil"/>
              <w:right w:val="nil"/>
            </w:tcBorders>
            <w:tcMar>
              <w:top w:w="128" w:type="dxa"/>
              <w:left w:w="43" w:type="dxa"/>
              <w:bottom w:w="43" w:type="dxa"/>
              <w:right w:w="43" w:type="dxa"/>
            </w:tcMar>
            <w:vAlign w:val="bottom"/>
          </w:tcPr>
          <w:p w14:paraId="02AE50B8" w14:textId="77777777" w:rsidR="00FE02EF" w:rsidRPr="00CC19F7" w:rsidRDefault="00881E58" w:rsidP="002E78FA">
            <w:pPr>
              <w:jc w:val="right"/>
            </w:pPr>
            <w:r w:rsidRPr="00CC19F7">
              <w:t>338 000 000</w:t>
            </w:r>
          </w:p>
        </w:tc>
        <w:tc>
          <w:tcPr>
            <w:tcW w:w="1580" w:type="dxa"/>
            <w:tcBorders>
              <w:top w:val="nil"/>
              <w:left w:val="nil"/>
              <w:bottom w:val="nil"/>
              <w:right w:val="nil"/>
            </w:tcBorders>
            <w:tcMar>
              <w:top w:w="128" w:type="dxa"/>
              <w:left w:w="43" w:type="dxa"/>
              <w:bottom w:w="43" w:type="dxa"/>
              <w:right w:w="43" w:type="dxa"/>
            </w:tcMar>
            <w:vAlign w:val="bottom"/>
          </w:tcPr>
          <w:p w14:paraId="745B55CB" w14:textId="77777777" w:rsidR="00FE02EF" w:rsidRPr="00CC19F7" w:rsidRDefault="00FE02EF" w:rsidP="002E78FA">
            <w:pPr>
              <w:jc w:val="right"/>
            </w:pPr>
          </w:p>
        </w:tc>
      </w:tr>
      <w:tr w:rsidR="00FE02EF" w:rsidRPr="00CC19F7" w14:paraId="2BE6E952" w14:textId="77777777">
        <w:trPr>
          <w:trHeight w:val="640"/>
        </w:trPr>
        <w:tc>
          <w:tcPr>
            <w:tcW w:w="680" w:type="dxa"/>
            <w:tcBorders>
              <w:top w:val="nil"/>
              <w:left w:val="nil"/>
              <w:bottom w:val="nil"/>
              <w:right w:val="nil"/>
            </w:tcBorders>
            <w:tcMar>
              <w:top w:w="128" w:type="dxa"/>
              <w:left w:w="43" w:type="dxa"/>
              <w:bottom w:w="43" w:type="dxa"/>
              <w:right w:w="43" w:type="dxa"/>
            </w:tcMar>
          </w:tcPr>
          <w:p w14:paraId="1D870F07" w14:textId="77777777" w:rsidR="00FE02EF" w:rsidRPr="00CC19F7" w:rsidRDefault="00FE02EF" w:rsidP="002E78FA"/>
        </w:tc>
        <w:tc>
          <w:tcPr>
            <w:tcW w:w="680" w:type="dxa"/>
            <w:tcBorders>
              <w:top w:val="nil"/>
              <w:left w:val="nil"/>
              <w:bottom w:val="nil"/>
              <w:right w:val="nil"/>
            </w:tcBorders>
            <w:tcMar>
              <w:top w:w="128" w:type="dxa"/>
              <w:left w:w="43" w:type="dxa"/>
              <w:bottom w:w="43" w:type="dxa"/>
              <w:right w:w="43" w:type="dxa"/>
            </w:tcMar>
          </w:tcPr>
          <w:p w14:paraId="61584227" w14:textId="77777777" w:rsidR="00FE02EF" w:rsidRPr="00CC19F7" w:rsidRDefault="00881E58" w:rsidP="002E78FA">
            <w:r w:rsidRPr="00CC19F7">
              <w:t>72</w:t>
            </w:r>
          </w:p>
        </w:tc>
        <w:tc>
          <w:tcPr>
            <w:tcW w:w="5040" w:type="dxa"/>
            <w:tcBorders>
              <w:top w:val="nil"/>
              <w:left w:val="nil"/>
              <w:bottom w:val="nil"/>
              <w:right w:val="nil"/>
            </w:tcBorders>
            <w:tcMar>
              <w:top w:w="128" w:type="dxa"/>
              <w:left w:w="43" w:type="dxa"/>
              <w:bottom w:w="43" w:type="dxa"/>
              <w:right w:w="43" w:type="dxa"/>
            </w:tcMar>
          </w:tcPr>
          <w:p w14:paraId="11EEBE5E" w14:textId="77777777" w:rsidR="00FE02EF" w:rsidRPr="00CC19F7" w:rsidRDefault="00881E58" w:rsidP="002E78FA">
            <w:proofErr w:type="spellStart"/>
            <w:r w:rsidRPr="00CC19F7">
              <w:t>Tilskot</w:t>
            </w:r>
            <w:proofErr w:type="spellEnd"/>
            <w:r w:rsidRPr="00CC19F7">
              <w:t xml:space="preserve"> til </w:t>
            </w:r>
            <w:proofErr w:type="spellStart"/>
            <w:r w:rsidRPr="00CC19F7">
              <w:t>flaum</w:t>
            </w:r>
            <w:proofErr w:type="spellEnd"/>
            <w:r w:rsidRPr="00CC19F7">
              <w:t xml:space="preserve">- og </w:t>
            </w:r>
            <w:proofErr w:type="spellStart"/>
            <w:r w:rsidRPr="00CC19F7">
              <w:t>skredførebygging</w:t>
            </w:r>
            <w:proofErr w:type="spellEnd"/>
            <w:r w:rsidRPr="00CC19F7">
              <w:rPr>
                <w:rStyle w:val="kursiv"/>
              </w:rPr>
              <w:t>, kan </w:t>
            </w:r>
            <w:proofErr w:type="spellStart"/>
            <w:r w:rsidRPr="00CC19F7">
              <w:rPr>
                <w:rStyle w:val="kursiv"/>
              </w:rPr>
              <w:t>overførast</w:t>
            </w:r>
            <w:proofErr w:type="spellEnd"/>
            <w:r w:rsidRPr="00CC19F7">
              <w:rPr>
                <w:rStyle w:val="kursiv"/>
              </w:rPr>
              <w:t xml:space="preserve">, kan </w:t>
            </w:r>
            <w:proofErr w:type="spellStart"/>
            <w:r w:rsidRPr="00CC19F7">
              <w:rPr>
                <w:rStyle w:val="kursiv"/>
              </w:rPr>
              <w:t>nyttast</w:t>
            </w:r>
            <w:proofErr w:type="spellEnd"/>
            <w:r w:rsidRPr="00CC19F7">
              <w:rPr>
                <w:rStyle w:val="kursiv"/>
              </w:rPr>
              <w:t xml:space="preserve"> under </w:t>
            </w:r>
            <w:proofErr w:type="spellStart"/>
            <w:r w:rsidRPr="00CC19F7">
              <w:rPr>
                <w:rStyle w:val="kursiv"/>
              </w:rPr>
              <w:t>postane</w:t>
            </w:r>
            <w:proofErr w:type="spellEnd"/>
            <w:r w:rsidRPr="00CC19F7">
              <w:rPr>
                <w:rStyle w:val="kursiv"/>
              </w:rPr>
              <w:t xml:space="preserve"> 22 og 60</w:t>
            </w:r>
          </w:p>
        </w:tc>
        <w:tc>
          <w:tcPr>
            <w:tcW w:w="1580" w:type="dxa"/>
            <w:tcBorders>
              <w:top w:val="nil"/>
              <w:left w:val="nil"/>
              <w:bottom w:val="nil"/>
              <w:right w:val="nil"/>
            </w:tcBorders>
            <w:tcMar>
              <w:top w:w="128" w:type="dxa"/>
              <w:left w:w="43" w:type="dxa"/>
              <w:bottom w:w="43" w:type="dxa"/>
              <w:right w:w="43" w:type="dxa"/>
            </w:tcMar>
            <w:vAlign w:val="bottom"/>
          </w:tcPr>
          <w:p w14:paraId="0F09DAB8" w14:textId="77777777" w:rsidR="00FE02EF" w:rsidRPr="00CC19F7" w:rsidRDefault="00881E58" w:rsidP="002E78FA">
            <w:pPr>
              <w:jc w:val="right"/>
            </w:pPr>
            <w:r w:rsidRPr="00CC19F7">
              <w:t>6 000 000</w:t>
            </w:r>
          </w:p>
        </w:tc>
        <w:tc>
          <w:tcPr>
            <w:tcW w:w="1580" w:type="dxa"/>
            <w:tcBorders>
              <w:top w:val="nil"/>
              <w:left w:val="nil"/>
              <w:bottom w:val="nil"/>
              <w:right w:val="nil"/>
            </w:tcBorders>
            <w:tcMar>
              <w:top w:w="128" w:type="dxa"/>
              <w:left w:w="43" w:type="dxa"/>
              <w:bottom w:w="43" w:type="dxa"/>
              <w:right w:w="43" w:type="dxa"/>
            </w:tcMar>
            <w:vAlign w:val="bottom"/>
          </w:tcPr>
          <w:p w14:paraId="08186BA9" w14:textId="77777777" w:rsidR="00FE02EF" w:rsidRPr="00CC19F7" w:rsidRDefault="00FE02EF" w:rsidP="002E78FA">
            <w:pPr>
              <w:jc w:val="right"/>
            </w:pPr>
          </w:p>
        </w:tc>
      </w:tr>
      <w:tr w:rsidR="00FE02EF" w:rsidRPr="00CC19F7" w14:paraId="2B4705E9" w14:textId="77777777">
        <w:trPr>
          <w:trHeight w:val="380"/>
        </w:trPr>
        <w:tc>
          <w:tcPr>
            <w:tcW w:w="680" w:type="dxa"/>
            <w:tcBorders>
              <w:top w:val="nil"/>
              <w:left w:val="nil"/>
              <w:bottom w:val="nil"/>
              <w:right w:val="nil"/>
            </w:tcBorders>
            <w:tcMar>
              <w:top w:w="128" w:type="dxa"/>
              <w:left w:w="43" w:type="dxa"/>
              <w:bottom w:w="43" w:type="dxa"/>
              <w:right w:w="43" w:type="dxa"/>
            </w:tcMar>
          </w:tcPr>
          <w:p w14:paraId="5491A7BC" w14:textId="77777777" w:rsidR="00FE02EF" w:rsidRPr="00CC19F7" w:rsidRDefault="00FE02EF" w:rsidP="002E78FA"/>
        </w:tc>
        <w:tc>
          <w:tcPr>
            <w:tcW w:w="680" w:type="dxa"/>
            <w:tcBorders>
              <w:top w:val="nil"/>
              <w:left w:val="nil"/>
              <w:bottom w:val="nil"/>
              <w:right w:val="nil"/>
            </w:tcBorders>
            <w:tcMar>
              <w:top w:w="128" w:type="dxa"/>
              <w:left w:w="43" w:type="dxa"/>
              <w:bottom w:w="43" w:type="dxa"/>
              <w:right w:w="43" w:type="dxa"/>
            </w:tcMar>
          </w:tcPr>
          <w:p w14:paraId="72DCB2EE" w14:textId="77777777" w:rsidR="00FE02EF" w:rsidRPr="00CC19F7" w:rsidRDefault="00881E58" w:rsidP="002E78FA">
            <w:r w:rsidRPr="00CC19F7">
              <w:t>73</w:t>
            </w:r>
          </w:p>
        </w:tc>
        <w:tc>
          <w:tcPr>
            <w:tcW w:w="5040" w:type="dxa"/>
            <w:tcBorders>
              <w:top w:val="nil"/>
              <w:left w:val="nil"/>
              <w:bottom w:val="nil"/>
              <w:right w:val="nil"/>
            </w:tcBorders>
            <w:tcMar>
              <w:top w:w="128" w:type="dxa"/>
              <w:left w:w="43" w:type="dxa"/>
              <w:bottom w:w="43" w:type="dxa"/>
              <w:right w:w="43" w:type="dxa"/>
            </w:tcMar>
          </w:tcPr>
          <w:p w14:paraId="17C95A49" w14:textId="77777777" w:rsidR="00FE02EF" w:rsidRPr="00CC19F7" w:rsidRDefault="00881E58" w:rsidP="002E78FA">
            <w:proofErr w:type="spellStart"/>
            <w:r w:rsidRPr="00CC19F7">
              <w:t>Tilskot</w:t>
            </w:r>
            <w:proofErr w:type="spellEnd"/>
            <w:r w:rsidRPr="00CC19F7">
              <w:t xml:space="preserve"> til utjamning av overføringstariffar</w:t>
            </w:r>
          </w:p>
        </w:tc>
        <w:tc>
          <w:tcPr>
            <w:tcW w:w="1580" w:type="dxa"/>
            <w:tcBorders>
              <w:top w:val="nil"/>
              <w:left w:val="nil"/>
              <w:bottom w:val="nil"/>
              <w:right w:val="nil"/>
            </w:tcBorders>
            <w:tcMar>
              <w:top w:w="128" w:type="dxa"/>
              <w:left w:w="43" w:type="dxa"/>
              <w:bottom w:w="43" w:type="dxa"/>
              <w:right w:w="43" w:type="dxa"/>
            </w:tcMar>
            <w:vAlign w:val="bottom"/>
          </w:tcPr>
          <w:p w14:paraId="229965E2" w14:textId="77777777" w:rsidR="00FE02EF" w:rsidRPr="00CC19F7" w:rsidRDefault="00881E58" w:rsidP="002E78FA">
            <w:pPr>
              <w:jc w:val="right"/>
            </w:pPr>
            <w:r w:rsidRPr="00CC19F7">
              <w:t>18 000 000</w:t>
            </w:r>
          </w:p>
        </w:tc>
        <w:tc>
          <w:tcPr>
            <w:tcW w:w="1580" w:type="dxa"/>
            <w:tcBorders>
              <w:top w:val="nil"/>
              <w:left w:val="nil"/>
              <w:bottom w:val="nil"/>
              <w:right w:val="nil"/>
            </w:tcBorders>
            <w:tcMar>
              <w:top w:w="128" w:type="dxa"/>
              <w:left w:w="43" w:type="dxa"/>
              <w:bottom w:w="43" w:type="dxa"/>
              <w:right w:w="43" w:type="dxa"/>
            </w:tcMar>
            <w:vAlign w:val="bottom"/>
          </w:tcPr>
          <w:p w14:paraId="71E64DE4" w14:textId="77777777" w:rsidR="00FE02EF" w:rsidRPr="00CC19F7" w:rsidRDefault="00FE02EF" w:rsidP="002E78FA">
            <w:pPr>
              <w:jc w:val="right"/>
            </w:pPr>
          </w:p>
        </w:tc>
      </w:tr>
      <w:tr w:rsidR="00FE02EF" w:rsidRPr="00CC19F7" w14:paraId="4D0491EA" w14:textId="77777777">
        <w:trPr>
          <w:trHeight w:val="640"/>
        </w:trPr>
        <w:tc>
          <w:tcPr>
            <w:tcW w:w="680" w:type="dxa"/>
            <w:tcBorders>
              <w:top w:val="nil"/>
              <w:left w:val="nil"/>
              <w:bottom w:val="nil"/>
              <w:right w:val="nil"/>
            </w:tcBorders>
            <w:tcMar>
              <w:top w:w="128" w:type="dxa"/>
              <w:left w:w="43" w:type="dxa"/>
              <w:bottom w:w="43" w:type="dxa"/>
              <w:right w:w="43" w:type="dxa"/>
            </w:tcMar>
          </w:tcPr>
          <w:p w14:paraId="5EBA8CA4" w14:textId="77777777" w:rsidR="00FE02EF" w:rsidRPr="00CC19F7" w:rsidRDefault="00FE02EF" w:rsidP="002E78FA"/>
        </w:tc>
        <w:tc>
          <w:tcPr>
            <w:tcW w:w="680" w:type="dxa"/>
            <w:tcBorders>
              <w:top w:val="nil"/>
              <w:left w:val="nil"/>
              <w:bottom w:val="nil"/>
              <w:right w:val="nil"/>
            </w:tcBorders>
            <w:tcMar>
              <w:top w:w="128" w:type="dxa"/>
              <w:left w:w="43" w:type="dxa"/>
              <w:bottom w:w="43" w:type="dxa"/>
              <w:right w:w="43" w:type="dxa"/>
            </w:tcMar>
          </w:tcPr>
          <w:p w14:paraId="35B256FB" w14:textId="77777777" w:rsidR="00FE02EF" w:rsidRPr="00CC19F7" w:rsidRDefault="00881E58" w:rsidP="002E78FA">
            <w:r w:rsidRPr="00CC19F7">
              <w:t>74</w:t>
            </w:r>
          </w:p>
        </w:tc>
        <w:tc>
          <w:tcPr>
            <w:tcW w:w="5040" w:type="dxa"/>
            <w:tcBorders>
              <w:top w:val="nil"/>
              <w:left w:val="nil"/>
              <w:bottom w:val="nil"/>
              <w:right w:val="nil"/>
            </w:tcBorders>
            <w:tcMar>
              <w:top w:w="128" w:type="dxa"/>
              <w:left w:w="43" w:type="dxa"/>
              <w:bottom w:w="43" w:type="dxa"/>
              <w:right w:w="43" w:type="dxa"/>
            </w:tcMar>
          </w:tcPr>
          <w:p w14:paraId="15BFA823" w14:textId="77777777" w:rsidR="00FE02EF" w:rsidRPr="00CC19F7" w:rsidRDefault="00881E58" w:rsidP="002E78FA">
            <w:proofErr w:type="spellStart"/>
            <w:r w:rsidRPr="00CC19F7">
              <w:t>Tilskot</w:t>
            </w:r>
            <w:proofErr w:type="spellEnd"/>
            <w:r w:rsidRPr="00CC19F7">
              <w:t xml:space="preserve"> til museums- og kulturminnetiltak</w:t>
            </w:r>
            <w:r w:rsidRPr="00CC19F7">
              <w:rPr>
                <w:rStyle w:val="kursiv"/>
              </w:rPr>
              <w:t xml:space="preserve">, </w:t>
            </w:r>
            <w:r w:rsidRPr="00CC19F7">
              <w:rPr>
                <w:rStyle w:val="kursiv"/>
              </w:rPr>
              <w:br/>
              <w:t>kan </w:t>
            </w:r>
            <w:proofErr w:type="spellStart"/>
            <w:r w:rsidRPr="00CC19F7">
              <w:rPr>
                <w:rStyle w:val="kursiv"/>
              </w:rPr>
              <w:t>overførast</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74A20F18" w14:textId="77777777" w:rsidR="00FE02EF" w:rsidRPr="00CC19F7" w:rsidRDefault="00881E58" w:rsidP="002E78FA">
            <w:pPr>
              <w:jc w:val="right"/>
            </w:pPr>
            <w:r w:rsidRPr="00CC19F7">
              <w:t>7 100 000</w:t>
            </w:r>
          </w:p>
        </w:tc>
        <w:tc>
          <w:tcPr>
            <w:tcW w:w="1580" w:type="dxa"/>
            <w:tcBorders>
              <w:top w:val="nil"/>
              <w:left w:val="nil"/>
              <w:bottom w:val="nil"/>
              <w:right w:val="nil"/>
            </w:tcBorders>
            <w:tcMar>
              <w:top w:w="128" w:type="dxa"/>
              <w:left w:w="43" w:type="dxa"/>
              <w:bottom w:w="43" w:type="dxa"/>
              <w:right w:w="43" w:type="dxa"/>
            </w:tcMar>
            <w:vAlign w:val="bottom"/>
          </w:tcPr>
          <w:p w14:paraId="0829F765" w14:textId="77777777" w:rsidR="00FE02EF" w:rsidRPr="00CC19F7" w:rsidRDefault="00FE02EF" w:rsidP="002E78FA">
            <w:pPr>
              <w:jc w:val="right"/>
            </w:pPr>
          </w:p>
        </w:tc>
      </w:tr>
      <w:tr w:rsidR="00FE02EF" w:rsidRPr="00CC19F7" w14:paraId="655EA6FD" w14:textId="77777777">
        <w:trPr>
          <w:trHeight w:val="640"/>
        </w:trPr>
        <w:tc>
          <w:tcPr>
            <w:tcW w:w="680" w:type="dxa"/>
            <w:tcBorders>
              <w:top w:val="nil"/>
              <w:left w:val="nil"/>
              <w:bottom w:val="nil"/>
              <w:right w:val="nil"/>
            </w:tcBorders>
            <w:tcMar>
              <w:top w:w="128" w:type="dxa"/>
              <w:left w:w="43" w:type="dxa"/>
              <w:bottom w:w="43" w:type="dxa"/>
              <w:right w:w="43" w:type="dxa"/>
            </w:tcMar>
          </w:tcPr>
          <w:p w14:paraId="435EAF00" w14:textId="77777777" w:rsidR="00FE02EF" w:rsidRPr="00CC19F7" w:rsidRDefault="00FE02EF" w:rsidP="002E78FA"/>
        </w:tc>
        <w:tc>
          <w:tcPr>
            <w:tcW w:w="680" w:type="dxa"/>
            <w:tcBorders>
              <w:top w:val="nil"/>
              <w:left w:val="nil"/>
              <w:bottom w:val="nil"/>
              <w:right w:val="nil"/>
            </w:tcBorders>
            <w:tcMar>
              <w:top w:w="128" w:type="dxa"/>
              <w:left w:w="43" w:type="dxa"/>
              <w:bottom w:w="43" w:type="dxa"/>
              <w:right w:w="43" w:type="dxa"/>
            </w:tcMar>
          </w:tcPr>
          <w:p w14:paraId="226C698B" w14:textId="77777777" w:rsidR="00FE02EF" w:rsidRPr="00CC19F7" w:rsidRDefault="00881E58" w:rsidP="002E78FA">
            <w:r w:rsidRPr="00CC19F7">
              <w:t>75</w:t>
            </w:r>
          </w:p>
        </w:tc>
        <w:tc>
          <w:tcPr>
            <w:tcW w:w="5040" w:type="dxa"/>
            <w:tcBorders>
              <w:top w:val="nil"/>
              <w:left w:val="nil"/>
              <w:bottom w:val="nil"/>
              <w:right w:val="nil"/>
            </w:tcBorders>
            <w:tcMar>
              <w:top w:w="128" w:type="dxa"/>
              <w:left w:w="43" w:type="dxa"/>
              <w:bottom w:w="43" w:type="dxa"/>
              <w:right w:w="43" w:type="dxa"/>
            </w:tcMar>
          </w:tcPr>
          <w:p w14:paraId="3419CB78" w14:textId="77777777" w:rsidR="00FE02EF" w:rsidRPr="00CC19F7" w:rsidRDefault="00881E58" w:rsidP="002E78FA">
            <w:r w:rsidRPr="00CC19F7">
              <w:t xml:space="preserve">Stønad til </w:t>
            </w:r>
            <w:proofErr w:type="spellStart"/>
            <w:r w:rsidRPr="00CC19F7">
              <w:t>hushaldningar</w:t>
            </w:r>
            <w:proofErr w:type="spellEnd"/>
            <w:r w:rsidRPr="00CC19F7">
              <w:t xml:space="preserve"> for ekstraordinære </w:t>
            </w:r>
            <w:r w:rsidRPr="00CC19F7">
              <w:br/>
              <w:t>straumutgifter</w:t>
            </w:r>
            <w:r w:rsidRPr="00CC19F7">
              <w:rPr>
                <w:rStyle w:val="kursiv"/>
              </w:rPr>
              <w:t>, overslagsløyving</w:t>
            </w:r>
          </w:p>
        </w:tc>
        <w:tc>
          <w:tcPr>
            <w:tcW w:w="1580" w:type="dxa"/>
            <w:tcBorders>
              <w:top w:val="nil"/>
              <w:left w:val="nil"/>
              <w:bottom w:val="nil"/>
              <w:right w:val="nil"/>
            </w:tcBorders>
            <w:tcMar>
              <w:top w:w="128" w:type="dxa"/>
              <w:left w:w="43" w:type="dxa"/>
              <w:bottom w:w="43" w:type="dxa"/>
              <w:right w:w="43" w:type="dxa"/>
            </w:tcMar>
            <w:vAlign w:val="bottom"/>
          </w:tcPr>
          <w:p w14:paraId="5C9F897E" w14:textId="77777777" w:rsidR="00FE02EF" w:rsidRPr="00CC19F7" w:rsidRDefault="00881E58" w:rsidP="002E78FA">
            <w:pPr>
              <w:jc w:val="right"/>
            </w:pPr>
            <w:r w:rsidRPr="00CC19F7">
              <w:t>9 750 000 000</w:t>
            </w:r>
          </w:p>
        </w:tc>
        <w:tc>
          <w:tcPr>
            <w:tcW w:w="1580" w:type="dxa"/>
            <w:tcBorders>
              <w:top w:val="nil"/>
              <w:left w:val="nil"/>
              <w:bottom w:val="nil"/>
              <w:right w:val="nil"/>
            </w:tcBorders>
            <w:tcMar>
              <w:top w:w="128" w:type="dxa"/>
              <w:left w:w="43" w:type="dxa"/>
              <w:bottom w:w="43" w:type="dxa"/>
              <w:right w:w="43" w:type="dxa"/>
            </w:tcMar>
            <w:vAlign w:val="bottom"/>
          </w:tcPr>
          <w:p w14:paraId="6F6A8AE0" w14:textId="77777777" w:rsidR="00FE02EF" w:rsidRPr="00CC19F7" w:rsidRDefault="00FE02EF" w:rsidP="002E78FA">
            <w:pPr>
              <w:jc w:val="right"/>
            </w:pPr>
          </w:p>
        </w:tc>
      </w:tr>
      <w:tr w:rsidR="00FE02EF" w:rsidRPr="00CC19F7" w14:paraId="493F9B10" w14:textId="77777777">
        <w:trPr>
          <w:trHeight w:val="640"/>
        </w:trPr>
        <w:tc>
          <w:tcPr>
            <w:tcW w:w="680" w:type="dxa"/>
            <w:tcBorders>
              <w:top w:val="nil"/>
              <w:left w:val="nil"/>
              <w:bottom w:val="nil"/>
              <w:right w:val="nil"/>
            </w:tcBorders>
            <w:tcMar>
              <w:top w:w="128" w:type="dxa"/>
              <w:left w:w="43" w:type="dxa"/>
              <w:bottom w:w="43" w:type="dxa"/>
              <w:right w:w="43" w:type="dxa"/>
            </w:tcMar>
          </w:tcPr>
          <w:p w14:paraId="7B391C3C" w14:textId="77777777" w:rsidR="00FE02EF" w:rsidRPr="00CC19F7" w:rsidRDefault="00FE02EF" w:rsidP="002E78FA"/>
        </w:tc>
        <w:tc>
          <w:tcPr>
            <w:tcW w:w="680" w:type="dxa"/>
            <w:tcBorders>
              <w:top w:val="nil"/>
              <w:left w:val="nil"/>
              <w:bottom w:val="nil"/>
              <w:right w:val="nil"/>
            </w:tcBorders>
            <w:tcMar>
              <w:top w:w="128" w:type="dxa"/>
              <w:left w:w="43" w:type="dxa"/>
              <w:bottom w:w="43" w:type="dxa"/>
              <w:right w:w="43" w:type="dxa"/>
            </w:tcMar>
          </w:tcPr>
          <w:p w14:paraId="58FD3251" w14:textId="77777777" w:rsidR="00FE02EF" w:rsidRPr="00CC19F7" w:rsidRDefault="00881E58" w:rsidP="002E78FA">
            <w:r w:rsidRPr="00CC19F7">
              <w:t>76</w:t>
            </w:r>
          </w:p>
        </w:tc>
        <w:tc>
          <w:tcPr>
            <w:tcW w:w="5040" w:type="dxa"/>
            <w:tcBorders>
              <w:top w:val="nil"/>
              <w:left w:val="nil"/>
              <w:bottom w:val="nil"/>
              <w:right w:val="nil"/>
            </w:tcBorders>
            <w:tcMar>
              <w:top w:w="128" w:type="dxa"/>
              <w:left w:w="43" w:type="dxa"/>
              <w:bottom w:w="43" w:type="dxa"/>
              <w:right w:w="43" w:type="dxa"/>
            </w:tcMar>
          </w:tcPr>
          <w:p w14:paraId="04802578" w14:textId="77777777" w:rsidR="00FE02EF" w:rsidRPr="00CC19F7" w:rsidRDefault="00881E58" w:rsidP="002E78FA">
            <w:r w:rsidRPr="00CC19F7">
              <w:t xml:space="preserve">Stønad til </w:t>
            </w:r>
            <w:proofErr w:type="spellStart"/>
            <w:r w:rsidRPr="00CC19F7">
              <w:t>hushaldningskundar</w:t>
            </w:r>
            <w:proofErr w:type="spellEnd"/>
            <w:r w:rsidRPr="00CC19F7">
              <w:t xml:space="preserve"> av nærvarmeanlegg</w:t>
            </w:r>
            <w:r w:rsidRPr="00CC19F7">
              <w:rPr>
                <w:rStyle w:val="kursiv"/>
              </w:rPr>
              <w:t>, kan </w:t>
            </w:r>
            <w:proofErr w:type="spellStart"/>
            <w:r w:rsidRPr="00CC19F7">
              <w:rPr>
                <w:rStyle w:val="kursiv"/>
              </w:rPr>
              <w:t>overførast</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432A307B" w14:textId="77777777" w:rsidR="00FE02EF" w:rsidRPr="00CC19F7" w:rsidRDefault="00881E58" w:rsidP="002E78FA">
            <w:pPr>
              <w:jc w:val="right"/>
            </w:pPr>
            <w:r w:rsidRPr="00CC19F7">
              <w:t>22 500 000</w:t>
            </w:r>
          </w:p>
        </w:tc>
        <w:tc>
          <w:tcPr>
            <w:tcW w:w="1580" w:type="dxa"/>
            <w:tcBorders>
              <w:top w:val="nil"/>
              <w:left w:val="nil"/>
              <w:bottom w:val="nil"/>
              <w:right w:val="nil"/>
            </w:tcBorders>
            <w:tcMar>
              <w:top w:w="128" w:type="dxa"/>
              <w:left w:w="43" w:type="dxa"/>
              <w:bottom w:w="43" w:type="dxa"/>
              <w:right w:w="43" w:type="dxa"/>
            </w:tcMar>
            <w:vAlign w:val="bottom"/>
          </w:tcPr>
          <w:p w14:paraId="4492A7E3" w14:textId="77777777" w:rsidR="00FE02EF" w:rsidRPr="00CC19F7" w:rsidRDefault="00881E58" w:rsidP="002E78FA">
            <w:pPr>
              <w:jc w:val="right"/>
            </w:pPr>
            <w:r w:rsidRPr="00CC19F7">
              <w:t>11 948 800 000</w:t>
            </w:r>
          </w:p>
        </w:tc>
      </w:tr>
      <w:tr w:rsidR="00FE02EF" w:rsidRPr="00CC19F7" w14:paraId="6252B578" w14:textId="77777777">
        <w:trPr>
          <w:trHeight w:val="380"/>
        </w:trPr>
        <w:tc>
          <w:tcPr>
            <w:tcW w:w="680" w:type="dxa"/>
            <w:tcBorders>
              <w:top w:val="nil"/>
              <w:left w:val="nil"/>
              <w:bottom w:val="nil"/>
              <w:right w:val="nil"/>
            </w:tcBorders>
            <w:tcMar>
              <w:top w:w="128" w:type="dxa"/>
              <w:left w:w="43" w:type="dxa"/>
              <w:bottom w:w="43" w:type="dxa"/>
              <w:right w:w="43" w:type="dxa"/>
            </w:tcMar>
          </w:tcPr>
          <w:p w14:paraId="282C885C" w14:textId="77777777" w:rsidR="00FE02EF" w:rsidRPr="00CC19F7" w:rsidRDefault="00881E58" w:rsidP="002E78FA">
            <w:r w:rsidRPr="00CC19F7">
              <w:t>1825</w:t>
            </w:r>
          </w:p>
        </w:tc>
        <w:tc>
          <w:tcPr>
            <w:tcW w:w="680" w:type="dxa"/>
            <w:tcBorders>
              <w:top w:val="nil"/>
              <w:left w:val="nil"/>
              <w:bottom w:val="nil"/>
              <w:right w:val="nil"/>
            </w:tcBorders>
            <w:tcMar>
              <w:top w:w="128" w:type="dxa"/>
              <w:left w:w="43" w:type="dxa"/>
              <w:bottom w:w="43" w:type="dxa"/>
              <w:right w:w="43" w:type="dxa"/>
            </w:tcMar>
          </w:tcPr>
          <w:p w14:paraId="4F77F934" w14:textId="77777777" w:rsidR="00FE02EF" w:rsidRPr="00CC19F7" w:rsidRDefault="00FE02EF" w:rsidP="002E78FA"/>
        </w:tc>
        <w:tc>
          <w:tcPr>
            <w:tcW w:w="5040" w:type="dxa"/>
            <w:tcBorders>
              <w:top w:val="nil"/>
              <w:left w:val="nil"/>
              <w:bottom w:val="nil"/>
              <w:right w:val="nil"/>
            </w:tcBorders>
            <w:tcMar>
              <w:top w:w="128" w:type="dxa"/>
              <w:left w:w="43" w:type="dxa"/>
              <w:bottom w:w="43" w:type="dxa"/>
              <w:right w:w="43" w:type="dxa"/>
            </w:tcMar>
          </w:tcPr>
          <w:p w14:paraId="48A01A2E" w14:textId="77777777" w:rsidR="00FE02EF" w:rsidRPr="00CC19F7" w:rsidRDefault="00881E58" w:rsidP="002E78FA">
            <w:r w:rsidRPr="00CC19F7">
              <w:t>Energieffektivisering og -omlegging</w:t>
            </w:r>
          </w:p>
        </w:tc>
        <w:tc>
          <w:tcPr>
            <w:tcW w:w="1580" w:type="dxa"/>
            <w:tcBorders>
              <w:top w:val="nil"/>
              <w:left w:val="nil"/>
              <w:bottom w:val="nil"/>
              <w:right w:val="nil"/>
            </w:tcBorders>
            <w:tcMar>
              <w:top w:w="128" w:type="dxa"/>
              <w:left w:w="43" w:type="dxa"/>
              <w:bottom w:w="43" w:type="dxa"/>
              <w:right w:w="43" w:type="dxa"/>
            </w:tcMar>
            <w:vAlign w:val="bottom"/>
          </w:tcPr>
          <w:p w14:paraId="41192BD4" w14:textId="77777777" w:rsidR="00FE02EF" w:rsidRPr="00CC19F7" w:rsidRDefault="00FE02EF" w:rsidP="002E78FA">
            <w:pPr>
              <w:jc w:val="right"/>
            </w:pPr>
          </w:p>
        </w:tc>
        <w:tc>
          <w:tcPr>
            <w:tcW w:w="1580" w:type="dxa"/>
            <w:tcBorders>
              <w:top w:val="nil"/>
              <w:left w:val="nil"/>
              <w:bottom w:val="nil"/>
              <w:right w:val="nil"/>
            </w:tcBorders>
            <w:tcMar>
              <w:top w:w="128" w:type="dxa"/>
              <w:left w:w="43" w:type="dxa"/>
              <w:bottom w:w="43" w:type="dxa"/>
              <w:right w:w="43" w:type="dxa"/>
            </w:tcMar>
            <w:vAlign w:val="bottom"/>
          </w:tcPr>
          <w:p w14:paraId="7DB34B0A" w14:textId="77777777" w:rsidR="00FE02EF" w:rsidRPr="00CC19F7" w:rsidRDefault="00FE02EF" w:rsidP="002E78FA">
            <w:pPr>
              <w:jc w:val="right"/>
            </w:pPr>
          </w:p>
        </w:tc>
      </w:tr>
      <w:tr w:rsidR="00FE02EF" w:rsidRPr="00CC19F7" w14:paraId="25CE3DA7" w14:textId="77777777">
        <w:trPr>
          <w:trHeight w:val="380"/>
        </w:trPr>
        <w:tc>
          <w:tcPr>
            <w:tcW w:w="680" w:type="dxa"/>
            <w:tcBorders>
              <w:top w:val="nil"/>
              <w:left w:val="nil"/>
              <w:bottom w:val="nil"/>
              <w:right w:val="nil"/>
            </w:tcBorders>
            <w:tcMar>
              <w:top w:w="128" w:type="dxa"/>
              <w:left w:w="43" w:type="dxa"/>
              <w:bottom w:w="43" w:type="dxa"/>
              <w:right w:w="43" w:type="dxa"/>
            </w:tcMar>
          </w:tcPr>
          <w:p w14:paraId="1A0899BB" w14:textId="77777777" w:rsidR="00FE02EF" w:rsidRPr="00CC19F7" w:rsidRDefault="00FE02EF" w:rsidP="002E78FA"/>
        </w:tc>
        <w:tc>
          <w:tcPr>
            <w:tcW w:w="680" w:type="dxa"/>
            <w:tcBorders>
              <w:top w:val="nil"/>
              <w:left w:val="nil"/>
              <w:bottom w:val="nil"/>
              <w:right w:val="nil"/>
            </w:tcBorders>
            <w:tcMar>
              <w:top w:w="128" w:type="dxa"/>
              <w:left w:w="43" w:type="dxa"/>
              <w:bottom w:w="43" w:type="dxa"/>
              <w:right w:w="43" w:type="dxa"/>
            </w:tcMar>
          </w:tcPr>
          <w:p w14:paraId="56FE6C4E" w14:textId="77777777" w:rsidR="00FE02EF" w:rsidRPr="00CC19F7" w:rsidRDefault="00881E58" w:rsidP="002E78FA">
            <w:r w:rsidRPr="00CC19F7">
              <w:t>21</w:t>
            </w:r>
          </w:p>
        </w:tc>
        <w:tc>
          <w:tcPr>
            <w:tcW w:w="5040" w:type="dxa"/>
            <w:tcBorders>
              <w:top w:val="nil"/>
              <w:left w:val="nil"/>
              <w:bottom w:val="nil"/>
              <w:right w:val="nil"/>
            </w:tcBorders>
            <w:tcMar>
              <w:top w:w="128" w:type="dxa"/>
              <w:left w:w="43" w:type="dxa"/>
              <w:bottom w:w="43" w:type="dxa"/>
              <w:right w:w="43" w:type="dxa"/>
            </w:tcMar>
          </w:tcPr>
          <w:p w14:paraId="798DD036" w14:textId="77777777" w:rsidR="00FE02EF" w:rsidRPr="00CC19F7" w:rsidRDefault="00881E58" w:rsidP="002E78FA">
            <w:r w:rsidRPr="00CC19F7">
              <w:t>Spesielle driftsutgifter</w:t>
            </w:r>
            <w:r w:rsidRPr="00CC19F7">
              <w:rPr>
                <w:rStyle w:val="kursiv"/>
              </w:rPr>
              <w:t>, kan </w:t>
            </w:r>
            <w:proofErr w:type="spellStart"/>
            <w:r w:rsidRPr="00CC19F7">
              <w:rPr>
                <w:rStyle w:val="kursiv"/>
              </w:rPr>
              <w:t>overførast</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5079ACB0" w14:textId="77777777" w:rsidR="00FE02EF" w:rsidRPr="00CC19F7" w:rsidRDefault="00881E58" w:rsidP="002E78FA">
            <w:pPr>
              <w:jc w:val="right"/>
            </w:pPr>
            <w:r w:rsidRPr="00CC19F7">
              <w:t>15 000 000</w:t>
            </w:r>
          </w:p>
        </w:tc>
        <w:tc>
          <w:tcPr>
            <w:tcW w:w="1580" w:type="dxa"/>
            <w:tcBorders>
              <w:top w:val="nil"/>
              <w:left w:val="nil"/>
              <w:bottom w:val="nil"/>
              <w:right w:val="nil"/>
            </w:tcBorders>
            <w:tcMar>
              <w:top w:w="128" w:type="dxa"/>
              <w:left w:w="43" w:type="dxa"/>
              <w:bottom w:w="43" w:type="dxa"/>
              <w:right w:w="43" w:type="dxa"/>
            </w:tcMar>
            <w:vAlign w:val="bottom"/>
          </w:tcPr>
          <w:p w14:paraId="66E2CC8D" w14:textId="77777777" w:rsidR="00FE02EF" w:rsidRPr="00CC19F7" w:rsidRDefault="00FE02EF" w:rsidP="002E78FA">
            <w:pPr>
              <w:jc w:val="right"/>
            </w:pPr>
          </w:p>
        </w:tc>
      </w:tr>
      <w:tr w:rsidR="00FE02EF" w:rsidRPr="00CC19F7" w14:paraId="25C49819" w14:textId="77777777">
        <w:trPr>
          <w:trHeight w:val="880"/>
        </w:trPr>
        <w:tc>
          <w:tcPr>
            <w:tcW w:w="680" w:type="dxa"/>
            <w:tcBorders>
              <w:top w:val="nil"/>
              <w:left w:val="nil"/>
              <w:bottom w:val="nil"/>
              <w:right w:val="nil"/>
            </w:tcBorders>
            <w:tcMar>
              <w:top w:w="128" w:type="dxa"/>
              <w:left w:w="43" w:type="dxa"/>
              <w:bottom w:w="43" w:type="dxa"/>
              <w:right w:w="43" w:type="dxa"/>
            </w:tcMar>
          </w:tcPr>
          <w:p w14:paraId="741FEFE1" w14:textId="77777777" w:rsidR="00FE02EF" w:rsidRPr="00CC19F7" w:rsidRDefault="00FE02EF" w:rsidP="002E78FA"/>
        </w:tc>
        <w:tc>
          <w:tcPr>
            <w:tcW w:w="680" w:type="dxa"/>
            <w:tcBorders>
              <w:top w:val="nil"/>
              <w:left w:val="nil"/>
              <w:bottom w:val="nil"/>
              <w:right w:val="nil"/>
            </w:tcBorders>
            <w:tcMar>
              <w:top w:w="128" w:type="dxa"/>
              <w:left w:w="43" w:type="dxa"/>
              <w:bottom w:w="43" w:type="dxa"/>
              <w:right w:w="43" w:type="dxa"/>
            </w:tcMar>
          </w:tcPr>
          <w:p w14:paraId="08427E22" w14:textId="77777777" w:rsidR="00FE02EF" w:rsidRPr="00CC19F7" w:rsidRDefault="00881E58" w:rsidP="002E78FA">
            <w:r w:rsidRPr="00CC19F7">
              <w:t>50</w:t>
            </w:r>
          </w:p>
        </w:tc>
        <w:tc>
          <w:tcPr>
            <w:tcW w:w="5040" w:type="dxa"/>
            <w:tcBorders>
              <w:top w:val="nil"/>
              <w:left w:val="nil"/>
              <w:bottom w:val="nil"/>
              <w:right w:val="nil"/>
            </w:tcBorders>
            <w:tcMar>
              <w:top w:w="128" w:type="dxa"/>
              <w:left w:w="43" w:type="dxa"/>
              <w:bottom w:w="43" w:type="dxa"/>
              <w:right w:w="43" w:type="dxa"/>
            </w:tcMar>
          </w:tcPr>
          <w:p w14:paraId="79ED8756" w14:textId="77777777" w:rsidR="00FE02EF" w:rsidRPr="00CC19F7" w:rsidRDefault="00881E58" w:rsidP="002E78FA">
            <w:r w:rsidRPr="00CC19F7">
              <w:t xml:space="preserve">Overføring til Klima- og energifondet til tiltak for </w:t>
            </w:r>
            <w:r w:rsidRPr="00CC19F7">
              <w:br/>
            </w:r>
            <w:proofErr w:type="spellStart"/>
            <w:r w:rsidRPr="00CC19F7">
              <w:t>meir</w:t>
            </w:r>
            <w:proofErr w:type="spellEnd"/>
            <w:r w:rsidRPr="00CC19F7">
              <w:t xml:space="preserve"> effektiv energibruk og </w:t>
            </w:r>
            <w:proofErr w:type="spellStart"/>
            <w:r w:rsidRPr="00CC19F7">
              <w:t>eit</w:t>
            </w:r>
            <w:proofErr w:type="spellEnd"/>
            <w:r w:rsidRPr="00CC19F7">
              <w:t xml:space="preserve"> </w:t>
            </w:r>
            <w:proofErr w:type="spellStart"/>
            <w:r w:rsidRPr="00CC19F7">
              <w:t>meir</w:t>
            </w:r>
            <w:proofErr w:type="spellEnd"/>
            <w:r w:rsidRPr="00CC19F7">
              <w:t xml:space="preserve"> fleksibelt </w:t>
            </w:r>
            <w:r w:rsidRPr="00CC19F7">
              <w:br/>
              <w:t>energisystem</w:t>
            </w:r>
          </w:p>
        </w:tc>
        <w:tc>
          <w:tcPr>
            <w:tcW w:w="1580" w:type="dxa"/>
            <w:tcBorders>
              <w:top w:val="nil"/>
              <w:left w:val="nil"/>
              <w:bottom w:val="nil"/>
              <w:right w:val="nil"/>
            </w:tcBorders>
            <w:tcMar>
              <w:top w:w="128" w:type="dxa"/>
              <w:left w:w="43" w:type="dxa"/>
              <w:bottom w:w="43" w:type="dxa"/>
              <w:right w:w="43" w:type="dxa"/>
            </w:tcMar>
            <w:vAlign w:val="bottom"/>
          </w:tcPr>
          <w:p w14:paraId="286DD5CB" w14:textId="77777777" w:rsidR="00FE02EF" w:rsidRPr="00CC19F7" w:rsidRDefault="00881E58" w:rsidP="002E78FA">
            <w:pPr>
              <w:jc w:val="right"/>
            </w:pPr>
            <w:r w:rsidRPr="00CC19F7">
              <w:t>180 000 000</w:t>
            </w:r>
          </w:p>
        </w:tc>
        <w:tc>
          <w:tcPr>
            <w:tcW w:w="1580" w:type="dxa"/>
            <w:tcBorders>
              <w:top w:val="nil"/>
              <w:left w:val="nil"/>
              <w:bottom w:val="nil"/>
              <w:right w:val="nil"/>
            </w:tcBorders>
            <w:tcMar>
              <w:top w:w="128" w:type="dxa"/>
              <w:left w:w="43" w:type="dxa"/>
              <w:bottom w:w="43" w:type="dxa"/>
              <w:right w:w="43" w:type="dxa"/>
            </w:tcMar>
            <w:vAlign w:val="bottom"/>
          </w:tcPr>
          <w:p w14:paraId="18AFA7C9" w14:textId="77777777" w:rsidR="00FE02EF" w:rsidRPr="00CC19F7" w:rsidRDefault="00FE02EF" w:rsidP="002E78FA">
            <w:pPr>
              <w:jc w:val="right"/>
            </w:pPr>
          </w:p>
        </w:tc>
      </w:tr>
      <w:tr w:rsidR="00FE02EF" w:rsidRPr="00CC19F7" w14:paraId="552CECEA" w14:textId="77777777">
        <w:trPr>
          <w:trHeight w:val="640"/>
        </w:trPr>
        <w:tc>
          <w:tcPr>
            <w:tcW w:w="680" w:type="dxa"/>
            <w:tcBorders>
              <w:top w:val="nil"/>
              <w:left w:val="nil"/>
              <w:bottom w:val="nil"/>
              <w:right w:val="nil"/>
            </w:tcBorders>
            <w:tcMar>
              <w:top w:w="128" w:type="dxa"/>
              <w:left w:w="43" w:type="dxa"/>
              <w:bottom w:w="43" w:type="dxa"/>
              <w:right w:w="43" w:type="dxa"/>
            </w:tcMar>
          </w:tcPr>
          <w:p w14:paraId="020BB4E7" w14:textId="77777777" w:rsidR="00FE02EF" w:rsidRPr="00CC19F7" w:rsidRDefault="00FE02EF" w:rsidP="002E78FA"/>
        </w:tc>
        <w:tc>
          <w:tcPr>
            <w:tcW w:w="680" w:type="dxa"/>
            <w:tcBorders>
              <w:top w:val="nil"/>
              <w:left w:val="nil"/>
              <w:bottom w:val="nil"/>
              <w:right w:val="nil"/>
            </w:tcBorders>
            <w:tcMar>
              <w:top w:w="128" w:type="dxa"/>
              <w:left w:w="43" w:type="dxa"/>
              <w:bottom w:w="43" w:type="dxa"/>
              <w:right w:w="43" w:type="dxa"/>
            </w:tcMar>
          </w:tcPr>
          <w:p w14:paraId="1627AFC7" w14:textId="77777777" w:rsidR="00FE02EF" w:rsidRPr="00CC19F7" w:rsidRDefault="00881E58" w:rsidP="002E78FA">
            <w:r w:rsidRPr="00CC19F7">
              <w:t>60</w:t>
            </w:r>
          </w:p>
        </w:tc>
        <w:tc>
          <w:tcPr>
            <w:tcW w:w="5040" w:type="dxa"/>
            <w:tcBorders>
              <w:top w:val="nil"/>
              <w:left w:val="nil"/>
              <w:bottom w:val="nil"/>
              <w:right w:val="nil"/>
            </w:tcBorders>
            <w:tcMar>
              <w:top w:w="128" w:type="dxa"/>
              <w:left w:w="43" w:type="dxa"/>
              <w:bottom w:w="43" w:type="dxa"/>
              <w:right w:w="43" w:type="dxa"/>
            </w:tcMar>
          </w:tcPr>
          <w:p w14:paraId="0B8F1F12" w14:textId="77777777" w:rsidR="00FE02EF" w:rsidRPr="00CC19F7" w:rsidRDefault="00881E58" w:rsidP="002E78FA">
            <w:proofErr w:type="spellStart"/>
            <w:r w:rsidRPr="00CC19F7">
              <w:t>Tilskot</w:t>
            </w:r>
            <w:proofErr w:type="spellEnd"/>
            <w:r w:rsidRPr="00CC19F7">
              <w:t xml:space="preserve"> til energitiltak i kommunale bygg</w:t>
            </w:r>
            <w:r w:rsidRPr="00CC19F7">
              <w:rPr>
                <w:rStyle w:val="kursiv"/>
              </w:rPr>
              <w:t xml:space="preserve">, </w:t>
            </w:r>
            <w:r w:rsidRPr="00CC19F7">
              <w:rPr>
                <w:rStyle w:val="kursiv"/>
              </w:rPr>
              <w:br/>
              <w:t>kan </w:t>
            </w:r>
            <w:proofErr w:type="spellStart"/>
            <w:r w:rsidRPr="00CC19F7">
              <w:rPr>
                <w:rStyle w:val="kursiv"/>
              </w:rPr>
              <w:t>overførast</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0CA79B62" w14:textId="77777777" w:rsidR="00FE02EF" w:rsidRPr="00CC19F7" w:rsidRDefault="00881E58" w:rsidP="002E78FA">
            <w:pPr>
              <w:jc w:val="right"/>
            </w:pPr>
            <w:r w:rsidRPr="00CC19F7">
              <w:t>300 000 000</w:t>
            </w:r>
          </w:p>
        </w:tc>
        <w:tc>
          <w:tcPr>
            <w:tcW w:w="1580" w:type="dxa"/>
            <w:tcBorders>
              <w:top w:val="nil"/>
              <w:left w:val="nil"/>
              <w:bottom w:val="nil"/>
              <w:right w:val="nil"/>
            </w:tcBorders>
            <w:tcMar>
              <w:top w:w="128" w:type="dxa"/>
              <w:left w:w="43" w:type="dxa"/>
              <w:bottom w:w="43" w:type="dxa"/>
              <w:right w:w="43" w:type="dxa"/>
            </w:tcMar>
            <w:vAlign w:val="bottom"/>
          </w:tcPr>
          <w:p w14:paraId="1500A7AA" w14:textId="77777777" w:rsidR="00FE02EF" w:rsidRPr="00CC19F7" w:rsidRDefault="00881E58" w:rsidP="002E78FA">
            <w:pPr>
              <w:jc w:val="right"/>
            </w:pPr>
            <w:r w:rsidRPr="00CC19F7">
              <w:t>495 000 000</w:t>
            </w:r>
          </w:p>
        </w:tc>
      </w:tr>
      <w:tr w:rsidR="00FE02EF" w:rsidRPr="00CC19F7" w14:paraId="467010BC" w14:textId="77777777">
        <w:trPr>
          <w:trHeight w:val="380"/>
        </w:trPr>
        <w:tc>
          <w:tcPr>
            <w:tcW w:w="680" w:type="dxa"/>
            <w:tcBorders>
              <w:top w:val="nil"/>
              <w:left w:val="nil"/>
              <w:bottom w:val="nil"/>
              <w:right w:val="nil"/>
            </w:tcBorders>
            <w:tcMar>
              <w:top w:w="128" w:type="dxa"/>
              <w:left w:w="43" w:type="dxa"/>
              <w:bottom w:w="43" w:type="dxa"/>
              <w:right w:w="43" w:type="dxa"/>
            </w:tcMar>
          </w:tcPr>
          <w:p w14:paraId="3789A3C7" w14:textId="77777777" w:rsidR="00FE02EF" w:rsidRPr="00CC19F7" w:rsidRDefault="00FE02EF" w:rsidP="002E78FA"/>
        </w:tc>
        <w:tc>
          <w:tcPr>
            <w:tcW w:w="680" w:type="dxa"/>
            <w:tcBorders>
              <w:top w:val="nil"/>
              <w:left w:val="nil"/>
              <w:bottom w:val="nil"/>
              <w:right w:val="nil"/>
            </w:tcBorders>
            <w:tcMar>
              <w:top w:w="128" w:type="dxa"/>
              <w:left w:w="43" w:type="dxa"/>
              <w:bottom w:w="43" w:type="dxa"/>
              <w:right w:w="43" w:type="dxa"/>
            </w:tcMar>
          </w:tcPr>
          <w:p w14:paraId="365CC9CF" w14:textId="77777777" w:rsidR="00FE02EF" w:rsidRPr="00CC19F7" w:rsidRDefault="00FE02EF" w:rsidP="002E78FA"/>
        </w:tc>
        <w:tc>
          <w:tcPr>
            <w:tcW w:w="5040" w:type="dxa"/>
            <w:tcBorders>
              <w:top w:val="nil"/>
              <w:left w:val="nil"/>
              <w:bottom w:val="nil"/>
              <w:right w:val="nil"/>
            </w:tcBorders>
            <w:tcMar>
              <w:top w:w="128" w:type="dxa"/>
              <w:left w:w="43" w:type="dxa"/>
              <w:bottom w:w="43" w:type="dxa"/>
              <w:right w:w="43" w:type="dxa"/>
            </w:tcMar>
          </w:tcPr>
          <w:p w14:paraId="20B6CCBD" w14:textId="77777777" w:rsidR="00FE02EF" w:rsidRPr="00CC19F7" w:rsidRDefault="00881E58" w:rsidP="002E78FA">
            <w:r w:rsidRPr="00CC19F7">
              <w:t xml:space="preserve">Sum Energi og </w:t>
            </w:r>
            <w:proofErr w:type="spellStart"/>
            <w:r w:rsidRPr="00CC19F7">
              <w:t>vassressursar</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1FD92D87" w14:textId="77777777" w:rsidR="00FE02EF" w:rsidRPr="00CC19F7" w:rsidRDefault="00FE02EF" w:rsidP="002E78FA">
            <w:pPr>
              <w:jc w:val="right"/>
            </w:pPr>
          </w:p>
        </w:tc>
        <w:tc>
          <w:tcPr>
            <w:tcW w:w="1580" w:type="dxa"/>
            <w:tcBorders>
              <w:top w:val="nil"/>
              <w:left w:val="nil"/>
              <w:bottom w:val="nil"/>
              <w:right w:val="nil"/>
            </w:tcBorders>
            <w:tcMar>
              <w:top w:w="128" w:type="dxa"/>
              <w:left w:w="43" w:type="dxa"/>
              <w:bottom w:w="43" w:type="dxa"/>
              <w:right w:w="43" w:type="dxa"/>
            </w:tcMar>
            <w:vAlign w:val="bottom"/>
          </w:tcPr>
          <w:p w14:paraId="69B456BA" w14:textId="77777777" w:rsidR="00FE02EF" w:rsidRPr="00CC19F7" w:rsidRDefault="00881E58" w:rsidP="002E78FA">
            <w:pPr>
              <w:jc w:val="right"/>
            </w:pPr>
            <w:r w:rsidRPr="00CC19F7">
              <w:t>12 443 800 000</w:t>
            </w:r>
          </w:p>
        </w:tc>
      </w:tr>
      <w:tr w:rsidR="00FE02EF" w:rsidRPr="00CC19F7" w14:paraId="0AB5225D" w14:textId="77777777">
        <w:trPr>
          <w:trHeight w:val="380"/>
        </w:trPr>
        <w:tc>
          <w:tcPr>
            <w:tcW w:w="9560" w:type="dxa"/>
            <w:gridSpan w:val="5"/>
            <w:tcBorders>
              <w:top w:val="nil"/>
              <w:left w:val="nil"/>
              <w:bottom w:val="nil"/>
              <w:right w:val="nil"/>
            </w:tcBorders>
            <w:tcMar>
              <w:top w:w="128" w:type="dxa"/>
              <w:left w:w="43" w:type="dxa"/>
              <w:bottom w:w="43" w:type="dxa"/>
              <w:right w:w="43" w:type="dxa"/>
            </w:tcMar>
          </w:tcPr>
          <w:p w14:paraId="543EDD1A" w14:textId="77777777" w:rsidR="00FE02EF" w:rsidRPr="00CC19F7" w:rsidRDefault="00881E58" w:rsidP="002E78FA">
            <w:pPr>
              <w:jc w:val="center"/>
            </w:pPr>
            <w:r w:rsidRPr="00CC19F7">
              <w:t>Klima, industri og teknologi</w:t>
            </w:r>
          </w:p>
        </w:tc>
      </w:tr>
      <w:tr w:rsidR="00FE02EF" w:rsidRPr="00CC19F7" w14:paraId="185E5D21" w14:textId="77777777">
        <w:trPr>
          <w:trHeight w:val="380"/>
        </w:trPr>
        <w:tc>
          <w:tcPr>
            <w:tcW w:w="680" w:type="dxa"/>
            <w:tcBorders>
              <w:top w:val="nil"/>
              <w:left w:val="nil"/>
              <w:bottom w:val="nil"/>
              <w:right w:val="nil"/>
            </w:tcBorders>
            <w:tcMar>
              <w:top w:w="128" w:type="dxa"/>
              <w:left w:w="43" w:type="dxa"/>
              <w:bottom w:w="43" w:type="dxa"/>
              <w:right w:w="43" w:type="dxa"/>
            </w:tcMar>
          </w:tcPr>
          <w:p w14:paraId="61F3FD2F" w14:textId="77777777" w:rsidR="00FE02EF" w:rsidRPr="00CC19F7" w:rsidRDefault="00881E58" w:rsidP="002E78FA">
            <w:r w:rsidRPr="00CC19F7">
              <w:t>1850</w:t>
            </w:r>
          </w:p>
        </w:tc>
        <w:tc>
          <w:tcPr>
            <w:tcW w:w="680" w:type="dxa"/>
            <w:tcBorders>
              <w:top w:val="nil"/>
              <w:left w:val="nil"/>
              <w:bottom w:val="nil"/>
              <w:right w:val="nil"/>
            </w:tcBorders>
            <w:tcMar>
              <w:top w:w="128" w:type="dxa"/>
              <w:left w:w="43" w:type="dxa"/>
              <w:bottom w:w="43" w:type="dxa"/>
              <w:right w:w="43" w:type="dxa"/>
            </w:tcMar>
          </w:tcPr>
          <w:p w14:paraId="6844E524" w14:textId="77777777" w:rsidR="00FE02EF" w:rsidRPr="00CC19F7" w:rsidRDefault="00FE02EF" w:rsidP="002E78FA"/>
        </w:tc>
        <w:tc>
          <w:tcPr>
            <w:tcW w:w="5040" w:type="dxa"/>
            <w:tcBorders>
              <w:top w:val="nil"/>
              <w:left w:val="nil"/>
              <w:bottom w:val="nil"/>
              <w:right w:val="nil"/>
            </w:tcBorders>
            <w:tcMar>
              <w:top w:w="128" w:type="dxa"/>
              <w:left w:w="43" w:type="dxa"/>
              <w:bottom w:w="43" w:type="dxa"/>
              <w:right w:w="43" w:type="dxa"/>
            </w:tcMar>
          </w:tcPr>
          <w:p w14:paraId="36177397" w14:textId="77777777" w:rsidR="00FE02EF" w:rsidRPr="00CC19F7" w:rsidRDefault="00881E58" w:rsidP="002E78FA">
            <w:r w:rsidRPr="00CC19F7">
              <w:t>Klima, industri og teknologi</w:t>
            </w:r>
          </w:p>
        </w:tc>
        <w:tc>
          <w:tcPr>
            <w:tcW w:w="1580" w:type="dxa"/>
            <w:tcBorders>
              <w:top w:val="nil"/>
              <w:left w:val="nil"/>
              <w:bottom w:val="nil"/>
              <w:right w:val="nil"/>
            </w:tcBorders>
            <w:tcMar>
              <w:top w:w="128" w:type="dxa"/>
              <w:left w:w="43" w:type="dxa"/>
              <w:bottom w:w="43" w:type="dxa"/>
              <w:right w:w="43" w:type="dxa"/>
            </w:tcMar>
            <w:vAlign w:val="bottom"/>
          </w:tcPr>
          <w:p w14:paraId="3CBA35B5" w14:textId="77777777" w:rsidR="00FE02EF" w:rsidRPr="00CC19F7" w:rsidRDefault="00FE02EF" w:rsidP="002E78FA">
            <w:pPr>
              <w:jc w:val="right"/>
            </w:pPr>
          </w:p>
        </w:tc>
        <w:tc>
          <w:tcPr>
            <w:tcW w:w="1580" w:type="dxa"/>
            <w:tcBorders>
              <w:top w:val="nil"/>
              <w:left w:val="nil"/>
              <w:bottom w:val="nil"/>
              <w:right w:val="nil"/>
            </w:tcBorders>
            <w:tcMar>
              <w:top w:w="128" w:type="dxa"/>
              <w:left w:w="43" w:type="dxa"/>
              <w:bottom w:w="43" w:type="dxa"/>
              <w:right w:w="43" w:type="dxa"/>
            </w:tcMar>
            <w:vAlign w:val="bottom"/>
          </w:tcPr>
          <w:p w14:paraId="4EAB3007" w14:textId="77777777" w:rsidR="00FE02EF" w:rsidRPr="00CC19F7" w:rsidRDefault="00FE02EF" w:rsidP="002E78FA">
            <w:pPr>
              <w:jc w:val="right"/>
            </w:pPr>
          </w:p>
        </w:tc>
      </w:tr>
      <w:tr w:rsidR="00FE02EF" w:rsidRPr="00CC19F7" w14:paraId="74C0B5BC" w14:textId="77777777">
        <w:trPr>
          <w:trHeight w:val="380"/>
        </w:trPr>
        <w:tc>
          <w:tcPr>
            <w:tcW w:w="680" w:type="dxa"/>
            <w:tcBorders>
              <w:top w:val="nil"/>
              <w:left w:val="nil"/>
              <w:bottom w:val="nil"/>
              <w:right w:val="nil"/>
            </w:tcBorders>
            <w:tcMar>
              <w:top w:w="128" w:type="dxa"/>
              <w:left w:w="43" w:type="dxa"/>
              <w:bottom w:w="43" w:type="dxa"/>
              <w:right w:w="43" w:type="dxa"/>
            </w:tcMar>
          </w:tcPr>
          <w:p w14:paraId="772773A2" w14:textId="77777777" w:rsidR="00FE02EF" w:rsidRPr="00CC19F7" w:rsidRDefault="00FE02EF" w:rsidP="002E78FA"/>
        </w:tc>
        <w:tc>
          <w:tcPr>
            <w:tcW w:w="680" w:type="dxa"/>
            <w:tcBorders>
              <w:top w:val="nil"/>
              <w:left w:val="nil"/>
              <w:bottom w:val="nil"/>
              <w:right w:val="nil"/>
            </w:tcBorders>
            <w:tcMar>
              <w:top w:w="128" w:type="dxa"/>
              <w:left w:w="43" w:type="dxa"/>
              <w:bottom w:w="43" w:type="dxa"/>
              <w:right w:w="43" w:type="dxa"/>
            </w:tcMar>
          </w:tcPr>
          <w:p w14:paraId="3F8BF3FB" w14:textId="77777777" w:rsidR="00FE02EF" w:rsidRPr="00CC19F7" w:rsidRDefault="00881E58" w:rsidP="002E78FA">
            <w:r w:rsidRPr="00CC19F7">
              <w:t>21</w:t>
            </w:r>
          </w:p>
        </w:tc>
        <w:tc>
          <w:tcPr>
            <w:tcW w:w="5040" w:type="dxa"/>
            <w:tcBorders>
              <w:top w:val="nil"/>
              <w:left w:val="nil"/>
              <w:bottom w:val="nil"/>
              <w:right w:val="nil"/>
            </w:tcBorders>
            <w:tcMar>
              <w:top w:w="128" w:type="dxa"/>
              <w:left w:w="43" w:type="dxa"/>
              <w:bottom w:w="43" w:type="dxa"/>
              <w:right w:w="43" w:type="dxa"/>
            </w:tcMar>
          </w:tcPr>
          <w:p w14:paraId="771BADD6" w14:textId="77777777" w:rsidR="00FE02EF" w:rsidRPr="00CC19F7" w:rsidRDefault="00881E58" w:rsidP="002E78FA">
            <w:r w:rsidRPr="00CC19F7">
              <w:t>Spesielle driftsutgifter</w:t>
            </w:r>
          </w:p>
        </w:tc>
        <w:tc>
          <w:tcPr>
            <w:tcW w:w="1580" w:type="dxa"/>
            <w:tcBorders>
              <w:top w:val="nil"/>
              <w:left w:val="nil"/>
              <w:bottom w:val="nil"/>
              <w:right w:val="nil"/>
            </w:tcBorders>
            <w:tcMar>
              <w:top w:w="128" w:type="dxa"/>
              <w:left w:w="43" w:type="dxa"/>
              <w:bottom w:w="43" w:type="dxa"/>
              <w:right w:w="43" w:type="dxa"/>
            </w:tcMar>
            <w:vAlign w:val="bottom"/>
          </w:tcPr>
          <w:p w14:paraId="7BE8D9C8" w14:textId="77777777" w:rsidR="00FE02EF" w:rsidRPr="00CC19F7" w:rsidRDefault="00881E58" w:rsidP="002E78FA">
            <w:pPr>
              <w:jc w:val="right"/>
            </w:pPr>
            <w:r w:rsidRPr="00CC19F7">
              <w:t>81 000 000</w:t>
            </w:r>
          </w:p>
        </w:tc>
        <w:tc>
          <w:tcPr>
            <w:tcW w:w="1580" w:type="dxa"/>
            <w:tcBorders>
              <w:top w:val="nil"/>
              <w:left w:val="nil"/>
              <w:bottom w:val="nil"/>
              <w:right w:val="nil"/>
            </w:tcBorders>
            <w:tcMar>
              <w:top w:w="128" w:type="dxa"/>
              <w:left w:w="43" w:type="dxa"/>
              <w:bottom w:w="43" w:type="dxa"/>
              <w:right w:w="43" w:type="dxa"/>
            </w:tcMar>
            <w:vAlign w:val="bottom"/>
          </w:tcPr>
          <w:p w14:paraId="2EF7D55A" w14:textId="77777777" w:rsidR="00FE02EF" w:rsidRPr="00CC19F7" w:rsidRDefault="00FE02EF" w:rsidP="002E78FA">
            <w:pPr>
              <w:jc w:val="right"/>
            </w:pPr>
          </w:p>
        </w:tc>
      </w:tr>
      <w:tr w:rsidR="00FE02EF" w:rsidRPr="00CC19F7" w14:paraId="3140EFA8" w14:textId="77777777">
        <w:trPr>
          <w:trHeight w:val="640"/>
        </w:trPr>
        <w:tc>
          <w:tcPr>
            <w:tcW w:w="680" w:type="dxa"/>
            <w:tcBorders>
              <w:top w:val="nil"/>
              <w:left w:val="nil"/>
              <w:bottom w:val="nil"/>
              <w:right w:val="nil"/>
            </w:tcBorders>
            <w:tcMar>
              <w:top w:w="128" w:type="dxa"/>
              <w:left w:w="43" w:type="dxa"/>
              <w:bottom w:w="43" w:type="dxa"/>
              <w:right w:w="43" w:type="dxa"/>
            </w:tcMar>
          </w:tcPr>
          <w:p w14:paraId="2008D78C" w14:textId="77777777" w:rsidR="00FE02EF" w:rsidRPr="00CC19F7" w:rsidRDefault="00FE02EF" w:rsidP="002E78FA"/>
        </w:tc>
        <w:tc>
          <w:tcPr>
            <w:tcW w:w="680" w:type="dxa"/>
            <w:tcBorders>
              <w:top w:val="nil"/>
              <w:left w:val="nil"/>
              <w:bottom w:val="nil"/>
              <w:right w:val="nil"/>
            </w:tcBorders>
            <w:tcMar>
              <w:top w:w="128" w:type="dxa"/>
              <w:left w:w="43" w:type="dxa"/>
              <w:bottom w:w="43" w:type="dxa"/>
              <w:right w:w="43" w:type="dxa"/>
            </w:tcMar>
          </w:tcPr>
          <w:p w14:paraId="0E41DF38" w14:textId="77777777" w:rsidR="00FE02EF" w:rsidRPr="00CC19F7" w:rsidRDefault="00881E58" w:rsidP="002E78FA">
            <w:r w:rsidRPr="00CC19F7">
              <w:t>50</w:t>
            </w:r>
          </w:p>
        </w:tc>
        <w:tc>
          <w:tcPr>
            <w:tcW w:w="5040" w:type="dxa"/>
            <w:tcBorders>
              <w:top w:val="nil"/>
              <w:left w:val="nil"/>
              <w:bottom w:val="nil"/>
              <w:right w:val="nil"/>
            </w:tcBorders>
            <w:tcMar>
              <w:top w:w="128" w:type="dxa"/>
              <w:left w:w="43" w:type="dxa"/>
              <w:bottom w:w="43" w:type="dxa"/>
              <w:right w:w="43" w:type="dxa"/>
            </w:tcMar>
          </w:tcPr>
          <w:p w14:paraId="101D1427" w14:textId="77777777" w:rsidR="00FE02EF" w:rsidRPr="00CC19F7" w:rsidRDefault="00881E58" w:rsidP="002E78FA">
            <w:proofErr w:type="spellStart"/>
            <w:r w:rsidRPr="00CC19F7">
              <w:t>Noregs</w:t>
            </w:r>
            <w:proofErr w:type="spellEnd"/>
            <w:r w:rsidRPr="00CC19F7">
              <w:t xml:space="preserve"> forskingsråd og Gassnova – forsking </w:t>
            </w:r>
            <w:r w:rsidRPr="00CC19F7">
              <w:br/>
              <w:t>og teknologiutvikling for framtidas energisystem</w:t>
            </w:r>
          </w:p>
        </w:tc>
        <w:tc>
          <w:tcPr>
            <w:tcW w:w="1580" w:type="dxa"/>
            <w:tcBorders>
              <w:top w:val="nil"/>
              <w:left w:val="nil"/>
              <w:bottom w:val="nil"/>
              <w:right w:val="nil"/>
            </w:tcBorders>
            <w:tcMar>
              <w:top w:w="128" w:type="dxa"/>
              <w:left w:w="43" w:type="dxa"/>
              <w:bottom w:w="43" w:type="dxa"/>
              <w:right w:w="43" w:type="dxa"/>
            </w:tcMar>
            <w:vAlign w:val="bottom"/>
          </w:tcPr>
          <w:p w14:paraId="469AE779" w14:textId="77777777" w:rsidR="00FE02EF" w:rsidRPr="00CC19F7" w:rsidRDefault="00881E58" w:rsidP="002E78FA">
            <w:pPr>
              <w:jc w:val="right"/>
            </w:pPr>
            <w:r w:rsidRPr="00CC19F7">
              <w:t>1 008 200 000</w:t>
            </w:r>
          </w:p>
        </w:tc>
        <w:tc>
          <w:tcPr>
            <w:tcW w:w="1580" w:type="dxa"/>
            <w:tcBorders>
              <w:top w:val="nil"/>
              <w:left w:val="nil"/>
              <w:bottom w:val="nil"/>
              <w:right w:val="nil"/>
            </w:tcBorders>
            <w:tcMar>
              <w:top w:w="128" w:type="dxa"/>
              <w:left w:w="43" w:type="dxa"/>
              <w:bottom w:w="43" w:type="dxa"/>
              <w:right w:w="43" w:type="dxa"/>
            </w:tcMar>
            <w:vAlign w:val="bottom"/>
          </w:tcPr>
          <w:p w14:paraId="3FAED57D" w14:textId="77777777" w:rsidR="00FE02EF" w:rsidRPr="00CC19F7" w:rsidRDefault="00FE02EF" w:rsidP="002E78FA">
            <w:pPr>
              <w:jc w:val="right"/>
            </w:pPr>
          </w:p>
        </w:tc>
      </w:tr>
      <w:tr w:rsidR="00FE02EF" w:rsidRPr="00CC19F7" w14:paraId="635D06E7" w14:textId="77777777">
        <w:trPr>
          <w:trHeight w:val="380"/>
        </w:trPr>
        <w:tc>
          <w:tcPr>
            <w:tcW w:w="680" w:type="dxa"/>
            <w:tcBorders>
              <w:top w:val="nil"/>
              <w:left w:val="nil"/>
              <w:bottom w:val="nil"/>
              <w:right w:val="nil"/>
            </w:tcBorders>
            <w:tcMar>
              <w:top w:w="128" w:type="dxa"/>
              <w:left w:w="43" w:type="dxa"/>
              <w:bottom w:w="43" w:type="dxa"/>
              <w:right w:w="43" w:type="dxa"/>
            </w:tcMar>
          </w:tcPr>
          <w:p w14:paraId="2336D24E" w14:textId="77777777" w:rsidR="00FE02EF" w:rsidRPr="00CC19F7" w:rsidRDefault="00FE02EF" w:rsidP="002E78FA"/>
        </w:tc>
        <w:tc>
          <w:tcPr>
            <w:tcW w:w="680" w:type="dxa"/>
            <w:tcBorders>
              <w:top w:val="nil"/>
              <w:left w:val="nil"/>
              <w:bottom w:val="nil"/>
              <w:right w:val="nil"/>
            </w:tcBorders>
            <w:tcMar>
              <w:top w:w="128" w:type="dxa"/>
              <w:left w:w="43" w:type="dxa"/>
              <w:bottom w:w="43" w:type="dxa"/>
              <w:right w:w="43" w:type="dxa"/>
            </w:tcMar>
          </w:tcPr>
          <w:p w14:paraId="092EBEC0" w14:textId="77777777" w:rsidR="00FE02EF" w:rsidRPr="00CC19F7" w:rsidRDefault="00881E58" w:rsidP="002E78FA">
            <w:r w:rsidRPr="00CC19F7">
              <w:t>70</w:t>
            </w:r>
          </w:p>
        </w:tc>
        <w:tc>
          <w:tcPr>
            <w:tcW w:w="5040" w:type="dxa"/>
            <w:tcBorders>
              <w:top w:val="nil"/>
              <w:left w:val="nil"/>
              <w:bottom w:val="nil"/>
              <w:right w:val="nil"/>
            </w:tcBorders>
            <w:tcMar>
              <w:top w:w="128" w:type="dxa"/>
              <w:left w:w="43" w:type="dxa"/>
              <w:bottom w:w="43" w:type="dxa"/>
              <w:right w:w="43" w:type="dxa"/>
            </w:tcMar>
          </w:tcPr>
          <w:p w14:paraId="61587901" w14:textId="77777777" w:rsidR="00FE02EF" w:rsidRPr="00CC19F7" w:rsidRDefault="00881E58" w:rsidP="002E78FA">
            <w:r w:rsidRPr="00CC19F7">
              <w:t>Gassnova SF</w:t>
            </w:r>
          </w:p>
        </w:tc>
        <w:tc>
          <w:tcPr>
            <w:tcW w:w="1580" w:type="dxa"/>
            <w:tcBorders>
              <w:top w:val="nil"/>
              <w:left w:val="nil"/>
              <w:bottom w:val="nil"/>
              <w:right w:val="nil"/>
            </w:tcBorders>
            <w:tcMar>
              <w:top w:w="128" w:type="dxa"/>
              <w:left w:w="43" w:type="dxa"/>
              <w:bottom w:w="43" w:type="dxa"/>
              <w:right w:w="43" w:type="dxa"/>
            </w:tcMar>
            <w:vAlign w:val="bottom"/>
          </w:tcPr>
          <w:p w14:paraId="1A27107B" w14:textId="77777777" w:rsidR="00FE02EF" w:rsidRPr="00CC19F7" w:rsidRDefault="00881E58" w:rsidP="002E78FA">
            <w:pPr>
              <w:jc w:val="right"/>
            </w:pPr>
            <w:r w:rsidRPr="00CC19F7">
              <w:t>106 800 000</w:t>
            </w:r>
          </w:p>
        </w:tc>
        <w:tc>
          <w:tcPr>
            <w:tcW w:w="1580" w:type="dxa"/>
            <w:tcBorders>
              <w:top w:val="nil"/>
              <w:left w:val="nil"/>
              <w:bottom w:val="nil"/>
              <w:right w:val="nil"/>
            </w:tcBorders>
            <w:tcMar>
              <w:top w:w="128" w:type="dxa"/>
              <w:left w:w="43" w:type="dxa"/>
              <w:bottom w:w="43" w:type="dxa"/>
              <w:right w:w="43" w:type="dxa"/>
            </w:tcMar>
            <w:vAlign w:val="bottom"/>
          </w:tcPr>
          <w:p w14:paraId="67AFEE7C" w14:textId="77777777" w:rsidR="00FE02EF" w:rsidRPr="00CC19F7" w:rsidRDefault="00FE02EF" w:rsidP="002E78FA">
            <w:pPr>
              <w:jc w:val="right"/>
            </w:pPr>
          </w:p>
        </w:tc>
      </w:tr>
      <w:tr w:rsidR="00FE02EF" w:rsidRPr="00CC19F7" w14:paraId="2D0A94F9" w14:textId="77777777">
        <w:trPr>
          <w:trHeight w:val="380"/>
        </w:trPr>
        <w:tc>
          <w:tcPr>
            <w:tcW w:w="680" w:type="dxa"/>
            <w:tcBorders>
              <w:top w:val="nil"/>
              <w:left w:val="nil"/>
              <w:bottom w:val="nil"/>
              <w:right w:val="nil"/>
            </w:tcBorders>
            <w:tcMar>
              <w:top w:w="128" w:type="dxa"/>
              <w:left w:w="43" w:type="dxa"/>
              <w:bottom w:w="43" w:type="dxa"/>
              <w:right w:w="43" w:type="dxa"/>
            </w:tcMar>
          </w:tcPr>
          <w:p w14:paraId="02DEAF6D" w14:textId="77777777" w:rsidR="00FE02EF" w:rsidRPr="00CC19F7" w:rsidRDefault="00FE02EF" w:rsidP="002E78FA"/>
        </w:tc>
        <w:tc>
          <w:tcPr>
            <w:tcW w:w="680" w:type="dxa"/>
            <w:tcBorders>
              <w:top w:val="nil"/>
              <w:left w:val="nil"/>
              <w:bottom w:val="nil"/>
              <w:right w:val="nil"/>
            </w:tcBorders>
            <w:tcMar>
              <w:top w:w="128" w:type="dxa"/>
              <w:left w:w="43" w:type="dxa"/>
              <w:bottom w:w="43" w:type="dxa"/>
              <w:right w:w="43" w:type="dxa"/>
            </w:tcMar>
          </w:tcPr>
          <w:p w14:paraId="33FCA477" w14:textId="77777777" w:rsidR="00FE02EF" w:rsidRPr="00CC19F7" w:rsidRDefault="00881E58" w:rsidP="002E78FA">
            <w:r w:rsidRPr="00CC19F7">
              <w:t>71</w:t>
            </w:r>
          </w:p>
        </w:tc>
        <w:tc>
          <w:tcPr>
            <w:tcW w:w="5040" w:type="dxa"/>
            <w:tcBorders>
              <w:top w:val="nil"/>
              <w:left w:val="nil"/>
              <w:bottom w:val="nil"/>
              <w:right w:val="nil"/>
            </w:tcBorders>
            <w:tcMar>
              <w:top w:w="128" w:type="dxa"/>
              <w:left w:w="43" w:type="dxa"/>
              <w:bottom w:w="43" w:type="dxa"/>
              <w:right w:w="43" w:type="dxa"/>
            </w:tcMar>
          </w:tcPr>
          <w:p w14:paraId="7E3E4817" w14:textId="77777777" w:rsidR="00FE02EF" w:rsidRPr="00CC19F7" w:rsidRDefault="00881E58" w:rsidP="002E78FA">
            <w:r w:rsidRPr="00CC19F7">
              <w:t>Teknologisenter Mongstad</w:t>
            </w:r>
          </w:p>
        </w:tc>
        <w:tc>
          <w:tcPr>
            <w:tcW w:w="1580" w:type="dxa"/>
            <w:tcBorders>
              <w:top w:val="nil"/>
              <w:left w:val="nil"/>
              <w:bottom w:val="nil"/>
              <w:right w:val="nil"/>
            </w:tcBorders>
            <w:tcMar>
              <w:top w:w="128" w:type="dxa"/>
              <w:left w:w="43" w:type="dxa"/>
              <w:bottom w:w="43" w:type="dxa"/>
              <w:right w:w="43" w:type="dxa"/>
            </w:tcMar>
            <w:vAlign w:val="bottom"/>
          </w:tcPr>
          <w:p w14:paraId="3660898D" w14:textId="77777777" w:rsidR="00FE02EF" w:rsidRPr="00CC19F7" w:rsidRDefault="00881E58" w:rsidP="002E78FA">
            <w:pPr>
              <w:jc w:val="right"/>
            </w:pPr>
            <w:r w:rsidRPr="00CC19F7">
              <w:t>90 000 000</w:t>
            </w:r>
          </w:p>
        </w:tc>
        <w:tc>
          <w:tcPr>
            <w:tcW w:w="1580" w:type="dxa"/>
            <w:tcBorders>
              <w:top w:val="nil"/>
              <w:left w:val="nil"/>
              <w:bottom w:val="nil"/>
              <w:right w:val="nil"/>
            </w:tcBorders>
            <w:tcMar>
              <w:top w:w="128" w:type="dxa"/>
              <w:left w:w="43" w:type="dxa"/>
              <w:bottom w:w="43" w:type="dxa"/>
              <w:right w:w="43" w:type="dxa"/>
            </w:tcMar>
            <w:vAlign w:val="bottom"/>
          </w:tcPr>
          <w:p w14:paraId="3089AEFB" w14:textId="77777777" w:rsidR="00FE02EF" w:rsidRPr="00CC19F7" w:rsidRDefault="00FE02EF" w:rsidP="002E78FA">
            <w:pPr>
              <w:jc w:val="right"/>
            </w:pPr>
          </w:p>
        </w:tc>
      </w:tr>
      <w:tr w:rsidR="00FE02EF" w:rsidRPr="00CC19F7" w14:paraId="158BDC41" w14:textId="77777777">
        <w:trPr>
          <w:trHeight w:val="380"/>
        </w:trPr>
        <w:tc>
          <w:tcPr>
            <w:tcW w:w="680" w:type="dxa"/>
            <w:tcBorders>
              <w:top w:val="nil"/>
              <w:left w:val="nil"/>
              <w:bottom w:val="nil"/>
              <w:right w:val="nil"/>
            </w:tcBorders>
            <w:tcMar>
              <w:top w:w="128" w:type="dxa"/>
              <w:left w:w="43" w:type="dxa"/>
              <w:bottom w:w="43" w:type="dxa"/>
              <w:right w:w="43" w:type="dxa"/>
            </w:tcMar>
          </w:tcPr>
          <w:p w14:paraId="0A01DA5E" w14:textId="77777777" w:rsidR="00FE02EF" w:rsidRPr="00CC19F7" w:rsidRDefault="00FE02EF" w:rsidP="002E78FA"/>
        </w:tc>
        <w:tc>
          <w:tcPr>
            <w:tcW w:w="680" w:type="dxa"/>
            <w:tcBorders>
              <w:top w:val="nil"/>
              <w:left w:val="nil"/>
              <w:bottom w:val="nil"/>
              <w:right w:val="nil"/>
            </w:tcBorders>
            <w:tcMar>
              <w:top w:w="128" w:type="dxa"/>
              <w:left w:w="43" w:type="dxa"/>
              <w:bottom w:w="43" w:type="dxa"/>
              <w:right w:w="43" w:type="dxa"/>
            </w:tcMar>
          </w:tcPr>
          <w:p w14:paraId="04230DB0" w14:textId="77777777" w:rsidR="00FE02EF" w:rsidRPr="00CC19F7" w:rsidRDefault="00881E58" w:rsidP="002E78FA">
            <w:r w:rsidRPr="00CC19F7">
              <w:t>72</w:t>
            </w:r>
          </w:p>
        </w:tc>
        <w:tc>
          <w:tcPr>
            <w:tcW w:w="5040" w:type="dxa"/>
            <w:tcBorders>
              <w:top w:val="nil"/>
              <w:left w:val="nil"/>
              <w:bottom w:val="nil"/>
              <w:right w:val="nil"/>
            </w:tcBorders>
            <w:tcMar>
              <w:top w:w="128" w:type="dxa"/>
              <w:left w:w="43" w:type="dxa"/>
              <w:bottom w:w="43" w:type="dxa"/>
              <w:right w:w="43" w:type="dxa"/>
            </w:tcMar>
          </w:tcPr>
          <w:p w14:paraId="4FD0BBA1" w14:textId="77777777" w:rsidR="00FE02EF" w:rsidRPr="00CC19F7" w:rsidRDefault="00881E58" w:rsidP="002E78FA">
            <w:r w:rsidRPr="00CC19F7">
              <w:t>Langskip – fangst og lagring av CO</w:t>
            </w:r>
            <w:r w:rsidRPr="00CC19F7">
              <w:rPr>
                <w:rStyle w:val="skrift-senket"/>
              </w:rPr>
              <w:t>2</w:t>
            </w:r>
            <w:r w:rsidRPr="00CC19F7">
              <w:rPr>
                <w:rStyle w:val="kursiv"/>
              </w:rPr>
              <w:t>, kan </w:t>
            </w:r>
            <w:proofErr w:type="spellStart"/>
            <w:r w:rsidRPr="00CC19F7">
              <w:rPr>
                <w:rStyle w:val="kursiv"/>
              </w:rPr>
              <w:t>overførast</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15BAED27" w14:textId="77777777" w:rsidR="00FE02EF" w:rsidRPr="00CC19F7" w:rsidRDefault="00881E58" w:rsidP="002E78FA">
            <w:pPr>
              <w:jc w:val="right"/>
            </w:pPr>
            <w:r w:rsidRPr="00CC19F7">
              <w:t>2 600 000 000</w:t>
            </w:r>
          </w:p>
        </w:tc>
        <w:tc>
          <w:tcPr>
            <w:tcW w:w="1580" w:type="dxa"/>
            <w:tcBorders>
              <w:top w:val="nil"/>
              <w:left w:val="nil"/>
              <w:bottom w:val="nil"/>
              <w:right w:val="nil"/>
            </w:tcBorders>
            <w:tcMar>
              <w:top w:w="128" w:type="dxa"/>
              <w:left w:w="43" w:type="dxa"/>
              <w:bottom w:w="43" w:type="dxa"/>
              <w:right w:w="43" w:type="dxa"/>
            </w:tcMar>
            <w:vAlign w:val="bottom"/>
          </w:tcPr>
          <w:p w14:paraId="3F28A698" w14:textId="77777777" w:rsidR="00FE02EF" w:rsidRPr="00CC19F7" w:rsidRDefault="00FE02EF" w:rsidP="002E78FA">
            <w:pPr>
              <w:jc w:val="right"/>
            </w:pPr>
          </w:p>
        </w:tc>
      </w:tr>
      <w:tr w:rsidR="00FE02EF" w:rsidRPr="00CC19F7" w14:paraId="722C29F0" w14:textId="77777777">
        <w:trPr>
          <w:trHeight w:val="380"/>
        </w:trPr>
        <w:tc>
          <w:tcPr>
            <w:tcW w:w="680" w:type="dxa"/>
            <w:tcBorders>
              <w:top w:val="nil"/>
              <w:left w:val="nil"/>
              <w:bottom w:val="nil"/>
              <w:right w:val="nil"/>
            </w:tcBorders>
            <w:tcMar>
              <w:top w:w="128" w:type="dxa"/>
              <w:left w:w="43" w:type="dxa"/>
              <w:bottom w:w="43" w:type="dxa"/>
              <w:right w:w="43" w:type="dxa"/>
            </w:tcMar>
          </w:tcPr>
          <w:p w14:paraId="318D6495" w14:textId="77777777" w:rsidR="00FE02EF" w:rsidRPr="00CC19F7" w:rsidRDefault="00FE02EF" w:rsidP="002E78FA"/>
        </w:tc>
        <w:tc>
          <w:tcPr>
            <w:tcW w:w="680" w:type="dxa"/>
            <w:tcBorders>
              <w:top w:val="nil"/>
              <w:left w:val="nil"/>
              <w:bottom w:val="nil"/>
              <w:right w:val="nil"/>
            </w:tcBorders>
            <w:tcMar>
              <w:top w:w="128" w:type="dxa"/>
              <w:left w:w="43" w:type="dxa"/>
              <w:bottom w:w="43" w:type="dxa"/>
              <w:right w:w="43" w:type="dxa"/>
            </w:tcMar>
          </w:tcPr>
          <w:p w14:paraId="18588019" w14:textId="77777777" w:rsidR="00FE02EF" w:rsidRPr="00CC19F7" w:rsidRDefault="00881E58" w:rsidP="002E78FA">
            <w:r w:rsidRPr="00CC19F7">
              <w:t>75</w:t>
            </w:r>
          </w:p>
        </w:tc>
        <w:tc>
          <w:tcPr>
            <w:tcW w:w="5040" w:type="dxa"/>
            <w:tcBorders>
              <w:top w:val="nil"/>
              <w:left w:val="nil"/>
              <w:bottom w:val="nil"/>
              <w:right w:val="nil"/>
            </w:tcBorders>
            <w:tcMar>
              <w:top w:w="128" w:type="dxa"/>
              <w:left w:w="43" w:type="dxa"/>
              <w:bottom w:w="43" w:type="dxa"/>
              <w:right w:w="43" w:type="dxa"/>
            </w:tcMar>
          </w:tcPr>
          <w:p w14:paraId="1636FC00" w14:textId="77777777" w:rsidR="00FE02EF" w:rsidRPr="00CC19F7" w:rsidRDefault="00881E58" w:rsidP="002E78FA">
            <w:r w:rsidRPr="00CC19F7">
              <w:t>Norwegian Energy Partners</w:t>
            </w:r>
          </w:p>
        </w:tc>
        <w:tc>
          <w:tcPr>
            <w:tcW w:w="1580" w:type="dxa"/>
            <w:tcBorders>
              <w:top w:val="nil"/>
              <w:left w:val="nil"/>
              <w:bottom w:val="nil"/>
              <w:right w:val="nil"/>
            </w:tcBorders>
            <w:tcMar>
              <w:top w:w="128" w:type="dxa"/>
              <w:left w:w="43" w:type="dxa"/>
              <w:bottom w:w="43" w:type="dxa"/>
              <w:right w:w="43" w:type="dxa"/>
            </w:tcMar>
            <w:vAlign w:val="bottom"/>
          </w:tcPr>
          <w:p w14:paraId="566E5953" w14:textId="77777777" w:rsidR="00FE02EF" w:rsidRPr="00CC19F7" w:rsidRDefault="00881E58" w:rsidP="002E78FA">
            <w:pPr>
              <w:jc w:val="right"/>
            </w:pPr>
            <w:r w:rsidRPr="00CC19F7">
              <w:t>26 400 000</w:t>
            </w:r>
          </w:p>
        </w:tc>
        <w:tc>
          <w:tcPr>
            <w:tcW w:w="1580" w:type="dxa"/>
            <w:tcBorders>
              <w:top w:val="nil"/>
              <w:left w:val="nil"/>
              <w:bottom w:val="nil"/>
              <w:right w:val="nil"/>
            </w:tcBorders>
            <w:tcMar>
              <w:top w:w="128" w:type="dxa"/>
              <w:left w:w="43" w:type="dxa"/>
              <w:bottom w:w="43" w:type="dxa"/>
              <w:right w:w="43" w:type="dxa"/>
            </w:tcMar>
            <w:vAlign w:val="bottom"/>
          </w:tcPr>
          <w:p w14:paraId="6265B05F" w14:textId="77777777" w:rsidR="00FE02EF" w:rsidRPr="00CC19F7" w:rsidRDefault="00881E58" w:rsidP="002E78FA">
            <w:pPr>
              <w:jc w:val="right"/>
            </w:pPr>
            <w:r w:rsidRPr="00CC19F7">
              <w:t>3 912 400 000</w:t>
            </w:r>
          </w:p>
        </w:tc>
      </w:tr>
      <w:tr w:rsidR="00FE02EF" w:rsidRPr="00CC19F7" w14:paraId="022C27C6" w14:textId="77777777">
        <w:trPr>
          <w:trHeight w:val="380"/>
        </w:trPr>
        <w:tc>
          <w:tcPr>
            <w:tcW w:w="680" w:type="dxa"/>
            <w:tcBorders>
              <w:top w:val="nil"/>
              <w:left w:val="nil"/>
              <w:bottom w:val="nil"/>
              <w:right w:val="nil"/>
            </w:tcBorders>
            <w:tcMar>
              <w:top w:w="128" w:type="dxa"/>
              <w:left w:w="43" w:type="dxa"/>
              <w:bottom w:w="43" w:type="dxa"/>
              <w:right w:w="43" w:type="dxa"/>
            </w:tcMar>
          </w:tcPr>
          <w:p w14:paraId="2351DEF0" w14:textId="77777777" w:rsidR="00FE02EF" w:rsidRPr="00CC19F7" w:rsidRDefault="00FE02EF" w:rsidP="002E78FA"/>
        </w:tc>
        <w:tc>
          <w:tcPr>
            <w:tcW w:w="680" w:type="dxa"/>
            <w:tcBorders>
              <w:top w:val="nil"/>
              <w:left w:val="nil"/>
              <w:bottom w:val="nil"/>
              <w:right w:val="nil"/>
            </w:tcBorders>
            <w:tcMar>
              <w:top w:w="128" w:type="dxa"/>
              <w:left w:w="43" w:type="dxa"/>
              <w:bottom w:w="43" w:type="dxa"/>
              <w:right w:w="43" w:type="dxa"/>
            </w:tcMar>
          </w:tcPr>
          <w:p w14:paraId="16E275AE" w14:textId="77777777" w:rsidR="00FE02EF" w:rsidRPr="00CC19F7" w:rsidRDefault="00FE02EF" w:rsidP="002E78FA"/>
        </w:tc>
        <w:tc>
          <w:tcPr>
            <w:tcW w:w="5040" w:type="dxa"/>
            <w:tcBorders>
              <w:top w:val="nil"/>
              <w:left w:val="nil"/>
              <w:bottom w:val="nil"/>
              <w:right w:val="nil"/>
            </w:tcBorders>
            <w:tcMar>
              <w:top w:w="128" w:type="dxa"/>
              <w:left w:w="43" w:type="dxa"/>
              <w:bottom w:w="43" w:type="dxa"/>
              <w:right w:w="43" w:type="dxa"/>
            </w:tcMar>
          </w:tcPr>
          <w:p w14:paraId="08C95B8C" w14:textId="77777777" w:rsidR="00FE02EF" w:rsidRPr="00CC19F7" w:rsidRDefault="00881E58" w:rsidP="002E78FA">
            <w:r w:rsidRPr="00CC19F7">
              <w:t>Sum Klima, industri og teknologi</w:t>
            </w:r>
          </w:p>
        </w:tc>
        <w:tc>
          <w:tcPr>
            <w:tcW w:w="1580" w:type="dxa"/>
            <w:tcBorders>
              <w:top w:val="nil"/>
              <w:left w:val="nil"/>
              <w:bottom w:val="nil"/>
              <w:right w:val="nil"/>
            </w:tcBorders>
            <w:tcMar>
              <w:top w:w="128" w:type="dxa"/>
              <w:left w:w="43" w:type="dxa"/>
              <w:bottom w:w="43" w:type="dxa"/>
              <w:right w:w="43" w:type="dxa"/>
            </w:tcMar>
            <w:vAlign w:val="bottom"/>
          </w:tcPr>
          <w:p w14:paraId="2FC9BA57" w14:textId="77777777" w:rsidR="00FE02EF" w:rsidRPr="00CC19F7" w:rsidRDefault="00FE02EF" w:rsidP="002E78FA">
            <w:pPr>
              <w:jc w:val="right"/>
            </w:pPr>
          </w:p>
        </w:tc>
        <w:tc>
          <w:tcPr>
            <w:tcW w:w="1580" w:type="dxa"/>
            <w:tcBorders>
              <w:top w:val="nil"/>
              <w:left w:val="nil"/>
              <w:bottom w:val="nil"/>
              <w:right w:val="nil"/>
            </w:tcBorders>
            <w:tcMar>
              <w:top w:w="128" w:type="dxa"/>
              <w:left w:w="43" w:type="dxa"/>
              <w:bottom w:w="43" w:type="dxa"/>
              <w:right w:w="43" w:type="dxa"/>
            </w:tcMar>
            <w:vAlign w:val="bottom"/>
          </w:tcPr>
          <w:p w14:paraId="68FE6316" w14:textId="77777777" w:rsidR="00FE02EF" w:rsidRPr="00CC19F7" w:rsidRDefault="00881E58" w:rsidP="002E78FA">
            <w:pPr>
              <w:jc w:val="right"/>
            </w:pPr>
            <w:r w:rsidRPr="00CC19F7">
              <w:t>3 912 400 000</w:t>
            </w:r>
          </w:p>
        </w:tc>
      </w:tr>
      <w:tr w:rsidR="00FE02EF" w:rsidRPr="00CC19F7" w14:paraId="2BD3D527" w14:textId="77777777">
        <w:trPr>
          <w:trHeight w:val="380"/>
        </w:trPr>
        <w:tc>
          <w:tcPr>
            <w:tcW w:w="9560" w:type="dxa"/>
            <w:gridSpan w:val="5"/>
            <w:tcBorders>
              <w:top w:val="nil"/>
              <w:left w:val="nil"/>
              <w:bottom w:val="nil"/>
              <w:right w:val="nil"/>
            </w:tcBorders>
            <w:tcMar>
              <w:top w:w="128" w:type="dxa"/>
              <w:left w:w="43" w:type="dxa"/>
              <w:bottom w:w="43" w:type="dxa"/>
              <w:right w:w="43" w:type="dxa"/>
            </w:tcMar>
          </w:tcPr>
          <w:p w14:paraId="72FE962B" w14:textId="77777777" w:rsidR="00FE02EF" w:rsidRPr="00CC19F7" w:rsidRDefault="00881E58" w:rsidP="002E78FA">
            <w:pPr>
              <w:jc w:val="center"/>
            </w:pPr>
            <w:proofErr w:type="spellStart"/>
            <w:r w:rsidRPr="00CC19F7">
              <w:t>Sikkerheit</w:t>
            </w:r>
            <w:proofErr w:type="spellEnd"/>
            <w:r w:rsidRPr="00CC19F7">
              <w:t xml:space="preserve"> og arbeidsmiljø</w:t>
            </w:r>
          </w:p>
        </w:tc>
      </w:tr>
      <w:tr w:rsidR="00FE02EF" w:rsidRPr="00CC19F7" w14:paraId="7B1032E6" w14:textId="77777777">
        <w:trPr>
          <w:trHeight w:val="380"/>
        </w:trPr>
        <w:tc>
          <w:tcPr>
            <w:tcW w:w="680" w:type="dxa"/>
            <w:tcBorders>
              <w:top w:val="nil"/>
              <w:left w:val="nil"/>
              <w:bottom w:val="nil"/>
              <w:right w:val="nil"/>
            </w:tcBorders>
            <w:tcMar>
              <w:top w:w="128" w:type="dxa"/>
              <w:left w:w="43" w:type="dxa"/>
              <w:bottom w:w="43" w:type="dxa"/>
              <w:right w:w="43" w:type="dxa"/>
            </w:tcMar>
          </w:tcPr>
          <w:p w14:paraId="78A5085D" w14:textId="77777777" w:rsidR="00FE02EF" w:rsidRPr="00CC19F7" w:rsidRDefault="00881E58" w:rsidP="002E78FA">
            <w:r w:rsidRPr="00CC19F7">
              <w:t>1860</w:t>
            </w:r>
          </w:p>
        </w:tc>
        <w:tc>
          <w:tcPr>
            <w:tcW w:w="680" w:type="dxa"/>
            <w:tcBorders>
              <w:top w:val="nil"/>
              <w:left w:val="nil"/>
              <w:bottom w:val="nil"/>
              <w:right w:val="nil"/>
            </w:tcBorders>
            <w:tcMar>
              <w:top w:w="128" w:type="dxa"/>
              <w:left w:w="43" w:type="dxa"/>
              <w:bottom w:w="43" w:type="dxa"/>
              <w:right w:w="43" w:type="dxa"/>
            </w:tcMar>
          </w:tcPr>
          <w:p w14:paraId="6E3ED7C3" w14:textId="77777777" w:rsidR="00FE02EF" w:rsidRPr="00CC19F7" w:rsidRDefault="00FE02EF" w:rsidP="002E78FA"/>
        </w:tc>
        <w:tc>
          <w:tcPr>
            <w:tcW w:w="5040" w:type="dxa"/>
            <w:tcBorders>
              <w:top w:val="nil"/>
              <w:left w:val="nil"/>
              <w:bottom w:val="nil"/>
              <w:right w:val="nil"/>
            </w:tcBorders>
            <w:tcMar>
              <w:top w:w="128" w:type="dxa"/>
              <w:left w:w="43" w:type="dxa"/>
              <w:bottom w:w="43" w:type="dxa"/>
              <w:right w:w="43" w:type="dxa"/>
            </w:tcMar>
          </w:tcPr>
          <w:p w14:paraId="7BE836F7" w14:textId="77777777" w:rsidR="00FE02EF" w:rsidRPr="00CC19F7" w:rsidRDefault="00881E58" w:rsidP="002E78FA">
            <w:r w:rsidRPr="00CC19F7">
              <w:t>Havindustritilsynet</w:t>
            </w:r>
          </w:p>
        </w:tc>
        <w:tc>
          <w:tcPr>
            <w:tcW w:w="1580" w:type="dxa"/>
            <w:tcBorders>
              <w:top w:val="nil"/>
              <w:left w:val="nil"/>
              <w:bottom w:val="nil"/>
              <w:right w:val="nil"/>
            </w:tcBorders>
            <w:tcMar>
              <w:top w:w="128" w:type="dxa"/>
              <w:left w:w="43" w:type="dxa"/>
              <w:bottom w:w="43" w:type="dxa"/>
              <w:right w:w="43" w:type="dxa"/>
            </w:tcMar>
            <w:vAlign w:val="bottom"/>
          </w:tcPr>
          <w:p w14:paraId="1691ADED" w14:textId="77777777" w:rsidR="00FE02EF" w:rsidRPr="00CC19F7" w:rsidRDefault="00FE02EF" w:rsidP="002E78FA">
            <w:pPr>
              <w:jc w:val="right"/>
            </w:pPr>
          </w:p>
        </w:tc>
        <w:tc>
          <w:tcPr>
            <w:tcW w:w="1580" w:type="dxa"/>
            <w:tcBorders>
              <w:top w:val="nil"/>
              <w:left w:val="nil"/>
              <w:bottom w:val="nil"/>
              <w:right w:val="nil"/>
            </w:tcBorders>
            <w:tcMar>
              <w:top w:w="128" w:type="dxa"/>
              <w:left w:w="43" w:type="dxa"/>
              <w:bottom w:w="43" w:type="dxa"/>
              <w:right w:w="43" w:type="dxa"/>
            </w:tcMar>
            <w:vAlign w:val="bottom"/>
          </w:tcPr>
          <w:p w14:paraId="6DCA0AE0" w14:textId="77777777" w:rsidR="00FE02EF" w:rsidRPr="00CC19F7" w:rsidRDefault="00FE02EF" w:rsidP="002E78FA">
            <w:pPr>
              <w:jc w:val="right"/>
            </w:pPr>
          </w:p>
        </w:tc>
      </w:tr>
      <w:tr w:rsidR="00FE02EF" w:rsidRPr="00CC19F7" w14:paraId="59E6ED7D" w14:textId="77777777">
        <w:trPr>
          <w:trHeight w:val="380"/>
        </w:trPr>
        <w:tc>
          <w:tcPr>
            <w:tcW w:w="680" w:type="dxa"/>
            <w:tcBorders>
              <w:top w:val="nil"/>
              <w:left w:val="nil"/>
              <w:bottom w:val="nil"/>
              <w:right w:val="nil"/>
            </w:tcBorders>
            <w:tcMar>
              <w:top w:w="128" w:type="dxa"/>
              <w:left w:w="43" w:type="dxa"/>
              <w:bottom w:w="43" w:type="dxa"/>
              <w:right w:w="43" w:type="dxa"/>
            </w:tcMar>
          </w:tcPr>
          <w:p w14:paraId="377DA7C1" w14:textId="77777777" w:rsidR="00FE02EF" w:rsidRPr="00CC19F7" w:rsidRDefault="00FE02EF" w:rsidP="002E78FA"/>
        </w:tc>
        <w:tc>
          <w:tcPr>
            <w:tcW w:w="680" w:type="dxa"/>
            <w:tcBorders>
              <w:top w:val="nil"/>
              <w:left w:val="nil"/>
              <w:bottom w:val="nil"/>
              <w:right w:val="nil"/>
            </w:tcBorders>
            <w:tcMar>
              <w:top w:w="128" w:type="dxa"/>
              <w:left w:w="43" w:type="dxa"/>
              <w:bottom w:w="43" w:type="dxa"/>
              <w:right w:w="43" w:type="dxa"/>
            </w:tcMar>
          </w:tcPr>
          <w:p w14:paraId="6A9956E0" w14:textId="77777777" w:rsidR="00FE02EF" w:rsidRPr="00CC19F7" w:rsidRDefault="00881E58" w:rsidP="002E78FA">
            <w:r w:rsidRPr="00CC19F7">
              <w:t>01</w:t>
            </w:r>
          </w:p>
        </w:tc>
        <w:tc>
          <w:tcPr>
            <w:tcW w:w="5040" w:type="dxa"/>
            <w:tcBorders>
              <w:top w:val="nil"/>
              <w:left w:val="nil"/>
              <w:bottom w:val="nil"/>
              <w:right w:val="nil"/>
            </w:tcBorders>
            <w:tcMar>
              <w:top w:w="128" w:type="dxa"/>
              <w:left w:w="43" w:type="dxa"/>
              <w:bottom w:w="43" w:type="dxa"/>
              <w:right w:w="43" w:type="dxa"/>
            </w:tcMar>
          </w:tcPr>
          <w:p w14:paraId="17A6BF52" w14:textId="77777777" w:rsidR="00FE02EF" w:rsidRPr="00CC19F7" w:rsidRDefault="00881E58" w:rsidP="002E78FA">
            <w:r w:rsidRPr="00CC19F7">
              <w:t>Driftsutgifter</w:t>
            </w:r>
            <w:r w:rsidRPr="00CC19F7">
              <w:rPr>
                <w:rStyle w:val="kursiv"/>
              </w:rPr>
              <w:t xml:space="preserve">, kan </w:t>
            </w:r>
            <w:proofErr w:type="spellStart"/>
            <w:r w:rsidRPr="00CC19F7">
              <w:rPr>
                <w:rStyle w:val="kursiv"/>
              </w:rPr>
              <w:t>nyttast</w:t>
            </w:r>
            <w:proofErr w:type="spellEnd"/>
            <w:r w:rsidRPr="00CC19F7">
              <w:rPr>
                <w:rStyle w:val="kursiv"/>
              </w:rPr>
              <w:t xml:space="preserve"> under post 21</w:t>
            </w:r>
          </w:p>
        </w:tc>
        <w:tc>
          <w:tcPr>
            <w:tcW w:w="1580" w:type="dxa"/>
            <w:tcBorders>
              <w:top w:val="nil"/>
              <w:left w:val="nil"/>
              <w:bottom w:val="nil"/>
              <w:right w:val="nil"/>
            </w:tcBorders>
            <w:tcMar>
              <w:top w:w="128" w:type="dxa"/>
              <w:left w:w="43" w:type="dxa"/>
              <w:bottom w:w="43" w:type="dxa"/>
              <w:right w:w="43" w:type="dxa"/>
            </w:tcMar>
            <w:vAlign w:val="bottom"/>
          </w:tcPr>
          <w:p w14:paraId="73066E80" w14:textId="77777777" w:rsidR="00FE02EF" w:rsidRPr="00CC19F7" w:rsidRDefault="00881E58" w:rsidP="002E78FA">
            <w:pPr>
              <w:jc w:val="right"/>
            </w:pPr>
            <w:r w:rsidRPr="00CC19F7">
              <w:t>349 324 000</w:t>
            </w:r>
          </w:p>
        </w:tc>
        <w:tc>
          <w:tcPr>
            <w:tcW w:w="1580" w:type="dxa"/>
            <w:tcBorders>
              <w:top w:val="nil"/>
              <w:left w:val="nil"/>
              <w:bottom w:val="nil"/>
              <w:right w:val="nil"/>
            </w:tcBorders>
            <w:tcMar>
              <w:top w:w="128" w:type="dxa"/>
              <w:left w:w="43" w:type="dxa"/>
              <w:bottom w:w="43" w:type="dxa"/>
              <w:right w:w="43" w:type="dxa"/>
            </w:tcMar>
            <w:vAlign w:val="bottom"/>
          </w:tcPr>
          <w:p w14:paraId="58CA09CD" w14:textId="77777777" w:rsidR="00FE02EF" w:rsidRPr="00CC19F7" w:rsidRDefault="00FE02EF" w:rsidP="002E78FA">
            <w:pPr>
              <w:jc w:val="right"/>
            </w:pPr>
          </w:p>
        </w:tc>
      </w:tr>
      <w:tr w:rsidR="00FE02EF" w:rsidRPr="00CC19F7" w14:paraId="6EE01CA5" w14:textId="77777777">
        <w:trPr>
          <w:trHeight w:val="380"/>
        </w:trPr>
        <w:tc>
          <w:tcPr>
            <w:tcW w:w="680" w:type="dxa"/>
            <w:tcBorders>
              <w:top w:val="nil"/>
              <w:left w:val="nil"/>
              <w:bottom w:val="nil"/>
              <w:right w:val="nil"/>
            </w:tcBorders>
            <w:tcMar>
              <w:top w:w="128" w:type="dxa"/>
              <w:left w:w="43" w:type="dxa"/>
              <w:bottom w:w="43" w:type="dxa"/>
              <w:right w:w="43" w:type="dxa"/>
            </w:tcMar>
          </w:tcPr>
          <w:p w14:paraId="0B31C375" w14:textId="77777777" w:rsidR="00FE02EF" w:rsidRPr="00CC19F7" w:rsidRDefault="00FE02EF" w:rsidP="002E78FA"/>
        </w:tc>
        <w:tc>
          <w:tcPr>
            <w:tcW w:w="680" w:type="dxa"/>
            <w:tcBorders>
              <w:top w:val="nil"/>
              <w:left w:val="nil"/>
              <w:bottom w:val="nil"/>
              <w:right w:val="nil"/>
            </w:tcBorders>
            <w:tcMar>
              <w:top w:w="128" w:type="dxa"/>
              <w:left w:w="43" w:type="dxa"/>
              <w:bottom w:w="43" w:type="dxa"/>
              <w:right w:w="43" w:type="dxa"/>
            </w:tcMar>
          </w:tcPr>
          <w:p w14:paraId="0F241A53" w14:textId="77777777" w:rsidR="00FE02EF" w:rsidRPr="00CC19F7" w:rsidRDefault="00881E58" w:rsidP="002E78FA">
            <w:r w:rsidRPr="00CC19F7">
              <w:t>21</w:t>
            </w:r>
          </w:p>
        </w:tc>
        <w:tc>
          <w:tcPr>
            <w:tcW w:w="5040" w:type="dxa"/>
            <w:tcBorders>
              <w:top w:val="nil"/>
              <w:left w:val="nil"/>
              <w:bottom w:val="nil"/>
              <w:right w:val="nil"/>
            </w:tcBorders>
            <w:tcMar>
              <w:top w:w="128" w:type="dxa"/>
              <w:left w:w="43" w:type="dxa"/>
              <w:bottom w:w="43" w:type="dxa"/>
              <w:right w:w="43" w:type="dxa"/>
            </w:tcMar>
          </w:tcPr>
          <w:p w14:paraId="7712AC2E" w14:textId="77777777" w:rsidR="00FE02EF" w:rsidRPr="00CC19F7" w:rsidRDefault="00881E58" w:rsidP="002E78FA">
            <w:r w:rsidRPr="00CC19F7">
              <w:t>Spesielle driftsutgifter</w:t>
            </w:r>
            <w:r w:rsidRPr="00CC19F7">
              <w:rPr>
                <w:rStyle w:val="kursiv"/>
              </w:rPr>
              <w:t>, kan </w:t>
            </w:r>
            <w:proofErr w:type="spellStart"/>
            <w:r w:rsidRPr="00CC19F7">
              <w:rPr>
                <w:rStyle w:val="kursiv"/>
              </w:rPr>
              <w:t>overførast</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22644C3C" w14:textId="77777777" w:rsidR="00FE02EF" w:rsidRPr="00CC19F7" w:rsidRDefault="00881E58" w:rsidP="002E78FA">
            <w:pPr>
              <w:jc w:val="right"/>
            </w:pPr>
            <w:r w:rsidRPr="00CC19F7">
              <w:t>34 400 000</w:t>
            </w:r>
          </w:p>
        </w:tc>
        <w:tc>
          <w:tcPr>
            <w:tcW w:w="1580" w:type="dxa"/>
            <w:tcBorders>
              <w:top w:val="nil"/>
              <w:left w:val="nil"/>
              <w:bottom w:val="nil"/>
              <w:right w:val="nil"/>
            </w:tcBorders>
            <w:tcMar>
              <w:top w:w="128" w:type="dxa"/>
              <w:left w:w="43" w:type="dxa"/>
              <w:bottom w:w="43" w:type="dxa"/>
              <w:right w:w="43" w:type="dxa"/>
            </w:tcMar>
            <w:vAlign w:val="bottom"/>
          </w:tcPr>
          <w:p w14:paraId="7CCD6672" w14:textId="77777777" w:rsidR="00FE02EF" w:rsidRPr="00CC19F7" w:rsidRDefault="00881E58" w:rsidP="002E78FA">
            <w:pPr>
              <w:jc w:val="right"/>
            </w:pPr>
            <w:r w:rsidRPr="00CC19F7">
              <w:t>383 724 000</w:t>
            </w:r>
          </w:p>
        </w:tc>
      </w:tr>
      <w:tr w:rsidR="00FE02EF" w:rsidRPr="00CC19F7" w14:paraId="432D456D" w14:textId="77777777">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26B7E240" w14:textId="77777777" w:rsidR="00FE02EF" w:rsidRPr="00CC19F7" w:rsidRDefault="00FE02EF" w:rsidP="002E78FA"/>
        </w:tc>
        <w:tc>
          <w:tcPr>
            <w:tcW w:w="680" w:type="dxa"/>
            <w:tcBorders>
              <w:top w:val="nil"/>
              <w:left w:val="nil"/>
              <w:bottom w:val="single" w:sz="4" w:space="0" w:color="000000"/>
              <w:right w:val="nil"/>
            </w:tcBorders>
            <w:tcMar>
              <w:top w:w="128" w:type="dxa"/>
              <w:left w:w="43" w:type="dxa"/>
              <w:bottom w:w="43" w:type="dxa"/>
              <w:right w:w="43" w:type="dxa"/>
            </w:tcMar>
          </w:tcPr>
          <w:p w14:paraId="776F71E9" w14:textId="77777777" w:rsidR="00FE02EF" w:rsidRPr="00CC19F7" w:rsidRDefault="00FE02EF" w:rsidP="002E78FA"/>
        </w:tc>
        <w:tc>
          <w:tcPr>
            <w:tcW w:w="5040" w:type="dxa"/>
            <w:tcBorders>
              <w:top w:val="nil"/>
              <w:left w:val="nil"/>
              <w:bottom w:val="single" w:sz="4" w:space="0" w:color="000000"/>
              <w:right w:val="nil"/>
            </w:tcBorders>
            <w:tcMar>
              <w:top w:w="128" w:type="dxa"/>
              <w:left w:w="43" w:type="dxa"/>
              <w:bottom w:w="43" w:type="dxa"/>
              <w:right w:w="43" w:type="dxa"/>
            </w:tcMar>
          </w:tcPr>
          <w:p w14:paraId="0971EE7C" w14:textId="77777777" w:rsidR="00FE02EF" w:rsidRPr="00CC19F7" w:rsidRDefault="00881E58" w:rsidP="002E78FA">
            <w:r w:rsidRPr="00CC19F7">
              <w:t xml:space="preserve">Sum </w:t>
            </w:r>
            <w:proofErr w:type="spellStart"/>
            <w:r w:rsidRPr="00CC19F7">
              <w:t>Sikkerheit</w:t>
            </w:r>
            <w:proofErr w:type="spellEnd"/>
            <w:r w:rsidRPr="00CC19F7">
              <w:t xml:space="preserve"> og arbeidsmiljø</w:t>
            </w:r>
          </w:p>
        </w:tc>
        <w:tc>
          <w:tcPr>
            <w:tcW w:w="1580" w:type="dxa"/>
            <w:tcBorders>
              <w:top w:val="nil"/>
              <w:left w:val="nil"/>
              <w:bottom w:val="single" w:sz="4" w:space="0" w:color="000000"/>
              <w:right w:val="nil"/>
            </w:tcBorders>
            <w:tcMar>
              <w:top w:w="128" w:type="dxa"/>
              <w:left w:w="43" w:type="dxa"/>
              <w:bottom w:w="43" w:type="dxa"/>
              <w:right w:w="43" w:type="dxa"/>
            </w:tcMar>
            <w:vAlign w:val="bottom"/>
          </w:tcPr>
          <w:p w14:paraId="72D6C1D1" w14:textId="77777777" w:rsidR="00FE02EF" w:rsidRPr="00CC19F7" w:rsidRDefault="00FE02EF" w:rsidP="002E78FA">
            <w:pPr>
              <w:jc w:val="right"/>
            </w:pPr>
          </w:p>
        </w:tc>
        <w:tc>
          <w:tcPr>
            <w:tcW w:w="1580" w:type="dxa"/>
            <w:tcBorders>
              <w:top w:val="nil"/>
              <w:left w:val="nil"/>
              <w:bottom w:val="single" w:sz="4" w:space="0" w:color="000000"/>
              <w:right w:val="nil"/>
            </w:tcBorders>
            <w:tcMar>
              <w:top w:w="128" w:type="dxa"/>
              <w:left w:w="43" w:type="dxa"/>
              <w:bottom w:w="43" w:type="dxa"/>
              <w:right w:w="43" w:type="dxa"/>
            </w:tcMar>
            <w:vAlign w:val="bottom"/>
          </w:tcPr>
          <w:p w14:paraId="33D666AA" w14:textId="77777777" w:rsidR="00FE02EF" w:rsidRPr="00CC19F7" w:rsidRDefault="00881E58" w:rsidP="002E78FA">
            <w:pPr>
              <w:jc w:val="right"/>
            </w:pPr>
            <w:r w:rsidRPr="00CC19F7">
              <w:t>383 724 000</w:t>
            </w:r>
          </w:p>
        </w:tc>
      </w:tr>
      <w:tr w:rsidR="00FE02EF" w:rsidRPr="00CC19F7" w14:paraId="7490A61C" w14:textId="77777777">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3ACD2CE2" w14:textId="77777777" w:rsidR="00FE02EF" w:rsidRPr="00CC19F7" w:rsidRDefault="00FE02EF" w:rsidP="002E78FA"/>
        </w:tc>
        <w:tc>
          <w:tcPr>
            <w:tcW w:w="680" w:type="dxa"/>
            <w:tcBorders>
              <w:top w:val="nil"/>
              <w:left w:val="nil"/>
              <w:bottom w:val="single" w:sz="4" w:space="0" w:color="000000"/>
              <w:right w:val="nil"/>
            </w:tcBorders>
            <w:tcMar>
              <w:top w:w="128" w:type="dxa"/>
              <w:left w:w="43" w:type="dxa"/>
              <w:bottom w:w="43" w:type="dxa"/>
              <w:right w:w="43" w:type="dxa"/>
            </w:tcMar>
          </w:tcPr>
          <w:p w14:paraId="6C3F9C1C" w14:textId="77777777" w:rsidR="00FE02EF" w:rsidRPr="00CC19F7" w:rsidRDefault="00FE02EF" w:rsidP="002E78FA"/>
        </w:tc>
        <w:tc>
          <w:tcPr>
            <w:tcW w:w="5040" w:type="dxa"/>
            <w:tcBorders>
              <w:top w:val="nil"/>
              <w:left w:val="nil"/>
              <w:bottom w:val="single" w:sz="4" w:space="0" w:color="000000"/>
              <w:right w:val="nil"/>
            </w:tcBorders>
            <w:tcMar>
              <w:top w:w="128" w:type="dxa"/>
              <w:left w:w="43" w:type="dxa"/>
              <w:bottom w:w="43" w:type="dxa"/>
              <w:right w:w="43" w:type="dxa"/>
            </w:tcMar>
          </w:tcPr>
          <w:p w14:paraId="5F54DF59" w14:textId="77777777" w:rsidR="00FE02EF" w:rsidRPr="00CC19F7" w:rsidRDefault="00881E58" w:rsidP="002E78FA">
            <w:r w:rsidRPr="00CC19F7">
              <w:t>Sum departementets utgifter</w:t>
            </w:r>
          </w:p>
        </w:tc>
        <w:tc>
          <w:tcPr>
            <w:tcW w:w="1580" w:type="dxa"/>
            <w:tcBorders>
              <w:top w:val="nil"/>
              <w:left w:val="nil"/>
              <w:bottom w:val="single" w:sz="4" w:space="0" w:color="000000"/>
              <w:right w:val="nil"/>
            </w:tcBorders>
            <w:tcMar>
              <w:top w:w="128" w:type="dxa"/>
              <w:left w:w="43" w:type="dxa"/>
              <w:bottom w:w="43" w:type="dxa"/>
              <w:right w:w="43" w:type="dxa"/>
            </w:tcMar>
            <w:vAlign w:val="bottom"/>
          </w:tcPr>
          <w:p w14:paraId="560938DD" w14:textId="77777777" w:rsidR="00FE02EF" w:rsidRPr="00CC19F7" w:rsidRDefault="00FE02EF" w:rsidP="002E78FA">
            <w:pPr>
              <w:jc w:val="right"/>
            </w:pPr>
          </w:p>
        </w:tc>
        <w:tc>
          <w:tcPr>
            <w:tcW w:w="1580" w:type="dxa"/>
            <w:tcBorders>
              <w:top w:val="nil"/>
              <w:left w:val="nil"/>
              <w:bottom w:val="single" w:sz="4" w:space="0" w:color="000000"/>
              <w:right w:val="nil"/>
            </w:tcBorders>
            <w:tcMar>
              <w:top w:w="128" w:type="dxa"/>
              <w:left w:w="43" w:type="dxa"/>
              <w:bottom w:w="43" w:type="dxa"/>
              <w:right w:w="43" w:type="dxa"/>
            </w:tcMar>
            <w:vAlign w:val="bottom"/>
          </w:tcPr>
          <w:p w14:paraId="3AD766D4" w14:textId="77777777" w:rsidR="00FE02EF" w:rsidRPr="00CC19F7" w:rsidRDefault="00881E58" w:rsidP="002E78FA">
            <w:pPr>
              <w:jc w:val="right"/>
            </w:pPr>
            <w:r w:rsidRPr="00CC19F7">
              <w:t>17 570 724 000</w:t>
            </w:r>
          </w:p>
        </w:tc>
      </w:tr>
    </w:tbl>
    <w:p w14:paraId="24ADB9AA" w14:textId="77777777" w:rsidR="00FE02EF" w:rsidRPr="00CC19F7" w:rsidRDefault="00881E58" w:rsidP="00CC19F7">
      <w:pPr>
        <w:pStyle w:val="a-vedtak-tekst"/>
      </w:pPr>
      <w:r w:rsidRPr="00CC19F7">
        <w:t>Inntekter: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5040"/>
        <w:gridCol w:w="1580"/>
        <w:gridCol w:w="1580"/>
      </w:tblGrid>
      <w:tr w:rsidR="00FE02EF" w:rsidRPr="00CC19F7" w14:paraId="33DCA0FA" w14:textId="77777777">
        <w:trPr>
          <w:trHeight w:val="860"/>
          <w:hidden/>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7B881B4" w14:textId="77777777" w:rsidR="00FE02EF" w:rsidRPr="00CC19F7" w:rsidRDefault="00881E58" w:rsidP="00CC19F7">
            <w:pPr>
              <w:pStyle w:val="Tabellnavn"/>
            </w:pPr>
            <w:r w:rsidRPr="00CC19F7">
              <w:t>VK</w:t>
            </w:r>
          </w:p>
          <w:p w14:paraId="3C54B327" w14:textId="77777777" w:rsidR="00FE02EF" w:rsidRPr="00CC19F7" w:rsidRDefault="00881E58" w:rsidP="00CC19F7">
            <w:r w:rsidRPr="00CC19F7">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869B411" w14:textId="77777777" w:rsidR="00FE02EF" w:rsidRPr="00CC19F7" w:rsidRDefault="00881E58" w:rsidP="005A5262">
            <w:r w:rsidRPr="00CC19F7">
              <w:t>Post</w:t>
            </w:r>
          </w:p>
        </w:tc>
        <w:tc>
          <w:tcPr>
            <w:tcW w:w="5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A2D9BF0" w14:textId="77777777" w:rsidR="00FE02EF" w:rsidRPr="00CC19F7" w:rsidRDefault="00FE02EF" w:rsidP="005A5262"/>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2C3FCA9" w14:textId="77777777" w:rsidR="00FE02EF" w:rsidRPr="00CC19F7" w:rsidRDefault="00881E58" w:rsidP="005A5262">
            <w:pPr>
              <w:jc w:val="right"/>
            </w:pPr>
            <w:r w:rsidRPr="00CC19F7">
              <w:t>Kroner</w:t>
            </w:r>
          </w:p>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3C0BB42" w14:textId="77777777" w:rsidR="00FE02EF" w:rsidRPr="00CC19F7" w:rsidRDefault="00881E58" w:rsidP="005A5262">
            <w:pPr>
              <w:jc w:val="right"/>
            </w:pPr>
            <w:r w:rsidRPr="00CC19F7">
              <w:t>Kroner</w:t>
            </w:r>
          </w:p>
        </w:tc>
      </w:tr>
      <w:tr w:rsidR="00FE02EF" w:rsidRPr="00CC19F7" w14:paraId="6F282F3F" w14:textId="77777777">
        <w:trPr>
          <w:trHeight w:val="380"/>
        </w:trPr>
        <w:tc>
          <w:tcPr>
            <w:tcW w:w="9560" w:type="dxa"/>
            <w:gridSpan w:val="5"/>
            <w:tcBorders>
              <w:top w:val="single" w:sz="4" w:space="0" w:color="000000"/>
              <w:left w:val="nil"/>
              <w:bottom w:val="nil"/>
              <w:right w:val="nil"/>
            </w:tcBorders>
            <w:tcMar>
              <w:top w:w="128" w:type="dxa"/>
              <w:left w:w="43" w:type="dxa"/>
              <w:bottom w:w="43" w:type="dxa"/>
              <w:right w:w="43" w:type="dxa"/>
            </w:tcMar>
          </w:tcPr>
          <w:p w14:paraId="32187408" w14:textId="77777777" w:rsidR="00FE02EF" w:rsidRPr="00CC19F7" w:rsidRDefault="00881E58" w:rsidP="005A5262">
            <w:pPr>
              <w:jc w:val="center"/>
            </w:pPr>
            <w:r w:rsidRPr="00CC19F7">
              <w:t>Ordinære inntekter</w:t>
            </w:r>
          </w:p>
        </w:tc>
      </w:tr>
      <w:tr w:rsidR="00FE02EF" w:rsidRPr="00CC19F7" w14:paraId="2884F6C0" w14:textId="77777777">
        <w:trPr>
          <w:trHeight w:val="380"/>
        </w:trPr>
        <w:tc>
          <w:tcPr>
            <w:tcW w:w="680" w:type="dxa"/>
            <w:tcBorders>
              <w:top w:val="nil"/>
              <w:left w:val="nil"/>
              <w:bottom w:val="nil"/>
              <w:right w:val="nil"/>
            </w:tcBorders>
            <w:tcMar>
              <w:top w:w="128" w:type="dxa"/>
              <w:left w:w="43" w:type="dxa"/>
              <w:bottom w:w="43" w:type="dxa"/>
              <w:right w:w="43" w:type="dxa"/>
            </w:tcMar>
          </w:tcPr>
          <w:p w14:paraId="73A963A4" w14:textId="77777777" w:rsidR="00FE02EF" w:rsidRPr="00CC19F7" w:rsidRDefault="00881E58" w:rsidP="005A5262">
            <w:r w:rsidRPr="00CC19F7">
              <w:t>4800</w:t>
            </w:r>
          </w:p>
        </w:tc>
        <w:tc>
          <w:tcPr>
            <w:tcW w:w="680" w:type="dxa"/>
            <w:tcBorders>
              <w:top w:val="nil"/>
              <w:left w:val="nil"/>
              <w:bottom w:val="nil"/>
              <w:right w:val="nil"/>
            </w:tcBorders>
            <w:tcMar>
              <w:top w:w="128" w:type="dxa"/>
              <w:left w:w="43" w:type="dxa"/>
              <w:bottom w:w="43" w:type="dxa"/>
              <w:right w:w="43" w:type="dxa"/>
            </w:tcMar>
          </w:tcPr>
          <w:p w14:paraId="4460902D" w14:textId="77777777" w:rsidR="00FE02EF" w:rsidRPr="00CC19F7" w:rsidRDefault="00FE02EF" w:rsidP="005A5262"/>
        </w:tc>
        <w:tc>
          <w:tcPr>
            <w:tcW w:w="5040" w:type="dxa"/>
            <w:tcBorders>
              <w:top w:val="nil"/>
              <w:left w:val="nil"/>
              <w:bottom w:val="nil"/>
              <w:right w:val="nil"/>
            </w:tcBorders>
            <w:tcMar>
              <w:top w:w="128" w:type="dxa"/>
              <w:left w:w="43" w:type="dxa"/>
              <w:bottom w:w="43" w:type="dxa"/>
              <w:right w:w="43" w:type="dxa"/>
            </w:tcMar>
          </w:tcPr>
          <w:p w14:paraId="4787E317" w14:textId="77777777" w:rsidR="00FE02EF" w:rsidRPr="00CC19F7" w:rsidRDefault="00881E58" w:rsidP="005A5262">
            <w:r w:rsidRPr="00CC19F7">
              <w:t>Olje- og energidepartementet</w:t>
            </w:r>
          </w:p>
        </w:tc>
        <w:tc>
          <w:tcPr>
            <w:tcW w:w="1580" w:type="dxa"/>
            <w:tcBorders>
              <w:top w:val="nil"/>
              <w:left w:val="nil"/>
              <w:bottom w:val="nil"/>
              <w:right w:val="nil"/>
            </w:tcBorders>
            <w:tcMar>
              <w:top w:w="128" w:type="dxa"/>
              <w:left w:w="43" w:type="dxa"/>
              <w:bottom w:w="43" w:type="dxa"/>
              <w:right w:w="43" w:type="dxa"/>
            </w:tcMar>
            <w:vAlign w:val="bottom"/>
          </w:tcPr>
          <w:p w14:paraId="431FD3E7" w14:textId="77777777" w:rsidR="00FE02EF" w:rsidRPr="00CC19F7" w:rsidRDefault="00FE02EF" w:rsidP="005A5262">
            <w:pPr>
              <w:jc w:val="right"/>
            </w:pPr>
          </w:p>
        </w:tc>
        <w:tc>
          <w:tcPr>
            <w:tcW w:w="1580" w:type="dxa"/>
            <w:tcBorders>
              <w:top w:val="nil"/>
              <w:left w:val="nil"/>
              <w:bottom w:val="nil"/>
              <w:right w:val="nil"/>
            </w:tcBorders>
            <w:tcMar>
              <w:top w:w="128" w:type="dxa"/>
              <w:left w:w="43" w:type="dxa"/>
              <w:bottom w:w="43" w:type="dxa"/>
              <w:right w:w="43" w:type="dxa"/>
            </w:tcMar>
            <w:vAlign w:val="bottom"/>
          </w:tcPr>
          <w:p w14:paraId="371129FF" w14:textId="77777777" w:rsidR="00FE02EF" w:rsidRPr="00CC19F7" w:rsidRDefault="00FE02EF" w:rsidP="005A5262">
            <w:pPr>
              <w:jc w:val="right"/>
            </w:pPr>
          </w:p>
        </w:tc>
      </w:tr>
      <w:tr w:rsidR="00FE02EF" w:rsidRPr="00CC19F7" w14:paraId="1504E3CA" w14:textId="77777777">
        <w:trPr>
          <w:trHeight w:val="380"/>
        </w:trPr>
        <w:tc>
          <w:tcPr>
            <w:tcW w:w="680" w:type="dxa"/>
            <w:tcBorders>
              <w:top w:val="nil"/>
              <w:left w:val="nil"/>
              <w:bottom w:val="nil"/>
              <w:right w:val="nil"/>
            </w:tcBorders>
            <w:tcMar>
              <w:top w:w="128" w:type="dxa"/>
              <w:left w:w="43" w:type="dxa"/>
              <w:bottom w:w="43" w:type="dxa"/>
              <w:right w:w="43" w:type="dxa"/>
            </w:tcMar>
          </w:tcPr>
          <w:p w14:paraId="0FFAF8CC" w14:textId="77777777" w:rsidR="00FE02EF" w:rsidRPr="00CC19F7" w:rsidRDefault="00FE02EF" w:rsidP="005A5262"/>
        </w:tc>
        <w:tc>
          <w:tcPr>
            <w:tcW w:w="680" w:type="dxa"/>
            <w:tcBorders>
              <w:top w:val="nil"/>
              <w:left w:val="nil"/>
              <w:bottom w:val="nil"/>
              <w:right w:val="nil"/>
            </w:tcBorders>
            <w:tcMar>
              <w:top w:w="128" w:type="dxa"/>
              <w:left w:w="43" w:type="dxa"/>
              <w:bottom w:w="43" w:type="dxa"/>
              <w:right w:w="43" w:type="dxa"/>
            </w:tcMar>
          </w:tcPr>
          <w:p w14:paraId="2A2763CE" w14:textId="77777777" w:rsidR="00FE02EF" w:rsidRPr="00CC19F7" w:rsidRDefault="00881E58" w:rsidP="005A5262">
            <w:r w:rsidRPr="00CC19F7">
              <w:t>70</w:t>
            </w:r>
          </w:p>
        </w:tc>
        <w:tc>
          <w:tcPr>
            <w:tcW w:w="5040" w:type="dxa"/>
            <w:tcBorders>
              <w:top w:val="nil"/>
              <w:left w:val="nil"/>
              <w:bottom w:val="nil"/>
              <w:right w:val="nil"/>
            </w:tcBorders>
            <w:tcMar>
              <w:top w:w="128" w:type="dxa"/>
              <w:left w:w="43" w:type="dxa"/>
              <w:bottom w:w="43" w:type="dxa"/>
              <w:right w:w="43" w:type="dxa"/>
            </w:tcMar>
          </w:tcPr>
          <w:p w14:paraId="442CAA6E" w14:textId="77777777" w:rsidR="00FE02EF" w:rsidRPr="00CC19F7" w:rsidRDefault="00881E58" w:rsidP="005A5262">
            <w:r w:rsidRPr="00CC19F7">
              <w:t xml:space="preserve">Garantiprovisjon, </w:t>
            </w:r>
            <w:proofErr w:type="spellStart"/>
            <w:r w:rsidRPr="00CC19F7">
              <w:t>Gassco</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00931A94" w14:textId="77777777" w:rsidR="00FE02EF" w:rsidRPr="00CC19F7" w:rsidRDefault="00881E58" w:rsidP="005A5262">
            <w:pPr>
              <w:jc w:val="right"/>
            </w:pPr>
            <w:r w:rsidRPr="00CC19F7">
              <w:t>2 000 000</w:t>
            </w:r>
          </w:p>
        </w:tc>
        <w:tc>
          <w:tcPr>
            <w:tcW w:w="1580" w:type="dxa"/>
            <w:tcBorders>
              <w:top w:val="nil"/>
              <w:left w:val="nil"/>
              <w:bottom w:val="nil"/>
              <w:right w:val="nil"/>
            </w:tcBorders>
            <w:tcMar>
              <w:top w:w="128" w:type="dxa"/>
              <w:left w:w="43" w:type="dxa"/>
              <w:bottom w:w="43" w:type="dxa"/>
              <w:right w:w="43" w:type="dxa"/>
            </w:tcMar>
            <w:vAlign w:val="bottom"/>
          </w:tcPr>
          <w:p w14:paraId="266F405C" w14:textId="77777777" w:rsidR="00FE02EF" w:rsidRPr="00CC19F7" w:rsidRDefault="00881E58" w:rsidP="005A5262">
            <w:pPr>
              <w:jc w:val="right"/>
            </w:pPr>
            <w:r w:rsidRPr="00CC19F7">
              <w:t>2 000 000</w:t>
            </w:r>
          </w:p>
        </w:tc>
      </w:tr>
      <w:tr w:rsidR="00FE02EF" w:rsidRPr="00CC19F7" w14:paraId="304B3130" w14:textId="77777777">
        <w:trPr>
          <w:trHeight w:val="380"/>
        </w:trPr>
        <w:tc>
          <w:tcPr>
            <w:tcW w:w="680" w:type="dxa"/>
            <w:tcBorders>
              <w:top w:val="nil"/>
              <w:left w:val="nil"/>
              <w:bottom w:val="nil"/>
              <w:right w:val="nil"/>
            </w:tcBorders>
            <w:tcMar>
              <w:top w:w="128" w:type="dxa"/>
              <w:left w:w="43" w:type="dxa"/>
              <w:bottom w:w="43" w:type="dxa"/>
              <w:right w:w="43" w:type="dxa"/>
            </w:tcMar>
          </w:tcPr>
          <w:p w14:paraId="77A37D9B" w14:textId="77777777" w:rsidR="00FE02EF" w:rsidRPr="00CC19F7" w:rsidRDefault="00881E58" w:rsidP="005A5262">
            <w:r w:rsidRPr="00CC19F7">
              <w:t>4810</w:t>
            </w:r>
          </w:p>
        </w:tc>
        <w:tc>
          <w:tcPr>
            <w:tcW w:w="680" w:type="dxa"/>
            <w:tcBorders>
              <w:top w:val="nil"/>
              <w:left w:val="nil"/>
              <w:bottom w:val="nil"/>
              <w:right w:val="nil"/>
            </w:tcBorders>
            <w:tcMar>
              <w:top w:w="128" w:type="dxa"/>
              <w:left w:w="43" w:type="dxa"/>
              <w:bottom w:w="43" w:type="dxa"/>
              <w:right w:w="43" w:type="dxa"/>
            </w:tcMar>
          </w:tcPr>
          <w:p w14:paraId="561694DD" w14:textId="77777777" w:rsidR="00FE02EF" w:rsidRPr="00CC19F7" w:rsidRDefault="00FE02EF" w:rsidP="005A5262"/>
        </w:tc>
        <w:tc>
          <w:tcPr>
            <w:tcW w:w="5040" w:type="dxa"/>
            <w:tcBorders>
              <w:top w:val="nil"/>
              <w:left w:val="nil"/>
              <w:bottom w:val="nil"/>
              <w:right w:val="nil"/>
            </w:tcBorders>
            <w:tcMar>
              <w:top w:w="128" w:type="dxa"/>
              <w:left w:w="43" w:type="dxa"/>
              <w:bottom w:w="43" w:type="dxa"/>
              <w:right w:w="43" w:type="dxa"/>
            </w:tcMar>
          </w:tcPr>
          <w:p w14:paraId="3B59B395" w14:textId="77777777" w:rsidR="00FE02EF" w:rsidRPr="00CC19F7" w:rsidRDefault="00881E58" w:rsidP="005A5262">
            <w:r w:rsidRPr="00CC19F7">
              <w:t>Sokkeldirektoratet</w:t>
            </w:r>
          </w:p>
        </w:tc>
        <w:tc>
          <w:tcPr>
            <w:tcW w:w="1580" w:type="dxa"/>
            <w:tcBorders>
              <w:top w:val="nil"/>
              <w:left w:val="nil"/>
              <w:bottom w:val="nil"/>
              <w:right w:val="nil"/>
            </w:tcBorders>
            <w:tcMar>
              <w:top w:w="128" w:type="dxa"/>
              <w:left w:w="43" w:type="dxa"/>
              <w:bottom w:w="43" w:type="dxa"/>
              <w:right w:w="43" w:type="dxa"/>
            </w:tcMar>
            <w:vAlign w:val="bottom"/>
          </w:tcPr>
          <w:p w14:paraId="7B4B3809" w14:textId="77777777" w:rsidR="00FE02EF" w:rsidRPr="00CC19F7" w:rsidRDefault="00FE02EF" w:rsidP="005A5262">
            <w:pPr>
              <w:jc w:val="right"/>
            </w:pPr>
          </w:p>
        </w:tc>
        <w:tc>
          <w:tcPr>
            <w:tcW w:w="1580" w:type="dxa"/>
            <w:tcBorders>
              <w:top w:val="nil"/>
              <w:left w:val="nil"/>
              <w:bottom w:val="nil"/>
              <w:right w:val="nil"/>
            </w:tcBorders>
            <w:tcMar>
              <w:top w:w="128" w:type="dxa"/>
              <w:left w:w="43" w:type="dxa"/>
              <w:bottom w:w="43" w:type="dxa"/>
              <w:right w:w="43" w:type="dxa"/>
            </w:tcMar>
            <w:vAlign w:val="bottom"/>
          </w:tcPr>
          <w:p w14:paraId="0FB1BA77" w14:textId="77777777" w:rsidR="00FE02EF" w:rsidRPr="00CC19F7" w:rsidRDefault="00FE02EF" w:rsidP="005A5262">
            <w:pPr>
              <w:jc w:val="right"/>
            </w:pPr>
          </w:p>
        </w:tc>
      </w:tr>
      <w:tr w:rsidR="00FE02EF" w:rsidRPr="00CC19F7" w14:paraId="4135E242" w14:textId="77777777">
        <w:trPr>
          <w:trHeight w:val="380"/>
        </w:trPr>
        <w:tc>
          <w:tcPr>
            <w:tcW w:w="680" w:type="dxa"/>
            <w:tcBorders>
              <w:top w:val="nil"/>
              <w:left w:val="nil"/>
              <w:bottom w:val="nil"/>
              <w:right w:val="nil"/>
            </w:tcBorders>
            <w:tcMar>
              <w:top w:w="128" w:type="dxa"/>
              <w:left w:w="43" w:type="dxa"/>
              <w:bottom w:w="43" w:type="dxa"/>
              <w:right w:w="43" w:type="dxa"/>
            </w:tcMar>
          </w:tcPr>
          <w:p w14:paraId="4FAABCA1" w14:textId="77777777" w:rsidR="00FE02EF" w:rsidRPr="00CC19F7" w:rsidRDefault="00FE02EF" w:rsidP="005A5262"/>
        </w:tc>
        <w:tc>
          <w:tcPr>
            <w:tcW w:w="680" w:type="dxa"/>
            <w:tcBorders>
              <w:top w:val="nil"/>
              <w:left w:val="nil"/>
              <w:bottom w:val="nil"/>
              <w:right w:val="nil"/>
            </w:tcBorders>
            <w:tcMar>
              <w:top w:w="128" w:type="dxa"/>
              <w:left w:w="43" w:type="dxa"/>
              <w:bottom w:w="43" w:type="dxa"/>
              <w:right w:w="43" w:type="dxa"/>
            </w:tcMar>
          </w:tcPr>
          <w:p w14:paraId="64133D2F" w14:textId="77777777" w:rsidR="00FE02EF" w:rsidRPr="00CC19F7" w:rsidRDefault="00881E58" w:rsidP="005A5262">
            <w:r w:rsidRPr="00CC19F7">
              <w:t>01</w:t>
            </w:r>
          </w:p>
        </w:tc>
        <w:tc>
          <w:tcPr>
            <w:tcW w:w="5040" w:type="dxa"/>
            <w:tcBorders>
              <w:top w:val="nil"/>
              <w:left w:val="nil"/>
              <w:bottom w:val="nil"/>
              <w:right w:val="nil"/>
            </w:tcBorders>
            <w:tcMar>
              <w:top w:w="128" w:type="dxa"/>
              <w:left w:w="43" w:type="dxa"/>
              <w:bottom w:w="43" w:type="dxa"/>
              <w:right w:w="43" w:type="dxa"/>
            </w:tcMar>
          </w:tcPr>
          <w:p w14:paraId="511F25F7" w14:textId="77777777" w:rsidR="00FE02EF" w:rsidRPr="00CC19F7" w:rsidRDefault="00881E58" w:rsidP="005A5262">
            <w:r w:rsidRPr="00CC19F7">
              <w:t>Gebyrinntekter</w:t>
            </w:r>
          </w:p>
        </w:tc>
        <w:tc>
          <w:tcPr>
            <w:tcW w:w="1580" w:type="dxa"/>
            <w:tcBorders>
              <w:top w:val="nil"/>
              <w:left w:val="nil"/>
              <w:bottom w:val="nil"/>
              <w:right w:val="nil"/>
            </w:tcBorders>
            <w:tcMar>
              <w:top w:w="128" w:type="dxa"/>
              <w:left w:w="43" w:type="dxa"/>
              <w:bottom w:w="43" w:type="dxa"/>
              <w:right w:w="43" w:type="dxa"/>
            </w:tcMar>
            <w:vAlign w:val="bottom"/>
          </w:tcPr>
          <w:p w14:paraId="3300522B" w14:textId="77777777" w:rsidR="00FE02EF" w:rsidRPr="00CC19F7" w:rsidRDefault="00881E58" w:rsidP="005A5262">
            <w:pPr>
              <w:jc w:val="right"/>
            </w:pPr>
            <w:r w:rsidRPr="00CC19F7">
              <w:t>30 700 000</w:t>
            </w:r>
          </w:p>
        </w:tc>
        <w:tc>
          <w:tcPr>
            <w:tcW w:w="1580" w:type="dxa"/>
            <w:tcBorders>
              <w:top w:val="nil"/>
              <w:left w:val="nil"/>
              <w:bottom w:val="nil"/>
              <w:right w:val="nil"/>
            </w:tcBorders>
            <w:tcMar>
              <w:top w:w="128" w:type="dxa"/>
              <w:left w:w="43" w:type="dxa"/>
              <w:bottom w:w="43" w:type="dxa"/>
              <w:right w:w="43" w:type="dxa"/>
            </w:tcMar>
            <w:vAlign w:val="bottom"/>
          </w:tcPr>
          <w:p w14:paraId="2E5D0281" w14:textId="77777777" w:rsidR="00FE02EF" w:rsidRPr="00CC19F7" w:rsidRDefault="00FE02EF" w:rsidP="005A5262">
            <w:pPr>
              <w:jc w:val="right"/>
            </w:pPr>
          </w:p>
        </w:tc>
      </w:tr>
      <w:tr w:rsidR="00FE02EF" w:rsidRPr="00CC19F7" w14:paraId="30414853" w14:textId="77777777">
        <w:trPr>
          <w:trHeight w:val="380"/>
        </w:trPr>
        <w:tc>
          <w:tcPr>
            <w:tcW w:w="680" w:type="dxa"/>
            <w:tcBorders>
              <w:top w:val="nil"/>
              <w:left w:val="nil"/>
              <w:bottom w:val="nil"/>
              <w:right w:val="nil"/>
            </w:tcBorders>
            <w:tcMar>
              <w:top w:w="128" w:type="dxa"/>
              <w:left w:w="43" w:type="dxa"/>
              <w:bottom w:w="43" w:type="dxa"/>
              <w:right w:w="43" w:type="dxa"/>
            </w:tcMar>
          </w:tcPr>
          <w:p w14:paraId="4B35DE2F" w14:textId="77777777" w:rsidR="00FE02EF" w:rsidRPr="00CC19F7" w:rsidRDefault="00FE02EF" w:rsidP="005A5262"/>
        </w:tc>
        <w:tc>
          <w:tcPr>
            <w:tcW w:w="680" w:type="dxa"/>
            <w:tcBorders>
              <w:top w:val="nil"/>
              <w:left w:val="nil"/>
              <w:bottom w:val="nil"/>
              <w:right w:val="nil"/>
            </w:tcBorders>
            <w:tcMar>
              <w:top w:w="128" w:type="dxa"/>
              <w:left w:w="43" w:type="dxa"/>
              <w:bottom w:w="43" w:type="dxa"/>
              <w:right w:w="43" w:type="dxa"/>
            </w:tcMar>
          </w:tcPr>
          <w:p w14:paraId="6C99939A" w14:textId="77777777" w:rsidR="00FE02EF" w:rsidRPr="00CC19F7" w:rsidRDefault="00881E58" w:rsidP="005A5262">
            <w:r w:rsidRPr="00CC19F7">
              <w:t>02</w:t>
            </w:r>
          </w:p>
        </w:tc>
        <w:tc>
          <w:tcPr>
            <w:tcW w:w="5040" w:type="dxa"/>
            <w:tcBorders>
              <w:top w:val="nil"/>
              <w:left w:val="nil"/>
              <w:bottom w:val="nil"/>
              <w:right w:val="nil"/>
            </w:tcBorders>
            <w:tcMar>
              <w:top w:w="128" w:type="dxa"/>
              <w:left w:w="43" w:type="dxa"/>
              <w:bottom w:w="43" w:type="dxa"/>
              <w:right w:w="43" w:type="dxa"/>
            </w:tcMar>
          </w:tcPr>
          <w:p w14:paraId="5AC075AD" w14:textId="77777777" w:rsidR="00FE02EF" w:rsidRPr="00CC19F7" w:rsidRDefault="00881E58" w:rsidP="005A5262">
            <w:r w:rsidRPr="00CC19F7">
              <w:t>Oppdrags- og samarbeidsinntekter</w:t>
            </w:r>
          </w:p>
        </w:tc>
        <w:tc>
          <w:tcPr>
            <w:tcW w:w="1580" w:type="dxa"/>
            <w:tcBorders>
              <w:top w:val="nil"/>
              <w:left w:val="nil"/>
              <w:bottom w:val="nil"/>
              <w:right w:val="nil"/>
            </w:tcBorders>
            <w:tcMar>
              <w:top w:w="128" w:type="dxa"/>
              <w:left w:w="43" w:type="dxa"/>
              <w:bottom w:w="43" w:type="dxa"/>
              <w:right w:w="43" w:type="dxa"/>
            </w:tcMar>
            <w:vAlign w:val="bottom"/>
          </w:tcPr>
          <w:p w14:paraId="246F5C12" w14:textId="77777777" w:rsidR="00FE02EF" w:rsidRPr="00CC19F7" w:rsidRDefault="00881E58" w:rsidP="005A5262">
            <w:pPr>
              <w:jc w:val="right"/>
            </w:pPr>
            <w:r w:rsidRPr="00CC19F7">
              <w:t>57 500 000</w:t>
            </w:r>
          </w:p>
        </w:tc>
        <w:tc>
          <w:tcPr>
            <w:tcW w:w="1580" w:type="dxa"/>
            <w:tcBorders>
              <w:top w:val="nil"/>
              <w:left w:val="nil"/>
              <w:bottom w:val="nil"/>
              <w:right w:val="nil"/>
            </w:tcBorders>
            <w:tcMar>
              <w:top w:w="128" w:type="dxa"/>
              <w:left w:w="43" w:type="dxa"/>
              <w:bottom w:w="43" w:type="dxa"/>
              <w:right w:w="43" w:type="dxa"/>
            </w:tcMar>
            <w:vAlign w:val="bottom"/>
          </w:tcPr>
          <w:p w14:paraId="5F2BD96E" w14:textId="77777777" w:rsidR="00FE02EF" w:rsidRPr="00CC19F7" w:rsidRDefault="00FE02EF" w:rsidP="005A5262">
            <w:pPr>
              <w:jc w:val="right"/>
            </w:pPr>
          </w:p>
        </w:tc>
      </w:tr>
      <w:tr w:rsidR="00FE02EF" w:rsidRPr="00CC19F7" w14:paraId="37F456E7" w14:textId="77777777">
        <w:trPr>
          <w:trHeight w:val="380"/>
        </w:trPr>
        <w:tc>
          <w:tcPr>
            <w:tcW w:w="680" w:type="dxa"/>
            <w:tcBorders>
              <w:top w:val="nil"/>
              <w:left w:val="nil"/>
              <w:bottom w:val="nil"/>
              <w:right w:val="nil"/>
            </w:tcBorders>
            <w:tcMar>
              <w:top w:w="128" w:type="dxa"/>
              <w:left w:w="43" w:type="dxa"/>
              <w:bottom w:w="43" w:type="dxa"/>
              <w:right w:w="43" w:type="dxa"/>
            </w:tcMar>
          </w:tcPr>
          <w:p w14:paraId="53805930" w14:textId="77777777" w:rsidR="00FE02EF" w:rsidRPr="00CC19F7" w:rsidRDefault="00FE02EF" w:rsidP="005A5262"/>
        </w:tc>
        <w:tc>
          <w:tcPr>
            <w:tcW w:w="680" w:type="dxa"/>
            <w:tcBorders>
              <w:top w:val="nil"/>
              <w:left w:val="nil"/>
              <w:bottom w:val="nil"/>
              <w:right w:val="nil"/>
            </w:tcBorders>
            <w:tcMar>
              <w:top w:w="128" w:type="dxa"/>
              <w:left w:w="43" w:type="dxa"/>
              <w:bottom w:w="43" w:type="dxa"/>
              <w:right w:w="43" w:type="dxa"/>
            </w:tcMar>
          </w:tcPr>
          <w:p w14:paraId="7DEA79C0" w14:textId="77777777" w:rsidR="00FE02EF" w:rsidRPr="00CC19F7" w:rsidRDefault="00881E58" w:rsidP="005A5262">
            <w:r w:rsidRPr="00CC19F7">
              <w:t>10</w:t>
            </w:r>
          </w:p>
        </w:tc>
        <w:tc>
          <w:tcPr>
            <w:tcW w:w="5040" w:type="dxa"/>
            <w:tcBorders>
              <w:top w:val="nil"/>
              <w:left w:val="nil"/>
              <w:bottom w:val="nil"/>
              <w:right w:val="nil"/>
            </w:tcBorders>
            <w:tcMar>
              <w:top w:w="128" w:type="dxa"/>
              <w:left w:w="43" w:type="dxa"/>
              <w:bottom w:w="43" w:type="dxa"/>
              <w:right w:w="43" w:type="dxa"/>
            </w:tcMar>
          </w:tcPr>
          <w:p w14:paraId="274DA97F" w14:textId="77777777" w:rsidR="00FE02EF" w:rsidRPr="00CC19F7" w:rsidRDefault="00881E58" w:rsidP="005A5262">
            <w:proofErr w:type="spellStart"/>
            <w:r w:rsidRPr="00CC19F7">
              <w:t>Refusjonar</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696C3298" w14:textId="77777777" w:rsidR="00FE02EF" w:rsidRPr="00CC19F7" w:rsidRDefault="00881E58" w:rsidP="005A5262">
            <w:pPr>
              <w:jc w:val="right"/>
            </w:pPr>
            <w:r w:rsidRPr="00CC19F7">
              <w:t>300 000</w:t>
            </w:r>
          </w:p>
        </w:tc>
        <w:tc>
          <w:tcPr>
            <w:tcW w:w="1580" w:type="dxa"/>
            <w:tcBorders>
              <w:top w:val="nil"/>
              <w:left w:val="nil"/>
              <w:bottom w:val="nil"/>
              <w:right w:val="nil"/>
            </w:tcBorders>
            <w:tcMar>
              <w:top w:w="128" w:type="dxa"/>
              <w:left w:w="43" w:type="dxa"/>
              <w:bottom w:w="43" w:type="dxa"/>
              <w:right w:w="43" w:type="dxa"/>
            </w:tcMar>
            <w:vAlign w:val="bottom"/>
          </w:tcPr>
          <w:p w14:paraId="76DDD9AA" w14:textId="77777777" w:rsidR="00FE02EF" w:rsidRPr="00CC19F7" w:rsidRDefault="00881E58" w:rsidP="005A5262">
            <w:pPr>
              <w:jc w:val="right"/>
            </w:pPr>
            <w:r w:rsidRPr="00CC19F7">
              <w:t>88 500 000</w:t>
            </w:r>
          </w:p>
        </w:tc>
      </w:tr>
      <w:tr w:rsidR="00FE02EF" w:rsidRPr="00CC19F7" w14:paraId="6FA2718C" w14:textId="77777777">
        <w:trPr>
          <w:trHeight w:val="380"/>
        </w:trPr>
        <w:tc>
          <w:tcPr>
            <w:tcW w:w="680" w:type="dxa"/>
            <w:tcBorders>
              <w:top w:val="nil"/>
              <w:left w:val="nil"/>
              <w:bottom w:val="nil"/>
              <w:right w:val="nil"/>
            </w:tcBorders>
            <w:tcMar>
              <w:top w:w="128" w:type="dxa"/>
              <w:left w:w="43" w:type="dxa"/>
              <w:bottom w:w="43" w:type="dxa"/>
              <w:right w:w="43" w:type="dxa"/>
            </w:tcMar>
          </w:tcPr>
          <w:p w14:paraId="33B6B768" w14:textId="77777777" w:rsidR="00FE02EF" w:rsidRPr="00CC19F7" w:rsidRDefault="00881E58" w:rsidP="005A5262">
            <w:r w:rsidRPr="00CC19F7">
              <w:t>4820</w:t>
            </w:r>
          </w:p>
        </w:tc>
        <w:tc>
          <w:tcPr>
            <w:tcW w:w="680" w:type="dxa"/>
            <w:tcBorders>
              <w:top w:val="nil"/>
              <w:left w:val="nil"/>
              <w:bottom w:val="nil"/>
              <w:right w:val="nil"/>
            </w:tcBorders>
            <w:tcMar>
              <w:top w:w="128" w:type="dxa"/>
              <w:left w:w="43" w:type="dxa"/>
              <w:bottom w:w="43" w:type="dxa"/>
              <w:right w:w="43" w:type="dxa"/>
            </w:tcMar>
          </w:tcPr>
          <w:p w14:paraId="03A6E24F" w14:textId="77777777" w:rsidR="00FE02EF" w:rsidRPr="00CC19F7" w:rsidRDefault="00FE02EF" w:rsidP="005A5262"/>
        </w:tc>
        <w:tc>
          <w:tcPr>
            <w:tcW w:w="5040" w:type="dxa"/>
            <w:tcBorders>
              <w:top w:val="nil"/>
              <w:left w:val="nil"/>
              <w:bottom w:val="nil"/>
              <w:right w:val="nil"/>
            </w:tcBorders>
            <w:tcMar>
              <w:top w:w="128" w:type="dxa"/>
              <w:left w:w="43" w:type="dxa"/>
              <w:bottom w:w="43" w:type="dxa"/>
              <w:right w:w="43" w:type="dxa"/>
            </w:tcMar>
          </w:tcPr>
          <w:p w14:paraId="344495CA" w14:textId="77777777" w:rsidR="00FE02EF" w:rsidRPr="00CC19F7" w:rsidRDefault="00881E58" w:rsidP="005A5262">
            <w:proofErr w:type="spellStart"/>
            <w:r w:rsidRPr="00CC19F7">
              <w:t>Noregs</w:t>
            </w:r>
            <w:proofErr w:type="spellEnd"/>
            <w:r w:rsidRPr="00CC19F7">
              <w:t xml:space="preserve"> vassdrags- og energidirektorat</w:t>
            </w:r>
          </w:p>
        </w:tc>
        <w:tc>
          <w:tcPr>
            <w:tcW w:w="1580" w:type="dxa"/>
            <w:tcBorders>
              <w:top w:val="nil"/>
              <w:left w:val="nil"/>
              <w:bottom w:val="nil"/>
              <w:right w:val="nil"/>
            </w:tcBorders>
            <w:tcMar>
              <w:top w:w="128" w:type="dxa"/>
              <w:left w:w="43" w:type="dxa"/>
              <w:bottom w:w="43" w:type="dxa"/>
              <w:right w:w="43" w:type="dxa"/>
            </w:tcMar>
            <w:vAlign w:val="bottom"/>
          </w:tcPr>
          <w:p w14:paraId="46333CDA" w14:textId="77777777" w:rsidR="00FE02EF" w:rsidRPr="00CC19F7" w:rsidRDefault="00FE02EF" w:rsidP="005A5262">
            <w:pPr>
              <w:jc w:val="right"/>
            </w:pPr>
          </w:p>
        </w:tc>
        <w:tc>
          <w:tcPr>
            <w:tcW w:w="1580" w:type="dxa"/>
            <w:tcBorders>
              <w:top w:val="nil"/>
              <w:left w:val="nil"/>
              <w:bottom w:val="nil"/>
              <w:right w:val="nil"/>
            </w:tcBorders>
            <w:tcMar>
              <w:top w:w="128" w:type="dxa"/>
              <w:left w:w="43" w:type="dxa"/>
              <w:bottom w:w="43" w:type="dxa"/>
              <w:right w:w="43" w:type="dxa"/>
            </w:tcMar>
            <w:vAlign w:val="bottom"/>
          </w:tcPr>
          <w:p w14:paraId="36B24233" w14:textId="77777777" w:rsidR="00FE02EF" w:rsidRPr="00CC19F7" w:rsidRDefault="00FE02EF" w:rsidP="005A5262">
            <w:pPr>
              <w:jc w:val="right"/>
            </w:pPr>
          </w:p>
        </w:tc>
      </w:tr>
      <w:tr w:rsidR="00FE02EF" w:rsidRPr="00CC19F7" w14:paraId="4B93B2BD" w14:textId="77777777">
        <w:trPr>
          <w:trHeight w:val="380"/>
        </w:trPr>
        <w:tc>
          <w:tcPr>
            <w:tcW w:w="680" w:type="dxa"/>
            <w:tcBorders>
              <w:top w:val="nil"/>
              <w:left w:val="nil"/>
              <w:bottom w:val="nil"/>
              <w:right w:val="nil"/>
            </w:tcBorders>
            <w:tcMar>
              <w:top w:w="128" w:type="dxa"/>
              <w:left w:w="43" w:type="dxa"/>
              <w:bottom w:w="43" w:type="dxa"/>
              <w:right w:w="43" w:type="dxa"/>
            </w:tcMar>
          </w:tcPr>
          <w:p w14:paraId="45EAEB97" w14:textId="77777777" w:rsidR="00FE02EF" w:rsidRPr="00CC19F7" w:rsidRDefault="00FE02EF" w:rsidP="005A5262"/>
        </w:tc>
        <w:tc>
          <w:tcPr>
            <w:tcW w:w="680" w:type="dxa"/>
            <w:tcBorders>
              <w:top w:val="nil"/>
              <w:left w:val="nil"/>
              <w:bottom w:val="nil"/>
              <w:right w:val="nil"/>
            </w:tcBorders>
            <w:tcMar>
              <w:top w:w="128" w:type="dxa"/>
              <w:left w:w="43" w:type="dxa"/>
              <w:bottom w:w="43" w:type="dxa"/>
              <w:right w:w="43" w:type="dxa"/>
            </w:tcMar>
          </w:tcPr>
          <w:p w14:paraId="605CD0B4" w14:textId="77777777" w:rsidR="00FE02EF" w:rsidRPr="00CC19F7" w:rsidRDefault="00881E58" w:rsidP="005A5262">
            <w:r w:rsidRPr="00CC19F7">
              <w:t>01</w:t>
            </w:r>
          </w:p>
        </w:tc>
        <w:tc>
          <w:tcPr>
            <w:tcW w:w="5040" w:type="dxa"/>
            <w:tcBorders>
              <w:top w:val="nil"/>
              <w:left w:val="nil"/>
              <w:bottom w:val="nil"/>
              <w:right w:val="nil"/>
            </w:tcBorders>
            <w:tcMar>
              <w:top w:w="128" w:type="dxa"/>
              <w:left w:w="43" w:type="dxa"/>
              <w:bottom w:w="43" w:type="dxa"/>
              <w:right w:w="43" w:type="dxa"/>
            </w:tcMar>
          </w:tcPr>
          <w:p w14:paraId="63BF62DA" w14:textId="77777777" w:rsidR="00FE02EF" w:rsidRPr="00CC19F7" w:rsidRDefault="00881E58" w:rsidP="005A5262">
            <w:r w:rsidRPr="00CC19F7">
              <w:t>Gebyrinntekter</w:t>
            </w:r>
          </w:p>
        </w:tc>
        <w:tc>
          <w:tcPr>
            <w:tcW w:w="1580" w:type="dxa"/>
            <w:tcBorders>
              <w:top w:val="nil"/>
              <w:left w:val="nil"/>
              <w:bottom w:val="nil"/>
              <w:right w:val="nil"/>
            </w:tcBorders>
            <w:tcMar>
              <w:top w:w="128" w:type="dxa"/>
              <w:left w:w="43" w:type="dxa"/>
              <w:bottom w:w="43" w:type="dxa"/>
              <w:right w:w="43" w:type="dxa"/>
            </w:tcMar>
            <w:vAlign w:val="bottom"/>
          </w:tcPr>
          <w:p w14:paraId="404040C1" w14:textId="77777777" w:rsidR="00FE02EF" w:rsidRPr="00CC19F7" w:rsidRDefault="00881E58" w:rsidP="005A5262">
            <w:pPr>
              <w:jc w:val="right"/>
            </w:pPr>
            <w:r w:rsidRPr="00CC19F7">
              <w:t>11 500 000</w:t>
            </w:r>
          </w:p>
        </w:tc>
        <w:tc>
          <w:tcPr>
            <w:tcW w:w="1580" w:type="dxa"/>
            <w:tcBorders>
              <w:top w:val="nil"/>
              <w:left w:val="nil"/>
              <w:bottom w:val="nil"/>
              <w:right w:val="nil"/>
            </w:tcBorders>
            <w:tcMar>
              <w:top w:w="128" w:type="dxa"/>
              <w:left w:w="43" w:type="dxa"/>
              <w:bottom w:w="43" w:type="dxa"/>
              <w:right w:w="43" w:type="dxa"/>
            </w:tcMar>
            <w:vAlign w:val="bottom"/>
          </w:tcPr>
          <w:p w14:paraId="7C00F3BE" w14:textId="77777777" w:rsidR="00FE02EF" w:rsidRPr="00CC19F7" w:rsidRDefault="00FE02EF" w:rsidP="005A5262">
            <w:pPr>
              <w:jc w:val="right"/>
            </w:pPr>
          </w:p>
        </w:tc>
      </w:tr>
      <w:tr w:rsidR="00FE02EF" w:rsidRPr="00CC19F7" w14:paraId="73F9CC6B" w14:textId="77777777">
        <w:trPr>
          <w:trHeight w:val="380"/>
        </w:trPr>
        <w:tc>
          <w:tcPr>
            <w:tcW w:w="680" w:type="dxa"/>
            <w:tcBorders>
              <w:top w:val="nil"/>
              <w:left w:val="nil"/>
              <w:bottom w:val="nil"/>
              <w:right w:val="nil"/>
            </w:tcBorders>
            <w:tcMar>
              <w:top w:w="128" w:type="dxa"/>
              <w:left w:w="43" w:type="dxa"/>
              <w:bottom w:w="43" w:type="dxa"/>
              <w:right w:w="43" w:type="dxa"/>
            </w:tcMar>
          </w:tcPr>
          <w:p w14:paraId="7C3CDA18" w14:textId="77777777" w:rsidR="00FE02EF" w:rsidRPr="00CC19F7" w:rsidRDefault="00FE02EF" w:rsidP="005A5262"/>
        </w:tc>
        <w:tc>
          <w:tcPr>
            <w:tcW w:w="680" w:type="dxa"/>
            <w:tcBorders>
              <w:top w:val="nil"/>
              <w:left w:val="nil"/>
              <w:bottom w:val="nil"/>
              <w:right w:val="nil"/>
            </w:tcBorders>
            <w:tcMar>
              <w:top w:w="128" w:type="dxa"/>
              <w:left w:w="43" w:type="dxa"/>
              <w:bottom w:w="43" w:type="dxa"/>
              <w:right w:w="43" w:type="dxa"/>
            </w:tcMar>
          </w:tcPr>
          <w:p w14:paraId="4587B7F7" w14:textId="77777777" w:rsidR="00FE02EF" w:rsidRPr="00CC19F7" w:rsidRDefault="00881E58" w:rsidP="005A5262">
            <w:r w:rsidRPr="00CC19F7">
              <w:t>02</w:t>
            </w:r>
          </w:p>
        </w:tc>
        <w:tc>
          <w:tcPr>
            <w:tcW w:w="5040" w:type="dxa"/>
            <w:tcBorders>
              <w:top w:val="nil"/>
              <w:left w:val="nil"/>
              <w:bottom w:val="nil"/>
              <w:right w:val="nil"/>
            </w:tcBorders>
            <w:tcMar>
              <w:top w:w="128" w:type="dxa"/>
              <w:left w:w="43" w:type="dxa"/>
              <w:bottom w:w="43" w:type="dxa"/>
              <w:right w:w="43" w:type="dxa"/>
            </w:tcMar>
          </w:tcPr>
          <w:p w14:paraId="02A95248" w14:textId="77777777" w:rsidR="00FE02EF" w:rsidRPr="00CC19F7" w:rsidRDefault="00881E58" w:rsidP="005A5262">
            <w:r w:rsidRPr="00CC19F7">
              <w:t>Oppdrags- og samarbeidsinntekter</w:t>
            </w:r>
          </w:p>
        </w:tc>
        <w:tc>
          <w:tcPr>
            <w:tcW w:w="1580" w:type="dxa"/>
            <w:tcBorders>
              <w:top w:val="nil"/>
              <w:left w:val="nil"/>
              <w:bottom w:val="nil"/>
              <w:right w:val="nil"/>
            </w:tcBorders>
            <w:tcMar>
              <w:top w:w="128" w:type="dxa"/>
              <w:left w:w="43" w:type="dxa"/>
              <w:bottom w:w="43" w:type="dxa"/>
              <w:right w:w="43" w:type="dxa"/>
            </w:tcMar>
            <w:vAlign w:val="bottom"/>
          </w:tcPr>
          <w:p w14:paraId="34C63593" w14:textId="77777777" w:rsidR="00FE02EF" w:rsidRPr="00CC19F7" w:rsidRDefault="00881E58" w:rsidP="005A5262">
            <w:pPr>
              <w:jc w:val="right"/>
            </w:pPr>
            <w:r w:rsidRPr="00CC19F7">
              <w:t>70 000 000</w:t>
            </w:r>
          </w:p>
        </w:tc>
        <w:tc>
          <w:tcPr>
            <w:tcW w:w="1580" w:type="dxa"/>
            <w:tcBorders>
              <w:top w:val="nil"/>
              <w:left w:val="nil"/>
              <w:bottom w:val="nil"/>
              <w:right w:val="nil"/>
            </w:tcBorders>
            <w:tcMar>
              <w:top w:w="128" w:type="dxa"/>
              <w:left w:w="43" w:type="dxa"/>
              <w:bottom w:w="43" w:type="dxa"/>
              <w:right w:w="43" w:type="dxa"/>
            </w:tcMar>
            <w:vAlign w:val="bottom"/>
          </w:tcPr>
          <w:p w14:paraId="330222B2" w14:textId="77777777" w:rsidR="00FE02EF" w:rsidRPr="00CC19F7" w:rsidRDefault="00FE02EF" w:rsidP="005A5262">
            <w:pPr>
              <w:jc w:val="right"/>
            </w:pPr>
          </w:p>
        </w:tc>
      </w:tr>
      <w:tr w:rsidR="00FE02EF" w:rsidRPr="00CC19F7" w14:paraId="04BFFDD8" w14:textId="77777777">
        <w:trPr>
          <w:trHeight w:val="380"/>
        </w:trPr>
        <w:tc>
          <w:tcPr>
            <w:tcW w:w="680" w:type="dxa"/>
            <w:tcBorders>
              <w:top w:val="nil"/>
              <w:left w:val="nil"/>
              <w:bottom w:val="nil"/>
              <w:right w:val="nil"/>
            </w:tcBorders>
            <w:tcMar>
              <w:top w:w="128" w:type="dxa"/>
              <w:left w:w="43" w:type="dxa"/>
              <w:bottom w:w="43" w:type="dxa"/>
              <w:right w:w="43" w:type="dxa"/>
            </w:tcMar>
          </w:tcPr>
          <w:p w14:paraId="51242932" w14:textId="77777777" w:rsidR="00FE02EF" w:rsidRPr="00CC19F7" w:rsidRDefault="00FE02EF" w:rsidP="005A5262"/>
        </w:tc>
        <w:tc>
          <w:tcPr>
            <w:tcW w:w="680" w:type="dxa"/>
            <w:tcBorders>
              <w:top w:val="nil"/>
              <w:left w:val="nil"/>
              <w:bottom w:val="nil"/>
              <w:right w:val="nil"/>
            </w:tcBorders>
            <w:tcMar>
              <w:top w:w="128" w:type="dxa"/>
              <w:left w:w="43" w:type="dxa"/>
              <w:bottom w:w="43" w:type="dxa"/>
              <w:right w:w="43" w:type="dxa"/>
            </w:tcMar>
          </w:tcPr>
          <w:p w14:paraId="734D349C" w14:textId="77777777" w:rsidR="00FE02EF" w:rsidRPr="00CC19F7" w:rsidRDefault="00881E58" w:rsidP="005A5262">
            <w:r w:rsidRPr="00CC19F7">
              <w:t>40</w:t>
            </w:r>
          </w:p>
        </w:tc>
        <w:tc>
          <w:tcPr>
            <w:tcW w:w="5040" w:type="dxa"/>
            <w:tcBorders>
              <w:top w:val="nil"/>
              <w:left w:val="nil"/>
              <w:bottom w:val="nil"/>
              <w:right w:val="nil"/>
            </w:tcBorders>
            <w:tcMar>
              <w:top w:w="128" w:type="dxa"/>
              <w:left w:w="43" w:type="dxa"/>
              <w:bottom w:w="43" w:type="dxa"/>
              <w:right w:w="43" w:type="dxa"/>
            </w:tcMar>
          </w:tcPr>
          <w:p w14:paraId="73E82F84" w14:textId="77777777" w:rsidR="00FE02EF" w:rsidRPr="00CC19F7" w:rsidRDefault="00881E58" w:rsidP="005A5262">
            <w:proofErr w:type="spellStart"/>
            <w:r w:rsidRPr="00CC19F7">
              <w:t>Flaum</w:t>
            </w:r>
            <w:proofErr w:type="spellEnd"/>
            <w:r w:rsidRPr="00CC19F7">
              <w:t xml:space="preserve">- og </w:t>
            </w:r>
            <w:proofErr w:type="spellStart"/>
            <w:r w:rsidRPr="00CC19F7">
              <w:t>skredførebygging</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2D73DC0E" w14:textId="77777777" w:rsidR="00FE02EF" w:rsidRPr="00CC19F7" w:rsidRDefault="00881E58" w:rsidP="005A5262">
            <w:pPr>
              <w:jc w:val="right"/>
            </w:pPr>
            <w:r w:rsidRPr="00CC19F7">
              <w:t>38 000 000</w:t>
            </w:r>
          </w:p>
        </w:tc>
        <w:tc>
          <w:tcPr>
            <w:tcW w:w="1580" w:type="dxa"/>
            <w:tcBorders>
              <w:top w:val="nil"/>
              <w:left w:val="nil"/>
              <w:bottom w:val="nil"/>
              <w:right w:val="nil"/>
            </w:tcBorders>
            <w:tcMar>
              <w:top w:w="128" w:type="dxa"/>
              <w:left w:w="43" w:type="dxa"/>
              <w:bottom w:w="43" w:type="dxa"/>
              <w:right w:w="43" w:type="dxa"/>
            </w:tcMar>
            <w:vAlign w:val="bottom"/>
          </w:tcPr>
          <w:p w14:paraId="50CDDDBA" w14:textId="77777777" w:rsidR="00FE02EF" w:rsidRPr="00CC19F7" w:rsidRDefault="00881E58" w:rsidP="005A5262">
            <w:pPr>
              <w:jc w:val="right"/>
            </w:pPr>
            <w:r w:rsidRPr="00CC19F7">
              <w:t>119 500 000</w:t>
            </w:r>
          </w:p>
        </w:tc>
      </w:tr>
      <w:tr w:rsidR="00FE02EF" w:rsidRPr="00CC19F7" w14:paraId="3D23CB14" w14:textId="77777777">
        <w:trPr>
          <w:trHeight w:val="380"/>
        </w:trPr>
        <w:tc>
          <w:tcPr>
            <w:tcW w:w="680" w:type="dxa"/>
            <w:tcBorders>
              <w:top w:val="nil"/>
              <w:left w:val="nil"/>
              <w:bottom w:val="nil"/>
              <w:right w:val="nil"/>
            </w:tcBorders>
            <w:tcMar>
              <w:top w:w="128" w:type="dxa"/>
              <w:left w:w="43" w:type="dxa"/>
              <w:bottom w:w="43" w:type="dxa"/>
              <w:right w:w="43" w:type="dxa"/>
            </w:tcMar>
          </w:tcPr>
          <w:p w14:paraId="5479EFB4" w14:textId="77777777" w:rsidR="00FE02EF" w:rsidRPr="00CC19F7" w:rsidRDefault="00881E58" w:rsidP="005A5262">
            <w:r w:rsidRPr="00CC19F7">
              <w:t>4860</w:t>
            </w:r>
          </w:p>
        </w:tc>
        <w:tc>
          <w:tcPr>
            <w:tcW w:w="680" w:type="dxa"/>
            <w:tcBorders>
              <w:top w:val="nil"/>
              <w:left w:val="nil"/>
              <w:bottom w:val="nil"/>
              <w:right w:val="nil"/>
            </w:tcBorders>
            <w:tcMar>
              <w:top w:w="128" w:type="dxa"/>
              <w:left w:w="43" w:type="dxa"/>
              <w:bottom w:w="43" w:type="dxa"/>
              <w:right w:w="43" w:type="dxa"/>
            </w:tcMar>
          </w:tcPr>
          <w:p w14:paraId="64EDBAFC" w14:textId="77777777" w:rsidR="00FE02EF" w:rsidRPr="00CC19F7" w:rsidRDefault="00FE02EF" w:rsidP="005A5262"/>
        </w:tc>
        <w:tc>
          <w:tcPr>
            <w:tcW w:w="5040" w:type="dxa"/>
            <w:tcBorders>
              <w:top w:val="nil"/>
              <w:left w:val="nil"/>
              <w:bottom w:val="nil"/>
              <w:right w:val="nil"/>
            </w:tcBorders>
            <w:tcMar>
              <w:top w:w="128" w:type="dxa"/>
              <w:left w:w="43" w:type="dxa"/>
              <w:bottom w:w="43" w:type="dxa"/>
              <w:right w:w="43" w:type="dxa"/>
            </w:tcMar>
          </w:tcPr>
          <w:p w14:paraId="0F2B3349" w14:textId="77777777" w:rsidR="00FE02EF" w:rsidRPr="00CC19F7" w:rsidRDefault="00881E58" w:rsidP="005A5262">
            <w:r w:rsidRPr="00CC19F7">
              <w:t>Havindustritilsynet</w:t>
            </w:r>
          </w:p>
        </w:tc>
        <w:tc>
          <w:tcPr>
            <w:tcW w:w="1580" w:type="dxa"/>
            <w:tcBorders>
              <w:top w:val="nil"/>
              <w:left w:val="nil"/>
              <w:bottom w:val="nil"/>
              <w:right w:val="nil"/>
            </w:tcBorders>
            <w:tcMar>
              <w:top w:w="128" w:type="dxa"/>
              <w:left w:w="43" w:type="dxa"/>
              <w:bottom w:w="43" w:type="dxa"/>
              <w:right w:w="43" w:type="dxa"/>
            </w:tcMar>
            <w:vAlign w:val="bottom"/>
          </w:tcPr>
          <w:p w14:paraId="075B33EA" w14:textId="77777777" w:rsidR="00FE02EF" w:rsidRPr="00CC19F7" w:rsidRDefault="00FE02EF" w:rsidP="005A5262">
            <w:pPr>
              <w:jc w:val="right"/>
            </w:pPr>
          </w:p>
        </w:tc>
        <w:tc>
          <w:tcPr>
            <w:tcW w:w="1580" w:type="dxa"/>
            <w:tcBorders>
              <w:top w:val="nil"/>
              <w:left w:val="nil"/>
              <w:bottom w:val="nil"/>
              <w:right w:val="nil"/>
            </w:tcBorders>
            <w:tcMar>
              <w:top w:w="128" w:type="dxa"/>
              <w:left w:w="43" w:type="dxa"/>
              <w:bottom w:w="43" w:type="dxa"/>
              <w:right w:w="43" w:type="dxa"/>
            </w:tcMar>
            <w:vAlign w:val="bottom"/>
          </w:tcPr>
          <w:p w14:paraId="50E35AEB" w14:textId="77777777" w:rsidR="00FE02EF" w:rsidRPr="00CC19F7" w:rsidRDefault="00FE02EF" w:rsidP="005A5262">
            <w:pPr>
              <w:jc w:val="right"/>
            </w:pPr>
          </w:p>
        </w:tc>
      </w:tr>
      <w:tr w:rsidR="00FE02EF" w:rsidRPr="00CC19F7" w14:paraId="217DC8BD" w14:textId="77777777">
        <w:trPr>
          <w:trHeight w:val="380"/>
        </w:trPr>
        <w:tc>
          <w:tcPr>
            <w:tcW w:w="680" w:type="dxa"/>
            <w:tcBorders>
              <w:top w:val="nil"/>
              <w:left w:val="nil"/>
              <w:bottom w:val="nil"/>
              <w:right w:val="nil"/>
            </w:tcBorders>
            <w:tcMar>
              <w:top w:w="128" w:type="dxa"/>
              <w:left w:w="43" w:type="dxa"/>
              <w:bottom w:w="43" w:type="dxa"/>
              <w:right w:w="43" w:type="dxa"/>
            </w:tcMar>
          </w:tcPr>
          <w:p w14:paraId="213292B6" w14:textId="77777777" w:rsidR="00FE02EF" w:rsidRPr="00CC19F7" w:rsidRDefault="00FE02EF" w:rsidP="005A5262"/>
        </w:tc>
        <w:tc>
          <w:tcPr>
            <w:tcW w:w="680" w:type="dxa"/>
            <w:tcBorders>
              <w:top w:val="nil"/>
              <w:left w:val="nil"/>
              <w:bottom w:val="nil"/>
              <w:right w:val="nil"/>
            </w:tcBorders>
            <w:tcMar>
              <w:top w:w="128" w:type="dxa"/>
              <w:left w:w="43" w:type="dxa"/>
              <w:bottom w:w="43" w:type="dxa"/>
              <w:right w:w="43" w:type="dxa"/>
            </w:tcMar>
          </w:tcPr>
          <w:p w14:paraId="2C331ECB" w14:textId="77777777" w:rsidR="00FE02EF" w:rsidRPr="00CC19F7" w:rsidRDefault="00881E58" w:rsidP="005A5262">
            <w:r w:rsidRPr="00CC19F7">
              <w:t>01</w:t>
            </w:r>
          </w:p>
        </w:tc>
        <w:tc>
          <w:tcPr>
            <w:tcW w:w="5040" w:type="dxa"/>
            <w:tcBorders>
              <w:top w:val="nil"/>
              <w:left w:val="nil"/>
              <w:bottom w:val="nil"/>
              <w:right w:val="nil"/>
            </w:tcBorders>
            <w:tcMar>
              <w:top w:w="128" w:type="dxa"/>
              <w:left w:w="43" w:type="dxa"/>
              <w:bottom w:w="43" w:type="dxa"/>
              <w:right w:w="43" w:type="dxa"/>
            </w:tcMar>
          </w:tcPr>
          <w:p w14:paraId="403120F2" w14:textId="77777777" w:rsidR="00FE02EF" w:rsidRPr="00CC19F7" w:rsidRDefault="00881E58" w:rsidP="005A5262">
            <w:r w:rsidRPr="00CC19F7">
              <w:t>Gebyrinntekter</w:t>
            </w:r>
          </w:p>
        </w:tc>
        <w:tc>
          <w:tcPr>
            <w:tcW w:w="1580" w:type="dxa"/>
            <w:tcBorders>
              <w:top w:val="nil"/>
              <w:left w:val="nil"/>
              <w:bottom w:val="nil"/>
              <w:right w:val="nil"/>
            </w:tcBorders>
            <w:tcMar>
              <w:top w:w="128" w:type="dxa"/>
              <w:left w:w="43" w:type="dxa"/>
              <w:bottom w:w="43" w:type="dxa"/>
              <w:right w:w="43" w:type="dxa"/>
            </w:tcMar>
            <w:vAlign w:val="bottom"/>
          </w:tcPr>
          <w:p w14:paraId="37C9BD87" w14:textId="77777777" w:rsidR="00FE02EF" w:rsidRPr="00CC19F7" w:rsidRDefault="00881E58" w:rsidP="005A5262">
            <w:pPr>
              <w:jc w:val="right"/>
            </w:pPr>
            <w:r w:rsidRPr="00CC19F7">
              <w:t>85 800 000</w:t>
            </w:r>
          </w:p>
        </w:tc>
        <w:tc>
          <w:tcPr>
            <w:tcW w:w="1580" w:type="dxa"/>
            <w:tcBorders>
              <w:top w:val="nil"/>
              <w:left w:val="nil"/>
              <w:bottom w:val="nil"/>
              <w:right w:val="nil"/>
            </w:tcBorders>
            <w:tcMar>
              <w:top w:w="128" w:type="dxa"/>
              <w:left w:w="43" w:type="dxa"/>
              <w:bottom w:w="43" w:type="dxa"/>
              <w:right w:w="43" w:type="dxa"/>
            </w:tcMar>
            <w:vAlign w:val="bottom"/>
          </w:tcPr>
          <w:p w14:paraId="5178C72C" w14:textId="77777777" w:rsidR="00FE02EF" w:rsidRPr="00CC19F7" w:rsidRDefault="00FE02EF" w:rsidP="005A5262">
            <w:pPr>
              <w:jc w:val="right"/>
            </w:pPr>
          </w:p>
        </w:tc>
      </w:tr>
      <w:tr w:rsidR="00FE02EF" w:rsidRPr="00CC19F7" w14:paraId="384EAB73" w14:textId="77777777">
        <w:trPr>
          <w:trHeight w:val="380"/>
        </w:trPr>
        <w:tc>
          <w:tcPr>
            <w:tcW w:w="680" w:type="dxa"/>
            <w:tcBorders>
              <w:top w:val="nil"/>
              <w:left w:val="nil"/>
              <w:bottom w:val="nil"/>
              <w:right w:val="nil"/>
            </w:tcBorders>
            <w:tcMar>
              <w:top w:w="128" w:type="dxa"/>
              <w:left w:w="43" w:type="dxa"/>
              <w:bottom w:w="43" w:type="dxa"/>
              <w:right w:w="43" w:type="dxa"/>
            </w:tcMar>
          </w:tcPr>
          <w:p w14:paraId="718AC7C2" w14:textId="77777777" w:rsidR="00FE02EF" w:rsidRPr="00CC19F7" w:rsidRDefault="00FE02EF" w:rsidP="005A5262"/>
        </w:tc>
        <w:tc>
          <w:tcPr>
            <w:tcW w:w="680" w:type="dxa"/>
            <w:tcBorders>
              <w:top w:val="nil"/>
              <w:left w:val="nil"/>
              <w:bottom w:val="nil"/>
              <w:right w:val="nil"/>
            </w:tcBorders>
            <w:tcMar>
              <w:top w:w="128" w:type="dxa"/>
              <w:left w:w="43" w:type="dxa"/>
              <w:bottom w:w="43" w:type="dxa"/>
              <w:right w:w="43" w:type="dxa"/>
            </w:tcMar>
          </w:tcPr>
          <w:p w14:paraId="741E5A28" w14:textId="77777777" w:rsidR="00FE02EF" w:rsidRPr="00CC19F7" w:rsidRDefault="00881E58" w:rsidP="005A5262">
            <w:r w:rsidRPr="00CC19F7">
              <w:t>02</w:t>
            </w:r>
          </w:p>
        </w:tc>
        <w:tc>
          <w:tcPr>
            <w:tcW w:w="5040" w:type="dxa"/>
            <w:tcBorders>
              <w:top w:val="nil"/>
              <w:left w:val="nil"/>
              <w:bottom w:val="nil"/>
              <w:right w:val="nil"/>
            </w:tcBorders>
            <w:tcMar>
              <w:top w:w="128" w:type="dxa"/>
              <w:left w:w="43" w:type="dxa"/>
              <w:bottom w:w="43" w:type="dxa"/>
              <w:right w:w="43" w:type="dxa"/>
            </w:tcMar>
          </w:tcPr>
          <w:p w14:paraId="4B7593F6" w14:textId="77777777" w:rsidR="00FE02EF" w:rsidRPr="00CC19F7" w:rsidRDefault="00881E58" w:rsidP="005A5262">
            <w:r w:rsidRPr="00CC19F7">
              <w:t>Oppdrags- og samarbeidsinntekter</w:t>
            </w:r>
          </w:p>
        </w:tc>
        <w:tc>
          <w:tcPr>
            <w:tcW w:w="1580" w:type="dxa"/>
            <w:tcBorders>
              <w:top w:val="nil"/>
              <w:left w:val="nil"/>
              <w:bottom w:val="nil"/>
              <w:right w:val="nil"/>
            </w:tcBorders>
            <w:tcMar>
              <w:top w:w="128" w:type="dxa"/>
              <w:left w:w="43" w:type="dxa"/>
              <w:bottom w:w="43" w:type="dxa"/>
              <w:right w:w="43" w:type="dxa"/>
            </w:tcMar>
            <w:vAlign w:val="bottom"/>
          </w:tcPr>
          <w:p w14:paraId="78BA1FB4" w14:textId="77777777" w:rsidR="00FE02EF" w:rsidRPr="00CC19F7" w:rsidRDefault="00881E58" w:rsidP="005A5262">
            <w:pPr>
              <w:jc w:val="right"/>
            </w:pPr>
            <w:r w:rsidRPr="00CC19F7">
              <w:t>8 900 000</w:t>
            </w:r>
          </w:p>
        </w:tc>
        <w:tc>
          <w:tcPr>
            <w:tcW w:w="1580" w:type="dxa"/>
            <w:tcBorders>
              <w:top w:val="nil"/>
              <w:left w:val="nil"/>
              <w:bottom w:val="nil"/>
              <w:right w:val="nil"/>
            </w:tcBorders>
            <w:tcMar>
              <w:top w:w="128" w:type="dxa"/>
              <w:left w:w="43" w:type="dxa"/>
              <w:bottom w:w="43" w:type="dxa"/>
              <w:right w:w="43" w:type="dxa"/>
            </w:tcMar>
            <w:vAlign w:val="bottom"/>
          </w:tcPr>
          <w:p w14:paraId="175F2658" w14:textId="77777777" w:rsidR="00FE02EF" w:rsidRPr="00CC19F7" w:rsidRDefault="00881E58" w:rsidP="005A5262">
            <w:pPr>
              <w:jc w:val="right"/>
            </w:pPr>
            <w:r w:rsidRPr="00CC19F7">
              <w:t>94 700 000</w:t>
            </w:r>
          </w:p>
        </w:tc>
      </w:tr>
      <w:tr w:rsidR="00FE02EF" w:rsidRPr="00CC19F7" w14:paraId="2D6FCFE5" w14:textId="77777777">
        <w:trPr>
          <w:trHeight w:val="380"/>
        </w:trPr>
        <w:tc>
          <w:tcPr>
            <w:tcW w:w="680" w:type="dxa"/>
            <w:tcBorders>
              <w:top w:val="nil"/>
              <w:left w:val="nil"/>
              <w:bottom w:val="nil"/>
              <w:right w:val="nil"/>
            </w:tcBorders>
            <w:tcMar>
              <w:top w:w="128" w:type="dxa"/>
              <w:left w:w="43" w:type="dxa"/>
              <w:bottom w:w="43" w:type="dxa"/>
              <w:right w:w="43" w:type="dxa"/>
            </w:tcMar>
          </w:tcPr>
          <w:p w14:paraId="3D143E6F" w14:textId="77777777" w:rsidR="00FE02EF" w:rsidRPr="00CC19F7" w:rsidRDefault="00FE02EF" w:rsidP="005A5262"/>
        </w:tc>
        <w:tc>
          <w:tcPr>
            <w:tcW w:w="680" w:type="dxa"/>
            <w:tcBorders>
              <w:top w:val="nil"/>
              <w:left w:val="nil"/>
              <w:bottom w:val="nil"/>
              <w:right w:val="nil"/>
            </w:tcBorders>
            <w:tcMar>
              <w:top w:w="128" w:type="dxa"/>
              <w:left w:w="43" w:type="dxa"/>
              <w:bottom w:w="43" w:type="dxa"/>
              <w:right w:w="43" w:type="dxa"/>
            </w:tcMar>
          </w:tcPr>
          <w:p w14:paraId="4CABF221" w14:textId="77777777" w:rsidR="00FE02EF" w:rsidRPr="00CC19F7" w:rsidRDefault="00FE02EF" w:rsidP="005A5262"/>
        </w:tc>
        <w:tc>
          <w:tcPr>
            <w:tcW w:w="5040" w:type="dxa"/>
            <w:tcBorders>
              <w:top w:val="nil"/>
              <w:left w:val="nil"/>
              <w:bottom w:val="nil"/>
              <w:right w:val="nil"/>
            </w:tcBorders>
            <w:tcMar>
              <w:top w:w="128" w:type="dxa"/>
              <w:left w:w="43" w:type="dxa"/>
              <w:bottom w:w="43" w:type="dxa"/>
              <w:right w:w="43" w:type="dxa"/>
            </w:tcMar>
          </w:tcPr>
          <w:p w14:paraId="7B74B29A" w14:textId="77777777" w:rsidR="00FE02EF" w:rsidRPr="00CC19F7" w:rsidRDefault="00881E58" w:rsidP="005A5262">
            <w:r w:rsidRPr="00CC19F7">
              <w:t>Sum Ordinære inntekter</w:t>
            </w:r>
          </w:p>
        </w:tc>
        <w:tc>
          <w:tcPr>
            <w:tcW w:w="1580" w:type="dxa"/>
            <w:tcBorders>
              <w:top w:val="nil"/>
              <w:left w:val="nil"/>
              <w:bottom w:val="nil"/>
              <w:right w:val="nil"/>
            </w:tcBorders>
            <w:tcMar>
              <w:top w:w="128" w:type="dxa"/>
              <w:left w:w="43" w:type="dxa"/>
              <w:bottom w:w="43" w:type="dxa"/>
              <w:right w:w="43" w:type="dxa"/>
            </w:tcMar>
            <w:vAlign w:val="bottom"/>
          </w:tcPr>
          <w:p w14:paraId="46F4BD40" w14:textId="77777777" w:rsidR="00FE02EF" w:rsidRPr="00CC19F7" w:rsidRDefault="00FE02EF" w:rsidP="005A5262">
            <w:pPr>
              <w:jc w:val="right"/>
            </w:pPr>
          </w:p>
        </w:tc>
        <w:tc>
          <w:tcPr>
            <w:tcW w:w="1580" w:type="dxa"/>
            <w:tcBorders>
              <w:top w:val="nil"/>
              <w:left w:val="nil"/>
              <w:bottom w:val="nil"/>
              <w:right w:val="nil"/>
            </w:tcBorders>
            <w:tcMar>
              <w:top w:w="128" w:type="dxa"/>
              <w:left w:w="43" w:type="dxa"/>
              <w:bottom w:w="43" w:type="dxa"/>
              <w:right w:w="43" w:type="dxa"/>
            </w:tcMar>
            <w:vAlign w:val="bottom"/>
          </w:tcPr>
          <w:p w14:paraId="360D0B1B" w14:textId="77777777" w:rsidR="00FE02EF" w:rsidRPr="00CC19F7" w:rsidRDefault="00881E58" w:rsidP="005A5262">
            <w:pPr>
              <w:jc w:val="right"/>
            </w:pPr>
            <w:r w:rsidRPr="00CC19F7">
              <w:t>304 700 000</w:t>
            </w:r>
          </w:p>
        </w:tc>
      </w:tr>
      <w:tr w:rsidR="00FE02EF" w:rsidRPr="00CC19F7" w14:paraId="22270D80" w14:textId="77777777">
        <w:trPr>
          <w:trHeight w:val="380"/>
        </w:trPr>
        <w:tc>
          <w:tcPr>
            <w:tcW w:w="9560" w:type="dxa"/>
            <w:gridSpan w:val="5"/>
            <w:tcBorders>
              <w:top w:val="nil"/>
              <w:left w:val="nil"/>
              <w:bottom w:val="nil"/>
              <w:right w:val="nil"/>
            </w:tcBorders>
            <w:tcMar>
              <w:top w:w="128" w:type="dxa"/>
              <w:left w:w="43" w:type="dxa"/>
              <w:bottom w:w="43" w:type="dxa"/>
              <w:right w:w="43" w:type="dxa"/>
            </w:tcMar>
          </w:tcPr>
          <w:p w14:paraId="358749CD" w14:textId="77777777" w:rsidR="00FE02EF" w:rsidRPr="00CC19F7" w:rsidRDefault="00881E58" w:rsidP="005A5262">
            <w:pPr>
              <w:jc w:val="center"/>
            </w:pPr>
            <w:proofErr w:type="spellStart"/>
            <w:r w:rsidRPr="00CC19F7">
              <w:t>Skattar</w:t>
            </w:r>
            <w:proofErr w:type="spellEnd"/>
            <w:r w:rsidRPr="00CC19F7">
              <w:t xml:space="preserve"> og avgifter</w:t>
            </w:r>
          </w:p>
        </w:tc>
      </w:tr>
      <w:tr w:rsidR="00FE02EF" w:rsidRPr="00CC19F7" w14:paraId="2586FAD3" w14:textId="77777777">
        <w:trPr>
          <w:trHeight w:val="380"/>
        </w:trPr>
        <w:tc>
          <w:tcPr>
            <w:tcW w:w="680" w:type="dxa"/>
            <w:tcBorders>
              <w:top w:val="nil"/>
              <w:left w:val="nil"/>
              <w:bottom w:val="nil"/>
              <w:right w:val="nil"/>
            </w:tcBorders>
            <w:tcMar>
              <w:top w:w="128" w:type="dxa"/>
              <w:left w:w="43" w:type="dxa"/>
              <w:bottom w:w="43" w:type="dxa"/>
              <w:right w:w="43" w:type="dxa"/>
            </w:tcMar>
          </w:tcPr>
          <w:p w14:paraId="4F3D9AAD" w14:textId="77777777" w:rsidR="00FE02EF" w:rsidRPr="00CC19F7" w:rsidRDefault="00881E58" w:rsidP="005A5262">
            <w:r w:rsidRPr="00CC19F7">
              <w:t>5582</w:t>
            </w:r>
          </w:p>
        </w:tc>
        <w:tc>
          <w:tcPr>
            <w:tcW w:w="680" w:type="dxa"/>
            <w:tcBorders>
              <w:top w:val="nil"/>
              <w:left w:val="nil"/>
              <w:bottom w:val="nil"/>
              <w:right w:val="nil"/>
            </w:tcBorders>
            <w:tcMar>
              <w:top w:w="128" w:type="dxa"/>
              <w:left w:w="43" w:type="dxa"/>
              <w:bottom w:w="43" w:type="dxa"/>
              <w:right w:w="43" w:type="dxa"/>
            </w:tcMar>
          </w:tcPr>
          <w:p w14:paraId="0963BB03" w14:textId="77777777" w:rsidR="00FE02EF" w:rsidRPr="00CC19F7" w:rsidRDefault="00FE02EF" w:rsidP="005A5262"/>
        </w:tc>
        <w:tc>
          <w:tcPr>
            <w:tcW w:w="5040" w:type="dxa"/>
            <w:tcBorders>
              <w:top w:val="nil"/>
              <w:left w:val="nil"/>
              <w:bottom w:val="nil"/>
              <w:right w:val="nil"/>
            </w:tcBorders>
            <w:tcMar>
              <w:top w:w="128" w:type="dxa"/>
              <w:left w:w="43" w:type="dxa"/>
              <w:bottom w:w="43" w:type="dxa"/>
              <w:right w:w="43" w:type="dxa"/>
            </w:tcMar>
          </w:tcPr>
          <w:p w14:paraId="520A2599" w14:textId="77777777" w:rsidR="00FE02EF" w:rsidRPr="00CC19F7" w:rsidRDefault="00881E58" w:rsidP="005A5262">
            <w:r w:rsidRPr="00CC19F7">
              <w:t>Sektoravgifter under Olje- og energidepartementet</w:t>
            </w:r>
          </w:p>
        </w:tc>
        <w:tc>
          <w:tcPr>
            <w:tcW w:w="1580" w:type="dxa"/>
            <w:tcBorders>
              <w:top w:val="nil"/>
              <w:left w:val="nil"/>
              <w:bottom w:val="nil"/>
              <w:right w:val="nil"/>
            </w:tcBorders>
            <w:tcMar>
              <w:top w:w="128" w:type="dxa"/>
              <w:left w:w="43" w:type="dxa"/>
              <w:bottom w:w="43" w:type="dxa"/>
              <w:right w:w="43" w:type="dxa"/>
            </w:tcMar>
            <w:vAlign w:val="bottom"/>
          </w:tcPr>
          <w:p w14:paraId="6A5151AB" w14:textId="77777777" w:rsidR="00FE02EF" w:rsidRPr="00CC19F7" w:rsidRDefault="00FE02EF" w:rsidP="005A5262">
            <w:pPr>
              <w:jc w:val="right"/>
            </w:pPr>
          </w:p>
        </w:tc>
        <w:tc>
          <w:tcPr>
            <w:tcW w:w="1580" w:type="dxa"/>
            <w:tcBorders>
              <w:top w:val="nil"/>
              <w:left w:val="nil"/>
              <w:bottom w:val="nil"/>
              <w:right w:val="nil"/>
            </w:tcBorders>
            <w:tcMar>
              <w:top w:w="128" w:type="dxa"/>
              <w:left w:w="43" w:type="dxa"/>
              <w:bottom w:w="43" w:type="dxa"/>
              <w:right w:w="43" w:type="dxa"/>
            </w:tcMar>
            <w:vAlign w:val="bottom"/>
          </w:tcPr>
          <w:p w14:paraId="4CB70D53" w14:textId="77777777" w:rsidR="00FE02EF" w:rsidRPr="00CC19F7" w:rsidRDefault="00FE02EF" w:rsidP="005A5262">
            <w:pPr>
              <w:jc w:val="right"/>
            </w:pPr>
          </w:p>
        </w:tc>
      </w:tr>
      <w:tr w:rsidR="00FE02EF" w:rsidRPr="00CC19F7" w14:paraId="1690E24B" w14:textId="77777777">
        <w:trPr>
          <w:trHeight w:val="380"/>
        </w:trPr>
        <w:tc>
          <w:tcPr>
            <w:tcW w:w="680" w:type="dxa"/>
            <w:tcBorders>
              <w:top w:val="nil"/>
              <w:left w:val="nil"/>
              <w:bottom w:val="nil"/>
              <w:right w:val="nil"/>
            </w:tcBorders>
            <w:tcMar>
              <w:top w:w="128" w:type="dxa"/>
              <w:left w:w="43" w:type="dxa"/>
              <w:bottom w:w="43" w:type="dxa"/>
              <w:right w:w="43" w:type="dxa"/>
            </w:tcMar>
          </w:tcPr>
          <w:p w14:paraId="46514A0B" w14:textId="77777777" w:rsidR="00FE02EF" w:rsidRPr="00CC19F7" w:rsidRDefault="00FE02EF" w:rsidP="005A5262"/>
        </w:tc>
        <w:tc>
          <w:tcPr>
            <w:tcW w:w="680" w:type="dxa"/>
            <w:tcBorders>
              <w:top w:val="nil"/>
              <w:left w:val="nil"/>
              <w:bottom w:val="nil"/>
              <w:right w:val="nil"/>
            </w:tcBorders>
            <w:tcMar>
              <w:top w:w="128" w:type="dxa"/>
              <w:left w:w="43" w:type="dxa"/>
              <w:bottom w:w="43" w:type="dxa"/>
              <w:right w:w="43" w:type="dxa"/>
            </w:tcMar>
          </w:tcPr>
          <w:p w14:paraId="37925639" w14:textId="77777777" w:rsidR="00FE02EF" w:rsidRPr="00CC19F7" w:rsidRDefault="00881E58" w:rsidP="005A5262">
            <w:r w:rsidRPr="00CC19F7">
              <w:t>70</w:t>
            </w:r>
          </w:p>
        </w:tc>
        <w:tc>
          <w:tcPr>
            <w:tcW w:w="5040" w:type="dxa"/>
            <w:tcBorders>
              <w:top w:val="nil"/>
              <w:left w:val="nil"/>
              <w:bottom w:val="nil"/>
              <w:right w:val="nil"/>
            </w:tcBorders>
            <w:tcMar>
              <w:top w:w="128" w:type="dxa"/>
              <w:left w:w="43" w:type="dxa"/>
              <w:bottom w:w="43" w:type="dxa"/>
              <w:right w:w="43" w:type="dxa"/>
            </w:tcMar>
          </w:tcPr>
          <w:p w14:paraId="04029477" w14:textId="77777777" w:rsidR="00FE02EF" w:rsidRPr="00CC19F7" w:rsidRDefault="00881E58" w:rsidP="005A5262">
            <w:r w:rsidRPr="00CC19F7">
              <w:t>Bidrag til kulturminnevern i regulerte vassdrag</w:t>
            </w:r>
          </w:p>
        </w:tc>
        <w:tc>
          <w:tcPr>
            <w:tcW w:w="1580" w:type="dxa"/>
            <w:tcBorders>
              <w:top w:val="nil"/>
              <w:left w:val="nil"/>
              <w:bottom w:val="nil"/>
              <w:right w:val="nil"/>
            </w:tcBorders>
            <w:tcMar>
              <w:top w:w="128" w:type="dxa"/>
              <w:left w:w="43" w:type="dxa"/>
              <w:bottom w:w="43" w:type="dxa"/>
              <w:right w:w="43" w:type="dxa"/>
            </w:tcMar>
            <w:vAlign w:val="bottom"/>
          </w:tcPr>
          <w:p w14:paraId="72063ED7" w14:textId="77777777" w:rsidR="00FE02EF" w:rsidRPr="00CC19F7" w:rsidRDefault="00881E58" w:rsidP="005A5262">
            <w:pPr>
              <w:jc w:val="right"/>
            </w:pPr>
            <w:r w:rsidRPr="00CC19F7">
              <w:t>2 000 000</w:t>
            </w:r>
          </w:p>
        </w:tc>
        <w:tc>
          <w:tcPr>
            <w:tcW w:w="1580" w:type="dxa"/>
            <w:tcBorders>
              <w:top w:val="nil"/>
              <w:left w:val="nil"/>
              <w:bottom w:val="nil"/>
              <w:right w:val="nil"/>
            </w:tcBorders>
            <w:tcMar>
              <w:top w:w="128" w:type="dxa"/>
              <w:left w:w="43" w:type="dxa"/>
              <w:bottom w:w="43" w:type="dxa"/>
              <w:right w:w="43" w:type="dxa"/>
            </w:tcMar>
            <w:vAlign w:val="bottom"/>
          </w:tcPr>
          <w:p w14:paraId="74A5C559" w14:textId="77777777" w:rsidR="00FE02EF" w:rsidRPr="00CC19F7" w:rsidRDefault="00FE02EF" w:rsidP="005A5262">
            <w:pPr>
              <w:jc w:val="right"/>
            </w:pPr>
          </w:p>
        </w:tc>
      </w:tr>
      <w:tr w:rsidR="00FE02EF" w:rsidRPr="00CC19F7" w14:paraId="32FFACB8" w14:textId="77777777">
        <w:trPr>
          <w:trHeight w:val="380"/>
        </w:trPr>
        <w:tc>
          <w:tcPr>
            <w:tcW w:w="680" w:type="dxa"/>
            <w:tcBorders>
              <w:top w:val="nil"/>
              <w:left w:val="nil"/>
              <w:bottom w:val="nil"/>
              <w:right w:val="nil"/>
            </w:tcBorders>
            <w:tcMar>
              <w:top w:w="128" w:type="dxa"/>
              <w:left w:w="43" w:type="dxa"/>
              <w:bottom w:w="43" w:type="dxa"/>
              <w:right w:w="43" w:type="dxa"/>
            </w:tcMar>
          </w:tcPr>
          <w:p w14:paraId="4F460D92" w14:textId="77777777" w:rsidR="00FE02EF" w:rsidRPr="00CC19F7" w:rsidRDefault="00FE02EF" w:rsidP="005A5262"/>
        </w:tc>
        <w:tc>
          <w:tcPr>
            <w:tcW w:w="680" w:type="dxa"/>
            <w:tcBorders>
              <w:top w:val="nil"/>
              <w:left w:val="nil"/>
              <w:bottom w:val="nil"/>
              <w:right w:val="nil"/>
            </w:tcBorders>
            <w:tcMar>
              <w:top w:w="128" w:type="dxa"/>
              <w:left w:w="43" w:type="dxa"/>
              <w:bottom w:w="43" w:type="dxa"/>
              <w:right w:w="43" w:type="dxa"/>
            </w:tcMar>
          </w:tcPr>
          <w:p w14:paraId="4D8367F7" w14:textId="77777777" w:rsidR="00FE02EF" w:rsidRPr="00CC19F7" w:rsidRDefault="00881E58" w:rsidP="005A5262">
            <w:r w:rsidRPr="00CC19F7">
              <w:t>71</w:t>
            </w:r>
          </w:p>
        </w:tc>
        <w:tc>
          <w:tcPr>
            <w:tcW w:w="5040" w:type="dxa"/>
            <w:tcBorders>
              <w:top w:val="nil"/>
              <w:left w:val="nil"/>
              <w:bottom w:val="nil"/>
              <w:right w:val="nil"/>
            </w:tcBorders>
            <w:tcMar>
              <w:top w:w="128" w:type="dxa"/>
              <w:left w:w="43" w:type="dxa"/>
              <w:bottom w:w="43" w:type="dxa"/>
              <w:right w:w="43" w:type="dxa"/>
            </w:tcMar>
          </w:tcPr>
          <w:p w14:paraId="453844F9" w14:textId="77777777" w:rsidR="00FE02EF" w:rsidRPr="00CC19F7" w:rsidRDefault="00881E58" w:rsidP="005A5262">
            <w:r w:rsidRPr="00CC19F7">
              <w:t xml:space="preserve">Konsesjonsavgifter </w:t>
            </w:r>
            <w:proofErr w:type="spellStart"/>
            <w:r w:rsidRPr="00CC19F7">
              <w:t>frå</w:t>
            </w:r>
            <w:proofErr w:type="spellEnd"/>
            <w:r w:rsidRPr="00CC19F7">
              <w:t xml:space="preserve"> vasskraftutbygging</w:t>
            </w:r>
          </w:p>
        </w:tc>
        <w:tc>
          <w:tcPr>
            <w:tcW w:w="1580" w:type="dxa"/>
            <w:tcBorders>
              <w:top w:val="nil"/>
              <w:left w:val="nil"/>
              <w:bottom w:val="nil"/>
              <w:right w:val="nil"/>
            </w:tcBorders>
            <w:tcMar>
              <w:top w:w="128" w:type="dxa"/>
              <w:left w:w="43" w:type="dxa"/>
              <w:bottom w:w="43" w:type="dxa"/>
              <w:right w:w="43" w:type="dxa"/>
            </w:tcMar>
            <w:vAlign w:val="bottom"/>
          </w:tcPr>
          <w:p w14:paraId="1ABAE0EC" w14:textId="77777777" w:rsidR="00FE02EF" w:rsidRPr="00CC19F7" w:rsidRDefault="00881E58" w:rsidP="005A5262">
            <w:pPr>
              <w:jc w:val="right"/>
            </w:pPr>
            <w:r w:rsidRPr="00CC19F7">
              <w:t>186 600 000</w:t>
            </w:r>
          </w:p>
        </w:tc>
        <w:tc>
          <w:tcPr>
            <w:tcW w:w="1580" w:type="dxa"/>
            <w:tcBorders>
              <w:top w:val="nil"/>
              <w:left w:val="nil"/>
              <w:bottom w:val="nil"/>
              <w:right w:val="nil"/>
            </w:tcBorders>
            <w:tcMar>
              <w:top w:w="128" w:type="dxa"/>
              <w:left w:w="43" w:type="dxa"/>
              <w:bottom w:w="43" w:type="dxa"/>
              <w:right w:w="43" w:type="dxa"/>
            </w:tcMar>
            <w:vAlign w:val="bottom"/>
          </w:tcPr>
          <w:p w14:paraId="0E5376C2" w14:textId="77777777" w:rsidR="00FE02EF" w:rsidRPr="00CC19F7" w:rsidRDefault="00FE02EF" w:rsidP="005A5262">
            <w:pPr>
              <w:jc w:val="right"/>
            </w:pPr>
          </w:p>
        </w:tc>
      </w:tr>
      <w:tr w:rsidR="00FE02EF" w:rsidRPr="00CC19F7" w14:paraId="3A401D39" w14:textId="77777777">
        <w:trPr>
          <w:trHeight w:val="640"/>
        </w:trPr>
        <w:tc>
          <w:tcPr>
            <w:tcW w:w="680" w:type="dxa"/>
            <w:tcBorders>
              <w:top w:val="nil"/>
              <w:left w:val="nil"/>
              <w:bottom w:val="nil"/>
              <w:right w:val="nil"/>
            </w:tcBorders>
            <w:tcMar>
              <w:top w:w="128" w:type="dxa"/>
              <w:left w:w="43" w:type="dxa"/>
              <w:bottom w:w="43" w:type="dxa"/>
              <w:right w:w="43" w:type="dxa"/>
            </w:tcMar>
          </w:tcPr>
          <w:p w14:paraId="1591EA2F" w14:textId="77777777" w:rsidR="00FE02EF" w:rsidRPr="00CC19F7" w:rsidRDefault="00FE02EF" w:rsidP="005A5262"/>
        </w:tc>
        <w:tc>
          <w:tcPr>
            <w:tcW w:w="680" w:type="dxa"/>
            <w:tcBorders>
              <w:top w:val="nil"/>
              <w:left w:val="nil"/>
              <w:bottom w:val="nil"/>
              <w:right w:val="nil"/>
            </w:tcBorders>
            <w:tcMar>
              <w:top w:w="128" w:type="dxa"/>
              <w:left w:w="43" w:type="dxa"/>
              <w:bottom w:w="43" w:type="dxa"/>
              <w:right w:w="43" w:type="dxa"/>
            </w:tcMar>
          </w:tcPr>
          <w:p w14:paraId="19D1D0AA" w14:textId="77777777" w:rsidR="00FE02EF" w:rsidRPr="00CC19F7" w:rsidRDefault="00881E58" w:rsidP="005A5262">
            <w:r w:rsidRPr="00CC19F7">
              <w:t>72</w:t>
            </w:r>
          </w:p>
        </w:tc>
        <w:tc>
          <w:tcPr>
            <w:tcW w:w="5040" w:type="dxa"/>
            <w:tcBorders>
              <w:top w:val="nil"/>
              <w:left w:val="nil"/>
              <w:bottom w:val="nil"/>
              <w:right w:val="nil"/>
            </w:tcBorders>
            <w:tcMar>
              <w:top w:w="128" w:type="dxa"/>
              <w:left w:w="43" w:type="dxa"/>
              <w:bottom w:w="43" w:type="dxa"/>
              <w:right w:w="43" w:type="dxa"/>
            </w:tcMar>
          </w:tcPr>
          <w:p w14:paraId="213EB717" w14:textId="77777777" w:rsidR="00FE02EF" w:rsidRPr="00CC19F7" w:rsidRDefault="00881E58" w:rsidP="005A5262">
            <w:r w:rsidRPr="00CC19F7">
              <w:t xml:space="preserve">Sektoravgifter under </w:t>
            </w:r>
            <w:proofErr w:type="spellStart"/>
            <w:r w:rsidRPr="00CC19F7">
              <w:t>Noregs</w:t>
            </w:r>
            <w:proofErr w:type="spellEnd"/>
            <w:r w:rsidRPr="00CC19F7">
              <w:t xml:space="preserve"> vassdrags- og </w:t>
            </w:r>
            <w:r w:rsidRPr="00CC19F7">
              <w:br/>
              <w:t>energidirektorat</w:t>
            </w:r>
          </w:p>
        </w:tc>
        <w:tc>
          <w:tcPr>
            <w:tcW w:w="1580" w:type="dxa"/>
            <w:tcBorders>
              <w:top w:val="nil"/>
              <w:left w:val="nil"/>
              <w:bottom w:val="nil"/>
              <w:right w:val="nil"/>
            </w:tcBorders>
            <w:tcMar>
              <w:top w:w="128" w:type="dxa"/>
              <w:left w:w="43" w:type="dxa"/>
              <w:bottom w:w="43" w:type="dxa"/>
              <w:right w:w="43" w:type="dxa"/>
            </w:tcMar>
            <w:vAlign w:val="bottom"/>
          </w:tcPr>
          <w:p w14:paraId="7E02C312" w14:textId="77777777" w:rsidR="00FE02EF" w:rsidRPr="00CC19F7" w:rsidRDefault="00881E58" w:rsidP="005A5262">
            <w:pPr>
              <w:jc w:val="right"/>
            </w:pPr>
            <w:r w:rsidRPr="00CC19F7">
              <w:t>140 000 000</w:t>
            </w:r>
          </w:p>
        </w:tc>
        <w:tc>
          <w:tcPr>
            <w:tcW w:w="1580" w:type="dxa"/>
            <w:tcBorders>
              <w:top w:val="nil"/>
              <w:left w:val="nil"/>
              <w:bottom w:val="nil"/>
              <w:right w:val="nil"/>
            </w:tcBorders>
            <w:tcMar>
              <w:top w:w="128" w:type="dxa"/>
              <w:left w:w="43" w:type="dxa"/>
              <w:bottom w:w="43" w:type="dxa"/>
              <w:right w:w="43" w:type="dxa"/>
            </w:tcMar>
            <w:vAlign w:val="bottom"/>
          </w:tcPr>
          <w:p w14:paraId="4B0281F3" w14:textId="77777777" w:rsidR="00FE02EF" w:rsidRPr="00CC19F7" w:rsidRDefault="00FE02EF" w:rsidP="005A5262">
            <w:pPr>
              <w:jc w:val="right"/>
            </w:pPr>
          </w:p>
        </w:tc>
      </w:tr>
      <w:tr w:rsidR="00FE02EF" w:rsidRPr="00CC19F7" w14:paraId="135D9C26" w14:textId="77777777">
        <w:trPr>
          <w:trHeight w:val="380"/>
        </w:trPr>
        <w:tc>
          <w:tcPr>
            <w:tcW w:w="680" w:type="dxa"/>
            <w:tcBorders>
              <w:top w:val="nil"/>
              <w:left w:val="nil"/>
              <w:bottom w:val="nil"/>
              <w:right w:val="nil"/>
            </w:tcBorders>
            <w:tcMar>
              <w:top w:w="128" w:type="dxa"/>
              <w:left w:w="43" w:type="dxa"/>
              <w:bottom w:w="43" w:type="dxa"/>
              <w:right w:w="43" w:type="dxa"/>
            </w:tcMar>
          </w:tcPr>
          <w:p w14:paraId="48ADD44C" w14:textId="77777777" w:rsidR="00FE02EF" w:rsidRPr="00CC19F7" w:rsidRDefault="00FE02EF" w:rsidP="005A5262"/>
        </w:tc>
        <w:tc>
          <w:tcPr>
            <w:tcW w:w="680" w:type="dxa"/>
            <w:tcBorders>
              <w:top w:val="nil"/>
              <w:left w:val="nil"/>
              <w:bottom w:val="nil"/>
              <w:right w:val="nil"/>
            </w:tcBorders>
            <w:tcMar>
              <w:top w:w="128" w:type="dxa"/>
              <w:left w:w="43" w:type="dxa"/>
              <w:bottom w:w="43" w:type="dxa"/>
              <w:right w:w="43" w:type="dxa"/>
            </w:tcMar>
          </w:tcPr>
          <w:p w14:paraId="4FB6311D" w14:textId="77777777" w:rsidR="00FE02EF" w:rsidRPr="00CC19F7" w:rsidRDefault="00881E58" w:rsidP="005A5262">
            <w:r w:rsidRPr="00CC19F7">
              <w:t>75</w:t>
            </w:r>
          </w:p>
        </w:tc>
        <w:tc>
          <w:tcPr>
            <w:tcW w:w="5040" w:type="dxa"/>
            <w:tcBorders>
              <w:top w:val="nil"/>
              <w:left w:val="nil"/>
              <w:bottom w:val="nil"/>
              <w:right w:val="nil"/>
            </w:tcBorders>
            <w:tcMar>
              <w:top w:w="128" w:type="dxa"/>
              <w:left w:w="43" w:type="dxa"/>
              <w:bottom w:w="43" w:type="dxa"/>
              <w:right w:w="43" w:type="dxa"/>
            </w:tcMar>
          </w:tcPr>
          <w:p w14:paraId="1B8706A5" w14:textId="77777777" w:rsidR="00FE02EF" w:rsidRPr="00CC19F7" w:rsidRDefault="00881E58" w:rsidP="005A5262">
            <w:r w:rsidRPr="00CC19F7">
              <w:t>Sektoravgifter under Havindustritilsynet</w:t>
            </w:r>
          </w:p>
        </w:tc>
        <w:tc>
          <w:tcPr>
            <w:tcW w:w="1580" w:type="dxa"/>
            <w:tcBorders>
              <w:top w:val="nil"/>
              <w:left w:val="nil"/>
              <w:bottom w:val="nil"/>
              <w:right w:val="nil"/>
            </w:tcBorders>
            <w:tcMar>
              <w:top w:w="128" w:type="dxa"/>
              <w:left w:w="43" w:type="dxa"/>
              <w:bottom w:w="43" w:type="dxa"/>
              <w:right w:w="43" w:type="dxa"/>
            </w:tcMar>
            <w:vAlign w:val="bottom"/>
          </w:tcPr>
          <w:p w14:paraId="2616AB01" w14:textId="77777777" w:rsidR="00FE02EF" w:rsidRPr="00CC19F7" w:rsidRDefault="00881E58" w:rsidP="005A5262">
            <w:pPr>
              <w:jc w:val="right"/>
            </w:pPr>
            <w:r w:rsidRPr="00CC19F7">
              <w:t>134 933 000</w:t>
            </w:r>
          </w:p>
        </w:tc>
        <w:tc>
          <w:tcPr>
            <w:tcW w:w="1580" w:type="dxa"/>
            <w:tcBorders>
              <w:top w:val="nil"/>
              <w:left w:val="nil"/>
              <w:bottom w:val="nil"/>
              <w:right w:val="nil"/>
            </w:tcBorders>
            <w:tcMar>
              <w:top w:w="128" w:type="dxa"/>
              <w:left w:w="43" w:type="dxa"/>
              <w:bottom w:w="43" w:type="dxa"/>
              <w:right w:w="43" w:type="dxa"/>
            </w:tcMar>
            <w:vAlign w:val="bottom"/>
          </w:tcPr>
          <w:p w14:paraId="4EAB0EA5" w14:textId="77777777" w:rsidR="00FE02EF" w:rsidRPr="00CC19F7" w:rsidRDefault="00881E58" w:rsidP="005A5262">
            <w:pPr>
              <w:jc w:val="right"/>
            </w:pPr>
            <w:r w:rsidRPr="00CC19F7">
              <w:t>463 533 000</w:t>
            </w:r>
          </w:p>
        </w:tc>
      </w:tr>
      <w:tr w:rsidR="00FE02EF" w:rsidRPr="00CC19F7" w14:paraId="3E1280AB" w14:textId="77777777">
        <w:trPr>
          <w:trHeight w:val="380"/>
        </w:trPr>
        <w:tc>
          <w:tcPr>
            <w:tcW w:w="680" w:type="dxa"/>
            <w:tcBorders>
              <w:top w:val="nil"/>
              <w:left w:val="nil"/>
              <w:bottom w:val="nil"/>
              <w:right w:val="nil"/>
            </w:tcBorders>
            <w:tcMar>
              <w:top w:w="128" w:type="dxa"/>
              <w:left w:w="43" w:type="dxa"/>
              <w:bottom w:w="43" w:type="dxa"/>
              <w:right w:w="43" w:type="dxa"/>
            </w:tcMar>
          </w:tcPr>
          <w:p w14:paraId="093C06DE" w14:textId="77777777" w:rsidR="00FE02EF" w:rsidRPr="00CC19F7" w:rsidRDefault="00FE02EF" w:rsidP="005A5262"/>
        </w:tc>
        <w:tc>
          <w:tcPr>
            <w:tcW w:w="680" w:type="dxa"/>
            <w:tcBorders>
              <w:top w:val="nil"/>
              <w:left w:val="nil"/>
              <w:bottom w:val="nil"/>
              <w:right w:val="nil"/>
            </w:tcBorders>
            <w:tcMar>
              <w:top w:w="128" w:type="dxa"/>
              <w:left w:w="43" w:type="dxa"/>
              <w:bottom w:w="43" w:type="dxa"/>
              <w:right w:w="43" w:type="dxa"/>
            </w:tcMar>
          </w:tcPr>
          <w:p w14:paraId="5EE03ACE" w14:textId="77777777" w:rsidR="00FE02EF" w:rsidRPr="00CC19F7" w:rsidRDefault="00FE02EF" w:rsidP="005A5262"/>
        </w:tc>
        <w:tc>
          <w:tcPr>
            <w:tcW w:w="5040" w:type="dxa"/>
            <w:tcBorders>
              <w:top w:val="nil"/>
              <w:left w:val="nil"/>
              <w:bottom w:val="nil"/>
              <w:right w:val="nil"/>
            </w:tcBorders>
            <w:tcMar>
              <w:top w:w="128" w:type="dxa"/>
              <w:left w:w="43" w:type="dxa"/>
              <w:bottom w:w="43" w:type="dxa"/>
              <w:right w:w="43" w:type="dxa"/>
            </w:tcMar>
          </w:tcPr>
          <w:p w14:paraId="5B3CC79A" w14:textId="77777777" w:rsidR="00FE02EF" w:rsidRPr="00CC19F7" w:rsidRDefault="00881E58" w:rsidP="005A5262">
            <w:r w:rsidRPr="00CC19F7">
              <w:t>Sum Skatter og avgifter</w:t>
            </w:r>
          </w:p>
        </w:tc>
        <w:tc>
          <w:tcPr>
            <w:tcW w:w="1580" w:type="dxa"/>
            <w:tcBorders>
              <w:top w:val="nil"/>
              <w:left w:val="nil"/>
              <w:bottom w:val="nil"/>
              <w:right w:val="nil"/>
            </w:tcBorders>
            <w:tcMar>
              <w:top w:w="128" w:type="dxa"/>
              <w:left w:w="43" w:type="dxa"/>
              <w:bottom w:w="43" w:type="dxa"/>
              <w:right w:w="43" w:type="dxa"/>
            </w:tcMar>
            <w:vAlign w:val="bottom"/>
          </w:tcPr>
          <w:p w14:paraId="45C245D2" w14:textId="77777777" w:rsidR="00FE02EF" w:rsidRPr="00CC19F7" w:rsidRDefault="00FE02EF" w:rsidP="005A5262">
            <w:pPr>
              <w:jc w:val="right"/>
            </w:pPr>
          </w:p>
        </w:tc>
        <w:tc>
          <w:tcPr>
            <w:tcW w:w="1580" w:type="dxa"/>
            <w:tcBorders>
              <w:top w:val="nil"/>
              <w:left w:val="nil"/>
              <w:bottom w:val="nil"/>
              <w:right w:val="nil"/>
            </w:tcBorders>
            <w:tcMar>
              <w:top w:w="128" w:type="dxa"/>
              <w:left w:w="43" w:type="dxa"/>
              <w:bottom w:w="43" w:type="dxa"/>
              <w:right w:w="43" w:type="dxa"/>
            </w:tcMar>
            <w:vAlign w:val="bottom"/>
          </w:tcPr>
          <w:p w14:paraId="48FD7230" w14:textId="77777777" w:rsidR="00FE02EF" w:rsidRPr="00CC19F7" w:rsidRDefault="00881E58" w:rsidP="005A5262">
            <w:pPr>
              <w:jc w:val="right"/>
            </w:pPr>
            <w:r w:rsidRPr="00CC19F7">
              <w:t>463 533 000</w:t>
            </w:r>
          </w:p>
        </w:tc>
      </w:tr>
      <w:tr w:rsidR="00FE02EF" w:rsidRPr="00CC19F7" w14:paraId="0FAFEC01" w14:textId="77777777">
        <w:trPr>
          <w:trHeight w:val="380"/>
        </w:trPr>
        <w:tc>
          <w:tcPr>
            <w:tcW w:w="9560" w:type="dxa"/>
            <w:gridSpan w:val="5"/>
            <w:tcBorders>
              <w:top w:val="nil"/>
              <w:left w:val="nil"/>
              <w:bottom w:val="nil"/>
              <w:right w:val="nil"/>
            </w:tcBorders>
            <w:tcMar>
              <w:top w:w="128" w:type="dxa"/>
              <w:left w:w="43" w:type="dxa"/>
              <w:bottom w:w="43" w:type="dxa"/>
              <w:right w:w="43" w:type="dxa"/>
            </w:tcMar>
          </w:tcPr>
          <w:p w14:paraId="66DEE2CE" w14:textId="77777777" w:rsidR="00FE02EF" w:rsidRPr="00CC19F7" w:rsidRDefault="00881E58" w:rsidP="005A5262">
            <w:pPr>
              <w:jc w:val="center"/>
            </w:pPr>
            <w:r w:rsidRPr="00CC19F7">
              <w:t>Renter og utbytte mv.</w:t>
            </w:r>
          </w:p>
        </w:tc>
      </w:tr>
      <w:tr w:rsidR="00FE02EF" w:rsidRPr="00CC19F7" w14:paraId="63BE2F8C" w14:textId="77777777">
        <w:trPr>
          <w:trHeight w:val="380"/>
        </w:trPr>
        <w:tc>
          <w:tcPr>
            <w:tcW w:w="680" w:type="dxa"/>
            <w:tcBorders>
              <w:top w:val="nil"/>
              <w:left w:val="nil"/>
              <w:bottom w:val="nil"/>
              <w:right w:val="nil"/>
            </w:tcBorders>
            <w:tcMar>
              <w:top w:w="128" w:type="dxa"/>
              <w:left w:w="43" w:type="dxa"/>
              <w:bottom w:w="43" w:type="dxa"/>
              <w:right w:w="43" w:type="dxa"/>
            </w:tcMar>
          </w:tcPr>
          <w:p w14:paraId="6AFD9CCE" w14:textId="77777777" w:rsidR="00FE02EF" w:rsidRPr="00CC19F7" w:rsidRDefault="00881E58" w:rsidP="005A5262">
            <w:r w:rsidRPr="00CC19F7">
              <w:t>5680</w:t>
            </w:r>
          </w:p>
        </w:tc>
        <w:tc>
          <w:tcPr>
            <w:tcW w:w="680" w:type="dxa"/>
            <w:tcBorders>
              <w:top w:val="nil"/>
              <w:left w:val="nil"/>
              <w:bottom w:val="nil"/>
              <w:right w:val="nil"/>
            </w:tcBorders>
            <w:tcMar>
              <w:top w:w="128" w:type="dxa"/>
              <w:left w:w="43" w:type="dxa"/>
              <w:bottom w:w="43" w:type="dxa"/>
              <w:right w:w="43" w:type="dxa"/>
            </w:tcMar>
          </w:tcPr>
          <w:p w14:paraId="1E757EC1" w14:textId="77777777" w:rsidR="00FE02EF" w:rsidRPr="00CC19F7" w:rsidRDefault="00FE02EF" w:rsidP="005A5262"/>
        </w:tc>
        <w:tc>
          <w:tcPr>
            <w:tcW w:w="5040" w:type="dxa"/>
            <w:tcBorders>
              <w:top w:val="nil"/>
              <w:left w:val="nil"/>
              <w:bottom w:val="nil"/>
              <w:right w:val="nil"/>
            </w:tcBorders>
            <w:tcMar>
              <w:top w:w="128" w:type="dxa"/>
              <w:left w:w="43" w:type="dxa"/>
              <w:bottom w:w="43" w:type="dxa"/>
              <w:right w:w="43" w:type="dxa"/>
            </w:tcMar>
          </w:tcPr>
          <w:p w14:paraId="1C8C6597" w14:textId="77777777" w:rsidR="00FE02EF" w:rsidRPr="00CC19F7" w:rsidRDefault="00881E58" w:rsidP="005A5262">
            <w:r w:rsidRPr="00CC19F7">
              <w:t>Statnett SF</w:t>
            </w:r>
          </w:p>
        </w:tc>
        <w:tc>
          <w:tcPr>
            <w:tcW w:w="1580" w:type="dxa"/>
            <w:tcBorders>
              <w:top w:val="nil"/>
              <w:left w:val="nil"/>
              <w:bottom w:val="nil"/>
              <w:right w:val="nil"/>
            </w:tcBorders>
            <w:tcMar>
              <w:top w:w="128" w:type="dxa"/>
              <w:left w:w="43" w:type="dxa"/>
              <w:bottom w:w="43" w:type="dxa"/>
              <w:right w:w="43" w:type="dxa"/>
            </w:tcMar>
            <w:vAlign w:val="bottom"/>
          </w:tcPr>
          <w:p w14:paraId="51222387" w14:textId="77777777" w:rsidR="00FE02EF" w:rsidRPr="00CC19F7" w:rsidRDefault="00FE02EF" w:rsidP="005A5262">
            <w:pPr>
              <w:jc w:val="right"/>
            </w:pPr>
          </w:p>
        </w:tc>
        <w:tc>
          <w:tcPr>
            <w:tcW w:w="1580" w:type="dxa"/>
            <w:tcBorders>
              <w:top w:val="nil"/>
              <w:left w:val="nil"/>
              <w:bottom w:val="nil"/>
              <w:right w:val="nil"/>
            </w:tcBorders>
            <w:tcMar>
              <w:top w:w="128" w:type="dxa"/>
              <w:left w:w="43" w:type="dxa"/>
              <w:bottom w:w="43" w:type="dxa"/>
              <w:right w:w="43" w:type="dxa"/>
            </w:tcMar>
            <w:vAlign w:val="bottom"/>
          </w:tcPr>
          <w:p w14:paraId="25B9CB6F" w14:textId="77777777" w:rsidR="00FE02EF" w:rsidRPr="00CC19F7" w:rsidRDefault="00FE02EF" w:rsidP="005A5262">
            <w:pPr>
              <w:jc w:val="right"/>
            </w:pPr>
          </w:p>
        </w:tc>
      </w:tr>
      <w:tr w:rsidR="00FE02EF" w:rsidRPr="00CC19F7" w14:paraId="28BA977C" w14:textId="77777777">
        <w:trPr>
          <w:trHeight w:val="380"/>
        </w:trPr>
        <w:tc>
          <w:tcPr>
            <w:tcW w:w="680" w:type="dxa"/>
            <w:tcBorders>
              <w:top w:val="nil"/>
              <w:left w:val="nil"/>
              <w:bottom w:val="nil"/>
              <w:right w:val="nil"/>
            </w:tcBorders>
            <w:tcMar>
              <w:top w:w="128" w:type="dxa"/>
              <w:left w:w="43" w:type="dxa"/>
              <w:bottom w:w="43" w:type="dxa"/>
              <w:right w:w="43" w:type="dxa"/>
            </w:tcMar>
          </w:tcPr>
          <w:p w14:paraId="1232FFFA" w14:textId="77777777" w:rsidR="00FE02EF" w:rsidRPr="00CC19F7" w:rsidRDefault="00FE02EF" w:rsidP="005A5262"/>
        </w:tc>
        <w:tc>
          <w:tcPr>
            <w:tcW w:w="680" w:type="dxa"/>
            <w:tcBorders>
              <w:top w:val="nil"/>
              <w:left w:val="nil"/>
              <w:bottom w:val="nil"/>
              <w:right w:val="nil"/>
            </w:tcBorders>
            <w:tcMar>
              <w:top w:w="128" w:type="dxa"/>
              <w:left w:w="43" w:type="dxa"/>
              <w:bottom w:w="43" w:type="dxa"/>
              <w:right w:w="43" w:type="dxa"/>
            </w:tcMar>
          </w:tcPr>
          <w:p w14:paraId="4992E5CC" w14:textId="77777777" w:rsidR="00FE02EF" w:rsidRPr="00CC19F7" w:rsidRDefault="00881E58" w:rsidP="005A5262">
            <w:r w:rsidRPr="00CC19F7">
              <w:t>85</w:t>
            </w:r>
          </w:p>
        </w:tc>
        <w:tc>
          <w:tcPr>
            <w:tcW w:w="5040" w:type="dxa"/>
            <w:tcBorders>
              <w:top w:val="nil"/>
              <w:left w:val="nil"/>
              <w:bottom w:val="nil"/>
              <w:right w:val="nil"/>
            </w:tcBorders>
            <w:tcMar>
              <w:top w:w="128" w:type="dxa"/>
              <w:left w:w="43" w:type="dxa"/>
              <w:bottom w:w="43" w:type="dxa"/>
              <w:right w:w="43" w:type="dxa"/>
            </w:tcMar>
          </w:tcPr>
          <w:p w14:paraId="2386A3FE" w14:textId="77777777" w:rsidR="00FE02EF" w:rsidRPr="00CC19F7" w:rsidRDefault="00881E58" w:rsidP="005A5262">
            <w:r w:rsidRPr="00CC19F7">
              <w:t>Utbytte</w:t>
            </w:r>
          </w:p>
        </w:tc>
        <w:tc>
          <w:tcPr>
            <w:tcW w:w="1580" w:type="dxa"/>
            <w:tcBorders>
              <w:top w:val="nil"/>
              <w:left w:val="nil"/>
              <w:bottom w:val="nil"/>
              <w:right w:val="nil"/>
            </w:tcBorders>
            <w:tcMar>
              <w:top w:w="128" w:type="dxa"/>
              <w:left w:w="43" w:type="dxa"/>
              <w:bottom w:w="43" w:type="dxa"/>
              <w:right w:w="43" w:type="dxa"/>
            </w:tcMar>
            <w:vAlign w:val="bottom"/>
          </w:tcPr>
          <w:p w14:paraId="7F4E1BCA" w14:textId="77777777" w:rsidR="00FE02EF" w:rsidRPr="00CC19F7" w:rsidRDefault="00881E58" w:rsidP="005A5262">
            <w:pPr>
              <w:jc w:val="right"/>
            </w:pPr>
            <w:r w:rsidRPr="00CC19F7">
              <w:t>744 000 000</w:t>
            </w:r>
          </w:p>
        </w:tc>
        <w:tc>
          <w:tcPr>
            <w:tcW w:w="1580" w:type="dxa"/>
            <w:tcBorders>
              <w:top w:val="nil"/>
              <w:left w:val="nil"/>
              <w:bottom w:val="nil"/>
              <w:right w:val="nil"/>
            </w:tcBorders>
            <w:tcMar>
              <w:top w:w="128" w:type="dxa"/>
              <w:left w:w="43" w:type="dxa"/>
              <w:bottom w:w="43" w:type="dxa"/>
              <w:right w:w="43" w:type="dxa"/>
            </w:tcMar>
            <w:vAlign w:val="bottom"/>
          </w:tcPr>
          <w:p w14:paraId="728D1063" w14:textId="77777777" w:rsidR="00FE02EF" w:rsidRPr="00CC19F7" w:rsidRDefault="00881E58" w:rsidP="005A5262">
            <w:pPr>
              <w:jc w:val="right"/>
            </w:pPr>
            <w:r w:rsidRPr="00CC19F7">
              <w:t>744 000 000</w:t>
            </w:r>
          </w:p>
        </w:tc>
      </w:tr>
      <w:tr w:rsidR="00FE02EF" w:rsidRPr="00CC19F7" w14:paraId="74123E3F" w14:textId="77777777">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19522AB8" w14:textId="77777777" w:rsidR="00FE02EF" w:rsidRPr="00CC19F7" w:rsidRDefault="00FE02EF" w:rsidP="005A5262"/>
        </w:tc>
        <w:tc>
          <w:tcPr>
            <w:tcW w:w="680" w:type="dxa"/>
            <w:tcBorders>
              <w:top w:val="nil"/>
              <w:left w:val="nil"/>
              <w:bottom w:val="single" w:sz="4" w:space="0" w:color="000000"/>
              <w:right w:val="nil"/>
            </w:tcBorders>
            <w:tcMar>
              <w:top w:w="128" w:type="dxa"/>
              <w:left w:w="43" w:type="dxa"/>
              <w:bottom w:w="43" w:type="dxa"/>
              <w:right w:w="43" w:type="dxa"/>
            </w:tcMar>
          </w:tcPr>
          <w:p w14:paraId="003D90F1" w14:textId="77777777" w:rsidR="00FE02EF" w:rsidRPr="00CC19F7" w:rsidRDefault="00FE02EF" w:rsidP="005A5262"/>
        </w:tc>
        <w:tc>
          <w:tcPr>
            <w:tcW w:w="5040" w:type="dxa"/>
            <w:tcBorders>
              <w:top w:val="nil"/>
              <w:left w:val="nil"/>
              <w:bottom w:val="single" w:sz="4" w:space="0" w:color="000000"/>
              <w:right w:val="nil"/>
            </w:tcBorders>
            <w:tcMar>
              <w:top w:w="128" w:type="dxa"/>
              <w:left w:w="43" w:type="dxa"/>
              <w:bottom w:w="43" w:type="dxa"/>
              <w:right w:w="43" w:type="dxa"/>
            </w:tcMar>
          </w:tcPr>
          <w:p w14:paraId="54EE1496" w14:textId="77777777" w:rsidR="00FE02EF" w:rsidRPr="00CC19F7" w:rsidRDefault="00881E58" w:rsidP="005A5262">
            <w:r w:rsidRPr="00CC19F7">
              <w:t>Sum Renter og utbytte mv.</w:t>
            </w:r>
          </w:p>
        </w:tc>
        <w:tc>
          <w:tcPr>
            <w:tcW w:w="1580" w:type="dxa"/>
            <w:tcBorders>
              <w:top w:val="nil"/>
              <w:left w:val="nil"/>
              <w:bottom w:val="single" w:sz="4" w:space="0" w:color="000000"/>
              <w:right w:val="nil"/>
            </w:tcBorders>
            <w:tcMar>
              <w:top w:w="128" w:type="dxa"/>
              <w:left w:w="43" w:type="dxa"/>
              <w:bottom w:w="43" w:type="dxa"/>
              <w:right w:w="43" w:type="dxa"/>
            </w:tcMar>
            <w:vAlign w:val="bottom"/>
          </w:tcPr>
          <w:p w14:paraId="4C98B0AF" w14:textId="77777777" w:rsidR="00FE02EF" w:rsidRPr="00CC19F7" w:rsidRDefault="00FE02EF" w:rsidP="005A5262">
            <w:pPr>
              <w:jc w:val="right"/>
            </w:pPr>
          </w:p>
        </w:tc>
        <w:tc>
          <w:tcPr>
            <w:tcW w:w="1580" w:type="dxa"/>
            <w:tcBorders>
              <w:top w:val="nil"/>
              <w:left w:val="nil"/>
              <w:bottom w:val="single" w:sz="4" w:space="0" w:color="000000"/>
              <w:right w:val="nil"/>
            </w:tcBorders>
            <w:tcMar>
              <w:top w:w="128" w:type="dxa"/>
              <w:left w:w="43" w:type="dxa"/>
              <w:bottom w:w="43" w:type="dxa"/>
              <w:right w:w="43" w:type="dxa"/>
            </w:tcMar>
            <w:vAlign w:val="bottom"/>
          </w:tcPr>
          <w:p w14:paraId="18BF0AE9" w14:textId="77777777" w:rsidR="00FE02EF" w:rsidRPr="00CC19F7" w:rsidRDefault="00881E58" w:rsidP="005A5262">
            <w:pPr>
              <w:jc w:val="right"/>
            </w:pPr>
            <w:r w:rsidRPr="00CC19F7">
              <w:t>744 000 000</w:t>
            </w:r>
          </w:p>
        </w:tc>
      </w:tr>
      <w:tr w:rsidR="00FE02EF" w:rsidRPr="00CC19F7" w14:paraId="5EB5DF0E" w14:textId="77777777">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7AEADA2A" w14:textId="77777777" w:rsidR="00FE02EF" w:rsidRPr="00CC19F7" w:rsidRDefault="00FE02EF" w:rsidP="005A5262"/>
        </w:tc>
        <w:tc>
          <w:tcPr>
            <w:tcW w:w="680" w:type="dxa"/>
            <w:tcBorders>
              <w:top w:val="nil"/>
              <w:left w:val="nil"/>
              <w:bottom w:val="single" w:sz="4" w:space="0" w:color="000000"/>
              <w:right w:val="nil"/>
            </w:tcBorders>
            <w:tcMar>
              <w:top w:w="128" w:type="dxa"/>
              <w:left w:w="43" w:type="dxa"/>
              <w:bottom w:w="43" w:type="dxa"/>
              <w:right w:w="43" w:type="dxa"/>
            </w:tcMar>
          </w:tcPr>
          <w:p w14:paraId="1EC07106" w14:textId="77777777" w:rsidR="00FE02EF" w:rsidRPr="00CC19F7" w:rsidRDefault="00FE02EF" w:rsidP="005A5262"/>
        </w:tc>
        <w:tc>
          <w:tcPr>
            <w:tcW w:w="5040" w:type="dxa"/>
            <w:tcBorders>
              <w:top w:val="nil"/>
              <w:left w:val="nil"/>
              <w:bottom w:val="single" w:sz="4" w:space="0" w:color="000000"/>
              <w:right w:val="nil"/>
            </w:tcBorders>
            <w:tcMar>
              <w:top w:w="128" w:type="dxa"/>
              <w:left w:w="43" w:type="dxa"/>
              <w:bottom w:w="43" w:type="dxa"/>
              <w:right w:w="43" w:type="dxa"/>
            </w:tcMar>
          </w:tcPr>
          <w:p w14:paraId="57BCBF15" w14:textId="77777777" w:rsidR="00FE02EF" w:rsidRPr="00CC19F7" w:rsidRDefault="00881E58" w:rsidP="005A5262">
            <w:r w:rsidRPr="00CC19F7">
              <w:t>Sum departementets inntekter</w:t>
            </w:r>
          </w:p>
        </w:tc>
        <w:tc>
          <w:tcPr>
            <w:tcW w:w="1580" w:type="dxa"/>
            <w:tcBorders>
              <w:top w:val="nil"/>
              <w:left w:val="nil"/>
              <w:bottom w:val="single" w:sz="4" w:space="0" w:color="000000"/>
              <w:right w:val="nil"/>
            </w:tcBorders>
            <w:tcMar>
              <w:top w:w="128" w:type="dxa"/>
              <w:left w:w="43" w:type="dxa"/>
              <w:bottom w:w="43" w:type="dxa"/>
              <w:right w:w="43" w:type="dxa"/>
            </w:tcMar>
            <w:vAlign w:val="bottom"/>
          </w:tcPr>
          <w:p w14:paraId="7EFB628A" w14:textId="77777777" w:rsidR="00FE02EF" w:rsidRPr="00CC19F7" w:rsidRDefault="00FE02EF" w:rsidP="005A5262">
            <w:pPr>
              <w:jc w:val="right"/>
            </w:pPr>
          </w:p>
        </w:tc>
        <w:tc>
          <w:tcPr>
            <w:tcW w:w="1580" w:type="dxa"/>
            <w:tcBorders>
              <w:top w:val="nil"/>
              <w:left w:val="nil"/>
              <w:bottom w:val="single" w:sz="4" w:space="0" w:color="000000"/>
              <w:right w:val="nil"/>
            </w:tcBorders>
            <w:tcMar>
              <w:top w:w="128" w:type="dxa"/>
              <w:left w:w="43" w:type="dxa"/>
              <w:bottom w:w="43" w:type="dxa"/>
              <w:right w:w="43" w:type="dxa"/>
            </w:tcMar>
            <w:vAlign w:val="bottom"/>
          </w:tcPr>
          <w:p w14:paraId="0D004724" w14:textId="77777777" w:rsidR="00FE02EF" w:rsidRPr="00CC19F7" w:rsidRDefault="00881E58" w:rsidP="005A5262">
            <w:pPr>
              <w:jc w:val="right"/>
            </w:pPr>
            <w:r w:rsidRPr="00CC19F7">
              <w:t>1 512 233 000</w:t>
            </w:r>
          </w:p>
        </w:tc>
      </w:tr>
    </w:tbl>
    <w:p w14:paraId="30153BED" w14:textId="77777777" w:rsidR="00FE02EF" w:rsidRPr="00CC19F7" w:rsidRDefault="00881E58" w:rsidP="00CC19F7">
      <w:pPr>
        <w:pStyle w:val="Fullmakttit"/>
      </w:pPr>
      <w:r w:rsidRPr="00CC19F7">
        <w:t>Fullmakter til å overskride gitt løyving</w:t>
      </w:r>
    </w:p>
    <w:p w14:paraId="39A8D136" w14:textId="77777777" w:rsidR="00FE02EF" w:rsidRPr="00CC19F7" w:rsidRDefault="00881E58" w:rsidP="00CC19F7">
      <w:pPr>
        <w:pStyle w:val="a-vedtak-del"/>
      </w:pPr>
      <w:r w:rsidRPr="00CC19F7">
        <w:t>II</w:t>
      </w:r>
    </w:p>
    <w:p w14:paraId="1C6ED47E" w14:textId="77777777" w:rsidR="00FE02EF" w:rsidRPr="00CC19F7" w:rsidRDefault="00881E58" w:rsidP="00CC19F7">
      <w:pPr>
        <w:pStyle w:val="a-vedtak-tekst"/>
      </w:pPr>
      <w:proofErr w:type="spellStart"/>
      <w:r w:rsidRPr="00CC19F7">
        <w:t>Meirinntektsfullmakter</w:t>
      </w:r>
      <w:proofErr w:type="spellEnd"/>
    </w:p>
    <w:p w14:paraId="62DAB160" w14:textId="77777777" w:rsidR="00FE02EF" w:rsidRPr="00CC19F7" w:rsidRDefault="00881E58" w:rsidP="00CC19F7">
      <w:r w:rsidRPr="00CC19F7">
        <w:t>Stortinget samtykker i at Olje- og energidepartementet i 2024 kan:</w:t>
      </w:r>
    </w:p>
    <w:p w14:paraId="7AD39447" w14:textId="77777777" w:rsidR="00FE02EF" w:rsidRPr="00CC19F7" w:rsidRDefault="00881E58" w:rsidP="00CC19F7">
      <w:pPr>
        <w:pStyle w:val="Tabellnavn"/>
      </w:pPr>
      <w:r w:rsidRPr="00CC19F7">
        <w:t>02N1xt2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940"/>
        <w:gridCol w:w="4620"/>
      </w:tblGrid>
      <w:tr w:rsidR="00FE02EF" w:rsidRPr="00CC19F7" w14:paraId="66C5F0A2" w14:textId="77777777">
        <w:trPr>
          <w:trHeight w:val="360"/>
        </w:trPr>
        <w:tc>
          <w:tcPr>
            <w:tcW w:w="49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1EC50EB" w14:textId="77777777" w:rsidR="00FE02EF" w:rsidRPr="00CC19F7" w:rsidRDefault="00881E58" w:rsidP="005A5262">
            <w:r w:rsidRPr="00CC19F7">
              <w:t>overskride løyvinga under</w:t>
            </w:r>
          </w:p>
        </w:tc>
        <w:tc>
          <w:tcPr>
            <w:tcW w:w="4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1E91B38" w14:textId="77777777" w:rsidR="00FE02EF" w:rsidRPr="00CC19F7" w:rsidRDefault="00881E58" w:rsidP="005A5262">
            <w:r w:rsidRPr="00CC19F7">
              <w:t xml:space="preserve">mot </w:t>
            </w:r>
            <w:proofErr w:type="spellStart"/>
            <w:r w:rsidRPr="00CC19F7">
              <w:t>tilsvarande</w:t>
            </w:r>
            <w:proofErr w:type="spellEnd"/>
            <w:r w:rsidRPr="00CC19F7">
              <w:t xml:space="preserve"> </w:t>
            </w:r>
            <w:proofErr w:type="spellStart"/>
            <w:r w:rsidRPr="00CC19F7">
              <w:t>meirinntekter</w:t>
            </w:r>
            <w:proofErr w:type="spellEnd"/>
            <w:r w:rsidRPr="00CC19F7">
              <w:t xml:space="preserve"> under</w:t>
            </w:r>
          </w:p>
        </w:tc>
      </w:tr>
      <w:tr w:rsidR="00FE02EF" w:rsidRPr="00CC19F7" w14:paraId="3EF45090" w14:textId="77777777">
        <w:trPr>
          <w:trHeight w:val="380"/>
        </w:trPr>
        <w:tc>
          <w:tcPr>
            <w:tcW w:w="4940" w:type="dxa"/>
            <w:tcBorders>
              <w:top w:val="single" w:sz="4" w:space="0" w:color="000000"/>
              <w:left w:val="nil"/>
              <w:bottom w:val="nil"/>
              <w:right w:val="nil"/>
            </w:tcBorders>
            <w:tcMar>
              <w:top w:w="128" w:type="dxa"/>
              <w:left w:w="43" w:type="dxa"/>
              <w:bottom w:w="43" w:type="dxa"/>
              <w:right w:w="43" w:type="dxa"/>
            </w:tcMar>
          </w:tcPr>
          <w:p w14:paraId="52AD6705" w14:textId="77777777" w:rsidR="00FE02EF" w:rsidRPr="00CC19F7" w:rsidRDefault="00881E58" w:rsidP="005A5262">
            <w:r w:rsidRPr="00CC19F7">
              <w:t>kap. 1810 post 23</w:t>
            </w:r>
          </w:p>
        </w:tc>
        <w:tc>
          <w:tcPr>
            <w:tcW w:w="4620" w:type="dxa"/>
            <w:tcBorders>
              <w:top w:val="single" w:sz="4" w:space="0" w:color="000000"/>
              <w:left w:val="nil"/>
              <w:bottom w:val="nil"/>
              <w:right w:val="nil"/>
            </w:tcBorders>
            <w:tcMar>
              <w:top w:w="128" w:type="dxa"/>
              <w:left w:w="43" w:type="dxa"/>
              <w:bottom w:w="43" w:type="dxa"/>
              <w:right w:w="43" w:type="dxa"/>
            </w:tcMar>
            <w:vAlign w:val="bottom"/>
          </w:tcPr>
          <w:p w14:paraId="6156186F" w14:textId="77777777" w:rsidR="00FE02EF" w:rsidRPr="00CC19F7" w:rsidRDefault="00881E58" w:rsidP="005A5262">
            <w:r w:rsidRPr="00CC19F7">
              <w:t>kap. 4810 post 02</w:t>
            </w:r>
          </w:p>
        </w:tc>
      </w:tr>
      <w:tr w:rsidR="00FE02EF" w:rsidRPr="00CC19F7" w14:paraId="324BCD45" w14:textId="77777777">
        <w:trPr>
          <w:trHeight w:val="380"/>
        </w:trPr>
        <w:tc>
          <w:tcPr>
            <w:tcW w:w="4940" w:type="dxa"/>
            <w:tcBorders>
              <w:top w:val="nil"/>
              <w:left w:val="nil"/>
              <w:bottom w:val="nil"/>
              <w:right w:val="nil"/>
            </w:tcBorders>
            <w:tcMar>
              <w:top w:w="128" w:type="dxa"/>
              <w:left w:w="43" w:type="dxa"/>
              <w:bottom w:w="43" w:type="dxa"/>
              <w:right w:w="43" w:type="dxa"/>
            </w:tcMar>
          </w:tcPr>
          <w:p w14:paraId="3DC36FEA" w14:textId="77777777" w:rsidR="00FE02EF" w:rsidRPr="00CC19F7" w:rsidRDefault="00881E58" w:rsidP="005A5262">
            <w:r w:rsidRPr="00CC19F7">
              <w:t xml:space="preserve">kap. 1820 post 23 </w:t>
            </w:r>
          </w:p>
        </w:tc>
        <w:tc>
          <w:tcPr>
            <w:tcW w:w="4620" w:type="dxa"/>
            <w:tcBorders>
              <w:top w:val="nil"/>
              <w:left w:val="nil"/>
              <w:bottom w:val="nil"/>
              <w:right w:val="nil"/>
            </w:tcBorders>
            <w:tcMar>
              <w:top w:w="128" w:type="dxa"/>
              <w:left w:w="43" w:type="dxa"/>
              <w:bottom w:w="43" w:type="dxa"/>
              <w:right w:w="43" w:type="dxa"/>
            </w:tcMar>
            <w:vAlign w:val="bottom"/>
          </w:tcPr>
          <w:p w14:paraId="0DA9486A" w14:textId="77777777" w:rsidR="00FE02EF" w:rsidRPr="00CC19F7" w:rsidRDefault="00881E58" w:rsidP="005A5262">
            <w:r w:rsidRPr="00CC19F7">
              <w:t>kap. 4820 post 02</w:t>
            </w:r>
          </w:p>
        </w:tc>
      </w:tr>
      <w:tr w:rsidR="00FE02EF" w:rsidRPr="00CC19F7" w14:paraId="0598BAE4" w14:textId="77777777">
        <w:trPr>
          <w:trHeight w:val="380"/>
        </w:trPr>
        <w:tc>
          <w:tcPr>
            <w:tcW w:w="4940" w:type="dxa"/>
            <w:tcBorders>
              <w:top w:val="nil"/>
              <w:left w:val="nil"/>
              <w:bottom w:val="nil"/>
              <w:right w:val="nil"/>
            </w:tcBorders>
            <w:tcMar>
              <w:top w:w="128" w:type="dxa"/>
              <w:left w:w="43" w:type="dxa"/>
              <w:bottom w:w="43" w:type="dxa"/>
              <w:right w:w="43" w:type="dxa"/>
            </w:tcMar>
          </w:tcPr>
          <w:p w14:paraId="210EA3D7" w14:textId="77777777" w:rsidR="00FE02EF" w:rsidRPr="00CC19F7" w:rsidRDefault="00881E58" w:rsidP="005A5262">
            <w:r w:rsidRPr="00CC19F7">
              <w:t xml:space="preserve">kap. 1820 post 45 </w:t>
            </w:r>
          </w:p>
        </w:tc>
        <w:tc>
          <w:tcPr>
            <w:tcW w:w="4620" w:type="dxa"/>
            <w:tcBorders>
              <w:top w:val="nil"/>
              <w:left w:val="nil"/>
              <w:bottom w:val="nil"/>
              <w:right w:val="nil"/>
            </w:tcBorders>
            <w:tcMar>
              <w:top w:w="128" w:type="dxa"/>
              <w:left w:w="43" w:type="dxa"/>
              <w:bottom w:w="43" w:type="dxa"/>
              <w:right w:w="43" w:type="dxa"/>
            </w:tcMar>
            <w:vAlign w:val="bottom"/>
          </w:tcPr>
          <w:p w14:paraId="49B0256E" w14:textId="77777777" w:rsidR="00FE02EF" w:rsidRPr="00CC19F7" w:rsidRDefault="00881E58" w:rsidP="005A5262">
            <w:r w:rsidRPr="00CC19F7">
              <w:t>kap. 4820 post 03</w:t>
            </w:r>
          </w:p>
        </w:tc>
      </w:tr>
      <w:tr w:rsidR="00FE02EF" w:rsidRPr="00CC19F7" w14:paraId="380A755D" w14:textId="77777777">
        <w:trPr>
          <w:trHeight w:val="380"/>
        </w:trPr>
        <w:tc>
          <w:tcPr>
            <w:tcW w:w="4940" w:type="dxa"/>
            <w:tcBorders>
              <w:top w:val="nil"/>
              <w:left w:val="nil"/>
              <w:bottom w:val="nil"/>
              <w:right w:val="nil"/>
            </w:tcBorders>
            <w:tcMar>
              <w:top w:w="128" w:type="dxa"/>
              <w:left w:w="43" w:type="dxa"/>
              <w:bottom w:w="43" w:type="dxa"/>
              <w:right w:w="43" w:type="dxa"/>
            </w:tcMar>
          </w:tcPr>
          <w:p w14:paraId="4F466CB5" w14:textId="77777777" w:rsidR="00FE02EF" w:rsidRPr="00CC19F7" w:rsidRDefault="00881E58" w:rsidP="005A5262">
            <w:r w:rsidRPr="00CC19F7">
              <w:t xml:space="preserve">kap. 1860 post 01 </w:t>
            </w:r>
          </w:p>
        </w:tc>
        <w:tc>
          <w:tcPr>
            <w:tcW w:w="4620" w:type="dxa"/>
            <w:tcBorders>
              <w:top w:val="nil"/>
              <w:left w:val="nil"/>
              <w:bottom w:val="nil"/>
              <w:right w:val="nil"/>
            </w:tcBorders>
            <w:tcMar>
              <w:top w:w="128" w:type="dxa"/>
              <w:left w:w="43" w:type="dxa"/>
              <w:bottom w:w="43" w:type="dxa"/>
              <w:right w:w="43" w:type="dxa"/>
            </w:tcMar>
            <w:vAlign w:val="bottom"/>
          </w:tcPr>
          <w:p w14:paraId="5BC53837" w14:textId="77777777" w:rsidR="00FE02EF" w:rsidRPr="00CC19F7" w:rsidRDefault="00881E58" w:rsidP="005A5262">
            <w:r w:rsidRPr="00CC19F7">
              <w:t>kap. 4860 post 10</w:t>
            </w:r>
          </w:p>
        </w:tc>
      </w:tr>
      <w:tr w:rsidR="00FE02EF" w:rsidRPr="00CC19F7" w14:paraId="0BE2A9B6" w14:textId="77777777">
        <w:trPr>
          <w:trHeight w:val="380"/>
        </w:trPr>
        <w:tc>
          <w:tcPr>
            <w:tcW w:w="4940" w:type="dxa"/>
            <w:tcBorders>
              <w:top w:val="nil"/>
              <w:left w:val="nil"/>
              <w:bottom w:val="single" w:sz="4" w:space="0" w:color="000000"/>
              <w:right w:val="nil"/>
            </w:tcBorders>
            <w:tcMar>
              <w:top w:w="128" w:type="dxa"/>
              <w:left w:w="43" w:type="dxa"/>
              <w:bottom w:w="43" w:type="dxa"/>
              <w:right w:w="43" w:type="dxa"/>
            </w:tcMar>
          </w:tcPr>
          <w:p w14:paraId="04455365" w14:textId="77777777" w:rsidR="00FE02EF" w:rsidRPr="00CC19F7" w:rsidRDefault="00881E58" w:rsidP="005A5262">
            <w:r w:rsidRPr="00CC19F7">
              <w:t xml:space="preserve">kap. 1860 post 21 </w:t>
            </w:r>
          </w:p>
        </w:tc>
        <w:tc>
          <w:tcPr>
            <w:tcW w:w="4620" w:type="dxa"/>
            <w:tcBorders>
              <w:top w:val="nil"/>
              <w:left w:val="nil"/>
              <w:bottom w:val="single" w:sz="4" w:space="0" w:color="000000"/>
              <w:right w:val="nil"/>
            </w:tcBorders>
            <w:tcMar>
              <w:top w:w="128" w:type="dxa"/>
              <w:left w:w="43" w:type="dxa"/>
              <w:bottom w:w="43" w:type="dxa"/>
              <w:right w:w="43" w:type="dxa"/>
            </w:tcMar>
            <w:vAlign w:val="bottom"/>
          </w:tcPr>
          <w:p w14:paraId="729CFEAA" w14:textId="77777777" w:rsidR="00FE02EF" w:rsidRPr="00CC19F7" w:rsidRDefault="00881E58" w:rsidP="005A5262">
            <w:r w:rsidRPr="00CC19F7">
              <w:t>kap. 4860 post 02</w:t>
            </w:r>
          </w:p>
        </w:tc>
      </w:tr>
    </w:tbl>
    <w:p w14:paraId="2974C93D" w14:textId="77777777" w:rsidR="00FE02EF" w:rsidRPr="00CC19F7" w:rsidRDefault="00881E58" w:rsidP="00CC19F7">
      <w:proofErr w:type="spellStart"/>
      <w:r w:rsidRPr="00CC19F7">
        <w:t>Meirinntekt</w:t>
      </w:r>
      <w:proofErr w:type="spellEnd"/>
      <w:r w:rsidRPr="00CC19F7">
        <w:t xml:space="preserve"> som gir grunnlag for overskriding, skal også dekke </w:t>
      </w:r>
      <w:proofErr w:type="spellStart"/>
      <w:r w:rsidRPr="00CC19F7">
        <w:t>meirverdiavgift</w:t>
      </w:r>
      <w:proofErr w:type="spellEnd"/>
      <w:r w:rsidRPr="00CC19F7">
        <w:t xml:space="preserve"> knytt til overskridinga, og gjeld derfor også kap. 1633, post 01 for </w:t>
      </w:r>
      <w:proofErr w:type="spellStart"/>
      <w:r w:rsidRPr="00CC19F7">
        <w:t>dei</w:t>
      </w:r>
      <w:proofErr w:type="spellEnd"/>
      <w:r w:rsidRPr="00CC19F7">
        <w:t xml:space="preserve"> </w:t>
      </w:r>
      <w:proofErr w:type="spellStart"/>
      <w:r w:rsidRPr="00CC19F7">
        <w:t>statlege</w:t>
      </w:r>
      <w:proofErr w:type="spellEnd"/>
      <w:r w:rsidRPr="00CC19F7">
        <w:t xml:space="preserve"> forvaltingsorgana som inngår i nettoordninga for </w:t>
      </w:r>
      <w:proofErr w:type="spellStart"/>
      <w:r w:rsidRPr="00CC19F7">
        <w:t>meirverdiavgift</w:t>
      </w:r>
      <w:proofErr w:type="spellEnd"/>
      <w:r w:rsidRPr="00CC19F7">
        <w:t>.</w:t>
      </w:r>
    </w:p>
    <w:p w14:paraId="0058F2F8" w14:textId="77777777" w:rsidR="00FE02EF" w:rsidRPr="00CC19F7" w:rsidRDefault="00881E58" w:rsidP="00CC19F7">
      <w:proofErr w:type="spellStart"/>
      <w:r w:rsidRPr="00CC19F7">
        <w:t>Meirinntekter</w:t>
      </w:r>
      <w:proofErr w:type="spellEnd"/>
      <w:r w:rsidRPr="00CC19F7">
        <w:t xml:space="preserve"> og eventuelle mindreinntekter blir tatt med i utrekninga av overføring av ubrukt løyving til neste år.</w:t>
      </w:r>
    </w:p>
    <w:p w14:paraId="6F6DC458" w14:textId="77777777" w:rsidR="00FE02EF" w:rsidRPr="00CC19F7" w:rsidRDefault="00881E58" w:rsidP="00CC19F7">
      <w:pPr>
        <w:pStyle w:val="Fullmakttit"/>
      </w:pPr>
      <w:r w:rsidRPr="00CC19F7">
        <w:t xml:space="preserve">Fullmakter til å pådra staten </w:t>
      </w:r>
      <w:proofErr w:type="spellStart"/>
      <w:r w:rsidRPr="00CC19F7">
        <w:t>forpliktingar</w:t>
      </w:r>
      <w:proofErr w:type="spellEnd"/>
      <w:r w:rsidRPr="00CC19F7">
        <w:t xml:space="preserve"> utover gitt løyving</w:t>
      </w:r>
    </w:p>
    <w:p w14:paraId="61126346" w14:textId="77777777" w:rsidR="00FE02EF" w:rsidRPr="00CC19F7" w:rsidRDefault="00881E58" w:rsidP="00CC19F7">
      <w:pPr>
        <w:pStyle w:val="a-vedtak-del"/>
      </w:pPr>
      <w:r w:rsidRPr="00CC19F7">
        <w:t>III</w:t>
      </w:r>
    </w:p>
    <w:p w14:paraId="19774DAC" w14:textId="77777777" w:rsidR="00FE02EF" w:rsidRPr="00CC19F7" w:rsidRDefault="00881E58" w:rsidP="00CC19F7">
      <w:pPr>
        <w:pStyle w:val="a-vedtak-tekst"/>
      </w:pPr>
      <w:r w:rsidRPr="00CC19F7">
        <w:t>Bestillingsfullmakter</w:t>
      </w:r>
    </w:p>
    <w:p w14:paraId="10EB7FC7" w14:textId="77777777" w:rsidR="00FE02EF" w:rsidRPr="00CC19F7" w:rsidRDefault="00881E58" w:rsidP="00CC19F7">
      <w:r w:rsidRPr="00CC19F7">
        <w:t xml:space="preserve">Stortinget samtykker i at Olje- og energidepartementet i 2024 kan pådra staten </w:t>
      </w:r>
      <w:proofErr w:type="spellStart"/>
      <w:r w:rsidRPr="00CC19F7">
        <w:t>forpliktingar</w:t>
      </w:r>
      <w:proofErr w:type="spellEnd"/>
      <w:r w:rsidRPr="00CC19F7">
        <w:t xml:space="preserve"> utover gitt løyving, men slik at den samla ramma for nye </w:t>
      </w:r>
      <w:proofErr w:type="spellStart"/>
      <w:r w:rsidRPr="00CC19F7">
        <w:t>forpliktingar</w:t>
      </w:r>
      <w:proofErr w:type="spellEnd"/>
      <w:r w:rsidRPr="00CC19F7">
        <w:t xml:space="preserve"> og gammalt ansvar </w:t>
      </w:r>
      <w:proofErr w:type="spellStart"/>
      <w:r w:rsidRPr="00CC19F7">
        <w:t>ikkje</w:t>
      </w:r>
      <w:proofErr w:type="spellEnd"/>
      <w:r w:rsidRPr="00CC19F7">
        <w:t xml:space="preserve"> overstig </w:t>
      </w:r>
      <w:proofErr w:type="spellStart"/>
      <w:r w:rsidRPr="00CC19F7">
        <w:t>følgande</w:t>
      </w:r>
      <w:proofErr w:type="spellEnd"/>
      <w:r w:rsidRPr="00CC19F7">
        <w:t xml:space="preserve"> beløp:</w:t>
      </w:r>
    </w:p>
    <w:p w14:paraId="3591A2ED" w14:textId="77777777" w:rsidR="00FE02EF" w:rsidRPr="00CC19F7" w:rsidRDefault="00881E58" w:rsidP="00CC19F7">
      <w:pPr>
        <w:pStyle w:val="Tabellnavn"/>
      </w:pPr>
      <w:r w:rsidRPr="00CC19F7">
        <w:t>04N1xt2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6480"/>
        <w:gridCol w:w="1760"/>
      </w:tblGrid>
      <w:tr w:rsidR="00FE02EF" w:rsidRPr="00CC19F7" w14:paraId="18E37CB0" w14:textId="77777777">
        <w:trPr>
          <w:trHeight w:val="360"/>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F242954" w14:textId="77777777" w:rsidR="00FE02EF" w:rsidRPr="00CC19F7" w:rsidRDefault="00881E58" w:rsidP="005A5262">
            <w:proofErr w:type="spellStart"/>
            <w:r w:rsidRPr="00CC19F7">
              <w:t>Kap</w:t>
            </w:r>
            <w:proofErr w:type="spellEnd"/>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9523D15" w14:textId="77777777" w:rsidR="00FE02EF" w:rsidRPr="00CC19F7" w:rsidRDefault="00881E58" w:rsidP="005A5262">
            <w:r w:rsidRPr="00CC19F7">
              <w:t>Post</w:t>
            </w:r>
          </w:p>
        </w:tc>
        <w:tc>
          <w:tcPr>
            <w:tcW w:w="64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2FDFFA3" w14:textId="77777777" w:rsidR="00FE02EF" w:rsidRPr="00CC19F7" w:rsidRDefault="00881E58" w:rsidP="005A5262">
            <w:proofErr w:type="spellStart"/>
            <w:r w:rsidRPr="00CC19F7">
              <w:t>Nemning</w:t>
            </w:r>
            <w:proofErr w:type="spellEnd"/>
          </w:p>
        </w:tc>
        <w:tc>
          <w:tcPr>
            <w:tcW w:w="1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544BBBF" w14:textId="77777777" w:rsidR="00FE02EF" w:rsidRPr="00CC19F7" w:rsidRDefault="00881E58" w:rsidP="005A5262">
            <w:pPr>
              <w:jc w:val="right"/>
            </w:pPr>
            <w:r w:rsidRPr="00CC19F7">
              <w:t>Samla ramme</w:t>
            </w:r>
          </w:p>
        </w:tc>
      </w:tr>
      <w:tr w:rsidR="00FE02EF" w:rsidRPr="00CC19F7" w14:paraId="21C9AA71" w14:textId="77777777">
        <w:trPr>
          <w:trHeight w:val="380"/>
        </w:trPr>
        <w:tc>
          <w:tcPr>
            <w:tcW w:w="680" w:type="dxa"/>
            <w:tcBorders>
              <w:top w:val="single" w:sz="4" w:space="0" w:color="000000"/>
              <w:left w:val="nil"/>
              <w:bottom w:val="nil"/>
              <w:right w:val="nil"/>
            </w:tcBorders>
            <w:tcMar>
              <w:top w:w="128" w:type="dxa"/>
              <w:left w:w="43" w:type="dxa"/>
              <w:bottom w:w="43" w:type="dxa"/>
              <w:right w:w="43" w:type="dxa"/>
            </w:tcMar>
          </w:tcPr>
          <w:p w14:paraId="6A331E70" w14:textId="77777777" w:rsidR="00FE02EF" w:rsidRPr="00CC19F7" w:rsidRDefault="00881E58" w:rsidP="005A5262">
            <w:r w:rsidRPr="00CC19F7">
              <w:t>1800</w:t>
            </w:r>
          </w:p>
        </w:tc>
        <w:tc>
          <w:tcPr>
            <w:tcW w:w="680" w:type="dxa"/>
            <w:tcBorders>
              <w:top w:val="single" w:sz="4" w:space="0" w:color="000000"/>
              <w:left w:val="nil"/>
              <w:bottom w:val="nil"/>
              <w:right w:val="nil"/>
            </w:tcBorders>
            <w:tcMar>
              <w:top w:w="128" w:type="dxa"/>
              <w:left w:w="43" w:type="dxa"/>
              <w:bottom w:w="43" w:type="dxa"/>
              <w:right w:w="43" w:type="dxa"/>
            </w:tcMar>
          </w:tcPr>
          <w:p w14:paraId="462398DC" w14:textId="77777777" w:rsidR="00FE02EF" w:rsidRPr="00CC19F7" w:rsidRDefault="00FE02EF" w:rsidP="005A5262"/>
        </w:tc>
        <w:tc>
          <w:tcPr>
            <w:tcW w:w="6480" w:type="dxa"/>
            <w:tcBorders>
              <w:top w:val="single" w:sz="4" w:space="0" w:color="000000"/>
              <w:left w:val="nil"/>
              <w:bottom w:val="nil"/>
              <w:right w:val="nil"/>
            </w:tcBorders>
            <w:tcMar>
              <w:top w:w="128" w:type="dxa"/>
              <w:left w:w="43" w:type="dxa"/>
              <w:bottom w:w="43" w:type="dxa"/>
              <w:right w:w="43" w:type="dxa"/>
            </w:tcMar>
          </w:tcPr>
          <w:p w14:paraId="5EAC1885" w14:textId="77777777" w:rsidR="00FE02EF" w:rsidRPr="00CC19F7" w:rsidRDefault="00881E58" w:rsidP="005A5262">
            <w:r w:rsidRPr="00CC19F7">
              <w:t>Olje- og energidepartementet</w:t>
            </w:r>
          </w:p>
        </w:tc>
        <w:tc>
          <w:tcPr>
            <w:tcW w:w="1760" w:type="dxa"/>
            <w:tcBorders>
              <w:top w:val="single" w:sz="4" w:space="0" w:color="000000"/>
              <w:left w:val="nil"/>
              <w:bottom w:val="nil"/>
              <w:right w:val="nil"/>
            </w:tcBorders>
            <w:tcMar>
              <w:top w:w="128" w:type="dxa"/>
              <w:left w:w="43" w:type="dxa"/>
              <w:bottom w:w="43" w:type="dxa"/>
              <w:right w:w="43" w:type="dxa"/>
            </w:tcMar>
            <w:vAlign w:val="bottom"/>
          </w:tcPr>
          <w:p w14:paraId="0B35960A" w14:textId="77777777" w:rsidR="00FE02EF" w:rsidRPr="00CC19F7" w:rsidRDefault="00FE02EF" w:rsidP="005A5262">
            <w:pPr>
              <w:jc w:val="right"/>
            </w:pPr>
          </w:p>
        </w:tc>
      </w:tr>
      <w:tr w:rsidR="00FE02EF" w:rsidRPr="00CC19F7" w14:paraId="14A03942" w14:textId="77777777">
        <w:trPr>
          <w:trHeight w:val="380"/>
        </w:trPr>
        <w:tc>
          <w:tcPr>
            <w:tcW w:w="680" w:type="dxa"/>
            <w:tcBorders>
              <w:top w:val="nil"/>
              <w:left w:val="nil"/>
              <w:bottom w:val="nil"/>
              <w:right w:val="nil"/>
            </w:tcBorders>
            <w:tcMar>
              <w:top w:w="128" w:type="dxa"/>
              <w:left w:w="43" w:type="dxa"/>
              <w:bottom w:w="43" w:type="dxa"/>
              <w:right w:w="43" w:type="dxa"/>
            </w:tcMar>
          </w:tcPr>
          <w:p w14:paraId="509C7C5A" w14:textId="77777777" w:rsidR="00FE02EF" w:rsidRPr="00CC19F7" w:rsidRDefault="00FE02EF" w:rsidP="005A5262"/>
        </w:tc>
        <w:tc>
          <w:tcPr>
            <w:tcW w:w="680" w:type="dxa"/>
            <w:tcBorders>
              <w:top w:val="nil"/>
              <w:left w:val="nil"/>
              <w:bottom w:val="nil"/>
              <w:right w:val="nil"/>
            </w:tcBorders>
            <w:tcMar>
              <w:top w:w="128" w:type="dxa"/>
              <w:left w:w="43" w:type="dxa"/>
              <w:bottom w:w="43" w:type="dxa"/>
              <w:right w:w="43" w:type="dxa"/>
            </w:tcMar>
          </w:tcPr>
          <w:p w14:paraId="1E5B7797" w14:textId="77777777" w:rsidR="00FE02EF" w:rsidRPr="00CC19F7" w:rsidRDefault="00881E58" w:rsidP="005A5262">
            <w:r w:rsidRPr="00CC19F7">
              <w:t>21</w:t>
            </w:r>
          </w:p>
        </w:tc>
        <w:tc>
          <w:tcPr>
            <w:tcW w:w="6480" w:type="dxa"/>
            <w:tcBorders>
              <w:top w:val="nil"/>
              <w:left w:val="nil"/>
              <w:bottom w:val="nil"/>
              <w:right w:val="nil"/>
            </w:tcBorders>
            <w:tcMar>
              <w:top w:w="128" w:type="dxa"/>
              <w:left w:w="43" w:type="dxa"/>
              <w:bottom w:w="43" w:type="dxa"/>
              <w:right w:w="43" w:type="dxa"/>
            </w:tcMar>
          </w:tcPr>
          <w:p w14:paraId="3607AF1A" w14:textId="77777777" w:rsidR="00FE02EF" w:rsidRPr="00CC19F7" w:rsidRDefault="00881E58" w:rsidP="005A5262">
            <w:r w:rsidRPr="00CC19F7">
              <w:t>Spesielle driftsutgifter</w:t>
            </w:r>
          </w:p>
        </w:tc>
        <w:tc>
          <w:tcPr>
            <w:tcW w:w="1760" w:type="dxa"/>
            <w:tcBorders>
              <w:top w:val="nil"/>
              <w:left w:val="nil"/>
              <w:bottom w:val="nil"/>
              <w:right w:val="nil"/>
            </w:tcBorders>
            <w:tcMar>
              <w:top w:w="128" w:type="dxa"/>
              <w:left w:w="43" w:type="dxa"/>
              <w:bottom w:w="43" w:type="dxa"/>
              <w:right w:w="43" w:type="dxa"/>
            </w:tcMar>
            <w:vAlign w:val="bottom"/>
          </w:tcPr>
          <w:p w14:paraId="5FD54AB7" w14:textId="77777777" w:rsidR="00FE02EF" w:rsidRPr="00CC19F7" w:rsidRDefault="00881E58" w:rsidP="005A5262">
            <w:pPr>
              <w:jc w:val="right"/>
            </w:pPr>
            <w:r w:rsidRPr="00CC19F7">
              <w:t>7 mill. kroner</w:t>
            </w:r>
          </w:p>
        </w:tc>
      </w:tr>
      <w:tr w:rsidR="00FE02EF" w:rsidRPr="00CC19F7" w14:paraId="374091C6" w14:textId="77777777">
        <w:trPr>
          <w:trHeight w:val="380"/>
        </w:trPr>
        <w:tc>
          <w:tcPr>
            <w:tcW w:w="680" w:type="dxa"/>
            <w:tcBorders>
              <w:top w:val="nil"/>
              <w:left w:val="nil"/>
              <w:bottom w:val="nil"/>
              <w:right w:val="nil"/>
            </w:tcBorders>
            <w:tcMar>
              <w:top w:w="128" w:type="dxa"/>
              <w:left w:w="43" w:type="dxa"/>
              <w:bottom w:w="43" w:type="dxa"/>
              <w:right w:w="43" w:type="dxa"/>
            </w:tcMar>
          </w:tcPr>
          <w:p w14:paraId="61C1463B" w14:textId="77777777" w:rsidR="00FE02EF" w:rsidRPr="00CC19F7" w:rsidRDefault="00881E58" w:rsidP="005A5262">
            <w:r w:rsidRPr="00CC19F7">
              <w:t>1810</w:t>
            </w:r>
          </w:p>
        </w:tc>
        <w:tc>
          <w:tcPr>
            <w:tcW w:w="680" w:type="dxa"/>
            <w:tcBorders>
              <w:top w:val="nil"/>
              <w:left w:val="nil"/>
              <w:bottom w:val="nil"/>
              <w:right w:val="nil"/>
            </w:tcBorders>
            <w:tcMar>
              <w:top w:w="128" w:type="dxa"/>
              <w:left w:w="43" w:type="dxa"/>
              <w:bottom w:w="43" w:type="dxa"/>
              <w:right w:w="43" w:type="dxa"/>
            </w:tcMar>
          </w:tcPr>
          <w:p w14:paraId="4EB03A8C" w14:textId="77777777" w:rsidR="00FE02EF" w:rsidRPr="00CC19F7" w:rsidRDefault="00FE02EF" w:rsidP="005A5262"/>
        </w:tc>
        <w:tc>
          <w:tcPr>
            <w:tcW w:w="6480" w:type="dxa"/>
            <w:tcBorders>
              <w:top w:val="nil"/>
              <w:left w:val="nil"/>
              <w:bottom w:val="nil"/>
              <w:right w:val="nil"/>
            </w:tcBorders>
            <w:tcMar>
              <w:top w:w="128" w:type="dxa"/>
              <w:left w:w="43" w:type="dxa"/>
              <w:bottom w:w="43" w:type="dxa"/>
              <w:right w:w="43" w:type="dxa"/>
            </w:tcMar>
          </w:tcPr>
          <w:p w14:paraId="59C2E307" w14:textId="77777777" w:rsidR="00FE02EF" w:rsidRPr="00CC19F7" w:rsidRDefault="00881E58" w:rsidP="005A5262">
            <w:r w:rsidRPr="00CC19F7">
              <w:t>Sokkeldirektoratet</w:t>
            </w:r>
          </w:p>
        </w:tc>
        <w:tc>
          <w:tcPr>
            <w:tcW w:w="1760" w:type="dxa"/>
            <w:tcBorders>
              <w:top w:val="nil"/>
              <w:left w:val="nil"/>
              <w:bottom w:val="nil"/>
              <w:right w:val="nil"/>
            </w:tcBorders>
            <w:tcMar>
              <w:top w:w="128" w:type="dxa"/>
              <w:left w:w="43" w:type="dxa"/>
              <w:bottom w:w="43" w:type="dxa"/>
              <w:right w:w="43" w:type="dxa"/>
            </w:tcMar>
            <w:vAlign w:val="bottom"/>
          </w:tcPr>
          <w:p w14:paraId="248C590A" w14:textId="77777777" w:rsidR="00FE02EF" w:rsidRPr="00CC19F7" w:rsidRDefault="00FE02EF" w:rsidP="005A5262">
            <w:pPr>
              <w:jc w:val="right"/>
            </w:pPr>
          </w:p>
        </w:tc>
      </w:tr>
      <w:tr w:rsidR="00FE02EF" w:rsidRPr="00CC19F7" w14:paraId="029E3DDD" w14:textId="77777777">
        <w:trPr>
          <w:trHeight w:val="380"/>
        </w:trPr>
        <w:tc>
          <w:tcPr>
            <w:tcW w:w="680" w:type="dxa"/>
            <w:tcBorders>
              <w:top w:val="nil"/>
              <w:left w:val="nil"/>
              <w:bottom w:val="nil"/>
              <w:right w:val="nil"/>
            </w:tcBorders>
            <w:tcMar>
              <w:top w:w="128" w:type="dxa"/>
              <w:left w:w="43" w:type="dxa"/>
              <w:bottom w:w="43" w:type="dxa"/>
              <w:right w:w="43" w:type="dxa"/>
            </w:tcMar>
          </w:tcPr>
          <w:p w14:paraId="43253B29" w14:textId="77777777" w:rsidR="00FE02EF" w:rsidRPr="00CC19F7" w:rsidRDefault="00FE02EF" w:rsidP="005A5262"/>
        </w:tc>
        <w:tc>
          <w:tcPr>
            <w:tcW w:w="680" w:type="dxa"/>
            <w:tcBorders>
              <w:top w:val="nil"/>
              <w:left w:val="nil"/>
              <w:bottom w:val="nil"/>
              <w:right w:val="nil"/>
            </w:tcBorders>
            <w:tcMar>
              <w:top w:w="128" w:type="dxa"/>
              <w:left w:w="43" w:type="dxa"/>
              <w:bottom w:w="43" w:type="dxa"/>
              <w:right w:w="43" w:type="dxa"/>
            </w:tcMar>
          </w:tcPr>
          <w:p w14:paraId="065B72C2" w14:textId="77777777" w:rsidR="00FE02EF" w:rsidRPr="00CC19F7" w:rsidRDefault="00881E58" w:rsidP="005A5262">
            <w:r w:rsidRPr="00CC19F7">
              <w:t>21</w:t>
            </w:r>
          </w:p>
        </w:tc>
        <w:tc>
          <w:tcPr>
            <w:tcW w:w="6480" w:type="dxa"/>
            <w:tcBorders>
              <w:top w:val="nil"/>
              <w:left w:val="nil"/>
              <w:bottom w:val="nil"/>
              <w:right w:val="nil"/>
            </w:tcBorders>
            <w:tcMar>
              <w:top w:w="128" w:type="dxa"/>
              <w:left w:w="43" w:type="dxa"/>
              <w:bottom w:w="43" w:type="dxa"/>
              <w:right w:w="43" w:type="dxa"/>
            </w:tcMar>
          </w:tcPr>
          <w:p w14:paraId="7D4E2E4D" w14:textId="77777777" w:rsidR="00FE02EF" w:rsidRPr="00CC19F7" w:rsidRDefault="00881E58" w:rsidP="005A5262">
            <w:r w:rsidRPr="00CC19F7">
              <w:t>Spesielle driftsutgifter</w:t>
            </w:r>
          </w:p>
        </w:tc>
        <w:tc>
          <w:tcPr>
            <w:tcW w:w="1760" w:type="dxa"/>
            <w:tcBorders>
              <w:top w:val="nil"/>
              <w:left w:val="nil"/>
              <w:bottom w:val="nil"/>
              <w:right w:val="nil"/>
            </w:tcBorders>
            <w:tcMar>
              <w:top w:w="128" w:type="dxa"/>
              <w:left w:w="43" w:type="dxa"/>
              <w:bottom w:w="43" w:type="dxa"/>
              <w:right w:w="43" w:type="dxa"/>
            </w:tcMar>
            <w:vAlign w:val="bottom"/>
          </w:tcPr>
          <w:p w14:paraId="3B533829" w14:textId="77777777" w:rsidR="00FE02EF" w:rsidRPr="00CC19F7" w:rsidRDefault="00881E58" w:rsidP="005A5262">
            <w:pPr>
              <w:jc w:val="right"/>
            </w:pPr>
            <w:r w:rsidRPr="00CC19F7">
              <w:t>50 mill. kroner</w:t>
            </w:r>
          </w:p>
        </w:tc>
      </w:tr>
      <w:tr w:rsidR="00FE02EF" w:rsidRPr="00CC19F7" w14:paraId="0D76174C" w14:textId="77777777">
        <w:trPr>
          <w:trHeight w:val="380"/>
        </w:trPr>
        <w:tc>
          <w:tcPr>
            <w:tcW w:w="680" w:type="dxa"/>
            <w:tcBorders>
              <w:top w:val="nil"/>
              <w:left w:val="nil"/>
              <w:bottom w:val="nil"/>
              <w:right w:val="nil"/>
            </w:tcBorders>
            <w:tcMar>
              <w:top w:w="128" w:type="dxa"/>
              <w:left w:w="43" w:type="dxa"/>
              <w:bottom w:w="43" w:type="dxa"/>
              <w:right w:w="43" w:type="dxa"/>
            </w:tcMar>
          </w:tcPr>
          <w:p w14:paraId="0BB7E6E9" w14:textId="77777777" w:rsidR="00FE02EF" w:rsidRPr="00CC19F7" w:rsidRDefault="00881E58" w:rsidP="005A5262">
            <w:r w:rsidRPr="00CC19F7">
              <w:t>1820</w:t>
            </w:r>
          </w:p>
        </w:tc>
        <w:tc>
          <w:tcPr>
            <w:tcW w:w="680" w:type="dxa"/>
            <w:tcBorders>
              <w:top w:val="nil"/>
              <w:left w:val="nil"/>
              <w:bottom w:val="nil"/>
              <w:right w:val="nil"/>
            </w:tcBorders>
            <w:tcMar>
              <w:top w:w="128" w:type="dxa"/>
              <w:left w:w="43" w:type="dxa"/>
              <w:bottom w:w="43" w:type="dxa"/>
              <w:right w:w="43" w:type="dxa"/>
            </w:tcMar>
          </w:tcPr>
          <w:p w14:paraId="29221EC9" w14:textId="77777777" w:rsidR="00FE02EF" w:rsidRPr="00CC19F7" w:rsidRDefault="00FE02EF" w:rsidP="005A5262"/>
        </w:tc>
        <w:tc>
          <w:tcPr>
            <w:tcW w:w="6480" w:type="dxa"/>
            <w:tcBorders>
              <w:top w:val="nil"/>
              <w:left w:val="nil"/>
              <w:bottom w:val="nil"/>
              <w:right w:val="nil"/>
            </w:tcBorders>
            <w:tcMar>
              <w:top w:w="128" w:type="dxa"/>
              <w:left w:w="43" w:type="dxa"/>
              <w:bottom w:w="43" w:type="dxa"/>
              <w:right w:w="43" w:type="dxa"/>
            </w:tcMar>
          </w:tcPr>
          <w:p w14:paraId="1D03E0F3" w14:textId="77777777" w:rsidR="00FE02EF" w:rsidRPr="00CC19F7" w:rsidRDefault="00881E58" w:rsidP="005A5262">
            <w:proofErr w:type="spellStart"/>
            <w:r w:rsidRPr="00CC19F7">
              <w:t>Noregs</w:t>
            </w:r>
            <w:proofErr w:type="spellEnd"/>
            <w:r w:rsidRPr="00CC19F7">
              <w:t xml:space="preserve"> vassdrags- og energidirektorat</w:t>
            </w:r>
          </w:p>
        </w:tc>
        <w:tc>
          <w:tcPr>
            <w:tcW w:w="1760" w:type="dxa"/>
            <w:tcBorders>
              <w:top w:val="nil"/>
              <w:left w:val="nil"/>
              <w:bottom w:val="nil"/>
              <w:right w:val="nil"/>
            </w:tcBorders>
            <w:tcMar>
              <w:top w:w="128" w:type="dxa"/>
              <w:left w:w="43" w:type="dxa"/>
              <w:bottom w:w="43" w:type="dxa"/>
              <w:right w:w="43" w:type="dxa"/>
            </w:tcMar>
            <w:vAlign w:val="bottom"/>
          </w:tcPr>
          <w:p w14:paraId="38D99000" w14:textId="77777777" w:rsidR="00FE02EF" w:rsidRPr="00CC19F7" w:rsidRDefault="00FE02EF" w:rsidP="005A5262">
            <w:pPr>
              <w:jc w:val="right"/>
            </w:pPr>
          </w:p>
        </w:tc>
      </w:tr>
      <w:tr w:rsidR="00FE02EF" w:rsidRPr="00CC19F7" w14:paraId="1F7439C3" w14:textId="77777777">
        <w:trPr>
          <w:trHeight w:val="380"/>
        </w:trPr>
        <w:tc>
          <w:tcPr>
            <w:tcW w:w="680" w:type="dxa"/>
            <w:tcBorders>
              <w:top w:val="nil"/>
              <w:left w:val="nil"/>
              <w:bottom w:val="nil"/>
              <w:right w:val="nil"/>
            </w:tcBorders>
            <w:tcMar>
              <w:top w:w="128" w:type="dxa"/>
              <w:left w:w="43" w:type="dxa"/>
              <w:bottom w:w="43" w:type="dxa"/>
              <w:right w:w="43" w:type="dxa"/>
            </w:tcMar>
          </w:tcPr>
          <w:p w14:paraId="06687EC0" w14:textId="77777777" w:rsidR="00FE02EF" w:rsidRPr="00CC19F7" w:rsidRDefault="00FE02EF" w:rsidP="005A5262"/>
        </w:tc>
        <w:tc>
          <w:tcPr>
            <w:tcW w:w="680" w:type="dxa"/>
            <w:tcBorders>
              <w:top w:val="nil"/>
              <w:left w:val="nil"/>
              <w:bottom w:val="nil"/>
              <w:right w:val="nil"/>
            </w:tcBorders>
            <w:tcMar>
              <w:top w:w="128" w:type="dxa"/>
              <w:left w:w="43" w:type="dxa"/>
              <w:bottom w:w="43" w:type="dxa"/>
              <w:right w:w="43" w:type="dxa"/>
            </w:tcMar>
          </w:tcPr>
          <w:p w14:paraId="71D351CE" w14:textId="77777777" w:rsidR="00FE02EF" w:rsidRPr="00CC19F7" w:rsidRDefault="00881E58" w:rsidP="005A5262">
            <w:r w:rsidRPr="00CC19F7">
              <w:t>21</w:t>
            </w:r>
          </w:p>
        </w:tc>
        <w:tc>
          <w:tcPr>
            <w:tcW w:w="6480" w:type="dxa"/>
            <w:tcBorders>
              <w:top w:val="nil"/>
              <w:left w:val="nil"/>
              <w:bottom w:val="nil"/>
              <w:right w:val="nil"/>
            </w:tcBorders>
            <w:tcMar>
              <w:top w:w="128" w:type="dxa"/>
              <w:left w:w="43" w:type="dxa"/>
              <w:bottom w:w="43" w:type="dxa"/>
              <w:right w:w="43" w:type="dxa"/>
            </w:tcMar>
          </w:tcPr>
          <w:p w14:paraId="52F645AB" w14:textId="77777777" w:rsidR="00FE02EF" w:rsidRPr="00CC19F7" w:rsidRDefault="00881E58" w:rsidP="005A5262">
            <w:r w:rsidRPr="00CC19F7">
              <w:t>Spesielle driftsutgifter</w:t>
            </w:r>
          </w:p>
        </w:tc>
        <w:tc>
          <w:tcPr>
            <w:tcW w:w="1760" w:type="dxa"/>
            <w:tcBorders>
              <w:top w:val="nil"/>
              <w:left w:val="nil"/>
              <w:bottom w:val="nil"/>
              <w:right w:val="nil"/>
            </w:tcBorders>
            <w:tcMar>
              <w:top w:w="128" w:type="dxa"/>
              <w:left w:w="43" w:type="dxa"/>
              <w:bottom w:w="43" w:type="dxa"/>
              <w:right w:w="43" w:type="dxa"/>
            </w:tcMar>
            <w:vAlign w:val="bottom"/>
          </w:tcPr>
          <w:p w14:paraId="4CDB9872" w14:textId="77777777" w:rsidR="00FE02EF" w:rsidRPr="00CC19F7" w:rsidRDefault="00881E58" w:rsidP="005A5262">
            <w:pPr>
              <w:jc w:val="right"/>
            </w:pPr>
            <w:r w:rsidRPr="00CC19F7">
              <w:t>50 mill. kroner</w:t>
            </w:r>
          </w:p>
        </w:tc>
      </w:tr>
      <w:tr w:rsidR="00FE02EF" w:rsidRPr="00CC19F7" w14:paraId="52909612" w14:textId="77777777">
        <w:trPr>
          <w:trHeight w:val="380"/>
        </w:trPr>
        <w:tc>
          <w:tcPr>
            <w:tcW w:w="680" w:type="dxa"/>
            <w:tcBorders>
              <w:top w:val="nil"/>
              <w:left w:val="nil"/>
              <w:bottom w:val="nil"/>
              <w:right w:val="nil"/>
            </w:tcBorders>
            <w:tcMar>
              <w:top w:w="128" w:type="dxa"/>
              <w:left w:w="43" w:type="dxa"/>
              <w:bottom w:w="43" w:type="dxa"/>
              <w:right w:w="43" w:type="dxa"/>
            </w:tcMar>
          </w:tcPr>
          <w:p w14:paraId="48D8BA57" w14:textId="77777777" w:rsidR="00FE02EF" w:rsidRPr="00CC19F7" w:rsidRDefault="00FE02EF" w:rsidP="005A5262"/>
        </w:tc>
        <w:tc>
          <w:tcPr>
            <w:tcW w:w="680" w:type="dxa"/>
            <w:tcBorders>
              <w:top w:val="nil"/>
              <w:left w:val="nil"/>
              <w:bottom w:val="nil"/>
              <w:right w:val="nil"/>
            </w:tcBorders>
            <w:tcMar>
              <w:top w:w="128" w:type="dxa"/>
              <w:left w:w="43" w:type="dxa"/>
              <w:bottom w:w="43" w:type="dxa"/>
              <w:right w:w="43" w:type="dxa"/>
            </w:tcMar>
          </w:tcPr>
          <w:p w14:paraId="3D7186E7" w14:textId="77777777" w:rsidR="00FE02EF" w:rsidRPr="00CC19F7" w:rsidRDefault="00881E58" w:rsidP="005A5262">
            <w:r w:rsidRPr="00CC19F7">
              <w:t>22</w:t>
            </w:r>
          </w:p>
        </w:tc>
        <w:tc>
          <w:tcPr>
            <w:tcW w:w="6480" w:type="dxa"/>
            <w:tcBorders>
              <w:top w:val="nil"/>
              <w:left w:val="nil"/>
              <w:bottom w:val="nil"/>
              <w:right w:val="nil"/>
            </w:tcBorders>
            <w:tcMar>
              <w:top w:w="128" w:type="dxa"/>
              <w:left w:w="43" w:type="dxa"/>
              <w:bottom w:w="43" w:type="dxa"/>
              <w:right w:w="43" w:type="dxa"/>
            </w:tcMar>
          </w:tcPr>
          <w:p w14:paraId="475129F4" w14:textId="77777777" w:rsidR="00FE02EF" w:rsidRPr="00CC19F7" w:rsidRDefault="00881E58" w:rsidP="005A5262">
            <w:proofErr w:type="spellStart"/>
            <w:r w:rsidRPr="00CC19F7">
              <w:t>Flaum</w:t>
            </w:r>
            <w:proofErr w:type="spellEnd"/>
            <w:r w:rsidRPr="00CC19F7">
              <w:t xml:space="preserve">- og </w:t>
            </w:r>
            <w:proofErr w:type="spellStart"/>
            <w:r w:rsidRPr="00CC19F7">
              <w:t>skredførebygging</w:t>
            </w:r>
            <w:proofErr w:type="spellEnd"/>
          </w:p>
        </w:tc>
        <w:tc>
          <w:tcPr>
            <w:tcW w:w="1760" w:type="dxa"/>
            <w:tcBorders>
              <w:top w:val="nil"/>
              <w:left w:val="nil"/>
              <w:bottom w:val="nil"/>
              <w:right w:val="nil"/>
            </w:tcBorders>
            <w:tcMar>
              <w:top w:w="128" w:type="dxa"/>
              <w:left w:w="43" w:type="dxa"/>
              <w:bottom w:w="43" w:type="dxa"/>
              <w:right w:w="43" w:type="dxa"/>
            </w:tcMar>
            <w:vAlign w:val="bottom"/>
          </w:tcPr>
          <w:p w14:paraId="0FC34DE9" w14:textId="77777777" w:rsidR="00FE02EF" w:rsidRPr="00CC19F7" w:rsidRDefault="00881E58" w:rsidP="005A5262">
            <w:pPr>
              <w:jc w:val="right"/>
            </w:pPr>
            <w:r w:rsidRPr="00CC19F7">
              <w:t>200 mill. kroner</w:t>
            </w:r>
          </w:p>
        </w:tc>
      </w:tr>
      <w:tr w:rsidR="00FE02EF" w:rsidRPr="00CC19F7" w14:paraId="1CACF804" w14:textId="77777777">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0FDA13BF" w14:textId="77777777" w:rsidR="00FE02EF" w:rsidRPr="00CC19F7" w:rsidRDefault="00FE02EF" w:rsidP="005A5262"/>
        </w:tc>
        <w:tc>
          <w:tcPr>
            <w:tcW w:w="680" w:type="dxa"/>
            <w:tcBorders>
              <w:top w:val="nil"/>
              <w:left w:val="nil"/>
              <w:bottom w:val="single" w:sz="4" w:space="0" w:color="000000"/>
              <w:right w:val="nil"/>
            </w:tcBorders>
            <w:tcMar>
              <w:top w:w="128" w:type="dxa"/>
              <w:left w:w="43" w:type="dxa"/>
              <w:bottom w:w="43" w:type="dxa"/>
              <w:right w:w="43" w:type="dxa"/>
            </w:tcMar>
          </w:tcPr>
          <w:p w14:paraId="3C344CBF" w14:textId="77777777" w:rsidR="00FE02EF" w:rsidRPr="00CC19F7" w:rsidRDefault="00881E58" w:rsidP="005A5262">
            <w:r w:rsidRPr="00CC19F7">
              <w:t>25</w:t>
            </w:r>
          </w:p>
        </w:tc>
        <w:tc>
          <w:tcPr>
            <w:tcW w:w="6480" w:type="dxa"/>
            <w:tcBorders>
              <w:top w:val="nil"/>
              <w:left w:val="nil"/>
              <w:bottom w:val="single" w:sz="4" w:space="0" w:color="000000"/>
              <w:right w:val="nil"/>
            </w:tcBorders>
            <w:tcMar>
              <w:top w:w="128" w:type="dxa"/>
              <w:left w:w="43" w:type="dxa"/>
              <w:bottom w:w="43" w:type="dxa"/>
              <w:right w:w="43" w:type="dxa"/>
            </w:tcMar>
          </w:tcPr>
          <w:p w14:paraId="3D71045E" w14:textId="77777777" w:rsidR="00FE02EF" w:rsidRPr="00CC19F7" w:rsidRDefault="00881E58" w:rsidP="005A5262">
            <w:r w:rsidRPr="00CC19F7">
              <w:t xml:space="preserve">Krise- og hastetiltak i samband med </w:t>
            </w:r>
            <w:proofErr w:type="spellStart"/>
            <w:r w:rsidRPr="00CC19F7">
              <w:t>flaum</w:t>
            </w:r>
            <w:proofErr w:type="spellEnd"/>
            <w:r w:rsidRPr="00CC19F7">
              <w:t xml:space="preserve">- og </w:t>
            </w:r>
            <w:proofErr w:type="spellStart"/>
            <w:r w:rsidRPr="00CC19F7">
              <w:t>skredhendingar</w:t>
            </w:r>
            <w:proofErr w:type="spellEnd"/>
          </w:p>
        </w:tc>
        <w:tc>
          <w:tcPr>
            <w:tcW w:w="1760" w:type="dxa"/>
            <w:tcBorders>
              <w:top w:val="nil"/>
              <w:left w:val="nil"/>
              <w:bottom w:val="single" w:sz="4" w:space="0" w:color="000000"/>
              <w:right w:val="nil"/>
            </w:tcBorders>
            <w:tcMar>
              <w:top w:w="128" w:type="dxa"/>
              <w:left w:w="43" w:type="dxa"/>
              <w:bottom w:w="43" w:type="dxa"/>
              <w:right w:w="43" w:type="dxa"/>
            </w:tcMar>
            <w:vAlign w:val="bottom"/>
          </w:tcPr>
          <w:p w14:paraId="33C160D7" w14:textId="77777777" w:rsidR="00FE02EF" w:rsidRPr="00CC19F7" w:rsidRDefault="00881E58" w:rsidP="005A5262">
            <w:pPr>
              <w:jc w:val="right"/>
            </w:pPr>
            <w:r w:rsidRPr="00CC19F7">
              <w:t>50 mill. kroner</w:t>
            </w:r>
          </w:p>
        </w:tc>
      </w:tr>
    </w:tbl>
    <w:p w14:paraId="2A13AF07" w14:textId="77777777" w:rsidR="00FE02EF" w:rsidRPr="00CC19F7" w:rsidRDefault="00881E58" w:rsidP="00CC19F7">
      <w:pPr>
        <w:pStyle w:val="a-vedtak-del"/>
      </w:pPr>
      <w:r w:rsidRPr="00CC19F7">
        <w:t>IV</w:t>
      </w:r>
    </w:p>
    <w:p w14:paraId="502E65C0" w14:textId="77777777" w:rsidR="00FE02EF" w:rsidRPr="00CC19F7" w:rsidRDefault="00881E58" w:rsidP="00CC19F7">
      <w:pPr>
        <w:pStyle w:val="a-vedtak-tekst"/>
      </w:pPr>
      <w:proofErr w:type="spellStart"/>
      <w:r w:rsidRPr="00CC19F7">
        <w:t>Tilsegnsfullmakter</w:t>
      </w:r>
      <w:proofErr w:type="spellEnd"/>
    </w:p>
    <w:p w14:paraId="1F025829" w14:textId="77777777" w:rsidR="00FE02EF" w:rsidRPr="00CC19F7" w:rsidRDefault="00881E58" w:rsidP="00CC19F7">
      <w:r w:rsidRPr="00CC19F7">
        <w:t xml:space="preserve">Stortinget samtykker i at Olje- og energidepartementet i 2024 kan gi </w:t>
      </w:r>
      <w:proofErr w:type="spellStart"/>
      <w:r w:rsidRPr="00CC19F7">
        <w:t>tilsegn</w:t>
      </w:r>
      <w:proofErr w:type="spellEnd"/>
      <w:r w:rsidRPr="00CC19F7">
        <w:t xml:space="preserve"> utover gitt løyving, men slik at den samla ramma for nye </w:t>
      </w:r>
      <w:proofErr w:type="spellStart"/>
      <w:r w:rsidRPr="00CC19F7">
        <w:t>tilsegner</w:t>
      </w:r>
      <w:proofErr w:type="spellEnd"/>
      <w:r w:rsidRPr="00CC19F7">
        <w:t xml:space="preserve"> og gammalt ansvar </w:t>
      </w:r>
      <w:proofErr w:type="spellStart"/>
      <w:r w:rsidRPr="00CC19F7">
        <w:t>ikkje</w:t>
      </w:r>
      <w:proofErr w:type="spellEnd"/>
      <w:r w:rsidRPr="00CC19F7">
        <w:t xml:space="preserve"> overstig </w:t>
      </w:r>
      <w:proofErr w:type="spellStart"/>
      <w:r w:rsidRPr="00CC19F7">
        <w:t>følgande</w:t>
      </w:r>
      <w:proofErr w:type="spellEnd"/>
      <w:r w:rsidRPr="00CC19F7">
        <w:t xml:space="preserve"> beløp:</w:t>
      </w:r>
    </w:p>
    <w:p w14:paraId="37FCD577" w14:textId="77777777" w:rsidR="00FE02EF" w:rsidRPr="00CC19F7" w:rsidRDefault="00881E58" w:rsidP="00CC19F7">
      <w:pPr>
        <w:pStyle w:val="Tabellnavn"/>
      </w:pPr>
      <w:r w:rsidRPr="00CC19F7">
        <w:t>04N1xt2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6480"/>
        <w:gridCol w:w="1760"/>
      </w:tblGrid>
      <w:tr w:rsidR="00FE02EF" w:rsidRPr="00CC19F7" w14:paraId="4470D07C" w14:textId="77777777">
        <w:trPr>
          <w:trHeight w:val="360"/>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9961563" w14:textId="77777777" w:rsidR="00FE02EF" w:rsidRPr="00CC19F7" w:rsidRDefault="00881E58" w:rsidP="005A5262">
            <w:r w:rsidRPr="00CC19F7">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DBF6B08" w14:textId="77777777" w:rsidR="00FE02EF" w:rsidRPr="00CC19F7" w:rsidRDefault="00881E58" w:rsidP="005A5262">
            <w:r w:rsidRPr="00CC19F7">
              <w:t>Post</w:t>
            </w:r>
          </w:p>
        </w:tc>
        <w:tc>
          <w:tcPr>
            <w:tcW w:w="64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379D353" w14:textId="77777777" w:rsidR="00FE02EF" w:rsidRPr="00CC19F7" w:rsidRDefault="00881E58" w:rsidP="005A5262">
            <w:proofErr w:type="spellStart"/>
            <w:r w:rsidRPr="00CC19F7">
              <w:t>Nemning</w:t>
            </w:r>
            <w:proofErr w:type="spellEnd"/>
          </w:p>
        </w:tc>
        <w:tc>
          <w:tcPr>
            <w:tcW w:w="1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3ACBA37" w14:textId="77777777" w:rsidR="00FE02EF" w:rsidRPr="00CC19F7" w:rsidRDefault="00881E58" w:rsidP="005A5262">
            <w:pPr>
              <w:jc w:val="right"/>
            </w:pPr>
            <w:r w:rsidRPr="00CC19F7">
              <w:t>Samla ramme</w:t>
            </w:r>
          </w:p>
        </w:tc>
      </w:tr>
      <w:tr w:rsidR="00FE02EF" w:rsidRPr="00CC19F7" w14:paraId="29DB1783" w14:textId="77777777">
        <w:trPr>
          <w:trHeight w:val="380"/>
        </w:trPr>
        <w:tc>
          <w:tcPr>
            <w:tcW w:w="680" w:type="dxa"/>
            <w:tcBorders>
              <w:top w:val="single" w:sz="4" w:space="0" w:color="000000"/>
              <w:left w:val="nil"/>
              <w:bottom w:val="nil"/>
              <w:right w:val="nil"/>
            </w:tcBorders>
            <w:tcMar>
              <w:top w:w="128" w:type="dxa"/>
              <w:left w:w="43" w:type="dxa"/>
              <w:bottom w:w="43" w:type="dxa"/>
              <w:right w:w="43" w:type="dxa"/>
            </w:tcMar>
          </w:tcPr>
          <w:p w14:paraId="36FAEC4E" w14:textId="77777777" w:rsidR="00FE02EF" w:rsidRPr="00CC19F7" w:rsidRDefault="00881E58" w:rsidP="005A5262">
            <w:r w:rsidRPr="00CC19F7">
              <w:t>1800</w:t>
            </w:r>
          </w:p>
        </w:tc>
        <w:tc>
          <w:tcPr>
            <w:tcW w:w="680" w:type="dxa"/>
            <w:tcBorders>
              <w:top w:val="single" w:sz="4" w:space="0" w:color="000000"/>
              <w:left w:val="nil"/>
              <w:bottom w:val="nil"/>
              <w:right w:val="nil"/>
            </w:tcBorders>
            <w:tcMar>
              <w:top w:w="128" w:type="dxa"/>
              <w:left w:w="43" w:type="dxa"/>
              <w:bottom w:w="43" w:type="dxa"/>
              <w:right w:w="43" w:type="dxa"/>
            </w:tcMar>
          </w:tcPr>
          <w:p w14:paraId="53483C35" w14:textId="77777777" w:rsidR="00FE02EF" w:rsidRPr="00CC19F7" w:rsidRDefault="00FE02EF" w:rsidP="005A5262"/>
        </w:tc>
        <w:tc>
          <w:tcPr>
            <w:tcW w:w="6480" w:type="dxa"/>
            <w:tcBorders>
              <w:top w:val="single" w:sz="4" w:space="0" w:color="000000"/>
              <w:left w:val="nil"/>
              <w:bottom w:val="nil"/>
              <w:right w:val="nil"/>
            </w:tcBorders>
            <w:tcMar>
              <w:top w:w="128" w:type="dxa"/>
              <w:left w:w="43" w:type="dxa"/>
              <w:bottom w:w="43" w:type="dxa"/>
              <w:right w:w="43" w:type="dxa"/>
            </w:tcMar>
          </w:tcPr>
          <w:p w14:paraId="153AAF39" w14:textId="77777777" w:rsidR="00FE02EF" w:rsidRPr="00CC19F7" w:rsidRDefault="00881E58" w:rsidP="005A5262">
            <w:r w:rsidRPr="00CC19F7">
              <w:t>Olje- og energidepartementet</w:t>
            </w:r>
          </w:p>
        </w:tc>
        <w:tc>
          <w:tcPr>
            <w:tcW w:w="1760" w:type="dxa"/>
            <w:tcBorders>
              <w:top w:val="single" w:sz="4" w:space="0" w:color="000000"/>
              <w:left w:val="nil"/>
              <w:bottom w:val="nil"/>
              <w:right w:val="nil"/>
            </w:tcBorders>
            <w:tcMar>
              <w:top w:w="128" w:type="dxa"/>
              <w:left w:w="43" w:type="dxa"/>
              <w:bottom w:w="43" w:type="dxa"/>
              <w:right w:w="43" w:type="dxa"/>
            </w:tcMar>
            <w:vAlign w:val="bottom"/>
          </w:tcPr>
          <w:p w14:paraId="0760DBC0" w14:textId="77777777" w:rsidR="00FE02EF" w:rsidRPr="00CC19F7" w:rsidRDefault="00FE02EF" w:rsidP="005A5262">
            <w:pPr>
              <w:jc w:val="right"/>
            </w:pPr>
          </w:p>
        </w:tc>
      </w:tr>
      <w:tr w:rsidR="00FE02EF" w:rsidRPr="00CC19F7" w14:paraId="7A167B9C" w14:textId="77777777">
        <w:trPr>
          <w:trHeight w:val="380"/>
        </w:trPr>
        <w:tc>
          <w:tcPr>
            <w:tcW w:w="680" w:type="dxa"/>
            <w:tcBorders>
              <w:top w:val="nil"/>
              <w:left w:val="nil"/>
              <w:bottom w:val="nil"/>
              <w:right w:val="nil"/>
            </w:tcBorders>
            <w:tcMar>
              <w:top w:w="128" w:type="dxa"/>
              <w:left w:w="43" w:type="dxa"/>
              <w:bottom w:w="43" w:type="dxa"/>
              <w:right w:w="43" w:type="dxa"/>
            </w:tcMar>
          </w:tcPr>
          <w:p w14:paraId="5521D05C" w14:textId="77777777" w:rsidR="00FE02EF" w:rsidRPr="00CC19F7" w:rsidRDefault="00FE02EF" w:rsidP="005A5262"/>
        </w:tc>
        <w:tc>
          <w:tcPr>
            <w:tcW w:w="680" w:type="dxa"/>
            <w:tcBorders>
              <w:top w:val="nil"/>
              <w:left w:val="nil"/>
              <w:bottom w:val="nil"/>
              <w:right w:val="nil"/>
            </w:tcBorders>
            <w:tcMar>
              <w:top w:w="128" w:type="dxa"/>
              <w:left w:w="43" w:type="dxa"/>
              <w:bottom w:w="43" w:type="dxa"/>
              <w:right w:w="43" w:type="dxa"/>
            </w:tcMar>
          </w:tcPr>
          <w:p w14:paraId="0D43361D" w14:textId="77777777" w:rsidR="00FE02EF" w:rsidRPr="00CC19F7" w:rsidRDefault="00881E58" w:rsidP="005A5262">
            <w:r w:rsidRPr="00CC19F7">
              <w:t>72</w:t>
            </w:r>
          </w:p>
        </w:tc>
        <w:tc>
          <w:tcPr>
            <w:tcW w:w="6480" w:type="dxa"/>
            <w:tcBorders>
              <w:top w:val="nil"/>
              <w:left w:val="nil"/>
              <w:bottom w:val="nil"/>
              <w:right w:val="nil"/>
            </w:tcBorders>
            <w:tcMar>
              <w:top w:w="128" w:type="dxa"/>
              <w:left w:w="43" w:type="dxa"/>
              <w:bottom w:w="43" w:type="dxa"/>
              <w:right w:w="43" w:type="dxa"/>
            </w:tcMar>
          </w:tcPr>
          <w:p w14:paraId="667F9E18" w14:textId="77777777" w:rsidR="00FE02EF" w:rsidRPr="00CC19F7" w:rsidRDefault="00881E58" w:rsidP="005A5262">
            <w:proofErr w:type="spellStart"/>
            <w:r w:rsidRPr="00CC19F7">
              <w:t>Tilskot</w:t>
            </w:r>
            <w:proofErr w:type="spellEnd"/>
            <w:r w:rsidRPr="00CC19F7">
              <w:t xml:space="preserve"> til petroleums- og energiformål</w:t>
            </w:r>
          </w:p>
        </w:tc>
        <w:tc>
          <w:tcPr>
            <w:tcW w:w="1760" w:type="dxa"/>
            <w:tcBorders>
              <w:top w:val="nil"/>
              <w:left w:val="nil"/>
              <w:bottom w:val="nil"/>
              <w:right w:val="nil"/>
            </w:tcBorders>
            <w:tcMar>
              <w:top w:w="128" w:type="dxa"/>
              <w:left w:w="43" w:type="dxa"/>
              <w:bottom w:w="43" w:type="dxa"/>
              <w:right w:w="43" w:type="dxa"/>
            </w:tcMar>
            <w:vAlign w:val="bottom"/>
          </w:tcPr>
          <w:p w14:paraId="48E0FB53" w14:textId="77777777" w:rsidR="00FE02EF" w:rsidRPr="00CC19F7" w:rsidRDefault="00881E58" w:rsidP="005A5262">
            <w:pPr>
              <w:jc w:val="right"/>
            </w:pPr>
            <w:r w:rsidRPr="00CC19F7">
              <w:t>10 mill. kroner</w:t>
            </w:r>
          </w:p>
        </w:tc>
      </w:tr>
      <w:tr w:rsidR="00FE02EF" w:rsidRPr="00CC19F7" w14:paraId="08EFF616" w14:textId="77777777">
        <w:trPr>
          <w:trHeight w:val="380"/>
        </w:trPr>
        <w:tc>
          <w:tcPr>
            <w:tcW w:w="680" w:type="dxa"/>
            <w:tcBorders>
              <w:top w:val="nil"/>
              <w:left w:val="nil"/>
              <w:bottom w:val="nil"/>
              <w:right w:val="nil"/>
            </w:tcBorders>
            <w:tcMar>
              <w:top w:w="128" w:type="dxa"/>
              <w:left w:w="43" w:type="dxa"/>
              <w:bottom w:w="43" w:type="dxa"/>
              <w:right w:w="43" w:type="dxa"/>
            </w:tcMar>
          </w:tcPr>
          <w:p w14:paraId="4B91156B" w14:textId="77777777" w:rsidR="00FE02EF" w:rsidRPr="00CC19F7" w:rsidRDefault="00881E58" w:rsidP="005A5262">
            <w:r w:rsidRPr="00CC19F7">
              <w:t>1820</w:t>
            </w:r>
          </w:p>
        </w:tc>
        <w:tc>
          <w:tcPr>
            <w:tcW w:w="680" w:type="dxa"/>
            <w:tcBorders>
              <w:top w:val="nil"/>
              <w:left w:val="nil"/>
              <w:bottom w:val="nil"/>
              <w:right w:val="nil"/>
            </w:tcBorders>
            <w:tcMar>
              <w:top w:w="128" w:type="dxa"/>
              <w:left w:w="43" w:type="dxa"/>
              <w:bottom w:w="43" w:type="dxa"/>
              <w:right w:w="43" w:type="dxa"/>
            </w:tcMar>
          </w:tcPr>
          <w:p w14:paraId="17EF8C8E" w14:textId="77777777" w:rsidR="00FE02EF" w:rsidRPr="00CC19F7" w:rsidRDefault="00FE02EF" w:rsidP="005A5262"/>
        </w:tc>
        <w:tc>
          <w:tcPr>
            <w:tcW w:w="6480" w:type="dxa"/>
            <w:tcBorders>
              <w:top w:val="nil"/>
              <w:left w:val="nil"/>
              <w:bottom w:val="nil"/>
              <w:right w:val="nil"/>
            </w:tcBorders>
            <w:tcMar>
              <w:top w:w="128" w:type="dxa"/>
              <w:left w:w="43" w:type="dxa"/>
              <w:bottom w:w="43" w:type="dxa"/>
              <w:right w:w="43" w:type="dxa"/>
            </w:tcMar>
          </w:tcPr>
          <w:p w14:paraId="5BEFDF87" w14:textId="77777777" w:rsidR="00FE02EF" w:rsidRPr="00CC19F7" w:rsidRDefault="00881E58" w:rsidP="005A5262">
            <w:proofErr w:type="spellStart"/>
            <w:r w:rsidRPr="00CC19F7">
              <w:t>Noregs</w:t>
            </w:r>
            <w:proofErr w:type="spellEnd"/>
            <w:r w:rsidRPr="00CC19F7">
              <w:t xml:space="preserve"> vassdrags- og energidirektorat</w:t>
            </w:r>
          </w:p>
        </w:tc>
        <w:tc>
          <w:tcPr>
            <w:tcW w:w="1760" w:type="dxa"/>
            <w:tcBorders>
              <w:top w:val="nil"/>
              <w:left w:val="nil"/>
              <w:bottom w:val="nil"/>
              <w:right w:val="nil"/>
            </w:tcBorders>
            <w:tcMar>
              <w:top w:w="128" w:type="dxa"/>
              <w:left w:w="43" w:type="dxa"/>
              <w:bottom w:w="43" w:type="dxa"/>
              <w:right w:w="43" w:type="dxa"/>
            </w:tcMar>
            <w:vAlign w:val="bottom"/>
          </w:tcPr>
          <w:p w14:paraId="1C5F23DF" w14:textId="77777777" w:rsidR="00FE02EF" w:rsidRPr="00CC19F7" w:rsidRDefault="00FE02EF" w:rsidP="005A5262">
            <w:pPr>
              <w:jc w:val="right"/>
            </w:pPr>
          </w:p>
        </w:tc>
      </w:tr>
      <w:tr w:rsidR="00FE02EF" w:rsidRPr="00CC19F7" w14:paraId="21E61608" w14:textId="77777777">
        <w:trPr>
          <w:trHeight w:val="380"/>
        </w:trPr>
        <w:tc>
          <w:tcPr>
            <w:tcW w:w="680" w:type="dxa"/>
            <w:tcBorders>
              <w:top w:val="nil"/>
              <w:left w:val="nil"/>
              <w:bottom w:val="nil"/>
              <w:right w:val="nil"/>
            </w:tcBorders>
            <w:tcMar>
              <w:top w:w="128" w:type="dxa"/>
              <w:left w:w="43" w:type="dxa"/>
              <w:bottom w:w="43" w:type="dxa"/>
              <w:right w:w="43" w:type="dxa"/>
            </w:tcMar>
          </w:tcPr>
          <w:p w14:paraId="78C055D2" w14:textId="77777777" w:rsidR="00FE02EF" w:rsidRPr="00CC19F7" w:rsidRDefault="00FE02EF" w:rsidP="005A5262"/>
        </w:tc>
        <w:tc>
          <w:tcPr>
            <w:tcW w:w="680" w:type="dxa"/>
            <w:tcBorders>
              <w:top w:val="nil"/>
              <w:left w:val="nil"/>
              <w:bottom w:val="nil"/>
              <w:right w:val="nil"/>
            </w:tcBorders>
            <w:tcMar>
              <w:top w:w="128" w:type="dxa"/>
              <w:left w:w="43" w:type="dxa"/>
              <w:bottom w:w="43" w:type="dxa"/>
              <w:right w:w="43" w:type="dxa"/>
            </w:tcMar>
          </w:tcPr>
          <w:p w14:paraId="05A96376" w14:textId="77777777" w:rsidR="00FE02EF" w:rsidRPr="00CC19F7" w:rsidRDefault="00881E58" w:rsidP="005A5262">
            <w:r w:rsidRPr="00CC19F7">
              <w:t>60</w:t>
            </w:r>
          </w:p>
        </w:tc>
        <w:tc>
          <w:tcPr>
            <w:tcW w:w="6480" w:type="dxa"/>
            <w:tcBorders>
              <w:top w:val="nil"/>
              <w:left w:val="nil"/>
              <w:bottom w:val="nil"/>
              <w:right w:val="nil"/>
            </w:tcBorders>
            <w:tcMar>
              <w:top w:w="128" w:type="dxa"/>
              <w:left w:w="43" w:type="dxa"/>
              <w:bottom w:w="43" w:type="dxa"/>
              <w:right w:w="43" w:type="dxa"/>
            </w:tcMar>
          </w:tcPr>
          <w:p w14:paraId="4E59573F" w14:textId="77777777" w:rsidR="00FE02EF" w:rsidRPr="00CC19F7" w:rsidRDefault="00881E58" w:rsidP="005A5262">
            <w:proofErr w:type="spellStart"/>
            <w:r w:rsidRPr="00CC19F7">
              <w:t>Tilskot</w:t>
            </w:r>
            <w:proofErr w:type="spellEnd"/>
            <w:r w:rsidRPr="00CC19F7">
              <w:t xml:space="preserve"> til </w:t>
            </w:r>
            <w:proofErr w:type="spellStart"/>
            <w:r w:rsidRPr="00CC19F7">
              <w:t>flaum</w:t>
            </w:r>
            <w:proofErr w:type="spellEnd"/>
            <w:r w:rsidRPr="00CC19F7">
              <w:t xml:space="preserve">- og </w:t>
            </w:r>
            <w:proofErr w:type="spellStart"/>
            <w:r w:rsidRPr="00CC19F7">
              <w:t>skredførebygging</w:t>
            </w:r>
            <w:proofErr w:type="spellEnd"/>
          </w:p>
        </w:tc>
        <w:tc>
          <w:tcPr>
            <w:tcW w:w="1760" w:type="dxa"/>
            <w:tcBorders>
              <w:top w:val="nil"/>
              <w:left w:val="nil"/>
              <w:bottom w:val="nil"/>
              <w:right w:val="nil"/>
            </w:tcBorders>
            <w:tcMar>
              <w:top w:w="128" w:type="dxa"/>
              <w:left w:w="43" w:type="dxa"/>
              <w:bottom w:w="43" w:type="dxa"/>
              <w:right w:w="43" w:type="dxa"/>
            </w:tcMar>
            <w:vAlign w:val="bottom"/>
          </w:tcPr>
          <w:p w14:paraId="5474DA43" w14:textId="77777777" w:rsidR="00FE02EF" w:rsidRPr="00CC19F7" w:rsidRDefault="00881E58" w:rsidP="005A5262">
            <w:pPr>
              <w:jc w:val="right"/>
            </w:pPr>
            <w:r w:rsidRPr="00CC19F7">
              <w:t>350 mill. kroner</w:t>
            </w:r>
          </w:p>
        </w:tc>
      </w:tr>
      <w:tr w:rsidR="00FE02EF" w:rsidRPr="00CC19F7" w14:paraId="681FBFC7" w14:textId="77777777">
        <w:trPr>
          <w:trHeight w:val="380"/>
        </w:trPr>
        <w:tc>
          <w:tcPr>
            <w:tcW w:w="680" w:type="dxa"/>
            <w:tcBorders>
              <w:top w:val="nil"/>
              <w:left w:val="nil"/>
              <w:bottom w:val="nil"/>
              <w:right w:val="nil"/>
            </w:tcBorders>
            <w:tcMar>
              <w:top w:w="128" w:type="dxa"/>
              <w:left w:w="43" w:type="dxa"/>
              <w:bottom w:w="43" w:type="dxa"/>
              <w:right w:w="43" w:type="dxa"/>
            </w:tcMar>
          </w:tcPr>
          <w:p w14:paraId="12E7F4A5" w14:textId="77777777" w:rsidR="00FE02EF" w:rsidRPr="00CC19F7" w:rsidRDefault="00FE02EF" w:rsidP="005A5262"/>
        </w:tc>
        <w:tc>
          <w:tcPr>
            <w:tcW w:w="680" w:type="dxa"/>
            <w:tcBorders>
              <w:top w:val="nil"/>
              <w:left w:val="nil"/>
              <w:bottom w:val="nil"/>
              <w:right w:val="nil"/>
            </w:tcBorders>
            <w:tcMar>
              <w:top w:w="128" w:type="dxa"/>
              <w:left w:w="43" w:type="dxa"/>
              <w:bottom w:w="43" w:type="dxa"/>
              <w:right w:w="43" w:type="dxa"/>
            </w:tcMar>
          </w:tcPr>
          <w:p w14:paraId="67A11935" w14:textId="77777777" w:rsidR="00FE02EF" w:rsidRPr="00CC19F7" w:rsidRDefault="00881E58" w:rsidP="005A5262">
            <w:r w:rsidRPr="00CC19F7">
              <w:t>72</w:t>
            </w:r>
          </w:p>
        </w:tc>
        <w:tc>
          <w:tcPr>
            <w:tcW w:w="6480" w:type="dxa"/>
            <w:tcBorders>
              <w:top w:val="nil"/>
              <w:left w:val="nil"/>
              <w:bottom w:val="nil"/>
              <w:right w:val="nil"/>
            </w:tcBorders>
            <w:tcMar>
              <w:top w:w="128" w:type="dxa"/>
              <w:left w:w="43" w:type="dxa"/>
              <w:bottom w:w="43" w:type="dxa"/>
              <w:right w:w="43" w:type="dxa"/>
            </w:tcMar>
          </w:tcPr>
          <w:p w14:paraId="2A50FA18" w14:textId="77777777" w:rsidR="00FE02EF" w:rsidRPr="00CC19F7" w:rsidRDefault="00881E58" w:rsidP="005A5262">
            <w:proofErr w:type="spellStart"/>
            <w:r w:rsidRPr="00CC19F7">
              <w:t>Tilskot</w:t>
            </w:r>
            <w:proofErr w:type="spellEnd"/>
            <w:r w:rsidRPr="00CC19F7">
              <w:t xml:space="preserve"> til </w:t>
            </w:r>
            <w:proofErr w:type="spellStart"/>
            <w:r w:rsidRPr="00CC19F7">
              <w:t>flaum</w:t>
            </w:r>
            <w:proofErr w:type="spellEnd"/>
            <w:r w:rsidRPr="00CC19F7">
              <w:t xml:space="preserve">- og </w:t>
            </w:r>
            <w:proofErr w:type="spellStart"/>
            <w:r w:rsidRPr="00CC19F7">
              <w:t>skredførebygging</w:t>
            </w:r>
            <w:proofErr w:type="spellEnd"/>
          </w:p>
        </w:tc>
        <w:tc>
          <w:tcPr>
            <w:tcW w:w="1760" w:type="dxa"/>
            <w:tcBorders>
              <w:top w:val="nil"/>
              <w:left w:val="nil"/>
              <w:bottom w:val="nil"/>
              <w:right w:val="nil"/>
            </w:tcBorders>
            <w:tcMar>
              <w:top w:w="128" w:type="dxa"/>
              <w:left w:w="43" w:type="dxa"/>
              <w:bottom w:w="43" w:type="dxa"/>
              <w:right w:w="43" w:type="dxa"/>
            </w:tcMar>
            <w:vAlign w:val="bottom"/>
          </w:tcPr>
          <w:p w14:paraId="7F973D83" w14:textId="77777777" w:rsidR="00FE02EF" w:rsidRPr="00CC19F7" w:rsidRDefault="00881E58" w:rsidP="005A5262">
            <w:pPr>
              <w:jc w:val="right"/>
            </w:pPr>
            <w:r w:rsidRPr="00CC19F7">
              <w:t>10 mill. kroner</w:t>
            </w:r>
          </w:p>
        </w:tc>
      </w:tr>
      <w:tr w:rsidR="00FE02EF" w:rsidRPr="00CC19F7" w14:paraId="69F9673A" w14:textId="77777777">
        <w:trPr>
          <w:trHeight w:val="380"/>
        </w:trPr>
        <w:tc>
          <w:tcPr>
            <w:tcW w:w="680" w:type="dxa"/>
            <w:tcBorders>
              <w:top w:val="nil"/>
              <w:left w:val="nil"/>
              <w:bottom w:val="nil"/>
              <w:right w:val="nil"/>
            </w:tcBorders>
            <w:tcMar>
              <w:top w:w="128" w:type="dxa"/>
              <w:left w:w="43" w:type="dxa"/>
              <w:bottom w:w="43" w:type="dxa"/>
              <w:right w:w="43" w:type="dxa"/>
            </w:tcMar>
          </w:tcPr>
          <w:p w14:paraId="250D126E" w14:textId="77777777" w:rsidR="00FE02EF" w:rsidRPr="00CC19F7" w:rsidRDefault="00881E58" w:rsidP="005A5262">
            <w:r w:rsidRPr="00CC19F7">
              <w:t>1850</w:t>
            </w:r>
          </w:p>
        </w:tc>
        <w:tc>
          <w:tcPr>
            <w:tcW w:w="680" w:type="dxa"/>
            <w:tcBorders>
              <w:top w:val="nil"/>
              <w:left w:val="nil"/>
              <w:bottom w:val="nil"/>
              <w:right w:val="nil"/>
            </w:tcBorders>
            <w:tcMar>
              <w:top w:w="128" w:type="dxa"/>
              <w:left w:w="43" w:type="dxa"/>
              <w:bottom w:w="43" w:type="dxa"/>
              <w:right w:w="43" w:type="dxa"/>
            </w:tcMar>
          </w:tcPr>
          <w:p w14:paraId="0188D756" w14:textId="77777777" w:rsidR="00FE02EF" w:rsidRPr="00CC19F7" w:rsidRDefault="00FE02EF" w:rsidP="005A5262"/>
        </w:tc>
        <w:tc>
          <w:tcPr>
            <w:tcW w:w="6480" w:type="dxa"/>
            <w:tcBorders>
              <w:top w:val="nil"/>
              <w:left w:val="nil"/>
              <w:bottom w:val="nil"/>
              <w:right w:val="nil"/>
            </w:tcBorders>
            <w:tcMar>
              <w:top w:w="128" w:type="dxa"/>
              <w:left w:w="43" w:type="dxa"/>
              <w:bottom w:w="43" w:type="dxa"/>
              <w:right w:w="43" w:type="dxa"/>
            </w:tcMar>
          </w:tcPr>
          <w:p w14:paraId="79B9BBC1" w14:textId="77777777" w:rsidR="00FE02EF" w:rsidRPr="00CC19F7" w:rsidRDefault="00881E58" w:rsidP="005A5262">
            <w:r w:rsidRPr="00CC19F7">
              <w:t>Klima, industri og teknologi</w:t>
            </w:r>
          </w:p>
        </w:tc>
        <w:tc>
          <w:tcPr>
            <w:tcW w:w="1760" w:type="dxa"/>
            <w:tcBorders>
              <w:top w:val="nil"/>
              <w:left w:val="nil"/>
              <w:bottom w:val="nil"/>
              <w:right w:val="nil"/>
            </w:tcBorders>
            <w:tcMar>
              <w:top w:w="128" w:type="dxa"/>
              <w:left w:w="43" w:type="dxa"/>
              <w:bottom w:w="43" w:type="dxa"/>
              <w:right w:w="43" w:type="dxa"/>
            </w:tcMar>
            <w:vAlign w:val="bottom"/>
          </w:tcPr>
          <w:p w14:paraId="6564E02F" w14:textId="77777777" w:rsidR="00FE02EF" w:rsidRPr="00CC19F7" w:rsidRDefault="00FE02EF" w:rsidP="005A5262">
            <w:pPr>
              <w:jc w:val="right"/>
            </w:pPr>
          </w:p>
        </w:tc>
      </w:tr>
      <w:tr w:rsidR="00FE02EF" w:rsidRPr="00CC19F7" w14:paraId="4FBC4CC9" w14:textId="77777777">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1FFA1B73" w14:textId="77777777" w:rsidR="00FE02EF" w:rsidRPr="00CC19F7" w:rsidRDefault="00FE02EF" w:rsidP="005A5262"/>
        </w:tc>
        <w:tc>
          <w:tcPr>
            <w:tcW w:w="680" w:type="dxa"/>
            <w:tcBorders>
              <w:top w:val="nil"/>
              <w:left w:val="nil"/>
              <w:bottom w:val="single" w:sz="4" w:space="0" w:color="000000"/>
              <w:right w:val="nil"/>
            </w:tcBorders>
            <w:tcMar>
              <w:top w:w="128" w:type="dxa"/>
              <w:left w:w="43" w:type="dxa"/>
              <w:bottom w:w="43" w:type="dxa"/>
              <w:right w:w="43" w:type="dxa"/>
            </w:tcMar>
          </w:tcPr>
          <w:p w14:paraId="58FBDC86" w14:textId="77777777" w:rsidR="00FE02EF" w:rsidRPr="00CC19F7" w:rsidRDefault="00881E58" w:rsidP="005A5262">
            <w:r w:rsidRPr="00CC19F7">
              <w:t>70</w:t>
            </w:r>
          </w:p>
        </w:tc>
        <w:tc>
          <w:tcPr>
            <w:tcW w:w="6480" w:type="dxa"/>
            <w:tcBorders>
              <w:top w:val="nil"/>
              <w:left w:val="nil"/>
              <w:bottom w:val="single" w:sz="4" w:space="0" w:color="000000"/>
              <w:right w:val="nil"/>
            </w:tcBorders>
            <w:tcMar>
              <w:top w:w="128" w:type="dxa"/>
              <w:left w:w="43" w:type="dxa"/>
              <w:bottom w:w="43" w:type="dxa"/>
              <w:right w:w="43" w:type="dxa"/>
            </w:tcMar>
          </w:tcPr>
          <w:p w14:paraId="5147E109" w14:textId="77777777" w:rsidR="00FE02EF" w:rsidRPr="00CC19F7" w:rsidRDefault="00881E58" w:rsidP="005A5262">
            <w:r w:rsidRPr="00CC19F7">
              <w:t>Gassnova SF</w:t>
            </w:r>
          </w:p>
        </w:tc>
        <w:tc>
          <w:tcPr>
            <w:tcW w:w="1760" w:type="dxa"/>
            <w:tcBorders>
              <w:top w:val="nil"/>
              <w:left w:val="nil"/>
              <w:bottom w:val="single" w:sz="4" w:space="0" w:color="000000"/>
              <w:right w:val="nil"/>
            </w:tcBorders>
            <w:tcMar>
              <w:top w:w="128" w:type="dxa"/>
              <w:left w:w="43" w:type="dxa"/>
              <w:bottom w:w="43" w:type="dxa"/>
              <w:right w:w="43" w:type="dxa"/>
            </w:tcMar>
            <w:vAlign w:val="bottom"/>
          </w:tcPr>
          <w:p w14:paraId="4D9106BD" w14:textId="77777777" w:rsidR="00FE02EF" w:rsidRPr="00CC19F7" w:rsidRDefault="00881E58" w:rsidP="005A5262">
            <w:pPr>
              <w:jc w:val="right"/>
            </w:pPr>
            <w:r w:rsidRPr="00CC19F7">
              <w:t>20 mill. kroner</w:t>
            </w:r>
          </w:p>
        </w:tc>
      </w:tr>
    </w:tbl>
    <w:p w14:paraId="30B26962" w14:textId="77777777" w:rsidR="00FE02EF" w:rsidRPr="00CC19F7" w:rsidRDefault="00881E58" w:rsidP="00CC19F7">
      <w:pPr>
        <w:pStyle w:val="Fullmakttit"/>
      </w:pPr>
      <w:r w:rsidRPr="00CC19F7">
        <w:t>Andre fullmakter</w:t>
      </w:r>
    </w:p>
    <w:p w14:paraId="4781AAFE" w14:textId="77777777" w:rsidR="00FE02EF" w:rsidRPr="00CC19F7" w:rsidRDefault="00881E58" w:rsidP="00CC19F7">
      <w:pPr>
        <w:pStyle w:val="a-vedtak-del"/>
      </w:pPr>
      <w:r w:rsidRPr="00CC19F7">
        <w:t>V</w:t>
      </w:r>
    </w:p>
    <w:p w14:paraId="5489BCAC" w14:textId="77777777" w:rsidR="00FE02EF" w:rsidRPr="00CC19F7" w:rsidRDefault="00881E58" w:rsidP="00CC19F7">
      <w:pPr>
        <w:pStyle w:val="a-vedtak-tekst"/>
      </w:pPr>
      <w:r w:rsidRPr="00CC19F7">
        <w:t>Utbyggingsprosjekt på norsk kontinentalsokkel</w:t>
      </w:r>
    </w:p>
    <w:p w14:paraId="4317E9A0" w14:textId="77777777" w:rsidR="00FE02EF" w:rsidRPr="00CC19F7" w:rsidRDefault="00881E58" w:rsidP="00CC19F7">
      <w:r w:rsidRPr="00CC19F7">
        <w:t xml:space="preserve">Stortinget samtykker i at Olje- og energidepartementet i 2024 kan godkjenne prosjekt (planar for utbygging/anlegg og drift) på norsk kontinentalsokkel under </w:t>
      </w:r>
      <w:proofErr w:type="spellStart"/>
      <w:r w:rsidRPr="00CC19F7">
        <w:t>følgande</w:t>
      </w:r>
      <w:proofErr w:type="spellEnd"/>
      <w:r w:rsidRPr="00CC19F7">
        <w:t xml:space="preserve"> </w:t>
      </w:r>
      <w:proofErr w:type="spellStart"/>
      <w:r w:rsidRPr="00CC19F7">
        <w:t>føresetnader</w:t>
      </w:r>
      <w:proofErr w:type="spellEnd"/>
      <w:r w:rsidRPr="00CC19F7">
        <w:t>:</w:t>
      </w:r>
    </w:p>
    <w:p w14:paraId="076A827C" w14:textId="77777777" w:rsidR="00FE02EF" w:rsidRPr="00CC19F7" w:rsidRDefault="00881E58" w:rsidP="005A5262">
      <w:pPr>
        <w:pStyle w:val="Nummerertliste"/>
        <w:numPr>
          <w:ilvl w:val="0"/>
          <w:numId w:val="22"/>
        </w:numPr>
      </w:pPr>
      <w:r w:rsidRPr="00CC19F7">
        <w:t xml:space="preserve">Prosjektet må </w:t>
      </w:r>
      <w:proofErr w:type="spellStart"/>
      <w:r w:rsidRPr="00CC19F7">
        <w:t>ikkje</w:t>
      </w:r>
      <w:proofErr w:type="spellEnd"/>
      <w:r w:rsidRPr="00CC19F7">
        <w:t xml:space="preserve"> ha prinsipielle eller samfunnsmessige sider av betydning.</w:t>
      </w:r>
    </w:p>
    <w:p w14:paraId="1C1C7CFB" w14:textId="77777777" w:rsidR="00FE02EF" w:rsidRPr="00CC19F7" w:rsidRDefault="00881E58" w:rsidP="00CC19F7">
      <w:pPr>
        <w:pStyle w:val="Nummerertliste"/>
      </w:pPr>
      <w:r w:rsidRPr="00CC19F7">
        <w:t xml:space="preserve">Øvre grense for </w:t>
      </w:r>
      <w:proofErr w:type="spellStart"/>
      <w:r w:rsidRPr="00CC19F7">
        <w:t>dei</w:t>
      </w:r>
      <w:proofErr w:type="spellEnd"/>
      <w:r w:rsidRPr="00CC19F7">
        <w:t xml:space="preserve"> samla </w:t>
      </w:r>
      <w:proofErr w:type="spellStart"/>
      <w:r w:rsidRPr="00CC19F7">
        <w:t>investeringane</w:t>
      </w:r>
      <w:proofErr w:type="spellEnd"/>
      <w:r w:rsidRPr="00CC19F7">
        <w:t xml:space="preserve"> per prosjekt </w:t>
      </w:r>
      <w:proofErr w:type="spellStart"/>
      <w:r w:rsidRPr="00CC19F7">
        <w:t>utgjer</w:t>
      </w:r>
      <w:proofErr w:type="spellEnd"/>
      <w:r w:rsidRPr="00CC19F7">
        <w:t xml:space="preserve"> 15 mrd. kroner.</w:t>
      </w:r>
    </w:p>
    <w:p w14:paraId="0BF369ED" w14:textId="77777777" w:rsidR="00FE02EF" w:rsidRPr="00CC19F7" w:rsidRDefault="00881E58" w:rsidP="00CC19F7">
      <w:pPr>
        <w:pStyle w:val="Nummerertliste"/>
      </w:pPr>
      <w:r w:rsidRPr="00CC19F7">
        <w:t xml:space="preserve">Kvart enkelt prosjekt må vise akseptabel samfunnsøkonomisk </w:t>
      </w:r>
      <w:proofErr w:type="spellStart"/>
      <w:r w:rsidRPr="00CC19F7">
        <w:t>lønnsemnd</w:t>
      </w:r>
      <w:proofErr w:type="spellEnd"/>
      <w:r w:rsidRPr="00CC19F7">
        <w:t xml:space="preserve"> og </w:t>
      </w:r>
      <w:proofErr w:type="spellStart"/>
      <w:r w:rsidRPr="00CC19F7">
        <w:t>vere</w:t>
      </w:r>
      <w:proofErr w:type="spellEnd"/>
      <w:r w:rsidRPr="00CC19F7">
        <w:t xml:space="preserve"> </w:t>
      </w:r>
      <w:proofErr w:type="spellStart"/>
      <w:r w:rsidRPr="00CC19F7">
        <w:t>rimeleg</w:t>
      </w:r>
      <w:proofErr w:type="spellEnd"/>
      <w:r w:rsidRPr="00CC19F7">
        <w:t xml:space="preserve"> </w:t>
      </w:r>
      <w:proofErr w:type="gramStart"/>
      <w:r w:rsidRPr="00CC19F7">
        <w:t>robust</w:t>
      </w:r>
      <w:proofErr w:type="gramEnd"/>
      <w:r w:rsidRPr="00CC19F7">
        <w:t xml:space="preserve"> mot </w:t>
      </w:r>
      <w:proofErr w:type="spellStart"/>
      <w:r w:rsidRPr="00CC19F7">
        <w:t>endringar</w:t>
      </w:r>
      <w:proofErr w:type="spellEnd"/>
      <w:r w:rsidRPr="00CC19F7">
        <w:t xml:space="preserve"> i prisutviklinga for olje og naturgass.</w:t>
      </w:r>
    </w:p>
    <w:p w14:paraId="11174937" w14:textId="77777777" w:rsidR="00FE02EF" w:rsidRPr="00CC19F7" w:rsidRDefault="00FE02EF" w:rsidP="00CC19F7">
      <w:pPr>
        <w:pStyle w:val="vedlegg-nr"/>
      </w:pPr>
    </w:p>
    <w:p w14:paraId="456086CA" w14:textId="77777777" w:rsidR="00FE02EF" w:rsidRPr="00CC19F7" w:rsidRDefault="00881E58" w:rsidP="00CC19F7">
      <w:pPr>
        <w:pStyle w:val="vedlegg-tit"/>
      </w:pPr>
      <w:r w:rsidRPr="00CC19F7">
        <w:t xml:space="preserve">Vedtak fra </w:t>
      </w:r>
      <w:proofErr w:type="spellStart"/>
      <w:r w:rsidRPr="00CC19F7">
        <w:t>tidlegare</w:t>
      </w:r>
      <w:proofErr w:type="spellEnd"/>
      <w:r w:rsidRPr="00CC19F7">
        <w:t xml:space="preserve"> år som gjeld </w:t>
      </w:r>
      <w:proofErr w:type="spellStart"/>
      <w:r w:rsidRPr="00CC19F7">
        <w:t>utan</w:t>
      </w:r>
      <w:proofErr w:type="spellEnd"/>
      <w:r w:rsidRPr="00CC19F7">
        <w:t xml:space="preserve"> </w:t>
      </w:r>
      <w:proofErr w:type="spellStart"/>
      <w:r w:rsidRPr="00CC19F7">
        <w:t>tidsavgrensing</w:t>
      </w:r>
      <w:proofErr w:type="spellEnd"/>
    </w:p>
    <w:p w14:paraId="231FDBFC" w14:textId="77777777" w:rsidR="00FE02EF" w:rsidRPr="00CC19F7" w:rsidRDefault="00881E58" w:rsidP="00CC19F7">
      <w:pPr>
        <w:pStyle w:val="avsnitt-tittel"/>
      </w:pPr>
      <w:r w:rsidRPr="00CC19F7">
        <w:t>Garantifullmakt</w:t>
      </w:r>
    </w:p>
    <w:p w14:paraId="18471BE8" w14:textId="77777777" w:rsidR="00FE02EF" w:rsidRPr="00CC19F7" w:rsidRDefault="00881E58" w:rsidP="00CC19F7">
      <w:r w:rsidRPr="00CC19F7">
        <w:t xml:space="preserve">Stortinget samtykker i at Olje- og energidepartementet kan gi </w:t>
      </w:r>
      <w:proofErr w:type="spellStart"/>
      <w:r w:rsidRPr="00CC19F7">
        <w:t>Gassco</w:t>
      </w:r>
      <w:proofErr w:type="spellEnd"/>
      <w:r w:rsidRPr="00CC19F7">
        <w:t xml:space="preserve"> AS garanti </w:t>
      </w:r>
      <w:proofErr w:type="spellStart"/>
      <w:r w:rsidRPr="00CC19F7">
        <w:t>innanfor</w:t>
      </w:r>
      <w:proofErr w:type="spellEnd"/>
      <w:r w:rsidRPr="00CC19F7">
        <w:t xml:space="preserve"> ei samla ramme på inntil 1 mrd. kroner for </w:t>
      </w:r>
      <w:proofErr w:type="spellStart"/>
      <w:r w:rsidRPr="00CC19F7">
        <w:t>skadar</w:t>
      </w:r>
      <w:proofErr w:type="spellEnd"/>
      <w:r w:rsidRPr="00CC19F7">
        <w:t xml:space="preserve"> og tap ved </w:t>
      </w:r>
      <w:proofErr w:type="spellStart"/>
      <w:r w:rsidRPr="00CC19F7">
        <w:t>mottaksterminalane</w:t>
      </w:r>
      <w:proofErr w:type="spellEnd"/>
      <w:r w:rsidRPr="00CC19F7">
        <w:t xml:space="preserve"> på kontinentet som har oppstått som følge av </w:t>
      </w:r>
      <w:proofErr w:type="spellStart"/>
      <w:r w:rsidRPr="00CC19F7">
        <w:t>forsettlege</w:t>
      </w:r>
      <w:proofErr w:type="spellEnd"/>
      <w:r w:rsidRPr="00CC19F7">
        <w:t xml:space="preserve"> </w:t>
      </w:r>
      <w:proofErr w:type="spellStart"/>
      <w:r w:rsidRPr="00CC19F7">
        <w:t>handlingar</w:t>
      </w:r>
      <w:proofErr w:type="spellEnd"/>
      <w:r w:rsidRPr="00CC19F7">
        <w:t xml:space="preserve"> hos </w:t>
      </w:r>
      <w:proofErr w:type="spellStart"/>
      <w:r w:rsidRPr="00CC19F7">
        <w:t>leiande</w:t>
      </w:r>
      <w:proofErr w:type="spellEnd"/>
      <w:r w:rsidRPr="00CC19F7">
        <w:t xml:space="preserve"> personell i </w:t>
      </w:r>
      <w:proofErr w:type="spellStart"/>
      <w:r w:rsidRPr="00CC19F7">
        <w:t>Gassco</w:t>
      </w:r>
      <w:proofErr w:type="spellEnd"/>
      <w:r w:rsidRPr="00CC19F7">
        <w:t xml:space="preserve"> AS, jf. St.prp. nr. 1 (2007–2008) og Budsjett-</w:t>
      </w:r>
      <w:proofErr w:type="spellStart"/>
      <w:r w:rsidRPr="00CC19F7">
        <w:t>innst</w:t>
      </w:r>
      <w:proofErr w:type="spellEnd"/>
      <w:r w:rsidRPr="00CC19F7">
        <w:t>. S. nr. 9 (2007–2008), vedtak VII.</w:t>
      </w:r>
    </w:p>
    <w:p w14:paraId="7B064016" w14:textId="77777777" w:rsidR="00FE02EF" w:rsidRPr="00CC19F7" w:rsidRDefault="00881E58" w:rsidP="00CC19F7">
      <w:pPr>
        <w:pStyle w:val="avsnitt-tittel"/>
      </w:pPr>
      <w:r w:rsidRPr="00CC19F7">
        <w:t>Oppheving av generalforsamlingsklausulen</w:t>
      </w:r>
    </w:p>
    <w:p w14:paraId="39D57DA9" w14:textId="77777777" w:rsidR="00FE02EF" w:rsidRPr="00CC19F7" w:rsidRDefault="00881E58" w:rsidP="00CC19F7">
      <w:r w:rsidRPr="00CC19F7">
        <w:t xml:space="preserve">Stortinget samtykker i at generalforsamlingsklausulen skal kunne </w:t>
      </w:r>
      <w:proofErr w:type="spellStart"/>
      <w:r w:rsidRPr="00CC19F7">
        <w:t>opphevast</w:t>
      </w:r>
      <w:proofErr w:type="spellEnd"/>
      <w:r w:rsidRPr="00CC19F7">
        <w:t xml:space="preserve"> for gitte løyve og </w:t>
      </w:r>
      <w:proofErr w:type="spellStart"/>
      <w:r w:rsidRPr="00CC19F7">
        <w:t>erstattast</w:t>
      </w:r>
      <w:proofErr w:type="spellEnd"/>
      <w:r w:rsidRPr="00CC19F7">
        <w:t xml:space="preserve"> av </w:t>
      </w:r>
      <w:proofErr w:type="spellStart"/>
      <w:r w:rsidRPr="00CC19F7">
        <w:t>ein</w:t>
      </w:r>
      <w:proofErr w:type="spellEnd"/>
      <w:r w:rsidRPr="00CC19F7">
        <w:t xml:space="preserve"> vetorett i tråd med konsesjonsdirektivet og petroleumsforskrifta § 12, dersom </w:t>
      </w:r>
      <w:proofErr w:type="spellStart"/>
      <w:r w:rsidRPr="00CC19F7">
        <w:t>rettshavarane</w:t>
      </w:r>
      <w:proofErr w:type="spellEnd"/>
      <w:r w:rsidRPr="00CC19F7">
        <w:t xml:space="preserve"> skulle ønske det. Olje- og energidepartementet skal i så fall godkjenne dette i </w:t>
      </w:r>
      <w:proofErr w:type="spellStart"/>
      <w:r w:rsidRPr="00CC19F7">
        <w:t>kvart</w:t>
      </w:r>
      <w:proofErr w:type="spellEnd"/>
      <w:r w:rsidRPr="00CC19F7">
        <w:t xml:space="preserve"> enkelt tilfelle, jf. St.prp. nr. 1 (2002–2003), vedtak XI og Budsjett-</w:t>
      </w:r>
      <w:proofErr w:type="spellStart"/>
      <w:r w:rsidRPr="00CC19F7">
        <w:t>innst</w:t>
      </w:r>
      <w:proofErr w:type="spellEnd"/>
      <w:r w:rsidRPr="00CC19F7">
        <w:t>. S. nr. 9 (2002–2003), vedtak VIII.</w:t>
      </w:r>
    </w:p>
    <w:p w14:paraId="4E428500" w14:textId="77777777" w:rsidR="00FE02EF" w:rsidRPr="00CC19F7" w:rsidRDefault="00881E58" w:rsidP="00CC19F7">
      <w:pPr>
        <w:pStyle w:val="avsnitt-tittel"/>
      </w:pPr>
      <w:r w:rsidRPr="00CC19F7">
        <w:t xml:space="preserve">Fullmakt til å delta i </w:t>
      </w:r>
      <w:proofErr w:type="spellStart"/>
      <w:r w:rsidRPr="00CC19F7">
        <w:t>eigarselskap</w:t>
      </w:r>
      <w:proofErr w:type="spellEnd"/>
      <w:r w:rsidRPr="00CC19F7">
        <w:t xml:space="preserve"> mv.</w:t>
      </w:r>
    </w:p>
    <w:p w14:paraId="68F52B36" w14:textId="77777777" w:rsidR="00FE02EF" w:rsidRPr="00CC19F7" w:rsidRDefault="00881E58" w:rsidP="00CC19F7">
      <w:r w:rsidRPr="00CC19F7">
        <w:t xml:space="preserve">Stortinget samtykker i at Olje- og energidepartementet kan delta gjennom </w:t>
      </w:r>
      <w:proofErr w:type="spellStart"/>
      <w:r w:rsidRPr="00CC19F7">
        <w:t>eit</w:t>
      </w:r>
      <w:proofErr w:type="spellEnd"/>
      <w:r w:rsidRPr="00CC19F7">
        <w:t xml:space="preserve"> </w:t>
      </w:r>
      <w:proofErr w:type="spellStart"/>
      <w:r w:rsidRPr="00CC19F7">
        <w:t>eigarselskap</w:t>
      </w:r>
      <w:proofErr w:type="spellEnd"/>
      <w:r w:rsidRPr="00CC19F7">
        <w:t xml:space="preserve"> </w:t>
      </w:r>
      <w:proofErr w:type="spellStart"/>
      <w:r w:rsidRPr="00CC19F7">
        <w:t>eigd</w:t>
      </w:r>
      <w:proofErr w:type="spellEnd"/>
      <w:r w:rsidRPr="00CC19F7">
        <w:t xml:space="preserve"> av Gassnova SF og </w:t>
      </w:r>
      <w:proofErr w:type="spellStart"/>
      <w:r w:rsidRPr="00CC19F7">
        <w:t>eit</w:t>
      </w:r>
      <w:proofErr w:type="spellEnd"/>
      <w:r w:rsidRPr="00CC19F7">
        <w:t xml:space="preserve"> driftsselskap med delt ansvar (DA) og dekke 100 prosent av </w:t>
      </w:r>
      <w:proofErr w:type="spellStart"/>
      <w:r w:rsidRPr="00CC19F7">
        <w:t>eigarselskapets</w:t>
      </w:r>
      <w:proofErr w:type="spellEnd"/>
      <w:r w:rsidRPr="00CC19F7">
        <w:t xml:space="preserve"> og inntil 80 prosent av </w:t>
      </w:r>
      <w:proofErr w:type="spellStart"/>
      <w:r w:rsidRPr="00CC19F7">
        <w:t>dei</w:t>
      </w:r>
      <w:proofErr w:type="spellEnd"/>
      <w:r w:rsidRPr="00CC19F7">
        <w:t xml:space="preserve"> </w:t>
      </w:r>
      <w:proofErr w:type="spellStart"/>
      <w:r w:rsidRPr="00CC19F7">
        <w:t>årlege</w:t>
      </w:r>
      <w:proofErr w:type="spellEnd"/>
      <w:r w:rsidRPr="00CC19F7">
        <w:t xml:space="preserve"> utgiftene til driftsselskapet ved Teknologisenter Mongstad (TCM). Staten, eller den staten </w:t>
      </w:r>
      <w:proofErr w:type="spellStart"/>
      <w:r w:rsidRPr="00CC19F7">
        <w:t>peikar</w:t>
      </w:r>
      <w:proofErr w:type="spellEnd"/>
      <w:r w:rsidRPr="00CC19F7">
        <w:t xml:space="preserve"> ut, kan invitere andre selskap som </w:t>
      </w:r>
      <w:proofErr w:type="spellStart"/>
      <w:r w:rsidRPr="00CC19F7">
        <w:t>medeigarar</w:t>
      </w:r>
      <w:proofErr w:type="spellEnd"/>
      <w:r w:rsidRPr="00CC19F7">
        <w:t xml:space="preserve"> i driftsselskapet, </w:t>
      </w:r>
      <w:proofErr w:type="spellStart"/>
      <w:r w:rsidRPr="00CC19F7">
        <w:t>noko</w:t>
      </w:r>
      <w:proofErr w:type="spellEnd"/>
      <w:r w:rsidRPr="00CC19F7">
        <w:t xml:space="preserve"> som vil redusere statens andel i selskapet, jf. </w:t>
      </w:r>
      <w:proofErr w:type="spellStart"/>
      <w:r w:rsidRPr="00CC19F7">
        <w:t>Prop</w:t>
      </w:r>
      <w:proofErr w:type="spellEnd"/>
      <w:r w:rsidRPr="00CC19F7">
        <w:t xml:space="preserve">. 129 S (2016–2017) og </w:t>
      </w:r>
      <w:proofErr w:type="spellStart"/>
      <w:r w:rsidRPr="00CC19F7">
        <w:t>Innst</w:t>
      </w:r>
      <w:proofErr w:type="spellEnd"/>
      <w:r w:rsidRPr="00CC19F7">
        <w:t>. 401 S (2016–2017), vedtak XXXXI.</w:t>
      </w:r>
    </w:p>
    <w:p w14:paraId="2087AB22" w14:textId="77777777" w:rsidR="00FE02EF" w:rsidRPr="00CC19F7" w:rsidRDefault="00881E58" w:rsidP="00CC19F7">
      <w:pPr>
        <w:pStyle w:val="avsnitt-tittel"/>
      </w:pPr>
      <w:r w:rsidRPr="00CC19F7">
        <w:t xml:space="preserve">Fullmakt til å inngå </w:t>
      </w:r>
      <w:proofErr w:type="spellStart"/>
      <w:r w:rsidRPr="00CC19F7">
        <w:t>forpliktingar</w:t>
      </w:r>
      <w:proofErr w:type="spellEnd"/>
      <w:r w:rsidRPr="00CC19F7">
        <w:t xml:space="preserve"> i samband med TCM</w:t>
      </w:r>
    </w:p>
    <w:p w14:paraId="0FBCFC24" w14:textId="77777777" w:rsidR="00FE02EF" w:rsidRPr="00CC19F7" w:rsidRDefault="00881E58" w:rsidP="00CC19F7">
      <w:r w:rsidRPr="00CC19F7">
        <w:t xml:space="preserve">Stortinget samtykker i at Olje- og energidepartementet kan pådra staten </w:t>
      </w:r>
      <w:proofErr w:type="spellStart"/>
      <w:r w:rsidRPr="00CC19F7">
        <w:t>forpliktingar</w:t>
      </w:r>
      <w:proofErr w:type="spellEnd"/>
      <w:r w:rsidRPr="00CC19F7">
        <w:t xml:space="preserve"> utover gitt løyving under kap. 1840 CO</w:t>
      </w:r>
      <w:r w:rsidRPr="00CC19F7">
        <w:rPr>
          <w:rStyle w:val="skrift-senket"/>
        </w:rPr>
        <w:t>2</w:t>
      </w:r>
      <w:r w:rsidRPr="00CC19F7">
        <w:t>-handtering</w:t>
      </w:r>
      <w:r w:rsidRPr="00CC19F7">
        <w:rPr>
          <w:rStyle w:val="Fotnotereferanse"/>
        </w:rPr>
        <w:footnoteReference w:id="8"/>
      </w:r>
      <w:r w:rsidRPr="00CC19F7">
        <w:t xml:space="preserve">, post 71 Teknologisenter Mongstad, som kjem som følge av </w:t>
      </w:r>
      <w:proofErr w:type="spellStart"/>
      <w:r w:rsidRPr="00CC19F7">
        <w:t>riving</w:t>
      </w:r>
      <w:proofErr w:type="spellEnd"/>
      <w:r w:rsidRPr="00CC19F7">
        <w:t xml:space="preserve"> av anlegga ved TCM når dette eventuelt blir sett i verk, jf. </w:t>
      </w:r>
      <w:proofErr w:type="spellStart"/>
      <w:r w:rsidRPr="00CC19F7">
        <w:t>Prop</w:t>
      </w:r>
      <w:proofErr w:type="spellEnd"/>
      <w:r w:rsidRPr="00CC19F7">
        <w:t xml:space="preserve">. 129 S (2016–2017) og </w:t>
      </w:r>
      <w:proofErr w:type="spellStart"/>
      <w:r w:rsidRPr="00CC19F7">
        <w:t>Innst</w:t>
      </w:r>
      <w:proofErr w:type="spellEnd"/>
      <w:r w:rsidRPr="00CC19F7">
        <w:t>. 401 S (2016–2017), vedtak XXIV.</w:t>
      </w:r>
    </w:p>
    <w:p w14:paraId="60219AD0" w14:textId="77777777" w:rsidR="00FE02EF" w:rsidRPr="00CC19F7" w:rsidRDefault="00881E58" w:rsidP="00CC19F7">
      <w:pPr>
        <w:pStyle w:val="avsnitt-tittel"/>
      </w:pPr>
      <w:r w:rsidRPr="00CC19F7">
        <w:t xml:space="preserve">Fullmakt til å inngå </w:t>
      </w:r>
      <w:proofErr w:type="spellStart"/>
      <w:r w:rsidRPr="00CC19F7">
        <w:t>avtalar</w:t>
      </w:r>
      <w:proofErr w:type="spellEnd"/>
      <w:r w:rsidRPr="00CC19F7">
        <w:t xml:space="preserve"> og pådra staten </w:t>
      </w:r>
      <w:proofErr w:type="spellStart"/>
      <w:r w:rsidRPr="00CC19F7">
        <w:t>forpliktingar</w:t>
      </w:r>
      <w:proofErr w:type="spellEnd"/>
      <w:r w:rsidRPr="00CC19F7">
        <w:t xml:space="preserve"> for Langskip (fangst og lagring av CO</w:t>
      </w:r>
      <w:r w:rsidRPr="00CC19F7">
        <w:rPr>
          <w:rStyle w:val="skrift-senket"/>
        </w:rPr>
        <w:t>2</w:t>
      </w:r>
      <w:r w:rsidRPr="00CC19F7">
        <w:t>)</w:t>
      </w:r>
    </w:p>
    <w:p w14:paraId="043CFE13" w14:textId="77777777" w:rsidR="00FE02EF" w:rsidRPr="00CC19F7" w:rsidRDefault="00881E58" w:rsidP="00CC19F7">
      <w:r w:rsidRPr="00CC19F7">
        <w:t>Stortinget samtykker i at Olje- og energidepartementet kan:</w:t>
      </w:r>
    </w:p>
    <w:p w14:paraId="32EBD095" w14:textId="77777777" w:rsidR="00FE02EF" w:rsidRPr="00CC19F7" w:rsidRDefault="00881E58" w:rsidP="005A5262">
      <w:pPr>
        <w:pStyle w:val="Nummerertliste"/>
        <w:numPr>
          <w:ilvl w:val="0"/>
          <w:numId w:val="23"/>
        </w:numPr>
      </w:pPr>
      <w:r w:rsidRPr="00CC19F7">
        <w:t xml:space="preserve">inngå </w:t>
      </w:r>
      <w:proofErr w:type="spellStart"/>
      <w:r w:rsidRPr="00CC19F7">
        <w:t>avtalar</w:t>
      </w:r>
      <w:proofErr w:type="spellEnd"/>
      <w:r w:rsidRPr="00CC19F7">
        <w:t xml:space="preserve"> med Norcem</w:t>
      </w:r>
      <w:r w:rsidRPr="00CC19F7">
        <w:rPr>
          <w:rStyle w:val="Fotnotereferanse"/>
        </w:rPr>
        <w:footnoteReference w:id="9"/>
      </w:r>
      <w:r w:rsidRPr="00CC19F7">
        <w:t xml:space="preserve"> og Northern </w:t>
      </w:r>
      <w:proofErr w:type="spellStart"/>
      <w:r w:rsidRPr="00CC19F7">
        <w:t>Lights</w:t>
      </w:r>
      <w:proofErr w:type="spellEnd"/>
      <w:r w:rsidRPr="00CC19F7">
        <w:t xml:space="preserve"> om å etablere og drive sine </w:t>
      </w:r>
      <w:proofErr w:type="spellStart"/>
      <w:r w:rsidRPr="00CC19F7">
        <w:t>andelar</w:t>
      </w:r>
      <w:proofErr w:type="spellEnd"/>
      <w:r w:rsidRPr="00CC19F7">
        <w:t xml:space="preserve"> av Langskip (fangst og lagring av CO</w:t>
      </w:r>
      <w:r w:rsidRPr="00CC19F7">
        <w:rPr>
          <w:rStyle w:val="skrift-senket"/>
        </w:rPr>
        <w:t>2</w:t>
      </w:r>
      <w:r w:rsidRPr="00CC19F7">
        <w:t xml:space="preserve">) </w:t>
      </w:r>
      <w:proofErr w:type="spellStart"/>
      <w:r w:rsidRPr="00CC19F7">
        <w:t>innanfor</w:t>
      </w:r>
      <w:proofErr w:type="spellEnd"/>
      <w:r w:rsidRPr="00CC19F7">
        <w:t xml:space="preserve"> ei samla kostnadsramme på</w:t>
      </w:r>
    </w:p>
    <w:p w14:paraId="1BADA804" w14:textId="77777777" w:rsidR="00FE02EF" w:rsidRPr="00CC19F7" w:rsidRDefault="00881E58" w:rsidP="00CC19F7">
      <w:pPr>
        <w:pStyle w:val="alfaliste2"/>
      </w:pPr>
      <w:r w:rsidRPr="00CC19F7">
        <w:t xml:space="preserve">14 700 mill. 2021-kroner i </w:t>
      </w:r>
      <w:proofErr w:type="spellStart"/>
      <w:r w:rsidRPr="00CC19F7">
        <w:t>investeringar</w:t>
      </w:r>
      <w:proofErr w:type="spellEnd"/>
      <w:r w:rsidRPr="00CC19F7">
        <w:t xml:space="preserve"> (CAPEX)</w:t>
      </w:r>
    </w:p>
    <w:p w14:paraId="70136AA8" w14:textId="77777777" w:rsidR="00FE02EF" w:rsidRPr="00CC19F7" w:rsidRDefault="00881E58" w:rsidP="00CC19F7">
      <w:pPr>
        <w:pStyle w:val="alfaliste2"/>
      </w:pPr>
      <w:r w:rsidRPr="00CC19F7">
        <w:t>6 700 mill. 2021-kroner i driftsutgifter (OPEX) i inntil ti år</w:t>
      </w:r>
    </w:p>
    <w:p w14:paraId="33EF9AA1" w14:textId="77777777" w:rsidR="00FE02EF" w:rsidRPr="00CC19F7" w:rsidRDefault="00881E58" w:rsidP="00CC19F7">
      <w:pPr>
        <w:pStyle w:val="Nummerertliste"/>
      </w:pPr>
      <w:r w:rsidRPr="00CC19F7">
        <w:t xml:space="preserve">inngå </w:t>
      </w:r>
      <w:proofErr w:type="spellStart"/>
      <w:r w:rsidRPr="00CC19F7">
        <w:t>avtalar</w:t>
      </w:r>
      <w:proofErr w:type="spellEnd"/>
      <w:r w:rsidRPr="00CC19F7">
        <w:t xml:space="preserve"> der utgiftene skal </w:t>
      </w:r>
      <w:proofErr w:type="spellStart"/>
      <w:r w:rsidRPr="00CC19F7">
        <w:t>delast</w:t>
      </w:r>
      <w:proofErr w:type="spellEnd"/>
      <w:r w:rsidRPr="00CC19F7">
        <w:t xml:space="preserve"> mellom staten, Norcem</w:t>
      </w:r>
      <w:r w:rsidRPr="00CC19F7">
        <w:rPr>
          <w:rStyle w:val="Fotnotereferanse"/>
        </w:rPr>
        <w:footnoteReference w:id="10"/>
      </w:r>
      <w:r w:rsidRPr="00CC19F7">
        <w:t xml:space="preserve"> og Northern </w:t>
      </w:r>
      <w:proofErr w:type="spellStart"/>
      <w:r w:rsidRPr="00CC19F7">
        <w:t>Lights</w:t>
      </w:r>
      <w:proofErr w:type="spellEnd"/>
      <w:r w:rsidRPr="00CC19F7">
        <w:t xml:space="preserve"> i tråd med prinsippa som er omtalte </w:t>
      </w:r>
      <w:proofErr w:type="spellStart"/>
      <w:r w:rsidRPr="00CC19F7">
        <w:t>nærmare</w:t>
      </w:r>
      <w:proofErr w:type="spellEnd"/>
      <w:r w:rsidRPr="00CC19F7">
        <w:t xml:space="preserve"> under kap. 1840 CO</w:t>
      </w:r>
      <w:r w:rsidRPr="00CC19F7">
        <w:rPr>
          <w:rStyle w:val="skrift-senket"/>
        </w:rPr>
        <w:t>2</w:t>
      </w:r>
      <w:r w:rsidRPr="00CC19F7">
        <w:t>-handtering</w:t>
      </w:r>
      <w:r w:rsidRPr="00CC19F7">
        <w:rPr>
          <w:rStyle w:val="Fotnotereferanse"/>
        </w:rPr>
        <w:footnoteReference w:id="11"/>
      </w:r>
      <w:r w:rsidRPr="00CC19F7">
        <w:t>, post 72 Langskip – fangst og lagring av CO</w:t>
      </w:r>
      <w:r w:rsidRPr="00CC19F7">
        <w:rPr>
          <w:rStyle w:val="skrift-senket"/>
        </w:rPr>
        <w:t xml:space="preserve">2 </w:t>
      </w:r>
      <w:r w:rsidRPr="00CC19F7">
        <w:t>og i Meld. St. 33 (2019–2020) Langskip – fangst og lagring av CO</w:t>
      </w:r>
      <w:r w:rsidRPr="00CC19F7">
        <w:rPr>
          <w:rStyle w:val="skrift-senket"/>
        </w:rPr>
        <w:t>2</w:t>
      </w:r>
      <w:r w:rsidRPr="00CC19F7">
        <w:t xml:space="preserve">, der statens andel maksimalt </w:t>
      </w:r>
      <w:proofErr w:type="spellStart"/>
      <w:r w:rsidRPr="00CC19F7">
        <w:t>utgjer</w:t>
      </w:r>
      <w:proofErr w:type="spellEnd"/>
      <w:r w:rsidRPr="00CC19F7">
        <w:t xml:space="preserve"> inntil</w:t>
      </w:r>
    </w:p>
    <w:p w14:paraId="0A0BE609" w14:textId="77777777" w:rsidR="00FE02EF" w:rsidRPr="00CC19F7" w:rsidRDefault="00881E58" w:rsidP="005A5262">
      <w:pPr>
        <w:pStyle w:val="alfaliste2"/>
        <w:numPr>
          <w:ilvl w:val="1"/>
          <w:numId w:val="24"/>
        </w:numPr>
      </w:pPr>
      <w:r w:rsidRPr="00CC19F7">
        <w:t xml:space="preserve">11 100 mill. 2021-kroner i </w:t>
      </w:r>
      <w:proofErr w:type="spellStart"/>
      <w:r w:rsidRPr="00CC19F7">
        <w:t>investeringar</w:t>
      </w:r>
      <w:proofErr w:type="spellEnd"/>
      <w:r w:rsidRPr="00CC19F7">
        <w:t xml:space="preserve"> (CAPEX)</w:t>
      </w:r>
    </w:p>
    <w:p w14:paraId="0584AF0E" w14:textId="77777777" w:rsidR="00FE02EF" w:rsidRPr="00CC19F7" w:rsidRDefault="00881E58" w:rsidP="00CC19F7">
      <w:pPr>
        <w:pStyle w:val="alfaliste2"/>
      </w:pPr>
      <w:r w:rsidRPr="00CC19F7">
        <w:t>5 200 mill. 2021-kroner i driftsutgifter (OPEX) i inntil ti år med tillegg av eventuell tilleggsstøtte for fanga CO</w:t>
      </w:r>
      <w:r w:rsidRPr="00CC19F7">
        <w:rPr>
          <w:rStyle w:val="skrift-senket"/>
        </w:rPr>
        <w:t>2</w:t>
      </w:r>
      <w:r w:rsidRPr="00CC19F7">
        <w:t xml:space="preserve"> som </w:t>
      </w:r>
      <w:proofErr w:type="spellStart"/>
      <w:r w:rsidRPr="00CC19F7">
        <w:t>ikkje</w:t>
      </w:r>
      <w:proofErr w:type="spellEnd"/>
      <w:r w:rsidRPr="00CC19F7">
        <w:t xml:space="preserve"> er kvotepliktig, </w:t>
      </w:r>
      <w:proofErr w:type="spellStart"/>
      <w:r w:rsidRPr="00CC19F7">
        <w:t>tilsvarande</w:t>
      </w:r>
      <w:proofErr w:type="spellEnd"/>
      <w:r w:rsidRPr="00CC19F7">
        <w:t xml:space="preserve"> kvoteprisen per tonn CO</w:t>
      </w:r>
      <w:r w:rsidRPr="00CC19F7">
        <w:rPr>
          <w:rStyle w:val="skrift-senket"/>
        </w:rPr>
        <w:t>2</w:t>
      </w:r>
      <w:r w:rsidRPr="00CC19F7">
        <w:t xml:space="preserve"> </w:t>
      </w:r>
      <w:proofErr w:type="spellStart"/>
      <w:r w:rsidRPr="00CC19F7">
        <w:t>fråtrekt</w:t>
      </w:r>
      <w:proofErr w:type="spellEnd"/>
      <w:r w:rsidRPr="00CC19F7">
        <w:t xml:space="preserve"> eventuell CO</w:t>
      </w:r>
      <w:r w:rsidRPr="00CC19F7">
        <w:rPr>
          <w:rStyle w:val="skrift-senket"/>
        </w:rPr>
        <w:t>2</w:t>
      </w:r>
      <w:r w:rsidRPr="00CC19F7">
        <w:t>-avgift per tonn</w:t>
      </w:r>
    </w:p>
    <w:p w14:paraId="4E3C6003" w14:textId="77777777" w:rsidR="00FE02EF" w:rsidRPr="00CC19F7" w:rsidRDefault="00881E58" w:rsidP="00CC19F7">
      <w:pPr>
        <w:pStyle w:val="Nummerertliste"/>
      </w:pPr>
      <w:r w:rsidRPr="00CC19F7">
        <w:t xml:space="preserve">inngå avtale med Northern </w:t>
      </w:r>
      <w:proofErr w:type="spellStart"/>
      <w:r w:rsidRPr="00CC19F7">
        <w:t>Lights</w:t>
      </w:r>
      <w:proofErr w:type="spellEnd"/>
      <w:r w:rsidRPr="00CC19F7">
        <w:t xml:space="preserve"> om å pådra staten </w:t>
      </w:r>
      <w:proofErr w:type="spellStart"/>
      <w:r w:rsidRPr="00CC19F7">
        <w:t>forpliktingar</w:t>
      </w:r>
      <w:proofErr w:type="spellEnd"/>
      <w:r w:rsidRPr="00CC19F7">
        <w:t xml:space="preserve"> for kostnader ved eventuelle utslepp av CO</w:t>
      </w:r>
      <w:r w:rsidRPr="00CC19F7">
        <w:rPr>
          <w:rStyle w:val="skrift-senket"/>
        </w:rPr>
        <w:t>2</w:t>
      </w:r>
      <w:r w:rsidRPr="00CC19F7">
        <w:t xml:space="preserve"> med inntil 80 prosent av kvoteprisen opp til og med 40 euro per tonn og 100 prosent av den delen av kvoteprisen som overstig 40 euro per tonn CO</w:t>
      </w:r>
      <w:r w:rsidRPr="00CC19F7">
        <w:rPr>
          <w:rStyle w:val="skrift-senket"/>
        </w:rPr>
        <w:t>2</w:t>
      </w:r>
      <w:r w:rsidRPr="00CC19F7">
        <w:t>, for den forholdsmessige andelen fanga CO</w:t>
      </w:r>
      <w:r w:rsidRPr="00CC19F7">
        <w:rPr>
          <w:rStyle w:val="skrift-senket"/>
        </w:rPr>
        <w:t>2</w:t>
      </w:r>
      <w:r w:rsidRPr="00CC19F7">
        <w:t xml:space="preserve"> i støtteperioden på inntil ti år </w:t>
      </w:r>
      <w:proofErr w:type="spellStart"/>
      <w:r w:rsidRPr="00CC19F7">
        <w:t>frå</w:t>
      </w:r>
      <w:proofErr w:type="spellEnd"/>
      <w:r w:rsidRPr="00CC19F7">
        <w:t xml:space="preserve"> Norcem</w:t>
      </w:r>
      <w:r w:rsidRPr="00CC19F7">
        <w:rPr>
          <w:rStyle w:val="Fotnotereferanse"/>
        </w:rPr>
        <w:footnoteReference w:id="12"/>
      </w:r>
      <w:r w:rsidRPr="00CC19F7">
        <w:t xml:space="preserve"> og eventuelt Fortum Oslo Varme</w:t>
      </w:r>
      <w:r w:rsidRPr="00CC19F7">
        <w:rPr>
          <w:rStyle w:val="Fotnotereferanse"/>
        </w:rPr>
        <w:footnoteReference w:id="13"/>
      </w:r>
      <w:r w:rsidRPr="00CC19F7">
        <w:t xml:space="preserve"> av totalt lagra </w:t>
      </w:r>
      <w:proofErr w:type="spellStart"/>
      <w:r w:rsidRPr="00CC19F7">
        <w:t>mengd</w:t>
      </w:r>
      <w:proofErr w:type="spellEnd"/>
      <w:r w:rsidRPr="00CC19F7">
        <w:t xml:space="preserve"> CO</w:t>
      </w:r>
      <w:r w:rsidRPr="00CC19F7">
        <w:rPr>
          <w:rStyle w:val="skrift-senket"/>
        </w:rPr>
        <w:t>2</w:t>
      </w:r>
      <w:r w:rsidRPr="00CC19F7">
        <w:t xml:space="preserve"> i lageret</w:t>
      </w:r>
    </w:p>
    <w:p w14:paraId="7D3C2834" w14:textId="77777777" w:rsidR="00FE02EF" w:rsidRPr="00CC19F7" w:rsidRDefault="00881E58" w:rsidP="00CC19F7">
      <w:pPr>
        <w:pStyle w:val="Nummerertliste"/>
      </w:pPr>
      <w:r w:rsidRPr="00CC19F7">
        <w:t xml:space="preserve">inngå avtale med Northern </w:t>
      </w:r>
      <w:proofErr w:type="spellStart"/>
      <w:r w:rsidRPr="00CC19F7">
        <w:t>Lights</w:t>
      </w:r>
      <w:proofErr w:type="spellEnd"/>
      <w:r w:rsidRPr="00CC19F7">
        <w:t xml:space="preserve"> om å pådra staten </w:t>
      </w:r>
      <w:proofErr w:type="spellStart"/>
      <w:r w:rsidRPr="00CC19F7">
        <w:t>forpliktingar</w:t>
      </w:r>
      <w:proofErr w:type="spellEnd"/>
      <w:r w:rsidRPr="00CC19F7">
        <w:t xml:space="preserve"> i støtteperioden på inntil ti år for inntil 80 prosent av utgiftene til eventuelle preventive og korrektive tiltak for avtalt </w:t>
      </w:r>
      <w:proofErr w:type="spellStart"/>
      <w:r w:rsidRPr="00CC19F7">
        <w:t>årleg</w:t>
      </w:r>
      <w:proofErr w:type="spellEnd"/>
      <w:r w:rsidRPr="00CC19F7">
        <w:t xml:space="preserve"> lagringsvolum på 1,5 </w:t>
      </w:r>
      <w:proofErr w:type="spellStart"/>
      <w:r w:rsidRPr="00CC19F7">
        <w:t>millionar</w:t>
      </w:r>
      <w:proofErr w:type="spellEnd"/>
      <w:r w:rsidRPr="00CC19F7">
        <w:t xml:space="preserve"> tonn av total lagringskapasitet for CO</w:t>
      </w:r>
      <w:r w:rsidRPr="00CC19F7">
        <w:rPr>
          <w:rStyle w:val="skrift-senket"/>
        </w:rPr>
        <w:t>2</w:t>
      </w:r>
      <w:r w:rsidRPr="00CC19F7">
        <w:t xml:space="preserve"> dersom det skulle oppstå ekstraordinære </w:t>
      </w:r>
      <w:proofErr w:type="spellStart"/>
      <w:r w:rsidRPr="00CC19F7">
        <w:t>hendingar</w:t>
      </w:r>
      <w:proofErr w:type="spellEnd"/>
      <w:r w:rsidRPr="00CC19F7">
        <w:t xml:space="preserve"> med fare for lekkasje av CO</w:t>
      </w:r>
      <w:r w:rsidRPr="00CC19F7">
        <w:rPr>
          <w:rStyle w:val="skrift-senket"/>
        </w:rPr>
        <w:t>2</w:t>
      </w:r>
      <w:r w:rsidRPr="00CC19F7">
        <w:t xml:space="preserve"> </w:t>
      </w:r>
      <w:proofErr w:type="spellStart"/>
      <w:r w:rsidRPr="00CC19F7">
        <w:t>frå</w:t>
      </w:r>
      <w:proofErr w:type="spellEnd"/>
      <w:r w:rsidRPr="00CC19F7">
        <w:t xml:space="preserve"> lageret eller </w:t>
      </w:r>
      <w:proofErr w:type="spellStart"/>
      <w:r w:rsidRPr="00CC19F7">
        <w:t>skadar</w:t>
      </w:r>
      <w:proofErr w:type="spellEnd"/>
      <w:r w:rsidRPr="00CC19F7">
        <w:t xml:space="preserve"> på miljøet eller liv og helse</w:t>
      </w:r>
    </w:p>
    <w:p w14:paraId="07DF6049" w14:textId="77777777" w:rsidR="00FE02EF" w:rsidRPr="00CC19F7" w:rsidRDefault="00881E58" w:rsidP="00CC19F7">
      <w:pPr>
        <w:pStyle w:val="Nummerertliste"/>
      </w:pPr>
      <w:r w:rsidRPr="00CC19F7">
        <w:t xml:space="preserve">inngå avtale med Northern </w:t>
      </w:r>
      <w:proofErr w:type="spellStart"/>
      <w:r w:rsidRPr="00CC19F7">
        <w:t>Lights</w:t>
      </w:r>
      <w:proofErr w:type="spellEnd"/>
      <w:r w:rsidRPr="00CC19F7">
        <w:t xml:space="preserve"> om å pådra staten </w:t>
      </w:r>
      <w:proofErr w:type="spellStart"/>
      <w:r w:rsidRPr="00CC19F7">
        <w:t>forpliktingar</w:t>
      </w:r>
      <w:proofErr w:type="spellEnd"/>
      <w:r w:rsidRPr="00CC19F7">
        <w:t xml:space="preserve"> etter </w:t>
      </w:r>
      <w:proofErr w:type="spellStart"/>
      <w:r w:rsidRPr="00CC19F7">
        <w:t>opphøyr</w:t>
      </w:r>
      <w:proofErr w:type="spellEnd"/>
      <w:r w:rsidRPr="00CC19F7">
        <w:t xml:space="preserve"> av drifta av CO</w:t>
      </w:r>
      <w:r w:rsidRPr="00CC19F7">
        <w:rPr>
          <w:rStyle w:val="skrift-senket"/>
        </w:rPr>
        <w:t>2</w:t>
      </w:r>
      <w:r w:rsidRPr="00CC19F7">
        <w:t>-lageret, for den forholdsmessige andelen fanga CO</w:t>
      </w:r>
      <w:r w:rsidRPr="00CC19F7">
        <w:rPr>
          <w:rStyle w:val="skrift-senket"/>
        </w:rPr>
        <w:t>2</w:t>
      </w:r>
      <w:r w:rsidRPr="00CC19F7">
        <w:t xml:space="preserve"> i støtteperioden på inntil ti år </w:t>
      </w:r>
      <w:proofErr w:type="spellStart"/>
      <w:r w:rsidRPr="00CC19F7">
        <w:t>frå</w:t>
      </w:r>
      <w:proofErr w:type="spellEnd"/>
      <w:r w:rsidRPr="00CC19F7">
        <w:t xml:space="preserve"> Norcem</w:t>
      </w:r>
      <w:r w:rsidRPr="00CC19F7">
        <w:rPr>
          <w:rStyle w:val="Fotnotereferanse"/>
        </w:rPr>
        <w:footnoteReference w:id="14"/>
      </w:r>
      <w:r w:rsidRPr="00CC19F7">
        <w:t xml:space="preserve"> og eventuelt Fortum Oslo Varme</w:t>
      </w:r>
      <w:r w:rsidRPr="00CC19F7">
        <w:rPr>
          <w:rStyle w:val="Fotnotereferanse"/>
        </w:rPr>
        <w:footnoteReference w:id="15"/>
      </w:r>
      <w:r w:rsidRPr="00CC19F7">
        <w:t xml:space="preserve"> av totalt lagra </w:t>
      </w:r>
      <w:proofErr w:type="spellStart"/>
      <w:r w:rsidRPr="00CC19F7">
        <w:t>mengd</w:t>
      </w:r>
      <w:proofErr w:type="spellEnd"/>
      <w:r w:rsidRPr="00CC19F7">
        <w:t xml:space="preserve"> CO</w:t>
      </w:r>
      <w:r w:rsidRPr="00CC19F7">
        <w:rPr>
          <w:rStyle w:val="skrift-senket"/>
        </w:rPr>
        <w:t>2</w:t>
      </w:r>
      <w:r w:rsidRPr="00CC19F7">
        <w:t xml:space="preserve"> i lageret, med inntil 80 prosent av utgiftene til</w:t>
      </w:r>
    </w:p>
    <w:p w14:paraId="1F7D7AB5" w14:textId="77777777" w:rsidR="00FE02EF" w:rsidRPr="00CC19F7" w:rsidRDefault="00881E58" w:rsidP="005A5262">
      <w:pPr>
        <w:pStyle w:val="alfaliste2"/>
        <w:numPr>
          <w:ilvl w:val="1"/>
          <w:numId w:val="25"/>
        </w:numPr>
      </w:pPr>
      <w:r w:rsidRPr="00CC19F7">
        <w:t xml:space="preserve">eventuelle preventive og korrektive tiltak dersom det skulle oppstå ekstraordinære </w:t>
      </w:r>
      <w:proofErr w:type="spellStart"/>
      <w:r w:rsidRPr="00CC19F7">
        <w:t>hendingar</w:t>
      </w:r>
      <w:proofErr w:type="spellEnd"/>
      <w:r w:rsidRPr="00CC19F7">
        <w:t xml:space="preserve"> med fare for lekkasje av CO</w:t>
      </w:r>
      <w:r w:rsidRPr="00CC19F7">
        <w:rPr>
          <w:rStyle w:val="skrift-senket"/>
        </w:rPr>
        <w:t>2</w:t>
      </w:r>
      <w:r w:rsidRPr="00CC19F7">
        <w:t xml:space="preserve"> </w:t>
      </w:r>
      <w:proofErr w:type="spellStart"/>
      <w:r w:rsidRPr="00CC19F7">
        <w:t>frå</w:t>
      </w:r>
      <w:proofErr w:type="spellEnd"/>
      <w:r w:rsidRPr="00CC19F7">
        <w:t xml:space="preserve"> lageret eller skade på miljøet eller liv og helse</w:t>
      </w:r>
    </w:p>
    <w:p w14:paraId="2BD92F59" w14:textId="77777777" w:rsidR="00FE02EF" w:rsidRPr="00CC19F7" w:rsidRDefault="00881E58" w:rsidP="00CC19F7">
      <w:pPr>
        <w:pStyle w:val="alfaliste2"/>
      </w:pPr>
      <w:r w:rsidRPr="00CC19F7">
        <w:t xml:space="preserve">avslutning, </w:t>
      </w:r>
      <w:proofErr w:type="spellStart"/>
      <w:r w:rsidRPr="00CC19F7">
        <w:t>overvaking</w:t>
      </w:r>
      <w:proofErr w:type="spellEnd"/>
      <w:r w:rsidRPr="00CC19F7">
        <w:t xml:space="preserve"> og fjerning etter nedstenging av lageret</w:t>
      </w:r>
    </w:p>
    <w:p w14:paraId="45FA28A5" w14:textId="77777777" w:rsidR="00FE02EF" w:rsidRPr="00CC19F7" w:rsidRDefault="00881E58" w:rsidP="00CC19F7">
      <w:r w:rsidRPr="00CC19F7">
        <w:t xml:space="preserve">Jf. </w:t>
      </w:r>
      <w:proofErr w:type="spellStart"/>
      <w:r w:rsidRPr="00CC19F7">
        <w:t>Prop</w:t>
      </w:r>
      <w:proofErr w:type="spellEnd"/>
      <w:r w:rsidRPr="00CC19F7">
        <w:t xml:space="preserve">. 1 S (2020–2021) og </w:t>
      </w:r>
      <w:proofErr w:type="spellStart"/>
      <w:r w:rsidRPr="00CC19F7">
        <w:t>Innst</w:t>
      </w:r>
      <w:proofErr w:type="spellEnd"/>
      <w:r w:rsidRPr="00CC19F7">
        <w:t>. 9 S (2020–2021), vedtak XVI.</w:t>
      </w:r>
    </w:p>
    <w:p w14:paraId="28F62E70" w14:textId="77777777" w:rsidR="00FE02EF" w:rsidRPr="00CC19F7" w:rsidRDefault="00881E58" w:rsidP="00CC19F7">
      <w:pPr>
        <w:pStyle w:val="avsnitt-tittel"/>
      </w:pPr>
      <w:r w:rsidRPr="00CC19F7">
        <w:t xml:space="preserve">Fullmakt til å inngå </w:t>
      </w:r>
      <w:proofErr w:type="spellStart"/>
      <w:r w:rsidRPr="00CC19F7">
        <w:t>avtalar</w:t>
      </w:r>
      <w:proofErr w:type="spellEnd"/>
      <w:r w:rsidRPr="00CC19F7">
        <w:t xml:space="preserve"> og pådra staten </w:t>
      </w:r>
      <w:proofErr w:type="spellStart"/>
      <w:r w:rsidRPr="00CC19F7">
        <w:t>forpliktingar</w:t>
      </w:r>
      <w:proofErr w:type="spellEnd"/>
      <w:r w:rsidRPr="00CC19F7">
        <w:t xml:space="preserve"> for Langskip (fangst og lagring av CO</w:t>
      </w:r>
      <w:r w:rsidRPr="00CC19F7">
        <w:rPr>
          <w:rStyle w:val="skrift-senket"/>
        </w:rPr>
        <w:t>2</w:t>
      </w:r>
      <w:r w:rsidRPr="00CC19F7">
        <w:t>)</w:t>
      </w:r>
    </w:p>
    <w:p w14:paraId="07605921" w14:textId="77777777" w:rsidR="00FE02EF" w:rsidRPr="00CC19F7" w:rsidRDefault="00881E58" w:rsidP="00CC19F7">
      <w:r w:rsidRPr="00CC19F7">
        <w:t>Stortinget samtykker i at Olje- og energidepartementet kan inngå revidert avtale med Fortum Oslo Varme</w:t>
      </w:r>
      <w:r w:rsidRPr="00CC19F7">
        <w:rPr>
          <w:rStyle w:val="Fotnotereferanse"/>
        </w:rPr>
        <w:footnoteReference w:id="16"/>
      </w:r>
      <w:r w:rsidRPr="00CC19F7">
        <w:t xml:space="preserve"> under </w:t>
      </w:r>
      <w:proofErr w:type="spellStart"/>
      <w:r w:rsidRPr="00CC19F7">
        <w:t>føresetnad</w:t>
      </w:r>
      <w:proofErr w:type="spellEnd"/>
      <w:r w:rsidRPr="00CC19F7">
        <w:t xml:space="preserve"> av </w:t>
      </w:r>
      <w:proofErr w:type="spellStart"/>
      <w:r w:rsidRPr="00CC19F7">
        <w:t>tilstrekkeleg</w:t>
      </w:r>
      <w:proofErr w:type="spellEnd"/>
      <w:r w:rsidRPr="00CC19F7">
        <w:t xml:space="preserve"> eigenfinansiering og finansiering </w:t>
      </w:r>
      <w:proofErr w:type="spellStart"/>
      <w:r w:rsidRPr="00CC19F7">
        <w:t>frå</w:t>
      </w:r>
      <w:proofErr w:type="spellEnd"/>
      <w:r w:rsidRPr="00CC19F7">
        <w:t xml:space="preserve"> EU eller andre kjelder i tråd med prinsippa som er omtalte </w:t>
      </w:r>
      <w:proofErr w:type="spellStart"/>
      <w:r w:rsidRPr="00CC19F7">
        <w:t>nærmare</w:t>
      </w:r>
      <w:proofErr w:type="spellEnd"/>
      <w:r w:rsidRPr="00CC19F7">
        <w:t xml:space="preserve"> under kap. 1840 CO</w:t>
      </w:r>
      <w:r w:rsidRPr="00CC19F7">
        <w:rPr>
          <w:rStyle w:val="skrift-senket"/>
        </w:rPr>
        <w:t>2</w:t>
      </w:r>
      <w:r w:rsidRPr="00CC19F7">
        <w:t>-handtering</w:t>
      </w:r>
      <w:r w:rsidRPr="00CC19F7">
        <w:rPr>
          <w:rStyle w:val="Fotnotereferanse"/>
        </w:rPr>
        <w:footnoteReference w:id="17"/>
      </w:r>
      <w:r w:rsidRPr="00CC19F7">
        <w:t>, post 72 Langskip – fangst og lagring av CO</w:t>
      </w:r>
      <w:r w:rsidRPr="00CC19F7">
        <w:rPr>
          <w:rStyle w:val="skrift-senket"/>
        </w:rPr>
        <w:t>2</w:t>
      </w:r>
      <w:r w:rsidRPr="00CC19F7">
        <w:t xml:space="preserve">, der statens maksimale støtte kan </w:t>
      </w:r>
      <w:proofErr w:type="spellStart"/>
      <w:r w:rsidRPr="00CC19F7">
        <w:t>utgjere</w:t>
      </w:r>
      <w:proofErr w:type="spellEnd"/>
      <w:r w:rsidRPr="00CC19F7">
        <w:t xml:space="preserve"> inntil:</w:t>
      </w:r>
    </w:p>
    <w:p w14:paraId="164803AF" w14:textId="77777777" w:rsidR="00FE02EF" w:rsidRPr="00CC19F7" w:rsidRDefault="00881E58" w:rsidP="005A5262">
      <w:pPr>
        <w:pStyle w:val="Nummerertliste"/>
        <w:numPr>
          <w:ilvl w:val="0"/>
          <w:numId w:val="26"/>
        </w:numPr>
      </w:pPr>
      <w:r w:rsidRPr="00CC19F7">
        <w:t xml:space="preserve">2 040 mill. 2022-kroner i </w:t>
      </w:r>
      <w:proofErr w:type="spellStart"/>
      <w:r w:rsidRPr="00CC19F7">
        <w:t>investeringar</w:t>
      </w:r>
      <w:proofErr w:type="spellEnd"/>
      <w:r w:rsidRPr="00CC19F7">
        <w:t xml:space="preserve"> (CAPEX). Olje- og energidepartementet blir gitt fullmakt til å pris- og </w:t>
      </w:r>
      <w:proofErr w:type="spellStart"/>
      <w:r w:rsidRPr="00CC19F7">
        <w:t>valutajustere</w:t>
      </w:r>
      <w:proofErr w:type="spellEnd"/>
      <w:r w:rsidRPr="00CC19F7">
        <w:t xml:space="preserve"> </w:t>
      </w:r>
      <w:proofErr w:type="spellStart"/>
      <w:r w:rsidRPr="00CC19F7">
        <w:t>investeringstilskotet</w:t>
      </w:r>
      <w:proofErr w:type="spellEnd"/>
      <w:r w:rsidRPr="00CC19F7">
        <w:t xml:space="preserve"> i </w:t>
      </w:r>
      <w:proofErr w:type="spellStart"/>
      <w:r w:rsidRPr="00CC19F7">
        <w:t>seinare</w:t>
      </w:r>
      <w:proofErr w:type="spellEnd"/>
      <w:r w:rsidRPr="00CC19F7">
        <w:t xml:space="preserve"> år.</w:t>
      </w:r>
    </w:p>
    <w:p w14:paraId="63C208FE" w14:textId="77777777" w:rsidR="00FE02EF" w:rsidRPr="00CC19F7" w:rsidRDefault="00881E58" w:rsidP="00CC19F7">
      <w:pPr>
        <w:pStyle w:val="Nummerertliste"/>
      </w:pPr>
      <w:r w:rsidRPr="00CC19F7">
        <w:t xml:space="preserve">1 320 mill. 2022-kroner i driftsutgifter (OPEX) i inntil ti år </w:t>
      </w:r>
      <w:proofErr w:type="spellStart"/>
      <w:r w:rsidRPr="00CC19F7">
        <w:t>frå</w:t>
      </w:r>
      <w:proofErr w:type="spellEnd"/>
      <w:r w:rsidRPr="00CC19F7">
        <w:t xml:space="preserve"> driftsoppstart, men </w:t>
      </w:r>
      <w:proofErr w:type="spellStart"/>
      <w:r w:rsidRPr="00CC19F7">
        <w:t>ikkje</w:t>
      </w:r>
      <w:proofErr w:type="spellEnd"/>
      <w:r w:rsidRPr="00CC19F7">
        <w:t xml:space="preserve"> etter 30. september 2036. Olje- og energidepartementet blir gitt fullmakt til å prisjustere </w:t>
      </w:r>
      <w:proofErr w:type="spellStart"/>
      <w:r w:rsidRPr="00CC19F7">
        <w:t>driftstilskotet</w:t>
      </w:r>
      <w:proofErr w:type="spellEnd"/>
      <w:r w:rsidRPr="00CC19F7">
        <w:t xml:space="preserve"> i </w:t>
      </w:r>
      <w:proofErr w:type="spellStart"/>
      <w:r w:rsidRPr="00CC19F7">
        <w:t>seinare</w:t>
      </w:r>
      <w:proofErr w:type="spellEnd"/>
      <w:r w:rsidRPr="00CC19F7">
        <w:t xml:space="preserve"> år.</w:t>
      </w:r>
    </w:p>
    <w:p w14:paraId="25DFEFDC" w14:textId="77777777" w:rsidR="00FE02EF" w:rsidRPr="00CC19F7" w:rsidRDefault="00881E58" w:rsidP="00CC19F7">
      <w:r w:rsidRPr="00CC19F7">
        <w:t>Det blir gitt tilleggsstøtte for fanga CO</w:t>
      </w:r>
      <w:r w:rsidRPr="00CC19F7">
        <w:rPr>
          <w:rStyle w:val="skrift-senket"/>
        </w:rPr>
        <w:t>2</w:t>
      </w:r>
      <w:r w:rsidRPr="00CC19F7">
        <w:t xml:space="preserve"> som </w:t>
      </w:r>
      <w:proofErr w:type="spellStart"/>
      <w:r w:rsidRPr="00CC19F7">
        <w:t>ikkje</w:t>
      </w:r>
      <w:proofErr w:type="spellEnd"/>
      <w:r w:rsidRPr="00CC19F7">
        <w:t xml:space="preserve"> er kvotepliktig, </w:t>
      </w:r>
      <w:proofErr w:type="spellStart"/>
      <w:r w:rsidRPr="00CC19F7">
        <w:t>tilsvarande</w:t>
      </w:r>
      <w:proofErr w:type="spellEnd"/>
      <w:r w:rsidRPr="00CC19F7">
        <w:t xml:space="preserve"> kvoteprisen per tonn CO</w:t>
      </w:r>
      <w:r w:rsidRPr="00CC19F7">
        <w:rPr>
          <w:rStyle w:val="skrift-senket"/>
        </w:rPr>
        <w:t>2</w:t>
      </w:r>
      <w:r w:rsidRPr="00CC19F7">
        <w:t xml:space="preserve"> </w:t>
      </w:r>
      <w:proofErr w:type="spellStart"/>
      <w:r w:rsidRPr="00CC19F7">
        <w:t>fråtrekt</w:t>
      </w:r>
      <w:proofErr w:type="spellEnd"/>
      <w:r w:rsidRPr="00CC19F7">
        <w:t xml:space="preserve"> CO</w:t>
      </w:r>
      <w:r w:rsidRPr="00CC19F7">
        <w:rPr>
          <w:rStyle w:val="skrift-senket"/>
        </w:rPr>
        <w:t>2</w:t>
      </w:r>
      <w:r w:rsidRPr="00CC19F7">
        <w:t xml:space="preserve">-avgifta. Inntekter ved sal av negative utslepp, sertifikat eller </w:t>
      </w:r>
      <w:proofErr w:type="spellStart"/>
      <w:r w:rsidRPr="00CC19F7">
        <w:t>liknande</w:t>
      </w:r>
      <w:proofErr w:type="spellEnd"/>
      <w:r w:rsidRPr="00CC19F7">
        <w:t xml:space="preserve"> for </w:t>
      </w:r>
      <w:proofErr w:type="spellStart"/>
      <w:r w:rsidRPr="00CC19F7">
        <w:t>bio</w:t>
      </w:r>
      <w:proofErr w:type="spellEnd"/>
      <w:r w:rsidRPr="00CC19F7">
        <w:t xml:space="preserve"> CO</w:t>
      </w:r>
      <w:r w:rsidRPr="00CC19F7">
        <w:rPr>
          <w:rStyle w:val="skrift-senket"/>
        </w:rPr>
        <w:t>2</w:t>
      </w:r>
      <w:r w:rsidRPr="00CC19F7">
        <w:t xml:space="preserve">-handtering skal komme til </w:t>
      </w:r>
      <w:proofErr w:type="spellStart"/>
      <w:r w:rsidRPr="00CC19F7">
        <w:t>frådrag</w:t>
      </w:r>
      <w:proofErr w:type="spellEnd"/>
      <w:r w:rsidRPr="00CC19F7">
        <w:t xml:space="preserve"> i </w:t>
      </w:r>
      <w:proofErr w:type="spellStart"/>
      <w:r w:rsidRPr="00CC19F7">
        <w:t>tilleggstilskotet</w:t>
      </w:r>
      <w:proofErr w:type="spellEnd"/>
      <w:r w:rsidRPr="00CC19F7">
        <w:t xml:space="preserve">, jf. </w:t>
      </w:r>
      <w:proofErr w:type="spellStart"/>
      <w:r w:rsidRPr="00CC19F7">
        <w:t>Prop</w:t>
      </w:r>
      <w:proofErr w:type="spellEnd"/>
      <w:r w:rsidRPr="00CC19F7">
        <w:t xml:space="preserve">. 115 S (2021–2022) og </w:t>
      </w:r>
      <w:proofErr w:type="spellStart"/>
      <w:r w:rsidRPr="00CC19F7">
        <w:t>Innst</w:t>
      </w:r>
      <w:proofErr w:type="spellEnd"/>
      <w:r w:rsidRPr="00CC19F7">
        <w:t>. 450 S (2021–2022), vedtak XVI.</w:t>
      </w:r>
    </w:p>
    <w:p w14:paraId="1B01A0DE" w14:textId="77777777" w:rsidR="00FE02EF" w:rsidRPr="00CC19F7" w:rsidRDefault="00881E58" w:rsidP="00CC19F7">
      <w:pPr>
        <w:pStyle w:val="avsnitt-tittel"/>
      </w:pPr>
      <w:r w:rsidRPr="00CC19F7">
        <w:t xml:space="preserve">Fullmakt til å inngå </w:t>
      </w:r>
      <w:proofErr w:type="spellStart"/>
      <w:r w:rsidRPr="00CC19F7">
        <w:t>ein</w:t>
      </w:r>
      <w:proofErr w:type="spellEnd"/>
      <w:r w:rsidRPr="00CC19F7">
        <w:t xml:space="preserve"> tosidig differansekontrakt for støtte til fornybar energiproduksjon til havs </w:t>
      </w:r>
      <w:proofErr w:type="spellStart"/>
      <w:r w:rsidRPr="00CC19F7">
        <w:t>frå</w:t>
      </w:r>
      <w:proofErr w:type="spellEnd"/>
      <w:r w:rsidRPr="00CC19F7">
        <w:t xml:space="preserve"> første fase av </w:t>
      </w:r>
      <w:proofErr w:type="spellStart"/>
      <w:r w:rsidRPr="00CC19F7">
        <w:t>Sørlege</w:t>
      </w:r>
      <w:proofErr w:type="spellEnd"/>
      <w:r w:rsidRPr="00CC19F7">
        <w:t xml:space="preserve"> </w:t>
      </w:r>
      <w:proofErr w:type="spellStart"/>
      <w:r w:rsidRPr="00CC19F7">
        <w:t>Nordsjø</w:t>
      </w:r>
      <w:proofErr w:type="spellEnd"/>
      <w:r w:rsidRPr="00CC19F7">
        <w:t xml:space="preserve"> II</w:t>
      </w:r>
    </w:p>
    <w:p w14:paraId="2885253D" w14:textId="77777777" w:rsidR="00FE02EF" w:rsidRPr="00CC19F7" w:rsidRDefault="00881E58" w:rsidP="00CC19F7">
      <w:r w:rsidRPr="00CC19F7">
        <w:t xml:space="preserve">Stortinget samtykker i at Olje- og energidepartementet kan inngå </w:t>
      </w:r>
      <w:proofErr w:type="spellStart"/>
      <w:r w:rsidRPr="00CC19F7">
        <w:t>ein</w:t>
      </w:r>
      <w:proofErr w:type="spellEnd"/>
      <w:r w:rsidRPr="00CC19F7">
        <w:t xml:space="preserve"> tosidig differansekontrakt for støtte til fornybar energiproduksjon for første fase av </w:t>
      </w:r>
      <w:proofErr w:type="spellStart"/>
      <w:r w:rsidRPr="00CC19F7">
        <w:t>Sørlege</w:t>
      </w:r>
      <w:proofErr w:type="spellEnd"/>
      <w:r w:rsidRPr="00CC19F7">
        <w:t xml:space="preserve"> </w:t>
      </w:r>
      <w:proofErr w:type="spellStart"/>
      <w:r w:rsidRPr="00CC19F7">
        <w:t>Nordsjø</w:t>
      </w:r>
      <w:proofErr w:type="spellEnd"/>
      <w:r w:rsidRPr="00CC19F7">
        <w:t xml:space="preserve"> II, men slik at </w:t>
      </w:r>
      <w:proofErr w:type="spellStart"/>
      <w:r w:rsidRPr="00CC19F7">
        <w:t>dei</w:t>
      </w:r>
      <w:proofErr w:type="spellEnd"/>
      <w:r w:rsidRPr="00CC19F7">
        <w:t xml:space="preserve"> samla </w:t>
      </w:r>
      <w:proofErr w:type="spellStart"/>
      <w:r w:rsidRPr="00CC19F7">
        <w:t>statlege</w:t>
      </w:r>
      <w:proofErr w:type="spellEnd"/>
      <w:r w:rsidRPr="00CC19F7">
        <w:t xml:space="preserve"> </w:t>
      </w:r>
      <w:proofErr w:type="spellStart"/>
      <w:r w:rsidRPr="00CC19F7">
        <w:t>forpliktingane</w:t>
      </w:r>
      <w:proofErr w:type="spellEnd"/>
      <w:r w:rsidRPr="00CC19F7">
        <w:t xml:space="preserve"> </w:t>
      </w:r>
      <w:proofErr w:type="spellStart"/>
      <w:r w:rsidRPr="00CC19F7">
        <w:t>ikkje</w:t>
      </w:r>
      <w:proofErr w:type="spellEnd"/>
      <w:r w:rsidRPr="00CC19F7">
        <w:t xml:space="preserve"> overstig ei kostnadsramme på 23 mrd. kroner. Olje- og energidepartementet får fullmakt til å prisjustere kontraktsprisen, minsteprisen og kostnadsramma med verknad </w:t>
      </w:r>
      <w:proofErr w:type="spellStart"/>
      <w:r w:rsidRPr="00CC19F7">
        <w:t>frå</w:t>
      </w:r>
      <w:proofErr w:type="spellEnd"/>
      <w:r w:rsidRPr="00CC19F7">
        <w:t xml:space="preserve"> 1. kvartal 2023 fram til det første kvartalet havvindparken er sett i drift, jf. </w:t>
      </w:r>
      <w:proofErr w:type="spellStart"/>
      <w:r w:rsidRPr="00CC19F7">
        <w:t>Prop</w:t>
      </w:r>
      <w:proofErr w:type="spellEnd"/>
      <w:r w:rsidRPr="00CC19F7">
        <w:t xml:space="preserve">. 93 S (2022–2023) og </w:t>
      </w:r>
      <w:proofErr w:type="spellStart"/>
      <w:r w:rsidRPr="00CC19F7">
        <w:t>Innst</w:t>
      </w:r>
      <w:proofErr w:type="spellEnd"/>
      <w:r w:rsidRPr="00CC19F7">
        <w:t>. 496 S (2022–2023).</w:t>
      </w:r>
    </w:p>
    <w:p w14:paraId="16F25EAB" w14:textId="77777777" w:rsidR="00FE02EF" w:rsidRPr="00CC19F7" w:rsidRDefault="00881E58" w:rsidP="00CC19F7">
      <w:pPr>
        <w:pStyle w:val="avsnitt-tittel"/>
      </w:pPr>
      <w:r w:rsidRPr="00CC19F7">
        <w:t xml:space="preserve">Fullmakt til å inngå </w:t>
      </w:r>
      <w:proofErr w:type="spellStart"/>
      <w:r w:rsidRPr="00CC19F7">
        <w:t>avtalar</w:t>
      </w:r>
      <w:proofErr w:type="spellEnd"/>
      <w:r w:rsidRPr="00CC19F7">
        <w:t xml:space="preserve"> og pådra staten </w:t>
      </w:r>
      <w:proofErr w:type="spellStart"/>
      <w:r w:rsidRPr="00CC19F7">
        <w:t>forpliktingar</w:t>
      </w:r>
      <w:proofErr w:type="spellEnd"/>
      <w:r w:rsidRPr="00CC19F7">
        <w:t xml:space="preserve"> for Langskip (fangst og lagring av CO</w:t>
      </w:r>
      <w:r w:rsidRPr="00CC19F7">
        <w:rPr>
          <w:rStyle w:val="skrift-senket"/>
        </w:rPr>
        <w:t>2</w:t>
      </w:r>
      <w:r w:rsidRPr="00CC19F7">
        <w:t>)</w:t>
      </w:r>
    </w:p>
    <w:p w14:paraId="3F2A87B6" w14:textId="2564F7B1" w:rsidR="00FE02EF" w:rsidRPr="00CC19F7" w:rsidRDefault="00881E58" w:rsidP="00CC19F7">
      <w:r w:rsidRPr="00CC19F7">
        <w:t xml:space="preserve">Stortinget samtykker i at Olje- og energidepartementet kan gi </w:t>
      </w:r>
      <w:proofErr w:type="spellStart"/>
      <w:r w:rsidRPr="00CC19F7">
        <w:t>tilsegn</w:t>
      </w:r>
      <w:proofErr w:type="spellEnd"/>
      <w:r w:rsidRPr="00CC19F7">
        <w:t xml:space="preserve"> om </w:t>
      </w:r>
      <w:proofErr w:type="spellStart"/>
      <w:r w:rsidRPr="00CC19F7">
        <w:t>tilskot</w:t>
      </w:r>
      <w:proofErr w:type="spellEnd"/>
      <w:r w:rsidRPr="00CC19F7">
        <w:t xml:space="preserve"> utover gitte </w:t>
      </w:r>
      <w:proofErr w:type="spellStart"/>
      <w:r w:rsidRPr="00CC19F7">
        <w:t>løyvingar</w:t>
      </w:r>
      <w:proofErr w:type="spellEnd"/>
      <w:r w:rsidRPr="00CC19F7">
        <w:t xml:space="preserve">, men slik at den samla ramma for nye </w:t>
      </w:r>
      <w:proofErr w:type="spellStart"/>
      <w:r w:rsidRPr="00CC19F7">
        <w:t>tilsegner</w:t>
      </w:r>
      <w:proofErr w:type="spellEnd"/>
      <w:r w:rsidRPr="00CC19F7">
        <w:t xml:space="preserve"> og gammalt ansvar </w:t>
      </w:r>
      <w:proofErr w:type="spellStart"/>
      <w:r w:rsidRPr="00CC19F7">
        <w:t>ikkje</w:t>
      </w:r>
      <w:proofErr w:type="spellEnd"/>
      <w:r w:rsidRPr="00CC19F7">
        <w:t xml:space="preserve"> overstig 150 mill. kroner knytt til løysing om dekning av </w:t>
      </w:r>
      <w:proofErr w:type="spellStart"/>
      <w:r w:rsidRPr="00CC19F7">
        <w:t>kostnadsoverskridingar</w:t>
      </w:r>
      <w:proofErr w:type="spellEnd"/>
      <w:r w:rsidRPr="00CC19F7">
        <w:t xml:space="preserve"> i prosjektet. </w:t>
      </w:r>
      <w:proofErr w:type="spellStart"/>
      <w:r w:rsidRPr="00CC19F7">
        <w:t>Tilsegnsfullmakta</w:t>
      </w:r>
      <w:proofErr w:type="spellEnd"/>
      <w:r w:rsidRPr="00CC19F7">
        <w:t xml:space="preserve"> </w:t>
      </w:r>
      <w:proofErr w:type="spellStart"/>
      <w:r w:rsidRPr="00CC19F7">
        <w:t>omfattar</w:t>
      </w:r>
      <w:proofErr w:type="spellEnd"/>
      <w:r w:rsidRPr="00CC19F7">
        <w:t xml:space="preserve"> </w:t>
      </w:r>
      <w:proofErr w:type="spellStart"/>
      <w:r w:rsidRPr="00CC19F7">
        <w:t>eit</w:t>
      </w:r>
      <w:proofErr w:type="spellEnd"/>
      <w:r w:rsidRPr="00CC19F7">
        <w:t xml:space="preserve"> </w:t>
      </w:r>
      <w:proofErr w:type="spellStart"/>
      <w:r w:rsidRPr="00CC19F7">
        <w:t>oppstartstilskot</w:t>
      </w:r>
      <w:proofErr w:type="spellEnd"/>
      <w:r w:rsidRPr="00CC19F7">
        <w:t xml:space="preserve"> til Norcem</w:t>
      </w:r>
      <w:r w:rsidRPr="00CC19F7">
        <w:rPr>
          <w:rStyle w:val="Fotnotereferanse"/>
        </w:rPr>
        <w:footnoteReference w:id="18"/>
      </w:r>
      <w:r w:rsidRPr="00CC19F7">
        <w:t xml:space="preserve"> på 150 mill. kroner (</w:t>
      </w:r>
      <w:proofErr w:type="spellStart"/>
      <w:r w:rsidRPr="00CC19F7">
        <w:t>løpande</w:t>
      </w:r>
      <w:proofErr w:type="spellEnd"/>
      <w:r w:rsidRPr="00CC19F7">
        <w:t>) som blir utbetalt ved utskiping av den første lasta med CO</w:t>
      </w:r>
      <w:r w:rsidRPr="00CC19F7">
        <w:rPr>
          <w:rStyle w:val="skrift-senket"/>
        </w:rPr>
        <w:t>2</w:t>
      </w:r>
      <w:r w:rsidRPr="00CC19F7">
        <w:t xml:space="preserve">. For kvar dag etter 1. mai 2025 der første utskiping </w:t>
      </w:r>
      <w:proofErr w:type="spellStart"/>
      <w:r w:rsidRPr="00CC19F7">
        <w:t>ikkje</w:t>
      </w:r>
      <w:proofErr w:type="spellEnd"/>
      <w:r w:rsidRPr="00CC19F7">
        <w:t xml:space="preserve"> er gjennomført, blir </w:t>
      </w:r>
      <w:proofErr w:type="spellStart"/>
      <w:r w:rsidRPr="00CC19F7">
        <w:t>oppstartstilskotet</w:t>
      </w:r>
      <w:proofErr w:type="spellEnd"/>
      <w:r w:rsidRPr="00CC19F7">
        <w:t xml:space="preserve"> redusert med 1 mill. kroner (</w:t>
      </w:r>
      <w:proofErr w:type="spellStart"/>
      <w:r w:rsidRPr="00CC19F7">
        <w:t>løpande</w:t>
      </w:r>
      <w:proofErr w:type="spellEnd"/>
      <w:r w:rsidRPr="00CC19F7">
        <w:t xml:space="preserve">), jf. </w:t>
      </w:r>
      <w:proofErr w:type="spellStart"/>
      <w:r w:rsidRPr="00CC19F7">
        <w:t>Prop</w:t>
      </w:r>
      <w:proofErr w:type="spellEnd"/>
      <w:r w:rsidRPr="00CC19F7">
        <w:t xml:space="preserve">. 118 S (2022–2023) og </w:t>
      </w:r>
      <w:proofErr w:type="spellStart"/>
      <w:r w:rsidRPr="00CC19F7">
        <w:t>Innst</w:t>
      </w:r>
      <w:proofErr w:type="spellEnd"/>
      <w:r w:rsidRPr="00CC19F7">
        <w:t>. 490 S (2022–2023).</w:t>
      </w:r>
    </w:p>
    <w:sectPr w:rsidR="00FE02EF" w:rsidRPr="00CC19F7">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127F1" w14:textId="77777777" w:rsidR="00FE02EF" w:rsidRDefault="00881E58">
      <w:pPr>
        <w:spacing w:after="0" w:line="240" w:lineRule="auto"/>
      </w:pPr>
      <w:r>
        <w:separator/>
      </w:r>
    </w:p>
  </w:endnote>
  <w:endnote w:type="continuationSeparator" w:id="0">
    <w:p w14:paraId="5424E199" w14:textId="77777777" w:rsidR="00FE02EF" w:rsidRDefault="00881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altName w:val="UniCentury Old Style"/>
    <w:panose1 w:val="02030603060405030204"/>
    <w:charset w:val="00"/>
    <w:family w:val="roman"/>
    <w:pitch w:val="variable"/>
    <w:sig w:usb0="00000007"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90DB7" w14:textId="77777777" w:rsidR="00FE02EF" w:rsidRDefault="00881E58">
      <w:pPr>
        <w:spacing w:after="0" w:line="240" w:lineRule="auto"/>
      </w:pPr>
      <w:r>
        <w:separator/>
      </w:r>
    </w:p>
  </w:footnote>
  <w:footnote w:type="continuationSeparator" w:id="0">
    <w:p w14:paraId="25CC05F7" w14:textId="77777777" w:rsidR="00FE02EF" w:rsidRDefault="00881E58">
      <w:pPr>
        <w:spacing w:after="0" w:line="240" w:lineRule="auto"/>
      </w:pPr>
      <w:r>
        <w:continuationSeparator/>
      </w:r>
    </w:p>
  </w:footnote>
  <w:footnote w:id="1">
    <w:p w14:paraId="06787F5C" w14:textId="0899A625" w:rsidR="00FE02EF" w:rsidRDefault="00881E58">
      <w:pPr>
        <w:pStyle w:val="Fotnotetekst"/>
      </w:pPr>
      <w:r>
        <w:rPr>
          <w:vertAlign w:val="superscript"/>
        </w:rPr>
        <w:footnoteRef/>
      </w:r>
      <w:r w:rsidRPr="00CC19F7">
        <w:t>Forkortinga MWp står for megawatt-peak og blir brukt for å beskrive merkeeffekten til solkraftanlegga. Det vil seie kor mykje effekt anlegga leverer under standard testforhold, mellom anna med ei gitt solinnstråling.</w:t>
      </w:r>
    </w:p>
  </w:footnote>
  <w:footnote w:id="2">
    <w:p w14:paraId="2CE5B41E" w14:textId="0987A160" w:rsidR="00FE02EF" w:rsidRPr="00E97D0D" w:rsidRDefault="00881E58">
      <w:pPr>
        <w:pStyle w:val="Fotnotetekst"/>
        <w:rPr>
          <w:lang w:val="en-GB"/>
        </w:rPr>
      </w:pPr>
      <w:r>
        <w:rPr>
          <w:vertAlign w:val="superscript"/>
        </w:rPr>
        <w:footnoteRef/>
      </w:r>
      <w:r w:rsidRPr="00CC19F7">
        <w:rPr>
          <w:lang w:val="en-GB"/>
        </w:rPr>
        <w:t>Mission Innovation (23. September 2022), A Global Innovation Blueprint to make Clean Energy Affordable, Available and Accessible for All, Announcements at the 7</w:t>
      </w:r>
      <w:r w:rsidRPr="00CC19F7">
        <w:rPr>
          <w:rStyle w:val="skrift-hevet"/>
          <w:lang w:val="en-GB"/>
        </w:rPr>
        <w:t>th</w:t>
      </w:r>
      <w:r w:rsidRPr="00CC19F7">
        <w:rPr>
          <w:lang w:val="en-GB"/>
        </w:rPr>
        <w:t xml:space="preserve"> Mission Innovation Ministerial, </w:t>
      </w:r>
      <w:r w:rsidRPr="00CC19F7">
        <w:rPr>
          <w:lang w:val="en-GB"/>
        </w:rPr>
        <w:t>Henta frå Microsoft Word – FINAL Global Innovation Blueprint – MI-7 announcements (mission-innovation.net) 25. juli 2023</w:t>
      </w:r>
    </w:p>
  </w:footnote>
  <w:footnote w:id="3">
    <w:p w14:paraId="2320EEBA" w14:textId="3346A1BD" w:rsidR="00FE02EF" w:rsidRDefault="00881E58">
      <w:pPr>
        <w:pStyle w:val="Fotnotetekst"/>
      </w:pPr>
      <w:r>
        <w:rPr>
          <w:vertAlign w:val="superscript"/>
        </w:rPr>
        <w:footnoteRef/>
      </w:r>
      <w:r w:rsidRPr="00CC19F7">
        <w:rPr>
          <w:lang w:val="en-GB"/>
        </w:rPr>
        <w:t xml:space="preserve">CERT (Computer Emergency Response Team). </w:t>
      </w:r>
      <w:r w:rsidRPr="00CC19F7">
        <w:t xml:space="preserve">KraftCERT er eit selskap som støttar kraftbransjen både i førebyggande arbeid og i handtering av digitale hendingar. </w:t>
      </w:r>
    </w:p>
  </w:footnote>
  <w:footnote w:id="4">
    <w:p w14:paraId="76850AA4" w14:textId="37B79C8A" w:rsidR="00FE02EF" w:rsidRDefault="00881E58">
      <w:pPr>
        <w:pStyle w:val="Fotnotetekst"/>
      </w:pPr>
      <w:r>
        <w:rPr>
          <w:vertAlign w:val="superscript"/>
        </w:rPr>
        <w:footnoteRef/>
      </w:r>
      <w:r w:rsidRPr="00CC19F7">
        <w:rPr>
          <w:rStyle w:val="kursiv"/>
        </w:rPr>
        <w:t>Sammenhengende verdikjeder for hydrogen</w:t>
      </w:r>
      <w:r w:rsidRPr="00CC19F7">
        <w:t xml:space="preserve">, Oslo </w:t>
      </w:r>
      <w:r w:rsidRPr="00CC19F7">
        <w:t>Economics, Sintef, Greensight, mai 2023.</w:t>
      </w:r>
    </w:p>
  </w:footnote>
  <w:footnote w:id="5">
    <w:p w14:paraId="484C0D79" w14:textId="19FD1B8C" w:rsidR="00FE02EF" w:rsidRDefault="00881E58">
      <w:pPr>
        <w:pStyle w:val="Fotnotetekst"/>
      </w:pPr>
      <w:r>
        <w:rPr>
          <w:vertAlign w:val="superscript"/>
        </w:rPr>
        <w:footnoteRef/>
      </w:r>
      <w:r w:rsidRPr="00CC19F7">
        <w:t>ACT (</w:t>
      </w:r>
      <w:r w:rsidRPr="00CC19F7">
        <w:t>Accelerating CCS Technology) er eit internasjonalt samarbeid der formålet er å støtte forsking, utvikling og demonstrasjon innanfor CO</w:t>
      </w:r>
      <w:r w:rsidRPr="00CC19F7">
        <w:rPr>
          <w:rStyle w:val="skrift-senket"/>
        </w:rPr>
        <w:t>2</w:t>
      </w:r>
      <w:r w:rsidRPr="00CC19F7">
        <w:t>-handtering (CCUS). Leis meir om ACT under Internasjonalt forskings- og teknologisamarbeid.</w:t>
      </w:r>
    </w:p>
  </w:footnote>
  <w:footnote w:id="6">
    <w:p w14:paraId="2A59EF28" w14:textId="1E16934B" w:rsidR="00FE02EF" w:rsidRDefault="00881E58">
      <w:pPr>
        <w:pStyle w:val="Fotnotetekst"/>
      </w:pPr>
      <w:r>
        <w:rPr>
          <w:vertAlign w:val="superscript"/>
        </w:rPr>
        <w:footnoteRef/>
      </w:r>
      <w:r w:rsidRPr="00CC19F7">
        <w:t>Stiftarar: Nærings- og fiskeridepartementet, Utanriksdepartementet, Olje- og energidepartementet, Norges Rederiforbund, Norsk Industri, Offshore Norge, Energi Norge, Equinor, Statkraft og LO.</w:t>
      </w:r>
    </w:p>
  </w:footnote>
  <w:footnote w:id="7">
    <w:p w14:paraId="2EF74807" w14:textId="631D5805" w:rsidR="00FE02EF" w:rsidRDefault="00881E58">
      <w:pPr>
        <w:pStyle w:val="Fotnotetekst"/>
      </w:pPr>
      <w:r>
        <w:rPr>
          <w:vertAlign w:val="superscript"/>
        </w:rPr>
        <w:footnoteRef/>
      </w:r>
      <w:r w:rsidRPr="00CC19F7">
        <w:t xml:space="preserve">Hadde </w:t>
      </w:r>
      <w:r w:rsidRPr="00CC19F7">
        <w:t>dei berekningstekniske prisane i Nasjonalbudsjettet vore lagt til grunn, ville verdiane vore høvesvis om lag 1 200 mrd. kroner, 1 400 mrd. kroner og 29 prosent.</w:t>
      </w:r>
    </w:p>
  </w:footnote>
  <w:footnote w:id="8">
    <w:p w14:paraId="26D54033" w14:textId="77C6A55C" w:rsidR="00FE02EF" w:rsidRDefault="00881E58">
      <w:pPr>
        <w:pStyle w:val="Fotnotetekst"/>
      </w:pPr>
      <w:r>
        <w:rPr>
          <w:vertAlign w:val="superscript"/>
        </w:rPr>
        <w:footnoteRef/>
      </w:r>
      <w:r w:rsidRPr="00CC19F7">
        <w:t xml:space="preserve">Nytt kap. 1850 Klima, industri og teknologi </w:t>
      </w:r>
      <w:r w:rsidRPr="00CC19F7">
        <w:t>frå og med statsbudsjettet for 2023.</w:t>
      </w:r>
    </w:p>
  </w:footnote>
  <w:footnote w:id="9">
    <w:p w14:paraId="267D7586" w14:textId="1AC2A9B1" w:rsidR="00FE02EF" w:rsidRPr="00E97D0D" w:rsidRDefault="00881E58">
      <w:pPr>
        <w:pStyle w:val="Fotnotetekst"/>
        <w:rPr>
          <w:lang w:val="en-GB"/>
        </w:rPr>
      </w:pPr>
      <w:r>
        <w:rPr>
          <w:vertAlign w:val="superscript"/>
        </w:rPr>
        <w:footnoteRef/>
      </w:r>
      <w:r w:rsidRPr="00CC19F7">
        <w:rPr>
          <w:lang w:val="en-GB"/>
        </w:rPr>
        <w:t>No Heidelberg Materials.</w:t>
      </w:r>
    </w:p>
  </w:footnote>
  <w:footnote w:id="10">
    <w:p w14:paraId="7C1C352F" w14:textId="38F4BB1A" w:rsidR="00FE02EF" w:rsidRPr="00E97D0D" w:rsidRDefault="00881E58">
      <w:pPr>
        <w:pStyle w:val="Fotnotetekst"/>
        <w:rPr>
          <w:lang w:val="en-GB"/>
        </w:rPr>
      </w:pPr>
      <w:r>
        <w:rPr>
          <w:vertAlign w:val="superscript"/>
        </w:rPr>
        <w:footnoteRef/>
      </w:r>
      <w:r w:rsidRPr="00CC19F7">
        <w:rPr>
          <w:lang w:val="en-GB"/>
        </w:rPr>
        <w:t>No Heidelberg Materials.</w:t>
      </w:r>
    </w:p>
  </w:footnote>
  <w:footnote w:id="11">
    <w:p w14:paraId="3A36FDC0" w14:textId="1FBA9915" w:rsidR="00FE02EF" w:rsidRDefault="00881E58">
      <w:pPr>
        <w:pStyle w:val="Fotnotetekst"/>
      </w:pPr>
      <w:r>
        <w:rPr>
          <w:vertAlign w:val="superscript"/>
        </w:rPr>
        <w:footnoteRef/>
      </w:r>
      <w:r w:rsidRPr="00CC19F7">
        <w:t xml:space="preserve">Nytt kap. 1850 Klima, industri og teknologi </w:t>
      </w:r>
      <w:r w:rsidRPr="00CC19F7">
        <w:t>frå og med statsbudsjettet for 2023.</w:t>
      </w:r>
    </w:p>
  </w:footnote>
  <w:footnote w:id="12">
    <w:p w14:paraId="38EE6DBA" w14:textId="548F7CCA" w:rsidR="00FE02EF" w:rsidRPr="00E97D0D" w:rsidRDefault="00881E58">
      <w:pPr>
        <w:pStyle w:val="Fotnotetekst"/>
        <w:rPr>
          <w:lang w:val="en-GB"/>
        </w:rPr>
      </w:pPr>
      <w:r>
        <w:rPr>
          <w:vertAlign w:val="superscript"/>
        </w:rPr>
        <w:footnoteRef/>
      </w:r>
      <w:r w:rsidRPr="00CC19F7">
        <w:rPr>
          <w:lang w:val="en-GB"/>
        </w:rPr>
        <w:t>No Heidelberg Materials.</w:t>
      </w:r>
    </w:p>
  </w:footnote>
  <w:footnote w:id="13">
    <w:p w14:paraId="0D52E2A0" w14:textId="1FB33A23" w:rsidR="00FE02EF" w:rsidRPr="00E97D0D" w:rsidRDefault="00881E58">
      <w:pPr>
        <w:pStyle w:val="Fotnotetekst"/>
        <w:rPr>
          <w:lang w:val="en-GB"/>
        </w:rPr>
      </w:pPr>
      <w:r>
        <w:rPr>
          <w:vertAlign w:val="superscript"/>
        </w:rPr>
        <w:footnoteRef/>
      </w:r>
      <w:r w:rsidRPr="00CC19F7">
        <w:rPr>
          <w:lang w:val="en-GB"/>
        </w:rPr>
        <w:t xml:space="preserve">No </w:t>
      </w:r>
      <w:r w:rsidRPr="00CC19F7">
        <w:rPr>
          <w:lang w:val="en-GB"/>
        </w:rPr>
        <w:t>Hafslund Oslo Celsio.</w:t>
      </w:r>
    </w:p>
  </w:footnote>
  <w:footnote w:id="14">
    <w:p w14:paraId="31342C89" w14:textId="39CA01A5" w:rsidR="00FE02EF" w:rsidRPr="00E97D0D" w:rsidRDefault="00881E58">
      <w:pPr>
        <w:pStyle w:val="Fotnotetekst"/>
        <w:rPr>
          <w:lang w:val="en-GB"/>
        </w:rPr>
      </w:pPr>
      <w:r>
        <w:rPr>
          <w:vertAlign w:val="superscript"/>
        </w:rPr>
        <w:footnoteRef/>
      </w:r>
      <w:r w:rsidRPr="00CC19F7">
        <w:rPr>
          <w:lang w:val="en-GB"/>
        </w:rPr>
        <w:t>No Heidelberg Materials.</w:t>
      </w:r>
    </w:p>
  </w:footnote>
  <w:footnote w:id="15">
    <w:p w14:paraId="6536DA2E" w14:textId="15ADE1DF" w:rsidR="00FE02EF" w:rsidRPr="00E97D0D" w:rsidRDefault="00881E58">
      <w:pPr>
        <w:pStyle w:val="Fotnotetekst"/>
        <w:rPr>
          <w:lang w:val="en-GB"/>
        </w:rPr>
      </w:pPr>
      <w:r>
        <w:rPr>
          <w:vertAlign w:val="superscript"/>
        </w:rPr>
        <w:footnoteRef/>
      </w:r>
      <w:r w:rsidRPr="00CC19F7">
        <w:rPr>
          <w:lang w:val="en-GB"/>
        </w:rPr>
        <w:t xml:space="preserve">No </w:t>
      </w:r>
      <w:r w:rsidRPr="00CC19F7">
        <w:rPr>
          <w:lang w:val="en-GB"/>
        </w:rPr>
        <w:t>Hafslund Oslo Celsio.</w:t>
      </w:r>
    </w:p>
  </w:footnote>
  <w:footnote w:id="16">
    <w:p w14:paraId="7CA4C178" w14:textId="4ABEF410" w:rsidR="00FE02EF" w:rsidRDefault="00881E58">
      <w:pPr>
        <w:pStyle w:val="Fotnotetekst"/>
      </w:pPr>
      <w:r>
        <w:rPr>
          <w:vertAlign w:val="superscript"/>
        </w:rPr>
        <w:footnoteRef/>
      </w:r>
      <w:r w:rsidRPr="00CC19F7">
        <w:t xml:space="preserve">No Hafslund Oslo </w:t>
      </w:r>
      <w:r w:rsidRPr="00CC19F7">
        <w:t>Celsio.</w:t>
      </w:r>
    </w:p>
  </w:footnote>
  <w:footnote w:id="17">
    <w:p w14:paraId="0C6A8897" w14:textId="1AA5F1AA" w:rsidR="00FE02EF" w:rsidRDefault="00881E58">
      <w:pPr>
        <w:pStyle w:val="Fotnotetekst"/>
      </w:pPr>
      <w:r>
        <w:rPr>
          <w:vertAlign w:val="superscript"/>
        </w:rPr>
        <w:footnoteRef/>
      </w:r>
      <w:r w:rsidRPr="00CC19F7">
        <w:t xml:space="preserve">Nytt kap. 1850 Klima, industri og teknologi </w:t>
      </w:r>
      <w:r w:rsidRPr="00CC19F7">
        <w:t>frå og med statsbudsjettet for 2023.</w:t>
      </w:r>
    </w:p>
  </w:footnote>
  <w:footnote w:id="18">
    <w:p w14:paraId="11491384" w14:textId="6B34D727" w:rsidR="00FE02EF" w:rsidRDefault="00881E58">
      <w:pPr>
        <w:pStyle w:val="Fotnotetekst"/>
      </w:pPr>
      <w:r>
        <w:rPr>
          <w:vertAlign w:val="superscript"/>
        </w:rPr>
        <w:footnoteRef/>
      </w:r>
      <w:r w:rsidRPr="00CC19F7">
        <w:t>No Heidelberg Materials.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220867462">
    <w:abstractNumId w:val="14"/>
  </w:num>
  <w:num w:numId="2" w16cid:durableId="1901284535">
    <w:abstractNumId w:val="12"/>
  </w:num>
  <w:num w:numId="3" w16cid:durableId="1214385047">
    <w:abstractNumId w:val="5"/>
  </w:num>
  <w:num w:numId="4" w16cid:durableId="1117676662">
    <w:abstractNumId w:val="10"/>
  </w:num>
  <w:num w:numId="5" w16cid:durableId="1446535770">
    <w:abstractNumId w:val="15"/>
  </w:num>
  <w:num w:numId="6" w16cid:durableId="1754547639">
    <w:abstractNumId w:val="2"/>
  </w:num>
  <w:num w:numId="7" w16cid:durableId="1336035308">
    <w:abstractNumId w:val="1"/>
  </w:num>
  <w:num w:numId="8" w16cid:durableId="1894928734">
    <w:abstractNumId w:val="11"/>
  </w:num>
  <w:num w:numId="9" w16cid:durableId="1081638165">
    <w:abstractNumId w:val="3"/>
  </w:num>
  <w:num w:numId="10" w16cid:durableId="1810321444">
    <w:abstractNumId w:val="9"/>
  </w:num>
  <w:num w:numId="11" w16cid:durableId="938104680">
    <w:abstractNumId w:val="6"/>
  </w:num>
  <w:num w:numId="12" w16cid:durableId="1867676378">
    <w:abstractNumId w:val="4"/>
  </w:num>
  <w:num w:numId="13" w16cid:durableId="1327318540">
    <w:abstractNumId w:val="13"/>
  </w:num>
  <w:num w:numId="14" w16cid:durableId="1991132126">
    <w:abstractNumId w:val="17"/>
  </w:num>
  <w:num w:numId="15" w16cid:durableId="1518763235">
    <w:abstractNumId w:val="7"/>
  </w:num>
  <w:num w:numId="16" w16cid:durableId="1398014434">
    <w:abstractNumId w:val="8"/>
  </w:num>
  <w:num w:numId="17" w16cid:durableId="2030982856">
    <w:abstractNumId w:val="0"/>
  </w:num>
  <w:num w:numId="18" w16cid:durableId="134612516">
    <w:abstractNumId w:val="16"/>
  </w:num>
  <w:num w:numId="19" w16cid:durableId="997415633">
    <w:abstractNumId w:val="18"/>
  </w:num>
  <w:num w:numId="20" w16cid:durableId="3305233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260078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416972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726482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232121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31111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605997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E97D0D"/>
    <w:rsid w:val="002E78FA"/>
    <w:rsid w:val="005A5262"/>
    <w:rsid w:val="005F29B2"/>
    <w:rsid w:val="006B332F"/>
    <w:rsid w:val="00881E58"/>
    <w:rsid w:val="00A06A7F"/>
    <w:rsid w:val="00A26A74"/>
    <w:rsid w:val="00A74556"/>
    <w:rsid w:val="00C0741D"/>
    <w:rsid w:val="00CA1D23"/>
    <w:rsid w:val="00CC19F7"/>
    <w:rsid w:val="00E97D0D"/>
    <w:rsid w:val="00FE02E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BE4EC4"/>
  <w14:defaultImageDpi w14:val="0"/>
  <w15:docId w15:val="{79B91355-516A-4F2B-B77C-EE3648540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D23"/>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CA1D23"/>
    <w:pPr>
      <w:keepNext/>
      <w:keepLines/>
      <w:numPr>
        <w:numId w:val="19"/>
      </w:numPr>
      <w:spacing w:before="360" w:after="80"/>
      <w:jc w:val="center"/>
      <w:outlineLvl w:val="0"/>
    </w:pPr>
    <w:rPr>
      <w:rFonts w:ascii="Arial" w:hAnsi="Arial"/>
      <w:b/>
      <w:spacing w:val="0"/>
      <w:kern w:val="28"/>
      <w:sz w:val="32"/>
    </w:rPr>
  </w:style>
  <w:style w:type="paragraph" w:styleId="Overskrift2">
    <w:name w:val="heading 2"/>
    <w:basedOn w:val="Normal"/>
    <w:next w:val="Normal"/>
    <w:link w:val="Overskrift2Tegn"/>
    <w:qFormat/>
    <w:rsid w:val="00CA1D23"/>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CA1D23"/>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CA1D23"/>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CA1D23"/>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CA1D23"/>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CA1D23"/>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CA1D23"/>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CA1D23"/>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CA1D23"/>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CA1D23"/>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CA1D23"/>
    <w:pPr>
      <w:keepNext/>
      <w:keepLines/>
      <w:spacing w:before="240" w:after="240"/>
    </w:pPr>
  </w:style>
  <w:style w:type="paragraph" w:customStyle="1" w:styleId="a-konge-tit">
    <w:name w:val="a-konge-tit"/>
    <w:basedOn w:val="Normal"/>
    <w:next w:val="Normal"/>
    <w:rsid w:val="00CA1D23"/>
    <w:pPr>
      <w:keepNext/>
      <w:keepLines/>
      <w:spacing w:before="240"/>
      <w:jc w:val="center"/>
    </w:pPr>
    <w:rPr>
      <w:spacing w:val="30"/>
    </w:rPr>
  </w:style>
  <w:style w:type="paragraph" w:customStyle="1" w:styleId="a-tilraar-dep">
    <w:name w:val="a-tilraar-dep"/>
    <w:basedOn w:val="Normal"/>
    <w:next w:val="Normal"/>
    <w:rsid w:val="00CA1D23"/>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CA1D23"/>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CA1D23"/>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basedOn w:val="Normal"/>
    <w:next w:val="Normal"/>
    <w:rsid w:val="00CA1D23"/>
    <w:pPr>
      <w:keepNext/>
      <w:spacing w:before="360" w:after="60"/>
      <w:jc w:val="center"/>
    </w:pPr>
    <w:rPr>
      <w:b/>
    </w:rPr>
  </w:style>
  <w:style w:type="paragraph" w:customStyle="1" w:styleId="a-vedtak-tekst">
    <w:name w:val="a-vedtak-tekst"/>
    <w:basedOn w:val="Normal"/>
    <w:next w:val="Normal"/>
    <w:rsid w:val="00CA1D23"/>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CA1D23"/>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CA1D23"/>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basedOn w:val="a-vedtak-tit"/>
    <w:qFormat/>
    <w:rsid w:val="00CA1D23"/>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CA1D23"/>
    <w:pPr>
      <w:numPr>
        <w:numId w:val="2"/>
      </w:numPr>
      <w:spacing w:after="0"/>
    </w:pPr>
  </w:style>
  <w:style w:type="paragraph" w:customStyle="1" w:styleId="alfaliste2">
    <w:name w:val="alfaliste 2"/>
    <w:basedOn w:val="Liste2"/>
    <w:rsid w:val="00CA1D23"/>
    <w:pPr>
      <w:numPr>
        <w:numId w:val="2"/>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CA1D23"/>
    <w:pPr>
      <w:numPr>
        <w:ilvl w:val="2"/>
        <w:numId w:val="2"/>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CA1D23"/>
    <w:pPr>
      <w:numPr>
        <w:ilvl w:val="3"/>
        <w:numId w:val="2"/>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CA1D23"/>
    <w:pPr>
      <w:numPr>
        <w:ilvl w:val="4"/>
        <w:numId w:val="2"/>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CA1D23"/>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CA1D23"/>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CA1D23"/>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CA1D23"/>
    <w:pPr>
      <w:keepNext/>
      <w:keepLines/>
      <w:spacing w:before="240" w:after="60"/>
      <w:ind w:left="1021" w:hanging="1021"/>
    </w:pPr>
    <w:rPr>
      <w:rFonts w:ascii="Arial" w:hAnsi="Arial"/>
      <w:b/>
      <w:spacing w:val="0"/>
      <w:sz w:val="28"/>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2Tegn">
    <w:name w:val="Overskrift 2 Tegn"/>
    <w:basedOn w:val="Standardskriftforavsnitt"/>
    <w:link w:val="Overskrift2"/>
    <w:rsid w:val="00CA1D23"/>
    <w:rPr>
      <w:rFonts w:ascii="Arial" w:eastAsia="Times New Roman" w:hAnsi="Arial"/>
      <w:b/>
      <w:spacing w:val="4"/>
      <w:sz w:val="28"/>
    </w:rPr>
  </w:style>
  <w:style w:type="paragraph" w:customStyle="1" w:styleId="b-post">
    <w:name w:val="b-post"/>
    <w:basedOn w:val="Normal"/>
    <w:next w:val="Normal"/>
    <w:rsid w:val="00CA1D23"/>
    <w:pPr>
      <w:keepNext/>
      <w:keepLines/>
      <w:spacing w:before="360"/>
      <w:ind w:left="1021" w:hanging="1021"/>
      <w:outlineLvl w:val="2"/>
    </w:pPr>
    <w:rPr>
      <w:rFonts w:ascii="Arial" w:hAnsi="Arial"/>
      <w:b/>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CA1D23"/>
    <w:pPr>
      <w:keepNext/>
      <w:keepLines/>
      <w:spacing w:before="360" w:after="80"/>
      <w:jc w:val="center"/>
      <w:outlineLvl w:val="1"/>
    </w:pPr>
    <w:rPr>
      <w:rFonts w:ascii="Arial" w:hAnsi="Arial"/>
      <w:b/>
      <w:spacing w:val="0"/>
      <w:sz w:val="3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basedOn w:val="Normal"/>
    <w:next w:val="Normal"/>
    <w:rsid w:val="00CA1D23"/>
    <w:pPr>
      <w:keepNext/>
      <w:keepLines/>
      <w:spacing w:before="360" w:after="80"/>
      <w:jc w:val="center"/>
      <w:outlineLvl w:val="0"/>
    </w:pPr>
    <w:rPr>
      <w:rFonts w:ascii="Arial" w:hAnsi="Arial"/>
      <w:b/>
      <w:spacing w:val="0"/>
      <w:sz w:val="32"/>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basedOn w:val="Normal"/>
    <w:next w:val="Normal"/>
    <w:rsid w:val="00CA1D23"/>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basedOn w:val="Normal"/>
    <w:next w:val="Normal"/>
    <w:rsid w:val="00CA1D23"/>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CA1D23"/>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CA1D23"/>
  </w:style>
  <w:style w:type="paragraph" w:customStyle="1" w:styleId="Def">
    <w:name w:val="Def"/>
    <w:basedOn w:val="hengende-innrykk"/>
    <w:rsid w:val="00CA1D23"/>
    <w:pPr>
      <w:spacing w:line="240" w:lineRule="auto"/>
      <w:ind w:left="0" w:firstLine="0"/>
    </w:pPr>
    <w:rPr>
      <w:rFonts w:ascii="Times" w:eastAsia="Batang" w:hAnsi="Times"/>
      <w:spacing w:val="0"/>
      <w:szCs w:val="20"/>
    </w:rPr>
  </w:style>
  <w:style w:type="paragraph" w:customStyle="1" w:styleId="del-nr">
    <w:name w:val="del-nr"/>
    <w:basedOn w:val="Normal"/>
    <w:qFormat/>
    <w:rsid w:val="00CA1D23"/>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CA1D23"/>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CA1D23"/>
  </w:style>
  <w:style w:type="paragraph" w:customStyle="1" w:styleId="figur-noter">
    <w:name w:val="figur-noter"/>
    <w:basedOn w:val="Normal"/>
    <w:next w:val="Normal"/>
    <w:rsid w:val="00CA1D23"/>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CA1D23"/>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basedOn w:val="Normal"/>
    <w:next w:val="Normal"/>
    <w:rsid w:val="00CA1D23"/>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CA1D23"/>
    <w:rPr>
      <w:sz w:val="20"/>
    </w:rPr>
  </w:style>
  <w:style w:type="character" w:customStyle="1" w:styleId="FotnotetekstTegn">
    <w:name w:val="Fotnotetekst Tegn"/>
    <w:basedOn w:val="Standardskriftforavsnitt"/>
    <w:link w:val="Fotnotetekst"/>
    <w:rsid w:val="00CA1D23"/>
    <w:rPr>
      <w:rFonts w:ascii="Times New Roman" w:eastAsia="Times New Roman" w:hAnsi="Times New Roman"/>
      <w:spacing w:val="4"/>
      <w:sz w:val="20"/>
    </w:rPr>
  </w:style>
  <w:style w:type="paragraph" w:customStyle="1" w:styleId="friliste">
    <w:name w:val="friliste"/>
    <w:basedOn w:val="Normal"/>
    <w:qFormat/>
    <w:rsid w:val="00CA1D23"/>
    <w:pPr>
      <w:tabs>
        <w:tab w:val="left" w:pos="397"/>
      </w:tabs>
      <w:spacing w:after="0"/>
      <w:ind w:left="397" w:hanging="397"/>
    </w:pPr>
    <w:rPr>
      <w:spacing w:val="0"/>
    </w:rPr>
  </w:style>
  <w:style w:type="paragraph" w:customStyle="1" w:styleId="friliste2">
    <w:name w:val="friliste 2"/>
    <w:basedOn w:val="Normal"/>
    <w:qFormat/>
    <w:rsid w:val="00CA1D23"/>
    <w:pPr>
      <w:tabs>
        <w:tab w:val="left" w:pos="794"/>
      </w:tabs>
      <w:spacing w:after="0"/>
      <w:ind w:left="794" w:hanging="397"/>
    </w:pPr>
    <w:rPr>
      <w:spacing w:val="0"/>
    </w:rPr>
  </w:style>
  <w:style w:type="paragraph" w:customStyle="1" w:styleId="friliste3">
    <w:name w:val="friliste 3"/>
    <w:basedOn w:val="Normal"/>
    <w:qFormat/>
    <w:rsid w:val="00CA1D23"/>
    <w:pPr>
      <w:tabs>
        <w:tab w:val="left" w:pos="1191"/>
      </w:tabs>
      <w:spacing w:after="0"/>
      <w:ind w:left="1191" w:hanging="397"/>
    </w:pPr>
    <w:rPr>
      <w:spacing w:val="0"/>
    </w:rPr>
  </w:style>
  <w:style w:type="paragraph" w:customStyle="1" w:styleId="friliste4">
    <w:name w:val="friliste 4"/>
    <w:basedOn w:val="Normal"/>
    <w:qFormat/>
    <w:rsid w:val="00CA1D23"/>
    <w:pPr>
      <w:tabs>
        <w:tab w:val="left" w:pos="1588"/>
      </w:tabs>
      <w:spacing w:after="0"/>
      <w:ind w:left="1588" w:hanging="397"/>
    </w:pPr>
    <w:rPr>
      <w:spacing w:val="0"/>
    </w:rPr>
  </w:style>
  <w:style w:type="paragraph" w:customStyle="1" w:styleId="friliste5">
    <w:name w:val="friliste 5"/>
    <w:basedOn w:val="Normal"/>
    <w:qFormat/>
    <w:rsid w:val="00CA1D23"/>
    <w:pPr>
      <w:tabs>
        <w:tab w:val="left" w:pos="1985"/>
      </w:tabs>
      <w:spacing w:after="0"/>
      <w:ind w:left="1985" w:hanging="397"/>
    </w:pPr>
    <w:rPr>
      <w:spacing w:val="0"/>
    </w:rPr>
  </w:style>
  <w:style w:type="paragraph" w:customStyle="1" w:styleId="Fullmakttit">
    <w:name w:val="Fullmakttit"/>
    <w:basedOn w:val="Normal"/>
    <w:next w:val="Normal"/>
    <w:rsid w:val="00CA1D23"/>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CA1D23"/>
    <w:pPr>
      <w:ind w:left="1418" w:hanging="1418"/>
    </w:pPr>
  </w:style>
  <w:style w:type="paragraph" w:customStyle="1" w:styleId="i-budkap-over">
    <w:name w:val="i-budkap-over"/>
    <w:basedOn w:val="Normal"/>
    <w:next w:val="Normal"/>
    <w:rsid w:val="00CA1D23"/>
    <w:pPr>
      <w:jc w:val="right"/>
    </w:pPr>
    <w:rPr>
      <w:rFonts w:ascii="Times" w:hAnsi="Times"/>
      <w:b/>
      <w:noProof/>
    </w:rPr>
  </w:style>
  <w:style w:type="paragraph" w:customStyle="1" w:styleId="i-dep">
    <w:name w:val="i-dep"/>
    <w:basedOn w:val="Normal"/>
    <w:next w:val="Normal"/>
    <w:rsid w:val="00CA1D23"/>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CA1D23"/>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CA1D23"/>
    <w:pPr>
      <w:keepNext/>
      <w:keepLines/>
      <w:jc w:val="center"/>
    </w:pPr>
    <w:rPr>
      <w:rFonts w:eastAsia="Batang"/>
      <w:b/>
      <w:sz w:val="28"/>
    </w:rPr>
  </w:style>
  <w:style w:type="paragraph" w:customStyle="1" w:styleId="i-mtit">
    <w:name w:val="i-mtit"/>
    <w:basedOn w:val="Normal"/>
    <w:next w:val="Normal"/>
    <w:rsid w:val="00CA1D23"/>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CA1D23"/>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CA1D23"/>
    <w:pPr>
      <w:spacing w:after="0"/>
      <w:jc w:val="center"/>
    </w:pPr>
    <w:rPr>
      <w:rFonts w:ascii="Times" w:hAnsi="Times"/>
      <w:i/>
      <w:noProof/>
    </w:rPr>
  </w:style>
  <w:style w:type="paragraph" w:customStyle="1" w:styleId="i-termin">
    <w:name w:val="i-termin"/>
    <w:basedOn w:val="Normal"/>
    <w:next w:val="Normal"/>
    <w:rsid w:val="00CA1D23"/>
    <w:pPr>
      <w:spacing w:before="360"/>
      <w:jc w:val="center"/>
    </w:pPr>
    <w:rPr>
      <w:b/>
      <w:noProof/>
      <w:sz w:val="28"/>
    </w:rPr>
  </w:style>
  <w:style w:type="paragraph" w:customStyle="1" w:styleId="i-tit">
    <w:name w:val="i-tit"/>
    <w:basedOn w:val="Normal"/>
    <w:next w:val="i-statsrdato"/>
    <w:rsid w:val="00CA1D23"/>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CA1D23"/>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CA1D23"/>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basedOn w:val="Normal"/>
    <w:rsid w:val="00CA1D23"/>
    <w:pPr>
      <w:spacing w:line="240" w:lineRule="auto"/>
    </w:pPr>
    <w:rPr>
      <w:rFonts w:ascii="Times" w:eastAsia="Batang" w:hAnsi="Times" w:cs="Times New Roman"/>
      <w:spacing w:val="0"/>
      <w:szCs w:val="20"/>
    </w:rPr>
  </w:style>
  <w:style w:type="paragraph" w:customStyle="1" w:styleId="l-alfaliste">
    <w:name w:val="l-alfaliste"/>
    <w:basedOn w:val="alfaliste"/>
    <w:qFormat/>
    <w:rsid w:val="00CA1D23"/>
    <w:pPr>
      <w:numPr>
        <w:numId w:val="11"/>
      </w:numPr>
    </w:pPr>
    <w:rPr>
      <w:rFonts w:eastAsiaTheme="minorEastAsia"/>
    </w:rPr>
  </w:style>
  <w:style w:type="paragraph" w:customStyle="1" w:styleId="l-alfaliste2">
    <w:name w:val="l-alfaliste 2"/>
    <w:basedOn w:val="alfaliste2"/>
    <w:qFormat/>
    <w:rsid w:val="00CA1D23"/>
    <w:pPr>
      <w:numPr>
        <w:numId w:val="11"/>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CA1D23"/>
    <w:pPr>
      <w:numPr>
        <w:numId w:val="11"/>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CA1D23"/>
    <w:pPr>
      <w:numPr>
        <w:numId w:val="11"/>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CA1D23"/>
    <w:pPr>
      <w:numPr>
        <w:numId w:val="11"/>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CA1D23"/>
    <w:rPr>
      <w:lang w:val="nn-NO"/>
    </w:rPr>
  </w:style>
  <w:style w:type="paragraph" w:customStyle="1" w:styleId="l-ledd">
    <w:name w:val="l-ledd"/>
    <w:basedOn w:val="Normal"/>
    <w:qFormat/>
    <w:rsid w:val="00CA1D23"/>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CA1D23"/>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CA1D23"/>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basedOn w:val="hengende-innrykk"/>
    <w:qFormat/>
    <w:rsid w:val="00CA1D23"/>
    <w:pPr>
      <w:spacing w:after="0"/>
      <w:ind w:left="357" w:hanging="357"/>
    </w:pPr>
  </w:style>
  <w:style w:type="paragraph" w:customStyle="1" w:styleId="l-lovtit">
    <w:name w:val="l-lovtit"/>
    <w:basedOn w:val="Normal"/>
    <w:next w:val="Normal"/>
    <w:rsid w:val="00CA1D23"/>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CA1D23"/>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CA1D23"/>
    <w:pPr>
      <w:spacing w:after="0"/>
    </w:pPr>
  </w:style>
  <w:style w:type="paragraph" w:customStyle="1" w:styleId="l-tit-endr-avsnitt">
    <w:name w:val="l-tit-endr-avsnitt"/>
    <w:basedOn w:val="l-tit-endr-lovkap"/>
    <w:qFormat/>
    <w:rsid w:val="00CA1D23"/>
  </w:style>
  <w:style w:type="paragraph" w:customStyle="1" w:styleId="l-tit-endr-ledd">
    <w:name w:val="l-tit-endr-ledd"/>
    <w:basedOn w:val="Normal"/>
    <w:qFormat/>
    <w:rsid w:val="00CA1D23"/>
    <w:pPr>
      <w:keepNext/>
      <w:spacing w:before="240" w:after="0" w:line="240" w:lineRule="auto"/>
    </w:pPr>
    <w:rPr>
      <w:rFonts w:ascii="Times" w:hAnsi="Times"/>
      <w:noProof/>
      <w:lang w:val="nn-NO"/>
    </w:rPr>
  </w:style>
  <w:style w:type="paragraph" w:customStyle="1" w:styleId="l-tit-endr-lov">
    <w:name w:val="l-tit-endr-lov"/>
    <w:basedOn w:val="Normal"/>
    <w:qFormat/>
    <w:rsid w:val="00CA1D23"/>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CA1D23"/>
    <w:pPr>
      <w:keepNext/>
      <w:spacing w:before="240" w:after="0" w:line="240" w:lineRule="auto"/>
    </w:pPr>
    <w:rPr>
      <w:rFonts w:ascii="Times" w:hAnsi="Times"/>
      <w:noProof/>
      <w:lang w:val="nn-NO"/>
    </w:rPr>
  </w:style>
  <w:style w:type="paragraph" w:customStyle="1" w:styleId="l-tit-endr-lovkap">
    <w:name w:val="l-tit-endr-lovkap"/>
    <w:basedOn w:val="Normal"/>
    <w:qFormat/>
    <w:rsid w:val="00CA1D23"/>
    <w:pPr>
      <w:keepNext/>
      <w:spacing w:before="240" w:after="0" w:line="240" w:lineRule="auto"/>
    </w:pPr>
    <w:rPr>
      <w:rFonts w:ascii="Times" w:hAnsi="Times"/>
      <w:noProof/>
      <w:lang w:val="nn-NO"/>
    </w:rPr>
  </w:style>
  <w:style w:type="paragraph" w:customStyle="1" w:styleId="l-tit-endr-paragraf">
    <w:name w:val="l-tit-endr-paragraf"/>
    <w:basedOn w:val="Normal"/>
    <w:qFormat/>
    <w:rsid w:val="00CA1D23"/>
    <w:pPr>
      <w:keepNext/>
      <w:spacing w:before="240" w:after="0" w:line="240" w:lineRule="auto"/>
    </w:pPr>
    <w:rPr>
      <w:rFonts w:ascii="Times" w:hAnsi="Times"/>
      <w:noProof/>
      <w:lang w:val="nn-NO"/>
    </w:rPr>
  </w:style>
  <w:style w:type="paragraph" w:customStyle="1" w:styleId="l-tit-endr-punktum">
    <w:name w:val="l-tit-endr-punktum"/>
    <w:basedOn w:val="l-tit-endr-ledd"/>
    <w:qFormat/>
    <w:rsid w:val="00CA1D23"/>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CA1D23"/>
    <w:pPr>
      <w:numPr>
        <w:numId w:val="5"/>
      </w:numPr>
      <w:spacing w:line="240" w:lineRule="auto"/>
      <w:contextualSpacing/>
    </w:pPr>
  </w:style>
  <w:style w:type="paragraph" w:styleId="Liste2">
    <w:name w:val="List 2"/>
    <w:basedOn w:val="Normal"/>
    <w:rsid w:val="00CA1D23"/>
    <w:pPr>
      <w:numPr>
        <w:ilvl w:val="1"/>
        <w:numId w:val="5"/>
      </w:numPr>
      <w:spacing w:after="0"/>
    </w:pPr>
  </w:style>
  <w:style w:type="paragraph" w:styleId="Liste3">
    <w:name w:val="List 3"/>
    <w:basedOn w:val="Normal"/>
    <w:rsid w:val="00CA1D23"/>
    <w:pPr>
      <w:numPr>
        <w:ilvl w:val="2"/>
        <w:numId w:val="5"/>
      </w:numPr>
      <w:spacing w:after="0"/>
    </w:pPr>
    <w:rPr>
      <w:spacing w:val="0"/>
    </w:rPr>
  </w:style>
  <w:style w:type="paragraph" w:styleId="Liste4">
    <w:name w:val="List 4"/>
    <w:basedOn w:val="Normal"/>
    <w:rsid w:val="00CA1D23"/>
    <w:pPr>
      <w:numPr>
        <w:ilvl w:val="3"/>
        <w:numId w:val="5"/>
      </w:numPr>
      <w:spacing w:after="0"/>
    </w:pPr>
    <w:rPr>
      <w:spacing w:val="0"/>
    </w:rPr>
  </w:style>
  <w:style w:type="paragraph" w:styleId="Liste5">
    <w:name w:val="List 5"/>
    <w:basedOn w:val="Normal"/>
    <w:rsid w:val="00CA1D23"/>
    <w:pPr>
      <w:numPr>
        <w:ilvl w:val="4"/>
        <w:numId w:val="5"/>
      </w:numPr>
      <w:spacing w:after="0"/>
    </w:pPr>
    <w:rPr>
      <w:spacing w:val="0"/>
    </w:rPr>
  </w:style>
  <w:style w:type="paragraph" w:customStyle="1" w:styleId="Listebombe">
    <w:name w:val="Liste bombe"/>
    <w:basedOn w:val="Liste"/>
    <w:qFormat/>
    <w:rsid w:val="00CA1D23"/>
    <w:pPr>
      <w:numPr>
        <w:numId w:val="12"/>
      </w:numPr>
      <w:tabs>
        <w:tab w:val="left" w:pos="397"/>
      </w:tabs>
      <w:ind w:left="397" w:hanging="397"/>
    </w:pPr>
  </w:style>
  <w:style w:type="paragraph" w:customStyle="1" w:styleId="Listebombe2">
    <w:name w:val="Liste bombe 2"/>
    <w:basedOn w:val="Liste2"/>
    <w:qFormat/>
    <w:rsid w:val="00CA1D23"/>
    <w:pPr>
      <w:numPr>
        <w:ilvl w:val="0"/>
        <w:numId w:val="13"/>
      </w:numPr>
      <w:ind w:left="794" w:hanging="397"/>
    </w:pPr>
  </w:style>
  <w:style w:type="paragraph" w:customStyle="1" w:styleId="Listebombe3">
    <w:name w:val="Liste bombe 3"/>
    <w:basedOn w:val="Liste3"/>
    <w:qFormat/>
    <w:rsid w:val="00CA1D23"/>
    <w:pPr>
      <w:numPr>
        <w:ilvl w:val="0"/>
        <w:numId w:val="14"/>
      </w:numPr>
      <w:ind w:left="1191" w:hanging="397"/>
    </w:pPr>
  </w:style>
  <w:style w:type="paragraph" w:customStyle="1" w:styleId="Listebombe4">
    <w:name w:val="Liste bombe 4"/>
    <w:basedOn w:val="Liste4"/>
    <w:qFormat/>
    <w:rsid w:val="00CA1D23"/>
    <w:pPr>
      <w:numPr>
        <w:ilvl w:val="0"/>
        <w:numId w:val="15"/>
      </w:numPr>
      <w:ind w:left="1588" w:hanging="397"/>
    </w:pPr>
  </w:style>
  <w:style w:type="paragraph" w:customStyle="1" w:styleId="Listebombe5">
    <w:name w:val="Liste bombe 5"/>
    <w:basedOn w:val="Liste5"/>
    <w:qFormat/>
    <w:rsid w:val="00CA1D23"/>
    <w:pPr>
      <w:numPr>
        <w:ilvl w:val="0"/>
        <w:numId w:val="16"/>
      </w:numPr>
      <w:ind w:left="1985" w:hanging="397"/>
    </w:pPr>
  </w:style>
  <w:style w:type="paragraph" w:styleId="Listeavsnitt">
    <w:name w:val="List Paragraph"/>
    <w:basedOn w:val="Normal"/>
    <w:uiPriority w:val="34"/>
    <w:qFormat/>
    <w:rsid w:val="00CA1D23"/>
    <w:pPr>
      <w:spacing w:before="60" w:after="0"/>
      <w:ind w:left="397"/>
    </w:pPr>
    <w:rPr>
      <w:spacing w:val="0"/>
    </w:rPr>
  </w:style>
  <w:style w:type="paragraph" w:customStyle="1" w:styleId="Listeavsnitt2">
    <w:name w:val="Listeavsnitt 2"/>
    <w:basedOn w:val="Normal"/>
    <w:qFormat/>
    <w:rsid w:val="00CA1D23"/>
    <w:pPr>
      <w:spacing w:before="60" w:after="0"/>
      <w:ind w:left="794"/>
    </w:pPr>
    <w:rPr>
      <w:spacing w:val="0"/>
    </w:rPr>
  </w:style>
  <w:style w:type="paragraph" w:customStyle="1" w:styleId="Listeavsnitt3">
    <w:name w:val="Listeavsnitt 3"/>
    <w:basedOn w:val="Normal"/>
    <w:qFormat/>
    <w:rsid w:val="00CA1D23"/>
    <w:pPr>
      <w:spacing w:before="60" w:after="0"/>
      <w:ind w:left="1191"/>
    </w:pPr>
    <w:rPr>
      <w:spacing w:val="0"/>
    </w:rPr>
  </w:style>
  <w:style w:type="paragraph" w:customStyle="1" w:styleId="Listeavsnitt4">
    <w:name w:val="Listeavsnitt 4"/>
    <w:basedOn w:val="Normal"/>
    <w:qFormat/>
    <w:rsid w:val="00CA1D23"/>
    <w:pPr>
      <w:spacing w:before="60" w:after="0"/>
      <w:ind w:left="1588"/>
    </w:pPr>
    <w:rPr>
      <w:spacing w:val="0"/>
    </w:rPr>
  </w:style>
  <w:style w:type="paragraph" w:customStyle="1" w:styleId="Listeavsnitt5">
    <w:name w:val="Listeavsnitt 5"/>
    <w:basedOn w:val="Normal"/>
    <w:qFormat/>
    <w:rsid w:val="00CA1D23"/>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CA1D23"/>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rsid w:val="00CA1D23"/>
    <w:pPr>
      <w:numPr>
        <w:numId w:val="3"/>
      </w:numPr>
      <w:spacing w:after="0"/>
    </w:pPr>
    <w:rPr>
      <w:rFonts w:ascii="Times" w:eastAsia="Batang" w:hAnsi="Times"/>
      <w:spacing w:val="0"/>
      <w:szCs w:val="20"/>
    </w:rPr>
  </w:style>
  <w:style w:type="paragraph" w:styleId="Nummerertliste2">
    <w:name w:val="List Number 2"/>
    <w:basedOn w:val="Normal"/>
    <w:rsid w:val="00CA1D23"/>
    <w:pPr>
      <w:numPr>
        <w:ilvl w:val="1"/>
        <w:numId w:val="3"/>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CA1D23"/>
    <w:pPr>
      <w:numPr>
        <w:ilvl w:val="2"/>
        <w:numId w:val="3"/>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CA1D23"/>
    <w:pPr>
      <w:numPr>
        <w:ilvl w:val="3"/>
        <w:numId w:val="3"/>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CA1D23"/>
    <w:pPr>
      <w:numPr>
        <w:ilvl w:val="4"/>
        <w:numId w:val="3"/>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CA1D23"/>
    <w:pPr>
      <w:spacing w:after="0"/>
      <w:ind w:left="397"/>
    </w:pPr>
    <w:rPr>
      <w:spacing w:val="0"/>
      <w:lang w:val="en-US"/>
    </w:rPr>
  </w:style>
  <w:style w:type="paragraph" w:customStyle="1" w:styleId="opplisting3">
    <w:name w:val="opplisting 3"/>
    <w:basedOn w:val="Normal"/>
    <w:qFormat/>
    <w:rsid w:val="00CA1D23"/>
    <w:pPr>
      <w:spacing w:after="0"/>
      <w:ind w:left="794"/>
    </w:pPr>
    <w:rPr>
      <w:spacing w:val="0"/>
    </w:rPr>
  </w:style>
  <w:style w:type="paragraph" w:customStyle="1" w:styleId="opplisting4">
    <w:name w:val="opplisting 4"/>
    <w:basedOn w:val="Normal"/>
    <w:qFormat/>
    <w:rsid w:val="00CA1D23"/>
    <w:pPr>
      <w:spacing w:after="0"/>
      <w:ind w:left="1191"/>
    </w:pPr>
    <w:rPr>
      <w:spacing w:val="0"/>
    </w:rPr>
  </w:style>
  <w:style w:type="paragraph" w:customStyle="1" w:styleId="opplisting5">
    <w:name w:val="opplisting 5"/>
    <w:basedOn w:val="Normal"/>
    <w:qFormat/>
    <w:rsid w:val="00CA1D23"/>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character" w:customStyle="1" w:styleId="Overskrift1Tegn">
    <w:name w:val="Overskrift 1 Tegn"/>
    <w:basedOn w:val="Standardskriftforavsnitt"/>
    <w:link w:val="Overskrift1"/>
    <w:rsid w:val="00CA1D23"/>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character" w:customStyle="1" w:styleId="Overskrift3Tegn">
    <w:name w:val="Overskrift 3 Tegn"/>
    <w:basedOn w:val="Standardskriftforavsnitt"/>
    <w:link w:val="Overskrift3"/>
    <w:rsid w:val="00CA1D23"/>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basedOn w:val="Standardskriftforavsnitt"/>
    <w:link w:val="Overskrift4"/>
    <w:rsid w:val="00CA1D23"/>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basedOn w:val="Standardskriftforavsnitt"/>
    <w:link w:val="Overskrift5"/>
    <w:rsid w:val="00CA1D23"/>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CA1D23"/>
    <w:rPr>
      <w:spacing w:val="6"/>
      <w:sz w:val="19"/>
    </w:rPr>
  </w:style>
  <w:style w:type="paragraph" w:customStyle="1" w:styleId="ramme-noter">
    <w:name w:val="ramme-noter"/>
    <w:basedOn w:val="Normal"/>
    <w:next w:val="Normal"/>
    <w:rsid w:val="00CA1D23"/>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CA1D23"/>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CA1D23"/>
    <w:pPr>
      <w:numPr>
        <w:numId w:val="18"/>
      </w:numPr>
      <w:spacing w:after="0" w:line="240" w:lineRule="auto"/>
    </w:pPr>
    <w:rPr>
      <w:rFonts w:ascii="Times" w:eastAsia="Batang" w:hAnsi="Times"/>
      <w:spacing w:val="0"/>
      <w:szCs w:val="20"/>
    </w:rPr>
  </w:style>
  <w:style w:type="paragraph" w:customStyle="1" w:styleId="romertallliste2">
    <w:name w:val="romertall liste 2"/>
    <w:basedOn w:val="Normal"/>
    <w:rsid w:val="00CA1D23"/>
    <w:pPr>
      <w:numPr>
        <w:ilvl w:val="1"/>
        <w:numId w:val="18"/>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CA1D23"/>
    <w:pPr>
      <w:numPr>
        <w:ilvl w:val="2"/>
        <w:numId w:val="18"/>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CA1D23"/>
    <w:pPr>
      <w:numPr>
        <w:ilvl w:val="3"/>
        <w:numId w:val="18"/>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CA1D23"/>
    <w:pPr>
      <w:numPr>
        <w:ilvl w:val="4"/>
        <w:numId w:val="18"/>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CA1D23"/>
  </w:style>
  <w:style w:type="paragraph" w:customStyle="1" w:styleId="sitat">
    <w:name w:val="sitat"/>
    <w:basedOn w:val="Normal"/>
    <w:next w:val="Normal"/>
    <w:rsid w:val="00CA1D23"/>
    <w:pPr>
      <w:spacing w:line="240" w:lineRule="auto"/>
    </w:pPr>
    <w:rPr>
      <w:rFonts w:ascii="Times" w:eastAsia="Batang" w:hAnsi="Times" w:cs="Times New Roman"/>
      <w:spacing w:val="-12"/>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CA1D23"/>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CA1D23"/>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CA1D23"/>
    <w:pPr>
      <w:spacing w:line="240" w:lineRule="auto"/>
    </w:pPr>
    <w:rPr>
      <w:rFonts w:ascii="Times" w:eastAsia="Batang" w:hAnsi="Times"/>
      <w:vanish/>
      <w:color w:val="008000"/>
      <w:spacing w:val="0"/>
      <w:szCs w:val="24"/>
    </w:rPr>
  </w:style>
  <w:style w:type="paragraph" w:customStyle="1" w:styleId="Tabellnavn-kode">
    <w:name w:val="Tabellnavn-kode"/>
    <w:basedOn w:val="Tabellnavn"/>
    <w:qFormat/>
    <w:rsid w:val="00CA1D23"/>
    <w:rPr>
      <w:vanish w:val="0"/>
      <w:color w:val="FF000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CA1D23"/>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CA1D23"/>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CA1D23"/>
    <w:pPr>
      <w:keepNext/>
      <w:keepLines/>
      <w:spacing w:before="360" w:after="240"/>
      <w:jc w:val="center"/>
    </w:pPr>
    <w:rPr>
      <w:rFonts w:ascii="Arial" w:hAnsi="Arial"/>
      <w:b/>
      <w:sz w:val="28"/>
    </w:rPr>
  </w:style>
  <w:style w:type="paragraph" w:customStyle="1" w:styleId="tittel-ordforkl">
    <w:name w:val="tittel-ordforkl"/>
    <w:basedOn w:val="Normal"/>
    <w:next w:val="Normal"/>
    <w:rsid w:val="00CA1D23"/>
    <w:pPr>
      <w:keepNext/>
      <w:keepLines/>
      <w:spacing w:before="360" w:after="240"/>
      <w:jc w:val="center"/>
    </w:pPr>
    <w:rPr>
      <w:rFonts w:ascii="Arial" w:hAnsi="Arial"/>
      <w:b/>
      <w:sz w:val="28"/>
    </w:rPr>
  </w:style>
  <w:style w:type="paragraph" w:customStyle="1" w:styleId="tittel-ramme">
    <w:name w:val="tittel-ramme"/>
    <w:basedOn w:val="Normal"/>
    <w:next w:val="Normal"/>
    <w:rsid w:val="00CA1D23"/>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CA1D23"/>
    <w:pPr>
      <w:keepNext/>
      <w:keepLines/>
      <w:spacing w:before="360"/>
    </w:pPr>
    <w:rPr>
      <w:rFonts w:ascii="Arial" w:hAnsi="Arial"/>
      <w:b/>
      <w:sz w:val="28"/>
    </w:rPr>
  </w:style>
  <w:style w:type="character" w:customStyle="1" w:styleId="UndertittelTegn">
    <w:name w:val="Undertittel Tegn"/>
    <w:basedOn w:val="Standardskriftforavsnitt"/>
    <w:link w:val="Undertittel"/>
    <w:rsid w:val="00CA1D23"/>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CA1D23"/>
    <w:pPr>
      <w:numPr>
        <w:numId w:val="0"/>
      </w:numPr>
    </w:pPr>
    <w:rPr>
      <w:b w:val="0"/>
      <w:i/>
    </w:rPr>
  </w:style>
  <w:style w:type="paragraph" w:customStyle="1" w:styleId="Undervedl-tittel">
    <w:name w:val="Undervedl-tittel"/>
    <w:basedOn w:val="Normal"/>
    <w:next w:val="Normal"/>
    <w:rsid w:val="00CA1D23"/>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CA1D23"/>
    <w:pPr>
      <w:numPr>
        <w:numId w:val="0"/>
      </w:numPr>
      <w:outlineLvl w:val="9"/>
    </w:pPr>
  </w:style>
  <w:style w:type="paragraph" w:customStyle="1" w:styleId="v-Overskrift2">
    <w:name w:val="v-Overskrift 2"/>
    <w:basedOn w:val="Overskrift2"/>
    <w:next w:val="Normal"/>
    <w:rsid w:val="00CA1D23"/>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CA1D23"/>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CA1D23"/>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aerskilt-vedl">
    <w:name w:val="i-saerskilt-vedl"/>
    <w:basedOn w:val="Normal"/>
    <w:next w:val="Normal"/>
    <w:rsid w:val="00CA1D23"/>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basedOn w:val="a-vedtak-tit"/>
    <w:qFormat/>
    <w:rsid w:val="00CA1D23"/>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CA1D23"/>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CA1D23"/>
    <w:pPr>
      <w:keepNext/>
      <w:keepLines/>
      <w:numPr>
        <w:numId w:val="17"/>
      </w:numPr>
      <w:ind w:left="357" w:hanging="357"/>
    </w:pPr>
    <w:rPr>
      <w:rFonts w:ascii="Arial" w:hAnsi="Arial"/>
      <w:b/>
      <w:u w:val="single"/>
    </w:rPr>
  </w:style>
  <w:style w:type="paragraph" w:customStyle="1" w:styleId="Kilde">
    <w:name w:val="Kilde"/>
    <w:basedOn w:val="Normal"/>
    <w:next w:val="Normal"/>
    <w:rsid w:val="00CA1D23"/>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customStyle="1" w:styleId="BunntekstTegn">
    <w:name w:val="Bunntekst Tegn"/>
    <w:basedOn w:val="Standardskriftforavsnitt"/>
    <w:link w:val="Bunntekst"/>
    <w:rsid w:val="00CA1D23"/>
    <w:rPr>
      <w:rFonts w:ascii="Times New Roman" w:eastAsia="Times New Roman" w:hAnsi="Times New Roman"/>
      <w:spacing w:val="4"/>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CA1D23"/>
    <w:rPr>
      <w:rFonts w:ascii="Times New Roman" w:eastAsia="Times New Roman" w:hAnsi="Times New Roman"/>
      <w:spacing w:val="4"/>
      <w:sz w:val="24"/>
    </w:rPr>
  </w:style>
  <w:style w:type="character" w:styleId="Fotnotereferanse">
    <w:name w:val="footnote reference"/>
    <w:basedOn w:val="Standardskriftforavsnitt"/>
    <w:rsid w:val="00CA1D23"/>
    <w:rPr>
      <w:vertAlign w:val="superscript"/>
    </w:rPr>
  </w:style>
  <w:style w:type="character" w:customStyle="1" w:styleId="gjennomstreket">
    <w:name w:val="gjennomstreket"/>
    <w:uiPriority w:val="1"/>
    <w:rsid w:val="00CA1D23"/>
    <w:rPr>
      <w:strike/>
      <w:dstrike w:val="0"/>
    </w:rPr>
  </w:style>
  <w:style w:type="character" w:customStyle="1" w:styleId="halvfet0">
    <w:name w:val="halvfet"/>
    <w:basedOn w:val="Standardskriftforavsnitt"/>
    <w:rsid w:val="00CA1D23"/>
    <w:rPr>
      <w:b/>
    </w:rPr>
  </w:style>
  <w:style w:type="character" w:styleId="Hyperkobling">
    <w:name w:val="Hyperlink"/>
    <w:basedOn w:val="Standardskriftforavsnitt"/>
    <w:uiPriority w:val="99"/>
    <w:unhideWhenUsed/>
    <w:rsid w:val="00CA1D23"/>
    <w:rPr>
      <w:color w:val="0563C1" w:themeColor="hyperlink"/>
      <w:u w:val="single"/>
    </w:rPr>
  </w:style>
  <w:style w:type="character" w:customStyle="1" w:styleId="kursiv">
    <w:name w:val="kursiv"/>
    <w:basedOn w:val="Standardskriftforavsnitt"/>
    <w:rsid w:val="00CA1D23"/>
    <w:rPr>
      <w:i/>
    </w:rPr>
  </w:style>
  <w:style w:type="character" w:customStyle="1" w:styleId="l-endring">
    <w:name w:val="l-endring"/>
    <w:basedOn w:val="Standardskriftforavsnitt"/>
    <w:rsid w:val="00CA1D23"/>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CA1D23"/>
  </w:style>
  <w:style w:type="character" w:styleId="Plassholdertekst">
    <w:name w:val="Placeholder Text"/>
    <w:basedOn w:val="Standardskriftforavsnitt"/>
    <w:uiPriority w:val="99"/>
    <w:rsid w:val="00CA1D23"/>
    <w:rPr>
      <w:color w:val="808080"/>
    </w:rPr>
  </w:style>
  <w:style w:type="character" w:customStyle="1" w:styleId="regular">
    <w:name w:val="regular"/>
    <w:basedOn w:val="Standardskriftforavsnitt"/>
    <w:uiPriority w:val="1"/>
    <w:qFormat/>
    <w:rsid w:val="00CA1D23"/>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basedOn w:val="Standardskriftforavsnitt"/>
    <w:link w:val="Sitat0"/>
    <w:uiPriority w:val="29"/>
    <w:rsid w:val="00CA1D23"/>
    <w:rPr>
      <w:rFonts w:ascii="Times" w:eastAsia="Batang" w:hAnsi="Times" w:cs="Times New Roman"/>
      <w:i/>
      <w:iCs/>
      <w:color w:val="000000" w:themeColor="text1"/>
      <w:sz w:val="24"/>
      <w:szCs w:val="20"/>
    </w:rPr>
  </w:style>
  <w:style w:type="character" w:customStyle="1" w:styleId="skrift-hevet">
    <w:name w:val="skrift-hevet"/>
    <w:basedOn w:val="Standardskriftforavsnitt"/>
    <w:rsid w:val="00CA1D23"/>
    <w:rPr>
      <w:vertAlign w:val="superscript"/>
    </w:rPr>
  </w:style>
  <w:style w:type="character" w:customStyle="1" w:styleId="skrift-senket">
    <w:name w:val="skrift-senket"/>
    <w:basedOn w:val="Standardskriftforavsnitt"/>
    <w:rsid w:val="00CA1D23"/>
    <w:rPr>
      <w:vertAlign w:val="subscript"/>
    </w:rPr>
  </w:style>
  <w:style w:type="character" w:customStyle="1" w:styleId="SluttnotetekstTegn">
    <w:name w:val="Sluttnotetekst Tegn"/>
    <w:basedOn w:val="Standardskriftforavsnitt"/>
    <w:link w:val="Sluttnotetekst"/>
    <w:uiPriority w:val="99"/>
    <w:semiHidden/>
    <w:rsid w:val="00CA1D23"/>
    <w:rPr>
      <w:rFonts w:ascii="Times New Roman" w:eastAsia="Times New Roman" w:hAnsi="Times New Roman"/>
      <w:spacing w:val="4"/>
      <w:sz w:val="20"/>
      <w:szCs w:val="20"/>
    </w:rPr>
  </w:style>
  <w:style w:type="character" w:customStyle="1" w:styleId="sperret0">
    <w:name w:val="sperret"/>
    <w:basedOn w:val="Standardskriftforavsnitt"/>
    <w:rsid w:val="00CA1D23"/>
    <w:rPr>
      <w:spacing w:val="30"/>
    </w:rPr>
  </w:style>
  <w:style w:type="character" w:customStyle="1" w:styleId="SterktsitatTegn">
    <w:name w:val="Sterkt sitat Tegn"/>
    <w:basedOn w:val="Standardskriftforavsnitt"/>
    <w:link w:val="Sterktsitat"/>
    <w:uiPriority w:val="30"/>
    <w:rsid w:val="00CA1D23"/>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CA1D23"/>
    <w:rPr>
      <w:color w:val="0000FF"/>
    </w:rPr>
  </w:style>
  <w:style w:type="character" w:customStyle="1" w:styleId="stikkord0">
    <w:name w:val="stikkord"/>
    <w:uiPriority w:val="99"/>
  </w:style>
  <w:style w:type="character" w:styleId="Sterk">
    <w:name w:val="Strong"/>
    <w:basedOn w:val="Standardskriftforavsnitt"/>
    <w:uiPriority w:val="22"/>
    <w:qFormat/>
    <w:rsid w:val="00CA1D23"/>
    <w:rPr>
      <w:b/>
      <w:bCs/>
    </w:rPr>
  </w:style>
  <w:style w:type="character" w:customStyle="1" w:styleId="TopptekstTegn">
    <w:name w:val="Topptekst Tegn"/>
    <w:basedOn w:val="Standardskriftforavsnitt"/>
    <w:link w:val="Topptekst"/>
    <w:rsid w:val="00CA1D23"/>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CA1D23"/>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CA1D23"/>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E97D0D"/>
    <w:rPr>
      <w:rFonts w:ascii="UniCentury Old Style" w:hAnsi="UniCentury Old Style" w:cs="UniCentury Old Style"/>
      <w:color w:val="000000"/>
      <w:w w:val="0"/>
      <w:sz w:val="20"/>
      <w:szCs w:val="20"/>
    </w:rPr>
  </w:style>
  <w:style w:type="paragraph" w:styleId="Bunntekst">
    <w:name w:val="footer"/>
    <w:basedOn w:val="Normal"/>
    <w:link w:val="BunntekstTegn"/>
    <w:rsid w:val="00CA1D23"/>
    <w:pPr>
      <w:tabs>
        <w:tab w:val="center" w:pos="4153"/>
        <w:tab w:val="right" w:pos="8306"/>
      </w:tabs>
    </w:pPr>
    <w:rPr>
      <w:sz w:val="20"/>
    </w:rPr>
  </w:style>
  <w:style w:type="character" w:customStyle="1" w:styleId="BunntekstTegn1">
    <w:name w:val="Bunntekst Tegn1"/>
    <w:basedOn w:val="Standardskriftforavsnitt"/>
    <w:uiPriority w:val="99"/>
    <w:semiHidden/>
    <w:rsid w:val="00E97D0D"/>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CA1D23"/>
    <w:rPr>
      <w:rFonts w:ascii="Arial" w:eastAsia="Times New Roman" w:hAnsi="Arial"/>
      <w:i/>
      <w:spacing w:val="4"/>
    </w:rPr>
  </w:style>
  <w:style w:type="character" w:customStyle="1" w:styleId="Overskrift7Tegn">
    <w:name w:val="Overskrift 7 Tegn"/>
    <w:basedOn w:val="Standardskriftforavsnitt"/>
    <w:link w:val="Overskrift7"/>
    <w:rsid w:val="00CA1D23"/>
    <w:rPr>
      <w:rFonts w:ascii="Arial" w:eastAsia="Times New Roman" w:hAnsi="Arial"/>
      <w:spacing w:val="4"/>
      <w:sz w:val="24"/>
    </w:rPr>
  </w:style>
  <w:style w:type="character" w:customStyle="1" w:styleId="Overskrift8Tegn">
    <w:name w:val="Overskrift 8 Tegn"/>
    <w:basedOn w:val="Standardskriftforavsnitt"/>
    <w:link w:val="Overskrift8"/>
    <w:rsid w:val="00CA1D23"/>
    <w:rPr>
      <w:rFonts w:ascii="Arial" w:eastAsia="Times New Roman" w:hAnsi="Arial"/>
      <w:i/>
      <w:spacing w:val="4"/>
      <w:sz w:val="24"/>
    </w:rPr>
  </w:style>
  <w:style w:type="character" w:customStyle="1" w:styleId="Overskrift9Tegn">
    <w:name w:val="Overskrift 9 Tegn"/>
    <w:basedOn w:val="Standardskriftforavsnitt"/>
    <w:link w:val="Overskrift9"/>
    <w:rsid w:val="00CA1D23"/>
    <w:rPr>
      <w:rFonts w:ascii="Arial" w:eastAsia="Times New Roman" w:hAnsi="Arial"/>
      <w:i/>
      <w:spacing w:val="4"/>
      <w:sz w:val="18"/>
    </w:rPr>
  </w:style>
  <w:style w:type="table" w:customStyle="1" w:styleId="Tabell-VM">
    <w:name w:val="Tabell-VM"/>
    <w:basedOn w:val="Tabelltemaer"/>
    <w:uiPriority w:val="99"/>
    <w:qFormat/>
    <w:rsid w:val="00CA1D23"/>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CA1D23"/>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CA1D23"/>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CA1D23"/>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CA1D23"/>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CA1D23"/>
    <w:pPr>
      <w:tabs>
        <w:tab w:val="right" w:leader="dot" w:pos="8306"/>
      </w:tabs>
    </w:pPr>
    <w:rPr>
      <w:spacing w:val="0"/>
    </w:rPr>
  </w:style>
  <w:style w:type="paragraph" w:styleId="INNH2">
    <w:name w:val="toc 2"/>
    <w:basedOn w:val="Normal"/>
    <w:next w:val="Normal"/>
    <w:rsid w:val="00CA1D23"/>
    <w:pPr>
      <w:tabs>
        <w:tab w:val="right" w:leader="dot" w:pos="8306"/>
      </w:tabs>
      <w:ind w:left="200"/>
    </w:pPr>
    <w:rPr>
      <w:spacing w:val="0"/>
    </w:rPr>
  </w:style>
  <w:style w:type="paragraph" w:styleId="INNH3">
    <w:name w:val="toc 3"/>
    <w:basedOn w:val="Normal"/>
    <w:next w:val="Normal"/>
    <w:rsid w:val="00CA1D23"/>
    <w:pPr>
      <w:tabs>
        <w:tab w:val="right" w:leader="dot" w:pos="8306"/>
      </w:tabs>
      <w:ind w:left="400"/>
    </w:pPr>
    <w:rPr>
      <w:spacing w:val="0"/>
    </w:rPr>
  </w:style>
  <w:style w:type="paragraph" w:styleId="INNH4">
    <w:name w:val="toc 4"/>
    <w:basedOn w:val="Normal"/>
    <w:next w:val="Normal"/>
    <w:rsid w:val="00CA1D23"/>
    <w:pPr>
      <w:tabs>
        <w:tab w:val="right" w:leader="dot" w:pos="8306"/>
      </w:tabs>
      <w:ind w:left="600"/>
    </w:pPr>
    <w:rPr>
      <w:spacing w:val="0"/>
    </w:rPr>
  </w:style>
  <w:style w:type="paragraph" w:styleId="INNH5">
    <w:name w:val="toc 5"/>
    <w:basedOn w:val="Normal"/>
    <w:next w:val="Normal"/>
    <w:rsid w:val="00CA1D23"/>
    <w:pPr>
      <w:tabs>
        <w:tab w:val="right" w:leader="dot" w:pos="8306"/>
      </w:tabs>
      <w:ind w:left="800"/>
    </w:pPr>
    <w:rPr>
      <w:spacing w:val="0"/>
    </w:rPr>
  </w:style>
  <w:style w:type="character" w:styleId="Merknadsreferanse">
    <w:name w:val="annotation reference"/>
    <w:basedOn w:val="Standardskriftforavsnitt"/>
    <w:rsid w:val="00CA1D23"/>
    <w:rPr>
      <w:sz w:val="16"/>
    </w:rPr>
  </w:style>
  <w:style w:type="paragraph" w:styleId="Merknadstekst">
    <w:name w:val="annotation text"/>
    <w:basedOn w:val="Normal"/>
    <w:link w:val="MerknadstekstTegn"/>
    <w:rsid w:val="00CA1D23"/>
    <w:rPr>
      <w:spacing w:val="0"/>
      <w:sz w:val="20"/>
    </w:rPr>
  </w:style>
  <w:style w:type="character" w:customStyle="1" w:styleId="MerknadstekstTegn">
    <w:name w:val="Merknadstekst Tegn"/>
    <w:basedOn w:val="Standardskriftforavsnitt"/>
    <w:link w:val="Merknadstekst"/>
    <w:rsid w:val="00CA1D23"/>
    <w:rPr>
      <w:rFonts w:ascii="Times New Roman" w:eastAsia="Times New Roman" w:hAnsi="Times New Roman"/>
      <w:sz w:val="20"/>
    </w:rPr>
  </w:style>
  <w:style w:type="paragraph" w:styleId="Punktliste">
    <w:name w:val="List Bullet"/>
    <w:basedOn w:val="Normal"/>
    <w:rsid w:val="00CA1D23"/>
    <w:pPr>
      <w:spacing w:after="0"/>
      <w:ind w:left="284" w:hanging="284"/>
    </w:pPr>
  </w:style>
  <w:style w:type="paragraph" w:styleId="Punktliste2">
    <w:name w:val="List Bullet 2"/>
    <w:basedOn w:val="Normal"/>
    <w:rsid w:val="00CA1D23"/>
    <w:pPr>
      <w:spacing w:after="0"/>
      <w:ind w:left="568" w:hanging="284"/>
    </w:pPr>
  </w:style>
  <w:style w:type="paragraph" w:styleId="Punktliste3">
    <w:name w:val="List Bullet 3"/>
    <w:basedOn w:val="Normal"/>
    <w:rsid w:val="00CA1D23"/>
    <w:pPr>
      <w:spacing w:after="0"/>
      <w:ind w:left="851" w:hanging="284"/>
    </w:pPr>
  </w:style>
  <w:style w:type="paragraph" w:styleId="Punktliste4">
    <w:name w:val="List Bullet 4"/>
    <w:basedOn w:val="Normal"/>
    <w:rsid w:val="00CA1D23"/>
    <w:pPr>
      <w:spacing w:after="0"/>
      <w:ind w:left="1135" w:hanging="284"/>
    </w:pPr>
    <w:rPr>
      <w:spacing w:val="0"/>
    </w:rPr>
  </w:style>
  <w:style w:type="paragraph" w:styleId="Punktliste5">
    <w:name w:val="List Bullet 5"/>
    <w:basedOn w:val="Normal"/>
    <w:rsid w:val="00CA1D23"/>
    <w:pPr>
      <w:spacing w:after="0"/>
      <w:ind w:left="1418" w:hanging="284"/>
    </w:pPr>
    <w:rPr>
      <w:spacing w:val="0"/>
    </w:rPr>
  </w:style>
  <w:style w:type="table" w:customStyle="1" w:styleId="StandardTabell">
    <w:name w:val="StandardTabell"/>
    <w:basedOn w:val="Vanligtabell"/>
    <w:uiPriority w:val="99"/>
    <w:qFormat/>
    <w:rsid w:val="00CA1D23"/>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CA1D23"/>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CA1D23"/>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CA1D23"/>
    <w:pPr>
      <w:spacing w:after="0" w:line="240" w:lineRule="auto"/>
      <w:ind w:left="240" w:hanging="240"/>
    </w:pPr>
  </w:style>
  <w:style w:type="paragraph" w:styleId="Indeks2">
    <w:name w:val="index 2"/>
    <w:basedOn w:val="Normal"/>
    <w:next w:val="Normal"/>
    <w:autoRedefine/>
    <w:uiPriority w:val="99"/>
    <w:semiHidden/>
    <w:unhideWhenUsed/>
    <w:rsid w:val="00CA1D23"/>
    <w:pPr>
      <w:spacing w:after="0" w:line="240" w:lineRule="auto"/>
      <w:ind w:left="480" w:hanging="240"/>
    </w:pPr>
  </w:style>
  <w:style w:type="paragraph" w:styleId="Indeks3">
    <w:name w:val="index 3"/>
    <w:basedOn w:val="Normal"/>
    <w:next w:val="Normal"/>
    <w:autoRedefine/>
    <w:uiPriority w:val="99"/>
    <w:semiHidden/>
    <w:unhideWhenUsed/>
    <w:rsid w:val="00CA1D23"/>
    <w:pPr>
      <w:spacing w:after="0" w:line="240" w:lineRule="auto"/>
      <w:ind w:left="720" w:hanging="240"/>
    </w:pPr>
  </w:style>
  <w:style w:type="paragraph" w:styleId="Indeks4">
    <w:name w:val="index 4"/>
    <w:basedOn w:val="Normal"/>
    <w:next w:val="Normal"/>
    <w:autoRedefine/>
    <w:uiPriority w:val="99"/>
    <w:semiHidden/>
    <w:unhideWhenUsed/>
    <w:rsid w:val="00CA1D23"/>
    <w:pPr>
      <w:spacing w:after="0" w:line="240" w:lineRule="auto"/>
      <w:ind w:left="960" w:hanging="240"/>
    </w:pPr>
  </w:style>
  <w:style w:type="paragraph" w:styleId="Indeks5">
    <w:name w:val="index 5"/>
    <w:basedOn w:val="Normal"/>
    <w:next w:val="Normal"/>
    <w:autoRedefine/>
    <w:uiPriority w:val="99"/>
    <w:semiHidden/>
    <w:unhideWhenUsed/>
    <w:rsid w:val="00CA1D23"/>
    <w:pPr>
      <w:spacing w:after="0" w:line="240" w:lineRule="auto"/>
      <w:ind w:left="1200" w:hanging="240"/>
    </w:pPr>
  </w:style>
  <w:style w:type="paragraph" w:styleId="Indeks6">
    <w:name w:val="index 6"/>
    <w:basedOn w:val="Normal"/>
    <w:next w:val="Normal"/>
    <w:autoRedefine/>
    <w:uiPriority w:val="99"/>
    <w:semiHidden/>
    <w:unhideWhenUsed/>
    <w:rsid w:val="00CA1D23"/>
    <w:pPr>
      <w:spacing w:after="0" w:line="240" w:lineRule="auto"/>
      <w:ind w:left="1440" w:hanging="240"/>
    </w:pPr>
  </w:style>
  <w:style w:type="paragraph" w:styleId="Indeks7">
    <w:name w:val="index 7"/>
    <w:basedOn w:val="Normal"/>
    <w:next w:val="Normal"/>
    <w:autoRedefine/>
    <w:uiPriority w:val="99"/>
    <w:semiHidden/>
    <w:unhideWhenUsed/>
    <w:rsid w:val="00CA1D23"/>
    <w:pPr>
      <w:spacing w:after="0" w:line="240" w:lineRule="auto"/>
      <w:ind w:left="1680" w:hanging="240"/>
    </w:pPr>
  </w:style>
  <w:style w:type="paragraph" w:styleId="Indeks8">
    <w:name w:val="index 8"/>
    <w:basedOn w:val="Normal"/>
    <w:next w:val="Normal"/>
    <w:autoRedefine/>
    <w:uiPriority w:val="99"/>
    <w:semiHidden/>
    <w:unhideWhenUsed/>
    <w:rsid w:val="00CA1D23"/>
    <w:pPr>
      <w:spacing w:after="0" w:line="240" w:lineRule="auto"/>
      <w:ind w:left="1920" w:hanging="240"/>
    </w:pPr>
  </w:style>
  <w:style w:type="paragraph" w:styleId="Indeks9">
    <w:name w:val="index 9"/>
    <w:basedOn w:val="Normal"/>
    <w:next w:val="Normal"/>
    <w:autoRedefine/>
    <w:uiPriority w:val="99"/>
    <w:semiHidden/>
    <w:unhideWhenUsed/>
    <w:rsid w:val="00CA1D23"/>
    <w:pPr>
      <w:spacing w:after="0" w:line="240" w:lineRule="auto"/>
      <w:ind w:left="2160" w:hanging="240"/>
    </w:pPr>
  </w:style>
  <w:style w:type="paragraph" w:styleId="INNH6">
    <w:name w:val="toc 6"/>
    <w:basedOn w:val="Normal"/>
    <w:next w:val="Normal"/>
    <w:autoRedefine/>
    <w:uiPriority w:val="39"/>
    <w:semiHidden/>
    <w:unhideWhenUsed/>
    <w:rsid w:val="00CA1D23"/>
    <w:pPr>
      <w:spacing w:after="100"/>
      <w:ind w:left="1200"/>
    </w:pPr>
  </w:style>
  <w:style w:type="paragraph" w:styleId="INNH7">
    <w:name w:val="toc 7"/>
    <w:basedOn w:val="Normal"/>
    <w:next w:val="Normal"/>
    <w:autoRedefine/>
    <w:uiPriority w:val="39"/>
    <w:semiHidden/>
    <w:unhideWhenUsed/>
    <w:rsid w:val="00CA1D23"/>
    <w:pPr>
      <w:spacing w:after="100"/>
      <w:ind w:left="1440"/>
    </w:pPr>
  </w:style>
  <w:style w:type="paragraph" w:styleId="INNH8">
    <w:name w:val="toc 8"/>
    <w:basedOn w:val="Normal"/>
    <w:next w:val="Normal"/>
    <w:autoRedefine/>
    <w:uiPriority w:val="39"/>
    <w:semiHidden/>
    <w:unhideWhenUsed/>
    <w:rsid w:val="00CA1D23"/>
    <w:pPr>
      <w:spacing w:after="100"/>
      <w:ind w:left="1680"/>
    </w:pPr>
  </w:style>
  <w:style w:type="paragraph" w:styleId="INNH9">
    <w:name w:val="toc 9"/>
    <w:basedOn w:val="Normal"/>
    <w:next w:val="Normal"/>
    <w:autoRedefine/>
    <w:uiPriority w:val="39"/>
    <w:semiHidden/>
    <w:unhideWhenUsed/>
    <w:rsid w:val="00CA1D23"/>
    <w:pPr>
      <w:spacing w:after="100"/>
      <w:ind w:left="1920"/>
    </w:pPr>
  </w:style>
  <w:style w:type="paragraph" w:styleId="Vanliginnrykk">
    <w:name w:val="Normal Indent"/>
    <w:basedOn w:val="Normal"/>
    <w:uiPriority w:val="99"/>
    <w:semiHidden/>
    <w:unhideWhenUsed/>
    <w:rsid w:val="00CA1D23"/>
    <w:pPr>
      <w:ind w:left="708"/>
    </w:pPr>
  </w:style>
  <w:style w:type="paragraph" w:styleId="Stikkordregisteroverskrift">
    <w:name w:val="index heading"/>
    <w:basedOn w:val="Normal"/>
    <w:next w:val="Indeks1"/>
    <w:uiPriority w:val="99"/>
    <w:semiHidden/>
    <w:unhideWhenUsed/>
    <w:rsid w:val="00CA1D23"/>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CA1D23"/>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CA1D23"/>
    <w:pPr>
      <w:spacing w:after="0"/>
    </w:pPr>
  </w:style>
  <w:style w:type="paragraph" w:styleId="Konvoluttadresse">
    <w:name w:val="envelope address"/>
    <w:basedOn w:val="Normal"/>
    <w:uiPriority w:val="99"/>
    <w:semiHidden/>
    <w:unhideWhenUsed/>
    <w:rsid w:val="00CA1D23"/>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CA1D23"/>
  </w:style>
  <w:style w:type="character" w:styleId="Sluttnotereferanse">
    <w:name w:val="endnote reference"/>
    <w:basedOn w:val="Standardskriftforavsnitt"/>
    <w:uiPriority w:val="99"/>
    <w:semiHidden/>
    <w:unhideWhenUsed/>
    <w:rsid w:val="00CA1D23"/>
    <w:rPr>
      <w:vertAlign w:val="superscript"/>
    </w:rPr>
  </w:style>
  <w:style w:type="paragraph" w:styleId="Sluttnotetekst">
    <w:name w:val="endnote text"/>
    <w:basedOn w:val="Normal"/>
    <w:link w:val="SluttnotetekstTegn"/>
    <w:uiPriority w:val="99"/>
    <w:semiHidden/>
    <w:unhideWhenUsed/>
    <w:rsid w:val="00CA1D23"/>
    <w:pPr>
      <w:spacing w:after="0" w:line="240" w:lineRule="auto"/>
    </w:pPr>
    <w:rPr>
      <w:sz w:val="20"/>
      <w:szCs w:val="20"/>
    </w:rPr>
  </w:style>
  <w:style w:type="character" w:customStyle="1" w:styleId="SluttnotetekstTegn1">
    <w:name w:val="Sluttnotetekst Tegn1"/>
    <w:basedOn w:val="Standardskriftforavsnitt"/>
    <w:uiPriority w:val="99"/>
    <w:semiHidden/>
    <w:rsid w:val="00E97D0D"/>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CA1D23"/>
    <w:pPr>
      <w:spacing w:after="0"/>
      <w:ind w:left="240" w:hanging="240"/>
    </w:pPr>
  </w:style>
  <w:style w:type="paragraph" w:styleId="Makrotekst">
    <w:name w:val="macro"/>
    <w:link w:val="MakrotekstTegn"/>
    <w:uiPriority w:val="99"/>
    <w:semiHidden/>
    <w:unhideWhenUsed/>
    <w:rsid w:val="00CA1D23"/>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CA1D23"/>
    <w:rPr>
      <w:rFonts w:ascii="Consolas" w:eastAsia="Times New Roman" w:hAnsi="Consolas"/>
      <w:spacing w:val="4"/>
    </w:rPr>
  </w:style>
  <w:style w:type="paragraph" w:styleId="Kildelisteoverskrift">
    <w:name w:val="toa heading"/>
    <w:basedOn w:val="Normal"/>
    <w:next w:val="Normal"/>
    <w:uiPriority w:val="99"/>
    <w:semiHidden/>
    <w:unhideWhenUsed/>
    <w:rsid w:val="00CA1D23"/>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CA1D23"/>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CA1D23"/>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CA1D23"/>
    <w:pPr>
      <w:spacing w:after="0" w:line="240" w:lineRule="auto"/>
      <w:ind w:left="4252"/>
    </w:pPr>
  </w:style>
  <w:style w:type="character" w:customStyle="1" w:styleId="HilsenTegn">
    <w:name w:val="Hilsen Tegn"/>
    <w:basedOn w:val="Standardskriftforavsnitt"/>
    <w:link w:val="Hilsen"/>
    <w:uiPriority w:val="99"/>
    <w:semiHidden/>
    <w:rsid w:val="00CA1D23"/>
    <w:rPr>
      <w:rFonts w:ascii="Times New Roman" w:eastAsia="Times New Roman" w:hAnsi="Times New Roman"/>
      <w:spacing w:val="4"/>
      <w:sz w:val="24"/>
    </w:rPr>
  </w:style>
  <w:style w:type="paragraph" w:styleId="Underskrift">
    <w:name w:val="Signature"/>
    <w:basedOn w:val="Normal"/>
    <w:link w:val="UnderskriftTegn"/>
    <w:uiPriority w:val="99"/>
    <w:unhideWhenUsed/>
    <w:rsid w:val="00CA1D23"/>
    <w:pPr>
      <w:spacing w:after="0" w:line="240" w:lineRule="auto"/>
      <w:ind w:left="4252"/>
    </w:pPr>
  </w:style>
  <w:style w:type="character" w:customStyle="1" w:styleId="UnderskriftTegn1">
    <w:name w:val="Underskrift Tegn1"/>
    <w:basedOn w:val="Standardskriftforavsnitt"/>
    <w:uiPriority w:val="99"/>
    <w:semiHidden/>
    <w:rsid w:val="00E97D0D"/>
    <w:rPr>
      <w:rFonts w:ascii="Times New Roman" w:eastAsia="Times New Roman" w:hAnsi="Times New Roman"/>
      <w:spacing w:val="4"/>
      <w:sz w:val="24"/>
    </w:rPr>
  </w:style>
  <w:style w:type="paragraph" w:styleId="Liste-forts">
    <w:name w:val="List Continue"/>
    <w:basedOn w:val="Normal"/>
    <w:uiPriority w:val="99"/>
    <w:semiHidden/>
    <w:unhideWhenUsed/>
    <w:rsid w:val="00CA1D23"/>
    <w:pPr>
      <w:ind w:left="283"/>
      <w:contextualSpacing/>
    </w:pPr>
  </w:style>
  <w:style w:type="paragraph" w:styleId="Liste-forts2">
    <w:name w:val="List Continue 2"/>
    <w:basedOn w:val="Normal"/>
    <w:uiPriority w:val="99"/>
    <w:semiHidden/>
    <w:unhideWhenUsed/>
    <w:rsid w:val="00CA1D23"/>
    <w:pPr>
      <w:ind w:left="566"/>
      <w:contextualSpacing/>
    </w:pPr>
  </w:style>
  <w:style w:type="paragraph" w:styleId="Liste-forts3">
    <w:name w:val="List Continue 3"/>
    <w:basedOn w:val="Normal"/>
    <w:uiPriority w:val="99"/>
    <w:semiHidden/>
    <w:unhideWhenUsed/>
    <w:rsid w:val="00CA1D23"/>
    <w:pPr>
      <w:ind w:left="849"/>
      <w:contextualSpacing/>
    </w:pPr>
  </w:style>
  <w:style w:type="paragraph" w:styleId="Liste-forts4">
    <w:name w:val="List Continue 4"/>
    <w:basedOn w:val="Normal"/>
    <w:uiPriority w:val="99"/>
    <w:semiHidden/>
    <w:unhideWhenUsed/>
    <w:rsid w:val="00CA1D23"/>
    <w:pPr>
      <w:ind w:left="1132"/>
      <w:contextualSpacing/>
    </w:pPr>
  </w:style>
  <w:style w:type="paragraph" w:styleId="Liste-forts5">
    <w:name w:val="List Continue 5"/>
    <w:basedOn w:val="Normal"/>
    <w:uiPriority w:val="99"/>
    <w:semiHidden/>
    <w:unhideWhenUsed/>
    <w:rsid w:val="00CA1D23"/>
    <w:pPr>
      <w:ind w:left="1415"/>
      <w:contextualSpacing/>
    </w:pPr>
  </w:style>
  <w:style w:type="paragraph" w:styleId="Meldingshode">
    <w:name w:val="Message Header"/>
    <w:basedOn w:val="Normal"/>
    <w:link w:val="MeldingshodeTegn"/>
    <w:uiPriority w:val="99"/>
    <w:semiHidden/>
    <w:unhideWhenUsed/>
    <w:rsid w:val="00CA1D2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CA1D23"/>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CA1D23"/>
  </w:style>
  <w:style w:type="character" w:customStyle="1" w:styleId="InnledendehilsenTegn">
    <w:name w:val="Innledende hilsen Tegn"/>
    <w:basedOn w:val="Standardskriftforavsnitt"/>
    <w:link w:val="Innledendehilsen"/>
    <w:uiPriority w:val="99"/>
    <w:semiHidden/>
    <w:rsid w:val="00CA1D23"/>
    <w:rPr>
      <w:rFonts w:ascii="Times New Roman" w:eastAsia="Times New Roman" w:hAnsi="Times New Roman"/>
      <w:spacing w:val="4"/>
      <w:sz w:val="24"/>
    </w:rPr>
  </w:style>
  <w:style w:type="paragraph" w:styleId="Dato0">
    <w:name w:val="Date"/>
    <w:basedOn w:val="Normal"/>
    <w:next w:val="Normal"/>
    <w:link w:val="DatoTegn"/>
    <w:rsid w:val="00CA1D23"/>
  </w:style>
  <w:style w:type="character" w:customStyle="1" w:styleId="DatoTegn1">
    <w:name w:val="Dato Tegn1"/>
    <w:basedOn w:val="Standardskriftforavsnitt"/>
    <w:uiPriority w:val="99"/>
    <w:semiHidden/>
    <w:rsid w:val="00E97D0D"/>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CA1D23"/>
    <w:pPr>
      <w:spacing w:after="0" w:line="240" w:lineRule="auto"/>
    </w:pPr>
  </w:style>
  <w:style w:type="character" w:customStyle="1" w:styleId="NotatoverskriftTegn">
    <w:name w:val="Notatoverskrift Tegn"/>
    <w:basedOn w:val="Standardskriftforavsnitt"/>
    <w:link w:val="Notatoverskrift"/>
    <w:uiPriority w:val="99"/>
    <w:semiHidden/>
    <w:rsid w:val="00CA1D23"/>
    <w:rPr>
      <w:rFonts w:ascii="Times New Roman" w:eastAsia="Times New Roman" w:hAnsi="Times New Roman"/>
      <w:spacing w:val="4"/>
      <w:sz w:val="24"/>
    </w:rPr>
  </w:style>
  <w:style w:type="paragraph" w:styleId="Blokktekst">
    <w:name w:val="Block Text"/>
    <w:basedOn w:val="Normal"/>
    <w:uiPriority w:val="99"/>
    <w:semiHidden/>
    <w:unhideWhenUsed/>
    <w:rsid w:val="00CA1D23"/>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CA1D23"/>
    <w:rPr>
      <w:color w:val="954F72" w:themeColor="followedHyperlink"/>
      <w:u w:val="single"/>
    </w:rPr>
  </w:style>
  <w:style w:type="character" w:styleId="Utheving">
    <w:name w:val="Emphasis"/>
    <w:basedOn w:val="Standardskriftforavsnitt"/>
    <w:uiPriority w:val="20"/>
    <w:qFormat/>
    <w:rsid w:val="00CA1D23"/>
    <w:rPr>
      <w:i/>
      <w:iCs/>
    </w:rPr>
  </w:style>
  <w:style w:type="paragraph" w:styleId="Dokumentkart">
    <w:name w:val="Document Map"/>
    <w:basedOn w:val="Normal"/>
    <w:link w:val="DokumentkartTegn"/>
    <w:uiPriority w:val="99"/>
    <w:rsid w:val="00CA1D23"/>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rsid w:val="00CA1D23"/>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CA1D23"/>
    <w:rPr>
      <w:rFonts w:ascii="Courier New" w:hAnsi="Courier New" w:cs="Courier New"/>
      <w:sz w:val="20"/>
    </w:rPr>
  </w:style>
  <w:style w:type="character" w:customStyle="1" w:styleId="RentekstTegn">
    <w:name w:val="Ren tekst Tegn"/>
    <w:basedOn w:val="Standardskriftforavsnitt"/>
    <w:link w:val="Rentekst"/>
    <w:uiPriority w:val="99"/>
    <w:semiHidden/>
    <w:rsid w:val="00CA1D23"/>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CA1D23"/>
    <w:pPr>
      <w:spacing w:after="0" w:line="240" w:lineRule="auto"/>
    </w:pPr>
  </w:style>
  <w:style w:type="character" w:customStyle="1" w:styleId="E-postsignaturTegn">
    <w:name w:val="E-postsignatur Tegn"/>
    <w:basedOn w:val="Standardskriftforavsnitt"/>
    <w:link w:val="E-postsignatur"/>
    <w:uiPriority w:val="99"/>
    <w:semiHidden/>
    <w:rsid w:val="00CA1D23"/>
    <w:rPr>
      <w:rFonts w:ascii="Times New Roman" w:eastAsia="Times New Roman" w:hAnsi="Times New Roman"/>
      <w:spacing w:val="4"/>
      <w:sz w:val="24"/>
    </w:rPr>
  </w:style>
  <w:style w:type="paragraph" w:styleId="NormalWeb">
    <w:name w:val="Normal (Web)"/>
    <w:basedOn w:val="Normal"/>
    <w:uiPriority w:val="99"/>
    <w:semiHidden/>
    <w:unhideWhenUsed/>
    <w:rsid w:val="00CA1D23"/>
    <w:rPr>
      <w:szCs w:val="24"/>
    </w:rPr>
  </w:style>
  <w:style w:type="character" w:styleId="HTML-akronym">
    <w:name w:val="HTML Acronym"/>
    <w:basedOn w:val="Standardskriftforavsnitt"/>
    <w:uiPriority w:val="99"/>
    <w:semiHidden/>
    <w:unhideWhenUsed/>
    <w:rsid w:val="00CA1D23"/>
  </w:style>
  <w:style w:type="paragraph" w:styleId="HTML-adresse">
    <w:name w:val="HTML Address"/>
    <w:basedOn w:val="Normal"/>
    <w:link w:val="HTML-adresseTegn"/>
    <w:uiPriority w:val="99"/>
    <w:semiHidden/>
    <w:unhideWhenUsed/>
    <w:rsid w:val="00CA1D23"/>
    <w:pPr>
      <w:spacing w:after="0" w:line="240" w:lineRule="auto"/>
    </w:pPr>
    <w:rPr>
      <w:i/>
      <w:iCs/>
    </w:rPr>
  </w:style>
  <w:style w:type="character" w:customStyle="1" w:styleId="HTML-adresseTegn">
    <w:name w:val="HTML-adresse Tegn"/>
    <w:basedOn w:val="Standardskriftforavsnitt"/>
    <w:link w:val="HTML-adresse"/>
    <w:uiPriority w:val="99"/>
    <w:semiHidden/>
    <w:rsid w:val="00CA1D23"/>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CA1D23"/>
    <w:rPr>
      <w:i/>
      <w:iCs/>
    </w:rPr>
  </w:style>
  <w:style w:type="character" w:styleId="HTML-kode">
    <w:name w:val="HTML Code"/>
    <w:basedOn w:val="Standardskriftforavsnitt"/>
    <w:uiPriority w:val="99"/>
    <w:semiHidden/>
    <w:unhideWhenUsed/>
    <w:rsid w:val="00CA1D23"/>
    <w:rPr>
      <w:rFonts w:ascii="Consolas" w:hAnsi="Consolas"/>
      <w:sz w:val="20"/>
      <w:szCs w:val="20"/>
    </w:rPr>
  </w:style>
  <w:style w:type="character" w:styleId="HTML-definisjon">
    <w:name w:val="HTML Definition"/>
    <w:basedOn w:val="Standardskriftforavsnitt"/>
    <w:uiPriority w:val="99"/>
    <w:semiHidden/>
    <w:unhideWhenUsed/>
    <w:rsid w:val="00CA1D23"/>
    <w:rPr>
      <w:i/>
      <w:iCs/>
    </w:rPr>
  </w:style>
  <w:style w:type="character" w:styleId="HTML-tastatur">
    <w:name w:val="HTML Keyboard"/>
    <w:basedOn w:val="Standardskriftforavsnitt"/>
    <w:uiPriority w:val="99"/>
    <w:semiHidden/>
    <w:unhideWhenUsed/>
    <w:rsid w:val="00CA1D23"/>
    <w:rPr>
      <w:rFonts w:ascii="Consolas" w:hAnsi="Consolas"/>
      <w:sz w:val="20"/>
      <w:szCs w:val="20"/>
    </w:rPr>
  </w:style>
  <w:style w:type="paragraph" w:styleId="HTML-forhndsformatert">
    <w:name w:val="HTML Preformatted"/>
    <w:basedOn w:val="Normal"/>
    <w:link w:val="HTML-forhndsformatertTegn"/>
    <w:uiPriority w:val="99"/>
    <w:semiHidden/>
    <w:unhideWhenUsed/>
    <w:rsid w:val="00CA1D23"/>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CA1D23"/>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CA1D23"/>
    <w:rPr>
      <w:rFonts w:ascii="Consolas" w:hAnsi="Consolas"/>
      <w:sz w:val="24"/>
      <w:szCs w:val="24"/>
    </w:rPr>
  </w:style>
  <w:style w:type="character" w:styleId="HTML-skrivemaskin">
    <w:name w:val="HTML Typewriter"/>
    <w:basedOn w:val="Standardskriftforavsnitt"/>
    <w:uiPriority w:val="99"/>
    <w:semiHidden/>
    <w:unhideWhenUsed/>
    <w:rsid w:val="00CA1D23"/>
    <w:rPr>
      <w:rFonts w:ascii="Consolas" w:hAnsi="Consolas"/>
      <w:sz w:val="20"/>
      <w:szCs w:val="20"/>
    </w:rPr>
  </w:style>
  <w:style w:type="character" w:styleId="HTML-variabel">
    <w:name w:val="HTML Variable"/>
    <w:basedOn w:val="Standardskriftforavsnitt"/>
    <w:uiPriority w:val="99"/>
    <w:semiHidden/>
    <w:unhideWhenUsed/>
    <w:rsid w:val="00CA1D23"/>
    <w:rPr>
      <w:i/>
      <w:iCs/>
    </w:rPr>
  </w:style>
  <w:style w:type="paragraph" w:styleId="Kommentaremne">
    <w:name w:val="annotation subject"/>
    <w:basedOn w:val="Merknadstekst"/>
    <w:next w:val="Merknadstekst"/>
    <w:link w:val="KommentaremneTegn"/>
    <w:uiPriority w:val="99"/>
    <w:semiHidden/>
    <w:unhideWhenUsed/>
    <w:rsid w:val="00CA1D23"/>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CA1D23"/>
    <w:rPr>
      <w:rFonts w:ascii="Times New Roman" w:eastAsia="Times New Roman" w:hAnsi="Times New Roman"/>
      <w:b/>
      <w:bCs/>
      <w:spacing w:val="4"/>
      <w:sz w:val="20"/>
      <w:szCs w:val="20"/>
    </w:rPr>
  </w:style>
  <w:style w:type="paragraph" w:styleId="Bobletekst">
    <w:name w:val="Balloon Text"/>
    <w:basedOn w:val="Normal"/>
    <w:link w:val="BobletekstTegn"/>
    <w:uiPriority w:val="99"/>
    <w:unhideWhenUsed/>
    <w:rsid w:val="00CA1D23"/>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CA1D23"/>
    <w:rPr>
      <w:rFonts w:ascii="Tahoma" w:eastAsia="Times New Roman" w:hAnsi="Tahoma" w:cs="Tahoma"/>
      <w:spacing w:val="4"/>
      <w:sz w:val="16"/>
      <w:szCs w:val="16"/>
    </w:rPr>
  </w:style>
  <w:style w:type="table" w:styleId="Tabellrutenett">
    <w:name w:val="Table Grid"/>
    <w:basedOn w:val="Vanligtabell"/>
    <w:uiPriority w:val="59"/>
    <w:rsid w:val="00CA1D23"/>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CA1D23"/>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CA1D23"/>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E97D0D"/>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CA1D23"/>
    <w:rPr>
      <w:i/>
      <w:iCs/>
      <w:color w:val="808080" w:themeColor="text1" w:themeTint="7F"/>
    </w:rPr>
  </w:style>
  <w:style w:type="character" w:styleId="Sterkutheving">
    <w:name w:val="Intense Emphasis"/>
    <w:basedOn w:val="Standardskriftforavsnitt"/>
    <w:uiPriority w:val="21"/>
    <w:qFormat/>
    <w:rsid w:val="00CA1D23"/>
    <w:rPr>
      <w:b/>
      <w:bCs/>
      <w:i/>
      <w:iCs/>
      <w:color w:val="4472C4" w:themeColor="accent1"/>
    </w:rPr>
  </w:style>
  <w:style w:type="character" w:styleId="Svakreferanse">
    <w:name w:val="Subtle Reference"/>
    <w:basedOn w:val="Standardskriftforavsnitt"/>
    <w:uiPriority w:val="31"/>
    <w:qFormat/>
    <w:rsid w:val="00CA1D23"/>
    <w:rPr>
      <w:smallCaps/>
      <w:color w:val="ED7D31" w:themeColor="accent2"/>
      <w:u w:val="single"/>
    </w:rPr>
  </w:style>
  <w:style w:type="character" w:styleId="Sterkreferanse">
    <w:name w:val="Intense Reference"/>
    <w:basedOn w:val="Standardskriftforavsnitt"/>
    <w:uiPriority w:val="32"/>
    <w:qFormat/>
    <w:rsid w:val="00CA1D23"/>
    <w:rPr>
      <w:b/>
      <w:bCs/>
      <w:smallCaps/>
      <w:color w:val="ED7D31" w:themeColor="accent2"/>
      <w:spacing w:val="5"/>
      <w:u w:val="single"/>
    </w:rPr>
  </w:style>
  <w:style w:type="character" w:styleId="Boktittel">
    <w:name w:val="Book Title"/>
    <w:basedOn w:val="Standardskriftforavsnitt"/>
    <w:uiPriority w:val="33"/>
    <w:qFormat/>
    <w:rsid w:val="00CA1D23"/>
    <w:rPr>
      <w:b/>
      <w:bCs/>
      <w:smallCaps/>
      <w:spacing w:val="5"/>
    </w:rPr>
  </w:style>
  <w:style w:type="paragraph" w:styleId="Bibliografi">
    <w:name w:val="Bibliography"/>
    <w:basedOn w:val="Normal"/>
    <w:next w:val="Normal"/>
    <w:uiPriority w:val="37"/>
    <w:semiHidden/>
    <w:unhideWhenUsed/>
    <w:rsid w:val="00CA1D23"/>
  </w:style>
  <w:style w:type="paragraph" w:styleId="Overskriftforinnholdsfortegnelse">
    <w:name w:val="TOC Heading"/>
    <w:basedOn w:val="Overskrift1"/>
    <w:next w:val="Normal"/>
    <w:uiPriority w:val="39"/>
    <w:semiHidden/>
    <w:unhideWhenUsed/>
    <w:qFormat/>
    <w:rsid w:val="00CA1D23"/>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CA1D23"/>
    <w:pPr>
      <w:numPr>
        <w:numId w:val="2"/>
      </w:numPr>
    </w:pPr>
  </w:style>
  <w:style w:type="numbering" w:customStyle="1" w:styleId="NrListeStil">
    <w:name w:val="NrListeStil"/>
    <w:uiPriority w:val="99"/>
    <w:rsid w:val="00CA1D23"/>
    <w:pPr>
      <w:numPr>
        <w:numId w:val="3"/>
      </w:numPr>
    </w:pPr>
  </w:style>
  <w:style w:type="numbering" w:customStyle="1" w:styleId="RomListeStil">
    <w:name w:val="RomListeStil"/>
    <w:uiPriority w:val="99"/>
    <w:rsid w:val="00CA1D23"/>
    <w:pPr>
      <w:numPr>
        <w:numId w:val="4"/>
      </w:numPr>
    </w:pPr>
  </w:style>
  <w:style w:type="numbering" w:customStyle="1" w:styleId="StrekListeStil">
    <w:name w:val="StrekListeStil"/>
    <w:uiPriority w:val="99"/>
    <w:rsid w:val="00CA1D23"/>
    <w:pPr>
      <w:numPr>
        <w:numId w:val="5"/>
      </w:numPr>
    </w:pPr>
  </w:style>
  <w:style w:type="numbering" w:customStyle="1" w:styleId="OpplistingListeStil">
    <w:name w:val="OpplistingListeStil"/>
    <w:uiPriority w:val="99"/>
    <w:rsid w:val="00CA1D23"/>
    <w:pPr>
      <w:numPr>
        <w:numId w:val="6"/>
      </w:numPr>
    </w:pPr>
  </w:style>
  <w:style w:type="numbering" w:customStyle="1" w:styleId="l-NummerertListeStil">
    <w:name w:val="l-NummerertListeStil"/>
    <w:uiPriority w:val="99"/>
    <w:rsid w:val="00CA1D23"/>
    <w:pPr>
      <w:numPr>
        <w:numId w:val="7"/>
      </w:numPr>
    </w:pPr>
  </w:style>
  <w:style w:type="numbering" w:customStyle="1" w:styleId="l-AlfaListeStil">
    <w:name w:val="l-AlfaListeStil"/>
    <w:uiPriority w:val="99"/>
    <w:rsid w:val="00CA1D23"/>
    <w:pPr>
      <w:numPr>
        <w:numId w:val="8"/>
      </w:numPr>
    </w:pPr>
  </w:style>
  <w:style w:type="numbering" w:customStyle="1" w:styleId="OverskrifterListeStil">
    <w:name w:val="OverskrifterListeStil"/>
    <w:uiPriority w:val="99"/>
    <w:rsid w:val="00CA1D23"/>
    <w:pPr>
      <w:numPr>
        <w:numId w:val="9"/>
      </w:numPr>
    </w:pPr>
  </w:style>
  <w:style w:type="numbering" w:customStyle="1" w:styleId="l-ListeStilMal">
    <w:name w:val="l-ListeStilMal"/>
    <w:uiPriority w:val="99"/>
    <w:rsid w:val="00CA1D23"/>
    <w:pPr>
      <w:numPr>
        <w:numId w:val="10"/>
      </w:numPr>
    </w:pPr>
  </w:style>
  <w:style w:type="paragraph" w:styleId="Avsenderadresse">
    <w:name w:val="envelope return"/>
    <w:basedOn w:val="Normal"/>
    <w:uiPriority w:val="99"/>
    <w:semiHidden/>
    <w:unhideWhenUsed/>
    <w:rsid w:val="00CA1D23"/>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unhideWhenUsed/>
    <w:rsid w:val="00CA1D23"/>
  </w:style>
  <w:style w:type="character" w:customStyle="1" w:styleId="BrdtekstTegn">
    <w:name w:val="Brødtekst Tegn"/>
    <w:basedOn w:val="Standardskriftforavsnitt"/>
    <w:link w:val="Brdtekst"/>
    <w:rsid w:val="00CA1D23"/>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CA1D23"/>
    <w:pPr>
      <w:ind w:firstLine="360"/>
    </w:pPr>
  </w:style>
  <w:style w:type="character" w:customStyle="1" w:styleId="Brdtekst-frsteinnrykkTegn">
    <w:name w:val="Brødtekst - første innrykk Tegn"/>
    <w:basedOn w:val="BrdtekstTegn"/>
    <w:link w:val="Brdtekst-frsteinnrykk"/>
    <w:uiPriority w:val="99"/>
    <w:semiHidden/>
    <w:rsid w:val="00CA1D23"/>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CA1D23"/>
    <w:pPr>
      <w:ind w:left="283"/>
    </w:pPr>
  </w:style>
  <w:style w:type="character" w:customStyle="1" w:styleId="BrdtekstinnrykkTegn">
    <w:name w:val="Brødtekstinnrykk Tegn"/>
    <w:basedOn w:val="Standardskriftforavsnitt"/>
    <w:link w:val="Brdtekstinnrykk"/>
    <w:uiPriority w:val="99"/>
    <w:semiHidden/>
    <w:rsid w:val="00CA1D23"/>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CA1D23"/>
    <w:pPr>
      <w:ind w:left="360" w:firstLine="360"/>
    </w:pPr>
  </w:style>
  <w:style w:type="character" w:customStyle="1" w:styleId="Brdtekst-frsteinnrykk2Tegn">
    <w:name w:val="Brødtekst - første innrykk 2 Tegn"/>
    <w:basedOn w:val="BrdtekstinnrykkTegn"/>
    <w:link w:val="Brdtekst-frsteinnrykk2"/>
    <w:uiPriority w:val="99"/>
    <w:semiHidden/>
    <w:rsid w:val="00CA1D23"/>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CA1D23"/>
    <w:pPr>
      <w:spacing w:line="480" w:lineRule="auto"/>
    </w:pPr>
  </w:style>
  <w:style w:type="character" w:customStyle="1" w:styleId="Brdtekst2Tegn">
    <w:name w:val="Brødtekst 2 Tegn"/>
    <w:basedOn w:val="Standardskriftforavsnitt"/>
    <w:link w:val="Brdtekst2"/>
    <w:uiPriority w:val="99"/>
    <w:semiHidden/>
    <w:rsid w:val="00CA1D23"/>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CA1D23"/>
    <w:rPr>
      <w:sz w:val="16"/>
      <w:szCs w:val="16"/>
    </w:rPr>
  </w:style>
  <w:style w:type="character" w:customStyle="1" w:styleId="Brdtekst3Tegn">
    <w:name w:val="Brødtekst 3 Tegn"/>
    <w:basedOn w:val="Standardskriftforavsnitt"/>
    <w:link w:val="Brdtekst3"/>
    <w:uiPriority w:val="99"/>
    <w:semiHidden/>
    <w:rsid w:val="00CA1D23"/>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CA1D23"/>
    <w:pPr>
      <w:spacing w:line="480" w:lineRule="auto"/>
      <w:ind w:left="283"/>
    </w:pPr>
  </w:style>
  <w:style w:type="character" w:customStyle="1" w:styleId="Brdtekstinnrykk2Tegn">
    <w:name w:val="Brødtekstinnrykk 2 Tegn"/>
    <w:basedOn w:val="Standardskriftforavsnitt"/>
    <w:link w:val="Brdtekstinnrykk2"/>
    <w:uiPriority w:val="99"/>
    <w:semiHidden/>
    <w:rsid w:val="00CA1D23"/>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CA1D23"/>
    <w:pPr>
      <w:ind w:left="283"/>
    </w:pPr>
    <w:rPr>
      <w:sz w:val="16"/>
      <w:szCs w:val="16"/>
    </w:rPr>
  </w:style>
  <w:style w:type="character" w:customStyle="1" w:styleId="Brdtekstinnrykk3Tegn">
    <w:name w:val="Brødtekstinnrykk 3 Tegn"/>
    <w:basedOn w:val="Standardskriftforavsnitt"/>
    <w:link w:val="Brdtekstinnrykk3"/>
    <w:uiPriority w:val="99"/>
    <w:semiHidden/>
    <w:rsid w:val="00CA1D23"/>
    <w:rPr>
      <w:rFonts w:ascii="Times New Roman" w:eastAsia="Times New Roman" w:hAnsi="Times New Roman"/>
      <w:spacing w:val="4"/>
      <w:sz w:val="16"/>
      <w:szCs w:val="16"/>
    </w:rPr>
  </w:style>
  <w:style w:type="paragraph" w:customStyle="1" w:styleId="Sammendrag">
    <w:name w:val="Sammendrag"/>
    <w:basedOn w:val="Overskrift1"/>
    <w:qFormat/>
    <w:rsid w:val="00CA1D23"/>
    <w:pPr>
      <w:numPr>
        <w:numId w:val="0"/>
      </w:numPr>
    </w:pPr>
  </w:style>
  <w:style w:type="paragraph" w:customStyle="1" w:styleId="TrykkeriMerknad">
    <w:name w:val="TrykkeriMerknad"/>
    <w:basedOn w:val="Normal"/>
    <w:qFormat/>
    <w:rsid w:val="00CA1D23"/>
    <w:pPr>
      <w:spacing w:before="60"/>
    </w:pPr>
    <w:rPr>
      <w:rFonts w:ascii="Arial" w:hAnsi="Arial"/>
      <w:color w:val="C45911" w:themeColor="accent2" w:themeShade="BF"/>
      <w:sz w:val="26"/>
    </w:rPr>
  </w:style>
  <w:style w:type="paragraph" w:customStyle="1" w:styleId="ForfatterMerknad">
    <w:name w:val="ForfatterMerknad"/>
    <w:basedOn w:val="TrykkeriMerknad"/>
    <w:qFormat/>
    <w:rsid w:val="00CA1D23"/>
    <w:pPr>
      <w:shd w:val="clear" w:color="auto" w:fill="FFFF99"/>
      <w:spacing w:line="240" w:lineRule="auto"/>
    </w:pPr>
    <w:rPr>
      <w:color w:val="833C0B" w:themeColor="accent2" w:themeShade="80"/>
    </w:rPr>
  </w:style>
  <w:style w:type="paragraph" w:customStyle="1" w:styleId="tblRad">
    <w:name w:val="tblRad"/>
    <w:rsid w:val="00CA1D23"/>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CA1D23"/>
  </w:style>
  <w:style w:type="paragraph" w:customStyle="1" w:styleId="tbl2LinjeSumBold">
    <w:name w:val="tbl2LinjeSumBold"/>
    <w:basedOn w:val="tblRad"/>
    <w:rsid w:val="00CA1D23"/>
  </w:style>
  <w:style w:type="paragraph" w:customStyle="1" w:styleId="tblDelsum1">
    <w:name w:val="tblDelsum1"/>
    <w:basedOn w:val="tblRad"/>
    <w:rsid w:val="00CA1D23"/>
  </w:style>
  <w:style w:type="paragraph" w:customStyle="1" w:styleId="tblDelsum1-Kapittel">
    <w:name w:val="tblDelsum1 - Kapittel"/>
    <w:basedOn w:val="tblDelsum1"/>
    <w:rsid w:val="00CA1D23"/>
    <w:pPr>
      <w:keepNext w:val="0"/>
    </w:pPr>
  </w:style>
  <w:style w:type="paragraph" w:customStyle="1" w:styleId="tblDelsum2">
    <w:name w:val="tblDelsum2"/>
    <w:basedOn w:val="tblRad"/>
    <w:rsid w:val="00CA1D23"/>
  </w:style>
  <w:style w:type="paragraph" w:customStyle="1" w:styleId="tblDelsum2-Kapittel">
    <w:name w:val="tblDelsum2 - Kapittel"/>
    <w:basedOn w:val="tblDelsum2"/>
    <w:rsid w:val="00CA1D23"/>
    <w:pPr>
      <w:keepNext w:val="0"/>
    </w:pPr>
  </w:style>
  <w:style w:type="paragraph" w:customStyle="1" w:styleId="tblTabelloverskrift">
    <w:name w:val="tblTabelloverskrift"/>
    <w:rsid w:val="00CA1D23"/>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CA1D23"/>
    <w:pPr>
      <w:spacing w:after="0"/>
      <w:jc w:val="right"/>
    </w:pPr>
    <w:rPr>
      <w:b w:val="0"/>
      <w:caps w:val="0"/>
      <w:sz w:val="16"/>
    </w:rPr>
  </w:style>
  <w:style w:type="paragraph" w:customStyle="1" w:styleId="tblKategoriOverskrift">
    <w:name w:val="tblKategoriOverskrift"/>
    <w:basedOn w:val="tblRad"/>
    <w:rsid w:val="00CA1D23"/>
    <w:pPr>
      <w:spacing w:before="120"/>
    </w:pPr>
  </w:style>
  <w:style w:type="paragraph" w:customStyle="1" w:styleId="tblKolonneoverskrift">
    <w:name w:val="tblKolonneoverskrift"/>
    <w:basedOn w:val="Normal"/>
    <w:rsid w:val="00CA1D23"/>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CA1D23"/>
    <w:pPr>
      <w:spacing w:after="360"/>
      <w:jc w:val="center"/>
    </w:pPr>
    <w:rPr>
      <w:b w:val="0"/>
      <w:caps w:val="0"/>
    </w:rPr>
  </w:style>
  <w:style w:type="paragraph" w:customStyle="1" w:styleId="tblKolonneoverskrift-Vedtak">
    <w:name w:val="tblKolonneoverskrift - Vedtak"/>
    <w:basedOn w:val="tblTabelloverskrift-Vedtak"/>
    <w:rsid w:val="00CA1D23"/>
    <w:pPr>
      <w:spacing w:after="0"/>
    </w:pPr>
  </w:style>
  <w:style w:type="paragraph" w:customStyle="1" w:styleId="tblOverskrift-Vedtak">
    <w:name w:val="tblOverskrift - Vedtak"/>
    <w:basedOn w:val="tblRad"/>
    <w:rsid w:val="00CA1D23"/>
    <w:pPr>
      <w:spacing w:before="360"/>
      <w:jc w:val="center"/>
    </w:pPr>
  </w:style>
  <w:style w:type="paragraph" w:customStyle="1" w:styleId="tblRadBold">
    <w:name w:val="tblRadBold"/>
    <w:basedOn w:val="tblRad"/>
    <w:rsid w:val="00CA1D23"/>
  </w:style>
  <w:style w:type="paragraph" w:customStyle="1" w:styleId="tblRadItalic">
    <w:name w:val="tblRadItalic"/>
    <w:basedOn w:val="tblRad"/>
    <w:rsid w:val="00CA1D23"/>
  </w:style>
  <w:style w:type="paragraph" w:customStyle="1" w:styleId="tblRadItalicSiste">
    <w:name w:val="tblRadItalicSiste"/>
    <w:basedOn w:val="tblRadItalic"/>
    <w:rsid w:val="00CA1D23"/>
  </w:style>
  <w:style w:type="paragraph" w:customStyle="1" w:styleId="tblRadMedLuft">
    <w:name w:val="tblRadMedLuft"/>
    <w:basedOn w:val="tblRad"/>
    <w:rsid w:val="00CA1D23"/>
    <w:pPr>
      <w:spacing w:before="120"/>
    </w:pPr>
  </w:style>
  <w:style w:type="paragraph" w:customStyle="1" w:styleId="tblRadMedLuftSiste">
    <w:name w:val="tblRadMedLuftSiste"/>
    <w:basedOn w:val="tblRadMedLuft"/>
    <w:rsid w:val="00CA1D23"/>
    <w:pPr>
      <w:spacing w:after="120"/>
    </w:pPr>
  </w:style>
  <w:style w:type="paragraph" w:customStyle="1" w:styleId="tblRadMedLuftSiste-Vedtak">
    <w:name w:val="tblRadMedLuftSiste - Vedtak"/>
    <w:basedOn w:val="tblRadMedLuftSiste"/>
    <w:rsid w:val="00CA1D23"/>
    <w:pPr>
      <w:keepNext w:val="0"/>
    </w:pPr>
  </w:style>
  <w:style w:type="paragraph" w:customStyle="1" w:styleId="tblRadSiste">
    <w:name w:val="tblRadSiste"/>
    <w:basedOn w:val="tblRad"/>
    <w:rsid w:val="00CA1D23"/>
  </w:style>
  <w:style w:type="paragraph" w:customStyle="1" w:styleId="tblSluttsum">
    <w:name w:val="tblSluttsum"/>
    <w:basedOn w:val="tblRad"/>
    <w:rsid w:val="00CA1D23"/>
    <w:pPr>
      <w:spacing w:before="120"/>
    </w:pPr>
  </w:style>
  <w:style w:type="paragraph" w:customStyle="1" w:styleId="tittel-litteraturlist">
    <w:name w:val="tittel-litteraturlist"/>
    <w:basedOn w:val="Normal"/>
    <w:next w:val="Normal"/>
    <w:rsid w:val="00CA1D23"/>
    <w:pPr>
      <w:spacing w:before="360" w:after="240" w:line="240" w:lineRule="auto"/>
      <w:jc w:val="center"/>
    </w:pPr>
    <w:rPr>
      <w:rFonts w:ascii="Times" w:eastAsia="Batang" w:hAnsi="Times" w:cs="Times New Roman"/>
      <w:b/>
      <w:spacing w:val="0"/>
      <w:sz w:val="28"/>
      <w:szCs w:val="20"/>
    </w:rPr>
  </w:style>
  <w:style w:type="paragraph" w:styleId="Sitat0">
    <w:name w:val="Quote"/>
    <w:basedOn w:val="Normal"/>
    <w:next w:val="Normal"/>
    <w:link w:val="SitatTegn"/>
    <w:uiPriority w:val="29"/>
    <w:qFormat/>
    <w:rsid w:val="00CA1D23"/>
    <w:pPr>
      <w:spacing w:line="240" w:lineRule="auto"/>
    </w:pPr>
    <w:rPr>
      <w:rFonts w:ascii="Times" w:eastAsia="Batang" w:hAnsi="Times" w:cs="Times New Roman"/>
      <w:i/>
      <w:iCs/>
      <w:color w:val="000000" w:themeColor="text1"/>
      <w:spacing w:val="0"/>
      <w:szCs w:val="20"/>
    </w:rPr>
  </w:style>
  <w:style w:type="character" w:customStyle="1" w:styleId="SitatTegn1">
    <w:name w:val="Sitat Tegn1"/>
    <w:basedOn w:val="Standardskriftforavsnitt"/>
    <w:uiPriority w:val="29"/>
    <w:rsid w:val="00E97D0D"/>
    <w:rPr>
      <w:rFonts w:ascii="Times New Roman" w:eastAsia="Times New Roman" w:hAnsi="Times New Roman"/>
      <w:i/>
      <w:iCs/>
      <w:color w:val="404040" w:themeColor="text1" w:themeTint="BF"/>
      <w:spacing w:val="4"/>
      <w:sz w:val="24"/>
    </w:rPr>
  </w:style>
  <w:style w:type="paragraph" w:customStyle="1" w:styleId="HeadingRunIn">
    <w:name w:val="HeadingRunIn"/>
    <w:next w:val="Normal"/>
    <w:rsid w:val="00CA1D23"/>
    <w:pPr>
      <w:keepNext/>
      <w:autoSpaceDE w:val="0"/>
      <w:autoSpaceDN w:val="0"/>
      <w:adjustRightInd w:val="0"/>
      <w:spacing w:before="120" w:after="0" w:line="280" w:lineRule="atLeast"/>
    </w:pPr>
    <w:rPr>
      <w:rFonts w:ascii="Times New Roman" w:eastAsia="Times New Roman" w:hAnsi="Times New Roman" w:cs="Times New Roman"/>
      <w:b/>
      <w:bCs/>
      <w:color w:val="000000"/>
      <w:w w:val="0"/>
      <w:sz w:val="24"/>
      <w:szCs w:val="24"/>
      <w:lang w:val="en-US"/>
    </w:rPr>
  </w:style>
  <w:style w:type="character" w:styleId="Emneknagg">
    <w:name w:val="Hashtag"/>
    <w:basedOn w:val="Standardskriftforavsnitt"/>
    <w:uiPriority w:val="99"/>
    <w:semiHidden/>
    <w:unhideWhenUsed/>
    <w:rsid w:val="00881E58"/>
    <w:rPr>
      <w:color w:val="2B579A"/>
      <w:shd w:val="clear" w:color="auto" w:fill="E1DFDD"/>
    </w:rPr>
  </w:style>
  <w:style w:type="character" w:styleId="Omtale">
    <w:name w:val="Mention"/>
    <w:basedOn w:val="Standardskriftforavsnitt"/>
    <w:uiPriority w:val="99"/>
    <w:semiHidden/>
    <w:unhideWhenUsed/>
    <w:rsid w:val="00881E58"/>
    <w:rPr>
      <w:color w:val="2B579A"/>
      <w:shd w:val="clear" w:color="auto" w:fill="E1DFDD"/>
    </w:rPr>
  </w:style>
  <w:style w:type="character" w:styleId="Smarthyperkobling">
    <w:name w:val="Smart Hyperlink"/>
    <w:basedOn w:val="Standardskriftforavsnitt"/>
    <w:uiPriority w:val="99"/>
    <w:semiHidden/>
    <w:unhideWhenUsed/>
    <w:rsid w:val="00881E58"/>
    <w:rPr>
      <w:u w:val="dotted"/>
    </w:rPr>
  </w:style>
  <w:style w:type="character" w:styleId="Smartkobling">
    <w:name w:val="Smart Link"/>
    <w:basedOn w:val="Standardskriftforavsnitt"/>
    <w:uiPriority w:val="99"/>
    <w:semiHidden/>
    <w:unhideWhenUsed/>
    <w:rsid w:val="00881E58"/>
    <w:rPr>
      <w:color w:val="0000FF"/>
      <w:u w:val="single"/>
      <w:shd w:val="clear" w:color="auto" w:fill="F3F2F1"/>
    </w:rPr>
  </w:style>
  <w:style w:type="character" w:styleId="Ulstomtale">
    <w:name w:val="Unresolved Mention"/>
    <w:basedOn w:val="Standardskriftforavsnitt"/>
    <w:uiPriority w:val="99"/>
    <w:semiHidden/>
    <w:unhideWhenUsed/>
    <w:rsid w:val="00881E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agPr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157EA-F795-4C1F-984E-2CF9E96DE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FagPrp-mal-V11.dotx</Template>
  <TotalTime>150</TotalTime>
  <Pages>222</Pages>
  <Words>85444</Words>
  <Characters>503992</Characters>
  <Application>Microsoft Office Word</Application>
  <DocSecurity>0</DocSecurity>
  <Lines>4199</Lines>
  <Paragraphs>1176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588260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5</cp:revision>
  <dcterms:created xsi:type="dcterms:W3CDTF">2023-09-28T11:53:00Z</dcterms:created>
  <dcterms:modified xsi:type="dcterms:W3CDTF">2023-10-02T12:33:00Z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2023-09-28T11:53:38Z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d0169e86-49be-4872-8ef6-3a0d00b16854</vt:lpwstr>
  </property>
  <property fmtid="{D5CDD505-2E9C-101B-9397-08002B2CF9AE}" pid="8" name="MSIP_Label_b22f7043-6caf-4431-9109-8eff758a1d8b_ContentBits">
    <vt:lpwstr>0</vt:lpwstr>
  </property>
</Properties>
</file>