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80188A" w14:textId="77777777" w:rsidR="002E5DD9" w:rsidRDefault="002E5DD9" w:rsidP="00101E8E">
      <w:pPr>
        <w:pStyle w:val="Brevtittel"/>
        <w:spacing w:after="0" w:line="276" w:lineRule="auto"/>
        <w:rPr>
          <w:sz w:val="2"/>
        </w:rPr>
        <w:sectPr w:rsidR="002E5DD9">
          <w:footerReference w:type="default" r:id="rId11"/>
          <w:headerReference w:type="first" r:id="rId12"/>
          <w:type w:val="continuous"/>
          <w:pgSz w:w="11907" w:h="16840" w:code="9"/>
          <w:pgMar w:top="2666" w:right="1134" w:bottom="1701" w:left="1701" w:header="568" w:footer="718" w:gutter="0"/>
          <w:cols w:space="708"/>
          <w:formProt w:val="0"/>
          <w:titlePg/>
        </w:sectPr>
      </w:pPr>
    </w:p>
    <w:p w14:paraId="543A3E19" w14:textId="009FCBE2" w:rsidR="00FF7361" w:rsidRPr="0012044C" w:rsidRDefault="0012044C" w:rsidP="00101E8E">
      <w:pPr>
        <w:pStyle w:val="Brevtittel"/>
        <w:spacing w:line="276" w:lineRule="auto"/>
        <w:rPr>
          <w:b w:val="0"/>
        </w:rPr>
      </w:pPr>
      <w:r>
        <w:tab/>
      </w:r>
      <w:r>
        <w:tab/>
      </w:r>
      <w:r>
        <w:tab/>
      </w:r>
      <w:r>
        <w:tab/>
      </w:r>
      <w:r>
        <w:tab/>
      </w:r>
      <w:r>
        <w:tab/>
      </w:r>
      <w:r>
        <w:tab/>
      </w:r>
      <w:r>
        <w:tab/>
      </w:r>
      <w:r>
        <w:tab/>
      </w:r>
      <w:r>
        <w:tab/>
      </w:r>
      <w:r>
        <w:tab/>
      </w:r>
      <w:r>
        <w:tab/>
        <w:t xml:space="preserve">   </w:t>
      </w:r>
      <w:r>
        <w:tab/>
      </w:r>
      <w:r w:rsidRPr="0012044C">
        <w:rPr>
          <w:b w:val="0"/>
        </w:rPr>
        <w:t>Saksnr. 17/4600</w:t>
      </w:r>
    </w:p>
    <w:p w14:paraId="15B97235" w14:textId="5359A591" w:rsidR="0012044C" w:rsidRPr="0012044C" w:rsidRDefault="0012044C" w:rsidP="0012044C">
      <w:r>
        <w:tab/>
      </w:r>
      <w:r>
        <w:tab/>
      </w:r>
      <w:r>
        <w:tab/>
      </w:r>
      <w:r>
        <w:tab/>
      </w:r>
      <w:r>
        <w:tab/>
      </w:r>
      <w:r>
        <w:tab/>
      </w:r>
      <w:r>
        <w:tab/>
      </w:r>
      <w:r>
        <w:tab/>
      </w:r>
      <w:r>
        <w:tab/>
      </w:r>
      <w:r>
        <w:tab/>
      </w:r>
      <w:r>
        <w:tab/>
      </w:r>
      <w:r>
        <w:tab/>
      </w:r>
      <w:r>
        <w:tab/>
      </w:r>
      <w:r>
        <w:tab/>
        <w:t>30.10.2018</w:t>
      </w:r>
    </w:p>
    <w:p w14:paraId="596D285C" w14:textId="3E16B5C3" w:rsidR="00297631" w:rsidRDefault="0012044C" w:rsidP="00101E8E">
      <w:pPr>
        <w:pStyle w:val="Brevtittel"/>
        <w:spacing w:line="276" w:lineRule="auto"/>
        <w:rPr>
          <w:sz w:val="40"/>
          <w:szCs w:val="40"/>
        </w:rPr>
      </w:pPr>
      <w:r>
        <w:rPr>
          <w:sz w:val="40"/>
          <w:szCs w:val="40"/>
        </w:rPr>
        <w:tab/>
      </w:r>
      <w:r>
        <w:rPr>
          <w:sz w:val="40"/>
          <w:szCs w:val="40"/>
        </w:rPr>
        <w:tab/>
      </w:r>
      <w:r>
        <w:rPr>
          <w:sz w:val="40"/>
          <w:szCs w:val="40"/>
        </w:rPr>
        <w:tab/>
      </w:r>
      <w:r>
        <w:rPr>
          <w:sz w:val="40"/>
          <w:szCs w:val="40"/>
        </w:rPr>
        <w:tab/>
      </w:r>
      <w:r>
        <w:rPr>
          <w:sz w:val="40"/>
          <w:szCs w:val="40"/>
        </w:rPr>
        <w:tab/>
      </w:r>
      <w:r>
        <w:rPr>
          <w:sz w:val="40"/>
          <w:szCs w:val="40"/>
        </w:rPr>
        <w:tab/>
      </w:r>
      <w:r>
        <w:rPr>
          <w:sz w:val="40"/>
          <w:szCs w:val="40"/>
        </w:rPr>
        <w:tab/>
      </w:r>
      <w:r>
        <w:rPr>
          <w:sz w:val="40"/>
          <w:szCs w:val="40"/>
        </w:rPr>
        <w:tab/>
      </w:r>
      <w:r>
        <w:rPr>
          <w:sz w:val="40"/>
          <w:szCs w:val="40"/>
        </w:rPr>
        <w:tab/>
      </w:r>
      <w:r>
        <w:rPr>
          <w:sz w:val="40"/>
          <w:szCs w:val="40"/>
        </w:rPr>
        <w:tab/>
      </w:r>
      <w:r>
        <w:rPr>
          <w:sz w:val="40"/>
          <w:szCs w:val="40"/>
        </w:rPr>
        <w:tab/>
      </w:r>
      <w:r>
        <w:rPr>
          <w:sz w:val="40"/>
          <w:szCs w:val="40"/>
        </w:rPr>
        <w:tab/>
      </w:r>
      <w:r>
        <w:rPr>
          <w:sz w:val="40"/>
          <w:szCs w:val="40"/>
        </w:rPr>
        <w:tab/>
      </w:r>
      <w:r>
        <w:rPr>
          <w:sz w:val="40"/>
          <w:szCs w:val="40"/>
        </w:rPr>
        <w:tab/>
      </w:r>
    </w:p>
    <w:p w14:paraId="4BB2451C" w14:textId="77777777" w:rsidR="00902482" w:rsidRDefault="00902482" w:rsidP="00902482">
      <w:pPr>
        <w:pStyle w:val="Brevtittel"/>
        <w:tabs>
          <w:tab w:val="left" w:pos="1418"/>
        </w:tabs>
        <w:spacing w:line="276" w:lineRule="auto"/>
        <w:rPr>
          <w:sz w:val="40"/>
          <w:szCs w:val="40"/>
        </w:rPr>
      </w:pPr>
    </w:p>
    <w:p w14:paraId="11122E66" w14:textId="77777777" w:rsidR="00902482" w:rsidRDefault="00902482" w:rsidP="00902482">
      <w:pPr>
        <w:pStyle w:val="Brevtittel"/>
        <w:tabs>
          <w:tab w:val="left" w:pos="1418"/>
        </w:tabs>
        <w:spacing w:line="276" w:lineRule="auto"/>
        <w:rPr>
          <w:sz w:val="40"/>
          <w:szCs w:val="40"/>
        </w:rPr>
      </w:pPr>
    </w:p>
    <w:p w14:paraId="018AAFC3" w14:textId="6650743B" w:rsidR="002E5DD9" w:rsidRPr="00FF7361" w:rsidRDefault="00FF7361" w:rsidP="00902482">
      <w:pPr>
        <w:pStyle w:val="Brevtittel"/>
        <w:pBdr>
          <w:left w:val="thinThickSmallGap" w:sz="24" w:space="4" w:color="365F91" w:themeColor="accent1" w:themeShade="BF"/>
        </w:pBdr>
        <w:tabs>
          <w:tab w:val="left" w:pos="1418"/>
        </w:tabs>
        <w:spacing w:line="276" w:lineRule="auto"/>
        <w:ind w:left="1418"/>
        <w:rPr>
          <w:sz w:val="40"/>
          <w:szCs w:val="40"/>
        </w:rPr>
      </w:pPr>
      <w:bookmarkStart w:id="0" w:name="Overskrift"/>
      <w:bookmarkEnd w:id="0"/>
      <w:r w:rsidRPr="00902482">
        <w:rPr>
          <w:sz w:val="72"/>
          <w:szCs w:val="72"/>
        </w:rPr>
        <w:t>Hør</w:t>
      </w:r>
      <w:r w:rsidR="00297631" w:rsidRPr="00902482">
        <w:rPr>
          <w:sz w:val="72"/>
          <w:szCs w:val="72"/>
        </w:rPr>
        <w:t>ingsnotat -</w:t>
      </w:r>
      <w:r w:rsidR="00297631">
        <w:rPr>
          <w:sz w:val="40"/>
          <w:szCs w:val="40"/>
        </w:rPr>
        <w:t xml:space="preserve"> </w:t>
      </w:r>
      <w:r w:rsidR="00297631">
        <w:rPr>
          <w:sz w:val="40"/>
          <w:szCs w:val="40"/>
        </w:rPr>
        <w:br/>
      </w:r>
      <w:r w:rsidR="00FC274C">
        <w:rPr>
          <w:sz w:val="48"/>
          <w:szCs w:val="48"/>
        </w:rPr>
        <w:t>f</w:t>
      </w:r>
      <w:r w:rsidR="00C83AF6">
        <w:rPr>
          <w:sz w:val="48"/>
          <w:szCs w:val="48"/>
        </w:rPr>
        <w:t xml:space="preserve">orslag om </w:t>
      </w:r>
      <w:r w:rsidR="003E55B1">
        <w:rPr>
          <w:sz w:val="48"/>
          <w:szCs w:val="48"/>
        </w:rPr>
        <w:t xml:space="preserve">endring av starttidspunktet for </w:t>
      </w:r>
      <w:r w:rsidR="00F20922">
        <w:rPr>
          <w:sz w:val="48"/>
          <w:szCs w:val="48"/>
        </w:rPr>
        <w:t>renteberegning ved refusjon</w:t>
      </w:r>
      <w:r w:rsidR="00D93B1E">
        <w:rPr>
          <w:sz w:val="48"/>
          <w:szCs w:val="48"/>
        </w:rPr>
        <w:br/>
      </w:r>
      <w:bookmarkStart w:id="1" w:name="_GoBack"/>
      <w:bookmarkEnd w:id="1"/>
      <w:r w:rsidR="00F20922">
        <w:rPr>
          <w:sz w:val="48"/>
          <w:szCs w:val="48"/>
        </w:rPr>
        <w:t xml:space="preserve">av kildeskatt på utbytte til </w:t>
      </w:r>
      <w:r w:rsidR="00A91000">
        <w:rPr>
          <w:sz w:val="48"/>
          <w:szCs w:val="48"/>
        </w:rPr>
        <w:t>utenlandsk</w:t>
      </w:r>
      <w:r w:rsidR="00DD6F7B">
        <w:rPr>
          <w:sz w:val="48"/>
          <w:szCs w:val="48"/>
        </w:rPr>
        <w:t>e</w:t>
      </w:r>
      <w:r w:rsidR="00A91000">
        <w:rPr>
          <w:sz w:val="48"/>
          <w:szCs w:val="48"/>
        </w:rPr>
        <w:t xml:space="preserve"> </w:t>
      </w:r>
      <w:r w:rsidR="00F20922">
        <w:rPr>
          <w:sz w:val="48"/>
          <w:szCs w:val="48"/>
        </w:rPr>
        <w:t>aksjonær</w:t>
      </w:r>
      <w:r w:rsidR="00DD6F7B">
        <w:rPr>
          <w:sz w:val="48"/>
          <w:szCs w:val="48"/>
        </w:rPr>
        <w:t>er</w:t>
      </w:r>
    </w:p>
    <w:p w14:paraId="408581DD" w14:textId="77777777" w:rsidR="00103A12" w:rsidRDefault="00103A12" w:rsidP="00101E8E">
      <w:pPr>
        <w:spacing w:line="276" w:lineRule="auto"/>
      </w:pPr>
    </w:p>
    <w:p w14:paraId="5CD3D3B3" w14:textId="77777777" w:rsidR="00297631" w:rsidRDefault="00297631" w:rsidP="00101E8E">
      <w:pPr>
        <w:spacing w:line="276" w:lineRule="auto"/>
      </w:pPr>
    </w:p>
    <w:p w14:paraId="456D6C38" w14:textId="77777777" w:rsidR="00297631" w:rsidRDefault="00297631" w:rsidP="00101E8E">
      <w:pPr>
        <w:spacing w:line="276" w:lineRule="auto"/>
      </w:pPr>
    </w:p>
    <w:p w14:paraId="11DD734B" w14:textId="77777777" w:rsidR="00297631" w:rsidRDefault="00297631" w:rsidP="00101E8E">
      <w:pPr>
        <w:spacing w:line="276" w:lineRule="auto"/>
      </w:pPr>
    </w:p>
    <w:p w14:paraId="779CBAA4" w14:textId="77777777" w:rsidR="00297631" w:rsidRDefault="00297631" w:rsidP="00101E8E">
      <w:pPr>
        <w:spacing w:line="276" w:lineRule="auto"/>
      </w:pPr>
    </w:p>
    <w:p w14:paraId="52B120D6" w14:textId="77777777" w:rsidR="00297631" w:rsidRDefault="00297631" w:rsidP="00101E8E">
      <w:pPr>
        <w:spacing w:line="276" w:lineRule="auto"/>
      </w:pPr>
    </w:p>
    <w:p w14:paraId="704583F0" w14:textId="77777777" w:rsidR="00297631" w:rsidRDefault="00297631" w:rsidP="00101E8E">
      <w:pPr>
        <w:spacing w:line="276" w:lineRule="auto"/>
      </w:pPr>
    </w:p>
    <w:p w14:paraId="35E371FE" w14:textId="77777777" w:rsidR="00297631" w:rsidRDefault="00297631" w:rsidP="00101E8E">
      <w:pPr>
        <w:spacing w:line="276" w:lineRule="auto"/>
      </w:pPr>
    </w:p>
    <w:p w14:paraId="7198F503" w14:textId="77777777" w:rsidR="00297631" w:rsidRDefault="00297631" w:rsidP="00101E8E">
      <w:pPr>
        <w:spacing w:line="276" w:lineRule="auto"/>
      </w:pPr>
    </w:p>
    <w:p w14:paraId="13FC68D5" w14:textId="77777777" w:rsidR="00297631" w:rsidRDefault="00297631" w:rsidP="00101E8E">
      <w:pPr>
        <w:spacing w:line="276" w:lineRule="auto"/>
      </w:pPr>
    </w:p>
    <w:p w14:paraId="36B7FDD3" w14:textId="670342B2" w:rsidR="00B73AFA" w:rsidRDefault="00B73AFA">
      <w:pPr>
        <w:spacing w:line="240" w:lineRule="auto"/>
      </w:pPr>
    </w:p>
    <w:sdt>
      <w:sdtPr>
        <w:rPr>
          <w:rFonts w:ascii="DepCentury Old Style" w:eastAsia="Times New Roman" w:hAnsi="DepCentury Old Style" w:cs="Times New Roman"/>
          <w:b w:val="0"/>
          <w:bCs w:val="0"/>
          <w:color w:val="auto"/>
          <w:sz w:val="24"/>
          <w:szCs w:val="20"/>
        </w:rPr>
        <w:id w:val="-1290658316"/>
        <w:docPartObj>
          <w:docPartGallery w:val="Table of Contents"/>
          <w:docPartUnique/>
        </w:docPartObj>
      </w:sdtPr>
      <w:sdtEndPr/>
      <w:sdtContent>
        <w:p w14:paraId="4B9155E1" w14:textId="77777777" w:rsidR="007217C4" w:rsidRDefault="007217C4">
          <w:pPr>
            <w:pStyle w:val="Overskriftforinnholdsfortegnelse"/>
          </w:pPr>
          <w:r>
            <w:t>Innhold</w:t>
          </w:r>
        </w:p>
        <w:p w14:paraId="2198647E" w14:textId="390E1E93" w:rsidR="007217C4" w:rsidRPr="007217C4" w:rsidRDefault="007217C4" w:rsidP="007217C4"/>
        <w:p w14:paraId="1E0EE04D" w14:textId="4F691033" w:rsidR="0012044C" w:rsidRDefault="007217C4">
          <w:pPr>
            <w:pStyle w:val="INNH1"/>
            <w:tabs>
              <w:tab w:val="left" w:pos="567"/>
            </w:tabs>
            <w:rPr>
              <w:rFonts w:asciiTheme="minorHAnsi" w:eastAsiaTheme="minorEastAsia" w:hAnsiTheme="minorHAnsi" w:cstheme="minorBidi"/>
              <w:noProof/>
              <w:sz w:val="22"/>
              <w:szCs w:val="22"/>
            </w:rPr>
          </w:pPr>
          <w:r>
            <w:fldChar w:fldCharType="begin"/>
          </w:r>
          <w:r>
            <w:instrText xml:space="preserve"> TOC \o "1-4" \h \z \u </w:instrText>
          </w:r>
          <w:r>
            <w:fldChar w:fldCharType="separate"/>
          </w:r>
          <w:hyperlink w:anchor="_Toc528666575" w:history="1">
            <w:r w:rsidR="0012044C" w:rsidRPr="001654EA">
              <w:rPr>
                <w:rStyle w:val="Hyperkobling"/>
                <w:noProof/>
              </w:rPr>
              <w:t>1</w:t>
            </w:r>
            <w:r w:rsidR="0012044C">
              <w:rPr>
                <w:rFonts w:asciiTheme="minorHAnsi" w:eastAsiaTheme="minorEastAsia" w:hAnsiTheme="minorHAnsi" w:cstheme="minorBidi"/>
                <w:noProof/>
                <w:sz w:val="22"/>
                <w:szCs w:val="22"/>
              </w:rPr>
              <w:tab/>
            </w:r>
            <w:r w:rsidR="0012044C" w:rsidRPr="001654EA">
              <w:rPr>
                <w:rStyle w:val="Hyperkobling"/>
                <w:noProof/>
              </w:rPr>
              <w:t>Innledning og sammendrag</w:t>
            </w:r>
            <w:r w:rsidR="0012044C">
              <w:rPr>
                <w:noProof/>
                <w:webHidden/>
              </w:rPr>
              <w:tab/>
            </w:r>
            <w:r w:rsidR="0012044C">
              <w:rPr>
                <w:noProof/>
                <w:webHidden/>
              </w:rPr>
              <w:fldChar w:fldCharType="begin"/>
            </w:r>
            <w:r w:rsidR="0012044C">
              <w:rPr>
                <w:noProof/>
                <w:webHidden/>
              </w:rPr>
              <w:instrText xml:space="preserve"> PAGEREF _Toc528666575 \h </w:instrText>
            </w:r>
            <w:r w:rsidR="0012044C">
              <w:rPr>
                <w:noProof/>
                <w:webHidden/>
              </w:rPr>
            </w:r>
            <w:r w:rsidR="0012044C">
              <w:rPr>
                <w:noProof/>
                <w:webHidden/>
              </w:rPr>
              <w:fldChar w:fldCharType="separate"/>
            </w:r>
            <w:r w:rsidR="0012044C">
              <w:rPr>
                <w:noProof/>
                <w:webHidden/>
              </w:rPr>
              <w:t>3</w:t>
            </w:r>
            <w:r w:rsidR="0012044C">
              <w:rPr>
                <w:noProof/>
                <w:webHidden/>
              </w:rPr>
              <w:fldChar w:fldCharType="end"/>
            </w:r>
          </w:hyperlink>
        </w:p>
        <w:p w14:paraId="3BBFB1D4" w14:textId="215928F7" w:rsidR="0012044C" w:rsidRDefault="006D0F37">
          <w:pPr>
            <w:pStyle w:val="INNH1"/>
            <w:tabs>
              <w:tab w:val="left" w:pos="567"/>
            </w:tabs>
            <w:rPr>
              <w:rFonts w:asciiTheme="minorHAnsi" w:eastAsiaTheme="minorEastAsia" w:hAnsiTheme="minorHAnsi" w:cstheme="minorBidi"/>
              <w:noProof/>
              <w:sz w:val="22"/>
              <w:szCs w:val="22"/>
            </w:rPr>
          </w:pPr>
          <w:hyperlink w:anchor="_Toc528666576" w:history="1">
            <w:r w:rsidR="0012044C" w:rsidRPr="001654EA">
              <w:rPr>
                <w:rStyle w:val="Hyperkobling"/>
                <w:noProof/>
              </w:rPr>
              <w:t>2</w:t>
            </w:r>
            <w:r w:rsidR="0012044C">
              <w:rPr>
                <w:rFonts w:asciiTheme="minorHAnsi" w:eastAsiaTheme="minorEastAsia" w:hAnsiTheme="minorHAnsi" w:cstheme="minorBidi"/>
                <w:noProof/>
                <w:sz w:val="22"/>
                <w:szCs w:val="22"/>
              </w:rPr>
              <w:tab/>
            </w:r>
            <w:r w:rsidR="0012044C" w:rsidRPr="001654EA">
              <w:rPr>
                <w:rStyle w:val="Hyperkobling"/>
                <w:noProof/>
              </w:rPr>
              <w:t>Gjeldende rett</w:t>
            </w:r>
            <w:r w:rsidR="0012044C">
              <w:rPr>
                <w:noProof/>
                <w:webHidden/>
              </w:rPr>
              <w:tab/>
            </w:r>
            <w:r w:rsidR="0012044C">
              <w:rPr>
                <w:noProof/>
                <w:webHidden/>
              </w:rPr>
              <w:fldChar w:fldCharType="begin"/>
            </w:r>
            <w:r w:rsidR="0012044C">
              <w:rPr>
                <w:noProof/>
                <w:webHidden/>
              </w:rPr>
              <w:instrText xml:space="preserve"> PAGEREF _Toc528666576 \h </w:instrText>
            </w:r>
            <w:r w:rsidR="0012044C">
              <w:rPr>
                <w:noProof/>
                <w:webHidden/>
              </w:rPr>
            </w:r>
            <w:r w:rsidR="0012044C">
              <w:rPr>
                <w:noProof/>
                <w:webHidden/>
              </w:rPr>
              <w:fldChar w:fldCharType="separate"/>
            </w:r>
            <w:r w:rsidR="0012044C">
              <w:rPr>
                <w:noProof/>
                <w:webHidden/>
              </w:rPr>
              <w:t>3</w:t>
            </w:r>
            <w:r w:rsidR="0012044C">
              <w:rPr>
                <w:noProof/>
                <w:webHidden/>
              </w:rPr>
              <w:fldChar w:fldCharType="end"/>
            </w:r>
          </w:hyperlink>
        </w:p>
        <w:p w14:paraId="4415F346" w14:textId="2E417A21" w:rsidR="0012044C" w:rsidRDefault="006D0F37">
          <w:pPr>
            <w:pStyle w:val="INNH1"/>
            <w:tabs>
              <w:tab w:val="left" w:pos="567"/>
            </w:tabs>
            <w:rPr>
              <w:rFonts w:asciiTheme="minorHAnsi" w:eastAsiaTheme="minorEastAsia" w:hAnsiTheme="minorHAnsi" w:cstheme="minorBidi"/>
              <w:noProof/>
              <w:sz w:val="22"/>
              <w:szCs w:val="22"/>
            </w:rPr>
          </w:pPr>
          <w:hyperlink w:anchor="_Toc528666577" w:history="1">
            <w:r w:rsidR="0012044C" w:rsidRPr="001654EA">
              <w:rPr>
                <w:rStyle w:val="Hyperkobling"/>
                <w:noProof/>
              </w:rPr>
              <w:t>3</w:t>
            </w:r>
            <w:r w:rsidR="0012044C">
              <w:rPr>
                <w:rFonts w:asciiTheme="minorHAnsi" w:eastAsiaTheme="minorEastAsia" w:hAnsiTheme="minorHAnsi" w:cstheme="minorBidi"/>
                <w:noProof/>
                <w:sz w:val="22"/>
                <w:szCs w:val="22"/>
              </w:rPr>
              <w:tab/>
            </w:r>
            <w:r w:rsidR="0012044C" w:rsidRPr="001654EA">
              <w:rPr>
                <w:rStyle w:val="Hyperkobling"/>
                <w:noProof/>
              </w:rPr>
              <w:t>Departementets vurderinger og forslag</w:t>
            </w:r>
            <w:r w:rsidR="0012044C">
              <w:rPr>
                <w:noProof/>
                <w:webHidden/>
              </w:rPr>
              <w:tab/>
            </w:r>
            <w:r w:rsidR="0012044C">
              <w:rPr>
                <w:noProof/>
                <w:webHidden/>
              </w:rPr>
              <w:fldChar w:fldCharType="begin"/>
            </w:r>
            <w:r w:rsidR="0012044C">
              <w:rPr>
                <w:noProof/>
                <w:webHidden/>
              </w:rPr>
              <w:instrText xml:space="preserve"> PAGEREF _Toc528666577 \h </w:instrText>
            </w:r>
            <w:r w:rsidR="0012044C">
              <w:rPr>
                <w:noProof/>
                <w:webHidden/>
              </w:rPr>
            </w:r>
            <w:r w:rsidR="0012044C">
              <w:rPr>
                <w:noProof/>
                <w:webHidden/>
              </w:rPr>
              <w:fldChar w:fldCharType="separate"/>
            </w:r>
            <w:r w:rsidR="0012044C">
              <w:rPr>
                <w:noProof/>
                <w:webHidden/>
              </w:rPr>
              <w:t>6</w:t>
            </w:r>
            <w:r w:rsidR="0012044C">
              <w:rPr>
                <w:noProof/>
                <w:webHidden/>
              </w:rPr>
              <w:fldChar w:fldCharType="end"/>
            </w:r>
          </w:hyperlink>
        </w:p>
        <w:p w14:paraId="1922956E" w14:textId="45ABA305" w:rsidR="0012044C" w:rsidRDefault="006D0F37">
          <w:pPr>
            <w:pStyle w:val="INNH1"/>
            <w:tabs>
              <w:tab w:val="left" w:pos="567"/>
            </w:tabs>
            <w:rPr>
              <w:rFonts w:asciiTheme="minorHAnsi" w:eastAsiaTheme="minorEastAsia" w:hAnsiTheme="minorHAnsi" w:cstheme="minorBidi"/>
              <w:noProof/>
              <w:sz w:val="22"/>
              <w:szCs w:val="22"/>
            </w:rPr>
          </w:pPr>
          <w:hyperlink w:anchor="_Toc528666578" w:history="1">
            <w:r w:rsidR="0012044C" w:rsidRPr="001654EA">
              <w:rPr>
                <w:rStyle w:val="Hyperkobling"/>
                <w:noProof/>
              </w:rPr>
              <w:t>4</w:t>
            </w:r>
            <w:r w:rsidR="0012044C">
              <w:rPr>
                <w:rFonts w:asciiTheme="minorHAnsi" w:eastAsiaTheme="minorEastAsia" w:hAnsiTheme="minorHAnsi" w:cstheme="minorBidi"/>
                <w:noProof/>
                <w:sz w:val="22"/>
                <w:szCs w:val="22"/>
              </w:rPr>
              <w:tab/>
            </w:r>
            <w:r w:rsidR="0012044C" w:rsidRPr="001654EA">
              <w:rPr>
                <w:rStyle w:val="Hyperkobling"/>
                <w:noProof/>
              </w:rPr>
              <w:t>Ikraftsetting</w:t>
            </w:r>
            <w:r w:rsidR="0012044C">
              <w:rPr>
                <w:noProof/>
                <w:webHidden/>
              </w:rPr>
              <w:tab/>
            </w:r>
            <w:r w:rsidR="0012044C">
              <w:rPr>
                <w:noProof/>
                <w:webHidden/>
              </w:rPr>
              <w:fldChar w:fldCharType="begin"/>
            </w:r>
            <w:r w:rsidR="0012044C">
              <w:rPr>
                <w:noProof/>
                <w:webHidden/>
              </w:rPr>
              <w:instrText xml:space="preserve"> PAGEREF _Toc528666578 \h </w:instrText>
            </w:r>
            <w:r w:rsidR="0012044C">
              <w:rPr>
                <w:noProof/>
                <w:webHidden/>
              </w:rPr>
            </w:r>
            <w:r w:rsidR="0012044C">
              <w:rPr>
                <w:noProof/>
                <w:webHidden/>
              </w:rPr>
              <w:fldChar w:fldCharType="separate"/>
            </w:r>
            <w:r w:rsidR="0012044C">
              <w:rPr>
                <w:noProof/>
                <w:webHidden/>
              </w:rPr>
              <w:t>11</w:t>
            </w:r>
            <w:r w:rsidR="0012044C">
              <w:rPr>
                <w:noProof/>
                <w:webHidden/>
              </w:rPr>
              <w:fldChar w:fldCharType="end"/>
            </w:r>
          </w:hyperlink>
        </w:p>
        <w:p w14:paraId="5ECB5DFF" w14:textId="03C6717C" w:rsidR="0012044C" w:rsidRDefault="006D0F37">
          <w:pPr>
            <w:pStyle w:val="INNH1"/>
            <w:tabs>
              <w:tab w:val="left" w:pos="567"/>
            </w:tabs>
            <w:rPr>
              <w:rFonts w:asciiTheme="minorHAnsi" w:eastAsiaTheme="minorEastAsia" w:hAnsiTheme="minorHAnsi" w:cstheme="minorBidi"/>
              <w:noProof/>
              <w:sz w:val="22"/>
              <w:szCs w:val="22"/>
            </w:rPr>
          </w:pPr>
          <w:hyperlink w:anchor="_Toc528666579" w:history="1">
            <w:r w:rsidR="0012044C" w:rsidRPr="001654EA">
              <w:rPr>
                <w:rStyle w:val="Hyperkobling"/>
                <w:noProof/>
              </w:rPr>
              <w:t>5</w:t>
            </w:r>
            <w:r w:rsidR="0012044C">
              <w:rPr>
                <w:rFonts w:asciiTheme="minorHAnsi" w:eastAsiaTheme="minorEastAsia" w:hAnsiTheme="minorHAnsi" w:cstheme="minorBidi"/>
                <w:noProof/>
                <w:sz w:val="22"/>
                <w:szCs w:val="22"/>
              </w:rPr>
              <w:tab/>
            </w:r>
            <w:r w:rsidR="0012044C" w:rsidRPr="001654EA">
              <w:rPr>
                <w:rStyle w:val="Hyperkobling"/>
                <w:noProof/>
              </w:rPr>
              <w:t>Økonomiske og administrative konsekvenser</w:t>
            </w:r>
            <w:r w:rsidR="0012044C">
              <w:rPr>
                <w:noProof/>
                <w:webHidden/>
              </w:rPr>
              <w:tab/>
            </w:r>
            <w:r w:rsidR="0012044C">
              <w:rPr>
                <w:noProof/>
                <w:webHidden/>
              </w:rPr>
              <w:fldChar w:fldCharType="begin"/>
            </w:r>
            <w:r w:rsidR="0012044C">
              <w:rPr>
                <w:noProof/>
                <w:webHidden/>
              </w:rPr>
              <w:instrText xml:space="preserve"> PAGEREF _Toc528666579 \h </w:instrText>
            </w:r>
            <w:r w:rsidR="0012044C">
              <w:rPr>
                <w:noProof/>
                <w:webHidden/>
              </w:rPr>
            </w:r>
            <w:r w:rsidR="0012044C">
              <w:rPr>
                <w:noProof/>
                <w:webHidden/>
              </w:rPr>
              <w:fldChar w:fldCharType="separate"/>
            </w:r>
            <w:r w:rsidR="0012044C">
              <w:rPr>
                <w:noProof/>
                <w:webHidden/>
              </w:rPr>
              <w:t>11</w:t>
            </w:r>
            <w:r w:rsidR="0012044C">
              <w:rPr>
                <w:noProof/>
                <w:webHidden/>
              </w:rPr>
              <w:fldChar w:fldCharType="end"/>
            </w:r>
          </w:hyperlink>
        </w:p>
        <w:p w14:paraId="3AE1F2F4" w14:textId="346D9598" w:rsidR="0012044C" w:rsidRDefault="006D0F37">
          <w:pPr>
            <w:pStyle w:val="INNH1"/>
            <w:tabs>
              <w:tab w:val="left" w:pos="567"/>
            </w:tabs>
            <w:rPr>
              <w:rFonts w:asciiTheme="minorHAnsi" w:eastAsiaTheme="minorEastAsia" w:hAnsiTheme="minorHAnsi" w:cstheme="minorBidi"/>
              <w:noProof/>
              <w:sz w:val="22"/>
              <w:szCs w:val="22"/>
            </w:rPr>
          </w:pPr>
          <w:hyperlink w:anchor="_Toc528666580" w:history="1">
            <w:r w:rsidR="0012044C" w:rsidRPr="001654EA">
              <w:rPr>
                <w:rStyle w:val="Hyperkobling"/>
                <w:noProof/>
              </w:rPr>
              <w:t>6</w:t>
            </w:r>
            <w:r w:rsidR="0012044C">
              <w:rPr>
                <w:rFonts w:asciiTheme="minorHAnsi" w:eastAsiaTheme="minorEastAsia" w:hAnsiTheme="minorHAnsi" w:cstheme="minorBidi"/>
                <w:noProof/>
                <w:sz w:val="22"/>
                <w:szCs w:val="22"/>
              </w:rPr>
              <w:tab/>
            </w:r>
            <w:r w:rsidR="0012044C" w:rsidRPr="001654EA">
              <w:rPr>
                <w:rStyle w:val="Hyperkobling"/>
                <w:noProof/>
              </w:rPr>
              <w:t>Forslag til lovtekst</w:t>
            </w:r>
            <w:r w:rsidR="0012044C">
              <w:rPr>
                <w:noProof/>
                <w:webHidden/>
              </w:rPr>
              <w:tab/>
            </w:r>
            <w:r w:rsidR="0012044C">
              <w:rPr>
                <w:noProof/>
                <w:webHidden/>
              </w:rPr>
              <w:fldChar w:fldCharType="begin"/>
            </w:r>
            <w:r w:rsidR="0012044C">
              <w:rPr>
                <w:noProof/>
                <w:webHidden/>
              </w:rPr>
              <w:instrText xml:space="preserve"> PAGEREF _Toc528666580 \h </w:instrText>
            </w:r>
            <w:r w:rsidR="0012044C">
              <w:rPr>
                <w:noProof/>
                <w:webHidden/>
              </w:rPr>
            </w:r>
            <w:r w:rsidR="0012044C">
              <w:rPr>
                <w:noProof/>
                <w:webHidden/>
              </w:rPr>
              <w:fldChar w:fldCharType="separate"/>
            </w:r>
            <w:r w:rsidR="0012044C">
              <w:rPr>
                <w:noProof/>
                <w:webHidden/>
              </w:rPr>
              <w:t>12</w:t>
            </w:r>
            <w:r w:rsidR="0012044C">
              <w:rPr>
                <w:noProof/>
                <w:webHidden/>
              </w:rPr>
              <w:fldChar w:fldCharType="end"/>
            </w:r>
          </w:hyperlink>
        </w:p>
        <w:p w14:paraId="67C1ABDD" w14:textId="6E99D1B4" w:rsidR="007217C4" w:rsidRDefault="007217C4">
          <w:r>
            <w:fldChar w:fldCharType="end"/>
          </w:r>
        </w:p>
      </w:sdtContent>
    </w:sdt>
    <w:p w14:paraId="0BEB3061" w14:textId="77777777" w:rsidR="00B73AFA" w:rsidRDefault="00B73AFA">
      <w:pPr>
        <w:spacing w:line="240" w:lineRule="auto"/>
        <w:rPr>
          <w:b/>
          <w:bCs/>
        </w:rPr>
      </w:pPr>
      <w:r>
        <w:rPr>
          <w:b/>
          <w:bCs/>
        </w:rPr>
        <w:br w:type="page"/>
      </w:r>
    </w:p>
    <w:p w14:paraId="58ABACB6" w14:textId="77777777" w:rsidR="00A212F7" w:rsidRDefault="00A212F7" w:rsidP="00A212F7">
      <w:pPr>
        <w:pStyle w:val="Overskrift1"/>
        <w:numPr>
          <w:ilvl w:val="0"/>
          <w:numId w:val="0"/>
        </w:numPr>
        <w:ind w:left="360"/>
      </w:pPr>
    </w:p>
    <w:p w14:paraId="4D0DBA27" w14:textId="77777777" w:rsidR="00A212F7" w:rsidRDefault="00EE76FA" w:rsidP="00A212F7">
      <w:pPr>
        <w:pStyle w:val="Overskrift1"/>
        <w:numPr>
          <w:ilvl w:val="0"/>
          <w:numId w:val="1"/>
        </w:numPr>
      </w:pPr>
      <w:bookmarkStart w:id="2" w:name="_Toc427932805"/>
      <w:bookmarkStart w:id="3" w:name="_Toc528666575"/>
      <w:r>
        <w:t>Innledning og s</w:t>
      </w:r>
      <w:r w:rsidR="00A212F7">
        <w:t>ammendrag</w:t>
      </w:r>
      <w:bookmarkEnd w:id="2"/>
      <w:bookmarkEnd w:id="3"/>
    </w:p>
    <w:p w14:paraId="52161C05" w14:textId="77713545" w:rsidR="0013274D" w:rsidRDefault="00ED1698" w:rsidP="00ED1698">
      <w:r>
        <w:t xml:space="preserve">Finansdepartementet sender på høring forslag om </w:t>
      </w:r>
      <w:r w:rsidR="00C12BC8">
        <w:t xml:space="preserve">å </w:t>
      </w:r>
      <w:r w:rsidR="00DB6BF4">
        <w:t xml:space="preserve">endre starttidspunktet for </w:t>
      </w:r>
      <w:r w:rsidR="00C12BC8">
        <w:t xml:space="preserve">renteberegningen ved refusjon av kildeskatt på utbytte til </w:t>
      </w:r>
      <w:r w:rsidR="009A36FF">
        <w:t xml:space="preserve">utenlandske </w:t>
      </w:r>
      <w:r w:rsidR="00C12BC8">
        <w:t>aksjonær</w:t>
      </w:r>
      <w:r w:rsidR="009A36FF">
        <w:t>er</w:t>
      </w:r>
      <w:r w:rsidR="00C12BC8">
        <w:t xml:space="preserve">. Departementet foreslår at starttidspunktet for renteberegningen settes til 1. juli </w:t>
      </w:r>
      <w:r w:rsidR="00CD51A7">
        <w:t>i</w:t>
      </w:r>
      <w:r w:rsidR="00BA6A16">
        <w:t xml:space="preserve"> det året utbyttet ble utdelt</w:t>
      </w:r>
      <w:r w:rsidR="00C12BC8">
        <w:t xml:space="preserve">. </w:t>
      </w:r>
      <w:r w:rsidR="009A36FF">
        <w:t>I dag beregnes renten</w:t>
      </w:r>
      <w:r w:rsidR="006359AA">
        <w:t xml:space="preserve"> fra det tidspunktet skattebeløpet ble innbetalt</w:t>
      </w:r>
      <w:r w:rsidR="00BA6A16">
        <w:t xml:space="preserve"> til staten</w:t>
      </w:r>
      <w:r w:rsidR="006359AA">
        <w:t>.</w:t>
      </w:r>
    </w:p>
    <w:p w14:paraId="2B49C434" w14:textId="77777777" w:rsidR="00A575B6" w:rsidRDefault="00A575B6" w:rsidP="00DB6BF4"/>
    <w:p w14:paraId="7C9EFF62" w14:textId="010AA697" w:rsidR="005663B6" w:rsidRDefault="00C12BC8" w:rsidP="00DB6BF4">
      <w:r>
        <w:t xml:space="preserve">Formålet med forslaget er </w:t>
      </w:r>
      <w:r w:rsidR="00E007CA">
        <w:t xml:space="preserve">å forenkle renteberegningen ved refusjon av kildeskatt på utbytte. </w:t>
      </w:r>
      <w:r w:rsidR="009A36FF">
        <w:t>Det</w:t>
      </w:r>
      <w:r w:rsidR="00E007CA">
        <w:t xml:space="preserve"> vil </w:t>
      </w:r>
      <w:r w:rsidR="009A36FF">
        <w:t>føre</w:t>
      </w:r>
      <w:r w:rsidR="00E007CA">
        <w:t xml:space="preserve"> til </w:t>
      </w:r>
      <w:r w:rsidR="009A36FF">
        <w:t>at Skatteetaten bru</w:t>
      </w:r>
      <w:r w:rsidR="00DD301E">
        <w:t>k</w:t>
      </w:r>
      <w:r w:rsidR="009A36FF">
        <w:t>er mindre ressurser på denne typen saker, og de utenlandske aksjonærene vil få refusjonen utbetalt</w:t>
      </w:r>
      <w:r w:rsidR="00E007CA">
        <w:t xml:space="preserve"> raskere</w:t>
      </w:r>
      <w:r w:rsidR="009A36FF">
        <w:t xml:space="preserve"> enn i dag</w:t>
      </w:r>
      <w:r w:rsidR="00E007CA">
        <w:t>.</w:t>
      </w:r>
    </w:p>
    <w:p w14:paraId="1F4B932D" w14:textId="0BC8A311" w:rsidR="00EE76FA" w:rsidRDefault="00EE76FA" w:rsidP="00ED1698"/>
    <w:p w14:paraId="2B2468B7" w14:textId="450DAFB4" w:rsidR="009A36FF" w:rsidRDefault="00DD301E" w:rsidP="00ED1698">
      <w:r>
        <w:t>Departementet anslår at fors</w:t>
      </w:r>
      <w:r w:rsidR="009A36FF">
        <w:t>l</w:t>
      </w:r>
      <w:r>
        <w:t>a</w:t>
      </w:r>
      <w:r w:rsidR="009A36FF">
        <w:t xml:space="preserve">get samlet sett ikke vil ha noen provenymessige virkninger. For den enkelte aksjonær vil forslaget føre til høyere eller lavere rentegodtgjørelse enn i dag, alt </w:t>
      </w:r>
      <w:r>
        <w:t xml:space="preserve">avhengig av når på </w:t>
      </w:r>
      <w:r w:rsidR="009A36FF">
        <w:t xml:space="preserve">året utbyttet ble utdelt. </w:t>
      </w:r>
      <w:r w:rsidR="004463A5">
        <w:t>For de fleste aksjonærer er forskjellen mellom forslaget og dagens regler likevel liten.</w:t>
      </w:r>
      <w:r w:rsidR="009A36FF">
        <w:t xml:space="preserve"> </w:t>
      </w:r>
    </w:p>
    <w:p w14:paraId="37E36C85" w14:textId="77777777" w:rsidR="009A36FF" w:rsidRDefault="009A36FF" w:rsidP="00ED1698"/>
    <w:p w14:paraId="77C8A3BC" w14:textId="5DEECA21" w:rsidR="002826AA" w:rsidRDefault="00CB1290" w:rsidP="00952B64">
      <w:r>
        <w:t>Endringen foreslås tatt inn i ny</w:t>
      </w:r>
      <w:r w:rsidR="00DB6BF4">
        <w:t>tt sjette ledd i skattebetalingsloven § 11-4.</w:t>
      </w:r>
      <w:r w:rsidR="00E32539">
        <w:t xml:space="preserve"> </w:t>
      </w:r>
    </w:p>
    <w:p w14:paraId="399A078A" w14:textId="66855C6A" w:rsidR="00E32539" w:rsidRDefault="00E32539" w:rsidP="00952B64"/>
    <w:p w14:paraId="1292285F" w14:textId="5C0A705F" w:rsidR="00A212F7" w:rsidRDefault="00D07C1D" w:rsidP="00A212F7">
      <w:r>
        <w:t xml:space="preserve">Departementet foreslår at endringen skal tre </w:t>
      </w:r>
      <w:r w:rsidR="005C498F">
        <w:t xml:space="preserve">i kraft </w:t>
      </w:r>
      <w:r w:rsidR="002D7A13">
        <w:t xml:space="preserve">1. juli 2019 </w:t>
      </w:r>
      <w:r>
        <w:t xml:space="preserve">med virkning for </w:t>
      </w:r>
      <w:r w:rsidR="009A12AC" w:rsidRPr="00AE7EF1">
        <w:t>vedtak om refusjon som fattes fra og med denne datoen</w:t>
      </w:r>
      <w:r>
        <w:t>.</w:t>
      </w:r>
      <w:r w:rsidR="00EE76FA">
        <w:t xml:space="preserve">  </w:t>
      </w:r>
    </w:p>
    <w:p w14:paraId="0C238DB8" w14:textId="3801CE6F" w:rsidR="00A212F7" w:rsidRDefault="005C498F" w:rsidP="00A212F7">
      <w:pPr>
        <w:pStyle w:val="Overskrift1"/>
        <w:numPr>
          <w:ilvl w:val="0"/>
          <w:numId w:val="1"/>
        </w:numPr>
      </w:pPr>
      <w:bookmarkStart w:id="4" w:name="_Toc427932806"/>
      <w:bookmarkStart w:id="5" w:name="_Toc528666576"/>
      <w:r>
        <w:t>G</w:t>
      </w:r>
      <w:r w:rsidR="00A212F7">
        <w:t xml:space="preserve">jeldende </w:t>
      </w:r>
      <w:r w:rsidR="00F30B35">
        <w:t>r</w:t>
      </w:r>
      <w:r w:rsidR="00A212F7">
        <w:t>ett</w:t>
      </w:r>
      <w:bookmarkEnd w:id="4"/>
      <w:bookmarkEnd w:id="5"/>
    </w:p>
    <w:p w14:paraId="24ED1D97" w14:textId="111B3687" w:rsidR="00295A87" w:rsidRPr="002826AA" w:rsidRDefault="00295A87" w:rsidP="00295A87">
      <w:r w:rsidRPr="002826AA">
        <w:t>Ut</w:t>
      </w:r>
      <w:r>
        <w:t>e</w:t>
      </w:r>
      <w:r w:rsidRPr="002826AA">
        <w:t>nlandske aksjonær</w:t>
      </w:r>
      <w:r>
        <w:t>er</w:t>
      </w:r>
      <w:r w:rsidRPr="002826AA">
        <w:t xml:space="preserve"> som mottar utby</w:t>
      </w:r>
      <w:r w:rsidRPr="00295A87">
        <w:t>tt</w:t>
      </w:r>
      <w:r w:rsidRPr="002826AA">
        <w:t>e fr</w:t>
      </w:r>
      <w:r>
        <w:t>a</w:t>
      </w:r>
      <w:r w:rsidRPr="002826AA">
        <w:t xml:space="preserve"> norske aksjeselskap</w:t>
      </w:r>
      <w:r w:rsidR="00027CB2">
        <w:t>er</w:t>
      </w:r>
      <w:r w:rsidRPr="002826AA">
        <w:t xml:space="preserve"> og likestilte selskap</w:t>
      </w:r>
      <w:r w:rsidR="00027CB2">
        <w:t>er</w:t>
      </w:r>
      <w:r w:rsidRPr="002826AA">
        <w:t>, skal som hov</w:t>
      </w:r>
      <w:r>
        <w:t>e</w:t>
      </w:r>
      <w:r w:rsidRPr="002826AA">
        <w:t>dregel betale k</w:t>
      </w:r>
      <w:r>
        <w:t>i</w:t>
      </w:r>
      <w:r w:rsidRPr="002826AA">
        <w:t>ldeskatt til Nor</w:t>
      </w:r>
      <w:r>
        <w:t>ge</w:t>
      </w:r>
      <w:r w:rsidRPr="002826AA">
        <w:t xml:space="preserve"> av utdelt utbyt</w:t>
      </w:r>
      <w:r>
        <w:t>t</w:t>
      </w:r>
      <w:r w:rsidRPr="002826AA">
        <w:t>e, jf. skattelov</w:t>
      </w:r>
      <w:r>
        <w:t>en</w:t>
      </w:r>
      <w:r w:rsidRPr="002826AA">
        <w:t xml:space="preserve"> § 10-13. Skatten fastsett</w:t>
      </w:r>
      <w:r>
        <w:t>es</w:t>
      </w:r>
      <w:r w:rsidRPr="002826AA">
        <w:t xml:space="preserve"> ved at det utdel</w:t>
      </w:r>
      <w:r>
        <w:t>e</w:t>
      </w:r>
      <w:r w:rsidRPr="002826AA">
        <w:t>nde selskapet leverer melding om trekk av skatten</w:t>
      </w:r>
      <w:r w:rsidR="001C1F1B">
        <w:t>, jf. skatteforvaltningsloven § 9-1 tredje ledd</w:t>
      </w:r>
      <w:r w:rsidRPr="002826AA">
        <w:t>. Den skatten det trekkpliktige selskapet opplyser om i melding</w:t>
      </w:r>
      <w:r>
        <w:t>en</w:t>
      </w:r>
      <w:r w:rsidRPr="002826AA">
        <w:t>, utgj</w:t>
      </w:r>
      <w:r>
        <w:t>ø</w:t>
      </w:r>
      <w:r w:rsidRPr="002826AA">
        <w:t>r fasts</w:t>
      </w:r>
      <w:r>
        <w:t>a</w:t>
      </w:r>
      <w:r w:rsidRPr="002826AA">
        <w:t>tt skatt. Trekkplikten inneb</w:t>
      </w:r>
      <w:r>
        <w:t>ærer</w:t>
      </w:r>
      <w:r w:rsidRPr="002826AA">
        <w:t xml:space="preserve"> at selskapet </w:t>
      </w:r>
      <w:r>
        <w:t>først</w:t>
      </w:r>
      <w:r w:rsidRPr="002826AA">
        <w:t xml:space="preserve"> skal h</w:t>
      </w:r>
      <w:r>
        <w:t>o</w:t>
      </w:r>
      <w:r w:rsidRPr="002826AA">
        <w:t>lde tilbake skatten ved utbetaling</w:t>
      </w:r>
      <w:r>
        <w:t>en</w:t>
      </w:r>
      <w:r w:rsidRPr="002826AA">
        <w:t xml:space="preserve"> av utbyt</w:t>
      </w:r>
      <w:r>
        <w:t>t</w:t>
      </w:r>
      <w:r w:rsidRPr="002826AA">
        <w:t xml:space="preserve">et, og deretter melde inn og innbetale beløpet til </w:t>
      </w:r>
      <w:r>
        <w:t>skattemyndighetene</w:t>
      </w:r>
      <w:r w:rsidR="00462B00" w:rsidRPr="00B50BCD">
        <w:t>, jf.</w:t>
      </w:r>
      <w:r w:rsidR="00462B00">
        <w:t xml:space="preserve"> </w:t>
      </w:r>
      <w:r w:rsidR="00462B00" w:rsidRPr="00B50BCD">
        <w:t>s</w:t>
      </w:r>
      <w:r w:rsidR="00076094" w:rsidRPr="002826AA">
        <w:t>kattebetalingsloven §§ 5-4a</w:t>
      </w:r>
      <w:r w:rsidR="00462B00" w:rsidRPr="002826AA">
        <w:t xml:space="preserve">, </w:t>
      </w:r>
      <w:r w:rsidR="00076094" w:rsidRPr="002826AA">
        <w:t>5-10a</w:t>
      </w:r>
      <w:r w:rsidR="00027CB2" w:rsidRPr="00B50BCD">
        <w:t xml:space="preserve"> </w:t>
      </w:r>
      <w:r w:rsidR="00462B00" w:rsidRPr="00B50BCD">
        <w:t xml:space="preserve">og 10-13 og skatteforvaltningsloven § 8-8 tredje </w:t>
      </w:r>
      <w:r w:rsidR="00462B00">
        <w:t xml:space="preserve">ledd. </w:t>
      </w:r>
      <w:r w:rsidRPr="002826AA">
        <w:t>Den utenlandske aksjonæren skal ikke levere skattemelding</w:t>
      </w:r>
      <w:r w:rsidR="006A5B4E">
        <w:t>.</w:t>
      </w:r>
      <w:r w:rsidRPr="002826AA">
        <w:t xml:space="preserve"> </w:t>
      </w:r>
      <w:r w:rsidR="006A5B4E">
        <w:t>S</w:t>
      </w:r>
      <w:r w:rsidRPr="002826AA">
        <w:t>katten fastsett</w:t>
      </w:r>
      <w:r>
        <w:t>es ikke</w:t>
      </w:r>
      <w:r w:rsidRPr="002826AA">
        <w:t xml:space="preserve"> individuelt for </w:t>
      </w:r>
      <w:r>
        <w:t xml:space="preserve">hver </w:t>
      </w:r>
      <w:r w:rsidRPr="002826AA">
        <w:t>skattepliktig, men under ett for alle de ut</w:t>
      </w:r>
      <w:r>
        <w:t>e</w:t>
      </w:r>
      <w:r w:rsidRPr="002826AA">
        <w:t>nlandske aksjonær</w:t>
      </w:r>
      <w:r>
        <w:t>e</w:t>
      </w:r>
      <w:r w:rsidRPr="002826AA">
        <w:t>ne i selskapet.</w:t>
      </w:r>
    </w:p>
    <w:p w14:paraId="6DE7DAE3" w14:textId="6DC5AE2F" w:rsidR="00B23207" w:rsidRDefault="00B23207" w:rsidP="00295A87"/>
    <w:p w14:paraId="344D3249" w14:textId="77777777" w:rsidR="00E717CB" w:rsidRDefault="00295A87" w:rsidP="00403BD1">
      <w:r w:rsidRPr="002826AA">
        <w:t>Kildeskattesatsen er i utgangspunktet 25 pst. Aksjonæren kan likevel ha krav på lavere sats eller skattefritak etter skatteavtale eller skattelov</w:t>
      </w:r>
      <w:r w:rsidR="0013274D">
        <w:t>en</w:t>
      </w:r>
      <w:r w:rsidRPr="002826AA">
        <w:t xml:space="preserve"> § 2-38 (fritaksmetoden). </w:t>
      </w:r>
    </w:p>
    <w:p w14:paraId="06B39B91" w14:textId="77777777" w:rsidR="00E717CB" w:rsidRDefault="00E717CB" w:rsidP="00403BD1"/>
    <w:p w14:paraId="18740782" w14:textId="4690ECA6" w:rsidR="00D1054F" w:rsidRDefault="00403BD1" w:rsidP="003A7F81">
      <w:r>
        <w:t>Det forekommer at det utdelende selskapet foretar skattetrekk med en høyere sats enn det som er riktig</w:t>
      </w:r>
      <w:r w:rsidR="009411CC">
        <w:t>,</w:t>
      </w:r>
      <w:r>
        <w:t xml:space="preserve"> eller at selskapet foretar trekk i tilfeller der utbyttet er skattefritt. Den utenlandske aksjonæren kan da kreve refusjon av for mye innbetalt trekk. Refusjonskravet må</w:t>
      </w:r>
      <w:r w:rsidRPr="00D81029">
        <w:t xml:space="preserve"> fremsettes </w:t>
      </w:r>
      <w:r>
        <w:t>senest</w:t>
      </w:r>
      <w:r w:rsidRPr="00D81029">
        <w:t xml:space="preserve"> fem år regnet fra utgangen av det året da selskapets frist for å levere den ordinære meldingen om skattetrekket, løp ut, </w:t>
      </w:r>
      <w:r>
        <w:t>jf. skatteforvaltningsloven § 9-</w:t>
      </w:r>
      <w:r w:rsidRPr="00D81029">
        <w:t>6</w:t>
      </w:r>
      <w:r>
        <w:t>.</w:t>
      </w:r>
      <w:r w:rsidR="00D41B2E" w:rsidDel="00D41B2E">
        <w:t xml:space="preserve"> </w:t>
      </w:r>
      <w:r w:rsidR="00D1054F">
        <w:t xml:space="preserve"> </w:t>
      </w:r>
    </w:p>
    <w:p w14:paraId="467A71AB" w14:textId="0AB5577B" w:rsidR="00D96912" w:rsidRDefault="00D96912" w:rsidP="003A7F81"/>
    <w:p w14:paraId="547784B5" w14:textId="72A7D3B8" w:rsidR="00D96912" w:rsidRPr="00993FA2" w:rsidRDefault="00D96912" w:rsidP="00D96912">
      <w:r>
        <w:t xml:space="preserve">Søknader om refusjon av kildeskatt behandles av Sentralskattekontoret for utenlandssaker (SFU). SFU mottok i 2017 ca. 5300 refusjonssøknader fra personlige aksjonærer, og ca. 3500 fra selskapsaksjonærer, totalt ca. 8600 søknader. </w:t>
      </w:r>
      <w:r w:rsidR="006359AA">
        <w:t>I perioden 2012-2017</w:t>
      </w:r>
      <w:r>
        <w:t xml:space="preserve"> </w:t>
      </w:r>
      <w:r w:rsidR="006359AA">
        <w:t>har det normalt blitt refundert mellom ca. 520 - 825</w:t>
      </w:r>
      <w:r>
        <w:t xml:space="preserve"> millioner</w:t>
      </w:r>
      <w:r w:rsidR="006359AA">
        <w:t xml:space="preserve"> kroner årlig</w:t>
      </w:r>
      <w:r>
        <w:t>. I 2015 var beløpet 1,5 milliarder</w:t>
      </w:r>
      <w:r w:rsidR="006359AA">
        <w:t xml:space="preserve"> kroner </w:t>
      </w:r>
      <w:r>
        <w:t xml:space="preserve">som følge av nedbygging av restanser for gamle refusjonssøknader fra selskapsaksjonærer med høye beløp. </w:t>
      </w:r>
    </w:p>
    <w:p w14:paraId="0B157F32" w14:textId="770C01B6" w:rsidR="00D1054F" w:rsidRDefault="00D1054F" w:rsidP="003A7F81"/>
    <w:p w14:paraId="28BAEC6C" w14:textId="77777777" w:rsidR="00377DB4" w:rsidRDefault="00377DB4" w:rsidP="00377DB4">
      <w:r>
        <w:t>Fra 1. januar 2019 må den utenlandske aksjonæren oppfylle visse dokumentasjonskrav f</w:t>
      </w:r>
      <w:r w:rsidRPr="002826AA">
        <w:t>or å få lavere skattetrekk enn det som fø</w:t>
      </w:r>
      <w:r>
        <w:t xml:space="preserve">lger av Stortingets skattevedtak, jf. </w:t>
      </w:r>
      <w:r w:rsidRPr="002826AA">
        <w:t>skattebetalingsforskriften §§ 5-10a-1 til 5-10a-3</w:t>
      </w:r>
      <w:r>
        <w:t xml:space="preserve">. </w:t>
      </w:r>
      <w:r w:rsidRPr="002826AA">
        <w:t xml:space="preserve">Et sentralt trekk ved </w:t>
      </w:r>
      <w:r>
        <w:t>reglene</w:t>
      </w:r>
      <w:r w:rsidRPr="002826AA">
        <w:t xml:space="preserve"> er at aksjonæren må </w:t>
      </w:r>
      <w:r>
        <w:t xml:space="preserve">fremlegge </w:t>
      </w:r>
      <w:r w:rsidRPr="002826AA">
        <w:t xml:space="preserve">dokumentasjon i forkant av skattetrekket, </w:t>
      </w:r>
      <w:r>
        <w:t>mens</w:t>
      </w:r>
      <w:r w:rsidRPr="002826AA">
        <w:t xml:space="preserve"> det tidl</w:t>
      </w:r>
      <w:r>
        <w:t>i</w:t>
      </w:r>
      <w:r w:rsidRPr="00027CB2">
        <w:t>g</w:t>
      </w:r>
      <w:r>
        <w:t>e</w:t>
      </w:r>
      <w:r w:rsidRPr="002826AA">
        <w:t xml:space="preserve">re </w:t>
      </w:r>
      <w:r>
        <w:t>bare</w:t>
      </w:r>
      <w:r w:rsidRPr="002826AA">
        <w:t xml:space="preserve"> var krav </w:t>
      </w:r>
      <w:r>
        <w:t>om at dokumentasjon ble fremlagt dersom skattemyndighetene ba om det</w:t>
      </w:r>
      <w:r w:rsidRPr="002826AA">
        <w:t xml:space="preserve">. </w:t>
      </w:r>
      <w:r>
        <w:t>Det er grunn til å tro at antallet refusjonssøknader vil øke som følge av de nye dokumentasjonskravene.</w:t>
      </w:r>
    </w:p>
    <w:p w14:paraId="168987E2" w14:textId="2511BF41" w:rsidR="00377DB4" w:rsidRDefault="00377DB4" w:rsidP="003A7F81"/>
    <w:p w14:paraId="187B7533" w14:textId="25A06D30" w:rsidR="00DA71DA" w:rsidRDefault="00BF5479" w:rsidP="003A7F81">
      <w:r>
        <w:t>Det skal beregnes renter ved refusjon av kildeskatten</w:t>
      </w:r>
      <w:r w:rsidR="00403BD1" w:rsidRPr="00403BD1">
        <w:t xml:space="preserve"> </w:t>
      </w:r>
      <w:r w:rsidR="00403BD1">
        <w:t>etter skattebetalingsloven § 11-4</w:t>
      </w:r>
      <w:r w:rsidR="00B52A1C">
        <w:t>.</w:t>
      </w:r>
      <w:r w:rsidR="004765CA">
        <w:t xml:space="preserve"> </w:t>
      </w:r>
      <w:r w:rsidR="00914715">
        <w:t>Renten</w:t>
      </w:r>
      <w:r w:rsidR="00AC0613">
        <w:t xml:space="preserve"> er en kompensasjon for at </w:t>
      </w:r>
      <w:r w:rsidR="000430C8">
        <w:t xml:space="preserve">den skattepliktige </w:t>
      </w:r>
      <w:r w:rsidR="00AC0613">
        <w:t>i en periode har betalt for mye skatt</w:t>
      </w:r>
      <w:r>
        <w:t xml:space="preserve">. </w:t>
      </w:r>
      <w:r w:rsidR="00C323E8">
        <w:t xml:space="preserve">Rentesatsen </w:t>
      </w:r>
      <w:r w:rsidR="00C323E8" w:rsidRPr="00C323E8">
        <w:t>skal tilsvare den pengepolitiske styringsrenten slik denne er fastsatt av Norges Bank per 1. januar det aktuelle året</w:t>
      </w:r>
      <w:r w:rsidR="00C323E8">
        <w:t>, jf. skattebetalingsloven § 11-6</w:t>
      </w:r>
      <w:r w:rsidR="00DA71DA">
        <w:t xml:space="preserve"> </w:t>
      </w:r>
      <w:r w:rsidR="00C323E8">
        <w:t>annet ledd annet punktum</w:t>
      </w:r>
      <w:r w:rsidR="00C323E8" w:rsidRPr="00C323E8">
        <w:t>.</w:t>
      </w:r>
      <w:r w:rsidR="00C323E8">
        <w:t xml:space="preserve"> </w:t>
      </w:r>
    </w:p>
    <w:p w14:paraId="28BBEA86" w14:textId="77777777" w:rsidR="00DA71DA" w:rsidRDefault="00DA71DA" w:rsidP="003A7F81"/>
    <w:p w14:paraId="4068DE01" w14:textId="28CFD8E2" w:rsidR="00453B78" w:rsidRDefault="003F392A" w:rsidP="00E2798D">
      <w:r>
        <w:t xml:space="preserve">Renter beregnes fra det </w:t>
      </w:r>
      <w:r w:rsidR="00B265E2">
        <w:t>tidspunkt</w:t>
      </w:r>
      <w:r w:rsidR="00E2798D">
        <w:t xml:space="preserve">et </w:t>
      </w:r>
      <w:r w:rsidR="00E2798D" w:rsidRPr="009A36FF">
        <w:t>da</w:t>
      </w:r>
      <w:r w:rsidR="00CF1CB8" w:rsidRPr="009A36FF">
        <w:t xml:space="preserve"> </w:t>
      </w:r>
      <w:r w:rsidR="00DA71DA" w:rsidRPr="009A36FF">
        <w:t>«</w:t>
      </w:r>
      <w:r w:rsidR="00CF1CB8" w:rsidRPr="009A36FF">
        <w:t>betaling fant sted</w:t>
      </w:r>
      <w:r w:rsidR="00DA71DA" w:rsidRPr="009A36FF">
        <w:t>»</w:t>
      </w:r>
      <w:r w:rsidR="00735BEF" w:rsidRPr="009A36FF">
        <w:t xml:space="preserve">, </w:t>
      </w:r>
      <w:r w:rsidR="00CF1CB8" w:rsidRPr="009A36FF">
        <w:t>frem til forfallstidspunktet</w:t>
      </w:r>
      <w:r w:rsidR="0072677B" w:rsidRPr="009A36FF">
        <w:t xml:space="preserve"> </w:t>
      </w:r>
      <w:r w:rsidRPr="009A36FF">
        <w:t xml:space="preserve">etter </w:t>
      </w:r>
      <w:r w:rsidR="00CF1CB8" w:rsidRPr="009A36FF">
        <w:t>§ 10-60</w:t>
      </w:r>
      <w:r w:rsidR="0072677B" w:rsidRPr="009A36FF">
        <w:t>,</w:t>
      </w:r>
      <w:r w:rsidRPr="009A36FF">
        <w:t xml:space="preserve"> jf. § 11-4 første ledd</w:t>
      </w:r>
      <w:r w:rsidR="00CF1CB8" w:rsidRPr="009A36FF">
        <w:t xml:space="preserve">. </w:t>
      </w:r>
      <w:r w:rsidR="00C11BD2" w:rsidRPr="009A36FF">
        <w:t>Med «betaling fant sted» menes</w:t>
      </w:r>
      <w:r w:rsidR="00C11BD2">
        <w:t xml:space="preserve"> i disse tilfellene det tidspunktet det utdelende selskapet betalte inn skattetrekket. Selskapet skal ifølge </w:t>
      </w:r>
      <w:r w:rsidR="00E2798D" w:rsidRPr="002826AA">
        <w:t>skattebetalingsloven §</w:t>
      </w:r>
      <w:r w:rsidR="00E2798D" w:rsidRPr="002826AA">
        <w:rPr>
          <w:rFonts w:ascii="Cambria" w:hAnsi="Cambria"/>
        </w:rPr>
        <w:t> </w:t>
      </w:r>
      <w:r w:rsidR="00E2798D" w:rsidRPr="002826AA">
        <w:t>10</w:t>
      </w:r>
      <w:r w:rsidR="00E2798D" w:rsidRPr="002826AA">
        <w:noBreakHyphen/>
        <w:t xml:space="preserve">13 </w:t>
      </w:r>
      <w:r w:rsidR="00C11BD2">
        <w:t xml:space="preserve">betale inn skattetrekket </w:t>
      </w:r>
      <w:r w:rsidR="00E2798D">
        <w:t xml:space="preserve">samme dag som det skal levere melding om trekk </w:t>
      </w:r>
      <w:r w:rsidR="002447D4">
        <w:t>etter skatteforvaltningsloven § </w:t>
      </w:r>
      <w:r w:rsidR="00E2798D">
        <w:t>8-8 tredje ledd, jf. skatteforvaltningsforskriften §</w:t>
      </w:r>
      <w:r w:rsidR="00E2798D">
        <w:rPr>
          <w:rFonts w:ascii="Cambria" w:hAnsi="Cambria"/>
        </w:rPr>
        <w:t> </w:t>
      </w:r>
      <w:r w:rsidR="00E2798D">
        <w:t>8</w:t>
      </w:r>
      <w:r w:rsidR="00E2798D">
        <w:noBreakHyphen/>
        <w:t xml:space="preserve">8-3. </w:t>
      </w:r>
      <w:r w:rsidR="00C11BD2" w:rsidRPr="00C11BD2">
        <w:t>For selskaper som ikke er registrert i VPS-registeret, er det</w:t>
      </w:r>
      <w:r w:rsidR="00C11BD2">
        <w:t>te</w:t>
      </w:r>
      <w:r w:rsidR="00C11BD2" w:rsidRPr="00C11BD2">
        <w:t xml:space="preserve"> syv dager etter at trekket er foretatt. For selskaper som er registrert i VPS-registeret, er det en måned etter at trekket er foretatt.</w:t>
      </w:r>
      <w:r w:rsidR="00E2798D">
        <w:t xml:space="preserve"> Trekk skal foretas på tidspunktet for utbetaling av utbyttet eller på det tidligere tidspunktet når det oppstår adgang for den skattepliktige til å få utbytte eller utbyttekompensasjon utbetalt, jf. skattebetalingsloven § 5-10a. </w:t>
      </w:r>
    </w:p>
    <w:p w14:paraId="46999526" w14:textId="77777777" w:rsidR="00453B78" w:rsidRDefault="00453B78" w:rsidP="00E2798D"/>
    <w:p w14:paraId="327C8F28" w14:textId="160C8AC3" w:rsidR="00E2798D" w:rsidRDefault="00E2798D" w:rsidP="00E2798D">
      <w:r>
        <w:t xml:space="preserve">Betalingen av kildeskattetrekket </w:t>
      </w:r>
      <w:r w:rsidR="004E3152">
        <w:t>finner</w:t>
      </w:r>
      <w:r>
        <w:t xml:space="preserve"> altså normalt </w:t>
      </w:r>
      <w:r w:rsidR="004E3152">
        <w:t xml:space="preserve">sted </w:t>
      </w:r>
      <w:r>
        <w:t xml:space="preserve">innen </w:t>
      </w:r>
      <w:r w:rsidR="00453B78">
        <w:t>syv dager eller en måned etter at utbytte</w:t>
      </w:r>
      <w:r w:rsidR="00F84CEF">
        <w:t>t</w:t>
      </w:r>
      <w:r w:rsidR="00453B78">
        <w:t xml:space="preserve"> ble utbetalt</w:t>
      </w:r>
      <w:r>
        <w:t xml:space="preserve">. </w:t>
      </w:r>
      <w:r w:rsidR="00F84CEF">
        <w:t>Norske selskaper bestemmer selv når de skal dele ut utbytte</w:t>
      </w:r>
      <w:r>
        <w:t xml:space="preserve">. Det innebærer at starttidspunktet for renteberegningen </w:t>
      </w:r>
      <w:r w:rsidR="00F84CEF">
        <w:t>i saker der utenlandske aksjonær</w:t>
      </w:r>
      <w:r>
        <w:t>er</w:t>
      </w:r>
      <w:r w:rsidR="00F84CEF">
        <w:t xml:space="preserve"> søker om refusjon, vil variere </w:t>
      </w:r>
      <w:r>
        <w:t>for hver enkelt utbytteutdeling.</w:t>
      </w:r>
    </w:p>
    <w:p w14:paraId="0120B93E" w14:textId="77777777" w:rsidR="00E2798D" w:rsidRDefault="00E2798D" w:rsidP="003A7F81"/>
    <w:p w14:paraId="40E2CFE2" w14:textId="0EB37EF1" w:rsidR="000F56C9" w:rsidRDefault="00F84CEF" w:rsidP="000F56C9">
      <w:r>
        <w:t>Det er forholdsvis nytt a</w:t>
      </w:r>
      <w:r w:rsidR="00B103D7">
        <w:t xml:space="preserve">t </w:t>
      </w:r>
      <w:r w:rsidR="007109D2">
        <w:t>tidspunktet for betaling av kildeskattetrekket</w:t>
      </w:r>
      <w:r w:rsidR="00B103D7">
        <w:t xml:space="preserve"> utgjør starttidspunktet for renteberegningen ved refusjon av kildeskatt på utbytte. Frem til innføringen av skatteforvaltningsloven 1. januar 2017 gjaldt en </w:t>
      </w:r>
      <w:r w:rsidR="007B57EA">
        <w:t xml:space="preserve">regel </w:t>
      </w:r>
      <w:r w:rsidR="00B103D7">
        <w:t xml:space="preserve">om </w:t>
      </w:r>
      <w:r w:rsidR="008B2AF9">
        <w:t>at renten skulle</w:t>
      </w:r>
      <w:r w:rsidR="00B103D7">
        <w:t xml:space="preserve"> </w:t>
      </w:r>
      <w:r w:rsidR="00443EF9">
        <w:t>beregne</w:t>
      </w:r>
      <w:r w:rsidR="00B103D7">
        <w:t>s</w:t>
      </w:r>
      <w:r w:rsidR="00443EF9">
        <w:t xml:space="preserve"> fra </w:t>
      </w:r>
      <w:r w:rsidR="002B6F3E">
        <w:t xml:space="preserve">tidspunktet </w:t>
      </w:r>
      <w:r w:rsidR="00E14641">
        <w:t xml:space="preserve">det ferdige skatteoppgjøret etter ordinær avregning </w:t>
      </w:r>
      <w:r w:rsidR="00443EF9">
        <w:t>ble sendt det utbytteutdelende selskapet</w:t>
      </w:r>
      <w:r w:rsidR="003B1C58">
        <w:t>, jf. skattebetalingsloven § 11-4 annet ledd</w:t>
      </w:r>
      <w:r w:rsidR="00555D93">
        <w:t xml:space="preserve"> annet punktum</w:t>
      </w:r>
      <w:r w:rsidR="007B57EA">
        <w:t xml:space="preserve"> slik det tidligere lød</w:t>
      </w:r>
      <w:r w:rsidR="00443EF9">
        <w:t xml:space="preserve">. </w:t>
      </w:r>
      <w:r w:rsidR="007A32A9">
        <w:t>Skatteetatens praksis var at skatteoppgjøret for de utdelende selskapene ble satt til en og samme dato. Starttidspunktet for renteberegningen var dermed de</w:t>
      </w:r>
      <w:r w:rsidR="002F2320">
        <w:t>t</w:t>
      </w:r>
      <w:r w:rsidR="007A32A9">
        <w:t xml:space="preserve"> samme for alle utbytter mottatt fra alle selskaper innenfor samme skattleggingsperiode (inntektsår).</w:t>
      </w:r>
      <w:r w:rsidR="000F56C9">
        <w:t xml:space="preserve"> </w:t>
      </w:r>
    </w:p>
    <w:p w14:paraId="349C2857" w14:textId="163E7278" w:rsidR="000F56C9" w:rsidRDefault="000F56C9" w:rsidP="000F56C9"/>
    <w:p w14:paraId="5E0796EE" w14:textId="72B1341F" w:rsidR="004E53B4" w:rsidRDefault="004E53B4" w:rsidP="000F56C9">
      <w:r>
        <w:t>Bakgrunnen for endringen til gjeldende rett var at det etter innføringen av skatteforvaltningsloven ikke lenger skal foretas ny avregning ved refusjon av kildeskatt</w:t>
      </w:r>
      <w:r w:rsidR="00DC7A18">
        <w:t xml:space="preserve">, </w:t>
      </w:r>
      <w:r w:rsidR="008C4462">
        <w:t>da</w:t>
      </w:r>
      <w:r w:rsidR="00DC7A18">
        <w:t xml:space="preserve"> kildeskatten fastsettes allerede idet selskapet innberetter og innbetaler skattetrekket</w:t>
      </w:r>
      <w:r w:rsidR="00DC7A18" w:rsidRPr="00EE0ACF">
        <w:t>.</w:t>
      </w:r>
      <w:r w:rsidRPr="00EE0ACF">
        <w:t xml:space="preserve"> </w:t>
      </w:r>
      <w:r w:rsidR="00EE0ACF" w:rsidRPr="00064F91">
        <w:t>Saker om tilbakebetaling av kildeskatt kunne dermed i stedet følge hovedregelen om renteberegning i skattebetalingsloven § 11-4 første ledd</w:t>
      </w:r>
      <w:r w:rsidR="00EE0ACF">
        <w:t>, og § 11-4 annet ledd annet punktum ble opphevet</w:t>
      </w:r>
      <w:r w:rsidR="00272AAF">
        <w:t>, jf. Prop. 1 LS (2016-2017) punkt 19.3.10</w:t>
      </w:r>
      <w:r w:rsidR="00EE0ACF" w:rsidRPr="00064F91">
        <w:t>.</w:t>
      </w:r>
      <w:r w:rsidR="00E717CB">
        <w:t xml:space="preserve"> </w:t>
      </w:r>
    </w:p>
    <w:p w14:paraId="00135639" w14:textId="4C693384" w:rsidR="004E53B4" w:rsidRDefault="004E53B4" w:rsidP="000F56C9"/>
    <w:p w14:paraId="693963EF" w14:textId="627CF6E3" w:rsidR="00A212F7" w:rsidRDefault="00A212F7" w:rsidP="00A212F7">
      <w:pPr>
        <w:pStyle w:val="Overskrift1"/>
        <w:numPr>
          <w:ilvl w:val="0"/>
          <w:numId w:val="1"/>
        </w:numPr>
      </w:pPr>
      <w:bookmarkStart w:id="6" w:name="_Toc427932807"/>
      <w:bookmarkStart w:id="7" w:name="_Ref524963431"/>
      <w:bookmarkStart w:id="8" w:name="_Toc528666577"/>
      <w:r>
        <w:t>Departementets vurderinger og forslag</w:t>
      </w:r>
      <w:bookmarkEnd w:id="6"/>
      <w:bookmarkEnd w:id="7"/>
      <w:bookmarkEnd w:id="8"/>
    </w:p>
    <w:p w14:paraId="4D2F870F" w14:textId="649D39BE" w:rsidR="00957068" w:rsidRDefault="00957068" w:rsidP="00957068">
      <w:r>
        <w:t>De</w:t>
      </w:r>
      <w:r w:rsidR="009501D3">
        <w:t>t</w:t>
      </w:r>
      <w:r>
        <w:t xml:space="preserve"> gjeldende starttidspunktet for renteberegning ved refusjon av kildeskatt på utbytte er ressurskrevende å praktisere for Skatteetaten. </w:t>
      </w:r>
    </w:p>
    <w:p w14:paraId="56472E66" w14:textId="05F5AF82" w:rsidR="00BC3878" w:rsidRDefault="00BC3878" w:rsidP="00957068"/>
    <w:p w14:paraId="1D2DDB2E" w14:textId="56694448" w:rsidR="004957AB" w:rsidRDefault="00F41139" w:rsidP="004957AB">
      <w:r>
        <w:t xml:space="preserve">Grunnen er for det første at saksbehandleren ved beregningen av rente i en refusjonssøknad, må vite når </w:t>
      </w:r>
      <w:r w:rsidR="002B11D1">
        <w:t xml:space="preserve">det enkelte </w:t>
      </w:r>
      <w:r>
        <w:t>kildeskattetrekket ble innbetalt av selskapet.</w:t>
      </w:r>
      <w:r w:rsidRPr="00F41139">
        <w:t xml:space="preserve"> </w:t>
      </w:r>
      <w:r>
        <w:t xml:space="preserve">Per i dag har </w:t>
      </w:r>
      <w:r w:rsidR="00377DB4">
        <w:t xml:space="preserve">verken </w:t>
      </w:r>
      <w:r>
        <w:t xml:space="preserve">SFU </w:t>
      </w:r>
      <w:r w:rsidR="00377DB4">
        <w:t xml:space="preserve">eller aksjonæren </w:t>
      </w:r>
      <w:r>
        <w:t>den</w:t>
      </w:r>
      <w:r w:rsidR="00377DB4">
        <w:t>ne</w:t>
      </w:r>
      <w:r>
        <w:t xml:space="preserve"> informasjonen. For å finne innbetalingstidspunktet må saksbehandleren i praksis kontakte skatteoppkreveren for hver enkelt utbytteutdeling.</w:t>
      </w:r>
    </w:p>
    <w:p w14:paraId="43919442" w14:textId="14C08FF5" w:rsidR="00F41139" w:rsidRDefault="00F41139" w:rsidP="00F41139"/>
    <w:p w14:paraId="62A3EEE2" w14:textId="6EB99922" w:rsidR="004D0FBF" w:rsidRDefault="004957AB" w:rsidP="007F08E5">
      <w:r>
        <w:t xml:space="preserve">For det andre </w:t>
      </w:r>
      <w:r w:rsidR="00556D68">
        <w:t xml:space="preserve">har SFU </w:t>
      </w:r>
      <w:r>
        <w:t xml:space="preserve">per i dag </w:t>
      </w:r>
      <w:r w:rsidR="00556D68">
        <w:t xml:space="preserve">ikke noe saksbehandlingssystem som håndterer </w:t>
      </w:r>
      <w:r w:rsidR="00EF43D3">
        <w:t>refusjonssake</w:t>
      </w:r>
      <w:r w:rsidR="00556D68">
        <w:t>r</w:t>
      </w:r>
      <w:r w:rsidR="007426BA">
        <w:t xml:space="preserve"> automatisk</w:t>
      </w:r>
      <w:r w:rsidR="00EF43D3">
        <w:t xml:space="preserve">. </w:t>
      </w:r>
      <w:r w:rsidR="00B801AE">
        <w:t>SFU må derfor beregne renter manuelt</w:t>
      </w:r>
      <w:r w:rsidR="00EF43D3">
        <w:t xml:space="preserve">. </w:t>
      </w:r>
      <w:r w:rsidR="004051C5">
        <w:t>Når saksbehandleren har funnet datoen for betalingen av kildeskattetrekket (starttidspunktet for renteberegningen) på hver enkelt utbytteutdeling, føres disse inn i e</w:t>
      </w:r>
      <w:r w:rsidR="00377DB4">
        <w:t>t</w:t>
      </w:r>
      <w:r w:rsidR="004051C5">
        <w:t xml:space="preserve"> Excel-</w:t>
      </w:r>
      <w:r w:rsidR="00377DB4">
        <w:t>dokument.</w:t>
      </w:r>
      <w:r w:rsidR="004051C5">
        <w:t xml:space="preserve"> Saksbehandleren fører også inn refusjonsbeløpet på den enkelte utbytteutdelingen</w:t>
      </w:r>
      <w:r w:rsidR="004D0FBF">
        <w:t>. Til slutt</w:t>
      </w:r>
      <w:r w:rsidR="004051C5">
        <w:t xml:space="preserve"> beregne</w:t>
      </w:r>
      <w:r w:rsidR="004D0FBF">
        <w:t>s</w:t>
      </w:r>
      <w:r w:rsidR="004051C5">
        <w:t xml:space="preserve"> renten. </w:t>
      </w:r>
    </w:p>
    <w:p w14:paraId="769FA82D" w14:textId="77777777" w:rsidR="004D0FBF" w:rsidRDefault="004D0FBF" w:rsidP="007F08E5"/>
    <w:p w14:paraId="3D604B24" w14:textId="39219E4E" w:rsidR="00556D68" w:rsidRDefault="00377DB4">
      <w:pPr>
        <w:rPr>
          <w:i/>
        </w:rPr>
      </w:pPr>
      <w:r>
        <w:t>Denne ø</w:t>
      </w:r>
      <w:r w:rsidR="004D0FBF">
        <w:t>velsen må gjentas for hver enkelt utbytteutdeling, også når det er tale om utbytteutdelinger fra ett og samme selskap.</w:t>
      </w:r>
      <w:r w:rsidR="00103F25">
        <w:t xml:space="preserve"> </w:t>
      </w:r>
      <w:r w:rsidR="00103F25" w:rsidRPr="00116352">
        <w:t xml:space="preserve">I refusjonssøknadene som SFU mottar, </w:t>
      </w:r>
      <w:r w:rsidR="00103F25">
        <w:t xml:space="preserve">varierer beløpets størrelse. Det varierer også hvor mange utbytteutdelinger </w:t>
      </w:r>
      <w:r w:rsidR="00103F25" w:rsidRPr="00116352">
        <w:t xml:space="preserve">og </w:t>
      </w:r>
      <w:r w:rsidR="00103F25">
        <w:t xml:space="preserve">hvor mange </w:t>
      </w:r>
      <w:r w:rsidR="00103F25" w:rsidRPr="00116352">
        <w:t>inntektsår</w:t>
      </w:r>
      <w:r w:rsidR="00103F25">
        <w:t xml:space="preserve"> søknadene omfatter</w:t>
      </w:r>
      <w:r w:rsidR="00103F25" w:rsidRPr="00116352">
        <w:t xml:space="preserve">. Noen aksjonærer søker kun refusjon for en eller to utbytteutbetalinger </w:t>
      </w:r>
      <w:r>
        <w:t xml:space="preserve">fra ett selskap i ett og samme </w:t>
      </w:r>
      <w:r w:rsidR="00103F25" w:rsidRPr="00116352">
        <w:t>inntektsår, mens andre aksjonærer søker refusjon av kildeskatt for utbytter mottatt over flere år, og fra ulike selskaper.</w:t>
      </w:r>
    </w:p>
    <w:p w14:paraId="6C100E00" w14:textId="074E403D" w:rsidR="00DC2BB3" w:rsidRDefault="00DC2BB3">
      <w:pPr>
        <w:rPr>
          <w:i/>
        </w:rPr>
      </w:pPr>
    </w:p>
    <w:p w14:paraId="34E108E0" w14:textId="7FAA2882" w:rsidR="00DC2BB3" w:rsidRDefault="00DC2BB3">
      <w:r>
        <w:t>Den ressurskrevende behandlingen av refusjonssøknade</w:t>
      </w:r>
      <w:r w:rsidR="00631EC8">
        <w:t>r</w:t>
      </w:r>
      <w:r>
        <w:t xml:space="preserve"> fører til at saksbehandlingstiden blir lang og at aksjonærene får utbetalt refusjonen senere enn de ellers ville gjort. Dette taler for at </w:t>
      </w:r>
      <w:r w:rsidR="00515A54">
        <w:t xml:space="preserve">ordningen </w:t>
      </w:r>
      <w:r>
        <w:t xml:space="preserve">bør endres. </w:t>
      </w:r>
      <w:r w:rsidRPr="00830B1F">
        <w:t>At arbeidet gjøres manuelt</w:t>
      </w:r>
      <w:r w:rsidR="00711FB9">
        <w:t>,</w:t>
      </w:r>
      <w:r w:rsidRPr="00830B1F">
        <w:t xml:space="preserve"> medfører også en risiko for feiltasting. Dette er </w:t>
      </w:r>
      <w:r>
        <w:t xml:space="preserve">også et argument som taler for </w:t>
      </w:r>
      <w:r w:rsidR="00631EC8">
        <w:t xml:space="preserve">å endre </w:t>
      </w:r>
      <w:r w:rsidR="00515A54">
        <w:t>ordningen</w:t>
      </w:r>
      <w:r w:rsidRPr="00830B1F">
        <w:t>.</w:t>
      </w:r>
    </w:p>
    <w:p w14:paraId="618907BE" w14:textId="323BF03D" w:rsidR="00515A54" w:rsidRDefault="00515A54"/>
    <w:p w14:paraId="32EF6A23" w14:textId="4F16F7BE" w:rsidR="00515A54" w:rsidRDefault="00631EC8">
      <w:r>
        <w:t>Dagens problemer</w:t>
      </w:r>
      <w:r w:rsidR="00515A54">
        <w:t xml:space="preserve"> kan tenkes løst på flere måter.</w:t>
      </w:r>
    </w:p>
    <w:p w14:paraId="47DDE047" w14:textId="390AE267" w:rsidR="00515A54" w:rsidRDefault="00515A54"/>
    <w:p w14:paraId="72E1FF56" w14:textId="5BF6DB12" w:rsidR="00515A54" w:rsidRDefault="00515A54" w:rsidP="00EA21D2">
      <w:r>
        <w:t>Ett alternativ er at Skatteetaten utvikler e</w:t>
      </w:r>
      <w:r w:rsidR="00F9012D">
        <w:t>t</w:t>
      </w:r>
      <w:r>
        <w:t xml:space="preserve"> it-system som innebærer at opplysninger om innbetalingsdato automatisk overføres fra skatteoppkreveren til SFU. I tillegg må det utvikles et it-system der renter beregnes automatisk basert på de opplysningene SFU mottar fra skatteoppkreveren. Kostnadene ved </w:t>
      </w:r>
      <w:r w:rsidR="00F9012D">
        <w:t xml:space="preserve">et slikt </w:t>
      </w:r>
      <w:r>
        <w:t>arbeid vil imidlertid bli så høye at det</w:t>
      </w:r>
      <w:r w:rsidR="00F9012D">
        <w:t>te</w:t>
      </w:r>
      <w:r>
        <w:t xml:space="preserve"> </w:t>
      </w:r>
      <w:r w:rsidR="00F9012D">
        <w:t xml:space="preserve">alternative </w:t>
      </w:r>
      <w:r>
        <w:t xml:space="preserve">ikke </w:t>
      </w:r>
      <w:r w:rsidR="00F9012D">
        <w:t>anses</w:t>
      </w:r>
      <w:r>
        <w:t xml:space="preserve"> hensiktsmessig. </w:t>
      </w:r>
    </w:p>
    <w:p w14:paraId="59DF6C55" w14:textId="1C8D46CE" w:rsidR="00D41B2E" w:rsidRDefault="00EA21D2" w:rsidP="00EA21D2">
      <w:r>
        <w:t xml:space="preserve"> </w:t>
      </w:r>
    </w:p>
    <w:p w14:paraId="117A2863" w14:textId="5E3B278F" w:rsidR="009E7E3A" w:rsidRDefault="009E7E3A" w:rsidP="00BC20CA">
      <w:r>
        <w:t>Departementet foreslår</w:t>
      </w:r>
      <w:r w:rsidR="0001023B">
        <w:t xml:space="preserve"> </w:t>
      </w:r>
      <w:r w:rsidR="00515A54">
        <w:t>i stedet</w:t>
      </w:r>
      <w:r>
        <w:t xml:space="preserve"> at starttidspunktet for renteberegningen ved refusjon av kildeskatt på utbytte til aksjonær hjemmehørende i utlandet, endres til en fastsatt dato, 1. juli i inntektsåret. Renter </w:t>
      </w:r>
      <w:r w:rsidR="00465CDB">
        <w:t xml:space="preserve">skal på samme måte som i dag </w:t>
      </w:r>
      <w:r>
        <w:t>beregnes frem til</w:t>
      </w:r>
      <w:r w:rsidR="00F6464E">
        <w:t xml:space="preserve"> f</w:t>
      </w:r>
      <w:r w:rsidR="00F6464E" w:rsidRPr="006106F7">
        <w:t xml:space="preserve">orfallstidspunktet i </w:t>
      </w:r>
      <w:r w:rsidR="00F6464E">
        <w:t xml:space="preserve">skattebetalingsloven </w:t>
      </w:r>
      <w:r w:rsidR="00F6464E" w:rsidRPr="006106F7">
        <w:t>§ 10-60</w:t>
      </w:r>
      <w:r w:rsidR="00F6464E">
        <w:t xml:space="preserve">, </w:t>
      </w:r>
      <w:r w:rsidR="00255869">
        <w:t>dvs.</w:t>
      </w:r>
      <w:r w:rsidR="00F6464E">
        <w:t xml:space="preserve"> senest tre uker etter at vedtaket om refusjon ble truffet.</w:t>
      </w:r>
      <w:r>
        <w:t xml:space="preserve"> </w:t>
      </w:r>
    </w:p>
    <w:p w14:paraId="2A39D332" w14:textId="77777777" w:rsidR="00D81E61" w:rsidRDefault="00D81E61" w:rsidP="003B086D"/>
    <w:p w14:paraId="7927F498" w14:textId="3442E602" w:rsidR="003B086D" w:rsidRDefault="00463935" w:rsidP="003B086D">
      <w:r>
        <w:t xml:space="preserve">Når </w:t>
      </w:r>
      <w:r w:rsidR="003B086D">
        <w:t xml:space="preserve">starttidspunktet </w:t>
      </w:r>
      <w:r>
        <w:t xml:space="preserve">for renteberegning settes </w:t>
      </w:r>
      <w:r w:rsidR="003B086D">
        <w:t xml:space="preserve">til 1. juli, </w:t>
      </w:r>
      <w:r w:rsidR="00D84BDD">
        <w:t>treng</w:t>
      </w:r>
      <w:r>
        <w:t xml:space="preserve">er </w:t>
      </w:r>
      <w:r w:rsidR="00D84BDD">
        <w:t xml:space="preserve">ikke </w:t>
      </w:r>
      <w:r w:rsidR="00F319D8">
        <w:t>saksbehandler</w:t>
      </w:r>
      <w:r w:rsidR="00D84BDD">
        <w:t>en å</w:t>
      </w:r>
      <w:r w:rsidR="00F319D8">
        <w:t xml:space="preserve"> bruke tid på å finne tidspunktet kildeskattetrekket</w:t>
      </w:r>
      <w:r w:rsidR="00D84BDD">
        <w:t xml:space="preserve"> ble betalt inn</w:t>
      </w:r>
      <w:r w:rsidR="00F319D8">
        <w:t xml:space="preserve">. Videre </w:t>
      </w:r>
      <w:r w:rsidR="00D84BDD">
        <w:t xml:space="preserve">kan </w:t>
      </w:r>
      <w:r w:rsidR="003B086D">
        <w:t>beregningen av antall dager det skal betales rente for, gjøres under ett for alle utbytteutdelingene</w:t>
      </w:r>
      <w:r w:rsidR="008A6067">
        <w:t xml:space="preserve"> i det enkelte inntektsår</w:t>
      </w:r>
      <w:r w:rsidR="00FC330E">
        <w:t>.</w:t>
      </w:r>
      <w:r w:rsidR="003B086D">
        <w:t xml:space="preserve"> </w:t>
      </w:r>
      <w:r w:rsidR="008A6067">
        <w:t>S</w:t>
      </w:r>
      <w:r w:rsidR="003B086D">
        <w:t xml:space="preserve">aksbehandleren </w:t>
      </w:r>
      <w:r w:rsidR="008A6067">
        <w:t xml:space="preserve">trenger også </w:t>
      </w:r>
      <w:r w:rsidR="003B086D">
        <w:t xml:space="preserve">kun </w:t>
      </w:r>
      <w:r w:rsidR="008A6067">
        <w:t xml:space="preserve">å </w:t>
      </w:r>
      <w:r w:rsidR="003B086D">
        <w:t xml:space="preserve">føre inn den totale refusjonssummen for </w:t>
      </w:r>
      <w:r w:rsidR="001B0625">
        <w:t xml:space="preserve">alle </w:t>
      </w:r>
      <w:r w:rsidR="003B086D">
        <w:t>utbytteutdelingene som behandles</w:t>
      </w:r>
      <w:r w:rsidR="001B0625">
        <w:t xml:space="preserve"> i en søknad</w:t>
      </w:r>
      <w:r w:rsidR="00432493">
        <w:t xml:space="preserve">, </w:t>
      </w:r>
      <w:r w:rsidR="00F26325">
        <w:t>i stedet for å skille mellom de</w:t>
      </w:r>
      <w:r w:rsidR="00432493">
        <w:t xml:space="preserve"> enkelte utdelingen</w:t>
      </w:r>
      <w:r w:rsidR="00F26325">
        <w:t>e</w:t>
      </w:r>
      <w:r w:rsidR="003B086D">
        <w:t>.</w:t>
      </w:r>
      <w:r w:rsidR="00F319D8">
        <w:t xml:space="preserve"> </w:t>
      </w:r>
    </w:p>
    <w:p w14:paraId="587D6F0A" w14:textId="165AB21C" w:rsidR="00D81E61" w:rsidRDefault="00D81E61" w:rsidP="003B086D"/>
    <w:p w14:paraId="60259D8A" w14:textId="0A7CDB7B" w:rsidR="00E83755" w:rsidRDefault="00D8695A" w:rsidP="00D8695A">
      <w:r>
        <w:t>Departementets forslag innebærer et avvik fra prinsippet om at renten ved tilbakebetaling av skatt og avgift</w:t>
      </w:r>
      <w:r w:rsidR="006F4BB5">
        <w:t>,</w:t>
      </w:r>
      <w:r>
        <w:t xml:space="preserve"> skal dekke det likvi</w:t>
      </w:r>
      <w:r w:rsidR="00756EF3">
        <w:t>d</w:t>
      </w:r>
      <w:r>
        <w:t>it</w:t>
      </w:r>
      <w:r w:rsidR="00E7123E">
        <w:t>e</w:t>
      </w:r>
      <w:r w:rsidR="005D468B">
        <w:t>t</w:t>
      </w:r>
      <w:r>
        <w:t xml:space="preserve">stap den skattepliktige har hatt i perioden fra skatten ble innbetalt og frem til </w:t>
      </w:r>
      <w:r w:rsidR="006F4BB5">
        <w:t>tilbake</w:t>
      </w:r>
      <w:r>
        <w:t xml:space="preserve">betaling skjer. </w:t>
      </w:r>
      <w:r w:rsidR="00FC6DA7" w:rsidRPr="00FC6DA7">
        <w:t xml:space="preserve">I de tilfellene det utdelende selskapet betaler inn kildeskattetrekket før 1. juli, vil aksjonæren få en lavere rentekompensasjon enn i dag, mens rentekompensasjonen vil bli høyere </w:t>
      </w:r>
      <w:r w:rsidR="006359AA">
        <w:t xml:space="preserve">enn i dag </w:t>
      </w:r>
      <w:r w:rsidR="00FC6DA7" w:rsidRPr="00FC6DA7">
        <w:t xml:space="preserve">i de tilfellene trekket betales inn etter 1. juli. </w:t>
      </w:r>
      <w:r w:rsidR="00377DB4">
        <w:t>Etter d</w:t>
      </w:r>
      <w:r w:rsidR="00C7199C">
        <w:t>epartementet</w:t>
      </w:r>
      <w:r w:rsidR="00377DB4">
        <w:t>s vurdering bør forslaget</w:t>
      </w:r>
      <w:r w:rsidR="00C7199C">
        <w:t xml:space="preserve"> likevel </w:t>
      </w:r>
      <w:r w:rsidR="00377DB4">
        <w:t>gjennomføres</w:t>
      </w:r>
      <w:r w:rsidR="00BD170C">
        <w:t>.</w:t>
      </w:r>
    </w:p>
    <w:p w14:paraId="52ADC8DB" w14:textId="7280156B" w:rsidR="00DB7222" w:rsidRDefault="00DB7222" w:rsidP="00D8695A"/>
    <w:p w14:paraId="20170458" w14:textId="162F1F03" w:rsidR="00AD28D4" w:rsidRDefault="00EE7EA7" w:rsidP="00AD28D4">
      <w:r>
        <w:t>D</w:t>
      </w:r>
      <w:r w:rsidR="003615C9">
        <w:t xml:space="preserve">epartementet </w:t>
      </w:r>
      <w:r>
        <w:t xml:space="preserve">viser </w:t>
      </w:r>
      <w:r w:rsidR="00377DB4">
        <w:t xml:space="preserve">for det første </w:t>
      </w:r>
      <w:r>
        <w:t xml:space="preserve">til </w:t>
      </w:r>
      <w:r w:rsidR="003615C9">
        <w:t xml:space="preserve">at </w:t>
      </w:r>
      <w:r w:rsidR="00AB026B">
        <w:t>det</w:t>
      </w:r>
      <w:r w:rsidR="006571DB">
        <w:t xml:space="preserve"> bare er nødvendig å søke om refusjon i de tilfellene det opprinnelige trekket er uriktig</w:t>
      </w:r>
      <w:r w:rsidR="00AB026B">
        <w:t>. A</w:t>
      </w:r>
      <w:r w:rsidR="003615C9">
        <w:t xml:space="preserve">ksjonæren kan få riktig kildeskattetrekk til å begynne med ved å oppfylle dokumentasjonskravene i </w:t>
      </w:r>
      <w:r w:rsidR="003615C9" w:rsidRPr="002826AA">
        <w:t>skattebetali</w:t>
      </w:r>
      <w:r w:rsidR="009557D7">
        <w:t>ngsforskriften §§ 5-10a-1 til 5</w:t>
      </w:r>
      <w:r w:rsidR="009557D7">
        <w:noBreakHyphen/>
      </w:r>
      <w:r w:rsidR="003615C9" w:rsidRPr="002826AA">
        <w:t>10a-3</w:t>
      </w:r>
      <w:r w:rsidR="003615C9">
        <w:t>, dvs. gjennom å fremlegge nødvendig dokumentasjon i forkant av kildeskattetrekket. Det er da ikke nødvendig å søke om refusjon</w:t>
      </w:r>
      <w:r w:rsidR="00A95FFD">
        <w:t>.</w:t>
      </w:r>
      <w:r w:rsidR="003615C9">
        <w:t xml:space="preserve"> </w:t>
      </w:r>
    </w:p>
    <w:p w14:paraId="6A9D6817" w14:textId="21085F61" w:rsidR="00AD28D4" w:rsidRDefault="00AD28D4" w:rsidP="00D8695A"/>
    <w:p w14:paraId="593FDF55" w14:textId="50B47ADE" w:rsidR="00377DB4" w:rsidRDefault="00377DB4" w:rsidP="00D8695A">
      <w:r>
        <w:t xml:space="preserve">For det andre er datoen 1. juli satt for at forslaget samlet sett skal virke provenynøytralt. Skattedirektoratet har vurdert det slik at dersom </w:t>
      </w:r>
      <w:r w:rsidR="00FB540D">
        <w:t>renten beregnes fra dette tidspunktet</w:t>
      </w:r>
      <w:r w:rsidR="0069017E">
        <w:t>, vil det til sammen verken bli utbetalt et høyere eller lavere rentegodtgjørelse enn i dag.</w:t>
      </w:r>
    </w:p>
    <w:p w14:paraId="39A86F05" w14:textId="77777777" w:rsidR="00377DB4" w:rsidRDefault="00377DB4" w:rsidP="00D8695A"/>
    <w:p w14:paraId="343DE22F" w14:textId="68D10501" w:rsidR="00C7199C" w:rsidRDefault="0069017E" w:rsidP="00D8695A">
      <w:r>
        <w:t xml:space="preserve">For det tredje har departementet lagt vekt på at forslaget </w:t>
      </w:r>
      <w:r w:rsidR="00795A83">
        <w:t xml:space="preserve">i de fleste tilfeller </w:t>
      </w:r>
      <w:r>
        <w:t xml:space="preserve">også vil ha liten </w:t>
      </w:r>
      <w:r w:rsidR="00795A83">
        <w:t xml:space="preserve">økonomisk </w:t>
      </w:r>
      <w:r>
        <w:t xml:space="preserve">betydning </w:t>
      </w:r>
      <w:r w:rsidR="00795A83">
        <w:t>for den enkelte</w:t>
      </w:r>
      <w:r>
        <w:t xml:space="preserve"> aksjonær</w:t>
      </w:r>
      <w:r w:rsidR="00C7199C">
        <w:t xml:space="preserve">. </w:t>
      </w:r>
      <w:r w:rsidR="00C7199C" w:rsidRPr="00C7199C">
        <w:t xml:space="preserve">Utbytteutdelinger vedtas normalt på ordinær generalforsamling </w:t>
      </w:r>
      <w:r>
        <w:t>i</w:t>
      </w:r>
      <w:r w:rsidR="00C7199C" w:rsidRPr="00C7199C">
        <w:t xml:space="preserve"> mai </w:t>
      </w:r>
      <w:r>
        <w:t>eller</w:t>
      </w:r>
      <w:r w:rsidR="00C7199C" w:rsidRPr="00C7199C">
        <w:t xml:space="preserve"> juni. </w:t>
      </w:r>
      <w:r>
        <w:t>S</w:t>
      </w:r>
      <w:r w:rsidR="00C7199C" w:rsidRPr="00C7199C">
        <w:t>tarttidspunkt</w:t>
      </w:r>
      <w:r w:rsidR="007E60CD">
        <w:t>et</w:t>
      </w:r>
      <w:r w:rsidR="00C7199C" w:rsidRPr="00C7199C">
        <w:t xml:space="preserve"> for renteberegning 1. juli</w:t>
      </w:r>
      <w:r w:rsidR="005F5BA8">
        <w:t>, vil de</w:t>
      </w:r>
      <w:r>
        <w:t>rmed</w:t>
      </w:r>
      <w:r w:rsidR="00C7199C" w:rsidRPr="00C7199C">
        <w:t xml:space="preserve"> normalt sammenfalle noenlunde med tidspunktet for innbetaling av kildeskattetrekket</w:t>
      </w:r>
      <w:r w:rsidR="00332FEF">
        <w:t>.</w:t>
      </w:r>
      <w:r w:rsidR="00C7199C" w:rsidRPr="00C7199C">
        <w:t xml:space="preserve"> </w:t>
      </w:r>
      <w:r w:rsidR="00332FEF">
        <w:t>D</w:t>
      </w:r>
      <w:r w:rsidR="00C7199C" w:rsidRPr="00C7199C">
        <w:t xml:space="preserve">ifferansen i rentegodtgjørelse fra gjeldende regler </w:t>
      </w:r>
      <w:r w:rsidR="004A2CE0">
        <w:t xml:space="preserve">blir </w:t>
      </w:r>
      <w:r>
        <w:t xml:space="preserve">da </w:t>
      </w:r>
      <w:r w:rsidR="00C7199C" w:rsidRPr="00C7199C">
        <w:t>beskjeden. De største selskapene som deler</w:t>
      </w:r>
      <w:r>
        <w:t xml:space="preserve"> ut</w:t>
      </w:r>
      <w:r w:rsidR="00C7199C" w:rsidRPr="00C7199C">
        <w:t xml:space="preserve"> de største </w:t>
      </w:r>
      <w:r w:rsidR="006359AA">
        <w:t>utbyttene,</w:t>
      </w:r>
      <w:r w:rsidR="00C7199C" w:rsidRPr="00C7199C">
        <w:t xml:space="preserve"> foretar </w:t>
      </w:r>
      <w:r>
        <w:t>ofte</w:t>
      </w:r>
      <w:r w:rsidR="00C7199C" w:rsidRPr="00C7199C">
        <w:t xml:space="preserve"> utbytteutdeling</w:t>
      </w:r>
      <w:r>
        <w:t xml:space="preserve"> mer enn en gang i året</w:t>
      </w:r>
      <w:r w:rsidR="00C7199C" w:rsidRPr="00C7199C">
        <w:t>. For aksjonærer i slike selskaper som holder aksjebeholdningen gjennom et helt inntektsår, vil dif</w:t>
      </w:r>
      <w:r w:rsidR="00C7199C" w:rsidRPr="00EB701A">
        <w:t>feransen fra gjeldende regler samlet sett være liten</w:t>
      </w:r>
      <w:r>
        <w:t xml:space="preserve">. Renteulempen ved </w:t>
      </w:r>
      <w:r w:rsidR="00795A83">
        <w:t>utbetalinger tidlig på året</w:t>
      </w:r>
      <w:r>
        <w:t xml:space="preserve"> veies opp av en rentefordel ved utbetalinger sent på året.</w:t>
      </w:r>
    </w:p>
    <w:p w14:paraId="2598AE1C" w14:textId="74292406" w:rsidR="00C7199C" w:rsidRDefault="00C7199C" w:rsidP="00D8695A"/>
    <w:p w14:paraId="2933E812" w14:textId="66B4575A" w:rsidR="00C7199C" w:rsidRDefault="00795A83" w:rsidP="00795A83">
      <w:r>
        <w:t>Departementet har laget noen</w:t>
      </w:r>
      <w:r w:rsidR="00DB7222">
        <w:t xml:space="preserve"> eksempler som viser differansen i rente</w:t>
      </w:r>
      <w:r>
        <w:t xml:space="preserve"> beregnet</w:t>
      </w:r>
      <w:r w:rsidR="00DB7222">
        <w:t xml:space="preserve"> etter gjeldende rett og </w:t>
      </w:r>
      <w:r>
        <w:t xml:space="preserve">etter </w:t>
      </w:r>
      <w:r w:rsidR="00DB7222">
        <w:t xml:space="preserve">forslaget. </w:t>
      </w:r>
      <w:r>
        <w:t xml:space="preserve">Eksempel 1 er typisk for en </w:t>
      </w:r>
      <w:r w:rsidR="00DB7222">
        <w:t xml:space="preserve">personlige aksjonær </w:t>
      </w:r>
      <w:r>
        <w:t>med relativt liten aksjebeholdning</w:t>
      </w:r>
      <w:r w:rsidR="00DB7222">
        <w:t xml:space="preserve">, </w:t>
      </w:r>
      <w:r>
        <w:t>mens eksempel 2 er typisk for en</w:t>
      </w:r>
      <w:r w:rsidR="00DB7222">
        <w:t xml:space="preserve"> selskapsaksjonær</w:t>
      </w:r>
      <w:r>
        <w:t xml:space="preserve"> med større aksjebeholdning</w:t>
      </w:r>
      <w:r w:rsidR="00DB7222">
        <w:t>.</w:t>
      </w:r>
      <w:r>
        <w:t xml:space="preserve"> Eksemplene er representative for de refusjonssøknadene SFU mottar.</w:t>
      </w:r>
    </w:p>
    <w:p w14:paraId="402774D6" w14:textId="4AF80317" w:rsidR="00124B6C" w:rsidRDefault="00124B6C" w:rsidP="00D8695A"/>
    <w:p w14:paraId="279B6106" w14:textId="465FF5BE" w:rsidR="00124B6C" w:rsidRDefault="00124B6C" w:rsidP="00D8695A">
      <w:r>
        <w:t xml:space="preserve">I eksemplene legges følgende forutsetninger til grunn: </w:t>
      </w:r>
    </w:p>
    <w:p w14:paraId="2E626B63" w14:textId="7B07A021" w:rsidR="00124B6C" w:rsidRDefault="00124B6C" w:rsidP="00124B6C">
      <w:pPr>
        <w:pStyle w:val="Listeavsnitt"/>
        <w:numPr>
          <w:ilvl w:val="0"/>
          <w:numId w:val="24"/>
        </w:numPr>
      </w:pPr>
      <w:r>
        <w:t>Søknad</w:t>
      </w:r>
      <w:r w:rsidR="008A0AC7">
        <w:t xml:space="preserve"> om refusjon for utbytter mottatt i 20</w:t>
      </w:r>
      <w:r w:rsidR="00FA1E3E">
        <w:t xml:space="preserve">19 </w:t>
      </w:r>
      <w:r>
        <w:t xml:space="preserve">innvilges 1. februar </w:t>
      </w:r>
      <w:r w:rsidR="00FA1E3E">
        <w:t>2020</w:t>
      </w:r>
      <w:r w:rsidR="008A0AC7">
        <w:t>,</w:t>
      </w:r>
      <w:r>
        <w:t xml:space="preserve"> og kopi av innvilgelsesvedtaket sendes til renteberegning samme dag.</w:t>
      </w:r>
    </w:p>
    <w:p w14:paraId="684AFC19" w14:textId="48E72C1A" w:rsidR="008A0AC7" w:rsidRDefault="00124B6C" w:rsidP="001E2AFC">
      <w:pPr>
        <w:pStyle w:val="Listeavsnitt"/>
        <w:numPr>
          <w:ilvl w:val="0"/>
          <w:numId w:val="24"/>
        </w:numPr>
      </w:pPr>
      <w:r>
        <w:t xml:space="preserve">Forfallsdato for utbetaling settes til avregningstidspunktet + 3 uker, som blir 22. februar </w:t>
      </w:r>
      <w:r w:rsidR="00FA1E3E">
        <w:t>2020</w:t>
      </w:r>
      <w:r>
        <w:t xml:space="preserve">, jf. </w:t>
      </w:r>
      <w:r w:rsidR="009D5BD3" w:rsidRPr="009D5BD3">
        <w:t>skattebetalingsloven</w:t>
      </w:r>
      <w:r>
        <w:t xml:space="preserve"> § 10-60.</w:t>
      </w:r>
    </w:p>
    <w:p w14:paraId="18E90557" w14:textId="5196EEA2" w:rsidR="008A0AC7" w:rsidRDefault="008A0AC7" w:rsidP="001E2AFC">
      <w:pPr>
        <w:pStyle w:val="Listeavsnitt"/>
        <w:numPr>
          <w:ilvl w:val="0"/>
          <w:numId w:val="24"/>
        </w:numPr>
      </w:pPr>
      <w:r>
        <w:t>Tidspunktet for innbetaling av kildeskatten, som er starttidspunktet for renteberegning etter skattebetalingsloven § 11-4 første ledd, settes til datoen for utbetaling av utbytte + en måned, som er fristen for innbetaling av kildeskatt på utbytte fra VPS-registrerte selskaper.</w:t>
      </w:r>
    </w:p>
    <w:p w14:paraId="7E1AB191" w14:textId="77777777" w:rsidR="00982593" w:rsidRDefault="00982593" w:rsidP="00982593">
      <w:pPr>
        <w:pStyle w:val="Listeavsnitt"/>
        <w:numPr>
          <w:ilvl w:val="0"/>
          <w:numId w:val="24"/>
        </w:numPr>
      </w:pPr>
      <w:r>
        <w:t>Det er trukket 25 pst. kildeskatt, men riktig sats er 15 pst.</w:t>
      </w:r>
    </w:p>
    <w:p w14:paraId="1420E736" w14:textId="3931D275" w:rsidR="003C7A9D" w:rsidRDefault="004B3AF1" w:rsidP="00C026C5">
      <w:pPr>
        <w:pStyle w:val="Listeavsnitt"/>
        <w:numPr>
          <w:ilvl w:val="0"/>
          <w:numId w:val="24"/>
        </w:numPr>
      </w:pPr>
      <w:r>
        <w:t>Rente</w:t>
      </w:r>
      <w:r w:rsidR="009D5BD3">
        <w:t>satse</w:t>
      </w:r>
      <w:r w:rsidR="009D5BD3" w:rsidRPr="009D5BD3">
        <w:t>n er 0,5 %, jf. skattebetalingsloven § 11-6 andre ledd annet punktum.</w:t>
      </w:r>
    </w:p>
    <w:p w14:paraId="633288FB" w14:textId="05CBCAB2" w:rsidR="00EB701A" w:rsidRDefault="001E2AFC" w:rsidP="00BC20CA">
      <w:r>
        <w:t xml:space="preserve"> </w:t>
      </w:r>
    </w:p>
    <w:p w14:paraId="3C8E1DEB" w14:textId="77777777" w:rsidR="00ED0B84" w:rsidRDefault="00ED0B84" w:rsidP="00BC20CA">
      <w:pPr>
        <w:rPr>
          <w:i/>
        </w:rPr>
      </w:pPr>
    </w:p>
    <w:p w14:paraId="3A7E77A7" w14:textId="77777777" w:rsidR="00ED0B84" w:rsidRDefault="00ED0B84" w:rsidP="00BC20CA">
      <w:pPr>
        <w:rPr>
          <w:i/>
        </w:rPr>
      </w:pPr>
    </w:p>
    <w:p w14:paraId="5C91C18C" w14:textId="77777777" w:rsidR="00ED0B84" w:rsidRDefault="00ED0B84" w:rsidP="00BC20CA">
      <w:pPr>
        <w:rPr>
          <w:i/>
        </w:rPr>
      </w:pPr>
    </w:p>
    <w:p w14:paraId="139D8800" w14:textId="77777777" w:rsidR="00ED0B84" w:rsidRDefault="00ED0B84" w:rsidP="00BC20CA">
      <w:pPr>
        <w:rPr>
          <w:i/>
        </w:rPr>
      </w:pPr>
    </w:p>
    <w:p w14:paraId="4FEF4A22" w14:textId="77777777" w:rsidR="00ED0B84" w:rsidRDefault="00ED0B84" w:rsidP="00BC20CA">
      <w:pPr>
        <w:rPr>
          <w:i/>
        </w:rPr>
      </w:pPr>
    </w:p>
    <w:p w14:paraId="3054F223" w14:textId="77777777" w:rsidR="00ED0B84" w:rsidRDefault="00ED0B84" w:rsidP="00BC20CA">
      <w:pPr>
        <w:rPr>
          <w:i/>
        </w:rPr>
      </w:pPr>
    </w:p>
    <w:p w14:paraId="78A114E2" w14:textId="77777777" w:rsidR="00ED0B84" w:rsidRDefault="00ED0B84" w:rsidP="00BC20CA">
      <w:pPr>
        <w:rPr>
          <w:i/>
        </w:rPr>
      </w:pPr>
    </w:p>
    <w:p w14:paraId="7C198366" w14:textId="77777777" w:rsidR="00ED0B84" w:rsidRDefault="00ED0B84" w:rsidP="00BC20CA">
      <w:pPr>
        <w:rPr>
          <w:i/>
        </w:rPr>
      </w:pPr>
    </w:p>
    <w:p w14:paraId="4C1DC218" w14:textId="77777777" w:rsidR="00ED0B84" w:rsidRDefault="00ED0B84" w:rsidP="00BC20CA">
      <w:pPr>
        <w:rPr>
          <w:i/>
        </w:rPr>
      </w:pPr>
    </w:p>
    <w:p w14:paraId="762BC715" w14:textId="363C8DEE" w:rsidR="009F1B32" w:rsidRPr="00C026C5" w:rsidRDefault="00380423" w:rsidP="00BC20CA">
      <w:pPr>
        <w:rPr>
          <w:i/>
        </w:rPr>
      </w:pPr>
      <w:r>
        <w:rPr>
          <w:i/>
        </w:rPr>
        <w:t>Eksempel 1 –</w:t>
      </w:r>
      <w:r w:rsidR="009F1B32">
        <w:rPr>
          <w:i/>
        </w:rPr>
        <w:t xml:space="preserve"> refusjonssøknad </w:t>
      </w:r>
      <w:r>
        <w:rPr>
          <w:i/>
        </w:rPr>
        <w:t>fra</w:t>
      </w:r>
      <w:r w:rsidR="009F1B32">
        <w:rPr>
          <w:i/>
        </w:rPr>
        <w:t xml:space="preserve"> personlig aksjonær</w:t>
      </w:r>
    </w:p>
    <w:tbl>
      <w:tblPr>
        <w:tblStyle w:val="Tabellrutenett"/>
        <w:tblW w:w="9209" w:type="dxa"/>
        <w:tblLayout w:type="fixed"/>
        <w:tblLook w:val="04A0" w:firstRow="1" w:lastRow="0" w:firstColumn="1" w:lastColumn="0" w:noHBand="0" w:noVBand="1"/>
      </w:tblPr>
      <w:tblGrid>
        <w:gridCol w:w="1413"/>
        <w:gridCol w:w="992"/>
        <w:gridCol w:w="1134"/>
        <w:gridCol w:w="1418"/>
        <w:gridCol w:w="1134"/>
        <w:gridCol w:w="1275"/>
        <w:gridCol w:w="1843"/>
      </w:tblGrid>
      <w:tr w:rsidR="00644E25" w:rsidRPr="00D63CD7" w14:paraId="1FD116AD" w14:textId="77777777" w:rsidTr="00CD4847">
        <w:tc>
          <w:tcPr>
            <w:tcW w:w="9209" w:type="dxa"/>
            <w:gridSpan w:val="7"/>
          </w:tcPr>
          <w:p w14:paraId="0F573676" w14:textId="04623AF1" w:rsidR="00644E25" w:rsidRPr="00D63CD7" w:rsidRDefault="00644E25" w:rsidP="00EB701A">
            <w:pPr>
              <w:rPr>
                <w:b/>
                <w:sz w:val="20"/>
              </w:rPr>
            </w:pPr>
            <w:r w:rsidRPr="00D63CD7">
              <w:rPr>
                <w:b/>
                <w:sz w:val="20"/>
              </w:rPr>
              <w:t>Refus</w:t>
            </w:r>
            <w:r w:rsidR="004D6DA7">
              <w:rPr>
                <w:b/>
                <w:sz w:val="20"/>
              </w:rPr>
              <w:t>jonskrav utbytter mottatt i 2018</w:t>
            </w:r>
            <w:r>
              <w:rPr>
                <w:b/>
                <w:sz w:val="20"/>
              </w:rPr>
              <w:t xml:space="preserve"> – personlig aksjonær</w:t>
            </w:r>
          </w:p>
        </w:tc>
      </w:tr>
      <w:tr w:rsidR="00AB0037" w:rsidRPr="00D63CD7" w14:paraId="7C0FBA75" w14:textId="77777777" w:rsidTr="00CD4847">
        <w:tc>
          <w:tcPr>
            <w:tcW w:w="1413" w:type="dxa"/>
          </w:tcPr>
          <w:p w14:paraId="335F9B1A" w14:textId="77777777" w:rsidR="008A0AC7" w:rsidRPr="00D63CD7" w:rsidRDefault="008A0AC7" w:rsidP="00B568FE">
            <w:pPr>
              <w:rPr>
                <w:b/>
                <w:sz w:val="20"/>
              </w:rPr>
            </w:pPr>
            <w:r w:rsidRPr="00D63CD7">
              <w:rPr>
                <w:b/>
                <w:sz w:val="20"/>
              </w:rPr>
              <w:t>Utbetalende selskap</w:t>
            </w:r>
          </w:p>
        </w:tc>
        <w:tc>
          <w:tcPr>
            <w:tcW w:w="992" w:type="dxa"/>
          </w:tcPr>
          <w:p w14:paraId="75CE0D62" w14:textId="77777777" w:rsidR="008A0AC7" w:rsidRPr="00D63CD7" w:rsidRDefault="008A0AC7" w:rsidP="00B568FE">
            <w:pPr>
              <w:rPr>
                <w:b/>
                <w:sz w:val="20"/>
              </w:rPr>
            </w:pPr>
            <w:r w:rsidRPr="00D63CD7">
              <w:rPr>
                <w:b/>
                <w:sz w:val="20"/>
              </w:rPr>
              <w:t>Antall aksjer</w:t>
            </w:r>
          </w:p>
        </w:tc>
        <w:tc>
          <w:tcPr>
            <w:tcW w:w="1134" w:type="dxa"/>
          </w:tcPr>
          <w:p w14:paraId="49F9FDFF" w14:textId="77777777" w:rsidR="008A0AC7" w:rsidRDefault="008A0AC7" w:rsidP="00B568FE">
            <w:pPr>
              <w:rPr>
                <w:b/>
                <w:sz w:val="20"/>
              </w:rPr>
            </w:pPr>
            <w:r w:rsidRPr="00D63CD7">
              <w:rPr>
                <w:b/>
                <w:sz w:val="20"/>
              </w:rPr>
              <w:t>Utbytte per aksje</w:t>
            </w:r>
          </w:p>
          <w:p w14:paraId="7CE459BD" w14:textId="08E32502" w:rsidR="00AB0037" w:rsidRPr="00D63CD7" w:rsidRDefault="00AB0037" w:rsidP="00B568FE">
            <w:pPr>
              <w:rPr>
                <w:b/>
                <w:sz w:val="20"/>
              </w:rPr>
            </w:pPr>
            <w:r>
              <w:rPr>
                <w:b/>
                <w:sz w:val="20"/>
              </w:rPr>
              <w:t>(NOK)</w:t>
            </w:r>
          </w:p>
        </w:tc>
        <w:tc>
          <w:tcPr>
            <w:tcW w:w="1418" w:type="dxa"/>
          </w:tcPr>
          <w:p w14:paraId="5F53B2A7" w14:textId="5FC78796" w:rsidR="008A0AC7" w:rsidRPr="00D63CD7" w:rsidRDefault="008A0AC7" w:rsidP="00362A3F">
            <w:pPr>
              <w:rPr>
                <w:b/>
                <w:sz w:val="20"/>
              </w:rPr>
            </w:pPr>
            <w:r>
              <w:rPr>
                <w:b/>
                <w:sz w:val="20"/>
              </w:rPr>
              <w:t>Utbetalings-dato</w:t>
            </w:r>
          </w:p>
        </w:tc>
        <w:tc>
          <w:tcPr>
            <w:tcW w:w="1134" w:type="dxa"/>
          </w:tcPr>
          <w:p w14:paraId="79D21CCF" w14:textId="77777777" w:rsidR="008A0AC7" w:rsidRDefault="008A0AC7" w:rsidP="00B568FE">
            <w:pPr>
              <w:rPr>
                <w:b/>
                <w:sz w:val="20"/>
              </w:rPr>
            </w:pPr>
            <w:r w:rsidRPr="00D63CD7">
              <w:rPr>
                <w:b/>
                <w:sz w:val="20"/>
              </w:rPr>
              <w:t>Totalt utbytte</w:t>
            </w:r>
          </w:p>
          <w:p w14:paraId="28F98869" w14:textId="524E9180" w:rsidR="00AB0037" w:rsidRPr="00D63CD7" w:rsidRDefault="00AB0037" w:rsidP="00B568FE">
            <w:pPr>
              <w:rPr>
                <w:b/>
                <w:sz w:val="20"/>
              </w:rPr>
            </w:pPr>
            <w:r>
              <w:rPr>
                <w:b/>
                <w:sz w:val="20"/>
              </w:rPr>
              <w:t>(NOK)</w:t>
            </w:r>
          </w:p>
        </w:tc>
        <w:tc>
          <w:tcPr>
            <w:tcW w:w="1275" w:type="dxa"/>
          </w:tcPr>
          <w:p w14:paraId="07F2F286" w14:textId="77777777" w:rsidR="008A0AC7" w:rsidRPr="00D63CD7" w:rsidRDefault="008A0AC7" w:rsidP="00CD4847">
            <w:pPr>
              <w:rPr>
                <w:b/>
                <w:sz w:val="20"/>
              </w:rPr>
            </w:pPr>
            <w:r w:rsidRPr="00D63CD7">
              <w:rPr>
                <w:b/>
                <w:sz w:val="20"/>
              </w:rPr>
              <w:t>Trukket kildeskatt 25%</w:t>
            </w:r>
          </w:p>
        </w:tc>
        <w:tc>
          <w:tcPr>
            <w:tcW w:w="1843" w:type="dxa"/>
          </w:tcPr>
          <w:p w14:paraId="252AE6C8" w14:textId="77777777" w:rsidR="008A0AC7" w:rsidRDefault="008A0AC7" w:rsidP="00B568FE">
            <w:pPr>
              <w:rPr>
                <w:b/>
                <w:sz w:val="20"/>
              </w:rPr>
            </w:pPr>
            <w:r w:rsidRPr="00D63CD7">
              <w:rPr>
                <w:b/>
                <w:sz w:val="20"/>
              </w:rPr>
              <w:t>Sum refusjon 10%</w:t>
            </w:r>
          </w:p>
          <w:p w14:paraId="0E4EB202" w14:textId="6C4EA24E" w:rsidR="00AB0037" w:rsidRPr="00D63CD7" w:rsidRDefault="00AB0037" w:rsidP="00B568FE">
            <w:pPr>
              <w:rPr>
                <w:b/>
                <w:sz w:val="20"/>
              </w:rPr>
            </w:pPr>
            <w:r>
              <w:rPr>
                <w:b/>
                <w:sz w:val="20"/>
              </w:rPr>
              <w:t>(NOK)</w:t>
            </w:r>
          </w:p>
        </w:tc>
      </w:tr>
      <w:tr w:rsidR="00AB0037" w:rsidRPr="00D63CD7" w14:paraId="384A8B4F" w14:textId="77777777" w:rsidTr="00CD4847">
        <w:tc>
          <w:tcPr>
            <w:tcW w:w="1413" w:type="dxa"/>
          </w:tcPr>
          <w:p w14:paraId="02712281" w14:textId="77777777" w:rsidR="008A0AC7" w:rsidRPr="00D63CD7" w:rsidRDefault="008A0AC7" w:rsidP="00B568FE">
            <w:pPr>
              <w:rPr>
                <w:sz w:val="20"/>
              </w:rPr>
            </w:pPr>
            <w:r>
              <w:rPr>
                <w:sz w:val="20"/>
              </w:rPr>
              <w:t>A AS</w:t>
            </w:r>
          </w:p>
        </w:tc>
        <w:tc>
          <w:tcPr>
            <w:tcW w:w="992" w:type="dxa"/>
          </w:tcPr>
          <w:p w14:paraId="4945560D" w14:textId="2A92F181" w:rsidR="008A0AC7" w:rsidRPr="00D63CD7" w:rsidRDefault="008A0AC7" w:rsidP="00B568FE">
            <w:pPr>
              <w:rPr>
                <w:sz w:val="20"/>
              </w:rPr>
            </w:pPr>
            <w:r>
              <w:rPr>
                <w:sz w:val="20"/>
              </w:rPr>
              <w:t>500</w:t>
            </w:r>
          </w:p>
        </w:tc>
        <w:tc>
          <w:tcPr>
            <w:tcW w:w="1134" w:type="dxa"/>
          </w:tcPr>
          <w:p w14:paraId="04030A7E" w14:textId="100F475D" w:rsidR="008A0AC7" w:rsidRPr="00D63CD7" w:rsidRDefault="008A0AC7" w:rsidP="00B568FE">
            <w:pPr>
              <w:rPr>
                <w:sz w:val="20"/>
              </w:rPr>
            </w:pPr>
            <w:r w:rsidRPr="00D63CD7">
              <w:rPr>
                <w:sz w:val="20"/>
              </w:rPr>
              <w:t>1,</w:t>
            </w:r>
            <w:r>
              <w:rPr>
                <w:sz w:val="20"/>
              </w:rPr>
              <w:t>79</w:t>
            </w:r>
          </w:p>
        </w:tc>
        <w:tc>
          <w:tcPr>
            <w:tcW w:w="1418" w:type="dxa"/>
          </w:tcPr>
          <w:p w14:paraId="03B63F1F" w14:textId="2EE1DF73" w:rsidR="008A0AC7" w:rsidRPr="00D63CD7" w:rsidRDefault="008A0AC7" w:rsidP="00B568FE">
            <w:pPr>
              <w:rPr>
                <w:sz w:val="20"/>
              </w:rPr>
            </w:pPr>
            <w:r w:rsidRPr="00D63CD7">
              <w:rPr>
                <w:sz w:val="20"/>
              </w:rPr>
              <w:t>07.04.201</w:t>
            </w:r>
            <w:r w:rsidR="004D6DA7">
              <w:rPr>
                <w:sz w:val="20"/>
              </w:rPr>
              <w:t>8</w:t>
            </w:r>
          </w:p>
        </w:tc>
        <w:tc>
          <w:tcPr>
            <w:tcW w:w="1134" w:type="dxa"/>
          </w:tcPr>
          <w:p w14:paraId="01A03659" w14:textId="0B82F340" w:rsidR="008A0AC7" w:rsidRPr="00D63CD7" w:rsidRDefault="008A0AC7" w:rsidP="00A04675">
            <w:pPr>
              <w:rPr>
                <w:sz w:val="20"/>
              </w:rPr>
            </w:pPr>
            <w:r w:rsidRPr="00D63CD7">
              <w:rPr>
                <w:sz w:val="20"/>
              </w:rPr>
              <w:t>895</w:t>
            </w:r>
          </w:p>
        </w:tc>
        <w:tc>
          <w:tcPr>
            <w:tcW w:w="1275" w:type="dxa"/>
          </w:tcPr>
          <w:p w14:paraId="7A519CA4" w14:textId="03E5EF87" w:rsidR="008A0AC7" w:rsidRPr="00D63CD7" w:rsidRDefault="008A0AC7" w:rsidP="00B568FE">
            <w:pPr>
              <w:rPr>
                <w:sz w:val="20"/>
              </w:rPr>
            </w:pPr>
            <w:r>
              <w:rPr>
                <w:sz w:val="20"/>
              </w:rPr>
              <w:t>223,8</w:t>
            </w:r>
          </w:p>
        </w:tc>
        <w:tc>
          <w:tcPr>
            <w:tcW w:w="1843" w:type="dxa"/>
          </w:tcPr>
          <w:p w14:paraId="27F33525" w14:textId="58291811" w:rsidR="008A0AC7" w:rsidRPr="00D63CD7" w:rsidRDefault="008A0AC7" w:rsidP="00B568FE">
            <w:pPr>
              <w:rPr>
                <w:sz w:val="20"/>
              </w:rPr>
            </w:pPr>
            <w:r>
              <w:rPr>
                <w:sz w:val="20"/>
              </w:rPr>
              <w:t>89,5</w:t>
            </w:r>
          </w:p>
        </w:tc>
      </w:tr>
      <w:tr w:rsidR="00AB0037" w:rsidRPr="00D63CD7" w14:paraId="723BC444" w14:textId="77777777" w:rsidTr="00CD4847">
        <w:tc>
          <w:tcPr>
            <w:tcW w:w="1413" w:type="dxa"/>
          </w:tcPr>
          <w:p w14:paraId="1ECF1863" w14:textId="77777777" w:rsidR="008A0AC7" w:rsidRPr="00D63CD7" w:rsidRDefault="008A0AC7" w:rsidP="00B568FE">
            <w:pPr>
              <w:rPr>
                <w:sz w:val="20"/>
              </w:rPr>
            </w:pPr>
            <w:r>
              <w:rPr>
                <w:sz w:val="20"/>
              </w:rPr>
              <w:t>A AS</w:t>
            </w:r>
          </w:p>
        </w:tc>
        <w:tc>
          <w:tcPr>
            <w:tcW w:w="992" w:type="dxa"/>
          </w:tcPr>
          <w:p w14:paraId="09E75AC5" w14:textId="780B5804" w:rsidR="008A0AC7" w:rsidRPr="00D63CD7" w:rsidRDefault="008A0AC7" w:rsidP="00B568FE">
            <w:pPr>
              <w:rPr>
                <w:sz w:val="20"/>
              </w:rPr>
            </w:pPr>
            <w:r>
              <w:rPr>
                <w:sz w:val="20"/>
              </w:rPr>
              <w:t>500</w:t>
            </w:r>
          </w:p>
        </w:tc>
        <w:tc>
          <w:tcPr>
            <w:tcW w:w="1134" w:type="dxa"/>
          </w:tcPr>
          <w:p w14:paraId="0B91F204" w14:textId="2C5DB22D" w:rsidR="008A0AC7" w:rsidRPr="00D63CD7" w:rsidRDefault="008A0AC7" w:rsidP="00A04675">
            <w:pPr>
              <w:rPr>
                <w:sz w:val="20"/>
              </w:rPr>
            </w:pPr>
            <w:r w:rsidRPr="00D63CD7">
              <w:rPr>
                <w:sz w:val="20"/>
              </w:rPr>
              <w:t>1,</w:t>
            </w:r>
            <w:r>
              <w:rPr>
                <w:sz w:val="20"/>
              </w:rPr>
              <w:t>74</w:t>
            </w:r>
          </w:p>
        </w:tc>
        <w:tc>
          <w:tcPr>
            <w:tcW w:w="1418" w:type="dxa"/>
          </w:tcPr>
          <w:p w14:paraId="78FE2AA3" w14:textId="7955565A" w:rsidR="008A0AC7" w:rsidRPr="00D63CD7" w:rsidRDefault="008A0AC7" w:rsidP="00B568FE">
            <w:pPr>
              <w:rPr>
                <w:sz w:val="20"/>
              </w:rPr>
            </w:pPr>
            <w:r w:rsidRPr="00D63CD7">
              <w:rPr>
                <w:sz w:val="20"/>
              </w:rPr>
              <w:t>23.06.201</w:t>
            </w:r>
            <w:r w:rsidR="004D6DA7">
              <w:rPr>
                <w:sz w:val="20"/>
              </w:rPr>
              <w:t>8</w:t>
            </w:r>
          </w:p>
        </w:tc>
        <w:tc>
          <w:tcPr>
            <w:tcW w:w="1134" w:type="dxa"/>
          </w:tcPr>
          <w:p w14:paraId="49B6AF58" w14:textId="5BFCF823" w:rsidR="008A0AC7" w:rsidRPr="00D63CD7" w:rsidRDefault="008A0AC7" w:rsidP="00B568FE">
            <w:pPr>
              <w:rPr>
                <w:sz w:val="20"/>
              </w:rPr>
            </w:pPr>
            <w:r>
              <w:rPr>
                <w:sz w:val="20"/>
              </w:rPr>
              <w:t>870</w:t>
            </w:r>
          </w:p>
        </w:tc>
        <w:tc>
          <w:tcPr>
            <w:tcW w:w="1275" w:type="dxa"/>
          </w:tcPr>
          <w:p w14:paraId="00718DD4" w14:textId="4E074F1B" w:rsidR="008A0AC7" w:rsidRPr="00D63CD7" w:rsidRDefault="008A0AC7" w:rsidP="00B568FE">
            <w:pPr>
              <w:rPr>
                <w:sz w:val="20"/>
              </w:rPr>
            </w:pPr>
            <w:r>
              <w:rPr>
                <w:sz w:val="20"/>
              </w:rPr>
              <w:t>217,5</w:t>
            </w:r>
          </w:p>
        </w:tc>
        <w:tc>
          <w:tcPr>
            <w:tcW w:w="1843" w:type="dxa"/>
          </w:tcPr>
          <w:p w14:paraId="1F5A9CBD" w14:textId="6913735F" w:rsidR="008A0AC7" w:rsidRPr="00D63CD7" w:rsidRDefault="008A0AC7" w:rsidP="00B568FE">
            <w:pPr>
              <w:rPr>
                <w:sz w:val="20"/>
              </w:rPr>
            </w:pPr>
            <w:r>
              <w:rPr>
                <w:sz w:val="20"/>
              </w:rPr>
              <w:t>87,0</w:t>
            </w:r>
          </w:p>
        </w:tc>
      </w:tr>
      <w:tr w:rsidR="00AB0037" w:rsidRPr="00D63CD7" w14:paraId="25573990" w14:textId="77777777" w:rsidTr="00CD4847">
        <w:tc>
          <w:tcPr>
            <w:tcW w:w="1413" w:type="dxa"/>
          </w:tcPr>
          <w:p w14:paraId="79E56697" w14:textId="77777777" w:rsidR="008A0AC7" w:rsidRPr="00D63CD7" w:rsidRDefault="008A0AC7" w:rsidP="00B568FE">
            <w:pPr>
              <w:rPr>
                <w:sz w:val="20"/>
              </w:rPr>
            </w:pPr>
            <w:r>
              <w:rPr>
                <w:sz w:val="20"/>
              </w:rPr>
              <w:t>A AS</w:t>
            </w:r>
          </w:p>
        </w:tc>
        <w:tc>
          <w:tcPr>
            <w:tcW w:w="992" w:type="dxa"/>
          </w:tcPr>
          <w:p w14:paraId="709D9714" w14:textId="48441E4C" w:rsidR="008A0AC7" w:rsidRPr="00D63CD7" w:rsidRDefault="008A0AC7" w:rsidP="00B568FE">
            <w:pPr>
              <w:rPr>
                <w:sz w:val="20"/>
              </w:rPr>
            </w:pPr>
            <w:r>
              <w:rPr>
                <w:sz w:val="20"/>
              </w:rPr>
              <w:t>250</w:t>
            </w:r>
          </w:p>
        </w:tc>
        <w:tc>
          <w:tcPr>
            <w:tcW w:w="1134" w:type="dxa"/>
          </w:tcPr>
          <w:p w14:paraId="68B9CD94" w14:textId="269B612B" w:rsidR="008A0AC7" w:rsidRPr="00D63CD7" w:rsidRDefault="008A0AC7" w:rsidP="00B568FE">
            <w:pPr>
              <w:rPr>
                <w:sz w:val="20"/>
              </w:rPr>
            </w:pPr>
            <w:r w:rsidRPr="00D63CD7">
              <w:rPr>
                <w:sz w:val="20"/>
              </w:rPr>
              <w:t>1,8</w:t>
            </w:r>
            <w:r>
              <w:rPr>
                <w:sz w:val="20"/>
              </w:rPr>
              <w:t>3</w:t>
            </w:r>
          </w:p>
        </w:tc>
        <w:tc>
          <w:tcPr>
            <w:tcW w:w="1418" w:type="dxa"/>
          </w:tcPr>
          <w:p w14:paraId="3B109596" w14:textId="130F4414" w:rsidR="008A0AC7" w:rsidRPr="00D63CD7" w:rsidRDefault="008A0AC7" w:rsidP="00B568FE">
            <w:pPr>
              <w:rPr>
                <w:sz w:val="20"/>
              </w:rPr>
            </w:pPr>
            <w:r w:rsidRPr="00D63CD7">
              <w:rPr>
                <w:sz w:val="20"/>
              </w:rPr>
              <w:t>18.12.201</w:t>
            </w:r>
            <w:r w:rsidR="004D6DA7">
              <w:rPr>
                <w:sz w:val="20"/>
              </w:rPr>
              <w:t>8</w:t>
            </w:r>
          </w:p>
        </w:tc>
        <w:tc>
          <w:tcPr>
            <w:tcW w:w="1134" w:type="dxa"/>
          </w:tcPr>
          <w:p w14:paraId="064767C6" w14:textId="5627E893" w:rsidR="008A0AC7" w:rsidRPr="00D63CD7" w:rsidRDefault="008A0AC7" w:rsidP="00B568FE">
            <w:pPr>
              <w:rPr>
                <w:sz w:val="20"/>
              </w:rPr>
            </w:pPr>
            <w:r>
              <w:rPr>
                <w:sz w:val="20"/>
              </w:rPr>
              <w:t>457,5</w:t>
            </w:r>
          </w:p>
        </w:tc>
        <w:tc>
          <w:tcPr>
            <w:tcW w:w="1275" w:type="dxa"/>
          </w:tcPr>
          <w:p w14:paraId="7C64C6F5" w14:textId="7B1FB44F" w:rsidR="008A0AC7" w:rsidRPr="00D63CD7" w:rsidRDefault="008A0AC7" w:rsidP="00B568FE">
            <w:pPr>
              <w:rPr>
                <w:sz w:val="20"/>
              </w:rPr>
            </w:pPr>
            <w:r>
              <w:rPr>
                <w:sz w:val="20"/>
              </w:rPr>
              <w:t>114,4</w:t>
            </w:r>
          </w:p>
        </w:tc>
        <w:tc>
          <w:tcPr>
            <w:tcW w:w="1843" w:type="dxa"/>
          </w:tcPr>
          <w:p w14:paraId="41318F67" w14:textId="6832DF46" w:rsidR="008A0AC7" w:rsidRPr="00D63CD7" w:rsidRDefault="008A0AC7" w:rsidP="00B568FE">
            <w:pPr>
              <w:rPr>
                <w:sz w:val="20"/>
              </w:rPr>
            </w:pPr>
            <w:r>
              <w:rPr>
                <w:sz w:val="20"/>
              </w:rPr>
              <w:t>45,8</w:t>
            </w:r>
          </w:p>
        </w:tc>
      </w:tr>
      <w:tr w:rsidR="00AB0037" w:rsidRPr="00D63CD7" w14:paraId="08A10937" w14:textId="77777777" w:rsidTr="00CD4847">
        <w:tc>
          <w:tcPr>
            <w:tcW w:w="1413" w:type="dxa"/>
          </w:tcPr>
          <w:p w14:paraId="1E48064E" w14:textId="77777777" w:rsidR="008A0AC7" w:rsidRPr="00D63CD7" w:rsidRDefault="008A0AC7" w:rsidP="00B568FE">
            <w:pPr>
              <w:rPr>
                <w:sz w:val="20"/>
              </w:rPr>
            </w:pPr>
            <w:r>
              <w:rPr>
                <w:sz w:val="20"/>
              </w:rPr>
              <w:t>B AS</w:t>
            </w:r>
          </w:p>
        </w:tc>
        <w:tc>
          <w:tcPr>
            <w:tcW w:w="992" w:type="dxa"/>
          </w:tcPr>
          <w:p w14:paraId="4C26B2A1" w14:textId="03BD74CD" w:rsidR="008A0AC7" w:rsidRPr="00D63CD7" w:rsidRDefault="008A0AC7" w:rsidP="00B568FE">
            <w:pPr>
              <w:rPr>
                <w:sz w:val="20"/>
              </w:rPr>
            </w:pPr>
            <w:r>
              <w:rPr>
                <w:sz w:val="20"/>
              </w:rPr>
              <w:t>1000</w:t>
            </w:r>
          </w:p>
        </w:tc>
        <w:tc>
          <w:tcPr>
            <w:tcW w:w="1134" w:type="dxa"/>
          </w:tcPr>
          <w:p w14:paraId="039FB198" w14:textId="77777777" w:rsidR="008A0AC7" w:rsidRPr="00D63CD7" w:rsidRDefault="008A0AC7" w:rsidP="00B568FE">
            <w:pPr>
              <w:rPr>
                <w:sz w:val="20"/>
              </w:rPr>
            </w:pPr>
            <w:r w:rsidRPr="00D63CD7">
              <w:rPr>
                <w:sz w:val="20"/>
              </w:rPr>
              <w:t>2,6</w:t>
            </w:r>
          </w:p>
        </w:tc>
        <w:tc>
          <w:tcPr>
            <w:tcW w:w="1418" w:type="dxa"/>
          </w:tcPr>
          <w:p w14:paraId="206CC54D" w14:textId="6BB17256" w:rsidR="008A0AC7" w:rsidRPr="00D63CD7" w:rsidRDefault="008A0AC7" w:rsidP="00B568FE">
            <w:pPr>
              <w:rPr>
                <w:sz w:val="20"/>
              </w:rPr>
            </w:pPr>
            <w:r w:rsidRPr="00D63CD7">
              <w:rPr>
                <w:sz w:val="20"/>
              </w:rPr>
              <w:t>03.05.201</w:t>
            </w:r>
            <w:r w:rsidR="004D6DA7">
              <w:rPr>
                <w:sz w:val="20"/>
              </w:rPr>
              <w:t>8</w:t>
            </w:r>
          </w:p>
        </w:tc>
        <w:tc>
          <w:tcPr>
            <w:tcW w:w="1134" w:type="dxa"/>
          </w:tcPr>
          <w:p w14:paraId="07D9CD7A" w14:textId="4ACD9875" w:rsidR="008A0AC7" w:rsidRPr="00D63CD7" w:rsidRDefault="008A0AC7" w:rsidP="00B568FE">
            <w:pPr>
              <w:rPr>
                <w:sz w:val="20"/>
              </w:rPr>
            </w:pPr>
            <w:r>
              <w:rPr>
                <w:sz w:val="20"/>
              </w:rPr>
              <w:t>2600</w:t>
            </w:r>
          </w:p>
        </w:tc>
        <w:tc>
          <w:tcPr>
            <w:tcW w:w="1275" w:type="dxa"/>
          </w:tcPr>
          <w:p w14:paraId="49AC8521" w14:textId="436AEF74" w:rsidR="008A0AC7" w:rsidRPr="00D63CD7" w:rsidRDefault="008A0AC7" w:rsidP="00B568FE">
            <w:pPr>
              <w:rPr>
                <w:sz w:val="20"/>
              </w:rPr>
            </w:pPr>
            <w:r>
              <w:rPr>
                <w:sz w:val="20"/>
              </w:rPr>
              <w:t>650,0</w:t>
            </w:r>
          </w:p>
        </w:tc>
        <w:tc>
          <w:tcPr>
            <w:tcW w:w="1843" w:type="dxa"/>
          </w:tcPr>
          <w:p w14:paraId="7A7C2B96" w14:textId="2BE30E6D" w:rsidR="008A0AC7" w:rsidRPr="00D63CD7" w:rsidRDefault="008A0AC7" w:rsidP="00B568FE">
            <w:pPr>
              <w:rPr>
                <w:sz w:val="20"/>
              </w:rPr>
            </w:pPr>
            <w:r>
              <w:rPr>
                <w:sz w:val="20"/>
              </w:rPr>
              <w:t>260,0</w:t>
            </w:r>
          </w:p>
        </w:tc>
      </w:tr>
      <w:tr w:rsidR="00AB0037" w:rsidRPr="00D63CD7" w14:paraId="2B137658" w14:textId="77777777" w:rsidTr="00CD4847">
        <w:tc>
          <w:tcPr>
            <w:tcW w:w="1413" w:type="dxa"/>
          </w:tcPr>
          <w:p w14:paraId="24EB2FDD" w14:textId="354278B3" w:rsidR="008A0AC7" w:rsidRPr="00D63CD7" w:rsidRDefault="008A0AC7" w:rsidP="00B568FE">
            <w:pPr>
              <w:rPr>
                <w:sz w:val="20"/>
              </w:rPr>
            </w:pPr>
            <w:r>
              <w:rPr>
                <w:sz w:val="20"/>
              </w:rPr>
              <w:t>C AS</w:t>
            </w:r>
          </w:p>
        </w:tc>
        <w:tc>
          <w:tcPr>
            <w:tcW w:w="992" w:type="dxa"/>
          </w:tcPr>
          <w:p w14:paraId="6D98038E" w14:textId="6E129506" w:rsidR="008A0AC7" w:rsidRPr="00D63CD7" w:rsidRDefault="008A0AC7" w:rsidP="00B568FE">
            <w:pPr>
              <w:rPr>
                <w:sz w:val="20"/>
              </w:rPr>
            </w:pPr>
            <w:r>
              <w:rPr>
                <w:sz w:val="20"/>
              </w:rPr>
              <w:t>150</w:t>
            </w:r>
          </w:p>
        </w:tc>
        <w:tc>
          <w:tcPr>
            <w:tcW w:w="1134" w:type="dxa"/>
          </w:tcPr>
          <w:p w14:paraId="7BCD495B" w14:textId="77777777" w:rsidR="008A0AC7" w:rsidRPr="00D63CD7" w:rsidRDefault="008A0AC7" w:rsidP="00B568FE">
            <w:pPr>
              <w:rPr>
                <w:sz w:val="20"/>
              </w:rPr>
            </w:pPr>
            <w:r w:rsidRPr="00D63CD7">
              <w:rPr>
                <w:sz w:val="20"/>
              </w:rPr>
              <w:t>3,2</w:t>
            </w:r>
          </w:p>
        </w:tc>
        <w:tc>
          <w:tcPr>
            <w:tcW w:w="1418" w:type="dxa"/>
          </w:tcPr>
          <w:p w14:paraId="0D84221F" w14:textId="55F1B603" w:rsidR="008A0AC7" w:rsidRPr="00D63CD7" w:rsidRDefault="008A0AC7" w:rsidP="00B568FE">
            <w:pPr>
              <w:rPr>
                <w:sz w:val="20"/>
              </w:rPr>
            </w:pPr>
            <w:r w:rsidRPr="00D63CD7">
              <w:rPr>
                <w:sz w:val="20"/>
              </w:rPr>
              <w:t>23.08.201</w:t>
            </w:r>
            <w:r w:rsidR="004D6DA7">
              <w:rPr>
                <w:sz w:val="20"/>
              </w:rPr>
              <w:t>8</w:t>
            </w:r>
          </w:p>
        </w:tc>
        <w:tc>
          <w:tcPr>
            <w:tcW w:w="1134" w:type="dxa"/>
          </w:tcPr>
          <w:p w14:paraId="211DAEB2" w14:textId="49AD7427" w:rsidR="008A0AC7" w:rsidRPr="00D63CD7" w:rsidRDefault="008A0AC7" w:rsidP="00B568FE">
            <w:pPr>
              <w:rPr>
                <w:sz w:val="20"/>
              </w:rPr>
            </w:pPr>
            <w:r>
              <w:rPr>
                <w:sz w:val="20"/>
              </w:rPr>
              <w:t>480</w:t>
            </w:r>
          </w:p>
        </w:tc>
        <w:tc>
          <w:tcPr>
            <w:tcW w:w="1275" w:type="dxa"/>
          </w:tcPr>
          <w:p w14:paraId="0AC39552" w14:textId="5107C4DA" w:rsidR="008A0AC7" w:rsidRPr="00D63CD7" w:rsidRDefault="008A0AC7" w:rsidP="00B568FE">
            <w:pPr>
              <w:rPr>
                <w:sz w:val="20"/>
              </w:rPr>
            </w:pPr>
            <w:r>
              <w:rPr>
                <w:sz w:val="20"/>
              </w:rPr>
              <w:t>120,0</w:t>
            </w:r>
          </w:p>
        </w:tc>
        <w:tc>
          <w:tcPr>
            <w:tcW w:w="1843" w:type="dxa"/>
          </w:tcPr>
          <w:p w14:paraId="0C44162D" w14:textId="33D88179" w:rsidR="008A0AC7" w:rsidRPr="00D63CD7" w:rsidRDefault="008A0AC7" w:rsidP="00B568FE">
            <w:pPr>
              <w:rPr>
                <w:sz w:val="20"/>
              </w:rPr>
            </w:pPr>
            <w:r>
              <w:rPr>
                <w:sz w:val="20"/>
              </w:rPr>
              <w:t>48,0</w:t>
            </w:r>
          </w:p>
        </w:tc>
      </w:tr>
      <w:tr w:rsidR="00AB0037" w:rsidRPr="00D63CD7" w14:paraId="0AC3845E" w14:textId="77777777" w:rsidTr="00AB0037">
        <w:tc>
          <w:tcPr>
            <w:tcW w:w="7366" w:type="dxa"/>
            <w:gridSpan w:val="6"/>
          </w:tcPr>
          <w:p w14:paraId="24AFD813" w14:textId="151A350E" w:rsidR="00DA25F9" w:rsidRPr="00D63CD7" w:rsidRDefault="00DA25F9" w:rsidP="00B568FE">
            <w:pPr>
              <w:rPr>
                <w:b/>
                <w:sz w:val="20"/>
              </w:rPr>
            </w:pPr>
            <w:r w:rsidRPr="00D63CD7">
              <w:rPr>
                <w:b/>
                <w:sz w:val="20"/>
              </w:rPr>
              <w:t>Sum refusjonskrav</w:t>
            </w:r>
          </w:p>
        </w:tc>
        <w:tc>
          <w:tcPr>
            <w:tcW w:w="1843" w:type="dxa"/>
          </w:tcPr>
          <w:p w14:paraId="09011D08" w14:textId="35EA4FCF" w:rsidR="00DA25F9" w:rsidRPr="00D63CD7" w:rsidRDefault="00362A3F" w:rsidP="00B568FE">
            <w:pPr>
              <w:rPr>
                <w:b/>
                <w:sz w:val="20"/>
              </w:rPr>
            </w:pPr>
            <w:r>
              <w:rPr>
                <w:b/>
                <w:sz w:val="20"/>
              </w:rPr>
              <w:t>530,3</w:t>
            </w:r>
            <w:r w:rsidR="00AB0037">
              <w:rPr>
                <w:b/>
                <w:sz w:val="20"/>
              </w:rPr>
              <w:t xml:space="preserve"> NOK</w:t>
            </w:r>
          </w:p>
        </w:tc>
      </w:tr>
      <w:tr w:rsidR="00AB0037" w:rsidRPr="00D63CD7" w14:paraId="3C40B14A" w14:textId="77777777" w:rsidTr="00AB0037">
        <w:tc>
          <w:tcPr>
            <w:tcW w:w="7366" w:type="dxa"/>
            <w:gridSpan w:val="6"/>
          </w:tcPr>
          <w:p w14:paraId="09B9B011" w14:textId="5A40BD49" w:rsidR="00DA25F9" w:rsidRPr="00D63CD7" w:rsidRDefault="004D6DA7" w:rsidP="00B568FE">
            <w:pPr>
              <w:rPr>
                <w:b/>
                <w:sz w:val="20"/>
              </w:rPr>
            </w:pPr>
            <w:r>
              <w:rPr>
                <w:b/>
                <w:sz w:val="20"/>
              </w:rPr>
              <w:t xml:space="preserve">Totalsum rente </w:t>
            </w:r>
            <w:r w:rsidR="00DA25F9" w:rsidRPr="00D63CD7">
              <w:rPr>
                <w:b/>
                <w:sz w:val="20"/>
              </w:rPr>
              <w:t>– skattebetalingsloven § 11-4</w:t>
            </w:r>
            <w:r w:rsidR="00DA25F9">
              <w:rPr>
                <w:b/>
                <w:sz w:val="20"/>
              </w:rPr>
              <w:t xml:space="preserve"> første ledd</w:t>
            </w:r>
          </w:p>
        </w:tc>
        <w:tc>
          <w:tcPr>
            <w:tcW w:w="1843" w:type="dxa"/>
          </w:tcPr>
          <w:p w14:paraId="33A42C35" w14:textId="0C245ACB" w:rsidR="00DA25F9" w:rsidRPr="00D63CD7" w:rsidRDefault="00362A3F" w:rsidP="00B568FE">
            <w:pPr>
              <w:rPr>
                <w:b/>
                <w:sz w:val="20"/>
              </w:rPr>
            </w:pPr>
            <w:r>
              <w:rPr>
                <w:b/>
                <w:sz w:val="20"/>
              </w:rPr>
              <w:t>1,68</w:t>
            </w:r>
            <w:r w:rsidR="00AB0037">
              <w:rPr>
                <w:b/>
                <w:sz w:val="20"/>
              </w:rPr>
              <w:t xml:space="preserve"> NOK</w:t>
            </w:r>
          </w:p>
        </w:tc>
      </w:tr>
      <w:tr w:rsidR="00AB0037" w:rsidRPr="00D63CD7" w14:paraId="1804B411" w14:textId="77777777" w:rsidTr="00AB0037">
        <w:tc>
          <w:tcPr>
            <w:tcW w:w="7366" w:type="dxa"/>
            <w:gridSpan w:val="6"/>
          </w:tcPr>
          <w:p w14:paraId="18DE3B07" w14:textId="49E85F35" w:rsidR="00DA25F9" w:rsidRPr="00D63CD7" w:rsidRDefault="004D6DA7" w:rsidP="00B568FE">
            <w:pPr>
              <w:rPr>
                <w:b/>
                <w:sz w:val="20"/>
              </w:rPr>
            </w:pPr>
            <w:r>
              <w:rPr>
                <w:b/>
                <w:sz w:val="20"/>
              </w:rPr>
              <w:t>Totalsum rente</w:t>
            </w:r>
            <w:r w:rsidR="00DA25F9" w:rsidRPr="00D63CD7">
              <w:rPr>
                <w:b/>
                <w:sz w:val="20"/>
              </w:rPr>
              <w:t xml:space="preserve"> – skattebetalingsloven § 11-4</w:t>
            </w:r>
            <w:r w:rsidR="00DA25F9">
              <w:rPr>
                <w:b/>
                <w:sz w:val="20"/>
              </w:rPr>
              <w:t xml:space="preserve"> nytt sjette ledd</w:t>
            </w:r>
          </w:p>
        </w:tc>
        <w:tc>
          <w:tcPr>
            <w:tcW w:w="1843" w:type="dxa"/>
          </w:tcPr>
          <w:p w14:paraId="208B3889" w14:textId="680FF88A" w:rsidR="00DA25F9" w:rsidRPr="00D63CD7" w:rsidRDefault="00362A3F" w:rsidP="00B568FE">
            <w:pPr>
              <w:rPr>
                <w:b/>
                <w:sz w:val="20"/>
              </w:rPr>
            </w:pPr>
            <w:r>
              <w:rPr>
                <w:b/>
                <w:sz w:val="20"/>
              </w:rPr>
              <w:t>1,72</w:t>
            </w:r>
            <w:r w:rsidR="00AB0037">
              <w:rPr>
                <w:b/>
                <w:sz w:val="20"/>
              </w:rPr>
              <w:t xml:space="preserve"> NOK</w:t>
            </w:r>
          </w:p>
        </w:tc>
      </w:tr>
      <w:tr w:rsidR="00AB0037" w:rsidRPr="00D63CD7" w14:paraId="56CB8CA4" w14:textId="77777777" w:rsidTr="00AB0037">
        <w:tc>
          <w:tcPr>
            <w:tcW w:w="7366" w:type="dxa"/>
            <w:gridSpan w:val="6"/>
          </w:tcPr>
          <w:p w14:paraId="077CB0EB" w14:textId="29B15B70" w:rsidR="00DA25F9" w:rsidRPr="00D63CD7" w:rsidRDefault="004D6DA7" w:rsidP="00B568FE">
            <w:pPr>
              <w:rPr>
                <w:b/>
                <w:sz w:val="20"/>
              </w:rPr>
            </w:pPr>
            <w:r>
              <w:rPr>
                <w:b/>
                <w:sz w:val="20"/>
              </w:rPr>
              <w:t>Differanse rente</w:t>
            </w:r>
            <w:r w:rsidR="00DA25F9" w:rsidRPr="00D63CD7">
              <w:rPr>
                <w:b/>
                <w:sz w:val="20"/>
              </w:rPr>
              <w:t xml:space="preserve"> mellom § 11-</w:t>
            </w:r>
            <w:r w:rsidR="00DA25F9">
              <w:rPr>
                <w:b/>
                <w:sz w:val="20"/>
              </w:rPr>
              <w:t>4</w:t>
            </w:r>
            <w:r w:rsidR="00DA25F9" w:rsidRPr="00D63CD7">
              <w:rPr>
                <w:b/>
                <w:sz w:val="20"/>
              </w:rPr>
              <w:t xml:space="preserve"> </w:t>
            </w:r>
            <w:r w:rsidR="00DA25F9">
              <w:rPr>
                <w:b/>
                <w:sz w:val="20"/>
              </w:rPr>
              <w:t>første og nytt sjette ledd</w:t>
            </w:r>
          </w:p>
        </w:tc>
        <w:tc>
          <w:tcPr>
            <w:tcW w:w="1843" w:type="dxa"/>
          </w:tcPr>
          <w:p w14:paraId="559BD873" w14:textId="6DDEF4CF" w:rsidR="00DA25F9" w:rsidRPr="00D63CD7" w:rsidRDefault="00362A3F" w:rsidP="00B568FE">
            <w:pPr>
              <w:rPr>
                <w:b/>
                <w:sz w:val="20"/>
              </w:rPr>
            </w:pPr>
            <w:r>
              <w:rPr>
                <w:b/>
                <w:sz w:val="20"/>
              </w:rPr>
              <w:t>0,04</w:t>
            </w:r>
            <w:r w:rsidR="00AB0037">
              <w:rPr>
                <w:b/>
                <w:sz w:val="20"/>
              </w:rPr>
              <w:t xml:space="preserve"> NOK</w:t>
            </w:r>
          </w:p>
        </w:tc>
      </w:tr>
    </w:tbl>
    <w:p w14:paraId="03EE0A5D" w14:textId="77777777" w:rsidR="00380423" w:rsidRDefault="00380423" w:rsidP="009F1B32">
      <w:pPr>
        <w:rPr>
          <w:i/>
        </w:rPr>
      </w:pPr>
    </w:p>
    <w:p w14:paraId="3319C551" w14:textId="39F3C25C" w:rsidR="00EB701A" w:rsidRDefault="009F1B32" w:rsidP="00BC20CA">
      <w:r>
        <w:rPr>
          <w:i/>
        </w:rPr>
        <w:t>Eksempel</w:t>
      </w:r>
      <w:r w:rsidR="00380423">
        <w:rPr>
          <w:i/>
        </w:rPr>
        <w:t xml:space="preserve"> 2</w:t>
      </w:r>
      <w:r>
        <w:rPr>
          <w:i/>
        </w:rPr>
        <w:t xml:space="preserve"> </w:t>
      </w:r>
      <w:r w:rsidR="00ED0B84">
        <w:rPr>
          <w:i/>
        </w:rPr>
        <w:t xml:space="preserve">– </w:t>
      </w:r>
      <w:r>
        <w:rPr>
          <w:i/>
        </w:rPr>
        <w:t xml:space="preserve">refusjonssøknad </w:t>
      </w:r>
      <w:r w:rsidR="00380423">
        <w:rPr>
          <w:i/>
        </w:rPr>
        <w:t>fra</w:t>
      </w:r>
      <w:r>
        <w:rPr>
          <w:i/>
        </w:rPr>
        <w:t xml:space="preserve"> selskapsaksjonær</w:t>
      </w:r>
    </w:p>
    <w:tbl>
      <w:tblPr>
        <w:tblStyle w:val="Tabellrutenett"/>
        <w:tblW w:w="9209" w:type="dxa"/>
        <w:tblLook w:val="04A0" w:firstRow="1" w:lastRow="0" w:firstColumn="1" w:lastColumn="0" w:noHBand="0" w:noVBand="1"/>
      </w:tblPr>
      <w:tblGrid>
        <w:gridCol w:w="1470"/>
        <w:gridCol w:w="922"/>
        <w:gridCol w:w="1143"/>
        <w:gridCol w:w="1417"/>
        <w:gridCol w:w="1131"/>
        <w:gridCol w:w="1283"/>
        <w:gridCol w:w="1843"/>
      </w:tblGrid>
      <w:tr w:rsidR="003C7A9D" w:rsidRPr="00D63CD7" w14:paraId="32D9DD52" w14:textId="77777777" w:rsidTr="00CD4847">
        <w:tc>
          <w:tcPr>
            <w:tcW w:w="9209" w:type="dxa"/>
            <w:gridSpan w:val="7"/>
          </w:tcPr>
          <w:p w14:paraId="29476426" w14:textId="7BE44671" w:rsidR="003C7A9D" w:rsidRPr="00D63CD7" w:rsidRDefault="003C7A9D" w:rsidP="00AB0037">
            <w:pPr>
              <w:rPr>
                <w:b/>
                <w:sz w:val="20"/>
              </w:rPr>
            </w:pPr>
            <w:r w:rsidRPr="00D63CD7">
              <w:rPr>
                <w:b/>
                <w:sz w:val="20"/>
              </w:rPr>
              <w:t>Refus</w:t>
            </w:r>
            <w:r w:rsidR="004D6DA7">
              <w:rPr>
                <w:b/>
                <w:sz w:val="20"/>
              </w:rPr>
              <w:t>jonskrav utbytter mottatt i 2018</w:t>
            </w:r>
            <w:r w:rsidR="00AB0037">
              <w:rPr>
                <w:b/>
                <w:sz w:val="20"/>
              </w:rPr>
              <w:t xml:space="preserve"> – </w:t>
            </w:r>
            <w:r>
              <w:rPr>
                <w:b/>
                <w:sz w:val="20"/>
              </w:rPr>
              <w:t>selskapsaksjonær</w:t>
            </w:r>
          </w:p>
        </w:tc>
      </w:tr>
      <w:tr w:rsidR="00EE2313" w:rsidRPr="00D63CD7" w14:paraId="16AD555A" w14:textId="77777777" w:rsidTr="00CD4847">
        <w:tc>
          <w:tcPr>
            <w:tcW w:w="1470" w:type="dxa"/>
          </w:tcPr>
          <w:p w14:paraId="6B0C729F" w14:textId="77777777" w:rsidR="002A05C5" w:rsidRPr="00D63CD7" w:rsidRDefault="002A05C5" w:rsidP="002A05C5">
            <w:pPr>
              <w:rPr>
                <w:b/>
                <w:sz w:val="20"/>
              </w:rPr>
            </w:pPr>
            <w:r w:rsidRPr="00D63CD7">
              <w:rPr>
                <w:b/>
                <w:sz w:val="20"/>
              </w:rPr>
              <w:t>Utbetalende selskap</w:t>
            </w:r>
          </w:p>
        </w:tc>
        <w:tc>
          <w:tcPr>
            <w:tcW w:w="922" w:type="dxa"/>
          </w:tcPr>
          <w:p w14:paraId="579623D0" w14:textId="77777777" w:rsidR="002A05C5" w:rsidRPr="00D63CD7" w:rsidRDefault="002A05C5" w:rsidP="002A05C5">
            <w:pPr>
              <w:rPr>
                <w:b/>
                <w:sz w:val="20"/>
              </w:rPr>
            </w:pPr>
            <w:r w:rsidRPr="00D63CD7">
              <w:rPr>
                <w:b/>
                <w:sz w:val="20"/>
              </w:rPr>
              <w:t>Antall aksjer</w:t>
            </w:r>
          </w:p>
        </w:tc>
        <w:tc>
          <w:tcPr>
            <w:tcW w:w="1143" w:type="dxa"/>
          </w:tcPr>
          <w:p w14:paraId="5CA404F3" w14:textId="77777777" w:rsidR="002A05C5" w:rsidRDefault="002A05C5" w:rsidP="002A05C5">
            <w:pPr>
              <w:rPr>
                <w:b/>
                <w:sz w:val="20"/>
              </w:rPr>
            </w:pPr>
            <w:r w:rsidRPr="001E2AFC">
              <w:rPr>
                <w:b/>
                <w:sz w:val="20"/>
              </w:rPr>
              <w:t>Utbytte per aksje</w:t>
            </w:r>
          </w:p>
          <w:p w14:paraId="35E8CBB0" w14:textId="1FCFAECD" w:rsidR="00AB0037" w:rsidRPr="001E2AFC" w:rsidRDefault="00AB0037" w:rsidP="002A05C5">
            <w:pPr>
              <w:rPr>
                <w:b/>
                <w:sz w:val="20"/>
              </w:rPr>
            </w:pPr>
            <w:r>
              <w:rPr>
                <w:b/>
                <w:sz w:val="20"/>
              </w:rPr>
              <w:t>(NOK)</w:t>
            </w:r>
          </w:p>
        </w:tc>
        <w:tc>
          <w:tcPr>
            <w:tcW w:w="1417" w:type="dxa"/>
          </w:tcPr>
          <w:p w14:paraId="3EDAF2B5" w14:textId="5CFB45A8" w:rsidR="002A05C5" w:rsidRPr="00D63CD7" w:rsidRDefault="002A05C5" w:rsidP="002A05C5">
            <w:pPr>
              <w:rPr>
                <w:b/>
                <w:sz w:val="20"/>
              </w:rPr>
            </w:pPr>
            <w:r>
              <w:rPr>
                <w:b/>
                <w:sz w:val="20"/>
              </w:rPr>
              <w:t>Utbetalings</w:t>
            </w:r>
            <w:r w:rsidR="00EE2313">
              <w:rPr>
                <w:b/>
                <w:sz w:val="20"/>
              </w:rPr>
              <w:t>-</w:t>
            </w:r>
            <w:r>
              <w:rPr>
                <w:b/>
                <w:sz w:val="20"/>
              </w:rPr>
              <w:t>dato</w:t>
            </w:r>
          </w:p>
        </w:tc>
        <w:tc>
          <w:tcPr>
            <w:tcW w:w="1131" w:type="dxa"/>
          </w:tcPr>
          <w:p w14:paraId="529EAC74" w14:textId="77777777" w:rsidR="002A05C5" w:rsidRDefault="002A05C5" w:rsidP="002A05C5">
            <w:pPr>
              <w:rPr>
                <w:b/>
                <w:sz w:val="20"/>
              </w:rPr>
            </w:pPr>
            <w:r w:rsidRPr="00D63CD7">
              <w:rPr>
                <w:b/>
                <w:sz w:val="20"/>
              </w:rPr>
              <w:t>Totalt utbytte</w:t>
            </w:r>
          </w:p>
          <w:p w14:paraId="709DE670" w14:textId="38406E2C" w:rsidR="00AB0037" w:rsidRPr="00D63CD7" w:rsidRDefault="00AB0037" w:rsidP="002A05C5">
            <w:pPr>
              <w:rPr>
                <w:b/>
                <w:sz w:val="20"/>
              </w:rPr>
            </w:pPr>
            <w:r>
              <w:rPr>
                <w:b/>
                <w:sz w:val="20"/>
              </w:rPr>
              <w:t>(NOK)</w:t>
            </w:r>
          </w:p>
        </w:tc>
        <w:tc>
          <w:tcPr>
            <w:tcW w:w="1283" w:type="dxa"/>
          </w:tcPr>
          <w:p w14:paraId="749E4AF9" w14:textId="77777777" w:rsidR="002A05C5" w:rsidRPr="00D63CD7" w:rsidRDefault="002A05C5" w:rsidP="002A05C5">
            <w:pPr>
              <w:rPr>
                <w:b/>
                <w:sz w:val="20"/>
              </w:rPr>
            </w:pPr>
            <w:r w:rsidRPr="00D63CD7">
              <w:rPr>
                <w:b/>
                <w:sz w:val="20"/>
              </w:rPr>
              <w:t>Trukket kildeskatt 25%</w:t>
            </w:r>
          </w:p>
        </w:tc>
        <w:tc>
          <w:tcPr>
            <w:tcW w:w="1843" w:type="dxa"/>
          </w:tcPr>
          <w:p w14:paraId="3D92A095" w14:textId="77777777" w:rsidR="002A05C5" w:rsidRDefault="002A05C5" w:rsidP="002A05C5">
            <w:pPr>
              <w:rPr>
                <w:b/>
                <w:sz w:val="20"/>
              </w:rPr>
            </w:pPr>
            <w:r w:rsidRPr="00D63CD7">
              <w:rPr>
                <w:b/>
                <w:sz w:val="20"/>
              </w:rPr>
              <w:t>Sum refusjon 10%</w:t>
            </w:r>
          </w:p>
          <w:p w14:paraId="77AF2F0F" w14:textId="0D76B62D" w:rsidR="00AB0037" w:rsidRPr="00D63CD7" w:rsidRDefault="00AB0037" w:rsidP="002A05C5">
            <w:pPr>
              <w:rPr>
                <w:b/>
                <w:sz w:val="20"/>
              </w:rPr>
            </w:pPr>
            <w:r>
              <w:rPr>
                <w:b/>
                <w:sz w:val="20"/>
              </w:rPr>
              <w:t>(NOK)</w:t>
            </w:r>
          </w:p>
        </w:tc>
      </w:tr>
      <w:tr w:rsidR="00EE2313" w:rsidRPr="00D63CD7" w14:paraId="1BFD64D7" w14:textId="77777777" w:rsidTr="00CD4847">
        <w:tc>
          <w:tcPr>
            <w:tcW w:w="1470" w:type="dxa"/>
          </w:tcPr>
          <w:p w14:paraId="12B01DC3" w14:textId="77777777" w:rsidR="003C7A9D" w:rsidRPr="00D63CD7" w:rsidRDefault="003C7A9D" w:rsidP="00B568FE">
            <w:pPr>
              <w:rPr>
                <w:sz w:val="20"/>
              </w:rPr>
            </w:pPr>
            <w:r>
              <w:rPr>
                <w:sz w:val="20"/>
              </w:rPr>
              <w:t>A AS</w:t>
            </w:r>
          </w:p>
        </w:tc>
        <w:tc>
          <w:tcPr>
            <w:tcW w:w="922" w:type="dxa"/>
          </w:tcPr>
          <w:p w14:paraId="097280EF" w14:textId="77777777" w:rsidR="003C7A9D" w:rsidRPr="00D63CD7" w:rsidRDefault="003C7A9D" w:rsidP="00B568FE">
            <w:pPr>
              <w:rPr>
                <w:sz w:val="20"/>
              </w:rPr>
            </w:pPr>
            <w:r w:rsidRPr="00D63CD7">
              <w:rPr>
                <w:sz w:val="20"/>
              </w:rPr>
              <w:t>50000</w:t>
            </w:r>
          </w:p>
        </w:tc>
        <w:tc>
          <w:tcPr>
            <w:tcW w:w="1143" w:type="dxa"/>
          </w:tcPr>
          <w:p w14:paraId="08C9020E" w14:textId="77777777" w:rsidR="003C7A9D" w:rsidRPr="00D63CD7" w:rsidRDefault="003C7A9D" w:rsidP="00B568FE">
            <w:pPr>
              <w:rPr>
                <w:sz w:val="20"/>
              </w:rPr>
            </w:pPr>
            <w:r w:rsidRPr="00D63CD7">
              <w:rPr>
                <w:sz w:val="20"/>
              </w:rPr>
              <w:t>1,8</w:t>
            </w:r>
          </w:p>
        </w:tc>
        <w:tc>
          <w:tcPr>
            <w:tcW w:w="1417" w:type="dxa"/>
          </w:tcPr>
          <w:p w14:paraId="22609387" w14:textId="4A3A4F62" w:rsidR="003C7A9D" w:rsidRPr="00D63CD7" w:rsidRDefault="003C7A9D" w:rsidP="00B568FE">
            <w:pPr>
              <w:rPr>
                <w:sz w:val="20"/>
              </w:rPr>
            </w:pPr>
            <w:r w:rsidRPr="00D63CD7">
              <w:rPr>
                <w:sz w:val="20"/>
              </w:rPr>
              <w:t>07.04.201</w:t>
            </w:r>
            <w:r w:rsidR="004D6DA7">
              <w:rPr>
                <w:sz w:val="20"/>
              </w:rPr>
              <w:t>8</w:t>
            </w:r>
          </w:p>
        </w:tc>
        <w:tc>
          <w:tcPr>
            <w:tcW w:w="1131" w:type="dxa"/>
          </w:tcPr>
          <w:p w14:paraId="6E085D9C" w14:textId="77777777" w:rsidR="003C7A9D" w:rsidRPr="00D63CD7" w:rsidRDefault="003C7A9D" w:rsidP="00B568FE">
            <w:pPr>
              <w:rPr>
                <w:sz w:val="20"/>
              </w:rPr>
            </w:pPr>
            <w:r w:rsidRPr="00D63CD7">
              <w:rPr>
                <w:sz w:val="20"/>
              </w:rPr>
              <w:t>89500</w:t>
            </w:r>
          </w:p>
        </w:tc>
        <w:tc>
          <w:tcPr>
            <w:tcW w:w="1283" w:type="dxa"/>
          </w:tcPr>
          <w:p w14:paraId="51FC1305" w14:textId="77777777" w:rsidR="003C7A9D" w:rsidRPr="00D63CD7" w:rsidRDefault="003C7A9D" w:rsidP="00B568FE">
            <w:pPr>
              <w:rPr>
                <w:sz w:val="20"/>
              </w:rPr>
            </w:pPr>
            <w:r w:rsidRPr="00D63CD7">
              <w:rPr>
                <w:sz w:val="20"/>
              </w:rPr>
              <w:t>22375,0</w:t>
            </w:r>
          </w:p>
        </w:tc>
        <w:tc>
          <w:tcPr>
            <w:tcW w:w="1843" w:type="dxa"/>
          </w:tcPr>
          <w:p w14:paraId="4E728FA4" w14:textId="77777777" w:rsidR="003C7A9D" w:rsidRPr="00D63CD7" w:rsidRDefault="003C7A9D" w:rsidP="00B568FE">
            <w:pPr>
              <w:rPr>
                <w:sz w:val="20"/>
              </w:rPr>
            </w:pPr>
            <w:r w:rsidRPr="00D63CD7">
              <w:rPr>
                <w:sz w:val="20"/>
              </w:rPr>
              <w:t>8950,0</w:t>
            </w:r>
          </w:p>
        </w:tc>
      </w:tr>
      <w:tr w:rsidR="00EE2313" w:rsidRPr="00D63CD7" w14:paraId="695AA5DD" w14:textId="77777777" w:rsidTr="00CD4847">
        <w:tc>
          <w:tcPr>
            <w:tcW w:w="1470" w:type="dxa"/>
          </w:tcPr>
          <w:p w14:paraId="631252E9" w14:textId="77777777" w:rsidR="003C7A9D" w:rsidRPr="00D63CD7" w:rsidRDefault="003C7A9D" w:rsidP="00B568FE">
            <w:pPr>
              <w:rPr>
                <w:sz w:val="20"/>
              </w:rPr>
            </w:pPr>
            <w:r>
              <w:rPr>
                <w:sz w:val="20"/>
              </w:rPr>
              <w:t>A AS</w:t>
            </w:r>
          </w:p>
        </w:tc>
        <w:tc>
          <w:tcPr>
            <w:tcW w:w="922" w:type="dxa"/>
          </w:tcPr>
          <w:p w14:paraId="5103A76F" w14:textId="77777777" w:rsidR="003C7A9D" w:rsidRPr="00D63CD7" w:rsidRDefault="003C7A9D" w:rsidP="00B568FE">
            <w:pPr>
              <w:rPr>
                <w:sz w:val="20"/>
              </w:rPr>
            </w:pPr>
            <w:r w:rsidRPr="00D63CD7">
              <w:rPr>
                <w:sz w:val="20"/>
              </w:rPr>
              <w:t>300000</w:t>
            </w:r>
          </w:p>
        </w:tc>
        <w:tc>
          <w:tcPr>
            <w:tcW w:w="1143" w:type="dxa"/>
          </w:tcPr>
          <w:p w14:paraId="143B31A8" w14:textId="77777777" w:rsidR="003C7A9D" w:rsidRPr="00D63CD7" w:rsidRDefault="003C7A9D" w:rsidP="00B568FE">
            <w:pPr>
              <w:rPr>
                <w:sz w:val="20"/>
              </w:rPr>
            </w:pPr>
            <w:r w:rsidRPr="00D63CD7">
              <w:rPr>
                <w:sz w:val="20"/>
              </w:rPr>
              <w:t>1,7</w:t>
            </w:r>
          </w:p>
        </w:tc>
        <w:tc>
          <w:tcPr>
            <w:tcW w:w="1417" w:type="dxa"/>
          </w:tcPr>
          <w:p w14:paraId="3DECB5D3" w14:textId="047625FD" w:rsidR="003C7A9D" w:rsidRPr="00D63CD7" w:rsidRDefault="003C7A9D" w:rsidP="00B568FE">
            <w:pPr>
              <w:rPr>
                <w:sz w:val="20"/>
              </w:rPr>
            </w:pPr>
            <w:r w:rsidRPr="00D63CD7">
              <w:rPr>
                <w:sz w:val="20"/>
              </w:rPr>
              <w:t>23.06.201</w:t>
            </w:r>
            <w:r w:rsidR="004D6DA7">
              <w:rPr>
                <w:sz w:val="20"/>
              </w:rPr>
              <w:t>8</w:t>
            </w:r>
          </w:p>
        </w:tc>
        <w:tc>
          <w:tcPr>
            <w:tcW w:w="1131" w:type="dxa"/>
          </w:tcPr>
          <w:p w14:paraId="3D08378B" w14:textId="77777777" w:rsidR="003C7A9D" w:rsidRPr="00D63CD7" w:rsidRDefault="003C7A9D" w:rsidP="00B568FE">
            <w:pPr>
              <w:rPr>
                <w:sz w:val="20"/>
              </w:rPr>
            </w:pPr>
            <w:r w:rsidRPr="00D63CD7">
              <w:rPr>
                <w:sz w:val="20"/>
              </w:rPr>
              <w:t>522000</w:t>
            </w:r>
          </w:p>
        </w:tc>
        <w:tc>
          <w:tcPr>
            <w:tcW w:w="1283" w:type="dxa"/>
          </w:tcPr>
          <w:p w14:paraId="7F47ABCE" w14:textId="77777777" w:rsidR="003C7A9D" w:rsidRPr="00D63CD7" w:rsidRDefault="003C7A9D" w:rsidP="00B568FE">
            <w:pPr>
              <w:rPr>
                <w:sz w:val="20"/>
              </w:rPr>
            </w:pPr>
            <w:r w:rsidRPr="00D63CD7">
              <w:rPr>
                <w:sz w:val="20"/>
              </w:rPr>
              <w:t>130500,0</w:t>
            </w:r>
          </w:p>
        </w:tc>
        <w:tc>
          <w:tcPr>
            <w:tcW w:w="1843" w:type="dxa"/>
          </w:tcPr>
          <w:p w14:paraId="7B96F5A5" w14:textId="77777777" w:rsidR="003C7A9D" w:rsidRPr="00D63CD7" w:rsidRDefault="003C7A9D" w:rsidP="00B568FE">
            <w:pPr>
              <w:rPr>
                <w:sz w:val="20"/>
              </w:rPr>
            </w:pPr>
            <w:r w:rsidRPr="00D63CD7">
              <w:rPr>
                <w:sz w:val="20"/>
              </w:rPr>
              <w:t>52200,0</w:t>
            </w:r>
          </w:p>
        </w:tc>
      </w:tr>
      <w:tr w:rsidR="00EE2313" w:rsidRPr="00D63CD7" w14:paraId="0CDF6D09" w14:textId="77777777" w:rsidTr="00CD4847">
        <w:tc>
          <w:tcPr>
            <w:tcW w:w="1470" w:type="dxa"/>
          </w:tcPr>
          <w:p w14:paraId="5599F0EA" w14:textId="77777777" w:rsidR="003C7A9D" w:rsidRPr="00D63CD7" w:rsidRDefault="003C7A9D" w:rsidP="00B568FE">
            <w:pPr>
              <w:rPr>
                <w:sz w:val="20"/>
              </w:rPr>
            </w:pPr>
            <w:r>
              <w:rPr>
                <w:sz w:val="20"/>
              </w:rPr>
              <w:t>A AS</w:t>
            </w:r>
          </w:p>
        </w:tc>
        <w:tc>
          <w:tcPr>
            <w:tcW w:w="922" w:type="dxa"/>
          </w:tcPr>
          <w:p w14:paraId="0DBC34DA" w14:textId="77777777" w:rsidR="003C7A9D" w:rsidRPr="00D63CD7" w:rsidRDefault="003C7A9D" w:rsidP="00B568FE">
            <w:pPr>
              <w:rPr>
                <w:sz w:val="20"/>
              </w:rPr>
            </w:pPr>
            <w:r w:rsidRPr="00D63CD7">
              <w:rPr>
                <w:sz w:val="20"/>
              </w:rPr>
              <w:t>40000</w:t>
            </w:r>
          </w:p>
        </w:tc>
        <w:tc>
          <w:tcPr>
            <w:tcW w:w="1143" w:type="dxa"/>
          </w:tcPr>
          <w:p w14:paraId="08443BA2" w14:textId="77777777" w:rsidR="003C7A9D" w:rsidRPr="00D63CD7" w:rsidRDefault="003C7A9D" w:rsidP="00B568FE">
            <w:pPr>
              <w:rPr>
                <w:sz w:val="20"/>
              </w:rPr>
            </w:pPr>
            <w:r w:rsidRPr="00D63CD7">
              <w:rPr>
                <w:sz w:val="20"/>
              </w:rPr>
              <w:t>1,8</w:t>
            </w:r>
          </w:p>
        </w:tc>
        <w:tc>
          <w:tcPr>
            <w:tcW w:w="1417" w:type="dxa"/>
          </w:tcPr>
          <w:p w14:paraId="3CB05E50" w14:textId="081A9D51" w:rsidR="003C7A9D" w:rsidRPr="00D63CD7" w:rsidRDefault="003C7A9D" w:rsidP="00B568FE">
            <w:pPr>
              <w:rPr>
                <w:sz w:val="20"/>
              </w:rPr>
            </w:pPr>
            <w:r w:rsidRPr="00D63CD7">
              <w:rPr>
                <w:sz w:val="20"/>
              </w:rPr>
              <w:t>18.12.201</w:t>
            </w:r>
            <w:r w:rsidR="004D6DA7">
              <w:rPr>
                <w:sz w:val="20"/>
              </w:rPr>
              <w:t>8</w:t>
            </w:r>
          </w:p>
        </w:tc>
        <w:tc>
          <w:tcPr>
            <w:tcW w:w="1131" w:type="dxa"/>
          </w:tcPr>
          <w:p w14:paraId="551F0033" w14:textId="77777777" w:rsidR="003C7A9D" w:rsidRPr="00D63CD7" w:rsidRDefault="003C7A9D" w:rsidP="00B568FE">
            <w:pPr>
              <w:rPr>
                <w:sz w:val="20"/>
              </w:rPr>
            </w:pPr>
            <w:r w:rsidRPr="00D63CD7">
              <w:rPr>
                <w:sz w:val="20"/>
              </w:rPr>
              <w:t>73200</w:t>
            </w:r>
          </w:p>
        </w:tc>
        <w:tc>
          <w:tcPr>
            <w:tcW w:w="1283" w:type="dxa"/>
          </w:tcPr>
          <w:p w14:paraId="215775E7" w14:textId="77777777" w:rsidR="003C7A9D" w:rsidRPr="00D63CD7" w:rsidRDefault="003C7A9D" w:rsidP="00B568FE">
            <w:pPr>
              <w:rPr>
                <w:sz w:val="20"/>
              </w:rPr>
            </w:pPr>
            <w:r w:rsidRPr="00D63CD7">
              <w:rPr>
                <w:sz w:val="20"/>
              </w:rPr>
              <w:t>18300,0</w:t>
            </w:r>
          </w:p>
        </w:tc>
        <w:tc>
          <w:tcPr>
            <w:tcW w:w="1843" w:type="dxa"/>
          </w:tcPr>
          <w:p w14:paraId="3352DC6F" w14:textId="77777777" w:rsidR="003C7A9D" w:rsidRPr="00D63CD7" w:rsidRDefault="003C7A9D" w:rsidP="00B568FE">
            <w:pPr>
              <w:rPr>
                <w:sz w:val="20"/>
              </w:rPr>
            </w:pPr>
            <w:r w:rsidRPr="00D63CD7">
              <w:rPr>
                <w:sz w:val="20"/>
              </w:rPr>
              <w:t>7320,0</w:t>
            </w:r>
          </w:p>
        </w:tc>
      </w:tr>
      <w:tr w:rsidR="00EE2313" w:rsidRPr="00D63CD7" w14:paraId="136B9583" w14:textId="77777777" w:rsidTr="00CD4847">
        <w:tc>
          <w:tcPr>
            <w:tcW w:w="1470" w:type="dxa"/>
          </w:tcPr>
          <w:p w14:paraId="7266BC85" w14:textId="77777777" w:rsidR="003C7A9D" w:rsidRPr="00D63CD7" w:rsidRDefault="003C7A9D" w:rsidP="00B568FE">
            <w:pPr>
              <w:rPr>
                <w:sz w:val="20"/>
              </w:rPr>
            </w:pPr>
            <w:r>
              <w:rPr>
                <w:sz w:val="20"/>
              </w:rPr>
              <w:t>B AS</w:t>
            </w:r>
          </w:p>
        </w:tc>
        <w:tc>
          <w:tcPr>
            <w:tcW w:w="922" w:type="dxa"/>
          </w:tcPr>
          <w:p w14:paraId="6A5B3ABE" w14:textId="77777777" w:rsidR="003C7A9D" w:rsidRPr="00D63CD7" w:rsidRDefault="003C7A9D" w:rsidP="00B568FE">
            <w:pPr>
              <w:rPr>
                <w:sz w:val="20"/>
              </w:rPr>
            </w:pPr>
            <w:r w:rsidRPr="00D63CD7">
              <w:rPr>
                <w:sz w:val="20"/>
              </w:rPr>
              <w:t>56000</w:t>
            </w:r>
          </w:p>
        </w:tc>
        <w:tc>
          <w:tcPr>
            <w:tcW w:w="1143" w:type="dxa"/>
          </w:tcPr>
          <w:p w14:paraId="48E971C0" w14:textId="77777777" w:rsidR="003C7A9D" w:rsidRPr="00D63CD7" w:rsidRDefault="003C7A9D" w:rsidP="00B568FE">
            <w:pPr>
              <w:rPr>
                <w:sz w:val="20"/>
              </w:rPr>
            </w:pPr>
            <w:r w:rsidRPr="00D63CD7">
              <w:rPr>
                <w:sz w:val="20"/>
              </w:rPr>
              <w:t>2,6</w:t>
            </w:r>
          </w:p>
        </w:tc>
        <w:tc>
          <w:tcPr>
            <w:tcW w:w="1417" w:type="dxa"/>
          </w:tcPr>
          <w:p w14:paraId="3EBDADB7" w14:textId="4F4E5CA2" w:rsidR="003C7A9D" w:rsidRPr="00D63CD7" w:rsidRDefault="003C7A9D" w:rsidP="00B568FE">
            <w:pPr>
              <w:rPr>
                <w:sz w:val="20"/>
              </w:rPr>
            </w:pPr>
            <w:r w:rsidRPr="00D63CD7">
              <w:rPr>
                <w:sz w:val="20"/>
              </w:rPr>
              <w:t>03.05.201</w:t>
            </w:r>
            <w:r w:rsidR="004D6DA7">
              <w:rPr>
                <w:sz w:val="20"/>
              </w:rPr>
              <w:t>8</w:t>
            </w:r>
          </w:p>
        </w:tc>
        <w:tc>
          <w:tcPr>
            <w:tcW w:w="1131" w:type="dxa"/>
          </w:tcPr>
          <w:p w14:paraId="0DBE0C97" w14:textId="77777777" w:rsidR="003C7A9D" w:rsidRPr="00D63CD7" w:rsidRDefault="003C7A9D" w:rsidP="00B568FE">
            <w:pPr>
              <w:rPr>
                <w:sz w:val="20"/>
              </w:rPr>
            </w:pPr>
            <w:r w:rsidRPr="00D63CD7">
              <w:rPr>
                <w:sz w:val="20"/>
              </w:rPr>
              <w:t>145600</w:t>
            </w:r>
          </w:p>
        </w:tc>
        <w:tc>
          <w:tcPr>
            <w:tcW w:w="1283" w:type="dxa"/>
          </w:tcPr>
          <w:p w14:paraId="4EF5BECB" w14:textId="77777777" w:rsidR="003C7A9D" w:rsidRPr="00D63CD7" w:rsidRDefault="003C7A9D" w:rsidP="00B568FE">
            <w:pPr>
              <w:rPr>
                <w:sz w:val="20"/>
              </w:rPr>
            </w:pPr>
            <w:r w:rsidRPr="00D63CD7">
              <w:rPr>
                <w:sz w:val="20"/>
              </w:rPr>
              <w:t>36400,0</w:t>
            </w:r>
          </w:p>
        </w:tc>
        <w:tc>
          <w:tcPr>
            <w:tcW w:w="1843" w:type="dxa"/>
          </w:tcPr>
          <w:p w14:paraId="44A54597" w14:textId="77777777" w:rsidR="003C7A9D" w:rsidRPr="00D63CD7" w:rsidRDefault="003C7A9D" w:rsidP="00B568FE">
            <w:pPr>
              <w:rPr>
                <w:sz w:val="20"/>
              </w:rPr>
            </w:pPr>
            <w:r w:rsidRPr="00D63CD7">
              <w:rPr>
                <w:sz w:val="20"/>
              </w:rPr>
              <w:t>14560,0</w:t>
            </w:r>
          </w:p>
        </w:tc>
      </w:tr>
      <w:tr w:rsidR="00EE2313" w:rsidRPr="00D63CD7" w14:paraId="78F766E2" w14:textId="77777777" w:rsidTr="00CD4847">
        <w:tc>
          <w:tcPr>
            <w:tcW w:w="1470" w:type="dxa"/>
          </w:tcPr>
          <w:p w14:paraId="21538C65" w14:textId="77777777" w:rsidR="003C7A9D" w:rsidRPr="00D63CD7" w:rsidRDefault="003C7A9D" w:rsidP="00B568FE">
            <w:pPr>
              <w:rPr>
                <w:sz w:val="20"/>
              </w:rPr>
            </w:pPr>
            <w:r>
              <w:rPr>
                <w:sz w:val="20"/>
              </w:rPr>
              <w:t>C AS</w:t>
            </w:r>
          </w:p>
        </w:tc>
        <w:tc>
          <w:tcPr>
            <w:tcW w:w="922" w:type="dxa"/>
          </w:tcPr>
          <w:p w14:paraId="1D3DD550" w14:textId="77777777" w:rsidR="003C7A9D" w:rsidRPr="00D63CD7" w:rsidRDefault="003C7A9D" w:rsidP="00B568FE">
            <w:pPr>
              <w:rPr>
                <w:sz w:val="20"/>
              </w:rPr>
            </w:pPr>
            <w:r w:rsidRPr="00D63CD7">
              <w:rPr>
                <w:sz w:val="20"/>
              </w:rPr>
              <w:t>6780</w:t>
            </w:r>
          </w:p>
        </w:tc>
        <w:tc>
          <w:tcPr>
            <w:tcW w:w="1143" w:type="dxa"/>
          </w:tcPr>
          <w:p w14:paraId="682D10A3" w14:textId="77777777" w:rsidR="003C7A9D" w:rsidRPr="00D63CD7" w:rsidRDefault="003C7A9D" w:rsidP="00B568FE">
            <w:pPr>
              <w:rPr>
                <w:sz w:val="20"/>
              </w:rPr>
            </w:pPr>
            <w:r w:rsidRPr="00D63CD7">
              <w:rPr>
                <w:sz w:val="20"/>
              </w:rPr>
              <w:t>3,2</w:t>
            </w:r>
          </w:p>
        </w:tc>
        <w:tc>
          <w:tcPr>
            <w:tcW w:w="1417" w:type="dxa"/>
          </w:tcPr>
          <w:p w14:paraId="23E42E5C" w14:textId="322EE1C1" w:rsidR="003C7A9D" w:rsidRPr="00D63CD7" w:rsidRDefault="003C7A9D" w:rsidP="00B568FE">
            <w:pPr>
              <w:rPr>
                <w:sz w:val="20"/>
              </w:rPr>
            </w:pPr>
            <w:r w:rsidRPr="00D63CD7">
              <w:rPr>
                <w:sz w:val="20"/>
              </w:rPr>
              <w:t>23.08.201</w:t>
            </w:r>
            <w:r w:rsidR="004D6DA7">
              <w:rPr>
                <w:sz w:val="20"/>
              </w:rPr>
              <w:t>8</w:t>
            </w:r>
          </w:p>
        </w:tc>
        <w:tc>
          <w:tcPr>
            <w:tcW w:w="1131" w:type="dxa"/>
          </w:tcPr>
          <w:p w14:paraId="03D33D8B" w14:textId="77777777" w:rsidR="003C7A9D" w:rsidRPr="00D63CD7" w:rsidRDefault="003C7A9D" w:rsidP="00B568FE">
            <w:pPr>
              <w:rPr>
                <w:sz w:val="20"/>
              </w:rPr>
            </w:pPr>
            <w:r w:rsidRPr="00D63CD7">
              <w:rPr>
                <w:sz w:val="20"/>
              </w:rPr>
              <w:t>21696</w:t>
            </w:r>
          </w:p>
        </w:tc>
        <w:tc>
          <w:tcPr>
            <w:tcW w:w="1283" w:type="dxa"/>
          </w:tcPr>
          <w:p w14:paraId="59ECA0DC" w14:textId="77777777" w:rsidR="003C7A9D" w:rsidRPr="00D63CD7" w:rsidRDefault="003C7A9D" w:rsidP="00B568FE">
            <w:pPr>
              <w:rPr>
                <w:sz w:val="20"/>
              </w:rPr>
            </w:pPr>
            <w:r w:rsidRPr="00D63CD7">
              <w:rPr>
                <w:sz w:val="20"/>
              </w:rPr>
              <w:t>5424,0</w:t>
            </w:r>
          </w:p>
        </w:tc>
        <w:tc>
          <w:tcPr>
            <w:tcW w:w="1843" w:type="dxa"/>
          </w:tcPr>
          <w:p w14:paraId="65E40DEF" w14:textId="77777777" w:rsidR="003C7A9D" w:rsidRPr="00D63CD7" w:rsidRDefault="003C7A9D" w:rsidP="00B568FE">
            <w:pPr>
              <w:rPr>
                <w:sz w:val="20"/>
              </w:rPr>
            </w:pPr>
            <w:r w:rsidRPr="00D63CD7">
              <w:rPr>
                <w:sz w:val="20"/>
              </w:rPr>
              <w:t>2169,6</w:t>
            </w:r>
          </w:p>
        </w:tc>
      </w:tr>
      <w:tr w:rsidR="003C7A9D" w:rsidRPr="00D63CD7" w14:paraId="23D15683" w14:textId="77777777" w:rsidTr="00CD4847">
        <w:tc>
          <w:tcPr>
            <w:tcW w:w="7366" w:type="dxa"/>
            <w:gridSpan w:val="6"/>
          </w:tcPr>
          <w:p w14:paraId="4632DCDE" w14:textId="77777777" w:rsidR="003C7A9D" w:rsidRPr="00D63CD7" w:rsidRDefault="003C7A9D" w:rsidP="00B568FE">
            <w:pPr>
              <w:rPr>
                <w:b/>
                <w:sz w:val="20"/>
              </w:rPr>
            </w:pPr>
            <w:r w:rsidRPr="00D63CD7">
              <w:rPr>
                <w:b/>
                <w:sz w:val="20"/>
              </w:rPr>
              <w:t>Sum refusjonskrav</w:t>
            </w:r>
          </w:p>
        </w:tc>
        <w:tc>
          <w:tcPr>
            <w:tcW w:w="1843" w:type="dxa"/>
          </w:tcPr>
          <w:p w14:paraId="285018BA" w14:textId="1776B5B3" w:rsidR="003C7A9D" w:rsidRPr="00D63CD7" w:rsidRDefault="003C7A9D" w:rsidP="00B568FE">
            <w:pPr>
              <w:rPr>
                <w:b/>
                <w:sz w:val="20"/>
              </w:rPr>
            </w:pPr>
            <w:r w:rsidRPr="00D63CD7">
              <w:rPr>
                <w:b/>
                <w:sz w:val="20"/>
              </w:rPr>
              <w:t>85199,6</w:t>
            </w:r>
            <w:r w:rsidR="00AB0037">
              <w:rPr>
                <w:b/>
                <w:sz w:val="20"/>
              </w:rPr>
              <w:t xml:space="preserve"> (NOK)</w:t>
            </w:r>
          </w:p>
        </w:tc>
      </w:tr>
      <w:tr w:rsidR="003C7A9D" w:rsidRPr="00D63CD7" w14:paraId="6F6501DB" w14:textId="77777777" w:rsidTr="00CD4847">
        <w:tc>
          <w:tcPr>
            <w:tcW w:w="7366" w:type="dxa"/>
            <w:gridSpan w:val="6"/>
          </w:tcPr>
          <w:p w14:paraId="30F0A93F" w14:textId="7303B71A" w:rsidR="003C7A9D" w:rsidRPr="00D63CD7" w:rsidRDefault="004D6DA7" w:rsidP="00B568FE">
            <w:pPr>
              <w:rPr>
                <w:b/>
                <w:sz w:val="20"/>
              </w:rPr>
            </w:pPr>
            <w:r>
              <w:rPr>
                <w:b/>
                <w:sz w:val="20"/>
              </w:rPr>
              <w:t>Totalsum rente</w:t>
            </w:r>
            <w:r w:rsidR="003C7A9D" w:rsidRPr="00D63CD7">
              <w:rPr>
                <w:b/>
                <w:sz w:val="20"/>
              </w:rPr>
              <w:t xml:space="preserve"> – skattebetalingsloven § 11-4</w:t>
            </w:r>
            <w:r w:rsidR="003C7A9D">
              <w:rPr>
                <w:b/>
                <w:sz w:val="20"/>
              </w:rPr>
              <w:t xml:space="preserve"> første ledd</w:t>
            </w:r>
          </w:p>
        </w:tc>
        <w:tc>
          <w:tcPr>
            <w:tcW w:w="1843" w:type="dxa"/>
          </w:tcPr>
          <w:p w14:paraId="1B999E92" w14:textId="6EFA0F3B" w:rsidR="003C7A9D" w:rsidRPr="00D63CD7" w:rsidRDefault="003C7A9D" w:rsidP="00B568FE">
            <w:pPr>
              <w:rPr>
                <w:b/>
                <w:sz w:val="20"/>
              </w:rPr>
            </w:pPr>
            <w:r w:rsidRPr="00D63CD7">
              <w:rPr>
                <w:b/>
                <w:sz w:val="20"/>
              </w:rPr>
              <w:t>250,55</w:t>
            </w:r>
            <w:r w:rsidR="00AB0037">
              <w:rPr>
                <w:b/>
                <w:sz w:val="20"/>
              </w:rPr>
              <w:t xml:space="preserve"> (NOK)</w:t>
            </w:r>
          </w:p>
        </w:tc>
      </w:tr>
      <w:tr w:rsidR="003C7A9D" w:rsidRPr="00D63CD7" w14:paraId="54DFF40C" w14:textId="77777777" w:rsidTr="00CD4847">
        <w:tc>
          <w:tcPr>
            <w:tcW w:w="7366" w:type="dxa"/>
            <w:gridSpan w:val="6"/>
          </w:tcPr>
          <w:p w14:paraId="11051EF4" w14:textId="196FD822" w:rsidR="003C7A9D" w:rsidRPr="00D63CD7" w:rsidRDefault="004D6DA7" w:rsidP="00B568FE">
            <w:pPr>
              <w:rPr>
                <w:b/>
                <w:sz w:val="20"/>
              </w:rPr>
            </w:pPr>
            <w:r>
              <w:rPr>
                <w:b/>
                <w:sz w:val="20"/>
              </w:rPr>
              <w:t>Totalsum rente</w:t>
            </w:r>
            <w:r w:rsidR="003C7A9D" w:rsidRPr="00D63CD7">
              <w:rPr>
                <w:b/>
                <w:sz w:val="20"/>
              </w:rPr>
              <w:t xml:space="preserve"> – skattebetalingsloven § 11-4</w:t>
            </w:r>
            <w:r w:rsidR="003C7A9D">
              <w:rPr>
                <w:b/>
                <w:sz w:val="20"/>
              </w:rPr>
              <w:t xml:space="preserve"> nytt sjette ledd</w:t>
            </w:r>
          </w:p>
        </w:tc>
        <w:tc>
          <w:tcPr>
            <w:tcW w:w="1843" w:type="dxa"/>
          </w:tcPr>
          <w:p w14:paraId="0C813BCE" w14:textId="651ACE05" w:rsidR="003C7A9D" w:rsidRPr="00D63CD7" w:rsidRDefault="003C7A9D" w:rsidP="00B568FE">
            <w:pPr>
              <w:rPr>
                <w:b/>
                <w:sz w:val="20"/>
              </w:rPr>
            </w:pPr>
            <w:r w:rsidRPr="00D63CD7">
              <w:rPr>
                <w:b/>
                <w:sz w:val="20"/>
              </w:rPr>
              <w:t>276,61</w:t>
            </w:r>
            <w:r w:rsidR="00AB0037">
              <w:rPr>
                <w:b/>
                <w:sz w:val="20"/>
              </w:rPr>
              <w:t xml:space="preserve"> (NOK)</w:t>
            </w:r>
          </w:p>
        </w:tc>
      </w:tr>
      <w:tr w:rsidR="003C7A9D" w:rsidRPr="00D63CD7" w14:paraId="0CC04E47" w14:textId="77777777" w:rsidTr="00CD4847">
        <w:tc>
          <w:tcPr>
            <w:tcW w:w="7366" w:type="dxa"/>
            <w:gridSpan w:val="6"/>
          </w:tcPr>
          <w:p w14:paraId="2EA262A0" w14:textId="1B5E4659" w:rsidR="003C7A9D" w:rsidRPr="00D63CD7" w:rsidRDefault="004D6DA7" w:rsidP="00B568FE">
            <w:pPr>
              <w:rPr>
                <w:b/>
                <w:sz w:val="20"/>
              </w:rPr>
            </w:pPr>
            <w:r>
              <w:rPr>
                <w:b/>
                <w:sz w:val="20"/>
              </w:rPr>
              <w:t>Differanse rente</w:t>
            </w:r>
            <w:r w:rsidR="003C7A9D" w:rsidRPr="00D63CD7">
              <w:rPr>
                <w:b/>
                <w:sz w:val="20"/>
              </w:rPr>
              <w:t xml:space="preserve"> mellom § 11-</w:t>
            </w:r>
            <w:r w:rsidR="003C7A9D">
              <w:rPr>
                <w:b/>
                <w:sz w:val="20"/>
              </w:rPr>
              <w:t>4</w:t>
            </w:r>
            <w:r w:rsidR="003C7A9D" w:rsidRPr="00D63CD7">
              <w:rPr>
                <w:b/>
                <w:sz w:val="20"/>
              </w:rPr>
              <w:t xml:space="preserve"> </w:t>
            </w:r>
            <w:r w:rsidR="003C7A9D">
              <w:rPr>
                <w:b/>
                <w:sz w:val="20"/>
              </w:rPr>
              <w:t>første og nytt sjette ledd</w:t>
            </w:r>
          </w:p>
        </w:tc>
        <w:tc>
          <w:tcPr>
            <w:tcW w:w="1843" w:type="dxa"/>
          </w:tcPr>
          <w:p w14:paraId="26AE6E0A" w14:textId="2475A866" w:rsidR="003C7A9D" w:rsidRPr="00D63CD7" w:rsidRDefault="003C7A9D" w:rsidP="00B568FE">
            <w:pPr>
              <w:rPr>
                <w:b/>
                <w:sz w:val="20"/>
              </w:rPr>
            </w:pPr>
            <w:r w:rsidRPr="00D63CD7">
              <w:rPr>
                <w:b/>
                <w:sz w:val="20"/>
              </w:rPr>
              <w:t>26,06</w:t>
            </w:r>
            <w:r w:rsidR="00AB0037">
              <w:rPr>
                <w:b/>
                <w:sz w:val="20"/>
              </w:rPr>
              <w:t xml:space="preserve"> (NOK)</w:t>
            </w:r>
          </w:p>
        </w:tc>
      </w:tr>
    </w:tbl>
    <w:p w14:paraId="2D617B19" w14:textId="1A1A0285" w:rsidR="003C7A9D" w:rsidRDefault="003C7A9D" w:rsidP="00BC20CA"/>
    <w:p w14:paraId="5E657E54" w14:textId="5492E0E8" w:rsidR="0085720B" w:rsidRDefault="00DF6149" w:rsidP="00670375">
      <w:r>
        <w:t>Eksemple</w:t>
      </w:r>
      <w:r w:rsidRPr="004B5D95">
        <w:t xml:space="preserve">ne viser at differansen </w:t>
      </w:r>
      <w:r w:rsidR="004B5D95" w:rsidRPr="004B5D95">
        <w:t>i beregnet rente er liten etter gjeldende rett og forslaget</w:t>
      </w:r>
      <w:r w:rsidR="00764D4B">
        <w:t xml:space="preserve">. </w:t>
      </w:r>
      <w:r w:rsidR="00C12189">
        <w:t>For en person</w:t>
      </w:r>
      <w:r w:rsidR="00CD5F62">
        <w:t>lig aksjonær</w:t>
      </w:r>
      <w:r w:rsidR="00C12189">
        <w:t xml:space="preserve"> som har </w:t>
      </w:r>
      <w:r w:rsidR="00CD4847">
        <w:t>mottatt</w:t>
      </w:r>
      <w:r w:rsidR="00C12189">
        <w:t xml:space="preserve"> utbytte </w:t>
      </w:r>
      <w:r w:rsidR="00CD4847">
        <w:t xml:space="preserve">på totalt </w:t>
      </w:r>
      <w:r w:rsidR="00670375">
        <w:t xml:space="preserve">5 302,5 kroner i </w:t>
      </w:r>
      <w:r w:rsidR="00C12189">
        <w:t>perio</w:t>
      </w:r>
      <w:r w:rsidR="00670375">
        <w:t xml:space="preserve">den 7. april til 18. desember, blir differansen 0,04 kroner </w:t>
      </w:r>
      <w:r w:rsidR="002C62E7">
        <w:t>(rentefordel for aksjonæren)</w:t>
      </w:r>
      <w:r w:rsidR="00670375">
        <w:t xml:space="preserve">. </w:t>
      </w:r>
      <w:r w:rsidR="00C12189">
        <w:t xml:space="preserve">For </w:t>
      </w:r>
      <w:r w:rsidR="00670375">
        <w:t xml:space="preserve">en selskapsaksjonær </w:t>
      </w:r>
      <w:r w:rsidR="00C12189">
        <w:t xml:space="preserve">som har </w:t>
      </w:r>
      <w:r w:rsidR="00670375">
        <w:t xml:space="preserve">mottatt </w:t>
      </w:r>
      <w:r w:rsidR="00C12189">
        <w:t xml:space="preserve">utbytte på totalt </w:t>
      </w:r>
      <w:r w:rsidR="00670375">
        <w:t>851</w:t>
      </w:r>
      <w:r w:rsidR="00670375">
        <w:rPr>
          <w:rFonts w:ascii="Cambria" w:hAnsi="Cambria" w:cs="Cambria"/>
        </w:rPr>
        <w:t> </w:t>
      </w:r>
      <w:r w:rsidR="00670375">
        <w:t>996 kroner i samme periode</w:t>
      </w:r>
      <w:r w:rsidR="00C12189">
        <w:t>, er differansen på 26,06 kroner</w:t>
      </w:r>
      <w:r w:rsidR="002C62E7">
        <w:t xml:space="preserve"> (rentefordel for aksjonæren)</w:t>
      </w:r>
      <w:r w:rsidR="00C12189">
        <w:t xml:space="preserve">. </w:t>
      </w:r>
    </w:p>
    <w:p w14:paraId="4017C0E1" w14:textId="77777777" w:rsidR="0085720B" w:rsidRDefault="0085720B" w:rsidP="00F70F0A"/>
    <w:p w14:paraId="29BBD4D7" w14:textId="534EE636" w:rsidR="00F70F0A" w:rsidRDefault="00F70F0A" w:rsidP="00F70F0A">
      <w:pPr>
        <w:rPr>
          <w:b/>
        </w:rPr>
      </w:pPr>
      <w:r>
        <w:t xml:space="preserve">Departementet fremhever </w:t>
      </w:r>
      <w:r w:rsidR="00377DB4">
        <w:t>avslutningsvis</w:t>
      </w:r>
      <w:r>
        <w:t xml:space="preserve"> at det gjeldende starttidspunktet for renteberegning ved refusjon av kildeskatt på utbytte kun har vært i kraft siden 1. januar 2017. Frem til dette gjaldt særregelen i skattebetalingsloven § 11-4 annet ledd annet punktum om at renter skulle beregnes fra tidspunktet det ferdige skatteoppgjøret etter ordinær avregning ble sendt det utbytteutdelende selskapet, som ble praktisert slik at starttidspunktet var den samme datoen for alle utbytter mottatt fra alle selskaper innenfor samme skattleggingsperiode (inntektsår).</w:t>
      </w:r>
      <w:r w:rsidR="00E2046D" w:rsidRPr="00E2046D">
        <w:t xml:space="preserve"> </w:t>
      </w:r>
      <w:r w:rsidR="00E2046D">
        <w:t>Skatteoppgjøret ble sendt til det utdelende selskapet på høsten.</w:t>
      </w:r>
      <w:r>
        <w:t xml:space="preserve"> </w:t>
      </w:r>
      <w:r w:rsidR="0069017E">
        <w:t>F</w:t>
      </w:r>
      <w:r>
        <w:t>orslag</w:t>
      </w:r>
      <w:r w:rsidR="0069017E">
        <w:t>et</w:t>
      </w:r>
      <w:r>
        <w:t xml:space="preserve"> </w:t>
      </w:r>
      <w:r w:rsidR="0043085A">
        <w:t>om at renter skal b</w:t>
      </w:r>
      <w:r w:rsidR="009145AA">
        <w:t>e</w:t>
      </w:r>
      <w:r w:rsidR="0043085A">
        <w:t xml:space="preserve">regnes fra og med 1. juli, </w:t>
      </w:r>
      <w:r>
        <w:t xml:space="preserve">innebærer at en går tilbake til </w:t>
      </w:r>
      <w:r w:rsidR="006F4A27">
        <w:t>at</w:t>
      </w:r>
      <w:r>
        <w:t xml:space="preserve"> starttidspunktet er det samme for alle utbytter mottatt innenfor samme inntektsår.</w:t>
      </w:r>
      <w:r w:rsidR="0043085A">
        <w:t xml:space="preserve"> Etter forslaget skal det beregnes renter for en lengre periode enn det som gjaldt </w:t>
      </w:r>
      <w:r w:rsidR="006F4A27">
        <w:t>frem til 2017</w:t>
      </w:r>
      <w:r w:rsidR="00E2046D">
        <w:t xml:space="preserve">, </w:t>
      </w:r>
      <w:r w:rsidR="009145AA">
        <w:t>d</w:t>
      </w:r>
      <w:r w:rsidR="00FB540D">
        <w:t>a</w:t>
      </w:r>
      <w:r w:rsidR="009145AA">
        <w:t xml:space="preserve"> renter ble beregnet fra </w:t>
      </w:r>
      <w:r w:rsidR="00E2046D">
        <w:t>et tidspunkt på høsten.</w:t>
      </w:r>
    </w:p>
    <w:p w14:paraId="0F5583BF" w14:textId="77777777" w:rsidR="007A61D5" w:rsidRDefault="007A61D5" w:rsidP="00F70F0A"/>
    <w:p w14:paraId="42FD65A9" w14:textId="4F727CEC" w:rsidR="00F70F0A" w:rsidRDefault="00F70F0A" w:rsidP="00F70F0A">
      <w:r>
        <w:t xml:space="preserve">Departementet viser til forslag til </w:t>
      </w:r>
      <w:r w:rsidR="0025462C">
        <w:t xml:space="preserve">skattebetalingsloven </w:t>
      </w:r>
      <w:r>
        <w:t xml:space="preserve">§ 11-4 </w:t>
      </w:r>
      <w:r w:rsidR="0025462C">
        <w:t>nytt sjette ledd</w:t>
      </w:r>
      <w:r>
        <w:t>.</w:t>
      </w:r>
    </w:p>
    <w:p w14:paraId="56FCB436" w14:textId="363FA409" w:rsidR="00743A16" w:rsidRDefault="00743A16" w:rsidP="001D0FD4">
      <w:pPr>
        <w:pStyle w:val="Overskrift1"/>
      </w:pPr>
      <w:bookmarkStart w:id="9" w:name="_Toc528666578"/>
      <w:r>
        <w:t>Ikraftsetting</w:t>
      </w:r>
      <w:bookmarkEnd w:id="9"/>
    </w:p>
    <w:p w14:paraId="39653D4D" w14:textId="3941A457" w:rsidR="00A212F7" w:rsidRDefault="00A212F7" w:rsidP="00A212F7">
      <w:r>
        <w:t>Departementet tar sikte på å fremme</w:t>
      </w:r>
      <w:r w:rsidR="00ED1698">
        <w:t xml:space="preserve"> lovforslaget</w:t>
      </w:r>
      <w:r w:rsidR="005C498F">
        <w:t xml:space="preserve"> for Stortinget</w:t>
      </w:r>
      <w:r w:rsidR="00F812A5">
        <w:t xml:space="preserve"> </w:t>
      </w:r>
      <w:r w:rsidR="00BF7254">
        <w:t>i revidert nasjonalbudsjett for 2019</w:t>
      </w:r>
      <w:r>
        <w:t>. Lovendringe</w:t>
      </w:r>
      <w:r w:rsidR="00743A16">
        <w:t>ne</w:t>
      </w:r>
      <w:r>
        <w:t xml:space="preserve"> kan da tre i kraft </w:t>
      </w:r>
      <w:r w:rsidR="00355150">
        <w:t xml:space="preserve">1. juli 2019 med virkning for </w:t>
      </w:r>
      <w:r w:rsidR="00300884">
        <w:t>vedtak om refusjon som fattes fra og med denne datoen</w:t>
      </w:r>
      <w:r w:rsidR="00355150">
        <w:t>.</w:t>
      </w:r>
      <w:r w:rsidR="00355150" w:rsidDel="00355150">
        <w:t xml:space="preserve"> </w:t>
      </w:r>
    </w:p>
    <w:p w14:paraId="48688E54" w14:textId="7FA8A87E" w:rsidR="003E7661" w:rsidRPr="00344A9A" w:rsidRDefault="00A212F7" w:rsidP="009E7E3A">
      <w:pPr>
        <w:pStyle w:val="Overskrift1"/>
        <w:numPr>
          <w:ilvl w:val="0"/>
          <w:numId w:val="1"/>
        </w:numPr>
      </w:pPr>
      <w:bookmarkStart w:id="10" w:name="_Toc427932808"/>
      <w:bookmarkStart w:id="11" w:name="_Toc528666579"/>
      <w:r>
        <w:t>Økonomiske og administrative konsekvenser</w:t>
      </w:r>
      <w:bookmarkEnd w:id="10"/>
      <w:bookmarkEnd w:id="11"/>
    </w:p>
    <w:p w14:paraId="3991E202" w14:textId="7E0EA8D6" w:rsidR="00742FC1" w:rsidRDefault="00172E74" w:rsidP="00A71CD6">
      <w:r>
        <w:t xml:space="preserve">Forslaget </w:t>
      </w:r>
      <w:r w:rsidR="00742FC1">
        <w:t xml:space="preserve">innebærer en </w:t>
      </w:r>
      <w:r w:rsidR="0074312A">
        <w:t xml:space="preserve">administrativ </w:t>
      </w:r>
      <w:r w:rsidR="00742FC1">
        <w:t xml:space="preserve">forenkling av renteberegningen ved refusjon av kildeskatt. Ved å sette starttidspunktet for renteberegningen til samme dato for alle utbytter mottatt innenfor samme inntektsår, reduseres </w:t>
      </w:r>
      <w:r w:rsidR="005A1936">
        <w:t xml:space="preserve">etatens </w:t>
      </w:r>
      <w:r w:rsidR="0074312A">
        <w:t xml:space="preserve">tidsbruk </w:t>
      </w:r>
      <w:r w:rsidR="005A1936">
        <w:t xml:space="preserve">knyttet til saker om refusjon av kildeskatt. </w:t>
      </w:r>
      <w:r w:rsidR="009D411D">
        <w:t xml:space="preserve">Forslaget </w:t>
      </w:r>
      <w:r w:rsidR="0074312A">
        <w:t xml:space="preserve">vil </w:t>
      </w:r>
      <w:r w:rsidR="009D411D">
        <w:t xml:space="preserve">således </w:t>
      </w:r>
      <w:r>
        <w:t xml:space="preserve">medføre </w:t>
      </w:r>
      <w:r w:rsidR="0074312A">
        <w:t xml:space="preserve">kostnadsbesparelser og </w:t>
      </w:r>
      <w:r>
        <w:t xml:space="preserve">raskere </w:t>
      </w:r>
      <w:r w:rsidR="003E70C8">
        <w:t>saksbehandling</w:t>
      </w:r>
      <w:r w:rsidR="0074312A">
        <w:t>. Dette kan igjen medføre</w:t>
      </w:r>
      <w:r w:rsidR="003E70C8">
        <w:t xml:space="preserve"> raskere utbetaling til aksjonærene. </w:t>
      </w:r>
    </w:p>
    <w:p w14:paraId="60FEF995" w14:textId="1C63E86D" w:rsidR="00F45081" w:rsidRDefault="00F45081" w:rsidP="00A71CD6"/>
    <w:p w14:paraId="3EC11830" w14:textId="48DC6943" w:rsidR="00F45081" w:rsidRDefault="0069017E" w:rsidP="00A212F7">
      <w:r>
        <w:t>Etter departementets vurdering vil f</w:t>
      </w:r>
      <w:r w:rsidR="0074312A">
        <w:t>orslaget</w:t>
      </w:r>
      <w:r>
        <w:t xml:space="preserve"> samlet sett ikke </w:t>
      </w:r>
      <w:r w:rsidR="00795A83">
        <w:t xml:space="preserve">ha noen provenymessig virkning. I de fleste tilfellene vil forslaget også ha liten økonomisk betydning for den enkelte aksjonær. </w:t>
      </w:r>
      <w:r w:rsidR="00F45081">
        <w:t>Departementet viser til vurderingene</w:t>
      </w:r>
      <w:r w:rsidR="00795A83">
        <w:t xml:space="preserve"> i</w:t>
      </w:r>
      <w:r w:rsidR="00F45081">
        <w:t xml:space="preserve"> punkt </w:t>
      </w:r>
      <w:r w:rsidR="00F45081">
        <w:fldChar w:fldCharType="begin"/>
      </w:r>
      <w:r w:rsidR="00F45081">
        <w:instrText xml:space="preserve"> REF _Ref524963431 \r \h </w:instrText>
      </w:r>
      <w:r w:rsidR="00F45081">
        <w:fldChar w:fldCharType="separate"/>
      </w:r>
      <w:r w:rsidR="003241FC">
        <w:t>3</w:t>
      </w:r>
      <w:r w:rsidR="00F45081">
        <w:fldChar w:fldCharType="end"/>
      </w:r>
      <w:r w:rsidR="00F45081">
        <w:t>.</w:t>
      </w:r>
    </w:p>
    <w:p w14:paraId="3FEF642F" w14:textId="45D47AD7" w:rsidR="00A212F7" w:rsidRDefault="00A212F7" w:rsidP="00A212F7">
      <w:pPr>
        <w:pStyle w:val="Overskrift1"/>
        <w:numPr>
          <w:ilvl w:val="0"/>
          <w:numId w:val="1"/>
        </w:numPr>
      </w:pPr>
      <w:bookmarkStart w:id="12" w:name="_Toc427932809"/>
      <w:bookmarkStart w:id="13" w:name="_Toc528666580"/>
      <w:r>
        <w:t>Forslag til lovtekst</w:t>
      </w:r>
      <w:bookmarkEnd w:id="12"/>
      <w:bookmarkEnd w:id="13"/>
    </w:p>
    <w:p w14:paraId="126A9A23" w14:textId="26055B82" w:rsidR="00381E39" w:rsidRDefault="00381E39" w:rsidP="005D00F8">
      <w:pPr>
        <w:jc w:val="center"/>
        <w:rPr>
          <w:lang w:val="nn-NO"/>
        </w:rPr>
      </w:pPr>
      <w:r w:rsidRPr="00054C30">
        <w:t>I</w:t>
      </w:r>
    </w:p>
    <w:p w14:paraId="2A8E9EA2" w14:textId="0E95CFBB" w:rsidR="00604523" w:rsidRDefault="0093224A" w:rsidP="00A212F7">
      <w:pPr>
        <w:rPr>
          <w:lang w:val="nn-NO"/>
        </w:rPr>
      </w:pPr>
      <w:r w:rsidRPr="0093224A">
        <w:rPr>
          <w:lang w:val="nn-NO"/>
        </w:rPr>
        <w:t xml:space="preserve">I lov 17. juni 2005 nr. 67 om betaling og innkreving av </w:t>
      </w:r>
      <w:r>
        <w:rPr>
          <w:lang w:val="nn-NO"/>
        </w:rPr>
        <w:t>skat</w:t>
      </w:r>
      <w:r w:rsidR="001F1193">
        <w:rPr>
          <w:lang w:val="nn-NO"/>
        </w:rPr>
        <w:t>t</w:t>
      </w:r>
      <w:r>
        <w:rPr>
          <w:lang w:val="nn-NO"/>
        </w:rPr>
        <w:t xml:space="preserve">e- og avgiftskrav (skattebetalingsloven) </w:t>
      </w:r>
      <w:r w:rsidR="00381E39">
        <w:rPr>
          <w:lang w:val="nn-NO"/>
        </w:rPr>
        <w:t>skal § 11-4 nytt sjette ledd lyde</w:t>
      </w:r>
      <w:r w:rsidR="00604523">
        <w:rPr>
          <w:lang w:val="nn-NO"/>
        </w:rPr>
        <w:t>:</w:t>
      </w:r>
    </w:p>
    <w:p w14:paraId="657935C3" w14:textId="01AEEB96" w:rsidR="00604523" w:rsidRDefault="00347D0C" w:rsidP="00A212F7">
      <w:pPr>
        <w:rPr>
          <w:lang w:val="nn-NO"/>
        </w:rPr>
      </w:pPr>
      <w:r>
        <w:rPr>
          <w:lang w:val="nn-NO"/>
        </w:rPr>
        <w:t xml:space="preserve"> </w:t>
      </w:r>
    </w:p>
    <w:p w14:paraId="2659C6FF" w14:textId="5627176C" w:rsidR="0093224A" w:rsidRDefault="001F1193" w:rsidP="00C026C5">
      <w:pPr>
        <w:ind w:firstLine="567"/>
        <w:rPr>
          <w:i/>
        </w:rPr>
      </w:pPr>
      <w:r w:rsidRPr="002732EB">
        <w:rPr>
          <w:i/>
        </w:rPr>
        <w:t xml:space="preserve">(6) </w:t>
      </w:r>
      <w:r w:rsidR="00663392" w:rsidRPr="002732EB">
        <w:rPr>
          <w:i/>
        </w:rPr>
        <w:t xml:space="preserve">Ved </w:t>
      </w:r>
      <w:r w:rsidR="006E45C1">
        <w:rPr>
          <w:i/>
        </w:rPr>
        <w:t>refusjon</w:t>
      </w:r>
      <w:r w:rsidR="006E45C1" w:rsidRPr="002732EB">
        <w:rPr>
          <w:i/>
        </w:rPr>
        <w:t xml:space="preserve"> </w:t>
      </w:r>
      <w:r w:rsidR="00663392" w:rsidRPr="002732EB">
        <w:rPr>
          <w:i/>
        </w:rPr>
        <w:t xml:space="preserve">av for mye betalt kildeskatt på utbytte til </w:t>
      </w:r>
      <w:r w:rsidR="00347D0C" w:rsidRPr="002732EB">
        <w:rPr>
          <w:i/>
        </w:rPr>
        <w:t xml:space="preserve">utenlandsk </w:t>
      </w:r>
      <w:r w:rsidR="00663392" w:rsidRPr="002732EB">
        <w:rPr>
          <w:i/>
        </w:rPr>
        <w:t>aksjonær, jf. skatteforvaltningsloven § 9-6, skal det beregnes renter fra 1. juli i inntektsåret og frem til forfallstidspunktet i § 10-60.</w:t>
      </w:r>
    </w:p>
    <w:p w14:paraId="082C2F9F" w14:textId="77777777" w:rsidR="005D00F8" w:rsidRPr="005D00F8" w:rsidRDefault="005D00F8" w:rsidP="00A212F7">
      <w:pPr>
        <w:rPr>
          <w:i/>
        </w:rPr>
      </w:pPr>
    </w:p>
    <w:p w14:paraId="550C8A15" w14:textId="4A45D79C" w:rsidR="00297631" w:rsidRDefault="00EC4F96" w:rsidP="00EC4F96">
      <w:pPr>
        <w:spacing w:line="276" w:lineRule="auto"/>
        <w:jc w:val="center"/>
      </w:pPr>
      <w:r>
        <w:t>II</w:t>
      </w:r>
    </w:p>
    <w:p w14:paraId="226AB15C" w14:textId="287CEDCE" w:rsidR="00181613" w:rsidRDefault="0057007E" w:rsidP="007837FD">
      <w:pPr>
        <w:spacing w:line="276" w:lineRule="auto"/>
      </w:pPr>
      <w:r>
        <w:t xml:space="preserve">Endringen under I </w:t>
      </w:r>
      <w:r w:rsidR="00EC4F96">
        <w:t xml:space="preserve">trer i kraft </w:t>
      </w:r>
      <w:r w:rsidR="00952A93">
        <w:t xml:space="preserve">1. juli 2019 med virkning for </w:t>
      </w:r>
      <w:r w:rsidR="00952A93" w:rsidRPr="00AE7EF1">
        <w:t>vedtak om refusjon som fattes fra og med denne datoen</w:t>
      </w:r>
      <w:r w:rsidR="00952A93">
        <w:t>.</w:t>
      </w:r>
      <w:r w:rsidR="001C1F1B">
        <w:t xml:space="preserve"> </w:t>
      </w:r>
    </w:p>
    <w:p w14:paraId="46A24ED5" w14:textId="77777777" w:rsidR="00181613" w:rsidRDefault="00181613" w:rsidP="009330B5">
      <w:pPr>
        <w:spacing w:line="276" w:lineRule="auto"/>
      </w:pPr>
    </w:p>
    <w:sectPr w:rsidR="00181613" w:rsidSect="007E17F7">
      <w:type w:val="continuous"/>
      <w:pgSz w:w="11907" w:h="16840" w:code="9"/>
      <w:pgMar w:top="1276" w:right="1134" w:bottom="1701" w:left="1701" w:header="567" w:footer="718"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A9BC6D" w14:textId="77777777" w:rsidR="006D0F37" w:rsidRDefault="006D0F37">
      <w:r>
        <w:separator/>
      </w:r>
    </w:p>
  </w:endnote>
  <w:endnote w:type="continuationSeparator" w:id="0">
    <w:p w14:paraId="211AE2D3" w14:textId="77777777" w:rsidR="006D0F37" w:rsidRDefault="006D0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pCentury Old Style">
    <w:panose1 w:val="02030603060405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E3178" w14:textId="3709E281" w:rsidR="00F70F0A" w:rsidRDefault="00F70F0A" w:rsidP="0002465F">
    <w:pPr>
      <w:pStyle w:val="Bunntekst"/>
      <w:tabs>
        <w:tab w:val="clear" w:pos="9072"/>
        <w:tab w:val="right" w:pos="7938"/>
      </w:tabs>
      <w:ind w:left="-1134"/>
      <w:jc w:val="center"/>
    </w:pPr>
    <w:r>
      <w:t xml:space="preserve">Side </w:t>
    </w:r>
    <w:r>
      <w:rPr>
        <w:rStyle w:val="Sidetall"/>
      </w:rPr>
      <w:fldChar w:fldCharType="begin"/>
    </w:r>
    <w:r>
      <w:rPr>
        <w:rStyle w:val="Sidetall"/>
      </w:rPr>
      <w:instrText xml:space="preserve"> PAGE </w:instrText>
    </w:r>
    <w:r>
      <w:rPr>
        <w:rStyle w:val="Sidetall"/>
      </w:rPr>
      <w:fldChar w:fldCharType="separate"/>
    </w:r>
    <w:r w:rsidR="00D93B1E">
      <w:rPr>
        <w:rStyle w:val="Sidetall"/>
        <w:noProof/>
      </w:rPr>
      <w:t>12</w:t>
    </w:r>
    <w:r>
      <w:rPr>
        <w:rStyle w:val="Sidetal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E0182A" w14:textId="77777777" w:rsidR="006D0F37" w:rsidRDefault="006D0F37">
      <w:r>
        <w:separator/>
      </w:r>
    </w:p>
  </w:footnote>
  <w:footnote w:type="continuationSeparator" w:id="0">
    <w:p w14:paraId="10B13A68" w14:textId="77777777" w:rsidR="006D0F37" w:rsidRDefault="006D0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13033" w14:textId="77777777" w:rsidR="00F70F0A" w:rsidRDefault="00F70F0A">
    <w:pPr>
      <w:pStyle w:val="Topptekst"/>
      <w:spacing w:after="140"/>
      <w:ind w:left="-1559"/>
      <w:jc w:val="center"/>
    </w:pPr>
    <w:r>
      <w:rPr>
        <w:noProof/>
      </w:rPr>
      <w:drawing>
        <wp:inline distT="0" distB="0" distL="0" distR="0" wp14:anchorId="3BF424E2" wp14:editId="2037CFFD">
          <wp:extent cx="2125345" cy="66421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5345" cy="664210"/>
                  </a:xfrm>
                  <a:prstGeom prst="rect">
                    <a:avLst/>
                  </a:prstGeom>
                  <a:noFill/>
                  <a:ln>
                    <a:noFill/>
                  </a:ln>
                </pic:spPr>
              </pic:pic>
            </a:graphicData>
          </a:graphic>
        </wp:inline>
      </w:drawing>
    </w:r>
  </w:p>
  <w:p w14:paraId="59E2EA65" w14:textId="77777777" w:rsidR="00F70F0A" w:rsidRDefault="00F70F0A">
    <w:pPr>
      <w:pStyle w:val="Topptekst"/>
      <w:rPr>
        <w:sz w:val="16"/>
      </w:rPr>
    </w:pPr>
  </w:p>
  <w:p w14:paraId="714704AC" w14:textId="77777777" w:rsidR="00F70F0A" w:rsidRDefault="006D0F37" w:rsidP="00FF7361">
    <w:pPr>
      <w:pBdr>
        <w:between w:val="single" w:sz="4" w:space="1" w:color="auto"/>
      </w:pBdr>
      <w:spacing w:after="360" w:line="240" w:lineRule="auto"/>
      <w:ind w:left="-28"/>
      <w:rPr>
        <w:b/>
        <w:sz w:val="32"/>
      </w:rPr>
    </w:pPr>
    <w:r>
      <w:rPr>
        <w:b/>
        <w:sz w:val="32"/>
      </w:rPr>
      <w:pict w14:anchorId="1832E73E">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671403F0"/>
    <w:lvl w:ilvl="0">
      <w:start w:val="1"/>
      <w:numFmt w:val="decimal"/>
      <w:pStyle w:val="Overskrift1"/>
      <w:lvlText w:val="%1"/>
      <w:lvlJc w:val="left"/>
      <w:pPr>
        <w:ind w:left="360" w:hanging="360"/>
      </w:pPr>
      <w:rPr>
        <w:rFonts w:hint="default"/>
        <w:b/>
        <w:i w:val="0"/>
        <w:sz w:val="23"/>
      </w:rPr>
    </w:lvl>
    <w:lvl w:ilvl="1">
      <w:start w:val="1"/>
      <w:numFmt w:val="decimal"/>
      <w:pStyle w:val="Overskrift2"/>
      <w:lvlText w:val="%1.%2"/>
      <w:legacy w:legacy="1" w:legacySpace="57" w:legacyIndent="0"/>
      <w:lvlJc w:val="left"/>
      <w:pPr>
        <w:ind w:left="0" w:firstLine="0"/>
      </w:pPr>
      <w:rPr>
        <w:rFonts w:ascii="Times New Roman" w:hAnsi="Times New Roman" w:hint="default"/>
        <w:b/>
        <w:i w:val="0"/>
        <w:sz w:val="23"/>
      </w:rPr>
    </w:lvl>
    <w:lvl w:ilvl="2">
      <w:start w:val="1"/>
      <w:numFmt w:val="decimal"/>
      <w:pStyle w:val="Overskrift3"/>
      <w:lvlText w:val="%1.%2.%3"/>
      <w:legacy w:legacy="1" w:legacySpace="57" w:legacyIndent="0"/>
      <w:lvlJc w:val="left"/>
      <w:pPr>
        <w:ind w:left="567" w:firstLine="0"/>
      </w:pPr>
      <w:rPr>
        <w:rFonts w:ascii="Times New Roman" w:hAnsi="Times New Roman" w:hint="default"/>
        <w:b/>
        <w:i w:val="0"/>
        <w:sz w:val="23"/>
      </w:rPr>
    </w:lvl>
    <w:lvl w:ilvl="3">
      <w:start w:val="1"/>
      <w:numFmt w:val="decimal"/>
      <w:pStyle w:val="Overskrift4"/>
      <w:lvlText w:val="%1.%2.%3.%4"/>
      <w:legacy w:legacy="1" w:legacySpace="57" w:legacyIndent="0"/>
      <w:lvlJc w:val="left"/>
      <w:pPr>
        <w:ind w:left="1134" w:firstLine="0"/>
      </w:pPr>
      <w:rPr>
        <w:rFonts w:ascii="Times New Roman" w:hAnsi="Times New Roman" w:hint="default"/>
        <w:b/>
        <w:i w:val="0"/>
        <w:sz w:val="23"/>
      </w:rPr>
    </w:lvl>
    <w:lvl w:ilvl="4">
      <w:start w:val="1"/>
      <w:numFmt w:val="decimal"/>
      <w:pStyle w:val="Overskrift5"/>
      <w:lvlText w:val="%1.%2.%3.%4.%5"/>
      <w:legacy w:legacy="1" w:legacySpace="57" w:legacyIndent="0"/>
      <w:lvlJc w:val="left"/>
      <w:pPr>
        <w:ind w:left="1134" w:firstLine="0"/>
      </w:pPr>
      <w:rPr>
        <w:rFonts w:ascii="Times New Roman" w:hAnsi="Times New Roman" w:hint="default"/>
        <w:b/>
        <w:i w:val="0"/>
        <w:sz w:val="23"/>
      </w:rPr>
    </w:lvl>
    <w:lvl w:ilvl="5">
      <w:start w:val="1"/>
      <w:numFmt w:val="decimal"/>
      <w:pStyle w:val="Overskrift6"/>
      <w:lvlText w:val="%1.%2.%3.%4.%5.%6"/>
      <w:legacy w:legacy="1" w:legacySpace="144" w:legacyIndent="0"/>
      <w:lvlJc w:val="left"/>
    </w:lvl>
    <w:lvl w:ilvl="6">
      <w:start w:val="1"/>
      <w:numFmt w:val="decimal"/>
      <w:pStyle w:val="Overskrift7"/>
      <w:lvlText w:val="%1.%2.%3.%4.%5.%6.%7"/>
      <w:legacy w:legacy="1" w:legacySpace="144" w:legacyIndent="0"/>
      <w:lvlJc w:val="left"/>
    </w:lvl>
    <w:lvl w:ilvl="7">
      <w:start w:val="1"/>
      <w:numFmt w:val="decimal"/>
      <w:pStyle w:val="Overskrift8"/>
      <w:lvlText w:val="%1.%2.%3.%4.%5.%6.%7.%8"/>
      <w:legacy w:legacy="1" w:legacySpace="144" w:legacyIndent="0"/>
      <w:lvlJc w:val="left"/>
    </w:lvl>
    <w:lvl w:ilvl="8">
      <w:start w:val="1"/>
      <w:numFmt w:val="decimal"/>
      <w:pStyle w:val="Overskrift9"/>
      <w:lvlText w:val="%1.%2.%3.%4.%5.%6.%7.%8.%9"/>
      <w:legacy w:legacy="1" w:legacySpace="144" w:legacyIndent="0"/>
      <w:lvlJc w:val="left"/>
    </w:lvl>
  </w:abstractNum>
  <w:abstractNum w:abstractNumId="1" w15:restartNumberingAfterBreak="0">
    <w:nsid w:val="009322EE"/>
    <w:multiLevelType w:val="hybridMultilevel"/>
    <w:tmpl w:val="586EC584"/>
    <w:lvl w:ilvl="0" w:tplc="EA7ADF12">
      <w:numFmt w:val="bullet"/>
      <w:lvlText w:val=""/>
      <w:lvlJc w:val="left"/>
      <w:pPr>
        <w:ind w:left="720" w:hanging="360"/>
      </w:pPr>
      <w:rPr>
        <w:rFonts w:ascii="Wingdings" w:eastAsia="Times New Roman" w:hAnsi="Wingdings"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89E36BA"/>
    <w:multiLevelType w:val="hybridMultilevel"/>
    <w:tmpl w:val="BC405D72"/>
    <w:lvl w:ilvl="0" w:tplc="D75802DA">
      <w:start w:val="31"/>
      <w:numFmt w:val="bullet"/>
      <w:lvlText w:val=""/>
      <w:lvlJc w:val="left"/>
      <w:pPr>
        <w:ind w:left="720" w:hanging="360"/>
      </w:pPr>
      <w:rPr>
        <w:rFonts w:ascii="Wingdings" w:eastAsia="Times New Roman" w:hAnsi="Wingdings"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B1F1BFF"/>
    <w:multiLevelType w:val="singleLevel"/>
    <w:tmpl w:val="6F92A4F6"/>
    <w:lvl w:ilvl="0">
      <w:start w:val="1"/>
      <w:numFmt w:val="lowerLetter"/>
      <w:lvlText w:val="%1."/>
      <w:legacy w:legacy="1" w:legacySpace="0" w:legacyIndent="567"/>
      <w:lvlJc w:val="left"/>
      <w:pPr>
        <w:ind w:left="567" w:hanging="567"/>
      </w:pPr>
    </w:lvl>
  </w:abstractNum>
  <w:abstractNum w:abstractNumId="4" w15:restartNumberingAfterBreak="0">
    <w:nsid w:val="1FCC1D50"/>
    <w:multiLevelType w:val="hybridMultilevel"/>
    <w:tmpl w:val="459A75E8"/>
    <w:lvl w:ilvl="0" w:tplc="5508AC1C">
      <w:start w:val="1"/>
      <w:numFmt w:val="bullet"/>
      <w:lvlText w:val="-"/>
      <w:lvlJc w:val="left"/>
      <w:pPr>
        <w:ind w:left="720" w:hanging="360"/>
      </w:pPr>
      <w:rPr>
        <w:rFonts w:ascii="DepCentury Old Style" w:eastAsia="Times New Roman" w:hAnsi="DepCentury Old Style"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3B87690"/>
    <w:multiLevelType w:val="hybridMultilevel"/>
    <w:tmpl w:val="0E0C5110"/>
    <w:lvl w:ilvl="0" w:tplc="EA068C40">
      <w:numFmt w:val="bullet"/>
      <w:lvlText w:val=""/>
      <w:lvlJc w:val="left"/>
      <w:pPr>
        <w:ind w:left="720" w:hanging="360"/>
      </w:pPr>
      <w:rPr>
        <w:rFonts w:ascii="Wingdings" w:eastAsia="Times New Roman" w:hAnsi="Wingdings"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4D833D0"/>
    <w:multiLevelType w:val="hybridMultilevel"/>
    <w:tmpl w:val="041CF23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4DD5A55"/>
    <w:multiLevelType w:val="hybridMultilevel"/>
    <w:tmpl w:val="357AF3CE"/>
    <w:lvl w:ilvl="0" w:tplc="4A8EA68E">
      <w:start w:val="22"/>
      <w:numFmt w:val="bullet"/>
      <w:lvlText w:val="-"/>
      <w:lvlJc w:val="left"/>
      <w:pPr>
        <w:ind w:left="720" w:hanging="360"/>
      </w:pPr>
      <w:rPr>
        <w:rFonts w:ascii="DepCentury Old Style" w:eastAsia="Times New Roman" w:hAnsi="DepCentury Old Style"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6374B34"/>
    <w:multiLevelType w:val="hybridMultilevel"/>
    <w:tmpl w:val="BAFE3E3A"/>
    <w:lvl w:ilvl="0" w:tplc="8422B192">
      <w:start w:val="23"/>
      <w:numFmt w:val="bullet"/>
      <w:lvlText w:val="-"/>
      <w:lvlJc w:val="left"/>
      <w:pPr>
        <w:ind w:left="720" w:hanging="360"/>
      </w:pPr>
      <w:rPr>
        <w:rFonts w:ascii="DepCentury Old Style" w:eastAsia="Times New Roman" w:hAnsi="DepCentury Old Style"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34F72EA0"/>
    <w:multiLevelType w:val="hybridMultilevel"/>
    <w:tmpl w:val="1F789530"/>
    <w:lvl w:ilvl="0" w:tplc="DFCE9B5E">
      <w:start w:val="5"/>
      <w:numFmt w:val="bullet"/>
      <w:lvlText w:val="-"/>
      <w:lvlJc w:val="left"/>
      <w:pPr>
        <w:ind w:left="720" w:hanging="360"/>
      </w:pPr>
      <w:rPr>
        <w:rFonts w:ascii="DepCentury Old Style" w:eastAsia="Times New Roman" w:hAnsi="DepCentury Old Style"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5251535"/>
    <w:multiLevelType w:val="hybridMultilevel"/>
    <w:tmpl w:val="AC5231B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3A8D729C"/>
    <w:multiLevelType w:val="hybridMultilevel"/>
    <w:tmpl w:val="100CEABC"/>
    <w:lvl w:ilvl="0" w:tplc="DFCE9B5E">
      <w:start w:val="1"/>
      <w:numFmt w:val="bullet"/>
      <w:lvlText w:val="-"/>
      <w:lvlJc w:val="left"/>
      <w:pPr>
        <w:ind w:left="720" w:hanging="360"/>
      </w:pPr>
      <w:rPr>
        <w:rFonts w:ascii="DepCentury Old Style" w:eastAsia="Times New Roman" w:hAnsi="DepCentury Old Style"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3AB57CCF"/>
    <w:multiLevelType w:val="hybridMultilevel"/>
    <w:tmpl w:val="2D1E6086"/>
    <w:lvl w:ilvl="0" w:tplc="E45AEAA4">
      <w:start w:val="23"/>
      <w:numFmt w:val="bullet"/>
      <w:lvlText w:val="-"/>
      <w:lvlJc w:val="left"/>
      <w:pPr>
        <w:ind w:left="720" w:hanging="360"/>
      </w:pPr>
      <w:rPr>
        <w:rFonts w:ascii="DepCentury Old Style" w:eastAsia="Times New Roman" w:hAnsi="DepCentury Old Style"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469E6CF5"/>
    <w:multiLevelType w:val="hybridMultilevel"/>
    <w:tmpl w:val="97680DF2"/>
    <w:lvl w:ilvl="0" w:tplc="7F148A48">
      <w:start w:val="23"/>
      <w:numFmt w:val="bullet"/>
      <w:lvlText w:val=""/>
      <w:lvlJc w:val="left"/>
      <w:pPr>
        <w:ind w:left="720" w:hanging="360"/>
      </w:pPr>
      <w:rPr>
        <w:rFonts w:ascii="Wingdings" w:eastAsia="Times New Roman" w:hAnsi="Wingdings" w:cs="Times New Roman" w:hint="default"/>
        <w:i/>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489D7CF2"/>
    <w:multiLevelType w:val="hybridMultilevel"/>
    <w:tmpl w:val="0D2EFF42"/>
    <w:lvl w:ilvl="0" w:tplc="9AC062E2">
      <w:numFmt w:val="bullet"/>
      <w:lvlText w:val="-"/>
      <w:lvlJc w:val="left"/>
      <w:pPr>
        <w:ind w:left="720" w:hanging="360"/>
      </w:pPr>
      <w:rPr>
        <w:rFonts w:ascii="DepCentury Old Style" w:eastAsia="Times New Roman" w:hAnsi="DepCentury Old Style"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4BF5474A"/>
    <w:multiLevelType w:val="hybridMultilevel"/>
    <w:tmpl w:val="77B84FC6"/>
    <w:lvl w:ilvl="0" w:tplc="E45AEAA4">
      <w:start w:val="23"/>
      <w:numFmt w:val="bullet"/>
      <w:lvlText w:val="-"/>
      <w:lvlJc w:val="left"/>
      <w:pPr>
        <w:ind w:left="720" w:hanging="360"/>
      </w:pPr>
      <w:rPr>
        <w:rFonts w:ascii="DepCentury Old Style" w:eastAsia="Times New Roman" w:hAnsi="DepCentury Old Style"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63046993"/>
    <w:multiLevelType w:val="hybridMultilevel"/>
    <w:tmpl w:val="64A68C5C"/>
    <w:lvl w:ilvl="0" w:tplc="8B524640">
      <w:start w:val="1"/>
      <w:numFmt w:val="bullet"/>
      <w:lvlText w:val="-"/>
      <w:lvlJc w:val="left"/>
      <w:pPr>
        <w:ind w:left="720" w:hanging="360"/>
      </w:pPr>
      <w:rPr>
        <w:rFonts w:ascii="DepCentury Old Style" w:eastAsia="Times New Roman" w:hAnsi="DepCentury Old Style"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639A44DB"/>
    <w:multiLevelType w:val="hybridMultilevel"/>
    <w:tmpl w:val="0250EFC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68403B8B"/>
    <w:multiLevelType w:val="hybridMultilevel"/>
    <w:tmpl w:val="0250EFC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6F8508CD"/>
    <w:multiLevelType w:val="hybridMultilevel"/>
    <w:tmpl w:val="954E7190"/>
    <w:lvl w:ilvl="0" w:tplc="C2B2E340">
      <w:numFmt w:val="bullet"/>
      <w:lvlText w:val=""/>
      <w:lvlJc w:val="left"/>
      <w:pPr>
        <w:ind w:left="720" w:hanging="360"/>
      </w:pPr>
      <w:rPr>
        <w:rFonts w:ascii="Wingdings" w:eastAsia="Times New Roman" w:hAnsi="Wingdings"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75FD3B6D"/>
    <w:multiLevelType w:val="hybridMultilevel"/>
    <w:tmpl w:val="B31EF59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7AD35166"/>
    <w:multiLevelType w:val="hybridMultilevel"/>
    <w:tmpl w:val="1C4AA1E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7E4916FC"/>
    <w:multiLevelType w:val="hybridMultilevel"/>
    <w:tmpl w:val="FFAACCE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 w:numId="2">
    <w:abstractNumId w:val="3"/>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21"/>
  </w:num>
  <w:num w:numId="13">
    <w:abstractNumId w:val="19"/>
  </w:num>
  <w:num w:numId="14">
    <w:abstractNumId w:val="14"/>
  </w:num>
  <w:num w:numId="15">
    <w:abstractNumId w:val="5"/>
  </w:num>
  <w:num w:numId="16">
    <w:abstractNumId w:val="10"/>
  </w:num>
  <w:num w:numId="17">
    <w:abstractNumId w:val="8"/>
  </w:num>
  <w:num w:numId="18">
    <w:abstractNumId w:val="12"/>
  </w:num>
  <w:num w:numId="19">
    <w:abstractNumId w:val="13"/>
  </w:num>
  <w:num w:numId="20">
    <w:abstractNumId w:val="15"/>
  </w:num>
  <w:num w:numId="21">
    <w:abstractNumId w:val="1"/>
  </w:num>
  <w:num w:numId="22">
    <w:abstractNumId w:val="2"/>
  </w:num>
  <w:num w:numId="23">
    <w:abstractNumId w:val="7"/>
  </w:num>
  <w:num w:numId="24">
    <w:abstractNumId w:val="6"/>
  </w:num>
  <w:num w:numId="25">
    <w:abstractNumId w:val="6"/>
  </w:num>
  <w:num w:numId="26">
    <w:abstractNumId w:val="16"/>
  </w:num>
  <w:num w:numId="27">
    <w:abstractNumId w:val="4"/>
  </w:num>
  <w:num w:numId="28">
    <w:abstractNumId w:val="18"/>
  </w:num>
  <w:num w:numId="29">
    <w:abstractNumId w:val="11"/>
  </w:num>
  <w:num w:numId="30">
    <w:abstractNumId w:val="17"/>
  </w:num>
  <w:num w:numId="31">
    <w:abstractNumId w:val="22"/>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20"/>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unMacro" w:val="Done"/>
  </w:docVars>
  <w:rsids>
    <w:rsidRoot w:val="00FF7361"/>
    <w:rsid w:val="000000B9"/>
    <w:rsid w:val="00007845"/>
    <w:rsid w:val="0001023B"/>
    <w:rsid w:val="00012B54"/>
    <w:rsid w:val="00012F99"/>
    <w:rsid w:val="00014346"/>
    <w:rsid w:val="00017EAB"/>
    <w:rsid w:val="00022D85"/>
    <w:rsid w:val="00022DE2"/>
    <w:rsid w:val="00024423"/>
    <w:rsid w:val="0002465F"/>
    <w:rsid w:val="000248C3"/>
    <w:rsid w:val="00025E05"/>
    <w:rsid w:val="00026180"/>
    <w:rsid w:val="00027CB2"/>
    <w:rsid w:val="00033467"/>
    <w:rsid w:val="000417CA"/>
    <w:rsid w:val="000430C8"/>
    <w:rsid w:val="00046C97"/>
    <w:rsid w:val="0005300D"/>
    <w:rsid w:val="00053BFC"/>
    <w:rsid w:val="000545E8"/>
    <w:rsid w:val="00054C30"/>
    <w:rsid w:val="00055CF6"/>
    <w:rsid w:val="00057DF6"/>
    <w:rsid w:val="00064AF5"/>
    <w:rsid w:val="00064F91"/>
    <w:rsid w:val="00066AEA"/>
    <w:rsid w:val="00071924"/>
    <w:rsid w:val="00071A17"/>
    <w:rsid w:val="00072140"/>
    <w:rsid w:val="000724FB"/>
    <w:rsid w:val="00072976"/>
    <w:rsid w:val="00076094"/>
    <w:rsid w:val="00076753"/>
    <w:rsid w:val="000925EE"/>
    <w:rsid w:val="000971BE"/>
    <w:rsid w:val="000B0CF6"/>
    <w:rsid w:val="000B3050"/>
    <w:rsid w:val="000B49C8"/>
    <w:rsid w:val="000B58E7"/>
    <w:rsid w:val="000C4EEE"/>
    <w:rsid w:val="000C72E4"/>
    <w:rsid w:val="000D5823"/>
    <w:rsid w:val="000D612C"/>
    <w:rsid w:val="000D63B5"/>
    <w:rsid w:val="000D6755"/>
    <w:rsid w:val="000E1DCE"/>
    <w:rsid w:val="000E3B38"/>
    <w:rsid w:val="000F1E03"/>
    <w:rsid w:val="000F1EE2"/>
    <w:rsid w:val="000F337C"/>
    <w:rsid w:val="000F56C9"/>
    <w:rsid w:val="000F7941"/>
    <w:rsid w:val="00101E8E"/>
    <w:rsid w:val="00103A12"/>
    <w:rsid w:val="00103F25"/>
    <w:rsid w:val="00104E59"/>
    <w:rsid w:val="00111A3D"/>
    <w:rsid w:val="00116616"/>
    <w:rsid w:val="0011668F"/>
    <w:rsid w:val="0012044C"/>
    <w:rsid w:val="001217C5"/>
    <w:rsid w:val="0012267C"/>
    <w:rsid w:val="00124B6C"/>
    <w:rsid w:val="00124C16"/>
    <w:rsid w:val="0013274D"/>
    <w:rsid w:val="00134FE4"/>
    <w:rsid w:val="00141B93"/>
    <w:rsid w:val="0014373D"/>
    <w:rsid w:val="00143D7F"/>
    <w:rsid w:val="00160490"/>
    <w:rsid w:val="001629E9"/>
    <w:rsid w:val="00166EBD"/>
    <w:rsid w:val="00167D3F"/>
    <w:rsid w:val="00172E74"/>
    <w:rsid w:val="00175896"/>
    <w:rsid w:val="00181613"/>
    <w:rsid w:val="001831F3"/>
    <w:rsid w:val="00186100"/>
    <w:rsid w:val="00194D5D"/>
    <w:rsid w:val="001A2098"/>
    <w:rsid w:val="001A2589"/>
    <w:rsid w:val="001A2C37"/>
    <w:rsid w:val="001A63CC"/>
    <w:rsid w:val="001A75BB"/>
    <w:rsid w:val="001B0625"/>
    <w:rsid w:val="001B29CB"/>
    <w:rsid w:val="001B2A08"/>
    <w:rsid w:val="001B2A8C"/>
    <w:rsid w:val="001B2D77"/>
    <w:rsid w:val="001B3568"/>
    <w:rsid w:val="001B4D45"/>
    <w:rsid w:val="001C02B8"/>
    <w:rsid w:val="001C1F1B"/>
    <w:rsid w:val="001C75F7"/>
    <w:rsid w:val="001D0285"/>
    <w:rsid w:val="001D0FD4"/>
    <w:rsid w:val="001D117B"/>
    <w:rsid w:val="001D2787"/>
    <w:rsid w:val="001D4393"/>
    <w:rsid w:val="001D532B"/>
    <w:rsid w:val="001E0AFC"/>
    <w:rsid w:val="001E1BCF"/>
    <w:rsid w:val="001E2AFC"/>
    <w:rsid w:val="001E4FD6"/>
    <w:rsid w:val="001E658F"/>
    <w:rsid w:val="001E6765"/>
    <w:rsid w:val="001E6ED0"/>
    <w:rsid w:val="001E7717"/>
    <w:rsid w:val="001F0DC9"/>
    <w:rsid w:val="001F1193"/>
    <w:rsid w:val="001F3A37"/>
    <w:rsid w:val="00202F44"/>
    <w:rsid w:val="00203AB0"/>
    <w:rsid w:val="00205255"/>
    <w:rsid w:val="00207A82"/>
    <w:rsid w:val="0021282F"/>
    <w:rsid w:val="0021415C"/>
    <w:rsid w:val="0021791F"/>
    <w:rsid w:val="00224125"/>
    <w:rsid w:val="00225F14"/>
    <w:rsid w:val="00227BAC"/>
    <w:rsid w:val="00234B2D"/>
    <w:rsid w:val="002361A9"/>
    <w:rsid w:val="00236891"/>
    <w:rsid w:val="002447D4"/>
    <w:rsid w:val="00247516"/>
    <w:rsid w:val="00250923"/>
    <w:rsid w:val="00251831"/>
    <w:rsid w:val="0025462C"/>
    <w:rsid w:val="00255869"/>
    <w:rsid w:val="00260820"/>
    <w:rsid w:val="002624FA"/>
    <w:rsid w:val="00264247"/>
    <w:rsid w:val="00267F46"/>
    <w:rsid w:val="00272AAF"/>
    <w:rsid w:val="002732EB"/>
    <w:rsid w:val="00273350"/>
    <w:rsid w:val="00282350"/>
    <w:rsid w:val="002826AA"/>
    <w:rsid w:val="002861BB"/>
    <w:rsid w:val="00286346"/>
    <w:rsid w:val="00290AEF"/>
    <w:rsid w:val="00290BF5"/>
    <w:rsid w:val="002949B9"/>
    <w:rsid w:val="00295A87"/>
    <w:rsid w:val="00297631"/>
    <w:rsid w:val="002978B3"/>
    <w:rsid w:val="002A05C5"/>
    <w:rsid w:val="002A1AD9"/>
    <w:rsid w:val="002A42F0"/>
    <w:rsid w:val="002A4ABF"/>
    <w:rsid w:val="002A692E"/>
    <w:rsid w:val="002A74BA"/>
    <w:rsid w:val="002A7921"/>
    <w:rsid w:val="002B11D1"/>
    <w:rsid w:val="002B1B98"/>
    <w:rsid w:val="002B3A80"/>
    <w:rsid w:val="002B6F3E"/>
    <w:rsid w:val="002B782B"/>
    <w:rsid w:val="002B7BAD"/>
    <w:rsid w:val="002C09C9"/>
    <w:rsid w:val="002C16A4"/>
    <w:rsid w:val="002C1B2A"/>
    <w:rsid w:val="002C21C6"/>
    <w:rsid w:val="002C2FDB"/>
    <w:rsid w:val="002C4C0A"/>
    <w:rsid w:val="002C5DFD"/>
    <w:rsid w:val="002C62E7"/>
    <w:rsid w:val="002C6A97"/>
    <w:rsid w:val="002D2A3B"/>
    <w:rsid w:val="002D3BF6"/>
    <w:rsid w:val="002D4A96"/>
    <w:rsid w:val="002D7A13"/>
    <w:rsid w:val="002E5DD9"/>
    <w:rsid w:val="002E7231"/>
    <w:rsid w:val="002F0353"/>
    <w:rsid w:val="002F0478"/>
    <w:rsid w:val="002F2320"/>
    <w:rsid w:val="002F2AEB"/>
    <w:rsid w:val="00300884"/>
    <w:rsid w:val="003011E2"/>
    <w:rsid w:val="003027E0"/>
    <w:rsid w:val="003039EE"/>
    <w:rsid w:val="00303B9C"/>
    <w:rsid w:val="00303C51"/>
    <w:rsid w:val="00311DE0"/>
    <w:rsid w:val="00316036"/>
    <w:rsid w:val="003241FC"/>
    <w:rsid w:val="00324CF3"/>
    <w:rsid w:val="00325F83"/>
    <w:rsid w:val="003276DA"/>
    <w:rsid w:val="00332FEF"/>
    <w:rsid w:val="00335D7B"/>
    <w:rsid w:val="00341377"/>
    <w:rsid w:val="0034229A"/>
    <w:rsid w:val="003425E0"/>
    <w:rsid w:val="00344A9A"/>
    <w:rsid w:val="00344D62"/>
    <w:rsid w:val="00345089"/>
    <w:rsid w:val="0034688A"/>
    <w:rsid w:val="00347D0C"/>
    <w:rsid w:val="003519E3"/>
    <w:rsid w:val="00355150"/>
    <w:rsid w:val="003566CE"/>
    <w:rsid w:val="00357BB4"/>
    <w:rsid w:val="003615C9"/>
    <w:rsid w:val="00362A3F"/>
    <w:rsid w:val="0037026F"/>
    <w:rsid w:val="00375CA4"/>
    <w:rsid w:val="00377963"/>
    <w:rsid w:val="00377DB4"/>
    <w:rsid w:val="00380423"/>
    <w:rsid w:val="00381E39"/>
    <w:rsid w:val="00386FC7"/>
    <w:rsid w:val="00390E37"/>
    <w:rsid w:val="00391019"/>
    <w:rsid w:val="00395909"/>
    <w:rsid w:val="003A284A"/>
    <w:rsid w:val="003A29C3"/>
    <w:rsid w:val="003A4E3F"/>
    <w:rsid w:val="003A7F81"/>
    <w:rsid w:val="003B05B1"/>
    <w:rsid w:val="003B086D"/>
    <w:rsid w:val="003B1A1E"/>
    <w:rsid w:val="003B1C58"/>
    <w:rsid w:val="003B1D86"/>
    <w:rsid w:val="003B250F"/>
    <w:rsid w:val="003C1209"/>
    <w:rsid w:val="003C1E8F"/>
    <w:rsid w:val="003C5DD7"/>
    <w:rsid w:val="003C70C0"/>
    <w:rsid w:val="003C73C7"/>
    <w:rsid w:val="003C7505"/>
    <w:rsid w:val="003C7A9D"/>
    <w:rsid w:val="003D1604"/>
    <w:rsid w:val="003D20EE"/>
    <w:rsid w:val="003D32DE"/>
    <w:rsid w:val="003D6BAA"/>
    <w:rsid w:val="003D6FFC"/>
    <w:rsid w:val="003E0C5A"/>
    <w:rsid w:val="003E0DD3"/>
    <w:rsid w:val="003E1C8C"/>
    <w:rsid w:val="003E22E7"/>
    <w:rsid w:val="003E2856"/>
    <w:rsid w:val="003E413F"/>
    <w:rsid w:val="003E55B1"/>
    <w:rsid w:val="003E70C8"/>
    <w:rsid w:val="003E7661"/>
    <w:rsid w:val="003F3496"/>
    <w:rsid w:val="003F392A"/>
    <w:rsid w:val="003F559B"/>
    <w:rsid w:val="003F5DE9"/>
    <w:rsid w:val="0040103D"/>
    <w:rsid w:val="00401B93"/>
    <w:rsid w:val="00403BD1"/>
    <w:rsid w:val="00403F44"/>
    <w:rsid w:val="004051C5"/>
    <w:rsid w:val="00406EBC"/>
    <w:rsid w:val="0040726B"/>
    <w:rsid w:val="00410258"/>
    <w:rsid w:val="004209DF"/>
    <w:rsid w:val="00420AEA"/>
    <w:rsid w:val="00426AC2"/>
    <w:rsid w:val="00427A10"/>
    <w:rsid w:val="0043085A"/>
    <w:rsid w:val="00430A86"/>
    <w:rsid w:val="00431C3C"/>
    <w:rsid w:val="00432493"/>
    <w:rsid w:val="00436D26"/>
    <w:rsid w:val="004401EA"/>
    <w:rsid w:val="00440810"/>
    <w:rsid w:val="0044144C"/>
    <w:rsid w:val="004437C1"/>
    <w:rsid w:val="00443EF9"/>
    <w:rsid w:val="004456D8"/>
    <w:rsid w:val="004456DA"/>
    <w:rsid w:val="004463A5"/>
    <w:rsid w:val="00453B78"/>
    <w:rsid w:val="00457D76"/>
    <w:rsid w:val="0046192A"/>
    <w:rsid w:val="004624B6"/>
    <w:rsid w:val="00462B00"/>
    <w:rsid w:val="00463169"/>
    <w:rsid w:val="00463935"/>
    <w:rsid w:val="00465CDB"/>
    <w:rsid w:val="00466C74"/>
    <w:rsid w:val="00466E93"/>
    <w:rsid w:val="004765CA"/>
    <w:rsid w:val="00480F20"/>
    <w:rsid w:val="004821B7"/>
    <w:rsid w:val="0048491A"/>
    <w:rsid w:val="0048662C"/>
    <w:rsid w:val="00486D46"/>
    <w:rsid w:val="004923BC"/>
    <w:rsid w:val="00493656"/>
    <w:rsid w:val="004957AB"/>
    <w:rsid w:val="004A2CE0"/>
    <w:rsid w:val="004A4603"/>
    <w:rsid w:val="004B2DBE"/>
    <w:rsid w:val="004B3958"/>
    <w:rsid w:val="004B3AF1"/>
    <w:rsid w:val="004B4889"/>
    <w:rsid w:val="004B5D95"/>
    <w:rsid w:val="004B6085"/>
    <w:rsid w:val="004D08D7"/>
    <w:rsid w:val="004D0FBF"/>
    <w:rsid w:val="004D196B"/>
    <w:rsid w:val="004D50D8"/>
    <w:rsid w:val="004D6DA7"/>
    <w:rsid w:val="004E1B40"/>
    <w:rsid w:val="004E3152"/>
    <w:rsid w:val="004E4D06"/>
    <w:rsid w:val="004E53B4"/>
    <w:rsid w:val="004E6976"/>
    <w:rsid w:val="004E6C9A"/>
    <w:rsid w:val="004F1198"/>
    <w:rsid w:val="004F380C"/>
    <w:rsid w:val="004F3DCF"/>
    <w:rsid w:val="0050222B"/>
    <w:rsid w:val="00502CCF"/>
    <w:rsid w:val="005048DD"/>
    <w:rsid w:val="00505F7E"/>
    <w:rsid w:val="00512036"/>
    <w:rsid w:val="0051521D"/>
    <w:rsid w:val="0051594C"/>
    <w:rsid w:val="00515A54"/>
    <w:rsid w:val="00526C63"/>
    <w:rsid w:val="00530802"/>
    <w:rsid w:val="005356E7"/>
    <w:rsid w:val="00537043"/>
    <w:rsid w:val="0054040A"/>
    <w:rsid w:val="005426E5"/>
    <w:rsid w:val="005428D5"/>
    <w:rsid w:val="005429DE"/>
    <w:rsid w:val="00545DDB"/>
    <w:rsid w:val="0055100A"/>
    <w:rsid w:val="00554677"/>
    <w:rsid w:val="00555D93"/>
    <w:rsid w:val="00556D68"/>
    <w:rsid w:val="00561AA1"/>
    <w:rsid w:val="005663B6"/>
    <w:rsid w:val="0057007E"/>
    <w:rsid w:val="00571284"/>
    <w:rsid w:val="00571BF9"/>
    <w:rsid w:val="00581A36"/>
    <w:rsid w:val="00581D9E"/>
    <w:rsid w:val="005836E2"/>
    <w:rsid w:val="005847E5"/>
    <w:rsid w:val="00584B25"/>
    <w:rsid w:val="005878E1"/>
    <w:rsid w:val="005A1654"/>
    <w:rsid w:val="005A1936"/>
    <w:rsid w:val="005B1137"/>
    <w:rsid w:val="005B5556"/>
    <w:rsid w:val="005B6276"/>
    <w:rsid w:val="005C3CA2"/>
    <w:rsid w:val="005C498F"/>
    <w:rsid w:val="005C6F42"/>
    <w:rsid w:val="005D00F8"/>
    <w:rsid w:val="005D0C4B"/>
    <w:rsid w:val="005D2EFB"/>
    <w:rsid w:val="005D468B"/>
    <w:rsid w:val="005D66DD"/>
    <w:rsid w:val="005E75E0"/>
    <w:rsid w:val="005F03EA"/>
    <w:rsid w:val="005F0E25"/>
    <w:rsid w:val="005F1751"/>
    <w:rsid w:val="005F5BA8"/>
    <w:rsid w:val="006025F6"/>
    <w:rsid w:val="00604523"/>
    <w:rsid w:val="00604934"/>
    <w:rsid w:val="00604CC9"/>
    <w:rsid w:val="006106F7"/>
    <w:rsid w:val="006132FD"/>
    <w:rsid w:val="006148C1"/>
    <w:rsid w:val="00617C33"/>
    <w:rsid w:val="00625F8F"/>
    <w:rsid w:val="006309EE"/>
    <w:rsid w:val="00631EC8"/>
    <w:rsid w:val="006328E2"/>
    <w:rsid w:val="00633F3C"/>
    <w:rsid w:val="00634351"/>
    <w:rsid w:val="006350C9"/>
    <w:rsid w:val="006359AA"/>
    <w:rsid w:val="00636CEB"/>
    <w:rsid w:val="00643701"/>
    <w:rsid w:val="00644E25"/>
    <w:rsid w:val="00644E68"/>
    <w:rsid w:val="00645339"/>
    <w:rsid w:val="00651342"/>
    <w:rsid w:val="006571DB"/>
    <w:rsid w:val="006607A8"/>
    <w:rsid w:val="00663392"/>
    <w:rsid w:val="00664269"/>
    <w:rsid w:val="00670375"/>
    <w:rsid w:val="0067050A"/>
    <w:rsid w:val="0067144E"/>
    <w:rsid w:val="00671CEA"/>
    <w:rsid w:val="0067294E"/>
    <w:rsid w:val="00682780"/>
    <w:rsid w:val="00685D0C"/>
    <w:rsid w:val="006871B2"/>
    <w:rsid w:val="00687A80"/>
    <w:rsid w:val="0069017E"/>
    <w:rsid w:val="00693B0D"/>
    <w:rsid w:val="00695F8C"/>
    <w:rsid w:val="00696584"/>
    <w:rsid w:val="006A21A0"/>
    <w:rsid w:val="006A2277"/>
    <w:rsid w:val="006A5B4E"/>
    <w:rsid w:val="006B18B1"/>
    <w:rsid w:val="006B2307"/>
    <w:rsid w:val="006C31E0"/>
    <w:rsid w:val="006C4DB4"/>
    <w:rsid w:val="006C5EE4"/>
    <w:rsid w:val="006D0F37"/>
    <w:rsid w:val="006D1528"/>
    <w:rsid w:val="006D4408"/>
    <w:rsid w:val="006D5B86"/>
    <w:rsid w:val="006D6499"/>
    <w:rsid w:val="006D6F22"/>
    <w:rsid w:val="006E27DB"/>
    <w:rsid w:val="006E45C1"/>
    <w:rsid w:val="006E560E"/>
    <w:rsid w:val="006E72AB"/>
    <w:rsid w:val="006F4A27"/>
    <w:rsid w:val="006F4BB5"/>
    <w:rsid w:val="006F4D81"/>
    <w:rsid w:val="00703052"/>
    <w:rsid w:val="00706DF4"/>
    <w:rsid w:val="00710340"/>
    <w:rsid w:val="007109D2"/>
    <w:rsid w:val="00711FB9"/>
    <w:rsid w:val="007131E9"/>
    <w:rsid w:val="007136D1"/>
    <w:rsid w:val="007137DA"/>
    <w:rsid w:val="00716A6C"/>
    <w:rsid w:val="007173F5"/>
    <w:rsid w:val="007217C4"/>
    <w:rsid w:val="0072677B"/>
    <w:rsid w:val="00735BEF"/>
    <w:rsid w:val="00737C43"/>
    <w:rsid w:val="00741D78"/>
    <w:rsid w:val="00742233"/>
    <w:rsid w:val="007426BA"/>
    <w:rsid w:val="00742FC1"/>
    <w:rsid w:val="0074312A"/>
    <w:rsid w:val="00743A16"/>
    <w:rsid w:val="00752A1B"/>
    <w:rsid w:val="00752F16"/>
    <w:rsid w:val="00755C00"/>
    <w:rsid w:val="00756EF3"/>
    <w:rsid w:val="00764B13"/>
    <w:rsid w:val="00764D4B"/>
    <w:rsid w:val="0076793A"/>
    <w:rsid w:val="007729F9"/>
    <w:rsid w:val="00772ECA"/>
    <w:rsid w:val="00773298"/>
    <w:rsid w:val="00774E59"/>
    <w:rsid w:val="007816EE"/>
    <w:rsid w:val="007837FD"/>
    <w:rsid w:val="00785037"/>
    <w:rsid w:val="00791184"/>
    <w:rsid w:val="0079194C"/>
    <w:rsid w:val="00795A83"/>
    <w:rsid w:val="007967DB"/>
    <w:rsid w:val="007A1421"/>
    <w:rsid w:val="007A168D"/>
    <w:rsid w:val="007A231D"/>
    <w:rsid w:val="007A32A9"/>
    <w:rsid w:val="007A3436"/>
    <w:rsid w:val="007A497F"/>
    <w:rsid w:val="007A5D98"/>
    <w:rsid w:val="007A61D5"/>
    <w:rsid w:val="007A6CEC"/>
    <w:rsid w:val="007B0AA7"/>
    <w:rsid w:val="007B20BA"/>
    <w:rsid w:val="007B20EE"/>
    <w:rsid w:val="007B5613"/>
    <w:rsid w:val="007B57EA"/>
    <w:rsid w:val="007C0A02"/>
    <w:rsid w:val="007D293C"/>
    <w:rsid w:val="007D3706"/>
    <w:rsid w:val="007E0894"/>
    <w:rsid w:val="007E17F7"/>
    <w:rsid w:val="007E60CD"/>
    <w:rsid w:val="007F08E5"/>
    <w:rsid w:val="007F11C3"/>
    <w:rsid w:val="007F200A"/>
    <w:rsid w:val="007F34BD"/>
    <w:rsid w:val="007F3EB0"/>
    <w:rsid w:val="007F5B79"/>
    <w:rsid w:val="00800C6B"/>
    <w:rsid w:val="00800EBF"/>
    <w:rsid w:val="00801D52"/>
    <w:rsid w:val="00802665"/>
    <w:rsid w:val="00804B35"/>
    <w:rsid w:val="00807F8C"/>
    <w:rsid w:val="00811687"/>
    <w:rsid w:val="00814262"/>
    <w:rsid w:val="00820ED7"/>
    <w:rsid w:val="008212A2"/>
    <w:rsid w:val="00822F4E"/>
    <w:rsid w:val="00827422"/>
    <w:rsid w:val="00827E95"/>
    <w:rsid w:val="00831037"/>
    <w:rsid w:val="00837B7A"/>
    <w:rsid w:val="00841574"/>
    <w:rsid w:val="00846AAC"/>
    <w:rsid w:val="00851C96"/>
    <w:rsid w:val="00853F1E"/>
    <w:rsid w:val="00855383"/>
    <w:rsid w:val="0085720B"/>
    <w:rsid w:val="0086256F"/>
    <w:rsid w:val="0086450B"/>
    <w:rsid w:val="008647E1"/>
    <w:rsid w:val="008667BB"/>
    <w:rsid w:val="008700F2"/>
    <w:rsid w:val="008715C5"/>
    <w:rsid w:val="008733D3"/>
    <w:rsid w:val="00877B71"/>
    <w:rsid w:val="008805AD"/>
    <w:rsid w:val="008846F5"/>
    <w:rsid w:val="008849A1"/>
    <w:rsid w:val="008915AA"/>
    <w:rsid w:val="008955E9"/>
    <w:rsid w:val="00895B5B"/>
    <w:rsid w:val="00897E4F"/>
    <w:rsid w:val="008A0AC7"/>
    <w:rsid w:val="008A28C5"/>
    <w:rsid w:val="008A57DA"/>
    <w:rsid w:val="008A57F2"/>
    <w:rsid w:val="008A6067"/>
    <w:rsid w:val="008B0F34"/>
    <w:rsid w:val="008B2AF9"/>
    <w:rsid w:val="008B35E0"/>
    <w:rsid w:val="008B456B"/>
    <w:rsid w:val="008C4462"/>
    <w:rsid w:val="008C61BF"/>
    <w:rsid w:val="008D577D"/>
    <w:rsid w:val="008D68C7"/>
    <w:rsid w:val="008D6DDF"/>
    <w:rsid w:val="008E167B"/>
    <w:rsid w:val="008E41A9"/>
    <w:rsid w:val="008F1CAD"/>
    <w:rsid w:val="008F1CBE"/>
    <w:rsid w:val="008F1DA9"/>
    <w:rsid w:val="00902482"/>
    <w:rsid w:val="00904B85"/>
    <w:rsid w:val="009076E6"/>
    <w:rsid w:val="009145AA"/>
    <w:rsid w:val="00914715"/>
    <w:rsid w:val="00914B9B"/>
    <w:rsid w:val="009222A7"/>
    <w:rsid w:val="00922F7E"/>
    <w:rsid w:val="009256BA"/>
    <w:rsid w:val="00927758"/>
    <w:rsid w:val="00930C05"/>
    <w:rsid w:val="0093224A"/>
    <w:rsid w:val="009330B5"/>
    <w:rsid w:val="00936096"/>
    <w:rsid w:val="009404F1"/>
    <w:rsid w:val="009411CC"/>
    <w:rsid w:val="00943EB8"/>
    <w:rsid w:val="00944B5A"/>
    <w:rsid w:val="00947FD5"/>
    <w:rsid w:val="009501D3"/>
    <w:rsid w:val="00950206"/>
    <w:rsid w:val="009511EC"/>
    <w:rsid w:val="00952A93"/>
    <w:rsid w:val="00952B64"/>
    <w:rsid w:val="00952B7C"/>
    <w:rsid w:val="00953DFE"/>
    <w:rsid w:val="009557D7"/>
    <w:rsid w:val="009558CB"/>
    <w:rsid w:val="00957068"/>
    <w:rsid w:val="00966AB7"/>
    <w:rsid w:val="00974B47"/>
    <w:rsid w:val="00976BFB"/>
    <w:rsid w:val="009810DD"/>
    <w:rsid w:val="00982593"/>
    <w:rsid w:val="00984FD2"/>
    <w:rsid w:val="0098594F"/>
    <w:rsid w:val="00991C36"/>
    <w:rsid w:val="00993FA2"/>
    <w:rsid w:val="009949DA"/>
    <w:rsid w:val="009A12AC"/>
    <w:rsid w:val="009A16B3"/>
    <w:rsid w:val="009A36FF"/>
    <w:rsid w:val="009A4D28"/>
    <w:rsid w:val="009A7A0C"/>
    <w:rsid w:val="009B0631"/>
    <w:rsid w:val="009B630C"/>
    <w:rsid w:val="009C6C14"/>
    <w:rsid w:val="009D387F"/>
    <w:rsid w:val="009D411D"/>
    <w:rsid w:val="009D45E7"/>
    <w:rsid w:val="009D5BD3"/>
    <w:rsid w:val="009E0223"/>
    <w:rsid w:val="009E145E"/>
    <w:rsid w:val="009E4F0F"/>
    <w:rsid w:val="009E7E3A"/>
    <w:rsid w:val="009F1B32"/>
    <w:rsid w:val="009F3127"/>
    <w:rsid w:val="009F78F2"/>
    <w:rsid w:val="00A04675"/>
    <w:rsid w:val="00A10020"/>
    <w:rsid w:val="00A12FD0"/>
    <w:rsid w:val="00A2084D"/>
    <w:rsid w:val="00A20EC4"/>
    <w:rsid w:val="00A21194"/>
    <w:rsid w:val="00A212F7"/>
    <w:rsid w:val="00A22A3F"/>
    <w:rsid w:val="00A22C4D"/>
    <w:rsid w:val="00A22CF2"/>
    <w:rsid w:val="00A27719"/>
    <w:rsid w:val="00A33726"/>
    <w:rsid w:val="00A33C5C"/>
    <w:rsid w:val="00A34FF6"/>
    <w:rsid w:val="00A40591"/>
    <w:rsid w:val="00A432CA"/>
    <w:rsid w:val="00A433FC"/>
    <w:rsid w:val="00A443E3"/>
    <w:rsid w:val="00A467AE"/>
    <w:rsid w:val="00A47C44"/>
    <w:rsid w:val="00A519FA"/>
    <w:rsid w:val="00A51AE9"/>
    <w:rsid w:val="00A55E4C"/>
    <w:rsid w:val="00A571DB"/>
    <w:rsid w:val="00A575B6"/>
    <w:rsid w:val="00A57BBA"/>
    <w:rsid w:val="00A60344"/>
    <w:rsid w:val="00A6039C"/>
    <w:rsid w:val="00A64BC4"/>
    <w:rsid w:val="00A64E28"/>
    <w:rsid w:val="00A70F15"/>
    <w:rsid w:val="00A71ACA"/>
    <w:rsid w:val="00A71CD6"/>
    <w:rsid w:val="00A768E7"/>
    <w:rsid w:val="00A809D1"/>
    <w:rsid w:val="00A859A7"/>
    <w:rsid w:val="00A90835"/>
    <w:rsid w:val="00A90A88"/>
    <w:rsid w:val="00A91000"/>
    <w:rsid w:val="00A94831"/>
    <w:rsid w:val="00A95FFD"/>
    <w:rsid w:val="00AA2AB1"/>
    <w:rsid w:val="00AA5533"/>
    <w:rsid w:val="00AA70C1"/>
    <w:rsid w:val="00AB0037"/>
    <w:rsid w:val="00AB026B"/>
    <w:rsid w:val="00AB0501"/>
    <w:rsid w:val="00AB1879"/>
    <w:rsid w:val="00AC0613"/>
    <w:rsid w:val="00AC2427"/>
    <w:rsid w:val="00AC2655"/>
    <w:rsid w:val="00AC2CE4"/>
    <w:rsid w:val="00AC3FBB"/>
    <w:rsid w:val="00AC6ADE"/>
    <w:rsid w:val="00AC71F0"/>
    <w:rsid w:val="00AD2320"/>
    <w:rsid w:val="00AD28D4"/>
    <w:rsid w:val="00AE5E63"/>
    <w:rsid w:val="00AF45A7"/>
    <w:rsid w:val="00AF7218"/>
    <w:rsid w:val="00B034BF"/>
    <w:rsid w:val="00B054C3"/>
    <w:rsid w:val="00B05FC1"/>
    <w:rsid w:val="00B1027B"/>
    <w:rsid w:val="00B103D7"/>
    <w:rsid w:val="00B133E5"/>
    <w:rsid w:val="00B15653"/>
    <w:rsid w:val="00B165D8"/>
    <w:rsid w:val="00B23207"/>
    <w:rsid w:val="00B2423A"/>
    <w:rsid w:val="00B265E2"/>
    <w:rsid w:val="00B26F17"/>
    <w:rsid w:val="00B2719C"/>
    <w:rsid w:val="00B3287F"/>
    <w:rsid w:val="00B36B5E"/>
    <w:rsid w:val="00B4339E"/>
    <w:rsid w:val="00B44B77"/>
    <w:rsid w:val="00B45F81"/>
    <w:rsid w:val="00B50BCD"/>
    <w:rsid w:val="00B52A1C"/>
    <w:rsid w:val="00B5383F"/>
    <w:rsid w:val="00B54603"/>
    <w:rsid w:val="00B54631"/>
    <w:rsid w:val="00B54774"/>
    <w:rsid w:val="00B57DD3"/>
    <w:rsid w:val="00B66D23"/>
    <w:rsid w:val="00B67936"/>
    <w:rsid w:val="00B67C7C"/>
    <w:rsid w:val="00B67D64"/>
    <w:rsid w:val="00B73AFA"/>
    <w:rsid w:val="00B74D3B"/>
    <w:rsid w:val="00B750C9"/>
    <w:rsid w:val="00B75E7F"/>
    <w:rsid w:val="00B77174"/>
    <w:rsid w:val="00B801AE"/>
    <w:rsid w:val="00B818AD"/>
    <w:rsid w:val="00B82E55"/>
    <w:rsid w:val="00B87DC3"/>
    <w:rsid w:val="00B87E06"/>
    <w:rsid w:val="00B927EF"/>
    <w:rsid w:val="00B93134"/>
    <w:rsid w:val="00B947C4"/>
    <w:rsid w:val="00B962C9"/>
    <w:rsid w:val="00BA24CF"/>
    <w:rsid w:val="00BA3AA5"/>
    <w:rsid w:val="00BA3D9F"/>
    <w:rsid w:val="00BA5014"/>
    <w:rsid w:val="00BA6A16"/>
    <w:rsid w:val="00BB06A1"/>
    <w:rsid w:val="00BB2124"/>
    <w:rsid w:val="00BB4D9F"/>
    <w:rsid w:val="00BB55EA"/>
    <w:rsid w:val="00BB7100"/>
    <w:rsid w:val="00BC20CA"/>
    <w:rsid w:val="00BC3878"/>
    <w:rsid w:val="00BC6ED6"/>
    <w:rsid w:val="00BD0CE2"/>
    <w:rsid w:val="00BD170C"/>
    <w:rsid w:val="00BD3C35"/>
    <w:rsid w:val="00BE2028"/>
    <w:rsid w:val="00BE4D47"/>
    <w:rsid w:val="00BE4F36"/>
    <w:rsid w:val="00BE6B27"/>
    <w:rsid w:val="00BF1641"/>
    <w:rsid w:val="00BF3EA6"/>
    <w:rsid w:val="00BF5479"/>
    <w:rsid w:val="00BF7254"/>
    <w:rsid w:val="00C012B7"/>
    <w:rsid w:val="00C026C5"/>
    <w:rsid w:val="00C06416"/>
    <w:rsid w:val="00C079E2"/>
    <w:rsid w:val="00C11BD2"/>
    <w:rsid w:val="00C12189"/>
    <w:rsid w:val="00C12BC8"/>
    <w:rsid w:val="00C13513"/>
    <w:rsid w:val="00C22C33"/>
    <w:rsid w:val="00C248F9"/>
    <w:rsid w:val="00C308B9"/>
    <w:rsid w:val="00C323E8"/>
    <w:rsid w:val="00C35964"/>
    <w:rsid w:val="00C40FE4"/>
    <w:rsid w:val="00C415AD"/>
    <w:rsid w:val="00C44E1F"/>
    <w:rsid w:val="00C459D2"/>
    <w:rsid w:val="00C47296"/>
    <w:rsid w:val="00C5104F"/>
    <w:rsid w:val="00C51D98"/>
    <w:rsid w:val="00C556E9"/>
    <w:rsid w:val="00C572BE"/>
    <w:rsid w:val="00C6109B"/>
    <w:rsid w:val="00C64505"/>
    <w:rsid w:val="00C647A1"/>
    <w:rsid w:val="00C654F3"/>
    <w:rsid w:val="00C6585C"/>
    <w:rsid w:val="00C66FD0"/>
    <w:rsid w:val="00C679B7"/>
    <w:rsid w:val="00C715E6"/>
    <w:rsid w:val="00C7199C"/>
    <w:rsid w:val="00C71D6F"/>
    <w:rsid w:val="00C83AF6"/>
    <w:rsid w:val="00C85A2A"/>
    <w:rsid w:val="00C9011F"/>
    <w:rsid w:val="00C92156"/>
    <w:rsid w:val="00C94E61"/>
    <w:rsid w:val="00C94F1C"/>
    <w:rsid w:val="00C95030"/>
    <w:rsid w:val="00C95629"/>
    <w:rsid w:val="00C9787B"/>
    <w:rsid w:val="00CA3DDF"/>
    <w:rsid w:val="00CA4B41"/>
    <w:rsid w:val="00CA5FB6"/>
    <w:rsid w:val="00CA708F"/>
    <w:rsid w:val="00CB1290"/>
    <w:rsid w:val="00CB2F37"/>
    <w:rsid w:val="00CB68F6"/>
    <w:rsid w:val="00CC3835"/>
    <w:rsid w:val="00CC3A8C"/>
    <w:rsid w:val="00CC751A"/>
    <w:rsid w:val="00CD4847"/>
    <w:rsid w:val="00CD51A7"/>
    <w:rsid w:val="00CD5F62"/>
    <w:rsid w:val="00CD6DE1"/>
    <w:rsid w:val="00CD7523"/>
    <w:rsid w:val="00CD7BCB"/>
    <w:rsid w:val="00CE0003"/>
    <w:rsid w:val="00CE17D4"/>
    <w:rsid w:val="00CE4FA8"/>
    <w:rsid w:val="00CE5542"/>
    <w:rsid w:val="00CE6CE7"/>
    <w:rsid w:val="00CF09FF"/>
    <w:rsid w:val="00CF1CB8"/>
    <w:rsid w:val="00CF2F25"/>
    <w:rsid w:val="00CF3195"/>
    <w:rsid w:val="00CF5D7E"/>
    <w:rsid w:val="00CF7298"/>
    <w:rsid w:val="00CF753D"/>
    <w:rsid w:val="00D00194"/>
    <w:rsid w:val="00D02BD9"/>
    <w:rsid w:val="00D03148"/>
    <w:rsid w:val="00D0457B"/>
    <w:rsid w:val="00D06D4D"/>
    <w:rsid w:val="00D075D0"/>
    <w:rsid w:val="00D07C1D"/>
    <w:rsid w:val="00D07EA3"/>
    <w:rsid w:val="00D10257"/>
    <w:rsid w:val="00D1054F"/>
    <w:rsid w:val="00D11336"/>
    <w:rsid w:val="00D207E1"/>
    <w:rsid w:val="00D20953"/>
    <w:rsid w:val="00D24062"/>
    <w:rsid w:val="00D24569"/>
    <w:rsid w:val="00D253FF"/>
    <w:rsid w:val="00D354AA"/>
    <w:rsid w:val="00D36029"/>
    <w:rsid w:val="00D41B2E"/>
    <w:rsid w:val="00D41C13"/>
    <w:rsid w:val="00D41EA6"/>
    <w:rsid w:val="00D45BD0"/>
    <w:rsid w:val="00D468B9"/>
    <w:rsid w:val="00D47281"/>
    <w:rsid w:val="00D531A1"/>
    <w:rsid w:val="00D63CD7"/>
    <w:rsid w:val="00D65679"/>
    <w:rsid w:val="00D72444"/>
    <w:rsid w:val="00D72511"/>
    <w:rsid w:val="00D74186"/>
    <w:rsid w:val="00D7424C"/>
    <w:rsid w:val="00D74FBE"/>
    <w:rsid w:val="00D81C07"/>
    <w:rsid w:val="00D81E61"/>
    <w:rsid w:val="00D83915"/>
    <w:rsid w:val="00D84BDD"/>
    <w:rsid w:val="00D84FAE"/>
    <w:rsid w:val="00D8695A"/>
    <w:rsid w:val="00D906A4"/>
    <w:rsid w:val="00D9191F"/>
    <w:rsid w:val="00D9300B"/>
    <w:rsid w:val="00D93B1E"/>
    <w:rsid w:val="00D940D3"/>
    <w:rsid w:val="00D96912"/>
    <w:rsid w:val="00DA00CE"/>
    <w:rsid w:val="00DA25F9"/>
    <w:rsid w:val="00DA53F5"/>
    <w:rsid w:val="00DA71DA"/>
    <w:rsid w:val="00DB03EE"/>
    <w:rsid w:val="00DB2969"/>
    <w:rsid w:val="00DB5E58"/>
    <w:rsid w:val="00DB6BF4"/>
    <w:rsid w:val="00DB7222"/>
    <w:rsid w:val="00DC0239"/>
    <w:rsid w:val="00DC09FC"/>
    <w:rsid w:val="00DC251C"/>
    <w:rsid w:val="00DC2BB3"/>
    <w:rsid w:val="00DC5843"/>
    <w:rsid w:val="00DC7A18"/>
    <w:rsid w:val="00DD0301"/>
    <w:rsid w:val="00DD0D1A"/>
    <w:rsid w:val="00DD301E"/>
    <w:rsid w:val="00DD36A1"/>
    <w:rsid w:val="00DD406E"/>
    <w:rsid w:val="00DD5DBE"/>
    <w:rsid w:val="00DD6F7B"/>
    <w:rsid w:val="00DD75A4"/>
    <w:rsid w:val="00DE18E9"/>
    <w:rsid w:val="00DE67F2"/>
    <w:rsid w:val="00DE6BD1"/>
    <w:rsid w:val="00DF355F"/>
    <w:rsid w:val="00DF6149"/>
    <w:rsid w:val="00E007CA"/>
    <w:rsid w:val="00E0182F"/>
    <w:rsid w:val="00E01C9D"/>
    <w:rsid w:val="00E14641"/>
    <w:rsid w:val="00E147FF"/>
    <w:rsid w:val="00E2046D"/>
    <w:rsid w:val="00E20D98"/>
    <w:rsid w:val="00E21195"/>
    <w:rsid w:val="00E220B1"/>
    <w:rsid w:val="00E22586"/>
    <w:rsid w:val="00E23DB4"/>
    <w:rsid w:val="00E267CF"/>
    <w:rsid w:val="00E2798D"/>
    <w:rsid w:val="00E27CFB"/>
    <w:rsid w:val="00E27F6A"/>
    <w:rsid w:val="00E3100F"/>
    <w:rsid w:val="00E31E77"/>
    <w:rsid w:val="00E32539"/>
    <w:rsid w:val="00E3727C"/>
    <w:rsid w:val="00E37EB1"/>
    <w:rsid w:val="00E41766"/>
    <w:rsid w:val="00E44ECE"/>
    <w:rsid w:val="00E52244"/>
    <w:rsid w:val="00E527A5"/>
    <w:rsid w:val="00E57356"/>
    <w:rsid w:val="00E6346C"/>
    <w:rsid w:val="00E636F5"/>
    <w:rsid w:val="00E666B9"/>
    <w:rsid w:val="00E66B31"/>
    <w:rsid w:val="00E66E80"/>
    <w:rsid w:val="00E67CE0"/>
    <w:rsid w:val="00E7123E"/>
    <w:rsid w:val="00E714EF"/>
    <w:rsid w:val="00E717CB"/>
    <w:rsid w:val="00E71CBE"/>
    <w:rsid w:val="00E742D2"/>
    <w:rsid w:val="00E758BD"/>
    <w:rsid w:val="00E76A09"/>
    <w:rsid w:val="00E7712F"/>
    <w:rsid w:val="00E80613"/>
    <w:rsid w:val="00E83755"/>
    <w:rsid w:val="00E8564B"/>
    <w:rsid w:val="00EA21D2"/>
    <w:rsid w:val="00EA742F"/>
    <w:rsid w:val="00EB67FB"/>
    <w:rsid w:val="00EB701A"/>
    <w:rsid w:val="00EC061B"/>
    <w:rsid w:val="00EC2D10"/>
    <w:rsid w:val="00EC3F3A"/>
    <w:rsid w:val="00EC4F96"/>
    <w:rsid w:val="00EC78F1"/>
    <w:rsid w:val="00ED0B84"/>
    <w:rsid w:val="00ED1698"/>
    <w:rsid w:val="00ED4C6F"/>
    <w:rsid w:val="00ED5BF8"/>
    <w:rsid w:val="00EE066A"/>
    <w:rsid w:val="00EE0ACF"/>
    <w:rsid w:val="00EE2313"/>
    <w:rsid w:val="00EE2CE4"/>
    <w:rsid w:val="00EE2F29"/>
    <w:rsid w:val="00EE38E9"/>
    <w:rsid w:val="00EE685E"/>
    <w:rsid w:val="00EE6C10"/>
    <w:rsid w:val="00EE76FA"/>
    <w:rsid w:val="00EE7E60"/>
    <w:rsid w:val="00EE7EA7"/>
    <w:rsid w:val="00EF0AD2"/>
    <w:rsid w:val="00EF28E3"/>
    <w:rsid w:val="00EF43D3"/>
    <w:rsid w:val="00EF7254"/>
    <w:rsid w:val="00F059BF"/>
    <w:rsid w:val="00F05C02"/>
    <w:rsid w:val="00F0622F"/>
    <w:rsid w:val="00F064CB"/>
    <w:rsid w:val="00F12BFB"/>
    <w:rsid w:val="00F145F8"/>
    <w:rsid w:val="00F14F29"/>
    <w:rsid w:val="00F16911"/>
    <w:rsid w:val="00F20922"/>
    <w:rsid w:val="00F20D27"/>
    <w:rsid w:val="00F21C13"/>
    <w:rsid w:val="00F242AC"/>
    <w:rsid w:val="00F26325"/>
    <w:rsid w:val="00F30765"/>
    <w:rsid w:val="00F30B35"/>
    <w:rsid w:val="00F30C66"/>
    <w:rsid w:val="00F319D8"/>
    <w:rsid w:val="00F377E4"/>
    <w:rsid w:val="00F41139"/>
    <w:rsid w:val="00F427C4"/>
    <w:rsid w:val="00F42EA4"/>
    <w:rsid w:val="00F45081"/>
    <w:rsid w:val="00F45B37"/>
    <w:rsid w:val="00F463D6"/>
    <w:rsid w:val="00F46F17"/>
    <w:rsid w:val="00F50931"/>
    <w:rsid w:val="00F51219"/>
    <w:rsid w:val="00F522AD"/>
    <w:rsid w:val="00F60763"/>
    <w:rsid w:val="00F609DB"/>
    <w:rsid w:val="00F62A13"/>
    <w:rsid w:val="00F62D93"/>
    <w:rsid w:val="00F6464E"/>
    <w:rsid w:val="00F66258"/>
    <w:rsid w:val="00F70F0A"/>
    <w:rsid w:val="00F717F7"/>
    <w:rsid w:val="00F75C4F"/>
    <w:rsid w:val="00F76366"/>
    <w:rsid w:val="00F76EE3"/>
    <w:rsid w:val="00F812A5"/>
    <w:rsid w:val="00F84CEF"/>
    <w:rsid w:val="00F9012D"/>
    <w:rsid w:val="00F93061"/>
    <w:rsid w:val="00FA1E3E"/>
    <w:rsid w:val="00FA74E0"/>
    <w:rsid w:val="00FB08BB"/>
    <w:rsid w:val="00FB0ECB"/>
    <w:rsid w:val="00FB540D"/>
    <w:rsid w:val="00FB5D4B"/>
    <w:rsid w:val="00FC053E"/>
    <w:rsid w:val="00FC12BC"/>
    <w:rsid w:val="00FC274C"/>
    <w:rsid w:val="00FC2D0A"/>
    <w:rsid w:val="00FC2E31"/>
    <w:rsid w:val="00FC330E"/>
    <w:rsid w:val="00FC3788"/>
    <w:rsid w:val="00FC6DA7"/>
    <w:rsid w:val="00FD0B57"/>
    <w:rsid w:val="00FD29B3"/>
    <w:rsid w:val="00FD2BD9"/>
    <w:rsid w:val="00FD498D"/>
    <w:rsid w:val="00FD4CE7"/>
    <w:rsid w:val="00FE2C5B"/>
    <w:rsid w:val="00FE43EC"/>
    <w:rsid w:val="00FE7EAA"/>
    <w:rsid w:val="00FE7F98"/>
    <w:rsid w:val="00FF2BAC"/>
    <w:rsid w:val="00FF6A96"/>
    <w:rsid w:val="00FF6F8C"/>
    <w:rsid w:val="00FF736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0610E6"/>
  <w15:docId w15:val="{CC68FECA-2F16-4B64-AD70-40D1B4761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60" w:lineRule="auto"/>
    </w:pPr>
    <w:rPr>
      <w:rFonts w:ascii="DepCentury Old Style" w:hAnsi="DepCentury Old Style"/>
      <w:sz w:val="24"/>
    </w:rPr>
  </w:style>
  <w:style w:type="paragraph" w:styleId="Overskrift1">
    <w:name w:val="heading 1"/>
    <w:next w:val="Normal"/>
    <w:qFormat/>
    <w:rsid w:val="007217C4"/>
    <w:pPr>
      <w:keepNext/>
      <w:keepLines/>
      <w:numPr>
        <w:numId w:val="3"/>
      </w:numPr>
      <w:spacing w:before="240" w:after="120"/>
      <w:outlineLvl w:val="0"/>
    </w:pPr>
    <w:rPr>
      <w:rFonts w:ascii="DepCentury Old Style" w:hAnsi="DepCentury Old Style"/>
      <w:b/>
      <w:caps/>
      <w:kern w:val="28"/>
      <w:sz w:val="24"/>
    </w:rPr>
  </w:style>
  <w:style w:type="paragraph" w:styleId="Overskrift2">
    <w:name w:val="heading 2"/>
    <w:basedOn w:val="Overskrift1"/>
    <w:next w:val="Normal"/>
    <w:qFormat/>
    <w:pPr>
      <w:numPr>
        <w:ilvl w:val="1"/>
        <w:numId w:val="4"/>
      </w:numPr>
      <w:ind w:left="567" w:hanging="567"/>
      <w:outlineLvl w:val="1"/>
    </w:pPr>
    <w:rPr>
      <w:caps w:val="0"/>
    </w:rPr>
  </w:style>
  <w:style w:type="paragraph" w:styleId="Overskrift3">
    <w:name w:val="heading 3"/>
    <w:basedOn w:val="Overskrift2"/>
    <w:next w:val="Normal"/>
    <w:qFormat/>
    <w:rsid w:val="007E17F7"/>
    <w:pPr>
      <w:numPr>
        <w:ilvl w:val="2"/>
        <w:numId w:val="5"/>
      </w:numPr>
      <w:ind w:hanging="567"/>
      <w:outlineLvl w:val="2"/>
    </w:pPr>
  </w:style>
  <w:style w:type="paragraph" w:styleId="Overskrift4">
    <w:name w:val="heading 4"/>
    <w:basedOn w:val="Overskrift3"/>
    <w:next w:val="Normal"/>
    <w:qFormat/>
    <w:rsid w:val="00DB03EE"/>
    <w:pPr>
      <w:numPr>
        <w:ilvl w:val="3"/>
        <w:numId w:val="6"/>
      </w:numPr>
      <w:ind w:left="851" w:hanging="851"/>
      <w:outlineLvl w:val="3"/>
    </w:pPr>
  </w:style>
  <w:style w:type="paragraph" w:styleId="Overskrift5">
    <w:name w:val="heading 5"/>
    <w:basedOn w:val="Overskrift3"/>
    <w:next w:val="Normal"/>
    <w:qFormat/>
    <w:pPr>
      <w:numPr>
        <w:ilvl w:val="4"/>
        <w:numId w:val="7"/>
      </w:numPr>
      <w:ind w:hanging="1134"/>
      <w:outlineLvl w:val="4"/>
    </w:pPr>
  </w:style>
  <w:style w:type="paragraph" w:styleId="Overskrift6">
    <w:name w:val="heading 6"/>
    <w:basedOn w:val="Overskrift3"/>
    <w:next w:val="Normal"/>
    <w:qFormat/>
    <w:pPr>
      <w:numPr>
        <w:ilvl w:val="5"/>
        <w:numId w:val="8"/>
      </w:numPr>
      <w:outlineLvl w:val="5"/>
    </w:pPr>
  </w:style>
  <w:style w:type="paragraph" w:styleId="Overskrift7">
    <w:name w:val="heading 7"/>
    <w:basedOn w:val="Overskrift6"/>
    <w:next w:val="Normal"/>
    <w:qFormat/>
    <w:pPr>
      <w:numPr>
        <w:ilvl w:val="6"/>
        <w:numId w:val="9"/>
      </w:numPr>
      <w:outlineLvl w:val="6"/>
    </w:pPr>
  </w:style>
  <w:style w:type="paragraph" w:styleId="Overskrift8">
    <w:name w:val="heading 8"/>
    <w:basedOn w:val="Overskrift6"/>
    <w:next w:val="Normal"/>
    <w:qFormat/>
    <w:pPr>
      <w:numPr>
        <w:ilvl w:val="7"/>
        <w:numId w:val="10"/>
      </w:numPr>
      <w:outlineLvl w:val="7"/>
    </w:pPr>
  </w:style>
  <w:style w:type="paragraph" w:styleId="Overskrift9">
    <w:name w:val="heading 9"/>
    <w:basedOn w:val="Overskrift6"/>
    <w:next w:val="Normal"/>
    <w:qFormat/>
    <w:pPr>
      <w:numPr>
        <w:ilvl w:val="8"/>
        <w:numId w:val="11"/>
      </w:numPr>
      <w:tabs>
        <w:tab w:val="num" w:pos="360"/>
      </w:tabs>
      <w:outlineLvl w:val="8"/>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next w:val="Normal"/>
    <w:qFormat/>
    <w:pPr>
      <w:spacing w:after="120"/>
      <w:jc w:val="center"/>
    </w:pPr>
    <w:rPr>
      <w:rFonts w:ascii="DepCentury Old Style" w:hAnsi="DepCentury Old Style"/>
      <w:b/>
      <w:caps/>
      <w:kern w:val="28"/>
      <w:sz w:val="24"/>
    </w:rPr>
  </w:style>
  <w:style w:type="paragraph" w:styleId="INNH1">
    <w:name w:val="toc 1"/>
    <w:basedOn w:val="Normal"/>
    <w:next w:val="Normal"/>
    <w:uiPriority w:val="39"/>
    <w:qFormat/>
    <w:pPr>
      <w:tabs>
        <w:tab w:val="right" w:leader="dot" w:pos="9071"/>
      </w:tabs>
    </w:pPr>
  </w:style>
  <w:style w:type="paragraph" w:customStyle="1" w:styleId="Innrykk1">
    <w:name w:val="Innrykk_1"/>
    <w:basedOn w:val="Normal"/>
    <w:pPr>
      <w:ind w:left="567"/>
    </w:pPr>
  </w:style>
  <w:style w:type="paragraph" w:customStyle="1" w:styleId="Innrykk2">
    <w:name w:val="Innrykk_2"/>
    <w:basedOn w:val="Normal"/>
    <w:pPr>
      <w:ind w:left="1134"/>
    </w:pPr>
  </w:style>
  <w:style w:type="paragraph" w:styleId="Nummerertliste">
    <w:name w:val="List Number"/>
    <w:basedOn w:val="Normal"/>
    <w:pPr>
      <w:ind w:left="567" w:hanging="567"/>
    </w:pPr>
  </w:style>
  <w:style w:type="paragraph" w:customStyle="1" w:styleId="Nummerliste2">
    <w:name w:val="Nummerliste_2"/>
    <w:basedOn w:val="Nummerertliste"/>
  </w:style>
  <w:style w:type="paragraph" w:customStyle="1" w:styleId="DepHeading">
    <w:name w:val="DepHeading"/>
    <w:basedOn w:val="Normal"/>
    <w:pPr>
      <w:spacing w:before="20"/>
      <w:jc w:val="center"/>
    </w:pPr>
    <w:rPr>
      <w:b/>
      <w:color w:val="000000"/>
      <w:spacing w:val="10"/>
      <w:kern w:val="2"/>
      <w:sz w:val="23"/>
    </w:rPr>
  </w:style>
  <w:style w:type="paragraph" w:customStyle="1" w:styleId="Nummerliste3">
    <w:name w:val="Nummerliste_3"/>
    <w:basedOn w:val="Nummerliste2"/>
  </w:style>
  <w:style w:type="paragraph" w:customStyle="1" w:styleId="Nummerlisteluft">
    <w:name w:val="Nummerliste_luft"/>
    <w:basedOn w:val="Nummerertliste"/>
    <w:pPr>
      <w:spacing w:after="240"/>
    </w:pPr>
  </w:style>
  <w:style w:type="paragraph" w:customStyle="1" w:styleId="Nummerliste2luft">
    <w:name w:val="Nummerliste_2_luft"/>
    <w:basedOn w:val="Nummerliste2"/>
    <w:pPr>
      <w:spacing w:after="240"/>
    </w:pPr>
  </w:style>
  <w:style w:type="paragraph" w:customStyle="1" w:styleId="Nummerliste3luft">
    <w:name w:val="Nummerliste_3_luft"/>
    <w:basedOn w:val="Nummerliste3"/>
    <w:pPr>
      <w:spacing w:after="240"/>
    </w:pPr>
  </w:style>
  <w:style w:type="paragraph" w:styleId="INNH2">
    <w:name w:val="toc 2"/>
    <w:basedOn w:val="Normal"/>
    <w:next w:val="Normal"/>
    <w:uiPriority w:val="39"/>
    <w:qFormat/>
    <w:pPr>
      <w:tabs>
        <w:tab w:val="right" w:leader="dot" w:pos="9071"/>
      </w:tabs>
      <w:ind w:left="567"/>
    </w:pPr>
  </w:style>
  <w:style w:type="paragraph" w:styleId="INNH3">
    <w:name w:val="toc 3"/>
    <w:basedOn w:val="Normal"/>
    <w:next w:val="Normal"/>
    <w:uiPriority w:val="39"/>
    <w:qFormat/>
    <w:pPr>
      <w:tabs>
        <w:tab w:val="right" w:leader="dot" w:pos="9071"/>
      </w:tabs>
      <w:ind w:left="567"/>
    </w:pPr>
  </w:style>
  <w:style w:type="paragraph" w:styleId="INNH4">
    <w:name w:val="toc 4"/>
    <w:basedOn w:val="Normal"/>
    <w:next w:val="Normal"/>
    <w:uiPriority w:val="39"/>
    <w:pPr>
      <w:tabs>
        <w:tab w:val="right" w:leader="dot" w:pos="9071"/>
      </w:tabs>
      <w:ind w:left="1134"/>
    </w:pPr>
  </w:style>
  <w:style w:type="paragraph" w:styleId="INNH5">
    <w:name w:val="toc 5"/>
    <w:basedOn w:val="Normal"/>
    <w:next w:val="Normal"/>
    <w:semiHidden/>
    <w:pPr>
      <w:tabs>
        <w:tab w:val="right" w:leader="dot" w:pos="9071"/>
      </w:tabs>
      <w:ind w:left="1134"/>
    </w:pPr>
  </w:style>
  <w:style w:type="paragraph" w:styleId="INNH6">
    <w:name w:val="toc 6"/>
    <w:basedOn w:val="Normal"/>
    <w:next w:val="Normal"/>
    <w:semiHidden/>
    <w:pPr>
      <w:tabs>
        <w:tab w:val="right" w:leader="dot" w:pos="9071"/>
      </w:tabs>
      <w:ind w:left="1000"/>
    </w:pPr>
  </w:style>
  <w:style w:type="paragraph" w:styleId="INNH7">
    <w:name w:val="toc 7"/>
    <w:basedOn w:val="Normal"/>
    <w:next w:val="Normal"/>
    <w:semiHidden/>
    <w:pPr>
      <w:tabs>
        <w:tab w:val="right" w:leader="dot" w:pos="9071"/>
      </w:tabs>
      <w:ind w:left="1200"/>
    </w:pPr>
  </w:style>
  <w:style w:type="paragraph" w:styleId="INNH8">
    <w:name w:val="toc 8"/>
    <w:basedOn w:val="Normal"/>
    <w:next w:val="Normal"/>
    <w:semiHidden/>
    <w:pPr>
      <w:tabs>
        <w:tab w:val="right" w:leader="dot" w:pos="9071"/>
      </w:tabs>
      <w:ind w:left="1400"/>
    </w:pPr>
  </w:style>
  <w:style w:type="paragraph" w:styleId="INNH9">
    <w:name w:val="toc 9"/>
    <w:basedOn w:val="Normal"/>
    <w:next w:val="Normal"/>
    <w:semiHidden/>
    <w:pPr>
      <w:tabs>
        <w:tab w:val="right" w:leader="dot" w:pos="9071"/>
      </w:tabs>
      <w:ind w:left="1600"/>
    </w:pPr>
  </w:style>
  <w:style w:type="paragraph" w:styleId="Bunntekst">
    <w:name w:val="footer"/>
    <w:link w:val="BunntekstTegn"/>
    <w:uiPriority w:val="99"/>
    <w:pPr>
      <w:tabs>
        <w:tab w:val="right" w:pos="9072"/>
      </w:tabs>
      <w:spacing w:line="240" w:lineRule="exact"/>
    </w:pPr>
    <w:rPr>
      <w:rFonts w:ascii="DepCentury Old Style" w:hAnsi="DepCentury Old Style"/>
    </w:rPr>
  </w:style>
  <w:style w:type="paragraph" w:styleId="Bildetekst">
    <w:name w:val="caption"/>
    <w:basedOn w:val="Normal"/>
    <w:next w:val="Normal"/>
    <w:qFormat/>
    <w:pPr>
      <w:spacing w:before="120" w:after="120"/>
    </w:pPr>
    <w:rPr>
      <w:b/>
    </w:rPr>
  </w:style>
  <w:style w:type="paragraph" w:customStyle="1" w:styleId="Nummerfortlpende">
    <w:name w:val="Nummer fortløpende"/>
    <w:basedOn w:val="Normal"/>
    <w:next w:val="Normal"/>
    <w:pPr>
      <w:ind w:left="567" w:hanging="567"/>
    </w:pPr>
  </w:style>
  <w:style w:type="paragraph" w:styleId="Topptekst">
    <w:name w:val="header"/>
    <w:basedOn w:val="Normal"/>
    <w:pPr>
      <w:tabs>
        <w:tab w:val="center" w:pos="4536"/>
      </w:tabs>
      <w:spacing w:line="240" w:lineRule="auto"/>
      <w:ind w:left="-1701" w:right="-1134"/>
    </w:pPr>
    <w:rPr>
      <w:sz w:val="20"/>
    </w:rPr>
  </w:style>
  <w:style w:type="paragraph" w:customStyle="1" w:styleId="Brevtittel">
    <w:name w:val="Brevtittel"/>
    <w:basedOn w:val="Normal"/>
    <w:next w:val="Normal"/>
    <w:pPr>
      <w:spacing w:after="240"/>
    </w:pPr>
    <w:rPr>
      <w:b/>
    </w:rPr>
  </w:style>
  <w:style w:type="paragraph" w:customStyle="1" w:styleId="Vedlegg">
    <w:name w:val="Vedlegg"/>
    <w:next w:val="Normal"/>
    <w:pPr>
      <w:spacing w:after="120"/>
      <w:ind w:left="1701" w:hanging="1701"/>
      <w:jc w:val="both"/>
    </w:pPr>
    <w:rPr>
      <w:rFonts w:ascii="DepCentury Old Style" w:hAnsi="DepCentury Old Style"/>
      <w:sz w:val="24"/>
    </w:rPr>
  </w:style>
  <w:style w:type="paragraph" w:styleId="Figurliste">
    <w:name w:val="table of figures"/>
    <w:basedOn w:val="Normal"/>
    <w:next w:val="Normal"/>
    <w:semiHidden/>
    <w:pPr>
      <w:tabs>
        <w:tab w:val="right" w:leader="dot" w:pos="9071"/>
      </w:tabs>
      <w:ind w:left="567" w:hanging="567"/>
    </w:pPr>
  </w:style>
  <w:style w:type="paragraph" w:styleId="Makroteks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styleId="Merknadsreferanse">
    <w:name w:val="annotation reference"/>
    <w:semiHidden/>
    <w:rsid w:val="00103A12"/>
    <w:rPr>
      <w:sz w:val="16"/>
      <w:szCs w:val="16"/>
    </w:rPr>
  </w:style>
  <w:style w:type="paragraph" w:styleId="Meldingshod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Undertittel">
    <w:name w:val="Subtitle"/>
    <w:basedOn w:val="Normal"/>
    <w:qFormat/>
    <w:pPr>
      <w:spacing w:after="60"/>
      <w:jc w:val="center"/>
    </w:pPr>
  </w:style>
  <w:style w:type="paragraph" w:customStyle="1" w:styleId="DepKode">
    <w:name w:val="DepKode"/>
    <w:basedOn w:val="Normal"/>
    <w:pPr>
      <w:spacing w:before="80"/>
      <w:jc w:val="center"/>
    </w:pPr>
    <w:rPr>
      <w:rFonts w:ascii="Arial" w:hAnsi="Arial"/>
      <w:b/>
      <w:caps/>
      <w:color w:val="FFFFFF"/>
      <w:sz w:val="26"/>
    </w:rPr>
  </w:style>
  <w:style w:type="paragraph" w:customStyle="1" w:styleId="liste1">
    <w:name w:val="liste 1"/>
    <w:basedOn w:val="Liste"/>
  </w:style>
  <w:style w:type="paragraph" w:styleId="Liste">
    <w:name w:val="List"/>
    <w:basedOn w:val="Normal"/>
    <w:pPr>
      <w:ind w:left="283" w:hanging="283"/>
    </w:pPr>
  </w:style>
  <w:style w:type="paragraph" w:customStyle="1" w:styleId="NummerNiv1">
    <w:name w:val="NummerNivå 1"/>
    <w:basedOn w:val="Nummerlisteluft"/>
    <w:pPr>
      <w:spacing w:after="120"/>
    </w:pPr>
  </w:style>
  <w:style w:type="character" w:styleId="Sidetall">
    <w:name w:val="page number"/>
    <w:basedOn w:val="Standardskriftforavsnitt"/>
  </w:style>
  <w:style w:type="paragraph" w:styleId="Merknadstekst">
    <w:name w:val="annotation text"/>
    <w:basedOn w:val="Normal"/>
    <w:link w:val="MerknadstekstTegn"/>
    <w:uiPriority w:val="99"/>
    <w:semiHidden/>
    <w:rsid w:val="00103A12"/>
    <w:rPr>
      <w:sz w:val="20"/>
    </w:rPr>
  </w:style>
  <w:style w:type="paragraph" w:styleId="Kommentaremne">
    <w:name w:val="annotation subject"/>
    <w:basedOn w:val="Merknadstekst"/>
    <w:next w:val="Merknadstekst"/>
    <w:semiHidden/>
    <w:rsid w:val="00103A12"/>
    <w:rPr>
      <w:b/>
      <w:bCs/>
    </w:rPr>
  </w:style>
  <w:style w:type="paragraph" w:styleId="Bobletekst">
    <w:name w:val="Balloon Text"/>
    <w:basedOn w:val="Normal"/>
    <w:semiHidden/>
    <w:rsid w:val="00103A12"/>
    <w:rPr>
      <w:rFonts w:ascii="Tahoma" w:hAnsi="Tahoma" w:cs="Tahoma"/>
      <w:sz w:val="16"/>
      <w:szCs w:val="16"/>
    </w:rPr>
  </w:style>
  <w:style w:type="character" w:customStyle="1" w:styleId="BunntekstTegn">
    <w:name w:val="Bunntekst Tegn"/>
    <w:link w:val="Bunntekst"/>
    <w:uiPriority w:val="99"/>
    <w:rsid w:val="00FF7361"/>
    <w:rPr>
      <w:rFonts w:ascii="DepCentury Old Style" w:hAnsi="DepCentury Old Style"/>
    </w:rPr>
  </w:style>
  <w:style w:type="paragraph" w:styleId="Overskriftforinnholdsfortegnelse">
    <w:name w:val="TOC Heading"/>
    <w:basedOn w:val="Overskrift1"/>
    <w:next w:val="Normal"/>
    <w:uiPriority w:val="39"/>
    <w:semiHidden/>
    <w:unhideWhenUsed/>
    <w:qFormat/>
    <w:rsid w:val="00B73AFA"/>
    <w:pPr>
      <w:numPr>
        <w:numId w:val="0"/>
      </w:numPr>
      <w:spacing w:before="480" w:after="0" w:line="276" w:lineRule="auto"/>
      <w:outlineLvl w:val="9"/>
    </w:pPr>
    <w:rPr>
      <w:rFonts w:asciiTheme="majorHAnsi" w:eastAsiaTheme="majorEastAsia" w:hAnsiTheme="majorHAnsi" w:cstheme="majorBidi"/>
      <w:bCs/>
      <w:caps w:val="0"/>
      <w:color w:val="365F91" w:themeColor="accent1" w:themeShade="BF"/>
      <w:kern w:val="0"/>
      <w:sz w:val="28"/>
      <w:szCs w:val="28"/>
    </w:rPr>
  </w:style>
  <w:style w:type="character" w:styleId="Hyperkobling">
    <w:name w:val="Hyperlink"/>
    <w:basedOn w:val="Standardskriftforavsnitt"/>
    <w:uiPriority w:val="99"/>
    <w:unhideWhenUsed/>
    <w:rsid w:val="00B73AFA"/>
    <w:rPr>
      <w:color w:val="0000FF" w:themeColor="hyperlink"/>
      <w:u w:val="single"/>
    </w:rPr>
  </w:style>
  <w:style w:type="character" w:styleId="Plassholdertekst">
    <w:name w:val="Placeholder Text"/>
    <w:basedOn w:val="Standardskriftforavsnitt"/>
    <w:uiPriority w:val="99"/>
    <w:semiHidden/>
    <w:rsid w:val="00A443E3"/>
    <w:rPr>
      <w:color w:val="808080"/>
    </w:rPr>
  </w:style>
  <w:style w:type="paragraph" w:styleId="Fotnotetekst">
    <w:name w:val="footnote text"/>
    <w:basedOn w:val="Normal"/>
    <w:link w:val="FotnotetekstTegn"/>
    <w:uiPriority w:val="99"/>
    <w:semiHidden/>
    <w:unhideWhenUsed/>
    <w:rsid w:val="00A212F7"/>
    <w:pPr>
      <w:spacing w:line="240" w:lineRule="auto"/>
    </w:pPr>
    <w:rPr>
      <w:sz w:val="20"/>
    </w:rPr>
  </w:style>
  <w:style w:type="character" w:customStyle="1" w:styleId="FotnotetekstTegn">
    <w:name w:val="Fotnotetekst Tegn"/>
    <w:basedOn w:val="Standardskriftforavsnitt"/>
    <w:link w:val="Fotnotetekst"/>
    <w:uiPriority w:val="99"/>
    <w:semiHidden/>
    <w:rsid w:val="00A212F7"/>
    <w:rPr>
      <w:rFonts w:ascii="DepCentury Old Style" w:hAnsi="DepCentury Old Style"/>
    </w:rPr>
  </w:style>
  <w:style w:type="character" w:styleId="Fotnotereferanse">
    <w:name w:val="footnote reference"/>
    <w:basedOn w:val="Standardskriftforavsnitt"/>
    <w:uiPriority w:val="99"/>
    <w:semiHidden/>
    <w:unhideWhenUsed/>
    <w:rsid w:val="00A212F7"/>
    <w:rPr>
      <w:vertAlign w:val="superscript"/>
    </w:rPr>
  </w:style>
  <w:style w:type="character" w:styleId="Fulgthyperkobling">
    <w:name w:val="FollowedHyperlink"/>
    <w:basedOn w:val="Standardskriftforavsnitt"/>
    <w:uiPriority w:val="99"/>
    <w:semiHidden/>
    <w:unhideWhenUsed/>
    <w:rsid w:val="00F20922"/>
    <w:rPr>
      <w:color w:val="800080" w:themeColor="followedHyperlink"/>
      <w:u w:val="single"/>
    </w:rPr>
  </w:style>
  <w:style w:type="character" w:customStyle="1" w:styleId="avsnittnummer">
    <w:name w:val="avsnittnummer"/>
    <w:basedOn w:val="Standardskriftforavsnitt"/>
    <w:rsid w:val="00E32539"/>
  </w:style>
  <w:style w:type="paragraph" w:styleId="Listeavsnitt">
    <w:name w:val="List Paragraph"/>
    <w:basedOn w:val="Normal"/>
    <w:uiPriority w:val="34"/>
    <w:qFormat/>
    <w:rsid w:val="001F3A37"/>
    <w:pPr>
      <w:ind w:left="720"/>
      <w:contextualSpacing/>
    </w:pPr>
  </w:style>
  <w:style w:type="paragraph" w:styleId="Brdtekst">
    <w:name w:val="Body Text"/>
    <w:basedOn w:val="Normal"/>
    <w:link w:val="BrdtekstTegn"/>
    <w:uiPriority w:val="99"/>
    <w:unhideWhenUsed/>
    <w:rsid w:val="00800EBF"/>
    <w:pPr>
      <w:spacing w:after="120"/>
    </w:pPr>
  </w:style>
  <w:style w:type="character" w:customStyle="1" w:styleId="BrdtekstTegn">
    <w:name w:val="Brødtekst Tegn"/>
    <w:basedOn w:val="Standardskriftforavsnitt"/>
    <w:link w:val="Brdtekst"/>
    <w:uiPriority w:val="99"/>
    <w:rsid w:val="00800EBF"/>
    <w:rPr>
      <w:rFonts w:ascii="DepCentury Old Style" w:hAnsi="DepCentury Old Style"/>
      <w:sz w:val="24"/>
    </w:rPr>
  </w:style>
  <w:style w:type="paragraph" w:styleId="Revisjon">
    <w:name w:val="Revision"/>
    <w:hidden/>
    <w:uiPriority w:val="99"/>
    <w:semiHidden/>
    <w:rsid w:val="00B50BCD"/>
    <w:rPr>
      <w:rFonts w:ascii="DepCentury Old Style" w:hAnsi="DepCentury Old Style"/>
      <w:sz w:val="24"/>
    </w:rPr>
  </w:style>
  <w:style w:type="table" w:styleId="Tabellrutenett">
    <w:name w:val="Table Grid"/>
    <w:basedOn w:val="Vanligtabell"/>
    <w:uiPriority w:val="59"/>
    <w:rsid w:val="00427A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rtaga">
    <w:name w:val="mortag_a"/>
    <w:basedOn w:val="Normal"/>
    <w:rsid w:val="005D0C4B"/>
    <w:pPr>
      <w:spacing w:before="100" w:beforeAutospacing="1" w:after="100" w:afterAutospacing="1" w:line="240" w:lineRule="auto"/>
    </w:pPr>
    <w:rPr>
      <w:rFonts w:ascii="Times New Roman" w:hAnsi="Times New Roman"/>
      <w:szCs w:val="24"/>
    </w:rPr>
  </w:style>
  <w:style w:type="character" w:customStyle="1" w:styleId="MerknadstekstTegn">
    <w:name w:val="Merknadstekst Tegn"/>
    <w:basedOn w:val="Standardskriftforavsnitt"/>
    <w:link w:val="Merknadstekst"/>
    <w:uiPriority w:val="99"/>
    <w:semiHidden/>
    <w:rsid w:val="00181613"/>
    <w:rPr>
      <w:rFonts w:ascii="DepCentury Old Style" w:hAnsi="DepCentury Old Sty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387080">
      <w:bodyDiv w:val="1"/>
      <w:marLeft w:val="0"/>
      <w:marRight w:val="0"/>
      <w:marTop w:val="0"/>
      <w:marBottom w:val="0"/>
      <w:divBdr>
        <w:top w:val="none" w:sz="0" w:space="0" w:color="auto"/>
        <w:left w:val="none" w:sz="0" w:space="0" w:color="auto"/>
        <w:bottom w:val="none" w:sz="0" w:space="0" w:color="auto"/>
        <w:right w:val="none" w:sz="0" w:space="0" w:color="auto"/>
      </w:divBdr>
    </w:div>
    <w:div w:id="484710409">
      <w:bodyDiv w:val="1"/>
      <w:marLeft w:val="0"/>
      <w:marRight w:val="0"/>
      <w:marTop w:val="0"/>
      <w:marBottom w:val="0"/>
      <w:divBdr>
        <w:top w:val="none" w:sz="0" w:space="0" w:color="auto"/>
        <w:left w:val="none" w:sz="0" w:space="0" w:color="auto"/>
        <w:bottom w:val="none" w:sz="0" w:space="0" w:color="auto"/>
        <w:right w:val="none" w:sz="0" w:space="0" w:color="auto"/>
      </w:divBdr>
      <w:divsChild>
        <w:div w:id="12655825">
          <w:marLeft w:val="0"/>
          <w:marRight w:val="0"/>
          <w:marTop w:val="0"/>
          <w:marBottom w:val="0"/>
          <w:divBdr>
            <w:top w:val="none" w:sz="0" w:space="0" w:color="auto"/>
            <w:left w:val="none" w:sz="0" w:space="0" w:color="auto"/>
            <w:bottom w:val="none" w:sz="0" w:space="0" w:color="auto"/>
            <w:right w:val="none" w:sz="0" w:space="0" w:color="auto"/>
          </w:divBdr>
          <w:divsChild>
            <w:div w:id="958342156">
              <w:marLeft w:val="2"/>
              <w:marRight w:val="2"/>
              <w:marTop w:val="75"/>
              <w:marBottom w:val="75"/>
              <w:divBdr>
                <w:top w:val="none" w:sz="0" w:space="0" w:color="auto"/>
                <w:left w:val="none" w:sz="0" w:space="0" w:color="auto"/>
                <w:bottom w:val="none" w:sz="0" w:space="0" w:color="auto"/>
                <w:right w:val="none" w:sz="0" w:space="0" w:color="auto"/>
              </w:divBdr>
              <w:divsChild>
                <w:div w:id="962269440">
                  <w:marLeft w:val="0"/>
                  <w:marRight w:val="0"/>
                  <w:marTop w:val="0"/>
                  <w:marBottom w:val="0"/>
                  <w:divBdr>
                    <w:top w:val="none" w:sz="0" w:space="0" w:color="auto"/>
                    <w:left w:val="none" w:sz="0" w:space="0" w:color="auto"/>
                    <w:bottom w:val="none" w:sz="0" w:space="0" w:color="auto"/>
                    <w:right w:val="none" w:sz="0" w:space="0" w:color="auto"/>
                  </w:divBdr>
                  <w:divsChild>
                    <w:div w:id="930161758">
                      <w:marLeft w:val="0"/>
                      <w:marRight w:val="0"/>
                      <w:marTop w:val="0"/>
                      <w:marBottom w:val="0"/>
                      <w:divBdr>
                        <w:top w:val="none" w:sz="0" w:space="0" w:color="auto"/>
                        <w:left w:val="none" w:sz="0" w:space="0" w:color="auto"/>
                        <w:bottom w:val="none" w:sz="0" w:space="0" w:color="auto"/>
                        <w:right w:val="none" w:sz="0" w:space="0" w:color="auto"/>
                      </w:divBdr>
                      <w:divsChild>
                        <w:div w:id="1525707121">
                          <w:marLeft w:val="0"/>
                          <w:marRight w:val="0"/>
                          <w:marTop w:val="0"/>
                          <w:marBottom w:val="0"/>
                          <w:divBdr>
                            <w:top w:val="none" w:sz="0" w:space="0" w:color="auto"/>
                            <w:left w:val="none" w:sz="0" w:space="0" w:color="auto"/>
                            <w:bottom w:val="none" w:sz="0" w:space="0" w:color="auto"/>
                            <w:right w:val="none" w:sz="0" w:space="0" w:color="auto"/>
                          </w:divBdr>
                          <w:divsChild>
                            <w:div w:id="17100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0972122">
      <w:bodyDiv w:val="1"/>
      <w:marLeft w:val="0"/>
      <w:marRight w:val="0"/>
      <w:marTop w:val="0"/>
      <w:marBottom w:val="0"/>
      <w:divBdr>
        <w:top w:val="none" w:sz="0" w:space="0" w:color="auto"/>
        <w:left w:val="none" w:sz="0" w:space="0" w:color="auto"/>
        <w:bottom w:val="none" w:sz="0" w:space="0" w:color="auto"/>
        <w:right w:val="none" w:sz="0" w:space="0" w:color="auto"/>
      </w:divBdr>
      <w:divsChild>
        <w:div w:id="1898203432">
          <w:marLeft w:val="0"/>
          <w:marRight w:val="0"/>
          <w:marTop w:val="0"/>
          <w:marBottom w:val="0"/>
          <w:divBdr>
            <w:top w:val="none" w:sz="0" w:space="0" w:color="auto"/>
            <w:left w:val="none" w:sz="0" w:space="0" w:color="auto"/>
            <w:bottom w:val="none" w:sz="0" w:space="0" w:color="auto"/>
            <w:right w:val="none" w:sz="0" w:space="0" w:color="auto"/>
          </w:divBdr>
          <w:divsChild>
            <w:div w:id="514223355">
              <w:marLeft w:val="0"/>
              <w:marRight w:val="0"/>
              <w:marTop w:val="0"/>
              <w:marBottom w:val="0"/>
              <w:divBdr>
                <w:top w:val="none" w:sz="0" w:space="0" w:color="auto"/>
                <w:left w:val="none" w:sz="0" w:space="0" w:color="auto"/>
                <w:bottom w:val="none" w:sz="0" w:space="0" w:color="auto"/>
                <w:right w:val="none" w:sz="0" w:space="0" w:color="auto"/>
              </w:divBdr>
              <w:divsChild>
                <w:div w:id="357237858">
                  <w:marLeft w:val="0"/>
                  <w:marRight w:val="0"/>
                  <w:marTop w:val="0"/>
                  <w:marBottom w:val="0"/>
                  <w:divBdr>
                    <w:top w:val="none" w:sz="0" w:space="0" w:color="auto"/>
                    <w:left w:val="none" w:sz="0" w:space="0" w:color="auto"/>
                    <w:bottom w:val="none" w:sz="0" w:space="0" w:color="auto"/>
                    <w:right w:val="none" w:sz="0" w:space="0" w:color="auto"/>
                  </w:divBdr>
                  <w:divsChild>
                    <w:div w:id="1942448082">
                      <w:marLeft w:val="0"/>
                      <w:marRight w:val="0"/>
                      <w:marTop w:val="0"/>
                      <w:marBottom w:val="0"/>
                      <w:divBdr>
                        <w:top w:val="none" w:sz="0" w:space="0" w:color="auto"/>
                        <w:left w:val="none" w:sz="0" w:space="0" w:color="auto"/>
                        <w:bottom w:val="none" w:sz="0" w:space="0" w:color="auto"/>
                        <w:right w:val="none" w:sz="0" w:space="0" w:color="auto"/>
                      </w:divBdr>
                      <w:divsChild>
                        <w:div w:id="863250648">
                          <w:marLeft w:val="0"/>
                          <w:marRight w:val="0"/>
                          <w:marTop w:val="0"/>
                          <w:marBottom w:val="0"/>
                          <w:divBdr>
                            <w:top w:val="none" w:sz="0" w:space="0" w:color="auto"/>
                            <w:left w:val="none" w:sz="0" w:space="0" w:color="auto"/>
                            <w:bottom w:val="none" w:sz="0" w:space="0" w:color="auto"/>
                            <w:right w:val="none" w:sz="0" w:space="0" w:color="auto"/>
                          </w:divBdr>
                          <w:divsChild>
                            <w:div w:id="201471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0247780">
      <w:bodyDiv w:val="1"/>
      <w:marLeft w:val="0"/>
      <w:marRight w:val="0"/>
      <w:marTop w:val="0"/>
      <w:marBottom w:val="0"/>
      <w:divBdr>
        <w:top w:val="none" w:sz="0" w:space="0" w:color="auto"/>
        <w:left w:val="none" w:sz="0" w:space="0" w:color="auto"/>
        <w:bottom w:val="none" w:sz="0" w:space="0" w:color="auto"/>
        <w:right w:val="none" w:sz="0" w:space="0" w:color="auto"/>
      </w:divBdr>
    </w:div>
    <w:div w:id="951287042">
      <w:bodyDiv w:val="1"/>
      <w:marLeft w:val="0"/>
      <w:marRight w:val="0"/>
      <w:marTop w:val="0"/>
      <w:marBottom w:val="0"/>
      <w:divBdr>
        <w:top w:val="none" w:sz="0" w:space="0" w:color="auto"/>
        <w:left w:val="none" w:sz="0" w:space="0" w:color="auto"/>
        <w:bottom w:val="none" w:sz="0" w:space="0" w:color="auto"/>
        <w:right w:val="none" w:sz="0" w:space="0" w:color="auto"/>
      </w:divBdr>
    </w:div>
    <w:div w:id="962269770">
      <w:bodyDiv w:val="1"/>
      <w:marLeft w:val="0"/>
      <w:marRight w:val="0"/>
      <w:marTop w:val="0"/>
      <w:marBottom w:val="0"/>
      <w:divBdr>
        <w:top w:val="none" w:sz="0" w:space="0" w:color="auto"/>
        <w:left w:val="none" w:sz="0" w:space="0" w:color="auto"/>
        <w:bottom w:val="none" w:sz="0" w:space="0" w:color="auto"/>
        <w:right w:val="none" w:sz="0" w:space="0" w:color="auto"/>
      </w:divBdr>
      <w:divsChild>
        <w:div w:id="595943619">
          <w:marLeft w:val="0"/>
          <w:marRight w:val="0"/>
          <w:marTop w:val="0"/>
          <w:marBottom w:val="0"/>
          <w:divBdr>
            <w:top w:val="none" w:sz="0" w:space="0" w:color="auto"/>
            <w:left w:val="none" w:sz="0" w:space="0" w:color="auto"/>
            <w:bottom w:val="none" w:sz="0" w:space="0" w:color="auto"/>
            <w:right w:val="none" w:sz="0" w:space="0" w:color="auto"/>
          </w:divBdr>
          <w:divsChild>
            <w:div w:id="1085418803">
              <w:marLeft w:val="0"/>
              <w:marRight w:val="0"/>
              <w:marTop w:val="0"/>
              <w:marBottom w:val="0"/>
              <w:divBdr>
                <w:top w:val="none" w:sz="0" w:space="0" w:color="auto"/>
                <w:left w:val="none" w:sz="0" w:space="0" w:color="auto"/>
                <w:bottom w:val="none" w:sz="0" w:space="0" w:color="auto"/>
                <w:right w:val="none" w:sz="0" w:space="0" w:color="auto"/>
              </w:divBdr>
              <w:divsChild>
                <w:div w:id="60916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737015">
      <w:bodyDiv w:val="1"/>
      <w:marLeft w:val="0"/>
      <w:marRight w:val="0"/>
      <w:marTop w:val="0"/>
      <w:marBottom w:val="0"/>
      <w:divBdr>
        <w:top w:val="none" w:sz="0" w:space="0" w:color="auto"/>
        <w:left w:val="none" w:sz="0" w:space="0" w:color="auto"/>
        <w:bottom w:val="none" w:sz="0" w:space="0" w:color="auto"/>
        <w:right w:val="none" w:sz="0" w:space="0" w:color="auto"/>
      </w:divBdr>
      <w:divsChild>
        <w:div w:id="993290052">
          <w:marLeft w:val="0"/>
          <w:marRight w:val="0"/>
          <w:marTop w:val="0"/>
          <w:marBottom w:val="0"/>
          <w:divBdr>
            <w:top w:val="none" w:sz="0" w:space="0" w:color="auto"/>
            <w:left w:val="none" w:sz="0" w:space="0" w:color="auto"/>
            <w:bottom w:val="none" w:sz="0" w:space="0" w:color="auto"/>
            <w:right w:val="none" w:sz="0" w:space="0" w:color="auto"/>
          </w:divBdr>
          <w:divsChild>
            <w:div w:id="1503860175">
              <w:marLeft w:val="0"/>
              <w:marRight w:val="0"/>
              <w:marTop w:val="0"/>
              <w:marBottom w:val="0"/>
              <w:divBdr>
                <w:top w:val="none" w:sz="0" w:space="0" w:color="auto"/>
                <w:left w:val="none" w:sz="0" w:space="0" w:color="auto"/>
                <w:bottom w:val="none" w:sz="0" w:space="0" w:color="auto"/>
                <w:right w:val="none" w:sz="0" w:space="0" w:color="auto"/>
              </w:divBdr>
              <w:divsChild>
                <w:div w:id="1206991284">
                  <w:marLeft w:val="0"/>
                  <w:marRight w:val="0"/>
                  <w:marTop w:val="0"/>
                  <w:marBottom w:val="0"/>
                  <w:divBdr>
                    <w:top w:val="none" w:sz="0" w:space="0" w:color="auto"/>
                    <w:left w:val="none" w:sz="0" w:space="0" w:color="auto"/>
                    <w:bottom w:val="none" w:sz="0" w:space="0" w:color="auto"/>
                    <w:right w:val="none" w:sz="0" w:space="0" w:color="auto"/>
                  </w:divBdr>
                  <w:divsChild>
                    <w:div w:id="1717000924">
                      <w:marLeft w:val="0"/>
                      <w:marRight w:val="0"/>
                      <w:marTop w:val="0"/>
                      <w:marBottom w:val="0"/>
                      <w:divBdr>
                        <w:top w:val="none" w:sz="0" w:space="0" w:color="auto"/>
                        <w:left w:val="none" w:sz="0" w:space="0" w:color="auto"/>
                        <w:bottom w:val="none" w:sz="0" w:space="0" w:color="auto"/>
                        <w:right w:val="none" w:sz="0" w:space="0" w:color="auto"/>
                      </w:divBdr>
                      <w:divsChild>
                        <w:div w:id="1400787226">
                          <w:marLeft w:val="0"/>
                          <w:marRight w:val="0"/>
                          <w:marTop w:val="0"/>
                          <w:marBottom w:val="0"/>
                          <w:divBdr>
                            <w:top w:val="none" w:sz="0" w:space="0" w:color="auto"/>
                            <w:left w:val="none" w:sz="0" w:space="0" w:color="auto"/>
                            <w:bottom w:val="none" w:sz="0" w:space="0" w:color="auto"/>
                            <w:right w:val="none" w:sz="0" w:space="0" w:color="auto"/>
                          </w:divBdr>
                          <w:divsChild>
                            <w:div w:id="2049643677">
                              <w:marLeft w:val="0"/>
                              <w:marRight w:val="0"/>
                              <w:marTop w:val="0"/>
                              <w:marBottom w:val="0"/>
                              <w:divBdr>
                                <w:top w:val="none" w:sz="0" w:space="0" w:color="auto"/>
                                <w:left w:val="none" w:sz="0" w:space="0" w:color="auto"/>
                                <w:bottom w:val="none" w:sz="0" w:space="0" w:color="auto"/>
                                <w:right w:val="none" w:sz="0" w:space="0" w:color="auto"/>
                              </w:divBdr>
                              <w:divsChild>
                                <w:div w:id="3472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641471">
      <w:bodyDiv w:val="1"/>
      <w:marLeft w:val="0"/>
      <w:marRight w:val="0"/>
      <w:marTop w:val="0"/>
      <w:marBottom w:val="0"/>
      <w:divBdr>
        <w:top w:val="none" w:sz="0" w:space="0" w:color="auto"/>
        <w:left w:val="none" w:sz="0" w:space="0" w:color="auto"/>
        <w:bottom w:val="none" w:sz="0" w:space="0" w:color="auto"/>
        <w:right w:val="none" w:sz="0" w:space="0" w:color="auto"/>
      </w:divBdr>
    </w:div>
    <w:div w:id="1257832822">
      <w:bodyDiv w:val="1"/>
      <w:marLeft w:val="0"/>
      <w:marRight w:val="0"/>
      <w:marTop w:val="0"/>
      <w:marBottom w:val="0"/>
      <w:divBdr>
        <w:top w:val="none" w:sz="0" w:space="0" w:color="auto"/>
        <w:left w:val="none" w:sz="0" w:space="0" w:color="auto"/>
        <w:bottom w:val="none" w:sz="0" w:space="0" w:color="auto"/>
        <w:right w:val="none" w:sz="0" w:space="0" w:color="auto"/>
      </w:divBdr>
    </w:div>
    <w:div w:id="2050102706">
      <w:bodyDiv w:val="1"/>
      <w:marLeft w:val="0"/>
      <w:marRight w:val="0"/>
      <w:marTop w:val="0"/>
      <w:marBottom w:val="0"/>
      <w:divBdr>
        <w:top w:val="none" w:sz="0" w:space="0" w:color="auto"/>
        <w:left w:val="none" w:sz="0" w:space="0" w:color="auto"/>
        <w:bottom w:val="none" w:sz="0" w:space="0" w:color="auto"/>
        <w:right w:val="none" w:sz="0" w:space="0" w:color="auto"/>
      </w:divBdr>
    </w:div>
    <w:div w:id="2083721739">
      <w:bodyDiv w:val="1"/>
      <w:marLeft w:val="0"/>
      <w:marRight w:val="0"/>
      <w:marTop w:val="0"/>
      <w:marBottom w:val="0"/>
      <w:divBdr>
        <w:top w:val="none" w:sz="0" w:space="0" w:color="auto"/>
        <w:left w:val="none" w:sz="0" w:space="0" w:color="auto"/>
        <w:bottom w:val="none" w:sz="0" w:space="0" w:color="auto"/>
        <w:right w:val="none" w:sz="0" w:space="0" w:color="auto"/>
      </w:divBdr>
      <w:divsChild>
        <w:div w:id="762070077">
          <w:marLeft w:val="0"/>
          <w:marRight w:val="0"/>
          <w:marTop w:val="0"/>
          <w:marBottom w:val="0"/>
          <w:divBdr>
            <w:top w:val="none" w:sz="0" w:space="0" w:color="auto"/>
            <w:left w:val="none" w:sz="0" w:space="0" w:color="auto"/>
            <w:bottom w:val="none" w:sz="0" w:space="0" w:color="auto"/>
            <w:right w:val="none" w:sz="0" w:space="0" w:color="auto"/>
          </w:divBdr>
          <w:divsChild>
            <w:div w:id="1213274642">
              <w:marLeft w:val="0"/>
              <w:marRight w:val="0"/>
              <w:marTop w:val="0"/>
              <w:marBottom w:val="0"/>
              <w:divBdr>
                <w:top w:val="none" w:sz="0" w:space="0" w:color="auto"/>
                <w:left w:val="none" w:sz="0" w:space="0" w:color="auto"/>
                <w:bottom w:val="none" w:sz="0" w:space="0" w:color="auto"/>
                <w:right w:val="none" w:sz="0" w:space="0" w:color="auto"/>
              </w:divBdr>
              <w:divsChild>
                <w:div w:id="1673604985">
                  <w:marLeft w:val="0"/>
                  <w:marRight w:val="0"/>
                  <w:marTop w:val="0"/>
                  <w:marBottom w:val="0"/>
                  <w:divBdr>
                    <w:top w:val="none" w:sz="0" w:space="0" w:color="auto"/>
                    <w:left w:val="none" w:sz="0" w:space="0" w:color="auto"/>
                    <w:bottom w:val="none" w:sz="0" w:space="0" w:color="auto"/>
                    <w:right w:val="none" w:sz="0" w:space="0" w:color="auto"/>
                  </w:divBdr>
                  <w:divsChild>
                    <w:div w:id="1793091197">
                      <w:marLeft w:val="0"/>
                      <w:marRight w:val="0"/>
                      <w:marTop w:val="0"/>
                      <w:marBottom w:val="0"/>
                      <w:divBdr>
                        <w:top w:val="none" w:sz="0" w:space="0" w:color="auto"/>
                        <w:left w:val="none" w:sz="0" w:space="0" w:color="auto"/>
                        <w:bottom w:val="none" w:sz="0" w:space="0" w:color="auto"/>
                        <w:right w:val="none" w:sz="0" w:space="0" w:color="auto"/>
                      </w:divBdr>
                      <w:divsChild>
                        <w:div w:id="1951358138">
                          <w:marLeft w:val="0"/>
                          <w:marRight w:val="0"/>
                          <w:marTop w:val="0"/>
                          <w:marBottom w:val="0"/>
                          <w:divBdr>
                            <w:top w:val="none" w:sz="0" w:space="0" w:color="auto"/>
                            <w:left w:val="none" w:sz="0" w:space="0" w:color="auto"/>
                            <w:bottom w:val="none" w:sz="0" w:space="0" w:color="auto"/>
                            <w:right w:val="none" w:sz="0" w:space="0" w:color="auto"/>
                          </w:divBdr>
                          <w:divsChild>
                            <w:div w:id="512377056">
                              <w:marLeft w:val="0"/>
                              <w:marRight w:val="0"/>
                              <w:marTop w:val="0"/>
                              <w:marBottom w:val="0"/>
                              <w:divBdr>
                                <w:top w:val="none" w:sz="0" w:space="0" w:color="auto"/>
                                <w:left w:val="none" w:sz="0" w:space="0" w:color="auto"/>
                                <w:bottom w:val="none" w:sz="0" w:space="0" w:color="auto"/>
                                <w:right w:val="none" w:sz="0" w:space="0" w:color="auto"/>
                              </w:divBdr>
                              <w:divsChild>
                                <w:div w:id="188437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document>
  <properties>
    <mergeMode>
    </mergeMode>
    <websakInfo>
      <fletteDato>17.09.2015</fletteDato>
      <sakid>2015003505</sakid>
      <jpid>2015018473</jpid>
      <filUnique>1572970</filUnique>
      <erHoveddokument>True</erHoveddokument>
    </websakInfo>
    <showHiddenMark>False</showHiddenMark>
    <newDocName>
    </newDocName>
    <templateURI>
    </templateURI>
  </properties>
  <body>
    <Sas_ArkivSakID>15/3505</Sas_ArkivSakID>
  </body>
  <footer/>
  <header/>
</document>
</file>

<file path=customXml/item2.xml><?xml version="1.0" encoding="utf-8"?>
<document>
  <properties>
    <mergeMode>
    </mergeMode>
    <websakInfo>
      <fletteDato>17.09.2015</fletteDato>
      <sakid>2015003505</sakid>
      <jpid>2015018473</jpid>
      <filUnique>1572970</filUnique>
      <erHoveddokument>True</erHoveddokument>
    </websakInfo>
    <showHiddenMark>False</showHiddenMark>
    <newDocName>
    </newDocName>
    <templateURI>
    </templateURI>
  </properties>
  <body>
    <Sas_ArkivSakID>15/3505</Sas_ArkivSakID>
  </body>
  <footer/>
  <header/>
</document>
</file>

<file path=customXml/item3.xml><?xml version="1.0" encoding="utf-8"?>
<ct:contentTypeSchema xmlns:ct="http://schemas.microsoft.com/office/2006/metadata/contentType" xmlns:ma="http://schemas.microsoft.com/office/2006/metadata/properties/metaAttributes" ct:_="" ma:_="" ma:contentTypeName="Dokument" ma:contentTypeID="0x010100CDCE5EE80FA1DA4FB7B99E997EDB1F37" ma:contentTypeVersion="3" ma:contentTypeDescription="Opprett et nytt dokument." ma:contentTypeScope="" ma:versionID="d80bf36f9ffcc7cfb5a1970611d9ae2b">
  <xsd:schema xmlns:xsd="http://www.w3.org/2001/XMLSchema" xmlns:p="http://schemas.microsoft.com/office/2006/metadata/properties" xmlns:ns2="4BDD846F-0FF2-4A28-BF3E-1A1A85A07613" targetNamespace="http://schemas.microsoft.com/office/2006/metadata/properties" ma:root="true" ma:fieldsID="3fbeb618f242251476659a79b88b226a" ns2:_="">
    <xsd:import namespace="4BDD846F-0FF2-4A28-BF3E-1A1A85A07613"/>
    <xsd:element name="properties">
      <xsd:complexType>
        <xsd:sequence>
          <xsd:element name="documentManagement">
            <xsd:complexType>
              <xsd:all>
                <xsd:element ref="ns2:Owner" minOccurs="0"/>
                <xsd:element ref="ns2:SPSDescription" minOccurs="0"/>
                <xsd:element ref="ns2:Status" minOccurs="0"/>
              </xsd:all>
            </xsd:complexType>
          </xsd:element>
        </xsd:sequence>
      </xsd:complexType>
    </xsd:element>
  </xsd:schema>
  <xsd:schema xmlns:xsd="http://www.w3.org/2001/XMLSchema" xmlns:dms="http://schemas.microsoft.com/office/2006/documentManagement/types" targetNamespace="4BDD846F-0FF2-4A28-BF3E-1A1A85A07613" elementFormDefault="qualified">
    <xsd:import namespace="http://schemas.microsoft.com/office/2006/documentManagement/types"/>
    <xsd:element name="Owner" ma:index="8" nillable="true" ma:displayName="Eier" ma:internalName="Owner">
      <xsd:simpleType>
        <xsd:restriction base="dms:Text"/>
      </xsd:simpleType>
    </xsd:element>
    <xsd:element name="SPSDescription" ma:index="9" nillable="true" ma:displayName="Beskrivelse" ma:internalName="SPSDescription">
      <xsd:simpleType>
        <xsd:restriction base="dms:Note"/>
      </xsd:simpleType>
    </xsd:element>
    <xsd:element name="Status" ma:index="10" nillable="true" ma:displayName="Status" ma:internalName="Status">
      <xsd:simpleType>
        <xsd:restriction base="dms:Choice">
          <xsd:enumeration value="Grov"/>
          <xsd:enumeration value="Kladd"/>
          <xsd:enumeration value="Til gjennomgang"/>
          <xsd:enumeration value="Endeli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ma:readOnly="tru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470EC-7FC3-40CA-A94D-F1D19911BD38}">
  <ds:schemaRefs/>
</ds:datastoreItem>
</file>

<file path=customXml/itemProps2.xml><?xml version="1.0" encoding="utf-8"?>
<ds:datastoreItem xmlns:ds="http://schemas.openxmlformats.org/officeDocument/2006/customXml" ds:itemID="{271B25D3-D6F3-480D-AC20-7DF378445ED6}">
  <ds:schemaRefs/>
</ds:datastoreItem>
</file>

<file path=customXml/itemProps3.xml><?xml version="1.0" encoding="utf-8"?>
<ds:datastoreItem xmlns:ds="http://schemas.openxmlformats.org/officeDocument/2006/customXml" ds:itemID="{511ABAE9-0796-46CB-9BE2-D83D244D2F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DD846F-0FF2-4A28-BF3E-1A1A85A0761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A7DF8B4-4125-4CAF-9D95-D5B5D62F5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2848</Words>
  <Characters>15097</Characters>
  <Application>Microsoft Office Word</Application>
  <DocSecurity>0</DocSecurity>
  <Lines>125</Lines>
  <Paragraphs>35</Paragraphs>
  <ScaleCrop>false</ScaleCrop>
  <HeadingPairs>
    <vt:vector size="2" baseType="variant">
      <vt:variant>
        <vt:lpstr>Tittel</vt:lpstr>
      </vt:variant>
      <vt:variant>
        <vt:i4>1</vt:i4>
      </vt:variant>
    </vt:vector>
  </HeadingPairs>
  <TitlesOfParts>
    <vt:vector size="1" baseType="lpstr">
      <vt:lpstr/>
    </vt:vector>
  </TitlesOfParts>
  <Company>Finansdepartementet</Company>
  <LinksUpToDate>false</LinksUpToDate>
  <CharactersWithSpaces>17910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Hanne K. Torgersen</dc:creator>
  <cp:lastModifiedBy>Kari Rudseter</cp:lastModifiedBy>
  <cp:revision>3</cp:revision>
  <cp:lastPrinted>2018-09-19T14:00:00Z</cp:lastPrinted>
  <dcterms:created xsi:type="dcterms:W3CDTF">2018-10-30T12:16:00Z</dcterms:created>
  <dcterms:modified xsi:type="dcterms:W3CDTF">2018-10-30T12:17:00Z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b_fra">
    <vt:lpwstr>Fra:</vt:lpwstr>
  </property>
  <property fmtid="{D5CDD505-2E9C-101B-9397-08002B2CF9AE}" pid="3" name="lb_til">
    <vt:lpwstr>Til:</vt:lpwstr>
  </property>
  <property fmtid="{D5CDD505-2E9C-101B-9397-08002B2CF9AE}" pid="4" name="lb_kopi">
    <vt:lpwstr>Kopi:</vt:lpwstr>
  </property>
  <property fmtid="{D5CDD505-2E9C-101B-9397-08002B2CF9AE}" pid="5" name="lb_dato">
    <vt:lpwstr>Dato:</vt:lpwstr>
  </property>
  <property fmtid="{D5CDD505-2E9C-101B-9397-08002B2CF9AE}" pid="6" name="lb_saksnr">
    <vt:lpwstr>Saksnr.:</vt:lpwstr>
  </property>
  <property fmtid="{D5CDD505-2E9C-101B-9397-08002B2CF9AE}" pid="7" name="lb_saksbeh">
    <vt:lpwstr>Saksbehandler:</vt:lpwstr>
  </property>
  <property fmtid="{D5CDD505-2E9C-101B-9397-08002B2CF9AE}" pid="8" name="lb_mal">
    <vt:lpwstr>Notat</vt:lpwstr>
  </property>
  <property fmtid="{D5CDD505-2E9C-101B-9397-08002B2CF9AE}" pid="9" name="lb_side">
    <vt:lpwstr>Side</vt:lpwstr>
  </property>
  <property fmtid="{D5CDD505-2E9C-101B-9397-08002B2CF9AE}" pid="10" name="språk">
    <vt:lpwstr>bokmål</vt:lpwstr>
  </property>
  <property fmtid="{D5CDD505-2E9C-101B-9397-08002B2CF9AE}" pid="11" name="stavekontroll">
    <vt:lpwstr>1044</vt:lpwstr>
  </property>
  <property fmtid="{D5CDD505-2E9C-101B-9397-08002B2CF9AE}" pid="12" name="arkiv">
    <vt:bool>false</vt:bool>
  </property>
  <property fmtid="{D5CDD505-2E9C-101B-9397-08002B2CF9AE}" pid="13" name="ContentTypeId">
    <vt:lpwstr>0x010100CDCE5EE80FA1DA4FB7B99E997EDB1F37</vt:lpwstr>
  </property>
</Properties>
</file>