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94EF" w14:textId="13F58E3D" w:rsidR="00000000" w:rsidRPr="00467DB0" w:rsidRDefault="00467DB0" w:rsidP="00467DB0">
      <w:pPr>
        <w:pStyle w:val="i-dep"/>
      </w:pPr>
      <w:r w:rsidRPr="00467DB0">
        <w:t>Utenriksdepartementet</w:t>
      </w:r>
    </w:p>
    <w:p w14:paraId="4CD8526A" w14:textId="77777777" w:rsidR="00000000" w:rsidRPr="00467DB0" w:rsidRDefault="00693D67" w:rsidP="00467DB0">
      <w:pPr>
        <w:pStyle w:val="i-hode"/>
      </w:pPr>
      <w:r w:rsidRPr="00467DB0">
        <w:t>Prop. 178 S</w:t>
      </w:r>
    </w:p>
    <w:p w14:paraId="21DE9230" w14:textId="77777777" w:rsidR="00000000" w:rsidRPr="00467DB0" w:rsidRDefault="00693D67" w:rsidP="00467DB0">
      <w:pPr>
        <w:pStyle w:val="i-sesjon"/>
      </w:pPr>
      <w:r w:rsidRPr="00467DB0">
        <w:t>(2020–2021)</w:t>
      </w:r>
    </w:p>
    <w:p w14:paraId="729B0191" w14:textId="77777777" w:rsidR="00000000" w:rsidRPr="00467DB0" w:rsidRDefault="00693D67" w:rsidP="00467DB0">
      <w:pPr>
        <w:pStyle w:val="i-hode-tit"/>
      </w:pPr>
      <w:r w:rsidRPr="00467DB0">
        <w:t>Proposisjon til Stortinget (forslag til stortingsvedtak)</w:t>
      </w:r>
    </w:p>
    <w:p w14:paraId="3F98187A" w14:textId="77777777" w:rsidR="00000000" w:rsidRPr="00467DB0" w:rsidRDefault="00693D67" w:rsidP="00467DB0">
      <w:pPr>
        <w:pStyle w:val="i-tit"/>
      </w:pPr>
      <w:r w:rsidRPr="00467DB0">
        <w:t xml:space="preserve">Samtykke til deltakelse i en beslutning </w:t>
      </w:r>
      <w:r w:rsidRPr="00467DB0">
        <w:br/>
        <w:t xml:space="preserve">i EØS-komiteen om innlemmelse i EØS-avtalen av en forordning om etablering av </w:t>
      </w:r>
      <w:r w:rsidRPr="00467DB0">
        <w:br/>
        <w:t>EUs romprogram (202</w:t>
      </w:r>
      <w:r w:rsidRPr="00467DB0">
        <w:t xml:space="preserve">1–2027) og EUs byrå </w:t>
      </w:r>
      <w:r w:rsidRPr="00467DB0">
        <w:br/>
        <w:t>for romprogrammet</w:t>
      </w:r>
    </w:p>
    <w:p w14:paraId="48EFE373" w14:textId="17AD0430" w:rsidR="00000000" w:rsidRPr="00467DB0" w:rsidRDefault="00467DB0" w:rsidP="00467DB0">
      <w:pPr>
        <w:pStyle w:val="i-dep"/>
      </w:pPr>
      <w:r w:rsidRPr="00467DB0">
        <w:t>Utenriksdepartementet</w:t>
      </w:r>
    </w:p>
    <w:p w14:paraId="35F59888" w14:textId="77777777" w:rsidR="00000000" w:rsidRPr="00467DB0" w:rsidRDefault="00693D67" w:rsidP="00467DB0">
      <w:pPr>
        <w:pStyle w:val="i-hode"/>
      </w:pPr>
      <w:r w:rsidRPr="00467DB0">
        <w:t>Prop. 178 S</w:t>
      </w:r>
    </w:p>
    <w:p w14:paraId="29E96682" w14:textId="77777777" w:rsidR="00000000" w:rsidRPr="00467DB0" w:rsidRDefault="00693D67" w:rsidP="00467DB0">
      <w:pPr>
        <w:pStyle w:val="i-sesjon"/>
      </w:pPr>
      <w:r w:rsidRPr="00467DB0">
        <w:t>(2020–2021)</w:t>
      </w:r>
    </w:p>
    <w:p w14:paraId="7A0E5F8A" w14:textId="77777777" w:rsidR="00000000" w:rsidRPr="00467DB0" w:rsidRDefault="00693D67" w:rsidP="00467DB0">
      <w:pPr>
        <w:pStyle w:val="i-hode-tit"/>
      </w:pPr>
      <w:r w:rsidRPr="00467DB0">
        <w:t>Proposisjon til Stortinget (forslag til stortingsvedtak)</w:t>
      </w:r>
    </w:p>
    <w:p w14:paraId="14743AEE" w14:textId="77777777" w:rsidR="00000000" w:rsidRPr="00467DB0" w:rsidRDefault="00693D67" w:rsidP="00467DB0">
      <w:pPr>
        <w:pStyle w:val="i-tit"/>
      </w:pPr>
      <w:r w:rsidRPr="00467DB0">
        <w:t xml:space="preserve">Samtykke til deltakelse i en beslutning </w:t>
      </w:r>
      <w:r w:rsidRPr="00467DB0">
        <w:br/>
        <w:t>i EØ</w:t>
      </w:r>
      <w:r w:rsidRPr="00467DB0">
        <w:t xml:space="preserve">S-komiteen om innlemmelse i EØS-avtalen </w:t>
      </w:r>
      <w:r w:rsidRPr="00467DB0">
        <w:br/>
        <w:t>av en forordning om etablering av EUs romprogram (2021–2027) og EUs byrå for romprogrammet</w:t>
      </w:r>
    </w:p>
    <w:p w14:paraId="4A05716F" w14:textId="77777777" w:rsidR="00000000" w:rsidRPr="00467DB0" w:rsidRDefault="00693D67" w:rsidP="00467DB0">
      <w:pPr>
        <w:pStyle w:val="i-statsrdato"/>
      </w:pPr>
      <w:r w:rsidRPr="00467DB0">
        <w:t xml:space="preserve">Tilråding fra Utenriksdepartementet 16. april 2021, </w:t>
      </w:r>
      <w:r w:rsidRPr="00467DB0">
        <w:br/>
        <w:t>godkjent i statsråd samme dag.</w:t>
      </w:r>
      <w:r w:rsidRPr="00467DB0">
        <w:br/>
        <w:t xml:space="preserve">(Regjeringen Solberg) </w:t>
      </w:r>
    </w:p>
    <w:p w14:paraId="4DDD9946" w14:textId="77777777" w:rsidR="00000000" w:rsidRPr="00467DB0" w:rsidRDefault="00693D67" w:rsidP="00467DB0">
      <w:pPr>
        <w:pStyle w:val="Overskrift1"/>
      </w:pPr>
      <w:r w:rsidRPr="00467DB0">
        <w:lastRenderedPageBreak/>
        <w:t>Bakgrunn</w:t>
      </w:r>
    </w:p>
    <w:p w14:paraId="494DE620" w14:textId="77777777" w:rsidR="00000000" w:rsidRPr="00467DB0" w:rsidRDefault="00693D67" w:rsidP="00467DB0">
      <w:r w:rsidRPr="00467DB0">
        <w:t>Fors</w:t>
      </w:r>
      <w:r w:rsidRPr="00467DB0">
        <w:t xml:space="preserve">lag til en forordning om etablering av EUs romprogram (2021–2027) og EUs byrå for romprogrammet, ble presentert av Europakommisjonen 6. juni 2018 ved dokument COM/2018/447 final. Forordningen er ikke formelt vedtatt i EU ennå. Proposisjonen baseres på den </w:t>
      </w:r>
      <w:r w:rsidRPr="00467DB0">
        <w:t>endelige kompromissteksten etter forhandlinger mellom EU-institusjonene (</w:t>
      </w:r>
      <w:proofErr w:type="spellStart"/>
      <w:r w:rsidRPr="00467DB0">
        <w:t>trilog</w:t>
      </w:r>
      <w:proofErr w:type="spellEnd"/>
      <w:r w:rsidRPr="00467DB0">
        <w:t>-forhandlingene) ved dokument ST 14200 2020 INIT, som er vedlagt i dansk språkversjon. Det forventes ingen endringer av betydning i utkastet før det blir endelig vedtatt.</w:t>
      </w:r>
    </w:p>
    <w:p w14:paraId="4C822F58" w14:textId="77777777" w:rsidR="00000000" w:rsidRPr="00467DB0" w:rsidRDefault="00693D67" w:rsidP="00467DB0">
      <w:r w:rsidRPr="00467DB0">
        <w:t>Forord</w:t>
      </w:r>
      <w:r w:rsidRPr="00467DB0">
        <w:t>ningen innebærer at alle EUs romprogrammer samles i ett program som skal erstatte (EU) No 912/2010, (EU) No 1285/2013, (EU) No 377/2014 og 541/2014/EU. Forordningen omfatter EUs romaktiviteter for perioden 2021–2027, herunder videreføring og videreutviklin</w:t>
      </w:r>
      <w:r w:rsidRPr="00467DB0">
        <w:t>g av Galileo/EGNOS (satellittnavigasjon) og Copernicus (jordobservasjon). Det nye programmet vil også omfatte nysatsingene GOVSATCOM (sikker satellittkommunikasjon for myndighetsformål) og SSA (romovervåkning).</w:t>
      </w:r>
    </w:p>
    <w:p w14:paraId="395F1504" w14:textId="77777777" w:rsidR="00000000" w:rsidRPr="00467DB0" w:rsidRDefault="00693D67" w:rsidP="00467DB0">
      <w:r w:rsidRPr="00467DB0">
        <w:t>Forordningen etablerer også Byrået for rompro</w:t>
      </w:r>
      <w:r w:rsidRPr="00467DB0">
        <w:t xml:space="preserve">grammet («EU </w:t>
      </w:r>
      <w:proofErr w:type="spellStart"/>
      <w:r w:rsidRPr="00467DB0">
        <w:t>Agency</w:t>
      </w:r>
      <w:proofErr w:type="spellEnd"/>
      <w:r w:rsidRPr="00467DB0">
        <w:t xml:space="preserve"> for </w:t>
      </w:r>
      <w:proofErr w:type="spellStart"/>
      <w:r w:rsidRPr="00467DB0">
        <w:t>the</w:t>
      </w:r>
      <w:proofErr w:type="spellEnd"/>
      <w:r w:rsidRPr="00467DB0">
        <w:t xml:space="preserve"> Space </w:t>
      </w:r>
      <w:proofErr w:type="spellStart"/>
      <w:r w:rsidRPr="00467DB0">
        <w:t>Programme</w:t>
      </w:r>
      <w:proofErr w:type="spellEnd"/>
      <w:r w:rsidRPr="00467DB0">
        <w:t>»), som erstatter det europeiske GNSS-byrået som ble etablert ved forordning (EU) No 912/2010. Byråets oppgaver utvides til å inkludere alle komponentene i EUs romprogram.</w:t>
      </w:r>
    </w:p>
    <w:p w14:paraId="0FB61053" w14:textId="77777777" w:rsidR="00000000" w:rsidRPr="00467DB0" w:rsidRDefault="00693D67" w:rsidP="00467DB0">
      <w:r w:rsidRPr="00467DB0">
        <w:t>Norge kan videreføre sin deltakelse i Gal</w:t>
      </w:r>
      <w:r w:rsidRPr="00467DB0">
        <w:t>ileo, EGNOS og Copernicus på samme vilkår som hittil i programmet. Det kan fremforhandles avtaler om norsk deltakelse i GOVSATCOM og deler av SSA.</w:t>
      </w:r>
    </w:p>
    <w:p w14:paraId="569CF9C5" w14:textId="77777777" w:rsidR="00000000" w:rsidRPr="00467DB0" w:rsidRDefault="00693D67" w:rsidP="00467DB0">
      <w:r w:rsidRPr="00467DB0">
        <w:t xml:space="preserve">Norge har deltatt i Galileo, EGNOS og Copernicus siden programmene ble startet opp i ESA (European Space </w:t>
      </w:r>
      <w:proofErr w:type="spellStart"/>
      <w:r w:rsidRPr="00467DB0">
        <w:t>Agen</w:t>
      </w:r>
      <w:r w:rsidRPr="00467DB0">
        <w:t>cy</w:t>
      </w:r>
      <w:proofErr w:type="spellEnd"/>
      <w:r w:rsidRPr="00467DB0">
        <w:t xml:space="preserve">) på slutten av 1990-tallet. Eierskapet til programmene er etter hvert blitt overført til EU, og de senere årene har norsk deltagelse foregått ved at programmene har blitt innlemmet i EØS-avtalen. </w:t>
      </w:r>
    </w:p>
    <w:p w14:paraId="5F26EE8E" w14:textId="77777777" w:rsidR="00000000" w:rsidRPr="00467DB0" w:rsidRDefault="00693D67" w:rsidP="00467DB0">
      <w:r w:rsidRPr="00467DB0">
        <w:t>Siden gjennomføringen av EØS-komiteens beslutning vil ha</w:t>
      </w:r>
      <w:r w:rsidRPr="00467DB0">
        <w:t xml:space="preserve"> flerårige budsjettmessige konsekvenser, er Stortingets samtykke til deltakelse i EØS-komiteens beslutning nødvendig i samsvar med Grunnlovens § 26 annet ledd. For å sikre norsk deltakelse i romprogrammet så snart som mulig, legges det opp til at Stortinge</w:t>
      </w:r>
      <w:r w:rsidRPr="00467DB0">
        <w:t>ts samtykke innhentes før forordningen er vedtatt i EU og før det treffes beslutning i EØS-komiteen. Forordningen forventes vedtatt av EU i april. EØS-komiteens beslutning er ventet i juni/juli 2021. Det ventes ingen vesentlige endringer i utkastet til for</w:t>
      </w:r>
      <w:r w:rsidRPr="00467DB0">
        <w:t xml:space="preserve">ordning eller EØS-komitébeslutning. Dersom det likevel skulle bli vesentlige endringer, vil saken bli fremlagt for Stortinget på nytt. </w:t>
      </w:r>
    </w:p>
    <w:p w14:paraId="739A9E51" w14:textId="77777777" w:rsidR="00000000" w:rsidRPr="00467DB0" w:rsidRDefault="00693D67" w:rsidP="00467DB0">
      <w:r w:rsidRPr="00467DB0">
        <w:t>Utkast til EØS-komitébeslutning i uoffisiell norsk oversettelse, samt forordning om etablering av EUs romprogram (2021–2</w:t>
      </w:r>
      <w:r w:rsidRPr="00467DB0">
        <w:t>027) og EUs byrå for romprogrammet i dansk språkversjon følger som trykte vedlegg til proposisjonen.</w:t>
      </w:r>
    </w:p>
    <w:p w14:paraId="0DB87660" w14:textId="77777777" w:rsidR="00000000" w:rsidRPr="00467DB0" w:rsidRDefault="00693D67" w:rsidP="00467DB0">
      <w:pPr>
        <w:pStyle w:val="Overskrift1"/>
      </w:pPr>
      <w:r w:rsidRPr="00467DB0">
        <w:t>Generelt om EUs romprogram 2021–2027</w:t>
      </w:r>
    </w:p>
    <w:p w14:paraId="78A1F88B" w14:textId="77777777" w:rsidR="00000000" w:rsidRPr="00467DB0" w:rsidRDefault="00693D67" w:rsidP="00467DB0">
      <w:r w:rsidRPr="00467DB0">
        <w:t>Norge har deltatt i EUs to separate romprogrammer Galileo/EGNOS (satellittnavigasjon) og Copernicus (jordobservasjon) siden de ble etablert som EU-programmer i henholdsvis 2009 og 2011. For neste programperiode 2021–2027 vil EU samle de to programmene i et</w:t>
      </w:r>
      <w:r w:rsidRPr="00467DB0">
        <w:t>t felles rom</w:t>
      </w:r>
      <w:r w:rsidRPr="00467DB0">
        <w:lastRenderedPageBreak/>
        <w:t>program. Det nye programmet vil også omfatte nysatsingene GOVSATCOM (sikker satellittkommunikasjon for myndighetsformål) og SSA (romovervåkning).</w:t>
      </w:r>
    </w:p>
    <w:p w14:paraId="78C8EB1F" w14:textId="77777777" w:rsidR="00000000" w:rsidRPr="00467DB0" w:rsidRDefault="00693D67" w:rsidP="00467DB0">
      <w:r w:rsidRPr="00467DB0">
        <w:t>I EUs satellittnavigasjonsprogrammer Galileo og EGNOS deltar Norge, dog uten stemmerett, i de styr</w:t>
      </w:r>
      <w:r w:rsidRPr="00467DB0">
        <w:t>ende og rådgivende organene. Etter inkluderingen av Galileo-forordningen i EØS-avtalen, har norske aktører lik rett til å konkurrere om leveranser til programmet. Det pågår forhandlinger med EU om en avtale om norsk deltakelse i Galileos offentlige reguler</w:t>
      </w:r>
      <w:r w:rsidRPr="00467DB0">
        <w:t xml:space="preserve">te tjeneste (Public </w:t>
      </w:r>
      <w:proofErr w:type="spellStart"/>
      <w:r w:rsidRPr="00467DB0">
        <w:t>Regulated</w:t>
      </w:r>
      <w:proofErr w:type="spellEnd"/>
      <w:r w:rsidRPr="00467DB0">
        <w:t xml:space="preserve"> Service, PRS). Målet er fullverdig norsk deltagelse også i PRS-delen av Galileo. I forhandlingene er det fra norsk side gitt klart uttrykk for at deltagelse i PRS er forutsatt og forventet når det nå legges opp til deltagelse </w:t>
      </w:r>
      <w:r w:rsidRPr="00467DB0">
        <w:t>i EUs romprogram for 2021–2027. Forhandlingene vil imidlertid trolig ikke være ferdigstilt innen beslutning i EØS-komiteen om innlemmelse av EUs romprogram 2021–2027 i EØS-avtalen skal fattes.</w:t>
      </w:r>
    </w:p>
    <w:p w14:paraId="4EF10390" w14:textId="77777777" w:rsidR="00000000" w:rsidRPr="00467DB0" w:rsidRDefault="00693D67" w:rsidP="00467DB0">
      <w:r w:rsidRPr="00467DB0">
        <w:t>Norsk deltakelse i EUs jordobservasjonsprogram Copernicus i per</w:t>
      </w:r>
      <w:r w:rsidRPr="00467DB0">
        <w:t xml:space="preserve">ioden 2014–2020 ble vedtatt av Stortinget i mai 2015, jf. Prop. 65 S (2014–2015), og forordning (EU) nr. 377/2014 om opprettelse av Copernicus-programmet er innlemmet i EØS-avtalen. Norge deltar i de styrende og rådgivende organene, uten stemmerett. Norsk </w:t>
      </w:r>
      <w:r w:rsidRPr="00467DB0">
        <w:t>Romsenter arbeider for å sikre norske industriinteresser i alle programkomponenter.</w:t>
      </w:r>
    </w:p>
    <w:p w14:paraId="0F229C88" w14:textId="77777777" w:rsidR="00000000" w:rsidRPr="00467DB0" w:rsidRDefault="00693D67" w:rsidP="00467DB0">
      <w:pPr>
        <w:pStyle w:val="avsnitt-tittel"/>
      </w:pPr>
      <w:r w:rsidRPr="00467DB0">
        <w:t>Galileo og EGNOS</w:t>
      </w:r>
    </w:p>
    <w:p w14:paraId="3DDBD27E" w14:textId="77777777" w:rsidR="00000000" w:rsidRPr="00467DB0" w:rsidRDefault="00693D67" w:rsidP="00467DB0">
      <w:r w:rsidRPr="00467DB0">
        <w:t xml:space="preserve">EUs satsing på satellittnavigasjon skjer gjennom programmene Galileo og EGNOS. EGNOS (European </w:t>
      </w:r>
      <w:proofErr w:type="spellStart"/>
      <w:r w:rsidRPr="00467DB0">
        <w:t>Geostationary</w:t>
      </w:r>
      <w:proofErr w:type="spellEnd"/>
      <w:r w:rsidRPr="00467DB0">
        <w:t xml:space="preserve"> </w:t>
      </w:r>
      <w:proofErr w:type="spellStart"/>
      <w:r w:rsidRPr="00467DB0">
        <w:t>Navigation</w:t>
      </w:r>
      <w:proofErr w:type="spellEnd"/>
      <w:r w:rsidRPr="00467DB0">
        <w:t xml:space="preserve"> </w:t>
      </w:r>
      <w:proofErr w:type="spellStart"/>
      <w:r w:rsidRPr="00467DB0">
        <w:t>Overlay</w:t>
      </w:r>
      <w:proofErr w:type="spellEnd"/>
      <w:r w:rsidRPr="00467DB0">
        <w:t xml:space="preserve"> Service) er et støttesystem</w:t>
      </w:r>
      <w:r w:rsidRPr="00467DB0">
        <w:t xml:space="preserve"> for det amerikanske GPS (Global </w:t>
      </w:r>
      <w:proofErr w:type="spellStart"/>
      <w:r w:rsidRPr="00467DB0">
        <w:t>Positioning</w:t>
      </w:r>
      <w:proofErr w:type="spellEnd"/>
      <w:r w:rsidRPr="00467DB0">
        <w:t xml:space="preserve"> System), som gjør at brukere vil oppleve bedre ytelse i Europa enn ved bruk av GPS alene. EGNOS ble erklært fullt operativt i 2011. Det er nå klargjort for bruk på over 60 norske flyplasser og landingsplasser fo</w:t>
      </w:r>
      <w:r w:rsidRPr="00467DB0">
        <w:t>r helikopter og krever ingen egen infrastruktur på den enkelte fly- eller landingsplass. Galileo er et selvstendig, globalt satellittnavigasjonssystem på lik linje med GPS. Systemet består i dag av 22 operative satellitter, og full operasjonell kapasitet v</w:t>
      </w:r>
      <w:r w:rsidRPr="00467DB0">
        <w:t>entes i 2022. EGNOS videreutvikles til å bli et støttesystem også for Galileo, noe som vil gi bedre ytelse, spesielt i våre nordlige områder.</w:t>
      </w:r>
    </w:p>
    <w:p w14:paraId="3526F162" w14:textId="77777777" w:rsidR="00000000" w:rsidRPr="00467DB0" w:rsidRDefault="00693D67" w:rsidP="00467DB0">
      <w:r w:rsidRPr="00467DB0">
        <w:t xml:space="preserve">Norge har vært med på å utvikle teknologien og systemene bak Galileo og EGNOS siden dette arbeidet startet, først </w:t>
      </w:r>
      <w:r w:rsidRPr="00467DB0">
        <w:t xml:space="preserve">gjennom European Space </w:t>
      </w:r>
      <w:proofErr w:type="spellStart"/>
      <w:r w:rsidRPr="00467DB0">
        <w:t>Agency</w:t>
      </w:r>
      <w:proofErr w:type="spellEnd"/>
      <w:r w:rsidRPr="00467DB0">
        <w:t xml:space="preserve"> (ESA) og senere gjennom samarbeid med EU.</w:t>
      </w:r>
    </w:p>
    <w:p w14:paraId="32070CA0" w14:textId="77777777" w:rsidR="00000000" w:rsidRPr="00467DB0" w:rsidRDefault="00693D67" w:rsidP="00467DB0">
      <w:r w:rsidRPr="00467DB0">
        <w:t>Som følge av Norges deltakelse er det lokalisert bakkeinfrastruktur for Galileo og EGNOS på Svalbard, Jan Mayen, i Trondheim, Tromsø, Kirkenes og på Troll-basen i Antarktis. Den norske</w:t>
      </w:r>
      <w:r w:rsidRPr="00467DB0">
        <w:t xml:space="preserve"> infrastrukturen sørger for bedre ytelse i områder som er viktige for Norge, norsk tilstedeværelse i områder av strategisk betydning og inntekter til norske operatører. Den norske infrastrukturen styrker videre Norges posisjon som en viktig samarbeidspartn</w:t>
      </w:r>
      <w:r w:rsidRPr="00467DB0">
        <w:t>er i programmene.</w:t>
      </w:r>
    </w:p>
    <w:p w14:paraId="537C2FAA" w14:textId="77777777" w:rsidR="00000000" w:rsidRPr="00467DB0" w:rsidRDefault="00693D67" w:rsidP="00467DB0">
      <w:r w:rsidRPr="00467DB0">
        <w:t>EØS-avtalens geografiske virkeområde omfatter ikke Svalbard, Jan Mayen og bilandene. Etablering og bruk av EUs bakkeinfrastruktur for satellittnavigasjon utenfor EØS-avtalens geografiske virkeområde, samt andre forhold som ikke hører natu</w:t>
      </w:r>
      <w:r w:rsidRPr="00467DB0">
        <w:t>rlig inn under EØS reguleres gjennom samarbeidsavtalen med EU og dets medlemsland av 22. september 2010. Denne samarbeidsavtalen vurderes som tilstrekkelig til å dekke samarbeidet som følger av forordningen om etablering av EUs romprogram (2021–2027) og EU</w:t>
      </w:r>
      <w:r w:rsidRPr="00467DB0">
        <w:t>s byrå for romprogrammet.</w:t>
      </w:r>
    </w:p>
    <w:p w14:paraId="5E3D68EB" w14:textId="77777777" w:rsidR="00000000" w:rsidRPr="00467DB0" w:rsidRDefault="00693D67" w:rsidP="00467DB0">
      <w:pPr>
        <w:pStyle w:val="avsnitt-tittel"/>
      </w:pPr>
      <w:r w:rsidRPr="00467DB0">
        <w:lastRenderedPageBreak/>
        <w:t>Copernicus</w:t>
      </w:r>
    </w:p>
    <w:p w14:paraId="74EEE93E" w14:textId="77777777" w:rsidR="00000000" w:rsidRPr="00467DB0" w:rsidRDefault="00693D67" w:rsidP="00467DB0">
      <w:r w:rsidRPr="00467DB0">
        <w:t>Copernicus er EUs jordobservasjonsprogram som skal støtte opp under bærekraftig ressursforvaltning, sikkerhet og beredskap, klima og miljø. Programmet omfatter bygging og drift av satellitter, sensorer og tilhørende tje</w:t>
      </w:r>
      <w:r w:rsidRPr="00467DB0">
        <w:t>nester, og har allerede gitt en stor forbedring av den globale kapasiteten for bl.a. havovervåking, overvåking av klimaendringer og miljøtrusler, katastrofehåndtering og overvåking av rasfare. Norge har deltatt i utviklingen og utbyggingen av Copernicus si</w:t>
      </w:r>
      <w:r w:rsidRPr="00467DB0">
        <w:t>den programmet ble startet opp, og mange norske etater er nå storbrukere av Copernicus-data.</w:t>
      </w:r>
    </w:p>
    <w:p w14:paraId="0C76E29E" w14:textId="77777777" w:rsidR="00000000" w:rsidRPr="00467DB0" w:rsidRDefault="00693D67" w:rsidP="00467DB0">
      <w:r w:rsidRPr="00467DB0">
        <w:t xml:space="preserve">Copernicus har til sammen åtte </w:t>
      </w:r>
      <w:proofErr w:type="spellStart"/>
      <w:r w:rsidRPr="00467DB0">
        <w:t>Sentinel</w:t>
      </w:r>
      <w:proofErr w:type="spellEnd"/>
      <w:r w:rsidRPr="00467DB0">
        <w:t>-satellitter i bane. I den neste programperioden 2021–2027 vil det bli skutt opp en rekke satellitter for å sikre kontinuite</w:t>
      </w:r>
      <w:r w:rsidRPr="00467DB0">
        <w:t xml:space="preserve">t i dekningen. I tillegg vil det bli introdusert satellitter for nye typer målinger, deriblant måling av CO2 og sjøis, med økt </w:t>
      </w:r>
      <w:proofErr w:type="gramStart"/>
      <w:r w:rsidRPr="00467DB0">
        <w:t>fokus</w:t>
      </w:r>
      <w:proofErr w:type="gramEnd"/>
      <w:r w:rsidRPr="00467DB0">
        <w:t xml:space="preserve"> på målinger over polare strøk.</w:t>
      </w:r>
    </w:p>
    <w:p w14:paraId="47E07AE0" w14:textId="77777777" w:rsidR="00000000" w:rsidRPr="00467DB0" w:rsidRDefault="00693D67" w:rsidP="00467DB0">
      <w:r w:rsidRPr="00467DB0">
        <w:t xml:space="preserve">Norge har etablert nasjonal infrastruktur for å dekke spesielle data- og prosesseringsbehov </w:t>
      </w:r>
      <w:r w:rsidRPr="00467DB0">
        <w:t xml:space="preserve">for nasjonale brukere. Infrastrukturen omtales som det nasjonale bakkesegmentet og består av fire deler: Satellittdata.no, sanntidsprosessering av Sentinel-1, </w:t>
      </w:r>
      <w:proofErr w:type="spellStart"/>
      <w:r w:rsidRPr="00467DB0">
        <w:t>InSAR</w:t>
      </w:r>
      <w:proofErr w:type="spellEnd"/>
      <w:r w:rsidRPr="00467DB0">
        <w:t xml:space="preserve"> Norge og Sentinel-2 fellesprosessering. </w:t>
      </w:r>
      <w:proofErr w:type="spellStart"/>
      <w:r w:rsidRPr="00467DB0">
        <w:t>SvalSat</w:t>
      </w:r>
      <w:proofErr w:type="spellEnd"/>
      <w:r w:rsidRPr="00467DB0">
        <w:t xml:space="preserve"> på Svalbard er per i dag den viktigste bakk</w:t>
      </w:r>
      <w:r w:rsidRPr="00467DB0">
        <w:t xml:space="preserve">estasjonen for nedlesing av </w:t>
      </w:r>
      <w:proofErr w:type="spellStart"/>
      <w:r w:rsidRPr="00467DB0">
        <w:t>Sentinel</w:t>
      </w:r>
      <w:proofErr w:type="spellEnd"/>
      <w:r w:rsidRPr="00467DB0">
        <w:t>-data i Copernicus.</w:t>
      </w:r>
    </w:p>
    <w:p w14:paraId="09D6B50D" w14:textId="77777777" w:rsidR="00000000" w:rsidRPr="00467DB0" w:rsidRDefault="00693D67" w:rsidP="00467DB0">
      <w:pPr>
        <w:pStyle w:val="avsnitt-tittel"/>
      </w:pPr>
      <w:r w:rsidRPr="00467DB0">
        <w:t>GOVSATCOM</w:t>
      </w:r>
    </w:p>
    <w:p w14:paraId="0CEC66C1" w14:textId="77777777" w:rsidR="00000000" w:rsidRPr="00467DB0" w:rsidRDefault="00693D67" w:rsidP="00467DB0">
      <w:r w:rsidRPr="00467DB0">
        <w:t>GOVSATCOM (</w:t>
      </w:r>
      <w:proofErr w:type="spellStart"/>
      <w:r w:rsidRPr="00467DB0">
        <w:t>Governmental</w:t>
      </w:r>
      <w:proofErr w:type="spellEnd"/>
      <w:r w:rsidRPr="00467DB0">
        <w:t xml:space="preserve"> </w:t>
      </w:r>
      <w:proofErr w:type="spellStart"/>
      <w:r w:rsidRPr="00467DB0">
        <w:t>Satellite</w:t>
      </w:r>
      <w:proofErr w:type="spellEnd"/>
      <w:r w:rsidRPr="00467DB0">
        <w:t xml:space="preserve"> Communications) er en ny komponent i EUs romprogram fra 2021. Denne komponenten har som mål å betjene behov for sikker satellittkommunikasjonskapasitet og r</w:t>
      </w:r>
      <w:r w:rsidRPr="00467DB0">
        <w:t xml:space="preserve">elaterte tjenester hos sivile og militære myndigheter i EUs medlemsstater, samt i deltakende EØS/EFTA-stater, tredjeland og for organisasjoner som må inngå egne avtaler med EU. Det er i første omgang ikke planer om å anskaffe egne EU-satellitter for dette </w:t>
      </w:r>
      <w:r w:rsidRPr="00467DB0">
        <w:t>formålet, men EU vil med GOVSATCOM i stedet legge til rette for deling og leie av tilgjengelig kapasitet på institusjonelle og kommersielle satellitter. Mot slutten av perioden 2021–2027 vil eventuelle udekkede behov vurderes dekket av nye initiativ fra EU</w:t>
      </w:r>
      <w:r w:rsidRPr="00467DB0">
        <w:t>. Siden sikkerhetskravene vil bli høyere enn for vanlig kommersiell satellittkommunikasjon, planlegges det likevel etablering av en egen bakkeinfrastruktur og ordninger for autorisering av utstyr, leverandører og brukere.</w:t>
      </w:r>
    </w:p>
    <w:p w14:paraId="642EA1F9" w14:textId="77777777" w:rsidR="00000000" w:rsidRPr="00467DB0" w:rsidRDefault="00693D67" w:rsidP="00467DB0">
      <w:pPr>
        <w:pStyle w:val="avsnitt-tittel"/>
      </w:pPr>
      <w:r w:rsidRPr="00467DB0">
        <w:t xml:space="preserve">Space </w:t>
      </w:r>
      <w:proofErr w:type="spellStart"/>
      <w:r w:rsidRPr="00467DB0">
        <w:t>Situational</w:t>
      </w:r>
      <w:proofErr w:type="spellEnd"/>
      <w:r w:rsidRPr="00467DB0">
        <w:t xml:space="preserve"> </w:t>
      </w:r>
      <w:proofErr w:type="spellStart"/>
      <w:r w:rsidRPr="00467DB0">
        <w:t>Awareness</w:t>
      </w:r>
      <w:proofErr w:type="spellEnd"/>
      <w:r w:rsidRPr="00467DB0">
        <w:t xml:space="preserve"> (SSA)</w:t>
      </w:r>
    </w:p>
    <w:p w14:paraId="6C08BF92" w14:textId="77777777" w:rsidR="00000000" w:rsidRPr="00467DB0" w:rsidRDefault="00693D67" w:rsidP="00467DB0">
      <w:r w:rsidRPr="00467DB0">
        <w:t xml:space="preserve">Romovervåking, eller SSA, er nytt som egen komponent i EUs romprogram. Satsingen viderefører og utvider de eksisterende tjenestene innen romtrafikkovervåking (Space </w:t>
      </w:r>
      <w:proofErr w:type="spellStart"/>
      <w:r w:rsidRPr="00467DB0">
        <w:t>Surveillance</w:t>
      </w:r>
      <w:proofErr w:type="spellEnd"/>
      <w:r w:rsidRPr="00467DB0">
        <w:t xml:space="preserve"> and </w:t>
      </w:r>
      <w:proofErr w:type="spellStart"/>
      <w:r w:rsidRPr="00467DB0">
        <w:t>Tracking</w:t>
      </w:r>
      <w:proofErr w:type="spellEnd"/>
      <w:r w:rsidRPr="00467DB0">
        <w:t>, SST) for sporing av romobjekter, varsling av kollisjonsfare og b</w:t>
      </w:r>
      <w:r w:rsidRPr="00467DB0">
        <w:t>eregning av manøvrer for å unngå kollisjon for satellitter og andre romobjekter. I tillegg skal det etableres verdiøkende SSA-tjenester som f.eks. hendelsesovervåking, beregning av baner og risiko for forurensning ved retur av romobjekter til jorda. Det vi</w:t>
      </w:r>
      <w:r w:rsidRPr="00467DB0">
        <w:t xml:space="preserve">l også etableres varslingstjenester for romvær (Space </w:t>
      </w:r>
      <w:proofErr w:type="spellStart"/>
      <w:r w:rsidRPr="00467DB0">
        <w:t>Weather</w:t>
      </w:r>
      <w:proofErr w:type="spellEnd"/>
      <w:r w:rsidRPr="00467DB0">
        <w:t xml:space="preserve"> </w:t>
      </w:r>
      <w:proofErr w:type="spellStart"/>
      <w:r w:rsidRPr="00467DB0">
        <w:t>Events</w:t>
      </w:r>
      <w:proofErr w:type="spellEnd"/>
      <w:r w:rsidRPr="00467DB0">
        <w:t>, SWE) inn mot utvalgte sektorer, samt startes en innledende samordning på europeisk nivå om faren for kollisjon med asteroider (</w:t>
      </w:r>
      <w:proofErr w:type="spellStart"/>
      <w:r w:rsidRPr="00467DB0">
        <w:t>Near</w:t>
      </w:r>
      <w:proofErr w:type="spellEnd"/>
      <w:r w:rsidRPr="00467DB0">
        <w:t xml:space="preserve"> Earth Objects, NEO).</w:t>
      </w:r>
    </w:p>
    <w:p w14:paraId="26AA3662" w14:textId="77777777" w:rsidR="00000000" w:rsidRPr="00467DB0" w:rsidRDefault="00693D67" w:rsidP="00467DB0">
      <w:r w:rsidRPr="00467DB0">
        <w:t>EUs romprogram åpner for full del</w:t>
      </w:r>
      <w:r w:rsidRPr="00467DB0">
        <w:t xml:space="preserve">tagelse i underkomponentene SWE og NEO for EØS/EFTA-stater. SST-delkomponenten er per i dag ikke åpen for deltagelse for tredjeland og </w:t>
      </w:r>
      <w:r w:rsidRPr="00467DB0">
        <w:lastRenderedPageBreak/>
        <w:t>EØS/EFTA-stater. Norge vil ikke få tilgang til SST-underkomponenten når det gjelder utvikling og operasjon av sensorer, p</w:t>
      </w:r>
      <w:r w:rsidRPr="00467DB0">
        <w:t>rosessering og analyse. Norge vil imidlertid få full tilgang til SST-tjenestene som er åpne for tredjeland: varsling av kollisjonsfare, fragmentering- og kollisjons-deteksjon samt risiko rundt retur av romobjekter til jorden. Nyutviklede tjenester innen te</w:t>
      </w:r>
      <w:r w:rsidRPr="00467DB0">
        <w:t xml:space="preserve">maer som omfatter begrensning og håndtering av romsøppel vil kreve forhandlinger og etablering av en samarbeidsavtale med EU. </w:t>
      </w:r>
    </w:p>
    <w:p w14:paraId="6AF50845" w14:textId="458E563D" w:rsidR="00000000" w:rsidRPr="00467DB0" w:rsidRDefault="00693D67" w:rsidP="00467DB0">
      <w:pPr>
        <w:pStyle w:val="Overskrift1"/>
      </w:pPr>
      <w:r w:rsidRPr="00467DB0">
        <w:t xml:space="preserve">Nærmere om innholdet </w:t>
      </w:r>
      <w:r w:rsidRPr="00467DB0">
        <w:t>i forordningen</w:t>
      </w:r>
    </w:p>
    <w:p w14:paraId="554B2185" w14:textId="77777777" w:rsidR="00000000" w:rsidRPr="00467DB0" w:rsidRDefault="00693D67" w:rsidP="00467DB0">
      <w:pPr>
        <w:rPr>
          <w:rStyle w:val="kursiv"/>
        </w:rPr>
      </w:pPr>
      <w:r w:rsidRPr="00467DB0">
        <w:rPr>
          <w:rStyle w:val="kursiv"/>
        </w:rPr>
        <w:t>Del 1</w:t>
      </w:r>
      <w:r w:rsidRPr="00467DB0">
        <w:t xml:space="preserve"> (artikkel 1–</w:t>
      </w:r>
      <w:r w:rsidRPr="00467DB0">
        <w:t xml:space="preserve">10) angir alminnelige bestemmelser for forordningen. </w:t>
      </w:r>
    </w:p>
    <w:p w14:paraId="3E51DF3B" w14:textId="77777777" w:rsidR="00000000" w:rsidRPr="00467DB0" w:rsidRDefault="00693D67" w:rsidP="00467DB0">
      <w:pPr>
        <w:rPr>
          <w:rStyle w:val="kursiv"/>
        </w:rPr>
      </w:pPr>
      <w:r w:rsidRPr="00467DB0">
        <w:rPr>
          <w:rStyle w:val="kursiv"/>
        </w:rPr>
        <w:t>Artikkel 1</w:t>
      </w:r>
      <w:r w:rsidRPr="00467DB0">
        <w:t xml:space="preserve"> fastsetter at forordningen etablerer EUs romprogram for perioden 2021–2027 og EUs byrå for romprogrammet (Byrået). </w:t>
      </w:r>
    </w:p>
    <w:p w14:paraId="65EDB432" w14:textId="77777777" w:rsidR="00000000" w:rsidRPr="00467DB0" w:rsidRDefault="00693D67" w:rsidP="00467DB0">
      <w:pPr>
        <w:rPr>
          <w:rStyle w:val="kursiv"/>
        </w:rPr>
      </w:pPr>
      <w:r w:rsidRPr="00467DB0">
        <w:rPr>
          <w:rStyle w:val="kursiv"/>
        </w:rPr>
        <w:t>Artikkel 2</w:t>
      </w:r>
      <w:r w:rsidRPr="00467DB0">
        <w:t xml:space="preserve"> inneholder definisjoner av begrepene som brukes i forordningen.</w:t>
      </w:r>
    </w:p>
    <w:p w14:paraId="6B26D33B" w14:textId="77777777" w:rsidR="00000000" w:rsidRPr="00467DB0" w:rsidRDefault="00693D67" w:rsidP="00467DB0">
      <w:pPr>
        <w:rPr>
          <w:rStyle w:val="kursiv"/>
        </w:rPr>
      </w:pPr>
      <w:r w:rsidRPr="00467DB0">
        <w:rPr>
          <w:rStyle w:val="kursiv"/>
        </w:rPr>
        <w:t>Artikkel 3</w:t>
      </w:r>
      <w:r w:rsidRPr="00467DB0">
        <w:t xml:space="preserve"> spesifiserer komponentene i romprogrammet:</w:t>
      </w:r>
    </w:p>
    <w:p w14:paraId="4B825BF2" w14:textId="77777777" w:rsidR="00000000" w:rsidRPr="00467DB0" w:rsidRDefault="00693D67" w:rsidP="00467DB0">
      <w:pPr>
        <w:pStyle w:val="Liste"/>
      </w:pPr>
      <w:r w:rsidRPr="00467DB0">
        <w:t>Galileo: Et selvstendig, globalt satellittnavigasjonssystem (GNSS) under sivil kontroll</w:t>
      </w:r>
    </w:p>
    <w:p w14:paraId="630E20C3" w14:textId="77777777" w:rsidR="00000000" w:rsidRPr="00467DB0" w:rsidRDefault="00693D67" w:rsidP="00467DB0">
      <w:pPr>
        <w:pStyle w:val="Liste"/>
      </w:pPr>
      <w:r w:rsidRPr="00467DB0">
        <w:t xml:space="preserve">EGNOS: Et regionalt satellittnavigasjonssystem under sivil kontroll </w:t>
      </w:r>
    </w:p>
    <w:p w14:paraId="300BCE7B" w14:textId="77777777" w:rsidR="00000000" w:rsidRPr="00467DB0" w:rsidRDefault="00693D67" w:rsidP="00467DB0">
      <w:pPr>
        <w:pStyle w:val="Liste"/>
      </w:pPr>
      <w:r w:rsidRPr="00467DB0">
        <w:t>Copernicus: Et selvstendig, bruke</w:t>
      </w:r>
      <w:r w:rsidRPr="00467DB0">
        <w:t>rdrevet jordobservasjonssystem under sivil kontroll</w:t>
      </w:r>
    </w:p>
    <w:p w14:paraId="4FFCFEE7" w14:textId="77777777" w:rsidR="00000000" w:rsidRPr="00467DB0" w:rsidRDefault="00693D67" w:rsidP="00467DB0">
      <w:pPr>
        <w:pStyle w:val="Liste"/>
      </w:pPr>
      <w:r w:rsidRPr="00467DB0">
        <w:t>SSA: Et system for overvåkning og sporing i rommet, med delkomponenter for sporing av romobjekter (SST), romvær (SWE) og nær-jord objekter (NEO)</w:t>
      </w:r>
    </w:p>
    <w:p w14:paraId="37CBC2EE" w14:textId="77777777" w:rsidR="00000000" w:rsidRPr="00467DB0" w:rsidRDefault="00693D67" w:rsidP="00467DB0">
      <w:pPr>
        <w:pStyle w:val="Liste"/>
      </w:pPr>
      <w:r w:rsidRPr="00467DB0">
        <w:t>GOVSATCOM: Satellittkommunikasjonstjenester under s</w:t>
      </w:r>
      <w:r w:rsidRPr="00467DB0">
        <w:t>ivil kontroll for sikkerhetskritisk myndighetsbruk</w:t>
      </w:r>
    </w:p>
    <w:p w14:paraId="1F01E43A" w14:textId="77777777" w:rsidR="00000000" w:rsidRPr="00467DB0" w:rsidRDefault="00693D67" w:rsidP="00467DB0">
      <w:r w:rsidRPr="00467DB0">
        <w:t xml:space="preserve">Programmet skal inkludere tiltak for å sikre effektiv tilgang til rommet for programmet og fremme en innovativ og konkurransedyktig europeisk romsektor. </w:t>
      </w:r>
    </w:p>
    <w:p w14:paraId="269D4EA7" w14:textId="77777777" w:rsidR="00000000" w:rsidRPr="00467DB0" w:rsidRDefault="00693D67" w:rsidP="00467DB0">
      <w:pPr>
        <w:rPr>
          <w:rStyle w:val="kursiv"/>
        </w:rPr>
      </w:pPr>
      <w:r w:rsidRPr="00467DB0">
        <w:rPr>
          <w:rStyle w:val="kursiv"/>
        </w:rPr>
        <w:t>Artikkel 4</w:t>
      </w:r>
      <w:r w:rsidRPr="00467DB0">
        <w:t xml:space="preserve"> fastsetter at romprogrammet overordnet s</w:t>
      </w:r>
      <w:r w:rsidRPr="00467DB0">
        <w:t xml:space="preserve">kal bidra til </w:t>
      </w:r>
    </w:p>
    <w:p w14:paraId="7BDF1E60" w14:textId="77777777" w:rsidR="00000000" w:rsidRPr="00467DB0" w:rsidRDefault="00693D67" w:rsidP="00467DB0">
      <w:pPr>
        <w:pStyle w:val="Liste"/>
      </w:pPr>
      <w:r w:rsidRPr="00467DB0">
        <w:t>leveranser av oppdaterte og sikre romrelaterte data, informasjon og tjenester med høy kvalitet,</w:t>
      </w:r>
    </w:p>
    <w:p w14:paraId="399D548B" w14:textId="77777777" w:rsidR="00000000" w:rsidRPr="00467DB0" w:rsidRDefault="00693D67" w:rsidP="00467DB0">
      <w:pPr>
        <w:pStyle w:val="Liste"/>
      </w:pPr>
      <w:r w:rsidRPr="00467DB0">
        <w:t>å maksimere samfunnsøkonomiske gevinster,</w:t>
      </w:r>
    </w:p>
    <w:p w14:paraId="63C12226" w14:textId="77777777" w:rsidR="00000000" w:rsidRPr="00467DB0" w:rsidRDefault="00693D67" w:rsidP="00467DB0">
      <w:pPr>
        <w:pStyle w:val="Liste"/>
      </w:pPr>
      <w:r w:rsidRPr="00467DB0">
        <w:t>å øke sikkerheten og selvstendigheten for EU og medlemsstatene,</w:t>
      </w:r>
    </w:p>
    <w:p w14:paraId="0347FADA" w14:textId="77777777" w:rsidR="00000000" w:rsidRPr="00467DB0" w:rsidRDefault="00693D67" w:rsidP="00467DB0">
      <w:pPr>
        <w:pStyle w:val="Liste"/>
      </w:pPr>
      <w:r w:rsidRPr="00467DB0">
        <w:t>å fremme Unionens rolle</w:t>
      </w:r>
      <w:r w:rsidRPr="00467DB0">
        <w:t xml:space="preserve"> som en global aktør innen romsektoren, legge til rette for internasjonalt samarbeid og forsterke europeisk romdiplomati.</w:t>
      </w:r>
    </w:p>
    <w:p w14:paraId="7B6F3803" w14:textId="77777777" w:rsidR="00000000" w:rsidRPr="00467DB0" w:rsidRDefault="00693D67" w:rsidP="00467DB0">
      <w:r w:rsidRPr="00467DB0">
        <w:t xml:space="preserve">Artikkelen angir også spesifikke målsettinger for de enkelte programkomponentene, samt å sikre kostnadseffektiv tilgang til rommet og </w:t>
      </w:r>
      <w:r w:rsidRPr="00467DB0">
        <w:t xml:space="preserve">fremme Unionens konkurransekraft. </w:t>
      </w:r>
    </w:p>
    <w:p w14:paraId="74C4BB7B" w14:textId="77777777" w:rsidR="00000000" w:rsidRPr="00467DB0" w:rsidRDefault="00693D67" w:rsidP="00467DB0">
      <w:pPr>
        <w:rPr>
          <w:rStyle w:val="kursiv"/>
        </w:rPr>
      </w:pPr>
      <w:r w:rsidRPr="00467DB0">
        <w:rPr>
          <w:rStyle w:val="kursiv"/>
        </w:rPr>
        <w:t>Artikkel 5</w:t>
      </w:r>
      <w:r w:rsidRPr="00467DB0">
        <w:t xml:space="preserve"> omhandler tilgangen til rommet og oppskytningstjenester.</w:t>
      </w:r>
    </w:p>
    <w:p w14:paraId="3A596049" w14:textId="77777777" w:rsidR="00000000" w:rsidRPr="00467DB0" w:rsidRDefault="00693D67" w:rsidP="00467DB0">
      <w:pPr>
        <w:rPr>
          <w:rStyle w:val="kursiv"/>
        </w:rPr>
      </w:pPr>
      <w:r w:rsidRPr="00467DB0">
        <w:rPr>
          <w:rStyle w:val="kursiv"/>
        </w:rPr>
        <w:t>Artikkel 6</w:t>
      </w:r>
      <w:r w:rsidRPr="00467DB0">
        <w:t xml:space="preserve"> definerer handlinger som skal understøt</w:t>
      </w:r>
      <w:r w:rsidRPr="00467DB0">
        <w:t>te en innovativ og konkurransedyktig romsektor i EU.</w:t>
      </w:r>
    </w:p>
    <w:p w14:paraId="11CF9B14" w14:textId="77777777" w:rsidR="00000000" w:rsidRPr="00467DB0" w:rsidRDefault="00693D67" w:rsidP="00467DB0">
      <w:pPr>
        <w:rPr>
          <w:rStyle w:val="kursiv"/>
        </w:rPr>
      </w:pPr>
      <w:r w:rsidRPr="00467DB0">
        <w:rPr>
          <w:rStyle w:val="kursiv"/>
        </w:rPr>
        <w:t>Artikkel 7</w:t>
      </w:r>
      <w:r w:rsidRPr="00467DB0">
        <w:t xml:space="preserve"> omhandler tredjeland og internasjonale organisasjoner tilknyttet romprogrammet. Programkomponentene Galileo, EGNOS, Copernicus og delkomponentene SWE og NEO i SSA, skal være åpen for deltakels</w:t>
      </w:r>
      <w:r w:rsidRPr="00467DB0">
        <w:t xml:space="preserve">e for EFTA-medlemmer som er medlem av EØS. Delkomponenten SST i SSA-programmet er per i dag ikke åpen for deltakelse for tredjeland. GOVSATCOM skal være åpen for deltakelse for EFTA-medlemmer, som er medlem av EØS, forutsatt at </w:t>
      </w:r>
      <w:r w:rsidRPr="00467DB0">
        <w:lastRenderedPageBreak/>
        <w:t xml:space="preserve">det inngås en avtale med EU </w:t>
      </w:r>
      <w:r w:rsidRPr="00467DB0">
        <w:t>i henhold til Artikkel 218 i Traktaten om Den europeiske unions virkemåte (TFEU).</w:t>
      </w:r>
    </w:p>
    <w:p w14:paraId="647CF779" w14:textId="77777777" w:rsidR="00000000" w:rsidRPr="00467DB0" w:rsidRDefault="00693D67" w:rsidP="00467DB0">
      <w:pPr>
        <w:rPr>
          <w:rStyle w:val="kursiv"/>
        </w:rPr>
      </w:pPr>
      <w:r w:rsidRPr="00467DB0">
        <w:rPr>
          <w:rStyle w:val="kursiv"/>
        </w:rPr>
        <w:t>Artikkel 8</w:t>
      </w:r>
      <w:r w:rsidRPr="00467DB0">
        <w:t xml:space="preserve"> omhandler tilgang til tjenester under SST og GOVSATCOM, samt Galileo PRS-tjenesten for tredjeland og internasjonale organisasjoner. Tredjeland eller internasjonale</w:t>
      </w:r>
      <w:r w:rsidRPr="00467DB0">
        <w:t xml:space="preserve"> organisasjoner kan få tilgang til tjenestene i SST og GOVSATCOM kun dersom det inngås egne avtaler, i samsvar med artikkel 218 i TFEU. Det kreves likevel ingen slik avtale for tilgang til de av SST-tjenestene som er offentlig tilgjengelig. Tilgang for tre</w:t>
      </w:r>
      <w:r w:rsidRPr="00467DB0">
        <w:t xml:space="preserve">djeland til Galileo PRS skal styres av Råds- og parlamentsbeslutning 1104/2011/EU. </w:t>
      </w:r>
    </w:p>
    <w:p w14:paraId="292ED96A" w14:textId="77777777" w:rsidR="00000000" w:rsidRPr="00467DB0" w:rsidRDefault="00693D67" w:rsidP="00467DB0">
      <w:pPr>
        <w:rPr>
          <w:rStyle w:val="kursiv"/>
        </w:rPr>
      </w:pPr>
      <w:r w:rsidRPr="00467DB0">
        <w:rPr>
          <w:rStyle w:val="kursiv"/>
        </w:rPr>
        <w:t>Artikkel 9</w:t>
      </w:r>
      <w:r w:rsidRPr="00467DB0">
        <w:t xml:space="preserve"> omhandler eierskap og bruk av eiendeler. Det spesifiseres at EU skal være eier av alle materielle og immaterielle eiendeler som lages eller utvikles under progra</w:t>
      </w:r>
      <w:r w:rsidRPr="00467DB0">
        <w:t xml:space="preserve">mmene, med noen unntak. For tredjeparter skal avtaler utarbeides der dette er hensiktsmessig. Kommisjonen skal sikre at EUs immaterielle rettigheter anvendes </w:t>
      </w:r>
      <w:proofErr w:type="gramStart"/>
      <w:r w:rsidRPr="00467DB0">
        <w:t>optimalt</w:t>
      </w:r>
      <w:proofErr w:type="gramEnd"/>
      <w:r w:rsidRPr="00467DB0">
        <w:t xml:space="preserve">. </w:t>
      </w:r>
    </w:p>
    <w:p w14:paraId="05578609" w14:textId="77777777" w:rsidR="00000000" w:rsidRPr="00467DB0" w:rsidRDefault="00693D67" w:rsidP="00467DB0">
      <w:pPr>
        <w:rPr>
          <w:rStyle w:val="kursiv"/>
        </w:rPr>
      </w:pPr>
      <w:r w:rsidRPr="00467DB0">
        <w:rPr>
          <w:rStyle w:val="kursiv"/>
        </w:rPr>
        <w:t>Artikkel 10</w:t>
      </w:r>
      <w:r w:rsidRPr="00467DB0">
        <w:t xml:space="preserve"> presiserer at tjenester, data og informasjon levert fra romprogrammets komp</w:t>
      </w:r>
      <w:r w:rsidRPr="00467DB0">
        <w:t>onenter leveres uten noen form for garanti.</w:t>
      </w:r>
    </w:p>
    <w:p w14:paraId="09BDC889" w14:textId="77777777" w:rsidR="00000000" w:rsidRPr="00467DB0" w:rsidRDefault="00693D67" w:rsidP="00467DB0">
      <w:pPr>
        <w:rPr>
          <w:rStyle w:val="kursiv"/>
        </w:rPr>
      </w:pPr>
      <w:r w:rsidRPr="00467DB0">
        <w:rPr>
          <w:rStyle w:val="kursiv"/>
        </w:rPr>
        <w:t>Del 2</w:t>
      </w:r>
      <w:r w:rsidRPr="00467DB0">
        <w:t xml:space="preserve"> (artikkel 11–13) omhandler budsjettbidrag og -mekanismer. </w:t>
      </w:r>
    </w:p>
    <w:p w14:paraId="50C2EB43" w14:textId="77777777" w:rsidR="00000000" w:rsidRPr="00467DB0" w:rsidRDefault="00693D67" w:rsidP="00467DB0">
      <w:pPr>
        <w:rPr>
          <w:rStyle w:val="kursiv"/>
        </w:rPr>
      </w:pPr>
      <w:r w:rsidRPr="00467DB0">
        <w:rPr>
          <w:rStyle w:val="kursiv"/>
        </w:rPr>
        <w:t>Artikkel 11 og 12</w:t>
      </w:r>
      <w:r w:rsidRPr="00467DB0">
        <w:t xml:space="preserve"> omhandler budsjett og inntekter. Romprogrammets budsjett for 2021–2027 er totalt 14,880 milliarder euro i løpende priser, fordelt på de ulike programkomponentene:</w:t>
      </w:r>
    </w:p>
    <w:p w14:paraId="60C84BB8" w14:textId="77777777" w:rsidR="00000000" w:rsidRPr="00467DB0" w:rsidRDefault="00693D67" w:rsidP="00467DB0">
      <w:pPr>
        <w:pStyle w:val="Liste"/>
      </w:pPr>
      <w:r w:rsidRPr="00467DB0">
        <w:t>Galileo og EGNOS: 9,017 milliarder euro,</w:t>
      </w:r>
    </w:p>
    <w:p w14:paraId="7F0DBEA3" w14:textId="77777777" w:rsidR="00000000" w:rsidRPr="00467DB0" w:rsidRDefault="00693D67" w:rsidP="00467DB0">
      <w:pPr>
        <w:pStyle w:val="Liste"/>
      </w:pPr>
      <w:r w:rsidRPr="00467DB0">
        <w:t>Copernicus: 5,421 milliarder euro,</w:t>
      </w:r>
    </w:p>
    <w:p w14:paraId="4D576987" w14:textId="77777777" w:rsidR="00000000" w:rsidRPr="00467DB0" w:rsidRDefault="00693D67" w:rsidP="00467DB0">
      <w:pPr>
        <w:pStyle w:val="Liste"/>
      </w:pPr>
      <w:r w:rsidRPr="00467DB0">
        <w:t xml:space="preserve">SSA </w:t>
      </w:r>
      <w:r w:rsidRPr="00467DB0">
        <w:t>og GOVSATCOM: 0,442 milliarder euro.</w:t>
      </w:r>
    </w:p>
    <w:p w14:paraId="2D7832B1" w14:textId="77777777" w:rsidR="00000000" w:rsidRPr="00467DB0" w:rsidRDefault="00693D67" w:rsidP="00467DB0">
      <w:r w:rsidRPr="00467DB0">
        <w:t xml:space="preserve">Inntekter som </w:t>
      </w:r>
      <w:proofErr w:type="gramStart"/>
      <w:r w:rsidRPr="00467DB0">
        <w:t>genereres</w:t>
      </w:r>
      <w:proofErr w:type="gramEnd"/>
      <w:r w:rsidRPr="00467DB0">
        <w:t xml:space="preserve"> gjennom programmene skal kanaliseres tilbake til programmene. Medlemsstatene kan bidra med tilleggsfinansiering til enkeltkomponenter i romprogrammet </w:t>
      </w:r>
      <w:proofErr w:type="gramStart"/>
      <w:r w:rsidRPr="00467DB0">
        <w:t>såfremt</w:t>
      </w:r>
      <w:proofErr w:type="gramEnd"/>
      <w:r w:rsidRPr="00467DB0">
        <w:t xml:space="preserve"> det ikke medfører tekniske eller fina</w:t>
      </w:r>
      <w:r w:rsidRPr="00467DB0">
        <w:t xml:space="preserve">nsielle utfordringer for den angitte romkomponenten. </w:t>
      </w:r>
    </w:p>
    <w:p w14:paraId="773D7130" w14:textId="77777777" w:rsidR="00000000" w:rsidRPr="00467DB0" w:rsidRDefault="00693D67" w:rsidP="00467DB0">
      <w:pPr>
        <w:rPr>
          <w:rStyle w:val="kursiv"/>
        </w:rPr>
      </w:pPr>
      <w:r w:rsidRPr="00467DB0">
        <w:rPr>
          <w:rStyle w:val="kursiv"/>
        </w:rPr>
        <w:t>Artikkel 13</w:t>
      </w:r>
      <w:r w:rsidRPr="00467DB0">
        <w:t xml:space="preserve"> definerer at programmet kan benytte alle mekanismer fastsatt i finansforordningen for å yte finansiering.</w:t>
      </w:r>
    </w:p>
    <w:p w14:paraId="0B2C23D2" w14:textId="77777777" w:rsidR="00000000" w:rsidRPr="00467DB0" w:rsidRDefault="00693D67" w:rsidP="00467DB0">
      <w:pPr>
        <w:rPr>
          <w:rStyle w:val="kursiv"/>
        </w:rPr>
      </w:pPr>
      <w:r w:rsidRPr="00467DB0">
        <w:rPr>
          <w:rStyle w:val="kursiv"/>
        </w:rPr>
        <w:t>Del 3</w:t>
      </w:r>
      <w:r w:rsidRPr="00467DB0">
        <w:t xml:space="preserve"> (artikkel 14–26) omhandler finansielle bestemmelser. </w:t>
      </w:r>
    </w:p>
    <w:p w14:paraId="3766D9A0" w14:textId="77777777" w:rsidR="00000000" w:rsidRPr="00467DB0" w:rsidRDefault="00693D67" w:rsidP="00467DB0">
      <w:pPr>
        <w:rPr>
          <w:rStyle w:val="kursiv"/>
        </w:rPr>
      </w:pPr>
      <w:r w:rsidRPr="00467DB0">
        <w:rPr>
          <w:rStyle w:val="kursiv"/>
        </w:rPr>
        <w:t>Kapittel 1</w:t>
      </w:r>
      <w:r w:rsidRPr="00467DB0">
        <w:t xml:space="preserve"> (artikkel 14–</w:t>
      </w:r>
      <w:r w:rsidRPr="00467DB0">
        <w:t>17) omhandler prinsipper for anskaffelser, inkludert fri og åpen konkurranse om kontrakter og beskriver de forskjellige kontraktsformer som kan anvendes.</w:t>
      </w:r>
    </w:p>
    <w:p w14:paraId="7FB79AA6" w14:textId="77777777" w:rsidR="00000000" w:rsidRPr="00467DB0" w:rsidRDefault="00693D67" w:rsidP="00467DB0">
      <w:pPr>
        <w:rPr>
          <w:rStyle w:val="kursiv"/>
        </w:rPr>
      </w:pPr>
      <w:r w:rsidRPr="00467DB0">
        <w:rPr>
          <w:rStyle w:val="kursiv"/>
        </w:rPr>
        <w:t>Kapittel 2</w:t>
      </w:r>
      <w:r w:rsidRPr="00467DB0">
        <w:t xml:space="preserve"> (artikkel 18–21) omhandler regler for tilskudd, premier og blandet finansiering, herunder t</w:t>
      </w:r>
      <w:r w:rsidRPr="00467DB0">
        <w:t xml:space="preserve">ilskudd til pre-kommersielle anskaffelser og anskaffelser av innovative løsninger. </w:t>
      </w:r>
    </w:p>
    <w:p w14:paraId="41B4D61B" w14:textId="77777777" w:rsidR="00000000" w:rsidRPr="00467DB0" w:rsidRDefault="00693D67" w:rsidP="00467DB0">
      <w:r w:rsidRPr="00467DB0">
        <w:t xml:space="preserve">Kapittel 3 finnes ikke. </w:t>
      </w:r>
    </w:p>
    <w:p w14:paraId="518690C4" w14:textId="77777777" w:rsidR="00000000" w:rsidRPr="00467DB0" w:rsidRDefault="00693D67" w:rsidP="00467DB0">
      <w:pPr>
        <w:rPr>
          <w:rStyle w:val="kursiv"/>
        </w:rPr>
      </w:pPr>
      <w:r w:rsidRPr="00467DB0">
        <w:rPr>
          <w:rStyle w:val="kursiv"/>
        </w:rPr>
        <w:t xml:space="preserve">Kapittel 4 </w:t>
      </w:r>
      <w:r w:rsidRPr="00467DB0">
        <w:t xml:space="preserve">(artikkel 22–25) omhandler andre finansielle bestemmelser, kumulativ og alternativ finansiering fra andre EU-programmer og fond, felles </w:t>
      </w:r>
      <w:r w:rsidRPr="00467DB0">
        <w:t>anskaffelser med ESA eller andre internasjonale organisasjoner involvert i programmet og beskyttelse av de finansielle interessene i unionen og tredjelandsdeltakelse. Kapittelet beskriver også revisjonsplikt hos tredjeland som deltar i programmet.</w:t>
      </w:r>
    </w:p>
    <w:p w14:paraId="326C8991" w14:textId="77777777" w:rsidR="00000000" w:rsidRPr="00467DB0" w:rsidRDefault="00693D67" w:rsidP="00467DB0">
      <w:pPr>
        <w:rPr>
          <w:rStyle w:val="kursiv"/>
        </w:rPr>
      </w:pPr>
      <w:r w:rsidRPr="00467DB0">
        <w:rPr>
          <w:rStyle w:val="kursiv"/>
        </w:rPr>
        <w:t>Artikkel</w:t>
      </w:r>
      <w:r w:rsidRPr="00467DB0">
        <w:rPr>
          <w:rStyle w:val="kursiv"/>
        </w:rPr>
        <w:t xml:space="preserve"> 24</w:t>
      </w:r>
      <w:r w:rsidRPr="00467DB0">
        <w:t xml:space="preserve"> omhandler spesielle kvalifikasjons- og deltakelsesbetingelser i anskaffelser der det er nødvendig for å bevare sikkerheten, integriteten og robustheten til operasjonelle systemer i </w:t>
      </w:r>
      <w:r w:rsidRPr="00467DB0">
        <w:lastRenderedPageBreak/>
        <w:t>EU. I slike tilfeller skal deltakelse begrenses til virksomheter i medl</w:t>
      </w:r>
      <w:r w:rsidRPr="00467DB0">
        <w:t>emsstater, men med mulighet for å gi unntak under visse forutsetninger for virksomheter etablert i deltakende EØS- eller EFTA-stater.</w:t>
      </w:r>
    </w:p>
    <w:p w14:paraId="08E65BC4" w14:textId="77777777" w:rsidR="00000000" w:rsidRPr="00467DB0" w:rsidRDefault="00693D67" w:rsidP="00467DB0">
      <w:pPr>
        <w:rPr>
          <w:rStyle w:val="kursiv"/>
        </w:rPr>
      </w:pPr>
      <w:r w:rsidRPr="00467DB0">
        <w:rPr>
          <w:rStyle w:val="kursiv"/>
        </w:rPr>
        <w:t>Del 4</w:t>
      </w:r>
      <w:r w:rsidRPr="00467DB0">
        <w:t xml:space="preserve"> (artikkel 26–32) omhandler styring og organisering av programmet. </w:t>
      </w:r>
    </w:p>
    <w:p w14:paraId="085B2AC0" w14:textId="77777777" w:rsidR="00000000" w:rsidRPr="00467DB0" w:rsidRDefault="00693D67" w:rsidP="00467DB0">
      <w:pPr>
        <w:rPr>
          <w:rStyle w:val="kursiv"/>
        </w:rPr>
      </w:pPr>
      <w:r w:rsidRPr="00467DB0">
        <w:rPr>
          <w:rStyle w:val="kursiv"/>
        </w:rPr>
        <w:t>Artikkel 26</w:t>
      </w:r>
      <w:r w:rsidRPr="00467DB0">
        <w:t xml:space="preserve"> angir styringsprinsippene for program</w:t>
      </w:r>
      <w:r w:rsidRPr="00467DB0">
        <w:t xml:space="preserve">met. </w:t>
      </w:r>
    </w:p>
    <w:p w14:paraId="2C83B23C" w14:textId="77777777" w:rsidR="00000000" w:rsidRPr="00467DB0" w:rsidRDefault="00693D67" w:rsidP="00467DB0">
      <w:pPr>
        <w:rPr>
          <w:rStyle w:val="kursiv"/>
        </w:rPr>
      </w:pPr>
      <w:r w:rsidRPr="00467DB0">
        <w:rPr>
          <w:rStyle w:val="kursiv"/>
        </w:rPr>
        <w:t>Artikkel 27–32</w:t>
      </w:r>
      <w:r w:rsidRPr="00467DB0">
        <w:t xml:space="preserve"> spesifiserer hvordan oppgaver og ansvar fordeles mellom medlemsstatene, Kommisjonen, Byrået, den europeiske romorganisasjonen ESA og Den europeiske organisasjonen for meteorologisatellitter (EUMETSAT).</w:t>
      </w:r>
    </w:p>
    <w:p w14:paraId="53598143" w14:textId="77777777" w:rsidR="00000000" w:rsidRPr="00467DB0" w:rsidRDefault="00693D67" w:rsidP="00467DB0">
      <w:pPr>
        <w:rPr>
          <w:rStyle w:val="kursiv"/>
        </w:rPr>
      </w:pPr>
      <w:r w:rsidRPr="00467DB0">
        <w:rPr>
          <w:rStyle w:val="kursiv"/>
        </w:rPr>
        <w:t>Del 5</w:t>
      </w:r>
      <w:r w:rsidRPr="00467DB0">
        <w:t xml:space="preserve"> (artikkel 33–</w:t>
      </w:r>
      <w:r w:rsidRPr="00467DB0">
        <w:t>42) omhandler sikkerhet i programmet.</w:t>
      </w:r>
    </w:p>
    <w:p w14:paraId="2BC0BC89" w14:textId="77777777" w:rsidR="00000000" w:rsidRPr="00467DB0" w:rsidRDefault="00693D67" w:rsidP="00467DB0">
      <w:r w:rsidRPr="00467DB0">
        <w:t>Kapittel 1 (artikkel 33–35) omhandler sikkerhet i programmet.</w:t>
      </w:r>
    </w:p>
    <w:p w14:paraId="1C0D9B67" w14:textId="77777777" w:rsidR="00000000" w:rsidRPr="00467DB0" w:rsidRDefault="00693D67" w:rsidP="00467DB0">
      <w:pPr>
        <w:rPr>
          <w:rStyle w:val="kursiv"/>
        </w:rPr>
      </w:pPr>
      <w:r w:rsidRPr="00467DB0">
        <w:rPr>
          <w:rStyle w:val="kursiv"/>
        </w:rPr>
        <w:t>Artikkel 33</w:t>
      </w:r>
      <w:r w:rsidRPr="00467DB0">
        <w:t xml:space="preserve"> fastsetter sikkerhetsprinsippene i programmet. Medlemsstatenes kompetanse på sikkerhet skal hensyntas, og Rådets og Kommisjonens sikkerhetsregle</w:t>
      </w:r>
      <w:r w:rsidRPr="00467DB0">
        <w:t>r skal legges til grunn, blant annet for å skille operative driftsfunksjoner fra akkrediteringsfunksjoner.</w:t>
      </w:r>
    </w:p>
    <w:p w14:paraId="510F8AC5" w14:textId="77777777" w:rsidR="00000000" w:rsidRPr="00467DB0" w:rsidRDefault="00693D67" w:rsidP="00467DB0">
      <w:pPr>
        <w:rPr>
          <w:rStyle w:val="kursiv"/>
        </w:rPr>
      </w:pPr>
      <w:r w:rsidRPr="00467DB0">
        <w:rPr>
          <w:rStyle w:val="kursiv"/>
        </w:rPr>
        <w:t>Artikkel 34</w:t>
      </w:r>
      <w:r w:rsidRPr="00467DB0">
        <w:t xml:space="preserve"> fastslår at Kommisjonen, med støtte fra Byrået, skal sørge for høy grad av sikkerhet. Den enheten som er ansvarlig for en komponent skal </w:t>
      </w:r>
      <w:r w:rsidRPr="00467DB0">
        <w:t>også være ansvarlig for den operative sikkerheten til komponenten. Kommisjonen skal identifisere en struktur for overvåking av sikkerhet der hvor det er hensiktsmessig, basert på en risiko- og trusselvurdering. Artikkelen definerer sikkerhetsrelaterte oppg</w:t>
      </w:r>
      <w:r w:rsidRPr="00467DB0">
        <w:t>aver for Byrået og medlemsstatene.</w:t>
      </w:r>
    </w:p>
    <w:p w14:paraId="5C4B84ED" w14:textId="77777777" w:rsidR="00000000" w:rsidRPr="00467DB0" w:rsidRDefault="00693D67" w:rsidP="00467DB0">
      <w:pPr>
        <w:rPr>
          <w:rStyle w:val="kursiv"/>
        </w:rPr>
      </w:pPr>
      <w:r w:rsidRPr="00467DB0">
        <w:rPr>
          <w:rStyle w:val="kursiv"/>
        </w:rPr>
        <w:t>Artikkel 35</w:t>
      </w:r>
      <w:r w:rsidRPr="00467DB0">
        <w:t xml:space="preserve"> fastslår at prosedyrene som er nedfelt i Council </w:t>
      </w:r>
      <w:proofErr w:type="spellStart"/>
      <w:r w:rsidRPr="00467DB0">
        <w:t>Decision</w:t>
      </w:r>
      <w:proofErr w:type="spellEnd"/>
      <w:r w:rsidRPr="00467DB0">
        <w:t xml:space="preserve"> 202X/XX/CFSP skal brukes når sikkerheten til EU eller dets medlemsstater er påvirket av driften av systemene.</w:t>
      </w:r>
    </w:p>
    <w:p w14:paraId="58375E60" w14:textId="77777777" w:rsidR="00000000" w:rsidRPr="00467DB0" w:rsidRDefault="00693D67" w:rsidP="00467DB0">
      <w:pPr>
        <w:rPr>
          <w:rStyle w:val="kursiv"/>
        </w:rPr>
      </w:pPr>
      <w:r w:rsidRPr="00467DB0">
        <w:rPr>
          <w:rStyle w:val="kursiv"/>
        </w:rPr>
        <w:t>Kapittel 2</w:t>
      </w:r>
      <w:r w:rsidRPr="00467DB0">
        <w:t xml:space="preserve"> (Artikkel 36–41) omhandler sik</w:t>
      </w:r>
      <w:r w:rsidRPr="00467DB0">
        <w:t>kerhetsakkreditering.</w:t>
      </w:r>
    </w:p>
    <w:p w14:paraId="5F2C6064" w14:textId="77777777" w:rsidR="00000000" w:rsidRPr="00467DB0" w:rsidRDefault="00693D67" w:rsidP="00467DB0">
      <w:pPr>
        <w:rPr>
          <w:rStyle w:val="kursiv"/>
        </w:rPr>
      </w:pPr>
      <w:r w:rsidRPr="00467DB0">
        <w:rPr>
          <w:rStyle w:val="kursiv"/>
        </w:rPr>
        <w:t>Artikkel 36</w:t>
      </w:r>
      <w:r w:rsidRPr="00467DB0">
        <w:t xml:space="preserve"> fastslår at sikkerhetsakkrediteringsstyret som er etablert i Byrået skal være sikkerhetsakkrediteringsmyndigheten for alle komponenter i programmet.</w:t>
      </w:r>
    </w:p>
    <w:p w14:paraId="447ABC29" w14:textId="77777777" w:rsidR="00000000" w:rsidRPr="00467DB0" w:rsidRDefault="00693D67" w:rsidP="00467DB0">
      <w:pPr>
        <w:rPr>
          <w:rStyle w:val="kursiv"/>
        </w:rPr>
      </w:pPr>
      <w:r w:rsidRPr="00467DB0">
        <w:rPr>
          <w:rStyle w:val="kursiv"/>
        </w:rPr>
        <w:t>Artikkel 37</w:t>
      </w:r>
      <w:r w:rsidRPr="00467DB0">
        <w:t xml:space="preserve"> definerer prinsippene som skal legges til grunn for gjennomfø</w:t>
      </w:r>
      <w:r w:rsidRPr="00467DB0">
        <w:t>ring av sikkerhetsakkrediteringsaktiviteter for alle komponenter i programmet.</w:t>
      </w:r>
    </w:p>
    <w:p w14:paraId="339156F3" w14:textId="77777777" w:rsidR="00000000" w:rsidRPr="00467DB0" w:rsidRDefault="00693D67" w:rsidP="00467DB0">
      <w:pPr>
        <w:rPr>
          <w:rStyle w:val="kursiv"/>
        </w:rPr>
      </w:pPr>
      <w:r w:rsidRPr="00467DB0">
        <w:rPr>
          <w:rStyle w:val="kursiv"/>
        </w:rPr>
        <w:t>Artikkel 38–40</w:t>
      </w:r>
      <w:r w:rsidRPr="00467DB0">
        <w:t xml:space="preserve"> definerer oppgavene til, sammensetningen av og stemmereglene til sikkerhetsakkrediteringsstyret. Deltagelse i sikkerhetsakkrediteringsstyret skal være basert på a</w:t>
      </w:r>
      <w:r w:rsidRPr="00467DB0">
        <w:t xml:space="preserve">t det foreligger et </w:t>
      </w:r>
      <w:proofErr w:type="spellStart"/>
      <w:r w:rsidRPr="00467DB0">
        <w:t>tjenestemessig</w:t>
      </w:r>
      <w:proofErr w:type="spellEnd"/>
      <w:r w:rsidRPr="00467DB0">
        <w:t xml:space="preserve"> behov. Unntaksvis kan EU-byråer og tredjeland inviteres til å delta på møter som observatører for saker som direkte berører disse, spesielt i saker som berører infrastruktur som tilhører dem eller er etablert på deres ter</w:t>
      </w:r>
      <w:r w:rsidRPr="00467DB0">
        <w:t>ritorium. Ordninger for slik deltakelse fra tredjeland og tilhørende betingelser skal nedfelles i avtaler og være i overenstemmelse med forretningsordenen for sikkerhetsakkrediteringsstyret.</w:t>
      </w:r>
    </w:p>
    <w:p w14:paraId="69C16AE3" w14:textId="77777777" w:rsidR="00000000" w:rsidRPr="00467DB0" w:rsidRDefault="00693D67" w:rsidP="00467DB0">
      <w:pPr>
        <w:rPr>
          <w:rStyle w:val="kursiv"/>
        </w:rPr>
      </w:pPr>
      <w:r w:rsidRPr="00467DB0">
        <w:rPr>
          <w:rStyle w:val="kursiv"/>
        </w:rPr>
        <w:t>Artikkel 41</w:t>
      </w:r>
      <w:r w:rsidRPr="00467DB0">
        <w:t xml:space="preserve"> angir hvordan beslutninger og konsekvensen av disse s</w:t>
      </w:r>
      <w:r w:rsidRPr="00467DB0">
        <w:t>kal kommuniseres mellom henholdsvis sikkerhetsakkrediteringsstyret, Kommisjonen, Parlamentet og Rådet.</w:t>
      </w:r>
    </w:p>
    <w:p w14:paraId="3C2E72A9" w14:textId="77777777" w:rsidR="00000000" w:rsidRPr="00467DB0" w:rsidRDefault="00693D67" w:rsidP="00467DB0">
      <w:pPr>
        <w:rPr>
          <w:rStyle w:val="kursiv"/>
        </w:rPr>
      </w:pPr>
      <w:r w:rsidRPr="00467DB0">
        <w:rPr>
          <w:rStyle w:val="kursiv"/>
        </w:rPr>
        <w:t>Artikkel 42</w:t>
      </w:r>
      <w:r w:rsidRPr="00467DB0">
        <w:t xml:space="preserve"> definerer rollen til medlemsstatene innen sikkerhetsakkreditering.</w:t>
      </w:r>
    </w:p>
    <w:p w14:paraId="5CF1A252" w14:textId="77777777" w:rsidR="00000000" w:rsidRPr="00467DB0" w:rsidRDefault="00693D67" w:rsidP="00467DB0">
      <w:pPr>
        <w:rPr>
          <w:rStyle w:val="kursiv"/>
        </w:rPr>
      </w:pPr>
      <w:r w:rsidRPr="00467DB0">
        <w:rPr>
          <w:rStyle w:val="kursiv"/>
        </w:rPr>
        <w:t>Kapittel 3</w:t>
      </w:r>
      <w:r w:rsidRPr="00467DB0">
        <w:t xml:space="preserve"> (Artikkel 43) omhandler beskyttelse av sikkerhetsgradert inform</w:t>
      </w:r>
      <w:r w:rsidRPr="00467DB0">
        <w:t xml:space="preserve">asjon </w:t>
      </w:r>
    </w:p>
    <w:p w14:paraId="3CED1754" w14:textId="77777777" w:rsidR="00000000" w:rsidRPr="00467DB0" w:rsidRDefault="00693D67" w:rsidP="00467DB0">
      <w:pPr>
        <w:rPr>
          <w:rStyle w:val="kursiv"/>
        </w:rPr>
      </w:pPr>
      <w:r w:rsidRPr="00467DB0">
        <w:rPr>
          <w:rStyle w:val="kursiv"/>
        </w:rPr>
        <w:t>Artikkel 43</w:t>
      </w:r>
      <w:r w:rsidRPr="00467DB0">
        <w:t xml:space="preserve"> fastslår at utveksling av sikkerhetsgradert informasjon knyttet til programmet mellom EU og tredjeland og internasjonale organisasjoner skal være basert på en internasjonal av</w:t>
      </w:r>
      <w:r w:rsidRPr="00467DB0">
        <w:lastRenderedPageBreak/>
        <w:t>tale. Avtalen med tredjeland skal sikre at reglene for beskytt</w:t>
      </w:r>
      <w:r w:rsidRPr="00467DB0">
        <w:t>elsen av sikkerhetsgradert informasjon i disse landene som et minimum skal imøtekomme kravene i Kommisjonens sikkerhetsregelverk.</w:t>
      </w:r>
    </w:p>
    <w:p w14:paraId="6EA4CECC" w14:textId="77777777" w:rsidR="00000000" w:rsidRPr="00467DB0" w:rsidRDefault="00693D67" w:rsidP="00467DB0">
      <w:pPr>
        <w:rPr>
          <w:rStyle w:val="kursiv"/>
        </w:rPr>
      </w:pPr>
      <w:r w:rsidRPr="00467DB0">
        <w:rPr>
          <w:rStyle w:val="kursiv"/>
        </w:rPr>
        <w:t>Del 6</w:t>
      </w:r>
      <w:r w:rsidRPr="00467DB0">
        <w:t xml:space="preserve"> (artikkel 44–48) omhandler Galileo og EGNOS. </w:t>
      </w:r>
    </w:p>
    <w:p w14:paraId="439E6DC8" w14:textId="77777777" w:rsidR="00000000" w:rsidRPr="00467DB0" w:rsidRDefault="00693D67" w:rsidP="00467DB0">
      <w:pPr>
        <w:rPr>
          <w:rStyle w:val="kursiv"/>
        </w:rPr>
      </w:pPr>
      <w:r w:rsidRPr="00467DB0">
        <w:rPr>
          <w:rStyle w:val="kursiv"/>
        </w:rPr>
        <w:t>Artikkel 44</w:t>
      </w:r>
      <w:r w:rsidRPr="00467DB0">
        <w:t xml:space="preserve"> omtaler operasjon av Galileo og EGNOS, som i hovedsak omfatter</w:t>
      </w:r>
      <w:r w:rsidRPr="00467DB0">
        <w:t xml:space="preserve"> administrasjon, drift, vedlikehold, fornyelse og beskyttelse av rom- og bakkeinfrastrukturen, utvikling av neste generasjons systemer, godkjennings-, sertifiserings- og standardiseringsaktiviteter for programmet, samt alle elementer </w:t>
      </w:r>
      <w:proofErr w:type="gramStart"/>
      <w:r w:rsidRPr="00467DB0">
        <w:t>vedrørende</w:t>
      </w:r>
      <w:proofErr w:type="gramEnd"/>
      <w:r w:rsidRPr="00467DB0">
        <w:t xml:space="preserve"> pålitelighe</w:t>
      </w:r>
      <w:r w:rsidRPr="00467DB0">
        <w:t xml:space="preserve">ten til systemet, drift og leveranser og markedsføring av tjenester. </w:t>
      </w:r>
    </w:p>
    <w:p w14:paraId="2FE66D4B" w14:textId="77777777" w:rsidR="00000000" w:rsidRPr="00467DB0" w:rsidRDefault="00693D67" w:rsidP="00467DB0">
      <w:pPr>
        <w:rPr>
          <w:rStyle w:val="kursiv"/>
        </w:rPr>
      </w:pPr>
      <w:r w:rsidRPr="00467DB0">
        <w:rPr>
          <w:rStyle w:val="kursiv"/>
        </w:rPr>
        <w:t>Artikkel 45</w:t>
      </w:r>
      <w:r w:rsidRPr="00467DB0">
        <w:t xml:space="preserve"> angir tjenestene Galileo skal levere:</w:t>
      </w:r>
    </w:p>
    <w:p w14:paraId="35FBB5B5" w14:textId="77777777" w:rsidR="00000000" w:rsidRPr="00467DB0" w:rsidRDefault="00693D67" w:rsidP="00467DB0">
      <w:pPr>
        <w:pStyle w:val="Liste"/>
      </w:pPr>
      <w:r w:rsidRPr="00467DB0">
        <w:t>en åpen tjeneste (Galileo Open Service, GOS),</w:t>
      </w:r>
    </w:p>
    <w:p w14:paraId="1476A3F8" w14:textId="77777777" w:rsidR="00000000" w:rsidRPr="00467DB0" w:rsidRDefault="00693D67" w:rsidP="00467DB0">
      <w:pPr>
        <w:pStyle w:val="Liste"/>
      </w:pPr>
      <w:r w:rsidRPr="00467DB0">
        <w:t>en høypresisjonstjeneste (High-</w:t>
      </w:r>
      <w:proofErr w:type="spellStart"/>
      <w:r w:rsidRPr="00467DB0">
        <w:t>Accuracy</w:t>
      </w:r>
      <w:proofErr w:type="spellEnd"/>
      <w:r w:rsidRPr="00467DB0">
        <w:t xml:space="preserve"> Service, HAS),</w:t>
      </w:r>
    </w:p>
    <w:p w14:paraId="267D11F3" w14:textId="77777777" w:rsidR="00000000" w:rsidRPr="00467DB0" w:rsidRDefault="00693D67" w:rsidP="00467DB0">
      <w:pPr>
        <w:pStyle w:val="Liste"/>
      </w:pPr>
      <w:r w:rsidRPr="00467DB0">
        <w:t>en signalautentiserings</w:t>
      </w:r>
      <w:r w:rsidRPr="00467DB0">
        <w:t xml:space="preserve">tjeneste (Signal </w:t>
      </w:r>
      <w:proofErr w:type="spellStart"/>
      <w:r w:rsidRPr="00467DB0">
        <w:t>Authentication</w:t>
      </w:r>
      <w:proofErr w:type="spellEnd"/>
      <w:r w:rsidRPr="00467DB0">
        <w:t xml:space="preserve"> Service, SAS),</w:t>
      </w:r>
    </w:p>
    <w:p w14:paraId="27265B3D" w14:textId="77777777" w:rsidR="00000000" w:rsidRPr="00467DB0" w:rsidRDefault="00693D67" w:rsidP="00467DB0">
      <w:pPr>
        <w:pStyle w:val="Liste"/>
      </w:pPr>
      <w:r w:rsidRPr="00467DB0">
        <w:t xml:space="preserve">en offentlig regulert tjeneste (Public </w:t>
      </w:r>
      <w:proofErr w:type="spellStart"/>
      <w:r w:rsidRPr="00467DB0">
        <w:t>Regulated</w:t>
      </w:r>
      <w:proofErr w:type="spellEnd"/>
      <w:r w:rsidRPr="00467DB0">
        <w:t xml:space="preserve"> Service, PRS),</w:t>
      </w:r>
    </w:p>
    <w:p w14:paraId="05870356" w14:textId="77777777" w:rsidR="00000000" w:rsidRPr="00467DB0" w:rsidRDefault="00693D67" w:rsidP="00467DB0">
      <w:pPr>
        <w:pStyle w:val="Liste"/>
      </w:pPr>
      <w:r w:rsidRPr="00467DB0">
        <w:t>en varslingstjeneste (</w:t>
      </w:r>
      <w:proofErr w:type="spellStart"/>
      <w:r w:rsidRPr="00467DB0">
        <w:t>Emergency</w:t>
      </w:r>
      <w:proofErr w:type="spellEnd"/>
      <w:r w:rsidRPr="00467DB0">
        <w:t xml:space="preserve"> Service, ES),</w:t>
      </w:r>
    </w:p>
    <w:p w14:paraId="2797BB5B" w14:textId="77777777" w:rsidR="00000000" w:rsidRPr="00467DB0" w:rsidRDefault="00693D67" w:rsidP="00467DB0">
      <w:pPr>
        <w:pStyle w:val="Liste"/>
      </w:pPr>
      <w:r w:rsidRPr="00467DB0">
        <w:t>en tjeneste for presis tid (Timing Service, TS).</w:t>
      </w:r>
    </w:p>
    <w:p w14:paraId="02FB65FB" w14:textId="77777777" w:rsidR="00000000" w:rsidRPr="00467DB0" w:rsidRDefault="00693D67" w:rsidP="00467DB0">
      <w:r w:rsidRPr="00467DB0">
        <w:t>Galileo skal også bidra til støttetjen</w:t>
      </w:r>
      <w:r w:rsidRPr="00467DB0">
        <w:t>esten for søk og redning i COSPAS-SARSAT-systemet (</w:t>
      </w:r>
      <w:proofErr w:type="spellStart"/>
      <w:r w:rsidRPr="00467DB0">
        <w:t>Search</w:t>
      </w:r>
      <w:proofErr w:type="spellEnd"/>
      <w:r w:rsidRPr="00467DB0">
        <w:t xml:space="preserve"> and </w:t>
      </w:r>
      <w:proofErr w:type="spellStart"/>
      <w:r w:rsidRPr="00467DB0">
        <w:t>Rescue</w:t>
      </w:r>
      <w:proofErr w:type="spellEnd"/>
      <w:r w:rsidRPr="00467DB0">
        <w:t xml:space="preserve"> support service, SAR), </w:t>
      </w:r>
      <w:proofErr w:type="spellStart"/>
      <w:r w:rsidRPr="00467DB0">
        <w:t>integritetsmonitoreringstjenester</w:t>
      </w:r>
      <w:proofErr w:type="spellEnd"/>
      <w:r w:rsidRPr="00467DB0">
        <w:t xml:space="preserve"> for livskritiske/sikkerhetskritiske tjenester og informasjon om romvær gjennom GNSS Service Centre.</w:t>
      </w:r>
    </w:p>
    <w:p w14:paraId="01841273" w14:textId="77777777" w:rsidR="00000000" w:rsidRPr="00467DB0" w:rsidRDefault="00693D67" w:rsidP="00467DB0">
      <w:pPr>
        <w:rPr>
          <w:rStyle w:val="kursiv"/>
        </w:rPr>
      </w:pPr>
      <w:r w:rsidRPr="00467DB0">
        <w:rPr>
          <w:rStyle w:val="kursiv"/>
        </w:rPr>
        <w:t>Artikkel 46</w:t>
      </w:r>
      <w:r w:rsidRPr="00467DB0">
        <w:t xml:space="preserve"> angir tjenestene EGNOS skal levere:</w:t>
      </w:r>
    </w:p>
    <w:p w14:paraId="42C4651A" w14:textId="77777777" w:rsidR="00000000" w:rsidRPr="00467DB0" w:rsidRDefault="00693D67" w:rsidP="00467DB0">
      <w:pPr>
        <w:pStyle w:val="Liste"/>
      </w:pPr>
      <w:r w:rsidRPr="00467DB0">
        <w:t>en åpen tjeneste (EGNOS Open Service, EOS),</w:t>
      </w:r>
    </w:p>
    <w:p w14:paraId="03675E13" w14:textId="77777777" w:rsidR="00000000" w:rsidRPr="00467DB0" w:rsidRDefault="00693D67" w:rsidP="00467DB0">
      <w:pPr>
        <w:pStyle w:val="Liste"/>
      </w:pPr>
      <w:r w:rsidRPr="00467DB0">
        <w:t>en tjeneste for datatilgang (EGNOS Data Access Service, EDAS),</w:t>
      </w:r>
    </w:p>
    <w:p w14:paraId="2F90B826" w14:textId="77777777" w:rsidR="00000000" w:rsidRPr="00467DB0" w:rsidRDefault="00693D67" w:rsidP="00467DB0">
      <w:pPr>
        <w:pStyle w:val="Liste"/>
      </w:pPr>
      <w:r w:rsidRPr="00467DB0">
        <w:t>en tjeneste for sikkerhetskritiske anvendelser (</w:t>
      </w:r>
      <w:proofErr w:type="spellStart"/>
      <w:r w:rsidRPr="00467DB0">
        <w:t>Safety-of-life</w:t>
      </w:r>
      <w:proofErr w:type="spellEnd"/>
      <w:r w:rsidRPr="00467DB0">
        <w:t>, SOL).</w:t>
      </w:r>
    </w:p>
    <w:p w14:paraId="5DF55AF3" w14:textId="77777777" w:rsidR="00000000" w:rsidRPr="00467DB0" w:rsidRDefault="00693D67" w:rsidP="00467DB0">
      <w:r w:rsidRPr="00467DB0">
        <w:t xml:space="preserve">Tjenestene skal primært dekke medlemsstatenes territorium i Europa, men kan også utvides til andre regioner. Slike utvidelser skal ikke dekkes av budsjettet i artikkel 11. </w:t>
      </w:r>
    </w:p>
    <w:p w14:paraId="28AF119E" w14:textId="77777777" w:rsidR="00000000" w:rsidRPr="00467DB0" w:rsidRDefault="00693D67" w:rsidP="00467DB0">
      <w:pPr>
        <w:rPr>
          <w:rStyle w:val="kursiv"/>
        </w:rPr>
      </w:pPr>
      <w:r w:rsidRPr="00467DB0">
        <w:rPr>
          <w:rStyle w:val="kursiv"/>
        </w:rPr>
        <w:t>Artikkel 47</w:t>
      </w:r>
      <w:r w:rsidRPr="00467DB0">
        <w:t xml:space="preserve"> a</w:t>
      </w:r>
      <w:r w:rsidRPr="00467DB0">
        <w:t xml:space="preserve">ngir at Kommisjonen kan gjennomføre tiltak for bl.a. å håndtere og redusere risiko i driften av Galileo og EGNOS. </w:t>
      </w:r>
    </w:p>
    <w:p w14:paraId="5F439F1B" w14:textId="77777777" w:rsidR="00000000" w:rsidRPr="00467DB0" w:rsidRDefault="00693D67" w:rsidP="00467DB0">
      <w:pPr>
        <w:rPr>
          <w:rStyle w:val="kursiv"/>
        </w:rPr>
      </w:pPr>
      <w:r w:rsidRPr="00467DB0">
        <w:rPr>
          <w:rStyle w:val="kursiv"/>
        </w:rPr>
        <w:t>Artikkel 48</w:t>
      </w:r>
      <w:r w:rsidRPr="00467DB0">
        <w:t xml:space="preserve"> definerer kompatibiliteten og interoperabiliteten ved systemene, herunder at de også skal fungere sammen med andre satellittnavig</w:t>
      </w:r>
      <w:r w:rsidRPr="00467DB0">
        <w:t xml:space="preserve">asjonssystemer og konvensjonelle radionavigasjonsmidler. </w:t>
      </w:r>
    </w:p>
    <w:p w14:paraId="403BBE4D" w14:textId="77777777" w:rsidR="00000000" w:rsidRPr="00467DB0" w:rsidRDefault="00693D67" w:rsidP="00467DB0">
      <w:pPr>
        <w:rPr>
          <w:rStyle w:val="kursiv"/>
        </w:rPr>
      </w:pPr>
      <w:r w:rsidRPr="00467DB0">
        <w:rPr>
          <w:rStyle w:val="kursiv"/>
        </w:rPr>
        <w:t>Del 7</w:t>
      </w:r>
      <w:r w:rsidRPr="00467DB0">
        <w:t xml:space="preserve"> (artikkel 49–52) omhandler Copernicus</w:t>
      </w:r>
    </w:p>
    <w:p w14:paraId="4F00749A" w14:textId="77777777" w:rsidR="00000000" w:rsidRPr="00467DB0" w:rsidRDefault="00693D67" w:rsidP="00467DB0">
      <w:pPr>
        <w:rPr>
          <w:rStyle w:val="kursiv"/>
        </w:rPr>
      </w:pPr>
      <w:r w:rsidRPr="00467DB0">
        <w:rPr>
          <w:rStyle w:val="kursiv"/>
        </w:rPr>
        <w:t>Artikkel 49</w:t>
      </w:r>
      <w:r w:rsidRPr="00467DB0">
        <w:t xml:space="preserve"> beskriver rammen og omfanget av Copernicus-programmet. Programmet skal støtte opp om EUs og medlemsstatenes politikk, særlig innen miljø, klim</w:t>
      </w:r>
      <w:r w:rsidRPr="00467DB0">
        <w:t>a, hav, atmosfære, landbruk, kulturminneovervåking, overvåking av infrastruktur, beredskap, katastrofehåndtering og samfunnssikkerhet. Copernicus skal fremme internasjonalt samarbeid rundt observasjonssystemer og utveksling av data.</w:t>
      </w:r>
    </w:p>
    <w:p w14:paraId="5F860F9C" w14:textId="77777777" w:rsidR="00000000" w:rsidRPr="00467DB0" w:rsidRDefault="00693D67" w:rsidP="00467DB0">
      <w:r w:rsidRPr="00467DB0">
        <w:t>Copernicus skal bestå a</w:t>
      </w:r>
      <w:r w:rsidRPr="00467DB0">
        <w:t xml:space="preserve">v følgende fire elementer: </w:t>
      </w:r>
    </w:p>
    <w:p w14:paraId="3511C171" w14:textId="77777777" w:rsidR="00000000" w:rsidRPr="00467DB0" w:rsidRDefault="00693D67" w:rsidP="00467DB0">
      <w:pPr>
        <w:pStyle w:val="Liste"/>
      </w:pPr>
      <w:r w:rsidRPr="00467DB0">
        <w:t xml:space="preserve">datainnhenting, gjennom </w:t>
      </w:r>
      <w:proofErr w:type="spellStart"/>
      <w:r w:rsidRPr="00467DB0">
        <w:t>Sentinel</w:t>
      </w:r>
      <w:proofErr w:type="spellEnd"/>
      <w:r w:rsidRPr="00467DB0">
        <w:t>-satellittene, tredjeparts jordobservasjonsdata og bakkebaserte data,</w:t>
      </w:r>
    </w:p>
    <w:p w14:paraId="0536E9DD" w14:textId="77777777" w:rsidR="00000000" w:rsidRPr="00467DB0" w:rsidRDefault="00693D67" w:rsidP="00467DB0">
      <w:pPr>
        <w:pStyle w:val="Liste"/>
      </w:pPr>
      <w:r w:rsidRPr="00467DB0">
        <w:t>prosessering gjennom Copernicus-tjenestene,</w:t>
      </w:r>
    </w:p>
    <w:p w14:paraId="26B686A6" w14:textId="77777777" w:rsidR="00000000" w:rsidRPr="00467DB0" w:rsidRDefault="00693D67" w:rsidP="00467DB0">
      <w:pPr>
        <w:pStyle w:val="Liste"/>
      </w:pPr>
      <w:r w:rsidRPr="00467DB0">
        <w:lastRenderedPageBreak/>
        <w:t>datadistribusjon,</w:t>
      </w:r>
    </w:p>
    <w:p w14:paraId="43584D18" w14:textId="77777777" w:rsidR="00000000" w:rsidRPr="00467DB0" w:rsidRDefault="00693D67" w:rsidP="00467DB0">
      <w:pPr>
        <w:pStyle w:val="Liste"/>
      </w:pPr>
      <w:r w:rsidRPr="00467DB0">
        <w:t xml:space="preserve">brukeropptak og markedsutvikling av </w:t>
      </w:r>
      <w:proofErr w:type="spellStart"/>
      <w:r w:rsidRPr="00467DB0">
        <w:t>nedstrømsanv</w:t>
      </w:r>
      <w:r w:rsidRPr="00467DB0">
        <w:t>endelser</w:t>
      </w:r>
      <w:proofErr w:type="spellEnd"/>
      <w:r w:rsidRPr="00467DB0">
        <w:t>.</w:t>
      </w:r>
    </w:p>
    <w:p w14:paraId="2D9273CD" w14:textId="77777777" w:rsidR="00000000" w:rsidRPr="00467DB0" w:rsidRDefault="00693D67" w:rsidP="00467DB0">
      <w:pPr>
        <w:rPr>
          <w:rStyle w:val="kursiv"/>
        </w:rPr>
      </w:pPr>
      <w:r w:rsidRPr="00467DB0">
        <w:rPr>
          <w:rStyle w:val="kursiv"/>
        </w:rPr>
        <w:t>Kapittel 2</w:t>
      </w:r>
      <w:r w:rsidRPr="00467DB0">
        <w:t xml:space="preserve"> (artikkel 50–52) beskriver handlingsrommet for de forskjellige elementene i Copernicus.</w:t>
      </w:r>
    </w:p>
    <w:p w14:paraId="66715065" w14:textId="77777777" w:rsidR="00000000" w:rsidRPr="00467DB0" w:rsidRDefault="00693D67" w:rsidP="00467DB0">
      <w:pPr>
        <w:rPr>
          <w:rStyle w:val="kursiv"/>
        </w:rPr>
      </w:pPr>
      <w:r w:rsidRPr="00467DB0">
        <w:rPr>
          <w:rStyle w:val="kursiv"/>
        </w:rPr>
        <w:t>Artikkel 50</w:t>
      </w:r>
      <w:r w:rsidRPr="00467DB0">
        <w:t xml:space="preserve"> etablerer at programmet skal opprettholde og forbedre datatilbudet, både ved å sørge for kontinuitet i eksisterende </w:t>
      </w:r>
      <w:proofErr w:type="spellStart"/>
      <w:r w:rsidRPr="00467DB0">
        <w:t>Sentinel</w:t>
      </w:r>
      <w:proofErr w:type="spellEnd"/>
      <w:r w:rsidRPr="00467DB0">
        <w:t xml:space="preserve">-målinger, </w:t>
      </w:r>
      <w:r w:rsidRPr="00467DB0">
        <w:t>utvikle nye satellitter (deriblant for observasjon av polare strøk og globale målinger av CO2), legge til rette for inkludering av tredjeparts-data, samt bakkebaserte data og andre nødvendige data for kalibrering og validering.</w:t>
      </w:r>
    </w:p>
    <w:p w14:paraId="24261320" w14:textId="77777777" w:rsidR="00000000" w:rsidRPr="00467DB0" w:rsidRDefault="00693D67" w:rsidP="00467DB0">
      <w:pPr>
        <w:rPr>
          <w:rStyle w:val="kursiv"/>
        </w:rPr>
      </w:pPr>
      <w:r w:rsidRPr="00467DB0">
        <w:rPr>
          <w:rStyle w:val="kursiv"/>
        </w:rPr>
        <w:t>Artikkel 51</w:t>
      </w:r>
      <w:r w:rsidRPr="00467DB0">
        <w:t xml:space="preserve"> definerer hvilke</w:t>
      </w:r>
      <w:r w:rsidRPr="00467DB0">
        <w:t xml:space="preserve"> behov tjenestene i Copernicus skal dekke, og at det er Kommisjonen som skal sikre tjenestenes relevans og gjennomførbarhet. Temaene for tjenestene er:</w:t>
      </w:r>
    </w:p>
    <w:p w14:paraId="63B883B2" w14:textId="77777777" w:rsidR="00000000" w:rsidRPr="00467DB0" w:rsidRDefault="00693D67" w:rsidP="00467DB0">
      <w:pPr>
        <w:pStyle w:val="Liste"/>
      </w:pPr>
      <w:r w:rsidRPr="00467DB0">
        <w:t>miljøovervåking og -rapportering: atmosfære og luftkvalitet, hav, land og klima,</w:t>
      </w:r>
    </w:p>
    <w:p w14:paraId="38A13209" w14:textId="77777777" w:rsidR="00000000" w:rsidRPr="00467DB0" w:rsidRDefault="00693D67" w:rsidP="00467DB0">
      <w:pPr>
        <w:pStyle w:val="Liste"/>
      </w:pPr>
      <w:r w:rsidRPr="00467DB0">
        <w:t>katastrofehåndt</w:t>
      </w:r>
      <w:r w:rsidRPr="00467DB0">
        <w:t>ering,</w:t>
      </w:r>
    </w:p>
    <w:p w14:paraId="1B094C1A" w14:textId="77777777" w:rsidR="00000000" w:rsidRPr="00467DB0" w:rsidRDefault="00693D67" w:rsidP="00467DB0">
      <w:pPr>
        <w:pStyle w:val="Liste"/>
      </w:pPr>
      <w:r w:rsidRPr="00467DB0">
        <w:t xml:space="preserve">samfunnssikkerhet. </w:t>
      </w:r>
    </w:p>
    <w:p w14:paraId="4EB94A33" w14:textId="77777777" w:rsidR="00000000" w:rsidRPr="00467DB0" w:rsidRDefault="00693D67" w:rsidP="00467DB0">
      <w:pPr>
        <w:rPr>
          <w:rStyle w:val="kursiv"/>
        </w:rPr>
      </w:pPr>
      <w:r w:rsidRPr="00467DB0">
        <w:rPr>
          <w:rStyle w:val="kursiv"/>
        </w:rPr>
        <w:t>Artikkel 52</w:t>
      </w:r>
      <w:r w:rsidRPr="00467DB0">
        <w:t xml:space="preserve"> fastsetter at Copernicus skal forbedre tilgjengeligheten til data ytterligere, og angir i tillegg noen presiseringer når det gjelder håndtering av sikkerhets-sensitiv informasjon.</w:t>
      </w:r>
    </w:p>
    <w:p w14:paraId="35606EAE" w14:textId="77777777" w:rsidR="00000000" w:rsidRPr="00467DB0" w:rsidRDefault="00693D67" w:rsidP="00467DB0">
      <w:pPr>
        <w:rPr>
          <w:rStyle w:val="kursiv"/>
        </w:rPr>
      </w:pPr>
      <w:r w:rsidRPr="00467DB0">
        <w:rPr>
          <w:rStyle w:val="kursiv"/>
        </w:rPr>
        <w:t xml:space="preserve">Kapittel 3, </w:t>
      </w:r>
      <w:r w:rsidRPr="00467DB0">
        <w:t>(artikkel 53) omhandl</w:t>
      </w:r>
      <w:r w:rsidRPr="00467DB0">
        <w:t>er Copernicus data- og informasjonspolitikk. Det fastslås at data skal gjøres fritt og åpent tilgjengelig, samtidig som lisensbetingelser for tredjepartsdata og generelle sikkerhetskrav gitt i artikkel 34 blir ivaretatt.</w:t>
      </w:r>
    </w:p>
    <w:p w14:paraId="4F82CF1E" w14:textId="77777777" w:rsidR="00000000" w:rsidRPr="00467DB0" w:rsidRDefault="00693D67" w:rsidP="00467DB0">
      <w:pPr>
        <w:rPr>
          <w:rStyle w:val="kursiv"/>
        </w:rPr>
      </w:pPr>
      <w:r w:rsidRPr="00467DB0">
        <w:rPr>
          <w:rStyle w:val="kursiv"/>
        </w:rPr>
        <w:t>Del 8</w:t>
      </w:r>
      <w:r w:rsidRPr="00467DB0">
        <w:t xml:space="preserve"> (artikkel 54–</w:t>
      </w:r>
      <w:r w:rsidRPr="00467DB0">
        <w:t>69) omhandler andre komponenter i programmet.</w:t>
      </w:r>
    </w:p>
    <w:p w14:paraId="68509DCB" w14:textId="77777777" w:rsidR="00000000" w:rsidRPr="00467DB0" w:rsidRDefault="00693D67" w:rsidP="00467DB0">
      <w:r w:rsidRPr="00467DB0">
        <w:t>Kapittel 1 (artikkel 54–61) omhandler SSA med delkomponentene SST, SWE og NEO.</w:t>
      </w:r>
    </w:p>
    <w:p w14:paraId="77C26429" w14:textId="77777777" w:rsidR="00000000" w:rsidRPr="00467DB0" w:rsidRDefault="00693D67" w:rsidP="00467DB0">
      <w:pPr>
        <w:rPr>
          <w:rStyle w:val="kursiv"/>
        </w:rPr>
      </w:pPr>
      <w:r w:rsidRPr="00467DB0">
        <w:rPr>
          <w:rStyle w:val="kursiv"/>
        </w:rPr>
        <w:t>Artikkel 54</w:t>
      </w:r>
      <w:r w:rsidRPr="00467DB0">
        <w:t xml:space="preserve"> beskriver omfanget av aktiviteter som dekkes av SST og underkomponentene. Disse beskriver aktiviteter i hele verdikjede</w:t>
      </w:r>
      <w:r w:rsidRPr="00467DB0">
        <w:t xml:space="preserve">n, fra nettverk av sensorer, til prosessering, analyse og leveranser av tjenester. </w:t>
      </w:r>
    </w:p>
    <w:p w14:paraId="77897CEA" w14:textId="77777777" w:rsidR="00000000" w:rsidRPr="00467DB0" w:rsidRDefault="00693D67" w:rsidP="00467DB0">
      <w:pPr>
        <w:rPr>
          <w:rStyle w:val="kursiv"/>
        </w:rPr>
      </w:pPr>
      <w:r w:rsidRPr="00467DB0">
        <w:rPr>
          <w:rStyle w:val="kursiv"/>
        </w:rPr>
        <w:t>Artikkel 55</w:t>
      </w:r>
      <w:r w:rsidRPr="00467DB0">
        <w:t xml:space="preserve"> definerer SST-tjenestene, tilgjengelighet for tjenestene, samt ansvarsforhold. Tjenestene vil bestå av:</w:t>
      </w:r>
    </w:p>
    <w:p w14:paraId="708A1F4E" w14:textId="77777777" w:rsidR="00000000" w:rsidRPr="00467DB0" w:rsidRDefault="00693D67" w:rsidP="00467DB0">
      <w:pPr>
        <w:pStyle w:val="Liste"/>
      </w:pPr>
      <w:r w:rsidRPr="00467DB0">
        <w:t>varsling av kollisjonsfare,</w:t>
      </w:r>
    </w:p>
    <w:p w14:paraId="7DDFEEBD" w14:textId="77777777" w:rsidR="00000000" w:rsidRPr="00467DB0" w:rsidRDefault="00693D67" w:rsidP="00467DB0">
      <w:pPr>
        <w:pStyle w:val="Liste"/>
      </w:pPr>
      <w:r w:rsidRPr="00467DB0">
        <w:t>deteksjon og karakte</w:t>
      </w:r>
      <w:r w:rsidRPr="00467DB0">
        <w:t>risering av fragmentering og kollisjoner i bane,</w:t>
      </w:r>
    </w:p>
    <w:p w14:paraId="12D6CF29" w14:textId="77777777" w:rsidR="00000000" w:rsidRPr="00467DB0" w:rsidRDefault="00693D67" w:rsidP="00467DB0">
      <w:pPr>
        <w:pStyle w:val="Liste"/>
      </w:pPr>
      <w:r w:rsidRPr="00467DB0">
        <w:t>risiko relatert til retur av romobjekter gjennom atmosfæren,</w:t>
      </w:r>
    </w:p>
    <w:p w14:paraId="55D60D2B" w14:textId="77777777" w:rsidR="00000000" w:rsidRPr="00467DB0" w:rsidRDefault="00693D67" w:rsidP="00467DB0">
      <w:pPr>
        <w:pStyle w:val="Liste"/>
      </w:pPr>
      <w:r w:rsidRPr="00467DB0">
        <w:t>nyutvikling for å kunne dekke temaer som omfatter begrensning og håndtering av romsøppel.</w:t>
      </w:r>
    </w:p>
    <w:p w14:paraId="0FC40A15" w14:textId="77777777" w:rsidR="00000000" w:rsidRPr="00467DB0" w:rsidRDefault="00693D67" w:rsidP="00467DB0">
      <w:r w:rsidRPr="00467DB0">
        <w:t>Det fastslås at tjenestene skal være gratis og t</w:t>
      </w:r>
      <w:r w:rsidRPr="00467DB0">
        <w:t>ilgjengelige uten avbrudd.</w:t>
      </w:r>
    </w:p>
    <w:p w14:paraId="6EC38AD6" w14:textId="77777777" w:rsidR="00000000" w:rsidRPr="00467DB0" w:rsidRDefault="00693D67" w:rsidP="00467DB0">
      <w:pPr>
        <w:rPr>
          <w:rStyle w:val="kursiv"/>
        </w:rPr>
      </w:pPr>
      <w:r w:rsidRPr="00467DB0">
        <w:rPr>
          <w:rStyle w:val="kursiv"/>
        </w:rPr>
        <w:t>Artikkel 56</w:t>
      </w:r>
      <w:r w:rsidRPr="00467DB0">
        <w:t xml:space="preserve"> beskriver SST-brukere og deres tilganger til tjenestene.</w:t>
      </w:r>
    </w:p>
    <w:p w14:paraId="5EB23152" w14:textId="77777777" w:rsidR="00000000" w:rsidRPr="00467DB0" w:rsidRDefault="00693D67" w:rsidP="00467DB0">
      <w:pPr>
        <w:rPr>
          <w:rStyle w:val="kursiv"/>
        </w:rPr>
      </w:pPr>
      <w:r w:rsidRPr="00467DB0">
        <w:rPr>
          <w:rStyle w:val="kursiv"/>
        </w:rPr>
        <w:t>Artikkel 57</w:t>
      </w:r>
      <w:r w:rsidRPr="00467DB0">
        <w:t xml:space="preserve"> fastsetter betingelsene medlemsstatene må oppfylle for å kunne bidra til å levere tjenester. </w:t>
      </w:r>
    </w:p>
    <w:p w14:paraId="751B011C" w14:textId="77777777" w:rsidR="00000000" w:rsidRPr="00467DB0" w:rsidRDefault="00693D67" w:rsidP="00467DB0">
      <w:pPr>
        <w:rPr>
          <w:rStyle w:val="kursiv"/>
        </w:rPr>
      </w:pPr>
      <w:r w:rsidRPr="00467DB0">
        <w:rPr>
          <w:rStyle w:val="kursiv"/>
        </w:rPr>
        <w:t>Artikkel 58</w:t>
      </w:r>
      <w:r w:rsidRPr="00467DB0">
        <w:t xml:space="preserve"> beskriver det organisatoriske rammeverket </w:t>
      </w:r>
      <w:r w:rsidRPr="00467DB0">
        <w:t>for medlemsstatenes deltagelse i partnerskapet som utvikler og leverer SST-tjenester.</w:t>
      </w:r>
    </w:p>
    <w:p w14:paraId="280685B6" w14:textId="77777777" w:rsidR="00000000" w:rsidRPr="00467DB0" w:rsidRDefault="00693D67" w:rsidP="00467DB0">
      <w:pPr>
        <w:rPr>
          <w:rStyle w:val="kursiv"/>
        </w:rPr>
      </w:pPr>
      <w:r w:rsidRPr="00467DB0">
        <w:rPr>
          <w:rStyle w:val="kursiv"/>
        </w:rPr>
        <w:t>Artikkel 59</w:t>
      </w:r>
      <w:r w:rsidRPr="00467DB0">
        <w:t xml:space="preserve"> omhandler forholdene som legges til grunn for utvelgelsen av SST-kontaktpunkt og hva funksjonen innebærer. </w:t>
      </w:r>
    </w:p>
    <w:p w14:paraId="1D445862" w14:textId="77777777" w:rsidR="00000000" w:rsidRPr="00467DB0" w:rsidRDefault="00693D67" w:rsidP="00467DB0">
      <w:pPr>
        <w:rPr>
          <w:rStyle w:val="kursiv"/>
        </w:rPr>
      </w:pPr>
      <w:r w:rsidRPr="00467DB0">
        <w:rPr>
          <w:rStyle w:val="kursiv"/>
        </w:rPr>
        <w:lastRenderedPageBreak/>
        <w:t>Artikkel 60</w:t>
      </w:r>
      <w:r w:rsidRPr="00467DB0">
        <w:t xml:space="preserve"> beskriver det mulige omfanget av romvæ</w:t>
      </w:r>
      <w:r w:rsidRPr="00467DB0">
        <w:t>r-aktiviteter, herunder spesifisering av brukerbehov samt kontinuerlige tjenester tilpasset spesifikke sektorer.</w:t>
      </w:r>
    </w:p>
    <w:p w14:paraId="61FF6318" w14:textId="77777777" w:rsidR="00000000" w:rsidRPr="00467DB0" w:rsidRDefault="00693D67" w:rsidP="00467DB0">
      <w:pPr>
        <w:rPr>
          <w:rStyle w:val="kursiv"/>
        </w:rPr>
      </w:pPr>
      <w:r w:rsidRPr="00467DB0">
        <w:rPr>
          <w:rStyle w:val="kursiv"/>
        </w:rPr>
        <w:t>Artikkel 61</w:t>
      </w:r>
      <w:r w:rsidRPr="00467DB0">
        <w:t xml:space="preserve"> beskriver det mulige omfanget av aktiviteter innen fare for kollisjon med asteroider (NEO). </w:t>
      </w:r>
    </w:p>
    <w:p w14:paraId="1D89721A" w14:textId="77777777" w:rsidR="00000000" w:rsidRPr="00467DB0" w:rsidRDefault="00693D67" w:rsidP="00467DB0">
      <w:pPr>
        <w:rPr>
          <w:rStyle w:val="kursiv"/>
        </w:rPr>
      </w:pPr>
      <w:r w:rsidRPr="00467DB0">
        <w:rPr>
          <w:rStyle w:val="kursiv"/>
        </w:rPr>
        <w:t>Kapittel 2</w:t>
      </w:r>
      <w:r w:rsidRPr="00467DB0">
        <w:t xml:space="preserve"> (artikkel 62–69) omhandler </w:t>
      </w:r>
      <w:r w:rsidRPr="00467DB0">
        <w:t>GOVSATCOM.</w:t>
      </w:r>
    </w:p>
    <w:p w14:paraId="3CEB15E1" w14:textId="77777777" w:rsidR="00000000" w:rsidRPr="00467DB0" w:rsidRDefault="00693D67" w:rsidP="00467DB0">
      <w:pPr>
        <w:rPr>
          <w:rStyle w:val="kursiv"/>
        </w:rPr>
      </w:pPr>
      <w:r w:rsidRPr="00467DB0">
        <w:rPr>
          <w:rStyle w:val="kursiv"/>
        </w:rPr>
        <w:t>Artikkel 62</w:t>
      </w:r>
      <w:r w:rsidRPr="00467DB0">
        <w:t xml:space="preserve"> beskriver formålet med den nye komponenten GOVSATCOM, hvor myndighetsaktører i Europa tilbys tilgang til sikker kommunikasjonskapasitet, -tjenester og -utstyr, anskaffet og formidlet via EU til autoriserte brukere gjennom ny bakkeinf</w:t>
      </w:r>
      <w:r w:rsidRPr="00467DB0">
        <w:t xml:space="preserve">rastruktur. </w:t>
      </w:r>
    </w:p>
    <w:p w14:paraId="21B328B0" w14:textId="77777777" w:rsidR="00000000" w:rsidRPr="00467DB0" w:rsidRDefault="00693D67" w:rsidP="00467DB0">
      <w:pPr>
        <w:rPr>
          <w:rStyle w:val="kursiv"/>
        </w:rPr>
      </w:pPr>
      <w:r w:rsidRPr="00467DB0">
        <w:rPr>
          <w:rStyle w:val="kursiv"/>
        </w:rPr>
        <w:t>Artikkel 63</w:t>
      </w:r>
      <w:r w:rsidRPr="00467DB0">
        <w:t xml:space="preserve"> utdyper forhold </w:t>
      </w:r>
      <w:proofErr w:type="gramStart"/>
      <w:r w:rsidRPr="00467DB0">
        <w:t>vedrørende</w:t>
      </w:r>
      <w:proofErr w:type="gramEnd"/>
      <w:r w:rsidRPr="00467DB0">
        <w:t xml:space="preserve"> sikkerhet, tjenesteportefølje og prioritering mellom brukere. Bruksområdene inkluderer krisehåndtering, overvåking, håndtering av kritisk infrastruktur og diplomatisk relatert kommunikasjon. </w:t>
      </w:r>
    </w:p>
    <w:p w14:paraId="712CBA81" w14:textId="77777777" w:rsidR="00000000" w:rsidRPr="00467DB0" w:rsidRDefault="00693D67" w:rsidP="00467DB0">
      <w:pPr>
        <w:rPr>
          <w:rStyle w:val="kursiv"/>
        </w:rPr>
      </w:pPr>
      <w:r w:rsidRPr="00467DB0">
        <w:rPr>
          <w:rStyle w:val="kursiv"/>
        </w:rPr>
        <w:t>Artikkel 64</w:t>
      </w:r>
      <w:r w:rsidRPr="00467DB0">
        <w:t xml:space="preserve"> </w:t>
      </w:r>
      <w:r w:rsidRPr="00467DB0">
        <w:t xml:space="preserve">beskriver hvem som kan levere kapasitet og tjenester innen GOVSATCOM. </w:t>
      </w:r>
    </w:p>
    <w:p w14:paraId="5BFBED82" w14:textId="77777777" w:rsidR="00000000" w:rsidRPr="00467DB0" w:rsidRDefault="00693D67" w:rsidP="00467DB0">
      <w:pPr>
        <w:rPr>
          <w:rStyle w:val="kursiv"/>
        </w:rPr>
      </w:pPr>
      <w:r w:rsidRPr="00467DB0">
        <w:rPr>
          <w:rStyle w:val="kursiv"/>
        </w:rPr>
        <w:t>Artikkel 65</w:t>
      </w:r>
      <w:r w:rsidRPr="00467DB0">
        <w:t xml:space="preserve"> lister opp hvem som kan benytte kapasiteten og tjenestene som tilbys. Dette er autoriserte myndigheter innen EU, medlemsstater og brukere som representerer disse. </w:t>
      </w:r>
    </w:p>
    <w:p w14:paraId="6AD37DCC" w14:textId="77777777" w:rsidR="00000000" w:rsidRPr="00467DB0" w:rsidRDefault="00693D67" w:rsidP="00467DB0">
      <w:pPr>
        <w:rPr>
          <w:rStyle w:val="kursiv"/>
        </w:rPr>
      </w:pPr>
      <w:r w:rsidRPr="00467DB0">
        <w:rPr>
          <w:rStyle w:val="kursiv"/>
        </w:rPr>
        <w:t>Artikkel 66</w:t>
      </w:r>
      <w:r w:rsidRPr="00467DB0">
        <w:t xml:space="preserve"> utdyper prioritering og deling av kapasiteten mellom brukere.</w:t>
      </w:r>
    </w:p>
    <w:p w14:paraId="4E8DF8B0" w14:textId="77777777" w:rsidR="00000000" w:rsidRPr="00467DB0" w:rsidRDefault="00693D67" w:rsidP="00467DB0">
      <w:pPr>
        <w:rPr>
          <w:rStyle w:val="kursiv"/>
        </w:rPr>
      </w:pPr>
      <w:r w:rsidRPr="00467DB0">
        <w:rPr>
          <w:rStyle w:val="kursiv"/>
        </w:rPr>
        <w:t>Artikkel 67</w:t>
      </w:r>
      <w:r w:rsidRPr="00467DB0">
        <w:t xml:space="preserve"> omhandler den nødvendige bakkeinfrastruktur, inkludert plassering av </w:t>
      </w:r>
      <w:proofErr w:type="spellStart"/>
      <w:r w:rsidRPr="00467DB0">
        <w:t>kommunikasjonsnav</w:t>
      </w:r>
      <w:proofErr w:type="spellEnd"/>
      <w:r w:rsidRPr="00467DB0">
        <w:t>/ankerstasjoner, som EU må etablere for å kunne tilby og distribuere GOVSATCOM-tjene</w:t>
      </w:r>
      <w:r w:rsidRPr="00467DB0">
        <w:t xml:space="preserve">stene til brukerne. </w:t>
      </w:r>
    </w:p>
    <w:p w14:paraId="378A6243" w14:textId="77777777" w:rsidR="00000000" w:rsidRPr="00467DB0" w:rsidRDefault="00693D67" w:rsidP="00467DB0">
      <w:pPr>
        <w:rPr>
          <w:rStyle w:val="kursiv"/>
        </w:rPr>
      </w:pPr>
      <w:r w:rsidRPr="00467DB0">
        <w:rPr>
          <w:rStyle w:val="kursiv"/>
        </w:rPr>
        <w:t>Artikkel 68</w:t>
      </w:r>
      <w:r w:rsidRPr="00467DB0">
        <w:t xml:space="preserve"> beskriver at deltagerne i GOVSATCOM inkluderer medlemsstatene i EU, Kommisjonen og Råd</w:t>
      </w:r>
      <w:r w:rsidRPr="00467DB0">
        <w:t xml:space="preserve">et i EU, EUs utenrikstjeneste +EEAS (European </w:t>
      </w:r>
      <w:proofErr w:type="spellStart"/>
      <w:r w:rsidRPr="00467DB0">
        <w:t>External</w:t>
      </w:r>
      <w:proofErr w:type="spellEnd"/>
      <w:r w:rsidRPr="00467DB0">
        <w:t xml:space="preserve"> Action Service) og andre EU-byrå. Andre mulige deltagere i komponenten GOVSATCOM, for eksempel EØS/ EFTA-stater, beskrives i artikkel 7. Disse må søke EU om å få delta og inngå en særskilt avtale med E</w:t>
      </w:r>
      <w:r w:rsidRPr="00467DB0">
        <w:t xml:space="preserve">U om dette. Videre kreves det at hvert enkelt medlem i GOVSATCOM etablerer en egen kompetent myndighetsfunksjon som skal ivareta deltagelsen, inkludert oppgaver relatert til sikkerhet og tilgangsrettigheter samt at kapasitet, tjenester og utstyr forvaltes </w:t>
      </w:r>
      <w:r w:rsidRPr="00467DB0">
        <w:t xml:space="preserve">i henhold til kravene. </w:t>
      </w:r>
    </w:p>
    <w:p w14:paraId="52E87483" w14:textId="77777777" w:rsidR="00000000" w:rsidRPr="00467DB0" w:rsidRDefault="00693D67" w:rsidP="00467DB0">
      <w:pPr>
        <w:rPr>
          <w:rStyle w:val="kursiv"/>
        </w:rPr>
      </w:pPr>
      <w:r w:rsidRPr="00467DB0">
        <w:rPr>
          <w:rStyle w:val="kursiv"/>
        </w:rPr>
        <w:t>Artikkel 69</w:t>
      </w:r>
      <w:r w:rsidRPr="00467DB0">
        <w:t xml:space="preserve"> angir at Kommisjonen skal ivareta oppsyn med ressursene i GOVSATCOM for å sørge for en </w:t>
      </w:r>
      <w:proofErr w:type="gramStart"/>
      <w:r w:rsidRPr="00467DB0">
        <w:t>optimal</w:t>
      </w:r>
      <w:proofErr w:type="gramEnd"/>
      <w:r w:rsidRPr="00467DB0">
        <w:t xml:space="preserve"> utnyttelse av den tilgjengeliggjorte kapasitet over tid.</w:t>
      </w:r>
    </w:p>
    <w:p w14:paraId="3ACAAD11" w14:textId="77777777" w:rsidR="00000000" w:rsidRPr="00467DB0" w:rsidRDefault="00693D67" w:rsidP="00467DB0">
      <w:pPr>
        <w:rPr>
          <w:rStyle w:val="kursiv"/>
        </w:rPr>
      </w:pPr>
      <w:r w:rsidRPr="00467DB0">
        <w:rPr>
          <w:rStyle w:val="kursiv"/>
        </w:rPr>
        <w:t>Del 9</w:t>
      </w:r>
      <w:r w:rsidRPr="00467DB0">
        <w:t xml:space="preserve"> (artikkel 70–99) omhandler EUs byrå for Romprogrammet. </w:t>
      </w:r>
    </w:p>
    <w:p w14:paraId="0C5E3919" w14:textId="77777777" w:rsidR="00000000" w:rsidRPr="00467DB0" w:rsidRDefault="00693D67" w:rsidP="00467DB0">
      <w:pPr>
        <w:rPr>
          <w:rStyle w:val="kursiv"/>
        </w:rPr>
      </w:pPr>
      <w:r w:rsidRPr="00467DB0">
        <w:rPr>
          <w:rStyle w:val="kursiv"/>
        </w:rPr>
        <w:t>Kapitt</w:t>
      </w:r>
      <w:r w:rsidRPr="00467DB0">
        <w:rPr>
          <w:rStyle w:val="kursiv"/>
        </w:rPr>
        <w:t>el 1</w:t>
      </w:r>
      <w:r w:rsidRPr="00467DB0">
        <w:t xml:space="preserve"> (artikkel 70–71) omhandler alminnelige bestemmelser for Byrået.</w:t>
      </w:r>
    </w:p>
    <w:p w14:paraId="15C13858" w14:textId="77777777" w:rsidR="00000000" w:rsidRPr="00467DB0" w:rsidRDefault="00693D67" w:rsidP="00467DB0">
      <w:pPr>
        <w:rPr>
          <w:rStyle w:val="kursiv"/>
        </w:rPr>
      </w:pPr>
      <w:r w:rsidRPr="00467DB0">
        <w:rPr>
          <w:rStyle w:val="kursiv"/>
        </w:rPr>
        <w:t>Artikkel 70</w:t>
      </w:r>
      <w:r w:rsidRPr="00467DB0">
        <w:t xml:space="preserve"> definerer Byråets rettslige status.</w:t>
      </w:r>
    </w:p>
    <w:p w14:paraId="309B4DA7" w14:textId="77777777" w:rsidR="00000000" w:rsidRPr="00467DB0" w:rsidRDefault="00693D67" w:rsidP="00467DB0">
      <w:pPr>
        <w:rPr>
          <w:rStyle w:val="kursiv"/>
        </w:rPr>
      </w:pPr>
      <w:r w:rsidRPr="00467DB0">
        <w:rPr>
          <w:rStyle w:val="kursiv"/>
        </w:rPr>
        <w:t>Artikkel 71</w:t>
      </w:r>
      <w:r w:rsidRPr="00467DB0">
        <w:t xml:space="preserve"> spesifiserer at Byrået har sitt hovedkontor i Praha.</w:t>
      </w:r>
    </w:p>
    <w:p w14:paraId="50FED6A9" w14:textId="77777777" w:rsidR="00000000" w:rsidRPr="00467DB0" w:rsidRDefault="00693D67" w:rsidP="00467DB0">
      <w:pPr>
        <w:rPr>
          <w:rStyle w:val="kursiv"/>
        </w:rPr>
      </w:pPr>
      <w:r w:rsidRPr="00467DB0">
        <w:rPr>
          <w:rStyle w:val="kursiv"/>
        </w:rPr>
        <w:t>Kapittel 2</w:t>
      </w:r>
      <w:r w:rsidRPr="00467DB0">
        <w:t xml:space="preserve"> (artikkel 72–83) omhandler Byråets organisasjon.</w:t>
      </w:r>
    </w:p>
    <w:p w14:paraId="5B7DE6D0" w14:textId="77777777" w:rsidR="00000000" w:rsidRPr="00467DB0" w:rsidRDefault="00693D67" w:rsidP="00467DB0">
      <w:pPr>
        <w:rPr>
          <w:rStyle w:val="kursiv"/>
        </w:rPr>
      </w:pPr>
      <w:r w:rsidRPr="00467DB0">
        <w:rPr>
          <w:rStyle w:val="kursiv"/>
        </w:rPr>
        <w:t>Artikkel 72</w:t>
      </w:r>
      <w:r w:rsidRPr="00467DB0">
        <w:t xml:space="preserve"> an</w:t>
      </w:r>
      <w:r w:rsidRPr="00467DB0">
        <w:t>gir forvaltnings- og ledelsesstrukturen til Byrået og som består av Byråets styre, administrerende direktør og Byråets sikkerhetsakkrediteringsstyre.</w:t>
      </w:r>
    </w:p>
    <w:p w14:paraId="080C961A" w14:textId="77777777" w:rsidR="00000000" w:rsidRPr="00467DB0" w:rsidRDefault="00693D67" w:rsidP="00467DB0">
      <w:pPr>
        <w:rPr>
          <w:rStyle w:val="kursiv"/>
        </w:rPr>
      </w:pPr>
      <w:r w:rsidRPr="00467DB0">
        <w:rPr>
          <w:rStyle w:val="kursiv"/>
        </w:rPr>
        <w:t>Artikkel 73</w:t>
      </w:r>
      <w:r w:rsidRPr="00467DB0">
        <w:t xml:space="preserve"> spesifiserer styrets sammensetning og hjemler deltakelse fra tredjeland.</w:t>
      </w:r>
    </w:p>
    <w:p w14:paraId="65E7236F" w14:textId="77777777" w:rsidR="00000000" w:rsidRPr="00467DB0" w:rsidRDefault="00693D67" w:rsidP="00467DB0">
      <w:pPr>
        <w:rPr>
          <w:rStyle w:val="kursiv"/>
        </w:rPr>
      </w:pPr>
      <w:r w:rsidRPr="00467DB0">
        <w:rPr>
          <w:rStyle w:val="kursiv"/>
        </w:rPr>
        <w:lastRenderedPageBreak/>
        <w:t>Artikkel 74–77</w:t>
      </w:r>
      <w:r w:rsidRPr="00467DB0">
        <w:t xml:space="preserve"> omhand</w:t>
      </w:r>
      <w:r w:rsidRPr="00467DB0">
        <w:t xml:space="preserve">ler forretningsordenen for Byråets styre, herunder styrets formannskap, møter, avstemningsregler og oppgaver. Styrets oppgaver inkluderer: utnevne administrerende direktør, vedta Byråets arbeidsprogram, budsjett og årsrapport, overvåke driften av Galileos </w:t>
      </w:r>
      <w:r w:rsidRPr="00467DB0">
        <w:t xml:space="preserve">sikkerhetsovervåkingssenter, sikre oppfølging av anbefalinger fra evalueringer og revisjoner, godkjenne arrangementer for tredjelands deltakelse i Byrået, vedta sikkerhetsregler og vedta sine prosedyreregler. </w:t>
      </w:r>
    </w:p>
    <w:p w14:paraId="6F4737CE" w14:textId="77777777" w:rsidR="00000000" w:rsidRPr="00467DB0" w:rsidRDefault="00693D67" w:rsidP="00467DB0">
      <w:pPr>
        <w:rPr>
          <w:rStyle w:val="kursiv"/>
        </w:rPr>
      </w:pPr>
      <w:r w:rsidRPr="00467DB0">
        <w:rPr>
          <w:rStyle w:val="kursiv"/>
        </w:rPr>
        <w:t>Artikkel 78 og 79</w:t>
      </w:r>
      <w:r w:rsidRPr="00467DB0">
        <w:t xml:space="preserve"> omhandler Byråets administre</w:t>
      </w:r>
      <w:r w:rsidRPr="00467DB0">
        <w:t>rende direktør og dennes oppgaver.</w:t>
      </w:r>
    </w:p>
    <w:p w14:paraId="1A34DBEA" w14:textId="77777777" w:rsidR="00000000" w:rsidRPr="00467DB0" w:rsidRDefault="00693D67" w:rsidP="00467DB0">
      <w:pPr>
        <w:rPr>
          <w:rStyle w:val="kursiv"/>
        </w:rPr>
      </w:pPr>
      <w:r w:rsidRPr="00467DB0">
        <w:rPr>
          <w:rStyle w:val="kursiv"/>
        </w:rPr>
        <w:t>Artikkel 80–83</w:t>
      </w:r>
      <w:r w:rsidRPr="00467DB0">
        <w:t xml:space="preserve"> omhandler Byråets sikkerhetsakkrediteringsstyre, herunder organisatoriske aspekter, oppgaver og bestemmelser for akkrediteringsstyrets formann og viseformann.</w:t>
      </w:r>
    </w:p>
    <w:p w14:paraId="78E56011" w14:textId="77777777" w:rsidR="00000000" w:rsidRPr="00467DB0" w:rsidRDefault="00693D67" w:rsidP="00467DB0">
      <w:pPr>
        <w:rPr>
          <w:rStyle w:val="kursiv"/>
        </w:rPr>
      </w:pPr>
      <w:r w:rsidRPr="00467DB0">
        <w:rPr>
          <w:rStyle w:val="kursiv"/>
        </w:rPr>
        <w:t>Kapittel 3</w:t>
      </w:r>
      <w:r w:rsidRPr="00467DB0">
        <w:t xml:space="preserve"> (artikkel 84–87) omhandler finansiel</w:t>
      </w:r>
      <w:r w:rsidRPr="00467DB0">
        <w:t xml:space="preserve">le bestemmelser for Byrået. Det fastslås at ansvaret for budsjettgjennomføring er hos administrerende direktør, at regnskap skal avlegges i henhold til finansforordningen i EU og at Styret har myndighet til å godkjenne finansielle bestemmelser. Regler for </w:t>
      </w:r>
      <w:r w:rsidRPr="00467DB0">
        <w:t>utarbeidelse av Byråets budsjett blir også beskrevet</w:t>
      </w:r>
    </w:p>
    <w:p w14:paraId="12A377FF" w14:textId="77777777" w:rsidR="00000000" w:rsidRPr="00467DB0" w:rsidRDefault="00693D67" w:rsidP="00467DB0">
      <w:r w:rsidRPr="00467DB0">
        <w:t>Kapittel 4 finnes ikke.</w:t>
      </w:r>
    </w:p>
    <w:p w14:paraId="243F2304" w14:textId="77777777" w:rsidR="00000000" w:rsidRPr="00467DB0" w:rsidRDefault="00693D67" w:rsidP="00467DB0">
      <w:pPr>
        <w:rPr>
          <w:rStyle w:val="kursiv"/>
        </w:rPr>
      </w:pPr>
      <w:r w:rsidRPr="00467DB0">
        <w:rPr>
          <w:rStyle w:val="kursiv"/>
        </w:rPr>
        <w:t>Kapittel 5</w:t>
      </w:r>
      <w:r w:rsidRPr="00467DB0">
        <w:t xml:space="preserve"> (artikkel 88–90) omhandler personalbestemmelser for Byrået.</w:t>
      </w:r>
    </w:p>
    <w:p w14:paraId="252F1ED5" w14:textId="77777777" w:rsidR="00000000" w:rsidRPr="00467DB0" w:rsidRDefault="00693D67" w:rsidP="00467DB0">
      <w:pPr>
        <w:rPr>
          <w:rStyle w:val="kursiv"/>
        </w:rPr>
      </w:pPr>
      <w:r w:rsidRPr="00467DB0">
        <w:rPr>
          <w:rStyle w:val="kursiv"/>
        </w:rPr>
        <w:t>Artikkel 88</w:t>
      </w:r>
      <w:r w:rsidRPr="00467DB0">
        <w:t xml:space="preserve"> angir overordnede personalbestemmelser i henhold til personalvedtektene i EU.</w:t>
      </w:r>
    </w:p>
    <w:p w14:paraId="1BBE84B5" w14:textId="77777777" w:rsidR="00000000" w:rsidRPr="00467DB0" w:rsidRDefault="00693D67" w:rsidP="00467DB0">
      <w:pPr>
        <w:rPr>
          <w:rStyle w:val="kursiv"/>
        </w:rPr>
      </w:pPr>
      <w:r w:rsidRPr="00467DB0">
        <w:rPr>
          <w:rStyle w:val="kursiv"/>
        </w:rPr>
        <w:t>Artikkel 89</w:t>
      </w:r>
      <w:r w:rsidRPr="00467DB0">
        <w:t xml:space="preserve"> inneho</w:t>
      </w:r>
      <w:r w:rsidRPr="00467DB0">
        <w:t>lder regler for utnevnelse og mandatperiode for administrerende direktør, som er fem år og med mulighet for forlengelse én gang med en ny periode på inntil fem år.</w:t>
      </w:r>
    </w:p>
    <w:p w14:paraId="76F5D77C" w14:textId="77777777" w:rsidR="00000000" w:rsidRPr="00467DB0" w:rsidRDefault="00693D67" w:rsidP="00467DB0">
      <w:pPr>
        <w:rPr>
          <w:rStyle w:val="kursiv"/>
        </w:rPr>
      </w:pPr>
      <w:r w:rsidRPr="00467DB0">
        <w:rPr>
          <w:rStyle w:val="kursiv"/>
        </w:rPr>
        <w:t>Artikkel 90</w:t>
      </w:r>
      <w:r w:rsidRPr="00467DB0">
        <w:t xml:space="preserve"> dekker Byråets ansettelse av nasjonale eksperter, som kan komme fra medlemsstate</w:t>
      </w:r>
      <w:r w:rsidRPr="00467DB0">
        <w:t>r eller deltakende tredjeland og internasjonale organisasjoner.</w:t>
      </w:r>
    </w:p>
    <w:p w14:paraId="5058B80B" w14:textId="77777777" w:rsidR="00000000" w:rsidRPr="00467DB0" w:rsidRDefault="00693D67" w:rsidP="00467DB0">
      <w:r w:rsidRPr="00467DB0">
        <w:t>Kapittel 6 (</w:t>
      </w:r>
      <w:r w:rsidRPr="00467DB0">
        <w:rPr>
          <w:rStyle w:val="kursiv"/>
        </w:rPr>
        <w:t>artikkel 91–99</w:t>
      </w:r>
      <w:r w:rsidRPr="00467DB0">
        <w:t>) beskriver øvrige bestemmelser for Byrået. Her beskrives blant annet samarbeid med tredjeland, og gir hjemmel til at EU kan inngå avtaler med tredjeland om deltakels</w:t>
      </w:r>
      <w:r w:rsidRPr="00467DB0">
        <w:t>e i Byråets arbeid.</w:t>
      </w:r>
    </w:p>
    <w:p w14:paraId="76994B8B" w14:textId="77777777" w:rsidR="00000000" w:rsidRPr="00467DB0" w:rsidRDefault="00693D67" w:rsidP="00467DB0">
      <w:pPr>
        <w:rPr>
          <w:rStyle w:val="kursiv"/>
        </w:rPr>
      </w:pPr>
      <w:r w:rsidRPr="00467DB0">
        <w:rPr>
          <w:rStyle w:val="kursiv"/>
        </w:rPr>
        <w:t xml:space="preserve">Artikkel 91 </w:t>
      </w:r>
      <w:r w:rsidRPr="00467DB0">
        <w:t>angir at protokoll (nr. 7) om Den europeiske unions privilegier og immunitet, vedlagt traktaten om Den europeiske union og traktaten om Den europeiske unions virkemåte, skal gjelde for Byrået og dets ansatte. Norge har avtal</w:t>
      </w:r>
      <w:r w:rsidRPr="00467DB0">
        <w:t>t å anvende protokoll 7 på eksisterende byrå (GSA), og det anses som naturlig å videreføre protokoll 7 også for nye byrået (EUSPA). Dette er ivaretatt med artikkel 1 (f) i utkastet til beslutning i EØS-komiteen om EØS/EFTA-statenes deltakelse i EUs romprog</w:t>
      </w:r>
      <w:r w:rsidRPr="00467DB0">
        <w:t>ram.</w:t>
      </w:r>
    </w:p>
    <w:p w14:paraId="71F4139F" w14:textId="77777777" w:rsidR="00000000" w:rsidRPr="00467DB0" w:rsidRDefault="00693D67" w:rsidP="00467DB0">
      <w:r w:rsidRPr="00467DB0">
        <w:t>Del 10 (</w:t>
      </w:r>
      <w:r w:rsidRPr="00467DB0">
        <w:rPr>
          <w:rStyle w:val="kursiv"/>
        </w:rPr>
        <w:t>artikkel 100–104</w:t>
      </w:r>
      <w:r w:rsidRPr="00467DB0">
        <w:t xml:space="preserve">) omhandler programplanlegging, overvåking, evaluering og kontroll. </w:t>
      </w:r>
    </w:p>
    <w:p w14:paraId="3BA1ABFB" w14:textId="77777777" w:rsidR="00000000" w:rsidRPr="00467DB0" w:rsidRDefault="00693D67" w:rsidP="00467DB0">
      <w:pPr>
        <w:rPr>
          <w:rStyle w:val="kursiv"/>
        </w:rPr>
      </w:pPr>
      <w:r w:rsidRPr="00467DB0">
        <w:rPr>
          <w:rStyle w:val="kursiv"/>
        </w:rPr>
        <w:t>Artikkel 100</w:t>
      </w:r>
      <w:r w:rsidRPr="00467DB0">
        <w:t xml:space="preserve"> sier at programmet skal gjennomføres i henhold til arbeidsprogram som skal være spesifikke og separate for hver komponent av programmet. Arbeidsp</w:t>
      </w:r>
      <w:r w:rsidRPr="00467DB0">
        <w:t>rogrammet skal godkjennes av programkomiteen.</w:t>
      </w:r>
    </w:p>
    <w:p w14:paraId="444F8158" w14:textId="77777777" w:rsidR="00000000" w:rsidRPr="00467DB0" w:rsidRDefault="00693D67" w:rsidP="00467DB0">
      <w:pPr>
        <w:rPr>
          <w:rStyle w:val="kursiv"/>
        </w:rPr>
      </w:pPr>
      <w:r w:rsidRPr="00467DB0">
        <w:rPr>
          <w:rStyle w:val="kursiv"/>
        </w:rPr>
        <w:t>Artikkel 101</w:t>
      </w:r>
      <w:r w:rsidRPr="00467DB0">
        <w:t xml:space="preserve"> gir retningslinjer for resultatrapportering.</w:t>
      </w:r>
    </w:p>
    <w:p w14:paraId="3921D98C" w14:textId="77777777" w:rsidR="00000000" w:rsidRPr="00467DB0" w:rsidRDefault="00693D67" w:rsidP="00467DB0">
      <w:pPr>
        <w:rPr>
          <w:rStyle w:val="kursiv"/>
        </w:rPr>
      </w:pPr>
      <w:r w:rsidRPr="00467DB0">
        <w:rPr>
          <w:rStyle w:val="kursiv"/>
        </w:rPr>
        <w:t>Artikkel 102</w:t>
      </w:r>
      <w:r w:rsidRPr="00467DB0">
        <w:t xml:space="preserve"> omhandler evaluering som Kommisjonen skal gjennomføre innen 30. juni 2024, og deretter hvert fjerde år av Byrået og alle programmets kompon</w:t>
      </w:r>
      <w:r w:rsidRPr="00467DB0">
        <w:t>enter og tjenester.</w:t>
      </w:r>
    </w:p>
    <w:p w14:paraId="62A39BC3" w14:textId="77777777" w:rsidR="00000000" w:rsidRPr="00467DB0" w:rsidRDefault="00693D67" w:rsidP="00467DB0">
      <w:pPr>
        <w:rPr>
          <w:rStyle w:val="kursiv"/>
        </w:rPr>
      </w:pPr>
      <w:r w:rsidRPr="00467DB0">
        <w:rPr>
          <w:rStyle w:val="kursiv"/>
        </w:rPr>
        <w:t>Artikkel 103</w:t>
      </w:r>
      <w:r w:rsidRPr="00467DB0">
        <w:t xml:space="preserve"> omhandler revisjon av bruken av enkelte bidrag fra Unionen som skal danne grunnlag for forsikringer i samsvar med finansforordningen.</w:t>
      </w:r>
    </w:p>
    <w:p w14:paraId="399B61C1" w14:textId="77777777" w:rsidR="00000000" w:rsidRPr="00467DB0" w:rsidRDefault="00693D67" w:rsidP="00467DB0">
      <w:pPr>
        <w:rPr>
          <w:rStyle w:val="kursiv"/>
        </w:rPr>
      </w:pPr>
      <w:r w:rsidRPr="00467DB0">
        <w:rPr>
          <w:rStyle w:val="kursiv"/>
        </w:rPr>
        <w:lastRenderedPageBreak/>
        <w:t>Artikkel 104</w:t>
      </w:r>
      <w:r w:rsidRPr="00467DB0">
        <w:t xml:space="preserve"> gir retningslinjer for beskyttelse av personopplysninger og privatlivets fre</w:t>
      </w:r>
      <w:r w:rsidRPr="00467DB0">
        <w:t>d i overenstemmelse med relevant EU-lovgivning.</w:t>
      </w:r>
    </w:p>
    <w:p w14:paraId="190201C2" w14:textId="77777777" w:rsidR="00000000" w:rsidRPr="00467DB0" w:rsidRDefault="00693D67" w:rsidP="00467DB0">
      <w:pPr>
        <w:rPr>
          <w:rStyle w:val="kursiv"/>
        </w:rPr>
      </w:pPr>
      <w:r w:rsidRPr="00467DB0">
        <w:rPr>
          <w:rStyle w:val="kursiv"/>
        </w:rPr>
        <w:t>Del 11</w:t>
      </w:r>
      <w:r w:rsidRPr="00467DB0">
        <w:t xml:space="preserve"> (artikkel 105–107) gir bestemmelser for gjennomføring og delegering.</w:t>
      </w:r>
    </w:p>
    <w:p w14:paraId="7D0A1E61" w14:textId="77777777" w:rsidR="00000000" w:rsidRPr="00467DB0" w:rsidRDefault="00693D67" w:rsidP="00467DB0">
      <w:pPr>
        <w:rPr>
          <w:rStyle w:val="kursiv"/>
        </w:rPr>
      </w:pPr>
      <w:r w:rsidRPr="00467DB0">
        <w:rPr>
          <w:rStyle w:val="kursiv"/>
        </w:rPr>
        <w:t>Artikkel 105</w:t>
      </w:r>
      <w:r w:rsidRPr="00467DB0">
        <w:t xml:space="preserve"> overfører myndighet til å vedta avledede rettsakter til Kommisjonen frem til 31. desember 2028. Dette kan til enhver ti</w:t>
      </w:r>
      <w:r w:rsidRPr="00467DB0">
        <w:t xml:space="preserve">d oppheves av Rådet og Parlamentet. Medlemsstatene skal høres før Kommisjonen vedtar delegerte rettsakter. </w:t>
      </w:r>
    </w:p>
    <w:p w14:paraId="083C6435" w14:textId="77777777" w:rsidR="00000000" w:rsidRPr="00467DB0" w:rsidRDefault="00693D67" w:rsidP="00467DB0">
      <w:pPr>
        <w:rPr>
          <w:rStyle w:val="kursiv"/>
        </w:rPr>
      </w:pPr>
      <w:r w:rsidRPr="00467DB0">
        <w:rPr>
          <w:rStyle w:val="kursiv"/>
        </w:rPr>
        <w:t>Artikkel 106</w:t>
      </w:r>
      <w:r w:rsidRPr="00467DB0">
        <w:t xml:space="preserve"> angir en hasteprosedyre der en delegert rettsakt kan tre i kraft straks. </w:t>
      </w:r>
    </w:p>
    <w:p w14:paraId="0FDCE733" w14:textId="77777777" w:rsidR="00000000" w:rsidRPr="00467DB0" w:rsidRDefault="00693D67" w:rsidP="00467DB0">
      <w:pPr>
        <w:rPr>
          <w:rStyle w:val="kursiv"/>
        </w:rPr>
      </w:pPr>
      <w:r w:rsidRPr="00467DB0">
        <w:rPr>
          <w:rStyle w:val="kursiv"/>
        </w:rPr>
        <w:t>Artikkel 107</w:t>
      </w:r>
      <w:r w:rsidRPr="00467DB0">
        <w:t xml:space="preserve"> sier at Kommisjonen skal bistås</w:t>
      </w:r>
      <w:r w:rsidRPr="00467DB0">
        <w:t xml:space="preserve"> av en komité (</w:t>
      </w:r>
      <w:proofErr w:type="spellStart"/>
      <w:r w:rsidRPr="00467DB0">
        <w:t>Komitologikomité</w:t>
      </w:r>
      <w:proofErr w:type="spellEnd"/>
      <w:r w:rsidRPr="00467DB0">
        <w:t>). Komiteen skal møtes i seks spesifikke grupperinger for henholdsvis: Galileo og EGNOS, Copernicus, SSA, GOVSATCOM, sikkerhet og en overordnet horisontal komité for hele romprogrammet. Programkomiteen skal i tillegg etablere</w:t>
      </w:r>
      <w:r w:rsidRPr="00467DB0">
        <w:t xml:space="preserve"> et brukerforum som skal gi råd til komiteen om brukerkrav og utvikling av tjenestene.</w:t>
      </w:r>
    </w:p>
    <w:p w14:paraId="289E4DDF" w14:textId="77777777" w:rsidR="00000000" w:rsidRPr="00467DB0" w:rsidRDefault="00693D67" w:rsidP="00467DB0">
      <w:pPr>
        <w:rPr>
          <w:rStyle w:val="kursiv"/>
        </w:rPr>
      </w:pPr>
      <w:r w:rsidRPr="00467DB0">
        <w:rPr>
          <w:rStyle w:val="kursiv"/>
        </w:rPr>
        <w:t>Del 12</w:t>
      </w:r>
      <w:r w:rsidRPr="00467DB0">
        <w:t xml:space="preserve"> (artikkel 108–111) dekker avsluttende bestemmelser og overgangsbestemmelser.</w:t>
      </w:r>
    </w:p>
    <w:p w14:paraId="5C1E1C48" w14:textId="77777777" w:rsidR="00000000" w:rsidRPr="00467DB0" w:rsidRDefault="00693D67" w:rsidP="00467DB0">
      <w:pPr>
        <w:rPr>
          <w:rStyle w:val="kursiv"/>
        </w:rPr>
      </w:pPr>
      <w:r w:rsidRPr="00467DB0">
        <w:rPr>
          <w:rStyle w:val="kursiv"/>
        </w:rPr>
        <w:t>Artikkel 108</w:t>
      </w:r>
      <w:r w:rsidRPr="00467DB0">
        <w:t xml:space="preserve"> gir bestemmelser om synliggjøring av resultater gjennom informasjon, kom</w:t>
      </w:r>
      <w:r w:rsidRPr="00467DB0">
        <w:t xml:space="preserve">munikasjon og markedsføring. </w:t>
      </w:r>
    </w:p>
    <w:p w14:paraId="0A2FDFCF" w14:textId="77777777" w:rsidR="00000000" w:rsidRPr="00467DB0" w:rsidRDefault="00693D67" w:rsidP="00467DB0">
      <w:pPr>
        <w:rPr>
          <w:rStyle w:val="kursiv"/>
        </w:rPr>
      </w:pPr>
      <w:r w:rsidRPr="00467DB0">
        <w:rPr>
          <w:rStyle w:val="kursiv"/>
        </w:rPr>
        <w:t>Artikkel 109</w:t>
      </w:r>
      <w:r w:rsidRPr="00467DB0">
        <w:t xml:space="preserve"> opphever forordning (EU) nr. 912/2010, (EU) nr. 1285/2013 og (EU) nr. 377/2014 og beslutning nr. 541/2014/EU med virkning fra den 1. januar 2021.</w:t>
      </w:r>
    </w:p>
    <w:p w14:paraId="69A9C005" w14:textId="77777777" w:rsidR="00000000" w:rsidRPr="00467DB0" w:rsidRDefault="00693D67" w:rsidP="00467DB0">
      <w:r w:rsidRPr="00467DB0">
        <w:rPr>
          <w:rStyle w:val="kursiv"/>
        </w:rPr>
        <w:t>Artikkel 110</w:t>
      </w:r>
      <w:r w:rsidRPr="00467DB0">
        <w:t xml:space="preserve"> sier at denne forordningen ikke påvirker videreføring </w:t>
      </w:r>
      <w:r w:rsidRPr="00467DB0">
        <w:t>eller endring av tiltak som ennå ikke er avsluttet under forordningene og beslutningen som oppheves. Om nødvendig kan det allokeres bevilgninger på budsjettet ut over 2027 til dekning av aktiviteter som ikke er avsluttet senest den 31. desember 2027.</w:t>
      </w:r>
    </w:p>
    <w:p w14:paraId="30386605" w14:textId="77777777" w:rsidR="00000000" w:rsidRPr="00467DB0" w:rsidRDefault="00693D67" w:rsidP="00467DB0">
      <w:pPr>
        <w:pStyle w:val="Overskrift1"/>
      </w:pPr>
      <w:r w:rsidRPr="00467DB0">
        <w:t>K</w:t>
      </w:r>
      <w:r w:rsidRPr="00467DB0">
        <w:t>onstitusjonelle forhold</w:t>
      </w:r>
    </w:p>
    <w:p w14:paraId="7EAE9E5C" w14:textId="77777777" w:rsidR="00000000" w:rsidRPr="00467DB0" w:rsidRDefault="00693D67" w:rsidP="00467DB0">
      <w:r w:rsidRPr="00467DB0">
        <w:t>Ettersom norsk deltakelse i programmet innebærer økonomiske forpliktelser over flere år, til sammen ventelig 3,7 mrd. kroner (i 2021-priser), må</w:t>
      </w:r>
      <w:r w:rsidRPr="00467DB0">
        <w:t xml:space="preserve"> Stortinget gi sitt samtykke til deltakelse i avgjørelsen i EØS-komiteen, jf. Grunnloven § 26 annet ledd. For å bidra til en rask avgjørelse og for å gjøre det mulig for EØS/EFTA-statene å ta del i programmet så tidlig som mulig, foreslår regjeringen at St</w:t>
      </w:r>
      <w:r w:rsidRPr="00467DB0">
        <w:t>ortinget gir sitt samtykke før forordningen er endelig vedtatt og før avgjørelsen fattes i EØS-komiteen. Det vil dermed ikke bli nødvendig for Norge å ta forbehold om konstitusjonelle prosedyrer ved avgjørelsen i EØS-komiteen. Det er ikke ventet at det vil</w:t>
      </w:r>
      <w:r w:rsidRPr="00467DB0">
        <w:t xml:space="preserve"> komme endringer i utkastet til forordning eller beslutningen i EØS-komiteen. Dersom den endelige forordningen eller avgjørelsen avviker vesentlig fra utkastene til forordning og avgjørelse i EØS-komiteen som er lagt frem i denne proposisjonen, vil saken l</w:t>
      </w:r>
      <w:r w:rsidRPr="00467DB0">
        <w:t>egges frem for Stortinget på nytt. Forordningen ventes vedtatt i EU i april og beslutningen i EØS-komiteen er ventet i juni/juli 2021.</w:t>
      </w:r>
    </w:p>
    <w:p w14:paraId="0BFE39BE" w14:textId="77777777" w:rsidR="00000000" w:rsidRPr="00467DB0" w:rsidRDefault="00693D67" w:rsidP="00467DB0">
      <w:pPr>
        <w:pStyle w:val="Overskrift1"/>
      </w:pPr>
      <w:r w:rsidRPr="00467DB0">
        <w:t>Beslutningen i EØS-komiteen</w:t>
      </w:r>
    </w:p>
    <w:p w14:paraId="32F9ED7D" w14:textId="77777777" w:rsidR="00000000" w:rsidRPr="00467DB0" w:rsidRDefault="00693D67" w:rsidP="00467DB0">
      <w:r w:rsidRPr="00467DB0">
        <w:t>Utkastet til beslutning i EØS-komiteen om EØS/EFTA-statenes deltakelse i EUs romprogram b</w:t>
      </w:r>
      <w:r w:rsidRPr="00467DB0">
        <w:t xml:space="preserve">estår av en innledning og fire artikler. I </w:t>
      </w:r>
      <w:r w:rsidRPr="00467DB0">
        <w:rPr>
          <w:rStyle w:val="kursiv"/>
        </w:rPr>
        <w:t>innledningen</w:t>
      </w:r>
      <w:r w:rsidRPr="00467DB0">
        <w:t xml:space="preserve"> blir det vist til artikkel 86 og 98 i </w:t>
      </w:r>
      <w:r w:rsidRPr="00467DB0">
        <w:lastRenderedPageBreak/>
        <w:t xml:space="preserve">EØS-avtalen, som gjør det mulig for EØS-komiteen å endre vedleggene til avtalen gjennom vedtak i EØS-komiteen. </w:t>
      </w:r>
    </w:p>
    <w:p w14:paraId="3918A87B" w14:textId="77777777" w:rsidR="00000000" w:rsidRPr="00467DB0" w:rsidRDefault="00693D67" w:rsidP="00467DB0">
      <w:pPr>
        <w:rPr>
          <w:rStyle w:val="kursiv"/>
        </w:rPr>
      </w:pPr>
      <w:r w:rsidRPr="00467DB0">
        <w:rPr>
          <w:rStyle w:val="kursiv"/>
        </w:rPr>
        <w:t>Artikkel 1</w:t>
      </w:r>
      <w:r w:rsidRPr="00467DB0">
        <w:t xml:space="preserve"> slår fast at det innsettes et nytt punk</w:t>
      </w:r>
      <w:r w:rsidRPr="00467DB0">
        <w:t>t 8 e) etter punkt 8 d) i avtalens protokoll 31 artikkel 1, om at samarbeidet blir utvidet til også å omfatte Europaparlaments- og rådsforordning om etableringen av EUs romprogram og EUs byrå for romprogrammet, og at Liechtenstein er unntatt deltakelse i o</w:t>
      </w:r>
      <w:r w:rsidRPr="00467DB0">
        <w:t xml:space="preserve">g økonomiske bidrag til programmet. Det fastslås videre at Island skal delta i og bidra økonomisk til EGNOS, Copernicus, GOVSATCOM og SSA SWE-komponenten. EFTA-statene skal la Den europeiske unions protokoll om privilegier og immunitet få </w:t>
      </w:r>
      <w:proofErr w:type="gramStart"/>
      <w:r w:rsidRPr="00467DB0">
        <w:t>anvendelse</w:t>
      </w:r>
      <w:proofErr w:type="gramEnd"/>
      <w:r w:rsidRPr="00467DB0">
        <w:t xml:space="preserve"> for By</w:t>
      </w:r>
      <w:r w:rsidRPr="00467DB0">
        <w:t xml:space="preserve">rået og dets ansatte. </w:t>
      </w:r>
    </w:p>
    <w:p w14:paraId="020448E2" w14:textId="77777777" w:rsidR="00000000" w:rsidRPr="00467DB0" w:rsidRDefault="00693D67" w:rsidP="00467DB0">
      <w:pPr>
        <w:rPr>
          <w:rStyle w:val="kursiv"/>
        </w:rPr>
      </w:pPr>
      <w:r w:rsidRPr="00467DB0">
        <w:rPr>
          <w:rStyle w:val="kursiv"/>
        </w:rPr>
        <w:t>Artikkel 2</w:t>
      </w:r>
      <w:r w:rsidRPr="00467DB0">
        <w:t xml:space="preserve"> fastslår at protokoll 37 i avtalen blir endret slik at punkt 36 og 37 slettes og erstattes med punkt 43 og 44. Dette innebærer at Sikkerhetsakkrediteringsstyret for europeiske GNSS-systemer og Styret erstattes med henholds</w:t>
      </w:r>
      <w:r w:rsidRPr="00467DB0">
        <w:t>vis Sikkerhetsakkrediteringsstyret for EUs byrå for romprogrammet og Styret for EUs byrå for romprogrammet.</w:t>
      </w:r>
    </w:p>
    <w:p w14:paraId="796CC38A" w14:textId="77777777" w:rsidR="00000000" w:rsidRPr="00467DB0" w:rsidRDefault="00693D67" w:rsidP="00467DB0">
      <w:pPr>
        <w:rPr>
          <w:rStyle w:val="kursiv"/>
        </w:rPr>
      </w:pPr>
      <w:r w:rsidRPr="00467DB0">
        <w:rPr>
          <w:rStyle w:val="kursiv"/>
        </w:rPr>
        <w:t>Artikkel 3</w:t>
      </w:r>
      <w:r w:rsidRPr="00467DB0">
        <w:t xml:space="preserve"> fastslår at beslutningen trer i kraft dagen etter at alle meddelelser etter EØS-avtalens artikkel 103 nr. 1 er inngitt, og at beslutninge</w:t>
      </w:r>
      <w:r w:rsidRPr="00467DB0">
        <w:t xml:space="preserve">n skal gjelde fra 1. januar 2021. </w:t>
      </w:r>
    </w:p>
    <w:p w14:paraId="5C96833D" w14:textId="77777777" w:rsidR="00000000" w:rsidRPr="00467DB0" w:rsidRDefault="00693D67" w:rsidP="00467DB0">
      <w:r w:rsidRPr="00467DB0">
        <w:rPr>
          <w:rStyle w:val="kursiv"/>
        </w:rPr>
        <w:t>Artikkel 4</w:t>
      </w:r>
      <w:r w:rsidRPr="00467DB0">
        <w:t xml:space="preserve"> slår fast at beslutningen i EØS-komiteen kunngjøres i EØS-avdelingen av, og EØS-tillegget til, «Den europeiske unions tidende». </w:t>
      </w:r>
    </w:p>
    <w:p w14:paraId="1535A08B" w14:textId="77777777" w:rsidR="00000000" w:rsidRPr="00467DB0" w:rsidRDefault="00693D67" w:rsidP="00467DB0">
      <w:pPr>
        <w:pStyle w:val="Overskrift1"/>
      </w:pPr>
      <w:r w:rsidRPr="00467DB0">
        <w:t>Administrative og økonomiske konsekvenser</w:t>
      </w:r>
    </w:p>
    <w:p w14:paraId="455C9EC1" w14:textId="77777777" w:rsidR="00000000" w:rsidRPr="00467DB0" w:rsidRDefault="00693D67" w:rsidP="00467DB0">
      <w:r w:rsidRPr="00467DB0">
        <w:t xml:space="preserve">De budsjettmessige konsekvensene for 2021 for Norges deltakelse i EUs romprogram ble fremlagt i Prop. 1 S (2020–2021) for Nærings- og fiskeridepartementet og i </w:t>
      </w:r>
      <w:proofErr w:type="spellStart"/>
      <w:r w:rsidRPr="00467DB0">
        <w:t>Innst</w:t>
      </w:r>
      <w:proofErr w:type="spellEnd"/>
      <w:r w:rsidRPr="00467DB0">
        <w:t>. 8 S (2020–2021), som ble vedtatt av Stortinget 19. desember 2020. Det er bevilget 594 mil</w:t>
      </w:r>
      <w:r w:rsidRPr="00467DB0">
        <w:t>l. kroner til norsk deltakelse i romprogrammet i 2021. Her omfattes deltakelse i alle programmets komponenter Galileo og EGNOS, Copernicus, SSA og GOVSATCOM. Det ble samtidig tatt forbehold om at en endelig beslutning om norsk deltakelse i EUs programmer i</w:t>
      </w:r>
      <w:r w:rsidRPr="00467DB0">
        <w:t xml:space="preserve"> perioden 2021 – 2027 først blir tatt etter at EUs langtidsbudsjett er vedtatt. </w:t>
      </w:r>
    </w:p>
    <w:p w14:paraId="0D433D0A" w14:textId="77777777" w:rsidR="00000000" w:rsidRPr="00467DB0" w:rsidRDefault="00693D67" w:rsidP="00467DB0">
      <w:r w:rsidRPr="00467DB0">
        <w:t xml:space="preserve">EUs Råd og Parlament kom til enighet om EUs langtidsbudsjett 16. desember 2020. Budsjettrammen for EUs romprogram 2021–2027 er satt til 14,01 mrd. euro (i faste 2021-priser). </w:t>
      </w:r>
      <w:r w:rsidRPr="00467DB0">
        <w:t xml:space="preserve">Norges kontingent følger av EØS-avtalen og baseres på BNP-andel av programbudsjettet. Med en BNP-andel på 2,51 pst. og en eurokurs på 10,4713 (per 5.1.2021), vil den norske andelen tilsvare 3,7 mrd. kroner (i faste 2021-priser) for perioden 2021–2027. Det </w:t>
      </w:r>
      <w:r w:rsidRPr="00467DB0">
        <w:t>legges til grunn en utbetalingsprofil gitt av EFTA, som er i tråd med erfaringene fra tidligere års oppskaleringstakt, fordi denne vurderes å gi de mest realistiske anslagene. Erfaringsmessig vil årlige utbetalinger variere kraftig, med et lavere inngangsb</w:t>
      </w:r>
      <w:r w:rsidRPr="00467DB0">
        <w:t xml:space="preserve">eløp i 2021, og deretter en rask opptrapping over noen år, samt at utbetalingene fordeles over en lengre periode enn programperioden. </w:t>
      </w:r>
    </w:p>
    <w:p w14:paraId="678963D3" w14:textId="77777777" w:rsidR="00000000" w:rsidRPr="00467DB0" w:rsidRDefault="00693D67" w:rsidP="00467DB0">
      <w:r w:rsidRPr="00467DB0">
        <w:t>Norsk Romsenter ivaretar rollen som sekretariat for Norges deltakelse i EUs romprogram og arbeider for å sikre norske ind</w:t>
      </w:r>
      <w:r w:rsidRPr="00467DB0">
        <w:t>ustriinteresser i alle programkomponenter. I tillegg til programkontingenten (kap. 922, post 73), er det lagt opp til styrking av nasjonale administrative og tekniske støtteaktiviteter (hhv. post 50 og post 74) tilsvarende 55,8 mill. kroner årlig.</w:t>
      </w:r>
    </w:p>
    <w:p w14:paraId="1CC78287" w14:textId="77777777" w:rsidR="00000000" w:rsidRPr="00467DB0" w:rsidRDefault="00693D67" w:rsidP="00467DB0">
      <w:r w:rsidRPr="00467DB0">
        <w:lastRenderedPageBreak/>
        <w:t>Finansie</w:t>
      </w:r>
      <w:r w:rsidRPr="00467DB0">
        <w:t xml:space="preserve">ringen av Norges deltakelse er ivaretatt i statsbudsjettet for 2021, og de årlige utgiftene fra 2022 håndteres i de årlige budsjettprosessene. </w:t>
      </w:r>
    </w:p>
    <w:p w14:paraId="2CE72599" w14:textId="77777777" w:rsidR="00000000" w:rsidRPr="00467DB0" w:rsidRDefault="00693D67" w:rsidP="00467DB0">
      <w:r w:rsidRPr="00467DB0">
        <w:t>Gjennomføringen av forordningen medfører ikke behov for lov- eller forskriftsendringer.</w:t>
      </w:r>
    </w:p>
    <w:p w14:paraId="3A9A2D08" w14:textId="77777777" w:rsidR="00000000" w:rsidRPr="00467DB0" w:rsidRDefault="00693D67" w:rsidP="00467DB0">
      <w:pPr>
        <w:pStyle w:val="Overskrift1"/>
      </w:pPr>
      <w:r w:rsidRPr="00467DB0">
        <w:t>Vurdering og tilrådn</w:t>
      </w:r>
      <w:r w:rsidRPr="00467DB0">
        <w:t>ing</w:t>
      </w:r>
    </w:p>
    <w:p w14:paraId="47BE6C90" w14:textId="77777777" w:rsidR="00000000" w:rsidRPr="00467DB0" w:rsidRDefault="00693D67" w:rsidP="00467DB0">
      <w:r w:rsidRPr="00467DB0">
        <w:t>Norsk deltakelse i EUs romprogram vil bidra til at Norge har innflytelse på beslutninger knyttet til samfunnsviktig infrastruktur. Deltakelsen legger også til rette for at norske aktører får den innsikten som er nødvendig for best mulig utnyttelse av E</w:t>
      </w:r>
      <w:r w:rsidRPr="00467DB0">
        <w:t xml:space="preserve">Us satellittsystemer, bakkeinfrastruktur og tilhørende tjenester for norske brukere. </w:t>
      </w:r>
    </w:p>
    <w:p w14:paraId="6F57B64A" w14:textId="77777777" w:rsidR="00000000" w:rsidRPr="00467DB0" w:rsidRDefault="00693D67" w:rsidP="00467DB0">
      <w:r w:rsidRPr="00467DB0">
        <w:t>Geografi, topografi og nærings- og bosettingsstruktur gjør Norge til et av de landene som trolig vil få størst utbytte av Galileo og EGNOS. Deltakelse i programmenes styr</w:t>
      </w:r>
      <w:r w:rsidRPr="00467DB0">
        <w:t>ende organer har gitt norske myndigheter mulighet til å påvirke programmene slik at de i størst mulig grad ivaretar norske interesser. Deltakelsen i programmene har også gitt norsk forvaltning og industri tidlig innsikt i systemer som leverer tjenester som</w:t>
      </w:r>
      <w:r w:rsidRPr="00467DB0">
        <w:t xml:space="preserve"> samfunnet er avhengig av. Dette har bidratt til å posisjonere norsk industri i det voksende markedet for tjenester som nyttiggjør satellittnavigasjon, og har forberedt norsk forvaltning til raskt å kunne ta i bruk nye, samfunnsnyttige satellittnavigasjons</w:t>
      </w:r>
      <w:r w:rsidRPr="00467DB0">
        <w:t>tjenester. Norges deltakelse hadde ved utgangen av 2019 medført kontrakter til norsk industri for om lag 104 mill. euro.</w:t>
      </w:r>
    </w:p>
    <w:p w14:paraId="12F916E4" w14:textId="77777777" w:rsidR="00000000" w:rsidRPr="00467DB0" w:rsidRDefault="00693D67" w:rsidP="00467DB0">
      <w:r w:rsidRPr="00467DB0">
        <w:t>Norsk deltakelse i Copernicus gir Norge mulighet til å delta i styrende og rådgivende organer for programmet, og i så måte bidra til at</w:t>
      </w:r>
      <w:r w:rsidRPr="00467DB0">
        <w:t xml:space="preserve"> programmet får styrket dekning og ytelse over norske områder. Norsk deltakelse i Copernicus gir norsk forvaltning og næringsaktører de beste mulighetene til å nyttiggjøre seg data og tjenester fra programmet. Deltakelse er også en forutsetning for at nors</w:t>
      </w:r>
      <w:r w:rsidRPr="00467DB0">
        <w:t xml:space="preserve">ke næringsaktører får by på kontrakter som lyses ut under programmet. For programperioden 2014–2020 ble det anslått at </w:t>
      </w:r>
      <w:proofErr w:type="spellStart"/>
      <w:r w:rsidRPr="00467DB0">
        <w:t>kontraktspotensialet</w:t>
      </w:r>
      <w:proofErr w:type="spellEnd"/>
      <w:r w:rsidRPr="00467DB0">
        <w:t xml:space="preserve"> for norske aktører var på om lag 1 mrd. kroner, omtrent samme beløp som den norske programkontingenten. Tall for per</w:t>
      </w:r>
      <w:r w:rsidRPr="00467DB0">
        <w:t xml:space="preserve">ioden 2014–2020 viser at norske aktører vant Copernicus-relaterte kontrakter på om lag 132 mill. euro. Også for programperioden 2021–2027 er det anslått at </w:t>
      </w:r>
      <w:proofErr w:type="spellStart"/>
      <w:r w:rsidRPr="00467DB0">
        <w:t>kontraktspotensialet</w:t>
      </w:r>
      <w:proofErr w:type="spellEnd"/>
      <w:r w:rsidRPr="00467DB0">
        <w:t xml:space="preserve"> for norske aktører er i samme størrelsesorden som den norske programkontingente</w:t>
      </w:r>
      <w:r w:rsidRPr="00467DB0">
        <w:t>n.</w:t>
      </w:r>
    </w:p>
    <w:p w14:paraId="78EFF2C7" w14:textId="77777777" w:rsidR="00000000" w:rsidRPr="00467DB0" w:rsidRDefault="00693D67" w:rsidP="00467DB0">
      <w:r w:rsidRPr="00467DB0">
        <w:t xml:space="preserve">Flere norske myndighetsaktører vil dra nytte av deltakelse i europeisk samarbeid knyttet til GOVSATCOM. Aktører som forvalter samfunnskritisk infrastruktur, vil kunne få tilgang til ulike typer sikker kommunikasjonskapasitet og -tjenester som supplerer </w:t>
      </w:r>
      <w:r w:rsidRPr="00467DB0">
        <w:t xml:space="preserve">anskaffelser fra kommersielle aktører og kapasiteter som Norge etablerer selv. Brukernytten vil være avhengig av ytelse og dekning over norske interesseområder, inkludert Arktis, utformingen av tjenestene som inngår/autoriseres, samt sikkerhetskravene som </w:t>
      </w:r>
      <w:r w:rsidRPr="00467DB0">
        <w:t>etableres. Norsk deltakelse i GOVSATCOM vil gi Norge mulighet til å påvirke slike beslutninger og vil, i tillegg til brukernytte for sivile og militære myndigheter, også gi norsk industri muligheter for ulike tjeneste- og utstyrsleveranser innen romprogram</w:t>
      </w:r>
      <w:r w:rsidRPr="00467DB0">
        <w:t>met. Detaljene rundt norsk deltakelse i GOVSATCOM og sikkerhetsaspekter knyttet til deltakelsen vil kreve forhandling og etablering av en egen samarbeidsavtale med EU.</w:t>
      </w:r>
    </w:p>
    <w:p w14:paraId="2841C736" w14:textId="77777777" w:rsidR="00000000" w:rsidRPr="00467DB0" w:rsidRDefault="00693D67" w:rsidP="00467DB0">
      <w:r w:rsidRPr="00467DB0">
        <w:t>Norge har et økende behov for SSA-tjenester grunnet økt trafikktetthet i rommet, flere n</w:t>
      </w:r>
      <w:r w:rsidRPr="00467DB0">
        <w:t xml:space="preserve">asjonale satellitter, mulig ny oppskytningsaktivitet fra Andøya og økende antall ukontrollerbare </w:t>
      </w:r>
      <w:r w:rsidRPr="00467DB0">
        <w:lastRenderedPageBreak/>
        <w:t>objekter (romsøppel). Samfunnets økende avhengighet av teknologi har også gjort oss mer sårbare for effektene av solstormer og andre hendelser på solen («romvæ</w:t>
      </w:r>
      <w:r w:rsidRPr="00467DB0">
        <w:t>r»), og Norges plassering langt mot nord gjør oss ekstra utsatt. Det er ønskelig å etablere en informasjonsstrøm og tilgang til komplementære SSA-tjenester fra europeiske systemer, i tillegg til de vi dag får gjennom samarbeidet med USA. Norsk medlemskap i</w:t>
      </w:r>
      <w:r w:rsidRPr="00467DB0">
        <w:t xml:space="preserve"> SSA-komponenten av EUs romprogram gir interessante muligheter for norsk næringsliv og forskningsmiljøer i form av et marked for SSA-tjenester, finansiering av etablering og operasjon av nasjonale kapasiteter og økte muligheter for utveksling av data med a</w:t>
      </w:r>
      <w:r w:rsidRPr="00467DB0">
        <w:t>ndre deltakerland. Norsk deltakelse i enkelte deler av SSA vil kreve forhandling og etablering av en egen samarbeidsavtale med EU.</w:t>
      </w:r>
    </w:p>
    <w:p w14:paraId="7E843376" w14:textId="77777777" w:rsidR="00000000" w:rsidRPr="00467DB0" w:rsidRDefault="00693D67" w:rsidP="00467DB0">
      <w:r w:rsidRPr="00467DB0">
        <w:t xml:space="preserve">Oslo </w:t>
      </w:r>
      <w:proofErr w:type="spellStart"/>
      <w:r w:rsidRPr="00467DB0">
        <w:t>Economics</w:t>
      </w:r>
      <w:proofErr w:type="spellEnd"/>
      <w:r w:rsidRPr="00467DB0">
        <w:t xml:space="preserve"> har gjennomført en evaluering av Norges deltakelse i EUs romprogrammer for satellittnavigasjon og jordobservas</w:t>
      </w:r>
      <w:r w:rsidRPr="00467DB0">
        <w:t xml:space="preserve">jon (OE-rapport 2019–28). Rapporten konkluderer med at Norges deltakelse i romprogrammene er samfunnsøkonomisk lønnsom, og at videre deltakelse er en forutsetning for å realisere nytten av investeringene som er gjort frem til nå. Alternativ </w:t>
      </w:r>
      <w:proofErr w:type="gramStart"/>
      <w:r w:rsidRPr="00467DB0">
        <w:t>anvendelse</w:t>
      </w:r>
      <w:proofErr w:type="gramEnd"/>
      <w:r w:rsidRPr="00467DB0">
        <w:t xml:space="preserve"> av m</w:t>
      </w:r>
      <w:r w:rsidRPr="00467DB0">
        <w:t xml:space="preserve">idlene, f.eks. ved spissede nasjonale satsinger, vil ikke kompensere for kontrakter, tjenester og den utenrikspolitiske gevinst som kan oppnås gjennom deltakelse i EUs romprogram. </w:t>
      </w:r>
    </w:p>
    <w:p w14:paraId="30B735B2" w14:textId="77777777" w:rsidR="00000000" w:rsidRPr="00467DB0" w:rsidRDefault="00693D67" w:rsidP="00467DB0">
      <w:r w:rsidRPr="00467DB0">
        <w:t>Nærings- og fiskeridepartementet tilrår deltakelse i EØS-komiteens beslutni</w:t>
      </w:r>
      <w:r w:rsidRPr="00467DB0">
        <w:t>ng om innlemmelse i EØS-avtalen av en forordning om etablering av EUs romprogram (2021–2027) og EUs byrå for romprogrammet. Utenriksdepartementet slutter seg til dette.</w:t>
      </w:r>
    </w:p>
    <w:p w14:paraId="7F93C301" w14:textId="77777777" w:rsidR="00000000" w:rsidRPr="00467DB0" w:rsidRDefault="00693D67" w:rsidP="00467DB0">
      <w:pPr>
        <w:pStyle w:val="a-tilraar-dep"/>
      </w:pPr>
      <w:r w:rsidRPr="00467DB0">
        <w:t>Utenriksdepartementet</w:t>
      </w:r>
    </w:p>
    <w:p w14:paraId="62ACF94B" w14:textId="77777777" w:rsidR="00000000" w:rsidRPr="00467DB0" w:rsidRDefault="00693D67" w:rsidP="00467DB0">
      <w:pPr>
        <w:pStyle w:val="a-tilraar-tit"/>
      </w:pPr>
      <w:r w:rsidRPr="00467DB0">
        <w:t>tilrår:</w:t>
      </w:r>
    </w:p>
    <w:p w14:paraId="20E49CDF" w14:textId="77777777" w:rsidR="00000000" w:rsidRPr="00467DB0" w:rsidRDefault="00693D67" w:rsidP="00467DB0">
      <w:r w:rsidRPr="00467DB0">
        <w:t>At Deres Majestet godkjenner og skriver under et framlagt</w:t>
      </w:r>
      <w:r w:rsidRPr="00467DB0">
        <w:t xml:space="preserve"> forslag til proposisjon til Stortinget om samtykke til deltakelse i en beslutning i EØS-komiteen om innlemmelse i EØS-avtalen av en forordning om etablering av EUs romprogram (2021–2027) og EUs byrå for romprogrammet.</w:t>
      </w:r>
    </w:p>
    <w:p w14:paraId="7D62DCB1" w14:textId="77777777" w:rsidR="00000000" w:rsidRPr="00467DB0" w:rsidRDefault="00693D67" w:rsidP="00467DB0">
      <w:pPr>
        <w:pStyle w:val="a-konge-tekst"/>
        <w:rPr>
          <w:rStyle w:val="halvfet0"/>
        </w:rPr>
      </w:pPr>
      <w:r w:rsidRPr="00467DB0">
        <w:rPr>
          <w:rStyle w:val="halvfet0"/>
        </w:rPr>
        <w:t xml:space="preserve">Vi HARALD, </w:t>
      </w:r>
      <w:r w:rsidRPr="00467DB0">
        <w:t>Norges Konge,</w:t>
      </w:r>
    </w:p>
    <w:p w14:paraId="54B96FA8" w14:textId="77777777" w:rsidR="00000000" w:rsidRPr="00467DB0" w:rsidRDefault="00693D67" w:rsidP="00467DB0">
      <w:pPr>
        <w:pStyle w:val="a-konge-tit"/>
      </w:pPr>
      <w:r w:rsidRPr="00467DB0">
        <w:t>stadfester:</w:t>
      </w:r>
    </w:p>
    <w:p w14:paraId="68FD5586" w14:textId="77777777" w:rsidR="00000000" w:rsidRPr="00467DB0" w:rsidRDefault="00693D67" w:rsidP="00467DB0">
      <w:r w:rsidRPr="00467DB0">
        <w:t>Stortinget blir bedt om å gjøre vedtak om samtykke til deltakelse i en beslutning i EØS-komiteen om innlemmelse i EØS-avtalen av en forordning om etablering av EUs romprogram (2021–2027) og EUs byrå for romprogrammet, i samsvar med et vedlagt f</w:t>
      </w:r>
      <w:r w:rsidRPr="00467DB0">
        <w:t>orslag.</w:t>
      </w:r>
    </w:p>
    <w:p w14:paraId="59C6D92F" w14:textId="77777777" w:rsidR="00000000" w:rsidRPr="00467DB0" w:rsidRDefault="00693D67" w:rsidP="00467DB0">
      <w:pPr>
        <w:pStyle w:val="a-vedtak-tit"/>
      </w:pPr>
      <w:r w:rsidRPr="00467DB0">
        <w:t>Forslag</w:t>
      </w:r>
    </w:p>
    <w:p w14:paraId="3C86C24E" w14:textId="77777777" w:rsidR="00000000" w:rsidRPr="00467DB0" w:rsidRDefault="00693D67" w:rsidP="00467DB0">
      <w:pPr>
        <w:pStyle w:val="a-vedtak-tit"/>
      </w:pPr>
      <w:r w:rsidRPr="00467DB0">
        <w:t xml:space="preserve">til vedtak om samtykke til deltakelse i en beslutning </w:t>
      </w:r>
      <w:r w:rsidRPr="00467DB0">
        <w:br/>
        <w:t xml:space="preserve">i EØS-komiteen om innlemmelse i EØS-avtalen av en forordning om etablering av EUs romprogram (2021–2027) og EUs byrå for romprogrammet </w:t>
      </w:r>
    </w:p>
    <w:p w14:paraId="18D90933" w14:textId="77777777" w:rsidR="00000000" w:rsidRPr="00467DB0" w:rsidRDefault="00693D67" w:rsidP="00467DB0">
      <w:pPr>
        <w:pStyle w:val="a-vedtak-del"/>
      </w:pPr>
      <w:r w:rsidRPr="00467DB0">
        <w:t>I</w:t>
      </w:r>
    </w:p>
    <w:p w14:paraId="59429B5A" w14:textId="77777777" w:rsidR="00000000" w:rsidRPr="00467DB0" w:rsidRDefault="00693D67" w:rsidP="00467DB0">
      <w:r w:rsidRPr="00467DB0">
        <w:lastRenderedPageBreak/>
        <w:t>Stortinget samtykker i deltakelse i en beslutni</w:t>
      </w:r>
      <w:r w:rsidRPr="00467DB0">
        <w:t>ng i EØS-komiteen om innlemmelse i EØS-avtalen av en forordning om etablering av EUs romprogram (2021–2027) og EUs byrå for romprogrammet.</w:t>
      </w:r>
    </w:p>
    <w:p w14:paraId="6B4EC3E1" w14:textId="77777777" w:rsidR="00000000" w:rsidRPr="00467DB0" w:rsidRDefault="00693D67" w:rsidP="00467DB0">
      <w:pPr>
        <w:pStyle w:val="vedlegg-nr"/>
      </w:pPr>
    </w:p>
    <w:p w14:paraId="47BD7610" w14:textId="77777777" w:rsidR="00000000" w:rsidRPr="00467DB0" w:rsidRDefault="00693D67" w:rsidP="00467DB0">
      <w:pPr>
        <w:pStyle w:val="vedlegg-tit"/>
      </w:pPr>
      <w:r w:rsidRPr="00467DB0">
        <w:t xml:space="preserve">EØS-komiteens beslutning nr. [...] av [...] om endring </w:t>
      </w:r>
      <w:r w:rsidRPr="00467DB0">
        <w:br/>
        <w:t>av EØS-avtalens protokoll 31 om sama</w:t>
      </w:r>
      <w:r w:rsidRPr="00467DB0">
        <w:t>rbeid på særlige områder utenfor de fire friheter og protokoll 37 om listen omhandlet i artikkel 101</w:t>
      </w:r>
    </w:p>
    <w:p w14:paraId="4A67303C" w14:textId="77777777" w:rsidR="00000000" w:rsidRPr="00467DB0" w:rsidRDefault="00693D67" w:rsidP="00467DB0">
      <w:r w:rsidRPr="00467DB0">
        <w:t>EØS-KOMITEEN HAR –</w:t>
      </w:r>
    </w:p>
    <w:p w14:paraId="73B24144" w14:textId="77777777" w:rsidR="00000000" w:rsidRPr="00467DB0" w:rsidRDefault="00693D67" w:rsidP="00467DB0">
      <w:r w:rsidRPr="00467DB0">
        <w:t>under henvisning til avtalen om Det europeiske økonomiske samarbeidsområde, heretter kalt EØS-avtalen, særlig artikkel 86 og 98,</w:t>
      </w:r>
    </w:p>
    <w:p w14:paraId="187EB4E2" w14:textId="77777777" w:rsidR="00000000" w:rsidRPr="00467DB0" w:rsidRDefault="00693D67" w:rsidP="00467DB0">
      <w:r w:rsidRPr="00467DB0">
        <w:t>og ut f</w:t>
      </w:r>
      <w:r w:rsidRPr="00467DB0">
        <w:t>ra følgende betraktninger:</w:t>
      </w:r>
    </w:p>
    <w:p w14:paraId="4FEDFA39" w14:textId="77777777" w:rsidR="00000000" w:rsidRPr="00467DB0" w:rsidRDefault="00693D67" w:rsidP="00467DB0">
      <w:pPr>
        <w:pStyle w:val="friliste"/>
      </w:pPr>
      <w:r w:rsidRPr="00467DB0">
        <w:t>(1)</w:t>
      </w:r>
      <w:r w:rsidRPr="00467DB0">
        <w:tab/>
        <w:t>Samarbeidet mellom partene i EØS-avtalen bør utvides til å omfatte [europaparlaments- og rådsforordning […] av […] om opprettelse av Unionens romprogram og Den europeiske unions byrå for romprogrammet og om oppheving av foror</w:t>
      </w:r>
      <w:r w:rsidRPr="00467DB0">
        <w:t>dning (EU) nr. 912/2010, (EU) nr. 1285/2013 og (EU) nr. 377/2014 og beslutning 541/2014/EU]</w:t>
      </w:r>
      <w:r w:rsidRPr="00467DB0">
        <w:rPr>
          <w:rStyle w:val="Fotnotereferanse"/>
        </w:rPr>
        <w:footnoteReference w:id="1"/>
      </w:r>
      <w:r w:rsidRPr="00467DB0">
        <w:t>.</w:t>
      </w:r>
    </w:p>
    <w:p w14:paraId="77A5386B" w14:textId="77777777" w:rsidR="00000000" w:rsidRPr="00467DB0" w:rsidRDefault="00693D67" w:rsidP="00467DB0">
      <w:pPr>
        <w:pStyle w:val="friliste"/>
      </w:pPr>
      <w:r w:rsidRPr="00467DB0">
        <w:t>(2)</w:t>
      </w:r>
      <w:r w:rsidRPr="00467DB0">
        <w:tab/>
        <w:t>Vilkårene for deltakelsen til EFTA-statene og deres institusjoner, foretak, organisasjoner og statsborgere i Den europeiske union</w:t>
      </w:r>
      <w:r w:rsidRPr="00467DB0">
        <w:t>s programmer er fastsatt i EØS-avtalen, særlig i artikkel 81.</w:t>
      </w:r>
    </w:p>
    <w:p w14:paraId="1872474D" w14:textId="77777777" w:rsidR="00000000" w:rsidRPr="00467DB0" w:rsidRDefault="00693D67" w:rsidP="00467DB0">
      <w:pPr>
        <w:pStyle w:val="friliste"/>
      </w:pPr>
      <w:r w:rsidRPr="00467DB0">
        <w:t>(3)</w:t>
      </w:r>
      <w:r w:rsidRPr="00467DB0">
        <w:tab/>
        <w:t>Avtalepartene anerkjenner det eksisterende formelle samarbeidet i EUs forskjellige romprogrammer. De ønsker å bygge videre på dette sterke partnerskapet og utvide samarbeidet til alle kompon</w:t>
      </w:r>
      <w:r w:rsidRPr="00467DB0">
        <w:t>entene i det nye romprogrammet.</w:t>
      </w:r>
    </w:p>
    <w:p w14:paraId="73261422" w14:textId="77777777" w:rsidR="00000000" w:rsidRPr="00467DB0" w:rsidRDefault="00693D67" w:rsidP="00467DB0">
      <w:pPr>
        <w:pStyle w:val="friliste"/>
      </w:pPr>
      <w:r w:rsidRPr="00467DB0">
        <w:t>(4)</w:t>
      </w:r>
      <w:r w:rsidRPr="00467DB0">
        <w:tab/>
        <w:t>Når det gjelder Norges deltakelse, bør det også tas hensyn til samarbeidsavtalen om satellittbasert navigasjon mellom Den europeiske union og dens medlemsstater og Norge</w:t>
      </w:r>
      <w:r w:rsidRPr="00467DB0">
        <w:rPr>
          <w:rStyle w:val="Fotnotereferanse"/>
        </w:rPr>
        <w:footnoteReference w:id="2"/>
      </w:r>
      <w:r w:rsidRPr="00467DB0">
        <w:t>, og sær</w:t>
      </w:r>
      <w:r w:rsidRPr="00467DB0">
        <w:t>lig til avtalens artikkel 6 om sikkerhet.</w:t>
      </w:r>
    </w:p>
    <w:p w14:paraId="16DF6147" w14:textId="77777777" w:rsidR="00000000" w:rsidRPr="00467DB0" w:rsidRDefault="00693D67" w:rsidP="00467DB0">
      <w:pPr>
        <w:pStyle w:val="friliste"/>
      </w:pPr>
      <w:r w:rsidRPr="00467DB0">
        <w:t>(5)</w:t>
      </w:r>
      <w:r w:rsidRPr="00467DB0">
        <w:tab/>
        <w:t>EØS-avtalens protokoll 31 og 37 bør derfor endres for å gjøre et slikt utvidet samarbeid mulig fra 1. januar 2021 –</w:t>
      </w:r>
    </w:p>
    <w:p w14:paraId="12A39D43" w14:textId="77777777" w:rsidR="00000000" w:rsidRPr="00467DB0" w:rsidRDefault="00693D67" w:rsidP="00467DB0">
      <w:r w:rsidRPr="00467DB0">
        <w:t>TRUFFET DENNE BESLUTNING:</w:t>
      </w:r>
    </w:p>
    <w:p w14:paraId="29D4DD39" w14:textId="77777777" w:rsidR="00000000" w:rsidRPr="00467DB0" w:rsidRDefault="00693D67" w:rsidP="00467DB0">
      <w:pPr>
        <w:pStyle w:val="avsnitt-undertittel"/>
      </w:pPr>
      <w:r w:rsidRPr="00467DB0">
        <w:t>Artikkel 1</w:t>
      </w:r>
    </w:p>
    <w:p w14:paraId="66378AED" w14:textId="77777777" w:rsidR="00000000" w:rsidRPr="00467DB0" w:rsidRDefault="00693D67" w:rsidP="00467DB0">
      <w:r w:rsidRPr="00467DB0">
        <w:t>I EØS-avtalens protokoll 31 artikkel 1, etter nr. 8d, til</w:t>
      </w:r>
      <w:r w:rsidRPr="00467DB0">
        <w:t>føyes følgende:</w:t>
      </w:r>
    </w:p>
    <w:p w14:paraId="7BD9A147" w14:textId="77777777" w:rsidR="00000000" w:rsidRPr="00467DB0" w:rsidRDefault="00693D67" w:rsidP="00467DB0">
      <w:pPr>
        <w:pStyle w:val="friliste"/>
      </w:pPr>
      <w:r w:rsidRPr="00467DB0">
        <w:t>«8e.</w:t>
      </w:r>
      <w:r w:rsidRPr="00467DB0">
        <w:tab/>
      </w:r>
    </w:p>
    <w:p w14:paraId="670D124F" w14:textId="77777777" w:rsidR="00000000" w:rsidRPr="00467DB0" w:rsidRDefault="00693D67" w:rsidP="00467DB0">
      <w:pPr>
        <w:pStyle w:val="friliste2"/>
      </w:pPr>
      <w:r w:rsidRPr="00467DB0">
        <w:t>a)</w:t>
      </w:r>
      <w:r w:rsidRPr="00467DB0">
        <w:tab/>
        <w:t>EFTA-statene skal fra 1. januar 2021 delta i den virksomhet som kan følge av følgende unionsrettsakt, og i Den europeiske unions byrå for romprogrammet, heretter kalt ‘Byrået’, opprettet ved følgende unionsrettsakt:</w:t>
      </w:r>
    </w:p>
    <w:p w14:paraId="7B8441BA" w14:textId="77777777" w:rsidR="00000000" w:rsidRPr="00467DB0" w:rsidRDefault="00693D67" w:rsidP="00467DB0">
      <w:pPr>
        <w:pStyle w:val="friliste3"/>
      </w:pPr>
      <w:r w:rsidRPr="00467DB0">
        <w:t>–</w:t>
      </w:r>
      <w:r w:rsidRPr="00467DB0">
        <w:tab/>
      </w:r>
      <w:r w:rsidRPr="00467DB0">
        <w:rPr>
          <w:rStyle w:val="halvfet0"/>
        </w:rPr>
        <w:t xml:space="preserve">32020 R </w:t>
      </w:r>
      <w:proofErr w:type="spellStart"/>
      <w:r w:rsidRPr="00467DB0">
        <w:rPr>
          <w:rStyle w:val="halvfet0"/>
        </w:rPr>
        <w:t>xxxx</w:t>
      </w:r>
      <w:proofErr w:type="spellEnd"/>
      <w:r w:rsidRPr="00467DB0">
        <w:t xml:space="preserve">: [Europaparlaments- og rådsforordning […] av […] om opprettelse av Unionens romprogram og Den europeiske unions byrå for romprogrammet og om </w:t>
      </w:r>
      <w:r w:rsidRPr="00467DB0">
        <w:lastRenderedPageBreak/>
        <w:t>oppheving av forordning (EU) nr. 912/2010, (EU) nr. 1285/2013 og (EU) nr. 377/2014 og beslutning 541/2014/EU] (EUT</w:t>
      </w:r>
      <w:r w:rsidRPr="00467DB0">
        <w:t xml:space="preserve"> L …).</w:t>
      </w:r>
    </w:p>
    <w:p w14:paraId="1BDA8564" w14:textId="77777777" w:rsidR="00000000" w:rsidRPr="00467DB0" w:rsidRDefault="00693D67" w:rsidP="00467DB0">
      <w:pPr>
        <w:pStyle w:val="friliste2"/>
      </w:pPr>
      <w:r w:rsidRPr="00467DB0">
        <w:t>b)</w:t>
      </w:r>
      <w:r w:rsidRPr="00467DB0">
        <w:tab/>
        <w:t>EFTA-statene skal bidra finansielt til virksomheten nevnt i bokstav a) i samsvar med EØS-avtalens artikkel 82 nr. 1 bokstav a) og protokoll 32.</w:t>
      </w:r>
    </w:p>
    <w:p w14:paraId="293C1AE1" w14:textId="77777777" w:rsidR="00000000" w:rsidRPr="00467DB0" w:rsidRDefault="00693D67" w:rsidP="00467DB0">
      <w:pPr>
        <w:pStyle w:val="friliste2"/>
      </w:pPr>
      <w:r w:rsidRPr="00467DB0">
        <w:t>c)</w:t>
      </w:r>
      <w:r w:rsidRPr="00467DB0">
        <w:tab/>
        <w:t xml:space="preserve">Det finansielle bidraget nevnt i bokstav b) skal dekke kostnaden for utvidelsen av EGNOS-systemets </w:t>
      </w:r>
      <w:r w:rsidRPr="00467DB0">
        <w:t>geografiske dekning til å omfatte de deltakende EFTA-statenes territorier. Denne utvidelsen forutsetter teknisk gjennomførbarhet og skal ikke forsinke utvidelsen av EGNOS-systemets geografiske dekning av EUs medlemsstaters territorier som geografisk ligger</w:t>
      </w:r>
      <w:r w:rsidRPr="00467DB0">
        <w:t xml:space="preserve"> i Europa.</w:t>
      </w:r>
    </w:p>
    <w:p w14:paraId="01E00382" w14:textId="77777777" w:rsidR="00000000" w:rsidRPr="00467DB0" w:rsidRDefault="00693D67" w:rsidP="00467DB0">
      <w:pPr>
        <w:pStyle w:val="friliste2"/>
      </w:pPr>
      <w:r w:rsidRPr="00467DB0">
        <w:t>d)</w:t>
      </w:r>
      <w:r w:rsidRPr="00467DB0">
        <w:tab/>
        <w:t>EFTA-statene skal delta fullt ut, uten stemmerett, i Byråets styre og i Byråets sikkerhetsakkrediteringsstyre.</w:t>
      </w:r>
    </w:p>
    <w:p w14:paraId="09F33692" w14:textId="77777777" w:rsidR="00000000" w:rsidRPr="00467DB0" w:rsidRDefault="00693D67" w:rsidP="00467DB0">
      <w:pPr>
        <w:pStyle w:val="friliste2"/>
      </w:pPr>
      <w:r w:rsidRPr="00467DB0">
        <w:t>e)</w:t>
      </w:r>
      <w:r w:rsidRPr="00467DB0">
        <w:tab/>
        <w:t>Byrået skal være en juridisk person. Det skal hos alle parter i EØS-avtalen nyte godt av den mest omfattende rettsevne en juridi</w:t>
      </w:r>
      <w:r w:rsidRPr="00467DB0">
        <w:t>sk person kan ha i henhold til nasjonal lovgivning.</w:t>
      </w:r>
    </w:p>
    <w:p w14:paraId="52813630" w14:textId="77777777" w:rsidR="00000000" w:rsidRPr="00467DB0" w:rsidRDefault="00693D67" w:rsidP="00467DB0">
      <w:pPr>
        <w:pStyle w:val="friliste2"/>
      </w:pPr>
      <w:r w:rsidRPr="00467DB0">
        <w:t>f)</w:t>
      </w:r>
      <w:r w:rsidRPr="00467DB0">
        <w:tab/>
        <w:t>EFTA-statene skal tilstå Byrået og dets ansatte privilegier og immunitet tilsvarende de som er omhandlet i protokollen om Den europeiske unions privilegier og immunitet.</w:t>
      </w:r>
    </w:p>
    <w:p w14:paraId="4208B448" w14:textId="77777777" w:rsidR="00000000" w:rsidRPr="00467DB0" w:rsidRDefault="00693D67" w:rsidP="00467DB0">
      <w:pPr>
        <w:pStyle w:val="friliste2"/>
      </w:pPr>
      <w:r w:rsidRPr="00467DB0">
        <w:t>g)</w:t>
      </w:r>
      <w:r w:rsidRPr="00467DB0">
        <w:tab/>
        <w:t>Som unntak fra artikkel 12 n</w:t>
      </w:r>
      <w:r w:rsidRPr="00467DB0">
        <w:t>r. 2 bokstav a) og artikkel 82 nr. 3 bokstav a) i Tilsettingsvilkår for andre tjenestemenn i Den europeiske union kan statsborgere i EFTA-stater som nyter fulle borgerrettigheter, tilsettes på kontrakt av Byråets daglige leder.</w:t>
      </w:r>
    </w:p>
    <w:p w14:paraId="62F90B71" w14:textId="77777777" w:rsidR="00000000" w:rsidRPr="00467DB0" w:rsidRDefault="00693D67" w:rsidP="00467DB0">
      <w:pPr>
        <w:pStyle w:val="friliste2"/>
      </w:pPr>
      <w:r w:rsidRPr="00467DB0">
        <w:t>h)</w:t>
      </w:r>
      <w:r w:rsidRPr="00467DB0">
        <w:tab/>
        <w:t>Som unntak fra artikkel 1</w:t>
      </w:r>
      <w:r w:rsidRPr="00467DB0">
        <w:t>2 nr. 2 bokstav e), artikkel 82 nr. 3 bokstav e) og artikkel 85 nr. 3 i Tilsettingsvilkår for andre tjenestemenn i Den europeiske union skal språkene nevnt i EØS-avtalens artikkel 129 nr. 1 anses av Byrået, med hensyn til sine ansatte, som et av Unionens s</w:t>
      </w:r>
      <w:r w:rsidRPr="00467DB0">
        <w:t>pråk nevnt i artikkel 55 nr. 1 i traktaten om Den europeiske union.</w:t>
      </w:r>
    </w:p>
    <w:p w14:paraId="0738CD5D" w14:textId="77777777" w:rsidR="00000000" w:rsidRPr="00467DB0" w:rsidRDefault="00693D67" w:rsidP="00467DB0">
      <w:pPr>
        <w:pStyle w:val="friliste2"/>
      </w:pPr>
      <w:r w:rsidRPr="00467DB0">
        <w:t>i)</w:t>
      </w:r>
      <w:r w:rsidRPr="00467DB0">
        <w:tab/>
        <w:t xml:space="preserve">I henhold til artikkel 79 nr. 3 i EØS-avtalen får del VII (Bestemmelser om organene) i EØS-avtalen, unntatt kapittel 3 avsnitt 1 og 2, </w:t>
      </w:r>
      <w:proofErr w:type="gramStart"/>
      <w:r w:rsidRPr="00467DB0">
        <w:t>anvendelse</w:t>
      </w:r>
      <w:proofErr w:type="gramEnd"/>
      <w:r w:rsidRPr="00467DB0">
        <w:t xml:space="preserve"> for dette nummer.</w:t>
      </w:r>
    </w:p>
    <w:p w14:paraId="292B1E10" w14:textId="77777777" w:rsidR="00000000" w:rsidRPr="00467DB0" w:rsidRDefault="00693D67" w:rsidP="00467DB0">
      <w:pPr>
        <w:pStyle w:val="friliste2"/>
      </w:pPr>
      <w:r w:rsidRPr="00467DB0">
        <w:t>j)</w:t>
      </w:r>
      <w:r w:rsidRPr="00467DB0">
        <w:tab/>
        <w:t xml:space="preserve">Europaparlaments- </w:t>
      </w:r>
      <w:r w:rsidRPr="00467DB0">
        <w:t xml:space="preserve">og rådsforordning (EF) nr. 1049/2001 av 30. mai 2001 om offentlig tilgang til Europaparlamentets, Rådets og Kommisjonens dokumenter skal ved </w:t>
      </w:r>
      <w:proofErr w:type="gramStart"/>
      <w:r w:rsidRPr="00467DB0">
        <w:t>anvendelse</w:t>
      </w:r>
      <w:proofErr w:type="gramEnd"/>
      <w:r w:rsidRPr="00467DB0">
        <w:t xml:space="preserve"> av denne forordning gjelde for alle Byråets dokumenter som også angår EFTA-statene.</w:t>
      </w:r>
    </w:p>
    <w:p w14:paraId="762D04E8" w14:textId="77777777" w:rsidR="00000000" w:rsidRPr="00467DB0" w:rsidRDefault="00693D67" w:rsidP="00467DB0">
      <w:pPr>
        <w:pStyle w:val="friliste2"/>
      </w:pPr>
      <w:r w:rsidRPr="00467DB0">
        <w:t>k)</w:t>
      </w:r>
      <w:r w:rsidRPr="00467DB0">
        <w:tab/>
        <w:t>EFTA-statene skal</w:t>
      </w:r>
      <w:r w:rsidRPr="00467DB0">
        <w:t xml:space="preserve"> delta fullt ut, uten stemmerett, i alle unionskomiteer som bistår Europakommisjonen med hensyn til ledelse, utvikling og gjennomføring av virksomheten nevnt i bokstav a).</w:t>
      </w:r>
    </w:p>
    <w:p w14:paraId="382221DB" w14:textId="77777777" w:rsidR="00000000" w:rsidRPr="00467DB0" w:rsidRDefault="00693D67" w:rsidP="00467DB0">
      <w:pPr>
        <w:pStyle w:val="friliste2"/>
      </w:pPr>
      <w:r w:rsidRPr="00467DB0">
        <w:t>l)</w:t>
      </w:r>
      <w:r w:rsidRPr="00467DB0">
        <w:tab/>
        <w:t xml:space="preserve">Dette nummer får ikke </w:t>
      </w:r>
      <w:proofErr w:type="gramStart"/>
      <w:r w:rsidRPr="00467DB0">
        <w:t>anvendelse</w:t>
      </w:r>
      <w:proofErr w:type="gramEnd"/>
      <w:r w:rsidRPr="00467DB0">
        <w:t xml:space="preserve"> for Liechtenstein.</w:t>
      </w:r>
    </w:p>
    <w:p w14:paraId="1079A5DA" w14:textId="77777777" w:rsidR="00000000" w:rsidRPr="00467DB0" w:rsidRDefault="00693D67" w:rsidP="00467DB0">
      <w:pPr>
        <w:pStyle w:val="friliste2"/>
      </w:pPr>
      <w:r w:rsidRPr="00467DB0">
        <w:t>[m)</w:t>
      </w:r>
      <w:r w:rsidRPr="00467DB0">
        <w:tab/>
        <w:t>Island skal delta i og bi</w:t>
      </w:r>
      <w:r w:rsidRPr="00467DB0">
        <w:t>dra finansielt til følgende av programmets virksomheter: [EGNOS, Copernicus, GOVSATCOM og SWE-komponenten (romværtjenester) i SSA].]»</w:t>
      </w:r>
    </w:p>
    <w:p w14:paraId="25DC6720" w14:textId="77777777" w:rsidR="00000000" w:rsidRPr="00467DB0" w:rsidRDefault="00693D67" w:rsidP="00467DB0">
      <w:pPr>
        <w:pStyle w:val="avsnitt-undertittel"/>
      </w:pPr>
      <w:r w:rsidRPr="00467DB0">
        <w:t>Artikkel 2</w:t>
      </w:r>
    </w:p>
    <w:p w14:paraId="136D02AE" w14:textId="77777777" w:rsidR="00000000" w:rsidRPr="00467DB0" w:rsidRDefault="00693D67" w:rsidP="00467DB0">
      <w:r w:rsidRPr="00467DB0">
        <w:t>I EØS-avtalens protokoll 37 gjøres følgende endringer:</w:t>
      </w:r>
    </w:p>
    <w:p w14:paraId="580C8EB2" w14:textId="77777777" w:rsidR="00000000" w:rsidRPr="00467DB0" w:rsidRDefault="00693D67" w:rsidP="00467DB0">
      <w:pPr>
        <w:pStyle w:val="friliste"/>
      </w:pPr>
      <w:r w:rsidRPr="00467DB0">
        <w:t>1.</w:t>
      </w:r>
      <w:r w:rsidRPr="00467DB0">
        <w:tab/>
        <w:t>Teksten i nr. 36 og 37 oppheves.</w:t>
      </w:r>
    </w:p>
    <w:p w14:paraId="74CB396C" w14:textId="77777777" w:rsidR="00000000" w:rsidRPr="00467DB0" w:rsidRDefault="00693D67" w:rsidP="00467DB0">
      <w:pPr>
        <w:pStyle w:val="friliste"/>
      </w:pPr>
      <w:r w:rsidRPr="00467DB0">
        <w:t>2.</w:t>
      </w:r>
      <w:r w:rsidRPr="00467DB0">
        <w:tab/>
        <w:t>Nye numre skal ly</w:t>
      </w:r>
      <w:r w:rsidRPr="00467DB0">
        <w:t>de:</w:t>
      </w:r>
    </w:p>
    <w:p w14:paraId="3366E09E" w14:textId="77777777" w:rsidR="00000000" w:rsidRPr="00467DB0" w:rsidRDefault="00693D67" w:rsidP="00467DB0">
      <w:pPr>
        <w:pStyle w:val="friliste2"/>
      </w:pPr>
      <w:r w:rsidRPr="00467DB0">
        <w:t>«43.</w:t>
      </w:r>
      <w:r w:rsidRPr="00467DB0">
        <w:tab/>
        <w:t>Sikkerhetsakkrediteringsstyret til Den europeiske unions byrå for romprogrammet (europaparlaments- og rådsforordning […]).</w:t>
      </w:r>
    </w:p>
    <w:p w14:paraId="0CC3D4F5" w14:textId="77777777" w:rsidR="00000000" w:rsidRPr="00467DB0" w:rsidRDefault="00693D67" w:rsidP="00467DB0">
      <w:pPr>
        <w:pStyle w:val="friliste2"/>
      </w:pPr>
      <w:r w:rsidRPr="00467DB0">
        <w:t>44.</w:t>
      </w:r>
      <w:r w:rsidRPr="00467DB0">
        <w:tab/>
        <w:t>Styret for Den europeiske unions byrå for romprogrammet (europaparlaments- og rådsforordning […]).»</w:t>
      </w:r>
    </w:p>
    <w:p w14:paraId="4FCD8063" w14:textId="77777777" w:rsidR="00000000" w:rsidRPr="00467DB0" w:rsidRDefault="00693D67" w:rsidP="00467DB0">
      <w:pPr>
        <w:pStyle w:val="avsnitt-undertittel"/>
      </w:pPr>
      <w:r w:rsidRPr="00467DB0">
        <w:lastRenderedPageBreak/>
        <w:t>Artikkel 3</w:t>
      </w:r>
    </w:p>
    <w:p w14:paraId="19C33773" w14:textId="77777777" w:rsidR="00000000" w:rsidRPr="00467DB0" w:rsidRDefault="00693D67" w:rsidP="00467DB0">
      <w:r w:rsidRPr="00467DB0">
        <w:t>Denne beslutning trer i kraft dagen etter at alle meddelelser etter EØS-avtalens artikkel 103 nr. 1 er inngitt</w:t>
      </w:r>
      <w:r w:rsidRPr="00467DB0">
        <w:rPr>
          <w:rStyle w:val="Fotnotereferanse"/>
        </w:rPr>
        <w:footnoteReference w:id="3"/>
      </w:r>
      <w:r w:rsidRPr="00467DB0">
        <w:t>.</w:t>
      </w:r>
    </w:p>
    <w:p w14:paraId="7132F650" w14:textId="77777777" w:rsidR="00000000" w:rsidRPr="00467DB0" w:rsidRDefault="00693D67" w:rsidP="00467DB0">
      <w:r w:rsidRPr="00467DB0">
        <w:t xml:space="preserve">Den får </w:t>
      </w:r>
      <w:proofErr w:type="gramStart"/>
      <w:r w:rsidRPr="00467DB0">
        <w:t>anvendelse</w:t>
      </w:r>
      <w:proofErr w:type="gramEnd"/>
      <w:r w:rsidRPr="00467DB0">
        <w:t xml:space="preserve"> fra 1. januar 2021.</w:t>
      </w:r>
    </w:p>
    <w:p w14:paraId="4B205C77" w14:textId="77777777" w:rsidR="00000000" w:rsidRPr="00467DB0" w:rsidRDefault="00693D67" w:rsidP="00467DB0">
      <w:pPr>
        <w:pStyle w:val="avsnitt-undertittel"/>
      </w:pPr>
      <w:r w:rsidRPr="00467DB0">
        <w:t>Artikkel 4</w:t>
      </w:r>
    </w:p>
    <w:p w14:paraId="33880F62" w14:textId="77777777" w:rsidR="00000000" w:rsidRPr="00467DB0" w:rsidRDefault="00693D67" w:rsidP="00467DB0">
      <w:r w:rsidRPr="00467DB0">
        <w:t>Denne beslutn</w:t>
      </w:r>
      <w:r w:rsidRPr="00467DB0">
        <w:t xml:space="preserve">ing skal kunngjøres i EØS-avdelingen av og EØS-tillegget til </w:t>
      </w:r>
      <w:r w:rsidRPr="00467DB0">
        <w:rPr>
          <w:rStyle w:val="kursiv"/>
        </w:rPr>
        <w:t>Den europeiske unions tidende</w:t>
      </w:r>
      <w:r w:rsidRPr="00467DB0">
        <w:t>.</w:t>
      </w:r>
    </w:p>
    <w:p w14:paraId="05C2E764" w14:textId="77777777" w:rsidR="00000000" w:rsidRPr="00467DB0" w:rsidRDefault="00693D67" w:rsidP="00467DB0">
      <w:r w:rsidRPr="00467DB0">
        <w:t>Utferdiget i Brussel […]</w:t>
      </w:r>
    </w:p>
    <w:p w14:paraId="21339111" w14:textId="77777777" w:rsidR="00000000" w:rsidRPr="00467DB0" w:rsidRDefault="00693D67" w:rsidP="00467DB0">
      <w:pPr>
        <w:pStyle w:val="Tabellnavn"/>
      </w:pPr>
      <w:r w:rsidRPr="00467DB0">
        <w:t>02N0xx1</w:t>
      </w:r>
    </w:p>
    <w:tbl>
      <w:tblPr>
        <w:tblStyle w:val="StandardTabell"/>
        <w:tblW w:w="0" w:type="auto"/>
        <w:tblLayout w:type="fixed"/>
        <w:tblLook w:val="04A0" w:firstRow="1" w:lastRow="0" w:firstColumn="1" w:lastColumn="0" w:noHBand="0" w:noVBand="1"/>
      </w:tblPr>
      <w:tblGrid>
        <w:gridCol w:w="4600"/>
        <w:gridCol w:w="4600"/>
      </w:tblGrid>
      <w:tr w:rsidR="00000000" w:rsidRPr="00467DB0" w14:paraId="60297743" w14:textId="77777777" w:rsidTr="00467DB0">
        <w:trPr>
          <w:trHeight w:val="380"/>
        </w:trPr>
        <w:tc>
          <w:tcPr>
            <w:tcW w:w="4600" w:type="dxa"/>
            <w:shd w:val="clear" w:color="auto" w:fill="FFFFFF"/>
          </w:tcPr>
          <w:p w14:paraId="5250F352" w14:textId="77777777" w:rsidR="00000000" w:rsidRPr="00467DB0" w:rsidRDefault="00693D67" w:rsidP="00467DB0">
            <w:r w:rsidRPr="00467DB0">
              <w:t xml:space="preserve">For EØS-komiteen </w:t>
            </w:r>
          </w:p>
        </w:tc>
        <w:tc>
          <w:tcPr>
            <w:tcW w:w="4600" w:type="dxa"/>
          </w:tcPr>
          <w:p w14:paraId="069368D5" w14:textId="77777777" w:rsidR="00000000" w:rsidRPr="00467DB0" w:rsidRDefault="00693D67" w:rsidP="00467DB0">
            <w:r w:rsidRPr="00467DB0">
              <w:t>EØS-komiteens</w:t>
            </w:r>
          </w:p>
        </w:tc>
      </w:tr>
      <w:tr w:rsidR="00000000" w:rsidRPr="00467DB0" w14:paraId="6C20F248" w14:textId="77777777" w:rsidTr="00467DB0">
        <w:trPr>
          <w:trHeight w:val="380"/>
        </w:trPr>
        <w:tc>
          <w:tcPr>
            <w:tcW w:w="4600" w:type="dxa"/>
          </w:tcPr>
          <w:p w14:paraId="31D134E9" w14:textId="77777777" w:rsidR="00000000" w:rsidRPr="00467DB0" w:rsidRDefault="00693D67" w:rsidP="00467DB0">
            <w:r w:rsidRPr="00467DB0">
              <w:rPr>
                <w:rStyle w:val="kursiv"/>
              </w:rPr>
              <w:t>Formann</w:t>
            </w:r>
          </w:p>
        </w:tc>
        <w:tc>
          <w:tcPr>
            <w:tcW w:w="4600" w:type="dxa"/>
          </w:tcPr>
          <w:p w14:paraId="41E793E1" w14:textId="77777777" w:rsidR="00000000" w:rsidRPr="00467DB0" w:rsidRDefault="00693D67" w:rsidP="00467DB0">
            <w:r w:rsidRPr="00467DB0">
              <w:rPr>
                <w:rStyle w:val="kursiv"/>
              </w:rPr>
              <w:t>sekretærer</w:t>
            </w:r>
          </w:p>
        </w:tc>
      </w:tr>
      <w:tr w:rsidR="00000000" w:rsidRPr="00467DB0" w14:paraId="71FD2532" w14:textId="77777777" w:rsidTr="00467DB0">
        <w:trPr>
          <w:trHeight w:val="380"/>
        </w:trPr>
        <w:tc>
          <w:tcPr>
            <w:tcW w:w="4600" w:type="dxa"/>
          </w:tcPr>
          <w:p w14:paraId="46FBA24D" w14:textId="77777777" w:rsidR="00000000" w:rsidRPr="00467DB0" w:rsidRDefault="00693D67" w:rsidP="00467DB0">
            <w:r w:rsidRPr="00467DB0">
              <w:t>[…]</w:t>
            </w:r>
          </w:p>
        </w:tc>
        <w:tc>
          <w:tcPr>
            <w:tcW w:w="4600" w:type="dxa"/>
          </w:tcPr>
          <w:p w14:paraId="3E8E3E69" w14:textId="77777777" w:rsidR="00000000" w:rsidRPr="00467DB0" w:rsidRDefault="00693D67" w:rsidP="00467DB0">
            <w:r w:rsidRPr="00467DB0">
              <w:t>[…]</w:t>
            </w:r>
          </w:p>
        </w:tc>
      </w:tr>
      <w:tr w:rsidR="00000000" w:rsidRPr="00467DB0" w14:paraId="445D1055" w14:textId="77777777" w:rsidTr="00467DB0">
        <w:trPr>
          <w:trHeight w:val="380"/>
        </w:trPr>
        <w:tc>
          <w:tcPr>
            <w:tcW w:w="4600" w:type="dxa"/>
          </w:tcPr>
          <w:p w14:paraId="1788F450" w14:textId="77777777" w:rsidR="00000000" w:rsidRPr="00467DB0" w:rsidRDefault="00693D67" w:rsidP="00467DB0"/>
        </w:tc>
        <w:tc>
          <w:tcPr>
            <w:tcW w:w="4600" w:type="dxa"/>
          </w:tcPr>
          <w:p w14:paraId="7C11725B" w14:textId="77777777" w:rsidR="00000000" w:rsidRPr="00467DB0" w:rsidRDefault="00693D67" w:rsidP="00467DB0"/>
        </w:tc>
      </w:tr>
    </w:tbl>
    <w:p w14:paraId="41486FB6" w14:textId="77777777" w:rsidR="00000000" w:rsidRPr="00467DB0" w:rsidRDefault="00693D67" w:rsidP="00467DB0"/>
    <w:p w14:paraId="12F26300" w14:textId="77777777" w:rsidR="00000000" w:rsidRPr="00467DB0" w:rsidRDefault="00693D67" w:rsidP="00467DB0"/>
    <w:p w14:paraId="77CCAE38" w14:textId="77777777" w:rsidR="00000000" w:rsidRPr="00467DB0" w:rsidRDefault="00693D67" w:rsidP="00467DB0">
      <w:pPr>
        <w:pStyle w:val="vedlegg-nr"/>
      </w:pPr>
    </w:p>
    <w:p w14:paraId="02449588" w14:textId="77777777" w:rsidR="00000000" w:rsidRPr="00467DB0" w:rsidRDefault="00693D67" w:rsidP="00467DB0">
      <w:pPr>
        <w:pStyle w:val="vedlegg-tit"/>
      </w:pPr>
      <w:r w:rsidRPr="00467DB0">
        <w:t xml:space="preserve">Europa-parlamentets og rådets forordning </w:t>
      </w:r>
      <w:proofErr w:type="spellStart"/>
      <w:r w:rsidRPr="00467DB0">
        <w:t>af</w:t>
      </w:r>
      <w:proofErr w:type="spellEnd"/>
      <w:r w:rsidRPr="00467DB0">
        <w:t xml:space="preserve"> … om </w:t>
      </w:r>
      <w:proofErr w:type="spellStart"/>
      <w:r w:rsidRPr="00467DB0">
        <w:t>oprettelse</w:t>
      </w:r>
      <w:proofErr w:type="spellEnd"/>
      <w:r w:rsidRPr="00467DB0">
        <w:t xml:space="preserve"> </w:t>
      </w:r>
      <w:proofErr w:type="spellStart"/>
      <w:r w:rsidRPr="00467DB0">
        <w:t>af</w:t>
      </w:r>
      <w:proofErr w:type="spellEnd"/>
      <w:r w:rsidRPr="00467DB0">
        <w:t xml:space="preserve"> Unionens </w:t>
      </w:r>
      <w:proofErr w:type="spellStart"/>
      <w:r w:rsidRPr="00467DB0">
        <w:t>rumprogram</w:t>
      </w:r>
      <w:proofErr w:type="spellEnd"/>
      <w:r w:rsidRPr="00467DB0">
        <w:t xml:space="preserve"> og Den </w:t>
      </w:r>
      <w:proofErr w:type="spellStart"/>
      <w:r w:rsidRPr="00467DB0">
        <w:t>Europæiske</w:t>
      </w:r>
      <w:proofErr w:type="spellEnd"/>
      <w:r w:rsidRPr="00467DB0">
        <w:t xml:space="preserve"> Unions Agentur for </w:t>
      </w:r>
      <w:proofErr w:type="spellStart"/>
      <w:r w:rsidRPr="00467DB0">
        <w:t>Rumprogrammet</w:t>
      </w:r>
      <w:proofErr w:type="spellEnd"/>
      <w:r w:rsidRPr="00467DB0">
        <w:t xml:space="preserve"> og om </w:t>
      </w:r>
      <w:proofErr w:type="spellStart"/>
      <w:r w:rsidRPr="00467DB0">
        <w:t>ophævelse</w:t>
      </w:r>
      <w:proofErr w:type="spellEnd"/>
      <w:r w:rsidRPr="00467DB0">
        <w:t xml:space="preserve"> </w:t>
      </w:r>
      <w:r w:rsidRPr="00467DB0">
        <w:br/>
      </w:r>
      <w:proofErr w:type="spellStart"/>
      <w:r w:rsidRPr="00467DB0">
        <w:t>af</w:t>
      </w:r>
      <w:proofErr w:type="spellEnd"/>
      <w:r w:rsidRPr="00467DB0">
        <w:t xml:space="preserve"> forordning (EU) nr. 912/2010, (EU) nr. 1285/2013 og </w:t>
      </w:r>
      <w:r w:rsidRPr="00467DB0">
        <w:br/>
        <w:t xml:space="preserve">(EU) nr. 377/2014 og </w:t>
      </w:r>
      <w:proofErr w:type="spellStart"/>
      <w:r w:rsidRPr="00467DB0">
        <w:t>afgørelse</w:t>
      </w:r>
      <w:proofErr w:type="spellEnd"/>
      <w:r w:rsidRPr="00467DB0">
        <w:t xml:space="preserve"> nr. 541/2014/EU</w:t>
      </w:r>
    </w:p>
    <w:p w14:paraId="1C292733" w14:textId="77777777" w:rsidR="00000000" w:rsidRPr="00467DB0" w:rsidRDefault="00693D67" w:rsidP="00467DB0">
      <w:r w:rsidRPr="00467DB0">
        <w:t>EU</w:t>
      </w:r>
      <w:r w:rsidRPr="00467DB0">
        <w:t>ROPA-PARLAMENTET OG RÅDET FOR DEN EUROPÆISKE UNION HAR —</w:t>
      </w:r>
    </w:p>
    <w:p w14:paraId="71D18A1F" w14:textId="77777777" w:rsidR="00000000" w:rsidRPr="00467DB0" w:rsidRDefault="00693D67" w:rsidP="00467DB0">
      <w:r w:rsidRPr="00467DB0">
        <w:t xml:space="preserve">under henvisning til traktaten om Den </w:t>
      </w:r>
      <w:proofErr w:type="spellStart"/>
      <w:r w:rsidRPr="00467DB0">
        <w:t>Europæiske</w:t>
      </w:r>
      <w:proofErr w:type="spellEnd"/>
      <w:r w:rsidRPr="00467DB0">
        <w:t xml:space="preserve"> Unions </w:t>
      </w:r>
      <w:proofErr w:type="spellStart"/>
      <w:r w:rsidRPr="00467DB0">
        <w:t>funktionsmåde</w:t>
      </w:r>
      <w:proofErr w:type="spellEnd"/>
      <w:r w:rsidRPr="00467DB0">
        <w:t xml:space="preserve">, særlig </w:t>
      </w:r>
      <w:proofErr w:type="spellStart"/>
      <w:r w:rsidRPr="00467DB0">
        <w:t>artikel</w:t>
      </w:r>
      <w:proofErr w:type="spellEnd"/>
      <w:r w:rsidRPr="00467DB0">
        <w:t xml:space="preserve"> 189, stk. 2,</w:t>
      </w:r>
    </w:p>
    <w:p w14:paraId="0EACB9C1" w14:textId="77777777" w:rsidR="00000000" w:rsidRPr="00467DB0" w:rsidRDefault="00693D67" w:rsidP="00467DB0">
      <w:r w:rsidRPr="00467DB0">
        <w:t>under henvisning til forslag fra Europa-</w:t>
      </w:r>
      <w:proofErr w:type="spellStart"/>
      <w:r w:rsidRPr="00467DB0">
        <w:t>Kommissionen</w:t>
      </w:r>
      <w:proofErr w:type="spellEnd"/>
      <w:r w:rsidRPr="00467DB0">
        <w:t>,</w:t>
      </w:r>
    </w:p>
    <w:p w14:paraId="135EE992" w14:textId="77777777" w:rsidR="00000000" w:rsidRPr="00467DB0" w:rsidRDefault="00693D67" w:rsidP="00467DB0">
      <w:r w:rsidRPr="00467DB0">
        <w:t xml:space="preserve">efter fremsendelse </w:t>
      </w:r>
      <w:proofErr w:type="spellStart"/>
      <w:r w:rsidRPr="00467DB0">
        <w:t>af</w:t>
      </w:r>
      <w:proofErr w:type="spellEnd"/>
      <w:r w:rsidRPr="00467DB0">
        <w:t xml:space="preserve"> </w:t>
      </w:r>
      <w:proofErr w:type="spellStart"/>
      <w:r w:rsidRPr="00467DB0">
        <w:t>udkast</w:t>
      </w:r>
      <w:proofErr w:type="spellEnd"/>
      <w:r w:rsidRPr="00467DB0">
        <w:t xml:space="preserve"> til </w:t>
      </w:r>
      <w:proofErr w:type="spellStart"/>
      <w:r w:rsidRPr="00467DB0">
        <w:t>lovgivningsmæ</w:t>
      </w:r>
      <w:r w:rsidRPr="00467DB0">
        <w:t>ssig</w:t>
      </w:r>
      <w:proofErr w:type="spellEnd"/>
      <w:r w:rsidRPr="00467DB0">
        <w:t xml:space="preserve"> </w:t>
      </w:r>
      <w:proofErr w:type="spellStart"/>
      <w:r w:rsidRPr="00467DB0">
        <w:t>retsakt</w:t>
      </w:r>
      <w:proofErr w:type="spellEnd"/>
      <w:r w:rsidRPr="00467DB0">
        <w:t xml:space="preserve"> til de </w:t>
      </w:r>
      <w:proofErr w:type="spellStart"/>
      <w:r w:rsidRPr="00467DB0">
        <w:t>nationale</w:t>
      </w:r>
      <w:proofErr w:type="spellEnd"/>
      <w:r w:rsidRPr="00467DB0">
        <w:t xml:space="preserve"> parlamenter,</w:t>
      </w:r>
    </w:p>
    <w:p w14:paraId="3B335251" w14:textId="77777777" w:rsidR="00000000" w:rsidRPr="00467DB0" w:rsidRDefault="00693D67" w:rsidP="00467DB0">
      <w:r w:rsidRPr="00467DB0">
        <w:t xml:space="preserve">efter den </w:t>
      </w:r>
      <w:proofErr w:type="spellStart"/>
      <w:r w:rsidRPr="00467DB0">
        <w:t>almindelige</w:t>
      </w:r>
      <w:proofErr w:type="spellEnd"/>
      <w:r w:rsidRPr="00467DB0">
        <w:t xml:space="preserve"> </w:t>
      </w:r>
      <w:proofErr w:type="spellStart"/>
      <w:r w:rsidRPr="00467DB0">
        <w:t>lovgivningsprocedure</w:t>
      </w:r>
      <w:proofErr w:type="spellEnd"/>
      <w:r w:rsidRPr="00467DB0">
        <w:rPr>
          <w:rStyle w:val="Fotnotereferanse"/>
        </w:rPr>
        <w:footnoteReference w:id="4"/>
      </w:r>
      <w:r w:rsidRPr="00467DB0">
        <w:t>, og</w:t>
      </w:r>
    </w:p>
    <w:p w14:paraId="3AE9C3D2" w14:textId="77777777" w:rsidR="00000000" w:rsidRPr="00467DB0" w:rsidRDefault="00693D67" w:rsidP="00467DB0">
      <w:proofErr w:type="spellStart"/>
      <w:r w:rsidRPr="00467DB0">
        <w:t>ud</w:t>
      </w:r>
      <w:proofErr w:type="spellEnd"/>
      <w:r w:rsidRPr="00467DB0">
        <w:t xml:space="preserve"> fra følgende </w:t>
      </w:r>
      <w:proofErr w:type="spellStart"/>
      <w:r w:rsidRPr="00467DB0">
        <w:t>betragtninger</w:t>
      </w:r>
      <w:proofErr w:type="spellEnd"/>
      <w:r w:rsidRPr="00467DB0">
        <w:t>:</w:t>
      </w:r>
    </w:p>
    <w:p w14:paraId="350A1353" w14:textId="77777777" w:rsidR="00000000" w:rsidRPr="00467DB0" w:rsidRDefault="00693D67" w:rsidP="00467DB0">
      <w:pPr>
        <w:pStyle w:val="friliste"/>
      </w:pPr>
      <w:r w:rsidRPr="00467DB0">
        <w:lastRenderedPageBreak/>
        <w:t>(1)</w:t>
      </w:r>
      <w:r w:rsidRPr="00467DB0">
        <w:tab/>
      </w:r>
      <w:proofErr w:type="spellStart"/>
      <w:r w:rsidRPr="00467DB0">
        <w:t>Rumteknologi</w:t>
      </w:r>
      <w:proofErr w:type="spellEnd"/>
      <w:r w:rsidRPr="00467DB0">
        <w:t xml:space="preserve">, -data og -tjenester er </w:t>
      </w:r>
      <w:proofErr w:type="spellStart"/>
      <w:r w:rsidRPr="00467DB0">
        <w:t>blevet</w:t>
      </w:r>
      <w:proofErr w:type="spellEnd"/>
      <w:r w:rsidRPr="00467DB0">
        <w:t xml:space="preserve"> </w:t>
      </w:r>
      <w:proofErr w:type="spellStart"/>
      <w:r w:rsidRPr="00467DB0">
        <w:t>uundværlige</w:t>
      </w:r>
      <w:proofErr w:type="spellEnd"/>
      <w:r w:rsidRPr="00467DB0">
        <w:t xml:space="preserve"> i </w:t>
      </w:r>
      <w:proofErr w:type="spellStart"/>
      <w:r w:rsidRPr="00467DB0">
        <w:t>europæernes</w:t>
      </w:r>
      <w:proofErr w:type="spellEnd"/>
      <w:r w:rsidRPr="00467DB0">
        <w:t xml:space="preserve"> hverdag og spiller en </w:t>
      </w:r>
      <w:proofErr w:type="spellStart"/>
      <w:r w:rsidRPr="00467DB0">
        <w:t>afgørende</w:t>
      </w:r>
      <w:proofErr w:type="spellEnd"/>
      <w:r w:rsidRPr="00467DB0">
        <w:t xml:space="preserve"> rolle, når det </w:t>
      </w:r>
      <w:proofErr w:type="spellStart"/>
      <w:r w:rsidRPr="00467DB0">
        <w:t>gælder</w:t>
      </w:r>
      <w:proofErr w:type="spellEnd"/>
      <w:r w:rsidRPr="00467DB0">
        <w:t xml:space="preserve"> om at bevare mange strategiske interess</w:t>
      </w:r>
      <w:r w:rsidRPr="00467DB0">
        <w:t xml:space="preserve">er. Unionens </w:t>
      </w:r>
      <w:proofErr w:type="spellStart"/>
      <w:r w:rsidRPr="00467DB0">
        <w:t>rumindustri</w:t>
      </w:r>
      <w:proofErr w:type="spellEnd"/>
      <w:r w:rsidRPr="00467DB0">
        <w:t xml:space="preserve"> er allerede en </w:t>
      </w:r>
      <w:proofErr w:type="spellStart"/>
      <w:r w:rsidRPr="00467DB0">
        <w:t>af</w:t>
      </w:r>
      <w:proofErr w:type="spellEnd"/>
      <w:r w:rsidRPr="00467DB0">
        <w:t xml:space="preserve"> de mest </w:t>
      </w:r>
      <w:proofErr w:type="spellStart"/>
      <w:r w:rsidRPr="00467DB0">
        <w:t>konkurrencedygtige</w:t>
      </w:r>
      <w:proofErr w:type="spellEnd"/>
      <w:r w:rsidRPr="00467DB0">
        <w:t xml:space="preserve"> i verden. Nye aktører og </w:t>
      </w:r>
      <w:proofErr w:type="spellStart"/>
      <w:r w:rsidRPr="00467DB0">
        <w:t>udviklingen</w:t>
      </w:r>
      <w:proofErr w:type="spellEnd"/>
      <w:r w:rsidRPr="00467DB0">
        <w:t xml:space="preserve"> </w:t>
      </w:r>
      <w:proofErr w:type="spellStart"/>
      <w:r w:rsidRPr="00467DB0">
        <w:t>af</w:t>
      </w:r>
      <w:proofErr w:type="spellEnd"/>
      <w:r w:rsidRPr="00467DB0">
        <w:t xml:space="preserve"> nye teknologier </w:t>
      </w:r>
      <w:proofErr w:type="spellStart"/>
      <w:r w:rsidRPr="00467DB0">
        <w:t>revolutionerer</w:t>
      </w:r>
      <w:proofErr w:type="spellEnd"/>
      <w:r w:rsidRPr="00467DB0">
        <w:t xml:space="preserve"> imidlertid de </w:t>
      </w:r>
      <w:proofErr w:type="spellStart"/>
      <w:r w:rsidRPr="00467DB0">
        <w:t>traditionelle</w:t>
      </w:r>
      <w:proofErr w:type="spellEnd"/>
      <w:r w:rsidRPr="00467DB0">
        <w:t xml:space="preserve"> industrimodeller. For at Unionen kan forblive en førende </w:t>
      </w:r>
      <w:proofErr w:type="spellStart"/>
      <w:r w:rsidRPr="00467DB0">
        <w:t>international</w:t>
      </w:r>
      <w:proofErr w:type="spellEnd"/>
      <w:r w:rsidRPr="00467DB0">
        <w:t xml:space="preserve"> spiller med stor</w:t>
      </w:r>
      <w:r w:rsidRPr="00467DB0">
        <w:t xml:space="preserve"> </w:t>
      </w:r>
      <w:proofErr w:type="spellStart"/>
      <w:r w:rsidRPr="00467DB0">
        <w:t>handlefrihed</w:t>
      </w:r>
      <w:proofErr w:type="spellEnd"/>
      <w:r w:rsidRPr="00467DB0">
        <w:t xml:space="preserve"> på </w:t>
      </w:r>
      <w:proofErr w:type="spellStart"/>
      <w:r w:rsidRPr="00467DB0">
        <w:t>rumområdet</w:t>
      </w:r>
      <w:proofErr w:type="spellEnd"/>
      <w:r w:rsidRPr="00467DB0">
        <w:t xml:space="preserve">, er det derfor </w:t>
      </w:r>
      <w:proofErr w:type="spellStart"/>
      <w:r w:rsidRPr="00467DB0">
        <w:t>afgørende</w:t>
      </w:r>
      <w:proofErr w:type="spellEnd"/>
      <w:r w:rsidRPr="00467DB0">
        <w:t xml:space="preserve">, at den stimulerer den </w:t>
      </w:r>
      <w:proofErr w:type="spellStart"/>
      <w:r w:rsidRPr="00467DB0">
        <w:t>videnskabelige</w:t>
      </w:r>
      <w:proofErr w:type="spellEnd"/>
      <w:r w:rsidRPr="00467DB0">
        <w:t xml:space="preserve"> og tekniske </w:t>
      </w:r>
      <w:proofErr w:type="spellStart"/>
      <w:r w:rsidRPr="00467DB0">
        <w:t>udvikling</w:t>
      </w:r>
      <w:proofErr w:type="spellEnd"/>
      <w:r w:rsidRPr="00467DB0">
        <w:t xml:space="preserve"> og fremmer </w:t>
      </w:r>
      <w:proofErr w:type="spellStart"/>
      <w:r w:rsidRPr="00467DB0">
        <w:t>rumsektorindustriens</w:t>
      </w:r>
      <w:proofErr w:type="spellEnd"/>
      <w:r w:rsidRPr="00467DB0">
        <w:t xml:space="preserve"> </w:t>
      </w:r>
      <w:proofErr w:type="spellStart"/>
      <w:r w:rsidRPr="00467DB0">
        <w:t>konkurrencedygtighed</w:t>
      </w:r>
      <w:proofErr w:type="spellEnd"/>
      <w:r w:rsidRPr="00467DB0">
        <w:t xml:space="preserve"> og </w:t>
      </w:r>
      <w:proofErr w:type="spellStart"/>
      <w:r w:rsidRPr="00467DB0">
        <w:t>innovationskapacitet</w:t>
      </w:r>
      <w:proofErr w:type="spellEnd"/>
      <w:r w:rsidRPr="00467DB0">
        <w:t xml:space="preserve"> </w:t>
      </w:r>
      <w:proofErr w:type="spellStart"/>
      <w:r w:rsidRPr="00467DB0">
        <w:t>inden</w:t>
      </w:r>
      <w:proofErr w:type="spellEnd"/>
      <w:r w:rsidRPr="00467DB0">
        <w:t xml:space="preserve"> for Unionen, navnlig små og </w:t>
      </w:r>
      <w:proofErr w:type="spellStart"/>
      <w:r w:rsidRPr="00467DB0">
        <w:t>mellemstore</w:t>
      </w:r>
      <w:proofErr w:type="spellEnd"/>
      <w:r w:rsidRPr="00467DB0">
        <w:t xml:space="preserve"> </w:t>
      </w:r>
      <w:proofErr w:type="spellStart"/>
      <w:r w:rsidRPr="00467DB0">
        <w:t>virksomheder</w:t>
      </w:r>
      <w:proofErr w:type="spellEnd"/>
      <w:r w:rsidRPr="00467DB0">
        <w:t xml:space="preserve"> (</w:t>
      </w:r>
      <w:proofErr w:type="spellStart"/>
      <w:r w:rsidRPr="00467DB0">
        <w:t>SMV'er</w:t>
      </w:r>
      <w:proofErr w:type="spellEnd"/>
      <w:r w:rsidRPr="00467DB0">
        <w:t xml:space="preserve">), </w:t>
      </w:r>
      <w:proofErr w:type="spellStart"/>
      <w:r w:rsidRPr="00467DB0">
        <w:t>nyetablerede</w:t>
      </w:r>
      <w:proofErr w:type="spellEnd"/>
      <w:r w:rsidRPr="00467DB0">
        <w:t xml:space="preserve"> </w:t>
      </w:r>
      <w:proofErr w:type="spellStart"/>
      <w:r w:rsidRPr="00467DB0">
        <w:t>virksomheder</w:t>
      </w:r>
      <w:proofErr w:type="spellEnd"/>
      <w:r w:rsidRPr="00467DB0">
        <w:t xml:space="preserve"> og innovative </w:t>
      </w:r>
      <w:proofErr w:type="spellStart"/>
      <w:r w:rsidRPr="00467DB0">
        <w:t>virksomheder</w:t>
      </w:r>
      <w:proofErr w:type="spellEnd"/>
      <w:r w:rsidRPr="00467DB0">
        <w:t>.</w:t>
      </w:r>
    </w:p>
    <w:p w14:paraId="5E942E4B" w14:textId="77777777" w:rsidR="00000000" w:rsidRPr="00467DB0" w:rsidRDefault="00693D67" w:rsidP="00467DB0">
      <w:pPr>
        <w:pStyle w:val="friliste"/>
      </w:pPr>
      <w:r w:rsidRPr="00467DB0">
        <w:t>(2)</w:t>
      </w:r>
      <w:r w:rsidRPr="00467DB0">
        <w:tab/>
        <w:t xml:space="preserve">De </w:t>
      </w:r>
      <w:proofErr w:type="spellStart"/>
      <w:r w:rsidRPr="00467DB0">
        <w:t>muligheder</w:t>
      </w:r>
      <w:proofErr w:type="spellEnd"/>
      <w:r w:rsidRPr="00467DB0">
        <w:t xml:space="preserve">, som </w:t>
      </w:r>
      <w:proofErr w:type="spellStart"/>
      <w:r w:rsidRPr="00467DB0">
        <w:t>rummet</w:t>
      </w:r>
      <w:proofErr w:type="spellEnd"/>
      <w:r w:rsidRPr="00467DB0">
        <w:t xml:space="preserve"> giver, når det </w:t>
      </w:r>
      <w:proofErr w:type="spellStart"/>
      <w:r w:rsidRPr="00467DB0">
        <w:t>gælder</w:t>
      </w:r>
      <w:proofErr w:type="spellEnd"/>
      <w:r w:rsidRPr="00467DB0">
        <w:t xml:space="preserve"> </w:t>
      </w:r>
      <w:proofErr w:type="spellStart"/>
      <w:r w:rsidRPr="00467DB0">
        <w:t>sikkerheden</w:t>
      </w:r>
      <w:proofErr w:type="spellEnd"/>
      <w:r w:rsidRPr="00467DB0">
        <w:t xml:space="preserve"> for Unionen og dens medlemsstater, bør </w:t>
      </w:r>
      <w:proofErr w:type="spellStart"/>
      <w:r w:rsidRPr="00467DB0">
        <w:t>udnyttes</w:t>
      </w:r>
      <w:proofErr w:type="spellEnd"/>
      <w:r w:rsidRPr="00467DB0">
        <w:t xml:space="preserve">, </w:t>
      </w:r>
      <w:proofErr w:type="gramStart"/>
      <w:r w:rsidRPr="00467DB0">
        <w:t>således</w:t>
      </w:r>
      <w:proofErr w:type="gramEnd"/>
      <w:r w:rsidRPr="00467DB0">
        <w:t xml:space="preserve"> som det navnlig fremgår</w:t>
      </w:r>
      <w:r w:rsidRPr="00467DB0">
        <w:t xml:space="preserve"> </w:t>
      </w:r>
      <w:proofErr w:type="spellStart"/>
      <w:r w:rsidRPr="00467DB0">
        <w:t>af</w:t>
      </w:r>
      <w:proofErr w:type="spellEnd"/>
      <w:r w:rsidRPr="00467DB0">
        <w:t xml:space="preserve"> den globale strategi for Den </w:t>
      </w:r>
      <w:proofErr w:type="spellStart"/>
      <w:r w:rsidRPr="00467DB0">
        <w:t>Europæiske</w:t>
      </w:r>
      <w:proofErr w:type="spellEnd"/>
      <w:r w:rsidRPr="00467DB0">
        <w:t xml:space="preserve"> Unions </w:t>
      </w:r>
      <w:proofErr w:type="spellStart"/>
      <w:r w:rsidRPr="00467DB0">
        <w:t>udenrigs</w:t>
      </w:r>
      <w:proofErr w:type="spellEnd"/>
      <w:r w:rsidRPr="00467DB0">
        <w:t xml:space="preserve">- og </w:t>
      </w:r>
      <w:proofErr w:type="spellStart"/>
      <w:r w:rsidRPr="00467DB0">
        <w:t>sikkerhedspolitik</w:t>
      </w:r>
      <w:proofErr w:type="spellEnd"/>
      <w:r w:rsidRPr="00467DB0">
        <w:t xml:space="preserve"> fra juni 2016, samtidig med at den </w:t>
      </w:r>
      <w:proofErr w:type="spellStart"/>
      <w:r w:rsidRPr="00467DB0">
        <w:t>civile</w:t>
      </w:r>
      <w:proofErr w:type="spellEnd"/>
      <w:r w:rsidRPr="00467DB0">
        <w:t xml:space="preserve"> karakter </w:t>
      </w:r>
      <w:proofErr w:type="spellStart"/>
      <w:r w:rsidRPr="00467DB0">
        <w:t>af</w:t>
      </w:r>
      <w:proofErr w:type="spellEnd"/>
      <w:r w:rsidRPr="00467DB0">
        <w:t xml:space="preserve"> Unionens </w:t>
      </w:r>
      <w:proofErr w:type="spellStart"/>
      <w:r w:rsidRPr="00467DB0">
        <w:t>rumprogram</w:t>
      </w:r>
      <w:proofErr w:type="spellEnd"/>
      <w:r w:rsidRPr="00467DB0">
        <w:t xml:space="preserve"> ("programmet") bevares, og de eventuelle bestemmelser om </w:t>
      </w:r>
      <w:proofErr w:type="spellStart"/>
      <w:r w:rsidRPr="00467DB0">
        <w:t>neutralitet</w:t>
      </w:r>
      <w:proofErr w:type="spellEnd"/>
      <w:r w:rsidRPr="00467DB0">
        <w:t xml:space="preserve"> og </w:t>
      </w:r>
      <w:proofErr w:type="spellStart"/>
      <w:r w:rsidRPr="00467DB0">
        <w:t>alliancefrihed</w:t>
      </w:r>
      <w:proofErr w:type="spellEnd"/>
      <w:r w:rsidRPr="00467DB0">
        <w:t xml:space="preserve">, der er </w:t>
      </w:r>
      <w:proofErr w:type="spellStart"/>
      <w:r w:rsidRPr="00467DB0">
        <w:t>fasts</w:t>
      </w:r>
      <w:r w:rsidRPr="00467DB0">
        <w:t>at</w:t>
      </w:r>
      <w:proofErr w:type="spellEnd"/>
      <w:r w:rsidRPr="00467DB0">
        <w:t xml:space="preserve"> i </w:t>
      </w:r>
      <w:proofErr w:type="spellStart"/>
      <w:r w:rsidRPr="00467DB0">
        <w:t>medlemsstaternes</w:t>
      </w:r>
      <w:proofErr w:type="spellEnd"/>
      <w:r w:rsidRPr="00467DB0">
        <w:t xml:space="preserve"> </w:t>
      </w:r>
      <w:proofErr w:type="spellStart"/>
      <w:r w:rsidRPr="00467DB0">
        <w:t>forfatningsret</w:t>
      </w:r>
      <w:proofErr w:type="spellEnd"/>
      <w:r w:rsidRPr="00467DB0">
        <w:t xml:space="preserve">, respekteres. Historisk </w:t>
      </w:r>
      <w:proofErr w:type="spellStart"/>
      <w:r w:rsidRPr="00467DB0">
        <w:t>set</w:t>
      </w:r>
      <w:proofErr w:type="spellEnd"/>
      <w:r w:rsidRPr="00467DB0">
        <w:t xml:space="preserve"> har </w:t>
      </w:r>
      <w:proofErr w:type="spellStart"/>
      <w:r w:rsidRPr="00467DB0">
        <w:t>udviklingen</w:t>
      </w:r>
      <w:proofErr w:type="spellEnd"/>
      <w:r w:rsidRPr="00467DB0">
        <w:t xml:space="preserve"> i </w:t>
      </w:r>
      <w:proofErr w:type="spellStart"/>
      <w:r w:rsidRPr="00467DB0">
        <w:t>rumsektoren</w:t>
      </w:r>
      <w:proofErr w:type="spellEnd"/>
      <w:r w:rsidRPr="00467DB0">
        <w:t xml:space="preserve"> </w:t>
      </w:r>
      <w:proofErr w:type="spellStart"/>
      <w:r w:rsidRPr="00467DB0">
        <w:t>været</w:t>
      </w:r>
      <w:proofErr w:type="spellEnd"/>
      <w:r w:rsidRPr="00467DB0">
        <w:t xml:space="preserve"> knyttet til </w:t>
      </w:r>
      <w:proofErr w:type="spellStart"/>
      <w:r w:rsidRPr="00467DB0">
        <w:t>sikkerhed</w:t>
      </w:r>
      <w:proofErr w:type="spellEnd"/>
      <w:r w:rsidRPr="00467DB0">
        <w:t xml:space="preserve">. I mange </w:t>
      </w:r>
      <w:proofErr w:type="spellStart"/>
      <w:r w:rsidRPr="00467DB0">
        <w:t>tilfælde</w:t>
      </w:r>
      <w:proofErr w:type="spellEnd"/>
      <w:r w:rsidRPr="00467DB0">
        <w:t xml:space="preserve"> tjener det </w:t>
      </w:r>
      <w:proofErr w:type="spellStart"/>
      <w:r w:rsidRPr="00467DB0">
        <w:t>udstyr</w:t>
      </w:r>
      <w:proofErr w:type="spellEnd"/>
      <w:r w:rsidRPr="00467DB0">
        <w:t xml:space="preserve"> og de komponenter og instrumenter, der anvendes i </w:t>
      </w:r>
      <w:proofErr w:type="spellStart"/>
      <w:r w:rsidRPr="00467DB0">
        <w:t>rumsektoren</w:t>
      </w:r>
      <w:proofErr w:type="spellEnd"/>
      <w:r w:rsidRPr="00467DB0">
        <w:t xml:space="preserve">, samt </w:t>
      </w:r>
      <w:proofErr w:type="spellStart"/>
      <w:r w:rsidRPr="00467DB0">
        <w:t>rumdata</w:t>
      </w:r>
      <w:proofErr w:type="spellEnd"/>
      <w:r w:rsidRPr="00467DB0">
        <w:t xml:space="preserve"> og -tjenester et dobb</w:t>
      </w:r>
      <w:r w:rsidRPr="00467DB0">
        <w:t xml:space="preserve">elt formål. Unionens </w:t>
      </w:r>
      <w:proofErr w:type="spellStart"/>
      <w:r w:rsidRPr="00467DB0">
        <w:t>sikkerheds</w:t>
      </w:r>
      <w:proofErr w:type="spellEnd"/>
      <w:r w:rsidRPr="00467DB0">
        <w:t xml:space="preserve">- og </w:t>
      </w:r>
      <w:proofErr w:type="spellStart"/>
      <w:r w:rsidRPr="00467DB0">
        <w:t>forsvarspolitik</w:t>
      </w:r>
      <w:proofErr w:type="spellEnd"/>
      <w:r w:rsidRPr="00467DB0">
        <w:t xml:space="preserve"> </w:t>
      </w:r>
      <w:proofErr w:type="spellStart"/>
      <w:r w:rsidRPr="00467DB0">
        <w:t>fastlægges</w:t>
      </w:r>
      <w:proofErr w:type="spellEnd"/>
      <w:r w:rsidRPr="00467DB0">
        <w:t xml:space="preserve"> imidlertid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den </w:t>
      </w:r>
      <w:proofErr w:type="spellStart"/>
      <w:r w:rsidRPr="00467DB0">
        <w:t>fælles</w:t>
      </w:r>
      <w:proofErr w:type="spellEnd"/>
      <w:r w:rsidRPr="00467DB0">
        <w:t xml:space="preserve"> </w:t>
      </w:r>
      <w:proofErr w:type="spellStart"/>
      <w:r w:rsidRPr="00467DB0">
        <w:t>udenrigs</w:t>
      </w:r>
      <w:proofErr w:type="spellEnd"/>
      <w:r w:rsidRPr="00467DB0">
        <w:t xml:space="preserve">- og </w:t>
      </w:r>
      <w:proofErr w:type="spellStart"/>
      <w:r w:rsidRPr="00467DB0">
        <w:t>sikkerhedspolitik</w:t>
      </w:r>
      <w:proofErr w:type="spellEnd"/>
      <w:r w:rsidRPr="00467DB0">
        <w:t xml:space="preserve"> i overensstemmelse med </w:t>
      </w:r>
      <w:proofErr w:type="spellStart"/>
      <w:r w:rsidRPr="00467DB0">
        <w:t>afsnit</w:t>
      </w:r>
      <w:proofErr w:type="spellEnd"/>
      <w:r w:rsidRPr="00467DB0">
        <w:t xml:space="preserve"> V i traktaten om Den </w:t>
      </w:r>
      <w:proofErr w:type="spellStart"/>
      <w:r w:rsidRPr="00467DB0">
        <w:t>Europæiske</w:t>
      </w:r>
      <w:proofErr w:type="spellEnd"/>
      <w:r w:rsidRPr="00467DB0">
        <w:t xml:space="preserve"> Union (TEU).</w:t>
      </w:r>
    </w:p>
    <w:p w14:paraId="75C0D699" w14:textId="77777777" w:rsidR="00000000" w:rsidRPr="00467DB0" w:rsidRDefault="00693D67" w:rsidP="00467DB0">
      <w:pPr>
        <w:pStyle w:val="friliste"/>
      </w:pPr>
      <w:r w:rsidRPr="00467DB0">
        <w:t>(3)</w:t>
      </w:r>
      <w:r w:rsidRPr="00467DB0">
        <w:tab/>
        <w:t xml:space="preserve">Unionen har </w:t>
      </w:r>
      <w:proofErr w:type="spellStart"/>
      <w:r w:rsidRPr="00467DB0">
        <w:t>udviklet</w:t>
      </w:r>
      <w:proofErr w:type="spellEnd"/>
      <w:r w:rsidRPr="00467DB0">
        <w:t xml:space="preserve"> sine egne </w:t>
      </w:r>
      <w:proofErr w:type="spellStart"/>
      <w:r w:rsidRPr="00467DB0">
        <w:t>ruminiti</w:t>
      </w:r>
      <w:r w:rsidRPr="00467DB0">
        <w:t>ativer</w:t>
      </w:r>
      <w:proofErr w:type="spellEnd"/>
      <w:r w:rsidRPr="00467DB0">
        <w:t xml:space="preserve"> og -programmer siden slutningen </w:t>
      </w:r>
      <w:proofErr w:type="spellStart"/>
      <w:r w:rsidRPr="00467DB0">
        <w:t>af</w:t>
      </w:r>
      <w:proofErr w:type="spellEnd"/>
      <w:r w:rsidRPr="00467DB0">
        <w:t xml:space="preserve"> 1990'erne, nemlig den </w:t>
      </w:r>
      <w:proofErr w:type="spellStart"/>
      <w:r w:rsidRPr="00467DB0">
        <w:t>europæiske</w:t>
      </w:r>
      <w:proofErr w:type="spellEnd"/>
      <w:r w:rsidRPr="00467DB0">
        <w:t xml:space="preserve"> </w:t>
      </w:r>
      <w:proofErr w:type="spellStart"/>
      <w:r w:rsidRPr="00467DB0">
        <w:t>geostationære</w:t>
      </w:r>
      <w:proofErr w:type="spellEnd"/>
      <w:r w:rsidRPr="00467DB0">
        <w:t xml:space="preserve"> </w:t>
      </w:r>
      <w:proofErr w:type="spellStart"/>
      <w:r w:rsidRPr="00467DB0">
        <w:t>navigations</w:t>
      </w:r>
      <w:proofErr w:type="spellEnd"/>
      <w:r w:rsidRPr="00467DB0">
        <w:t>-</w:t>
      </w:r>
      <w:proofErr w:type="spellStart"/>
      <w:r w:rsidRPr="00467DB0">
        <w:t>overlay</w:t>
      </w:r>
      <w:proofErr w:type="spellEnd"/>
      <w:r w:rsidRPr="00467DB0">
        <w:t xml:space="preserve">-tjeneste (EGNOS) og </w:t>
      </w:r>
      <w:proofErr w:type="spellStart"/>
      <w:r w:rsidRPr="00467DB0">
        <w:t>efterfølgende</w:t>
      </w:r>
      <w:proofErr w:type="spellEnd"/>
      <w:r w:rsidRPr="00467DB0">
        <w:t xml:space="preserve"> Galileo og Copernicus, der </w:t>
      </w:r>
      <w:proofErr w:type="spellStart"/>
      <w:r w:rsidRPr="00467DB0">
        <w:t>imødekommer</w:t>
      </w:r>
      <w:proofErr w:type="spellEnd"/>
      <w:r w:rsidRPr="00467DB0">
        <w:t xml:space="preserve"> EU-borgernes behov, og de krav, der følger </w:t>
      </w:r>
      <w:proofErr w:type="spellStart"/>
      <w:r w:rsidRPr="00467DB0">
        <w:t>af</w:t>
      </w:r>
      <w:proofErr w:type="spellEnd"/>
      <w:r w:rsidRPr="00467DB0">
        <w:t xml:space="preserve"> de offentlige politikker. Vi</w:t>
      </w:r>
      <w:r w:rsidRPr="00467DB0">
        <w:t xml:space="preserve">dereførelsen </w:t>
      </w:r>
      <w:proofErr w:type="spellStart"/>
      <w:r w:rsidRPr="00467DB0">
        <w:t>af</w:t>
      </w:r>
      <w:proofErr w:type="spellEnd"/>
      <w:r w:rsidRPr="00467DB0">
        <w:t xml:space="preserve"> disse initiativer og programmer bør sikres, og de tjenester, som de leverer, bør forbedres, </w:t>
      </w:r>
      <w:proofErr w:type="gramStart"/>
      <w:r w:rsidRPr="00467DB0">
        <w:t>således</w:t>
      </w:r>
      <w:proofErr w:type="gramEnd"/>
      <w:r w:rsidRPr="00467DB0">
        <w:t xml:space="preserve"> at de </w:t>
      </w:r>
      <w:proofErr w:type="spellStart"/>
      <w:r w:rsidRPr="00467DB0">
        <w:t>opfylder</w:t>
      </w:r>
      <w:proofErr w:type="spellEnd"/>
      <w:r w:rsidRPr="00467DB0">
        <w:t xml:space="preserve"> </w:t>
      </w:r>
      <w:proofErr w:type="spellStart"/>
      <w:r w:rsidRPr="00467DB0">
        <w:t>brugernes</w:t>
      </w:r>
      <w:proofErr w:type="spellEnd"/>
      <w:r w:rsidRPr="00467DB0">
        <w:t xml:space="preserve"> nye behov, forbliver førende, når det </w:t>
      </w:r>
      <w:proofErr w:type="spellStart"/>
      <w:r w:rsidRPr="00467DB0">
        <w:t>gælder</w:t>
      </w:r>
      <w:proofErr w:type="spellEnd"/>
      <w:r w:rsidRPr="00467DB0">
        <w:t xml:space="preserve"> </w:t>
      </w:r>
      <w:proofErr w:type="spellStart"/>
      <w:r w:rsidRPr="00467DB0">
        <w:t>udviklingen</w:t>
      </w:r>
      <w:proofErr w:type="spellEnd"/>
      <w:r w:rsidRPr="00467DB0">
        <w:t xml:space="preserve"> </w:t>
      </w:r>
      <w:proofErr w:type="spellStart"/>
      <w:r w:rsidRPr="00467DB0">
        <w:t>af</w:t>
      </w:r>
      <w:proofErr w:type="spellEnd"/>
      <w:r w:rsidRPr="00467DB0">
        <w:t xml:space="preserve"> ny teknologi og omstillinger </w:t>
      </w:r>
      <w:proofErr w:type="spellStart"/>
      <w:r w:rsidRPr="00467DB0">
        <w:t>inden</w:t>
      </w:r>
      <w:proofErr w:type="spellEnd"/>
      <w:r w:rsidRPr="00467DB0">
        <w:t xml:space="preserve"> for digital teknolog</w:t>
      </w:r>
      <w:r w:rsidRPr="00467DB0">
        <w:t xml:space="preserve">i og </w:t>
      </w:r>
      <w:proofErr w:type="spellStart"/>
      <w:r w:rsidRPr="00467DB0">
        <w:t>informations</w:t>
      </w:r>
      <w:proofErr w:type="spellEnd"/>
      <w:r w:rsidRPr="00467DB0">
        <w:t xml:space="preserve">- og </w:t>
      </w:r>
      <w:proofErr w:type="spellStart"/>
      <w:r w:rsidRPr="00467DB0">
        <w:t>kommunikationsteknologi</w:t>
      </w:r>
      <w:proofErr w:type="spellEnd"/>
      <w:r w:rsidRPr="00467DB0">
        <w:t xml:space="preserve"> og er i stand til at </w:t>
      </w:r>
      <w:proofErr w:type="spellStart"/>
      <w:r w:rsidRPr="00467DB0">
        <w:t>opfylde</w:t>
      </w:r>
      <w:proofErr w:type="spellEnd"/>
      <w:r w:rsidRPr="00467DB0">
        <w:t xml:space="preserve"> politiske prioriteter som </w:t>
      </w:r>
      <w:proofErr w:type="spellStart"/>
      <w:r w:rsidRPr="00467DB0">
        <w:t>klimaændringer</w:t>
      </w:r>
      <w:proofErr w:type="spellEnd"/>
      <w:r w:rsidRPr="00467DB0">
        <w:t xml:space="preserve">, herunder </w:t>
      </w:r>
      <w:proofErr w:type="spellStart"/>
      <w:r w:rsidRPr="00467DB0">
        <w:t>kontrol</w:t>
      </w:r>
      <w:proofErr w:type="spellEnd"/>
      <w:r w:rsidRPr="00467DB0">
        <w:t xml:space="preserve"> med </w:t>
      </w:r>
      <w:proofErr w:type="spellStart"/>
      <w:r w:rsidRPr="00467DB0">
        <w:t>udviklingen</w:t>
      </w:r>
      <w:proofErr w:type="spellEnd"/>
      <w:r w:rsidRPr="00467DB0">
        <w:t xml:space="preserve"> i polarområdet, samt </w:t>
      </w:r>
      <w:proofErr w:type="spellStart"/>
      <w:r w:rsidRPr="00467DB0">
        <w:t>inden</w:t>
      </w:r>
      <w:proofErr w:type="spellEnd"/>
      <w:r w:rsidRPr="00467DB0">
        <w:t xml:space="preserve"> for transport, </w:t>
      </w:r>
      <w:proofErr w:type="spellStart"/>
      <w:r w:rsidRPr="00467DB0">
        <w:t>sikkerhed</w:t>
      </w:r>
      <w:proofErr w:type="spellEnd"/>
      <w:r w:rsidRPr="00467DB0">
        <w:t xml:space="preserve"> og forsvar.</w:t>
      </w:r>
    </w:p>
    <w:p w14:paraId="01F5A63E" w14:textId="77777777" w:rsidR="00000000" w:rsidRPr="00467DB0" w:rsidRDefault="00693D67" w:rsidP="00467DB0">
      <w:pPr>
        <w:pStyle w:val="friliste"/>
      </w:pPr>
      <w:r w:rsidRPr="00467DB0">
        <w:t>(4)</w:t>
      </w:r>
      <w:r w:rsidRPr="00467DB0">
        <w:tab/>
        <w:t xml:space="preserve">Det er </w:t>
      </w:r>
      <w:proofErr w:type="spellStart"/>
      <w:r w:rsidRPr="00467DB0">
        <w:t>nødvendigt</w:t>
      </w:r>
      <w:proofErr w:type="spellEnd"/>
      <w:r w:rsidRPr="00467DB0">
        <w:t xml:space="preserve"> at </w:t>
      </w:r>
      <w:proofErr w:type="spellStart"/>
      <w:r w:rsidRPr="00467DB0">
        <w:t>udnytte</w:t>
      </w:r>
      <w:proofErr w:type="spellEnd"/>
      <w:r w:rsidRPr="00467DB0">
        <w:t xml:space="preserve"> synergier</w:t>
      </w:r>
      <w:r w:rsidRPr="00467DB0">
        <w:t xml:space="preserve"> </w:t>
      </w:r>
      <w:proofErr w:type="spellStart"/>
      <w:r w:rsidRPr="00467DB0">
        <w:t>mellem</w:t>
      </w:r>
      <w:proofErr w:type="spellEnd"/>
      <w:r w:rsidRPr="00467DB0">
        <w:t xml:space="preserve"> transport- og </w:t>
      </w:r>
      <w:proofErr w:type="spellStart"/>
      <w:r w:rsidRPr="00467DB0">
        <w:t>rumsektoren</w:t>
      </w:r>
      <w:proofErr w:type="spellEnd"/>
      <w:r w:rsidRPr="00467DB0">
        <w:t xml:space="preserve"> samt den digitale sektor med </w:t>
      </w:r>
      <w:proofErr w:type="spellStart"/>
      <w:r w:rsidRPr="00467DB0">
        <w:t>henblik</w:t>
      </w:r>
      <w:proofErr w:type="spellEnd"/>
      <w:r w:rsidRPr="00467DB0">
        <w:t xml:space="preserve"> på at fremme en bredere </w:t>
      </w:r>
      <w:proofErr w:type="gramStart"/>
      <w:r w:rsidRPr="00467DB0">
        <w:t>anvendelse</w:t>
      </w:r>
      <w:proofErr w:type="gramEnd"/>
      <w:r w:rsidRPr="00467DB0">
        <w:t xml:space="preserve"> </w:t>
      </w:r>
      <w:proofErr w:type="spellStart"/>
      <w:r w:rsidRPr="00467DB0">
        <w:t>af</w:t>
      </w:r>
      <w:proofErr w:type="spellEnd"/>
      <w:r w:rsidRPr="00467DB0">
        <w:t xml:space="preserve"> nye teknologier, såsom e-</w:t>
      </w:r>
      <w:proofErr w:type="spellStart"/>
      <w:r w:rsidRPr="00467DB0">
        <w:t>opkald</w:t>
      </w:r>
      <w:proofErr w:type="spellEnd"/>
      <w:r w:rsidRPr="00467DB0">
        <w:t xml:space="preserve">, digitale </w:t>
      </w:r>
      <w:proofErr w:type="spellStart"/>
      <w:r w:rsidRPr="00467DB0">
        <w:t>takografer</w:t>
      </w:r>
      <w:proofErr w:type="spellEnd"/>
      <w:r w:rsidRPr="00467DB0">
        <w:t xml:space="preserve">, </w:t>
      </w:r>
      <w:proofErr w:type="spellStart"/>
      <w:r w:rsidRPr="00467DB0">
        <w:t>trafikovervågning</w:t>
      </w:r>
      <w:proofErr w:type="spellEnd"/>
      <w:r w:rsidRPr="00467DB0">
        <w:t xml:space="preserve"> og -styring, </w:t>
      </w:r>
      <w:proofErr w:type="spellStart"/>
      <w:r w:rsidRPr="00467DB0">
        <w:t>selvkørende</w:t>
      </w:r>
      <w:proofErr w:type="spellEnd"/>
      <w:r w:rsidRPr="00467DB0">
        <w:t xml:space="preserve"> og </w:t>
      </w:r>
      <w:proofErr w:type="spellStart"/>
      <w:r w:rsidRPr="00467DB0">
        <w:t>ubemandede</w:t>
      </w:r>
      <w:proofErr w:type="spellEnd"/>
      <w:r w:rsidRPr="00467DB0">
        <w:t xml:space="preserve"> </w:t>
      </w:r>
      <w:proofErr w:type="spellStart"/>
      <w:r w:rsidRPr="00467DB0">
        <w:t>køretøjer</w:t>
      </w:r>
      <w:proofErr w:type="spellEnd"/>
      <w:r w:rsidRPr="00467DB0">
        <w:t xml:space="preserve"> og droner, og </w:t>
      </w:r>
      <w:proofErr w:type="spellStart"/>
      <w:r w:rsidRPr="00467DB0">
        <w:t>imødegå</w:t>
      </w:r>
      <w:proofErr w:type="spellEnd"/>
      <w:r w:rsidRPr="00467DB0">
        <w:t xml:space="preserve"> beho</w:t>
      </w:r>
      <w:r w:rsidRPr="00467DB0">
        <w:t xml:space="preserve">vene for sikker og </w:t>
      </w:r>
      <w:proofErr w:type="spellStart"/>
      <w:r w:rsidRPr="00467DB0">
        <w:t>gnidningsløs</w:t>
      </w:r>
      <w:proofErr w:type="spellEnd"/>
      <w:r w:rsidRPr="00467DB0">
        <w:t xml:space="preserve"> </w:t>
      </w:r>
      <w:proofErr w:type="spellStart"/>
      <w:r w:rsidRPr="00467DB0">
        <w:t>konnektivitet</w:t>
      </w:r>
      <w:proofErr w:type="spellEnd"/>
      <w:r w:rsidRPr="00467DB0">
        <w:t xml:space="preserve">, robust </w:t>
      </w:r>
      <w:proofErr w:type="spellStart"/>
      <w:r w:rsidRPr="00467DB0">
        <w:t>positionering</w:t>
      </w:r>
      <w:proofErr w:type="spellEnd"/>
      <w:r w:rsidRPr="00467DB0">
        <w:t xml:space="preserve">, intermodalitet og interoperabilitet. En sådan </w:t>
      </w:r>
      <w:proofErr w:type="spellStart"/>
      <w:r w:rsidRPr="00467DB0">
        <w:t>udnyttelse</w:t>
      </w:r>
      <w:proofErr w:type="spellEnd"/>
      <w:r w:rsidRPr="00467DB0">
        <w:t xml:space="preserve"> </w:t>
      </w:r>
      <w:proofErr w:type="spellStart"/>
      <w:r w:rsidRPr="00467DB0">
        <w:t>af</w:t>
      </w:r>
      <w:proofErr w:type="spellEnd"/>
      <w:r w:rsidRPr="00467DB0">
        <w:t xml:space="preserve"> synergier vil forbedre </w:t>
      </w:r>
      <w:proofErr w:type="spellStart"/>
      <w:r w:rsidRPr="00467DB0">
        <w:t>transportydelsernes</w:t>
      </w:r>
      <w:proofErr w:type="spellEnd"/>
      <w:r w:rsidRPr="00467DB0">
        <w:t xml:space="preserve"> og industriens </w:t>
      </w:r>
      <w:proofErr w:type="spellStart"/>
      <w:r w:rsidRPr="00467DB0">
        <w:t>konkurrenceevne</w:t>
      </w:r>
      <w:proofErr w:type="spellEnd"/>
      <w:r w:rsidRPr="00467DB0">
        <w:t>.</w:t>
      </w:r>
    </w:p>
    <w:p w14:paraId="47F75956" w14:textId="77777777" w:rsidR="00000000" w:rsidRPr="00467DB0" w:rsidRDefault="00693D67" w:rsidP="00467DB0">
      <w:pPr>
        <w:pStyle w:val="friliste"/>
      </w:pPr>
      <w:r w:rsidRPr="00467DB0">
        <w:t>(5)</w:t>
      </w:r>
      <w:r w:rsidRPr="00467DB0">
        <w:tab/>
        <w:t>For at alle medlemsstater og alle borgere kan hø</w:t>
      </w:r>
      <w:r w:rsidRPr="00467DB0">
        <w:t xml:space="preserve">ste fordelene ved programmet </w:t>
      </w:r>
      <w:proofErr w:type="spellStart"/>
      <w:r w:rsidRPr="00467DB0">
        <w:t>fuldt</w:t>
      </w:r>
      <w:proofErr w:type="spellEnd"/>
      <w:r w:rsidRPr="00467DB0">
        <w:t xml:space="preserve"> </w:t>
      </w:r>
      <w:proofErr w:type="spellStart"/>
      <w:r w:rsidRPr="00467DB0">
        <w:t>ud</w:t>
      </w:r>
      <w:proofErr w:type="spellEnd"/>
      <w:r w:rsidRPr="00467DB0">
        <w:t xml:space="preserve">, er det </w:t>
      </w:r>
      <w:proofErr w:type="spellStart"/>
      <w:r w:rsidRPr="00467DB0">
        <w:t>ligeledes</w:t>
      </w:r>
      <w:proofErr w:type="spellEnd"/>
      <w:r w:rsidRPr="00467DB0">
        <w:t xml:space="preserve"> </w:t>
      </w:r>
      <w:proofErr w:type="spellStart"/>
      <w:r w:rsidRPr="00467DB0">
        <w:t>af</w:t>
      </w:r>
      <w:proofErr w:type="spellEnd"/>
      <w:r w:rsidRPr="00467DB0">
        <w:t xml:space="preserve"> </w:t>
      </w:r>
      <w:proofErr w:type="spellStart"/>
      <w:r w:rsidRPr="00467DB0">
        <w:t>afgørende</w:t>
      </w:r>
      <w:proofErr w:type="spellEnd"/>
      <w:r w:rsidRPr="00467DB0">
        <w:t xml:space="preserve"> betydning, at </w:t>
      </w:r>
      <w:proofErr w:type="gramStart"/>
      <w:r w:rsidRPr="00467DB0">
        <w:t>anvendelsen</w:t>
      </w:r>
      <w:proofErr w:type="gramEnd"/>
      <w:r w:rsidRPr="00467DB0">
        <w:t xml:space="preserve"> og </w:t>
      </w:r>
      <w:proofErr w:type="spellStart"/>
      <w:r w:rsidRPr="00467DB0">
        <w:t>udbredelsen</w:t>
      </w:r>
      <w:proofErr w:type="spellEnd"/>
      <w:r w:rsidRPr="00467DB0">
        <w:t xml:space="preserve"> </w:t>
      </w:r>
      <w:proofErr w:type="spellStart"/>
      <w:r w:rsidRPr="00467DB0">
        <w:t>af</w:t>
      </w:r>
      <w:proofErr w:type="spellEnd"/>
      <w:r w:rsidRPr="00467DB0">
        <w:t xml:space="preserve"> de data, </w:t>
      </w:r>
      <w:proofErr w:type="spellStart"/>
      <w:r w:rsidRPr="00467DB0">
        <w:t>informationer</w:t>
      </w:r>
      <w:proofErr w:type="spellEnd"/>
      <w:r w:rsidRPr="00467DB0">
        <w:t xml:space="preserve"> og tjenester, som programmet </w:t>
      </w:r>
      <w:proofErr w:type="spellStart"/>
      <w:r w:rsidRPr="00467DB0">
        <w:t>tilvejebringer</w:t>
      </w:r>
      <w:proofErr w:type="spellEnd"/>
      <w:r w:rsidRPr="00467DB0">
        <w:t xml:space="preserve">, fremmes, og at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downstreamapplikationer</w:t>
      </w:r>
      <w:proofErr w:type="spellEnd"/>
      <w:r w:rsidRPr="00467DB0">
        <w:t xml:space="preserve"> </w:t>
      </w:r>
      <w:proofErr w:type="spellStart"/>
      <w:r w:rsidRPr="00467DB0">
        <w:t>baseret</w:t>
      </w:r>
      <w:proofErr w:type="spellEnd"/>
      <w:r w:rsidRPr="00467DB0">
        <w:t xml:space="preserve"> på disse data</w:t>
      </w:r>
      <w:r w:rsidRPr="00467DB0">
        <w:t xml:space="preserve">, </w:t>
      </w:r>
      <w:proofErr w:type="spellStart"/>
      <w:r w:rsidRPr="00467DB0">
        <w:t>informationer</w:t>
      </w:r>
      <w:proofErr w:type="spellEnd"/>
      <w:r w:rsidRPr="00467DB0">
        <w:t xml:space="preserve"> og tjenester støttes. </w:t>
      </w:r>
      <w:proofErr w:type="spellStart"/>
      <w:r w:rsidRPr="00467DB0">
        <w:t>Medlemsstaterne</w:t>
      </w:r>
      <w:proofErr w:type="spellEnd"/>
      <w:r w:rsidRPr="00467DB0">
        <w:t xml:space="preserve">, </w:t>
      </w:r>
      <w:proofErr w:type="spellStart"/>
      <w:r w:rsidRPr="00467DB0">
        <w:t>Kommissionen</w:t>
      </w:r>
      <w:proofErr w:type="spellEnd"/>
      <w:r w:rsidRPr="00467DB0">
        <w:t xml:space="preserve"> og de ansvarlige </w:t>
      </w:r>
      <w:proofErr w:type="spellStart"/>
      <w:r w:rsidRPr="00467DB0">
        <w:t>enheder</w:t>
      </w:r>
      <w:proofErr w:type="spellEnd"/>
      <w:r w:rsidRPr="00467DB0">
        <w:t xml:space="preserve"> kunne med dette formål for </w:t>
      </w:r>
      <w:proofErr w:type="spellStart"/>
      <w:r w:rsidRPr="00467DB0">
        <w:t>øje</w:t>
      </w:r>
      <w:proofErr w:type="spellEnd"/>
      <w:r w:rsidRPr="00467DB0">
        <w:t xml:space="preserve"> navnlig </w:t>
      </w:r>
      <w:proofErr w:type="spellStart"/>
      <w:r w:rsidRPr="00467DB0">
        <w:t>gennemføre</w:t>
      </w:r>
      <w:proofErr w:type="spellEnd"/>
      <w:r w:rsidRPr="00467DB0">
        <w:t xml:space="preserve"> periodiske </w:t>
      </w:r>
      <w:proofErr w:type="spellStart"/>
      <w:r w:rsidRPr="00467DB0">
        <w:t>informationskampagner</w:t>
      </w:r>
      <w:proofErr w:type="spellEnd"/>
      <w:r w:rsidRPr="00467DB0">
        <w:t xml:space="preserve"> om fordelene ved programmet.</w:t>
      </w:r>
    </w:p>
    <w:p w14:paraId="772B16A7" w14:textId="77777777" w:rsidR="00000000" w:rsidRPr="00467DB0" w:rsidRDefault="00693D67" w:rsidP="00467DB0">
      <w:pPr>
        <w:pStyle w:val="friliste"/>
      </w:pPr>
      <w:r w:rsidRPr="00467DB0">
        <w:t>(6)</w:t>
      </w:r>
      <w:r w:rsidRPr="00467DB0">
        <w:tab/>
        <w:t xml:space="preserve">Med </w:t>
      </w:r>
      <w:proofErr w:type="spellStart"/>
      <w:r w:rsidRPr="00467DB0">
        <w:t>henblik</w:t>
      </w:r>
      <w:proofErr w:type="spellEnd"/>
      <w:r w:rsidRPr="00467DB0">
        <w:t xml:space="preserve"> på at nå målene om </w:t>
      </w:r>
      <w:proofErr w:type="spellStart"/>
      <w:r w:rsidRPr="00467DB0">
        <w:t>handlefrihed</w:t>
      </w:r>
      <w:proofErr w:type="spellEnd"/>
      <w:r w:rsidRPr="00467DB0">
        <w:t xml:space="preserve">, </w:t>
      </w:r>
      <w:proofErr w:type="spellStart"/>
      <w:r w:rsidRPr="00467DB0">
        <w:t>ua</w:t>
      </w:r>
      <w:r w:rsidRPr="00467DB0">
        <w:t>fhængighed</w:t>
      </w:r>
      <w:proofErr w:type="spellEnd"/>
      <w:r w:rsidRPr="00467DB0">
        <w:t xml:space="preserve"> og </w:t>
      </w:r>
      <w:proofErr w:type="spellStart"/>
      <w:r w:rsidRPr="00467DB0">
        <w:t>sikkerhed</w:t>
      </w:r>
      <w:proofErr w:type="spellEnd"/>
      <w:r w:rsidRPr="00467DB0">
        <w:t xml:space="preserve"> er det </w:t>
      </w:r>
      <w:proofErr w:type="spellStart"/>
      <w:r w:rsidRPr="00467DB0">
        <w:t>afgørende</w:t>
      </w:r>
      <w:proofErr w:type="spellEnd"/>
      <w:r w:rsidRPr="00467DB0">
        <w:t xml:space="preserve">, at Unionen har </w:t>
      </w:r>
      <w:proofErr w:type="spellStart"/>
      <w:r w:rsidRPr="00467DB0">
        <w:t>selvstændig</w:t>
      </w:r>
      <w:proofErr w:type="spellEnd"/>
      <w:r w:rsidRPr="00467DB0">
        <w:t xml:space="preserve"> adgang til </w:t>
      </w:r>
      <w:proofErr w:type="spellStart"/>
      <w:r w:rsidRPr="00467DB0">
        <w:t>rummet</w:t>
      </w:r>
      <w:proofErr w:type="spellEnd"/>
      <w:r w:rsidRPr="00467DB0">
        <w:t xml:space="preserve"> og kan anvende det på en sikker </w:t>
      </w:r>
      <w:proofErr w:type="spellStart"/>
      <w:r w:rsidRPr="00467DB0">
        <w:t>måde</w:t>
      </w:r>
      <w:proofErr w:type="spellEnd"/>
      <w:r w:rsidRPr="00467DB0">
        <w:t xml:space="preserve">. Det er derfor </w:t>
      </w:r>
      <w:proofErr w:type="spellStart"/>
      <w:r w:rsidRPr="00467DB0">
        <w:t>af</w:t>
      </w:r>
      <w:proofErr w:type="spellEnd"/>
      <w:r w:rsidRPr="00467DB0">
        <w:t xml:space="preserve"> </w:t>
      </w:r>
      <w:proofErr w:type="spellStart"/>
      <w:r w:rsidRPr="00467DB0">
        <w:t>afgørende</w:t>
      </w:r>
      <w:proofErr w:type="spellEnd"/>
      <w:r w:rsidRPr="00467DB0">
        <w:t xml:space="preserve"> betydning, at Unionen støtter </w:t>
      </w:r>
      <w:proofErr w:type="spellStart"/>
      <w:r w:rsidRPr="00467DB0">
        <w:t>selvstændig</w:t>
      </w:r>
      <w:proofErr w:type="spellEnd"/>
      <w:r w:rsidRPr="00467DB0">
        <w:t xml:space="preserve">, </w:t>
      </w:r>
      <w:proofErr w:type="spellStart"/>
      <w:r w:rsidRPr="00467DB0">
        <w:t>pålidelig</w:t>
      </w:r>
      <w:proofErr w:type="spellEnd"/>
      <w:r w:rsidRPr="00467DB0">
        <w:t xml:space="preserve"> og omkostningseffektiv adgang til </w:t>
      </w:r>
      <w:proofErr w:type="spellStart"/>
      <w:r w:rsidRPr="00467DB0">
        <w:t>rummet</w:t>
      </w:r>
      <w:proofErr w:type="spellEnd"/>
      <w:r w:rsidRPr="00467DB0">
        <w:t>, navnlig f</w:t>
      </w:r>
      <w:r w:rsidRPr="00467DB0">
        <w:t xml:space="preserve">or så vidt angår kritisk infrastruktur og teknologi, offentlig </w:t>
      </w:r>
      <w:proofErr w:type="spellStart"/>
      <w:r w:rsidRPr="00467DB0">
        <w:t>sikkerhed</w:t>
      </w:r>
      <w:proofErr w:type="spellEnd"/>
      <w:r w:rsidRPr="00467DB0">
        <w:t xml:space="preserve"> og </w:t>
      </w:r>
      <w:proofErr w:type="spellStart"/>
      <w:r w:rsidRPr="00467DB0">
        <w:t>sikkerheden</w:t>
      </w:r>
      <w:proofErr w:type="spellEnd"/>
      <w:r w:rsidRPr="00467DB0">
        <w:t xml:space="preserve"> for Unionen og dens medlemsstater. </w:t>
      </w:r>
      <w:proofErr w:type="spellStart"/>
      <w:r w:rsidRPr="00467DB0">
        <w:t>Kommissionen</w:t>
      </w:r>
      <w:proofErr w:type="spellEnd"/>
      <w:r w:rsidRPr="00467DB0">
        <w:t xml:space="preserve"> bør derfor have </w:t>
      </w:r>
      <w:proofErr w:type="spellStart"/>
      <w:r w:rsidRPr="00467DB0">
        <w:lastRenderedPageBreak/>
        <w:t>mulighed</w:t>
      </w:r>
      <w:proofErr w:type="spellEnd"/>
      <w:r w:rsidRPr="00467DB0">
        <w:t xml:space="preserve"> for at samle </w:t>
      </w:r>
      <w:proofErr w:type="spellStart"/>
      <w:r w:rsidRPr="00467DB0">
        <w:t>opsendelsestjenester</w:t>
      </w:r>
      <w:proofErr w:type="spellEnd"/>
      <w:r w:rsidRPr="00467DB0">
        <w:t xml:space="preserve"> på </w:t>
      </w:r>
      <w:proofErr w:type="spellStart"/>
      <w:r w:rsidRPr="00467DB0">
        <w:t>europæisk</w:t>
      </w:r>
      <w:proofErr w:type="spellEnd"/>
      <w:r w:rsidRPr="00467DB0">
        <w:t xml:space="preserve"> plan, både </w:t>
      </w:r>
      <w:proofErr w:type="spellStart"/>
      <w:r w:rsidRPr="00467DB0">
        <w:t>af</w:t>
      </w:r>
      <w:proofErr w:type="spellEnd"/>
      <w:r w:rsidRPr="00467DB0">
        <w:t xml:space="preserve"> hensyn til egne og, efter anmodnin</w:t>
      </w:r>
      <w:r w:rsidRPr="00467DB0">
        <w:t xml:space="preserve">g, andre </w:t>
      </w:r>
      <w:proofErr w:type="spellStart"/>
      <w:r w:rsidRPr="00467DB0">
        <w:t>enheders</w:t>
      </w:r>
      <w:proofErr w:type="spellEnd"/>
      <w:r w:rsidRPr="00467DB0">
        <w:t xml:space="preserve"> behov, herunder </w:t>
      </w:r>
      <w:proofErr w:type="spellStart"/>
      <w:r w:rsidRPr="00467DB0">
        <w:t>medlemsstaterne</w:t>
      </w:r>
      <w:proofErr w:type="spellEnd"/>
      <w:r w:rsidRPr="00467DB0">
        <w:t xml:space="preserve">, i overensstemmelse med </w:t>
      </w:r>
      <w:proofErr w:type="spellStart"/>
      <w:r w:rsidRPr="00467DB0">
        <w:t>artikel</w:t>
      </w:r>
      <w:proofErr w:type="spellEnd"/>
      <w:r w:rsidRPr="00467DB0">
        <w:t xml:space="preserve"> 189, stk. 2, i traktaten om Den </w:t>
      </w:r>
      <w:proofErr w:type="spellStart"/>
      <w:r w:rsidRPr="00467DB0">
        <w:t>Europæiske</w:t>
      </w:r>
      <w:proofErr w:type="spellEnd"/>
      <w:r w:rsidRPr="00467DB0">
        <w:t xml:space="preserve"> Unions </w:t>
      </w:r>
      <w:proofErr w:type="spellStart"/>
      <w:r w:rsidRPr="00467DB0">
        <w:t>funktionsmåde</w:t>
      </w:r>
      <w:proofErr w:type="spellEnd"/>
      <w:r w:rsidRPr="00467DB0">
        <w:t xml:space="preserve"> (TEUF). Med </w:t>
      </w:r>
      <w:proofErr w:type="spellStart"/>
      <w:r w:rsidRPr="00467DB0">
        <w:t>henblik</w:t>
      </w:r>
      <w:proofErr w:type="spellEnd"/>
      <w:r w:rsidRPr="00467DB0">
        <w:t xml:space="preserve"> på at forblive </w:t>
      </w:r>
      <w:proofErr w:type="spellStart"/>
      <w:r w:rsidRPr="00467DB0">
        <w:t>konkurrencedygtig</w:t>
      </w:r>
      <w:proofErr w:type="spellEnd"/>
      <w:r w:rsidRPr="00467DB0">
        <w:t xml:space="preserve"> på et marked i hurtig </w:t>
      </w:r>
      <w:proofErr w:type="spellStart"/>
      <w:r w:rsidRPr="00467DB0">
        <w:t>udvikling</w:t>
      </w:r>
      <w:proofErr w:type="spellEnd"/>
      <w:r w:rsidRPr="00467DB0">
        <w:t xml:space="preserve"> er det også </w:t>
      </w:r>
      <w:proofErr w:type="spellStart"/>
      <w:r w:rsidRPr="00467DB0">
        <w:t>afgørende</w:t>
      </w:r>
      <w:proofErr w:type="spellEnd"/>
      <w:r w:rsidRPr="00467DB0">
        <w:t>, at</w:t>
      </w:r>
      <w:r w:rsidRPr="00467DB0">
        <w:t xml:space="preserve"> Unionen </w:t>
      </w:r>
      <w:proofErr w:type="spellStart"/>
      <w:r w:rsidRPr="00467DB0">
        <w:t>fortsat</w:t>
      </w:r>
      <w:proofErr w:type="spellEnd"/>
      <w:r w:rsidRPr="00467DB0">
        <w:t xml:space="preserve"> har adgang til moderne, effektive og fleksible </w:t>
      </w:r>
      <w:proofErr w:type="spellStart"/>
      <w:r w:rsidRPr="00467DB0">
        <w:t>opsendelsesinfrastrukturfaciliteter</w:t>
      </w:r>
      <w:proofErr w:type="spellEnd"/>
      <w:r w:rsidRPr="00467DB0">
        <w:t xml:space="preserve"> og kan drage fordel </w:t>
      </w:r>
      <w:proofErr w:type="spellStart"/>
      <w:r w:rsidRPr="00467DB0">
        <w:t>af</w:t>
      </w:r>
      <w:proofErr w:type="spellEnd"/>
      <w:r w:rsidRPr="00467DB0">
        <w:t xml:space="preserve"> </w:t>
      </w:r>
      <w:proofErr w:type="spellStart"/>
      <w:r w:rsidRPr="00467DB0">
        <w:t>hensigtsmæssige</w:t>
      </w:r>
      <w:proofErr w:type="spellEnd"/>
      <w:r w:rsidRPr="00467DB0">
        <w:t xml:space="preserve"> </w:t>
      </w:r>
      <w:proofErr w:type="spellStart"/>
      <w:r w:rsidRPr="00467DB0">
        <w:t>opsendelsessystemer</w:t>
      </w:r>
      <w:proofErr w:type="spellEnd"/>
      <w:r w:rsidRPr="00467DB0">
        <w:t xml:space="preserve">. </w:t>
      </w:r>
      <w:proofErr w:type="spellStart"/>
      <w:r w:rsidRPr="00467DB0">
        <w:t>Uden</w:t>
      </w:r>
      <w:proofErr w:type="spellEnd"/>
      <w:r w:rsidRPr="00467DB0">
        <w:t xml:space="preserve"> at det berører de foranstaltninger, der er truffet </w:t>
      </w:r>
      <w:proofErr w:type="spellStart"/>
      <w:r w:rsidRPr="00467DB0">
        <w:t>af</w:t>
      </w:r>
      <w:proofErr w:type="spellEnd"/>
      <w:r w:rsidRPr="00467DB0">
        <w:t xml:space="preserve"> </w:t>
      </w:r>
      <w:proofErr w:type="spellStart"/>
      <w:r w:rsidRPr="00467DB0">
        <w:t>medlemsstaterne</w:t>
      </w:r>
      <w:proofErr w:type="spellEnd"/>
      <w:r w:rsidRPr="00467DB0">
        <w:t xml:space="preserve"> eller Den </w:t>
      </w:r>
      <w:proofErr w:type="spellStart"/>
      <w:r w:rsidRPr="00467DB0">
        <w:t>Europæiske</w:t>
      </w:r>
      <w:proofErr w:type="spellEnd"/>
      <w:r w:rsidRPr="00467DB0">
        <w:t xml:space="preserve"> </w:t>
      </w:r>
      <w:proofErr w:type="spellStart"/>
      <w:r w:rsidRPr="00467DB0">
        <w:t>Rumorganisation</w:t>
      </w:r>
      <w:proofErr w:type="spellEnd"/>
      <w:r w:rsidRPr="00467DB0">
        <w:t xml:space="preserve"> (ESA), bør programmet derfor kunne støtte tilpasninger til den jordbaserede infrastruktur, herunder ny </w:t>
      </w:r>
      <w:proofErr w:type="spellStart"/>
      <w:r w:rsidRPr="00467DB0">
        <w:t>udvikling</w:t>
      </w:r>
      <w:proofErr w:type="spellEnd"/>
      <w:r w:rsidRPr="00467DB0">
        <w:t xml:space="preserve">, som er nødvendig for </w:t>
      </w:r>
      <w:proofErr w:type="spellStart"/>
      <w:r w:rsidRPr="00467DB0">
        <w:t>gennemførelsen</w:t>
      </w:r>
      <w:proofErr w:type="spellEnd"/>
      <w:r w:rsidRPr="00467DB0">
        <w:t xml:space="preserve"> </w:t>
      </w:r>
      <w:proofErr w:type="spellStart"/>
      <w:r w:rsidRPr="00467DB0">
        <w:t>af</w:t>
      </w:r>
      <w:proofErr w:type="spellEnd"/>
      <w:r w:rsidRPr="00467DB0">
        <w:t xml:space="preserve"> programmet, og tilpasninger, herunder teknologisk </w:t>
      </w:r>
      <w:proofErr w:type="spellStart"/>
      <w:r w:rsidRPr="00467DB0">
        <w:t>udvikling</w:t>
      </w:r>
      <w:proofErr w:type="spellEnd"/>
      <w:r w:rsidRPr="00467DB0">
        <w:t xml:space="preserve">, til de </w:t>
      </w:r>
      <w:proofErr w:type="spellStart"/>
      <w:r w:rsidRPr="00467DB0">
        <w:t>opsendelsessystemer</w:t>
      </w:r>
      <w:proofErr w:type="spellEnd"/>
      <w:r w:rsidRPr="00467DB0">
        <w:t xml:space="preserve">, som er nødvendige i forbindelse med </w:t>
      </w:r>
      <w:proofErr w:type="spellStart"/>
      <w:r w:rsidRPr="00467DB0">
        <w:t>opsendelse</w:t>
      </w:r>
      <w:proofErr w:type="spellEnd"/>
      <w:r w:rsidRPr="00467DB0">
        <w:t xml:space="preserve"> </w:t>
      </w:r>
      <w:proofErr w:type="spellStart"/>
      <w:r w:rsidRPr="00467DB0">
        <w:t>af</w:t>
      </w:r>
      <w:proofErr w:type="spellEnd"/>
      <w:r w:rsidRPr="00467DB0">
        <w:t xml:space="preserve"> satellitter, herunder alternative teknologier og innovative systemer, til </w:t>
      </w:r>
      <w:proofErr w:type="spellStart"/>
      <w:r w:rsidRPr="00467DB0">
        <w:t>gennemførelse</w:t>
      </w:r>
      <w:proofErr w:type="spellEnd"/>
      <w:r w:rsidRPr="00467DB0">
        <w:t xml:space="preserve"> </w:t>
      </w:r>
      <w:proofErr w:type="spellStart"/>
      <w:r w:rsidRPr="00467DB0">
        <w:t>af</w:t>
      </w:r>
      <w:proofErr w:type="spellEnd"/>
      <w:r w:rsidRPr="00467DB0">
        <w:t xml:space="preserve"> programmets komponenter. Disse aktiviteter bør </w:t>
      </w:r>
      <w:proofErr w:type="spellStart"/>
      <w:r w:rsidRPr="00467DB0">
        <w:t>gennemføres</w:t>
      </w:r>
      <w:proofErr w:type="spellEnd"/>
      <w:r w:rsidRPr="00467DB0">
        <w:t xml:space="preserve"> i overensstemmelse med Europa-Parlamentets og Rådets f</w:t>
      </w:r>
      <w:r w:rsidRPr="00467DB0">
        <w:t>orordning (EU, Euratom) 2018/1046</w:t>
      </w:r>
      <w:r w:rsidRPr="00467DB0">
        <w:rPr>
          <w:rStyle w:val="Fotnotereferanse"/>
        </w:rPr>
        <w:footnoteReference w:id="5"/>
      </w:r>
      <w:r w:rsidRPr="00467DB0">
        <w:t xml:space="preserve"> ("finansforordningen") og me</w:t>
      </w:r>
      <w:r w:rsidRPr="00467DB0">
        <w:t xml:space="preserve">d </w:t>
      </w:r>
      <w:proofErr w:type="spellStart"/>
      <w:r w:rsidRPr="00467DB0">
        <w:t>henblik</w:t>
      </w:r>
      <w:proofErr w:type="spellEnd"/>
      <w:r w:rsidRPr="00467DB0">
        <w:t xml:space="preserve"> på at forbedre programmets omkostningseffektivitet. </w:t>
      </w:r>
      <w:proofErr w:type="spellStart"/>
      <w:r w:rsidRPr="00467DB0">
        <w:t>Eftersom</w:t>
      </w:r>
      <w:proofErr w:type="spellEnd"/>
      <w:r w:rsidRPr="00467DB0">
        <w:t xml:space="preserve"> der ikke vil være </w:t>
      </w:r>
      <w:proofErr w:type="spellStart"/>
      <w:r w:rsidRPr="00467DB0">
        <w:t>noget</w:t>
      </w:r>
      <w:proofErr w:type="spellEnd"/>
      <w:r w:rsidRPr="00467DB0">
        <w:t xml:space="preserve"> særskilt </w:t>
      </w:r>
      <w:proofErr w:type="spellStart"/>
      <w:r w:rsidRPr="00467DB0">
        <w:t>budget</w:t>
      </w:r>
      <w:proofErr w:type="spellEnd"/>
      <w:r w:rsidRPr="00467DB0">
        <w:t xml:space="preserve">, bør </w:t>
      </w:r>
      <w:proofErr w:type="spellStart"/>
      <w:r w:rsidRPr="00467DB0">
        <w:t>foranstaltningerne</w:t>
      </w:r>
      <w:proofErr w:type="spellEnd"/>
      <w:r w:rsidRPr="00467DB0">
        <w:t xml:space="preserve"> til støtte for adgang til </w:t>
      </w:r>
      <w:proofErr w:type="spellStart"/>
      <w:r w:rsidRPr="00467DB0">
        <w:t>rummet</w:t>
      </w:r>
      <w:proofErr w:type="spellEnd"/>
      <w:r w:rsidRPr="00467DB0">
        <w:t xml:space="preserve"> ikke berøre </w:t>
      </w:r>
      <w:proofErr w:type="spellStart"/>
      <w:r w:rsidRPr="00467DB0">
        <w:t>gennemførelsen</w:t>
      </w:r>
      <w:proofErr w:type="spellEnd"/>
      <w:r w:rsidRPr="00467DB0">
        <w:t xml:space="preserve"> </w:t>
      </w:r>
      <w:proofErr w:type="spellStart"/>
      <w:r w:rsidRPr="00467DB0">
        <w:t>af</w:t>
      </w:r>
      <w:proofErr w:type="spellEnd"/>
      <w:r w:rsidRPr="00467DB0">
        <w:t xml:space="preserve"> programmets komponenter.</w:t>
      </w:r>
    </w:p>
    <w:p w14:paraId="4B10F06A" w14:textId="77777777" w:rsidR="00000000" w:rsidRPr="00467DB0" w:rsidRDefault="00693D67" w:rsidP="00467DB0">
      <w:pPr>
        <w:pStyle w:val="friliste"/>
      </w:pPr>
      <w:r w:rsidRPr="00467DB0">
        <w:t>(7)</w:t>
      </w:r>
      <w:r w:rsidRPr="00467DB0">
        <w:tab/>
        <w:t xml:space="preserve">For at styrke </w:t>
      </w:r>
      <w:proofErr w:type="spellStart"/>
      <w:r w:rsidRPr="00467DB0">
        <w:t>konkurrenceevne</w:t>
      </w:r>
      <w:r w:rsidRPr="00467DB0">
        <w:t>n</w:t>
      </w:r>
      <w:proofErr w:type="spellEnd"/>
      <w:r w:rsidRPr="00467DB0">
        <w:t xml:space="preserve"> </w:t>
      </w:r>
      <w:proofErr w:type="spellStart"/>
      <w:r w:rsidRPr="00467DB0">
        <w:t>inden</w:t>
      </w:r>
      <w:proofErr w:type="spellEnd"/>
      <w:r w:rsidRPr="00467DB0">
        <w:t xml:space="preserve"> for Unionens </w:t>
      </w:r>
      <w:proofErr w:type="spellStart"/>
      <w:r w:rsidRPr="00467DB0">
        <w:t>rumindustri</w:t>
      </w:r>
      <w:proofErr w:type="spellEnd"/>
      <w:r w:rsidRPr="00467DB0">
        <w:t xml:space="preserve"> og </w:t>
      </w:r>
      <w:proofErr w:type="spellStart"/>
      <w:r w:rsidRPr="00467DB0">
        <w:t>øge</w:t>
      </w:r>
      <w:proofErr w:type="spellEnd"/>
      <w:r w:rsidRPr="00467DB0">
        <w:t xml:space="preserve"> </w:t>
      </w:r>
      <w:proofErr w:type="spellStart"/>
      <w:r w:rsidRPr="00467DB0">
        <w:t>kapacitet</w:t>
      </w:r>
      <w:proofErr w:type="spellEnd"/>
      <w:r w:rsidRPr="00467DB0">
        <w:t xml:space="preserve"> til at </w:t>
      </w:r>
      <w:proofErr w:type="spellStart"/>
      <w:r w:rsidRPr="00467DB0">
        <w:t>udforme</w:t>
      </w:r>
      <w:proofErr w:type="spellEnd"/>
      <w:r w:rsidRPr="00467DB0">
        <w:t xml:space="preserve">, bygge og drive sine egne systemer bør Unionen støtte etablering, </w:t>
      </w:r>
      <w:proofErr w:type="spellStart"/>
      <w:r w:rsidRPr="00467DB0">
        <w:t>vækst</w:t>
      </w:r>
      <w:proofErr w:type="spellEnd"/>
      <w:r w:rsidRPr="00467DB0">
        <w:t xml:space="preserve"> og </w:t>
      </w:r>
      <w:proofErr w:type="spellStart"/>
      <w:r w:rsidRPr="00467DB0">
        <w:t>udvikling</w:t>
      </w:r>
      <w:proofErr w:type="spellEnd"/>
      <w:r w:rsidRPr="00467DB0">
        <w:t xml:space="preserve"> i hele </w:t>
      </w:r>
      <w:proofErr w:type="spellStart"/>
      <w:r w:rsidRPr="00467DB0">
        <w:t>rumindustrien</w:t>
      </w:r>
      <w:proofErr w:type="spellEnd"/>
      <w:r w:rsidRPr="00467DB0">
        <w:t xml:space="preserve">. </w:t>
      </w:r>
      <w:proofErr w:type="spellStart"/>
      <w:r w:rsidRPr="00467DB0">
        <w:t>Skabelsen</w:t>
      </w:r>
      <w:proofErr w:type="spellEnd"/>
      <w:r w:rsidRPr="00467DB0">
        <w:t xml:space="preserve"> </w:t>
      </w:r>
      <w:proofErr w:type="spellStart"/>
      <w:r w:rsidRPr="00467DB0">
        <w:t>af</w:t>
      </w:r>
      <w:proofErr w:type="spellEnd"/>
      <w:r w:rsidRPr="00467DB0">
        <w:t xml:space="preserve"> en forretnings- og </w:t>
      </w:r>
      <w:proofErr w:type="spellStart"/>
      <w:r w:rsidRPr="00467DB0">
        <w:t>innovationsvenlig</w:t>
      </w:r>
      <w:proofErr w:type="spellEnd"/>
      <w:r w:rsidRPr="00467DB0">
        <w:t xml:space="preserve"> </w:t>
      </w:r>
      <w:proofErr w:type="spellStart"/>
      <w:r w:rsidRPr="00467DB0">
        <w:t>model</w:t>
      </w:r>
      <w:proofErr w:type="spellEnd"/>
      <w:r w:rsidRPr="00467DB0">
        <w:t xml:space="preserve"> bør støttes på </w:t>
      </w:r>
      <w:proofErr w:type="spellStart"/>
      <w:r w:rsidRPr="00467DB0">
        <w:t>europæisk</w:t>
      </w:r>
      <w:proofErr w:type="spellEnd"/>
      <w:r w:rsidRPr="00467DB0">
        <w:t>, re</w:t>
      </w:r>
      <w:r w:rsidRPr="00467DB0">
        <w:t xml:space="preserve">gionalt og </w:t>
      </w:r>
      <w:proofErr w:type="spellStart"/>
      <w:r w:rsidRPr="00467DB0">
        <w:t>nationalt</w:t>
      </w:r>
      <w:proofErr w:type="spellEnd"/>
      <w:r w:rsidRPr="00467DB0">
        <w:t xml:space="preserve"> plan </w:t>
      </w:r>
      <w:proofErr w:type="spellStart"/>
      <w:r w:rsidRPr="00467DB0">
        <w:t>gennem</w:t>
      </w:r>
      <w:proofErr w:type="spellEnd"/>
      <w:r w:rsidRPr="00467DB0">
        <w:t xml:space="preserve"> initiativer som </w:t>
      </w:r>
      <w:proofErr w:type="spellStart"/>
      <w:r w:rsidRPr="00467DB0">
        <w:t>rumcentre</w:t>
      </w:r>
      <w:proofErr w:type="spellEnd"/>
      <w:r w:rsidRPr="00467DB0">
        <w:t xml:space="preserve">, der samler </w:t>
      </w:r>
      <w:proofErr w:type="spellStart"/>
      <w:r w:rsidRPr="00467DB0">
        <w:t>rumsektoren</w:t>
      </w:r>
      <w:proofErr w:type="spellEnd"/>
      <w:r w:rsidRPr="00467DB0">
        <w:t xml:space="preserve">, den digitale sektor og andre sektorer samt </w:t>
      </w:r>
      <w:proofErr w:type="spellStart"/>
      <w:r w:rsidRPr="00467DB0">
        <w:t>brugerne</w:t>
      </w:r>
      <w:proofErr w:type="spellEnd"/>
      <w:r w:rsidRPr="00467DB0">
        <w:t xml:space="preserve">. Sådanne </w:t>
      </w:r>
      <w:proofErr w:type="spellStart"/>
      <w:r w:rsidRPr="00467DB0">
        <w:t>rumcentre</w:t>
      </w:r>
      <w:proofErr w:type="spellEnd"/>
      <w:r w:rsidRPr="00467DB0">
        <w:t xml:space="preserve"> bør </w:t>
      </w:r>
      <w:proofErr w:type="spellStart"/>
      <w:r w:rsidRPr="00467DB0">
        <w:t>stræbe</w:t>
      </w:r>
      <w:proofErr w:type="spellEnd"/>
      <w:r w:rsidRPr="00467DB0">
        <w:t xml:space="preserve"> efter at fremme </w:t>
      </w:r>
      <w:proofErr w:type="spellStart"/>
      <w:r w:rsidRPr="00467DB0">
        <w:t>iværksætterånd</w:t>
      </w:r>
      <w:proofErr w:type="spellEnd"/>
      <w:r w:rsidRPr="00467DB0">
        <w:t xml:space="preserve"> og </w:t>
      </w:r>
      <w:proofErr w:type="spellStart"/>
      <w:r w:rsidRPr="00467DB0">
        <w:t>kompetencer</w:t>
      </w:r>
      <w:proofErr w:type="spellEnd"/>
      <w:r w:rsidRPr="00467DB0">
        <w:t xml:space="preserve"> og samtidig </w:t>
      </w:r>
      <w:proofErr w:type="spellStart"/>
      <w:r w:rsidRPr="00467DB0">
        <w:t>tilstræbe</w:t>
      </w:r>
      <w:proofErr w:type="spellEnd"/>
      <w:r w:rsidRPr="00467DB0">
        <w:t xml:space="preserve"> synergi med de digital</w:t>
      </w:r>
      <w:r w:rsidRPr="00467DB0">
        <w:t xml:space="preserve">e </w:t>
      </w:r>
      <w:proofErr w:type="spellStart"/>
      <w:r w:rsidRPr="00467DB0">
        <w:t>innovationsknudepunkter</w:t>
      </w:r>
      <w:proofErr w:type="spellEnd"/>
      <w:r w:rsidRPr="00467DB0">
        <w:t xml:space="preserve">. Unionen bør fremme etableringen </w:t>
      </w:r>
      <w:proofErr w:type="spellStart"/>
      <w:r w:rsidRPr="00467DB0">
        <w:t>af</w:t>
      </w:r>
      <w:proofErr w:type="spellEnd"/>
      <w:r w:rsidRPr="00467DB0">
        <w:t xml:space="preserve"> EU-</w:t>
      </w:r>
      <w:proofErr w:type="spellStart"/>
      <w:r w:rsidRPr="00467DB0">
        <w:t>baserede</w:t>
      </w:r>
      <w:proofErr w:type="spellEnd"/>
      <w:r w:rsidRPr="00467DB0">
        <w:t xml:space="preserve"> </w:t>
      </w:r>
      <w:proofErr w:type="spellStart"/>
      <w:r w:rsidRPr="00467DB0">
        <w:t>rumvirksomheder</w:t>
      </w:r>
      <w:proofErr w:type="spellEnd"/>
      <w:r w:rsidRPr="00467DB0">
        <w:t xml:space="preserve"> og deres </w:t>
      </w:r>
      <w:proofErr w:type="spellStart"/>
      <w:r w:rsidRPr="00467DB0">
        <w:t>muligheder</w:t>
      </w:r>
      <w:proofErr w:type="spellEnd"/>
      <w:r w:rsidRPr="00467DB0">
        <w:t xml:space="preserve"> for at ekspandere og få </w:t>
      </w:r>
      <w:proofErr w:type="spellStart"/>
      <w:r w:rsidRPr="00467DB0">
        <w:t>succes</w:t>
      </w:r>
      <w:proofErr w:type="spellEnd"/>
      <w:r w:rsidRPr="00467DB0">
        <w:t xml:space="preserve">, bl.a. ved at </w:t>
      </w:r>
      <w:proofErr w:type="spellStart"/>
      <w:r w:rsidRPr="00467DB0">
        <w:t>hjælpe</w:t>
      </w:r>
      <w:proofErr w:type="spellEnd"/>
      <w:r w:rsidRPr="00467DB0">
        <w:t xml:space="preserve"> dem med at få adgang til risikovillig kapital som følge </w:t>
      </w:r>
      <w:proofErr w:type="spellStart"/>
      <w:r w:rsidRPr="00467DB0">
        <w:t>af</w:t>
      </w:r>
      <w:proofErr w:type="spellEnd"/>
      <w:r w:rsidRPr="00467DB0">
        <w:t xml:space="preserve"> </w:t>
      </w:r>
      <w:proofErr w:type="spellStart"/>
      <w:r w:rsidRPr="00467DB0">
        <w:t>manglen</w:t>
      </w:r>
      <w:proofErr w:type="spellEnd"/>
      <w:r w:rsidRPr="00467DB0">
        <w:t xml:space="preserve"> på passende adgang i Unione</w:t>
      </w:r>
      <w:r w:rsidRPr="00467DB0">
        <w:t xml:space="preserve">n til privatkapital for nystartede </w:t>
      </w:r>
      <w:proofErr w:type="spellStart"/>
      <w:r w:rsidRPr="00467DB0">
        <w:t>virksomheder</w:t>
      </w:r>
      <w:proofErr w:type="spellEnd"/>
      <w:r w:rsidRPr="00467DB0">
        <w:t xml:space="preserve"> </w:t>
      </w:r>
      <w:proofErr w:type="spellStart"/>
      <w:r w:rsidRPr="00467DB0">
        <w:t>inden</w:t>
      </w:r>
      <w:proofErr w:type="spellEnd"/>
      <w:r w:rsidRPr="00467DB0">
        <w:t xml:space="preserve"> for </w:t>
      </w:r>
      <w:proofErr w:type="spellStart"/>
      <w:r w:rsidRPr="00467DB0">
        <w:t>rumsektoren</w:t>
      </w:r>
      <w:proofErr w:type="spellEnd"/>
      <w:r w:rsidRPr="00467DB0">
        <w:t xml:space="preserve">, og ved at </w:t>
      </w:r>
      <w:proofErr w:type="spellStart"/>
      <w:r w:rsidRPr="00467DB0">
        <w:t>skabe</w:t>
      </w:r>
      <w:proofErr w:type="spellEnd"/>
      <w:r w:rsidRPr="00467DB0">
        <w:t xml:space="preserve"> </w:t>
      </w:r>
      <w:proofErr w:type="spellStart"/>
      <w:r w:rsidRPr="00467DB0">
        <w:t>efterspørgsel</w:t>
      </w:r>
      <w:proofErr w:type="spellEnd"/>
      <w:r w:rsidRPr="00467DB0">
        <w:t xml:space="preserve">, den </w:t>
      </w:r>
      <w:proofErr w:type="spellStart"/>
      <w:r w:rsidRPr="00467DB0">
        <w:t>såkaldte</w:t>
      </w:r>
      <w:proofErr w:type="spellEnd"/>
      <w:r w:rsidRPr="00467DB0">
        <w:t xml:space="preserve"> </w:t>
      </w:r>
      <w:proofErr w:type="spellStart"/>
      <w:r w:rsidRPr="00467DB0">
        <w:t>model</w:t>
      </w:r>
      <w:proofErr w:type="spellEnd"/>
      <w:r w:rsidRPr="00467DB0">
        <w:t xml:space="preserve"> med første kontrakt.</w:t>
      </w:r>
    </w:p>
    <w:p w14:paraId="63E3F423" w14:textId="77777777" w:rsidR="00000000" w:rsidRPr="00467DB0" w:rsidRDefault="00693D67" w:rsidP="00467DB0">
      <w:pPr>
        <w:pStyle w:val="friliste"/>
      </w:pPr>
      <w:r w:rsidRPr="00467DB0">
        <w:t>(8)</w:t>
      </w:r>
      <w:r w:rsidRPr="00467DB0">
        <w:tab/>
      </w:r>
      <w:proofErr w:type="spellStart"/>
      <w:r w:rsidRPr="00467DB0">
        <w:t>Rumværdikæden</w:t>
      </w:r>
      <w:proofErr w:type="spellEnd"/>
      <w:r w:rsidRPr="00467DB0">
        <w:t xml:space="preserve"> </w:t>
      </w:r>
      <w:proofErr w:type="spellStart"/>
      <w:r w:rsidRPr="00467DB0">
        <w:t>opdeles</w:t>
      </w:r>
      <w:proofErr w:type="spellEnd"/>
      <w:r w:rsidRPr="00467DB0">
        <w:t xml:space="preserve"> generelt i: </w:t>
      </w:r>
      <w:proofErr w:type="spellStart"/>
      <w:r w:rsidRPr="00467DB0">
        <w:t>forudgående</w:t>
      </w:r>
      <w:proofErr w:type="spellEnd"/>
      <w:r w:rsidRPr="00467DB0">
        <w:t xml:space="preserve"> led og </w:t>
      </w:r>
      <w:proofErr w:type="spellStart"/>
      <w:r w:rsidRPr="00467DB0">
        <w:t>efterfølgende</w:t>
      </w:r>
      <w:proofErr w:type="spellEnd"/>
      <w:r w:rsidRPr="00467DB0">
        <w:t xml:space="preserve"> led. </w:t>
      </w:r>
      <w:proofErr w:type="spellStart"/>
      <w:r w:rsidRPr="00467DB0">
        <w:t>Forudgående</w:t>
      </w:r>
      <w:proofErr w:type="spellEnd"/>
      <w:r w:rsidRPr="00467DB0">
        <w:t xml:space="preserve"> led omfatter aktiviteter, </w:t>
      </w:r>
      <w:r w:rsidRPr="00467DB0">
        <w:t xml:space="preserve">der fører til et </w:t>
      </w:r>
      <w:proofErr w:type="spellStart"/>
      <w:r w:rsidRPr="00467DB0">
        <w:t>operationelt</w:t>
      </w:r>
      <w:proofErr w:type="spellEnd"/>
      <w:r w:rsidRPr="00467DB0">
        <w:t xml:space="preserve"> </w:t>
      </w:r>
      <w:proofErr w:type="spellStart"/>
      <w:r w:rsidRPr="00467DB0">
        <w:t>rumsystem</w:t>
      </w:r>
      <w:proofErr w:type="spellEnd"/>
      <w:r w:rsidRPr="00467DB0">
        <w:t xml:space="preserve">, herunder </w:t>
      </w:r>
      <w:proofErr w:type="spellStart"/>
      <w:r w:rsidRPr="00467DB0">
        <w:t>udvikling</w:t>
      </w:r>
      <w:proofErr w:type="spellEnd"/>
      <w:r w:rsidRPr="00467DB0">
        <w:t xml:space="preserve">, fremstilling, </w:t>
      </w:r>
      <w:proofErr w:type="spellStart"/>
      <w:r w:rsidRPr="00467DB0">
        <w:t>opsendelsesaktiviteter</w:t>
      </w:r>
      <w:proofErr w:type="spellEnd"/>
      <w:r w:rsidRPr="00467DB0">
        <w:t xml:space="preserve"> og drift </w:t>
      </w:r>
      <w:proofErr w:type="spellStart"/>
      <w:r w:rsidRPr="00467DB0">
        <w:t>af</w:t>
      </w:r>
      <w:proofErr w:type="spellEnd"/>
      <w:r w:rsidRPr="00467DB0">
        <w:t xml:space="preserve"> et sådant system. </w:t>
      </w:r>
      <w:proofErr w:type="spellStart"/>
      <w:r w:rsidRPr="00467DB0">
        <w:t>Efterfølgende</w:t>
      </w:r>
      <w:proofErr w:type="spellEnd"/>
      <w:r w:rsidRPr="00467DB0">
        <w:t xml:space="preserve"> led omfatter </w:t>
      </w:r>
      <w:proofErr w:type="spellStart"/>
      <w:r w:rsidRPr="00467DB0">
        <w:t>rumrelaterede</w:t>
      </w:r>
      <w:proofErr w:type="spellEnd"/>
      <w:r w:rsidRPr="00467DB0">
        <w:t xml:space="preserve"> tjenester og produkter til </w:t>
      </w:r>
      <w:proofErr w:type="spellStart"/>
      <w:r w:rsidRPr="00467DB0">
        <w:t>brugerne</w:t>
      </w:r>
      <w:proofErr w:type="spellEnd"/>
      <w:r w:rsidRPr="00467DB0">
        <w:t xml:space="preserve">. Digitale </w:t>
      </w:r>
      <w:proofErr w:type="spellStart"/>
      <w:r w:rsidRPr="00467DB0">
        <w:t>platforme</w:t>
      </w:r>
      <w:proofErr w:type="spellEnd"/>
      <w:r w:rsidRPr="00467DB0">
        <w:t xml:space="preserve"> </w:t>
      </w:r>
      <w:proofErr w:type="spellStart"/>
      <w:r w:rsidRPr="00467DB0">
        <w:t>udgør</w:t>
      </w:r>
      <w:proofErr w:type="spellEnd"/>
      <w:r w:rsidRPr="00467DB0">
        <w:t xml:space="preserve"> også et </w:t>
      </w:r>
      <w:proofErr w:type="spellStart"/>
      <w:r w:rsidRPr="00467DB0">
        <w:t>vigtigt</w:t>
      </w:r>
      <w:proofErr w:type="spellEnd"/>
      <w:r w:rsidRPr="00467DB0">
        <w:t xml:space="preserve"> element, </w:t>
      </w:r>
      <w:r w:rsidRPr="00467DB0">
        <w:t xml:space="preserve">der støtter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rumsektoren</w:t>
      </w:r>
      <w:proofErr w:type="spellEnd"/>
      <w:r w:rsidRPr="00467DB0">
        <w:t xml:space="preserve">. De </w:t>
      </w:r>
      <w:proofErr w:type="spellStart"/>
      <w:r w:rsidRPr="00467DB0">
        <w:t>giver</w:t>
      </w:r>
      <w:proofErr w:type="spellEnd"/>
      <w:r w:rsidRPr="00467DB0">
        <w:t xml:space="preserve"> adgang til data og produkter samt til </w:t>
      </w:r>
      <w:proofErr w:type="spellStart"/>
      <w:r w:rsidRPr="00467DB0">
        <w:t>værktøjer</w:t>
      </w:r>
      <w:proofErr w:type="spellEnd"/>
      <w:r w:rsidRPr="00467DB0">
        <w:t xml:space="preserve"> og lagrings- og </w:t>
      </w:r>
      <w:proofErr w:type="spellStart"/>
      <w:r w:rsidRPr="00467DB0">
        <w:t>databehandlingsfaciliteter</w:t>
      </w:r>
      <w:proofErr w:type="spellEnd"/>
      <w:r w:rsidRPr="00467DB0">
        <w:t>.</w:t>
      </w:r>
    </w:p>
    <w:p w14:paraId="3B19D68E" w14:textId="77777777" w:rsidR="00000000" w:rsidRPr="00467DB0" w:rsidRDefault="00693D67" w:rsidP="00467DB0">
      <w:pPr>
        <w:pStyle w:val="friliste"/>
      </w:pPr>
      <w:r w:rsidRPr="00467DB0">
        <w:t>(9)</w:t>
      </w:r>
      <w:r w:rsidRPr="00467DB0">
        <w:tab/>
        <w:t xml:space="preserve">Unionen udøver sine </w:t>
      </w:r>
      <w:proofErr w:type="spellStart"/>
      <w:r w:rsidRPr="00467DB0">
        <w:t>beføjelser</w:t>
      </w:r>
      <w:proofErr w:type="spellEnd"/>
      <w:r w:rsidRPr="00467DB0">
        <w:t xml:space="preserve"> på </w:t>
      </w:r>
      <w:proofErr w:type="spellStart"/>
      <w:r w:rsidRPr="00467DB0">
        <w:t>rumområdet</w:t>
      </w:r>
      <w:proofErr w:type="spellEnd"/>
      <w:r w:rsidRPr="00467DB0">
        <w:t xml:space="preserve"> i overensstemmelse med </w:t>
      </w:r>
      <w:proofErr w:type="spellStart"/>
      <w:r w:rsidRPr="00467DB0">
        <w:t>artikel</w:t>
      </w:r>
      <w:proofErr w:type="spellEnd"/>
      <w:r w:rsidRPr="00467DB0">
        <w:t xml:space="preserve"> 4, stk. 3, i TEUF. </w:t>
      </w:r>
      <w:proofErr w:type="spellStart"/>
      <w:r w:rsidRPr="00467DB0">
        <w:t>Kommissionen</w:t>
      </w:r>
      <w:proofErr w:type="spellEnd"/>
      <w:r w:rsidRPr="00467DB0">
        <w:t xml:space="preserve"> bør</w:t>
      </w:r>
      <w:r w:rsidRPr="00467DB0">
        <w:t xml:space="preserve"> sikre </w:t>
      </w:r>
      <w:proofErr w:type="spellStart"/>
      <w:r w:rsidRPr="00467DB0">
        <w:t>sammenhæng</w:t>
      </w:r>
      <w:proofErr w:type="spellEnd"/>
      <w:r w:rsidRPr="00467DB0">
        <w:t xml:space="preserve"> i de aktiviteter, som udøves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w:t>
      </w:r>
    </w:p>
    <w:p w14:paraId="6948D861" w14:textId="77777777" w:rsidR="00000000" w:rsidRPr="00467DB0" w:rsidRDefault="00693D67" w:rsidP="00467DB0">
      <w:pPr>
        <w:pStyle w:val="friliste"/>
      </w:pPr>
      <w:r w:rsidRPr="00467DB0">
        <w:t>(10)</w:t>
      </w:r>
      <w:r w:rsidRPr="00467DB0">
        <w:tab/>
      </w:r>
      <w:proofErr w:type="spellStart"/>
      <w:r w:rsidRPr="00467DB0">
        <w:t>Eftersom</w:t>
      </w:r>
      <w:proofErr w:type="spellEnd"/>
      <w:r w:rsidRPr="00467DB0">
        <w:t xml:space="preserve"> en </w:t>
      </w:r>
      <w:proofErr w:type="spellStart"/>
      <w:r w:rsidRPr="00467DB0">
        <w:t>række</w:t>
      </w:r>
      <w:proofErr w:type="spellEnd"/>
      <w:r w:rsidRPr="00467DB0">
        <w:t xml:space="preserve"> medlemsstater har en </w:t>
      </w:r>
      <w:proofErr w:type="spellStart"/>
      <w:r w:rsidRPr="00467DB0">
        <w:t>tradition</w:t>
      </w:r>
      <w:proofErr w:type="spellEnd"/>
      <w:r w:rsidRPr="00467DB0">
        <w:t xml:space="preserve"> for aktive </w:t>
      </w:r>
      <w:proofErr w:type="spellStart"/>
      <w:r w:rsidRPr="00467DB0">
        <w:t>rumrelaterede</w:t>
      </w:r>
      <w:proofErr w:type="spellEnd"/>
      <w:r w:rsidRPr="00467DB0">
        <w:t xml:space="preserve"> industrier, bør behovet for at </w:t>
      </w:r>
      <w:proofErr w:type="spellStart"/>
      <w:r w:rsidRPr="00467DB0">
        <w:t>udvikle</w:t>
      </w:r>
      <w:proofErr w:type="spellEnd"/>
      <w:r w:rsidRPr="00467DB0">
        <w:t xml:space="preserve"> og modne </w:t>
      </w:r>
      <w:proofErr w:type="spellStart"/>
      <w:r w:rsidRPr="00467DB0">
        <w:t>rumindustrier</w:t>
      </w:r>
      <w:proofErr w:type="spellEnd"/>
      <w:r w:rsidRPr="00467DB0">
        <w:t xml:space="preserve"> i medlemsstater med fremspirende </w:t>
      </w:r>
      <w:proofErr w:type="spellStart"/>
      <w:r w:rsidRPr="00467DB0">
        <w:t>k</w:t>
      </w:r>
      <w:r w:rsidRPr="00467DB0">
        <w:t>apaciteter</w:t>
      </w:r>
      <w:proofErr w:type="spellEnd"/>
      <w:r w:rsidRPr="00467DB0">
        <w:t xml:space="preserve"> og behovet for at reagere på de </w:t>
      </w:r>
      <w:proofErr w:type="spellStart"/>
      <w:r w:rsidRPr="00467DB0">
        <w:t>traditionelle</w:t>
      </w:r>
      <w:proofErr w:type="spellEnd"/>
      <w:r w:rsidRPr="00467DB0">
        <w:t xml:space="preserve"> </w:t>
      </w:r>
      <w:proofErr w:type="spellStart"/>
      <w:r w:rsidRPr="00467DB0">
        <w:t>rumindustriers</w:t>
      </w:r>
      <w:proofErr w:type="spellEnd"/>
      <w:r w:rsidRPr="00467DB0">
        <w:t xml:space="preserve"> </w:t>
      </w:r>
      <w:proofErr w:type="spellStart"/>
      <w:r w:rsidRPr="00467DB0">
        <w:t>udfordringer</w:t>
      </w:r>
      <w:proofErr w:type="spellEnd"/>
      <w:r w:rsidRPr="00467DB0">
        <w:t xml:space="preserve">, som er forbundet med </w:t>
      </w:r>
      <w:r w:rsidRPr="00467DB0">
        <w:lastRenderedPageBreak/>
        <w:t xml:space="preserve">fremkomsten </w:t>
      </w:r>
      <w:proofErr w:type="spellStart"/>
      <w:r w:rsidRPr="00467DB0">
        <w:t>af</w:t>
      </w:r>
      <w:proofErr w:type="spellEnd"/>
      <w:r w:rsidRPr="00467DB0">
        <w:t xml:space="preserve"> private aktører i </w:t>
      </w:r>
      <w:proofErr w:type="spellStart"/>
      <w:r w:rsidRPr="00467DB0">
        <w:t>rummet</w:t>
      </w:r>
      <w:proofErr w:type="spellEnd"/>
      <w:r w:rsidRPr="00467DB0">
        <w:t xml:space="preserve"> ("New Space"), </w:t>
      </w:r>
      <w:proofErr w:type="spellStart"/>
      <w:r w:rsidRPr="00467DB0">
        <w:t>anerkendes</w:t>
      </w:r>
      <w:proofErr w:type="spellEnd"/>
      <w:r w:rsidRPr="00467DB0">
        <w:t xml:space="preserve">. Foranstaltninger til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rumindustriens</w:t>
      </w:r>
      <w:proofErr w:type="spellEnd"/>
      <w:r w:rsidRPr="00467DB0">
        <w:t xml:space="preserve"> </w:t>
      </w:r>
      <w:proofErr w:type="spellStart"/>
      <w:r w:rsidRPr="00467DB0">
        <w:t>kapacitet</w:t>
      </w:r>
      <w:proofErr w:type="spellEnd"/>
      <w:r w:rsidRPr="00467DB0">
        <w:t xml:space="preserve"> i hele EU og </w:t>
      </w:r>
      <w:proofErr w:type="spellStart"/>
      <w:r w:rsidRPr="00467DB0">
        <w:t>samarbejde</w:t>
      </w:r>
      <w:r w:rsidRPr="00467DB0">
        <w:t>t</w:t>
      </w:r>
      <w:proofErr w:type="spellEnd"/>
      <w:r w:rsidRPr="00467DB0">
        <w:t xml:space="preserve">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t>rumindustrien</w:t>
      </w:r>
      <w:proofErr w:type="spellEnd"/>
      <w:r w:rsidRPr="00467DB0">
        <w:t xml:space="preserve"> i alle medlemsstater bør fremmes.</w:t>
      </w:r>
    </w:p>
    <w:p w14:paraId="2AA1F66E" w14:textId="77777777" w:rsidR="00000000" w:rsidRPr="00467DB0" w:rsidRDefault="00693D67" w:rsidP="00467DB0">
      <w:pPr>
        <w:pStyle w:val="friliste"/>
      </w:pPr>
      <w:r w:rsidRPr="00467DB0">
        <w:t>(11)</w:t>
      </w:r>
      <w:r w:rsidRPr="00467DB0">
        <w:tab/>
        <w:t xml:space="preserve">Foranstaltninger under programmet bør bygge på og drage fordel </w:t>
      </w:r>
      <w:proofErr w:type="spellStart"/>
      <w:r w:rsidRPr="00467DB0">
        <w:t>af</w:t>
      </w:r>
      <w:proofErr w:type="spellEnd"/>
      <w:r w:rsidRPr="00467DB0">
        <w:t xml:space="preserve"> </w:t>
      </w:r>
      <w:proofErr w:type="spellStart"/>
      <w:r w:rsidRPr="00467DB0">
        <w:t>national</w:t>
      </w:r>
      <w:proofErr w:type="spellEnd"/>
      <w:r w:rsidRPr="00467DB0">
        <w:t xml:space="preserve"> og </w:t>
      </w:r>
      <w:proofErr w:type="spellStart"/>
      <w:r w:rsidRPr="00467DB0">
        <w:t>europæisk</w:t>
      </w:r>
      <w:proofErr w:type="spellEnd"/>
      <w:r w:rsidRPr="00467DB0">
        <w:t xml:space="preserve"> </w:t>
      </w:r>
      <w:proofErr w:type="spellStart"/>
      <w:r w:rsidRPr="00467DB0">
        <w:t>kapacitet</w:t>
      </w:r>
      <w:proofErr w:type="spellEnd"/>
      <w:r w:rsidRPr="00467DB0">
        <w:t xml:space="preserve">, der eksisterer på det tidspunkt, hvor foranstaltningen </w:t>
      </w:r>
      <w:proofErr w:type="spellStart"/>
      <w:r w:rsidRPr="00467DB0">
        <w:t>gennemføres</w:t>
      </w:r>
      <w:proofErr w:type="spellEnd"/>
      <w:r w:rsidRPr="00467DB0">
        <w:t>.</w:t>
      </w:r>
    </w:p>
    <w:p w14:paraId="227790BC" w14:textId="77777777" w:rsidR="00000000" w:rsidRPr="00467DB0" w:rsidRDefault="00693D67" w:rsidP="00467DB0">
      <w:pPr>
        <w:pStyle w:val="friliste"/>
      </w:pPr>
      <w:r w:rsidRPr="00467DB0">
        <w:t>(12)</w:t>
      </w:r>
      <w:r w:rsidRPr="00467DB0">
        <w:tab/>
      </w:r>
      <w:proofErr w:type="spellStart"/>
      <w:r w:rsidRPr="00467DB0">
        <w:t>Rumaktiviteter</w:t>
      </w:r>
      <w:proofErr w:type="spellEnd"/>
      <w:r w:rsidRPr="00467DB0">
        <w:t xml:space="preserve"> ha</w:t>
      </w:r>
      <w:r w:rsidRPr="00467DB0">
        <w:t xml:space="preserve">r på grund </w:t>
      </w:r>
      <w:proofErr w:type="spellStart"/>
      <w:r w:rsidRPr="00467DB0">
        <w:t>af</w:t>
      </w:r>
      <w:proofErr w:type="spellEnd"/>
      <w:r w:rsidRPr="00467DB0">
        <w:t xml:space="preserve"> programmets </w:t>
      </w:r>
      <w:proofErr w:type="spellStart"/>
      <w:r w:rsidRPr="00467DB0">
        <w:t>dækning</w:t>
      </w:r>
      <w:proofErr w:type="spellEnd"/>
      <w:r w:rsidRPr="00467DB0">
        <w:t xml:space="preserve"> og deres </w:t>
      </w:r>
      <w:proofErr w:type="spellStart"/>
      <w:r w:rsidRPr="00467DB0">
        <w:t>potentiale</w:t>
      </w:r>
      <w:proofErr w:type="spellEnd"/>
      <w:r w:rsidRPr="00467DB0">
        <w:t xml:space="preserve"> for at </w:t>
      </w:r>
      <w:proofErr w:type="spellStart"/>
      <w:r w:rsidRPr="00467DB0">
        <w:t>bidrage</w:t>
      </w:r>
      <w:proofErr w:type="spellEnd"/>
      <w:r w:rsidRPr="00467DB0">
        <w:t xml:space="preserve"> til løsning </w:t>
      </w:r>
      <w:proofErr w:type="spellStart"/>
      <w:r w:rsidRPr="00467DB0">
        <w:t>af</w:t>
      </w:r>
      <w:proofErr w:type="spellEnd"/>
      <w:r w:rsidRPr="00467DB0">
        <w:t xml:space="preserve"> de globale </w:t>
      </w:r>
      <w:proofErr w:type="spellStart"/>
      <w:r w:rsidRPr="00467DB0">
        <w:t>udfordringer</w:t>
      </w:r>
      <w:proofErr w:type="spellEnd"/>
      <w:r w:rsidRPr="00467DB0">
        <w:t xml:space="preserve"> en </w:t>
      </w:r>
      <w:proofErr w:type="spellStart"/>
      <w:r w:rsidRPr="00467DB0">
        <w:t>stærk</w:t>
      </w:r>
      <w:proofErr w:type="spellEnd"/>
      <w:r w:rsidRPr="00467DB0">
        <w:t xml:space="preserve"> </w:t>
      </w:r>
      <w:proofErr w:type="spellStart"/>
      <w:r w:rsidRPr="00467DB0">
        <w:t>international</w:t>
      </w:r>
      <w:proofErr w:type="spellEnd"/>
      <w:r w:rsidRPr="00467DB0">
        <w:t xml:space="preserve"> </w:t>
      </w:r>
      <w:proofErr w:type="spellStart"/>
      <w:r w:rsidRPr="00467DB0">
        <w:t>dimension</w:t>
      </w:r>
      <w:proofErr w:type="spellEnd"/>
      <w:r w:rsidRPr="00467DB0">
        <w:t xml:space="preserve">. I </w:t>
      </w:r>
      <w:proofErr w:type="spellStart"/>
      <w:r w:rsidRPr="00467DB0">
        <w:t>tæt</w:t>
      </w:r>
      <w:proofErr w:type="spellEnd"/>
      <w:r w:rsidRPr="00467DB0">
        <w:t xml:space="preserve"> </w:t>
      </w:r>
      <w:proofErr w:type="spellStart"/>
      <w:r w:rsidRPr="00467DB0">
        <w:t>samarbejde</w:t>
      </w:r>
      <w:proofErr w:type="spellEnd"/>
      <w:r w:rsidRPr="00467DB0">
        <w:t xml:space="preserve"> med </w:t>
      </w:r>
      <w:proofErr w:type="spellStart"/>
      <w:r w:rsidRPr="00467DB0">
        <w:t>medlemsstaterne</w:t>
      </w:r>
      <w:proofErr w:type="spellEnd"/>
      <w:r w:rsidRPr="00467DB0">
        <w:t xml:space="preserve"> og med disses samtykke kan de relevante organer i programmet eventuelt </w:t>
      </w:r>
      <w:proofErr w:type="spellStart"/>
      <w:r w:rsidRPr="00467DB0">
        <w:t>deltag</w:t>
      </w:r>
      <w:r w:rsidRPr="00467DB0">
        <w:t>e</w:t>
      </w:r>
      <w:proofErr w:type="spellEnd"/>
      <w:r w:rsidRPr="00467DB0">
        <w:t xml:space="preserve"> i anliggender, der vedrører programmet, i et </w:t>
      </w:r>
      <w:proofErr w:type="spellStart"/>
      <w:r w:rsidRPr="00467DB0">
        <w:t>internationalt</w:t>
      </w:r>
      <w:proofErr w:type="spellEnd"/>
      <w:r w:rsidRPr="00467DB0">
        <w:t xml:space="preserve"> </w:t>
      </w:r>
      <w:proofErr w:type="spellStart"/>
      <w:r w:rsidRPr="00467DB0">
        <w:t>samarbejde</w:t>
      </w:r>
      <w:proofErr w:type="spellEnd"/>
      <w:r w:rsidRPr="00467DB0">
        <w:t xml:space="preserve"> og i </w:t>
      </w:r>
      <w:proofErr w:type="spellStart"/>
      <w:r w:rsidRPr="00467DB0">
        <w:t>samarbejdet</w:t>
      </w:r>
      <w:proofErr w:type="spellEnd"/>
      <w:r w:rsidRPr="00467DB0">
        <w:t xml:space="preserve"> i relevante </w:t>
      </w:r>
      <w:proofErr w:type="spellStart"/>
      <w:r w:rsidRPr="00467DB0">
        <w:t>sektorspecifikke</w:t>
      </w:r>
      <w:proofErr w:type="spellEnd"/>
      <w:r w:rsidRPr="00467DB0">
        <w:t xml:space="preserve"> FN-organer. For så vidt angår anliggender, der vedrører programmet, kan </w:t>
      </w:r>
      <w:proofErr w:type="spellStart"/>
      <w:r w:rsidRPr="00467DB0">
        <w:t>Kommissionen</w:t>
      </w:r>
      <w:proofErr w:type="spellEnd"/>
      <w:r w:rsidRPr="00467DB0">
        <w:t xml:space="preserve"> på Unionens vegne og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sine </w:t>
      </w:r>
      <w:proofErr w:type="spellStart"/>
      <w:r w:rsidRPr="00467DB0">
        <w:t>befø</w:t>
      </w:r>
      <w:r w:rsidRPr="00467DB0">
        <w:t>jelser</w:t>
      </w:r>
      <w:proofErr w:type="spellEnd"/>
      <w:r w:rsidRPr="00467DB0">
        <w:t xml:space="preserve"> eventuelt koordinere aktiviteter på den </w:t>
      </w:r>
      <w:proofErr w:type="spellStart"/>
      <w:r w:rsidRPr="00467DB0">
        <w:t>internationale</w:t>
      </w:r>
      <w:proofErr w:type="spellEnd"/>
      <w:r w:rsidRPr="00467DB0">
        <w:t xml:space="preserve"> scene, navnlig med </w:t>
      </w:r>
      <w:proofErr w:type="spellStart"/>
      <w:r w:rsidRPr="00467DB0">
        <w:t>henblik</w:t>
      </w:r>
      <w:proofErr w:type="spellEnd"/>
      <w:r w:rsidRPr="00467DB0">
        <w:t xml:space="preserve"> på at forsvare Unionens og </w:t>
      </w:r>
      <w:proofErr w:type="spellStart"/>
      <w:r w:rsidRPr="00467DB0">
        <w:t>medlemsstaternes</w:t>
      </w:r>
      <w:proofErr w:type="spellEnd"/>
      <w:r w:rsidRPr="00467DB0">
        <w:t xml:space="preserve"> interesser i </w:t>
      </w:r>
      <w:proofErr w:type="spellStart"/>
      <w:r w:rsidRPr="00467DB0">
        <w:t>internationale</w:t>
      </w:r>
      <w:proofErr w:type="spellEnd"/>
      <w:r w:rsidRPr="00467DB0">
        <w:t xml:space="preserve"> fora, herunder </w:t>
      </w:r>
      <w:proofErr w:type="spellStart"/>
      <w:r w:rsidRPr="00467DB0">
        <w:t>inden</w:t>
      </w:r>
      <w:proofErr w:type="spellEnd"/>
      <w:r w:rsidRPr="00467DB0">
        <w:t xml:space="preserve"> for frekvenser i </w:t>
      </w:r>
      <w:proofErr w:type="spellStart"/>
      <w:r w:rsidRPr="00467DB0">
        <w:t>relation</w:t>
      </w:r>
      <w:proofErr w:type="spellEnd"/>
      <w:r w:rsidRPr="00467DB0">
        <w:t xml:space="preserve"> til programmet, </w:t>
      </w:r>
      <w:proofErr w:type="spellStart"/>
      <w:r w:rsidRPr="00467DB0">
        <w:t>uden</w:t>
      </w:r>
      <w:proofErr w:type="spellEnd"/>
      <w:r w:rsidRPr="00467DB0">
        <w:t xml:space="preserve"> at dette berører </w:t>
      </w:r>
      <w:proofErr w:type="spellStart"/>
      <w:r w:rsidRPr="00467DB0">
        <w:t>medlemssta</w:t>
      </w:r>
      <w:r w:rsidRPr="00467DB0">
        <w:t>ternes</w:t>
      </w:r>
      <w:proofErr w:type="spellEnd"/>
      <w:r w:rsidRPr="00467DB0">
        <w:t xml:space="preserve"> </w:t>
      </w:r>
      <w:proofErr w:type="spellStart"/>
      <w:r w:rsidRPr="00467DB0">
        <w:t>kompetence</w:t>
      </w:r>
      <w:proofErr w:type="spellEnd"/>
      <w:r w:rsidRPr="00467DB0">
        <w:t xml:space="preserve"> på dette område. Det er navnlig </w:t>
      </w:r>
      <w:proofErr w:type="spellStart"/>
      <w:r w:rsidRPr="00467DB0">
        <w:t>vigtigt</w:t>
      </w:r>
      <w:proofErr w:type="spellEnd"/>
      <w:r w:rsidRPr="00467DB0">
        <w:t xml:space="preserve"> for Unionen, </w:t>
      </w:r>
      <w:proofErr w:type="spellStart"/>
      <w:r w:rsidRPr="00467DB0">
        <w:t>repræsenteret</w:t>
      </w:r>
      <w:proofErr w:type="spellEnd"/>
      <w:r w:rsidRPr="00467DB0">
        <w:t xml:space="preserve"> ved </w:t>
      </w:r>
      <w:proofErr w:type="spellStart"/>
      <w:r w:rsidRPr="00467DB0">
        <w:t>Kommissionen</w:t>
      </w:r>
      <w:proofErr w:type="spellEnd"/>
      <w:r w:rsidRPr="00467DB0">
        <w:t xml:space="preserve">, at </w:t>
      </w:r>
      <w:proofErr w:type="spellStart"/>
      <w:r w:rsidRPr="00467DB0">
        <w:t>samarbejde</w:t>
      </w:r>
      <w:proofErr w:type="spellEnd"/>
      <w:r w:rsidRPr="00467DB0">
        <w:t xml:space="preserve"> som observatør i </w:t>
      </w:r>
      <w:proofErr w:type="spellStart"/>
      <w:r w:rsidRPr="00467DB0">
        <w:t>organerne</w:t>
      </w:r>
      <w:proofErr w:type="spellEnd"/>
      <w:r w:rsidRPr="00467DB0">
        <w:t xml:space="preserve"> under det </w:t>
      </w:r>
      <w:proofErr w:type="spellStart"/>
      <w:r w:rsidRPr="00467DB0">
        <w:t>internationale</w:t>
      </w:r>
      <w:proofErr w:type="spellEnd"/>
      <w:r w:rsidRPr="00467DB0">
        <w:t xml:space="preserve"> </w:t>
      </w:r>
      <w:proofErr w:type="spellStart"/>
      <w:r w:rsidRPr="00467DB0">
        <w:t>Cospas</w:t>
      </w:r>
      <w:proofErr w:type="spellEnd"/>
      <w:r w:rsidRPr="00467DB0">
        <w:t>-</w:t>
      </w:r>
      <w:proofErr w:type="spellStart"/>
      <w:r w:rsidRPr="00467DB0">
        <w:t>Sarsat</w:t>
      </w:r>
      <w:proofErr w:type="spellEnd"/>
      <w:r w:rsidRPr="00467DB0">
        <w:t>-program.</w:t>
      </w:r>
    </w:p>
    <w:p w14:paraId="5FF84DAB" w14:textId="77777777" w:rsidR="00000000" w:rsidRPr="00467DB0" w:rsidRDefault="00693D67" w:rsidP="00467DB0">
      <w:pPr>
        <w:pStyle w:val="friliste"/>
      </w:pPr>
      <w:r w:rsidRPr="00467DB0">
        <w:t>(13)</w:t>
      </w:r>
      <w:r w:rsidRPr="00467DB0">
        <w:tab/>
        <w:t xml:space="preserve">Det </w:t>
      </w:r>
      <w:proofErr w:type="spellStart"/>
      <w:r w:rsidRPr="00467DB0">
        <w:t>internationale</w:t>
      </w:r>
      <w:proofErr w:type="spellEnd"/>
      <w:r w:rsidRPr="00467DB0">
        <w:t xml:space="preserve"> </w:t>
      </w:r>
      <w:proofErr w:type="spellStart"/>
      <w:r w:rsidRPr="00467DB0">
        <w:t>samarbejde</w:t>
      </w:r>
      <w:proofErr w:type="spellEnd"/>
      <w:r w:rsidRPr="00467DB0">
        <w:t xml:space="preserve"> er </w:t>
      </w:r>
      <w:proofErr w:type="spellStart"/>
      <w:r w:rsidRPr="00467DB0">
        <w:t>af</w:t>
      </w:r>
      <w:proofErr w:type="spellEnd"/>
      <w:r w:rsidRPr="00467DB0">
        <w:t xml:space="preserve"> </w:t>
      </w:r>
      <w:proofErr w:type="spellStart"/>
      <w:r w:rsidRPr="00467DB0">
        <w:t>afgørende</w:t>
      </w:r>
      <w:proofErr w:type="spellEnd"/>
      <w:r w:rsidRPr="00467DB0">
        <w:t xml:space="preserve"> betydning for</w:t>
      </w:r>
      <w:r w:rsidRPr="00467DB0">
        <w:t xml:space="preserve"> at fremme Unionens rolle som global aktør i </w:t>
      </w:r>
      <w:proofErr w:type="spellStart"/>
      <w:r w:rsidRPr="00467DB0">
        <w:t>rumsektoren</w:t>
      </w:r>
      <w:proofErr w:type="spellEnd"/>
      <w:r w:rsidRPr="00467DB0">
        <w:t xml:space="preserve"> samt dens teknologi og industri, idet det fremmer fair </w:t>
      </w:r>
      <w:proofErr w:type="spellStart"/>
      <w:r w:rsidRPr="00467DB0">
        <w:t>konkurrence</w:t>
      </w:r>
      <w:proofErr w:type="spellEnd"/>
      <w:r w:rsidRPr="00467DB0">
        <w:t xml:space="preserve"> på </w:t>
      </w:r>
      <w:proofErr w:type="spellStart"/>
      <w:r w:rsidRPr="00467DB0">
        <w:t>internationalt</w:t>
      </w:r>
      <w:proofErr w:type="spellEnd"/>
      <w:r w:rsidRPr="00467DB0">
        <w:t xml:space="preserve"> plan, samtidig med at der </w:t>
      </w:r>
      <w:proofErr w:type="spellStart"/>
      <w:r w:rsidRPr="00467DB0">
        <w:t>tages</w:t>
      </w:r>
      <w:proofErr w:type="spellEnd"/>
      <w:r w:rsidRPr="00467DB0">
        <w:t xml:space="preserve"> hensyn til behovet for at sikre </w:t>
      </w:r>
      <w:proofErr w:type="spellStart"/>
      <w:r w:rsidRPr="00467DB0">
        <w:t>gensidighed</w:t>
      </w:r>
      <w:proofErr w:type="spellEnd"/>
      <w:r w:rsidRPr="00467DB0">
        <w:t xml:space="preserve"> i </w:t>
      </w:r>
      <w:proofErr w:type="spellStart"/>
      <w:r w:rsidRPr="00467DB0">
        <w:t>parternes</w:t>
      </w:r>
      <w:proofErr w:type="spellEnd"/>
      <w:r w:rsidRPr="00467DB0">
        <w:t xml:space="preserve"> </w:t>
      </w:r>
      <w:proofErr w:type="spellStart"/>
      <w:r w:rsidRPr="00467DB0">
        <w:t>rettigheder</w:t>
      </w:r>
      <w:proofErr w:type="spellEnd"/>
      <w:r w:rsidRPr="00467DB0">
        <w:t xml:space="preserve"> og </w:t>
      </w:r>
      <w:proofErr w:type="spellStart"/>
      <w:r w:rsidRPr="00467DB0">
        <w:t>forpligtels</w:t>
      </w:r>
      <w:r w:rsidRPr="00467DB0">
        <w:t>er</w:t>
      </w:r>
      <w:proofErr w:type="spellEnd"/>
      <w:r w:rsidRPr="00467DB0">
        <w:t xml:space="preserve"> og tilskynde til </w:t>
      </w:r>
      <w:proofErr w:type="spellStart"/>
      <w:r w:rsidRPr="00467DB0">
        <w:t>samarbejde</w:t>
      </w:r>
      <w:proofErr w:type="spellEnd"/>
      <w:r w:rsidRPr="00467DB0">
        <w:t xml:space="preserve"> på </w:t>
      </w:r>
      <w:proofErr w:type="spellStart"/>
      <w:r w:rsidRPr="00467DB0">
        <w:t>uddannelsesområdet</w:t>
      </w:r>
      <w:proofErr w:type="spellEnd"/>
      <w:r w:rsidRPr="00467DB0">
        <w:t xml:space="preserve">. </w:t>
      </w:r>
      <w:proofErr w:type="spellStart"/>
      <w:r w:rsidRPr="00467DB0">
        <w:t>Internationalt</w:t>
      </w:r>
      <w:proofErr w:type="spellEnd"/>
      <w:r w:rsidRPr="00467DB0">
        <w:t xml:space="preserve"> </w:t>
      </w:r>
      <w:proofErr w:type="spellStart"/>
      <w:r w:rsidRPr="00467DB0">
        <w:t>samarbejde</w:t>
      </w:r>
      <w:proofErr w:type="spellEnd"/>
      <w:r w:rsidRPr="00467DB0">
        <w:t xml:space="preserve"> er et </w:t>
      </w:r>
      <w:proofErr w:type="spellStart"/>
      <w:r w:rsidRPr="00467DB0">
        <w:t>centralt</w:t>
      </w:r>
      <w:proofErr w:type="spellEnd"/>
      <w:r w:rsidRPr="00467DB0">
        <w:t xml:space="preserve"> element i </w:t>
      </w:r>
      <w:proofErr w:type="spellStart"/>
      <w:r w:rsidRPr="00467DB0">
        <w:t>rumstrategien</w:t>
      </w:r>
      <w:proofErr w:type="spellEnd"/>
      <w:r w:rsidRPr="00467DB0">
        <w:t xml:space="preserve"> for Europa, som det </w:t>
      </w:r>
      <w:proofErr w:type="gramStart"/>
      <w:r w:rsidRPr="00467DB0">
        <w:t>fremgår</w:t>
      </w:r>
      <w:proofErr w:type="gramEnd"/>
      <w:r w:rsidRPr="00467DB0">
        <w:t xml:space="preserve"> </w:t>
      </w:r>
      <w:proofErr w:type="spellStart"/>
      <w:r w:rsidRPr="00467DB0">
        <w:t>af</w:t>
      </w:r>
      <w:proofErr w:type="spellEnd"/>
      <w:r w:rsidRPr="00467DB0">
        <w:t xml:space="preserve"> </w:t>
      </w:r>
      <w:proofErr w:type="spellStart"/>
      <w:r w:rsidRPr="00467DB0">
        <w:t>Kommissionens</w:t>
      </w:r>
      <w:proofErr w:type="spellEnd"/>
      <w:r w:rsidRPr="00467DB0">
        <w:t xml:space="preserve"> meddelelse </w:t>
      </w:r>
      <w:proofErr w:type="spellStart"/>
      <w:r w:rsidRPr="00467DB0">
        <w:t>af</w:t>
      </w:r>
      <w:proofErr w:type="spellEnd"/>
      <w:r w:rsidRPr="00467DB0">
        <w:t xml:space="preserve"> 26. oktober 2016. </w:t>
      </w:r>
      <w:proofErr w:type="spellStart"/>
      <w:r w:rsidRPr="00467DB0">
        <w:t>Kommissionen</w:t>
      </w:r>
      <w:proofErr w:type="spellEnd"/>
      <w:r w:rsidRPr="00467DB0">
        <w:t xml:space="preserve"> bør </w:t>
      </w:r>
      <w:proofErr w:type="spellStart"/>
      <w:r w:rsidRPr="00467DB0">
        <w:t>bruge</w:t>
      </w:r>
      <w:proofErr w:type="spellEnd"/>
      <w:r w:rsidRPr="00467DB0">
        <w:t xml:space="preserve"> programmet til at </w:t>
      </w:r>
      <w:proofErr w:type="spellStart"/>
      <w:r w:rsidRPr="00467DB0">
        <w:t>bidrage</w:t>
      </w:r>
      <w:proofErr w:type="spellEnd"/>
      <w:r w:rsidRPr="00467DB0">
        <w:t xml:space="preserve"> til og drag</w:t>
      </w:r>
      <w:r w:rsidRPr="00467DB0">
        <w:t xml:space="preserve">e nytte </w:t>
      </w:r>
      <w:proofErr w:type="spellStart"/>
      <w:r w:rsidRPr="00467DB0">
        <w:t>af</w:t>
      </w:r>
      <w:proofErr w:type="spellEnd"/>
      <w:r w:rsidRPr="00467DB0">
        <w:t xml:space="preserve"> den </w:t>
      </w:r>
      <w:proofErr w:type="spellStart"/>
      <w:r w:rsidRPr="00467DB0">
        <w:t>internationale</w:t>
      </w:r>
      <w:proofErr w:type="spellEnd"/>
      <w:r w:rsidRPr="00467DB0">
        <w:t xml:space="preserve"> </w:t>
      </w:r>
      <w:proofErr w:type="spellStart"/>
      <w:r w:rsidRPr="00467DB0">
        <w:t>indsats</w:t>
      </w:r>
      <w:proofErr w:type="spellEnd"/>
      <w:r w:rsidRPr="00467DB0">
        <w:t xml:space="preserve"> </w:t>
      </w:r>
      <w:proofErr w:type="spellStart"/>
      <w:r w:rsidRPr="00467DB0">
        <w:t>gennem</w:t>
      </w:r>
      <w:proofErr w:type="spellEnd"/>
      <w:r w:rsidRPr="00467DB0">
        <w:t xml:space="preserve"> initiativer til fremme </w:t>
      </w:r>
      <w:proofErr w:type="spellStart"/>
      <w:r w:rsidRPr="00467DB0">
        <w:t>af</w:t>
      </w:r>
      <w:proofErr w:type="spellEnd"/>
      <w:r w:rsidRPr="00467DB0">
        <w:t xml:space="preserve"> </w:t>
      </w:r>
      <w:proofErr w:type="spellStart"/>
      <w:r w:rsidRPr="00467DB0">
        <w:t>europæisk</w:t>
      </w:r>
      <w:proofErr w:type="spellEnd"/>
      <w:r w:rsidRPr="00467DB0">
        <w:t xml:space="preserve"> teknologi og </w:t>
      </w:r>
      <w:proofErr w:type="spellStart"/>
      <w:r w:rsidRPr="00467DB0">
        <w:t>europæisk</w:t>
      </w:r>
      <w:proofErr w:type="spellEnd"/>
      <w:r w:rsidRPr="00467DB0">
        <w:t xml:space="preserve"> industri på </w:t>
      </w:r>
      <w:proofErr w:type="spellStart"/>
      <w:r w:rsidRPr="00467DB0">
        <w:t>internationalt</w:t>
      </w:r>
      <w:proofErr w:type="spellEnd"/>
      <w:r w:rsidRPr="00467DB0">
        <w:t xml:space="preserve"> plan, f.eks. </w:t>
      </w:r>
      <w:proofErr w:type="spellStart"/>
      <w:r w:rsidRPr="00467DB0">
        <w:t>gennem</w:t>
      </w:r>
      <w:proofErr w:type="spellEnd"/>
      <w:r w:rsidRPr="00467DB0">
        <w:t xml:space="preserve"> bilaterale dialoger og industriworkshops og støtte til </w:t>
      </w:r>
      <w:proofErr w:type="spellStart"/>
      <w:r w:rsidRPr="00467DB0">
        <w:t>internationalisering</w:t>
      </w:r>
      <w:proofErr w:type="spellEnd"/>
      <w:r w:rsidRPr="00467DB0">
        <w:t xml:space="preserve"> </w:t>
      </w:r>
      <w:proofErr w:type="spellStart"/>
      <w:r w:rsidRPr="00467DB0">
        <w:t>af</w:t>
      </w:r>
      <w:proofErr w:type="spellEnd"/>
      <w:r w:rsidRPr="00467DB0">
        <w:t xml:space="preserve"> </w:t>
      </w:r>
      <w:proofErr w:type="spellStart"/>
      <w:r w:rsidRPr="00467DB0">
        <w:t>SMV'er</w:t>
      </w:r>
      <w:proofErr w:type="spellEnd"/>
      <w:r w:rsidRPr="00467DB0">
        <w:t xml:space="preserve">, samt til fremme </w:t>
      </w:r>
      <w:proofErr w:type="spellStart"/>
      <w:r w:rsidRPr="00467DB0">
        <w:t>af</w:t>
      </w:r>
      <w:proofErr w:type="spellEnd"/>
      <w:r w:rsidRPr="00467DB0">
        <w:t xml:space="preserve"> adgangen til </w:t>
      </w:r>
      <w:proofErr w:type="spellStart"/>
      <w:r w:rsidRPr="00467DB0">
        <w:t>internationale</w:t>
      </w:r>
      <w:proofErr w:type="spellEnd"/>
      <w:r w:rsidRPr="00467DB0">
        <w:t xml:space="preserve"> markeder og fair </w:t>
      </w:r>
      <w:proofErr w:type="spellStart"/>
      <w:r w:rsidRPr="00467DB0">
        <w:t>konkurrence</w:t>
      </w:r>
      <w:proofErr w:type="spellEnd"/>
      <w:r w:rsidRPr="00467DB0">
        <w:t xml:space="preserve">, bl.a. ved at anvende initiativer </w:t>
      </w:r>
      <w:proofErr w:type="gramStart"/>
      <w:r w:rsidRPr="00467DB0">
        <w:t>vedrørende</w:t>
      </w:r>
      <w:proofErr w:type="gramEnd"/>
      <w:r w:rsidRPr="00467DB0">
        <w:t xml:space="preserve"> økonomisk diplomati som løftestang. </w:t>
      </w:r>
      <w:proofErr w:type="spellStart"/>
      <w:r w:rsidRPr="00467DB0">
        <w:t>Europæiske</w:t>
      </w:r>
      <w:proofErr w:type="spellEnd"/>
      <w:r w:rsidRPr="00467DB0">
        <w:t xml:space="preserve"> initiativer </w:t>
      </w:r>
      <w:proofErr w:type="gramStart"/>
      <w:r w:rsidRPr="00467DB0">
        <w:t>vedrørende</w:t>
      </w:r>
      <w:proofErr w:type="gramEnd"/>
      <w:r w:rsidRPr="00467DB0">
        <w:t xml:space="preserve"> </w:t>
      </w:r>
      <w:proofErr w:type="spellStart"/>
      <w:r w:rsidRPr="00467DB0">
        <w:t>rumdiplomati</w:t>
      </w:r>
      <w:proofErr w:type="spellEnd"/>
      <w:r w:rsidRPr="00467DB0">
        <w:t xml:space="preserve"> bør være i </w:t>
      </w:r>
      <w:proofErr w:type="spellStart"/>
      <w:r w:rsidRPr="00467DB0">
        <w:t>fuld</w:t>
      </w:r>
      <w:proofErr w:type="spellEnd"/>
      <w:r w:rsidRPr="00467DB0">
        <w:t xml:space="preserve"> overensstemmelse og komplementaritet med Unionens eksi</w:t>
      </w:r>
      <w:r w:rsidRPr="00467DB0">
        <w:t xml:space="preserve">sterende politikker, prioriteter og instrumenter, samtidig med at Unionen skal spille en </w:t>
      </w:r>
      <w:proofErr w:type="spellStart"/>
      <w:r w:rsidRPr="00467DB0">
        <w:t>central</w:t>
      </w:r>
      <w:proofErr w:type="spellEnd"/>
      <w:r w:rsidRPr="00467DB0">
        <w:t xml:space="preserve"> rolle sammen med </w:t>
      </w:r>
      <w:proofErr w:type="spellStart"/>
      <w:r w:rsidRPr="00467DB0">
        <w:t>medlemsstaterne</w:t>
      </w:r>
      <w:proofErr w:type="spellEnd"/>
      <w:r w:rsidRPr="00467DB0">
        <w:t xml:space="preserve">, hvis den skal forblive i forreste </w:t>
      </w:r>
      <w:proofErr w:type="spellStart"/>
      <w:r w:rsidRPr="00467DB0">
        <w:t>række</w:t>
      </w:r>
      <w:proofErr w:type="spellEnd"/>
      <w:r w:rsidRPr="00467DB0">
        <w:t xml:space="preserve"> på den </w:t>
      </w:r>
      <w:proofErr w:type="spellStart"/>
      <w:r w:rsidRPr="00467DB0">
        <w:t>internationale</w:t>
      </w:r>
      <w:proofErr w:type="spellEnd"/>
      <w:r w:rsidRPr="00467DB0">
        <w:t xml:space="preserve"> scene.</w:t>
      </w:r>
    </w:p>
    <w:p w14:paraId="53C87D00" w14:textId="77777777" w:rsidR="00000000" w:rsidRPr="00467DB0" w:rsidRDefault="00693D67" w:rsidP="00467DB0">
      <w:pPr>
        <w:pStyle w:val="friliste"/>
      </w:pPr>
      <w:r w:rsidRPr="00467DB0">
        <w:t>(14)</w:t>
      </w:r>
      <w:r w:rsidRPr="00467DB0">
        <w:tab/>
      </w:r>
      <w:proofErr w:type="spellStart"/>
      <w:r w:rsidRPr="00467DB0">
        <w:t>Uden</w:t>
      </w:r>
      <w:proofErr w:type="spellEnd"/>
      <w:r w:rsidRPr="00467DB0">
        <w:t xml:space="preserve"> at det berører </w:t>
      </w:r>
      <w:proofErr w:type="spellStart"/>
      <w:r w:rsidRPr="00467DB0">
        <w:t>medlemsstaternes</w:t>
      </w:r>
      <w:proofErr w:type="spellEnd"/>
      <w:r w:rsidRPr="00467DB0">
        <w:t xml:space="preserve"> </w:t>
      </w:r>
      <w:proofErr w:type="spellStart"/>
      <w:r w:rsidRPr="00467DB0">
        <w:t>kompetence</w:t>
      </w:r>
      <w:proofErr w:type="spellEnd"/>
      <w:r w:rsidRPr="00467DB0">
        <w:t xml:space="preserve"> bør</w:t>
      </w:r>
      <w:r w:rsidRPr="00467DB0">
        <w:t xml:space="preserve"> </w:t>
      </w:r>
      <w:proofErr w:type="spellStart"/>
      <w:r w:rsidRPr="00467DB0">
        <w:t>Kommissionen</w:t>
      </w:r>
      <w:proofErr w:type="spellEnd"/>
      <w:r w:rsidRPr="00467DB0">
        <w:t xml:space="preserve"> sammen med Unionens </w:t>
      </w:r>
      <w:proofErr w:type="spellStart"/>
      <w:r w:rsidRPr="00467DB0">
        <w:t>højtstående</w:t>
      </w:r>
      <w:proofErr w:type="spellEnd"/>
      <w:r w:rsidRPr="00467DB0">
        <w:t xml:space="preserve"> </w:t>
      </w:r>
      <w:proofErr w:type="spellStart"/>
      <w:r w:rsidRPr="00467DB0">
        <w:t>repræsentant</w:t>
      </w:r>
      <w:proofErr w:type="spellEnd"/>
      <w:r w:rsidRPr="00467DB0">
        <w:t xml:space="preserve"> for </w:t>
      </w:r>
      <w:proofErr w:type="spellStart"/>
      <w:r w:rsidRPr="00467DB0">
        <w:t>udenrigsanliggender</w:t>
      </w:r>
      <w:proofErr w:type="spellEnd"/>
      <w:r w:rsidRPr="00467DB0">
        <w:t xml:space="preserve"> og </w:t>
      </w:r>
      <w:proofErr w:type="spellStart"/>
      <w:r w:rsidRPr="00467DB0">
        <w:t>sikkerhedspolitik</w:t>
      </w:r>
      <w:proofErr w:type="spellEnd"/>
      <w:r w:rsidRPr="00467DB0">
        <w:t xml:space="preserve"> ("den </w:t>
      </w:r>
      <w:proofErr w:type="spellStart"/>
      <w:r w:rsidRPr="00467DB0">
        <w:t>højtstående</w:t>
      </w:r>
      <w:proofErr w:type="spellEnd"/>
      <w:r w:rsidRPr="00467DB0">
        <w:t xml:space="preserve"> </w:t>
      </w:r>
      <w:proofErr w:type="spellStart"/>
      <w:r w:rsidRPr="00467DB0">
        <w:t>repræsentant</w:t>
      </w:r>
      <w:proofErr w:type="spellEnd"/>
      <w:r w:rsidRPr="00467DB0">
        <w:t xml:space="preserve">") og i </w:t>
      </w:r>
      <w:proofErr w:type="spellStart"/>
      <w:r w:rsidRPr="00467DB0">
        <w:t>tæt</w:t>
      </w:r>
      <w:proofErr w:type="spellEnd"/>
      <w:r w:rsidRPr="00467DB0">
        <w:t xml:space="preserve"> </w:t>
      </w:r>
      <w:proofErr w:type="spellStart"/>
      <w:r w:rsidRPr="00467DB0">
        <w:t>samarbejde</w:t>
      </w:r>
      <w:proofErr w:type="spellEnd"/>
      <w:r w:rsidRPr="00467DB0">
        <w:t xml:space="preserve"> med </w:t>
      </w:r>
      <w:proofErr w:type="spellStart"/>
      <w:r w:rsidRPr="00467DB0">
        <w:t>medlemsstaterne</w:t>
      </w:r>
      <w:proofErr w:type="spellEnd"/>
      <w:r w:rsidRPr="00467DB0">
        <w:t xml:space="preserve"> fremme ansvarlig </w:t>
      </w:r>
      <w:proofErr w:type="spellStart"/>
      <w:r w:rsidRPr="00467DB0">
        <w:t>adfærd</w:t>
      </w:r>
      <w:proofErr w:type="spellEnd"/>
      <w:r w:rsidRPr="00467DB0">
        <w:t xml:space="preserve"> i </w:t>
      </w:r>
      <w:proofErr w:type="spellStart"/>
      <w:r w:rsidRPr="00467DB0">
        <w:t>rummet</w:t>
      </w:r>
      <w:proofErr w:type="spellEnd"/>
      <w:r w:rsidRPr="00467DB0">
        <w:t xml:space="preserve"> 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programmet</w:t>
      </w:r>
      <w:r w:rsidRPr="00467DB0">
        <w:t xml:space="preserve">. En sådan </w:t>
      </w:r>
      <w:proofErr w:type="spellStart"/>
      <w:r w:rsidRPr="00467DB0">
        <w:t>adfærd</w:t>
      </w:r>
      <w:proofErr w:type="spellEnd"/>
      <w:r w:rsidRPr="00467DB0">
        <w:t xml:space="preserve"> omfatter </w:t>
      </w:r>
      <w:proofErr w:type="spellStart"/>
      <w:r w:rsidRPr="00467DB0">
        <w:t>adfærd</w:t>
      </w:r>
      <w:proofErr w:type="spellEnd"/>
      <w:r w:rsidRPr="00467DB0">
        <w:t xml:space="preserve">, der </w:t>
      </w:r>
      <w:proofErr w:type="spellStart"/>
      <w:r w:rsidRPr="00467DB0">
        <w:t>mindsker</w:t>
      </w:r>
      <w:proofErr w:type="spellEnd"/>
      <w:r w:rsidRPr="00467DB0">
        <w:t xml:space="preserve"> spredningen </w:t>
      </w:r>
      <w:proofErr w:type="spellStart"/>
      <w:r w:rsidRPr="00467DB0">
        <w:t>af</w:t>
      </w:r>
      <w:proofErr w:type="spellEnd"/>
      <w:r w:rsidRPr="00467DB0">
        <w:t xml:space="preserve"> </w:t>
      </w:r>
      <w:proofErr w:type="spellStart"/>
      <w:r w:rsidRPr="00467DB0">
        <w:t>rumaffald</w:t>
      </w:r>
      <w:proofErr w:type="spellEnd"/>
      <w:r w:rsidRPr="00467DB0">
        <w:t xml:space="preserve"> og </w:t>
      </w:r>
      <w:proofErr w:type="spellStart"/>
      <w:r w:rsidRPr="00467DB0">
        <w:t>undersøger</w:t>
      </w:r>
      <w:proofErr w:type="spellEnd"/>
      <w:r w:rsidRPr="00467DB0">
        <w:t xml:space="preserve"> Unionens </w:t>
      </w:r>
      <w:proofErr w:type="spellStart"/>
      <w:r w:rsidRPr="00467DB0">
        <w:t>mulighed</w:t>
      </w:r>
      <w:proofErr w:type="spellEnd"/>
      <w:r w:rsidRPr="00467DB0">
        <w:t xml:space="preserve"> for at </w:t>
      </w:r>
      <w:proofErr w:type="spellStart"/>
      <w:r w:rsidRPr="00467DB0">
        <w:t>tiltræde</w:t>
      </w:r>
      <w:proofErr w:type="spellEnd"/>
      <w:r w:rsidRPr="00467DB0">
        <w:t xml:space="preserve"> de relevante FN-traktater og -</w:t>
      </w:r>
      <w:proofErr w:type="spellStart"/>
      <w:r w:rsidRPr="00467DB0">
        <w:t>konventioner</w:t>
      </w:r>
      <w:proofErr w:type="spellEnd"/>
      <w:r w:rsidRPr="00467DB0">
        <w:t xml:space="preserve"> og, hvor det er </w:t>
      </w:r>
      <w:proofErr w:type="spellStart"/>
      <w:r w:rsidRPr="00467DB0">
        <w:t>nødvendigt</w:t>
      </w:r>
      <w:proofErr w:type="spellEnd"/>
      <w:r w:rsidRPr="00467DB0">
        <w:t xml:space="preserve">, </w:t>
      </w:r>
      <w:proofErr w:type="spellStart"/>
      <w:r w:rsidRPr="00467DB0">
        <w:t>fremsætter</w:t>
      </w:r>
      <w:proofErr w:type="spellEnd"/>
      <w:r w:rsidRPr="00467DB0">
        <w:t xml:space="preserve"> passende forslag.</w:t>
      </w:r>
    </w:p>
    <w:p w14:paraId="4D7047B5" w14:textId="77777777" w:rsidR="00000000" w:rsidRPr="00467DB0" w:rsidRDefault="00693D67" w:rsidP="00467DB0">
      <w:pPr>
        <w:pStyle w:val="friliste"/>
      </w:pPr>
      <w:r w:rsidRPr="00467DB0">
        <w:t>(15)</w:t>
      </w:r>
      <w:r w:rsidRPr="00467DB0">
        <w:tab/>
        <w:t xml:space="preserve">Programmets </w:t>
      </w:r>
      <w:proofErr w:type="spellStart"/>
      <w:r w:rsidRPr="00467DB0">
        <w:t>målsætninger</w:t>
      </w:r>
      <w:proofErr w:type="spellEnd"/>
      <w:r w:rsidRPr="00467DB0">
        <w:t xml:space="preserve"> </w:t>
      </w:r>
      <w:proofErr w:type="spellStart"/>
      <w:r w:rsidRPr="00467DB0">
        <w:t>minde</w:t>
      </w:r>
      <w:r w:rsidRPr="00467DB0">
        <w:t>r</w:t>
      </w:r>
      <w:proofErr w:type="spellEnd"/>
      <w:r w:rsidRPr="00467DB0">
        <w:t xml:space="preserve"> om </w:t>
      </w:r>
      <w:proofErr w:type="spellStart"/>
      <w:r w:rsidRPr="00467DB0">
        <w:t>målsætningerne</w:t>
      </w:r>
      <w:proofErr w:type="spellEnd"/>
      <w:r w:rsidRPr="00467DB0">
        <w:t xml:space="preserve"> for andre EU-programmer, navnlig Horisont Europa-programmet</w:t>
      </w:r>
      <w:r w:rsidRPr="00467DB0">
        <w:rPr>
          <w:rStyle w:val="Fotnotereferanse"/>
        </w:rPr>
        <w:footnoteReference w:id="6"/>
      </w:r>
      <w:r w:rsidRPr="00467DB0">
        <w:t xml:space="preserve">, </w:t>
      </w:r>
      <w:proofErr w:type="spellStart"/>
      <w:r w:rsidRPr="00467DB0">
        <w:t>InvestEU</w:t>
      </w:r>
      <w:proofErr w:type="spellEnd"/>
      <w:r w:rsidRPr="00467DB0">
        <w:t xml:space="preserve">-programmet, der er </w:t>
      </w:r>
      <w:proofErr w:type="spellStart"/>
      <w:r w:rsidRPr="00467DB0">
        <w:t>oprettet</w:t>
      </w:r>
      <w:proofErr w:type="spellEnd"/>
      <w:r w:rsidRPr="00467DB0">
        <w:t xml:space="preserve"> ved Europa-Parlamentets og Rådets forordning (EU) 2021/523</w:t>
      </w:r>
      <w:r w:rsidRPr="00467DB0">
        <w:rPr>
          <w:rStyle w:val="Fotnotereferanse"/>
        </w:rPr>
        <w:footnoteReference w:id="7"/>
      </w:r>
      <w:r w:rsidRPr="00467DB0">
        <w:t xml:space="preserve">, Den </w:t>
      </w:r>
      <w:proofErr w:type="spellStart"/>
      <w:r w:rsidRPr="00467DB0">
        <w:t>Europæiske</w:t>
      </w:r>
      <w:proofErr w:type="spellEnd"/>
      <w:r w:rsidRPr="00467DB0">
        <w:t xml:space="preserve"> Forsvarsfond</w:t>
      </w:r>
      <w:r w:rsidRPr="00467DB0">
        <w:rPr>
          <w:rStyle w:val="Fotnotereferanse"/>
        </w:rPr>
        <w:footnoteReference w:id="8"/>
      </w:r>
      <w:r w:rsidRPr="00467DB0">
        <w:t xml:space="preserve">, og </w:t>
      </w:r>
      <w:proofErr w:type="spellStart"/>
      <w:r w:rsidRPr="00467DB0">
        <w:t>fonde</w:t>
      </w:r>
      <w:proofErr w:type="spellEnd"/>
      <w:r w:rsidRPr="00467DB0">
        <w:t xml:space="preserve"> omfattet </w:t>
      </w:r>
      <w:proofErr w:type="spellStart"/>
      <w:r w:rsidRPr="00467DB0">
        <w:t>af</w:t>
      </w:r>
      <w:proofErr w:type="spellEnd"/>
      <w:r w:rsidRPr="00467DB0">
        <w:t xml:space="preserve"> en </w:t>
      </w:r>
      <w:r w:rsidRPr="00467DB0">
        <w:lastRenderedPageBreak/>
        <w:t xml:space="preserve">forordning om </w:t>
      </w:r>
      <w:proofErr w:type="spellStart"/>
      <w:r w:rsidRPr="00467DB0">
        <w:t>fæl</w:t>
      </w:r>
      <w:r w:rsidRPr="00467DB0">
        <w:t>les</w:t>
      </w:r>
      <w:proofErr w:type="spellEnd"/>
      <w:r w:rsidRPr="00467DB0">
        <w:t xml:space="preserve"> bestemmelser for Den </w:t>
      </w:r>
      <w:proofErr w:type="spellStart"/>
      <w:r w:rsidRPr="00467DB0">
        <w:t>Europæiske</w:t>
      </w:r>
      <w:proofErr w:type="spellEnd"/>
      <w:r w:rsidRPr="00467DB0">
        <w:t xml:space="preserve"> Fond for </w:t>
      </w:r>
      <w:proofErr w:type="spellStart"/>
      <w:r w:rsidRPr="00467DB0">
        <w:t>Regionaludvikling</w:t>
      </w:r>
      <w:proofErr w:type="spellEnd"/>
      <w:r w:rsidRPr="00467DB0">
        <w:t xml:space="preserve">, Den </w:t>
      </w:r>
      <w:proofErr w:type="spellStart"/>
      <w:r w:rsidRPr="00467DB0">
        <w:t>Europæiske</w:t>
      </w:r>
      <w:proofErr w:type="spellEnd"/>
      <w:r w:rsidRPr="00467DB0">
        <w:t xml:space="preserve"> </w:t>
      </w:r>
      <w:proofErr w:type="spellStart"/>
      <w:r w:rsidRPr="00467DB0">
        <w:t>Socialfond</w:t>
      </w:r>
      <w:proofErr w:type="spellEnd"/>
      <w:r w:rsidRPr="00467DB0">
        <w:t xml:space="preserve"> Plus, </w:t>
      </w:r>
      <w:proofErr w:type="spellStart"/>
      <w:r w:rsidRPr="00467DB0">
        <w:t>Samhørighedsfonden</w:t>
      </w:r>
      <w:proofErr w:type="spellEnd"/>
      <w:r w:rsidRPr="00467DB0">
        <w:t xml:space="preserve">, Fonden for </w:t>
      </w:r>
      <w:proofErr w:type="spellStart"/>
      <w:r w:rsidRPr="00467DB0">
        <w:t>Retfærdig</w:t>
      </w:r>
      <w:proofErr w:type="spellEnd"/>
      <w:r w:rsidRPr="00467DB0">
        <w:t xml:space="preserve"> Omstilling og Den </w:t>
      </w:r>
      <w:proofErr w:type="spellStart"/>
      <w:r w:rsidRPr="00467DB0">
        <w:t>Europæiske</w:t>
      </w:r>
      <w:proofErr w:type="spellEnd"/>
      <w:r w:rsidRPr="00467DB0">
        <w:t xml:space="preserve"> Hav-, Fiskeri- og Akvakulturfond og om finansielle regler for </w:t>
      </w:r>
      <w:proofErr w:type="spellStart"/>
      <w:r w:rsidRPr="00467DB0">
        <w:t>nævnte</w:t>
      </w:r>
      <w:proofErr w:type="spellEnd"/>
      <w:r w:rsidRPr="00467DB0">
        <w:t xml:space="preserve"> </w:t>
      </w:r>
      <w:proofErr w:type="spellStart"/>
      <w:r w:rsidRPr="00467DB0">
        <w:t>fonde</w:t>
      </w:r>
      <w:proofErr w:type="spellEnd"/>
      <w:r w:rsidRPr="00467DB0">
        <w:t xml:space="preserve"> og for Asyl- og</w:t>
      </w:r>
      <w:r w:rsidRPr="00467DB0">
        <w:t xml:space="preserve"> </w:t>
      </w:r>
      <w:proofErr w:type="spellStart"/>
      <w:r w:rsidRPr="00467DB0">
        <w:t>Migrationsfonden</w:t>
      </w:r>
      <w:proofErr w:type="spellEnd"/>
      <w:r w:rsidRPr="00467DB0">
        <w:t xml:space="preserve">, Fonden for Intern </w:t>
      </w:r>
      <w:proofErr w:type="spellStart"/>
      <w:r w:rsidRPr="00467DB0">
        <w:t>Sikkerhed</w:t>
      </w:r>
      <w:proofErr w:type="spellEnd"/>
      <w:r w:rsidRPr="00467DB0">
        <w:t xml:space="preserve"> og instrumentet for </w:t>
      </w:r>
      <w:proofErr w:type="spellStart"/>
      <w:r w:rsidRPr="00467DB0">
        <w:t>grænseforvaltning</w:t>
      </w:r>
      <w:proofErr w:type="spellEnd"/>
      <w:r w:rsidRPr="00467DB0">
        <w:t xml:space="preserve"> og visa ("forordningen om </w:t>
      </w:r>
      <w:proofErr w:type="spellStart"/>
      <w:r w:rsidRPr="00467DB0">
        <w:t>fælles</w:t>
      </w:r>
      <w:proofErr w:type="spellEnd"/>
      <w:r w:rsidRPr="00467DB0">
        <w:t xml:space="preserve"> bestemmelser"). Derfor bør der </w:t>
      </w:r>
      <w:proofErr w:type="spellStart"/>
      <w:r w:rsidRPr="00467DB0">
        <w:t>fastsættes</w:t>
      </w:r>
      <w:proofErr w:type="spellEnd"/>
      <w:r w:rsidRPr="00467DB0">
        <w:t xml:space="preserve"> </w:t>
      </w:r>
      <w:proofErr w:type="spellStart"/>
      <w:r w:rsidRPr="00467DB0">
        <w:t>kumuleret</w:t>
      </w:r>
      <w:proofErr w:type="spellEnd"/>
      <w:r w:rsidRPr="00467DB0">
        <w:t xml:space="preserve"> finansiering fra disse programmer, </w:t>
      </w:r>
      <w:proofErr w:type="spellStart"/>
      <w:r w:rsidRPr="00467DB0">
        <w:t>forudsat</w:t>
      </w:r>
      <w:proofErr w:type="spellEnd"/>
      <w:r w:rsidRPr="00467DB0">
        <w:t xml:space="preserve"> at de ikke </w:t>
      </w:r>
      <w:proofErr w:type="spellStart"/>
      <w:r w:rsidRPr="00467DB0">
        <w:t>dækker</w:t>
      </w:r>
      <w:proofErr w:type="spellEnd"/>
      <w:r w:rsidRPr="00467DB0">
        <w:t xml:space="preserve"> samme </w:t>
      </w:r>
      <w:proofErr w:type="spellStart"/>
      <w:r w:rsidRPr="00467DB0">
        <w:t>udgiftsposter</w:t>
      </w:r>
      <w:proofErr w:type="spellEnd"/>
      <w:r w:rsidRPr="00467DB0">
        <w:t>, nav</w:t>
      </w:r>
      <w:r w:rsidRPr="00467DB0">
        <w:t xml:space="preserve">nlig via ordninger med supplerende finansiering fra </w:t>
      </w:r>
      <w:proofErr w:type="spellStart"/>
      <w:r w:rsidRPr="00467DB0">
        <w:t>EU's</w:t>
      </w:r>
      <w:proofErr w:type="spellEnd"/>
      <w:r w:rsidRPr="00467DB0">
        <w:t xml:space="preserve"> programmer, hvis </w:t>
      </w:r>
      <w:proofErr w:type="spellStart"/>
      <w:r w:rsidRPr="00467DB0">
        <w:t>forvaltningsmetoderne</w:t>
      </w:r>
      <w:proofErr w:type="spellEnd"/>
      <w:r w:rsidRPr="00467DB0">
        <w:t xml:space="preserve"> </w:t>
      </w:r>
      <w:proofErr w:type="spellStart"/>
      <w:r w:rsidRPr="00467DB0">
        <w:t>tillader</w:t>
      </w:r>
      <w:proofErr w:type="spellEnd"/>
      <w:r w:rsidRPr="00467DB0">
        <w:t xml:space="preserve"> det - enten i </w:t>
      </w:r>
      <w:proofErr w:type="spellStart"/>
      <w:r w:rsidRPr="00467DB0">
        <w:t>rækkefølge</w:t>
      </w:r>
      <w:proofErr w:type="spellEnd"/>
      <w:r w:rsidRPr="00467DB0">
        <w:t xml:space="preserve">, skiftevis eller ved en </w:t>
      </w:r>
      <w:proofErr w:type="spellStart"/>
      <w:r w:rsidRPr="00467DB0">
        <w:t>kombination</w:t>
      </w:r>
      <w:proofErr w:type="spellEnd"/>
      <w:r w:rsidRPr="00467DB0">
        <w:t xml:space="preserve"> </w:t>
      </w:r>
      <w:proofErr w:type="spellStart"/>
      <w:r w:rsidRPr="00467DB0">
        <w:t>af</w:t>
      </w:r>
      <w:proofErr w:type="spellEnd"/>
      <w:r w:rsidRPr="00467DB0">
        <w:t xml:space="preserve"> midler, herunder med </w:t>
      </w:r>
      <w:proofErr w:type="spellStart"/>
      <w:r w:rsidRPr="00467DB0">
        <w:t>henblik</w:t>
      </w:r>
      <w:proofErr w:type="spellEnd"/>
      <w:r w:rsidRPr="00467DB0">
        <w:t xml:space="preserve"> på </w:t>
      </w:r>
      <w:proofErr w:type="spellStart"/>
      <w:r w:rsidRPr="00467DB0">
        <w:t>fælles</w:t>
      </w:r>
      <w:proofErr w:type="spellEnd"/>
      <w:r w:rsidRPr="00467DB0">
        <w:t xml:space="preserve"> finansiering </w:t>
      </w:r>
      <w:proofErr w:type="spellStart"/>
      <w:r w:rsidRPr="00467DB0">
        <w:t>af</w:t>
      </w:r>
      <w:proofErr w:type="spellEnd"/>
      <w:r w:rsidRPr="00467DB0">
        <w:t xml:space="preserve"> foranstaltninger, der om </w:t>
      </w:r>
      <w:proofErr w:type="spellStart"/>
      <w:r w:rsidRPr="00467DB0">
        <w:t>muligt</w:t>
      </w:r>
      <w:proofErr w:type="spellEnd"/>
      <w:r w:rsidRPr="00467DB0">
        <w:t xml:space="preserve"> </w:t>
      </w:r>
      <w:r w:rsidRPr="00467DB0">
        <w:t xml:space="preserve">giver </w:t>
      </w:r>
      <w:proofErr w:type="spellStart"/>
      <w:r w:rsidRPr="00467DB0">
        <w:t>mulighed</w:t>
      </w:r>
      <w:proofErr w:type="spellEnd"/>
      <w:r w:rsidRPr="00467DB0">
        <w:t xml:space="preserve"> for </w:t>
      </w:r>
      <w:proofErr w:type="spellStart"/>
      <w:r w:rsidRPr="00467DB0">
        <w:t>innovationspartnerskaber</w:t>
      </w:r>
      <w:proofErr w:type="spellEnd"/>
      <w:r w:rsidRPr="00467DB0">
        <w:t xml:space="preserve"> og </w:t>
      </w:r>
      <w:proofErr w:type="spellStart"/>
      <w:r w:rsidRPr="00467DB0">
        <w:t>blandingsoperationer</w:t>
      </w:r>
      <w:proofErr w:type="spellEnd"/>
      <w:r w:rsidRPr="00467DB0">
        <w:t xml:space="preserve">. Under </w:t>
      </w:r>
      <w:proofErr w:type="spellStart"/>
      <w:r w:rsidRPr="00467DB0">
        <w:t>gennemførelsen</w:t>
      </w:r>
      <w:proofErr w:type="spellEnd"/>
      <w:r w:rsidRPr="00467DB0">
        <w:t xml:space="preserve"> </w:t>
      </w:r>
      <w:proofErr w:type="spellStart"/>
      <w:r w:rsidRPr="00467DB0">
        <w:t>af</w:t>
      </w:r>
      <w:proofErr w:type="spellEnd"/>
      <w:r w:rsidRPr="00467DB0">
        <w:t xml:space="preserve"> programmet bør </w:t>
      </w:r>
      <w:proofErr w:type="spellStart"/>
      <w:r w:rsidRPr="00467DB0">
        <w:t>Kommissionen</w:t>
      </w:r>
      <w:proofErr w:type="spellEnd"/>
      <w:r w:rsidRPr="00467DB0">
        <w:t xml:space="preserve"> derfor fremme synergier med andre </w:t>
      </w:r>
      <w:proofErr w:type="spellStart"/>
      <w:r w:rsidRPr="00467DB0">
        <w:t>relaterede</w:t>
      </w:r>
      <w:proofErr w:type="spellEnd"/>
      <w:r w:rsidRPr="00467DB0">
        <w:t xml:space="preserve"> EU-programmer og finansielle instrumenter, der om </w:t>
      </w:r>
      <w:proofErr w:type="spellStart"/>
      <w:r w:rsidRPr="00467DB0">
        <w:t>muligt</w:t>
      </w:r>
      <w:proofErr w:type="spellEnd"/>
      <w:r w:rsidRPr="00467DB0">
        <w:t xml:space="preserve"> vil </w:t>
      </w:r>
      <w:proofErr w:type="spellStart"/>
      <w:r w:rsidRPr="00467DB0">
        <w:t>skabe</w:t>
      </w:r>
      <w:proofErr w:type="spellEnd"/>
      <w:r w:rsidRPr="00467DB0">
        <w:t xml:space="preserve"> adgang til risikovillig</w:t>
      </w:r>
      <w:r w:rsidRPr="00467DB0">
        <w:t xml:space="preserve"> kapital, </w:t>
      </w:r>
      <w:proofErr w:type="spellStart"/>
      <w:r w:rsidRPr="00467DB0">
        <w:t>innovationspartnerskaber</w:t>
      </w:r>
      <w:proofErr w:type="spellEnd"/>
      <w:r w:rsidRPr="00467DB0">
        <w:t xml:space="preserve"> og </w:t>
      </w:r>
      <w:proofErr w:type="spellStart"/>
      <w:r w:rsidRPr="00467DB0">
        <w:t>kumuleret</w:t>
      </w:r>
      <w:proofErr w:type="spellEnd"/>
      <w:r w:rsidRPr="00467DB0">
        <w:t xml:space="preserve"> eller blandet finansiering. Den bør </w:t>
      </w:r>
      <w:proofErr w:type="spellStart"/>
      <w:r w:rsidRPr="00467DB0">
        <w:t>ligeledes</w:t>
      </w:r>
      <w:proofErr w:type="spellEnd"/>
      <w:r w:rsidRPr="00467DB0">
        <w:t xml:space="preserve"> sikre synergier og </w:t>
      </w:r>
      <w:proofErr w:type="spellStart"/>
      <w:r w:rsidRPr="00467DB0">
        <w:t>sammenhæng</w:t>
      </w:r>
      <w:proofErr w:type="spellEnd"/>
      <w:r w:rsidRPr="00467DB0">
        <w:t xml:space="preserve"> </w:t>
      </w:r>
      <w:proofErr w:type="spellStart"/>
      <w:r w:rsidRPr="00467DB0">
        <w:t>mellem</w:t>
      </w:r>
      <w:proofErr w:type="spellEnd"/>
      <w:r w:rsidRPr="00467DB0">
        <w:t xml:space="preserve"> de løsninger, der er </w:t>
      </w:r>
      <w:proofErr w:type="spellStart"/>
      <w:r w:rsidRPr="00467DB0">
        <w:t>udviklet</w:t>
      </w:r>
      <w:proofErr w:type="spellEnd"/>
      <w:r w:rsidRPr="00467DB0">
        <w:t xml:space="preserve"> under disse programmer, navnlig Horisont Europa, og de løsninger, der er </w:t>
      </w:r>
      <w:proofErr w:type="spellStart"/>
      <w:r w:rsidRPr="00467DB0">
        <w:t>udviklet</w:t>
      </w:r>
      <w:proofErr w:type="spellEnd"/>
      <w:r w:rsidRPr="00467DB0">
        <w:t xml:space="preserve"> under program</w:t>
      </w:r>
      <w:r w:rsidRPr="00467DB0">
        <w:t>met.</w:t>
      </w:r>
    </w:p>
    <w:p w14:paraId="677BDB5E" w14:textId="77777777" w:rsidR="00000000" w:rsidRPr="00467DB0" w:rsidRDefault="00693D67" w:rsidP="00467DB0">
      <w:pPr>
        <w:pStyle w:val="friliste"/>
      </w:pPr>
      <w:r w:rsidRPr="00467DB0">
        <w:t>(16)</w:t>
      </w:r>
      <w:r w:rsidRPr="00467DB0">
        <w:tab/>
        <w:t xml:space="preserve">I overensstemmelse med finansforordningens </w:t>
      </w:r>
      <w:proofErr w:type="spellStart"/>
      <w:r w:rsidRPr="00467DB0">
        <w:t>artikel</w:t>
      </w:r>
      <w:proofErr w:type="spellEnd"/>
      <w:r w:rsidRPr="00467DB0">
        <w:t xml:space="preserve"> 191, stk. 3, kan de samme omkostninger under ingen </w:t>
      </w:r>
      <w:proofErr w:type="spellStart"/>
      <w:r w:rsidRPr="00467DB0">
        <w:t>omstændigheder</w:t>
      </w:r>
      <w:proofErr w:type="spellEnd"/>
      <w:r w:rsidRPr="00467DB0">
        <w:t xml:space="preserve"> finansieres to gange over Unionens </w:t>
      </w:r>
      <w:proofErr w:type="spellStart"/>
      <w:r w:rsidRPr="00467DB0">
        <w:t>budget</w:t>
      </w:r>
      <w:proofErr w:type="spellEnd"/>
      <w:r w:rsidRPr="00467DB0">
        <w:t>.</w:t>
      </w:r>
    </w:p>
    <w:p w14:paraId="159BA594" w14:textId="77777777" w:rsidR="00000000" w:rsidRPr="00467DB0" w:rsidRDefault="00693D67" w:rsidP="00467DB0">
      <w:pPr>
        <w:pStyle w:val="friliste"/>
      </w:pPr>
      <w:r w:rsidRPr="00467DB0">
        <w:t>(17)</w:t>
      </w:r>
      <w:r w:rsidRPr="00467DB0">
        <w:tab/>
        <w:t xml:space="preserve">De politiske </w:t>
      </w:r>
      <w:proofErr w:type="spellStart"/>
      <w:r w:rsidRPr="00467DB0">
        <w:t>målsætninger</w:t>
      </w:r>
      <w:proofErr w:type="spellEnd"/>
      <w:r w:rsidRPr="00467DB0">
        <w:t xml:space="preserve"> for programmet vil også blive behandlet som områder, de</w:t>
      </w:r>
      <w:r w:rsidRPr="00467DB0">
        <w:t xml:space="preserve">r kan støttes med finansierings- og investeringsforanstaltninger ved </w:t>
      </w:r>
      <w:proofErr w:type="spellStart"/>
      <w:r w:rsidRPr="00467DB0">
        <w:t>hjælp</w:t>
      </w:r>
      <w:proofErr w:type="spellEnd"/>
      <w:r w:rsidRPr="00467DB0">
        <w:t xml:space="preserve"> </w:t>
      </w:r>
      <w:proofErr w:type="spellStart"/>
      <w:r w:rsidRPr="00467DB0">
        <w:t>af</w:t>
      </w:r>
      <w:proofErr w:type="spellEnd"/>
      <w:r w:rsidRPr="00467DB0">
        <w:t xml:space="preserve"> finansielle instrumenter og </w:t>
      </w:r>
      <w:proofErr w:type="spellStart"/>
      <w:r w:rsidRPr="00467DB0">
        <w:t>budgetgaranti</w:t>
      </w:r>
      <w:proofErr w:type="spellEnd"/>
      <w:r w:rsidRPr="00467DB0">
        <w:t xml:space="preserve"> under </w:t>
      </w:r>
      <w:proofErr w:type="spellStart"/>
      <w:r w:rsidRPr="00467DB0">
        <w:t>InvestEU</w:t>
      </w:r>
      <w:proofErr w:type="spellEnd"/>
      <w:r w:rsidRPr="00467DB0">
        <w:t xml:space="preserve">-programmet, navnlig </w:t>
      </w:r>
      <w:proofErr w:type="spellStart"/>
      <w:r w:rsidRPr="00467DB0">
        <w:t>inden</w:t>
      </w:r>
      <w:proofErr w:type="spellEnd"/>
      <w:r w:rsidRPr="00467DB0">
        <w:t xml:space="preserve"> for </w:t>
      </w:r>
      <w:proofErr w:type="spellStart"/>
      <w:r w:rsidRPr="00467DB0">
        <w:t>politikområderne</w:t>
      </w:r>
      <w:proofErr w:type="spellEnd"/>
      <w:r w:rsidRPr="00467DB0">
        <w:t xml:space="preserve"> </w:t>
      </w:r>
      <w:proofErr w:type="spellStart"/>
      <w:r w:rsidRPr="00467DB0">
        <w:t>bæredygtig</w:t>
      </w:r>
      <w:proofErr w:type="spellEnd"/>
      <w:r w:rsidRPr="00467DB0">
        <w:t xml:space="preserve"> infrastruktur og forskning samt </w:t>
      </w:r>
      <w:proofErr w:type="spellStart"/>
      <w:r w:rsidRPr="00467DB0">
        <w:t>innovation</w:t>
      </w:r>
      <w:proofErr w:type="spellEnd"/>
      <w:r w:rsidRPr="00467DB0">
        <w:t xml:space="preserve"> og </w:t>
      </w:r>
      <w:proofErr w:type="spellStart"/>
      <w:r w:rsidRPr="00467DB0">
        <w:t>digitaliseringspo</w:t>
      </w:r>
      <w:r w:rsidRPr="00467DB0">
        <w:t>litik</w:t>
      </w:r>
      <w:proofErr w:type="spellEnd"/>
      <w:r w:rsidRPr="00467DB0">
        <w:t xml:space="preserve">. Den finansielle støtte bør anvendes til at </w:t>
      </w:r>
      <w:proofErr w:type="spellStart"/>
      <w:r w:rsidRPr="00467DB0">
        <w:t>imødegå</w:t>
      </w:r>
      <w:proofErr w:type="spellEnd"/>
      <w:r w:rsidRPr="00467DB0">
        <w:t xml:space="preserve"> </w:t>
      </w:r>
      <w:proofErr w:type="spellStart"/>
      <w:r w:rsidRPr="00467DB0">
        <w:t>markedssvigt</w:t>
      </w:r>
      <w:proofErr w:type="spellEnd"/>
      <w:r w:rsidRPr="00467DB0">
        <w:t xml:space="preserve"> eller </w:t>
      </w:r>
      <w:proofErr w:type="gramStart"/>
      <w:r w:rsidRPr="00467DB0">
        <w:t>suboptimale</w:t>
      </w:r>
      <w:proofErr w:type="gramEnd"/>
      <w:r w:rsidRPr="00467DB0">
        <w:t xml:space="preserve"> investeringsforhold på en </w:t>
      </w:r>
      <w:proofErr w:type="spellStart"/>
      <w:r w:rsidRPr="00467DB0">
        <w:t>forholdsmæssig</w:t>
      </w:r>
      <w:proofErr w:type="spellEnd"/>
      <w:r w:rsidRPr="00467DB0">
        <w:t xml:space="preserve"> </w:t>
      </w:r>
      <w:proofErr w:type="spellStart"/>
      <w:r w:rsidRPr="00467DB0">
        <w:t>måde</w:t>
      </w:r>
      <w:proofErr w:type="spellEnd"/>
      <w:r w:rsidRPr="00467DB0">
        <w:t xml:space="preserve">, og foranstaltninger bør ikke overlappe eller </w:t>
      </w:r>
      <w:proofErr w:type="spellStart"/>
      <w:r w:rsidRPr="00467DB0">
        <w:t>fortrænge</w:t>
      </w:r>
      <w:proofErr w:type="spellEnd"/>
      <w:r w:rsidRPr="00467DB0">
        <w:t xml:space="preserve"> privat finansiering eller forvride </w:t>
      </w:r>
      <w:proofErr w:type="spellStart"/>
      <w:r w:rsidRPr="00467DB0">
        <w:t>konkurrencen</w:t>
      </w:r>
      <w:proofErr w:type="spellEnd"/>
      <w:r w:rsidRPr="00467DB0">
        <w:t xml:space="preserve"> på det indre mark</w:t>
      </w:r>
      <w:r w:rsidRPr="00467DB0">
        <w:t xml:space="preserve">ed. </w:t>
      </w:r>
      <w:proofErr w:type="spellStart"/>
      <w:r w:rsidRPr="00467DB0">
        <w:t>Foranstaltningerne</w:t>
      </w:r>
      <w:proofErr w:type="spellEnd"/>
      <w:r w:rsidRPr="00467DB0">
        <w:t xml:space="preserve"> bør have en tydelig </w:t>
      </w:r>
      <w:proofErr w:type="spellStart"/>
      <w:r w:rsidRPr="00467DB0">
        <w:t>merværdi</w:t>
      </w:r>
      <w:proofErr w:type="spellEnd"/>
      <w:r w:rsidRPr="00467DB0">
        <w:t xml:space="preserve"> på europeisk plan.</w:t>
      </w:r>
    </w:p>
    <w:p w14:paraId="0F2BDEFC" w14:textId="77777777" w:rsidR="00000000" w:rsidRPr="00467DB0" w:rsidRDefault="00693D67" w:rsidP="00467DB0">
      <w:pPr>
        <w:pStyle w:val="friliste"/>
      </w:pPr>
      <w:r w:rsidRPr="00467DB0">
        <w:t>(18)</w:t>
      </w:r>
      <w:r w:rsidRPr="00467DB0">
        <w:tab/>
      </w:r>
      <w:proofErr w:type="spellStart"/>
      <w:r w:rsidRPr="00467DB0">
        <w:t>Kohærens</w:t>
      </w:r>
      <w:proofErr w:type="spellEnd"/>
      <w:r w:rsidRPr="00467DB0">
        <w:t xml:space="preserve"> og synergier </w:t>
      </w:r>
      <w:proofErr w:type="spellStart"/>
      <w:r w:rsidRPr="00467DB0">
        <w:t>mellem</w:t>
      </w:r>
      <w:proofErr w:type="spellEnd"/>
      <w:r w:rsidRPr="00467DB0">
        <w:t xml:space="preserve"> Horisont Europa og programmet bør fremme en </w:t>
      </w:r>
      <w:proofErr w:type="spellStart"/>
      <w:r w:rsidRPr="00467DB0">
        <w:t>konkurrencedygtig</w:t>
      </w:r>
      <w:proofErr w:type="spellEnd"/>
      <w:r w:rsidRPr="00467DB0">
        <w:t xml:space="preserve"> og innovativ </w:t>
      </w:r>
      <w:proofErr w:type="spellStart"/>
      <w:r w:rsidRPr="00467DB0">
        <w:t>europæisk</w:t>
      </w:r>
      <w:proofErr w:type="spellEnd"/>
      <w:r w:rsidRPr="00467DB0">
        <w:t xml:space="preserve"> </w:t>
      </w:r>
      <w:proofErr w:type="spellStart"/>
      <w:r w:rsidRPr="00467DB0">
        <w:t>rumsektor</w:t>
      </w:r>
      <w:proofErr w:type="spellEnd"/>
      <w:r w:rsidRPr="00467DB0">
        <w:t>, styrke Europas autonomi i forbindelse med adgang til og</w:t>
      </w:r>
      <w:r w:rsidRPr="00467DB0">
        <w:t xml:space="preserve">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rummet</w:t>
      </w:r>
      <w:proofErr w:type="spellEnd"/>
      <w:r w:rsidRPr="00467DB0">
        <w:t xml:space="preserve"> i et sikkert og trygt miljø samt styrke Europas rolle som global aktør. </w:t>
      </w:r>
      <w:proofErr w:type="spellStart"/>
      <w:r w:rsidRPr="00467DB0">
        <w:t>Banebrydende</w:t>
      </w:r>
      <w:proofErr w:type="spellEnd"/>
      <w:r w:rsidRPr="00467DB0">
        <w:t xml:space="preserve"> løsninger i Horisont Europa vil blive støttet </w:t>
      </w:r>
      <w:proofErr w:type="spellStart"/>
      <w:r w:rsidRPr="00467DB0">
        <w:t>af</w:t>
      </w:r>
      <w:proofErr w:type="spellEnd"/>
      <w:r w:rsidRPr="00467DB0">
        <w:t xml:space="preserve"> data og tjenester, som via programmet stilles til </w:t>
      </w:r>
      <w:proofErr w:type="spellStart"/>
      <w:r w:rsidRPr="00467DB0">
        <w:t>rådighed</w:t>
      </w:r>
      <w:proofErr w:type="spellEnd"/>
      <w:r w:rsidRPr="00467DB0">
        <w:t xml:space="preserve"> for forsknings- og </w:t>
      </w:r>
      <w:proofErr w:type="spellStart"/>
      <w:r w:rsidRPr="00467DB0">
        <w:t>innovationssamfundet</w:t>
      </w:r>
      <w:proofErr w:type="spellEnd"/>
      <w:r w:rsidRPr="00467DB0">
        <w:t>.</w:t>
      </w:r>
    </w:p>
    <w:p w14:paraId="21161036" w14:textId="77777777" w:rsidR="00000000" w:rsidRPr="00467DB0" w:rsidRDefault="00693D67" w:rsidP="00467DB0">
      <w:pPr>
        <w:pStyle w:val="friliste"/>
      </w:pPr>
      <w:r w:rsidRPr="00467DB0">
        <w:t>(19)</w:t>
      </w:r>
      <w:r w:rsidRPr="00467DB0">
        <w:tab/>
        <w:t xml:space="preserve">Med </w:t>
      </w:r>
      <w:proofErr w:type="spellStart"/>
      <w:r w:rsidRPr="00467DB0">
        <w:t>henblik</w:t>
      </w:r>
      <w:proofErr w:type="spellEnd"/>
      <w:r w:rsidRPr="00467DB0">
        <w:t xml:space="preserve"> på at maksimere det </w:t>
      </w:r>
      <w:proofErr w:type="spellStart"/>
      <w:r w:rsidRPr="00467DB0">
        <w:t>socioøkonomiske</w:t>
      </w:r>
      <w:proofErr w:type="spellEnd"/>
      <w:r w:rsidRPr="00467DB0">
        <w:t xml:space="preserve"> </w:t>
      </w:r>
      <w:proofErr w:type="spellStart"/>
      <w:r w:rsidRPr="00467DB0">
        <w:t>udbytte</w:t>
      </w:r>
      <w:proofErr w:type="spellEnd"/>
      <w:r w:rsidRPr="00467DB0">
        <w:t xml:space="preserve"> </w:t>
      </w:r>
      <w:proofErr w:type="spellStart"/>
      <w:r w:rsidRPr="00467DB0">
        <w:t>af</w:t>
      </w:r>
      <w:proofErr w:type="spellEnd"/>
      <w:r w:rsidRPr="00467DB0">
        <w:t xml:space="preserve"> programmet er det </w:t>
      </w:r>
      <w:proofErr w:type="spellStart"/>
      <w:r w:rsidRPr="00467DB0">
        <w:t>afgørende</w:t>
      </w:r>
      <w:proofErr w:type="spellEnd"/>
      <w:r w:rsidRPr="00467DB0">
        <w:t xml:space="preserve"> at </w:t>
      </w:r>
      <w:proofErr w:type="spellStart"/>
      <w:r w:rsidRPr="00467DB0">
        <w:t>opretholde</w:t>
      </w:r>
      <w:proofErr w:type="spellEnd"/>
      <w:r w:rsidRPr="00467DB0">
        <w:t xml:space="preserve"> state-</w:t>
      </w:r>
      <w:proofErr w:type="spellStart"/>
      <w:r w:rsidRPr="00467DB0">
        <w:t>of</w:t>
      </w:r>
      <w:proofErr w:type="spellEnd"/>
      <w:r w:rsidRPr="00467DB0">
        <w:t>-</w:t>
      </w:r>
      <w:proofErr w:type="spellStart"/>
      <w:r w:rsidRPr="00467DB0">
        <w:t>the</w:t>
      </w:r>
      <w:proofErr w:type="spellEnd"/>
      <w:r w:rsidRPr="00467DB0">
        <w:t xml:space="preserve">-art-systemer, og at disse </w:t>
      </w:r>
      <w:proofErr w:type="spellStart"/>
      <w:r w:rsidRPr="00467DB0">
        <w:t>opgraderes</w:t>
      </w:r>
      <w:proofErr w:type="spellEnd"/>
      <w:r w:rsidRPr="00467DB0">
        <w:t xml:space="preserve"> for at </w:t>
      </w:r>
      <w:proofErr w:type="spellStart"/>
      <w:r w:rsidRPr="00467DB0">
        <w:t>opfylde</w:t>
      </w:r>
      <w:proofErr w:type="spellEnd"/>
      <w:r w:rsidRPr="00467DB0">
        <w:t xml:space="preserve"> </w:t>
      </w:r>
      <w:proofErr w:type="spellStart"/>
      <w:r w:rsidRPr="00467DB0">
        <w:t>brugernes</w:t>
      </w:r>
      <w:proofErr w:type="spellEnd"/>
      <w:r w:rsidRPr="00467DB0">
        <w:t xml:space="preserve"> behov, samt at sikre, at der </w:t>
      </w:r>
      <w:proofErr w:type="spellStart"/>
      <w:r w:rsidRPr="00467DB0">
        <w:t>sker</w:t>
      </w:r>
      <w:proofErr w:type="spellEnd"/>
      <w:r w:rsidRPr="00467DB0">
        <w:t xml:space="preserve"> ny </w:t>
      </w:r>
      <w:proofErr w:type="spellStart"/>
      <w:r w:rsidRPr="00467DB0">
        <w:t>udvikling</w:t>
      </w:r>
      <w:proofErr w:type="spellEnd"/>
      <w:r w:rsidRPr="00467DB0">
        <w:t xml:space="preserve"> </w:t>
      </w:r>
      <w:proofErr w:type="spellStart"/>
      <w:r w:rsidRPr="00467DB0">
        <w:t>inden</w:t>
      </w:r>
      <w:proofErr w:type="spellEnd"/>
      <w:r w:rsidRPr="00467DB0">
        <w:t xml:space="preserve"> for sektoren for </w:t>
      </w:r>
      <w:proofErr w:type="spellStart"/>
      <w:r w:rsidRPr="00467DB0">
        <w:t>rumun</w:t>
      </w:r>
      <w:r w:rsidRPr="00467DB0">
        <w:t>derstøttede</w:t>
      </w:r>
      <w:proofErr w:type="spellEnd"/>
      <w:r w:rsidRPr="00467DB0">
        <w:t xml:space="preserve"> </w:t>
      </w:r>
      <w:proofErr w:type="spellStart"/>
      <w:r w:rsidRPr="00467DB0">
        <w:t>downstreamapplikationer</w:t>
      </w:r>
      <w:proofErr w:type="spellEnd"/>
      <w:r w:rsidRPr="00467DB0">
        <w:t xml:space="preserve">. Unionen bør støtte aktiviteter i forbindelse med forskning og teknologisk </w:t>
      </w:r>
      <w:proofErr w:type="spellStart"/>
      <w:r w:rsidRPr="00467DB0">
        <w:t>udvikling</w:t>
      </w:r>
      <w:proofErr w:type="spellEnd"/>
      <w:r w:rsidRPr="00467DB0">
        <w:t xml:space="preserve"> eller de tidlige </w:t>
      </w:r>
      <w:proofErr w:type="spellStart"/>
      <w:r w:rsidRPr="00467DB0">
        <w:t>videreudviklingsfaser</w:t>
      </w:r>
      <w:proofErr w:type="spellEnd"/>
      <w:r w:rsidRPr="00467DB0">
        <w:t xml:space="preserve"> i forbindelse med de infrastrukturer, der er </w:t>
      </w:r>
      <w:proofErr w:type="spellStart"/>
      <w:r w:rsidRPr="00467DB0">
        <w:t>etableret</w:t>
      </w:r>
      <w:proofErr w:type="spellEnd"/>
      <w:r w:rsidRPr="00467DB0">
        <w:t xml:space="preserve"> i henhold til programmet, samt de forskni</w:t>
      </w:r>
      <w:r w:rsidRPr="00467DB0">
        <w:t xml:space="preserve">ngs- og </w:t>
      </w:r>
      <w:proofErr w:type="spellStart"/>
      <w:r w:rsidRPr="00467DB0">
        <w:t>udviklingsaktiviteter</w:t>
      </w:r>
      <w:proofErr w:type="spellEnd"/>
      <w:r w:rsidRPr="00467DB0">
        <w:t xml:space="preserve">, der er forbundet med </w:t>
      </w:r>
      <w:proofErr w:type="spellStart"/>
      <w:r w:rsidRPr="00467DB0">
        <w:t>applikationer</w:t>
      </w:r>
      <w:proofErr w:type="spellEnd"/>
      <w:r w:rsidRPr="00467DB0">
        <w:t xml:space="preserve"> og tjenester </w:t>
      </w:r>
      <w:proofErr w:type="spellStart"/>
      <w:r w:rsidRPr="00467DB0">
        <w:t>baseret</w:t>
      </w:r>
      <w:proofErr w:type="spellEnd"/>
      <w:r w:rsidRPr="00467DB0">
        <w:t xml:space="preserve"> på de systemer, der er </w:t>
      </w:r>
      <w:proofErr w:type="spellStart"/>
      <w:r w:rsidRPr="00467DB0">
        <w:t>etableret</w:t>
      </w:r>
      <w:proofErr w:type="spellEnd"/>
      <w:r w:rsidRPr="00467DB0">
        <w:t xml:space="preserve"> i henhold til programmet, og derved stimulere økonomiske aktiviteter </w:t>
      </w:r>
      <w:proofErr w:type="spellStart"/>
      <w:r w:rsidRPr="00467DB0">
        <w:t>såvel</w:t>
      </w:r>
      <w:proofErr w:type="spellEnd"/>
      <w:r w:rsidRPr="00467DB0">
        <w:t xml:space="preserve"> i leverandørleddet som i </w:t>
      </w:r>
      <w:proofErr w:type="spellStart"/>
      <w:r w:rsidRPr="00467DB0">
        <w:t>aftagerleddet</w:t>
      </w:r>
      <w:proofErr w:type="spellEnd"/>
      <w:r w:rsidRPr="00467DB0">
        <w:t>. Det passende instrume</w:t>
      </w:r>
      <w:r w:rsidRPr="00467DB0">
        <w:t xml:space="preserve">nt på EU-plan til at finansiere sådanne forsknings- og </w:t>
      </w:r>
      <w:proofErr w:type="spellStart"/>
      <w:r w:rsidRPr="00467DB0">
        <w:t>innovationsaktiviteter</w:t>
      </w:r>
      <w:proofErr w:type="spellEnd"/>
      <w:r w:rsidRPr="00467DB0">
        <w:t xml:space="preserve"> er Horisont Europa. Et meget </w:t>
      </w:r>
      <w:proofErr w:type="spellStart"/>
      <w:r w:rsidRPr="00467DB0">
        <w:t>specifikt</w:t>
      </w:r>
      <w:proofErr w:type="spellEnd"/>
      <w:r w:rsidRPr="00467DB0">
        <w:t xml:space="preserve"> led i </w:t>
      </w:r>
      <w:proofErr w:type="spellStart"/>
      <w:r w:rsidRPr="00467DB0">
        <w:t>udviklingsaktiviteterne</w:t>
      </w:r>
      <w:proofErr w:type="spellEnd"/>
      <w:r w:rsidRPr="00467DB0">
        <w:t xml:space="preserve"> bør imidlertid finansieres over det </w:t>
      </w:r>
      <w:proofErr w:type="spellStart"/>
      <w:r w:rsidRPr="00467DB0">
        <w:t>budget</w:t>
      </w:r>
      <w:proofErr w:type="spellEnd"/>
      <w:r w:rsidRPr="00467DB0">
        <w:t>, der er tildelt Galileo- og EGNOS-</w:t>
      </w:r>
      <w:proofErr w:type="spellStart"/>
      <w:r w:rsidRPr="00467DB0">
        <w:t>komponenterne</w:t>
      </w:r>
      <w:proofErr w:type="spellEnd"/>
      <w:r w:rsidRPr="00467DB0">
        <w:t xml:space="preserve"> i henhold til denn</w:t>
      </w:r>
      <w:r w:rsidRPr="00467DB0">
        <w:t xml:space="preserve">e forordning, navnlig hvis sådanne aktiviteter vedrører </w:t>
      </w:r>
      <w:proofErr w:type="spellStart"/>
      <w:r w:rsidRPr="00467DB0">
        <w:t>grundlæggende</w:t>
      </w:r>
      <w:proofErr w:type="spellEnd"/>
      <w:r w:rsidRPr="00467DB0">
        <w:t xml:space="preserve"> elementer såsom </w:t>
      </w:r>
      <w:proofErr w:type="spellStart"/>
      <w:r w:rsidRPr="00467DB0">
        <w:t>Galileokompatible</w:t>
      </w:r>
      <w:proofErr w:type="spellEnd"/>
      <w:r w:rsidRPr="00467DB0">
        <w:t xml:space="preserve"> </w:t>
      </w:r>
      <w:proofErr w:type="spellStart"/>
      <w:r w:rsidRPr="00467DB0">
        <w:t>chipsæt</w:t>
      </w:r>
      <w:proofErr w:type="spellEnd"/>
      <w:r w:rsidRPr="00467DB0">
        <w:t xml:space="preserve"> og </w:t>
      </w:r>
      <w:proofErr w:type="spellStart"/>
      <w:r w:rsidRPr="00467DB0">
        <w:t>modtagere</w:t>
      </w:r>
      <w:proofErr w:type="spellEnd"/>
      <w:r w:rsidRPr="00467DB0">
        <w:t xml:space="preserve">, som vil </w:t>
      </w:r>
      <w:proofErr w:type="spellStart"/>
      <w:r w:rsidRPr="00467DB0">
        <w:t>gøre</w:t>
      </w:r>
      <w:proofErr w:type="spellEnd"/>
      <w:r w:rsidRPr="00467DB0">
        <w:t xml:space="preserve"> det lettere at </w:t>
      </w:r>
      <w:proofErr w:type="spellStart"/>
      <w:r w:rsidRPr="00467DB0">
        <w:t>udvikle</w:t>
      </w:r>
      <w:proofErr w:type="spellEnd"/>
      <w:r w:rsidRPr="00467DB0">
        <w:t xml:space="preserve"> </w:t>
      </w:r>
      <w:proofErr w:type="spellStart"/>
      <w:r w:rsidRPr="00467DB0">
        <w:t>applikationer</w:t>
      </w:r>
      <w:proofErr w:type="spellEnd"/>
      <w:r w:rsidRPr="00467DB0">
        <w:t xml:space="preserve">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lastRenderedPageBreak/>
        <w:t>forskellige</w:t>
      </w:r>
      <w:proofErr w:type="spellEnd"/>
      <w:r w:rsidRPr="00467DB0">
        <w:t xml:space="preserve"> økonomiske sektorer. En sådan finansiering bør dog ikke </w:t>
      </w:r>
      <w:r w:rsidRPr="00467DB0">
        <w:t xml:space="preserve">bringe </w:t>
      </w:r>
      <w:proofErr w:type="spellStart"/>
      <w:r w:rsidRPr="00467DB0">
        <w:t>ibrugtagning</w:t>
      </w:r>
      <w:proofErr w:type="spellEnd"/>
      <w:r w:rsidRPr="00467DB0">
        <w:t xml:space="preserve"> eller drift </w:t>
      </w:r>
      <w:proofErr w:type="spellStart"/>
      <w:r w:rsidRPr="00467DB0">
        <w:t>af</w:t>
      </w:r>
      <w:proofErr w:type="spellEnd"/>
      <w:r w:rsidRPr="00467DB0">
        <w:t xml:space="preserve"> de infrastrukturer, der er </w:t>
      </w:r>
      <w:proofErr w:type="spellStart"/>
      <w:r w:rsidRPr="00467DB0">
        <w:t>etableret</w:t>
      </w:r>
      <w:proofErr w:type="spellEnd"/>
      <w:r w:rsidRPr="00467DB0">
        <w:t xml:space="preserve"> i henhold til programmet, i fare.</w:t>
      </w:r>
    </w:p>
    <w:p w14:paraId="6678B6F7" w14:textId="77777777" w:rsidR="00000000" w:rsidRPr="00467DB0" w:rsidRDefault="00693D67" w:rsidP="00467DB0">
      <w:pPr>
        <w:pStyle w:val="friliste"/>
      </w:pPr>
      <w:r w:rsidRPr="00467DB0">
        <w:t>(20)</w:t>
      </w:r>
      <w:r w:rsidRPr="00467DB0">
        <w:tab/>
        <w:t xml:space="preserve">For at sikre den </w:t>
      </w:r>
      <w:proofErr w:type="spellStart"/>
      <w:r w:rsidRPr="00467DB0">
        <w:t>europæiske</w:t>
      </w:r>
      <w:proofErr w:type="spellEnd"/>
      <w:r w:rsidRPr="00467DB0">
        <w:t xml:space="preserve"> </w:t>
      </w:r>
      <w:proofErr w:type="spellStart"/>
      <w:r w:rsidRPr="00467DB0">
        <w:t>rumindustris</w:t>
      </w:r>
      <w:proofErr w:type="spellEnd"/>
      <w:r w:rsidRPr="00467DB0">
        <w:t xml:space="preserve"> </w:t>
      </w:r>
      <w:proofErr w:type="spellStart"/>
      <w:r w:rsidRPr="00467DB0">
        <w:t>konkurrenceevne</w:t>
      </w:r>
      <w:proofErr w:type="spellEnd"/>
      <w:r w:rsidRPr="00467DB0">
        <w:t xml:space="preserve"> i fremtiden bør programmet støtte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avancerede</w:t>
      </w:r>
      <w:proofErr w:type="spellEnd"/>
      <w:r w:rsidRPr="00467DB0">
        <w:t xml:space="preserve"> </w:t>
      </w:r>
      <w:proofErr w:type="spellStart"/>
      <w:r w:rsidRPr="00467DB0">
        <w:t>kompetencer</w:t>
      </w:r>
      <w:proofErr w:type="spellEnd"/>
      <w:r w:rsidRPr="00467DB0">
        <w:t xml:space="preserve"> på </w:t>
      </w:r>
      <w:proofErr w:type="spellStart"/>
      <w:r w:rsidRPr="00467DB0">
        <w:t>rumrelaterede</w:t>
      </w:r>
      <w:proofErr w:type="spellEnd"/>
      <w:r w:rsidRPr="00467DB0">
        <w:t xml:space="preserve"> områder, støtte </w:t>
      </w:r>
      <w:proofErr w:type="spellStart"/>
      <w:r w:rsidRPr="00467DB0">
        <w:t>uddannelsesaktiviteter</w:t>
      </w:r>
      <w:proofErr w:type="spellEnd"/>
      <w:r w:rsidRPr="00467DB0">
        <w:t xml:space="preserve"> og fremme </w:t>
      </w:r>
      <w:proofErr w:type="spellStart"/>
      <w:r w:rsidRPr="00467DB0">
        <w:t>lige</w:t>
      </w:r>
      <w:proofErr w:type="spellEnd"/>
      <w:r w:rsidRPr="00467DB0">
        <w:t xml:space="preserve"> </w:t>
      </w:r>
      <w:proofErr w:type="spellStart"/>
      <w:r w:rsidRPr="00467DB0">
        <w:t>muligheder</w:t>
      </w:r>
      <w:proofErr w:type="spellEnd"/>
      <w:r w:rsidRPr="00467DB0">
        <w:t xml:space="preserve">, herunder </w:t>
      </w:r>
      <w:proofErr w:type="spellStart"/>
      <w:r w:rsidRPr="00467DB0">
        <w:t>kønsligestilling</w:t>
      </w:r>
      <w:proofErr w:type="spellEnd"/>
      <w:r w:rsidRPr="00467DB0">
        <w:t xml:space="preserve">, med </w:t>
      </w:r>
      <w:proofErr w:type="spellStart"/>
      <w:r w:rsidRPr="00467DB0">
        <w:t>henblik</w:t>
      </w:r>
      <w:proofErr w:type="spellEnd"/>
      <w:r w:rsidRPr="00467DB0">
        <w:t xml:space="preserve"> på at </w:t>
      </w:r>
      <w:proofErr w:type="spellStart"/>
      <w:r w:rsidRPr="00467DB0">
        <w:t>udnytte</w:t>
      </w:r>
      <w:proofErr w:type="spellEnd"/>
      <w:r w:rsidRPr="00467DB0">
        <w:t xml:space="preserve"> EU-borgernes </w:t>
      </w:r>
      <w:proofErr w:type="spellStart"/>
      <w:r w:rsidRPr="00467DB0">
        <w:t>fulde</w:t>
      </w:r>
      <w:proofErr w:type="spellEnd"/>
      <w:r w:rsidRPr="00467DB0">
        <w:t xml:space="preserve"> </w:t>
      </w:r>
      <w:proofErr w:type="spellStart"/>
      <w:r w:rsidRPr="00467DB0">
        <w:t>potentiale</w:t>
      </w:r>
      <w:proofErr w:type="spellEnd"/>
      <w:r w:rsidRPr="00467DB0">
        <w:t xml:space="preserve"> på dette område.</w:t>
      </w:r>
    </w:p>
    <w:p w14:paraId="40100948" w14:textId="77777777" w:rsidR="00000000" w:rsidRPr="00467DB0" w:rsidRDefault="00693D67" w:rsidP="00467DB0">
      <w:pPr>
        <w:pStyle w:val="friliste"/>
      </w:pPr>
      <w:r w:rsidRPr="00467DB0">
        <w:t>(21)</w:t>
      </w:r>
      <w:r w:rsidRPr="00467DB0">
        <w:tab/>
      </w:r>
      <w:r w:rsidRPr="00467DB0">
        <w:t xml:space="preserve">Den infrastruktur, der anvendes i forbindelse med programmet, kan </w:t>
      </w:r>
      <w:proofErr w:type="spellStart"/>
      <w:r w:rsidRPr="00467DB0">
        <w:t>kræve</w:t>
      </w:r>
      <w:proofErr w:type="spellEnd"/>
      <w:r w:rsidRPr="00467DB0">
        <w:t xml:space="preserve"> </w:t>
      </w:r>
      <w:proofErr w:type="spellStart"/>
      <w:r w:rsidRPr="00467DB0">
        <w:t>yderligere</w:t>
      </w:r>
      <w:proofErr w:type="spellEnd"/>
      <w:r w:rsidRPr="00467DB0">
        <w:t xml:space="preserve"> forskning og </w:t>
      </w:r>
      <w:proofErr w:type="spellStart"/>
      <w:r w:rsidRPr="00467DB0">
        <w:t>innovation</w:t>
      </w:r>
      <w:proofErr w:type="spellEnd"/>
      <w:r w:rsidRPr="00467DB0">
        <w:t xml:space="preserve">, som kan støttes i henhold til Horisont Europa med </w:t>
      </w:r>
      <w:proofErr w:type="spellStart"/>
      <w:r w:rsidRPr="00467DB0">
        <w:t>henblik</w:t>
      </w:r>
      <w:proofErr w:type="spellEnd"/>
      <w:r w:rsidRPr="00467DB0">
        <w:t xml:space="preserve"> på overensstemmelse med </w:t>
      </w:r>
      <w:proofErr w:type="spellStart"/>
      <w:r w:rsidRPr="00467DB0">
        <w:t>ESA's</w:t>
      </w:r>
      <w:proofErr w:type="spellEnd"/>
      <w:r w:rsidRPr="00467DB0">
        <w:t xml:space="preserve"> aktiviteter på dette område. Synergier med Horisont Europa b</w:t>
      </w:r>
      <w:r w:rsidRPr="00467DB0">
        <w:t xml:space="preserve">ør sikre, at </w:t>
      </w:r>
      <w:proofErr w:type="spellStart"/>
      <w:r w:rsidRPr="00467DB0">
        <w:t>rumsektorens</w:t>
      </w:r>
      <w:proofErr w:type="spellEnd"/>
      <w:r w:rsidRPr="00467DB0">
        <w:t xml:space="preserve"> forsknings- og </w:t>
      </w:r>
      <w:proofErr w:type="spellStart"/>
      <w:r w:rsidRPr="00467DB0">
        <w:t>innovationsbehov</w:t>
      </w:r>
      <w:proofErr w:type="spellEnd"/>
      <w:r w:rsidRPr="00467DB0">
        <w:t xml:space="preserve"> </w:t>
      </w:r>
      <w:proofErr w:type="spellStart"/>
      <w:r w:rsidRPr="00467DB0">
        <w:t>afdækkes</w:t>
      </w:r>
      <w:proofErr w:type="spellEnd"/>
      <w:r w:rsidRPr="00467DB0">
        <w:t xml:space="preserve"> og </w:t>
      </w:r>
      <w:proofErr w:type="spellStart"/>
      <w:r w:rsidRPr="00467DB0">
        <w:t>fastlægges</w:t>
      </w:r>
      <w:proofErr w:type="spellEnd"/>
      <w:r w:rsidRPr="00467DB0">
        <w:t xml:space="preserve"> i forbindelse med den strategiske </w:t>
      </w:r>
      <w:proofErr w:type="spellStart"/>
      <w:r w:rsidRPr="00467DB0">
        <w:t>planlægningsproces</w:t>
      </w:r>
      <w:proofErr w:type="spellEnd"/>
      <w:r w:rsidRPr="00467DB0">
        <w:t xml:space="preserve"> for forskning og </w:t>
      </w:r>
      <w:proofErr w:type="spellStart"/>
      <w:r w:rsidRPr="00467DB0">
        <w:t>innovation</w:t>
      </w:r>
      <w:proofErr w:type="spellEnd"/>
      <w:r w:rsidRPr="00467DB0">
        <w:t xml:space="preserve">. </w:t>
      </w:r>
      <w:proofErr w:type="spellStart"/>
      <w:r w:rsidRPr="00467DB0">
        <w:t>Rumdata</w:t>
      </w:r>
      <w:proofErr w:type="spellEnd"/>
      <w:r w:rsidRPr="00467DB0">
        <w:t xml:space="preserve"> og -tjenester, der </w:t>
      </w:r>
      <w:proofErr w:type="spellStart"/>
      <w:r w:rsidRPr="00467DB0">
        <w:t>gøres</w:t>
      </w:r>
      <w:proofErr w:type="spellEnd"/>
      <w:r w:rsidRPr="00467DB0">
        <w:t xml:space="preserve"> </w:t>
      </w:r>
      <w:proofErr w:type="spellStart"/>
      <w:r w:rsidRPr="00467DB0">
        <w:t>frit</w:t>
      </w:r>
      <w:proofErr w:type="spellEnd"/>
      <w:r w:rsidRPr="00467DB0">
        <w:t xml:space="preserve"> </w:t>
      </w:r>
      <w:proofErr w:type="spellStart"/>
      <w:r w:rsidRPr="00467DB0">
        <w:t>tilgængelige</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vil bliv</w:t>
      </w:r>
      <w:r w:rsidRPr="00467DB0">
        <w:t xml:space="preserve">e anvendt til at </w:t>
      </w:r>
      <w:proofErr w:type="spellStart"/>
      <w:r w:rsidRPr="00467DB0">
        <w:t>udvikle</w:t>
      </w:r>
      <w:proofErr w:type="spellEnd"/>
      <w:r w:rsidRPr="00467DB0">
        <w:t xml:space="preserve"> </w:t>
      </w:r>
      <w:proofErr w:type="spellStart"/>
      <w:r w:rsidRPr="00467DB0">
        <w:t>banebrydende</w:t>
      </w:r>
      <w:proofErr w:type="spellEnd"/>
      <w:r w:rsidRPr="00467DB0">
        <w:t xml:space="preserve"> løsninger </w:t>
      </w:r>
      <w:proofErr w:type="spellStart"/>
      <w:r w:rsidRPr="00467DB0">
        <w:t>gennem</w:t>
      </w:r>
      <w:proofErr w:type="spellEnd"/>
      <w:r w:rsidRPr="00467DB0">
        <w:t xml:space="preserve"> forskning og </w:t>
      </w:r>
      <w:proofErr w:type="spellStart"/>
      <w:r w:rsidRPr="00467DB0">
        <w:t>innovation</w:t>
      </w:r>
      <w:proofErr w:type="spellEnd"/>
      <w:r w:rsidRPr="00467DB0">
        <w:t xml:space="preserve">, herunder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Horisont Europa, til støtte for Unionens politiske prioriteringer. Den strategiske </w:t>
      </w:r>
      <w:proofErr w:type="spellStart"/>
      <w:r w:rsidRPr="00467DB0">
        <w:t>planlægningsproces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Horisont Europa vil </w:t>
      </w:r>
      <w:proofErr w:type="spellStart"/>
      <w:r w:rsidRPr="00467DB0">
        <w:t>a</w:t>
      </w:r>
      <w:r w:rsidRPr="00467DB0">
        <w:t>fdække</w:t>
      </w:r>
      <w:proofErr w:type="spellEnd"/>
      <w:r w:rsidRPr="00467DB0">
        <w:t xml:space="preserve">, hvilke forsknings- og </w:t>
      </w:r>
      <w:proofErr w:type="spellStart"/>
      <w:r w:rsidRPr="00467DB0">
        <w:t>innovationsaktiviteter</w:t>
      </w:r>
      <w:proofErr w:type="spellEnd"/>
      <w:r w:rsidRPr="00467DB0">
        <w:t xml:space="preserve"> der bør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EU-</w:t>
      </w:r>
      <w:proofErr w:type="spellStart"/>
      <w:r w:rsidRPr="00467DB0">
        <w:t>ejede</w:t>
      </w:r>
      <w:proofErr w:type="spellEnd"/>
      <w:r w:rsidRPr="00467DB0">
        <w:t xml:space="preserve"> infrastrukturer såsom Galileo, EGNOS og Copernicus. Forskningsinfrastrukturer, navnlig in </w:t>
      </w:r>
      <w:proofErr w:type="spellStart"/>
      <w:r w:rsidRPr="00467DB0">
        <w:t>situ-observationsnet</w:t>
      </w:r>
      <w:proofErr w:type="spellEnd"/>
      <w:r w:rsidRPr="00467DB0">
        <w:t xml:space="preserve">, vil </w:t>
      </w:r>
      <w:proofErr w:type="spellStart"/>
      <w:r w:rsidRPr="00467DB0">
        <w:t>udgøre</w:t>
      </w:r>
      <w:proofErr w:type="spellEnd"/>
      <w:r w:rsidRPr="00467DB0">
        <w:t xml:space="preserve"> </w:t>
      </w:r>
      <w:proofErr w:type="spellStart"/>
      <w:r w:rsidRPr="00467DB0">
        <w:t>væsentlige</w:t>
      </w:r>
      <w:proofErr w:type="spellEnd"/>
      <w:r w:rsidRPr="00467DB0">
        <w:t xml:space="preserve"> elementer i den in </w:t>
      </w:r>
      <w:proofErr w:type="spellStart"/>
      <w:r w:rsidRPr="00467DB0">
        <w:t>situ-observationsinf</w:t>
      </w:r>
      <w:r w:rsidRPr="00467DB0">
        <w:t>rastruktur</w:t>
      </w:r>
      <w:proofErr w:type="spellEnd"/>
      <w:r w:rsidRPr="00467DB0">
        <w:t xml:space="preserve">, der ligger til grund for </w:t>
      </w:r>
      <w:proofErr w:type="spellStart"/>
      <w:r w:rsidRPr="00467DB0">
        <w:t>Copernicustjenesterne</w:t>
      </w:r>
      <w:proofErr w:type="spellEnd"/>
      <w:r w:rsidRPr="00467DB0">
        <w:t>.</w:t>
      </w:r>
    </w:p>
    <w:p w14:paraId="4240EA0B" w14:textId="77777777" w:rsidR="00000000" w:rsidRPr="00467DB0" w:rsidRDefault="00693D67" w:rsidP="00467DB0">
      <w:pPr>
        <w:pStyle w:val="friliste"/>
      </w:pPr>
      <w:r w:rsidRPr="00467DB0">
        <w:t>(22)</w:t>
      </w:r>
      <w:r w:rsidRPr="00467DB0">
        <w:tab/>
        <w:t xml:space="preserve">Det er </w:t>
      </w:r>
      <w:proofErr w:type="spellStart"/>
      <w:r w:rsidRPr="00467DB0">
        <w:t>vigtigt</w:t>
      </w:r>
      <w:proofErr w:type="spellEnd"/>
      <w:r w:rsidRPr="00467DB0">
        <w:t xml:space="preserve">, at Unionen </w:t>
      </w:r>
      <w:proofErr w:type="spellStart"/>
      <w:r w:rsidRPr="00467DB0">
        <w:t>ejer</w:t>
      </w:r>
      <w:proofErr w:type="spellEnd"/>
      <w:r w:rsidRPr="00467DB0">
        <w:t xml:space="preserve"> alle materielle og immaterielle aktiver, som er </w:t>
      </w:r>
      <w:proofErr w:type="spellStart"/>
      <w:r w:rsidRPr="00467DB0">
        <w:t>skabt</w:t>
      </w:r>
      <w:proofErr w:type="spellEnd"/>
      <w:r w:rsidRPr="00467DB0">
        <w:t xml:space="preserve"> eller </w:t>
      </w:r>
      <w:proofErr w:type="spellStart"/>
      <w:r w:rsidRPr="00467DB0">
        <w:t>udviklet</w:t>
      </w:r>
      <w:proofErr w:type="spellEnd"/>
      <w:r w:rsidRPr="00467DB0">
        <w:t xml:space="preserve"> </w:t>
      </w:r>
      <w:proofErr w:type="spellStart"/>
      <w:r w:rsidRPr="00467DB0">
        <w:t>gennem</w:t>
      </w:r>
      <w:proofErr w:type="spellEnd"/>
      <w:r w:rsidRPr="00467DB0">
        <w:t xml:space="preserve"> de offentlige </w:t>
      </w:r>
      <w:proofErr w:type="spellStart"/>
      <w:r w:rsidRPr="00467DB0">
        <w:t>udbud</w:t>
      </w:r>
      <w:proofErr w:type="spellEnd"/>
      <w:r w:rsidRPr="00467DB0">
        <w:t xml:space="preserve">, som den finansierer som en del </w:t>
      </w:r>
      <w:proofErr w:type="spellStart"/>
      <w:r w:rsidRPr="00467DB0">
        <w:t>af</w:t>
      </w:r>
      <w:proofErr w:type="spellEnd"/>
      <w:r w:rsidRPr="00467DB0">
        <w:t xml:space="preserve"> programmet. For at sikre, at</w:t>
      </w:r>
      <w:r w:rsidRPr="00467DB0">
        <w:t xml:space="preserve"> alle </w:t>
      </w:r>
      <w:proofErr w:type="spellStart"/>
      <w:r w:rsidRPr="00467DB0">
        <w:t>grundlæggende</w:t>
      </w:r>
      <w:proofErr w:type="spellEnd"/>
      <w:r w:rsidRPr="00467DB0">
        <w:t xml:space="preserve"> </w:t>
      </w:r>
      <w:proofErr w:type="spellStart"/>
      <w:r w:rsidRPr="00467DB0">
        <w:t>rettigheder</w:t>
      </w:r>
      <w:proofErr w:type="spellEnd"/>
      <w:r w:rsidRPr="00467DB0">
        <w:t xml:space="preserve"> </w:t>
      </w:r>
      <w:proofErr w:type="gramStart"/>
      <w:r w:rsidRPr="00467DB0">
        <w:t>vedrørende</w:t>
      </w:r>
      <w:proofErr w:type="gramEnd"/>
      <w:r w:rsidRPr="00467DB0">
        <w:t xml:space="preserve"> </w:t>
      </w:r>
      <w:proofErr w:type="spellStart"/>
      <w:r w:rsidRPr="00467DB0">
        <w:t>ejendomsret</w:t>
      </w:r>
      <w:proofErr w:type="spellEnd"/>
      <w:r w:rsidRPr="00467DB0">
        <w:t xml:space="preserve"> respekteres </w:t>
      </w:r>
      <w:proofErr w:type="spellStart"/>
      <w:r w:rsidRPr="00467DB0">
        <w:t>fuldt</w:t>
      </w:r>
      <w:proofErr w:type="spellEnd"/>
      <w:r w:rsidRPr="00467DB0">
        <w:t xml:space="preserve"> </w:t>
      </w:r>
      <w:proofErr w:type="spellStart"/>
      <w:r w:rsidRPr="00467DB0">
        <w:t>ud</w:t>
      </w:r>
      <w:proofErr w:type="spellEnd"/>
      <w:r w:rsidRPr="00467DB0">
        <w:t xml:space="preserve">, bør der </w:t>
      </w:r>
      <w:proofErr w:type="spellStart"/>
      <w:r w:rsidRPr="00467DB0">
        <w:t>indgås</w:t>
      </w:r>
      <w:proofErr w:type="spellEnd"/>
      <w:r w:rsidRPr="00467DB0">
        <w:t xml:space="preserve"> de nødvendige </w:t>
      </w:r>
      <w:proofErr w:type="spellStart"/>
      <w:r w:rsidRPr="00467DB0">
        <w:t>aftaler</w:t>
      </w:r>
      <w:proofErr w:type="spellEnd"/>
      <w:r w:rsidRPr="00467DB0">
        <w:t xml:space="preserve"> med alle nuværende </w:t>
      </w:r>
      <w:proofErr w:type="spellStart"/>
      <w:r w:rsidRPr="00467DB0">
        <w:t>ejere</w:t>
      </w:r>
      <w:proofErr w:type="spellEnd"/>
      <w:r w:rsidRPr="00467DB0">
        <w:t>. Sådan EU-</w:t>
      </w:r>
      <w:proofErr w:type="spellStart"/>
      <w:r w:rsidRPr="00467DB0">
        <w:t>ejendomsret</w:t>
      </w:r>
      <w:proofErr w:type="spellEnd"/>
      <w:r w:rsidRPr="00467DB0">
        <w:t xml:space="preserve"> bør ikke </w:t>
      </w:r>
      <w:proofErr w:type="spellStart"/>
      <w:r w:rsidRPr="00467DB0">
        <w:t>udelukke</w:t>
      </w:r>
      <w:proofErr w:type="spellEnd"/>
      <w:r w:rsidRPr="00467DB0">
        <w:t xml:space="preserve">, at Unionen i overensstemmelse med denne forordning, og hvor det </w:t>
      </w:r>
      <w:proofErr w:type="spellStart"/>
      <w:r w:rsidRPr="00467DB0">
        <w:t>skønnes</w:t>
      </w:r>
      <w:proofErr w:type="spellEnd"/>
      <w:r w:rsidRPr="00467DB0">
        <w:t xml:space="preserve"> </w:t>
      </w:r>
      <w:proofErr w:type="spellStart"/>
      <w:r w:rsidRPr="00467DB0">
        <w:t>hens</w:t>
      </w:r>
      <w:r w:rsidRPr="00467DB0">
        <w:t>igtsmæssigt</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en konkret vurdering, stiller disse aktiver til </w:t>
      </w:r>
      <w:proofErr w:type="spellStart"/>
      <w:r w:rsidRPr="00467DB0">
        <w:t>rådighed</w:t>
      </w:r>
      <w:proofErr w:type="spellEnd"/>
      <w:r w:rsidRPr="00467DB0">
        <w:t xml:space="preserve"> for tredjeparter eller råder over dem.</w:t>
      </w:r>
    </w:p>
    <w:p w14:paraId="4F5F8E7F" w14:textId="77777777" w:rsidR="00000000" w:rsidRPr="00467DB0" w:rsidRDefault="00693D67" w:rsidP="00467DB0">
      <w:pPr>
        <w:pStyle w:val="friliste"/>
      </w:pPr>
      <w:r w:rsidRPr="00467DB0">
        <w:t>(23)</w:t>
      </w:r>
      <w:r w:rsidRPr="00467DB0">
        <w:tab/>
        <w:t xml:space="preserve">For at fremme bredest mulig anvendelse </w:t>
      </w:r>
      <w:proofErr w:type="spellStart"/>
      <w:r w:rsidRPr="00467DB0">
        <w:t>af</w:t>
      </w:r>
      <w:proofErr w:type="spellEnd"/>
      <w:r w:rsidRPr="00467DB0">
        <w:t xml:space="preserve"> de tjenester, som programmet tilbyder, bør det </w:t>
      </w:r>
      <w:proofErr w:type="spellStart"/>
      <w:r w:rsidRPr="00467DB0">
        <w:t>understreges</w:t>
      </w:r>
      <w:proofErr w:type="spellEnd"/>
      <w:r w:rsidRPr="00467DB0">
        <w:t xml:space="preserve">, at data, </w:t>
      </w:r>
      <w:proofErr w:type="spellStart"/>
      <w:r w:rsidRPr="00467DB0">
        <w:t>informationer</w:t>
      </w:r>
      <w:proofErr w:type="spellEnd"/>
      <w:r w:rsidRPr="00467DB0">
        <w:t xml:space="preserve"> og</w:t>
      </w:r>
      <w:r w:rsidRPr="00467DB0">
        <w:t xml:space="preserve"> tjenester – med forbehold </w:t>
      </w:r>
      <w:proofErr w:type="spellStart"/>
      <w:proofErr w:type="gramStart"/>
      <w:r w:rsidRPr="00467DB0">
        <w:t>af</w:t>
      </w:r>
      <w:proofErr w:type="spellEnd"/>
      <w:proofErr w:type="gramEnd"/>
      <w:r w:rsidRPr="00467DB0">
        <w:t xml:space="preserve"> </w:t>
      </w:r>
      <w:proofErr w:type="spellStart"/>
      <w:r w:rsidRPr="00467DB0">
        <w:t>forpligtelser</w:t>
      </w:r>
      <w:proofErr w:type="spellEnd"/>
      <w:r w:rsidRPr="00467DB0">
        <w:t xml:space="preserve">, der følger </w:t>
      </w:r>
      <w:proofErr w:type="spellStart"/>
      <w:r w:rsidRPr="00467DB0">
        <w:t>af</w:t>
      </w:r>
      <w:proofErr w:type="spellEnd"/>
      <w:r w:rsidRPr="00467DB0">
        <w:t xml:space="preserve"> </w:t>
      </w:r>
      <w:proofErr w:type="spellStart"/>
      <w:r w:rsidRPr="00467DB0">
        <w:t>retligt</w:t>
      </w:r>
      <w:proofErr w:type="spellEnd"/>
      <w:r w:rsidRPr="00467DB0">
        <w:t xml:space="preserve"> bindende bestemmelser – stilles til </w:t>
      </w:r>
      <w:proofErr w:type="spellStart"/>
      <w:r w:rsidRPr="00467DB0">
        <w:t>rådighed</w:t>
      </w:r>
      <w:proofErr w:type="spellEnd"/>
      <w:r w:rsidRPr="00467DB0">
        <w:t xml:space="preserve"> </w:t>
      </w:r>
      <w:proofErr w:type="spellStart"/>
      <w:r w:rsidRPr="00467DB0">
        <w:t>uden</w:t>
      </w:r>
      <w:proofErr w:type="spellEnd"/>
      <w:r w:rsidRPr="00467DB0">
        <w:t xml:space="preserve"> en garanti.</w:t>
      </w:r>
    </w:p>
    <w:p w14:paraId="1FEA8A8F" w14:textId="77777777" w:rsidR="00000000" w:rsidRPr="00467DB0" w:rsidRDefault="00693D67" w:rsidP="00467DB0">
      <w:pPr>
        <w:pStyle w:val="friliste"/>
      </w:pPr>
      <w:r w:rsidRPr="00467DB0">
        <w:t>(24)</w:t>
      </w:r>
      <w:r w:rsidRPr="00467DB0">
        <w:tab/>
      </w:r>
      <w:proofErr w:type="spellStart"/>
      <w:r w:rsidRPr="00467DB0">
        <w:t>Kommissionen</w:t>
      </w:r>
      <w:proofErr w:type="spellEnd"/>
      <w:r w:rsidRPr="00467DB0">
        <w:t xml:space="preserve"> bør ved </w:t>
      </w:r>
      <w:proofErr w:type="spellStart"/>
      <w:r w:rsidRPr="00467DB0">
        <w:t>udførelsen</w:t>
      </w:r>
      <w:proofErr w:type="spellEnd"/>
      <w:r w:rsidRPr="00467DB0">
        <w:t xml:space="preserve"> </w:t>
      </w:r>
      <w:proofErr w:type="spellStart"/>
      <w:r w:rsidRPr="00467DB0">
        <w:t>af</w:t>
      </w:r>
      <w:proofErr w:type="spellEnd"/>
      <w:r w:rsidRPr="00467DB0">
        <w:t xml:space="preserve"> visse </w:t>
      </w:r>
      <w:proofErr w:type="spellStart"/>
      <w:r w:rsidRPr="00467DB0">
        <w:t>ikkelovgivningsmæssige</w:t>
      </w:r>
      <w:proofErr w:type="spellEnd"/>
      <w:r w:rsidRPr="00467DB0">
        <w:t xml:space="preserve"> </w:t>
      </w:r>
      <w:proofErr w:type="spellStart"/>
      <w:r w:rsidRPr="00467DB0">
        <w:t>opgaver</w:t>
      </w:r>
      <w:proofErr w:type="spellEnd"/>
      <w:r w:rsidRPr="00467DB0">
        <w:t xml:space="preserve"> i </w:t>
      </w:r>
      <w:proofErr w:type="spellStart"/>
      <w:r w:rsidRPr="00467DB0">
        <w:t>givet</w:t>
      </w:r>
      <w:proofErr w:type="spellEnd"/>
      <w:r w:rsidRPr="00467DB0">
        <w:t xml:space="preserve"> fald, og </w:t>
      </w:r>
      <w:proofErr w:type="gramStart"/>
      <w:r w:rsidRPr="00467DB0">
        <w:t>såfremt</w:t>
      </w:r>
      <w:proofErr w:type="gramEnd"/>
      <w:r w:rsidRPr="00467DB0">
        <w:t xml:space="preserve"> det er </w:t>
      </w:r>
      <w:proofErr w:type="spellStart"/>
      <w:r w:rsidRPr="00467DB0">
        <w:t>nødvendigt</w:t>
      </w:r>
      <w:proofErr w:type="spellEnd"/>
      <w:r w:rsidRPr="00467DB0">
        <w:t xml:space="preserve">, kunne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faglig bistand fra en </w:t>
      </w:r>
      <w:proofErr w:type="spellStart"/>
      <w:r w:rsidRPr="00467DB0">
        <w:t>række</w:t>
      </w:r>
      <w:proofErr w:type="spellEnd"/>
      <w:r w:rsidRPr="00467DB0">
        <w:t xml:space="preserve"> eksterne parter. De andre </w:t>
      </w:r>
      <w:proofErr w:type="spellStart"/>
      <w:r w:rsidRPr="00467DB0">
        <w:t>enheder</w:t>
      </w:r>
      <w:proofErr w:type="spellEnd"/>
      <w:r w:rsidRPr="00467DB0">
        <w:t xml:space="preserve">, som er </w:t>
      </w:r>
      <w:proofErr w:type="spellStart"/>
      <w:r w:rsidRPr="00467DB0">
        <w:t>involveret</w:t>
      </w:r>
      <w:proofErr w:type="spellEnd"/>
      <w:r w:rsidRPr="00467DB0">
        <w:t xml:space="preserve"> i den offentlige forvaltning </w:t>
      </w:r>
      <w:proofErr w:type="spellStart"/>
      <w:r w:rsidRPr="00467DB0">
        <w:t>af</w:t>
      </w:r>
      <w:proofErr w:type="spellEnd"/>
      <w:r w:rsidRPr="00467DB0">
        <w:t xml:space="preserve"> programmet, bør kunne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samme faglige bistand i forbindelse med </w:t>
      </w:r>
      <w:proofErr w:type="spellStart"/>
      <w:r w:rsidRPr="00467DB0">
        <w:t>udførelsen</w:t>
      </w:r>
      <w:proofErr w:type="spellEnd"/>
      <w:r w:rsidRPr="00467DB0">
        <w:t xml:space="preserve"> </w:t>
      </w:r>
      <w:proofErr w:type="spellStart"/>
      <w:r w:rsidRPr="00467DB0">
        <w:t>af</w:t>
      </w:r>
      <w:proofErr w:type="spellEnd"/>
      <w:r w:rsidRPr="00467DB0">
        <w:t xml:space="preserve"> </w:t>
      </w:r>
      <w:proofErr w:type="spellStart"/>
      <w:r w:rsidRPr="00467DB0">
        <w:t>opgaver</w:t>
      </w:r>
      <w:proofErr w:type="spellEnd"/>
      <w:r w:rsidRPr="00467DB0">
        <w:t xml:space="preserve">, de har </w:t>
      </w:r>
      <w:proofErr w:type="spellStart"/>
      <w:r w:rsidRPr="00467DB0">
        <w:t>fået</w:t>
      </w:r>
      <w:proofErr w:type="spellEnd"/>
      <w:r w:rsidRPr="00467DB0">
        <w:t xml:space="preserve"> overdraget i henhold</w:t>
      </w:r>
      <w:r w:rsidRPr="00467DB0">
        <w:t xml:space="preserve"> til denne forordning.</w:t>
      </w:r>
    </w:p>
    <w:p w14:paraId="03D2636C" w14:textId="77777777" w:rsidR="00000000" w:rsidRPr="00467DB0" w:rsidRDefault="00693D67" w:rsidP="00467DB0">
      <w:pPr>
        <w:pStyle w:val="friliste"/>
      </w:pPr>
      <w:r w:rsidRPr="00467DB0">
        <w:t>(25)</w:t>
      </w:r>
      <w:r w:rsidRPr="00467DB0">
        <w:tab/>
        <w:t xml:space="preserve">I denne forordning </w:t>
      </w:r>
      <w:proofErr w:type="spellStart"/>
      <w:r w:rsidRPr="00467DB0">
        <w:t>fastlægges</w:t>
      </w:r>
      <w:proofErr w:type="spellEnd"/>
      <w:r w:rsidRPr="00467DB0">
        <w:t xml:space="preserve"> der en finansieringsramme for hele programmets </w:t>
      </w:r>
      <w:proofErr w:type="spellStart"/>
      <w:r w:rsidRPr="00467DB0">
        <w:t>varighed</w:t>
      </w:r>
      <w:proofErr w:type="spellEnd"/>
      <w:r w:rsidRPr="00467DB0">
        <w:t xml:space="preserve">, som skal </w:t>
      </w:r>
      <w:proofErr w:type="spellStart"/>
      <w:r w:rsidRPr="00467DB0">
        <w:t>udgøre</w:t>
      </w:r>
      <w:proofErr w:type="spellEnd"/>
      <w:r w:rsidRPr="00467DB0">
        <w:t xml:space="preserve"> det primære </w:t>
      </w:r>
      <w:proofErr w:type="spellStart"/>
      <w:r w:rsidRPr="00467DB0">
        <w:t>referencebeløb</w:t>
      </w:r>
      <w:proofErr w:type="spellEnd"/>
      <w:r w:rsidRPr="00467DB0">
        <w:t xml:space="preserve">, jf. punkt 18 i den </w:t>
      </w:r>
      <w:proofErr w:type="spellStart"/>
      <w:r w:rsidRPr="00467DB0">
        <w:t>interinstitutionelle</w:t>
      </w:r>
      <w:proofErr w:type="spellEnd"/>
      <w:r w:rsidRPr="00467DB0">
        <w:t xml:space="preserve"> </w:t>
      </w:r>
      <w:proofErr w:type="spellStart"/>
      <w:r w:rsidRPr="00467DB0">
        <w:t>aftale</w:t>
      </w:r>
      <w:proofErr w:type="spellEnd"/>
      <w:r w:rsidRPr="00467DB0">
        <w:t xml:space="preserve"> </w:t>
      </w:r>
      <w:proofErr w:type="spellStart"/>
      <w:r w:rsidRPr="00467DB0">
        <w:t>mellem</w:t>
      </w:r>
      <w:proofErr w:type="spellEnd"/>
      <w:r w:rsidRPr="00467DB0">
        <w:t xml:space="preserve"> Europa-Parlamentet, Rådet for Den </w:t>
      </w:r>
      <w:proofErr w:type="spellStart"/>
      <w:r w:rsidRPr="00467DB0">
        <w:t>Europæisk</w:t>
      </w:r>
      <w:r w:rsidRPr="00467DB0">
        <w:t>e</w:t>
      </w:r>
      <w:proofErr w:type="spellEnd"/>
      <w:r w:rsidRPr="00467DB0">
        <w:t xml:space="preserve"> Union og Europa-</w:t>
      </w:r>
      <w:proofErr w:type="spellStart"/>
      <w:r w:rsidRPr="00467DB0">
        <w:t>Kommissionen</w:t>
      </w:r>
      <w:proofErr w:type="spellEnd"/>
      <w:r w:rsidRPr="00467DB0">
        <w:t xml:space="preserve"> om </w:t>
      </w:r>
      <w:proofErr w:type="spellStart"/>
      <w:r w:rsidRPr="00467DB0">
        <w:t>budgetdisciplin</w:t>
      </w:r>
      <w:proofErr w:type="spellEnd"/>
      <w:r w:rsidRPr="00467DB0">
        <w:t xml:space="preserve">, om </w:t>
      </w:r>
      <w:proofErr w:type="spellStart"/>
      <w:r w:rsidRPr="00467DB0">
        <w:t>samarbejde</w:t>
      </w:r>
      <w:proofErr w:type="spellEnd"/>
      <w:r w:rsidRPr="00467DB0">
        <w:t xml:space="preserve"> på </w:t>
      </w:r>
      <w:proofErr w:type="spellStart"/>
      <w:r w:rsidRPr="00467DB0">
        <w:t>budgetområdet</w:t>
      </w:r>
      <w:proofErr w:type="spellEnd"/>
      <w:r w:rsidRPr="00467DB0">
        <w:t xml:space="preserve"> og om forsvarlig økonomisk forvaltning samt om nye egne </w:t>
      </w:r>
      <w:proofErr w:type="spellStart"/>
      <w:r w:rsidRPr="00467DB0">
        <w:t>indtægter</w:t>
      </w:r>
      <w:proofErr w:type="spellEnd"/>
      <w:r w:rsidRPr="00467DB0">
        <w:t xml:space="preserve">, herunder en </w:t>
      </w:r>
      <w:proofErr w:type="spellStart"/>
      <w:r w:rsidRPr="00467DB0">
        <w:t>køreplan</w:t>
      </w:r>
      <w:proofErr w:type="spellEnd"/>
      <w:r w:rsidRPr="00467DB0">
        <w:t xml:space="preserve"> hen </w:t>
      </w:r>
      <w:proofErr w:type="spellStart"/>
      <w:r w:rsidRPr="00467DB0">
        <w:t>imod</w:t>
      </w:r>
      <w:proofErr w:type="spellEnd"/>
      <w:r w:rsidRPr="00467DB0">
        <w:t xml:space="preserve"> </w:t>
      </w:r>
      <w:proofErr w:type="spellStart"/>
      <w:r w:rsidRPr="00467DB0">
        <w:t>indførelse</w:t>
      </w:r>
      <w:proofErr w:type="spellEnd"/>
      <w:r w:rsidRPr="00467DB0">
        <w:t xml:space="preserve"> </w:t>
      </w:r>
      <w:proofErr w:type="spellStart"/>
      <w:r w:rsidRPr="00467DB0">
        <w:t>af</w:t>
      </w:r>
      <w:proofErr w:type="spellEnd"/>
      <w:r w:rsidRPr="00467DB0">
        <w:t xml:space="preserve"> nye egne </w:t>
      </w:r>
      <w:proofErr w:type="spellStart"/>
      <w:r w:rsidRPr="00467DB0">
        <w:t>indtægter</w:t>
      </w:r>
      <w:proofErr w:type="spellEnd"/>
      <w:r w:rsidRPr="00467DB0">
        <w:rPr>
          <w:rStyle w:val="Fotnotereferanse"/>
        </w:rPr>
        <w:footnoteReference w:id="9"/>
      </w:r>
      <w:r w:rsidRPr="00467DB0">
        <w:t>.</w:t>
      </w:r>
    </w:p>
    <w:p w14:paraId="393CE70C" w14:textId="77777777" w:rsidR="00000000" w:rsidRPr="00467DB0" w:rsidRDefault="00693D67" w:rsidP="00467DB0">
      <w:pPr>
        <w:pStyle w:val="friliste"/>
      </w:pPr>
      <w:r w:rsidRPr="00467DB0">
        <w:t>(26)</w:t>
      </w:r>
      <w:r w:rsidRPr="00467DB0">
        <w:tab/>
        <w:t>F</w:t>
      </w:r>
      <w:r w:rsidRPr="00467DB0">
        <w:t xml:space="preserve">or at </w:t>
      </w:r>
      <w:proofErr w:type="spellStart"/>
      <w:r w:rsidRPr="00467DB0">
        <w:t>afspejle</w:t>
      </w:r>
      <w:proofErr w:type="spellEnd"/>
      <w:r w:rsidRPr="00467DB0">
        <w:t xml:space="preserve"> betydningen </w:t>
      </w:r>
      <w:proofErr w:type="spellStart"/>
      <w:r w:rsidRPr="00467DB0">
        <w:t>af</w:t>
      </w:r>
      <w:proofErr w:type="spellEnd"/>
      <w:r w:rsidRPr="00467DB0">
        <w:t xml:space="preserve"> at </w:t>
      </w:r>
      <w:proofErr w:type="spellStart"/>
      <w:r w:rsidRPr="00467DB0">
        <w:t>bekæmpe</w:t>
      </w:r>
      <w:proofErr w:type="spellEnd"/>
      <w:r w:rsidRPr="00467DB0">
        <w:t xml:space="preserve"> </w:t>
      </w:r>
      <w:proofErr w:type="spellStart"/>
      <w:r w:rsidRPr="00467DB0">
        <w:t>klimaændringer</w:t>
      </w:r>
      <w:proofErr w:type="spellEnd"/>
      <w:r w:rsidRPr="00467DB0">
        <w:t xml:space="preserve"> i overensstemmelse med Unionens </w:t>
      </w:r>
      <w:proofErr w:type="spellStart"/>
      <w:r w:rsidRPr="00467DB0">
        <w:t>forpligtelser</w:t>
      </w:r>
      <w:proofErr w:type="spellEnd"/>
      <w:r w:rsidRPr="00467DB0">
        <w:t xml:space="preserve"> til at </w:t>
      </w:r>
      <w:proofErr w:type="spellStart"/>
      <w:r w:rsidRPr="00467DB0">
        <w:t>gennemføre</w:t>
      </w:r>
      <w:proofErr w:type="spellEnd"/>
      <w:r w:rsidRPr="00467DB0">
        <w:t xml:space="preserve"> Parisaftalen, der er </w:t>
      </w:r>
      <w:proofErr w:type="spellStart"/>
      <w:r w:rsidRPr="00467DB0">
        <w:t>vedtaget</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 Forenede </w:t>
      </w:r>
      <w:proofErr w:type="spellStart"/>
      <w:r w:rsidRPr="00467DB0">
        <w:t>Nationers</w:t>
      </w:r>
      <w:proofErr w:type="spellEnd"/>
      <w:r w:rsidRPr="00467DB0">
        <w:t xml:space="preserve"> </w:t>
      </w:r>
      <w:proofErr w:type="spellStart"/>
      <w:r w:rsidRPr="00467DB0">
        <w:t>rammekonvention</w:t>
      </w:r>
      <w:proofErr w:type="spellEnd"/>
      <w:r w:rsidRPr="00467DB0">
        <w:t xml:space="preserve"> om </w:t>
      </w:r>
      <w:proofErr w:type="spellStart"/>
      <w:r w:rsidRPr="00467DB0">
        <w:t>klimaændringer</w:t>
      </w:r>
      <w:proofErr w:type="spellEnd"/>
      <w:r w:rsidRPr="00467DB0">
        <w:rPr>
          <w:rStyle w:val="Fotnotereferanse"/>
        </w:rPr>
        <w:footnoteReference w:id="10"/>
      </w:r>
      <w:r w:rsidRPr="00467DB0">
        <w:t xml:space="preserve"> og nå De Forenede </w:t>
      </w:r>
      <w:proofErr w:type="spellStart"/>
      <w:r w:rsidRPr="00467DB0">
        <w:t>Nationers</w:t>
      </w:r>
      <w:proofErr w:type="spellEnd"/>
      <w:r w:rsidRPr="00467DB0">
        <w:t xml:space="preserve"> mål </w:t>
      </w:r>
      <w:r w:rsidRPr="00467DB0">
        <w:lastRenderedPageBreak/>
        <w:t xml:space="preserve">for </w:t>
      </w:r>
      <w:proofErr w:type="spellStart"/>
      <w:r w:rsidRPr="00467DB0">
        <w:t>bæredygtig</w:t>
      </w:r>
      <w:proofErr w:type="spellEnd"/>
      <w:r w:rsidRPr="00467DB0">
        <w:t xml:space="preserve"> </w:t>
      </w:r>
      <w:proofErr w:type="spellStart"/>
      <w:r w:rsidRPr="00467DB0">
        <w:t>udvikling</w:t>
      </w:r>
      <w:proofErr w:type="spellEnd"/>
      <w:r w:rsidRPr="00467DB0">
        <w:t xml:space="preserve"> bør </w:t>
      </w:r>
      <w:proofErr w:type="spellStart"/>
      <w:r w:rsidRPr="00467DB0">
        <w:t>tiltag</w:t>
      </w:r>
      <w:proofErr w:type="spellEnd"/>
      <w:r w:rsidRPr="00467DB0">
        <w:t xml:space="preserve"> i henhold til denne forordning </w:t>
      </w:r>
      <w:proofErr w:type="spellStart"/>
      <w:r w:rsidRPr="00467DB0">
        <w:t>bidrage</w:t>
      </w:r>
      <w:proofErr w:type="spellEnd"/>
      <w:r w:rsidRPr="00467DB0">
        <w:t xml:space="preserve"> til at </w:t>
      </w:r>
      <w:proofErr w:type="gramStart"/>
      <w:r w:rsidRPr="00467DB0">
        <w:t>integrere</w:t>
      </w:r>
      <w:proofErr w:type="gramEnd"/>
      <w:r w:rsidRPr="00467DB0">
        <w:t xml:space="preserve"> klimaforanstaltninger og til at nå et overordnet mål om, at </w:t>
      </w:r>
      <w:proofErr w:type="spellStart"/>
      <w:r w:rsidRPr="00467DB0">
        <w:t>mindst</w:t>
      </w:r>
      <w:proofErr w:type="spellEnd"/>
      <w:r w:rsidRPr="00467DB0">
        <w:t xml:space="preserve"> 30 % </w:t>
      </w:r>
      <w:proofErr w:type="spellStart"/>
      <w:r w:rsidRPr="00467DB0">
        <w:t>af</w:t>
      </w:r>
      <w:proofErr w:type="spellEnd"/>
      <w:r w:rsidRPr="00467DB0">
        <w:t xml:space="preserve"> </w:t>
      </w:r>
      <w:proofErr w:type="spellStart"/>
      <w:r w:rsidRPr="00467DB0">
        <w:t>udgifterne</w:t>
      </w:r>
      <w:proofErr w:type="spellEnd"/>
      <w:r w:rsidRPr="00467DB0">
        <w:t xml:space="preserve"> i EU-</w:t>
      </w:r>
      <w:proofErr w:type="spellStart"/>
      <w:r w:rsidRPr="00467DB0">
        <w:t>budgettet</w:t>
      </w:r>
      <w:proofErr w:type="spellEnd"/>
      <w:r w:rsidRPr="00467DB0">
        <w:t xml:space="preserve"> støtter klimamål. Relevan</w:t>
      </w:r>
      <w:r w:rsidRPr="00467DB0">
        <w:t xml:space="preserve">te foranstaltninger bør </w:t>
      </w:r>
      <w:proofErr w:type="spellStart"/>
      <w:r w:rsidRPr="00467DB0">
        <w:t>fastlægges</w:t>
      </w:r>
      <w:proofErr w:type="spellEnd"/>
      <w:r w:rsidRPr="00467DB0">
        <w:t xml:space="preserve"> under forberedelsen og </w:t>
      </w:r>
      <w:proofErr w:type="spellStart"/>
      <w:r w:rsidRPr="00467DB0">
        <w:t>gennemførelsen</w:t>
      </w:r>
      <w:proofErr w:type="spellEnd"/>
      <w:r w:rsidRPr="00467DB0">
        <w:t xml:space="preserve"> </w:t>
      </w:r>
      <w:proofErr w:type="spellStart"/>
      <w:r w:rsidRPr="00467DB0">
        <w:t>af</w:t>
      </w:r>
      <w:proofErr w:type="spellEnd"/>
      <w:r w:rsidRPr="00467DB0">
        <w:t xml:space="preserve"> programmet og </w:t>
      </w:r>
      <w:proofErr w:type="spellStart"/>
      <w:r w:rsidRPr="00467DB0">
        <w:t>revurderet</w:t>
      </w:r>
      <w:proofErr w:type="spellEnd"/>
      <w:r w:rsidRPr="00467DB0">
        <w:t xml:space="preserve"> som led i de relevante evaluerings- og </w:t>
      </w:r>
      <w:proofErr w:type="spellStart"/>
      <w:r w:rsidRPr="00467DB0">
        <w:t>revisionsprocesser</w:t>
      </w:r>
      <w:proofErr w:type="spellEnd"/>
      <w:r w:rsidRPr="00467DB0">
        <w:t xml:space="preserve">. Europa-Parlamentet, Rådet og </w:t>
      </w:r>
      <w:proofErr w:type="spellStart"/>
      <w:r w:rsidRPr="00467DB0">
        <w:t>Kommissionen</w:t>
      </w:r>
      <w:proofErr w:type="spellEnd"/>
      <w:r w:rsidRPr="00467DB0">
        <w:t xml:space="preserve"> vil </w:t>
      </w:r>
      <w:proofErr w:type="spellStart"/>
      <w:r w:rsidRPr="00467DB0">
        <w:t>samarbejde</w:t>
      </w:r>
      <w:proofErr w:type="spellEnd"/>
      <w:r w:rsidRPr="00467DB0">
        <w:t xml:space="preserve"> om en effektiv, </w:t>
      </w:r>
      <w:proofErr w:type="spellStart"/>
      <w:r w:rsidRPr="00467DB0">
        <w:t>gennemsigtig</w:t>
      </w:r>
      <w:proofErr w:type="spellEnd"/>
      <w:r w:rsidRPr="00467DB0">
        <w:t xml:space="preserve"> og omfatte</w:t>
      </w:r>
      <w:r w:rsidRPr="00467DB0">
        <w:t xml:space="preserve">nde metode, der skal </w:t>
      </w:r>
      <w:proofErr w:type="spellStart"/>
      <w:r w:rsidRPr="00467DB0">
        <w:t>angives</w:t>
      </w:r>
      <w:proofErr w:type="spellEnd"/>
      <w:r w:rsidRPr="00467DB0">
        <w:t xml:space="preserve"> </w:t>
      </w:r>
      <w:proofErr w:type="spellStart"/>
      <w:r w:rsidRPr="00467DB0">
        <w:t>af</w:t>
      </w:r>
      <w:proofErr w:type="spellEnd"/>
      <w:r w:rsidRPr="00467DB0">
        <w:t xml:space="preserve"> </w:t>
      </w:r>
      <w:proofErr w:type="spellStart"/>
      <w:r w:rsidRPr="00467DB0">
        <w:t>Kommissionen</w:t>
      </w:r>
      <w:proofErr w:type="spellEnd"/>
      <w:r w:rsidRPr="00467DB0">
        <w:t xml:space="preserve">, med </w:t>
      </w:r>
      <w:proofErr w:type="spellStart"/>
      <w:r w:rsidRPr="00467DB0">
        <w:t>henblik</w:t>
      </w:r>
      <w:proofErr w:type="spellEnd"/>
      <w:r w:rsidRPr="00467DB0">
        <w:t xml:space="preserve"> på at vurdere </w:t>
      </w:r>
      <w:proofErr w:type="spellStart"/>
      <w:r w:rsidRPr="00467DB0">
        <w:t>udgifterne</w:t>
      </w:r>
      <w:proofErr w:type="spellEnd"/>
      <w:r w:rsidRPr="00467DB0">
        <w:t xml:space="preserve"> under alle FFR-programmer til biodiversitetsmål, idet der </w:t>
      </w:r>
      <w:proofErr w:type="spellStart"/>
      <w:r w:rsidRPr="00467DB0">
        <w:t>tages</w:t>
      </w:r>
      <w:proofErr w:type="spellEnd"/>
      <w:r w:rsidRPr="00467DB0">
        <w:t xml:space="preserve"> hensyn til de eksisterende </w:t>
      </w:r>
      <w:proofErr w:type="spellStart"/>
      <w:r w:rsidRPr="00467DB0">
        <w:t>overlap</w:t>
      </w:r>
      <w:proofErr w:type="spellEnd"/>
      <w:r w:rsidRPr="00467DB0">
        <w:t xml:space="preserve"> </w:t>
      </w:r>
      <w:proofErr w:type="spellStart"/>
      <w:r w:rsidRPr="00467DB0">
        <w:t>mellem</w:t>
      </w:r>
      <w:proofErr w:type="spellEnd"/>
      <w:r w:rsidRPr="00467DB0">
        <w:t xml:space="preserve"> klima- og biodiversitetsmålene.</w:t>
      </w:r>
    </w:p>
    <w:p w14:paraId="707895C4" w14:textId="77777777" w:rsidR="00000000" w:rsidRPr="00467DB0" w:rsidRDefault="00693D67" w:rsidP="00467DB0">
      <w:pPr>
        <w:pStyle w:val="friliste"/>
      </w:pPr>
      <w:r w:rsidRPr="00467DB0">
        <w:t>(27)</w:t>
      </w:r>
      <w:r w:rsidRPr="00467DB0">
        <w:tab/>
      </w:r>
      <w:proofErr w:type="spellStart"/>
      <w:r w:rsidRPr="00467DB0">
        <w:t>Indtægter</w:t>
      </w:r>
      <w:proofErr w:type="spellEnd"/>
      <w:r w:rsidRPr="00467DB0">
        <w:t xml:space="preserve"> fra programmets komp</w:t>
      </w:r>
      <w:r w:rsidRPr="00467DB0">
        <w:t xml:space="preserve">onenter bør </w:t>
      </w:r>
      <w:proofErr w:type="spellStart"/>
      <w:r w:rsidRPr="00467DB0">
        <w:t>tilfalde</w:t>
      </w:r>
      <w:proofErr w:type="spellEnd"/>
      <w:r w:rsidRPr="00467DB0">
        <w:t xml:space="preserve"> Unionen for delvis at kompensere for de investeringer, der allerede er </w:t>
      </w:r>
      <w:proofErr w:type="spellStart"/>
      <w:r w:rsidRPr="00467DB0">
        <w:t>foretaget</w:t>
      </w:r>
      <w:proofErr w:type="spellEnd"/>
      <w:r w:rsidRPr="00467DB0">
        <w:t xml:space="preserve">, og disse </w:t>
      </w:r>
      <w:proofErr w:type="spellStart"/>
      <w:r w:rsidRPr="00467DB0">
        <w:t>indtægter</w:t>
      </w:r>
      <w:proofErr w:type="spellEnd"/>
      <w:r w:rsidRPr="00467DB0">
        <w:t xml:space="preserve"> bør anvendes til at støtte </w:t>
      </w:r>
      <w:proofErr w:type="spellStart"/>
      <w:r w:rsidRPr="00467DB0">
        <w:t>opnåelsen</w:t>
      </w:r>
      <w:proofErr w:type="spellEnd"/>
      <w:r w:rsidRPr="00467DB0">
        <w:t xml:space="preserve"> </w:t>
      </w:r>
      <w:proofErr w:type="spellStart"/>
      <w:r w:rsidRPr="00467DB0">
        <w:t>af</w:t>
      </w:r>
      <w:proofErr w:type="spellEnd"/>
      <w:r w:rsidRPr="00467DB0">
        <w:t xml:space="preserve"> </w:t>
      </w:r>
      <w:proofErr w:type="spellStart"/>
      <w:r w:rsidRPr="00467DB0">
        <w:t>målsætningerne</w:t>
      </w:r>
      <w:proofErr w:type="spellEnd"/>
      <w:r w:rsidRPr="00467DB0">
        <w:t xml:space="preserve"> for programmet. </w:t>
      </w:r>
      <w:proofErr w:type="spellStart"/>
      <w:r w:rsidRPr="00467DB0">
        <w:t>Af</w:t>
      </w:r>
      <w:proofErr w:type="spellEnd"/>
      <w:r w:rsidRPr="00467DB0">
        <w:t xml:space="preserve"> samme </w:t>
      </w:r>
      <w:proofErr w:type="spellStart"/>
      <w:r w:rsidRPr="00467DB0">
        <w:t>årsag</w:t>
      </w:r>
      <w:proofErr w:type="spellEnd"/>
      <w:r w:rsidRPr="00467DB0">
        <w:t xml:space="preserve"> bør der kunne </w:t>
      </w:r>
      <w:proofErr w:type="spellStart"/>
      <w:r w:rsidRPr="00467DB0">
        <w:t>fastsættes</w:t>
      </w:r>
      <w:proofErr w:type="spellEnd"/>
      <w:r w:rsidRPr="00467DB0">
        <w:t xml:space="preserve"> en ordning for fordelin</w:t>
      </w:r>
      <w:r w:rsidRPr="00467DB0">
        <w:t xml:space="preserve">g </w:t>
      </w:r>
      <w:proofErr w:type="spellStart"/>
      <w:r w:rsidRPr="00467DB0">
        <w:t>af</w:t>
      </w:r>
      <w:proofErr w:type="spellEnd"/>
      <w:r w:rsidRPr="00467DB0">
        <w:t xml:space="preserve"> </w:t>
      </w:r>
      <w:proofErr w:type="spellStart"/>
      <w:r w:rsidRPr="00467DB0">
        <w:t>indtægterne</w:t>
      </w:r>
      <w:proofErr w:type="spellEnd"/>
      <w:r w:rsidRPr="00467DB0">
        <w:t xml:space="preserve"> i kontrakter, der </w:t>
      </w:r>
      <w:proofErr w:type="spellStart"/>
      <w:r w:rsidRPr="00467DB0">
        <w:t>indgås</w:t>
      </w:r>
      <w:proofErr w:type="spellEnd"/>
      <w:r w:rsidRPr="00467DB0">
        <w:t xml:space="preserve"> med den private sektor.</w:t>
      </w:r>
    </w:p>
    <w:p w14:paraId="5D167B4F" w14:textId="77777777" w:rsidR="00000000" w:rsidRPr="00467DB0" w:rsidRDefault="00693D67" w:rsidP="00467DB0">
      <w:pPr>
        <w:pStyle w:val="friliste"/>
      </w:pPr>
      <w:r w:rsidRPr="00467DB0">
        <w:t>(28)</w:t>
      </w:r>
      <w:r w:rsidRPr="00467DB0">
        <w:tab/>
        <w:t xml:space="preserve">Finansforordningen </w:t>
      </w:r>
      <w:proofErr w:type="spellStart"/>
      <w:r w:rsidRPr="00467DB0">
        <w:t>finder</w:t>
      </w:r>
      <w:proofErr w:type="spellEnd"/>
      <w:r w:rsidRPr="00467DB0">
        <w:t xml:space="preserve"> </w:t>
      </w:r>
      <w:proofErr w:type="gramStart"/>
      <w:r w:rsidRPr="00467DB0">
        <w:t>anvendelse</w:t>
      </w:r>
      <w:proofErr w:type="gramEnd"/>
      <w:r w:rsidRPr="00467DB0">
        <w:t xml:space="preserve"> på dette program. Finansforordningen </w:t>
      </w:r>
      <w:proofErr w:type="spellStart"/>
      <w:r w:rsidRPr="00467DB0">
        <w:t>fastsætter</w:t>
      </w:r>
      <w:proofErr w:type="spellEnd"/>
      <w:r w:rsidRPr="00467DB0">
        <w:t xml:space="preserve"> regler for </w:t>
      </w:r>
      <w:proofErr w:type="spellStart"/>
      <w:r w:rsidRPr="00467DB0">
        <w:t>gennemførelsen</w:t>
      </w:r>
      <w:proofErr w:type="spellEnd"/>
      <w:r w:rsidRPr="00467DB0">
        <w:t xml:space="preserve"> </w:t>
      </w:r>
      <w:proofErr w:type="spellStart"/>
      <w:r w:rsidRPr="00467DB0">
        <w:t>af</w:t>
      </w:r>
      <w:proofErr w:type="spellEnd"/>
      <w:r w:rsidRPr="00467DB0">
        <w:t xml:space="preserve"> Unionens </w:t>
      </w:r>
      <w:proofErr w:type="spellStart"/>
      <w:r w:rsidRPr="00467DB0">
        <w:t>budget</w:t>
      </w:r>
      <w:proofErr w:type="spellEnd"/>
      <w:r w:rsidRPr="00467DB0">
        <w:t xml:space="preserve">, herunder for </w:t>
      </w:r>
      <w:proofErr w:type="spellStart"/>
      <w:r w:rsidRPr="00467DB0">
        <w:t>tilskud</w:t>
      </w:r>
      <w:proofErr w:type="spellEnd"/>
      <w:r w:rsidRPr="00467DB0">
        <w:t xml:space="preserve">, priser, </w:t>
      </w:r>
      <w:proofErr w:type="spellStart"/>
      <w:r w:rsidRPr="00467DB0">
        <w:t>udbud</w:t>
      </w:r>
      <w:proofErr w:type="spellEnd"/>
      <w:r w:rsidRPr="00467DB0">
        <w:t>, indirekte forvalt</w:t>
      </w:r>
      <w:r w:rsidRPr="00467DB0">
        <w:t xml:space="preserve">ning, finansielle instrumenter, </w:t>
      </w:r>
      <w:proofErr w:type="spellStart"/>
      <w:r w:rsidRPr="00467DB0">
        <w:t>budgetgarantier</w:t>
      </w:r>
      <w:proofErr w:type="spellEnd"/>
      <w:r w:rsidRPr="00467DB0">
        <w:t xml:space="preserve">, </w:t>
      </w:r>
      <w:proofErr w:type="spellStart"/>
      <w:r w:rsidRPr="00467DB0">
        <w:t>finansiel</w:t>
      </w:r>
      <w:proofErr w:type="spellEnd"/>
      <w:r w:rsidRPr="00467DB0">
        <w:t xml:space="preserve"> bistand og </w:t>
      </w:r>
      <w:proofErr w:type="spellStart"/>
      <w:r w:rsidRPr="00467DB0">
        <w:t>godtgørelse</w:t>
      </w:r>
      <w:proofErr w:type="spellEnd"/>
      <w:r w:rsidRPr="00467DB0">
        <w:t xml:space="preserve"> </w:t>
      </w:r>
      <w:proofErr w:type="spellStart"/>
      <w:r w:rsidRPr="00467DB0">
        <w:t>af</w:t>
      </w:r>
      <w:proofErr w:type="spellEnd"/>
      <w:r w:rsidRPr="00467DB0">
        <w:t xml:space="preserve"> eksterne eksperter.</w:t>
      </w:r>
    </w:p>
    <w:p w14:paraId="42857053" w14:textId="77777777" w:rsidR="00000000" w:rsidRPr="00467DB0" w:rsidRDefault="00693D67" w:rsidP="00467DB0">
      <w:pPr>
        <w:pStyle w:val="friliste"/>
      </w:pPr>
      <w:r w:rsidRPr="00467DB0">
        <w:t>(29)</w:t>
      </w:r>
      <w:r w:rsidRPr="00467DB0">
        <w:tab/>
        <w:t xml:space="preserve">Da programmet i </w:t>
      </w:r>
      <w:proofErr w:type="spellStart"/>
      <w:r w:rsidRPr="00467DB0">
        <w:t>princippet</w:t>
      </w:r>
      <w:proofErr w:type="spellEnd"/>
      <w:r w:rsidRPr="00467DB0">
        <w:t xml:space="preserve"> er </w:t>
      </w:r>
      <w:proofErr w:type="spellStart"/>
      <w:r w:rsidRPr="00467DB0">
        <w:t>finansieret</w:t>
      </w:r>
      <w:proofErr w:type="spellEnd"/>
      <w:r w:rsidRPr="00467DB0">
        <w:t xml:space="preserve"> </w:t>
      </w:r>
      <w:proofErr w:type="spellStart"/>
      <w:r w:rsidRPr="00467DB0">
        <w:t>af</w:t>
      </w:r>
      <w:proofErr w:type="spellEnd"/>
      <w:r w:rsidRPr="00467DB0">
        <w:t xml:space="preserve"> Unionen, bør de offentlige kontrakter, der </w:t>
      </w:r>
      <w:proofErr w:type="spellStart"/>
      <w:r w:rsidRPr="00467DB0">
        <w:t>indgås</w:t>
      </w:r>
      <w:proofErr w:type="spellEnd"/>
      <w:r w:rsidRPr="00467DB0">
        <w:t xml:space="preserve"> i henhold til programmet for så vidt angår aktivite</w:t>
      </w:r>
      <w:r w:rsidRPr="00467DB0">
        <w:t xml:space="preserve">ter, der finansieres </w:t>
      </w:r>
      <w:proofErr w:type="spellStart"/>
      <w:r w:rsidRPr="00467DB0">
        <w:t>af</w:t>
      </w:r>
      <w:proofErr w:type="spellEnd"/>
      <w:r w:rsidRPr="00467DB0">
        <w:t xml:space="preserve"> programmet, være i overensstemmelse med Unionens regler. I den forbindelse bør Unionen også være ansvarlig for at definere de mål, der bør forfølges med hensyn til offentlige </w:t>
      </w:r>
      <w:proofErr w:type="spellStart"/>
      <w:r w:rsidRPr="00467DB0">
        <w:t>udbud</w:t>
      </w:r>
      <w:proofErr w:type="spellEnd"/>
      <w:r w:rsidRPr="00467DB0">
        <w:t xml:space="preserve">. Finansforordningen </w:t>
      </w:r>
      <w:proofErr w:type="spellStart"/>
      <w:r w:rsidRPr="00467DB0">
        <w:t>fastsætter</w:t>
      </w:r>
      <w:proofErr w:type="spellEnd"/>
      <w:r w:rsidRPr="00467DB0">
        <w:t xml:space="preserve">, at </w:t>
      </w:r>
      <w:proofErr w:type="spellStart"/>
      <w:r w:rsidRPr="00467DB0">
        <w:t>Kommissionen</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resultaterne</w:t>
      </w:r>
      <w:proofErr w:type="spellEnd"/>
      <w:r w:rsidRPr="00467DB0">
        <w:t xml:space="preserve"> </w:t>
      </w:r>
      <w:proofErr w:type="spellStart"/>
      <w:r w:rsidRPr="00467DB0">
        <w:t>af</w:t>
      </w:r>
      <w:proofErr w:type="spellEnd"/>
      <w:r w:rsidRPr="00467DB0">
        <w:t xml:space="preserve"> en </w:t>
      </w:r>
      <w:proofErr w:type="spellStart"/>
      <w:r w:rsidRPr="00467DB0">
        <w:t>forudgående</w:t>
      </w:r>
      <w:proofErr w:type="spellEnd"/>
      <w:r w:rsidRPr="00467DB0">
        <w:t xml:space="preserve"> vurdering skal kunne sætte sin lid til de systemer og </w:t>
      </w:r>
      <w:proofErr w:type="spellStart"/>
      <w:r w:rsidRPr="00467DB0">
        <w:t>procedurer</w:t>
      </w:r>
      <w:proofErr w:type="spellEnd"/>
      <w:r w:rsidRPr="00467DB0">
        <w:t xml:space="preserve">, der anvendes </w:t>
      </w:r>
      <w:proofErr w:type="spellStart"/>
      <w:r w:rsidRPr="00467DB0">
        <w:t>af</w:t>
      </w:r>
      <w:proofErr w:type="spellEnd"/>
      <w:r w:rsidRPr="00467DB0">
        <w:t xml:space="preserve"> personer eller </w:t>
      </w:r>
      <w:proofErr w:type="spellStart"/>
      <w:r w:rsidRPr="00467DB0">
        <w:t>enheder</w:t>
      </w:r>
      <w:proofErr w:type="spellEnd"/>
      <w:r w:rsidRPr="00467DB0">
        <w:t xml:space="preserve">, som </w:t>
      </w:r>
      <w:proofErr w:type="spellStart"/>
      <w:r w:rsidRPr="00467DB0">
        <w:t>gennemfører</w:t>
      </w:r>
      <w:proofErr w:type="spellEnd"/>
      <w:r w:rsidRPr="00467DB0">
        <w:t xml:space="preserve"> EU-midler. Særlige nødvendige tilpasninger til disse systemer og </w:t>
      </w:r>
      <w:proofErr w:type="spellStart"/>
      <w:r w:rsidRPr="00467DB0">
        <w:t>procedurer</w:t>
      </w:r>
      <w:proofErr w:type="spellEnd"/>
      <w:r w:rsidRPr="00467DB0">
        <w:t xml:space="preserve"> samt ordninger </w:t>
      </w:r>
      <w:r w:rsidRPr="00467DB0">
        <w:t xml:space="preserve">om </w:t>
      </w:r>
      <w:proofErr w:type="spellStart"/>
      <w:r w:rsidRPr="00467DB0">
        <w:t>forlængelse</w:t>
      </w:r>
      <w:proofErr w:type="spellEnd"/>
      <w:r w:rsidRPr="00467DB0">
        <w:t xml:space="preserve"> </w:t>
      </w:r>
      <w:proofErr w:type="spellStart"/>
      <w:r w:rsidRPr="00467DB0">
        <w:t>af</w:t>
      </w:r>
      <w:proofErr w:type="spellEnd"/>
      <w:r w:rsidRPr="00467DB0">
        <w:t xml:space="preserve"> eksisterende kontrakter bør defineres i den tilhørende finansielle </w:t>
      </w:r>
      <w:proofErr w:type="spellStart"/>
      <w:r w:rsidRPr="00467DB0">
        <w:t>partnerskabsrammeaftale</w:t>
      </w:r>
      <w:proofErr w:type="spellEnd"/>
      <w:r w:rsidRPr="00467DB0">
        <w:t xml:space="preserve"> eller </w:t>
      </w:r>
      <w:proofErr w:type="spellStart"/>
      <w:r w:rsidRPr="00467DB0">
        <w:t>bidragsaftale</w:t>
      </w:r>
      <w:proofErr w:type="spellEnd"/>
      <w:r w:rsidRPr="00467DB0">
        <w:t>.</w:t>
      </w:r>
    </w:p>
    <w:p w14:paraId="1432E5D7" w14:textId="77777777" w:rsidR="00000000" w:rsidRPr="00467DB0" w:rsidRDefault="00693D67" w:rsidP="00467DB0">
      <w:pPr>
        <w:pStyle w:val="friliste"/>
      </w:pPr>
      <w:r w:rsidRPr="00467DB0">
        <w:t>(30)</w:t>
      </w:r>
      <w:r w:rsidRPr="00467DB0">
        <w:tab/>
        <w:t xml:space="preserve">Programmet bygger på komplekse teknologier, som er under konstant </w:t>
      </w:r>
      <w:proofErr w:type="spellStart"/>
      <w:r w:rsidRPr="00467DB0">
        <w:t>udvikling</w:t>
      </w:r>
      <w:proofErr w:type="spellEnd"/>
      <w:r w:rsidRPr="00467DB0">
        <w:t xml:space="preserve">. </w:t>
      </w:r>
      <w:proofErr w:type="spellStart"/>
      <w:r w:rsidRPr="00467DB0">
        <w:t>Brugen</w:t>
      </w:r>
      <w:proofErr w:type="spellEnd"/>
      <w:r w:rsidRPr="00467DB0">
        <w:t xml:space="preserve"> </w:t>
      </w:r>
      <w:proofErr w:type="spellStart"/>
      <w:r w:rsidRPr="00467DB0">
        <w:t>af</w:t>
      </w:r>
      <w:proofErr w:type="spellEnd"/>
      <w:r w:rsidRPr="00467DB0">
        <w:t xml:space="preserve"> sådanne teknologier medfører </w:t>
      </w:r>
      <w:proofErr w:type="spellStart"/>
      <w:r w:rsidRPr="00467DB0">
        <w:t>usikk</w:t>
      </w:r>
      <w:r w:rsidRPr="00467DB0">
        <w:t>erhed</w:t>
      </w:r>
      <w:proofErr w:type="spellEnd"/>
      <w:r w:rsidRPr="00467DB0">
        <w:t xml:space="preserve"> og </w:t>
      </w:r>
      <w:proofErr w:type="spellStart"/>
      <w:r w:rsidRPr="00467DB0">
        <w:t>risici</w:t>
      </w:r>
      <w:proofErr w:type="spellEnd"/>
      <w:r w:rsidRPr="00467DB0">
        <w:t xml:space="preserve"> for offentlige kontrakter, der </w:t>
      </w:r>
      <w:proofErr w:type="spellStart"/>
      <w:r w:rsidRPr="00467DB0">
        <w:t>indgås</w:t>
      </w:r>
      <w:proofErr w:type="spellEnd"/>
      <w:r w:rsidRPr="00467DB0">
        <w:t xml:space="preserve"> i henhold til programmet, navnlig hvis disse kontrakter vedrører </w:t>
      </w:r>
      <w:proofErr w:type="spellStart"/>
      <w:r w:rsidRPr="00467DB0">
        <w:t>udstyr</w:t>
      </w:r>
      <w:proofErr w:type="spellEnd"/>
      <w:r w:rsidRPr="00467DB0">
        <w:t xml:space="preserve"> eller tjenester på lang </w:t>
      </w:r>
      <w:proofErr w:type="spellStart"/>
      <w:r w:rsidRPr="00467DB0">
        <w:t>sigt</w:t>
      </w:r>
      <w:proofErr w:type="spellEnd"/>
      <w:r w:rsidRPr="00467DB0">
        <w:t xml:space="preserve">. Derfor bør der </w:t>
      </w:r>
      <w:proofErr w:type="spellStart"/>
      <w:r w:rsidRPr="00467DB0">
        <w:t>fastsættes</w:t>
      </w:r>
      <w:proofErr w:type="spellEnd"/>
      <w:r w:rsidRPr="00467DB0">
        <w:t xml:space="preserve"> </w:t>
      </w:r>
      <w:proofErr w:type="spellStart"/>
      <w:r w:rsidRPr="00467DB0">
        <w:t>specifikke</w:t>
      </w:r>
      <w:proofErr w:type="spellEnd"/>
      <w:r w:rsidRPr="00467DB0">
        <w:t xml:space="preserve"> foranstaltninger </w:t>
      </w:r>
      <w:proofErr w:type="gramStart"/>
      <w:r w:rsidRPr="00467DB0">
        <w:t>vedrørende</w:t>
      </w:r>
      <w:proofErr w:type="gramEnd"/>
      <w:r w:rsidRPr="00467DB0">
        <w:t xml:space="preserve"> offentlige kontrakter </w:t>
      </w:r>
      <w:proofErr w:type="spellStart"/>
      <w:r w:rsidRPr="00467DB0">
        <w:t>ud</w:t>
      </w:r>
      <w:proofErr w:type="spellEnd"/>
      <w:r w:rsidRPr="00467DB0">
        <w:t xml:space="preserve"> over de re</w:t>
      </w:r>
      <w:r w:rsidRPr="00467DB0">
        <w:t xml:space="preserve">gler, der er </w:t>
      </w:r>
      <w:proofErr w:type="spellStart"/>
      <w:r w:rsidRPr="00467DB0">
        <w:t>fastsat</w:t>
      </w:r>
      <w:proofErr w:type="spellEnd"/>
      <w:r w:rsidRPr="00467DB0">
        <w:t xml:space="preserve"> i finansforordningen. Det bør </w:t>
      </w:r>
      <w:proofErr w:type="gramStart"/>
      <w:r w:rsidRPr="00467DB0">
        <w:t>således</w:t>
      </w:r>
      <w:proofErr w:type="gramEnd"/>
      <w:r w:rsidRPr="00467DB0">
        <w:t xml:space="preserve"> være </w:t>
      </w:r>
      <w:proofErr w:type="spellStart"/>
      <w:r w:rsidRPr="00467DB0">
        <w:t>muligt</w:t>
      </w:r>
      <w:proofErr w:type="spellEnd"/>
      <w:r w:rsidRPr="00467DB0">
        <w:t xml:space="preserve"> at tildele en kontrakt i form </w:t>
      </w:r>
      <w:proofErr w:type="spellStart"/>
      <w:r w:rsidRPr="00467DB0">
        <w:t>af</w:t>
      </w:r>
      <w:proofErr w:type="spellEnd"/>
      <w:r w:rsidRPr="00467DB0">
        <w:t xml:space="preserve"> en kontrakt med betingede ordrer, </w:t>
      </w:r>
      <w:proofErr w:type="spellStart"/>
      <w:r w:rsidRPr="00467DB0">
        <w:t>indgå</w:t>
      </w:r>
      <w:proofErr w:type="spellEnd"/>
      <w:r w:rsidRPr="00467DB0">
        <w:t xml:space="preserve"> en </w:t>
      </w:r>
      <w:proofErr w:type="spellStart"/>
      <w:r w:rsidRPr="00467DB0">
        <w:t>tillægsaftale</w:t>
      </w:r>
      <w:proofErr w:type="spellEnd"/>
      <w:r w:rsidRPr="00467DB0">
        <w:t xml:space="preserve"> på særlige vilkår under </w:t>
      </w:r>
      <w:proofErr w:type="spellStart"/>
      <w:r w:rsidRPr="00467DB0">
        <w:t>gennemførelsen</w:t>
      </w:r>
      <w:proofErr w:type="spellEnd"/>
      <w:r w:rsidRPr="00467DB0">
        <w:t xml:space="preserve"> </w:t>
      </w:r>
      <w:proofErr w:type="spellStart"/>
      <w:r w:rsidRPr="00467DB0">
        <w:t>af</w:t>
      </w:r>
      <w:proofErr w:type="spellEnd"/>
      <w:r w:rsidRPr="00467DB0">
        <w:t xml:space="preserve"> kontrakten eller foreskrive et minimum </w:t>
      </w:r>
      <w:proofErr w:type="spellStart"/>
      <w:r w:rsidRPr="00467DB0">
        <w:t>af</w:t>
      </w:r>
      <w:proofErr w:type="spellEnd"/>
      <w:r w:rsidRPr="00467DB0">
        <w:t xml:space="preserve"> underentrep</w:t>
      </w:r>
      <w:r w:rsidRPr="00467DB0">
        <w:t xml:space="preserve">rise, navnlig med </w:t>
      </w:r>
      <w:proofErr w:type="spellStart"/>
      <w:r w:rsidRPr="00467DB0">
        <w:t>henblik</w:t>
      </w:r>
      <w:proofErr w:type="spellEnd"/>
      <w:r w:rsidRPr="00467DB0">
        <w:t xml:space="preserve"> på at </w:t>
      </w:r>
      <w:proofErr w:type="spellStart"/>
      <w:r w:rsidRPr="00467DB0">
        <w:t>gøre</w:t>
      </w:r>
      <w:proofErr w:type="spellEnd"/>
      <w:r w:rsidRPr="00467DB0">
        <w:t xml:space="preserve"> det </w:t>
      </w:r>
      <w:proofErr w:type="spellStart"/>
      <w:r w:rsidRPr="00467DB0">
        <w:t>muligt</w:t>
      </w:r>
      <w:proofErr w:type="spellEnd"/>
      <w:r w:rsidRPr="00467DB0">
        <w:t xml:space="preserve"> for </w:t>
      </w:r>
      <w:proofErr w:type="spellStart"/>
      <w:r w:rsidRPr="00467DB0">
        <w:t>SMV'er</w:t>
      </w:r>
      <w:proofErr w:type="spellEnd"/>
      <w:r w:rsidRPr="00467DB0">
        <w:t xml:space="preserve"> og nystartede </w:t>
      </w:r>
      <w:proofErr w:type="spellStart"/>
      <w:r w:rsidRPr="00467DB0">
        <w:t>virksomheder</w:t>
      </w:r>
      <w:proofErr w:type="spellEnd"/>
      <w:r w:rsidRPr="00467DB0">
        <w:t xml:space="preserve"> at </w:t>
      </w:r>
      <w:proofErr w:type="spellStart"/>
      <w:r w:rsidRPr="00467DB0">
        <w:t>deltage</w:t>
      </w:r>
      <w:proofErr w:type="spellEnd"/>
      <w:r w:rsidRPr="00467DB0">
        <w:t xml:space="preserve">. Endelig kan </w:t>
      </w:r>
      <w:proofErr w:type="spellStart"/>
      <w:r w:rsidRPr="00467DB0">
        <w:t>priserne</w:t>
      </w:r>
      <w:proofErr w:type="spellEnd"/>
      <w:r w:rsidRPr="00467DB0">
        <w:t xml:space="preserve"> på offentlige kontrakter på grund </w:t>
      </w:r>
      <w:proofErr w:type="spellStart"/>
      <w:r w:rsidRPr="00467DB0">
        <w:t>af</w:t>
      </w:r>
      <w:proofErr w:type="spellEnd"/>
      <w:r w:rsidRPr="00467DB0">
        <w:t xml:space="preserve"> de tekniske </w:t>
      </w:r>
      <w:proofErr w:type="spellStart"/>
      <w:r w:rsidRPr="00467DB0">
        <w:t>usikkerheder</w:t>
      </w:r>
      <w:proofErr w:type="spellEnd"/>
      <w:r w:rsidRPr="00467DB0">
        <w:t xml:space="preserve">, som </w:t>
      </w:r>
      <w:proofErr w:type="spellStart"/>
      <w:r w:rsidRPr="00467DB0">
        <w:t>kendetegner</w:t>
      </w:r>
      <w:proofErr w:type="spellEnd"/>
      <w:r w:rsidRPr="00467DB0">
        <w:t xml:space="preserve"> de </w:t>
      </w:r>
      <w:proofErr w:type="spellStart"/>
      <w:r w:rsidRPr="00467DB0">
        <w:t>forskellige</w:t>
      </w:r>
      <w:proofErr w:type="spellEnd"/>
      <w:r w:rsidRPr="00467DB0">
        <w:t xml:space="preserve"> komponenter i programmet, ikke </w:t>
      </w:r>
      <w:proofErr w:type="spellStart"/>
      <w:r w:rsidRPr="00467DB0">
        <w:t>altid</w:t>
      </w:r>
      <w:proofErr w:type="spellEnd"/>
      <w:r w:rsidRPr="00467DB0">
        <w:t xml:space="preserve"> vurder</w:t>
      </w:r>
      <w:r w:rsidRPr="00467DB0">
        <w:t xml:space="preserve">es </w:t>
      </w:r>
      <w:proofErr w:type="spellStart"/>
      <w:r w:rsidRPr="00467DB0">
        <w:t>præcist</w:t>
      </w:r>
      <w:proofErr w:type="spellEnd"/>
      <w:r w:rsidRPr="00467DB0">
        <w:t xml:space="preserve">, hvorfor det bør være </w:t>
      </w:r>
      <w:proofErr w:type="spellStart"/>
      <w:r w:rsidRPr="00467DB0">
        <w:t>muligt</w:t>
      </w:r>
      <w:proofErr w:type="spellEnd"/>
      <w:r w:rsidRPr="00467DB0">
        <w:t xml:space="preserve"> at </w:t>
      </w:r>
      <w:proofErr w:type="spellStart"/>
      <w:r w:rsidRPr="00467DB0">
        <w:t>indgå</w:t>
      </w:r>
      <w:proofErr w:type="spellEnd"/>
      <w:r w:rsidRPr="00467DB0">
        <w:t xml:space="preserve"> kontrakter </w:t>
      </w:r>
      <w:proofErr w:type="spellStart"/>
      <w:r w:rsidRPr="00467DB0">
        <w:t>uden</w:t>
      </w:r>
      <w:proofErr w:type="spellEnd"/>
      <w:r w:rsidRPr="00467DB0">
        <w:t xml:space="preserve"> at </w:t>
      </w:r>
      <w:proofErr w:type="spellStart"/>
      <w:r w:rsidRPr="00467DB0">
        <w:t>angive</w:t>
      </w:r>
      <w:proofErr w:type="spellEnd"/>
      <w:r w:rsidRPr="00467DB0">
        <w:t xml:space="preserve"> nogen fast og endelig pris og at </w:t>
      </w:r>
      <w:proofErr w:type="spellStart"/>
      <w:r w:rsidRPr="00467DB0">
        <w:t>fastsætte</w:t>
      </w:r>
      <w:proofErr w:type="spellEnd"/>
      <w:r w:rsidRPr="00467DB0">
        <w:t xml:space="preserve"> klausuler til beskyttelse </w:t>
      </w:r>
      <w:proofErr w:type="spellStart"/>
      <w:r w:rsidRPr="00467DB0">
        <w:t>af</w:t>
      </w:r>
      <w:proofErr w:type="spellEnd"/>
      <w:r w:rsidRPr="00467DB0">
        <w:t xml:space="preserve"> Unionens finansielle interesser.</w:t>
      </w:r>
    </w:p>
    <w:p w14:paraId="7FA819BB" w14:textId="77777777" w:rsidR="00000000" w:rsidRPr="00467DB0" w:rsidRDefault="00693D67" w:rsidP="00467DB0">
      <w:pPr>
        <w:pStyle w:val="friliste"/>
      </w:pPr>
      <w:r w:rsidRPr="00467DB0">
        <w:t>(31)</w:t>
      </w:r>
      <w:r w:rsidRPr="00467DB0">
        <w:tab/>
        <w:t xml:space="preserve">For at fremme offentlig </w:t>
      </w:r>
      <w:proofErr w:type="spellStart"/>
      <w:r w:rsidRPr="00467DB0">
        <w:t>efterspørgsel</w:t>
      </w:r>
      <w:proofErr w:type="spellEnd"/>
      <w:r w:rsidRPr="00467DB0">
        <w:t xml:space="preserve"> og </w:t>
      </w:r>
      <w:proofErr w:type="spellStart"/>
      <w:r w:rsidRPr="00467DB0">
        <w:t>innovation</w:t>
      </w:r>
      <w:proofErr w:type="spellEnd"/>
      <w:r w:rsidRPr="00467DB0">
        <w:t xml:space="preserve"> i den offentlige se</w:t>
      </w:r>
      <w:r w:rsidRPr="00467DB0">
        <w:t xml:space="preserve">ktor bør programmet fremme anvendelsen </w:t>
      </w:r>
      <w:proofErr w:type="spellStart"/>
      <w:r w:rsidRPr="00467DB0">
        <w:t>af</w:t>
      </w:r>
      <w:proofErr w:type="spellEnd"/>
      <w:r w:rsidRPr="00467DB0">
        <w:t xml:space="preserve"> sine data, </w:t>
      </w:r>
      <w:proofErr w:type="spellStart"/>
      <w:r w:rsidRPr="00467DB0">
        <w:t>oplysninger</w:t>
      </w:r>
      <w:proofErr w:type="spellEnd"/>
      <w:r w:rsidRPr="00467DB0">
        <w:t xml:space="preserve"> og tjenester med </w:t>
      </w:r>
      <w:proofErr w:type="spellStart"/>
      <w:r w:rsidRPr="00467DB0">
        <w:t>henblik</w:t>
      </w:r>
      <w:proofErr w:type="spellEnd"/>
      <w:r w:rsidRPr="00467DB0">
        <w:t xml:space="preserve"> på at støtte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skræddersyede</w:t>
      </w:r>
      <w:proofErr w:type="spellEnd"/>
      <w:r w:rsidRPr="00467DB0">
        <w:t xml:space="preserve"> løsninger fra industriens og </w:t>
      </w:r>
      <w:proofErr w:type="spellStart"/>
      <w:r w:rsidRPr="00467DB0">
        <w:t>SMV'ernes</w:t>
      </w:r>
      <w:proofErr w:type="spellEnd"/>
      <w:r w:rsidRPr="00467DB0">
        <w:t xml:space="preserve"> side på regionalt og lokalt plan </w:t>
      </w:r>
      <w:proofErr w:type="spellStart"/>
      <w:r w:rsidRPr="00467DB0">
        <w:t>gennem</w:t>
      </w:r>
      <w:proofErr w:type="spellEnd"/>
      <w:r w:rsidRPr="00467DB0">
        <w:t xml:space="preserve"> </w:t>
      </w:r>
      <w:proofErr w:type="spellStart"/>
      <w:r w:rsidRPr="00467DB0">
        <w:t>rumrelaterede</w:t>
      </w:r>
      <w:proofErr w:type="spellEnd"/>
      <w:r w:rsidRPr="00467DB0">
        <w:t xml:space="preserve"> </w:t>
      </w:r>
      <w:proofErr w:type="spellStart"/>
      <w:r w:rsidRPr="00467DB0">
        <w:t>innovationspartnerskaber</w:t>
      </w:r>
      <w:proofErr w:type="spellEnd"/>
      <w:r w:rsidRPr="00467DB0">
        <w:t>, jf. p</w:t>
      </w:r>
      <w:r w:rsidRPr="00467DB0">
        <w:t xml:space="preserve">unkt 7 i bilag 1 til finansforordningen, således at det bliver </w:t>
      </w:r>
      <w:proofErr w:type="spellStart"/>
      <w:r w:rsidRPr="00467DB0">
        <w:t>muligt</w:t>
      </w:r>
      <w:proofErr w:type="spellEnd"/>
      <w:r w:rsidRPr="00467DB0">
        <w:t xml:space="preserve"> at </w:t>
      </w:r>
      <w:proofErr w:type="spellStart"/>
      <w:r w:rsidRPr="00467DB0">
        <w:t>dække</w:t>
      </w:r>
      <w:proofErr w:type="spellEnd"/>
      <w:r w:rsidRPr="00467DB0">
        <w:t xml:space="preserve"> alle stadier fra </w:t>
      </w:r>
      <w:proofErr w:type="spellStart"/>
      <w:r w:rsidRPr="00467DB0">
        <w:t>udvikling</w:t>
      </w:r>
      <w:proofErr w:type="spellEnd"/>
      <w:r w:rsidRPr="00467DB0">
        <w:t xml:space="preserve"> frem til </w:t>
      </w:r>
      <w:proofErr w:type="spellStart"/>
      <w:r w:rsidRPr="00467DB0">
        <w:t>ibrugtagning</w:t>
      </w:r>
      <w:proofErr w:type="spellEnd"/>
      <w:r w:rsidRPr="00467DB0">
        <w:t xml:space="preserve"> og </w:t>
      </w:r>
      <w:proofErr w:type="spellStart"/>
      <w:r w:rsidRPr="00467DB0">
        <w:t>indkøb</w:t>
      </w:r>
      <w:proofErr w:type="spellEnd"/>
      <w:r w:rsidRPr="00467DB0">
        <w:t xml:space="preserve"> </w:t>
      </w:r>
      <w:proofErr w:type="spellStart"/>
      <w:r w:rsidRPr="00467DB0">
        <w:t>af</w:t>
      </w:r>
      <w:proofErr w:type="spellEnd"/>
      <w:r w:rsidRPr="00467DB0">
        <w:t xml:space="preserve"> </w:t>
      </w:r>
      <w:proofErr w:type="spellStart"/>
      <w:r w:rsidRPr="00467DB0">
        <w:t>skræddersyede</w:t>
      </w:r>
      <w:proofErr w:type="spellEnd"/>
      <w:r w:rsidRPr="00467DB0">
        <w:t xml:space="preserve"> interoperable </w:t>
      </w:r>
      <w:proofErr w:type="spellStart"/>
      <w:r w:rsidRPr="00467DB0">
        <w:t>rumløsninger</w:t>
      </w:r>
      <w:proofErr w:type="spellEnd"/>
      <w:r w:rsidRPr="00467DB0">
        <w:t xml:space="preserve"> til offentlige tjenester.</w:t>
      </w:r>
    </w:p>
    <w:p w14:paraId="6EF016B6" w14:textId="77777777" w:rsidR="00000000" w:rsidRPr="00467DB0" w:rsidRDefault="00693D67" w:rsidP="00467DB0">
      <w:pPr>
        <w:pStyle w:val="friliste"/>
      </w:pPr>
      <w:r w:rsidRPr="00467DB0">
        <w:lastRenderedPageBreak/>
        <w:t>(32)</w:t>
      </w:r>
      <w:r w:rsidRPr="00467DB0">
        <w:tab/>
        <w:t xml:space="preserve">For at </w:t>
      </w:r>
      <w:proofErr w:type="spellStart"/>
      <w:r w:rsidRPr="00467DB0">
        <w:t>opfylde</w:t>
      </w:r>
      <w:proofErr w:type="spellEnd"/>
      <w:r w:rsidRPr="00467DB0">
        <w:t xml:space="preserve"> </w:t>
      </w:r>
      <w:proofErr w:type="spellStart"/>
      <w:r w:rsidRPr="00467DB0">
        <w:t>målsætningerne</w:t>
      </w:r>
      <w:proofErr w:type="spellEnd"/>
      <w:r w:rsidRPr="00467DB0">
        <w:t xml:space="preserve"> for programme</w:t>
      </w:r>
      <w:r w:rsidRPr="00467DB0">
        <w:t xml:space="preserve">t er det </w:t>
      </w:r>
      <w:proofErr w:type="spellStart"/>
      <w:r w:rsidRPr="00467DB0">
        <w:t>vigtigt</w:t>
      </w:r>
      <w:proofErr w:type="spellEnd"/>
      <w:r w:rsidRPr="00467DB0">
        <w:t xml:space="preserve">, hvor det er relevant, at kunne </w:t>
      </w:r>
      <w:proofErr w:type="spellStart"/>
      <w:r w:rsidRPr="00467DB0">
        <w:t>trække</w:t>
      </w:r>
      <w:proofErr w:type="spellEnd"/>
      <w:r w:rsidRPr="00467DB0">
        <w:t xml:space="preserve"> på de </w:t>
      </w:r>
      <w:proofErr w:type="spellStart"/>
      <w:r w:rsidRPr="00467DB0">
        <w:t>kapaciteter</w:t>
      </w:r>
      <w:proofErr w:type="spellEnd"/>
      <w:r w:rsidRPr="00467DB0">
        <w:t xml:space="preserve">, der tilbydes </w:t>
      </w:r>
      <w:proofErr w:type="spellStart"/>
      <w:r w:rsidRPr="00467DB0">
        <w:t>af</w:t>
      </w:r>
      <w:proofErr w:type="spellEnd"/>
      <w:r w:rsidRPr="00467DB0">
        <w:t xml:space="preserve"> offentlige og private </w:t>
      </w:r>
      <w:proofErr w:type="spellStart"/>
      <w:r w:rsidRPr="00467DB0">
        <w:t>enheder</w:t>
      </w:r>
      <w:proofErr w:type="spellEnd"/>
      <w:r w:rsidRPr="00467DB0">
        <w:t xml:space="preserve"> i Unionen, som er aktive på </w:t>
      </w:r>
      <w:proofErr w:type="spellStart"/>
      <w:r w:rsidRPr="00467DB0">
        <w:t>rumområdet</w:t>
      </w:r>
      <w:proofErr w:type="spellEnd"/>
      <w:r w:rsidRPr="00467DB0">
        <w:t xml:space="preserve">, og være i stand til at </w:t>
      </w:r>
      <w:proofErr w:type="spellStart"/>
      <w:r w:rsidRPr="00467DB0">
        <w:t>arbejde</w:t>
      </w:r>
      <w:proofErr w:type="spellEnd"/>
      <w:r w:rsidRPr="00467DB0">
        <w:t xml:space="preserve"> på </w:t>
      </w:r>
      <w:proofErr w:type="spellStart"/>
      <w:r w:rsidRPr="00467DB0">
        <w:t>internationalt</w:t>
      </w:r>
      <w:proofErr w:type="spellEnd"/>
      <w:r w:rsidRPr="00467DB0">
        <w:t xml:space="preserve"> plan med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w:t>
      </w:r>
      <w:r w:rsidRPr="00467DB0">
        <w:t>nisationer</w:t>
      </w:r>
      <w:proofErr w:type="spellEnd"/>
      <w:r w:rsidRPr="00467DB0">
        <w:t xml:space="preserve">. Derfor bør der </w:t>
      </w:r>
      <w:proofErr w:type="spellStart"/>
      <w:r w:rsidRPr="00467DB0">
        <w:t>fastsættes</w:t>
      </w:r>
      <w:proofErr w:type="spellEnd"/>
      <w:r w:rsidRPr="00467DB0">
        <w:t xml:space="preserve"> bestemmelser, som </w:t>
      </w:r>
      <w:proofErr w:type="spellStart"/>
      <w:r w:rsidRPr="00467DB0">
        <w:t>giver</w:t>
      </w:r>
      <w:proofErr w:type="spellEnd"/>
      <w:r w:rsidRPr="00467DB0">
        <w:t xml:space="preserve"> </w:t>
      </w:r>
      <w:proofErr w:type="spellStart"/>
      <w:r w:rsidRPr="00467DB0">
        <w:t>mulighed</w:t>
      </w:r>
      <w:proofErr w:type="spellEnd"/>
      <w:r w:rsidRPr="00467DB0">
        <w:t xml:space="preserve"> for at anvende alle de relevante </w:t>
      </w:r>
      <w:proofErr w:type="spellStart"/>
      <w:r w:rsidRPr="00467DB0">
        <w:t>værktøjer</w:t>
      </w:r>
      <w:proofErr w:type="spellEnd"/>
      <w:r w:rsidRPr="00467DB0">
        <w:t xml:space="preserve"> og forvaltningsmetoder i TEUF og finansforordningen og </w:t>
      </w:r>
      <w:proofErr w:type="spellStart"/>
      <w:r w:rsidRPr="00467DB0">
        <w:t>fælles</w:t>
      </w:r>
      <w:proofErr w:type="spellEnd"/>
      <w:r w:rsidRPr="00467DB0">
        <w:t xml:space="preserve"> </w:t>
      </w:r>
      <w:proofErr w:type="spellStart"/>
      <w:r w:rsidRPr="00467DB0">
        <w:t>udbudsprocedurer</w:t>
      </w:r>
      <w:proofErr w:type="spellEnd"/>
      <w:r w:rsidRPr="00467DB0">
        <w:t>.</w:t>
      </w:r>
    </w:p>
    <w:p w14:paraId="0BA44705" w14:textId="77777777" w:rsidR="00000000" w:rsidRPr="00467DB0" w:rsidRDefault="00693D67" w:rsidP="00467DB0">
      <w:pPr>
        <w:pStyle w:val="friliste"/>
      </w:pPr>
      <w:r w:rsidRPr="00467DB0">
        <w:t>(33)</w:t>
      </w:r>
      <w:r w:rsidRPr="00467DB0">
        <w:tab/>
        <w:t xml:space="preserve">Navnlig når det </w:t>
      </w:r>
      <w:proofErr w:type="spellStart"/>
      <w:r w:rsidRPr="00467DB0">
        <w:t>gælder</w:t>
      </w:r>
      <w:proofErr w:type="spellEnd"/>
      <w:r w:rsidRPr="00467DB0">
        <w:t xml:space="preserve"> </w:t>
      </w:r>
      <w:proofErr w:type="spellStart"/>
      <w:r w:rsidRPr="00467DB0">
        <w:t>tilskud</w:t>
      </w:r>
      <w:proofErr w:type="spellEnd"/>
      <w:r w:rsidRPr="00467DB0">
        <w:t xml:space="preserve">, har erfaringen vist, at </w:t>
      </w:r>
      <w:proofErr w:type="spellStart"/>
      <w:r w:rsidRPr="00467DB0">
        <w:t>b</w:t>
      </w:r>
      <w:r w:rsidRPr="00467DB0">
        <w:t>ruger</w:t>
      </w:r>
      <w:proofErr w:type="spellEnd"/>
      <w:r w:rsidRPr="00467DB0">
        <w:t xml:space="preserve">- og </w:t>
      </w:r>
      <w:proofErr w:type="spellStart"/>
      <w:r w:rsidRPr="00467DB0">
        <w:t>markedsudbredelse</w:t>
      </w:r>
      <w:proofErr w:type="spellEnd"/>
      <w:r w:rsidRPr="00467DB0">
        <w:t xml:space="preserve"> og generelle </w:t>
      </w:r>
      <w:proofErr w:type="spellStart"/>
      <w:r w:rsidRPr="00467DB0">
        <w:t>outreachaktiviteter</w:t>
      </w:r>
      <w:proofErr w:type="spellEnd"/>
      <w:r w:rsidRPr="00467DB0">
        <w:t xml:space="preserve">, som foregår </w:t>
      </w:r>
      <w:proofErr w:type="spellStart"/>
      <w:r w:rsidRPr="00467DB0">
        <w:t>decentralt</w:t>
      </w:r>
      <w:proofErr w:type="spellEnd"/>
      <w:r w:rsidRPr="00467DB0">
        <w:t xml:space="preserve">, fungerer bedre end </w:t>
      </w:r>
      <w:proofErr w:type="spellStart"/>
      <w:r w:rsidRPr="00467DB0">
        <w:t>topstyrede</w:t>
      </w:r>
      <w:proofErr w:type="spellEnd"/>
      <w:r w:rsidRPr="00467DB0">
        <w:t xml:space="preserve"> </w:t>
      </w:r>
      <w:proofErr w:type="spellStart"/>
      <w:r w:rsidRPr="00467DB0">
        <w:t>tiltag</w:t>
      </w:r>
      <w:proofErr w:type="spellEnd"/>
      <w:r w:rsidRPr="00467DB0">
        <w:t xml:space="preserve"> fra </w:t>
      </w:r>
      <w:proofErr w:type="spellStart"/>
      <w:r w:rsidRPr="00467DB0">
        <w:t>Kommissionen</w:t>
      </w:r>
      <w:proofErr w:type="spellEnd"/>
      <w:r w:rsidRPr="00467DB0">
        <w:t xml:space="preserve">. Vouchere, som er en form for </w:t>
      </w:r>
      <w:proofErr w:type="spellStart"/>
      <w:r w:rsidRPr="00467DB0">
        <w:t>finansiel</w:t>
      </w:r>
      <w:proofErr w:type="spellEnd"/>
      <w:r w:rsidRPr="00467DB0">
        <w:t xml:space="preserve"> støtte </w:t>
      </w:r>
      <w:proofErr w:type="spellStart"/>
      <w:r w:rsidRPr="00467DB0">
        <w:t>ydet</w:t>
      </w:r>
      <w:proofErr w:type="spellEnd"/>
      <w:r w:rsidRPr="00467DB0">
        <w:t xml:space="preserve"> </w:t>
      </w:r>
      <w:proofErr w:type="spellStart"/>
      <w:r w:rsidRPr="00467DB0">
        <w:t>af</w:t>
      </w:r>
      <w:proofErr w:type="spellEnd"/>
      <w:r w:rsidRPr="00467DB0">
        <w:t xml:space="preserve"> </w:t>
      </w:r>
      <w:proofErr w:type="spellStart"/>
      <w:r w:rsidRPr="00467DB0">
        <w:t>støttemodtagere</w:t>
      </w:r>
      <w:proofErr w:type="spellEnd"/>
      <w:r w:rsidRPr="00467DB0">
        <w:t xml:space="preserve"> til tredjeparter, er </w:t>
      </w:r>
      <w:proofErr w:type="spellStart"/>
      <w:r w:rsidRPr="00467DB0">
        <w:t>blandt</w:t>
      </w:r>
      <w:proofErr w:type="spellEnd"/>
      <w:r w:rsidRPr="00467DB0">
        <w:t xml:space="preserve"> de foranstaltning</w:t>
      </w:r>
      <w:r w:rsidRPr="00467DB0">
        <w:t xml:space="preserve">er, som har </w:t>
      </w:r>
      <w:proofErr w:type="spellStart"/>
      <w:r w:rsidRPr="00467DB0">
        <w:t>haft</w:t>
      </w:r>
      <w:proofErr w:type="spellEnd"/>
      <w:r w:rsidRPr="00467DB0">
        <w:t xml:space="preserve"> størst </w:t>
      </w:r>
      <w:proofErr w:type="spellStart"/>
      <w:r w:rsidRPr="00467DB0">
        <w:t>succes</w:t>
      </w:r>
      <w:proofErr w:type="spellEnd"/>
      <w:r w:rsidRPr="00467DB0">
        <w:t xml:space="preserve"> i forhold til nye markedsaktører og </w:t>
      </w:r>
      <w:proofErr w:type="spellStart"/>
      <w:r w:rsidRPr="00467DB0">
        <w:t>SMV'er</w:t>
      </w:r>
      <w:proofErr w:type="spellEnd"/>
      <w:r w:rsidRPr="00467DB0">
        <w:t xml:space="preserve">. De </w:t>
      </w:r>
      <w:proofErr w:type="spellStart"/>
      <w:r w:rsidRPr="00467DB0">
        <w:t>hæmmes</w:t>
      </w:r>
      <w:proofErr w:type="spellEnd"/>
      <w:r w:rsidRPr="00467DB0">
        <w:t xml:space="preserve"> dog </w:t>
      </w:r>
      <w:proofErr w:type="spellStart"/>
      <w:r w:rsidRPr="00467DB0">
        <w:t>af</w:t>
      </w:r>
      <w:proofErr w:type="spellEnd"/>
      <w:r w:rsidRPr="00467DB0">
        <w:t xml:space="preserve"> det loft over </w:t>
      </w:r>
      <w:proofErr w:type="spellStart"/>
      <w:r w:rsidRPr="00467DB0">
        <w:t>finansiel</w:t>
      </w:r>
      <w:proofErr w:type="spellEnd"/>
      <w:r w:rsidRPr="00467DB0">
        <w:t xml:space="preserve"> støtte, der er </w:t>
      </w:r>
      <w:proofErr w:type="spellStart"/>
      <w:r w:rsidRPr="00467DB0">
        <w:t>fastsat</w:t>
      </w:r>
      <w:proofErr w:type="spellEnd"/>
      <w:r w:rsidRPr="00467DB0">
        <w:t xml:space="preserve"> i finansforordningen. Derfor bør dette loft sættes </w:t>
      </w:r>
      <w:proofErr w:type="spellStart"/>
      <w:r w:rsidRPr="00467DB0">
        <w:t>op</w:t>
      </w:r>
      <w:proofErr w:type="spellEnd"/>
      <w:r w:rsidRPr="00467DB0">
        <w:t xml:space="preserve"> i forbindelse med programmet for at holde </w:t>
      </w:r>
      <w:proofErr w:type="spellStart"/>
      <w:r w:rsidRPr="00467DB0">
        <w:t>trit</w:t>
      </w:r>
      <w:proofErr w:type="spellEnd"/>
      <w:r w:rsidRPr="00467DB0">
        <w:t xml:space="preserve"> med det voksende</w:t>
      </w:r>
      <w:r w:rsidRPr="00467DB0">
        <w:t xml:space="preserve"> </w:t>
      </w:r>
      <w:proofErr w:type="spellStart"/>
      <w:r w:rsidRPr="00467DB0">
        <w:t>potentiale</w:t>
      </w:r>
      <w:proofErr w:type="spellEnd"/>
      <w:r w:rsidRPr="00467DB0">
        <w:t xml:space="preserve"> </w:t>
      </w:r>
      <w:proofErr w:type="spellStart"/>
      <w:r w:rsidRPr="00467DB0">
        <w:t>inden</w:t>
      </w:r>
      <w:proofErr w:type="spellEnd"/>
      <w:r w:rsidRPr="00467DB0">
        <w:t xml:space="preserve"> for </w:t>
      </w:r>
      <w:proofErr w:type="spellStart"/>
      <w:r w:rsidRPr="00467DB0">
        <w:t>markedsapplikationer</w:t>
      </w:r>
      <w:proofErr w:type="spellEnd"/>
      <w:r w:rsidRPr="00467DB0">
        <w:t xml:space="preserve"> i </w:t>
      </w:r>
      <w:proofErr w:type="spellStart"/>
      <w:r w:rsidRPr="00467DB0">
        <w:t>rumsektoren</w:t>
      </w:r>
      <w:proofErr w:type="spellEnd"/>
      <w:r w:rsidRPr="00467DB0">
        <w:t>.</w:t>
      </w:r>
    </w:p>
    <w:p w14:paraId="38454AE2" w14:textId="77777777" w:rsidR="00000000" w:rsidRPr="00467DB0" w:rsidRDefault="00693D67" w:rsidP="00467DB0">
      <w:pPr>
        <w:pStyle w:val="friliste"/>
      </w:pPr>
      <w:r w:rsidRPr="00467DB0">
        <w:t>(34)</w:t>
      </w:r>
      <w:r w:rsidRPr="00467DB0">
        <w:tab/>
        <w:t xml:space="preserve">Finansieringstyper og </w:t>
      </w:r>
      <w:proofErr w:type="spellStart"/>
      <w:r w:rsidRPr="00467DB0">
        <w:t>gennemførelsesmetoder</w:t>
      </w:r>
      <w:proofErr w:type="spellEnd"/>
      <w:r w:rsidRPr="00467DB0">
        <w:t xml:space="preserve"> i medfør </w:t>
      </w:r>
      <w:proofErr w:type="spellStart"/>
      <w:r w:rsidRPr="00467DB0">
        <w:t>af</w:t>
      </w:r>
      <w:proofErr w:type="spellEnd"/>
      <w:r w:rsidRPr="00467DB0">
        <w:t xml:space="preserve"> denne forordning bør </w:t>
      </w:r>
      <w:proofErr w:type="spellStart"/>
      <w:r w:rsidRPr="00467DB0">
        <w:t>vælges</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om de giver </w:t>
      </w:r>
      <w:proofErr w:type="spellStart"/>
      <w:r w:rsidRPr="00467DB0">
        <w:t>mulighed</w:t>
      </w:r>
      <w:proofErr w:type="spellEnd"/>
      <w:r w:rsidRPr="00467DB0">
        <w:t xml:space="preserve"> for at nå de </w:t>
      </w:r>
      <w:proofErr w:type="spellStart"/>
      <w:r w:rsidRPr="00467DB0">
        <w:t>specifikke</w:t>
      </w:r>
      <w:proofErr w:type="spellEnd"/>
      <w:r w:rsidRPr="00467DB0">
        <w:t xml:space="preserve"> </w:t>
      </w:r>
      <w:proofErr w:type="spellStart"/>
      <w:r w:rsidRPr="00467DB0">
        <w:t>målsætninger</w:t>
      </w:r>
      <w:proofErr w:type="spellEnd"/>
      <w:r w:rsidRPr="00467DB0">
        <w:t xml:space="preserve"> for </w:t>
      </w:r>
      <w:proofErr w:type="spellStart"/>
      <w:r w:rsidRPr="00467DB0">
        <w:t>foranstaltningerne</w:t>
      </w:r>
      <w:proofErr w:type="spellEnd"/>
      <w:r w:rsidRPr="00467DB0">
        <w:t xml:space="preserve"> og </w:t>
      </w:r>
      <w:proofErr w:type="spellStart"/>
      <w:r w:rsidRPr="00467DB0">
        <w:t>give</w:t>
      </w:r>
      <w:proofErr w:type="spellEnd"/>
      <w:r w:rsidRPr="00467DB0">
        <w:t xml:space="preserve"> resu</w:t>
      </w:r>
      <w:r w:rsidRPr="00467DB0">
        <w:t xml:space="preserve">ltater, idet der navnlig </w:t>
      </w:r>
      <w:proofErr w:type="spellStart"/>
      <w:r w:rsidRPr="00467DB0">
        <w:t>tages</w:t>
      </w:r>
      <w:proofErr w:type="spellEnd"/>
      <w:r w:rsidRPr="00467DB0">
        <w:t xml:space="preserve"> hensyn til </w:t>
      </w:r>
      <w:proofErr w:type="spellStart"/>
      <w:r w:rsidRPr="00467DB0">
        <w:t>kontrolomkostningerne</w:t>
      </w:r>
      <w:proofErr w:type="spellEnd"/>
      <w:r w:rsidRPr="00467DB0">
        <w:t xml:space="preserve">, den administrative byrde og den forventede risiko for manglende overholdelse. Dette bør omfatte </w:t>
      </w:r>
      <w:proofErr w:type="spellStart"/>
      <w:r w:rsidRPr="00467DB0">
        <w:t>overvejelser</w:t>
      </w:r>
      <w:proofErr w:type="spellEnd"/>
      <w:r w:rsidRPr="00467DB0">
        <w:t xml:space="preserve"> </w:t>
      </w:r>
      <w:proofErr w:type="gramStart"/>
      <w:r w:rsidRPr="00467DB0">
        <w:t>vedrørende</w:t>
      </w:r>
      <w:proofErr w:type="gramEnd"/>
      <w:r w:rsidRPr="00467DB0">
        <w:t xml:space="preserve"> anvendelsen </w:t>
      </w:r>
      <w:proofErr w:type="spellStart"/>
      <w:r w:rsidRPr="00467DB0">
        <w:t>af</w:t>
      </w:r>
      <w:proofErr w:type="spellEnd"/>
      <w:r w:rsidRPr="00467DB0">
        <w:t xml:space="preserve"> faste </w:t>
      </w:r>
      <w:proofErr w:type="spellStart"/>
      <w:r w:rsidRPr="00467DB0">
        <w:t>beløb</w:t>
      </w:r>
      <w:proofErr w:type="spellEnd"/>
      <w:r w:rsidRPr="00467DB0">
        <w:t xml:space="preserve">, faste takster og </w:t>
      </w:r>
      <w:proofErr w:type="spellStart"/>
      <w:r w:rsidRPr="00467DB0">
        <w:t>enhedsomkostninger</w:t>
      </w:r>
      <w:proofErr w:type="spellEnd"/>
      <w:r w:rsidRPr="00467DB0">
        <w:t>, samt f</w:t>
      </w:r>
      <w:r w:rsidRPr="00467DB0">
        <w:t xml:space="preserve">inansiering, der ikke er direkte knyttet til </w:t>
      </w:r>
      <w:proofErr w:type="spellStart"/>
      <w:r w:rsidRPr="00467DB0">
        <w:t>omkostningerne</w:t>
      </w:r>
      <w:proofErr w:type="spellEnd"/>
      <w:r w:rsidRPr="00467DB0">
        <w:t xml:space="preserve">, som omhandlet i finansforordningens </w:t>
      </w:r>
      <w:proofErr w:type="spellStart"/>
      <w:r w:rsidRPr="00467DB0">
        <w:t>artikel</w:t>
      </w:r>
      <w:proofErr w:type="spellEnd"/>
      <w:r w:rsidRPr="00467DB0">
        <w:t xml:space="preserve"> 125, stk. 1.</w:t>
      </w:r>
    </w:p>
    <w:p w14:paraId="55567F31" w14:textId="77777777" w:rsidR="00000000" w:rsidRPr="00467DB0" w:rsidRDefault="00693D67" w:rsidP="00467DB0">
      <w:pPr>
        <w:pStyle w:val="friliste"/>
      </w:pPr>
      <w:r w:rsidRPr="00467DB0">
        <w:t>(35)</w:t>
      </w:r>
      <w:r w:rsidRPr="00467DB0">
        <w:tab/>
        <w:t xml:space="preserve">I henhold til de relevante bestemmelser i en </w:t>
      </w:r>
      <w:proofErr w:type="spellStart"/>
      <w:r w:rsidRPr="00467DB0">
        <w:t>rådsafgørelse</w:t>
      </w:r>
      <w:proofErr w:type="spellEnd"/>
      <w:r w:rsidRPr="00467DB0">
        <w:t xml:space="preserve"> om </w:t>
      </w:r>
      <w:proofErr w:type="spellStart"/>
      <w:r w:rsidRPr="00467DB0">
        <w:t>associering</w:t>
      </w:r>
      <w:proofErr w:type="spellEnd"/>
      <w:r w:rsidRPr="00467DB0">
        <w:t xml:space="preserve"> </w:t>
      </w:r>
      <w:proofErr w:type="spellStart"/>
      <w:r w:rsidRPr="00467DB0">
        <w:t>af</w:t>
      </w:r>
      <w:proofErr w:type="spellEnd"/>
      <w:r w:rsidRPr="00467DB0">
        <w:t xml:space="preserve"> de </w:t>
      </w:r>
      <w:proofErr w:type="spellStart"/>
      <w:r w:rsidRPr="00467DB0">
        <w:t>oversøiske</w:t>
      </w:r>
      <w:proofErr w:type="spellEnd"/>
      <w:r w:rsidRPr="00467DB0">
        <w:t xml:space="preserve"> lande og territorier med Den </w:t>
      </w:r>
      <w:proofErr w:type="spellStart"/>
      <w:r w:rsidRPr="00467DB0">
        <w:t>Europæiske</w:t>
      </w:r>
      <w:proofErr w:type="spellEnd"/>
      <w:r w:rsidRPr="00467DB0">
        <w:t xml:space="preserve"> Un</w:t>
      </w:r>
      <w:r w:rsidRPr="00467DB0">
        <w:t xml:space="preserve">ion, herunder forbindelser </w:t>
      </w:r>
      <w:proofErr w:type="spellStart"/>
      <w:r w:rsidRPr="00467DB0">
        <w:t>mellem</w:t>
      </w:r>
      <w:proofErr w:type="spellEnd"/>
      <w:r w:rsidRPr="00467DB0">
        <w:t xml:space="preserve"> Den </w:t>
      </w:r>
      <w:proofErr w:type="spellStart"/>
      <w:r w:rsidRPr="00467DB0">
        <w:t>Europæiske</w:t>
      </w:r>
      <w:proofErr w:type="spellEnd"/>
      <w:r w:rsidRPr="00467DB0">
        <w:t xml:space="preserve"> Union på den ene side og Grønland og Kongeriget Danmark på den anden side bør personer og </w:t>
      </w:r>
      <w:proofErr w:type="spellStart"/>
      <w:r w:rsidRPr="00467DB0">
        <w:t>enheder</w:t>
      </w:r>
      <w:proofErr w:type="spellEnd"/>
      <w:r w:rsidRPr="00467DB0">
        <w:t xml:space="preserve">, som er </w:t>
      </w:r>
      <w:proofErr w:type="spellStart"/>
      <w:r w:rsidRPr="00467DB0">
        <w:t>etableret</w:t>
      </w:r>
      <w:proofErr w:type="spellEnd"/>
      <w:r w:rsidRPr="00467DB0">
        <w:t xml:space="preserve"> i </w:t>
      </w:r>
      <w:proofErr w:type="spellStart"/>
      <w:r w:rsidRPr="00467DB0">
        <w:t>oversøiske</w:t>
      </w:r>
      <w:proofErr w:type="spellEnd"/>
      <w:r w:rsidRPr="00467DB0">
        <w:t xml:space="preserve"> lande og territorier, kunne </w:t>
      </w:r>
      <w:proofErr w:type="spellStart"/>
      <w:r w:rsidRPr="00467DB0">
        <w:t>modtage</w:t>
      </w:r>
      <w:proofErr w:type="spellEnd"/>
      <w:r w:rsidRPr="00467DB0">
        <w:t xml:space="preserve"> finansiering under overholdelse </w:t>
      </w:r>
      <w:proofErr w:type="spellStart"/>
      <w:r w:rsidRPr="00467DB0">
        <w:t>af</w:t>
      </w:r>
      <w:proofErr w:type="spellEnd"/>
      <w:r w:rsidRPr="00467DB0">
        <w:t xml:space="preserve"> de regl</w:t>
      </w:r>
      <w:r w:rsidRPr="00467DB0">
        <w:t xml:space="preserve">er og </w:t>
      </w:r>
      <w:proofErr w:type="spellStart"/>
      <w:r w:rsidRPr="00467DB0">
        <w:t>målsætninger</w:t>
      </w:r>
      <w:proofErr w:type="spellEnd"/>
      <w:r w:rsidRPr="00467DB0">
        <w:t xml:space="preserve">, der </w:t>
      </w:r>
      <w:proofErr w:type="spellStart"/>
      <w:r w:rsidRPr="00467DB0">
        <w:t>gælder</w:t>
      </w:r>
      <w:proofErr w:type="spellEnd"/>
      <w:r w:rsidRPr="00467DB0">
        <w:t xml:space="preserve"> for programmet, og eventuelle ordninger, som </w:t>
      </w:r>
      <w:proofErr w:type="spellStart"/>
      <w:r w:rsidRPr="00467DB0">
        <w:t>finder</w:t>
      </w:r>
      <w:proofErr w:type="spellEnd"/>
      <w:r w:rsidRPr="00467DB0">
        <w:t xml:space="preserve"> anvendelse på den medlemsstat, som det </w:t>
      </w:r>
      <w:proofErr w:type="spellStart"/>
      <w:r w:rsidRPr="00467DB0">
        <w:t>pågældende</w:t>
      </w:r>
      <w:proofErr w:type="spellEnd"/>
      <w:r w:rsidRPr="00467DB0">
        <w:t xml:space="preserve"> </w:t>
      </w:r>
      <w:proofErr w:type="spellStart"/>
      <w:r w:rsidRPr="00467DB0">
        <w:t>oversøiske</w:t>
      </w:r>
      <w:proofErr w:type="spellEnd"/>
      <w:r w:rsidRPr="00467DB0">
        <w:t xml:space="preserve"> land eller territorium hører under.</w:t>
      </w:r>
    </w:p>
    <w:p w14:paraId="725A5264" w14:textId="77777777" w:rsidR="00000000" w:rsidRPr="00467DB0" w:rsidRDefault="00693D67" w:rsidP="00467DB0">
      <w:pPr>
        <w:pStyle w:val="friliste"/>
      </w:pPr>
      <w:r w:rsidRPr="00467DB0">
        <w:t>(36)</w:t>
      </w:r>
      <w:r w:rsidRPr="00467DB0">
        <w:tab/>
        <w:t xml:space="preserve">Horisontale finansielle regler, der er </w:t>
      </w:r>
      <w:proofErr w:type="spellStart"/>
      <w:r w:rsidRPr="00467DB0">
        <w:t>vedtaget</w:t>
      </w:r>
      <w:proofErr w:type="spellEnd"/>
      <w:r w:rsidRPr="00467DB0">
        <w:t xml:space="preserve"> </w:t>
      </w:r>
      <w:proofErr w:type="spellStart"/>
      <w:r w:rsidRPr="00467DB0">
        <w:t>af</w:t>
      </w:r>
      <w:proofErr w:type="spellEnd"/>
      <w:r w:rsidRPr="00467DB0">
        <w:t xml:space="preserve"> Europa-Parlamentet o</w:t>
      </w:r>
      <w:r w:rsidRPr="00467DB0">
        <w:t xml:space="preserve">g Rådet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artikel</w:t>
      </w:r>
      <w:proofErr w:type="spellEnd"/>
      <w:r w:rsidRPr="00467DB0">
        <w:t xml:space="preserve"> 322 i TEUF, </w:t>
      </w:r>
      <w:proofErr w:type="spellStart"/>
      <w:r w:rsidRPr="00467DB0">
        <w:t>finder</w:t>
      </w:r>
      <w:proofErr w:type="spellEnd"/>
      <w:r w:rsidRPr="00467DB0">
        <w:t xml:space="preserve"> </w:t>
      </w:r>
      <w:proofErr w:type="gramStart"/>
      <w:r w:rsidRPr="00467DB0">
        <w:t>anvendelse</w:t>
      </w:r>
      <w:proofErr w:type="gramEnd"/>
      <w:r w:rsidRPr="00467DB0">
        <w:t xml:space="preserve"> på denne forordning. Disse regler er </w:t>
      </w:r>
      <w:proofErr w:type="spellStart"/>
      <w:r w:rsidRPr="00467DB0">
        <w:t>fastsat</w:t>
      </w:r>
      <w:proofErr w:type="spellEnd"/>
      <w:r w:rsidRPr="00467DB0">
        <w:t xml:space="preserve"> i finansforordningen og </w:t>
      </w:r>
      <w:proofErr w:type="spellStart"/>
      <w:r w:rsidRPr="00467DB0">
        <w:t>fastlægger</w:t>
      </w:r>
      <w:proofErr w:type="spellEnd"/>
      <w:r w:rsidRPr="00467DB0">
        <w:t xml:space="preserve"> navnlig </w:t>
      </w:r>
      <w:proofErr w:type="spellStart"/>
      <w:r w:rsidRPr="00467DB0">
        <w:t>proceduren</w:t>
      </w:r>
      <w:proofErr w:type="spellEnd"/>
      <w:r w:rsidRPr="00467DB0">
        <w:t xml:space="preserve"> for </w:t>
      </w:r>
      <w:proofErr w:type="spellStart"/>
      <w:r w:rsidRPr="00467DB0">
        <w:t>opstilling</w:t>
      </w:r>
      <w:proofErr w:type="spellEnd"/>
      <w:r w:rsidRPr="00467DB0">
        <w:t xml:space="preserve"> og </w:t>
      </w:r>
      <w:proofErr w:type="spellStart"/>
      <w:r w:rsidRPr="00467DB0">
        <w:t>gennemførelse</w:t>
      </w:r>
      <w:proofErr w:type="spellEnd"/>
      <w:r w:rsidRPr="00467DB0">
        <w:t xml:space="preserve"> </w:t>
      </w:r>
      <w:proofErr w:type="spellStart"/>
      <w:r w:rsidRPr="00467DB0">
        <w:t>af</w:t>
      </w:r>
      <w:proofErr w:type="spellEnd"/>
      <w:r w:rsidRPr="00467DB0">
        <w:t xml:space="preserve"> </w:t>
      </w:r>
      <w:proofErr w:type="spellStart"/>
      <w:r w:rsidRPr="00467DB0">
        <w:t>budgettet</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tilskud</w:t>
      </w:r>
      <w:proofErr w:type="spellEnd"/>
      <w:r w:rsidRPr="00467DB0">
        <w:t xml:space="preserve">, </w:t>
      </w:r>
      <w:proofErr w:type="spellStart"/>
      <w:r w:rsidRPr="00467DB0">
        <w:t>udbud</w:t>
      </w:r>
      <w:proofErr w:type="spellEnd"/>
      <w:r w:rsidRPr="00467DB0">
        <w:t xml:space="preserve">, priser og indirekte </w:t>
      </w:r>
      <w:proofErr w:type="spellStart"/>
      <w:r w:rsidRPr="00467DB0">
        <w:t>ge</w:t>
      </w:r>
      <w:r w:rsidRPr="00467DB0">
        <w:t>nnemførelse</w:t>
      </w:r>
      <w:proofErr w:type="spellEnd"/>
      <w:r w:rsidRPr="00467DB0">
        <w:t xml:space="preserve"> og </w:t>
      </w:r>
      <w:proofErr w:type="spellStart"/>
      <w:r w:rsidRPr="00467DB0">
        <w:t>fastsætter</w:t>
      </w:r>
      <w:proofErr w:type="spellEnd"/>
      <w:r w:rsidRPr="00467DB0">
        <w:t xml:space="preserve"> </w:t>
      </w:r>
      <w:proofErr w:type="spellStart"/>
      <w:r w:rsidRPr="00467DB0">
        <w:t>kontrol</w:t>
      </w:r>
      <w:proofErr w:type="spellEnd"/>
      <w:r w:rsidRPr="00467DB0">
        <w:t xml:space="preserve"> med finansielle aktørers ansvar. Regler, der er </w:t>
      </w:r>
      <w:proofErr w:type="spellStart"/>
      <w:r w:rsidRPr="00467DB0">
        <w:t>vedtaget</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artikel</w:t>
      </w:r>
      <w:proofErr w:type="spellEnd"/>
      <w:r w:rsidRPr="00467DB0">
        <w:t xml:space="preserve"> 322 i TEUF, omfatter også en </w:t>
      </w:r>
      <w:proofErr w:type="spellStart"/>
      <w:r w:rsidRPr="00467DB0">
        <w:t>generel</w:t>
      </w:r>
      <w:proofErr w:type="spellEnd"/>
      <w:r w:rsidRPr="00467DB0">
        <w:t xml:space="preserve"> ordning med </w:t>
      </w:r>
      <w:proofErr w:type="spellStart"/>
      <w:r w:rsidRPr="00467DB0">
        <w:t>konditionalitet</w:t>
      </w:r>
      <w:proofErr w:type="spellEnd"/>
      <w:r w:rsidRPr="00467DB0">
        <w:t xml:space="preserve"> til beskyttelse </w:t>
      </w:r>
      <w:proofErr w:type="spellStart"/>
      <w:r w:rsidRPr="00467DB0">
        <w:t>af</w:t>
      </w:r>
      <w:proofErr w:type="spellEnd"/>
      <w:r w:rsidRPr="00467DB0">
        <w:t xml:space="preserve"> Unionens </w:t>
      </w:r>
      <w:proofErr w:type="spellStart"/>
      <w:r w:rsidRPr="00467DB0">
        <w:t>budget</w:t>
      </w:r>
      <w:proofErr w:type="spellEnd"/>
      <w:r w:rsidRPr="00467DB0">
        <w:t>.</w:t>
      </w:r>
    </w:p>
    <w:p w14:paraId="0E17AD22" w14:textId="77777777" w:rsidR="00000000" w:rsidRPr="00467DB0" w:rsidRDefault="00693D67" w:rsidP="00467DB0">
      <w:pPr>
        <w:pStyle w:val="friliste"/>
      </w:pPr>
      <w:r w:rsidRPr="00467DB0">
        <w:t>(37)</w:t>
      </w:r>
      <w:r w:rsidRPr="00467DB0">
        <w:tab/>
        <w:t>I overensstemmelse med finansforordn</w:t>
      </w:r>
      <w:r w:rsidRPr="00467DB0">
        <w:t>ingen, Europa-Parlamentets og Rådets forordning (EU, Euratom) nr. 883/2013</w:t>
      </w:r>
      <w:r w:rsidRPr="00467DB0">
        <w:rPr>
          <w:rStyle w:val="Fotnotereferanse"/>
        </w:rPr>
        <w:footnoteReference w:id="11"/>
      </w:r>
      <w:r w:rsidRPr="00467DB0">
        <w:t xml:space="preserve"> og Rådets forordning (Euratom, EF) nr. 2988/95</w:t>
      </w:r>
      <w:r w:rsidRPr="00467DB0">
        <w:rPr>
          <w:rStyle w:val="Fotnotereferanse"/>
        </w:rPr>
        <w:footnoteReference w:id="12"/>
      </w:r>
      <w:r w:rsidRPr="00467DB0">
        <w:t xml:space="preserve">, (Euratom, </w:t>
      </w:r>
      <w:r w:rsidRPr="00467DB0">
        <w:lastRenderedPageBreak/>
        <w:t>EF) nr. 2185/96</w:t>
      </w:r>
      <w:r w:rsidRPr="00467DB0">
        <w:rPr>
          <w:rStyle w:val="Fotnotereferanse"/>
        </w:rPr>
        <w:footnoteReference w:id="13"/>
      </w:r>
      <w:r w:rsidRPr="00467DB0">
        <w:t xml:space="preserve"> og (EU) 2017/1939</w:t>
      </w:r>
      <w:r w:rsidRPr="00467DB0">
        <w:rPr>
          <w:rStyle w:val="Fotnotereferanse"/>
        </w:rPr>
        <w:footnoteReference w:id="14"/>
      </w:r>
      <w:r w:rsidRPr="00467DB0">
        <w:t xml:space="preserve"> skal Unionens finansielle interesser beskyttes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forholdsmæssige</w:t>
      </w:r>
      <w:proofErr w:type="spellEnd"/>
      <w:r w:rsidRPr="00467DB0">
        <w:t xml:space="preserve"> fo</w:t>
      </w:r>
      <w:r w:rsidRPr="00467DB0">
        <w:t xml:space="preserve">ranstaltninger, herunder foranstaltninger vedrørende forebyggelse, </w:t>
      </w:r>
      <w:proofErr w:type="spellStart"/>
      <w:r w:rsidRPr="00467DB0">
        <w:t>opdagelse</w:t>
      </w:r>
      <w:proofErr w:type="spellEnd"/>
      <w:r w:rsidRPr="00467DB0">
        <w:t xml:space="preserve">, </w:t>
      </w:r>
      <w:proofErr w:type="spellStart"/>
      <w:r w:rsidRPr="00467DB0">
        <w:t>korrektion</w:t>
      </w:r>
      <w:proofErr w:type="spellEnd"/>
      <w:r w:rsidRPr="00467DB0">
        <w:t xml:space="preserve"> og </w:t>
      </w:r>
      <w:proofErr w:type="spellStart"/>
      <w:r w:rsidRPr="00467DB0">
        <w:t>undersøgelse</w:t>
      </w:r>
      <w:proofErr w:type="spellEnd"/>
      <w:r w:rsidRPr="00467DB0">
        <w:t xml:space="preserve"> </w:t>
      </w:r>
      <w:proofErr w:type="spellStart"/>
      <w:r w:rsidRPr="00467DB0">
        <w:t>af</w:t>
      </w:r>
      <w:proofErr w:type="spellEnd"/>
      <w:r w:rsidRPr="00467DB0">
        <w:t xml:space="preserve"> </w:t>
      </w:r>
      <w:proofErr w:type="spellStart"/>
      <w:r w:rsidRPr="00467DB0">
        <w:t>uregelmæssigheder</w:t>
      </w:r>
      <w:proofErr w:type="spellEnd"/>
      <w:r w:rsidRPr="00467DB0">
        <w:t xml:space="preserve">, herunder </w:t>
      </w:r>
      <w:proofErr w:type="spellStart"/>
      <w:r w:rsidRPr="00467DB0">
        <w:t>svig</w:t>
      </w:r>
      <w:proofErr w:type="spellEnd"/>
      <w:r w:rsidRPr="00467DB0">
        <w:t xml:space="preserve">, vedrørende </w:t>
      </w:r>
      <w:proofErr w:type="spellStart"/>
      <w:r w:rsidRPr="00467DB0">
        <w:t>tilbagesøgning</w:t>
      </w:r>
      <w:proofErr w:type="spellEnd"/>
      <w:r w:rsidRPr="00467DB0">
        <w:t xml:space="preserve"> </w:t>
      </w:r>
      <w:proofErr w:type="spellStart"/>
      <w:r w:rsidRPr="00467DB0">
        <w:t>af</w:t>
      </w:r>
      <w:proofErr w:type="spellEnd"/>
      <w:r w:rsidRPr="00467DB0">
        <w:t xml:space="preserve"> </w:t>
      </w:r>
      <w:proofErr w:type="spellStart"/>
      <w:r w:rsidRPr="00467DB0">
        <w:t>tabte</w:t>
      </w:r>
      <w:proofErr w:type="spellEnd"/>
      <w:r w:rsidRPr="00467DB0">
        <w:t xml:space="preserve">, uberettiget </w:t>
      </w:r>
      <w:proofErr w:type="spellStart"/>
      <w:r w:rsidRPr="00467DB0">
        <w:t>udbetalte</w:t>
      </w:r>
      <w:proofErr w:type="spellEnd"/>
      <w:r w:rsidRPr="00467DB0">
        <w:t xml:space="preserve"> eller ukorrekt anvendte midler og, hvor det er relevant,</w:t>
      </w:r>
      <w:r w:rsidRPr="00467DB0">
        <w:t xml:space="preserve"> vedrørende </w:t>
      </w:r>
      <w:proofErr w:type="spellStart"/>
      <w:r w:rsidRPr="00467DB0">
        <w:t>pålæggelse</w:t>
      </w:r>
      <w:proofErr w:type="spellEnd"/>
      <w:r w:rsidRPr="00467DB0">
        <w:t xml:space="preserve"> </w:t>
      </w:r>
      <w:proofErr w:type="spellStart"/>
      <w:r w:rsidRPr="00467DB0">
        <w:t>af</w:t>
      </w:r>
      <w:proofErr w:type="spellEnd"/>
      <w:r w:rsidRPr="00467DB0">
        <w:t xml:space="preserve"> administrative </w:t>
      </w:r>
      <w:proofErr w:type="spellStart"/>
      <w:r w:rsidRPr="00467DB0">
        <w:t>sanktioner</w:t>
      </w:r>
      <w:proofErr w:type="spellEnd"/>
      <w:r w:rsidRPr="00467DB0">
        <w:t xml:space="preserve">. Navnlig har Det </w:t>
      </w:r>
      <w:proofErr w:type="spellStart"/>
      <w:r w:rsidRPr="00467DB0">
        <w:t>Europæiske</w:t>
      </w:r>
      <w:proofErr w:type="spellEnd"/>
      <w:r w:rsidRPr="00467DB0">
        <w:t xml:space="preserve"> Kontor for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(OLAF) i overensstemmelse med forordning (Euratom, EF) nr. 2185/96 og (EU, Euratom) nr. 883/2013 </w:t>
      </w:r>
      <w:proofErr w:type="spellStart"/>
      <w:r w:rsidRPr="00467DB0">
        <w:t>beføjelse</w:t>
      </w:r>
      <w:proofErr w:type="spellEnd"/>
      <w:r w:rsidRPr="00467DB0">
        <w:t xml:space="preserve"> til at </w:t>
      </w:r>
      <w:proofErr w:type="spellStart"/>
      <w:r w:rsidRPr="00467DB0">
        <w:t>foretage</w:t>
      </w:r>
      <w:proofErr w:type="spellEnd"/>
      <w:r w:rsidRPr="00467DB0">
        <w:t xml:space="preserve"> administrative </w:t>
      </w:r>
      <w:proofErr w:type="spellStart"/>
      <w:r w:rsidRPr="00467DB0">
        <w:t>undersøg</w:t>
      </w:r>
      <w:r w:rsidRPr="00467DB0">
        <w:t>elser</w:t>
      </w:r>
      <w:proofErr w:type="spellEnd"/>
      <w:r w:rsidRPr="00467DB0">
        <w:t xml:space="preserve">, herunder </w:t>
      </w:r>
      <w:proofErr w:type="spellStart"/>
      <w:r w:rsidRPr="00467DB0">
        <w:t>kontrol</w:t>
      </w:r>
      <w:proofErr w:type="spellEnd"/>
      <w:r w:rsidRPr="00467DB0">
        <w:t xml:space="preserve"> og </w:t>
      </w:r>
      <w:proofErr w:type="spellStart"/>
      <w:r w:rsidRPr="00467DB0">
        <w:t>inspektion</w:t>
      </w:r>
      <w:proofErr w:type="spellEnd"/>
      <w:r w:rsidRPr="00467DB0">
        <w:t xml:space="preserve"> på stedet, med </w:t>
      </w:r>
      <w:proofErr w:type="spellStart"/>
      <w:r w:rsidRPr="00467DB0">
        <w:t>henblik</w:t>
      </w:r>
      <w:proofErr w:type="spellEnd"/>
      <w:r w:rsidRPr="00467DB0">
        <w:t xml:space="preserve"> på at fastslå, om der foreligger </w:t>
      </w:r>
      <w:proofErr w:type="spellStart"/>
      <w:r w:rsidRPr="00467DB0">
        <w:t>svig</w:t>
      </w:r>
      <w:proofErr w:type="spellEnd"/>
      <w:r w:rsidRPr="00467DB0">
        <w:t xml:space="preserve">, </w:t>
      </w:r>
      <w:proofErr w:type="spellStart"/>
      <w:r w:rsidRPr="00467DB0">
        <w:t>korruption</w:t>
      </w:r>
      <w:proofErr w:type="spellEnd"/>
      <w:r w:rsidRPr="00467DB0">
        <w:t xml:space="preserve"> eller </w:t>
      </w:r>
      <w:proofErr w:type="gramStart"/>
      <w:r w:rsidRPr="00467DB0">
        <w:t>enhver anden</w:t>
      </w:r>
      <w:proofErr w:type="gramEnd"/>
      <w:r w:rsidRPr="00467DB0">
        <w:t xml:space="preserve"> ulovlig aktivitet, der skader Unionens finansielle interesser. Den </w:t>
      </w:r>
      <w:proofErr w:type="spellStart"/>
      <w:r w:rsidRPr="00467DB0">
        <w:t>Europæiske</w:t>
      </w:r>
      <w:proofErr w:type="spellEnd"/>
      <w:r w:rsidRPr="00467DB0">
        <w:t xml:space="preserve"> </w:t>
      </w:r>
      <w:proofErr w:type="spellStart"/>
      <w:r w:rsidRPr="00467DB0">
        <w:t>Anklagemyndighed</w:t>
      </w:r>
      <w:proofErr w:type="spellEnd"/>
      <w:r w:rsidRPr="00467DB0">
        <w:t xml:space="preserve"> ("EPPO") er i overensstemmelse </w:t>
      </w:r>
      <w:r w:rsidRPr="00467DB0">
        <w:t xml:space="preserve">med forordning (EU) 2017/1939 </w:t>
      </w:r>
      <w:proofErr w:type="spellStart"/>
      <w:r w:rsidRPr="00467DB0">
        <w:t>beføjelse</w:t>
      </w:r>
      <w:proofErr w:type="spellEnd"/>
      <w:r w:rsidRPr="00467DB0">
        <w:t xml:space="preserve"> til at </w:t>
      </w:r>
      <w:proofErr w:type="spellStart"/>
      <w:r w:rsidRPr="00467DB0">
        <w:t>efterforske</w:t>
      </w:r>
      <w:proofErr w:type="spellEnd"/>
      <w:r w:rsidRPr="00467DB0">
        <w:t xml:space="preserve"> og </w:t>
      </w:r>
      <w:proofErr w:type="spellStart"/>
      <w:r w:rsidRPr="00467DB0">
        <w:t>retsforfølge</w:t>
      </w:r>
      <w:proofErr w:type="spellEnd"/>
      <w:r w:rsidRPr="00467DB0">
        <w:t xml:space="preserve"> </w:t>
      </w:r>
      <w:proofErr w:type="spellStart"/>
      <w:r w:rsidRPr="00467DB0">
        <w:t>strafbare</w:t>
      </w:r>
      <w:proofErr w:type="spellEnd"/>
      <w:r w:rsidRPr="00467DB0">
        <w:t xml:space="preserve"> handlinger til skade for Unionens finansielle interesser, som </w:t>
      </w:r>
      <w:proofErr w:type="spellStart"/>
      <w:r w:rsidRPr="00467DB0">
        <w:t>fastsat</w:t>
      </w:r>
      <w:proofErr w:type="spellEnd"/>
      <w:r w:rsidRPr="00467DB0">
        <w:t xml:space="preserve"> i Europa-Parlamentets og Rådets direktiv (EU) 2017/1371</w:t>
      </w:r>
      <w:r w:rsidRPr="00467DB0">
        <w:rPr>
          <w:rStyle w:val="Fotnotereferanse"/>
        </w:rPr>
        <w:footnoteReference w:id="15"/>
      </w:r>
      <w:r w:rsidRPr="00467DB0">
        <w:t>.</w:t>
      </w:r>
    </w:p>
    <w:p w14:paraId="3D59ACEC" w14:textId="77777777" w:rsidR="00000000" w:rsidRPr="00467DB0" w:rsidRDefault="00693D67" w:rsidP="00467DB0">
      <w:pPr>
        <w:pStyle w:val="Listeavsnitt"/>
      </w:pPr>
      <w:r w:rsidRPr="00467DB0">
        <w:t xml:space="preserve">I overensstemmelse med finansforordningen skal enhver person eller </w:t>
      </w:r>
      <w:proofErr w:type="spellStart"/>
      <w:r w:rsidRPr="00467DB0">
        <w:t>enhed</w:t>
      </w:r>
      <w:proofErr w:type="spellEnd"/>
      <w:r w:rsidRPr="00467DB0">
        <w:t xml:space="preserve">, som </w:t>
      </w:r>
      <w:proofErr w:type="spellStart"/>
      <w:r w:rsidRPr="00467DB0">
        <w:t>modtager</w:t>
      </w:r>
      <w:proofErr w:type="spellEnd"/>
      <w:r w:rsidRPr="00467DB0">
        <w:t xml:space="preserve"> EU-midler, </w:t>
      </w:r>
      <w:proofErr w:type="spellStart"/>
      <w:r w:rsidRPr="00467DB0">
        <w:t>sa</w:t>
      </w:r>
      <w:r w:rsidRPr="00467DB0">
        <w:t>marbejde</w:t>
      </w:r>
      <w:proofErr w:type="spellEnd"/>
      <w:r w:rsidRPr="00467DB0">
        <w:t xml:space="preserve"> </w:t>
      </w:r>
      <w:proofErr w:type="spellStart"/>
      <w:r w:rsidRPr="00467DB0">
        <w:t>fuldt</w:t>
      </w:r>
      <w:proofErr w:type="spellEnd"/>
      <w:r w:rsidRPr="00467DB0">
        <w:t xml:space="preserve"> </w:t>
      </w:r>
      <w:proofErr w:type="spellStart"/>
      <w:r w:rsidRPr="00467DB0">
        <w:t>ud</w:t>
      </w:r>
      <w:proofErr w:type="spellEnd"/>
      <w:r w:rsidRPr="00467DB0">
        <w:t xml:space="preserve"> om beskyttelse </w:t>
      </w:r>
      <w:proofErr w:type="spellStart"/>
      <w:r w:rsidRPr="00467DB0">
        <w:t>af</w:t>
      </w:r>
      <w:proofErr w:type="spellEnd"/>
      <w:r w:rsidRPr="00467DB0">
        <w:t xml:space="preserve"> Unionens finansielle interesser, </w:t>
      </w:r>
      <w:proofErr w:type="spellStart"/>
      <w:r w:rsidRPr="00467DB0">
        <w:t>give</w:t>
      </w:r>
      <w:proofErr w:type="spellEnd"/>
      <w:r w:rsidRPr="00467DB0">
        <w:t xml:space="preserve"> </w:t>
      </w:r>
      <w:proofErr w:type="spellStart"/>
      <w:r w:rsidRPr="00467DB0">
        <w:t>Kommissionen</w:t>
      </w:r>
      <w:proofErr w:type="spellEnd"/>
      <w:r w:rsidRPr="00467DB0">
        <w:t xml:space="preserve">, OLAF, </w:t>
      </w:r>
      <w:proofErr w:type="spellStart"/>
      <w:r w:rsidRPr="00467DB0">
        <w:t>Revisionsretten</w:t>
      </w:r>
      <w:proofErr w:type="spellEnd"/>
      <w:r w:rsidRPr="00467DB0">
        <w:t xml:space="preserve"> og, for så vidt angår de medlemsstater, der deltager i et </w:t>
      </w:r>
      <w:proofErr w:type="spellStart"/>
      <w:r w:rsidRPr="00467DB0">
        <w:t>forstærket</w:t>
      </w:r>
      <w:proofErr w:type="spellEnd"/>
      <w:r w:rsidRPr="00467DB0">
        <w:t xml:space="preserve"> </w:t>
      </w:r>
      <w:proofErr w:type="spellStart"/>
      <w:r w:rsidRPr="00467DB0">
        <w:t>samarbejde</w:t>
      </w:r>
      <w:proofErr w:type="spellEnd"/>
      <w:r w:rsidRPr="00467DB0">
        <w:t xml:space="preserve"> i henhold til forordning (EU) 2017/39, EPPO de fornødne </w:t>
      </w:r>
      <w:proofErr w:type="spellStart"/>
      <w:r w:rsidRPr="00467DB0">
        <w:t>rettighede</w:t>
      </w:r>
      <w:r w:rsidRPr="00467DB0">
        <w:t>r</w:t>
      </w:r>
      <w:proofErr w:type="spellEnd"/>
      <w:r w:rsidRPr="00467DB0">
        <w:t xml:space="preserve"> og den fornødne adgang og sikre, at eventuelle tredjeparter, der er </w:t>
      </w:r>
      <w:proofErr w:type="spellStart"/>
      <w:r w:rsidRPr="00467DB0">
        <w:t>involveret</w:t>
      </w:r>
      <w:proofErr w:type="spellEnd"/>
      <w:r w:rsidRPr="00467DB0">
        <w:t xml:space="preserve"> i </w:t>
      </w:r>
      <w:proofErr w:type="spellStart"/>
      <w:r w:rsidRPr="00467DB0">
        <w:t>gennemførelsen</w:t>
      </w:r>
      <w:proofErr w:type="spellEnd"/>
      <w:r w:rsidRPr="00467DB0">
        <w:t xml:space="preserve"> </w:t>
      </w:r>
      <w:proofErr w:type="spellStart"/>
      <w:r w:rsidRPr="00467DB0">
        <w:t>af</w:t>
      </w:r>
      <w:proofErr w:type="spellEnd"/>
      <w:r w:rsidRPr="00467DB0">
        <w:t xml:space="preserve"> EU-midler, tildeler tilsvarende </w:t>
      </w:r>
      <w:proofErr w:type="spellStart"/>
      <w:r w:rsidRPr="00467DB0">
        <w:t>rettigheder</w:t>
      </w:r>
      <w:proofErr w:type="spellEnd"/>
      <w:r w:rsidRPr="00467DB0">
        <w:t>.</w:t>
      </w:r>
    </w:p>
    <w:p w14:paraId="344B9CB9" w14:textId="77777777" w:rsidR="00000000" w:rsidRPr="00467DB0" w:rsidRDefault="00693D67" w:rsidP="00467DB0">
      <w:pPr>
        <w:pStyle w:val="friliste"/>
      </w:pPr>
      <w:r w:rsidRPr="00467DB0">
        <w:t>(38)</w:t>
      </w:r>
      <w:r w:rsidRPr="00467DB0">
        <w:tab/>
        <w:t xml:space="preserve">Medlemmer </w:t>
      </w:r>
      <w:proofErr w:type="spellStart"/>
      <w:r w:rsidRPr="00467DB0">
        <w:t>af</w:t>
      </w:r>
      <w:proofErr w:type="spellEnd"/>
      <w:r w:rsidRPr="00467DB0">
        <w:t xml:space="preserve"> Den </w:t>
      </w:r>
      <w:proofErr w:type="spellStart"/>
      <w:r w:rsidRPr="00467DB0">
        <w:t>Europæiske</w:t>
      </w:r>
      <w:proofErr w:type="spellEnd"/>
      <w:r w:rsidRPr="00467DB0">
        <w:t xml:space="preserve"> Frihandelssammenslutning (EFTA), som er medlemmer </w:t>
      </w:r>
      <w:proofErr w:type="spellStart"/>
      <w:r w:rsidRPr="00467DB0">
        <w:t>af</w:t>
      </w:r>
      <w:proofErr w:type="spellEnd"/>
      <w:r w:rsidRPr="00467DB0">
        <w:t xml:space="preserve"> Det </w:t>
      </w:r>
      <w:proofErr w:type="spellStart"/>
      <w:r w:rsidRPr="00467DB0">
        <w:t>Europæiske</w:t>
      </w:r>
      <w:proofErr w:type="spellEnd"/>
      <w:r w:rsidRPr="00467DB0">
        <w:t xml:space="preserve"> Økonomisk</w:t>
      </w:r>
      <w:r w:rsidRPr="00467DB0">
        <w:t xml:space="preserve">e </w:t>
      </w:r>
      <w:proofErr w:type="spellStart"/>
      <w:r w:rsidRPr="00467DB0">
        <w:t>Samarbejdsområde</w:t>
      </w:r>
      <w:proofErr w:type="spellEnd"/>
      <w:r w:rsidRPr="00467DB0">
        <w:t xml:space="preserve"> (EØS), </w:t>
      </w:r>
      <w:proofErr w:type="spellStart"/>
      <w:r w:rsidRPr="00467DB0">
        <w:t>tiltrædende</w:t>
      </w:r>
      <w:proofErr w:type="spellEnd"/>
      <w:r w:rsidRPr="00467DB0">
        <w:t xml:space="preserve"> lande, </w:t>
      </w:r>
      <w:proofErr w:type="spellStart"/>
      <w:r w:rsidRPr="00467DB0">
        <w:t>kandidatlande</w:t>
      </w:r>
      <w:proofErr w:type="spellEnd"/>
      <w:r w:rsidRPr="00467DB0">
        <w:t xml:space="preserve"> og </w:t>
      </w:r>
      <w:proofErr w:type="spellStart"/>
      <w:r w:rsidRPr="00467DB0">
        <w:t>potentielle</w:t>
      </w:r>
      <w:proofErr w:type="spellEnd"/>
      <w:r w:rsidRPr="00467DB0">
        <w:t xml:space="preserve"> </w:t>
      </w:r>
      <w:proofErr w:type="spellStart"/>
      <w:r w:rsidRPr="00467DB0">
        <w:t>kandidatlande</w:t>
      </w:r>
      <w:proofErr w:type="spellEnd"/>
      <w:r w:rsidRPr="00467DB0">
        <w:t xml:space="preserve"> samt den </w:t>
      </w:r>
      <w:proofErr w:type="spellStart"/>
      <w:r w:rsidRPr="00467DB0">
        <w:t>europæiske</w:t>
      </w:r>
      <w:proofErr w:type="spellEnd"/>
      <w:r w:rsidRPr="00467DB0">
        <w:t xml:space="preserve"> </w:t>
      </w:r>
      <w:proofErr w:type="spellStart"/>
      <w:r w:rsidRPr="00467DB0">
        <w:t>naboskabspolitik</w:t>
      </w:r>
      <w:proofErr w:type="spellEnd"/>
      <w:r w:rsidRPr="00467DB0">
        <w:t xml:space="preserve"> kan </w:t>
      </w:r>
      <w:proofErr w:type="spellStart"/>
      <w:r w:rsidRPr="00467DB0">
        <w:t>deltage</w:t>
      </w:r>
      <w:proofErr w:type="spellEnd"/>
      <w:r w:rsidRPr="00467DB0">
        <w:t xml:space="preserve"> i programmet med </w:t>
      </w:r>
      <w:proofErr w:type="spellStart"/>
      <w:r w:rsidRPr="00467DB0">
        <w:t>undtagelse</w:t>
      </w:r>
      <w:proofErr w:type="spellEnd"/>
      <w:r w:rsidRPr="00467DB0">
        <w:t xml:space="preserve"> </w:t>
      </w:r>
      <w:proofErr w:type="spellStart"/>
      <w:r w:rsidRPr="00467DB0">
        <w:t>af</w:t>
      </w:r>
      <w:proofErr w:type="spellEnd"/>
      <w:r w:rsidRPr="00467DB0">
        <w:t xml:space="preserve"> Galileo, EGNOS, GOVSATCOM og </w:t>
      </w:r>
      <w:proofErr w:type="spellStart"/>
      <w:r w:rsidRPr="00467DB0">
        <w:t>SSTdelkomponenten</w:t>
      </w:r>
      <w:proofErr w:type="spellEnd"/>
      <w:r w:rsidRPr="00467DB0">
        <w:t xml:space="preserve"> i overensstemmelse med deres respektive </w:t>
      </w:r>
      <w:proofErr w:type="spellStart"/>
      <w:r w:rsidRPr="00467DB0">
        <w:t>a</w:t>
      </w:r>
      <w:r w:rsidRPr="00467DB0">
        <w:t>ftaler</w:t>
      </w:r>
      <w:proofErr w:type="spellEnd"/>
      <w:r w:rsidRPr="00467DB0">
        <w:t xml:space="preserve">. Andre </w:t>
      </w:r>
      <w:proofErr w:type="spellStart"/>
      <w:r w:rsidRPr="00467DB0">
        <w:t>tredjelande</w:t>
      </w:r>
      <w:proofErr w:type="spellEnd"/>
      <w:r w:rsidRPr="00467DB0">
        <w:t xml:space="preserve"> kan også </w:t>
      </w:r>
      <w:proofErr w:type="spellStart"/>
      <w:r w:rsidRPr="00467DB0">
        <w:t>deltage</w:t>
      </w:r>
      <w:proofErr w:type="spellEnd"/>
      <w:r w:rsidRPr="00467DB0">
        <w:t xml:space="preserve"> i programmet med </w:t>
      </w:r>
      <w:proofErr w:type="spellStart"/>
      <w:r w:rsidRPr="00467DB0">
        <w:t>undtagelse</w:t>
      </w:r>
      <w:proofErr w:type="spellEnd"/>
      <w:r w:rsidRPr="00467DB0">
        <w:t xml:space="preserve"> </w:t>
      </w:r>
      <w:proofErr w:type="spellStart"/>
      <w:r w:rsidRPr="00467DB0">
        <w:t>af</w:t>
      </w:r>
      <w:proofErr w:type="spellEnd"/>
      <w:r w:rsidRPr="00467DB0">
        <w:t xml:space="preserve"> Galileo, EGNOS, GOVSATCOM og SST delkomponenten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aftale</w:t>
      </w:r>
      <w:proofErr w:type="spellEnd"/>
      <w:r w:rsidRPr="00467DB0">
        <w:t xml:space="preserve">, der </w:t>
      </w:r>
      <w:proofErr w:type="spellStart"/>
      <w:r w:rsidRPr="00467DB0">
        <w:t>indgås</w:t>
      </w:r>
      <w:proofErr w:type="spellEnd"/>
      <w:r w:rsidRPr="00467DB0">
        <w:t xml:space="preserve"> i overensstemmelse med </w:t>
      </w:r>
      <w:proofErr w:type="spellStart"/>
      <w:r w:rsidRPr="00467DB0">
        <w:t>artikel</w:t>
      </w:r>
      <w:proofErr w:type="spellEnd"/>
      <w:r w:rsidRPr="00467DB0">
        <w:t xml:space="preserve"> 218 i TEUF. Galileo og EGNOS bør være </w:t>
      </w:r>
      <w:proofErr w:type="spellStart"/>
      <w:r w:rsidRPr="00467DB0">
        <w:t>åbne</w:t>
      </w:r>
      <w:proofErr w:type="spellEnd"/>
      <w:r w:rsidRPr="00467DB0">
        <w:t xml:space="preserve"> for deltagelse </w:t>
      </w:r>
      <w:proofErr w:type="spellStart"/>
      <w:r w:rsidRPr="00467DB0">
        <w:t>af</w:t>
      </w:r>
      <w:proofErr w:type="spellEnd"/>
      <w:r w:rsidRPr="00467DB0">
        <w:t xml:space="preserve"> EFTA-</w:t>
      </w:r>
      <w:r w:rsidRPr="00467DB0">
        <w:t xml:space="preserve">medlemmer, som er medlem </w:t>
      </w:r>
      <w:proofErr w:type="spellStart"/>
      <w:r w:rsidRPr="00467DB0">
        <w:t>af</w:t>
      </w:r>
      <w:proofErr w:type="spellEnd"/>
      <w:r w:rsidRPr="00467DB0">
        <w:t xml:space="preserve"> EØS, jf. </w:t>
      </w:r>
      <w:proofErr w:type="spellStart"/>
      <w:r w:rsidRPr="00467DB0">
        <w:t>betingelserne</w:t>
      </w:r>
      <w:proofErr w:type="spellEnd"/>
      <w:r w:rsidRPr="00467DB0">
        <w:t xml:space="preserve"> i </w:t>
      </w:r>
      <w:proofErr w:type="spellStart"/>
      <w:r w:rsidRPr="00467DB0">
        <w:t>aftalen</w:t>
      </w:r>
      <w:proofErr w:type="spellEnd"/>
      <w:r w:rsidRPr="00467DB0">
        <w:t xml:space="preserve"> om Det </w:t>
      </w:r>
      <w:proofErr w:type="spellStart"/>
      <w:r w:rsidRPr="00467DB0">
        <w:t>Europæiske</w:t>
      </w:r>
      <w:proofErr w:type="spellEnd"/>
      <w:r w:rsidRPr="00467DB0">
        <w:t xml:space="preserve"> Økonomiske </w:t>
      </w:r>
      <w:proofErr w:type="spellStart"/>
      <w:r w:rsidRPr="00467DB0">
        <w:t>Samarbejdsområde</w:t>
      </w:r>
      <w:proofErr w:type="spellEnd"/>
      <w:r w:rsidRPr="00467DB0">
        <w:rPr>
          <w:rStyle w:val="Fotnotereferanse"/>
        </w:rPr>
        <w:footnoteReference w:id="16"/>
      </w:r>
      <w:r w:rsidRPr="00467DB0">
        <w:t xml:space="preserve">. Andre </w:t>
      </w:r>
      <w:proofErr w:type="spellStart"/>
      <w:r w:rsidRPr="00467DB0">
        <w:t>tredjelande</w:t>
      </w:r>
      <w:proofErr w:type="spellEnd"/>
      <w:r w:rsidRPr="00467DB0">
        <w:t xml:space="preserve"> kan </w:t>
      </w:r>
      <w:proofErr w:type="spellStart"/>
      <w:r w:rsidRPr="00467DB0">
        <w:t>deltage</w:t>
      </w:r>
      <w:proofErr w:type="spellEnd"/>
      <w:r w:rsidRPr="00467DB0">
        <w:t xml:space="preserve"> i Galileo og EGNOS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aftale</w:t>
      </w:r>
      <w:proofErr w:type="spellEnd"/>
      <w:r w:rsidRPr="00467DB0">
        <w:t xml:space="preserve">, der </w:t>
      </w:r>
      <w:proofErr w:type="spellStart"/>
      <w:r w:rsidRPr="00467DB0">
        <w:t>indgås</w:t>
      </w:r>
      <w:proofErr w:type="spellEnd"/>
      <w:r w:rsidRPr="00467DB0">
        <w:t xml:space="preserve"> i overensstemmelse med </w:t>
      </w:r>
      <w:proofErr w:type="spellStart"/>
      <w:r w:rsidRPr="00467DB0">
        <w:t>artikel</w:t>
      </w:r>
      <w:proofErr w:type="spellEnd"/>
      <w:r w:rsidRPr="00467DB0">
        <w:t xml:space="preserve"> 2</w:t>
      </w:r>
      <w:r w:rsidRPr="00467DB0">
        <w:t xml:space="preserve">18 i TEUF. GOVSATCOM bør kun være </w:t>
      </w:r>
      <w:proofErr w:type="spellStart"/>
      <w:r w:rsidRPr="00467DB0">
        <w:t>åben</w:t>
      </w:r>
      <w:proofErr w:type="spellEnd"/>
      <w:r w:rsidRPr="00467DB0">
        <w:t xml:space="preserve"> for </w:t>
      </w:r>
      <w:proofErr w:type="spellStart"/>
      <w:r w:rsidRPr="00467DB0">
        <w:t>tredjelande</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aftale</w:t>
      </w:r>
      <w:proofErr w:type="spellEnd"/>
      <w:r w:rsidRPr="00467DB0">
        <w:t xml:space="preserve">, der </w:t>
      </w:r>
      <w:proofErr w:type="spellStart"/>
      <w:r w:rsidRPr="00467DB0">
        <w:t>indgås</w:t>
      </w:r>
      <w:proofErr w:type="spellEnd"/>
      <w:r w:rsidRPr="00467DB0">
        <w:t xml:space="preserve"> i overensstemmelse med </w:t>
      </w:r>
      <w:proofErr w:type="spellStart"/>
      <w:r w:rsidRPr="00467DB0">
        <w:t>artikel</w:t>
      </w:r>
      <w:proofErr w:type="spellEnd"/>
      <w:r w:rsidRPr="00467DB0">
        <w:t xml:space="preserve"> 218 i TEUF.</w:t>
      </w:r>
    </w:p>
    <w:p w14:paraId="53C82785" w14:textId="77777777" w:rsidR="00000000" w:rsidRPr="00467DB0" w:rsidRDefault="00693D67" w:rsidP="00467DB0">
      <w:pPr>
        <w:pStyle w:val="friliste"/>
      </w:pPr>
      <w:r w:rsidRPr="00467DB0">
        <w:t>(39)</w:t>
      </w:r>
      <w:r w:rsidRPr="00467DB0">
        <w:tab/>
        <w:t xml:space="preserve">Der bør </w:t>
      </w:r>
      <w:proofErr w:type="spellStart"/>
      <w:r w:rsidRPr="00467DB0">
        <w:t>indsættes</w:t>
      </w:r>
      <w:proofErr w:type="spellEnd"/>
      <w:r w:rsidRPr="00467DB0">
        <w:t xml:space="preserve"> en særlig bestemmelse i denne forordning, som </w:t>
      </w:r>
      <w:proofErr w:type="spellStart"/>
      <w:r w:rsidRPr="00467DB0">
        <w:t>kræver</w:t>
      </w:r>
      <w:proofErr w:type="spellEnd"/>
      <w:r w:rsidRPr="00467DB0">
        <w:t xml:space="preserve">, at </w:t>
      </w:r>
      <w:proofErr w:type="spellStart"/>
      <w:r w:rsidRPr="00467DB0">
        <w:t>tredjelande</w:t>
      </w:r>
      <w:proofErr w:type="spellEnd"/>
      <w:r w:rsidRPr="00467DB0">
        <w:t xml:space="preserve"> tildeler den ansvarlige anvis</w:t>
      </w:r>
      <w:r w:rsidRPr="00467DB0">
        <w:t xml:space="preserve">ningsberettigede, OLAF og </w:t>
      </w:r>
      <w:proofErr w:type="spellStart"/>
      <w:r w:rsidRPr="00467DB0">
        <w:t>Revisionsretten</w:t>
      </w:r>
      <w:proofErr w:type="spellEnd"/>
      <w:r w:rsidRPr="00467DB0">
        <w:t xml:space="preserve"> de fornødne </w:t>
      </w:r>
      <w:proofErr w:type="spellStart"/>
      <w:r w:rsidRPr="00467DB0">
        <w:t>rettigheder</w:t>
      </w:r>
      <w:proofErr w:type="spellEnd"/>
      <w:r w:rsidRPr="00467DB0">
        <w:t xml:space="preserve"> og den fornødne adgang, </w:t>
      </w:r>
      <w:proofErr w:type="gramStart"/>
      <w:r w:rsidRPr="00467DB0">
        <w:t>således</w:t>
      </w:r>
      <w:proofErr w:type="gramEnd"/>
      <w:r w:rsidRPr="00467DB0">
        <w:t xml:space="preserve"> at de </w:t>
      </w:r>
      <w:proofErr w:type="spellStart"/>
      <w:r w:rsidRPr="00467DB0">
        <w:t>fuldt</w:t>
      </w:r>
      <w:proofErr w:type="spellEnd"/>
      <w:r w:rsidRPr="00467DB0">
        <w:t xml:space="preserve"> </w:t>
      </w:r>
      <w:proofErr w:type="spellStart"/>
      <w:r w:rsidRPr="00467DB0">
        <w:t>ud</w:t>
      </w:r>
      <w:proofErr w:type="spellEnd"/>
      <w:r w:rsidRPr="00467DB0">
        <w:t xml:space="preserve"> kan udøve deres respektive </w:t>
      </w:r>
      <w:proofErr w:type="spellStart"/>
      <w:r w:rsidRPr="00467DB0">
        <w:t>beføjelser</w:t>
      </w:r>
      <w:proofErr w:type="spellEnd"/>
      <w:r w:rsidRPr="00467DB0">
        <w:t>.</w:t>
      </w:r>
    </w:p>
    <w:p w14:paraId="40A0E9A4" w14:textId="77777777" w:rsidR="00000000" w:rsidRPr="00467DB0" w:rsidRDefault="00693D67" w:rsidP="00467DB0">
      <w:pPr>
        <w:pStyle w:val="friliste"/>
      </w:pPr>
      <w:r w:rsidRPr="00467DB0">
        <w:lastRenderedPageBreak/>
        <w:t>(40)</w:t>
      </w:r>
      <w:r w:rsidRPr="00467DB0">
        <w:tab/>
      </w:r>
      <w:proofErr w:type="spellStart"/>
      <w:r w:rsidRPr="00467DB0">
        <w:t>Internationale</w:t>
      </w:r>
      <w:proofErr w:type="spellEnd"/>
      <w:r w:rsidRPr="00467DB0">
        <w:t xml:space="preserve"> </w:t>
      </w:r>
      <w:proofErr w:type="spellStart"/>
      <w:r w:rsidRPr="00467DB0">
        <w:t>organisationer</w:t>
      </w:r>
      <w:proofErr w:type="spellEnd"/>
      <w:r w:rsidRPr="00467DB0">
        <w:t>, som ikke har hjemsted i Unionen, og som ønsker adgang til SST-tjenes</w:t>
      </w:r>
      <w:r w:rsidRPr="00467DB0">
        <w:t xml:space="preserve">ter, som ikke er </w:t>
      </w:r>
      <w:proofErr w:type="spellStart"/>
      <w:r w:rsidRPr="00467DB0">
        <w:t>offentligt</w:t>
      </w:r>
      <w:proofErr w:type="spellEnd"/>
      <w:r w:rsidRPr="00467DB0">
        <w:t xml:space="preserve"> </w:t>
      </w:r>
      <w:proofErr w:type="spellStart"/>
      <w:r w:rsidRPr="00467DB0">
        <w:t>tilgængelige</w:t>
      </w:r>
      <w:proofErr w:type="spellEnd"/>
      <w:r w:rsidRPr="00467DB0">
        <w:t xml:space="preserve">, bør skulle </w:t>
      </w:r>
      <w:proofErr w:type="spellStart"/>
      <w:r w:rsidRPr="00467DB0">
        <w:t>indgå</w:t>
      </w:r>
      <w:proofErr w:type="spellEnd"/>
      <w:r w:rsidRPr="00467DB0">
        <w:t xml:space="preserve"> en </w:t>
      </w:r>
      <w:proofErr w:type="spellStart"/>
      <w:r w:rsidRPr="00467DB0">
        <w:t>aftale</w:t>
      </w:r>
      <w:proofErr w:type="spellEnd"/>
      <w:r w:rsidRPr="00467DB0">
        <w:t xml:space="preserve"> i overensstemmelse med </w:t>
      </w:r>
      <w:proofErr w:type="spellStart"/>
      <w:r w:rsidRPr="00467DB0">
        <w:t>artikel</w:t>
      </w:r>
      <w:proofErr w:type="spellEnd"/>
      <w:r w:rsidRPr="00467DB0">
        <w:t xml:space="preserve"> 218 i TEUF. </w:t>
      </w:r>
      <w:proofErr w:type="spellStart"/>
      <w:r w:rsidRPr="00467DB0">
        <w:t>Internationale</w:t>
      </w:r>
      <w:proofErr w:type="spellEnd"/>
      <w:r w:rsidRPr="00467DB0">
        <w:t xml:space="preserve"> </w:t>
      </w:r>
      <w:proofErr w:type="spellStart"/>
      <w:r w:rsidRPr="00467DB0">
        <w:t>organisationer</w:t>
      </w:r>
      <w:proofErr w:type="spellEnd"/>
      <w:r w:rsidRPr="00467DB0">
        <w:t xml:space="preserve">, der har hjemsted i Unionen, og som er offentlige </w:t>
      </w:r>
      <w:proofErr w:type="spellStart"/>
      <w:r w:rsidRPr="00467DB0">
        <w:t>ejere</w:t>
      </w:r>
      <w:proofErr w:type="spellEnd"/>
      <w:r w:rsidRPr="00467DB0">
        <w:t xml:space="preserve"> og operatører </w:t>
      </w:r>
      <w:proofErr w:type="spellStart"/>
      <w:r w:rsidRPr="00467DB0">
        <w:t>af</w:t>
      </w:r>
      <w:proofErr w:type="spellEnd"/>
      <w:r w:rsidRPr="00467DB0">
        <w:t xml:space="preserve"> </w:t>
      </w:r>
      <w:proofErr w:type="spellStart"/>
      <w:r w:rsidRPr="00467DB0">
        <w:t>rumfartøjer</w:t>
      </w:r>
      <w:proofErr w:type="spellEnd"/>
      <w:r w:rsidRPr="00467DB0">
        <w:t xml:space="preserve">, bør </w:t>
      </w:r>
      <w:proofErr w:type="spellStart"/>
      <w:r w:rsidRPr="00467DB0">
        <w:t>betragtes</w:t>
      </w:r>
      <w:proofErr w:type="spellEnd"/>
      <w:r w:rsidRPr="00467DB0">
        <w:t xml:space="preserve"> som SST-</w:t>
      </w:r>
      <w:proofErr w:type="spellStart"/>
      <w:r w:rsidRPr="00467DB0">
        <w:t>kerneb</w:t>
      </w:r>
      <w:r w:rsidRPr="00467DB0">
        <w:t>rugere</w:t>
      </w:r>
      <w:proofErr w:type="spellEnd"/>
      <w:r w:rsidRPr="00467DB0">
        <w:t>.</w:t>
      </w:r>
    </w:p>
    <w:p w14:paraId="783007A0" w14:textId="77777777" w:rsidR="00000000" w:rsidRPr="00467DB0" w:rsidRDefault="00693D67" w:rsidP="00467DB0">
      <w:pPr>
        <w:pStyle w:val="friliste"/>
      </w:pPr>
      <w:r w:rsidRPr="00467DB0">
        <w:t>(41)</w:t>
      </w:r>
      <w:r w:rsidRPr="00467DB0">
        <w:tab/>
        <w:t xml:space="preserve">Ved </w:t>
      </w:r>
      <w:proofErr w:type="spellStart"/>
      <w:r w:rsidRPr="00467DB0">
        <w:t>offentligt</w:t>
      </w:r>
      <w:proofErr w:type="spellEnd"/>
      <w:r w:rsidRPr="00467DB0">
        <w:t xml:space="preserve"> </w:t>
      </w:r>
      <w:proofErr w:type="spellStart"/>
      <w:r w:rsidRPr="00467DB0">
        <w:t>tilgængelige</w:t>
      </w:r>
      <w:proofErr w:type="spellEnd"/>
      <w:r w:rsidRPr="00467DB0">
        <w:t xml:space="preserve"> </w:t>
      </w:r>
      <w:proofErr w:type="spellStart"/>
      <w:r w:rsidRPr="00467DB0">
        <w:t>informationer</w:t>
      </w:r>
      <w:proofErr w:type="spellEnd"/>
      <w:r w:rsidRPr="00467DB0">
        <w:t xml:space="preserve"> med </w:t>
      </w:r>
      <w:proofErr w:type="spellStart"/>
      <w:r w:rsidRPr="00467DB0">
        <w:t>henblik</w:t>
      </w:r>
      <w:proofErr w:type="spellEnd"/>
      <w:r w:rsidRPr="00467DB0">
        <w:t xml:space="preserve"> på SST-tjenester bør forstås alle </w:t>
      </w:r>
      <w:proofErr w:type="spellStart"/>
      <w:r w:rsidRPr="00467DB0">
        <w:t>informationer</w:t>
      </w:r>
      <w:proofErr w:type="spellEnd"/>
      <w:r w:rsidRPr="00467DB0">
        <w:t xml:space="preserve">, som en </w:t>
      </w:r>
      <w:proofErr w:type="spellStart"/>
      <w:r w:rsidRPr="00467DB0">
        <w:t>bruger</w:t>
      </w:r>
      <w:proofErr w:type="spellEnd"/>
      <w:r w:rsidRPr="00467DB0">
        <w:t xml:space="preserve"> har et </w:t>
      </w:r>
      <w:proofErr w:type="spellStart"/>
      <w:r w:rsidRPr="00467DB0">
        <w:t>rimeligt</w:t>
      </w:r>
      <w:proofErr w:type="spellEnd"/>
      <w:r w:rsidRPr="00467DB0">
        <w:t xml:space="preserve"> </w:t>
      </w:r>
      <w:proofErr w:type="spellStart"/>
      <w:r w:rsidRPr="00467DB0">
        <w:t>grundlag</w:t>
      </w:r>
      <w:proofErr w:type="spellEnd"/>
      <w:r w:rsidRPr="00467DB0">
        <w:t xml:space="preserve"> for at </w:t>
      </w:r>
      <w:proofErr w:type="spellStart"/>
      <w:r w:rsidRPr="00467DB0">
        <w:t>finde</w:t>
      </w:r>
      <w:proofErr w:type="spellEnd"/>
      <w:r w:rsidRPr="00467DB0">
        <w:t xml:space="preserve"> </w:t>
      </w:r>
      <w:proofErr w:type="spellStart"/>
      <w:r w:rsidRPr="00467DB0">
        <w:t>lovligt</w:t>
      </w:r>
      <w:proofErr w:type="spellEnd"/>
      <w:r w:rsidRPr="00467DB0">
        <w:t xml:space="preserve"> </w:t>
      </w:r>
      <w:proofErr w:type="spellStart"/>
      <w:r w:rsidRPr="00467DB0">
        <w:t>tilgængelige</w:t>
      </w:r>
      <w:proofErr w:type="spellEnd"/>
      <w:r w:rsidRPr="00467DB0">
        <w:t xml:space="preserve">. SST-tjenester </w:t>
      </w:r>
      <w:proofErr w:type="gramStart"/>
      <w:r w:rsidRPr="00467DB0">
        <w:t>vedrørende</w:t>
      </w:r>
      <w:proofErr w:type="gramEnd"/>
      <w:r w:rsidRPr="00467DB0">
        <w:t xml:space="preserve"> kollisionsforebyggelse, </w:t>
      </w:r>
      <w:proofErr w:type="spellStart"/>
      <w:r w:rsidRPr="00467DB0">
        <w:t>genindtrængen</w:t>
      </w:r>
      <w:proofErr w:type="spellEnd"/>
      <w:r w:rsidRPr="00467DB0">
        <w:t xml:space="preserve"> og </w:t>
      </w:r>
      <w:r w:rsidRPr="00467DB0">
        <w:t xml:space="preserve">fragmentering er </w:t>
      </w:r>
      <w:proofErr w:type="spellStart"/>
      <w:r w:rsidRPr="00467DB0">
        <w:t>baseret</w:t>
      </w:r>
      <w:proofErr w:type="spellEnd"/>
      <w:r w:rsidRPr="00467DB0">
        <w:t xml:space="preserve"> på eksterne </w:t>
      </w:r>
      <w:proofErr w:type="spellStart"/>
      <w:r w:rsidRPr="00467DB0">
        <w:t>offentligt</w:t>
      </w:r>
      <w:proofErr w:type="spellEnd"/>
      <w:r w:rsidRPr="00467DB0">
        <w:t xml:space="preserve"> </w:t>
      </w:r>
      <w:proofErr w:type="spellStart"/>
      <w:r w:rsidRPr="00467DB0">
        <w:t>tilgængelige</w:t>
      </w:r>
      <w:proofErr w:type="spellEnd"/>
      <w:r w:rsidRPr="00467DB0">
        <w:t xml:space="preserve"> SST-</w:t>
      </w:r>
      <w:proofErr w:type="spellStart"/>
      <w:r w:rsidRPr="00467DB0">
        <w:t>informationer</w:t>
      </w:r>
      <w:proofErr w:type="spellEnd"/>
      <w:r w:rsidRPr="00467DB0">
        <w:t xml:space="preserve">, som er </w:t>
      </w:r>
      <w:proofErr w:type="spellStart"/>
      <w:r w:rsidRPr="00467DB0">
        <w:t>tilgængelige</w:t>
      </w:r>
      <w:proofErr w:type="spellEnd"/>
      <w:r w:rsidRPr="00467DB0">
        <w:t xml:space="preserve"> efter en anmodning om adgang. Som følge </w:t>
      </w:r>
      <w:proofErr w:type="spellStart"/>
      <w:r w:rsidRPr="00467DB0">
        <w:t>heraf</w:t>
      </w:r>
      <w:proofErr w:type="spellEnd"/>
      <w:r w:rsidRPr="00467DB0">
        <w:t xml:space="preserve"> bør SST-tjenester </w:t>
      </w:r>
      <w:proofErr w:type="gramStart"/>
      <w:r w:rsidRPr="00467DB0">
        <w:t>vedrørende</w:t>
      </w:r>
      <w:proofErr w:type="gramEnd"/>
      <w:r w:rsidRPr="00467DB0">
        <w:t xml:space="preserve"> kollisionsforebyggelse, </w:t>
      </w:r>
      <w:proofErr w:type="spellStart"/>
      <w:r w:rsidRPr="00467DB0">
        <w:t>genindtrængen</w:t>
      </w:r>
      <w:proofErr w:type="spellEnd"/>
      <w:r w:rsidRPr="00467DB0">
        <w:t xml:space="preserve"> og fragmentering forstås som </w:t>
      </w:r>
      <w:proofErr w:type="spellStart"/>
      <w:r w:rsidRPr="00467DB0">
        <w:t>offentligt</w:t>
      </w:r>
      <w:proofErr w:type="spellEnd"/>
      <w:r w:rsidRPr="00467DB0">
        <w:t xml:space="preserve"> </w:t>
      </w:r>
      <w:proofErr w:type="spellStart"/>
      <w:r w:rsidRPr="00467DB0">
        <w:t>til</w:t>
      </w:r>
      <w:r w:rsidRPr="00467DB0">
        <w:t>gængelige</w:t>
      </w:r>
      <w:proofErr w:type="spellEnd"/>
      <w:r w:rsidRPr="00467DB0">
        <w:t xml:space="preserve"> tjenester og bør ikke </w:t>
      </w:r>
      <w:proofErr w:type="spellStart"/>
      <w:r w:rsidRPr="00467DB0">
        <w:t>kræve</w:t>
      </w:r>
      <w:proofErr w:type="spellEnd"/>
      <w:r w:rsidRPr="00467DB0">
        <w:t xml:space="preserve"> </w:t>
      </w:r>
      <w:proofErr w:type="spellStart"/>
      <w:r w:rsidRPr="00467DB0">
        <w:t>indgåelse</w:t>
      </w:r>
      <w:proofErr w:type="spellEnd"/>
      <w:r w:rsidRPr="00467DB0">
        <w:t xml:space="preserve"> </w:t>
      </w:r>
      <w:proofErr w:type="spellStart"/>
      <w:r w:rsidRPr="00467DB0">
        <w:t>af</w:t>
      </w:r>
      <w:proofErr w:type="spellEnd"/>
      <w:r w:rsidRPr="00467DB0">
        <w:t xml:space="preserve"> en </w:t>
      </w:r>
      <w:proofErr w:type="spellStart"/>
      <w:r w:rsidRPr="00467DB0">
        <w:t>aftale</w:t>
      </w:r>
      <w:proofErr w:type="spellEnd"/>
      <w:r w:rsidRPr="00467DB0">
        <w:t xml:space="preserve"> i overensstemmelse med </w:t>
      </w:r>
      <w:proofErr w:type="spellStart"/>
      <w:r w:rsidRPr="00467DB0">
        <w:t>artikel</w:t>
      </w:r>
      <w:proofErr w:type="spellEnd"/>
      <w:r w:rsidRPr="00467DB0">
        <w:t xml:space="preserve"> 218 i TEUF. De </w:t>
      </w:r>
      <w:proofErr w:type="spellStart"/>
      <w:r w:rsidRPr="00467DB0">
        <w:t>potentielle</w:t>
      </w:r>
      <w:proofErr w:type="spellEnd"/>
      <w:r w:rsidRPr="00467DB0">
        <w:t xml:space="preserve"> </w:t>
      </w:r>
      <w:proofErr w:type="spellStart"/>
      <w:r w:rsidRPr="00467DB0">
        <w:t>brugere</w:t>
      </w:r>
      <w:proofErr w:type="spellEnd"/>
      <w:r w:rsidRPr="00467DB0">
        <w:t xml:space="preserve"> bør kunne få adgang til dem efter anmodning.</w:t>
      </w:r>
    </w:p>
    <w:p w14:paraId="65A1772A" w14:textId="77777777" w:rsidR="00000000" w:rsidRPr="00467DB0" w:rsidRDefault="00693D67" w:rsidP="00467DB0">
      <w:pPr>
        <w:pStyle w:val="friliste"/>
      </w:pPr>
      <w:r w:rsidRPr="00467DB0">
        <w:t>(42)</w:t>
      </w:r>
      <w:r w:rsidRPr="00467DB0">
        <w:tab/>
        <w:t xml:space="preserve">En forsvarlig offentlig forvaltning </w:t>
      </w:r>
      <w:proofErr w:type="spellStart"/>
      <w:r w:rsidRPr="00467DB0">
        <w:t>af</w:t>
      </w:r>
      <w:proofErr w:type="spellEnd"/>
      <w:r w:rsidRPr="00467DB0">
        <w:t xml:space="preserve"> programmet </w:t>
      </w:r>
      <w:proofErr w:type="spellStart"/>
      <w:r w:rsidRPr="00467DB0">
        <w:t>kræver</w:t>
      </w:r>
      <w:proofErr w:type="spellEnd"/>
      <w:r w:rsidRPr="00467DB0">
        <w:t xml:space="preserve"> en klar fordeling </w:t>
      </w:r>
      <w:proofErr w:type="spellStart"/>
      <w:r w:rsidRPr="00467DB0">
        <w:t>af</w:t>
      </w:r>
      <w:proofErr w:type="spellEnd"/>
      <w:r w:rsidRPr="00467DB0">
        <w:t xml:space="preserve"> a</w:t>
      </w:r>
      <w:r w:rsidRPr="00467DB0">
        <w:t xml:space="preserve">nsvarsområder og </w:t>
      </w:r>
      <w:proofErr w:type="spellStart"/>
      <w:r w:rsidRPr="00467DB0">
        <w:t>opgaver</w:t>
      </w:r>
      <w:proofErr w:type="spellEnd"/>
      <w:r w:rsidRPr="00467DB0">
        <w:t xml:space="preserve"> </w:t>
      </w:r>
      <w:proofErr w:type="spellStart"/>
      <w:r w:rsidRPr="00467DB0">
        <w:t>mellem</w:t>
      </w:r>
      <w:proofErr w:type="spellEnd"/>
      <w:r w:rsidRPr="00467DB0">
        <w:t xml:space="preserve"> de </w:t>
      </w:r>
      <w:proofErr w:type="spellStart"/>
      <w:r w:rsidRPr="00467DB0">
        <w:t>forskellige</w:t>
      </w:r>
      <w:proofErr w:type="spellEnd"/>
      <w:r w:rsidRPr="00467DB0">
        <w:t xml:space="preserve"> </w:t>
      </w:r>
      <w:proofErr w:type="spellStart"/>
      <w:r w:rsidRPr="00467DB0">
        <w:t>involverede</w:t>
      </w:r>
      <w:proofErr w:type="spellEnd"/>
      <w:r w:rsidRPr="00467DB0">
        <w:t xml:space="preserve"> </w:t>
      </w:r>
      <w:proofErr w:type="spellStart"/>
      <w:r w:rsidRPr="00467DB0">
        <w:t>enheder</w:t>
      </w:r>
      <w:proofErr w:type="spellEnd"/>
      <w:r w:rsidRPr="00467DB0">
        <w:t xml:space="preserve"> med </w:t>
      </w:r>
      <w:proofErr w:type="spellStart"/>
      <w:r w:rsidRPr="00467DB0">
        <w:t>henblik</w:t>
      </w:r>
      <w:proofErr w:type="spellEnd"/>
      <w:r w:rsidRPr="00467DB0">
        <w:t xml:space="preserve"> på at </w:t>
      </w:r>
      <w:proofErr w:type="spellStart"/>
      <w:r w:rsidRPr="00467DB0">
        <w:t>undgå</w:t>
      </w:r>
      <w:proofErr w:type="spellEnd"/>
      <w:r w:rsidRPr="00467DB0">
        <w:t xml:space="preserve"> </w:t>
      </w:r>
      <w:proofErr w:type="spellStart"/>
      <w:r w:rsidRPr="00467DB0">
        <w:t>unødvendigt</w:t>
      </w:r>
      <w:proofErr w:type="spellEnd"/>
      <w:r w:rsidRPr="00467DB0">
        <w:t xml:space="preserve"> </w:t>
      </w:r>
      <w:proofErr w:type="spellStart"/>
      <w:r w:rsidRPr="00467DB0">
        <w:t>overlap</w:t>
      </w:r>
      <w:proofErr w:type="spellEnd"/>
      <w:r w:rsidRPr="00467DB0">
        <w:t xml:space="preserve"> og </w:t>
      </w:r>
      <w:proofErr w:type="spellStart"/>
      <w:r w:rsidRPr="00467DB0">
        <w:t>reducere</w:t>
      </w:r>
      <w:proofErr w:type="spellEnd"/>
      <w:r w:rsidRPr="00467DB0">
        <w:t xml:space="preserve"> omkostningsoverskridelser og forsinkelser. Alle de </w:t>
      </w:r>
      <w:proofErr w:type="spellStart"/>
      <w:r w:rsidRPr="00467DB0">
        <w:t>forskellige</w:t>
      </w:r>
      <w:proofErr w:type="spellEnd"/>
      <w:r w:rsidRPr="00467DB0">
        <w:t xml:space="preserve"> aktører i forvaltningen bør </w:t>
      </w:r>
      <w:proofErr w:type="spellStart"/>
      <w:r w:rsidRPr="00467DB0">
        <w:t>inden</w:t>
      </w:r>
      <w:proofErr w:type="spellEnd"/>
      <w:r w:rsidRPr="00467DB0">
        <w:t xml:space="preserve"> for deres </w:t>
      </w:r>
      <w:proofErr w:type="spellStart"/>
      <w:r w:rsidRPr="00467DB0">
        <w:t>kompetenceområde</w:t>
      </w:r>
      <w:proofErr w:type="spellEnd"/>
      <w:r w:rsidRPr="00467DB0">
        <w:t xml:space="preserve"> og i over</w:t>
      </w:r>
      <w:r w:rsidRPr="00467DB0">
        <w:t xml:space="preserve">ensstemmelse med deres ansvarsområder støtte </w:t>
      </w:r>
      <w:proofErr w:type="spellStart"/>
      <w:r w:rsidRPr="00467DB0">
        <w:t>opnåelsen</w:t>
      </w:r>
      <w:proofErr w:type="spellEnd"/>
      <w:r w:rsidRPr="00467DB0">
        <w:t xml:space="preserve"> </w:t>
      </w:r>
      <w:proofErr w:type="spellStart"/>
      <w:r w:rsidRPr="00467DB0">
        <w:t>af</w:t>
      </w:r>
      <w:proofErr w:type="spellEnd"/>
      <w:r w:rsidRPr="00467DB0">
        <w:t xml:space="preserve"> programmets </w:t>
      </w:r>
      <w:proofErr w:type="spellStart"/>
      <w:r w:rsidRPr="00467DB0">
        <w:t>målsætninger</w:t>
      </w:r>
      <w:proofErr w:type="spellEnd"/>
      <w:r w:rsidRPr="00467DB0">
        <w:t>.</w:t>
      </w:r>
    </w:p>
    <w:p w14:paraId="7E6571C7" w14:textId="77777777" w:rsidR="00000000" w:rsidRPr="00467DB0" w:rsidRDefault="00693D67" w:rsidP="00467DB0">
      <w:pPr>
        <w:pStyle w:val="friliste"/>
      </w:pPr>
      <w:r w:rsidRPr="00467DB0">
        <w:t>(43)</w:t>
      </w:r>
      <w:r w:rsidRPr="00467DB0">
        <w:tab/>
      </w:r>
      <w:proofErr w:type="spellStart"/>
      <w:r w:rsidRPr="00467DB0">
        <w:t>Medlemsstaterne</w:t>
      </w:r>
      <w:proofErr w:type="spellEnd"/>
      <w:r w:rsidRPr="00467DB0">
        <w:t xml:space="preserve"> har </w:t>
      </w:r>
      <w:proofErr w:type="spellStart"/>
      <w:r w:rsidRPr="00467DB0">
        <w:t>længe</w:t>
      </w:r>
      <w:proofErr w:type="spellEnd"/>
      <w:r w:rsidRPr="00467DB0">
        <w:t xml:space="preserve"> </w:t>
      </w:r>
      <w:proofErr w:type="spellStart"/>
      <w:r w:rsidRPr="00467DB0">
        <w:t>været</w:t>
      </w:r>
      <w:proofErr w:type="spellEnd"/>
      <w:r w:rsidRPr="00467DB0">
        <w:t xml:space="preserve"> aktive på </w:t>
      </w:r>
      <w:proofErr w:type="spellStart"/>
      <w:r w:rsidRPr="00467DB0">
        <w:t>rumområdet</w:t>
      </w:r>
      <w:proofErr w:type="spellEnd"/>
      <w:r w:rsidRPr="00467DB0">
        <w:t xml:space="preserve">. De har systemer, infrastruktur, </w:t>
      </w:r>
      <w:proofErr w:type="spellStart"/>
      <w:r w:rsidRPr="00467DB0">
        <w:t>nationale</w:t>
      </w:r>
      <w:proofErr w:type="spellEnd"/>
      <w:r w:rsidRPr="00467DB0">
        <w:t xml:space="preserve"> agenturer og organer med tilknytning til </w:t>
      </w:r>
      <w:proofErr w:type="spellStart"/>
      <w:r w:rsidRPr="00467DB0">
        <w:t>rummet</w:t>
      </w:r>
      <w:proofErr w:type="spellEnd"/>
      <w:r w:rsidRPr="00467DB0">
        <w:t xml:space="preserve">. De kan derfor </w:t>
      </w:r>
      <w:proofErr w:type="spellStart"/>
      <w:r w:rsidRPr="00467DB0">
        <w:t>yde</w:t>
      </w:r>
      <w:proofErr w:type="spellEnd"/>
      <w:r w:rsidRPr="00467DB0">
        <w:t xml:space="preserve"> et s</w:t>
      </w:r>
      <w:r w:rsidRPr="00467DB0">
        <w:t xml:space="preserve">tort bidrag til programmet, navnlig dets </w:t>
      </w:r>
      <w:proofErr w:type="spellStart"/>
      <w:r w:rsidRPr="00467DB0">
        <w:t>gennemførelse</w:t>
      </w:r>
      <w:proofErr w:type="spellEnd"/>
      <w:r w:rsidRPr="00467DB0">
        <w:t xml:space="preserve">. De kan </w:t>
      </w:r>
      <w:proofErr w:type="spellStart"/>
      <w:r w:rsidRPr="00467DB0">
        <w:t>samarbejde</w:t>
      </w:r>
      <w:proofErr w:type="spellEnd"/>
      <w:r w:rsidRPr="00467DB0">
        <w:t xml:space="preserve"> med Unionen for at fremme programmets tjenester og </w:t>
      </w:r>
      <w:proofErr w:type="spellStart"/>
      <w:r w:rsidRPr="00467DB0">
        <w:t>applikationer</w:t>
      </w:r>
      <w:proofErr w:type="spellEnd"/>
      <w:r w:rsidRPr="00467DB0">
        <w:t xml:space="preserve">. </w:t>
      </w:r>
      <w:proofErr w:type="spellStart"/>
      <w:r w:rsidRPr="00467DB0">
        <w:t>Kommissionen</w:t>
      </w:r>
      <w:proofErr w:type="spellEnd"/>
      <w:r w:rsidRPr="00467DB0">
        <w:t xml:space="preserve"> kan eventuelt mobilisere de midler, som </w:t>
      </w:r>
      <w:proofErr w:type="spellStart"/>
      <w:r w:rsidRPr="00467DB0">
        <w:t>medlemsstaterne</w:t>
      </w:r>
      <w:proofErr w:type="spellEnd"/>
      <w:r w:rsidRPr="00467DB0">
        <w:t xml:space="preserve"> råder over, få gavn </w:t>
      </w:r>
      <w:proofErr w:type="spellStart"/>
      <w:r w:rsidRPr="00467DB0">
        <w:t>af</w:t>
      </w:r>
      <w:proofErr w:type="spellEnd"/>
      <w:r w:rsidRPr="00467DB0">
        <w:t xml:space="preserve"> deres bistand og, beting</w:t>
      </w:r>
      <w:r w:rsidRPr="00467DB0">
        <w:t xml:space="preserve">et </w:t>
      </w:r>
      <w:proofErr w:type="spellStart"/>
      <w:r w:rsidRPr="00467DB0">
        <w:t>af</w:t>
      </w:r>
      <w:proofErr w:type="spellEnd"/>
      <w:r w:rsidRPr="00467DB0">
        <w:t xml:space="preserve"> </w:t>
      </w:r>
      <w:proofErr w:type="spellStart"/>
      <w:r w:rsidRPr="00467DB0">
        <w:t>gensidigt</w:t>
      </w:r>
      <w:proofErr w:type="spellEnd"/>
      <w:r w:rsidRPr="00467DB0">
        <w:t xml:space="preserve"> </w:t>
      </w:r>
      <w:proofErr w:type="spellStart"/>
      <w:r w:rsidRPr="00467DB0">
        <w:t>aftalte</w:t>
      </w:r>
      <w:proofErr w:type="spellEnd"/>
      <w:r w:rsidRPr="00467DB0">
        <w:t xml:space="preserve"> vilkår, </w:t>
      </w:r>
      <w:proofErr w:type="spellStart"/>
      <w:r w:rsidRPr="00467DB0">
        <w:t>overdrage</w:t>
      </w:r>
      <w:proofErr w:type="spellEnd"/>
      <w:r w:rsidRPr="00467DB0">
        <w:t xml:space="preserve"> </w:t>
      </w:r>
      <w:proofErr w:type="spellStart"/>
      <w:r w:rsidRPr="00467DB0">
        <w:t>ikkelovgivningsmæssige</w:t>
      </w:r>
      <w:proofErr w:type="spellEnd"/>
      <w:r w:rsidRPr="00467DB0">
        <w:t xml:space="preserve"> </w:t>
      </w:r>
      <w:proofErr w:type="spellStart"/>
      <w:r w:rsidRPr="00467DB0">
        <w:t>opgaver</w:t>
      </w:r>
      <w:proofErr w:type="spellEnd"/>
      <w:r w:rsidRPr="00467DB0">
        <w:t xml:space="preserve"> 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programmet. </w:t>
      </w:r>
      <w:proofErr w:type="spellStart"/>
      <w:r w:rsidRPr="00467DB0">
        <w:t>Derudover</w:t>
      </w:r>
      <w:proofErr w:type="spellEnd"/>
      <w:r w:rsidRPr="00467DB0">
        <w:t xml:space="preserve"> bør de </w:t>
      </w:r>
      <w:proofErr w:type="spellStart"/>
      <w:r w:rsidRPr="00467DB0">
        <w:t>pågældende</w:t>
      </w:r>
      <w:proofErr w:type="spellEnd"/>
      <w:r w:rsidRPr="00467DB0">
        <w:t xml:space="preserve"> medlemsstater </w:t>
      </w:r>
      <w:proofErr w:type="spellStart"/>
      <w:r w:rsidRPr="00467DB0">
        <w:t>træffe</w:t>
      </w:r>
      <w:proofErr w:type="spellEnd"/>
      <w:r w:rsidRPr="00467DB0">
        <w:t xml:space="preserve"> de nødvendige foranstaltninger for at sikre beskyttelsen </w:t>
      </w:r>
      <w:proofErr w:type="spellStart"/>
      <w:r w:rsidRPr="00467DB0">
        <w:t>af</w:t>
      </w:r>
      <w:proofErr w:type="spellEnd"/>
      <w:r w:rsidRPr="00467DB0">
        <w:t xml:space="preserve"> </w:t>
      </w:r>
      <w:proofErr w:type="spellStart"/>
      <w:r w:rsidRPr="00467DB0">
        <w:t>jordstationer</w:t>
      </w:r>
      <w:proofErr w:type="spellEnd"/>
      <w:r w:rsidRPr="00467DB0">
        <w:t xml:space="preserve"> </w:t>
      </w:r>
      <w:proofErr w:type="spellStart"/>
      <w:r w:rsidRPr="00467DB0">
        <w:t>placeret</w:t>
      </w:r>
      <w:proofErr w:type="spellEnd"/>
      <w:r w:rsidRPr="00467DB0">
        <w:t xml:space="preserve"> på </w:t>
      </w:r>
      <w:r w:rsidRPr="00467DB0">
        <w:t xml:space="preserve">deres områder. </w:t>
      </w:r>
      <w:proofErr w:type="spellStart"/>
      <w:r w:rsidRPr="00467DB0">
        <w:t>Medlemsstaterne</w:t>
      </w:r>
      <w:proofErr w:type="spellEnd"/>
      <w:r w:rsidRPr="00467DB0">
        <w:t xml:space="preserve"> og </w:t>
      </w:r>
      <w:proofErr w:type="spellStart"/>
      <w:r w:rsidRPr="00467DB0">
        <w:t>Kommissionen</w:t>
      </w:r>
      <w:proofErr w:type="spellEnd"/>
      <w:r w:rsidRPr="00467DB0">
        <w:t xml:space="preserve"> bør </w:t>
      </w:r>
      <w:proofErr w:type="spellStart"/>
      <w:r w:rsidRPr="00467DB0">
        <w:t>desuden</w:t>
      </w:r>
      <w:proofErr w:type="spellEnd"/>
      <w:r w:rsidRPr="00467DB0">
        <w:t xml:space="preserve"> </w:t>
      </w:r>
      <w:proofErr w:type="spellStart"/>
      <w:r w:rsidRPr="00467DB0">
        <w:t>samarbejde</w:t>
      </w:r>
      <w:proofErr w:type="spellEnd"/>
      <w:r w:rsidRPr="00467DB0">
        <w:t xml:space="preserve"> </w:t>
      </w:r>
      <w:proofErr w:type="spellStart"/>
      <w:r w:rsidRPr="00467DB0">
        <w:t>indbyrdes</w:t>
      </w:r>
      <w:proofErr w:type="spellEnd"/>
      <w:r w:rsidRPr="00467DB0">
        <w:t xml:space="preserve"> og med relevante </w:t>
      </w:r>
      <w:proofErr w:type="spellStart"/>
      <w:r w:rsidRPr="00467DB0">
        <w:t>internationale</w:t>
      </w:r>
      <w:proofErr w:type="spellEnd"/>
      <w:r w:rsidRPr="00467DB0">
        <w:t xml:space="preserve"> organer og </w:t>
      </w:r>
      <w:proofErr w:type="spellStart"/>
      <w:r w:rsidRPr="00467DB0">
        <w:t>lovgivningsmyndigheder</w:t>
      </w:r>
      <w:proofErr w:type="spellEnd"/>
      <w:r w:rsidRPr="00467DB0">
        <w:t xml:space="preserve"> for at sikre, at de frekvenser, der er nødvendige for programmet, er </w:t>
      </w:r>
      <w:proofErr w:type="spellStart"/>
      <w:r w:rsidRPr="00467DB0">
        <w:t>tilgængelige</w:t>
      </w:r>
      <w:proofErr w:type="spellEnd"/>
      <w:r w:rsidRPr="00467DB0">
        <w:t xml:space="preserve"> og </w:t>
      </w:r>
      <w:proofErr w:type="spellStart"/>
      <w:r w:rsidRPr="00467DB0">
        <w:t>tilstrækkeligt</w:t>
      </w:r>
      <w:proofErr w:type="spellEnd"/>
      <w:r w:rsidRPr="00467DB0">
        <w:t xml:space="preserve"> beskyttede</w:t>
      </w:r>
      <w:r w:rsidRPr="00467DB0">
        <w:t xml:space="preserve">, for at </w:t>
      </w:r>
      <w:proofErr w:type="spellStart"/>
      <w:r w:rsidRPr="00467DB0">
        <w:t>muliggøre</w:t>
      </w:r>
      <w:proofErr w:type="spellEnd"/>
      <w:r w:rsidRPr="00467DB0">
        <w:t xml:space="preserve"> den </w:t>
      </w:r>
      <w:proofErr w:type="spellStart"/>
      <w:r w:rsidRPr="00467DB0">
        <w:t>fulde</w:t>
      </w:r>
      <w:proofErr w:type="spellEnd"/>
      <w:r w:rsidRPr="00467DB0">
        <w:t xml:space="preserve"> </w:t>
      </w:r>
      <w:proofErr w:type="spellStart"/>
      <w:r w:rsidRPr="00467DB0">
        <w:t>udvikling</w:t>
      </w:r>
      <w:proofErr w:type="spellEnd"/>
      <w:r w:rsidRPr="00467DB0">
        <w:t xml:space="preserve"> og </w:t>
      </w:r>
      <w:proofErr w:type="spellStart"/>
      <w:r w:rsidRPr="00467DB0">
        <w:t>gennemførelse</w:t>
      </w:r>
      <w:proofErr w:type="spellEnd"/>
      <w:r w:rsidRPr="00467DB0">
        <w:t xml:space="preserve"> </w:t>
      </w:r>
      <w:proofErr w:type="spellStart"/>
      <w:r w:rsidRPr="00467DB0">
        <w:t>af</w:t>
      </w:r>
      <w:proofErr w:type="spellEnd"/>
      <w:r w:rsidRPr="00467DB0">
        <w:t xml:space="preserve"> </w:t>
      </w:r>
      <w:proofErr w:type="spellStart"/>
      <w:r w:rsidRPr="00467DB0">
        <w:t>applikationer</w:t>
      </w:r>
      <w:proofErr w:type="spellEnd"/>
      <w:r w:rsidRPr="00467DB0">
        <w:t xml:space="preserve">, der er </w:t>
      </w:r>
      <w:proofErr w:type="spellStart"/>
      <w:r w:rsidRPr="00467DB0">
        <w:t>baseret</w:t>
      </w:r>
      <w:proofErr w:type="spellEnd"/>
      <w:r w:rsidRPr="00467DB0">
        <w:t xml:space="preserve"> på de tjenester, der tilbydes, i overensstemmelse med Europa-Parlamentets og Rådets </w:t>
      </w:r>
      <w:proofErr w:type="spellStart"/>
      <w:r w:rsidRPr="00467DB0">
        <w:t>afgørelse</w:t>
      </w:r>
      <w:proofErr w:type="spellEnd"/>
      <w:r w:rsidRPr="00467DB0">
        <w:t xml:space="preserve"> nr. 243/2012/EU</w:t>
      </w:r>
      <w:r w:rsidRPr="00467DB0">
        <w:rPr>
          <w:rStyle w:val="Fotnotereferanse"/>
        </w:rPr>
        <w:footnoteReference w:id="17"/>
      </w:r>
      <w:r w:rsidRPr="00467DB0">
        <w:t>.</w:t>
      </w:r>
    </w:p>
    <w:p w14:paraId="14CAD23C" w14:textId="77777777" w:rsidR="00000000" w:rsidRPr="00467DB0" w:rsidRDefault="00693D67" w:rsidP="00467DB0">
      <w:pPr>
        <w:pStyle w:val="friliste"/>
      </w:pPr>
      <w:r w:rsidRPr="00467DB0">
        <w:t>(44)</w:t>
      </w:r>
      <w:r w:rsidRPr="00467DB0">
        <w:tab/>
        <w:t xml:space="preserve">Som fortaler for Unionens overordnede interesser er det </w:t>
      </w:r>
      <w:proofErr w:type="spellStart"/>
      <w:r w:rsidRPr="00467DB0">
        <w:t>Kommissionens</w:t>
      </w:r>
      <w:proofErr w:type="spellEnd"/>
      <w:r w:rsidRPr="00467DB0">
        <w:t xml:space="preserve"> ansvar at </w:t>
      </w:r>
      <w:proofErr w:type="spellStart"/>
      <w:r w:rsidRPr="00467DB0">
        <w:t>gennemføre</w:t>
      </w:r>
      <w:proofErr w:type="spellEnd"/>
      <w:r w:rsidRPr="00467DB0">
        <w:t xml:space="preserve"> programmet, </w:t>
      </w:r>
      <w:proofErr w:type="spellStart"/>
      <w:r w:rsidRPr="00467DB0">
        <w:t>påtage</w:t>
      </w:r>
      <w:proofErr w:type="spellEnd"/>
      <w:r w:rsidRPr="00467DB0">
        <w:t xml:space="preserve"> sig det overordnede ansvar og f</w:t>
      </w:r>
      <w:r w:rsidRPr="00467DB0">
        <w:t xml:space="preserve">remme </w:t>
      </w:r>
      <w:proofErr w:type="gramStart"/>
      <w:r w:rsidRPr="00467DB0">
        <w:t>anvendelsen</w:t>
      </w:r>
      <w:proofErr w:type="gramEnd"/>
      <w:r w:rsidRPr="00467DB0">
        <w:t xml:space="preserve"> </w:t>
      </w:r>
      <w:proofErr w:type="spellStart"/>
      <w:r w:rsidRPr="00467DB0">
        <w:t>heraf</w:t>
      </w:r>
      <w:proofErr w:type="spellEnd"/>
      <w:r w:rsidRPr="00467DB0">
        <w:t xml:space="preserve">. Med </w:t>
      </w:r>
      <w:proofErr w:type="spellStart"/>
      <w:r w:rsidRPr="00467DB0">
        <w:t>henblik</w:t>
      </w:r>
      <w:proofErr w:type="spellEnd"/>
      <w:r w:rsidRPr="00467DB0">
        <w:t xml:space="preserve"> på at optimere de </w:t>
      </w:r>
      <w:proofErr w:type="spellStart"/>
      <w:r w:rsidRPr="00467DB0">
        <w:t>forskellige</w:t>
      </w:r>
      <w:proofErr w:type="spellEnd"/>
      <w:r w:rsidRPr="00467DB0">
        <w:t xml:space="preserve"> interessenters </w:t>
      </w:r>
      <w:proofErr w:type="spellStart"/>
      <w:r w:rsidRPr="00467DB0">
        <w:t>ressourcer</w:t>
      </w:r>
      <w:proofErr w:type="spellEnd"/>
      <w:r w:rsidRPr="00467DB0">
        <w:t xml:space="preserve"> og </w:t>
      </w:r>
      <w:proofErr w:type="spellStart"/>
      <w:r w:rsidRPr="00467DB0">
        <w:t>kompetencer</w:t>
      </w:r>
      <w:proofErr w:type="spellEnd"/>
      <w:r w:rsidRPr="00467DB0">
        <w:t xml:space="preserve"> bør </w:t>
      </w:r>
      <w:proofErr w:type="spellStart"/>
      <w:r w:rsidRPr="00467DB0">
        <w:t>Kommissionen</w:t>
      </w:r>
      <w:proofErr w:type="spellEnd"/>
      <w:r w:rsidRPr="00467DB0">
        <w:t xml:space="preserve"> i begrundede </w:t>
      </w:r>
      <w:proofErr w:type="spellStart"/>
      <w:r w:rsidRPr="00467DB0">
        <w:t>tilfælde</w:t>
      </w:r>
      <w:proofErr w:type="spellEnd"/>
      <w:r w:rsidRPr="00467DB0">
        <w:t xml:space="preserve"> kunne </w:t>
      </w:r>
      <w:proofErr w:type="spellStart"/>
      <w:r w:rsidRPr="00467DB0">
        <w:t>overdrage</w:t>
      </w:r>
      <w:proofErr w:type="spellEnd"/>
      <w:r w:rsidRPr="00467DB0">
        <w:t xml:space="preserve"> visse </w:t>
      </w:r>
      <w:proofErr w:type="spellStart"/>
      <w:r w:rsidRPr="00467DB0">
        <w:t>opgaver</w:t>
      </w:r>
      <w:proofErr w:type="spellEnd"/>
      <w:r w:rsidRPr="00467DB0">
        <w:t xml:space="preserve"> til andre </w:t>
      </w:r>
      <w:proofErr w:type="spellStart"/>
      <w:r w:rsidRPr="00467DB0">
        <w:t>enheder</w:t>
      </w:r>
      <w:proofErr w:type="spellEnd"/>
      <w:r w:rsidRPr="00467DB0">
        <w:t xml:space="preserve">. Da </w:t>
      </w:r>
      <w:proofErr w:type="spellStart"/>
      <w:r w:rsidRPr="00467DB0">
        <w:t>Kommissionen</w:t>
      </w:r>
      <w:proofErr w:type="spellEnd"/>
      <w:r w:rsidRPr="00467DB0">
        <w:t xml:space="preserve"> har det overordnede ansvar for programmet, b</w:t>
      </w:r>
      <w:r w:rsidRPr="00467DB0">
        <w:t xml:space="preserve">ør den </w:t>
      </w:r>
      <w:proofErr w:type="spellStart"/>
      <w:r w:rsidRPr="00467DB0">
        <w:t>fastlægge</w:t>
      </w:r>
      <w:proofErr w:type="spellEnd"/>
      <w:r w:rsidRPr="00467DB0">
        <w:t xml:space="preserve"> de </w:t>
      </w:r>
      <w:proofErr w:type="spellStart"/>
      <w:r w:rsidRPr="00467DB0">
        <w:t>vigtigste</w:t>
      </w:r>
      <w:proofErr w:type="spellEnd"/>
      <w:r w:rsidRPr="00467DB0">
        <w:t xml:space="preserve"> tekniske og </w:t>
      </w:r>
      <w:proofErr w:type="spellStart"/>
      <w:r w:rsidRPr="00467DB0">
        <w:t>operationelle</w:t>
      </w:r>
      <w:proofErr w:type="spellEnd"/>
      <w:r w:rsidRPr="00467DB0">
        <w:t xml:space="preserve"> krav, der er nødvendige for at kunne </w:t>
      </w:r>
      <w:proofErr w:type="spellStart"/>
      <w:r w:rsidRPr="00467DB0">
        <w:t>gennemføre</w:t>
      </w:r>
      <w:proofErr w:type="spellEnd"/>
      <w:r w:rsidRPr="00467DB0">
        <w:t xml:space="preserve"> </w:t>
      </w:r>
      <w:proofErr w:type="spellStart"/>
      <w:r w:rsidRPr="00467DB0">
        <w:t>udviklingen</w:t>
      </w:r>
      <w:proofErr w:type="spellEnd"/>
      <w:r w:rsidRPr="00467DB0">
        <w:t xml:space="preserve"> </w:t>
      </w:r>
      <w:proofErr w:type="spellStart"/>
      <w:r w:rsidRPr="00467DB0">
        <w:t>af</w:t>
      </w:r>
      <w:proofErr w:type="spellEnd"/>
      <w:r w:rsidRPr="00467DB0">
        <w:t xml:space="preserve"> systemer og tjenester. Det bør den </w:t>
      </w:r>
      <w:proofErr w:type="spellStart"/>
      <w:r w:rsidRPr="00467DB0">
        <w:t>gøre</w:t>
      </w:r>
      <w:proofErr w:type="spellEnd"/>
      <w:r w:rsidRPr="00467DB0">
        <w:t xml:space="preserve"> efter at have hørt </w:t>
      </w:r>
      <w:proofErr w:type="spellStart"/>
      <w:r w:rsidRPr="00467DB0">
        <w:t>medlemsstaternes</w:t>
      </w:r>
      <w:proofErr w:type="spellEnd"/>
      <w:r w:rsidRPr="00467DB0">
        <w:t xml:space="preserve"> eksperter, </w:t>
      </w:r>
      <w:proofErr w:type="spellStart"/>
      <w:r w:rsidRPr="00467DB0">
        <w:t>brugere</w:t>
      </w:r>
      <w:proofErr w:type="spellEnd"/>
      <w:r w:rsidRPr="00467DB0">
        <w:t xml:space="preserve"> og andre relevante interessenter. Endelig </w:t>
      </w:r>
      <w:r w:rsidRPr="00467DB0">
        <w:t xml:space="preserve">bør </w:t>
      </w:r>
      <w:proofErr w:type="spellStart"/>
      <w:r w:rsidRPr="00467DB0">
        <w:t>Kommissionen</w:t>
      </w:r>
      <w:proofErr w:type="spellEnd"/>
      <w:r w:rsidRPr="00467DB0">
        <w:t xml:space="preserve"> sikre </w:t>
      </w:r>
      <w:proofErr w:type="spellStart"/>
      <w:r w:rsidRPr="00467DB0">
        <w:t>sammenhæng</w:t>
      </w:r>
      <w:proofErr w:type="spellEnd"/>
      <w:r w:rsidRPr="00467DB0">
        <w:t xml:space="preserve"> </w:t>
      </w:r>
      <w:proofErr w:type="spellStart"/>
      <w:r w:rsidRPr="00467DB0">
        <w:t>mellem</w:t>
      </w:r>
      <w:proofErr w:type="spellEnd"/>
      <w:r w:rsidRPr="00467DB0">
        <w:t xml:space="preserve"> de aktiviteter, som </w:t>
      </w:r>
      <w:proofErr w:type="spellStart"/>
      <w:r w:rsidRPr="00467DB0">
        <w:t>gennemføres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idet det </w:t>
      </w:r>
      <w:proofErr w:type="spellStart"/>
      <w:r w:rsidRPr="00467DB0">
        <w:t>bemærkes</w:t>
      </w:r>
      <w:proofErr w:type="spellEnd"/>
      <w:r w:rsidRPr="00467DB0">
        <w:t xml:space="preserve">, at i overensstemmelse med </w:t>
      </w:r>
      <w:proofErr w:type="spellStart"/>
      <w:r w:rsidRPr="00467DB0">
        <w:t>artikel</w:t>
      </w:r>
      <w:proofErr w:type="spellEnd"/>
      <w:r w:rsidRPr="00467DB0">
        <w:t xml:space="preserve"> 4, stk. 3, i TEUF fører Unionens </w:t>
      </w:r>
      <w:proofErr w:type="spellStart"/>
      <w:r w:rsidRPr="00467DB0">
        <w:t>udøvelse</w:t>
      </w:r>
      <w:proofErr w:type="spellEnd"/>
      <w:r w:rsidRPr="00467DB0">
        <w:t xml:space="preserve"> </w:t>
      </w:r>
      <w:proofErr w:type="spellStart"/>
      <w:r w:rsidRPr="00467DB0">
        <w:t>af</w:t>
      </w:r>
      <w:proofErr w:type="spellEnd"/>
      <w:r w:rsidRPr="00467DB0">
        <w:t xml:space="preserve"> </w:t>
      </w:r>
      <w:proofErr w:type="spellStart"/>
      <w:r w:rsidRPr="00467DB0">
        <w:t>kompetence</w:t>
      </w:r>
      <w:proofErr w:type="spellEnd"/>
      <w:r w:rsidRPr="00467DB0">
        <w:t xml:space="preserve"> på </w:t>
      </w:r>
      <w:proofErr w:type="spellStart"/>
      <w:r w:rsidRPr="00467DB0">
        <w:t>rumområdet</w:t>
      </w:r>
      <w:proofErr w:type="spellEnd"/>
      <w:r w:rsidRPr="00467DB0">
        <w:t xml:space="preserve"> ikke til, at </w:t>
      </w:r>
      <w:proofErr w:type="spellStart"/>
      <w:r w:rsidRPr="00467DB0">
        <w:t>medlemsstater</w:t>
      </w:r>
      <w:r w:rsidRPr="00467DB0">
        <w:t>ne</w:t>
      </w:r>
      <w:proofErr w:type="spellEnd"/>
      <w:r w:rsidRPr="00467DB0">
        <w:t xml:space="preserve"> forhindres i at udøve deres </w:t>
      </w:r>
      <w:proofErr w:type="spellStart"/>
      <w:r w:rsidRPr="00467DB0">
        <w:t>kompetence</w:t>
      </w:r>
      <w:proofErr w:type="spellEnd"/>
      <w:r w:rsidRPr="00467DB0">
        <w:t>.</w:t>
      </w:r>
    </w:p>
    <w:p w14:paraId="43F013D9" w14:textId="77777777" w:rsidR="00000000" w:rsidRPr="00467DB0" w:rsidRDefault="00693D67" w:rsidP="00467DB0">
      <w:pPr>
        <w:pStyle w:val="friliste"/>
      </w:pPr>
      <w:r w:rsidRPr="00467DB0">
        <w:lastRenderedPageBreak/>
        <w:t>(45)</w:t>
      </w:r>
      <w:r w:rsidRPr="00467DB0">
        <w:tab/>
        <w:t xml:space="preserve">Den </w:t>
      </w:r>
      <w:proofErr w:type="spellStart"/>
      <w:r w:rsidRPr="00467DB0">
        <w:t>Europæiske</w:t>
      </w:r>
      <w:proofErr w:type="spellEnd"/>
      <w:r w:rsidRPr="00467DB0">
        <w:t xml:space="preserve"> Unions Agentur for </w:t>
      </w:r>
      <w:proofErr w:type="spellStart"/>
      <w:r w:rsidRPr="00467DB0">
        <w:t>Rumprogrammet</w:t>
      </w:r>
      <w:proofErr w:type="spellEnd"/>
      <w:r w:rsidRPr="00467DB0">
        <w:t xml:space="preserve"> ("agenturet"), der erstatter og </w:t>
      </w:r>
      <w:proofErr w:type="spellStart"/>
      <w:r w:rsidRPr="00467DB0">
        <w:t>afløser</w:t>
      </w:r>
      <w:proofErr w:type="spellEnd"/>
      <w:r w:rsidRPr="00467DB0">
        <w:t xml:space="preserve"> Det </w:t>
      </w:r>
      <w:proofErr w:type="spellStart"/>
      <w:r w:rsidRPr="00467DB0">
        <w:t>Europæiske</w:t>
      </w:r>
      <w:proofErr w:type="spellEnd"/>
      <w:r w:rsidRPr="00467DB0">
        <w:t xml:space="preserve"> GNSS-Agentur </w:t>
      </w:r>
      <w:proofErr w:type="spellStart"/>
      <w:r w:rsidRPr="00467DB0">
        <w:t>oprettet</w:t>
      </w:r>
      <w:proofErr w:type="spellEnd"/>
      <w:r w:rsidRPr="00467DB0">
        <w:t xml:space="preserve"> ved Europa-Parlamentets og Rådets forordning (EU) nr. 912/2010</w:t>
      </w:r>
      <w:r w:rsidRPr="00467DB0">
        <w:rPr>
          <w:rStyle w:val="Fotnotereferanse"/>
        </w:rPr>
        <w:footnoteReference w:id="18"/>
      </w:r>
      <w:r w:rsidRPr="00467DB0">
        <w:t xml:space="preserve">, har til </w:t>
      </w:r>
      <w:proofErr w:type="spellStart"/>
      <w:r w:rsidRPr="00467DB0">
        <w:t>opgave</w:t>
      </w:r>
      <w:proofErr w:type="spellEnd"/>
      <w:r w:rsidRPr="00467DB0">
        <w:t xml:space="preserve"> at </w:t>
      </w:r>
      <w:proofErr w:type="spellStart"/>
      <w:r w:rsidRPr="00467DB0">
        <w:t>bidrage</w:t>
      </w:r>
      <w:proofErr w:type="spellEnd"/>
      <w:r w:rsidRPr="00467DB0">
        <w:t xml:space="preserve"> til programmet, navnlig for så vidt angår </w:t>
      </w:r>
      <w:proofErr w:type="spellStart"/>
      <w:r w:rsidRPr="00467DB0">
        <w:t>sikkerhedsgodkendelse</w:t>
      </w:r>
      <w:proofErr w:type="spellEnd"/>
      <w:r w:rsidRPr="00467DB0">
        <w:t xml:space="preserve"> samt </w:t>
      </w:r>
      <w:proofErr w:type="spellStart"/>
      <w:r w:rsidRPr="00467DB0">
        <w:t>markedsudvikling</w:t>
      </w:r>
      <w:proofErr w:type="spellEnd"/>
      <w:r w:rsidRPr="00467DB0">
        <w:t xml:space="preserve"> og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downstreamapplika</w:t>
      </w:r>
      <w:r w:rsidRPr="00467DB0">
        <w:t>tioner</w:t>
      </w:r>
      <w:proofErr w:type="spellEnd"/>
      <w:r w:rsidRPr="00467DB0">
        <w:t xml:space="preserve">. Visse </w:t>
      </w:r>
      <w:proofErr w:type="spellStart"/>
      <w:r w:rsidRPr="00467DB0">
        <w:t>af</w:t>
      </w:r>
      <w:proofErr w:type="spellEnd"/>
      <w:r w:rsidRPr="00467DB0">
        <w:t xml:space="preserve"> de </w:t>
      </w:r>
      <w:proofErr w:type="spellStart"/>
      <w:r w:rsidRPr="00467DB0">
        <w:t>opgaver</w:t>
      </w:r>
      <w:proofErr w:type="spellEnd"/>
      <w:r w:rsidRPr="00467DB0">
        <w:t xml:space="preserve">, som er knyttet til disse områder, bør derfor overgå til agenturet. Agenturet bør, navnlig </w:t>
      </w:r>
      <w:proofErr w:type="spellStart"/>
      <w:r w:rsidRPr="00467DB0">
        <w:t>hvad</w:t>
      </w:r>
      <w:proofErr w:type="spellEnd"/>
      <w:r w:rsidRPr="00467DB0">
        <w:t xml:space="preserve"> angår </w:t>
      </w:r>
      <w:proofErr w:type="spellStart"/>
      <w:r w:rsidRPr="00467DB0">
        <w:t>sikkerhed</w:t>
      </w:r>
      <w:proofErr w:type="spellEnd"/>
      <w:r w:rsidRPr="00467DB0">
        <w:t xml:space="preserve">, og på grund </w:t>
      </w:r>
      <w:proofErr w:type="spellStart"/>
      <w:r w:rsidRPr="00467DB0">
        <w:t>af</w:t>
      </w:r>
      <w:proofErr w:type="spellEnd"/>
      <w:r w:rsidRPr="00467DB0">
        <w:t xml:space="preserve"> sin erfaring på området være </w:t>
      </w:r>
      <w:proofErr w:type="spellStart"/>
      <w:r w:rsidRPr="00467DB0">
        <w:t>ansvarligt</w:t>
      </w:r>
      <w:proofErr w:type="spellEnd"/>
      <w:r w:rsidRPr="00467DB0">
        <w:t xml:space="preserve"> for </w:t>
      </w:r>
      <w:proofErr w:type="spellStart"/>
      <w:r w:rsidRPr="00467DB0">
        <w:t>sikkerhedsgodkendelsesopgaverne</w:t>
      </w:r>
      <w:proofErr w:type="spellEnd"/>
      <w:r w:rsidRPr="00467DB0">
        <w:t xml:space="preserve"> i forbindelse med alle E</w:t>
      </w:r>
      <w:r w:rsidRPr="00467DB0">
        <w:t xml:space="preserve">U-foranstaltninger i </w:t>
      </w:r>
      <w:proofErr w:type="spellStart"/>
      <w:r w:rsidRPr="00467DB0">
        <w:t>rumsektoren</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sine positive resultater med hensyn til at fremme </w:t>
      </w:r>
      <w:proofErr w:type="spellStart"/>
      <w:r w:rsidRPr="00467DB0">
        <w:t>bruger</w:t>
      </w:r>
      <w:proofErr w:type="spellEnd"/>
      <w:r w:rsidRPr="00467DB0">
        <w:t xml:space="preserve">- og </w:t>
      </w:r>
      <w:proofErr w:type="spellStart"/>
      <w:r w:rsidRPr="00467DB0">
        <w:t>markedsudbredelsen</w:t>
      </w:r>
      <w:proofErr w:type="spellEnd"/>
      <w:r w:rsidRPr="00467DB0">
        <w:t xml:space="preserve"> </w:t>
      </w:r>
      <w:proofErr w:type="spellStart"/>
      <w:r w:rsidRPr="00467DB0">
        <w:t>af</w:t>
      </w:r>
      <w:proofErr w:type="spellEnd"/>
      <w:r w:rsidRPr="00467DB0">
        <w:t xml:space="preserve"> Galileo og EGNOS bør agenturet også betros </w:t>
      </w:r>
      <w:proofErr w:type="spellStart"/>
      <w:r w:rsidRPr="00467DB0">
        <w:t>ibrugtagningsaktiviteter</w:t>
      </w:r>
      <w:proofErr w:type="spellEnd"/>
      <w:r w:rsidRPr="00467DB0">
        <w:t xml:space="preserve"> i forbindelse med andre programkomponenter, som ikke er </w:t>
      </w:r>
      <w:r w:rsidRPr="00467DB0">
        <w:t xml:space="preserve">knyttet til Galileo og EGNOS, samt aktiviteter med </w:t>
      </w:r>
      <w:proofErr w:type="spellStart"/>
      <w:r w:rsidRPr="00467DB0">
        <w:t>henblik</w:t>
      </w:r>
      <w:proofErr w:type="spellEnd"/>
      <w:r w:rsidRPr="00467DB0">
        <w:t xml:space="preserve"> på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downstreamapplikationer</w:t>
      </w:r>
      <w:proofErr w:type="spellEnd"/>
      <w:r w:rsidRPr="00467DB0">
        <w:t xml:space="preserve"> til alle programmets komponenter. Dette vil </w:t>
      </w:r>
      <w:proofErr w:type="spellStart"/>
      <w:r w:rsidRPr="00467DB0">
        <w:t>gøre</w:t>
      </w:r>
      <w:proofErr w:type="spellEnd"/>
      <w:r w:rsidRPr="00467DB0">
        <w:t xml:space="preserve"> det </w:t>
      </w:r>
      <w:proofErr w:type="spellStart"/>
      <w:r w:rsidRPr="00467DB0">
        <w:t>muligt</w:t>
      </w:r>
      <w:proofErr w:type="spellEnd"/>
      <w:r w:rsidRPr="00467DB0">
        <w:t xml:space="preserve"> for agenturet at drage fordel </w:t>
      </w:r>
      <w:proofErr w:type="spellStart"/>
      <w:r w:rsidRPr="00467DB0">
        <w:t>af</w:t>
      </w:r>
      <w:proofErr w:type="spellEnd"/>
      <w:r w:rsidRPr="00467DB0">
        <w:t xml:space="preserve"> </w:t>
      </w:r>
      <w:proofErr w:type="spellStart"/>
      <w:r w:rsidRPr="00467DB0">
        <w:t>stordriftsfordele</w:t>
      </w:r>
      <w:proofErr w:type="spellEnd"/>
      <w:r w:rsidRPr="00467DB0">
        <w:t xml:space="preserve"> og </w:t>
      </w:r>
      <w:proofErr w:type="spellStart"/>
      <w:r w:rsidRPr="00467DB0">
        <w:t>give</w:t>
      </w:r>
      <w:proofErr w:type="spellEnd"/>
      <w:r w:rsidRPr="00467DB0">
        <w:t xml:space="preserve"> </w:t>
      </w:r>
      <w:proofErr w:type="spellStart"/>
      <w:r w:rsidRPr="00467DB0">
        <w:t>mulighed</w:t>
      </w:r>
      <w:proofErr w:type="spellEnd"/>
      <w:r w:rsidRPr="00467DB0">
        <w:t xml:space="preserve"> for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applikatione</w:t>
      </w:r>
      <w:r w:rsidRPr="00467DB0">
        <w:t>r</w:t>
      </w:r>
      <w:proofErr w:type="spellEnd"/>
      <w:r w:rsidRPr="00467DB0">
        <w:t xml:space="preserve">, der er </w:t>
      </w:r>
      <w:proofErr w:type="spellStart"/>
      <w:r w:rsidRPr="00467DB0">
        <w:t>baseret</w:t>
      </w:r>
      <w:proofErr w:type="spellEnd"/>
      <w:r w:rsidRPr="00467DB0">
        <w:t xml:space="preserve"> på flere </w:t>
      </w:r>
      <w:proofErr w:type="spellStart"/>
      <w:r w:rsidRPr="00467DB0">
        <w:t>af</w:t>
      </w:r>
      <w:proofErr w:type="spellEnd"/>
      <w:r w:rsidRPr="00467DB0">
        <w:t xml:space="preserve"> programmets komponenter (</w:t>
      </w:r>
      <w:proofErr w:type="spellStart"/>
      <w:r w:rsidRPr="00467DB0">
        <w:t>integrerede</w:t>
      </w:r>
      <w:proofErr w:type="spellEnd"/>
      <w:r w:rsidRPr="00467DB0">
        <w:t xml:space="preserve"> </w:t>
      </w:r>
      <w:proofErr w:type="spellStart"/>
      <w:r w:rsidRPr="00467DB0">
        <w:t>applikationer</w:t>
      </w:r>
      <w:proofErr w:type="spellEnd"/>
      <w:r w:rsidRPr="00467DB0">
        <w:t xml:space="preserve">). Disse aktiviteter bør imidlertid ikke berøre de tjeneste- og </w:t>
      </w:r>
      <w:proofErr w:type="spellStart"/>
      <w:r w:rsidRPr="00467DB0">
        <w:t>ibrugtagningsaktiviteter</w:t>
      </w:r>
      <w:proofErr w:type="spellEnd"/>
      <w:r w:rsidRPr="00467DB0">
        <w:t xml:space="preserve">, som </w:t>
      </w:r>
      <w:proofErr w:type="spellStart"/>
      <w:r w:rsidRPr="00467DB0">
        <w:t>Kommissionen</w:t>
      </w:r>
      <w:proofErr w:type="spellEnd"/>
      <w:r w:rsidRPr="00467DB0">
        <w:t xml:space="preserve"> har overdraget til de bemyndigede </w:t>
      </w:r>
      <w:proofErr w:type="spellStart"/>
      <w:r w:rsidRPr="00467DB0">
        <w:t>enheder</w:t>
      </w:r>
      <w:proofErr w:type="spellEnd"/>
      <w:r w:rsidRPr="00467DB0">
        <w:t xml:space="preserve"> under Copernicus. Overdrage</w:t>
      </w:r>
      <w:r w:rsidRPr="00467DB0">
        <w:t xml:space="preserve">lsen </w:t>
      </w:r>
      <w:proofErr w:type="spellStart"/>
      <w:r w:rsidRPr="00467DB0">
        <w:t>af</w:t>
      </w:r>
      <w:proofErr w:type="spellEnd"/>
      <w:r w:rsidRPr="00467DB0">
        <w:t xml:space="preserve">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downstreamapplikationer</w:t>
      </w:r>
      <w:proofErr w:type="spellEnd"/>
      <w:r w:rsidRPr="00467DB0">
        <w:t xml:space="preserve"> til agenturet bør ikke forhindre andre bemyndigede </w:t>
      </w:r>
      <w:proofErr w:type="spellStart"/>
      <w:r w:rsidRPr="00467DB0">
        <w:t>enheder</w:t>
      </w:r>
      <w:proofErr w:type="spellEnd"/>
      <w:r w:rsidRPr="00467DB0">
        <w:t xml:space="preserve"> i at </w:t>
      </w:r>
      <w:proofErr w:type="spellStart"/>
      <w:r w:rsidRPr="00467DB0">
        <w:t>udvikle</w:t>
      </w:r>
      <w:proofErr w:type="spellEnd"/>
      <w:r w:rsidRPr="00467DB0">
        <w:t xml:space="preserve"> </w:t>
      </w:r>
      <w:proofErr w:type="spellStart"/>
      <w:r w:rsidRPr="00467DB0">
        <w:t>downstreamapplikationer</w:t>
      </w:r>
      <w:proofErr w:type="spellEnd"/>
      <w:r w:rsidRPr="00467DB0">
        <w:t xml:space="preserve">. </w:t>
      </w:r>
      <w:proofErr w:type="spellStart"/>
      <w:r w:rsidRPr="00467DB0">
        <w:t>Endvidere</w:t>
      </w:r>
      <w:proofErr w:type="spellEnd"/>
      <w:r w:rsidRPr="00467DB0">
        <w:t xml:space="preserve"> bør agenturet </w:t>
      </w:r>
      <w:proofErr w:type="spellStart"/>
      <w:r w:rsidRPr="00467DB0">
        <w:t>varetage</w:t>
      </w:r>
      <w:proofErr w:type="spellEnd"/>
      <w:r w:rsidRPr="00467DB0">
        <w:t xml:space="preserve"> de </w:t>
      </w:r>
      <w:proofErr w:type="spellStart"/>
      <w:r w:rsidRPr="00467DB0">
        <w:t>opgaver</w:t>
      </w:r>
      <w:proofErr w:type="spellEnd"/>
      <w:r w:rsidRPr="00467DB0">
        <w:t xml:space="preserve">, som </w:t>
      </w:r>
      <w:proofErr w:type="spellStart"/>
      <w:r w:rsidRPr="00467DB0">
        <w:t>Kommissionen</w:t>
      </w:r>
      <w:proofErr w:type="spellEnd"/>
      <w:r w:rsidRPr="00467DB0">
        <w:t xml:space="preserve"> </w:t>
      </w:r>
      <w:proofErr w:type="spellStart"/>
      <w:r w:rsidRPr="00467DB0">
        <w:t>tillægger</w:t>
      </w:r>
      <w:proofErr w:type="spellEnd"/>
      <w:r w:rsidRPr="00467DB0">
        <w:t xml:space="preserve"> det ved </w:t>
      </w:r>
      <w:proofErr w:type="spellStart"/>
      <w:r w:rsidRPr="00467DB0">
        <w:t>hjælp</w:t>
      </w:r>
      <w:proofErr w:type="spellEnd"/>
      <w:r w:rsidRPr="00467DB0">
        <w:t xml:space="preserve"> </w:t>
      </w:r>
      <w:proofErr w:type="spellStart"/>
      <w:r w:rsidRPr="00467DB0">
        <w:t>af</w:t>
      </w:r>
      <w:proofErr w:type="spellEnd"/>
      <w:r w:rsidRPr="00467DB0">
        <w:t xml:space="preserve"> én eller flere </w:t>
      </w:r>
      <w:proofErr w:type="spellStart"/>
      <w:r w:rsidRPr="00467DB0">
        <w:t>bidragsaft</w:t>
      </w:r>
      <w:r w:rsidRPr="00467DB0">
        <w:t>aler</w:t>
      </w:r>
      <w:proofErr w:type="spellEnd"/>
      <w:r w:rsidRPr="00467DB0">
        <w:t xml:space="preserve"> under en </w:t>
      </w:r>
      <w:proofErr w:type="spellStart"/>
      <w:r w:rsidRPr="00467DB0">
        <w:t>finansiel</w:t>
      </w:r>
      <w:proofErr w:type="spellEnd"/>
      <w:r w:rsidRPr="00467DB0">
        <w:t xml:space="preserve"> </w:t>
      </w:r>
      <w:proofErr w:type="spellStart"/>
      <w:r w:rsidRPr="00467DB0">
        <w:t>partnerskabsrammeaftale</w:t>
      </w:r>
      <w:proofErr w:type="spellEnd"/>
      <w:r w:rsidRPr="00467DB0">
        <w:t xml:space="preserve">, som omfatter andre </w:t>
      </w:r>
      <w:proofErr w:type="spellStart"/>
      <w:r w:rsidRPr="00467DB0">
        <w:t>specifikke</w:t>
      </w:r>
      <w:proofErr w:type="spellEnd"/>
      <w:r w:rsidRPr="00467DB0">
        <w:t xml:space="preserve"> </w:t>
      </w:r>
      <w:proofErr w:type="spellStart"/>
      <w:r w:rsidRPr="00467DB0">
        <w:t>opgaver</w:t>
      </w:r>
      <w:proofErr w:type="spellEnd"/>
      <w:r w:rsidRPr="00467DB0">
        <w:t xml:space="preserve"> i forbindelse med programmet. Ved overdragelsen </w:t>
      </w:r>
      <w:proofErr w:type="spellStart"/>
      <w:r w:rsidRPr="00467DB0">
        <w:t>af</w:t>
      </w:r>
      <w:proofErr w:type="spellEnd"/>
      <w:r w:rsidRPr="00467DB0">
        <w:t xml:space="preserve"> </w:t>
      </w:r>
      <w:proofErr w:type="spellStart"/>
      <w:r w:rsidRPr="00467DB0">
        <w:t>opgaver</w:t>
      </w:r>
      <w:proofErr w:type="spellEnd"/>
      <w:r w:rsidRPr="00467DB0">
        <w:t xml:space="preserve"> til agenturet bør der stilles </w:t>
      </w:r>
      <w:proofErr w:type="spellStart"/>
      <w:r w:rsidRPr="00467DB0">
        <w:t>tilstrækkelige</w:t>
      </w:r>
      <w:proofErr w:type="spellEnd"/>
      <w:r w:rsidRPr="00467DB0">
        <w:t xml:space="preserve"> menneskelige, administrative og finansielle </w:t>
      </w:r>
      <w:proofErr w:type="spellStart"/>
      <w:r w:rsidRPr="00467DB0">
        <w:t>ressourcer</w:t>
      </w:r>
      <w:proofErr w:type="spellEnd"/>
      <w:r w:rsidRPr="00467DB0">
        <w:t xml:space="preserve"> til </w:t>
      </w:r>
      <w:proofErr w:type="spellStart"/>
      <w:r w:rsidRPr="00467DB0">
        <w:t>rådigh</w:t>
      </w:r>
      <w:r w:rsidRPr="00467DB0">
        <w:t>ed</w:t>
      </w:r>
      <w:proofErr w:type="spellEnd"/>
      <w:r w:rsidRPr="00467DB0">
        <w:t>.</w:t>
      </w:r>
    </w:p>
    <w:p w14:paraId="6C3653AE" w14:textId="77777777" w:rsidR="00000000" w:rsidRPr="00467DB0" w:rsidRDefault="00693D67" w:rsidP="00467DB0">
      <w:pPr>
        <w:pStyle w:val="friliste"/>
      </w:pPr>
      <w:r w:rsidRPr="00467DB0">
        <w:t>(46)</w:t>
      </w:r>
      <w:r w:rsidRPr="00467DB0">
        <w:tab/>
        <w:t xml:space="preserve">I visse </w:t>
      </w:r>
      <w:proofErr w:type="spellStart"/>
      <w:r w:rsidRPr="00467DB0">
        <w:t>behørigt</w:t>
      </w:r>
      <w:proofErr w:type="spellEnd"/>
      <w:r w:rsidRPr="00467DB0">
        <w:t xml:space="preserve"> begrundede </w:t>
      </w:r>
      <w:proofErr w:type="spellStart"/>
      <w:r w:rsidRPr="00467DB0">
        <w:t>tilfælde</w:t>
      </w:r>
      <w:proofErr w:type="spellEnd"/>
      <w:r w:rsidRPr="00467DB0">
        <w:t xml:space="preserve"> bør agenturet kunne </w:t>
      </w:r>
      <w:proofErr w:type="spellStart"/>
      <w:r w:rsidRPr="00467DB0">
        <w:t>overdrage</w:t>
      </w:r>
      <w:proofErr w:type="spellEnd"/>
      <w:r w:rsidRPr="00467DB0">
        <w:t xml:space="preserve"> </w:t>
      </w:r>
      <w:proofErr w:type="spellStart"/>
      <w:r w:rsidRPr="00467DB0">
        <w:t>specifikke</w:t>
      </w:r>
      <w:proofErr w:type="spellEnd"/>
      <w:r w:rsidRPr="00467DB0">
        <w:t xml:space="preserve"> </w:t>
      </w:r>
      <w:proofErr w:type="spellStart"/>
      <w:r w:rsidRPr="00467DB0">
        <w:t>opgaver</w:t>
      </w:r>
      <w:proofErr w:type="spellEnd"/>
      <w:r w:rsidRPr="00467DB0">
        <w:t xml:space="preserve"> til medlemsstater eller grupper </w:t>
      </w:r>
      <w:proofErr w:type="spellStart"/>
      <w:r w:rsidRPr="00467DB0">
        <w:t>af</w:t>
      </w:r>
      <w:proofErr w:type="spellEnd"/>
      <w:r w:rsidRPr="00467DB0">
        <w:t xml:space="preserve"> medlemsstater. Denne overdragelse bør </w:t>
      </w:r>
      <w:proofErr w:type="spellStart"/>
      <w:r w:rsidRPr="00467DB0">
        <w:t>begrænses</w:t>
      </w:r>
      <w:proofErr w:type="spellEnd"/>
      <w:r w:rsidRPr="00467DB0">
        <w:t xml:space="preserve"> til aktiviteter, som agenturet ikke har </w:t>
      </w:r>
      <w:proofErr w:type="spellStart"/>
      <w:r w:rsidRPr="00467DB0">
        <w:t>kapacitet</w:t>
      </w:r>
      <w:proofErr w:type="spellEnd"/>
      <w:r w:rsidRPr="00467DB0">
        <w:t xml:space="preserve"> til selv at </w:t>
      </w:r>
      <w:proofErr w:type="spellStart"/>
      <w:r w:rsidRPr="00467DB0">
        <w:t>udføre</w:t>
      </w:r>
      <w:proofErr w:type="spellEnd"/>
      <w:r w:rsidRPr="00467DB0">
        <w:t>, og bør i</w:t>
      </w:r>
      <w:r w:rsidRPr="00467DB0">
        <w:t xml:space="preserve">kke berøre forvaltningen </w:t>
      </w:r>
      <w:proofErr w:type="spellStart"/>
      <w:r w:rsidRPr="00467DB0">
        <w:t>af</w:t>
      </w:r>
      <w:proofErr w:type="spellEnd"/>
      <w:r w:rsidRPr="00467DB0">
        <w:t xml:space="preserve"> programmet og tildelingen </w:t>
      </w:r>
      <w:proofErr w:type="spellStart"/>
      <w:r w:rsidRPr="00467DB0">
        <w:t>af</w:t>
      </w:r>
      <w:proofErr w:type="spellEnd"/>
      <w:r w:rsidRPr="00467DB0">
        <w:t xml:space="preserve"> </w:t>
      </w:r>
      <w:proofErr w:type="spellStart"/>
      <w:r w:rsidRPr="00467DB0">
        <w:t>opgaver</w:t>
      </w:r>
      <w:proofErr w:type="spellEnd"/>
      <w:r w:rsidRPr="00467DB0">
        <w:t xml:space="preserve"> som </w:t>
      </w:r>
      <w:proofErr w:type="spellStart"/>
      <w:r w:rsidRPr="00467DB0">
        <w:t>defineret</w:t>
      </w:r>
      <w:proofErr w:type="spellEnd"/>
      <w:r w:rsidRPr="00467DB0">
        <w:t xml:space="preserve"> i denne forordning.</w:t>
      </w:r>
    </w:p>
    <w:p w14:paraId="7B3530F8" w14:textId="77777777" w:rsidR="00000000" w:rsidRPr="00467DB0" w:rsidRDefault="00693D67" w:rsidP="00467DB0">
      <w:pPr>
        <w:pStyle w:val="friliste"/>
      </w:pPr>
      <w:r w:rsidRPr="00467DB0">
        <w:t>(47)</w:t>
      </w:r>
      <w:r w:rsidRPr="00467DB0">
        <w:tab/>
        <w:t xml:space="preserve">Galileo og EGNOS er komplekse systemer, som </w:t>
      </w:r>
      <w:proofErr w:type="spellStart"/>
      <w:r w:rsidRPr="00467DB0">
        <w:t>kræver</w:t>
      </w:r>
      <w:proofErr w:type="spellEnd"/>
      <w:r w:rsidRPr="00467DB0">
        <w:t xml:space="preserve"> intensiv samordning. </w:t>
      </w:r>
      <w:proofErr w:type="spellStart"/>
      <w:r w:rsidRPr="00467DB0">
        <w:t>Eftersom</w:t>
      </w:r>
      <w:proofErr w:type="spellEnd"/>
      <w:r w:rsidRPr="00467DB0">
        <w:t xml:space="preserve"> de </w:t>
      </w:r>
      <w:proofErr w:type="spellStart"/>
      <w:r w:rsidRPr="00467DB0">
        <w:t>udgør</w:t>
      </w:r>
      <w:proofErr w:type="spellEnd"/>
      <w:r w:rsidRPr="00467DB0">
        <w:t xml:space="preserve"> programmets komponenter, bør denne samordning </w:t>
      </w:r>
      <w:proofErr w:type="spellStart"/>
      <w:r w:rsidRPr="00467DB0">
        <w:t>gennemføres</w:t>
      </w:r>
      <w:proofErr w:type="spellEnd"/>
      <w:r w:rsidRPr="00467DB0">
        <w:t xml:space="preserve"> </w:t>
      </w:r>
      <w:proofErr w:type="spellStart"/>
      <w:r w:rsidRPr="00467DB0">
        <w:t>af</w:t>
      </w:r>
      <w:proofErr w:type="spellEnd"/>
      <w:r w:rsidRPr="00467DB0">
        <w:t xml:space="preserve"> e</w:t>
      </w:r>
      <w:r w:rsidRPr="00467DB0">
        <w:t>n EU-</w:t>
      </w:r>
      <w:proofErr w:type="spellStart"/>
      <w:r w:rsidRPr="00467DB0">
        <w:t>institution</w:t>
      </w:r>
      <w:proofErr w:type="spellEnd"/>
      <w:r w:rsidRPr="00467DB0">
        <w:t xml:space="preserve"> eller et EU-organ. Med </w:t>
      </w:r>
      <w:proofErr w:type="spellStart"/>
      <w:r w:rsidRPr="00467DB0">
        <w:t>udgangspunkt</w:t>
      </w:r>
      <w:proofErr w:type="spellEnd"/>
      <w:r w:rsidRPr="00467DB0">
        <w:t xml:space="preserve"> i den ekspertise, der er </w:t>
      </w:r>
      <w:proofErr w:type="spellStart"/>
      <w:r w:rsidRPr="00467DB0">
        <w:t>udviklet</w:t>
      </w:r>
      <w:proofErr w:type="spellEnd"/>
      <w:r w:rsidRPr="00467DB0">
        <w:t xml:space="preserve"> i de seneste år, er agenturet det </w:t>
      </w:r>
      <w:proofErr w:type="spellStart"/>
      <w:r w:rsidRPr="00467DB0">
        <w:t>bedst</w:t>
      </w:r>
      <w:proofErr w:type="spellEnd"/>
      <w:r w:rsidRPr="00467DB0">
        <w:t xml:space="preserve"> egnede organ til at samordne alle de </w:t>
      </w:r>
      <w:proofErr w:type="spellStart"/>
      <w:r w:rsidRPr="00467DB0">
        <w:t>operationelle</w:t>
      </w:r>
      <w:proofErr w:type="spellEnd"/>
      <w:r w:rsidRPr="00467DB0">
        <w:t xml:space="preserve"> </w:t>
      </w:r>
      <w:proofErr w:type="spellStart"/>
      <w:r w:rsidRPr="00467DB0">
        <w:t>opgaver</w:t>
      </w:r>
      <w:proofErr w:type="spellEnd"/>
      <w:r w:rsidRPr="00467DB0">
        <w:t xml:space="preserve"> i forbindelse med </w:t>
      </w:r>
      <w:proofErr w:type="spellStart"/>
      <w:r w:rsidRPr="00467DB0">
        <w:t>udnyttelsen</w:t>
      </w:r>
      <w:proofErr w:type="spellEnd"/>
      <w:r w:rsidRPr="00467DB0">
        <w:t xml:space="preserve"> </w:t>
      </w:r>
      <w:proofErr w:type="spellStart"/>
      <w:r w:rsidRPr="00467DB0">
        <w:t>af</w:t>
      </w:r>
      <w:proofErr w:type="spellEnd"/>
      <w:r w:rsidRPr="00467DB0">
        <w:t xml:space="preserve"> disse systemer med </w:t>
      </w:r>
      <w:proofErr w:type="spellStart"/>
      <w:r w:rsidRPr="00467DB0">
        <w:t>undtagelse</w:t>
      </w:r>
      <w:proofErr w:type="spellEnd"/>
      <w:r w:rsidRPr="00467DB0">
        <w:t xml:space="preserve"> </w:t>
      </w:r>
      <w:proofErr w:type="spellStart"/>
      <w:r w:rsidRPr="00467DB0">
        <w:t>af</w:t>
      </w:r>
      <w:proofErr w:type="spellEnd"/>
      <w:r w:rsidRPr="00467DB0">
        <w:t xml:space="preserve"> det </w:t>
      </w:r>
      <w:proofErr w:type="spellStart"/>
      <w:r w:rsidRPr="00467DB0">
        <w:t>internationale</w:t>
      </w:r>
      <w:proofErr w:type="spellEnd"/>
      <w:r w:rsidRPr="00467DB0">
        <w:t xml:space="preserve"> </w:t>
      </w:r>
      <w:proofErr w:type="spellStart"/>
      <w:r w:rsidRPr="00467DB0">
        <w:t>samarbejde</w:t>
      </w:r>
      <w:proofErr w:type="spellEnd"/>
      <w:r w:rsidRPr="00467DB0">
        <w:t xml:space="preserve">. Derfor bør agenturet betros forvaltningen </w:t>
      </w:r>
      <w:proofErr w:type="spellStart"/>
      <w:r w:rsidRPr="00467DB0">
        <w:t>af</w:t>
      </w:r>
      <w:proofErr w:type="spellEnd"/>
      <w:r w:rsidRPr="00467DB0">
        <w:t xml:space="preserve"> driften </w:t>
      </w:r>
      <w:proofErr w:type="spellStart"/>
      <w:r w:rsidRPr="00467DB0">
        <w:t>af</w:t>
      </w:r>
      <w:proofErr w:type="spellEnd"/>
      <w:r w:rsidRPr="00467DB0">
        <w:t xml:space="preserve"> EGNOS og Galileo. Dette betyder dog ikke, at agenturet </w:t>
      </w:r>
      <w:proofErr w:type="spellStart"/>
      <w:r w:rsidRPr="00467DB0">
        <w:t>egenhændigt</w:t>
      </w:r>
      <w:proofErr w:type="spellEnd"/>
      <w:r w:rsidRPr="00467DB0">
        <w:t xml:space="preserve"> bør </w:t>
      </w:r>
      <w:proofErr w:type="spellStart"/>
      <w:r w:rsidRPr="00467DB0">
        <w:t>udføre</w:t>
      </w:r>
      <w:proofErr w:type="spellEnd"/>
      <w:r w:rsidRPr="00467DB0">
        <w:t xml:space="preserve"> alle </w:t>
      </w:r>
      <w:proofErr w:type="spellStart"/>
      <w:r w:rsidRPr="00467DB0">
        <w:t>opgaver</w:t>
      </w:r>
      <w:proofErr w:type="spellEnd"/>
      <w:r w:rsidRPr="00467DB0">
        <w:t xml:space="preserve">, der vedrører driften </w:t>
      </w:r>
      <w:proofErr w:type="spellStart"/>
      <w:r w:rsidRPr="00467DB0">
        <w:t>af</w:t>
      </w:r>
      <w:proofErr w:type="spellEnd"/>
      <w:r w:rsidRPr="00467DB0">
        <w:t xml:space="preserve"> disse systemer. Det kan </w:t>
      </w:r>
      <w:proofErr w:type="spellStart"/>
      <w:r w:rsidRPr="00467DB0">
        <w:t>trække</w:t>
      </w:r>
      <w:proofErr w:type="spellEnd"/>
      <w:r w:rsidRPr="00467DB0">
        <w:t xml:space="preserve"> på ekspertise fra andre </w:t>
      </w:r>
      <w:proofErr w:type="spellStart"/>
      <w:r w:rsidRPr="00467DB0">
        <w:t>en</w:t>
      </w:r>
      <w:r w:rsidRPr="00467DB0">
        <w:t>heder</w:t>
      </w:r>
      <w:proofErr w:type="spellEnd"/>
      <w:r w:rsidRPr="00467DB0">
        <w:t xml:space="preserve">, navnlig ESA. Dette bør omfatte de aktiviteter, som er knyttet til </w:t>
      </w:r>
      <w:proofErr w:type="spellStart"/>
      <w:r w:rsidRPr="00467DB0">
        <w:t>systemudvikling</w:t>
      </w:r>
      <w:proofErr w:type="spellEnd"/>
      <w:r w:rsidRPr="00467DB0">
        <w:t xml:space="preserve">, </w:t>
      </w:r>
      <w:proofErr w:type="spellStart"/>
      <w:r w:rsidRPr="00467DB0">
        <w:t>udformning</w:t>
      </w:r>
      <w:proofErr w:type="spellEnd"/>
      <w:r w:rsidRPr="00467DB0">
        <w:t xml:space="preserve"> samt </w:t>
      </w:r>
      <w:proofErr w:type="spellStart"/>
      <w:r w:rsidRPr="00467DB0">
        <w:t>udvikling</w:t>
      </w:r>
      <w:proofErr w:type="spellEnd"/>
      <w:r w:rsidRPr="00467DB0">
        <w:t xml:space="preserve"> </w:t>
      </w:r>
      <w:proofErr w:type="spellStart"/>
      <w:r w:rsidRPr="00467DB0">
        <w:t>af</w:t>
      </w:r>
      <w:proofErr w:type="spellEnd"/>
      <w:r w:rsidRPr="00467DB0">
        <w:t xml:space="preserve"> dele </w:t>
      </w:r>
      <w:proofErr w:type="spellStart"/>
      <w:r w:rsidRPr="00467DB0">
        <w:t>af</w:t>
      </w:r>
      <w:proofErr w:type="spellEnd"/>
      <w:r w:rsidRPr="00467DB0">
        <w:t xml:space="preserve"> jordsegmentet og satellitter, der bør overdrages til ESA. Tildelingen </w:t>
      </w:r>
      <w:proofErr w:type="spellStart"/>
      <w:r w:rsidRPr="00467DB0">
        <w:t>af</w:t>
      </w:r>
      <w:proofErr w:type="spellEnd"/>
      <w:r w:rsidRPr="00467DB0">
        <w:t xml:space="preserve"> </w:t>
      </w:r>
      <w:proofErr w:type="spellStart"/>
      <w:r w:rsidRPr="00467DB0">
        <w:t>opgaver</w:t>
      </w:r>
      <w:proofErr w:type="spellEnd"/>
      <w:r w:rsidRPr="00467DB0">
        <w:t xml:space="preserve"> til andre </w:t>
      </w:r>
      <w:proofErr w:type="spellStart"/>
      <w:r w:rsidRPr="00467DB0">
        <w:t>enheder</w:t>
      </w:r>
      <w:proofErr w:type="spellEnd"/>
      <w:r w:rsidRPr="00467DB0">
        <w:t xml:space="preserve"> baseres på sådanne </w:t>
      </w:r>
      <w:proofErr w:type="spellStart"/>
      <w:r w:rsidRPr="00467DB0">
        <w:t>enheders</w:t>
      </w:r>
      <w:proofErr w:type="spellEnd"/>
      <w:r w:rsidRPr="00467DB0">
        <w:t xml:space="preserve"> </w:t>
      </w:r>
      <w:proofErr w:type="spellStart"/>
      <w:r w:rsidRPr="00467DB0">
        <w:t>ko</w:t>
      </w:r>
      <w:r w:rsidRPr="00467DB0">
        <w:t>mpetence</w:t>
      </w:r>
      <w:proofErr w:type="spellEnd"/>
      <w:r w:rsidRPr="00467DB0">
        <w:t xml:space="preserve">, </w:t>
      </w:r>
      <w:proofErr w:type="gramStart"/>
      <w:r w:rsidRPr="00467DB0">
        <w:t>således</w:t>
      </w:r>
      <w:proofErr w:type="gramEnd"/>
      <w:r w:rsidRPr="00467DB0">
        <w:t xml:space="preserve"> at </w:t>
      </w:r>
      <w:proofErr w:type="spellStart"/>
      <w:r w:rsidRPr="00467DB0">
        <w:t>dobbeltarbejde</w:t>
      </w:r>
      <w:proofErr w:type="spellEnd"/>
      <w:r w:rsidRPr="00467DB0">
        <w:t xml:space="preserve"> </w:t>
      </w:r>
      <w:proofErr w:type="spellStart"/>
      <w:r w:rsidRPr="00467DB0">
        <w:t>undgås</w:t>
      </w:r>
      <w:proofErr w:type="spellEnd"/>
      <w:r w:rsidRPr="00467DB0">
        <w:t>.</w:t>
      </w:r>
    </w:p>
    <w:p w14:paraId="42A4968D" w14:textId="77777777" w:rsidR="00000000" w:rsidRPr="00467DB0" w:rsidRDefault="00693D67" w:rsidP="00467DB0">
      <w:pPr>
        <w:pStyle w:val="friliste"/>
      </w:pPr>
      <w:r w:rsidRPr="00467DB0">
        <w:t>(48)</w:t>
      </w:r>
      <w:r w:rsidRPr="00467DB0">
        <w:tab/>
        <w:t xml:space="preserve">ESA er en </w:t>
      </w:r>
      <w:proofErr w:type="spellStart"/>
      <w:r w:rsidRPr="00467DB0">
        <w:t>international</w:t>
      </w:r>
      <w:proofErr w:type="spellEnd"/>
      <w:r w:rsidRPr="00467DB0">
        <w:t xml:space="preserve"> </w:t>
      </w:r>
      <w:proofErr w:type="spellStart"/>
      <w:r w:rsidRPr="00467DB0">
        <w:t>organisation</w:t>
      </w:r>
      <w:proofErr w:type="spellEnd"/>
      <w:r w:rsidRPr="00467DB0">
        <w:t xml:space="preserve"> med omfattende ekspertise på </w:t>
      </w:r>
      <w:proofErr w:type="spellStart"/>
      <w:r w:rsidRPr="00467DB0">
        <w:t>rumområdet</w:t>
      </w:r>
      <w:proofErr w:type="spellEnd"/>
      <w:r w:rsidRPr="00467DB0">
        <w:t xml:space="preserve">, som </w:t>
      </w:r>
      <w:proofErr w:type="spellStart"/>
      <w:r w:rsidRPr="00467DB0">
        <w:t>indgik</w:t>
      </w:r>
      <w:proofErr w:type="spellEnd"/>
      <w:r w:rsidRPr="00467DB0">
        <w:t xml:space="preserve"> en </w:t>
      </w:r>
      <w:proofErr w:type="spellStart"/>
      <w:r w:rsidRPr="00467DB0">
        <w:t>rammeaftale</w:t>
      </w:r>
      <w:proofErr w:type="spellEnd"/>
      <w:r w:rsidRPr="00467DB0">
        <w:t xml:space="preserve"> med Det </w:t>
      </w:r>
      <w:proofErr w:type="spellStart"/>
      <w:r w:rsidRPr="00467DB0">
        <w:t>Europæiske</w:t>
      </w:r>
      <w:proofErr w:type="spellEnd"/>
      <w:r w:rsidRPr="00467DB0">
        <w:t xml:space="preserve"> </w:t>
      </w:r>
      <w:proofErr w:type="spellStart"/>
      <w:r w:rsidRPr="00467DB0">
        <w:t>Fællesskab</w:t>
      </w:r>
      <w:proofErr w:type="spellEnd"/>
      <w:r w:rsidRPr="00467DB0">
        <w:t xml:space="preserve"> i 2004 ("2004-rammeaftalen")</w:t>
      </w:r>
      <w:r w:rsidRPr="00467DB0">
        <w:rPr>
          <w:rStyle w:val="Fotnotereferanse"/>
        </w:rPr>
        <w:footnoteReference w:id="19"/>
      </w:r>
      <w:r w:rsidRPr="00467DB0">
        <w:t>. Den er der</w:t>
      </w:r>
      <w:r w:rsidRPr="00467DB0">
        <w:lastRenderedPageBreak/>
        <w:t xml:space="preserve">for i </w:t>
      </w:r>
      <w:proofErr w:type="spellStart"/>
      <w:r w:rsidRPr="00467DB0">
        <w:t>gennemførelsen</w:t>
      </w:r>
      <w:proofErr w:type="spellEnd"/>
      <w:r w:rsidRPr="00467DB0">
        <w:t xml:space="preserve"> </w:t>
      </w:r>
      <w:proofErr w:type="spellStart"/>
      <w:r w:rsidRPr="00467DB0">
        <w:t>af</w:t>
      </w:r>
      <w:proofErr w:type="spellEnd"/>
      <w:r w:rsidRPr="00467DB0">
        <w:t xml:space="preserve"> programmet en </w:t>
      </w:r>
      <w:proofErr w:type="spellStart"/>
      <w:r w:rsidRPr="00467DB0">
        <w:t>vigtig</w:t>
      </w:r>
      <w:proofErr w:type="spellEnd"/>
      <w:r w:rsidRPr="00467DB0">
        <w:t xml:space="preserve"> partner, som der bør etableres passende forbindelser med. I den forbindelse bør </w:t>
      </w:r>
      <w:proofErr w:type="spellStart"/>
      <w:r w:rsidRPr="00467DB0">
        <w:t>Kommissionen</w:t>
      </w:r>
      <w:proofErr w:type="spellEnd"/>
      <w:r w:rsidRPr="00467DB0">
        <w:t xml:space="preserve"> i overensstemmelse med finansforordningen </w:t>
      </w:r>
      <w:proofErr w:type="spellStart"/>
      <w:r w:rsidRPr="00467DB0">
        <w:t>indgå</w:t>
      </w:r>
      <w:proofErr w:type="spellEnd"/>
      <w:r w:rsidRPr="00467DB0">
        <w:t xml:space="preserve"> en </w:t>
      </w:r>
      <w:proofErr w:type="spellStart"/>
      <w:r w:rsidRPr="00467DB0">
        <w:t>finansiel</w:t>
      </w:r>
      <w:proofErr w:type="spellEnd"/>
      <w:r w:rsidRPr="00467DB0">
        <w:t xml:space="preserve"> </w:t>
      </w:r>
      <w:proofErr w:type="spellStart"/>
      <w:r w:rsidRPr="00467DB0">
        <w:t>partnerskabsra</w:t>
      </w:r>
      <w:r w:rsidRPr="00467DB0">
        <w:t>mmeaftale</w:t>
      </w:r>
      <w:proofErr w:type="spellEnd"/>
      <w:r w:rsidRPr="00467DB0">
        <w:t xml:space="preserve"> med ESA og agenturet, som </w:t>
      </w:r>
      <w:proofErr w:type="spellStart"/>
      <w:r w:rsidRPr="00467DB0">
        <w:t>fastsætter</w:t>
      </w:r>
      <w:proofErr w:type="spellEnd"/>
      <w:r w:rsidRPr="00467DB0">
        <w:t xml:space="preserve"> alle finansielle forbindelser </w:t>
      </w:r>
      <w:proofErr w:type="spellStart"/>
      <w:r w:rsidRPr="00467DB0">
        <w:t>mellem</w:t>
      </w:r>
      <w:proofErr w:type="spellEnd"/>
      <w:r w:rsidRPr="00467DB0">
        <w:t xml:space="preserve"> </w:t>
      </w:r>
      <w:proofErr w:type="spellStart"/>
      <w:r w:rsidRPr="00467DB0">
        <w:t>Kommissionen</w:t>
      </w:r>
      <w:proofErr w:type="spellEnd"/>
      <w:r w:rsidRPr="00467DB0">
        <w:t xml:space="preserve">, agenturet og ESA og sikrer </w:t>
      </w:r>
      <w:proofErr w:type="spellStart"/>
      <w:r w:rsidRPr="00467DB0">
        <w:t>sammenhæng</w:t>
      </w:r>
      <w:proofErr w:type="spellEnd"/>
      <w:r w:rsidRPr="00467DB0">
        <w:t xml:space="preserve"> og overensstemmelse med 2004-rammeaftalen, særlig </w:t>
      </w:r>
      <w:proofErr w:type="spellStart"/>
      <w:r w:rsidRPr="00467DB0">
        <w:t>artikel</w:t>
      </w:r>
      <w:proofErr w:type="spellEnd"/>
      <w:r w:rsidRPr="00467DB0">
        <w:t xml:space="preserve"> 2 og 5. </w:t>
      </w:r>
      <w:proofErr w:type="spellStart"/>
      <w:r w:rsidRPr="00467DB0">
        <w:t>Eftersom</w:t>
      </w:r>
      <w:proofErr w:type="spellEnd"/>
      <w:r w:rsidRPr="00467DB0">
        <w:t xml:space="preserve"> ESA ikke er et EU-organ og ikke er omfattet </w:t>
      </w:r>
      <w:proofErr w:type="spellStart"/>
      <w:r w:rsidRPr="00467DB0">
        <w:t>a</w:t>
      </w:r>
      <w:r w:rsidRPr="00467DB0">
        <w:t>f</w:t>
      </w:r>
      <w:proofErr w:type="spellEnd"/>
      <w:r w:rsidRPr="00467DB0">
        <w:t xml:space="preserve"> EU-retten, er det </w:t>
      </w:r>
      <w:proofErr w:type="spellStart"/>
      <w:r w:rsidRPr="00467DB0">
        <w:t>afgørende</w:t>
      </w:r>
      <w:proofErr w:type="spellEnd"/>
      <w:r w:rsidRPr="00467DB0">
        <w:t xml:space="preserve">, at ESA </w:t>
      </w:r>
      <w:proofErr w:type="spellStart"/>
      <w:r w:rsidRPr="00467DB0">
        <w:t>træffer</w:t>
      </w:r>
      <w:proofErr w:type="spellEnd"/>
      <w:r w:rsidRPr="00467DB0">
        <w:t xml:space="preserve"> passende foranstaltninger for at sikre beskyttelsen </w:t>
      </w:r>
      <w:proofErr w:type="spellStart"/>
      <w:r w:rsidRPr="00467DB0">
        <w:t>af</w:t>
      </w:r>
      <w:proofErr w:type="spellEnd"/>
      <w:r w:rsidRPr="00467DB0">
        <w:t xml:space="preserve"> Unionens og </w:t>
      </w:r>
      <w:proofErr w:type="spellStart"/>
      <w:r w:rsidRPr="00467DB0">
        <w:t>medlemsstaternes</w:t>
      </w:r>
      <w:proofErr w:type="spellEnd"/>
      <w:r w:rsidRPr="00467DB0">
        <w:t xml:space="preserve"> interesser, og, </w:t>
      </w:r>
      <w:proofErr w:type="spellStart"/>
      <w:r w:rsidRPr="00467DB0">
        <w:t>hvad</w:t>
      </w:r>
      <w:proofErr w:type="spellEnd"/>
      <w:r w:rsidRPr="00467DB0">
        <w:t xml:space="preserve"> </w:t>
      </w:r>
      <w:proofErr w:type="spellStart"/>
      <w:r w:rsidRPr="00467DB0">
        <w:t>budgetgennemførelsen</w:t>
      </w:r>
      <w:proofErr w:type="spellEnd"/>
      <w:r w:rsidRPr="00467DB0">
        <w:t xml:space="preserve"> angår, at de </w:t>
      </w:r>
      <w:proofErr w:type="spellStart"/>
      <w:r w:rsidRPr="00467DB0">
        <w:t>opgaver</w:t>
      </w:r>
      <w:proofErr w:type="spellEnd"/>
      <w:r w:rsidRPr="00467DB0">
        <w:t xml:space="preserve">, den har </w:t>
      </w:r>
      <w:proofErr w:type="spellStart"/>
      <w:r w:rsidRPr="00467DB0">
        <w:t>fået</w:t>
      </w:r>
      <w:proofErr w:type="spellEnd"/>
      <w:r w:rsidRPr="00467DB0">
        <w:t xml:space="preserve"> pålagt, er i overensstemmelse med </w:t>
      </w:r>
      <w:proofErr w:type="spellStart"/>
      <w:r w:rsidRPr="00467DB0">
        <w:t>afgørelser</w:t>
      </w:r>
      <w:proofErr w:type="spellEnd"/>
      <w:r w:rsidRPr="00467DB0">
        <w:t xml:space="preserve"> truf</w:t>
      </w:r>
      <w:r w:rsidRPr="00467DB0">
        <w:t xml:space="preserve">fet </w:t>
      </w:r>
      <w:proofErr w:type="spellStart"/>
      <w:r w:rsidRPr="00467DB0">
        <w:t>af</w:t>
      </w:r>
      <w:proofErr w:type="spellEnd"/>
      <w:r w:rsidRPr="00467DB0">
        <w:t xml:space="preserve"> </w:t>
      </w:r>
      <w:proofErr w:type="spellStart"/>
      <w:r w:rsidRPr="00467DB0">
        <w:t>Kommissionen</w:t>
      </w:r>
      <w:proofErr w:type="spellEnd"/>
      <w:r w:rsidRPr="00467DB0">
        <w:t xml:space="preserve">. </w:t>
      </w:r>
      <w:proofErr w:type="spellStart"/>
      <w:r w:rsidRPr="00467DB0">
        <w:t>Aftalen</w:t>
      </w:r>
      <w:proofErr w:type="spellEnd"/>
      <w:r w:rsidRPr="00467DB0">
        <w:t xml:space="preserve"> bør også </w:t>
      </w:r>
      <w:proofErr w:type="spellStart"/>
      <w:r w:rsidRPr="00467DB0">
        <w:t>indeholde</w:t>
      </w:r>
      <w:proofErr w:type="spellEnd"/>
      <w:r w:rsidRPr="00467DB0">
        <w:t xml:space="preserve"> alle de bestemmelser, der er nødvendige for at beskytte Unionens finansielle interesser.</w:t>
      </w:r>
    </w:p>
    <w:p w14:paraId="3F306DD3" w14:textId="77777777" w:rsidR="00000000" w:rsidRPr="00467DB0" w:rsidRDefault="00693D67" w:rsidP="00467DB0">
      <w:pPr>
        <w:pStyle w:val="friliste"/>
      </w:pPr>
      <w:r w:rsidRPr="00467DB0">
        <w:t>(49)</w:t>
      </w:r>
      <w:r w:rsidRPr="00467DB0">
        <w:tab/>
        <w:t>EU-</w:t>
      </w:r>
      <w:proofErr w:type="spellStart"/>
      <w:r w:rsidRPr="00467DB0">
        <w:t>Satellitcentret</w:t>
      </w:r>
      <w:proofErr w:type="spellEnd"/>
      <w:r w:rsidRPr="00467DB0">
        <w:t xml:space="preserve"> (</w:t>
      </w:r>
      <w:proofErr w:type="spellStart"/>
      <w:r w:rsidRPr="00467DB0">
        <w:t>Satcen</w:t>
      </w:r>
      <w:proofErr w:type="spellEnd"/>
      <w:r w:rsidRPr="00467DB0">
        <w:t xml:space="preserve">), der fungerer som en </w:t>
      </w:r>
      <w:proofErr w:type="spellStart"/>
      <w:r w:rsidRPr="00467DB0">
        <w:t>europæisk</w:t>
      </w:r>
      <w:proofErr w:type="spellEnd"/>
      <w:r w:rsidRPr="00467DB0">
        <w:t xml:space="preserve"> </w:t>
      </w:r>
      <w:proofErr w:type="spellStart"/>
      <w:r w:rsidRPr="00467DB0">
        <w:t>selvstændig</w:t>
      </w:r>
      <w:proofErr w:type="spellEnd"/>
      <w:r w:rsidRPr="00467DB0">
        <w:t xml:space="preserve"> </w:t>
      </w:r>
      <w:proofErr w:type="spellStart"/>
      <w:r w:rsidRPr="00467DB0">
        <w:t>kapacitet</w:t>
      </w:r>
      <w:proofErr w:type="spellEnd"/>
      <w:r w:rsidRPr="00467DB0">
        <w:t xml:space="preserve"> og sørger for adgang til </w:t>
      </w:r>
      <w:proofErr w:type="spellStart"/>
      <w:r w:rsidRPr="00467DB0">
        <w:t>informat</w:t>
      </w:r>
      <w:r w:rsidRPr="00467DB0">
        <w:t>ion</w:t>
      </w:r>
      <w:proofErr w:type="spellEnd"/>
      <w:r w:rsidRPr="00467DB0">
        <w:t xml:space="preserve"> og tjenester </w:t>
      </w:r>
      <w:proofErr w:type="spellStart"/>
      <w:r w:rsidRPr="00467DB0">
        <w:t>hidrørende</w:t>
      </w:r>
      <w:proofErr w:type="spellEnd"/>
      <w:r w:rsidRPr="00467DB0">
        <w:t xml:space="preserve"> fra </w:t>
      </w:r>
      <w:proofErr w:type="spellStart"/>
      <w:r w:rsidRPr="00467DB0">
        <w:t>udnyttelsen</w:t>
      </w:r>
      <w:proofErr w:type="spellEnd"/>
      <w:r w:rsidRPr="00467DB0">
        <w:t xml:space="preserve"> </w:t>
      </w:r>
      <w:proofErr w:type="spellStart"/>
      <w:r w:rsidRPr="00467DB0">
        <w:t>af</w:t>
      </w:r>
      <w:proofErr w:type="spellEnd"/>
      <w:r w:rsidRPr="00467DB0">
        <w:t xml:space="preserve"> relevante </w:t>
      </w:r>
      <w:proofErr w:type="spellStart"/>
      <w:r w:rsidRPr="00467DB0">
        <w:t>rumaktiver</w:t>
      </w:r>
      <w:proofErr w:type="spellEnd"/>
      <w:r w:rsidRPr="00467DB0">
        <w:t xml:space="preserve"> og supplerende data, blev allerede </w:t>
      </w:r>
      <w:proofErr w:type="spellStart"/>
      <w:r w:rsidRPr="00467DB0">
        <w:t>anerkendt</w:t>
      </w:r>
      <w:proofErr w:type="spellEnd"/>
      <w:r w:rsidRPr="00467DB0">
        <w:t xml:space="preserve"> 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Europa-Parlamentets og Rådets </w:t>
      </w:r>
      <w:proofErr w:type="spellStart"/>
      <w:r w:rsidRPr="00467DB0">
        <w:t>afgørelse</w:t>
      </w:r>
      <w:proofErr w:type="spellEnd"/>
      <w:r w:rsidRPr="00467DB0">
        <w:t xml:space="preserve"> nr. 541/2014/EU</w:t>
      </w:r>
      <w:r w:rsidRPr="00467DB0">
        <w:rPr>
          <w:rStyle w:val="Fotnotereferanse"/>
        </w:rPr>
        <w:footnoteReference w:id="20"/>
      </w:r>
      <w:r w:rsidRPr="00467DB0">
        <w:t>.</w:t>
      </w:r>
    </w:p>
    <w:p w14:paraId="3FF1FFE2" w14:textId="77777777" w:rsidR="00000000" w:rsidRPr="00467DB0" w:rsidRDefault="00693D67" w:rsidP="00467DB0">
      <w:pPr>
        <w:pStyle w:val="friliste"/>
      </w:pPr>
      <w:r w:rsidRPr="00467DB0">
        <w:t>(50)</w:t>
      </w:r>
      <w:r w:rsidRPr="00467DB0">
        <w:tab/>
        <w:t xml:space="preserve">Med </w:t>
      </w:r>
      <w:proofErr w:type="spellStart"/>
      <w:r w:rsidRPr="00467DB0">
        <w:t>henblik</w:t>
      </w:r>
      <w:proofErr w:type="spellEnd"/>
      <w:r w:rsidRPr="00467DB0">
        <w:t xml:space="preserve"> på en </w:t>
      </w:r>
      <w:proofErr w:type="spellStart"/>
      <w:r w:rsidRPr="00467DB0">
        <w:t>strukturel</w:t>
      </w:r>
      <w:proofErr w:type="spellEnd"/>
      <w:r w:rsidRPr="00467DB0">
        <w:t xml:space="preserve"> integrering </w:t>
      </w:r>
      <w:proofErr w:type="spellStart"/>
      <w:r w:rsidRPr="00467DB0">
        <w:t>af</w:t>
      </w:r>
      <w:proofErr w:type="spellEnd"/>
      <w:r w:rsidRPr="00467DB0">
        <w:t xml:space="preserve"> </w:t>
      </w:r>
      <w:proofErr w:type="spellStart"/>
      <w:r w:rsidRPr="00467DB0">
        <w:t>brugerrepræsentationen</w:t>
      </w:r>
      <w:proofErr w:type="spellEnd"/>
      <w:r w:rsidRPr="00467DB0">
        <w:t xml:space="preserve"> i forvaltningen </w:t>
      </w:r>
      <w:proofErr w:type="spellStart"/>
      <w:r w:rsidRPr="00467DB0">
        <w:t>af</w:t>
      </w:r>
      <w:proofErr w:type="spellEnd"/>
      <w:r w:rsidRPr="00467DB0">
        <w:t xml:space="preserve"> GOVSATCOM og en aggregering </w:t>
      </w:r>
      <w:proofErr w:type="spellStart"/>
      <w:r w:rsidRPr="00467DB0">
        <w:t>af</w:t>
      </w:r>
      <w:proofErr w:type="spellEnd"/>
      <w:r w:rsidRPr="00467DB0">
        <w:t xml:space="preserve"> </w:t>
      </w:r>
      <w:proofErr w:type="spellStart"/>
      <w:r w:rsidRPr="00467DB0">
        <w:t>bruge</w:t>
      </w:r>
      <w:r w:rsidRPr="00467DB0">
        <w:t>rnes</w:t>
      </w:r>
      <w:proofErr w:type="spellEnd"/>
      <w:r w:rsidRPr="00467DB0">
        <w:t xml:space="preserve"> behov og krav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t>nationale</w:t>
      </w:r>
      <w:proofErr w:type="spellEnd"/>
      <w:r w:rsidRPr="00467DB0">
        <w:t xml:space="preserve"> og </w:t>
      </w:r>
      <w:proofErr w:type="spellStart"/>
      <w:r w:rsidRPr="00467DB0">
        <w:t>civil</w:t>
      </w:r>
      <w:proofErr w:type="spellEnd"/>
      <w:r w:rsidRPr="00467DB0">
        <w:t xml:space="preserve">-militære </w:t>
      </w:r>
      <w:proofErr w:type="spellStart"/>
      <w:r w:rsidRPr="00467DB0">
        <w:t>grænser</w:t>
      </w:r>
      <w:proofErr w:type="spellEnd"/>
      <w:r w:rsidRPr="00467DB0">
        <w:t xml:space="preserve"> kan de relevante EU-</w:t>
      </w:r>
      <w:proofErr w:type="spellStart"/>
      <w:r w:rsidRPr="00467DB0">
        <w:t>enheder</w:t>
      </w:r>
      <w:proofErr w:type="spellEnd"/>
      <w:r w:rsidRPr="00467DB0">
        <w:t xml:space="preserve">, som er </w:t>
      </w:r>
      <w:proofErr w:type="spellStart"/>
      <w:r w:rsidRPr="00467DB0">
        <w:t>tæt</w:t>
      </w:r>
      <w:proofErr w:type="spellEnd"/>
      <w:r w:rsidRPr="00467DB0">
        <w:t xml:space="preserve"> på </w:t>
      </w:r>
      <w:proofErr w:type="spellStart"/>
      <w:r w:rsidRPr="00467DB0">
        <w:t>brugerne</w:t>
      </w:r>
      <w:proofErr w:type="spellEnd"/>
      <w:r w:rsidRPr="00467DB0">
        <w:t xml:space="preserve">, såsom Det </w:t>
      </w:r>
      <w:proofErr w:type="spellStart"/>
      <w:r w:rsidRPr="00467DB0">
        <w:t>Europæiske</w:t>
      </w:r>
      <w:proofErr w:type="spellEnd"/>
      <w:r w:rsidRPr="00467DB0">
        <w:t xml:space="preserve"> Forsvarsagentur, Det </w:t>
      </w:r>
      <w:proofErr w:type="spellStart"/>
      <w:r w:rsidRPr="00467DB0">
        <w:t>Europæiske</w:t>
      </w:r>
      <w:proofErr w:type="spellEnd"/>
      <w:r w:rsidRPr="00467DB0">
        <w:t xml:space="preserve"> Agentur for </w:t>
      </w:r>
      <w:proofErr w:type="spellStart"/>
      <w:r w:rsidRPr="00467DB0">
        <w:t>Grænse</w:t>
      </w:r>
      <w:proofErr w:type="spellEnd"/>
      <w:r w:rsidRPr="00467DB0">
        <w:t xml:space="preserve">- og </w:t>
      </w:r>
      <w:proofErr w:type="spellStart"/>
      <w:r w:rsidRPr="00467DB0">
        <w:t>Kystbevogtning</w:t>
      </w:r>
      <w:proofErr w:type="spellEnd"/>
      <w:r w:rsidRPr="00467DB0">
        <w:t xml:space="preserve"> (</w:t>
      </w:r>
      <w:proofErr w:type="spellStart"/>
      <w:r w:rsidRPr="00467DB0">
        <w:t>Frontex</w:t>
      </w:r>
      <w:proofErr w:type="spellEnd"/>
      <w:r w:rsidRPr="00467DB0">
        <w:t xml:space="preserve">), Det </w:t>
      </w:r>
      <w:proofErr w:type="spellStart"/>
      <w:r w:rsidRPr="00467DB0">
        <w:t>Europæiske</w:t>
      </w:r>
      <w:proofErr w:type="spellEnd"/>
      <w:r w:rsidRPr="00467DB0">
        <w:t xml:space="preserve"> Agentur for </w:t>
      </w:r>
      <w:proofErr w:type="spellStart"/>
      <w:r w:rsidRPr="00467DB0">
        <w:t>Søfarts</w:t>
      </w:r>
      <w:r w:rsidRPr="00467DB0">
        <w:t>sikkerhed</w:t>
      </w:r>
      <w:proofErr w:type="spellEnd"/>
      <w:r w:rsidRPr="00467DB0">
        <w:t>, EU-</w:t>
      </w:r>
      <w:proofErr w:type="spellStart"/>
      <w:r w:rsidRPr="00467DB0">
        <w:t>Fiskerikontrolagenturet</w:t>
      </w:r>
      <w:proofErr w:type="spellEnd"/>
      <w:r w:rsidRPr="00467DB0">
        <w:t xml:space="preserve">, Den </w:t>
      </w:r>
      <w:proofErr w:type="spellStart"/>
      <w:r w:rsidRPr="00467DB0">
        <w:t>Europæiske</w:t>
      </w:r>
      <w:proofErr w:type="spellEnd"/>
      <w:r w:rsidRPr="00467DB0">
        <w:t xml:space="preserve"> Unions Agentur for </w:t>
      </w:r>
      <w:proofErr w:type="spellStart"/>
      <w:r w:rsidRPr="00467DB0">
        <w:t>Retshåndhævelsessamarbejde</w:t>
      </w:r>
      <w:proofErr w:type="spellEnd"/>
      <w:r w:rsidRPr="00467DB0">
        <w:t xml:space="preserve">, Den Militære </w:t>
      </w:r>
      <w:proofErr w:type="spellStart"/>
      <w:r w:rsidRPr="00467DB0">
        <w:t>Planlægnings</w:t>
      </w:r>
      <w:proofErr w:type="spellEnd"/>
      <w:r w:rsidRPr="00467DB0">
        <w:t xml:space="preserve">- og </w:t>
      </w:r>
      <w:proofErr w:type="spellStart"/>
      <w:r w:rsidRPr="00467DB0">
        <w:t>Gennemførelseskapabilitet</w:t>
      </w:r>
      <w:proofErr w:type="spellEnd"/>
      <w:r w:rsidRPr="00467DB0">
        <w:t xml:space="preserve">/Den </w:t>
      </w:r>
      <w:proofErr w:type="spellStart"/>
      <w:r w:rsidRPr="00467DB0">
        <w:t>Civile</w:t>
      </w:r>
      <w:proofErr w:type="spellEnd"/>
      <w:r w:rsidRPr="00467DB0">
        <w:t xml:space="preserve"> </w:t>
      </w:r>
      <w:proofErr w:type="spellStart"/>
      <w:r w:rsidRPr="00467DB0">
        <w:t>Planlægnings</w:t>
      </w:r>
      <w:proofErr w:type="spellEnd"/>
      <w:r w:rsidRPr="00467DB0">
        <w:t xml:space="preserve">- og </w:t>
      </w:r>
      <w:proofErr w:type="spellStart"/>
      <w:r w:rsidRPr="00467DB0">
        <w:t>Gennemførelseskapacitet</w:t>
      </w:r>
      <w:proofErr w:type="spellEnd"/>
      <w:r w:rsidRPr="00467DB0">
        <w:t xml:space="preserve"> og Det </w:t>
      </w:r>
      <w:proofErr w:type="spellStart"/>
      <w:r w:rsidRPr="00467DB0">
        <w:t>Europæiske</w:t>
      </w:r>
      <w:proofErr w:type="spellEnd"/>
      <w:r w:rsidRPr="00467DB0">
        <w:t xml:space="preserve"> </w:t>
      </w:r>
      <w:proofErr w:type="spellStart"/>
      <w:r w:rsidRPr="00467DB0">
        <w:t>Beredskabskoordineringscenter</w:t>
      </w:r>
      <w:proofErr w:type="spellEnd"/>
      <w:r w:rsidRPr="00467DB0">
        <w:t xml:space="preserve">, have koordinerende </w:t>
      </w:r>
      <w:proofErr w:type="spellStart"/>
      <w:r w:rsidRPr="00467DB0">
        <w:t>funktioner</w:t>
      </w:r>
      <w:proofErr w:type="spellEnd"/>
      <w:r w:rsidRPr="00467DB0">
        <w:t xml:space="preserve"> for så vidt angår </w:t>
      </w:r>
      <w:proofErr w:type="spellStart"/>
      <w:r w:rsidRPr="00467DB0">
        <w:t>specifikke</w:t>
      </w:r>
      <w:proofErr w:type="spellEnd"/>
      <w:r w:rsidRPr="00467DB0">
        <w:t xml:space="preserve"> </w:t>
      </w:r>
      <w:proofErr w:type="spellStart"/>
      <w:r w:rsidRPr="00467DB0">
        <w:t>brugergrupper</w:t>
      </w:r>
      <w:proofErr w:type="spellEnd"/>
      <w:r w:rsidRPr="00467DB0">
        <w:t xml:space="preserve">. På et </w:t>
      </w:r>
      <w:proofErr w:type="spellStart"/>
      <w:r w:rsidRPr="00467DB0">
        <w:t>aggregeret</w:t>
      </w:r>
      <w:proofErr w:type="spellEnd"/>
      <w:r w:rsidRPr="00467DB0">
        <w:t xml:space="preserve"> plan bør agenturet samordne </w:t>
      </w:r>
      <w:proofErr w:type="spellStart"/>
      <w:r w:rsidRPr="00467DB0">
        <w:t>brugerrelaterede</w:t>
      </w:r>
      <w:proofErr w:type="spellEnd"/>
      <w:r w:rsidRPr="00467DB0">
        <w:t xml:space="preserve"> aspekter for de </w:t>
      </w:r>
      <w:proofErr w:type="spellStart"/>
      <w:r w:rsidRPr="00467DB0">
        <w:t>civile</w:t>
      </w:r>
      <w:proofErr w:type="spellEnd"/>
      <w:r w:rsidRPr="00467DB0">
        <w:t xml:space="preserve"> </w:t>
      </w:r>
      <w:proofErr w:type="spellStart"/>
      <w:r w:rsidRPr="00467DB0">
        <w:t>brugersamfund</w:t>
      </w:r>
      <w:proofErr w:type="spellEnd"/>
      <w:r w:rsidRPr="00467DB0">
        <w:t xml:space="preserve"> og kan </w:t>
      </w:r>
      <w:proofErr w:type="spellStart"/>
      <w:r w:rsidRPr="00467DB0">
        <w:t>overvåge</w:t>
      </w:r>
      <w:proofErr w:type="spellEnd"/>
      <w:r w:rsidRPr="00467DB0">
        <w:t xml:space="preserve"> </w:t>
      </w:r>
      <w:proofErr w:type="spellStart"/>
      <w:r w:rsidRPr="00467DB0">
        <w:t>operationel</w:t>
      </w:r>
      <w:proofErr w:type="spellEnd"/>
      <w:r w:rsidRPr="00467DB0">
        <w:t xml:space="preserve"> </w:t>
      </w:r>
      <w:proofErr w:type="spellStart"/>
      <w:r w:rsidRPr="00467DB0">
        <w:t>brug</w:t>
      </w:r>
      <w:proofErr w:type="spellEnd"/>
      <w:r w:rsidRPr="00467DB0">
        <w:t xml:space="preserve">, </w:t>
      </w:r>
      <w:proofErr w:type="spellStart"/>
      <w:r w:rsidRPr="00467DB0">
        <w:t>efterspørgsel</w:t>
      </w:r>
      <w:proofErr w:type="spellEnd"/>
      <w:r w:rsidRPr="00467DB0">
        <w:t xml:space="preserve">, overholdelse </w:t>
      </w:r>
      <w:proofErr w:type="spellStart"/>
      <w:r w:rsidRPr="00467DB0">
        <w:t>af</w:t>
      </w:r>
      <w:proofErr w:type="spellEnd"/>
      <w:r w:rsidRPr="00467DB0">
        <w:t xml:space="preserve"> krav og nye beho</w:t>
      </w:r>
      <w:r w:rsidRPr="00467DB0">
        <w:t>v og krav.</w:t>
      </w:r>
    </w:p>
    <w:p w14:paraId="41F25ED6" w14:textId="77777777" w:rsidR="00000000" w:rsidRPr="00467DB0" w:rsidRDefault="00693D67" w:rsidP="00467DB0">
      <w:pPr>
        <w:pStyle w:val="friliste"/>
      </w:pPr>
      <w:r w:rsidRPr="00467DB0">
        <w:t>(51)</w:t>
      </w:r>
      <w:r w:rsidRPr="00467DB0">
        <w:tab/>
        <w:t xml:space="preserve">På grund </w:t>
      </w:r>
      <w:proofErr w:type="spellStart"/>
      <w:r w:rsidRPr="00467DB0">
        <w:t>af</w:t>
      </w:r>
      <w:proofErr w:type="spellEnd"/>
      <w:r w:rsidRPr="00467DB0">
        <w:t xml:space="preserve"> </w:t>
      </w:r>
      <w:proofErr w:type="spellStart"/>
      <w:r w:rsidRPr="00467DB0">
        <w:t>vigtigheden</w:t>
      </w:r>
      <w:proofErr w:type="spellEnd"/>
      <w:r w:rsidRPr="00467DB0">
        <w:t xml:space="preserve"> </w:t>
      </w:r>
      <w:proofErr w:type="spellStart"/>
      <w:r w:rsidRPr="00467DB0">
        <w:t>af</w:t>
      </w:r>
      <w:proofErr w:type="spellEnd"/>
      <w:r w:rsidRPr="00467DB0">
        <w:t xml:space="preserve"> </w:t>
      </w:r>
      <w:proofErr w:type="spellStart"/>
      <w:r w:rsidRPr="00467DB0">
        <w:t>rumrelaterede</w:t>
      </w:r>
      <w:proofErr w:type="spellEnd"/>
      <w:r w:rsidRPr="00467DB0">
        <w:t xml:space="preserve"> aktiviteter for Unionens økonomi og </w:t>
      </w:r>
      <w:proofErr w:type="spellStart"/>
      <w:r w:rsidRPr="00467DB0">
        <w:t>europæernes</w:t>
      </w:r>
      <w:proofErr w:type="spellEnd"/>
      <w:r w:rsidRPr="00467DB0">
        <w:t xml:space="preserve"> hverdag, den dobbelte </w:t>
      </w:r>
      <w:proofErr w:type="gramStart"/>
      <w:r w:rsidRPr="00467DB0">
        <w:t>anvendelse</w:t>
      </w:r>
      <w:proofErr w:type="gramEnd"/>
      <w:r w:rsidRPr="00467DB0">
        <w:t xml:space="preserve">, der </w:t>
      </w:r>
      <w:proofErr w:type="spellStart"/>
      <w:r w:rsidRPr="00467DB0">
        <w:t>kendetegner</w:t>
      </w:r>
      <w:proofErr w:type="spellEnd"/>
      <w:r w:rsidRPr="00467DB0">
        <w:t xml:space="preserve"> </w:t>
      </w:r>
      <w:proofErr w:type="spellStart"/>
      <w:r w:rsidRPr="00467DB0">
        <w:t>systemerne</w:t>
      </w:r>
      <w:proofErr w:type="spellEnd"/>
      <w:r w:rsidRPr="00467DB0">
        <w:t xml:space="preserve">, og de </w:t>
      </w:r>
      <w:proofErr w:type="spellStart"/>
      <w:r w:rsidRPr="00467DB0">
        <w:t>applikationer</w:t>
      </w:r>
      <w:proofErr w:type="spellEnd"/>
      <w:r w:rsidRPr="00467DB0">
        <w:t xml:space="preserve">, der er </w:t>
      </w:r>
      <w:proofErr w:type="spellStart"/>
      <w:r w:rsidRPr="00467DB0">
        <w:t>baseret</w:t>
      </w:r>
      <w:proofErr w:type="spellEnd"/>
      <w:r w:rsidRPr="00467DB0">
        <w:t xml:space="preserve"> på disse systemer, bør det være en hovedprioritet for</w:t>
      </w:r>
      <w:r w:rsidRPr="00467DB0">
        <w:t xml:space="preserve"> programmet at </w:t>
      </w:r>
      <w:proofErr w:type="spellStart"/>
      <w:r w:rsidRPr="00467DB0">
        <w:t>opnå</w:t>
      </w:r>
      <w:proofErr w:type="spellEnd"/>
      <w:r w:rsidRPr="00467DB0">
        <w:t xml:space="preserve"> og fastholde en </w:t>
      </w:r>
      <w:proofErr w:type="spellStart"/>
      <w:r w:rsidRPr="00467DB0">
        <w:t>høj</w:t>
      </w:r>
      <w:proofErr w:type="spellEnd"/>
      <w:r w:rsidRPr="00467DB0">
        <w:t xml:space="preserve"> grad </w:t>
      </w:r>
      <w:proofErr w:type="spellStart"/>
      <w:r w:rsidRPr="00467DB0">
        <w:t>af</w:t>
      </w:r>
      <w:proofErr w:type="spellEnd"/>
      <w:r w:rsidRPr="00467DB0">
        <w:t xml:space="preserve"> </w:t>
      </w:r>
      <w:proofErr w:type="spellStart"/>
      <w:r w:rsidRPr="00467DB0">
        <w:t>sikkerhed</w:t>
      </w:r>
      <w:proofErr w:type="spellEnd"/>
      <w:r w:rsidRPr="00467DB0">
        <w:t xml:space="preserve">, navnlig for at beskytte Unionens og </w:t>
      </w:r>
      <w:proofErr w:type="spellStart"/>
      <w:r w:rsidRPr="00467DB0">
        <w:t>medlemsstaternes</w:t>
      </w:r>
      <w:proofErr w:type="spellEnd"/>
      <w:r w:rsidRPr="00467DB0">
        <w:t xml:space="preserve"> interesser, herunder i forbindelse med </w:t>
      </w:r>
      <w:proofErr w:type="spellStart"/>
      <w:r w:rsidRPr="00467DB0">
        <w:t>klassificerede</w:t>
      </w:r>
      <w:proofErr w:type="spellEnd"/>
      <w:r w:rsidRPr="00467DB0">
        <w:t xml:space="preserve"> og andre følsomme </w:t>
      </w:r>
      <w:proofErr w:type="spellStart"/>
      <w:r w:rsidRPr="00467DB0">
        <w:t>ikkeklassificerede</w:t>
      </w:r>
      <w:proofErr w:type="spellEnd"/>
      <w:r w:rsidRPr="00467DB0">
        <w:t xml:space="preserve"> </w:t>
      </w:r>
      <w:proofErr w:type="spellStart"/>
      <w:r w:rsidRPr="00467DB0">
        <w:t>informationer</w:t>
      </w:r>
      <w:proofErr w:type="spellEnd"/>
      <w:r w:rsidRPr="00467DB0">
        <w:t>.</w:t>
      </w:r>
    </w:p>
    <w:p w14:paraId="0A2D1A80" w14:textId="77777777" w:rsidR="00000000" w:rsidRPr="00467DB0" w:rsidRDefault="00693D67" w:rsidP="00467DB0">
      <w:pPr>
        <w:pStyle w:val="friliste"/>
      </w:pPr>
      <w:r w:rsidRPr="00467DB0">
        <w:t>(52)</w:t>
      </w:r>
      <w:r w:rsidRPr="00467DB0">
        <w:tab/>
      </w:r>
      <w:proofErr w:type="spellStart"/>
      <w:r w:rsidRPr="00467DB0">
        <w:t>Uden</w:t>
      </w:r>
      <w:proofErr w:type="spellEnd"/>
      <w:r w:rsidRPr="00467DB0">
        <w:t xml:space="preserve"> at det berører </w:t>
      </w:r>
      <w:proofErr w:type="spellStart"/>
      <w:r w:rsidRPr="00467DB0">
        <w:t>medlemsstater</w:t>
      </w:r>
      <w:r w:rsidRPr="00467DB0">
        <w:t>nes</w:t>
      </w:r>
      <w:proofErr w:type="spellEnd"/>
      <w:r w:rsidRPr="00467DB0">
        <w:t xml:space="preserve"> </w:t>
      </w:r>
      <w:proofErr w:type="spellStart"/>
      <w:r w:rsidRPr="00467DB0">
        <w:t>beføjelser</w:t>
      </w:r>
      <w:proofErr w:type="spellEnd"/>
      <w:r w:rsidRPr="00467DB0">
        <w:t xml:space="preserve"> på området </w:t>
      </w:r>
      <w:proofErr w:type="spellStart"/>
      <w:r w:rsidRPr="00467DB0">
        <w:t>national</w:t>
      </w:r>
      <w:proofErr w:type="spellEnd"/>
      <w:r w:rsidRPr="00467DB0">
        <w:t xml:space="preserve"> </w:t>
      </w:r>
      <w:proofErr w:type="spellStart"/>
      <w:r w:rsidRPr="00467DB0">
        <w:t>sikkerhed</w:t>
      </w:r>
      <w:proofErr w:type="spellEnd"/>
      <w:r w:rsidRPr="00467DB0">
        <w:t xml:space="preserve"> bør </w:t>
      </w:r>
      <w:proofErr w:type="spellStart"/>
      <w:r w:rsidRPr="00467DB0">
        <w:t>Kommissionen</w:t>
      </w:r>
      <w:proofErr w:type="spellEnd"/>
      <w:r w:rsidRPr="00467DB0">
        <w:t xml:space="preserve"> og den </w:t>
      </w:r>
      <w:proofErr w:type="spellStart"/>
      <w:r w:rsidRPr="00467DB0">
        <w:t>højtstående</w:t>
      </w:r>
      <w:proofErr w:type="spellEnd"/>
      <w:r w:rsidRPr="00467DB0">
        <w:t xml:space="preserve"> </w:t>
      </w:r>
      <w:proofErr w:type="spellStart"/>
      <w:r w:rsidRPr="00467DB0">
        <w:t>repræsentant</w:t>
      </w:r>
      <w:proofErr w:type="spellEnd"/>
      <w:r w:rsidRPr="00467DB0">
        <w:t xml:space="preserve"> i overensstemmelse med deres respektive </w:t>
      </w:r>
      <w:proofErr w:type="spellStart"/>
      <w:r w:rsidRPr="00467DB0">
        <w:t>beføjelser</w:t>
      </w:r>
      <w:proofErr w:type="spellEnd"/>
      <w:r w:rsidRPr="00467DB0">
        <w:t xml:space="preserve"> garantere programmets </w:t>
      </w:r>
      <w:proofErr w:type="spellStart"/>
      <w:r w:rsidRPr="00467DB0">
        <w:t>sikkerhed</w:t>
      </w:r>
      <w:proofErr w:type="spellEnd"/>
      <w:r w:rsidRPr="00467DB0">
        <w:t xml:space="preserve"> i overensstemmelse med denne forordning og, hvor det er relevant, Rådets </w:t>
      </w:r>
      <w:proofErr w:type="spellStart"/>
      <w:r w:rsidRPr="00467DB0">
        <w:t>afgøre</w:t>
      </w:r>
      <w:r w:rsidRPr="00467DB0">
        <w:t>lse</w:t>
      </w:r>
      <w:proofErr w:type="spellEnd"/>
      <w:r w:rsidRPr="00467DB0">
        <w:t xml:space="preserve"> 202x/xxx/FUSP</w:t>
      </w:r>
      <w:r w:rsidRPr="00467DB0">
        <w:rPr>
          <w:rStyle w:val="Fotnotereferanse"/>
        </w:rPr>
        <w:footnoteReference w:id="21"/>
      </w:r>
      <w:r w:rsidRPr="00467DB0">
        <w:t>.</w:t>
      </w:r>
    </w:p>
    <w:p w14:paraId="7F5E6368" w14:textId="77777777" w:rsidR="00000000" w:rsidRPr="00467DB0" w:rsidRDefault="00693D67" w:rsidP="00467DB0">
      <w:pPr>
        <w:pStyle w:val="friliste"/>
      </w:pPr>
      <w:r w:rsidRPr="00467DB0">
        <w:t>(53)</w:t>
      </w:r>
      <w:r w:rsidRPr="00467DB0">
        <w:tab/>
        <w:t xml:space="preserve">Som følge </w:t>
      </w:r>
      <w:proofErr w:type="spellStart"/>
      <w:r w:rsidRPr="00467DB0">
        <w:t>af</w:t>
      </w:r>
      <w:proofErr w:type="spellEnd"/>
      <w:r w:rsidRPr="00467DB0">
        <w:t xml:space="preserve"> den særlige ekspertise, som Tjenesten for </w:t>
      </w:r>
      <w:proofErr w:type="spellStart"/>
      <w:r w:rsidRPr="00467DB0">
        <w:t>EU's</w:t>
      </w:r>
      <w:proofErr w:type="spellEnd"/>
      <w:r w:rsidRPr="00467DB0">
        <w:t xml:space="preserve"> </w:t>
      </w:r>
      <w:proofErr w:type="spellStart"/>
      <w:r w:rsidRPr="00467DB0">
        <w:t>Optræden</w:t>
      </w:r>
      <w:proofErr w:type="spellEnd"/>
      <w:r w:rsidRPr="00467DB0">
        <w:t xml:space="preserve"> </w:t>
      </w:r>
      <w:proofErr w:type="spellStart"/>
      <w:r w:rsidRPr="00467DB0">
        <w:t>Udadtil</w:t>
      </w:r>
      <w:proofErr w:type="spellEnd"/>
      <w:r w:rsidRPr="00467DB0">
        <w:t xml:space="preserve"> (EU-</w:t>
      </w:r>
      <w:proofErr w:type="spellStart"/>
      <w:r w:rsidRPr="00467DB0">
        <w:t>Udenrigstjenesten</w:t>
      </w:r>
      <w:proofErr w:type="spellEnd"/>
      <w:r w:rsidRPr="00467DB0">
        <w:t xml:space="preserve">) råder over, og dens </w:t>
      </w:r>
      <w:proofErr w:type="spellStart"/>
      <w:r w:rsidRPr="00467DB0">
        <w:t>regelmæs</w:t>
      </w:r>
      <w:r w:rsidRPr="00467DB0">
        <w:t>sige</w:t>
      </w:r>
      <w:proofErr w:type="spellEnd"/>
      <w:r w:rsidRPr="00467DB0">
        <w:t xml:space="preserve"> kontakt med </w:t>
      </w:r>
      <w:proofErr w:type="spellStart"/>
      <w:r w:rsidRPr="00467DB0">
        <w:t>tredjelandes</w:t>
      </w:r>
      <w:proofErr w:type="spellEnd"/>
      <w:r w:rsidRPr="00467DB0">
        <w:t xml:space="preserve"> og </w:t>
      </w:r>
      <w:proofErr w:type="spellStart"/>
      <w:r w:rsidRPr="00467DB0">
        <w:t>internationale</w:t>
      </w:r>
      <w:proofErr w:type="spellEnd"/>
      <w:r w:rsidRPr="00467DB0">
        <w:t xml:space="preserve"> </w:t>
      </w:r>
      <w:proofErr w:type="spellStart"/>
      <w:r w:rsidRPr="00467DB0">
        <w:t>organisationers</w:t>
      </w:r>
      <w:proofErr w:type="spellEnd"/>
      <w:r w:rsidRPr="00467DB0">
        <w:t xml:space="preserve"> </w:t>
      </w:r>
      <w:proofErr w:type="spellStart"/>
      <w:r w:rsidRPr="00467DB0">
        <w:t>administrationer</w:t>
      </w:r>
      <w:proofErr w:type="spellEnd"/>
      <w:r w:rsidRPr="00467DB0">
        <w:t>, kan EU-</w:t>
      </w:r>
      <w:proofErr w:type="spellStart"/>
      <w:r w:rsidRPr="00467DB0">
        <w:t>Udenrigstjenesten</w:t>
      </w:r>
      <w:proofErr w:type="spellEnd"/>
      <w:r w:rsidRPr="00467DB0">
        <w:t xml:space="preserve"> i overensstemmelse med </w:t>
      </w:r>
      <w:r w:rsidRPr="00467DB0">
        <w:lastRenderedPageBreak/>
        <w:t xml:space="preserve">Rådets </w:t>
      </w:r>
      <w:proofErr w:type="spellStart"/>
      <w:r w:rsidRPr="00467DB0">
        <w:t>afgørelse</w:t>
      </w:r>
      <w:proofErr w:type="spellEnd"/>
      <w:r w:rsidRPr="00467DB0">
        <w:t xml:space="preserve"> 2010/427/EU</w:t>
      </w:r>
      <w:r w:rsidRPr="00467DB0">
        <w:rPr>
          <w:rStyle w:val="Fotnotereferanse"/>
        </w:rPr>
        <w:footnoteReference w:id="22"/>
      </w:r>
      <w:r w:rsidRPr="00467DB0">
        <w:t xml:space="preserve"> bistå </w:t>
      </w:r>
      <w:proofErr w:type="spellStart"/>
      <w:r w:rsidRPr="00467DB0">
        <w:t>Kommissionen</w:t>
      </w:r>
      <w:proofErr w:type="spellEnd"/>
      <w:r w:rsidRPr="00467DB0">
        <w:t xml:space="preserve"> med </w:t>
      </w:r>
      <w:proofErr w:type="spellStart"/>
      <w:r w:rsidRPr="00467DB0">
        <w:t>gennemførelsen</w:t>
      </w:r>
      <w:proofErr w:type="spellEnd"/>
      <w:r w:rsidRPr="00467DB0">
        <w:t xml:space="preserve"> </w:t>
      </w:r>
      <w:proofErr w:type="spellStart"/>
      <w:r w:rsidRPr="00467DB0">
        <w:t>af</w:t>
      </w:r>
      <w:proofErr w:type="spellEnd"/>
      <w:r w:rsidRPr="00467DB0">
        <w:t xml:space="preserve"> en </w:t>
      </w:r>
      <w:proofErr w:type="spellStart"/>
      <w:r w:rsidRPr="00467DB0">
        <w:t>række</w:t>
      </w:r>
      <w:proofErr w:type="spellEnd"/>
      <w:r w:rsidRPr="00467DB0">
        <w:t xml:space="preserve"> </w:t>
      </w:r>
      <w:proofErr w:type="spellStart"/>
      <w:r w:rsidRPr="00467DB0">
        <w:t>opgaver</w:t>
      </w:r>
      <w:proofErr w:type="spellEnd"/>
      <w:r w:rsidRPr="00467DB0">
        <w:t xml:space="preserve">, der vedrører </w:t>
      </w:r>
      <w:proofErr w:type="spellStart"/>
      <w:r w:rsidRPr="00467DB0">
        <w:t>programmernes</w:t>
      </w:r>
      <w:proofErr w:type="spellEnd"/>
      <w:r w:rsidRPr="00467DB0">
        <w:t xml:space="preserve"> </w:t>
      </w:r>
      <w:proofErr w:type="spellStart"/>
      <w:r w:rsidRPr="00467DB0">
        <w:t>sikkerhed</w:t>
      </w:r>
      <w:proofErr w:type="spellEnd"/>
      <w:r w:rsidRPr="00467DB0">
        <w:t xml:space="preserve"> på området for eksterne forbindelser.</w:t>
      </w:r>
    </w:p>
    <w:p w14:paraId="631894D9" w14:textId="77777777" w:rsidR="00000000" w:rsidRPr="00467DB0" w:rsidRDefault="00693D67" w:rsidP="00467DB0">
      <w:pPr>
        <w:pStyle w:val="friliste"/>
      </w:pPr>
      <w:r w:rsidRPr="00467DB0">
        <w:t>(54)</w:t>
      </w:r>
      <w:r w:rsidRPr="00467DB0">
        <w:tab/>
      </w:r>
      <w:proofErr w:type="spellStart"/>
      <w:r w:rsidRPr="00467DB0">
        <w:t>Uden</w:t>
      </w:r>
      <w:proofErr w:type="spellEnd"/>
      <w:r w:rsidRPr="00467DB0">
        <w:t xml:space="preserve"> at det berører </w:t>
      </w:r>
      <w:proofErr w:type="spellStart"/>
      <w:r w:rsidRPr="00467DB0">
        <w:t>medlemsstaternes</w:t>
      </w:r>
      <w:proofErr w:type="spellEnd"/>
      <w:r w:rsidRPr="00467DB0">
        <w:t xml:space="preserve"> eneansvar på omr</w:t>
      </w:r>
      <w:r w:rsidRPr="00467DB0">
        <w:t xml:space="preserve">ådet </w:t>
      </w:r>
      <w:proofErr w:type="spellStart"/>
      <w:r w:rsidRPr="00467DB0">
        <w:t>national</w:t>
      </w:r>
      <w:proofErr w:type="spellEnd"/>
      <w:r w:rsidRPr="00467DB0">
        <w:t xml:space="preserve"> </w:t>
      </w:r>
      <w:proofErr w:type="spellStart"/>
      <w:r w:rsidRPr="00467DB0">
        <w:t>sikkerhed</w:t>
      </w:r>
      <w:proofErr w:type="spellEnd"/>
      <w:r w:rsidRPr="00467DB0">
        <w:t xml:space="preserve"> som omhandlet i </w:t>
      </w:r>
      <w:proofErr w:type="spellStart"/>
      <w:r w:rsidRPr="00467DB0">
        <w:t>artikel</w:t>
      </w:r>
      <w:proofErr w:type="spellEnd"/>
      <w:r w:rsidRPr="00467DB0">
        <w:t xml:space="preserve"> 4, stk. 2, i TEU og </w:t>
      </w:r>
      <w:proofErr w:type="spellStart"/>
      <w:r w:rsidRPr="00467DB0">
        <w:t>medlemsstaternes</w:t>
      </w:r>
      <w:proofErr w:type="spellEnd"/>
      <w:r w:rsidRPr="00467DB0">
        <w:t xml:space="preserve"> </w:t>
      </w:r>
      <w:proofErr w:type="spellStart"/>
      <w:r w:rsidRPr="00467DB0">
        <w:t>ret</w:t>
      </w:r>
      <w:proofErr w:type="spellEnd"/>
      <w:r w:rsidRPr="00467DB0">
        <w:t xml:space="preserve"> til at beskytte deres </w:t>
      </w:r>
      <w:proofErr w:type="spellStart"/>
      <w:r w:rsidRPr="00467DB0">
        <w:t>væsentlige</w:t>
      </w:r>
      <w:proofErr w:type="spellEnd"/>
      <w:r w:rsidRPr="00467DB0">
        <w:t xml:space="preserve"> </w:t>
      </w:r>
      <w:proofErr w:type="spellStart"/>
      <w:r w:rsidRPr="00467DB0">
        <w:t>sikkerhedsinteresser</w:t>
      </w:r>
      <w:proofErr w:type="spellEnd"/>
      <w:r w:rsidRPr="00467DB0">
        <w:t xml:space="preserve"> i overensstemmelse med </w:t>
      </w:r>
      <w:proofErr w:type="spellStart"/>
      <w:r w:rsidRPr="00467DB0">
        <w:t>artikel</w:t>
      </w:r>
      <w:proofErr w:type="spellEnd"/>
      <w:r w:rsidRPr="00467DB0">
        <w:t xml:space="preserve"> 346 i TEUF, bør der </w:t>
      </w:r>
      <w:proofErr w:type="spellStart"/>
      <w:r w:rsidRPr="00467DB0">
        <w:t>indføres</w:t>
      </w:r>
      <w:proofErr w:type="spellEnd"/>
      <w:r w:rsidRPr="00467DB0">
        <w:t xml:space="preserve"> </w:t>
      </w:r>
      <w:proofErr w:type="spellStart"/>
      <w:r w:rsidRPr="00467DB0">
        <w:t>specifik</w:t>
      </w:r>
      <w:proofErr w:type="spellEnd"/>
      <w:r w:rsidRPr="00467DB0">
        <w:t xml:space="preserve"> </w:t>
      </w:r>
      <w:proofErr w:type="spellStart"/>
      <w:r w:rsidRPr="00467DB0">
        <w:t>sikkerhedsforvaltning</w:t>
      </w:r>
      <w:proofErr w:type="spellEnd"/>
      <w:r w:rsidRPr="00467DB0">
        <w:t xml:space="preserve"> med </w:t>
      </w:r>
      <w:proofErr w:type="spellStart"/>
      <w:r w:rsidRPr="00467DB0">
        <w:t>henblik</w:t>
      </w:r>
      <w:proofErr w:type="spellEnd"/>
      <w:r w:rsidRPr="00467DB0">
        <w:t xml:space="preserve"> på at sikr</w:t>
      </w:r>
      <w:r w:rsidRPr="00467DB0">
        <w:t xml:space="preserve">e en </w:t>
      </w:r>
      <w:proofErr w:type="spellStart"/>
      <w:r w:rsidRPr="00467DB0">
        <w:t>gnidningsløs</w:t>
      </w:r>
      <w:proofErr w:type="spellEnd"/>
      <w:r w:rsidRPr="00467DB0">
        <w:t xml:space="preserve"> </w:t>
      </w:r>
      <w:proofErr w:type="spellStart"/>
      <w:r w:rsidRPr="00467DB0">
        <w:t>gennemførelse</w:t>
      </w:r>
      <w:proofErr w:type="spellEnd"/>
      <w:r w:rsidRPr="00467DB0">
        <w:t xml:space="preserve"> </w:t>
      </w:r>
      <w:proofErr w:type="spellStart"/>
      <w:r w:rsidRPr="00467DB0">
        <w:t>af</w:t>
      </w:r>
      <w:proofErr w:type="spellEnd"/>
      <w:r w:rsidRPr="00467DB0">
        <w:t xml:space="preserve"> programmet. Denne forvaltning bør bygge på tre </w:t>
      </w:r>
      <w:proofErr w:type="spellStart"/>
      <w:r w:rsidRPr="00467DB0">
        <w:t>centrale</w:t>
      </w:r>
      <w:proofErr w:type="spellEnd"/>
      <w:r w:rsidRPr="00467DB0">
        <w:t xml:space="preserve"> </w:t>
      </w:r>
      <w:proofErr w:type="spellStart"/>
      <w:r w:rsidRPr="00467DB0">
        <w:t>principper</w:t>
      </w:r>
      <w:proofErr w:type="spellEnd"/>
      <w:r w:rsidRPr="00467DB0">
        <w:t xml:space="preserve">. For det første er det bydende </w:t>
      </w:r>
      <w:proofErr w:type="spellStart"/>
      <w:r w:rsidRPr="00467DB0">
        <w:t>nødvendigt</w:t>
      </w:r>
      <w:proofErr w:type="spellEnd"/>
      <w:r w:rsidRPr="00467DB0">
        <w:t xml:space="preserve">, at </w:t>
      </w:r>
      <w:proofErr w:type="spellStart"/>
      <w:r w:rsidRPr="00467DB0">
        <w:t>medlemsstaternes</w:t>
      </w:r>
      <w:proofErr w:type="spellEnd"/>
      <w:r w:rsidRPr="00467DB0">
        <w:t xml:space="preserve"> omfattende og enestående erfaring i </w:t>
      </w:r>
      <w:proofErr w:type="spellStart"/>
      <w:r w:rsidRPr="00467DB0">
        <w:t>sikkerhedsspørgsmål</w:t>
      </w:r>
      <w:proofErr w:type="spellEnd"/>
      <w:r w:rsidRPr="00467DB0">
        <w:t xml:space="preserve"> </w:t>
      </w:r>
      <w:proofErr w:type="spellStart"/>
      <w:r w:rsidRPr="00467DB0">
        <w:t>tages</w:t>
      </w:r>
      <w:proofErr w:type="spellEnd"/>
      <w:r w:rsidRPr="00467DB0">
        <w:t xml:space="preserve"> i </w:t>
      </w:r>
      <w:proofErr w:type="spellStart"/>
      <w:r w:rsidRPr="00467DB0">
        <w:t>betragtning</w:t>
      </w:r>
      <w:proofErr w:type="spellEnd"/>
      <w:r w:rsidRPr="00467DB0">
        <w:t xml:space="preserve"> i videst </w:t>
      </w:r>
      <w:proofErr w:type="spellStart"/>
      <w:r w:rsidRPr="00467DB0">
        <w:t>muligt</w:t>
      </w:r>
      <w:proofErr w:type="spellEnd"/>
      <w:r w:rsidRPr="00467DB0">
        <w:t xml:space="preserve"> omfang. For det andet bør de </w:t>
      </w:r>
      <w:proofErr w:type="spellStart"/>
      <w:r w:rsidRPr="00467DB0">
        <w:t>operationelle</w:t>
      </w:r>
      <w:proofErr w:type="spellEnd"/>
      <w:r w:rsidRPr="00467DB0">
        <w:t xml:space="preserve"> </w:t>
      </w:r>
      <w:proofErr w:type="spellStart"/>
      <w:r w:rsidRPr="00467DB0">
        <w:t>funktioner</w:t>
      </w:r>
      <w:proofErr w:type="spellEnd"/>
      <w:r w:rsidRPr="00467DB0">
        <w:t xml:space="preserve"> være adskilt fra </w:t>
      </w:r>
      <w:proofErr w:type="spellStart"/>
      <w:r w:rsidRPr="00467DB0">
        <w:t>sikkerhedsgodkendelsesfunktionerne</w:t>
      </w:r>
      <w:proofErr w:type="spellEnd"/>
      <w:r w:rsidRPr="00467DB0">
        <w:t xml:space="preserve"> for at forhindre interessekonflikter og eventuelle mangler ved </w:t>
      </w:r>
      <w:proofErr w:type="gramStart"/>
      <w:r w:rsidRPr="00467DB0">
        <w:t>anvendelsen</w:t>
      </w:r>
      <w:proofErr w:type="gramEnd"/>
      <w:r w:rsidRPr="00467DB0">
        <w:t xml:space="preserve"> </w:t>
      </w:r>
      <w:proofErr w:type="spellStart"/>
      <w:r w:rsidRPr="00467DB0">
        <w:t>af</w:t>
      </w:r>
      <w:proofErr w:type="spellEnd"/>
      <w:r w:rsidRPr="00467DB0">
        <w:t xml:space="preserve"> </w:t>
      </w:r>
      <w:proofErr w:type="spellStart"/>
      <w:r w:rsidRPr="00467DB0">
        <w:t>sikkerhedsreglerne</w:t>
      </w:r>
      <w:proofErr w:type="spellEnd"/>
      <w:r w:rsidRPr="00467DB0">
        <w:t xml:space="preserve">. For det tredje er den </w:t>
      </w:r>
      <w:proofErr w:type="spellStart"/>
      <w:r w:rsidRPr="00467DB0">
        <w:t>enhed</w:t>
      </w:r>
      <w:proofErr w:type="spellEnd"/>
      <w:r w:rsidRPr="00467DB0">
        <w:t>, som er ansvarlig for a</w:t>
      </w:r>
      <w:r w:rsidRPr="00467DB0">
        <w:t xml:space="preserve">t forvalte alle eller </w:t>
      </w:r>
      <w:proofErr w:type="spellStart"/>
      <w:r w:rsidRPr="00467DB0">
        <w:t>nogle</w:t>
      </w:r>
      <w:proofErr w:type="spellEnd"/>
      <w:r w:rsidRPr="00467DB0">
        <w:t xml:space="preserve"> </w:t>
      </w:r>
      <w:proofErr w:type="spellStart"/>
      <w:r w:rsidRPr="00467DB0">
        <w:t>af</w:t>
      </w:r>
      <w:proofErr w:type="spellEnd"/>
      <w:r w:rsidRPr="00467DB0">
        <w:t xml:space="preserve"> programmets komponenter, også </w:t>
      </w:r>
      <w:proofErr w:type="spellStart"/>
      <w:r w:rsidRPr="00467DB0">
        <w:t>bedst</w:t>
      </w:r>
      <w:proofErr w:type="spellEnd"/>
      <w:r w:rsidRPr="00467DB0">
        <w:t xml:space="preserve"> </w:t>
      </w:r>
      <w:proofErr w:type="spellStart"/>
      <w:r w:rsidRPr="00467DB0">
        <w:t>placeret</w:t>
      </w:r>
      <w:proofErr w:type="spellEnd"/>
      <w:r w:rsidRPr="00467DB0">
        <w:t xml:space="preserve"> til at forvalte </w:t>
      </w:r>
      <w:proofErr w:type="spellStart"/>
      <w:r w:rsidRPr="00467DB0">
        <w:t>sikkerheden</w:t>
      </w:r>
      <w:proofErr w:type="spellEnd"/>
      <w:r w:rsidRPr="00467DB0">
        <w:t xml:space="preserve"> i forbindelse med de </w:t>
      </w:r>
      <w:proofErr w:type="spellStart"/>
      <w:r w:rsidRPr="00467DB0">
        <w:t>opgaver</w:t>
      </w:r>
      <w:proofErr w:type="spellEnd"/>
      <w:r w:rsidRPr="00467DB0">
        <w:t xml:space="preserve">, den har </w:t>
      </w:r>
      <w:proofErr w:type="spellStart"/>
      <w:r w:rsidRPr="00467DB0">
        <w:t>fået</w:t>
      </w:r>
      <w:proofErr w:type="spellEnd"/>
      <w:r w:rsidRPr="00467DB0">
        <w:t xml:space="preserve"> overdraget. Programmets </w:t>
      </w:r>
      <w:proofErr w:type="spellStart"/>
      <w:r w:rsidRPr="00467DB0">
        <w:t>sikkerhed</w:t>
      </w:r>
      <w:proofErr w:type="spellEnd"/>
      <w:r w:rsidRPr="00467DB0">
        <w:t xml:space="preserve"> vil bygge på de erfaringer, der er </w:t>
      </w:r>
      <w:proofErr w:type="spellStart"/>
      <w:r w:rsidRPr="00467DB0">
        <w:t>indhøstet</w:t>
      </w:r>
      <w:proofErr w:type="spellEnd"/>
      <w:r w:rsidRPr="00467DB0">
        <w:t xml:space="preserve"> i forbindelse med </w:t>
      </w:r>
      <w:proofErr w:type="spellStart"/>
      <w:r w:rsidRPr="00467DB0">
        <w:t>gennemførels</w:t>
      </w:r>
      <w:r w:rsidRPr="00467DB0">
        <w:t>en</w:t>
      </w:r>
      <w:proofErr w:type="spellEnd"/>
      <w:r w:rsidRPr="00467DB0">
        <w:t xml:space="preserve"> </w:t>
      </w:r>
      <w:proofErr w:type="spellStart"/>
      <w:r w:rsidRPr="00467DB0">
        <w:t>af</w:t>
      </w:r>
      <w:proofErr w:type="spellEnd"/>
      <w:r w:rsidRPr="00467DB0">
        <w:t xml:space="preserve"> Galileo, EGNOS og Copernicus i de seneste år. En forsvarlig </w:t>
      </w:r>
      <w:proofErr w:type="spellStart"/>
      <w:r w:rsidRPr="00467DB0">
        <w:t>sikkerhedsforvaltning</w:t>
      </w:r>
      <w:proofErr w:type="spellEnd"/>
      <w:r w:rsidRPr="00467DB0">
        <w:t xml:space="preserve"> </w:t>
      </w:r>
      <w:proofErr w:type="spellStart"/>
      <w:r w:rsidRPr="00467DB0">
        <w:t>kræver</w:t>
      </w:r>
      <w:proofErr w:type="spellEnd"/>
      <w:r w:rsidRPr="00467DB0">
        <w:t xml:space="preserve"> også, at </w:t>
      </w:r>
      <w:proofErr w:type="spellStart"/>
      <w:r w:rsidRPr="00467DB0">
        <w:t>rollerne</w:t>
      </w:r>
      <w:proofErr w:type="spellEnd"/>
      <w:r w:rsidRPr="00467DB0">
        <w:t xml:space="preserve"> er fordelt </w:t>
      </w:r>
      <w:proofErr w:type="spellStart"/>
      <w:r w:rsidRPr="00467DB0">
        <w:t>hensigtsmæssigt</w:t>
      </w:r>
      <w:proofErr w:type="spellEnd"/>
      <w:r w:rsidRPr="00467DB0">
        <w:t xml:space="preserve"> </w:t>
      </w:r>
      <w:proofErr w:type="spellStart"/>
      <w:r w:rsidRPr="00467DB0">
        <w:t>mellem</w:t>
      </w:r>
      <w:proofErr w:type="spellEnd"/>
      <w:r w:rsidRPr="00467DB0">
        <w:t xml:space="preserve"> de </w:t>
      </w:r>
      <w:proofErr w:type="spellStart"/>
      <w:r w:rsidRPr="00467DB0">
        <w:t>forskellige</w:t>
      </w:r>
      <w:proofErr w:type="spellEnd"/>
      <w:r w:rsidRPr="00467DB0">
        <w:t xml:space="preserve"> aktører. Som ansvarlig for programmet bør </w:t>
      </w:r>
      <w:proofErr w:type="spellStart"/>
      <w:r w:rsidRPr="00467DB0">
        <w:t>Kommissionen</w:t>
      </w:r>
      <w:proofErr w:type="spellEnd"/>
      <w:r w:rsidRPr="00467DB0">
        <w:t xml:space="preserve">, </w:t>
      </w:r>
      <w:proofErr w:type="spellStart"/>
      <w:r w:rsidRPr="00467DB0">
        <w:t>uden</w:t>
      </w:r>
      <w:proofErr w:type="spellEnd"/>
      <w:r w:rsidRPr="00467DB0">
        <w:t xml:space="preserve"> at det berører </w:t>
      </w:r>
      <w:proofErr w:type="spellStart"/>
      <w:r w:rsidRPr="00467DB0">
        <w:t>medlemsstaternes</w:t>
      </w:r>
      <w:proofErr w:type="spellEnd"/>
      <w:r w:rsidRPr="00467DB0">
        <w:t xml:space="preserve"> </w:t>
      </w:r>
      <w:proofErr w:type="spellStart"/>
      <w:r w:rsidRPr="00467DB0">
        <w:t>b</w:t>
      </w:r>
      <w:r w:rsidRPr="00467DB0">
        <w:t>eføjelser</w:t>
      </w:r>
      <w:proofErr w:type="spellEnd"/>
      <w:r w:rsidRPr="00467DB0">
        <w:t xml:space="preserve"> på området for </w:t>
      </w:r>
      <w:proofErr w:type="spellStart"/>
      <w:r w:rsidRPr="00467DB0">
        <w:t>national</w:t>
      </w:r>
      <w:proofErr w:type="spellEnd"/>
      <w:r w:rsidRPr="00467DB0">
        <w:t xml:space="preserve"> </w:t>
      </w:r>
      <w:proofErr w:type="spellStart"/>
      <w:r w:rsidRPr="00467DB0">
        <w:t>sikkerhed</w:t>
      </w:r>
      <w:proofErr w:type="spellEnd"/>
      <w:r w:rsidRPr="00467DB0">
        <w:t xml:space="preserve">, </w:t>
      </w:r>
      <w:proofErr w:type="spellStart"/>
      <w:r w:rsidRPr="00467DB0">
        <w:t>fastlægge</w:t>
      </w:r>
      <w:proofErr w:type="spellEnd"/>
      <w:r w:rsidRPr="00467DB0">
        <w:t xml:space="preserve"> de generelle </w:t>
      </w:r>
      <w:proofErr w:type="spellStart"/>
      <w:r w:rsidRPr="00467DB0">
        <w:t>sikkerhedskrav</w:t>
      </w:r>
      <w:proofErr w:type="spellEnd"/>
      <w:r w:rsidRPr="00467DB0">
        <w:t xml:space="preserve">, som er </w:t>
      </w:r>
      <w:proofErr w:type="spellStart"/>
      <w:r w:rsidRPr="00467DB0">
        <w:t>gældende</w:t>
      </w:r>
      <w:proofErr w:type="spellEnd"/>
      <w:r w:rsidRPr="00467DB0">
        <w:t xml:space="preserve"> for hver </w:t>
      </w:r>
      <w:proofErr w:type="spellStart"/>
      <w:proofErr w:type="gramStart"/>
      <w:r w:rsidRPr="00467DB0">
        <w:t>af</w:t>
      </w:r>
      <w:proofErr w:type="spellEnd"/>
      <w:r w:rsidRPr="00467DB0">
        <w:t xml:space="preserve"> programmets</w:t>
      </w:r>
      <w:proofErr w:type="gramEnd"/>
      <w:r w:rsidRPr="00467DB0">
        <w:t xml:space="preserve"> komponenter.</w:t>
      </w:r>
    </w:p>
    <w:p w14:paraId="411343A4" w14:textId="77777777" w:rsidR="00000000" w:rsidRPr="00467DB0" w:rsidRDefault="00693D67" w:rsidP="00467DB0">
      <w:pPr>
        <w:pStyle w:val="friliste"/>
      </w:pPr>
      <w:r w:rsidRPr="00467DB0">
        <w:t>(55)</w:t>
      </w:r>
      <w:r w:rsidRPr="00467DB0">
        <w:tab/>
        <w:t xml:space="preserve">Den </w:t>
      </w:r>
      <w:proofErr w:type="spellStart"/>
      <w:r w:rsidRPr="00467DB0">
        <w:t>europæiske</w:t>
      </w:r>
      <w:proofErr w:type="spellEnd"/>
      <w:r w:rsidRPr="00467DB0">
        <w:t xml:space="preserve"> </w:t>
      </w:r>
      <w:proofErr w:type="spellStart"/>
      <w:r w:rsidRPr="00467DB0">
        <w:t>ruminfrastrukturs</w:t>
      </w:r>
      <w:proofErr w:type="spellEnd"/>
      <w:r w:rsidRPr="00467DB0">
        <w:t xml:space="preserve"> </w:t>
      </w:r>
      <w:proofErr w:type="spellStart"/>
      <w:r w:rsidRPr="00467DB0">
        <w:t>cybersikkerhed</w:t>
      </w:r>
      <w:proofErr w:type="spellEnd"/>
      <w:r w:rsidRPr="00467DB0">
        <w:t xml:space="preserve">, både på jorden og i </w:t>
      </w:r>
      <w:proofErr w:type="spellStart"/>
      <w:r w:rsidRPr="00467DB0">
        <w:t>rummet</w:t>
      </w:r>
      <w:proofErr w:type="spellEnd"/>
      <w:r w:rsidRPr="00467DB0">
        <w:t xml:space="preserve">, er </w:t>
      </w:r>
      <w:proofErr w:type="spellStart"/>
      <w:r w:rsidRPr="00467DB0">
        <w:t>afgørende</w:t>
      </w:r>
      <w:proofErr w:type="spellEnd"/>
      <w:r w:rsidRPr="00467DB0">
        <w:t xml:space="preserve"> for at sikre kontinuitet</w:t>
      </w:r>
      <w:r w:rsidRPr="00467DB0">
        <w:t xml:space="preserve">en i </w:t>
      </w:r>
      <w:proofErr w:type="spellStart"/>
      <w:r w:rsidRPr="00467DB0">
        <w:t>systemernes</w:t>
      </w:r>
      <w:proofErr w:type="spellEnd"/>
      <w:r w:rsidRPr="00467DB0">
        <w:t xml:space="preserve"> drift og i </w:t>
      </w:r>
      <w:proofErr w:type="spellStart"/>
      <w:r w:rsidRPr="00467DB0">
        <w:t>tjenesterne</w:t>
      </w:r>
      <w:proofErr w:type="spellEnd"/>
      <w:r w:rsidRPr="00467DB0">
        <w:t xml:space="preserve">. </w:t>
      </w:r>
      <w:proofErr w:type="spellStart"/>
      <w:r w:rsidRPr="00467DB0">
        <w:t>Nødvendigheden</w:t>
      </w:r>
      <w:proofErr w:type="spellEnd"/>
      <w:r w:rsidRPr="00467DB0">
        <w:t xml:space="preserve"> </w:t>
      </w:r>
      <w:proofErr w:type="spellStart"/>
      <w:r w:rsidRPr="00467DB0">
        <w:t>af</w:t>
      </w:r>
      <w:proofErr w:type="spellEnd"/>
      <w:r w:rsidRPr="00467DB0">
        <w:t xml:space="preserve"> at beskytte </w:t>
      </w:r>
      <w:proofErr w:type="spellStart"/>
      <w:r w:rsidRPr="00467DB0">
        <w:t>systemerne</w:t>
      </w:r>
      <w:proofErr w:type="spellEnd"/>
      <w:r w:rsidRPr="00467DB0">
        <w:t xml:space="preserve"> og deres tjenester mod </w:t>
      </w:r>
      <w:proofErr w:type="spellStart"/>
      <w:r w:rsidRPr="00467DB0">
        <w:t>cyberangreb</w:t>
      </w:r>
      <w:proofErr w:type="spellEnd"/>
      <w:r w:rsidRPr="00467DB0">
        <w:t xml:space="preserve">, herunder ved at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nye teknologier, bør derfor </w:t>
      </w:r>
      <w:proofErr w:type="spellStart"/>
      <w:r w:rsidRPr="00467DB0">
        <w:t>tages</w:t>
      </w:r>
      <w:proofErr w:type="spellEnd"/>
      <w:r w:rsidRPr="00467DB0">
        <w:t xml:space="preserve"> </w:t>
      </w:r>
      <w:proofErr w:type="spellStart"/>
      <w:r w:rsidRPr="00467DB0">
        <w:t>behørigt</w:t>
      </w:r>
      <w:proofErr w:type="spellEnd"/>
      <w:r w:rsidRPr="00467DB0">
        <w:t xml:space="preserve"> i </w:t>
      </w:r>
      <w:proofErr w:type="spellStart"/>
      <w:r w:rsidRPr="00467DB0">
        <w:t>betragtning</w:t>
      </w:r>
      <w:proofErr w:type="spellEnd"/>
      <w:r w:rsidRPr="00467DB0">
        <w:t xml:space="preserve"> ved </w:t>
      </w:r>
      <w:proofErr w:type="spellStart"/>
      <w:r w:rsidRPr="00467DB0">
        <w:t>fastsættelsen</w:t>
      </w:r>
      <w:proofErr w:type="spellEnd"/>
      <w:r w:rsidRPr="00467DB0">
        <w:t xml:space="preserve"> </w:t>
      </w:r>
      <w:proofErr w:type="spellStart"/>
      <w:r w:rsidRPr="00467DB0">
        <w:t>af</w:t>
      </w:r>
      <w:proofErr w:type="spellEnd"/>
      <w:r w:rsidRPr="00467DB0">
        <w:t xml:space="preserve"> </w:t>
      </w:r>
      <w:proofErr w:type="spellStart"/>
      <w:r w:rsidRPr="00467DB0">
        <w:t>sikkerhedskrav</w:t>
      </w:r>
      <w:proofErr w:type="spellEnd"/>
      <w:r w:rsidRPr="00467DB0">
        <w:t>.</w:t>
      </w:r>
    </w:p>
    <w:p w14:paraId="1B16B941" w14:textId="77777777" w:rsidR="00000000" w:rsidRPr="00467DB0" w:rsidRDefault="00693D67" w:rsidP="00467DB0">
      <w:pPr>
        <w:pStyle w:val="friliste"/>
      </w:pPr>
      <w:r w:rsidRPr="00467DB0">
        <w:t>(56)</w:t>
      </w:r>
      <w:r w:rsidRPr="00467DB0">
        <w:tab/>
      </w:r>
      <w:proofErr w:type="spellStart"/>
      <w:r w:rsidRPr="00467DB0">
        <w:t>Kommission</w:t>
      </w:r>
      <w:r w:rsidRPr="00467DB0">
        <w:t>en</w:t>
      </w:r>
      <w:proofErr w:type="spellEnd"/>
      <w:r w:rsidRPr="00467DB0">
        <w:t xml:space="preserve"> bør i </w:t>
      </w:r>
      <w:proofErr w:type="spellStart"/>
      <w:r w:rsidRPr="00467DB0">
        <w:t>kølvandet</w:t>
      </w:r>
      <w:proofErr w:type="spellEnd"/>
      <w:r w:rsidRPr="00467DB0">
        <w:t xml:space="preserve"> på risiko- og trusselsanalysen </w:t>
      </w:r>
      <w:proofErr w:type="spellStart"/>
      <w:r w:rsidRPr="00467DB0">
        <w:t>identificere</w:t>
      </w:r>
      <w:proofErr w:type="spellEnd"/>
      <w:r w:rsidRPr="00467DB0">
        <w:t xml:space="preserve"> en struktur for </w:t>
      </w:r>
      <w:proofErr w:type="spellStart"/>
      <w:r w:rsidRPr="00467DB0">
        <w:t>sikkerhedsovervågning</w:t>
      </w:r>
      <w:proofErr w:type="spellEnd"/>
      <w:r w:rsidRPr="00467DB0">
        <w:t xml:space="preserve">, hvor det er relevant. Dette </w:t>
      </w:r>
      <w:proofErr w:type="spellStart"/>
      <w:r w:rsidRPr="00467DB0">
        <w:t>sikkerhedsovervågningsorgan</w:t>
      </w:r>
      <w:proofErr w:type="spellEnd"/>
      <w:r w:rsidRPr="00467DB0">
        <w:t xml:space="preserve"> bør være den </w:t>
      </w:r>
      <w:proofErr w:type="spellStart"/>
      <w:r w:rsidRPr="00467DB0">
        <w:t>enhed</w:t>
      </w:r>
      <w:proofErr w:type="spellEnd"/>
      <w:r w:rsidRPr="00467DB0">
        <w:t xml:space="preserve">, der reagerer på de instrukser, der er </w:t>
      </w:r>
      <w:proofErr w:type="spellStart"/>
      <w:r w:rsidRPr="00467DB0">
        <w:t>udarbejdet</w:t>
      </w:r>
      <w:proofErr w:type="spellEnd"/>
      <w:r w:rsidRPr="00467DB0">
        <w:t xml:space="preserve"> i henhold til anvendelsesområ</w:t>
      </w:r>
      <w:r w:rsidRPr="00467DB0">
        <w:t xml:space="preserve">det for </w:t>
      </w:r>
      <w:proofErr w:type="spellStart"/>
      <w:r w:rsidRPr="00467DB0">
        <w:t>afgørelse</w:t>
      </w:r>
      <w:proofErr w:type="spellEnd"/>
      <w:r w:rsidRPr="00467DB0">
        <w:t xml:space="preserve"> 202x/xxx/FUSP</w:t>
      </w:r>
      <w:r w:rsidRPr="00467DB0">
        <w:rPr>
          <w:rStyle w:val="Fotnotereferanse"/>
        </w:rPr>
        <w:footnoteReference w:id="23"/>
      </w:r>
      <w:r w:rsidRPr="00467DB0">
        <w:t>. For Galileos vedkommende bør dette organ være Galileo-</w:t>
      </w:r>
      <w:proofErr w:type="spellStart"/>
      <w:r w:rsidRPr="00467DB0">
        <w:t>Sikkerhedsovervågningscentret</w:t>
      </w:r>
      <w:proofErr w:type="spellEnd"/>
      <w:r w:rsidRPr="00467DB0">
        <w:t xml:space="preserve">. Med hensyn til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afgørelse</w:t>
      </w:r>
      <w:proofErr w:type="spellEnd"/>
      <w:r w:rsidRPr="00467DB0">
        <w:t xml:space="preserve"> 202x/xxx/FUSP bør Komitéen for </w:t>
      </w:r>
      <w:proofErr w:type="spellStart"/>
      <w:r w:rsidRPr="00467DB0">
        <w:t>Sikkerhedsgodkendelses</w:t>
      </w:r>
      <w:proofErr w:type="spellEnd"/>
      <w:r w:rsidRPr="00467DB0">
        <w:t xml:space="preserve"> rolle være </w:t>
      </w:r>
      <w:proofErr w:type="spellStart"/>
      <w:r w:rsidRPr="00467DB0">
        <w:t>begrænset</w:t>
      </w:r>
      <w:proofErr w:type="spellEnd"/>
      <w:r w:rsidRPr="00467DB0">
        <w:t xml:space="preserve"> til</w:t>
      </w:r>
      <w:r w:rsidRPr="00467DB0">
        <w:t xml:space="preserve"> at </w:t>
      </w:r>
      <w:proofErr w:type="spellStart"/>
      <w:r w:rsidRPr="00467DB0">
        <w:t>give</w:t>
      </w:r>
      <w:proofErr w:type="spellEnd"/>
      <w:r w:rsidRPr="00467DB0">
        <w:t xml:space="preserve"> Rådet eller den </w:t>
      </w:r>
      <w:proofErr w:type="spellStart"/>
      <w:r w:rsidRPr="00467DB0">
        <w:t>højtstående</w:t>
      </w:r>
      <w:proofErr w:type="spellEnd"/>
      <w:r w:rsidRPr="00467DB0">
        <w:t xml:space="preserve"> </w:t>
      </w:r>
      <w:proofErr w:type="spellStart"/>
      <w:r w:rsidRPr="00467DB0">
        <w:t>repræsentant</w:t>
      </w:r>
      <w:proofErr w:type="spellEnd"/>
      <w:r w:rsidRPr="00467DB0">
        <w:t xml:space="preserve"> input i forbindelse med </w:t>
      </w:r>
      <w:proofErr w:type="spellStart"/>
      <w:r w:rsidRPr="00467DB0">
        <w:t>sikkerhedsgodkendelsen</w:t>
      </w:r>
      <w:proofErr w:type="spellEnd"/>
      <w:r w:rsidRPr="00467DB0">
        <w:t xml:space="preserve"> </w:t>
      </w:r>
      <w:proofErr w:type="spellStart"/>
      <w:r w:rsidRPr="00467DB0">
        <w:t>af</w:t>
      </w:r>
      <w:proofErr w:type="spellEnd"/>
      <w:r w:rsidRPr="00467DB0">
        <w:t xml:space="preserve"> systemet.</w:t>
      </w:r>
    </w:p>
    <w:p w14:paraId="51CDC1D0" w14:textId="77777777" w:rsidR="00000000" w:rsidRPr="00467DB0" w:rsidRDefault="00693D67" w:rsidP="00467DB0">
      <w:pPr>
        <w:pStyle w:val="friliste"/>
      </w:pPr>
      <w:r w:rsidRPr="00467DB0">
        <w:t>(57)</w:t>
      </w:r>
      <w:r w:rsidRPr="00467DB0">
        <w:tab/>
        <w:t xml:space="preserve">På baggrund </w:t>
      </w:r>
      <w:proofErr w:type="spellStart"/>
      <w:r w:rsidRPr="00467DB0">
        <w:t>af</w:t>
      </w:r>
      <w:proofErr w:type="spellEnd"/>
      <w:r w:rsidRPr="00467DB0">
        <w:t xml:space="preserve"> programmets </w:t>
      </w:r>
      <w:proofErr w:type="spellStart"/>
      <w:r w:rsidRPr="00467DB0">
        <w:t>unikke</w:t>
      </w:r>
      <w:proofErr w:type="spellEnd"/>
      <w:r w:rsidRPr="00467DB0">
        <w:t xml:space="preserve"> karakter og kompleksitet og dets tilknytning til </w:t>
      </w:r>
      <w:proofErr w:type="spellStart"/>
      <w:r w:rsidRPr="00467DB0">
        <w:t>sikkerhedsområdet</w:t>
      </w:r>
      <w:proofErr w:type="spellEnd"/>
      <w:r w:rsidRPr="00467DB0">
        <w:t xml:space="preserve"> bør </w:t>
      </w:r>
      <w:proofErr w:type="spellStart"/>
      <w:r w:rsidRPr="00467DB0">
        <w:t>anerkendte</w:t>
      </w:r>
      <w:proofErr w:type="spellEnd"/>
      <w:r w:rsidRPr="00467DB0">
        <w:t xml:space="preserve"> og </w:t>
      </w:r>
      <w:proofErr w:type="spellStart"/>
      <w:r w:rsidRPr="00467DB0">
        <w:t>veletablerede</w:t>
      </w:r>
      <w:proofErr w:type="spellEnd"/>
      <w:r w:rsidRPr="00467DB0">
        <w:t xml:space="preserve"> </w:t>
      </w:r>
      <w:proofErr w:type="spellStart"/>
      <w:r w:rsidRPr="00467DB0">
        <w:t>principp</w:t>
      </w:r>
      <w:r w:rsidRPr="00467DB0">
        <w:t>er</w:t>
      </w:r>
      <w:proofErr w:type="spellEnd"/>
      <w:r w:rsidRPr="00467DB0">
        <w:t xml:space="preserve"> følges med </w:t>
      </w:r>
      <w:proofErr w:type="spellStart"/>
      <w:r w:rsidRPr="00467DB0">
        <w:t>henblik</w:t>
      </w:r>
      <w:proofErr w:type="spellEnd"/>
      <w:r w:rsidRPr="00467DB0">
        <w:t xml:space="preserve"> på </w:t>
      </w:r>
      <w:proofErr w:type="spellStart"/>
      <w:r w:rsidRPr="00467DB0">
        <w:t>sikkerhedsgodkendelse</w:t>
      </w:r>
      <w:proofErr w:type="spellEnd"/>
      <w:r w:rsidRPr="00467DB0">
        <w:t xml:space="preserve">. Det er derfor </w:t>
      </w:r>
      <w:proofErr w:type="spellStart"/>
      <w:r w:rsidRPr="00467DB0">
        <w:t>absolut</w:t>
      </w:r>
      <w:proofErr w:type="spellEnd"/>
      <w:r w:rsidRPr="00467DB0">
        <w:t xml:space="preserve"> </w:t>
      </w:r>
      <w:proofErr w:type="spellStart"/>
      <w:r w:rsidRPr="00467DB0">
        <w:t>nødvendigt</w:t>
      </w:r>
      <w:proofErr w:type="spellEnd"/>
      <w:r w:rsidRPr="00467DB0">
        <w:t xml:space="preserve">, at </w:t>
      </w:r>
      <w:proofErr w:type="spellStart"/>
      <w:r w:rsidRPr="00467DB0">
        <w:t>sikkerhedsgodkendelsesaktiviteterne</w:t>
      </w:r>
      <w:proofErr w:type="spellEnd"/>
      <w:r w:rsidRPr="00467DB0">
        <w:t xml:space="preserve"> </w:t>
      </w:r>
      <w:proofErr w:type="spellStart"/>
      <w:r w:rsidRPr="00467DB0">
        <w:t>gennemføres</w:t>
      </w:r>
      <w:proofErr w:type="spellEnd"/>
      <w:r w:rsidRPr="00467DB0">
        <w:t xml:space="preserve"> med kollektivt ansvar for </w:t>
      </w:r>
      <w:proofErr w:type="spellStart"/>
      <w:r w:rsidRPr="00467DB0">
        <w:t>sikkerheden</w:t>
      </w:r>
      <w:proofErr w:type="spellEnd"/>
      <w:r w:rsidRPr="00467DB0">
        <w:t xml:space="preserve"> i Unionen og dens medlemsstater, idet man </w:t>
      </w:r>
      <w:proofErr w:type="spellStart"/>
      <w:r w:rsidRPr="00467DB0">
        <w:t>forsøger</w:t>
      </w:r>
      <w:proofErr w:type="spellEnd"/>
      <w:r w:rsidRPr="00467DB0">
        <w:t xml:space="preserve"> at </w:t>
      </w:r>
      <w:proofErr w:type="spellStart"/>
      <w:r w:rsidRPr="00467DB0">
        <w:t>skabe</w:t>
      </w:r>
      <w:proofErr w:type="spellEnd"/>
      <w:r w:rsidRPr="00467DB0">
        <w:t xml:space="preserve"> konsensus og </w:t>
      </w:r>
      <w:proofErr w:type="spellStart"/>
      <w:r w:rsidRPr="00467DB0">
        <w:t>inddrage</w:t>
      </w:r>
      <w:proofErr w:type="spellEnd"/>
      <w:r w:rsidRPr="00467DB0">
        <w:t xml:space="preserve"> all</w:t>
      </w:r>
      <w:r w:rsidRPr="00467DB0">
        <w:t xml:space="preserve">e aktører i forbindelse med </w:t>
      </w:r>
      <w:proofErr w:type="spellStart"/>
      <w:r w:rsidRPr="00467DB0">
        <w:t>sikkerhedsspørgsmål</w:t>
      </w:r>
      <w:proofErr w:type="spellEnd"/>
      <w:r w:rsidRPr="00467DB0">
        <w:t xml:space="preserve">, og at der </w:t>
      </w:r>
      <w:proofErr w:type="spellStart"/>
      <w:r w:rsidRPr="00467DB0">
        <w:t>indføres</w:t>
      </w:r>
      <w:proofErr w:type="spellEnd"/>
      <w:r w:rsidRPr="00467DB0">
        <w:t xml:space="preserve"> en </w:t>
      </w:r>
      <w:proofErr w:type="spellStart"/>
      <w:r w:rsidRPr="00467DB0">
        <w:t>procedure</w:t>
      </w:r>
      <w:proofErr w:type="spellEnd"/>
      <w:r w:rsidRPr="00467DB0">
        <w:t xml:space="preserve"> for permanent </w:t>
      </w:r>
      <w:proofErr w:type="spellStart"/>
      <w:r w:rsidRPr="00467DB0">
        <w:t>risikoovervågning</w:t>
      </w:r>
      <w:proofErr w:type="spellEnd"/>
      <w:r w:rsidRPr="00467DB0">
        <w:t xml:space="preserve">. Det er også </w:t>
      </w:r>
      <w:proofErr w:type="spellStart"/>
      <w:r w:rsidRPr="00467DB0">
        <w:t>nødvendigt</w:t>
      </w:r>
      <w:proofErr w:type="spellEnd"/>
      <w:r w:rsidRPr="00467DB0">
        <w:t xml:space="preserve">, at de tekniske </w:t>
      </w:r>
      <w:proofErr w:type="spellStart"/>
      <w:r w:rsidRPr="00467DB0">
        <w:t>sikkerhedsgodkendelsesaktiviteter</w:t>
      </w:r>
      <w:proofErr w:type="spellEnd"/>
      <w:r w:rsidRPr="00467DB0">
        <w:t xml:space="preserve"> </w:t>
      </w:r>
      <w:proofErr w:type="spellStart"/>
      <w:r w:rsidRPr="00467DB0">
        <w:t>varetages</w:t>
      </w:r>
      <w:proofErr w:type="spellEnd"/>
      <w:r w:rsidRPr="00467DB0">
        <w:t xml:space="preserve"> </w:t>
      </w:r>
      <w:proofErr w:type="spellStart"/>
      <w:r w:rsidRPr="00467DB0">
        <w:t>af</w:t>
      </w:r>
      <w:proofErr w:type="spellEnd"/>
      <w:r w:rsidRPr="00467DB0">
        <w:t xml:space="preserve"> fagfolk, der er </w:t>
      </w:r>
      <w:proofErr w:type="spellStart"/>
      <w:r w:rsidRPr="00467DB0">
        <w:t>behørigt</w:t>
      </w:r>
      <w:proofErr w:type="spellEnd"/>
      <w:r w:rsidRPr="00467DB0">
        <w:t xml:space="preserve"> </w:t>
      </w:r>
      <w:proofErr w:type="spellStart"/>
      <w:r w:rsidRPr="00467DB0">
        <w:t>kvalificerede</w:t>
      </w:r>
      <w:proofErr w:type="spellEnd"/>
      <w:r w:rsidRPr="00467DB0">
        <w:t xml:space="preserve"> </w:t>
      </w:r>
      <w:r w:rsidRPr="00467DB0">
        <w:lastRenderedPageBreak/>
        <w:t xml:space="preserve">med hensyn til </w:t>
      </w:r>
      <w:proofErr w:type="spellStart"/>
      <w:r w:rsidRPr="00467DB0">
        <w:t>go</w:t>
      </w:r>
      <w:r w:rsidRPr="00467DB0">
        <w:t>dkendelse</w:t>
      </w:r>
      <w:proofErr w:type="spellEnd"/>
      <w:r w:rsidRPr="00467DB0">
        <w:t xml:space="preserve"> </w:t>
      </w:r>
      <w:proofErr w:type="spellStart"/>
      <w:r w:rsidRPr="00467DB0">
        <w:t>af</w:t>
      </w:r>
      <w:proofErr w:type="spellEnd"/>
      <w:r w:rsidRPr="00467DB0">
        <w:t xml:space="preserve"> komplekse systemer, og som har en passende </w:t>
      </w:r>
      <w:proofErr w:type="spellStart"/>
      <w:r w:rsidRPr="00467DB0">
        <w:t>sikkerhedsgodkendelse</w:t>
      </w:r>
      <w:proofErr w:type="spellEnd"/>
      <w:r w:rsidRPr="00467DB0">
        <w:t>.</w:t>
      </w:r>
    </w:p>
    <w:p w14:paraId="5D91222D" w14:textId="77777777" w:rsidR="00000000" w:rsidRPr="00467DB0" w:rsidRDefault="00693D67" w:rsidP="00467DB0">
      <w:pPr>
        <w:pStyle w:val="friliste"/>
      </w:pPr>
      <w:r w:rsidRPr="00467DB0">
        <w:t>(58)</w:t>
      </w:r>
      <w:r w:rsidRPr="00467DB0">
        <w:tab/>
      </w:r>
      <w:proofErr w:type="spellStart"/>
      <w:r w:rsidRPr="00467DB0">
        <w:t>EU's</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(EUCI) skal behandles i overensstemmelse med de </w:t>
      </w:r>
      <w:proofErr w:type="spellStart"/>
      <w:r w:rsidRPr="00467DB0">
        <w:t>sikkerhedsregler</w:t>
      </w:r>
      <w:proofErr w:type="spellEnd"/>
      <w:r w:rsidRPr="00467DB0">
        <w:t xml:space="preserve">, der er </w:t>
      </w:r>
      <w:proofErr w:type="spellStart"/>
      <w:r w:rsidRPr="00467DB0">
        <w:t>fastsat</w:t>
      </w:r>
      <w:proofErr w:type="spellEnd"/>
      <w:r w:rsidRPr="00467DB0">
        <w:t xml:space="preserve"> i Rådets </w:t>
      </w:r>
      <w:proofErr w:type="spellStart"/>
      <w:r w:rsidRPr="00467DB0">
        <w:t>afgørelse</w:t>
      </w:r>
      <w:proofErr w:type="spellEnd"/>
      <w:r w:rsidRPr="00467DB0">
        <w:t xml:space="preserve"> 2013/488/EU</w:t>
      </w:r>
      <w:r w:rsidRPr="00467DB0">
        <w:rPr>
          <w:rStyle w:val="Fotnotereferanse"/>
        </w:rPr>
        <w:footnoteReference w:id="24"/>
      </w:r>
      <w:r w:rsidRPr="00467DB0">
        <w:t xml:space="preserve"> og </w:t>
      </w:r>
      <w:proofErr w:type="spellStart"/>
      <w:r w:rsidRPr="00467DB0">
        <w:t>Kommissionens</w:t>
      </w:r>
      <w:proofErr w:type="spellEnd"/>
      <w:r w:rsidRPr="00467DB0">
        <w:t xml:space="preserve"> </w:t>
      </w:r>
      <w:proofErr w:type="spellStart"/>
      <w:r w:rsidRPr="00467DB0">
        <w:t>afgørelse</w:t>
      </w:r>
      <w:proofErr w:type="spellEnd"/>
      <w:r w:rsidRPr="00467DB0">
        <w:t xml:space="preserve"> (EU, Euratom) 2015/444</w:t>
      </w:r>
      <w:r w:rsidRPr="00467DB0">
        <w:rPr>
          <w:rStyle w:val="Fotnotereferanse"/>
        </w:rPr>
        <w:footnoteReference w:id="25"/>
      </w:r>
      <w:r w:rsidRPr="00467DB0">
        <w:t xml:space="preserve">. I overensstemmelse med </w:t>
      </w:r>
      <w:proofErr w:type="spellStart"/>
      <w:r w:rsidRPr="00467DB0">
        <w:t>afgørelse</w:t>
      </w:r>
      <w:proofErr w:type="spellEnd"/>
      <w:r w:rsidRPr="00467DB0">
        <w:t xml:space="preserve"> 2013/488/EU skal </w:t>
      </w:r>
      <w:proofErr w:type="spellStart"/>
      <w:r w:rsidRPr="00467DB0">
        <w:t>medlemsstaterne</w:t>
      </w:r>
      <w:proofErr w:type="spellEnd"/>
      <w:r w:rsidRPr="00467DB0">
        <w:t xml:space="preserve"> overholde de </w:t>
      </w:r>
      <w:proofErr w:type="spellStart"/>
      <w:r w:rsidRPr="00467DB0">
        <w:t>principper</w:t>
      </w:r>
      <w:proofErr w:type="spellEnd"/>
      <w:r w:rsidRPr="00467DB0">
        <w:t xml:space="preserve"> og minimumsstandarder, der er </w:t>
      </w:r>
      <w:proofErr w:type="spellStart"/>
      <w:r w:rsidRPr="00467DB0">
        <w:t>fastsat</w:t>
      </w:r>
      <w:proofErr w:type="spellEnd"/>
      <w:r w:rsidRPr="00467DB0">
        <w:t xml:space="preserve"> deri, for at sikre, </w:t>
      </w:r>
      <w:r w:rsidRPr="00467DB0">
        <w:t xml:space="preserve">at der </w:t>
      </w:r>
      <w:proofErr w:type="spellStart"/>
      <w:r w:rsidRPr="00467DB0">
        <w:t>gælder</w:t>
      </w:r>
      <w:proofErr w:type="spellEnd"/>
      <w:r w:rsidRPr="00467DB0">
        <w:t xml:space="preserve"> et </w:t>
      </w:r>
      <w:proofErr w:type="spellStart"/>
      <w:r w:rsidRPr="00467DB0">
        <w:t>ækvivalent</w:t>
      </w:r>
      <w:proofErr w:type="spellEnd"/>
      <w:r w:rsidRPr="00467DB0">
        <w:t xml:space="preserve"> </w:t>
      </w:r>
      <w:proofErr w:type="spellStart"/>
      <w:r w:rsidRPr="00467DB0">
        <w:t>beskyttelsesniveau</w:t>
      </w:r>
      <w:proofErr w:type="spellEnd"/>
      <w:r w:rsidRPr="00467DB0">
        <w:t xml:space="preserve"> for EUCI.</w:t>
      </w:r>
    </w:p>
    <w:p w14:paraId="23D8FB7B" w14:textId="77777777" w:rsidR="00000000" w:rsidRPr="00467DB0" w:rsidRDefault="00693D67" w:rsidP="00467DB0">
      <w:pPr>
        <w:pStyle w:val="friliste"/>
      </w:pPr>
      <w:r w:rsidRPr="00467DB0">
        <w:t>(59)</w:t>
      </w:r>
      <w:r w:rsidRPr="00467DB0">
        <w:tab/>
        <w:t xml:space="preserve">For at garantere sikker </w:t>
      </w:r>
      <w:proofErr w:type="spellStart"/>
      <w:r w:rsidRPr="00467DB0">
        <w:t>udveksling</w:t>
      </w:r>
      <w:proofErr w:type="spellEnd"/>
      <w:r w:rsidRPr="00467DB0">
        <w:t xml:space="preserve"> </w:t>
      </w:r>
      <w:proofErr w:type="spellStart"/>
      <w:r w:rsidRPr="00467DB0">
        <w:t>af</w:t>
      </w:r>
      <w:proofErr w:type="spellEnd"/>
      <w:r w:rsidRPr="00467DB0">
        <w:t xml:space="preserve"> </w:t>
      </w:r>
      <w:proofErr w:type="spellStart"/>
      <w:r w:rsidRPr="00467DB0">
        <w:t>informationer</w:t>
      </w:r>
      <w:proofErr w:type="spellEnd"/>
      <w:r w:rsidRPr="00467DB0">
        <w:t xml:space="preserve"> bør der </w:t>
      </w:r>
      <w:proofErr w:type="spellStart"/>
      <w:r w:rsidRPr="00467DB0">
        <w:t>indgås</w:t>
      </w:r>
      <w:proofErr w:type="spellEnd"/>
      <w:r w:rsidRPr="00467DB0">
        <w:t xml:space="preserve"> passende </w:t>
      </w:r>
      <w:proofErr w:type="spellStart"/>
      <w:r w:rsidRPr="00467DB0">
        <w:t>aftaler</w:t>
      </w:r>
      <w:proofErr w:type="spellEnd"/>
      <w:r w:rsidRPr="00467DB0">
        <w:t xml:space="preserve">, der sikrer, at EUCI, som </w:t>
      </w:r>
      <w:proofErr w:type="spellStart"/>
      <w:r w:rsidRPr="00467DB0">
        <w:t>videregives</w:t>
      </w:r>
      <w:proofErr w:type="spellEnd"/>
      <w:r w:rsidRPr="00467DB0">
        <w:t xml:space="preserve"> til </w:t>
      </w:r>
      <w:proofErr w:type="spellStart"/>
      <w:r w:rsidRPr="00467DB0">
        <w:t>tred</w:t>
      </w:r>
      <w:r w:rsidRPr="00467DB0">
        <w:t>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i forbindelse med programmet, er beskyttet.</w:t>
      </w:r>
    </w:p>
    <w:p w14:paraId="56345D12" w14:textId="77777777" w:rsidR="00000000" w:rsidRPr="00467DB0" w:rsidRDefault="00693D67" w:rsidP="00467DB0">
      <w:pPr>
        <w:pStyle w:val="friliste"/>
      </w:pPr>
      <w:r w:rsidRPr="00467DB0">
        <w:t>(60)</w:t>
      </w:r>
      <w:r w:rsidRPr="00467DB0">
        <w:tab/>
        <w:t xml:space="preserve">Et </w:t>
      </w:r>
      <w:proofErr w:type="spellStart"/>
      <w:r w:rsidRPr="00467DB0">
        <w:t>vigtigt</w:t>
      </w:r>
      <w:proofErr w:type="spellEnd"/>
      <w:r w:rsidRPr="00467DB0">
        <w:t xml:space="preserve"> mål med programmet er at garantere dets </w:t>
      </w:r>
      <w:proofErr w:type="spellStart"/>
      <w:r w:rsidRPr="00467DB0">
        <w:t>sikkerhed</w:t>
      </w:r>
      <w:proofErr w:type="spellEnd"/>
      <w:r w:rsidRPr="00467DB0">
        <w:t xml:space="preserve"> og styrke den strategiske autonomi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t>centrale</w:t>
      </w:r>
      <w:proofErr w:type="spellEnd"/>
      <w:r w:rsidRPr="00467DB0">
        <w:t xml:space="preserve"> teknologier og </w:t>
      </w:r>
      <w:proofErr w:type="spellStart"/>
      <w:r w:rsidRPr="00467DB0">
        <w:t>værdikæder</w:t>
      </w:r>
      <w:proofErr w:type="spellEnd"/>
      <w:r w:rsidRPr="00467DB0">
        <w:t>, samtidig med at der be</w:t>
      </w:r>
      <w:r w:rsidRPr="00467DB0">
        <w:t xml:space="preserve">vares en </w:t>
      </w:r>
      <w:proofErr w:type="spellStart"/>
      <w:r w:rsidRPr="00467DB0">
        <w:t>åben</w:t>
      </w:r>
      <w:proofErr w:type="spellEnd"/>
      <w:r w:rsidRPr="00467DB0">
        <w:t xml:space="preserve"> økonomi, herunder fri og fair handel, og de </w:t>
      </w:r>
      <w:proofErr w:type="spellStart"/>
      <w:r w:rsidRPr="00467DB0">
        <w:t>muligheder</w:t>
      </w:r>
      <w:proofErr w:type="spellEnd"/>
      <w:r w:rsidRPr="00467DB0">
        <w:t xml:space="preserve">, som </w:t>
      </w:r>
      <w:proofErr w:type="spellStart"/>
      <w:r w:rsidRPr="00467DB0">
        <w:t>rummet</w:t>
      </w:r>
      <w:proofErr w:type="spellEnd"/>
      <w:r w:rsidRPr="00467DB0">
        <w:t xml:space="preserve"> tilbyder, når det </w:t>
      </w:r>
      <w:proofErr w:type="spellStart"/>
      <w:r w:rsidRPr="00467DB0">
        <w:t>gælder</w:t>
      </w:r>
      <w:proofErr w:type="spellEnd"/>
      <w:r w:rsidRPr="00467DB0">
        <w:t xml:space="preserve"> </w:t>
      </w:r>
      <w:proofErr w:type="spellStart"/>
      <w:r w:rsidRPr="00467DB0">
        <w:t>sikkerheden</w:t>
      </w:r>
      <w:proofErr w:type="spellEnd"/>
      <w:r w:rsidRPr="00467DB0">
        <w:t xml:space="preserve"> i Unionen og dens medlemsstater, </w:t>
      </w:r>
      <w:proofErr w:type="spellStart"/>
      <w:r w:rsidRPr="00467DB0">
        <w:t>udnyttes</w:t>
      </w:r>
      <w:proofErr w:type="spellEnd"/>
      <w:r w:rsidRPr="00467DB0">
        <w:t xml:space="preserve">. Denne </w:t>
      </w:r>
      <w:proofErr w:type="spellStart"/>
      <w:r w:rsidRPr="00467DB0">
        <w:t>målsætning</w:t>
      </w:r>
      <w:proofErr w:type="spellEnd"/>
      <w:r w:rsidRPr="00467DB0">
        <w:t xml:space="preserve"> </w:t>
      </w:r>
      <w:proofErr w:type="spellStart"/>
      <w:r w:rsidRPr="00467DB0">
        <w:t>kræver</w:t>
      </w:r>
      <w:proofErr w:type="spellEnd"/>
      <w:r w:rsidRPr="00467DB0">
        <w:t xml:space="preserve"> i </w:t>
      </w:r>
      <w:proofErr w:type="spellStart"/>
      <w:r w:rsidRPr="00467DB0">
        <w:t>specifikke</w:t>
      </w:r>
      <w:proofErr w:type="spellEnd"/>
      <w:r w:rsidRPr="00467DB0">
        <w:t xml:space="preserve"> </w:t>
      </w:r>
      <w:proofErr w:type="spellStart"/>
      <w:r w:rsidRPr="00467DB0">
        <w:t>tilfælde</w:t>
      </w:r>
      <w:proofErr w:type="spellEnd"/>
      <w:r w:rsidRPr="00467DB0">
        <w:t xml:space="preserve">, at der </w:t>
      </w:r>
      <w:proofErr w:type="spellStart"/>
      <w:r w:rsidRPr="00467DB0">
        <w:t>fastsættes</w:t>
      </w:r>
      <w:proofErr w:type="spellEnd"/>
      <w:r w:rsidRPr="00467DB0">
        <w:t xml:space="preserve"> de betingelser for støtteberet</w:t>
      </w:r>
      <w:r w:rsidRPr="00467DB0">
        <w:t xml:space="preserve">tigelse og deltagelse, som </w:t>
      </w:r>
      <w:proofErr w:type="spellStart"/>
      <w:r w:rsidRPr="00467DB0">
        <w:t>kræves</w:t>
      </w:r>
      <w:proofErr w:type="spellEnd"/>
      <w:r w:rsidRPr="00467DB0">
        <w:t xml:space="preserve"> </w:t>
      </w:r>
      <w:proofErr w:type="spellStart"/>
      <w:r w:rsidRPr="00467DB0">
        <w:t>opfyldt</w:t>
      </w:r>
      <w:proofErr w:type="spellEnd"/>
      <w:r w:rsidRPr="00467DB0">
        <w:t xml:space="preserve"> for at sikre beskyttelsen </w:t>
      </w:r>
      <w:proofErr w:type="spellStart"/>
      <w:r w:rsidRPr="00467DB0">
        <w:t>af</w:t>
      </w:r>
      <w:proofErr w:type="spellEnd"/>
      <w:r w:rsidRPr="00467DB0">
        <w:t xml:space="preserve"> de </w:t>
      </w:r>
      <w:proofErr w:type="spellStart"/>
      <w:r w:rsidRPr="00467DB0">
        <w:t>operationelle</w:t>
      </w:r>
      <w:proofErr w:type="spellEnd"/>
      <w:r w:rsidRPr="00467DB0">
        <w:t xml:space="preserve"> EU-systemers integritet, </w:t>
      </w:r>
      <w:proofErr w:type="spellStart"/>
      <w:r w:rsidRPr="00467DB0">
        <w:t>sikkerhed</w:t>
      </w:r>
      <w:proofErr w:type="spellEnd"/>
      <w:r w:rsidRPr="00467DB0">
        <w:t xml:space="preserve"> og </w:t>
      </w:r>
      <w:proofErr w:type="spellStart"/>
      <w:r w:rsidRPr="00467DB0">
        <w:t>modstandsdygtighed</w:t>
      </w:r>
      <w:proofErr w:type="spellEnd"/>
      <w:r w:rsidRPr="00467DB0">
        <w:t xml:space="preserve">. Dette bør ikke undergrave behovet for </w:t>
      </w:r>
      <w:proofErr w:type="spellStart"/>
      <w:r w:rsidRPr="00467DB0">
        <w:t>konkurrenceevne</w:t>
      </w:r>
      <w:proofErr w:type="spellEnd"/>
      <w:r w:rsidRPr="00467DB0">
        <w:t xml:space="preserve"> og omkostningseffektivitet. </w:t>
      </w:r>
      <w:proofErr w:type="spellStart"/>
      <w:r w:rsidRPr="00467DB0">
        <w:t>Kommissionen</w:t>
      </w:r>
      <w:proofErr w:type="spellEnd"/>
      <w:r w:rsidRPr="00467DB0">
        <w:t xml:space="preserve"> bør i evaluerin</w:t>
      </w:r>
      <w:r w:rsidRPr="00467DB0">
        <w:t xml:space="preserve">gen for </w:t>
      </w:r>
      <w:proofErr w:type="spellStart"/>
      <w:r w:rsidRPr="00467DB0">
        <w:t>retlige</w:t>
      </w:r>
      <w:proofErr w:type="spellEnd"/>
      <w:r w:rsidRPr="00467DB0">
        <w:t xml:space="preserve"> </w:t>
      </w:r>
      <w:proofErr w:type="spellStart"/>
      <w:r w:rsidRPr="00467DB0">
        <w:t>enheder</w:t>
      </w:r>
      <w:proofErr w:type="spellEnd"/>
      <w:r w:rsidRPr="00467DB0">
        <w:t xml:space="preserve">, som er underlagt </w:t>
      </w:r>
      <w:proofErr w:type="spellStart"/>
      <w:r w:rsidRPr="00467DB0">
        <w:t>kontrol</w:t>
      </w:r>
      <w:proofErr w:type="spellEnd"/>
      <w:r w:rsidRPr="00467DB0">
        <w:t xml:space="preserve"> fra et tredjeland eller fra en </w:t>
      </w:r>
      <w:proofErr w:type="spellStart"/>
      <w:r w:rsidRPr="00467DB0">
        <w:t>enhed</w:t>
      </w:r>
      <w:proofErr w:type="spellEnd"/>
      <w:r w:rsidRPr="00467DB0">
        <w:t xml:space="preserve"> i et tredjeland, </w:t>
      </w:r>
      <w:proofErr w:type="spellStart"/>
      <w:r w:rsidRPr="00467DB0">
        <w:t>tage</w:t>
      </w:r>
      <w:proofErr w:type="spellEnd"/>
      <w:r w:rsidRPr="00467DB0">
        <w:t xml:space="preserve"> hensyn til de </w:t>
      </w:r>
      <w:proofErr w:type="spellStart"/>
      <w:r w:rsidRPr="00467DB0">
        <w:t>principper</w:t>
      </w:r>
      <w:proofErr w:type="spellEnd"/>
      <w:r w:rsidRPr="00467DB0">
        <w:t xml:space="preserve"> og kriterier, der er </w:t>
      </w:r>
      <w:proofErr w:type="spellStart"/>
      <w:r w:rsidRPr="00467DB0">
        <w:t>fastsat</w:t>
      </w:r>
      <w:proofErr w:type="spellEnd"/>
      <w:r w:rsidRPr="00467DB0">
        <w:t xml:space="preserve"> i Europa-Parlamentets og Rådets forordning (EU) 2019/452</w:t>
      </w:r>
      <w:r w:rsidRPr="00467DB0">
        <w:rPr>
          <w:rStyle w:val="Fotnotereferanse"/>
        </w:rPr>
        <w:footnoteReference w:id="26"/>
      </w:r>
      <w:r w:rsidRPr="00467DB0">
        <w:t>.</w:t>
      </w:r>
    </w:p>
    <w:p w14:paraId="31E36F01" w14:textId="77777777" w:rsidR="00000000" w:rsidRPr="00467DB0" w:rsidRDefault="00693D67" w:rsidP="00467DB0">
      <w:pPr>
        <w:pStyle w:val="friliste"/>
      </w:pPr>
      <w:r w:rsidRPr="00467DB0">
        <w:t>(61)</w:t>
      </w:r>
      <w:r w:rsidRPr="00467DB0">
        <w:tab/>
        <w:t xml:space="preserve">I forbindelse med programmet er der visse </w:t>
      </w:r>
      <w:proofErr w:type="spellStart"/>
      <w:r w:rsidRPr="00467DB0">
        <w:t>oplysninger</w:t>
      </w:r>
      <w:proofErr w:type="spellEnd"/>
      <w:r w:rsidRPr="00467DB0">
        <w:t xml:space="preserve">, der, selv om de ikke er </w:t>
      </w:r>
      <w:proofErr w:type="spellStart"/>
      <w:r w:rsidRPr="00467DB0">
        <w:t>klassificerede</w:t>
      </w:r>
      <w:proofErr w:type="spellEnd"/>
      <w:r w:rsidRPr="00467DB0">
        <w:t>, skal hå</w:t>
      </w:r>
      <w:r w:rsidRPr="00467DB0">
        <w:t xml:space="preserve">ndteres i overensstemmelse med allerede </w:t>
      </w:r>
      <w:proofErr w:type="spellStart"/>
      <w:r w:rsidRPr="00467DB0">
        <w:t>gældende</w:t>
      </w:r>
      <w:proofErr w:type="spellEnd"/>
      <w:r w:rsidRPr="00467DB0">
        <w:t xml:space="preserve"> EU-</w:t>
      </w:r>
      <w:proofErr w:type="spellStart"/>
      <w:r w:rsidRPr="00467DB0">
        <w:t>retsakter</w:t>
      </w:r>
      <w:proofErr w:type="spellEnd"/>
      <w:r w:rsidRPr="00467DB0">
        <w:t xml:space="preserve"> eller </w:t>
      </w:r>
      <w:proofErr w:type="spellStart"/>
      <w:r w:rsidRPr="00467DB0">
        <w:t>nationale</w:t>
      </w:r>
      <w:proofErr w:type="spellEnd"/>
      <w:r w:rsidRPr="00467DB0">
        <w:t xml:space="preserve"> love, regler og bestemmelser, herunder ved at </w:t>
      </w:r>
      <w:proofErr w:type="spellStart"/>
      <w:r w:rsidRPr="00467DB0">
        <w:t>begrænse</w:t>
      </w:r>
      <w:proofErr w:type="spellEnd"/>
      <w:r w:rsidRPr="00467DB0">
        <w:t xml:space="preserve"> deres </w:t>
      </w:r>
      <w:proofErr w:type="spellStart"/>
      <w:r w:rsidRPr="00467DB0">
        <w:t>udbredelse</w:t>
      </w:r>
      <w:proofErr w:type="spellEnd"/>
      <w:r w:rsidRPr="00467DB0">
        <w:t>.</w:t>
      </w:r>
    </w:p>
    <w:p w14:paraId="7D264FAD" w14:textId="77777777" w:rsidR="00000000" w:rsidRPr="00467DB0" w:rsidRDefault="00693D67" w:rsidP="00467DB0">
      <w:pPr>
        <w:pStyle w:val="friliste"/>
      </w:pPr>
      <w:r w:rsidRPr="00467DB0">
        <w:t>(62)</w:t>
      </w:r>
      <w:r w:rsidRPr="00467DB0">
        <w:tab/>
        <w:t xml:space="preserve">Et stigende </w:t>
      </w:r>
      <w:proofErr w:type="spellStart"/>
      <w:r w:rsidRPr="00467DB0">
        <w:t>antal</w:t>
      </w:r>
      <w:proofErr w:type="spellEnd"/>
      <w:r w:rsidRPr="00467DB0">
        <w:t xml:space="preserve"> </w:t>
      </w:r>
      <w:proofErr w:type="spellStart"/>
      <w:r w:rsidRPr="00467DB0">
        <w:t>vigtige</w:t>
      </w:r>
      <w:proofErr w:type="spellEnd"/>
      <w:r w:rsidRPr="00467DB0">
        <w:t xml:space="preserve"> økonomiske sektorer, navnlig </w:t>
      </w:r>
      <w:proofErr w:type="spellStart"/>
      <w:r w:rsidRPr="00467DB0">
        <w:t>inden</w:t>
      </w:r>
      <w:proofErr w:type="spellEnd"/>
      <w:r w:rsidRPr="00467DB0">
        <w:t xml:space="preserve"> for transport, </w:t>
      </w:r>
      <w:proofErr w:type="spellStart"/>
      <w:r w:rsidRPr="00467DB0">
        <w:t>telekommunikation</w:t>
      </w:r>
      <w:proofErr w:type="spellEnd"/>
      <w:r w:rsidRPr="00467DB0">
        <w:t xml:space="preserve">, </w:t>
      </w:r>
      <w:proofErr w:type="spellStart"/>
      <w:r w:rsidRPr="00467DB0">
        <w:t>landb</w:t>
      </w:r>
      <w:r w:rsidRPr="00467DB0">
        <w:t>rug</w:t>
      </w:r>
      <w:proofErr w:type="spellEnd"/>
      <w:r w:rsidRPr="00467DB0">
        <w:t xml:space="preserve"> og energi, anvender i stadig </w:t>
      </w:r>
      <w:proofErr w:type="spellStart"/>
      <w:r w:rsidRPr="00467DB0">
        <w:t>højere</w:t>
      </w:r>
      <w:proofErr w:type="spellEnd"/>
      <w:r w:rsidRPr="00467DB0">
        <w:t xml:space="preserve"> grad </w:t>
      </w:r>
      <w:proofErr w:type="spellStart"/>
      <w:r w:rsidRPr="00467DB0">
        <w:t>satellitnavigationssystemer</w:t>
      </w:r>
      <w:proofErr w:type="spellEnd"/>
      <w:r w:rsidRPr="00467DB0">
        <w:t xml:space="preserve"> og </w:t>
      </w:r>
      <w:proofErr w:type="spellStart"/>
      <w:r w:rsidRPr="00467DB0">
        <w:t>jordobservationssystemer</w:t>
      </w:r>
      <w:proofErr w:type="spellEnd"/>
      <w:r w:rsidRPr="00467DB0">
        <w:t>.</w:t>
      </w:r>
    </w:p>
    <w:p w14:paraId="41CBA9A4" w14:textId="77777777" w:rsidR="00000000" w:rsidRPr="00467DB0" w:rsidRDefault="00693D67" w:rsidP="00467DB0">
      <w:pPr>
        <w:pStyle w:val="Listeavsnitt"/>
      </w:pPr>
      <w:r w:rsidRPr="00467DB0">
        <w:t xml:space="preserve">Programmet bør </w:t>
      </w:r>
      <w:proofErr w:type="spellStart"/>
      <w:r w:rsidRPr="00467DB0">
        <w:t>udnytte</w:t>
      </w:r>
      <w:proofErr w:type="spellEnd"/>
      <w:r w:rsidRPr="00467DB0">
        <w:t xml:space="preserve"> </w:t>
      </w:r>
      <w:proofErr w:type="spellStart"/>
      <w:r w:rsidRPr="00467DB0">
        <w:t>synergierne</w:t>
      </w:r>
      <w:proofErr w:type="spellEnd"/>
      <w:r w:rsidRPr="00467DB0">
        <w:t xml:space="preserve"> </w:t>
      </w:r>
      <w:proofErr w:type="spellStart"/>
      <w:r w:rsidRPr="00467DB0">
        <w:t>mellem</w:t>
      </w:r>
      <w:proofErr w:type="spellEnd"/>
      <w:r w:rsidRPr="00467DB0">
        <w:t xml:space="preserve"> disse sektorer </w:t>
      </w:r>
      <w:proofErr w:type="gramStart"/>
      <w:r w:rsidRPr="00467DB0">
        <w:t>under hensyntagen</w:t>
      </w:r>
      <w:proofErr w:type="gramEnd"/>
      <w:r w:rsidRPr="00467DB0">
        <w:t xml:space="preserve"> til de fordele, som </w:t>
      </w:r>
      <w:proofErr w:type="spellStart"/>
      <w:r w:rsidRPr="00467DB0">
        <w:t>rumteknologier</w:t>
      </w:r>
      <w:proofErr w:type="spellEnd"/>
      <w:r w:rsidRPr="00467DB0">
        <w:t xml:space="preserve"> bibringer disse sektorer, støtte </w:t>
      </w:r>
      <w:proofErr w:type="spellStart"/>
      <w:r w:rsidRPr="00467DB0">
        <w:t>udvikling</w:t>
      </w:r>
      <w:r w:rsidRPr="00467DB0">
        <w:t>en</w:t>
      </w:r>
      <w:proofErr w:type="spellEnd"/>
      <w:r w:rsidRPr="00467DB0">
        <w:t xml:space="preserve"> </w:t>
      </w:r>
      <w:proofErr w:type="spellStart"/>
      <w:r w:rsidRPr="00467DB0">
        <w:t>af</w:t>
      </w:r>
      <w:proofErr w:type="spellEnd"/>
      <w:r w:rsidRPr="00467DB0">
        <w:t xml:space="preserve"> kompatibelt </w:t>
      </w:r>
      <w:proofErr w:type="spellStart"/>
      <w:r w:rsidRPr="00467DB0">
        <w:t>udstyr</w:t>
      </w:r>
      <w:proofErr w:type="spellEnd"/>
      <w:r w:rsidRPr="00467DB0">
        <w:t xml:space="preserve"> og fremme </w:t>
      </w:r>
      <w:proofErr w:type="spellStart"/>
      <w:r w:rsidRPr="00467DB0">
        <w:t>udviklingen</w:t>
      </w:r>
      <w:proofErr w:type="spellEnd"/>
      <w:r w:rsidRPr="00467DB0">
        <w:t xml:space="preserve"> </w:t>
      </w:r>
      <w:proofErr w:type="spellStart"/>
      <w:r w:rsidRPr="00467DB0">
        <w:t>af</w:t>
      </w:r>
      <w:proofErr w:type="spellEnd"/>
      <w:r w:rsidRPr="00467DB0">
        <w:t xml:space="preserve"> relevante standarder og </w:t>
      </w:r>
      <w:proofErr w:type="spellStart"/>
      <w:r w:rsidRPr="00467DB0">
        <w:t>certificeringer</w:t>
      </w:r>
      <w:proofErr w:type="spellEnd"/>
      <w:r w:rsidRPr="00467DB0">
        <w:t xml:space="preserve">. Der bliver også flere og flere synergier </w:t>
      </w:r>
      <w:proofErr w:type="spellStart"/>
      <w:r w:rsidRPr="00467DB0">
        <w:t>mellem</w:t>
      </w:r>
      <w:proofErr w:type="spellEnd"/>
      <w:r w:rsidRPr="00467DB0">
        <w:t xml:space="preserve"> </w:t>
      </w:r>
      <w:proofErr w:type="spellStart"/>
      <w:r w:rsidRPr="00467DB0">
        <w:t>rumaktiviteter</w:t>
      </w:r>
      <w:proofErr w:type="spellEnd"/>
      <w:r w:rsidRPr="00467DB0">
        <w:t xml:space="preserve"> og aktiviteter, som er tilknyttet </w:t>
      </w:r>
      <w:proofErr w:type="spellStart"/>
      <w:r w:rsidRPr="00467DB0">
        <w:t>sikkerheds</w:t>
      </w:r>
      <w:proofErr w:type="spellEnd"/>
      <w:r w:rsidRPr="00467DB0">
        <w:t xml:space="preserve">- og forsvarsområdet i Unionen og dens medlemsstater. Ved </w:t>
      </w:r>
      <w:r w:rsidRPr="00467DB0">
        <w:t xml:space="preserve">at sikre </w:t>
      </w:r>
      <w:proofErr w:type="spellStart"/>
      <w:r w:rsidRPr="00467DB0">
        <w:t>fuld</w:t>
      </w:r>
      <w:proofErr w:type="spellEnd"/>
      <w:r w:rsidRPr="00467DB0">
        <w:t xml:space="preserve"> </w:t>
      </w:r>
      <w:proofErr w:type="spellStart"/>
      <w:r w:rsidRPr="00467DB0">
        <w:t>kontrol</w:t>
      </w:r>
      <w:proofErr w:type="spellEnd"/>
      <w:r w:rsidRPr="00467DB0">
        <w:t xml:space="preserve"> over den </w:t>
      </w:r>
      <w:proofErr w:type="spellStart"/>
      <w:r w:rsidRPr="00467DB0">
        <w:t>satellitbaserede</w:t>
      </w:r>
      <w:proofErr w:type="spellEnd"/>
      <w:r w:rsidRPr="00467DB0">
        <w:t xml:space="preserve"> </w:t>
      </w:r>
      <w:proofErr w:type="spellStart"/>
      <w:r w:rsidRPr="00467DB0">
        <w:t>navigation</w:t>
      </w:r>
      <w:proofErr w:type="spellEnd"/>
      <w:r w:rsidRPr="00467DB0">
        <w:t xml:space="preserve"> bør Unionens teknologiske </w:t>
      </w:r>
      <w:proofErr w:type="spellStart"/>
      <w:r w:rsidRPr="00467DB0">
        <w:t>uafhængighed</w:t>
      </w:r>
      <w:proofErr w:type="spellEnd"/>
      <w:r w:rsidRPr="00467DB0">
        <w:t xml:space="preserve"> </w:t>
      </w:r>
      <w:proofErr w:type="gramStart"/>
      <w:r w:rsidRPr="00467DB0">
        <w:t>således</w:t>
      </w:r>
      <w:proofErr w:type="gramEnd"/>
      <w:r w:rsidRPr="00467DB0">
        <w:t xml:space="preserve"> kunne sikres, også på </w:t>
      </w:r>
      <w:proofErr w:type="spellStart"/>
      <w:r w:rsidRPr="00467DB0">
        <w:t>længere</w:t>
      </w:r>
      <w:proofErr w:type="spellEnd"/>
      <w:r w:rsidRPr="00467DB0">
        <w:t xml:space="preserve"> </w:t>
      </w:r>
      <w:proofErr w:type="spellStart"/>
      <w:r w:rsidRPr="00467DB0">
        <w:t>sigt</w:t>
      </w:r>
      <w:proofErr w:type="spellEnd"/>
      <w:r w:rsidRPr="00467DB0">
        <w:t xml:space="preserve"> for de enkelte dele </w:t>
      </w:r>
      <w:proofErr w:type="spellStart"/>
      <w:r w:rsidRPr="00467DB0">
        <w:t>af</w:t>
      </w:r>
      <w:proofErr w:type="spellEnd"/>
      <w:r w:rsidRPr="00467DB0">
        <w:t xml:space="preserve"> infrastrukturen, på samme </w:t>
      </w:r>
      <w:proofErr w:type="spellStart"/>
      <w:r w:rsidRPr="00467DB0">
        <w:t>måde</w:t>
      </w:r>
      <w:proofErr w:type="spellEnd"/>
      <w:r w:rsidRPr="00467DB0">
        <w:t xml:space="preserve"> som dens strategiske autonomi.</w:t>
      </w:r>
    </w:p>
    <w:p w14:paraId="3D37D3EB" w14:textId="77777777" w:rsidR="00000000" w:rsidRPr="00467DB0" w:rsidRDefault="00693D67" w:rsidP="00467DB0">
      <w:pPr>
        <w:pStyle w:val="friliste"/>
      </w:pPr>
      <w:r w:rsidRPr="00467DB0">
        <w:t>(63)</w:t>
      </w:r>
      <w:r w:rsidRPr="00467DB0">
        <w:tab/>
        <w:t>Galileo har til formål at</w:t>
      </w:r>
      <w:r w:rsidRPr="00467DB0">
        <w:t xml:space="preserve"> etablere og drive den første globale infrastruktur for </w:t>
      </w:r>
      <w:proofErr w:type="spellStart"/>
      <w:r w:rsidRPr="00467DB0">
        <w:t>satellitbaseret</w:t>
      </w:r>
      <w:proofErr w:type="spellEnd"/>
      <w:r w:rsidRPr="00467DB0">
        <w:t xml:space="preserve"> </w:t>
      </w:r>
      <w:proofErr w:type="spellStart"/>
      <w:r w:rsidRPr="00467DB0">
        <w:t>navigation</w:t>
      </w:r>
      <w:proofErr w:type="spellEnd"/>
      <w:r w:rsidRPr="00467DB0">
        <w:t xml:space="preserve"> og </w:t>
      </w:r>
      <w:proofErr w:type="spellStart"/>
      <w:r w:rsidRPr="00467DB0">
        <w:t>positionsbestemmelse</w:t>
      </w:r>
      <w:proofErr w:type="spellEnd"/>
      <w:r w:rsidRPr="00467DB0">
        <w:t xml:space="preserve">, der er rettet </w:t>
      </w:r>
      <w:proofErr w:type="spellStart"/>
      <w:r w:rsidRPr="00467DB0">
        <w:t>specifikt</w:t>
      </w:r>
      <w:proofErr w:type="spellEnd"/>
      <w:r w:rsidRPr="00467DB0">
        <w:t xml:space="preserve"> mod </w:t>
      </w:r>
      <w:proofErr w:type="spellStart"/>
      <w:r w:rsidRPr="00467DB0">
        <w:t>civile</w:t>
      </w:r>
      <w:proofErr w:type="spellEnd"/>
      <w:r w:rsidRPr="00467DB0">
        <w:t xml:space="preserve"> formål, som kan </w:t>
      </w:r>
      <w:proofErr w:type="spellStart"/>
      <w:r w:rsidRPr="00467DB0">
        <w:t>bruges</w:t>
      </w:r>
      <w:proofErr w:type="spellEnd"/>
      <w:r w:rsidRPr="00467DB0">
        <w:t xml:space="preserve"> </w:t>
      </w:r>
      <w:proofErr w:type="spellStart"/>
      <w:r w:rsidRPr="00467DB0">
        <w:t>af</w:t>
      </w:r>
      <w:proofErr w:type="spellEnd"/>
      <w:r w:rsidRPr="00467DB0">
        <w:t xml:space="preserve"> en </w:t>
      </w:r>
      <w:proofErr w:type="spellStart"/>
      <w:r w:rsidRPr="00467DB0">
        <w:t>række</w:t>
      </w:r>
      <w:proofErr w:type="spellEnd"/>
      <w:r w:rsidRPr="00467DB0">
        <w:t xml:space="preserve"> offentlige og private aktører i Europa og på verdensplan. Galileo fungerer </w:t>
      </w:r>
      <w:proofErr w:type="spellStart"/>
      <w:r w:rsidRPr="00467DB0">
        <w:t>uaf</w:t>
      </w:r>
      <w:r w:rsidRPr="00467DB0">
        <w:t>hængigt</w:t>
      </w:r>
      <w:proofErr w:type="spellEnd"/>
      <w:r w:rsidRPr="00467DB0">
        <w:t xml:space="preserve"> </w:t>
      </w:r>
      <w:proofErr w:type="spellStart"/>
      <w:r w:rsidRPr="00467DB0">
        <w:t>af</w:t>
      </w:r>
      <w:proofErr w:type="spellEnd"/>
      <w:r w:rsidRPr="00467DB0">
        <w:t xml:space="preserve"> andre eksisterende eller eventuelle fremtidige systemer og </w:t>
      </w:r>
      <w:proofErr w:type="spellStart"/>
      <w:r w:rsidRPr="00467DB0">
        <w:t>bidrager</w:t>
      </w:r>
      <w:proofErr w:type="spellEnd"/>
      <w:r w:rsidRPr="00467DB0">
        <w:t xml:space="preserve"> dermed bl.a. </w:t>
      </w:r>
      <w:r w:rsidRPr="00467DB0">
        <w:lastRenderedPageBreak/>
        <w:t xml:space="preserve">til Unionens strategiske autonomi. Anden </w:t>
      </w:r>
      <w:proofErr w:type="spellStart"/>
      <w:r w:rsidRPr="00467DB0">
        <w:t>generation</w:t>
      </w:r>
      <w:proofErr w:type="spellEnd"/>
      <w:r w:rsidRPr="00467DB0">
        <w:t xml:space="preserve"> </w:t>
      </w:r>
      <w:proofErr w:type="spellStart"/>
      <w:r w:rsidRPr="00467DB0">
        <w:t>af</w:t>
      </w:r>
      <w:proofErr w:type="spellEnd"/>
      <w:r w:rsidRPr="00467DB0">
        <w:t xml:space="preserve"> Galileo bør </w:t>
      </w:r>
      <w:proofErr w:type="spellStart"/>
      <w:r w:rsidRPr="00467DB0">
        <w:t>lanceres</w:t>
      </w:r>
      <w:proofErr w:type="spellEnd"/>
      <w:r w:rsidRPr="00467DB0">
        <w:t xml:space="preserve"> gradvis </w:t>
      </w:r>
      <w:proofErr w:type="spellStart"/>
      <w:r w:rsidRPr="00467DB0">
        <w:t>inden</w:t>
      </w:r>
      <w:proofErr w:type="spellEnd"/>
      <w:r w:rsidRPr="00467DB0">
        <w:t xml:space="preserve"> 2030, i første omgang med </w:t>
      </w:r>
      <w:proofErr w:type="spellStart"/>
      <w:r w:rsidRPr="00467DB0">
        <w:t>reduceret</w:t>
      </w:r>
      <w:proofErr w:type="spellEnd"/>
      <w:r w:rsidRPr="00467DB0">
        <w:t xml:space="preserve"> </w:t>
      </w:r>
      <w:proofErr w:type="spellStart"/>
      <w:r w:rsidRPr="00467DB0">
        <w:t>operationel</w:t>
      </w:r>
      <w:proofErr w:type="spellEnd"/>
      <w:r w:rsidRPr="00467DB0">
        <w:t xml:space="preserve"> </w:t>
      </w:r>
      <w:proofErr w:type="spellStart"/>
      <w:r w:rsidRPr="00467DB0">
        <w:t>kapacitet</w:t>
      </w:r>
      <w:proofErr w:type="spellEnd"/>
      <w:r w:rsidRPr="00467DB0">
        <w:t>.</w:t>
      </w:r>
    </w:p>
    <w:p w14:paraId="21C9A1F5" w14:textId="77777777" w:rsidR="00000000" w:rsidRPr="00467DB0" w:rsidRDefault="00693D67" w:rsidP="00467DB0">
      <w:pPr>
        <w:pStyle w:val="friliste"/>
      </w:pPr>
      <w:r w:rsidRPr="00467DB0">
        <w:t>(64)</w:t>
      </w:r>
      <w:r w:rsidRPr="00467DB0">
        <w:tab/>
        <w:t>Formålet m</w:t>
      </w:r>
      <w:r w:rsidRPr="00467DB0">
        <w:t xml:space="preserve">ed EGNOS er at forbedre kvaliteten </w:t>
      </w:r>
      <w:proofErr w:type="spellStart"/>
      <w:r w:rsidRPr="00467DB0">
        <w:t>af</w:t>
      </w:r>
      <w:proofErr w:type="spellEnd"/>
      <w:r w:rsidRPr="00467DB0">
        <w:t xml:space="preserve"> </w:t>
      </w:r>
      <w:proofErr w:type="spellStart"/>
      <w:r w:rsidRPr="00467DB0">
        <w:t>åbne</w:t>
      </w:r>
      <w:proofErr w:type="spellEnd"/>
      <w:r w:rsidRPr="00467DB0">
        <w:t xml:space="preserve"> signaler fra eksisterende globale </w:t>
      </w:r>
      <w:proofErr w:type="spellStart"/>
      <w:r w:rsidRPr="00467DB0">
        <w:t>satellitnavigationssystemer</w:t>
      </w:r>
      <w:proofErr w:type="spellEnd"/>
      <w:r w:rsidRPr="00467DB0">
        <w:t xml:space="preserve">, navnlig dem, der </w:t>
      </w:r>
      <w:proofErr w:type="spellStart"/>
      <w:r w:rsidRPr="00467DB0">
        <w:t>udsendes</w:t>
      </w:r>
      <w:proofErr w:type="spellEnd"/>
      <w:r w:rsidRPr="00467DB0">
        <w:t xml:space="preserve"> </w:t>
      </w:r>
      <w:proofErr w:type="spellStart"/>
      <w:r w:rsidRPr="00467DB0">
        <w:t>af</w:t>
      </w:r>
      <w:proofErr w:type="spellEnd"/>
      <w:r w:rsidRPr="00467DB0">
        <w:t xml:space="preserve"> Galileo. De tjenester, som EGNOS leverer, bør som en prioritet </w:t>
      </w:r>
      <w:proofErr w:type="spellStart"/>
      <w:r w:rsidRPr="00467DB0">
        <w:t>dække</w:t>
      </w:r>
      <w:proofErr w:type="spellEnd"/>
      <w:r w:rsidRPr="00467DB0">
        <w:t xml:space="preserve"> </w:t>
      </w:r>
      <w:proofErr w:type="spellStart"/>
      <w:r w:rsidRPr="00467DB0">
        <w:t>medlemsstaternes</w:t>
      </w:r>
      <w:proofErr w:type="spellEnd"/>
      <w:r w:rsidRPr="00467DB0">
        <w:t xml:space="preserve"> territorier, der geografisk </w:t>
      </w:r>
      <w:proofErr w:type="gramStart"/>
      <w:r w:rsidRPr="00467DB0">
        <w:t>er beli</w:t>
      </w:r>
      <w:r w:rsidRPr="00467DB0">
        <w:t>ggende</w:t>
      </w:r>
      <w:proofErr w:type="gramEnd"/>
      <w:r w:rsidRPr="00467DB0">
        <w:t xml:space="preserve"> i Europa, herunder i denne forbindelse </w:t>
      </w:r>
      <w:proofErr w:type="spellStart"/>
      <w:r w:rsidRPr="00467DB0">
        <w:t>Cypern</w:t>
      </w:r>
      <w:proofErr w:type="spellEnd"/>
      <w:r w:rsidRPr="00467DB0">
        <w:t xml:space="preserve">, Azorerne, De Kanariske </w:t>
      </w:r>
      <w:proofErr w:type="spellStart"/>
      <w:r w:rsidRPr="00467DB0">
        <w:t>Øer</w:t>
      </w:r>
      <w:proofErr w:type="spellEnd"/>
      <w:r w:rsidRPr="00467DB0">
        <w:t xml:space="preserve"> og Madeira, </w:t>
      </w:r>
      <w:proofErr w:type="spellStart"/>
      <w:r w:rsidRPr="00467DB0">
        <w:t>inden</w:t>
      </w:r>
      <w:proofErr w:type="spellEnd"/>
      <w:r w:rsidRPr="00467DB0">
        <w:t xml:space="preserve"> </w:t>
      </w:r>
      <w:proofErr w:type="spellStart"/>
      <w:r w:rsidRPr="00467DB0">
        <w:t>udgangen</w:t>
      </w:r>
      <w:proofErr w:type="spellEnd"/>
      <w:r w:rsidRPr="00467DB0">
        <w:t xml:space="preserve"> </w:t>
      </w:r>
      <w:proofErr w:type="spellStart"/>
      <w:r w:rsidRPr="00467DB0">
        <w:t>af</w:t>
      </w:r>
      <w:proofErr w:type="spellEnd"/>
      <w:r w:rsidRPr="00467DB0">
        <w:t xml:space="preserve"> 2026. På luftfartsområdet bør alle disse territorier drage fordel </w:t>
      </w:r>
      <w:proofErr w:type="spellStart"/>
      <w:r w:rsidRPr="00467DB0">
        <w:t>af</w:t>
      </w:r>
      <w:proofErr w:type="spellEnd"/>
      <w:r w:rsidRPr="00467DB0">
        <w:t xml:space="preserve"> EGNOS' luftfartstjenester på alle de </w:t>
      </w:r>
      <w:proofErr w:type="spellStart"/>
      <w:r w:rsidRPr="00467DB0">
        <w:t>ydeevneniveauer</w:t>
      </w:r>
      <w:proofErr w:type="spellEnd"/>
      <w:r w:rsidRPr="00467DB0">
        <w:t xml:space="preserve">, der støttes </w:t>
      </w:r>
      <w:proofErr w:type="spellStart"/>
      <w:r w:rsidRPr="00467DB0">
        <w:t>af</w:t>
      </w:r>
      <w:proofErr w:type="spellEnd"/>
      <w:r w:rsidRPr="00467DB0">
        <w:t xml:space="preserve"> EGNOS. </w:t>
      </w:r>
      <w:r w:rsidRPr="00467DB0">
        <w:t>EGNOS-</w:t>
      </w:r>
      <w:proofErr w:type="spellStart"/>
      <w:r w:rsidRPr="00467DB0">
        <w:t>tjenesternes</w:t>
      </w:r>
      <w:proofErr w:type="spellEnd"/>
      <w:r w:rsidRPr="00467DB0">
        <w:t xml:space="preserve"> geografiske </w:t>
      </w:r>
      <w:proofErr w:type="spellStart"/>
      <w:r w:rsidRPr="00467DB0">
        <w:t>dækning</w:t>
      </w:r>
      <w:proofErr w:type="spellEnd"/>
      <w:r w:rsidRPr="00467DB0">
        <w:t xml:space="preserve"> kan, </w:t>
      </w:r>
      <w:proofErr w:type="gramStart"/>
      <w:r w:rsidRPr="00467DB0">
        <w:t>såfremt</w:t>
      </w:r>
      <w:proofErr w:type="gramEnd"/>
      <w:r w:rsidRPr="00467DB0">
        <w:t xml:space="preserve"> det er teknisk </w:t>
      </w:r>
      <w:proofErr w:type="spellStart"/>
      <w:r w:rsidRPr="00467DB0">
        <w:t>gennemførligt</w:t>
      </w:r>
      <w:proofErr w:type="spellEnd"/>
      <w:r w:rsidRPr="00467DB0">
        <w:t xml:space="preserve"> og, for så vidt angår livskritiske tjenester,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internationale</w:t>
      </w:r>
      <w:proofErr w:type="spellEnd"/>
      <w:r w:rsidRPr="00467DB0">
        <w:t xml:space="preserve"> </w:t>
      </w:r>
      <w:proofErr w:type="spellStart"/>
      <w:r w:rsidRPr="00467DB0">
        <w:t>aftaler</w:t>
      </w:r>
      <w:proofErr w:type="spellEnd"/>
      <w:r w:rsidRPr="00467DB0">
        <w:t xml:space="preserve"> </w:t>
      </w:r>
      <w:proofErr w:type="spellStart"/>
      <w:r w:rsidRPr="00467DB0">
        <w:t>udvides</w:t>
      </w:r>
      <w:proofErr w:type="spellEnd"/>
      <w:r w:rsidRPr="00467DB0">
        <w:t xml:space="preserve"> til andre dele </w:t>
      </w:r>
      <w:proofErr w:type="spellStart"/>
      <w:r w:rsidRPr="00467DB0">
        <w:t>af</w:t>
      </w:r>
      <w:proofErr w:type="spellEnd"/>
      <w:r w:rsidRPr="00467DB0">
        <w:t xml:space="preserve"> verden. </w:t>
      </w:r>
      <w:proofErr w:type="spellStart"/>
      <w:r w:rsidRPr="00467DB0">
        <w:t>Uden</w:t>
      </w:r>
      <w:proofErr w:type="spellEnd"/>
      <w:r w:rsidRPr="00467DB0">
        <w:t xml:space="preserve"> at dette berører Europa-Parlamentets og Rådets foror</w:t>
      </w:r>
      <w:r w:rsidRPr="00467DB0">
        <w:t>dning (EU) 2018/1139</w:t>
      </w:r>
      <w:r w:rsidRPr="00467DB0">
        <w:rPr>
          <w:rStyle w:val="Fotnotereferanse"/>
        </w:rPr>
        <w:footnoteReference w:id="27"/>
      </w:r>
      <w:r w:rsidRPr="00467DB0">
        <w:t xml:space="preserve"> og den nødvendige </w:t>
      </w:r>
      <w:proofErr w:type="spellStart"/>
      <w:r w:rsidRPr="00467DB0">
        <w:t>overvågning</w:t>
      </w:r>
      <w:proofErr w:type="spellEnd"/>
      <w:r w:rsidRPr="00467DB0">
        <w:t xml:space="preserve"> </w:t>
      </w:r>
      <w:proofErr w:type="spellStart"/>
      <w:r w:rsidRPr="00467DB0">
        <w:t>af</w:t>
      </w:r>
      <w:proofErr w:type="spellEnd"/>
      <w:r w:rsidRPr="00467DB0">
        <w:t xml:space="preserve"> Galileo-</w:t>
      </w:r>
      <w:proofErr w:type="spellStart"/>
      <w:r w:rsidRPr="00467DB0">
        <w:t>tj</w:t>
      </w:r>
      <w:r w:rsidRPr="00467DB0">
        <w:t>enesternes</w:t>
      </w:r>
      <w:proofErr w:type="spellEnd"/>
      <w:r w:rsidRPr="00467DB0">
        <w:t xml:space="preserve"> kvalitet for så vidt angår </w:t>
      </w:r>
      <w:proofErr w:type="spellStart"/>
      <w:r w:rsidRPr="00467DB0">
        <w:t>flyvekontrolformål</w:t>
      </w:r>
      <w:proofErr w:type="spellEnd"/>
      <w:r w:rsidRPr="00467DB0">
        <w:t xml:space="preserve">, bør det </w:t>
      </w:r>
      <w:proofErr w:type="spellStart"/>
      <w:r w:rsidRPr="00467DB0">
        <w:t>bemærkes</w:t>
      </w:r>
      <w:proofErr w:type="spellEnd"/>
      <w:r w:rsidRPr="00467DB0">
        <w:t xml:space="preserve">, at selv om de signaler, der </w:t>
      </w:r>
      <w:proofErr w:type="spellStart"/>
      <w:r w:rsidRPr="00467DB0">
        <w:t>udsendes</w:t>
      </w:r>
      <w:proofErr w:type="spellEnd"/>
      <w:r w:rsidRPr="00467DB0">
        <w:t xml:space="preserve"> </w:t>
      </w:r>
      <w:proofErr w:type="spellStart"/>
      <w:r w:rsidRPr="00467DB0">
        <w:t>af</w:t>
      </w:r>
      <w:proofErr w:type="spellEnd"/>
      <w:r w:rsidRPr="00467DB0">
        <w:t xml:space="preserve"> Galileo, effektivt kan anvendes til at lette </w:t>
      </w:r>
      <w:proofErr w:type="spellStart"/>
      <w:r w:rsidRPr="00467DB0">
        <w:t>positioneringen</w:t>
      </w:r>
      <w:proofErr w:type="spellEnd"/>
      <w:r w:rsidRPr="00467DB0">
        <w:t xml:space="preserve"> </w:t>
      </w:r>
      <w:proofErr w:type="spellStart"/>
      <w:r w:rsidRPr="00467DB0">
        <w:t>af</w:t>
      </w:r>
      <w:proofErr w:type="spellEnd"/>
      <w:r w:rsidRPr="00467DB0">
        <w:t xml:space="preserve"> </w:t>
      </w:r>
      <w:proofErr w:type="spellStart"/>
      <w:r w:rsidRPr="00467DB0">
        <w:t>luftfartøjer</w:t>
      </w:r>
      <w:proofErr w:type="spellEnd"/>
      <w:r w:rsidRPr="00467DB0">
        <w:t xml:space="preserve"> i alle </w:t>
      </w:r>
      <w:proofErr w:type="spellStart"/>
      <w:r w:rsidRPr="00467DB0">
        <w:t>flyvefaser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de nødvendige </w:t>
      </w:r>
      <w:proofErr w:type="spellStart"/>
      <w:r w:rsidRPr="00467DB0">
        <w:t>forstærkende</w:t>
      </w:r>
      <w:proofErr w:type="spellEnd"/>
      <w:r w:rsidRPr="00467DB0">
        <w:t xml:space="preserve"> syste</w:t>
      </w:r>
      <w:r w:rsidRPr="00467DB0">
        <w:t xml:space="preserve">mer, herunder regionale, lokale og </w:t>
      </w:r>
      <w:proofErr w:type="spellStart"/>
      <w:r w:rsidRPr="00467DB0">
        <w:t>luftfartselektronik</w:t>
      </w:r>
      <w:proofErr w:type="spellEnd"/>
      <w:r w:rsidRPr="00467DB0">
        <w:t xml:space="preserve"> om bord på et fly, kan kun regionale eller lokale </w:t>
      </w:r>
      <w:proofErr w:type="spellStart"/>
      <w:r w:rsidRPr="00467DB0">
        <w:t>forstærkende</w:t>
      </w:r>
      <w:proofErr w:type="spellEnd"/>
      <w:r w:rsidRPr="00467DB0">
        <w:t xml:space="preserve"> systemer såsom EGNOS i Europa </w:t>
      </w:r>
      <w:proofErr w:type="spellStart"/>
      <w:r w:rsidRPr="00467DB0">
        <w:t>udgøre</w:t>
      </w:r>
      <w:proofErr w:type="spellEnd"/>
      <w:r w:rsidRPr="00467DB0">
        <w:t xml:space="preserve"> lufttrafikstyringstjenester (ATM) og luftfartstjenester (ANS). EGNOS' "</w:t>
      </w:r>
      <w:proofErr w:type="spellStart"/>
      <w:r w:rsidRPr="00467DB0">
        <w:t>safety</w:t>
      </w:r>
      <w:proofErr w:type="spellEnd"/>
      <w:r w:rsidRPr="00467DB0">
        <w:t>-</w:t>
      </w:r>
      <w:proofErr w:type="spellStart"/>
      <w:r w:rsidRPr="00467DB0">
        <w:t>of</w:t>
      </w:r>
      <w:proofErr w:type="spellEnd"/>
      <w:r w:rsidRPr="00467DB0">
        <w:t>-</w:t>
      </w:r>
      <w:proofErr w:type="spellStart"/>
      <w:r w:rsidRPr="00467DB0">
        <w:t>life</w:t>
      </w:r>
      <w:proofErr w:type="spellEnd"/>
      <w:r w:rsidRPr="00467DB0">
        <w:t>"-tjeneste bør s</w:t>
      </w:r>
      <w:r w:rsidRPr="00467DB0">
        <w:t xml:space="preserve">tilles til </w:t>
      </w:r>
      <w:proofErr w:type="spellStart"/>
      <w:r w:rsidRPr="00467DB0">
        <w:t>rådighed</w:t>
      </w:r>
      <w:proofErr w:type="spellEnd"/>
      <w:r w:rsidRPr="00467DB0">
        <w:t xml:space="preserve"> i overensstemmelse med </w:t>
      </w:r>
      <w:proofErr w:type="spellStart"/>
      <w:r w:rsidRPr="00467DB0">
        <w:t>gældende</w:t>
      </w:r>
      <w:proofErr w:type="spellEnd"/>
      <w:r w:rsidRPr="00467DB0">
        <w:t xml:space="preserve"> standarder fra </w:t>
      </w:r>
      <w:proofErr w:type="spellStart"/>
      <w:r w:rsidRPr="00467DB0">
        <w:t>Organisation</w:t>
      </w:r>
      <w:proofErr w:type="spellEnd"/>
      <w:r w:rsidRPr="00467DB0">
        <w:t xml:space="preserve"> for International </w:t>
      </w:r>
      <w:proofErr w:type="spellStart"/>
      <w:r w:rsidRPr="00467DB0">
        <w:t>Civil</w:t>
      </w:r>
      <w:proofErr w:type="spellEnd"/>
      <w:r w:rsidRPr="00467DB0">
        <w:t xml:space="preserve"> Luftfart ("ICAO-standarder").</w:t>
      </w:r>
    </w:p>
    <w:p w14:paraId="4F5707B3" w14:textId="77777777" w:rsidR="00000000" w:rsidRPr="00467DB0" w:rsidRDefault="00693D67" w:rsidP="00467DB0">
      <w:pPr>
        <w:pStyle w:val="friliste"/>
      </w:pPr>
      <w:r w:rsidRPr="00467DB0">
        <w:t>(65)</w:t>
      </w:r>
      <w:r w:rsidRPr="00467DB0">
        <w:tab/>
        <w:t xml:space="preserve">Det er bydende </w:t>
      </w:r>
      <w:proofErr w:type="spellStart"/>
      <w:r w:rsidRPr="00467DB0">
        <w:t>nødvendigt</w:t>
      </w:r>
      <w:proofErr w:type="spellEnd"/>
      <w:r w:rsidRPr="00467DB0">
        <w:t xml:space="preserve"> at sikre </w:t>
      </w:r>
      <w:proofErr w:type="spellStart"/>
      <w:r w:rsidRPr="00467DB0">
        <w:t>bæredygtigheden</w:t>
      </w:r>
      <w:proofErr w:type="spellEnd"/>
      <w:r w:rsidRPr="00467DB0">
        <w:t xml:space="preserve"> </w:t>
      </w:r>
      <w:proofErr w:type="spellStart"/>
      <w:r w:rsidRPr="00467DB0">
        <w:t>af</w:t>
      </w:r>
      <w:proofErr w:type="spellEnd"/>
      <w:r w:rsidRPr="00467DB0">
        <w:t xml:space="preserve"> Galileo og EGNOS samt kontinuiteten, </w:t>
      </w:r>
      <w:proofErr w:type="spellStart"/>
      <w:r w:rsidRPr="00467DB0">
        <w:t>tilgængeligheden</w:t>
      </w:r>
      <w:proofErr w:type="spellEnd"/>
      <w:r w:rsidRPr="00467DB0">
        <w:t xml:space="preserve">, </w:t>
      </w:r>
      <w:proofErr w:type="spellStart"/>
      <w:r w:rsidRPr="00467DB0">
        <w:t>nøjagtig</w:t>
      </w:r>
      <w:r w:rsidRPr="00467DB0">
        <w:t>heden</w:t>
      </w:r>
      <w:proofErr w:type="spellEnd"/>
      <w:r w:rsidRPr="00467DB0">
        <w:t xml:space="preserve">, </w:t>
      </w:r>
      <w:proofErr w:type="spellStart"/>
      <w:r w:rsidRPr="00467DB0">
        <w:t>pålideligheden</w:t>
      </w:r>
      <w:proofErr w:type="spellEnd"/>
      <w:r w:rsidRPr="00467DB0">
        <w:t xml:space="preserve"> og </w:t>
      </w:r>
      <w:proofErr w:type="spellStart"/>
      <w:r w:rsidRPr="00467DB0">
        <w:t>sikkerheden</w:t>
      </w:r>
      <w:proofErr w:type="spellEnd"/>
      <w:r w:rsidRPr="00467DB0">
        <w:t xml:space="preserve"> i forbindelse med deres tjenester. I et miljø under forandring og på et marked i hastig </w:t>
      </w:r>
      <w:proofErr w:type="spellStart"/>
      <w:r w:rsidRPr="00467DB0">
        <w:t>udvikling</w:t>
      </w:r>
      <w:proofErr w:type="spellEnd"/>
      <w:r w:rsidRPr="00467DB0">
        <w:t xml:space="preserve"> bør de </w:t>
      </w:r>
      <w:proofErr w:type="spellStart"/>
      <w:r w:rsidRPr="00467DB0">
        <w:t>fortsat</w:t>
      </w:r>
      <w:proofErr w:type="spellEnd"/>
      <w:r w:rsidRPr="00467DB0">
        <w:t xml:space="preserve"> </w:t>
      </w:r>
      <w:proofErr w:type="spellStart"/>
      <w:r w:rsidRPr="00467DB0">
        <w:t>udvikles</w:t>
      </w:r>
      <w:proofErr w:type="spellEnd"/>
      <w:r w:rsidRPr="00467DB0">
        <w:t xml:space="preserve">, og der skal forberedes nye </w:t>
      </w:r>
      <w:proofErr w:type="spellStart"/>
      <w:r w:rsidRPr="00467DB0">
        <w:t>generationer</w:t>
      </w:r>
      <w:proofErr w:type="spellEnd"/>
      <w:r w:rsidRPr="00467DB0">
        <w:t xml:space="preserve"> </w:t>
      </w:r>
      <w:proofErr w:type="spellStart"/>
      <w:r w:rsidRPr="00467DB0">
        <w:t>af</w:t>
      </w:r>
      <w:proofErr w:type="spellEnd"/>
      <w:r w:rsidRPr="00467DB0">
        <w:t xml:space="preserve"> disse systemer, herunder </w:t>
      </w:r>
      <w:proofErr w:type="spellStart"/>
      <w:r w:rsidRPr="00467DB0">
        <w:t>videreudvikling</w:t>
      </w:r>
      <w:proofErr w:type="spellEnd"/>
      <w:r w:rsidRPr="00467DB0">
        <w:t xml:space="preserve"> </w:t>
      </w:r>
      <w:proofErr w:type="spellStart"/>
      <w:r w:rsidRPr="00467DB0">
        <w:t>af</w:t>
      </w:r>
      <w:proofErr w:type="spellEnd"/>
      <w:r w:rsidRPr="00467DB0">
        <w:t xml:space="preserve"> dermed fo</w:t>
      </w:r>
      <w:r w:rsidRPr="00467DB0">
        <w:t xml:space="preserve">rbundne </w:t>
      </w:r>
      <w:proofErr w:type="spellStart"/>
      <w:r w:rsidRPr="00467DB0">
        <w:t>rum</w:t>
      </w:r>
      <w:proofErr w:type="spellEnd"/>
      <w:r w:rsidRPr="00467DB0">
        <w:t>- og jordsegmenter.</w:t>
      </w:r>
    </w:p>
    <w:p w14:paraId="58CF33BE" w14:textId="77777777" w:rsidR="00000000" w:rsidRPr="00467DB0" w:rsidRDefault="00693D67" w:rsidP="00467DB0">
      <w:pPr>
        <w:pStyle w:val="friliste"/>
      </w:pPr>
      <w:r w:rsidRPr="00467DB0">
        <w:t>(66)</w:t>
      </w:r>
      <w:r w:rsidRPr="00467DB0">
        <w:tab/>
      </w:r>
      <w:proofErr w:type="spellStart"/>
      <w:r w:rsidRPr="00467DB0">
        <w:t>Udtrykket</w:t>
      </w:r>
      <w:proofErr w:type="spellEnd"/>
      <w:r w:rsidRPr="00467DB0">
        <w:t xml:space="preserve"> "</w:t>
      </w:r>
      <w:proofErr w:type="spellStart"/>
      <w:r w:rsidRPr="00467DB0">
        <w:t>forretningsmæssig</w:t>
      </w:r>
      <w:proofErr w:type="spellEnd"/>
      <w:r w:rsidRPr="00467DB0">
        <w:t xml:space="preserve"> tjeneste", som anvendes i Europa-Parlamentets og Rådets forordning (EU) nr. 1285/2013</w:t>
      </w:r>
      <w:r w:rsidRPr="00467DB0">
        <w:rPr>
          <w:rStyle w:val="Fotnotereferanse"/>
        </w:rPr>
        <w:footnoteReference w:id="28"/>
      </w:r>
      <w:r w:rsidRPr="00467DB0">
        <w:t xml:space="preserve">, er ikke </w:t>
      </w:r>
      <w:proofErr w:type="spellStart"/>
      <w:r w:rsidRPr="00467DB0">
        <w:t>længere</w:t>
      </w:r>
      <w:proofErr w:type="spellEnd"/>
      <w:r w:rsidRPr="00467DB0">
        <w:t xml:space="preserve"> relevant på baggrund </w:t>
      </w:r>
      <w:proofErr w:type="spellStart"/>
      <w:r w:rsidRPr="00467DB0">
        <w:t>af</w:t>
      </w:r>
      <w:proofErr w:type="spellEnd"/>
      <w:r w:rsidRPr="00467DB0">
        <w:t xml:space="preserve"> </w:t>
      </w:r>
      <w:proofErr w:type="spellStart"/>
      <w:r w:rsidRPr="00467DB0">
        <w:t>udvikling</w:t>
      </w:r>
      <w:r w:rsidRPr="00467DB0">
        <w:t>en</w:t>
      </w:r>
      <w:proofErr w:type="spellEnd"/>
      <w:r w:rsidRPr="00467DB0">
        <w:t xml:space="preserve"> i denne tjeneste. I stedet er der </w:t>
      </w:r>
      <w:proofErr w:type="spellStart"/>
      <w:r w:rsidRPr="00467DB0">
        <w:t>identificeret</w:t>
      </w:r>
      <w:proofErr w:type="spellEnd"/>
      <w:r w:rsidRPr="00467DB0">
        <w:t xml:space="preserve"> to særskilte tjenester i </w:t>
      </w:r>
      <w:proofErr w:type="spellStart"/>
      <w:r w:rsidRPr="00467DB0">
        <w:t>Kommissionens</w:t>
      </w:r>
      <w:proofErr w:type="spellEnd"/>
      <w:r w:rsidRPr="00467DB0">
        <w:t xml:space="preserve"> </w:t>
      </w:r>
      <w:proofErr w:type="spellStart"/>
      <w:r w:rsidRPr="00467DB0">
        <w:t>gennemførelsesafgørelse</w:t>
      </w:r>
      <w:proofErr w:type="spellEnd"/>
      <w:r w:rsidRPr="00467DB0">
        <w:t xml:space="preserve"> (EU) 2017/224</w:t>
      </w:r>
      <w:r w:rsidRPr="00467DB0">
        <w:rPr>
          <w:rStyle w:val="Fotnotereferanse"/>
        </w:rPr>
        <w:footnoteReference w:id="29"/>
      </w:r>
      <w:r w:rsidRPr="00467DB0">
        <w:t xml:space="preserve">, nemlig </w:t>
      </w:r>
      <w:proofErr w:type="spellStart"/>
      <w:r w:rsidRPr="00467DB0">
        <w:t>højpræcisionstjenesten</w:t>
      </w:r>
      <w:proofErr w:type="spellEnd"/>
      <w:r w:rsidRPr="00467DB0">
        <w:t xml:space="preserve"> og </w:t>
      </w:r>
      <w:proofErr w:type="spellStart"/>
      <w:r w:rsidRPr="00467DB0">
        <w:t>autentificeringstjenesten</w:t>
      </w:r>
      <w:proofErr w:type="spellEnd"/>
      <w:r w:rsidRPr="00467DB0">
        <w:t>.</w:t>
      </w:r>
    </w:p>
    <w:p w14:paraId="2000F86F" w14:textId="77777777" w:rsidR="00000000" w:rsidRPr="00467DB0" w:rsidRDefault="00693D67" w:rsidP="00467DB0">
      <w:pPr>
        <w:pStyle w:val="friliste"/>
      </w:pPr>
      <w:r w:rsidRPr="00467DB0">
        <w:t>(67)</w:t>
      </w:r>
      <w:r w:rsidRPr="00467DB0">
        <w:tab/>
        <w:t xml:space="preserve">Med </w:t>
      </w:r>
      <w:proofErr w:type="spellStart"/>
      <w:r w:rsidRPr="00467DB0">
        <w:t>henblik</w:t>
      </w:r>
      <w:proofErr w:type="spellEnd"/>
      <w:r w:rsidRPr="00467DB0">
        <w:t xml:space="preserve"> på at optimere </w:t>
      </w:r>
      <w:proofErr w:type="gramStart"/>
      <w:r w:rsidRPr="00467DB0">
        <w:t>anvendelsen</w:t>
      </w:r>
      <w:proofErr w:type="gramEnd"/>
      <w:r w:rsidRPr="00467DB0">
        <w:t xml:space="preserve"> </w:t>
      </w:r>
      <w:proofErr w:type="spellStart"/>
      <w:r w:rsidRPr="00467DB0">
        <w:t>af</w:t>
      </w:r>
      <w:proofErr w:type="spellEnd"/>
      <w:r w:rsidRPr="00467DB0">
        <w:t xml:space="preserve"> de </w:t>
      </w:r>
      <w:proofErr w:type="spellStart"/>
      <w:r w:rsidRPr="00467DB0">
        <w:t>leverede</w:t>
      </w:r>
      <w:proofErr w:type="spellEnd"/>
      <w:r w:rsidRPr="00467DB0">
        <w:t xml:space="preserve"> tjenester bør tjenester fra Galileo og EGNOS være </w:t>
      </w:r>
      <w:proofErr w:type="spellStart"/>
      <w:r w:rsidRPr="00467DB0">
        <w:t>indbyrdes</w:t>
      </w:r>
      <w:proofErr w:type="spellEnd"/>
      <w:r w:rsidRPr="00467DB0">
        <w:t xml:space="preserve"> kompatible og interoperable, herunder på </w:t>
      </w:r>
      <w:proofErr w:type="spellStart"/>
      <w:r w:rsidRPr="00467DB0">
        <w:t>brugerni</w:t>
      </w:r>
      <w:r w:rsidRPr="00467DB0">
        <w:t>veau</w:t>
      </w:r>
      <w:proofErr w:type="spellEnd"/>
      <w:r w:rsidRPr="00467DB0">
        <w:t xml:space="preserve">, og så vidt </w:t>
      </w:r>
      <w:proofErr w:type="spellStart"/>
      <w:r w:rsidRPr="00467DB0">
        <w:t>muligt</w:t>
      </w:r>
      <w:proofErr w:type="spellEnd"/>
      <w:r w:rsidRPr="00467DB0">
        <w:t xml:space="preserve"> med andre </w:t>
      </w:r>
      <w:proofErr w:type="spellStart"/>
      <w:r w:rsidRPr="00467DB0">
        <w:t>satellitnavigationssystemer</w:t>
      </w:r>
      <w:proofErr w:type="spellEnd"/>
      <w:r w:rsidRPr="00467DB0">
        <w:t xml:space="preserve"> samt med </w:t>
      </w:r>
      <w:proofErr w:type="spellStart"/>
      <w:r w:rsidRPr="00467DB0">
        <w:t>traditionelle</w:t>
      </w:r>
      <w:proofErr w:type="spellEnd"/>
      <w:r w:rsidRPr="00467DB0">
        <w:t xml:space="preserve"> </w:t>
      </w:r>
      <w:proofErr w:type="spellStart"/>
      <w:r w:rsidRPr="00467DB0">
        <w:t>radionavigationsmetoder</w:t>
      </w:r>
      <w:proofErr w:type="spellEnd"/>
      <w:r w:rsidRPr="00467DB0">
        <w:t xml:space="preserve">, </w:t>
      </w:r>
      <w:r w:rsidRPr="00467DB0">
        <w:lastRenderedPageBreak/>
        <w:t xml:space="preserve">såfremt sådan kompatibilitet og interoperabilitet er </w:t>
      </w:r>
      <w:proofErr w:type="spellStart"/>
      <w:r w:rsidRPr="00467DB0">
        <w:t>fastsat</w:t>
      </w:r>
      <w:proofErr w:type="spellEnd"/>
      <w:r w:rsidRPr="00467DB0">
        <w:t xml:space="preserve"> i en </w:t>
      </w:r>
      <w:proofErr w:type="spellStart"/>
      <w:r w:rsidRPr="00467DB0">
        <w:t>international</w:t>
      </w:r>
      <w:proofErr w:type="spellEnd"/>
      <w:r w:rsidRPr="00467DB0">
        <w:t xml:space="preserve"> </w:t>
      </w:r>
      <w:proofErr w:type="spellStart"/>
      <w:r w:rsidRPr="00467DB0">
        <w:t>aftale</w:t>
      </w:r>
      <w:proofErr w:type="spellEnd"/>
      <w:r w:rsidRPr="00467DB0">
        <w:t xml:space="preserve">, </w:t>
      </w:r>
      <w:proofErr w:type="spellStart"/>
      <w:r w:rsidRPr="00467DB0">
        <w:t>uden</w:t>
      </w:r>
      <w:proofErr w:type="spellEnd"/>
      <w:r w:rsidRPr="00467DB0">
        <w:t xml:space="preserve"> at dette berører Unionens </w:t>
      </w:r>
      <w:proofErr w:type="spellStart"/>
      <w:r w:rsidRPr="00467DB0">
        <w:t>målsætning</w:t>
      </w:r>
      <w:proofErr w:type="spellEnd"/>
      <w:r w:rsidRPr="00467DB0">
        <w:t xml:space="preserve"> om strategisk au</w:t>
      </w:r>
      <w:r w:rsidRPr="00467DB0">
        <w:t>tonomi.</w:t>
      </w:r>
    </w:p>
    <w:p w14:paraId="60479031" w14:textId="77777777" w:rsidR="00000000" w:rsidRPr="00467DB0" w:rsidRDefault="00693D67" w:rsidP="00467DB0">
      <w:pPr>
        <w:pStyle w:val="friliste"/>
      </w:pPr>
      <w:r w:rsidRPr="00467DB0">
        <w:t>(68)</w:t>
      </w:r>
      <w:r w:rsidRPr="00467DB0">
        <w:tab/>
        <w:t xml:space="preserve">I </w:t>
      </w:r>
      <w:proofErr w:type="spellStart"/>
      <w:r w:rsidRPr="00467DB0">
        <w:t>betragtning</w:t>
      </w:r>
      <w:proofErr w:type="spellEnd"/>
      <w:r w:rsidRPr="00467DB0">
        <w:t xml:space="preserve"> </w:t>
      </w:r>
      <w:proofErr w:type="spellStart"/>
      <w:r w:rsidRPr="00467DB0">
        <w:t>af</w:t>
      </w:r>
      <w:proofErr w:type="spellEnd"/>
      <w:r w:rsidRPr="00467DB0">
        <w:t xml:space="preserve"> betydningen for Galileo og EGNOS </w:t>
      </w:r>
      <w:proofErr w:type="spellStart"/>
      <w:r w:rsidRPr="00467DB0">
        <w:t>af</w:t>
      </w:r>
      <w:proofErr w:type="spellEnd"/>
      <w:r w:rsidRPr="00467DB0">
        <w:t xml:space="preserve"> deres jordbaserede infrastruktur og dens </w:t>
      </w:r>
      <w:proofErr w:type="spellStart"/>
      <w:r w:rsidRPr="00467DB0">
        <w:t>indvirkning</w:t>
      </w:r>
      <w:proofErr w:type="spellEnd"/>
      <w:r w:rsidRPr="00467DB0">
        <w:t xml:space="preserve"> på deres </w:t>
      </w:r>
      <w:proofErr w:type="spellStart"/>
      <w:r w:rsidRPr="00467DB0">
        <w:t>sikkerhed</w:t>
      </w:r>
      <w:proofErr w:type="spellEnd"/>
      <w:r w:rsidRPr="00467DB0">
        <w:t xml:space="preserve"> bør </w:t>
      </w:r>
      <w:proofErr w:type="spellStart"/>
      <w:r w:rsidRPr="00467DB0">
        <w:t>fastlæggelsen</w:t>
      </w:r>
      <w:proofErr w:type="spellEnd"/>
      <w:r w:rsidRPr="00467DB0">
        <w:t xml:space="preserve"> </w:t>
      </w:r>
      <w:proofErr w:type="spellStart"/>
      <w:r w:rsidRPr="00467DB0">
        <w:t>af</w:t>
      </w:r>
      <w:proofErr w:type="spellEnd"/>
      <w:r w:rsidRPr="00467DB0">
        <w:t xml:space="preserve"> </w:t>
      </w:r>
      <w:proofErr w:type="spellStart"/>
      <w:r w:rsidRPr="00467DB0">
        <w:t>placeringen</w:t>
      </w:r>
      <w:proofErr w:type="spellEnd"/>
      <w:r w:rsidRPr="00467DB0">
        <w:t xml:space="preserve"> </w:t>
      </w:r>
      <w:proofErr w:type="spellStart"/>
      <w:r w:rsidRPr="00467DB0">
        <w:t>af</w:t>
      </w:r>
      <w:proofErr w:type="spellEnd"/>
      <w:r w:rsidRPr="00467DB0">
        <w:t xml:space="preserve"> denne infrastruktur </w:t>
      </w:r>
      <w:proofErr w:type="spellStart"/>
      <w:r w:rsidRPr="00467DB0">
        <w:t>afgøres</w:t>
      </w:r>
      <w:proofErr w:type="spellEnd"/>
      <w:r w:rsidRPr="00467DB0">
        <w:t xml:space="preserve"> </w:t>
      </w:r>
      <w:proofErr w:type="spellStart"/>
      <w:r w:rsidRPr="00467DB0">
        <w:t>af</w:t>
      </w:r>
      <w:proofErr w:type="spellEnd"/>
      <w:r w:rsidRPr="00467DB0">
        <w:t xml:space="preserve"> </w:t>
      </w:r>
      <w:proofErr w:type="spellStart"/>
      <w:r w:rsidRPr="00467DB0">
        <w:t>Kommissionen</w:t>
      </w:r>
      <w:proofErr w:type="spellEnd"/>
      <w:r w:rsidRPr="00467DB0">
        <w:t xml:space="preserve">. </w:t>
      </w:r>
      <w:proofErr w:type="spellStart"/>
      <w:r w:rsidRPr="00467DB0">
        <w:t>Ibrugtagningen</w:t>
      </w:r>
      <w:proofErr w:type="spellEnd"/>
      <w:r w:rsidRPr="00467DB0">
        <w:t xml:space="preserve"> </w:t>
      </w:r>
      <w:proofErr w:type="spellStart"/>
      <w:r w:rsidRPr="00467DB0">
        <w:t>af</w:t>
      </w:r>
      <w:proofErr w:type="spellEnd"/>
      <w:r w:rsidRPr="00467DB0">
        <w:t xml:space="preserve"> </w:t>
      </w:r>
      <w:proofErr w:type="spellStart"/>
      <w:r w:rsidRPr="00467DB0">
        <w:t>systemernes</w:t>
      </w:r>
      <w:proofErr w:type="spellEnd"/>
      <w:r w:rsidRPr="00467DB0">
        <w:t xml:space="preserve"> jordinf</w:t>
      </w:r>
      <w:r w:rsidRPr="00467DB0">
        <w:t xml:space="preserve">rastruktur bør </w:t>
      </w:r>
      <w:proofErr w:type="spellStart"/>
      <w:r w:rsidRPr="00467DB0">
        <w:t>fortsat</w:t>
      </w:r>
      <w:proofErr w:type="spellEnd"/>
      <w:r w:rsidRPr="00467DB0">
        <w:t xml:space="preserve"> følge en </w:t>
      </w:r>
      <w:proofErr w:type="spellStart"/>
      <w:r w:rsidRPr="00467DB0">
        <w:t>åben</w:t>
      </w:r>
      <w:proofErr w:type="spellEnd"/>
      <w:r w:rsidRPr="00467DB0">
        <w:t xml:space="preserve"> og </w:t>
      </w:r>
      <w:proofErr w:type="spellStart"/>
      <w:r w:rsidRPr="00467DB0">
        <w:t>gennemsigtig</w:t>
      </w:r>
      <w:proofErr w:type="spellEnd"/>
      <w:r w:rsidRPr="00467DB0">
        <w:t xml:space="preserve"> </w:t>
      </w:r>
      <w:proofErr w:type="spellStart"/>
      <w:r w:rsidRPr="00467DB0">
        <w:t>proces</w:t>
      </w:r>
      <w:proofErr w:type="spellEnd"/>
      <w:r w:rsidRPr="00467DB0">
        <w:t xml:space="preserve">, hvilket kunne involvere agenturet, når dette er relevant i forhold til dets </w:t>
      </w:r>
      <w:proofErr w:type="spellStart"/>
      <w:r w:rsidRPr="00467DB0">
        <w:t>kompetenceområder</w:t>
      </w:r>
      <w:proofErr w:type="spellEnd"/>
      <w:r w:rsidRPr="00467DB0">
        <w:t>.</w:t>
      </w:r>
    </w:p>
    <w:p w14:paraId="347387C9" w14:textId="77777777" w:rsidR="00000000" w:rsidRPr="00467DB0" w:rsidRDefault="00693D67" w:rsidP="00467DB0">
      <w:pPr>
        <w:pStyle w:val="friliste"/>
      </w:pPr>
      <w:r w:rsidRPr="00467DB0">
        <w:t>(69)</w:t>
      </w:r>
      <w:r w:rsidRPr="00467DB0">
        <w:tab/>
        <w:t xml:space="preserve">For at </w:t>
      </w:r>
      <w:proofErr w:type="spellStart"/>
      <w:r w:rsidRPr="00467DB0">
        <w:t>udnytte</w:t>
      </w:r>
      <w:proofErr w:type="spellEnd"/>
      <w:r w:rsidRPr="00467DB0">
        <w:t xml:space="preserve"> de </w:t>
      </w:r>
      <w:proofErr w:type="spellStart"/>
      <w:r w:rsidRPr="00467DB0">
        <w:t>socioøkonomiske</w:t>
      </w:r>
      <w:proofErr w:type="spellEnd"/>
      <w:r w:rsidRPr="00467DB0">
        <w:t xml:space="preserve"> fordele ved Galileo og EGNOS </w:t>
      </w:r>
      <w:proofErr w:type="spellStart"/>
      <w:r w:rsidRPr="00467DB0">
        <w:t>bedst</w:t>
      </w:r>
      <w:proofErr w:type="spellEnd"/>
      <w:r w:rsidRPr="00467DB0">
        <w:t xml:space="preserve"> </w:t>
      </w:r>
      <w:proofErr w:type="spellStart"/>
      <w:r w:rsidRPr="00467DB0">
        <w:t>muligt</w:t>
      </w:r>
      <w:proofErr w:type="spellEnd"/>
      <w:r w:rsidRPr="00467DB0">
        <w:t xml:space="preserve"> og samtidig </w:t>
      </w:r>
      <w:proofErr w:type="spellStart"/>
      <w:r w:rsidRPr="00467DB0">
        <w:t>bidrage</w:t>
      </w:r>
      <w:proofErr w:type="spellEnd"/>
      <w:r w:rsidRPr="00467DB0">
        <w:t xml:space="preserve"> til at </w:t>
      </w:r>
      <w:proofErr w:type="spellStart"/>
      <w:r w:rsidRPr="00467DB0">
        <w:t>øge</w:t>
      </w:r>
      <w:proofErr w:type="spellEnd"/>
      <w:r w:rsidRPr="00467DB0">
        <w:t xml:space="preserve"> Unionens strategiske autonomi, navnlig </w:t>
      </w:r>
      <w:proofErr w:type="spellStart"/>
      <w:r w:rsidRPr="00467DB0">
        <w:t>inden</w:t>
      </w:r>
      <w:proofErr w:type="spellEnd"/>
      <w:r w:rsidRPr="00467DB0">
        <w:t xml:space="preserve"> for følsomme sektorer og på </w:t>
      </w:r>
      <w:proofErr w:type="spellStart"/>
      <w:r w:rsidRPr="00467DB0">
        <w:t>sikkerhedsområdet</w:t>
      </w:r>
      <w:proofErr w:type="spellEnd"/>
      <w:r w:rsidRPr="00467DB0">
        <w:t xml:space="preserve">, bør </w:t>
      </w:r>
      <w:proofErr w:type="gramStart"/>
      <w:r w:rsidRPr="00467DB0">
        <w:t>anvendelsen</w:t>
      </w:r>
      <w:proofErr w:type="gramEnd"/>
      <w:r w:rsidRPr="00467DB0">
        <w:t xml:space="preserve"> </w:t>
      </w:r>
      <w:proofErr w:type="spellStart"/>
      <w:r w:rsidRPr="00467DB0">
        <w:t>af</w:t>
      </w:r>
      <w:proofErr w:type="spellEnd"/>
      <w:r w:rsidRPr="00467DB0">
        <w:t xml:space="preserve"> tjenester fra EGNOS og Galileo i forbindelse med andre EU-politikker fremmes også </w:t>
      </w:r>
      <w:proofErr w:type="spellStart"/>
      <w:r w:rsidRPr="00467DB0">
        <w:t>gennem</w:t>
      </w:r>
      <w:proofErr w:type="spellEnd"/>
      <w:r w:rsidRPr="00467DB0">
        <w:t xml:space="preserve"> regulering, hvor dette er berettiget og </w:t>
      </w:r>
      <w:proofErr w:type="spellStart"/>
      <w:r w:rsidRPr="00467DB0">
        <w:t>ford</w:t>
      </w:r>
      <w:r w:rsidRPr="00467DB0">
        <w:t>elagtigt</w:t>
      </w:r>
      <w:proofErr w:type="spellEnd"/>
      <w:r w:rsidRPr="00467DB0">
        <w:t xml:space="preserve">.. Foranstaltninger, der kan tilskynde til </w:t>
      </w:r>
      <w:proofErr w:type="gramStart"/>
      <w:r w:rsidRPr="00467DB0">
        <w:t>anvendelse</w:t>
      </w:r>
      <w:proofErr w:type="gramEnd"/>
      <w:r w:rsidRPr="00467DB0">
        <w:t xml:space="preserve"> </w:t>
      </w:r>
      <w:proofErr w:type="spellStart"/>
      <w:r w:rsidRPr="00467DB0">
        <w:t>af</w:t>
      </w:r>
      <w:proofErr w:type="spellEnd"/>
      <w:r w:rsidRPr="00467DB0">
        <w:t xml:space="preserve"> disse tjenester i alle </w:t>
      </w:r>
      <w:proofErr w:type="spellStart"/>
      <w:r w:rsidRPr="00467DB0">
        <w:t>medlemsstaterne</w:t>
      </w:r>
      <w:proofErr w:type="spellEnd"/>
      <w:r w:rsidRPr="00467DB0">
        <w:t xml:space="preserve">, er </w:t>
      </w:r>
      <w:proofErr w:type="spellStart"/>
      <w:r w:rsidRPr="00467DB0">
        <w:t>ligeledes</w:t>
      </w:r>
      <w:proofErr w:type="spellEnd"/>
      <w:r w:rsidRPr="00467DB0">
        <w:t xml:space="preserve"> et </w:t>
      </w:r>
      <w:proofErr w:type="spellStart"/>
      <w:r w:rsidRPr="00467DB0">
        <w:t>vigtigt</w:t>
      </w:r>
      <w:proofErr w:type="spellEnd"/>
      <w:r w:rsidRPr="00467DB0">
        <w:t xml:space="preserve"> led i </w:t>
      </w:r>
      <w:proofErr w:type="spellStart"/>
      <w:r w:rsidRPr="00467DB0">
        <w:t>processen</w:t>
      </w:r>
      <w:proofErr w:type="spellEnd"/>
      <w:r w:rsidRPr="00467DB0">
        <w:t>.</w:t>
      </w:r>
    </w:p>
    <w:p w14:paraId="4F2CF7A5" w14:textId="77777777" w:rsidR="00000000" w:rsidRPr="00467DB0" w:rsidRDefault="00693D67" w:rsidP="00467DB0">
      <w:pPr>
        <w:pStyle w:val="friliste"/>
      </w:pPr>
      <w:r w:rsidRPr="00467DB0">
        <w:t>(70)</w:t>
      </w:r>
      <w:r w:rsidRPr="00467DB0">
        <w:tab/>
        <w:t xml:space="preserve">Copernicus bør sikre </w:t>
      </w:r>
      <w:proofErr w:type="spellStart"/>
      <w:r w:rsidRPr="00467DB0">
        <w:t>selvstændig</w:t>
      </w:r>
      <w:proofErr w:type="spellEnd"/>
      <w:r w:rsidRPr="00467DB0">
        <w:t xml:space="preserve"> adgang til </w:t>
      </w:r>
      <w:proofErr w:type="spellStart"/>
      <w:r w:rsidRPr="00467DB0">
        <w:t>miljøviden</w:t>
      </w:r>
      <w:proofErr w:type="spellEnd"/>
      <w:r w:rsidRPr="00467DB0">
        <w:t xml:space="preserve"> og </w:t>
      </w:r>
      <w:proofErr w:type="spellStart"/>
      <w:r w:rsidRPr="00467DB0">
        <w:t>centrale</w:t>
      </w:r>
      <w:proofErr w:type="spellEnd"/>
      <w:r w:rsidRPr="00467DB0">
        <w:t xml:space="preserve"> teknologier i forbindelse med </w:t>
      </w:r>
      <w:proofErr w:type="spellStart"/>
      <w:r w:rsidRPr="00467DB0">
        <w:t>jordobse</w:t>
      </w:r>
      <w:r w:rsidRPr="00467DB0">
        <w:t>rvations</w:t>
      </w:r>
      <w:proofErr w:type="spellEnd"/>
      <w:r w:rsidRPr="00467DB0">
        <w:t xml:space="preserve">- og </w:t>
      </w:r>
      <w:proofErr w:type="spellStart"/>
      <w:r w:rsidRPr="00467DB0">
        <w:t>geoinformationstjenester</w:t>
      </w:r>
      <w:proofErr w:type="spellEnd"/>
      <w:r w:rsidRPr="00467DB0">
        <w:t xml:space="preserve"> og dermed støtte Unionens </w:t>
      </w:r>
      <w:proofErr w:type="spellStart"/>
      <w:r w:rsidRPr="00467DB0">
        <w:t>indsats</w:t>
      </w:r>
      <w:proofErr w:type="spellEnd"/>
      <w:r w:rsidRPr="00467DB0">
        <w:t xml:space="preserve"> for at </w:t>
      </w:r>
      <w:proofErr w:type="spellStart"/>
      <w:r w:rsidRPr="00467DB0">
        <w:t>opnå</w:t>
      </w:r>
      <w:proofErr w:type="spellEnd"/>
      <w:r w:rsidRPr="00467DB0">
        <w:t xml:space="preserve"> </w:t>
      </w:r>
      <w:proofErr w:type="spellStart"/>
      <w:r w:rsidRPr="00467DB0">
        <w:t>uafhængig</w:t>
      </w:r>
      <w:proofErr w:type="spellEnd"/>
      <w:r w:rsidRPr="00467DB0">
        <w:t xml:space="preserve"> beslutningstagning og handling </w:t>
      </w:r>
      <w:proofErr w:type="spellStart"/>
      <w:r w:rsidRPr="00467DB0">
        <w:t>inden</w:t>
      </w:r>
      <w:proofErr w:type="spellEnd"/>
      <w:r w:rsidRPr="00467DB0">
        <w:t xml:space="preserve"> for bl.a. miljø, </w:t>
      </w:r>
      <w:proofErr w:type="spellStart"/>
      <w:r w:rsidRPr="00467DB0">
        <w:t>klimaændringer</w:t>
      </w:r>
      <w:proofErr w:type="spellEnd"/>
      <w:r w:rsidRPr="00467DB0">
        <w:t xml:space="preserve">, </w:t>
      </w:r>
      <w:proofErr w:type="spellStart"/>
      <w:r w:rsidRPr="00467DB0">
        <w:t>skibsfart</w:t>
      </w:r>
      <w:proofErr w:type="spellEnd"/>
      <w:r w:rsidRPr="00467DB0">
        <w:t xml:space="preserve">, </w:t>
      </w:r>
      <w:proofErr w:type="spellStart"/>
      <w:r w:rsidRPr="00467DB0">
        <w:t>søtransport</w:t>
      </w:r>
      <w:proofErr w:type="spellEnd"/>
      <w:r w:rsidRPr="00467DB0">
        <w:t xml:space="preserve">, </w:t>
      </w:r>
      <w:proofErr w:type="spellStart"/>
      <w:r w:rsidRPr="00467DB0">
        <w:t>landbrug</w:t>
      </w:r>
      <w:proofErr w:type="spellEnd"/>
      <w:r w:rsidRPr="00467DB0">
        <w:t xml:space="preserve">, </w:t>
      </w:r>
      <w:proofErr w:type="spellStart"/>
      <w:r w:rsidRPr="00467DB0">
        <w:t>udvikling</w:t>
      </w:r>
      <w:proofErr w:type="spellEnd"/>
      <w:r w:rsidRPr="00467DB0">
        <w:t xml:space="preserve"> </w:t>
      </w:r>
      <w:proofErr w:type="spellStart"/>
      <w:r w:rsidRPr="00467DB0">
        <w:t>af</w:t>
      </w:r>
      <w:proofErr w:type="spellEnd"/>
      <w:r w:rsidRPr="00467DB0">
        <w:t xml:space="preserve"> landdistrikter, bevarelse </w:t>
      </w:r>
      <w:proofErr w:type="spellStart"/>
      <w:r w:rsidRPr="00467DB0">
        <w:t>af</w:t>
      </w:r>
      <w:proofErr w:type="spellEnd"/>
      <w:r w:rsidRPr="00467DB0">
        <w:t xml:space="preserve"> kulturarv, </w:t>
      </w:r>
      <w:proofErr w:type="spellStart"/>
      <w:r w:rsidRPr="00467DB0">
        <w:t>civil</w:t>
      </w:r>
      <w:r w:rsidRPr="00467DB0">
        <w:t>beskyttelse</w:t>
      </w:r>
      <w:proofErr w:type="spellEnd"/>
      <w:r w:rsidRPr="00467DB0">
        <w:t xml:space="preserve">, land- og </w:t>
      </w:r>
      <w:proofErr w:type="spellStart"/>
      <w:r w:rsidRPr="00467DB0">
        <w:t>infrastrukturovervågning</w:t>
      </w:r>
      <w:proofErr w:type="spellEnd"/>
      <w:r w:rsidRPr="00467DB0">
        <w:t xml:space="preserve">, </w:t>
      </w:r>
      <w:proofErr w:type="spellStart"/>
      <w:r w:rsidRPr="00467DB0">
        <w:t>sikkerhed</w:t>
      </w:r>
      <w:proofErr w:type="spellEnd"/>
      <w:r w:rsidRPr="00467DB0">
        <w:t xml:space="preserve"> samt den digitale økonomi.</w:t>
      </w:r>
    </w:p>
    <w:p w14:paraId="0B2555AD" w14:textId="77777777" w:rsidR="00000000" w:rsidRPr="00467DB0" w:rsidRDefault="00693D67" w:rsidP="00467DB0">
      <w:pPr>
        <w:pStyle w:val="friliste"/>
      </w:pPr>
      <w:r w:rsidRPr="00467DB0">
        <w:t>(71)</w:t>
      </w:r>
      <w:r w:rsidRPr="00467DB0">
        <w:tab/>
        <w:t>Programmets komponenter bør</w:t>
      </w:r>
      <w:r w:rsidRPr="00467DB0">
        <w:t xml:space="preserve"> fremme </w:t>
      </w:r>
      <w:proofErr w:type="gramStart"/>
      <w:r w:rsidRPr="00467DB0">
        <w:t>anvendelsen</w:t>
      </w:r>
      <w:proofErr w:type="gramEnd"/>
      <w:r w:rsidRPr="00467DB0">
        <w:t xml:space="preserve"> </w:t>
      </w:r>
      <w:proofErr w:type="spellStart"/>
      <w:r w:rsidRPr="00467DB0">
        <w:t>af</w:t>
      </w:r>
      <w:proofErr w:type="spellEnd"/>
      <w:r w:rsidRPr="00467DB0">
        <w:t xml:space="preserve"> digital teknologi i </w:t>
      </w:r>
      <w:proofErr w:type="spellStart"/>
      <w:r w:rsidRPr="00467DB0">
        <w:t>rumsystemer</w:t>
      </w:r>
      <w:proofErr w:type="spellEnd"/>
      <w:r w:rsidRPr="00467DB0">
        <w:t xml:space="preserve">, </w:t>
      </w:r>
      <w:proofErr w:type="spellStart"/>
      <w:r w:rsidRPr="00467DB0">
        <w:t>distribution</w:t>
      </w:r>
      <w:proofErr w:type="spellEnd"/>
      <w:r w:rsidRPr="00467DB0">
        <w:t xml:space="preserve"> </w:t>
      </w:r>
      <w:proofErr w:type="spellStart"/>
      <w:r w:rsidRPr="00467DB0">
        <w:t>af</w:t>
      </w:r>
      <w:proofErr w:type="spellEnd"/>
      <w:r w:rsidRPr="00467DB0">
        <w:t xml:space="preserve"> data og tjenester samt </w:t>
      </w:r>
      <w:proofErr w:type="spellStart"/>
      <w:r w:rsidRPr="00467DB0">
        <w:t>downstreamudvikling</w:t>
      </w:r>
      <w:proofErr w:type="spellEnd"/>
      <w:r w:rsidRPr="00467DB0">
        <w:t xml:space="preserve">. I den forbindelse bør der </w:t>
      </w:r>
      <w:proofErr w:type="spellStart"/>
      <w:r w:rsidRPr="00467DB0">
        <w:t>tages</w:t>
      </w:r>
      <w:proofErr w:type="spellEnd"/>
      <w:r w:rsidRPr="00467DB0">
        <w:t xml:space="preserve"> </w:t>
      </w:r>
      <w:proofErr w:type="spellStart"/>
      <w:r w:rsidRPr="00467DB0">
        <w:t>særligt</w:t>
      </w:r>
      <w:proofErr w:type="spellEnd"/>
      <w:r w:rsidRPr="00467DB0">
        <w:t xml:space="preserve"> hensyn til de initiativer og foranstaltninger, som </w:t>
      </w:r>
      <w:proofErr w:type="spellStart"/>
      <w:r w:rsidRPr="00467DB0">
        <w:t>Kommissionen</w:t>
      </w:r>
      <w:proofErr w:type="spellEnd"/>
      <w:r w:rsidRPr="00467DB0">
        <w:t xml:space="preserve"> </w:t>
      </w:r>
      <w:proofErr w:type="spellStart"/>
      <w:r w:rsidRPr="00467DB0">
        <w:t>foreslog</w:t>
      </w:r>
      <w:proofErr w:type="spellEnd"/>
      <w:r w:rsidRPr="00467DB0">
        <w:t xml:space="preserve"> i sin meddelelse </w:t>
      </w:r>
      <w:proofErr w:type="spellStart"/>
      <w:r w:rsidRPr="00467DB0">
        <w:t>af</w:t>
      </w:r>
      <w:proofErr w:type="spellEnd"/>
      <w:r w:rsidRPr="00467DB0">
        <w:t xml:space="preserve"> 14. sep</w:t>
      </w:r>
      <w:r w:rsidRPr="00467DB0">
        <w:t xml:space="preserve">tember 2016 med </w:t>
      </w:r>
      <w:proofErr w:type="spellStart"/>
      <w:r w:rsidRPr="00467DB0">
        <w:t>titlen</w:t>
      </w:r>
      <w:proofErr w:type="spellEnd"/>
      <w:r w:rsidRPr="00467DB0">
        <w:t xml:space="preserve"> "</w:t>
      </w:r>
      <w:proofErr w:type="spellStart"/>
      <w:r w:rsidRPr="00467DB0">
        <w:t>Konnektivitet</w:t>
      </w:r>
      <w:proofErr w:type="spellEnd"/>
      <w:r w:rsidRPr="00467DB0">
        <w:t xml:space="preserve"> med </w:t>
      </w:r>
      <w:proofErr w:type="spellStart"/>
      <w:r w:rsidRPr="00467DB0">
        <w:t>henblik</w:t>
      </w:r>
      <w:proofErr w:type="spellEnd"/>
      <w:r w:rsidRPr="00467DB0">
        <w:t xml:space="preserve"> på et </w:t>
      </w:r>
      <w:proofErr w:type="spellStart"/>
      <w:r w:rsidRPr="00467DB0">
        <w:t>konkurrencedygtigt</w:t>
      </w:r>
      <w:proofErr w:type="spellEnd"/>
      <w:r w:rsidRPr="00467DB0">
        <w:t xml:space="preserve"> digitalt indre marked – På </w:t>
      </w:r>
      <w:proofErr w:type="spellStart"/>
      <w:r w:rsidRPr="00467DB0">
        <w:t>vej</w:t>
      </w:r>
      <w:proofErr w:type="spellEnd"/>
      <w:r w:rsidRPr="00467DB0">
        <w:t xml:space="preserve"> mod et </w:t>
      </w:r>
      <w:proofErr w:type="spellStart"/>
      <w:r w:rsidRPr="00467DB0">
        <w:t>europæisk</w:t>
      </w:r>
      <w:proofErr w:type="spellEnd"/>
      <w:r w:rsidRPr="00467DB0">
        <w:t xml:space="preserve"> </w:t>
      </w:r>
      <w:proofErr w:type="spellStart"/>
      <w:r w:rsidRPr="00467DB0">
        <w:t>gigabitsamfund</w:t>
      </w:r>
      <w:proofErr w:type="spellEnd"/>
      <w:r w:rsidRPr="00467DB0">
        <w:t xml:space="preserve">" og i meddelelsen </w:t>
      </w:r>
      <w:proofErr w:type="spellStart"/>
      <w:r w:rsidRPr="00467DB0">
        <w:t>af</w:t>
      </w:r>
      <w:proofErr w:type="spellEnd"/>
      <w:r w:rsidRPr="00467DB0">
        <w:t xml:space="preserve"> 14. september 2016 med </w:t>
      </w:r>
      <w:proofErr w:type="spellStart"/>
      <w:r w:rsidRPr="00467DB0">
        <w:t>titlen</w:t>
      </w:r>
      <w:proofErr w:type="spellEnd"/>
      <w:r w:rsidRPr="00467DB0">
        <w:t xml:space="preserve"> "5G for Europa: En handlingsplan".</w:t>
      </w:r>
    </w:p>
    <w:p w14:paraId="3254946E" w14:textId="77777777" w:rsidR="00000000" w:rsidRPr="00467DB0" w:rsidRDefault="00693D67" w:rsidP="00467DB0">
      <w:pPr>
        <w:pStyle w:val="friliste"/>
      </w:pPr>
      <w:r w:rsidRPr="00467DB0">
        <w:t>(72)</w:t>
      </w:r>
      <w:r w:rsidRPr="00467DB0">
        <w:tab/>
        <w:t>Copernicus bør bygge på, si</w:t>
      </w:r>
      <w:r w:rsidRPr="00467DB0">
        <w:t xml:space="preserve">kre kontinuitet med og fremme </w:t>
      </w:r>
      <w:proofErr w:type="spellStart"/>
      <w:r w:rsidRPr="00467DB0">
        <w:t>aktiviteterne</w:t>
      </w:r>
      <w:proofErr w:type="spellEnd"/>
      <w:r w:rsidRPr="00467DB0">
        <w:t xml:space="preserve"> og </w:t>
      </w:r>
      <w:proofErr w:type="spellStart"/>
      <w:r w:rsidRPr="00467DB0">
        <w:t>resultaterne</w:t>
      </w:r>
      <w:proofErr w:type="spellEnd"/>
      <w:r w:rsidRPr="00467DB0">
        <w:t xml:space="preserve"> i henhold til Europa-Parlamentets og Rådets forordning (EU) nr. 377/2014</w:t>
      </w:r>
      <w:r w:rsidRPr="00467DB0">
        <w:rPr>
          <w:rStyle w:val="Fotnotereferanse"/>
        </w:rPr>
        <w:footnoteReference w:id="30"/>
      </w:r>
      <w:r w:rsidRPr="00467DB0">
        <w:t xml:space="preserve"> om </w:t>
      </w:r>
      <w:proofErr w:type="spellStart"/>
      <w:r w:rsidRPr="00467DB0">
        <w:t>oprettelse</w:t>
      </w:r>
      <w:proofErr w:type="spellEnd"/>
      <w:r w:rsidRPr="00467DB0">
        <w:t xml:space="preserve"> </w:t>
      </w:r>
      <w:proofErr w:type="spellStart"/>
      <w:r w:rsidRPr="00467DB0">
        <w:t>af</w:t>
      </w:r>
      <w:proofErr w:type="spellEnd"/>
      <w:r w:rsidRPr="00467DB0">
        <w:t xml:space="preserve"> Unionens </w:t>
      </w:r>
      <w:proofErr w:type="spellStart"/>
      <w:r w:rsidRPr="00467DB0">
        <w:t>jordobservations</w:t>
      </w:r>
      <w:proofErr w:type="spellEnd"/>
      <w:r w:rsidRPr="00467DB0">
        <w:t xml:space="preserve">- og </w:t>
      </w:r>
      <w:proofErr w:type="spellStart"/>
      <w:r w:rsidRPr="00467DB0">
        <w:t>overvågningsprogram</w:t>
      </w:r>
      <w:proofErr w:type="spellEnd"/>
      <w:r w:rsidRPr="00467DB0">
        <w:t xml:space="preserve"> (Copernicus) samt Europa-Parlamentets og Rådets forordning (EU) nr. 911/2010</w:t>
      </w:r>
      <w:r w:rsidRPr="00467DB0">
        <w:rPr>
          <w:rStyle w:val="Fotnotereferanse"/>
        </w:rPr>
        <w:footnoteReference w:id="31"/>
      </w:r>
      <w:r w:rsidRPr="00467DB0">
        <w:t xml:space="preserve">, som </w:t>
      </w:r>
      <w:proofErr w:type="spellStart"/>
      <w:r w:rsidRPr="00467DB0">
        <w:t>oprettede</w:t>
      </w:r>
      <w:proofErr w:type="spellEnd"/>
      <w:r w:rsidRPr="00467DB0">
        <w:t xml:space="preserve"> </w:t>
      </w:r>
      <w:proofErr w:type="spellStart"/>
      <w:r w:rsidRPr="00467DB0">
        <w:t>forgængerprogrammet</w:t>
      </w:r>
      <w:proofErr w:type="spellEnd"/>
      <w:r w:rsidRPr="00467DB0">
        <w:t xml:space="preserve"> for global miljø- og </w:t>
      </w:r>
      <w:proofErr w:type="spellStart"/>
      <w:r w:rsidRPr="00467DB0">
        <w:t>sikkerhedsovervågn</w:t>
      </w:r>
      <w:r w:rsidRPr="00467DB0">
        <w:t>ing</w:t>
      </w:r>
      <w:proofErr w:type="spellEnd"/>
      <w:r w:rsidRPr="00467DB0">
        <w:t xml:space="preserve"> (GMES) og fastsatte </w:t>
      </w:r>
      <w:proofErr w:type="spellStart"/>
      <w:r w:rsidRPr="00467DB0">
        <w:t>reglerne</w:t>
      </w:r>
      <w:proofErr w:type="spellEnd"/>
      <w:r w:rsidRPr="00467DB0">
        <w:t xml:space="preserve"> for </w:t>
      </w:r>
      <w:proofErr w:type="spellStart"/>
      <w:r w:rsidRPr="00467DB0">
        <w:t>gennemførelse</w:t>
      </w:r>
      <w:proofErr w:type="spellEnd"/>
      <w:r w:rsidRPr="00467DB0">
        <w:t xml:space="preserve"> </w:t>
      </w:r>
      <w:proofErr w:type="spellStart"/>
      <w:r w:rsidRPr="00467DB0">
        <w:t>af</w:t>
      </w:r>
      <w:proofErr w:type="spellEnd"/>
      <w:r w:rsidRPr="00467DB0">
        <w:t xml:space="preserve"> dets første </w:t>
      </w:r>
      <w:proofErr w:type="spellStart"/>
      <w:r w:rsidRPr="00467DB0">
        <w:t>operationelle</w:t>
      </w:r>
      <w:proofErr w:type="spellEnd"/>
      <w:r w:rsidRPr="00467DB0">
        <w:t xml:space="preserve"> aktiviteter, under hensyntagen til den seneste </w:t>
      </w:r>
      <w:proofErr w:type="spellStart"/>
      <w:r w:rsidRPr="00467DB0">
        <w:t>udvikling</w:t>
      </w:r>
      <w:proofErr w:type="spellEnd"/>
      <w:r w:rsidRPr="00467DB0">
        <w:t xml:space="preserve"> </w:t>
      </w:r>
      <w:proofErr w:type="spellStart"/>
      <w:r w:rsidRPr="00467DB0">
        <w:t>inden</w:t>
      </w:r>
      <w:proofErr w:type="spellEnd"/>
      <w:r w:rsidRPr="00467DB0">
        <w:t xml:space="preserve"> for forskning, teknologiske </w:t>
      </w:r>
      <w:proofErr w:type="spellStart"/>
      <w:r w:rsidRPr="00467DB0">
        <w:t>fremskridt</w:t>
      </w:r>
      <w:proofErr w:type="spellEnd"/>
      <w:r w:rsidRPr="00467DB0">
        <w:t xml:space="preserve"> og </w:t>
      </w:r>
      <w:proofErr w:type="spellStart"/>
      <w:r w:rsidRPr="00467DB0">
        <w:t>innovationer</w:t>
      </w:r>
      <w:proofErr w:type="spellEnd"/>
      <w:r w:rsidRPr="00467DB0">
        <w:t xml:space="preserve"> med </w:t>
      </w:r>
      <w:proofErr w:type="spellStart"/>
      <w:r w:rsidRPr="00467DB0">
        <w:t>indvirkning</w:t>
      </w:r>
      <w:proofErr w:type="spellEnd"/>
      <w:r w:rsidRPr="00467DB0">
        <w:t xml:space="preserve"> på </w:t>
      </w:r>
      <w:proofErr w:type="spellStart"/>
      <w:r w:rsidRPr="00467DB0">
        <w:t>jordobservationsområdet</w:t>
      </w:r>
      <w:proofErr w:type="spellEnd"/>
      <w:r w:rsidRPr="00467DB0">
        <w:t xml:space="preserve"> samt </w:t>
      </w:r>
      <w:proofErr w:type="spellStart"/>
      <w:r w:rsidRPr="00467DB0">
        <w:t>udviklinge</w:t>
      </w:r>
      <w:r w:rsidRPr="00467DB0">
        <w:t>n</w:t>
      </w:r>
      <w:proofErr w:type="spellEnd"/>
      <w:r w:rsidRPr="00467DB0">
        <w:t xml:space="preserve"> </w:t>
      </w:r>
      <w:proofErr w:type="spellStart"/>
      <w:r w:rsidRPr="00467DB0">
        <w:t>inden</w:t>
      </w:r>
      <w:proofErr w:type="spellEnd"/>
      <w:r w:rsidRPr="00467DB0">
        <w:t xml:space="preserve"> for </w:t>
      </w:r>
      <w:proofErr w:type="spellStart"/>
      <w:r w:rsidRPr="00467DB0">
        <w:t>big</w:t>
      </w:r>
      <w:proofErr w:type="spellEnd"/>
      <w:r w:rsidRPr="00467DB0">
        <w:t xml:space="preserve"> data-analyse og kunstig intelligens og </w:t>
      </w:r>
      <w:proofErr w:type="spellStart"/>
      <w:r w:rsidRPr="00467DB0">
        <w:t>relaterede</w:t>
      </w:r>
      <w:proofErr w:type="spellEnd"/>
      <w:r w:rsidRPr="00467DB0">
        <w:t xml:space="preserve"> strategier og initiativer på EU-plan, som beskrevet </w:t>
      </w:r>
      <w:proofErr w:type="spellStart"/>
      <w:r w:rsidRPr="00467DB0">
        <w:t>af</w:t>
      </w:r>
      <w:proofErr w:type="spellEnd"/>
      <w:r w:rsidRPr="00467DB0">
        <w:t xml:space="preserve"> </w:t>
      </w:r>
      <w:proofErr w:type="spellStart"/>
      <w:r w:rsidRPr="00467DB0">
        <w:t>Kommissionen</w:t>
      </w:r>
      <w:proofErr w:type="spellEnd"/>
      <w:r w:rsidRPr="00467DB0">
        <w:t xml:space="preserve"> i dens </w:t>
      </w:r>
      <w:proofErr w:type="spellStart"/>
      <w:r w:rsidRPr="00467DB0">
        <w:t>hvidbog</w:t>
      </w:r>
      <w:proofErr w:type="spellEnd"/>
      <w:r w:rsidRPr="00467DB0">
        <w:t xml:space="preserve"> om kunstig intelligens </w:t>
      </w:r>
      <w:proofErr w:type="spellStart"/>
      <w:r w:rsidRPr="00467DB0">
        <w:t>af</w:t>
      </w:r>
      <w:proofErr w:type="spellEnd"/>
      <w:r w:rsidRPr="00467DB0">
        <w:t xml:space="preserve"> 19. februar 2020 med </w:t>
      </w:r>
      <w:proofErr w:type="spellStart"/>
      <w:r w:rsidRPr="00467DB0">
        <w:t>titlen</w:t>
      </w:r>
      <w:proofErr w:type="spellEnd"/>
      <w:r w:rsidRPr="00467DB0">
        <w:t xml:space="preserve"> "En </w:t>
      </w:r>
      <w:proofErr w:type="spellStart"/>
      <w:r w:rsidRPr="00467DB0">
        <w:t>europæisk</w:t>
      </w:r>
      <w:proofErr w:type="spellEnd"/>
      <w:r w:rsidRPr="00467DB0">
        <w:t xml:space="preserve"> tilgang til ekspertise og </w:t>
      </w:r>
      <w:proofErr w:type="spellStart"/>
      <w:r w:rsidRPr="00467DB0">
        <w:t>tillid</w:t>
      </w:r>
      <w:proofErr w:type="spellEnd"/>
      <w:r w:rsidRPr="00467DB0">
        <w:t>" og de</w:t>
      </w:r>
      <w:r w:rsidRPr="00467DB0">
        <w:t xml:space="preserve">ns meddelelse </w:t>
      </w:r>
      <w:proofErr w:type="spellStart"/>
      <w:r w:rsidRPr="00467DB0">
        <w:t>af</w:t>
      </w:r>
      <w:proofErr w:type="spellEnd"/>
      <w:r w:rsidRPr="00467DB0">
        <w:t xml:space="preserve"> 19. februar 2020 med </w:t>
      </w:r>
      <w:proofErr w:type="spellStart"/>
      <w:r w:rsidRPr="00467DB0">
        <w:t>titlen</w:t>
      </w:r>
      <w:proofErr w:type="spellEnd"/>
      <w:r w:rsidRPr="00467DB0">
        <w:t xml:space="preserve"> " En </w:t>
      </w:r>
      <w:proofErr w:type="spellStart"/>
      <w:r w:rsidRPr="00467DB0">
        <w:t>europæisk</w:t>
      </w:r>
      <w:proofErr w:type="spellEnd"/>
      <w:r w:rsidRPr="00467DB0">
        <w:t xml:space="preserve"> strategi for data". Med </w:t>
      </w:r>
      <w:proofErr w:type="spellStart"/>
      <w:r w:rsidRPr="00467DB0">
        <w:t>henblik</w:t>
      </w:r>
      <w:proofErr w:type="spellEnd"/>
      <w:r w:rsidRPr="00467DB0">
        <w:t xml:space="preserve"> på </w:t>
      </w:r>
      <w:proofErr w:type="spellStart"/>
      <w:r w:rsidRPr="00467DB0">
        <w:t>udviklingen</w:t>
      </w:r>
      <w:proofErr w:type="spellEnd"/>
      <w:r w:rsidRPr="00467DB0">
        <w:t xml:space="preserve"> </w:t>
      </w:r>
      <w:proofErr w:type="spellStart"/>
      <w:r w:rsidRPr="00467DB0">
        <w:t>af</w:t>
      </w:r>
      <w:proofErr w:type="spellEnd"/>
      <w:r w:rsidRPr="00467DB0">
        <w:t xml:space="preserve"> nye aktiver bør </w:t>
      </w:r>
      <w:proofErr w:type="spellStart"/>
      <w:r w:rsidRPr="00467DB0">
        <w:t>Kommissionen</w:t>
      </w:r>
      <w:proofErr w:type="spellEnd"/>
      <w:r w:rsidRPr="00467DB0">
        <w:t xml:space="preserve"> </w:t>
      </w:r>
      <w:proofErr w:type="spellStart"/>
      <w:r w:rsidRPr="00467DB0">
        <w:t>arbejde</w:t>
      </w:r>
      <w:proofErr w:type="spellEnd"/>
      <w:r w:rsidRPr="00467DB0">
        <w:t xml:space="preserve"> </w:t>
      </w:r>
      <w:proofErr w:type="spellStart"/>
      <w:r w:rsidRPr="00467DB0">
        <w:t>tæt</w:t>
      </w:r>
      <w:proofErr w:type="spellEnd"/>
      <w:r w:rsidRPr="00467DB0">
        <w:t xml:space="preserve"> sammen med </w:t>
      </w:r>
      <w:proofErr w:type="spellStart"/>
      <w:r w:rsidRPr="00467DB0">
        <w:t>medlemsstaterne</w:t>
      </w:r>
      <w:proofErr w:type="spellEnd"/>
      <w:r w:rsidRPr="00467DB0">
        <w:t xml:space="preserve"> og ESA, Den </w:t>
      </w:r>
      <w:proofErr w:type="spellStart"/>
      <w:r w:rsidRPr="00467DB0">
        <w:t>Europæiske</w:t>
      </w:r>
      <w:proofErr w:type="spellEnd"/>
      <w:r w:rsidRPr="00467DB0">
        <w:t xml:space="preserve"> </w:t>
      </w:r>
      <w:proofErr w:type="spellStart"/>
      <w:r w:rsidRPr="00467DB0">
        <w:t>Organisation</w:t>
      </w:r>
      <w:proofErr w:type="spellEnd"/>
      <w:r w:rsidRPr="00467DB0">
        <w:t xml:space="preserve"> til </w:t>
      </w:r>
      <w:proofErr w:type="spellStart"/>
      <w:r w:rsidRPr="00467DB0">
        <w:t>Udnyttelse</w:t>
      </w:r>
      <w:proofErr w:type="spellEnd"/>
      <w:r w:rsidRPr="00467DB0">
        <w:t xml:space="preserve"> </w:t>
      </w:r>
      <w:proofErr w:type="spellStart"/>
      <w:r w:rsidRPr="00467DB0">
        <w:t>af</w:t>
      </w:r>
      <w:proofErr w:type="spellEnd"/>
      <w:r w:rsidRPr="00467DB0">
        <w:t xml:space="preserve"> Meteorologiske Satellitt</w:t>
      </w:r>
      <w:r w:rsidRPr="00467DB0">
        <w:t xml:space="preserve">er (EUMETSAT) samt, hvor det er relevant, andre </w:t>
      </w:r>
      <w:proofErr w:type="spellStart"/>
      <w:r w:rsidRPr="00467DB0">
        <w:t>enheder</w:t>
      </w:r>
      <w:proofErr w:type="spellEnd"/>
      <w:r w:rsidRPr="00467DB0">
        <w:t xml:space="preserve">, der </w:t>
      </w:r>
      <w:proofErr w:type="spellStart"/>
      <w:r w:rsidRPr="00467DB0">
        <w:t>ejer</w:t>
      </w:r>
      <w:proofErr w:type="spellEnd"/>
      <w:r w:rsidRPr="00467DB0">
        <w:t xml:space="preserve"> relevante </w:t>
      </w:r>
      <w:proofErr w:type="spellStart"/>
      <w:r w:rsidRPr="00467DB0">
        <w:t>rum</w:t>
      </w:r>
      <w:proofErr w:type="spellEnd"/>
      <w:r w:rsidRPr="00467DB0">
        <w:t xml:space="preserve">- og in </w:t>
      </w:r>
      <w:proofErr w:type="spellStart"/>
      <w:r w:rsidRPr="00467DB0">
        <w:t>situ</w:t>
      </w:r>
      <w:proofErr w:type="spellEnd"/>
      <w:r w:rsidRPr="00467DB0">
        <w:t xml:space="preserve">-aktiver. Copernicus bør så vidt </w:t>
      </w:r>
      <w:proofErr w:type="spellStart"/>
      <w:r w:rsidRPr="00467DB0">
        <w:t>muligt</w:t>
      </w:r>
      <w:proofErr w:type="spellEnd"/>
      <w:r w:rsidRPr="00467DB0">
        <w:t xml:space="preserve"> </w:t>
      </w:r>
      <w:proofErr w:type="spellStart"/>
      <w:r w:rsidRPr="00467DB0">
        <w:lastRenderedPageBreak/>
        <w:t>udnytte</w:t>
      </w:r>
      <w:proofErr w:type="spellEnd"/>
      <w:r w:rsidRPr="00467DB0">
        <w:t xml:space="preserve"> </w:t>
      </w:r>
      <w:proofErr w:type="spellStart"/>
      <w:r w:rsidRPr="00467DB0">
        <w:t>kapaciteten</w:t>
      </w:r>
      <w:proofErr w:type="spellEnd"/>
      <w:r w:rsidRPr="00467DB0">
        <w:t xml:space="preserve"> </w:t>
      </w:r>
      <w:proofErr w:type="gramStart"/>
      <w:r w:rsidRPr="00467DB0">
        <w:t>vedrørende</w:t>
      </w:r>
      <w:proofErr w:type="gramEnd"/>
      <w:r w:rsidRPr="00467DB0">
        <w:t xml:space="preserve"> </w:t>
      </w:r>
      <w:proofErr w:type="spellStart"/>
      <w:r w:rsidRPr="00467DB0">
        <w:t>rumbaserede</w:t>
      </w:r>
      <w:proofErr w:type="spellEnd"/>
      <w:r w:rsidRPr="00467DB0">
        <w:t xml:space="preserve"> </w:t>
      </w:r>
      <w:proofErr w:type="spellStart"/>
      <w:r w:rsidRPr="00467DB0">
        <w:t>observationer</w:t>
      </w:r>
      <w:proofErr w:type="spellEnd"/>
      <w:r w:rsidRPr="00467DB0">
        <w:t xml:space="preserve"> i </w:t>
      </w:r>
      <w:proofErr w:type="spellStart"/>
      <w:r w:rsidRPr="00467DB0">
        <w:t>medlemsstaterne</w:t>
      </w:r>
      <w:proofErr w:type="spellEnd"/>
      <w:r w:rsidRPr="00467DB0">
        <w:t xml:space="preserve">, ESA, EUMETSAT samt andre </w:t>
      </w:r>
      <w:proofErr w:type="spellStart"/>
      <w:r w:rsidRPr="00467DB0">
        <w:t>enheder</w:t>
      </w:r>
      <w:proofErr w:type="spellEnd"/>
      <w:r w:rsidRPr="00467DB0">
        <w:t xml:space="preserve">, herunder </w:t>
      </w:r>
      <w:proofErr w:type="spellStart"/>
      <w:r w:rsidRPr="00467DB0">
        <w:t>kommer</w:t>
      </w:r>
      <w:r w:rsidRPr="00467DB0">
        <w:t>cielle</w:t>
      </w:r>
      <w:proofErr w:type="spellEnd"/>
      <w:r w:rsidRPr="00467DB0">
        <w:t xml:space="preserve"> initiativer i Unionen, og dermed </w:t>
      </w:r>
      <w:proofErr w:type="spellStart"/>
      <w:r w:rsidRPr="00467DB0">
        <w:t>bidrage</w:t>
      </w:r>
      <w:proofErr w:type="spellEnd"/>
      <w:r w:rsidRPr="00467DB0">
        <w:t xml:space="preserve"> til </w:t>
      </w:r>
      <w:proofErr w:type="spellStart"/>
      <w:r w:rsidRPr="00467DB0">
        <w:t>udviklingen</w:t>
      </w:r>
      <w:proofErr w:type="spellEnd"/>
      <w:r w:rsidRPr="00467DB0">
        <w:t xml:space="preserve"> </w:t>
      </w:r>
      <w:proofErr w:type="spellStart"/>
      <w:r w:rsidRPr="00467DB0">
        <w:t>af</w:t>
      </w:r>
      <w:proofErr w:type="spellEnd"/>
      <w:r w:rsidRPr="00467DB0">
        <w:t xml:space="preserve"> en </w:t>
      </w:r>
      <w:proofErr w:type="spellStart"/>
      <w:r w:rsidRPr="00467DB0">
        <w:t>levedygtig</w:t>
      </w:r>
      <w:proofErr w:type="spellEnd"/>
      <w:r w:rsidRPr="00467DB0">
        <w:t xml:space="preserve"> </w:t>
      </w:r>
      <w:proofErr w:type="spellStart"/>
      <w:r w:rsidRPr="00467DB0">
        <w:t>kommerciel</w:t>
      </w:r>
      <w:proofErr w:type="spellEnd"/>
      <w:r w:rsidRPr="00467DB0">
        <w:t xml:space="preserve"> </w:t>
      </w:r>
      <w:proofErr w:type="spellStart"/>
      <w:r w:rsidRPr="00467DB0">
        <w:t>rumfartssektor</w:t>
      </w:r>
      <w:proofErr w:type="spellEnd"/>
      <w:r w:rsidRPr="00467DB0">
        <w:t xml:space="preserve"> i Europa. Hvis det er relevant og </w:t>
      </w:r>
      <w:proofErr w:type="spellStart"/>
      <w:r w:rsidRPr="00467DB0">
        <w:t>muligt</w:t>
      </w:r>
      <w:proofErr w:type="spellEnd"/>
      <w:r w:rsidRPr="00467DB0">
        <w:t xml:space="preserve">, bør det også </w:t>
      </w:r>
      <w:proofErr w:type="spellStart"/>
      <w:r w:rsidRPr="00467DB0">
        <w:t>udnytte</w:t>
      </w:r>
      <w:proofErr w:type="spellEnd"/>
      <w:r w:rsidRPr="00467DB0">
        <w:t xml:space="preserve"> de </w:t>
      </w:r>
      <w:proofErr w:type="spellStart"/>
      <w:r w:rsidRPr="00467DB0">
        <w:t>tilgængelige</w:t>
      </w:r>
      <w:proofErr w:type="spellEnd"/>
      <w:r w:rsidRPr="00467DB0">
        <w:t xml:space="preserve"> in </w:t>
      </w:r>
      <w:proofErr w:type="spellStart"/>
      <w:r w:rsidRPr="00467DB0">
        <w:t>situ</w:t>
      </w:r>
      <w:proofErr w:type="spellEnd"/>
      <w:r w:rsidRPr="00467DB0">
        <w:t xml:space="preserve">- og </w:t>
      </w:r>
      <w:proofErr w:type="spellStart"/>
      <w:r w:rsidRPr="00467DB0">
        <w:t>hjælpedata</w:t>
      </w:r>
      <w:proofErr w:type="spellEnd"/>
      <w:r w:rsidRPr="00467DB0">
        <w:t xml:space="preserve">, som </w:t>
      </w:r>
      <w:proofErr w:type="spellStart"/>
      <w:r w:rsidRPr="00467DB0">
        <w:t>hovedsagelig</w:t>
      </w:r>
      <w:proofErr w:type="spellEnd"/>
      <w:r w:rsidRPr="00467DB0">
        <w:t xml:space="preserve"> leveres </w:t>
      </w:r>
      <w:proofErr w:type="spellStart"/>
      <w:r w:rsidRPr="00467DB0">
        <w:t>af</w:t>
      </w:r>
      <w:proofErr w:type="spellEnd"/>
      <w:r w:rsidRPr="00467DB0">
        <w:t xml:space="preserve"> </w:t>
      </w:r>
      <w:proofErr w:type="spellStart"/>
      <w:r w:rsidRPr="00467DB0">
        <w:t>medlemsstaterne</w:t>
      </w:r>
      <w:proofErr w:type="spellEnd"/>
      <w:r w:rsidRPr="00467DB0">
        <w:t xml:space="preserve"> i </w:t>
      </w:r>
      <w:r w:rsidRPr="00467DB0">
        <w:t>overensstemmelse med Europa-Parlamentets og Rådets direktiv 2007/2/EF</w:t>
      </w:r>
      <w:r w:rsidRPr="00467DB0">
        <w:rPr>
          <w:rStyle w:val="Fotnotereferanse"/>
        </w:rPr>
        <w:footnoteReference w:id="32"/>
      </w:r>
      <w:r w:rsidRPr="00467DB0">
        <w:t xml:space="preserve">. </w:t>
      </w:r>
      <w:proofErr w:type="spellStart"/>
      <w:r w:rsidRPr="00467DB0">
        <w:t>Kommissionen</w:t>
      </w:r>
      <w:proofErr w:type="spellEnd"/>
      <w:r w:rsidRPr="00467DB0">
        <w:t xml:space="preserve"> bør </w:t>
      </w:r>
      <w:proofErr w:type="spellStart"/>
      <w:r w:rsidRPr="00467DB0">
        <w:t>samarbejde</w:t>
      </w:r>
      <w:proofErr w:type="spellEnd"/>
      <w:r w:rsidRPr="00467DB0">
        <w:t xml:space="preserve"> med </w:t>
      </w:r>
      <w:proofErr w:type="spellStart"/>
      <w:r w:rsidRPr="00467DB0">
        <w:t>medlemsstaterne</w:t>
      </w:r>
      <w:proofErr w:type="spellEnd"/>
      <w:r w:rsidRPr="00467DB0">
        <w:t xml:space="preserve"> og Det </w:t>
      </w:r>
      <w:proofErr w:type="spellStart"/>
      <w:r w:rsidRPr="00467DB0">
        <w:t>Europæiske</w:t>
      </w:r>
      <w:proofErr w:type="spellEnd"/>
      <w:r w:rsidRPr="00467DB0">
        <w:t xml:space="preserve"> Miljøagentur for at sikre effektiv adgang til og </w:t>
      </w:r>
      <w:proofErr w:type="gramStart"/>
      <w:r w:rsidRPr="00467DB0">
        <w:t>anvendelse</w:t>
      </w:r>
      <w:proofErr w:type="gramEnd"/>
      <w:r w:rsidRPr="00467DB0">
        <w:t xml:space="preserve"> </w:t>
      </w:r>
      <w:proofErr w:type="spellStart"/>
      <w:r w:rsidRPr="00467DB0">
        <w:t>af</w:t>
      </w:r>
      <w:proofErr w:type="spellEnd"/>
      <w:r w:rsidRPr="00467DB0">
        <w:t xml:space="preserve"> in </w:t>
      </w:r>
      <w:proofErr w:type="spellStart"/>
      <w:r w:rsidRPr="00467DB0">
        <w:t>situ-datasættene</w:t>
      </w:r>
      <w:proofErr w:type="spellEnd"/>
      <w:r w:rsidRPr="00467DB0">
        <w:t xml:space="preserve"> for Copernicus.</w:t>
      </w:r>
    </w:p>
    <w:p w14:paraId="71CF1DD8" w14:textId="77777777" w:rsidR="00000000" w:rsidRPr="00467DB0" w:rsidRDefault="00693D67" w:rsidP="00467DB0">
      <w:pPr>
        <w:pStyle w:val="friliste"/>
      </w:pPr>
      <w:r w:rsidRPr="00467DB0">
        <w:t>(73)</w:t>
      </w:r>
      <w:r w:rsidRPr="00467DB0">
        <w:tab/>
        <w:t xml:space="preserve">Copernicus bør </w:t>
      </w:r>
      <w:proofErr w:type="spellStart"/>
      <w:r w:rsidRPr="00467DB0">
        <w:t>gennemføres</w:t>
      </w:r>
      <w:proofErr w:type="spellEnd"/>
      <w:r w:rsidRPr="00467DB0">
        <w:t xml:space="preserve"> i overensstemmelse med </w:t>
      </w:r>
      <w:proofErr w:type="spellStart"/>
      <w:r w:rsidRPr="00467DB0">
        <w:t>målsætningerne</w:t>
      </w:r>
      <w:proofErr w:type="spellEnd"/>
      <w:r w:rsidRPr="00467DB0">
        <w:t xml:space="preserve"> i Euro</w:t>
      </w:r>
      <w:r w:rsidRPr="00467DB0">
        <w:t>pa-Parlamentets og Rådets direktiv 2003/98/EF</w:t>
      </w:r>
      <w:r w:rsidRPr="00467DB0">
        <w:rPr>
          <w:rStyle w:val="Fotnotereferanse"/>
        </w:rPr>
        <w:footnoteReference w:id="33"/>
      </w:r>
      <w:r w:rsidRPr="00467DB0">
        <w:t xml:space="preserve">, navnlig </w:t>
      </w:r>
      <w:proofErr w:type="spellStart"/>
      <w:r w:rsidRPr="00467DB0">
        <w:t>gennemsigtighed</w:t>
      </w:r>
      <w:proofErr w:type="spellEnd"/>
      <w:r w:rsidRPr="00467DB0">
        <w:t xml:space="preserve">, at </w:t>
      </w:r>
      <w:proofErr w:type="spellStart"/>
      <w:r w:rsidRPr="00467DB0">
        <w:t>skabe</w:t>
      </w:r>
      <w:proofErr w:type="spellEnd"/>
      <w:r w:rsidRPr="00467DB0">
        <w:t xml:space="preserve"> betingelser, der fremmer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tjenesteydelser</w:t>
      </w:r>
      <w:proofErr w:type="spellEnd"/>
      <w:r w:rsidRPr="00467DB0">
        <w:t xml:space="preserve">, og at </w:t>
      </w:r>
      <w:proofErr w:type="spellStart"/>
      <w:r w:rsidRPr="00467DB0">
        <w:t>bidrage</w:t>
      </w:r>
      <w:proofErr w:type="spellEnd"/>
      <w:r w:rsidRPr="00467DB0">
        <w:t xml:space="preserve"> til økonomisk </w:t>
      </w:r>
      <w:proofErr w:type="spellStart"/>
      <w:r w:rsidRPr="00467DB0">
        <w:t>vækst</w:t>
      </w:r>
      <w:proofErr w:type="spellEnd"/>
      <w:r w:rsidRPr="00467DB0">
        <w:t xml:space="preserve"> og </w:t>
      </w:r>
      <w:proofErr w:type="spellStart"/>
      <w:r w:rsidRPr="00467DB0">
        <w:t>jobskabelse</w:t>
      </w:r>
      <w:proofErr w:type="spellEnd"/>
      <w:r w:rsidRPr="00467DB0">
        <w:t xml:space="preserve"> i Unionen.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bør være gratis og </w:t>
      </w:r>
      <w:proofErr w:type="spellStart"/>
      <w:r w:rsidRPr="00467DB0">
        <w:t>frit</w:t>
      </w:r>
      <w:proofErr w:type="spellEnd"/>
      <w:r w:rsidRPr="00467DB0">
        <w:t xml:space="preserve"> </w:t>
      </w:r>
      <w:proofErr w:type="spellStart"/>
      <w:r w:rsidRPr="00467DB0">
        <w:t>tilgængelige</w:t>
      </w:r>
      <w:proofErr w:type="spellEnd"/>
      <w:r w:rsidRPr="00467DB0">
        <w:t>.</w:t>
      </w:r>
    </w:p>
    <w:p w14:paraId="31B8D829" w14:textId="77777777" w:rsidR="00000000" w:rsidRPr="00467DB0" w:rsidRDefault="00693D67" w:rsidP="00467DB0">
      <w:pPr>
        <w:pStyle w:val="friliste"/>
      </w:pPr>
      <w:r w:rsidRPr="00467DB0">
        <w:t>(74)</w:t>
      </w:r>
      <w:r w:rsidRPr="00467DB0">
        <w:tab/>
        <w:t xml:space="preserve">Copernicus' </w:t>
      </w:r>
      <w:proofErr w:type="spellStart"/>
      <w:r w:rsidRPr="00467DB0">
        <w:t>fulde</w:t>
      </w:r>
      <w:proofErr w:type="spellEnd"/>
      <w:r w:rsidRPr="00467DB0">
        <w:t xml:space="preserve"> </w:t>
      </w:r>
      <w:proofErr w:type="spellStart"/>
      <w:r w:rsidRPr="00467DB0">
        <w:t>potentiale</w:t>
      </w:r>
      <w:proofErr w:type="spellEnd"/>
      <w:r w:rsidRPr="00467DB0">
        <w:t xml:space="preserve"> for </w:t>
      </w:r>
      <w:proofErr w:type="spellStart"/>
      <w:r w:rsidRPr="00467DB0">
        <w:t>samfundet</w:t>
      </w:r>
      <w:proofErr w:type="spellEnd"/>
      <w:r w:rsidRPr="00467DB0">
        <w:t xml:space="preserve"> og økonomien i Unionen bør </w:t>
      </w:r>
      <w:proofErr w:type="spellStart"/>
      <w:r w:rsidRPr="00467DB0">
        <w:t>frigives</w:t>
      </w:r>
      <w:proofErr w:type="spellEnd"/>
      <w:r w:rsidRPr="00467DB0">
        <w:t xml:space="preserve"> </w:t>
      </w:r>
      <w:proofErr w:type="spellStart"/>
      <w:r w:rsidRPr="00467DB0">
        <w:t>fuldt</w:t>
      </w:r>
      <w:proofErr w:type="spellEnd"/>
      <w:r w:rsidRPr="00467DB0">
        <w:t xml:space="preserve"> </w:t>
      </w:r>
      <w:proofErr w:type="spellStart"/>
      <w:r w:rsidRPr="00467DB0">
        <w:t>ud</w:t>
      </w:r>
      <w:proofErr w:type="spellEnd"/>
      <w:r w:rsidRPr="00467DB0">
        <w:t xml:space="preserve"> til andre end blot til de direkte </w:t>
      </w:r>
      <w:proofErr w:type="spellStart"/>
      <w:r w:rsidRPr="00467DB0">
        <w:t>støttemodtagere</w:t>
      </w:r>
      <w:proofErr w:type="spellEnd"/>
      <w:r w:rsidRPr="00467DB0">
        <w:t xml:space="preserve"> ved in</w:t>
      </w:r>
      <w:r w:rsidRPr="00467DB0">
        <w:t xml:space="preserve">tensivering </w:t>
      </w:r>
      <w:proofErr w:type="spellStart"/>
      <w:r w:rsidRPr="00467DB0">
        <w:t>af</w:t>
      </w:r>
      <w:proofErr w:type="spellEnd"/>
      <w:r w:rsidRPr="00467DB0">
        <w:t xml:space="preserve"> </w:t>
      </w:r>
      <w:proofErr w:type="spellStart"/>
      <w:r w:rsidRPr="00467DB0">
        <w:t>brugerudbredelsesforanstaltningerne</w:t>
      </w:r>
      <w:proofErr w:type="spellEnd"/>
      <w:r w:rsidRPr="00467DB0">
        <w:t xml:space="preserve">, hvilket </w:t>
      </w:r>
      <w:proofErr w:type="spellStart"/>
      <w:r w:rsidRPr="00467DB0">
        <w:t>kræver</w:t>
      </w:r>
      <w:proofErr w:type="spellEnd"/>
      <w:r w:rsidRPr="00467DB0">
        <w:t xml:space="preserve"> </w:t>
      </w:r>
      <w:proofErr w:type="spellStart"/>
      <w:r w:rsidRPr="00467DB0">
        <w:t>yderligere</w:t>
      </w:r>
      <w:proofErr w:type="spellEnd"/>
      <w:r w:rsidRPr="00467DB0">
        <w:t xml:space="preserve"> handling med </w:t>
      </w:r>
      <w:proofErr w:type="spellStart"/>
      <w:r w:rsidRPr="00467DB0">
        <w:t>henblik</w:t>
      </w:r>
      <w:proofErr w:type="spellEnd"/>
      <w:r w:rsidRPr="00467DB0">
        <w:t xml:space="preserve"> på at </w:t>
      </w:r>
      <w:proofErr w:type="spellStart"/>
      <w:r w:rsidRPr="00467DB0">
        <w:t>gøre</w:t>
      </w:r>
      <w:proofErr w:type="spellEnd"/>
      <w:r w:rsidRPr="00467DB0">
        <w:t xml:space="preserve"> dataene </w:t>
      </w:r>
      <w:proofErr w:type="spellStart"/>
      <w:r w:rsidRPr="00467DB0">
        <w:t>brugbare</w:t>
      </w:r>
      <w:proofErr w:type="spellEnd"/>
      <w:r w:rsidRPr="00467DB0">
        <w:t xml:space="preserve"> for </w:t>
      </w:r>
      <w:proofErr w:type="spellStart"/>
      <w:r w:rsidRPr="00467DB0">
        <w:t>ikkespecialister</w:t>
      </w:r>
      <w:proofErr w:type="spellEnd"/>
      <w:r w:rsidRPr="00467DB0">
        <w:t xml:space="preserve"> og dermed stimulere </w:t>
      </w:r>
      <w:proofErr w:type="spellStart"/>
      <w:r w:rsidRPr="00467DB0">
        <w:t>vækst</w:t>
      </w:r>
      <w:proofErr w:type="spellEnd"/>
      <w:r w:rsidRPr="00467DB0">
        <w:t xml:space="preserve">, </w:t>
      </w:r>
      <w:proofErr w:type="spellStart"/>
      <w:r w:rsidRPr="00467DB0">
        <w:t>jobskabelse</w:t>
      </w:r>
      <w:proofErr w:type="spellEnd"/>
      <w:r w:rsidRPr="00467DB0">
        <w:t xml:space="preserve"> og </w:t>
      </w:r>
      <w:proofErr w:type="spellStart"/>
      <w:r w:rsidRPr="00467DB0">
        <w:t>videnoverførsel</w:t>
      </w:r>
      <w:proofErr w:type="spellEnd"/>
      <w:r w:rsidRPr="00467DB0">
        <w:t>.</w:t>
      </w:r>
    </w:p>
    <w:p w14:paraId="1B497DEE" w14:textId="77777777" w:rsidR="00000000" w:rsidRPr="00467DB0" w:rsidRDefault="00693D67" w:rsidP="00467DB0">
      <w:pPr>
        <w:pStyle w:val="friliste"/>
      </w:pPr>
      <w:r w:rsidRPr="00467DB0">
        <w:t>(75)</w:t>
      </w:r>
      <w:r w:rsidRPr="00467DB0">
        <w:tab/>
        <w:t xml:space="preserve">Copernicus er et </w:t>
      </w:r>
      <w:proofErr w:type="spellStart"/>
      <w:r w:rsidRPr="00467DB0">
        <w:t>brugerdrevet</w:t>
      </w:r>
      <w:proofErr w:type="spellEnd"/>
      <w:r w:rsidRPr="00467DB0">
        <w:t xml:space="preserve"> program. </w:t>
      </w:r>
      <w:proofErr w:type="spellStart"/>
      <w:r w:rsidRPr="00467DB0">
        <w:t>Udvik</w:t>
      </w:r>
      <w:r w:rsidRPr="00467DB0">
        <w:t>lingen</w:t>
      </w:r>
      <w:proofErr w:type="spellEnd"/>
      <w:r w:rsidRPr="00467DB0">
        <w:t xml:space="preserve"> </w:t>
      </w:r>
      <w:proofErr w:type="spellStart"/>
      <w:r w:rsidRPr="00467DB0">
        <w:t>af</w:t>
      </w:r>
      <w:proofErr w:type="spellEnd"/>
      <w:r w:rsidRPr="00467DB0">
        <w:t xml:space="preserve"> programmet bør derfor være </w:t>
      </w:r>
      <w:proofErr w:type="spellStart"/>
      <w:r w:rsidRPr="00467DB0">
        <w:t>baseret</w:t>
      </w:r>
      <w:proofErr w:type="spellEnd"/>
      <w:r w:rsidRPr="00467DB0">
        <w:t xml:space="preserve"> på </w:t>
      </w:r>
      <w:proofErr w:type="spellStart"/>
      <w:r w:rsidRPr="00467DB0">
        <w:t>Copernicuskernebrugernes</w:t>
      </w:r>
      <w:proofErr w:type="spellEnd"/>
      <w:r w:rsidRPr="00467DB0">
        <w:t xml:space="preserve"> skiftende krav, idet det samtidig </w:t>
      </w:r>
      <w:proofErr w:type="spellStart"/>
      <w:r w:rsidRPr="00467DB0">
        <w:t>erkendes</w:t>
      </w:r>
      <w:proofErr w:type="spellEnd"/>
      <w:r w:rsidRPr="00467DB0">
        <w:t xml:space="preserve">, at der er dukket nye </w:t>
      </w:r>
      <w:proofErr w:type="spellStart"/>
      <w:r w:rsidRPr="00467DB0">
        <w:t>brugergrupper</w:t>
      </w:r>
      <w:proofErr w:type="spellEnd"/>
      <w:r w:rsidRPr="00467DB0">
        <w:t xml:space="preserve"> </w:t>
      </w:r>
      <w:proofErr w:type="spellStart"/>
      <w:r w:rsidRPr="00467DB0">
        <w:t>op</w:t>
      </w:r>
      <w:proofErr w:type="spellEnd"/>
      <w:r w:rsidRPr="00467DB0">
        <w:t xml:space="preserve">, både private og offentlige. Copernicus bør </w:t>
      </w:r>
      <w:proofErr w:type="spellStart"/>
      <w:r w:rsidRPr="00467DB0">
        <w:t>tage</w:t>
      </w:r>
      <w:proofErr w:type="spellEnd"/>
      <w:r w:rsidRPr="00467DB0">
        <w:t xml:space="preserve"> </w:t>
      </w:r>
      <w:proofErr w:type="spellStart"/>
      <w:r w:rsidRPr="00467DB0">
        <w:t>udgangspunkt</w:t>
      </w:r>
      <w:proofErr w:type="spellEnd"/>
      <w:r w:rsidRPr="00467DB0">
        <w:t xml:space="preserve"> i en analyse </w:t>
      </w:r>
      <w:proofErr w:type="spellStart"/>
      <w:r w:rsidRPr="00467DB0">
        <w:t>af</w:t>
      </w:r>
      <w:proofErr w:type="spellEnd"/>
      <w:r w:rsidRPr="00467DB0">
        <w:t xml:space="preserve"> </w:t>
      </w:r>
      <w:proofErr w:type="spellStart"/>
      <w:r w:rsidRPr="00467DB0">
        <w:t>mulighederne</w:t>
      </w:r>
      <w:proofErr w:type="spellEnd"/>
      <w:r w:rsidRPr="00467DB0">
        <w:t xml:space="preserve"> for at </w:t>
      </w:r>
      <w:proofErr w:type="spellStart"/>
      <w:r w:rsidRPr="00467DB0">
        <w:t>imø</w:t>
      </w:r>
      <w:r w:rsidRPr="00467DB0">
        <w:t>dekomme</w:t>
      </w:r>
      <w:proofErr w:type="spellEnd"/>
      <w:r w:rsidRPr="00467DB0">
        <w:t xml:space="preserve"> nye </w:t>
      </w:r>
      <w:proofErr w:type="spellStart"/>
      <w:r w:rsidRPr="00467DB0">
        <w:t>brugerbehov</w:t>
      </w:r>
      <w:proofErr w:type="spellEnd"/>
      <w:r w:rsidRPr="00467DB0">
        <w:t xml:space="preserve">, herunder behovene i forbindelse med </w:t>
      </w:r>
      <w:proofErr w:type="spellStart"/>
      <w:r w:rsidRPr="00467DB0">
        <w:t>gennemførelsen</w:t>
      </w:r>
      <w:proofErr w:type="spellEnd"/>
      <w:r w:rsidRPr="00467DB0">
        <w:t xml:space="preserve"> og </w:t>
      </w:r>
      <w:proofErr w:type="spellStart"/>
      <w:r w:rsidRPr="00467DB0">
        <w:t>overvågningen</w:t>
      </w:r>
      <w:proofErr w:type="spellEnd"/>
      <w:r w:rsidRPr="00467DB0">
        <w:t xml:space="preserve"> </w:t>
      </w:r>
      <w:proofErr w:type="spellStart"/>
      <w:r w:rsidRPr="00467DB0">
        <w:t>af</w:t>
      </w:r>
      <w:proofErr w:type="spellEnd"/>
      <w:r w:rsidRPr="00467DB0">
        <w:t xml:space="preserve"> </w:t>
      </w:r>
      <w:proofErr w:type="spellStart"/>
      <w:r w:rsidRPr="00467DB0">
        <w:t>EU's</w:t>
      </w:r>
      <w:proofErr w:type="spellEnd"/>
      <w:r w:rsidRPr="00467DB0">
        <w:t xml:space="preserve"> politikker, som </w:t>
      </w:r>
      <w:proofErr w:type="spellStart"/>
      <w:r w:rsidRPr="00467DB0">
        <w:t>kræver</w:t>
      </w:r>
      <w:proofErr w:type="spellEnd"/>
      <w:r w:rsidRPr="00467DB0">
        <w:t xml:space="preserve"> en vedvarende og effektiv </w:t>
      </w:r>
      <w:proofErr w:type="spellStart"/>
      <w:r w:rsidRPr="00467DB0">
        <w:t>inddragelse</w:t>
      </w:r>
      <w:proofErr w:type="spellEnd"/>
      <w:r w:rsidRPr="00467DB0">
        <w:t xml:space="preserve"> </w:t>
      </w:r>
      <w:proofErr w:type="spellStart"/>
      <w:r w:rsidRPr="00467DB0">
        <w:t>af</w:t>
      </w:r>
      <w:proofErr w:type="spellEnd"/>
      <w:r w:rsidRPr="00467DB0">
        <w:t xml:space="preserve"> </w:t>
      </w:r>
      <w:proofErr w:type="spellStart"/>
      <w:r w:rsidRPr="00467DB0">
        <w:t>brugerne</w:t>
      </w:r>
      <w:proofErr w:type="spellEnd"/>
      <w:r w:rsidRPr="00467DB0">
        <w:t xml:space="preserve">, navnlig </w:t>
      </w:r>
      <w:proofErr w:type="spellStart"/>
      <w:r w:rsidRPr="00467DB0">
        <w:t>hvad</w:t>
      </w:r>
      <w:proofErr w:type="spellEnd"/>
      <w:r w:rsidRPr="00467DB0">
        <w:t xml:space="preserve"> angår </w:t>
      </w:r>
      <w:proofErr w:type="spellStart"/>
      <w:r w:rsidRPr="00467DB0">
        <w:t>definitionen</w:t>
      </w:r>
      <w:proofErr w:type="spellEnd"/>
      <w:r w:rsidRPr="00467DB0">
        <w:t xml:space="preserve"> og valideringen </w:t>
      </w:r>
      <w:proofErr w:type="spellStart"/>
      <w:r w:rsidRPr="00467DB0">
        <w:t>af</w:t>
      </w:r>
      <w:proofErr w:type="spellEnd"/>
      <w:r w:rsidRPr="00467DB0">
        <w:t xml:space="preserve"> kravene.</w:t>
      </w:r>
    </w:p>
    <w:p w14:paraId="6D70CF8D" w14:textId="77777777" w:rsidR="00000000" w:rsidRPr="00467DB0" w:rsidRDefault="00693D67" w:rsidP="00467DB0">
      <w:pPr>
        <w:pStyle w:val="friliste"/>
      </w:pPr>
      <w:r w:rsidRPr="00467DB0">
        <w:t>(76)</w:t>
      </w:r>
      <w:r w:rsidRPr="00467DB0">
        <w:tab/>
        <w:t>Copernicus er al</w:t>
      </w:r>
      <w:r w:rsidRPr="00467DB0">
        <w:t xml:space="preserve">lerede </w:t>
      </w:r>
      <w:proofErr w:type="spellStart"/>
      <w:r w:rsidRPr="00467DB0">
        <w:t>operationel</w:t>
      </w:r>
      <w:proofErr w:type="spellEnd"/>
      <w:r w:rsidRPr="00467DB0">
        <w:t xml:space="preserve">. Derfor er det </w:t>
      </w:r>
      <w:proofErr w:type="spellStart"/>
      <w:r w:rsidRPr="00467DB0">
        <w:t>vigtigt</w:t>
      </w:r>
      <w:proofErr w:type="spellEnd"/>
      <w:r w:rsidRPr="00467DB0">
        <w:t xml:space="preserve"> at sikre kontinuitet i de infrastrukturer og tjenester, der allerede er </w:t>
      </w:r>
      <w:proofErr w:type="spellStart"/>
      <w:r w:rsidRPr="00467DB0">
        <w:t>etableret</w:t>
      </w:r>
      <w:proofErr w:type="spellEnd"/>
      <w:r w:rsidRPr="00467DB0">
        <w:t xml:space="preserve">, og samtidig tilpasse </w:t>
      </w:r>
      <w:proofErr w:type="spellStart"/>
      <w:r w:rsidRPr="00467DB0">
        <w:t>sig</w:t>
      </w:r>
      <w:proofErr w:type="spellEnd"/>
      <w:r w:rsidRPr="00467DB0">
        <w:t xml:space="preserve"> de skiftende </w:t>
      </w:r>
      <w:proofErr w:type="spellStart"/>
      <w:r w:rsidRPr="00467DB0">
        <w:t>brugerbehov</w:t>
      </w:r>
      <w:proofErr w:type="spellEnd"/>
      <w:r w:rsidRPr="00467DB0">
        <w:t xml:space="preserve">, markedsforhold, navnlig fremkomsten </w:t>
      </w:r>
      <w:proofErr w:type="spellStart"/>
      <w:r w:rsidRPr="00467DB0">
        <w:t>af</w:t>
      </w:r>
      <w:proofErr w:type="spellEnd"/>
      <w:r w:rsidRPr="00467DB0">
        <w:t xml:space="preserve"> New Space, og den samfundspolitiske </w:t>
      </w:r>
      <w:proofErr w:type="spellStart"/>
      <w:r w:rsidRPr="00467DB0">
        <w:t>udvik</w:t>
      </w:r>
      <w:r w:rsidRPr="00467DB0">
        <w:t>ling</w:t>
      </w:r>
      <w:proofErr w:type="spellEnd"/>
      <w:r w:rsidRPr="00467DB0">
        <w:t xml:space="preserve">, hvor der er behov for en hurtig </w:t>
      </w:r>
      <w:proofErr w:type="spellStart"/>
      <w:r w:rsidRPr="00467DB0">
        <w:t>indsats</w:t>
      </w:r>
      <w:proofErr w:type="spellEnd"/>
      <w:r w:rsidRPr="00467DB0">
        <w:t xml:space="preserve">. Dette </w:t>
      </w:r>
      <w:proofErr w:type="spellStart"/>
      <w:r w:rsidRPr="00467DB0">
        <w:t>kræver</w:t>
      </w:r>
      <w:proofErr w:type="spellEnd"/>
      <w:r w:rsidRPr="00467DB0">
        <w:t xml:space="preserve"> en </w:t>
      </w:r>
      <w:proofErr w:type="spellStart"/>
      <w:r w:rsidRPr="00467DB0">
        <w:t>udvikling</w:t>
      </w:r>
      <w:proofErr w:type="spellEnd"/>
      <w:r w:rsidRPr="00467DB0">
        <w:t xml:space="preserve"> </w:t>
      </w:r>
      <w:proofErr w:type="spellStart"/>
      <w:r w:rsidRPr="00467DB0">
        <w:t>af</w:t>
      </w:r>
      <w:proofErr w:type="spellEnd"/>
      <w:r w:rsidRPr="00467DB0">
        <w:t xml:space="preserve"> den </w:t>
      </w:r>
      <w:proofErr w:type="spellStart"/>
      <w:r w:rsidRPr="00467DB0">
        <w:t>funktionelle</w:t>
      </w:r>
      <w:proofErr w:type="spellEnd"/>
      <w:r w:rsidRPr="00467DB0">
        <w:t xml:space="preserve"> struktur i Copernicus for bedre at </w:t>
      </w:r>
      <w:proofErr w:type="spellStart"/>
      <w:r w:rsidRPr="00467DB0">
        <w:t>afspejle</w:t>
      </w:r>
      <w:proofErr w:type="spellEnd"/>
      <w:r w:rsidRPr="00467DB0">
        <w:t xml:space="preserve"> overgangen fra første fase </w:t>
      </w:r>
      <w:proofErr w:type="spellStart"/>
      <w:r w:rsidRPr="00467DB0">
        <w:t>af</w:t>
      </w:r>
      <w:proofErr w:type="spellEnd"/>
      <w:r w:rsidRPr="00467DB0">
        <w:t xml:space="preserve"> de </w:t>
      </w:r>
      <w:proofErr w:type="spellStart"/>
      <w:r w:rsidRPr="00467DB0">
        <w:t>operationelle</w:t>
      </w:r>
      <w:proofErr w:type="spellEnd"/>
      <w:r w:rsidRPr="00467DB0">
        <w:t xml:space="preserve"> tjenester til leveringen </w:t>
      </w:r>
      <w:proofErr w:type="spellStart"/>
      <w:r w:rsidRPr="00467DB0">
        <w:t>af</w:t>
      </w:r>
      <w:proofErr w:type="spellEnd"/>
      <w:r w:rsidRPr="00467DB0">
        <w:t xml:space="preserve"> </w:t>
      </w:r>
      <w:proofErr w:type="spellStart"/>
      <w:r w:rsidRPr="00467DB0">
        <w:t>avancerede</w:t>
      </w:r>
      <w:proofErr w:type="spellEnd"/>
      <w:r w:rsidRPr="00467DB0">
        <w:t xml:space="preserve"> og mere målrettede tjenester til </w:t>
      </w:r>
      <w:r w:rsidRPr="00467DB0">
        <w:t xml:space="preserve">nye </w:t>
      </w:r>
      <w:proofErr w:type="spellStart"/>
      <w:r w:rsidRPr="00467DB0">
        <w:t>brugergrupper</w:t>
      </w:r>
      <w:proofErr w:type="spellEnd"/>
      <w:r w:rsidRPr="00467DB0">
        <w:t xml:space="preserve"> og </w:t>
      </w:r>
      <w:proofErr w:type="spellStart"/>
      <w:r w:rsidRPr="00467DB0">
        <w:t>skabelse</w:t>
      </w:r>
      <w:proofErr w:type="spellEnd"/>
      <w:r w:rsidRPr="00467DB0">
        <w:t xml:space="preserve"> </w:t>
      </w:r>
      <w:proofErr w:type="spellStart"/>
      <w:r w:rsidRPr="00467DB0">
        <w:t>af</w:t>
      </w:r>
      <w:proofErr w:type="spellEnd"/>
      <w:r w:rsidRPr="00467DB0">
        <w:t xml:space="preserve"> </w:t>
      </w:r>
      <w:proofErr w:type="spellStart"/>
      <w:r w:rsidRPr="00467DB0">
        <w:t>merværdi</w:t>
      </w:r>
      <w:proofErr w:type="spellEnd"/>
      <w:r w:rsidRPr="00467DB0">
        <w:t xml:space="preserve"> i </w:t>
      </w:r>
      <w:proofErr w:type="spellStart"/>
      <w:r w:rsidRPr="00467DB0">
        <w:t>efterfølgende</w:t>
      </w:r>
      <w:proofErr w:type="spellEnd"/>
      <w:r w:rsidRPr="00467DB0">
        <w:t xml:space="preserve"> </w:t>
      </w:r>
      <w:proofErr w:type="spellStart"/>
      <w:r w:rsidRPr="00467DB0">
        <w:t>markedsled</w:t>
      </w:r>
      <w:proofErr w:type="spellEnd"/>
      <w:r w:rsidRPr="00467DB0">
        <w:t xml:space="preserve">. Til dette formål bør der i forbindelse med den videre </w:t>
      </w:r>
      <w:proofErr w:type="spellStart"/>
      <w:r w:rsidRPr="00467DB0">
        <w:t>gennemførelse</w:t>
      </w:r>
      <w:proofErr w:type="spellEnd"/>
      <w:r w:rsidRPr="00467DB0">
        <w:t xml:space="preserve"> anvendes en tilgang, der følger </w:t>
      </w:r>
      <w:proofErr w:type="spellStart"/>
      <w:r w:rsidRPr="00467DB0">
        <w:t>dataværdikæden</w:t>
      </w:r>
      <w:proofErr w:type="spellEnd"/>
      <w:r w:rsidRPr="00467DB0">
        <w:t xml:space="preserve">, dvs. </w:t>
      </w:r>
      <w:proofErr w:type="spellStart"/>
      <w:r w:rsidRPr="00467DB0">
        <w:t>dataindsamling</w:t>
      </w:r>
      <w:proofErr w:type="spellEnd"/>
      <w:r w:rsidRPr="00467DB0">
        <w:t xml:space="preserve">, data- og </w:t>
      </w:r>
      <w:proofErr w:type="spellStart"/>
      <w:r w:rsidRPr="00467DB0">
        <w:t>informationsbehandling</w:t>
      </w:r>
      <w:proofErr w:type="spellEnd"/>
      <w:r w:rsidRPr="00467DB0">
        <w:t>, -</w:t>
      </w:r>
      <w:proofErr w:type="spellStart"/>
      <w:r w:rsidRPr="00467DB0">
        <w:t>distribution</w:t>
      </w:r>
      <w:proofErr w:type="spellEnd"/>
      <w:r w:rsidRPr="00467DB0">
        <w:t xml:space="preserve"> og</w:t>
      </w:r>
      <w:r w:rsidRPr="00467DB0">
        <w:t xml:space="preserve"> -</w:t>
      </w:r>
      <w:proofErr w:type="spellStart"/>
      <w:r w:rsidRPr="00467DB0">
        <w:t>udnyttelse</w:t>
      </w:r>
      <w:proofErr w:type="spellEnd"/>
      <w:r w:rsidRPr="00467DB0">
        <w:t xml:space="preserve">, </w:t>
      </w:r>
      <w:proofErr w:type="spellStart"/>
      <w:r w:rsidRPr="00467DB0">
        <w:t>ibrugtagnings</w:t>
      </w:r>
      <w:proofErr w:type="spellEnd"/>
      <w:r w:rsidRPr="00467DB0">
        <w:t xml:space="preserve">- og </w:t>
      </w:r>
      <w:proofErr w:type="spellStart"/>
      <w:r w:rsidRPr="00467DB0">
        <w:t>markedsudbredelses</w:t>
      </w:r>
      <w:proofErr w:type="spellEnd"/>
      <w:r w:rsidRPr="00467DB0">
        <w:t xml:space="preserve">- og </w:t>
      </w:r>
      <w:proofErr w:type="spellStart"/>
      <w:r w:rsidRPr="00467DB0">
        <w:t>kapacitetsopbygningsaktiviteter</w:t>
      </w:r>
      <w:proofErr w:type="spellEnd"/>
      <w:r w:rsidRPr="00467DB0">
        <w:t xml:space="preserve">, mens der i den strategiske </w:t>
      </w:r>
      <w:proofErr w:type="spellStart"/>
      <w:r w:rsidRPr="00467DB0">
        <w:t>planlægningsproces</w:t>
      </w:r>
      <w:proofErr w:type="spellEnd"/>
      <w:r w:rsidRPr="00467DB0">
        <w:t xml:space="preserve"> under Horisont Europa vil blive </w:t>
      </w:r>
      <w:proofErr w:type="spellStart"/>
      <w:r w:rsidRPr="00467DB0">
        <w:t>peget</w:t>
      </w:r>
      <w:proofErr w:type="spellEnd"/>
      <w:r w:rsidRPr="00467DB0">
        <w:t xml:space="preserve"> på forsknings- og </w:t>
      </w:r>
      <w:proofErr w:type="spellStart"/>
      <w:r w:rsidRPr="00467DB0">
        <w:t>innovationsaktiviteter</w:t>
      </w:r>
      <w:proofErr w:type="spellEnd"/>
      <w:r w:rsidRPr="00467DB0">
        <w:t xml:space="preserve">, der bør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Copernicus.</w:t>
      </w:r>
    </w:p>
    <w:p w14:paraId="1BD747FD" w14:textId="77777777" w:rsidR="00000000" w:rsidRPr="00467DB0" w:rsidRDefault="00693D67" w:rsidP="00467DB0">
      <w:pPr>
        <w:pStyle w:val="friliste"/>
      </w:pPr>
      <w:r w:rsidRPr="00467DB0">
        <w:t>(77)</w:t>
      </w:r>
      <w:r w:rsidRPr="00467DB0">
        <w:tab/>
        <w:t xml:space="preserve">Med </w:t>
      </w:r>
      <w:r w:rsidRPr="00467DB0">
        <w:t xml:space="preserve">hensyn til </w:t>
      </w:r>
      <w:proofErr w:type="spellStart"/>
      <w:r w:rsidRPr="00467DB0">
        <w:t>dataindsamling</w:t>
      </w:r>
      <w:proofErr w:type="spellEnd"/>
      <w:r w:rsidRPr="00467DB0">
        <w:t xml:space="preserve"> bør </w:t>
      </w:r>
      <w:proofErr w:type="spellStart"/>
      <w:r w:rsidRPr="00467DB0">
        <w:t>aktiviteterne</w:t>
      </w:r>
      <w:proofErr w:type="spellEnd"/>
      <w:r w:rsidRPr="00467DB0">
        <w:t xml:space="preserve"> under Copernicus </w:t>
      </w:r>
      <w:proofErr w:type="spellStart"/>
      <w:r w:rsidRPr="00467DB0">
        <w:t>tage</w:t>
      </w:r>
      <w:proofErr w:type="spellEnd"/>
      <w:r w:rsidRPr="00467DB0">
        <w:t xml:space="preserve"> </w:t>
      </w:r>
      <w:proofErr w:type="spellStart"/>
      <w:r w:rsidRPr="00467DB0">
        <w:t>sigte</w:t>
      </w:r>
      <w:proofErr w:type="spellEnd"/>
      <w:r w:rsidRPr="00467DB0">
        <w:t xml:space="preserve"> på at </w:t>
      </w:r>
      <w:proofErr w:type="spellStart"/>
      <w:r w:rsidRPr="00467DB0">
        <w:t>fuldende</w:t>
      </w:r>
      <w:proofErr w:type="spellEnd"/>
      <w:r w:rsidRPr="00467DB0">
        <w:t xml:space="preserve"> og </w:t>
      </w:r>
      <w:proofErr w:type="spellStart"/>
      <w:r w:rsidRPr="00467DB0">
        <w:t>opretholde</w:t>
      </w:r>
      <w:proofErr w:type="spellEnd"/>
      <w:r w:rsidRPr="00467DB0">
        <w:t xml:space="preserve"> den eksisterende </w:t>
      </w:r>
      <w:proofErr w:type="spellStart"/>
      <w:r w:rsidRPr="00467DB0">
        <w:t>ruminfrastruktur</w:t>
      </w:r>
      <w:proofErr w:type="spellEnd"/>
      <w:r w:rsidRPr="00467DB0">
        <w:t xml:space="preserve">, forberede en </w:t>
      </w:r>
      <w:proofErr w:type="spellStart"/>
      <w:r w:rsidRPr="00467DB0">
        <w:t>langsigtet</w:t>
      </w:r>
      <w:proofErr w:type="spellEnd"/>
      <w:r w:rsidRPr="00467DB0">
        <w:t xml:space="preserve"> </w:t>
      </w:r>
      <w:proofErr w:type="spellStart"/>
      <w:r w:rsidRPr="00467DB0">
        <w:t>udskiftning</w:t>
      </w:r>
      <w:proofErr w:type="spellEnd"/>
      <w:r w:rsidRPr="00467DB0">
        <w:t xml:space="preserve"> </w:t>
      </w:r>
      <w:proofErr w:type="spellStart"/>
      <w:r w:rsidRPr="00467DB0">
        <w:t>af</w:t>
      </w:r>
      <w:proofErr w:type="spellEnd"/>
      <w:r w:rsidRPr="00467DB0">
        <w:t xml:space="preserve"> satellitter, når de er </w:t>
      </w:r>
      <w:proofErr w:type="spellStart"/>
      <w:r w:rsidRPr="00467DB0">
        <w:t>udtjent</w:t>
      </w:r>
      <w:proofErr w:type="spellEnd"/>
      <w:r w:rsidRPr="00467DB0">
        <w:t xml:space="preserve">, samt </w:t>
      </w:r>
      <w:proofErr w:type="spellStart"/>
      <w:r w:rsidRPr="00467DB0">
        <w:t>iværksætte</w:t>
      </w:r>
      <w:proofErr w:type="spellEnd"/>
      <w:r w:rsidRPr="00467DB0">
        <w:t xml:space="preserve"> nye missioner </w:t>
      </w:r>
      <w:proofErr w:type="gramStart"/>
      <w:r w:rsidRPr="00467DB0">
        <w:t>vedrørende</w:t>
      </w:r>
      <w:proofErr w:type="gramEnd"/>
      <w:r w:rsidRPr="00467DB0">
        <w:t xml:space="preserve"> navnlig </w:t>
      </w:r>
      <w:r w:rsidRPr="00467DB0">
        <w:t xml:space="preserve">nye </w:t>
      </w:r>
      <w:proofErr w:type="spellStart"/>
      <w:r w:rsidRPr="00467DB0">
        <w:t>observationssys</w:t>
      </w:r>
      <w:r w:rsidRPr="00467DB0">
        <w:lastRenderedPageBreak/>
        <w:t>temer</w:t>
      </w:r>
      <w:proofErr w:type="spellEnd"/>
      <w:r w:rsidRPr="00467DB0">
        <w:t xml:space="preserve">, der skal </w:t>
      </w:r>
      <w:proofErr w:type="spellStart"/>
      <w:r w:rsidRPr="00467DB0">
        <w:t>bidrage</w:t>
      </w:r>
      <w:proofErr w:type="spellEnd"/>
      <w:r w:rsidRPr="00467DB0">
        <w:t xml:space="preserve"> til at </w:t>
      </w:r>
      <w:proofErr w:type="spellStart"/>
      <w:r w:rsidRPr="00467DB0">
        <w:t>imødegå</w:t>
      </w:r>
      <w:proofErr w:type="spellEnd"/>
      <w:r w:rsidRPr="00467DB0">
        <w:t xml:space="preserve"> </w:t>
      </w:r>
      <w:proofErr w:type="spellStart"/>
      <w:r w:rsidRPr="00467DB0">
        <w:t>udfordringen</w:t>
      </w:r>
      <w:proofErr w:type="spellEnd"/>
      <w:r w:rsidRPr="00467DB0">
        <w:t xml:space="preserve"> med globale </w:t>
      </w:r>
      <w:proofErr w:type="spellStart"/>
      <w:r w:rsidRPr="00467DB0">
        <w:t>klimaændringer</w:t>
      </w:r>
      <w:proofErr w:type="spellEnd"/>
      <w:r w:rsidRPr="00467DB0">
        <w:t xml:space="preserve">, såsom </w:t>
      </w:r>
      <w:proofErr w:type="spellStart"/>
      <w:r w:rsidRPr="00467DB0">
        <w:t>overvågning</w:t>
      </w:r>
      <w:proofErr w:type="spellEnd"/>
      <w:r w:rsidRPr="00467DB0">
        <w:t xml:space="preserve"> </w:t>
      </w:r>
      <w:proofErr w:type="spellStart"/>
      <w:r w:rsidRPr="00467DB0">
        <w:t>af</w:t>
      </w:r>
      <w:proofErr w:type="spellEnd"/>
      <w:r w:rsidRPr="00467DB0">
        <w:t xml:space="preserve"> antropogene CO2-emissioner og andre </w:t>
      </w:r>
      <w:proofErr w:type="spellStart"/>
      <w:r w:rsidRPr="00467DB0">
        <w:t>drivhusgasemissioner</w:t>
      </w:r>
      <w:proofErr w:type="spellEnd"/>
      <w:r w:rsidRPr="00467DB0">
        <w:t xml:space="preserve">. I forbindelse med </w:t>
      </w:r>
      <w:proofErr w:type="spellStart"/>
      <w:r w:rsidRPr="00467DB0">
        <w:t>aktiviteterne</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Copernicus bør den globa</w:t>
      </w:r>
      <w:r w:rsidRPr="00467DB0">
        <w:t xml:space="preserve">le </w:t>
      </w:r>
      <w:proofErr w:type="spellStart"/>
      <w:r w:rsidRPr="00467DB0">
        <w:t>overvågning</w:t>
      </w:r>
      <w:proofErr w:type="spellEnd"/>
      <w:r w:rsidRPr="00467DB0">
        <w:t xml:space="preserve"> </w:t>
      </w:r>
      <w:proofErr w:type="spellStart"/>
      <w:r w:rsidRPr="00467DB0">
        <w:t>udvides</w:t>
      </w:r>
      <w:proofErr w:type="spellEnd"/>
      <w:r w:rsidRPr="00467DB0">
        <w:t xml:space="preserve"> over </w:t>
      </w:r>
      <w:proofErr w:type="spellStart"/>
      <w:r w:rsidRPr="00467DB0">
        <w:t>polarområderne</w:t>
      </w:r>
      <w:proofErr w:type="spellEnd"/>
      <w:r w:rsidRPr="00467DB0">
        <w:t xml:space="preserve">, og man bør støtte sikring </w:t>
      </w:r>
      <w:proofErr w:type="spellStart"/>
      <w:r w:rsidRPr="00467DB0">
        <w:t>af</w:t>
      </w:r>
      <w:proofErr w:type="spellEnd"/>
      <w:r w:rsidRPr="00467DB0">
        <w:t xml:space="preserve"> overholdelse </w:t>
      </w:r>
      <w:proofErr w:type="spellStart"/>
      <w:r w:rsidRPr="00467DB0">
        <w:t>af</w:t>
      </w:r>
      <w:proofErr w:type="spellEnd"/>
      <w:r w:rsidRPr="00467DB0">
        <w:t xml:space="preserve"> miljøbestemmelser, lovbestemt </w:t>
      </w:r>
      <w:proofErr w:type="spellStart"/>
      <w:r w:rsidRPr="00467DB0">
        <w:t>miljøovervågning</w:t>
      </w:r>
      <w:proofErr w:type="spellEnd"/>
      <w:r w:rsidRPr="00467DB0">
        <w:t xml:space="preserve"> og -rapportering og innovative </w:t>
      </w:r>
      <w:proofErr w:type="spellStart"/>
      <w:r w:rsidRPr="00467DB0">
        <w:t>miljøapplikationer</w:t>
      </w:r>
      <w:proofErr w:type="spellEnd"/>
      <w:r w:rsidRPr="00467DB0">
        <w:t xml:space="preserve"> </w:t>
      </w:r>
      <w:proofErr w:type="spellStart"/>
      <w:r w:rsidRPr="00467DB0">
        <w:t>inden</w:t>
      </w:r>
      <w:proofErr w:type="spellEnd"/>
      <w:r w:rsidRPr="00467DB0">
        <w:t xml:space="preserve"> for </w:t>
      </w:r>
      <w:proofErr w:type="spellStart"/>
      <w:r w:rsidRPr="00467DB0">
        <w:t>landbrug</w:t>
      </w:r>
      <w:proofErr w:type="spellEnd"/>
      <w:r w:rsidRPr="00467DB0">
        <w:t xml:space="preserve"> og </w:t>
      </w:r>
      <w:proofErr w:type="spellStart"/>
      <w:r w:rsidRPr="00467DB0">
        <w:t>skovbrug</w:t>
      </w:r>
      <w:proofErr w:type="spellEnd"/>
      <w:r w:rsidRPr="00467DB0">
        <w:t xml:space="preserve"> og i forbindelse med forvaltning </w:t>
      </w:r>
      <w:proofErr w:type="spellStart"/>
      <w:r w:rsidRPr="00467DB0">
        <w:t>af</w:t>
      </w:r>
      <w:proofErr w:type="spellEnd"/>
      <w:r w:rsidRPr="00467DB0">
        <w:t xml:space="preserve"> </w:t>
      </w:r>
      <w:proofErr w:type="spellStart"/>
      <w:r w:rsidRPr="00467DB0">
        <w:t>van</w:t>
      </w:r>
      <w:r w:rsidRPr="00467DB0">
        <w:t>dressourcer</w:t>
      </w:r>
      <w:proofErr w:type="spellEnd"/>
      <w:r w:rsidRPr="00467DB0">
        <w:t xml:space="preserve"> og marine </w:t>
      </w:r>
      <w:proofErr w:type="spellStart"/>
      <w:r w:rsidRPr="00467DB0">
        <w:t>ressourcer</w:t>
      </w:r>
      <w:proofErr w:type="spellEnd"/>
      <w:r w:rsidRPr="00467DB0">
        <w:t xml:space="preserve"> samt kulturarv, såsom til </w:t>
      </w:r>
      <w:proofErr w:type="spellStart"/>
      <w:r w:rsidRPr="00467DB0">
        <w:t>afgrødeovervågning</w:t>
      </w:r>
      <w:proofErr w:type="spellEnd"/>
      <w:r w:rsidRPr="00467DB0">
        <w:t xml:space="preserve">, </w:t>
      </w:r>
      <w:proofErr w:type="spellStart"/>
      <w:r w:rsidRPr="00467DB0">
        <w:t>vandforvaltning</w:t>
      </w:r>
      <w:proofErr w:type="spellEnd"/>
      <w:r w:rsidRPr="00467DB0">
        <w:t xml:space="preserve"> og forbedret </w:t>
      </w:r>
      <w:proofErr w:type="spellStart"/>
      <w:r w:rsidRPr="00467DB0">
        <w:t>brandovervågning</w:t>
      </w:r>
      <w:proofErr w:type="spellEnd"/>
      <w:r w:rsidRPr="00467DB0">
        <w:t xml:space="preserve">. I den forbindelse bør Copernicus mobilisere og drage størst mulig fordel </w:t>
      </w:r>
      <w:proofErr w:type="spellStart"/>
      <w:r w:rsidRPr="00467DB0">
        <w:t>af</w:t>
      </w:r>
      <w:proofErr w:type="spellEnd"/>
      <w:r w:rsidRPr="00467DB0">
        <w:t xml:space="preserve"> de investeringer, der er </w:t>
      </w:r>
      <w:proofErr w:type="spellStart"/>
      <w:r w:rsidRPr="00467DB0">
        <w:t>foretaget</w:t>
      </w:r>
      <w:proofErr w:type="spellEnd"/>
      <w:r w:rsidRPr="00467DB0">
        <w:t xml:space="preserve"> i </w:t>
      </w:r>
      <w:proofErr w:type="spellStart"/>
      <w:r w:rsidRPr="00467DB0">
        <w:t>løbet</w:t>
      </w:r>
      <w:proofErr w:type="spellEnd"/>
      <w:r w:rsidRPr="00467DB0">
        <w:t xml:space="preserve"> </w:t>
      </w:r>
      <w:proofErr w:type="spellStart"/>
      <w:r w:rsidRPr="00467DB0">
        <w:t>af</w:t>
      </w:r>
      <w:proofErr w:type="spellEnd"/>
      <w:r w:rsidRPr="00467DB0">
        <w:t xml:space="preserve"> den fore</w:t>
      </w:r>
      <w:r w:rsidRPr="00467DB0">
        <w:t xml:space="preserve">gående finansieringsperiode (2014-2020), herunder de investeringer, som </w:t>
      </w:r>
      <w:proofErr w:type="spellStart"/>
      <w:r w:rsidRPr="00467DB0">
        <w:t>medlemsstaterne</w:t>
      </w:r>
      <w:proofErr w:type="spellEnd"/>
      <w:r w:rsidRPr="00467DB0">
        <w:t xml:space="preserve">, ESA og EUMETSAT har </w:t>
      </w:r>
      <w:proofErr w:type="spellStart"/>
      <w:r w:rsidRPr="00467DB0">
        <w:t>foretaget</w:t>
      </w:r>
      <w:proofErr w:type="spellEnd"/>
      <w:r w:rsidRPr="00467DB0">
        <w:t xml:space="preserve">, og samtidig </w:t>
      </w:r>
      <w:proofErr w:type="spellStart"/>
      <w:r w:rsidRPr="00467DB0">
        <w:t>udforske</w:t>
      </w:r>
      <w:proofErr w:type="spellEnd"/>
      <w:r w:rsidRPr="00467DB0">
        <w:t xml:space="preserve"> nye </w:t>
      </w:r>
      <w:proofErr w:type="spellStart"/>
      <w:r w:rsidRPr="00467DB0">
        <w:t>operationelle</w:t>
      </w:r>
      <w:proofErr w:type="spellEnd"/>
      <w:r w:rsidRPr="00467DB0">
        <w:t xml:space="preserve"> og </w:t>
      </w:r>
      <w:proofErr w:type="spellStart"/>
      <w:r w:rsidRPr="00467DB0">
        <w:t>forretningsmæssige</w:t>
      </w:r>
      <w:proofErr w:type="spellEnd"/>
      <w:r w:rsidRPr="00467DB0">
        <w:t xml:space="preserve"> modeller, som kan supplere </w:t>
      </w:r>
      <w:proofErr w:type="spellStart"/>
      <w:r w:rsidRPr="00467DB0">
        <w:t>Copernicuskapaciteterne</w:t>
      </w:r>
      <w:proofErr w:type="spellEnd"/>
      <w:r w:rsidRPr="00467DB0">
        <w:t xml:space="preserve"> </w:t>
      </w:r>
      <w:proofErr w:type="spellStart"/>
      <w:r w:rsidRPr="00467DB0">
        <w:t>yderligere</w:t>
      </w:r>
      <w:proofErr w:type="spellEnd"/>
      <w:r w:rsidRPr="00467DB0">
        <w:t>. Copernicus k</w:t>
      </w:r>
      <w:r w:rsidRPr="00467DB0">
        <w:t xml:space="preserve">an også bygge videre på vellykkede </w:t>
      </w:r>
      <w:proofErr w:type="spellStart"/>
      <w:r w:rsidRPr="00467DB0">
        <w:t>partnerskaber</w:t>
      </w:r>
      <w:proofErr w:type="spellEnd"/>
      <w:r w:rsidRPr="00467DB0">
        <w:t xml:space="preserve"> med </w:t>
      </w:r>
      <w:proofErr w:type="spellStart"/>
      <w:r w:rsidRPr="00467DB0">
        <w:t>medlemsstaterne</w:t>
      </w:r>
      <w:proofErr w:type="spellEnd"/>
      <w:r w:rsidRPr="00467DB0">
        <w:t xml:space="preserve"> med </w:t>
      </w:r>
      <w:proofErr w:type="spellStart"/>
      <w:r w:rsidRPr="00467DB0">
        <w:t>henblik</w:t>
      </w:r>
      <w:proofErr w:type="spellEnd"/>
      <w:r w:rsidRPr="00467DB0">
        <w:t xml:space="preserve"> på at </w:t>
      </w:r>
      <w:proofErr w:type="spellStart"/>
      <w:r w:rsidRPr="00467DB0">
        <w:t>videreudvikle</w:t>
      </w:r>
      <w:proofErr w:type="spellEnd"/>
      <w:r w:rsidRPr="00467DB0">
        <w:t xml:space="preserve"> sin </w:t>
      </w:r>
      <w:proofErr w:type="spellStart"/>
      <w:r w:rsidRPr="00467DB0">
        <w:t>sikkerhedsdimension</w:t>
      </w:r>
      <w:proofErr w:type="spellEnd"/>
      <w:r w:rsidRPr="00467DB0">
        <w:t xml:space="preserve"> under passende styringsforanstaltninger for at </w:t>
      </w:r>
      <w:proofErr w:type="spellStart"/>
      <w:r w:rsidRPr="00467DB0">
        <w:t>imødekomme</w:t>
      </w:r>
      <w:proofErr w:type="spellEnd"/>
      <w:r w:rsidRPr="00467DB0">
        <w:t xml:space="preserve"> </w:t>
      </w:r>
      <w:proofErr w:type="spellStart"/>
      <w:r w:rsidRPr="00467DB0">
        <w:t>udviklingen</w:t>
      </w:r>
      <w:proofErr w:type="spellEnd"/>
      <w:r w:rsidRPr="00467DB0">
        <w:t xml:space="preserve"> i </w:t>
      </w:r>
      <w:proofErr w:type="spellStart"/>
      <w:r w:rsidRPr="00467DB0">
        <w:t>brugerbehovene</w:t>
      </w:r>
      <w:proofErr w:type="spellEnd"/>
      <w:r w:rsidRPr="00467DB0">
        <w:t xml:space="preserve"> på </w:t>
      </w:r>
      <w:proofErr w:type="spellStart"/>
      <w:r w:rsidRPr="00467DB0">
        <w:t>sikkerhedsområdet</w:t>
      </w:r>
      <w:proofErr w:type="spellEnd"/>
      <w:r w:rsidRPr="00467DB0">
        <w:t>.</w:t>
      </w:r>
    </w:p>
    <w:p w14:paraId="2CF180D0" w14:textId="77777777" w:rsidR="00000000" w:rsidRPr="00467DB0" w:rsidRDefault="00693D67" w:rsidP="00467DB0">
      <w:pPr>
        <w:pStyle w:val="friliste"/>
      </w:pPr>
      <w:r w:rsidRPr="00467DB0">
        <w:t>(78)</w:t>
      </w:r>
      <w:r w:rsidRPr="00467DB0">
        <w:tab/>
        <w:t xml:space="preserve">Som en del </w:t>
      </w:r>
      <w:proofErr w:type="spellStart"/>
      <w:r w:rsidRPr="00467DB0">
        <w:t>af</w:t>
      </w:r>
      <w:proofErr w:type="spellEnd"/>
      <w:r w:rsidRPr="00467DB0">
        <w:t xml:space="preserve"> dat</w:t>
      </w:r>
      <w:r w:rsidRPr="00467DB0">
        <w:t xml:space="preserve">a- og </w:t>
      </w:r>
      <w:proofErr w:type="spellStart"/>
      <w:r w:rsidRPr="00467DB0">
        <w:t>informationsbehandlingsfunktionen</w:t>
      </w:r>
      <w:proofErr w:type="spellEnd"/>
      <w:r w:rsidRPr="00467DB0">
        <w:t xml:space="preserve"> bør Copernicus sikre </w:t>
      </w:r>
      <w:proofErr w:type="spellStart"/>
      <w:r w:rsidRPr="00467DB0">
        <w:t>langsigtet</w:t>
      </w:r>
      <w:proofErr w:type="spellEnd"/>
      <w:r w:rsidRPr="00467DB0">
        <w:t xml:space="preserve"> </w:t>
      </w:r>
      <w:proofErr w:type="spellStart"/>
      <w:r w:rsidRPr="00467DB0">
        <w:t>bæredygtighed</w:t>
      </w:r>
      <w:proofErr w:type="spellEnd"/>
      <w:r w:rsidRPr="00467DB0">
        <w:t xml:space="preserve"> og </w:t>
      </w:r>
      <w:proofErr w:type="spellStart"/>
      <w:r w:rsidRPr="00467DB0">
        <w:t>yderligere</w:t>
      </w:r>
      <w:proofErr w:type="spellEnd"/>
      <w:r w:rsidRPr="00467DB0">
        <w:t xml:space="preserve">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Copernicustjenester</w:t>
      </w:r>
      <w:proofErr w:type="spellEnd"/>
      <w:r w:rsidRPr="00467DB0">
        <w:t xml:space="preserve">, formidle </w:t>
      </w:r>
      <w:proofErr w:type="spellStart"/>
      <w:r w:rsidRPr="00467DB0">
        <w:t>information</w:t>
      </w:r>
      <w:proofErr w:type="spellEnd"/>
      <w:r w:rsidRPr="00467DB0">
        <w:t xml:space="preserve"> for at </w:t>
      </w:r>
      <w:proofErr w:type="spellStart"/>
      <w:r w:rsidRPr="00467DB0">
        <w:t>opfylde</w:t>
      </w:r>
      <w:proofErr w:type="spellEnd"/>
      <w:r w:rsidRPr="00467DB0">
        <w:t xml:space="preserve"> den offentlige sektors behov og Unionens </w:t>
      </w:r>
      <w:proofErr w:type="spellStart"/>
      <w:r w:rsidRPr="00467DB0">
        <w:t>internationale</w:t>
      </w:r>
      <w:proofErr w:type="spellEnd"/>
      <w:r w:rsidRPr="00467DB0">
        <w:t xml:space="preserve"> </w:t>
      </w:r>
      <w:proofErr w:type="spellStart"/>
      <w:r w:rsidRPr="00467DB0">
        <w:t>forpligtelser</w:t>
      </w:r>
      <w:proofErr w:type="spellEnd"/>
      <w:r w:rsidRPr="00467DB0">
        <w:t xml:space="preserve"> og optimere </w:t>
      </w:r>
      <w:proofErr w:type="spellStart"/>
      <w:r w:rsidRPr="00467DB0">
        <w:t>muli</w:t>
      </w:r>
      <w:r w:rsidRPr="00467DB0">
        <w:t>ghederne</w:t>
      </w:r>
      <w:proofErr w:type="spellEnd"/>
      <w:r w:rsidRPr="00467DB0">
        <w:t xml:space="preserve"> for </w:t>
      </w:r>
      <w:proofErr w:type="spellStart"/>
      <w:r w:rsidRPr="00467DB0">
        <w:t>kommerciel</w:t>
      </w:r>
      <w:proofErr w:type="spellEnd"/>
      <w:r w:rsidRPr="00467DB0">
        <w:t xml:space="preserve"> </w:t>
      </w:r>
      <w:proofErr w:type="spellStart"/>
      <w:r w:rsidRPr="00467DB0">
        <w:t>udnyttelse</w:t>
      </w:r>
      <w:proofErr w:type="spellEnd"/>
      <w:r w:rsidRPr="00467DB0">
        <w:t xml:space="preserve">. Copernicus bør navnlig på </w:t>
      </w:r>
      <w:proofErr w:type="spellStart"/>
      <w:r w:rsidRPr="00467DB0">
        <w:t>europæisk</w:t>
      </w:r>
      <w:proofErr w:type="spellEnd"/>
      <w:r w:rsidRPr="00467DB0">
        <w:t xml:space="preserve">, </w:t>
      </w:r>
      <w:proofErr w:type="spellStart"/>
      <w:r w:rsidRPr="00467DB0">
        <w:t>nationalt</w:t>
      </w:r>
      <w:proofErr w:type="spellEnd"/>
      <w:r w:rsidRPr="00467DB0">
        <w:t xml:space="preserve">, lokalt og globalt </w:t>
      </w:r>
      <w:proofErr w:type="spellStart"/>
      <w:r w:rsidRPr="00467DB0">
        <w:t>niveau</w:t>
      </w:r>
      <w:proofErr w:type="spellEnd"/>
      <w:r w:rsidRPr="00467DB0">
        <w:t xml:space="preserve"> levere </w:t>
      </w:r>
      <w:proofErr w:type="spellStart"/>
      <w:r w:rsidRPr="00467DB0">
        <w:t>informationer</w:t>
      </w:r>
      <w:proofErr w:type="spellEnd"/>
      <w:r w:rsidRPr="00467DB0">
        <w:t xml:space="preserve"> om </w:t>
      </w:r>
      <w:proofErr w:type="spellStart"/>
      <w:r w:rsidRPr="00467DB0">
        <w:t>sammensætningen</w:t>
      </w:r>
      <w:proofErr w:type="spellEnd"/>
      <w:r w:rsidRPr="00467DB0">
        <w:t xml:space="preserve"> </w:t>
      </w:r>
      <w:proofErr w:type="spellStart"/>
      <w:r w:rsidRPr="00467DB0">
        <w:t>af</w:t>
      </w:r>
      <w:proofErr w:type="spellEnd"/>
      <w:r w:rsidRPr="00467DB0">
        <w:t xml:space="preserve"> atmosfæren og luftkvaliteten, </w:t>
      </w:r>
      <w:proofErr w:type="spellStart"/>
      <w:r w:rsidRPr="00467DB0">
        <w:t>informationer</w:t>
      </w:r>
      <w:proofErr w:type="spellEnd"/>
      <w:r w:rsidRPr="00467DB0">
        <w:t xml:space="preserve"> om </w:t>
      </w:r>
      <w:proofErr w:type="spellStart"/>
      <w:r w:rsidRPr="00467DB0">
        <w:t>oceanernes</w:t>
      </w:r>
      <w:proofErr w:type="spellEnd"/>
      <w:r w:rsidRPr="00467DB0">
        <w:t xml:space="preserve"> tilstand og </w:t>
      </w:r>
      <w:proofErr w:type="spellStart"/>
      <w:r w:rsidRPr="00467DB0">
        <w:t>dynamik</w:t>
      </w:r>
      <w:proofErr w:type="spellEnd"/>
      <w:r w:rsidRPr="00467DB0">
        <w:t xml:space="preserve">, </w:t>
      </w:r>
      <w:proofErr w:type="spellStart"/>
      <w:r w:rsidRPr="00467DB0">
        <w:t>informationer</w:t>
      </w:r>
      <w:proofErr w:type="spellEnd"/>
      <w:r w:rsidRPr="00467DB0">
        <w:t xml:space="preserve"> til støtte </w:t>
      </w:r>
      <w:r w:rsidRPr="00467DB0">
        <w:t xml:space="preserve">for land- og </w:t>
      </w:r>
      <w:proofErr w:type="spellStart"/>
      <w:r w:rsidRPr="00467DB0">
        <w:t>havisovervågning</w:t>
      </w:r>
      <w:proofErr w:type="spellEnd"/>
      <w:r w:rsidRPr="00467DB0">
        <w:t xml:space="preserve"> for at støtte </w:t>
      </w:r>
      <w:proofErr w:type="spellStart"/>
      <w:r w:rsidRPr="00467DB0">
        <w:t>gennemførelsen</w:t>
      </w:r>
      <w:proofErr w:type="spellEnd"/>
      <w:r w:rsidRPr="00467DB0">
        <w:t xml:space="preserve"> </w:t>
      </w:r>
      <w:proofErr w:type="spellStart"/>
      <w:r w:rsidRPr="00467DB0">
        <w:t>af</w:t>
      </w:r>
      <w:proofErr w:type="spellEnd"/>
      <w:r w:rsidRPr="00467DB0">
        <w:t xml:space="preserve"> EU-politikker samt </w:t>
      </w:r>
      <w:proofErr w:type="spellStart"/>
      <w:r w:rsidRPr="00467DB0">
        <w:t>nationale</w:t>
      </w:r>
      <w:proofErr w:type="spellEnd"/>
      <w:r w:rsidRPr="00467DB0">
        <w:t xml:space="preserve"> og lokale politikker, </w:t>
      </w:r>
      <w:proofErr w:type="spellStart"/>
      <w:r w:rsidRPr="00467DB0">
        <w:t>informationer</w:t>
      </w:r>
      <w:proofErr w:type="spellEnd"/>
      <w:r w:rsidRPr="00467DB0">
        <w:t xml:space="preserve"> til støtte for </w:t>
      </w:r>
      <w:proofErr w:type="spellStart"/>
      <w:r w:rsidRPr="00467DB0">
        <w:t>modvirkning</w:t>
      </w:r>
      <w:proofErr w:type="spellEnd"/>
      <w:r w:rsidRPr="00467DB0">
        <w:t xml:space="preserve"> </w:t>
      </w:r>
      <w:proofErr w:type="spellStart"/>
      <w:r w:rsidRPr="00467DB0">
        <w:t>af</w:t>
      </w:r>
      <w:proofErr w:type="spellEnd"/>
      <w:r w:rsidRPr="00467DB0">
        <w:t xml:space="preserve"> og tilpasning til </w:t>
      </w:r>
      <w:proofErr w:type="spellStart"/>
      <w:r w:rsidRPr="00467DB0">
        <w:t>klimaændringer</w:t>
      </w:r>
      <w:proofErr w:type="spellEnd"/>
      <w:r w:rsidRPr="00467DB0">
        <w:t xml:space="preserve">, geospatiale </w:t>
      </w:r>
      <w:proofErr w:type="spellStart"/>
      <w:r w:rsidRPr="00467DB0">
        <w:t>informationer</w:t>
      </w:r>
      <w:proofErr w:type="spellEnd"/>
      <w:r w:rsidRPr="00467DB0">
        <w:t xml:space="preserve"> til støtte for </w:t>
      </w:r>
      <w:proofErr w:type="spellStart"/>
      <w:r w:rsidRPr="00467DB0">
        <w:t>beredskabsstyring</w:t>
      </w:r>
      <w:proofErr w:type="spellEnd"/>
      <w:r w:rsidRPr="00467DB0">
        <w:t>, herun</w:t>
      </w:r>
      <w:r w:rsidRPr="00467DB0">
        <w:t xml:space="preserve">der </w:t>
      </w:r>
      <w:proofErr w:type="spellStart"/>
      <w:r w:rsidRPr="00467DB0">
        <w:t>gennem</w:t>
      </w:r>
      <w:proofErr w:type="spellEnd"/>
      <w:r w:rsidRPr="00467DB0">
        <w:t xml:space="preserve"> forebyggende aktiviteter, sikring </w:t>
      </w:r>
      <w:proofErr w:type="spellStart"/>
      <w:r w:rsidRPr="00467DB0">
        <w:t>af</w:t>
      </w:r>
      <w:proofErr w:type="spellEnd"/>
      <w:r w:rsidRPr="00467DB0">
        <w:t xml:space="preserve"> overholdelse </w:t>
      </w:r>
      <w:proofErr w:type="spellStart"/>
      <w:r w:rsidRPr="00467DB0">
        <w:t>af</w:t>
      </w:r>
      <w:proofErr w:type="spellEnd"/>
      <w:r w:rsidRPr="00467DB0">
        <w:t xml:space="preserve"> </w:t>
      </w:r>
      <w:proofErr w:type="spellStart"/>
      <w:r w:rsidRPr="00467DB0">
        <w:t>miljøbestemmelserne</w:t>
      </w:r>
      <w:proofErr w:type="spellEnd"/>
      <w:r w:rsidRPr="00467DB0">
        <w:t xml:space="preserve"> samt </w:t>
      </w:r>
      <w:proofErr w:type="spellStart"/>
      <w:r w:rsidRPr="00467DB0">
        <w:t>civilsikkerhed</w:t>
      </w:r>
      <w:proofErr w:type="spellEnd"/>
      <w:r w:rsidRPr="00467DB0">
        <w:t xml:space="preserve">, herunder støtte til Unionens </w:t>
      </w:r>
      <w:proofErr w:type="spellStart"/>
      <w:r w:rsidRPr="00467DB0">
        <w:t>optræden</w:t>
      </w:r>
      <w:proofErr w:type="spellEnd"/>
      <w:r w:rsidRPr="00467DB0">
        <w:t xml:space="preserve"> </w:t>
      </w:r>
      <w:proofErr w:type="spellStart"/>
      <w:r w:rsidRPr="00467DB0">
        <w:t>udadtil</w:t>
      </w:r>
      <w:proofErr w:type="spellEnd"/>
      <w:r w:rsidRPr="00467DB0">
        <w:t xml:space="preserve">. </w:t>
      </w:r>
      <w:proofErr w:type="spellStart"/>
      <w:r w:rsidRPr="00467DB0">
        <w:t>Kommissionen</w:t>
      </w:r>
      <w:proofErr w:type="spellEnd"/>
      <w:r w:rsidRPr="00467DB0">
        <w:t xml:space="preserve"> bør </w:t>
      </w:r>
      <w:proofErr w:type="spellStart"/>
      <w:r w:rsidRPr="00467DB0">
        <w:t>fastlægge</w:t>
      </w:r>
      <w:proofErr w:type="spellEnd"/>
      <w:r w:rsidRPr="00467DB0">
        <w:t xml:space="preserve"> passende </w:t>
      </w:r>
      <w:proofErr w:type="spellStart"/>
      <w:r w:rsidRPr="00467DB0">
        <w:t>aftalemæssige</w:t>
      </w:r>
      <w:proofErr w:type="spellEnd"/>
      <w:r w:rsidRPr="00467DB0">
        <w:t xml:space="preserve"> arrangementer, der fremmer </w:t>
      </w:r>
      <w:proofErr w:type="spellStart"/>
      <w:r w:rsidRPr="00467DB0">
        <w:t>bæredygtig</w:t>
      </w:r>
      <w:proofErr w:type="spellEnd"/>
      <w:r w:rsidRPr="00467DB0">
        <w:t xml:space="preserve"> levering </w:t>
      </w:r>
      <w:proofErr w:type="spellStart"/>
      <w:r w:rsidRPr="00467DB0">
        <w:t>af</w:t>
      </w:r>
      <w:proofErr w:type="spellEnd"/>
      <w:r w:rsidRPr="00467DB0">
        <w:t xml:space="preserve"> tjen</w:t>
      </w:r>
      <w:r w:rsidRPr="00467DB0">
        <w:t>ester.</w:t>
      </w:r>
    </w:p>
    <w:p w14:paraId="47E7857A" w14:textId="77777777" w:rsidR="00000000" w:rsidRPr="00467DB0" w:rsidRDefault="00693D67" w:rsidP="00467DB0">
      <w:pPr>
        <w:pStyle w:val="friliste"/>
      </w:pPr>
      <w:r w:rsidRPr="00467DB0">
        <w:t>(79)</w:t>
      </w:r>
      <w:r w:rsidRPr="00467DB0">
        <w:tab/>
        <w:t xml:space="preserve">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Copernicustjenesterne</w:t>
      </w:r>
      <w:proofErr w:type="spellEnd"/>
      <w:r w:rsidRPr="00467DB0">
        <w:t xml:space="preserve"> bør </w:t>
      </w:r>
      <w:proofErr w:type="spellStart"/>
      <w:r w:rsidRPr="00467DB0">
        <w:t>Kommissionen</w:t>
      </w:r>
      <w:proofErr w:type="spellEnd"/>
      <w:r w:rsidRPr="00467DB0">
        <w:t xml:space="preserve"> drage nytte </w:t>
      </w:r>
      <w:proofErr w:type="spellStart"/>
      <w:r w:rsidRPr="00467DB0">
        <w:t>af</w:t>
      </w:r>
      <w:proofErr w:type="spellEnd"/>
      <w:r w:rsidRPr="00467DB0">
        <w:t xml:space="preserve"> kompetente </w:t>
      </w:r>
      <w:proofErr w:type="spellStart"/>
      <w:r w:rsidRPr="00467DB0">
        <w:t>enheder</w:t>
      </w:r>
      <w:proofErr w:type="spellEnd"/>
      <w:r w:rsidRPr="00467DB0">
        <w:t xml:space="preserve">, relevante EU-agenturer, grupperinger eller konsortier </w:t>
      </w:r>
      <w:proofErr w:type="spellStart"/>
      <w:r w:rsidRPr="00467DB0">
        <w:t>af</w:t>
      </w:r>
      <w:proofErr w:type="spellEnd"/>
      <w:r w:rsidRPr="00467DB0">
        <w:t xml:space="preserve"> </w:t>
      </w:r>
      <w:proofErr w:type="spellStart"/>
      <w:r w:rsidRPr="00467DB0">
        <w:t>nationale</w:t>
      </w:r>
      <w:proofErr w:type="spellEnd"/>
      <w:r w:rsidRPr="00467DB0">
        <w:t xml:space="preserve"> organer eller ethvert andet relevant organ, der kunne være berettig</w:t>
      </w:r>
      <w:r w:rsidRPr="00467DB0">
        <w:t xml:space="preserve">et til at </w:t>
      </w:r>
      <w:proofErr w:type="spellStart"/>
      <w:r w:rsidRPr="00467DB0">
        <w:t>indgå</w:t>
      </w:r>
      <w:proofErr w:type="spellEnd"/>
      <w:r w:rsidRPr="00467DB0">
        <w:t xml:space="preserve"> en </w:t>
      </w:r>
      <w:proofErr w:type="spellStart"/>
      <w:r w:rsidRPr="00467DB0">
        <w:t>bidragsaftale</w:t>
      </w:r>
      <w:proofErr w:type="spellEnd"/>
      <w:r w:rsidRPr="00467DB0">
        <w:t xml:space="preserve">. Ved </w:t>
      </w:r>
      <w:proofErr w:type="spellStart"/>
      <w:r w:rsidRPr="00467DB0">
        <w:t>udvælgelsen</w:t>
      </w:r>
      <w:proofErr w:type="spellEnd"/>
      <w:r w:rsidRPr="00467DB0">
        <w:t xml:space="preserve"> </w:t>
      </w:r>
      <w:proofErr w:type="spellStart"/>
      <w:r w:rsidRPr="00467DB0">
        <w:t>af</w:t>
      </w:r>
      <w:proofErr w:type="spellEnd"/>
      <w:r w:rsidRPr="00467DB0">
        <w:t xml:space="preserve"> disse </w:t>
      </w:r>
      <w:proofErr w:type="spellStart"/>
      <w:r w:rsidRPr="00467DB0">
        <w:t>enheder</w:t>
      </w:r>
      <w:proofErr w:type="spellEnd"/>
      <w:r w:rsidRPr="00467DB0">
        <w:t xml:space="preserve"> bør </w:t>
      </w:r>
      <w:proofErr w:type="spellStart"/>
      <w:r w:rsidRPr="00467DB0">
        <w:t>Kommissionen</w:t>
      </w:r>
      <w:proofErr w:type="spellEnd"/>
      <w:r w:rsidRPr="00467DB0">
        <w:t xml:space="preserve"> sikre, at der ikke er nogen forstyrrelser i </w:t>
      </w:r>
      <w:proofErr w:type="spellStart"/>
      <w:r w:rsidRPr="00467DB0">
        <w:t>operationerne</w:t>
      </w:r>
      <w:proofErr w:type="spellEnd"/>
      <w:r w:rsidRPr="00467DB0">
        <w:t xml:space="preserve"> og leveringen </w:t>
      </w:r>
      <w:proofErr w:type="spellStart"/>
      <w:r w:rsidRPr="00467DB0">
        <w:t>af</w:t>
      </w:r>
      <w:proofErr w:type="spellEnd"/>
      <w:r w:rsidRPr="00467DB0">
        <w:t xml:space="preserve"> tjenester, og at de </w:t>
      </w:r>
      <w:proofErr w:type="spellStart"/>
      <w:r w:rsidRPr="00467DB0">
        <w:t>pågældende</w:t>
      </w:r>
      <w:proofErr w:type="spellEnd"/>
      <w:r w:rsidRPr="00467DB0">
        <w:t xml:space="preserve"> </w:t>
      </w:r>
      <w:proofErr w:type="spellStart"/>
      <w:r w:rsidRPr="00467DB0">
        <w:t>enheder</w:t>
      </w:r>
      <w:proofErr w:type="spellEnd"/>
      <w:r w:rsidRPr="00467DB0">
        <w:t xml:space="preserve"> for så vidt angår </w:t>
      </w:r>
      <w:proofErr w:type="spellStart"/>
      <w:r w:rsidRPr="00467DB0">
        <w:t>sikkerhedsfølsomme</w:t>
      </w:r>
      <w:proofErr w:type="spellEnd"/>
      <w:r w:rsidRPr="00467DB0">
        <w:t xml:space="preserve"> data har </w:t>
      </w:r>
      <w:proofErr w:type="spellStart"/>
      <w:r w:rsidRPr="00467DB0">
        <w:t>kapacitet</w:t>
      </w:r>
      <w:proofErr w:type="spellEnd"/>
      <w:r w:rsidRPr="00467DB0">
        <w:t xml:space="preserve"> ti</w:t>
      </w:r>
      <w:r w:rsidRPr="00467DB0">
        <w:t xml:space="preserve">l tidlig varsling og </w:t>
      </w:r>
      <w:proofErr w:type="spellStart"/>
      <w:r w:rsidRPr="00467DB0">
        <w:t>kriseovervågning</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den </w:t>
      </w:r>
      <w:proofErr w:type="spellStart"/>
      <w:r w:rsidRPr="00467DB0">
        <w:t>fælles</w:t>
      </w:r>
      <w:proofErr w:type="spellEnd"/>
      <w:r w:rsidRPr="00467DB0">
        <w:t xml:space="preserve"> </w:t>
      </w:r>
      <w:proofErr w:type="spellStart"/>
      <w:r w:rsidRPr="00467DB0">
        <w:t>udenrigs</w:t>
      </w:r>
      <w:proofErr w:type="spellEnd"/>
      <w:r w:rsidRPr="00467DB0">
        <w:t xml:space="preserve">- og </w:t>
      </w:r>
      <w:proofErr w:type="spellStart"/>
      <w:r w:rsidRPr="00467DB0">
        <w:t>sikkerhedspolitik</w:t>
      </w:r>
      <w:proofErr w:type="spellEnd"/>
      <w:r w:rsidRPr="00467DB0">
        <w:t xml:space="preserve"> og navnlig den </w:t>
      </w:r>
      <w:proofErr w:type="spellStart"/>
      <w:r w:rsidRPr="00467DB0">
        <w:t>fælles</w:t>
      </w:r>
      <w:proofErr w:type="spellEnd"/>
      <w:r w:rsidRPr="00467DB0">
        <w:t xml:space="preserve"> </w:t>
      </w:r>
      <w:proofErr w:type="spellStart"/>
      <w:r w:rsidRPr="00467DB0">
        <w:t>sikkerheds</w:t>
      </w:r>
      <w:proofErr w:type="spellEnd"/>
      <w:r w:rsidRPr="00467DB0">
        <w:t xml:space="preserve">- og </w:t>
      </w:r>
      <w:proofErr w:type="spellStart"/>
      <w:r w:rsidRPr="00467DB0">
        <w:t>forsvarspolitik</w:t>
      </w:r>
      <w:proofErr w:type="spellEnd"/>
      <w:r w:rsidRPr="00467DB0">
        <w:t xml:space="preserve">. I overensstemmelse med finansforordningens </w:t>
      </w:r>
      <w:proofErr w:type="spellStart"/>
      <w:r w:rsidRPr="00467DB0">
        <w:t>artikel</w:t>
      </w:r>
      <w:proofErr w:type="spellEnd"/>
      <w:r w:rsidRPr="00467DB0">
        <w:t xml:space="preserve"> 154, stk. 2, er personer og </w:t>
      </w:r>
      <w:proofErr w:type="spellStart"/>
      <w:r w:rsidRPr="00467DB0">
        <w:t>enheder</w:t>
      </w:r>
      <w:proofErr w:type="spellEnd"/>
      <w:r w:rsidRPr="00467DB0">
        <w:t>, der overdrag</w:t>
      </w:r>
      <w:r w:rsidRPr="00467DB0">
        <w:t xml:space="preserve">es ansvaret for </w:t>
      </w:r>
      <w:proofErr w:type="spellStart"/>
      <w:r w:rsidRPr="00467DB0">
        <w:t>gennemførelse</w:t>
      </w:r>
      <w:proofErr w:type="spellEnd"/>
      <w:r w:rsidRPr="00467DB0">
        <w:t xml:space="preserve"> </w:t>
      </w:r>
      <w:proofErr w:type="spellStart"/>
      <w:r w:rsidRPr="00467DB0">
        <w:t>af</w:t>
      </w:r>
      <w:proofErr w:type="spellEnd"/>
      <w:r w:rsidRPr="00467DB0">
        <w:t xml:space="preserve"> EU-midler, </w:t>
      </w:r>
      <w:proofErr w:type="spellStart"/>
      <w:r w:rsidRPr="00467DB0">
        <w:t>forpligtet</w:t>
      </w:r>
      <w:proofErr w:type="spellEnd"/>
      <w:r w:rsidRPr="00467DB0">
        <w:t xml:space="preserve"> til at overholde </w:t>
      </w:r>
      <w:proofErr w:type="spellStart"/>
      <w:r w:rsidRPr="00467DB0">
        <w:t>princippet</w:t>
      </w:r>
      <w:proofErr w:type="spellEnd"/>
      <w:r w:rsidRPr="00467DB0">
        <w:t xml:space="preserve"> om </w:t>
      </w:r>
      <w:proofErr w:type="spellStart"/>
      <w:r w:rsidRPr="00467DB0">
        <w:t>ikkeforskelsbehandling</w:t>
      </w:r>
      <w:proofErr w:type="spellEnd"/>
      <w:r w:rsidRPr="00467DB0">
        <w:t xml:space="preserve"> over for alle medlemsstater. Dette </w:t>
      </w:r>
      <w:proofErr w:type="spellStart"/>
      <w:r w:rsidRPr="00467DB0">
        <w:t>princip</w:t>
      </w:r>
      <w:proofErr w:type="spellEnd"/>
      <w:r w:rsidRPr="00467DB0">
        <w:t xml:space="preserve"> bør sikres </w:t>
      </w:r>
      <w:proofErr w:type="spellStart"/>
      <w:r w:rsidRPr="00467DB0">
        <w:t>gennem</w:t>
      </w:r>
      <w:proofErr w:type="spellEnd"/>
      <w:r w:rsidRPr="00467DB0">
        <w:t xml:space="preserve"> de relevante </w:t>
      </w:r>
      <w:proofErr w:type="spellStart"/>
      <w:r w:rsidRPr="00467DB0">
        <w:t>bidragsaftaler</w:t>
      </w:r>
      <w:proofErr w:type="spellEnd"/>
      <w:r w:rsidRPr="00467DB0">
        <w:t xml:space="preserve"> </w:t>
      </w:r>
      <w:proofErr w:type="gramStart"/>
      <w:r w:rsidRPr="00467DB0">
        <w:t>vedrørende</w:t>
      </w:r>
      <w:proofErr w:type="gramEnd"/>
      <w:r w:rsidRPr="00467DB0">
        <w:t xml:space="preserve"> leveringen </w:t>
      </w:r>
      <w:proofErr w:type="spellStart"/>
      <w:r w:rsidRPr="00467DB0">
        <w:t>af</w:t>
      </w:r>
      <w:proofErr w:type="spellEnd"/>
      <w:r w:rsidRPr="00467DB0">
        <w:t xml:space="preserve"> </w:t>
      </w:r>
      <w:proofErr w:type="spellStart"/>
      <w:r w:rsidRPr="00467DB0">
        <w:t>Copernicustjenesterne</w:t>
      </w:r>
      <w:proofErr w:type="spellEnd"/>
      <w:r w:rsidRPr="00467DB0">
        <w:t>.</w:t>
      </w:r>
    </w:p>
    <w:p w14:paraId="17F871F7" w14:textId="77777777" w:rsidR="00000000" w:rsidRPr="00467DB0" w:rsidRDefault="00693D67" w:rsidP="00467DB0">
      <w:pPr>
        <w:pStyle w:val="friliste"/>
      </w:pPr>
      <w:r w:rsidRPr="00467DB0">
        <w:t>(80)</w:t>
      </w:r>
      <w:r w:rsidRPr="00467DB0">
        <w:tab/>
      </w:r>
      <w:proofErr w:type="spellStart"/>
      <w:r w:rsidRPr="00467DB0">
        <w:t>Genne</w:t>
      </w:r>
      <w:r w:rsidRPr="00467DB0">
        <w:t>mførelsen</w:t>
      </w:r>
      <w:proofErr w:type="spellEnd"/>
      <w:r w:rsidRPr="00467DB0">
        <w:t xml:space="preserve"> </w:t>
      </w:r>
      <w:proofErr w:type="spellStart"/>
      <w:r w:rsidRPr="00467DB0">
        <w:t>af</w:t>
      </w:r>
      <w:proofErr w:type="spellEnd"/>
      <w:r w:rsidRPr="00467DB0">
        <w:t xml:space="preserve"> </w:t>
      </w:r>
      <w:proofErr w:type="spellStart"/>
      <w:r w:rsidRPr="00467DB0">
        <w:t>Copernicustjenesterne</w:t>
      </w:r>
      <w:proofErr w:type="spellEnd"/>
      <w:r w:rsidRPr="00467DB0">
        <w:t xml:space="preserve"> bør fremme </w:t>
      </w:r>
      <w:proofErr w:type="spellStart"/>
      <w:r w:rsidRPr="00467DB0">
        <w:t>offentlighedens</w:t>
      </w:r>
      <w:proofErr w:type="spellEnd"/>
      <w:r w:rsidRPr="00467DB0">
        <w:t xml:space="preserve">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tjenesterne</w:t>
      </w:r>
      <w:proofErr w:type="spellEnd"/>
      <w:r w:rsidRPr="00467DB0">
        <w:t xml:space="preserve">, da </w:t>
      </w:r>
      <w:proofErr w:type="spellStart"/>
      <w:r w:rsidRPr="00467DB0">
        <w:t>brugerne</w:t>
      </w:r>
      <w:proofErr w:type="spellEnd"/>
      <w:r w:rsidRPr="00467DB0">
        <w:t xml:space="preserve"> vil kunne </w:t>
      </w:r>
      <w:proofErr w:type="spellStart"/>
      <w:r w:rsidRPr="00467DB0">
        <w:t>forudse</w:t>
      </w:r>
      <w:proofErr w:type="spellEnd"/>
      <w:r w:rsidRPr="00467DB0">
        <w:t xml:space="preserve"> </w:t>
      </w:r>
      <w:proofErr w:type="spellStart"/>
      <w:r w:rsidRPr="00467DB0">
        <w:t>tjenesternes</w:t>
      </w:r>
      <w:proofErr w:type="spellEnd"/>
      <w:r w:rsidRPr="00467DB0">
        <w:t xml:space="preserve"> </w:t>
      </w:r>
      <w:proofErr w:type="spellStart"/>
      <w:r w:rsidRPr="00467DB0">
        <w:t>tilgængelighed</w:t>
      </w:r>
      <w:proofErr w:type="spellEnd"/>
      <w:r w:rsidRPr="00467DB0">
        <w:t xml:space="preserve"> og </w:t>
      </w:r>
      <w:proofErr w:type="spellStart"/>
      <w:r w:rsidRPr="00467DB0">
        <w:t>udvikling</w:t>
      </w:r>
      <w:proofErr w:type="spellEnd"/>
      <w:r w:rsidRPr="00467DB0">
        <w:t xml:space="preserve">, og </w:t>
      </w:r>
      <w:proofErr w:type="spellStart"/>
      <w:r w:rsidRPr="00467DB0">
        <w:t>samarbejdet</w:t>
      </w:r>
      <w:proofErr w:type="spellEnd"/>
      <w:r w:rsidRPr="00467DB0">
        <w:t xml:space="preserve"> med medlemsstater og andre parter. Til dette formål bør </w:t>
      </w:r>
      <w:proofErr w:type="spellStart"/>
      <w:r w:rsidRPr="00467DB0">
        <w:t>Kommissionen</w:t>
      </w:r>
      <w:proofErr w:type="spellEnd"/>
      <w:r w:rsidRPr="00467DB0">
        <w:t xml:space="preserve"> og de </w:t>
      </w:r>
      <w:proofErr w:type="spellStart"/>
      <w:r w:rsidRPr="00467DB0">
        <w:t>enhed</w:t>
      </w:r>
      <w:r w:rsidRPr="00467DB0">
        <w:t>er</w:t>
      </w:r>
      <w:proofErr w:type="spellEnd"/>
      <w:r w:rsidRPr="00467DB0">
        <w:t xml:space="preserve">, der har </w:t>
      </w:r>
      <w:proofErr w:type="spellStart"/>
      <w:r w:rsidRPr="00467DB0">
        <w:t>fået</w:t>
      </w:r>
      <w:proofErr w:type="spellEnd"/>
      <w:r w:rsidRPr="00467DB0">
        <w:t xml:space="preserve"> overdraget ansvaret for at levere tjenester, </w:t>
      </w:r>
      <w:proofErr w:type="spellStart"/>
      <w:r w:rsidRPr="00467DB0">
        <w:t>arbejde</w:t>
      </w:r>
      <w:proofErr w:type="spellEnd"/>
      <w:r w:rsidRPr="00467DB0">
        <w:t xml:space="preserve"> </w:t>
      </w:r>
      <w:proofErr w:type="spellStart"/>
      <w:r w:rsidRPr="00467DB0">
        <w:t>tæt</w:t>
      </w:r>
      <w:proofErr w:type="spellEnd"/>
      <w:r w:rsidRPr="00467DB0">
        <w:t xml:space="preserve"> sammen med Copernicus' </w:t>
      </w:r>
      <w:proofErr w:type="spellStart"/>
      <w:r w:rsidRPr="00467DB0">
        <w:t>kernebrugersamfund</w:t>
      </w:r>
      <w:proofErr w:type="spellEnd"/>
      <w:r w:rsidRPr="00467DB0">
        <w:t xml:space="preserve"> i hele Europa om at </w:t>
      </w:r>
      <w:proofErr w:type="spellStart"/>
      <w:r w:rsidRPr="00467DB0">
        <w:t>videreudvikle</w:t>
      </w:r>
      <w:proofErr w:type="spellEnd"/>
      <w:r w:rsidRPr="00467DB0">
        <w:t xml:space="preserve"> </w:t>
      </w:r>
      <w:proofErr w:type="spellStart"/>
      <w:r w:rsidRPr="00467DB0">
        <w:t>Copernicustjeneste</w:t>
      </w:r>
      <w:proofErr w:type="spellEnd"/>
      <w:r w:rsidRPr="00467DB0">
        <w:t xml:space="preserve">- og </w:t>
      </w:r>
      <w:proofErr w:type="spellStart"/>
      <w:r w:rsidRPr="00467DB0">
        <w:t>informationsporteføljen</w:t>
      </w:r>
      <w:proofErr w:type="spellEnd"/>
      <w:r w:rsidRPr="00467DB0">
        <w:t xml:space="preserve"> for at sikre, at nye behov i den offentlige sektor og nye p</w:t>
      </w:r>
      <w:r w:rsidRPr="00467DB0">
        <w:t xml:space="preserve">olitiske behov tilgodeses, hvorved </w:t>
      </w:r>
      <w:proofErr w:type="gramStart"/>
      <w:r w:rsidRPr="00467DB0">
        <w:t>anvendelsen</w:t>
      </w:r>
      <w:proofErr w:type="gramEnd"/>
      <w:r w:rsidRPr="00467DB0">
        <w:t xml:space="preserve"> </w:t>
      </w:r>
      <w:proofErr w:type="spellStart"/>
      <w:r w:rsidRPr="00467DB0">
        <w:t>af</w:t>
      </w:r>
      <w:proofErr w:type="spellEnd"/>
      <w:r w:rsidRPr="00467DB0">
        <w:t xml:space="preserve"> </w:t>
      </w:r>
      <w:proofErr w:type="spellStart"/>
      <w:r w:rsidRPr="00467DB0">
        <w:t>jordobservationsdata</w:t>
      </w:r>
      <w:proofErr w:type="spellEnd"/>
      <w:r w:rsidRPr="00467DB0">
        <w:t xml:space="preserve"> kan optimeres. </w:t>
      </w:r>
      <w:proofErr w:type="spellStart"/>
      <w:r w:rsidRPr="00467DB0">
        <w:t>Kommissionen</w:t>
      </w:r>
      <w:proofErr w:type="spellEnd"/>
      <w:r w:rsidRPr="00467DB0">
        <w:t xml:space="preserve"> og </w:t>
      </w:r>
      <w:proofErr w:type="spellStart"/>
      <w:r w:rsidRPr="00467DB0">
        <w:t>medlemssta</w:t>
      </w:r>
      <w:r w:rsidRPr="00467DB0">
        <w:lastRenderedPageBreak/>
        <w:t>terne</w:t>
      </w:r>
      <w:proofErr w:type="spellEnd"/>
      <w:r w:rsidRPr="00467DB0">
        <w:t xml:space="preserve"> bør </w:t>
      </w:r>
      <w:proofErr w:type="spellStart"/>
      <w:r w:rsidRPr="00467DB0">
        <w:t>samarbejde</w:t>
      </w:r>
      <w:proofErr w:type="spellEnd"/>
      <w:r w:rsidRPr="00467DB0">
        <w:t xml:space="preserve"> om at </w:t>
      </w:r>
      <w:proofErr w:type="spellStart"/>
      <w:r w:rsidRPr="00467DB0">
        <w:t>udvikle</w:t>
      </w:r>
      <w:proofErr w:type="spellEnd"/>
      <w:r w:rsidRPr="00467DB0">
        <w:t xml:space="preserve"> in </w:t>
      </w:r>
      <w:proofErr w:type="spellStart"/>
      <w:r w:rsidRPr="00467DB0">
        <w:t>situ</w:t>
      </w:r>
      <w:proofErr w:type="spellEnd"/>
      <w:r w:rsidRPr="00467DB0">
        <w:t xml:space="preserve">-komponenten i Copernicus og fremme </w:t>
      </w:r>
      <w:proofErr w:type="spellStart"/>
      <w:r w:rsidRPr="00467DB0">
        <w:t>sammenlægningen</w:t>
      </w:r>
      <w:proofErr w:type="spellEnd"/>
      <w:r w:rsidRPr="00467DB0">
        <w:t xml:space="preserve"> </w:t>
      </w:r>
      <w:proofErr w:type="spellStart"/>
      <w:r w:rsidRPr="00467DB0">
        <w:t>af</w:t>
      </w:r>
      <w:proofErr w:type="spellEnd"/>
      <w:r w:rsidRPr="00467DB0">
        <w:t xml:space="preserve"> in </w:t>
      </w:r>
      <w:proofErr w:type="spellStart"/>
      <w:r w:rsidRPr="00467DB0">
        <w:t>situ-datasæt</w:t>
      </w:r>
      <w:proofErr w:type="spellEnd"/>
      <w:r w:rsidRPr="00467DB0">
        <w:t xml:space="preserve"> med </w:t>
      </w:r>
      <w:proofErr w:type="spellStart"/>
      <w:r w:rsidRPr="00467DB0">
        <w:t>rumdatasæt</w:t>
      </w:r>
      <w:proofErr w:type="spellEnd"/>
      <w:r w:rsidRPr="00467DB0">
        <w:t xml:space="preserve"> for at </w:t>
      </w:r>
      <w:proofErr w:type="spellStart"/>
      <w:r w:rsidRPr="00467DB0">
        <w:t>opnå</w:t>
      </w:r>
      <w:proofErr w:type="spellEnd"/>
      <w:r w:rsidRPr="00467DB0">
        <w:t xml:space="preserve"> forb</w:t>
      </w:r>
      <w:r w:rsidRPr="00467DB0">
        <w:t xml:space="preserve">edrede </w:t>
      </w:r>
      <w:proofErr w:type="spellStart"/>
      <w:r w:rsidRPr="00467DB0">
        <w:t>Copernicustjenester</w:t>
      </w:r>
      <w:proofErr w:type="spellEnd"/>
      <w:r w:rsidRPr="00467DB0">
        <w:t>.</w:t>
      </w:r>
    </w:p>
    <w:p w14:paraId="3138BFA3" w14:textId="77777777" w:rsidR="00000000" w:rsidRPr="00467DB0" w:rsidRDefault="00693D67" w:rsidP="00467DB0">
      <w:pPr>
        <w:pStyle w:val="friliste"/>
      </w:pPr>
      <w:r w:rsidRPr="00467DB0">
        <w:t>(81)</w:t>
      </w:r>
      <w:r w:rsidRPr="00467DB0">
        <w:tab/>
        <w:t xml:space="preserve">Copernicus' gratis, </w:t>
      </w:r>
      <w:proofErr w:type="spellStart"/>
      <w:r w:rsidRPr="00467DB0">
        <w:t>fuldstændige</w:t>
      </w:r>
      <w:proofErr w:type="spellEnd"/>
      <w:r w:rsidRPr="00467DB0">
        <w:t xml:space="preserve"> og </w:t>
      </w:r>
      <w:proofErr w:type="spellStart"/>
      <w:r w:rsidRPr="00467DB0">
        <w:t>åbne</w:t>
      </w:r>
      <w:proofErr w:type="spellEnd"/>
      <w:r w:rsidRPr="00467DB0">
        <w:t xml:space="preserve"> </w:t>
      </w:r>
      <w:proofErr w:type="spellStart"/>
      <w:r w:rsidRPr="00467DB0">
        <w:t>datapolitik</w:t>
      </w:r>
      <w:proofErr w:type="spellEnd"/>
      <w:r w:rsidRPr="00467DB0">
        <w:t xml:space="preserve"> er </w:t>
      </w:r>
      <w:proofErr w:type="spellStart"/>
      <w:r w:rsidRPr="00467DB0">
        <w:t>blevet</w:t>
      </w:r>
      <w:proofErr w:type="spellEnd"/>
      <w:r w:rsidRPr="00467DB0">
        <w:t xml:space="preserve"> </w:t>
      </w:r>
      <w:proofErr w:type="spellStart"/>
      <w:r w:rsidRPr="00467DB0">
        <w:t>vurderet</w:t>
      </w:r>
      <w:proofErr w:type="spellEnd"/>
      <w:r w:rsidRPr="00467DB0">
        <w:t xml:space="preserve"> som et </w:t>
      </w:r>
      <w:proofErr w:type="spellStart"/>
      <w:r w:rsidRPr="00467DB0">
        <w:t>af</w:t>
      </w:r>
      <w:proofErr w:type="spellEnd"/>
      <w:r w:rsidRPr="00467DB0">
        <w:t xml:space="preserve"> de mest vellykkede elementer 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Copernicus og har spillet en </w:t>
      </w:r>
      <w:proofErr w:type="spellStart"/>
      <w:r w:rsidRPr="00467DB0">
        <w:t>afgørende</w:t>
      </w:r>
      <w:proofErr w:type="spellEnd"/>
      <w:r w:rsidRPr="00467DB0">
        <w:t xml:space="preserve"> rolle i </w:t>
      </w:r>
      <w:proofErr w:type="spellStart"/>
      <w:r w:rsidRPr="00467DB0">
        <w:t>skabelsen</w:t>
      </w:r>
      <w:proofErr w:type="spellEnd"/>
      <w:r w:rsidRPr="00467DB0">
        <w:t xml:space="preserve"> </w:t>
      </w:r>
      <w:proofErr w:type="spellStart"/>
      <w:r w:rsidRPr="00467DB0">
        <w:t>af</w:t>
      </w:r>
      <w:proofErr w:type="spellEnd"/>
      <w:r w:rsidRPr="00467DB0">
        <w:t xml:space="preserve"> en </w:t>
      </w:r>
      <w:proofErr w:type="spellStart"/>
      <w:r w:rsidRPr="00467DB0">
        <w:t>stærk</w:t>
      </w:r>
      <w:proofErr w:type="spellEnd"/>
      <w:r w:rsidRPr="00467DB0">
        <w:t xml:space="preserve"> </w:t>
      </w:r>
      <w:proofErr w:type="spellStart"/>
      <w:r w:rsidRPr="00467DB0">
        <w:t>eftersp</w:t>
      </w:r>
      <w:r w:rsidRPr="00467DB0">
        <w:t>ørgsel</w:t>
      </w:r>
      <w:proofErr w:type="spellEnd"/>
      <w:r w:rsidRPr="00467DB0">
        <w:t xml:space="preserve"> efter de data og </w:t>
      </w:r>
      <w:proofErr w:type="spellStart"/>
      <w:r w:rsidRPr="00467DB0">
        <w:t>oplysninger</w:t>
      </w:r>
      <w:proofErr w:type="spellEnd"/>
      <w:r w:rsidRPr="00467DB0">
        <w:t xml:space="preserve">, som programmet leverer, hvilket har sikret Copernicus en </w:t>
      </w:r>
      <w:proofErr w:type="spellStart"/>
      <w:r w:rsidRPr="00467DB0">
        <w:t>position</w:t>
      </w:r>
      <w:proofErr w:type="spellEnd"/>
      <w:r w:rsidRPr="00467DB0">
        <w:t xml:space="preserve"> som én </w:t>
      </w:r>
      <w:proofErr w:type="spellStart"/>
      <w:proofErr w:type="gramStart"/>
      <w:r w:rsidRPr="00467DB0">
        <w:t>af</w:t>
      </w:r>
      <w:proofErr w:type="spellEnd"/>
      <w:r w:rsidRPr="00467DB0">
        <w:t xml:space="preserve"> verdens</w:t>
      </w:r>
      <w:proofErr w:type="gramEnd"/>
      <w:r w:rsidRPr="00467DB0">
        <w:t xml:space="preserve"> største </w:t>
      </w:r>
      <w:proofErr w:type="spellStart"/>
      <w:r w:rsidRPr="00467DB0">
        <w:t>udbydere</w:t>
      </w:r>
      <w:proofErr w:type="spellEnd"/>
      <w:r w:rsidRPr="00467DB0">
        <w:t xml:space="preserve"> </w:t>
      </w:r>
      <w:proofErr w:type="spellStart"/>
      <w:r w:rsidRPr="00467DB0">
        <w:t>af</w:t>
      </w:r>
      <w:proofErr w:type="spellEnd"/>
      <w:r w:rsidRPr="00467DB0">
        <w:t xml:space="preserve"> </w:t>
      </w:r>
      <w:proofErr w:type="spellStart"/>
      <w:r w:rsidRPr="00467DB0">
        <w:t>jordobservationsdata</w:t>
      </w:r>
      <w:proofErr w:type="spellEnd"/>
      <w:r w:rsidRPr="00467DB0">
        <w:t xml:space="preserve">. Der er et klart behov for at garantere </w:t>
      </w:r>
      <w:proofErr w:type="spellStart"/>
      <w:r w:rsidRPr="00467DB0">
        <w:t>langsigtet</w:t>
      </w:r>
      <w:proofErr w:type="spellEnd"/>
      <w:r w:rsidRPr="00467DB0">
        <w:t xml:space="preserve"> og sikker kontinuitet i den gratis, </w:t>
      </w:r>
      <w:proofErr w:type="spellStart"/>
      <w:r w:rsidRPr="00467DB0">
        <w:t>fuldstæ</w:t>
      </w:r>
      <w:r w:rsidRPr="00467DB0">
        <w:t>ndige</w:t>
      </w:r>
      <w:proofErr w:type="spellEnd"/>
      <w:r w:rsidRPr="00467DB0">
        <w:t xml:space="preserve"> og </w:t>
      </w:r>
      <w:proofErr w:type="spellStart"/>
      <w:r w:rsidRPr="00467DB0">
        <w:t>åbne</w:t>
      </w:r>
      <w:proofErr w:type="spellEnd"/>
      <w:r w:rsidRPr="00467DB0">
        <w:t xml:space="preserve"> levering </w:t>
      </w:r>
      <w:proofErr w:type="spellStart"/>
      <w:r w:rsidRPr="00467DB0">
        <w:t>af</w:t>
      </w:r>
      <w:proofErr w:type="spellEnd"/>
      <w:r w:rsidRPr="00467DB0">
        <w:t xml:space="preserve"> data, og adgangen bør beskyttes med </w:t>
      </w:r>
      <w:proofErr w:type="spellStart"/>
      <w:r w:rsidRPr="00467DB0">
        <w:t>henblik</w:t>
      </w:r>
      <w:proofErr w:type="spellEnd"/>
      <w:r w:rsidRPr="00467DB0">
        <w:t xml:space="preserve"> på at realisere de </w:t>
      </w:r>
      <w:proofErr w:type="spellStart"/>
      <w:r w:rsidRPr="00467DB0">
        <w:t>ambitiøse</w:t>
      </w:r>
      <w:proofErr w:type="spellEnd"/>
      <w:r w:rsidRPr="00467DB0">
        <w:t xml:space="preserve"> mål, der er </w:t>
      </w:r>
      <w:proofErr w:type="spellStart"/>
      <w:r w:rsidRPr="00467DB0">
        <w:t>fastsat</w:t>
      </w:r>
      <w:proofErr w:type="spellEnd"/>
      <w:r w:rsidRPr="00467DB0">
        <w:t xml:space="preserve"> i </w:t>
      </w:r>
      <w:proofErr w:type="spellStart"/>
      <w:r w:rsidRPr="00467DB0">
        <w:t>rumstrategien</w:t>
      </w:r>
      <w:proofErr w:type="spellEnd"/>
      <w:r w:rsidRPr="00467DB0">
        <w:t xml:space="preserve"> for Europa. </w:t>
      </w:r>
      <w:proofErr w:type="spellStart"/>
      <w:r w:rsidRPr="00467DB0">
        <w:t>Copernicusdata</w:t>
      </w:r>
      <w:proofErr w:type="spellEnd"/>
      <w:r w:rsidRPr="00467DB0">
        <w:t xml:space="preserve"> frembringes primært til gavn for </w:t>
      </w:r>
      <w:proofErr w:type="spellStart"/>
      <w:r w:rsidRPr="00467DB0">
        <w:t>europæerne</w:t>
      </w:r>
      <w:proofErr w:type="spellEnd"/>
      <w:r w:rsidRPr="00467DB0">
        <w:t xml:space="preserve">, og ved at </w:t>
      </w:r>
      <w:proofErr w:type="spellStart"/>
      <w:r w:rsidRPr="00467DB0">
        <w:t>gøre</w:t>
      </w:r>
      <w:proofErr w:type="spellEnd"/>
      <w:r w:rsidRPr="00467DB0">
        <w:t xml:space="preserve"> disse data </w:t>
      </w:r>
      <w:proofErr w:type="spellStart"/>
      <w:r w:rsidRPr="00467DB0">
        <w:t>frit</w:t>
      </w:r>
      <w:proofErr w:type="spellEnd"/>
      <w:r w:rsidRPr="00467DB0">
        <w:t xml:space="preserve"> </w:t>
      </w:r>
      <w:proofErr w:type="spellStart"/>
      <w:r w:rsidRPr="00467DB0">
        <w:t>tilgængelige</w:t>
      </w:r>
      <w:proofErr w:type="spellEnd"/>
      <w:r w:rsidRPr="00467DB0">
        <w:t xml:space="preserve"> på gl</w:t>
      </w:r>
      <w:r w:rsidRPr="00467DB0">
        <w:t xml:space="preserve">obalt plan maksimeres </w:t>
      </w:r>
      <w:proofErr w:type="spellStart"/>
      <w:r w:rsidRPr="00467DB0">
        <w:t>samarbejdsmulighederne</w:t>
      </w:r>
      <w:proofErr w:type="spellEnd"/>
      <w:r w:rsidRPr="00467DB0">
        <w:t xml:space="preserve"> for Unionens </w:t>
      </w:r>
      <w:proofErr w:type="spellStart"/>
      <w:r w:rsidRPr="00467DB0">
        <w:t>virksomheder</w:t>
      </w:r>
      <w:proofErr w:type="spellEnd"/>
      <w:r w:rsidRPr="00467DB0">
        <w:t xml:space="preserve"> og forskere, hvilket </w:t>
      </w:r>
      <w:proofErr w:type="spellStart"/>
      <w:r w:rsidRPr="00467DB0">
        <w:t>bidrager</w:t>
      </w:r>
      <w:proofErr w:type="spellEnd"/>
      <w:r w:rsidRPr="00467DB0">
        <w:t xml:space="preserve"> til et effektivt </w:t>
      </w:r>
      <w:proofErr w:type="spellStart"/>
      <w:r w:rsidRPr="00467DB0">
        <w:t>europæisk</w:t>
      </w:r>
      <w:proofErr w:type="spellEnd"/>
      <w:r w:rsidRPr="00467DB0">
        <w:t xml:space="preserve"> </w:t>
      </w:r>
      <w:proofErr w:type="spellStart"/>
      <w:r w:rsidRPr="00467DB0">
        <w:t>rumøkosystem</w:t>
      </w:r>
      <w:proofErr w:type="spellEnd"/>
      <w:r w:rsidRPr="00467DB0">
        <w:t xml:space="preserve">. Hvis der </w:t>
      </w:r>
      <w:proofErr w:type="spellStart"/>
      <w:r w:rsidRPr="00467DB0">
        <w:t>indføres</w:t>
      </w:r>
      <w:proofErr w:type="spellEnd"/>
      <w:r w:rsidRPr="00467DB0">
        <w:t xml:space="preserve"> </w:t>
      </w:r>
      <w:proofErr w:type="spellStart"/>
      <w:r w:rsidRPr="00467DB0">
        <w:t>begrænsninger</w:t>
      </w:r>
      <w:proofErr w:type="spellEnd"/>
      <w:r w:rsidRPr="00467DB0">
        <w:t xml:space="preserve"> for adgangen til </w:t>
      </w:r>
      <w:proofErr w:type="spellStart"/>
      <w:r w:rsidRPr="00467DB0">
        <w:t>Copernicusdata</w:t>
      </w:r>
      <w:proofErr w:type="spellEnd"/>
      <w:r w:rsidRPr="00467DB0">
        <w:t xml:space="preserve"> og -</w:t>
      </w:r>
      <w:proofErr w:type="spellStart"/>
      <w:r w:rsidRPr="00467DB0">
        <w:t>informationer</w:t>
      </w:r>
      <w:proofErr w:type="spellEnd"/>
      <w:r w:rsidRPr="00467DB0">
        <w:t xml:space="preserve">, bør de være i overensstemmelse </w:t>
      </w:r>
      <w:r w:rsidRPr="00467DB0">
        <w:t xml:space="preserve">med </w:t>
      </w:r>
      <w:proofErr w:type="spellStart"/>
      <w:r w:rsidRPr="00467DB0">
        <w:t>Copernicusdatapolitikken</w:t>
      </w:r>
      <w:proofErr w:type="spellEnd"/>
      <w:r w:rsidRPr="00467DB0">
        <w:t xml:space="preserve"> som </w:t>
      </w:r>
      <w:proofErr w:type="spellStart"/>
      <w:r w:rsidRPr="00467DB0">
        <w:t>defineret</w:t>
      </w:r>
      <w:proofErr w:type="spellEnd"/>
      <w:r w:rsidRPr="00467DB0">
        <w:t xml:space="preserve"> i denne forordning og i </w:t>
      </w:r>
      <w:proofErr w:type="spellStart"/>
      <w:r w:rsidRPr="00467DB0">
        <w:t>Kommissionens</w:t>
      </w:r>
      <w:proofErr w:type="spellEnd"/>
      <w:r w:rsidRPr="00467DB0">
        <w:t xml:space="preserve"> </w:t>
      </w:r>
      <w:proofErr w:type="spellStart"/>
      <w:r w:rsidRPr="00467DB0">
        <w:t>delegerede</w:t>
      </w:r>
      <w:proofErr w:type="spellEnd"/>
      <w:r w:rsidRPr="00467DB0">
        <w:t xml:space="preserve"> forordning (EU) nr. 1159/2013</w:t>
      </w:r>
      <w:r w:rsidRPr="00467DB0">
        <w:rPr>
          <w:rStyle w:val="Fotnotereferanse"/>
        </w:rPr>
        <w:footnoteReference w:id="34"/>
      </w:r>
      <w:r w:rsidRPr="00467DB0">
        <w:t>.</w:t>
      </w:r>
    </w:p>
    <w:p w14:paraId="691C9ED0" w14:textId="77777777" w:rsidR="00000000" w:rsidRPr="00467DB0" w:rsidRDefault="00693D67" w:rsidP="00467DB0">
      <w:pPr>
        <w:pStyle w:val="friliste"/>
      </w:pPr>
      <w:r w:rsidRPr="00467DB0">
        <w:t>(82)</w:t>
      </w:r>
      <w:r w:rsidRPr="00467DB0">
        <w:tab/>
        <w:t xml:space="preserve">De data og </w:t>
      </w:r>
      <w:proofErr w:type="spellStart"/>
      <w:r w:rsidRPr="00467DB0">
        <w:t>informationer</w:t>
      </w:r>
      <w:proofErr w:type="spellEnd"/>
      <w:r w:rsidRPr="00467DB0">
        <w:t xml:space="preserve">, der frembringes i forbindelse med Copernicus, bør stilles til </w:t>
      </w:r>
      <w:proofErr w:type="spellStart"/>
      <w:r w:rsidRPr="00467DB0">
        <w:t>rådighed</w:t>
      </w:r>
      <w:proofErr w:type="spellEnd"/>
      <w:r w:rsidRPr="00467DB0">
        <w:t xml:space="preserve"> på et </w:t>
      </w:r>
      <w:proofErr w:type="spellStart"/>
      <w:r w:rsidRPr="00467DB0">
        <w:t>fuldstændigt</w:t>
      </w:r>
      <w:proofErr w:type="spellEnd"/>
      <w:r w:rsidRPr="00467DB0">
        <w:t xml:space="preserve">, </w:t>
      </w:r>
      <w:proofErr w:type="spellStart"/>
      <w:r w:rsidRPr="00467DB0">
        <w:t>åbent</w:t>
      </w:r>
      <w:proofErr w:type="spellEnd"/>
      <w:r w:rsidRPr="00467DB0">
        <w:t xml:space="preserve"> og gratis </w:t>
      </w:r>
      <w:proofErr w:type="spellStart"/>
      <w:r w:rsidRPr="00467DB0">
        <w:t>grundlag</w:t>
      </w:r>
      <w:proofErr w:type="spellEnd"/>
      <w:r w:rsidRPr="00467DB0">
        <w:t xml:space="preserve">, med forbehold </w:t>
      </w:r>
      <w:proofErr w:type="spellStart"/>
      <w:proofErr w:type="gramStart"/>
      <w:r w:rsidRPr="00467DB0">
        <w:t>af</w:t>
      </w:r>
      <w:proofErr w:type="spellEnd"/>
      <w:proofErr w:type="gramEnd"/>
      <w:r w:rsidRPr="00467DB0">
        <w:t xml:space="preserve"> passende betingelser og </w:t>
      </w:r>
      <w:proofErr w:type="spellStart"/>
      <w:r w:rsidRPr="00467DB0">
        <w:t>begrænsn</w:t>
      </w:r>
      <w:r w:rsidRPr="00467DB0">
        <w:t>inger</w:t>
      </w:r>
      <w:proofErr w:type="spellEnd"/>
      <w:r w:rsidRPr="00467DB0">
        <w:t xml:space="preserve">, for at fremme anvendelse og deling </w:t>
      </w:r>
      <w:proofErr w:type="spellStart"/>
      <w:r w:rsidRPr="00467DB0">
        <w:t>heraf</w:t>
      </w:r>
      <w:proofErr w:type="spellEnd"/>
      <w:r w:rsidRPr="00467DB0">
        <w:t xml:space="preserve"> og for at styrke </w:t>
      </w:r>
      <w:proofErr w:type="spellStart"/>
      <w:r w:rsidRPr="00467DB0">
        <w:t>europæiske</w:t>
      </w:r>
      <w:proofErr w:type="spellEnd"/>
      <w:r w:rsidRPr="00467DB0">
        <w:t xml:space="preserve"> markeder for </w:t>
      </w:r>
      <w:proofErr w:type="spellStart"/>
      <w:r w:rsidRPr="00467DB0">
        <w:t>jordobservation</w:t>
      </w:r>
      <w:proofErr w:type="spellEnd"/>
      <w:r w:rsidRPr="00467DB0">
        <w:t xml:space="preserve">, navnlig i </w:t>
      </w:r>
      <w:proofErr w:type="spellStart"/>
      <w:r w:rsidRPr="00467DB0">
        <w:t>aftagerleddet</w:t>
      </w:r>
      <w:proofErr w:type="spellEnd"/>
      <w:r w:rsidRPr="00467DB0">
        <w:t xml:space="preserve">, og dermed </w:t>
      </w:r>
      <w:proofErr w:type="spellStart"/>
      <w:r w:rsidRPr="00467DB0">
        <w:t>skabe</w:t>
      </w:r>
      <w:proofErr w:type="spellEnd"/>
      <w:r w:rsidRPr="00467DB0">
        <w:t xml:space="preserve"> </w:t>
      </w:r>
      <w:proofErr w:type="spellStart"/>
      <w:r w:rsidRPr="00467DB0">
        <w:t>vækst</w:t>
      </w:r>
      <w:proofErr w:type="spellEnd"/>
      <w:r w:rsidRPr="00467DB0">
        <w:t xml:space="preserve"> og </w:t>
      </w:r>
      <w:proofErr w:type="spellStart"/>
      <w:r w:rsidRPr="00467DB0">
        <w:t>beskæftigelse</w:t>
      </w:r>
      <w:proofErr w:type="spellEnd"/>
      <w:r w:rsidRPr="00467DB0">
        <w:t xml:space="preserve"> i Unionen. </w:t>
      </w:r>
      <w:proofErr w:type="spellStart"/>
      <w:r w:rsidRPr="00467DB0">
        <w:t>Herigennem</w:t>
      </w:r>
      <w:proofErr w:type="spellEnd"/>
      <w:r w:rsidRPr="00467DB0">
        <w:t xml:space="preserve"> bør der </w:t>
      </w:r>
      <w:proofErr w:type="spellStart"/>
      <w:r w:rsidRPr="00467DB0">
        <w:t>fortsat</w:t>
      </w:r>
      <w:proofErr w:type="spellEnd"/>
      <w:r w:rsidRPr="00467DB0">
        <w:t xml:space="preserve"> leveres data og </w:t>
      </w:r>
      <w:proofErr w:type="spellStart"/>
      <w:r w:rsidRPr="00467DB0">
        <w:t>informationer</w:t>
      </w:r>
      <w:proofErr w:type="spellEnd"/>
      <w:r w:rsidRPr="00467DB0">
        <w:t xml:space="preserve"> med et </w:t>
      </w:r>
      <w:proofErr w:type="spellStart"/>
      <w:r w:rsidRPr="00467DB0">
        <w:t>højt</w:t>
      </w:r>
      <w:proofErr w:type="spellEnd"/>
      <w:r w:rsidRPr="00467DB0">
        <w:t xml:space="preserve"> </w:t>
      </w:r>
      <w:proofErr w:type="spellStart"/>
      <w:r w:rsidRPr="00467DB0">
        <w:t>niveau</w:t>
      </w:r>
      <w:proofErr w:type="spellEnd"/>
      <w:r w:rsidRPr="00467DB0">
        <w:t xml:space="preserve"> </w:t>
      </w:r>
      <w:proofErr w:type="spellStart"/>
      <w:r w:rsidRPr="00467DB0">
        <w:t>af</w:t>
      </w:r>
      <w:proofErr w:type="spellEnd"/>
      <w:r w:rsidRPr="00467DB0">
        <w:t xml:space="preserve"> </w:t>
      </w:r>
      <w:proofErr w:type="spellStart"/>
      <w:r w:rsidRPr="00467DB0">
        <w:t>sammenhæng</w:t>
      </w:r>
      <w:proofErr w:type="spellEnd"/>
      <w:r w:rsidRPr="00467DB0">
        <w:t xml:space="preserve">, kontinuitet, </w:t>
      </w:r>
      <w:proofErr w:type="spellStart"/>
      <w:r w:rsidRPr="00467DB0">
        <w:t>pålidelighed</w:t>
      </w:r>
      <w:proofErr w:type="spellEnd"/>
      <w:r w:rsidRPr="00467DB0">
        <w:t xml:space="preserve"> og kvalitet. Dette </w:t>
      </w:r>
      <w:proofErr w:type="spellStart"/>
      <w:r w:rsidRPr="00467DB0">
        <w:t>kræver</w:t>
      </w:r>
      <w:proofErr w:type="spellEnd"/>
      <w:r w:rsidRPr="00467DB0">
        <w:t xml:space="preserve"> en omfattende og </w:t>
      </w:r>
      <w:proofErr w:type="spellStart"/>
      <w:r w:rsidRPr="00467DB0">
        <w:t>brugervenlig</w:t>
      </w:r>
      <w:proofErr w:type="spellEnd"/>
      <w:r w:rsidRPr="00467DB0">
        <w:t xml:space="preserve"> adgang til behandling og </w:t>
      </w:r>
      <w:proofErr w:type="spellStart"/>
      <w:r w:rsidRPr="00467DB0">
        <w:t>udnyttelse</w:t>
      </w:r>
      <w:proofErr w:type="spellEnd"/>
      <w:r w:rsidRPr="00467DB0">
        <w:t xml:space="preserve">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informationer</w:t>
      </w:r>
      <w:proofErr w:type="spellEnd"/>
      <w:r w:rsidRPr="00467DB0">
        <w:t xml:space="preserve"> med </w:t>
      </w:r>
      <w:proofErr w:type="spellStart"/>
      <w:r w:rsidRPr="00467DB0">
        <w:t>forskellig</w:t>
      </w:r>
      <w:proofErr w:type="spellEnd"/>
      <w:r w:rsidRPr="00467DB0">
        <w:t xml:space="preserve"> relevans, hvor </w:t>
      </w:r>
      <w:proofErr w:type="spellStart"/>
      <w:r w:rsidRPr="00467DB0">
        <w:t>Kommissionen</w:t>
      </w:r>
      <w:proofErr w:type="spellEnd"/>
      <w:r w:rsidRPr="00467DB0">
        <w:t xml:space="preserve"> </w:t>
      </w:r>
      <w:proofErr w:type="spellStart"/>
      <w:r w:rsidRPr="00467DB0">
        <w:t>fortsat</w:t>
      </w:r>
      <w:proofErr w:type="spellEnd"/>
      <w:r w:rsidRPr="00467DB0">
        <w:t xml:space="preserve"> bør følge en </w:t>
      </w:r>
      <w:proofErr w:type="spellStart"/>
      <w:r w:rsidRPr="00467DB0">
        <w:t>integreret</w:t>
      </w:r>
      <w:proofErr w:type="spellEnd"/>
      <w:r w:rsidRPr="00467DB0">
        <w:t xml:space="preserve"> tilgang på </w:t>
      </w:r>
      <w:r w:rsidRPr="00467DB0">
        <w:t xml:space="preserve">både EU- og medlemsstatsplan, hvilket også giver </w:t>
      </w:r>
      <w:proofErr w:type="spellStart"/>
      <w:r w:rsidRPr="00467DB0">
        <w:t>mulighed</w:t>
      </w:r>
      <w:proofErr w:type="spellEnd"/>
      <w:r w:rsidRPr="00467DB0">
        <w:t xml:space="preserve"> for </w:t>
      </w:r>
      <w:proofErr w:type="spellStart"/>
      <w:r w:rsidRPr="00467DB0">
        <w:t>integration</w:t>
      </w:r>
      <w:proofErr w:type="spellEnd"/>
      <w:r w:rsidRPr="00467DB0">
        <w:t xml:space="preserve"> med andre data- og </w:t>
      </w:r>
      <w:proofErr w:type="spellStart"/>
      <w:r w:rsidRPr="00467DB0">
        <w:t>informationskilder</w:t>
      </w:r>
      <w:proofErr w:type="spellEnd"/>
      <w:r w:rsidRPr="00467DB0">
        <w:t xml:space="preserve">. Derfor bør </w:t>
      </w:r>
      <w:proofErr w:type="spellStart"/>
      <w:r w:rsidRPr="00467DB0">
        <w:t>Kommissionen</w:t>
      </w:r>
      <w:proofErr w:type="spellEnd"/>
      <w:r w:rsidRPr="00467DB0">
        <w:t xml:space="preserve"> </w:t>
      </w:r>
      <w:proofErr w:type="spellStart"/>
      <w:r w:rsidRPr="00467DB0">
        <w:t>træffe</w:t>
      </w:r>
      <w:proofErr w:type="spellEnd"/>
      <w:r w:rsidRPr="00467DB0">
        <w:t xml:space="preserve"> de nødvendige foranstaltninger for at sikre, at </w:t>
      </w:r>
      <w:proofErr w:type="spellStart"/>
      <w:r w:rsidRPr="00467DB0">
        <w:t>Copernicusdata</w:t>
      </w:r>
      <w:proofErr w:type="spellEnd"/>
      <w:r w:rsidRPr="00467DB0">
        <w:t xml:space="preserve"> og </w:t>
      </w:r>
      <w:proofErr w:type="spellStart"/>
      <w:r w:rsidRPr="00467DB0">
        <w:t>informationer</w:t>
      </w:r>
      <w:proofErr w:type="spellEnd"/>
      <w:r w:rsidRPr="00467DB0">
        <w:t xml:space="preserve"> er let </w:t>
      </w:r>
      <w:proofErr w:type="spellStart"/>
      <w:r w:rsidRPr="00467DB0">
        <w:t>tilgængelige</w:t>
      </w:r>
      <w:proofErr w:type="spellEnd"/>
      <w:r w:rsidRPr="00467DB0">
        <w:t xml:space="preserve"> og </w:t>
      </w:r>
      <w:proofErr w:type="spellStart"/>
      <w:r w:rsidRPr="00467DB0">
        <w:t>brugbare</w:t>
      </w:r>
      <w:proofErr w:type="spellEnd"/>
      <w:r w:rsidRPr="00467DB0">
        <w:t>,</w:t>
      </w:r>
      <w:r w:rsidRPr="00467DB0">
        <w:t xml:space="preserve"> navnlig ved at fremme data- og </w:t>
      </w:r>
      <w:proofErr w:type="spellStart"/>
      <w:r w:rsidRPr="00467DB0">
        <w:t>informationsadgangstjenesterne</w:t>
      </w:r>
      <w:proofErr w:type="spellEnd"/>
      <w:r w:rsidRPr="00467DB0">
        <w:t xml:space="preserve"> (DIAS) i </w:t>
      </w:r>
      <w:proofErr w:type="spellStart"/>
      <w:r w:rsidRPr="00467DB0">
        <w:t>medlemsstaterne</w:t>
      </w:r>
      <w:proofErr w:type="spellEnd"/>
      <w:r w:rsidRPr="00467DB0">
        <w:t xml:space="preserve"> og, når det er </w:t>
      </w:r>
      <w:proofErr w:type="spellStart"/>
      <w:r w:rsidRPr="00467DB0">
        <w:t>muligt</w:t>
      </w:r>
      <w:proofErr w:type="spellEnd"/>
      <w:r w:rsidRPr="00467DB0">
        <w:t xml:space="preserve">, fremme interoperabiliteten </w:t>
      </w:r>
      <w:proofErr w:type="spellStart"/>
      <w:r w:rsidRPr="00467DB0">
        <w:t>mellem</w:t>
      </w:r>
      <w:proofErr w:type="spellEnd"/>
      <w:r w:rsidRPr="00467DB0">
        <w:t xml:space="preserve"> de eksisterende </w:t>
      </w:r>
      <w:proofErr w:type="spellStart"/>
      <w:r w:rsidRPr="00467DB0">
        <w:t>europæiske</w:t>
      </w:r>
      <w:proofErr w:type="spellEnd"/>
      <w:r w:rsidRPr="00467DB0">
        <w:t xml:space="preserve"> </w:t>
      </w:r>
      <w:proofErr w:type="spellStart"/>
      <w:r w:rsidRPr="00467DB0">
        <w:t>jordobservationsdatainfrastrukturer</w:t>
      </w:r>
      <w:proofErr w:type="spellEnd"/>
      <w:r w:rsidRPr="00467DB0">
        <w:t xml:space="preserve"> med </w:t>
      </w:r>
      <w:proofErr w:type="spellStart"/>
      <w:r w:rsidRPr="00467DB0">
        <w:t>henblik</w:t>
      </w:r>
      <w:proofErr w:type="spellEnd"/>
      <w:r w:rsidRPr="00467DB0">
        <w:t xml:space="preserve"> på at </w:t>
      </w:r>
      <w:proofErr w:type="spellStart"/>
      <w:r w:rsidRPr="00467DB0">
        <w:t>skabe</w:t>
      </w:r>
      <w:proofErr w:type="spellEnd"/>
      <w:r w:rsidRPr="00467DB0">
        <w:t xml:space="preserve"> synergier med disse akti</w:t>
      </w:r>
      <w:r w:rsidRPr="00467DB0">
        <w:t xml:space="preserve">ver for at maksimere og styrke </w:t>
      </w:r>
      <w:proofErr w:type="spellStart"/>
      <w:r w:rsidRPr="00467DB0">
        <w:t>udbredelsen</w:t>
      </w:r>
      <w:proofErr w:type="spellEnd"/>
      <w:r w:rsidRPr="00467DB0">
        <w:t xml:space="preserve"> på markedet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informationer</w:t>
      </w:r>
      <w:proofErr w:type="spellEnd"/>
      <w:r w:rsidRPr="00467DB0">
        <w:t>.</w:t>
      </w:r>
    </w:p>
    <w:p w14:paraId="0A058029" w14:textId="77777777" w:rsidR="00000000" w:rsidRPr="00467DB0" w:rsidRDefault="00693D67" w:rsidP="00467DB0">
      <w:pPr>
        <w:pStyle w:val="friliste"/>
      </w:pPr>
      <w:r w:rsidRPr="00467DB0">
        <w:t>(83)</w:t>
      </w:r>
      <w:r w:rsidRPr="00467DB0">
        <w:tab/>
      </w:r>
      <w:proofErr w:type="spellStart"/>
      <w:r w:rsidRPr="00467DB0">
        <w:t>Kommissionen</w:t>
      </w:r>
      <w:proofErr w:type="spellEnd"/>
      <w:r w:rsidRPr="00467DB0">
        <w:t xml:space="preserve"> bør </w:t>
      </w:r>
      <w:proofErr w:type="spellStart"/>
      <w:r w:rsidRPr="00467DB0">
        <w:t>arbejde</w:t>
      </w:r>
      <w:proofErr w:type="spellEnd"/>
      <w:r w:rsidRPr="00467DB0">
        <w:t xml:space="preserve"> sammen med dataleverandører for at </w:t>
      </w:r>
      <w:proofErr w:type="spellStart"/>
      <w:r w:rsidRPr="00467DB0">
        <w:t>aftale</w:t>
      </w:r>
      <w:proofErr w:type="spellEnd"/>
      <w:r w:rsidRPr="00467DB0">
        <w:t xml:space="preserve"> </w:t>
      </w:r>
      <w:proofErr w:type="spellStart"/>
      <w:r w:rsidRPr="00467DB0">
        <w:t>licensbetingelser</w:t>
      </w:r>
      <w:proofErr w:type="spellEnd"/>
      <w:r w:rsidRPr="00467DB0">
        <w:t xml:space="preserve"> for tredjepartsdata med </w:t>
      </w:r>
      <w:proofErr w:type="spellStart"/>
      <w:r w:rsidRPr="00467DB0">
        <w:t>henblik</w:t>
      </w:r>
      <w:proofErr w:type="spellEnd"/>
      <w:r w:rsidRPr="00467DB0">
        <w:t xml:space="preserve"> på at lette </w:t>
      </w:r>
      <w:proofErr w:type="gramStart"/>
      <w:r w:rsidRPr="00467DB0">
        <w:t>anvendelsen</w:t>
      </w:r>
      <w:proofErr w:type="gramEnd"/>
      <w:r w:rsidRPr="00467DB0">
        <w:t xml:space="preserve"> </w:t>
      </w:r>
      <w:proofErr w:type="spellStart"/>
      <w:r w:rsidRPr="00467DB0">
        <w:t>heraf</w:t>
      </w:r>
      <w:proofErr w:type="spellEnd"/>
      <w:r w:rsidRPr="00467DB0">
        <w:t xml:space="preserve"> i Copernicus</w:t>
      </w:r>
      <w:r w:rsidRPr="00467DB0">
        <w:t xml:space="preserve"> i overensstemmelse med denne forordning og de </w:t>
      </w:r>
      <w:proofErr w:type="spellStart"/>
      <w:r w:rsidRPr="00467DB0">
        <w:t>gældende</w:t>
      </w:r>
      <w:proofErr w:type="spellEnd"/>
      <w:r w:rsidRPr="00467DB0">
        <w:t xml:space="preserve"> </w:t>
      </w:r>
      <w:proofErr w:type="spellStart"/>
      <w:r w:rsidRPr="00467DB0">
        <w:t>tredjepartsrettigheder</w:t>
      </w:r>
      <w:proofErr w:type="spellEnd"/>
      <w:r w:rsidRPr="00467DB0">
        <w:t xml:space="preserve">. Da visse </w:t>
      </w:r>
      <w:proofErr w:type="spellStart"/>
      <w:r w:rsidRPr="00467DB0">
        <w:t>Copernicusdata</w:t>
      </w:r>
      <w:proofErr w:type="spellEnd"/>
      <w:r w:rsidRPr="00467DB0">
        <w:t xml:space="preserve"> og -</w:t>
      </w:r>
      <w:proofErr w:type="spellStart"/>
      <w:r w:rsidRPr="00467DB0">
        <w:t>informationer</w:t>
      </w:r>
      <w:proofErr w:type="spellEnd"/>
      <w:r w:rsidRPr="00467DB0">
        <w:t xml:space="preserve">, herunder </w:t>
      </w:r>
      <w:proofErr w:type="spellStart"/>
      <w:r w:rsidRPr="00467DB0">
        <w:t>billeder</w:t>
      </w:r>
      <w:proofErr w:type="spellEnd"/>
      <w:r w:rsidRPr="00467DB0">
        <w:t xml:space="preserve"> i </w:t>
      </w:r>
      <w:proofErr w:type="spellStart"/>
      <w:r w:rsidRPr="00467DB0">
        <w:t>høj</w:t>
      </w:r>
      <w:proofErr w:type="spellEnd"/>
      <w:r w:rsidRPr="00467DB0">
        <w:t xml:space="preserve"> </w:t>
      </w:r>
      <w:proofErr w:type="spellStart"/>
      <w:r w:rsidRPr="00467DB0">
        <w:t>opløsning</w:t>
      </w:r>
      <w:proofErr w:type="spellEnd"/>
      <w:r w:rsidRPr="00467DB0">
        <w:t xml:space="preserve">, kan påvirke Unionens eller dens medlemsstaters </w:t>
      </w:r>
      <w:proofErr w:type="spellStart"/>
      <w:r w:rsidRPr="00467DB0">
        <w:t>sikkerhed</w:t>
      </w:r>
      <w:proofErr w:type="spellEnd"/>
      <w:r w:rsidRPr="00467DB0">
        <w:t xml:space="preserve">, kan der i </w:t>
      </w:r>
      <w:proofErr w:type="spellStart"/>
      <w:r w:rsidRPr="00467DB0">
        <w:t>behørigt</w:t>
      </w:r>
      <w:proofErr w:type="spellEnd"/>
      <w:r w:rsidRPr="00467DB0">
        <w:t xml:space="preserve"> begrundede </w:t>
      </w:r>
      <w:proofErr w:type="spellStart"/>
      <w:r w:rsidRPr="00467DB0">
        <w:t>tilfælde</w:t>
      </w:r>
      <w:proofErr w:type="spellEnd"/>
      <w:r w:rsidRPr="00467DB0">
        <w:t xml:space="preserve"> </w:t>
      </w:r>
      <w:proofErr w:type="spellStart"/>
      <w:r w:rsidRPr="00467DB0">
        <w:t>v</w:t>
      </w:r>
      <w:r w:rsidRPr="00467DB0">
        <w:t>edtages</w:t>
      </w:r>
      <w:proofErr w:type="spellEnd"/>
      <w:r w:rsidRPr="00467DB0">
        <w:t xml:space="preserve"> foranstaltninger til håndtering </w:t>
      </w:r>
      <w:proofErr w:type="spellStart"/>
      <w:r w:rsidRPr="00467DB0">
        <w:t>af</w:t>
      </w:r>
      <w:proofErr w:type="spellEnd"/>
      <w:r w:rsidRPr="00467DB0">
        <w:t xml:space="preserve"> </w:t>
      </w:r>
      <w:proofErr w:type="spellStart"/>
      <w:r w:rsidRPr="00467DB0">
        <w:t>risici</w:t>
      </w:r>
      <w:proofErr w:type="spellEnd"/>
      <w:r w:rsidRPr="00467DB0">
        <w:t xml:space="preserve"> og trusler i forbindelse med Unionens eller dens medlemsstaters </w:t>
      </w:r>
      <w:proofErr w:type="spellStart"/>
      <w:r w:rsidRPr="00467DB0">
        <w:t>sikkerhed</w:t>
      </w:r>
      <w:proofErr w:type="spellEnd"/>
      <w:r w:rsidRPr="00467DB0">
        <w:t>.</w:t>
      </w:r>
    </w:p>
    <w:p w14:paraId="10125C45" w14:textId="77777777" w:rsidR="00000000" w:rsidRPr="00467DB0" w:rsidRDefault="00693D67" w:rsidP="00467DB0">
      <w:pPr>
        <w:pStyle w:val="friliste"/>
      </w:pPr>
      <w:r w:rsidRPr="00467DB0">
        <w:t>(84)</w:t>
      </w:r>
      <w:r w:rsidRPr="00467DB0">
        <w:tab/>
        <w:t xml:space="preserve">Med </w:t>
      </w:r>
      <w:proofErr w:type="spellStart"/>
      <w:r w:rsidRPr="00467DB0">
        <w:t>henblik</w:t>
      </w:r>
      <w:proofErr w:type="spellEnd"/>
      <w:r w:rsidRPr="00467DB0">
        <w:t xml:space="preserve"> på at fremme og lette både </w:t>
      </w:r>
      <w:proofErr w:type="spellStart"/>
      <w:r w:rsidRPr="00467DB0">
        <w:t>nationale</w:t>
      </w:r>
      <w:proofErr w:type="spellEnd"/>
      <w:r w:rsidRPr="00467DB0">
        <w:t xml:space="preserve">, regionale og lokale </w:t>
      </w:r>
      <w:proofErr w:type="spellStart"/>
      <w:r w:rsidRPr="00467DB0">
        <w:t>myndigheders</w:t>
      </w:r>
      <w:proofErr w:type="spellEnd"/>
      <w:r w:rsidRPr="00467DB0">
        <w:t xml:space="preserve">, </w:t>
      </w:r>
      <w:proofErr w:type="spellStart"/>
      <w:r w:rsidRPr="00467DB0">
        <w:t>SMV'ers</w:t>
      </w:r>
      <w:proofErr w:type="spellEnd"/>
      <w:r w:rsidRPr="00467DB0">
        <w:t xml:space="preserve">, </w:t>
      </w:r>
      <w:proofErr w:type="spellStart"/>
      <w:r w:rsidRPr="00467DB0">
        <w:t>videnskabsfolks</w:t>
      </w:r>
      <w:proofErr w:type="spellEnd"/>
      <w:r w:rsidRPr="00467DB0">
        <w:t xml:space="preserve"> og forskeres </w:t>
      </w:r>
      <w:proofErr w:type="gramStart"/>
      <w:r w:rsidRPr="00467DB0">
        <w:t>anve</w:t>
      </w:r>
      <w:r w:rsidRPr="00467DB0">
        <w:t>ndelse</w:t>
      </w:r>
      <w:proofErr w:type="gramEnd"/>
      <w:r w:rsidRPr="00467DB0">
        <w:t xml:space="preserve"> </w:t>
      </w:r>
      <w:proofErr w:type="spellStart"/>
      <w:r w:rsidRPr="00467DB0">
        <w:t>af</w:t>
      </w:r>
      <w:proofErr w:type="spellEnd"/>
      <w:r w:rsidRPr="00467DB0">
        <w:t xml:space="preserve"> </w:t>
      </w:r>
      <w:proofErr w:type="spellStart"/>
      <w:r w:rsidRPr="00467DB0">
        <w:t>jordobservationsdata</w:t>
      </w:r>
      <w:proofErr w:type="spellEnd"/>
      <w:r w:rsidRPr="00467DB0">
        <w:t xml:space="preserve"> og -teknologier bør særlige </w:t>
      </w:r>
      <w:proofErr w:type="spellStart"/>
      <w:r w:rsidRPr="00467DB0">
        <w:t>netværk</w:t>
      </w:r>
      <w:proofErr w:type="spellEnd"/>
      <w:r w:rsidRPr="00467DB0">
        <w:t xml:space="preserve"> til </w:t>
      </w:r>
      <w:proofErr w:type="spellStart"/>
      <w:r w:rsidRPr="00467DB0">
        <w:t>distribution</w:t>
      </w:r>
      <w:proofErr w:type="spellEnd"/>
      <w:r w:rsidRPr="00467DB0">
        <w:t xml:space="preserve"> </w:t>
      </w:r>
      <w:proofErr w:type="spellStart"/>
      <w:r w:rsidRPr="00467DB0">
        <w:t>af</w:t>
      </w:r>
      <w:proofErr w:type="spellEnd"/>
      <w:r w:rsidRPr="00467DB0">
        <w:t xml:space="preserve"> </w:t>
      </w:r>
      <w:proofErr w:type="spellStart"/>
      <w:r w:rsidRPr="00467DB0">
        <w:t>Copernicusdata</w:t>
      </w:r>
      <w:proofErr w:type="spellEnd"/>
      <w:r w:rsidRPr="00467DB0">
        <w:t xml:space="preserve">, herunder </w:t>
      </w:r>
      <w:proofErr w:type="spellStart"/>
      <w:r w:rsidRPr="00467DB0">
        <w:t>nationale</w:t>
      </w:r>
      <w:proofErr w:type="spellEnd"/>
      <w:r w:rsidRPr="00467DB0">
        <w:t xml:space="preserve"> og regionale organer så</w:t>
      </w:r>
      <w:r w:rsidRPr="00467DB0">
        <w:lastRenderedPageBreak/>
        <w:t xml:space="preserve">som Copernicus </w:t>
      </w:r>
      <w:proofErr w:type="spellStart"/>
      <w:r w:rsidRPr="00467DB0">
        <w:t>Relay</w:t>
      </w:r>
      <w:proofErr w:type="spellEnd"/>
      <w:r w:rsidRPr="00467DB0">
        <w:t xml:space="preserve">- og Copernicus </w:t>
      </w:r>
      <w:proofErr w:type="spellStart"/>
      <w:r w:rsidRPr="00467DB0">
        <w:t>Academy-netværkene</w:t>
      </w:r>
      <w:proofErr w:type="spellEnd"/>
      <w:r w:rsidRPr="00467DB0">
        <w:t xml:space="preserve">, fremmes </w:t>
      </w:r>
      <w:proofErr w:type="spellStart"/>
      <w:r w:rsidRPr="00467DB0">
        <w:t>gennem</w:t>
      </w:r>
      <w:proofErr w:type="spellEnd"/>
      <w:r w:rsidRPr="00467DB0">
        <w:t xml:space="preserve"> </w:t>
      </w:r>
      <w:proofErr w:type="spellStart"/>
      <w:r w:rsidRPr="00467DB0">
        <w:t>ibrugtagningsaktiviteter</w:t>
      </w:r>
      <w:proofErr w:type="spellEnd"/>
      <w:r w:rsidRPr="00467DB0">
        <w:t xml:space="preserve">. Med </w:t>
      </w:r>
      <w:proofErr w:type="spellStart"/>
      <w:r w:rsidRPr="00467DB0">
        <w:t>henblik</w:t>
      </w:r>
      <w:proofErr w:type="spellEnd"/>
      <w:r w:rsidRPr="00467DB0">
        <w:t xml:space="preserve"> he</w:t>
      </w:r>
      <w:r w:rsidRPr="00467DB0">
        <w:t xml:space="preserve">rpå bør </w:t>
      </w:r>
      <w:proofErr w:type="spellStart"/>
      <w:r w:rsidRPr="00467DB0">
        <w:t>Kommissionen</w:t>
      </w:r>
      <w:proofErr w:type="spellEnd"/>
      <w:r w:rsidRPr="00467DB0">
        <w:t xml:space="preserve"> og </w:t>
      </w:r>
      <w:proofErr w:type="spellStart"/>
      <w:r w:rsidRPr="00467DB0">
        <w:t>medlemsstaterne</w:t>
      </w:r>
      <w:proofErr w:type="spellEnd"/>
      <w:r w:rsidRPr="00467DB0">
        <w:t xml:space="preserve"> </w:t>
      </w:r>
      <w:proofErr w:type="spellStart"/>
      <w:r w:rsidRPr="00467DB0">
        <w:t>søge</w:t>
      </w:r>
      <w:proofErr w:type="spellEnd"/>
      <w:r w:rsidRPr="00467DB0">
        <w:t xml:space="preserve"> at </w:t>
      </w:r>
      <w:proofErr w:type="spellStart"/>
      <w:r w:rsidRPr="00467DB0">
        <w:t>skabe</w:t>
      </w:r>
      <w:proofErr w:type="spellEnd"/>
      <w:r w:rsidRPr="00467DB0">
        <w:t xml:space="preserve"> </w:t>
      </w:r>
      <w:proofErr w:type="spellStart"/>
      <w:r w:rsidRPr="00467DB0">
        <w:t>tættere</w:t>
      </w:r>
      <w:proofErr w:type="spellEnd"/>
      <w:r w:rsidRPr="00467DB0">
        <w:t xml:space="preserve"> forbindelser </w:t>
      </w:r>
      <w:proofErr w:type="spellStart"/>
      <w:r w:rsidRPr="00467DB0">
        <w:t>mellem</w:t>
      </w:r>
      <w:proofErr w:type="spellEnd"/>
      <w:r w:rsidRPr="00467DB0">
        <w:t xml:space="preserve"> Copernicus og Unionens og de </w:t>
      </w:r>
      <w:proofErr w:type="spellStart"/>
      <w:r w:rsidRPr="00467DB0">
        <w:t>nationale</w:t>
      </w:r>
      <w:proofErr w:type="spellEnd"/>
      <w:r w:rsidRPr="00467DB0">
        <w:t xml:space="preserve"> politikker for at sætte gang i </w:t>
      </w:r>
      <w:proofErr w:type="spellStart"/>
      <w:r w:rsidRPr="00467DB0">
        <w:t>efterspørgslen</w:t>
      </w:r>
      <w:proofErr w:type="spellEnd"/>
      <w:r w:rsidRPr="00467DB0">
        <w:t xml:space="preserve"> efter </w:t>
      </w:r>
      <w:proofErr w:type="spellStart"/>
      <w:r w:rsidRPr="00467DB0">
        <w:t>kommercielle</w:t>
      </w:r>
      <w:proofErr w:type="spellEnd"/>
      <w:r w:rsidRPr="00467DB0">
        <w:t xml:space="preserve"> </w:t>
      </w:r>
      <w:proofErr w:type="spellStart"/>
      <w:r w:rsidRPr="00467DB0">
        <w:t>applikationer</w:t>
      </w:r>
      <w:proofErr w:type="spellEnd"/>
      <w:r w:rsidRPr="00467DB0">
        <w:t xml:space="preserve"> og tjenester og </w:t>
      </w:r>
      <w:proofErr w:type="spellStart"/>
      <w:r w:rsidRPr="00467DB0">
        <w:t>give</w:t>
      </w:r>
      <w:proofErr w:type="spellEnd"/>
      <w:r w:rsidRPr="00467DB0">
        <w:t xml:space="preserve"> </w:t>
      </w:r>
      <w:proofErr w:type="spellStart"/>
      <w:r w:rsidRPr="00467DB0">
        <w:t>virksomheder</w:t>
      </w:r>
      <w:proofErr w:type="spellEnd"/>
      <w:r w:rsidRPr="00467DB0">
        <w:t xml:space="preserve">, navnlig </w:t>
      </w:r>
      <w:proofErr w:type="spellStart"/>
      <w:r w:rsidRPr="00467DB0">
        <w:t>SMV'er</w:t>
      </w:r>
      <w:proofErr w:type="spellEnd"/>
      <w:r w:rsidRPr="00467DB0">
        <w:t xml:space="preserve"> og nys</w:t>
      </w:r>
      <w:r w:rsidRPr="00467DB0">
        <w:t xml:space="preserve">tartede </w:t>
      </w:r>
      <w:proofErr w:type="spellStart"/>
      <w:r w:rsidRPr="00467DB0">
        <w:t>virksomheder</w:t>
      </w:r>
      <w:proofErr w:type="spellEnd"/>
      <w:r w:rsidRPr="00467DB0">
        <w:t xml:space="preserve">, </w:t>
      </w:r>
      <w:proofErr w:type="spellStart"/>
      <w:r w:rsidRPr="00467DB0">
        <w:t>mulighed</w:t>
      </w:r>
      <w:proofErr w:type="spellEnd"/>
      <w:r w:rsidRPr="00467DB0">
        <w:t xml:space="preserve"> for at </w:t>
      </w:r>
      <w:proofErr w:type="spellStart"/>
      <w:r w:rsidRPr="00467DB0">
        <w:t>udvikle</w:t>
      </w:r>
      <w:proofErr w:type="spellEnd"/>
      <w:r w:rsidRPr="00467DB0">
        <w:t xml:space="preserve"> </w:t>
      </w:r>
      <w:proofErr w:type="spellStart"/>
      <w:r w:rsidRPr="00467DB0">
        <w:t>applikationer</w:t>
      </w:r>
      <w:proofErr w:type="spellEnd"/>
      <w:r w:rsidRPr="00467DB0">
        <w:t xml:space="preserve">, der er </w:t>
      </w:r>
      <w:proofErr w:type="spellStart"/>
      <w:r w:rsidRPr="00467DB0">
        <w:t>baseret</w:t>
      </w:r>
      <w:proofErr w:type="spellEnd"/>
      <w:r w:rsidRPr="00467DB0">
        <w:t xml:space="preserve"> på </w:t>
      </w:r>
      <w:proofErr w:type="spellStart"/>
      <w:r w:rsidRPr="00467DB0">
        <w:t>Copernicusdata</w:t>
      </w:r>
      <w:proofErr w:type="spellEnd"/>
      <w:r w:rsidRPr="00467DB0">
        <w:t xml:space="preserve"> og -</w:t>
      </w:r>
      <w:proofErr w:type="spellStart"/>
      <w:r w:rsidRPr="00467DB0">
        <w:t>informationer</w:t>
      </w:r>
      <w:proofErr w:type="spellEnd"/>
      <w:r w:rsidRPr="00467DB0">
        <w:t xml:space="preserve">, med </w:t>
      </w:r>
      <w:proofErr w:type="spellStart"/>
      <w:r w:rsidRPr="00467DB0">
        <w:t>henblik</w:t>
      </w:r>
      <w:proofErr w:type="spellEnd"/>
      <w:r w:rsidRPr="00467DB0">
        <w:t xml:space="preserve"> på at </w:t>
      </w:r>
      <w:proofErr w:type="spellStart"/>
      <w:r w:rsidRPr="00467DB0">
        <w:t>udvikle</w:t>
      </w:r>
      <w:proofErr w:type="spellEnd"/>
      <w:r w:rsidRPr="00467DB0">
        <w:t xml:space="preserve"> et </w:t>
      </w:r>
      <w:proofErr w:type="spellStart"/>
      <w:r w:rsidRPr="00467DB0">
        <w:t>konkurrencedygtigt</w:t>
      </w:r>
      <w:proofErr w:type="spellEnd"/>
      <w:r w:rsidRPr="00467DB0">
        <w:t xml:space="preserve"> </w:t>
      </w:r>
      <w:proofErr w:type="spellStart"/>
      <w:r w:rsidRPr="00467DB0">
        <w:t>jordobservationsdataøkosystem</w:t>
      </w:r>
      <w:proofErr w:type="spellEnd"/>
      <w:r w:rsidRPr="00467DB0">
        <w:t xml:space="preserve"> i Europa.</w:t>
      </w:r>
    </w:p>
    <w:p w14:paraId="2B6A7F76" w14:textId="77777777" w:rsidR="00000000" w:rsidRPr="00467DB0" w:rsidRDefault="00693D67" w:rsidP="00467DB0">
      <w:pPr>
        <w:pStyle w:val="friliste"/>
      </w:pPr>
      <w:r w:rsidRPr="00467DB0">
        <w:t>(85)</w:t>
      </w:r>
      <w:r w:rsidRPr="00467DB0">
        <w:tab/>
        <w:t xml:space="preserve">På </w:t>
      </w:r>
      <w:proofErr w:type="spellStart"/>
      <w:r w:rsidRPr="00467DB0">
        <w:t>internationalt</w:t>
      </w:r>
      <w:proofErr w:type="spellEnd"/>
      <w:r w:rsidRPr="00467DB0">
        <w:t xml:space="preserve"> plan bør Copernicus levere </w:t>
      </w:r>
      <w:proofErr w:type="spellStart"/>
      <w:r w:rsidRPr="00467DB0">
        <w:t>nøjag</w:t>
      </w:r>
      <w:r w:rsidRPr="00467DB0">
        <w:t>tige</w:t>
      </w:r>
      <w:proofErr w:type="spellEnd"/>
      <w:r w:rsidRPr="00467DB0">
        <w:t xml:space="preserve"> og </w:t>
      </w:r>
      <w:proofErr w:type="spellStart"/>
      <w:r w:rsidRPr="00467DB0">
        <w:t>pålidelige</w:t>
      </w:r>
      <w:proofErr w:type="spellEnd"/>
      <w:r w:rsidRPr="00467DB0">
        <w:t xml:space="preserve"> </w:t>
      </w:r>
      <w:proofErr w:type="spellStart"/>
      <w:r w:rsidRPr="00467DB0">
        <w:t>oplysninger</w:t>
      </w:r>
      <w:proofErr w:type="spellEnd"/>
      <w:r w:rsidRPr="00467DB0">
        <w:t xml:space="preserve"> med </w:t>
      </w:r>
      <w:proofErr w:type="spellStart"/>
      <w:r w:rsidRPr="00467DB0">
        <w:t>henblik</w:t>
      </w:r>
      <w:proofErr w:type="spellEnd"/>
      <w:r w:rsidRPr="00467DB0">
        <w:t xml:space="preserve"> på </w:t>
      </w:r>
      <w:proofErr w:type="spellStart"/>
      <w:r w:rsidRPr="00467DB0">
        <w:t>samarbejde</w:t>
      </w:r>
      <w:proofErr w:type="spellEnd"/>
      <w:r w:rsidRPr="00467DB0">
        <w:t xml:space="preserve"> med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og til støtte for Unionens eksterne politikker og </w:t>
      </w:r>
      <w:proofErr w:type="spellStart"/>
      <w:r w:rsidRPr="00467DB0">
        <w:t>udviklingssamarbejdspolitikker</w:t>
      </w:r>
      <w:proofErr w:type="spellEnd"/>
      <w:r w:rsidRPr="00467DB0">
        <w:t xml:space="preserve">. Copernicus bør </w:t>
      </w:r>
      <w:proofErr w:type="spellStart"/>
      <w:r w:rsidRPr="00467DB0">
        <w:t>betragtes</w:t>
      </w:r>
      <w:proofErr w:type="spellEnd"/>
      <w:r w:rsidRPr="00467DB0">
        <w:t xml:space="preserve"> som et </w:t>
      </w:r>
      <w:proofErr w:type="spellStart"/>
      <w:r w:rsidRPr="00467DB0">
        <w:t>europæisk</w:t>
      </w:r>
      <w:proofErr w:type="spellEnd"/>
      <w:r w:rsidRPr="00467DB0">
        <w:t xml:space="preserve"> bidrag til det globale sys</w:t>
      </w:r>
      <w:r w:rsidRPr="00467DB0">
        <w:t xml:space="preserve">tem </w:t>
      </w:r>
      <w:proofErr w:type="spellStart"/>
      <w:r w:rsidRPr="00467DB0">
        <w:t>af</w:t>
      </w:r>
      <w:proofErr w:type="spellEnd"/>
      <w:r w:rsidRPr="00467DB0">
        <w:t xml:space="preserve"> </w:t>
      </w:r>
      <w:proofErr w:type="spellStart"/>
      <w:r w:rsidRPr="00467DB0">
        <w:t>jordobservationssystemer</w:t>
      </w:r>
      <w:proofErr w:type="spellEnd"/>
      <w:r w:rsidRPr="00467DB0">
        <w:t xml:space="preserve"> (GEOSS), </w:t>
      </w:r>
      <w:proofErr w:type="spellStart"/>
      <w:r w:rsidRPr="00467DB0">
        <w:t>udvalget</w:t>
      </w:r>
      <w:proofErr w:type="spellEnd"/>
      <w:r w:rsidRPr="00467DB0">
        <w:t xml:space="preserve"> for </w:t>
      </w:r>
      <w:proofErr w:type="spellStart"/>
      <w:r w:rsidRPr="00467DB0">
        <w:t>jordobservationssatellitter</w:t>
      </w:r>
      <w:proofErr w:type="spellEnd"/>
      <w:r w:rsidRPr="00467DB0">
        <w:t xml:space="preserve"> (CEOS), </w:t>
      </w:r>
      <w:proofErr w:type="spellStart"/>
      <w:r w:rsidRPr="00467DB0">
        <w:t>partskonferencen</w:t>
      </w:r>
      <w:proofErr w:type="spellEnd"/>
      <w:r w:rsidRPr="00467DB0">
        <w:t xml:space="preserve"> (COP) under De Forenede </w:t>
      </w:r>
      <w:proofErr w:type="spellStart"/>
      <w:r w:rsidRPr="00467DB0">
        <w:t>Nationers</w:t>
      </w:r>
      <w:proofErr w:type="spellEnd"/>
      <w:r w:rsidRPr="00467DB0">
        <w:t xml:space="preserve"> </w:t>
      </w:r>
      <w:proofErr w:type="spellStart"/>
      <w:r w:rsidRPr="00467DB0">
        <w:t>rammekonvention</w:t>
      </w:r>
      <w:proofErr w:type="spellEnd"/>
      <w:r w:rsidRPr="00467DB0">
        <w:t xml:space="preserve"> om </w:t>
      </w:r>
      <w:proofErr w:type="spellStart"/>
      <w:r w:rsidRPr="00467DB0">
        <w:t>klimaændringer</w:t>
      </w:r>
      <w:proofErr w:type="spellEnd"/>
      <w:r w:rsidRPr="00467DB0">
        <w:t xml:space="preserve"> (UNFCCC) i 1992, </w:t>
      </w:r>
      <w:proofErr w:type="spellStart"/>
      <w:r w:rsidRPr="00467DB0">
        <w:t>opnåelsen</w:t>
      </w:r>
      <w:proofErr w:type="spellEnd"/>
      <w:r w:rsidRPr="00467DB0">
        <w:t xml:space="preserve"> </w:t>
      </w:r>
      <w:proofErr w:type="spellStart"/>
      <w:r w:rsidRPr="00467DB0">
        <w:t>af</w:t>
      </w:r>
      <w:proofErr w:type="spellEnd"/>
      <w:r w:rsidRPr="00467DB0">
        <w:t xml:space="preserve"> </w:t>
      </w:r>
      <w:proofErr w:type="spellStart"/>
      <w:r w:rsidRPr="00467DB0">
        <w:t>FN's</w:t>
      </w:r>
      <w:proofErr w:type="spellEnd"/>
      <w:r w:rsidRPr="00467DB0">
        <w:t xml:space="preserve"> verdensmål for </w:t>
      </w:r>
      <w:proofErr w:type="spellStart"/>
      <w:r w:rsidRPr="00467DB0">
        <w:t>bæredygtig</w:t>
      </w:r>
      <w:proofErr w:type="spellEnd"/>
      <w:r w:rsidRPr="00467DB0">
        <w:t xml:space="preserve"> </w:t>
      </w:r>
      <w:proofErr w:type="spellStart"/>
      <w:r w:rsidRPr="00467DB0">
        <w:t>udvikling</w:t>
      </w:r>
      <w:proofErr w:type="spellEnd"/>
      <w:r w:rsidRPr="00467DB0">
        <w:t xml:space="preserve"> (SDG) og </w:t>
      </w:r>
      <w:proofErr w:type="spellStart"/>
      <w:r w:rsidRPr="00467DB0">
        <w:t>S</w:t>
      </w:r>
      <w:r w:rsidRPr="00467DB0">
        <w:t>endairammen</w:t>
      </w:r>
      <w:proofErr w:type="spellEnd"/>
      <w:r w:rsidRPr="00467DB0">
        <w:t xml:space="preserve"> for katastrofeforebyggelse. Det bør etablere eller </w:t>
      </w:r>
      <w:proofErr w:type="spellStart"/>
      <w:r w:rsidRPr="00467DB0">
        <w:t>opretholde</w:t>
      </w:r>
      <w:proofErr w:type="spellEnd"/>
      <w:r w:rsidRPr="00467DB0">
        <w:t xml:space="preserve"> et passende </w:t>
      </w:r>
      <w:proofErr w:type="spellStart"/>
      <w:r w:rsidRPr="00467DB0">
        <w:t>samarbejde</w:t>
      </w:r>
      <w:proofErr w:type="spellEnd"/>
      <w:r w:rsidRPr="00467DB0">
        <w:t xml:space="preserve"> med relevante </w:t>
      </w:r>
      <w:proofErr w:type="spellStart"/>
      <w:r w:rsidRPr="00467DB0">
        <w:t>sektorspecifikke</w:t>
      </w:r>
      <w:proofErr w:type="spellEnd"/>
      <w:r w:rsidRPr="00467DB0">
        <w:t xml:space="preserve"> FN-organer og Den Meteorologiske </w:t>
      </w:r>
      <w:proofErr w:type="spellStart"/>
      <w:r w:rsidRPr="00467DB0">
        <w:t>Verdensorganisation</w:t>
      </w:r>
      <w:proofErr w:type="spellEnd"/>
      <w:r w:rsidRPr="00467DB0">
        <w:t>.</w:t>
      </w:r>
    </w:p>
    <w:p w14:paraId="2FA894C8" w14:textId="77777777" w:rsidR="00000000" w:rsidRPr="00467DB0" w:rsidRDefault="00693D67" w:rsidP="00467DB0">
      <w:pPr>
        <w:pStyle w:val="friliste"/>
      </w:pPr>
      <w:r w:rsidRPr="00467DB0">
        <w:t>(86)</w:t>
      </w:r>
      <w:r w:rsidRPr="00467DB0">
        <w:tab/>
        <w:t xml:space="preserve">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Copernicus bør </w:t>
      </w:r>
      <w:proofErr w:type="spellStart"/>
      <w:r w:rsidRPr="00467DB0">
        <w:t>Kommissionen</w:t>
      </w:r>
      <w:proofErr w:type="spellEnd"/>
      <w:r w:rsidRPr="00467DB0">
        <w:t>, hvor</w:t>
      </w:r>
      <w:r w:rsidRPr="00467DB0">
        <w:t xml:space="preserve"> det er relevant, drage nytte </w:t>
      </w:r>
      <w:proofErr w:type="spellStart"/>
      <w:r w:rsidRPr="00467DB0">
        <w:t>af</w:t>
      </w:r>
      <w:proofErr w:type="spellEnd"/>
      <w:r w:rsidRPr="00467DB0">
        <w:t xml:space="preserve"> de </w:t>
      </w:r>
      <w:proofErr w:type="spellStart"/>
      <w:r w:rsidRPr="00467DB0">
        <w:t>europæiske</w:t>
      </w:r>
      <w:proofErr w:type="spellEnd"/>
      <w:r w:rsidRPr="00467DB0">
        <w:t xml:space="preserve"> </w:t>
      </w:r>
      <w:proofErr w:type="spellStart"/>
      <w:r w:rsidRPr="00467DB0">
        <w:t>internationale</w:t>
      </w:r>
      <w:proofErr w:type="spellEnd"/>
      <w:r w:rsidRPr="00467DB0">
        <w:t xml:space="preserve"> </w:t>
      </w:r>
      <w:proofErr w:type="spellStart"/>
      <w:r w:rsidRPr="00467DB0">
        <w:t>organisationer</w:t>
      </w:r>
      <w:proofErr w:type="spellEnd"/>
      <w:r w:rsidRPr="00467DB0">
        <w:t xml:space="preserve">, som den allerede har </w:t>
      </w:r>
      <w:proofErr w:type="spellStart"/>
      <w:r w:rsidRPr="00467DB0">
        <w:t>etableret</w:t>
      </w:r>
      <w:proofErr w:type="spellEnd"/>
      <w:r w:rsidRPr="00467DB0">
        <w:t xml:space="preserve"> </w:t>
      </w:r>
      <w:proofErr w:type="spellStart"/>
      <w:r w:rsidRPr="00467DB0">
        <w:t>partnerskaber</w:t>
      </w:r>
      <w:proofErr w:type="spellEnd"/>
      <w:r w:rsidRPr="00467DB0">
        <w:t xml:space="preserve"> med, navnlig ESA, med </w:t>
      </w:r>
      <w:proofErr w:type="spellStart"/>
      <w:r w:rsidRPr="00467DB0">
        <w:t>henblik</w:t>
      </w:r>
      <w:proofErr w:type="spellEnd"/>
      <w:r w:rsidRPr="00467DB0">
        <w:t xml:space="preserve"> på </w:t>
      </w:r>
      <w:proofErr w:type="spellStart"/>
      <w:r w:rsidRPr="00467DB0">
        <w:t>udvikling</w:t>
      </w:r>
      <w:proofErr w:type="spellEnd"/>
      <w:r w:rsidRPr="00467DB0">
        <w:t xml:space="preserve">, samordning, </w:t>
      </w:r>
      <w:proofErr w:type="spellStart"/>
      <w:r w:rsidRPr="00467DB0">
        <w:t>gennemførelse</w:t>
      </w:r>
      <w:proofErr w:type="spellEnd"/>
      <w:r w:rsidRPr="00467DB0">
        <w:t xml:space="preserve"> og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rumkomponenterne</w:t>
      </w:r>
      <w:proofErr w:type="spellEnd"/>
      <w:r w:rsidRPr="00467DB0">
        <w:t>, adgang til tredjeparters data</w:t>
      </w:r>
      <w:r w:rsidRPr="00467DB0">
        <w:t xml:space="preserve">, hvor det er relevant, og, hvor det ikke er </w:t>
      </w:r>
      <w:proofErr w:type="spellStart"/>
      <w:r w:rsidRPr="00467DB0">
        <w:t>foretaget</w:t>
      </w:r>
      <w:proofErr w:type="spellEnd"/>
      <w:r w:rsidRPr="00467DB0">
        <w:t xml:space="preserve"> </w:t>
      </w:r>
      <w:proofErr w:type="spellStart"/>
      <w:r w:rsidRPr="00467DB0">
        <w:t>af</w:t>
      </w:r>
      <w:proofErr w:type="spellEnd"/>
      <w:r w:rsidRPr="00467DB0">
        <w:t xml:space="preserve"> andre </w:t>
      </w:r>
      <w:proofErr w:type="spellStart"/>
      <w:r w:rsidRPr="00467DB0">
        <w:t>enheder</w:t>
      </w:r>
      <w:proofErr w:type="spellEnd"/>
      <w:r w:rsidRPr="00467DB0">
        <w:t xml:space="preserve">, </w:t>
      </w:r>
      <w:proofErr w:type="spellStart"/>
      <w:r w:rsidRPr="00467DB0">
        <w:t>gennemførelse</w:t>
      </w:r>
      <w:proofErr w:type="spellEnd"/>
      <w:r w:rsidRPr="00467DB0">
        <w:t xml:space="preserve"> </w:t>
      </w:r>
      <w:proofErr w:type="spellStart"/>
      <w:r w:rsidRPr="00467DB0">
        <w:t>af</w:t>
      </w:r>
      <w:proofErr w:type="spellEnd"/>
      <w:r w:rsidRPr="00467DB0">
        <w:t xml:space="preserve"> særlige missioner. </w:t>
      </w:r>
      <w:proofErr w:type="spellStart"/>
      <w:r w:rsidRPr="00467DB0">
        <w:t>Derudover</w:t>
      </w:r>
      <w:proofErr w:type="spellEnd"/>
      <w:r w:rsidRPr="00467DB0">
        <w:t xml:space="preserve"> bør </w:t>
      </w:r>
      <w:proofErr w:type="spellStart"/>
      <w:r w:rsidRPr="00467DB0">
        <w:t>Kommissionen</w:t>
      </w:r>
      <w:proofErr w:type="spellEnd"/>
      <w:r w:rsidRPr="00467DB0">
        <w:t xml:space="preserve"> drage nytte </w:t>
      </w:r>
      <w:proofErr w:type="spellStart"/>
      <w:r w:rsidRPr="00467DB0">
        <w:t>af</w:t>
      </w:r>
      <w:proofErr w:type="spellEnd"/>
      <w:r w:rsidRPr="00467DB0">
        <w:t xml:space="preserve"> EUMETSAT med </w:t>
      </w:r>
      <w:proofErr w:type="spellStart"/>
      <w:r w:rsidRPr="00467DB0">
        <w:t>henblik</w:t>
      </w:r>
      <w:proofErr w:type="spellEnd"/>
      <w:r w:rsidRPr="00467DB0">
        <w:t xml:space="preserve"> på </w:t>
      </w:r>
      <w:proofErr w:type="spellStart"/>
      <w:r w:rsidRPr="00467DB0">
        <w:t>gennemførelse</w:t>
      </w:r>
      <w:proofErr w:type="spellEnd"/>
      <w:r w:rsidRPr="00467DB0">
        <w:t xml:space="preserve"> </w:t>
      </w:r>
      <w:proofErr w:type="spellStart"/>
      <w:r w:rsidRPr="00467DB0">
        <w:t>af</w:t>
      </w:r>
      <w:proofErr w:type="spellEnd"/>
      <w:r w:rsidRPr="00467DB0">
        <w:t xml:space="preserve"> særlige missioner eller dele </w:t>
      </w:r>
      <w:proofErr w:type="spellStart"/>
      <w:r w:rsidRPr="00467DB0">
        <w:t>heraf</w:t>
      </w:r>
      <w:proofErr w:type="spellEnd"/>
      <w:r w:rsidRPr="00467DB0">
        <w:t xml:space="preserve"> og, hvor det er relevant, adg</w:t>
      </w:r>
      <w:r w:rsidRPr="00467DB0">
        <w:t xml:space="preserve">ang til bidragende missionsdata i overensstemmelse med sin ekspertise og </w:t>
      </w:r>
      <w:proofErr w:type="spellStart"/>
      <w:r w:rsidRPr="00467DB0">
        <w:t>sit</w:t>
      </w:r>
      <w:proofErr w:type="spellEnd"/>
      <w:r w:rsidRPr="00467DB0">
        <w:t xml:space="preserve"> mandat.</w:t>
      </w:r>
    </w:p>
    <w:p w14:paraId="716077FF" w14:textId="77777777" w:rsidR="00000000" w:rsidRPr="00467DB0" w:rsidRDefault="00693D67" w:rsidP="00467DB0">
      <w:pPr>
        <w:pStyle w:val="friliste"/>
      </w:pPr>
      <w:r w:rsidRPr="00467DB0">
        <w:t>(87)</w:t>
      </w:r>
      <w:r w:rsidRPr="00467DB0">
        <w:tab/>
        <w:t xml:space="preserve">På tjenesteområdet bør </w:t>
      </w:r>
      <w:proofErr w:type="spellStart"/>
      <w:r w:rsidRPr="00467DB0">
        <w:t>Kommissionen</w:t>
      </w:r>
      <w:proofErr w:type="spellEnd"/>
      <w:r w:rsidRPr="00467DB0">
        <w:t xml:space="preserve"> drage passende fordel </w:t>
      </w:r>
      <w:proofErr w:type="spellStart"/>
      <w:r w:rsidRPr="00467DB0">
        <w:t>af</w:t>
      </w:r>
      <w:proofErr w:type="spellEnd"/>
      <w:r w:rsidRPr="00467DB0">
        <w:t xml:space="preserve"> den særlige </w:t>
      </w:r>
      <w:proofErr w:type="spellStart"/>
      <w:r w:rsidRPr="00467DB0">
        <w:t>kapacitet</w:t>
      </w:r>
      <w:proofErr w:type="spellEnd"/>
      <w:r w:rsidRPr="00467DB0">
        <w:t xml:space="preserve">, der </w:t>
      </w:r>
      <w:proofErr w:type="spellStart"/>
      <w:r w:rsidRPr="00467DB0">
        <w:t>tilvejebringes</w:t>
      </w:r>
      <w:proofErr w:type="spellEnd"/>
      <w:r w:rsidRPr="00467DB0">
        <w:t xml:space="preserve"> </w:t>
      </w:r>
      <w:proofErr w:type="spellStart"/>
      <w:r w:rsidRPr="00467DB0">
        <w:t>af</w:t>
      </w:r>
      <w:proofErr w:type="spellEnd"/>
      <w:r w:rsidRPr="00467DB0">
        <w:t xml:space="preserve"> EU-</w:t>
      </w:r>
      <w:proofErr w:type="spellStart"/>
      <w:r w:rsidRPr="00467DB0">
        <w:t>agenturerne</w:t>
      </w:r>
      <w:proofErr w:type="spellEnd"/>
      <w:r w:rsidRPr="00467DB0">
        <w:t xml:space="preserve">, såsom Det </w:t>
      </w:r>
      <w:proofErr w:type="spellStart"/>
      <w:r w:rsidRPr="00467DB0">
        <w:t>Europæiske</w:t>
      </w:r>
      <w:proofErr w:type="spellEnd"/>
      <w:r w:rsidRPr="00467DB0">
        <w:t xml:space="preserve"> Miljøagentur (EEA), Det</w:t>
      </w:r>
      <w:r w:rsidRPr="00467DB0">
        <w:t xml:space="preserve"> </w:t>
      </w:r>
      <w:proofErr w:type="spellStart"/>
      <w:r w:rsidRPr="00467DB0">
        <w:t>Europæiske</w:t>
      </w:r>
      <w:proofErr w:type="spellEnd"/>
      <w:r w:rsidRPr="00467DB0">
        <w:t xml:space="preserve"> Agentur for </w:t>
      </w:r>
      <w:proofErr w:type="spellStart"/>
      <w:r w:rsidRPr="00467DB0">
        <w:t>Søfartssikkerhed</w:t>
      </w:r>
      <w:proofErr w:type="spellEnd"/>
      <w:r w:rsidRPr="00467DB0">
        <w:t xml:space="preserve"> (EMSA), </w:t>
      </w:r>
      <w:proofErr w:type="spellStart"/>
      <w:r w:rsidRPr="00467DB0">
        <w:t>Frontex</w:t>
      </w:r>
      <w:proofErr w:type="spellEnd"/>
      <w:r w:rsidRPr="00467DB0">
        <w:t xml:space="preserve">, </w:t>
      </w:r>
      <w:proofErr w:type="spellStart"/>
      <w:r w:rsidRPr="00467DB0">
        <w:t>Satcen</w:t>
      </w:r>
      <w:proofErr w:type="spellEnd"/>
      <w:r w:rsidRPr="00467DB0">
        <w:t xml:space="preserve"> samt på </w:t>
      </w:r>
      <w:proofErr w:type="spellStart"/>
      <w:r w:rsidRPr="00467DB0">
        <w:t>mellemstatsligt</w:t>
      </w:r>
      <w:proofErr w:type="spellEnd"/>
      <w:r w:rsidRPr="00467DB0">
        <w:t xml:space="preserve"> plan Det </w:t>
      </w:r>
      <w:proofErr w:type="spellStart"/>
      <w:r w:rsidRPr="00467DB0">
        <w:t>Europæiske</w:t>
      </w:r>
      <w:proofErr w:type="spellEnd"/>
      <w:r w:rsidRPr="00467DB0">
        <w:t xml:space="preserve"> Center for </w:t>
      </w:r>
      <w:proofErr w:type="spellStart"/>
      <w:r w:rsidRPr="00467DB0">
        <w:t>Mellemfristede</w:t>
      </w:r>
      <w:proofErr w:type="spellEnd"/>
      <w:r w:rsidRPr="00467DB0">
        <w:t xml:space="preserve"> </w:t>
      </w:r>
      <w:proofErr w:type="spellStart"/>
      <w:r w:rsidRPr="00467DB0">
        <w:t>Vejrprognoser</w:t>
      </w:r>
      <w:proofErr w:type="spellEnd"/>
      <w:r w:rsidRPr="00467DB0">
        <w:t xml:space="preserve"> (ECMWF) og de </w:t>
      </w:r>
      <w:proofErr w:type="spellStart"/>
      <w:r w:rsidRPr="00467DB0">
        <w:t>europæiske</w:t>
      </w:r>
      <w:proofErr w:type="spellEnd"/>
      <w:r w:rsidRPr="00467DB0">
        <w:t xml:space="preserve"> investeringer, der allerede er </w:t>
      </w:r>
      <w:proofErr w:type="spellStart"/>
      <w:r w:rsidRPr="00467DB0">
        <w:t>foretaget</w:t>
      </w:r>
      <w:proofErr w:type="spellEnd"/>
      <w:r w:rsidRPr="00467DB0">
        <w:t xml:space="preserve"> i </w:t>
      </w:r>
      <w:proofErr w:type="spellStart"/>
      <w:r w:rsidRPr="00467DB0">
        <w:t>havovervågningstjenesterne</w:t>
      </w:r>
      <w:proofErr w:type="spellEnd"/>
      <w:r w:rsidRPr="00467DB0">
        <w:t xml:space="preserve"> </w:t>
      </w:r>
      <w:proofErr w:type="spellStart"/>
      <w:r w:rsidRPr="00467DB0">
        <w:t>gennem</w:t>
      </w:r>
      <w:proofErr w:type="spellEnd"/>
      <w:r w:rsidRPr="00467DB0">
        <w:t xml:space="preserve"> </w:t>
      </w:r>
      <w:proofErr w:type="spellStart"/>
      <w:r w:rsidRPr="00467DB0">
        <w:t>Merca</w:t>
      </w:r>
      <w:r w:rsidRPr="00467DB0">
        <w:t>tor</w:t>
      </w:r>
      <w:proofErr w:type="spellEnd"/>
      <w:r w:rsidRPr="00467DB0">
        <w:t xml:space="preserve"> Ocean. På </w:t>
      </w:r>
      <w:proofErr w:type="spellStart"/>
      <w:r w:rsidRPr="00467DB0">
        <w:t>sikkerhedsområdet</w:t>
      </w:r>
      <w:proofErr w:type="spellEnd"/>
      <w:r w:rsidRPr="00467DB0">
        <w:t xml:space="preserve"> vil der </w:t>
      </w:r>
      <w:proofErr w:type="spellStart"/>
      <w:r w:rsidRPr="00467DB0">
        <w:t>søges</w:t>
      </w:r>
      <w:proofErr w:type="spellEnd"/>
      <w:r w:rsidRPr="00467DB0">
        <w:t xml:space="preserve"> en samlet tilgang på EU-plan sammen med den </w:t>
      </w:r>
      <w:proofErr w:type="spellStart"/>
      <w:r w:rsidRPr="00467DB0">
        <w:t>højtstående</w:t>
      </w:r>
      <w:proofErr w:type="spellEnd"/>
      <w:r w:rsidRPr="00467DB0">
        <w:t xml:space="preserve"> </w:t>
      </w:r>
      <w:proofErr w:type="spellStart"/>
      <w:r w:rsidRPr="00467DB0">
        <w:t>repræsentant</w:t>
      </w:r>
      <w:proofErr w:type="spellEnd"/>
      <w:r w:rsidRPr="00467DB0">
        <w:t xml:space="preserve">. </w:t>
      </w:r>
      <w:proofErr w:type="spellStart"/>
      <w:r w:rsidRPr="00467DB0">
        <w:t>Kommissionens</w:t>
      </w:r>
      <w:proofErr w:type="spellEnd"/>
      <w:r w:rsidRPr="00467DB0">
        <w:t xml:space="preserve"> </w:t>
      </w:r>
      <w:proofErr w:type="spellStart"/>
      <w:r w:rsidRPr="00467DB0">
        <w:t>Fælles</w:t>
      </w:r>
      <w:proofErr w:type="spellEnd"/>
      <w:r w:rsidRPr="00467DB0">
        <w:t xml:space="preserve"> </w:t>
      </w:r>
      <w:proofErr w:type="spellStart"/>
      <w:r w:rsidRPr="00467DB0">
        <w:t>Forskningscenter</w:t>
      </w:r>
      <w:proofErr w:type="spellEnd"/>
      <w:r w:rsidRPr="00467DB0">
        <w:t xml:space="preserve"> (JRC) har </w:t>
      </w:r>
      <w:proofErr w:type="spellStart"/>
      <w:r w:rsidRPr="00467DB0">
        <w:t>deltaget</w:t>
      </w:r>
      <w:proofErr w:type="spellEnd"/>
      <w:r w:rsidRPr="00467DB0">
        <w:t xml:space="preserve"> aktivt fra starten </w:t>
      </w:r>
      <w:proofErr w:type="spellStart"/>
      <w:r w:rsidRPr="00467DB0">
        <w:t>af</w:t>
      </w:r>
      <w:proofErr w:type="spellEnd"/>
      <w:r w:rsidRPr="00467DB0">
        <w:t xml:space="preserve"> GMES-initiativet og har støttet </w:t>
      </w:r>
      <w:proofErr w:type="spellStart"/>
      <w:r w:rsidRPr="00467DB0">
        <w:t>udviklingen</w:t>
      </w:r>
      <w:proofErr w:type="spellEnd"/>
      <w:r w:rsidRPr="00467DB0">
        <w:t xml:space="preserve"> for så vidt angår</w:t>
      </w:r>
      <w:r w:rsidRPr="00467DB0">
        <w:t xml:space="preserve"> Galileo og SWE-delkomponenten. I henhold til forordning (EU) nr. 377/2014 forvalter JRC </w:t>
      </w:r>
      <w:proofErr w:type="spellStart"/>
      <w:r w:rsidRPr="00467DB0">
        <w:t>beredskabsstyringstjenesten</w:t>
      </w:r>
      <w:proofErr w:type="spellEnd"/>
      <w:r w:rsidRPr="00467DB0">
        <w:t xml:space="preserve"> i Copernicus og den globale komponent i </w:t>
      </w:r>
      <w:proofErr w:type="spellStart"/>
      <w:r w:rsidRPr="00467DB0">
        <w:t>landovervågningstjenesten</w:t>
      </w:r>
      <w:proofErr w:type="spellEnd"/>
      <w:r w:rsidRPr="00467DB0">
        <w:t xml:space="preserve"> under Copernicus, og det </w:t>
      </w:r>
      <w:proofErr w:type="spellStart"/>
      <w:r w:rsidRPr="00467DB0">
        <w:t>bidrager</w:t>
      </w:r>
      <w:proofErr w:type="spellEnd"/>
      <w:r w:rsidRPr="00467DB0">
        <w:t xml:space="preserve"> til kontrollen med kvaliteten og </w:t>
      </w:r>
      <w:proofErr w:type="spellStart"/>
      <w:r w:rsidRPr="00467DB0">
        <w:t>formål</w:t>
      </w:r>
      <w:r w:rsidRPr="00467DB0">
        <w:t>stjenligheden</w:t>
      </w:r>
      <w:proofErr w:type="spellEnd"/>
      <w:r w:rsidRPr="00467DB0">
        <w:t xml:space="preserve"> </w:t>
      </w:r>
      <w:proofErr w:type="spellStart"/>
      <w:r w:rsidRPr="00467DB0">
        <w:t>af</w:t>
      </w:r>
      <w:proofErr w:type="spellEnd"/>
      <w:r w:rsidRPr="00467DB0">
        <w:t xml:space="preserve"> data og </w:t>
      </w:r>
      <w:proofErr w:type="spellStart"/>
      <w:r w:rsidRPr="00467DB0">
        <w:t>informationer</w:t>
      </w:r>
      <w:proofErr w:type="spellEnd"/>
      <w:r w:rsidRPr="00467DB0">
        <w:t xml:space="preserve"> og til den fremtidige </w:t>
      </w:r>
      <w:proofErr w:type="spellStart"/>
      <w:r w:rsidRPr="00467DB0">
        <w:t>udvikling</w:t>
      </w:r>
      <w:proofErr w:type="spellEnd"/>
      <w:r w:rsidRPr="00467DB0">
        <w:t xml:space="preserve">. </w:t>
      </w:r>
      <w:proofErr w:type="spellStart"/>
      <w:r w:rsidRPr="00467DB0">
        <w:t>Kommissionen</w:t>
      </w:r>
      <w:proofErr w:type="spellEnd"/>
      <w:r w:rsidRPr="00467DB0">
        <w:t xml:space="preserve"> bør </w:t>
      </w:r>
      <w:proofErr w:type="spellStart"/>
      <w:r w:rsidRPr="00467DB0">
        <w:t>fortsat</w:t>
      </w:r>
      <w:proofErr w:type="spellEnd"/>
      <w:r w:rsidRPr="00467DB0">
        <w:t xml:space="preserve"> drage nytte </w:t>
      </w:r>
      <w:proofErr w:type="spellStart"/>
      <w:r w:rsidRPr="00467DB0">
        <w:t>af</w:t>
      </w:r>
      <w:proofErr w:type="spellEnd"/>
      <w:r w:rsidRPr="00467DB0">
        <w:t xml:space="preserve"> </w:t>
      </w:r>
      <w:proofErr w:type="spellStart"/>
      <w:r w:rsidRPr="00467DB0">
        <w:t>JRC's</w:t>
      </w:r>
      <w:proofErr w:type="spellEnd"/>
      <w:r w:rsidRPr="00467DB0">
        <w:t xml:space="preserve"> </w:t>
      </w:r>
      <w:proofErr w:type="spellStart"/>
      <w:r w:rsidRPr="00467DB0">
        <w:t>videnskabelige</w:t>
      </w:r>
      <w:proofErr w:type="spellEnd"/>
      <w:r w:rsidRPr="00467DB0">
        <w:t xml:space="preserve"> og tekniske støtte med </w:t>
      </w:r>
      <w:proofErr w:type="spellStart"/>
      <w:r w:rsidRPr="00467DB0">
        <w:t>henblik</w:t>
      </w:r>
      <w:proofErr w:type="spellEnd"/>
      <w:r w:rsidRPr="00467DB0">
        <w:t xml:space="preserve"> på </w:t>
      </w:r>
      <w:proofErr w:type="spellStart"/>
      <w:r w:rsidRPr="00467DB0">
        <w:t>gennemførelsen</w:t>
      </w:r>
      <w:proofErr w:type="spellEnd"/>
      <w:r w:rsidRPr="00467DB0">
        <w:t xml:space="preserve"> </w:t>
      </w:r>
      <w:proofErr w:type="spellStart"/>
      <w:r w:rsidRPr="00467DB0">
        <w:t>af</w:t>
      </w:r>
      <w:proofErr w:type="spellEnd"/>
      <w:r w:rsidRPr="00467DB0">
        <w:t xml:space="preserve"> Copernicus.</w:t>
      </w:r>
    </w:p>
    <w:p w14:paraId="1CE86C72" w14:textId="77777777" w:rsidR="00000000" w:rsidRPr="00467DB0" w:rsidRDefault="00693D67" w:rsidP="00467DB0">
      <w:pPr>
        <w:pStyle w:val="friliste"/>
      </w:pPr>
      <w:r w:rsidRPr="00467DB0">
        <w:t>(88)</w:t>
      </w:r>
      <w:r w:rsidRPr="00467DB0">
        <w:tab/>
      </w:r>
      <w:r w:rsidRPr="00467DB0">
        <w:t xml:space="preserve">Efter anmodning fra Europa-Parlamentet og Rådet </w:t>
      </w:r>
      <w:proofErr w:type="spellStart"/>
      <w:r w:rsidRPr="00467DB0">
        <w:t>oprettede</w:t>
      </w:r>
      <w:proofErr w:type="spellEnd"/>
      <w:r w:rsidRPr="00467DB0">
        <w:t xml:space="preserve"> Unionen en støtteramme for </w:t>
      </w:r>
      <w:proofErr w:type="spellStart"/>
      <w:r w:rsidRPr="00467DB0">
        <w:t>overvågning</w:t>
      </w:r>
      <w:proofErr w:type="spellEnd"/>
      <w:r w:rsidRPr="00467DB0">
        <w:t xml:space="preserve"> og sporing i </w:t>
      </w:r>
      <w:proofErr w:type="spellStart"/>
      <w:r w:rsidRPr="00467DB0">
        <w:t>rummet</w:t>
      </w:r>
      <w:proofErr w:type="spellEnd"/>
      <w:r w:rsidRPr="00467DB0">
        <w:t xml:space="preserve"> (SST) ved </w:t>
      </w:r>
      <w:proofErr w:type="spellStart"/>
      <w:r w:rsidRPr="00467DB0">
        <w:t>afgørelse</w:t>
      </w:r>
      <w:proofErr w:type="spellEnd"/>
      <w:r w:rsidRPr="00467DB0">
        <w:t xml:space="preserve"> nr. 541/2014/EU. </w:t>
      </w:r>
      <w:proofErr w:type="spellStart"/>
      <w:r w:rsidRPr="00467DB0">
        <w:t>Rumaffald</w:t>
      </w:r>
      <w:proofErr w:type="spellEnd"/>
      <w:r w:rsidRPr="00467DB0">
        <w:t xml:space="preserve"> er </w:t>
      </w:r>
      <w:proofErr w:type="spellStart"/>
      <w:r w:rsidRPr="00467DB0">
        <w:t>blevet</w:t>
      </w:r>
      <w:proofErr w:type="spellEnd"/>
      <w:r w:rsidRPr="00467DB0">
        <w:t xml:space="preserve"> en alvorlig trussel mod </w:t>
      </w:r>
      <w:proofErr w:type="spellStart"/>
      <w:r w:rsidRPr="00467DB0">
        <w:t>rumaktiviteters</w:t>
      </w:r>
      <w:proofErr w:type="spellEnd"/>
      <w:r w:rsidRPr="00467DB0">
        <w:t xml:space="preserve"> </w:t>
      </w:r>
      <w:proofErr w:type="spellStart"/>
      <w:r w:rsidRPr="00467DB0">
        <w:t>sikkerhed</w:t>
      </w:r>
      <w:proofErr w:type="spellEnd"/>
      <w:r w:rsidRPr="00467DB0">
        <w:t xml:space="preserve"> og </w:t>
      </w:r>
      <w:proofErr w:type="spellStart"/>
      <w:r w:rsidRPr="00467DB0">
        <w:t>bæredygtighed</w:t>
      </w:r>
      <w:proofErr w:type="spellEnd"/>
      <w:r w:rsidRPr="00467DB0">
        <w:t>. SST-delkompone</w:t>
      </w:r>
      <w:r w:rsidRPr="00467DB0">
        <w:t xml:space="preserve">nten er derfor </w:t>
      </w:r>
      <w:proofErr w:type="spellStart"/>
      <w:r w:rsidRPr="00467DB0">
        <w:t>af</w:t>
      </w:r>
      <w:proofErr w:type="spellEnd"/>
      <w:r w:rsidRPr="00467DB0">
        <w:t xml:space="preserve"> </w:t>
      </w:r>
      <w:proofErr w:type="spellStart"/>
      <w:r w:rsidRPr="00467DB0">
        <w:t>afgørende</w:t>
      </w:r>
      <w:proofErr w:type="spellEnd"/>
      <w:r w:rsidRPr="00467DB0">
        <w:t xml:space="preserve"> betydning for at bevare kontinuiteten i programmets komponenter og deres bidrag til Unionens politikker. Ved at </w:t>
      </w:r>
      <w:proofErr w:type="spellStart"/>
      <w:r w:rsidRPr="00467DB0">
        <w:t>søge</w:t>
      </w:r>
      <w:proofErr w:type="spellEnd"/>
      <w:r w:rsidRPr="00467DB0">
        <w:t xml:space="preserve"> at forhindre spredning </w:t>
      </w:r>
      <w:proofErr w:type="spellStart"/>
      <w:r w:rsidRPr="00467DB0">
        <w:t>af</w:t>
      </w:r>
      <w:proofErr w:type="spellEnd"/>
      <w:r w:rsidRPr="00467DB0">
        <w:t xml:space="preserve"> </w:t>
      </w:r>
      <w:proofErr w:type="spellStart"/>
      <w:r w:rsidRPr="00467DB0">
        <w:t>rumaffald</w:t>
      </w:r>
      <w:proofErr w:type="spellEnd"/>
      <w:r w:rsidRPr="00467DB0">
        <w:t xml:space="preserve"> </w:t>
      </w:r>
      <w:proofErr w:type="spellStart"/>
      <w:r w:rsidRPr="00467DB0">
        <w:t>bidrager</w:t>
      </w:r>
      <w:proofErr w:type="spellEnd"/>
      <w:r w:rsidRPr="00467DB0">
        <w:t xml:space="preserve"> SST-delkomponenten til at sikre en </w:t>
      </w:r>
      <w:proofErr w:type="spellStart"/>
      <w:r w:rsidRPr="00467DB0">
        <w:t>bæredygtig</w:t>
      </w:r>
      <w:proofErr w:type="spellEnd"/>
      <w:r w:rsidRPr="00467DB0">
        <w:t xml:space="preserve"> og </w:t>
      </w:r>
      <w:proofErr w:type="spellStart"/>
      <w:r w:rsidRPr="00467DB0">
        <w:t>garanteret</w:t>
      </w:r>
      <w:proofErr w:type="spellEnd"/>
      <w:r w:rsidRPr="00467DB0">
        <w:t xml:space="preserve"> adgang</w:t>
      </w:r>
      <w:r w:rsidRPr="00467DB0">
        <w:t xml:space="preserve"> til og </w:t>
      </w:r>
      <w:proofErr w:type="spellStart"/>
      <w:r w:rsidRPr="00467DB0">
        <w:t>brug</w:t>
      </w:r>
      <w:proofErr w:type="spellEnd"/>
      <w:r w:rsidRPr="00467DB0">
        <w:t xml:space="preserve"> </w:t>
      </w:r>
      <w:proofErr w:type="spellStart"/>
      <w:r w:rsidRPr="00467DB0">
        <w:t>af</w:t>
      </w:r>
      <w:proofErr w:type="spellEnd"/>
      <w:r w:rsidRPr="00467DB0">
        <w:t xml:space="preserve"> </w:t>
      </w:r>
      <w:proofErr w:type="spellStart"/>
      <w:r w:rsidRPr="00467DB0">
        <w:t>rummet</w:t>
      </w:r>
      <w:proofErr w:type="spellEnd"/>
      <w:r w:rsidRPr="00467DB0">
        <w:t xml:space="preserve">, </w:t>
      </w:r>
      <w:r w:rsidRPr="00467DB0">
        <w:lastRenderedPageBreak/>
        <w:t xml:space="preserve">hvilket er et globalt </w:t>
      </w:r>
      <w:proofErr w:type="spellStart"/>
      <w:r w:rsidRPr="00467DB0">
        <w:t>fælles</w:t>
      </w:r>
      <w:proofErr w:type="spellEnd"/>
      <w:r w:rsidRPr="00467DB0">
        <w:t xml:space="preserve"> mål. I denne forbindelse kunne SST støtte forberedelsen </w:t>
      </w:r>
      <w:proofErr w:type="spellStart"/>
      <w:r w:rsidRPr="00467DB0">
        <w:t>af</w:t>
      </w:r>
      <w:proofErr w:type="spellEnd"/>
      <w:r w:rsidRPr="00467DB0">
        <w:t xml:space="preserve"> EU-</w:t>
      </w:r>
      <w:proofErr w:type="spellStart"/>
      <w:r w:rsidRPr="00467DB0">
        <w:t>projekter</w:t>
      </w:r>
      <w:proofErr w:type="spellEnd"/>
      <w:r w:rsidRPr="00467DB0">
        <w:t xml:space="preserve"> for "</w:t>
      </w:r>
      <w:proofErr w:type="spellStart"/>
      <w:r w:rsidRPr="00467DB0">
        <w:t>oprydning</w:t>
      </w:r>
      <w:proofErr w:type="spellEnd"/>
      <w:r w:rsidRPr="00467DB0">
        <w:t>" i jordens bane.</w:t>
      </w:r>
    </w:p>
    <w:p w14:paraId="1B95202B" w14:textId="77777777" w:rsidR="00000000" w:rsidRPr="00467DB0" w:rsidRDefault="00693D67" w:rsidP="00467DB0">
      <w:pPr>
        <w:pStyle w:val="friliste"/>
      </w:pPr>
      <w:r w:rsidRPr="00467DB0">
        <w:t>(89)</w:t>
      </w:r>
      <w:r w:rsidRPr="00467DB0">
        <w:tab/>
        <w:t xml:space="preserve">Der bør </w:t>
      </w:r>
      <w:proofErr w:type="spellStart"/>
      <w:r w:rsidRPr="00467DB0">
        <w:t>ske</w:t>
      </w:r>
      <w:proofErr w:type="spellEnd"/>
      <w:r w:rsidRPr="00467DB0">
        <w:t xml:space="preserve"> </w:t>
      </w:r>
      <w:proofErr w:type="spellStart"/>
      <w:r w:rsidRPr="00467DB0">
        <w:t>videreudvikling</w:t>
      </w:r>
      <w:proofErr w:type="spellEnd"/>
      <w:r w:rsidRPr="00467DB0">
        <w:t xml:space="preserve"> </w:t>
      </w:r>
      <w:proofErr w:type="spellStart"/>
      <w:r w:rsidRPr="00467DB0">
        <w:t>af</w:t>
      </w:r>
      <w:proofErr w:type="spellEnd"/>
      <w:r w:rsidRPr="00467DB0">
        <w:t xml:space="preserve"> </w:t>
      </w:r>
      <w:proofErr w:type="spellStart"/>
      <w:r w:rsidRPr="00467DB0">
        <w:t>præstation</w:t>
      </w:r>
      <w:proofErr w:type="spellEnd"/>
      <w:r w:rsidRPr="00467DB0">
        <w:t xml:space="preserve"> og autonomi for </w:t>
      </w:r>
      <w:proofErr w:type="spellStart"/>
      <w:r w:rsidRPr="00467DB0">
        <w:t>kapaciteter</w:t>
      </w:r>
      <w:proofErr w:type="spellEnd"/>
      <w:r w:rsidRPr="00467DB0">
        <w:t xml:space="preserve"> under SST-delkomponenten</w:t>
      </w:r>
      <w:r w:rsidRPr="00467DB0">
        <w:t xml:space="preserve">. Med </w:t>
      </w:r>
      <w:proofErr w:type="spellStart"/>
      <w:r w:rsidRPr="00467DB0">
        <w:t>henblik</w:t>
      </w:r>
      <w:proofErr w:type="spellEnd"/>
      <w:r w:rsidRPr="00467DB0">
        <w:t xml:space="preserve"> herpå bør der </w:t>
      </w:r>
      <w:proofErr w:type="spellStart"/>
      <w:r w:rsidRPr="00467DB0">
        <w:t>oprettes</w:t>
      </w:r>
      <w:proofErr w:type="spellEnd"/>
      <w:r w:rsidRPr="00467DB0">
        <w:t xml:space="preserve"> et </w:t>
      </w:r>
      <w:proofErr w:type="spellStart"/>
      <w:r w:rsidRPr="00467DB0">
        <w:t>selvstændigt</w:t>
      </w:r>
      <w:proofErr w:type="spellEnd"/>
      <w:r w:rsidRPr="00467DB0">
        <w:t xml:space="preserve"> </w:t>
      </w:r>
      <w:proofErr w:type="spellStart"/>
      <w:r w:rsidRPr="00467DB0">
        <w:t>europæisk</w:t>
      </w:r>
      <w:proofErr w:type="spellEnd"/>
      <w:r w:rsidRPr="00467DB0">
        <w:t xml:space="preserve"> katalog over </w:t>
      </w:r>
      <w:proofErr w:type="spellStart"/>
      <w:r w:rsidRPr="00467DB0">
        <w:t>rumobjekter</w:t>
      </w:r>
      <w:proofErr w:type="spellEnd"/>
      <w:r w:rsidRPr="00467DB0">
        <w:t xml:space="preserve">, der bygger på data fra nettet </w:t>
      </w:r>
      <w:proofErr w:type="spellStart"/>
      <w:r w:rsidRPr="00467DB0">
        <w:t>af</w:t>
      </w:r>
      <w:proofErr w:type="spellEnd"/>
      <w:r w:rsidRPr="00467DB0">
        <w:t xml:space="preserve"> SST-sensorer. Unionen kunne, hvor det er relevant, </w:t>
      </w:r>
      <w:proofErr w:type="spellStart"/>
      <w:r w:rsidRPr="00467DB0">
        <w:t>overveje</w:t>
      </w:r>
      <w:proofErr w:type="spellEnd"/>
      <w:r w:rsidRPr="00467DB0">
        <w:t xml:space="preserve"> at stille </w:t>
      </w:r>
      <w:proofErr w:type="spellStart"/>
      <w:r w:rsidRPr="00467DB0">
        <w:t>nogle</w:t>
      </w:r>
      <w:proofErr w:type="spellEnd"/>
      <w:r w:rsidRPr="00467DB0">
        <w:t xml:space="preserve"> </w:t>
      </w:r>
      <w:proofErr w:type="spellStart"/>
      <w:r w:rsidRPr="00467DB0">
        <w:t>af</w:t>
      </w:r>
      <w:proofErr w:type="spellEnd"/>
      <w:r w:rsidRPr="00467DB0">
        <w:t xml:space="preserve"> sine data til </w:t>
      </w:r>
      <w:proofErr w:type="spellStart"/>
      <w:r w:rsidRPr="00467DB0">
        <w:t>rådighed</w:t>
      </w:r>
      <w:proofErr w:type="spellEnd"/>
      <w:r w:rsidRPr="00467DB0">
        <w:t xml:space="preserve"> for </w:t>
      </w:r>
      <w:proofErr w:type="spellStart"/>
      <w:r w:rsidRPr="00467DB0">
        <w:t>kommercielle</w:t>
      </w:r>
      <w:proofErr w:type="spellEnd"/>
      <w:r w:rsidRPr="00467DB0">
        <w:t xml:space="preserve">, </w:t>
      </w:r>
      <w:proofErr w:type="spellStart"/>
      <w:r w:rsidRPr="00467DB0">
        <w:t>ikkekommerciel</w:t>
      </w:r>
      <w:r w:rsidRPr="00467DB0">
        <w:t>le</w:t>
      </w:r>
      <w:proofErr w:type="spellEnd"/>
      <w:r w:rsidRPr="00467DB0">
        <w:t xml:space="preserve"> og </w:t>
      </w:r>
      <w:proofErr w:type="spellStart"/>
      <w:r w:rsidRPr="00467DB0">
        <w:t>forskningsmæssige</w:t>
      </w:r>
      <w:proofErr w:type="spellEnd"/>
      <w:r w:rsidRPr="00467DB0">
        <w:t xml:space="preserve"> formål. SST-delkomponenten bør også </w:t>
      </w:r>
      <w:proofErr w:type="spellStart"/>
      <w:r w:rsidRPr="00467DB0">
        <w:t>fortsat</w:t>
      </w:r>
      <w:proofErr w:type="spellEnd"/>
      <w:r w:rsidRPr="00467DB0">
        <w:t xml:space="preserve"> støtte driften og leveringen </w:t>
      </w:r>
      <w:proofErr w:type="spellStart"/>
      <w:r w:rsidRPr="00467DB0">
        <w:t>af</w:t>
      </w:r>
      <w:proofErr w:type="spellEnd"/>
      <w:r w:rsidRPr="00467DB0">
        <w:t xml:space="preserve"> SST-tjenester. Da SST-tjenester er </w:t>
      </w:r>
      <w:proofErr w:type="spellStart"/>
      <w:r w:rsidRPr="00467DB0">
        <w:t>brugerdrevne</w:t>
      </w:r>
      <w:proofErr w:type="spellEnd"/>
      <w:r w:rsidRPr="00467DB0">
        <w:t xml:space="preserve">, bør der </w:t>
      </w:r>
      <w:proofErr w:type="spellStart"/>
      <w:r w:rsidRPr="00467DB0">
        <w:t>indføres</w:t>
      </w:r>
      <w:proofErr w:type="spellEnd"/>
      <w:r w:rsidRPr="00467DB0">
        <w:t xml:space="preserve"> passende mekanismer til at </w:t>
      </w:r>
      <w:proofErr w:type="spellStart"/>
      <w:r w:rsidRPr="00467DB0">
        <w:t>indsamle</w:t>
      </w:r>
      <w:proofErr w:type="spellEnd"/>
      <w:r w:rsidRPr="00467DB0">
        <w:t xml:space="preserve"> </w:t>
      </w:r>
      <w:proofErr w:type="spellStart"/>
      <w:r w:rsidRPr="00467DB0">
        <w:t>brugerkrav</w:t>
      </w:r>
      <w:proofErr w:type="spellEnd"/>
      <w:r w:rsidRPr="00467DB0">
        <w:t xml:space="preserve">, herunder krav </w:t>
      </w:r>
      <w:proofErr w:type="gramStart"/>
      <w:r w:rsidRPr="00467DB0">
        <w:t>vedrørende</w:t>
      </w:r>
      <w:proofErr w:type="gramEnd"/>
      <w:r w:rsidRPr="00467DB0">
        <w:t xml:space="preserve"> </w:t>
      </w:r>
      <w:proofErr w:type="spellStart"/>
      <w:r w:rsidRPr="00467DB0">
        <w:t>sikkerhed</w:t>
      </w:r>
      <w:proofErr w:type="spellEnd"/>
      <w:r w:rsidRPr="00467DB0">
        <w:t xml:space="preserve"> og </w:t>
      </w:r>
      <w:proofErr w:type="spellStart"/>
      <w:r w:rsidRPr="00467DB0">
        <w:t>vide</w:t>
      </w:r>
      <w:r w:rsidRPr="00467DB0">
        <w:t>regivelse</w:t>
      </w:r>
      <w:proofErr w:type="spellEnd"/>
      <w:r w:rsidRPr="00467DB0">
        <w:t xml:space="preserve"> </w:t>
      </w:r>
      <w:proofErr w:type="spellStart"/>
      <w:r w:rsidRPr="00467DB0">
        <w:t>af</w:t>
      </w:r>
      <w:proofErr w:type="spellEnd"/>
      <w:r w:rsidRPr="00467DB0">
        <w:t xml:space="preserve"> relevante </w:t>
      </w:r>
      <w:proofErr w:type="spellStart"/>
      <w:r w:rsidRPr="00467DB0">
        <w:t>oplysninger</w:t>
      </w:r>
      <w:proofErr w:type="spellEnd"/>
      <w:r w:rsidRPr="00467DB0">
        <w:t xml:space="preserve"> til og fra offentlige </w:t>
      </w:r>
      <w:proofErr w:type="spellStart"/>
      <w:r w:rsidRPr="00467DB0">
        <w:t>institutioner</w:t>
      </w:r>
      <w:proofErr w:type="spellEnd"/>
      <w:r w:rsidRPr="00467DB0">
        <w:t xml:space="preserve"> for at </w:t>
      </w:r>
      <w:proofErr w:type="spellStart"/>
      <w:r w:rsidRPr="00467DB0">
        <w:t>gøre</w:t>
      </w:r>
      <w:proofErr w:type="spellEnd"/>
      <w:r w:rsidRPr="00467DB0">
        <w:t xml:space="preserve"> systemet mere effektivt, samtidig med at </w:t>
      </w:r>
      <w:proofErr w:type="spellStart"/>
      <w:r w:rsidRPr="00467DB0">
        <w:t>nationale</w:t>
      </w:r>
      <w:proofErr w:type="spellEnd"/>
      <w:r w:rsidRPr="00467DB0">
        <w:t xml:space="preserve"> </w:t>
      </w:r>
      <w:proofErr w:type="spellStart"/>
      <w:r w:rsidRPr="00467DB0">
        <w:t>sikkerhedspolitikker</w:t>
      </w:r>
      <w:proofErr w:type="spellEnd"/>
      <w:r w:rsidRPr="00467DB0">
        <w:t xml:space="preserve"> overholdes.</w:t>
      </w:r>
    </w:p>
    <w:p w14:paraId="42FFC16D" w14:textId="77777777" w:rsidR="00000000" w:rsidRPr="00467DB0" w:rsidRDefault="00693D67" w:rsidP="00467DB0">
      <w:pPr>
        <w:pStyle w:val="friliste"/>
      </w:pPr>
      <w:r w:rsidRPr="00467DB0">
        <w:t>(90)</w:t>
      </w:r>
      <w:r w:rsidRPr="00467DB0">
        <w:tab/>
        <w:t xml:space="preserve">Leveringen </w:t>
      </w:r>
      <w:proofErr w:type="spellStart"/>
      <w:r w:rsidRPr="00467DB0">
        <w:t>af</w:t>
      </w:r>
      <w:proofErr w:type="spellEnd"/>
      <w:r w:rsidRPr="00467DB0">
        <w:t xml:space="preserve"> SST-tjenester bør være </w:t>
      </w:r>
      <w:proofErr w:type="spellStart"/>
      <w:r w:rsidRPr="00467DB0">
        <w:t>baseret</w:t>
      </w:r>
      <w:proofErr w:type="spellEnd"/>
      <w:r w:rsidRPr="00467DB0">
        <w:t xml:space="preserve"> på et </w:t>
      </w:r>
      <w:proofErr w:type="spellStart"/>
      <w:r w:rsidRPr="00467DB0">
        <w:t>samarbejde</w:t>
      </w:r>
      <w:proofErr w:type="spellEnd"/>
      <w:r w:rsidRPr="00467DB0">
        <w:t xml:space="preserve"> </w:t>
      </w:r>
      <w:proofErr w:type="spellStart"/>
      <w:r w:rsidRPr="00467DB0">
        <w:t>mellem</w:t>
      </w:r>
      <w:proofErr w:type="spellEnd"/>
      <w:r w:rsidRPr="00467DB0">
        <w:t xml:space="preserve"> Unionen og </w:t>
      </w:r>
      <w:proofErr w:type="spellStart"/>
      <w:r w:rsidRPr="00467DB0">
        <w:t>medl</w:t>
      </w:r>
      <w:r w:rsidRPr="00467DB0">
        <w:t>emsstaterne</w:t>
      </w:r>
      <w:proofErr w:type="spellEnd"/>
      <w:r w:rsidRPr="00467DB0">
        <w:t xml:space="preserve"> og på </w:t>
      </w:r>
      <w:proofErr w:type="gramStart"/>
      <w:r w:rsidRPr="00467DB0">
        <w:t>anvendelsen</w:t>
      </w:r>
      <w:proofErr w:type="gramEnd"/>
      <w:r w:rsidRPr="00467DB0">
        <w:t xml:space="preserve"> </w:t>
      </w:r>
      <w:proofErr w:type="spellStart"/>
      <w:r w:rsidRPr="00467DB0">
        <w:t>af</w:t>
      </w:r>
      <w:proofErr w:type="spellEnd"/>
      <w:r w:rsidRPr="00467DB0">
        <w:t xml:space="preserve"> eksisterende </w:t>
      </w:r>
      <w:proofErr w:type="spellStart"/>
      <w:r w:rsidRPr="00467DB0">
        <w:t>såvel</w:t>
      </w:r>
      <w:proofErr w:type="spellEnd"/>
      <w:r w:rsidRPr="00467DB0">
        <w:t xml:space="preserve"> som fremtidig </w:t>
      </w:r>
      <w:proofErr w:type="spellStart"/>
      <w:r w:rsidRPr="00467DB0">
        <w:t>national</w:t>
      </w:r>
      <w:proofErr w:type="spellEnd"/>
      <w:r w:rsidRPr="00467DB0">
        <w:t xml:space="preserve"> ekspertise og fremtidige </w:t>
      </w:r>
      <w:proofErr w:type="spellStart"/>
      <w:r w:rsidRPr="00467DB0">
        <w:t>nationale</w:t>
      </w:r>
      <w:proofErr w:type="spellEnd"/>
      <w:r w:rsidRPr="00467DB0">
        <w:t xml:space="preserve"> aktiver, herunder dem, der </w:t>
      </w:r>
      <w:proofErr w:type="spellStart"/>
      <w:r w:rsidRPr="00467DB0">
        <w:t>udvikles</w:t>
      </w:r>
      <w:proofErr w:type="spellEnd"/>
      <w:r w:rsidRPr="00467DB0">
        <w:t xml:space="preserve"> </w:t>
      </w:r>
      <w:proofErr w:type="spellStart"/>
      <w:r w:rsidRPr="00467DB0">
        <w:t>gennem</w:t>
      </w:r>
      <w:proofErr w:type="spellEnd"/>
      <w:r w:rsidRPr="00467DB0">
        <w:t xml:space="preserve"> ESA eller </w:t>
      </w:r>
      <w:proofErr w:type="spellStart"/>
      <w:r w:rsidRPr="00467DB0">
        <w:t>af</w:t>
      </w:r>
      <w:proofErr w:type="spellEnd"/>
      <w:r w:rsidRPr="00467DB0">
        <w:t xml:space="preserve"> Unionen. Det bør være </w:t>
      </w:r>
      <w:proofErr w:type="spellStart"/>
      <w:r w:rsidRPr="00467DB0">
        <w:t>muligt</w:t>
      </w:r>
      <w:proofErr w:type="spellEnd"/>
      <w:r w:rsidRPr="00467DB0">
        <w:t xml:space="preserve"> at </w:t>
      </w:r>
      <w:proofErr w:type="spellStart"/>
      <w:r w:rsidRPr="00467DB0">
        <w:t>yde</w:t>
      </w:r>
      <w:proofErr w:type="spellEnd"/>
      <w:r w:rsidRPr="00467DB0">
        <w:t xml:space="preserve"> </w:t>
      </w:r>
      <w:proofErr w:type="spellStart"/>
      <w:r w:rsidRPr="00467DB0">
        <w:t>finansiel</w:t>
      </w:r>
      <w:proofErr w:type="spellEnd"/>
      <w:r w:rsidRPr="00467DB0">
        <w:t xml:space="preserve"> støtte til </w:t>
      </w:r>
      <w:proofErr w:type="spellStart"/>
      <w:r w:rsidRPr="00467DB0">
        <w:t>udviklingen</w:t>
      </w:r>
      <w:proofErr w:type="spellEnd"/>
      <w:r w:rsidRPr="00467DB0">
        <w:t xml:space="preserve"> </w:t>
      </w:r>
      <w:proofErr w:type="spellStart"/>
      <w:r w:rsidRPr="00467DB0">
        <w:t>af</w:t>
      </w:r>
      <w:proofErr w:type="spellEnd"/>
      <w:r w:rsidRPr="00467DB0">
        <w:t xml:space="preserve"> nye SST-sensorer. </w:t>
      </w:r>
      <w:proofErr w:type="spellStart"/>
      <w:r w:rsidRPr="00467DB0">
        <w:t>Henset</w:t>
      </w:r>
      <w:proofErr w:type="spellEnd"/>
      <w:r w:rsidRPr="00467DB0">
        <w:t xml:space="preserve"> til den følsomme karakter </w:t>
      </w:r>
      <w:proofErr w:type="spellStart"/>
      <w:r w:rsidRPr="00467DB0">
        <w:t>af</w:t>
      </w:r>
      <w:proofErr w:type="spellEnd"/>
      <w:r w:rsidRPr="00467DB0">
        <w:t xml:space="preserve"> SST bør kontrollen med </w:t>
      </w:r>
      <w:proofErr w:type="spellStart"/>
      <w:r w:rsidRPr="00467DB0">
        <w:t>nationale</w:t>
      </w:r>
      <w:proofErr w:type="spellEnd"/>
      <w:r w:rsidRPr="00467DB0">
        <w:t xml:space="preserve"> sensorer og disses drift, </w:t>
      </w:r>
      <w:proofErr w:type="spellStart"/>
      <w:r w:rsidRPr="00467DB0">
        <w:t>vedligeholdelse</w:t>
      </w:r>
      <w:proofErr w:type="spellEnd"/>
      <w:r w:rsidRPr="00467DB0">
        <w:t xml:space="preserve"> og fornyelse og behandlingen </w:t>
      </w:r>
      <w:proofErr w:type="spellStart"/>
      <w:r w:rsidRPr="00467DB0">
        <w:t>af</w:t>
      </w:r>
      <w:proofErr w:type="spellEnd"/>
      <w:r w:rsidRPr="00467DB0">
        <w:t xml:space="preserve"> data </w:t>
      </w:r>
      <w:proofErr w:type="spellStart"/>
      <w:r w:rsidRPr="00467DB0">
        <w:t>forud</w:t>
      </w:r>
      <w:proofErr w:type="spellEnd"/>
      <w:r w:rsidRPr="00467DB0">
        <w:t xml:space="preserve"> for leveringen </w:t>
      </w:r>
      <w:proofErr w:type="spellStart"/>
      <w:r w:rsidRPr="00467DB0">
        <w:t>af</w:t>
      </w:r>
      <w:proofErr w:type="spellEnd"/>
      <w:r w:rsidRPr="00467DB0">
        <w:t xml:space="preserve"> SST-tjenester forblive hos de medlemsstater, der deltager i SST-delkomponenten.</w:t>
      </w:r>
    </w:p>
    <w:p w14:paraId="68AC4817" w14:textId="77777777" w:rsidR="00000000" w:rsidRPr="00467DB0" w:rsidRDefault="00693D67" w:rsidP="00467DB0">
      <w:pPr>
        <w:pStyle w:val="friliste"/>
      </w:pPr>
      <w:r w:rsidRPr="00467DB0">
        <w:t>(91)</w:t>
      </w:r>
      <w:r w:rsidRPr="00467DB0">
        <w:tab/>
        <w:t xml:space="preserve">Medlemsstater med </w:t>
      </w:r>
      <w:proofErr w:type="spellStart"/>
      <w:r w:rsidRPr="00467DB0">
        <w:t>ejerskab</w:t>
      </w:r>
      <w:proofErr w:type="spellEnd"/>
      <w:r w:rsidRPr="00467DB0">
        <w:t xml:space="preserve"> eller adgang til passende </w:t>
      </w:r>
      <w:proofErr w:type="spellStart"/>
      <w:r w:rsidRPr="00467DB0">
        <w:t>kapaciteter</w:t>
      </w:r>
      <w:proofErr w:type="spellEnd"/>
      <w:r w:rsidRPr="00467DB0">
        <w:t xml:space="preserve"> under SST-delkomponenten bør kunne </w:t>
      </w:r>
      <w:proofErr w:type="spellStart"/>
      <w:r w:rsidRPr="00467DB0">
        <w:t>deltage</w:t>
      </w:r>
      <w:proofErr w:type="spellEnd"/>
      <w:r w:rsidRPr="00467DB0">
        <w:t xml:space="preserve"> i leveringen </w:t>
      </w:r>
      <w:proofErr w:type="spellStart"/>
      <w:r w:rsidRPr="00467DB0">
        <w:t>af</w:t>
      </w:r>
      <w:proofErr w:type="spellEnd"/>
      <w:r w:rsidRPr="00467DB0">
        <w:t xml:space="preserve"> SST-tjenester. Medlemsstater, der deltager i SST-konsortiet </w:t>
      </w:r>
      <w:proofErr w:type="spellStart"/>
      <w:r w:rsidRPr="00467DB0">
        <w:t>etableret</w:t>
      </w:r>
      <w:proofErr w:type="spellEnd"/>
      <w:r w:rsidRPr="00467DB0">
        <w:t xml:space="preserve"> i overensstemmelse med </w:t>
      </w:r>
      <w:proofErr w:type="spellStart"/>
      <w:r w:rsidRPr="00467DB0">
        <w:t>afgørelse</w:t>
      </w:r>
      <w:proofErr w:type="spellEnd"/>
      <w:r w:rsidRPr="00467DB0">
        <w:t xml:space="preserve"> nr. 541/2014/EU, bør anses f</w:t>
      </w:r>
      <w:r w:rsidRPr="00467DB0">
        <w:t xml:space="preserve">or at have </w:t>
      </w:r>
      <w:proofErr w:type="spellStart"/>
      <w:r w:rsidRPr="00467DB0">
        <w:t>ejerskab</w:t>
      </w:r>
      <w:proofErr w:type="spellEnd"/>
      <w:r w:rsidRPr="00467DB0">
        <w:t xml:space="preserve"> eller adgang til passende </w:t>
      </w:r>
      <w:proofErr w:type="spellStart"/>
      <w:r w:rsidRPr="00467DB0">
        <w:t>kapaciteter</w:t>
      </w:r>
      <w:proofErr w:type="spellEnd"/>
      <w:r w:rsidRPr="00467DB0">
        <w:t xml:space="preserve"> under SST-delkomponenten. Medlemsstater, der ønsker at </w:t>
      </w:r>
      <w:proofErr w:type="spellStart"/>
      <w:r w:rsidRPr="00467DB0">
        <w:t>deltage</w:t>
      </w:r>
      <w:proofErr w:type="spellEnd"/>
      <w:r w:rsidRPr="00467DB0">
        <w:t xml:space="preserve"> i levering </w:t>
      </w:r>
      <w:proofErr w:type="spellStart"/>
      <w:r w:rsidRPr="00467DB0">
        <w:t>af</w:t>
      </w:r>
      <w:proofErr w:type="spellEnd"/>
      <w:r w:rsidRPr="00467DB0">
        <w:t xml:space="preserve"> SST-tjenester, bør fremsende et enkelt </w:t>
      </w:r>
      <w:proofErr w:type="spellStart"/>
      <w:r w:rsidRPr="00467DB0">
        <w:t>fælles</w:t>
      </w:r>
      <w:proofErr w:type="spellEnd"/>
      <w:r w:rsidRPr="00467DB0">
        <w:t xml:space="preserve"> forslag og dokumentere overensstemmelse med </w:t>
      </w:r>
      <w:proofErr w:type="spellStart"/>
      <w:r w:rsidRPr="00467DB0">
        <w:t>yderligere</w:t>
      </w:r>
      <w:proofErr w:type="spellEnd"/>
      <w:r w:rsidRPr="00467DB0">
        <w:t xml:space="preserve"> elementer, der vedrø</w:t>
      </w:r>
      <w:r w:rsidRPr="00467DB0">
        <w:t xml:space="preserve">rer den </w:t>
      </w:r>
      <w:proofErr w:type="spellStart"/>
      <w:r w:rsidRPr="00467DB0">
        <w:t>operationelle</w:t>
      </w:r>
      <w:proofErr w:type="spellEnd"/>
      <w:r w:rsidRPr="00467DB0">
        <w:t xml:space="preserve"> </w:t>
      </w:r>
      <w:proofErr w:type="spellStart"/>
      <w:r w:rsidRPr="00467DB0">
        <w:t>opbygning</w:t>
      </w:r>
      <w:proofErr w:type="spellEnd"/>
      <w:r w:rsidRPr="00467DB0">
        <w:t xml:space="preserve">. Der bør </w:t>
      </w:r>
      <w:proofErr w:type="spellStart"/>
      <w:r w:rsidRPr="00467DB0">
        <w:t>fastsættes</w:t>
      </w:r>
      <w:proofErr w:type="spellEnd"/>
      <w:r w:rsidRPr="00467DB0">
        <w:t xml:space="preserve"> passende regler </w:t>
      </w:r>
      <w:proofErr w:type="gramStart"/>
      <w:r w:rsidRPr="00467DB0">
        <w:t>vedrørende</w:t>
      </w:r>
      <w:proofErr w:type="gramEnd"/>
      <w:r w:rsidRPr="00467DB0">
        <w:t xml:space="preserve"> </w:t>
      </w:r>
      <w:proofErr w:type="spellStart"/>
      <w:r w:rsidRPr="00467DB0">
        <w:t>udvælgelsen</w:t>
      </w:r>
      <w:proofErr w:type="spellEnd"/>
      <w:r w:rsidRPr="00467DB0">
        <w:t xml:space="preserve"> og organiseringen </w:t>
      </w:r>
      <w:proofErr w:type="spellStart"/>
      <w:r w:rsidRPr="00467DB0">
        <w:t>af</w:t>
      </w:r>
      <w:proofErr w:type="spellEnd"/>
      <w:r w:rsidRPr="00467DB0">
        <w:t xml:space="preserve"> disse medlemsstater.</w:t>
      </w:r>
    </w:p>
    <w:p w14:paraId="34567DDC" w14:textId="77777777" w:rsidR="00000000" w:rsidRPr="00467DB0" w:rsidRDefault="00693D67" w:rsidP="00467DB0">
      <w:pPr>
        <w:pStyle w:val="friliste"/>
      </w:pPr>
      <w:r w:rsidRPr="00467DB0">
        <w:t>(92)</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bør </w:t>
      </w:r>
      <w:proofErr w:type="spellStart"/>
      <w:r w:rsidRPr="00467DB0">
        <w:t>Kommissionen</w:t>
      </w:r>
      <w:proofErr w:type="spellEnd"/>
      <w:r w:rsidRPr="00467DB0">
        <w:t xml:space="preserve"> </w:t>
      </w:r>
      <w:proofErr w:type="spellStart"/>
      <w:r w:rsidRPr="00467DB0">
        <w:t>tillægges</w:t>
      </w:r>
      <w:proofErr w:type="spellEnd"/>
      <w:r w:rsidRPr="00467DB0">
        <w:t xml:space="preserve"> </w:t>
      </w:r>
      <w:proofErr w:type="spellStart"/>
      <w:r w:rsidRPr="00467DB0">
        <w:t>gennemførelsesbef</w:t>
      </w:r>
      <w:r w:rsidRPr="00467DB0">
        <w:t>øjelser</w:t>
      </w:r>
      <w:proofErr w:type="spellEnd"/>
      <w:r w:rsidRPr="00467DB0">
        <w:t xml:space="preserve"> med hensyn til at </w:t>
      </w:r>
      <w:proofErr w:type="spellStart"/>
      <w:r w:rsidRPr="00467DB0">
        <w:t>vedtage</w:t>
      </w:r>
      <w:proofErr w:type="spellEnd"/>
      <w:r w:rsidRPr="00467DB0">
        <w:t xml:space="preserve"> de </w:t>
      </w:r>
      <w:proofErr w:type="spellStart"/>
      <w:r w:rsidRPr="00467DB0">
        <w:t>detaljerede</w:t>
      </w:r>
      <w:proofErr w:type="spellEnd"/>
      <w:r w:rsidRPr="00467DB0">
        <w:t xml:space="preserve"> </w:t>
      </w:r>
      <w:proofErr w:type="spellStart"/>
      <w:r w:rsidRPr="00467DB0">
        <w:t>procedurer</w:t>
      </w:r>
      <w:proofErr w:type="spellEnd"/>
      <w:r w:rsidRPr="00467DB0">
        <w:t xml:space="preserve"> og elementer for </w:t>
      </w:r>
      <w:proofErr w:type="spellStart"/>
      <w:r w:rsidRPr="00467DB0">
        <w:t>medlemsstaternes</w:t>
      </w:r>
      <w:proofErr w:type="spellEnd"/>
      <w:r w:rsidRPr="00467DB0">
        <w:t xml:space="preserve"> deltagelse i levering </w:t>
      </w:r>
      <w:proofErr w:type="spellStart"/>
      <w:r w:rsidRPr="00467DB0">
        <w:t>af</w:t>
      </w:r>
      <w:proofErr w:type="spellEnd"/>
      <w:r w:rsidRPr="00467DB0">
        <w:t xml:space="preserve"> SST-tjenester. Hvis der ikke er </w:t>
      </w:r>
      <w:proofErr w:type="spellStart"/>
      <w:r w:rsidRPr="00467DB0">
        <w:t>indsendt</w:t>
      </w:r>
      <w:proofErr w:type="spellEnd"/>
      <w:r w:rsidRPr="00467DB0">
        <w:t xml:space="preserve"> et </w:t>
      </w:r>
      <w:proofErr w:type="spellStart"/>
      <w:r w:rsidRPr="00467DB0">
        <w:t>fælles</w:t>
      </w:r>
      <w:proofErr w:type="spellEnd"/>
      <w:r w:rsidRPr="00467DB0">
        <w:t xml:space="preserve"> forslag </w:t>
      </w:r>
      <w:proofErr w:type="spellStart"/>
      <w:r w:rsidRPr="00467DB0">
        <w:t>af</w:t>
      </w:r>
      <w:proofErr w:type="spellEnd"/>
      <w:r w:rsidRPr="00467DB0">
        <w:t xml:space="preserve"> de medlemsstater, der ønsker at </w:t>
      </w:r>
      <w:proofErr w:type="spellStart"/>
      <w:r w:rsidRPr="00467DB0">
        <w:t>deltage</w:t>
      </w:r>
      <w:proofErr w:type="spellEnd"/>
      <w:r w:rsidRPr="00467DB0">
        <w:t xml:space="preserve"> i levering </w:t>
      </w:r>
      <w:proofErr w:type="spellStart"/>
      <w:r w:rsidRPr="00467DB0">
        <w:t>af</w:t>
      </w:r>
      <w:proofErr w:type="spellEnd"/>
      <w:r w:rsidRPr="00467DB0">
        <w:t xml:space="preserve"> SST-tjenester, eller </w:t>
      </w:r>
      <w:r w:rsidRPr="00467DB0">
        <w:t xml:space="preserve">hvis </w:t>
      </w:r>
      <w:proofErr w:type="spellStart"/>
      <w:r w:rsidRPr="00467DB0">
        <w:t>Kommissionen</w:t>
      </w:r>
      <w:proofErr w:type="spellEnd"/>
      <w:r w:rsidRPr="00467DB0">
        <w:t xml:space="preserve"> </w:t>
      </w:r>
      <w:proofErr w:type="spellStart"/>
      <w:r w:rsidRPr="00467DB0">
        <w:t>finder</w:t>
      </w:r>
      <w:proofErr w:type="spellEnd"/>
      <w:r w:rsidRPr="00467DB0">
        <w:t xml:space="preserve">, at et sådant forslag ikke </w:t>
      </w:r>
      <w:proofErr w:type="spellStart"/>
      <w:r w:rsidRPr="00467DB0">
        <w:t>opfylder</w:t>
      </w:r>
      <w:proofErr w:type="spellEnd"/>
      <w:r w:rsidRPr="00467DB0">
        <w:t xml:space="preserve"> de fastsatte kriterier, bør </w:t>
      </w:r>
      <w:proofErr w:type="spellStart"/>
      <w:r w:rsidRPr="00467DB0">
        <w:t>Kommissionen</w:t>
      </w:r>
      <w:proofErr w:type="spellEnd"/>
      <w:r w:rsidRPr="00467DB0">
        <w:t xml:space="preserve"> kunne </w:t>
      </w:r>
      <w:proofErr w:type="spellStart"/>
      <w:r w:rsidRPr="00467DB0">
        <w:t>indlede</w:t>
      </w:r>
      <w:proofErr w:type="spellEnd"/>
      <w:r w:rsidRPr="00467DB0">
        <w:t xml:space="preserve"> et andet trin med </w:t>
      </w:r>
      <w:proofErr w:type="spellStart"/>
      <w:r w:rsidRPr="00467DB0">
        <w:t>henblik</w:t>
      </w:r>
      <w:proofErr w:type="spellEnd"/>
      <w:r w:rsidRPr="00467DB0">
        <w:t xml:space="preserve"> på at fastslå </w:t>
      </w:r>
      <w:proofErr w:type="spellStart"/>
      <w:r w:rsidRPr="00467DB0">
        <w:t>medlemsstaternes</w:t>
      </w:r>
      <w:proofErr w:type="spellEnd"/>
      <w:r w:rsidRPr="00467DB0">
        <w:t xml:space="preserve"> deltagelse i levering </w:t>
      </w:r>
      <w:proofErr w:type="spellStart"/>
      <w:r w:rsidRPr="00467DB0">
        <w:t>af</w:t>
      </w:r>
      <w:proofErr w:type="spellEnd"/>
      <w:r w:rsidRPr="00467DB0">
        <w:t xml:space="preserve"> SST-tjenester. </w:t>
      </w:r>
      <w:proofErr w:type="spellStart"/>
      <w:r w:rsidRPr="00467DB0">
        <w:t>Procedurerne</w:t>
      </w:r>
      <w:proofErr w:type="spellEnd"/>
      <w:r w:rsidRPr="00467DB0">
        <w:t xml:space="preserve"> og </w:t>
      </w:r>
      <w:proofErr w:type="spellStart"/>
      <w:r w:rsidRPr="00467DB0">
        <w:t>elementerne</w:t>
      </w:r>
      <w:proofErr w:type="spellEnd"/>
      <w:r w:rsidRPr="00467DB0">
        <w:t xml:space="preserve"> for dette andet</w:t>
      </w:r>
      <w:r w:rsidRPr="00467DB0">
        <w:t xml:space="preserve"> trin bør definere de </w:t>
      </w:r>
      <w:proofErr w:type="spellStart"/>
      <w:r w:rsidRPr="00467DB0">
        <w:t>kredsløb</w:t>
      </w:r>
      <w:proofErr w:type="spellEnd"/>
      <w:r w:rsidRPr="00467DB0">
        <w:t xml:space="preserve">, der skal </w:t>
      </w:r>
      <w:proofErr w:type="spellStart"/>
      <w:r w:rsidRPr="00467DB0">
        <w:t>dækkes</w:t>
      </w:r>
      <w:proofErr w:type="spellEnd"/>
      <w:r w:rsidRPr="00467DB0">
        <w:t xml:space="preserve">, og </w:t>
      </w:r>
      <w:proofErr w:type="spellStart"/>
      <w:r w:rsidRPr="00467DB0">
        <w:t>tage</w:t>
      </w:r>
      <w:proofErr w:type="spellEnd"/>
      <w:r w:rsidRPr="00467DB0">
        <w:t xml:space="preserve"> hensyn til behovet for at maksimere </w:t>
      </w:r>
      <w:proofErr w:type="spellStart"/>
      <w:r w:rsidRPr="00467DB0">
        <w:t>medlemsstaternes</w:t>
      </w:r>
      <w:proofErr w:type="spellEnd"/>
      <w:r w:rsidRPr="00467DB0">
        <w:t xml:space="preserve"> deltagelse i leveringen </w:t>
      </w:r>
      <w:proofErr w:type="spellStart"/>
      <w:r w:rsidRPr="00467DB0">
        <w:t>af</w:t>
      </w:r>
      <w:proofErr w:type="spellEnd"/>
      <w:r w:rsidRPr="00467DB0">
        <w:t xml:space="preserve"> SST-tjenester. Hvis disse </w:t>
      </w:r>
      <w:proofErr w:type="spellStart"/>
      <w:r w:rsidRPr="00467DB0">
        <w:t>procedurer</w:t>
      </w:r>
      <w:proofErr w:type="spellEnd"/>
      <w:r w:rsidRPr="00467DB0">
        <w:t xml:space="preserve"> og elementer giver </w:t>
      </w:r>
      <w:proofErr w:type="spellStart"/>
      <w:r w:rsidRPr="00467DB0">
        <w:t>Kommissionen</w:t>
      </w:r>
      <w:proofErr w:type="spellEnd"/>
      <w:r w:rsidRPr="00467DB0">
        <w:t xml:space="preserve"> </w:t>
      </w:r>
      <w:proofErr w:type="spellStart"/>
      <w:r w:rsidRPr="00467DB0">
        <w:t>mulighed</w:t>
      </w:r>
      <w:proofErr w:type="spellEnd"/>
      <w:r w:rsidRPr="00467DB0">
        <w:t xml:space="preserve"> for at </w:t>
      </w:r>
      <w:proofErr w:type="spellStart"/>
      <w:r w:rsidRPr="00467DB0">
        <w:t>udvælge</w:t>
      </w:r>
      <w:proofErr w:type="spellEnd"/>
      <w:r w:rsidRPr="00467DB0">
        <w:t xml:space="preserve"> flere forslag for at </w:t>
      </w:r>
      <w:proofErr w:type="spellStart"/>
      <w:r w:rsidRPr="00467DB0">
        <w:t>dække</w:t>
      </w:r>
      <w:proofErr w:type="spellEnd"/>
      <w:r w:rsidRPr="00467DB0">
        <w:t xml:space="preserve"> alle </w:t>
      </w:r>
      <w:proofErr w:type="spellStart"/>
      <w:r w:rsidRPr="00467DB0">
        <w:t>kredsløb</w:t>
      </w:r>
      <w:proofErr w:type="spellEnd"/>
      <w:r w:rsidRPr="00467DB0">
        <w:t xml:space="preserve">, bør der også være passende samordningsmekanismer </w:t>
      </w:r>
      <w:proofErr w:type="spellStart"/>
      <w:r w:rsidRPr="00467DB0">
        <w:t>mellem</w:t>
      </w:r>
      <w:proofErr w:type="spellEnd"/>
      <w:r w:rsidRPr="00467DB0">
        <w:t xml:space="preserve"> </w:t>
      </w:r>
      <w:proofErr w:type="spellStart"/>
      <w:r w:rsidRPr="00467DB0">
        <w:t>grupperne</w:t>
      </w:r>
      <w:proofErr w:type="spellEnd"/>
      <w:r w:rsidRPr="00467DB0">
        <w:t xml:space="preserve"> </w:t>
      </w:r>
      <w:proofErr w:type="spellStart"/>
      <w:r w:rsidRPr="00467DB0">
        <w:t>af</w:t>
      </w:r>
      <w:proofErr w:type="spellEnd"/>
      <w:r w:rsidRPr="00467DB0">
        <w:t xml:space="preserve"> medlemsstater og en effektiv løsning til at </w:t>
      </w:r>
      <w:proofErr w:type="spellStart"/>
      <w:r w:rsidRPr="00467DB0">
        <w:t>dække</w:t>
      </w:r>
      <w:proofErr w:type="spellEnd"/>
      <w:r w:rsidRPr="00467DB0">
        <w:t xml:space="preserve"> alle SST-tjenester. Disse </w:t>
      </w:r>
      <w:proofErr w:type="spellStart"/>
      <w:r w:rsidRPr="00467DB0">
        <w:t>beføjelser</w:t>
      </w:r>
      <w:proofErr w:type="spellEnd"/>
      <w:r w:rsidRPr="00467DB0">
        <w:t xml:space="preserve"> bør udøves i overensstemmelse med Europa-Parlamentets og Rådets forordning (EU) nr. </w:t>
      </w:r>
      <w:r w:rsidRPr="00467DB0">
        <w:t>182/2011</w:t>
      </w:r>
      <w:r w:rsidRPr="00467DB0">
        <w:rPr>
          <w:rStyle w:val="Fotnotereferanse"/>
        </w:rPr>
        <w:footnoteReference w:id="35"/>
      </w:r>
      <w:r w:rsidRPr="00467DB0">
        <w:t>.</w:t>
      </w:r>
    </w:p>
    <w:p w14:paraId="75274326" w14:textId="77777777" w:rsidR="00000000" w:rsidRPr="00467DB0" w:rsidRDefault="00693D67" w:rsidP="00467DB0">
      <w:pPr>
        <w:pStyle w:val="friliste"/>
      </w:pPr>
      <w:r w:rsidRPr="00467DB0">
        <w:lastRenderedPageBreak/>
        <w:t>(93)</w:t>
      </w:r>
      <w:r w:rsidRPr="00467DB0">
        <w:tab/>
        <w:t xml:space="preserve">Når SST-delkomponenten er </w:t>
      </w:r>
      <w:proofErr w:type="spellStart"/>
      <w:r w:rsidRPr="00467DB0">
        <w:t>oprettet</w:t>
      </w:r>
      <w:proofErr w:type="spellEnd"/>
      <w:r w:rsidRPr="00467DB0">
        <w:t xml:space="preserve">, bør det følge </w:t>
      </w:r>
      <w:proofErr w:type="spellStart"/>
      <w:r w:rsidRPr="00467DB0">
        <w:t>principperne</w:t>
      </w:r>
      <w:proofErr w:type="spellEnd"/>
      <w:r w:rsidRPr="00467DB0">
        <w:t xml:space="preserve"> om komplementaritet og kontinuitet for </w:t>
      </w:r>
      <w:proofErr w:type="spellStart"/>
      <w:r w:rsidRPr="00467DB0">
        <w:t>brugerdrevne</w:t>
      </w:r>
      <w:proofErr w:type="spellEnd"/>
      <w:r w:rsidRPr="00467DB0">
        <w:t xml:space="preserve"> SST-tjenester </w:t>
      </w:r>
      <w:proofErr w:type="spellStart"/>
      <w:r w:rsidRPr="00467DB0">
        <w:t>af</w:t>
      </w:r>
      <w:proofErr w:type="spellEnd"/>
      <w:r w:rsidRPr="00467DB0">
        <w:t xml:space="preserve"> </w:t>
      </w:r>
      <w:proofErr w:type="spellStart"/>
      <w:r w:rsidRPr="00467DB0">
        <w:t>høj</w:t>
      </w:r>
      <w:proofErr w:type="spellEnd"/>
      <w:r w:rsidRPr="00467DB0">
        <w:t xml:space="preserve"> kvalitet på </w:t>
      </w:r>
      <w:proofErr w:type="spellStart"/>
      <w:r w:rsidRPr="00467DB0">
        <w:t>grundlag</w:t>
      </w:r>
      <w:proofErr w:type="spellEnd"/>
      <w:r w:rsidRPr="00467DB0">
        <w:t xml:space="preserve"> </w:t>
      </w:r>
      <w:proofErr w:type="spellStart"/>
      <w:r w:rsidRPr="00467DB0">
        <w:t>af</w:t>
      </w:r>
      <w:proofErr w:type="spellEnd"/>
      <w:r w:rsidRPr="00467DB0">
        <w:t xml:space="preserve"> den </w:t>
      </w:r>
      <w:proofErr w:type="spellStart"/>
      <w:r w:rsidRPr="00467DB0">
        <w:t>bedste</w:t>
      </w:r>
      <w:proofErr w:type="spellEnd"/>
      <w:r w:rsidRPr="00467DB0">
        <w:t xml:space="preserve"> ekspertise. SST-delkomponenten bør derfor </w:t>
      </w:r>
      <w:proofErr w:type="spellStart"/>
      <w:r w:rsidRPr="00467DB0">
        <w:t>undgå</w:t>
      </w:r>
      <w:proofErr w:type="spellEnd"/>
      <w:r w:rsidRPr="00467DB0">
        <w:t xml:space="preserve"> unødige </w:t>
      </w:r>
      <w:proofErr w:type="spellStart"/>
      <w:r w:rsidRPr="00467DB0">
        <w:t>overlap</w:t>
      </w:r>
      <w:proofErr w:type="spellEnd"/>
      <w:r w:rsidRPr="00467DB0">
        <w:t xml:space="preserve">. Enhver </w:t>
      </w:r>
      <w:proofErr w:type="spellStart"/>
      <w:r w:rsidRPr="00467DB0">
        <w:t>oversk</w:t>
      </w:r>
      <w:r w:rsidRPr="00467DB0">
        <w:t>ydende</w:t>
      </w:r>
      <w:proofErr w:type="spellEnd"/>
      <w:r w:rsidRPr="00467DB0">
        <w:t xml:space="preserve"> </w:t>
      </w:r>
      <w:proofErr w:type="spellStart"/>
      <w:r w:rsidRPr="00467DB0">
        <w:t>kapacitet</w:t>
      </w:r>
      <w:proofErr w:type="spellEnd"/>
      <w:r w:rsidRPr="00467DB0">
        <w:t xml:space="preserve"> bør sikre SST-</w:t>
      </w:r>
      <w:proofErr w:type="spellStart"/>
      <w:r w:rsidRPr="00467DB0">
        <w:t>tjenesternes</w:t>
      </w:r>
      <w:proofErr w:type="spellEnd"/>
      <w:r w:rsidRPr="00467DB0">
        <w:t xml:space="preserve"> kontinuitet, kvalitet og </w:t>
      </w:r>
      <w:proofErr w:type="spellStart"/>
      <w:r w:rsidRPr="00467DB0">
        <w:t>robusthed</w:t>
      </w:r>
      <w:proofErr w:type="spellEnd"/>
      <w:r w:rsidRPr="00467DB0">
        <w:t xml:space="preserve">. </w:t>
      </w:r>
      <w:proofErr w:type="spellStart"/>
      <w:r w:rsidRPr="00467DB0">
        <w:t>Aktiviteterne</w:t>
      </w:r>
      <w:proofErr w:type="spellEnd"/>
      <w:r w:rsidRPr="00467DB0">
        <w:t xml:space="preserve"> i </w:t>
      </w:r>
      <w:proofErr w:type="spellStart"/>
      <w:r w:rsidRPr="00467DB0">
        <w:t>ekspertgrupperne</w:t>
      </w:r>
      <w:proofErr w:type="spellEnd"/>
      <w:r w:rsidRPr="00467DB0">
        <w:t xml:space="preserve"> bør medvirke til at </w:t>
      </w:r>
      <w:proofErr w:type="spellStart"/>
      <w:r w:rsidRPr="00467DB0">
        <w:t>undgå</w:t>
      </w:r>
      <w:proofErr w:type="spellEnd"/>
      <w:r w:rsidRPr="00467DB0">
        <w:t xml:space="preserve"> sådanne unødige </w:t>
      </w:r>
      <w:proofErr w:type="spellStart"/>
      <w:r w:rsidRPr="00467DB0">
        <w:t>overlap</w:t>
      </w:r>
      <w:proofErr w:type="spellEnd"/>
      <w:r w:rsidRPr="00467DB0">
        <w:t>.</w:t>
      </w:r>
    </w:p>
    <w:p w14:paraId="7E480E06" w14:textId="77777777" w:rsidR="00000000" w:rsidRPr="00467DB0" w:rsidRDefault="00693D67" w:rsidP="00467DB0">
      <w:pPr>
        <w:pStyle w:val="friliste"/>
      </w:pPr>
      <w:r w:rsidRPr="00467DB0">
        <w:t>(94)</w:t>
      </w:r>
      <w:r w:rsidRPr="00467DB0">
        <w:tab/>
      </w:r>
      <w:proofErr w:type="spellStart"/>
      <w:r w:rsidRPr="00467DB0">
        <w:t>Derudover</w:t>
      </w:r>
      <w:proofErr w:type="spellEnd"/>
      <w:r w:rsidRPr="00467DB0">
        <w:t xml:space="preserve"> bør SST-delkomponenten </w:t>
      </w:r>
      <w:proofErr w:type="spellStart"/>
      <w:r w:rsidRPr="00467DB0">
        <w:t>bidrage</w:t>
      </w:r>
      <w:proofErr w:type="spellEnd"/>
      <w:r w:rsidRPr="00467DB0">
        <w:t xml:space="preserve"> til de eksisterende </w:t>
      </w:r>
      <w:proofErr w:type="spellStart"/>
      <w:r w:rsidRPr="00467DB0">
        <w:t>afbødningsforanstaltninger</w:t>
      </w:r>
      <w:proofErr w:type="spellEnd"/>
      <w:r w:rsidRPr="00467DB0">
        <w:t xml:space="preserve">, såsom COPUOS' retningslinjer for nedbringelse </w:t>
      </w:r>
      <w:proofErr w:type="spellStart"/>
      <w:r w:rsidRPr="00467DB0">
        <w:t>af</w:t>
      </w:r>
      <w:proofErr w:type="spellEnd"/>
      <w:r w:rsidRPr="00467DB0">
        <w:t xml:space="preserve"> </w:t>
      </w:r>
      <w:proofErr w:type="spellStart"/>
      <w:r w:rsidRPr="00467DB0">
        <w:t>mængden</w:t>
      </w:r>
      <w:proofErr w:type="spellEnd"/>
      <w:r w:rsidRPr="00467DB0">
        <w:t xml:space="preserve"> </w:t>
      </w:r>
      <w:proofErr w:type="spellStart"/>
      <w:r w:rsidRPr="00467DB0">
        <w:t>af</w:t>
      </w:r>
      <w:proofErr w:type="spellEnd"/>
      <w:r w:rsidRPr="00467DB0">
        <w:t xml:space="preserve"> </w:t>
      </w:r>
      <w:proofErr w:type="spellStart"/>
      <w:r w:rsidRPr="00467DB0">
        <w:t>rumaffald</w:t>
      </w:r>
      <w:proofErr w:type="spellEnd"/>
      <w:r w:rsidRPr="00467DB0">
        <w:t xml:space="preserve"> og retningslinjer for den </w:t>
      </w:r>
      <w:proofErr w:type="spellStart"/>
      <w:r w:rsidRPr="00467DB0">
        <w:t>langsigtede</w:t>
      </w:r>
      <w:proofErr w:type="spellEnd"/>
      <w:r w:rsidRPr="00467DB0">
        <w:t xml:space="preserve"> </w:t>
      </w:r>
      <w:proofErr w:type="spellStart"/>
      <w:r w:rsidRPr="00467DB0">
        <w:t>bæredygtighed</w:t>
      </w:r>
      <w:proofErr w:type="spellEnd"/>
      <w:r w:rsidRPr="00467DB0">
        <w:t xml:space="preserve"> </w:t>
      </w:r>
      <w:proofErr w:type="spellStart"/>
      <w:r w:rsidRPr="00467DB0">
        <w:t>af</w:t>
      </w:r>
      <w:proofErr w:type="spellEnd"/>
      <w:r w:rsidRPr="00467DB0">
        <w:t xml:space="preserve"> aktiviteter i det </w:t>
      </w:r>
      <w:proofErr w:type="spellStart"/>
      <w:r w:rsidRPr="00467DB0">
        <w:t>ydre</w:t>
      </w:r>
      <w:proofErr w:type="spellEnd"/>
      <w:r w:rsidRPr="00467DB0">
        <w:t xml:space="preserve"> </w:t>
      </w:r>
      <w:proofErr w:type="spellStart"/>
      <w:r w:rsidRPr="00467DB0">
        <w:t>rum</w:t>
      </w:r>
      <w:proofErr w:type="spellEnd"/>
      <w:r w:rsidRPr="00467DB0">
        <w:t xml:space="preserve"> eller andre initiativer, for at garantere </w:t>
      </w:r>
      <w:proofErr w:type="spellStart"/>
      <w:r w:rsidRPr="00467DB0">
        <w:t>sikkerhed</w:t>
      </w:r>
      <w:proofErr w:type="spellEnd"/>
      <w:r w:rsidRPr="00467DB0">
        <w:t xml:space="preserve"> og </w:t>
      </w:r>
      <w:proofErr w:type="spellStart"/>
      <w:r w:rsidRPr="00467DB0">
        <w:t>bæredygtighed</w:t>
      </w:r>
      <w:proofErr w:type="spellEnd"/>
      <w:r w:rsidRPr="00467DB0">
        <w:t xml:space="preserve"> i forbindelse med aktiviteter i d</w:t>
      </w:r>
      <w:r w:rsidRPr="00467DB0">
        <w:t xml:space="preserve">et </w:t>
      </w:r>
      <w:proofErr w:type="spellStart"/>
      <w:r w:rsidRPr="00467DB0">
        <w:t>ydre</w:t>
      </w:r>
      <w:proofErr w:type="spellEnd"/>
      <w:r w:rsidRPr="00467DB0">
        <w:t xml:space="preserve"> </w:t>
      </w:r>
      <w:proofErr w:type="spellStart"/>
      <w:r w:rsidRPr="00467DB0">
        <w:t>rum</w:t>
      </w:r>
      <w:proofErr w:type="spellEnd"/>
      <w:r w:rsidRPr="00467DB0">
        <w:t xml:space="preserve">. For at </w:t>
      </w:r>
      <w:proofErr w:type="spellStart"/>
      <w:r w:rsidRPr="00467DB0">
        <w:t>mindske</w:t>
      </w:r>
      <w:proofErr w:type="spellEnd"/>
      <w:r w:rsidRPr="00467DB0">
        <w:t xml:space="preserve"> risikoen for </w:t>
      </w:r>
      <w:proofErr w:type="spellStart"/>
      <w:r w:rsidRPr="00467DB0">
        <w:t>kollisioner</w:t>
      </w:r>
      <w:proofErr w:type="spellEnd"/>
      <w:r w:rsidRPr="00467DB0">
        <w:t xml:space="preserve"> bør SST-delkomponenten også </w:t>
      </w:r>
      <w:proofErr w:type="spellStart"/>
      <w:r w:rsidRPr="00467DB0">
        <w:t>søge</w:t>
      </w:r>
      <w:proofErr w:type="spellEnd"/>
      <w:r w:rsidRPr="00467DB0">
        <w:t xml:space="preserve"> synergier med initiativer til aktiv bortskaffelse og </w:t>
      </w:r>
      <w:proofErr w:type="spellStart"/>
      <w:r w:rsidRPr="00467DB0">
        <w:t>uskadeliggørelse</w:t>
      </w:r>
      <w:proofErr w:type="spellEnd"/>
      <w:r w:rsidRPr="00467DB0">
        <w:t xml:space="preserve"> </w:t>
      </w:r>
      <w:proofErr w:type="spellStart"/>
      <w:r w:rsidRPr="00467DB0">
        <w:t>af</w:t>
      </w:r>
      <w:proofErr w:type="spellEnd"/>
      <w:r w:rsidRPr="00467DB0">
        <w:t xml:space="preserve"> </w:t>
      </w:r>
      <w:proofErr w:type="spellStart"/>
      <w:r w:rsidRPr="00467DB0">
        <w:t>rumaffald</w:t>
      </w:r>
      <w:proofErr w:type="spellEnd"/>
      <w:r w:rsidRPr="00467DB0">
        <w:t xml:space="preserve">. SST-delkomponenten bør </w:t>
      </w:r>
      <w:proofErr w:type="spellStart"/>
      <w:r w:rsidRPr="00467DB0">
        <w:t>bidrage</w:t>
      </w:r>
      <w:proofErr w:type="spellEnd"/>
      <w:r w:rsidRPr="00467DB0">
        <w:t xml:space="preserve"> til at sikre fredelig </w:t>
      </w:r>
      <w:proofErr w:type="gramStart"/>
      <w:r w:rsidRPr="00467DB0">
        <w:t>anvendelse</w:t>
      </w:r>
      <w:proofErr w:type="gramEnd"/>
      <w:r w:rsidRPr="00467DB0">
        <w:t xml:space="preserve"> og </w:t>
      </w:r>
      <w:proofErr w:type="spellStart"/>
      <w:r w:rsidRPr="00467DB0">
        <w:t>udforskning</w:t>
      </w:r>
      <w:proofErr w:type="spellEnd"/>
      <w:r w:rsidRPr="00467DB0">
        <w:t xml:space="preserve"> </w:t>
      </w:r>
      <w:proofErr w:type="spellStart"/>
      <w:r w:rsidRPr="00467DB0">
        <w:t>af</w:t>
      </w:r>
      <w:proofErr w:type="spellEnd"/>
      <w:r w:rsidRPr="00467DB0">
        <w:t xml:space="preserve"> det </w:t>
      </w:r>
      <w:proofErr w:type="spellStart"/>
      <w:r w:rsidRPr="00467DB0">
        <w:t>ydre</w:t>
      </w:r>
      <w:proofErr w:type="spellEnd"/>
      <w:r w:rsidRPr="00467DB0">
        <w:t xml:space="preserve"> </w:t>
      </w:r>
      <w:proofErr w:type="spellStart"/>
      <w:r w:rsidRPr="00467DB0">
        <w:t>rum</w:t>
      </w:r>
      <w:proofErr w:type="spellEnd"/>
      <w:r w:rsidRPr="00467DB0">
        <w:t xml:space="preserve">. Stigningen i </w:t>
      </w:r>
      <w:proofErr w:type="spellStart"/>
      <w:r w:rsidRPr="00467DB0">
        <w:t>rumaktiviteter</w:t>
      </w:r>
      <w:proofErr w:type="spellEnd"/>
      <w:r w:rsidRPr="00467DB0">
        <w:t xml:space="preserve"> kan have </w:t>
      </w:r>
      <w:proofErr w:type="spellStart"/>
      <w:r w:rsidRPr="00467DB0">
        <w:t>indvirkning</w:t>
      </w:r>
      <w:proofErr w:type="spellEnd"/>
      <w:r w:rsidRPr="00467DB0">
        <w:t xml:space="preserve"> på de </w:t>
      </w:r>
      <w:proofErr w:type="spellStart"/>
      <w:r w:rsidRPr="00467DB0">
        <w:t>internationale</w:t>
      </w:r>
      <w:proofErr w:type="spellEnd"/>
      <w:r w:rsidRPr="00467DB0">
        <w:t xml:space="preserve"> initiativer </w:t>
      </w:r>
      <w:proofErr w:type="spellStart"/>
      <w:r w:rsidRPr="00467DB0">
        <w:t>inden</w:t>
      </w:r>
      <w:proofErr w:type="spellEnd"/>
      <w:r w:rsidRPr="00467DB0">
        <w:t xml:space="preserve"> for styring </w:t>
      </w:r>
      <w:proofErr w:type="spellStart"/>
      <w:r w:rsidRPr="00467DB0">
        <w:t>af</w:t>
      </w:r>
      <w:proofErr w:type="spellEnd"/>
      <w:r w:rsidRPr="00467DB0">
        <w:t xml:space="preserve"> trafikken i </w:t>
      </w:r>
      <w:proofErr w:type="spellStart"/>
      <w:r w:rsidRPr="00467DB0">
        <w:t>rummet</w:t>
      </w:r>
      <w:proofErr w:type="spellEnd"/>
      <w:r w:rsidRPr="00467DB0">
        <w:t xml:space="preserve">. Unionen bør følge denne </w:t>
      </w:r>
      <w:proofErr w:type="spellStart"/>
      <w:r w:rsidRPr="00467DB0">
        <w:t>udvikling</w:t>
      </w:r>
      <w:proofErr w:type="spellEnd"/>
      <w:r w:rsidRPr="00467DB0">
        <w:t xml:space="preserve"> og kan </w:t>
      </w:r>
      <w:proofErr w:type="spellStart"/>
      <w:r w:rsidRPr="00467DB0">
        <w:t>tage</w:t>
      </w:r>
      <w:proofErr w:type="spellEnd"/>
      <w:r w:rsidRPr="00467DB0">
        <w:t xml:space="preserve"> den i </w:t>
      </w:r>
      <w:proofErr w:type="spellStart"/>
      <w:r w:rsidRPr="00467DB0">
        <w:t>betragtning</w:t>
      </w:r>
      <w:proofErr w:type="spellEnd"/>
      <w:r w:rsidRPr="00467DB0">
        <w:t xml:space="preserve"> i forbindelse med </w:t>
      </w:r>
      <w:proofErr w:type="spellStart"/>
      <w:r w:rsidRPr="00467DB0">
        <w:t>midtvejsevalueringen</w:t>
      </w:r>
      <w:proofErr w:type="spellEnd"/>
      <w:r w:rsidRPr="00467DB0">
        <w:t xml:space="preserve"> </w:t>
      </w:r>
      <w:proofErr w:type="spellStart"/>
      <w:r w:rsidRPr="00467DB0">
        <w:t>af</w:t>
      </w:r>
      <w:proofErr w:type="spellEnd"/>
      <w:r w:rsidRPr="00467DB0">
        <w:t xml:space="preserve"> den nuværende fle</w:t>
      </w:r>
      <w:r w:rsidRPr="00467DB0">
        <w:t>rårige finansielle ramme.</w:t>
      </w:r>
    </w:p>
    <w:p w14:paraId="2D4EFAE3" w14:textId="77777777" w:rsidR="00000000" w:rsidRPr="00467DB0" w:rsidRDefault="00693D67" w:rsidP="00467DB0">
      <w:pPr>
        <w:pStyle w:val="friliste"/>
      </w:pPr>
      <w:r w:rsidRPr="00467DB0">
        <w:t>(95)</w:t>
      </w:r>
      <w:r w:rsidRPr="00467DB0">
        <w:tab/>
        <w:t xml:space="preserve">Aktiviteter i forbindelse med SST-, SWE- og NEO-delkomponenter bør </w:t>
      </w:r>
      <w:proofErr w:type="spellStart"/>
      <w:r w:rsidRPr="00467DB0">
        <w:t>tage</w:t>
      </w:r>
      <w:proofErr w:type="spellEnd"/>
      <w:r w:rsidRPr="00467DB0">
        <w:t xml:space="preserve"> hensyn til </w:t>
      </w:r>
      <w:proofErr w:type="spellStart"/>
      <w:r w:rsidRPr="00467DB0">
        <w:t>samarbejdet</w:t>
      </w:r>
      <w:proofErr w:type="spellEnd"/>
      <w:r w:rsidRPr="00467DB0">
        <w:t xml:space="preserve"> med </w:t>
      </w:r>
      <w:proofErr w:type="spellStart"/>
      <w:r w:rsidRPr="00467DB0">
        <w:t>internationale</w:t>
      </w:r>
      <w:proofErr w:type="spellEnd"/>
      <w:r w:rsidRPr="00467DB0">
        <w:t xml:space="preserve"> partnere, navnlig De Forenede Stater, </w:t>
      </w:r>
      <w:proofErr w:type="spellStart"/>
      <w:r w:rsidRPr="00467DB0">
        <w:t>internationale</w:t>
      </w:r>
      <w:proofErr w:type="spellEnd"/>
      <w:r w:rsidRPr="00467DB0">
        <w:t xml:space="preserve"> </w:t>
      </w:r>
      <w:proofErr w:type="spellStart"/>
      <w:r w:rsidRPr="00467DB0">
        <w:t>organisationer</w:t>
      </w:r>
      <w:proofErr w:type="spellEnd"/>
      <w:r w:rsidRPr="00467DB0">
        <w:t xml:space="preserve"> og andre tredjeparter, navnlig for at </w:t>
      </w:r>
      <w:proofErr w:type="spellStart"/>
      <w:r w:rsidRPr="00467DB0">
        <w:t>undgå</w:t>
      </w:r>
      <w:proofErr w:type="spellEnd"/>
      <w:r w:rsidRPr="00467DB0">
        <w:t xml:space="preserve"> </w:t>
      </w:r>
      <w:proofErr w:type="spellStart"/>
      <w:r w:rsidRPr="00467DB0">
        <w:t>kollisioner</w:t>
      </w:r>
      <w:proofErr w:type="spellEnd"/>
      <w:r w:rsidRPr="00467DB0">
        <w:t xml:space="preserve"> i </w:t>
      </w:r>
      <w:proofErr w:type="spellStart"/>
      <w:r w:rsidRPr="00467DB0">
        <w:t>rummet</w:t>
      </w:r>
      <w:proofErr w:type="spellEnd"/>
      <w:r w:rsidRPr="00467DB0">
        <w:t xml:space="preserve">, forhindre spredning </w:t>
      </w:r>
      <w:proofErr w:type="spellStart"/>
      <w:r w:rsidRPr="00467DB0">
        <w:t>af</w:t>
      </w:r>
      <w:proofErr w:type="spellEnd"/>
      <w:r w:rsidRPr="00467DB0">
        <w:t xml:space="preserve"> </w:t>
      </w:r>
      <w:proofErr w:type="spellStart"/>
      <w:r w:rsidRPr="00467DB0">
        <w:t>rumaffald</w:t>
      </w:r>
      <w:proofErr w:type="spellEnd"/>
      <w:r w:rsidRPr="00467DB0">
        <w:t xml:space="preserve"> og </w:t>
      </w:r>
      <w:proofErr w:type="spellStart"/>
      <w:r w:rsidRPr="00467DB0">
        <w:t>øge</w:t>
      </w:r>
      <w:proofErr w:type="spellEnd"/>
      <w:r w:rsidRPr="00467DB0">
        <w:t xml:space="preserve"> </w:t>
      </w:r>
      <w:proofErr w:type="spellStart"/>
      <w:r w:rsidRPr="00467DB0">
        <w:t>beredskabet</w:t>
      </w:r>
      <w:proofErr w:type="spellEnd"/>
      <w:r w:rsidRPr="00467DB0">
        <w:t xml:space="preserve"> over for </w:t>
      </w:r>
      <w:proofErr w:type="spellStart"/>
      <w:r w:rsidRPr="00467DB0">
        <w:t>virkningerne</w:t>
      </w:r>
      <w:proofErr w:type="spellEnd"/>
      <w:r w:rsidRPr="00467DB0">
        <w:t xml:space="preserve"> </w:t>
      </w:r>
      <w:proofErr w:type="spellStart"/>
      <w:r w:rsidRPr="00467DB0">
        <w:t>af</w:t>
      </w:r>
      <w:proofErr w:type="spellEnd"/>
      <w:r w:rsidRPr="00467DB0">
        <w:t xml:space="preserve"> ekstremt </w:t>
      </w:r>
      <w:proofErr w:type="spellStart"/>
      <w:r w:rsidRPr="00467DB0">
        <w:t>rumvejr</w:t>
      </w:r>
      <w:proofErr w:type="spellEnd"/>
      <w:r w:rsidRPr="00467DB0">
        <w:t xml:space="preserve"> og jordnære objekter.</w:t>
      </w:r>
    </w:p>
    <w:p w14:paraId="49FB8FEF" w14:textId="77777777" w:rsidR="00000000" w:rsidRPr="00467DB0" w:rsidRDefault="00693D67" w:rsidP="00467DB0">
      <w:pPr>
        <w:pStyle w:val="friliste"/>
      </w:pPr>
      <w:r w:rsidRPr="00467DB0">
        <w:t>(96)</w:t>
      </w:r>
      <w:r w:rsidRPr="00467DB0">
        <w:tab/>
        <w:t xml:space="preserve">Rådets </w:t>
      </w:r>
      <w:proofErr w:type="spellStart"/>
      <w:r w:rsidRPr="00467DB0">
        <w:t>Sikkerhedsudvalg</w:t>
      </w:r>
      <w:proofErr w:type="spellEnd"/>
      <w:r w:rsidRPr="00467DB0">
        <w:t xml:space="preserve"> har </w:t>
      </w:r>
      <w:proofErr w:type="spellStart"/>
      <w:r w:rsidRPr="00467DB0">
        <w:t>anbefalet</w:t>
      </w:r>
      <w:proofErr w:type="spellEnd"/>
      <w:r w:rsidRPr="00467DB0">
        <w:t xml:space="preserve">, at der </w:t>
      </w:r>
      <w:proofErr w:type="spellStart"/>
      <w:r w:rsidRPr="00467DB0">
        <w:t>oprettes</w:t>
      </w:r>
      <w:proofErr w:type="spellEnd"/>
      <w:r w:rsidRPr="00467DB0">
        <w:t xml:space="preserve"> en risikostyringsstruktur for at sikre, at der </w:t>
      </w:r>
      <w:proofErr w:type="spellStart"/>
      <w:r w:rsidRPr="00467DB0">
        <w:t>tages</w:t>
      </w:r>
      <w:proofErr w:type="spellEnd"/>
      <w:r w:rsidRPr="00467DB0">
        <w:t xml:space="preserve"> </w:t>
      </w:r>
      <w:proofErr w:type="spellStart"/>
      <w:r w:rsidRPr="00467DB0">
        <w:t>behø</w:t>
      </w:r>
      <w:r w:rsidRPr="00467DB0">
        <w:t>rigt</w:t>
      </w:r>
      <w:proofErr w:type="spellEnd"/>
      <w:r w:rsidRPr="00467DB0">
        <w:t xml:space="preserve"> hensyn til </w:t>
      </w:r>
      <w:proofErr w:type="spellStart"/>
      <w:r w:rsidRPr="00467DB0">
        <w:t>datasikkerhedsspørgsmål</w:t>
      </w:r>
      <w:proofErr w:type="spellEnd"/>
      <w:r w:rsidRPr="00467DB0">
        <w:t xml:space="preserve"> ved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afgørelse</w:t>
      </w:r>
      <w:proofErr w:type="spellEnd"/>
      <w:r w:rsidRPr="00467DB0">
        <w:t xml:space="preserve"> nr. 541/2014/EU. Til dette formål og i </w:t>
      </w:r>
      <w:proofErr w:type="spellStart"/>
      <w:r w:rsidRPr="00467DB0">
        <w:t>betragtning</w:t>
      </w:r>
      <w:proofErr w:type="spellEnd"/>
      <w:r w:rsidRPr="00467DB0">
        <w:t xml:space="preserve"> </w:t>
      </w:r>
      <w:proofErr w:type="spellStart"/>
      <w:r w:rsidRPr="00467DB0">
        <w:t>af</w:t>
      </w:r>
      <w:proofErr w:type="spellEnd"/>
      <w:r w:rsidRPr="00467DB0">
        <w:t xml:space="preserve"> det </w:t>
      </w:r>
      <w:proofErr w:type="spellStart"/>
      <w:r w:rsidRPr="00467DB0">
        <w:t>arbejde</w:t>
      </w:r>
      <w:proofErr w:type="spellEnd"/>
      <w:r w:rsidRPr="00467DB0">
        <w:t xml:space="preserve">, der allerede er </w:t>
      </w:r>
      <w:proofErr w:type="spellStart"/>
      <w:r w:rsidRPr="00467DB0">
        <w:t>udført</w:t>
      </w:r>
      <w:proofErr w:type="spellEnd"/>
      <w:r w:rsidRPr="00467DB0">
        <w:t xml:space="preserve">, bør der </w:t>
      </w:r>
      <w:proofErr w:type="spellStart"/>
      <w:r w:rsidRPr="00467DB0">
        <w:t>indføres</w:t>
      </w:r>
      <w:proofErr w:type="spellEnd"/>
      <w:r w:rsidRPr="00467DB0">
        <w:t xml:space="preserve"> passende risikostyringsstrukturer og -</w:t>
      </w:r>
      <w:proofErr w:type="spellStart"/>
      <w:r w:rsidRPr="00467DB0">
        <w:t>procedurer</w:t>
      </w:r>
      <w:proofErr w:type="spellEnd"/>
      <w:r w:rsidRPr="00467DB0">
        <w:t xml:space="preserve"> </w:t>
      </w:r>
      <w:proofErr w:type="spellStart"/>
      <w:r w:rsidRPr="00467DB0">
        <w:t>af</w:t>
      </w:r>
      <w:proofErr w:type="spellEnd"/>
      <w:r w:rsidRPr="00467DB0">
        <w:t xml:space="preserve"> de medlemsstater, der de</w:t>
      </w:r>
      <w:r w:rsidRPr="00467DB0">
        <w:t>ltager i SST-delkomponenten.</w:t>
      </w:r>
    </w:p>
    <w:p w14:paraId="52CDA9E0" w14:textId="77777777" w:rsidR="00000000" w:rsidRPr="00467DB0" w:rsidRDefault="00693D67" w:rsidP="00467DB0">
      <w:pPr>
        <w:pStyle w:val="friliste"/>
      </w:pPr>
      <w:r w:rsidRPr="00467DB0">
        <w:t>(97)</w:t>
      </w:r>
      <w:r w:rsidRPr="00467DB0">
        <w:tab/>
        <w:t xml:space="preserve">Ekstremt </w:t>
      </w:r>
      <w:proofErr w:type="spellStart"/>
      <w:r w:rsidRPr="00467DB0">
        <w:t>rumvejr</w:t>
      </w:r>
      <w:proofErr w:type="spellEnd"/>
      <w:r w:rsidRPr="00467DB0">
        <w:t xml:space="preserve"> kan true </w:t>
      </w:r>
      <w:proofErr w:type="spellStart"/>
      <w:r w:rsidRPr="00467DB0">
        <w:t>sikkerheden</w:t>
      </w:r>
      <w:proofErr w:type="spellEnd"/>
      <w:r w:rsidRPr="00467DB0">
        <w:t xml:space="preserve"> for borgerne og forstyrre driften </w:t>
      </w:r>
      <w:proofErr w:type="spellStart"/>
      <w:r w:rsidRPr="00467DB0">
        <w:t>af</w:t>
      </w:r>
      <w:proofErr w:type="spellEnd"/>
      <w:r w:rsidRPr="00467DB0">
        <w:t xml:space="preserve"> </w:t>
      </w:r>
      <w:proofErr w:type="spellStart"/>
      <w:r w:rsidRPr="00467DB0">
        <w:t>rum</w:t>
      </w:r>
      <w:proofErr w:type="spellEnd"/>
      <w:r w:rsidRPr="00467DB0">
        <w:t xml:space="preserve">- og </w:t>
      </w:r>
      <w:proofErr w:type="spellStart"/>
      <w:r w:rsidRPr="00467DB0">
        <w:t>jordbaseret</w:t>
      </w:r>
      <w:proofErr w:type="spellEnd"/>
      <w:r w:rsidRPr="00467DB0">
        <w:t xml:space="preserve"> infrastruktur. Derfor bør der </w:t>
      </w:r>
      <w:proofErr w:type="spellStart"/>
      <w:r w:rsidRPr="00467DB0">
        <w:t>oprettes</w:t>
      </w:r>
      <w:proofErr w:type="spellEnd"/>
      <w:r w:rsidRPr="00467DB0">
        <w:t xml:space="preserve"> en SWE-delkomponent som led i programmet med det formål at vurdere </w:t>
      </w:r>
      <w:proofErr w:type="spellStart"/>
      <w:r w:rsidRPr="00467DB0">
        <w:t>risiciene</w:t>
      </w:r>
      <w:proofErr w:type="spellEnd"/>
      <w:r w:rsidRPr="00467DB0">
        <w:t xml:space="preserve"> </w:t>
      </w:r>
      <w:proofErr w:type="gramStart"/>
      <w:r w:rsidRPr="00467DB0">
        <w:t>vedrørende</w:t>
      </w:r>
      <w:proofErr w:type="gramEnd"/>
      <w:r w:rsidRPr="00467DB0">
        <w:t xml:space="preserve"> </w:t>
      </w:r>
      <w:proofErr w:type="spellStart"/>
      <w:r w:rsidRPr="00467DB0">
        <w:t>vejret</w:t>
      </w:r>
      <w:proofErr w:type="spellEnd"/>
      <w:r w:rsidRPr="00467DB0">
        <w:t xml:space="preserve"> i </w:t>
      </w:r>
      <w:proofErr w:type="spellStart"/>
      <w:r w:rsidRPr="00467DB0">
        <w:t>rummet</w:t>
      </w:r>
      <w:proofErr w:type="spellEnd"/>
      <w:r w:rsidRPr="00467DB0">
        <w:t xml:space="preserve"> og tilsvarende </w:t>
      </w:r>
      <w:proofErr w:type="spellStart"/>
      <w:r w:rsidRPr="00467DB0">
        <w:t>brugerbehov</w:t>
      </w:r>
      <w:proofErr w:type="spellEnd"/>
      <w:r w:rsidRPr="00467DB0">
        <w:t xml:space="preserve">, </w:t>
      </w:r>
      <w:proofErr w:type="spellStart"/>
      <w:r w:rsidRPr="00467DB0">
        <w:t>øge</w:t>
      </w:r>
      <w:proofErr w:type="spellEnd"/>
      <w:r w:rsidRPr="00467DB0">
        <w:t xml:space="preserve"> </w:t>
      </w:r>
      <w:proofErr w:type="spellStart"/>
      <w:r w:rsidRPr="00467DB0">
        <w:t>kendskabet</w:t>
      </w:r>
      <w:proofErr w:type="spellEnd"/>
      <w:r w:rsidRPr="00467DB0">
        <w:t xml:space="preserve"> til </w:t>
      </w:r>
      <w:proofErr w:type="spellStart"/>
      <w:r w:rsidRPr="00467DB0">
        <w:t>risici</w:t>
      </w:r>
      <w:proofErr w:type="spellEnd"/>
      <w:r w:rsidRPr="00467DB0">
        <w:t xml:space="preserve"> vedrørende </w:t>
      </w:r>
      <w:proofErr w:type="spellStart"/>
      <w:r w:rsidRPr="00467DB0">
        <w:t>vejret</w:t>
      </w:r>
      <w:proofErr w:type="spellEnd"/>
      <w:r w:rsidRPr="00467DB0">
        <w:t xml:space="preserve"> i </w:t>
      </w:r>
      <w:proofErr w:type="spellStart"/>
      <w:r w:rsidRPr="00467DB0">
        <w:t>rummet</w:t>
      </w:r>
      <w:proofErr w:type="spellEnd"/>
      <w:r w:rsidRPr="00467DB0">
        <w:t xml:space="preserve">, sikre leveringen </w:t>
      </w:r>
      <w:proofErr w:type="spellStart"/>
      <w:r w:rsidRPr="00467DB0">
        <w:t>af</w:t>
      </w:r>
      <w:proofErr w:type="spellEnd"/>
      <w:r w:rsidRPr="00467DB0">
        <w:t xml:space="preserve"> </w:t>
      </w:r>
      <w:proofErr w:type="spellStart"/>
      <w:r w:rsidRPr="00467DB0">
        <w:t>brugerdrevne</w:t>
      </w:r>
      <w:proofErr w:type="spellEnd"/>
      <w:r w:rsidRPr="00467DB0">
        <w:t xml:space="preserve"> SWE-tjenester og forbedre </w:t>
      </w:r>
      <w:proofErr w:type="spellStart"/>
      <w:r w:rsidRPr="00467DB0">
        <w:t>medlemsstaternes</w:t>
      </w:r>
      <w:proofErr w:type="spellEnd"/>
      <w:r w:rsidRPr="00467DB0">
        <w:t xml:space="preserve"> </w:t>
      </w:r>
      <w:proofErr w:type="spellStart"/>
      <w:r w:rsidRPr="00467DB0">
        <w:t>kapacitet</w:t>
      </w:r>
      <w:proofErr w:type="spellEnd"/>
      <w:r w:rsidRPr="00467DB0">
        <w:t xml:space="preserve"> til at producere SWE-tjenester. </w:t>
      </w:r>
      <w:proofErr w:type="spellStart"/>
      <w:r w:rsidRPr="00467DB0">
        <w:t>Kommissionen</w:t>
      </w:r>
      <w:proofErr w:type="spellEnd"/>
      <w:r w:rsidRPr="00467DB0">
        <w:t xml:space="preserve"> bør prioritere de sektorer,</w:t>
      </w:r>
      <w:r w:rsidRPr="00467DB0">
        <w:t xml:space="preserve"> som de </w:t>
      </w:r>
      <w:proofErr w:type="spellStart"/>
      <w:r w:rsidRPr="00467DB0">
        <w:t>operationelle</w:t>
      </w:r>
      <w:proofErr w:type="spellEnd"/>
      <w:r w:rsidRPr="00467DB0">
        <w:t xml:space="preserve"> SWE-tjenester skal leveres til, </w:t>
      </w:r>
      <w:proofErr w:type="gramStart"/>
      <w:r w:rsidRPr="00467DB0">
        <w:t>under hensyntagen</w:t>
      </w:r>
      <w:proofErr w:type="gramEnd"/>
      <w:r w:rsidRPr="00467DB0">
        <w:t xml:space="preserve"> til </w:t>
      </w:r>
      <w:proofErr w:type="spellStart"/>
      <w:r w:rsidRPr="00467DB0">
        <w:t>brugerbehov</w:t>
      </w:r>
      <w:proofErr w:type="spellEnd"/>
      <w:r w:rsidRPr="00467DB0">
        <w:t xml:space="preserve">, </w:t>
      </w:r>
      <w:proofErr w:type="spellStart"/>
      <w:r w:rsidRPr="00467DB0">
        <w:t>risici</w:t>
      </w:r>
      <w:proofErr w:type="spellEnd"/>
      <w:r w:rsidRPr="00467DB0">
        <w:t xml:space="preserve"> og teknologisk </w:t>
      </w:r>
      <w:proofErr w:type="spellStart"/>
      <w:r w:rsidRPr="00467DB0">
        <w:t>parathed</w:t>
      </w:r>
      <w:proofErr w:type="spellEnd"/>
      <w:r w:rsidRPr="00467DB0">
        <w:t xml:space="preserve">. På lang </w:t>
      </w:r>
      <w:proofErr w:type="spellStart"/>
      <w:r w:rsidRPr="00467DB0">
        <w:t>sigt</w:t>
      </w:r>
      <w:proofErr w:type="spellEnd"/>
      <w:r w:rsidRPr="00467DB0">
        <w:t xml:space="preserve"> kan behovene i andre sektorer tilgodeses. Leveringen </w:t>
      </w:r>
      <w:proofErr w:type="spellStart"/>
      <w:r w:rsidRPr="00467DB0">
        <w:t>af</w:t>
      </w:r>
      <w:proofErr w:type="spellEnd"/>
      <w:r w:rsidRPr="00467DB0">
        <w:t xml:space="preserve"> tjenester på EU-plan i henhold til </w:t>
      </w:r>
      <w:proofErr w:type="spellStart"/>
      <w:r w:rsidRPr="00467DB0">
        <w:t>brugernes</w:t>
      </w:r>
      <w:proofErr w:type="spellEnd"/>
      <w:r w:rsidRPr="00467DB0">
        <w:t xml:space="preserve"> behov vil </w:t>
      </w:r>
      <w:proofErr w:type="spellStart"/>
      <w:r w:rsidRPr="00467DB0">
        <w:t>kræve</w:t>
      </w:r>
      <w:proofErr w:type="spellEnd"/>
      <w:r w:rsidRPr="00467DB0">
        <w:t xml:space="preserve"> målre</w:t>
      </w:r>
      <w:r w:rsidRPr="00467DB0">
        <w:t xml:space="preserve">ttede, </w:t>
      </w:r>
      <w:proofErr w:type="spellStart"/>
      <w:r w:rsidRPr="00467DB0">
        <w:t>koordinerede</w:t>
      </w:r>
      <w:proofErr w:type="spellEnd"/>
      <w:r w:rsidRPr="00467DB0">
        <w:t xml:space="preserve"> og fortsatte forsknings- og </w:t>
      </w:r>
      <w:proofErr w:type="spellStart"/>
      <w:r w:rsidRPr="00467DB0">
        <w:t>udviklingsaktiviteter</w:t>
      </w:r>
      <w:proofErr w:type="spellEnd"/>
      <w:r w:rsidRPr="00467DB0">
        <w:t xml:space="preserve"> for at støtte </w:t>
      </w:r>
      <w:proofErr w:type="spellStart"/>
      <w:r w:rsidRPr="00467DB0">
        <w:t>udviklingen</w:t>
      </w:r>
      <w:proofErr w:type="spellEnd"/>
      <w:r w:rsidRPr="00467DB0">
        <w:t xml:space="preserve"> </w:t>
      </w:r>
      <w:proofErr w:type="spellStart"/>
      <w:r w:rsidRPr="00467DB0">
        <w:t>af</w:t>
      </w:r>
      <w:proofErr w:type="spellEnd"/>
      <w:r w:rsidRPr="00467DB0">
        <w:t xml:space="preserve"> SWE-tjenester. Leveringen </w:t>
      </w:r>
      <w:proofErr w:type="spellStart"/>
      <w:r w:rsidRPr="00467DB0">
        <w:t>af</w:t>
      </w:r>
      <w:proofErr w:type="spellEnd"/>
      <w:r w:rsidRPr="00467DB0">
        <w:t xml:space="preserve"> SWE-tjenester bør bygge på eksisterende </w:t>
      </w:r>
      <w:proofErr w:type="spellStart"/>
      <w:r w:rsidRPr="00467DB0">
        <w:t>national</w:t>
      </w:r>
      <w:proofErr w:type="spellEnd"/>
      <w:r w:rsidRPr="00467DB0">
        <w:t xml:space="preserve"> </w:t>
      </w:r>
      <w:proofErr w:type="spellStart"/>
      <w:r w:rsidRPr="00467DB0">
        <w:t>kapacitet</w:t>
      </w:r>
      <w:proofErr w:type="spellEnd"/>
      <w:r w:rsidRPr="00467DB0">
        <w:t xml:space="preserve"> og EU-</w:t>
      </w:r>
      <w:proofErr w:type="spellStart"/>
      <w:r w:rsidRPr="00467DB0">
        <w:t>kapacitet</w:t>
      </w:r>
      <w:proofErr w:type="spellEnd"/>
      <w:r w:rsidRPr="00467DB0">
        <w:t xml:space="preserve"> og sikre bred deltagelse </w:t>
      </w:r>
      <w:proofErr w:type="spellStart"/>
      <w:r w:rsidRPr="00467DB0">
        <w:t>blandt</w:t>
      </w:r>
      <w:proofErr w:type="spellEnd"/>
      <w:r w:rsidRPr="00467DB0">
        <w:t xml:space="preserve"> </w:t>
      </w:r>
      <w:proofErr w:type="spellStart"/>
      <w:r w:rsidRPr="00467DB0">
        <w:t>medlemsstaterne</w:t>
      </w:r>
      <w:proofErr w:type="spellEnd"/>
      <w:r w:rsidRPr="00467DB0">
        <w:t xml:space="preserve"> og </w:t>
      </w:r>
      <w:proofErr w:type="spellStart"/>
      <w:r w:rsidRPr="00467DB0">
        <w:t>eu</w:t>
      </w:r>
      <w:r w:rsidRPr="00467DB0">
        <w:t>ropæiske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samt </w:t>
      </w:r>
      <w:proofErr w:type="spellStart"/>
      <w:r w:rsidRPr="00467DB0">
        <w:t>inddragelse</w:t>
      </w:r>
      <w:proofErr w:type="spellEnd"/>
      <w:r w:rsidRPr="00467DB0">
        <w:t xml:space="preserve"> </w:t>
      </w:r>
      <w:proofErr w:type="spellStart"/>
      <w:r w:rsidRPr="00467DB0">
        <w:t>af</w:t>
      </w:r>
      <w:proofErr w:type="spellEnd"/>
      <w:r w:rsidRPr="00467DB0">
        <w:t xml:space="preserve"> den private sektor.</w:t>
      </w:r>
    </w:p>
    <w:p w14:paraId="36FADF5A" w14:textId="77777777" w:rsidR="00000000" w:rsidRPr="00467DB0" w:rsidRDefault="00693D67" w:rsidP="00467DB0">
      <w:pPr>
        <w:pStyle w:val="friliste"/>
      </w:pPr>
      <w:r w:rsidRPr="00467DB0">
        <w:t>(98)</w:t>
      </w:r>
      <w:r w:rsidRPr="00467DB0">
        <w:tab/>
        <w:t xml:space="preserve">I </w:t>
      </w:r>
      <w:proofErr w:type="spellStart"/>
      <w:r w:rsidRPr="00467DB0">
        <w:t>Kommissionens</w:t>
      </w:r>
      <w:proofErr w:type="spellEnd"/>
      <w:r w:rsidRPr="00467DB0">
        <w:t xml:space="preserve"> </w:t>
      </w:r>
      <w:proofErr w:type="spellStart"/>
      <w:r w:rsidRPr="00467DB0">
        <w:t>hvidbog</w:t>
      </w:r>
      <w:proofErr w:type="spellEnd"/>
      <w:r w:rsidRPr="00467DB0">
        <w:t xml:space="preserve"> </w:t>
      </w:r>
      <w:proofErr w:type="spellStart"/>
      <w:r w:rsidRPr="00467DB0">
        <w:t>af</w:t>
      </w:r>
      <w:proofErr w:type="spellEnd"/>
      <w:r w:rsidRPr="00467DB0">
        <w:t xml:space="preserve"> 1. </w:t>
      </w:r>
      <w:proofErr w:type="spellStart"/>
      <w:r w:rsidRPr="00467DB0">
        <w:t>marts</w:t>
      </w:r>
      <w:proofErr w:type="spellEnd"/>
      <w:r w:rsidRPr="00467DB0">
        <w:t xml:space="preserve"> 2017 om Europas fremtid, Romerklæringen undertegnet </w:t>
      </w:r>
      <w:proofErr w:type="spellStart"/>
      <w:r w:rsidRPr="00467DB0">
        <w:t>af</w:t>
      </w:r>
      <w:proofErr w:type="spellEnd"/>
      <w:r w:rsidRPr="00467DB0">
        <w:t xml:space="preserve"> stats- og </w:t>
      </w:r>
      <w:proofErr w:type="spellStart"/>
      <w:r w:rsidRPr="00467DB0">
        <w:t>regeringscheferne</w:t>
      </w:r>
      <w:proofErr w:type="spellEnd"/>
      <w:r w:rsidRPr="00467DB0">
        <w:t xml:space="preserve"> for </w:t>
      </w:r>
      <w:proofErr w:type="spellStart"/>
      <w:r w:rsidRPr="00467DB0">
        <w:t>EU's</w:t>
      </w:r>
      <w:proofErr w:type="spellEnd"/>
      <w:r w:rsidRPr="00467DB0">
        <w:t xml:space="preserve"> 27 medlemsstater den 25. </w:t>
      </w:r>
      <w:proofErr w:type="spellStart"/>
      <w:r w:rsidRPr="00467DB0">
        <w:t>marts</w:t>
      </w:r>
      <w:proofErr w:type="spellEnd"/>
      <w:r w:rsidRPr="00467DB0">
        <w:t xml:space="preserve"> 2017 og en</w:t>
      </w:r>
      <w:r w:rsidRPr="00467DB0">
        <w:t xml:space="preserve"> </w:t>
      </w:r>
      <w:proofErr w:type="spellStart"/>
      <w:r w:rsidRPr="00467DB0">
        <w:t>række</w:t>
      </w:r>
      <w:proofErr w:type="spellEnd"/>
      <w:r w:rsidRPr="00467DB0">
        <w:t xml:space="preserve"> beslutninger fra Europa-Parlamentet erindres der om, at Unionen spiller en stor rolle, når det </w:t>
      </w:r>
      <w:proofErr w:type="spellStart"/>
      <w:r w:rsidRPr="00467DB0">
        <w:t>gælder</w:t>
      </w:r>
      <w:proofErr w:type="spellEnd"/>
      <w:r w:rsidRPr="00467DB0">
        <w:t xml:space="preserve"> om at garantere et trygt, sikkert og </w:t>
      </w:r>
      <w:proofErr w:type="spellStart"/>
      <w:r w:rsidRPr="00467DB0">
        <w:t>modstandsdygtigt</w:t>
      </w:r>
      <w:proofErr w:type="spellEnd"/>
      <w:r w:rsidRPr="00467DB0">
        <w:t xml:space="preserve"> Europa, der er i stand til at </w:t>
      </w:r>
      <w:proofErr w:type="spellStart"/>
      <w:r w:rsidRPr="00467DB0">
        <w:t>imødegå</w:t>
      </w:r>
      <w:proofErr w:type="spellEnd"/>
      <w:r w:rsidRPr="00467DB0">
        <w:t xml:space="preserve"> </w:t>
      </w:r>
      <w:proofErr w:type="spellStart"/>
      <w:r w:rsidRPr="00467DB0">
        <w:t>udfordringer</w:t>
      </w:r>
      <w:proofErr w:type="spellEnd"/>
      <w:r w:rsidRPr="00467DB0">
        <w:t xml:space="preserve"> såsom regionale konflikter, terrorisme, cy</w:t>
      </w:r>
      <w:r w:rsidRPr="00467DB0">
        <w:t xml:space="preserve">bertrusler og et voksende </w:t>
      </w:r>
      <w:proofErr w:type="spellStart"/>
      <w:r w:rsidRPr="00467DB0">
        <w:t>migrationspres</w:t>
      </w:r>
      <w:proofErr w:type="spellEnd"/>
      <w:r w:rsidRPr="00467DB0">
        <w:t xml:space="preserve">. Sikker og </w:t>
      </w:r>
      <w:proofErr w:type="spellStart"/>
      <w:r w:rsidRPr="00467DB0">
        <w:t>garanteret</w:t>
      </w:r>
      <w:proofErr w:type="spellEnd"/>
      <w:r w:rsidRPr="00467DB0">
        <w:t xml:space="preserve"> adgang til </w:t>
      </w:r>
      <w:proofErr w:type="spellStart"/>
      <w:r w:rsidRPr="00467DB0">
        <w:t>satellitkommunikation</w:t>
      </w:r>
      <w:proofErr w:type="spellEnd"/>
      <w:r w:rsidRPr="00467DB0">
        <w:t xml:space="preserve"> er et </w:t>
      </w:r>
      <w:proofErr w:type="spellStart"/>
      <w:r w:rsidRPr="00467DB0">
        <w:t>uundværligt</w:t>
      </w:r>
      <w:proofErr w:type="spellEnd"/>
      <w:r w:rsidRPr="00467DB0">
        <w:t xml:space="preserve"> </w:t>
      </w:r>
      <w:proofErr w:type="spellStart"/>
      <w:r w:rsidRPr="00467DB0">
        <w:t>redskab</w:t>
      </w:r>
      <w:proofErr w:type="spellEnd"/>
      <w:r w:rsidRPr="00467DB0">
        <w:t xml:space="preserve"> for </w:t>
      </w:r>
      <w:proofErr w:type="spellStart"/>
      <w:r w:rsidRPr="00467DB0">
        <w:t>sikkerhedsaktørerne</w:t>
      </w:r>
      <w:proofErr w:type="spellEnd"/>
      <w:r w:rsidRPr="00467DB0">
        <w:t xml:space="preserve">, og at samle og dele denne </w:t>
      </w:r>
      <w:proofErr w:type="spellStart"/>
      <w:r w:rsidRPr="00467DB0">
        <w:t>vigtige</w:t>
      </w:r>
      <w:proofErr w:type="spellEnd"/>
      <w:r w:rsidRPr="00467DB0">
        <w:t xml:space="preserve"> </w:t>
      </w:r>
      <w:proofErr w:type="spellStart"/>
      <w:r w:rsidRPr="00467DB0">
        <w:t>ressource</w:t>
      </w:r>
      <w:proofErr w:type="spellEnd"/>
      <w:r w:rsidRPr="00467DB0">
        <w:t xml:space="preserve"> på EU-plan styrker en Union, der beskytter sine borgere.</w:t>
      </w:r>
    </w:p>
    <w:p w14:paraId="51574587" w14:textId="77777777" w:rsidR="00000000" w:rsidRPr="00467DB0" w:rsidRDefault="00693D67" w:rsidP="00467DB0">
      <w:pPr>
        <w:pStyle w:val="friliste"/>
      </w:pPr>
      <w:r w:rsidRPr="00467DB0">
        <w:lastRenderedPageBreak/>
        <w:t>(99)</w:t>
      </w:r>
      <w:r w:rsidRPr="00467DB0">
        <w:tab/>
        <w:t>I D</w:t>
      </w:r>
      <w:r w:rsidRPr="00467DB0">
        <w:t xml:space="preserve">et </w:t>
      </w:r>
      <w:proofErr w:type="spellStart"/>
      <w:r w:rsidRPr="00467DB0">
        <w:t>Europæiske</w:t>
      </w:r>
      <w:proofErr w:type="spellEnd"/>
      <w:r w:rsidRPr="00467DB0">
        <w:t xml:space="preserve"> Råds </w:t>
      </w:r>
      <w:proofErr w:type="spellStart"/>
      <w:r w:rsidRPr="00467DB0">
        <w:t>konklusioner</w:t>
      </w:r>
      <w:proofErr w:type="spellEnd"/>
      <w:r w:rsidRPr="00467DB0">
        <w:t xml:space="preserve"> </w:t>
      </w:r>
      <w:proofErr w:type="spellStart"/>
      <w:r w:rsidRPr="00467DB0">
        <w:t>af</w:t>
      </w:r>
      <w:proofErr w:type="spellEnd"/>
      <w:r w:rsidRPr="00467DB0">
        <w:t xml:space="preserve"> 19.-20. </w:t>
      </w:r>
      <w:proofErr w:type="spellStart"/>
      <w:r w:rsidRPr="00467DB0">
        <w:t>december</w:t>
      </w:r>
      <w:proofErr w:type="spellEnd"/>
      <w:r w:rsidRPr="00467DB0">
        <w:t xml:space="preserve"> 2013 </w:t>
      </w:r>
      <w:proofErr w:type="spellStart"/>
      <w:r w:rsidRPr="00467DB0">
        <w:t>udtryktes</w:t>
      </w:r>
      <w:proofErr w:type="spellEnd"/>
      <w:r w:rsidRPr="00467DB0">
        <w:t xml:space="preserve"> </w:t>
      </w:r>
      <w:proofErr w:type="spellStart"/>
      <w:r w:rsidRPr="00467DB0">
        <w:t>tilfredshed</w:t>
      </w:r>
      <w:proofErr w:type="spellEnd"/>
      <w:r w:rsidRPr="00467DB0">
        <w:t xml:space="preserve"> med </w:t>
      </w:r>
      <w:proofErr w:type="spellStart"/>
      <w:r w:rsidRPr="00467DB0">
        <w:t>forberedelserne</w:t>
      </w:r>
      <w:proofErr w:type="spellEnd"/>
      <w:r w:rsidRPr="00467DB0">
        <w:t xml:space="preserve"> til </w:t>
      </w:r>
      <w:proofErr w:type="spellStart"/>
      <w:r w:rsidRPr="00467DB0">
        <w:t>næste</w:t>
      </w:r>
      <w:proofErr w:type="spellEnd"/>
      <w:r w:rsidRPr="00467DB0">
        <w:t xml:space="preserve"> </w:t>
      </w:r>
      <w:proofErr w:type="spellStart"/>
      <w:r w:rsidRPr="00467DB0">
        <w:t>generation</w:t>
      </w:r>
      <w:proofErr w:type="spellEnd"/>
      <w:r w:rsidRPr="00467DB0">
        <w:t xml:space="preserve"> </w:t>
      </w:r>
      <w:proofErr w:type="spellStart"/>
      <w:r w:rsidRPr="00467DB0">
        <w:t>af</w:t>
      </w:r>
      <w:proofErr w:type="spellEnd"/>
      <w:r w:rsidRPr="00467DB0">
        <w:t xml:space="preserve"> </w:t>
      </w:r>
      <w:proofErr w:type="spellStart"/>
      <w:r w:rsidRPr="00467DB0">
        <w:t>statslig</w:t>
      </w:r>
      <w:proofErr w:type="spellEnd"/>
      <w:r w:rsidRPr="00467DB0">
        <w:t xml:space="preserve"> </w:t>
      </w:r>
      <w:proofErr w:type="spellStart"/>
      <w:r w:rsidRPr="00467DB0">
        <w:t>satellitkommunikation</w:t>
      </w:r>
      <w:proofErr w:type="spellEnd"/>
      <w:r w:rsidRPr="00467DB0">
        <w:t xml:space="preserve"> (GOVSATCOM) </w:t>
      </w:r>
      <w:proofErr w:type="spellStart"/>
      <w:r w:rsidRPr="00467DB0">
        <w:t>gennem</w:t>
      </w:r>
      <w:proofErr w:type="spellEnd"/>
      <w:r w:rsidRPr="00467DB0">
        <w:t xml:space="preserve"> et </w:t>
      </w:r>
      <w:proofErr w:type="spellStart"/>
      <w:r w:rsidRPr="00467DB0">
        <w:t>snævert</w:t>
      </w:r>
      <w:proofErr w:type="spellEnd"/>
      <w:r w:rsidRPr="00467DB0">
        <w:t xml:space="preserve"> </w:t>
      </w:r>
      <w:proofErr w:type="spellStart"/>
      <w:r w:rsidRPr="00467DB0">
        <w:t>samarbejde</w:t>
      </w:r>
      <w:proofErr w:type="spellEnd"/>
      <w:r w:rsidRPr="00467DB0">
        <w:t xml:space="preserve"> </w:t>
      </w:r>
      <w:proofErr w:type="spellStart"/>
      <w:r w:rsidRPr="00467DB0">
        <w:t>mellem</w:t>
      </w:r>
      <w:proofErr w:type="spellEnd"/>
      <w:r w:rsidRPr="00467DB0">
        <w:t xml:space="preserve"> </w:t>
      </w:r>
      <w:proofErr w:type="spellStart"/>
      <w:r w:rsidRPr="00467DB0">
        <w:t>medlemsstaterne</w:t>
      </w:r>
      <w:proofErr w:type="spellEnd"/>
      <w:r w:rsidRPr="00467DB0">
        <w:t xml:space="preserve">, </w:t>
      </w:r>
      <w:proofErr w:type="spellStart"/>
      <w:r w:rsidRPr="00467DB0">
        <w:t>Kommissionen</w:t>
      </w:r>
      <w:proofErr w:type="spellEnd"/>
      <w:r w:rsidRPr="00467DB0">
        <w:t xml:space="preserve"> og ESA. GOVSATCOM er ogs</w:t>
      </w:r>
      <w:r w:rsidRPr="00467DB0">
        <w:t xml:space="preserve">å </w:t>
      </w:r>
      <w:proofErr w:type="spellStart"/>
      <w:r w:rsidRPr="00467DB0">
        <w:t>blevet</w:t>
      </w:r>
      <w:proofErr w:type="spellEnd"/>
      <w:r w:rsidRPr="00467DB0">
        <w:t xml:space="preserve"> </w:t>
      </w:r>
      <w:proofErr w:type="spellStart"/>
      <w:r w:rsidRPr="00467DB0">
        <w:t>udpeget</w:t>
      </w:r>
      <w:proofErr w:type="spellEnd"/>
      <w:r w:rsidRPr="00467DB0">
        <w:t xml:space="preserve"> som et </w:t>
      </w:r>
      <w:proofErr w:type="spellStart"/>
      <w:r w:rsidRPr="00467DB0">
        <w:t>af</w:t>
      </w:r>
      <w:proofErr w:type="spellEnd"/>
      <w:r w:rsidRPr="00467DB0">
        <w:t xml:space="preserve"> </w:t>
      </w:r>
      <w:proofErr w:type="spellStart"/>
      <w:r w:rsidRPr="00467DB0">
        <w:t>elementerne</w:t>
      </w:r>
      <w:proofErr w:type="spellEnd"/>
      <w:r w:rsidRPr="00467DB0">
        <w:t xml:space="preserve"> i den globale strategi for Den </w:t>
      </w:r>
      <w:proofErr w:type="spellStart"/>
      <w:r w:rsidRPr="00467DB0">
        <w:t>Europæiske</w:t>
      </w:r>
      <w:proofErr w:type="spellEnd"/>
      <w:r w:rsidRPr="00467DB0">
        <w:t xml:space="preserve"> Unions </w:t>
      </w:r>
      <w:proofErr w:type="spellStart"/>
      <w:r w:rsidRPr="00467DB0">
        <w:t>udenrigs</w:t>
      </w:r>
      <w:proofErr w:type="spellEnd"/>
      <w:r w:rsidRPr="00467DB0">
        <w:t xml:space="preserve">- og </w:t>
      </w:r>
      <w:proofErr w:type="spellStart"/>
      <w:r w:rsidRPr="00467DB0">
        <w:t>sikkerhedspolitik</w:t>
      </w:r>
      <w:proofErr w:type="spellEnd"/>
      <w:r w:rsidRPr="00467DB0">
        <w:t xml:space="preserve"> i juni 2016. GOVSATCOM bør </w:t>
      </w:r>
      <w:proofErr w:type="spellStart"/>
      <w:r w:rsidRPr="00467DB0">
        <w:t>bidrage</w:t>
      </w:r>
      <w:proofErr w:type="spellEnd"/>
      <w:r w:rsidRPr="00467DB0">
        <w:t xml:space="preserve"> til </w:t>
      </w:r>
      <w:proofErr w:type="spellStart"/>
      <w:r w:rsidRPr="00467DB0">
        <w:t>EU's</w:t>
      </w:r>
      <w:proofErr w:type="spellEnd"/>
      <w:r w:rsidRPr="00467DB0">
        <w:t xml:space="preserve"> respons over for hybride trusler og </w:t>
      </w:r>
      <w:proofErr w:type="spellStart"/>
      <w:r w:rsidRPr="00467DB0">
        <w:t>yde</w:t>
      </w:r>
      <w:proofErr w:type="spellEnd"/>
      <w:r w:rsidRPr="00467DB0">
        <w:t xml:space="preserve"> støtte til </w:t>
      </w:r>
      <w:proofErr w:type="spellStart"/>
      <w:r w:rsidRPr="00467DB0">
        <w:t>EU's</w:t>
      </w:r>
      <w:proofErr w:type="spellEnd"/>
      <w:r w:rsidRPr="00467DB0">
        <w:t xml:space="preserve"> strategi for maritim </w:t>
      </w:r>
      <w:proofErr w:type="spellStart"/>
      <w:r w:rsidRPr="00467DB0">
        <w:t>sikkerhed</w:t>
      </w:r>
      <w:proofErr w:type="spellEnd"/>
      <w:r w:rsidRPr="00467DB0">
        <w:t xml:space="preserve"> og </w:t>
      </w:r>
      <w:proofErr w:type="spellStart"/>
      <w:r w:rsidRPr="00467DB0">
        <w:t>EU'</w:t>
      </w:r>
      <w:r w:rsidRPr="00467DB0">
        <w:t>s</w:t>
      </w:r>
      <w:proofErr w:type="spellEnd"/>
      <w:r w:rsidRPr="00467DB0">
        <w:t xml:space="preserve"> </w:t>
      </w:r>
      <w:proofErr w:type="spellStart"/>
      <w:r w:rsidRPr="00467DB0">
        <w:t>politik</w:t>
      </w:r>
      <w:proofErr w:type="spellEnd"/>
      <w:r w:rsidRPr="00467DB0">
        <w:t xml:space="preserve"> for Arktis.</w:t>
      </w:r>
    </w:p>
    <w:p w14:paraId="1C1330F9" w14:textId="77777777" w:rsidR="00000000" w:rsidRPr="00467DB0" w:rsidRDefault="00693D67" w:rsidP="00467DB0">
      <w:pPr>
        <w:pStyle w:val="friliste"/>
      </w:pPr>
      <w:r w:rsidRPr="00467DB0">
        <w:t>(100)</w:t>
      </w:r>
      <w:r w:rsidRPr="00467DB0">
        <w:tab/>
        <w:t xml:space="preserve">GOVSATCOM er et </w:t>
      </w:r>
      <w:proofErr w:type="spellStart"/>
      <w:r w:rsidRPr="00467DB0">
        <w:t>brugercentreret</w:t>
      </w:r>
      <w:proofErr w:type="spellEnd"/>
      <w:r w:rsidRPr="00467DB0">
        <w:t xml:space="preserve"> program med en </w:t>
      </w:r>
      <w:proofErr w:type="spellStart"/>
      <w:r w:rsidRPr="00467DB0">
        <w:t>stærk</w:t>
      </w:r>
      <w:proofErr w:type="spellEnd"/>
      <w:r w:rsidRPr="00467DB0">
        <w:t xml:space="preserve"> </w:t>
      </w:r>
      <w:proofErr w:type="spellStart"/>
      <w:r w:rsidRPr="00467DB0">
        <w:t>sikkerhedsdimension</w:t>
      </w:r>
      <w:proofErr w:type="spellEnd"/>
      <w:r w:rsidRPr="00467DB0">
        <w:t xml:space="preserve">. GOVSATCOM </w:t>
      </w:r>
      <w:proofErr w:type="spellStart"/>
      <w:r w:rsidRPr="00467DB0">
        <w:t>brugsscenarierne</w:t>
      </w:r>
      <w:proofErr w:type="spellEnd"/>
      <w:r w:rsidRPr="00467DB0">
        <w:t xml:space="preserve"> bør </w:t>
      </w:r>
      <w:proofErr w:type="spellStart"/>
      <w:r w:rsidRPr="00467DB0">
        <w:t>af</w:t>
      </w:r>
      <w:proofErr w:type="spellEnd"/>
      <w:r w:rsidRPr="00467DB0">
        <w:t xml:space="preserve"> de relevante aktører kunne </w:t>
      </w:r>
      <w:proofErr w:type="spellStart"/>
      <w:r w:rsidRPr="00467DB0">
        <w:t>inddeles</w:t>
      </w:r>
      <w:proofErr w:type="spellEnd"/>
      <w:r w:rsidRPr="00467DB0">
        <w:t xml:space="preserve"> i tre hovedgrupper: krisestyring, som kan omfatte </w:t>
      </w:r>
      <w:proofErr w:type="spellStart"/>
      <w:r w:rsidRPr="00467DB0">
        <w:t>civile</w:t>
      </w:r>
      <w:proofErr w:type="spellEnd"/>
      <w:r w:rsidRPr="00467DB0">
        <w:t xml:space="preserve"> og militære missioner og </w:t>
      </w:r>
      <w:proofErr w:type="spellStart"/>
      <w:r w:rsidRPr="00467DB0">
        <w:t>op</w:t>
      </w:r>
      <w:r w:rsidRPr="00467DB0">
        <w:t>erationer</w:t>
      </w:r>
      <w:proofErr w:type="spellEnd"/>
      <w:r w:rsidRPr="00467DB0">
        <w:t xml:space="preserve"> under den </w:t>
      </w:r>
      <w:proofErr w:type="spellStart"/>
      <w:r w:rsidRPr="00467DB0">
        <w:t>fælles</w:t>
      </w:r>
      <w:proofErr w:type="spellEnd"/>
      <w:r w:rsidRPr="00467DB0">
        <w:t xml:space="preserve"> </w:t>
      </w:r>
      <w:proofErr w:type="spellStart"/>
      <w:r w:rsidRPr="00467DB0">
        <w:t>sikkerheds</w:t>
      </w:r>
      <w:proofErr w:type="spellEnd"/>
      <w:r w:rsidRPr="00467DB0">
        <w:t xml:space="preserve">- og </w:t>
      </w:r>
      <w:proofErr w:type="spellStart"/>
      <w:r w:rsidRPr="00467DB0">
        <w:t>forsvarspolitik</w:t>
      </w:r>
      <w:proofErr w:type="spellEnd"/>
      <w:r w:rsidRPr="00467DB0">
        <w:t xml:space="preserve">, naturkatastrofer og </w:t>
      </w:r>
      <w:proofErr w:type="spellStart"/>
      <w:r w:rsidRPr="00467DB0">
        <w:t>menneskeskabte</w:t>
      </w:r>
      <w:proofErr w:type="spellEnd"/>
      <w:r w:rsidRPr="00467DB0">
        <w:t xml:space="preserve"> katastrofer, humanitære kriser og maritime </w:t>
      </w:r>
      <w:proofErr w:type="spellStart"/>
      <w:r w:rsidRPr="00467DB0">
        <w:t>nødsituationer</w:t>
      </w:r>
      <w:proofErr w:type="spellEnd"/>
      <w:r w:rsidRPr="00467DB0">
        <w:t xml:space="preserve">, </w:t>
      </w:r>
      <w:proofErr w:type="spellStart"/>
      <w:r w:rsidRPr="00467DB0">
        <w:t>overvågning</w:t>
      </w:r>
      <w:proofErr w:type="spellEnd"/>
      <w:r w:rsidRPr="00467DB0">
        <w:t xml:space="preserve">, som kan omfatte </w:t>
      </w:r>
      <w:proofErr w:type="spellStart"/>
      <w:r w:rsidRPr="00467DB0">
        <w:t>grænseovervågning</w:t>
      </w:r>
      <w:proofErr w:type="spellEnd"/>
      <w:r w:rsidRPr="00467DB0">
        <w:t xml:space="preserve">, </w:t>
      </w:r>
      <w:proofErr w:type="spellStart"/>
      <w:r w:rsidRPr="00467DB0">
        <w:t>overvågning</w:t>
      </w:r>
      <w:proofErr w:type="spellEnd"/>
      <w:r w:rsidRPr="00467DB0">
        <w:t xml:space="preserve"> </w:t>
      </w:r>
      <w:proofErr w:type="spellStart"/>
      <w:r w:rsidRPr="00467DB0">
        <w:t>af</w:t>
      </w:r>
      <w:proofErr w:type="spellEnd"/>
      <w:r w:rsidRPr="00467DB0">
        <w:t xml:space="preserve"> området før </w:t>
      </w:r>
      <w:proofErr w:type="spellStart"/>
      <w:r w:rsidRPr="00467DB0">
        <w:t>grænsen</w:t>
      </w:r>
      <w:proofErr w:type="spellEnd"/>
      <w:r w:rsidRPr="00467DB0">
        <w:t xml:space="preserve">, </w:t>
      </w:r>
      <w:proofErr w:type="spellStart"/>
      <w:r w:rsidRPr="00467DB0">
        <w:t>overvågning</w:t>
      </w:r>
      <w:proofErr w:type="spellEnd"/>
      <w:r w:rsidRPr="00467DB0">
        <w:t xml:space="preserve"> </w:t>
      </w:r>
      <w:proofErr w:type="spellStart"/>
      <w:r w:rsidRPr="00467DB0">
        <w:t>af</w:t>
      </w:r>
      <w:proofErr w:type="spellEnd"/>
      <w:r w:rsidRPr="00467DB0">
        <w:t xml:space="preserve"> </w:t>
      </w:r>
      <w:proofErr w:type="spellStart"/>
      <w:r w:rsidRPr="00467DB0">
        <w:t>søgr</w:t>
      </w:r>
      <w:r w:rsidRPr="00467DB0">
        <w:t>ænser</w:t>
      </w:r>
      <w:proofErr w:type="spellEnd"/>
      <w:r w:rsidRPr="00467DB0">
        <w:t xml:space="preserve">, </w:t>
      </w:r>
      <w:proofErr w:type="spellStart"/>
      <w:r w:rsidRPr="00467DB0">
        <w:t>havovervågning</w:t>
      </w:r>
      <w:proofErr w:type="spellEnd"/>
      <w:r w:rsidRPr="00467DB0">
        <w:t xml:space="preserve">, </w:t>
      </w:r>
      <w:proofErr w:type="spellStart"/>
      <w:r w:rsidRPr="00467DB0">
        <w:t>overvågning</w:t>
      </w:r>
      <w:proofErr w:type="spellEnd"/>
      <w:r w:rsidRPr="00467DB0">
        <w:t xml:space="preserve"> </w:t>
      </w:r>
      <w:proofErr w:type="spellStart"/>
      <w:r w:rsidRPr="00467DB0">
        <w:t>af</w:t>
      </w:r>
      <w:proofErr w:type="spellEnd"/>
      <w:r w:rsidRPr="00467DB0">
        <w:t xml:space="preserve"> ulovlig handel og </w:t>
      </w:r>
      <w:proofErr w:type="spellStart"/>
      <w:r w:rsidRPr="00467DB0">
        <w:t>centrale</w:t>
      </w:r>
      <w:proofErr w:type="spellEnd"/>
      <w:r w:rsidRPr="00467DB0">
        <w:t xml:space="preserve"> infrastrukturer, som kan omfatte diplomatiske </w:t>
      </w:r>
      <w:proofErr w:type="spellStart"/>
      <w:r w:rsidRPr="00467DB0">
        <w:t>netværk</w:t>
      </w:r>
      <w:proofErr w:type="spellEnd"/>
      <w:r w:rsidRPr="00467DB0">
        <w:t xml:space="preserve">, politikommunikation, digital infrastruktur såsom </w:t>
      </w:r>
      <w:proofErr w:type="spellStart"/>
      <w:r w:rsidRPr="00467DB0">
        <w:t>datacentre</w:t>
      </w:r>
      <w:proofErr w:type="spellEnd"/>
      <w:r w:rsidRPr="00467DB0">
        <w:t xml:space="preserve"> og servere, kritiske infrastrukturer såsom energi, transport og vandbarriere</w:t>
      </w:r>
      <w:r w:rsidRPr="00467DB0">
        <w:t xml:space="preserve">r, såsom </w:t>
      </w:r>
      <w:proofErr w:type="spellStart"/>
      <w:r w:rsidRPr="00467DB0">
        <w:t>dæmninger</w:t>
      </w:r>
      <w:proofErr w:type="spellEnd"/>
      <w:r w:rsidRPr="00467DB0">
        <w:t xml:space="preserve">, og </w:t>
      </w:r>
      <w:proofErr w:type="spellStart"/>
      <w:r w:rsidRPr="00467DB0">
        <w:t>ruminfrastrukturer</w:t>
      </w:r>
      <w:proofErr w:type="spellEnd"/>
      <w:r w:rsidRPr="00467DB0">
        <w:t>.</w:t>
      </w:r>
    </w:p>
    <w:p w14:paraId="274A8DA3" w14:textId="77777777" w:rsidR="00000000" w:rsidRPr="00467DB0" w:rsidRDefault="00693D67" w:rsidP="00467DB0">
      <w:pPr>
        <w:pStyle w:val="friliste"/>
      </w:pPr>
      <w:r w:rsidRPr="00467DB0">
        <w:t>(101)</w:t>
      </w:r>
      <w:r w:rsidRPr="00467DB0">
        <w:tab/>
      </w:r>
      <w:proofErr w:type="spellStart"/>
      <w:r w:rsidRPr="00467DB0">
        <w:t>GOVSATCOM's</w:t>
      </w:r>
      <w:proofErr w:type="spellEnd"/>
      <w:r w:rsidRPr="00467DB0">
        <w:t xml:space="preserve"> </w:t>
      </w:r>
      <w:proofErr w:type="spellStart"/>
      <w:r w:rsidRPr="00467DB0">
        <w:t>kapacitet</w:t>
      </w:r>
      <w:proofErr w:type="spellEnd"/>
      <w:r w:rsidRPr="00467DB0">
        <w:t xml:space="preserve"> og tjenester bør anvendes </w:t>
      </w:r>
      <w:proofErr w:type="spellStart"/>
      <w:r w:rsidRPr="00467DB0">
        <w:t>af</w:t>
      </w:r>
      <w:proofErr w:type="spellEnd"/>
      <w:r w:rsidRPr="00467DB0">
        <w:t xml:space="preserve"> EU- og medlemsstatsaktører i forbindelse med </w:t>
      </w:r>
      <w:proofErr w:type="spellStart"/>
      <w:r w:rsidRPr="00467DB0">
        <w:t>sikkerhedskritiske</w:t>
      </w:r>
      <w:proofErr w:type="spellEnd"/>
      <w:r w:rsidRPr="00467DB0">
        <w:t xml:space="preserve"> missioner og </w:t>
      </w:r>
      <w:proofErr w:type="spellStart"/>
      <w:r w:rsidRPr="00467DB0">
        <w:t>operationer</w:t>
      </w:r>
      <w:proofErr w:type="spellEnd"/>
      <w:r w:rsidRPr="00467DB0">
        <w:t xml:space="preserve">. Der er derfor behov for et passende </w:t>
      </w:r>
      <w:proofErr w:type="spellStart"/>
      <w:r w:rsidRPr="00467DB0">
        <w:t>niveau</w:t>
      </w:r>
      <w:proofErr w:type="spellEnd"/>
      <w:r w:rsidRPr="00467DB0">
        <w:t xml:space="preserve"> </w:t>
      </w:r>
      <w:proofErr w:type="spellStart"/>
      <w:r w:rsidRPr="00467DB0">
        <w:t>af</w:t>
      </w:r>
      <w:proofErr w:type="spellEnd"/>
      <w:r w:rsidRPr="00467DB0">
        <w:t xml:space="preserve"> </w:t>
      </w:r>
      <w:proofErr w:type="spellStart"/>
      <w:r w:rsidRPr="00467DB0">
        <w:t>uafhængighed</w:t>
      </w:r>
      <w:proofErr w:type="spellEnd"/>
      <w:r w:rsidRPr="00467DB0">
        <w:t xml:space="preserve"> </w:t>
      </w:r>
      <w:proofErr w:type="spellStart"/>
      <w:r w:rsidRPr="00467DB0">
        <w:t>af</w:t>
      </w:r>
      <w:proofErr w:type="spellEnd"/>
      <w:r w:rsidRPr="00467DB0">
        <w:t xml:space="preserve"> tred</w:t>
      </w:r>
      <w:r w:rsidRPr="00467DB0">
        <w:t>jeparter (</w:t>
      </w:r>
      <w:proofErr w:type="spellStart"/>
      <w:r w:rsidRPr="00467DB0">
        <w:t>tredjelande</w:t>
      </w:r>
      <w:proofErr w:type="spellEnd"/>
      <w:r w:rsidRPr="00467DB0">
        <w:t xml:space="preserve"> og </w:t>
      </w:r>
      <w:proofErr w:type="spellStart"/>
      <w:r w:rsidRPr="00467DB0">
        <w:t>enheder</w:t>
      </w:r>
      <w:proofErr w:type="spellEnd"/>
      <w:r w:rsidRPr="00467DB0">
        <w:t xml:space="preserve"> fra </w:t>
      </w:r>
      <w:proofErr w:type="spellStart"/>
      <w:r w:rsidRPr="00467DB0">
        <w:t>tredjelande</w:t>
      </w:r>
      <w:proofErr w:type="spellEnd"/>
      <w:r w:rsidRPr="00467DB0">
        <w:t xml:space="preserve">), som </w:t>
      </w:r>
      <w:proofErr w:type="spellStart"/>
      <w:r w:rsidRPr="00467DB0">
        <w:t>dækker</w:t>
      </w:r>
      <w:proofErr w:type="spellEnd"/>
      <w:r w:rsidRPr="00467DB0">
        <w:t xml:space="preserve"> alle GOVSATCOM-elementer, såsom </w:t>
      </w:r>
      <w:proofErr w:type="spellStart"/>
      <w:r w:rsidRPr="00467DB0">
        <w:t>rum</w:t>
      </w:r>
      <w:proofErr w:type="spellEnd"/>
      <w:r w:rsidRPr="00467DB0">
        <w:t xml:space="preserve">- og jordbaserede teknologier på komponent-, delsystem- og </w:t>
      </w:r>
      <w:proofErr w:type="spellStart"/>
      <w:r w:rsidRPr="00467DB0">
        <w:t>systemniveau</w:t>
      </w:r>
      <w:proofErr w:type="spellEnd"/>
      <w:r w:rsidRPr="00467DB0">
        <w:t xml:space="preserve">, fremstillingsindustrier, </w:t>
      </w:r>
      <w:proofErr w:type="spellStart"/>
      <w:r w:rsidRPr="00467DB0">
        <w:t>ejere</w:t>
      </w:r>
      <w:proofErr w:type="spellEnd"/>
      <w:r w:rsidRPr="00467DB0">
        <w:t xml:space="preserve"> og operatører </w:t>
      </w:r>
      <w:proofErr w:type="spellStart"/>
      <w:r w:rsidRPr="00467DB0">
        <w:t>af</w:t>
      </w:r>
      <w:proofErr w:type="spellEnd"/>
      <w:r w:rsidRPr="00467DB0">
        <w:t xml:space="preserve"> </w:t>
      </w:r>
      <w:proofErr w:type="spellStart"/>
      <w:r w:rsidRPr="00467DB0">
        <w:t>rumsystemer</w:t>
      </w:r>
      <w:proofErr w:type="spellEnd"/>
      <w:r w:rsidRPr="00467DB0">
        <w:t xml:space="preserve"> og fysisk </w:t>
      </w:r>
      <w:proofErr w:type="spellStart"/>
      <w:r w:rsidRPr="00467DB0">
        <w:t>placering</w:t>
      </w:r>
      <w:proofErr w:type="spellEnd"/>
      <w:r w:rsidRPr="00467DB0">
        <w:t xml:space="preserve"> </w:t>
      </w:r>
      <w:proofErr w:type="spellStart"/>
      <w:r w:rsidRPr="00467DB0">
        <w:t>af</w:t>
      </w:r>
      <w:proofErr w:type="spellEnd"/>
      <w:r w:rsidRPr="00467DB0">
        <w:t xml:space="preserve"> kom</w:t>
      </w:r>
      <w:r w:rsidRPr="00467DB0">
        <w:t>ponenter på jorden.</w:t>
      </w:r>
    </w:p>
    <w:p w14:paraId="72285D22" w14:textId="77777777" w:rsidR="00000000" w:rsidRPr="00467DB0" w:rsidRDefault="00693D67" w:rsidP="00467DB0">
      <w:pPr>
        <w:pStyle w:val="friliste"/>
      </w:pPr>
      <w:r w:rsidRPr="00467DB0">
        <w:t>(102)</w:t>
      </w:r>
      <w:r w:rsidRPr="00467DB0">
        <w:tab/>
      </w:r>
      <w:proofErr w:type="spellStart"/>
      <w:r w:rsidRPr="00467DB0">
        <w:t>Satellitkommunikation</w:t>
      </w:r>
      <w:proofErr w:type="spellEnd"/>
      <w:r w:rsidRPr="00467DB0">
        <w:t xml:space="preserve"> er en </w:t>
      </w:r>
      <w:proofErr w:type="spellStart"/>
      <w:r w:rsidRPr="00467DB0">
        <w:t>begrænset</w:t>
      </w:r>
      <w:proofErr w:type="spellEnd"/>
      <w:r w:rsidRPr="00467DB0">
        <w:t xml:space="preserve"> </w:t>
      </w:r>
      <w:proofErr w:type="spellStart"/>
      <w:r w:rsidRPr="00467DB0">
        <w:t>ressource</w:t>
      </w:r>
      <w:proofErr w:type="spellEnd"/>
      <w:r w:rsidRPr="00467DB0">
        <w:t xml:space="preserve">, som </w:t>
      </w:r>
      <w:proofErr w:type="spellStart"/>
      <w:r w:rsidRPr="00467DB0">
        <w:t>begrænses</w:t>
      </w:r>
      <w:proofErr w:type="spellEnd"/>
      <w:r w:rsidRPr="00467DB0">
        <w:t xml:space="preserve"> </w:t>
      </w:r>
      <w:proofErr w:type="spellStart"/>
      <w:r w:rsidRPr="00467DB0">
        <w:t>af</w:t>
      </w:r>
      <w:proofErr w:type="spellEnd"/>
      <w:r w:rsidRPr="00467DB0">
        <w:t xml:space="preserve"> </w:t>
      </w:r>
      <w:proofErr w:type="spellStart"/>
      <w:r w:rsidRPr="00467DB0">
        <w:t>satellitkapacitet</w:t>
      </w:r>
      <w:proofErr w:type="spellEnd"/>
      <w:r w:rsidRPr="00467DB0">
        <w:t xml:space="preserve">, frekvenser og geografisk </w:t>
      </w:r>
      <w:proofErr w:type="spellStart"/>
      <w:r w:rsidRPr="00467DB0">
        <w:t>dækning</w:t>
      </w:r>
      <w:proofErr w:type="spellEnd"/>
      <w:r w:rsidRPr="00467DB0">
        <w:t xml:space="preserve">. For at være omkostningseffektiv og </w:t>
      </w:r>
      <w:proofErr w:type="spellStart"/>
      <w:r w:rsidRPr="00467DB0">
        <w:t>udnytte</w:t>
      </w:r>
      <w:proofErr w:type="spellEnd"/>
      <w:r w:rsidRPr="00467DB0">
        <w:t xml:space="preserve"> </w:t>
      </w:r>
      <w:proofErr w:type="spellStart"/>
      <w:r w:rsidRPr="00467DB0">
        <w:t>stordriftsfordele</w:t>
      </w:r>
      <w:proofErr w:type="spellEnd"/>
      <w:r w:rsidRPr="00467DB0">
        <w:t xml:space="preserve"> er det derfor </w:t>
      </w:r>
      <w:proofErr w:type="spellStart"/>
      <w:r w:rsidRPr="00467DB0">
        <w:t>nødvendigt</w:t>
      </w:r>
      <w:proofErr w:type="spellEnd"/>
      <w:r w:rsidRPr="00467DB0">
        <w:t>, at GOVSATCOM optimerer o</w:t>
      </w:r>
      <w:r w:rsidRPr="00467DB0">
        <w:t xml:space="preserve">verensstemmelsen </w:t>
      </w:r>
      <w:proofErr w:type="spellStart"/>
      <w:r w:rsidRPr="00467DB0">
        <w:t>mellem</w:t>
      </w:r>
      <w:proofErr w:type="spellEnd"/>
      <w:r w:rsidRPr="00467DB0">
        <w:t xml:space="preserve"> </w:t>
      </w:r>
      <w:proofErr w:type="spellStart"/>
      <w:r w:rsidRPr="00467DB0">
        <w:t>efterspørgslen</w:t>
      </w:r>
      <w:proofErr w:type="spellEnd"/>
      <w:r w:rsidRPr="00467DB0">
        <w:t xml:space="preserve"> fra GOVSATCOM-</w:t>
      </w:r>
      <w:proofErr w:type="spellStart"/>
      <w:r w:rsidRPr="00467DB0">
        <w:t>brugere</w:t>
      </w:r>
      <w:proofErr w:type="spellEnd"/>
      <w:r w:rsidRPr="00467DB0">
        <w:t xml:space="preserve"> og </w:t>
      </w:r>
      <w:proofErr w:type="spellStart"/>
      <w:r w:rsidRPr="00467DB0">
        <w:t>udbuddet</w:t>
      </w:r>
      <w:proofErr w:type="spellEnd"/>
      <w:r w:rsidRPr="00467DB0">
        <w:t xml:space="preserve"> i henhold til </w:t>
      </w:r>
      <w:proofErr w:type="spellStart"/>
      <w:r w:rsidRPr="00467DB0">
        <w:t>GOVSATCOM's</w:t>
      </w:r>
      <w:proofErr w:type="spellEnd"/>
      <w:r w:rsidRPr="00467DB0">
        <w:t xml:space="preserve"> kontrakter </w:t>
      </w:r>
      <w:proofErr w:type="gramStart"/>
      <w:r w:rsidRPr="00467DB0">
        <w:t>vedrørende</w:t>
      </w:r>
      <w:proofErr w:type="gramEnd"/>
      <w:r w:rsidRPr="00467DB0">
        <w:t xml:space="preserve"> GOVSATCOM-</w:t>
      </w:r>
      <w:proofErr w:type="spellStart"/>
      <w:r w:rsidRPr="00467DB0">
        <w:t>kapacitet</w:t>
      </w:r>
      <w:proofErr w:type="spellEnd"/>
      <w:r w:rsidRPr="00467DB0">
        <w:t xml:space="preserve"> og -tjenester. </w:t>
      </w:r>
      <w:proofErr w:type="spellStart"/>
      <w:r w:rsidRPr="00467DB0">
        <w:t>Eftersom</w:t>
      </w:r>
      <w:proofErr w:type="spellEnd"/>
      <w:r w:rsidRPr="00467DB0">
        <w:t xml:space="preserve"> både </w:t>
      </w:r>
      <w:proofErr w:type="spellStart"/>
      <w:r w:rsidRPr="00467DB0">
        <w:t>efterspørgsel</w:t>
      </w:r>
      <w:proofErr w:type="spellEnd"/>
      <w:r w:rsidRPr="00467DB0">
        <w:t xml:space="preserve"> og </w:t>
      </w:r>
      <w:proofErr w:type="spellStart"/>
      <w:r w:rsidRPr="00467DB0">
        <w:t>udbud</w:t>
      </w:r>
      <w:proofErr w:type="spellEnd"/>
      <w:r w:rsidRPr="00467DB0">
        <w:t xml:space="preserve"> </w:t>
      </w:r>
      <w:proofErr w:type="spellStart"/>
      <w:r w:rsidRPr="00467DB0">
        <w:t>ændrer</w:t>
      </w:r>
      <w:proofErr w:type="spellEnd"/>
      <w:r w:rsidRPr="00467DB0">
        <w:t xml:space="preserve"> sig med tiden, </w:t>
      </w:r>
      <w:proofErr w:type="spellStart"/>
      <w:r w:rsidRPr="00467DB0">
        <w:t>kræves</w:t>
      </w:r>
      <w:proofErr w:type="spellEnd"/>
      <w:r w:rsidRPr="00467DB0">
        <w:t xml:space="preserve"> der konstant </w:t>
      </w:r>
      <w:proofErr w:type="spellStart"/>
      <w:r w:rsidRPr="00467DB0">
        <w:t>overvågning</w:t>
      </w:r>
      <w:proofErr w:type="spellEnd"/>
      <w:r w:rsidRPr="00467DB0">
        <w:t xml:space="preserve"> og fleksi</w:t>
      </w:r>
      <w:r w:rsidRPr="00467DB0">
        <w:t xml:space="preserve">bilitet med </w:t>
      </w:r>
      <w:proofErr w:type="spellStart"/>
      <w:r w:rsidRPr="00467DB0">
        <w:t>henblik</w:t>
      </w:r>
      <w:proofErr w:type="spellEnd"/>
      <w:r w:rsidRPr="00467DB0">
        <w:t xml:space="preserve"> på at tilpasse GOVSATCOM-</w:t>
      </w:r>
      <w:proofErr w:type="spellStart"/>
      <w:r w:rsidRPr="00467DB0">
        <w:t>tjenesterne</w:t>
      </w:r>
      <w:proofErr w:type="spellEnd"/>
      <w:r w:rsidRPr="00467DB0">
        <w:t>.</w:t>
      </w:r>
    </w:p>
    <w:p w14:paraId="1189E707" w14:textId="77777777" w:rsidR="00000000" w:rsidRPr="00467DB0" w:rsidRDefault="00693D67" w:rsidP="00467DB0">
      <w:pPr>
        <w:pStyle w:val="friliste"/>
      </w:pPr>
      <w:r w:rsidRPr="00467DB0">
        <w:t>(103)</w:t>
      </w:r>
      <w:r w:rsidRPr="00467DB0">
        <w:tab/>
        <w:t xml:space="preserve">De </w:t>
      </w:r>
      <w:proofErr w:type="spellStart"/>
      <w:r w:rsidRPr="00467DB0">
        <w:t>operationelle</w:t>
      </w:r>
      <w:proofErr w:type="spellEnd"/>
      <w:r w:rsidRPr="00467DB0">
        <w:t xml:space="preserve"> krav bør være </w:t>
      </w:r>
      <w:proofErr w:type="spellStart"/>
      <w:r w:rsidRPr="00467DB0">
        <w:t>baseret</w:t>
      </w:r>
      <w:proofErr w:type="spellEnd"/>
      <w:r w:rsidRPr="00467DB0">
        <w:t xml:space="preserve"> på analysen </w:t>
      </w:r>
      <w:proofErr w:type="spellStart"/>
      <w:r w:rsidRPr="00467DB0">
        <w:t>af</w:t>
      </w:r>
      <w:proofErr w:type="spellEnd"/>
      <w:r w:rsidRPr="00467DB0">
        <w:t xml:space="preserve"> </w:t>
      </w:r>
      <w:proofErr w:type="spellStart"/>
      <w:r w:rsidRPr="00467DB0">
        <w:t>brugsscenarierne</w:t>
      </w:r>
      <w:proofErr w:type="spellEnd"/>
      <w:r w:rsidRPr="00467DB0">
        <w:t xml:space="preserve">. Tjenesteporteføljen bør </w:t>
      </w:r>
      <w:proofErr w:type="spellStart"/>
      <w:r w:rsidRPr="00467DB0">
        <w:t>udvikles</w:t>
      </w:r>
      <w:proofErr w:type="spellEnd"/>
      <w:r w:rsidRPr="00467DB0">
        <w:t xml:space="preserve"> </w:t>
      </w:r>
      <w:proofErr w:type="spellStart"/>
      <w:r w:rsidRPr="00467DB0">
        <w:t>ud</w:t>
      </w:r>
      <w:proofErr w:type="spellEnd"/>
      <w:r w:rsidRPr="00467DB0">
        <w:t xml:space="preserve"> fra disse </w:t>
      </w:r>
      <w:proofErr w:type="spellStart"/>
      <w:r w:rsidRPr="00467DB0">
        <w:t>operationelle</w:t>
      </w:r>
      <w:proofErr w:type="spellEnd"/>
      <w:r w:rsidRPr="00467DB0">
        <w:t xml:space="preserve"> krav i </w:t>
      </w:r>
      <w:proofErr w:type="spellStart"/>
      <w:r w:rsidRPr="00467DB0">
        <w:t>kombination</w:t>
      </w:r>
      <w:proofErr w:type="spellEnd"/>
      <w:r w:rsidRPr="00467DB0">
        <w:t xml:space="preserve"> med </w:t>
      </w:r>
      <w:proofErr w:type="spellStart"/>
      <w:r w:rsidRPr="00467DB0">
        <w:t>sikkerhedskravene</w:t>
      </w:r>
      <w:proofErr w:type="spellEnd"/>
      <w:r w:rsidRPr="00467DB0">
        <w:t>. Tjenesteportefølje</w:t>
      </w:r>
      <w:r w:rsidRPr="00467DB0">
        <w:t xml:space="preserve">n bør </w:t>
      </w:r>
      <w:proofErr w:type="spellStart"/>
      <w:r w:rsidRPr="00467DB0">
        <w:t>indeholde</w:t>
      </w:r>
      <w:proofErr w:type="spellEnd"/>
      <w:r w:rsidRPr="00467DB0">
        <w:t xml:space="preserve"> </w:t>
      </w:r>
      <w:proofErr w:type="spellStart"/>
      <w:r w:rsidRPr="00467DB0">
        <w:t>udgangspunktet</w:t>
      </w:r>
      <w:proofErr w:type="spellEnd"/>
      <w:r w:rsidRPr="00467DB0">
        <w:t xml:space="preserve"> for GOVSATCOM-</w:t>
      </w:r>
      <w:proofErr w:type="spellStart"/>
      <w:r w:rsidRPr="00467DB0">
        <w:t>tjenesterne</w:t>
      </w:r>
      <w:proofErr w:type="spellEnd"/>
      <w:r w:rsidRPr="00467DB0">
        <w:t xml:space="preserve">. For at sikre den </w:t>
      </w:r>
      <w:proofErr w:type="spellStart"/>
      <w:r w:rsidRPr="00467DB0">
        <w:t>bedst</w:t>
      </w:r>
      <w:proofErr w:type="spellEnd"/>
      <w:r w:rsidRPr="00467DB0">
        <w:t xml:space="preserve"> mulige overensstemmelse </w:t>
      </w:r>
      <w:proofErr w:type="spellStart"/>
      <w:r w:rsidRPr="00467DB0">
        <w:t>mellem</w:t>
      </w:r>
      <w:proofErr w:type="spellEnd"/>
      <w:r w:rsidRPr="00467DB0">
        <w:t xml:space="preserve"> </w:t>
      </w:r>
      <w:proofErr w:type="spellStart"/>
      <w:r w:rsidRPr="00467DB0">
        <w:t>efterspørgslen</w:t>
      </w:r>
      <w:proofErr w:type="spellEnd"/>
      <w:r w:rsidRPr="00467DB0">
        <w:t xml:space="preserve"> og de </w:t>
      </w:r>
      <w:proofErr w:type="spellStart"/>
      <w:r w:rsidRPr="00467DB0">
        <w:t>leverede</w:t>
      </w:r>
      <w:proofErr w:type="spellEnd"/>
      <w:r w:rsidRPr="00467DB0">
        <w:t xml:space="preserve"> tjenester kan det være </w:t>
      </w:r>
      <w:proofErr w:type="spellStart"/>
      <w:r w:rsidRPr="00467DB0">
        <w:t>nødvendigt</w:t>
      </w:r>
      <w:proofErr w:type="spellEnd"/>
      <w:r w:rsidRPr="00467DB0">
        <w:t xml:space="preserve"> at </w:t>
      </w:r>
      <w:proofErr w:type="spellStart"/>
      <w:r w:rsidRPr="00467DB0">
        <w:t>opdatere</w:t>
      </w:r>
      <w:proofErr w:type="spellEnd"/>
      <w:r w:rsidRPr="00467DB0">
        <w:t xml:space="preserve"> tjenesteporteføljen for GOVSATCOM-tjenester </w:t>
      </w:r>
      <w:proofErr w:type="spellStart"/>
      <w:r w:rsidRPr="00467DB0">
        <w:t>regelmæssigt</w:t>
      </w:r>
      <w:proofErr w:type="spellEnd"/>
      <w:r w:rsidRPr="00467DB0">
        <w:t>.</w:t>
      </w:r>
    </w:p>
    <w:p w14:paraId="7270ACD0" w14:textId="77777777" w:rsidR="00000000" w:rsidRPr="00467DB0" w:rsidRDefault="00693D67" w:rsidP="00467DB0">
      <w:pPr>
        <w:pStyle w:val="friliste"/>
      </w:pPr>
      <w:r w:rsidRPr="00467DB0">
        <w:t>(104)</w:t>
      </w:r>
      <w:r w:rsidRPr="00467DB0">
        <w:tab/>
        <w:t>I fø</w:t>
      </w:r>
      <w:r w:rsidRPr="00467DB0">
        <w:t xml:space="preserve">rste fase </w:t>
      </w:r>
      <w:proofErr w:type="spellStart"/>
      <w:r w:rsidRPr="00467DB0">
        <w:t>af</w:t>
      </w:r>
      <w:proofErr w:type="spellEnd"/>
      <w:r w:rsidRPr="00467DB0">
        <w:t xml:space="preserve"> </w:t>
      </w:r>
      <w:proofErr w:type="gramStart"/>
      <w:r w:rsidRPr="00467DB0">
        <w:t>GOVSATCOM  frem</w:t>
      </w:r>
      <w:proofErr w:type="gramEnd"/>
      <w:r w:rsidRPr="00467DB0">
        <w:t xml:space="preserve"> til ca. 2025 vil den nuværende </w:t>
      </w:r>
      <w:proofErr w:type="spellStart"/>
      <w:r w:rsidRPr="00467DB0">
        <w:t>kapacitet</w:t>
      </w:r>
      <w:proofErr w:type="spellEnd"/>
      <w:r w:rsidRPr="00467DB0">
        <w:t xml:space="preserve"> blive anvendt. I den forbindelse bør </w:t>
      </w:r>
      <w:proofErr w:type="spellStart"/>
      <w:r w:rsidRPr="00467DB0">
        <w:t>Kommissionen</w:t>
      </w:r>
      <w:proofErr w:type="spellEnd"/>
      <w:r w:rsidRPr="00467DB0">
        <w:t xml:space="preserve"> sikre GOVSATCOM-</w:t>
      </w:r>
      <w:proofErr w:type="spellStart"/>
      <w:r w:rsidRPr="00467DB0">
        <w:t>kapaciteter</w:t>
      </w:r>
      <w:proofErr w:type="spellEnd"/>
      <w:r w:rsidRPr="00467DB0">
        <w:t xml:space="preserve"> fra medlemsstater med </w:t>
      </w:r>
      <w:proofErr w:type="spellStart"/>
      <w:r w:rsidRPr="00467DB0">
        <w:t>nationale</w:t>
      </w:r>
      <w:proofErr w:type="spellEnd"/>
      <w:r w:rsidRPr="00467DB0">
        <w:t xml:space="preserve"> systemer og </w:t>
      </w:r>
      <w:proofErr w:type="spellStart"/>
      <w:r w:rsidRPr="00467DB0">
        <w:t>rumkapaciteter</w:t>
      </w:r>
      <w:proofErr w:type="spellEnd"/>
      <w:r w:rsidRPr="00467DB0">
        <w:t xml:space="preserve"> og fra </w:t>
      </w:r>
      <w:proofErr w:type="spellStart"/>
      <w:r w:rsidRPr="00467DB0">
        <w:t>kommercielle</w:t>
      </w:r>
      <w:proofErr w:type="spellEnd"/>
      <w:r w:rsidRPr="00467DB0">
        <w:t xml:space="preserve"> </w:t>
      </w:r>
      <w:proofErr w:type="spellStart"/>
      <w:r w:rsidRPr="00467DB0">
        <w:t>satellitkommunikationstjenest</w:t>
      </w:r>
      <w:r w:rsidRPr="00467DB0">
        <w:t>er</w:t>
      </w:r>
      <w:proofErr w:type="spellEnd"/>
      <w:r w:rsidRPr="00467DB0">
        <w:t xml:space="preserve"> eller </w:t>
      </w:r>
      <w:proofErr w:type="spellStart"/>
      <w:r w:rsidRPr="00467DB0">
        <w:t>tjenesteudbydere</w:t>
      </w:r>
      <w:proofErr w:type="spellEnd"/>
      <w:r w:rsidRPr="00467DB0">
        <w:t xml:space="preserve"> </w:t>
      </w:r>
      <w:proofErr w:type="gramStart"/>
      <w:r w:rsidRPr="00467DB0">
        <w:t>under hensyntagen</w:t>
      </w:r>
      <w:proofErr w:type="gramEnd"/>
      <w:r w:rsidRPr="00467DB0">
        <w:t xml:space="preserve"> til Unionens </w:t>
      </w:r>
      <w:proofErr w:type="spellStart"/>
      <w:r w:rsidRPr="00467DB0">
        <w:t>væsentlige</w:t>
      </w:r>
      <w:proofErr w:type="spellEnd"/>
      <w:r w:rsidRPr="00467DB0">
        <w:t xml:space="preserve"> </w:t>
      </w:r>
      <w:proofErr w:type="spellStart"/>
      <w:r w:rsidRPr="00467DB0">
        <w:t>sikkerhedsinteresser</w:t>
      </w:r>
      <w:proofErr w:type="spellEnd"/>
      <w:r w:rsidRPr="00467DB0">
        <w:t>. I denne første fase vil GOVSATCOM-</w:t>
      </w:r>
      <w:proofErr w:type="spellStart"/>
      <w:r w:rsidRPr="00467DB0">
        <w:t>tjenesterne</w:t>
      </w:r>
      <w:proofErr w:type="spellEnd"/>
      <w:r w:rsidRPr="00467DB0">
        <w:t xml:space="preserve"> blive </w:t>
      </w:r>
      <w:proofErr w:type="spellStart"/>
      <w:r w:rsidRPr="00467DB0">
        <w:t>indført</w:t>
      </w:r>
      <w:proofErr w:type="spellEnd"/>
      <w:r w:rsidRPr="00467DB0">
        <w:t xml:space="preserve"> </w:t>
      </w:r>
      <w:proofErr w:type="spellStart"/>
      <w:r w:rsidRPr="00467DB0">
        <w:t>trinvis</w:t>
      </w:r>
      <w:proofErr w:type="spellEnd"/>
      <w:r w:rsidRPr="00467DB0">
        <w:t xml:space="preserve">. Hvis det i </w:t>
      </w:r>
      <w:proofErr w:type="spellStart"/>
      <w:r w:rsidRPr="00467DB0">
        <w:t>løbet</w:t>
      </w:r>
      <w:proofErr w:type="spellEnd"/>
      <w:r w:rsidRPr="00467DB0">
        <w:t xml:space="preserve"> </w:t>
      </w:r>
      <w:proofErr w:type="spellStart"/>
      <w:r w:rsidRPr="00467DB0">
        <w:t>af</w:t>
      </w:r>
      <w:proofErr w:type="spellEnd"/>
      <w:r w:rsidRPr="00467DB0">
        <w:t xml:space="preserve"> første fase på baggrund </w:t>
      </w:r>
      <w:proofErr w:type="spellStart"/>
      <w:r w:rsidRPr="00467DB0">
        <w:t>af</w:t>
      </w:r>
      <w:proofErr w:type="spellEnd"/>
      <w:r w:rsidRPr="00467DB0">
        <w:t xml:space="preserve"> en nærmere analyse </w:t>
      </w:r>
      <w:proofErr w:type="spellStart"/>
      <w:r w:rsidRPr="00467DB0">
        <w:t>af</w:t>
      </w:r>
      <w:proofErr w:type="spellEnd"/>
      <w:r w:rsidRPr="00467DB0">
        <w:t xml:space="preserve"> det fremtidige </w:t>
      </w:r>
      <w:proofErr w:type="spellStart"/>
      <w:r w:rsidRPr="00467DB0">
        <w:t>udbud</w:t>
      </w:r>
      <w:proofErr w:type="spellEnd"/>
      <w:r w:rsidRPr="00467DB0">
        <w:t xml:space="preserve"> og den </w:t>
      </w:r>
      <w:r w:rsidRPr="00467DB0">
        <w:t xml:space="preserve">fremtidige </w:t>
      </w:r>
      <w:proofErr w:type="spellStart"/>
      <w:r w:rsidRPr="00467DB0">
        <w:t>efterspørgsel</w:t>
      </w:r>
      <w:proofErr w:type="spellEnd"/>
      <w:r w:rsidRPr="00467DB0">
        <w:t xml:space="preserve"> viser sig, at denne tilgang ikke er </w:t>
      </w:r>
      <w:proofErr w:type="spellStart"/>
      <w:r w:rsidRPr="00467DB0">
        <w:t>tilstrækkelig</w:t>
      </w:r>
      <w:proofErr w:type="spellEnd"/>
      <w:r w:rsidRPr="00467DB0">
        <w:t xml:space="preserve"> til at </w:t>
      </w:r>
      <w:proofErr w:type="spellStart"/>
      <w:r w:rsidRPr="00467DB0">
        <w:t>dække</w:t>
      </w:r>
      <w:proofErr w:type="spellEnd"/>
      <w:r w:rsidRPr="00467DB0">
        <w:t xml:space="preserve"> </w:t>
      </w:r>
      <w:proofErr w:type="spellStart"/>
      <w:r w:rsidRPr="00467DB0">
        <w:t>udviklingen</w:t>
      </w:r>
      <w:proofErr w:type="spellEnd"/>
      <w:r w:rsidRPr="00467DB0">
        <w:t xml:space="preserve"> i </w:t>
      </w:r>
      <w:proofErr w:type="spellStart"/>
      <w:r w:rsidRPr="00467DB0">
        <w:t>efterspørgslen</w:t>
      </w:r>
      <w:proofErr w:type="spellEnd"/>
      <w:r w:rsidRPr="00467DB0">
        <w:t xml:space="preserve">, bør der kunne </w:t>
      </w:r>
      <w:proofErr w:type="spellStart"/>
      <w:r w:rsidRPr="00467DB0">
        <w:t>træffes</w:t>
      </w:r>
      <w:proofErr w:type="spellEnd"/>
      <w:r w:rsidRPr="00467DB0">
        <w:t xml:space="preserve"> beslutning om at overgå til anden fase og </w:t>
      </w:r>
      <w:proofErr w:type="spellStart"/>
      <w:r w:rsidRPr="00467DB0">
        <w:t>udvikle</w:t>
      </w:r>
      <w:proofErr w:type="spellEnd"/>
      <w:r w:rsidRPr="00467DB0">
        <w:t xml:space="preserve"> </w:t>
      </w:r>
      <w:proofErr w:type="spellStart"/>
      <w:r w:rsidRPr="00467DB0">
        <w:t>yderligere</w:t>
      </w:r>
      <w:proofErr w:type="spellEnd"/>
      <w:r w:rsidRPr="00467DB0">
        <w:t xml:space="preserve"> </w:t>
      </w:r>
      <w:proofErr w:type="spellStart"/>
      <w:r w:rsidRPr="00467DB0">
        <w:t>skræddersyede</w:t>
      </w:r>
      <w:proofErr w:type="spellEnd"/>
      <w:r w:rsidRPr="00467DB0">
        <w:t xml:space="preserve"> </w:t>
      </w:r>
      <w:proofErr w:type="spellStart"/>
      <w:r w:rsidRPr="00467DB0">
        <w:t>ruminfrastrukturer</w:t>
      </w:r>
      <w:proofErr w:type="spellEnd"/>
      <w:r w:rsidRPr="00467DB0">
        <w:t xml:space="preserve"> eller -</w:t>
      </w:r>
      <w:proofErr w:type="spellStart"/>
      <w:r w:rsidRPr="00467DB0">
        <w:t>kapaciteter</w:t>
      </w:r>
      <w:proofErr w:type="spellEnd"/>
      <w:r w:rsidRPr="00467DB0">
        <w:t xml:space="preserve"> via</w:t>
      </w:r>
      <w:r w:rsidRPr="00467DB0">
        <w:t xml:space="preserve"> en eller flere offentlig-private </w:t>
      </w:r>
      <w:proofErr w:type="spellStart"/>
      <w:r w:rsidRPr="00467DB0">
        <w:t>partnerskaber</w:t>
      </w:r>
      <w:proofErr w:type="spellEnd"/>
      <w:r w:rsidRPr="00467DB0">
        <w:t xml:space="preserve">, f.eks. med Unionens </w:t>
      </w:r>
      <w:proofErr w:type="spellStart"/>
      <w:r w:rsidRPr="00467DB0">
        <w:t>satellitoperatører</w:t>
      </w:r>
      <w:proofErr w:type="spellEnd"/>
      <w:r w:rsidRPr="00467DB0">
        <w:t>.</w:t>
      </w:r>
    </w:p>
    <w:p w14:paraId="67A2AD62" w14:textId="77777777" w:rsidR="00000000" w:rsidRPr="00467DB0" w:rsidRDefault="00693D67" w:rsidP="00467DB0">
      <w:pPr>
        <w:pStyle w:val="friliste"/>
      </w:pPr>
      <w:r w:rsidRPr="00467DB0">
        <w:lastRenderedPageBreak/>
        <w:t>(105)</w:t>
      </w:r>
      <w:r w:rsidRPr="00467DB0">
        <w:tab/>
        <w:t xml:space="preserve">For at optimere de </w:t>
      </w:r>
      <w:proofErr w:type="spellStart"/>
      <w:r w:rsidRPr="00467DB0">
        <w:t>tilgængelige</w:t>
      </w:r>
      <w:proofErr w:type="spellEnd"/>
      <w:r w:rsidRPr="00467DB0">
        <w:t xml:space="preserve"> </w:t>
      </w:r>
      <w:proofErr w:type="spellStart"/>
      <w:r w:rsidRPr="00467DB0">
        <w:t>satellitkommunikationsressourcer</w:t>
      </w:r>
      <w:proofErr w:type="spellEnd"/>
      <w:r w:rsidRPr="00467DB0">
        <w:t xml:space="preserve">, garantere adgangen i </w:t>
      </w:r>
      <w:proofErr w:type="spellStart"/>
      <w:r w:rsidRPr="00467DB0">
        <w:t>uforudsigelige</w:t>
      </w:r>
      <w:proofErr w:type="spellEnd"/>
      <w:r w:rsidRPr="00467DB0">
        <w:t xml:space="preserve"> </w:t>
      </w:r>
      <w:proofErr w:type="spellStart"/>
      <w:r w:rsidRPr="00467DB0">
        <w:t>situationer</w:t>
      </w:r>
      <w:proofErr w:type="spellEnd"/>
      <w:r w:rsidRPr="00467DB0">
        <w:t xml:space="preserve">, såsom naturkatastrofer, og sikre </w:t>
      </w:r>
      <w:proofErr w:type="spellStart"/>
      <w:r w:rsidRPr="00467DB0">
        <w:t>operationel</w:t>
      </w:r>
      <w:proofErr w:type="spellEnd"/>
      <w:r w:rsidRPr="00467DB0">
        <w:t xml:space="preserve"> e</w:t>
      </w:r>
      <w:r w:rsidRPr="00467DB0">
        <w:t xml:space="preserve">ffektivitet og korte </w:t>
      </w:r>
      <w:proofErr w:type="spellStart"/>
      <w:r w:rsidRPr="00467DB0">
        <w:t>turnaround</w:t>
      </w:r>
      <w:proofErr w:type="spellEnd"/>
      <w:r w:rsidRPr="00467DB0">
        <w:t>-tider er det nødvendige jordsegment, såsom GOVSATCOM-</w:t>
      </w:r>
      <w:proofErr w:type="spellStart"/>
      <w:r w:rsidRPr="00467DB0">
        <w:t>centre</w:t>
      </w:r>
      <w:proofErr w:type="spellEnd"/>
      <w:r w:rsidRPr="00467DB0">
        <w:t xml:space="preserve"> og andre </w:t>
      </w:r>
      <w:proofErr w:type="spellStart"/>
      <w:r w:rsidRPr="00467DB0">
        <w:t>potentielle</w:t>
      </w:r>
      <w:proofErr w:type="spellEnd"/>
      <w:r w:rsidRPr="00467DB0">
        <w:t xml:space="preserve"> jordelementer, </w:t>
      </w:r>
      <w:proofErr w:type="spellStart"/>
      <w:r w:rsidRPr="00467DB0">
        <w:t>påkrævet</w:t>
      </w:r>
      <w:proofErr w:type="spellEnd"/>
      <w:r w:rsidRPr="00467DB0">
        <w:t xml:space="preserve">. Det bør </w:t>
      </w:r>
      <w:proofErr w:type="spellStart"/>
      <w:r w:rsidRPr="00467DB0">
        <w:t>udformes</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operationelle</w:t>
      </w:r>
      <w:proofErr w:type="spellEnd"/>
      <w:r w:rsidRPr="00467DB0">
        <w:t xml:space="preserve"> og </w:t>
      </w:r>
      <w:proofErr w:type="spellStart"/>
      <w:r w:rsidRPr="00467DB0">
        <w:t>sikkerhedsmæssige</w:t>
      </w:r>
      <w:proofErr w:type="spellEnd"/>
      <w:r w:rsidRPr="00467DB0">
        <w:t xml:space="preserve"> krav. For at </w:t>
      </w:r>
      <w:proofErr w:type="spellStart"/>
      <w:r w:rsidRPr="00467DB0">
        <w:t>mindske</w:t>
      </w:r>
      <w:proofErr w:type="spellEnd"/>
      <w:r w:rsidRPr="00467DB0">
        <w:t xml:space="preserve"> </w:t>
      </w:r>
      <w:proofErr w:type="spellStart"/>
      <w:r w:rsidRPr="00467DB0">
        <w:t>risiciene</w:t>
      </w:r>
      <w:proofErr w:type="spellEnd"/>
      <w:r w:rsidRPr="00467DB0">
        <w:t xml:space="preserve"> kan et GOVSATCOM-</w:t>
      </w:r>
      <w:proofErr w:type="spellStart"/>
      <w:r w:rsidRPr="00467DB0">
        <w:t>cen</w:t>
      </w:r>
      <w:r w:rsidRPr="00467DB0">
        <w:t>ter</w:t>
      </w:r>
      <w:proofErr w:type="spellEnd"/>
      <w:r w:rsidRPr="00467DB0">
        <w:t xml:space="preserve"> bestå </w:t>
      </w:r>
      <w:proofErr w:type="spellStart"/>
      <w:r w:rsidRPr="00467DB0">
        <w:t>af</w:t>
      </w:r>
      <w:proofErr w:type="spellEnd"/>
      <w:r w:rsidRPr="00467DB0">
        <w:t xml:space="preserve"> flere fysiske lokaliteter. Der kan være behov for andre jordsegmenter, såsom </w:t>
      </w:r>
      <w:proofErr w:type="spellStart"/>
      <w:r w:rsidRPr="00467DB0">
        <w:t>forankringsstationer</w:t>
      </w:r>
      <w:proofErr w:type="spellEnd"/>
      <w:r w:rsidRPr="00467DB0">
        <w:t>.</w:t>
      </w:r>
    </w:p>
    <w:p w14:paraId="66E27253" w14:textId="77777777" w:rsidR="00000000" w:rsidRPr="00467DB0" w:rsidRDefault="00693D67" w:rsidP="00467DB0">
      <w:pPr>
        <w:pStyle w:val="friliste"/>
      </w:pPr>
      <w:r w:rsidRPr="00467DB0">
        <w:t>(106)</w:t>
      </w:r>
      <w:r w:rsidRPr="00467DB0">
        <w:tab/>
        <w:t xml:space="preserve">For </w:t>
      </w:r>
      <w:proofErr w:type="spellStart"/>
      <w:r w:rsidRPr="00467DB0">
        <w:t>brugere</w:t>
      </w:r>
      <w:proofErr w:type="spellEnd"/>
      <w:r w:rsidRPr="00467DB0">
        <w:t xml:space="preserve"> </w:t>
      </w:r>
      <w:proofErr w:type="spellStart"/>
      <w:r w:rsidRPr="00467DB0">
        <w:t>af</w:t>
      </w:r>
      <w:proofErr w:type="spellEnd"/>
      <w:r w:rsidRPr="00467DB0">
        <w:t xml:space="preserve"> </w:t>
      </w:r>
      <w:proofErr w:type="spellStart"/>
      <w:r w:rsidRPr="00467DB0">
        <w:t>satellitkommunikation</w:t>
      </w:r>
      <w:proofErr w:type="spellEnd"/>
      <w:r w:rsidRPr="00467DB0">
        <w:t xml:space="preserve"> er </w:t>
      </w:r>
      <w:proofErr w:type="spellStart"/>
      <w:r w:rsidRPr="00467DB0">
        <w:t>brugerudstyret</w:t>
      </w:r>
      <w:proofErr w:type="spellEnd"/>
      <w:r w:rsidRPr="00467DB0">
        <w:t xml:space="preserve"> den </w:t>
      </w:r>
      <w:proofErr w:type="spellStart"/>
      <w:r w:rsidRPr="00467DB0">
        <w:t>absolut</w:t>
      </w:r>
      <w:proofErr w:type="spellEnd"/>
      <w:r w:rsidRPr="00467DB0">
        <w:t xml:space="preserve"> </w:t>
      </w:r>
      <w:proofErr w:type="spellStart"/>
      <w:r w:rsidRPr="00467DB0">
        <w:t>vigtigste</w:t>
      </w:r>
      <w:proofErr w:type="spellEnd"/>
      <w:r w:rsidRPr="00467DB0">
        <w:t xml:space="preserve"> </w:t>
      </w:r>
      <w:proofErr w:type="spellStart"/>
      <w:r w:rsidRPr="00467DB0">
        <w:t>operationelle</w:t>
      </w:r>
      <w:proofErr w:type="spellEnd"/>
      <w:r w:rsidRPr="00467DB0">
        <w:t xml:space="preserve"> </w:t>
      </w:r>
      <w:proofErr w:type="spellStart"/>
      <w:r w:rsidRPr="00467DB0">
        <w:t>grænseflade</w:t>
      </w:r>
      <w:proofErr w:type="spellEnd"/>
      <w:r w:rsidRPr="00467DB0">
        <w:t xml:space="preserve">. Unionens </w:t>
      </w:r>
      <w:proofErr w:type="spellStart"/>
      <w:r w:rsidRPr="00467DB0">
        <w:t>model</w:t>
      </w:r>
      <w:proofErr w:type="spellEnd"/>
      <w:r w:rsidRPr="00467DB0">
        <w:t xml:space="preserve"> for GOVSATCOM bør </w:t>
      </w:r>
      <w:proofErr w:type="spellStart"/>
      <w:r w:rsidRPr="00467DB0">
        <w:t>g</w:t>
      </w:r>
      <w:r w:rsidRPr="00467DB0">
        <w:t>øre</w:t>
      </w:r>
      <w:proofErr w:type="spellEnd"/>
      <w:r w:rsidRPr="00467DB0">
        <w:t xml:space="preserve"> det </w:t>
      </w:r>
      <w:proofErr w:type="spellStart"/>
      <w:r w:rsidRPr="00467DB0">
        <w:t>muligt</w:t>
      </w:r>
      <w:proofErr w:type="spellEnd"/>
      <w:r w:rsidRPr="00467DB0">
        <w:t xml:space="preserve"> for de fleste </w:t>
      </w:r>
      <w:proofErr w:type="spellStart"/>
      <w:r w:rsidRPr="00467DB0">
        <w:t>brugere</w:t>
      </w:r>
      <w:proofErr w:type="spellEnd"/>
      <w:r w:rsidRPr="00467DB0">
        <w:t xml:space="preserve"> at </w:t>
      </w:r>
      <w:proofErr w:type="spellStart"/>
      <w:r w:rsidRPr="00467DB0">
        <w:t>fortsætte</w:t>
      </w:r>
      <w:proofErr w:type="spellEnd"/>
      <w:r w:rsidRPr="00467DB0">
        <w:t xml:space="preserve"> med at anvende deres eksisterende </w:t>
      </w:r>
      <w:proofErr w:type="spellStart"/>
      <w:r w:rsidRPr="00467DB0">
        <w:t>brugerudstyr</w:t>
      </w:r>
      <w:proofErr w:type="spellEnd"/>
      <w:r w:rsidRPr="00467DB0">
        <w:t xml:space="preserve"> til GOVSATCOM-tjenester.</w:t>
      </w:r>
    </w:p>
    <w:p w14:paraId="1848BF4F" w14:textId="77777777" w:rsidR="00000000" w:rsidRPr="00467DB0" w:rsidRDefault="00693D67" w:rsidP="00467DB0">
      <w:pPr>
        <w:pStyle w:val="friliste"/>
      </w:pPr>
      <w:r w:rsidRPr="00467DB0">
        <w:t>(107)</w:t>
      </w:r>
      <w:r w:rsidRPr="00467DB0">
        <w:tab/>
        <w:t xml:space="preserve">For så vidt angår den </w:t>
      </w:r>
      <w:proofErr w:type="spellStart"/>
      <w:r w:rsidRPr="00467DB0">
        <w:t>operationelle</w:t>
      </w:r>
      <w:proofErr w:type="spellEnd"/>
      <w:r w:rsidRPr="00467DB0">
        <w:t xml:space="preserve"> effektivitet har </w:t>
      </w:r>
      <w:proofErr w:type="spellStart"/>
      <w:r w:rsidRPr="00467DB0">
        <w:t>brugerne</w:t>
      </w:r>
      <w:proofErr w:type="spellEnd"/>
      <w:r w:rsidRPr="00467DB0">
        <w:t xml:space="preserve"> </w:t>
      </w:r>
      <w:proofErr w:type="spellStart"/>
      <w:r w:rsidRPr="00467DB0">
        <w:t>angivet</w:t>
      </w:r>
      <w:proofErr w:type="spellEnd"/>
      <w:r w:rsidRPr="00467DB0">
        <w:t xml:space="preserve">, at det er </w:t>
      </w:r>
      <w:proofErr w:type="spellStart"/>
      <w:r w:rsidRPr="00467DB0">
        <w:t>vigtigt</w:t>
      </w:r>
      <w:proofErr w:type="spellEnd"/>
      <w:r w:rsidRPr="00467DB0">
        <w:t xml:space="preserve"> at </w:t>
      </w:r>
      <w:proofErr w:type="spellStart"/>
      <w:r w:rsidRPr="00467DB0">
        <w:t>tilstræbe</w:t>
      </w:r>
      <w:proofErr w:type="spellEnd"/>
      <w:r w:rsidRPr="00467DB0">
        <w:t xml:space="preserve"> interoperabilitet for </w:t>
      </w:r>
      <w:proofErr w:type="spellStart"/>
      <w:r w:rsidRPr="00467DB0">
        <w:t>brug</w:t>
      </w:r>
      <w:r w:rsidRPr="00467DB0">
        <w:t>erudstyret</w:t>
      </w:r>
      <w:proofErr w:type="spellEnd"/>
      <w:r w:rsidRPr="00467DB0">
        <w:t xml:space="preserve">, og </w:t>
      </w:r>
      <w:proofErr w:type="spellStart"/>
      <w:r w:rsidRPr="00467DB0">
        <w:t>brugerudstyr</w:t>
      </w:r>
      <w:proofErr w:type="spellEnd"/>
      <w:r w:rsidRPr="00467DB0">
        <w:t xml:space="preserve">, som kan anvende </w:t>
      </w:r>
      <w:proofErr w:type="spellStart"/>
      <w:r w:rsidRPr="00467DB0">
        <w:t>forskellige</w:t>
      </w:r>
      <w:proofErr w:type="spellEnd"/>
      <w:r w:rsidRPr="00467DB0">
        <w:t xml:space="preserve"> </w:t>
      </w:r>
      <w:proofErr w:type="spellStart"/>
      <w:r w:rsidRPr="00467DB0">
        <w:t>satellitsystemer</w:t>
      </w:r>
      <w:proofErr w:type="spellEnd"/>
      <w:r w:rsidRPr="00467DB0">
        <w:t xml:space="preserve">. Forskning og </w:t>
      </w:r>
      <w:proofErr w:type="spellStart"/>
      <w:r w:rsidRPr="00467DB0">
        <w:t>udvikling</w:t>
      </w:r>
      <w:proofErr w:type="spellEnd"/>
      <w:r w:rsidRPr="00467DB0">
        <w:t xml:space="preserve"> på dette område kan være </w:t>
      </w:r>
      <w:proofErr w:type="spellStart"/>
      <w:r w:rsidRPr="00467DB0">
        <w:t>påkrævet</w:t>
      </w:r>
      <w:proofErr w:type="spellEnd"/>
      <w:r w:rsidRPr="00467DB0">
        <w:t>.</w:t>
      </w:r>
    </w:p>
    <w:p w14:paraId="39DFF56B" w14:textId="77777777" w:rsidR="00000000" w:rsidRPr="00467DB0" w:rsidRDefault="00693D67" w:rsidP="00467DB0">
      <w:pPr>
        <w:pStyle w:val="friliste"/>
      </w:pPr>
      <w:r w:rsidRPr="00467DB0">
        <w:t>(108)</w:t>
      </w:r>
      <w:r w:rsidRPr="00467DB0">
        <w:tab/>
        <w:t xml:space="preserve">For så vidt angår </w:t>
      </w:r>
      <w:proofErr w:type="spellStart"/>
      <w:r w:rsidRPr="00467DB0">
        <w:t>gennemførelsen</w:t>
      </w:r>
      <w:proofErr w:type="spellEnd"/>
      <w:r w:rsidRPr="00467DB0">
        <w:t xml:space="preserve"> bør </w:t>
      </w:r>
      <w:proofErr w:type="spellStart"/>
      <w:r w:rsidRPr="00467DB0">
        <w:t>opgaver</w:t>
      </w:r>
      <w:proofErr w:type="spellEnd"/>
      <w:r w:rsidRPr="00467DB0">
        <w:t xml:space="preserve"> og ansvarsområder fordeles </w:t>
      </w:r>
      <w:proofErr w:type="spellStart"/>
      <w:r w:rsidRPr="00467DB0">
        <w:t>mellem</w:t>
      </w:r>
      <w:proofErr w:type="spellEnd"/>
      <w:r w:rsidRPr="00467DB0">
        <w:t xml:space="preserve"> </w:t>
      </w:r>
      <w:proofErr w:type="spellStart"/>
      <w:r w:rsidRPr="00467DB0">
        <w:t>specialiserede</w:t>
      </w:r>
      <w:proofErr w:type="spellEnd"/>
      <w:r w:rsidRPr="00467DB0">
        <w:t xml:space="preserve"> </w:t>
      </w:r>
      <w:proofErr w:type="spellStart"/>
      <w:r w:rsidRPr="00467DB0">
        <w:t>enheder</w:t>
      </w:r>
      <w:proofErr w:type="spellEnd"/>
      <w:r w:rsidRPr="00467DB0">
        <w:t xml:space="preserve"> såsom EDA, EU-</w:t>
      </w:r>
      <w:proofErr w:type="spellStart"/>
      <w:r w:rsidRPr="00467DB0">
        <w:t>U</w:t>
      </w:r>
      <w:r w:rsidRPr="00467DB0">
        <w:t>denrigstjenesten</w:t>
      </w:r>
      <w:proofErr w:type="spellEnd"/>
      <w:r w:rsidRPr="00467DB0">
        <w:t xml:space="preserve">, ESA, agenturet og andre EU-agenturer på en sådan </w:t>
      </w:r>
      <w:proofErr w:type="spellStart"/>
      <w:r w:rsidRPr="00467DB0">
        <w:t>måde</w:t>
      </w:r>
      <w:proofErr w:type="spellEnd"/>
      <w:r w:rsidRPr="00467DB0">
        <w:t xml:space="preserve">, at de er i overensstemmelse med deres primære rolle, navnlig for </w:t>
      </w:r>
      <w:proofErr w:type="spellStart"/>
      <w:r w:rsidRPr="00467DB0">
        <w:t>brugerrelaterede</w:t>
      </w:r>
      <w:proofErr w:type="spellEnd"/>
      <w:r w:rsidRPr="00467DB0">
        <w:t xml:space="preserve"> aspekter.</w:t>
      </w:r>
    </w:p>
    <w:p w14:paraId="5FD6DACB" w14:textId="77777777" w:rsidR="00000000" w:rsidRPr="00467DB0" w:rsidRDefault="00693D67" w:rsidP="00467DB0">
      <w:pPr>
        <w:pStyle w:val="friliste"/>
      </w:pPr>
      <w:r w:rsidRPr="00467DB0">
        <w:t>(109)</w:t>
      </w:r>
      <w:r w:rsidRPr="00467DB0">
        <w:tab/>
        <w:t>Den kompetente GOVSATCOM-</w:t>
      </w:r>
      <w:proofErr w:type="spellStart"/>
      <w:r w:rsidRPr="00467DB0">
        <w:t>myndighed</w:t>
      </w:r>
      <w:proofErr w:type="spellEnd"/>
      <w:r w:rsidRPr="00467DB0">
        <w:t xml:space="preserve"> har en </w:t>
      </w:r>
      <w:proofErr w:type="spellStart"/>
      <w:r w:rsidRPr="00467DB0">
        <w:t>vigtig</w:t>
      </w:r>
      <w:proofErr w:type="spellEnd"/>
      <w:r w:rsidRPr="00467DB0">
        <w:t xml:space="preserve"> rolle med hensyn til at </w:t>
      </w:r>
      <w:proofErr w:type="spellStart"/>
      <w:r w:rsidRPr="00467DB0">
        <w:t>overvåge</w:t>
      </w:r>
      <w:proofErr w:type="spellEnd"/>
      <w:r w:rsidRPr="00467DB0">
        <w:t>, om</w:t>
      </w:r>
      <w:r w:rsidRPr="00467DB0">
        <w:t xml:space="preserve"> </w:t>
      </w:r>
      <w:proofErr w:type="spellStart"/>
      <w:r w:rsidRPr="00467DB0">
        <w:t>brugere</w:t>
      </w:r>
      <w:proofErr w:type="spellEnd"/>
      <w:r w:rsidRPr="00467DB0">
        <w:t xml:space="preserve"> og andre </w:t>
      </w:r>
      <w:proofErr w:type="spellStart"/>
      <w:r w:rsidRPr="00467DB0">
        <w:t>nationale</w:t>
      </w:r>
      <w:proofErr w:type="spellEnd"/>
      <w:r w:rsidRPr="00467DB0">
        <w:t xml:space="preserve"> </w:t>
      </w:r>
      <w:proofErr w:type="spellStart"/>
      <w:r w:rsidRPr="00467DB0">
        <w:t>enheder</w:t>
      </w:r>
      <w:proofErr w:type="spellEnd"/>
      <w:r w:rsidRPr="00467DB0">
        <w:t xml:space="preserve">, der spiller en rolle i GOVSATCOM, følger </w:t>
      </w:r>
      <w:proofErr w:type="spellStart"/>
      <w:r w:rsidRPr="00467DB0">
        <w:t>reglerne</w:t>
      </w:r>
      <w:proofErr w:type="spellEnd"/>
      <w:r w:rsidRPr="00467DB0">
        <w:t xml:space="preserve"> for deling og prioritering og </w:t>
      </w:r>
      <w:proofErr w:type="spellStart"/>
      <w:r w:rsidRPr="00467DB0">
        <w:t>sikkerhedsprocedurerne</w:t>
      </w:r>
      <w:proofErr w:type="spellEnd"/>
      <w:r w:rsidRPr="00467DB0">
        <w:t xml:space="preserve">, i overensstemmelse med </w:t>
      </w:r>
      <w:proofErr w:type="spellStart"/>
      <w:r w:rsidRPr="00467DB0">
        <w:t>sikkerhedskravene</w:t>
      </w:r>
      <w:proofErr w:type="spellEnd"/>
      <w:r w:rsidRPr="00467DB0">
        <w:t xml:space="preserve">. En medlemsstat, som ikke har </w:t>
      </w:r>
      <w:proofErr w:type="spellStart"/>
      <w:r w:rsidRPr="00467DB0">
        <w:t>udpeget</w:t>
      </w:r>
      <w:proofErr w:type="spellEnd"/>
      <w:r w:rsidRPr="00467DB0">
        <w:t xml:space="preserve"> en kompetent GOVSATCOM-</w:t>
      </w:r>
      <w:proofErr w:type="spellStart"/>
      <w:r w:rsidRPr="00467DB0">
        <w:t>myndighed</w:t>
      </w:r>
      <w:proofErr w:type="spellEnd"/>
      <w:r w:rsidRPr="00467DB0">
        <w:t>, bø</w:t>
      </w:r>
      <w:r w:rsidRPr="00467DB0">
        <w:t xml:space="preserve">r under alle </w:t>
      </w:r>
      <w:proofErr w:type="spellStart"/>
      <w:r w:rsidRPr="00467DB0">
        <w:t>omstændigheder</w:t>
      </w:r>
      <w:proofErr w:type="spellEnd"/>
      <w:r w:rsidRPr="00467DB0">
        <w:t xml:space="preserve"> </w:t>
      </w:r>
      <w:proofErr w:type="spellStart"/>
      <w:r w:rsidRPr="00467DB0">
        <w:t>udpege</w:t>
      </w:r>
      <w:proofErr w:type="spellEnd"/>
      <w:r w:rsidRPr="00467DB0">
        <w:t xml:space="preserve"> et kontaktpunkt med </w:t>
      </w:r>
      <w:proofErr w:type="spellStart"/>
      <w:r w:rsidRPr="00467DB0">
        <w:t>henblik</w:t>
      </w:r>
      <w:proofErr w:type="spellEnd"/>
      <w:r w:rsidRPr="00467DB0">
        <w:t xml:space="preserve"> på at håndtere eventuelle </w:t>
      </w:r>
      <w:proofErr w:type="spellStart"/>
      <w:r w:rsidRPr="00467DB0">
        <w:t>støjsendinger</w:t>
      </w:r>
      <w:proofErr w:type="spellEnd"/>
      <w:r w:rsidRPr="00467DB0">
        <w:t>, der påvirker GOVSATCOM.</w:t>
      </w:r>
    </w:p>
    <w:p w14:paraId="50947E2E" w14:textId="77777777" w:rsidR="00000000" w:rsidRPr="00467DB0" w:rsidRDefault="00693D67" w:rsidP="00467DB0">
      <w:pPr>
        <w:pStyle w:val="friliste"/>
      </w:pPr>
      <w:r w:rsidRPr="00467DB0">
        <w:t>(110)</w:t>
      </w:r>
      <w:r w:rsidRPr="00467DB0">
        <w:tab/>
      </w:r>
      <w:proofErr w:type="spellStart"/>
      <w:r w:rsidRPr="00467DB0">
        <w:t>Medlemsstaterne</w:t>
      </w:r>
      <w:proofErr w:type="spellEnd"/>
      <w:r w:rsidRPr="00467DB0">
        <w:t xml:space="preserve">, Rådet, </w:t>
      </w:r>
      <w:proofErr w:type="spellStart"/>
      <w:r w:rsidRPr="00467DB0">
        <w:t>Kommissionen</w:t>
      </w:r>
      <w:proofErr w:type="spellEnd"/>
      <w:r w:rsidRPr="00467DB0">
        <w:t xml:space="preserve"> og EU-</w:t>
      </w:r>
      <w:proofErr w:type="spellStart"/>
      <w:r w:rsidRPr="00467DB0">
        <w:t>Udenrigstjenesten</w:t>
      </w:r>
      <w:proofErr w:type="spellEnd"/>
      <w:r w:rsidRPr="00467DB0">
        <w:t xml:space="preserve"> bør kunne </w:t>
      </w:r>
      <w:proofErr w:type="spellStart"/>
      <w:r w:rsidRPr="00467DB0">
        <w:t>deltage</w:t>
      </w:r>
      <w:proofErr w:type="spellEnd"/>
      <w:r w:rsidRPr="00467DB0">
        <w:t xml:space="preserve"> i GOVSATCOM, for så vidt som de </w:t>
      </w:r>
      <w:proofErr w:type="spellStart"/>
      <w:r w:rsidRPr="00467DB0">
        <w:t>vælger</w:t>
      </w:r>
      <w:proofErr w:type="spellEnd"/>
      <w:r w:rsidRPr="00467DB0">
        <w:t xml:space="preserve"> at </w:t>
      </w:r>
      <w:proofErr w:type="spellStart"/>
      <w:r w:rsidRPr="00467DB0">
        <w:t>g</w:t>
      </w:r>
      <w:r w:rsidRPr="00467DB0">
        <w:t>odkende</w:t>
      </w:r>
      <w:proofErr w:type="spellEnd"/>
      <w:r w:rsidRPr="00467DB0">
        <w:t xml:space="preserve"> GOVSATCOM-</w:t>
      </w:r>
      <w:proofErr w:type="spellStart"/>
      <w:r w:rsidRPr="00467DB0">
        <w:t>brugere</w:t>
      </w:r>
      <w:proofErr w:type="spellEnd"/>
      <w:r w:rsidRPr="00467DB0">
        <w:t xml:space="preserve"> eller stiller </w:t>
      </w:r>
      <w:proofErr w:type="spellStart"/>
      <w:r w:rsidRPr="00467DB0">
        <w:t>kapaciteter</w:t>
      </w:r>
      <w:proofErr w:type="spellEnd"/>
      <w:r w:rsidRPr="00467DB0">
        <w:t xml:space="preserve">, lokaliteter eller </w:t>
      </w:r>
      <w:proofErr w:type="spellStart"/>
      <w:r w:rsidRPr="00467DB0">
        <w:t>faciliteter</w:t>
      </w:r>
      <w:proofErr w:type="spellEnd"/>
      <w:r w:rsidRPr="00467DB0">
        <w:t xml:space="preserve"> til </w:t>
      </w:r>
      <w:proofErr w:type="spellStart"/>
      <w:r w:rsidRPr="00467DB0">
        <w:t>rådighed</w:t>
      </w:r>
      <w:proofErr w:type="spellEnd"/>
      <w:r w:rsidRPr="00467DB0">
        <w:t xml:space="preserve">. I </w:t>
      </w:r>
      <w:proofErr w:type="spellStart"/>
      <w:r w:rsidRPr="00467DB0">
        <w:t>betragtning</w:t>
      </w:r>
      <w:proofErr w:type="spellEnd"/>
      <w:r w:rsidRPr="00467DB0">
        <w:t xml:space="preserve"> </w:t>
      </w:r>
      <w:proofErr w:type="spellStart"/>
      <w:r w:rsidRPr="00467DB0">
        <w:t>af</w:t>
      </w:r>
      <w:proofErr w:type="spellEnd"/>
      <w:r w:rsidRPr="00467DB0">
        <w:t xml:space="preserve"> at den enkelte medlemsstat selv kan bestemme, om den </w:t>
      </w:r>
      <w:proofErr w:type="spellStart"/>
      <w:r w:rsidRPr="00467DB0">
        <w:t>godkender</w:t>
      </w:r>
      <w:proofErr w:type="spellEnd"/>
      <w:r w:rsidRPr="00467DB0">
        <w:t xml:space="preserve"> GOVSATCOM-</w:t>
      </w:r>
      <w:proofErr w:type="spellStart"/>
      <w:r w:rsidRPr="00467DB0">
        <w:t>brugere</w:t>
      </w:r>
      <w:proofErr w:type="spellEnd"/>
      <w:r w:rsidRPr="00467DB0">
        <w:t xml:space="preserve"> eller stiller </w:t>
      </w:r>
      <w:proofErr w:type="spellStart"/>
      <w:r w:rsidRPr="00467DB0">
        <w:t>kapacitet</w:t>
      </w:r>
      <w:proofErr w:type="spellEnd"/>
      <w:r w:rsidRPr="00467DB0">
        <w:t xml:space="preserve">, lokaliteter eller </w:t>
      </w:r>
      <w:proofErr w:type="spellStart"/>
      <w:r w:rsidRPr="00467DB0">
        <w:t>faciliteter</w:t>
      </w:r>
      <w:proofErr w:type="spellEnd"/>
      <w:r w:rsidRPr="00467DB0">
        <w:t xml:space="preserve"> til </w:t>
      </w:r>
      <w:proofErr w:type="spellStart"/>
      <w:r w:rsidRPr="00467DB0">
        <w:t>rå</w:t>
      </w:r>
      <w:r w:rsidRPr="00467DB0">
        <w:t>dighed</w:t>
      </w:r>
      <w:proofErr w:type="spellEnd"/>
      <w:r w:rsidRPr="00467DB0">
        <w:t xml:space="preserve">, kan en medlemsstat ikke </w:t>
      </w:r>
      <w:proofErr w:type="spellStart"/>
      <w:r w:rsidRPr="00467DB0">
        <w:t>forpligtes</w:t>
      </w:r>
      <w:proofErr w:type="spellEnd"/>
      <w:r w:rsidRPr="00467DB0">
        <w:t xml:space="preserve"> til at blive GOVSATCOM-deltager eller være vært for GOVSATCOM-infrastrukturer. Programmets GOVSATCOM-komponent vil derfor ikke berøre </w:t>
      </w:r>
      <w:proofErr w:type="spellStart"/>
      <w:r w:rsidRPr="00467DB0">
        <w:t>medlemsstaternes</w:t>
      </w:r>
      <w:proofErr w:type="spellEnd"/>
      <w:r w:rsidRPr="00467DB0">
        <w:t xml:space="preserve"> </w:t>
      </w:r>
      <w:proofErr w:type="spellStart"/>
      <w:r w:rsidRPr="00467DB0">
        <w:t>ret</w:t>
      </w:r>
      <w:proofErr w:type="spellEnd"/>
      <w:r w:rsidRPr="00467DB0">
        <w:t xml:space="preserve"> til at </w:t>
      </w:r>
      <w:proofErr w:type="spellStart"/>
      <w:r w:rsidRPr="00467DB0">
        <w:t>undlade</w:t>
      </w:r>
      <w:proofErr w:type="spellEnd"/>
      <w:r w:rsidRPr="00467DB0">
        <w:t xml:space="preserve"> at </w:t>
      </w:r>
      <w:proofErr w:type="spellStart"/>
      <w:r w:rsidRPr="00467DB0">
        <w:t>deltage</w:t>
      </w:r>
      <w:proofErr w:type="spellEnd"/>
      <w:r w:rsidRPr="00467DB0">
        <w:t xml:space="preserve"> i GOVSATCOM, herunder i overenss</w:t>
      </w:r>
      <w:r w:rsidRPr="00467DB0">
        <w:t xml:space="preserve">temmelse med deres </w:t>
      </w:r>
      <w:proofErr w:type="spellStart"/>
      <w:r w:rsidRPr="00467DB0">
        <w:t>nationale</w:t>
      </w:r>
      <w:proofErr w:type="spellEnd"/>
      <w:r w:rsidRPr="00467DB0">
        <w:t xml:space="preserve"> </w:t>
      </w:r>
      <w:proofErr w:type="spellStart"/>
      <w:r w:rsidRPr="00467DB0">
        <w:t>ret</w:t>
      </w:r>
      <w:proofErr w:type="spellEnd"/>
      <w:r w:rsidRPr="00467DB0">
        <w:t xml:space="preserve"> eller </w:t>
      </w:r>
      <w:proofErr w:type="spellStart"/>
      <w:r w:rsidRPr="00467DB0">
        <w:t>forfatningsmæssige</w:t>
      </w:r>
      <w:proofErr w:type="spellEnd"/>
      <w:r w:rsidRPr="00467DB0">
        <w:t xml:space="preserve"> krav i forbindelse med politikker </w:t>
      </w:r>
      <w:proofErr w:type="gramStart"/>
      <w:r w:rsidRPr="00467DB0">
        <w:t>vedrørende</w:t>
      </w:r>
      <w:proofErr w:type="gramEnd"/>
      <w:r w:rsidRPr="00467DB0">
        <w:t xml:space="preserve"> manglende overensstemmelse og </w:t>
      </w:r>
      <w:proofErr w:type="spellStart"/>
      <w:r w:rsidRPr="00467DB0">
        <w:t>ikkedeltagelse</w:t>
      </w:r>
      <w:proofErr w:type="spellEnd"/>
      <w:r w:rsidRPr="00467DB0">
        <w:t xml:space="preserve"> i militære </w:t>
      </w:r>
      <w:proofErr w:type="spellStart"/>
      <w:r w:rsidRPr="00467DB0">
        <w:t>alliancer</w:t>
      </w:r>
      <w:proofErr w:type="spellEnd"/>
      <w:r w:rsidRPr="00467DB0">
        <w:t>.</w:t>
      </w:r>
    </w:p>
    <w:p w14:paraId="6BB97BC8" w14:textId="77777777" w:rsidR="00000000" w:rsidRPr="00467DB0" w:rsidRDefault="00693D67" w:rsidP="00467DB0">
      <w:pPr>
        <w:pStyle w:val="friliste"/>
      </w:pPr>
      <w:r w:rsidRPr="00467DB0">
        <w:t>(111)</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bør </w:t>
      </w:r>
      <w:proofErr w:type="spellStart"/>
      <w:r w:rsidRPr="00467DB0">
        <w:t>Ko</w:t>
      </w:r>
      <w:r w:rsidRPr="00467DB0">
        <w:t>mmissionen</w:t>
      </w:r>
      <w:proofErr w:type="spellEnd"/>
      <w:r w:rsidRPr="00467DB0">
        <w:t xml:space="preserve"> </w:t>
      </w:r>
      <w:proofErr w:type="spellStart"/>
      <w:r w:rsidRPr="00467DB0">
        <w:t>tillægges</w:t>
      </w:r>
      <w:proofErr w:type="spellEnd"/>
      <w:r w:rsidRPr="00467DB0">
        <w:t xml:space="preserve"> </w:t>
      </w:r>
      <w:proofErr w:type="spellStart"/>
      <w:r w:rsidRPr="00467DB0">
        <w:t>gennemførelsesbeføjelser</w:t>
      </w:r>
      <w:proofErr w:type="spellEnd"/>
      <w:r w:rsidRPr="00467DB0">
        <w:t xml:space="preserve"> for så vidt angår vedtagelse </w:t>
      </w:r>
      <w:proofErr w:type="spellStart"/>
      <w:r w:rsidRPr="00467DB0">
        <w:t>af</w:t>
      </w:r>
      <w:proofErr w:type="spellEnd"/>
      <w:r w:rsidRPr="00467DB0">
        <w:t xml:space="preserve"> </w:t>
      </w:r>
      <w:proofErr w:type="spellStart"/>
      <w:r w:rsidRPr="00467DB0">
        <w:t>operationelle</w:t>
      </w:r>
      <w:proofErr w:type="spellEnd"/>
      <w:r w:rsidRPr="00467DB0">
        <w:t xml:space="preserve"> krav for GOVSATCOM-tjenester og </w:t>
      </w:r>
      <w:proofErr w:type="spellStart"/>
      <w:r w:rsidRPr="00467DB0">
        <w:t>af</w:t>
      </w:r>
      <w:proofErr w:type="spellEnd"/>
      <w:r w:rsidRPr="00467DB0">
        <w:t xml:space="preserve"> tjenesteporteføljen for GOVSATCOM-tjenester. Disse </w:t>
      </w:r>
      <w:proofErr w:type="spellStart"/>
      <w:r w:rsidRPr="00467DB0">
        <w:t>beføjelser</w:t>
      </w:r>
      <w:proofErr w:type="spellEnd"/>
      <w:r w:rsidRPr="00467DB0">
        <w:t xml:space="preserve"> bør udøves i overensstemmelse med forordning (EU) nr. 182/2011.</w:t>
      </w:r>
    </w:p>
    <w:p w14:paraId="45CE9607" w14:textId="77777777" w:rsidR="00000000" w:rsidRPr="00467DB0" w:rsidRDefault="00693D67" w:rsidP="00467DB0">
      <w:pPr>
        <w:pStyle w:val="friliste"/>
      </w:pPr>
      <w:r w:rsidRPr="00467DB0">
        <w:t>(11</w:t>
      </w:r>
      <w:r w:rsidRPr="00467DB0">
        <w:t>2)</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bør </w:t>
      </w:r>
      <w:proofErr w:type="spellStart"/>
      <w:r w:rsidRPr="00467DB0">
        <w:t>Kommissionen</w:t>
      </w:r>
      <w:proofErr w:type="spellEnd"/>
      <w:r w:rsidRPr="00467DB0">
        <w:t xml:space="preserve"> </w:t>
      </w:r>
      <w:proofErr w:type="spellStart"/>
      <w:r w:rsidRPr="00467DB0">
        <w:t>tillægges</w:t>
      </w:r>
      <w:proofErr w:type="spellEnd"/>
      <w:r w:rsidRPr="00467DB0">
        <w:t xml:space="preserve"> </w:t>
      </w:r>
      <w:proofErr w:type="spellStart"/>
      <w:r w:rsidRPr="00467DB0">
        <w:t>gennemførelsesbeføjelser</w:t>
      </w:r>
      <w:proofErr w:type="spellEnd"/>
      <w:r w:rsidRPr="00467DB0">
        <w:t xml:space="preserve"> for så vidt angår vedtagelse </w:t>
      </w:r>
      <w:proofErr w:type="spellStart"/>
      <w:r w:rsidRPr="00467DB0">
        <w:t>af</w:t>
      </w:r>
      <w:proofErr w:type="spellEnd"/>
      <w:r w:rsidRPr="00467DB0">
        <w:t xml:space="preserve"> regler for deling og prioritering </w:t>
      </w:r>
      <w:proofErr w:type="spellStart"/>
      <w:r w:rsidRPr="00467DB0">
        <w:t>af</w:t>
      </w:r>
      <w:proofErr w:type="spellEnd"/>
      <w:r w:rsidRPr="00467DB0">
        <w:t xml:space="preserve"> </w:t>
      </w:r>
      <w:proofErr w:type="gramStart"/>
      <w:r w:rsidRPr="00467DB0">
        <w:t>anvendelse</w:t>
      </w:r>
      <w:proofErr w:type="gramEnd"/>
      <w:r w:rsidRPr="00467DB0">
        <w:t xml:space="preserve"> </w:t>
      </w:r>
      <w:proofErr w:type="spellStart"/>
      <w:r w:rsidRPr="00467DB0">
        <w:t>af</w:t>
      </w:r>
      <w:proofErr w:type="spellEnd"/>
      <w:r w:rsidRPr="00467DB0">
        <w:t xml:space="preserve"> samlede GOVSATCOM-</w:t>
      </w:r>
      <w:proofErr w:type="spellStart"/>
      <w:r w:rsidRPr="00467DB0">
        <w:t>satellitkommunikationskapa</w:t>
      </w:r>
      <w:r w:rsidRPr="00467DB0">
        <w:t>citeter</w:t>
      </w:r>
      <w:proofErr w:type="spellEnd"/>
      <w:r w:rsidRPr="00467DB0">
        <w:t xml:space="preserve">. Ved </w:t>
      </w:r>
      <w:proofErr w:type="spellStart"/>
      <w:r w:rsidRPr="00467DB0">
        <w:t>fastsættelsen</w:t>
      </w:r>
      <w:proofErr w:type="spellEnd"/>
      <w:r w:rsidRPr="00467DB0">
        <w:t xml:space="preserve"> </w:t>
      </w:r>
      <w:proofErr w:type="spellStart"/>
      <w:r w:rsidRPr="00467DB0">
        <w:t>af</w:t>
      </w:r>
      <w:proofErr w:type="spellEnd"/>
      <w:r w:rsidRPr="00467DB0">
        <w:t xml:space="preserve"> </w:t>
      </w:r>
      <w:proofErr w:type="spellStart"/>
      <w:r w:rsidRPr="00467DB0">
        <w:t>reglerne</w:t>
      </w:r>
      <w:proofErr w:type="spellEnd"/>
      <w:r w:rsidRPr="00467DB0">
        <w:t xml:space="preserve"> for deling og prioritering bør </w:t>
      </w:r>
      <w:proofErr w:type="spellStart"/>
      <w:r w:rsidRPr="00467DB0">
        <w:t>Kommissionen</w:t>
      </w:r>
      <w:proofErr w:type="spellEnd"/>
      <w:r w:rsidRPr="00467DB0">
        <w:t xml:space="preserve"> </w:t>
      </w:r>
      <w:proofErr w:type="spellStart"/>
      <w:r w:rsidRPr="00467DB0">
        <w:t>tage</w:t>
      </w:r>
      <w:proofErr w:type="spellEnd"/>
      <w:r w:rsidRPr="00467DB0">
        <w:t xml:space="preserve"> hensyn til </w:t>
      </w:r>
      <w:proofErr w:type="spellStart"/>
      <w:r w:rsidRPr="00467DB0">
        <w:t>operationelle</w:t>
      </w:r>
      <w:proofErr w:type="spellEnd"/>
      <w:r w:rsidRPr="00467DB0">
        <w:t xml:space="preserve"> krav og </w:t>
      </w:r>
      <w:proofErr w:type="spellStart"/>
      <w:r w:rsidRPr="00467DB0">
        <w:t>sikkerhedskrav</w:t>
      </w:r>
      <w:proofErr w:type="spellEnd"/>
      <w:r w:rsidRPr="00467DB0">
        <w:t xml:space="preserve"> og analysere </w:t>
      </w:r>
      <w:proofErr w:type="spellStart"/>
      <w:r w:rsidRPr="00467DB0">
        <w:t>risici</w:t>
      </w:r>
      <w:proofErr w:type="spellEnd"/>
      <w:r w:rsidRPr="00467DB0">
        <w:t xml:space="preserve"> og forventet </w:t>
      </w:r>
      <w:proofErr w:type="spellStart"/>
      <w:r w:rsidRPr="00467DB0">
        <w:t>efterspørgsel</w:t>
      </w:r>
      <w:proofErr w:type="spellEnd"/>
      <w:r w:rsidRPr="00467DB0">
        <w:t xml:space="preserve"> fra </w:t>
      </w:r>
      <w:proofErr w:type="spellStart"/>
      <w:r w:rsidRPr="00467DB0">
        <w:t>GOVSATCOM's</w:t>
      </w:r>
      <w:proofErr w:type="spellEnd"/>
      <w:r w:rsidRPr="00467DB0">
        <w:t xml:space="preserve"> deltagere. Selv om GOVSATCOM-tjenester i </w:t>
      </w:r>
      <w:proofErr w:type="spellStart"/>
      <w:r w:rsidRPr="00467DB0">
        <w:t>princippet</w:t>
      </w:r>
      <w:proofErr w:type="spellEnd"/>
      <w:r w:rsidRPr="00467DB0">
        <w:t xml:space="preserve"> bør l</w:t>
      </w:r>
      <w:r w:rsidRPr="00467DB0">
        <w:t>everes gratis til GOVSATCOM-</w:t>
      </w:r>
      <w:proofErr w:type="spellStart"/>
      <w:r w:rsidRPr="00467DB0">
        <w:t>brugere</w:t>
      </w:r>
      <w:proofErr w:type="spellEnd"/>
      <w:r w:rsidRPr="00467DB0">
        <w:t xml:space="preserve">, kan der, hvis denne analyse konkluderer en mangel på </w:t>
      </w:r>
      <w:proofErr w:type="spellStart"/>
      <w:r w:rsidRPr="00467DB0">
        <w:t>kapacitet</w:t>
      </w:r>
      <w:proofErr w:type="spellEnd"/>
      <w:r w:rsidRPr="00467DB0">
        <w:t xml:space="preserve">, og for at </w:t>
      </w:r>
      <w:proofErr w:type="spellStart"/>
      <w:r w:rsidRPr="00467DB0">
        <w:t>undgå</w:t>
      </w:r>
      <w:proofErr w:type="spellEnd"/>
      <w:r w:rsidRPr="00467DB0">
        <w:t xml:space="preserve"> en forvridning </w:t>
      </w:r>
      <w:proofErr w:type="spellStart"/>
      <w:r w:rsidRPr="00467DB0">
        <w:t>af</w:t>
      </w:r>
      <w:proofErr w:type="spellEnd"/>
      <w:r w:rsidRPr="00467DB0">
        <w:t xml:space="preserve"> markedet </w:t>
      </w:r>
      <w:proofErr w:type="spellStart"/>
      <w:r w:rsidRPr="00467DB0">
        <w:t>udvikles</w:t>
      </w:r>
      <w:proofErr w:type="spellEnd"/>
      <w:r w:rsidRPr="00467DB0">
        <w:t xml:space="preserve"> en </w:t>
      </w:r>
      <w:proofErr w:type="spellStart"/>
      <w:r w:rsidRPr="00467DB0">
        <w:t>prispolitik</w:t>
      </w:r>
      <w:proofErr w:type="spellEnd"/>
      <w:r w:rsidRPr="00467DB0">
        <w:t xml:space="preserve"> som en del </w:t>
      </w:r>
      <w:proofErr w:type="spellStart"/>
      <w:r w:rsidRPr="00467DB0">
        <w:t>af</w:t>
      </w:r>
      <w:proofErr w:type="spellEnd"/>
      <w:r w:rsidRPr="00467DB0">
        <w:t xml:space="preserve"> disse </w:t>
      </w:r>
      <w:proofErr w:type="spellStart"/>
      <w:r w:rsidRPr="00467DB0">
        <w:t>detaljerede</w:t>
      </w:r>
      <w:proofErr w:type="spellEnd"/>
      <w:r w:rsidRPr="00467DB0">
        <w:t xml:space="preserve"> regler for </w:t>
      </w:r>
      <w:r w:rsidRPr="00467DB0">
        <w:lastRenderedPageBreak/>
        <w:t xml:space="preserve">deling og prioritering. Disse </w:t>
      </w:r>
      <w:proofErr w:type="spellStart"/>
      <w:r w:rsidRPr="00467DB0">
        <w:t>beføjelser</w:t>
      </w:r>
      <w:proofErr w:type="spellEnd"/>
      <w:r w:rsidRPr="00467DB0">
        <w:t xml:space="preserve"> bør </w:t>
      </w:r>
      <w:r w:rsidRPr="00467DB0">
        <w:t>udøves i overensstemmelse med forordning (EU) nr. 182/2011.</w:t>
      </w:r>
    </w:p>
    <w:p w14:paraId="215E5373" w14:textId="77777777" w:rsidR="00000000" w:rsidRPr="00467DB0" w:rsidRDefault="00693D67" w:rsidP="00467DB0">
      <w:pPr>
        <w:pStyle w:val="friliste"/>
      </w:pPr>
      <w:r w:rsidRPr="00467DB0">
        <w:t>(113)</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bør </w:t>
      </w:r>
      <w:proofErr w:type="spellStart"/>
      <w:r w:rsidRPr="00467DB0">
        <w:t>Kommissionen</w:t>
      </w:r>
      <w:proofErr w:type="spellEnd"/>
      <w:r w:rsidRPr="00467DB0">
        <w:t xml:space="preserve"> </w:t>
      </w:r>
      <w:proofErr w:type="spellStart"/>
      <w:r w:rsidRPr="00467DB0">
        <w:t>tillægges</w:t>
      </w:r>
      <w:proofErr w:type="spellEnd"/>
      <w:r w:rsidRPr="00467DB0">
        <w:t xml:space="preserve"> </w:t>
      </w:r>
      <w:proofErr w:type="spellStart"/>
      <w:r w:rsidRPr="00467DB0">
        <w:t>gennemførelsesbeføjelser</w:t>
      </w:r>
      <w:proofErr w:type="spellEnd"/>
      <w:r w:rsidRPr="00467DB0">
        <w:t xml:space="preserve"> for så vidt angår</w:t>
      </w:r>
      <w:r w:rsidRPr="00467DB0">
        <w:t xml:space="preserve"> den jordbaserede infrastrukturs </w:t>
      </w:r>
      <w:proofErr w:type="spellStart"/>
      <w:r w:rsidRPr="00467DB0">
        <w:t>beliggenhed</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GOVSATCOM. Ved </w:t>
      </w:r>
      <w:proofErr w:type="spellStart"/>
      <w:r w:rsidRPr="00467DB0">
        <w:t>udvælgelsen</w:t>
      </w:r>
      <w:proofErr w:type="spellEnd"/>
      <w:r w:rsidRPr="00467DB0">
        <w:t xml:space="preserve"> </w:t>
      </w:r>
      <w:proofErr w:type="spellStart"/>
      <w:r w:rsidRPr="00467DB0">
        <w:t>af</w:t>
      </w:r>
      <w:proofErr w:type="spellEnd"/>
      <w:r w:rsidRPr="00467DB0">
        <w:t xml:space="preserve"> sådan </w:t>
      </w:r>
      <w:proofErr w:type="spellStart"/>
      <w:r w:rsidRPr="00467DB0">
        <w:t>beliggenhed</w:t>
      </w:r>
      <w:proofErr w:type="spellEnd"/>
      <w:r w:rsidRPr="00467DB0">
        <w:t xml:space="preserve"> bør </w:t>
      </w:r>
      <w:proofErr w:type="spellStart"/>
      <w:r w:rsidRPr="00467DB0">
        <w:t>Kommissionen</w:t>
      </w:r>
      <w:proofErr w:type="spellEnd"/>
      <w:r w:rsidRPr="00467DB0">
        <w:t xml:space="preserve"> kunne </w:t>
      </w:r>
      <w:proofErr w:type="spellStart"/>
      <w:r w:rsidRPr="00467DB0">
        <w:t>tage</w:t>
      </w:r>
      <w:proofErr w:type="spellEnd"/>
      <w:r w:rsidRPr="00467DB0">
        <w:t xml:space="preserve"> hensyn til </w:t>
      </w:r>
      <w:proofErr w:type="spellStart"/>
      <w:r w:rsidRPr="00467DB0">
        <w:t>operationelle</w:t>
      </w:r>
      <w:proofErr w:type="spellEnd"/>
      <w:r w:rsidRPr="00467DB0">
        <w:t xml:space="preserve"> krav og </w:t>
      </w:r>
      <w:proofErr w:type="spellStart"/>
      <w:r w:rsidRPr="00467DB0">
        <w:t>sikkerhedskrav</w:t>
      </w:r>
      <w:proofErr w:type="spellEnd"/>
      <w:r w:rsidRPr="00467DB0">
        <w:t xml:space="preserve"> </w:t>
      </w:r>
      <w:proofErr w:type="spellStart"/>
      <w:r w:rsidRPr="00467DB0">
        <w:t>såvel</w:t>
      </w:r>
      <w:proofErr w:type="spellEnd"/>
      <w:r w:rsidRPr="00467DB0">
        <w:t xml:space="preserve"> som til eksisterende infrastruktur. Disse </w:t>
      </w:r>
      <w:proofErr w:type="spellStart"/>
      <w:r w:rsidRPr="00467DB0">
        <w:t>beføjelser</w:t>
      </w:r>
      <w:proofErr w:type="spellEnd"/>
      <w:r w:rsidRPr="00467DB0">
        <w:t xml:space="preserve"> bør ud</w:t>
      </w:r>
      <w:r w:rsidRPr="00467DB0">
        <w:t>øves i overensstemmelse med forordning (EU) nr. 182/2011.</w:t>
      </w:r>
    </w:p>
    <w:p w14:paraId="3AB43280" w14:textId="77777777" w:rsidR="00000000" w:rsidRPr="00467DB0" w:rsidRDefault="00693D67" w:rsidP="00467DB0">
      <w:pPr>
        <w:pStyle w:val="friliste"/>
      </w:pPr>
      <w:r w:rsidRPr="00467DB0">
        <w:t>(114)</w:t>
      </w:r>
      <w:r w:rsidRPr="00467DB0">
        <w:tab/>
        <w:t xml:space="preserve">Ved forordning (EU) nr. 912/2010 blev der </w:t>
      </w:r>
      <w:proofErr w:type="spellStart"/>
      <w:r w:rsidRPr="00467DB0">
        <w:t>oprettet</w:t>
      </w:r>
      <w:proofErr w:type="spellEnd"/>
      <w:r w:rsidRPr="00467DB0">
        <w:t xml:space="preserve"> et EU-agentur </w:t>
      </w:r>
      <w:proofErr w:type="spellStart"/>
      <w:r w:rsidRPr="00467DB0">
        <w:t>benævnt</w:t>
      </w:r>
      <w:proofErr w:type="spellEnd"/>
      <w:r w:rsidRPr="00467DB0">
        <w:t xml:space="preserve"> Det </w:t>
      </w:r>
      <w:proofErr w:type="spellStart"/>
      <w:r w:rsidRPr="00467DB0">
        <w:t>Europæiske</w:t>
      </w:r>
      <w:proofErr w:type="spellEnd"/>
      <w:r w:rsidRPr="00467DB0">
        <w:t xml:space="preserve"> GNSS-Agentur med </w:t>
      </w:r>
      <w:proofErr w:type="spellStart"/>
      <w:r w:rsidRPr="00467DB0">
        <w:t>henblik</w:t>
      </w:r>
      <w:proofErr w:type="spellEnd"/>
      <w:r w:rsidRPr="00467DB0">
        <w:t xml:space="preserve"> på at forvalte visse aspekter </w:t>
      </w:r>
      <w:proofErr w:type="spellStart"/>
      <w:r w:rsidRPr="00467DB0">
        <w:t>af</w:t>
      </w:r>
      <w:proofErr w:type="spellEnd"/>
      <w:r w:rsidRPr="00467DB0">
        <w:t xml:space="preserve"> de </w:t>
      </w:r>
      <w:proofErr w:type="spellStart"/>
      <w:r w:rsidRPr="00467DB0">
        <w:t>satellitbaserede</w:t>
      </w:r>
      <w:proofErr w:type="spellEnd"/>
      <w:r w:rsidRPr="00467DB0">
        <w:t xml:space="preserve"> </w:t>
      </w:r>
      <w:proofErr w:type="spellStart"/>
      <w:r w:rsidRPr="00467DB0">
        <w:t>navigationsprogrammer</w:t>
      </w:r>
      <w:proofErr w:type="spellEnd"/>
      <w:r w:rsidRPr="00467DB0">
        <w:t xml:space="preserve"> Gali</w:t>
      </w:r>
      <w:r w:rsidRPr="00467DB0">
        <w:t xml:space="preserve">leo og EGNOS. I nærværende forordning overdrages Det </w:t>
      </w:r>
      <w:proofErr w:type="spellStart"/>
      <w:r w:rsidRPr="00467DB0">
        <w:t>Europæiske</w:t>
      </w:r>
      <w:proofErr w:type="spellEnd"/>
      <w:r w:rsidRPr="00467DB0">
        <w:t xml:space="preserve"> GNSS-Agentur nye </w:t>
      </w:r>
      <w:proofErr w:type="spellStart"/>
      <w:r w:rsidRPr="00467DB0">
        <w:t>opgaver</w:t>
      </w:r>
      <w:proofErr w:type="spellEnd"/>
      <w:r w:rsidRPr="00467DB0">
        <w:t xml:space="preserve">, </w:t>
      </w:r>
      <w:proofErr w:type="spellStart"/>
      <w:r w:rsidRPr="00467DB0">
        <w:t>særligt</w:t>
      </w:r>
      <w:proofErr w:type="spellEnd"/>
      <w:r w:rsidRPr="00467DB0">
        <w:t xml:space="preserve"> </w:t>
      </w:r>
      <w:proofErr w:type="spellStart"/>
      <w:r w:rsidRPr="00467DB0">
        <w:t>sikkerhedsgodkendelse</w:t>
      </w:r>
      <w:proofErr w:type="spellEnd"/>
      <w:r w:rsidRPr="00467DB0">
        <w:t xml:space="preserve">, ikke kun </w:t>
      </w:r>
      <w:proofErr w:type="spellStart"/>
      <w:r w:rsidRPr="00467DB0">
        <w:t>hvad</w:t>
      </w:r>
      <w:proofErr w:type="spellEnd"/>
      <w:r w:rsidRPr="00467DB0">
        <w:t xml:space="preserve"> angår Galileo og EGNOS, men også for andre </w:t>
      </w:r>
      <w:proofErr w:type="spellStart"/>
      <w:proofErr w:type="gramStart"/>
      <w:r w:rsidRPr="00467DB0">
        <w:t>af</w:t>
      </w:r>
      <w:proofErr w:type="spellEnd"/>
      <w:r w:rsidRPr="00467DB0">
        <w:t xml:space="preserve"> programmets</w:t>
      </w:r>
      <w:proofErr w:type="gramEnd"/>
      <w:r w:rsidRPr="00467DB0">
        <w:t xml:space="preserve"> komponenter. Navn, </w:t>
      </w:r>
      <w:proofErr w:type="spellStart"/>
      <w:r w:rsidRPr="00467DB0">
        <w:t>opgaver</w:t>
      </w:r>
      <w:proofErr w:type="spellEnd"/>
      <w:r w:rsidRPr="00467DB0">
        <w:t xml:space="preserve"> og organisatoriske aspekter </w:t>
      </w:r>
      <w:proofErr w:type="spellStart"/>
      <w:r w:rsidRPr="00467DB0">
        <w:t>af</w:t>
      </w:r>
      <w:proofErr w:type="spellEnd"/>
      <w:r w:rsidRPr="00467DB0">
        <w:t xml:space="preserve"> Det </w:t>
      </w:r>
      <w:proofErr w:type="spellStart"/>
      <w:r w:rsidRPr="00467DB0">
        <w:t>E</w:t>
      </w:r>
      <w:r w:rsidRPr="00467DB0">
        <w:t>uropæiske</w:t>
      </w:r>
      <w:proofErr w:type="spellEnd"/>
      <w:r w:rsidRPr="00467DB0">
        <w:t xml:space="preserve"> GNSS-Agentur bør derfor tilpasses i overensstemmelse hermed.</w:t>
      </w:r>
    </w:p>
    <w:p w14:paraId="2E023C88" w14:textId="77777777" w:rsidR="00000000" w:rsidRPr="00467DB0" w:rsidRDefault="00693D67" w:rsidP="00467DB0">
      <w:pPr>
        <w:pStyle w:val="friliste"/>
      </w:pPr>
      <w:r w:rsidRPr="00467DB0">
        <w:t>(115)</w:t>
      </w:r>
      <w:r w:rsidRPr="00467DB0">
        <w:tab/>
        <w:t xml:space="preserve">I overensstemmelse med </w:t>
      </w:r>
      <w:proofErr w:type="spellStart"/>
      <w:r w:rsidRPr="00467DB0">
        <w:t>afgørelse</w:t>
      </w:r>
      <w:proofErr w:type="spellEnd"/>
      <w:r w:rsidRPr="00467DB0">
        <w:t xml:space="preserve"> 2010/803/EU</w:t>
      </w:r>
      <w:r w:rsidRPr="00467DB0">
        <w:rPr>
          <w:rStyle w:val="Fotnotereferanse"/>
        </w:rPr>
        <w:footnoteReference w:id="36"/>
      </w:r>
      <w:r w:rsidRPr="00467DB0">
        <w:t xml:space="preserve"> er agenturets hjemsted i Prag. Agenturets personale kan med </w:t>
      </w:r>
      <w:proofErr w:type="spellStart"/>
      <w:r w:rsidRPr="00467DB0">
        <w:t>henblik</w:t>
      </w:r>
      <w:proofErr w:type="spellEnd"/>
      <w:r w:rsidRPr="00467DB0">
        <w:t xml:space="preserve"> på </w:t>
      </w:r>
      <w:proofErr w:type="spellStart"/>
      <w:r w:rsidRPr="00467DB0">
        <w:t>gennemførelsen</w:t>
      </w:r>
      <w:proofErr w:type="spellEnd"/>
      <w:r w:rsidRPr="00467DB0">
        <w:t xml:space="preserve"> </w:t>
      </w:r>
      <w:proofErr w:type="spellStart"/>
      <w:r w:rsidRPr="00467DB0">
        <w:t>af</w:t>
      </w:r>
      <w:proofErr w:type="spellEnd"/>
      <w:r w:rsidRPr="00467DB0">
        <w:t xml:space="preserve"> agenturets </w:t>
      </w:r>
      <w:proofErr w:type="spellStart"/>
      <w:r w:rsidRPr="00467DB0">
        <w:t>opgaver</w:t>
      </w:r>
      <w:proofErr w:type="spellEnd"/>
      <w:r w:rsidRPr="00467DB0">
        <w:t xml:space="preserve"> være </w:t>
      </w:r>
      <w:proofErr w:type="spellStart"/>
      <w:r w:rsidRPr="00467DB0">
        <w:t>placeret</w:t>
      </w:r>
      <w:proofErr w:type="spellEnd"/>
      <w:r w:rsidRPr="00467DB0">
        <w:t xml:space="preserve"> i et </w:t>
      </w:r>
      <w:proofErr w:type="spellStart"/>
      <w:r w:rsidRPr="00467DB0">
        <w:t>af</w:t>
      </w:r>
      <w:proofErr w:type="spellEnd"/>
      <w:r w:rsidRPr="00467DB0">
        <w:t xml:space="preserve"> de i </w:t>
      </w:r>
      <w:proofErr w:type="spellStart"/>
      <w:r w:rsidRPr="00467DB0">
        <w:t>Kommissionens</w:t>
      </w:r>
      <w:proofErr w:type="spellEnd"/>
      <w:r w:rsidRPr="00467DB0">
        <w:t xml:space="preserve"> </w:t>
      </w:r>
      <w:proofErr w:type="spellStart"/>
      <w:r w:rsidRPr="00467DB0">
        <w:t>gennemførelsesafgørelse</w:t>
      </w:r>
      <w:proofErr w:type="spellEnd"/>
      <w:r w:rsidRPr="00467DB0">
        <w:t xml:space="preserve"> (EU) 2016/413</w:t>
      </w:r>
      <w:r w:rsidRPr="00467DB0">
        <w:rPr>
          <w:rStyle w:val="Fotnotereferanse"/>
        </w:rPr>
        <w:footnoteReference w:id="37"/>
      </w:r>
      <w:r w:rsidRPr="00467DB0">
        <w:t xml:space="preserve"> omhandlede Galileo- eller EGNOS-</w:t>
      </w:r>
      <w:proofErr w:type="spellStart"/>
      <w:r w:rsidRPr="00467DB0">
        <w:t>jordcentre</w:t>
      </w:r>
      <w:proofErr w:type="spellEnd"/>
      <w:r w:rsidRPr="00467DB0">
        <w:t xml:space="preserve"> med </w:t>
      </w:r>
      <w:proofErr w:type="spellStart"/>
      <w:r w:rsidRPr="00467DB0">
        <w:t>henblik</w:t>
      </w:r>
      <w:proofErr w:type="spellEnd"/>
      <w:r w:rsidRPr="00467DB0">
        <w:t xml:space="preserve"> på at </w:t>
      </w:r>
      <w:proofErr w:type="spellStart"/>
      <w:r w:rsidRPr="00467DB0">
        <w:t>gennemføre</w:t>
      </w:r>
      <w:proofErr w:type="spellEnd"/>
      <w:r w:rsidRPr="00467DB0">
        <w:t xml:space="preserve"> de programakt</w:t>
      </w:r>
      <w:r w:rsidRPr="00467DB0">
        <w:t xml:space="preserve">iviteter, der er </w:t>
      </w:r>
      <w:proofErr w:type="spellStart"/>
      <w:r w:rsidRPr="00467DB0">
        <w:t>fastsat</w:t>
      </w:r>
      <w:proofErr w:type="spellEnd"/>
      <w:r w:rsidRPr="00467DB0">
        <w:t xml:space="preserve"> i den relevante </w:t>
      </w:r>
      <w:proofErr w:type="spellStart"/>
      <w:r w:rsidRPr="00467DB0">
        <w:t>aftale</w:t>
      </w:r>
      <w:proofErr w:type="spellEnd"/>
      <w:r w:rsidRPr="00467DB0">
        <w:t xml:space="preserve">. For at agenturet kan fungere så effektivt som </w:t>
      </w:r>
      <w:proofErr w:type="spellStart"/>
      <w:r w:rsidRPr="00467DB0">
        <w:t>muligt</w:t>
      </w:r>
      <w:proofErr w:type="spellEnd"/>
      <w:r w:rsidRPr="00467DB0">
        <w:t xml:space="preserve">, vil et </w:t>
      </w:r>
      <w:proofErr w:type="spellStart"/>
      <w:r w:rsidRPr="00467DB0">
        <w:t>begrænset</w:t>
      </w:r>
      <w:proofErr w:type="spellEnd"/>
      <w:r w:rsidRPr="00467DB0">
        <w:t xml:space="preserve"> </w:t>
      </w:r>
      <w:proofErr w:type="spellStart"/>
      <w:r w:rsidRPr="00467DB0">
        <w:t>antal</w:t>
      </w:r>
      <w:proofErr w:type="spellEnd"/>
      <w:r w:rsidRPr="00467DB0">
        <w:t xml:space="preserve"> </w:t>
      </w:r>
      <w:proofErr w:type="spellStart"/>
      <w:r w:rsidRPr="00467DB0">
        <w:t>medarbejdere</w:t>
      </w:r>
      <w:proofErr w:type="spellEnd"/>
      <w:r w:rsidRPr="00467DB0">
        <w:t xml:space="preserve"> </w:t>
      </w:r>
      <w:proofErr w:type="spellStart"/>
      <w:r w:rsidRPr="00467DB0">
        <w:t>desuden</w:t>
      </w:r>
      <w:proofErr w:type="spellEnd"/>
      <w:r w:rsidRPr="00467DB0">
        <w:t xml:space="preserve"> kunne </w:t>
      </w:r>
      <w:proofErr w:type="spellStart"/>
      <w:r w:rsidRPr="00467DB0">
        <w:t>placeres</w:t>
      </w:r>
      <w:proofErr w:type="spellEnd"/>
      <w:r w:rsidRPr="00467DB0">
        <w:t xml:space="preserve"> i lokale kontorer i én eller flere medlemsstater. En sådan </w:t>
      </w:r>
      <w:proofErr w:type="spellStart"/>
      <w:r w:rsidRPr="00467DB0">
        <w:t>placering</w:t>
      </w:r>
      <w:proofErr w:type="spellEnd"/>
      <w:r w:rsidRPr="00467DB0">
        <w:t xml:space="preserve"> </w:t>
      </w:r>
      <w:proofErr w:type="spellStart"/>
      <w:r w:rsidRPr="00467DB0">
        <w:t>af</w:t>
      </w:r>
      <w:proofErr w:type="spellEnd"/>
      <w:r w:rsidRPr="00467DB0">
        <w:t xml:space="preserve"> personalet </w:t>
      </w:r>
      <w:proofErr w:type="spellStart"/>
      <w:r w:rsidRPr="00467DB0">
        <w:t>uden</w:t>
      </w:r>
      <w:proofErr w:type="spellEnd"/>
      <w:r w:rsidRPr="00467DB0">
        <w:t xml:space="preserve"> for ag</w:t>
      </w:r>
      <w:r w:rsidRPr="00467DB0">
        <w:t xml:space="preserve">enturets hjemsted og </w:t>
      </w:r>
      <w:proofErr w:type="spellStart"/>
      <w:r w:rsidRPr="00467DB0">
        <w:t>uden</w:t>
      </w:r>
      <w:proofErr w:type="spellEnd"/>
      <w:r w:rsidRPr="00467DB0">
        <w:t xml:space="preserve"> for Galileo- og EGNOS-</w:t>
      </w:r>
      <w:proofErr w:type="spellStart"/>
      <w:r w:rsidRPr="00467DB0">
        <w:t>jordcentre</w:t>
      </w:r>
      <w:proofErr w:type="spellEnd"/>
      <w:r w:rsidRPr="00467DB0">
        <w:t xml:space="preserve"> bør ikke føre til, at agenturets </w:t>
      </w:r>
      <w:proofErr w:type="spellStart"/>
      <w:r w:rsidRPr="00467DB0">
        <w:t>kerneaktiviteter</w:t>
      </w:r>
      <w:proofErr w:type="spellEnd"/>
      <w:r w:rsidRPr="00467DB0">
        <w:t xml:space="preserve"> overføres til sådanne lokale kontorer.</w:t>
      </w:r>
    </w:p>
    <w:p w14:paraId="26D8F3B1" w14:textId="77777777" w:rsidR="00000000" w:rsidRPr="00467DB0" w:rsidRDefault="00693D67" w:rsidP="00467DB0">
      <w:pPr>
        <w:pStyle w:val="friliste"/>
      </w:pPr>
      <w:r w:rsidRPr="00467DB0">
        <w:t>(116)</w:t>
      </w:r>
      <w:r w:rsidRPr="00467DB0">
        <w:tab/>
        <w:t xml:space="preserve">I </w:t>
      </w:r>
      <w:proofErr w:type="spellStart"/>
      <w:r w:rsidRPr="00467DB0">
        <w:t>betragtning</w:t>
      </w:r>
      <w:proofErr w:type="spellEnd"/>
      <w:r w:rsidRPr="00467DB0">
        <w:t xml:space="preserve"> </w:t>
      </w:r>
      <w:proofErr w:type="spellStart"/>
      <w:r w:rsidRPr="00467DB0">
        <w:t>af</w:t>
      </w:r>
      <w:proofErr w:type="spellEnd"/>
      <w:r w:rsidRPr="00467DB0">
        <w:t xml:space="preserve"> dets </w:t>
      </w:r>
      <w:proofErr w:type="spellStart"/>
      <w:r w:rsidRPr="00467DB0">
        <w:t>udvidede</w:t>
      </w:r>
      <w:proofErr w:type="spellEnd"/>
      <w:r w:rsidRPr="00467DB0">
        <w:t xml:space="preserve"> anvendelsesområde, som ikke </w:t>
      </w:r>
      <w:proofErr w:type="spellStart"/>
      <w:r w:rsidRPr="00467DB0">
        <w:t>længere</w:t>
      </w:r>
      <w:proofErr w:type="spellEnd"/>
      <w:r w:rsidRPr="00467DB0">
        <w:t xml:space="preserve"> vil være </w:t>
      </w:r>
      <w:proofErr w:type="spellStart"/>
      <w:r w:rsidRPr="00467DB0">
        <w:t>begrænset</w:t>
      </w:r>
      <w:proofErr w:type="spellEnd"/>
      <w:r w:rsidRPr="00467DB0">
        <w:t xml:space="preserve"> til Galileo og E</w:t>
      </w:r>
      <w:r w:rsidRPr="00467DB0">
        <w:t xml:space="preserve">GNOS, bør navnet på Det </w:t>
      </w:r>
      <w:proofErr w:type="spellStart"/>
      <w:r w:rsidRPr="00467DB0">
        <w:t>Europæiske</w:t>
      </w:r>
      <w:proofErr w:type="spellEnd"/>
      <w:r w:rsidRPr="00467DB0">
        <w:t xml:space="preserve"> GNSS-Agentur </w:t>
      </w:r>
      <w:proofErr w:type="spellStart"/>
      <w:r w:rsidRPr="00467DB0">
        <w:t>ændres</w:t>
      </w:r>
      <w:proofErr w:type="spellEnd"/>
      <w:r w:rsidRPr="00467DB0">
        <w:t xml:space="preserve">. Agenturet bør dog sikre kontinuiteten i Det </w:t>
      </w:r>
      <w:proofErr w:type="spellStart"/>
      <w:r w:rsidRPr="00467DB0">
        <w:t>Europæiske</w:t>
      </w:r>
      <w:proofErr w:type="spellEnd"/>
      <w:r w:rsidRPr="00467DB0">
        <w:t xml:space="preserve"> GNSS-Agenturs aktiviteter, herunder kontinuiteten med hensyn til </w:t>
      </w:r>
      <w:proofErr w:type="spellStart"/>
      <w:r w:rsidRPr="00467DB0">
        <w:t>rettigheder</w:t>
      </w:r>
      <w:proofErr w:type="spellEnd"/>
      <w:r w:rsidRPr="00467DB0">
        <w:t xml:space="preserve"> og </w:t>
      </w:r>
      <w:proofErr w:type="spellStart"/>
      <w:r w:rsidRPr="00467DB0">
        <w:t>forpligtelser</w:t>
      </w:r>
      <w:proofErr w:type="spellEnd"/>
      <w:r w:rsidRPr="00467DB0">
        <w:t xml:space="preserve">, personale og </w:t>
      </w:r>
      <w:proofErr w:type="spellStart"/>
      <w:r w:rsidRPr="00467DB0">
        <w:t>gyldigheden</w:t>
      </w:r>
      <w:proofErr w:type="spellEnd"/>
      <w:r w:rsidRPr="00467DB0">
        <w:t xml:space="preserve"> </w:t>
      </w:r>
      <w:proofErr w:type="spellStart"/>
      <w:r w:rsidRPr="00467DB0">
        <w:t>af</w:t>
      </w:r>
      <w:proofErr w:type="spellEnd"/>
      <w:r w:rsidRPr="00467DB0">
        <w:t xml:space="preserve"> alle de beslutninger, </w:t>
      </w:r>
      <w:r w:rsidRPr="00467DB0">
        <w:t xml:space="preserve">der </w:t>
      </w:r>
      <w:proofErr w:type="spellStart"/>
      <w:r w:rsidRPr="00467DB0">
        <w:t>træffes</w:t>
      </w:r>
      <w:proofErr w:type="spellEnd"/>
      <w:r w:rsidRPr="00467DB0">
        <w:t>.</w:t>
      </w:r>
    </w:p>
    <w:p w14:paraId="6C098F4F" w14:textId="77777777" w:rsidR="00000000" w:rsidRPr="00467DB0" w:rsidRDefault="00693D67" w:rsidP="00467DB0">
      <w:pPr>
        <w:pStyle w:val="friliste"/>
      </w:pPr>
      <w:r w:rsidRPr="00467DB0">
        <w:t>(117)</w:t>
      </w:r>
      <w:r w:rsidRPr="00467DB0">
        <w:tab/>
        <w:t xml:space="preserve">Som følge </w:t>
      </w:r>
      <w:proofErr w:type="spellStart"/>
      <w:r w:rsidRPr="00467DB0">
        <w:t>af</w:t>
      </w:r>
      <w:proofErr w:type="spellEnd"/>
      <w:r w:rsidRPr="00467DB0">
        <w:t xml:space="preserve"> agenturets mandat og </w:t>
      </w:r>
      <w:proofErr w:type="spellStart"/>
      <w:r w:rsidRPr="00467DB0">
        <w:t>Kommissionens</w:t>
      </w:r>
      <w:proofErr w:type="spellEnd"/>
      <w:r w:rsidRPr="00467DB0">
        <w:t xml:space="preserve"> rolle 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programmet bør en </w:t>
      </w:r>
      <w:proofErr w:type="spellStart"/>
      <w:r w:rsidRPr="00467DB0">
        <w:t>række</w:t>
      </w:r>
      <w:proofErr w:type="spellEnd"/>
      <w:r w:rsidRPr="00467DB0">
        <w:t xml:space="preserve"> </w:t>
      </w:r>
      <w:proofErr w:type="spellStart"/>
      <w:r w:rsidRPr="00467DB0">
        <w:t>af</w:t>
      </w:r>
      <w:proofErr w:type="spellEnd"/>
      <w:r w:rsidRPr="00467DB0">
        <w:t xml:space="preserve"> de beslutninger, som </w:t>
      </w:r>
      <w:proofErr w:type="spellStart"/>
      <w:r w:rsidRPr="00467DB0">
        <w:t>træffes</w:t>
      </w:r>
      <w:proofErr w:type="spellEnd"/>
      <w:r w:rsidRPr="00467DB0">
        <w:t xml:space="preserve"> </w:t>
      </w:r>
      <w:proofErr w:type="spellStart"/>
      <w:r w:rsidRPr="00467DB0">
        <w:t>af</w:t>
      </w:r>
      <w:proofErr w:type="spellEnd"/>
      <w:r w:rsidRPr="00467DB0">
        <w:t xml:space="preserve"> bestyrelsen, ikke </w:t>
      </w:r>
      <w:proofErr w:type="spellStart"/>
      <w:r w:rsidRPr="00467DB0">
        <w:t>vedtages</w:t>
      </w:r>
      <w:proofErr w:type="spellEnd"/>
      <w:r w:rsidRPr="00467DB0">
        <w:t xml:space="preserve"> </w:t>
      </w:r>
      <w:proofErr w:type="spellStart"/>
      <w:r w:rsidRPr="00467DB0">
        <w:t>uden</w:t>
      </w:r>
      <w:proofErr w:type="spellEnd"/>
      <w:r w:rsidRPr="00467DB0">
        <w:t xml:space="preserve"> tilslutning fra </w:t>
      </w:r>
      <w:proofErr w:type="spellStart"/>
      <w:r w:rsidRPr="00467DB0">
        <w:t>Kommissionens</w:t>
      </w:r>
      <w:proofErr w:type="spellEnd"/>
      <w:r w:rsidRPr="00467DB0">
        <w:t xml:space="preserve"> </w:t>
      </w:r>
      <w:proofErr w:type="spellStart"/>
      <w:r w:rsidRPr="00467DB0">
        <w:t>repræsentanter</w:t>
      </w:r>
      <w:proofErr w:type="spellEnd"/>
      <w:r w:rsidRPr="00467DB0">
        <w:t>.</w:t>
      </w:r>
    </w:p>
    <w:p w14:paraId="45CBCAE0" w14:textId="77777777" w:rsidR="00000000" w:rsidRPr="00467DB0" w:rsidRDefault="00693D67" w:rsidP="00467DB0">
      <w:pPr>
        <w:pStyle w:val="friliste"/>
      </w:pPr>
      <w:r w:rsidRPr="00467DB0">
        <w:t>(118)</w:t>
      </w:r>
      <w:r w:rsidRPr="00467DB0">
        <w:tab/>
      </w:r>
      <w:proofErr w:type="spellStart"/>
      <w:r w:rsidRPr="00467DB0">
        <w:t>Uden</w:t>
      </w:r>
      <w:proofErr w:type="spellEnd"/>
      <w:r w:rsidRPr="00467DB0">
        <w:t xml:space="preserve"> at dette berører </w:t>
      </w:r>
      <w:proofErr w:type="spellStart"/>
      <w:r w:rsidRPr="00467DB0">
        <w:t>Kommissionens</w:t>
      </w:r>
      <w:proofErr w:type="spellEnd"/>
      <w:r w:rsidRPr="00467DB0">
        <w:t xml:space="preserve"> </w:t>
      </w:r>
      <w:proofErr w:type="spellStart"/>
      <w:r w:rsidRPr="00467DB0">
        <w:t>beføjelser</w:t>
      </w:r>
      <w:proofErr w:type="spellEnd"/>
      <w:r w:rsidRPr="00467DB0">
        <w:t xml:space="preserve">, skal bestyrelsen, Komitéen for </w:t>
      </w:r>
      <w:proofErr w:type="spellStart"/>
      <w:r w:rsidRPr="00467DB0">
        <w:t>Sikkerhedsgodkendelse</w:t>
      </w:r>
      <w:proofErr w:type="spellEnd"/>
      <w:r w:rsidRPr="00467DB0">
        <w:t xml:space="preserve"> og den administrerende direktør være </w:t>
      </w:r>
      <w:proofErr w:type="spellStart"/>
      <w:r w:rsidRPr="00467DB0">
        <w:t>uafhængige</w:t>
      </w:r>
      <w:proofErr w:type="spellEnd"/>
      <w:r w:rsidRPr="00467DB0">
        <w:t xml:space="preserve"> ved </w:t>
      </w:r>
      <w:proofErr w:type="spellStart"/>
      <w:r w:rsidRPr="00467DB0">
        <w:t>udførelsen</w:t>
      </w:r>
      <w:proofErr w:type="spellEnd"/>
      <w:r w:rsidRPr="00467DB0">
        <w:t xml:space="preserve"> </w:t>
      </w:r>
      <w:proofErr w:type="spellStart"/>
      <w:r w:rsidRPr="00467DB0">
        <w:t>af</w:t>
      </w:r>
      <w:proofErr w:type="spellEnd"/>
      <w:r w:rsidRPr="00467DB0">
        <w:t xml:space="preserve"> deres </w:t>
      </w:r>
      <w:proofErr w:type="spellStart"/>
      <w:r w:rsidRPr="00467DB0">
        <w:t>opgaver</w:t>
      </w:r>
      <w:proofErr w:type="spellEnd"/>
      <w:r w:rsidRPr="00467DB0">
        <w:t xml:space="preserve"> og bør handle </w:t>
      </w:r>
      <w:proofErr w:type="spellStart"/>
      <w:r w:rsidRPr="00467DB0">
        <w:t>ud</w:t>
      </w:r>
      <w:proofErr w:type="spellEnd"/>
      <w:r w:rsidRPr="00467DB0">
        <w:t xml:space="preserve"> fra almene </w:t>
      </w:r>
      <w:proofErr w:type="spellStart"/>
      <w:r w:rsidRPr="00467DB0">
        <w:t>samfundshensyn</w:t>
      </w:r>
      <w:proofErr w:type="spellEnd"/>
      <w:r w:rsidRPr="00467DB0">
        <w:t>.</w:t>
      </w:r>
    </w:p>
    <w:p w14:paraId="3632D2E9" w14:textId="77777777" w:rsidR="00000000" w:rsidRPr="00467DB0" w:rsidRDefault="00693D67" w:rsidP="00467DB0">
      <w:pPr>
        <w:pStyle w:val="friliste"/>
      </w:pPr>
      <w:r w:rsidRPr="00467DB0">
        <w:t>(119)</w:t>
      </w:r>
      <w:r w:rsidRPr="00467DB0">
        <w:tab/>
        <w:t xml:space="preserve">Det er </w:t>
      </w:r>
      <w:proofErr w:type="spellStart"/>
      <w:r w:rsidRPr="00467DB0">
        <w:t>muligt</w:t>
      </w:r>
      <w:proofErr w:type="spellEnd"/>
      <w:r w:rsidRPr="00467DB0">
        <w:t xml:space="preserve">, og endog </w:t>
      </w:r>
      <w:proofErr w:type="spellStart"/>
      <w:r w:rsidRPr="00467DB0">
        <w:t>sands</w:t>
      </w:r>
      <w:r w:rsidRPr="00467DB0">
        <w:t>ynligt</w:t>
      </w:r>
      <w:proofErr w:type="spellEnd"/>
      <w:r w:rsidRPr="00467DB0">
        <w:t xml:space="preserve">, at </w:t>
      </w:r>
      <w:proofErr w:type="spellStart"/>
      <w:r w:rsidRPr="00467DB0">
        <w:t>nogle</w:t>
      </w:r>
      <w:proofErr w:type="spellEnd"/>
      <w:r w:rsidRPr="00467DB0">
        <w:t xml:space="preserve"> </w:t>
      </w:r>
      <w:proofErr w:type="spellStart"/>
      <w:r w:rsidRPr="00467DB0">
        <w:t>af</w:t>
      </w:r>
      <w:proofErr w:type="spellEnd"/>
      <w:r w:rsidRPr="00467DB0">
        <w:t xml:space="preserve"> programmets komponenter vil være </w:t>
      </w:r>
      <w:proofErr w:type="spellStart"/>
      <w:r w:rsidRPr="00467DB0">
        <w:t>baseret</w:t>
      </w:r>
      <w:proofErr w:type="spellEnd"/>
      <w:r w:rsidRPr="00467DB0">
        <w:t xml:space="preserve"> på </w:t>
      </w:r>
      <w:proofErr w:type="gramStart"/>
      <w:r w:rsidRPr="00467DB0">
        <w:t>anvendelsen</w:t>
      </w:r>
      <w:proofErr w:type="gramEnd"/>
      <w:r w:rsidRPr="00467DB0">
        <w:t xml:space="preserve"> </w:t>
      </w:r>
      <w:proofErr w:type="spellStart"/>
      <w:r w:rsidRPr="00467DB0">
        <w:t>af</w:t>
      </w:r>
      <w:proofErr w:type="spellEnd"/>
      <w:r w:rsidRPr="00467DB0">
        <w:t xml:space="preserve"> følsom eller </w:t>
      </w:r>
      <w:proofErr w:type="spellStart"/>
      <w:r w:rsidRPr="00467DB0">
        <w:t>sikkerhedsrelateret</w:t>
      </w:r>
      <w:proofErr w:type="spellEnd"/>
      <w:r w:rsidRPr="00467DB0">
        <w:t xml:space="preserve"> </w:t>
      </w:r>
      <w:proofErr w:type="spellStart"/>
      <w:r w:rsidRPr="00467DB0">
        <w:t>national</w:t>
      </w:r>
      <w:proofErr w:type="spellEnd"/>
      <w:r w:rsidRPr="00467DB0">
        <w:t xml:space="preserve"> infrastruktur. I sådanne </w:t>
      </w:r>
      <w:proofErr w:type="spellStart"/>
      <w:r w:rsidRPr="00467DB0">
        <w:t>tilfælde</w:t>
      </w:r>
      <w:proofErr w:type="spellEnd"/>
      <w:r w:rsidRPr="00467DB0">
        <w:t xml:space="preserve"> vil det </w:t>
      </w:r>
      <w:proofErr w:type="spellStart"/>
      <w:r w:rsidRPr="00467DB0">
        <w:t>af</w:t>
      </w:r>
      <w:proofErr w:type="spellEnd"/>
      <w:r w:rsidRPr="00467DB0">
        <w:t xml:space="preserve"> hensyn til den </w:t>
      </w:r>
      <w:proofErr w:type="spellStart"/>
      <w:r w:rsidRPr="00467DB0">
        <w:t>nationale</w:t>
      </w:r>
      <w:proofErr w:type="spellEnd"/>
      <w:r w:rsidRPr="00467DB0">
        <w:t xml:space="preserve"> </w:t>
      </w:r>
      <w:proofErr w:type="spellStart"/>
      <w:r w:rsidRPr="00467DB0">
        <w:t>sikkerhed</w:t>
      </w:r>
      <w:proofErr w:type="spellEnd"/>
      <w:r w:rsidRPr="00467DB0">
        <w:t xml:space="preserve"> være </w:t>
      </w:r>
      <w:proofErr w:type="spellStart"/>
      <w:r w:rsidRPr="00467DB0">
        <w:t>nødvendigt</w:t>
      </w:r>
      <w:proofErr w:type="spellEnd"/>
      <w:r w:rsidRPr="00467DB0">
        <w:t xml:space="preserve"> at </w:t>
      </w:r>
      <w:proofErr w:type="spellStart"/>
      <w:r w:rsidRPr="00467DB0">
        <w:t>fastsætte</w:t>
      </w:r>
      <w:proofErr w:type="spellEnd"/>
      <w:r w:rsidRPr="00467DB0">
        <w:t xml:space="preserve">, at </w:t>
      </w:r>
      <w:proofErr w:type="spellStart"/>
      <w:r w:rsidRPr="00467DB0">
        <w:t>repræsentanter</w:t>
      </w:r>
      <w:proofErr w:type="spellEnd"/>
      <w:r w:rsidRPr="00467DB0">
        <w:t xml:space="preserve"> for </w:t>
      </w:r>
      <w:r w:rsidRPr="00467DB0">
        <w:lastRenderedPageBreak/>
        <w:t>med</w:t>
      </w:r>
      <w:r w:rsidRPr="00467DB0">
        <w:t xml:space="preserve">lemsstater og </w:t>
      </w:r>
      <w:proofErr w:type="spellStart"/>
      <w:r w:rsidRPr="00467DB0">
        <w:t>repræsentanter</w:t>
      </w:r>
      <w:proofErr w:type="spellEnd"/>
      <w:r w:rsidRPr="00467DB0">
        <w:t xml:space="preserve"> for </w:t>
      </w:r>
      <w:proofErr w:type="spellStart"/>
      <w:r w:rsidRPr="00467DB0">
        <w:t>Kommissionen</w:t>
      </w:r>
      <w:proofErr w:type="spellEnd"/>
      <w:r w:rsidRPr="00467DB0">
        <w:t xml:space="preserve"> deltager møder i bestyrelsen og Komitéen for </w:t>
      </w:r>
      <w:proofErr w:type="spellStart"/>
      <w:r w:rsidRPr="00467DB0">
        <w:t>Sikkerhedsgodkendelse</w:t>
      </w:r>
      <w:proofErr w:type="spellEnd"/>
      <w:r w:rsidRPr="00467DB0">
        <w:t xml:space="preserve"> på "</w:t>
      </w:r>
      <w:proofErr w:type="spellStart"/>
      <w:r w:rsidRPr="00467DB0">
        <w:t>need</w:t>
      </w:r>
      <w:proofErr w:type="spellEnd"/>
      <w:r w:rsidRPr="00467DB0">
        <w:t>-to-</w:t>
      </w:r>
      <w:proofErr w:type="spellStart"/>
      <w:r w:rsidRPr="00467DB0">
        <w:t>know</w:t>
      </w:r>
      <w:proofErr w:type="spellEnd"/>
      <w:r w:rsidRPr="00467DB0">
        <w:t xml:space="preserve">"-basis. I bestyrelsen må kun de </w:t>
      </w:r>
      <w:proofErr w:type="spellStart"/>
      <w:r w:rsidRPr="00467DB0">
        <w:t>repræsentanter</w:t>
      </w:r>
      <w:proofErr w:type="spellEnd"/>
      <w:r w:rsidRPr="00467DB0">
        <w:t xml:space="preserve"> for medlemsstater, der råder over en sådan infrastruktur, og en </w:t>
      </w:r>
      <w:proofErr w:type="spellStart"/>
      <w:r w:rsidRPr="00467DB0">
        <w:t>repræsentant</w:t>
      </w:r>
      <w:proofErr w:type="spellEnd"/>
      <w:r w:rsidRPr="00467DB0">
        <w:t xml:space="preserve"> fo</w:t>
      </w:r>
      <w:r w:rsidRPr="00467DB0">
        <w:t xml:space="preserve">r </w:t>
      </w:r>
      <w:proofErr w:type="spellStart"/>
      <w:r w:rsidRPr="00467DB0">
        <w:t>Kommissionen</w:t>
      </w:r>
      <w:proofErr w:type="spellEnd"/>
      <w:r w:rsidRPr="00467DB0">
        <w:t xml:space="preserve"> </w:t>
      </w:r>
      <w:proofErr w:type="spellStart"/>
      <w:r w:rsidRPr="00467DB0">
        <w:t>deltage</w:t>
      </w:r>
      <w:proofErr w:type="spellEnd"/>
      <w:r w:rsidRPr="00467DB0">
        <w:t xml:space="preserve"> i </w:t>
      </w:r>
      <w:proofErr w:type="spellStart"/>
      <w:r w:rsidRPr="00467DB0">
        <w:t>afstemninger</w:t>
      </w:r>
      <w:proofErr w:type="spellEnd"/>
      <w:r w:rsidRPr="00467DB0">
        <w:t xml:space="preserve">. Bestyrelsens forretningsorden og forretningsordenen for Komitéen for </w:t>
      </w:r>
      <w:proofErr w:type="spellStart"/>
      <w:r w:rsidRPr="00467DB0">
        <w:t>Sikkerhedsgodkendelse</w:t>
      </w:r>
      <w:proofErr w:type="spellEnd"/>
      <w:r w:rsidRPr="00467DB0">
        <w:t xml:space="preserve"> bør </w:t>
      </w:r>
      <w:proofErr w:type="spellStart"/>
      <w:r w:rsidRPr="00467DB0">
        <w:t>fastsætte</w:t>
      </w:r>
      <w:proofErr w:type="spellEnd"/>
      <w:r w:rsidRPr="00467DB0">
        <w:t xml:space="preserve"> de </w:t>
      </w:r>
      <w:proofErr w:type="spellStart"/>
      <w:r w:rsidRPr="00467DB0">
        <w:t>situationer</w:t>
      </w:r>
      <w:proofErr w:type="spellEnd"/>
      <w:r w:rsidRPr="00467DB0">
        <w:t xml:space="preserve">, hvor denne </w:t>
      </w:r>
      <w:proofErr w:type="spellStart"/>
      <w:r w:rsidRPr="00467DB0">
        <w:t>procedure</w:t>
      </w:r>
      <w:proofErr w:type="spellEnd"/>
      <w:r w:rsidRPr="00467DB0">
        <w:t xml:space="preserve"> </w:t>
      </w:r>
      <w:proofErr w:type="spellStart"/>
      <w:r w:rsidRPr="00467DB0">
        <w:t>finder</w:t>
      </w:r>
      <w:proofErr w:type="spellEnd"/>
      <w:r w:rsidRPr="00467DB0">
        <w:t xml:space="preserve"> </w:t>
      </w:r>
      <w:proofErr w:type="gramStart"/>
      <w:r w:rsidRPr="00467DB0">
        <w:t>anvendelse</w:t>
      </w:r>
      <w:proofErr w:type="gramEnd"/>
      <w:r w:rsidRPr="00467DB0">
        <w:t>.</w:t>
      </w:r>
    </w:p>
    <w:p w14:paraId="56D1FED3" w14:textId="77777777" w:rsidR="00000000" w:rsidRPr="00467DB0" w:rsidRDefault="00693D67" w:rsidP="00467DB0">
      <w:pPr>
        <w:pStyle w:val="friliste"/>
      </w:pPr>
      <w:r w:rsidRPr="00467DB0">
        <w:t>(120)</w:t>
      </w:r>
      <w:r w:rsidRPr="00467DB0">
        <w:tab/>
        <w:t xml:space="preserve">I henhold til punkt 22 og 23 i den </w:t>
      </w:r>
      <w:proofErr w:type="spellStart"/>
      <w:r w:rsidRPr="00467DB0">
        <w:t>interinstitutio</w:t>
      </w:r>
      <w:r w:rsidRPr="00467DB0">
        <w:t>nelle</w:t>
      </w:r>
      <w:proofErr w:type="spellEnd"/>
      <w:r w:rsidRPr="00467DB0">
        <w:t xml:space="preserve"> </w:t>
      </w:r>
      <w:proofErr w:type="spellStart"/>
      <w:r w:rsidRPr="00467DB0">
        <w:t>aftale</w:t>
      </w:r>
      <w:proofErr w:type="spellEnd"/>
      <w:r w:rsidRPr="00467DB0">
        <w:t xml:space="preserve"> </w:t>
      </w:r>
      <w:proofErr w:type="spellStart"/>
      <w:r w:rsidRPr="00467DB0">
        <w:t>af</w:t>
      </w:r>
      <w:proofErr w:type="spellEnd"/>
      <w:r w:rsidRPr="00467DB0">
        <w:t xml:space="preserve"> 13. april 2016 om bedre lovgivning</w:t>
      </w:r>
      <w:r w:rsidRPr="00467DB0">
        <w:rPr>
          <w:rStyle w:val="Fotnotereferanse"/>
        </w:rPr>
        <w:footnoteReference w:id="38"/>
      </w:r>
      <w:r w:rsidRPr="00467DB0">
        <w:t xml:space="preserve"> bør dette program evalueres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oplysninger</w:t>
      </w:r>
      <w:proofErr w:type="spellEnd"/>
      <w:r w:rsidRPr="00467DB0">
        <w:t xml:space="preserve"> </w:t>
      </w:r>
      <w:proofErr w:type="spellStart"/>
      <w:r w:rsidRPr="00467DB0">
        <w:t>indsamlet</w:t>
      </w:r>
      <w:proofErr w:type="spellEnd"/>
      <w:r w:rsidRPr="00467DB0">
        <w:t xml:space="preserve"> i overensstemmelse med </w:t>
      </w:r>
      <w:proofErr w:type="spellStart"/>
      <w:r w:rsidRPr="00467DB0">
        <w:t>specifikke</w:t>
      </w:r>
      <w:proofErr w:type="spellEnd"/>
      <w:r w:rsidRPr="00467DB0">
        <w:t xml:space="preserve"> </w:t>
      </w:r>
      <w:proofErr w:type="spellStart"/>
      <w:r w:rsidRPr="00467DB0">
        <w:t>overvågningskrav</w:t>
      </w:r>
      <w:proofErr w:type="spellEnd"/>
      <w:r w:rsidRPr="00467DB0">
        <w:t xml:space="preserve">, samtidig med at administrative byrder, navnlig for </w:t>
      </w:r>
      <w:proofErr w:type="spellStart"/>
      <w:r w:rsidRPr="00467DB0">
        <w:t>medl</w:t>
      </w:r>
      <w:r w:rsidRPr="00467DB0">
        <w:t>emsstaterne</w:t>
      </w:r>
      <w:proofErr w:type="spellEnd"/>
      <w:r w:rsidRPr="00467DB0">
        <w:t xml:space="preserve">, og overregulering </w:t>
      </w:r>
      <w:proofErr w:type="spellStart"/>
      <w:r w:rsidRPr="00467DB0">
        <w:t>undgås</w:t>
      </w:r>
      <w:proofErr w:type="spellEnd"/>
      <w:r w:rsidRPr="00467DB0">
        <w:t xml:space="preserve">. Disse krav kan, hvor det er relevant, omfatte målbare indikatorer som </w:t>
      </w:r>
      <w:proofErr w:type="spellStart"/>
      <w:r w:rsidRPr="00467DB0">
        <w:t>grundlag</w:t>
      </w:r>
      <w:proofErr w:type="spellEnd"/>
      <w:r w:rsidRPr="00467DB0">
        <w:t xml:space="preserve"> for en evaluering </w:t>
      </w:r>
      <w:proofErr w:type="spellStart"/>
      <w:r w:rsidRPr="00467DB0">
        <w:t>af</w:t>
      </w:r>
      <w:proofErr w:type="spellEnd"/>
      <w:r w:rsidRPr="00467DB0">
        <w:t xml:space="preserve"> programmets virkninger i praksis.</w:t>
      </w:r>
    </w:p>
    <w:p w14:paraId="5129B7BF" w14:textId="77777777" w:rsidR="00000000" w:rsidRPr="00467DB0" w:rsidRDefault="00693D67" w:rsidP="00467DB0">
      <w:pPr>
        <w:pStyle w:val="friliste"/>
      </w:pPr>
      <w:r w:rsidRPr="00467DB0">
        <w:t>(121)</w:t>
      </w:r>
      <w:r w:rsidRPr="00467DB0">
        <w:tab/>
      </w:r>
      <w:proofErr w:type="gramStart"/>
      <w:r w:rsidRPr="00467DB0">
        <w:t>Anvendelsen</w:t>
      </w:r>
      <w:proofErr w:type="gramEnd"/>
      <w:r w:rsidRPr="00467DB0">
        <w:t xml:space="preserve"> </w:t>
      </w:r>
      <w:proofErr w:type="spellStart"/>
      <w:r w:rsidRPr="00467DB0">
        <w:t>af</w:t>
      </w:r>
      <w:proofErr w:type="spellEnd"/>
      <w:r w:rsidRPr="00467DB0">
        <w:t xml:space="preserve"> Copernicus- og Galileo-</w:t>
      </w:r>
      <w:proofErr w:type="spellStart"/>
      <w:r w:rsidRPr="00467DB0">
        <w:t>baserede</w:t>
      </w:r>
      <w:proofErr w:type="spellEnd"/>
      <w:r w:rsidRPr="00467DB0">
        <w:t xml:space="preserve"> tjenester forventes generelt a</w:t>
      </w:r>
      <w:r w:rsidRPr="00467DB0">
        <w:t xml:space="preserve">t få stor betydning for den </w:t>
      </w:r>
      <w:proofErr w:type="spellStart"/>
      <w:r w:rsidRPr="00467DB0">
        <w:t>europæiske</w:t>
      </w:r>
      <w:proofErr w:type="spellEnd"/>
      <w:r w:rsidRPr="00467DB0">
        <w:t xml:space="preserve"> økonomi. Imidlertid synes ad hoc-målinger og </w:t>
      </w:r>
      <w:proofErr w:type="gramStart"/>
      <w:r w:rsidRPr="00467DB0">
        <w:t>case</w:t>
      </w:r>
      <w:proofErr w:type="gramEnd"/>
      <w:r w:rsidRPr="00467DB0">
        <w:t xml:space="preserve"> studies at dominere billedet i dag. </w:t>
      </w:r>
      <w:proofErr w:type="spellStart"/>
      <w:r w:rsidRPr="00467DB0">
        <w:t>Kommissionen</w:t>
      </w:r>
      <w:proofErr w:type="spellEnd"/>
      <w:r w:rsidRPr="00467DB0">
        <w:t xml:space="preserve"> (Eurostat) bør </w:t>
      </w:r>
      <w:proofErr w:type="spellStart"/>
      <w:r w:rsidRPr="00467DB0">
        <w:t>fastlægge</w:t>
      </w:r>
      <w:proofErr w:type="spellEnd"/>
      <w:r w:rsidRPr="00467DB0">
        <w:t xml:space="preserve"> relevante statistiske målinger og indikatorer, som kan danne </w:t>
      </w:r>
      <w:proofErr w:type="spellStart"/>
      <w:r w:rsidRPr="00467DB0">
        <w:t>grundlag</w:t>
      </w:r>
      <w:proofErr w:type="spellEnd"/>
      <w:r w:rsidRPr="00467DB0">
        <w:t xml:space="preserve"> for </w:t>
      </w:r>
      <w:proofErr w:type="spellStart"/>
      <w:r w:rsidRPr="00467DB0">
        <w:t>overvågning</w:t>
      </w:r>
      <w:proofErr w:type="spellEnd"/>
      <w:r w:rsidRPr="00467DB0">
        <w:t xml:space="preserve"> </w:t>
      </w:r>
      <w:proofErr w:type="spellStart"/>
      <w:r w:rsidRPr="00467DB0">
        <w:t>af</w:t>
      </w:r>
      <w:proofErr w:type="spellEnd"/>
      <w:r w:rsidRPr="00467DB0">
        <w:t xml:space="preserve"> virk</w:t>
      </w:r>
      <w:r w:rsidRPr="00467DB0">
        <w:t xml:space="preserve">ningen </w:t>
      </w:r>
      <w:proofErr w:type="spellStart"/>
      <w:r w:rsidRPr="00467DB0">
        <w:t>af</w:t>
      </w:r>
      <w:proofErr w:type="spellEnd"/>
      <w:r w:rsidRPr="00467DB0">
        <w:t xml:space="preserve"> Unionens </w:t>
      </w:r>
      <w:proofErr w:type="spellStart"/>
      <w:r w:rsidRPr="00467DB0">
        <w:t>rumaktiviteter</w:t>
      </w:r>
      <w:proofErr w:type="spellEnd"/>
      <w:r w:rsidRPr="00467DB0">
        <w:t xml:space="preserve"> på en systematisk og autoritativ </w:t>
      </w:r>
      <w:proofErr w:type="spellStart"/>
      <w:r w:rsidRPr="00467DB0">
        <w:t>måde</w:t>
      </w:r>
      <w:proofErr w:type="spellEnd"/>
      <w:r w:rsidRPr="00467DB0">
        <w:t>.</w:t>
      </w:r>
    </w:p>
    <w:p w14:paraId="487B0516" w14:textId="77777777" w:rsidR="00000000" w:rsidRPr="00467DB0" w:rsidRDefault="00693D67" w:rsidP="00467DB0">
      <w:pPr>
        <w:pStyle w:val="friliste"/>
      </w:pPr>
      <w:r w:rsidRPr="00467DB0">
        <w:t>(122)</w:t>
      </w:r>
      <w:r w:rsidRPr="00467DB0">
        <w:tab/>
        <w:t xml:space="preserve">Europa-Parlamentet og Rådet bør straks underrettes om </w:t>
      </w:r>
      <w:proofErr w:type="spellStart"/>
      <w:r w:rsidRPr="00467DB0">
        <w:t>arbejdsprogrammerne</w:t>
      </w:r>
      <w:proofErr w:type="spellEnd"/>
      <w:r w:rsidRPr="00467DB0">
        <w:t>.</w:t>
      </w:r>
    </w:p>
    <w:p w14:paraId="327EE9A5" w14:textId="77777777" w:rsidR="00000000" w:rsidRPr="00467DB0" w:rsidRDefault="00693D67" w:rsidP="00467DB0">
      <w:pPr>
        <w:pStyle w:val="friliste"/>
      </w:pPr>
      <w:r w:rsidRPr="00467DB0">
        <w:t>(123)</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bør </w:t>
      </w:r>
      <w:proofErr w:type="spellStart"/>
      <w:r w:rsidRPr="00467DB0">
        <w:t>Kommissionen</w:t>
      </w:r>
      <w:proofErr w:type="spellEnd"/>
      <w:r w:rsidRPr="00467DB0">
        <w:t xml:space="preserve"> </w:t>
      </w:r>
      <w:proofErr w:type="spellStart"/>
      <w:r w:rsidRPr="00467DB0">
        <w:t>tillæ</w:t>
      </w:r>
      <w:r w:rsidRPr="00467DB0">
        <w:t>gges</w:t>
      </w:r>
      <w:proofErr w:type="spellEnd"/>
      <w:r w:rsidRPr="00467DB0">
        <w:t xml:space="preserve"> </w:t>
      </w:r>
      <w:proofErr w:type="spellStart"/>
      <w:r w:rsidRPr="00467DB0">
        <w:t>gennemførelsesbeføjelser</w:t>
      </w:r>
      <w:proofErr w:type="spellEnd"/>
      <w:r w:rsidRPr="00467DB0">
        <w:t xml:space="preserve"> vedrørende omfordeling </w:t>
      </w:r>
      <w:proofErr w:type="spellStart"/>
      <w:r w:rsidRPr="00467DB0">
        <w:t>af</w:t>
      </w:r>
      <w:proofErr w:type="spellEnd"/>
      <w:r w:rsidRPr="00467DB0">
        <w:t xml:space="preserve"> midler </w:t>
      </w:r>
      <w:proofErr w:type="spellStart"/>
      <w:r w:rsidRPr="00467DB0">
        <w:t>mellem</w:t>
      </w:r>
      <w:proofErr w:type="spellEnd"/>
      <w:r w:rsidRPr="00467DB0">
        <w:t xml:space="preserve"> </w:t>
      </w:r>
      <w:proofErr w:type="spellStart"/>
      <w:r w:rsidRPr="00467DB0">
        <w:t>udgiftskategorierne</w:t>
      </w:r>
      <w:proofErr w:type="spellEnd"/>
      <w:r w:rsidRPr="00467DB0">
        <w:t xml:space="preserve"> i programmets </w:t>
      </w:r>
      <w:proofErr w:type="spellStart"/>
      <w:r w:rsidRPr="00467DB0">
        <w:t>budget</w:t>
      </w:r>
      <w:proofErr w:type="spellEnd"/>
      <w:r w:rsidRPr="00467DB0">
        <w:t xml:space="preserve">, vedtagelse </w:t>
      </w:r>
      <w:proofErr w:type="spellStart"/>
      <w:r w:rsidRPr="00467DB0">
        <w:t>af</w:t>
      </w:r>
      <w:proofErr w:type="spellEnd"/>
      <w:r w:rsidRPr="00467DB0">
        <w:t xml:space="preserve"> </w:t>
      </w:r>
      <w:proofErr w:type="spellStart"/>
      <w:r w:rsidRPr="00467DB0">
        <w:t>bidragsafgørelser</w:t>
      </w:r>
      <w:proofErr w:type="spellEnd"/>
      <w:r w:rsidRPr="00467DB0">
        <w:t xml:space="preserve">, der vedrører </w:t>
      </w:r>
      <w:proofErr w:type="spellStart"/>
      <w:r w:rsidRPr="00467DB0">
        <w:t>bidragsaftalerne</w:t>
      </w:r>
      <w:proofErr w:type="spellEnd"/>
      <w:r w:rsidRPr="00467DB0">
        <w:t xml:space="preserve">, </w:t>
      </w:r>
      <w:proofErr w:type="spellStart"/>
      <w:r w:rsidRPr="00467DB0">
        <w:t>fastsættelse</w:t>
      </w:r>
      <w:proofErr w:type="spellEnd"/>
      <w:r w:rsidRPr="00467DB0">
        <w:t xml:space="preserve"> </w:t>
      </w:r>
      <w:proofErr w:type="spellStart"/>
      <w:r w:rsidRPr="00467DB0">
        <w:t>af</w:t>
      </w:r>
      <w:proofErr w:type="spellEnd"/>
      <w:r w:rsidRPr="00467DB0">
        <w:t xml:space="preserve"> de tekniske og </w:t>
      </w:r>
      <w:proofErr w:type="spellStart"/>
      <w:r w:rsidRPr="00467DB0">
        <w:t>operationelle</w:t>
      </w:r>
      <w:proofErr w:type="spellEnd"/>
      <w:r w:rsidRPr="00467DB0">
        <w:t xml:space="preserve"> krav, som er nødvendige for </w:t>
      </w:r>
      <w:proofErr w:type="spellStart"/>
      <w:r w:rsidRPr="00467DB0">
        <w:t>gennemf</w:t>
      </w:r>
      <w:r w:rsidRPr="00467DB0">
        <w:t>ørelsen</w:t>
      </w:r>
      <w:proofErr w:type="spellEnd"/>
      <w:r w:rsidRPr="00467DB0">
        <w:t xml:space="preserve"> og </w:t>
      </w:r>
      <w:proofErr w:type="spellStart"/>
      <w:r w:rsidRPr="00467DB0">
        <w:t>udviklingen</w:t>
      </w:r>
      <w:proofErr w:type="spellEnd"/>
      <w:r w:rsidRPr="00467DB0">
        <w:t xml:space="preserve"> </w:t>
      </w:r>
      <w:proofErr w:type="spellStart"/>
      <w:r w:rsidRPr="00467DB0">
        <w:t>af</w:t>
      </w:r>
      <w:proofErr w:type="spellEnd"/>
      <w:r w:rsidRPr="00467DB0">
        <w:t xml:space="preserve"> programmets komponenter og </w:t>
      </w:r>
      <w:proofErr w:type="spellStart"/>
      <w:r w:rsidRPr="00467DB0">
        <w:t>af</w:t>
      </w:r>
      <w:proofErr w:type="spellEnd"/>
      <w:r w:rsidRPr="00467DB0">
        <w:t xml:space="preserve"> de tjenester, de leverer, </w:t>
      </w:r>
      <w:proofErr w:type="spellStart"/>
      <w:r w:rsidRPr="00467DB0">
        <w:t>afgørelse</w:t>
      </w:r>
      <w:proofErr w:type="spellEnd"/>
      <w:r w:rsidRPr="00467DB0">
        <w:t xml:space="preserve"> om den finansielle </w:t>
      </w:r>
      <w:proofErr w:type="spellStart"/>
      <w:r w:rsidRPr="00467DB0">
        <w:t>partnerskabsrammeaftale</w:t>
      </w:r>
      <w:proofErr w:type="spellEnd"/>
      <w:r w:rsidRPr="00467DB0">
        <w:t xml:space="preserve">, vedtagelse </w:t>
      </w:r>
      <w:proofErr w:type="spellStart"/>
      <w:r w:rsidRPr="00467DB0">
        <w:t>af</w:t>
      </w:r>
      <w:proofErr w:type="spellEnd"/>
      <w:r w:rsidRPr="00467DB0">
        <w:t xml:space="preserve"> de nødvendige foranstaltninger med </w:t>
      </w:r>
      <w:proofErr w:type="spellStart"/>
      <w:r w:rsidRPr="00467DB0">
        <w:t>henblik</w:t>
      </w:r>
      <w:proofErr w:type="spellEnd"/>
      <w:r w:rsidRPr="00467DB0">
        <w:t xml:space="preserve"> på et velfungerende Galileos og EGNOS og deres </w:t>
      </w:r>
      <w:proofErr w:type="spellStart"/>
      <w:r w:rsidRPr="00467DB0">
        <w:t>udbredelse</w:t>
      </w:r>
      <w:proofErr w:type="spellEnd"/>
      <w:r w:rsidRPr="00467DB0">
        <w:t xml:space="preserve"> på ma</w:t>
      </w:r>
      <w:r w:rsidRPr="00467DB0">
        <w:t xml:space="preserve">rkedet, vedtagelse </w:t>
      </w:r>
      <w:proofErr w:type="spellStart"/>
      <w:r w:rsidRPr="00467DB0">
        <w:t>af</w:t>
      </w:r>
      <w:proofErr w:type="spellEnd"/>
      <w:r w:rsidRPr="00467DB0">
        <w:t xml:space="preserve"> de nærmere bestemmelser vedrørende adgangen til SST-tjenester og relevante </w:t>
      </w:r>
      <w:proofErr w:type="spellStart"/>
      <w:r w:rsidRPr="00467DB0">
        <w:t>procedurer</w:t>
      </w:r>
      <w:proofErr w:type="spellEnd"/>
      <w:r w:rsidRPr="00467DB0">
        <w:t xml:space="preserve">, vedtagelse </w:t>
      </w:r>
      <w:proofErr w:type="spellStart"/>
      <w:r w:rsidRPr="00467DB0">
        <w:t>af</w:t>
      </w:r>
      <w:proofErr w:type="spellEnd"/>
      <w:r w:rsidRPr="00467DB0">
        <w:t xml:space="preserve"> den flerårige plan og </w:t>
      </w:r>
      <w:proofErr w:type="spellStart"/>
      <w:r w:rsidRPr="00467DB0">
        <w:t>nøglepræstationsindikatorerne</w:t>
      </w:r>
      <w:proofErr w:type="spellEnd"/>
      <w:r w:rsidRPr="00467DB0">
        <w:t xml:space="preserve"> for </w:t>
      </w:r>
      <w:proofErr w:type="spellStart"/>
      <w:r w:rsidRPr="00467DB0">
        <w:t>udvikling</w:t>
      </w:r>
      <w:proofErr w:type="spellEnd"/>
      <w:r w:rsidRPr="00467DB0">
        <w:t xml:space="preserve"> </w:t>
      </w:r>
      <w:proofErr w:type="spellStart"/>
      <w:r w:rsidRPr="00467DB0">
        <w:t>af</w:t>
      </w:r>
      <w:proofErr w:type="spellEnd"/>
      <w:r w:rsidRPr="00467DB0">
        <w:t xml:space="preserve"> EU-SST-tjenester, vedtagelse </w:t>
      </w:r>
      <w:proofErr w:type="spellStart"/>
      <w:r w:rsidRPr="00467DB0">
        <w:t>af</w:t>
      </w:r>
      <w:proofErr w:type="spellEnd"/>
      <w:r w:rsidRPr="00467DB0">
        <w:t xml:space="preserve"> de nærmere bestemmelser vedrøren</w:t>
      </w:r>
      <w:r w:rsidRPr="00467DB0">
        <w:t xml:space="preserve">de den organisatoriske ramme for </w:t>
      </w:r>
      <w:proofErr w:type="spellStart"/>
      <w:r w:rsidRPr="00467DB0">
        <w:t>medlemsstaternes</w:t>
      </w:r>
      <w:proofErr w:type="spellEnd"/>
      <w:r w:rsidRPr="00467DB0">
        <w:t xml:space="preserve"> deltagelse i SST-delkomponenten, </w:t>
      </w:r>
      <w:proofErr w:type="spellStart"/>
      <w:r w:rsidRPr="00467DB0">
        <w:t>udvælgelse</w:t>
      </w:r>
      <w:proofErr w:type="spellEnd"/>
      <w:r w:rsidRPr="00467DB0">
        <w:t xml:space="preserve"> </w:t>
      </w:r>
      <w:proofErr w:type="spellStart"/>
      <w:r w:rsidRPr="00467DB0">
        <w:t>af</w:t>
      </w:r>
      <w:proofErr w:type="spellEnd"/>
      <w:r w:rsidRPr="00467DB0">
        <w:t xml:space="preserve"> SWE-tjenester og vedtagelse </w:t>
      </w:r>
      <w:proofErr w:type="spellStart"/>
      <w:r w:rsidRPr="00467DB0">
        <w:t>af</w:t>
      </w:r>
      <w:proofErr w:type="spellEnd"/>
      <w:r w:rsidRPr="00467DB0">
        <w:t xml:space="preserve"> </w:t>
      </w:r>
      <w:proofErr w:type="spellStart"/>
      <w:r w:rsidRPr="00467DB0">
        <w:t>arbejdsprogrammerne</w:t>
      </w:r>
      <w:proofErr w:type="spellEnd"/>
      <w:r w:rsidRPr="00467DB0">
        <w:t xml:space="preserve">. Disse </w:t>
      </w:r>
      <w:proofErr w:type="spellStart"/>
      <w:r w:rsidRPr="00467DB0">
        <w:t>beføjelser</w:t>
      </w:r>
      <w:proofErr w:type="spellEnd"/>
      <w:r w:rsidRPr="00467DB0">
        <w:t xml:space="preserve"> bør udøves i overensstemmelse med forordning (EU) nr. 182/2011. </w:t>
      </w:r>
      <w:proofErr w:type="spellStart"/>
      <w:r w:rsidRPr="00467DB0">
        <w:t>Kommissionen</w:t>
      </w:r>
      <w:proofErr w:type="spellEnd"/>
      <w:r w:rsidRPr="00467DB0">
        <w:t xml:space="preserve"> bør bistås </w:t>
      </w:r>
      <w:proofErr w:type="spellStart"/>
      <w:r w:rsidRPr="00467DB0">
        <w:t>af</w:t>
      </w:r>
      <w:proofErr w:type="spellEnd"/>
      <w:r w:rsidRPr="00467DB0">
        <w:t xml:space="preserve"> </w:t>
      </w:r>
      <w:proofErr w:type="spellStart"/>
      <w:r w:rsidRPr="00467DB0">
        <w:t>programudvalget</w:t>
      </w:r>
      <w:proofErr w:type="spellEnd"/>
      <w:r w:rsidRPr="00467DB0">
        <w:t xml:space="preserve">, der bør mødes i en bestemt </w:t>
      </w:r>
      <w:proofErr w:type="spellStart"/>
      <w:r w:rsidRPr="00467DB0">
        <w:t>sammensætning</w:t>
      </w:r>
      <w:proofErr w:type="spellEnd"/>
      <w:r w:rsidRPr="00467DB0">
        <w:t>.</w:t>
      </w:r>
    </w:p>
    <w:p w14:paraId="49D631D0" w14:textId="77777777" w:rsidR="00000000" w:rsidRPr="00467DB0" w:rsidRDefault="00693D67" w:rsidP="00467DB0">
      <w:pPr>
        <w:pStyle w:val="friliste"/>
      </w:pPr>
      <w:r w:rsidRPr="00467DB0">
        <w:t>(124)</w:t>
      </w:r>
      <w:r w:rsidRPr="00467DB0">
        <w:tab/>
      </w:r>
      <w:proofErr w:type="spellStart"/>
      <w:r w:rsidRPr="00467DB0">
        <w:t>Eftersom</w:t>
      </w:r>
      <w:proofErr w:type="spellEnd"/>
      <w:r w:rsidRPr="00467DB0">
        <w:t xml:space="preserve"> programmets komponenter er </w:t>
      </w:r>
      <w:proofErr w:type="spellStart"/>
      <w:r w:rsidRPr="00467DB0">
        <w:t>brugerdrevne</w:t>
      </w:r>
      <w:proofErr w:type="spellEnd"/>
      <w:r w:rsidRPr="00467DB0">
        <w:t xml:space="preserve">, </w:t>
      </w:r>
      <w:proofErr w:type="spellStart"/>
      <w:r w:rsidRPr="00467DB0">
        <w:t>kræver</w:t>
      </w:r>
      <w:proofErr w:type="spellEnd"/>
      <w:r w:rsidRPr="00467DB0">
        <w:t xml:space="preserve"> </w:t>
      </w:r>
      <w:proofErr w:type="gramStart"/>
      <w:r w:rsidRPr="00467DB0">
        <w:t>anvendelsen</w:t>
      </w:r>
      <w:proofErr w:type="gramEnd"/>
      <w:r w:rsidRPr="00467DB0">
        <w:t xml:space="preserve"> og </w:t>
      </w:r>
      <w:proofErr w:type="spellStart"/>
      <w:r w:rsidRPr="00467DB0">
        <w:t>udviklingen</w:t>
      </w:r>
      <w:proofErr w:type="spellEnd"/>
      <w:r w:rsidRPr="00467DB0">
        <w:t xml:space="preserve"> </w:t>
      </w:r>
      <w:proofErr w:type="spellStart"/>
      <w:r w:rsidRPr="00467DB0">
        <w:t>af</w:t>
      </w:r>
      <w:proofErr w:type="spellEnd"/>
      <w:r w:rsidRPr="00467DB0">
        <w:t xml:space="preserve"> disse vedvarende og effektiv </w:t>
      </w:r>
      <w:proofErr w:type="spellStart"/>
      <w:r w:rsidRPr="00467DB0">
        <w:t>inddragelse</w:t>
      </w:r>
      <w:proofErr w:type="spellEnd"/>
      <w:r w:rsidRPr="00467DB0">
        <w:t xml:space="preserve"> </w:t>
      </w:r>
      <w:proofErr w:type="spellStart"/>
      <w:r w:rsidRPr="00467DB0">
        <w:t>af</w:t>
      </w:r>
      <w:proofErr w:type="spellEnd"/>
      <w:r w:rsidRPr="00467DB0">
        <w:t xml:space="preserve"> </w:t>
      </w:r>
      <w:proofErr w:type="spellStart"/>
      <w:r w:rsidRPr="00467DB0">
        <w:t>brugerne</w:t>
      </w:r>
      <w:proofErr w:type="spellEnd"/>
      <w:r w:rsidRPr="00467DB0">
        <w:t xml:space="preserve">, navnlig </w:t>
      </w:r>
      <w:proofErr w:type="spellStart"/>
      <w:r w:rsidRPr="00467DB0">
        <w:t>hvad</w:t>
      </w:r>
      <w:proofErr w:type="spellEnd"/>
      <w:r w:rsidRPr="00467DB0">
        <w:t xml:space="preserve"> angår </w:t>
      </w:r>
      <w:proofErr w:type="spellStart"/>
      <w:r w:rsidRPr="00467DB0">
        <w:t>definitionen</w:t>
      </w:r>
      <w:proofErr w:type="spellEnd"/>
      <w:r w:rsidRPr="00467DB0">
        <w:t xml:space="preserve"> og valideringen </w:t>
      </w:r>
      <w:proofErr w:type="spellStart"/>
      <w:r w:rsidRPr="00467DB0">
        <w:t>a</w:t>
      </w:r>
      <w:r w:rsidRPr="00467DB0">
        <w:t>f</w:t>
      </w:r>
      <w:proofErr w:type="spellEnd"/>
      <w:r w:rsidRPr="00467DB0">
        <w:t xml:space="preserve"> kravene til tjenester. For at </w:t>
      </w:r>
      <w:proofErr w:type="spellStart"/>
      <w:r w:rsidRPr="00467DB0">
        <w:t>øge</w:t>
      </w:r>
      <w:proofErr w:type="spellEnd"/>
      <w:r w:rsidRPr="00467DB0">
        <w:t xml:space="preserve"> </w:t>
      </w:r>
      <w:proofErr w:type="spellStart"/>
      <w:r w:rsidRPr="00467DB0">
        <w:t>brugerværdien</w:t>
      </w:r>
      <w:proofErr w:type="spellEnd"/>
      <w:r w:rsidRPr="00467DB0">
        <w:t xml:space="preserve"> bør bidrag fra </w:t>
      </w:r>
      <w:proofErr w:type="spellStart"/>
      <w:r w:rsidRPr="00467DB0">
        <w:t>brugerne</w:t>
      </w:r>
      <w:proofErr w:type="spellEnd"/>
      <w:r w:rsidRPr="00467DB0">
        <w:t xml:space="preserve"> aktivt </w:t>
      </w:r>
      <w:proofErr w:type="spellStart"/>
      <w:r w:rsidRPr="00467DB0">
        <w:t>søges</w:t>
      </w:r>
      <w:proofErr w:type="spellEnd"/>
      <w:r w:rsidRPr="00467DB0">
        <w:t xml:space="preserve"> </w:t>
      </w:r>
      <w:proofErr w:type="spellStart"/>
      <w:r w:rsidRPr="00467DB0">
        <w:t>indhentet</w:t>
      </w:r>
      <w:proofErr w:type="spellEnd"/>
      <w:r w:rsidRPr="00467DB0">
        <w:t xml:space="preserve"> </w:t>
      </w:r>
      <w:proofErr w:type="spellStart"/>
      <w:r w:rsidRPr="00467DB0">
        <w:t>gennem</w:t>
      </w:r>
      <w:proofErr w:type="spellEnd"/>
      <w:r w:rsidRPr="00467DB0">
        <w:t xml:space="preserve"> </w:t>
      </w:r>
      <w:proofErr w:type="spellStart"/>
      <w:r w:rsidRPr="00467DB0">
        <w:t>regelmæssige</w:t>
      </w:r>
      <w:proofErr w:type="spellEnd"/>
      <w:r w:rsidRPr="00467DB0">
        <w:t xml:space="preserve"> høringer </w:t>
      </w:r>
      <w:proofErr w:type="spellStart"/>
      <w:r w:rsidRPr="00467DB0">
        <w:t>af</w:t>
      </w:r>
      <w:proofErr w:type="spellEnd"/>
      <w:r w:rsidRPr="00467DB0">
        <w:t xml:space="preserve"> </w:t>
      </w:r>
      <w:proofErr w:type="spellStart"/>
      <w:r w:rsidRPr="00467DB0">
        <w:t>slutbrugerne</w:t>
      </w:r>
      <w:proofErr w:type="spellEnd"/>
      <w:r w:rsidRPr="00467DB0">
        <w:t xml:space="preserve"> i </w:t>
      </w:r>
      <w:proofErr w:type="spellStart"/>
      <w:r w:rsidRPr="00467DB0">
        <w:t>medlemsstaternes</w:t>
      </w:r>
      <w:proofErr w:type="spellEnd"/>
      <w:r w:rsidRPr="00467DB0">
        <w:t xml:space="preserve"> offentlige og private sektorer samt, hvor det er relevant, </w:t>
      </w:r>
      <w:proofErr w:type="spellStart"/>
      <w:r w:rsidRPr="00467DB0">
        <w:t>af</w:t>
      </w:r>
      <w:proofErr w:type="spellEnd"/>
      <w:r w:rsidRPr="00467DB0">
        <w:t xml:space="preserve"> </w:t>
      </w:r>
      <w:proofErr w:type="spellStart"/>
      <w:r w:rsidRPr="00467DB0">
        <w:t>internationale</w:t>
      </w:r>
      <w:proofErr w:type="spellEnd"/>
      <w:r w:rsidRPr="00467DB0">
        <w:t xml:space="preserve"> </w:t>
      </w:r>
      <w:proofErr w:type="spellStart"/>
      <w:r w:rsidRPr="00467DB0">
        <w:t>organisationer</w:t>
      </w:r>
      <w:proofErr w:type="spellEnd"/>
      <w:r w:rsidRPr="00467DB0">
        <w:t>. Me</w:t>
      </w:r>
      <w:r w:rsidRPr="00467DB0">
        <w:t xml:space="preserve">d </w:t>
      </w:r>
      <w:proofErr w:type="spellStart"/>
      <w:r w:rsidRPr="00467DB0">
        <w:t>henblik</w:t>
      </w:r>
      <w:proofErr w:type="spellEnd"/>
      <w:r w:rsidRPr="00467DB0">
        <w:t xml:space="preserve"> herpå bør der </w:t>
      </w:r>
      <w:proofErr w:type="spellStart"/>
      <w:r w:rsidRPr="00467DB0">
        <w:t>nedsættes</w:t>
      </w:r>
      <w:proofErr w:type="spellEnd"/>
      <w:r w:rsidRPr="00467DB0">
        <w:t xml:space="preserve"> en </w:t>
      </w:r>
      <w:proofErr w:type="spellStart"/>
      <w:r w:rsidRPr="00467DB0">
        <w:t>arbejdsgruppe</w:t>
      </w:r>
      <w:proofErr w:type="spellEnd"/>
      <w:r w:rsidRPr="00467DB0">
        <w:t xml:space="preserve"> ("</w:t>
      </w:r>
      <w:proofErr w:type="spellStart"/>
      <w:r w:rsidRPr="00467DB0">
        <w:t>brugerforum</w:t>
      </w:r>
      <w:proofErr w:type="spellEnd"/>
      <w:r w:rsidRPr="00467DB0">
        <w:t xml:space="preserve">"), der skal bistå </w:t>
      </w:r>
      <w:proofErr w:type="spellStart"/>
      <w:r w:rsidRPr="00467DB0">
        <w:t>programudvalget</w:t>
      </w:r>
      <w:proofErr w:type="spellEnd"/>
      <w:r w:rsidRPr="00467DB0">
        <w:t xml:space="preserve"> med at </w:t>
      </w:r>
      <w:proofErr w:type="spellStart"/>
      <w:r w:rsidRPr="00467DB0">
        <w:t>identificere</w:t>
      </w:r>
      <w:proofErr w:type="spellEnd"/>
      <w:r w:rsidRPr="00467DB0">
        <w:t xml:space="preserve"> </w:t>
      </w:r>
      <w:proofErr w:type="spellStart"/>
      <w:r w:rsidRPr="00467DB0">
        <w:t>brugernes</w:t>
      </w:r>
      <w:proofErr w:type="spellEnd"/>
      <w:r w:rsidRPr="00467DB0">
        <w:t xml:space="preserve"> krav, </w:t>
      </w:r>
      <w:proofErr w:type="spellStart"/>
      <w:r w:rsidRPr="00467DB0">
        <w:t>verificere</w:t>
      </w:r>
      <w:proofErr w:type="spellEnd"/>
      <w:r w:rsidRPr="00467DB0">
        <w:t xml:space="preserve">, om </w:t>
      </w:r>
      <w:proofErr w:type="spellStart"/>
      <w:r w:rsidRPr="00467DB0">
        <w:t>tjenesterne</w:t>
      </w:r>
      <w:proofErr w:type="spellEnd"/>
      <w:r w:rsidRPr="00467DB0">
        <w:t xml:space="preserve"> </w:t>
      </w:r>
      <w:proofErr w:type="spellStart"/>
      <w:r w:rsidRPr="00467DB0">
        <w:t>opfylder</w:t>
      </w:r>
      <w:proofErr w:type="spellEnd"/>
      <w:r w:rsidRPr="00467DB0">
        <w:t xml:space="preserve"> kravene, og </w:t>
      </w:r>
      <w:proofErr w:type="spellStart"/>
      <w:r w:rsidRPr="00467DB0">
        <w:t>identificere</w:t>
      </w:r>
      <w:proofErr w:type="spellEnd"/>
      <w:r w:rsidRPr="00467DB0">
        <w:t xml:space="preserve"> mangler i forbindelse med de </w:t>
      </w:r>
      <w:proofErr w:type="spellStart"/>
      <w:r w:rsidRPr="00467DB0">
        <w:t>leverede</w:t>
      </w:r>
      <w:proofErr w:type="spellEnd"/>
      <w:r w:rsidRPr="00467DB0">
        <w:t xml:space="preserve"> tjenester. </w:t>
      </w:r>
      <w:proofErr w:type="spellStart"/>
      <w:r w:rsidRPr="00467DB0">
        <w:t>Programudva</w:t>
      </w:r>
      <w:r w:rsidRPr="00467DB0">
        <w:t>lgets</w:t>
      </w:r>
      <w:proofErr w:type="spellEnd"/>
      <w:r w:rsidRPr="00467DB0">
        <w:t xml:space="preserve"> forretningsorden bør </w:t>
      </w:r>
      <w:proofErr w:type="spellStart"/>
      <w:r w:rsidRPr="00467DB0">
        <w:t>indeholde</w:t>
      </w:r>
      <w:proofErr w:type="spellEnd"/>
      <w:r w:rsidRPr="00467DB0">
        <w:t xml:space="preserve"> bestemmelser om organiseringen </w:t>
      </w:r>
      <w:proofErr w:type="spellStart"/>
      <w:r w:rsidRPr="00467DB0">
        <w:t>af</w:t>
      </w:r>
      <w:proofErr w:type="spellEnd"/>
      <w:r w:rsidRPr="00467DB0">
        <w:t xml:space="preserve"> denne </w:t>
      </w:r>
      <w:proofErr w:type="spellStart"/>
      <w:r w:rsidRPr="00467DB0">
        <w:t>arbejdsgruppe</w:t>
      </w:r>
      <w:proofErr w:type="spellEnd"/>
      <w:r w:rsidRPr="00467DB0">
        <w:t xml:space="preserve"> med </w:t>
      </w:r>
      <w:proofErr w:type="spellStart"/>
      <w:r w:rsidRPr="00467DB0">
        <w:t>henblik</w:t>
      </w:r>
      <w:proofErr w:type="spellEnd"/>
      <w:r w:rsidRPr="00467DB0">
        <w:t xml:space="preserve"> på at </w:t>
      </w:r>
      <w:proofErr w:type="spellStart"/>
      <w:r w:rsidRPr="00467DB0">
        <w:t>tage</w:t>
      </w:r>
      <w:proofErr w:type="spellEnd"/>
      <w:r w:rsidRPr="00467DB0">
        <w:t xml:space="preserve"> </w:t>
      </w:r>
      <w:proofErr w:type="spellStart"/>
      <w:r w:rsidRPr="00467DB0">
        <w:t>højde</w:t>
      </w:r>
      <w:proofErr w:type="spellEnd"/>
      <w:r w:rsidRPr="00467DB0">
        <w:t xml:space="preserve"> for de særlige forhold, der </w:t>
      </w:r>
      <w:proofErr w:type="spellStart"/>
      <w:r w:rsidRPr="00467DB0">
        <w:t>gør</w:t>
      </w:r>
      <w:proofErr w:type="spellEnd"/>
      <w:r w:rsidRPr="00467DB0">
        <w:t xml:space="preserve"> sig </w:t>
      </w:r>
      <w:proofErr w:type="spellStart"/>
      <w:r w:rsidRPr="00467DB0">
        <w:t>gældende</w:t>
      </w:r>
      <w:proofErr w:type="spellEnd"/>
      <w:r w:rsidRPr="00467DB0">
        <w:t xml:space="preserve"> for hver enkelt </w:t>
      </w:r>
      <w:proofErr w:type="spellStart"/>
      <w:r w:rsidRPr="00467DB0">
        <w:t>af</w:t>
      </w:r>
      <w:proofErr w:type="spellEnd"/>
      <w:r w:rsidRPr="00467DB0">
        <w:t xml:space="preserve"> programmets komponenter og hver tjeneste </w:t>
      </w:r>
      <w:proofErr w:type="spellStart"/>
      <w:r w:rsidRPr="00467DB0">
        <w:t>inden</w:t>
      </w:r>
      <w:proofErr w:type="spellEnd"/>
      <w:r w:rsidRPr="00467DB0">
        <w:t xml:space="preserve"> for </w:t>
      </w:r>
      <w:proofErr w:type="spellStart"/>
      <w:r w:rsidRPr="00467DB0">
        <w:t>komponenterne</w:t>
      </w:r>
      <w:proofErr w:type="spellEnd"/>
      <w:r w:rsidRPr="00467DB0">
        <w:t>. Når de</w:t>
      </w:r>
      <w:r w:rsidRPr="00467DB0">
        <w:t xml:space="preserve">t er </w:t>
      </w:r>
      <w:proofErr w:type="spellStart"/>
      <w:r w:rsidRPr="00467DB0">
        <w:t>muligt</w:t>
      </w:r>
      <w:proofErr w:type="spellEnd"/>
      <w:r w:rsidRPr="00467DB0">
        <w:t xml:space="preserve">, bør </w:t>
      </w:r>
      <w:proofErr w:type="spellStart"/>
      <w:r w:rsidRPr="00467DB0">
        <w:t>medlemsstaterne</w:t>
      </w:r>
      <w:proofErr w:type="spellEnd"/>
      <w:r w:rsidRPr="00467DB0">
        <w:t xml:space="preserve"> </w:t>
      </w:r>
      <w:proofErr w:type="spellStart"/>
      <w:r w:rsidRPr="00467DB0">
        <w:t>bidrage</w:t>
      </w:r>
      <w:proofErr w:type="spellEnd"/>
      <w:r w:rsidRPr="00467DB0">
        <w:t xml:space="preserve"> til </w:t>
      </w:r>
      <w:proofErr w:type="spellStart"/>
      <w:r w:rsidRPr="00467DB0">
        <w:t>bru</w:t>
      </w:r>
      <w:r w:rsidRPr="00467DB0">
        <w:lastRenderedPageBreak/>
        <w:t>gerforummet</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en systematisk og </w:t>
      </w:r>
      <w:proofErr w:type="spellStart"/>
      <w:r w:rsidRPr="00467DB0">
        <w:t>koordineret</w:t>
      </w:r>
      <w:proofErr w:type="spellEnd"/>
      <w:r w:rsidRPr="00467DB0">
        <w:t xml:space="preserve"> høring </w:t>
      </w:r>
      <w:proofErr w:type="spellStart"/>
      <w:r w:rsidRPr="00467DB0">
        <w:t>af</w:t>
      </w:r>
      <w:proofErr w:type="spellEnd"/>
      <w:r w:rsidRPr="00467DB0">
        <w:t xml:space="preserve"> </w:t>
      </w:r>
      <w:proofErr w:type="spellStart"/>
      <w:r w:rsidRPr="00467DB0">
        <w:t>brugerne</w:t>
      </w:r>
      <w:proofErr w:type="spellEnd"/>
      <w:r w:rsidRPr="00467DB0">
        <w:t xml:space="preserve"> på </w:t>
      </w:r>
      <w:proofErr w:type="spellStart"/>
      <w:r w:rsidRPr="00467DB0">
        <w:t>nationalt</w:t>
      </w:r>
      <w:proofErr w:type="spellEnd"/>
      <w:r w:rsidRPr="00467DB0">
        <w:t xml:space="preserve"> plan.</w:t>
      </w:r>
    </w:p>
    <w:p w14:paraId="3941CE5B" w14:textId="77777777" w:rsidR="00000000" w:rsidRPr="00467DB0" w:rsidRDefault="00693D67" w:rsidP="00467DB0">
      <w:pPr>
        <w:pStyle w:val="friliste"/>
      </w:pPr>
      <w:r w:rsidRPr="00467DB0">
        <w:t>(125)</w:t>
      </w:r>
      <w:r w:rsidRPr="00467DB0">
        <w:tab/>
      </w:r>
      <w:proofErr w:type="spellStart"/>
      <w:r w:rsidRPr="00467DB0">
        <w:t>Eftersom</w:t>
      </w:r>
      <w:proofErr w:type="spellEnd"/>
      <w:r w:rsidRPr="00467DB0">
        <w:t xml:space="preserve"> god offentlig styring </w:t>
      </w:r>
      <w:proofErr w:type="spellStart"/>
      <w:r w:rsidRPr="00467DB0">
        <w:t>kræver</w:t>
      </w:r>
      <w:proofErr w:type="spellEnd"/>
      <w:r w:rsidRPr="00467DB0">
        <w:t xml:space="preserve"> en ensartet forvaltning </w:t>
      </w:r>
      <w:proofErr w:type="spellStart"/>
      <w:r w:rsidRPr="00467DB0">
        <w:t>af</w:t>
      </w:r>
      <w:proofErr w:type="spellEnd"/>
      <w:r w:rsidRPr="00467DB0">
        <w:t xml:space="preserve"> programmet, en hurtigere </w:t>
      </w:r>
      <w:proofErr w:type="spellStart"/>
      <w:r w:rsidRPr="00467DB0">
        <w:t>beslutningsproces</w:t>
      </w:r>
      <w:proofErr w:type="spellEnd"/>
      <w:r w:rsidRPr="00467DB0">
        <w:t xml:space="preserve"> og </w:t>
      </w:r>
      <w:proofErr w:type="spellStart"/>
      <w:r w:rsidRPr="00467DB0">
        <w:t>lige</w:t>
      </w:r>
      <w:proofErr w:type="spellEnd"/>
      <w:r w:rsidRPr="00467DB0">
        <w:t xml:space="preserve"> adgang til </w:t>
      </w:r>
      <w:proofErr w:type="spellStart"/>
      <w:r w:rsidRPr="00467DB0">
        <w:t>oplysninger</w:t>
      </w:r>
      <w:proofErr w:type="spellEnd"/>
      <w:r w:rsidRPr="00467DB0">
        <w:t xml:space="preserve">, kan </w:t>
      </w:r>
      <w:proofErr w:type="spellStart"/>
      <w:r w:rsidRPr="00467DB0">
        <w:t>repræsentanter</w:t>
      </w:r>
      <w:proofErr w:type="spellEnd"/>
      <w:r w:rsidRPr="00467DB0">
        <w:t xml:space="preserve"> for </w:t>
      </w:r>
      <w:proofErr w:type="spellStart"/>
      <w:r w:rsidRPr="00467DB0">
        <w:t>enheder</w:t>
      </w:r>
      <w:proofErr w:type="spellEnd"/>
      <w:r w:rsidRPr="00467DB0">
        <w:t xml:space="preserve">, der har </w:t>
      </w:r>
      <w:proofErr w:type="spellStart"/>
      <w:r w:rsidRPr="00467DB0">
        <w:t>fået</w:t>
      </w:r>
      <w:proofErr w:type="spellEnd"/>
      <w:r w:rsidRPr="00467DB0">
        <w:t xml:space="preserve"> overdraget </w:t>
      </w:r>
      <w:proofErr w:type="spellStart"/>
      <w:r w:rsidRPr="00467DB0">
        <w:t>opgaver</w:t>
      </w:r>
      <w:proofErr w:type="spellEnd"/>
      <w:r w:rsidRPr="00467DB0">
        <w:t xml:space="preserve"> i tilknytning til programmet, eventuelt </w:t>
      </w:r>
      <w:proofErr w:type="spellStart"/>
      <w:r w:rsidRPr="00467DB0">
        <w:t>deltage</w:t>
      </w:r>
      <w:proofErr w:type="spellEnd"/>
      <w:r w:rsidRPr="00467DB0">
        <w:t xml:space="preserve"> som observatører i </w:t>
      </w:r>
      <w:proofErr w:type="spellStart"/>
      <w:r w:rsidRPr="00467DB0">
        <w:t>arbejdet</w:t>
      </w:r>
      <w:proofErr w:type="spellEnd"/>
      <w:r w:rsidRPr="00467DB0">
        <w:t xml:space="preserve"> i det </w:t>
      </w:r>
      <w:proofErr w:type="spellStart"/>
      <w:r w:rsidRPr="00467DB0">
        <w:t>programudvalg</w:t>
      </w:r>
      <w:proofErr w:type="spellEnd"/>
      <w:r w:rsidRPr="00467DB0">
        <w:t xml:space="preserve">, der er </w:t>
      </w:r>
      <w:proofErr w:type="spellStart"/>
      <w:r w:rsidRPr="00467DB0">
        <w:t>nedsat</w:t>
      </w:r>
      <w:proofErr w:type="spellEnd"/>
      <w:r w:rsidRPr="00467DB0">
        <w:t xml:space="preserve"> i medfør </w:t>
      </w:r>
      <w:proofErr w:type="spellStart"/>
      <w:r w:rsidRPr="00467DB0">
        <w:t>af</w:t>
      </w:r>
      <w:proofErr w:type="spellEnd"/>
      <w:r w:rsidRPr="00467DB0">
        <w:t xml:space="preserve"> forordning (EU) nr. 182/2011. </w:t>
      </w:r>
      <w:proofErr w:type="spellStart"/>
      <w:r w:rsidRPr="00467DB0">
        <w:t>Af</w:t>
      </w:r>
      <w:proofErr w:type="spellEnd"/>
      <w:r w:rsidRPr="00467DB0">
        <w:t xml:space="preserve"> sam</w:t>
      </w:r>
      <w:r w:rsidRPr="00467DB0">
        <w:t xml:space="preserve">me </w:t>
      </w:r>
      <w:proofErr w:type="spellStart"/>
      <w:r w:rsidRPr="00467DB0">
        <w:t>årsager</w:t>
      </w:r>
      <w:proofErr w:type="spellEnd"/>
      <w:r w:rsidRPr="00467DB0">
        <w:t xml:space="preserve"> kan </w:t>
      </w:r>
      <w:proofErr w:type="spellStart"/>
      <w:r w:rsidRPr="00467DB0">
        <w:t>repræsentanter</w:t>
      </w:r>
      <w:proofErr w:type="spellEnd"/>
      <w:r w:rsidRPr="00467DB0">
        <w:t xml:space="preserve"> for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der har </w:t>
      </w:r>
      <w:proofErr w:type="spellStart"/>
      <w:r w:rsidRPr="00467DB0">
        <w:t>indgået</w:t>
      </w:r>
      <w:proofErr w:type="spellEnd"/>
      <w:r w:rsidRPr="00467DB0">
        <w:t xml:space="preserve"> en </w:t>
      </w:r>
      <w:proofErr w:type="spellStart"/>
      <w:r w:rsidRPr="00467DB0">
        <w:t>international</w:t>
      </w:r>
      <w:proofErr w:type="spellEnd"/>
      <w:r w:rsidRPr="00467DB0">
        <w:t xml:space="preserve"> </w:t>
      </w:r>
      <w:proofErr w:type="spellStart"/>
      <w:r w:rsidRPr="00467DB0">
        <w:t>aftale</w:t>
      </w:r>
      <w:proofErr w:type="spellEnd"/>
      <w:r w:rsidRPr="00467DB0">
        <w:t xml:space="preserve"> med Unionen i </w:t>
      </w:r>
      <w:proofErr w:type="spellStart"/>
      <w:r w:rsidRPr="00467DB0">
        <w:t>relation</w:t>
      </w:r>
      <w:proofErr w:type="spellEnd"/>
      <w:r w:rsidRPr="00467DB0">
        <w:t xml:space="preserve"> til programmet eller dets komponenter eller delkomponenter, eventuelt </w:t>
      </w:r>
      <w:proofErr w:type="spellStart"/>
      <w:r w:rsidRPr="00467DB0">
        <w:t>deltage</w:t>
      </w:r>
      <w:proofErr w:type="spellEnd"/>
      <w:r w:rsidRPr="00467DB0">
        <w:t xml:space="preserve"> i </w:t>
      </w:r>
      <w:proofErr w:type="spellStart"/>
      <w:r w:rsidRPr="00467DB0">
        <w:t>programudvalgets</w:t>
      </w:r>
      <w:proofErr w:type="spellEnd"/>
      <w:r w:rsidRPr="00467DB0">
        <w:t xml:space="preserve"> </w:t>
      </w:r>
      <w:proofErr w:type="spellStart"/>
      <w:r w:rsidRPr="00467DB0">
        <w:t>arbejde</w:t>
      </w:r>
      <w:proofErr w:type="spellEnd"/>
      <w:r w:rsidRPr="00467DB0">
        <w:t xml:space="preserve"> med forb</w:t>
      </w:r>
      <w:r w:rsidRPr="00467DB0">
        <w:t xml:space="preserve">ehold </w:t>
      </w:r>
      <w:proofErr w:type="spellStart"/>
      <w:proofErr w:type="gramStart"/>
      <w:r w:rsidRPr="00467DB0">
        <w:t>af</w:t>
      </w:r>
      <w:proofErr w:type="spellEnd"/>
      <w:proofErr w:type="gramEnd"/>
      <w:r w:rsidRPr="00467DB0">
        <w:t xml:space="preserve"> </w:t>
      </w:r>
      <w:proofErr w:type="spellStart"/>
      <w:r w:rsidRPr="00467DB0">
        <w:t>sikkerhedsbegrænsninger</w:t>
      </w:r>
      <w:proofErr w:type="spellEnd"/>
      <w:r w:rsidRPr="00467DB0">
        <w:t xml:space="preserve"> og som foreskrevet i en sådan </w:t>
      </w:r>
      <w:proofErr w:type="spellStart"/>
      <w:r w:rsidRPr="00467DB0">
        <w:t>aftale</w:t>
      </w:r>
      <w:proofErr w:type="spellEnd"/>
      <w:r w:rsidRPr="00467DB0">
        <w:t xml:space="preserve">. </w:t>
      </w:r>
      <w:proofErr w:type="spellStart"/>
      <w:r w:rsidRPr="00467DB0">
        <w:t>Repræsentanterne</w:t>
      </w:r>
      <w:proofErr w:type="spellEnd"/>
      <w:r w:rsidRPr="00467DB0">
        <w:t xml:space="preserve"> for </w:t>
      </w:r>
      <w:proofErr w:type="spellStart"/>
      <w:r w:rsidRPr="00467DB0">
        <w:t>enheder</w:t>
      </w:r>
      <w:proofErr w:type="spellEnd"/>
      <w:r w:rsidRPr="00467DB0">
        <w:t xml:space="preserve">, der har </w:t>
      </w:r>
      <w:proofErr w:type="spellStart"/>
      <w:r w:rsidRPr="00467DB0">
        <w:t>fået</w:t>
      </w:r>
      <w:proofErr w:type="spellEnd"/>
      <w:r w:rsidRPr="00467DB0">
        <w:t xml:space="preserve"> tildelt </w:t>
      </w:r>
      <w:proofErr w:type="spellStart"/>
      <w:r w:rsidRPr="00467DB0">
        <w:t>opgaver</w:t>
      </w:r>
      <w:proofErr w:type="spellEnd"/>
      <w:r w:rsidRPr="00467DB0">
        <w:t xml:space="preserve"> i forbindelse med programmet,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har ikke </w:t>
      </w:r>
      <w:proofErr w:type="spellStart"/>
      <w:r w:rsidRPr="00467DB0">
        <w:t>stemmeret</w:t>
      </w:r>
      <w:proofErr w:type="spellEnd"/>
      <w:r w:rsidRPr="00467DB0">
        <w:t xml:space="preserve"> i </w:t>
      </w:r>
      <w:proofErr w:type="spellStart"/>
      <w:r w:rsidRPr="00467DB0">
        <w:t>programudvalget</w:t>
      </w:r>
      <w:proofErr w:type="spellEnd"/>
      <w:r w:rsidRPr="00467DB0">
        <w:t xml:space="preserve">. </w:t>
      </w:r>
      <w:proofErr w:type="spellStart"/>
      <w:r w:rsidRPr="00467DB0">
        <w:t>Betingelserne</w:t>
      </w:r>
      <w:proofErr w:type="spellEnd"/>
      <w:r w:rsidRPr="00467DB0">
        <w:t xml:space="preserve"> for observatørers og ad hoc-deltageres deltagelse bør </w:t>
      </w:r>
      <w:proofErr w:type="spellStart"/>
      <w:r w:rsidRPr="00467DB0">
        <w:t>fastsættes</w:t>
      </w:r>
      <w:proofErr w:type="spellEnd"/>
      <w:r w:rsidRPr="00467DB0">
        <w:t xml:space="preserve"> i </w:t>
      </w:r>
      <w:proofErr w:type="spellStart"/>
      <w:r w:rsidRPr="00467DB0">
        <w:t>programudvalgets</w:t>
      </w:r>
      <w:proofErr w:type="spellEnd"/>
      <w:r w:rsidRPr="00467DB0">
        <w:t xml:space="preserve"> forretningsorden.</w:t>
      </w:r>
    </w:p>
    <w:p w14:paraId="2C965213" w14:textId="77777777" w:rsidR="00000000" w:rsidRPr="00467DB0" w:rsidRDefault="00693D67" w:rsidP="00467DB0">
      <w:pPr>
        <w:pStyle w:val="friliste"/>
      </w:pPr>
      <w:r w:rsidRPr="00467DB0">
        <w:t>(126)</w:t>
      </w:r>
      <w:r w:rsidRPr="00467DB0">
        <w:tab/>
        <w:t xml:space="preserve">For at sikre en effektiv vurdering </w:t>
      </w:r>
      <w:proofErr w:type="spellStart"/>
      <w:r w:rsidRPr="00467DB0">
        <w:t>af</w:t>
      </w:r>
      <w:proofErr w:type="spellEnd"/>
      <w:r w:rsidRPr="00467DB0">
        <w:t xml:space="preserve"> programmets </w:t>
      </w:r>
      <w:proofErr w:type="spellStart"/>
      <w:r w:rsidRPr="00467DB0">
        <w:t>fremskridt</w:t>
      </w:r>
      <w:proofErr w:type="spellEnd"/>
      <w:r w:rsidRPr="00467DB0">
        <w:t xml:space="preserve"> hen </w:t>
      </w:r>
      <w:proofErr w:type="spellStart"/>
      <w:r w:rsidRPr="00467DB0">
        <w:t>imod</w:t>
      </w:r>
      <w:proofErr w:type="spellEnd"/>
      <w:r w:rsidRPr="00467DB0">
        <w:t xml:space="preserve"> </w:t>
      </w:r>
      <w:proofErr w:type="spellStart"/>
      <w:r w:rsidRPr="00467DB0">
        <w:t>opfyldelsen</w:t>
      </w:r>
      <w:proofErr w:type="spellEnd"/>
      <w:r w:rsidRPr="00467DB0">
        <w:t xml:space="preserve"> </w:t>
      </w:r>
      <w:proofErr w:type="spellStart"/>
      <w:r w:rsidRPr="00467DB0">
        <w:t>af</w:t>
      </w:r>
      <w:proofErr w:type="spellEnd"/>
      <w:r w:rsidRPr="00467DB0">
        <w:t xml:space="preserve"> dets </w:t>
      </w:r>
      <w:proofErr w:type="spellStart"/>
      <w:r w:rsidRPr="00467DB0">
        <w:t>målsætninger</w:t>
      </w:r>
      <w:proofErr w:type="spellEnd"/>
      <w:r w:rsidRPr="00467DB0">
        <w:t xml:space="preserve"> bør </w:t>
      </w:r>
      <w:proofErr w:type="spellStart"/>
      <w:r w:rsidRPr="00467DB0">
        <w:t>beføjelsen</w:t>
      </w:r>
      <w:proofErr w:type="spellEnd"/>
      <w:r w:rsidRPr="00467DB0">
        <w:t xml:space="preserve"> til at </w:t>
      </w:r>
      <w:proofErr w:type="spellStart"/>
      <w:r w:rsidRPr="00467DB0">
        <w:t>vedtage</w:t>
      </w:r>
      <w:proofErr w:type="spellEnd"/>
      <w:r w:rsidRPr="00467DB0">
        <w:t xml:space="preserve"> </w:t>
      </w:r>
      <w:proofErr w:type="spellStart"/>
      <w:r w:rsidRPr="00467DB0">
        <w:t>retsakter</w:t>
      </w:r>
      <w:proofErr w:type="spellEnd"/>
      <w:r w:rsidRPr="00467DB0">
        <w:t xml:space="preserve">  del</w:t>
      </w:r>
      <w:r w:rsidRPr="00467DB0">
        <w:t xml:space="preserve">egeres til </w:t>
      </w:r>
      <w:proofErr w:type="spellStart"/>
      <w:r w:rsidRPr="00467DB0">
        <w:t>Kommissionen</w:t>
      </w:r>
      <w:proofErr w:type="spellEnd"/>
      <w:r w:rsidRPr="00467DB0">
        <w:t xml:space="preserve"> i overensstemmelse med </w:t>
      </w:r>
      <w:proofErr w:type="spellStart"/>
      <w:r w:rsidRPr="00467DB0">
        <w:t>artikel</w:t>
      </w:r>
      <w:proofErr w:type="spellEnd"/>
      <w:r w:rsidRPr="00467DB0">
        <w:t xml:space="preserve"> 290 i TEUF, for så vidt angår supplering </w:t>
      </w:r>
      <w:proofErr w:type="spellStart"/>
      <w:r w:rsidRPr="00467DB0">
        <w:t>af</w:t>
      </w:r>
      <w:proofErr w:type="spellEnd"/>
      <w:r w:rsidRPr="00467DB0">
        <w:t xml:space="preserve"> </w:t>
      </w:r>
      <w:proofErr w:type="spellStart"/>
      <w:r w:rsidRPr="00467DB0">
        <w:t>bestemmelserne</w:t>
      </w:r>
      <w:proofErr w:type="spellEnd"/>
      <w:r w:rsidRPr="00467DB0">
        <w:t xml:space="preserve"> om de </w:t>
      </w:r>
      <w:proofErr w:type="spellStart"/>
      <w:r w:rsidRPr="00467DB0">
        <w:t>Copernicusdata</w:t>
      </w:r>
      <w:proofErr w:type="spellEnd"/>
      <w:r w:rsidRPr="00467DB0">
        <w:t xml:space="preserve"> og - </w:t>
      </w:r>
      <w:proofErr w:type="spellStart"/>
      <w:r w:rsidRPr="00467DB0">
        <w:t>informationer</w:t>
      </w:r>
      <w:proofErr w:type="spellEnd"/>
      <w:r w:rsidRPr="00467DB0">
        <w:t>, der skal leveres til Copernicus-</w:t>
      </w:r>
      <w:proofErr w:type="spellStart"/>
      <w:r w:rsidRPr="00467DB0">
        <w:t>brugerne</w:t>
      </w:r>
      <w:proofErr w:type="spellEnd"/>
      <w:r w:rsidRPr="00467DB0">
        <w:t xml:space="preserve"> med hensyn til de </w:t>
      </w:r>
      <w:proofErr w:type="spellStart"/>
      <w:r w:rsidRPr="00467DB0">
        <w:t>specifikationer</w:t>
      </w:r>
      <w:proofErr w:type="spellEnd"/>
      <w:r w:rsidRPr="00467DB0">
        <w:t xml:space="preserve"> og betingelser og </w:t>
      </w:r>
      <w:proofErr w:type="spellStart"/>
      <w:r w:rsidRPr="00467DB0">
        <w:t>procedur</w:t>
      </w:r>
      <w:r w:rsidRPr="00467DB0">
        <w:t>er</w:t>
      </w:r>
      <w:proofErr w:type="spellEnd"/>
      <w:r w:rsidRPr="00467DB0">
        <w:t xml:space="preserve"> for adgang til og </w:t>
      </w:r>
      <w:proofErr w:type="spellStart"/>
      <w:r w:rsidRPr="00467DB0">
        <w:t>brug</w:t>
      </w:r>
      <w:proofErr w:type="spellEnd"/>
      <w:r w:rsidRPr="00467DB0">
        <w:t xml:space="preserve"> </w:t>
      </w:r>
      <w:proofErr w:type="spellStart"/>
      <w:r w:rsidRPr="00467DB0">
        <w:t>af</w:t>
      </w:r>
      <w:proofErr w:type="spellEnd"/>
      <w:r w:rsidRPr="00467DB0">
        <w:t xml:space="preserve"> sådanne data og sådanne </w:t>
      </w:r>
      <w:proofErr w:type="spellStart"/>
      <w:r w:rsidRPr="00467DB0">
        <w:t>informationer</w:t>
      </w:r>
      <w:proofErr w:type="spellEnd"/>
      <w:r w:rsidRPr="00467DB0">
        <w:t xml:space="preserve"> og med </w:t>
      </w:r>
      <w:proofErr w:type="spellStart"/>
      <w:r w:rsidRPr="00467DB0">
        <w:t>henblik</w:t>
      </w:r>
      <w:proofErr w:type="spellEnd"/>
      <w:r w:rsidRPr="00467DB0">
        <w:t xml:space="preserve"> på at </w:t>
      </w:r>
      <w:proofErr w:type="spellStart"/>
      <w:r w:rsidRPr="00467DB0">
        <w:t>ændre</w:t>
      </w:r>
      <w:proofErr w:type="spellEnd"/>
      <w:r w:rsidRPr="00467DB0">
        <w:t xml:space="preserve"> bilag </w:t>
      </w:r>
      <w:proofErr w:type="spellStart"/>
      <w:r w:rsidRPr="00467DB0">
        <w:t>X</w:t>
      </w:r>
      <w:proofErr w:type="spellEnd"/>
      <w:r w:rsidRPr="00467DB0">
        <w:t xml:space="preserve"> til denne forordning for så vidt angår </w:t>
      </w:r>
      <w:proofErr w:type="spellStart"/>
      <w:r w:rsidRPr="00467DB0">
        <w:t>gennemgang</w:t>
      </w:r>
      <w:proofErr w:type="spellEnd"/>
      <w:r w:rsidRPr="00467DB0">
        <w:t xml:space="preserve"> eller supplement </w:t>
      </w:r>
      <w:proofErr w:type="spellStart"/>
      <w:r w:rsidRPr="00467DB0">
        <w:t>af</w:t>
      </w:r>
      <w:proofErr w:type="spellEnd"/>
      <w:r w:rsidRPr="00467DB0">
        <w:t xml:space="preserve"> </w:t>
      </w:r>
      <w:proofErr w:type="spellStart"/>
      <w:r w:rsidRPr="00467DB0">
        <w:t>indikatorerne</w:t>
      </w:r>
      <w:proofErr w:type="spellEnd"/>
      <w:r w:rsidRPr="00467DB0">
        <w:t xml:space="preserve">, hvis det anses for </w:t>
      </w:r>
      <w:proofErr w:type="spellStart"/>
      <w:r w:rsidRPr="00467DB0">
        <w:t>nødvendigt</w:t>
      </w:r>
      <w:proofErr w:type="spellEnd"/>
      <w:r w:rsidRPr="00467DB0">
        <w:t xml:space="preserve">, og med </w:t>
      </w:r>
      <w:proofErr w:type="spellStart"/>
      <w:r w:rsidRPr="00467DB0">
        <w:t>henblik</w:t>
      </w:r>
      <w:proofErr w:type="spellEnd"/>
      <w:r w:rsidRPr="00467DB0">
        <w:t xml:space="preserve"> på at supplere denne fo</w:t>
      </w:r>
      <w:r w:rsidRPr="00467DB0">
        <w:t xml:space="preserve">rordning med bestemmelser om </w:t>
      </w:r>
      <w:proofErr w:type="spellStart"/>
      <w:r w:rsidRPr="00467DB0">
        <w:t>fastsættelse</w:t>
      </w:r>
      <w:proofErr w:type="spellEnd"/>
      <w:r w:rsidRPr="00467DB0">
        <w:t xml:space="preserve"> </w:t>
      </w:r>
      <w:proofErr w:type="spellStart"/>
      <w:r w:rsidRPr="00467DB0">
        <w:t>af</w:t>
      </w:r>
      <w:proofErr w:type="spellEnd"/>
      <w:r w:rsidRPr="00467DB0">
        <w:t xml:space="preserve"> en </w:t>
      </w:r>
      <w:proofErr w:type="spellStart"/>
      <w:r w:rsidRPr="00467DB0">
        <w:t>overvågnings</w:t>
      </w:r>
      <w:proofErr w:type="spellEnd"/>
      <w:r w:rsidRPr="00467DB0">
        <w:t xml:space="preserve">- og evalueringsramme. Det er navnlig </w:t>
      </w:r>
      <w:proofErr w:type="spellStart"/>
      <w:r w:rsidRPr="00467DB0">
        <w:t>vigtigt</w:t>
      </w:r>
      <w:proofErr w:type="spellEnd"/>
      <w:r w:rsidRPr="00467DB0">
        <w:t xml:space="preserve">, at </w:t>
      </w:r>
      <w:proofErr w:type="spellStart"/>
      <w:r w:rsidRPr="00467DB0">
        <w:t>Kommissionen</w:t>
      </w:r>
      <w:proofErr w:type="spellEnd"/>
      <w:r w:rsidRPr="00467DB0">
        <w:t xml:space="preserve"> </w:t>
      </w:r>
      <w:proofErr w:type="spellStart"/>
      <w:r w:rsidRPr="00467DB0">
        <w:t>gennemfører</w:t>
      </w:r>
      <w:proofErr w:type="spellEnd"/>
      <w:r w:rsidRPr="00467DB0">
        <w:t xml:space="preserve"> relevante høringer under </w:t>
      </w:r>
      <w:proofErr w:type="spellStart"/>
      <w:r w:rsidRPr="00467DB0">
        <w:t>sit</w:t>
      </w:r>
      <w:proofErr w:type="spellEnd"/>
      <w:r w:rsidRPr="00467DB0">
        <w:t xml:space="preserve"> forberedende </w:t>
      </w:r>
      <w:proofErr w:type="spellStart"/>
      <w:r w:rsidRPr="00467DB0">
        <w:t>arbejde</w:t>
      </w:r>
      <w:proofErr w:type="spellEnd"/>
      <w:r w:rsidRPr="00467DB0">
        <w:t xml:space="preserve">, herunder på </w:t>
      </w:r>
      <w:proofErr w:type="spellStart"/>
      <w:r w:rsidRPr="00467DB0">
        <w:t>ekspertniveau</w:t>
      </w:r>
      <w:proofErr w:type="spellEnd"/>
      <w:r w:rsidRPr="00467DB0">
        <w:t xml:space="preserve">, og at disse høringer </w:t>
      </w:r>
      <w:proofErr w:type="spellStart"/>
      <w:r w:rsidRPr="00467DB0">
        <w:t>gennemføres</w:t>
      </w:r>
      <w:proofErr w:type="spellEnd"/>
      <w:r w:rsidRPr="00467DB0">
        <w:t xml:space="preserve"> i overenss</w:t>
      </w:r>
      <w:r w:rsidRPr="00467DB0">
        <w:t xml:space="preserve">temmelse med </w:t>
      </w:r>
      <w:proofErr w:type="spellStart"/>
      <w:r w:rsidRPr="00467DB0">
        <w:t>principperne</w:t>
      </w:r>
      <w:proofErr w:type="spellEnd"/>
      <w:r w:rsidRPr="00467DB0">
        <w:t xml:space="preserve"> i den </w:t>
      </w:r>
      <w:proofErr w:type="spellStart"/>
      <w:r w:rsidRPr="00467DB0">
        <w:t>interinstitutionelle</w:t>
      </w:r>
      <w:proofErr w:type="spellEnd"/>
      <w:r w:rsidRPr="00467DB0">
        <w:t xml:space="preserve"> </w:t>
      </w:r>
      <w:proofErr w:type="spellStart"/>
      <w:r w:rsidRPr="00467DB0">
        <w:t>aftale</w:t>
      </w:r>
      <w:proofErr w:type="spellEnd"/>
      <w:r w:rsidRPr="00467DB0">
        <w:t xml:space="preserve"> </w:t>
      </w:r>
      <w:proofErr w:type="spellStart"/>
      <w:r w:rsidRPr="00467DB0">
        <w:t>af</w:t>
      </w:r>
      <w:proofErr w:type="spellEnd"/>
      <w:r w:rsidRPr="00467DB0">
        <w:t xml:space="preserve"> 13. april 2016 om bedre lovgivning. For at sikre </w:t>
      </w:r>
      <w:proofErr w:type="spellStart"/>
      <w:r w:rsidRPr="00467DB0">
        <w:t>lige</w:t>
      </w:r>
      <w:proofErr w:type="spellEnd"/>
      <w:r w:rsidRPr="00467DB0">
        <w:t xml:space="preserve"> deltagelse i forberedelsen </w:t>
      </w:r>
      <w:proofErr w:type="spellStart"/>
      <w:r w:rsidRPr="00467DB0">
        <w:t>af</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modtager</w:t>
      </w:r>
      <w:proofErr w:type="spellEnd"/>
      <w:r w:rsidRPr="00467DB0">
        <w:t xml:space="preserve"> Europa-Parlamentet og Rådet navnlig alle dokumenter på samme tid som </w:t>
      </w:r>
      <w:proofErr w:type="spellStart"/>
      <w:r w:rsidRPr="00467DB0">
        <w:t>medlemssta</w:t>
      </w:r>
      <w:r w:rsidRPr="00467DB0">
        <w:t>ternes</w:t>
      </w:r>
      <w:proofErr w:type="spellEnd"/>
      <w:r w:rsidRPr="00467DB0">
        <w:t xml:space="preserve"> eksperter, og deres eksperter har systematisk adgang til møder i </w:t>
      </w:r>
      <w:proofErr w:type="spellStart"/>
      <w:r w:rsidRPr="00467DB0">
        <w:t>Kommissionens</w:t>
      </w:r>
      <w:proofErr w:type="spellEnd"/>
      <w:r w:rsidRPr="00467DB0">
        <w:t xml:space="preserve"> ekspertgrupper, der </w:t>
      </w:r>
      <w:proofErr w:type="spellStart"/>
      <w:r w:rsidRPr="00467DB0">
        <w:t>beskæftiger</w:t>
      </w:r>
      <w:proofErr w:type="spellEnd"/>
      <w:r w:rsidRPr="00467DB0">
        <w:t xml:space="preserve"> sig med forberedelse </w:t>
      </w:r>
      <w:proofErr w:type="spellStart"/>
      <w:r w:rsidRPr="00467DB0">
        <w:t>af</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w:t>
      </w:r>
    </w:p>
    <w:p w14:paraId="1DD774A7" w14:textId="77777777" w:rsidR="00000000" w:rsidRPr="00467DB0" w:rsidRDefault="00693D67" w:rsidP="00467DB0">
      <w:pPr>
        <w:pStyle w:val="friliste"/>
      </w:pPr>
      <w:r w:rsidRPr="00467DB0">
        <w:t>(127)</w:t>
      </w:r>
      <w:r w:rsidRPr="00467DB0">
        <w:tab/>
        <w:t xml:space="preserve">Målet for denne forordning kan ikke i </w:t>
      </w:r>
      <w:proofErr w:type="spellStart"/>
      <w:r w:rsidRPr="00467DB0">
        <w:t>tilstrækkelig</w:t>
      </w:r>
      <w:proofErr w:type="spellEnd"/>
      <w:r w:rsidRPr="00467DB0">
        <w:t xml:space="preserve"> grad </w:t>
      </w:r>
      <w:proofErr w:type="spellStart"/>
      <w:r w:rsidRPr="00467DB0">
        <w:t>opfyldes</w:t>
      </w:r>
      <w:proofErr w:type="spellEnd"/>
      <w:r w:rsidRPr="00467DB0">
        <w:t xml:space="preserve"> </w:t>
      </w:r>
      <w:proofErr w:type="spellStart"/>
      <w:r w:rsidRPr="00467DB0">
        <w:t>af</w:t>
      </w:r>
      <w:proofErr w:type="spellEnd"/>
      <w:r w:rsidRPr="00467DB0">
        <w:t xml:space="preserve"> </w:t>
      </w:r>
      <w:proofErr w:type="spellStart"/>
      <w:r w:rsidRPr="00467DB0">
        <w:t>medlemsstaterne</w:t>
      </w:r>
      <w:proofErr w:type="spellEnd"/>
      <w:r w:rsidRPr="00467DB0">
        <w:t xml:space="preserve">, </w:t>
      </w:r>
      <w:r w:rsidRPr="00467DB0">
        <w:t xml:space="preserve">men kan på grund </w:t>
      </w:r>
      <w:proofErr w:type="spellStart"/>
      <w:r w:rsidRPr="00467DB0">
        <w:t>af</w:t>
      </w:r>
      <w:proofErr w:type="spellEnd"/>
      <w:r w:rsidRPr="00467DB0">
        <w:t xml:space="preserve"> </w:t>
      </w:r>
      <w:proofErr w:type="spellStart"/>
      <w:r w:rsidRPr="00467DB0">
        <w:t>tiltagets</w:t>
      </w:r>
      <w:proofErr w:type="spellEnd"/>
      <w:r w:rsidRPr="00467DB0">
        <w:t xml:space="preserve"> omfang og virkninger, som overstiger, </w:t>
      </w:r>
      <w:proofErr w:type="spellStart"/>
      <w:r w:rsidRPr="00467DB0">
        <w:t>hvad</w:t>
      </w:r>
      <w:proofErr w:type="spellEnd"/>
      <w:r w:rsidRPr="00467DB0">
        <w:t xml:space="preserve"> en enkelt medlemsstat økonomisk og teknisk kan klare alene, bedre nås på EU-plan; Unionen kan derfor </w:t>
      </w:r>
      <w:proofErr w:type="spellStart"/>
      <w:r w:rsidRPr="00467DB0">
        <w:t>vedtage</w:t>
      </w:r>
      <w:proofErr w:type="spellEnd"/>
      <w:r w:rsidRPr="00467DB0">
        <w:t xml:space="preserve"> foranstaltninger i overensstemmelse med </w:t>
      </w:r>
      <w:proofErr w:type="spellStart"/>
      <w:r w:rsidRPr="00467DB0">
        <w:t>nærhedsprincippet</w:t>
      </w:r>
      <w:proofErr w:type="spellEnd"/>
      <w:r w:rsidRPr="00467DB0">
        <w:t xml:space="preserve">, jf. </w:t>
      </w:r>
      <w:proofErr w:type="spellStart"/>
      <w:r w:rsidRPr="00467DB0">
        <w:t>artikel</w:t>
      </w:r>
      <w:proofErr w:type="spellEnd"/>
      <w:r w:rsidRPr="00467DB0">
        <w:t xml:space="preserve"> 5 i</w:t>
      </w:r>
      <w:r w:rsidRPr="00467DB0">
        <w:t xml:space="preserve"> TEU. I overensstemmelse med </w:t>
      </w:r>
      <w:proofErr w:type="spellStart"/>
      <w:r w:rsidRPr="00467DB0">
        <w:t>proportionalitetsprincippet</w:t>
      </w:r>
      <w:proofErr w:type="spellEnd"/>
      <w:r w:rsidRPr="00467DB0">
        <w:t xml:space="preserve">, jf. </w:t>
      </w:r>
      <w:proofErr w:type="spellStart"/>
      <w:r w:rsidRPr="00467DB0">
        <w:t>nævnte</w:t>
      </w:r>
      <w:proofErr w:type="spellEnd"/>
      <w:r w:rsidRPr="00467DB0">
        <w:t xml:space="preserve"> </w:t>
      </w:r>
      <w:proofErr w:type="spellStart"/>
      <w:r w:rsidRPr="00467DB0">
        <w:t>artikel</w:t>
      </w:r>
      <w:proofErr w:type="spellEnd"/>
      <w:r w:rsidRPr="00467DB0">
        <w:t xml:space="preserve">, går denne forordning ikke videre, end </w:t>
      </w:r>
      <w:proofErr w:type="spellStart"/>
      <w:r w:rsidRPr="00467DB0">
        <w:t>hvad</w:t>
      </w:r>
      <w:proofErr w:type="spellEnd"/>
      <w:r w:rsidRPr="00467DB0">
        <w:t xml:space="preserve"> der er </w:t>
      </w:r>
      <w:proofErr w:type="spellStart"/>
      <w:r w:rsidRPr="00467DB0">
        <w:t>nødvendigt</w:t>
      </w:r>
      <w:proofErr w:type="spellEnd"/>
      <w:r w:rsidRPr="00467DB0">
        <w:t xml:space="preserve"> for at nå dette mål.</w:t>
      </w:r>
    </w:p>
    <w:p w14:paraId="6DA2E4A9" w14:textId="77777777" w:rsidR="00000000" w:rsidRPr="00467DB0" w:rsidRDefault="00693D67" w:rsidP="00467DB0">
      <w:pPr>
        <w:pStyle w:val="friliste"/>
      </w:pPr>
      <w:r w:rsidRPr="00467DB0">
        <w:t>(128)</w:t>
      </w:r>
      <w:r w:rsidRPr="00467DB0">
        <w:tab/>
        <w:t xml:space="preserve">For at sikre ensartede betingelser for </w:t>
      </w:r>
      <w:proofErr w:type="spellStart"/>
      <w:r w:rsidRPr="00467DB0">
        <w:t>gennemførelsen</w:t>
      </w:r>
      <w:proofErr w:type="spellEnd"/>
      <w:r w:rsidRPr="00467DB0">
        <w:t xml:space="preserve"> </w:t>
      </w:r>
      <w:proofErr w:type="spellStart"/>
      <w:r w:rsidRPr="00467DB0">
        <w:t>af</w:t>
      </w:r>
      <w:proofErr w:type="spellEnd"/>
      <w:r w:rsidRPr="00467DB0">
        <w:t xml:space="preserve"> programmets </w:t>
      </w:r>
      <w:proofErr w:type="spellStart"/>
      <w:r w:rsidRPr="00467DB0">
        <w:t>sikkerhedskrav</w:t>
      </w:r>
      <w:proofErr w:type="spellEnd"/>
      <w:r w:rsidRPr="00467DB0">
        <w:t xml:space="preserve"> bør </w:t>
      </w:r>
      <w:proofErr w:type="spellStart"/>
      <w:r w:rsidRPr="00467DB0">
        <w:t>Ko</w:t>
      </w:r>
      <w:r w:rsidRPr="00467DB0">
        <w:t>mmissionen</w:t>
      </w:r>
      <w:proofErr w:type="spellEnd"/>
      <w:r w:rsidRPr="00467DB0">
        <w:t xml:space="preserve"> </w:t>
      </w:r>
      <w:proofErr w:type="spellStart"/>
      <w:r w:rsidRPr="00467DB0">
        <w:t>tillægges</w:t>
      </w:r>
      <w:proofErr w:type="spellEnd"/>
      <w:r w:rsidRPr="00467DB0">
        <w:t xml:space="preserve"> </w:t>
      </w:r>
      <w:proofErr w:type="spellStart"/>
      <w:r w:rsidRPr="00467DB0">
        <w:t>gennemførelsesbeføjelser</w:t>
      </w:r>
      <w:proofErr w:type="spellEnd"/>
      <w:r w:rsidRPr="00467DB0">
        <w:t xml:space="preserve">. Disse </w:t>
      </w:r>
      <w:proofErr w:type="spellStart"/>
      <w:r w:rsidRPr="00467DB0">
        <w:t>beføjelser</w:t>
      </w:r>
      <w:proofErr w:type="spellEnd"/>
      <w:r w:rsidRPr="00467DB0">
        <w:t xml:space="preserve"> bør udøves i overensstemmelse med forordning (EU) nr. 182/2011. </w:t>
      </w:r>
      <w:proofErr w:type="spellStart"/>
      <w:r w:rsidRPr="00467DB0">
        <w:t>Medlemsstaterne</w:t>
      </w:r>
      <w:proofErr w:type="spellEnd"/>
      <w:r w:rsidRPr="00467DB0">
        <w:t xml:space="preserve"> bør kunne udøve maksimal </w:t>
      </w:r>
      <w:proofErr w:type="spellStart"/>
      <w:r w:rsidRPr="00467DB0">
        <w:t>kontrol</w:t>
      </w:r>
      <w:proofErr w:type="spellEnd"/>
      <w:r w:rsidRPr="00467DB0">
        <w:t xml:space="preserve"> over programmets </w:t>
      </w:r>
      <w:proofErr w:type="spellStart"/>
      <w:r w:rsidRPr="00467DB0">
        <w:t>sikkerhedskrav</w:t>
      </w:r>
      <w:proofErr w:type="spellEnd"/>
      <w:r w:rsidRPr="00467DB0">
        <w:t xml:space="preserve">. Når </w:t>
      </w:r>
      <w:proofErr w:type="spellStart"/>
      <w:r w:rsidRPr="00467DB0">
        <w:t>Kommissionen</w:t>
      </w:r>
      <w:proofErr w:type="spellEnd"/>
      <w:r w:rsidRPr="00467DB0">
        <w:t xml:space="preserve"> </w:t>
      </w:r>
      <w:proofErr w:type="spellStart"/>
      <w:r w:rsidRPr="00467DB0">
        <w:t>vedtager</w:t>
      </w:r>
      <w:proofErr w:type="spellEnd"/>
      <w:r w:rsidRPr="00467DB0">
        <w:t xml:space="preserve"> </w:t>
      </w:r>
      <w:proofErr w:type="spellStart"/>
      <w:r w:rsidRPr="00467DB0">
        <w:t>gennemførelsesretsak</w:t>
      </w:r>
      <w:r w:rsidRPr="00467DB0">
        <w:t>ter</w:t>
      </w:r>
      <w:proofErr w:type="spellEnd"/>
      <w:r w:rsidRPr="00467DB0">
        <w:t xml:space="preserve"> om programmets </w:t>
      </w:r>
      <w:proofErr w:type="spellStart"/>
      <w:r w:rsidRPr="00467DB0">
        <w:t>sikkerhed</w:t>
      </w:r>
      <w:proofErr w:type="spellEnd"/>
      <w:r w:rsidRPr="00467DB0">
        <w:t xml:space="preserve">, bør den bistås </w:t>
      </w:r>
      <w:proofErr w:type="spellStart"/>
      <w:r w:rsidRPr="00467DB0">
        <w:t>af</w:t>
      </w:r>
      <w:proofErr w:type="spellEnd"/>
      <w:r w:rsidRPr="00467DB0">
        <w:t xml:space="preserve"> </w:t>
      </w:r>
      <w:proofErr w:type="spellStart"/>
      <w:r w:rsidRPr="00467DB0">
        <w:t>programudvalget</w:t>
      </w:r>
      <w:proofErr w:type="spellEnd"/>
      <w:r w:rsidRPr="00467DB0">
        <w:t xml:space="preserve"> i en særlig </w:t>
      </w:r>
      <w:proofErr w:type="spellStart"/>
      <w:r w:rsidRPr="00467DB0">
        <w:t>sikkerhedskonfiguration</w:t>
      </w:r>
      <w:proofErr w:type="spellEnd"/>
      <w:r w:rsidRPr="00467DB0">
        <w:t xml:space="preserve">. I </w:t>
      </w:r>
      <w:proofErr w:type="spellStart"/>
      <w:r w:rsidRPr="00467DB0">
        <w:t>betragtning</w:t>
      </w:r>
      <w:proofErr w:type="spellEnd"/>
      <w:r w:rsidRPr="00467DB0">
        <w:t xml:space="preserve"> </w:t>
      </w:r>
      <w:proofErr w:type="spellStart"/>
      <w:r w:rsidRPr="00467DB0">
        <w:t>af</w:t>
      </w:r>
      <w:proofErr w:type="spellEnd"/>
      <w:r w:rsidRPr="00467DB0">
        <w:t xml:space="preserve"> den følsomme karakter </w:t>
      </w:r>
      <w:proofErr w:type="spellStart"/>
      <w:r w:rsidRPr="00467DB0">
        <w:t>af</w:t>
      </w:r>
      <w:proofErr w:type="spellEnd"/>
      <w:r w:rsidRPr="00467DB0">
        <w:t xml:space="preserve"> </w:t>
      </w:r>
      <w:proofErr w:type="spellStart"/>
      <w:r w:rsidRPr="00467DB0">
        <w:t>sikkerhedsanliggender</w:t>
      </w:r>
      <w:proofErr w:type="spellEnd"/>
      <w:r w:rsidRPr="00467DB0">
        <w:t xml:space="preserve"> bør </w:t>
      </w:r>
      <w:proofErr w:type="spellStart"/>
      <w:r w:rsidRPr="00467DB0">
        <w:t>programudvalgets</w:t>
      </w:r>
      <w:proofErr w:type="spellEnd"/>
      <w:r w:rsidRPr="00467DB0">
        <w:t xml:space="preserve"> </w:t>
      </w:r>
      <w:proofErr w:type="spellStart"/>
      <w:r w:rsidRPr="00467DB0">
        <w:t>formand</w:t>
      </w:r>
      <w:proofErr w:type="spellEnd"/>
      <w:r w:rsidRPr="00467DB0">
        <w:t xml:space="preserve"> </w:t>
      </w:r>
      <w:proofErr w:type="spellStart"/>
      <w:r w:rsidRPr="00467DB0">
        <w:t>bestræbe</w:t>
      </w:r>
      <w:proofErr w:type="spellEnd"/>
      <w:r w:rsidRPr="00467DB0">
        <w:t xml:space="preserve"> sig på at </w:t>
      </w:r>
      <w:proofErr w:type="spellStart"/>
      <w:r w:rsidRPr="00467DB0">
        <w:t>finde</w:t>
      </w:r>
      <w:proofErr w:type="spellEnd"/>
      <w:r w:rsidRPr="00467DB0">
        <w:t xml:space="preserve"> løsninger, der </w:t>
      </w:r>
      <w:proofErr w:type="spellStart"/>
      <w:r w:rsidRPr="00467DB0">
        <w:t>nyder</w:t>
      </w:r>
      <w:proofErr w:type="spellEnd"/>
      <w:r w:rsidRPr="00467DB0">
        <w:t xml:space="preserve"> den bredest muli</w:t>
      </w:r>
      <w:r w:rsidRPr="00467DB0">
        <w:t xml:space="preserve">ge tilslutning i </w:t>
      </w:r>
      <w:proofErr w:type="spellStart"/>
      <w:r w:rsidRPr="00467DB0">
        <w:t>udvalget</w:t>
      </w:r>
      <w:proofErr w:type="spellEnd"/>
      <w:r w:rsidRPr="00467DB0">
        <w:t xml:space="preserve">. </w:t>
      </w:r>
      <w:proofErr w:type="spellStart"/>
      <w:r w:rsidRPr="00467DB0">
        <w:t>Kommissionen</w:t>
      </w:r>
      <w:proofErr w:type="spellEnd"/>
      <w:r w:rsidRPr="00467DB0">
        <w:t xml:space="preserve"> bør ikke </w:t>
      </w:r>
      <w:proofErr w:type="spellStart"/>
      <w:r w:rsidRPr="00467DB0">
        <w:t>vedtage</w:t>
      </w:r>
      <w:proofErr w:type="spellEnd"/>
      <w:r w:rsidRPr="00467DB0">
        <w:t xml:space="preserve"> </w:t>
      </w:r>
      <w:proofErr w:type="spellStart"/>
      <w:r w:rsidRPr="00467DB0">
        <w:t>gennemførelsesretsakter</w:t>
      </w:r>
      <w:proofErr w:type="spellEnd"/>
      <w:r w:rsidRPr="00467DB0">
        <w:t xml:space="preserve">, der </w:t>
      </w:r>
      <w:proofErr w:type="spellStart"/>
      <w:r w:rsidRPr="00467DB0">
        <w:t>fastlægger</w:t>
      </w:r>
      <w:proofErr w:type="spellEnd"/>
      <w:r w:rsidRPr="00467DB0">
        <w:t xml:space="preserve"> de generelle </w:t>
      </w:r>
      <w:proofErr w:type="spellStart"/>
      <w:r w:rsidRPr="00467DB0">
        <w:t>sikkerhedskrav</w:t>
      </w:r>
      <w:proofErr w:type="spellEnd"/>
      <w:r w:rsidRPr="00467DB0">
        <w:t xml:space="preserve"> for programmet, i de </w:t>
      </w:r>
      <w:proofErr w:type="spellStart"/>
      <w:r w:rsidRPr="00467DB0">
        <w:t>tilfælde</w:t>
      </w:r>
      <w:proofErr w:type="spellEnd"/>
      <w:r w:rsidRPr="00467DB0">
        <w:t xml:space="preserve">, hvor </w:t>
      </w:r>
      <w:proofErr w:type="spellStart"/>
      <w:r w:rsidRPr="00467DB0">
        <w:t>programudvalget</w:t>
      </w:r>
      <w:proofErr w:type="spellEnd"/>
      <w:r w:rsidRPr="00467DB0">
        <w:t xml:space="preserve"> ikke har </w:t>
      </w:r>
      <w:proofErr w:type="spellStart"/>
      <w:r w:rsidRPr="00467DB0">
        <w:t>afgivet</w:t>
      </w:r>
      <w:proofErr w:type="spellEnd"/>
      <w:r w:rsidRPr="00467DB0">
        <w:t xml:space="preserve"> en </w:t>
      </w:r>
      <w:proofErr w:type="spellStart"/>
      <w:r w:rsidRPr="00467DB0">
        <w:t>udtalelse</w:t>
      </w:r>
      <w:proofErr w:type="spellEnd"/>
      <w:r w:rsidRPr="00467DB0">
        <w:t>.</w:t>
      </w:r>
    </w:p>
    <w:p w14:paraId="1D2B17DD" w14:textId="77777777" w:rsidR="00000000" w:rsidRPr="00467DB0" w:rsidRDefault="00693D67" w:rsidP="00467DB0">
      <w:pPr>
        <w:pStyle w:val="friliste"/>
      </w:pPr>
      <w:r w:rsidRPr="00467DB0">
        <w:lastRenderedPageBreak/>
        <w:t>(129)</w:t>
      </w:r>
      <w:r w:rsidRPr="00467DB0">
        <w:tab/>
        <w:t xml:space="preserve">Programmet bør </w:t>
      </w:r>
      <w:proofErr w:type="spellStart"/>
      <w:r w:rsidRPr="00467DB0">
        <w:t>oprettes</w:t>
      </w:r>
      <w:proofErr w:type="spellEnd"/>
      <w:r w:rsidRPr="00467DB0">
        <w:t xml:space="preserve"> for en periode på </w:t>
      </w:r>
      <w:r w:rsidRPr="00467DB0">
        <w:t xml:space="preserve">syv år, så dets </w:t>
      </w:r>
      <w:proofErr w:type="spellStart"/>
      <w:r w:rsidRPr="00467DB0">
        <w:t>varighed</w:t>
      </w:r>
      <w:proofErr w:type="spellEnd"/>
      <w:r w:rsidRPr="00467DB0">
        <w:t xml:space="preserve"> tilpasses </w:t>
      </w:r>
      <w:proofErr w:type="spellStart"/>
      <w:r w:rsidRPr="00467DB0">
        <w:t>varigheden</w:t>
      </w:r>
      <w:proofErr w:type="spellEnd"/>
      <w:r w:rsidRPr="00467DB0">
        <w:t xml:space="preserve"> </w:t>
      </w:r>
      <w:proofErr w:type="spellStart"/>
      <w:r w:rsidRPr="00467DB0">
        <w:t>af</w:t>
      </w:r>
      <w:proofErr w:type="spellEnd"/>
      <w:r w:rsidRPr="00467DB0">
        <w:t xml:space="preserve"> den flerårige finansielle ramme for 2021-2027 som </w:t>
      </w:r>
      <w:proofErr w:type="spellStart"/>
      <w:r w:rsidRPr="00467DB0">
        <w:t>fastsat</w:t>
      </w:r>
      <w:proofErr w:type="spellEnd"/>
      <w:r w:rsidRPr="00467DB0">
        <w:t xml:space="preserve"> i Rådets forordning (EU, Euratom) 2020/2093</w:t>
      </w:r>
      <w:r w:rsidRPr="00467DB0">
        <w:rPr>
          <w:rStyle w:val="Fotnotereferanse"/>
        </w:rPr>
        <w:footnoteReference w:id="39"/>
      </w:r>
      <w:r w:rsidRPr="00467DB0">
        <w:t xml:space="preserve"> ("FFR 2021-2027"). Agenturet, som </w:t>
      </w:r>
      <w:proofErr w:type="spellStart"/>
      <w:r w:rsidRPr="00467DB0">
        <w:t>udfører</w:t>
      </w:r>
      <w:proofErr w:type="spellEnd"/>
      <w:r w:rsidRPr="00467DB0">
        <w:t xml:space="preserve"> sine egne </w:t>
      </w:r>
      <w:proofErr w:type="spellStart"/>
      <w:r w:rsidRPr="00467DB0">
        <w:t>opgaver</w:t>
      </w:r>
      <w:proofErr w:type="spellEnd"/>
      <w:r w:rsidRPr="00467DB0">
        <w:t xml:space="preserve">, er ikke omfattet </w:t>
      </w:r>
      <w:proofErr w:type="spellStart"/>
      <w:r w:rsidRPr="00467DB0">
        <w:t>af</w:t>
      </w:r>
      <w:proofErr w:type="spellEnd"/>
      <w:r w:rsidRPr="00467DB0">
        <w:t xml:space="preserve"> denne </w:t>
      </w:r>
      <w:proofErr w:type="spellStart"/>
      <w:r w:rsidRPr="00467DB0">
        <w:t>tidsbegrænsning</w:t>
      </w:r>
      <w:proofErr w:type="spellEnd"/>
      <w:r w:rsidRPr="00467DB0">
        <w:t>.</w:t>
      </w:r>
    </w:p>
    <w:p w14:paraId="193F457D" w14:textId="77777777" w:rsidR="00000000" w:rsidRPr="00467DB0" w:rsidRDefault="00693D67" w:rsidP="00467DB0">
      <w:pPr>
        <w:pStyle w:val="friliste"/>
      </w:pPr>
      <w:r w:rsidRPr="00467DB0">
        <w:t>(130)</w:t>
      </w:r>
      <w:r w:rsidRPr="00467DB0">
        <w:tab/>
        <w:t xml:space="preserve">For at sikre kontinuitet i </w:t>
      </w:r>
      <w:proofErr w:type="spellStart"/>
      <w:r w:rsidRPr="00467DB0">
        <w:t>ydelsen</w:t>
      </w:r>
      <w:proofErr w:type="spellEnd"/>
      <w:r w:rsidRPr="00467DB0">
        <w:t xml:space="preserve"> </w:t>
      </w:r>
      <w:proofErr w:type="spellStart"/>
      <w:r w:rsidRPr="00467DB0">
        <w:t>af</w:t>
      </w:r>
      <w:proofErr w:type="spellEnd"/>
      <w:r w:rsidRPr="00467DB0">
        <w:t xml:space="preserve"> støtte på det relevante </w:t>
      </w:r>
      <w:proofErr w:type="spellStart"/>
      <w:r w:rsidRPr="00467DB0">
        <w:t>politikområde</w:t>
      </w:r>
      <w:proofErr w:type="spellEnd"/>
      <w:r w:rsidRPr="00467DB0">
        <w:t xml:space="preserve"> og</w:t>
      </w:r>
      <w:r w:rsidRPr="00467DB0">
        <w:t xml:space="preserve"> </w:t>
      </w:r>
      <w:proofErr w:type="spellStart"/>
      <w:r w:rsidRPr="00467DB0">
        <w:t>muliggøre</w:t>
      </w:r>
      <w:proofErr w:type="spellEnd"/>
      <w:r w:rsidRPr="00467DB0">
        <w:t xml:space="preserve">, at </w:t>
      </w:r>
      <w:proofErr w:type="spellStart"/>
      <w:r w:rsidRPr="00467DB0">
        <w:t>gennemførelsen</w:t>
      </w:r>
      <w:proofErr w:type="spellEnd"/>
      <w:r w:rsidRPr="00467DB0">
        <w:t xml:space="preserve"> kan </w:t>
      </w:r>
      <w:proofErr w:type="spellStart"/>
      <w:r w:rsidRPr="00467DB0">
        <w:t>påbegyndes</w:t>
      </w:r>
      <w:proofErr w:type="spellEnd"/>
      <w:r w:rsidRPr="00467DB0">
        <w:t xml:space="preserve"> fra </w:t>
      </w:r>
      <w:proofErr w:type="spellStart"/>
      <w:r w:rsidRPr="00467DB0">
        <w:t>begyndelsen</w:t>
      </w:r>
      <w:proofErr w:type="spellEnd"/>
      <w:r w:rsidRPr="00467DB0">
        <w:t xml:space="preserve"> </w:t>
      </w:r>
      <w:proofErr w:type="spellStart"/>
      <w:r w:rsidRPr="00467DB0">
        <w:t>af</w:t>
      </w:r>
      <w:proofErr w:type="spellEnd"/>
      <w:r w:rsidRPr="00467DB0">
        <w:t xml:space="preserve"> FFR 2021-2027, bør denne forordning </w:t>
      </w:r>
      <w:proofErr w:type="spellStart"/>
      <w:r w:rsidRPr="00467DB0">
        <w:t>træde</w:t>
      </w:r>
      <w:proofErr w:type="spellEnd"/>
      <w:r w:rsidRPr="00467DB0">
        <w:t xml:space="preserve"> i kraft hurtigst </w:t>
      </w:r>
      <w:proofErr w:type="spellStart"/>
      <w:r w:rsidRPr="00467DB0">
        <w:t>muligt</w:t>
      </w:r>
      <w:proofErr w:type="spellEnd"/>
      <w:r w:rsidRPr="00467DB0">
        <w:t xml:space="preserve"> og </w:t>
      </w:r>
      <w:proofErr w:type="spellStart"/>
      <w:r w:rsidRPr="00467DB0">
        <w:t>finde</w:t>
      </w:r>
      <w:proofErr w:type="spellEnd"/>
      <w:r w:rsidRPr="00467DB0">
        <w:t xml:space="preserve"> </w:t>
      </w:r>
      <w:proofErr w:type="gramStart"/>
      <w:r w:rsidRPr="00467DB0">
        <w:t>anvendelse</w:t>
      </w:r>
      <w:proofErr w:type="gramEnd"/>
      <w:r w:rsidRPr="00467DB0">
        <w:t xml:space="preserve"> med </w:t>
      </w:r>
      <w:proofErr w:type="spellStart"/>
      <w:r w:rsidRPr="00467DB0">
        <w:t>tilbagevirkende</w:t>
      </w:r>
      <w:proofErr w:type="spellEnd"/>
      <w:r w:rsidRPr="00467DB0">
        <w:t xml:space="preserve"> kraft fra den 1. januar 2021.</w:t>
      </w:r>
    </w:p>
    <w:p w14:paraId="2B599BD6" w14:textId="77777777" w:rsidR="00000000" w:rsidRPr="00467DB0" w:rsidRDefault="00693D67" w:rsidP="00467DB0">
      <w:pPr>
        <w:pStyle w:val="friliste"/>
      </w:pPr>
      <w:r w:rsidRPr="00467DB0">
        <w:t>(131)</w:t>
      </w:r>
      <w:r w:rsidRPr="00467DB0">
        <w:tab/>
        <w:t>Forordning (EU) nr. 912/2010, (EU) nr. 1285/2013 o</w:t>
      </w:r>
      <w:r w:rsidRPr="00467DB0">
        <w:t xml:space="preserve">g (EU) nr. 377/2014 og </w:t>
      </w:r>
      <w:proofErr w:type="spellStart"/>
      <w:r w:rsidRPr="00467DB0">
        <w:t>afgørelse</w:t>
      </w:r>
      <w:proofErr w:type="spellEnd"/>
      <w:r w:rsidRPr="00467DB0">
        <w:t xml:space="preserve"> nr. 541/2014/EU bør derfor </w:t>
      </w:r>
      <w:proofErr w:type="spellStart"/>
      <w:r w:rsidRPr="00467DB0">
        <w:t>ophæves</w:t>
      </w:r>
      <w:proofErr w:type="spellEnd"/>
      <w:r w:rsidRPr="00467DB0">
        <w:t>.</w:t>
      </w:r>
    </w:p>
    <w:p w14:paraId="27BC28E6" w14:textId="77777777" w:rsidR="00000000" w:rsidRPr="00467DB0" w:rsidRDefault="00693D67" w:rsidP="00467DB0">
      <w:r w:rsidRPr="00467DB0">
        <w:t>VEDTAGET DENNE FORORDNING:</w:t>
      </w:r>
    </w:p>
    <w:p w14:paraId="7879D652" w14:textId="77777777" w:rsidR="00000000" w:rsidRPr="00467DB0" w:rsidRDefault="00693D67" w:rsidP="00467DB0">
      <w:pPr>
        <w:pStyle w:val="avsnitt-undertittel"/>
      </w:pPr>
      <w:proofErr w:type="spellStart"/>
      <w:r w:rsidRPr="00467DB0">
        <w:t>Afsnit</w:t>
      </w:r>
      <w:proofErr w:type="spellEnd"/>
      <w:r w:rsidRPr="00467DB0">
        <w:t xml:space="preserve"> I</w:t>
      </w:r>
    </w:p>
    <w:p w14:paraId="751FEEAA" w14:textId="77777777" w:rsidR="00000000" w:rsidRPr="00467DB0" w:rsidRDefault="00693D67" w:rsidP="00467DB0">
      <w:pPr>
        <w:pStyle w:val="Undertittel"/>
      </w:pPr>
      <w:proofErr w:type="spellStart"/>
      <w:r w:rsidRPr="00467DB0">
        <w:t>Almindelige</w:t>
      </w:r>
      <w:proofErr w:type="spellEnd"/>
      <w:r w:rsidRPr="00467DB0">
        <w:t xml:space="preserve"> bestemmelser</w:t>
      </w:r>
    </w:p>
    <w:p w14:paraId="6513D8BB" w14:textId="77777777" w:rsidR="00000000" w:rsidRPr="00467DB0" w:rsidRDefault="00693D67" w:rsidP="00467DB0">
      <w:pPr>
        <w:pStyle w:val="avsnitt-undertittel"/>
      </w:pPr>
      <w:proofErr w:type="spellStart"/>
      <w:r w:rsidRPr="00467DB0">
        <w:t>Artikel</w:t>
      </w:r>
      <w:proofErr w:type="spellEnd"/>
      <w:r w:rsidRPr="00467DB0">
        <w:t> 1</w:t>
      </w:r>
    </w:p>
    <w:p w14:paraId="456E6A34" w14:textId="77777777" w:rsidR="00000000" w:rsidRPr="00467DB0" w:rsidRDefault="00693D67" w:rsidP="00467DB0">
      <w:pPr>
        <w:pStyle w:val="Undertittel"/>
      </w:pPr>
      <w:proofErr w:type="spellStart"/>
      <w:r w:rsidRPr="00467DB0">
        <w:t>Genstand</w:t>
      </w:r>
      <w:proofErr w:type="spellEnd"/>
    </w:p>
    <w:p w14:paraId="37ED38CA" w14:textId="77777777" w:rsidR="00000000" w:rsidRPr="00467DB0" w:rsidRDefault="00693D67" w:rsidP="00467DB0">
      <w:r w:rsidRPr="00467DB0">
        <w:t xml:space="preserve">Denne forordning </w:t>
      </w:r>
      <w:proofErr w:type="spellStart"/>
      <w:r w:rsidRPr="00467DB0">
        <w:t>opretter</w:t>
      </w:r>
      <w:proofErr w:type="spellEnd"/>
      <w:r w:rsidRPr="00467DB0">
        <w:t xml:space="preserve"> Unionens </w:t>
      </w:r>
      <w:proofErr w:type="spellStart"/>
      <w:r w:rsidRPr="00467DB0">
        <w:t>rumprogram</w:t>
      </w:r>
      <w:proofErr w:type="spellEnd"/>
      <w:r w:rsidRPr="00467DB0">
        <w:t xml:space="preserve"> ("programmet") for </w:t>
      </w:r>
      <w:proofErr w:type="spellStart"/>
      <w:r w:rsidRPr="00467DB0">
        <w:t>varigheden</w:t>
      </w:r>
      <w:proofErr w:type="spellEnd"/>
      <w:r w:rsidRPr="00467DB0">
        <w:t xml:space="preserve"> </w:t>
      </w:r>
      <w:proofErr w:type="spellStart"/>
      <w:r w:rsidRPr="00467DB0">
        <w:t>af</w:t>
      </w:r>
      <w:proofErr w:type="spellEnd"/>
      <w:r w:rsidRPr="00467DB0">
        <w:t xml:space="preserve"> FFR 2021-2027. Den </w:t>
      </w:r>
      <w:proofErr w:type="spellStart"/>
      <w:r w:rsidRPr="00467DB0">
        <w:t>fastsætter</w:t>
      </w:r>
      <w:proofErr w:type="spellEnd"/>
      <w:r w:rsidRPr="00467DB0">
        <w:t xml:space="preserve"> programmets </w:t>
      </w:r>
      <w:proofErr w:type="spellStart"/>
      <w:r w:rsidRPr="00467DB0">
        <w:t>målsætninger</w:t>
      </w:r>
      <w:proofErr w:type="spellEnd"/>
      <w:r w:rsidRPr="00467DB0">
        <w:t xml:space="preserve">, </w:t>
      </w:r>
      <w:proofErr w:type="spellStart"/>
      <w:r w:rsidRPr="00467DB0">
        <w:t>budgettet</w:t>
      </w:r>
      <w:proofErr w:type="spellEnd"/>
      <w:r w:rsidRPr="00467DB0">
        <w:t xml:space="preserve"> for perioden 2021-2027, formerne for EU-finansiering og </w:t>
      </w:r>
      <w:proofErr w:type="spellStart"/>
      <w:r w:rsidRPr="00467DB0">
        <w:t>reglerne</w:t>
      </w:r>
      <w:proofErr w:type="spellEnd"/>
      <w:r w:rsidRPr="00467DB0">
        <w:t xml:space="preserve"> for </w:t>
      </w:r>
      <w:proofErr w:type="spellStart"/>
      <w:r w:rsidRPr="00467DB0">
        <w:t>ydelse</w:t>
      </w:r>
      <w:proofErr w:type="spellEnd"/>
      <w:r w:rsidRPr="00467DB0">
        <w:t xml:space="preserve"> </w:t>
      </w:r>
      <w:proofErr w:type="spellStart"/>
      <w:r w:rsidRPr="00467DB0">
        <w:t>af</w:t>
      </w:r>
      <w:proofErr w:type="spellEnd"/>
      <w:r w:rsidRPr="00467DB0">
        <w:t xml:space="preserve"> sådan finansiering samt </w:t>
      </w:r>
      <w:proofErr w:type="spellStart"/>
      <w:r w:rsidRPr="00467DB0">
        <w:t>reglerne</w:t>
      </w:r>
      <w:proofErr w:type="spellEnd"/>
      <w:r w:rsidRPr="00467DB0">
        <w:t xml:space="preserve"> for programmets </w:t>
      </w:r>
      <w:proofErr w:type="spellStart"/>
      <w:r w:rsidRPr="00467DB0">
        <w:t>gennemførelse</w:t>
      </w:r>
      <w:proofErr w:type="spellEnd"/>
      <w:r w:rsidRPr="00467DB0">
        <w:t>.</w:t>
      </w:r>
    </w:p>
    <w:p w14:paraId="22A86671" w14:textId="77777777" w:rsidR="00000000" w:rsidRPr="00467DB0" w:rsidRDefault="00693D67" w:rsidP="00467DB0">
      <w:r w:rsidRPr="00467DB0">
        <w:t xml:space="preserve">Denne forordning </w:t>
      </w:r>
      <w:proofErr w:type="spellStart"/>
      <w:r w:rsidRPr="00467DB0">
        <w:t>opretter</w:t>
      </w:r>
      <w:proofErr w:type="spellEnd"/>
      <w:r w:rsidRPr="00467DB0">
        <w:t xml:space="preserve"> Den </w:t>
      </w:r>
      <w:proofErr w:type="spellStart"/>
      <w:r w:rsidRPr="00467DB0">
        <w:t>Europæiske</w:t>
      </w:r>
      <w:proofErr w:type="spellEnd"/>
      <w:r w:rsidRPr="00467DB0">
        <w:t xml:space="preserve"> Unions Agentur for </w:t>
      </w:r>
      <w:proofErr w:type="spellStart"/>
      <w:r w:rsidRPr="00467DB0">
        <w:t>Rumprogrammet</w:t>
      </w:r>
      <w:proofErr w:type="spellEnd"/>
      <w:r w:rsidRPr="00467DB0">
        <w:t xml:space="preserve"> ("agenturet"), der erstatter og </w:t>
      </w:r>
      <w:proofErr w:type="spellStart"/>
      <w:r w:rsidRPr="00467DB0">
        <w:t>afløser</w:t>
      </w:r>
      <w:proofErr w:type="spellEnd"/>
      <w:r w:rsidRPr="00467DB0">
        <w:t xml:space="preserve"> Det </w:t>
      </w:r>
      <w:proofErr w:type="spellStart"/>
      <w:r w:rsidRPr="00467DB0">
        <w:t>Europæiske</w:t>
      </w:r>
      <w:proofErr w:type="spellEnd"/>
      <w:r w:rsidRPr="00467DB0">
        <w:t xml:space="preserve"> GNSS-Agentur </w:t>
      </w:r>
      <w:proofErr w:type="spellStart"/>
      <w:r w:rsidRPr="00467DB0">
        <w:t>oprettet</w:t>
      </w:r>
      <w:proofErr w:type="spellEnd"/>
      <w:r w:rsidRPr="00467DB0">
        <w:t xml:space="preserve"> ved forordning (EU) nr. 912/2010, og der </w:t>
      </w:r>
      <w:proofErr w:type="spellStart"/>
      <w:r w:rsidRPr="00467DB0">
        <w:t>fastsættes</w:t>
      </w:r>
      <w:proofErr w:type="spellEnd"/>
      <w:r w:rsidRPr="00467DB0">
        <w:t xml:space="preserve"> regler for driften </w:t>
      </w:r>
      <w:proofErr w:type="spellStart"/>
      <w:r w:rsidRPr="00467DB0">
        <w:t>af</w:t>
      </w:r>
      <w:proofErr w:type="spellEnd"/>
      <w:r w:rsidRPr="00467DB0">
        <w:t xml:space="preserve"> dette agentur.</w:t>
      </w:r>
    </w:p>
    <w:p w14:paraId="316EB459" w14:textId="77777777" w:rsidR="00000000" w:rsidRPr="00467DB0" w:rsidRDefault="00693D67" w:rsidP="00467DB0">
      <w:pPr>
        <w:pStyle w:val="avsnitt-undertittel"/>
      </w:pPr>
      <w:proofErr w:type="spellStart"/>
      <w:r w:rsidRPr="00467DB0">
        <w:t>Artikel</w:t>
      </w:r>
      <w:proofErr w:type="spellEnd"/>
      <w:r w:rsidRPr="00467DB0">
        <w:t> 2</w:t>
      </w:r>
    </w:p>
    <w:p w14:paraId="7F09961E" w14:textId="77777777" w:rsidR="00000000" w:rsidRPr="00467DB0" w:rsidRDefault="00693D67" w:rsidP="00467DB0">
      <w:pPr>
        <w:pStyle w:val="Undertittel"/>
      </w:pPr>
      <w:proofErr w:type="spellStart"/>
      <w:r w:rsidRPr="00467DB0">
        <w:t>Definitioner</w:t>
      </w:r>
      <w:proofErr w:type="spellEnd"/>
    </w:p>
    <w:p w14:paraId="2DD0EA4C" w14:textId="77777777" w:rsidR="00000000" w:rsidRPr="00467DB0" w:rsidRDefault="00693D67" w:rsidP="00467DB0">
      <w:r w:rsidRPr="00467DB0">
        <w:t>I denne forordning forstås ved:</w:t>
      </w:r>
    </w:p>
    <w:p w14:paraId="42B92094" w14:textId="77777777" w:rsidR="00000000" w:rsidRPr="00467DB0" w:rsidRDefault="00693D67" w:rsidP="00467DB0">
      <w:pPr>
        <w:pStyle w:val="friliste"/>
      </w:pPr>
      <w:r w:rsidRPr="00467DB0">
        <w:t>1)</w:t>
      </w:r>
      <w:r w:rsidRPr="00467DB0">
        <w:tab/>
        <w:t>"</w:t>
      </w:r>
      <w:proofErr w:type="spellStart"/>
      <w:r w:rsidRPr="00467DB0">
        <w:t>rumfartøj</w:t>
      </w:r>
      <w:proofErr w:type="spellEnd"/>
      <w:r w:rsidRPr="00467DB0">
        <w:t xml:space="preserve">": ethvert objekt, der </w:t>
      </w:r>
      <w:proofErr w:type="spellStart"/>
      <w:r w:rsidRPr="00467DB0">
        <w:t>befinder</w:t>
      </w:r>
      <w:proofErr w:type="spellEnd"/>
      <w:r w:rsidRPr="00467DB0">
        <w:t xml:space="preserve"> sig i </w:t>
      </w:r>
      <w:proofErr w:type="spellStart"/>
      <w:r w:rsidRPr="00467DB0">
        <w:t>kredsløb</w:t>
      </w:r>
      <w:proofErr w:type="spellEnd"/>
      <w:r w:rsidRPr="00467DB0">
        <w:t xml:space="preserve"> om jorden, og som er designet til at </w:t>
      </w:r>
      <w:proofErr w:type="spellStart"/>
      <w:r w:rsidRPr="00467DB0">
        <w:t>udføre</w:t>
      </w:r>
      <w:proofErr w:type="spellEnd"/>
      <w:r w:rsidRPr="00467DB0">
        <w:t xml:space="preserve"> en </w:t>
      </w:r>
      <w:proofErr w:type="spellStart"/>
      <w:r w:rsidRPr="00467DB0">
        <w:t>specifik</w:t>
      </w:r>
      <w:proofErr w:type="spellEnd"/>
      <w:r w:rsidRPr="00467DB0">
        <w:t xml:space="preserve"> </w:t>
      </w:r>
      <w:proofErr w:type="spellStart"/>
      <w:r w:rsidRPr="00467DB0">
        <w:t>funktion</w:t>
      </w:r>
      <w:proofErr w:type="spellEnd"/>
      <w:r w:rsidRPr="00467DB0">
        <w:t xml:space="preserve"> eller </w:t>
      </w:r>
      <w:proofErr w:type="spellStart"/>
      <w:r w:rsidRPr="00467DB0">
        <w:t>mission</w:t>
      </w:r>
      <w:proofErr w:type="spellEnd"/>
      <w:r w:rsidRPr="00467DB0">
        <w:t xml:space="preserve"> såsom </w:t>
      </w:r>
      <w:proofErr w:type="spellStart"/>
      <w:r w:rsidRPr="00467DB0">
        <w:t>kommunikation</w:t>
      </w:r>
      <w:proofErr w:type="spellEnd"/>
      <w:r w:rsidRPr="00467DB0">
        <w:t xml:space="preserve">, </w:t>
      </w:r>
      <w:proofErr w:type="spellStart"/>
      <w:r w:rsidRPr="00467DB0">
        <w:t>navigation</w:t>
      </w:r>
      <w:proofErr w:type="spellEnd"/>
      <w:r w:rsidRPr="00467DB0">
        <w:t xml:space="preserve"> eller </w:t>
      </w:r>
      <w:proofErr w:type="spellStart"/>
      <w:r w:rsidRPr="00467DB0">
        <w:t>jordobse</w:t>
      </w:r>
      <w:r w:rsidRPr="00467DB0">
        <w:t>rvationer</w:t>
      </w:r>
      <w:proofErr w:type="spellEnd"/>
      <w:r w:rsidRPr="00467DB0">
        <w:t xml:space="preserve">, herunder satellitter, løfteraketters øverste trin og </w:t>
      </w:r>
      <w:proofErr w:type="spellStart"/>
      <w:r w:rsidRPr="00467DB0">
        <w:t>reentrykapsler</w:t>
      </w:r>
      <w:proofErr w:type="spellEnd"/>
      <w:r w:rsidRPr="00467DB0">
        <w:t xml:space="preserve">; et </w:t>
      </w:r>
      <w:proofErr w:type="spellStart"/>
      <w:r w:rsidRPr="00467DB0">
        <w:t>rumfartøj</w:t>
      </w:r>
      <w:proofErr w:type="spellEnd"/>
      <w:r w:rsidRPr="00467DB0">
        <w:t xml:space="preserve">, som ikke </w:t>
      </w:r>
      <w:proofErr w:type="spellStart"/>
      <w:r w:rsidRPr="00467DB0">
        <w:t>længere</w:t>
      </w:r>
      <w:proofErr w:type="spellEnd"/>
      <w:r w:rsidRPr="00467DB0">
        <w:t xml:space="preserve"> kan </w:t>
      </w:r>
      <w:proofErr w:type="spellStart"/>
      <w:r w:rsidRPr="00467DB0">
        <w:t>opfylde</w:t>
      </w:r>
      <w:proofErr w:type="spellEnd"/>
      <w:r w:rsidRPr="00467DB0">
        <w:t xml:space="preserve"> sin planlagte </w:t>
      </w:r>
      <w:proofErr w:type="spellStart"/>
      <w:r w:rsidRPr="00467DB0">
        <w:t>mission</w:t>
      </w:r>
      <w:proofErr w:type="spellEnd"/>
      <w:r w:rsidRPr="00467DB0">
        <w:t xml:space="preserve">, anses for at være </w:t>
      </w:r>
      <w:proofErr w:type="spellStart"/>
      <w:r w:rsidRPr="00467DB0">
        <w:t>ikkefunktionsdygtigt</w:t>
      </w:r>
      <w:proofErr w:type="spellEnd"/>
      <w:r w:rsidRPr="00467DB0">
        <w:t xml:space="preserve">; reserve- eller </w:t>
      </w:r>
      <w:proofErr w:type="spellStart"/>
      <w:r w:rsidRPr="00467DB0">
        <w:t>standbyrumfartøjer</w:t>
      </w:r>
      <w:proofErr w:type="spellEnd"/>
      <w:r w:rsidRPr="00467DB0">
        <w:t xml:space="preserve">, som </w:t>
      </w:r>
      <w:proofErr w:type="spellStart"/>
      <w:r w:rsidRPr="00467DB0">
        <w:t>afventer</w:t>
      </w:r>
      <w:proofErr w:type="spellEnd"/>
      <w:r w:rsidRPr="00467DB0">
        <w:t xml:space="preserve"> en mulig reaktivering,</w:t>
      </w:r>
      <w:r w:rsidRPr="00467DB0">
        <w:t xml:space="preserve"> anses for at være </w:t>
      </w:r>
      <w:proofErr w:type="spellStart"/>
      <w:r w:rsidRPr="00467DB0">
        <w:t>funktionsdygtige</w:t>
      </w:r>
      <w:proofErr w:type="spellEnd"/>
    </w:p>
    <w:p w14:paraId="5323A5BB" w14:textId="77777777" w:rsidR="00000000" w:rsidRPr="00467DB0" w:rsidRDefault="00693D67" w:rsidP="00467DB0">
      <w:pPr>
        <w:pStyle w:val="friliste"/>
      </w:pPr>
      <w:r w:rsidRPr="00467DB0">
        <w:t>2)</w:t>
      </w:r>
      <w:r w:rsidRPr="00467DB0">
        <w:tab/>
        <w:t>"</w:t>
      </w:r>
      <w:proofErr w:type="spellStart"/>
      <w:r w:rsidRPr="00467DB0">
        <w:t>rumobjekt</w:t>
      </w:r>
      <w:proofErr w:type="spellEnd"/>
      <w:r w:rsidRPr="00467DB0">
        <w:t xml:space="preserve">": ethvert </w:t>
      </w:r>
      <w:proofErr w:type="spellStart"/>
      <w:r w:rsidRPr="00467DB0">
        <w:t>menneskeskabt</w:t>
      </w:r>
      <w:proofErr w:type="spellEnd"/>
      <w:r w:rsidRPr="00467DB0">
        <w:t xml:space="preserve"> objekt i det </w:t>
      </w:r>
      <w:proofErr w:type="spellStart"/>
      <w:r w:rsidRPr="00467DB0">
        <w:t>ydre</w:t>
      </w:r>
      <w:proofErr w:type="spellEnd"/>
      <w:r w:rsidRPr="00467DB0">
        <w:t xml:space="preserve"> </w:t>
      </w:r>
      <w:proofErr w:type="spellStart"/>
      <w:r w:rsidRPr="00467DB0">
        <w:t>rum</w:t>
      </w:r>
      <w:proofErr w:type="spellEnd"/>
    </w:p>
    <w:p w14:paraId="1999DA37" w14:textId="77777777" w:rsidR="00000000" w:rsidRPr="00467DB0" w:rsidRDefault="00693D67" w:rsidP="00467DB0">
      <w:pPr>
        <w:pStyle w:val="friliste"/>
      </w:pPr>
      <w:r w:rsidRPr="00467DB0">
        <w:lastRenderedPageBreak/>
        <w:t>3)</w:t>
      </w:r>
      <w:r w:rsidRPr="00467DB0">
        <w:tab/>
        <w:t>"jordnære objekter" (</w:t>
      </w:r>
      <w:proofErr w:type="spellStart"/>
      <w:r w:rsidRPr="00467DB0">
        <w:t>near</w:t>
      </w:r>
      <w:proofErr w:type="spellEnd"/>
      <w:r w:rsidRPr="00467DB0">
        <w:t xml:space="preserve"> </w:t>
      </w:r>
      <w:proofErr w:type="spellStart"/>
      <w:r w:rsidRPr="00467DB0">
        <w:t>earth</w:t>
      </w:r>
      <w:proofErr w:type="spellEnd"/>
      <w:r w:rsidRPr="00467DB0">
        <w:t xml:space="preserve"> </w:t>
      </w:r>
      <w:proofErr w:type="spellStart"/>
      <w:r w:rsidRPr="00467DB0">
        <w:t>objects</w:t>
      </w:r>
      <w:proofErr w:type="spellEnd"/>
      <w:r w:rsidRPr="00467DB0">
        <w:t xml:space="preserve">): </w:t>
      </w:r>
      <w:proofErr w:type="spellStart"/>
      <w:r w:rsidRPr="00467DB0">
        <w:t>naturskabte</w:t>
      </w:r>
      <w:proofErr w:type="spellEnd"/>
      <w:r w:rsidRPr="00467DB0">
        <w:t xml:space="preserve"> objekter i solsystemet, der nærmer </w:t>
      </w:r>
      <w:proofErr w:type="spellStart"/>
      <w:r w:rsidRPr="00467DB0">
        <w:t>sig</w:t>
      </w:r>
      <w:proofErr w:type="spellEnd"/>
      <w:r w:rsidRPr="00467DB0">
        <w:t xml:space="preserve"> jorden</w:t>
      </w:r>
    </w:p>
    <w:p w14:paraId="3E553D4F" w14:textId="77777777" w:rsidR="00000000" w:rsidRPr="00467DB0" w:rsidRDefault="00693D67" w:rsidP="00467DB0">
      <w:pPr>
        <w:pStyle w:val="friliste"/>
      </w:pPr>
      <w:r w:rsidRPr="00467DB0">
        <w:t>4)</w:t>
      </w:r>
      <w:r w:rsidRPr="00467DB0">
        <w:tab/>
        <w:t>"</w:t>
      </w:r>
      <w:proofErr w:type="spellStart"/>
      <w:r w:rsidRPr="00467DB0">
        <w:t>rumaffald</w:t>
      </w:r>
      <w:proofErr w:type="spellEnd"/>
      <w:r w:rsidRPr="00467DB0">
        <w:t xml:space="preserve">": ethvert </w:t>
      </w:r>
      <w:proofErr w:type="spellStart"/>
      <w:r w:rsidRPr="00467DB0">
        <w:t>rumobjekt</w:t>
      </w:r>
      <w:proofErr w:type="spellEnd"/>
      <w:r w:rsidRPr="00467DB0">
        <w:t xml:space="preserve">, herunder </w:t>
      </w:r>
      <w:proofErr w:type="spellStart"/>
      <w:r w:rsidRPr="00467DB0">
        <w:t>rumfartøjer</w:t>
      </w:r>
      <w:proofErr w:type="spellEnd"/>
      <w:r w:rsidRPr="00467DB0">
        <w:t xml:space="preserve"> e</w:t>
      </w:r>
      <w:r w:rsidRPr="00467DB0">
        <w:t xml:space="preserve">ller fragmenter og elementer </w:t>
      </w:r>
      <w:proofErr w:type="spellStart"/>
      <w:r w:rsidRPr="00467DB0">
        <w:t>heraf</w:t>
      </w:r>
      <w:proofErr w:type="spellEnd"/>
      <w:r w:rsidRPr="00467DB0">
        <w:t xml:space="preserve">, der er i </w:t>
      </w:r>
      <w:proofErr w:type="spellStart"/>
      <w:r w:rsidRPr="00467DB0">
        <w:t>kredsløb</w:t>
      </w:r>
      <w:proofErr w:type="spellEnd"/>
      <w:r w:rsidRPr="00467DB0">
        <w:t xml:space="preserve"> om jorden, eller som </w:t>
      </w:r>
      <w:proofErr w:type="spellStart"/>
      <w:r w:rsidRPr="00467DB0">
        <w:t>trænger</w:t>
      </w:r>
      <w:proofErr w:type="spellEnd"/>
      <w:r w:rsidRPr="00467DB0">
        <w:t xml:space="preserve"> </w:t>
      </w:r>
      <w:proofErr w:type="spellStart"/>
      <w:r w:rsidRPr="00467DB0">
        <w:t>ind</w:t>
      </w:r>
      <w:proofErr w:type="spellEnd"/>
      <w:r w:rsidRPr="00467DB0">
        <w:t xml:space="preserve"> i jordens atmosfære </w:t>
      </w:r>
      <w:proofErr w:type="spellStart"/>
      <w:r w:rsidRPr="00467DB0">
        <w:t>igen</w:t>
      </w:r>
      <w:proofErr w:type="spellEnd"/>
      <w:r w:rsidRPr="00467DB0">
        <w:t xml:space="preserve">, og som ikke fungerer eller ikke </w:t>
      </w:r>
      <w:proofErr w:type="spellStart"/>
      <w:r w:rsidRPr="00467DB0">
        <w:t>længere</w:t>
      </w:r>
      <w:proofErr w:type="spellEnd"/>
      <w:r w:rsidRPr="00467DB0">
        <w:t xml:space="preserve"> tjener </w:t>
      </w:r>
      <w:proofErr w:type="spellStart"/>
      <w:r w:rsidRPr="00467DB0">
        <w:t>noget</w:t>
      </w:r>
      <w:proofErr w:type="spellEnd"/>
      <w:r w:rsidRPr="00467DB0">
        <w:t xml:space="preserve"> </w:t>
      </w:r>
      <w:proofErr w:type="spellStart"/>
      <w:r w:rsidRPr="00467DB0">
        <w:t>specifikt</w:t>
      </w:r>
      <w:proofErr w:type="spellEnd"/>
      <w:r w:rsidRPr="00467DB0">
        <w:t xml:space="preserve"> formål, herunder dele </w:t>
      </w:r>
      <w:proofErr w:type="spellStart"/>
      <w:r w:rsidRPr="00467DB0">
        <w:t>af</w:t>
      </w:r>
      <w:proofErr w:type="spellEnd"/>
      <w:r w:rsidRPr="00467DB0">
        <w:t xml:space="preserve"> raketter eller kunstige satellitter eller inaktive kuns</w:t>
      </w:r>
      <w:r w:rsidRPr="00467DB0">
        <w:t>tige satellitter</w:t>
      </w:r>
    </w:p>
    <w:p w14:paraId="671DC48E" w14:textId="77777777" w:rsidR="00000000" w:rsidRPr="00467DB0" w:rsidRDefault="00693D67" w:rsidP="00467DB0">
      <w:pPr>
        <w:pStyle w:val="friliste"/>
      </w:pPr>
      <w:r w:rsidRPr="00467DB0">
        <w:t>5)</w:t>
      </w:r>
      <w:r w:rsidRPr="00467DB0">
        <w:tab/>
        <w:t>"</w:t>
      </w:r>
      <w:proofErr w:type="spellStart"/>
      <w:r w:rsidRPr="00467DB0">
        <w:t>rumvejr</w:t>
      </w:r>
      <w:proofErr w:type="spellEnd"/>
      <w:r w:rsidRPr="00467DB0">
        <w:t xml:space="preserve">": </w:t>
      </w:r>
      <w:proofErr w:type="spellStart"/>
      <w:r w:rsidRPr="00467DB0">
        <w:t>naturligt</w:t>
      </w:r>
      <w:proofErr w:type="spellEnd"/>
      <w:r w:rsidRPr="00467DB0">
        <w:t xml:space="preserve"> forekommende </w:t>
      </w:r>
      <w:proofErr w:type="spellStart"/>
      <w:r w:rsidRPr="00467DB0">
        <w:t>variationer</w:t>
      </w:r>
      <w:proofErr w:type="spellEnd"/>
      <w:r w:rsidRPr="00467DB0">
        <w:t xml:space="preserve"> i </w:t>
      </w:r>
      <w:proofErr w:type="spellStart"/>
      <w:r w:rsidRPr="00467DB0">
        <w:t>rummiljøet</w:t>
      </w:r>
      <w:proofErr w:type="spellEnd"/>
      <w:r w:rsidRPr="00467DB0">
        <w:t xml:space="preserve"> ved solen og omkring jorden, herunder </w:t>
      </w:r>
      <w:proofErr w:type="spellStart"/>
      <w:r w:rsidRPr="00467DB0">
        <w:t>soleruptioner</w:t>
      </w:r>
      <w:proofErr w:type="spellEnd"/>
      <w:r w:rsidRPr="00467DB0">
        <w:t xml:space="preserve">, solprotoner, </w:t>
      </w:r>
      <w:proofErr w:type="spellStart"/>
      <w:r w:rsidRPr="00467DB0">
        <w:t>variationer</w:t>
      </w:r>
      <w:proofErr w:type="spellEnd"/>
      <w:r w:rsidRPr="00467DB0">
        <w:t xml:space="preserve"> i solvinden, </w:t>
      </w:r>
      <w:proofErr w:type="spellStart"/>
      <w:r w:rsidRPr="00467DB0">
        <w:t>udstødelse</w:t>
      </w:r>
      <w:proofErr w:type="spellEnd"/>
      <w:r w:rsidRPr="00467DB0">
        <w:t xml:space="preserve"> </w:t>
      </w:r>
      <w:proofErr w:type="spellStart"/>
      <w:r w:rsidRPr="00467DB0">
        <w:t>af</w:t>
      </w:r>
      <w:proofErr w:type="spellEnd"/>
      <w:r w:rsidRPr="00467DB0">
        <w:t xml:space="preserve"> koronamasse, geomagnetiske storme og dynamikker, </w:t>
      </w:r>
      <w:proofErr w:type="spellStart"/>
      <w:r w:rsidRPr="00467DB0">
        <w:t>solstrålingsstorme</w:t>
      </w:r>
      <w:proofErr w:type="spellEnd"/>
      <w:r w:rsidRPr="00467DB0">
        <w:t xml:space="preserve"> og i</w:t>
      </w:r>
      <w:r w:rsidRPr="00467DB0">
        <w:t xml:space="preserve">onosfæriske forstyrrelser, som potentielt kan </w:t>
      </w:r>
      <w:proofErr w:type="spellStart"/>
      <w:r w:rsidRPr="00467DB0">
        <w:t>indvirke</w:t>
      </w:r>
      <w:proofErr w:type="spellEnd"/>
      <w:r w:rsidRPr="00467DB0">
        <w:t xml:space="preserve"> på jorden og på </w:t>
      </w:r>
      <w:proofErr w:type="spellStart"/>
      <w:r w:rsidRPr="00467DB0">
        <w:t>rumbaserede</w:t>
      </w:r>
      <w:proofErr w:type="spellEnd"/>
      <w:r w:rsidRPr="00467DB0">
        <w:t xml:space="preserve"> infrastrukturer</w:t>
      </w:r>
    </w:p>
    <w:p w14:paraId="7C0A7903" w14:textId="77777777" w:rsidR="00000000" w:rsidRPr="00467DB0" w:rsidRDefault="00693D67" w:rsidP="00467DB0">
      <w:pPr>
        <w:pStyle w:val="friliste"/>
      </w:pPr>
      <w:r w:rsidRPr="00467DB0">
        <w:t>6)</w:t>
      </w:r>
      <w:r w:rsidRPr="00467DB0">
        <w:tab/>
        <w:t>"</w:t>
      </w:r>
      <w:proofErr w:type="spellStart"/>
      <w:r w:rsidRPr="00467DB0">
        <w:t>kendskab</w:t>
      </w:r>
      <w:proofErr w:type="spellEnd"/>
      <w:r w:rsidRPr="00467DB0">
        <w:t xml:space="preserve"> til </w:t>
      </w:r>
      <w:proofErr w:type="spellStart"/>
      <w:r w:rsidRPr="00467DB0">
        <w:t>situationen</w:t>
      </w:r>
      <w:proofErr w:type="spellEnd"/>
      <w:r w:rsidRPr="00467DB0">
        <w:t xml:space="preserve"> i </w:t>
      </w:r>
      <w:proofErr w:type="spellStart"/>
      <w:r w:rsidRPr="00467DB0">
        <w:t>rummet</w:t>
      </w:r>
      <w:proofErr w:type="spellEnd"/>
      <w:r w:rsidRPr="00467DB0">
        <w:t>" (</w:t>
      </w:r>
      <w:proofErr w:type="spellStart"/>
      <w:r w:rsidRPr="00467DB0">
        <w:t>space</w:t>
      </w:r>
      <w:proofErr w:type="spellEnd"/>
      <w:r w:rsidRPr="00467DB0">
        <w:t xml:space="preserve"> </w:t>
      </w:r>
      <w:proofErr w:type="spellStart"/>
      <w:r w:rsidRPr="00467DB0">
        <w:t>situational</w:t>
      </w:r>
      <w:proofErr w:type="spellEnd"/>
      <w:r w:rsidRPr="00467DB0">
        <w:t xml:space="preserve"> </w:t>
      </w:r>
      <w:proofErr w:type="spellStart"/>
      <w:r w:rsidRPr="00467DB0">
        <w:t>awareness</w:t>
      </w:r>
      <w:proofErr w:type="spellEnd"/>
      <w:r w:rsidRPr="00467DB0">
        <w:t xml:space="preserve"> eller "SSA"): en holistisk tilgang, herunder viden om og forståelse </w:t>
      </w:r>
      <w:proofErr w:type="spellStart"/>
      <w:r w:rsidRPr="00467DB0">
        <w:t>af</w:t>
      </w:r>
      <w:proofErr w:type="spellEnd"/>
      <w:r w:rsidRPr="00467DB0">
        <w:t xml:space="preserve"> de </w:t>
      </w:r>
      <w:proofErr w:type="spellStart"/>
      <w:r w:rsidRPr="00467DB0">
        <w:t>vigtigste</w:t>
      </w:r>
      <w:proofErr w:type="spellEnd"/>
      <w:r w:rsidRPr="00467DB0">
        <w:t xml:space="preserve"> </w:t>
      </w:r>
      <w:proofErr w:type="spellStart"/>
      <w:r w:rsidRPr="00467DB0">
        <w:t>risic</w:t>
      </w:r>
      <w:r w:rsidRPr="00467DB0">
        <w:t>i</w:t>
      </w:r>
      <w:proofErr w:type="spellEnd"/>
      <w:r w:rsidRPr="00467DB0">
        <w:t xml:space="preserve"> i </w:t>
      </w:r>
      <w:proofErr w:type="spellStart"/>
      <w:r w:rsidRPr="00467DB0">
        <w:t>rummet</w:t>
      </w:r>
      <w:proofErr w:type="spellEnd"/>
      <w:r w:rsidRPr="00467DB0">
        <w:t xml:space="preserve">, der omfatter </w:t>
      </w:r>
      <w:proofErr w:type="spellStart"/>
      <w:r w:rsidRPr="00467DB0">
        <w:t>kollisioner</w:t>
      </w:r>
      <w:proofErr w:type="spellEnd"/>
      <w:r w:rsidRPr="00467DB0">
        <w:t xml:space="preserve"> </w:t>
      </w:r>
      <w:proofErr w:type="spellStart"/>
      <w:r w:rsidRPr="00467DB0">
        <w:t>mellem</w:t>
      </w:r>
      <w:proofErr w:type="spellEnd"/>
      <w:r w:rsidRPr="00467DB0">
        <w:t xml:space="preserve"> </w:t>
      </w:r>
      <w:proofErr w:type="spellStart"/>
      <w:r w:rsidRPr="00467DB0">
        <w:t>rumobjekter</w:t>
      </w:r>
      <w:proofErr w:type="spellEnd"/>
      <w:r w:rsidRPr="00467DB0">
        <w:t xml:space="preserve">, fragmentering og </w:t>
      </w:r>
      <w:proofErr w:type="spellStart"/>
      <w:r w:rsidRPr="00467DB0">
        <w:t>genindtrængen</w:t>
      </w:r>
      <w:proofErr w:type="spellEnd"/>
      <w:r w:rsidRPr="00467DB0">
        <w:t xml:space="preserve"> </w:t>
      </w:r>
      <w:proofErr w:type="spellStart"/>
      <w:r w:rsidRPr="00467DB0">
        <w:t>af</w:t>
      </w:r>
      <w:proofErr w:type="spellEnd"/>
      <w:r w:rsidRPr="00467DB0">
        <w:t xml:space="preserve"> </w:t>
      </w:r>
      <w:proofErr w:type="spellStart"/>
      <w:r w:rsidRPr="00467DB0">
        <w:t>rumobjekter</w:t>
      </w:r>
      <w:proofErr w:type="spellEnd"/>
      <w:r w:rsidRPr="00467DB0">
        <w:t xml:space="preserve"> i atmosfæren, </w:t>
      </w:r>
      <w:proofErr w:type="spellStart"/>
      <w:r w:rsidRPr="00467DB0">
        <w:t>rumvejrsfænomener</w:t>
      </w:r>
      <w:proofErr w:type="spellEnd"/>
      <w:r w:rsidRPr="00467DB0">
        <w:t xml:space="preserve"> og jordnære objekter</w:t>
      </w:r>
    </w:p>
    <w:p w14:paraId="38D16AD7" w14:textId="77777777" w:rsidR="00000000" w:rsidRPr="00467DB0" w:rsidRDefault="00693D67" w:rsidP="00467DB0">
      <w:pPr>
        <w:pStyle w:val="friliste"/>
      </w:pPr>
      <w:r w:rsidRPr="00467DB0">
        <w:t>7)</w:t>
      </w:r>
      <w:r w:rsidRPr="00467DB0">
        <w:tab/>
        <w:t xml:space="preserve">"system til </w:t>
      </w:r>
      <w:proofErr w:type="spellStart"/>
      <w:r w:rsidRPr="00467DB0">
        <w:t>overvågning</w:t>
      </w:r>
      <w:proofErr w:type="spellEnd"/>
      <w:r w:rsidRPr="00467DB0">
        <w:t xml:space="preserve"> og sporing i </w:t>
      </w:r>
      <w:proofErr w:type="spellStart"/>
      <w:r w:rsidRPr="00467DB0">
        <w:t>rummet</w:t>
      </w:r>
      <w:proofErr w:type="spellEnd"/>
      <w:r w:rsidRPr="00467DB0">
        <w:t xml:space="preserve">" eller "SST"": et </w:t>
      </w:r>
      <w:proofErr w:type="spellStart"/>
      <w:r w:rsidRPr="00467DB0">
        <w:t>net</w:t>
      </w:r>
      <w:proofErr w:type="spellEnd"/>
      <w:r w:rsidRPr="00467DB0">
        <w:t xml:space="preserve"> </w:t>
      </w:r>
      <w:proofErr w:type="spellStart"/>
      <w:r w:rsidRPr="00467DB0">
        <w:t>af</w:t>
      </w:r>
      <w:proofErr w:type="spellEnd"/>
      <w:r w:rsidRPr="00467DB0">
        <w:t xml:space="preserve"> jordbaserede og </w:t>
      </w:r>
      <w:proofErr w:type="spellStart"/>
      <w:r w:rsidRPr="00467DB0">
        <w:t>rumbaserede</w:t>
      </w:r>
      <w:proofErr w:type="spellEnd"/>
      <w:r w:rsidRPr="00467DB0">
        <w:t xml:space="preserve"> </w:t>
      </w:r>
      <w:r w:rsidRPr="00467DB0">
        <w:t xml:space="preserve">sensorer, der er i stand til at </w:t>
      </w:r>
      <w:proofErr w:type="spellStart"/>
      <w:r w:rsidRPr="00467DB0">
        <w:t>overvåge</w:t>
      </w:r>
      <w:proofErr w:type="spellEnd"/>
      <w:r w:rsidRPr="00467DB0">
        <w:t xml:space="preserve"> og spore </w:t>
      </w:r>
      <w:proofErr w:type="spellStart"/>
      <w:r w:rsidRPr="00467DB0">
        <w:t>rumobjekter</w:t>
      </w:r>
      <w:proofErr w:type="spellEnd"/>
      <w:r w:rsidRPr="00467DB0">
        <w:t xml:space="preserve"> sammen, og som har </w:t>
      </w:r>
      <w:proofErr w:type="spellStart"/>
      <w:r w:rsidRPr="00467DB0">
        <w:t>behandlingskapaciteter</w:t>
      </w:r>
      <w:proofErr w:type="spellEnd"/>
    </w:p>
    <w:p w14:paraId="54FC9298" w14:textId="77777777" w:rsidR="00000000" w:rsidRPr="00467DB0" w:rsidRDefault="00693D67" w:rsidP="00467DB0">
      <w:pPr>
        <w:pStyle w:val="friliste"/>
      </w:pPr>
      <w:r w:rsidRPr="00467DB0">
        <w:t>8)</w:t>
      </w:r>
      <w:r w:rsidRPr="00467DB0">
        <w:tab/>
        <w:t xml:space="preserve">"SST-sensor": en anordning eller en </w:t>
      </w:r>
      <w:proofErr w:type="spellStart"/>
      <w:r w:rsidRPr="00467DB0">
        <w:t>kombination</w:t>
      </w:r>
      <w:proofErr w:type="spellEnd"/>
      <w:r w:rsidRPr="00467DB0">
        <w:t xml:space="preserve"> </w:t>
      </w:r>
      <w:proofErr w:type="spellStart"/>
      <w:r w:rsidRPr="00467DB0">
        <w:t>af</w:t>
      </w:r>
      <w:proofErr w:type="spellEnd"/>
      <w:r w:rsidRPr="00467DB0">
        <w:t xml:space="preserve"> anordninger, såsom jordbaserede eller </w:t>
      </w:r>
      <w:proofErr w:type="spellStart"/>
      <w:r w:rsidRPr="00467DB0">
        <w:t>rumbaserede</w:t>
      </w:r>
      <w:proofErr w:type="spellEnd"/>
      <w:r w:rsidRPr="00467DB0">
        <w:t xml:space="preserve"> radarer, lasere og teleskoper, som er i stand ti</w:t>
      </w:r>
      <w:r w:rsidRPr="00467DB0">
        <w:t xml:space="preserve">l at </w:t>
      </w:r>
      <w:proofErr w:type="spellStart"/>
      <w:r w:rsidRPr="00467DB0">
        <w:t>udføre</w:t>
      </w:r>
      <w:proofErr w:type="spellEnd"/>
      <w:r w:rsidRPr="00467DB0">
        <w:t xml:space="preserve"> </w:t>
      </w:r>
      <w:proofErr w:type="spellStart"/>
      <w:r w:rsidRPr="00467DB0">
        <w:t>rumovervågning</w:t>
      </w:r>
      <w:proofErr w:type="spellEnd"/>
      <w:r w:rsidRPr="00467DB0">
        <w:t xml:space="preserve"> eller </w:t>
      </w:r>
      <w:proofErr w:type="spellStart"/>
      <w:r w:rsidRPr="00467DB0">
        <w:t>rumsporing</w:t>
      </w:r>
      <w:proofErr w:type="spellEnd"/>
      <w:r w:rsidRPr="00467DB0">
        <w:t xml:space="preserve"> og kan måle de fysiske </w:t>
      </w:r>
      <w:proofErr w:type="spellStart"/>
      <w:r w:rsidRPr="00467DB0">
        <w:t>parametre</w:t>
      </w:r>
      <w:proofErr w:type="spellEnd"/>
      <w:r w:rsidRPr="00467DB0">
        <w:t xml:space="preserve"> i </w:t>
      </w:r>
      <w:proofErr w:type="spellStart"/>
      <w:r w:rsidRPr="00467DB0">
        <w:t>relation</w:t>
      </w:r>
      <w:proofErr w:type="spellEnd"/>
      <w:r w:rsidRPr="00467DB0">
        <w:t xml:space="preserve"> til </w:t>
      </w:r>
      <w:proofErr w:type="spellStart"/>
      <w:r w:rsidRPr="00467DB0">
        <w:t>rumobjekter</w:t>
      </w:r>
      <w:proofErr w:type="spellEnd"/>
      <w:r w:rsidRPr="00467DB0">
        <w:t xml:space="preserve"> såsom størrelse, </w:t>
      </w:r>
      <w:proofErr w:type="spellStart"/>
      <w:r w:rsidRPr="00467DB0">
        <w:t>position</w:t>
      </w:r>
      <w:proofErr w:type="spellEnd"/>
      <w:r w:rsidRPr="00467DB0">
        <w:t xml:space="preserve"> og </w:t>
      </w:r>
      <w:proofErr w:type="spellStart"/>
      <w:r w:rsidRPr="00467DB0">
        <w:t>hastighed</w:t>
      </w:r>
      <w:proofErr w:type="spellEnd"/>
    </w:p>
    <w:p w14:paraId="7890BEE9" w14:textId="77777777" w:rsidR="00000000" w:rsidRPr="00467DB0" w:rsidRDefault="00693D67" w:rsidP="00467DB0">
      <w:pPr>
        <w:pStyle w:val="friliste"/>
      </w:pPr>
      <w:r w:rsidRPr="00467DB0">
        <w:t>9)</w:t>
      </w:r>
      <w:r w:rsidRPr="00467DB0">
        <w:tab/>
        <w:t xml:space="preserve">"SST-data": </w:t>
      </w:r>
      <w:proofErr w:type="spellStart"/>
      <w:r w:rsidRPr="00467DB0">
        <w:t>rumobjekters</w:t>
      </w:r>
      <w:proofErr w:type="spellEnd"/>
      <w:r w:rsidRPr="00467DB0">
        <w:t xml:space="preserve">, herunder </w:t>
      </w:r>
      <w:proofErr w:type="spellStart"/>
      <w:r w:rsidRPr="00467DB0">
        <w:t>rumaffalds</w:t>
      </w:r>
      <w:proofErr w:type="spellEnd"/>
      <w:r w:rsidRPr="00467DB0">
        <w:t xml:space="preserve">, fysiske </w:t>
      </w:r>
      <w:proofErr w:type="spellStart"/>
      <w:r w:rsidRPr="00467DB0">
        <w:t>parametre</w:t>
      </w:r>
      <w:proofErr w:type="spellEnd"/>
      <w:r w:rsidRPr="00467DB0">
        <w:t xml:space="preserve"> </w:t>
      </w:r>
      <w:proofErr w:type="spellStart"/>
      <w:r w:rsidRPr="00467DB0">
        <w:t>indhentet</w:t>
      </w:r>
      <w:proofErr w:type="spellEnd"/>
      <w:r w:rsidRPr="00467DB0">
        <w:t xml:space="preserve"> </w:t>
      </w:r>
      <w:proofErr w:type="spellStart"/>
      <w:r w:rsidRPr="00467DB0">
        <w:t>af</w:t>
      </w:r>
      <w:proofErr w:type="spellEnd"/>
      <w:r w:rsidRPr="00467DB0">
        <w:t xml:space="preserve"> SST-sensorer eller </w:t>
      </w:r>
      <w:proofErr w:type="spellStart"/>
      <w:r w:rsidRPr="00467DB0">
        <w:t>rumobjekters</w:t>
      </w:r>
      <w:proofErr w:type="spellEnd"/>
      <w:r w:rsidRPr="00467DB0">
        <w:t xml:space="preserve"> </w:t>
      </w:r>
      <w:proofErr w:type="spellStart"/>
      <w:r w:rsidRPr="00467DB0">
        <w:t>kredsløbsparametre</w:t>
      </w:r>
      <w:proofErr w:type="spellEnd"/>
      <w:r w:rsidRPr="00467DB0">
        <w:t xml:space="preserve">, som er </w:t>
      </w:r>
      <w:proofErr w:type="spellStart"/>
      <w:r w:rsidRPr="00467DB0">
        <w:t>udledt</w:t>
      </w:r>
      <w:proofErr w:type="spellEnd"/>
      <w:r w:rsidRPr="00467DB0">
        <w:t xml:space="preserve"> </w:t>
      </w:r>
      <w:proofErr w:type="spellStart"/>
      <w:r w:rsidRPr="00467DB0">
        <w:t>af</w:t>
      </w:r>
      <w:proofErr w:type="spellEnd"/>
      <w:r w:rsidRPr="00467DB0">
        <w:t xml:space="preserve"> SST-sensorers </w:t>
      </w:r>
      <w:proofErr w:type="spellStart"/>
      <w:r w:rsidRPr="00467DB0">
        <w:t>observationer</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SST-delkomponenten</w:t>
      </w:r>
    </w:p>
    <w:p w14:paraId="63F8EDD9" w14:textId="77777777" w:rsidR="00000000" w:rsidRPr="00467DB0" w:rsidRDefault="00693D67" w:rsidP="00467DB0">
      <w:pPr>
        <w:pStyle w:val="friliste"/>
      </w:pPr>
      <w:r w:rsidRPr="00467DB0">
        <w:t>10)</w:t>
      </w:r>
      <w:r w:rsidRPr="00467DB0">
        <w:tab/>
        <w:t>"SST-</w:t>
      </w:r>
      <w:proofErr w:type="spellStart"/>
      <w:r w:rsidRPr="00467DB0">
        <w:t>informationer</w:t>
      </w:r>
      <w:proofErr w:type="spellEnd"/>
      <w:r w:rsidRPr="00467DB0">
        <w:t xml:space="preserve">": behandlede SST-data, som er umiddelbart forståelige for </w:t>
      </w:r>
      <w:proofErr w:type="spellStart"/>
      <w:r w:rsidRPr="00467DB0">
        <w:t>modtageren</w:t>
      </w:r>
      <w:proofErr w:type="spellEnd"/>
    </w:p>
    <w:p w14:paraId="5FC98BC0" w14:textId="77777777" w:rsidR="00000000" w:rsidRPr="00467DB0" w:rsidRDefault="00693D67" w:rsidP="00467DB0">
      <w:pPr>
        <w:pStyle w:val="friliste"/>
      </w:pPr>
      <w:r w:rsidRPr="00467DB0">
        <w:t>11)</w:t>
      </w:r>
      <w:r w:rsidRPr="00467DB0">
        <w:tab/>
        <w:t xml:space="preserve">"returlink": en </w:t>
      </w:r>
      <w:proofErr w:type="spellStart"/>
      <w:r w:rsidRPr="00467DB0">
        <w:t>funktionel</w:t>
      </w:r>
      <w:proofErr w:type="spellEnd"/>
      <w:r w:rsidRPr="00467DB0">
        <w:t xml:space="preserve"> </w:t>
      </w:r>
      <w:proofErr w:type="spellStart"/>
      <w:r w:rsidRPr="00467DB0">
        <w:t>kapacitet</w:t>
      </w:r>
      <w:proofErr w:type="spellEnd"/>
      <w:r w:rsidRPr="00467DB0">
        <w:t xml:space="preserve"> under Galileos </w:t>
      </w:r>
      <w:proofErr w:type="spellStart"/>
      <w:r w:rsidRPr="00467DB0">
        <w:t>ef</w:t>
      </w:r>
      <w:r w:rsidRPr="00467DB0">
        <w:t>tersøgnings</w:t>
      </w:r>
      <w:proofErr w:type="spellEnd"/>
      <w:r w:rsidRPr="00467DB0">
        <w:t xml:space="preserve">- og redningstjeneste (SAR); Galileos SAR-tjeneste skal </w:t>
      </w:r>
      <w:proofErr w:type="spellStart"/>
      <w:r w:rsidRPr="00467DB0">
        <w:t>bidrage</w:t>
      </w:r>
      <w:proofErr w:type="spellEnd"/>
      <w:r w:rsidRPr="00467DB0">
        <w:t xml:space="preserve"> til den globale </w:t>
      </w:r>
      <w:proofErr w:type="spellStart"/>
      <w:r w:rsidRPr="00467DB0">
        <w:t>overvågning</w:t>
      </w:r>
      <w:proofErr w:type="spellEnd"/>
      <w:r w:rsidRPr="00467DB0">
        <w:t xml:space="preserve"> </w:t>
      </w:r>
      <w:proofErr w:type="spellStart"/>
      <w:r w:rsidRPr="00467DB0">
        <w:t>af</w:t>
      </w:r>
      <w:proofErr w:type="spellEnd"/>
      <w:r w:rsidRPr="00467DB0">
        <w:t xml:space="preserve"> </w:t>
      </w:r>
      <w:proofErr w:type="spellStart"/>
      <w:r w:rsidRPr="00467DB0">
        <w:t>luftfartøjer</w:t>
      </w:r>
      <w:proofErr w:type="spellEnd"/>
      <w:r w:rsidRPr="00467DB0">
        <w:t xml:space="preserve"> som </w:t>
      </w:r>
      <w:proofErr w:type="spellStart"/>
      <w:r w:rsidRPr="00467DB0">
        <w:t>defineret</w:t>
      </w:r>
      <w:proofErr w:type="spellEnd"/>
      <w:r w:rsidRPr="00467DB0">
        <w:t xml:space="preserve"> </w:t>
      </w:r>
      <w:proofErr w:type="spellStart"/>
      <w:r w:rsidRPr="00467DB0">
        <w:t>af</w:t>
      </w:r>
      <w:proofErr w:type="spellEnd"/>
      <w:r w:rsidRPr="00467DB0">
        <w:t xml:space="preserve"> </w:t>
      </w:r>
      <w:proofErr w:type="spellStart"/>
      <w:r w:rsidRPr="00467DB0">
        <w:t>Organisationen</w:t>
      </w:r>
      <w:proofErr w:type="spellEnd"/>
      <w:r w:rsidRPr="00467DB0">
        <w:t xml:space="preserve"> for International </w:t>
      </w:r>
      <w:proofErr w:type="spellStart"/>
      <w:r w:rsidRPr="00467DB0">
        <w:t>Civil</w:t>
      </w:r>
      <w:proofErr w:type="spellEnd"/>
      <w:r w:rsidRPr="00467DB0">
        <w:t xml:space="preserve"> Luftfart (ICAO)</w:t>
      </w:r>
    </w:p>
    <w:p w14:paraId="5203307F" w14:textId="77777777" w:rsidR="00000000" w:rsidRPr="00467DB0" w:rsidRDefault="00693D67" w:rsidP="00467DB0">
      <w:pPr>
        <w:pStyle w:val="friliste"/>
      </w:pPr>
      <w:r w:rsidRPr="00467DB0">
        <w:t>12)</w:t>
      </w:r>
      <w:r w:rsidRPr="00467DB0">
        <w:tab/>
        <w:t>"</w:t>
      </w:r>
      <w:proofErr w:type="spellStart"/>
      <w:r w:rsidRPr="00467DB0">
        <w:t>Copernicussentineller</w:t>
      </w:r>
      <w:proofErr w:type="spellEnd"/>
      <w:r w:rsidRPr="00467DB0">
        <w:t xml:space="preserve">": særlige </w:t>
      </w:r>
      <w:proofErr w:type="spellStart"/>
      <w:r w:rsidRPr="00467DB0">
        <w:t>Copernicussatellitter</w:t>
      </w:r>
      <w:proofErr w:type="spellEnd"/>
      <w:r w:rsidRPr="00467DB0">
        <w:t xml:space="preserve">, </w:t>
      </w:r>
      <w:proofErr w:type="spellStart"/>
      <w:r w:rsidRPr="00467DB0">
        <w:t>rumfa</w:t>
      </w:r>
      <w:r w:rsidRPr="00467DB0">
        <w:t>rtøjer</w:t>
      </w:r>
      <w:proofErr w:type="spellEnd"/>
      <w:r w:rsidRPr="00467DB0">
        <w:t xml:space="preserve"> eller </w:t>
      </w:r>
      <w:proofErr w:type="spellStart"/>
      <w:r w:rsidRPr="00467DB0">
        <w:t>rumfartøjers</w:t>
      </w:r>
      <w:proofErr w:type="spellEnd"/>
      <w:r w:rsidRPr="00467DB0">
        <w:t xml:space="preserve"> nyttelast til </w:t>
      </w:r>
      <w:proofErr w:type="spellStart"/>
      <w:r w:rsidRPr="00467DB0">
        <w:t>rumbåren</w:t>
      </w:r>
      <w:proofErr w:type="spellEnd"/>
      <w:r w:rsidRPr="00467DB0">
        <w:t xml:space="preserve"> </w:t>
      </w:r>
      <w:proofErr w:type="spellStart"/>
      <w:r w:rsidRPr="00467DB0">
        <w:t>jordobservation</w:t>
      </w:r>
      <w:proofErr w:type="spellEnd"/>
    </w:p>
    <w:p w14:paraId="5F68599E" w14:textId="77777777" w:rsidR="00000000" w:rsidRPr="00467DB0" w:rsidRDefault="00693D67" w:rsidP="00467DB0">
      <w:pPr>
        <w:pStyle w:val="friliste"/>
      </w:pPr>
      <w:r w:rsidRPr="00467DB0">
        <w:t>13)</w:t>
      </w:r>
      <w:r w:rsidRPr="00467DB0">
        <w:tab/>
        <w:t>"</w:t>
      </w:r>
      <w:proofErr w:type="spellStart"/>
      <w:r w:rsidRPr="00467DB0">
        <w:t>Copernicusdata</w:t>
      </w:r>
      <w:proofErr w:type="spellEnd"/>
      <w:r w:rsidRPr="00467DB0">
        <w:t xml:space="preserve">": data </w:t>
      </w:r>
      <w:proofErr w:type="spellStart"/>
      <w:r w:rsidRPr="00467DB0">
        <w:t>leveret</w:t>
      </w:r>
      <w:proofErr w:type="spellEnd"/>
      <w:r w:rsidRPr="00467DB0">
        <w:t xml:space="preserve"> </w:t>
      </w:r>
      <w:proofErr w:type="spellStart"/>
      <w:r w:rsidRPr="00467DB0">
        <w:t>af</w:t>
      </w:r>
      <w:proofErr w:type="spellEnd"/>
      <w:r w:rsidRPr="00467DB0">
        <w:t xml:space="preserve"> </w:t>
      </w:r>
      <w:proofErr w:type="spellStart"/>
      <w:r w:rsidRPr="00467DB0">
        <w:t>Copernicussentineller</w:t>
      </w:r>
      <w:proofErr w:type="spellEnd"/>
      <w:r w:rsidRPr="00467DB0">
        <w:t>, herunder de tilhørende metadata</w:t>
      </w:r>
    </w:p>
    <w:p w14:paraId="4142E84D" w14:textId="77777777" w:rsidR="00000000" w:rsidRPr="00467DB0" w:rsidRDefault="00693D67" w:rsidP="00467DB0">
      <w:pPr>
        <w:pStyle w:val="friliste"/>
      </w:pPr>
      <w:r w:rsidRPr="00467DB0">
        <w:t>14)</w:t>
      </w:r>
      <w:r w:rsidRPr="00467DB0">
        <w:tab/>
        <w:t>"</w:t>
      </w:r>
      <w:proofErr w:type="spellStart"/>
      <w:r w:rsidRPr="00467DB0">
        <w:t>Copernicustredjepartsdata</w:t>
      </w:r>
      <w:proofErr w:type="spellEnd"/>
      <w:r w:rsidRPr="00467DB0">
        <w:t xml:space="preserve"> og -</w:t>
      </w:r>
      <w:proofErr w:type="spellStart"/>
      <w:r w:rsidRPr="00467DB0">
        <w:t>informationer</w:t>
      </w:r>
      <w:proofErr w:type="spellEnd"/>
      <w:r w:rsidRPr="00467DB0">
        <w:t xml:space="preserve">": geodata og </w:t>
      </w:r>
      <w:proofErr w:type="spellStart"/>
      <w:r w:rsidRPr="00467DB0">
        <w:t>geoinformationer</w:t>
      </w:r>
      <w:proofErr w:type="spellEnd"/>
      <w:r w:rsidRPr="00467DB0">
        <w:t xml:space="preserve">, der </w:t>
      </w:r>
      <w:proofErr w:type="spellStart"/>
      <w:r w:rsidRPr="00467DB0">
        <w:t>licenseres</w:t>
      </w:r>
      <w:proofErr w:type="spellEnd"/>
      <w:r w:rsidRPr="00467DB0">
        <w:t xml:space="preserve"> til</w:t>
      </w:r>
      <w:r w:rsidRPr="00467DB0">
        <w:t xml:space="preserve"> </w:t>
      </w:r>
      <w:proofErr w:type="spellStart"/>
      <w:r w:rsidRPr="00467DB0">
        <w:t>brug</w:t>
      </w:r>
      <w:proofErr w:type="spellEnd"/>
      <w:r w:rsidRPr="00467DB0">
        <w:t xml:space="preserve"> for eller </w:t>
      </w:r>
      <w:proofErr w:type="spellStart"/>
      <w:r w:rsidRPr="00467DB0">
        <w:t>gøres</w:t>
      </w:r>
      <w:proofErr w:type="spellEnd"/>
      <w:r w:rsidRPr="00467DB0">
        <w:t xml:space="preserve"> </w:t>
      </w:r>
      <w:proofErr w:type="spellStart"/>
      <w:r w:rsidRPr="00467DB0">
        <w:t>tilgængelige</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Copernicus, og som stammer fra andre kilder end </w:t>
      </w:r>
      <w:proofErr w:type="spellStart"/>
      <w:r w:rsidRPr="00467DB0">
        <w:t>Copernicussentineller</w:t>
      </w:r>
      <w:proofErr w:type="spellEnd"/>
    </w:p>
    <w:p w14:paraId="3ED6AD03" w14:textId="77777777" w:rsidR="00000000" w:rsidRPr="00467DB0" w:rsidRDefault="00693D67" w:rsidP="00467DB0">
      <w:pPr>
        <w:pStyle w:val="friliste"/>
      </w:pPr>
      <w:r w:rsidRPr="00467DB0">
        <w:t>15)</w:t>
      </w:r>
      <w:r w:rsidRPr="00467DB0">
        <w:tab/>
        <w:t xml:space="preserve">"Copernicus-in </w:t>
      </w:r>
      <w:proofErr w:type="spellStart"/>
      <w:r w:rsidRPr="00467DB0">
        <w:t>situ</w:t>
      </w:r>
      <w:proofErr w:type="spellEnd"/>
      <w:r w:rsidRPr="00467DB0">
        <w:t xml:space="preserve">-data": </w:t>
      </w:r>
      <w:proofErr w:type="spellStart"/>
      <w:r w:rsidRPr="00467DB0">
        <w:t>observationsdata</w:t>
      </w:r>
      <w:proofErr w:type="spellEnd"/>
      <w:r w:rsidRPr="00467DB0">
        <w:t xml:space="preserve"> fra jord-, </w:t>
      </w:r>
      <w:proofErr w:type="spellStart"/>
      <w:r w:rsidRPr="00467DB0">
        <w:t>sø</w:t>
      </w:r>
      <w:proofErr w:type="spellEnd"/>
      <w:r w:rsidRPr="00467DB0">
        <w:t xml:space="preserve">- eller luftbaserede sensorer samt </w:t>
      </w:r>
      <w:proofErr w:type="spellStart"/>
      <w:r w:rsidRPr="00467DB0">
        <w:t>reference</w:t>
      </w:r>
      <w:proofErr w:type="spellEnd"/>
      <w:r w:rsidRPr="00467DB0">
        <w:t xml:space="preserve">- og </w:t>
      </w:r>
      <w:proofErr w:type="spellStart"/>
      <w:r w:rsidRPr="00467DB0">
        <w:t>hjælpedata</w:t>
      </w:r>
      <w:proofErr w:type="spellEnd"/>
      <w:r w:rsidRPr="00467DB0">
        <w:t xml:space="preserve">, der </w:t>
      </w:r>
      <w:proofErr w:type="spellStart"/>
      <w:r w:rsidRPr="00467DB0">
        <w:t>lic</w:t>
      </w:r>
      <w:r w:rsidRPr="00467DB0">
        <w:t>enseres</w:t>
      </w:r>
      <w:proofErr w:type="spellEnd"/>
      <w:r w:rsidRPr="00467DB0">
        <w:t xml:space="preserve"> eller leveres til </w:t>
      </w:r>
      <w:proofErr w:type="spellStart"/>
      <w:r w:rsidRPr="00467DB0">
        <w:t>brug</w:t>
      </w:r>
      <w:proofErr w:type="spellEnd"/>
      <w:r w:rsidRPr="00467DB0">
        <w:t xml:space="preserve"> i Copernicus</w:t>
      </w:r>
    </w:p>
    <w:p w14:paraId="4CB81A2A" w14:textId="77777777" w:rsidR="00000000" w:rsidRPr="00467DB0" w:rsidRDefault="00693D67" w:rsidP="00467DB0">
      <w:pPr>
        <w:pStyle w:val="friliste"/>
      </w:pPr>
      <w:r w:rsidRPr="00467DB0">
        <w:t>16)</w:t>
      </w:r>
      <w:r w:rsidRPr="00467DB0">
        <w:tab/>
      </w:r>
      <w:r w:rsidRPr="00467DB0">
        <w:t>"</w:t>
      </w:r>
      <w:proofErr w:type="spellStart"/>
      <w:r w:rsidRPr="00467DB0">
        <w:t>Copernicusinformationer</w:t>
      </w:r>
      <w:proofErr w:type="spellEnd"/>
      <w:r w:rsidRPr="00467DB0">
        <w:t xml:space="preserve">": </w:t>
      </w:r>
      <w:proofErr w:type="spellStart"/>
      <w:r w:rsidRPr="00467DB0">
        <w:t>informationer</w:t>
      </w:r>
      <w:proofErr w:type="spellEnd"/>
      <w:r w:rsidRPr="00467DB0">
        <w:t xml:space="preserve">, der </w:t>
      </w:r>
      <w:proofErr w:type="gramStart"/>
      <w:r w:rsidRPr="00467DB0">
        <w:t>genereres</w:t>
      </w:r>
      <w:proofErr w:type="gramEnd"/>
      <w:r w:rsidRPr="00467DB0">
        <w:t xml:space="preserve"> </w:t>
      </w:r>
      <w:proofErr w:type="spellStart"/>
      <w:r w:rsidRPr="00467DB0">
        <w:t>af</w:t>
      </w:r>
      <w:proofErr w:type="spellEnd"/>
      <w:r w:rsidRPr="00467DB0">
        <w:t xml:space="preserve"> </w:t>
      </w:r>
      <w:proofErr w:type="spellStart"/>
      <w:r w:rsidRPr="00467DB0">
        <w:t>Copernicustjenesterne</w:t>
      </w:r>
      <w:proofErr w:type="spellEnd"/>
      <w:r w:rsidRPr="00467DB0">
        <w:t xml:space="preserve"> efter behandling eller modellering, herunder de tilhørende metadata</w:t>
      </w:r>
    </w:p>
    <w:p w14:paraId="4DD0A170" w14:textId="77777777" w:rsidR="00000000" w:rsidRPr="00467DB0" w:rsidRDefault="00693D67" w:rsidP="00467DB0">
      <w:pPr>
        <w:pStyle w:val="friliste"/>
      </w:pPr>
      <w:r w:rsidRPr="00467DB0">
        <w:t>17)</w:t>
      </w:r>
      <w:r w:rsidRPr="00467DB0">
        <w:tab/>
        <w:t xml:space="preserve">"deltagende stater i Copernicus": </w:t>
      </w:r>
      <w:proofErr w:type="spellStart"/>
      <w:r w:rsidRPr="00467DB0">
        <w:t>tredjelande</w:t>
      </w:r>
      <w:proofErr w:type="spellEnd"/>
      <w:r w:rsidRPr="00467DB0">
        <w:t xml:space="preserve">, der </w:t>
      </w:r>
      <w:proofErr w:type="spellStart"/>
      <w:r w:rsidRPr="00467DB0">
        <w:t>bidrager</w:t>
      </w:r>
      <w:proofErr w:type="spellEnd"/>
      <w:r w:rsidRPr="00467DB0">
        <w:t xml:space="preserve"> finansielt og deltager i Copernicus i henho</w:t>
      </w:r>
      <w:r w:rsidRPr="00467DB0">
        <w:t xml:space="preserve">ld til en </w:t>
      </w:r>
      <w:proofErr w:type="spellStart"/>
      <w:r w:rsidRPr="00467DB0">
        <w:t>international</w:t>
      </w:r>
      <w:proofErr w:type="spellEnd"/>
      <w:r w:rsidRPr="00467DB0">
        <w:t xml:space="preserve"> </w:t>
      </w:r>
      <w:proofErr w:type="spellStart"/>
      <w:r w:rsidRPr="00467DB0">
        <w:t>aftale</w:t>
      </w:r>
      <w:proofErr w:type="spellEnd"/>
      <w:r w:rsidRPr="00467DB0">
        <w:t xml:space="preserve">, der er </w:t>
      </w:r>
      <w:proofErr w:type="spellStart"/>
      <w:r w:rsidRPr="00467DB0">
        <w:t>indgået</w:t>
      </w:r>
      <w:proofErr w:type="spellEnd"/>
      <w:r w:rsidRPr="00467DB0">
        <w:t xml:space="preserve"> med Unionen</w:t>
      </w:r>
    </w:p>
    <w:p w14:paraId="57CE19E8" w14:textId="77777777" w:rsidR="00000000" w:rsidRPr="00467DB0" w:rsidRDefault="00693D67" w:rsidP="00467DB0">
      <w:pPr>
        <w:pStyle w:val="friliste"/>
      </w:pPr>
      <w:r w:rsidRPr="00467DB0">
        <w:t>18)</w:t>
      </w:r>
      <w:r w:rsidRPr="00467DB0">
        <w:tab/>
        <w:t>"</w:t>
      </w:r>
      <w:proofErr w:type="spellStart"/>
      <w:r w:rsidRPr="00467DB0">
        <w:t>Copernicuskernebrugere</w:t>
      </w:r>
      <w:proofErr w:type="spellEnd"/>
      <w:r w:rsidRPr="00467DB0">
        <w:t>": EU-</w:t>
      </w:r>
      <w:proofErr w:type="spellStart"/>
      <w:r w:rsidRPr="00467DB0">
        <w:t>institutioner</w:t>
      </w:r>
      <w:proofErr w:type="spellEnd"/>
      <w:r w:rsidRPr="00467DB0">
        <w:t xml:space="preserve"> og -organer og de </w:t>
      </w:r>
      <w:proofErr w:type="spellStart"/>
      <w:r w:rsidRPr="00467DB0">
        <w:t>europæiske</w:t>
      </w:r>
      <w:proofErr w:type="spellEnd"/>
      <w:r w:rsidRPr="00467DB0">
        <w:t xml:space="preserve"> </w:t>
      </w:r>
      <w:proofErr w:type="spellStart"/>
      <w:r w:rsidRPr="00467DB0">
        <w:t>nationale</w:t>
      </w:r>
      <w:proofErr w:type="spellEnd"/>
      <w:r w:rsidRPr="00467DB0">
        <w:t xml:space="preserve"> eller regionale offentlige organer i Unionen, eller deltagende stater i Copernicus, der har </w:t>
      </w:r>
      <w:proofErr w:type="spellStart"/>
      <w:r w:rsidRPr="00467DB0">
        <w:t>fået</w:t>
      </w:r>
      <w:proofErr w:type="spellEnd"/>
      <w:r w:rsidRPr="00467DB0">
        <w:t xml:space="preserve"> overdraget off</w:t>
      </w:r>
      <w:r w:rsidRPr="00467DB0">
        <w:t xml:space="preserve">entlige </w:t>
      </w:r>
      <w:proofErr w:type="spellStart"/>
      <w:r w:rsidRPr="00467DB0">
        <w:t>serviceopgaver</w:t>
      </w:r>
      <w:proofErr w:type="spellEnd"/>
      <w:r w:rsidRPr="00467DB0">
        <w:t xml:space="preserve"> med </w:t>
      </w:r>
      <w:proofErr w:type="spellStart"/>
      <w:r w:rsidRPr="00467DB0">
        <w:t>henblik</w:t>
      </w:r>
      <w:proofErr w:type="spellEnd"/>
      <w:r w:rsidRPr="00467DB0">
        <w:t xml:space="preserve"> at </w:t>
      </w:r>
      <w:proofErr w:type="spellStart"/>
      <w:r w:rsidRPr="00467DB0">
        <w:t>fastlægge</w:t>
      </w:r>
      <w:proofErr w:type="spellEnd"/>
      <w:r w:rsidRPr="00467DB0">
        <w:t xml:space="preserve">, </w:t>
      </w:r>
      <w:proofErr w:type="spellStart"/>
      <w:r w:rsidRPr="00467DB0">
        <w:t>gennemføre</w:t>
      </w:r>
      <w:proofErr w:type="spellEnd"/>
      <w:r w:rsidRPr="00467DB0">
        <w:t xml:space="preserve">, </w:t>
      </w:r>
      <w:proofErr w:type="spellStart"/>
      <w:r w:rsidRPr="00467DB0">
        <w:t>håndhæve</w:t>
      </w:r>
      <w:proofErr w:type="spellEnd"/>
      <w:r w:rsidRPr="00467DB0">
        <w:t xml:space="preserve"> eller </w:t>
      </w:r>
      <w:proofErr w:type="spellStart"/>
      <w:r w:rsidRPr="00467DB0">
        <w:t>overvåge</w:t>
      </w:r>
      <w:proofErr w:type="spellEnd"/>
      <w:r w:rsidRPr="00467DB0">
        <w:t xml:space="preserve"> </w:t>
      </w:r>
      <w:proofErr w:type="spellStart"/>
      <w:r w:rsidRPr="00467DB0">
        <w:t>civile</w:t>
      </w:r>
      <w:proofErr w:type="spellEnd"/>
      <w:r w:rsidRPr="00467DB0">
        <w:t xml:space="preserve"> offentlige politikker, såsom miljø-, </w:t>
      </w:r>
      <w:proofErr w:type="spellStart"/>
      <w:r w:rsidRPr="00467DB0">
        <w:t>civilbeskyttelses</w:t>
      </w:r>
      <w:proofErr w:type="spellEnd"/>
      <w:r w:rsidRPr="00467DB0">
        <w:t xml:space="preserve">- eller </w:t>
      </w:r>
      <w:proofErr w:type="spellStart"/>
      <w:r w:rsidRPr="00467DB0">
        <w:t>sikkerhedspolitikker</w:t>
      </w:r>
      <w:proofErr w:type="spellEnd"/>
      <w:r w:rsidRPr="00467DB0">
        <w:t xml:space="preserve">, herunder </w:t>
      </w:r>
      <w:proofErr w:type="spellStart"/>
      <w:r w:rsidRPr="00467DB0">
        <w:lastRenderedPageBreak/>
        <w:t>sikkerhed</w:t>
      </w:r>
      <w:proofErr w:type="spellEnd"/>
      <w:r w:rsidRPr="00467DB0">
        <w:t xml:space="preserve"> med hensyn til infrastruktur, der har gavn </w:t>
      </w:r>
      <w:proofErr w:type="spellStart"/>
      <w:r w:rsidRPr="00467DB0">
        <w:t>af</w:t>
      </w:r>
      <w:proofErr w:type="spellEnd"/>
      <w:r w:rsidRPr="00467DB0">
        <w:t xml:space="preserve"> </w:t>
      </w:r>
      <w:proofErr w:type="spellStart"/>
      <w:r w:rsidRPr="00467DB0">
        <w:t>Copernicusdata</w:t>
      </w:r>
      <w:proofErr w:type="spellEnd"/>
      <w:r w:rsidRPr="00467DB0">
        <w:t xml:space="preserve"> </w:t>
      </w:r>
      <w:r w:rsidRPr="00467DB0">
        <w:t xml:space="preserve">og </w:t>
      </w:r>
      <w:proofErr w:type="spellStart"/>
      <w:r w:rsidRPr="00467DB0">
        <w:t>Copernicusinformationer</w:t>
      </w:r>
      <w:proofErr w:type="spellEnd"/>
      <w:r w:rsidRPr="00467DB0">
        <w:t xml:space="preserve"> og har en </w:t>
      </w:r>
      <w:proofErr w:type="spellStart"/>
      <w:r w:rsidRPr="00467DB0">
        <w:t>yderligere</w:t>
      </w:r>
      <w:proofErr w:type="spellEnd"/>
      <w:r w:rsidRPr="00467DB0">
        <w:t xml:space="preserve"> rolle som drivkraft for </w:t>
      </w:r>
      <w:proofErr w:type="spellStart"/>
      <w:r w:rsidRPr="00467DB0">
        <w:t>udviklingen</w:t>
      </w:r>
      <w:proofErr w:type="spellEnd"/>
      <w:r w:rsidRPr="00467DB0">
        <w:t xml:space="preserve"> </w:t>
      </w:r>
      <w:proofErr w:type="spellStart"/>
      <w:r w:rsidRPr="00467DB0">
        <w:t>af</w:t>
      </w:r>
      <w:proofErr w:type="spellEnd"/>
      <w:r w:rsidRPr="00467DB0">
        <w:t xml:space="preserve"> Copernicus</w:t>
      </w:r>
    </w:p>
    <w:p w14:paraId="18C4B96B" w14:textId="77777777" w:rsidR="00000000" w:rsidRPr="00467DB0" w:rsidRDefault="00693D67" w:rsidP="00467DB0">
      <w:pPr>
        <w:pStyle w:val="friliste"/>
      </w:pPr>
      <w:r w:rsidRPr="00467DB0">
        <w:t>19)</w:t>
      </w:r>
      <w:r w:rsidRPr="00467DB0">
        <w:tab/>
        <w:t xml:space="preserve">"andre </w:t>
      </w:r>
      <w:proofErr w:type="spellStart"/>
      <w:r w:rsidRPr="00467DB0">
        <w:t>Copernicusbrugere</w:t>
      </w:r>
      <w:proofErr w:type="spellEnd"/>
      <w:r w:rsidRPr="00467DB0">
        <w:t xml:space="preserve">": forsknings- og </w:t>
      </w:r>
      <w:proofErr w:type="spellStart"/>
      <w:r w:rsidRPr="00467DB0">
        <w:t>uddannelsesorganisationer</w:t>
      </w:r>
      <w:proofErr w:type="spellEnd"/>
      <w:r w:rsidRPr="00467DB0">
        <w:t xml:space="preserve">, </w:t>
      </w:r>
      <w:proofErr w:type="spellStart"/>
      <w:r w:rsidRPr="00467DB0">
        <w:t>kommercielle</w:t>
      </w:r>
      <w:proofErr w:type="spellEnd"/>
      <w:r w:rsidRPr="00467DB0">
        <w:t xml:space="preserve"> og private organer, </w:t>
      </w:r>
      <w:proofErr w:type="spellStart"/>
      <w:r w:rsidRPr="00467DB0">
        <w:t>velgørende</w:t>
      </w:r>
      <w:proofErr w:type="spellEnd"/>
      <w:r w:rsidRPr="00467DB0">
        <w:t xml:space="preserve"> </w:t>
      </w:r>
      <w:proofErr w:type="spellStart"/>
      <w:r w:rsidRPr="00467DB0">
        <w:t>organisationer</w:t>
      </w:r>
      <w:proofErr w:type="spellEnd"/>
      <w:r w:rsidRPr="00467DB0">
        <w:t xml:space="preserve">, </w:t>
      </w:r>
      <w:proofErr w:type="spellStart"/>
      <w:r w:rsidRPr="00467DB0">
        <w:t>ikkestatslige</w:t>
      </w:r>
      <w:proofErr w:type="spellEnd"/>
      <w:r w:rsidRPr="00467DB0">
        <w:t xml:space="preserve"> </w:t>
      </w:r>
      <w:proofErr w:type="spellStart"/>
      <w:r w:rsidRPr="00467DB0">
        <w:t>organisatio</w:t>
      </w:r>
      <w:r w:rsidRPr="00467DB0">
        <w:t>ner</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der har gavn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Copernicusinformationer</w:t>
      </w:r>
      <w:proofErr w:type="spellEnd"/>
    </w:p>
    <w:p w14:paraId="4E09F312" w14:textId="77777777" w:rsidR="00000000" w:rsidRPr="00467DB0" w:rsidRDefault="00693D67" w:rsidP="00467DB0">
      <w:pPr>
        <w:pStyle w:val="friliste"/>
      </w:pPr>
      <w:r w:rsidRPr="00467DB0">
        <w:t>20)</w:t>
      </w:r>
      <w:r w:rsidRPr="00467DB0">
        <w:tab/>
        <w:t>"</w:t>
      </w:r>
      <w:proofErr w:type="spellStart"/>
      <w:r w:rsidRPr="00467DB0">
        <w:t>Copernicusbrugere</w:t>
      </w:r>
      <w:proofErr w:type="spellEnd"/>
      <w:r w:rsidRPr="00467DB0">
        <w:t xml:space="preserve">": </w:t>
      </w:r>
      <w:proofErr w:type="spellStart"/>
      <w:r w:rsidRPr="00467DB0">
        <w:t>Copernicuskernebrugere</w:t>
      </w:r>
      <w:proofErr w:type="spellEnd"/>
      <w:r w:rsidRPr="00467DB0">
        <w:t xml:space="preserve"> og andre </w:t>
      </w:r>
      <w:proofErr w:type="spellStart"/>
      <w:r w:rsidRPr="00467DB0">
        <w:t>Copernicusbrugere</w:t>
      </w:r>
      <w:proofErr w:type="spellEnd"/>
    </w:p>
    <w:p w14:paraId="6EBED207" w14:textId="77777777" w:rsidR="00000000" w:rsidRPr="00467DB0" w:rsidRDefault="00693D67" w:rsidP="00467DB0">
      <w:pPr>
        <w:pStyle w:val="friliste"/>
      </w:pPr>
      <w:r w:rsidRPr="00467DB0">
        <w:t>21)</w:t>
      </w:r>
      <w:r w:rsidRPr="00467DB0">
        <w:tab/>
        <w:t>"</w:t>
      </w:r>
      <w:proofErr w:type="spellStart"/>
      <w:r w:rsidRPr="00467DB0">
        <w:t>Copernicustjenester</w:t>
      </w:r>
      <w:proofErr w:type="spellEnd"/>
      <w:r w:rsidRPr="00467DB0">
        <w:t xml:space="preserve">": </w:t>
      </w:r>
      <w:proofErr w:type="spellStart"/>
      <w:r w:rsidRPr="00467DB0">
        <w:t>værdiforøgende</w:t>
      </w:r>
      <w:proofErr w:type="spellEnd"/>
      <w:r w:rsidRPr="00467DB0">
        <w:t xml:space="preserve"> tjenester </w:t>
      </w:r>
      <w:proofErr w:type="spellStart"/>
      <w:r w:rsidRPr="00467DB0">
        <w:t>af</w:t>
      </w:r>
      <w:proofErr w:type="spellEnd"/>
      <w:r w:rsidRPr="00467DB0">
        <w:t xml:space="preserve"> </w:t>
      </w:r>
      <w:proofErr w:type="spellStart"/>
      <w:r w:rsidRPr="00467DB0">
        <w:t>generel</w:t>
      </w:r>
      <w:proofErr w:type="spellEnd"/>
      <w:r w:rsidRPr="00467DB0">
        <w:t xml:space="preserve"> og </w:t>
      </w:r>
      <w:proofErr w:type="spellStart"/>
      <w:r w:rsidRPr="00467DB0">
        <w:t>fælles</w:t>
      </w:r>
      <w:proofErr w:type="spellEnd"/>
      <w:r w:rsidRPr="00467DB0">
        <w:t xml:space="preserve"> interesse fo</w:t>
      </w:r>
      <w:r w:rsidRPr="00467DB0">
        <w:t xml:space="preserve">r Unionen og </w:t>
      </w:r>
      <w:proofErr w:type="spellStart"/>
      <w:r w:rsidRPr="00467DB0">
        <w:t>medlemsstaterne</w:t>
      </w:r>
      <w:proofErr w:type="spellEnd"/>
      <w:r w:rsidRPr="00467DB0">
        <w:t xml:space="preserve">, som finansieres </w:t>
      </w:r>
      <w:proofErr w:type="spellStart"/>
      <w:r w:rsidRPr="00467DB0">
        <w:t>af</w:t>
      </w:r>
      <w:proofErr w:type="spellEnd"/>
      <w:r w:rsidRPr="00467DB0">
        <w:t xml:space="preserve"> programmet, og som omdanner </w:t>
      </w:r>
      <w:proofErr w:type="spellStart"/>
      <w:r w:rsidRPr="00467DB0">
        <w:t>jordobservationsdata</w:t>
      </w:r>
      <w:proofErr w:type="spellEnd"/>
      <w:r w:rsidRPr="00467DB0">
        <w:t>, Copernicus-in-</w:t>
      </w:r>
      <w:proofErr w:type="spellStart"/>
      <w:r w:rsidRPr="00467DB0">
        <w:t>situ</w:t>
      </w:r>
      <w:proofErr w:type="spellEnd"/>
      <w:r w:rsidRPr="00467DB0">
        <w:t xml:space="preserve">-data og andre supplerende data til behandlet, </w:t>
      </w:r>
      <w:proofErr w:type="spellStart"/>
      <w:r w:rsidRPr="00467DB0">
        <w:t>aggregeret</w:t>
      </w:r>
      <w:proofErr w:type="spellEnd"/>
      <w:r w:rsidRPr="00467DB0">
        <w:t xml:space="preserve"> og fortolket </w:t>
      </w:r>
      <w:proofErr w:type="spellStart"/>
      <w:r w:rsidRPr="00467DB0">
        <w:t>information</w:t>
      </w:r>
      <w:proofErr w:type="spellEnd"/>
      <w:r w:rsidRPr="00467DB0">
        <w:t xml:space="preserve">, der er </w:t>
      </w:r>
      <w:proofErr w:type="spellStart"/>
      <w:r w:rsidRPr="00467DB0">
        <w:t>skræddersyet</w:t>
      </w:r>
      <w:proofErr w:type="spellEnd"/>
      <w:r w:rsidRPr="00467DB0">
        <w:t xml:space="preserve"> til </w:t>
      </w:r>
      <w:proofErr w:type="spellStart"/>
      <w:r w:rsidRPr="00467DB0">
        <w:t>Copernicusbrugernes</w:t>
      </w:r>
      <w:proofErr w:type="spellEnd"/>
      <w:r w:rsidRPr="00467DB0">
        <w:t xml:space="preserve"> behov</w:t>
      </w:r>
    </w:p>
    <w:p w14:paraId="298C443D" w14:textId="77777777" w:rsidR="00000000" w:rsidRPr="00467DB0" w:rsidRDefault="00693D67" w:rsidP="00467DB0">
      <w:pPr>
        <w:pStyle w:val="friliste"/>
      </w:pPr>
      <w:r w:rsidRPr="00467DB0">
        <w:t>22)</w:t>
      </w:r>
      <w:r w:rsidRPr="00467DB0">
        <w:tab/>
        <w:t>"</w:t>
      </w:r>
      <w:r w:rsidRPr="00467DB0">
        <w:t>GOVSATCOM-</w:t>
      </w:r>
      <w:proofErr w:type="spellStart"/>
      <w:r w:rsidRPr="00467DB0">
        <w:t>bruger</w:t>
      </w:r>
      <w:proofErr w:type="spellEnd"/>
      <w:r w:rsidRPr="00467DB0">
        <w:t xml:space="preserve">": en offentlig </w:t>
      </w:r>
      <w:proofErr w:type="spellStart"/>
      <w:r w:rsidRPr="00467DB0">
        <w:t>myndighed</w:t>
      </w:r>
      <w:proofErr w:type="spellEnd"/>
      <w:r w:rsidRPr="00467DB0">
        <w:t xml:space="preserve">, et organ med ansvar for </w:t>
      </w:r>
      <w:proofErr w:type="spellStart"/>
      <w:r w:rsidRPr="00467DB0">
        <w:t>udøvelse</w:t>
      </w:r>
      <w:proofErr w:type="spellEnd"/>
      <w:r w:rsidRPr="00467DB0">
        <w:t xml:space="preserve"> </w:t>
      </w:r>
      <w:proofErr w:type="spellStart"/>
      <w:r w:rsidRPr="00467DB0">
        <w:t>af</w:t>
      </w:r>
      <w:proofErr w:type="spellEnd"/>
      <w:r w:rsidRPr="00467DB0">
        <w:t xml:space="preserve"> offentlig </w:t>
      </w:r>
      <w:proofErr w:type="spellStart"/>
      <w:r w:rsidRPr="00467DB0">
        <w:t>myndighed</w:t>
      </w:r>
      <w:proofErr w:type="spellEnd"/>
      <w:r w:rsidRPr="00467DB0">
        <w:t xml:space="preserve">, en </w:t>
      </w:r>
      <w:proofErr w:type="spellStart"/>
      <w:r w:rsidRPr="00467DB0">
        <w:t>international</w:t>
      </w:r>
      <w:proofErr w:type="spellEnd"/>
      <w:r w:rsidRPr="00467DB0">
        <w:t xml:space="preserve"> </w:t>
      </w:r>
      <w:proofErr w:type="spellStart"/>
      <w:r w:rsidRPr="00467DB0">
        <w:t>organisation</w:t>
      </w:r>
      <w:proofErr w:type="spellEnd"/>
      <w:r w:rsidRPr="00467DB0">
        <w:t xml:space="preserve"> eller en fysisk eller juridisk person, der er </w:t>
      </w:r>
      <w:proofErr w:type="spellStart"/>
      <w:r w:rsidRPr="00467DB0">
        <w:t>behørigt</w:t>
      </w:r>
      <w:proofErr w:type="spellEnd"/>
      <w:r w:rsidRPr="00467DB0">
        <w:t xml:space="preserve"> bemyndiget og har </w:t>
      </w:r>
      <w:proofErr w:type="spellStart"/>
      <w:r w:rsidRPr="00467DB0">
        <w:t>fået</w:t>
      </w:r>
      <w:proofErr w:type="spellEnd"/>
      <w:r w:rsidRPr="00467DB0">
        <w:t xml:space="preserve"> overdraget </w:t>
      </w:r>
      <w:proofErr w:type="spellStart"/>
      <w:r w:rsidRPr="00467DB0">
        <w:t>opgaver</w:t>
      </w:r>
      <w:proofErr w:type="spellEnd"/>
      <w:r w:rsidRPr="00467DB0">
        <w:t xml:space="preserve"> </w:t>
      </w:r>
      <w:proofErr w:type="gramStart"/>
      <w:r w:rsidRPr="00467DB0">
        <w:t>vedrørende</w:t>
      </w:r>
      <w:proofErr w:type="gramEnd"/>
      <w:r w:rsidRPr="00467DB0">
        <w:t xml:space="preserve"> tilsyn med og forv</w:t>
      </w:r>
      <w:r w:rsidRPr="00467DB0">
        <w:t xml:space="preserve">altning </w:t>
      </w:r>
      <w:proofErr w:type="spellStart"/>
      <w:r w:rsidRPr="00467DB0">
        <w:t>af</w:t>
      </w:r>
      <w:proofErr w:type="spellEnd"/>
      <w:r w:rsidRPr="00467DB0">
        <w:t xml:space="preserve"> </w:t>
      </w:r>
      <w:proofErr w:type="spellStart"/>
      <w:r w:rsidRPr="00467DB0">
        <w:t>sikkerhedskritiske</w:t>
      </w:r>
      <w:proofErr w:type="spellEnd"/>
      <w:r w:rsidRPr="00467DB0">
        <w:t xml:space="preserve"> missioner, </w:t>
      </w:r>
      <w:proofErr w:type="spellStart"/>
      <w:r w:rsidRPr="00467DB0">
        <w:t>operationer</w:t>
      </w:r>
      <w:proofErr w:type="spellEnd"/>
      <w:r w:rsidRPr="00467DB0">
        <w:t xml:space="preserve"> og infrastrukturer</w:t>
      </w:r>
    </w:p>
    <w:p w14:paraId="0522AF02" w14:textId="77777777" w:rsidR="00000000" w:rsidRPr="00467DB0" w:rsidRDefault="00693D67" w:rsidP="00467DB0">
      <w:pPr>
        <w:pStyle w:val="friliste"/>
      </w:pPr>
      <w:r w:rsidRPr="00467DB0">
        <w:t>23)</w:t>
      </w:r>
      <w:r w:rsidRPr="00467DB0">
        <w:tab/>
        <w:t>"GOVSATCOM-</w:t>
      </w:r>
      <w:proofErr w:type="spellStart"/>
      <w:r w:rsidRPr="00467DB0">
        <w:t>center</w:t>
      </w:r>
      <w:proofErr w:type="spellEnd"/>
      <w:r w:rsidRPr="00467DB0">
        <w:t xml:space="preserve">": et </w:t>
      </w:r>
      <w:proofErr w:type="spellStart"/>
      <w:r w:rsidRPr="00467DB0">
        <w:t>operationelt</w:t>
      </w:r>
      <w:proofErr w:type="spellEnd"/>
      <w:r w:rsidRPr="00467DB0">
        <w:t xml:space="preserve"> </w:t>
      </w:r>
      <w:proofErr w:type="spellStart"/>
      <w:r w:rsidRPr="00467DB0">
        <w:t>center</w:t>
      </w:r>
      <w:proofErr w:type="spellEnd"/>
      <w:r w:rsidRPr="00467DB0">
        <w:t xml:space="preserve">, hvis </w:t>
      </w:r>
      <w:proofErr w:type="spellStart"/>
      <w:r w:rsidRPr="00467DB0">
        <w:t>hovedfunktion</w:t>
      </w:r>
      <w:proofErr w:type="spellEnd"/>
      <w:r w:rsidRPr="00467DB0">
        <w:t xml:space="preserve"> er at linke GOVSATCOM-</w:t>
      </w:r>
      <w:proofErr w:type="spellStart"/>
      <w:r w:rsidRPr="00467DB0">
        <w:t>brugerne</w:t>
      </w:r>
      <w:proofErr w:type="spellEnd"/>
      <w:r w:rsidRPr="00467DB0">
        <w:t xml:space="preserve"> til </w:t>
      </w:r>
      <w:proofErr w:type="spellStart"/>
      <w:r w:rsidRPr="00467DB0">
        <w:t>udbyderne</w:t>
      </w:r>
      <w:proofErr w:type="spellEnd"/>
      <w:r w:rsidRPr="00467DB0">
        <w:t xml:space="preserve"> </w:t>
      </w:r>
      <w:proofErr w:type="spellStart"/>
      <w:r w:rsidRPr="00467DB0">
        <w:t>af</w:t>
      </w:r>
      <w:proofErr w:type="spellEnd"/>
      <w:r w:rsidRPr="00467DB0">
        <w:t xml:space="preserve"> </w:t>
      </w:r>
      <w:proofErr w:type="spellStart"/>
      <w:r w:rsidRPr="00467DB0">
        <w:t>GOVSATCOM's</w:t>
      </w:r>
      <w:proofErr w:type="spellEnd"/>
      <w:r w:rsidRPr="00467DB0">
        <w:t xml:space="preserve"> </w:t>
      </w:r>
      <w:proofErr w:type="spellStart"/>
      <w:r w:rsidRPr="00467DB0">
        <w:t>kapacitet</w:t>
      </w:r>
      <w:proofErr w:type="spellEnd"/>
      <w:r w:rsidRPr="00467DB0">
        <w:t xml:space="preserve"> og tjenester på en sikker </w:t>
      </w:r>
      <w:proofErr w:type="spellStart"/>
      <w:r w:rsidRPr="00467DB0">
        <w:t>måde</w:t>
      </w:r>
      <w:proofErr w:type="spellEnd"/>
      <w:r w:rsidRPr="00467DB0">
        <w:t xml:space="preserve"> og dermed optime</w:t>
      </w:r>
      <w:r w:rsidRPr="00467DB0">
        <w:t xml:space="preserve">re </w:t>
      </w:r>
      <w:proofErr w:type="spellStart"/>
      <w:r w:rsidRPr="00467DB0">
        <w:t>udbud</w:t>
      </w:r>
      <w:proofErr w:type="spellEnd"/>
      <w:r w:rsidRPr="00467DB0">
        <w:t xml:space="preserve"> og </w:t>
      </w:r>
      <w:proofErr w:type="spellStart"/>
      <w:r w:rsidRPr="00467DB0">
        <w:t>efterspørgsel</w:t>
      </w:r>
      <w:proofErr w:type="spellEnd"/>
      <w:r w:rsidRPr="00467DB0">
        <w:t xml:space="preserve"> på ethvert </w:t>
      </w:r>
      <w:proofErr w:type="spellStart"/>
      <w:r w:rsidRPr="00467DB0">
        <w:t>givet</w:t>
      </w:r>
      <w:proofErr w:type="spellEnd"/>
      <w:r w:rsidRPr="00467DB0">
        <w:t xml:space="preserve"> tidspunkt</w:t>
      </w:r>
    </w:p>
    <w:p w14:paraId="1EA080D9" w14:textId="77777777" w:rsidR="00000000" w:rsidRPr="00467DB0" w:rsidRDefault="00693D67" w:rsidP="00467DB0">
      <w:pPr>
        <w:pStyle w:val="friliste"/>
      </w:pPr>
      <w:r w:rsidRPr="00467DB0">
        <w:t>24)</w:t>
      </w:r>
      <w:r w:rsidRPr="00467DB0">
        <w:tab/>
        <w:t>"GOVSATCOM-</w:t>
      </w:r>
      <w:proofErr w:type="spellStart"/>
      <w:r w:rsidRPr="00467DB0">
        <w:t>brugsscenarie</w:t>
      </w:r>
      <w:proofErr w:type="spellEnd"/>
      <w:r w:rsidRPr="00467DB0">
        <w:t xml:space="preserve">": en </w:t>
      </w:r>
      <w:proofErr w:type="spellStart"/>
      <w:r w:rsidRPr="00467DB0">
        <w:t>operationel</w:t>
      </w:r>
      <w:proofErr w:type="spellEnd"/>
      <w:r w:rsidRPr="00467DB0">
        <w:t xml:space="preserve"> </w:t>
      </w:r>
      <w:proofErr w:type="spellStart"/>
      <w:r w:rsidRPr="00467DB0">
        <w:t>situation</w:t>
      </w:r>
      <w:proofErr w:type="spellEnd"/>
      <w:r w:rsidRPr="00467DB0">
        <w:t xml:space="preserve"> i et bestemt miljø, hvor GOVSATCOM-tjenester er </w:t>
      </w:r>
      <w:proofErr w:type="spellStart"/>
      <w:r w:rsidRPr="00467DB0">
        <w:t>påkrævede</w:t>
      </w:r>
      <w:proofErr w:type="spellEnd"/>
    </w:p>
    <w:p w14:paraId="0E7BC340" w14:textId="77777777" w:rsidR="00000000" w:rsidRPr="00467DB0" w:rsidRDefault="00693D67" w:rsidP="00467DB0">
      <w:pPr>
        <w:pStyle w:val="friliste"/>
      </w:pPr>
      <w:r w:rsidRPr="00467DB0">
        <w:t>25)</w:t>
      </w:r>
      <w:r w:rsidRPr="00467DB0">
        <w:tab/>
        <w:t>"</w:t>
      </w:r>
      <w:proofErr w:type="spellStart"/>
      <w:r w:rsidRPr="00467DB0">
        <w:t>EU's</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eller "EUCI": </w:t>
      </w:r>
      <w:proofErr w:type="spellStart"/>
      <w:r w:rsidRPr="00467DB0">
        <w:t>informationer</w:t>
      </w:r>
      <w:proofErr w:type="spellEnd"/>
      <w:r w:rsidRPr="00467DB0">
        <w:t xml:space="preserve"> eller materiale </w:t>
      </w:r>
      <w:proofErr w:type="spellStart"/>
      <w:r w:rsidRPr="00467DB0">
        <w:t>mærket</w:t>
      </w:r>
      <w:proofErr w:type="spellEnd"/>
      <w:r w:rsidRPr="00467DB0">
        <w:t xml:space="preserve"> med en EU-</w:t>
      </w:r>
      <w:proofErr w:type="spellStart"/>
      <w:r w:rsidRPr="00467DB0">
        <w:t>sikkerhedsklassifikation</w:t>
      </w:r>
      <w:proofErr w:type="spellEnd"/>
      <w:r w:rsidRPr="00467DB0">
        <w:t xml:space="preserve">, hvis </w:t>
      </w:r>
      <w:proofErr w:type="spellStart"/>
      <w:r w:rsidRPr="00467DB0">
        <w:t>uautoriserede</w:t>
      </w:r>
      <w:proofErr w:type="spellEnd"/>
      <w:r w:rsidRPr="00467DB0">
        <w:t xml:space="preserve"> </w:t>
      </w:r>
      <w:proofErr w:type="spellStart"/>
      <w:r w:rsidRPr="00467DB0">
        <w:t>videregivelse</w:t>
      </w:r>
      <w:proofErr w:type="spellEnd"/>
      <w:r w:rsidRPr="00467DB0">
        <w:t xml:space="preserve"> kunne forvolde Unionens eller en eller flere </w:t>
      </w:r>
      <w:proofErr w:type="spellStart"/>
      <w:r w:rsidRPr="00467DB0">
        <w:t>af</w:t>
      </w:r>
      <w:proofErr w:type="spellEnd"/>
      <w:r w:rsidRPr="00467DB0">
        <w:t xml:space="preserve"> </w:t>
      </w:r>
      <w:proofErr w:type="spellStart"/>
      <w:r w:rsidRPr="00467DB0">
        <w:t>medlemsstaternes</w:t>
      </w:r>
      <w:proofErr w:type="spellEnd"/>
      <w:r w:rsidRPr="00467DB0">
        <w:t xml:space="preserve"> interesser skade i </w:t>
      </w:r>
      <w:proofErr w:type="spellStart"/>
      <w:r w:rsidRPr="00467DB0">
        <w:t>forskellig</w:t>
      </w:r>
      <w:proofErr w:type="spellEnd"/>
      <w:r w:rsidRPr="00467DB0">
        <w:t xml:space="preserve"> grad</w:t>
      </w:r>
    </w:p>
    <w:p w14:paraId="3CFE2D7D" w14:textId="77777777" w:rsidR="00000000" w:rsidRPr="00467DB0" w:rsidRDefault="00693D67" w:rsidP="00467DB0">
      <w:pPr>
        <w:pStyle w:val="friliste"/>
      </w:pPr>
      <w:r w:rsidRPr="00467DB0">
        <w:t>26)</w:t>
      </w:r>
      <w:r w:rsidRPr="00467DB0">
        <w:tab/>
        <w:t xml:space="preserve">"følsomme </w:t>
      </w:r>
      <w:proofErr w:type="spellStart"/>
      <w:r w:rsidRPr="00467DB0">
        <w:t>ikkeklassificerede</w:t>
      </w:r>
      <w:proofErr w:type="spellEnd"/>
      <w:r w:rsidRPr="00467DB0">
        <w:t xml:space="preserve"> </w:t>
      </w:r>
      <w:proofErr w:type="spellStart"/>
      <w:r w:rsidRPr="00467DB0">
        <w:t>informationer</w:t>
      </w:r>
      <w:proofErr w:type="spellEnd"/>
      <w:r w:rsidRPr="00467DB0">
        <w:t xml:space="preserve">": </w:t>
      </w:r>
      <w:proofErr w:type="spellStart"/>
      <w:r w:rsidRPr="00467DB0">
        <w:t>ikkeklassificerede</w:t>
      </w:r>
      <w:proofErr w:type="spellEnd"/>
      <w:r w:rsidRPr="00467DB0">
        <w:t xml:space="preserve"> følsomme </w:t>
      </w:r>
      <w:proofErr w:type="spellStart"/>
      <w:r w:rsidRPr="00467DB0">
        <w:t>informati</w:t>
      </w:r>
      <w:r w:rsidRPr="00467DB0">
        <w:t>oner</w:t>
      </w:r>
      <w:proofErr w:type="spellEnd"/>
      <w:r w:rsidRPr="00467DB0">
        <w:t xml:space="preserve"> som omhandlet i </w:t>
      </w:r>
      <w:proofErr w:type="spellStart"/>
      <w:r w:rsidRPr="00467DB0">
        <w:t>artikel</w:t>
      </w:r>
      <w:proofErr w:type="spellEnd"/>
      <w:r w:rsidRPr="00467DB0">
        <w:t xml:space="preserve"> 9 i </w:t>
      </w:r>
      <w:proofErr w:type="spellStart"/>
      <w:r w:rsidRPr="00467DB0">
        <w:t>Kommissionens</w:t>
      </w:r>
      <w:proofErr w:type="spellEnd"/>
      <w:r w:rsidRPr="00467DB0">
        <w:t xml:space="preserve"> </w:t>
      </w:r>
      <w:proofErr w:type="spellStart"/>
      <w:r w:rsidRPr="00467DB0">
        <w:t>afgørelse</w:t>
      </w:r>
      <w:proofErr w:type="spellEnd"/>
      <w:r w:rsidRPr="00467DB0">
        <w:t xml:space="preserve"> (EU, Euratom) 2015/443</w:t>
      </w:r>
      <w:r w:rsidRPr="00467DB0">
        <w:rPr>
          <w:rStyle w:val="Fotnotereferanse"/>
        </w:rPr>
        <w:footnoteReference w:id="40"/>
      </w:r>
      <w:r w:rsidRPr="00467DB0">
        <w:t xml:space="preserve">, i medfør </w:t>
      </w:r>
      <w:proofErr w:type="spellStart"/>
      <w:r w:rsidRPr="00467DB0">
        <w:t>af</w:t>
      </w:r>
      <w:proofErr w:type="spellEnd"/>
      <w:r w:rsidRPr="00467DB0">
        <w:t xml:space="preserve"> hvilken </w:t>
      </w:r>
      <w:proofErr w:type="spellStart"/>
      <w:r w:rsidRPr="00467DB0">
        <w:t>gælder</w:t>
      </w:r>
      <w:proofErr w:type="spellEnd"/>
      <w:r w:rsidRPr="00467DB0">
        <w:t xml:space="preserve"> en </w:t>
      </w:r>
      <w:proofErr w:type="spellStart"/>
      <w:r w:rsidRPr="00467DB0">
        <w:t>forpl</w:t>
      </w:r>
      <w:r w:rsidRPr="00467DB0">
        <w:t>igtelse</w:t>
      </w:r>
      <w:proofErr w:type="spellEnd"/>
      <w:r w:rsidRPr="00467DB0">
        <w:t xml:space="preserve"> til at beskytte følsomme </w:t>
      </w:r>
      <w:proofErr w:type="spellStart"/>
      <w:r w:rsidRPr="00467DB0">
        <w:t>ikkeklassificerede</w:t>
      </w:r>
      <w:proofErr w:type="spellEnd"/>
      <w:r w:rsidRPr="00467DB0">
        <w:t xml:space="preserve"> </w:t>
      </w:r>
      <w:proofErr w:type="spellStart"/>
      <w:r w:rsidRPr="00467DB0">
        <w:t>informationer</w:t>
      </w:r>
      <w:proofErr w:type="spellEnd"/>
      <w:r w:rsidRPr="00467DB0">
        <w:t xml:space="preserve">, som </w:t>
      </w:r>
      <w:proofErr w:type="spellStart"/>
      <w:r w:rsidRPr="00467DB0">
        <w:t>udelukkende</w:t>
      </w:r>
      <w:proofErr w:type="spellEnd"/>
      <w:r w:rsidRPr="00467DB0">
        <w:t xml:space="preserve"> </w:t>
      </w:r>
      <w:proofErr w:type="spellStart"/>
      <w:r w:rsidRPr="00467DB0">
        <w:t>finder</w:t>
      </w:r>
      <w:proofErr w:type="spellEnd"/>
      <w:r w:rsidRPr="00467DB0">
        <w:t xml:space="preserve"> </w:t>
      </w:r>
      <w:proofErr w:type="gramStart"/>
      <w:r w:rsidRPr="00467DB0">
        <w:t>anvendelse</w:t>
      </w:r>
      <w:proofErr w:type="gramEnd"/>
      <w:r w:rsidRPr="00467DB0">
        <w:t xml:space="preserve"> på Europa-</w:t>
      </w:r>
      <w:proofErr w:type="spellStart"/>
      <w:r w:rsidRPr="00467DB0">
        <w:t>Kommissionen</w:t>
      </w:r>
      <w:proofErr w:type="spellEnd"/>
      <w:r w:rsidRPr="00467DB0">
        <w:t xml:space="preserve"> og på EU-agenturer og -organer, der i henhold til lovgivningen er </w:t>
      </w:r>
      <w:proofErr w:type="spellStart"/>
      <w:r w:rsidRPr="00467DB0">
        <w:t>forpligtede</w:t>
      </w:r>
      <w:proofErr w:type="spellEnd"/>
      <w:r w:rsidRPr="00467DB0">
        <w:t xml:space="preserve"> til at anvende </w:t>
      </w:r>
      <w:proofErr w:type="spellStart"/>
      <w:r w:rsidRPr="00467DB0">
        <w:t>Kommissionens</w:t>
      </w:r>
      <w:proofErr w:type="spellEnd"/>
      <w:r w:rsidRPr="00467DB0">
        <w:t xml:space="preserve"> </w:t>
      </w:r>
      <w:proofErr w:type="spellStart"/>
      <w:r w:rsidRPr="00467DB0">
        <w:t>sikkerhedsregler</w:t>
      </w:r>
      <w:proofErr w:type="spellEnd"/>
    </w:p>
    <w:p w14:paraId="7E23F9EF" w14:textId="77777777" w:rsidR="00000000" w:rsidRPr="00467DB0" w:rsidRDefault="00693D67" w:rsidP="00467DB0">
      <w:pPr>
        <w:pStyle w:val="friliste"/>
      </w:pPr>
      <w:r w:rsidRPr="00467DB0">
        <w:t>27)</w:t>
      </w:r>
      <w:r w:rsidRPr="00467DB0">
        <w:tab/>
        <w:t>"</w:t>
      </w:r>
      <w:proofErr w:type="spellStart"/>
      <w:r w:rsidRPr="00467DB0">
        <w:t>bla</w:t>
      </w:r>
      <w:r w:rsidRPr="00467DB0">
        <w:t>ndingsoperation</w:t>
      </w:r>
      <w:proofErr w:type="spellEnd"/>
      <w:r w:rsidRPr="00467DB0">
        <w:t>": foranstaltninger, som støttes over EU-</w:t>
      </w:r>
      <w:proofErr w:type="spellStart"/>
      <w:r w:rsidRPr="00467DB0">
        <w:t>budgettet</w:t>
      </w:r>
      <w:proofErr w:type="spellEnd"/>
      <w:r w:rsidRPr="00467DB0">
        <w:t xml:space="preserve">, herunder </w:t>
      </w:r>
      <w:proofErr w:type="spellStart"/>
      <w:r w:rsidRPr="00467DB0">
        <w:t>inden</w:t>
      </w:r>
      <w:proofErr w:type="spellEnd"/>
      <w:r w:rsidRPr="00467DB0">
        <w:t xml:space="preserve"> for </w:t>
      </w:r>
      <w:proofErr w:type="spellStart"/>
      <w:r w:rsidRPr="00467DB0">
        <w:t>blandingsfaciliteter</w:t>
      </w:r>
      <w:proofErr w:type="spellEnd"/>
      <w:r w:rsidRPr="00467DB0">
        <w:t xml:space="preserve">, jf. finansforordningens </w:t>
      </w:r>
      <w:proofErr w:type="spellStart"/>
      <w:r w:rsidRPr="00467DB0">
        <w:t>artikel</w:t>
      </w:r>
      <w:proofErr w:type="spellEnd"/>
      <w:r w:rsidRPr="00467DB0">
        <w:t xml:space="preserve"> 2, stk. 6, og som kombinerer støtte eller finansielle instrumenter, der ikke skal </w:t>
      </w:r>
      <w:proofErr w:type="spellStart"/>
      <w:r w:rsidRPr="00467DB0">
        <w:t>tilbagebetales</w:t>
      </w:r>
      <w:proofErr w:type="spellEnd"/>
      <w:r w:rsidRPr="00467DB0">
        <w:t xml:space="preserve">, eller </w:t>
      </w:r>
      <w:proofErr w:type="spellStart"/>
      <w:r w:rsidRPr="00467DB0">
        <w:t>budgetgarant</w:t>
      </w:r>
      <w:r w:rsidRPr="00467DB0">
        <w:t>ier</w:t>
      </w:r>
      <w:proofErr w:type="spellEnd"/>
      <w:r w:rsidRPr="00467DB0">
        <w:t xml:space="preserve"> fra EU-</w:t>
      </w:r>
      <w:proofErr w:type="spellStart"/>
      <w:r w:rsidRPr="00467DB0">
        <w:t>budgettet</w:t>
      </w:r>
      <w:proofErr w:type="spellEnd"/>
      <w:r w:rsidRPr="00467DB0">
        <w:t xml:space="preserve"> eller støtte, der skal </w:t>
      </w:r>
      <w:proofErr w:type="spellStart"/>
      <w:r w:rsidRPr="00467DB0">
        <w:t>tilbagebetales</w:t>
      </w:r>
      <w:proofErr w:type="spellEnd"/>
      <w:r w:rsidRPr="00467DB0">
        <w:t xml:space="preserve">, fra </w:t>
      </w:r>
      <w:proofErr w:type="spellStart"/>
      <w:r w:rsidRPr="00467DB0">
        <w:t>udviklingsinstitutioner</w:t>
      </w:r>
      <w:proofErr w:type="spellEnd"/>
      <w:r w:rsidRPr="00467DB0">
        <w:t xml:space="preserve"> eller andre offentlige </w:t>
      </w:r>
      <w:proofErr w:type="spellStart"/>
      <w:r w:rsidRPr="00467DB0">
        <w:t>finansieringsinstitutioner</w:t>
      </w:r>
      <w:proofErr w:type="spellEnd"/>
      <w:r w:rsidRPr="00467DB0">
        <w:t xml:space="preserve"> samt fra </w:t>
      </w:r>
      <w:proofErr w:type="spellStart"/>
      <w:r w:rsidRPr="00467DB0">
        <w:t>kommercielle</w:t>
      </w:r>
      <w:proofErr w:type="spellEnd"/>
      <w:r w:rsidRPr="00467DB0">
        <w:t xml:space="preserve"> </w:t>
      </w:r>
      <w:proofErr w:type="spellStart"/>
      <w:r w:rsidRPr="00467DB0">
        <w:t>finansieringsinstitutioner</w:t>
      </w:r>
      <w:proofErr w:type="spellEnd"/>
      <w:r w:rsidRPr="00467DB0">
        <w:t xml:space="preserve"> og investorer</w:t>
      </w:r>
    </w:p>
    <w:p w14:paraId="45384ABF" w14:textId="77777777" w:rsidR="00000000" w:rsidRPr="00467DB0" w:rsidRDefault="00693D67" w:rsidP="00467DB0">
      <w:pPr>
        <w:pStyle w:val="friliste"/>
      </w:pPr>
      <w:r w:rsidRPr="00467DB0">
        <w:t>28)</w:t>
      </w:r>
      <w:r w:rsidRPr="00467DB0">
        <w:tab/>
        <w:t>"</w:t>
      </w:r>
      <w:proofErr w:type="spellStart"/>
      <w:r w:rsidRPr="00467DB0">
        <w:t>retlig</w:t>
      </w:r>
      <w:proofErr w:type="spellEnd"/>
      <w:r w:rsidRPr="00467DB0">
        <w:t xml:space="preserve"> </w:t>
      </w:r>
      <w:proofErr w:type="spellStart"/>
      <w:r w:rsidRPr="00467DB0">
        <w:t>enhed</w:t>
      </w:r>
      <w:proofErr w:type="spellEnd"/>
      <w:r w:rsidRPr="00467DB0">
        <w:t xml:space="preserve">": en fysisk person eller en efter </w:t>
      </w:r>
      <w:proofErr w:type="spellStart"/>
      <w:r w:rsidRPr="00467DB0">
        <w:t>nat</w:t>
      </w:r>
      <w:r w:rsidRPr="00467DB0">
        <w:t>ional</w:t>
      </w:r>
      <w:proofErr w:type="spellEnd"/>
      <w:r w:rsidRPr="00467DB0">
        <w:t xml:space="preserve"> </w:t>
      </w:r>
      <w:proofErr w:type="spellStart"/>
      <w:r w:rsidRPr="00467DB0">
        <w:t>ret</w:t>
      </w:r>
      <w:proofErr w:type="spellEnd"/>
      <w:r w:rsidRPr="00467DB0">
        <w:t xml:space="preserve">, EU-retten eller </w:t>
      </w:r>
      <w:proofErr w:type="spellStart"/>
      <w:r w:rsidRPr="00467DB0">
        <w:t>international</w:t>
      </w:r>
      <w:proofErr w:type="spellEnd"/>
      <w:r w:rsidRPr="00467DB0">
        <w:t xml:space="preserve"> </w:t>
      </w:r>
      <w:proofErr w:type="spellStart"/>
      <w:r w:rsidRPr="00467DB0">
        <w:t>ret</w:t>
      </w:r>
      <w:proofErr w:type="spellEnd"/>
      <w:r w:rsidRPr="00467DB0">
        <w:t xml:space="preserve"> </w:t>
      </w:r>
      <w:proofErr w:type="spellStart"/>
      <w:r w:rsidRPr="00467DB0">
        <w:t>oprettet</w:t>
      </w:r>
      <w:proofErr w:type="spellEnd"/>
      <w:r w:rsidRPr="00467DB0">
        <w:t xml:space="preserve"> og </w:t>
      </w:r>
      <w:proofErr w:type="spellStart"/>
      <w:r w:rsidRPr="00467DB0">
        <w:t>anerkendt</w:t>
      </w:r>
      <w:proofErr w:type="spellEnd"/>
      <w:r w:rsidRPr="00467DB0">
        <w:t xml:space="preserve"> juridisk person, der har status som juridisk person og i eget navn kan udøve </w:t>
      </w:r>
      <w:proofErr w:type="spellStart"/>
      <w:r w:rsidRPr="00467DB0">
        <w:t>rettigheder</w:t>
      </w:r>
      <w:proofErr w:type="spellEnd"/>
      <w:r w:rsidRPr="00467DB0">
        <w:t xml:space="preserve"> og være pålagt </w:t>
      </w:r>
      <w:proofErr w:type="spellStart"/>
      <w:r w:rsidRPr="00467DB0">
        <w:t>pligter</w:t>
      </w:r>
      <w:proofErr w:type="spellEnd"/>
      <w:r w:rsidRPr="00467DB0">
        <w:t xml:space="preserve">, eller en </w:t>
      </w:r>
      <w:proofErr w:type="spellStart"/>
      <w:r w:rsidRPr="00467DB0">
        <w:t>enhed</w:t>
      </w:r>
      <w:proofErr w:type="spellEnd"/>
      <w:r w:rsidRPr="00467DB0">
        <w:t xml:space="preserve">, der ikke er en juridisk person, jf. finansforordningens </w:t>
      </w:r>
      <w:proofErr w:type="spellStart"/>
      <w:r w:rsidRPr="00467DB0">
        <w:t>arti</w:t>
      </w:r>
      <w:r w:rsidRPr="00467DB0">
        <w:t>kel</w:t>
      </w:r>
      <w:proofErr w:type="spellEnd"/>
      <w:r w:rsidRPr="00467DB0">
        <w:t xml:space="preserve"> 197, stk. 2, litra c)</w:t>
      </w:r>
    </w:p>
    <w:p w14:paraId="1B986438" w14:textId="77777777" w:rsidR="00000000" w:rsidRPr="00467DB0" w:rsidRDefault="00693D67" w:rsidP="00467DB0">
      <w:pPr>
        <w:pStyle w:val="friliste"/>
      </w:pPr>
      <w:r w:rsidRPr="00467DB0">
        <w:t>29)</w:t>
      </w:r>
      <w:r w:rsidRPr="00467DB0">
        <w:tab/>
        <w:t>"</w:t>
      </w:r>
      <w:proofErr w:type="spellStart"/>
      <w:r w:rsidRPr="00467DB0">
        <w:t>betroet</w:t>
      </w:r>
      <w:proofErr w:type="spellEnd"/>
      <w:r w:rsidRPr="00467DB0">
        <w:t xml:space="preserve"> administrator": en juridisk </w:t>
      </w:r>
      <w:proofErr w:type="spellStart"/>
      <w:r w:rsidRPr="00467DB0">
        <w:t>enhed</w:t>
      </w:r>
      <w:proofErr w:type="spellEnd"/>
      <w:r w:rsidRPr="00467DB0">
        <w:t xml:space="preserve">, der er </w:t>
      </w:r>
      <w:proofErr w:type="spellStart"/>
      <w:r w:rsidRPr="00467DB0">
        <w:t>uafhængig</w:t>
      </w:r>
      <w:proofErr w:type="spellEnd"/>
      <w:r w:rsidRPr="00467DB0">
        <w:t xml:space="preserve"> </w:t>
      </w:r>
      <w:proofErr w:type="spellStart"/>
      <w:r w:rsidRPr="00467DB0">
        <w:t>af</w:t>
      </w:r>
      <w:proofErr w:type="spellEnd"/>
      <w:r w:rsidRPr="00467DB0">
        <w:t xml:space="preserve"> </w:t>
      </w:r>
      <w:proofErr w:type="spellStart"/>
      <w:r w:rsidRPr="00467DB0">
        <w:t>Kommissionen</w:t>
      </w:r>
      <w:proofErr w:type="spellEnd"/>
      <w:r w:rsidRPr="00467DB0">
        <w:t xml:space="preserve"> eller en tredjepart, og som </w:t>
      </w:r>
      <w:proofErr w:type="spellStart"/>
      <w:r w:rsidRPr="00467DB0">
        <w:t>modtager</w:t>
      </w:r>
      <w:proofErr w:type="spellEnd"/>
      <w:r w:rsidRPr="00467DB0">
        <w:t xml:space="preserve"> data fra </w:t>
      </w:r>
      <w:proofErr w:type="spellStart"/>
      <w:r w:rsidRPr="00467DB0">
        <w:t>Kommissionen</w:t>
      </w:r>
      <w:proofErr w:type="spellEnd"/>
      <w:r w:rsidRPr="00467DB0">
        <w:t xml:space="preserve"> eller den </w:t>
      </w:r>
      <w:proofErr w:type="spellStart"/>
      <w:r w:rsidRPr="00467DB0">
        <w:t>pågældende</w:t>
      </w:r>
      <w:proofErr w:type="spellEnd"/>
      <w:r w:rsidRPr="00467DB0">
        <w:t xml:space="preserve"> tredjepart med </w:t>
      </w:r>
      <w:proofErr w:type="spellStart"/>
      <w:r w:rsidRPr="00467DB0">
        <w:t>henblik</w:t>
      </w:r>
      <w:proofErr w:type="spellEnd"/>
      <w:r w:rsidRPr="00467DB0">
        <w:t xml:space="preserve"> på sikker </w:t>
      </w:r>
      <w:proofErr w:type="spellStart"/>
      <w:r w:rsidRPr="00467DB0">
        <w:t>opbevaring</w:t>
      </w:r>
      <w:proofErr w:type="spellEnd"/>
      <w:r w:rsidRPr="00467DB0">
        <w:t xml:space="preserve"> og behandling </w:t>
      </w:r>
      <w:proofErr w:type="spellStart"/>
      <w:r w:rsidRPr="00467DB0">
        <w:t>af</w:t>
      </w:r>
      <w:proofErr w:type="spellEnd"/>
      <w:r w:rsidRPr="00467DB0">
        <w:t xml:space="preserve"> disse da</w:t>
      </w:r>
      <w:r w:rsidRPr="00467DB0">
        <w:t>ta</w:t>
      </w:r>
    </w:p>
    <w:p w14:paraId="40498239" w14:textId="77777777" w:rsidR="00000000" w:rsidRPr="00467DB0" w:rsidRDefault="00693D67" w:rsidP="00467DB0">
      <w:pPr>
        <w:pStyle w:val="friliste"/>
      </w:pPr>
      <w:r w:rsidRPr="00467DB0">
        <w:t>30)</w:t>
      </w:r>
      <w:r w:rsidRPr="00467DB0">
        <w:tab/>
        <w:t xml:space="preserve">"tredjeland": et land, der ikke er medlem </w:t>
      </w:r>
      <w:proofErr w:type="spellStart"/>
      <w:r w:rsidRPr="00467DB0">
        <w:t>af</w:t>
      </w:r>
      <w:proofErr w:type="spellEnd"/>
      <w:r w:rsidRPr="00467DB0">
        <w:t xml:space="preserve"> Unionen.</w:t>
      </w:r>
    </w:p>
    <w:p w14:paraId="5F15A24A" w14:textId="77777777" w:rsidR="00000000" w:rsidRPr="00467DB0" w:rsidRDefault="00693D67" w:rsidP="00467DB0">
      <w:pPr>
        <w:pStyle w:val="avsnitt-undertittel"/>
      </w:pPr>
      <w:proofErr w:type="spellStart"/>
      <w:r w:rsidRPr="00467DB0">
        <w:lastRenderedPageBreak/>
        <w:t>Artikel</w:t>
      </w:r>
      <w:proofErr w:type="spellEnd"/>
      <w:r w:rsidRPr="00467DB0">
        <w:t> 3</w:t>
      </w:r>
    </w:p>
    <w:p w14:paraId="5BFFEC10" w14:textId="77777777" w:rsidR="00000000" w:rsidRPr="00467DB0" w:rsidRDefault="00693D67" w:rsidP="00467DB0">
      <w:pPr>
        <w:pStyle w:val="Undertittel"/>
      </w:pPr>
      <w:r w:rsidRPr="00467DB0">
        <w:t>Programmets komponenter</w:t>
      </w:r>
    </w:p>
    <w:p w14:paraId="04101355" w14:textId="77777777" w:rsidR="00000000" w:rsidRPr="00467DB0" w:rsidRDefault="00693D67" w:rsidP="00467DB0">
      <w:pPr>
        <w:pStyle w:val="friliste"/>
      </w:pPr>
      <w:r w:rsidRPr="00467DB0">
        <w:t>1.</w:t>
      </w:r>
      <w:r w:rsidRPr="00467DB0">
        <w:tab/>
        <w:t xml:space="preserve">Programmet består </w:t>
      </w:r>
      <w:proofErr w:type="spellStart"/>
      <w:r w:rsidRPr="00467DB0">
        <w:t>af</w:t>
      </w:r>
      <w:proofErr w:type="spellEnd"/>
      <w:r w:rsidRPr="00467DB0">
        <w:t xml:space="preserve"> følgende komponenter:</w:t>
      </w:r>
    </w:p>
    <w:p w14:paraId="77C25E78" w14:textId="77777777" w:rsidR="00000000" w:rsidRPr="00467DB0" w:rsidRDefault="00693D67" w:rsidP="00467DB0">
      <w:pPr>
        <w:pStyle w:val="friliste2"/>
      </w:pPr>
      <w:r w:rsidRPr="00467DB0">
        <w:t>a)</w:t>
      </w:r>
      <w:r w:rsidRPr="00467DB0">
        <w:tab/>
        <w:t xml:space="preserve">"Galileo", som er et </w:t>
      </w:r>
      <w:proofErr w:type="spellStart"/>
      <w:r w:rsidRPr="00467DB0">
        <w:t>selvstændigt</w:t>
      </w:r>
      <w:proofErr w:type="spellEnd"/>
      <w:r w:rsidRPr="00467DB0">
        <w:t xml:space="preserve"> </w:t>
      </w:r>
      <w:proofErr w:type="spellStart"/>
      <w:r w:rsidRPr="00467DB0">
        <w:t>civilt</w:t>
      </w:r>
      <w:proofErr w:type="spellEnd"/>
      <w:r w:rsidRPr="00467DB0">
        <w:t xml:space="preserve"> system for global </w:t>
      </w:r>
      <w:proofErr w:type="spellStart"/>
      <w:r w:rsidRPr="00467DB0">
        <w:t>satellitbaseret</w:t>
      </w:r>
      <w:proofErr w:type="spellEnd"/>
      <w:r w:rsidRPr="00467DB0">
        <w:t xml:space="preserve"> </w:t>
      </w:r>
      <w:proofErr w:type="spellStart"/>
      <w:r w:rsidRPr="00467DB0">
        <w:t>navigation</w:t>
      </w:r>
      <w:proofErr w:type="spellEnd"/>
      <w:r w:rsidRPr="00467DB0">
        <w:t xml:space="preserve"> (GNSS) under </w:t>
      </w:r>
      <w:proofErr w:type="spellStart"/>
      <w:r w:rsidRPr="00467DB0">
        <w:t>civil</w:t>
      </w:r>
      <w:proofErr w:type="spellEnd"/>
      <w:r w:rsidRPr="00467DB0">
        <w:t xml:space="preserve"> </w:t>
      </w:r>
      <w:proofErr w:type="spellStart"/>
      <w:r w:rsidRPr="00467DB0">
        <w:t>kontrol</w:t>
      </w:r>
      <w:proofErr w:type="spellEnd"/>
      <w:r w:rsidRPr="00467DB0">
        <w:t xml:space="preserve">, som omfatter en </w:t>
      </w:r>
      <w:proofErr w:type="spellStart"/>
      <w:r w:rsidRPr="00467DB0">
        <w:t>konstellation</w:t>
      </w:r>
      <w:proofErr w:type="spellEnd"/>
      <w:r w:rsidRPr="00467DB0">
        <w:t xml:space="preserve"> </w:t>
      </w:r>
      <w:proofErr w:type="spellStart"/>
      <w:r w:rsidRPr="00467DB0">
        <w:t>af</w:t>
      </w:r>
      <w:proofErr w:type="spellEnd"/>
      <w:r w:rsidRPr="00467DB0">
        <w:t xml:space="preserve"> satellitter, </w:t>
      </w:r>
      <w:proofErr w:type="spellStart"/>
      <w:r w:rsidRPr="00467DB0">
        <w:t>centre</w:t>
      </w:r>
      <w:proofErr w:type="spellEnd"/>
      <w:r w:rsidRPr="00467DB0">
        <w:t xml:space="preserve"> og et globalt </w:t>
      </w:r>
      <w:proofErr w:type="spellStart"/>
      <w:r w:rsidRPr="00467DB0">
        <w:t>net</w:t>
      </w:r>
      <w:proofErr w:type="spellEnd"/>
      <w:r w:rsidRPr="00467DB0">
        <w:t xml:space="preserve"> </w:t>
      </w:r>
      <w:proofErr w:type="spellStart"/>
      <w:r w:rsidRPr="00467DB0">
        <w:t>af</w:t>
      </w:r>
      <w:proofErr w:type="spellEnd"/>
      <w:r w:rsidRPr="00467DB0">
        <w:t xml:space="preserve"> </w:t>
      </w:r>
      <w:proofErr w:type="spellStart"/>
      <w:r w:rsidRPr="00467DB0">
        <w:t>stationer</w:t>
      </w:r>
      <w:proofErr w:type="spellEnd"/>
      <w:r w:rsidRPr="00467DB0">
        <w:t xml:space="preserve"> på jorden, som leverer </w:t>
      </w:r>
      <w:proofErr w:type="spellStart"/>
      <w:r w:rsidRPr="00467DB0">
        <w:t>positionsbestemmelses</w:t>
      </w:r>
      <w:proofErr w:type="spellEnd"/>
      <w:r w:rsidRPr="00467DB0">
        <w:t xml:space="preserve">-, </w:t>
      </w:r>
      <w:proofErr w:type="spellStart"/>
      <w:r w:rsidRPr="00467DB0">
        <w:t>navigations</w:t>
      </w:r>
      <w:proofErr w:type="spellEnd"/>
      <w:r w:rsidRPr="00467DB0">
        <w:t xml:space="preserve">- og tidsbestemmelsestjenester og </w:t>
      </w:r>
      <w:proofErr w:type="gramStart"/>
      <w:r w:rsidRPr="00467DB0">
        <w:t>integrerer</w:t>
      </w:r>
      <w:proofErr w:type="gramEnd"/>
      <w:r w:rsidRPr="00467DB0">
        <w:t xml:space="preserve"> </w:t>
      </w:r>
      <w:proofErr w:type="spellStart"/>
      <w:r w:rsidRPr="00467DB0">
        <w:t>sikkerhedsbehov</w:t>
      </w:r>
      <w:proofErr w:type="spellEnd"/>
      <w:r w:rsidRPr="00467DB0">
        <w:t xml:space="preserve"> og -krav</w:t>
      </w:r>
    </w:p>
    <w:p w14:paraId="76AF2371" w14:textId="77777777" w:rsidR="00000000" w:rsidRPr="00467DB0" w:rsidRDefault="00693D67" w:rsidP="00467DB0">
      <w:pPr>
        <w:pStyle w:val="friliste2"/>
      </w:pPr>
      <w:r w:rsidRPr="00467DB0">
        <w:t>b)</w:t>
      </w:r>
      <w:r w:rsidRPr="00467DB0">
        <w:tab/>
      </w:r>
      <w:r w:rsidRPr="00467DB0">
        <w:t xml:space="preserve">"European </w:t>
      </w:r>
      <w:proofErr w:type="spellStart"/>
      <w:r w:rsidRPr="00467DB0">
        <w:t>Geostationary</w:t>
      </w:r>
      <w:proofErr w:type="spellEnd"/>
      <w:r w:rsidRPr="00467DB0">
        <w:t xml:space="preserve"> </w:t>
      </w:r>
      <w:proofErr w:type="spellStart"/>
      <w:r w:rsidRPr="00467DB0">
        <w:t>Navigation</w:t>
      </w:r>
      <w:proofErr w:type="spellEnd"/>
      <w:r w:rsidRPr="00467DB0">
        <w:t xml:space="preserve"> </w:t>
      </w:r>
      <w:proofErr w:type="spellStart"/>
      <w:r w:rsidRPr="00467DB0">
        <w:t>Over</w:t>
      </w:r>
      <w:r w:rsidRPr="00467DB0">
        <w:t>lay</w:t>
      </w:r>
      <w:proofErr w:type="spellEnd"/>
      <w:r w:rsidRPr="00467DB0">
        <w:t xml:space="preserve"> Service" (den </w:t>
      </w:r>
      <w:proofErr w:type="spellStart"/>
      <w:r w:rsidRPr="00467DB0">
        <w:t>europæiske</w:t>
      </w:r>
      <w:proofErr w:type="spellEnd"/>
      <w:r w:rsidRPr="00467DB0">
        <w:t xml:space="preserve"> </w:t>
      </w:r>
      <w:proofErr w:type="spellStart"/>
      <w:r w:rsidRPr="00467DB0">
        <w:t>geostationære</w:t>
      </w:r>
      <w:proofErr w:type="spellEnd"/>
      <w:r w:rsidRPr="00467DB0">
        <w:t xml:space="preserve"> </w:t>
      </w:r>
      <w:proofErr w:type="spellStart"/>
      <w:r w:rsidRPr="00467DB0">
        <w:t>navigations</w:t>
      </w:r>
      <w:proofErr w:type="spellEnd"/>
      <w:r w:rsidRPr="00467DB0">
        <w:t>-</w:t>
      </w:r>
      <w:proofErr w:type="spellStart"/>
      <w:r w:rsidRPr="00467DB0">
        <w:t>overlay</w:t>
      </w:r>
      <w:proofErr w:type="spellEnd"/>
      <w:r w:rsidRPr="00467DB0">
        <w:t xml:space="preserve">-tjeneste) "EGNOS", </w:t>
      </w:r>
      <w:r w:rsidRPr="00467DB0">
        <w:t xml:space="preserve">som er et </w:t>
      </w:r>
      <w:proofErr w:type="spellStart"/>
      <w:r w:rsidRPr="00467DB0">
        <w:t>civilt</w:t>
      </w:r>
      <w:proofErr w:type="spellEnd"/>
      <w:r w:rsidRPr="00467DB0">
        <w:t xml:space="preserve"> regionalt </w:t>
      </w:r>
      <w:proofErr w:type="spellStart"/>
      <w:r w:rsidRPr="00467DB0">
        <w:t>satellitnavigationssystem</w:t>
      </w:r>
      <w:proofErr w:type="spellEnd"/>
      <w:r w:rsidRPr="00467DB0">
        <w:t xml:space="preserve"> under </w:t>
      </w:r>
      <w:proofErr w:type="spellStart"/>
      <w:r w:rsidRPr="00467DB0">
        <w:t>civil</w:t>
      </w:r>
      <w:proofErr w:type="spellEnd"/>
      <w:r w:rsidRPr="00467DB0">
        <w:t xml:space="preserve"> </w:t>
      </w:r>
      <w:proofErr w:type="spellStart"/>
      <w:r w:rsidRPr="00467DB0">
        <w:t>kontrol</w:t>
      </w:r>
      <w:proofErr w:type="spellEnd"/>
      <w:r w:rsidRPr="00467DB0">
        <w:t xml:space="preserve">, der består </w:t>
      </w:r>
      <w:proofErr w:type="spellStart"/>
      <w:r w:rsidRPr="00467DB0">
        <w:t>af</w:t>
      </w:r>
      <w:proofErr w:type="spellEnd"/>
      <w:r w:rsidRPr="00467DB0">
        <w:t xml:space="preserve"> </w:t>
      </w:r>
      <w:proofErr w:type="spellStart"/>
      <w:r w:rsidRPr="00467DB0">
        <w:t>centre</w:t>
      </w:r>
      <w:proofErr w:type="spellEnd"/>
      <w:r w:rsidRPr="00467DB0">
        <w:t xml:space="preserve"> og </w:t>
      </w:r>
      <w:proofErr w:type="spellStart"/>
      <w:r w:rsidRPr="00467DB0">
        <w:t>stationer</w:t>
      </w:r>
      <w:proofErr w:type="spellEnd"/>
      <w:r w:rsidRPr="00467DB0">
        <w:t xml:space="preserve"> på jorden og en </w:t>
      </w:r>
      <w:proofErr w:type="spellStart"/>
      <w:r w:rsidRPr="00467DB0">
        <w:t>række</w:t>
      </w:r>
      <w:proofErr w:type="spellEnd"/>
      <w:r w:rsidRPr="00467DB0">
        <w:t xml:space="preserve"> transpondere, der er </w:t>
      </w:r>
      <w:proofErr w:type="spellStart"/>
      <w:r w:rsidRPr="00467DB0">
        <w:t>installeret</w:t>
      </w:r>
      <w:proofErr w:type="spellEnd"/>
      <w:r w:rsidRPr="00467DB0">
        <w:t xml:space="preserve"> i </w:t>
      </w:r>
      <w:proofErr w:type="spellStart"/>
      <w:r w:rsidRPr="00467DB0">
        <w:t>geostatio</w:t>
      </w:r>
      <w:r w:rsidRPr="00467DB0">
        <w:t>nære</w:t>
      </w:r>
      <w:proofErr w:type="spellEnd"/>
      <w:r w:rsidRPr="00467DB0">
        <w:t xml:space="preserve"> satellitter, og som </w:t>
      </w:r>
      <w:proofErr w:type="spellStart"/>
      <w:r w:rsidRPr="00467DB0">
        <w:t>forstærker</w:t>
      </w:r>
      <w:proofErr w:type="spellEnd"/>
      <w:r w:rsidRPr="00467DB0">
        <w:t xml:space="preserve"> og korrigerer </w:t>
      </w:r>
      <w:proofErr w:type="spellStart"/>
      <w:r w:rsidRPr="00467DB0">
        <w:t>åbne</w:t>
      </w:r>
      <w:proofErr w:type="spellEnd"/>
      <w:r w:rsidRPr="00467DB0">
        <w:t xml:space="preserve"> signaler </w:t>
      </w:r>
      <w:proofErr w:type="spellStart"/>
      <w:r w:rsidRPr="00467DB0">
        <w:t>udsendt</w:t>
      </w:r>
      <w:proofErr w:type="spellEnd"/>
      <w:r w:rsidRPr="00467DB0">
        <w:t xml:space="preserve"> </w:t>
      </w:r>
      <w:proofErr w:type="spellStart"/>
      <w:r w:rsidRPr="00467DB0">
        <w:t>af</w:t>
      </w:r>
      <w:proofErr w:type="spellEnd"/>
      <w:r w:rsidRPr="00467DB0">
        <w:t xml:space="preserve"> Galileo og andre GNSS-systemer, bl.a. med </w:t>
      </w:r>
      <w:proofErr w:type="spellStart"/>
      <w:r w:rsidRPr="00467DB0">
        <w:t>henblik</w:t>
      </w:r>
      <w:proofErr w:type="spellEnd"/>
      <w:r w:rsidRPr="00467DB0">
        <w:t xml:space="preserve"> på lufttrafikstyringstjenester, luftfartstjenester og andre transportsystemer</w:t>
      </w:r>
    </w:p>
    <w:p w14:paraId="37EF9E03" w14:textId="77777777" w:rsidR="00000000" w:rsidRPr="00467DB0" w:rsidRDefault="00693D67" w:rsidP="00467DB0">
      <w:pPr>
        <w:pStyle w:val="friliste2"/>
      </w:pPr>
      <w:r w:rsidRPr="00467DB0">
        <w:t>c)</w:t>
      </w:r>
      <w:r w:rsidRPr="00467DB0">
        <w:tab/>
        <w:t xml:space="preserve">"Copernicus", som er et </w:t>
      </w:r>
      <w:proofErr w:type="spellStart"/>
      <w:r w:rsidRPr="00467DB0">
        <w:t>operationelt</w:t>
      </w:r>
      <w:proofErr w:type="spellEnd"/>
      <w:r w:rsidRPr="00467DB0">
        <w:t xml:space="preserve">, </w:t>
      </w:r>
      <w:proofErr w:type="spellStart"/>
      <w:r w:rsidRPr="00467DB0">
        <w:t>selvstændigt</w:t>
      </w:r>
      <w:proofErr w:type="spellEnd"/>
      <w:r w:rsidRPr="00467DB0">
        <w:t xml:space="preserve">, </w:t>
      </w:r>
      <w:proofErr w:type="spellStart"/>
      <w:r w:rsidRPr="00467DB0">
        <w:t>brugerdrevet</w:t>
      </w:r>
      <w:proofErr w:type="spellEnd"/>
      <w:r w:rsidRPr="00467DB0">
        <w:t xml:space="preserve"> </w:t>
      </w:r>
      <w:proofErr w:type="spellStart"/>
      <w:r w:rsidRPr="00467DB0">
        <w:t>civilt</w:t>
      </w:r>
      <w:proofErr w:type="spellEnd"/>
      <w:r w:rsidRPr="00467DB0">
        <w:t xml:space="preserve"> </w:t>
      </w:r>
      <w:proofErr w:type="spellStart"/>
      <w:r w:rsidRPr="00467DB0">
        <w:t>jordobservationssystem</w:t>
      </w:r>
      <w:proofErr w:type="spellEnd"/>
      <w:r w:rsidRPr="00467DB0">
        <w:t xml:space="preserve"> under </w:t>
      </w:r>
      <w:proofErr w:type="spellStart"/>
      <w:r w:rsidRPr="00467DB0">
        <w:t>civil</w:t>
      </w:r>
      <w:proofErr w:type="spellEnd"/>
      <w:r w:rsidRPr="00467DB0">
        <w:t xml:space="preserve"> </w:t>
      </w:r>
      <w:proofErr w:type="spellStart"/>
      <w:r w:rsidRPr="00467DB0">
        <w:t>kontrol</w:t>
      </w:r>
      <w:proofErr w:type="spellEnd"/>
      <w:r w:rsidRPr="00467DB0">
        <w:t xml:space="preserve">, der bygger på de eksisterende </w:t>
      </w:r>
      <w:proofErr w:type="spellStart"/>
      <w:r w:rsidRPr="00467DB0">
        <w:t>nationale</w:t>
      </w:r>
      <w:proofErr w:type="spellEnd"/>
      <w:r w:rsidRPr="00467DB0">
        <w:t xml:space="preserve"> og </w:t>
      </w:r>
      <w:proofErr w:type="spellStart"/>
      <w:r w:rsidRPr="00467DB0">
        <w:t>europæiske</w:t>
      </w:r>
      <w:proofErr w:type="spellEnd"/>
      <w:r w:rsidRPr="00467DB0">
        <w:t xml:space="preserve"> </w:t>
      </w:r>
      <w:proofErr w:type="spellStart"/>
      <w:r w:rsidRPr="00467DB0">
        <w:t>kapaciteter</w:t>
      </w:r>
      <w:proofErr w:type="spellEnd"/>
      <w:r w:rsidRPr="00467DB0">
        <w:t xml:space="preserve">, og som tilbyder </w:t>
      </w:r>
      <w:proofErr w:type="spellStart"/>
      <w:r w:rsidRPr="00467DB0">
        <w:t>geoinformationsdata</w:t>
      </w:r>
      <w:proofErr w:type="spellEnd"/>
      <w:r w:rsidRPr="00467DB0">
        <w:t xml:space="preserve"> og -tjenester, bestående </w:t>
      </w:r>
      <w:proofErr w:type="spellStart"/>
      <w:r w:rsidRPr="00467DB0">
        <w:t>af</w:t>
      </w:r>
      <w:proofErr w:type="spellEnd"/>
      <w:r w:rsidRPr="00467DB0">
        <w:t xml:space="preserve"> satellitter, jordinfrastruktur, data- og </w:t>
      </w:r>
      <w:proofErr w:type="spellStart"/>
      <w:r w:rsidRPr="00467DB0">
        <w:t>informationsbehand</w:t>
      </w:r>
      <w:r w:rsidRPr="00467DB0">
        <w:t>lingsfaciliteter</w:t>
      </w:r>
      <w:proofErr w:type="spellEnd"/>
      <w:r w:rsidRPr="00467DB0">
        <w:t xml:space="preserve"> og </w:t>
      </w:r>
      <w:proofErr w:type="spellStart"/>
      <w:r w:rsidRPr="00467DB0">
        <w:t>distributionsinfrastruktur</w:t>
      </w:r>
      <w:proofErr w:type="spellEnd"/>
      <w:r w:rsidRPr="00467DB0">
        <w:t xml:space="preserve"> </w:t>
      </w:r>
      <w:proofErr w:type="spellStart"/>
      <w:r w:rsidRPr="00467DB0">
        <w:t>baseret</w:t>
      </w:r>
      <w:proofErr w:type="spellEnd"/>
      <w:r w:rsidRPr="00467DB0">
        <w:t xml:space="preserve"> på en </w:t>
      </w:r>
      <w:proofErr w:type="spellStart"/>
      <w:r w:rsidRPr="00467DB0">
        <w:t>fuldstændig</w:t>
      </w:r>
      <w:proofErr w:type="spellEnd"/>
      <w:r w:rsidRPr="00467DB0">
        <w:t xml:space="preserve">, gratis og </w:t>
      </w:r>
      <w:proofErr w:type="spellStart"/>
      <w:r w:rsidRPr="00467DB0">
        <w:t>åben</w:t>
      </w:r>
      <w:proofErr w:type="spellEnd"/>
      <w:r w:rsidRPr="00467DB0">
        <w:t xml:space="preserve"> </w:t>
      </w:r>
      <w:proofErr w:type="spellStart"/>
      <w:r w:rsidRPr="00467DB0">
        <w:t>datapolitik</w:t>
      </w:r>
      <w:proofErr w:type="spellEnd"/>
      <w:r w:rsidRPr="00467DB0">
        <w:t xml:space="preserve">, og som, hvor det er relevant, </w:t>
      </w:r>
      <w:proofErr w:type="gramStart"/>
      <w:r w:rsidRPr="00467DB0">
        <w:t>integrerer</w:t>
      </w:r>
      <w:proofErr w:type="gramEnd"/>
      <w:r w:rsidRPr="00467DB0">
        <w:t xml:space="preserve"> </w:t>
      </w:r>
      <w:proofErr w:type="spellStart"/>
      <w:r w:rsidRPr="00467DB0">
        <w:t>sikkerhedsbehov</w:t>
      </w:r>
      <w:proofErr w:type="spellEnd"/>
      <w:r w:rsidRPr="00467DB0">
        <w:t xml:space="preserve"> og -krav</w:t>
      </w:r>
    </w:p>
    <w:p w14:paraId="7E8DAB95" w14:textId="77777777" w:rsidR="00000000" w:rsidRPr="00467DB0" w:rsidRDefault="00693D67" w:rsidP="00467DB0">
      <w:pPr>
        <w:pStyle w:val="friliste2"/>
      </w:pPr>
      <w:r w:rsidRPr="00467DB0">
        <w:t>d)</w:t>
      </w:r>
      <w:r w:rsidRPr="00467DB0">
        <w:tab/>
        <w:t>"</w:t>
      </w:r>
      <w:proofErr w:type="spellStart"/>
      <w:r w:rsidRPr="00467DB0">
        <w:t>kendskab</w:t>
      </w:r>
      <w:proofErr w:type="spellEnd"/>
      <w:r w:rsidRPr="00467DB0">
        <w:t xml:space="preserve"> til </w:t>
      </w:r>
      <w:proofErr w:type="spellStart"/>
      <w:r w:rsidRPr="00467DB0">
        <w:t>situationen</w:t>
      </w:r>
      <w:proofErr w:type="spellEnd"/>
      <w:r w:rsidRPr="00467DB0">
        <w:t xml:space="preserve"> i </w:t>
      </w:r>
      <w:proofErr w:type="spellStart"/>
      <w:r w:rsidRPr="00467DB0">
        <w:t>rummet</w:t>
      </w:r>
      <w:proofErr w:type="spellEnd"/>
      <w:r w:rsidRPr="00467DB0">
        <w:t>" eller "SSA", som omfatter følgende delkomponenter</w:t>
      </w:r>
      <w:r w:rsidRPr="00467DB0">
        <w:t>:</w:t>
      </w:r>
    </w:p>
    <w:p w14:paraId="1BFC72CF" w14:textId="77777777" w:rsidR="00000000" w:rsidRPr="00467DB0" w:rsidRDefault="00693D67" w:rsidP="00467DB0">
      <w:pPr>
        <w:pStyle w:val="friliste3"/>
      </w:pPr>
      <w:r w:rsidRPr="00467DB0">
        <w:t>i)</w:t>
      </w:r>
      <w:r w:rsidRPr="00467DB0">
        <w:tab/>
        <w:t xml:space="preserve">"SST-delkomponent", som er et system til </w:t>
      </w:r>
      <w:proofErr w:type="spellStart"/>
      <w:r w:rsidRPr="00467DB0">
        <w:t>overvågning</w:t>
      </w:r>
      <w:proofErr w:type="spellEnd"/>
      <w:r w:rsidRPr="00467DB0">
        <w:t xml:space="preserve"> og sporing i </w:t>
      </w:r>
      <w:proofErr w:type="spellStart"/>
      <w:r w:rsidRPr="00467DB0">
        <w:t>rummet</w:t>
      </w:r>
      <w:proofErr w:type="spellEnd"/>
      <w:r w:rsidRPr="00467DB0">
        <w:t xml:space="preserve">, hvis formål er at forbedre, forvalte og levere data, </w:t>
      </w:r>
      <w:proofErr w:type="spellStart"/>
      <w:r w:rsidRPr="00467DB0">
        <w:t>informationer</w:t>
      </w:r>
      <w:proofErr w:type="spellEnd"/>
      <w:r w:rsidRPr="00467DB0">
        <w:t xml:space="preserve"> og tjenester i forbindelse med </w:t>
      </w:r>
      <w:proofErr w:type="spellStart"/>
      <w:r w:rsidRPr="00467DB0">
        <w:t>overvågning</w:t>
      </w:r>
      <w:proofErr w:type="spellEnd"/>
      <w:r w:rsidRPr="00467DB0">
        <w:t xml:space="preserve"> og sporing </w:t>
      </w:r>
      <w:proofErr w:type="spellStart"/>
      <w:r w:rsidRPr="00467DB0">
        <w:t>af</w:t>
      </w:r>
      <w:proofErr w:type="spellEnd"/>
      <w:r w:rsidRPr="00467DB0">
        <w:t xml:space="preserve"> </w:t>
      </w:r>
      <w:proofErr w:type="spellStart"/>
      <w:r w:rsidRPr="00467DB0">
        <w:t>rumobjekter</w:t>
      </w:r>
      <w:proofErr w:type="spellEnd"/>
      <w:r w:rsidRPr="00467DB0">
        <w:t xml:space="preserve">, der </w:t>
      </w:r>
      <w:proofErr w:type="spellStart"/>
      <w:r w:rsidRPr="00467DB0">
        <w:t>befinder</w:t>
      </w:r>
      <w:proofErr w:type="spellEnd"/>
      <w:r w:rsidRPr="00467DB0">
        <w:t xml:space="preserve"> sig i </w:t>
      </w:r>
      <w:proofErr w:type="spellStart"/>
      <w:r w:rsidRPr="00467DB0">
        <w:t>kredsløb</w:t>
      </w:r>
      <w:proofErr w:type="spellEnd"/>
      <w:r w:rsidRPr="00467DB0">
        <w:t xml:space="preserve"> om jorden</w:t>
      </w:r>
    </w:p>
    <w:p w14:paraId="3ECD3675" w14:textId="77777777" w:rsidR="00000000" w:rsidRPr="00467DB0" w:rsidRDefault="00693D67" w:rsidP="00467DB0">
      <w:pPr>
        <w:pStyle w:val="friliste3"/>
      </w:pPr>
      <w:r w:rsidRPr="00467DB0">
        <w:t>ii</w:t>
      </w:r>
      <w:r w:rsidRPr="00467DB0">
        <w:t>)</w:t>
      </w:r>
      <w:r w:rsidRPr="00467DB0">
        <w:tab/>
        <w:t xml:space="preserve">"SWE-delkomponent", som er </w:t>
      </w:r>
      <w:proofErr w:type="spellStart"/>
      <w:r w:rsidRPr="00467DB0">
        <w:t>observationsbaserede</w:t>
      </w:r>
      <w:proofErr w:type="spellEnd"/>
      <w:r w:rsidRPr="00467DB0">
        <w:t xml:space="preserve"> </w:t>
      </w:r>
      <w:proofErr w:type="spellStart"/>
      <w:r w:rsidRPr="00467DB0">
        <w:t>parametre</w:t>
      </w:r>
      <w:proofErr w:type="spellEnd"/>
      <w:r w:rsidRPr="00467DB0">
        <w:t xml:space="preserve"> med </w:t>
      </w:r>
      <w:proofErr w:type="spellStart"/>
      <w:r w:rsidRPr="00467DB0">
        <w:t>relation</w:t>
      </w:r>
      <w:proofErr w:type="spellEnd"/>
      <w:r w:rsidRPr="00467DB0">
        <w:t xml:space="preserve"> til </w:t>
      </w:r>
      <w:proofErr w:type="spellStart"/>
      <w:r w:rsidRPr="00467DB0">
        <w:t>rumvejr</w:t>
      </w:r>
      <w:proofErr w:type="spellEnd"/>
      <w:r w:rsidRPr="00467DB0">
        <w:t xml:space="preserve"> og </w:t>
      </w:r>
    </w:p>
    <w:p w14:paraId="61AEF660" w14:textId="77777777" w:rsidR="00000000" w:rsidRPr="00467DB0" w:rsidRDefault="00693D67" w:rsidP="00467DB0">
      <w:pPr>
        <w:pStyle w:val="friliste3"/>
      </w:pPr>
      <w:r w:rsidRPr="00467DB0">
        <w:t>iii)</w:t>
      </w:r>
      <w:r w:rsidRPr="00467DB0">
        <w:tab/>
        <w:t xml:space="preserve">"NEO-delkomponent", som vedrører </w:t>
      </w:r>
      <w:proofErr w:type="spellStart"/>
      <w:r w:rsidRPr="00467DB0">
        <w:t>overvågning</w:t>
      </w:r>
      <w:proofErr w:type="spellEnd"/>
      <w:r w:rsidRPr="00467DB0">
        <w:t xml:space="preserve"> </w:t>
      </w:r>
      <w:proofErr w:type="spellStart"/>
      <w:r w:rsidRPr="00467DB0">
        <w:t>af</w:t>
      </w:r>
      <w:proofErr w:type="spellEnd"/>
      <w:r w:rsidRPr="00467DB0">
        <w:t xml:space="preserve"> risikoen for, at jordnære objekter i </w:t>
      </w:r>
      <w:proofErr w:type="spellStart"/>
      <w:r w:rsidRPr="00467DB0">
        <w:t>rummet</w:t>
      </w:r>
      <w:proofErr w:type="spellEnd"/>
      <w:r w:rsidRPr="00467DB0">
        <w:t xml:space="preserve"> nærmer </w:t>
      </w:r>
      <w:proofErr w:type="spellStart"/>
      <w:r w:rsidRPr="00467DB0">
        <w:t>sig</w:t>
      </w:r>
      <w:proofErr w:type="spellEnd"/>
      <w:r w:rsidRPr="00467DB0">
        <w:t xml:space="preserve"> jorden</w:t>
      </w:r>
    </w:p>
    <w:p w14:paraId="102EB2D8" w14:textId="77777777" w:rsidR="00000000" w:rsidRPr="00467DB0" w:rsidRDefault="00693D67" w:rsidP="00467DB0">
      <w:pPr>
        <w:pStyle w:val="friliste2"/>
      </w:pPr>
      <w:r w:rsidRPr="00467DB0">
        <w:t>e)</w:t>
      </w:r>
      <w:r w:rsidRPr="00467DB0">
        <w:tab/>
        <w:t xml:space="preserve">"GOVSATCOM", som er en </w:t>
      </w:r>
      <w:proofErr w:type="spellStart"/>
      <w:r w:rsidRPr="00467DB0">
        <w:t>satellitkommunikationstjen</w:t>
      </w:r>
      <w:r w:rsidRPr="00467DB0">
        <w:t>este</w:t>
      </w:r>
      <w:proofErr w:type="spellEnd"/>
      <w:r w:rsidRPr="00467DB0">
        <w:t xml:space="preserve">, der under </w:t>
      </w:r>
      <w:proofErr w:type="spellStart"/>
      <w:r w:rsidRPr="00467DB0">
        <w:t>civil</w:t>
      </w:r>
      <w:proofErr w:type="spellEnd"/>
      <w:r w:rsidRPr="00467DB0">
        <w:t xml:space="preserve"> og </w:t>
      </w:r>
      <w:proofErr w:type="spellStart"/>
      <w:r w:rsidRPr="00467DB0">
        <w:t>statslig</w:t>
      </w:r>
      <w:proofErr w:type="spellEnd"/>
      <w:r w:rsidRPr="00467DB0">
        <w:t xml:space="preserve"> </w:t>
      </w:r>
      <w:proofErr w:type="spellStart"/>
      <w:r w:rsidRPr="00467DB0">
        <w:t>kontrol</w:t>
      </w:r>
      <w:proofErr w:type="spellEnd"/>
      <w:r w:rsidRPr="00467DB0">
        <w:t xml:space="preserve"> </w:t>
      </w:r>
      <w:proofErr w:type="spellStart"/>
      <w:r w:rsidRPr="00467DB0">
        <w:t>muliggør</w:t>
      </w:r>
      <w:proofErr w:type="spellEnd"/>
      <w:r w:rsidRPr="00467DB0">
        <w:t xml:space="preserve"> levering </w:t>
      </w:r>
      <w:proofErr w:type="spellStart"/>
      <w:r w:rsidRPr="00467DB0">
        <w:t>af</w:t>
      </w:r>
      <w:proofErr w:type="spellEnd"/>
      <w:r w:rsidRPr="00467DB0">
        <w:t xml:space="preserve"> </w:t>
      </w:r>
      <w:proofErr w:type="spellStart"/>
      <w:r w:rsidRPr="00467DB0">
        <w:t>satellitkommunikationskapaciteter</w:t>
      </w:r>
      <w:proofErr w:type="spellEnd"/>
      <w:r w:rsidRPr="00467DB0">
        <w:t xml:space="preserve"> og -tjenester for Unionens og </w:t>
      </w:r>
      <w:proofErr w:type="spellStart"/>
      <w:r w:rsidRPr="00467DB0">
        <w:t>medlemsstaternes</w:t>
      </w:r>
      <w:proofErr w:type="spellEnd"/>
      <w:r w:rsidRPr="00467DB0">
        <w:t xml:space="preserve"> </w:t>
      </w:r>
      <w:proofErr w:type="spellStart"/>
      <w:r w:rsidRPr="00467DB0">
        <w:t>myndigheder</w:t>
      </w:r>
      <w:proofErr w:type="spellEnd"/>
      <w:r w:rsidRPr="00467DB0">
        <w:t xml:space="preserve">, som forvalter </w:t>
      </w:r>
      <w:proofErr w:type="spellStart"/>
      <w:r w:rsidRPr="00467DB0">
        <w:t>sikkerhedskritiske</w:t>
      </w:r>
      <w:proofErr w:type="spellEnd"/>
      <w:r w:rsidRPr="00467DB0">
        <w:t xml:space="preserve"> missioner og infrastrukturer.</w:t>
      </w:r>
    </w:p>
    <w:p w14:paraId="6A8FC682" w14:textId="77777777" w:rsidR="00000000" w:rsidRPr="00467DB0" w:rsidRDefault="00693D67" w:rsidP="00467DB0">
      <w:pPr>
        <w:pStyle w:val="friliste"/>
      </w:pPr>
      <w:r w:rsidRPr="00467DB0">
        <w:t>2.</w:t>
      </w:r>
      <w:r w:rsidRPr="00467DB0">
        <w:tab/>
      </w:r>
      <w:r w:rsidRPr="00467DB0">
        <w:t xml:space="preserve">Programmet skal omfatte </w:t>
      </w:r>
      <w:proofErr w:type="spellStart"/>
      <w:r w:rsidRPr="00467DB0">
        <w:t>yderligere</w:t>
      </w:r>
      <w:proofErr w:type="spellEnd"/>
      <w:r w:rsidRPr="00467DB0">
        <w:t xml:space="preserve"> foranstaltninger til sikring </w:t>
      </w:r>
      <w:proofErr w:type="spellStart"/>
      <w:r w:rsidRPr="00467DB0">
        <w:t>af</w:t>
      </w:r>
      <w:proofErr w:type="spellEnd"/>
      <w:r w:rsidRPr="00467DB0">
        <w:t xml:space="preserve"> effektiv og </w:t>
      </w:r>
      <w:proofErr w:type="spellStart"/>
      <w:r w:rsidRPr="00467DB0">
        <w:t>selvstændig</w:t>
      </w:r>
      <w:proofErr w:type="spellEnd"/>
      <w:r w:rsidRPr="00467DB0">
        <w:t xml:space="preserve"> adgang til </w:t>
      </w:r>
      <w:proofErr w:type="spellStart"/>
      <w:r w:rsidRPr="00467DB0">
        <w:t>rummet</w:t>
      </w:r>
      <w:proofErr w:type="spellEnd"/>
      <w:r w:rsidRPr="00467DB0">
        <w:t xml:space="preserve"> for programmet og fremme </w:t>
      </w:r>
      <w:proofErr w:type="spellStart"/>
      <w:r w:rsidRPr="00467DB0">
        <w:t>af</w:t>
      </w:r>
      <w:proofErr w:type="spellEnd"/>
      <w:r w:rsidRPr="00467DB0">
        <w:t xml:space="preserve"> en innovativ og </w:t>
      </w:r>
      <w:proofErr w:type="spellStart"/>
      <w:r w:rsidRPr="00467DB0">
        <w:t>konkurrencedygtig</w:t>
      </w:r>
      <w:proofErr w:type="spellEnd"/>
      <w:r w:rsidRPr="00467DB0">
        <w:t xml:space="preserve"> </w:t>
      </w:r>
      <w:proofErr w:type="spellStart"/>
      <w:r w:rsidRPr="00467DB0">
        <w:t>europæisk</w:t>
      </w:r>
      <w:proofErr w:type="spellEnd"/>
      <w:r w:rsidRPr="00467DB0">
        <w:t xml:space="preserve"> </w:t>
      </w:r>
      <w:proofErr w:type="spellStart"/>
      <w:r w:rsidRPr="00467DB0">
        <w:t>rumsektor</w:t>
      </w:r>
      <w:proofErr w:type="spellEnd"/>
      <w:r w:rsidRPr="00467DB0">
        <w:t xml:space="preserve">, </w:t>
      </w:r>
      <w:proofErr w:type="spellStart"/>
      <w:r w:rsidRPr="00467DB0">
        <w:t>såvel</w:t>
      </w:r>
      <w:proofErr w:type="spellEnd"/>
      <w:r w:rsidRPr="00467DB0">
        <w:t xml:space="preserve"> i leverandørleddet som i </w:t>
      </w:r>
      <w:proofErr w:type="spellStart"/>
      <w:r w:rsidRPr="00467DB0">
        <w:t>aftagerleddet</w:t>
      </w:r>
      <w:proofErr w:type="spellEnd"/>
      <w:r w:rsidRPr="00467DB0">
        <w:t xml:space="preserve">, så der </w:t>
      </w:r>
      <w:proofErr w:type="spellStart"/>
      <w:r w:rsidRPr="00467DB0">
        <w:t>sker</w:t>
      </w:r>
      <w:proofErr w:type="spellEnd"/>
      <w:r w:rsidRPr="00467DB0">
        <w:t xml:space="preserve"> styrke</w:t>
      </w:r>
      <w:r w:rsidRPr="00467DB0">
        <w:t xml:space="preserve">lse </w:t>
      </w:r>
      <w:proofErr w:type="spellStart"/>
      <w:r w:rsidRPr="00467DB0">
        <w:t>af</w:t>
      </w:r>
      <w:proofErr w:type="spellEnd"/>
      <w:r w:rsidRPr="00467DB0">
        <w:t xml:space="preserve"> Unionens </w:t>
      </w:r>
      <w:proofErr w:type="spellStart"/>
      <w:r w:rsidRPr="00467DB0">
        <w:t>rumøkosystem</w:t>
      </w:r>
      <w:proofErr w:type="spellEnd"/>
      <w:r w:rsidRPr="00467DB0">
        <w:t xml:space="preserve"> og styrkelse </w:t>
      </w:r>
      <w:proofErr w:type="spellStart"/>
      <w:r w:rsidRPr="00467DB0">
        <w:t>af</w:t>
      </w:r>
      <w:proofErr w:type="spellEnd"/>
      <w:r w:rsidRPr="00467DB0">
        <w:t xml:space="preserve"> Unionen som global aktør.</w:t>
      </w:r>
    </w:p>
    <w:p w14:paraId="28BF525A" w14:textId="77777777" w:rsidR="00000000" w:rsidRPr="00467DB0" w:rsidRDefault="00693D67" w:rsidP="00467DB0">
      <w:pPr>
        <w:pStyle w:val="avsnitt-undertittel"/>
      </w:pPr>
      <w:proofErr w:type="spellStart"/>
      <w:r w:rsidRPr="00467DB0">
        <w:t>Artikel</w:t>
      </w:r>
      <w:proofErr w:type="spellEnd"/>
      <w:r w:rsidRPr="00467DB0">
        <w:t> 4</w:t>
      </w:r>
    </w:p>
    <w:p w14:paraId="4EC71A77" w14:textId="77777777" w:rsidR="00000000" w:rsidRPr="00467DB0" w:rsidRDefault="00693D67" w:rsidP="00467DB0">
      <w:pPr>
        <w:pStyle w:val="Undertittel"/>
      </w:pPr>
      <w:proofErr w:type="spellStart"/>
      <w:r w:rsidRPr="00467DB0">
        <w:t>Målsætninger</w:t>
      </w:r>
      <w:proofErr w:type="spellEnd"/>
    </w:p>
    <w:p w14:paraId="474F23EB" w14:textId="77777777" w:rsidR="00000000" w:rsidRPr="00467DB0" w:rsidRDefault="00693D67" w:rsidP="00467DB0">
      <w:pPr>
        <w:pStyle w:val="friliste"/>
      </w:pPr>
      <w:r w:rsidRPr="00467DB0">
        <w:t>1.</w:t>
      </w:r>
      <w:r w:rsidRPr="00467DB0">
        <w:tab/>
        <w:t xml:space="preserve">Programmets generelle </w:t>
      </w:r>
      <w:proofErr w:type="spellStart"/>
      <w:r w:rsidRPr="00467DB0">
        <w:t>målsætninger</w:t>
      </w:r>
      <w:proofErr w:type="spellEnd"/>
      <w:r w:rsidRPr="00467DB0">
        <w:t xml:space="preserve"> er at:</w:t>
      </w:r>
    </w:p>
    <w:p w14:paraId="4221BC4C" w14:textId="77777777" w:rsidR="00000000" w:rsidRPr="00467DB0" w:rsidRDefault="00693D67" w:rsidP="00467DB0">
      <w:pPr>
        <w:pStyle w:val="friliste2"/>
      </w:pPr>
      <w:r w:rsidRPr="00467DB0">
        <w:lastRenderedPageBreak/>
        <w:t>a)</w:t>
      </w:r>
      <w:r w:rsidRPr="00467DB0">
        <w:tab/>
      </w:r>
      <w:proofErr w:type="spellStart"/>
      <w:r w:rsidRPr="00467DB0">
        <w:t>tilvejebringe</w:t>
      </w:r>
      <w:proofErr w:type="spellEnd"/>
      <w:r w:rsidRPr="00467DB0">
        <w:t xml:space="preserve"> eller </w:t>
      </w:r>
      <w:proofErr w:type="spellStart"/>
      <w:r w:rsidRPr="00467DB0">
        <w:t>bidrage</w:t>
      </w:r>
      <w:proofErr w:type="spellEnd"/>
      <w:r w:rsidRPr="00467DB0">
        <w:t xml:space="preserve"> til </w:t>
      </w:r>
      <w:proofErr w:type="spellStart"/>
      <w:r w:rsidRPr="00467DB0">
        <w:t>tilvejebringelsen</w:t>
      </w:r>
      <w:proofErr w:type="spellEnd"/>
      <w:r w:rsidRPr="00467DB0">
        <w:t xml:space="preserve"> </w:t>
      </w:r>
      <w:proofErr w:type="spellStart"/>
      <w:r w:rsidRPr="00467DB0">
        <w:t>af</w:t>
      </w:r>
      <w:proofErr w:type="spellEnd"/>
      <w:r w:rsidRPr="00467DB0">
        <w:t xml:space="preserve"> ajourførte og, hvis det er relevant, sikre </w:t>
      </w:r>
      <w:proofErr w:type="spellStart"/>
      <w:r w:rsidRPr="00467DB0">
        <w:t>rumrelaterede</w:t>
      </w:r>
      <w:proofErr w:type="spellEnd"/>
      <w:r w:rsidRPr="00467DB0">
        <w:t xml:space="preserve"> data</w:t>
      </w:r>
      <w:r w:rsidRPr="00467DB0">
        <w:t xml:space="preserve">, </w:t>
      </w:r>
      <w:proofErr w:type="spellStart"/>
      <w:r w:rsidRPr="00467DB0">
        <w:t>informationer</w:t>
      </w:r>
      <w:proofErr w:type="spellEnd"/>
      <w:r w:rsidRPr="00467DB0">
        <w:t xml:space="preserve"> og tjenester </w:t>
      </w:r>
      <w:proofErr w:type="spellStart"/>
      <w:r w:rsidRPr="00467DB0">
        <w:t>af</w:t>
      </w:r>
      <w:proofErr w:type="spellEnd"/>
      <w:r w:rsidRPr="00467DB0">
        <w:t xml:space="preserve"> </w:t>
      </w:r>
      <w:proofErr w:type="spellStart"/>
      <w:r w:rsidRPr="00467DB0">
        <w:t>høj</w:t>
      </w:r>
      <w:proofErr w:type="spellEnd"/>
      <w:r w:rsidRPr="00467DB0">
        <w:t xml:space="preserve"> kvalitet </w:t>
      </w:r>
      <w:proofErr w:type="spellStart"/>
      <w:r w:rsidRPr="00467DB0">
        <w:t>uden</w:t>
      </w:r>
      <w:proofErr w:type="spellEnd"/>
      <w:r w:rsidRPr="00467DB0">
        <w:t xml:space="preserve"> </w:t>
      </w:r>
      <w:proofErr w:type="spellStart"/>
      <w:r w:rsidRPr="00467DB0">
        <w:t>afbrydelse</w:t>
      </w:r>
      <w:proofErr w:type="spellEnd"/>
      <w:r w:rsidRPr="00467DB0">
        <w:t xml:space="preserve"> og om </w:t>
      </w:r>
      <w:proofErr w:type="spellStart"/>
      <w:r w:rsidRPr="00467DB0">
        <w:t>muligt</w:t>
      </w:r>
      <w:proofErr w:type="spellEnd"/>
      <w:r w:rsidRPr="00467DB0">
        <w:t xml:space="preserve"> på globalt </w:t>
      </w:r>
      <w:proofErr w:type="spellStart"/>
      <w:r w:rsidRPr="00467DB0">
        <w:t>niveau</w:t>
      </w:r>
      <w:proofErr w:type="spellEnd"/>
      <w:r w:rsidRPr="00467DB0">
        <w:t xml:space="preserve">, der </w:t>
      </w:r>
      <w:proofErr w:type="spellStart"/>
      <w:r w:rsidRPr="00467DB0">
        <w:t>opfylder</w:t>
      </w:r>
      <w:proofErr w:type="spellEnd"/>
      <w:r w:rsidRPr="00467DB0">
        <w:t xml:space="preserve"> nuværende og fremtidige behov og er i stand til at støtte Unionens politiske prioriteter og anden </w:t>
      </w:r>
      <w:proofErr w:type="spellStart"/>
      <w:r w:rsidRPr="00467DB0">
        <w:t>evidensbaseret</w:t>
      </w:r>
      <w:proofErr w:type="spellEnd"/>
      <w:r w:rsidRPr="00467DB0">
        <w:t xml:space="preserve"> og </w:t>
      </w:r>
      <w:proofErr w:type="spellStart"/>
      <w:r w:rsidRPr="00467DB0">
        <w:t>uafhængig</w:t>
      </w:r>
      <w:proofErr w:type="spellEnd"/>
      <w:r w:rsidRPr="00467DB0">
        <w:t xml:space="preserve"> beslutningstagning, bl.a</w:t>
      </w:r>
      <w:r w:rsidRPr="00467DB0">
        <w:t xml:space="preserve">. i forbindelse med </w:t>
      </w:r>
      <w:proofErr w:type="spellStart"/>
      <w:r w:rsidRPr="00467DB0">
        <w:t>klimaændringer</w:t>
      </w:r>
      <w:proofErr w:type="spellEnd"/>
      <w:r w:rsidRPr="00467DB0">
        <w:t xml:space="preserve">, transport og </w:t>
      </w:r>
      <w:proofErr w:type="spellStart"/>
      <w:r w:rsidRPr="00467DB0">
        <w:t>sikkerhed</w:t>
      </w:r>
      <w:proofErr w:type="spellEnd"/>
    </w:p>
    <w:p w14:paraId="234185DB" w14:textId="77777777" w:rsidR="00000000" w:rsidRPr="00467DB0" w:rsidRDefault="00693D67" w:rsidP="00467DB0">
      <w:pPr>
        <w:pStyle w:val="friliste2"/>
      </w:pPr>
      <w:r w:rsidRPr="00467DB0">
        <w:t>b)</w:t>
      </w:r>
      <w:r w:rsidRPr="00467DB0">
        <w:tab/>
        <w:t xml:space="preserve">maksimere de </w:t>
      </w:r>
      <w:proofErr w:type="spellStart"/>
      <w:r w:rsidRPr="00467DB0">
        <w:t>socioøkonomiske</w:t>
      </w:r>
      <w:proofErr w:type="spellEnd"/>
      <w:r w:rsidRPr="00467DB0">
        <w:t xml:space="preserve"> fordele, navnlig ved at fremme </w:t>
      </w:r>
      <w:proofErr w:type="spellStart"/>
      <w:r w:rsidRPr="00467DB0">
        <w:t>udviklingen</w:t>
      </w:r>
      <w:proofErr w:type="spellEnd"/>
      <w:r w:rsidRPr="00467DB0">
        <w:t xml:space="preserve"> </w:t>
      </w:r>
      <w:proofErr w:type="spellStart"/>
      <w:r w:rsidRPr="00467DB0">
        <w:t>af</w:t>
      </w:r>
      <w:proofErr w:type="spellEnd"/>
      <w:r w:rsidRPr="00467DB0">
        <w:t xml:space="preserve"> en innovativ og </w:t>
      </w:r>
      <w:proofErr w:type="spellStart"/>
      <w:r w:rsidRPr="00467DB0">
        <w:t>konkurrencedygtig</w:t>
      </w:r>
      <w:proofErr w:type="spellEnd"/>
      <w:r w:rsidRPr="00467DB0">
        <w:t xml:space="preserve"> </w:t>
      </w:r>
      <w:proofErr w:type="spellStart"/>
      <w:r w:rsidRPr="00467DB0">
        <w:t>europæisk</w:t>
      </w:r>
      <w:proofErr w:type="spellEnd"/>
      <w:r w:rsidRPr="00467DB0">
        <w:t xml:space="preserve"> sektor i leverandørleddet og i </w:t>
      </w:r>
      <w:proofErr w:type="spellStart"/>
      <w:r w:rsidRPr="00467DB0">
        <w:t>aftagerleddet</w:t>
      </w:r>
      <w:proofErr w:type="spellEnd"/>
      <w:r w:rsidRPr="00467DB0">
        <w:t xml:space="preserve">, herunder </w:t>
      </w:r>
      <w:proofErr w:type="spellStart"/>
      <w:r w:rsidRPr="00467DB0">
        <w:t>SMV'er</w:t>
      </w:r>
      <w:proofErr w:type="spellEnd"/>
      <w:r w:rsidRPr="00467DB0">
        <w:t xml:space="preserve"> og nystartede</w:t>
      </w:r>
      <w:r w:rsidRPr="00467DB0">
        <w:t xml:space="preserve"> </w:t>
      </w:r>
      <w:proofErr w:type="spellStart"/>
      <w:r w:rsidRPr="00467DB0">
        <w:t>virksomheder</w:t>
      </w:r>
      <w:proofErr w:type="spellEnd"/>
      <w:r w:rsidRPr="00467DB0">
        <w:t xml:space="preserve">, og derved </w:t>
      </w:r>
      <w:proofErr w:type="spellStart"/>
      <w:r w:rsidRPr="00467DB0">
        <w:t>muliggøre</w:t>
      </w:r>
      <w:proofErr w:type="spellEnd"/>
      <w:r w:rsidRPr="00467DB0">
        <w:t xml:space="preserve"> </w:t>
      </w:r>
      <w:proofErr w:type="spellStart"/>
      <w:r w:rsidRPr="00467DB0">
        <w:t>vækst</w:t>
      </w:r>
      <w:proofErr w:type="spellEnd"/>
      <w:r w:rsidRPr="00467DB0">
        <w:t xml:space="preserve"> og </w:t>
      </w:r>
      <w:proofErr w:type="spellStart"/>
      <w:r w:rsidRPr="00467DB0">
        <w:t>jobskabelse</w:t>
      </w:r>
      <w:proofErr w:type="spellEnd"/>
      <w:r w:rsidRPr="00467DB0">
        <w:t xml:space="preserve"> i Unionen og fremme den bredest mulige </w:t>
      </w:r>
      <w:proofErr w:type="spellStart"/>
      <w:r w:rsidRPr="00467DB0">
        <w:t>udbredelse</w:t>
      </w:r>
      <w:proofErr w:type="spellEnd"/>
      <w:r w:rsidRPr="00467DB0">
        <w:t xml:space="preserve"> og anvendelse </w:t>
      </w:r>
      <w:proofErr w:type="spellStart"/>
      <w:r w:rsidRPr="00467DB0">
        <w:t>af</w:t>
      </w:r>
      <w:proofErr w:type="spellEnd"/>
      <w:r w:rsidRPr="00467DB0">
        <w:t xml:space="preserve"> de data, </w:t>
      </w:r>
      <w:proofErr w:type="spellStart"/>
      <w:r w:rsidRPr="00467DB0">
        <w:t>informationer</w:t>
      </w:r>
      <w:proofErr w:type="spellEnd"/>
      <w:r w:rsidRPr="00467DB0">
        <w:t xml:space="preserve"> og tjenester, der leveres </w:t>
      </w:r>
      <w:proofErr w:type="spellStart"/>
      <w:r w:rsidRPr="00467DB0">
        <w:t>gennem</w:t>
      </w:r>
      <w:proofErr w:type="spellEnd"/>
      <w:r w:rsidRPr="00467DB0">
        <w:t xml:space="preserve"> programmets komponenter, både i og </w:t>
      </w:r>
      <w:proofErr w:type="spellStart"/>
      <w:r w:rsidRPr="00467DB0">
        <w:t>uden</w:t>
      </w:r>
      <w:proofErr w:type="spellEnd"/>
      <w:r w:rsidRPr="00467DB0">
        <w:t xml:space="preserve"> for Unionen, samtidig med at der sikr</w:t>
      </w:r>
      <w:r w:rsidRPr="00467DB0">
        <w:t xml:space="preserve">es synergier og komplementaritet med Unionens aktiviteter </w:t>
      </w:r>
      <w:proofErr w:type="spellStart"/>
      <w:r w:rsidRPr="00467DB0">
        <w:t>inden</w:t>
      </w:r>
      <w:proofErr w:type="spellEnd"/>
      <w:r w:rsidRPr="00467DB0">
        <w:t xml:space="preserve"> for forskning og teknologisk </w:t>
      </w:r>
      <w:proofErr w:type="spellStart"/>
      <w:r w:rsidRPr="00467DB0">
        <w:t>udvikling</w:t>
      </w:r>
      <w:proofErr w:type="spellEnd"/>
      <w:r w:rsidRPr="00467DB0">
        <w:t xml:space="preserve">, som </w:t>
      </w:r>
      <w:proofErr w:type="spellStart"/>
      <w:r w:rsidRPr="00467DB0">
        <w:t>gennemføres</w:t>
      </w:r>
      <w:proofErr w:type="spellEnd"/>
      <w:r w:rsidRPr="00467DB0">
        <w:t xml:space="preserve"> i henhold til forordning for Horisont Europa</w:t>
      </w:r>
      <w:r w:rsidRPr="00467DB0">
        <w:rPr>
          <w:rStyle w:val="Fotnotereferanse"/>
        </w:rPr>
        <w:footnoteReference w:id="41"/>
      </w:r>
    </w:p>
    <w:p w14:paraId="23B8D8A9" w14:textId="77777777" w:rsidR="00000000" w:rsidRPr="00467DB0" w:rsidRDefault="00693D67" w:rsidP="00467DB0">
      <w:pPr>
        <w:pStyle w:val="friliste2"/>
      </w:pPr>
      <w:r w:rsidRPr="00467DB0">
        <w:t>c)</w:t>
      </w:r>
      <w:r w:rsidRPr="00467DB0">
        <w:tab/>
      </w:r>
      <w:proofErr w:type="spellStart"/>
      <w:r w:rsidRPr="00467DB0">
        <w:t>øge</w:t>
      </w:r>
      <w:proofErr w:type="spellEnd"/>
      <w:r w:rsidRPr="00467DB0">
        <w:t xml:space="preserve"> beskyttelsen </w:t>
      </w:r>
      <w:proofErr w:type="spellStart"/>
      <w:r w:rsidRPr="00467DB0">
        <w:t>af</w:t>
      </w:r>
      <w:proofErr w:type="spellEnd"/>
      <w:r w:rsidRPr="00467DB0">
        <w:t xml:space="preserve"> og </w:t>
      </w:r>
      <w:proofErr w:type="spellStart"/>
      <w:r w:rsidRPr="00467DB0">
        <w:t>sikkerheden</w:t>
      </w:r>
      <w:proofErr w:type="spellEnd"/>
      <w:r w:rsidRPr="00467DB0">
        <w:t xml:space="preserve"> for Unionen og dens medlem</w:t>
      </w:r>
      <w:r w:rsidRPr="00467DB0">
        <w:t>sstater og styrke Unionens autonomi, navnlig i teknologisk henseende</w:t>
      </w:r>
    </w:p>
    <w:p w14:paraId="055C846B" w14:textId="77777777" w:rsidR="00000000" w:rsidRPr="00467DB0" w:rsidRDefault="00693D67" w:rsidP="00467DB0">
      <w:pPr>
        <w:pStyle w:val="friliste2"/>
      </w:pPr>
      <w:r w:rsidRPr="00467DB0">
        <w:t>d)</w:t>
      </w:r>
      <w:r w:rsidRPr="00467DB0">
        <w:tab/>
        <w:t xml:space="preserve">fremme Unionens rolle som en global aktør i </w:t>
      </w:r>
      <w:proofErr w:type="spellStart"/>
      <w:r w:rsidRPr="00467DB0">
        <w:t>rumsektoren</w:t>
      </w:r>
      <w:proofErr w:type="spellEnd"/>
      <w:r w:rsidRPr="00467DB0">
        <w:t xml:space="preserve">, tilskynde til </w:t>
      </w:r>
      <w:proofErr w:type="spellStart"/>
      <w:r w:rsidRPr="00467DB0">
        <w:t>internationalt</w:t>
      </w:r>
      <w:proofErr w:type="spellEnd"/>
      <w:r w:rsidRPr="00467DB0">
        <w:t xml:space="preserve"> </w:t>
      </w:r>
      <w:proofErr w:type="spellStart"/>
      <w:r w:rsidRPr="00467DB0">
        <w:t>samarbejde</w:t>
      </w:r>
      <w:proofErr w:type="spellEnd"/>
      <w:r w:rsidRPr="00467DB0">
        <w:t xml:space="preserve">, styrke det </w:t>
      </w:r>
      <w:proofErr w:type="spellStart"/>
      <w:r w:rsidRPr="00467DB0">
        <w:t>europæiske</w:t>
      </w:r>
      <w:proofErr w:type="spellEnd"/>
      <w:r w:rsidRPr="00467DB0">
        <w:t xml:space="preserve"> </w:t>
      </w:r>
      <w:proofErr w:type="spellStart"/>
      <w:r w:rsidRPr="00467DB0">
        <w:t>rumdiplomati</w:t>
      </w:r>
      <w:proofErr w:type="spellEnd"/>
      <w:r w:rsidRPr="00467DB0">
        <w:t xml:space="preserve">, herunder ved at fremme </w:t>
      </w:r>
      <w:proofErr w:type="spellStart"/>
      <w:r w:rsidRPr="00467DB0">
        <w:t>principperne</w:t>
      </w:r>
      <w:proofErr w:type="spellEnd"/>
      <w:r w:rsidRPr="00467DB0">
        <w:t xml:space="preserve"> om </w:t>
      </w:r>
      <w:proofErr w:type="spellStart"/>
      <w:r w:rsidRPr="00467DB0">
        <w:t>gensidighed</w:t>
      </w:r>
      <w:proofErr w:type="spellEnd"/>
      <w:r w:rsidRPr="00467DB0">
        <w:t xml:space="preserve"> og fair </w:t>
      </w:r>
      <w:proofErr w:type="spellStart"/>
      <w:r w:rsidRPr="00467DB0">
        <w:t>konkurrence</w:t>
      </w:r>
      <w:proofErr w:type="spellEnd"/>
      <w:r w:rsidRPr="00467DB0">
        <w:t xml:space="preserve">, samt styrke dens rolle, når det </w:t>
      </w:r>
      <w:proofErr w:type="spellStart"/>
      <w:r w:rsidRPr="00467DB0">
        <w:t>gælder</w:t>
      </w:r>
      <w:proofErr w:type="spellEnd"/>
      <w:r w:rsidRPr="00467DB0">
        <w:t xml:space="preserve"> håndtering </w:t>
      </w:r>
      <w:proofErr w:type="spellStart"/>
      <w:r w:rsidRPr="00467DB0">
        <w:t>af</w:t>
      </w:r>
      <w:proofErr w:type="spellEnd"/>
      <w:r w:rsidRPr="00467DB0">
        <w:t xml:space="preserve"> globale </w:t>
      </w:r>
      <w:proofErr w:type="spellStart"/>
      <w:r w:rsidRPr="00467DB0">
        <w:t>udfordringer</w:t>
      </w:r>
      <w:proofErr w:type="spellEnd"/>
      <w:r w:rsidRPr="00467DB0">
        <w:t xml:space="preserve">, støtte til globale initiativer, herunder med hensyn til </w:t>
      </w:r>
      <w:proofErr w:type="spellStart"/>
      <w:r w:rsidRPr="00467DB0">
        <w:t>bæredygtig</w:t>
      </w:r>
      <w:proofErr w:type="spellEnd"/>
      <w:r w:rsidRPr="00467DB0">
        <w:t xml:space="preserve"> </w:t>
      </w:r>
      <w:proofErr w:type="spellStart"/>
      <w:r w:rsidRPr="00467DB0">
        <w:t>udvikling</w:t>
      </w:r>
      <w:proofErr w:type="spellEnd"/>
      <w:r w:rsidRPr="00467DB0">
        <w:t xml:space="preserve">, samt </w:t>
      </w:r>
      <w:proofErr w:type="spellStart"/>
      <w:r w:rsidRPr="00467DB0">
        <w:t>øget</w:t>
      </w:r>
      <w:proofErr w:type="spellEnd"/>
      <w:r w:rsidRPr="00467DB0">
        <w:t xml:space="preserve"> </w:t>
      </w:r>
      <w:proofErr w:type="spellStart"/>
      <w:r w:rsidRPr="00467DB0">
        <w:t>bevidsthed</w:t>
      </w:r>
      <w:proofErr w:type="spellEnd"/>
      <w:r w:rsidRPr="00467DB0">
        <w:t xml:space="preserve"> om </w:t>
      </w:r>
      <w:proofErr w:type="spellStart"/>
      <w:r w:rsidRPr="00467DB0">
        <w:t>rummet</w:t>
      </w:r>
      <w:proofErr w:type="spellEnd"/>
      <w:r w:rsidRPr="00467DB0">
        <w:t xml:space="preserve"> som </w:t>
      </w:r>
      <w:proofErr w:type="spellStart"/>
      <w:r w:rsidRPr="00467DB0">
        <w:t>menneskehedens</w:t>
      </w:r>
      <w:proofErr w:type="spellEnd"/>
      <w:r w:rsidRPr="00467DB0">
        <w:t xml:space="preserve"> </w:t>
      </w:r>
      <w:proofErr w:type="spellStart"/>
      <w:r w:rsidRPr="00467DB0">
        <w:t>fælles</w:t>
      </w:r>
      <w:proofErr w:type="spellEnd"/>
      <w:r w:rsidRPr="00467DB0">
        <w:t xml:space="preserve"> arv</w:t>
      </w:r>
    </w:p>
    <w:p w14:paraId="4950B91D" w14:textId="77777777" w:rsidR="00000000" w:rsidRPr="00467DB0" w:rsidRDefault="00693D67" w:rsidP="00467DB0">
      <w:pPr>
        <w:pStyle w:val="friliste2"/>
      </w:pPr>
      <w:r w:rsidRPr="00467DB0">
        <w:t>e)</w:t>
      </w:r>
      <w:r w:rsidRPr="00467DB0">
        <w:tab/>
      </w:r>
      <w:proofErr w:type="spellStart"/>
      <w:r w:rsidRPr="00467DB0">
        <w:t>øge</w:t>
      </w:r>
      <w:proofErr w:type="spellEnd"/>
      <w:r w:rsidRPr="00467DB0">
        <w:t xml:space="preserve"> beskyttelsen,</w:t>
      </w:r>
      <w:r w:rsidRPr="00467DB0">
        <w:t xml:space="preserve"> </w:t>
      </w:r>
      <w:proofErr w:type="spellStart"/>
      <w:r w:rsidRPr="00467DB0">
        <w:t>sikkerheden</w:t>
      </w:r>
      <w:proofErr w:type="spellEnd"/>
      <w:r w:rsidRPr="00467DB0">
        <w:t xml:space="preserve"> og </w:t>
      </w:r>
      <w:proofErr w:type="spellStart"/>
      <w:r w:rsidRPr="00467DB0">
        <w:t>bæredygtigheden</w:t>
      </w:r>
      <w:proofErr w:type="spellEnd"/>
      <w:r w:rsidRPr="00467DB0">
        <w:t xml:space="preserve"> </w:t>
      </w:r>
      <w:proofErr w:type="spellStart"/>
      <w:r w:rsidRPr="00467DB0">
        <w:t>af</w:t>
      </w:r>
      <w:proofErr w:type="spellEnd"/>
      <w:r w:rsidRPr="00467DB0">
        <w:t xml:space="preserve"> alle aktiviteter i </w:t>
      </w:r>
      <w:proofErr w:type="spellStart"/>
      <w:r w:rsidRPr="00467DB0">
        <w:t>rummet</w:t>
      </w:r>
      <w:proofErr w:type="spellEnd"/>
      <w:r w:rsidRPr="00467DB0">
        <w:t xml:space="preserve">, som vedrører </w:t>
      </w:r>
      <w:proofErr w:type="spellStart"/>
      <w:r w:rsidRPr="00467DB0">
        <w:t>rumobjekter</w:t>
      </w:r>
      <w:proofErr w:type="spellEnd"/>
      <w:r w:rsidRPr="00467DB0">
        <w:t xml:space="preserve"> og spredning </w:t>
      </w:r>
      <w:proofErr w:type="spellStart"/>
      <w:r w:rsidRPr="00467DB0">
        <w:t>af</w:t>
      </w:r>
      <w:proofErr w:type="spellEnd"/>
      <w:r w:rsidRPr="00467DB0">
        <w:t xml:space="preserve"> </w:t>
      </w:r>
      <w:proofErr w:type="spellStart"/>
      <w:r w:rsidRPr="00467DB0">
        <w:t>rumaffald</w:t>
      </w:r>
      <w:proofErr w:type="spellEnd"/>
      <w:r w:rsidRPr="00467DB0">
        <w:t xml:space="preserve">, samt </w:t>
      </w:r>
      <w:proofErr w:type="spellStart"/>
      <w:r w:rsidRPr="00467DB0">
        <w:t>rummiljøet</w:t>
      </w:r>
      <w:proofErr w:type="spellEnd"/>
      <w:r w:rsidRPr="00467DB0">
        <w:t xml:space="preserve"> ved at </w:t>
      </w:r>
      <w:proofErr w:type="spellStart"/>
      <w:r w:rsidRPr="00467DB0">
        <w:t>gennemføre</w:t>
      </w:r>
      <w:proofErr w:type="spellEnd"/>
      <w:r w:rsidRPr="00467DB0">
        <w:t xml:space="preserve"> passende foranstaltninger, herunder </w:t>
      </w:r>
      <w:proofErr w:type="spellStart"/>
      <w:r w:rsidRPr="00467DB0">
        <w:t>udvikling</w:t>
      </w:r>
      <w:proofErr w:type="spellEnd"/>
      <w:r w:rsidRPr="00467DB0">
        <w:t xml:space="preserve"> og </w:t>
      </w:r>
      <w:proofErr w:type="gramStart"/>
      <w:r w:rsidRPr="00467DB0">
        <w:t>anvendelse</w:t>
      </w:r>
      <w:proofErr w:type="gramEnd"/>
      <w:r w:rsidRPr="00467DB0">
        <w:t xml:space="preserve"> </w:t>
      </w:r>
      <w:proofErr w:type="spellStart"/>
      <w:r w:rsidRPr="00467DB0">
        <w:t>af</w:t>
      </w:r>
      <w:proofErr w:type="spellEnd"/>
      <w:r w:rsidRPr="00467DB0">
        <w:t xml:space="preserve"> teknologier til bortskaffelse </w:t>
      </w:r>
      <w:proofErr w:type="spellStart"/>
      <w:r w:rsidRPr="00467DB0">
        <w:t>af</w:t>
      </w:r>
      <w:proofErr w:type="spellEnd"/>
      <w:r w:rsidRPr="00467DB0">
        <w:t xml:space="preserve"> </w:t>
      </w:r>
      <w:proofErr w:type="spellStart"/>
      <w:r w:rsidRPr="00467DB0">
        <w:t>rumfartøjer</w:t>
      </w:r>
      <w:proofErr w:type="spellEnd"/>
      <w:r w:rsidRPr="00467DB0">
        <w:t xml:space="preserve"> </w:t>
      </w:r>
      <w:r w:rsidRPr="00467DB0">
        <w:t xml:space="preserve">ved </w:t>
      </w:r>
      <w:proofErr w:type="spellStart"/>
      <w:r w:rsidRPr="00467DB0">
        <w:t>afslutningen</w:t>
      </w:r>
      <w:proofErr w:type="spellEnd"/>
      <w:r w:rsidRPr="00467DB0">
        <w:t xml:space="preserve"> </w:t>
      </w:r>
      <w:proofErr w:type="spellStart"/>
      <w:r w:rsidRPr="00467DB0">
        <w:t>af</w:t>
      </w:r>
      <w:proofErr w:type="spellEnd"/>
      <w:r w:rsidRPr="00467DB0">
        <w:t xml:space="preserve"> driftslevetiden og til bortskaffelse </w:t>
      </w:r>
      <w:proofErr w:type="spellStart"/>
      <w:r w:rsidRPr="00467DB0">
        <w:t>af</w:t>
      </w:r>
      <w:proofErr w:type="spellEnd"/>
      <w:r w:rsidRPr="00467DB0">
        <w:t xml:space="preserve"> </w:t>
      </w:r>
      <w:proofErr w:type="spellStart"/>
      <w:r w:rsidRPr="00467DB0">
        <w:t>rumaffald</w:t>
      </w:r>
      <w:proofErr w:type="spellEnd"/>
      <w:r w:rsidRPr="00467DB0">
        <w:t>.</w:t>
      </w:r>
    </w:p>
    <w:p w14:paraId="38DA68E0" w14:textId="77777777" w:rsidR="00000000" w:rsidRPr="00467DB0" w:rsidRDefault="00693D67" w:rsidP="00467DB0">
      <w:pPr>
        <w:pStyle w:val="friliste"/>
      </w:pPr>
      <w:r w:rsidRPr="00467DB0">
        <w:t>2.</w:t>
      </w:r>
      <w:r w:rsidRPr="00467DB0">
        <w:tab/>
        <w:t xml:space="preserve">Programmets </w:t>
      </w:r>
      <w:proofErr w:type="spellStart"/>
      <w:r w:rsidRPr="00467DB0">
        <w:t>specifikke</w:t>
      </w:r>
      <w:proofErr w:type="spellEnd"/>
      <w:r w:rsidRPr="00467DB0">
        <w:t xml:space="preserve"> </w:t>
      </w:r>
      <w:proofErr w:type="spellStart"/>
      <w:r w:rsidRPr="00467DB0">
        <w:t>målsætninger</w:t>
      </w:r>
      <w:proofErr w:type="spellEnd"/>
      <w:r w:rsidRPr="00467DB0">
        <w:t xml:space="preserve"> er:</w:t>
      </w:r>
    </w:p>
    <w:p w14:paraId="2DF61CF6" w14:textId="77777777" w:rsidR="00000000" w:rsidRPr="00467DB0" w:rsidRDefault="00693D67" w:rsidP="00467DB0">
      <w:pPr>
        <w:pStyle w:val="friliste2"/>
      </w:pPr>
      <w:r w:rsidRPr="00467DB0">
        <w:t>a)</w:t>
      </w:r>
      <w:r w:rsidRPr="00467DB0">
        <w:tab/>
        <w:t xml:space="preserve">for Galileo og EGNOS: at </w:t>
      </w:r>
      <w:proofErr w:type="spellStart"/>
      <w:r w:rsidRPr="00467DB0">
        <w:t>tilvejebringe</w:t>
      </w:r>
      <w:proofErr w:type="spellEnd"/>
      <w:r w:rsidRPr="00467DB0">
        <w:t xml:space="preserve"> </w:t>
      </w:r>
      <w:proofErr w:type="spellStart"/>
      <w:r w:rsidRPr="00467DB0">
        <w:t>langsigtede</w:t>
      </w:r>
      <w:proofErr w:type="spellEnd"/>
      <w:r w:rsidRPr="00467DB0">
        <w:t xml:space="preserve">, </w:t>
      </w:r>
      <w:proofErr w:type="spellStart"/>
      <w:r w:rsidRPr="00467DB0">
        <w:t>avancerede</w:t>
      </w:r>
      <w:proofErr w:type="spellEnd"/>
      <w:r w:rsidRPr="00467DB0">
        <w:t xml:space="preserve"> og sikre </w:t>
      </w:r>
      <w:proofErr w:type="spellStart"/>
      <w:r w:rsidRPr="00467DB0">
        <w:t>positionsbestemmelses</w:t>
      </w:r>
      <w:proofErr w:type="spellEnd"/>
      <w:r w:rsidRPr="00467DB0">
        <w:t xml:space="preserve">-, </w:t>
      </w:r>
      <w:proofErr w:type="spellStart"/>
      <w:r w:rsidRPr="00467DB0">
        <w:t>navigations</w:t>
      </w:r>
      <w:proofErr w:type="spellEnd"/>
      <w:r w:rsidRPr="00467DB0">
        <w:t xml:space="preserve">- og tidsbestemmelsestjenester, </w:t>
      </w:r>
      <w:r w:rsidRPr="00467DB0">
        <w:t xml:space="preserve">samtidig med at </w:t>
      </w:r>
      <w:proofErr w:type="spellStart"/>
      <w:r w:rsidRPr="00467DB0">
        <w:t>tjenesternes</w:t>
      </w:r>
      <w:proofErr w:type="spellEnd"/>
      <w:r w:rsidRPr="00467DB0">
        <w:t xml:space="preserve"> kontinuitet og </w:t>
      </w:r>
      <w:proofErr w:type="spellStart"/>
      <w:r w:rsidRPr="00467DB0">
        <w:t>robusthed</w:t>
      </w:r>
      <w:proofErr w:type="spellEnd"/>
      <w:r w:rsidRPr="00467DB0">
        <w:t xml:space="preserve"> sikres</w:t>
      </w:r>
    </w:p>
    <w:p w14:paraId="55C1DD10" w14:textId="77777777" w:rsidR="00000000" w:rsidRPr="00467DB0" w:rsidRDefault="00693D67" w:rsidP="00467DB0">
      <w:pPr>
        <w:pStyle w:val="friliste2"/>
      </w:pPr>
      <w:r w:rsidRPr="00467DB0">
        <w:t>b)</w:t>
      </w:r>
      <w:r w:rsidRPr="00467DB0">
        <w:tab/>
        <w:t xml:space="preserve">for Copernicus: at levere </w:t>
      </w:r>
      <w:proofErr w:type="spellStart"/>
      <w:r w:rsidRPr="00467DB0">
        <w:t>nøjagtige</w:t>
      </w:r>
      <w:proofErr w:type="spellEnd"/>
      <w:r w:rsidRPr="00467DB0">
        <w:t xml:space="preserve"> og </w:t>
      </w:r>
      <w:proofErr w:type="spellStart"/>
      <w:r w:rsidRPr="00467DB0">
        <w:t>pålidelige</w:t>
      </w:r>
      <w:proofErr w:type="spellEnd"/>
      <w:r w:rsidRPr="00467DB0">
        <w:t xml:space="preserve"> </w:t>
      </w:r>
      <w:proofErr w:type="spellStart"/>
      <w:r w:rsidRPr="00467DB0">
        <w:t>jordobservationsdata</w:t>
      </w:r>
      <w:proofErr w:type="spellEnd"/>
      <w:r w:rsidRPr="00467DB0">
        <w:t>, -</w:t>
      </w:r>
      <w:proofErr w:type="spellStart"/>
      <w:r w:rsidRPr="00467DB0">
        <w:t>informationer</w:t>
      </w:r>
      <w:proofErr w:type="spellEnd"/>
      <w:r w:rsidRPr="00467DB0">
        <w:t xml:space="preserve"> og -tjenester, der </w:t>
      </w:r>
      <w:proofErr w:type="gramStart"/>
      <w:r w:rsidRPr="00467DB0">
        <w:t>integrerer</w:t>
      </w:r>
      <w:proofErr w:type="gramEnd"/>
      <w:r w:rsidRPr="00467DB0">
        <w:t xml:space="preserve"> andre datakilder, og som </w:t>
      </w:r>
      <w:proofErr w:type="spellStart"/>
      <w:r w:rsidRPr="00467DB0">
        <w:t>tilvejebringes</w:t>
      </w:r>
      <w:proofErr w:type="spellEnd"/>
      <w:r w:rsidRPr="00467DB0">
        <w:t xml:space="preserve"> på et </w:t>
      </w:r>
      <w:proofErr w:type="spellStart"/>
      <w:r w:rsidRPr="00467DB0">
        <w:t>langsigtet</w:t>
      </w:r>
      <w:proofErr w:type="spellEnd"/>
      <w:r w:rsidRPr="00467DB0">
        <w:t xml:space="preserve"> og </w:t>
      </w:r>
      <w:proofErr w:type="spellStart"/>
      <w:r w:rsidRPr="00467DB0">
        <w:t>bæredygtigt</w:t>
      </w:r>
      <w:proofErr w:type="spellEnd"/>
      <w:r w:rsidRPr="00467DB0">
        <w:t xml:space="preserve"> </w:t>
      </w:r>
      <w:proofErr w:type="spellStart"/>
      <w:r w:rsidRPr="00467DB0">
        <w:t>gru</w:t>
      </w:r>
      <w:r w:rsidRPr="00467DB0">
        <w:t>ndlag</w:t>
      </w:r>
      <w:proofErr w:type="spellEnd"/>
      <w:r w:rsidRPr="00467DB0">
        <w:t xml:space="preserve">, med </w:t>
      </w:r>
      <w:proofErr w:type="spellStart"/>
      <w:r w:rsidRPr="00467DB0">
        <w:t>henblik</w:t>
      </w:r>
      <w:proofErr w:type="spellEnd"/>
      <w:r w:rsidRPr="00467DB0">
        <w:t xml:space="preserve"> på at understøtte </w:t>
      </w:r>
      <w:proofErr w:type="spellStart"/>
      <w:r w:rsidRPr="00467DB0">
        <w:t>udformningen</w:t>
      </w:r>
      <w:proofErr w:type="spellEnd"/>
      <w:r w:rsidRPr="00467DB0">
        <w:t xml:space="preserve">, </w:t>
      </w:r>
      <w:proofErr w:type="spellStart"/>
      <w:r w:rsidRPr="00467DB0">
        <w:t>gennemførelsen</w:t>
      </w:r>
      <w:proofErr w:type="spellEnd"/>
      <w:r w:rsidRPr="00467DB0">
        <w:t xml:space="preserve"> og </w:t>
      </w:r>
      <w:proofErr w:type="spellStart"/>
      <w:r w:rsidRPr="00467DB0">
        <w:t>overvågningen</w:t>
      </w:r>
      <w:proofErr w:type="spellEnd"/>
      <w:r w:rsidRPr="00467DB0">
        <w:t xml:space="preserve"> </w:t>
      </w:r>
      <w:proofErr w:type="spellStart"/>
      <w:r w:rsidRPr="00467DB0">
        <w:t>af</w:t>
      </w:r>
      <w:proofErr w:type="spellEnd"/>
      <w:r w:rsidRPr="00467DB0">
        <w:t xml:space="preserve"> Unionens og dens medlemsstats politikker og foranstaltninger </w:t>
      </w:r>
      <w:proofErr w:type="spellStart"/>
      <w:r w:rsidRPr="00467DB0">
        <w:t>baseret</w:t>
      </w:r>
      <w:proofErr w:type="spellEnd"/>
      <w:r w:rsidRPr="00467DB0">
        <w:t xml:space="preserve"> på </w:t>
      </w:r>
      <w:proofErr w:type="spellStart"/>
      <w:r w:rsidRPr="00467DB0">
        <w:t>brugernes</w:t>
      </w:r>
      <w:proofErr w:type="spellEnd"/>
      <w:r w:rsidRPr="00467DB0">
        <w:t xml:space="preserve"> krav</w:t>
      </w:r>
    </w:p>
    <w:p w14:paraId="094A8489" w14:textId="77777777" w:rsidR="00000000" w:rsidRPr="00467DB0" w:rsidRDefault="00693D67" w:rsidP="00467DB0">
      <w:pPr>
        <w:pStyle w:val="friliste2"/>
      </w:pPr>
      <w:r w:rsidRPr="00467DB0">
        <w:t>c)</w:t>
      </w:r>
      <w:r w:rsidRPr="00467DB0">
        <w:tab/>
        <w:t xml:space="preserve">for SSA: at forbedre </w:t>
      </w:r>
      <w:proofErr w:type="spellStart"/>
      <w:r w:rsidRPr="00467DB0">
        <w:t>kapaciteter</w:t>
      </w:r>
      <w:proofErr w:type="spellEnd"/>
      <w:r w:rsidRPr="00467DB0">
        <w:t xml:space="preserve"> under SST-delkomponenten med </w:t>
      </w:r>
      <w:proofErr w:type="spellStart"/>
      <w:r w:rsidRPr="00467DB0">
        <w:t>henblik</w:t>
      </w:r>
      <w:proofErr w:type="spellEnd"/>
      <w:r w:rsidRPr="00467DB0">
        <w:t xml:space="preserve"> på at </w:t>
      </w:r>
      <w:proofErr w:type="spellStart"/>
      <w:r w:rsidRPr="00467DB0">
        <w:t>over</w:t>
      </w:r>
      <w:r w:rsidRPr="00467DB0">
        <w:t>våge</w:t>
      </w:r>
      <w:proofErr w:type="spellEnd"/>
      <w:r w:rsidRPr="00467DB0">
        <w:t xml:space="preserve">, spore og </w:t>
      </w:r>
      <w:proofErr w:type="spellStart"/>
      <w:r w:rsidRPr="00467DB0">
        <w:t>identificere</w:t>
      </w:r>
      <w:proofErr w:type="spellEnd"/>
      <w:r w:rsidRPr="00467DB0">
        <w:t xml:space="preserve"> </w:t>
      </w:r>
      <w:proofErr w:type="spellStart"/>
      <w:r w:rsidRPr="00467DB0">
        <w:t>rumobjekter</w:t>
      </w:r>
      <w:proofErr w:type="spellEnd"/>
      <w:r w:rsidRPr="00467DB0">
        <w:t xml:space="preserve"> og </w:t>
      </w:r>
      <w:proofErr w:type="spellStart"/>
      <w:r w:rsidRPr="00467DB0">
        <w:t>rumaffald</w:t>
      </w:r>
      <w:proofErr w:type="spellEnd"/>
      <w:r w:rsidRPr="00467DB0">
        <w:t xml:space="preserve"> for </w:t>
      </w:r>
      <w:proofErr w:type="spellStart"/>
      <w:r w:rsidRPr="00467DB0">
        <w:t>yderligere</w:t>
      </w:r>
      <w:proofErr w:type="spellEnd"/>
      <w:r w:rsidRPr="00467DB0">
        <w:t xml:space="preserve"> at </w:t>
      </w:r>
      <w:proofErr w:type="spellStart"/>
      <w:r w:rsidRPr="00467DB0">
        <w:t>øge</w:t>
      </w:r>
      <w:proofErr w:type="spellEnd"/>
      <w:r w:rsidRPr="00467DB0">
        <w:t xml:space="preserve"> </w:t>
      </w:r>
      <w:proofErr w:type="spellStart"/>
      <w:r w:rsidRPr="00467DB0">
        <w:t>præstation</w:t>
      </w:r>
      <w:proofErr w:type="spellEnd"/>
      <w:r w:rsidRPr="00467DB0">
        <w:t xml:space="preserve"> og autonomi på EU-</w:t>
      </w:r>
      <w:proofErr w:type="spellStart"/>
      <w:r w:rsidRPr="00467DB0">
        <w:t>niveau</w:t>
      </w:r>
      <w:proofErr w:type="spellEnd"/>
      <w:r w:rsidRPr="00467DB0">
        <w:t xml:space="preserve"> for </w:t>
      </w:r>
      <w:proofErr w:type="spellStart"/>
      <w:r w:rsidRPr="00467DB0">
        <w:t>kapaciteter</w:t>
      </w:r>
      <w:proofErr w:type="spellEnd"/>
      <w:r w:rsidRPr="00467DB0">
        <w:t xml:space="preserve"> under SST-delkomponenten, levere </w:t>
      </w:r>
      <w:proofErr w:type="spellStart"/>
      <w:r w:rsidRPr="00467DB0">
        <w:t>rumvejrstjenester</w:t>
      </w:r>
      <w:proofErr w:type="spellEnd"/>
      <w:r w:rsidRPr="00467DB0">
        <w:t xml:space="preserve"> og </w:t>
      </w:r>
      <w:proofErr w:type="spellStart"/>
      <w:r w:rsidRPr="00467DB0">
        <w:t>kortlægge</w:t>
      </w:r>
      <w:proofErr w:type="spellEnd"/>
      <w:r w:rsidRPr="00467DB0">
        <w:t xml:space="preserve"> og </w:t>
      </w:r>
      <w:proofErr w:type="spellStart"/>
      <w:r w:rsidRPr="00467DB0">
        <w:t>oprette</w:t>
      </w:r>
      <w:proofErr w:type="spellEnd"/>
      <w:r w:rsidRPr="00467DB0">
        <w:t xml:space="preserve"> </w:t>
      </w:r>
      <w:proofErr w:type="spellStart"/>
      <w:r w:rsidRPr="00467DB0">
        <w:t>netværk</w:t>
      </w:r>
      <w:proofErr w:type="spellEnd"/>
      <w:r w:rsidRPr="00467DB0">
        <w:t xml:space="preserve"> for </w:t>
      </w:r>
      <w:proofErr w:type="spellStart"/>
      <w:r w:rsidRPr="00467DB0">
        <w:t>medlemsstaternes</w:t>
      </w:r>
      <w:proofErr w:type="spellEnd"/>
      <w:r w:rsidRPr="00467DB0">
        <w:t xml:space="preserve"> NEO-</w:t>
      </w:r>
      <w:proofErr w:type="spellStart"/>
      <w:r w:rsidRPr="00467DB0">
        <w:t>kapaciteter</w:t>
      </w:r>
      <w:proofErr w:type="spellEnd"/>
    </w:p>
    <w:p w14:paraId="0ACB2775" w14:textId="77777777" w:rsidR="00000000" w:rsidRPr="00467DB0" w:rsidRDefault="00693D67" w:rsidP="00467DB0">
      <w:pPr>
        <w:pStyle w:val="friliste2"/>
      </w:pPr>
      <w:r w:rsidRPr="00467DB0">
        <w:t>d)</w:t>
      </w:r>
      <w:r w:rsidRPr="00467DB0">
        <w:tab/>
        <w:t>for GO</w:t>
      </w:r>
      <w:r w:rsidRPr="00467DB0">
        <w:t xml:space="preserve">VSATCOM: at sikre </w:t>
      </w:r>
      <w:proofErr w:type="spellStart"/>
      <w:r w:rsidRPr="00467DB0">
        <w:t>langsigtet</w:t>
      </w:r>
      <w:proofErr w:type="spellEnd"/>
      <w:r w:rsidRPr="00467DB0">
        <w:t xml:space="preserve"> </w:t>
      </w:r>
      <w:proofErr w:type="spellStart"/>
      <w:r w:rsidRPr="00467DB0">
        <w:t>tilgængelighed</w:t>
      </w:r>
      <w:proofErr w:type="spellEnd"/>
      <w:r w:rsidRPr="00467DB0">
        <w:t xml:space="preserve"> </w:t>
      </w:r>
      <w:proofErr w:type="spellStart"/>
      <w:r w:rsidRPr="00467DB0">
        <w:t>af</w:t>
      </w:r>
      <w:proofErr w:type="spellEnd"/>
      <w:r w:rsidRPr="00467DB0">
        <w:t xml:space="preserve"> </w:t>
      </w:r>
      <w:proofErr w:type="spellStart"/>
      <w:r w:rsidRPr="00467DB0">
        <w:t>pålidelige</w:t>
      </w:r>
      <w:proofErr w:type="spellEnd"/>
      <w:r w:rsidRPr="00467DB0">
        <w:t xml:space="preserve">, sikre og omkostningseffektive </w:t>
      </w:r>
      <w:proofErr w:type="spellStart"/>
      <w:r w:rsidRPr="00467DB0">
        <w:t>satellitkommunikationstjenester</w:t>
      </w:r>
      <w:proofErr w:type="spellEnd"/>
      <w:r w:rsidRPr="00467DB0">
        <w:t xml:space="preserve"> for GOVSATCOM-</w:t>
      </w:r>
      <w:proofErr w:type="spellStart"/>
      <w:r w:rsidRPr="00467DB0">
        <w:t>brugere</w:t>
      </w:r>
      <w:proofErr w:type="spellEnd"/>
    </w:p>
    <w:p w14:paraId="2EB56303" w14:textId="77777777" w:rsidR="00000000" w:rsidRPr="00467DB0" w:rsidRDefault="00693D67" w:rsidP="00467DB0">
      <w:pPr>
        <w:pStyle w:val="friliste2"/>
      </w:pPr>
      <w:r w:rsidRPr="00467DB0">
        <w:t>e)</w:t>
      </w:r>
      <w:r w:rsidRPr="00467DB0">
        <w:tab/>
        <w:t xml:space="preserve">at støtte en </w:t>
      </w:r>
      <w:proofErr w:type="spellStart"/>
      <w:r w:rsidRPr="00467DB0">
        <w:t>selvstændig</w:t>
      </w:r>
      <w:proofErr w:type="spellEnd"/>
      <w:r w:rsidRPr="00467DB0">
        <w:t xml:space="preserve">, sikker og omkostningseffektiv </w:t>
      </w:r>
      <w:proofErr w:type="spellStart"/>
      <w:r w:rsidRPr="00467DB0">
        <w:t>adgangskapacitet</w:t>
      </w:r>
      <w:proofErr w:type="spellEnd"/>
      <w:r w:rsidRPr="00467DB0">
        <w:t xml:space="preserve"> til </w:t>
      </w:r>
      <w:proofErr w:type="spellStart"/>
      <w:r w:rsidRPr="00467DB0">
        <w:t>rummet</w:t>
      </w:r>
      <w:proofErr w:type="spellEnd"/>
      <w:r w:rsidRPr="00467DB0">
        <w:t xml:space="preserve"> </w:t>
      </w:r>
      <w:proofErr w:type="gramStart"/>
      <w:r w:rsidRPr="00467DB0">
        <w:t>under hensyntagen</w:t>
      </w:r>
      <w:proofErr w:type="gramEnd"/>
      <w:r w:rsidRPr="00467DB0">
        <w:t xml:space="preserve"> til Unio</w:t>
      </w:r>
      <w:r w:rsidRPr="00467DB0">
        <w:t xml:space="preserve">nens </w:t>
      </w:r>
      <w:proofErr w:type="spellStart"/>
      <w:r w:rsidRPr="00467DB0">
        <w:t>væsentlige</w:t>
      </w:r>
      <w:proofErr w:type="spellEnd"/>
      <w:r w:rsidRPr="00467DB0">
        <w:t xml:space="preserve"> </w:t>
      </w:r>
      <w:proofErr w:type="spellStart"/>
      <w:r w:rsidRPr="00467DB0">
        <w:t>sikkerhedsinteresser</w:t>
      </w:r>
      <w:proofErr w:type="spellEnd"/>
    </w:p>
    <w:p w14:paraId="7FA423B5" w14:textId="77777777" w:rsidR="00000000" w:rsidRPr="00467DB0" w:rsidRDefault="00693D67" w:rsidP="00467DB0">
      <w:pPr>
        <w:pStyle w:val="friliste2"/>
      </w:pPr>
      <w:r w:rsidRPr="00467DB0">
        <w:lastRenderedPageBreak/>
        <w:t>f)</w:t>
      </w:r>
      <w:r w:rsidRPr="00467DB0">
        <w:tab/>
        <w:t xml:space="preserve">at fremme </w:t>
      </w:r>
      <w:proofErr w:type="spellStart"/>
      <w:r w:rsidRPr="00467DB0">
        <w:t>udviklingen</w:t>
      </w:r>
      <w:proofErr w:type="spellEnd"/>
      <w:r w:rsidRPr="00467DB0">
        <w:t xml:space="preserve"> </w:t>
      </w:r>
      <w:proofErr w:type="spellStart"/>
      <w:r w:rsidRPr="00467DB0">
        <w:t>af</w:t>
      </w:r>
      <w:proofErr w:type="spellEnd"/>
      <w:r w:rsidRPr="00467DB0">
        <w:t xml:space="preserve"> en </w:t>
      </w:r>
      <w:proofErr w:type="spellStart"/>
      <w:r w:rsidRPr="00467DB0">
        <w:t>stærk</w:t>
      </w:r>
      <w:proofErr w:type="spellEnd"/>
      <w:r w:rsidRPr="00467DB0">
        <w:t xml:space="preserve"> EU-</w:t>
      </w:r>
      <w:proofErr w:type="spellStart"/>
      <w:r w:rsidRPr="00467DB0">
        <w:t>rumøkonomi</w:t>
      </w:r>
      <w:proofErr w:type="spellEnd"/>
      <w:r w:rsidRPr="00467DB0">
        <w:t xml:space="preserve">, herunder ved at støtte </w:t>
      </w:r>
      <w:proofErr w:type="spellStart"/>
      <w:r w:rsidRPr="00467DB0">
        <w:t>rumøkosystemet</w:t>
      </w:r>
      <w:proofErr w:type="spellEnd"/>
      <w:r w:rsidRPr="00467DB0">
        <w:t xml:space="preserve"> og ved at styrke </w:t>
      </w:r>
      <w:proofErr w:type="spellStart"/>
      <w:r w:rsidRPr="00467DB0">
        <w:t>konkurrenceevne</w:t>
      </w:r>
      <w:proofErr w:type="spellEnd"/>
      <w:r w:rsidRPr="00467DB0">
        <w:t xml:space="preserve">, </w:t>
      </w:r>
      <w:proofErr w:type="spellStart"/>
      <w:r w:rsidRPr="00467DB0">
        <w:t>innovation</w:t>
      </w:r>
      <w:proofErr w:type="spellEnd"/>
      <w:r w:rsidRPr="00467DB0">
        <w:t xml:space="preserve">, </w:t>
      </w:r>
      <w:proofErr w:type="spellStart"/>
      <w:r w:rsidRPr="00467DB0">
        <w:t>iværksætterånd</w:t>
      </w:r>
      <w:proofErr w:type="spellEnd"/>
      <w:r w:rsidRPr="00467DB0">
        <w:t xml:space="preserve">, </w:t>
      </w:r>
      <w:proofErr w:type="spellStart"/>
      <w:r w:rsidRPr="00467DB0">
        <w:t>kompetencer</w:t>
      </w:r>
      <w:proofErr w:type="spellEnd"/>
      <w:r w:rsidRPr="00467DB0">
        <w:t xml:space="preserve"> og </w:t>
      </w:r>
      <w:proofErr w:type="spellStart"/>
      <w:r w:rsidRPr="00467DB0">
        <w:t>kapacitetsopbygning</w:t>
      </w:r>
      <w:proofErr w:type="spellEnd"/>
      <w:r w:rsidRPr="00467DB0">
        <w:t xml:space="preserve"> i alle medlemsstater og i Unione</w:t>
      </w:r>
      <w:r w:rsidRPr="00467DB0">
        <w:t xml:space="preserve">ns regioner, navnlig med hensyn til </w:t>
      </w:r>
      <w:proofErr w:type="spellStart"/>
      <w:r w:rsidRPr="00467DB0">
        <w:t>SMV'er</w:t>
      </w:r>
      <w:proofErr w:type="spellEnd"/>
      <w:r w:rsidRPr="00467DB0">
        <w:t xml:space="preserve"> og nystartede </w:t>
      </w:r>
      <w:proofErr w:type="spellStart"/>
      <w:r w:rsidRPr="00467DB0">
        <w:t>virksomheder</w:t>
      </w:r>
      <w:proofErr w:type="spellEnd"/>
      <w:r w:rsidRPr="00467DB0">
        <w:t xml:space="preserve"> eller fysiske og juridiske personer fra Unionen, som er aktive eller ønsker at være aktive </w:t>
      </w:r>
      <w:proofErr w:type="spellStart"/>
      <w:r w:rsidRPr="00467DB0">
        <w:t>inden</w:t>
      </w:r>
      <w:proofErr w:type="spellEnd"/>
      <w:r w:rsidRPr="00467DB0">
        <w:t xml:space="preserve"> for denne sektor.</w:t>
      </w:r>
    </w:p>
    <w:p w14:paraId="56FACABE" w14:textId="77777777" w:rsidR="00000000" w:rsidRPr="00467DB0" w:rsidRDefault="00693D67" w:rsidP="00467DB0">
      <w:pPr>
        <w:pStyle w:val="avsnitt-undertittel"/>
      </w:pPr>
      <w:proofErr w:type="spellStart"/>
      <w:r w:rsidRPr="00467DB0">
        <w:t>Artikel</w:t>
      </w:r>
      <w:proofErr w:type="spellEnd"/>
      <w:r w:rsidRPr="00467DB0">
        <w:t> 5</w:t>
      </w:r>
    </w:p>
    <w:p w14:paraId="6E40BBC1" w14:textId="77777777" w:rsidR="00000000" w:rsidRPr="00467DB0" w:rsidRDefault="00693D67" w:rsidP="00467DB0">
      <w:pPr>
        <w:pStyle w:val="Undertittel"/>
      </w:pPr>
      <w:r w:rsidRPr="00467DB0">
        <w:t xml:space="preserve">Adgang til </w:t>
      </w:r>
      <w:proofErr w:type="spellStart"/>
      <w:r w:rsidRPr="00467DB0">
        <w:t>rummet</w:t>
      </w:r>
      <w:proofErr w:type="spellEnd"/>
    </w:p>
    <w:p w14:paraId="446FC80F" w14:textId="77777777" w:rsidR="00000000" w:rsidRPr="00467DB0" w:rsidRDefault="00693D67" w:rsidP="00467DB0">
      <w:pPr>
        <w:pStyle w:val="friliste"/>
      </w:pPr>
      <w:r w:rsidRPr="00467DB0">
        <w:t>1.</w:t>
      </w:r>
      <w:r w:rsidRPr="00467DB0">
        <w:tab/>
        <w:t xml:space="preserve">Programmet støtter </w:t>
      </w:r>
      <w:proofErr w:type="spellStart"/>
      <w:r w:rsidRPr="00467DB0">
        <w:t>indkøb</w:t>
      </w:r>
      <w:proofErr w:type="spellEnd"/>
      <w:r w:rsidRPr="00467DB0">
        <w:t xml:space="preserve"> og </w:t>
      </w:r>
      <w:proofErr w:type="spellStart"/>
      <w:r w:rsidRPr="00467DB0">
        <w:t>sammenlægni</w:t>
      </w:r>
      <w:r w:rsidRPr="00467DB0">
        <w:t>ng</w:t>
      </w:r>
      <w:proofErr w:type="spellEnd"/>
      <w:r w:rsidRPr="00467DB0">
        <w:t xml:space="preserve"> </w:t>
      </w:r>
      <w:proofErr w:type="spellStart"/>
      <w:r w:rsidRPr="00467DB0">
        <w:t>af</w:t>
      </w:r>
      <w:proofErr w:type="spellEnd"/>
      <w:r w:rsidRPr="00467DB0">
        <w:t xml:space="preserve"> </w:t>
      </w:r>
      <w:proofErr w:type="spellStart"/>
      <w:r w:rsidRPr="00467DB0">
        <w:t>opsendelsestjenester</w:t>
      </w:r>
      <w:proofErr w:type="spellEnd"/>
      <w:r w:rsidRPr="00467DB0">
        <w:t xml:space="preserve"> til </w:t>
      </w:r>
      <w:proofErr w:type="spellStart"/>
      <w:r w:rsidRPr="00467DB0">
        <w:t>dækning</w:t>
      </w:r>
      <w:proofErr w:type="spellEnd"/>
      <w:r w:rsidRPr="00467DB0">
        <w:t xml:space="preserve"> </w:t>
      </w:r>
      <w:proofErr w:type="spellStart"/>
      <w:r w:rsidRPr="00467DB0">
        <w:t>af</w:t>
      </w:r>
      <w:proofErr w:type="spellEnd"/>
      <w:r w:rsidRPr="00467DB0">
        <w:t xml:space="preserve"> programmets behov og efter anmodning </w:t>
      </w:r>
      <w:proofErr w:type="spellStart"/>
      <w:r w:rsidRPr="00467DB0">
        <w:t>sammenlægningen</w:t>
      </w:r>
      <w:proofErr w:type="spellEnd"/>
      <w:r w:rsidRPr="00467DB0">
        <w:t xml:space="preserve"> for medlemsstater og </w:t>
      </w:r>
      <w:proofErr w:type="spellStart"/>
      <w:r w:rsidRPr="00467DB0">
        <w:t>internationale</w:t>
      </w:r>
      <w:proofErr w:type="spellEnd"/>
      <w:r w:rsidRPr="00467DB0">
        <w:t xml:space="preserve"> </w:t>
      </w:r>
      <w:proofErr w:type="spellStart"/>
      <w:r w:rsidRPr="00467DB0">
        <w:t>organisationer</w:t>
      </w:r>
      <w:proofErr w:type="spellEnd"/>
      <w:r w:rsidRPr="00467DB0">
        <w:t>.</w:t>
      </w:r>
    </w:p>
    <w:p w14:paraId="0F5AC57D" w14:textId="77777777" w:rsidR="00000000" w:rsidRPr="00467DB0" w:rsidRDefault="00693D67" w:rsidP="00467DB0">
      <w:pPr>
        <w:pStyle w:val="friliste"/>
      </w:pPr>
      <w:r w:rsidRPr="00467DB0">
        <w:t>2.</w:t>
      </w:r>
      <w:r w:rsidRPr="00467DB0">
        <w:tab/>
        <w:t xml:space="preserve">I synergi med andre EU-programmer og finansieringsordninger, og </w:t>
      </w:r>
      <w:proofErr w:type="spellStart"/>
      <w:r w:rsidRPr="00467DB0">
        <w:t>uden</w:t>
      </w:r>
      <w:proofErr w:type="spellEnd"/>
      <w:r w:rsidRPr="00467DB0">
        <w:t xml:space="preserve"> at det berører </w:t>
      </w:r>
      <w:proofErr w:type="spellStart"/>
      <w:r w:rsidRPr="00467DB0">
        <w:t>ESA's</w:t>
      </w:r>
      <w:proofErr w:type="spellEnd"/>
      <w:r w:rsidRPr="00467DB0">
        <w:t xml:space="preserve"> aktiviteter i fo</w:t>
      </w:r>
      <w:r w:rsidRPr="00467DB0">
        <w:t xml:space="preserve">rbindelse med adgang til </w:t>
      </w:r>
      <w:proofErr w:type="spellStart"/>
      <w:r w:rsidRPr="00467DB0">
        <w:t>rummet</w:t>
      </w:r>
      <w:proofErr w:type="spellEnd"/>
      <w:r w:rsidRPr="00467DB0">
        <w:t>, kan programmet støtte:</w:t>
      </w:r>
    </w:p>
    <w:p w14:paraId="2856FE50" w14:textId="77777777" w:rsidR="00000000" w:rsidRPr="00467DB0" w:rsidRDefault="00693D67" w:rsidP="00467DB0">
      <w:pPr>
        <w:pStyle w:val="friliste2"/>
      </w:pPr>
      <w:r w:rsidRPr="00467DB0">
        <w:t>a)</w:t>
      </w:r>
      <w:r w:rsidRPr="00467DB0">
        <w:tab/>
        <w:t xml:space="preserve">tilpasninger, herunder teknologisk </w:t>
      </w:r>
      <w:proofErr w:type="spellStart"/>
      <w:r w:rsidRPr="00467DB0">
        <w:t>udvikling</w:t>
      </w:r>
      <w:proofErr w:type="spellEnd"/>
      <w:r w:rsidRPr="00467DB0">
        <w:t xml:space="preserve">, til </w:t>
      </w:r>
      <w:proofErr w:type="spellStart"/>
      <w:r w:rsidRPr="00467DB0">
        <w:t>opsendelsessystemer</w:t>
      </w:r>
      <w:proofErr w:type="spellEnd"/>
      <w:r w:rsidRPr="00467DB0">
        <w:t xml:space="preserve">, som er nødvendige i forbindelse med </w:t>
      </w:r>
      <w:proofErr w:type="spellStart"/>
      <w:r w:rsidRPr="00467DB0">
        <w:t>opsendelse</w:t>
      </w:r>
      <w:proofErr w:type="spellEnd"/>
      <w:r w:rsidRPr="00467DB0">
        <w:t xml:space="preserve"> </w:t>
      </w:r>
      <w:proofErr w:type="spellStart"/>
      <w:r w:rsidRPr="00467DB0">
        <w:t>af</w:t>
      </w:r>
      <w:proofErr w:type="spellEnd"/>
      <w:r w:rsidRPr="00467DB0">
        <w:t xml:space="preserve"> satellitter, herunder alternative teknologier og innovative systemer til at </w:t>
      </w:r>
      <w:r w:rsidRPr="00467DB0">
        <w:t xml:space="preserve">få adgang til </w:t>
      </w:r>
      <w:proofErr w:type="spellStart"/>
      <w:r w:rsidRPr="00467DB0">
        <w:t>rummet</w:t>
      </w:r>
      <w:proofErr w:type="spellEnd"/>
      <w:r w:rsidRPr="00467DB0">
        <w:t xml:space="preserve">, med </w:t>
      </w:r>
      <w:proofErr w:type="spellStart"/>
      <w:r w:rsidRPr="00467DB0">
        <w:t>henblik</w:t>
      </w:r>
      <w:proofErr w:type="spellEnd"/>
      <w:r w:rsidRPr="00467DB0">
        <w:t xml:space="preserve"> på at </w:t>
      </w:r>
      <w:proofErr w:type="spellStart"/>
      <w:r w:rsidRPr="00467DB0">
        <w:t>gennemføre</w:t>
      </w:r>
      <w:proofErr w:type="spellEnd"/>
      <w:r w:rsidRPr="00467DB0">
        <w:t xml:space="preserve"> programmets komponenter</w:t>
      </w:r>
    </w:p>
    <w:p w14:paraId="2C671BDB" w14:textId="77777777" w:rsidR="00000000" w:rsidRPr="00467DB0" w:rsidRDefault="00693D67" w:rsidP="00467DB0">
      <w:pPr>
        <w:pStyle w:val="friliste2"/>
      </w:pPr>
      <w:r w:rsidRPr="00467DB0">
        <w:t>b)</w:t>
      </w:r>
      <w:r w:rsidRPr="00467DB0">
        <w:tab/>
        <w:t xml:space="preserve">tilpasninger til </w:t>
      </w:r>
      <w:proofErr w:type="spellStart"/>
      <w:r w:rsidRPr="00467DB0">
        <w:t>jordbaseret</w:t>
      </w:r>
      <w:proofErr w:type="spellEnd"/>
      <w:r w:rsidRPr="00467DB0">
        <w:t xml:space="preserve"> infrastruktur, herunder ny </w:t>
      </w:r>
      <w:proofErr w:type="spellStart"/>
      <w:r w:rsidRPr="00467DB0">
        <w:t>udvikling</w:t>
      </w:r>
      <w:proofErr w:type="spellEnd"/>
      <w:r w:rsidRPr="00467DB0">
        <w:t xml:space="preserve">, som er nødvendige for </w:t>
      </w:r>
      <w:proofErr w:type="spellStart"/>
      <w:r w:rsidRPr="00467DB0">
        <w:t>gennemførelsen</w:t>
      </w:r>
      <w:proofErr w:type="spellEnd"/>
      <w:r w:rsidRPr="00467DB0">
        <w:t xml:space="preserve"> </w:t>
      </w:r>
      <w:proofErr w:type="spellStart"/>
      <w:r w:rsidRPr="00467DB0">
        <w:t>af</w:t>
      </w:r>
      <w:proofErr w:type="spellEnd"/>
      <w:r w:rsidRPr="00467DB0">
        <w:t xml:space="preserve"> programmet.</w:t>
      </w:r>
    </w:p>
    <w:p w14:paraId="0AA45D67" w14:textId="77777777" w:rsidR="00000000" w:rsidRPr="00467DB0" w:rsidRDefault="00693D67" w:rsidP="00467DB0">
      <w:pPr>
        <w:pStyle w:val="avsnitt-undertittel"/>
      </w:pPr>
      <w:proofErr w:type="spellStart"/>
      <w:r w:rsidRPr="00467DB0">
        <w:t>Artikel</w:t>
      </w:r>
      <w:proofErr w:type="spellEnd"/>
      <w:r w:rsidRPr="00467DB0">
        <w:t> 6</w:t>
      </w:r>
    </w:p>
    <w:p w14:paraId="5E9FFEC6" w14:textId="77777777" w:rsidR="00000000" w:rsidRPr="00467DB0" w:rsidRDefault="00693D67" w:rsidP="00467DB0">
      <w:pPr>
        <w:pStyle w:val="Undertittel"/>
      </w:pPr>
      <w:r w:rsidRPr="00467DB0">
        <w:t xml:space="preserve">Foranstaltninger til støtte for en innovativ og </w:t>
      </w:r>
      <w:proofErr w:type="spellStart"/>
      <w:r w:rsidRPr="00467DB0">
        <w:t>k</w:t>
      </w:r>
      <w:r w:rsidRPr="00467DB0">
        <w:t>onkurrencedygtig</w:t>
      </w:r>
      <w:proofErr w:type="spellEnd"/>
      <w:r w:rsidRPr="00467DB0">
        <w:t xml:space="preserve"> EU-</w:t>
      </w:r>
      <w:proofErr w:type="spellStart"/>
      <w:r w:rsidRPr="00467DB0">
        <w:t>rumsektor</w:t>
      </w:r>
      <w:proofErr w:type="spellEnd"/>
    </w:p>
    <w:p w14:paraId="3AFDE146" w14:textId="77777777" w:rsidR="00000000" w:rsidRPr="00467DB0" w:rsidRDefault="00693D67" w:rsidP="00467DB0">
      <w:pPr>
        <w:pStyle w:val="friliste"/>
      </w:pPr>
      <w:r w:rsidRPr="00467DB0">
        <w:t>1.</w:t>
      </w:r>
      <w:r w:rsidRPr="00467DB0">
        <w:tab/>
        <w:t xml:space="preserve">Programmet skal fremme </w:t>
      </w:r>
      <w:proofErr w:type="spellStart"/>
      <w:r w:rsidRPr="00467DB0">
        <w:t>kapacitetsopbygning</w:t>
      </w:r>
      <w:proofErr w:type="spellEnd"/>
      <w:r w:rsidRPr="00467DB0">
        <w:t xml:space="preserve"> i hele Unionen ved at støtte:</w:t>
      </w:r>
    </w:p>
    <w:p w14:paraId="38B8111F" w14:textId="77777777" w:rsidR="00000000" w:rsidRPr="00467DB0" w:rsidRDefault="00693D67" w:rsidP="00467DB0">
      <w:pPr>
        <w:pStyle w:val="friliste2"/>
      </w:pPr>
      <w:r w:rsidRPr="00467DB0">
        <w:t>a)</w:t>
      </w:r>
      <w:r w:rsidRPr="00467DB0">
        <w:tab/>
      </w:r>
      <w:proofErr w:type="spellStart"/>
      <w:r w:rsidRPr="00467DB0">
        <w:t>innovationsaktiviteter</w:t>
      </w:r>
      <w:proofErr w:type="spellEnd"/>
      <w:r w:rsidRPr="00467DB0">
        <w:t xml:space="preserve"> til </w:t>
      </w:r>
      <w:proofErr w:type="gramStart"/>
      <w:r w:rsidRPr="00467DB0">
        <w:t>optimal</w:t>
      </w:r>
      <w:proofErr w:type="gramEnd"/>
      <w:r w:rsidRPr="00467DB0">
        <w:t xml:space="preserve"> </w:t>
      </w:r>
      <w:proofErr w:type="spellStart"/>
      <w:r w:rsidRPr="00467DB0">
        <w:t>udnyttelse</w:t>
      </w:r>
      <w:proofErr w:type="spellEnd"/>
      <w:r w:rsidRPr="00467DB0">
        <w:t xml:space="preserve"> </w:t>
      </w:r>
      <w:proofErr w:type="spellStart"/>
      <w:r w:rsidRPr="00467DB0">
        <w:t>af</w:t>
      </w:r>
      <w:proofErr w:type="spellEnd"/>
      <w:r w:rsidRPr="00467DB0">
        <w:t xml:space="preserve"> </w:t>
      </w:r>
      <w:proofErr w:type="spellStart"/>
      <w:r w:rsidRPr="00467DB0">
        <w:t>rumteknologier</w:t>
      </w:r>
      <w:proofErr w:type="spellEnd"/>
      <w:r w:rsidRPr="00467DB0">
        <w:t xml:space="preserve">, -infrastrukturer eller -tjenester samt foranstaltninger til at fremme </w:t>
      </w:r>
      <w:proofErr w:type="spellStart"/>
      <w:r w:rsidRPr="00467DB0">
        <w:t>udbredelsen</w:t>
      </w:r>
      <w:proofErr w:type="spellEnd"/>
      <w:r w:rsidRPr="00467DB0">
        <w:t xml:space="preserve"> </w:t>
      </w:r>
      <w:proofErr w:type="spellStart"/>
      <w:r w:rsidRPr="00467DB0">
        <w:t>af</w:t>
      </w:r>
      <w:proofErr w:type="spellEnd"/>
      <w:r w:rsidRPr="00467DB0">
        <w:t xml:space="preserve"> innovative løsninger, der stammer fra forsknings- og </w:t>
      </w:r>
      <w:proofErr w:type="spellStart"/>
      <w:r w:rsidRPr="00467DB0">
        <w:t>innovationsaktiviteter</w:t>
      </w:r>
      <w:proofErr w:type="spellEnd"/>
      <w:r w:rsidRPr="00467DB0">
        <w:t xml:space="preserve">, og som støtter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aftagerleddet</w:t>
      </w:r>
      <w:proofErr w:type="spellEnd"/>
      <w:r w:rsidRPr="00467DB0">
        <w:t xml:space="preserve">, navnlig </w:t>
      </w:r>
      <w:proofErr w:type="spellStart"/>
      <w:r w:rsidRPr="00467DB0">
        <w:t>gennem</w:t>
      </w:r>
      <w:proofErr w:type="spellEnd"/>
      <w:r w:rsidRPr="00467DB0">
        <w:t xml:space="preserve"> synergier med andre EU-programmer og finansielle instrumenter, herunder </w:t>
      </w:r>
      <w:proofErr w:type="spellStart"/>
      <w:r w:rsidRPr="00467DB0">
        <w:t>InvestEU</w:t>
      </w:r>
      <w:proofErr w:type="spellEnd"/>
      <w:r w:rsidRPr="00467DB0">
        <w:t>-programmet</w:t>
      </w:r>
    </w:p>
    <w:p w14:paraId="0875B22C" w14:textId="77777777" w:rsidR="00000000" w:rsidRPr="00467DB0" w:rsidRDefault="00693D67" w:rsidP="00467DB0">
      <w:pPr>
        <w:pStyle w:val="friliste2"/>
      </w:pPr>
      <w:r w:rsidRPr="00467DB0">
        <w:t>b)</w:t>
      </w:r>
      <w:r w:rsidRPr="00467DB0">
        <w:tab/>
      </w:r>
      <w:r w:rsidRPr="00467DB0">
        <w:t xml:space="preserve">aktiviteter, der </w:t>
      </w:r>
      <w:proofErr w:type="spellStart"/>
      <w:r w:rsidRPr="00467DB0">
        <w:t>sigter</w:t>
      </w:r>
      <w:proofErr w:type="spellEnd"/>
      <w:r w:rsidRPr="00467DB0">
        <w:t xml:space="preserve"> mod at fremme offentlig </w:t>
      </w:r>
      <w:proofErr w:type="spellStart"/>
      <w:r w:rsidRPr="00467DB0">
        <w:t>efterspørgsel</w:t>
      </w:r>
      <w:proofErr w:type="spellEnd"/>
      <w:r w:rsidRPr="00467DB0">
        <w:t xml:space="preserve"> og </w:t>
      </w:r>
      <w:proofErr w:type="spellStart"/>
      <w:r w:rsidRPr="00467DB0">
        <w:t>innovation</w:t>
      </w:r>
      <w:proofErr w:type="spellEnd"/>
      <w:r w:rsidRPr="00467DB0">
        <w:t xml:space="preserve"> i den offentlige sektor, med </w:t>
      </w:r>
      <w:proofErr w:type="spellStart"/>
      <w:r w:rsidRPr="00467DB0">
        <w:t>henblik</w:t>
      </w:r>
      <w:proofErr w:type="spellEnd"/>
      <w:r w:rsidRPr="00467DB0">
        <w:t xml:space="preserve"> på at realisere det </w:t>
      </w:r>
      <w:proofErr w:type="spellStart"/>
      <w:r w:rsidRPr="00467DB0">
        <w:t>fulde</w:t>
      </w:r>
      <w:proofErr w:type="spellEnd"/>
      <w:r w:rsidRPr="00467DB0">
        <w:t xml:space="preserve"> </w:t>
      </w:r>
      <w:proofErr w:type="spellStart"/>
      <w:r w:rsidRPr="00467DB0">
        <w:t>potentiale</w:t>
      </w:r>
      <w:proofErr w:type="spellEnd"/>
      <w:r w:rsidRPr="00467DB0">
        <w:t xml:space="preserve"> </w:t>
      </w:r>
      <w:proofErr w:type="spellStart"/>
      <w:r w:rsidRPr="00467DB0">
        <w:t>af</w:t>
      </w:r>
      <w:proofErr w:type="spellEnd"/>
      <w:r w:rsidRPr="00467DB0">
        <w:t xml:space="preserve"> offentlige tjenester for borgere og </w:t>
      </w:r>
      <w:proofErr w:type="spellStart"/>
      <w:r w:rsidRPr="00467DB0">
        <w:t>virksomheder</w:t>
      </w:r>
      <w:proofErr w:type="spellEnd"/>
    </w:p>
    <w:p w14:paraId="264108A5" w14:textId="77777777" w:rsidR="00000000" w:rsidRPr="00467DB0" w:rsidRDefault="00693D67" w:rsidP="00467DB0">
      <w:pPr>
        <w:pStyle w:val="friliste2"/>
      </w:pPr>
      <w:r w:rsidRPr="00467DB0">
        <w:t>c)</w:t>
      </w:r>
      <w:r w:rsidRPr="00467DB0">
        <w:tab/>
      </w:r>
      <w:proofErr w:type="spellStart"/>
      <w:r w:rsidRPr="00467DB0">
        <w:t>iværksætteri</w:t>
      </w:r>
      <w:proofErr w:type="spellEnd"/>
      <w:r w:rsidRPr="00467DB0">
        <w:t xml:space="preserve">, herunder fra </w:t>
      </w:r>
      <w:proofErr w:type="spellStart"/>
      <w:r w:rsidRPr="00467DB0">
        <w:t>indledningsfasen</w:t>
      </w:r>
      <w:proofErr w:type="spellEnd"/>
      <w:r w:rsidRPr="00467DB0">
        <w:t xml:space="preserve"> til </w:t>
      </w:r>
      <w:proofErr w:type="spellStart"/>
      <w:r w:rsidRPr="00467DB0">
        <w:t>eks</w:t>
      </w:r>
      <w:r w:rsidRPr="00467DB0">
        <w:t>pansion</w:t>
      </w:r>
      <w:proofErr w:type="spellEnd"/>
      <w:r w:rsidRPr="00467DB0">
        <w:t xml:space="preserve">, i overensstemmelse med </w:t>
      </w:r>
      <w:proofErr w:type="spellStart"/>
      <w:r w:rsidRPr="00467DB0">
        <w:t>artikel</w:t>
      </w:r>
      <w:proofErr w:type="spellEnd"/>
      <w:r w:rsidRPr="00467DB0">
        <w:t xml:space="preserve"> 21 ved at anvende andre bestemmelser om adgang til finansiering som </w:t>
      </w:r>
      <w:proofErr w:type="spellStart"/>
      <w:r w:rsidRPr="00467DB0">
        <w:t>fastsat</w:t>
      </w:r>
      <w:proofErr w:type="spellEnd"/>
      <w:r w:rsidRPr="00467DB0">
        <w:t xml:space="preserve"> i </w:t>
      </w:r>
      <w:proofErr w:type="spellStart"/>
      <w:r w:rsidRPr="00467DB0">
        <w:t>artikel</w:t>
      </w:r>
      <w:proofErr w:type="spellEnd"/>
      <w:r w:rsidRPr="00467DB0">
        <w:t xml:space="preserve"> 18 og </w:t>
      </w:r>
      <w:proofErr w:type="spellStart"/>
      <w:r w:rsidRPr="00467DB0">
        <w:t>afsnit</w:t>
      </w:r>
      <w:proofErr w:type="spellEnd"/>
      <w:r w:rsidRPr="00467DB0">
        <w:t xml:space="preserve"> III, kapitel I, samt ved at anvende en strategi </w:t>
      </w:r>
      <w:proofErr w:type="spellStart"/>
      <w:r w:rsidRPr="00467DB0">
        <w:t>baseret</w:t>
      </w:r>
      <w:proofErr w:type="spellEnd"/>
      <w:r w:rsidRPr="00467DB0">
        <w:t xml:space="preserve"> på "modellen med første kontrakt"</w:t>
      </w:r>
    </w:p>
    <w:p w14:paraId="27F5606F" w14:textId="77777777" w:rsidR="00000000" w:rsidRPr="00467DB0" w:rsidRDefault="00693D67" w:rsidP="00467DB0">
      <w:pPr>
        <w:pStyle w:val="friliste2"/>
      </w:pPr>
      <w:r w:rsidRPr="00467DB0">
        <w:t>d)</w:t>
      </w:r>
      <w:r w:rsidRPr="00467DB0">
        <w:tab/>
        <w:t xml:space="preserve">fremkomsten </w:t>
      </w:r>
      <w:proofErr w:type="spellStart"/>
      <w:r w:rsidRPr="00467DB0">
        <w:t>af</w:t>
      </w:r>
      <w:proofErr w:type="spellEnd"/>
      <w:r w:rsidRPr="00467DB0">
        <w:t xml:space="preserve"> et </w:t>
      </w:r>
      <w:proofErr w:type="spellStart"/>
      <w:r w:rsidRPr="00467DB0">
        <w:t>erhver</w:t>
      </w:r>
      <w:r w:rsidRPr="00467DB0">
        <w:t>vsvenligt</w:t>
      </w:r>
      <w:proofErr w:type="spellEnd"/>
      <w:r w:rsidRPr="00467DB0">
        <w:t xml:space="preserve"> </w:t>
      </w:r>
      <w:proofErr w:type="spellStart"/>
      <w:r w:rsidRPr="00467DB0">
        <w:t>rumøkosystem</w:t>
      </w:r>
      <w:proofErr w:type="spellEnd"/>
      <w:r w:rsidRPr="00467DB0">
        <w:t xml:space="preserve"> </w:t>
      </w:r>
      <w:proofErr w:type="spellStart"/>
      <w:r w:rsidRPr="00467DB0">
        <w:t>gennem</w:t>
      </w:r>
      <w:proofErr w:type="spellEnd"/>
      <w:r w:rsidRPr="00467DB0">
        <w:t xml:space="preserve"> </w:t>
      </w:r>
      <w:proofErr w:type="spellStart"/>
      <w:r w:rsidRPr="00467DB0">
        <w:t>samarbejde</w:t>
      </w:r>
      <w:proofErr w:type="spellEnd"/>
      <w:r w:rsidRPr="00467DB0">
        <w:t xml:space="preserve"> </w:t>
      </w:r>
      <w:proofErr w:type="spellStart"/>
      <w:r w:rsidRPr="00467DB0">
        <w:t>mellem</w:t>
      </w:r>
      <w:proofErr w:type="spellEnd"/>
      <w:r w:rsidRPr="00467DB0">
        <w:t xml:space="preserve"> foretagender i form </w:t>
      </w:r>
      <w:proofErr w:type="spellStart"/>
      <w:r w:rsidRPr="00467DB0">
        <w:t>af</w:t>
      </w:r>
      <w:proofErr w:type="spellEnd"/>
      <w:r w:rsidRPr="00467DB0">
        <w:t xml:space="preserve"> et </w:t>
      </w:r>
      <w:proofErr w:type="spellStart"/>
      <w:r w:rsidRPr="00467DB0">
        <w:t>netværk</w:t>
      </w:r>
      <w:proofErr w:type="spellEnd"/>
      <w:r w:rsidRPr="00467DB0">
        <w:t xml:space="preserve"> </w:t>
      </w:r>
      <w:proofErr w:type="spellStart"/>
      <w:r w:rsidRPr="00467DB0">
        <w:t>af</w:t>
      </w:r>
      <w:proofErr w:type="spellEnd"/>
      <w:r w:rsidRPr="00467DB0">
        <w:t xml:space="preserve"> </w:t>
      </w:r>
      <w:proofErr w:type="spellStart"/>
      <w:r w:rsidRPr="00467DB0">
        <w:t>rumcentre</w:t>
      </w:r>
      <w:proofErr w:type="spellEnd"/>
      <w:r w:rsidRPr="00467DB0">
        <w:t xml:space="preserve">, der: </w:t>
      </w:r>
    </w:p>
    <w:p w14:paraId="0B814889" w14:textId="77777777" w:rsidR="00000000" w:rsidRPr="00467DB0" w:rsidRDefault="00693D67" w:rsidP="00467DB0">
      <w:pPr>
        <w:pStyle w:val="friliste3"/>
      </w:pPr>
      <w:r w:rsidRPr="00467DB0">
        <w:t>i)</w:t>
      </w:r>
      <w:r w:rsidRPr="00467DB0">
        <w:tab/>
        <w:t xml:space="preserve">på </w:t>
      </w:r>
      <w:proofErr w:type="spellStart"/>
      <w:r w:rsidRPr="00467DB0">
        <w:t>nationalt</w:t>
      </w:r>
      <w:proofErr w:type="spellEnd"/>
      <w:r w:rsidRPr="00467DB0">
        <w:t xml:space="preserve"> og regionalt plan samler aktører fra </w:t>
      </w:r>
      <w:proofErr w:type="spellStart"/>
      <w:r w:rsidRPr="00467DB0">
        <w:t>rumsektoren</w:t>
      </w:r>
      <w:proofErr w:type="spellEnd"/>
      <w:r w:rsidRPr="00467DB0">
        <w:t xml:space="preserve">, den digitale sektor og andre sektorer samt </w:t>
      </w:r>
      <w:proofErr w:type="spellStart"/>
      <w:r w:rsidRPr="00467DB0">
        <w:t>brugere</w:t>
      </w:r>
      <w:proofErr w:type="spellEnd"/>
      <w:r w:rsidRPr="00467DB0">
        <w:t xml:space="preserve">, og </w:t>
      </w:r>
    </w:p>
    <w:p w14:paraId="79C86ACF" w14:textId="77777777" w:rsidR="00000000" w:rsidRPr="00467DB0" w:rsidRDefault="00693D67" w:rsidP="00467DB0">
      <w:pPr>
        <w:pStyle w:val="friliste3"/>
      </w:pPr>
      <w:r w:rsidRPr="00467DB0">
        <w:lastRenderedPageBreak/>
        <w:t>ii)</w:t>
      </w:r>
      <w:r w:rsidRPr="00467DB0">
        <w:tab/>
        <w:t xml:space="preserve">som har til formål </w:t>
      </w:r>
      <w:proofErr w:type="spellStart"/>
      <w:r w:rsidRPr="00467DB0">
        <w:t>at</w:t>
      </w:r>
      <w:proofErr w:type="spellEnd"/>
      <w:r w:rsidRPr="00467DB0">
        <w:t xml:space="preserve"> stille</w:t>
      </w:r>
      <w:r w:rsidRPr="00467DB0">
        <w:t xml:space="preserve"> støtte, </w:t>
      </w:r>
      <w:proofErr w:type="spellStart"/>
      <w:r w:rsidRPr="00467DB0">
        <w:t>faciliteter</w:t>
      </w:r>
      <w:proofErr w:type="spellEnd"/>
      <w:r w:rsidRPr="00467DB0">
        <w:t xml:space="preserve"> og tjenester til </w:t>
      </w:r>
      <w:proofErr w:type="spellStart"/>
      <w:r w:rsidRPr="00467DB0">
        <w:t>rådighed</w:t>
      </w:r>
      <w:proofErr w:type="spellEnd"/>
      <w:r w:rsidRPr="00467DB0">
        <w:t xml:space="preserve"> for borgere og </w:t>
      </w:r>
      <w:proofErr w:type="spellStart"/>
      <w:r w:rsidRPr="00467DB0">
        <w:t>virksomheder</w:t>
      </w:r>
      <w:proofErr w:type="spellEnd"/>
      <w:r w:rsidRPr="00467DB0">
        <w:t xml:space="preserve"> for at fremme </w:t>
      </w:r>
      <w:proofErr w:type="spellStart"/>
      <w:r w:rsidRPr="00467DB0">
        <w:t>iværksætteri</w:t>
      </w:r>
      <w:proofErr w:type="spellEnd"/>
      <w:r w:rsidRPr="00467DB0">
        <w:t xml:space="preserve"> og </w:t>
      </w:r>
      <w:proofErr w:type="spellStart"/>
      <w:r w:rsidRPr="00467DB0">
        <w:t>færdigheder</w:t>
      </w:r>
      <w:proofErr w:type="spellEnd"/>
      <w:r w:rsidRPr="00467DB0">
        <w:t xml:space="preserve">, at fremme synergier i </w:t>
      </w:r>
      <w:proofErr w:type="spellStart"/>
      <w:r w:rsidRPr="00467DB0">
        <w:t>aftagerleddet</w:t>
      </w:r>
      <w:proofErr w:type="spellEnd"/>
      <w:r w:rsidRPr="00467DB0">
        <w:t xml:space="preserve"> og at styrke </w:t>
      </w:r>
      <w:proofErr w:type="spellStart"/>
      <w:r w:rsidRPr="00467DB0">
        <w:t>samarbejdet</w:t>
      </w:r>
      <w:proofErr w:type="spellEnd"/>
      <w:r w:rsidRPr="00467DB0">
        <w:t xml:space="preserve"> med de digitale </w:t>
      </w:r>
      <w:proofErr w:type="spellStart"/>
      <w:r w:rsidRPr="00467DB0">
        <w:t>innovationsknudepunkter</w:t>
      </w:r>
      <w:proofErr w:type="spellEnd"/>
      <w:r w:rsidRPr="00467DB0">
        <w:t xml:space="preserve">, der er </w:t>
      </w:r>
      <w:proofErr w:type="spellStart"/>
      <w:r w:rsidRPr="00467DB0">
        <w:t>etableret</w:t>
      </w:r>
      <w:proofErr w:type="spellEnd"/>
      <w:r w:rsidRPr="00467DB0">
        <w:t xml:space="preserve"> i forbindelse med p</w:t>
      </w:r>
      <w:r w:rsidRPr="00467DB0">
        <w:t>rogrammet for et digitalt Europa</w:t>
      </w:r>
      <w:r w:rsidRPr="00467DB0">
        <w:rPr>
          <w:rStyle w:val="Fotnotereferanse"/>
        </w:rPr>
        <w:footnoteReference w:id="42"/>
      </w:r>
    </w:p>
    <w:p w14:paraId="18B68C80" w14:textId="77777777" w:rsidR="00000000" w:rsidRPr="00467DB0" w:rsidRDefault="00693D67" w:rsidP="00467DB0">
      <w:pPr>
        <w:pStyle w:val="friliste2"/>
      </w:pPr>
      <w:r w:rsidRPr="00467DB0">
        <w:t>e)</w:t>
      </w:r>
      <w:r w:rsidRPr="00467DB0">
        <w:tab/>
        <w:t xml:space="preserve">formidlingen </w:t>
      </w:r>
      <w:proofErr w:type="spellStart"/>
      <w:r w:rsidRPr="00467DB0">
        <w:t>af</w:t>
      </w:r>
      <w:proofErr w:type="spellEnd"/>
      <w:r w:rsidRPr="00467DB0">
        <w:t xml:space="preserve"> </w:t>
      </w:r>
      <w:proofErr w:type="spellStart"/>
      <w:r w:rsidRPr="00467DB0">
        <w:t>uddannelsesaktiviteter</w:t>
      </w:r>
      <w:proofErr w:type="spellEnd"/>
      <w:r w:rsidRPr="00467DB0">
        <w:t xml:space="preserve">, navnlig for fagfolk, </w:t>
      </w:r>
      <w:proofErr w:type="spellStart"/>
      <w:r w:rsidRPr="00467DB0">
        <w:t>iværksættere</w:t>
      </w:r>
      <w:proofErr w:type="spellEnd"/>
      <w:r w:rsidRPr="00467DB0">
        <w:t xml:space="preserve">, </w:t>
      </w:r>
      <w:proofErr w:type="spellStart"/>
      <w:r w:rsidRPr="00467DB0">
        <w:t>nyuddannede</w:t>
      </w:r>
      <w:proofErr w:type="spellEnd"/>
      <w:r w:rsidRPr="00467DB0">
        <w:t xml:space="preserve"> og studerende, navnlig ved </w:t>
      </w:r>
      <w:proofErr w:type="spellStart"/>
      <w:r w:rsidRPr="00467DB0">
        <w:t>hjælp</w:t>
      </w:r>
      <w:proofErr w:type="spellEnd"/>
      <w:r w:rsidRPr="00467DB0">
        <w:t xml:space="preserve"> </w:t>
      </w:r>
      <w:proofErr w:type="spellStart"/>
      <w:r w:rsidRPr="00467DB0">
        <w:t>af</w:t>
      </w:r>
      <w:proofErr w:type="spellEnd"/>
      <w:r w:rsidRPr="00467DB0">
        <w:t xml:space="preserve"> synergier med </w:t>
      </w:r>
      <w:proofErr w:type="spellStart"/>
      <w:r w:rsidRPr="00467DB0">
        <w:t>nationale</w:t>
      </w:r>
      <w:proofErr w:type="spellEnd"/>
      <w:r w:rsidRPr="00467DB0">
        <w:t xml:space="preserve"> og regionale initiativer, med </w:t>
      </w:r>
      <w:proofErr w:type="spellStart"/>
      <w:r w:rsidRPr="00467DB0">
        <w:t>henblik</w:t>
      </w:r>
      <w:proofErr w:type="spellEnd"/>
      <w:r w:rsidRPr="00467DB0">
        <w:t xml:space="preserve"> på </w:t>
      </w:r>
      <w:proofErr w:type="spellStart"/>
      <w:r w:rsidRPr="00467DB0">
        <w:t>udv</w:t>
      </w:r>
      <w:r w:rsidRPr="00467DB0">
        <w:t>ikling</w:t>
      </w:r>
      <w:proofErr w:type="spellEnd"/>
      <w:r w:rsidRPr="00467DB0">
        <w:t xml:space="preserve"> </w:t>
      </w:r>
      <w:proofErr w:type="spellStart"/>
      <w:r w:rsidRPr="00467DB0">
        <w:t>af</w:t>
      </w:r>
      <w:proofErr w:type="spellEnd"/>
      <w:r w:rsidRPr="00467DB0">
        <w:t xml:space="preserve"> </w:t>
      </w:r>
      <w:proofErr w:type="spellStart"/>
      <w:r w:rsidRPr="00467DB0">
        <w:t>avancerede</w:t>
      </w:r>
      <w:proofErr w:type="spellEnd"/>
      <w:r w:rsidRPr="00467DB0">
        <w:t xml:space="preserve"> </w:t>
      </w:r>
      <w:proofErr w:type="spellStart"/>
      <w:r w:rsidRPr="00467DB0">
        <w:t>kompetencer</w:t>
      </w:r>
      <w:proofErr w:type="spellEnd"/>
    </w:p>
    <w:p w14:paraId="2E38C35F" w14:textId="77777777" w:rsidR="00000000" w:rsidRPr="00467DB0" w:rsidRDefault="00693D67" w:rsidP="00467DB0">
      <w:pPr>
        <w:pStyle w:val="friliste2"/>
      </w:pPr>
      <w:r w:rsidRPr="00467DB0">
        <w:t>f)</w:t>
      </w:r>
      <w:r w:rsidRPr="00467DB0">
        <w:tab/>
        <w:t xml:space="preserve">adgang til behandlings- og </w:t>
      </w:r>
      <w:proofErr w:type="spellStart"/>
      <w:r w:rsidRPr="00467DB0">
        <w:t>testfaciliteter</w:t>
      </w:r>
      <w:proofErr w:type="spellEnd"/>
      <w:r w:rsidRPr="00467DB0">
        <w:t xml:space="preserve"> for fagfolk i den private og den offentlige sektor, studerende og </w:t>
      </w:r>
      <w:proofErr w:type="spellStart"/>
      <w:r w:rsidRPr="00467DB0">
        <w:t>iværksættere</w:t>
      </w:r>
      <w:proofErr w:type="spellEnd"/>
    </w:p>
    <w:p w14:paraId="52ABE82E" w14:textId="77777777" w:rsidR="00000000" w:rsidRPr="00467DB0" w:rsidRDefault="00693D67" w:rsidP="00467DB0">
      <w:pPr>
        <w:pStyle w:val="friliste2"/>
      </w:pPr>
      <w:r w:rsidRPr="00467DB0">
        <w:t>g)</w:t>
      </w:r>
      <w:r w:rsidRPr="00467DB0">
        <w:tab/>
      </w:r>
      <w:proofErr w:type="spellStart"/>
      <w:r w:rsidRPr="00467DB0">
        <w:t>certificerings</w:t>
      </w:r>
      <w:proofErr w:type="spellEnd"/>
      <w:r w:rsidRPr="00467DB0">
        <w:t>- og standardiseringsaktiviteter</w:t>
      </w:r>
    </w:p>
    <w:p w14:paraId="27F7104B" w14:textId="77777777" w:rsidR="00000000" w:rsidRPr="00467DB0" w:rsidRDefault="00693D67" w:rsidP="00467DB0">
      <w:pPr>
        <w:pStyle w:val="friliste2"/>
      </w:pPr>
      <w:r w:rsidRPr="00467DB0">
        <w:t>h)</w:t>
      </w:r>
      <w:r w:rsidRPr="00467DB0">
        <w:tab/>
        <w:t xml:space="preserve">styrkelsen </w:t>
      </w:r>
      <w:proofErr w:type="spellStart"/>
      <w:r w:rsidRPr="00467DB0">
        <w:t>af</w:t>
      </w:r>
      <w:proofErr w:type="spellEnd"/>
      <w:r w:rsidRPr="00467DB0">
        <w:t xml:space="preserve"> </w:t>
      </w:r>
      <w:proofErr w:type="spellStart"/>
      <w:r w:rsidRPr="00467DB0">
        <w:t>europæiske</w:t>
      </w:r>
      <w:proofErr w:type="spellEnd"/>
      <w:r w:rsidRPr="00467DB0">
        <w:t xml:space="preserve"> </w:t>
      </w:r>
      <w:proofErr w:type="spellStart"/>
      <w:r w:rsidRPr="00467DB0">
        <w:t>forsyningskæder</w:t>
      </w:r>
      <w:proofErr w:type="spellEnd"/>
      <w:r w:rsidRPr="00467DB0">
        <w:t xml:space="preserve"> i he</w:t>
      </w:r>
      <w:r w:rsidRPr="00467DB0">
        <w:t xml:space="preserve">le Unionen </w:t>
      </w:r>
      <w:proofErr w:type="spellStart"/>
      <w:r w:rsidRPr="00467DB0">
        <w:t>gennem</w:t>
      </w:r>
      <w:proofErr w:type="spellEnd"/>
      <w:r w:rsidRPr="00467DB0">
        <w:t xml:space="preserve"> bred deltagelse </w:t>
      </w:r>
      <w:proofErr w:type="spellStart"/>
      <w:r w:rsidRPr="00467DB0">
        <w:t>af</w:t>
      </w:r>
      <w:proofErr w:type="spellEnd"/>
      <w:r w:rsidRPr="00467DB0">
        <w:t xml:space="preserve"> </w:t>
      </w:r>
      <w:proofErr w:type="spellStart"/>
      <w:r w:rsidRPr="00467DB0">
        <w:t>virksomheder</w:t>
      </w:r>
      <w:proofErr w:type="spellEnd"/>
      <w:r w:rsidRPr="00467DB0">
        <w:t xml:space="preserve">, navnlig </w:t>
      </w:r>
      <w:proofErr w:type="spellStart"/>
      <w:r w:rsidRPr="00467DB0">
        <w:t>SMV'er</w:t>
      </w:r>
      <w:proofErr w:type="spellEnd"/>
      <w:r w:rsidRPr="00467DB0">
        <w:t xml:space="preserve"> og nystartede </w:t>
      </w:r>
      <w:proofErr w:type="spellStart"/>
      <w:r w:rsidRPr="00467DB0">
        <w:t>virksomheder</w:t>
      </w:r>
      <w:proofErr w:type="spellEnd"/>
      <w:r w:rsidRPr="00467DB0">
        <w:t xml:space="preserve">, i alle programmets komponenter, navnlig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artikel</w:t>
      </w:r>
      <w:proofErr w:type="spellEnd"/>
      <w:r w:rsidRPr="00467DB0">
        <w:t xml:space="preserve"> 14, samt foranstaltninger til støtte for deres </w:t>
      </w:r>
      <w:proofErr w:type="spellStart"/>
      <w:r w:rsidRPr="00467DB0">
        <w:t>konkurrenceevne</w:t>
      </w:r>
      <w:proofErr w:type="spellEnd"/>
      <w:r w:rsidRPr="00467DB0">
        <w:t xml:space="preserve"> på globalt plan.</w:t>
      </w:r>
    </w:p>
    <w:p w14:paraId="4C38D015" w14:textId="77777777" w:rsidR="00000000" w:rsidRPr="00467DB0" w:rsidRDefault="00693D67" w:rsidP="00467DB0">
      <w:pPr>
        <w:pStyle w:val="friliste"/>
      </w:pPr>
      <w:r w:rsidRPr="00467DB0">
        <w:t>2.</w:t>
      </w:r>
      <w:r w:rsidRPr="00467DB0">
        <w:tab/>
        <w:t xml:space="preserve">I forbindelse med </w:t>
      </w:r>
      <w:proofErr w:type="spellStart"/>
      <w:r w:rsidRPr="00467DB0">
        <w:t>gennemførelsen</w:t>
      </w:r>
      <w:proofErr w:type="spellEnd"/>
      <w:r w:rsidRPr="00467DB0">
        <w:t xml:space="preserve"> </w:t>
      </w:r>
      <w:proofErr w:type="spellStart"/>
      <w:r w:rsidRPr="00467DB0">
        <w:t>af</w:t>
      </w:r>
      <w:proofErr w:type="spellEnd"/>
      <w:r w:rsidRPr="00467DB0">
        <w:t xml:space="preserve"> de i stk. 1 omhandlede aktiviteter skal behovet for at </w:t>
      </w:r>
      <w:proofErr w:type="spellStart"/>
      <w:r w:rsidRPr="00467DB0">
        <w:t>udvikle</w:t>
      </w:r>
      <w:proofErr w:type="spellEnd"/>
      <w:r w:rsidRPr="00467DB0">
        <w:t xml:space="preserve"> </w:t>
      </w:r>
      <w:proofErr w:type="spellStart"/>
      <w:r w:rsidRPr="00467DB0">
        <w:t>kapacitet</w:t>
      </w:r>
      <w:proofErr w:type="spellEnd"/>
      <w:r w:rsidRPr="00467DB0">
        <w:t xml:space="preserve"> i medlemsstater med en fremspirende </w:t>
      </w:r>
      <w:proofErr w:type="spellStart"/>
      <w:r w:rsidRPr="00467DB0">
        <w:t>rumindustri</w:t>
      </w:r>
      <w:proofErr w:type="spellEnd"/>
      <w:r w:rsidRPr="00467DB0">
        <w:t xml:space="preserve"> støttes med </w:t>
      </w:r>
      <w:proofErr w:type="spellStart"/>
      <w:r w:rsidRPr="00467DB0">
        <w:t>henblik</w:t>
      </w:r>
      <w:proofErr w:type="spellEnd"/>
      <w:r w:rsidRPr="00467DB0">
        <w:t xml:space="preserve"> på at </w:t>
      </w:r>
      <w:proofErr w:type="spellStart"/>
      <w:r w:rsidRPr="00467DB0">
        <w:t>give</w:t>
      </w:r>
      <w:proofErr w:type="spellEnd"/>
      <w:r w:rsidRPr="00467DB0">
        <w:t xml:space="preserve"> alle medlemsstater </w:t>
      </w:r>
      <w:proofErr w:type="spellStart"/>
      <w:r w:rsidRPr="00467DB0">
        <w:t>lige</w:t>
      </w:r>
      <w:proofErr w:type="spellEnd"/>
      <w:r w:rsidRPr="00467DB0">
        <w:t xml:space="preserve"> </w:t>
      </w:r>
      <w:proofErr w:type="spellStart"/>
      <w:r w:rsidRPr="00467DB0">
        <w:t>mulighed</w:t>
      </w:r>
      <w:proofErr w:type="spellEnd"/>
      <w:r w:rsidRPr="00467DB0">
        <w:t xml:space="preserve"> for at </w:t>
      </w:r>
      <w:proofErr w:type="spellStart"/>
      <w:r w:rsidRPr="00467DB0">
        <w:t>deltage</w:t>
      </w:r>
      <w:proofErr w:type="spellEnd"/>
      <w:r w:rsidRPr="00467DB0">
        <w:t xml:space="preserve"> i </w:t>
      </w:r>
      <w:proofErr w:type="spellStart"/>
      <w:r w:rsidRPr="00467DB0">
        <w:t>rumprogrammet</w:t>
      </w:r>
      <w:proofErr w:type="spellEnd"/>
      <w:r w:rsidRPr="00467DB0">
        <w:t>.</w:t>
      </w:r>
    </w:p>
    <w:p w14:paraId="3A93905E" w14:textId="77777777" w:rsidR="00000000" w:rsidRPr="00467DB0" w:rsidRDefault="00693D67" w:rsidP="00467DB0">
      <w:pPr>
        <w:pStyle w:val="avsnitt-undertittel"/>
      </w:pPr>
      <w:proofErr w:type="spellStart"/>
      <w:r w:rsidRPr="00467DB0">
        <w:t>Artikel</w:t>
      </w:r>
      <w:proofErr w:type="spellEnd"/>
      <w:r w:rsidRPr="00467DB0">
        <w:t> 7</w:t>
      </w:r>
    </w:p>
    <w:p w14:paraId="4A163EB7" w14:textId="77777777" w:rsidR="00000000" w:rsidRPr="00467DB0" w:rsidRDefault="00693D67" w:rsidP="00467DB0">
      <w:pPr>
        <w:pStyle w:val="Undertittel"/>
      </w:pPr>
      <w:proofErr w:type="spellStart"/>
      <w:r w:rsidRPr="00467DB0">
        <w:t>Tredjelande</w:t>
      </w:r>
      <w:r w:rsidRPr="00467DB0">
        <w:t>s</w:t>
      </w:r>
      <w:proofErr w:type="spellEnd"/>
      <w:r w:rsidRPr="00467DB0">
        <w:t xml:space="preserve"> og </w:t>
      </w:r>
      <w:proofErr w:type="spellStart"/>
      <w:r w:rsidRPr="00467DB0">
        <w:t>internationale</w:t>
      </w:r>
      <w:proofErr w:type="spellEnd"/>
      <w:r w:rsidRPr="00467DB0">
        <w:t xml:space="preserve"> </w:t>
      </w:r>
      <w:proofErr w:type="spellStart"/>
      <w:r w:rsidRPr="00467DB0">
        <w:t>organisationers</w:t>
      </w:r>
      <w:proofErr w:type="spellEnd"/>
      <w:r w:rsidRPr="00467DB0">
        <w:t xml:space="preserve"> deltagelse i programmet</w:t>
      </w:r>
    </w:p>
    <w:p w14:paraId="5270C0C8" w14:textId="77777777" w:rsidR="00000000" w:rsidRPr="00467DB0" w:rsidRDefault="00693D67" w:rsidP="00467DB0">
      <w:pPr>
        <w:pStyle w:val="friliste"/>
      </w:pPr>
      <w:r w:rsidRPr="00467DB0">
        <w:t>1.</w:t>
      </w:r>
      <w:r w:rsidRPr="00467DB0">
        <w:tab/>
        <w:t xml:space="preserve">Galileo, EGNOS og Copernicus, samt </w:t>
      </w:r>
      <w:proofErr w:type="spellStart"/>
      <w:r w:rsidRPr="00467DB0">
        <w:t>delkomponenterne</w:t>
      </w:r>
      <w:proofErr w:type="spellEnd"/>
      <w:r w:rsidRPr="00467DB0">
        <w:t xml:space="preserve"> SWE og NEO, men ikke SST-delkomponenten, er </w:t>
      </w:r>
      <w:proofErr w:type="spellStart"/>
      <w:r w:rsidRPr="00467DB0">
        <w:t>åbne</w:t>
      </w:r>
      <w:proofErr w:type="spellEnd"/>
      <w:r w:rsidRPr="00467DB0">
        <w:t xml:space="preserve"> for deltagelse </w:t>
      </w:r>
      <w:proofErr w:type="spellStart"/>
      <w:r w:rsidRPr="00467DB0">
        <w:t>af</w:t>
      </w:r>
      <w:proofErr w:type="spellEnd"/>
      <w:r w:rsidRPr="00467DB0">
        <w:t xml:space="preserve"> medlemmer </w:t>
      </w:r>
      <w:proofErr w:type="spellStart"/>
      <w:r w:rsidRPr="00467DB0">
        <w:t>af</w:t>
      </w:r>
      <w:proofErr w:type="spellEnd"/>
      <w:r w:rsidRPr="00467DB0">
        <w:t xml:space="preserve"> Den </w:t>
      </w:r>
      <w:proofErr w:type="spellStart"/>
      <w:r w:rsidRPr="00467DB0">
        <w:t>Europæiske</w:t>
      </w:r>
      <w:proofErr w:type="spellEnd"/>
      <w:r w:rsidRPr="00467DB0">
        <w:t xml:space="preserve"> Frihandelssammenslutning (EFTA, som er medlem </w:t>
      </w:r>
      <w:proofErr w:type="spellStart"/>
      <w:r w:rsidRPr="00467DB0">
        <w:t>af</w:t>
      </w:r>
      <w:proofErr w:type="spellEnd"/>
      <w:r w:rsidRPr="00467DB0">
        <w:t xml:space="preserve"> Det </w:t>
      </w:r>
      <w:proofErr w:type="spellStart"/>
      <w:r w:rsidRPr="00467DB0">
        <w:t>Europæiske</w:t>
      </w:r>
      <w:proofErr w:type="spellEnd"/>
      <w:r w:rsidRPr="00467DB0">
        <w:t xml:space="preserve"> Økonomiske </w:t>
      </w:r>
      <w:proofErr w:type="spellStart"/>
      <w:r w:rsidRPr="00467DB0">
        <w:t>Samarbejdsområde</w:t>
      </w:r>
      <w:proofErr w:type="spellEnd"/>
      <w:r w:rsidRPr="00467DB0">
        <w:t xml:space="preserve"> (EØS), i overensstemmelse med de betingelser, der er </w:t>
      </w:r>
      <w:proofErr w:type="spellStart"/>
      <w:r w:rsidRPr="00467DB0">
        <w:t>fastsat</w:t>
      </w:r>
      <w:proofErr w:type="spellEnd"/>
      <w:r w:rsidRPr="00467DB0">
        <w:t xml:space="preserve"> i </w:t>
      </w:r>
      <w:proofErr w:type="spellStart"/>
      <w:r w:rsidRPr="00467DB0">
        <w:t>aftalen</w:t>
      </w:r>
      <w:proofErr w:type="spellEnd"/>
      <w:r w:rsidRPr="00467DB0">
        <w:t xml:space="preserve"> om Det </w:t>
      </w:r>
      <w:proofErr w:type="spellStart"/>
      <w:r w:rsidRPr="00467DB0">
        <w:t>Europæiske</w:t>
      </w:r>
      <w:proofErr w:type="spellEnd"/>
      <w:r w:rsidRPr="00467DB0">
        <w:t xml:space="preserve"> Økonomiske </w:t>
      </w:r>
      <w:proofErr w:type="spellStart"/>
      <w:r w:rsidRPr="00467DB0">
        <w:t>Samarbejdsområde</w:t>
      </w:r>
      <w:proofErr w:type="spellEnd"/>
      <w:r w:rsidRPr="00467DB0">
        <w:t>.</w:t>
      </w:r>
    </w:p>
    <w:p w14:paraId="4AA08B60" w14:textId="77777777" w:rsidR="00000000" w:rsidRPr="00467DB0" w:rsidRDefault="00693D67" w:rsidP="00467DB0">
      <w:pPr>
        <w:pStyle w:val="Listeavsnitt"/>
      </w:pPr>
      <w:r w:rsidRPr="00467DB0">
        <w:t xml:space="preserve">For Copernicus og </w:t>
      </w:r>
      <w:proofErr w:type="spellStart"/>
      <w:r w:rsidRPr="00467DB0">
        <w:t>delkomponenterne</w:t>
      </w:r>
      <w:proofErr w:type="spellEnd"/>
      <w:r w:rsidRPr="00467DB0">
        <w:t xml:space="preserve"> SWE og NEO, men ikke SST-delkomponenten, kan følgende l</w:t>
      </w:r>
      <w:r w:rsidRPr="00467DB0">
        <w:t xml:space="preserve">ande </w:t>
      </w:r>
      <w:proofErr w:type="spellStart"/>
      <w:r w:rsidRPr="00467DB0">
        <w:t>deltage</w:t>
      </w:r>
      <w:proofErr w:type="spellEnd"/>
      <w:r w:rsidRPr="00467DB0">
        <w:t>:</w:t>
      </w:r>
    </w:p>
    <w:p w14:paraId="0C0FD019" w14:textId="77777777" w:rsidR="00000000" w:rsidRPr="00467DB0" w:rsidRDefault="00693D67" w:rsidP="00467DB0">
      <w:pPr>
        <w:pStyle w:val="friliste2"/>
      </w:pPr>
      <w:r w:rsidRPr="00467DB0">
        <w:t>a)</w:t>
      </w:r>
      <w:r w:rsidRPr="00467DB0">
        <w:tab/>
      </w:r>
      <w:proofErr w:type="spellStart"/>
      <w:r w:rsidRPr="00467DB0">
        <w:t>tiltrædende</w:t>
      </w:r>
      <w:proofErr w:type="spellEnd"/>
      <w:r w:rsidRPr="00467DB0">
        <w:t xml:space="preserve"> lande, </w:t>
      </w:r>
      <w:proofErr w:type="spellStart"/>
      <w:r w:rsidRPr="00467DB0">
        <w:t>kandidatlande</w:t>
      </w:r>
      <w:proofErr w:type="spellEnd"/>
      <w:r w:rsidRPr="00467DB0">
        <w:t xml:space="preserve"> og </w:t>
      </w:r>
      <w:proofErr w:type="spellStart"/>
      <w:r w:rsidRPr="00467DB0">
        <w:t>potentielle</w:t>
      </w:r>
      <w:proofErr w:type="spellEnd"/>
      <w:r w:rsidRPr="00467DB0">
        <w:t xml:space="preserve"> </w:t>
      </w:r>
      <w:proofErr w:type="spellStart"/>
      <w:r w:rsidRPr="00467DB0">
        <w:t>kandidatlande</w:t>
      </w:r>
      <w:proofErr w:type="spellEnd"/>
      <w:r w:rsidRPr="00467DB0">
        <w:t xml:space="preserve"> i overensstemmelse med de generelle </w:t>
      </w:r>
      <w:proofErr w:type="spellStart"/>
      <w:r w:rsidRPr="00467DB0">
        <w:t>principper</w:t>
      </w:r>
      <w:proofErr w:type="spellEnd"/>
      <w:r w:rsidRPr="00467DB0">
        <w:t xml:space="preserve"> og betingelser for disse landes deltagelse i EU-programmer, som er </w:t>
      </w:r>
      <w:proofErr w:type="spellStart"/>
      <w:r w:rsidRPr="00467DB0">
        <w:t>fastsat</w:t>
      </w:r>
      <w:proofErr w:type="spellEnd"/>
      <w:r w:rsidRPr="00467DB0">
        <w:t xml:space="preserve"> i de respektive </w:t>
      </w:r>
      <w:proofErr w:type="spellStart"/>
      <w:r w:rsidRPr="00467DB0">
        <w:t>rammeaftaler</w:t>
      </w:r>
      <w:proofErr w:type="spellEnd"/>
      <w:r w:rsidRPr="00467DB0">
        <w:t xml:space="preserve"> og </w:t>
      </w:r>
      <w:proofErr w:type="spellStart"/>
      <w:r w:rsidRPr="00467DB0">
        <w:t>associeringsrådsafgørel</w:t>
      </w:r>
      <w:r w:rsidRPr="00467DB0">
        <w:t>ser</w:t>
      </w:r>
      <w:proofErr w:type="spellEnd"/>
      <w:r w:rsidRPr="00467DB0">
        <w:t xml:space="preserve"> eller lignende </w:t>
      </w:r>
      <w:proofErr w:type="spellStart"/>
      <w:r w:rsidRPr="00467DB0">
        <w:t>aftaler</w:t>
      </w:r>
      <w:proofErr w:type="spellEnd"/>
      <w:r w:rsidRPr="00467DB0">
        <w:t xml:space="preserve">, og i overensstemmelse med de </w:t>
      </w:r>
      <w:proofErr w:type="spellStart"/>
      <w:r w:rsidRPr="00467DB0">
        <w:t>specifikke</w:t>
      </w:r>
      <w:proofErr w:type="spellEnd"/>
      <w:r w:rsidRPr="00467DB0">
        <w:t xml:space="preserve"> betingelser i </w:t>
      </w:r>
      <w:proofErr w:type="spellStart"/>
      <w:r w:rsidRPr="00467DB0">
        <w:t>aftaler</w:t>
      </w:r>
      <w:proofErr w:type="spellEnd"/>
      <w:r w:rsidRPr="00467DB0">
        <w:t xml:space="preserve"> </w:t>
      </w:r>
      <w:proofErr w:type="spellStart"/>
      <w:r w:rsidRPr="00467DB0">
        <w:t>mellem</w:t>
      </w:r>
      <w:proofErr w:type="spellEnd"/>
      <w:r w:rsidRPr="00467DB0">
        <w:t xml:space="preserve"> Unionen og de </w:t>
      </w:r>
      <w:proofErr w:type="spellStart"/>
      <w:r w:rsidRPr="00467DB0">
        <w:t>pågældende</w:t>
      </w:r>
      <w:proofErr w:type="spellEnd"/>
      <w:r w:rsidRPr="00467DB0">
        <w:t xml:space="preserve"> lande</w:t>
      </w:r>
    </w:p>
    <w:p w14:paraId="55AF09FA" w14:textId="77777777" w:rsidR="00000000" w:rsidRPr="00467DB0" w:rsidRDefault="00693D67" w:rsidP="00467DB0">
      <w:pPr>
        <w:pStyle w:val="friliste2"/>
      </w:pPr>
      <w:r w:rsidRPr="00467DB0">
        <w:t>b)</w:t>
      </w:r>
      <w:r w:rsidRPr="00467DB0">
        <w:tab/>
        <w:t xml:space="preserve">lande omfattet </w:t>
      </w:r>
      <w:proofErr w:type="spellStart"/>
      <w:r w:rsidRPr="00467DB0">
        <w:t>af</w:t>
      </w:r>
      <w:proofErr w:type="spellEnd"/>
      <w:r w:rsidRPr="00467DB0">
        <w:t xml:space="preserve"> den </w:t>
      </w:r>
      <w:proofErr w:type="spellStart"/>
      <w:r w:rsidRPr="00467DB0">
        <w:t>europæiske</w:t>
      </w:r>
      <w:proofErr w:type="spellEnd"/>
      <w:r w:rsidRPr="00467DB0">
        <w:t xml:space="preserve"> </w:t>
      </w:r>
      <w:proofErr w:type="spellStart"/>
      <w:r w:rsidRPr="00467DB0">
        <w:t>naboskabspolitik</w:t>
      </w:r>
      <w:proofErr w:type="spellEnd"/>
      <w:r w:rsidRPr="00467DB0">
        <w:t xml:space="preserve"> i overensstemmelse med de generelle </w:t>
      </w:r>
      <w:proofErr w:type="spellStart"/>
      <w:r w:rsidRPr="00467DB0">
        <w:t>principper</w:t>
      </w:r>
      <w:proofErr w:type="spellEnd"/>
      <w:r w:rsidRPr="00467DB0">
        <w:t xml:space="preserve"> og betingelser for disse lan</w:t>
      </w:r>
      <w:r w:rsidRPr="00467DB0">
        <w:t xml:space="preserve">des deltagelse i EU-programmer, som er </w:t>
      </w:r>
      <w:proofErr w:type="spellStart"/>
      <w:r w:rsidRPr="00467DB0">
        <w:t>fastsat</w:t>
      </w:r>
      <w:proofErr w:type="spellEnd"/>
      <w:r w:rsidRPr="00467DB0">
        <w:t xml:space="preserve"> i de respektive </w:t>
      </w:r>
      <w:proofErr w:type="spellStart"/>
      <w:r w:rsidRPr="00467DB0">
        <w:t>rammeaftaler</w:t>
      </w:r>
      <w:proofErr w:type="spellEnd"/>
      <w:r w:rsidRPr="00467DB0">
        <w:t xml:space="preserve"> og </w:t>
      </w:r>
      <w:proofErr w:type="spellStart"/>
      <w:r w:rsidRPr="00467DB0">
        <w:t>associeringsrådsafgørelser</w:t>
      </w:r>
      <w:proofErr w:type="spellEnd"/>
      <w:r w:rsidRPr="00467DB0">
        <w:t xml:space="preserve"> eller i lignende </w:t>
      </w:r>
      <w:proofErr w:type="spellStart"/>
      <w:r w:rsidRPr="00467DB0">
        <w:t>aftaler</w:t>
      </w:r>
      <w:proofErr w:type="spellEnd"/>
      <w:r w:rsidRPr="00467DB0">
        <w:t xml:space="preserve">, og i overensstemmelse med de særlige betingelser, der er </w:t>
      </w:r>
      <w:proofErr w:type="spellStart"/>
      <w:r w:rsidRPr="00467DB0">
        <w:t>fastsat</w:t>
      </w:r>
      <w:proofErr w:type="spellEnd"/>
      <w:r w:rsidRPr="00467DB0">
        <w:t xml:space="preserve"> i </w:t>
      </w:r>
      <w:proofErr w:type="spellStart"/>
      <w:r w:rsidRPr="00467DB0">
        <w:t>aftaler</w:t>
      </w:r>
      <w:proofErr w:type="spellEnd"/>
      <w:r w:rsidRPr="00467DB0">
        <w:t xml:space="preserve"> </w:t>
      </w:r>
      <w:proofErr w:type="spellStart"/>
      <w:r w:rsidRPr="00467DB0">
        <w:t>mellem</w:t>
      </w:r>
      <w:proofErr w:type="spellEnd"/>
      <w:r w:rsidRPr="00467DB0">
        <w:t xml:space="preserve"> Unionen og disse lande.</w:t>
      </w:r>
    </w:p>
    <w:p w14:paraId="371E8CD2" w14:textId="77777777" w:rsidR="00000000" w:rsidRPr="00467DB0" w:rsidRDefault="00693D67" w:rsidP="00467DB0">
      <w:pPr>
        <w:pStyle w:val="friliste"/>
      </w:pPr>
      <w:r w:rsidRPr="00467DB0">
        <w:lastRenderedPageBreak/>
        <w:t>2. I overensstemme</w:t>
      </w:r>
      <w:r w:rsidRPr="00467DB0">
        <w:t xml:space="preserve">lse med de betingelser, der er </w:t>
      </w:r>
      <w:proofErr w:type="spellStart"/>
      <w:r w:rsidRPr="00467DB0">
        <w:t>fastsat</w:t>
      </w:r>
      <w:proofErr w:type="spellEnd"/>
      <w:r w:rsidRPr="00467DB0">
        <w:t xml:space="preserve"> i en konkret </w:t>
      </w:r>
      <w:proofErr w:type="spellStart"/>
      <w:r w:rsidRPr="00467DB0">
        <w:t>aftale</w:t>
      </w:r>
      <w:proofErr w:type="spellEnd"/>
      <w:r w:rsidRPr="00467DB0">
        <w:t xml:space="preserve"> </w:t>
      </w:r>
      <w:proofErr w:type="spellStart"/>
      <w:r w:rsidRPr="00467DB0">
        <w:t>indgået</w:t>
      </w:r>
      <w:proofErr w:type="spellEnd"/>
      <w:r w:rsidRPr="00467DB0">
        <w:t xml:space="preserve"> i overensstemmelse med </w:t>
      </w:r>
      <w:proofErr w:type="spellStart"/>
      <w:r w:rsidRPr="00467DB0">
        <w:t>artikel</w:t>
      </w:r>
      <w:proofErr w:type="spellEnd"/>
      <w:r w:rsidRPr="00467DB0">
        <w:t xml:space="preserve"> 218 i TEUF om et tredjelands eller en </w:t>
      </w:r>
      <w:proofErr w:type="spellStart"/>
      <w:r w:rsidRPr="00467DB0">
        <w:t>international</w:t>
      </w:r>
      <w:proofErr w:type="spellEnd"/>
      <w:r w:rsidRPr="00467DB0">
        <w:t xml:space="preserve"> </w:t>
      </w:r>
      <w:proofErr w:type="spellStart"/>
      <w:r w:rsidRPr="00467DB0">
        <w:t>organisations</w:t>
      </w:r>
      <w:proofErr w:type="spellEnd"/>
      <w:r w:rsidRPr="00467DB0">
        <w:t xml:space="preserve"> deltagelse i EU-programmer, er: </w:t>
      </w:r>
    </w:p>
    <w:p w14:paraId="2A0D1554" w14:textId="77777777" w:rsidR="00000000" w:rsidRPr="00467DB0" w:rsidRDefault="00693D67" w:rsidP="00467DB0">
      <w:pPr>
        <w:pStyle w:val="friliste2"/>
      </w:pPr>
      <w:r w:rsidRPr="00467DB0">
        <w:t>a)</w:t>
      </w:r>
      <w:r w:rsidRPr="00467DB0">
        <w:tab/>
        <w:t xml:space="preserve">Galileo og EGNOS </w:t>
      </w:r>
      <w:proofErr w:type="spellStart"/>
      <w:r w:rsidRPr="00467DB0">
        <w:t>åbne</w:t>
      </w:r>
      <w:proofErr w:type="spellEnd"/>
      <w:r w:rsidRPr="00467DB0">
        <w:t xml:space="preserve"> for deltagelse </w:t>
      </w:r>
      <w:proofErr w:type="spellStart"/>
      <w:r w:rsidRPr="00467DB0">
        <w:t>af</w:t>
      </w:r>
      <w:proofErr w:type="spellEnd"/>
      <w:r w:rsidRPr="00467DB0">
        <w:t xml:space="preserve"> de </w:t>
      </w:r>
      <w:proofErr w:type="spellStart"/>
      <w:r w:rsidRPr="00467DB0">
        <w:t>tredjelande</w:t>
      </w:r>
      <w:proofErr w:type="spellEnd"/>
      <w:r w:rsidRPr="00467DB0">
        <w:t xml:space="preserve">, </w:t>
      </w:r>
      <w:r w:rsidRPr="00467DB0">
        <w:t xml:space="preserve">der er omhandlet i stk. 1, andet </w:t>
      </w:r>
      <w:proofErr w:type="spellStart"/>
      <w:r w:rsidRPr="00467DB0">
        <w:t>afsnit</w:t>
      </w:r>
      <w:proofErr w:type="spellEnd"/>
      <w:r w:rsidRPr="00467DB0">
        <w:t xml:space="preserve">, litra a) og b), </w:t>
      </w:r>
    </w:p>
    <w:p w14:paraId="52F80477" w14:textId="77777777" w:rsidR="00000000" w:rsidRPr="00467DB0" w:rsidRDefault="00693D67" w:rsidP="00467DB0">
      <w:pPr>
        <w:pStyle w:val="friliste2"/>
      </w:pPr>
      <w:r w:rsidRPr="00467DB0">
        <w:t>b)</w:t>
      </w:r>
      <w:r w:rsidRPr="00467DB0">
        <w:tab/>
        <w:t xml:space="preserve">GOVSATCOM </w:t>
      </w:r>
      <w:proofErr w:type="spellStart"/>
      <w:r w:rsidRPr="00467DB0">
        <w:t>åben</w:t>
      </w:r>
      <w:proofErr w:type="spellEnd"/>
      <w:r w:rsidRPr="00467DB0">
        <w:t xml:space="preserve"> for deltagelse </w:t>
      </w:r>
      <w:proofErr w:type="spellStart"/>
      <w:r w:rsidRPr="00467DB0">
        <w:t>af</w:t>
      </w:r>
      <w:proofErr w:type="spellEnd"/>
      <w:r w:rsidRPr="00467DB0">
        <w:t xml:space="preserve"> medlemmer </w:t>
      </w:r>
      <w:proofErr w:type="spellStart"/>
      <w:r w:rsidRPr="00467DB0">
        <w:t>af</w:t>
      </w:r>
      <w:proofErr w:type="spellEnd"/>
      <w:r w:rsidRPr="00467DB0">
        <w:t xml:space="preserve"> EFTA, som er medlem </w:t>
      </w:r>
      <w:proofErr w:type="spellStart"/>
      <w:r w:rsidRPr="00467DB0">
        <w:t>af</w:t>
      </w:r>
      <w:proofErr w:type="spellEnd"/>
      <w:r w:rsidRPr="00467DB0">
        <w:t xml:space="preserve"> EØS, samt de </w:t>
      </w:r>
      <w:proofErr w:type="spellStart"/>
      <w:r w:rsidRPr="00467DB0">
        <w:t>tredjelande</w:t>
      </w:r>
      <w:proofErr w:type="spellEnd"/>
      <w:r w:rsidRPr="00467DB0">
        <w:t xml:space="preserve">, der er omhandlet i stk. 1, andet </w:t>
      </w:r>
      <w:proofErr w:type="spellStart"/>
      <w:r w:rsidRPr="00467DB0">
        <w:t>afsnit</w:t>
      </w:r>
      <w:proofErr w:type="spellEnd"/>
      <w:r w:rsidRPr="00467DB0">
        <w:t xml:space="preserve">, litra a) og b), og </w:t>
      </w:r>
    </w:p>
    <w:p w14:paraId="0FD037FA" w14:textId="77777777" w:rsidR="00000000" w:rsidRPr="00467DB0" w:rsidRDefault="00693D67" w:rsidP="00467DB0">
      <w:pPr>
        <w:pStyle w:val="friliste2"/>
      </w:pPr>
      <w:r w:rsidRPr="00467DB0">
        <w:t>c)</w:t>
      </w:r>
      <w:r w:rsidRPr="00467DB0">
        <w:tab/>
        <w:t>Galileo, EGNOS, Copernicus, GOVSATCO</w:t>
      </w:r>
      <w:r w:rsidRPr="00467DB0">
        <w:t>M, samt SWE- og NEO-</w:t>
      </w:r>
      <w:proofErr w:type="spellStart"/>
      <w:r w:rsidRPr="00467DB0">
        <w:t>delkomponenterne</w:t>
      </w:r>
      <w:proofErr w:type="spellEnd"/>
      <w:r w:rsidRPr="00467DB0">
        <w:t xml:space="preserve">, men ikke SST-delkomponenten, er </w:t>
      </w:r>
      <w:proofErr w:type="spellStart"/>
      <w:r w:rsidRPr="00467DB0">
        <w:t>åbne</w:t>
      </w:r>
      <w:proofErr w:type="spellEnd"/>
      <w:r w:rsidRPr="00467DB0">
        <w:t xml:space="preserve"> for deltagelse </w:t>
      </w:r>
      <w:proofErr w:type="spellStart"/>
      <w:r w:rsidRPr="00467DB0">
        <w:t>af</w:t>
      </w:r>
      <w:proofErr w:type="spellEnd"/>
      <w:r w:rsidRPr="00467DB0">
        <w:t xml:space="preserve"> andre </w:t>
      </w:r>
      <w:proofErr w:type="spellStart"/>
      <w:r w:rsidRPr="00467DB0">
        <w:t>tredjelande</w:t>
      </w:r>
      <w:proofErr w:type="spellEnd"/>
      <w:r w:rsidRPr="00467DB0">
        <w:t xml:space="preserve"> end dem, der er omfattet </w:t>
      </w:r>
      <w:proofErr w:type="spellStart"/>
      <w:r w:rsidRPr="00467DB0">
        <w:t>af</w:t>
      </w:r>
      <w:proofErr w:type="spellEnd"/>
      <w:r w:rsidRPr="00467DB0">
        <w:t xml:space="preserve"> stk. 1,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w:t>
      </w:r>
    </w:p>
    <w:p w14:paraId="42003721" w14:textId="77777777" w:rsidR="00000000" w:rsidRPr="00467DB0" w:rsidRDefault="00693D67" w:rsidP="00467DB0">
      <w:pPr>
        <w:pStyle w:val="Listeavsnitt2"/>
      </w:pPr>
      <w:r w:rsidRPr="00467DB0">
        <w:t xml:space="preserve">Den konkrete </w:t>
      </w:r>
      <w:proofErr w:type="spellStart"/>
      <w:r w:rsidRPr="00467DB0">
        <w:t>aftale</w:t>
      </w:r>
      <w:proofErr w:type="spellEnd"/>
      <w:r w:rsidRPr="00467DB0">
        <w:t xml:space="preserve">, der er omhandlet i dette stykkes første </w:t>
      </w:r>
      <w:proofErr w:type="spellStart"/>
      <w:r w:rsidRPr="00467DB0">
        <w:t>afsnit</w:t>
      </w:r>
      <w:proofErr w:type="spellEnd"/>
      <w:r w:rsidRPr="00467DB0">
        <w:t>:</w:t>
      </w:r>
    </w:p>
    <w:p w14:paraId="1D4FC781" w14:textId="77777777" w:rsidR="00000000" w:rsidRPr="00467DB0" w:rsidRDefault="00693D67" w:rsidP="00467DB0">
      <w:pPr>
        <w:pStyle w:val="friliste3"/>
      </w:pPr>
      <w:r w:rsidRPr="00467DB0">
        <w:t>a)</w:t>
      </w:r>
      <w:r w:rsidRPr="00467DB0">
        <w:tab/>
        <w:t xml:space="preserve">skal sikre en rimelig </w:t>
      </w:r>
      <w:proofErr w:type="spellStart"/>
      <w:r w:rsidRPr="00467DB0">
        <w:t>balance</w:t>
      </w:r>
      <w:proofErr w:type="spellEnd"/>
      <w:r w:rsidRPr="00467DB0">
        <w:t xml:space="preserve"> for så vidt angår bidrag fra og fordele for det tredjeland eller den </w:t>
      </w:r>
      <w:proofErr w:type="spellStart"/>
      <w:r w:rsidRPr="00467DB0">
        <w:t>internationale</w:t>
      </w:r>
      <w:proofErr w:type="spellEnd"/>
      <w:r w:rsidRPr="00467DB0">
        <w:t xml:space="preserve"> </w:t>
      </w:r>
      <w:proofErr w:type="spellStart"/>
      <w:r w:rsidRPr="00467DB0">
        <w:t>organisation</w:t>
      </w:r>
      <w:proofErr w:type="spellEnd"/>
      <w:r w:rsidRPr="00467DB0">
        <w:t>, som deltager i EU-</w:t>
      </w:r>
      <w:proofErr w:type="spellStart"/>
      <w:r w:rsidRPr="00467DB0">
        <w:t>programmerne</w:t>
      </w:r>
      <w:proofErr w:type="spellEnd"/>
    </w:p>
    <w:p w14:paraId="18A56387" w14:textId="77777777" w:rsidR="00000000" w:rsidRPr="00467DB0" w:rsidRDefault="00693D67" w:rsidP="00467DB0">
      <w:pPr>
        <w:pStyle w:val="friliste3"/>
      </w:pPr>
      <w:r w:rsidRPr="00467DB0">
        <w:t>b)</w:t>
      </w:r>
      <w:r w:rsidRPr="00467DB0">
        <w:tab/>
        <w:t xml:space="preserve">skal </w:t>
      </w:r>
      <w:proofErr w:type="spellStart"/>
      <w:r w:rsidRPr="00467DB0">
        <w:t>fastsætte</w:t>
      </w:r>
      <w:proofErr w:type="spellEnd"/>
      <w:r w:rsidRPr="00467DB0">
        <w:t xml:space="preserve"> </w:t>
      </w:r>
      <w:proofErr w:type="spellStart"/>
      <w:r w:rsidRPr="00467DB0">
        <w:t>betinge</w:t>
      </w:r>
      <w:r w:rsidRPr="00467DB0">
        <w:t>lserne</w:t>
      </w:r>
      <w:proofErr w:type="spellEnd"/>
      <w:r w:rsidRPr="00467DB0">
        <w:t xml:space="preserve"> for deltagelse i </w:t>
      </w:r>
      <w:proofErr w:type="spellStart"/>
      <w:r w:rsidRPr="00467DB0">
        <w:t>programmerne</w:t>
      </w:r>
      <w:proofErr w:type="spellEnd"/>
      <w:r w:rsidRPr="00467DB0">
        <w:t xml:space="preserve">, herunder beregningen </w:t>
      </w:r>
      <w:proofErr w:type="spellStart"/>
      <w:r w:rsidRPr="00467DB0">
        <w:t>af</w:t>
      </w:r>
      <w:proofErr w:type="spellEnd"/>
      <w:r w:rsidRPr="00467DB0">
        <w:t xml:space="preserve"> finansielle bidrag til de enkelte programmer og deres </w:t>
      </w:r>
      <w:proofErr w:type="spellStart"/>
      <w:r w:rsidRPr="00467DB0">
        <w:t>administrationsomkostninger</w:t>
      </w:r>
      <w:proofErr w:type="spellEnd"/>
      <w:r w:rsidRPr="00467DB0">
        <w:t xml:space="preserve">. </w:t>
      </w:r>
    </w:p>
    <w:p w14:paraId="1BE7E658" w14:textId="77777777" w:rsidR="00000000" w:rsidRPr="00467DB0" w:rsidRDefault="00693D67" w:rsidP="00467DB0">
      <w:pPr>
        <w:pStyle w:val="friliste3"/>
      </w:pPr>
      <w:r w:rsidRPr="00467DB0">
        <w:t>c)</w:t>
      </w:r>
      <w:r w:rsidRPr="00467DB0">
        <w:tab/>
        <w:t xml:space="preserve">må ikke </w:t>
      </w:r>
      <w:proofErr w:type="spellStart"/>
      <w:r w:rsidRPr="00467DB0">
        <w:t>indrømme</w:t>
      </w:r>
      <w:proofErr w:type="spellEnd"/>
      <w:r w:rsidRPr="00467DB0">
        <w:t xml:space="preserve"> et tredjeland eller en </w:t>
      </w:r>
      <w:proofErr w:type="spellStart"/>
      <w:r w:rsidRPr="00467DB0">
        <w:t>international</w:t>
      </w:r>
      <w:proofErr w:type="spellEnd"/>
      <w:r w:rsidRPr="00467DB0">
        <w:t xml:space="preserve"> </w:t>
      </w:r>
      <w:proofErr w:type="spellStart"/>
      <w:r w:rsidRPr="00467DB0">
        <w:t>organisation</w:t>
      </w:r>
      <w:proofErr w:type="spellEnd"/>
      <w:r w:rsidRPr="00467DB0">
        <w:t xml:space="preserve"> </w:t>
      </w:r>
      <w:proofErr w:type="spellStart"/>
      <w:r w:rsidRPr="00467DB0">
        <w:t>beslutningskompetence</w:t>
      </w:r>
      <w:proofErr w:type="spellEnd"/>
      <w:r w:rsidRPr="00467DB0">
        <w:t xml:space="preserve"> med hensyn til EU-</w:t>
      </w:r>
      <w:r w:rsidRPr="00467DB0">
        <w:t>programmet</w:t>
      </w:r>
    </w:p>
    <w:p w14:paraId="2A7C8F91" w14:textId="77777777" w:rsidR="00000000" w:rsidRPr="00467DB0" w:rsidRDefault="00693D67" w:rsidP="00467DB0">
      <w:pPr>
        <w:pStyle w:val="friliste3"/>
      </w:pPr>
      <w:r w:rsidRPr="00467DB0">
        <w:t>d)</w:t>
      </w:r>
      <w:r w:rsidRPr="00467DB0">
        <w:tab/>
        <w:t xml:space="preserve">skal garantere Unionens </w:t>
      </w:r>
      <w:proofErr w:type="spellStart"/>
      <w:r w:rsidRPr="00467DB0">
        <w:t>ret</w:t>
      </w:r>
      <w:proofErr w:type="spellEnd"/>
      <w:r w:rsidRPr="00467DB0">
        <w:t xml:space="preserve"> til at sikre en forsvarlig økonomisk forvaltning og beskytte sine finansielle interesser.</w:t>
      </w:r>
    </w:p>
    <w:p w14:paraId="079C801A" w14:textId="77777777" w:rsidR="00000000" w:rsidRPr="00467DB0" w:rsidRDefault="00693D67" w:rsidP="00467DB0">
      <w:pPr>
        <w:pStyle w:val="Listeavsnitt"/>
      </w:pPr>
      <w:r w:rsidRPr="00467DB0">
        <w:t xml:space="preserve">De bidrag, der er omhandlet i dette stykkes andet </w:t>
      </w:r>
      <w:proofErr w:type="spellStart"/>
      <w:r w:rsidRPr="00467DB0">
        <w:t>afsnit</w:t>
      </w:r>
      <w:proofErr w:type="spellEnd"/>
      <w:r w:rsidRPr="00467DB0">
        <w:t xml:space="preserve">, litra b), </w:t>
      </w:r>
      <w:proofErr w:type="spellStart"/>
      <w:r w:rsidRPr="00467DB0">
        <w:t>udgør</w:t>
      </w:r>
      <w:proofErr w:type="spellEnd"/>
      <w:r w:rsidRPr="00467DB0">
        <w:t xml:space="preserve"> formålsbestemte </w:t>
      </w:r>
      <w:proofErr w:type="spellStart"/>
      <w:r w:rsidRPr="00467DB0">
        <w:t>indtægter</w:t>
      </w:r>
      <w:proofErr w:type="spellEnd"/>
      <w:r w:rsidRPr="00467DB0">
        <w:t xml:space="preserve"> i overensstemmelse med</w:t>
      </w:r>
      <w:r w:rsidRPr="00467DB0">
        <w:t xml:space="preserve"> finansforordningens </w:t>
      </w:r>
      <w:proofErr w:type="spellStart"/>
      <w:r w:rsidRPr="00467DB0">
        <w:t>artikel</w:t>
      </w:r>
      <w:proofErr w:type="spellEnd"/>
      <w:r w:rsidRPr="00467DB0">
        <w:t xml:space="preserve"> 21, stk. 5.</w:t>
      </w:r>
    </w:p>
    <w:p w14:paraId="19EB116E" w14:textId="77777777" w:rsidR="00000000" w:rsidRPr="00467DB0" w:rsidRDefault="00693D67" w:rsidP="00467DB0">
      <w:pPr>
        <w:pStyle w:val="friliste"/>
      </w:pPr>
      <w:r w:rsidRPr="00467DB0">
        <w:t>3.</w:t>
      </w:r>
      <w:r w:rsidRPr="00467DB0">
        <w:tab/>
        <w:t xml:space="preserve">Deltagelse i programmets komponenter eller delkomponenter, </w:t>
      </w:r>
      <w:proofErr w:type="spellStart"/>
      <w:r w:rsidRPr="00467DB0">
        <w:t>bortset</w:t>
      </w:r>
      <w:proofErr w:type="spellEnd"/>
      <w:r w:rsidRPr="00467DB0">
        <w:t xml:space="preserve"> fra SST-delkomponenten, er kun </w:t>
      </w:r>
      <w:proofErr w:type="spellStart"/>
      <w:r w:rsidRPr="00467DB0">
        <w:t>åben</w:t>
      </w:r>
      <w:proofErr w:type="spellEnd"/>
      <w:r w:rsidRPr="00467DB0">
        <w:t xml:space="preserve"> for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i henhold til denne </w:t>
      </w:r>
      <w:proofErr w:type="spellStart"/>
      <w:r w:rsidRPr="00467DB0">
        <w:t>artikel</w:t>
      </w:r>
      <w:proofErr w:type="spellEnd"/>
      <w:r w:rsidRPr="00467DB0">
        <w:t xml:space="preserve">, </w:t>
      </w:r>
      <w:proofErr w:type="gramStart"/>
      <w:r w:rsidRPr="00467DB0">
        <w:t>såfremt</w:t>
      </w:r>
      <w:proofErr w:type="gramEnd"/>
      <w:r w:rsidRPr="00467DB0">
        <w:t xml:space="preserve"> de </w:t>
      </w:r>
      <w:proofErr w:type="spellStart"/>
      <w:r w:rsidRPr="00467DB0">
        <w:t>væsentlige</w:t>
      </w:r>
      <w:proofErr w:type="spellEnd"/>
      <w:r w:rsidRPr="00467DB0">
        <w:t xml:space="preserve"> </w:t>
      </w:r>
      <w:proofErr w:type="spellStart"/>
      <w:r w:rsidRPr="00467DB0">
        <w:t>sikkerhed</w:t>
      </w:r>
      <w:r w:rsidRPr="00467DB0">
        <w:t>sinteresser</w:t>
      </w:r>
      <w:proofErr w:type="spellEnd"/>
      <w:r w:rsidRPr="00467DB0">
        <w:t xml:space="preserve"> for Unionen og dens medlemsstater beskyttes, herunder for så vidt angår beskyttelsen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i henhold til </w:t>
      </w:r>
      <w:proofErr w:type="spellStart"/>
      <w:r w:rsidRPr="00467DB0">
        <w:t>artikel</w:t>
      </w:r>
      <w:proofErr w:type="spellEnd"/>
      <w:r w:rsidRPr="00467DB0">
        <w:t xml:space="preserve"> 43.</w:t>
      </w:r>
    </w:p>
    <w:p w14:paraId="6A087456" w14:textId="77777777" w:rsidR="00000000" w:rsidRPr="00467DB0" w:rsidRDefault="00693D67" w:rsidP="00467DB0">
      <w:pPr>
        <w:pStyle w:val="avsnitt-undertittel"/>
      </w:pPr>
      <w:proofErr w:type="spellStart"/>
      <w:r w:rsidRPr="00467DB0">
        <w:t>Artikel</w:t>
      </w:r>
      <w:proofErr w:type="spellEnd"/>
      <w:r w:rsidRPr="00467DB0">
        <w:t> 8</w:t>
      </w:r>
    </w:p>
    <w:p w14:paraId="6163FD1A" w14:textId="77777777" w:rsidR="00000000" w:rsidRPr="00467DB0" w:rsidRDefault="00693D67" w:rsidP="00467DB0">
      <w:pPr>
        <w:pStyle w:val="Undertittel"/>
      </w:pPr>
      <w:proofErr w:type="spellStart"/>
      <w:r w:rsidRPr="00467DB0">
        <w:t>Tredjelandes</w:t>
      </w:r>
      <w:proofErr w:type="spellEnd"/>
      <w:r w:rsidRPr="00467DB0">
        <w:t xml:space="preserve"> og </w:t>
      </w:r>
      <w:proofErr w:type="spellStart"/>
      <w:r w:rsidRPr="00467DB0">
        <w:t>internationale</w:t>
      </w:r>
      <w:proofErr w:type="spellEnd"/>
      <w:r w:rsidRPr="00467DB0">
        <w:t xml:space="preserve"> </w:t>
      </w:r>
      <w:proofErr w:type="spellStart"/>
      <w:r w:rsidRPr="00467DB0">
        <w:t>organisationers</w:t>
      </w:r>
      <w:proofErr w:type="spellEnd"/>
      <w:r w:rsidRPr="00467DB0">
        <w:t xml:space="preserve"> adgang til SST-tjenester, GOVSATCOM-tjeneste</w:t>
      </w:r>
      <w:r w:rsidRPr="00467DB0">
        <w:t xml:space="preserve">r og Galileos </w:t>
      </w:r>
      <w:proofErr w:type="spellStart"/>
      <w:r w:rsidRPr="00467DB0">
        <w:t>statsregulerede</w:t>
      </w:r>
      <w:proofErr w:type="spellEnd"/>
      <w:r w:rsidRPr="00467DB0">
        <w:t xml:space="preserve"> tjeneste</w:t>
      </w:r>
    </w:p>
    <w:p w14:paraId="53F1C3EF" w14:textId="77777777" w:rsidR="00000000" w:rsidRPr="00467DB0" w:rsidRDefault="00693D67" w:rsidP="00467DB0">
      <w:pPr>
        <w:pStyle w:val="friliste"/>
      </w:pPr>
      <w:r w:rsidRPr="00467DB0">
        <w:t>1.</w:t>
      </w:r>
      <w:r w:rsidRPr="00467DB0">
        <w:tab/>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kan få adgang til GOVSATCOM-tjenester, </w:t>
      </w:r>
      <w:proofErr w:type="gramStart"/>
      <w:r w:rsidRPr="00467DB0">
        <w:t>såfremt</w:t>
      </w:r>
      <w:proofErr w:type="gramEnd"/>
      <w:r w:rsidRPr="00467DB0">
        <w:t xml:space="preserve">: </w:t>
      </w:r>
    </w:p>
    <w:p w14:paraId="7CF67A77" w14:textId="77777777" w:rsidR="00000000" w:rsidRPr="00467DB0" w:rsidRDefault="00693D67" w:rsidP="00467DB0">
      <w:pPr>
        <w:pStyle w:val="friliste2"/>
      </w:pPr>
      <w:r w:rsidRPr="00467DB0">
        <w:t>a)</w:t>
      </w:r>
      <w:r w:rsidRPr="00467DB0">
        <w:tab/>
        <w:t xml:space="preserve">de i overensstemmelse med </w:t>
      </w:r>
      <w:proofErr w:type="spellStart"/>
      <w:r w:rsidRPr="00467DB0">
        <w:t>artikel</w:t>
      </w:r>
      <w:proofErr w:type="spellEnd"/>
      <w:r w:rsidRPr="00467DB0">
        <w:t xml:space="preserve"> 218 i TEUF </w:t>
      </w:r>
      <w:proofErr w:type="spellStart"/>
      <w:r w:rsidRPr="00467DB0">
        <w:t>indgår</w:t>
      </w:r>
      <w:proofErr w:type="spellEnd"/>
      <w:r w:rsidRPr="00467DB0">
        <w:t xml:space="preserve"> en </w:t>
      </w:r>
      <w:proofErr w:type="spellStart"/>
      <w:r w:rsidRPr="00467DB0">
        <w:t>aftale</w:t>
      </w:r>
      <w:proofErr w:type="spellEnd"/>
      <w:r w:rsidRPr="00467DB0">
        <w:t xml:space="preserve">, der </w:t>
      </w:r>
      <w:proofErr w:type="spellStart"/>
      <w:r w:rsidRPr="00467DB0">
        <w:t>fastsætter</w:t>
      </w:r>
      <w:proofErr w:type="spellEnd"/>
      <w:r w:rsidRPr="00467DB0">
        <w:t xml:space="preserve"> vilkår og betingelser for adgangen til </w:t>
      </w:r>
      <w:r w:rsidRPr="00467DB0">
        <w:t xml:space="preserve">GOVSATCOM-tjenester, og </w:t>
      </w:r>
    </w:p>
    <w:p w14:paraId="16C534D9" w14:textId="77777777" w:rsidR="00000000" w:rsidRPr="00467DB0" w:rsidRDefault="00693D67" w:rsidP="00467DB0">
      <w:pPr>
        <w:pStyle w:val="friliste2"/>
      </w:pPr>
      <w:r w:rsidRPr="00467DB0">
        <w:t>b)</w:t>
      </w:r>
      <w:r w:rsidRPr="00467DB0">
        <w:tab/>
        <w:t xml:space="preserve">de overholder denne forordnings </w:t>
      </w:r>
      <w:proofErr w:type="spellStart"/>
      <w:r w:rsidRPr="00467DB0">
        <w:t>artikel</w:t>
      </w:r>
      <w:proofErr w:type="spellEnd"/>
      <w:r w:rsidRPr="00467DB0">
        <w:t xml:space="preserve"> 43.</w:t>
      </w:r>
    </w:p>
    <w:p w14:paraId="26892800" w14:textId="77777777" w:rsidR="00000000" w:rsidRPr="00467DB0" w:rsidRDefault="00693D67" w:rsidP="00467DB0">
      <w:pPr>
        <w:pStyle w:val="friliste"/>
      </w:pPr>
      <w:r w:rsidRPr="00467DB0">
        <w:t>2.</w:t>
      </w:r>
      <w:r w:rsidRPr="00467DB0">
        <w:tab/>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der ikke har deres hjemsted i Unionen, kan få adgang til de i </w:t>
      </w:r>
      <w:proofErr w:type="spellStart"/>
      <w:r w:rsidRPr="00467DB0">
        <w:t>artikel</w:t>
      </w:r>
      <w:proofErr w:type="spellEnd"/>
      <w:r w:rsidRPr="00467DB0">
        <w:t xml:space="preserve"> 55, stk. 1, litra d), omhandlede SST-tjenester, </w:t>
      </w:r>
      <w:proofErr w:type="gramStart"/>
      <w:r w:rsidRPr="00467DB0">
        <w:t>såfremt</w:t>
      </w:r>
      <w:proofErr w:type="gramEnd"/>
      <w:r w:rsidRPr="00467DB0">
        <w:t>:</w:t>
      </w:r>
    </w:p>
    <w:p w14:paraId="76D04031" w14:textId="77777777" w:rsidR="00000000" w:rsidRPr="00467DB0" w:rsidRDefault="00693D67" w:rsidP="00467DB0">
      <w:pPr>
        <w:pStyle w:val="friliste2"/>
      </w:pPr>
      <w:r w:rsidRPr="00467DB0">
        <w:t>a)</w:t>
      </w:r>
      <w:r w:rsidRPr="00467DB0">
        <w:tab/>
        <w:t xml:space="preserve">de i </w:t>
      </w:r>
      <w:r w:rsidRPr="00467DB0">
        <w:t xml:space="preserve">overensstemmelse med </w:t>
      </w:r>
      <w:proofErr w:type="spellStart"/>
      <w:r w:rsidRPr="00467DB0">
        <w:t>artikel</w:t>
      </w:r>
      <w:proofErr w:type="spellEnd"/>
      <w:r w:rsidRPr="00467DB0">
        <w:t xml:space="preserve"> 218 i TEUF </w:t>
      </w:r>
      <w:proofErr w:type="spellStart"/>
      <w:r w:rsidRPr="00467DB0">
        <w:t>indgår</w:t>
      </w:r>
      <w:proofErr w:type="spellEnd"/>
      <w:r w:rsidRPr="00467DB0">
        <w:t xml:space="preserve"> en </w:t>
      </w:r>
      <w:proofErr w:type="spellStart"/>
      <w:r w:rsidRPr="00467DB0">
        <w:t>aftale</w:t>
      </w:r>
      <w:proofErr w:type="spellEnd"/>
      <w:r w:rsidRPr="00467DB0">
        <w:t xml:space="preserve">, der </w:t>
      </w:r>
      <w:proofErr w:type="spellStart"/>
      <w:r w:rsidRPr="00467DB0">
        <w:t>fastsætter</w:t>
      </w:r>
      <w:proofErr w:type="spellEnd"/>
      <w:r w:rsidRPr="00467DB0">
        <w:t xml:space="preserve"> vilkår og betingelser for adgangen til sådanne tjenester, og </w:t>
      </w:r>
    </w:p>
    <w:p w14:paraId="2E3BA0D9" w14:textId="77777777" w:rsidR="00000000" w:rsidRPr="00467DB0" w:rsidRDefault="00693D67" w:rsidP="00467DB0">
      <w:pPr>
        <w:pStyle w:val="friliste2"/>
      </w:pPr>
      <w:r w:rsidRPr="00467DB0">
        <w:t>b)</w:t>
      </w:r>
      <w:r w:rsidRPr="00467DB0">
        <w:tab/>
        <w:t xml:space="preserve">de overholder denne forordnings </w:t>
      </w:r>
      <w:proofErr w:type="spellStart"/>
      <w:r w:rsidRPr="00467DB0">
        <w:t>artikel</w:t>
      </w:r>
      <w:proofErr w:type="spellEnd"/>
      <w:r w:rsidRPr="00467DB0">
        <w:t xml:space="preserve"> 43.</w:t>
      </w:r>
    </w:p>
    <w:p w14:paraId="409660DA" w14:textId="77777777" w:rsidR="00000000" w:rsidRPr="00467DB0" w:rsidRDefault="00693D67" w:rsidP="00467DB0">
      <w:pPr>
        <w:pStyle w:val="friliste"/>
      </w:pPr>
      <w:r w:rsidRPr="00467DB0">
        <w:lastRenderedPageBreak/>
        <w:t>3.</w:t>
      </w:r>
      <w:r w:rsidRPr="00467DB0">
        <w:tab/>
        <w:t xml:space="preserve">Der </w:t>
      </w:r>
      <w:proofErr w:type="spellStart"/>
      <w:r w:rsidRPr="00467DB0">
        <w:t>kræves</w:t>
      </w:r>
      <w:proofErr w:type="spellEnd"/>
      <w:r w:rsidRPr="00467DB0">
        <w:t xml:space="preserve"> ikke en </w:t>
      </w:r>
      <w:proofErr w:type="spellStart"/>
      <w:r w:rsidRPr="00467DB0">
        <w:t>aftale</w:t>
      </w:r>
      <w:proofErr w:type="spellEnd"/>
      <w:r w:rsidRPr="00467DB0">
        <w:t xml:space="preserve"> </w:t>
      </w:r>
      <w:proofErr w:type="spellStart"/>
      <w:r w:rsidRPr="00467DB0">
        <w:t>indgået</w:t>
      </w:r>
      <w:proofErr w:type="spellEnd"/>
      <w:r w:rsidRPr="00467DB0">
        <w:t xml:space="preserve"> i overensstemmelse med </w:t>
      </w:r>
      <w:proofErr w:type="spellStart"/>
      <w:r w:rsidRPr="00467DB0">
        <w:t>artikel</w:t>
      </w:r>
      <w:proofErr w:type="spellEnd"/>
      <w:r w:rsidRPr="00467DB0">
        <w:t xml:space="preserve"> 218 i </w:t>
      </w:r>
      <w:r w:rsidRPr="00467DB0">
        <w:t xml:space="preserve">TEUF for adgang til SST-tjenester, som er </w:t>
      </w:r>
      <w:proofErr w:type="spellStart"/>
      <w:r w:rsidRPr="00467DB0">
        <w:t>offentligt</w:t>
      </w:r>
      <w:proofErr w:type="spellEnd"/>
      <w:r w:rsidRPr="00467DB0">
        <w:t xml:space="preserve"> </w:t>
      </w:r>
      <w:proofErr w:type="spellStart"/>
      <w:r w:rsidRPr="00467DB0">
        <w:t>tilgængelige</w:t>
      </w:r>
      <w:proofErr w:type="spellEnd"/>
      <w:r w:rsidRPr="00467DB0">
        <w:t xml:space="preserve">, jf. </w:t>
      </w:r>
      <w:proofErr w:type="spellStart"/>
      <w:r w:rsidRPr="00467DB0">
        <w:t>artikel</w:t>
      </w:r>
      <w:proofErr w:type="spellEnd"/>
      <w:r w:rsidRPr="00467DB0">
        <w:t xml:space="preserve"> 55, stk. 1, litra a), b) og c). Adgang til disse tjenester </w:t>
      </w:r>
      <w:proofErr w:type="spellStart"/>
      <w:r w:rsidRPr="00467DB0">
        <w:t>gives</w:t>
      </w:r>
      <w:proofErr w:type="spellEnd"/>
      <w:r w:rsidRPr="00467DB0">
        <w:t xml:space="preserve"> på baggrund </w:t>
      </w:r>
      <w:proofErr w:type="spellStart"/>
      <w:r w:rsidRPr="00467DB0">
        <w:t>af</w:t>
      </w:r>
      <w:proofErr w:type="spellEnd"/>
      <w:r w:rsidRPr="00467DB0">
        <w:t xml:space="preserve"> en anmodning fra de </w:t>
      </w:r>
      <w:proofErr w:type="spellStart"/>
      <w:r w:rsidRPr="00467DB0">
        <w:t>potentielle</w:t>
      </w:r>
      <w:proofErr w:type="spellEnd"/>
      <w:r w:rsidRPr="00467DB0">
        <w:t xml:space="preserve"> </w:t>
      </w:r>
      <w:proofErr w:type="spellStart"/>
      <w:r w:rsidRPr="00467DB0">
        <w:t>brugere</w:t>
      </w:r>
      <w:proofErr w:type="spellEnd"/>
      <w:r w:rsidRPr="00467DB0">
        <w:t xml:space="preserve"> i overensstemmelse med </w:t>
      </w:r>
      <w:proofErr w:type="spellStart"/>
      <w:r w:rsidRPr="00467DB0">
        <w:t>artikel</w:t>
      </w:r>
      <w:proofErr w:type="spellEnd"/>
      <w:r w:rsidRPr="00467DB0">
        <w:t xml:space="preserve"> 55.</w:t>
      </w:r>
    </w:p>
    <w:p w14:paraId="640E51A0" w14:textId="77777777" w:rsidR="00000000" w:rsidRPr="00467DB0" w:rsidRDefault="00693D67" w:rsidP="00467DB0">
      <w:pPr>
        <w:pStyle w:val="friliste"/>
      </w:pPr>
      <w:r w:rsidRPr="00467DB0">
        <w:t>4.</w:t>
      </w:r>
      <w:r w:rsidRPr="00467DB0">
        <w:tab/>
      </w:r>
      <w:r w:rsidRPr="00467DB0">
        <w:t xml:space="preserve">Adgangen for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til den </w:t>
      </w:r>
      <w:proofErr w:type="spellStart"/>
      <w:r w:rsidRPr="00467DB0">
        <w:t>statsregulerede</w:t>
      </w:r>
      <w:proofErr w:type="spellEnd"/>
      <w:r w:rsidRPr="00467DB0">
        <w:t xml:space="preserve"> tjeneste (PRS), der leveres </w:t>
      </w:r>
      <w:proofErr w:type="spellStart"/>
      <w:r w:rsidRPr="00467DB0">
        <w:t>af</w:t>
      </w:r>
      <w:proofErr w:type="spellEnd"/>
      <w:r w:rsidRPr="00467DB0">
        <w:t xml:space="preserve"> Galileo, reguleres </w:t>
      </w:r>
      <w:proofErr w:type="spellStart"/>
      <w:r w:rsidRPr="00467DB0">
        <w:t>af</w:t>
      </w:r>
      <w:proofErr w:type="spellEnd"/>
      <w:r w:rsidRPr="00467DB0">
        <w:t xml:space="preserve"> </w:t>
      </w:r>
      <w:proofErr w:type="spellStart"/>
      <w:r w:rsidRPr="00467DB0">
        <w:t>artikel</w:t>
      </w:r>
      <w:proofErr w:type="spellEnd"/>
      <w:r w:rsidRPr="00467DB0">
        <w:t xml:space="preserve"> 3, stk. 5, i Europa-Parlamentets og Rådets </w:t>
      </w:r>
      <w:proofErr w:type="spellStart"/>
      <w:r w:rsidRPr="00467DB0">
        <w:t>afgørelse</w:t>
      </w:r>
      <w:proofErr w:type="spellEnd"/>
      <w:r w:rsidRPr="00467DB0">
        <w:t xml:space="preserve"> nr. 1104/2011/EU</w:t>
      </w:r>
      <w:r w:rsidRPr="00467DB0">
        <w:rPr>
          <w:rStyle w:val="Fotnotereferanse"/>
        </w:rPr>
        <w:footnoteReference w:id="43"/>
      </w:r>
      <w:r w:rsidRPr="00467DB0">
        <w:t>.</w:t>
      </w:r>
    </w:p>
    <w:p w14:paraId="145E5D71" w14:textId="77777777" w:rsidR="00000000" w:rsidRPr="00467DB0" w:rsidRDefault="00693D67" w:rsidP="00467DB0">
      <w:pPr>
        <w:pStyle w:val="avsnitt-undertittel"/>
      </w:pPr>
      <w:proofErr w:type="spellStart"/>
      <w:r w:rsidRPr="00467DB0">
        <w:t>Artikel</w:t>
      </w:r>
      <w:proofErr w:type="spellEnd"/>
      <w:r w:rsidRPr="00467DB0">
        <w:t> 9</w:t>
      </w:r>
    </w:p>
    <w:p w14:paraId="03336443" w14:textId="77777777" w:rsidR="00000000" w:rsidRPr="00467DB0" w:rsidRDefault="00693D67" w:rsidP="00467DB0">
      <w:pPr>
        <w:pStyle w:val="Undertittel"/>
      </w:pPr>
      <w:proofErr w:type="spellStart"/>
      <w:r w:rsidRPr="00467DB0">
        <w:t>Ejerskab</w:t>
      </w:r>
      <w:proofErr w:type="spellEnd"/>
      <w:r w:rsidRPr="00467DB0">
        <w:t xml:space="preserve"> til og </w:t>
      </w:r>
      <w:proofErr w:type="spellStart"/>
      <w:r w:rsidRPr="00467DB0">
        <w:t>brug</w:t>
      </w:r>
      <w:proofErr w:type="spellEnd"/>
      <w:r w:rsidRPr="00467DB0">
        <w:t xml:space="preserve"> </w:t>
      </w:r>
      <w:proofErr w:type="spellStart"/>
      <w:r w:rsidRPr="00467DB0">
        <w:t>a</w:t>
      </w:r>
      <w:r w:rsidRPr="00467DB0">
        <w:t>f</w:t>
      </w:r>
      <w:proofErr w:type="spellEnd"/>
      <w:r w:rsidRPr="00467DB0">
        <w:t xml:space="preserve"> aktiver</w:t>
      </w:r>
    </w:p>
    <w:p w14:paraId="659A1842" w14:textId="77777777" w:rsidR="00000000" w:rsidRPr="00467DB0" w:rsidRDefault="00693D67" w:rsidP="00467DB0">
      <w:pPr>
        <w:pStyle w:val="friliste"/>
      </w:pPr>
      <w:r w:rsidRPr="00467DB0">
        <w:t>1.</w:t>
      </w:r>
      <w:r w:rsidRPr="00467DB0">
        <w:tab/>
        <w:t xml:space="preserve">Unionen er </w:t>
      </w:r>
      <w:proofErr w:type="spellStart"/>
      <w:r w:rsidRPr="00467DB0">
        <w:t>ejer</w:t>
      </w:r>
      <w:proofErr w:type="spellEnd"/>
      <w:r w:rsidRPr="00467DB0">
        <w:t xml:space="preserve"> </w:t>
      </w:r>
      <w:proofErr w:type="spellStart"/>
      <w:r w:rsidRPr="00467DB0">
        <w:t>af</w:t>
      </w:r>
      <w:proofErr w:type="spellEnd"/>
      <w:r w:rsidRPr="00467DB0">
        <w:t xml:space="preserve"> alle materielle og immaterielle aktiver, som </w:t>
      </w:r>
      <w:proofErr w:type="spellStart"/>
      <w:r w:rsidRPr="00467DB0">
        <w:t>skabes</w:t>
      </w:r>
      <w:proofErr w:type="spellEnd"/>
      <w:r w:rsidRPr="00467DB0">
        <w:t xml:space="preserve"> eller </w:t>
      </w:r>
      <w:proofErr w:type="spellStart"/>
      <w:r w:rsidRPr="00467DB0">
        <w:t>udvikles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programmets komponenter, jf. dog stk. 2. I den forbindelse sikrer </w:t>
      </w:r>
      <w:proofErr w:type="spellStart"/>
      <w:r w:rsidRPr="00467DB0">
        <w:t>Kommissionen</w:t>
      </w:r>
      <w:proofErr w:type="spellEnd"/>
      <w:r w:rsidRPr="00467DB0">
        <w:t xml:space="preserve">, at de relevante kontrakter, </w:t>
      </w:r>
      <w:proofErr w:type="spellStart"/>
      <w:r w:rsidRPr="00467DB0">
        <w:t>aftaler</w:t>
      </w:r>
      <w:proofErr w:type="spellEnd"/>
      <w:r w:rsidRPr="00467DB0">
        <w:t xml:space="preserve"> og øvrige ordninger</w:t>
      </w:r>
      <w:r w:rsidRPr="00467DB0">
        <w:t xml:space="preserve"> i forbindelse med </w:t>
      </w:r>
      <w:proofErr w:type="spellStart"/>
      <w:r w:rsidRPr="00467DB0">
        <w:t>aktiviteterne</w:t>
      </w:r>
      <w:proofErr w:type="spellEnd"/>
      <w:r w:rsidRPr="00467DB0">
        <w:t xml:space="preserve">, som kan medføre, at der </w:t>
      </w:r>
      <w:proofErr w:type="spellStart"/>
      <w:r w:rsidRPr="00467DB0">
        <w:t>skabes</w:t>
      </w:r>
      <w:proofErr w:type="spellEnd"/>
      <w:r w:rsidRPr="00467DB0">
        <w:t xml:space="preserve"> eller </w:t>
      </w:r>
      <w:proofErr w:type="spellStart"/>
      <w:r w:rsidRPr="00467DB0">
        <w:t>udvikles</w:t>
      </w:r>
      <w:proofErr w:type="spellEnd"/>
      <w:r w:rsidRPr="00467DB0">
        <w:t xml:space="preserve"> sådanne aktiver, </w:t>
      </w:r>
      <w:proofErr w:type="spellStart"/>
      <w:r w:rsidRPr="00467DB0">
        <w:t>indeholder</w:t>
      </w:r>
      <w:proofErr w:type="spellEnd"/>
      <w:r w:rsidRPr="00467DB0">
        <w:t xml:space="preserve"> bestemmelser, der garanterer Unionens </w:t>
      </w:r>
      <w:proofErr w:type="spellStart"/>
      <w:r w:rsidRPr="00467DB0">
        <w:t>ejerskab</w:t>
      </w:r>
      <w:proofErr w:type="spellEnd"/>
      <w:r w:rsidRPr="00467DB0">
        <w:t xml:space="preserve"> til disse aktiver.</w:t>
      </w:r>
    </w:p>
    <w:p w14:paraId="63A1857A" w14:textId="77777777" w:rsidR="00000000" w:rsidRPr="00467DB0" w:rsidRDefault="00693D67" w:rsidP="00467DB0">
      <w:pPr>
        <w:pStyle w:val="friliste"/>
      </w:pPr>
      <w:r w:rsidRPr="00467DB0">
        <w:t>2.</w:t>
      </w:r>
      <w:r w:rsidRPr="00467DB0">
        <w:tab/>
        <w:t xml:space="preserve">Stk. 1 </w:t>
      </w:r>
      <w:proofErr w:type="spellStart"/>
      <w:r w:rsidRPr="00467DB0">
        <w:t>finder</w:t>
      </w:r>
      <w:proofErr w:type="spellEnd"/>
      <w:r w:rsidRPr="00467DB0">
        <w:t xml:space="preserve"> ikke </w:t>
      </w:r>
      <w:proofErr w:type="gramStart"/>
      <w:r w:rsidRPr="00467DB0">
        <w:t>anvendelse</w:t>
      </w:r>
      <w:proofErr w:type="gramEnd"/>
      <w:r w:rsidRPr="00467DB0">
        <w:t xml:space="preserve"> på de materielle og immaterielle aktiver, som </w:t>
      </w:r>
      <w:proofErr w:type="spellStart"/>
      <w:r w:rsidRPr="00467DB0">
        <w:t>ska</w:t>
      </w:r>
      <w:r w:rsidRPr="00467DB0">
        <w:t>bes</w:t>
      </w:r>
      <w:proofErr w:type="spellEnd"/>
      <w:r w:rsidRPr="00467DB0">
        <w:t xml:space="preserve"> eller </w:t>
      </w:r>
      <w:proofErr w:type="spellStart"/>
      <w:r w:rsidRPr="00467DB0">
        <w:t>udvikles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programmets komponenter, såfremt de aktiviteter, som kan medføre, at der </w:t>
      </w:r>
      <w:proofErr w:type="spellStart"/>
      <w:r w:rsidRPr="00467DB0">
        <w:t>skabes</w:t>
      </w:r>
      <w:proofErr w:type="spellEnd"/>
      <w:r w:rsidRPr="00467DB0">
        <w:t xml:space="preserve"> eller </w:t>
      </w:r>
      <w:proofErr w:type="spellStart"/>
      <w:r w:rsidRPr="00467DB0">
        <w:t>udvikles</w:t>
      </w:r>
      <w:proofErr w:type="spellEnd"/>
      <w:r w:rsidRPr="00467DB0">
        <w:t xml:space="preserve"> sådanne aktiver:</w:t>
      </w:r>
    </w:p>
    <w:p w14:paraId="468A8092" w14:textId="77777777" w:rsidR="00000000" w:rsidRPr="00467DB0" w:rsidRDefault="00693D67" w:rsidP="00467DB0">
      <w:pPr>
        <w:pStyle w:val="friliste2"/>
      </w:pPr>
      <w:r w:rsidRPr="00467DB0">
        <w:t>a)</w:t>
      </w:r>
      <w:r w:rsidRPr="00467DB0">
        <w:tab/>
      </w:r>
      <w:proofErr w:type="spellStart"/>
      <w:r w:rsidRPr="00467DB0">
        <w:t>udføres</w:t>
      </w:r>
      <w:proofErr w:type="spellEnd"/>
      <w:r w:rsidRPr="00467DB0">
        <w:t xml:space="preserve"> i overensstemmelse med </w:t>
      </w:r>
      <w:proofErr w:type="spellStart"/>
      <w:r w:rsidRPr="00467DB0">
        <w:t>tilskud</w:t>
      </w:r>
      <w:proofErr w:type="spellEnd"/>
      <w:r w:rsidRPr="00467DB0">
        <w:t xml:space="preserve"> eller priser, som finansieres </w:t>
      </w:r>
      <w:proofErr w:type="spellStart"/>
      <w:r w:rsidRPr="00467DB0">
        <w:t>fuldt</w:t>
      </w:r>
      <w:proofErr w:type="spellEnd"/>
      <w:r w:rsidRPr="00467DB0">
        <w:t xml:space="preserve"> </w:t>
      </w:r>
      <w:proofErr w:type="spellStart"/>
      <w:r w:rsidRPr="00467DB0">
        <w:t>ud</w:t>
      </w:r>
      <w:proofErr w:type="spellEnd"/>
      <w:r w:rsidRPr="00467DB0">
        <w:t xml:space="preserve"> </w:t>
      </w:r>
      <w:proofErr w:type="spellStart"/>
      <w:r w:rsidRPr="00467DB0">
        <w:t>af</w:t>
      </w:r>
      <w:proofErr w:type="spellEnd"/>
      <w:r w:rsidRPr="00467DB0">
        <w:t xml:space="preserve"> Unionen</w:t>
      </w:r>
    </w:p>
    <w:p w14:paraId="4A73466B" w14:textId="77777777" w:rsidR="00000000" w:rsidRPr="00467DB0" w:rsidRDefault="00693D67" w:rsidP="00467DB0">
      <w:pPr>
        <w:pStyle w:val="friliste2"/>
      </w:pPr>
      <w:r w:rsidRPr="00467DB0">
        <w:t>b)</w:t>
      </w:r>
      <w:r w:rsidRPr="00467DB0">
        <w:tab/>
        <w:t xml:space="preserve">ikke er </w:t>
      </w:r>
      <w:proofErr w:type="spellStart"/>
      <w:r w:rsidRPr="00467DB0">
        <w:t>fuldt</w:t>
      </w:r>
      <w:proofErr w:type="spellEnd"/>
      <w:r w:rsidRPr="00467DB0">
        <w:t xml:space="preserve"> </w:t>
      </w:r>
      <w:proofErr w:type="spellStart"/>
      <w:r w:rsidRPr="00467DB0">
        <w:t>finansieret</w:t>
      </w:r>
      <w:proofErr w:type="spellEnd"/>
      <w:r w:rsidRPr="00467DB0">
        <w:t xml:space="preserve"> </w:t>
      </w:r>
      <w:proofErr w:type="spellStart"/>
      <w:r w:rsidRPr="00467DB0">
        <w:t>af</w:t>
      </w:r>
      <w:proofErr w:type="spellEnd"/>
      <w:r w:rsidRPr="00467DB0">
        <w:t xml:space="preserve"> Unionen eller</w:t>
      </w:r>
    </w:p>
    <w:p w14:paraId="4361477E" w14:textId="77777777" w:rsidR="00000000" w:rsidRPr="00467DB0" w:rsidRDefault="00693D67" w:rsidP="00467DB0">
      <w:pPr>
        <w:pStyle w:val="friliste2"/>
      </w:pPr>
      <w:r w:rsidRPr="00467DB0">
        <w:t>c)</w:t>
      </w:r>
      <w:r w:rsidRPr="00467DB0">
        <w:tab/>
        <w:t xml:space="preserve">vedrører </w:t>
      </w:r>
      <w:proofErr w:type="spellStart"/>
      <w:r w:rsidRPr="00467DB0">
        <w:t>udvikling</w:t>
      </w:r>
      <w:proofErr w:type="spellEnd"/>
      <w:r w:rsidRPr="00467DB0">
        <w:t xml:space="preserve">, fremstilling eller </w:t>
      </w:r>
      <w:proofErr w:type="gramStart"/>
      <w:r w:rsidRPr="00467DB0">
        <w:t>anvendelse</w:t>
      </w:r>
      <w:proofErr w:type="gramEnd"/>
      <w:r w:rsidRPr="00467DB0">
        <w:t xml:space="preserve"> </w:t>
      </w:r>
      <w:proofErr w:type="spellStart"/>
      <w:r w:rsidRPr="00467DB0">
        <w:t>af</w:t>
      </w:r>
      <w:proofErr w:type="spellEnd"/>
      <w:r w:rsidRPr="00467DB0">
        <w:t xml:space="preserve"> PRS-</w:t>
      </w:r>
      <w:proofErr w:type="spellStart"/>
      <w:r w:rsidRPr="00467DB0">
        <w:t>modtagere</w:t>
      </w:r>
      <w:proofErr w:type="spellEnd"/>
      <w:r w:rsidRPr="00467DB0">
        <w:t xml:space="preserve">, der </w:t>
      </w:r>
      <w:proofErr w:type="spellStart"/>
      <w:r w:rsidRPr="00467DB0">
        <w:t>indeholder</w:t>
      </w:r>
      <w:proofErr w:type="spellEnd"/>
      <w:r w:rsidRPr="00467DB0">
        <w:t xml:space="preserve"> EUCI, eller dele til sådanne </w:t>
      </w:r>
      <w:proofErr w:type="spellStart"/>
      <w:r w:rsidRPr="00467DB0">
        <w:t>modtagere</w:t>
      </w:r>
      <w:proofErr w:type="spellEnd"/>
      <w:r w:rsidRPr="00467DB0">
        <w:t>.</w:t>
      </w:r>
    </w:p>
    <w:p w14:paraId="060097B3"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sikrer, at kontrakter, </w:t>
      </w:r>
      <w:proofErr w:type="spellStart"/>
      <w:r w:rsidRPr="00467DB0">
        <w:t>aftaler</w:t>
      </w:r>
      <w:proofErr w:type="spellEnd"/>
      <w:r w:rsidRPr="00467DB0">
        <w:t xml:space="preserve"> og andre ordninger i forbindelse med de aktivite</w:t>
      </w:r>
      <w:r w:rsidRPr="00467DB0">
        <w:t xml:space="preserve">ter, der er omhandlet i denne </w:t>
      </w:r>
      <w:proofErr w:type="spellStart"/>
      <w:r w:rsidRPr="00467DB0">
        <w:t>artikels</w:t>
      </w:r>
      <w:proofErr w:type="spellEnd"/>
      <w:r w:rsidRPr="00467DB0">
        <w:t xml:space="preserve"> stk. 2, </w:t>
      </w:r>
      <w:proofErr w:type="spellStart"/>
      <w:r w:rsidRPr="00467DB0">
        <w:t>indeholder</w:t>
      </w:r>
      <w:proofErr w:type="spellEnd"/>
      <w:r w:rsidRPr="00467DB0">
        <w:t xml:space="preserve"> bestemmelser om en passende </w:t>
      </w:r>
      <w:proofErr w:type="spellStart"/>
      <w:r w:rsidRPr="00467DB0">
        <w:t>ejerskabsordning</w:t>
      </w:r>
      <w:proofErr w:type="spellEnd"/>
      <w:r w:rsidRPr="00467DB0">
        <w:t xml:space="preserve"> for disse aktiver og for så vidt angår denne </w:t>
      </w:r>
      <w:proofErr w:type="spellStart"/>
      <w:r w:rsidRPr="00467DB0">
        <w:t>artikels</w:t>
      </w:r>
      <w:proofErr w:type="spellEnd"/>
      <w:r w:rsidRPr="00467DB0">
        <w:t xml:space="preserve"> stk. 2, litra c), at </w:t>
      </w:r>
      <w:proofErr w:type="spellStart"/>
      <w:r w:rsidRPr="00467DB0">
        <w:t>nævnte</w:t>
      </w:r>
      <w:proofErr w:type="spellEnd"/>
      <w:r w:rsidRPr="00467DB0">
        <w:t xml:space="preserve"> kontrakter, </w:t>
      </w:r>
      <w:proofErr w:type="spellStart"/>
      <w:r w:rsidRPr="00467DB0">
        <w:t>aftaler</w:t>
      </w:r>
      <w:proofErr w:type="spellEnd"/>
      <w:r w:rsidRPr="00467DB0">
        <w:t xml:space="preserve"> og ordninger sikrer, at Unionen kan anvende PRS-</w:t>
      </w:r>
      <w:proofErr w:type="spellStart"/>
      <w:r w:rsidRPr="00467DB0">
        <w:t>mod</w:t>
      </w:r>
      <w:r w:rsidRPr="00467DB0">
        <w:t>tagerne</w:t>
      </w:r>
      <w:proofErr w:type="spellEnd"/>
      <w:r w:rsidRPr="00467DB0">
        <w:t xml:space="preserve"> i overensstemmelse med </w:t>
      </w:r>
      <w:proofErr w:type="spellStart"/>
      <w:r w:rsidRPr="00467DB0">
        <w:t>afgørelse</w:t>
      </w:r>
      <w:proofErr w:type="spellEnd"/>
      <w:r w:rsidRPr="00467DB0">
        <w:t xml:space="preserve"> nr. 1104/2011/EU.</w:t>
      </w:r>
    </w:p>
    <w:p w14:paraId="5FC86938"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w:t>
      </w:r>
      <w:proofErr w:type="spellStart"/>
      <w:r w:rsidRPr="00467DB0">
        <w:t>bestræber</w:t>
      </w:r>
      <w:proofErr w:type="spellEnd"/>
      <w:r w:rsidRPr="00467DB0">
        <w:t xml:space="preserve"> sig på at </w:t>
      </w:r>
      <w:proofErr w:type="spellStart"/>
      <w:r w:rsidRPr="00467DB0">
        <w:t>indgå</w:t>
      </w:r>
      <w:proofErr w:type="spellEnd"/>
      <w:r w:rsidRPr="00467DB0">
        <w:t xml:space="preserve"> kontrakter, </w:t>
      </w:r>
      <w:proofErr w:type="spellStart"/>
      <w:r w:rsidRPr="00467DB0">
        <w:t>aftaler</w:t>
      </w:r>
      <w:proofErr w:type="spellEnd"/>
      <w:r w:rsidRPr="00467DB0">
        <w:t xml:space="preserve"> eller andre ordninger med tredjeparter for så vidt angår:</w:t>
      </w:r>
    </w:p>
    <w:p w14:paraId="26797637" w14:textId="77777777" w:rsidR="00000000" w:rsidRPr="00467DB0" w:rsidRDefault="00693D67" w:rsidP="00467DB0">
      <w:pPr>
        <w:pStyle w:val="friliste2"/>
      </w:pPr>
      <w:r w:rsidRPr="00467DB0">
        <w:t>a)</w:t>
      </w:r>
      <w:r w:rsidRPr="00467DB0">
        <w:tab/>
        <w:t xml:space="preserve">allerede eksisterende </w:t>
      </w:r>
      <w:proofErr w:type="spellStart"/>
      <w:r w:rsidRPr="00467DB0">
        <w:t>ejendomsrettigheder</w:t>
      </w:r>
      <w:proofErr w:type="spellEnd"/>
      <w:r w:rsidRPr="00467DB0">
        <w:t xml:space="preserve"> i forbindelse med materielle ell</w:t>
      </w:r>
      <w:r w:rsidRPr="00467DB0">
        <w:t xml:space="preserve">er immaterielle aktiver, som </w:t>
      </w:r>
      <w:proofErr w:type="spellStart"/>
      <w:r w:rsidRPr="00467DB0">
        <w:t>skabes</w:t>
      </w:r>
      <w:proofErr w:type="spellEnd"/>
      <w:r w:rsidRPr="00467DB0">
        <w:t xml:space="preserve"> eller </w:t>
      </w:r>
      <w:proofErr w:type="spellStart"/>
      <w:r w:rsidRPr="00467DB0">
        <w:t>udvikles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programmets komponenter</w:t>
      </w:r>
    </w:p>
    <w:p w14:paraId="1CB8F2E6" w14:textId="77777777" w:rsidR="00000000" w:rsidRPr="00467DB0" w:rsidRDefault="00693D67" w:rsidP="00467DB0">
      <w:pPr>
        <w:pStyle w:val="friliste2"/>
      </w:pPr>
      <w:r w:rsidRPr="00467DB0">
        <w:t>b)</w:t>
      </w:r>
      <w:r w:rsidRPr="00467DB0">
        <w:tab/>
      </w:r>
      <w:proofErr w:type="spellStart"/>
      <w:r w:rsidRPr="00467DB0">
        <w:t>erhvervelse</w:t>
      </w:r>
      <w:proofErr w:type="spellEnd"/>
      <w:r w:rsidRPr="00467DB0">
        <w:t xml:space="preserve"> </w:t>
      </w:r>
      <w:proofErr w:type="spellStart"/>
      <w:r w:rsidRPr="00467DB0">
        <w:t>af</w:t>
      </w:r>
      <w:proofErr w:type="spellEnd"/>
      <w:r w:rsidRPr="00467DB0">
        <w:t xml:space="preserve"> </w:t>
      </w:r>
      <w:proofErr w:type="spellStart"/>
      <w:r w:rsidRPr="00467DB0">
        <w:t>ejerskab</w:t>
      </w:r>
      <w:proofErr w:type="spellEnd"/>
      <w:r w:rsidRPr="00467DB0">
        <w:t xml:space="preserve"> eller </w:t>
      </w:r>
      <w:proofErr w:type="spellStart"/>
      <w:r w:rsidRPr="00467DB0">
        <w:t>licensrettigheder</w:t>
      </w:r>
      <w:proofErr w:type="spellEnd"/>
      <w:r w:rsidRPr="00467DB0">
        <w:t xml:space="preserve"> i forbindelse med andre materielle og immaterielle aktiver, som er nødvendige for programmets </w:t>
      </w:r>
      <w:proofErr w:type="spellStart"/>
      <w:r w:rsidRPr="00467DB0">
        <w:t>gennemførelse</w:t>
      </w:r>
      <w:proofErr w:type="spellEnd"/>
      <w:r w:rsidRPr="00467DB0">
        <w:t>.</w:t>
      </w:r>
    </w:p>
    <w:p w14:paraId="7E4B3000" w14:textId="77777777" w:rsidR="00000000" w:rsidRPr="00467DB0" w:rsidRDefault="00693D67" w:rsidP="00467DB0">
      <w:pPr>
        <w:pStyle w:val="friliste"/>
      </w:pPr>
      <w:r w:rsidRPr="00467DB0">
        <w:t>5.</w:t>
      </w:r>
      <w:r w:rsidRPr="00467DB0">
        <w:tab/>
      </w:r>
      <w:proofErr w:type="spellStart"/>
      <w:r w:rsidRPr="00467DB0">
        <w:t>Kommissionen</w:t>
      </w:r>
      <w:proofErr w:type="spellEnd"/>
      <w:r w:rsidRPr="00467DB0">
        <w:t xml:space="preserve"> sikrer ved </w:t>
      </w:r>
      <w:proofErr w:type="spellStart"/>
      <w:r w:rsidRPr="00467DB0">
        <w:t>hjælp</w:t>
      </w:r>
      <w:proofErr w:type="spellEnd"/>
      <w:r w:rsidRPr="00467DB0">
        <w:t xml:space="preserve"> </w:t>
      </w:r>
      <w:proofErr w:type="spellStart"/>
      <w:r w:rsidRPr="00467DB0">
        <w:t>af</w:t>
      </w:r>
      <w:proofErr w:type="spellEnd"/>
      <w:r w:rsidRPr="00467DB0">
        <w:t xml:space="preserve"> en </w:t>
      </w:r>
      <w:proofErr w:type="spellStart"/>
      <w:r w:rsidRPr="00467DB0">
        <w:t>hensigtsmæssig</w:t>
      </w:r>
      <w:proofErr w:type="spellEnd"/>
      <w:r w:rsidRPr="00467DB0">
        <w:t xml:space="preserve"> ramme </w:t>
      </w:r>
      <w:proofErr w:type="gramStart"/>
      <w:r w:rsidRPr="00467DB0">
        <w:t>optimal</w:t>
      </w:r>
      <w:proofErr w:type="gramEnd"/>
      <w:r w:rsidRPr="00467DB0">
        <w:t xml:space="preserve"> </w:t>
      </w:r>
      <w:proofErr w:type="spellStart"/>
      <w:r w:rsidRPr="00467DB0">
        <w:t>udnyttelse</w:t>
      </w:r>
      <w:proofErr w:type="spellEnd"/>
      <w:r w:rsidRPr="00467DB0">
        <w:t xml:space="preserve"> </w:t>
      </w:r>
      <w:proofErr w:type="spellStart"/>
      <w:r w:rsidRPr="00467DB0">
        <w:t>af</w:t>
      </w:r>
      <w:proofErr w:type="spellEnd"/>
      <w:r w:rsidRPr="00467DB0">
        <w:t xml:space="preserve"> de materielle og immaterielle aktiver, der er omhandlet i stk. 1 og 2, og som </w:t>
      </w:r>
      <w:proofErr w:type="spellStart"/>
      <w:r w:rsidRPr="00467DB0">
        <w:t>ejes</w:t>
      </w:r>
      <w:proofErr w:type="spellEnd"/>
      <w:r w:rsidRPr="00467DB0">
        <w:t xml:space="preserve"> </w:t>
      </w:r>
      <w:proofErr w:type="spellStart"/>
      <w:r w:rsidRPr="00467DB0">
        <w:t>af</w:t>
      </w:r>
      <w:proofErr w:type="spellEnd"/>
      <w:r w:rsidRPr="00467DB0">
        <w:t xml:space="preserve"> Unionen.</w:t>
      </w:r>
    </w:p>
    <w:p w14:paraId="257D7706" w14:textId="77777777" w:rsidR="00000000" w:rsidRPr="00467DB0" w:rsidRDefault="00693D67" w:rsidP="00467DB0">
      <w:pPr>
        <w:pStyle w:val="friliste"/>
      </w:pPr>
      <w:r w:rsidRPr="00467DB0">
        <w:t>6.</w:t>
      </w:r>
      <w:r w:rsidRPr="00467DB0">
        <w:tab/>
        <w:t xml:space="preserve">Hvis </w:t>
      </w:r>
      <w:proofErr w:type="spellStart"/>
      <w:r w:rsidRPr="00467DB0">
        <w:t>aktiverne</w:t>
      </w:r>
      <w:proofErr w:type="spellEnd"/>
      <w:r w:rsidRPr="00467DB0">
        <w:t xml:space="preserve"> omhandlet i stk. 1 og 2 omfatter intellektuelle </w:t>
      </w:r>
      <w:proofErr w:type="spellStart"/>
      <w:r w:rsidRPr="00467DB0">
        <w:t>ejendomsrett</w:t>
      </w:r>
      <w:r w:rsidRPr="00467DB0">
        <w:t>igheder</w:t>
      </w:r>
      <w:proofErr w:type="spellEnd"/>
      <w:r w:rsidRPr="00467DB0">
        <w:t xml:space="preserve">, forvalter </w:t>
      </w:r>
      <w:proofErr w:type="spellStart"/>
      <w:r w:rsidRPr="00467DB0">
        <w:t>Kommissionen</w:t>
      </w:r>
      <w:proofErr w:type="spellEnd"/>
      <w:r w:rsidRPr="00467DB0">
        <w:t xml:space="preserve"> disse </w:t>
      </w:r>
      <w:proofErr w:type="spellStart"/>
      <w:r w:rsidRPr="00467DB0">
        <w:t>rettigheder</w:t>
      </w:r>
      <w:proofErr w:type="spellEnd"/>
      <w:r w:rsidRPr="00467DB0">
        <w:t xml:space="preserve"> så effektivt som </w:t>
      </w:r>
      <w:proofErr w:type="spellStart"/>
      <w:r w:rsidRPr="00467DB0">
        <w:t>muligt</w:t>
      </w:r>
      <w:proofErr w:type="spellEnd"/>
      <w:r w:rsidRPr="00467DB0">
        <w:t xml:space="preserve"> </w:t>
      </w:r>
      <w:proofErr w:type="gramStart"/>
      <w:r w:rsidRPr="00467DB0">
        <w:t>under hensyntagen</w:t>
      </w:r>
      <w:proofErr w:type="gramEnd"/>
      <w:r w:rsidRPr="00467DB0">
        <w:t xml:space="preserve"> til: </w:t>
      </w:r>
    </w:p>
    <w:p w14:paraId="594BE0F1" w14:textId="77777777" w:rsidR="00000000" w:rsidRPr="00467DB0" w:rsidRDefault="00693D67" w:rsidP="00467DB0">
      <w:pPr>
        <w:pStyle w:val="friliste2"/>
      </w:pPr>
      <w:r w:rsidRPr="00467DB0">
        <w:t>a)</w:t>
      </w:r>
      <w:r w:rsidRPr="00467DB0">
        <w:tab/>
        <w:t xml:space="preserve">behovet for at beskytte </w:t>
      </w:r>
      <w:proofErr w:type="spellStart"/>
      <w:r w:rsidRPr="00467DB0">
        <w:t>aktiverne</w:t>
      </w:r>
      <w:proofErr w:type="spellEnd"/>
      <w:r w:rsidRPr="00467DB0">
        <w:t xml:space="preserve"> og </w:t>
      </w:r>
      <w:proofErr w:type="spellStart"/>
      <w:r w:rsidRPr="00467DB0">
        <w:t>give</w:t>
      </w:r>
      <w:proofErr w:type="spellEnd"/>
      <w:r w:rsidRPr="00467DB0">
        <w:t xml:space="preserve"> dem </w:t>
      </w:r>
      <w:proofErr w:type="spellStart"/>
      <w:r w:rsidRPr="00467DB0">
        <w:t>værdi</w:t>
      </w:r>
      <w:proofErr w:type="spellEnd"/>
      <w:r w:rsidRPr="00467DB0">
        <w:t xml:space="preserve"> </w:t>
      </w:r>
    </w:p>
    <w:p w14:paraId="4F016D7E" w14:textId="77777777" w:rsidR="00000000" w:rsidRPr="00467DB0" w:rsidRDefault="00693D67" w:rsidP="00467DB0">
      <w:pPr>
        <w:pStyle w:val="friliste2"/>
      </w:pPr>
      <w:r w:rsidRPr="00467DB0">
        <w:lastRenderedPageBreak/>
        <w:t>b)</w:t>
      </w:r>
      <w:r w:rsidRPr="00467DB0">
        <w:tab/>
        <w:t xml:space="preserve">samtlige berørte parters interesser </w:t>
      </w:r>
    </w:p>
    <w:p w14:paraId="04D262DA" w14:textId="77777777" w:rsidR="00000000" w:rsidRPr="00467DB0" w:rsidRDefault="00693D67" w:rsidP="00467DB0">
      <w:pPr>
        <w:pStyle w:val="friliste2"/>
      </w:pPr>
      <w:r w:rsidRPr="00467DB0">
        <w:t>c)</w:t>
      </w:r>
      <w:r w:rsidRPr="00467DB0">
        <w:tab/>
        <w:t xml:space="preserve">behovet for en harmonisk </w:t>
      </w:r>
      <w:proofErr w:type="spellStart"/>
      <w:r w:rsidRPr="00467DB0">
        <w:t>udvikling</w:t>
      </w:r>
      <w:proofErr w:type="spellEnd"/>
      <w:r w:rsidRPr="00467DB0">
        <w:t xml:space="preserve"> </w:t>
      </w:r>
      <w:proofErr w:type="spellStart"/>
      <w:r w:rsidRPr="00467DB0">
        <w:t>af</w:t>
      </w:r>
      <w:proofErr w:type="spellEnd"/>
      <w:r w:rsidRPr="00467DB0">
        <w:t xml:space="preserve"> markeder og nye tekno</w:t>
      </w:r>
      <w:r w:rsidRPr="00467DB0">
        <w:t xml:space="preserve">logier og </w:t>
      </w:r>
    </w:p>
    <w:p w14:paraId="16270423" w14:textId="77777777" w:rsidR="00000000" w:rsidRPr="00467DB0" w:rsidRDefault="00693D67" w:rsidP="00467DB0">
      <w:pPr>
        <w:pStyle w:val="friliste2"/>
      </w:pPr>
      <w:r w:rsidRPr="00467DB0">
        <w:t>d)</w:t>
      </w:r>
      <w:r w:rsidRPr="00467DB0">
        <w:tab/>
        <w:t xml:space="preserve">behovet for kontinuitet i de tjenester, der leveres </w:t>
      </w:r>
      <w:proofErr w:type="spellStart"/>
      <w:r w:rsidRPr="00467DB0">
        <w:t>af</w:t>
      </w:r>
      <w:proofErr w:type="spellEnd"/>
      <w:r w:rsidRPr="00467DB0">
        <w:t xml:space="preserve"> programmets komponenter. </w:t>
      </w:r>
    </w:p>
    <w:p w14:paraId="71D67C5E" w14:textId="77777777" w:rsidR="00000000" w:rsidRPr="00467DB0" w:rsidRDefault="00693D67" w:rsidP="00467DB0">
      <w:pPr>
        <w:pStyle w:val="Listeavsnitt"/>
      </w:pPr>
      <w:proofErr w:type="spellStart"/>
      <w:r w:rsidRPr="00467DB0">
        <w:t>Kommissionen</w:t>
      </w:r>
      <w:proofErr w:type="spellEnd"/>
      <w:r w:rsidRPr="00467DB0">
        <w:t xml:space="preserve"> sikrer navnlig, at de relevante kontrakter, </w:t>
      </w:r>
      <w:proofErr w:type="spellStart"/>
      <w:r w:rsidRPr="00467DB0">
        <w:t>aftaler</w:t>
      </w:r>
      <w:proofErr w:type="spellEnd"/>
      <w:r w:rsidRPr="00467DB0">
        <w:t xml:space="preserve"> og andre ordninger </w:t>
      </w:r>
      <w:proofErr w:type="spellStart"/>
      <w:r w:rsidRPr="00467DB0">
        <w:t>indeholder</w:t>
      </w:r>
      <w:proofErr w:type="spellEnd"/>
      <w:r w:rsidRPr="00467DB0">
        <w:t xml:space="preserve"> </w:t>
      </w:r>
      <w:proofErr w:type="spellStart"/>
      <w:r w:rsidRPr="00467DB0">
        <w:t>mulighed</w:t>
      </w:r>
      <w:proofErr w:type="spellEnd"/>
      <w:r w:rsidRPr="00467DB0">
        <w:t xml:space="preserve"> for at </w:t>
      </w:r>
      <w:proofErr w:type="spellStart"/>
      <w:r w:rsidRPr="00467DB0">
        <w:t>overdrage</w:t>
      </w:r>
      <w:proofErr w:type="spellEnd"/>
      <w:r w:rsidRPr="00467DB0">
        <w:t xml:space="preserve"> disse intellektuelle </w:t>
      </w:r>
      <w:proofErr w:type="spellStart"/>
      <w:r w:rsidRPr="00467DB0">
        <w:t>ejendomsrettighed</w:t>
      </w:r>
      <w:r w:rsidRPr="00467DB0">
        <w:t>er</w:t>
      </w:r>
      <w:proofErr w:type="spellEnd"/>
      <w:r w:rsidRPr="00467DB0">
        <w:t xml:space="preserve"> til tredjeparter eller </w:t>
      </w:r>
      <w:proofErr w:type="spellStart"/>
      <w:r w:rsidRPr="00467DB0">
        <w:t>udstede</w:t>
      </w:r>
      <w:proofErr w:type="spellEnd"/>
      <w:r w:rsidRPr="00467DB0">
        <w:t xml:space="preserve"> </w:t>
      </w:r>
      <w:proofErr w:type="spellStart"/>
      <w:r w:rsidRPr="00467DB0">
        <w:t>licenser</w:t>
      </w:r>
      <w:proofErr w:type="spellEnd"/>
      <w:r w:rsidRPr="00467DB0">
        <w:t xml:space="preserve"> til tredjeparter til </w:t>
      </w:r>
      <w:proofErr w:type="spellStart"/>
      <w:r w:rsidRPr="00467DB0">
        <w:t>udnyttelse</w:t>
      </w:r>
      <w:proofErr w:type="spellEnd"/>
      <w:r w:rsidRPr="00467DB0">
        <w:t xml:space="preserve"> </w:t>
      </w:r>
      <w:proofErr w:type="spellStart"/>
      <w:r w:rsidRPr="00467DB0">
        <w:t>af</w:t>
      </w:r>
      <w:proofErr w:type="spellEnd"/>
      <w:r w:rsidRPr="00467DB0">
        <w:t xml:space="preserve"> disse </w:t>
      </w:r>
      <w:proofErr w:type="spellStart"/>
      <w:r w:rsidRPr="00467DB0">
        <w:t>rettigheder</w:t>
      </w:r>
      <w:proofErr w:type="spellEnd"/>
      <w:r w:rsidRPr="00467DB0">
        <w:t xml:space="preserve">, herunder til </w:t>
      </w:r>
      <w:proofErr w:type="spellStart"/>
      <w:r w:rsidRPr="00467DB0">
        <w:t>ophavspersonen</w:t>
      </w:r>
      <w:proofErr w:type="spellEnd"/>
      <w:r w:rsidRPr="00467DB0">
        <w:t xml:space="preserve"> til sådanne intellektuelle </w:t>
      </w:r>
      <w:proofErr w:type="spellStart"/>
      <w:r w:rsidRPr="00467DB0">
        <w:t>rettigheder</w:t>
      </w:r>
      <w:proofErr w:type="spellEnd"/>
      <w:r w:rsidRPr="00467DB0">
        <w:t xml:space="preserve">, og at agenturet </w:t>
      </w:r>
      <w:proofErr w:type="spellStart"/>
      <w:r w:rsidRPr="00467DB0">
        <w:t>frit</w:t>
      </w:r>
      <w:proofErr w:type="spellEnd"/>
      <w:r w:rsidRPr="00467DB0">
        <w:t xml:space="preserve"> kan </w:t>
      </w:r>
      <w:proofErr w:type="spellStart"/>
      <w:r w:rsidRPr="00467DB0">
        <w:t>gøre</w:t>
      </w:r>
      <w:proofErr w:type="spellEnd"/>
      <w:r w:rsidRPr="00467DB0">
        <w:t xml:space="preserve"> </w:t>
      </w:r>
      <w:proofErr w:type="spellStart"/>
      <w:r w:rsidRPr="00467DB0">
        <w:t>brug</w:t>
      </w:r>
      <w:proofErr w:type="spellEnd"/>
      <w:r w:rsidRPr="00467DB0">
        <w:t xml:space="preserve"> </w:t>
      </w:r>
      <w:proofErr w:type="spellStart"/>
      <w:r w:rsidRPr="00467DB0">
        <w:t>af</w:t>
      </w:r>
      <w:proofErr w:type="spellEnd"/>
      <w:r w:rsidRPr="00467DB0">
        <w:t xml:space="preserve"> disse </w:t>
      </w:r>
      <w:proofErr w:type="spellStart"/>
      <w:r w:rsidRPr="00467DB0">
        <w:t>rettigheder</w:t>
      </w:r>
      <w:proofErr w:type="spellEnd"/>
      <w:r w:rsidRPr="00467DB0">
        <w:t xml:space="preserve">, hvis det er </w:t>
      </w:r>
      <w:proofErr w:type="spellStart"/>
      <w:r w:rsidRPr="00467DB0">
        <w:t>nødvendigt</w:t>
      </w:r>
      <w:proofErr w:type="spellEnd"/>
      <w:r w:rsidRPr="00467DB0">
        <w:t xml:space="preserve"> for </w:t>
      </w:r>
      <w:proofErr w:type="spellStart"/>
      <w:r w:rsidRPr="00467DB0">
        <w:t>udførel</w:t>
      </w:r>
      <w:r w:rsidRPr="00467DB0">
        <w:t>sen</w:t>
      </w:r>
      <w:proofErr w:type="spellEnd"/>
      <w:r w:rsidRPr="00467DB0">
        <w:t xml:space="preserve"> </w:t>
      </w:r>
      <w:proofErr w:type="spellStart"/>
      <w:r w:rsidRPr="00467DB0">
        <w:t>af</w:t>
      </w:r>
      <w:proofErr w:type="spellEnd"/>
      <w:r w:rsidRPr="00467DB0">
        <w:t xml:space="preserve"> </w:t>
      </w:r>
      <w:proofErr w:type="spellStart"/>
      <w:r w:rsidRPr="00467DB0">
        <w:t>opgaverne</w:t>
      </w:r>
      <w:proofErr w:type="spellEnd"/>
      <w:r w:rsidRPr="00467DB0">
        <w:t xml:space="preserve"> i henhold til denne forordning. </w:t>
      </w:r>
    </w:p>
    <w:p w14:paraId="4C6E1131" w14:textId="77777777" w:rsidR="00000000" w:rsidRPr="00467DB0" w:rsidRDefault="00693D67" w:rsidP="00467DB0">
      <w:pPr>
        <w:pStyle w:val="Listeavsnitt"/>
      </w:pPr>
      <w:r w:rsidRPr="00467DB0">
        <w:t xml:space="preserve">Den finansielle </w:t>
      </w:r>
      <w:proofErr w:type="spellStart"/>
      <w:r w:rsidRPr="00467DB0">
        <w:t>partnerskabsrammeaftale</w:t>
      </w:r>
      <w:proofErr w:type="spellEnd"/>
      <w:r w:rsidRPr="00467DB0">
        <w:t xml:space="preserve">, der er omhandlet i </w:t>
      </w:r>
      <w:proofErr w:type="spellStart"/>
      <w:r w:rsidRPr="00467DB0">
        <w:t>artikel</w:t>
      </w:r>
      <w:proofErr w:type="spellEnd"/>
      <w:r w:rsidRPr="00467DB0">
        <w:t xml:space="preserve"> 28, stk. 4, eller de </w:t>
      </w:r>
      <w:proofErr w:type="spellStart"/>
      <w:r w:rsidRPr="00467DB0">
        <w:t>bidragsaftaler</w:t>
      </w:r>
      <w:proofErr w:type="spellEnd"/>
      <w:r w:rsidRPr="00467DB0">
        <w:t xml:space="preserve">, der er omhandlet i </w:t>
      </w:r>
      <w:proofErr w:type="spellStart"/>
      <w:r w:rsidRPr="00467DB0">
        <w:t>artikel</w:t>
      </w:r>
      <w:proofErr w:type="spellEnd"/>
      <w:r w:rsidRPr="00467DB0">
        <w:t xml:space="preserve"> 32, stk. 1, skal </w:t>
      </w:r>
      <w:proofErr w:type="spellStart"/>
      <w:r w:rsidRPr="00467DB0">
        <w:t>indeholde</w:t>
      </w:r>
      <w:proofErr w:type="spellEnd"/>
      <w:r w:rsidRPr="00467DB0">
        <w:t xml:space="preserve"> relevante bestemmelser, der </w:t>
      </w:r>
      <w:proofErr w:type="spellStart"/>
      <w:r w:rsidRPr="00467DB0">
        <w:t>gør</w:t>
      </w:r>
      <w:proofErr w:type="spellEnd"/>
      <w:r w:rsidRPr="00467DB0">
        <w:t xml:space="preserve"> det </w:t>
      </w:r>
      <w:proofErr w:type="spellStart"/>
      <w:r w:rsidRPr="00467DB0">
        <w:t>muligt</w:t>
      </w:r>
      <w:proofErr w:type="spellEnd"/>
      <w:r w:rsidRPr="00467DB0">
        <w:t xml:space="preserve"> fo</w:t>
      </w:r>
      <w:r w:rsidRPr="00467DB0">
        <w:t xml:space="preserve">r ESA og andre bemyndigede </w:t>
      </w:r>
      <w:proofErr w:type="spellStart"/>
      <w:r w:rsidRPr="00467DB0">
        <w:t>enheder</w:t>
      </w:r>
      <w:proofErr w:type="spellEnd"/>
      <w:r w:rsidRPr="00467DB0">
        <w:t xml:space="preserve"> at anvende de i nærværende stykkes første </w:t>
      </w:r>
      <w:proofErr w:type="spellStart"/>
      <w:r w:rsidRPr="00467DB0">
        <w:t>afsnit</w:t>
      </w:r>
      <w:proofErr w:type="spellEnd"/>
      <w:r w:rsidRPr="00467DB0">
        <w:t xml:space="preserve"> omhandlede intellektuelle </w:t>
      </w:r>
      <w:proofErr w:type="spellStart"/>
      <w:r w:rsidRPr="00467DB0">
        <w:t>ejendomsrettigheder</w:t>
      </w:r>
      <w:proofErr w:type="spellEnd"/>
      <w:r w:rsidRPr="00467DB0">
        <w:t xml:space="preserve">, hvis det er </w:t>
      </w:r>
      <w:proofErr w:type="spellStart"/>
      <w:r w:rsidRPr="00467DB0">
        <w:t>nødvendigt</w:t>
      </w:r>
      <w:proofErr w:type="spellEnd"/>
      <w:r w:rsidRPr="00467DB0">
        <w:t xml:space="preserve"> for at </w:t>
      </w:r>
      <w:proofErr w:type="spellStart"/>
      <w:r w:rsidRPr="00467DB0">
        <w:t>udføre</w:t>
      </w:r>
      <w:proofErr w:type="spellEnd"/>
      <w:r w:rsidRPr="00467DB0">
        <w:t xml:space="preserve"> deres </w:t>
      </w:r>
      <w:proofErr w:type="spellStart"/>
      <w:r w:rsidRPr="00467DB0">
        <w:t>opgaver</w:t>
      </w:r>
      <w:proofErr w:type="spellEnd"/>
      <w:r w:rsidRPr="00467DB0">
        <w:t xml:space="preserve"> i henhold til denne forordning og for at </w:t>
      </w:r>
      <w:proofErr w:type="spellStart"/>
      <w:r w:rsidRPr="00467DB0">
        <w:t>opfylde</w:t>
      </w:r>
      <w:proofErr w:type="spellEnd"/>
      <w:r w:rsidRPr="00467DB0">
        <w:t xml:space="preserve"> </w:t>
      </w:r>
      <w:proofErr w:type="spellStart"/>
      <w:r w:rsidRPr="00467DB0">
        <w:t>betingelserne</w:t>
      </w:r>
      <w:proofErr w:type="spellEnd"/>
      <w:r w:rsidRPr="00467DB0">
        <w:t xml:space="preserve"> for denne </w:t>
      </w:r>
      <w:proofErr w:type="gramStart"/>
      <w:r w:rsidRPr="00467DB0">
        <w:t>a</w:t>
      </w:r>
      <w:r w:rsidRPr="00467DB0">
        <w:t>nvendelse</w:t>
      </w:r>
      <w:proofErr w:type="gramEnd"/>
      <w:r w:rsidRPr="00467DB0">
        <w:t>.</w:t>
      </w:r>
    </w:p>
    <w:p w14:paraId="35966622" w14:textId="77777777" w:rsidR="00000000" w:rsidRPr="00467DB0" w:rsidRDefault="00693D67" w:rsidP="00467DB0">
      <w:pPr>
        <w:pStyle w:val="avsnitt-undertittel"/>
      </w:pPr>
      <w:proofErr w:type="spellStart"/>
      <w:r w:rsidRPr="00467DB0">
        <w:t>Artikel</w:t>
      </w:r>
      <w:proofErr w:type="spellEnd"/>
      <w:r w:rsidRPr="00467DB0">
        <w:t> 10</w:t>
      </w:r>
    </w:p>
    <w:p w14:paraId="65D8FE51" w14:textId="77777777" w:rsidR="00000000" w:rsidRPr="00467DB0" w:rsidRDefault="00693D67" w:rsidP="00467DB0">
      <w:pPr>
        <w:pStyle w:val="Undertittel"/>
      </w:pPr>
      <w:r w:rsidRPr="00467DB0">
        <w:t>Garanti</w:t>
      </w:r>
    </w:p>
    <w:p w14:paraId="50A14CB4" w14:textId="77777777" w:rsidR="00000000" w:rsidRPr="00467DB0" w:rsidRDefault="00693D67" w:rsidP="00467DB0">
      <w:pPr>
        <w:pStyle w:val="friliste"/>
      </w:pPr>
      <w:r w:rsidRPr="00467DB0">
        <w:t>1.</w:t>
      </w:r>
      <w:r w:rsidRPr="00467DB0">
        <w:tab/>
      </w:r>
      <w:proofErr w:type="spellStart"/>
      <w:r w:rsidRPr="00467DB0">
        <w:t>Uden</w:t>
      </w:r>
      <w:proofErr w:type="spellEnd"/>
      <w:r w:rsidRPr="00467DB0">
        <w:t xml:space="preserve"> at det berører de </w:t>
      </w:r>
      <w:proofErr w:type="spellStart"/>
      <w:r w:rsidRPr="00467DB0">
        <w:t>forpligtelser</w:t>
      </w:r>
      <w:proofErr w:type="spellEnd"/>
      <w:r w:rsidRPr="00467DB0">
        <w:t>, som føl</w:t>
      </w:r>
      <w:r w:rsidRPr="00467DB0">
        <w:t xml:space="preserve">ger </w:t>
      </w:r>
      <w:proofErr w:type="spellStart"/>
      <w:r w:rsidRPr="00467DB0">
        <w:t>af</w:t>
      </w:r>
      <w:proofErr w:type="spellEnd"/>
      <w:r w:rsidRPr="00467DB0">
        <w:t xml:space="preserve"> </w:t>
      </w:r>
      <w:proofErr w:type="spellStart"/>
      <w:r w:rsidRPr="00467DB0">
        <w:t>retligt</w:t>
      </w:r>
      <w:proofErr w:type="spellEnd"/>
      <w:r w:rsidRPr="00467DB0">
        <w:t xml:space="preserve"> bindende bestemmelser, leveres de tjenester, data og </w:t>
      </w:r>
      <w:proofErr w:type="spellStart"/>
      <w:r w:rsidRPr="00467DB0">
        <w:t>informationer</w:t>
      </w:r>
      <w:proofErr w:type="spellEnd"/>
      <w:r w:rsidRPr="00467DB0">
        <w:t xml:space="preserve">, som leveres </w:t>
      </w:r>
      <w:proofErr w:type="spellStart"/>
      <w:r w:rsidRPr="00467DB0">
        <w:t>af</w:t>
      </w:r>
      <w:proofErr w:type="spellEnd"/>
      <w:r w:rsidRPr="00467DB0">
        <w:t xml:space="preserve"> programmets komponenter, </w:t>
      </w:r>
      <w:proofErr w:type="spellStart"/>
      <w:r w:rsidRPr="00467DB0">
        <w:t>uden</w:t>
      </w:r>
      <w:proofErr w:type="spellEnd"/>
      <w:r w:rsidRPr="00467DB0">
        <w:t xml:space="preserve"> nogen </w:t>
      </w:r>
      <w:proofErr w:type="spellStart"/>
      <w:r w:rsidRPr="00467DB0">
        <w:t>udtrykkelig</w:t>
      </w:r>
      <w:proofErr w:type="spellEnd"/>
      <w:r w:rsidRPr="00467DB0">
        <w:t xml:space="preserve"> eller </w:t>
      </w:r>
      <w:proofErr w:type="spellStart"/>
      <w:r w:rsidRPr="00467DB0">
        <w:t>underforstået</w:t>
      </w:r>
      <w:proofErr w:type="spellEnd"/>
      <w:r w:rsidRPr="00467DB0">
        <w:t xml:space="preserve"> garanti for så vidt angår deres kvalitet, </w:t>
      </w:r>
      <w:proofErr w:type="spellStart"/>
      <w:r w:rsidRPr="00467DB0">
        <w:t>nøjagtighed</w:t>
      </w:r>
      <w:proofErr w:type="spellEnd"/>
      <w:r w:rsidRPr="00467DB0">
        <w:t xml:space="preserve">, </w:t>
      </w:r>
      <w:proofErr w:type="spellStart"/>
      <w:r w:rsidRPr="00467DB0">
        <w:t>tilgængelighed</w:t>
      </w:r>
      <w:proofErr w:type="spellEnd"/>
      <w:r w:rsidRPr="00467DB0">
        <w:t xml:space="preserve">, </w:t>
      </w:r>
      <w:proofErr w:type="spellStart"/>
      <w:r w:rsidRPr="00467DB0">
        <w:t>pålidelighed</w:t>
      </w:r>
      <w:proofErr w:type="spellEnd"/>
      <w:r w:rsidRPr="00467DB0">
        <w:t xml:space="preserve">, </w:t>
      </w:r>
      <w:proofErr w:type="spellStart"/>
      <w:r w:rsidRPr="00467DB0">
        <w:t>hasti</w:t>
      </w:r>
      <w:r w:rsidRPr="00467DB0">
        <w:t>ghed</w:t>
      </w:r>
      <w:proofErr w:type="spellEnd"/>
      <w:r w:rsidRPr="00467DB0">
        <w:t xml:space="preserve"> og </w:t>
      </w:r>
      <w:proofErr w:type="spellStart"/>
      <w:r w:rsidRPr="00467DB0">
        <w:t>egnethed</w:t>
      </w:r>
      <w:proofErr w:type="spellEnd"/>
      <w:r w:rsidRPr="00467DB0">
        <w:t xml:space="preserve"> til ethvert formål. </w:t>
      </w:r>
    </w:p>
    <w:p w14:paraId="57088914"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sikrer, at </w:t>
      </w:r>
      <w:proofErr w:type="spellStart"/>
      <w:r w:rsidRPr="00467DB0">
        <w:t>brugere</w:t>
      </w:r>
      <w:proofErr w:type="spellEnd"/>
      <w:r w:rsidRPr="00467DB0">
        <w:t xml:space="preserve"> </w:t>
      </w:r>
      <w:proofErr w:type="spellStart"/>
      <w:r w:rsidRPr="00467DB0">
        <w:t>af</w:t>
      </w:r>
      <w:proofErr w:type="spellEnd"/>
      <w:r w:rsidRPr="00467DB0">
        <w:t xml:space="preserve"> disse tjenester, data og </w:t>
      </w:r>
      <w:proofErr w:type="spellStart"/>
      <w:r w:rsidRPr="00467DB0">
        <w:t>informationer</w:t>
      </w:r>
      <w:proofErr w:type="spellEnd"/>
      <w:r w:rsidRPr="00467DB0">
        <w:t xml:space="preserve"> informeres på passende vis.</w:t>
      </w:r>
    </w:p>
    <w:p w14:paraId="7D7FAF7C" w14:textId="77777777" w:rsidR="00000000" w:rsidRPr="00467DB0" w:rsidRDefault="00693D67" w:rsidP="00467DB0">
      <w:pPr>
        <w:pStyle w:val="avsnitt-undertittel"/>
      </w:pPr>
      <w:proofErr w:type="spellStart"/>
      <w:r w:rsidRPr="00467DB0">
        <w:t>Afsnit</w:t>
      </w:r>
      <w:proofErr w:type="spellEnd"/>
      <w:r w:rsidRPr="00467DB0">
        <w:t xml:space="preserve"> II</w:t>
      </w:r>
    </w:p>
    <w:p w14:paraId="267C257B" w14:textId="77777777" w:rsidR="00000000" w:rsidRPr="00467DB0" w:rsidRDefault="00693D67" w:rsidP="00467DB0">
      <w:pPr>
        <w:pStyle w:val="Undertittel"/>
      </w:pPr>
      <w:r w:rsidRPr="00467DB0">
        <w:t xml:space="preserve">Bidrag og </w:t>
      </w:r>
      <w:proofErr w:type="spellStart"/>
      <w:r w:rsidRPr="00467DB0">
        <w:t>budgetordninger</w:t>
      </w:r>
      <w:proofErr w:type="spellEnd"/>
    </w:p>
    <w:p w14:paraId="03B695DC" w14:textId="77777777" w:rsidR="00000000" w:rsidRPr="00467DB0" w:rsidRDefault="00693D67" w:rsidP="00467DB0">
      <w:pPr>
        <w:pStyle w:val="avsnitt-undertittel"/>
      </w:pPr>
      <w:proofErr w:type="spellStart"/>
      <w:r w:rsidRPr="00467DB0">
        <w:t>Artikel</w:t>
      </w:r>
      <w:proofErr w:type="spellEnd"/>
      <w:r w:rsidRPr="00467DB0">
        <w:t> 11</w:t>
      </w:r>
    </w:p>
    <w:p w14:paraId="0E9FD8EA" w14:textId="77777777" w:rsidR="00000000" w:rsidRPr="00467DB0" w:rsidRDefault="00693D67" w:rsidP="00467DB0">
      <w:pPr>
        <w:pStyle w:val="Undertittel"/>
      </w:pPr>
      <w:r w:rsidRPr="00467DB0">
        <w:t>Budget</w:t>
      </w:r>
    </w:p>
    <w:p w14:paraId="25514122" w14:textId="77777777" w:rsidR="00000000" w:rsidRPr="00467DB0" w:rsidRDefault="00693D67" w:rsidP="00467DB0">
      <w:pPr>
        <w:pStyle w:val="friliste"/>
      </w:pPr>
      <w:r w:rsidRPr="00467DB0">
        <w:t>1.</w:t>
      </w:r>
      <w:r w:rsidRPr="00467DB0">
        <w:tab/>
        <w:t xml:space="preserve">Finansieringsrammen for </w:t>
      </w:r>
      <w:proofErr w:type="spellStart"/>
      <w:r w:rsidRPr="00467DB0">
        <w:t>gennemførelsen</w:t>
      </w:r>
      <w:proofErr w:type="spellEnd"/>
      <w:r w:rsidRPr="00467DB0">
        <w:t xml:space="preserve"> </w:t>
      </w:r>
      <w:proofErr w:type="spellStart"/>
      <w:r w:rsidRPr="00467DB0">
        <w:t>af</w:t>
      </w:r>
      <w:proofErr w:type="spellEnd"/>
      <w:r w:rsidRPr="00467DB0">
        <w:t xml:space="preserve"> programmet for</w:t>
      </w:r>
      <w:r w:rsidRPr="00467DB0">
        <w:t xml:space="preserve"> perioden fra den 1. januar 2021 til den 31. </w:t>
      </w:r>
      <w:proofErr w:type="spellStart"/>
      <w:r w:rsidRPr="00467DB0">
        <w:t>december</w:t>
      </w:r>
      <w:proofErr w:type="spellEnd"/>
      <w:r w:rsidRPr="00467DB0">
        <w:t xml:space="preserve"> 2027 og til </w:t>
      </w:r>
      <w:proofErr w:type="spellStart"/>
      <w:r w:rsidRPr="00467DB0">
        <w:t>dækning</w:t>
      </w:r>
      <w:proofErr w:type="spellEnd"/>
      <w:r w:rsidRPr="00467DB0">
        <w:t xml:space="preserve"> </w:t>
      </w:r>
      <w:proofErr w:type="spellStart"/>
      <w:r w:rsidRPr="00467DB0">
        <w:t>af</w:t>
      </w:r>
      <w:proofErr w:type="spellEnd"/>
      <w:r w:rsidRPr="00467DB0">
        <w:t xml:space="preserve"> de dermed forbundne </w:t>
      </w:r>
      <w:proofErr w:type="spellStart"/>
      <w:r w:rsidRPr="00467DB0">
        <w:t>risici</w:t>
      </w:r>
      <w:proofErr w:type="spellEnd"/>
      <w:r w:rsidRPr="00467DB0">
        <w:t xml:space="preserve">, er på 14,880 </w:t>
      </w:r>
      <w:proofErr w:type="spellStart"/>
      <w:r w:rsidRPr="00467DB0">
        <w:t>mia</w:t>
      </w:r>
      <w:proofErr w:type="spellEnd"/>
      <w:r w:rsidRPr="00467DB0">
        <w:t xml:space="preserve">. EUR i </w:t>
      </w:r>
      <w:proofErr w:type="spellStart"/>
      <w:r w:rsidRPr="00467DB0">
        <w:t>løbende</w:t>
      </w:r>
      <w:proofErr w:type="spellEnd"/>
      <w:r w:rsidRPr="00467DB0">
        <w:t xml:space="preserve"> priser.</w:t>
      </w:r>
    </w:p>
    <w:p w14:paraId="393C6AB4" w14:textId="77777777" w:rsidR="00000000" w:rsidRPr="00467DB0" w:rsidRDefault="00693D67" w:rsidP="00467DB0">
      <w:pPr>
        <w:pStyle w:val="Listeavsnitt"/>
      </w:pPr>
      <w:r w:rsidRPr="00467DB0">
        <w:t xml:space="preserve">Det i første </w:t>
      </w:r>
      <w:proofErr w:type="spellStart"/>
      <w:r w:rsidRPr="00467DB0">
        <w:t>afsnit</w:t>
      </w:r>
      <w:proofErr w:type="spellEnd"/>
      <w:r w:rsidRPr="00467DB0">
        <w:t xml:space="preserve"> omhandlede </w:t>
      </w:r>
      <w:proofErr w:type="spellStart"/>
      <w:r w:rsidRPr="00467DB0">
        <w:t>beløb</w:t>
      </w:r>
      <w:proofErr w:type="spellEnd"/>
      <w:r w:rsidRPr="00467DB0">
        <w:t xml:space="preserve"> </w:t>
      </w:r>
      <w:proofErr w:type="spellStart"/>
      <w:r w:rsidRPr="00467DB0">
        <w:t>inddeles</w:t>
      </w:r>
      <w:proofErr w:type="spellEnd"/>
      <w:r w:rsidRPr="00467DB0">
        <w:t xml:space="preserve"> i følgende </w:t>
      </w:r>
      <w:proofErr w:type="spellStart"/>
      <w:r w:rsidRPr="00467DB0">
        <w:t>udgiftskategorier</w:t>
      </w:r>
      <w:proofErr w:type="spellEnd"/>
      <w:r w:rsidRPr="00467DB0">
        <w:t>:</w:t>
      </w:r>
    </w:p>
    <w:p w14:paraId="5DD63B74" w14:textId="77777777" w:rsidR="00000000" w:rsidRPr="00467DB0" w:rsidRDefault="00693D67" w:rsidP="00467DB0">
      <w:pPr>
        <w:pStyle w:val="friliste2"/>
      </w:pPr>
      <w:r w:rsidRPr="00467DB0">
        <w:t>a)</w:t>
      </w:r>
      <w:r w:rsidRPr="00467DB0">
        <w:tab/>
        <w:t xml:space="preserve">for Galileo og EGNOS: 9,017 </w:t>
      </w:r>
      <w:proofErr w:type="spellStart"/>
      <w:r w:rsidRPr="00467DB0">
        <w:t>mi</w:t>
      </w:r>
      <w:r w:rsidRPr="00467DB0">
        <w:t>a</w:t>
      </w:r>
      <w:proofErr w:type="spellEnd"/>
      <w:r w:rsidRPr="00467DB0">
        <w:t>. EUR</w:t>
      </w:r>
    </w:p>
    <w:p w14:paraId="7EB3B697" w14:textId="77777777" w:rsidR="00000000" w:rsidRPr="00467DB0" w:rsidRDefault="00693D67" w:rsidP="00467DB0">
      <w:pPr>
        <w:pStyle w:val="friliste2"/>
      </w:pPr>
      <w:r w:rsidRPr="00467DB0">
        <w:t>b)</w:t>
      </w:r>
      <w:r w:rsidRPr="00467DB0">
        <w:tab/>
        <w:t xml:space="preserve">for Copernicus: 5,421 </w:t>
      </w:r>
      <w:proofErr w:type="spellStart"/>
      <w:r w:rsidRPr="00467DB0">
        <w:t>mia</w:t>
      </w:r>
      <w:proofErr w:type="spellEnd"/>
      <w:r w:rsidRPr="00467DB0">
        <w:t>. EUR</w:t>
      </w:r>
    </w:p>
    <w:p w14:paraId="4F70BCCF" w14:textId="77777777" w:rsidR="00000000" w:rsidRPr="00467DB0" w:rsidRDefault="00693D67" w:rsidP="00467DB0">
      <w:pPr>
        <w:pStyle w:val="friliste2"/>
      </w:pPr>
      <w:r w:rsidRPr="00467DB0">
        <w:t>c)</w:t>
      </w:r>
      <w:r w:rsidRPr="00467DB0">
        <w:tab/>
        <w:t xml:space="preserve">for SSA og GOVSATCOM: 0,442 </w:t>
      </w:r>
      <w:proofErr w:type="spellStart"/>
      <w:r w:rsidRPr="00467DB0">
        <w:t>mia</w:t>
      </w:r>
      <w:proofErr w:type="spellEnd"/>
      <w:r w:rsidRPr="00467DB0">
        <w:t>. EUR.</w:t>
      </w:r>
    </w:p>
    <w:p w14:paraId="33083814"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kan omfordele midler </w:t>
      </w:r>
      <w:proofErr w:type="spellStart"/>
      <w:r w:rsidRPr="00467DB0">
        <w:t>mellem</w:t>
      </w:r>
      <w:proofErr w:type="spellEnd"/>
      <w:r w:rsidRPr="00467DB0">
        <w:t xml:space="preserve"> de i denne </w:t>
      </w:r>
      <w:proofErr w:type="spellStart"/>
      <w:r w:rsidRPr="00467DB0">
        <w:t>artikels</w:t>
      </w:r>
      <w:proofErr w:type="spellEnd"/>
      <w:r w:rsidRPr="00467DB0">
        <w:t xml:space="preserve"> stk. 1 omhandlede </w:t>
      </w:r>
      <w:proofErr w:type="spellStart"/>
      <w:r w:rsidRPr="00467DB0">
        <w:t>udgiftskategorier</w:t>
      </w:r>
      <w:proofErr w:type="spellEnd"/>
      <w:r w:rsidRPr="00467DB0">
        <w:t xml:space="preserve"> </w:t>
      </w:r>
      <w:proofErr w:type="spellStart"/>
      <w:r w:rsidRPr="00467DB0">
        <w:t>op</w:t>
      </w:r>
      <w:proofErr w:type="spellEnd"/>
      <w:r w:rsidRPr="00467DB0">
        <w:t xml:space="preserve"> til et loft på 7,5 % </w:t>
      </w:r>
      <w:proofErr w:type="spellStart"/>
      <w:r w:rsidRPr="00467DB0">
        <w:t>af</w:t>
      </w:r>
      <w:proofErr w:type="spellEnd"/>
      <w:r w:rsidRPr="00467DB0">
        <w:t xml:space="preserve"> den kategori </w:t>
      </w:r>
      <w:proofErr w:type="spellStart"/>
      <w:r w:rsidRPr="00467DB0">
        <w:t>af</w:t>
      </w:r>
      <w:proofErr w:type="spellEnd"/>
      <w:r w:rsidRPr="00467DB0">
        <w:t xml:space="preserve"> </w:t>
      </w:r>
      <w:proofErr w:type="spellStart"/>
      <w:r w:rsidRPr="00467DB0">
        <w:t>udgifter</w:t>
      </w:r>
      <w:proofErr w:type="spellEnd"/>
      <w:r w:rsidRPr="00467DB0">
        <w:t xml:space="preserve">, der </w:t>
      </w:r>
      <w:proofErr w:type="spellStart"/>
      <w:r w:rsidRPr="00467DB0">
        <w:t>modtager</w:t>
      </w:r>
      <w:proofErr w:type="spellEnd"/>
      <w:r w:rsidRPr="00467DB0">
        <w:t xml:space="preserve"> midlerne</w:t>
      </w:r>
      <w:r w:rsidRPr="00467DB0">
        <w:t xml:space="preserve">, eller den kategori, som finansierer midlerne. </w:t>
      </w:r>
      <w:proofErr w:type="spellStart"/>
      <w:r w:rsidRPr="00467DB0">
        <w:t>Kommissionen</w:t>
      </w:r>
      <w:proofErr w:type="spellEnd"/>
      <w:r w:rsidRPr="00467DB0">
        <w:t xml:space="preserve"> kan ved </w:t>
      </w:r>
      <w:proofErr w:type="spellStart"/>
      <w:r w:rsidRPr="00467DB0">
        <w:t>gennemførelsesretsakter</w:t>
      </w:r>
      <w:proofErr w:type="spellEnd"/>
      <w:r w:rsidRPr="00467DB0">
        <w:t xml:space="preserve"> omfordele </w:t>
      </w:r>
      <w:r w:rsidRPr="00467DB0">
        <w:lastRenderedPageBreak/>
        <w:t xml:space="preserve">midler </w:t>
      </w:r>
      <w:proofErr w:type="spellStart"/>
      <w:r w:rsidRPr="00467DB0">
        <w:t>mellem</w:t>
      </w:r>
      <w:proofErr w:type="spellEnd"/>
      <w:r w:rsidRPr="00467DB0">
        <w:t xml:space="preserve"> de i denne </w:t>
      </w:r>
      <w:proofErr w:type="spellStart"/>
      <w:r w:rsidRPr="00467DB0">
        <w:t>artikels</w:t>
      </w:r>
      <w:proofErr w:type="spellEnd"/>
      <w:r w:rsidRPr="00467DB0">
        <w:t xml:space="preserve"> stk. 1 omhandlede </w:t>
      </w:r>
      <w:proofErr w:type="spellStart"/>
      <w:r w:rsidRPr="00467DB0">
        <w:t>udgiftskategorier</w:t>
      </w:r>
      <w:proofErr w:type="spellEnd"/>
      <w:r w:rsidRPr="00467DB0">
        <w:t xml:space="preserve">, når denne tildeling overstiger et samlet </w:t>
      </w:r>
      <w:proofErr w:type="spellStart"/>
      <w:r w:rsidRPr="00467DB0">
        <w:t>beløb</w:t>
      </w:r>
      <w:proofErr w:type="spellEnd"/>
      <w:r w:rsidRPr="00467DB0">
        <w:t xml:space="preserve">, der er større end 7,5 % </w:t>
      </w:r>
      <w:proofErr w:type="spellStart"/>
      <w:r w:rsidRPr="00467DB0">
        <w:t>af</w:t>
      </w:r>
      <w:proofErr w:type="spellEnd"/>
      <w:r w:rsidRPr="00467DB0">
        <w:t xml:space="preserve"> det </w:t>
      </w:r>
      <w:proofErr w:type="spellStart"/>
      <w:r w:rsidRPr="00467DB0">
        <w:t>bel</w:t>
      </w:r>
      <w:r w:rsidRPr="00467DB0">
        <w:t>øb</w:t>
      </w:r>
      <w:proofErr w:type="spellEnd"/>
      <w:r w:rsidRPr="00467DB0">
        <w:t xml:space="preserve">, der er </w:t>
      </w:r>
      <w:proofErr w:type="spellStart"/>
      <w:r w:rsidRPr="00467DB0">
        <w:t>afsat</w:t>
      </w:r>
      <w:proofErr w:type="spellEnd"/>
      <w:r w:rsidRPr="00467DB0">
        <w:t xml:space="preserve"> til den </w:t>
      </w:r>
      <w:proofErr w:type="spellStart"/>
      <w:r w:rsidRPr="00467DB0">
        <w:t>udgiftskategori</w:t>
      </w:r>
      <w:proofErr w:type="spellEnd"/>
      <w:r w:rsidRPr="00467DB0">
        <w:t xml:space="preserve">, som </w:t>
      </w:r>
      <w:proofErr w:type="spellStart"/>
      <w:r w:rsidRPr="00467DB0">
        <w:t>modtager</w:t>
      </w:r>
      <w:proofErr w:type="spellEnd"/>
      <w:r w:rsidRPr="00467DB0">
        <w:t xml:space="preserve"> midlerne, eller den kategori, som finansierer midlerne.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i overensstemmelse med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5D5C19CD" w14:textId="77777777" w:rsidR="00000000" w:rsidRPr="00467DB0" w:rsidRDefault="00693D67" w:rsidP="00467DB0">
      <w:pPr>
        <w:pStyle w:val="friliste"/>
      </w:pPr>
      <w:r w:rsidRPr="00467DB0">
        <w:t>3.</w:t>
      </w:r>
      <w:r w:rsidRPr="00467DB0">
        <w:tab/>
      </w:r>
      <w:proofErr w:type="spellStart"/>
      <w:r w:rsidRPr="00467DB0">
        <w:t>Yderligere</w:t>
      </w:r>
      <w:proofErr w:type="spellEnd"/>
      <w:r w:rsidRPr="00467DB0">
        <w:t xml:space="preserve"> foranstaltninger i hen</w:t>
      </w:r>
      <w:r w:rsidRPr="00467DB0">
        <w:t xml:space="preserve">hold til </w:t>
      </w:r>
      <w:proofErr w:type="spellStart"/>
      <w:r w:rsidRPr="00467DB0">
        <w:t>artikel</w:t>
      </w:r>
      <w:proofErr w:type="spellEnd"/>
      <w:r w:rsidRPr="00467DB0">
        <w:t xml:space="preserve"> 3, stk. 2, nemlig de i </w:t>
      </w:r>
      <w:proofErr w:type="spellStart"/>
      <w:r w:rsidRPr="00467DB0">
        <w:t>artikel</w:t>
      </w:r>
      <w:proofErr w:type="spellEnd"/>
      <w:r w:rsidRPr="00467DB0">
        <w:t xml:space="preserve"> 5 og 6 omhandlede aktiviteter, finansieres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programmets komponenter.</w:t>
      </w:r>
    </w:p>
    <w:p w14:paraId="3156B2B4" w14:textId="77777777" w:rsidR="00000000" w:rsidRPr="00467DB0" w:rsidRDefault="00693D67" w:rsidP="00467DB0">
      <w:pPr>
        <w:pStyle w:val="friliste"/>
      </w:pPr>
      <w:r w:rsidRPr="00467DB0">
        <w:t>4.</w:t>
      </w:r>
      <w:r w:rsidRPr="00467DB0">
        <w:tab/>
        <w:t xml:space="preserve">De </w:t>
      </w:r>
      <w:proofErr w:type="spellStart"/>
      <w:r w:rsidRPr="00467DB0">
        <w:t>budgetbevillinger</w:t>
      </w:r>
      <w:proofErr w:type="spellEnd"/>
      <w:r w:rsidRPr="00467DB0">
        <w:t xml:space="preserve">, som Unionen </w:t>
      </w:r>
      <w:proofErr w:type="spellStart"/>
      <w:r w:rsidRPr="00467DB0">
        <w:t>afsætter</w:t>
      </w:r>
      <w:proofErr w:type="spellEnd"/>
      <w:r w:rsidRPr="00467DB0">
        <w:t xml:space="preserve"> til programmet, skal </w:t>
      </w:r>
      <w:proofErr w:type="spellStart"/>
      <w:r w:rsidRPr="00467DB0">
        <w:t>dække</w:t>
      </w:r>
      <w:proofErr w:type="spellEnd"/>
      <w:r w:rsidRPr="00467DB0">
        <w:t xml:space="preserve"> alle de aktiviteter, som er nødvendige for at</w:t>
      </w:r>
      <w:r w:rsidRPr="00467DB0">
        <w:t xml:space="preserve"> </w:t>
      </w:r>
      <w:proofErr w:type="spellStart"/>
      <w:r w:rsidRPr="00467DB0">
        <w:t>opfylde</w:t>
      </w:r>
      <w:proofErr w:type="spellEnd"/>
      <w:r w:rsidRPr="00467DB0">
        <w:t xml:space="preserve"> </w:t>
      </w:r>
      <w:proofErr w:type="spellStart"/>
      <w:r w:rsidRPr="00467DB0">
        <w:t>målsætningerne</w:t>
      </w:r>
      <w:proofErr w:type="spellEnd"/>
      <w:r w:rsidRPr="00467DB0">
        <w:t xml:space="preserve"> i </w:t>
      </w:r>
      <w:proofErr w:type="spellStart"/>
      <w:r w:rsidRPr="00467DB0">
        <w:t>artikel</w:t>
      </w:r>
      <w:proofErr w:type="spellEnd"/>
      <w:r w:rsidRPr="00467DB0">
        <w:t xml:space="preserve"> 4. Disse </w:t>
      </w:r>
      <w:proofErr w:type="spellStart"/>
      <w:r w:rsidRPr="00467DB0">
        <w:t>udgifter</w:t>
      </w:r>
      <w:proofErr w:type="spellEnd"/>
      <w:r w:rsidRPr="00467DB0">
        <w:t xml:space="preserve"> kan </w:t>
      </w:r>
      <w:proofErr w:type="spellStart"/>
      <w:r w:rsidRPr="00467DB0">
        <w:t>dække</w:t>
      </w:r>
      <w:proofErr w:type="spellEnd"/>
      <w:r w:rsidRPr="00467DB0">
        <w:t>:</w:t>
      </w:r>
    </w:p>
    <w:p w14:paraId="66126613" w14:textId="77777777" w:rsidR="00000000" w:rsidRPr="00467DB0" w:rsidRDefault="00693D67" w:rsidP="00467DB0">
      <w:pPr>
        <w:pStyle w:val="friliste2"/>
      </w:pPr>
      <w:r w:rsidRPr="00467DB0">
        <w:t>a)</w:t>
      </w:r>
      <w:r w:rsidRPr="00467DB0">
        <w:tab/>
      </w:r>
      <w:proofErr w:type="spellStart"/>
      <w:r w:rsidRPr="00467DB0">
        <w:t>undersøgelser</w:t>
      </w:r>
      <w:proofErr w:type="spellEnd"/>
      <w:r w:rsidRPr="00467DB0">
        <w:t xml:space="preserve"> og </w:t>
      </w:r>
      <w:proofErr w:type="spellStart"/>
      <w:r w:rsidRPr="00467DB0">
        <w:t>ekspertmøder</w:t>
      </w:r>
      <w:proofErr w:type="spellEnd"/>
      <w:r w:rsidRPr="00467DB0">
        <w:t xml:space="preserve">, navnlig i overensstemmelse med omkostnings- og </w:t>
      </w:r>
      <w:proofErr w:type="spellStart"/>
      <w:r w:rsidRPr="00467DB0">
        <w:t>tidsmæssige</w:t>
      </w:r>
      <w:proofErr w:type="spellEnd"/>
      <w:r w:rsidRPr="00467DB0">
        <w:t xml:space="preserve"> </w:t>
      </w:r>
      <w:proofErr w:type="spellStart"/>
      <w:r w:rsidRPr="00467DB0">
        <w:t>begrænsninger</w:t>
      </w:r>
      <w:proofErr w:type="spellEnd"/>
    </w:p>
    <w:p w14:paraId="6AE2DA11" w14:textId="77777777" w:rsidR="00000000" w:rsidRPr="00467DB0" w:rsidRDefault="00693D67" w:rsidP="00467DB0">
      <w:pPr>
        <w:pStyle w:val="friliste2"/>
      </w:pPr>
      <w:r w:rsidRPr="00467DB0">
        <w:t>b)</w:t>
      </w:r>
      <w:r w:rsidRPr="00467DB0">
        <w:tab/>
      </w:r>
      <w:proofErr w:type="spellStart"/>
      <w:r w:rsidRPr="00467DB0">
        <w:t>informations</w:t>
      </w:r>
      <w:proofErr w:type="spellEnd"/>
      <w:r w:rsidRPr="00467DB0">
        <w:t xml:space="preserve">- og </w:t>
      </w:r>
      <w:proofErr w:type="spellStart"/>
      <w:r w:rsidRPr="00467DB0">
        <w:t>kommunikationstiltag</w:t>
      </w:r>
      <w:proofErr w:type="spellEnd"/>
      <w:r w:rsidRPr="00467DB0">
        <w:t xml:space="preserve">, </w:t>
      </w:r>
      <w:proofErr w:type="gramStart"/>
      <w:r w:rsidRPr="00467DB0">
        <w:t xml:space="preserve">herunder intern </w:t>
      </w:r>
      <w:proofErr w:type="spellStart"/>
      <w:r w:rsidRPr="00467DB0">
        <w:t>kommunikation</w:t>
      </w:r>
      <w:proofErr w:type="spellEnd"/>
      <w:proofErr w:type="gramEnd"/>
      <w:r w:rsidRPr="00467DB0">
        <w:t xml:space="preserve"> om den </w:t>
      </w:r>
      <w:proofErr w:type="spellStart"/>
      <w:r w:rsidRPr="00467DB0">
        <w:t>institu</w:t>
      </w:r>
      <w:r w:rsidRPr="00467DB0">
        <w:t>tionelle</w:t>
      </w:r>
      <w:proofErr w:type="spellEnd"/>
      <w:r w:rsidRPr="00467DB0">
        <w:t xml:space="preserve"> formidling </w:t>
      </w:r>
      <w:proofErr w:type="spellStart"/>
      <w:r w:rsidRPr="00467DB0">
        <w:t>af</w:t>
      </w:r>
      <w:proofErr w:type="spellEnd"/>
      <w:r w:rsidRPr="00467DB0">
        <w:t xml:space="preserve"> Unionens politiske prioriteringer, </w:t>
      </w:r>
      <w:proofErr w:type="spellStart"/>
      <w:r w:rsidRPr="00467DB0">
        <w:t>forudsat</w:t>
      </w:r>
      <w:proofErr w:type="spellEnd"/>
      <w:r w:rsidRPr="00467DB0">
        <w:t xml:space="preserve"> at de vedrører de overordnede </w:t>
      </w:r>
      <w:proofErr w:type="spellStart"/>
      <w:r w:rsidRPr="00467DB0">
        <w:t>målsætninger</w:t>
      </w:r>
      <w:proofErr w:type="spellEnd"/>
      <w:r w:rsidRPr="00467DB0">
        <w:t xml:space="preserve"> i denne forordning direkte, navnlig med </w:t>
      </w:r>
      <w:proofErr w:type="spellStart"/>
      <w:r w:rsidRPr="00467DB0">
        <w:t>henblik</w:t>
      </w:r>
      <w:proofErr w:type="spellEnd"/>
      <w:r w:rsidRPr="00467DB0">
        <w:t xml:space="preserve"> på at </w:t>
      </w:r>
      <w:proofErr w:type="spellStart"/>
      <w:r w:rsidRPr="00467DB0">
        <w:t>skabe</w:t>
      </w:r>
      <w:proofErr w:type="spellEnd"/>
      <w:r w:rsidRPr="00467DB0">
        <w:t xml:space="preserve"> synergi med andre EU-politikker</w:t>
      </w:r>
    </w:p>
    <w:p w14:paraId="1BD49EFC" w14:textId="77777777" w:rsidR="00000000" w:rsidRPr="00467DB0" w:rsidRDefault="00693D67" w:rsidP="00467DB0">
      <w:pPr>
        <w:pStyle w:val="friliste2"/>
      </w:pPr>
      <w:r w:rsidRPr="00467DB0">
        <w:t>c)</w:t>
      </w:r>
      <w:r w:rsidRPr="00467DB0">
        <w:tab/>
      </w:r>
      <w:proofErr w:type="spellStart"/>
      <w:r w:rsidRPr="00467DB0">
        <w:t>informationsteknologinet</w:t>
      </w:r>
      <w:proofErr w:type="spellEnd"/>
      <w:r w:rsidRPr="00467DB0">
        <w:t xml:space="preserve">, hvis </w:t>
      </w:r>
      <w:proofErr w:type="spellStart"/>
      <w:r w:rsidRPr="00467DB0">
        <w:t>funktion</w:t>
      </w:r>
      <w:proofErr w:type="spellEnd"/>
      <w:r w:rsidRPr="00467DB0">
        <w:t xml:space="preserve"> er at behan</w:t>
      </w:r>
      <w:r w:rsidRPr="00467DB0">
        <w:t xml:space="preserve">dle eller </w:t>
      </w:r>
      <w:proofErr w:type="spellStart"/>
      <w:r w:rsidRPr="00467DB0">
        <w:t>udveksle</w:t>
      </w:r>
      <w:proofErr w:type="spellEnd"/>
      <w:r w:rsidRPr="00467DB0">
        <w:t xml:space="preserve"> </w:t>
      </w:r>
      <w:proofErr w:type="spellStart"/>
      <w:r w:rsidRPr="00467DB0">
        <w:t>oplysninger</w:t>
      </w:r>
      <w:proofErr w:type="spellEnd"/>
      <w:r w:rsidRPr="00467DB0">
        <w:t xml:space="preserve">, og </w:t>
      </w:r>
      <w:proofErr w:type="spellStart"/>
      <w:r w:rsidRPr="00467DB0">
        <w:t>forvaltningsmæssige</w:t>
      </w:r>
      <w:proofErr w:type="spellEnd"/>
      <w:r w:rsidRPr="00467DB0">
        <w:t xml:space="preserve"> eller administrative foranstaltninger, herunder på </w:t>
      </w:r>
      <w:proofErr w:type="spellStart"/>
      <w:r w:rsidRPr="00467DB0">
        <w:t>sikkerhedsområdet</w:t>
      </w:r>
      <w:proofErr w:type="spellEnd"/>
      <w:r w:rsidRPr="00467DB0">
        <w:t xml:space="preserve">, som </w:t>
      </w:r>
      <w:proofErr w:type="spellStart"/>
      <w:r w:rsidRPr="00467DB0">
        <w:t>gennemføres</w:t>
      </w:r>
      <w:proofErr w:type="spellEnd"/>
      <w:r w:rsidRPr="00467DB0">
        <w:t xml:space="preserve"> </w:t>
      </w:r>
      <w:proofErr w:type="spellStart"/>
      <w:r w:rsidRPr="00467DB0">
        <w:t>af</w:t>
      </w:r>
      <w:proofErr w:type="spellEnd"/>
      <w:r w:rsidRPr="00467DB0">
        <w:t xml:space="preserve"> </w:t>
      </w:r>
      <w:proofErr w:type="spellStart"/>
      <w:r w:rsidRPr="00467DB0">
        <w:t>Kommissionen</w:t>
      </w:r>
      <w:proofErr w:type="spellEnd"/>
    </w:p>
    <w:p w14:paraId="46E3F719" w14:textId="77777777" w:rsidR="00000000" w:rsidRPr="00467DB0" w:rsidRDefault="00693D67" w:rsidP="00467DB0">
      <w:pPr>
        <w:pStyle w:val="friliste2"/>
      </w:pPr>
      <w:r w:rsidRPr="00467DB0">
        <w:t>d)</w:t>
      </w:r>
      <w:r w:rsidRPr="00467DB0">
        <w:tab/>
        <w:t xml:space="preserve">teknisk og administrativ bistand i forbindelse med programmets </w:t>
      </w:r>
      <w:proofErr w:type="spellStart"/>
      <w:r w:rsidRPr="00467DB0">
        <w:t>gennemførelse</w:t>
      </w:r>
      <w:proofErr w:type="spellEnd"/>
      <w:r w:rsidRPr="00467DB0">
        <w:t>, eksempelvis forber</w:t>
      </w:r>
      <w:r w:rsidRPr="00467DB0">
        <w:t xml:space="preserve">edelses-, </w:t>
      </w:r>
      <w:proofErr w:type="spellStart"/>
      <w:r w:rsidRPr="00467DB0">
        <w:t>overvågnings</w:t>
      </w:r>
      <w:proofErr w:type="spellEnd"/>
      <w:r w:rsidRPr="00467DB0">
        <w:t xml:space="preserve">-, </w:t>
      </w:r>
      <w:proofErr w:type="spellStart"/>
      <w:r w:rsidRPr="00467DB0">
        <w:t>kontrol</w:t>
      </w:r>
      <w:proofErr w:type="spellEnd"/>
      <w:r w:rsidRPr="00467DB0">
        <w:t xml:space="preserve">-, </w:t>
      </w:r>
      <w:proofErr w:type="spellStart"/>
      <w:r w:rsidRPr="00467DB0">
        <w:t>revisions</w:t>
      </w:r>
      <w:proofErr w:type="spellEnd"/>
      <w:r w:rsidRPr="00467DB0">
        <w:t xml:space="preserve">- og evalueringsaktiviteter, herunder </w:t>
      </w:r>
      <w:proofErr w:type="spellStart"/>
      <w:r w:rsidRPr="00467DB0">
        <w:t>informationsteknologisystemer</w:t>
      </w:r>
      <w:proofErr w:type="spellEnd"/>
      <w:r w:rsidRPr="00467DB0">
        <w:t xml:space="preserve"> i </w:t>
      </w:r>
      <w:proofErr w:type="spellStart"/>
      <w:r w:rsidRPr="00467DB0">
        <w:t>virksomheder</w:t>
      </w:r>
      <w:proofErr w:type="spellEnd"/>
      <w:r w:rsidRPr="00467DB0">
        <w:t>.</w:t>
      </w:r>
    </w:p>
    <w:p w14:paraId="328B53D9" w14:textId="77777777" w:rsidR="00000000" w:rsidRPr="00467DB0" w:rsidRDefault="00693D67" w:rsidP="00467DB0">
      <w:pPr>
        <w:pStyle w:val="friliste"/>
      </w:pPr>
      <w:r w:rsidRPr="00467DB0">
        <w:t>5.</w:t>
      </w:r>
      <w:r w:rsidRPr="00467DB0">
        <w:tab/>
        <w:t xml:space="preserve">Foranstaltninger, der </w:t>
      </w:r>
      <w:proofErr w:type="spellStart"/>
      <w:r w:rsidRPr="00467DB0">
        <w:t>modtager</w:t>
      </w:r>
      <w:proofErr w:type="spellEnd"/>
      <w:r w:rsidRPr="00467DB0">
        <w:t xml:space="preserve"> </w:t>
      </w:r>
      <w:proofErr w:type="spellStart"/>
      <w:r w:rsidRPr="00467DB0">
        <w:t>kumuleret</w:t>
      </w:r>
      <w:proofErr w:type="spellEnd"/>
      <w:r w:rsidRPr="00467DB0">
        <w:t xml:space="preserve"> finansiering fra </w:t>
      </w:r>
      <w:proofErr w:type="spellStart"/>
      <w:r w:rsidRPr="00467DB0">
        <w:t>forskellige</w:t>
      </w:r>
      <w:proofErr w:type="spellEnd"/>
      <w:r w:rsidRPr="00467DB0">
        <w:t xml:space="preserve"> EU-programmer, må kun revideres en gang, der omfatter a</w:t>
      </w:r>
      <w:r w:rsidRPr="00467DB0">
        <w:t xml:space="preserve">lle </w:t>
      </w:r>
      <w:proofErr w:type="spellStart"/>
      <w:r w:rsidRPr="00467DB0">
        <w:t>involverede</w:t>
      </w:r>
      <w:proofErr w:type="spellEnd"/>
      <w:r w:rsidRPr="00467DB0">
        <w:t xml:space="preserve"> programmer og de respektive regler </w:t>
      </w:r>
      <w:proofErr w:type="spellStart"/>
      <w:r w:rsidRPr="00467DB0">
        <w:t>herfor</w:t>
      </w:r>
      <w:proofErr w:type="spellEnd"/>
      <w:r w:rsidRPr="00467DB0">
        <w:t>.</w:t>
      </w:r>
    </w:p>
    <w:p w14:paraId="261C768A" w14:textId="77777777" w:rsidR="00000000" w:rsidRPr="00467DB0" w:rsidRDefault="00693D67" w:rsidP="00467DB0">
      <w:pPr>
        <w:pStyle w:val="friliste"/>
      </w:pPr>
      <w:r w:rsidRPr="00467DB0">
        <w:t>6.</w:t>
      </w:r>
      <w:r w:rsidRPr="00467DB0">
        <w:tab/>
      </w:r>
      <w:proofErr w:type="spellStart"/>
      <w:r w:rsidRPr="00467DB0">
        <w:t>Budgetforpligtelserne</w:t>
      </w:r>
      <w:proofErr w:type="spellEnd"/>
      <w:r w:rsidRPr="00467DB0">
        <w:t xml:space="preserve"> </w:t>
      </w:r>
      <w:proofErr w:type="gramStart"/>
      <w:r w:rsidRPr="00467DB0">
        <w:t>vedrørende</w:t>
      </w:r>
      <w:proofErr w:type="gramEnd"/>
      <w:r w:rsidRPr="00467DB0">
        <w:t xml:space="preserve"> programmet, som omfatter aktiviteter, der </w:t>
      </w:r>
      <w:proofErr w:type="spellStart"/>
      <w:r w:rsidRPr="00467DB0">
        <w:t>løber</w:t>
      </w:r>
      <w:proofErr w:type="spellEnd"/>
      <w:r w:rsidRPr="00467DB0">
        <w:t xml:space="preserve"> over mere end </w:t>
      </w:r>
      <w:proofErr w:type="spellStart"/>
      <w:r w:rsidRPr="00467DB0">
        <w:t>ét</w:t>
      </w:r>
      <w:proofErr w:type="spellEnd"/>
      <w:r w:rsidRPr="00467DB0">
        <w:t xml:space="preserve"> </w:t>
      </w:r>
      <w:proofErr w:type="spellStart"/>
      <w:r w:rsidRPr="00467DB0">
        <w:t>regnskabsår</w:t>
      </w:r>
      <w:proofErr w:type="spellEnd"/>
      <w:r w:rsidRPr="00467DB0">
        <w:t xml:space="preserve">, kan </w:t>
      </w:r>
      <w:proofErr w:type="spellStart"/>
      <w:r w:rsidRPr="00467DB0">
        <w:t>opdeles</w:t>
      </w:r>
      <w:proofErr w:type="spellEnd"/>
      <w:r w:rsidRPr="00467DB0">
        <w:t xml:space="preserve"> på flere år i årlige trancher.</w:t>
      </w:r>
    </w:p>
    <w:p w14:paraId="2CFC4348" w14:textId="77777777" w:rsidR="00000000" w:rsidRPr="00467DB0" w:rsidRDefault="00693D67" w:rsidP="00467DB0">
      <w:pPr>
        <w:pStyle w:val="friliste"/>
      </w:pPr>
      <w:r w:rsidRPr="00467DB0">
        <w:t>7.</w:t>
      </w:r>
      <w:r w:rsidRPr="00467DB0">
        <w:tab/>
      </w:r>
      <w:r w:rsidRPr="00467DB0">
        <w:t xml:space="preserve">Midler, der er tildelt </w:t>
      </w:r>
      <w:proofErr w:type="spellStart"/>
      <w:r w:rsidRPr="00467DB0">
        <w:t>medlemsstaterne</w:t>
      </w:r>
      <w:proofErr w:type="spellEnd"/>
      <w:r w:rsidRPr="00467DB0">
        <w:t xml:space="preserve"> ved delt forvaltning, kan på den </w:t>
      </w:r>
      <w:proofErr w:type="spellStart"/>
      <w:r w:rsidRPr="00467DB0">
        <w:t>pågældende</w:t>
      </w:r>
      <w:proofErr w:type="spellEnd"/>
      <w:r w:rsidRPr="00467DB0">
        <w:t xml:space="preserve"> medlemsstats anmodning overføres til programmet på de betingelser, der er </w:t>
      </w:r>
      <w:proofErr w:type="spellStart"/>
      <w:r w:rsidRPr="00467DB0">
        <w:t>fastsat</w:t>
      </w:r>
      <w:proofErr w:type="spellEnd"/>
      <w:r w:rsidRPr="00467DB0">
        <w:t xml:space="preserve"> i de relevante bestemmelser i forordningen om </w:t>
      </w:r>
      <w:proofErr w:type="spellStart"/>
      <w:r w:rsidRPr="00467DB0">
        <w:t>fælles</w:t>
      </w:r>
      <w:proofErr w:type="spellEnd"/>
      <w:r w:rsidRPr="00467DB0">
        <w:t xml:space="preserve"> bestemmelser. </w:t>
      </w:r>
      <w:proofErr w:type="spellStart"/>
      <w:r w:rsidRPr="00467DB0">
        <w:t>Kommissionen</w:t>
      </w:r>
      <w:proofErr w:type="spellEnd"/>
      <w:r w:rsidRPr="00467DB0">
        <w:t xml:space="preserve"> forvalter d</w:t>
      </w:r>
      <w:r w:rsidRPr="00467DB0">
        <w:t xml:space="preserve">isse midler direkte i overensstemmelse med finansforordningens </w:t>
      </w:r>
      <w:proofErr w:type="spellStart"/>
      <w:r w:rsidRPr="00467DB0">
        <w:t>artikel</w:t>
      </w:r>
      <w:proofErr w:type="spellEnd"/>
      <w:r w:rsidRPr="00467DB0">
        <w:t xml:space="preserve"> 62, stk. 1, litra a), eller indirekte i overensstemmelse med </w:t>
      </w:r>
      <w:proofErr w:type="spellStart"/>
      <w:r w:rsidRPr="00467DB0">
        <w:t>nævnte</w:t>
      </w:r>
      <w:proofErr w:type="spellEnd"/>
      <w:r w:rsidRPr="00467DB0">
        <w:t xml:space="preserve"> </w:t>
      </w:r>
      <w:proofErr w:type="spellStart"/>
      <w:r w:rsidRPr="00467DB0">
        <w:t>artikels</w:t>
      </w:r>
      <w:proofErr w:type="spellEnd"/>
      <w:r w:rsidRPr="00467DB0">
        <w:t xml:space="preserve"> litra c). De omhandlede midler anvendes til fordel for den </w:t>
      </w:r>
      <w:proofErr w:type="spellStart"/>
      <w:r w:rsidRPr="00467DB0">
        <w:t>pågældende</w:t>
      </w:r>
      <w:proofErr w:type="spellEnd"/>
      <w:r w:rsidRPr="00467DB0">
        <w:t xml:space="preserve"> medlemsstat.</w:t>
      </w:r>
    </w:p>
    <w:p w14:paraId="64ADEF01" w14:textId="77777777" w:rsidR="00000000" w:rsidRPr="00467DB0" w:rsidRDefault="00693D67" w:rsidP="00467DB0">
      <w:pPr>
        <w:pStyle w:val="avsnitt-undertittel"/>
      </w:pPr>
      <w:proofErr w:type="spellStart"/>
      <w:r w:rsidRPr="00467DB0">
        <w:t>Artikel</w:t>
      </w:r>
      <w:proofErr w:type="spellEnd"/>
      <w:r w:rsidRPr="00467DB0">
        <w:t> 12</w:t>
      </w:r>
    </w:p>
    <w:p w14:paraId="7FB6EEFF" w14:textId="77777777" w:rsidR="00000000" w:rsidRPr="00467DB0" w:rsidRDefault="00693D67" w:rsidP="00467DB0">
      <w:pPr>
        <w:pStyle w:val="Undertittel"/>
      </w:pPr>
      <w:r w:rsidRPr="00467DB0">
        <w:t>Formålsbestemt</w:t>
      </w:r>
      <w:r w:rsidRPr="00467DB0">
        <w:t xml:space="preserve">e </w:t>
      </w:r>
      <w:proofErr w:type="spellStart"/>
      <w:r w:rsidRPr="00467DB0">
        <w:t>indtægter</w:t>
      </w:r>
      <w:proofErr w:type="spellEnd"/>
    </w:p>
    <w:p w14:paraId="27FBB396" w14:textId="77777777" w:rsidR="00000000" w:rsidRPr="00467DB0" w:rsidRDefault="00693D67" w:rsidP="00467DB0">
      <w:pPr>
        <w:pStyle w:val="friliste"/>
      </w:pPr>
      <w:r w:rsidRPr="00467DB0">
        <w:t>1.</w:t>
      </w:r>
      <w:r w:rsidRPr="00467DB0">
        <w:tab/>
      </w:r>
      <w:proofErr w:type="spellStart"/>
      <w:r w:rsidRPr="00467DB0">
        <w:t>Indtægterne</w:t>
      </w:r>
      <w:proofErr w:type="spellEnd"/>
      <w:r w:rsidRPr="00467DB0">
        <w:t xml:space="preserve"> fra programmets komponenter betales til Unionens </w:t>
      </w:r>
      <w:proofErr w:type="spellStart"/>
      <w:r w:rsidRPr="00467DB0">
        <w:t>budget</w:t>
      </w:r>
      <w:proofErr w:type="spellEnd"/>
      <w:r w:rsidRPr="00467DB0">
        <w:t xml:space="preserve"> og anvendes til at finansiere den komponent, der </w:t>
      </w:r>
      <w:proofErr w:type="spellStart"/>
      <w:r w:rsidRPr="00467DB0">
        <w:t>genererede</w:t>
      </w:r>
      <w:proofErr w:type="spellEnd"/>
      <w:r w:rsidRPr="00467DB0">
        <w:t xml:space="preserve"> </w:t>
      </w:r>
      <w:proofErr w:type="spellStart"/>
      <w:r w:rsidRPr="00467DB0">
        <w:t>indtægterne</w:t>
      </w:r>
      <w:proofErr w:type="spellEnd"/>
      <w:r w:rsidRPr="00467DB0">
        <w:t>.</w:t>
      </w:r>
    </w:p>
    <w:p w14:paraId="7E253A36" w14:textId="77777777" w:rsidR="00000000" w:rsidRPr="00467DB0" w:rsidRDefault="00693D67" w:rsidP="00467DB0">
      <w:pPr>
        <w:pStyle w:val="friliste"/>
      </w:pPr>
      <w:r w:rsidRPr="00467DB0">
        <w:t>2.</w:t>
      </w:r>
      <w:r w:rsidRPr="00467DB0">
        <w:tab/>
      </w:r>
      <w:proofErr w:type="spellStart"/>
      <w:r w:rsidRPr="00467DB0">
        <w:t>Medlemsstaterne</w:t>
      </w:r>
      <w:proofErr w:type="spellEnd"/>
      <w:r w:rsidRPr="00467DB0">
        <w:t xml:space="preserve"> kan </w:t>
      </w:r>
      <w:proofErr w:type="spellStart"/>
      <w:r w:rsidRPr="00467DB0">
        <w:t>bidrage</w:t>
      </w:r>
      <w:proofErr w:type="spellEnd"/>
      <w:r w:rsidRPr="00467DB0">
        <w:t xml:space="preserve"> med </w:t>
      </w:r>
      <w:proofErr w:type="spellStart"/>
      <w:r w:rsidRPr="00467DB0">
        <w:t>yderligere</w:t>
      </w:r>
      <w:proofErr w:type="spellEnd"/>
      <w:r w:rsidRPr="00467DB0">
        <w:t xml:space="preserve"> finansiering </w:t>
      </w:r>
      <w:proofErr w:type="spellStart"/>
      <w:r w:rsidRPr="00467DB0">
        <w:t>af</w:t>
      </w:r>
      <w:proofErr w:type="spellEnd"/>
      <w:r w:rsidRPr="00467DB0">
        <w:t xml:space="preserve"> en </w:t>
      </w:r>
      <w:proofErr w:type="spellStart"/>
      <w:proofErr w:type="gramStart"/>
      <w:r w:rsidRPr="00467DB0">
        <w:t>af</w:t>
      </w:r>
      <w:proofErr w:type="spellEnd"/>
      <w:r w:rsidRPr="00467DB0">
        <w:t xml:space="preserve"> programmets</w:t>
      </w:r>
      <w:proofErr w:type="gramEnd"/>
      <w:r w:rsidRPr="00467DB0">
        <w:t xml:space="preserve"> komponenter til </w:t>
      </w:r>
      <w:proofErr w:type="spellStart"/>
      <w:r w:rsidRPr="00467DB0">
        <w:t>dækn</w:t>
      </w:r>
      <w:r w:rsidRPr="00467DB0">
        <w:t>ing</w:t>
      </w:r>
      <w:proofErr w:type="spellEnd"/>
      <w:r w:rsidRPr="00467DB0">
        <w:t xml:space="preserve"> </w:t>
      </w:r>
      <w:proofErr w:type="spellStart"/>
      <w:r w:rsidRPr="00467DB0">
        <w:t>af</w:t>
      </w:r>
      <w:proofErr w:type="spellEnd"/>
      <w:r w:rsidRPr="00467DB0">
        <w:t xml:space="preserve"> </w:t>
      </w:r>
      <w:proofErr w:type="spellStart"/>
      <w:r w:rsidRPr="00467DB0">
        <w:t>yderligere</w:t>
      </w:r>
      <w:proofErr w:type="spellEnd"/>
      <w:r w:rsidRPr="00467DB0">
        <w:t xml:space="preserve"> elementer, under betingelse </w:t>
      </w:r>
      <w:proofErr w:type="spellStart"/>
      <w:r w:rsidRPr="00467DB0">
        <w:t>af</w:t>
      </w:r>
      <w:proofErr w:type="spellEnd"/>
      <w:r w:rsidRPr="00467DB0">
        <w:t xml:space="preserve"> at sådanne supplerende elementer ikke </w:t>
      </w:r>
      <w:proofErr w:type="spellStart"/>
      <w:r w:rsidRPr="00467DB0">
        <w:t>skaber</w:t>
      </w:r>
      <w:proofErr w:type="spellEnd"/>
      <w:r w:rsidRPr="00467DB0">
        <w:t xml:space="preserve"> finansielle eller tekniske byrder eller forsinkelser med hensyn til den </w:t>
      </w:r>
      <w:proofErr w:type="spellStart"/>
      <w:r w:rsidRPr="00467DB0">
        <w:t>pågældende</w:t>
      </w:r>
      <w:proofErr w:type="spellEnd"/>
      <w:r w:rsidRPr="00467DB0">
        <w:t xml:space="preserve"> komponent. </w:t>
      </w:r>
      <w:proofErr w:type="spellStart"/>
      <w:r w:rsidRPr="00467DB0">
        <w:t>Kommissionen</w:t>
      </w:r>
      <w:proofErr w:type="spellEnd"/>
      <w:r w:rsidRPr="00467DB0">
        <w:t xml:space="preserve"> </w:t>
      </w:r>
      <w:proofErr w:type="spellStart"/>
      <w:r w:rsidRPr="00467DB0">
        <w:t>træffer</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w:t>
      </w:r>
      <w:r w:rsidRPr="00467DB0">
        <w:t xml:space="preserve">k. 3, </w:t>
      </w:r>
      <w:proofErr w:type="spellStart"/>
      <w:r w:rsidRPr="00467DB0">
        <w:t>afgørelse</w:t>
      </w:r>
      <w:proofErr w:type="spellEnd"/>
      <w:r w:rsidRPr="00467DB0">
        <w:t xml:space="preserve"> om, hvorvidt disse betingelser er </w:t>
      </w:r>
      <w:proofErr w:type="spellStart"/>
      <w:r w:rsidRPr="00467DB0">
        <w:t>opfyldt</w:t>
      </w:r>
      <w:proofErr w:type="spellEnd"/>
      <w:r w:rsidRPr="00467DB0">
        <w:t>.</w:t>
      </w:r>
    </w:p>
    <w:p w14:paraId="753716B6" w14:textId="77777777" w:rsidR="00000000" w:rsidRPr="00467DB0" w:rsidRDefault="00693D67" w:rsidP="00467DB0">
      <w:pPr>
        <w:pStyle w:val="friliste"/>
      </w:pPr>
      <w:r w:rsidRPr="00467DB0">
        <w:t>3.</w:t>
      </w:r>
      <w:r w:rsidRPr="00467DB0">
        <w:tab/>
        <w:t xml:space="preserve">Den i denne </w:t>
      </w:r>
      <w:proofErr w:type="spellStart"/>
      <w:r w:rsidRPr="00467DB0">
        <w:t>artikel</w:t>
      </w:r>
      <w:proofErr w:type="spellEnd"/>
      <w:r w:rsidRPr="00467DB0">
        <w:t xml:space="preserve"> omhandlede </w:t>
      </w:r>
      <w:proofErr w:type="spellStart"/>
      <w:r w:rsidRPr="00467DB0">
        <w:t>yderligere</w:t>
      </w:r>
      <w:proofErr w:type="spellEnd"/>
      <w:r w:rsidRPr="00467DB0">
        <w:t xml:space="preserve"> finansiering behandles som eksterne formålsbestemte </w:t>
      </w:r>
      <w:proofErr w:type="spellStart"/>
      <w:r w:rsidRPr="00467DB0">
        <w:t>indtægter</w:t>
      </w:r>
      <w:proofErr w:type="spellEnd"/>
      <w:r w:rsidRPr="00467DB0">
        <w:t xml:space="preserve">, jf. finansforordningens </w:t>
      </w:r>
      <w:proofErr w:type="spellStart"/>
      <w:r w:rsidRPr="00467DB0">
        <w:t>artikel</w:t>
      </w:r>
      <w:proofErr w:type="spellEnd"/>
      <w:r w:rsidRPr="00467DB0">
        <w:t xml:space="preserve"> 21, stk. 2.</w:t>
      </w:r>
    </w:p>
    <w:p w14:paraId="5D6F2FF0" w14:textId="77777777" w:rsidR="00000000" w:rsidRPr="00467DB0" w:rsidRDefault="00693D67" w:rsidP="00467DB0">
      <w:pPr>
        <w:pStyle w:val="avsnitt-undertittel"/>
      </w:pPr>
      <w:proofErr w:type="spellStart"/>
      <w:r w:rsidRPr="00467DB0">
        <w:lastRenderedPageBreak/>
        <w:t>Artikel</w:t>
      </w:r>
      <w:proofErr w:type="spellEnd"/>
      <w:r w:rsidRPr="00467DB0">
        <w:t> 13</w:t>
      </w:r>
    </w:p>
    <w:p w14:paraId="0D8EF2B7" w14:textId="77777777" w:rsidR="00000000" w:rsidRPr="00467DB0" w:rsidRDefault="00693D67" w:rsidP="00467DB0">
      <w:pPr>
        <w:pStyle w:val="Undertittel"/>
      </w:pPr>
      <w:proofErr w:type="spellStart"/>
      <w:r w:rsidRPr="00467DB0">
        <w:t>Gennemførelse</w:t>
      </w:r>
      <w:proofErr w:type="spellEnd"/>
      <w:r w:rsidRPr="00467DB0">
        <w:t xml:space="preserve"> og former for EU-fin</w:t>
      </w:r>
      <w:r w:rsidRPr="00467DB0">
        <w:t>ansiering</w:t>
      </w:r>
    </w:p>
    <w:p w14:paraId="400218DE" w14:textId="77777777" w:rsidR="00000000" w:rsidRPr="00467DB0" w:rsidRDefault="00693D67" w:rsidP="00467DB0">
      <w:pPr>
        <w:pStyle w:val="friliste"/>
      </w:pPr>
      <w:r w:rsidRPr="00467DB0">
        <w:t>1.</w:t>
      </w:r>
      <w:r w:rsidRPr="00467DB0">
        <w:tab/>
        <w:t xml:space="preserve">Programmet </w:t>
      </w:r>
      <w:proofErr w:type="spellStart"/>
      <w:r w:rsidRPr="00467DB0">
        <w:t>gennemføres</w:t>
      </w:r>
      <w:proofErr w:type="spellEnd"/>
      <w:r w:rsidRPr="00467DB0">
        <w:t xml:space="preserve"> ved direkte forvaltning i overensstemmelse med finansforordningen eller ved indirekte forvaltning med de i finansforordningens </w:t>
      </w:r>
      <w:proofErr w:type="spellStart"/>
      <w:r w:rsidRPr="00467DB0">
        <w:t>artikel</w:t>
      </w:r>
      <w:proofErr w:type="spellEnd"/>
      <w:r w:rsidRPr="00467DB0">
        <w:t xml:space="preserve"> 62, stk. 1, litra c), omhandlede organer.</w:t>
      </w:r>
    </w:p>
    <w:p w14:paraId="2B80D3F1" w14:textId="77777777" w:rsidR="00000000" w:rsidRPr="00467DB0" w:rsidRDefault="00693D67" w:rsidP="00467DB0">
      <w:pPr>
        <w:pStyle w:val="friliste"/>
      </w:pPr>
      <w:r w:rsidRPr="00467DB0">
        <w:t>2.</w:t>
      </w:r>
      <w:r w:rsidRPr="00467DB0">
        <w:tab/>
        <w:t xml:space="preserve">Programmet kan </w:t>
      </w:r>
      <w:proofErr w:type="spellStart"/>
      <w:r w:rsidRPr="00467DB0">
        <w:t>yde</w:t>
      </w:r>
      <w:proofErr w:type="spellEnd"/>
      <w:r w:rsidRPr="00467DB0">
        <w:t xml:space="preserve"> finansiering i enhver</w:t>
      </w:r>
      <w:r w:rsidRPr="00467DB0">
        <w:t xml:space="preserve"> </w:t>
      </w:r>
      <w:proofErr w:type="spellStart"/>
      <w:r w:rsidRPr="00467DB0">
        <w:t>af</w:t>
      </w:r>
      <w:proofErr w:type="spellEnd"/>
      <w:r w:rsidRPr="00467DB0">
        <w:t xml:space="preserve"> de former, der er </w:t>
      </w:r>
      <w:proofErr w:type="spellStart"/>
      <w:r w:rsidRPr="00467DB0">
        <w:t>fastsat</w:t>
      </w:r>
      <w:proofErr w:type="spellEnd"/>
      <w:r w:rsidRPr="00467DB0">
        <w:t xml:space="preserve"> i finansforordningen, </w:t>
      </w:r>
      <w:proofErr w:type="spellStart"/>
      <w:r w:rsidRPr="00467DB0">
        <w:t>særligt</w:t>
      </w:r>
      <w:proofErr w:type="spellEnd"/>
      <w:r w:rsidRPr="00467DB0">
        <w:t xml:space="preserve"> </w:t>
      </w:r>
      <w:proofErr w:type="spellStart"/>
      <w:r w:rsidRPr="00467DB0">
        <w:t>tilskud</w:t>
      </w:r>
      <w:proofErr w:type="spellEnd"/>
      <w:r w:rsidRPr="00467DB0">
        <w:t xml:space="preserve">, priser og </w:t>
      </w:r>
      <w:proofErr w:type="spellStart"/>
      <w:r w:rsidRPr="00467DB0">
        <w:t>udbud</w:t>
      </w:r>
      <w:proofErr w:type="spellEnd"/>
      <w:r w:rsidRPr="00467DB0">
        <w:t xml:space="preserve">. Det kan også </w:t>
      </w:r>
      <w:proofErr w:type="spellStart"/>
      <w:r w:rsidRPr="00467DB0">
        <w:t>yde</w:t>
      </w:r>
      <w:proofErr w:type="spellEnd"/>
      <w:r w:rsidRPr="00467DB0">
        <w:t xml:space="preserve"> finansiering i form </w:t>
      </w:r>
      <w:proofErr w:type="spellStart"/>
      <w:r w:rsidRPr="00467DB0">
        <w:t>af</w:t>
      </w:r>
      <w:proofErr w:type="spellEnd"/>
      <w:r w:rsidRPr="00467DB0">
        <w:t xml:space="preserve"> finansielle instrumenter </w:t>
      </w:r>
      <w:proofErr w:type="spellStart"/>
      <w:r w:rsidRPr="00467DB0">
        <w:t>inden</w:t>
      </w:r>
      <w:proofErr w:type="spellEnd"/>
      <w:r w:rsidRPr="00467DB0">
        <w:t xml:space="preserve"> for </w:t>
      </w:r>
      <w:proofErr w:type="spellStart"/>
      <w:r w:rsidRPr="00467DB0">
        <w:t>blandingsoperationer</w:t>
      </w:r>
      <w:proofErr w:type="spellEnd"/>
      <w:r w:rsidRPr="00467DB0">
        <w:t>.</w:t>
      </w:r>
    </w:p>
    <w:p w14:paraId="084F8F7C" w14:textId="77777777" w:rsidR="00000000" w:rsidRPr="00467DB0" w:rsidRDefault="00693D67" w:rsidP="00467DB0">
      <w:pPr>
        <w:pStyle w:val="friliste"/>
      </w:pPr>
      <w:r w:rsidRPr="00467DB0">
        <w:t>3.</w:t>
      </w:r>
      <w:r w:rsidRPr="00467DB0">
        <w:tab/>
        <w:t xml:space="preserve">Hvis </w:t>
      </w:r>
      <w:proofErr w:type="spellStart"/>
      <w:r w:rsidRPr="00467DB0">
        <w:t>Copernicusbudgettet</w:t>
      </w:r>
      <w:proofErr w:type="spellEnd"/>
      <w:r w:rsidRPr="00467DB0">
        <w:t xml:space="preserve"> </w:t>
      </w:r>
      <w:proofErr w:type="spellStart"/>
      <w:r w:rsidRPr="00467DB0">
        <w:t>gennemføres</w:t>
      </w:r>
      <w:proofErr w:type="spellEnd"/>
      <w:r w:rsidRPr="00467DB0">
        <w:t xml:space="preserve"> ved indirekte forvaltning, kan </w:t>
      </w:r>
      <w:proofErr w:type="spellStart"/>
      <w:r w:rsidRPr="00467DB0">
        <w:t>ud</w:t>
      </w:r>
      <w:r w:rsidRPr="00467DB0">
        <w:t>budsreglerne</w:t>
      </w:r>
      <w:proofErr w:type="spellEnd"/>
      <w:r w:rsidRPr="00467DB0">
        <w:t xml:space="preserve"> for de </w:t>
      </w:r>
      <w:proofErr w:type="spellStart"/>
      <w:r w:rsidRPr="00467DB0">
        <w:t>enheder</w:t>
      </w:r>
      <w:proofErr w:type="spellEnd"/>
      <w:r w:rsidRPr="00467DB0">
        <w:t xml:space="preserve">, der har ansvaret for </w:t>
      </w:r>
      <w:proofErr w:type="spellStart"/>
      <w:r w:rsidRPr="00467DB0">
        <w:t>opgaver</w:t>
      </w:r>
      <w:proofErr w:type="spellEnd"/>
      <w:r w:rsidRPr="00467DB0">
        <w:t xml:space="preserve"> i forbindelse med </w:t>
      </w:r>
      <w:proofErr w:type="spellStart"/>
      <w:r w:rsidRPr="00467DB0">
        <w:t>budgetgennemførelse</w:t>
      </w:r>
      <w:proofErr w:type="spellEnd"/>
      <w:r w:rsidRPr="00467DB0">
        <w:t xml:space="preserve"> </w:t>
      </w:r>
      <w:proofErr w:type="spellStart"/>
      <w:r w:rsidRPr="00467DB0">
        <w:t>finde</w:t>
      </w:r>
      <w:proofErr w:type="spellEnd"/>
      <w:r w:rsidRPr="00467DB0">
        <w:t xml:space="preserve"> </w:t>
      </w:r>
      <w:proofErr w:type="gramStart"/>
      <w:r w:rsidRPr="00467DB0">
        <w:t>anvendelse</w:t>
      </w:r>
      <w:proofErr w:type="gramEnd"/>
      <w:r w:rsidRPr="00467DB0">
        <w:t xml:space="preserve">, i det omfang det er </w:t>
      </w:r>
      <w:proofErr w:type="spellStart"/>
      <w:r w:rsidRPr="00467DB0">
        <w:t>tilladt</w:t>
      </w:r>
      <w:proofErr w:type="spellEnd"/>
      <w:r w:rsidRPr="00467DB0">
        <w:t xml:space="preserve"> i henhold til finansforordningens </w:t>
      </w:r>
      <w:proofErr w:type="spellStart"/>
      <w:r w:rsidRPr="00467DB0">
        <w:t>artikel</w:t>
      </w:r>
      <w:proofErr w:type="spellEnd"/>
      <w:r w:rsidRPr="00467DB0">
        <w:t xml:space="preserve"> 62 og 154. De </w:t>
      </w:r>
      <w:proofErr w:type="spellStart"/>
      <w:r w:rsidRPr="00467DB0">
        <w:t>specifikke</w:t>
      </w:r>
      <w:proofErr w:type="spellEnd"/>
      <w:r w:rsidRPr="00467DB0">
        <w:t xml:space="preserve"> tilpasninger, der er nødvendige i forbindelse m</w:t>
      </w:r>
      <w:r w:rsidRPr="00467DB0">
        <w:t xml:space="preserve">ed disse </w:t>
      </w:r>
      <w:proofErr w:type="spellStart"/>
      <w:r w:rsidRPr="00467DB0">
        <w:t>udbudsregler</w:t>
      </w:r>
      <w:proofErr w:type="spellEnd"/>
      <w:r w:rsidRPr="00467DB0">
        <w:t xml:space="preserve">, </w:t>
      </w:r>
      <w:proofErr w:type="spellStart"/>
      <w:r w:rsidRPr="00467DB0">
        <w:t>fastlægges</w:t>
      </w:r>
      <w:proofErr w:type="spellEnd"/>
      <w:r w:rsidRPr="00467DB0">
        <w:t xml:space="preserve"> i de relevante </w:t>
      </w:r>
      <w:proofErr w:type="spellStart"/>
      <w:r w:rsidRPr="00467DB0">
        <w:t>bidragsaftaler</w:t>
      </w:r>
      <w:proofErr w:type="spellEnd"/>
      <w:r w:rsidRPr="00467DB0">
        <w:t>.</w:t>
      </w:r>
    </w:p>
    <w:p w14:paraId="6F402DBC" w14:textId="77777777" w:rsidR="00000000" w:rsidRPr="00467DB0" w:rsidRDefault="00693D67" w:rsidP="00467DB0">
      <w:pPr>
        <w:pStyle w:val="avsnitt-undertittel"/>
      </w:pPr>
      <w:proofErr w:type="spellStart"/>
      <w:r w:rsidRPr="00467DB0">
        <w:t>Afsnit</w:t>
      </w:r>
      <w:proofErr w:type="spellEnd"/>
      <w:r w:rsidRPr="00467DB0">
        <w:t xml:space="preserve"> III</w:t>
      </w:r>
    </w:p>
    <w:p w14:paraId="0C276D27" w14:textId="77777777" w:rsidR="00000000" w:rsidRPr="00467DB0" w:rsidRDefault="00693D67" w:rsidP="00467DB0">
      <w:pPr>
        <w:pStyle w:val="Undertittel"/>
      </w:pPr>
      <w:r w:rsidRPr="00467DB0">
        <w:t>Finansielle bestemmelser</w:t>
      </w:r>
    </w:p>
    <w:p w14:paraId="5F931B5A" w14:textId="77777777" w:rsidR="00000000" w:rsidRPr="00467DB0" w:rsidRDefault="00693D67" w:rsidP="00467DB0">
      <w:pPr>
        <w:pStyle w:val="avsnitt-undertittel"/>
      </w:pPr>
      <w:r w:rsidRPr="00467DB0">
        <w:t>Kapitel I</w:t>
      </w:r>
    </w:p>
    <w:p w14:paraId="298D2FA7" w14:textId="77777777" w:rsidR="00000000" w:rsidRPr="00467DB0" w:rsidRDefault="00693D67" w:rsidP="00467DB0">
      <w:pPr>
        <w:pStyle w:val="Undertittel"/>
      </w:pPr>
      <w:proofErr w:type="spellStart"/>
      <w:r w:rsidRPr="00467DB0">
        <w:t>Udbud</w:t>
      </w:r>
      <w:proofErr w:type="spellEnd"/>
    </w:p>
    <w:p w14:paraId="2869D8FC" w14:textId="77777777" w:rsidR="00000000" w:rsidRPr="00467DB0" w:rsidRDefault="00693D67" w:rsidP="00467DB0">
      <w:pPr>
        <w:pStyle w:val="avsnitt-undertittel"/>
      </w:pPr>
      <w:proofErr w:type="spellStart"/>
      <w:r w:rsidRPr="00467DB0">
        <w:t>Artikel</w:t>
      </w:r>
      <w:proofErr w:type="spellEnd"/>
      <w:r w:rsidRPr="00467DB0">
        <w:t> 14</w:t>
      </w:r>
    </w:p>
    <w:p w14:paraId="7FB601AD" w14:textId="77777777" w:rsidR="00000000" w:rsidRPr="00467DB0" w:rsidRDefault="00693D67" w:rsidP="00467DB0">
      <w:pPr>
        <w:pStyle w:val="Undertittel"/>
      </w:pPr>
      <w:proofErr w:type="spellStart"/>
      <w:r w:rsidRPr="00467DB0">
        <w:t>Udbudsprincipper</w:t>
      </w:r>
      <w:proofErr w:type="spellEnd"/>
    </w:p>
    <w:p w14:paraId="046B4AA7" w14:textId="77777777" w:rsidR="00000000" w:rsidRPr="00467DB0" w:rsidRDefault="00693D67" w:rsidP="00467DB0">
      <w:pPr>
        <w:pStyle w:val="friliste"/>
      </w:pPr>
      <w:r w:rsidRPr="00467DB0">
        <w:t>1.</w:t>
      </w:r>
      <w:r w:rsidRPr="00467DB0">
        <w:tab/>
        <w:t xml:space="preserve">Den ordregivende </w:t>
      </w:r>
      <w:proofErr w:type="spellStart"/>
      <w:r w:rsidRPr="00467DB0">
        <w:t>myndighed</w:t>
      </w:r>
      <w:proofErr w:type="spellEnd"/>
      <w:r w:rsidRPr="00467DB0">
        <w:t xml:space="preserve"> handler i overensstemmelse med følgende </w:t>
      </w:r>
      <w:proofErr w:type="spellStart"/>
      <w:r w:rsidRPr="00467DB0">
        <w:t>principper</w:t>
      </w:r>
      <w:proofErr w:type="spellEnd"/>
      <w:r w:rsidRPr="00467DB0">
        <w:t xml:space="preserve"> for så vidt angår </w:t>
      </w:r>
      <w:proofErr w:type="spellStart"/>
      <w:r w:rsidRPr="00467DB0">
        <w:t>udbudsproced</w:t>
      </w:r>
      <w:r w:rsidRPr="00467DB0">
        <w:t>urer</w:t>
      </w:r>
      <w:proofErr w:type="spellEnd"/>
      <w:r w:rsidRPr="00467DB0">
        <w:t xml:space="preserve"> i forbindelse med programmet:</w:t>
      </w:r>
    </w:p>
    <w:p w14:paraId="231BA570" w14:textId="77777777" w:rsidR="00000000" w:rsidRPr="00467DB0" w:rsidRDefault="00693D67" w:rsidP="00467DB0">
      <w:pPr>
        <w:pStyle w:val="friliste2"/>
      </w:pPr>
      <w:r w:rsidRPr="00467DB0">
        <w:t>a)</w:t>
      </w:r>
      <w:r w:rsidRPr="00467DB0">
        <w:tab/>
        <w:t xml:space="preserve">med </w:t>
      </w:r>
      <w:proofErr w:type="spellStart"/>
      <w:r w:rsidRPr="00467DB0">
        <w:t>henblik</w:t>
      </w:r>
      <w:proofErr w:type="spellEnd"/>
      <w:r w:rsidRPr="00467DB0">
        <w:t xml:space="preserve"> på i alle medlemsstater i hele Unionen og i hele </w:t>
      </w:r>
      <w:proofErr w:type="spellStart"/>
      <w:r w:rsidRPr="00467DB0">
        <w:t>forsyningskæden</w:t>
      </w:r>
      <w:proofErr w:type="spellEnd"/>
      <w:r w:rsidRPr="00467DB0">
        <w:t xml:space="preserve"> at fremme en så bred og </w:t>
      </w:r>
      <w:proofErr w:type="spellStart"/>
      <w:r w:rsidRPr="00467DB0">
        <w:t>åben</w:t>
      </w:r>
      <w:proofErr w:type="spellEnd"/>
      <w:r w:rsidRPr="00467DB0">
        <w:t xml:space="preserve"> deltagelse som </w:t>
      </w:r>
      <w:proofErr w:type="spellStart"/>
      <w:r w:rsidRPr="00467DB0">
        <w:t>muligt</w:t>
      </w:r>
      <w:proofErr w:type="spellEnd"/>
      <w:r w:rsidRPr="00467DB0">
        <w:t xml:space="preserve"> </w:t>
      </w:r>
      <w:proofErr w:type="spellStart"/>
      <w:r w:rsidRPr="00467DB0">
        <w:t>af</w:t>
      </w:r>
      <w:proofErr w:type="spellEnd"/>
      <w:r w:rsidRPr="00467DB0">
        <w:t xml:space="preserve"> alle økonomiske aktører, navnlig nystartede </w:t>
      </w:r>
      <w:proofErr w:type="spellStart"/>
      <w:r w:rsidRPr="00467DB0">
        <w:t>virksomheder</w:t>
      </w:r>
      <w:proofErr w:type="spellEnd"/>
      <w:r w:rsidRPr="00467DB0">
        <w:t xml:space="preserve">, </w:t>
      </w:r>
      <w:proofErr w:type="spellStart"/>
      <w:r w:rsidRPr="00467DB0">
        <w:t>nytilkomne</w:t>
      </w:r>
      <w:proofErr w:type="spellEnd"/>
      <w:r w:rsidRPr="00467DB0">
        <w:t xml:space="preserve"> og </w:t>
      </w:r>
      <w:proofErr w:type="spellStart"/>
      <w:r w:rsidRPr="00467DB0">
        <w:t>SMV'er</w:t>
      </w:r>
      <w:proofErr w:type="spellEnd"/>
      <w:r w:rsidRPr="00467DB0">
        <w:t xml:space="preserve">, </w:t>
      </w:r>
      <w:proofErr w:type="spellStart"/>
      <w:r w:rsidRPr="00467DB0">
        <w:t>heribla</w:t>
      </w:r>
      <w:r w:rsidRPr="00467DB0">
        <w:t>ndt</w:t>
      </w:r>
      <w:proofErr w:type="spellEnd"/>
      <w:r w:rsidRPr="00467DB0">
        <w:t xml:space="preserve"> når tilbudsgiverne giver en del </w:t>
      </w:r>
      <w:proofErr w:type="spellStart"/>
      <w:r w:rsidRPr="00467DB0">
        <w:t>af</w:t>
      </w:r>
      <w:proofErr w:type="spellEnd"/>
      <w:r w:rsidRPr="00467DB0">
        <w:t xml:space="preserve"> kontrakten i underentreprise</w:t>
      </w:r>
    </w:p>
    <w:p w14:paraId="76A67913" w14:textId="77777777" w:rsidR="00000000" w:rsidRPr="00467DB0" w:rsidRDefault="00693D67" w:rsidP="00467DB0">
      <w:pPr>
        <w:pStyle w:val="friliste2"/>
      </w:pPr>
      <w:r w:rsidRPr="00467DB0">
        <w:t>b)</w:t>
      </w:r>
      <w:r w:rsidRPr="00467DB0">
        <w:tab/>
        <w:t xml:space="preserve">med </w:t>
      </w:r>
      <w:proofErr w:type="spellStart"/>
      <w:r w:rsidRPr="00467DB0">
        <w:t>henblik</w:t>
      </w:r>
      <w:proofErr w:type="spellEnd"/>
      <w:r w:rsidRPr="00467DB0">
        <w:t xml:space="preserve"> på at sikre effektiv </w:t>
      </w:r>
      <w:proofErr w:type="spellStart"/>
      <w:r w:rsidRPr="00467DB0">
        <w:t>konkurrence</w:t>
      </w:r>
      <w:proofErr w:type="spellEnd"/>
      <w:r w:rsidRPr="00467DB0">
        <w:t xml:space="preserve"> og så vidt </w:t>
      </w:r>
      <w:proofErr w:type="spellStart"/>
      <w:r w:rsidRPr="00467DB0">
        <w:t>muligt</w:t>
      </w:r>
      <w:proofErr w:type="spellEnd"/>
      <w:r w:rsidRPr="00467DB0">
        <w:t xml:space="preserve"> </w:t>
      </w:r>
      <w:proofErr w:type="spellStart"/>
      <w:r w:rsidRPr="00467DB0">
        <w:t>undgå</w:t>
      </w:r>
      <w:proofErr w:type="spellEnd"/>
      <w:r w:rsidRPr="00467DB0">
        <w:t xml:space="preserve"> alt for stor </w:t>
      </w:r>
      <w:proofErr w:type="spellStart"/>
      <w:r w:rsidRPr="00467DB0">
        <w:t>afhængighed</w:t>
      </w:r>
      <w:proofErr w:type="spellEnd"/>
      <w:r w:rsidRPr="00467DB0">
        <w:t xml:space="preserve"> </w:t>
      </w:r>
      <w:proofErr w:type="spellStart"/>
      <w:r w:rsidRPr="00467DB0">
        <w:t>af</w:t>
      </w:r>
      <w:proofErr w:type="spellEnd"/>
      <w:r w:rsidRPr="00467DB0">
        <w:t xml:space="preserve"> en enkelt leverandør, navnlig </w:t>
      </w:r>
      <w:proofErr w:type="spellStart"/>
      <w:r w:rsidRPr="00467DB0">
        <w:t>hvad</w:t>
      </w:r>
      <w:proofErr w:type="spellEnd"/>
      <w:r w:rsidRPr="00467DB0">
        <w:t xml:space="preserve"> angår kritisk </w:t>
      </w:r>
      <w:proofErr w:type="spellStart"/>
      <w:r w:rsidRPr="00467DB0">
        <w:t>udstyr</w:t>
      </w:r>
      <w:proofErr w:type="spellEnd"/>
      <w:r w:rsidRPr="00467DB0">
        <w:t xml:space="preserve"> og kritiske tjenester, </w:t>
      </w:r>
      <w:proofErr w:type="gramStart"/>
      <w:r w:rsidRPr="00467DB0">
        <w:t>under hen</w:t>
      </w:r>
      <w:r w:rsidRPr="00467DB0">
        <w:t>syntagen</w:t>
      </w:r>
      <w:proofErr w:type="gramEnd"/>
      <w:r w:rsidRPr="00467DB0">
        <w:t xml:space="preserve"> til </w:t>
      </w:r>
      <w:proofErr w:type="spellStart"/>
      <w:r w:rsidRPr="00467DB0">
        <w:t>målsætningen</w:t>
      </w:r>
      <w:proofErr w:type="spellEnd"/>
      <w:r w:rsidRPr="00467DB0">
        <w:t xml:space="preserve"> om teknologisk </w:t>
      </w:r>
      <w:proofErr w:type="spellStart"/>
      <w:r w:rsidRPr="00467DB0">
        <w:t>uafhængighed</w:t>
      </w:r>
      <w:proofErr w:type="spellEnd"/>
      <w:r w:rsidRPr="00467DB0">
        <w:t xml:space="preserve"> og kontinuitet i </w:t>
      </w:r>
      <w:proofErr w:type="spellStart"/>
      <w:r w:rsidRPr="00467DB0">
        <w:t>tjenesterne</w:t>
      </w:r>
      <w:proofErr w:type="spellEnd"/>
    </w:p>
    <w:p w14:paraId="6B7FC15D" w14:textId="77777777" w:rsidR="00000000" w:rsidRPr="00467DB0" w:rsidRDefault="00693D67" w:rsidP="00467DB0">
      <w:pPr>
        <w:pStyle w:val="friliste2"/>
      </w:pPr>
      <w:r w:rsidRPr="00467DB0">
        <w:t>c)</w:t>
      </w:r>
      <w:r w:rsidRPr="00467DB0">
        <w:tab/>
        <w:t xml:space="preserve">med </w:t>
      </w:r>
      <w:proofErr w:type="spellStart"/>
      <w:r w:rsidRPr="00467DB0">
        <w:t>henblik</w:t>
      </w:r>
      <w:proofErr w:type="spellEnd"/>
      <w:r w:rsidRPr="00467DB0">
        <w:t xml:space="preserve"> på, som en </w:t>
      </w:r>
      <w:proofErr w:type="spellStart"/>
      <w:r w:rsidRPr="00467DB0">
        <w:t>undtagelse</w:t>
      </w:r>
      <w:proofErr w:type="spellEnd"/>
      <w:r w:rsidRPr="00467DB0">
        <w:t xml:space="preserve"> fra finansforordningens </w:t>
      </w:r>
      <w:proofErr w:type="spellStart"/>
      <w:r w:rsidRPr="00467DB0">
        <w:t>artikel</w:t>
      </w:r>
      <w:proofErr w:type="spellEnd"/>
      <w:r w:rsidRPr="00467DB0">
        <w:t xml:space="preserve"> 167, og hvor det er relevant, at anvende flere forsyningskilder for at sikre en bedre overordnet </w:t>
      </w:r>
      <w:proofErr w:type="spellStart"/>
      <w:r w:rsidRPr="00467DB0">
        <w:t>kontrol</w:t>
      </w:r>
      <w:proofErr w:type="spellEnd"/>
      <w:r w:rsidRPr="00467DB0">
        <w:t xml:space="preserve"> med alle programmets komponenter, deres omkostninger og tidsplanen</w:t>
      </w:r>
    </w:p>
    <w:p w14:paraId="1F2A098B" w14:textId="77777777" w:rsidR="00000000" w:rsidRPr="00467DB0" w:rsidRDefault="00693D67" w:rsidP="00467DB0">
      <w:pPr>
        <w:pStyle w:val="friliste2"/>
      </w:pPr>
      <w:r w:rsidRPr="00467DB0">
        <w:t>d)</w:t>
      </w:r>
      <w:r w:rsidRPr="00467DB0">
        <w:tab/>
        <w:t xml:space="preserve">med </w:t>
      </w:r>
      <w:proofErr w:type="spellStart"/>
      <w:r w:rsidRPr="00467DB0">
        <w:t>henblik</w:t>
      </w:r>
      <w:proofErr w:type="spellEnd"/>
      <w:r w:rsidRPr="00467DB0">
        <w:t xml:space="preserve"> på at følge </w:t>
      </w:r>
      <w:proofErr w:type="spellStart"/>
      <w:r w:rsidRPr="00467DB0">
        <w:t>principperne</w:t>
      </w:r>
      <w:proofErr w:type="spellEnd"/>
      <w:r w:rsidRPr="00467DB0">
        <w:t xml:space="preserve"> om </w:t>
      </w:r>
      <w:proofErr w:type="spellStart"/>
      <w:r w:rsidRPr="00467DB0">
        <w:t>åben</w:t>
      </w:r>
      <w:proofErr w:type="spellEnd"/>
      <w:r w:rsidRPr="00467DB0">
        <w:t xml:space="preserve"> adgang og </w:t>
      </w:r>
      <w:proofErr w:type="spellStart"/>
      <w:r w:rsidRPr="00467DB0">
        <w:t>loyal</w:t>
      </w:r>
      <w:proofErr w:type="spellEnd"/>
      <w:r w:rsidRPr="00467DB0">
        <w:t xml:space="preserve"> </w:t>
      </w:r>
      <w:proofErr w:type="spellStart"/>
      <w:r w:rsidRPr="00467DB0">
        <w:t>konkurrence</w:t>
      </w:r>
      <w:proofErr w:type="spellEnd"/>
      <w:r w:rsidRPr="00467DB0">
        <w:t xml:space="preserve"> i hele den industrielle </w:t>
      </w:r>
      <w:proofErr w:type="spellStart"/>
      <w:r w:rsidRPr="00467DB0">
        <w:t>forsyningskæde</w:t>
      </w:r>
      <w:proofErr w:type="spellEnd"/>
      <w:r w:rsidRPr="00467DB0">
        <w:t xml:space="preserve">, </w:t>
      </w:r>
      <w:proofErr w:type="spellStart"/>
      <w:r w:rsidRPr="00467DB0">
        <w:t>udbud</w:t>
      </w:r>
      <w:proofErr w:type="spellEnd"/>
      <w:r w:rsidRPr="00467DB0">
        <w:t xml:space="preserve"> på baggrund </w:t>
      </w:r>
      <w:proofErr w:type="spellStart"/>
      <w:r w:rsidRPr="00467DB0">
        <w:t>af</w:t>
      </w:r>
      <w:proofErr w:type="spellEnd"/>
      <w:r w:rsidRPr="00467DB0">
        <w:t xml:space="preserve"> </w:t>
      </w:r>
      <w:proofErr w:type="spellStart"/>
      <w:r w:rsidRPr="00467DB0">
        <w:t>gennemsigtig</w:t>
      </w:r>
      <w:proofErr w:type="spellEnd"/>
      <w:r w:rsidRPr="00467DB0">
        <w:t xml:space="preserve"> og rettidig </w:t>
      </w:r>
      <w:proofErr w:type="spellStart"/>
      <w:r w:rsidRPr="00467DB0">
        <w:t>information</w:t>
      </w:r>
      <w:proofErr w:type="spellEnd"/>
      <w:r w:rsidRPr="00467DB0">
        <w:t xml:space="preserve">, klar </w:t>
      </w:r>
      <w:r w:rsidRPr="00467DB0">
        <w:lastRenderedPageBreak/>
        <w:t>meddelel</w:t>
      </w:r>
      <w:r w:rsidRPr="00467DB0">
        <w:t xml:space="preserve">se om de </w:t>
      </w:r>
      <w:proofErr w:type="spellStart"/>
      <w:r w:rsidRPr="00467DB0">
        <w:t>gældende</w:t>
      </w:r>
      <w:proofErr w:type="spellEnd"/>
      <w:r w:rsidRPr="00467DB0">
        <w:t xml:space="preserve"> regler og </w:t>
      </w:r>
      <w:proofErr w:type="spellStart"/>
      <w:r w:rsidRPr="00467DB0">
        <w:t>procedurer</w:t>
      </w:r>
      <w:proofErr w:type="spellEnd"/>
      <w:r w:rsidRPr="00467DB0">
        <w:t xml:space="preserve"> for offentlige </w:t>
      </w:r>
      <w:proofErr w:type="spellStart"/>
      <w:r w:rsidRPr="00467DB0">
        <w:t>udbud</w:t>
      </w:r>
      <w:proofErr w:type="spellEnd"/>
      <w:r w:rsidRPr="00467DB0">
        <w:t xml:space="preserve">, </w:t>
      </w:r>
      <w:proofErr w:type="spellStart"/>
      <w:r w:rsidRPr="00467DB0">
        <w:t>udvælgelses</w:t>
      </w:r>
      <w:proofErr w:type="spellEnd"/>
      <w:r w:rsidRPr="00467DB0">
        <w:t xml:space="preserve">- og tildelingskriterier samt andre relevante </w:t>
      </w:r>
      <w:proofErr w:type="spellStart"/>
      <w:r w:rsidRPr="00467DB0">
        <w:t>oplysninger</w:t>
      </w:r>
      <w:proofErr w:type="spellEnd"/>
      <w:r w:rsidRPr="00467DB0">
        <w:t xml:space="preserve">, der sikrer </w:t>
      </w:r>
      <w:proofErr w:type="spellStart"/>
      <w:r w:rsidRPr="00467DB0">
        <w:t>lige</w:t>
      </w:r>
      <w:proofErr w:type="spellEnd"/>
      <w:r w:rsidRPr="00467DB0">
        <w:t xml:space="preserve"> vilkår for alle </w:t>
      </w:r>
      <w:proofErr w:type="spellStart"/>
      <w:r w:rsidRPr="00467DB0">
        <w:t>potentielle</w:t>
      </w:r>
      <w:proofErr w:type="spellEnd"/>
      <w:r w:rsidRPr="00467DB0">
        <w:t xml:space="preserve"> tilbudsgivere, herunder </w:t>
      </w:r>
      <w:proofErr w:type="spellStart"/>
      <w:r w:rsidRPr="00467DB0">
        <w:t>SMV'er</w:t>
      </w:r>
      <w:proofErr w:type="spellEnd"/>
      <w:r w:rsidRPr="00467DB0">
        <w:t xml:space="preserve"> og nystartede </w:t>
      </w:r>
      <w:proofErr w:type="spellStart"/>
      <w:r w:rsidRPr="00467DB0">
        <w:t>virksomheder</w:t>
      </w:r>
      <w:proofErr w:type="spellEnd"/>
    </w:p>
    <w:p w14:paraId="2ABCDD9C" w14:textId="77777777" w:rsidR="00000000" w:rsidRPr="00467DB0" w:rsidRDefault="00693D67" w:rsidP="00467DB0">
      <w:pPr>
        <w:pStyle w:val="friliste2"/>
      </w:pPr>
      <w:r w:rsidRPr="00467DB0">
        <w:t>e)</w:t>
      </w:r>
      <w:r w:rsidRPr="00467DB0">
        <w:tab/>
        <w:t xml:space="preserve">med </w:t>
      </w:r>
      <w:proofErr w:type="spellStart"/>
      <w:r w:rsidRPr="00467DB0">
        <w:t>henblik</w:t>
      </w:r>
      <w:proofErr w:type="spellEnd"/>
      <w:r w:rsidRPr="00467DB0">
        <w:t xml:space="preserve"> på at st</w:t>
      </w:r>
      <w:r w:rsidRPr="00467DB0">
        <w:t>yrke Unionens autonomi, navnlig i teknologisk henseende</w:t>
      </w:r>
    </w:p>
    <w:p w14:paraId="2A8E616C" w14:textId="77777777" w:rsidR="00000000" w:rsidRPr="00467DB0" w:rsidRDefault="00693D67" w:rsidP="00467DB0">
      <w:pPr>
        <w:pStyle w:val="friliste2"/>
      </w:pPr>
      <w:r w:rsidRPr="00467DB0">
        <w:t>f)</w:t>
      </w:r>
      <w:r w:rsidRPr="00467DB0">
        <w:tab/>
        <w:t xml:space="preserve">med </w:t>
      </w:r>
      <w:proofErr w:type="spellStart"/>
      <w:r w:rsidRPr="00467DB0">
        <w:t>henblik</w:t>
      </w:r>
      <w:proofErr w:type="spellEnd"/>
      <w:r w:rsidRPr="00467DB0">
        <w:t xml:space="preserve"> på at overholde </w:t>
      </w:r>
      <w:proofErr w:type="spellStart"/>
      <w:r w:rsidRPr="00467DB0">
        <w:t>sikkerhedskravene</w:t>
      </w:r>
      <w:proofErr w:type="spellEnd"/>
      <w:r w:rsidRPr="00467DB0">
        <w:t xml:space="preserve"> for programmets komponenter og </w:t>
      </w:r>
      <w:proofErr w:type="spellStart"/>
      <w:r w:rsidRPr="00467DB0">
        <w:t>bidrage</w:t>
      </w:r>
      <w:proofErr w:type="spellEnd"/>
      <w:r w:rsidRPr="00467DB0">
        <w:t xml:space="preserve"> til beskyttelsen </w:t>
      </w:r>
      <w:proofErr w:type="spellStart"/>
      <w:r w:rsidRPr="00467DB0">
        <w:t>af</w:t>
      </w:r>
      <w:proofErr w:type="spellEnd"/>
      <w:r w:rsidRPr="00467DB0">
        <w:t xml:space="preserve"> Unionens og </w:t>
      </w:r>
      <w:proofErr w:type="spellStart"/>
      <w:r w:rsidRPr="00467DB0">
        <w:t>medlemsstaternes</w:t>
      </w:r>
      <w:proofErr w:type="spellEnd"/>
      <w:r w:rsidRPr="00467DB0">
        <w:t xml:space="preserve"> </w:t>
      </w:r>
      <w:proofErr w:type="spellStart"/>
      <w:r w:rsidRPr="00467DB0">
        <w:t>væsentlige</w:t>
      </w:r>
      <w:proofErr w:type="spellEnd"/>
      <w:r w:rsidRPr="00467DB0">
        <w:t xml:space="preserve"> </w:t>
      </w:r>
      <w:proofErr w:type="spellStart"/>
      <w:r w:rsidRPr="00467DB0">
        <w:t>sikkerhedsinteresser</w:t>
      </w:r>
      <w:proofErr w:type="spellEnd"/>
    </w:p>
    <w:p w14:paraId="333C251B" w14:textId="77777777" w:rsidR="00000000" w:rsidRPr="00467DB0" w:rsidRDefault="00693D67" w:rsidP="00467DB0">
      <w:pPr>
        <w:pStyle w:val="friliste2"/>
      </w:pPr>
      <w:r w:rsidRPr="00467DB0">
        <w:t>g)</w:t>
      </w:r>
      <w:r w:rsidRPr="00467DB0">
        <w:tab/>
        <w:t xml:space="preserve">med </w:t>
      </w:r>
      <w:proofErr w:type="spellStart"/>
      <w:r w:rsidRPr="00467DB0">
        <w:t>henblik</w:t>
      </w:r>
      <w:proofErr w:type="spellEnd"/>
      <w:r w:rsidRPr="00467DB0">
        <w:t xml:space="preserve"> på at fremme kon</w:t>
      </w:r>
      <w:r w:rsidRPr="00467DB0">
        <w:t xml:space="preserve">tinuitet og </w:t>
      </w:r>
      <w:proofErr w:type="spellStart"/>
      <w:r w:rsidRPr="00467DB0">
        <w:t>pålidelighed</w:t>
      </w:r>
      <w:proofErr w:type="spellEnd"/>
      <w:r w:rsidRPr="00467DB0">
        <w:t xml:space="preserve"> i forbindelse med </w:t>
      </w:r>
      <w:proofErr w:type="spellStart"/>
      <w:r w:rsidRPr="00467DB0">
        <w:t>tjenesterne</w:t>
      </w:r>
      <w:proofErr w:type="spellEnd"/>
    </w:p>
    <w:p w14:paraId="2568517B" w14:textId="77777777" w:rsidR="00000000" w:rsidRPr="00467DB0" w:rsidRDefault="00693D67" w:rsidP="00467DB0">
      <w:pPr>
        <w:pStyle w:val="friliste2"/>
      </w:pPr>
      <w:r w:rsidRPr="00467DB0">
        <w:t>h)</w:t>
      </w:r>
      <w:r w:rsidRPr="00467DB0">
        <w:tab/>
        <w:t xml:space="preserve">med </w:t>
      </w:r>
      <w:proofErr w:type="spellStart"/>
      <w:r w:rsidRPr="00467DB0">
        <w:t>henblik</w:t>
      </w:r>
      <w:proofErr w:type="spellEnd"/>
      <w:r w:rsidRPr="00467DB0">
        <w:t xml:space="preserve"> på at tilgodese passende </w:t>
      </w:r>
      <w:proofErr w:type="spellStart"/>
      <w:r w:rsidRPr="00467DB0">
        <w:t>sociale</w:t>
      </w:r>
      <w:proofErr w:type="spellEnd"/>
      <w:r w:rsidRPr="00467DB0">
        <w:t xml:space="preserve"> og </w:t>
      </w:r>
      <w:proofErr w:type="spellStart"/>
      <w:r w:rsidRPr="00467DB0">
        <w:t>miljømæssige</w:t>
      </w:r>
      <w:proofErr w:type="spellEnd"/>
      <w:r w:rsidRPr="00467DB0">
        <w:t xml:space="preserve"> kriterier.</w:t>
      </w:r>
    </w:p>
    <w:p w14:paraId="2E0A98E7" w14:textId="77777777" w:rsidR="00000000" w:rsidRPr="00467DB0" w:rsidRDefault="00693D67" w:rsidP="00467DB0">
      <w:pPr>
        <w:pStyle w:val="friliste"/>
      </w:pPr>
      <w:r w:rsidRPr="00467DB0">
        <w:t>2.</w:t>
      </w:r>
      <w:r w:rsidRPr="00467DB0">
        <w:tab/>
      </w:r>
      <w:proofErr w:type="spellStart"/>
      <w:r w:rsidRPr="00467DB0">
        <w:t>Kommissionens</w:t>
      </w:r>
      <w:proofErr w:type="spellEnd"/>
      <w:r w:rsidRPr="00467DB0">
        <w:t xml:space="preserve"> </w:t>
      </w:r>
      <w:proofErr w:type="spellStart"/>
      <w:r w:rsidRPr="00467DB0">
        <w:t>udbudsbestyrelse</w:t>
      </w:r>
      <w:proofErr w:type="spellEnd"/>
      <w:r w:rsidRPr="00467DB0">
        <w:t xml:space="preserve"> skal kontrollere </w:t>
      </w:r>
      <w:proofErr w:type="spellStart"/>
      <w:r w:rsidRPr="00467DB0">
        <w:t>udbudsproceduren</w:t>
      </w:r>
      <w:proofErr w:type="spellEnd"/>
      <w:r w:rsidRPr="00467DB0">
        <w:t xml:space="preserve"> for så vidt angår alle programmets komponenter og </w:t>
      </w:r>
      <w:proofErr w:type="spellStart"/>
      <w:r w:rsidRPr="00467DB0">
        <w:t>overvåge</w:t>
      </w:r>
      <w:proofErr w:type="spellEnd"/>
      <w:r w:rsidRPr="00467DB0">
        <w:t xml:space="preserve"> den </w:t>
      </w:r>
      <w:proofErr w:type="spellStart"/>
      <w:r w:rsidRPr="00467DB0">
        <w:t>kontraktmæssige</w:t>
      </w:r>
      <w:proofErr w:type="spellEnd"/>
      <w:r w:rsidRPr="00467DB0">
        <w:t xml:space="preserve"> </w:t>
      </w:r>
      <w:proofErr w:type="spellStart"/>
      <w:r w:rsidRPr="00467DB0">
        <w:t>gennemførelse</w:t>
      </w:r>
      <w:proofErr w:type="spellEnd"/>
      <w:r w:rsidRPr="00467DB0">
        <w:t xml:space="preserve"> </w:t>
      </w:r>
      <w:proofErr w:type="spellStart"/>
      <w:r w:rsidRPr="00467DB0">
        <w:t>af</w:t>
      </w:r>
      <w:proofErr w:type="spellEnd"/>
      <w:r w:rsidRPr="00467DB0">
        <w:t xml:space="preserve"> de EU-midler, der overdrages de bemyndigede </w:t>
      </w:r>
      <w:proofErr w:type="spellStart"/>
      <w:r w:rsidRPr="00467DB0">
        <w:t>enheder</w:t>
      </w:r>
      <w:proofErr w:type="spellEnd"/>
      <w:r w:rsidRPr="00467DB0">
        <w:t xml:space="preserve">. </w:t>
      </w:r>
      <w:proofErr w:type="spellStart"/>
      <w:r w:rsidRPr="00467DB0">
        <w:t>Repræsentanter</w:t>
      </w:r>
      <w:proofErr w:type="spellEnd"/>
      <w:r w:rsidRPr="00467DB0">
        <w:t xml:space="preserve"> for hver </w:t>
      </w:r>
      <w:proofErr w:type="spellStart"/>
      <w:r w:rsidRPr="00467DB0">
        <w:t>af</w:t>
      </w:r>
      <w:proofErr w:type="spellEnd"/>
      <w:r w:rsidRPr="00467DB0">
        <w:t xml:space="preserve"> de bemyndigede </w:t>
      </w:r>
      <w:proofErr w:type="spellStart"/>
      <w:r w:rsidRPr="00467DB0">
        <w:t>enheder</w:t>
      </w:r>
      <w:proofErr w:type="spellEnd"/>
      <w:r w:rsidRPr="00467DB0">
        <w:t xml:space="preserve"> skal </w:t>
      </w:r>
      <w:proofErr w:type="spellStart"/>
      <w:r w:rsidRPr="00467DB0">
        <w:t>indbydes</w:t>
      </w:r>
      <w:proofErr w:type="spellEnd"/>
      <w:r w:rsidRPr="00467DB0">
        <w:t>, hvis det er relevant.</w:t>
      </w:r>
    </w:p>
    <w:p w14:paraId="679898C0" w14:textId="77777777" w:rsidR="00000000" w:rsidRPr="00467DB0" w:rsidRDefault="00693D67" w:rsidP="00467DB0">
      <w:pPr>
        <w:pStyle w:val="avsnitt-undertittel"/>
      </w:pPr>
      <w:proofErr w:type="spellStart"/>
      <w:r w:rsidRPr="00467DB0">
        <w:t>Artikel</w:t>
      </w:r>
      <w:proofErr w:type="spellEnd"/>
      <w:r w:rsidRPr="00467DB0">
        <w:t> 15</w:t>
      </w:r>
    </w:p>
    <w:p w14:paraId="6428FED9" w14:textId="77777777" w:rsidR="00000000" w:rsidRPr="00467DB0" w:rsidRDefault="00693D67" w:rsidP="00467DB0">
      <w:pPr>
        <w:pStyle w:val="Undertittel"/>
      </w:pPr>
      <w:r w:rsidRPr="00467DB0">
        <w:t>Kontrakter med betingede ordrer</w:t>
      </w:r>
    </w:p>
    <w:p w14:paraId="13C5C9C3" w14:textId="77777777" w:rsidR="00000000" w:rsidRPr="00467DB0" w:rsidRDefault="00693D67" w:rsidP="00467DB0">
      <w:pPr>
        <w:pStyle w:val="friliste"/>
      </w:pPr>
      <w:r w:rsidRPr="00467DB0">
        <w:t>1.</w:t>
      </w:r>
      <w:r w:rsidRPr="00467DB0">
        <w:tab/>
      </w:r>
      <w:proofErr w:type="spellStart"/>
      <w:r w:rsidRPr="00467DB0">
        <w:t>Hvad</w:t>
      </w:r>
      <w:proofErr w:type="spellEnd"/>
      <w:r w:rsidRPr="00467DB0">
        <w:t xml:space="preserve"> </w:t>
      </w:r>
      <w:proofErr w:type="spellStart"/>
      <w:r w:rsidRPr="00467DB0">
        <w:t>operationelle</w:t>
      </w:r>
      <w:proofErr w:type="spellEnd"/>
      <w:r w:rsidRPr="00467DB0">
        <w:t xml:space="preserve"> og </w:t>
      </w:r>
      <w:proofErr w:type="spellStart"/>
      <w:r w:rsidRPr="00467DB0">
        <w:t>infrastrukturmæssige</w:t>
      </w:r>
      <w:proofErr w:type="spellEnd"/>
      <w:r w:rsidRPr="00467DB0">
        <w:t xml:space="preserve"> aktiviteter angår, kan den ordregivende </w:t>
      </w:r>
      <w:proofErr w:type="spellStart"/>
      <w:r w:rsidRPr="00467DB0">
        <w:t>myndighed</w:t>
      </w:r>
      <w:proofErr w:type="spellEnd"/>
      <w:r w:rsidRPr="00467DB0">
        <w:t xml:space="preserve"> </w:t>
      </w:r>
      <w:proofErr w:type="spellStart"/>
      <w:r w:rsidRPr="00467DB0">
        <w:t>indgå</w:t>
      </w:r>
      <w:proofErr w:type="spellEnd"/>
      <w:r w:rsidRPr="00467DB0">
        <w:t xml:space="preserve"> en kontrakt med betingede ordrer i overensstemmelse med denne </w:t>
      </w:r>
      <w:proofErr w:type="spellStart"/>
      <w:r w:rsidRPr="00467DB0">
        <w:t>artikel</w:t>
      </w:r>
      <w:proofErr w:type="spellEnd"/>
      <w:r w:rsidRPr="00467DB0">
        <w:t>.</w:t>
      </w:r>
    </w:p>
    <w:p w14:paraId="25DA0C24" w14:textId="77777777" w:rsidR="00000000" w:rsidRPr="00467DB0" w:rsidRDefault="00693D67" w:rsidP="00467DB0">
      <w:pPr>
        <w:pStyle w:val="friliste"/>
      </w:pPr>
      <w:r w:rsidRPr="00467DB0">
        <w:t>2.</w:t>
      </w:r>
      <w:r w:rsidRPr="00467DB0">
        <w:tab/>
        <w:t xml:space="preserve">I </w:t>
      </w:r>
      <w:proofErr w:type="spellStart"/>
      <w:r w:rsidRPr="00467DB0">
        <w:t>udbudsbetingelserne</w:t>
      </w:r>
      <w:proofErr w:type="spellEnd"/>
      <w:r w:rsidRPr="00467DB0">
        <w:t xml:space="preserve"> </w:t>
      </w:r>
      <w:proofErr w:type="spellStart"/>
      <w:r w:rsidRPr="00467DB0">
        <w:t>redegøres</w:t>
      </w:r>
      <w:proofErr w:type="spellEnd"/>
      <w:r w:rsidRPr="00467DB0">
        <w:t xml:space="preserve"> for de elementer, der </w:t>
      </w:r>
      <w:proofErr w:type="spellStart"/>
      <w:r w:rsidRPr="00467DB0">
        <w:t>gælder</w:t>
      </w:r>
      <w:proofErr w:type="spellEnd"/>
      <w:r w:rsidRPr="00467DB0">
        <w:t xml:space="preserve"> for kontrakter med bet</w:t>
      </w:r>
      <w:r w:rsidRPr="00467DB0">
        <w:t xml:space="preserve">ingede ordrer. Heri defineres navnlig kontraktens </w:t>
      </w:r>
      <w:proofErr w:type="spellStart"/>
      <w:r w:rsidRPr="00467DB0">
        <w:t>genstand</w:t>
      </w:r>
      <w:proofErr w:type="spellEnd"/>
      <w:r w:rsidRPr="00467DB0">
        <w:t xml:space="preserve">, pris eller </w:t>
      </w:r>
      <w:proofErr w:type="spellStart"/>
      <w:r w:rsidRPr="00467DB0">
        <w:t>grundlag</w:t>
      </w:r>
      <w:proofErr w:type="spellEnd"/>
      <w:r w:rsidRPr="00467DB0">
        <w:t xml:space="preserve"> for beregning </w:t>
      </w:r>
      <w:proofErr w:type="spellStart"/>
      <w:r w:rsidRPr="00467DB0">
        <w:t>heraf</w:t>
      </w:r>
      <w:proofErr w:type="spellEnd"/>
      <w:r w:rsidRPr="00467DB0">
        <w:t xml:space="preserve"> og bestemmelser </w:t>
      </w:r>
      <w:proofErr w:type="gramStart"/>
      <w:r w:rsidRPr="00467DB0">
        <w:t>vedrørende</w:t>
      </w:r>
      <w:proofErr w:type="gramEnd"/>
      <w:r w:rsidRPr="00467DB0">
        <w:t xml:space="preserve"> levering </w:t>
      </w:r>
      <w:proofErr w:type="spellStart"/>
      <w:r w:rsidRPr="00467DB0">
        <w:t>af</w:t>
      </w:r>
      <w:proofErr w:type="spellEnd"/>
      <w:r w:rsidRPr="00467DB0">
        <w:t xml:space="preserve"> </w:t>
      </w:r>
      <w:proofErr w:type="spellStart"/>
      <w:r w:rsidRPr="00467DB0">
        <w:t>arbejder</w:t>
      </w:r>
      <w:proofErr w:type="spellEnd"/>
      <w:r w:rsidRPr="00467DB0">
        <w:t xml:space="preserve">, </w:t>
      </w:r>
      <w:proofErr w:type="spellStart"/>
      <w:r w:rsidRPr="00467DB0">
        <w:t>leverancer</w:t>
      </w:r>
      <w:proofErr w:type="spellEnd"/>
      <w:r w:rsidRPr="00467DB0">
        <w:t xml:space="preserve"> og </w:t>
      </w:r>
      <w:proofErr w:type="spellStart"/>
      <w:r w:rsidRPr="00467DB0">
        <w:t>tjenesteydelser</w:t>
      </w:r>
      <w:proofErr w:type="spellEnd"/>
      <w:r w:rsidRPr="00467DB0">
        <w:t xml:space="preserve"> for hver ordre.</w:t>
      </w:r>
    </w:p>
    <w:p w14:paraId="391093CD" w14:textId="77777777" w:rsidR="00000000" w:rsidRPr="00467DB0" w:rsidRDefault="00693D67" w:rsidP="00467DB0">
      <w:pPr>
        <w:pStyle w:val="friliste"/>
      </w:pPr>
      <w:r w:rsidRPr="00467DB0">
        <w:t>3.</w:t>
      </w:r>
      <w:r w:rsidRPr="00467DB0">
        <w:tab/>
        <w:t xml:space="preserve">En kontrakt med betingede ordrer består </w:t>
      </w:r>
      <w:proofErr w:type="spellStart"/>
      <w:r w:rsidRPr="00467DB0">
        <w:t>af</w:t>
      </w:r>
      <w:proofErr w:type="spellEnd"/>
      <w:r w:rsidRPr="00467DB0">
        <w:t xml:space="preserve">: </w:t>
      </w:r>
    </w:p>
    <w:p w14:paraId="4C02E754" w14:textId="77777777" w:rsidR="00000000" w:rsidRPr="00467DB0" w:rsidRDefault="00693D67" w:rsidP="00467DB0">
      <w:pPr>
        <w:pStyle w:val="friliste2"/>
      </w:pPr>
      <w:r w:rsidRPr="00467DB0">
        <w:t>a)</w:t>
      </w:r>
      <w:r w:rsidRPr="00467DB0">
        <w:tab/>
        <w:t>en fast or</w:t>
      </w:r>
      <w:r w:rsidRPr="00467DB0">
        <w:t xml:space="preserve">dre, som resulterer i et fast tilsagn om </w:t>
      </w:r>
      <w:proofErr w:type="spellStart"/>
      <w:r w:rsidRPr="00467DB0">
        <w:t>udførelse</w:t>
      </w:r>
      <w:proofErr w:type="spellEnd"/>
      <w:r w:rsidRPr="00467DB0">
        <w:t xml:space="preserve"> </w:t>
      </w:r>
      <w:proofErr w:type="spellStart"/>
      <w:r w:rsidRPr="00467DB0">
        <w:t>af</w:t>
      </w:r>
      <w:proofErr w:type="spellEnd"/>
      <w:r w:rsidRPr="00467DB0">
        <w:t xml:space="preserve"> de </w:t>
      </w:r>
      <w:proofErr w:type="spellStart"/>
      <w:r w:rsidRPr="00467DB0">
        <w:t>arbejder</w:t>
      </w:r>
      <w:proofErr w:type="spellEnd"/>
      <w:r w:rsidRPr="00467DB0">
        <w:t xml:space="preserve">, </w:t>
      </w:r>
      <w:proofErr w:type="spellStart"/>
      <w:r w:rsidRPr="00467DB0">
        <w:t>leverancer</w:t>
      </w:r>
      <w:proofErr w:type="spellEnd"/>
      <w:r w:rsidRPr="00467DB0">
        <w:t xml:space="preserve"> eller </w:t>
      </w:r>
      <w:proofErr w:type="spellStart"/>
      <w:r w:rsidRPr="00467DB0">
        <w:t>tjenesteydelser</w:t>
      </w:r>
      <w:proofErr w:type="spellEnd"/>
      <w:r w:rsidRPr="00467DB0">
        <w:t xml:space="preserve">, der </w:t>
      </w:r>
      <w:proofErr w:type="spellStart"/>
      <w:r w:rsidRPr="00467DB0">
        <w:t>gælder</w:t>
      </w:r>
      <w:proofErr w:type="spellEnd"/>
      <w:r w:rsidRPr="00467DB0">
        <w:t xml:space="preserve"> for denne ordre, og </w:t>
      </w:r>
    </w:p>
    <w:p w14:paraId="267162C6" w14:textId="77777777" w:rsidR="00000000" w:rsidRPr="00467DB0" w:rsidRDefault="00693D67" w:rsidP="00467DB0">
      <w:pPr>
        <w:pStyle w:val="friliste2"/>
      </w:pPr>
      <w:r w:rsidRPr="00467DB0">
        <w:t>b)</w:t>
      </w:r>
      <w:r w:rsidRPr="00467DB0">
        <w:tab/>
        <w:t xml:space="preserve">en eller flere ordrer, der både </w:t>
      </w:r>
      <w:proofErr w:type="spellStart"/>
      <w:r w:rsidRPr="00467DB0">
        <w:t>budgetmæssigt</w:t>
      </w:r>
      <w:proofErr w:type="spellEnd"/>
      <w:r w:rsidRPr="00467DB0">
        <w:t xml:space="preserve"> og </w:t>
      </w:r>
      <w:proofErr w:type="spellStart"/>
      <w:r w:rsidRPr="00467DB0">
        <w:t>gennemførelsesmæssigt</w:t>
      </w:r>
      <w:proofErr w:type="spellEnd"/>
      <w:r w:rsidRPr="00467DB0">
        <w:t xml:space="preserve"> er betingede. </w:t>
      </w:r>
    </w:p>
    <w:p w14:paraId="66E716ED" w14:textId="77777777" w:rsidR="00000000" w:rsidRPr="00467DB0" w:rsidRDefault="00693D67" w:rsidP="00467DB0">
      <w:pPr>
        <w:pStyle w:val="friliste"/>
      </w:pPr>
      <w:r w:rsidRPr="00467DB0">
        <w:t>4.</w:t>
      </w:r>
      <w:r w:rsidRPr="00467DB0">
        <w:tab/>
      </w:r>
      <w:proofErr w:type="spellStart"/>
      <w:r w:rsidRPr="00467DB0">
        <w:t>Ydelserne</w:t>
      </w:r>
      <w:proofErr w:type="spellEnd"/>
      <w:r w:rsidRPr="00467DB0">
        <w:t xml:space="preserve"> i den faste del </w:t>
      </w:r>
      <w:proofErr w:type="spellStart"/>
      <w:r w:rsidRPr="00467DB0">
        <w:t>af</w:t>
      </w:r>
      <w:proofErr w:type="spellEnd"/>
      <w:r w:rsidRPr="00467DB0">
        <w:t xml:space="preserve"> ko</w:t>
      </w:r>
      <w:r w:rsidRPr="00467DB0">
        <w:t xml:space="preserve">ntrakten og </w:t>
      </w:r>
      <w:proofErr w:type="spellStart"/>
      <w:r w:rsidRPr="00467DB0">
        <w:t>ydelserne</w:t>
      </w:r>
      <w:proofErr w:type="spellEnd"/>
      <w:r w:rsidRPr="00467DB0">
        <w:t xml:space="preserve"> i forbindelse med hver betinget ordre skal </w:t>
      </w:r>
      <w:proofErr w:type="spellStart"/>
      <w:r w:rsidRPr="00467DB0">
        <w:t>udgøre</w:t>
      </w:r>
      <w:proofErr w:type="spellEnd"/>
      <w:r w:rsidRPr="00467DB0">
        <w:t xml:space="preserve"> et samlet hele, idet der </w:t>
      </w:r>
      <w:proofErr w:type="spellStart"/>
      <w:r w:rsidRPr="00467DB0">
        <w:t>tages</w:t>
      </w:r>
      <w:proofErr w:type="spellEnd"/>
      <w:r w:rsidRPr="00467DB0">
        <w:t xml:space="preserve"> hensyn til </w:t>
      </w:r>
      <w:proofErr w:type="spellStart"/>
      <w:r w:rsidRPr="00467DB0">
        <w:t>ydelserne</w:t>
      </w:r>
      <w:proofErr w:type="spellEnd"/>
      <w:r w:rsidRPr="00467DB0">
        <w:t xml:space="preserve"> i alle </w:t>
      </w:r>
      <w:proofErr w:type="spellStart"/>
      <w:r w:rsidRPr="00467DB0">
        <w:t>forudgående</w:t>
      </w:r>
      <w:proofErr w:type="spellEnd"/>
      <w:r w:rsidRPr="00467DB0">
        <w:t xml:space="preserve"> eller </w:t>
      </w:r>
      <w:proofErr w:type="spellStart"/>
      <w:r w:rsidRPr="00467DB0">
        <w:t>efterfølgende</w:t>
      </w:r>
      <w:proofErr w:type="spellEnd"/>
      <w:r w:rsidRPr="00467DB0">
        <w:t xml:space="preserve"> ordrer.</w:t>
      </w:r>
    </w:p>
    <w:p w14:paraId="4A676980" w14:textId="77777777" w:rsidR="00000000" w:rsidRPr="00467DB0" w:rsidRDefault="00693D67" w:rsidP="00467DB0">
      <w:pPr>
        <w:pStyle w:val="friliste"/>
      </w:pPr>
      <w:r w:rsidRPr="00467DB0">
        <w:t>5.</w:t>
      </w:r>
      <w:r w:rsidRPr="00467DB0">
        <w:tab/>
        <w:t xml:space="preserve">Hver betinget ordre </w:t>
      </w:r>
      <w:proofErr w:type="spellStart"/>
      <w:r w:rsidRPr="00467DB0">
        <w:t>gennemføres</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afgørelse</w:t>
      </w:r>
      <w:proofErr w:type="spellEnd"/>
      <w:r w:rsidRPr="00467DB0">
        <w:t xml:space="preserve"> truffet </w:t>
      </w:r>
      <w:proofErr w:type="spellStart"/>
      <w:r w:rsidRPr="00467DB0">
        <w:t>af</w:t>
      </w:r>
      <w:proofErr w:type="spellEnd"/>
      <w:r w:rsidRPr="00467DB0">
        <w:t xml:space="preserve"> den ordregi</w:t>
      </w:r>
      <w:r w:rsidRPr="00467DB0">
        <w:t xml:space="preserve">vende </w:t>
      </w:r>
      <w:proofErr w:type="spellStart"/>
      <w:r w:rsidRPr="00467DB0">
        <w:t>myndighed</w:t>
      </w:r>
      <w:proofErr w:type="spellEnd"/>
      <w:r w:rsidRPr="00467DB0">
        <w:t>, som meddeles kontrahenten i overensstemmelse med kontrakten.</w:t>
      </w:r>
    </w:p>
    <w:p w14:paraId="7C472073" w14:textId="77777777" w:rsidR="00000000" w:rsidRPr="00467DB0" w:rsidRDefault="00693D67" w:rsidP="00467DB0">
      <w:pPr>
        <w:pStyle w:val="avsnitt-undertittel"/>
      </w:pPr>
      <w:proofErr w:type="spellStart"/>
      <w:r w:rsidRPr="00467DB0">
        <w:t>Artikel</w:t>
      </w:r>
      <w:proofErr w:type="spellEnd"/>
      <w:r w:rsidRPr="00467DB0">
        <w:t> 16</w:t>
      </w:r>
    </w:p>
    <w:p w14:paraId="4FB4CA85" w14:textId="77777777" w:rsidR="00000000" w:rsidRPr="00467DB0" w:rsidRDefault="00693D67" w:rsidP="00467DB0">
      <w:pPr>
        <w:pStyle w:val="Undertittel"/>
      </w:pPr>
      <w:r w:rsidRPr="00467DB0">
        <w:t>Kontrakter på regningsbasis</w:t>
      </w:r>
    </w:p>
    <w:p w14:paraId="65CA3C23" w14:textId="77777777" w:rsidR="00000000" w:rsidRPr="00467DB0" w:rsidRDefault="00693D67" w:rsidP="00467DB0">
      <w:pPr>
        <w:pStyle w:val="friliste"/>
      </w:pPr>
      <w:r w:rsidRPr="00467DB0">
        <w:t>1.</w:t>
      </w:r>
      <w:r w:rsidRPr="00467DB0">
        <w:tab/>
        <w:t xml:space="preserve">Den ordregivende </w:t>
      </w:r>
      <w:proofErr w:type="spellStart"/>
      <w:r w:rsidRPr="00467DB0">
        <w:t>myndighed</w:t>
      </w:r>
      <w:proofErr w:type="spellEnd"/>
      <w:r w:rsidRPr="00467DB0">
        <w:t xml:space="preserve"> kan </w:t>
      </w:r>
      <w:proofErr w:type="spellStart"/>
      <w:r w:rsidRPr="00467DB0">
        <w:t>vælge</w:t>
      </w:r>
      <w:proofErr w:type="spellEnd"/>
      <w:r w:rsidRPr="00467DB0">
        <w:t xml:space="preserve"> en kontrakt, der helt eller delvis </w:t>
      </w:r>
      <w:proofErr w:type="spellStart"/>
      <w:r w:rsidRPr="00467DB0">
        <w:t>indgås</w:t>
      </w:r>
      <w:proofErr w:type="spellEnd"/>
      <w:r w:rsidRPr="00467DB0">
        <w:t xml:space="preserve"> på regningsbasis, på de betingelser, der er </w:t>
      </w:r>
      <w:proofErr w:type="spellStart"/>
      <w:r w:rsidRPr="00467DB0">
        <w:t>fastsat</w:t>
      </w:r>
      <w:proofErr w:type="spellEnd"/>
      <w:r w:rsidRPr="00467DB0">
        <w:t xml:space="preserve"> i stk</w:t>
      </w:r>
      <w:r w:rsidRPr="00467DB0">
        <w:t>. 3.</w:t>
      </w:r>
    </w:p>
    <w:p w14:paraId="1A71F32B" w14:textId="77777777" w:rsidR="00000000" w:rsidRPr="00467DB0" w:rsidRDefault="00693D67" w:rsidP="00467DB0">
      <w:pPr>
        <w:pStyle w:val="friliste"/>
      </w:pPr>
      <w:r w:rsidRPr="00467DB0">
        <w:t>2.</w:t>
      </w:r>
      <w:r w:rsidRPr="00467DB0">
        <w:tab/>
        <w:t xml:space="preserve">Den pris, som skal betales i henhold til en kontrakt </w:t>
      </w:r>
      <w:proofErr w:type="spellStart"/>
      <w:r w:rsidRPr="00467DB0">
        <w:t>indgået</w:t>
      </w:r>
      <w:proofErr w:type="spellEnd"/>
      <w:r w:rsidRPr="00467DB0">
        <w:t xml:space="preserve"> på regningsbasis, består </w:t>
      </w:r>
      <w:proofErr w:type="spellStart"/>
      <w:r w:rsidRPr="00467DB0">
        <w:t>af</w:t>
      </w:r>
      <w:proofErr w:type="spellEnd"/>
      <w:r w:rsidRPr="00467DB0">
        <w:t xml:space="preserve"> en </w:t>
      </w:r>
      <w:proofErr w:type="spellStart"/>
      <w:r w:rsidRPr="00467DB0">
        <w:t>godtgørelse</w:t>
      </w:r>
      <w:proofErr w:type="spellEnd"/>
      <w:r w:rsidRPr="00467DB0">
        <w:t xml:space="preserve"> </w:t>
      </w:r>
      <w:proofErr w:type="spellStart"/>
      <w:r w:rsidRPr="00467DB0">
        <w:t>af</w:t>
      </w:r>
      <w:proofErr w:type="spellEnd"/>
      <w:r w:rsidRPr="00467DB0">
        <w:t xml:space="preserve">: </w:t>
      </w:r>
    </w:p>
    <w:p w14:paraId="208A740B" w14:textId="77777777" w:rsidR="00000000" w:rsidRPr="00467DB0" w:rsidRDefault="00693D67" w:rsidP="00467DB0">
      <w:pPr>
        <w:pStyle w:val="friliste2"/>
      </w:pPr>
      <w:r w:rsidRPr="00467DB0">
        <w:t>a)</w:t>
      </w:r>
      <w:r w:rsidRPr="00467DB0">
        <w:tab/>
        <w:t xml:space="preserve">de samlede faktiske </w:t>
      </w:r>
      <w:proofErr w:type="spellStart"/>
      <w:r w:rsidRPr="00467DB0">
        <w:t>udgifter</w:t>
      </w:r>
      <w:proofErr w:type="spellEnd"/>
      <w:r w:rsidRPr="00467DB0">
        <w:t xml:space="preserve">, som kontrahenten har </w:t>
      </w:r>
      <w:proofErr w:type="spellStart"/>
      <w:r w:rsidRPr="00467DB0">
        <w:t>afholdt</w:t>
      </w:r>
      <w:proofErr w:type="spellEnd"/>
      <w:r w:rsidRPr="00467DB0">
        <w:t xml:space="preserve"> i henhold til kontrakten, såsom </w:t>
      </w:r>
      <w:proofErr w:type="spellStart"/>
      <w:r w:rsidRPr="00467DB0">
        <w:t>udgifter</w:t>
      </w:r>
      <w:proofErr w:type="spellEnd"/>
      <w:r w:rsidRPr="00467DB0">
        <w:t xml:space="preserve"> til </w:t>
      </w:r>
      <w:proofErr w:type="spellStart"/>
      <w:r w:rsidRPr="00467DB0">
        <w:t>arbejdsløn</w:t>
      </w:r>
      <w:proofErr w:type="spellEnd"/>
      <w:r w:rsidRPr="00467DB0">
        <w:t xml:space="preserve">, materialer, </w:t>
      </w:r>
      <w:proofErr w:type="spellStart"/>
      <w:r w:rsidRPr="00467DB0">
        <w:t>forbrugs</w:t>
      </w:r>
      <w:r w:rsidRPr="00467DB0">
        <w:t>materialer</w:t>
      </w:r>
      <w:proofErr w:type="spellEnd"/>
      <w:r w:rsidRPr="00467DB0">
        <w:t xml:space="preserve"> og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udstyr</w:t>
      </w:r>
      <w:proofErr w:type="spellEnd"/>
      <w:r w:rsidRPr="00467DB0">
        <w:t xml:space="preserve"> og infrastrukturer, som er nødvendige for at </w:t>
      </w:r>
      <w:proofErr w:type="spellStart"/>
      <w:r w:rsidRPr="00467DB0">
        <w:t>opfylde</w:t>
      </w:r>
      <w:proofErr w:type="spellEnd"/>
      <w:r w:rsidRPr="00467DB0">
        <w:t xml:space="preserve"> kontrakten, </w:t>
      </w:r>
    </w:p>
    <w:p w14:paraId="7A927F0B" w14:textId="77777777" w:rsidR="00000000" w:rsidRPr="00467DB0" w:rsidRDefault="00693D67" w:rsidP="00467DB0">
      <w:pPr>
        <w:pStyle w:val="friliste2"/>
      </w:pPr>
      <w:r w:rsidRPr="00467DB0">
        <w:t>b)</w:t>
      </w:r>
      <w:r w:rsidRPr="00467DB0">
        <w:tab/>
        <w:t xml:space="preserve">indirekte omkostninger, </w:t>
      </w:r>
    </w:p>
    <w:p w14:paraId="6120B9E9" w14:textId="77777777" w:rsidR="00000000" w:rsidRPr="00467DB0" w:rsidRDefault="00693D67" w:rsidP="00467DB0">
      <w:pPr>
        <w:pStyle w:val="friliste2"/>
      </w:pPr>
      <w:r w:rsidRPr="00467DB0">
        <w:lastRenderedPageBreak/>
        <w:t>c)</w:t>
      </w:r>
      <w:r w:rsidRPr="00467DB0">
        <w:tab/>
        <w:t xml:space="preserve">en fast </w:t>
      </w:r>
      <w:proofErr w:type="spellStart"/>
      <w:r w:rsidRPr="00467DB0">
        <w:t>avance</w:t>
      </w:r>
      <w:proofErr w:type="spellEnd"/>
      <w:r w:rsidRPr="00467DB0">
        <w:t xml:space="preserve"> og </w:t>
      </w:r>
    </w:p>
    <w:p w14:paraId="3F8915A8" w14:textId="77777777" w:rsidR="00000000" w:rsidRPr="00467DB0" w:rsidRDefault="00693D67" w:rsidP="00467DB0">
      <w:pPr>
        <w:pStyle w:val="friliste2"/>
      </w:pPr>
      <w:r w:rsidRPr="00467DB0">
        <w:t>d)</w:t>
      </w:r>
      <w:r w:rsidRPr="00467DB0">
        <w:tab/>
        <w:t xml:space="preserve">en passende </w:t>
      </w:r>
      <w:proofErr w:type="spellStart"/>
      <w:r w:rsidRPr="00467DB0">
        <w:t>kontraktpræmie</w:t>
      </w:r>
      <w:proofErr w:type="spellEnd"/>
      <w:r w:rsidRPr="00467DB0">
        <w:t xml:space="preserve"> på basis </w:t>
      </w:r>
      <w:proofErr w:type="spellStart"/>
      <w:r w:rsidRPr="00467DB0">
        <w:t>af</w:t>
      </w:r>
      <w:proofErr w:type="spellEnd"/>
      <w:r w:rsidRPr="00467DB0">
        <w:t xml:space="preserve"> </w:t>
      </w:r>
      <w:proofErr w:type="spellStart"/>
      <w:r w:rsidRPr="00467DB0">
        <w:t>opfyldelse</w:t>
      </w:r>
      <w:proofErr w:type="spellEnd"/>
      <w:r w:rsidRPr="00467DB0">
        <w:t xml:space="preserve"> </w:t>
      </w:r>
      <w:proofErr w:type="spellStart"/>
      <w:r w:rsidRPr="00467DB0">
        <w:t>af</w:t>
      </w:r>
      <w:proofErr w:type="spellEnd"/>
      <w:r w:rsidRPr="00467DB0">
        <w:t xml:space="preserve"> mål med hensyn til </w:t>
      </w:r>
      <w:proofErr w:type="spellStart"/>
      <w:r w:rsidRPr="00467DB0">
        <w:t>præstation</w:t>
      </w:r>
      <w:proofErr w:type="spellEnd"/>
      <w:r w:rsidRPr="00467DB0">
        <w:t xml:space="preserve"> og overholdelse </w:t>
      </w:r>
      <w:proofErr w:type="spellStart"/>
      <w:r w:rsidRPr="00467DB0">
        <w:t>af</w:t>
      </w:r>
      <w:proofErr w:type="spellEnd"/>
      <w:r w:rsidRPr="00467DB0">
        <w:t xml:space="preserve"> </w:t>
      </w:r>
      <w:r w:rsidRPr="00467DB0">
        <w:t>tidsplanen.</w:t>
      </w:r>
    </w:p>
    <w:p w14:paraId="0910AB19" w14:textId="77777777" w:rsidR="00000000" w:rsidRPr="00467DB0" w:rsidRDefault="00693D67" w:rsidP="00467DB0">
      <w:pPr>
        <w:pStyle w:val="friliste"/>
      </w:pPr>
      <w:r w:rsidRPr="00467DB0">
        <w:t xml:space="preserve">3. </w:t>
      </w:r>
      <w:r w:rsidRPr="00467DB0">
        <w:tab/>
        <w:t xml:space="preserve">Den ordregivende </w:t>
      </w:r>
      <w:proofErr w:type="spellStart"/>
      <w:r w:rsidRPr="00467DB0">
        <w:t>myndighed</w:t>
      </w:r>
      <w:proofErr w:type="spellEnd"/>
      <w:r w:rsidRPr="00467DB0">
        <w:t xml:space="preserve"> kan </w:t>
      </w:r>
      <w:proofErr w:type="spellStart"/>
      <w:r w:rsidRPr="00467DB0">
        <w:t>vælge</w:t>
      </w:r>
      <w:proofErr w:type="spellEnd"/>
      <w:r w:rsidRPr="00467DB0">
        <w:t xml:space="preserve"> en kontrakt, der helt eller delvis </w:t>
      </w:r>
      <w:proofErr w:type="spellStart"/>
      <w:r w:rsidRPr="00467DB0">
        <w:t>indgås</w:t>
      </w:r>
      <w:proofErr w:type="spellEnd"/>
      <w:r w:rsidRPr="00467DB0">
        <w:t xml:space="preserve"> efter regning, i </w:t>
      </w:r>
      <w:proofErr w:type="spellStart"/>
      <w:r w:rsidRPr="00467DB0">
        <w:t>tilfælde</w:t>
      </w:r>
      <w:proofErr w:type="spellEnd"/>
      <w:r w:rsidRPr="00467DB0">
        <w:t xml:space="preserve">, hvor det er </w:t>
      </w:r>
      <w:proofErr w:type="spellStart"/>
      <w:r w:rsidRPr="00467DB0">
        <w:t>vanskeligt</w:t>
      </w:r>
      <w:proofErr w:type="spellEnd"/>
      <w:r w:rsidRPr="00467DB0">
        <w:t xml:space="preserve"> eller </w:t>
      </w:r>
      <w:proofErr w:type="spellStart"/>
      <w:r w:rsidRPr="00467DB0">
        <w:t>uhensigtsmæssigt</w:t>
      </w:r>
      <w:proofErr w:type="spellEnd"/>
      <w:r w:rsidRPr="00467DB0">
        <w:t xml:space="preserve"> at </w:t>
      </w:r>
      <w:proofErr w:type="spellStart"/>
      <w:r w:rsidRPr="00467DB0">
        <w:t>give</w:t>
      </w:r>
      <w:proofErr w:type="spellEnd"/>
      <w:r w:rsidRPr="00467DB0">
        <w:t xml:space="preserve"> en </w:t>
      </w:r>
      <w:proofErr w:type="spellStart"/>
      <w:r w:rsidRPr="00467DB0">
        <w:t>nøjagtig</w:t>
      </w:r>
      <w:proofErr w:type="spellEnd"/>
      <w:r w:rsidRPr="00467DB0">
        <w:t xml:space="preserve"> og fast pris på grund </w:t>
      </w:r>
      <w:proofErr w:type="spellStart"/>
      <w:r w:rsidRPr="00467DB0">
        <w:t>af</w:t>
      </w:r>
      <w:proofErr w:type="spellEnd"/>
      <w:r w:rsidRPr="00467DB0">
        <w:t xml:space="preserve"> </w:t>
      </w:r>
      <w:proofErr w:type="spellStart"/>
      <w:r w:rsidRPr="00467DB0">
        <w:t>usikkerhed</w:t>
      </w:r>
      <w:proofErr w:type="spellEnd"/>
      <w:r w:rsidRPr="00467DB0">
        <w:t xml:space="preserve"> i forbindelse med kontraktens </w:t>
      </w:r>
      <w:proofErr w:type="spellStart"/>
      <w:r w:rsidRPr="00467DB0">
        <w:t>ge</w:t>
      </w:r>
      <w:r w:rsidRPr="00467DB0">
        <w:t>nnemførelse</w:t>
      </w:r>
      <w:proofErr w:type="spellEnd"/>
      <w:r w:rsidRPr="00467DB0">
        <w:t xml:space="preserve"> </w:t>
      </w:r>
      <w:proofErr w:type="spellStart"/>
      <w:r w:rsidRPr="00467DB0">
        <w:t>af</w:t>
      </w:r>
      <w:proofErr w:type="spellEnd"/>
      <w:r w:rsidRPr="00467DB0">
        <w:t xml:space="preserve"> følgende </w:t>
      </w:r>
      <w:proofErr w:type="spellStart"/>
      <w:r w:rsidRPr="00467DB0">
        <w:t>årsager</w:t>
      </w:r>
      <w:proofErr w:type="spellEnd"/>
      <w:r w:rsidRPr="00467DB0">
        <w:t>:</w:t>
      </w:r>
    </w:p>
    <w:p w14:paraId="5F80821F" w14:textId="77777777" w:rsidR="00000000" w:rsidRPr="00467DB0" w:rsidRDefault="00693D67" w:rsidP="00467DB0">
      <w:pPr>
        <w:pStyle w:val="friliste2"/>
      </w:pPr>
      <w:r w:rsidRPr="00467DB0">
        <w:t>a)</w:t>
      </w:r>
      <w:r w:rsidRPr="00467DB0">
        <w:tab/>
        <w:t xml:space="preserve">kontrakten </w:t>
      </w:r>
      <w:proofErr w:type="spellStart"/>
      <w:r w:rsidRPr="00467DB0">
        <w:t>indeholder</w:t>
      </w:r>
      <w:proofErr w:type="spellEnd"/>
      <w:r w:rsidRPr="00467DB0">
        <w:t xml:space="preserve"> meget komplekse elementer eller omfatter </w:t>
      </w:r>
      <w:proofErr w:type="gramStart"/>
      <w:r w:rsidRPr="00467DB0">
        <w:t>anvendelse</w:t>
      </w:r>
      <w:proofErr w:type="gramEnd"/>
      <w:r w:rsidRPr="00467DB0">
        <w:t xml:space="preserve"> </w:t>
      </w:r>
      <w:proofErr w:type="spellStart"/>
      <w:r w:rsidRPr="00467DB0">
        <w:t>af</w:t>
      </w:r>
      <w:proofErr w:type="spellEnd"/>
      <w:r w:rsidRPr="00467DB0">
        <w:t xml:space="preserve"> ny teknologi, hvilket medfører betydelig teknisk </w:t>
      </w:r>
      <w:proofErr w:type="spellStart"/>
      <w:r w:rsidRPr="00467DB0">
        <w:t>usikkerhed</w:t>
      </w:r>
      <w:proofErr w:type="spellEnd"/>
      <w:r w:rsidRPr="00467DB0">
        <w:t>, eller</w:t>
      </w:r>
    </w:p>
    <w:p w14:paraId="600CC743" w14:textId="77777777" w:rsidR="00000000" w:rsidRPr="00467DB0" w:rsidRDefault="00693D67" w:rsidP="00467DB0">
      <w:pPr>
        <w:pStyle w:val="friliste2"/>
      </w:pPr>
      <w:r w:rsidRPr="00467DB0">
        <w:t>b)</w:t>
      </w:r>
      <w:r w:rsidRPr="00467DB0">
        <w:tab/>
        <w:t xml:space="preserve">de aktiviteter, som kontrakten vedrører, skal </w:t>
      </w:r>
      <w:proofErr w:type="spellStart"/>
      <w:r w:rsidRPr="00467DB0">
        <w:t>af</w:t>
      </w:r>
      <w:proofErr w:type="spellEnd"/>
      <w:r w:rsidRPr="00467DB0">
        <w:t xml:space="preserve"> </w:t>
      </w:r>
      <w:proofErr w:type="spellStart"/>
      <w:r w:rsidRPr="00467DB0">
        <w:t>operationelle</w:t>
      </w:r>
      <w:proofErr w:type="spellEnd"/>
      <w:r w:rsidRPr="00467DB0">
        <w:t xml:space="preserve"> </w:t>
      </w:r>
      <w:proofErr w:type="spellStart"/>
      <w:r w:rsidRPr="00467DB0">
        <w:t>årsager</w:t>
      </w:r>
      <w:proofErr w:type="spellEnd"/>
      <w:r w:rsidRPr="00467DB0">
        <w:t xml:space="preserve"> </w:t>
      </w:r>
      <w:proofErr w:type="spellStart"/>
      <w:r w:rsidRPr="00467DB0">
        <w:t>in</w:t>
      </w:r>
      <w:r w:rsidRPr="00467DB0">
        <w:t>dledes</w:t>
      </w:r>
      <w:proofErr w:type="spellEnd"/>
      <w:r w:rsidRPr="00467DB0">
        <w:t xml:space="preserve"> </w:t>
      </w:r>
      <w:proofErr w:type="spellStart"/>
      <w:r w:rsidRPr="00467DB0">
        <w:t>uden</w:t>
      </w:r>
      <w:proofErr w:type="spellEnd"/>
      <w:r w:rsidRPr="00467DB0">
        <w:t xml:space="preserve"> forsinkelse, selv om det </w:t>
      </w:r>
      <w:proofErr w:type="spellStart"/>
      <w:r w:rsidRPr="00467DB0">
        <w:t>endnu</w:t>
      </w:r>
      <w:proofErr w:type="spellEnd"/>
      <w:r w:rsidRPr="00467DB0">
        <w:t xml:space="preserve"> ikke er </w:t>
      </w:r>
      <w:proofErr w:type="spellStart"/>
      <w:r w:rsidRPr="00467DB0">
        <w:t>muligt</w:t>
      </w:r>
      <w:proofErr w:type="spellEnd"/>
      <w:r w:rsidRPr="00467DB0">
        <w:t xml:space="preserve"> at </w:t>
      </w:r>
      <w:proofErr w:type="spellStart"/>
      <w:r w:rsidRPr="00467DB0">
        <w:t>fastsætte</w:t>
      </w:r>
      <w:proofErr w:type="spellEnd"/>
      <w:r w:rsidRPr="00467DB0">
        <w:t xml:space="preserve"> en </w:t>
      </w:r>
      <w:proofErr w:type="spellStart"/>
      <w:r w:rsidRPr="00467DB0">
        <w:t>nøjagtig</w:t>
      </w:r>
      <w:proofErr w:type="spellEnd"/>
      <w:r w:rsidRPr="00467DB0">
        <w:t xml:space="preserve"> pris, </w:t>
      </w:r>
      <w:proofErr w:type="spellStart"/>
      <w:r w:rsidRPr="00467DB0">
        <w:t>eftersom</w:t>
      </w:r>
      <w:proofErr w:type="spellEnd"/>
      <w:r w:rsidRPr="00467DB0">
        <w:t xml:space="preserve"> der foreligger betydelige </w:t>
      </w:r>
      <w:proofErr w:type="spellStart"/>
      <w:r w:rsidRPr="00467DB0">
        <w:t>usikkerhedsmomenter</w:t>
      </w:r>
      <w:proofErr w:type="spellEnd"/>
      <w:r w:rsidRPr="00467DB0">
        <w:t xml:space="preserve">, eller kontraktens </w:t>
      </w:r>
      <w:proofErr w:type="spellStart"/>
      <w:r w:rsidRPr="00467DB0">
        <w:t>gennemførelse</w:t>
      </w:r>
      <w:proofErr w:type="spellEnd"/>
      <w:r w:rsidRPr="00467DB0">
        <w:t xml:space="preserve"> delvis </w:t>
      </w:r>
      <w:proofErr w:type="spellStart"/>
      <w:r w:rsidRPr="00467DB0">
        <w:t>afhænger</w:t>
      </w:r>
      <w:proofErr w:type="spellEnd"/>
      <w:r w:rsidRPr="00467DB0">
        <w:t xml:space="preserve"> </w:t>
      </w:r>
      <w:proofErr w:type="spellStart"/>
      <w:r w:rsidRPr="00467DB0">
        <w:t>af</w:t>
      </w:r>
      <w:proofErr w:type="spellEnd"/>
      <w:r w:rsidRPr="00467DB0">
        <w:t xml:space="preserve"> </w:t>
      </w:r>
      <w:proofErr w:type="spellStart"/>
      <w:r w:rsidRPr="00467DB0">
        <w:t>gennemførelsen</w:t>
      </w:r>
      <w:proofErr w:type="spellEnd"/>
      <w:r w:rsidRPr="00467DB0">
        <w:t xml:space="preserve"> </w:t>
      </w:r>
      <w:proofErr w:type="spellStart"/>
      <w:r w:rsidRPr="00467DB0">
        <w:t>af</w:t>
      </w:r>
      <w:proofErr w:type="spellEnd"/>
      <w:r w:rsidRPr="00467DB0">
        <w:t xml:space="preserve"> andre kontrakter.</w:t>
      </w:r>
    </w:p>
    <w:p w14:paraId="654533AC" w14:textId="77777777" w:rsidR="00000000" w:rsidRPr="00467DB0" w:rsidRDefault="00693D67" w:rsidP="00467DB0">
      <w:pPr>
        <w:pStyle w:val="friliste"/>
      </w:pPr>
      <w:r w:rsidRPr="00467DB0">
        <w:t>4.</w:t>
      </w:r>
      <w:r w:rsidRPr="00467DB0">
        <w:tab/>
        <w:t xml:space="preserve">Kontrakter, der </w:t>
      </w:r>
      <w:proofErr w:type="spellStart"/>
      <w:r w:rsidRPr="00467DB0">
        <w:t>indgå</w:t>
      </w:r>
      <w:r w:rsidRPr="00467DB0">
        <w:t>s</w:t>
      </w:r>
      <w:proofErr w:type="spellEnd"/>
      <w:r w:rsidRPr="00467DB0">
        <w:t xml:space="preserve"> på regningsbasis, skal </w:t>
      </w:r>
      <w:proofErr w:type="spellStart"/>
      <w:r w:rsidRPr="00467DB0">
        <w:t>fastsætte</w:t>
      </w:r>
      <w:proofErr w:type="spellEnd"/>
      <w:r w:rsidRPr="00467DB0">
        <w:t xml:space="preserve"> et maksimalt </w:t>
      </w:r>
      <w:proofErr w:type="spellStart"/>
      <w:r w:rsidRPr="00467DB0">
        <w:t>prisloft</w:t>
      </w:r>
      <w:proofErr w:type="spellEnd"/>
      <w:r w:rsidRPr="00467DB0">
        <w:t xml:space="preserve">. </w:t>
      </w:r>
      <w:proofErr w:type="spellStart"/>
      <w:r w:rsidRPr="00467DB0">
        <w:t>Prisloftet</w:t>
      </w:r>
      <w:proofErr w:type="spellEnd"/>
      <w:r w:rsidRPr="00467DB0">
        <w:t xml:space="preserve"> i kontrakter, der helt eller delvis </w:t>
      </w:r>
      <w:proofErr w:type="spellStart"/>
      <w:r w:rsidRPr="00467DB0">
        <w:t>indgås</w:t>
      </w:r>
      <w:proofErr w:type="spellEnd"/>
      <w:r w:rsidRPr="00467DB0">
        <w:t xml:space="preserve"> på regningsbasis, er det maksimale </w:t>
      </w:r>
      <w:proofErr w:type="spellStart"/>
      <w:r w:rsidRPr="00467DB0">
        <w:t>beløb</w:t>
      </w:r>
      <w:proofErr w:type="spellEnd"/>
      <w:r w:rsidRPr="00467DB0">
        <w:t xml:space="preserve">, der kan </w:t>
      </w:r>
      <w:proofErr w:type="spellStart"/>
      <w:r w:rsidRPr="00467DB0">
        <w:t>udbetales</w:t>
      </w:r>
      <w:proofErr w:type="spellEnd"/>
      <w:r w:rsidRPr="00467DB0">
        <w:t xml:space="preserve">. Prisen kan </w:t>
      </w:r>
      <w:proofErr w:type="spellStart"/>
      <w:r w:rsidRPr="00467DB0">
        <w:t>ændres</w:t>
      </w:r>
      <w:proofErr w:type="spellEnd"/>
      <w:r w:rsidRPr="00467DB0">
        <w:t xml:space="preserve"> i overensstemmelse med finansforordningens </w:t>
      </w:r>
      <w:proofErr w:type="spellStart"/>
      <w:r w:rsidRPr="00467DB0">
        <w:t>artikel</w:t>
      </w:r>
      <w:proofErr w:type="spellEnd"/>
      <w:r w:rsidRPr="00467DB0">
        <w:t> 172.</w:t>
      </w:r>
    </w:p>
    <w:p w14:paraId="2ADC41A0" w14:textId="77777777" w:rsidR="00000000" w:rsidRPr="00467DB0" w:rsidRDefault="00693D67" w:rsidP="00467DB0">
      <w:pPr>
        <w:pStyle w:val="avsnitt-undertittel"/>
      </w:pPr>
      <w:proofErr w:type="spellStart"/>
      <w:r w:rsidRPr="00467DB0">
        <w:t>Artikel</w:t>
      </w:r>
      <w:proofErr w:type="spellEnd"/>
      <w:r w:rsidRPr="00467DB0">
        <w:t> 1</w:t>
      </w:r>
      <w:r w:rsidRPr="00467DB0">
        <w:t>7</w:t>
      </w:r>
    </w:p>
    <w:p w14:paraId="5ECE5F6E" w14:textId="77777777" w:rsidR="00000000" w:rsidRPr="00467DB0" w:rsidRDefault="00693D67" w:rsidP="00467DB0">
      <w:pPr>
        <w:pStyle w:val="Undertittel"/>
      </w:pPr>
      <w:proofErr w:type="spellStart"/>
      <w:r w:rsidRPr="00467DB0">
        <w:t>Underleverancer</w:t>
      </w:r>
      <w:proofErr w:type="spellEnd"/>
    </w:p>
    <w:p w14:paraId="2E2FE3AA" w14:textId="77777777" w:rsidR="00000000" w:rsidRPr="00467DB0" w:rsidRDefault="00693D67" w:rsidP="00467DB0">
      <w:pPr>
        <w:pStyle w:val="friliste"/>
      </w:pPr>
      <w:r w:rsidRPr="00467DB0">
        <w:t>1.</w:t>
      </w:r>
      <w:r w:rsidRPr="00467DB0">
        <w:tab/>
        <w:t xml:space="preserve">For at </w:t>
      </w:r>
      <w:proofErr w:type="spellStart"/>
      <w:r w:rsidRPr="00467DB0">
        <w:t>opmuntre</w:t>
      </w:r>
      <w:proofErr w:type="spellEnd"/>
      <w:r w:rsidRPr="00467DB0">
        <w:t xml:space="preserve"> nye aktører, </w:t>
      </w:r>
      <w:proofErr w:type="spellStart"/>
      <w:r w:rsidRPr="00467DB0">
        <w:t>SMV'er</w:t>
      </w:r>
      <w:proofErr w:type="spellEnd"/>
      <w:r w:rsidRPr="00467DB0">
        <w:t xml:space="preserve"> og nystartede </w:t>
      </w:r>
      <w:proofErr w:type="spellStart"/>
      <w:r w:rsidRPr="00467DB0">
        <w:t>virksomheder</w:t>
      </w:r>
      <w:proofErr w:type="spellEnd"/>
      <w:r w:rsidRPr="00467DB0">
        <w:t xml:space="preserve"> til </w:t>
      </w:r>
      <w:proofErr w:type="spellStart"/>
      <w:r w:rsidRPr="00467DB0">
        <w:t>grænseoverskridende</w:t>
      </w:r>
      <w:proofErr w:type="spellEnd"/>
      <w:r w:rsidRPr="00467DB0">
        <w:t xml:space="preserve"> deltagelse og for at tilbyde den bredest mulige geografiske </w:t>
      </w:r>
      <w:proofErr w:type="spellStart"/>
      <w:r w:rsidRPr="00467DB0">
        <w:t>dækning</w:t>
      </w:r>
      <w:proofErr w:type="spellEnd"/>
      <w:r w:rsidRPr="00467DB0">
        <w:t xml:space="preserve">, samtidig med at Unionens autonomi beskyttes, skal den ordregivende </w:t>
      </w:r>
      <w:proofErr w:type="spellStart"/>
      <w:r w:rsidRPr="00467DB0">
        <w:t>myndighed</w:t>
      </w:r>
      <w:proofErr w:type="spellEnd"/>
      <w:r w:rsidRPr="00467DB0">
        <w:t xml:space="preserve"> </w:t>
      </w:r>
      <w:proofErr w:type="spellStart"/>
      <w:r w:rsidRPr="00467DB0">
        <w:t>kr</w:t>
      </w:r>
      <w:r w:rsidRPr="00467DB0">
        <w:t>æve</w:t>
      </w:r>
      <w:proofErr w:type="spellEnd"/>
      <w:r w:rsidRPr="00467DB0">
        <w:t xml:space="preserve">, at tilbudsgiveren giver en del </w:t>
      </w:r>
      <w:proofErr w:type="spellStart"/>
      <w:r w:rsidRPr="00467DB0">
        <w:t>af</w:t>
      </w:r>
      <w:proofErr w:type="spellEnd"/>
      <w:r w:rsidRPr="00467DB0">
        <w:t xml:space="preserve"> kontrakten i underentreprise,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konkurrencebaserede</w:t>
      </w:r>
      <w:proofErr w:type="spellEnd"/>
      <w:r w:rsidRPr="00467DB0">
        <w:t xml:space="preserve"> </w:t>
      </w:r>
      <w:proofErr w:type="spellStart"/>
      <w:r w:rsidRPr="00467DB0">
        <w:t>udbud</w:t>
      </w:r>
      <w:proofErr w:type="spellEnd"/>
      <w:r w:rsidRPr="00467DB0">
        <w:t xml:space="preserve"> på de relevante </w:t>
      </w:r>
      <w:proofErr w:type="spellStart"/>
      <w:r w:rsidRPr="00467DB0">
        <w:t>niveauer</w:t>
      </w:r>
      <w:proofErr w:type="spellEnd"/>
      <w:r w:rsidRPr="00467DB0">
        <w:t xml:space="preserve"> for underentreprise, til andre </w:t>
      </w:r>
      <w:proofErr w:type="spellStart"/>
      <w:r w:rsidRPr="00467DB0">
        <w:t>virksomheder</w:t>
      </w:r>
      <w:proofErr w:type="spellEnd"/>
      <w:r w:rsidRPr="00467DB0">
        <w:t xml:space="preserve"> end dem, der tilhører tilbudsgiverens </w:t>
      </w:r>
      <w:proofErr w:type="spellStart"/>
      <w:r w:rsidRPr="00467DB0">
        <w:t>koncern</w:t>
      </w:r>
      <w:proofErr w:type="spellEnd"/>
      <w:r w:rsidRPr="00467DB0">
        <w:t>.</w:t>
      </w:r>
    </w:p>
    <w:p w14:paraId="7E3DCF64" w14:textId="77777777" w:rsidR="00000000" w:rsidRPr="00467DB0" w:rsidRDefault="00693D67" w:rsidP="00467DB0">
      <w:pPr>
        <w:pStyle w:val="friliste"/>
      </w:pPr>
      <w:r w:rsidRPr="00467DB0">
        <w:t>2.</w:t>
      </w:r>
      <w:r w:rsidRPr="00467DB0">
        <w:tab/>
        <w:t xml:space="preserve">Tilbudsgiveren skal </w:t>
      </w:r>
      <w:proofErr w:type="spellStart"/>
      <w:r w:rsidRPr="00467DB0">
        <w:t>begrunde</w:t>
      </w:r>
      <w:proofErr w:type="spellEnd"/>
      <w:r w:rsidRPr="00467DB0">
        <w:t xml:space="preserve"> </w:t>
      </w:r>
      <w:r w:rsidRPr="00467DB0">
        <w:t xml:space="preserve">enhver </w:t>
      </w:r>
      <w:proofErr w:type="spellStart"/>
      <w:r w:rsidRPr="00467DB0">
        <w:t>fravigelse</w:t>
      </w:r>
      <w:proofErr w:type="spellEnd"/>
      <w:r w:rsidRPr="00467DB0">
        <w:t xml:space="preserve"> fra et krav i henhold til stk. 1. </w:t>
      </w:r>
    </w:p>
    <w:p w14:paraId="244A18FB" w14:textId="77777777" w:rsidR="00000000" w:rsidRPr="00467DB0" w:rsidRDefault="00693D67" w:rsidP="00467DB0">
      <w:pPr>
        <w:pStyle w:val="friliste"/>
      </w:pPr>
      <w:r w:rsidRPr="00467DB0">
        <w:t>3.</w:t>
      </w:r>
      <w:r w:rsidRPr="00467DB0">
        <w:tab/>
        <w:t xml:space="preserve">For kontrakter over 10 </w:t>
      </w:r>
      <w:proofErr w:type="spellStart"/>
      <w:r w:rsidRPr="00467DB0">
        <w:t>mio</w:t>
      </w:r>
      <w:proofErr w:type="spellEnd"/>
      <w:r w:rsidRPr="00467DB0">
        <w:t xml:space="preserve">. EUR skal den ordregivende </w:t>
      </w:r>
      <w:proofErr w:type="spellStart"/>
      <w:r w:rsidRPr="00467DB0">
        <w:t>myndighed</w:t>
      </w:r>
      <w:proofErr w:type="spellEnd"/>
      <w:r w:rsidRPr="00467DB0">
        <w:t xml:space="preserve"> </w:t>
      </w:r>
      <w:proofErr w:type="spellStart"/>
      <w:r w:rsidRPr="00467DB0">
        <w:t>sigte</w:t>
      </w:r>
      <w:proofErr w:type="spellEnd"/>
      <w:r w:rsidRPr="00467DB0">
        <w:t xml:space="preserve"> mod at sikre, at </w:t>
      </w:r>
      <w:proofErr w:type="spellStart"/>
      <w:r w:rsidRPr="00467DB0">
        <w:t>mindst</w:t>
      </w:r>
      <w:proofErr w:type="spellEnd"/>
      <w:r w:rsidRPr="00467DB0">
        <w:t xml:space="preserve"> 30 % </w:t>
      </w:r>
      <w:proofErr w:type="spellStart"/>
      <w:r w:rsidRPr="00467DB0">
        <w:t>af</w:t>
      </w:r>
      <w:proofErr w:type="spellEnd"/>
      <w:r w:rsidRPr="00467DB0">
        <w:t xml:space="preserve"> kontraktens </w:t>
      </w:r>
      <w:proofErr w:type="spellStart"/>
      <w:r w:rsidRPr="00467DB0">
        <w:t>værdi</w:t>
      </w:r>
      <w:proofErr w:type="spellEnd"/>
      <w:r w:rsidRPr="00467DB0">
        <w:t xml:space="preserve"> </w:t>
      </w:r>
      <w:proofErr w:type="spellStart"/>
      <w:r w:rsidRPr="00467DB0">
        <w:t>gives</w:t>
      </w:r>
      <w:proofErr w:type="spellEnd"/>
      <w:r w:rsidRPr="00467DB0">
        <w:t xml:space="preserve"> i underentreprise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konkurrencebaserede</w:t>
      </w:r>
      <w:proofErr w:type="spellEnd"/>
      <w:r w:rsidRPr="00467DB0">
        <w:t xml:space="preserve"> </w:t>
      </w:r>
      <w:proofErr w:type="spellStart"/>
      <w:r w:rsidRPr="00467DB0">
        <w:t>udbud</w:t>
      </w:r>
      <w:proofErr w:type="spellEnd"/>
      <w:r w:rsidRPr="00467DB0">
        <w:t xml:space="preserve"> på </w:t>
      </w:r>
      <w:proofErr w:type="spellStart"/>
      <w:r w:rsidRPr="00467DB0">
        <w:t>forskellige</w:t>
      </w:r>
      <w:proofErr w:type="spellEnd"/>
      <w:r w:rsidRPr="00467DB0">
        <w:t xml:space="preserve"> </w:t>
      </w:r>
      <w:proofErr w:type="spellStart"/>
      <w:r w:rsidRPr="00467DB0">
        <w:t>ni</w:t>
      </w:r>
      <w:r w:rsidRPr="00467DB0">
        <w:t>veauer</w:t>
      </w:r>
      <w:proofErr w:type="spellEnd"/>
      <w:r w:rsidRPr="00467DB0">
        <w:t xml:space="preserve"> til andre </w:t>
      </w:r>
      <w:proofErr w:type="spellStart"/>
      <w:r w:rsidRPr="00467DB0">
        <w:t>virksomheder</w:t>
      </w:r>
      <w:proofErr w:type="spellEnd"/>
      <w:r w:rsidRPr="00467DB0">
        <w:t xml:space="preserve"> end dem, der tilhører </w:t>
      </w:r>
      <w:proofErr w:type="spellStart"/>
      <w:r w:rsidRPr="00467DB0">
        <w:t>hovedkontrahentens</w:t>
      </w:r>
      <w:proofErr w:type="spellEnd"/>
      <w:r w:rsidRPr="00467DB0">
        <w:t xml:space="preserve"> </w:t>
      </w:r>
      <w:proofErr w:type="spellStart"/>
      <w:r w:rsidRPr="00467DB0">
        <w:t>koncern</w:t>
      </w:r>
      <w:proofErr w:type="spellEnd"/>
      <w:r w:rsidRPr="00467DB0">
        <w:t xml:space="preserve">, navnlig med </w:t>
      </w:r>
      <w:proofErr w:type="spellStart"/>
      <w:r w:rsidRPr="00467DB0">
        <w:t>henblik</w:t>
      </w:r>
      <w:proofErr w:type="spellEnd"/>
      <w:r w:rsidRPr="00467DB0">
        <w:t xml:space="preserve"> på at </w:t>
      </w:r>
      <w:proofErr w:type="spellStart"/>
      <w:r w:rsidRPr="00467DB0">
        <w:t>muliggøre</w:t>
      </w:r>
      <w:proofErr w:type="spellEnd"/>
      <w:r w:rsidRPr="00467DB0">
        <w:t xml:space="preserve"> </w:t>
      </w:r>
      <w:proofErr w:type="spellStart"/>
      <w:r w:rsidRPr="00467DB0">
        <w:t>SMV'ers</w:t>
      </w:r>
      <w:proofErr w:type="spellEnd"/>
      <w:r w:rsidRPr="00467DB0">
        <w:t xml:space="preserve"> deltagelse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t>grænserne</w:t>
      </w:r>
      <w:proofErr w:type="spellEnd"/>
      <w:r w:rsidRPr="00467DB0">
        <w:t xml:space="preserve">. </w:t>
      </w:r>
      <w:proofErr w:type="spellStart"/>
      <w:r w:rsidRPr="00467DB0">
        <w:t>Kommissionen</w:t>
      </w:r>
      <w:proofErr w:type="spellEnd"/>
      <w:r w:rsidRPr="00467DB0">
        <w:t xml:space="preserve"> underretter det i </w:t>
      </w:r>
      <w:proofErr w:type="spellStart"/>
      <w:r w:rsidRPr="00467DB0">
        <w:t>artikel</w:t>
      </w:r>
      <w:proofErr w:type="spellEnd"/>
      <w:r w:rsidRPr="00467DB0">
        <w:t xml:space="preserve"> 107, stk. 1, omhandlede </w:t>
      </w:r>
      <w:proofErr w:type="spellStart"/>
      <w:r w:rsidRPr="00467DB0">
        <w:t>udvalg</w:t>
      </w:r>
      <w:proofErr w:type="spellEnd"/>
      <w:r w:rsidRPr="00467DB0">
        <w:t xml:space="preserve"> om </w:t>
      </w:r>
      <w:proofErr w:type="spellStart"/>
      <w:r w:rsidRPr="00467DB0">
        <w:t>opfyldelsen</w:t>
      </w:r>
      <w:proofErr w:type="spellEnd"/>
      <w:r w:rsidRPr="00467DB0">
        <w:t xml:space="preserve"> </w:t>
      </w:r>
      <w:proofErr w:type="spellStart"/>
      <w:r w:rsidRPr="00467DB0">
        <w:t>af</w:t>
      </w:r>
      <w:proofErr w:type="spellEnd"/>
      <w:r w:rsidRPr="00467DB0">
        <w:t xml:space="preserve"> dette mål </w:t>
      </w:r>
      <w:r w:rsidRPr="00467DB0">
        <w:t xml:space="preserve">for så vidt angår kontrakter, der undertegnes efter denne forordnings </w:t>
      </w:r>
      <w:proofErr w:type="spellStart"/>
      <w:r w:rsidRPr="00467DB0">
        <w:t>ikrafttræden</w:t>
      </w:r>
      <w:proofErr w:type="spellEnd"/>
      <w:r w:rsidRPr="00467DB0">
        <w:t>.</w:t>
      </w:r>
    </w:p>
    <w:p w14:paraId="49AD0D28" w14:textId="77777777" w:rsidR="00000000" w:rsidRPr="00467DB0" w:rsidRDefault="00693D67" w:rsidP="00467DB0">
      <w:pPr>
        <w:pStyle w:val="avsnitt-undertittel"/>
      </w:pPr>
      <w:r w:rsidRPr="00467DB0">
        <w:t>Kapitel II</w:t>
      </w:r>
    </w:p>
    <w:p w14:paraId="0EDE854F" w14:textId="77777777" w:rsidR="00000000" w:rsidRPr="00467DB0" w:rsidRDefault="00693D67" w:rsidP="00467DB0">
      <w:pPr>
        <w:pStyle w:val="Undertittel"/>
      </w:pPr>
      <w:proofErr w:type="spellStart"/>
      <w:r w:rsidRPr="00467DB0">
        <w:t>Tilskud</w:t>
      </w:r>
      <w:proofErr w:type="spellEnd"/>
      <w:r w:rsidRPr="00467DB0">
        <w:t xml:space="preserve">, priser og </w:t>
      </w:r>
      <w:proofErr w:type="spellStart"/>
      <w:r w:rsidRPr="00467DB0">
        <w:t>blandingsoperationer</w:t>
      </w:r>
      <w:proofErr w:type="spellEnd"/>
    </w:p>
    <w:p w14:paraId="09ACF002" w14:textId="77777777" w:rsidR="00000000" w:rsidRPr="00467DB0" w:rsidRDefault="00693D67" w:rsidP="00467DB0">
      <w:pPr>
        <w:pStyle w:val="avsnitt-undertittel"/>
      </w:pPr>
      <w:proofErr w:type="spellStart"/>
      <w:r w:rsidRPr="00467DB0">
        <w:t>Artikel</w:t>
      </w:r>
      <w:proofErr w:type="spellEnd"/>
      <w:r w:rsidRPr="00467DB0">
        <w:t> 18</w:t>
      </w:r>
    </w:p>
    <w:p w14:paraId="4A803B11" w14:textId="77777777" w:rsidR="00000000" w:rsidRPr="00467DB0" w:rsidRDefault="00693D67" w:rsidP="00467DB0">
      <w:pPr>
        <w:pStyle w:val="Undertittel"/>
      </w:pPr>
      <w:proofErr w:type="spellStart"/>
      <w:r w:rsidRPr="00467DB0">
        <w:t>Tilskud</w:t>
      </w:r>
      <w:proofErr w:type="spellEnd"/>
      <w:r w:rsidRPr="00467DB0">
        <w:t xml:space="preserve"> og priser</w:t>
      </w:r>
    </w:p>
    <w:p w14:paraId="3466D9D0" w14:textId="77777777" w:rsidR="00000000" w:rsidRPr="00467DB0" w:rsidRDefault="00693D67" w:rsidP="00467DB0">
      <w:pPr>
        <w:pStyle w:val="friliste"/>
      </w:pPr>
      <w:r w:rsidRPr="00467DB0">
        <w:t>1.</w:t>
      </w:r>
      <w:r w:rsidRPr="00467DB0">
        <w:tab/>
        <w:t xml:space="preserve">Unionen kan </w:t>
      </w:r>
      <w:proofErr w:type="spellStart"/>
      <w:r w:rsidRPr="00467DB0">
        <w:t>dække</w:t>
      </w:r>
      <w:proofErr w:type="spellEnd"/>
      <w:r w:rsidRPr="00467DB0">
        <w:t xml:space="preserve"> </w:t>
      </w:r>
      <w:proofErr w:type="spellStart"/>
      <w:r w:rsidRPr="00467DB0">
        <w:t>op</w:t>
      </w:r>
      <w:proofErr w:type="spellEnd"/>
      <w:r w:rsidRPr="00467DB0">
        <w:t xml:space="preserve"> til 100 % </w:t>
      </w:r>
      <w:proofErr w:type="spellStart"/>
      <w:r w:rsidRPr="00467DB0">
        <w:t>af</w:t>
      </w:r>
      <w:proofErr w:type="spellEnd"/>
      <w:r w:rsidRPr="00467DB0">
        <w:t xml:space="preserve"> de støt</w:t>
      </w:r>
      <w:r w:rsidRPr="00467DB0">
        <w:t xml:space="preserve">teberettigede omkostninger, </w:t>
      </w:r>
      <w:proofErr w:type="spellStart"/>
      <w:r w:rsidRPr="00467DB0">
        <w:t>uden</w:t>
      </w:r>
      <w:proofErr w:type="spellEnd"/>
      <w:r w:rsidRPr="00467DB0">
        <w:t xml:space="preserve"> at dette berører </w:t>
      </w:r>
      <w:proofErr w:type="spellStart"/>
      <w:r w:rsidRPr="00467DB0">
        <w:t>medfinansieringsprincippet</w:t>
      </w:r>
      <w:proofErr w:type="spellEnd"/>
      <w:r w:rsidRPr="00467DB0">
        <w:t>.</w:t>
      </w:r>
    </w:p>
    <w:p w14:paraId="68BEC3D9" w14:textId="77777777" w:rsidR="00000000" w:rsidRPr="00467DB0" w:rsidRDefault="00693D67" w:rsidP="00467DB0">
      <w:pPr>
        <w:pStyle w:val="friliste"/>
      </w:pPr>
      <w:r w:rsidRPr="00467DB0">
        <w:lastRenderedPageBreak/>
        <w:t>2.</w:t>
      </w:r>
      <w:r w:rsidRPr="00467DB0">
        <w:tab/>
      </w:r>
      <w:proofErr w:type="spellStart"/>
      <w:r w:rsidRPr="00467DB0">
        <w:t>Uanset</w:t>
      </w:r>
      <w:proofErr w:type="spellEnd"/>
      <w:r w:rsidRPr="00467DB0">
        <w:t xml:space="preserve"> finansforordningens </w:t>
      </w:r>
      <w:proofErr w:type="spellStart"/>
      <w:r w:rsidRPr="00467DB0">
        <w:t>artikel</w:t>
      </w:r>
      <w:proofErr w:type="spellEnd"/>
      <w:r w:rsidRPr="00467DB0">
        <w:t xml:space="preserve"> 181, stk. 6 kan den kompetente anvisningsberettigede ved </w:t>
      </w:r>
      <w:proofErr w:type="gramStart"/>
      <w:r w:rsidRPr="00467DB0">
        <w:t>anvendelsen</w:t>
      </w:r>
      <w:proofErr w:type="gramEnd"/>
      <w:r w:rsidRPr="00467DB0">
        <w:t xml:space="preserve"> </w:t>
      </w:r>
      <w:proofErr w:type="spellStart"/>
      <w:r w:rsidRPr="00467DB0">
        <w:t>af</w:t>
      </w:r>
      <w:proofErr w:type="spellEnd"/>
      <w:r w:rsidRPr="00467DB0">
        <w:t xml:space="preserve"> faste takster </w:t>
      </w:r>
      <w:proofErr w:type="spellStart"/>
      <w:r w:rsidRPr="00467DB0">
        <w:t>tillade</w:t>
      </w:r>
      <w:proofErr w:type="spellEnd"/>
      <w:r w:rsidRPr="00467DB0">
        <w:t xml:space="preserve"> eller </w:t>
      </w:r>
      <w:proofErr w:type="spellStart"/>
      <w:r w:rsidRPr="00467DB0">
        <w:t>kræve</w:t>
      </w:r>
      <w:proofErr w:type="spellEnd"/>
      <w:r w:rsidRPr="00467DB0">
        <w:t xml:space="preserve"> finansiering </w:t>
      </w:r>
      <w:proofErr w:type="spellStart"/>
      <w:r w:rsidRPr="00467DB0">
        <w:t>af</w:t>
      </w:r>
      <w:proofErr w:type="spellEnd"/>
      <w:r w:rsidRPr="00467DB0">
        <w:t xml:space="preserve"> </w:t>
      </w:r>
      <w:proofErr w:type="spellStart"/>
      <w:r w:rsidRPr="00467DB0">
        <w:t>modtagerens</w:t>
      </w:r>
      <w:proofErr w:type="spellEnd"/>
      <w:r w:rsidRPr="00467DB0">
        <w:t xml:space="preserve"> indire</w:t>
      </w:r>
      <w:r w:rsidRPr="00467DB0">
        <w:t xml:space="preserve">kte omkostninger med </w:t>
      </w:r>
      <w:proofErr w:type="spellStart"/>
      <w:r w:rsidRPr="00467DB0">
        <w:t>op</w:t>
      </w:r>
      <w:proofErr w:type="spellEnd"/>
      <w:r w:rsidRPr="00467DB0">
        <w:t xml:space="preserve"> til </w:t>
      </w:r>
      <w:proofErr w:type="spellStart"/>
      <w:r w:rsidRPr="00467DB0">
        <w:t>højst</w:t>
      </w:r>
      <w:proofErr w:type="spellEnd"/>
      <w:r w:rsidRPr="00467DB0">
        <w:t xml:space="preserve"> 25 % </w:t>
      </w:r>
      <w:proofErr w:type="spellStart"/>
      <w:r w:rsidRPr="00467DB0">
        <w:t>af</w:t>
      </w:r>
      <w:proofErr w:type="spellEnd"/>
      <w:r w:rsidRPr="00467DB0">
        <w:t xml:space="preserve"> de samlede støtteberettigede direkte omkostninger i forbindelse med foranstaltningen.</w:t>
      </w:r>
    </w:p>
    <w:p w14:paraId="796C3A04" w14:textId="77777777" w:rsidR="00000000" w:rsidRPr="00467DB0" w:rsidRDefault="00693D67" w:rsidP="00467DB0">
      <w:pPr>
        <w:pStyle w:val="friliste"/>
      </w:pPr>
      <w:r w:rsidRPr="00467DB0">
        <w:t>3.</w:t>
      </w:r>
      <w:r w:rsidRPr="00467DB0">
        <w:tab/>
      </w:r>
      <w:proofErr w:type="spellStart"/>
      <w:r w:rsidRPr="00467DB0">
        <w:t>Uanset</w:t>
      </w:r>
      <w:proofErr w:type="spellEnd"/>
      <w:r w:rsidRPr="00467DB0">
        <w:t xml:space="preserve"> denne </w:t>
      </w:r>
      <w:proofErr w:type="spellStart"/>
      <w:r w:rsidRPr="00467DB0">
        <w:t>artikels</w:t>
      </w:r>
      <w:proofErr w:type="spellEnd"/>
      <w:r w:rsidRPr="00467DB0">
        <w:t xml:space="preserve"> stk. 2 kan de indirekte omkostninger </w:t>
      </w:r>
      <w:proofErr w:type="spellStart"/>
      <w:r w:rsidRPr="00467DB0">
        <w:t>angives</w:t>
      </w:r>
      <w:proofErr w:type="spellEnd"/>
      <w:r w:rsidRPr="00467DB0">
        <w:t xml:space="preserve"> i form </w:t>
      </w:r>
      <w:proofErr w:type="spellStart"/>
      <w:r w:rsidRPr="00467DB0">
        <w:t>af</w:t>
      </w:r>
      <w:proofErr w:type="spellEnd"/>
      <w:r w:rsidRPr="00467DB0">
        <w:t xml:space="preserve"> faste </w:t>
      </w:r>
      <w:proofErr w:type="spellStart"/>
      <w:r w:rsidRPr="00467DB0">
        <w:t>beløb</w:t>
      </w:r>
      <w:proofErr w:type="spellEnd"/>
      <w:r w:rsidRPr="00467DB0">
        <w:t xml:space="preserve"> eller </w:t>
      </w:r>
      <w:proofErr w:type="spellStart"/>
      <w:r w:rsidRPr="00467DB0">
        <w:t>enhedsomkostninger</w:t>
      </w:r>
      <w:proofErr w:type="spellEnd"/>
      <w:r w:rsidRPr="00467DB0">
        <w:t xml:space="preserve">, </w:t>
      </w:r>
      <w:proofErr w:type="spellStart"/>
      <w:r w:rsidRPr="00467DB0">
        <w:t>forudsat</w:t>
      </w:r>
      <w:proofErr w:type="spellEnd"/>
      <w:r w:rsidRPr="00467DB0">
        <w:t xml:space="preserve"> a</w:t>
      </w:r>
      <w:r w:rsidRPr="00467DB0">
        <w:t xml:space="preserve">t dette anføres i </w:t>
      </w:r>
      <w:proofErr w:type="spellStart"/>
      <w:r w:rsidRPr="00467DB0">
        <w:t>arbejdsprogrammet</w:t>
      </w:r>
      <w:proofErr w:type="spellEnd"/>
      <w:r w:rsidRPr="00467DB0">
        <w:t xml:space="preserve">, jf. </w:t>
      </w:r>
      <w:proofErr w:type="spellStart"/>
      <w:r w:rsidRPr="00467DB0">
        <w:t>artikel</w:t>
      </w:r>
      <w:proofErr w:type="spellEnd"/>
      <w:r w:rsidRPr="00467DB0">
        <w:t> 100.</w:t>
      </w:r>
    </w:p>
    <w:p w14:paraId="47FA91A8" w14:textId="77777777" w:rsidR="00000000" w:rsidRPr="00467DB0" w:rsidRDefault="00693D67" w:rsidP="00467DB0">
      <w:pPr>
        <w:pStyle w:val="friliste"/>
      </w:pPr>
      <w:r w:rsidRPr="00467DB0">
        <w:t>4.</w:t>
      </w:r>
      <w:r w:rsidRPr="00467DB0">
        <w:tab/>
      </w:r>
      <w:proofErr w:type="spellStart"/>
      <w:r w:rsidRPr="00467DB0">
        <w:t>Uanset</w:t>
      </w:r>
      <w:proofErr w:type="spellEnd"/>
      <w:r w:rsidRPr="00467DB0">
        <w:t xml:space="preserve"> finansforordningens </w:t>
      </w:r>
      <w:proofErr w:type="spellStart"/>
      <w:r w:rsidRPr="00467DB0">
        <w:t>artikel</w:t>
      </w:r>
      <w:proofErr w:type="spellEnd"/>
      <w:r w:rsidRPr="00467DB0">
        <w:t xml:space="preserve"> 204 må det maksimale </w:t>
      </w:r>
      <w:proofErr w:type="spellStart"/>
      <w:r w:rsidRPr="00467DB0">
        <w:t>støttebeløb</w:t>
      </w:r>
      <w:proofErr w:type="spellEnd"/>
      <w:r w:rsidRPr="00467DB0">
        <w:t xml:space="preserve">, som kan betales til </w:t>
      </w:r>
      <w:proofErr w:type="spellStart"/>
      <w:r w:rsidRPr="00467DB0">
        <w:t>tredjemand</w:t>
      </w:r>
      <w:proofErr w:type="spellEnd"/>
      <w:r w:rsidRPr="00467DB0">
        <w:t>, ikke overstige 200 000 EUR.</w:t>
      </w:r>
    </w:p>
    <w:p w14:paraId="72B2AA94" w14:textId="77777777" w:rsidR="00000000" w:rsidRPr="00467DB0" w:rsidRDefault="00693D67" w:rsidP="00467DB0">
      <w:pPr>
        <w:pStyle w:val="avsnitt-undertittel"/>
      </w:pPr>
      <w:proofErr w:type="spellStart"/>
      <w:r w:rsidRPr="00467DB0">
        <w:t>Artikel</w:t>
      </w:r>
      <w:proofErr w:type="spellEnd"/>
      <w:r w:rsidRPr="00467DB0">
        <w:t> 19</w:t>
      </w:r>
    </w:p>
    <w:p w14:paraId="4B46D3B8" w14:textId="77777777" w:rsidR="00000000" w:rsidRPr="00467DB0" w:rsidRDefault="00693D67" w:rsidP="00467DB0">
      <w:pPr>
        <w:pStyle w:val="Undertittel"/>
      </w:pPr>
      <w:proofErr w:type="spellStart"/>
      <w:r w:rsidRPr="00467DB0">
        <w:t>Fælles</w:t>
      </w:r>
      <w:proofErr w:type="spellEnd"/>
      <w:r w:rsidRPr="00467DB0">
        <w:t xml:space="preserve"> </w:t>
      </w:r>
      <w:proofErr w:type="spellStart"/>
      <w:r w:rsidRPr="00467DB0">
        <w:t>indkaldelser</w:t>
      </w:r>
      <w:proofErr w:type="spellEnd"/>
      <w:r w:rsidRPr="00467DB0">
        <w:t xml:space="preserve"> </w:t>
      </w:r>
      <w:proofErr w:type="spellStart"/>
      <w:r w:rsidRPr="00467DB0">
        <w:t>af</w:t>
      </w:r>
      <w:proofErr w:type="spellEnd"/>
      <w:r w:rsidRPr="00467DB0">
        <w:t xml:space="preserve"> </w:t>
      </w:r>
      <w:proofErr w:type="spellStart"/>
      <w:r w:rsidRPr="00467DB0">
        <w:t>ansøgninger</w:t>
      </w:r>
      <w:proofErr w:type="spellEnd"/>
      <w:r w:rsidRPr="00467DB0">
        <w:t xml:space="preserve"> om støtte</w:t>
      </w:r>
    </w:p>
    <w:p w14:paraId="77351FAB" w14:textId="77777777" w:rsidR="00000000" w:rsidRPr="00467DB0" w:rsidRDefault="00693D67" w:rsidP="00467DB0">
      <w:pPr>
        <w:pStyle w:val="friliste"/>
      </w:pPr>
      <w:r w:rsidRPr="00467DB0">
        <w:t>1.</w:t>
      </w:r>
      <w:r w:rsidRPr="00467DB0">
        <w:tab/>
      </w:r>
      <w:proofErr w:type="spellStart"/>
      <w:r w:rsidRPr="00467DB0">
        <w:t>Kommissione</w:t>
      </w:r>
      <w:r w:rsidRPr="00467DB0">
        <w:t>n</w:t>
      </w:r>
      <w:proofErr w:type="spellEnd"/>
      <w:r w:rsidRPr="00467DB0">
        <w:t xml:space="preserve"> eller en bemyndiget </w:t>
      </w:r>
      <w:proofErr w:type="spellStart"/>
      <w:r w:rsidRPr="00467DB0">
        <w:t>enhed</w:t>
      </w:r>
      <w:proofErr w:type="spellEnd"/>
      <w:r w:rsidRPr="00467DB0">
        <w:t xml:space="preserve"> kan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w:t>
      </w:r>
      <w:proofErr w:type="spellStart"/>
      <w:r w:rsidRPr="00467DB0">
        <w:t>offentliggøre</w:t>
      </w:r>
      <w:proofErr w:type="spellEnd"/>
      <w:r w:rsidRPr="00467DB0">
        <w:t xml:space="preserve"> </w:t>
      </w:r>
      <w:proofErr w:type="spellStart"/>
      <w:r w:rsidRPr="00467DB0">
        <w:t>fælles</w:t>
      </w:r>
      <w:proofErr w:type="spellEnd"/>
      <w:r w:rsidRPr="00467DB0">
        <w:t xml:space="preserve"> </w:t>
      </w:r>
      <w:proofErr w:type="spellStart"/>
      <w:r w:rsidRPr="00467DB0">
        <w:t>indkaldelser</w:t>
      </w:r>
      <w:proofErr w:type="spellEnd"/>
      <w:r w:rsidRPr="00467DB0">
        <w:t xml:space="preserve"> </w:t>
      </w:r>
      <w:proofErr w:type="spellStart"/>
      <w:r w:rsidRPr="00467DB0">
        <w:t>af</w:t>
      </w:r>
      <w:proofErr w:type="spellEnd"/>
      <w:r w:rsidRPr="00467DB0">
        <w:t xml:space="preserve"> forslag sammen med </w:t>
      </w:r>
      <w:proofErr w:type="spellStart"/>
      <w:r w:rsidRPr="00467DB0">
        <w:t>enheder</w:t>
      </w:r>
      <w:proofErr w:type="spellEnd"/>
      <w:r w:rsidRPr="00467DB0">
        <w:t xml:space="preserve">, organer eller personer som omhandlet i finansforordningens </w:t>
      </w:r>
      <w:proofErr w:type="spellStart"/>
      <w:r w:rsidRPr="00467DB0">
        <w:t>artikel</w:t>
      </w:r>
      <w:proofErr w:type="spellEnd"/>
      <w:r w:rsidRPr="00467DB0">
        <w:t xml:space="preserve"> 62, stk. 1, litra c).</w:t>
      </w:r>
    </w:p>
    <w:p w14:paraId="4C0CDD8E" w14:textId="77777777" w:rsidR="00000000" w:rsidRPr="00467DB0" w:rsidRDefault="00693D67" w:rsidP="00467DB0">
      <w:pPr>
        <w:pStyle w:val="friliste"/>
      </w:pPr>
      <w:r w:rsidRPr="00467DB0">
        <w:t>2.</w:t>
      </w:r>
      <w:r w:rsidRPr="00467DB0">
        <w:tab/>
        <w:t xml:space="preserve">I </w:t>
      </w:r>
      <w:proofErr w:type="spellStart"/>
      <w:r w:rsidRPr="00467DB0">
        <w:t>tilfælde</w:t>
      </w:r>
      <w:proofErr w:type="spellEnd"/>
      <w:r w:rsidRPr="00467DB0">
        <w:t xml:space="preserve"> </w:t>
      </w:r>
      <w:proofErr w:type="spellStart"/>
      <w:r w:rsidRPr="00467DB0">
        <w:t>af</w:t>
      </w:r>
      <w:proofErr w:type="spellEnd"/>
      <w:r w:rsidRPr="00467DB0">
        <w:t xml:space="preserve"> en </w:t>
      </w:r>
      <w:proofErr w:type="spellStart"/>
      <w:r w:rsidRPr="00467DB0">
        <w:t>fælles</w:t>
      </w:r>
      <w:proofErr w:type="spellEnd"/>
      <w:r w:rsidRPr="00467DB0">
        <w:t xml:space="preserve"> </w:t>
      </w:r>
      <w:proofErr w:type="spellStart"/>
      <w:r w:rsidRPr="00467DB0">
        <w:t>indkaldels</w:t>
      </w:r>
      <w:r w:rsidRPr="00467DB0">
        <w:t>e</w:t>
      </w:r>
      <w:proofErr w:type="spellEnd"/>
      <w:r w:rsidRPr="00467DB0">
        <w:t xml:space="preserve"> som omhandlet i nærværende </w:t>
      </w:r>
      <w:proofErr w:type="spellStart"/>
      <w:r w:rsidRPr="00467DB0">
        <w:t>artikels</w:t>
      </w:r>
      <w:proofErr w:type="spellEnd"/>
      <w:r w:rsidRPr="00467DB0">
        <w:t xml:space="preserve"> stk. 1:</w:t>
      </w:r>
    </w:p>
    <w:p w14:paraId="249C62EF" w14:textId="77777777" w:rsidR="00000000" w:rsidRPr="00467DB0" w:rsidRDefault="00693D67" w:rsidP="00467DB0">
      <w:pPr>
        <w:pStyle w:val="friliste2"/>
      </w:pPr>
      <w:r w:rsidRPr="00467DB0">
        <w:t>a)</w:t>
      </w:r>
      <w:r w:rsidRPr="00467DB0">
        <w:tab/>
      </w:r>
      <w:proofErr w:type="spellStart"/>
      <w:r w:rsidRPr="00467DB0">
        <w:t>finder</w:t>
      </w:r>
      <w:proofErr w:type="spellEnd"/>
      <w:r w:rsidRPr="00467DB0">
        <w:t xml:space="preserve"> de i finansforordningens </w:t>
      </w:r>
      <w:proofErr w:type="spellStart"/>
      <w:r w:rsidRPr="00467DB0">
        <w:t>afsnit</w:t>
      </w:r>
      <w:proofErr w:type="spellEnd"/>
      <w:r w:rsidRPr="00467DB0">
        <w:t xml:space="preserve"> VIII omhandlede regler </w:t>
      </w:r>
      <w:proofErr w:type="gramStart"/>
      <w:r w:rsidRPr="00467DB0">
        <w:t>anvendelse</w:t>
      </w:r>
      <w:proofErr w:type="gramEnd"/>
      <w:r w:rsidRPr="00467DB0">
        <w:t xml:space="preserve"> </w:t>
      </w:r>
    </w:p>
    <w:p w14:paraId="1E8C3634" w14:textId="77777777" w:rsidR="00000000" w:rsidRPr="00467DB0" w:rsidRDefault="00693D67" w:rsidP="00467DB0">
      <w:pPr>
        <w:pStyle w:val="friliste2"/>
      </w:pPr>
      <w:r w:rsidRPr="00467DB0">
        <w:t>b)</w:t>
      </w:r>
      <w:r w:rsidRPr="00467DB0">
        <w:tab/>
        <w:t xml:space="preserve">skal </w:t>
      </w:r>
      <w:proofErr w:type="spellStart"/>
      <w:r w:rsidRPr="00467DB0">
        <w:t>evalueringsprocedurerne</w:t>
      </w:r>
      <w:proofErr w:type="spellEnd"/>
      <w:r w:rsidRPr="00467DB0">
        <w:t xml:space="preserve"> involvere en </w:t>
      </w:r>
      <w:proofErr w:type="spellStart"/>
      <w:r w:rsidRPr="00467DB0">
        <w:t>afbalanceret</w:t>
      </w:r>
      <w:proofErr w:type="spellEnd"/>
      <w:r w:rsidRPr="00467DB0">
        <w:t xml:space="preserve"> gruppe </w:t>
      </w:r>
      <w:proofErr w:type="spellStart"/>
      <w:r w:rsidRPr="00467DB0">
        <w:t>af</w:t>
      </w:r>
      <w:proofErr w:type="spellEnd"/>
      <w:r w:rsidRPr="00467DB0">
        <w:t xml:space="preserve"> eksperter, som </w:t>
      </w:r>
      <w:proofErr w:type="spellStart"/>
      <w:r w:rsidRPr="00467DB0">
        <w:t>udpeges</w:t>
      </w:r>
      <w:proofErr w:type="spellEnd"/>
      <w:r w:rsidRPr="00467DB0">
        <w:t xml:space="preserve"> </w:t>
      </w:r>
      <w:proofErr w:type="spellStart"/>
      <w:r w:rsidRPr="00467DB0">
        <w:t>af</w:t>
      </w:r>
      <w:proofErr w:type="spellEnd"/>
      <w:r w:rsidRPr="00467DB0">
        <w:t xml:space="preserve"> begge parter, og </w:t>
      </w:r>
    </w:p>
    <w:p w14:paraId="04083865" w14:textId="77777777" w:rsidR="00000000" w:rsidRPr="00467DB0" w:rsidRDefault="00693D67" w:rsidP="00467DB0">
      <w:pPr>
        <w:pStyle w:val="friliste2"/>
      </w:pPr>
      <w:r w:rsidRPr="00467DB0">
        <w:t>c)</w:t>
      </w:r>
      <w:r w:rsidRPr="00467DB0">
        <w:tab/>
        <w:t xml:space="preserve">skal </w:t>
      </w:r>
      <w:proofErr w:type="spellStart"/>
      <w:r w:rsidRPr="00467DB0">
        <w:t>evalueringsud</w:t>
      </w:r>
      <w:r w:rsidRPr="00467DB0">
        <w:t>valget</w:t>
      </w:r>
      <w:proofErr w:type="spellEnd"/>
      <w:r w:rsidRPr="00467DB0">
        <w:t xml:space="preserve"> overholde finansforordningens </w:t>
      </w:r>
      <w:proofErr w:type="spellStart"/>
      <w:r w:rsidRPr="00467DB0">
        <w:t>artikel</w:t>
      </w:r>
      <w:proofErr w:type="spellEnd"/>
      <w:r w:rsidRPr="00467DB0">
        <w:t xml:space="preserve"> 150.</w:t>
      </w:r>
    </w:p>
    <w:p w14:paraId="4A682374" w14:textId="77777777" w:rsidR="00000000" w:rsidRPr="00467DB0" w:rsidRDefault="00693D67" w:rsidP="00467DB0">
      <w:pPr>
        <w:pStyle w:val="friliste"/>
      </w:pPr>
      <w:r w:rsidRPr="00467DB0">
        <w:t>3.</w:t>
      </w:r>
      <w:r w:rsidRPr="00467DB0">
        <w:tab/>
      </w:r>
      <w:proofErr w:type="spellStart"/>
      <w:r w:rsidRPr="00467DB0">
        <w:t>Tilskudsaftalen</w:t>
      </w:r>
      <w:proofErr w:type="spellEnd"/>
      <w:r w:rsidRPr="00467DB0">
        <w:t xml:space="preserve"> skal </w:t>
      </w:r>
      <w:proofErr w:type="spellStart"/>
      <w:r w:rsidRPr="00467DB0">
        <w:t>præcisere</w:t>
      </w:r>
      <w:proofErr w:type="spellEnd"/>
      <w:r w:rsidRPr="00467DB0">
        <w:t xml:space="preserve"> de ordninger, der </w:t>
      </w:r>
      <w:proofErr w:type="spellStart"/>
      <w:r w:rsidRPr="00467DB0">
        <w:t>finder</w:t>
      </w:r>
      <w:proofErr w:type="spellEnd"/>
      <w:r w:rsidRPr="00467DB0">
        <w:t xml:space="preserve"> </w:t>
      </w:r>
      <w:proofErr w:type="gramStart"/>
      <w:r w:rsidRPr="00467DB0">
        <w:t>anvendelse</w:t>
      </w:r>
      <w:proofErr w:type="gramEnd"/>
      <w:r w:rsidRPr="00467DB0">
        <w:t xml:space="preserve"> på intellektuelle </w:t>
      </w:r>
      <w:proofErr w:type="spellStart"/>
      <w:r w:rsidRPr="00467DB0">
        <w:t>ejendomsrettigheder</w:t>
      </w:r>
      <w:proofErr w:type="spellEnd"/>
      <w:r w:rsidRPr="00467DB0">
        <w:t>.</w:t>
      </w:r>
    </w:p>
    <w:p w14:paraId="1824EBCA" w14:textId="77777777" w:rsidR="00000000" w:rsidRPr="00467DB0" w:rsidRDefault="00693D67" w:rsidP="00467DB0">
      <w:pPr>
        <w:pStyle w:val="avsnitt-undertittel"/>
      </w:pPr>
      <w:proofErr w:type="spellStart"/>
      <w:r w:rsidRPr="00467DB0">
        <w:t>Artikel</w:t>
      </w:r>
      <w:proofErr w:type="spellEnd"/>
      <w:r w:rsidRPr="00467DB0">
        <w:t> 20</w:t>
      </w:r>
    </w:p>
    <w:p w14:paraId="5B766545" w14:textId="77777777" w:rsidR="00000000" w:rsidRPr="00467DB0" w:rsidRDefault="00693D67" w:rsidP="00467DB0">
      <w:pPr>
        <w:pStyle w:val="Undertittel"/>
      </w:pPr>
      <w:proofErr w:type="spellStart"/>
      <w:r w:rsidRPr="00467DB0">
        <w:t>Tilskud</w:t>
      </w:r>
      <w:proofErr w:type="spellEnd"/>
      <w:r w:rsidRPr="00467DB0">
        <w:t xml:space="preserve"> i forbindelse med </w:t>
      </w:r>
      <w:proofErr w:type="spellStart"/>
      <w:r w:rsidRPr="00467DB0">
        <w:t>prækommercielle</w:t>
      </w:r>
      <w:proofErr w:type="spellEnd"/>
      <w:r w:rsidRPr="00467DB0">
        <w:t xml:space="preserve"> </w:t>
      </w:r>
      <w:proofErr w:type="spellStart"/>
      <w:r w:rsidRPr="00467DB0">
        <w:t>udbud</w:t>
      </w:r>
      <w:proofErr w:type="spellEnd"/>
      <w:r w:rsidRPr="00467DB0">
        <w:t xml:space="preserve"> og </w:t>
      </w:r>
      <w:proofErr w:type="spellStart"/>
      <w:r w:rsidRPr="00467DB0">
        <w:t>udbud</w:t>
      </w:r>
      <w:proofErr w:type="spellEnd"/>
      <w:r w:rsidRPr="00467DB0">
        <w:t xml:space="preserve"> </w:t>
      </w:r>
      <w:proofErr w:type="gramStart"/>
      <w:r w:rsidRPr="00467DB0">
        <w:t>vedrørende</w:t>
      </w:r>
      <w:proofErr w:type="gramEnd"/>
      <w:r w:rsidRPr="00467DB0">
        <w:t xml:space="preserve"> innovative løsning</w:t>
      </w:r>
      <w:r w:rsidRPr="00467DB0">
        <w:t>er</w:t>
      </w:r>
    </w:p>
    <w:p w14:paraId="6817ED71" w14:textId="77777777" w:rsidR="00000000" w:rsidRPr="00467DB0" w:rsidRDefault="00693D67" w:rsidP="00467DB0">
      <w:pPr>
        <w:pStyle w:val="friliste"/>
      </w:pPr>
      <w:r w:rsidRPr="00467DB0">
        <w:t>1.</w:t>
      </w:r>
      <w:r w:rsidRPr="00467DB0">
        <w:tab/>
      </w:r>
      <w:proofErr w:type="spellStart"/>
      <w:r w:rsidRPr="00467DB0">
        <w:t>Aktioner</w:t>
      </w:r>
      <w:proofErr w:type="spellEnd"/>
      <w:r w:rsidRPr="00467DB0">
        <w:t xml:space="preserve"> kan involvere eller som primær </w:t>
      </w:r>
      <w:proofErr w:type="spellStart"/>
      <w:r w:rsidRPr="00467DB0">
        <w:t>målsætning</w:t>
      </w:r>
      <w:proofErr w:type="spellEnd"/>
      <w:r w:rsidRPr="00467DB0">
        <w:t xml:space="preserve"> have </w:t>
      </w:r>
      <w:proofErr w:type="spellStart"/>
      <w:r w:rsidRPr="00467DB0">
        <w:t>prækommercielle</w:t>
      </w:r>
      <w:proofErr w:type="spellEnd"/>
      <w:r w:rsidRPr="00467DB0">
        <w:t xml:space="preserve"> </w:t>
      </w:r>
      <w:proofErr w:type="spellStart"/>
      <w:r w:rsidRPr="00467DB0">
        <w:t>udbud</w:t>
      </w:r>
      <w:proofErr w:type="spellEnd"/>
      <w:r w:rsidRPr="00467DB0">
        <w:t xml:space="preserve"> og offentlige </w:t>
      </w:r>
      <w:proofErr w:type="spellStart"/>
      <w:r w:rsidRPr="00467DB0">
        <w:t>indkøb</w:t>
      </w:r>
      <w:proofErr w:type="spellEnd"/>
      <w:r w:rsidRPr="00467DB0">
        <w:t xml:space="preserve"> </w:t>
      </w:r>
      <w:proofErr w:type="gramStart"/>
      <w:r w:rsidRPr="00467DB0">
        <w:t>vedrørende</w:t>
      </w:r>
      <w:proofErr w:type="gramEnd"/>
      <w:r w:rsidRPr="00467DB0">
        <w:t xml:space="preserve"> innovative løsninger, der skal foretages </w:t>
      </w:r>
      <w:proofErr w:type="spellStart"/>
      <w:r w:rsidRPr="00467DB0">
        <w:t>af</w:t>
      </w:r>
      <w:proofErr w:type="spellEnd"/>
      <w:r w:rsidRPr="00467DB0">
        <w:t xml:space="preserve"> </w:t>
      </w:r>
      <w:proofErr w:type="spellStart"/>
      <w:r w:rsidRPr="00467DB0">
        <w:t>støttemodtagere</w:t>
      </w:r>
      <w:proofErr w:type="spellEnd"/>
      <w:r w:rsidRPr="00467DB0">
        <w:t xml:space="preserve">, som er ordregivende </w:t>
      </w:r>
      <w:proofErr w:type="spellStart"/>
      <w:r w:rsidRPr="00467DB0">
        <w:t>myndigheder</w:t>
      </w:r>
      <w:proofErr w:type="spellEnd"/>
      <w:r w:rsidRPr="00467DB0">
        <w:t xml:space="preserve"> eller ordregivende </w:t>
      </w:r>
      <w:proofErr w:type="spellStart"/>
      <w:r w:rsidRPr="00467DB0">
        <w:t>enheder</w:t>
      </w:r>
      <w:proofErr w:type="spellEnd"/>
      <w:r w:rsidRPr="00467DB0">
        <w:t xml:space="preserve"> som </w:t>
      </w:r>
      <w:proofErr w:type="spellStart"/>
      <w:r w:rsidRPr="00467DB0">
        <w:t>fastsat</w:t>
      </w:r>
      <w:proofErr w:type="spellEnd"/>
      <w:r w:rsidRPr="00467DB0">
        <w:t xml:space="preserve"> i Europa</w:t>
      </w:r>
      <w:r w:rsidRPr="00467DB0">
        <w:t>-Parlamentets og Rådets direktiv 2014/24/EU</w:t>
      </w:r>
      <w:r w:rsidRPr="00467DB0">
        <w:rPr>
          <w:rStyle w:val="Fotnotereferanse"/>
        </w:rPr>
        <w:footnoteReference w:id="44"/>
      </w:r>
      <w:r w:rsidRPr="00467DB0">
        <w:t>, 2014/25/EU</w:t>
      </w:r>
      <w:r w:rsidRPr="00467DB0">
        <w:rPr>
          <w:rStyle w:val="Fotnotereferanse"/>
        </w:rPr>
        <w:footnoteReference w:id="45"/>
      </w:r>
      <w:r w:rsidRPr="00467DB0">
        <w:t xml:space="preserve"> og 2009/81/EF</w:t>
      </w:r>
      <w:r w:rsidRPr="00467DB0">
        <w:rPr>
          <w:rStyle w:val="Fotnotereferanse"/>
        </w:rPr>
        <w:footnoteReference w:id="46"/>
      </w:r>
      <w:r w:rsidRPr="00467DB0">
        <w:t>.</w:t>
      </w:r>
    </w:p>
    <w:p w14:paraId="78FCFF09" w14:textId="77777777" w:rsidR="00000000" w:rsidRPr="00467DB0" w:rsidRDefault="00693D67" w:rsidP="00467DB0">
      <w:pPr>
        <w:pStyle w:val="friliste"/>
      </w:pPr>
      <w:r w:rsidRPr="00467DB0">
        <w:t>2.</w:t>
      </w:r>
      <w:r w:rsidRPr="00467DB0">
        <w:tab/>
        <w:t xml:space="preserve">Under </w:t>
      </w:r>
      <w:proofErr w:type="spellStart"/>
      <w:r w:rsidRPr="00467DB0">
        <w:t>procedurerne</w:t>
      </w:r>
      <w:proofErr w:type="spellEnd"/>
      <w:r w:rsidRPr="00467DB0">
        <w:t xml:space="preserve"> for offentlige </w:t>
      </w:r>
      <w:proofErr w:type="spellStart"/>
      <w:r w:rsidRPr="00467DB0">
        <w:t>udbud</w:t>
      </w:r>
      <w:proofErr w:type="spellEnd"/>
      <w:r w:rsidRPr="00467DB0">
        <w:t xml:space="preserve"> </w:t>
      </w:r>
      <w:proofErr w:type="gramStart"/>
      <w:r w:rsidRPr="00467DB0">
        <w:t>vedrørende</w:t>
      </w:r>
      <w:proofErr w:type="gramEnd"/>
      <w:r w:rsidRPr="00467DB0">
        <w:t xml:space="preserve"> innovative løsninger:</w:t>
      </w:r>
    </w:p>
    <w:p w14:paraId="1CD0E732" w14:textId="77777777" w:rsidR="00000000" w:rsidRPr="00467DB0" w:rsidRDefault="00693D67" w:rsidP="00467DB0">
      <w:pPr>
        <w:pStyle w:val="friliste2"/>
      </w:pPr>
      <w:r w:rsidRPr="00467DB0">
        <w:lastRenderedPageBreak/>
        <w:t>a)</w:t>
      </w:r>
      <w:r w:rsidRPr="00467DB0">
        <w:tab/>
        <w:t xml:space="preserve">skal </w:t>
      </w:r>
      <w:proofErr w:type="spellStart"/>
      <w:r w:rsidRPr="00467DB0">
        <w:t>principperne</w:t>
      </w:r>
      <w:proofErr w:type="spellEnd"/>
      <w:r w:rsidRPr="00467DB0">
        <w:t xml:space="preserve"> om </w:t>
      </w:r>
      <w:proofErr w:type="spellStart"/>
      <w:r w:rsidRPr="00467DB0">
        <w:t>åbenhed</w:t>
      </w:r>
      <w:proofErr w:type="spellEnd"/>
      <w:r w:rsidRPr="00467DB0">
        <w:t xml:space="preserve">, </w:t>
      </w:r>
      <w:proofErr w:type="spellStart"/>
      <w:r w:rsidRPr="00467DB0">
        <w:t>ikkeforskelsbehandling</w:t>
      </w:r>
      <w:proofErr w:type="spellEnd"/>
      <w:r w:rsidRPr="00467DB0">
        <w:t xml:space="preserve">, </w:t>
      </w:r>
      <w:proofErr w:type="spellStart"/>
      <w:r w:rsidRPr="00467DB0">
        <w:t>ligebehandli</w:t>
      </w:r>
      <w:r w:rsidRPr="00467DB0">
        <w:t>ng</w:t>
      </w:r>
      <w:proofErr w:type="spellEnd"/>
      <w:r w:rsidRPr="00467DB0">
        <w:t xml:space="preserve">, forsvarlig økonomisk forvaltning, </w:t>
      </w:r>
      <w:proofErr w:type="spellStart"/>
      <w:r w:rsidRPr="00467DB0">
        <w:t>proportionalitet</w:t>
      </w:r>
      <w:proofErr w:type="spellEnd"/>
      <w:r w:rsidRPr="00467DB0">
        <w:t xml:space="preserve"> og </w:t>
      </w:r>
      <w:proofErr w:type="spellStart"/>
      <w:r w:rsidRPr="00467DB0">
        <w:t>konkurrenceregler</w:t>
      </w:r>
      <w:proofErr w:type="spellEnd"/>
      <w:r w:rsidRPr="00467DB0">
        <w:t xml:space="preserve"> overholdes</w:t>
      </w:r>
    </w:p>
    <w:p w14:paraId="1542246F" w14:textId="77777777" w:rsidR="00000000" w:rsidRPr="00467DB0" w:rsidRDefault="00693D67" w:rsidP="00467DB0">
      <w:pPr>
        <w:pStyle w:val="friliste2"/>
      </w:pPr>
      <w:r w:rsidRPr="00467DB0">
        <w:t>b)</w:t>
      </w:r>
      <w:r w:rsidRPr="00467DB0">
        <w:tab/>
        <w:t xml:space="preserve">kan der for </w:t>
      </w:r>
      <w:proofErr w:type="spellStart"/>
      <w:r w:rsidRPr="00467DB0">
        <w:t>prækommercielle</w:t>
      </w:r>
      <w:proofErr w:type="spellEnd"/>
      <w:r w:rsidRPr="00467DB0">
        <w:t xml:space="preserve"> </w:t>
      </w:r>
      <w:proofErr w:type="spellStart"/>
      <w:r w:rsidRPr="00467DB0">
        <w:t>udbud</w:t>
      </w:r>
      <w:proofErr w:type="spellEnd"/>
      <w:r w:rsidRPr="00467DB0">
        <w:t xml:space="preserve"> </w:t>
      </w:r>
      <w:proofErr w:type="spellStart"/>
      <w:r w:rsidRPr="00467DB0">
        <w:t>fastsættes</w:t>
      </w:r>
      <w:proofErr w:type="spellEnd"/>
      <w:r w:rsidRPr="00467DB0">
        <w:t xml:space="preserve"> særlige betingelser, såsom for, hvor de </w:t>
      </w:r>
      <w:proofErr w:type="spellStart"/>
      <w:r w:rsidRPr="00467DB0">
        <w:t>indkøbte</w:t>
      </w:r>
      <w:proofErr w:type="spellEnd"/>
      <w:r w:rsidRPr="00467DB0">
        <w:t xml:space="preserve"> aktiviteter skal </w:t>
      </w:r>
      <w:proofErr w:type="spellStart"/>
      <w:r w:rsidRPr="00467DB0">
        <w:t>finde</w:t>
      </w:r>
      <w:proofErr w:type="spellEnd"/>
      <w:r w:rsidRPr="00467DB0">
        <w:t xml:space="preserve"> sted, hvilket dog er </w:t>
      </w:r>
      <w:proofErr w:type="spellStart"/>
      <w:r w:rsidRPr="00467DB0">
        <w:t>begrænset</w:t>
      </w:r>
      <w:proofErr w:type="spellEnd"/>
      <w:r w:rsidRPr="00467DB0">
        <w:t xml:space="preserve"> til at omfatte </w:t>
      </w:r>
      <w:proofErr w:type="spellStart"/>
      <w:r w:rsidRPr="00467DB0">
        <w:t>med</w:t>
      </w:r>
      <w:r w:rsidRPr="00467DB0">
        <w:t>lemsstaternes</w:t>
      </w:r>
      <w:proofErr w:type="spellEnd"/>
      <w:r w:rsidRPr="00467DB0">
        <w:t xml:space="preserve"> og de med programmet associerede </w:t>
      </w:r>
      <w:proofErr w:type="spellStart"/>
      <w:r w:rsidRPr="00467DB0">
        <w:t>tredjelandes</w:t>
      </w:r>
      <w:proofErr w:type="spellEnd"/>
      <w:r w:rsidRPr="00467DB0">
        <w:t xml:space="preserve"> territorium</w:t>
      </w:r>
    </w:p>
    <w:p w14:paraId="257C83CD" w14:textId="77777777" w:rsidR="00000000" w:rsidRPr="00467DB0" w:rsidRDefault="00693D67" w:rsidP="00467DB0">
      <w:pPr>
        <w:pStyle w:val="friliste2"/>
      </w:pPr>
      <w:r w:rsidRPr="00467DB0">
        <w:t>c)</w:t>
      </w:r>
      <w:r w:rsidRPr="00467DB0">
        <w:tab/>
        <w:t xml:space="preserve">kan det </w:t>
      </w:r>
      <w:proofErr w:type="spellStart"/>
      <w:r w:rsidRPr="00467DB0">
        <w:t>tillades</w:t>
      </w:r>
      <w:proofErr w:type="spellEnd"/>
      <w:r w:rsidRPr="00467DB0">
        <w:t xml:space="preserve"> at </w:t>
      </w:r>
      <w:proofErr w:type="spellStart"/>
      <w:r w:rsidRPr="00467DB0">
        <w:t>foretage</w:t>
      </w:r>
      <w:proofErr w:type="spellEnd"/>
      <w:r w:rsidRPr="00467DB0">
        <w:t xml:space="preserve"> flere tildelinger </w:t>
      </w:r>
      <w:proofErr w:type="spellStart"/>
      <w:r w:rsidRPr="00467DB0">
        <w:t>af</w:t>
      </w:r>
      <w:proofErr w:type="spellEnd"/>
      <w:r w:rsidRPr="00467DB0">
        <w:t xml:space="preserve"> kontrakter </w:t>
      </w:r>
      <w:proofErr w:type="spellStart"/>
      <w:r w:rsidRPr="00467DB0">
        <w:t>inden</w:t>
      </w:r>
      <w:proofErr w:type="spellEnd"/>
      <w:r w:rsidRPr="00467DB0">
        <w:t xml:space="preserve"> for samme </w:t>
      </w:r>
      <w:proofErr w:type="spellStart"/>
      <w:r w:rsidRPr="00467DB0">
        <w:t>procedure</w:t>
      </w:r>
      <w:proofErr w:type="spellEnd"/>
      <w:r w:rsidRPr="00467DB0">
        <w:t xml:space="preserve"> (valg </w:t>
      </w:r>
      <w:proofErr w:type="spellStart"/>
      <w:r w:rsidRPr="00467DB0">
        <w:t>af</w:t>
      </w:r>
      <w:proofErr w:type="spellEnd"/>
      <w:r w:rsidRPr="00467DB0">
        <w:t xml:space="preserve"> flere leverandører) og</w:t>
      </w:r>
    </w:p>
    <w:p w14:paraId="34D92245" w14:textId="77777777" w:rsidR="00000000" w:rsidRPr="00467DB0" w:rsidRDefault="00693D67" w:rsidP="00467DB0">
      <w:pPr>
        <w:pStyle w:val="friliste2"/>
      </w:pPr>
      <w:r w:rsidRPr="00467DB0">
        <w:t>d)</w:t>
      </w:r>
      <w:r w:rsidRPr="00467DB0">
        <w:tab/>
        <w:t xml:space="preserve">skal ordren tildeles den eller de bydende, der har </w:t>
      </w:r>
      <w:proofErr w:type="spellStart"/>
      <w:r w:rsidRPr="00467DB0">
        <w:t>afgivet</w:t>
      </w:r>
      <w:proofErr w:type="spellEnd"/>
      <w:r w:rsidRPr="00467DB0">
        <w:t xml:space="preserve"> </w:t>
      </w:r>
      <w:r w:rsidRPr="00467DB0">
        <w:t xml:space="preserve">det økonomisk mest </w:t>
      </w:r>
      <w:proofErr w:type="spellStart"/>
      <w:r w:rsidRPr="00467DB0">
        <w:t>fordelagtige</w:t>
      </w:r>
      <w:proofErr w:type="spellEnd"/>
      <w:r w:rsidRPr="00467DB0">
        <w:t xml:space="preserve"> bud, idet det sikres, at der ikke foreligger interessekonflikter.</w:t>
      </w:r>
    </w:p>
    <w:p w14:paraId="09047FE5" w14:textId="77777777" w:rsidR="00000000" w:rsidRPr="00467DB0" w:rsidRDefault="00693D67" w:rsidP="00467DB0">
      <w:pPr>
        <w:pStyle w:val="friliste"/>
      </w:pPr>
      <w:r w:rsidRPr="00467DB0">
        <w:t>3.</w:t>
      </w:r>
      <w:r w:rsidRPr="00467DB0">
        <w:tab/>
        <w:t xml:space="preserve">Den kontrahent, der frembringer resultater under </w:t>
      </w:r>
      <w:proofErr w:type="spellStart"/>
      <w:r w:rsidRPr="00467DB0">
        <w:t>prækommercielle</w:t>
      </w:r>
      <w:proofErr w:type="spellEnd"/>
      <w:r w:rsidRPr="00467DB0">
        <w:t xml:space="preserve"> </w:t>
      </w:r>
      <w:proofErr w:type="spellStart"/>
      <w:r w:rsidRPr="00467DB0">
        <w:t>udbud</w:t>
      </w:r>
      <w:proofErr w:type="spellEnd"/>
      <w:r w:rsidRPr="00467DB0">
        <w:t xml:space="preserve">, </w:t>
      </w:r>
      <w:proofErr w:type="spellStart"/>
      <w:r w:rsidRPr="00467DB0">
        <w:t>ejer</w:t>
      </w:r>
      <w:proofErr w:type="spellEnd"/>
      <w:r w:rsidRPr="00467DB0">
        <w:t xml:space="preserve"> som minimum de intellektuelle </w:t>
      </w:r>
      <w:proofErr w:type="spellStart"/>
      <w:r w:rsidRPr="00467DB0">
        <w:t>ejendomsrettigheder</w:t>
      </w:r>
      <w:proofErr w:type="spellEnd"/>
      <w:r w:rsidRPr="00467DB0">
        <w:t xml:space="preserve">, der knytter </w:t>
      </w:r>
      <w:proofErr w:type="spellStart"/>
      <w:r w:rsidRPr="00467DB0">
        <w:t>sig</w:t>
      </w:r>
      <w:proofErr w:type="spellEnd"/>
      <w:r w:rsidRPr="00467DB0">
        <w:t xml:space="preserve"> til </w:t>
      </w:r>
      <w:proofErr w:type="spellStart"/>
      <w:r w:rsidRPr="00467DB0">
        <w:t>resulta</w:t>
      </w:r>
      <w:r w:rsidRPr="00467DB0">
        <w:t>terne</w:t>
      </w:r>
      <w:proofErr w:type="spellEnd"/>
      <w:r w:rsidRPr="00467DB0">
        <w:t xml:space="preserve">. De ordregivende </w:t>
      </w:r>
      <w:proofErr w:type="spellStart"/>
      <w:r w:rsidRPr="00467DB0">
        <w:t>myndigheder</w:t>
      </w:r>
      <w:proofErr w:type="spellEnd"/>
      <w:r w:rsidRPr="00467DB0">
        <w:t xml:space="preserve"> har som minimum </w:t>
      </w:r>
      <w:proofErr w:type="spellStart"/>
      <w:r w:rsidRPr="00467DB0">
        <w:t>royaltyfri</w:t>
      </w:r>
      <w:proofErr w:type="spellEnd"/>
      <w:r w:rsidRPr="00467DB0">
        <w:t xml:space="preserve"> </w:t>
      </w:r>
      <w:proofErr w:type="spellStart"/>
      <w:r w:rsidRPr="00467DB0">
        <w:t>brugsret</w:t>
      </w:r>
      <w:proofErr w:type="spellEnd"/>
      <w:r w:rsidRPr="00467DB0">
        <w:t xml:space="preserve"> til </w:t>
      </w:r>
      <w:proofErr w:type="spellStart"/>
      <w:r w:rsidRPr="00467DB0">
        <w:t>resultaterne</w:t>
      </w:r>
      <w:proofErr w:type="spellEnd"/>
      <w:r w:rsidRPr="00467DB0">
        <w:t xml:space="preserve"> til eget </w:t>
      </w:r>
      <w:proofErr w:type="spellStart"/>
      <w:r w:rsidRPr="00467DB0">
        <w:t>brug</w:t>
      </w:r>
      <w:proofErr w:type="spellEnd"/>
      <w:r w:rsidRPr="00467DB0">
        <w:t xml:space="preserve"> og </w:t>
      </w:r>
      <w:proofErr w:type="spellStart"/>
      <w:r w:rsidRPr="00467DB0">
        <w:t>ret</w:t>
      </w:r>
      <w:proofErr w:type="spellEnd"/>
      <w:r w:rsidRPr="00467DB0">
        <w:t xml:space="preserve"> til at </w:t>
      </w:r>
      <w:proofErr w:type="spellStart"/>
      <w:r w:rsidRPr="00467DB0">
        <w:t>udstede</w:t>
      </w:r>
      <w:proofErr w:type="spellEnd"/>
      <w:r w:rsidRPr="00467DB0">
        <w:t xml:space="preserve"> eller </w:t>
      </w:r>
      <w:proofErr w:type="spellStart"/>
      <w:r w:rsidRPr="00467DB0">
        <w:t>kræve</w:t>
      </w:r>
      <w:proofErr w:type="spellEnd"/>
      <w:r w:rsidRPr="00467DB0">
        <w:t xml:space="preserve">, at </w:t>
      </w:r>
      <w:proofErr w:type="spellStart"/>
      <w:r w:rsidRPr="00467DB0">
        <w:t>kontrahenterne</w:t>
      </w:r>
      <w:proofErr w:type="spellEnd"/>
      <w:r w:rsidRPr="00467DB0">
        <w:t xml:space="preserve"> </w:t>
      </w:r>
      <w:proofErr w:type="spellStart"/>
      <w:r w:rsidRPr="00467DB0">
        <w:t>udsteder</w:t>
      </w:r>
      <w:proofErr w:type="spellEnd"/>
      <w:r w:rsidRPr="00467DB0">
        <w:t xml:space="preserve"> </w:t>
      </w:r>
      <w:proofErr w:type="spellStart"/>
      <w:r w:rsidRPr="00467DB0">
        <w:t>ikkeeksklusive</w:t>
      </w:r>
      <w:proofErr w:type="spellEnd"/>
      <w:r w:rsidRPr="00467DB0">
        <w:t xml:space="preserve"> </w:t>
      </w:r>
      <w:proofErr w:type="spellStart"/>
      <w:r w:rsidRPr="00467DB0">
        <w:t>licenser</w:t>
      </w:r>
      <w:proofErr w:type="spellEnd"/>
      <w:r w:rsidRPr="00467DB0">
        <w:t xml:space="preserve"> til tredjeparter for at </w:t>
      </w:r>
      <w:proofErr w:type="spellStart"/>
      <w:r w:rsidRPr="00467DB0">
        <w:t>udnytte</w:t>
      </w:r>
      <w:proofErr w:type="spellEnd"/>
      <w:r w:rsidRPr="00467DB0">
        <w:t xml:space="preserve"> </w:t>
      </w:r>
      <w:proofErr w:type="spellStart"/>
      <w:r w:rsidRPr="00467DB0">
        <w:t>resultaterne</w:t>
      </w:r>
      <w:proofErr w:type="spellEnd"/>
      <w:r w:rsidRPr="00467DB0">
        <w:t xml:space="preserve"> for de ordregivende </w:t>
      </w:r>
      <w:proofErr w:type="spellStart"/>
      <w:r w:rsidRPr="00467DB0">
        <w:t>myn</w:t>
      </w:r>
      <w:r w:rsidRPr="00467DB0">
        <w:t>digheder</w:t>
      </w:r>
      <w:proofErr w:type="spellEnd"/>
      <w:r w:rsidRPr="00467DB0">
        <w:t xml:space="preserve"> under rimelige forhold </w:t>
      </w:r>
      <w:proofErr w:type="spellStart"/>
      <w:r w:rsidRPr="00467DB0">
        <w:t>uden</w:t>
      </w:r>
      <w:proofErr w:type="spellEnd"/>
      <w:r w:rsidRPr="00467DB0">
        <w:t xml:space="preserve"> </w:t>
      </w:r>
      <w:proofErr w:type="spellStart"/>
      <w:r w:rsidRPr="00467DB0">
        <w:t>ret</w:t>
      </w:r>
      <w:proofErr w:type="spellEnd"/>
      <w:r w:rsidRPr="00467DB0">
        <w:t xml:space="preserve"> til at </w:t>
      </w:r>
      <w:proofErr w:type="spellStart"/>
      <w:r w:rsidRPr="00467DB0">
        <w:t>give</w:t>
      </w:r>
      <w:proofErr w:type="spellEnd"/>
      <w:r w:rsidRPr="00467DB0">
        <w:t xml:space="preserve"> </w:t>
      </w:r>
      <w:proofErr w:type="spellStart"/>
      <w:r w:rsidRPr="00467DB0">
        <w:t>underlicenser</w:t>
      </w:r>
      <w:proofErr w:type="spellEnd"/>
      <w:r w:rsidRPr="00467DB0">
        <w:t xml:space="preserve">. Hvis en kontrahent ikke </w:t>
      </w:r>
      <w:proofErr w:type="spellStart"/>
      <w:r w:rsidRPr="00467DB0">
        <w:t>udnytter</w:t>
      </w:r>
      <w:proofErr w:type="spellEnd"/>
      <w:r w:rsidRPr="00467DB0">
        <w:t xml:space="preserve"> </w:t>
      </w:r>
      <w:proofErr w:type="spellStart"/>
      <w:r w:rsidRPr="00467DB0">
        <w:t>resultaterne</w:t>
      </w:r>
      <w:proofErr w:type="spellEnd"/>
      <w:r w:rsidRPr="00467DB0">
        <w:t xml:space="preserve"> </w:t>
      </w:r>
      <w:proofErr w:type="spellStart"/>
      <w:r w:rsidRPr="00467DB0">
        <w:t>kommercielt</w:t>
      </w:r>
      <w:proofErr w:type="spellEnd"/>
      <w:r w:rsidRPr="00467DB0">
        <w:t xml:space="preserve"> </w:t>
      </w:r>
      <w:proofErr w:type="spellStart"/>
      <w:r w:rsidRPr="00467DB0">
        <w:t>inden</w:t>
      </w:r>
      <w:proofErr w:type="spellEnd"/>
      <w:r w:rsidRPr="00467DB0">
        <w:t xml:space="preserve"> for en vis periode efter den </w:t>
      </w:r>
      <w:proofErr w:type="spellStart"/>
      <w:r w:rsidRPr="00467DB0">
        <w:t>prækommercielle</w:t>
      </w:r>
      <w:proofErr w:type="spellEnd"/>
      <w:r w:rsidRPr="00467DB0">
        <w:t xml:space="preserve"> </w:t>
      </w:r>
      <w:proofErr w:type="spellStart"/>
      <w:r w:rsidRPr="00467DB0">
        <w:t>udbudsrunde</w:t>
      </w:r>
      <w:proofErr w:type="spellEnd"/>
      <w:r w:rsidRPr="00467DB0">
        <w:t xml:space="preserve">, der er </w:t>
      </w:r>
      <w:proofErr w:type="spellStart"/>
      <w:r w:rsidRPr="00467DB0">
        <w:t>fastsat</w:t>
      </w:r>
      <w:proofErr w:type="spellEnd"/>
      <w:r w:rsidRPr="00467DB0">
        <w:t xml:space="preserve"> i kontrakten, kan de ordregivende </w:t>
      </w:r>
      <w:proofErr w:type="spellStart"/>
      <w:r w:rsidRPr="00467DB0">
        <w:t>myndigheder</w:t>
      </w:r>
      <w:proofErr w:type="spellEnd"/>
      <w:r w:rsidRPr="00467DB0">
        <w:t xml:space="preserve"> </w:t>
      </w:r>
      <w:proofErr w:type="spellStart"/>
      <w:r w:rsidRPr="00467DB0">
        <w:t>kræve</w:t>
      </w:r>
      <w:proofErr w:type="spellEnd"/>
      <w:r w:rsidRPr="00467DB0">
        <w:t xml:space="preserve">, at kontrahenten overdrager dem </w:t>
      </w:r>
      <w:proofErr w:type="spellStart"/>
      <w:r w:rsidRPr="00467DB0">
        <w:t>ejerskabet</w:t>
      </w:r>
      <w:proofErr w:type="spellEnd"/>
      <w:r w:rsidRPr="00467DB0">
        <w:t xml:space="preserve"> til </w:t>
      </w:r>
      <w:proofErr w:type="spellStart"/>
      <w:r w:rsidRPr="00467DB0">
        <w:t>resultaterne</w:t>
      </w:r>
      <w:proofErr w:type="spellEnd"/>
      <w:r w:rsidRPr="00467DB0">
        <w:t>.</w:t>
      </w:r>
    </w:p>
    <w:p w14:paraId="0CAB2AF8" w14:textId="77777777" w:rsidR="00000000" w:rsidRPr="00467DB0" w:rsidRDefault="00693D67" w:rsidP="00467DB0">
      <w:pPr>
        <w:pStyle w:val="avsnitt-undertittel"/>
      </w:pPr>
      <w:proofErr w:type="spellStart"/>
      <w:r w:rsidRPr="00467DB0">
        <w:t>Artikel</w:t>
      </w:r>
      <w:proofErr w:type="spellEnd"/>
      <w:r w:rsidRPr="00467DB0">
        <w:t> 21</w:t>
      </w:r>
    </w:p>
    <w:p w14:paraId="1D9C171B" w14:textId="77777777" w:rsidR="00000000" w:rsidRPr="00467DB0" w:rsidRDefault="00693D67" w:rsidP="00467DB0">
      <w:pPr>
        <w:pStyle w:val="Undertittel"/>
      </w:pPr>
      <w:proofErr w:type="spellStart"/>
      <w:r w:rsidRPr="00467DB0">
        <w:t>Blandingsoperationer</w:t>
      </w:r>
      <w:proofErr w:type="spellEnd"/>
    </w:p>
    <w:p w14:paraId="082F2454" w14:textId="77777777" w:rsidR="00000000" w:rsidRPr="00467DB0" w:rsidRDefault="00693D67" w:rsidP="00467DB0">
      <w:proofErr w:type="spellStart"/>
      <w:r w:rsidRPr="00467DB0">
        <w:t>Blandingsoperationer</w:t>
      </w:r>
      <w:proofErr w:type="spellEnd"/>
      <w:r w:rsidRPr="00467DB0">
        <w:t xml:space="preserve"> </w:t>
      </w:r>
      <w:proofErr w:type="spellStart"/>
      <w:r w:rsidRPr="00467DB0">
        <w:t>vedtaget</w:t>
      </w:r>
      <w:proofErr w:type="spellEnd"/>
      <w:r w:rsidRPr="00467DB0">
        <w:t xml:space="preserve"> under programmet </w:t>
      </w:r>
      <w:proofErr w:type="spellStart"/>
      <w:r w:rsidRPr="00467DB0">
        <w:t>gennemføres</w:t>
      </w:r>
      <w:proofErr w:type="spellEnd"/>
      <w:r w:rsidRPr="00467DB0">
        <w:t xml:space="preserve"> i overensstemmelse med forordning (EU) 2021/523</w:t>
      </w:r>
      <w:r w:rsidRPr="00467DB0">
        <w:rPr>
          <w:rStyle w:val="Fotnotereferanse"/>
        </w:rPr>
        <w:footnoteReference w:id="47"/>
      </w:r>
      <w:r w:rsidRPr="00467DB0">
        <w:t xml:space="preserve">+ og finansforordningens </w:t>
      </w:r>
      <w:proofErr w:type="spellStart"/>
      <w:r w:rsidRPr="00467DB0">
        <w:t>afsnit</w:t>
      </w:r>
      <w:proofErr w:type="spellEnd"/>
      <w:r w:rsidRPr="00467DB0">
        <w:t xml:space="preserve"> </w:t>
      </w:r>
      <w:proofErr w:type="spellStart"/>
      <w:r w:rsidRPr="00467DB0">
        <w:t>X</w:t>
      </w:r>
      <w:proofErr w:type="spellEnd"/>
      <w:r w:rsidRPr="00467DB0">
        <w:t>.</w:t>
      </w:r>
    </w:p>
    <w:p w14:paraId="139162DD" w14:textId="77777777" w:rsidR="00000000" w:rsidRPr="00467DB0" w:rsidRDefault="00693D67" w:rsidP="00467DB0">
      <w:pPr>
        <w:pStyle w:val="avsnitt-undertittel"/>
      </w:pPr>
      <w:r w:rsidRPr="00467DB0">
        <w:t>Kapitel IV</w:t>
      </w:r>
    </w:p>
    <w:p w14:paraId="4B8A828A" w14:textId="77777777" w:rsidR="00000000" w:rsidRPr="00467DB0" w:rsidRDefault="00693D67" w:rsidP="00467DB0">
      <w:pPr>
        <w:pStyle w:val="Undertittel"/>
      </w:pPr>
      <w:r w:rsidRPr="00467DB0">
        <w:t>Andre finansielle bestemmelser</w:t>
      </w:r>
    </w:p>
    <w:p w14:paraId="1BBEC233" w14:textId="77777777" w:rsidR="00000000" w:rsidRPr="00467DB0" w:rsidRDefault="00693D67" w:rsidP="00467DB0">
      <w:pPr>
        <w:pStyle w:val="avsnitt-undertittel"/>
      </w:pPr>
      <w:proofErr w:type="spellStart"/>
      <w:r w:rsidRPr="00467DB0">
        <w:t>Artikel</w:t>
      </w:r>
      <w:proofErr w:type="spellEnd"/>
      <w:r w:rsidRPr="00467DB0">
        <w:t> 22</w:t>
      </w:r>
    </w:p>
    <w:p w14:paraId="002CDEBF" w14:textId="77777777" w:rsidR="00000000" w:rsidRPr="00467DB0" w:rsidRDefault="00693D67" w:rsidP="00467DB0">
      <w:pPr>
        <w:pStyle w:val="Undertittel"/>
      </w:pPr>
      <w:r w:rsidRPr="00467DB0">
        <w:t>Kumulativ og alternativ finansiering</w:t>
      </w:r>
    </w:p>
    <w:p w14:paraId="5469EC0C" w14:textId="77777777" w:rsidR="00000000" w:rsidRPr="00467DB0" w:rsidRDefault="00693D67" w:rsidP="00467DB0">
      <w:pPr>
        <w:pStyle w:val="friliste"/>
      </w:pPr>
      <w:r w:rsidRPr="00467DB0">
        <w:t>1.</w:t>
      </w:r>
      <w:r w:rsidRPr="00467DB0">
        <w:tab/>
      </w:r>
      <w:r w:rsidRPr="00467DB0">
        <w:t xml:space="preserve">En foranstaltning, som har </w:t>
      </w:r>
      <w:proofErr w:type="spellStart"/>
      <w:r w:rsidRPr="00467DB0">
        <w:t>modtaget</w:t>
      </w:r>
      <w:proofErr w:type="spellEnd"/>
      <w:r w:rsidRPr="00467DB0">
        <w:t xml:space="preserve"> et bidrag i henhold til programmet, kan også </w:t>
      </w:r>
      <w:proofErr w:type="spellStart"/>
      <w:r w:rsidRPr="00467DB0">
        <w:t>modtage</w:t>
      </w:r>
      <w:proofErr w:type="spellEnd"/>
      <w:r w:rsidRPr="00467DB0">
        <w:t xml:space="preserve"> bidrag fra et andet program, </w:t>
      </w:r>
      <w:proofErr w:type="spellStart"/>
      <w:r w:rsidRPr="00467DB0">
        <w:t>forudsat</w:t>
      </w:r>
      <w:proofErr w:type="spellEnd"/>
      <w:r w:rsidRPr="00467DB0">
        <w:t xml:space="preserve"> at bidragene ikke </w:t>
      </w:r>
      <w:proofErr w:type="spellStart"/>
      <w:r w:rsidRPr="00467DB0">
        <w:t>dækker</w:t>
      </w:r>
      <w:proofErr w:type="spellEnd"/>
      <w:r w:rsidRPr="00467DB0">
        <w:t xml:space="preserve"> de samme omkostninger. </w:t>
      </w:r>
      <w:proofErr w:type="spellStart"/>
      <w:r w:rsidRPr="00467DB0">
        <w:t>Reglerne</w:t>
      </w:r>
      <w:proofErr w:type="spellEnd"/>
      <w:r w:rsidRPr="00467DB0">
        <w:t xml:space="preserve"> for det relevante EU-program </w:t>
      </w:r>
      <w:proofErr w:type="spellStart"/>
      <w:r w:rsidRPr="00467DB0">
        <w:t>gælder</w:t>
      </w:r>
      <w:proofErr w:type="spellEnd"/>
      <w:r w:rsidRPr="00467DB0">
        <w:t xml:space="preserve"> for det tilsvarende bidrag til foran</w:t>
      </w:r>
      <w:r w:rsidRPr="00467DB0">
        <w:t xml:space="preserve">staltningen. Den kumulative finansiering må ikke overstige de samlede støtteberettigede omkostninger ved foranstaltningen, og støtten fra de </w:t>
      </w:r>
      <w:proofErr w:type="spellStart"/>
      <w:r w:rsidRPr="00467DB0">
        <w:t>forskellige</w:t>
      </w:r>
      <w:proofErr w:type="spellEnd"/>
      <w:r w:rsidRPr="00467DB0">
        <w:t xml:space="preserve"> EU-programmer kan beregnes pro rata i overensstemmelse med de dokumenter, hvori støttevilkårene er </w:t>
      </w:r>
      <w:proofErr w:type="spellStart"/>
      <w:r w:rsidRPr="00467DB0">
        <w:t>fast</w:t>
      </w:r>
      <w:r w:rsidRPr="00467DB0">
        <w:t>sat</w:t>
      </w:r>
      <w:proofErr w:type="spellEnd"/>
      <w:r w:rsidRPr="00467DB0">
        <w:t>.</w:t>
      </w:r>
    </w:p>
    <w:p w14:paraId="7E917E12" w14:textId="77777777" w:rsidR="00000000" w:rsidRPr="00467DB0" w:rsidRDefault="00693D67" w:rsidP="00467DB0">
      <w:pPr>
        <w:pStyle w:val="friliste"/>
      </w:pPr>
      <w:r w:rsidRPr="00467DB0">
        <w:lastRenderedPageBreak/>
        <w:t>2.</w:t>
      </w:r>
      <w:r w:rsidRPr="00467DB0">
        <w:tab/>
        <w:t xml:space="preserve">Foranstaltninger, der tildeles </w:t>
      </w:r>
      <w:proofErr w:type="spellStart"/>
      <w:r w:rsidRPr="00467DB0">
        <w:t>kvalitetsmærket</w:t>
      </w:r>
      <w:proofErr w:type="spellEnd"/>
      <w:r w:rsidRPr="00467DB0">
        <w:t xml:space="preserve"> "Seal </w:t>
      </w:r>
      <w:proofErr w:type="spellStart"/>
      <w:r w:rsidRPr="00467DB0">
        <w:t>of</w:t>
      </w:r>
      <w:proofErr w:type="spellEnd"/>
      <w:r w:rsidRPr="00467DB0">
        <w:t xml:space="preserve"> </w:t>
      </w:r>
      <w:proofErr w:type="spellStart"/>
      <w:r w:rsidRPr="00467DB0">
        <w:t>Excellence</w:t>
      </w:r>
      <w:proofErr w:type="spellEnd"/>
      <w:r w:rsidRPr="00467DB0">
        <w:t xml:space="preserve">" i henhold til programmet, kan </w:t>
      </w:r>
      <w:proofErr w:type="spellStart"/>
      <w:r w:rsidRPr="00467DB0">
        <w:t>modtage</w:t>
      </w:r>
      <w:proofErr w:type="spellEnd"/>
      <w:r w:rsidRPr="00467DB0">
        <w:t xml:space="preserve"> støtte fra Den </w:t>
      </w:r>
      <w:proofErr w:type="spellStart"/>
      <w:r w:rsidRPr="00467DB0">
        <w:t>Europæiske</w:t>
      </w:r>
      <w:proofErr w:type="spellEnd"/>
      <w:r w:rsidRPr="00467DB0">
        <w:t xml:space="preserve"> Fond for </w:t>
      </w:r>
      <w:proofErr w:type="spellStart"/>
      <w:r w:rsidRPr="00467DB0">
        <w:t>Regionaludvikling</w:t>
      </w:r>
      <w:proofErr w:type="spellEnd"/>
      <w:r w:rsidRPr="00467DB0">
        <w:t xml:space="preserve"> eller Den </w:t>
      </w:r>
      <w:proofErr w:type="spellStart"/>
      <w:r w:rsidRPr="00467DB0">
        <w:t>Europæiske</w:t>
      </w:r>
      <w:proofErr w:type="spellEnd"/>
      <w:r w:rsidRPr="00467DB0">
        <w:t xml:space="preserve"> </w:t>
      </w:r>
      <w:proofErr w:type="spellStart"/>
      <w:r w:rsidRPr="00467DB0">
        <w:t>Socialfond</w:t>
      </w:r>
      <w:proofErr w:type="spellEnd"/>
      <w:r w:rsidRPr="00467DB0">
        <w:t xml:space="preserve"> Plus i overensstemmelse med de relevante bestemmelser i f</w:t>
      </w:r>
      <w:r w:rsidRPr="00467DB0">
        <w:t xml:space="preserve">orordningen om </w:t>
      </w:r>
      <w:proofErr w:type="spellStart"/>
      <w:r w:rsidRPr="00467DB0">
        <w:t>fælles</w:t>
      </w:r>
      <w:proofErr w:type="spellEnd"/>
      <w:r w:rsidRPr="00467DB0">
        <w:t xml:space="preserve"> bestemmelser, hvis de </w:t>
      </w:r>
      <w:proofErr w:type="spellStart"/>
      <w:r w:rsidRPr="00467DB0">
        <w:t>opfylder</w:t>
      </w:r>
      <w:proofErr w:type="spellEnd"/>
      <w:r w:rsidRPr="00467DB0">
        <w:t xml:space="preserve"> følgende kumulative </w:t>
      </w:r>
      <w:proofErr w:type="spellStart"/>
      <w:r w:rsidRPr="00467DB0">
        <w:t>sammenlignelige</w:t>
      </w:r>
      <w:proofErr w:type="spellEnd"/>
      <w:r w:rsidRPr="00467DB0">
        <w:t xml:space="preserve"> betingelser:</w:t>
      </w:r>
    </w:p>
    <w:p w14:paraId="2E9E6E7A" w14:textId="77777777" w:rsidR="00000000" w:rsidRPr="00467DB0" w:rsidRDefault="00693D67" w:rsidP="00467DB0">
      <w:pPr>
        <w:pStyle w:val="friliste"/>
      </w:pPr>
      <w:r w:rsidRPr="00467DB0">
        <w:t>a)</w:t>
      </w:r>
      <w:r w:rsidRPr="00467DB0">
        <w:tab/>
        <w:t xml:space="preserve">de er </w:t>
      </w:r>
      <w:proofErr w:type="spellStart"/>
      <w:r w:rsidRPr="00467DB0">
        <w:t>blevet</w:t>
      </w:r>
      <w:proofErr w:type="spellEnd"/>
      <w:r w:rsidRPr="00467DB0">
        <w:t xml:space="preserve"> </w:t>
      </w:r>
      <w:proofErr w:type="spellStart"/>
      <w:r w:rsidRPr="00467DB0">
        <w:t>vurderet</w:t>
      </w:r>
      <w:proofErr w:type="spellEnd"/>
      <w:r w:rsidRPr="00467DB0">
        <w:t xml:space="preserve"> som led i en </w:t>
      </w:r>
      <w:proofErr w:type="spellStart"/>
      <w:r w:rsidRPr="00467DB0">
        <w:t>indkaldelse</w:t>
      </w:r>
      <w:proofErr w:type="spellEnd"/>
      <w:r w:rsidRPr="00467DB0">
        <w:t xml:space="preserve"> </w:t>
      </w:r>
      <w:proofErr w:type="spellStart"/>
      <w:r w:rsidRPr="00467DB0">
        <w:t>af</w:t>
      </w:r>
      <w:proofErr w:type="spellEnd"/>
      <w:r w:rsidRPr="00467DB0">
        <w:t xml:space="preserve"> forslag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w:t>
      </w:r>
    </w:p>
    <w:p w14:paraId="0F011491" w14:textId="77777777" w:rsidR="00000000" w:rsidRPr="00467DB0" w:rsidRDefault="00693D67" w:rsidP="00467DB0">
      <w:pPr>
        <w:pStyle w:val="friliste"/>
      </w:pPr>
      <w:r w:rsidRPr="00467DB0">
        <w:t>b)</w:t>
      </w:r>
      <w:r w:rsidRPr="00467DB0">
        <w:tab/>
        <w:t xml:space="preserve">de </w:t>
      </w:r>
      <w:proofErr w:type="spellStart"/>
      <w:r w:rsidRPr="00467DB0">
        <w:t>opfylder</w:t>
      </w:r>
      <w:proofErr w:type="spellEnd"/>
      <w:r w:rsidRPr="00467DB0">
        <w:t xml:space="preserve"> minimumskravene til kvalitet i den </w:t>
      </w:r>
      <w:proofErr w:type="spellStart"/>
      <w:r w:rsidRPr="00467DB0">
        <w:t>pågældende</w:t>
      </w:r>
      <w:proofErr w:type="spellEnd"/>
      <w:r w:rsidRPr="00467DB0">
        <w:t xml:space="preserve"> </w:t>
      </w:r>
      <w:proofErr w:type="spellStart"/>
      <w:r w:rsidRPr="00467DB0">
        <w:t>indkaldelse</w:t>
      </w:r>
      <w:proofErr w:type="spellEnd"/>
      <w:r w:rsidRPr="00467DB0">
        <w:t xml:space="preserve"> </w:t>
      </w:r>
      <w:proofErr w:type="spellStart"/>
      <w:r w:rsidRPr="00467DB0">
        <w:t>af</w:t>
      </w:r>
      <w:proofErr w:type="spellEnd"/>
      <w:r w:rsidRPr="00467DB0">
        <w:t xml:space="preserve"> forslag</w:t>
      </w:r>
    </w:p>
    <w:p w14:paraId="377EB4C6" w14:textId="77777777" w:rsidR="00000000" w:rsidRPr="00467DB0" w:rsidRDefault="00693D67" w:rsidP="00467DB0">
      <w:pPr>
        <w:pStyle w:val="friliste"/>
      </w:pPr>
      <w:r w:rsidRPr="00467DB0">
        <w:t>c)</w:t>
      </w:r>
      <w:r w:rsidRPr="00467DB0">
        <w:tab/>
        <w:t xml:space="preserve">de kan ikke finansieres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den </w:t>
      </w:r>
      <w:proofErr w:type="spellStart"/>
      <w:r w:rsidRPr="00467DB0">
        <w:t>pågældende</w:t>
      </w:r>
      <w:proofErr w:type="spellEnd"/>
      <w:r w:rsidRPr="00467DB0">
        <w:t xml:space="preserve"> </w:t>
      </w:r>
      <w:proofErr w:type="spellStart"/>
      <w:r w:rsidRPr="00467DB0">
        <w:t>indkaldelse</w:t>
      </w:r>
      <w:proofErr w:type="spellEnd"/>
      <w:r w:rsidRPr="00467DB0">
        <w:t xml:space="preserve"> </w:t>
      </w:r>
      <w:proofErr w:type="spellStart"/>
      <w:r w:rsidRPr="00467DB0">
        <w:t>af</w:t>
      </w:r>
      <w:proofErr w:type="spellEnd"/>
      <w:r w:rsidRPr="00467DB0">
        <w:t xml:space="preserve"> forslag på grund </w:t>
      </w:r>
      <w:proofErr w:type="spellStart"/>
      <w:r w:rsidRPr="00467DB0">
        <w:t>af</w:t>
      </w:r>
      <w:proofErr w:type="spellEnd"/>
      <w:r w:rsidRPr="00467DB0">
        <w:t xml:space="preserve"> </w:t>
      </w:r>
      <w:proofErr w:type="spellStart"/>
      <w:r w:rsidRPr="00467DB0">
        <w:t>budgetmæssige</w:t>
      </w:r>
      <w:proofErr w:type="spellEnd"/>
      <w:r w:rsidRPr="00467DB0">
        <w:t xml:space="preserve"> </w:t>
      </w:r>
      <w:proofErr w:type="spellStart"/>
      <w:r w:rsidRPr="00467DB0">
        <w:t>begrænsninger</w:t>
      </w:r>
      <w:proofErr w:type="spellEnd"/>
      <w:r w:rsidRPr="00467DB0">
        <w:t>.</w:t>
      </w:r>
    </w:p>
    <w:p w14:paraId="12E9EF51" w14:textId="77777777" w:rsidR="00000000" w:rsidRPr="00467DB0" w:rsidRDefault="00693D67" w:rsidP="00467DB0">
      <w:pPr>
        <w:pStyle w:val="avsnitt-undertittel"/>
      </w:pPr>
      <w:proofErr w:type="spellStart"/>
      <w:r w:rsidRPr="00467DB0">
        <w:t>Artikel</w:t>
      </w:r>
      <w:proofErr w:type="spellEnd"/>
      <w:r w:rsidRPr="00467DB0">
        <w:t> 23</w:t>
      </w:r>
    </w:p>
    <w:p w14:paraId="338EB2AB" w14:textId="77777777" w:rsidR="00000000" w:rsidRPr="00467DB0" w:rsidRDefault="00693D67" w:rsidP="00467DB0">
      <w:pPr>
        <w:pStyle w:val="Undertittel"/>
      </w:pPr>
      <w:proofErr w:type="spellStart"/>
      <w:r w:rsidRPr="00467DB0">
        <w:t>Fælles</w:t>
      </w:r>
      <w:proofErr w:type="spellEnd"/>
      <w:r w:rsidRPr="00467DB0">
        <w:t xml:space="preserve"> </w:t>
      </w:r>
      <w:proofErr w:type="spellStart"/>
      <w:r w:rsidRPr="00467DB0">
        <w:t>udbudsprocedurer</w:t>
      </w:r>
      <w:proofErr w:type="spellEnd"/>
    </w:p>
    <w:p w14:paraId="04692576" w14:textId="77777777" w:rsidR="00000000" w:rsidRPr="00467DB0" w:rsidRDefault="00693D67" w:rsidP="00467DB0">
      <w:pPr>
        <w:pStyle w:val="friliste"/>
      </w:pPr>
      <w:r w:rsidRPr="00467DB0">
        <w:t>1.</w:t>
      </w:r>
      <w:r w:rsidRPr="00467DB0">
        <w:tab/>
      </w:r>
      <w:proofErr w:type="spellStart"/>
      <w:r w:rsidRPr="00467DB0">
        <w:t>Ud</w:t>
      </w:r>
      <w:proofErr w:type="spellEnd"/>
      <w:r w:rsidRPr="00467DB0">
        <w:t xml:space="preserve"> over </w:t>
      </w:r>
      <w:proofErr w:type="spellStart"/>
      <w:r w:rsidRPr="00467DB0">
        <w:t>bestemmelserne</w:t>
      </w:r>
      <w:proofErr w:type="spellEnd"/>
      <w:r w:rsidRPr="00467DB0">
        <w:t xml:space="preserve"> i finansforordningens </w:t>
      </w:r>
      <w:proofErr w:type="spellStart"/>
      <w:r w:rsidRPr="00467DB0">
        <w:t>artikel</w:t>
      </w:r>
      <w:proofErr w:type="spellEnd"/>
      <w:r w:rsidRPr="00467DB0">
        <w:t xml:space="preserve"> 165 kan </w:t>
      </w:r>
      <w:proofErr w:type="spellStart"/>
      <w:r w:rsidRPr="00467DB0">
        <w:t>Kommi</w:t>
      </w:r>
      <w:r w:rsidRPr="00467DB0">
        <w:t>ssionen</w:t>
      </w:r>
      <w:proofErr w:type="spellEnd"/>
      <w:r w:rsidRPr="00467DB0">
        <w:t xml:space="preserve"> eller agenturet </w:t>
      </w:r>
      <w:proofErr w:type="spellStart"/>
      <w:r w:rsidRPr="00467DB0">
        <w:t>gennemføre</w:t>
      </w:r>
      <w:proofErr w:type="spellEnd"/>
      <w:r w:rsidRPr="00467DB0">
        <w:t xml:space="preserve"> </w:t>
      </w:r>
      <w:proofErr w:type="spellStart"/>
      <w:r w:rsidRPr="00467DB0">
        <w:t>fælles</w:t>
      </w:r>
      <w:proofErr w:type="spellEnd"/>
      <w:r w:rsidRPr="00467DB0">
        <w:t xml:space="preserve"> </w:t>
      </w:r>
      <w:proofErr w:type="spellStart"/>
      <w:r w:rsidRPr="00467DB0">
        <w:t>udbudsprocedurer</w:t>
      </w:r>
      <w:proofErr w:type="spellEnd"/>
      <w:r w:rsidRPr="00467DB0">
        <w:t xml:space="preserve"> med ESA eller andre </w:t>
      </w:r>
      <w:proofErr w:type="spellStart"/>
      <w:r w:rsidRPr="00467DB0">
        <w:t>internationale</w:t>
      </w:r>
      <w:proofErr w:type="spellEnd"/>
      <w:r w:rsidRPr="00467DB0">
        <w:t xml:space="preserve"> </w:t>
      </w:r>
      <w:proofErr w:type="spellStart"/>
      <w:r w:rsidRPr="00467DB0">
        <w:t>organisationer</w:t>
      </w:r>
      <w:proofErr w:type="spellEnd"/>
      <w:r w:rsidRPr="00467DB0">
        <w:t xml:space="preserve">, som er </w:t>
      </w:r>
      <w:proofErr w:type="spellStart"/>
      <w:r w:rsidRPr="00467DB0">
        <w:t>involveret</w:t>
      </w:r>
      <w:proofErr w:type="spellEnd"/>
      <w:r w:rsidRPr="00467DB0">
        <w:t xml:space="preserve"> i </w:t>
      </w:r>
      <w:proofErr w:type="spellStart"/>
      <w:r w:rsidRPr="00467DB0">
        <w:t>gennemførelsen</w:t>
      </w:r>
      <w:proofErr w:type="spellEnd"/>
      <w:r w:rsidRPr="00467DB0">
        <w:t xml:space="preserve"> </w:t>
      </w:r>
      <w:proofErr w:type="spellStart"/>
      <w:r w:rsidRPr="00467DB0">
        <w:t>af</w:t>
      </w:r>
      <w:proofErr w:type="spellEnd"/>
      <w:r w:rsidRPr="00467DB0">
        <w:t xml:space="preserve"> programmets komponenter.</w:t>
      </w:r>
    </w:p>
    <w:p w14:paraId="50CEE374" w14:textId="77777777" w:rsidR="00000000" w:rsidRPr="00467DB0" w:rsidRDefault="00693D67" w:rsidP="00467DB0">
      <w:pPr>
        <w:pStyle w:val="friliste"/>
      </w:pPr>
      <w:r w:rsidRPr="00467DB0">
        <w:t>2.</w:t>
      </w:r>
      <w:r w:rsidRPr="00467DB0">
        <w:tab/>
      </w:r>
      <w:proofErr w:type="spellStart"/>
      <w:r w:rsidRPr="00467DB0">
        <w:t>Udbudsreglerne</w:t>
      </w:r>
      <w:proofErr w:type="spellEnd"/>
      <w:r w:rsidRPr="00467DB0">
        <w:t xml:space="preserve"> i finansforordningens </w:t>
      </w:r>
      <w:proofErr w:type="spellStart"/>
      <w:r w:rsidRPr="00467DB0">
        <w:t>artikel</w:t>
      </w:r>
      <w:proofErr w:type="spellEnd"/>
      <w:r w:rsidRPr="00467DB0">
        <w:t xml:space="preserve"> 165 </w:t>
      </w:r>
      <w:proofErr w:type="spellStart"/>
      <w:r w:rsidRPr="00467DB0">
        <w:t>finder</w:t>
      </w:r>
      <w:proofErr w:type="spellEnd"/>
      <w:r w:rsidRPr="00467DB0">
        <w:t xml:space="preserve"> tilsvarende </w:t>
      </w:r>
      <w:proofErr w:type="gramStart"/>
      <w:r w:rsidRPr="00467DB0">
        <w:t>anvendelse</w:t>
      </w:r>
      <w:proofErr w:type="gramEnd"/>
      <w:r w:rsidRPr="00467DB0">
        <w:t xml:space="preserve">, </w:t>
      </w:r>
      <w:proofErr w:type="spellStart"/>
      <w:r w:rsidRPr="00467DB0">
        <w:t>forudsat</w:t>
      </w:r>
      <w:proofErr w:type="spellEnd"/>
      <w:r w:rsidRPr="00467DB0">
        <w:t xml:space="preserve"> at de </w:t>
      </w:r>
      <w:proofErr w:type="spellStart"/>
      <w:r w:rsidRPr="00467DB0">
        <w:t>procedureregler</w:t>
      </w:r>
      <w:proofErr w:type="spellEnd"/>
      <w:r w:rsidRPr="00467DB0">
        <w:t xml:space="preserve">, der </w:t>
      </w:r>
      <w:proofErr w:type="spellStart"/>
      <w:r w:rsidRPr="00467DB0">
        <w:t>gælder</w:t>
      </w:r>
      <w:proofErr w:type="spellEnd"/>
      <w:r w:rsidRPr="00467DB0">
        <w:t xml:space="preserve"> for EU-</w:t>
      </w:r>
      <w:proofErr w:type="spellStart"/>
      <w:r w:rsidRPr="00467DB0">
        <w:t>institutionerne</w:t>
      </w:r>
      <w:proofErr w:type="spellEnd"/>
      <w:r w:rsidRPr="00467DB0">
        <w:t>, anvendes.</w:t>
      </w:r>
    </w:p>
    <w:p w14:paraId="2BF8ACD6" w14:textId="77777777" w:rsidR="00000000" w:rsidRPr="00467DB0" w:rsidRDefault="00693D67" w:rsidP="00467DB0">
      <w:pPr>
        <w:pStyle w:val="avsnitt-undertittel"/>
      </w:pPr>
      <w:proofErr w:type="spellStart"/>
      <w:r w:rsidRPr="00467DB0">
        <w:t>Artikel</w:t>
      </w:r>
      <w:proofErr w:type="spellEnd"/>
      <w:r w:rsidRPr="00467DB0">
        <w:t> 24</w:t>
      </w:r>
    </w:p>
    <w:p w14:paraId="7E0B6375" w14:textId="77777777" w:rsidR="00000000" w:rsidRPr="00467DB0" w:rsidRDefault="00693D67" w:rsidP="00467DB0">
      <w:pPr>
        <w:pStyle w:val="Undertittel"/>
      </w:pPr>
      <w:r w:rsidRPr="00467DB0">
        <w:t xml:space="preserve">Betingelser for støtteberettigelse og deltagelse med </w:t>
      </w:r>
      <w:proofErr w:type="spellStart"/>
      <w:r w:rsidRPr="00467DB0">
        <w:t>henblik</w:t>
      </w:r>
      <w:proofErr w:type="spellEnd"/>
      <w:r w:rsidRPr="00467DB0">
        <w:t xml:space="preserve"> på bevarelse </w:t>
      </w:r>
      <w:proofErr w:type="spellStart"/>
      <w:r w:rsidRPr="00467DB0">
        <w:t>af</w:t>
      </w:r>
      <w:proofErr w:type="spellEnd"/>
      <w:r w:rsidRPr="00467DB0">
        <w:t xml:space="preserve"> Unionens </w:t>
      </w:r>
      <w:proofErr w:type="spellStart"/>
      <w:r w:rsidRPr="00467DB0">
        <w:t>operationelle</w:t>
      </w:r>
      <w:proofErr w:type="spellEnd"/>
      <w:r w:rsidRPr="00467DB0">
        <w:t xml:space="preserve"> systemers </w:t>
      </w:r>
      <w:proofErr w:type="spellStart"/>
      <w:r w:rsidRPr="00467DB0">
        <w:t>sikkerhed</w:t>
      </w:r>
      <w:proofErr w:type="spellEnd"/>
      <w:r w:rsidRPr="00467DB0">
        <w:t xml:space="preserve">, integritet og </w:t>
      </w:r>
      <w:proofErr w:type="spellStart"/>
      <w:r w:rsidRPr="00467DB0">
        <w:t>modstandsdygtighed</w:t>
      </w:r>
      <w:proofErr w:type="spellEnd"/>
    </w:p>
    <w:p w14:paraId="15F377EB" w14:textId="77777777" w:rsidR="00000000" w:rsidRPr="00467DB0" w:rsidRDefault="00693D67" w:rsidP="00467DB0">
      <w:pPr>
        <w:pStyle w:val="friliste"/>
      </w:pPr>
      <w:r w:rsidRPr="00467DB0">
        <w:t>1.</w:t>
      </w:r>
      <w:r w:rsidRPr="00467DB0">
        <w:tab/>
      </w:r>
      <w:proofErr w:type="spellStart"/>
      <w:r w:rsidRPr="00467DB0">
        <w:t>Kommissione</w:t>
      </w:r>
      <w:r w:rsidRPr="00467DB0">
        <w:t>n</w:t>
      </w:r>
      <w:proofErr w:type="spellEnd"/>
      <w:r w:rsidRPr="00467DB0">
        <w:t xml:space="preserve"> anvender de betingelser for støtteberettigelse og deltagelse, der er </w:t>
      </w:r>
      <w:proofErr w:type="spellStart"/>
      <w:r w:rsidRPr="00467DB0">
        <w:t>fastsat</w:t>
      </w:r>
      <w:proofErr w:type="spellEnd"/>
      <w:r w:rsidRPr="00467DB0">
        <w:t xml:space="preserve"> i stk. 2, i forbindelse med </w:t>
      </w:r>
      <w:proofErr w:type="spellStart"/>
      <w:r w:rsidRPr="00467DB0">
        <w:t>udbud</w:t>
      </w:r>
      <w:proofErr w:type="spellEnd"/>
      <w:r w:rsidRPr="00467DB0">
        <w:t xml:space="preserve">, </w:t>
      </w:r>
      <w:proofErr w:type="spellStart"/>
      <w:r w:rsidRPr="00467DB0">
        <w:t>tilskud</w:t>
      </w:r>
      <w:proofErr w:type="spellEnd"/>
      <w:r w:rsidRPr="00467DB0">
        <w:t xml:space="preserve"> eller priser omfattet </w:t>
      </w:r>
      <w:proofErr w:type="spellStart"/>
      <w:r w:rsidRPr="00467DB0">
        <w:t>af</w:t>
      </w:r>
      <w:proofErr w:type="spellEnd"/>
      <w:r w:rsidRPr="00467DB0">
        <w:t xml:space="preserve"> dette </w:t>
      </w:r>
      <w:proofErr w:type="spellStart"/>
      <w:r w:rsidRPr="00467DB0">
        <w:t>afsnit</w:t>
      </w:r>
      <w:proofErr w:type="spellEnd"/>
      <w:r w:rsidRPr="00467DB0">
        <w:t xml:space="preserve">, hvis den </w:t>
      </w:r>
      <w:proofErr w:type="spellStart"/>
      <w:r w:rsidRPr="00467DB0">
        <w:t>finder</w:t>
      </w:r>
      <w:proofErr w:type="spellEnd"/>
      <w:r w:rsidRPr="00467DB0">
        <w:t xml:space="preserve">, at dette er </w:t>
      </w:r>
      <w:proofErr w:type="spellStart"/>
      <w:r w:rsidRPr="00467DB0">
        <w:t>nødvendigt</w:t>
      </w:r>
      <w:proofErr w:type="spellEnd"/>
      <w:r w:rsidRPr="00467DB0">
        <w:t xml:space="preserve"> og </w:t>
      </w:r>
      <w:proofErr w:type="spellStart"/>
      <w:r w:rsidRPr="00467DB0">
        <w:t>hensigtsmæssigt</w:t>
      </w:r>
      <w:proofErr w:type="spellEnd"/>
      <w:r w:rsidRPr="00467DB0">
        <w:t xml:space="preserve"> for at bevare de </w:t>
      </w:r>
      <w:proofErr w:type="spellStart"/>
      <w:r w:rsidRPr="00467DB0">
        <w:t>operationelle</w:t>
      </w:r>
      <w:proofErr w:type="spellEnd"/>
      <w:r w:rsidRPr="00467DB0">
        <w:t xml:space="preserve"> EU-sy</w:t>
      </w:r>
      <w:r w:rsidRPr="00467DB0">
        <w:t xml:space="preserve">stemers </w:t>
      </w:r>
      <w:proofErr w:type="spellStart"/>
      <w:r w:rsidRPr="00467DB0">
        <w:t>sikkerhed</w:t>
      </w:r>
      <w:proofErr w:type="spellEnd"/>
      <w:r w:rsidRPr="00467DB0">
        <w:t xml:space="preserve">, integritet og </w:t>
      </w:r>
      <w:proofErr w:type="spellStart"/>
      <w:r w:rsidRPr="00467DB0">
        <w:t>modstandsdygtighed</w:t>
      </w:r>
      <w:proofErr w:type="spellEnd"/>
      <w:r w:rsidRPr="00467DB0">
        <w:t xml:space="preserve"> under hensyntagen til målet om at fremme Unionens strategiske autonomi, navnlig med hensyn til teknologi på </w:t>
      </w:r>
      <w:proofErr w:type="spellStart"/>
      <w:r w:rsidRPr="00467DB0">
        <w:t>tværs</w:t>
      </w:r>
      <w:proofErr w:type="spellEnd"/>
      <w:r w:rsidRPr="00467DB0">
        <w:t xml:space="preserve"> </w:t>
      </w:r>
      <w:proofErr w:type="spellStart"/>
      <w:r w:rsidRPr="00467DB0">
        <w:t>af</w:t>
      </w:r>
      <w:proofErr w:type="spellEnd"/>
      <w:r w:rsidRPr="00467DB0">
        <w:t xml:space="preserve"> </w:t>
      </w:r>
      <w:proofErr w:type="spellStart"/>
      <w:r w:rsidRPr="00467DB0">
        <w:t>centrale</w:t>
      </w:r>
      <w:proofErr w:type="spellEnd"/>
      <w:r w:rsidRPr="00467DB0">
        <w:t xml:space="preserve"> teknologier og </w:t>
      </w:r>
      <w:proofErr w:type="spellStart"/>
      <w:r w:rsidRPr="00467DB0">
        <w:t>værdikæder</w:t>
      </w:r>
      <w:proofErr w:type="spellEnd"/>
      <w:r w:rsidRPr="00467DB0">
        <w:t xml:space="preserve">, samtidig med at der bevares en </w:t>
      </w:r>
      <w:proofErr w:type="spellStart"/>
      <w:r w:rsidRPr="00467DB0">
        <w:t>åben</w:t>
      </w:r>
      <w:proofErr w:type="spellEnd"/>
      <w:r w:rsidRPr="00467DB0">
        <w:t xml:space="preserve"> økonomi. </w:t>
      </w:r>
    </w:p>
    <w:p w14:paraId="384C21F4" w14:textId="77777777" w:rsidR="00000000" w:rsidRPr="00467DB0" w:rsidRDefault="00693D67" w:rsidP="00467DB0">
      <w:pPr>
        <w:pStyle w:val="Listeavsnitt"/>
      </w:pPr>
      <w:proofErr w:type="spellStart"/>
      <w:r w:rsidRPr="00467DB0">
        <w:t>Ind</w:t>
      </w:r>
      <w:r w:rsidRPr="00467DB0">
        <w:t>en</w:t>
      </w:r>
      <w:proofErr w:type="spellEnd"/>
      <w:r w:rsidRPr="00467DB0">
        <w:t xml:space="preserve"> den anvender </w:t>
      </w:r>
      <w:proofErr w:type="spellStart"/>
      <w:r w:rsidRPr="00467DB0">
        <w:t>betingelserne</w:t>
      </w:r>
      <w:proofErr w:type="spellEnd"/>
      <w:r w:rsidRPr="00467DB0">
        <w:t xml:space="preserve"> for støtteberettigelse og deltagelse, jf. nærværende stykkes første </w:t>
      </w:r>
      <w:proofErr w:type="spellStart"/>
      <w:r w:rsidRPr="00467DB0">
        <w:t>afsnit</w:t>
      </w:r>
      <w:proofErr w:type="spellEnd"/>
      <w:r w:rsidRPr="00467DB0">
        <w:t xml:space="preserve">, underretter </w:t>
      </w:r>
      <w:proofErr w:type="spellStart"/>
      <w:r w:rsidRPr="00467DB0">
        <w:t>Kommissionen</w:t>
      </w:r>
      <w:proofErr w:type="spellEnd"/>
      <w:r w:rsidRPr="00467DB0">
        <w:t xml:space="preserve"> det </w:t>
      </w:r>
      <w:proofErr w:type="spellStart"/>
      <w:r w:rsidRPr="00467DB0">
        <w:t>programudvalg</w:t>
      </w:r>
      <w:proofErr w:type="spellEnd"/>
      <w:r w:rsidRPr="00467DB0">
        <w:t xml:space="preserve">, der er omhandlet i </w:t>
      </w:r>
      <w:proofErr w:type="spellStart"/>
      <w:r w:rsidRPr="00467DB0">
        <w:t>artikel</w:t>
      </w:r>
      <w:proofErr w:type="spellEnd"/>
      <w:r w:rsidRPr="00467DB0">
        <w:t xml:space="preserve"> 107, stk. 1, litra e), og tager størst mulig hensyn til </w:t>
      </w:r>
      <w:proofErr w:type="spellStart"/>
      <w:r w:rsidRPr="00467DB0">
        <w:t>medlemsstaternes</w:t>
      </w:r>
      <w:proofErr w:type="spellEnd"/>
      <w:r w:rsidRPr="00467DB0">
        <w:t xml:space="preserve"> synspu</w:t>
      </w:r>
      <w:r w:rsidRPr="00467DB0">
        <w:t xml:space="preserve">nkter </w:t>
      </w:r>
      <w:proofErr w:type="gramStart"/>
      <w:r w:rsidRPr="00467DB0">
        <w:t>vedrørende</w:t>
      </w:r>
      <w:proofErr w:type="gramEnd"/>
      <w:r w:rsidRPr="00467DB0">
        <w:t xml:space="preserve"> anvendelsesområdet og </w:t>
      </w:r>
      <w:proofErr w:type="spellStart"/>
      <w:r w:rsidRPr="00467DB0">
        <w:t>begrundelsen</w:t>
      </w:r>
      <w:proofErr w:type="spellEnd"/>
      <w:r w:rsidRPr="00467DB0">
        <w:t xml:space="preserve"> for disse betingelser for støtteberettigelse og deltagelse.</w:t>
      </w:r>
    </w:p>
    <w:p w14:paraId="5BBF4E3A" w14:textId="77777777" w:rsidR="00000000" w:rsidRPr="00467DB0" w:rsidRDefault="00693D67" w:rsidP="00467DB0">
      <w:pPr>
        <w:pStyle w:val="friliste"/>
      </w:pPr>
      <w:r w:rsidRPr="00467DB0">
        <w:t>2.</w:t>
      </w:r>
      <w:r w:rsidRPr="00467DB0">
        <w:tab/>
      </w:r>
      <w:proofErr w:type="spellStart"/>
      <w:r w:rsidRPr="00467DB0">
        <w:t>Betingelserne</w:t>
      </w:r>
      <w:proofErr w:type="spellEnd"/>
      <w:r w:rsidRPr="00467DB0">
        <w:t xml:space="preserve"> for støtteberettigelse og deltagelse er følgende:</w:t>
      </w:r>
    </w:p>
    <w:p w14:paraId="5528F6F0" w14:textId="77777777" w:rsidR="00000000" w:rsidRPr="00467DB0" w:rsidRDefault="00693D67" w:rsidP="00467DB0">
      <w:pPr>
        <w:pStyle w:val="friliste2"/>
      </w:pPr>
      <w:r w:rsidRPr="00467DB0">
        <w:t>a)</w:t>
      </w:r>
      <w:r w:rsidRPr="00467DB0">
        <w:tab/>
        <w:t>den støt</w:t>
      </w:r>
      <w:r w:rsidRPr="00467DB0">
        <w:t xml:space="preserve">teberettigede </w:t>
      </w:r>
      <w:proofErr w:type="spellStart"/>
      <w:r w:rsidRPr="00467DB0">
        <w:t>retlige</w:t>
      </w:r>
      <w:proofErr w:type="spellEnd"/>
      <w:r w:rsidRPr="00467DB0">
        <w:t xml:space="preserve"> </w:t>
      </w:r>
      <w:proofErr w:type="spellStart"/>
      <w:r w:rsidRPr="00467DB0">
        <w:t>enhed</w:t>
      </w:r>
      <w:proofErr w:type="spellEnd"/>
      <w:r w:rsidRPr="00467DB0">
        <w:t xml:space="preserve"> skal være </w:t>
      </w:r>
      <w:proofErr w:type="spellStart"/>
      <w:r w:rsidRPr="00467DB0">
        <w:t>etableret</w:t>
      </w:r>
      <w:proofErr w:type="spellEnd"/>
      <w:r w:rsidRPr="00467DB0">
        <w:t xml:space="preserve"> i en medlemsstat, og dens ledelsesstrukturer skal være </w:t>
      </w:r>
      <w:proofErr w:type="spellStart"/>
      <w:r w:rsidRPr="00467DB0">
        <w:t>etableret</w:t>
      </w:r>
      <w:proofErr w:type="spellEnd"/>
      <w:r w:rsidRPr="00467DB0">
        <w:t xml:space="preserve"> i medlemsstaten</w:t>
      </w:r>
    </w:p>
    <w:p w14:paraId="1F96364C" w14:textId="77777777" w:rsidR="00000000" w:rsidRPr="00467DB0" w:rsidRDefault="00693D67" w:rsidP="00467DB0">
      <w:pPr>
        <w:pStyle w:val="friliste2"/>
      </w:pPr>
      <w:r w:rsidRPr="00467DB0">
        <w:t>b)</w:t>
      </w:r>
      <w:r w:rsidRPr="00467DB0">
        <w:tab/>
        <w:t xml:space="preserve">den støtteberettigede </w:t>
      </w:r>
      <w:proofErr w:type="spellStart"/>
      <w:r w:rsidRPr="00467DB0">
        <w:t>retlige</w:t>
      </w:r>
      <w:proofErr w:type="spellEnd"/>
      <w:r w:rsidRPr="00467DB0">
        <w:t xml:space="preserve"> </w:t>
      </w:r>
      <w:proofErr w:type="spellStart"/>
      <w:r w:rsidRPr="00467DB0">
        <w:t>enhed</w:t>
      </w:r>
      <w:proofErr w:type="spellEnd"/>
      <w:r w:rsidRPr="00467DB0">
        <w:t xml:space="preserve"> </w:t>
      </w:r>
      <w:proofErr w:type="spellStart"/>
      <w:r w:rsidRPr="00467DB0">
        <w:t>forpligter</w:t>
      </w:r>
      <w:proofErr w:type="spellEnd"/>
      <w:r w:rsidRPr="00467DB0">
        <w:t xml:space="preserve"> sig til at </w:t>
      </w:r>
      <w:proofErr w:type="spellStart"/>
      <w:r w:rsidRPr="00467DB0">
        <w:t>udføre</w:t>
      </w:r>
      <w:proofErr w:type="spellEnd"/>
      <w:r w:rsidRPr="00467DB0">
        <w:t xml:space="preserve"> alle relevante aktiviteter i en eller flere medlemsstater o</w:t>
      </w:r>
      <w:r w:rsidRPr="00467DB0">
        <w:t>g</w:t>
      </w:r>
    </w:p>
    <w:p w14:paraId="60ADC4AB" w14:textId="77777777" w:rsidR="00000000" w:rsidRPr="00467DB0" w:rsidRDefault="00693D67" w:rsidP="00467DB0">
      <w:pPr>
        <w:pStyle w:val="friliste2"/>
      </w:pPr>
      <w:r w:rsidRPr="00467DB0">
        <w:t>c)</w:t>
      </w:r>
      <w:r w:rsidRPr="00467DB0">
        <w:tab/>
        <w:t xml:space="preserve">den støtteberettigede </w:t>
      </w:r>
      <w:proofErr w:type="spellStart"/>
      <w:r w:rsidRPr="00467DB0">
        <w:t>retlige</w:t>
      </w:r>
      <w:proofErr w:type="spellEnd"/>
      <w:r w:rsidRPr="00467DB0">
        <w:t xml:space="preserve"> </w:t>
      </w:r>
      <w:proofErr w:type="spellStart"/>
      <w:r w:rsidRPr="00467DB0">
        <w:t>enhed</w:t>
      </w:r>
      <w:proofErr w:type="spellEnd"/>
      <w:r w:rsidRPr="00467DB0">
        <w:t xml:space="preserve"> er ikke underlagt </w:t>
      </w:r>
      <w:proofErr w:type="spellStart"/>
      <w:r w:rsidRPr="00467DB0">
        <w:t>kontrol</w:t>
      </w:r>
      <w:proofErr w:type="spellEnd"/>
      <w:r w:rsidRPr="00467DB0">
        <w:t xml:space="preserve"> fra et tredjeland eller fra en </w:t>
      </w:r>
      <w:proofErr w:type="spellStart"/>
      <w:r w:rsidRPr="00467DB0">
        <w:t>enhed</w:t>
      </w:r>
      <w:proofErr w:type="spellEnd"/>
      <w:r w:rsidRPr="00467DB0">
        <w:t xml:space="preserve"> i et tredjeland.</w:t>
      </w:r>
    </w:p>
    <w:p w14:paraId="055EC3C5" w14:textId="77777777" w:rsidR="00000000" w:rsidRPr="00467DB0" w:rsidRDefault="00693D67" w:rsidP="00467DB0">
      <w:pPr>
        <w:pStyle w:val="Listeavsnitt"/>
      </w:pPr>
      <w:r w:rsidRPr="00467DB0">
        <w:t xml:space="preserve">I denne </w:t>
      </w:r>
      <w:proofErr w:type="spellStart"/>
      <w:r w:rsidRPr="00467DB0">
        <w:t>artikel</w:t>
      </w:r>
      <w:proofErr w:type="spellEnd"/>
      <w:r w:rsidRPr="00467DB0">
        <w:t xml:space="preserve"> forstås ved </w:t>
      </w:r>
      <w:proofErr w:type="spellStart"/>
      <w:r w:rsidRPr="00467DB0">
        <w:t>kontrol</w:t>
      </w:r>
      <w:proofErr w:type="spellEnd"/>
      <w:r w:rsidRPr="00467DB0">
        <w:t xml:space="preserve"> </w:t>
      </w:r>
      <w:proofErr w:type="spellStart"/>
      <w:r w:rsidRPr="00467DB0">
        <w:t>muligheden</w:t>
      </w:r>
      <w:proofErr w:type="spellEnd"/>
      <w:r w:rsidRPr="00467DB0">
        <w:t xml:space="preserve"> for at udøve </w:t>
      </w:r>
      <w:proofErr w:type="spellStart"/>
      <w:r w:rsidRPr="00467DB0">
        <w:t>afgørende</w:t>
      </w:r>
      <w:proofErr w:type="spellEnd"/>
      <w:r w:rsidRPr="00467DB0">
        <w:t xml:space="preserve"> </w:t>
      </w:r>
      <w:proofErr w:type="spellStart"/>
      <w:r w:rsidRPr="00467DB0">
        <w:t>indflydelse</w:t>
      </w:r>
      <w:proofErr w:type="spellEnd"/>
      <w:r w:rsidRPr="00467DB0">
        <w:t xml:space="preserve"> på en </w:t>
      </w:r>
      <w:proofErr w:type="spellStart"/>
      <w:r w:rsidRPr="00467DB0">
        <w:t>retlig</w:t>
      </w:r>
      <w:proofErr w:type="spellEnd"/>
      <w:r w:rsidRPr="00467DB0">
        <w:t xml:space="preserve"> </w:t>
      </w:r>
      <w:proofErr w:type="spellStart"/>
      <w:r w:rsidRPr="00467DB0">
        <w:t>enhed</w:t>
      </w:r>
      <w:proofErr w:type="spellEnd"/>
      <w:r w:rsidRPr="00467DB0">
        <w:t xml:space="preserve"> direkte eller indirekte </w:t>
      </w:r>
      <w:proofErr w:type="spellStart"/>
      <w:r w:rsidRPr="00467DB0">
        <w:t>gennem</w:t>
      </w:r>
      <w:proofErr w:type="spellEnd"/>
      <w:r w:rsidRPr="00467DB0">
        <w:t xml:space="preserve"> e</w:t>
      </w:r>
      <w:r w:rsidRPr="00467DB0">
        <w:t xml:space="preserve">n eller flere </w:t>
      </w:r>
      <w:proofErr w:type="spellStart"/>
      <w:r w:rsidRPr="00467DB0">
        <w:t>mellemliggende</w:t>
      </w:r>
      <w:proofErr w:type="spellEnd"/>
      <w:r w:rsidRPr="00467DB0">
        <w:t xml:space="preserve"> </w:t>
      </w:r>
      <w:proofErr w:type="spellStart"/>
      <w:r w:rsidRPr="00467DB0">
        <w:t>retlige</w:t>
      </w:r>
      <w:proofErr w:type="spellEnd"/>
      <w:r w:rsidRPr="00467DB0">
        <w:t xml:space="preserve"> </w:t>
      </w:r>
      <w:proofErr w:type="spellStart"/>
      <w:r w:rsidRPr="00467DB0">
        <w:t>enheder</w:t>
      </w:r>
      <w:proofErr w:type="spellEnd"/>
      <w:r w:rsidRPr="00467DB0">
        <w:t>.</w:t>
      </w:r>
    </w:p>
    <w:p w14:paraId="1F890268" w14:textId="77777777" w:rsidR="00000000" w:rsidRPr="00467DB0" w:rsidRDefault="00693D67" w:rsidP="00467DB0">
      <w:pPr>
        <w:pStyle w:val="Listeavsnitt"/>
      </w:pPr>
      <w:r w:rsidRPr="00467DB0">
        <w:lastRenderedPageBreak/>
        <w:t xml:space="preserve">I denne </w:t>
      </w:r>
      <w:proofErr w:type="spellStart"/>
      <w:r w:rsidRPr="00467DB0">
        <w:t>artikel</w:t>
      </w:r>
      <w:proofErr w:type="spellEnd"/>
      <w:r w:rsidRPr="00467DB0">
        <w:t xml:space="preserve"> forstås ved ledelsesstruktur et organ i en </w:t>
      </w:r>
      <w:proofErr w:type="spellStart"/>
      <w:r w:rsidRPr="00467DB0">
        <w:t>retlig</w:t>
      </w:r>
      <w:proofErr w:type="spellEnd"/>
      <w:r w:rsidRPr="00467DB0">
        <w:t xml:space="preserve"> </w:t>
      </w:r>
      <w:proofErr w:type="spellStart"/>
      <w:r w:rsidRPr="00467DB0">
        <w:t>enhed</w:t>
      </w:r>
      <w:proofErr w:type="spellEnd"/>
      <w:r w:rsidRPr="00467DB0">
        <w:t xml:space="preserve">, der er </w:t>
      </w:r>
      <w:proofErr w:type="spellStart"/>
      <w:r w:rsidRPr="00467DB0">
        <w:t>udpeget</w:t>
      </w:r>
      <w:proofErr w:type="spellEnd"/>
      <w:r w:rsidRPr="00467DB0">
        <w:t xml:space="preserve"> i overensstemmelse med </w:t>
      </w:r>
      <w:proofErr w:type="spellStart"/>
      <w:r w:rsidRPr="00467DB0">
        <w:t>national</w:t>
      </w:r>
      <w:proofErr w:type="spellEnd"/>
      <w:r w:rsidRPr="00467DB0">
        <w:t xml:space="preserve"> </w:t>
      </w:r>
      <w:proofErr w:type="spellStart"/>
      <w:r w:rsidRPr="00467DB0">
        <w:t>ret</w:t>
      </w:r>
      <w:proofErr w:type="spellEnd"/>
      <w:r w:rsidRPr="00467DB0">
        <w:t xml:space="preserve">, og som, hvis det er relevant, rapporterer til den administrerende direktør eller </w:t>
      </w:r>
      <w:proofErr w:type="gramStart"/>
      <w:r w:rsidRPr="00467DB0">
        <w:t>en</w:t>
      </w:r>
      <w:r w:rsidRPr="00467DB0">
        <w:t>hver anden</w:t>
      </w:r>
      <w:proofErr w:type="gramEnd"/>
      <w:r w:rsidRPr="00467DB0">
        <w:t xml:space="preserve"> person med tilsvarende </w:t>
      </w:r>
      <w:proofErr w:type="spellStart"/>
      <w:r w:rsidRPr="00467DB0">
        <w:t>beslutningskompetence</w:t>
      </w:r>
      <w:proofErr w:type="spellEnd"/>
      <w:r w:rsidRPr="00467DB0">
        <w:t xml:space="preserve">, og som har </w:t>
      </w:r>
      <w:proofErr w:type="spellStart"/>
      <w:r w:rsidRPr="00467DB0">
        <w:t>beføjelse</w:t>
      </w:r>
      <w:proofErr w:type="spellEnd"/>
      <w:r w:rsidRPr="00467DB0">
        <w:t xml:space="preserve"> til at </w:t>
      </w:r>
      <w:proofErr w:type="spellStart"/>
      <w:r w:rsidRPr="00467DB0">
        <w:t>fastlægge</w:t>
      </w:r>
      <w:proofErr w:type="spellEnd"/>
      <w:r w:rsidRPr="00467DB0">
        <w:t xml:space="preserve"> den </w:t>
      </w:r>
      <w:proofErr w:type="spellStart"/>
      <w:r w:rsidRPr="00467DB0">
        <w:t>retlige</w:t>
      </w:r>
      <w:proofErr w:type="spellEnd"/>
      <w:r w:rsidRPr="00467DB0">
        <w:t xml:space="preserve"> </w:t>
      </w:r>
      <w:proofErr w:type="spellStart"/>
      <w:r w:rsidRPr="00467DB0">
        <w:t>enheds</w:t>
      </w:r>
      <w:proofErr w:type="spellEnd"/>
      <w:r w:rsidRPr="00467DB0">
        <w:t xml:space="preserve"> strategi, mål og generelle kurs og fører tilsyn med og overvåger ledelsens beslutningstagning.</w:t>
      </w:r>
    </w:p>
    <w:p w14:paraId="662E1F34"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kan </w:t>
      </w:r>
      <w:proofErr w:type="spellStart"/>
      <w:r w:rsidRPr="00467DB0">
        <w:t>fravige</w:t>
      </w:r>
      <w:proofErr w:type="spellEnd"/>
      <w:r w:rsidRPr="00467DB0">
        <w:t xml:space="preserve"> </w:t>
      </w:r>
      <w:proofErr w:type="spellStart"/>
      <w:r w:rsidRPr="00467DB0">
        <w:t>betingelserne</w:t>
      </w:r>
      <w:proofErr w:type="spellEnd"/>
      <w:r w:rsidRPr="00467DB0">
        <w:t xml:space="preserve"> i stk</w:t>
      </w:r>
      <w:r w:rsidRPr="00467DB0">
        <w:t xml:space="preserve">. 2, første </w:t>
      </w:r>
      <w:proofErr w:type="spellStart"/>
      <w:r w:rsidRPr="00467DB0">
        <w:t>afsnit</w:t>
      </w:r>
      <w:proofErr w:type="spellEnd"/>
      <w:r w:rsidRPr="00467DB0">
        <w:t xml:space="preserve">, litra a) eller b), for en bestemt </w:t>
      </w:r>
      <w:proofErr w:type="spellStart"/>
      <w:r w:rsidRPr="00467DB0">
        <w:t>retlig</w:t>
      </w:r>
      <w:proofErr w:type="spellEnd"/>
      <w:r w:rsidRPr="00467DB0">
        <w:t xml:space="preserve"> </w:t>
      </w:r>
      <w:proofErr w:type="spellStart"/>
      <w:r w:rsidRPr="00467DB0">
        <w:t>enhed</w:t>
      </w:r>
      <w:proofErr w:type="spellEnd"/>
      <w:r w:rsidRPr="00467DB0">
        <w:t xml:space="preserve"> efter evaluering på </w:t>
      </w:r>
      <w:proofErr w:type="spellStart"/>
      <w:r w:rsidRPr="00467DB0">
        <w:t>grundlag</w:t>
      </w:r>
      <w:proofErr w:type="spellEnd"/>
      <w:r w:rsidRPr="00467DB0">
        <w:t xml:space="preserve"> </w:t>
      </w:r>
      <w:proofErr w:type="spellStart"/>
      <w:r w:rsidRPr="00467DB0">
        <w:t>af</w:t>
      </w:r>
      <w:proofErr w:type="spellEnd"/>
      <w:r w:rsidRPr="00467DB0">
        <w:t xml:space="preserve"> følgende kumulative kriterier:</w:t>
      </w:r>
    </w:p>
    <w:p w14:paraId="126FFC6A" w14:textId="77777777" w:rsidR="00000000" w:rsidRPr="00467DB0" w:rsidRDefault="00693D67" w:rsidP="00467DB0">
      <w:pPr>
        <w:pStyle w:val="friliste2"/>
      </w:pPr>
      <w:r w:rsidRPr="00467DB0">
        <w:t>a)</w:t>
      </w:r>
      <w:r w:rsidRPr="00467DB0">
        <w:tab/>
        <w:t xml:space="preserve">der </w:t>
      </w:r>
      <w:proofErr w:type="spellStart"/>
      <w:r w:rsidRPr="00467DB0">
        <w:t>findes</w:t>
      </w:r>
      <w:proofErr w:type="spellEnd"/>
      <w:r w:rsidRPr="00467DB0">
        <w:t xml:space="preserve"> </w:t>
      </w:r>
      <w:proofErr w:type="gramStart"/>
      <w:r w:rsidRPr="00467DB0">
        <w:t>ikke umiddelbart nogen</w:t>
      </w:r>
      <w:proofErr w:type="gramEnd"/>
      <w:r w:rsidRPr="00467DB0">
        <w:t xml:space="preserve"> alternativer i </w:t>
      </w:r>
      <w:proofErr w:type="spellStart"/>
      <w:r w:rsidRPr="00467DB0">
        <w:t>medlemsstaterne</w:t>
      </w:r>
      <w:proofErr w:type="spellEnd"/>
      <w:r w:rsidRPr="00467DB0">
        <w:t xml:space="preserve"> til </w:t>
      </w:r>
      <w:proofErr w:type="spellStart"/>
      <w:r w:rsidRPr="00467DB0">
        <w:t>specifikke</w:t>
      </w:r>
      <w:proofErr w:type="spellEnd"/>
      <w:r w:rsidRPr="00467DB0">
        <w:t xml:space="preserve"> teknologier, varer eller tjenester, der er </w:t>
      </w:r>
      <w:r w:rsidRPr="00467DB0">
        <w:t>nødvendige for de aktiviteter, der er omhandlet i stk. 1</w:t>
      </w:r>
    </w:p>
    <w:p w14:paraId="6D331EE9" w14:textId="77777777" w:rsidR="00000000" w:rsidRPr="00467DB0" w:rsidRDefault="00693D67" w:rsidP="00467DB0">
      <w:pPr>
        <w:pStyle w:val="friliste2"/>
      </w:pPr>
      <w:r w:rsidRPr="00467DB0">
        <w:t>b)</w:t>
      </w:r>
      <w:r w:rsidRPr="00467DB0">
        <w:tab/>
        <w:t xml:space="preserve">den </w:t>
      </w:r>
      <w:proofErr w:type="spellStart"/>
      <w:r w:rsidRPr="00467DB0">
        <w:t>retlige</w:t>
      </w:r>
      <w:proofErr w:type="spellEnd"/>
      <w:r w:rsidRPr="00467DB0">
        <w:t xml:space="preserve"> </w:t>
      </w:r>
      <w:proofErr w:type="spellStart"/>
      <w:r w:rsidRPr="00467DB0">
        <w:t>enhed</w:t>
      </w:r>
      <w:proofErr w:type="spellEnd"/>
      <w:r w:rsidRPr="00467DB0">
        <w:t xml:space="preserve"> er </w:t>
      </w:r>
      <w:proofErr w:type="spellStart"/>
      <w:r w:rsidRPr="00467DB0">
        <w:t>etableret</w:t>
      </w:r>
      <w:proofErr w:type="spellEnd"/>
      <w:r w:rsidRPr="00467DB0">
        <w:t xml:space="preserve"> i et EØS-land eller et EFTA-land, der har </w:t>
      </w:r>
      <w:proofErr w:type="spellStart"/>
      <w:r w:rsidRPr="00467DB0">
        <w:t>indgået</w:t>
      </w:r>
      <w:proofErr w:type="spellEnd"/>
      <w:r w:rsidRPr="00467DB0">
        <w:t xml:space="preserve"> en </w:t>
      </w:r>
      <w:proofErr w:type="spellStart"/>
      <w:r w:rsidRPr="00467DB0">
        <w:t>international</w:t>
      </w:r>
      <w:proofErr w:type="spellEnd"/>
      <w:r w:rsidRPr="00467DB0">
        <w:t xml:space="preserve"> </w:t>
      </w:r>
      <w:proofErr w:type="spellStart"/>
      <w:r w:rsidRPr="00467DB0">
        <w:t>aftale</w:t>
      </w:r>
      <w:proofErr w:type="spellEnd"/>
      <w:r w:rsidRPr="00467DB0">
        <w:t xml:space="preserve"> som omhandlet i </w:t>
      </w:r>
      <w:proofErr w:type="spellStart"/>
      <w:r w:rsidRPr="00467DB0">
        <w:t>artikel</w:t>
      </w:r>
      <w:proofErr w:type="spellEnd"/>
      <w:r w:rsidRPr="00467DB0">
        <w:t xml:space="preserve"> 7 med Unionen, og dens ledelsesstrukturer er </w:t>
      </w:r>
      <w:proofErr w:type="spellStart"/>
      <w:r w:rsidRPr="00467DB0">
        <w:t>etableret</w:t>
      </w:r>
      <w:proofErr w:type="spellEnd"/>
      <w:r w:rsidRPr="00467DB0">
        <w:t xml:space="preserve"> i landet, og</w:t>
      </w:r>
      <w:r w:rsidRPr="00467DB0">
        <w:t xml:space="preserve"> </w:t>
      </w:r>
      <w:proofErr w:type="spellStart"/>
      <w:r w:rsidRPr="00467DB0">
        <w:t>aktiviteterne</w:t>
      </w:r>
      <w:proofErr w:type="spellEnd"/>
      <w:r w:rsidRPr="00467DB0">
        <w:t xml:space="preserve"> i forbindelse med </w:t>
      </w:r>
      <w:proofErr w:type="spellStart"/>
      <w:r w:rsidRPr="00467DB0">
        <w:t>udbuddet</w:t>
      </w:r>
      <w:proofErr w:type="spellEnd"/>
      <w:r w:rsidRPr="00467DB0">
        <w:t xml:space="preserve">, tilskuddet eller prisen </w:t>
      </w:r>
      <w:proofErr w:type="spellStart"/>
      <w:r w:rsidRPr="00467DB0">
        <w:t>gennemføres</w:t>
      </w:r>
      <w:proofErr w:type="spellEnd"/>
      <w:r w:rsidRPr="00467DB0">
        <w:t xml:space="preserve"> i dette land eller i et eller flere </w:t>
      </w:r>
      <w:proofErr w:type="spellStart"/>
      <w:r w:rsidRPr="00467DB0">
        <w:t>af</w:t>
      </w:r>
      <w:proofErr w:type="spellEnd"/>
      <w:r w:rsidRPr="00467DB0">
        <w:t xml:space="preserve"> sådanne lande, og</w:t>
      </w:r>
    </w:p>
    <w:p w14:paraId="5D35B785" w14:textId="77777777" w:rsidR="00000000" w:rsidRPr="00467DB0" w:rsidRDefault="00693D67" w:rsidP="00467DB0">
      <w:pPr>
        <w:pStyle w:val="friliste2"/>
      </w:pPr>
      <w:r w:rsidRPr="00467DB0">
        <w:t>c)</w:t>
      </w:r>
      <w:r w:rsidRPr="00467DB0">
        <w:tab/>
        <w:t xml:space="preserve">der </w:t>
      </w:r>
      <w:proofErr w:type="spellStart"/>
      <w:r w:rsidRPr="00467DB0">
        <w:t>gennemføres</w:t>
      </w:r>
      <w:proofErr w:type="spellEnd"/>
      <w:r w:rsidRPr="00467DB0">
        <w:t xml:space="preserve"> </w:t>
      </w:r>
      <w:proofErr w:type="spellStart"/>
      <w:r w:rsidRPr="00467DB0">
        <w:t>tilstrækkelige</w:t>
      </w:r>
      <w:proofErr w:type="spellEnd"/>
      <w:r w:rsidRPr="00467DB0">
        <w:t xml:space="preserve"> foranstaltninger til at sikre beskyttelsen </w:t>
      </w:r>
      <w:proofErr w:type="spellStart"/>
      <w:r w:rsidRPr="00467DB0">
        <w:t>af</w:t>
      </w:r>
      <w:proofErr w:type="spellEnd"/>
      <w:r w:rsidRPr="00467DB0">
        <w:t xml:space="preserve"> EUCI i henhold til </w:t>
      </w:r>
      <w:proofErr w:type="spellStart"/>
      <w:r w:rsidRPr="00467DB0">
        <w:t>artikel</w:t>
      </w:r>
      <w:proofErr w:type="spellEnd"/>
      <w:r w:rsidRPr="00467DB0">
        <w:t xml:space="preserve"> 43 samt til a</w:t>
      </w:r>
      <w:r w:rsidRPr="00467DB0">
        <w:t xml:space="preserve">t sikre </w:t>
      </w:r>
      <w:proofErr w:type="spellStart"/>
      <w:r w:rsidRPr="00467DB0">
        <w:t>programkomponenternes</w:t>
      </w:r>
      <w:proofErr w:type="spellEnd"/>
      <w:r w:rsidRPr="00467DB0">
        <w:t xml:space="preserve"> integritet, </w:t>
      </w:r>
      <w:proofErr w:type="spellStart"/>
      <w:r w:rsidRPr="00467DB0">
        <w:t>sikkerhed</w:t>
      </w:r>
      <w:proofErr w:type="spellEnd"/>
      <w:r w:rsidRPr="00467DB0">
        <w:t xml:space="preserve"> og </w:t>
      </w:r>
      <w:proofErr w:type="spellStart"/>
      <w:r w:rsidRPr="00467DB0">
        <w:t>modstandsdygtighed</w:t>
      </w:r>
      <w:proofErr w:type="spellEnd"/>
      <w:r w:rsidRPr="00467DB0">
        <w:t xml:space="preserve"> og deres drift og deres tjenester.</w:t>
      </w:r>
    </w:p>
    <w:p w14:paraId="70CE524A" w14:textId="77777777" w:rsidR="00000000" w:rsidRPr="00467DB0" w:rsidRDefault="00693D67" w:rsidP="00467DB0">
      <w:pPr>
        <w:pStyle w:val="Listeavsnitt2"/>
      </w:pPr>
      <w:proofErr w:type="spellStart"/>
      <w:r w:rsidRPr="00467DB0">
        <w:t>Uanset</w:t>
      </w:r>
      <w:proofErr w:type="spellEnd"/>
      <w:r w:rsidRPr="00467DB0">
        <w:t xml:space="preserve"> dette stykkes første </w:t>
      </w:r>
      <w:proofErr w:type="spellStart"/>
      <w:r w:rsidRPr="00467DB0">
        <w:t>afsnit</w:t>
      </w:r>
      <w:proofErr w:type="spellEnd"/>
      <w:r w:rsidRPr="00467DB0">
        <w:t xml:space="preserve">, litra b), kan </w:t>
      </w:r>
      <w:proofErr w:type="spellStart"/>
      <w:r w:rsidRPr="00467DB0">
        <w:t>Kommissionen</w:t>
      </w:r>
      <w:proofErr w:type="spellEnd"/>
      <w:r w:rsidRPr="00467DB0">
        <w:t xml:space="preserve"> </w:t>
      </w:r>
      <w:proofErr w:type="spellStart"/>
      <w:r w:rsidRPr="00467DB0">
        <w:t>fravige</w:t>
      </w:r>
      <w:proofErr w:type="spellEnd"/>
      <w:r w:rsidRPr="00467DB0">
        <w:t xml:space="preserve"> </w:t>
      </w:r>
      <w:proofErr w:type="spellStart"/>
      <w:r w:rsidRPr="00467DB0">
        <w:t>betingelserne</w:t>
      </w:r>
      <w:proofErr w:type="spellEnd"/>
      <w:r w:rsidRPr="00467DB0">
        <w:t xml:space="preserve"> i stk. 2, andet </w:t>
      </w:r>
      <w:proofErr w:type="spellStart"/>
      <w:r w:rsidRPr="00467DB0">
        <w:t>afsnit</w:t>
      </w:r>
      <w:proofErr w:type="spellEnd"/>
      <w:r w:rsidRPr="00467DB0">
        <w:t xml:space="preserve">, litra a) og b), for en </w:t>
      </w:r>
      <w:proofErr w:type="spellStart"/>
      <w:r w:rsidRPr="00467DB0">
        <w:t>retlig</w:t>
      </w:r>
      <w:proofErr w:type="spellEnd"/>
      <w:r w:rsidRPr="00467DB0">
        <w:t xml:space="preserve"> </w:t>
      </w:r>
      <w:proofErr w:type="spellStart"/>
      <w:r w:rsidRPr="00467DB0">
        <w:t>enhed</w:t>
      </w:r>
      <w:proofErr w:type="spellEnd"/>
      <w:r w:rsidRPr="00467DB0">
        <w:t>,</w:t>
      </w:r>
      <w:r w:rsidRPr="00467DB0">
        <w:t xml:space="preserve"> der er </w:t>
      </w:r>
      <w:proofErr w:type="spellStart"/>
      <w:r w:rsidRPr="00467DB0">
        <w:t>etableret</w:t>
      </w:r>
      <w:proofErr w:type="spellEnd"/>
      <w:r w:rsidRPr="00467DB0">
        <w:t xml:space="preserve"> i et tredjeland, som ikke er medlem </w:t>
      </w:r>
      <w:proofErr w:type="spellStart"/>
      <w:r w:rsidRPr="00467DB0">
        <w:t>af</w:t>
      </w:r>
      <w:proofErr w:type="spellEnd"/>
      <w:r w:rsidRPr="00467DB0">
        <w:t xml:space="preserve"> EØS eller EFTA, hvis der ikke umiddelbart </w:t>
      </w:r>
      <w:proofErr w:type="spellStart"/>
      <w:r w:rsidRPr="00467DB0">
        <w:t>findes</w:t>
      </w:r>
      <w:proofErr w:type="spellEnd"/>
      <w:r w:rsidRPr="00467DB0">
        <w:t xml:space="preserve"> alternativer i lande, som er medlem </w:t>
      </w:r>
      <w:proofErr w:type="spellStart"/>
      <w:r w:rsidRPr="00467DB0">
        <w:t>af</w:t>
      </w:r>
      <w:proofErr w:type="spellEnd"/>
      <w:r w:rsidRPr="00467DB0">
        <w:t xml:space="preserve"> EØS eller EFTA, og </w:t>
      </w:r>
      <w:proofErr w:type="spellStart"/>
      <w:r w:rsidRPr="00467DB0">
        <w:t>kriterierne</w:t>
      </w:r>
      <w:proofErr w:type="spellEnd"/>
      <w:r w:rsidRPr="00467DB0">
        <w:t xml:space="preserve"> i første </w:t>
      </w:r>
      <w:proofErr w:type="spellStart"/>
      <w:r w:rsidRPr="00467DB0">
        <w:t>afsnit</w:t>
      </w:r>
      <w:proofErr w:type="spellEnd"/>
      <w:r w:rsidRPr="00467DB0">
        <w:t xml:space="preserve">, litra a) og c) er </w:t>
      </w:r>
      <w:proofErr w:type="spellStart"/>
      <w:r w:rsidRPr="00467DB0">
        <w:t>opfyldt</w:t>
      </w:r>
      <w:proofErr w:type="spellEnd"/>
      <w:r w:rsidRPr="00467DB0">
        <w:t>.</w:t>
      </w:r>
    </w:p>
    <w:p w14:paraId="3637CD15"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kan </w:t>
      </w:r>
      <w:proofErr w:type="spellStart"/>
      <w:r w:rsidRPr="00467DB0">
        <w:t>fravige</w:t>
      </w:r>
      <w:proofErr w:type="spellEnd"/>
      <w:r w:rsidRPr="00467DB0">
        <w:t xml:space="preserve"> betingel</w:t>
      </w:r>
      <w:r w:rsidRPr="00467DB0">
        <w:t xml:space="preserve">sen i stk. 2, første </w:t>
      </w:r>
      <w:proofErr w:type="spellStart"/>
      <w:r w:rsidRPr="00467DB0">
        <w:t>afsnit</w:t>
      </w:r>
      <w:proofErr w:type="spellEnd"/>
      <w:r w:rsidRPr="00467DB0">
        <w:t xml:space="preserve">, litra c), hvis den </w:t>
      </w:r>
      <w:proofErr w:type="spellStart"/>
      <w:r w:rsidRPr="00467DB0">
        <w:t>retlige</w:t>
      </w:r>
      <w:proofErr w:type="spellEnd"/>
      <w:r w:rsidRPr="00467DB0">
        <w:t xml:space="preserve"> </w:t>
      </w:r>
      <w:proofErr w:type="spellStart"/>
      <w:r w:rsidRPr="00467DB0">
        <w:t>enhed</w:t>
      </w:r>
      <w:proofErr w:type="spellEnd"/>
      <w:r w:rsidRPr="00467DB0">
        <w:t xml:space="preserve">, der er </w:t>
      </w:r>
      <w:proofErr w:type="spellStart"/>
      <w:r w:rsidRPr="00467DB0">
        <w:t>etableret</w:t>
      </w:r>
      <w:proofErr w:type="spellEnd"/>
      <w:r w:rsidRPr="00467DB0">
        <w:t xml:space="preserve"> i en medlemsstat, </w:t>
      </w:r>
      <w:proofErr w:type="spellStart"/>
      <w:r w:rsidRPr="00467DB0">
        <w:t>giver</w:t>
      </w:r>
      <w:proofErr w:type="spellEnd"/>
      <w:r w:rsidRPr="00467DB0">
        <w:t xml:space="preserve"> følgende garantier:</w:t>
      </w:r>
    </w:p>
    <w:p w14:paraId="15C35D32" w14:textId="77777777" w:rsidR="00000000" w:rsidRPr="00467DB0" w:rsidRDefault="00693D67" w:rsidP="00467DB0">
      <w:pPr>
        <w:pStyle w:val="friliste2"/>
      </w:pPr>
      <w:r w:rsidRPr="00467DB0">
        <w:t>a)</w:t>
      </w:r>
      <w:r w:rsidRPr="00467DB0">
        <w:tab/>
        <w:t xml:space="preserve">kontrollen over den </w:t>
      </w:r>
      <w:proofErr w:type="spellStart"/>
      <w:r w:rsidRPr="00467DB0">
        <w:t>retlige</w:t>
      </w:r>
      <w:proofErr w:type="spellEnd"/>
      <w:r w:rsidRPr="00467DB0">
        <w:t xml:space="preserve"> </w:t>
      </w:r>
      <w:proofErr w:type="spellStart"/>
      <w:r w:rsidRPr="00467DB0">
        <w:t>enhed</w:t>
      </w:r>
      <w:proofErr w:type="spellEnd"/>
      <w:r w:rsidRPr="00467DB0">
        <w:t xml:space="preserve"> udøves ikke på en </w:t>
      </w:r>
      <w:proofErr w:type="spellStart"/>
      <w:r w:rsidRPr="00467DB0">
        <w:t>måde</w:t>
      </w:r>
      <w:proofErr w:type="spellEnd"/>
      <w:r w:rsidRPr="00467DB0">
        <w:t xml:space="preserve">, navnlig </w:t>
      </w:r>
      <w:proofErr w:type="spellStart"/>
      <w:r w:rsidRPr="00467DB0">
        <w:t>gennem</w:t>
      </w:r>
      <w:proofErr w:type="spellEnd"/>
      <w:r w:rsidRPr="00467DB0">
        <w:t xml:space="preserve"> </w:t>
      </w:r>
      <w:proofErr w:type="spellStart"/>
      <w:r w:rsidRPr="00467DB0">
        <w:t>rapporteringsforpligtelser</w:t>
      </w:r>
      <w:proofErr w:type="spellEnd"/>
      <w:r w:rsidRPr="00467DB0">
        <w:t xml:space="preserve">, som </w:t>
      </w:r>
      <w:proofErr w:type="spellStart"/>
      <w:r w:rsidRPr="00467DB0">
        <w:t>begrænser</w:t>
      </w:r>
      <w:proofErr w:type="spellEnd"/>
      <w:r w:rsidRPr="00467DB0">
        <w:t xml:space="preserve"> eller </w:t>
      </w:r>
      <w:proofErr w:type="spellStart"/>
      <w:r w:rsidRPr="00467DB0">
        <w:t>indskræn</w:t>
      </w:r>
      <w:r w:rsidRPr="00467DB0">
        <w:t>ker</w:t>
      </w:r>
      <w:proofErr w:type="spellEnd"/>
      <w:r w:rsidRPr="00467DB0">
        <w:t xml:space="preserve"> dens evne til at </w:t>
      </w:r>
    </w:p>
    <w:p w14:paraId="02DB1458" w14:textId="77777777" w:rsidR="00000000" w:rsidRPr="00467DB0" w:rsidRDefault="00693D67" w:rsidP="00467DB0">
      <w:pPr>
        <w:pStyle w:val="friliste3"/>
      </w:pPr>
      <w:r w:rsidRPr="00467DB0">
        <w:t>i)</w:t>
      </w:r>
      <w:r w:rsidRPr="00467DB0">
        <w:tab/>
      </w:r>
      <w:proofErr w:type="spellStart"/>
      <w:r w:rsidRPr="00467DB0">
        <w:t>gennemføre</w:t>
      </w:r>
      <w:proofErr w:type="spellEnd"/>
      <w:r w:rsidRPr="00467DB0">
        <w:t xml:space="preserve"> </w:t>
      </w:r>
      <w:proofErr w:type="spellStart"/>
      <w:r w:rsidRPr="00467DB0">
        <w:t>udbuddet</w:t>
      </w:r>
      <w:proofErr w:type="spellEnd"/>
      <w:r w:rsidRPr="00467DB0">
        <w:t xml:space="preserve">, tilskuddet eller prisen eller </w:t>
      </w:r>
    </w:p>
    <w:p w14:paraId="29A82AE5" w14:textId="77777777" w:rsidR="00000000" w:rsidRPr="00467DB0" w:rsidRDefault="00693D67" w:rsidP="00467DB0">
      <w:pPr>
        <w:pStyle w:val="friliste3"/>
      </w:pPr>
      <w:r w:rsidRPr="00467DB0">
        <w:t>ii)</w:t>
      </w:r>
      <w:r w:rsidRPr="00467DB0">
        <w:tab/>
        <w:t xml:space="preserve">levere resultater, </w:t>
      </w:r>
    </w:p>
    <w:p w14:paraId="33824C24" w14:textId="77777777" w:rsidR="00000000" w:rsidRPr="00467DB0" w:rsidRDefault="00693D67" w:rsidP="00467DB0">
      <w:pPr>
        <w:pStyle w:val="friliste2"/>
      </w:pPr>
      <w:r w:rsidRPr="00467DB0">
        <w:t>b)</w:t>
      </w:r>
      <w:r w:rsidRPr="00467DB0">
        <w:tab/>
        <w:t xml:space="preserve">det tredjeland eller den </w:t>
      </w:r>
      <w:proofErr w:type="spellStart"/>
      <w:r w:rsidRPr="00467DB0">
        <w:t>enhed</w:t>
      </w:r>
      <w:proofErr w:type="spellEnd"/>
      <w:r w:rsidRPr="00467DB0">
        <w:t xml:space="preserve"> i et tredjeland, der udøver kontrollen, </w:t>
      </w:r>
      <w:proofErr w:type="spellStart"/>
      <w:r w:rsidRPr="00467DB0">
        <w:t>forpligter</w:t>
      </w:r>
      <w:proofErr w:type="spellEnd"/>
      <w:r w:rsidRPr="00467DB0">
        <w:t xml:space="preserve"> sig til at </w:t>
      </w:r>
      <w:proofErr w:type="spellStart"/>
      <w:r w:rsidRPr="00467DB0">
        <w:t>afholde</w:t>
      </w:r>
      <w:proofErr w:type="spellEnd"/>
      <w:r w:rsidRPr="00467DB0">
        <w:t xml:space="preserve"> sig fra at udøve kontrollerende </w:t>
      </w:r>
      <w:proofErr w:type="spellStart"/>
      <w:r w:rsidRPr="00467DB0">
        <w:t>rettigheder</w:t>
      </w:r>
      <w:proofErr w:type="spellEnd"/>
      <w:r w:rsidRPr="00467DB0">
        <w:t xml:space="preserve"> over de</w:t>
      </w:r>
      <w:r w:rsidRPr="00467DB0">
        <w:t xml:space="preserve">n </w:t>
      </w:r>
      <w:proofErr w:type="spellStart"/>
      <w:r w:rsidRPr="00467DB0">
        <w:t>retlige</w:t>
      </w:r>
      <w:proofErr w:type="spellEnd"/>
      <w:r w:rsidRPr="00467DB0">
        <w:t xml:space="preserve"> </w:t>
      </w:r>
      <w:proofErr w:type="spellStart"/>
      <w:r w:rsidRPr="00467DB0">
        <w:t>enhed</w:t>
      </w:r>
      <w:proofErr w:type="spellEnd"/>
      <w:r w:rsidRPr="00467DB0">
        <w:t xml:space="preserve"> eller </w:t>
      </w:r>
      <w:proofErr w:type="spellStart"/>
      <w:r w:rsidRPr="00467DB0">
        <w:t>pålægge</w:t>
      </w:r>
      <w:proofErr w:type="spellEnd"/>
      <w:r w:rsidRPr="00467DB0">
        <w:t xml:space="preserve"> denne </w:t>
      </w:r>
      <w:proofErr w:type="spellStart"/>
      <w:r w:rsidRPr="00467DB0">
        <w:t>rapporteringsforpligtelser</w:t>
      </w:r>
      <w:proofErr w:type="spellEnd"/>
      <w:r w:rsidRPr="00467DB0">
        <w:t xml:space="preserve"> i forbindelse med </w:t>
      </w:r>
      <w:proofErr w:type="spellStart"/>
      <w:r w:rsidRPr="00467DB0">
        <w:t>udbuddet</w:t>
      </w:r>
      <w:proofErr w:type="spellEnd"/>
      <w:r w:rsidRPr="00467DB0">
        <w:t>, tilskuddet eller prisen, og</w:t>
      </w:r>
    </w:p>
    <w:p w14:paraId="28AFCD5B" w14:textId="77777777" w:rsidR="00000000" w:rsidRPr="00467DB0" w:rsidRDefault="00693D67" w:rsidP="00467DB0">
      <w:pPr>
        <w:pStyle w:val="friliste2"/>
      </w:pPr>
      <w:r w:rsidRPr="00467DB0">
        <w:t>c)</w:t>
      </w:r>
      <w:r w:rsidRPr="00467DB0">
        <w:tab/>
        <w:t xml:space="preserve">den </w:t>
      </w:r>
      <w:proofErr w:type="spellStart"/>
      <w:r w:rsidRPr="00467DB0">
        <w:t>retlige</w:t>
      </w:r>
      <w:proofErr w:type="spellEnd"/>
      <w:r w:rsidRPr="00467DB0">
        <w:t xml:space="preserve"> </w:t>
      </w:r>
      <w:proofErr w:type="spellStart"/>
      <w:r w:rsidRPr="00467DB0">
        <w:t>enhed</w:t>
      </w:r>
      <w:proofErr w:type="spellEnd"/>
      <w:r w:rsidRPr="00467DB0">
        <w:t xml:space="preserve"> overholder </w:t>
      </w:r>
      <w:proofErr w:type="spellStart"/>
      <w:r w:rsidRPr="00467DB0">
        <w:t>bestemmelserne</w:t>
      </w:r>
      <w:proofErr w:type="spellEnd"/>
      <w:r w:rsidRPr="00467DB0">
        <w:t xml:space="preserve"> i </w:t>
      </w:r>
      <w:proofErr w:type="spellStart"/>
      <w:r w:rsidRPr="00467DB0">
        <w:t>artikel</w:t>
      </w:r>
      <w:proofErr w:type="spellEnd"/>
      <w:r w:rsidRPr="00467DB0">
        <w:t xml:space="preserve"> 34, stk. 7.</w:t>
      </w:r>
    </w:p>
    <w:p w14:paraId="7B65F273" w14:textId="77777777" w:rsidR="00000000" w:rsidRPr="00467DB0" w:rsidRDefault="00693D67" w:rsidP="00467DB0">
      <w:pPr>
        <w:pStyle w:val="friliste"/>
      </w:pPr>
      <w:r w:rsidRPr="00467DB0">
        <w:t>5.</w:t>
      </w:r>
      <w:r w:rsidRPr="00467DB0">
        <w:tab/>
      </w:r>
      <w:r w:rsidRPr="00467DB0">
        <w:t xml:space="preserve">De kompetente </w:t>
      </w:r>
      <w:proofErr w:type="spellStart"/>
      <w:r w:rsidRPr="00467DB0">
        <w:t>myndigheder</w:t>
      </w:r>
      <w:proofErr w:type="spellEnd"/>
      <w:r w:rsidRPr="00467DB0">
        <w:t xml:space="preserve"> i den medlemsstat, hvor den </w:t>
      </w:r>
      <w:proofErr w:type="spellStart"/>
      <w:r w:rsidRPr="00467DB0">
        <w:t>retlige</w:t>
      </w:r>
      <w:proofErr w:type="spellEnd"/>
      <w:r w:rsidRPr="00467DB0">
        <w:t xml:space="preserve"> </w:t>
      </w:r>
      <w:proofErr w:type="spellStart"/>
      <w:r w:rsidRPr="00467DB0">
        <w:t>enhed</w:t>
      </w:r>
      <w:proofErr w:type="spellEnd"/>
      <w:r w:rsidRPr="00467DB0">
        <w:t xml:space="preserve"> er </w:t>
      </w:r>
      <w:proofErr w:type="spellStart"/>
      <w:r w:rsidRPr="00467DB0">
        <w:t>etableret</w:t>
      </w:r>
      <w:proofErr w:type="spellEnd"/>
      <w:r w:rsidRPr="00467DB0">
        <w:t xml:space="preserve">, vurderer, om den </w:t>
      </w:r>
      <w:proofErr w:type="spellStart"/>
      <w:r w:rsidRPr="00467DB0">
        <w:t>retlige</w:t>
      </w:r>
      <w:proofErr w:type="spellEnd"/>
      <w:r w:rsidRPr="00467DB0">
        <w:t xml:space="preserve"> </w:t>
      </w:r>
      <w:proofErr w:type="spellStart"/>
      <w:r w:rsidRPr="00467DB0">
        <w:t>enhed</w:t>
      </w:r>
      <w:proofErr w:type="spellEnd"/>
      <w:r w:rsidRPr="00467DB0">
        <w:t xml:space="preserve"> overholder de kriterier, der er omhandlet i denne </w:t>
      </w:r>
      <w:proofErr w:type="spellStart"/>
      <w:r w:rsidRPr="00467DB0">
        <w:t>artikels</w:t>
      </w:r>
      <w:proofErr w:type="spellEnd"/>
      <w:r w:rsidRPr="00467DB0">
        <w:t xml:space="preserve"> stk. 3, litra c), og de garantier, der er omhandlet i stk. 4. </w:t>
      </w:r>
      <w:proofErr w:type="spellStart"/>
      <w:r w:rsidRPr="00467DB0">
        <w:t>Kommissionen</w:t>
      </w:r>
      <w:proofErr w:type="spellEnd"/>
      <w:r w:rsidRPr="00467DB0">
        <w:t xml:space="preserve"> tilslutte</w:t>
      </w:r>
      <w:r w:rsidRPr="00467DB0">
        <w:t>r sig denne vurdering.</w:t>
      </w:r>
    </w:p>
    <w:p w14:paraId="1113102E" w14:textId="77777777" w:rsidR="00000000" w:rsidRPr="00467DB0" w:rsidRDefault="00693D67" w:rsidP="00467DB0">
      <w:pPr>
        <w:pStyle w:val="friliste"/>
      </w:pPr>
      <w:r w:rsidRPr="00467DB0">
        <w:t>6.</w:t>
      </w:r>
      <w:r w:rsidRPr="00467DB0">
        <w:tab/>
      </w:r>
      <w:proofErr w:type="spellStart"/>
      <w:r w:rsidRPr="00467DB0">
        <w:t>Kommissionen</w:t>
      </w:r>
      <w:proofErr w:type="spellEnd"/>
      <w:r w:rsidRPr="00467DB0">
        <w:t xml:space="preserve"> </w:t>
      </w:r>
      <w:proofErr w:type="spellStart"/>
      <w:r w:rsidRPr="00467DB0">
        <w:t>forelægger</w:t>
      </w:r>
      <w:proofErr w:type="spellEnd"/>
      <w:r w:rsidRPr="00467DB0">
        <w:t xml:space="preserve"> følgende for det </w:t>
      </w:r>
      <w:proofErr w:type="spellStart"/>
      <w:r w:rsidRPr="00467DB0">
        <w:t>programudvalg</w:t>
      </w:r>
      <w:proofErr w:type="spellEnd"/>
      <w:r w:rsidRPr="00467DB0">
        <w:t xml:space="preserve">, der er omhandlet i </w:t>
      </w:r>
      <w:proofErr w:type="spellStart"/>
      <w:r w:rsidRPr="00467DB0">
        <w:t>artikel</w:t>
      </w:r>
      <w:proofErr w:type="spellEnd"/>
      <w:r w:rsidRPr="00467DB0">
        <w:t xml:space="preserve"> 107, stk. 1, litra e):</w:t>
      </w:r>
    </w:p>
    <w:p w14:paraId="2360657E" w14:textId="77777777" w:rsidR="00000000" w:rsidRPr="00467DB0" w:rsidRDefault="00693D67" w:rsidP="00467DB0">
      <w:pPr>
        <w:pStyle w:val="friliste2"/>
      </w:pPr>
      <w:r w:rsidRPr="00467DB0">
        <w:t>a)</w:t>
      </w:r>
      <w:r w:rsidRPr="00467DB0">
        <w:tab/>
        <w:t xml:space="preserve">anvendelsesområdet for </w:t>
      </w:r>
      <w:proofErr w:type="spellStart"/>
      <w:r w:rsidRPr="00467DB0">
        <w:t>betingelserne</w:t>
      </w:r>
      <w:proofErr w:type="spellEnd"/>
      <w:r w:rsidRPr="00467DB0">
        <w:t xml:space="preserve"> for støtteberettigelse og deltagelse som omhandlet i denne </w:t>
      </w:r>
      <w:proofErr w:type="spellStart"/>
      <w:r w:rsidRPr="00467DB0">
        <w:t>artikels</w:t>
      </w:r>
      <w:proofErr w:type="spellEnd"/>
      <w:r w:rsidRPr="00467DB0">
        <w:t xml:space="preserve"> stk. 1</w:t>
      </w:r>
    </w:p>
    <w:p w14:paraId="44224FC4" w14:textId="77777777" w:rsidR="00000000" w:rsidRPr="00467DB0" w:rsidRDefault="00693D67" w:rsidP="00467DB0">
      <w:pPr>
        <w:pStyle w:val="friliste2"/>
      </w:pPr>
      <w:r w:rsidRPr="00467DB0">
        <w:t>b)</w:t>
      </w:r>
      <w:r w:rsidRPr="00467DB0">
        <w:tab/>
        <w:t>nærmer</w:t>
      </w:r>
      <w:r w:rsidRPr="00467DB0">
        <w:t xml:space="preserve">e </w:t>
      </w:r>
      <w:proofErr w:type="spellStart"/>
      <w:r w:rsidRPr="00467DB0">
        <w:t>oplysninger</w:t>
      </w:r>
      <w:proofErr w:type="spellEnd"/>
      <w:r w:rsidRPr="00467DB0">
        <w:t xml:space="preserve"> om og </w:t>
      </w:r>
      <w:proofErr w:type="spellStart"/>
      <w:r w:rsidRPr="00467DB0">
        <w:t>begrundelser</w:t>
      </w:r>
      <w:proofErr w:type="spellEnd"/>
      <w:r w:rsidRPr="00467DB0">
        <w:t xml:space="preserve"> for de </w:t>
      </w:r>
      <w:proofErr w:type="spellStart"/>
      <w:r w:rsidRPr="00467DB0">
        <w:t>undtagelser</w:t>
      </w:r>
      <w:proofErr w:type="spellEnd"/>
      <w:r w:rsidRPr="00467DB0">
        <w:t xml:space="preserve">, der er </w:t>
      </w:r>
      <w:proofErr w:type="spellStart"/>
      <w:r w:rsidRPr="00467DB0">
        <w:t>givet</w:t>
      </w:r>
      <w:proofErr w:type="spellEnd"/>
      <w:r w:rsidRPr="00467DB0">
        <w:t xml:space="preserve"> i overensstemmelse med denne </w:t>
      </w:r>
      <w:proofErr w:type="spellStart"/>
      <w:r w:rsidRPr="00467DB0">
        <w:t>artikel</w:t>
      </w:r>
      <w:proofErr w:type="spellEnd"/>
      <w:r w:rsidRPr="00467DB0">
        <w:t>, og</w:t>
      </w:r>
    </w:p>
    <w:p w14:paraId="735AE67F" w14:textId="77777777" w:rsidR="00000000" w:rsidRPr="00467DB0" w:rsidRDefault="00693D67" w:rsidP="00467DB0">
      <w:pPr>
        <w:pStyle w:val="friliste2"/>
      </w:pPr>
      <w:r w:rsidRPr="00467DB0">
        <w:t>c)</w:t>
      </w:r>
      <w:r w:rsidRPr="00467DB0">
        <w:tab/>
        <w:t xml:space="preserve">den evaluering, der danner </w:t>
      </w:r>
      <w:proofErr w:type="spellStart"/>
      <w:r w:rsidRPr="00467DB0">
        <w:t>grundlag</w:t>
      </w:r>
      <w:proofErr w:type="spellEnd"/>
      <w:r w:rsidRPr="00467DB0">
        <w:t xml:space="preserve"> for en </w:t>
      </w:r>
      <w:proofErr w:type="spellStart"/>
      <w:r w:rsidRPr="00467DB0">
        <w:t>undtagelse</w:t>
      </w:r>
      <w:proofErr w:type="spellEnd"/>
      <w:r w:rsidRPr="00467DB0">
        <w:t xml:space="preserve">, jf. dog denne </w:t>
      </w:r>
      <w:proofErr w:type="spellStart"/>
      <w:r w:rsidRPr="00467DB0">
        <w:t>artikels</w:t>
      </w:r>
      <w:proofErr w:type="spellEnd"/>
      <w:r w:rsidRPr="00467DB0">
        <w:t xml:space="preserve"> stk. 3 og 4, </w:t>
      </w:r>
      <w:proofErr w:type="spellStart"/>
      <w:r w:rsidRPr="00467DB0">
        <w:t>uden</w:t>
      </w:r>
      <w:proofErr w:type="spellEnd"/>
      <w:r w:rsidRPr="00467DB0">
        <w:t xml:space="preserve"> at </w:t>
      </w:r>
      <w:proofErr w:type="spellStart"/>
      <w:r w:rsidRPr="00467DB0">
        <w:t>videregive</w:t>
      </w:r>
      <w:proofErr w:type="spellEnd"/>
      <w:r w:rsidRPr="00467DB0">
        <w:t xml:space="preserve"> </w:t>
      </w:r>
      <w:proofErr w:type="spellStart"/>
      <w:r w:rsidRPr="00467DB0">
        <w:t>kommercielt</w:t>
      </w:r>
      <w:proofErr w:type="spellEnd"/>
      <w:r w:rsidRPr="00467DB0">
        <w:t xml:space="preserve"> følsomme </w:t>
      </w:r>
      <w:proofErr w:type="spellStart"/>
      <w:r w:rsidRPr="00467DB0">
        <w:t>oplysninger</w:t>
      </w:r>
      <w:proofErr w:type="spellEnd"/>
      <w:r w:rsidRPr="00467DB0">
        <w:t>.</w:t>
      </w:r>
    </w:p>
    <w:p w14:paraId="01497D3E" w14:textId="77777777" w:rsidR="00000000" w:rsidRPr="00467DB0" w:rsidRDefault="00693D67" w:rsidP="00467DB0">
      <w:pPr>
        <w:pStyle w:val="friliste"/>
      </w:pPr>
      <w:r w:rsidRPr="00467DB0">
        <w:t>7.</w:t>
      </w:r>
      <w:r w:rsidRPr="00467DB0">
        <w:tab/>
        <w:t xml:space="preserve">De betingelser, der er </w:t>
      </w:r>
      <w:proofErr w:type="spellStart"/>
      <w:r w:rsidRPr="00467DB0">
        <w:t>fastsat</w:t>
      </w:r>
      <w:proofErr w:type="spellEnd"/>
      <w:r w:rsidRPr="00467DB0">
        <w:t xml:space="preserve"> i denne </w:t>
      </w:r>
      <w:proofErr w:type="spellStart"/>
      <w:r w:rsidRPr="00467DB0">
        <w:t>artikels</w:t>
      </w:r>
      <w:proofErr w:type="spellEnd"/>
      <w:r w:rsidRPr="00467DB0">
        <w:t xml:space="preserve"> stk. 2, 3 og 4, </w:t>
      </w:r>
      <w:proofErr w:type="spellStart"/>
      <w:r w:rsidRPr="00467DB0">
        <w:t>angives</w:t>
      </w:r>
      <w:proofErr w:type="spellEnd"/>
      <w:r w:rsidRPr="00467DB0">
        <w:t xml:space="preserve"> i </w:t>
      </w:r>
      <w:proofErr w:type="spellStart"/>
      <w:r w:rsidRPr="00467DB0">
        <w:t>dokumentationen</w:t>
      </w:r>
      <w:proofErr w:type="spellEnd"/>
      <w:r w:rsidRPr="00467DB0">
        <w:t xml:space="preserve"> </w:t>
      </w:r>
      <w:proofErr w:type="gramStart"/>
      <w:r w:rsidRPr="00467DB0">
        <w:t>vedrørende</w:t>
      </w:r>
      <w:proofErr w:type="gramEnd"/>
      <w:r w:rsidRPr="00467DB0">
        <w:t xml:space="preserve"> </w:t>
      </w:r>
      <w:proofErr w:type="spellStart"/>
      <w:r w:rsidRPr="00467DB0">
        <w:t>udbuddet</w:t>
      </w:r>
      <w:proofErr w:type="spellEnd"/>
      <w:r w:rsidRPr="00467DB0">
        <w:t xml:space="preserve">, tilskuddet eller prisen, alt efter </w:t>
      </w:r>
      <w:proofErr w:type="spellStart"/>
      <w:r w:rsidRPr="00467DB0">
        <w:t>hvad</w:t>
      </w:r>
      <w:proofErr w:type="spellEnd"/>
      <w:r w:rsidRPr="00467DB0">
        <w:t xml:space="preserve"> der er relevant. I forbindelse med </w:t>
      </w:r>
      <w:proofErr w:type="spellStart"/>
      <w:r w:rsidRPr="00467DB0">
        <w:t>udbud</w:t>
      </w:r>
      <w:proofErr w:type="spellEnd"/>
      <w:r w:rsidRPr="00467DB0">
        <w:t xml:space="preserve"> </w:t>
      </w:r>
      <w:proofErr w:type="spellStart"/>
      <w:r w:rsidRPr="00467DB0">
        <w:t>gælder</w:t>
      </w:r>
      <w:proofErr w:type="spellEnd"/>
      <w:r w:rsidRPr="00467DB0">
        <w:t xml:space="preserve"> </w:t>
      </w:r>
      <w:proofErr w:type="spellStart"/>
      <w:r w:rsidRPr="00467DB0">
        <w:t>betingelserne</w:t>
      </w:r>
      <w:proofErr w:type="spellEnd"/>
      <w:r w:rsidRPr="00467DB0">
        <w:t xml:space="preserve"> for hele </w:t>
      </w:r>
      <w:proofErr w:type="spellStart"/>
      <w:r w:rsidRPr="00467DB0">
        <w:t>løbetiden</w:t>
      </w:r>
      <w:proofErr w:type="spellEnd"/>
      <w:r w:rsidRPr="00467DB0">
        <w:t xml:space="preserve"> </w:t>
      </w:r>
      <w:proofErr w:type="spellStart"/>
      <w:r w:rsidRPr="00467DB0">
        <w:t>af</w:t>
      </w:r>
      <w:proofErr w:type="spellEnd"/>
      <w:r w:rsidRPr="00467DB0">
        <w:t xml:space="preserve"> den </w:t>
      </w:r>
      <w:proofErr w:type="spellStart"/>
      <w:r w:rsidRPr="00467DB0">
        <w:t>efterfølgende</w:t>
      </w:r>
      <w:proofErr w:type="spellEnd"/>
      <w:r w:rsidRPr="00467DB0">
        <w:t xml:space="preserve"> ko</w:t>
      </w:r>
      <w:r w:rsidRPr="00467DB0">
        <w:t>ntrakt.</w:t>
      </w:r>
    </w:p>
    <w:p w14:paraId="7B566499" w14:textId="77777777" w:rsidR="00000000" w:rsidRPr="00467DB0" w:rsidRDefault="00693D67" w:rsidP="00467DB0">
      <w:pPr>
        <w:pStyle w:val="friliste"/>
      </w:pPr>
      <w:r w:rsidRPr="00467DB0">
        <w:lastRenderedPageBreak/>
        <w:t>8.</w:t>
      </w:r>
      <w:r w:rsidRPr="00467DB0">
        <w:tab/>
        <w:t xml:space="preserve">Denne </w:t>
      </w:r>
      <w:proofErr w:type="spellStart"/>
      <w:r w:rsidRPr="00467DB0">
        <w:t>artikel</w:t>
      </w:r>
      <w:proofErr w:type="spellEnd"/>
      <w:r w:rsidRPr="00467DB0">
        <w:t xml:space="preserve"> berører ikke </w:t>
      </w:r>
      <w:proofErr w:type="spellStart"/>
      <w:r w:rsidRPr="00467DB0">
        <w:t>afgørelse</w:t>
      </w:r>
      <w:proofErr w:type="spellEnd"/>
      <w:r w:rsidRPr="00467DB0">
        <w:t xml:space="preserve"> nr. 1104/2011/EU og </w:t>
      </w:r>
      <w:proofErr w:type="spellStart"/>
      <w:r w:rsidRPr="00467DB0">
        <w:t>Kommissionens</w:t>
      </w:r>
      <w:proofErr w:type="spellEnd"/>
      <w:r w:rsidRPr="00467DB0">
        <w:t xml:space="preserve"> </w:t>
      </w:r>
      <w:proofErr w:type="spellStart"/>
      <w:r w:rsidRPr="00467DB0">
        <w:t>delegerede</w:t>
      </w:r>
      <w:proofErr w:type="spellEnd"/>
      <w:r w:rsidRPr="00467DB0">
        <w:t xml:space="preserve"> </w:t>
      </w:r>
      <w:proofErr w:type="spellStart"/>
      <w:r w:rsidRPr="00467DB0">
        <w:t>afgørelse</w:t>
      </w:r>
      <w:proofErr w:type="spellEnd"/>
      <w:r w:rsidRPr="00467DB0">
        <w:t xml:space="preserve"> </w:t>
      </w:r>
      <w:proofErr w:type="spellStart"/>
      <w:r w:rsidRPr="00467DB0">
        <w:t>af</w:t>
      </w:r>
      <w:proofErr w:type="spellEnd"/>
      <w:r w:rsidRPr="00467DB0">
        <w:t xml:space="preserve"> 15.9.2015</w:t>
      </w:r>
      <w:r w:rsidRPr="00467DB0">
        <w:rPr>
          <w:rStyle w:val="Fotnotereferanse"/>
        </w:rPr>
        <w:footnoteReference w:id="48"/>
      </w:r>
      <w:r w:rsidRPr="00467DB0">
        <w:t xml:space="preserve">, forordning (EU) 2019/452, </w:t>
      </w:r>
      <w:proofErr w:type="spellStart"/>
      <w:r w:rsidRPr="00467DB0">
        <w:t>afgørelse</w:t>
      </w:r>
      <w:proofErr w:type="spellEnd"/>
      <w:r w:rsidRPr="00467DB0">
        <w:t xml:space="preserve"> 2013/488/EU og </w:t>
      </w:r>
      <w:proofErr w:type="spellStart"/>
      <w:r w:rsidRPr="00467DB0">
        <w:t>Kommissionens</w:t>
      </w:r>
      <w:proofErr w:type="spellEnd"/>
      <w:r w:rsidRPr="00467DB0">
        <w:t xml:space="preserve"> </w:t>
      </w:r>
      <w:proofErr w:type="spellStart"/>
      <w:r w:rsidRPr="00467DB0">
        <w:t>afgørelse</w:t>
      </w:r>
      <w:proofErr w:type="spellEnd"/>
      <w:r w:rsidRPr="00467DB0">
        <w:t xml:space="preserve"> 2015/444 og heller ikke den </w:t>
      </w:r>
      <w:proofErr w:type="spellStart"/>
      <w:r w:rsidRPr="00467DB0">
        <w:t>sikkerhedsundersøgelse</w:t>
      </w:r>
      <w:proofErr w:type="spellEnd"/>
      <w:r w:rsidRPr="00467DB0">
        <w:t>, d</w:t>
      </w:r>
      <w:r w:rsidRPr="00467DB0">
        <w:t xml:space="preserve">er foretages </w:t>
      </w:r>
      <w:proofErr w:type="spellStart"/>
      <w:r w:rsidRPr="00467DB0">
        <w:t>af</w:t>
      </w:r>
      <w:proofErr w:type="spellEnd"/>
      <w:r w:rsidRPr="00467DB0">
        <w:t xml:space="preserve"> </w:t>
      </w:r>
      <w:proofErr w:type="spellStart"/>
      <w:r w:rsidRPr="00467DB0">
        <w:t>medlemsstaterne</w:t>
      </w:r>
      <w:proofErr w:type="spellEnd"/>
      <w:r w:rsidRPr="00467DB0">
        <w:t xml:space="preserve"> for så vidt angår de </w:t>
      </w:r>
      <w:proofErr w:type="spellStart"/>
      <w:r w:rsidRPr="00467DB0">
        <w:t>retlige</w:t>
      </w:r>
      <w:proofErr w:type="spellEnd"/>
      <w:r w:rsidRPr="00467DB0">
        <w:t xml:space="preserve"> </w:t>
      </w:r>
      <w:proofErr w:type="spellStart"/>
      <w:r w:rsidRPr="00467DB0">
        <w:t>enheder</w:t>
      </w:r>
      <w:proofErr w:type="spellEnd"/>
      <w:r w:rsidRPr="00467DB0">
        <w:t xml:space="preserve">, der er </w:t>
      </w:r>
      <w:proofErr w:type="spellStart"/>
      <w:r w:rsidRPr="00467DB0">
        <w:t>involveret</w:t>
      </w:r>
      <w:proofErr w:type="spellEnd"/>
      <w:r w:rsidRPr="00467DB0">
        <w:t xml:space="preserve"> i aktiviteter, som </w:t>
      </w:r>
      <w:proofErr w:type="spellStart"/>
      <w:r w:rsidRPr="00467DB0">
        <w:t>kræver</w:t>
      </w:r>
      <w:proofErr w:type="spellEnd"/>
      <w:r w:rsidRPr="00467DB0">
        <w:t xml:space="preserve"> adgang til EUCI i henhold til </w:t>
      </w:r>
      <w:proofErr w:type="spellStart"/>
      <w:r w:rsidRPr="00467DB0">
        <w:t>gældende</w:t>
      </w:r>
      <w:proofErr w:type="spellEnd"/>
      <w:r w:rsidRPr="00467DB0">
        <w:t xml:space="preserve"> </w:t>
      </w:r>
      <w:proofErr w:type="spellStart"/>
      <w:r w:rsidRPr="00467DB0">
        <w:t>nationale</w:t>
      </w:r>
      <w:proofErr w:type="spellEnd"/>
      <w:r w:rsidRPr="00467DB0">
        <w:t xml:space="preserve"> love og bestemmelser. </w:t>
      </w:r>
    </w:p>
    <w:p w14:paraId="3C5E40D0" w14:textId="77777777" w:rsidR="00000000" w:rsidRPr="00467DB0" w:rsidRDefault="00693D67" w:rsidP="00467DB0">
      <w:pPr>
        <w:pStyle w:val="Listeavsnitt"/>
      </w:pPr>
      <w:r w:rsidRPr="00467DB0">
        <w:t xml:space="preserve">Hvis kontrakter, der </w:t>
      </w:r>
      <w:proofErr w:type="spellStart"/>
      <w:r w:rsidRPr="00467DB0">
        <w:t>hidrører</w:t>
      </w:r>
      <w:proofErr w:type="spellEnd"/>
      <w:r w:rsidRPr="00467DB0">
        <w:t xml:space="preserve"> fra </w:t>
      </w:r>
      <w:proofErr w:type="gramStart"/>
      <w:r w:rsidRPr="00467DB0">
        <w:t>anvendelsen</w:t>
      </w:r>
      <w:proofErr w:type="gramEnd"/>
      <w:r w:rsidRPr="00467DB0">
        <w:t xml:space="preserve"> </w:t>
      </w:r>
      <w:proofErr w:type="spellStart"/>
      <w:r w:rsidRPr="00467DB0">
        <w:t>af</w:t>
      </w:r>
      <w:proofErr w:type="spellEnd"/>
      <w:r w:rsidRPr="00467DB0">
        <w:t xml:space="preserve"> denne </w:t>
      </w:r>
      <w:proofErr w:type="spellStart"/>
      <w:r w:rsidRPr="00467DB0">
        <w:t>artikel</w:t>
      </w:r>
      <w:proofErr w:type="spellEnd"/>
      <w:r w:rsidRPr="00467DB0">
        <w:t xml:space="preserve">, </w:t>
      </w:r>
      <w:proofErr w:type="spellStart"/>
      <w:r w:rsidRPr="00467DB0">
        <w:t>klas</w:t>
      </w:r>
      <w:r w:rsidRPr="00467DB0">
        <w:t>sificeres</w:t>
      </w:r>
      <w:proofErr w:type="spellEnd"/>
      <w:r w:rsidRPr="00467DB0">
        <w:t xml:space="preserve">, må de betingelser for støtteberettigelse og deltagelse, der anvendes </w:t>
      </w:r>
      <w:proofErr w:type="spellStart"/>
      <w:r w:rsidRPr="00467DB0">
        <w:t>af</w:t>
      </w:r>
      <w:proofErr w:type="spellEnd"/>
      <w:r w:rsidRPr="00467DB0">
        <w:t xml:space="preserve"> </w:t>
      </w:r>
      <w:proofErr w:type="spellStart"/>
      <w:r w:rsidRPr="00467DB0">
        <w:t>Kommissionen</w:t>
      </w:r>
      <w:proofErr w:type="spellEnd"/>
      <w:r w:rsidRPr="00467DB0">
        <w:t xml:space="preserve"> i overensstemmelse med stk. 1, ikke berøre de </w:t>
      </w:r>
      <w:proofErr w:type="spellStart"/>
      <w:r w:rsidRPr="00467DB0">
        <w:t>nationale</w:t>
      </w:r>
      <w:proofErr w:type="spellEnd"/>
      <w:r w:rsidRPr="00467DB0">
        <w:t xml:space="preserve"> </w:t>
      </w:r>
      <w:proofErr w:type="spellStart"/>
      <w:r w:rsidRPr="00467DB0">
        <w:t>sikkerhedsmyndigheders</w:t>
      </w:r>
      <w:proofErr w:type="spellEnd"/>
      <w:r w:rsidRPr="00467DB0">
        <w:t xml:space="preserve"> </w:t>
      </w:r>
      <w:proofErr w:type="spellStart"/>
      <w:r w:rsidRPr="00467DB0">
        <w:t>kompetence</w:t>
      </w:r>
      <w:proofErr w:type="spellEnd"/>
      <w:r w:rsidRPr="00467DB0">
        <w:t xml:space="preserve">. </w:t>
      </w:r>
    </w:p>
    <w:p w14:paraId="06E93AEA" w14:textId="77777777" w:rsidR="00000000" w:rsidRPr="00467DB0" w:rsidRDefault="00693D67" w:rsidP="00467DB0">
      <w:pPr>
        <w:pStyle w:val="Listeavsnitt"/>
      </w:pPr>
      <w:r w:rsidRPr="00467DB0">
        <w:t xml:space="preserve">Denne </w:t>
      </w:r>
      <w:proofErr w:type="spellStart"/>
      <w:r w:rsidRPr="00467DB0">
        <w:t>artikel</w:t>
      </w:r>
      <w:proofErr w:type="spellEnd"/>
      <w:r w:rsidRPr="00467DB0">
        <w:t xml:space="preserve"> må ikke påvirke, </w:t>
      </w:r>
      <w:proofErr w:type="spellStart"/>
      <w:r w:rsidRPr="00467DB0">
        <w:t>ændre</w:t>
      </w:r>
      <w:proofErr w:type="spellEnd"/>
      <w:r w:rsidRPr="00467DB0">
        <w:t xml:space="preserve"> eller være i strid med eventu</w:t>
      </w:r>
      <w:r w:rsidRPr="00467DB0">
        <w:t xml:space="preserve">elle eksisterende </w:t>
      </w:r>
      <w:proofErr w:type="spellStart"/>
      <w:r w:rsidRPr="00467DB0">
        <w:t>procedurer</w:t>
      </w:r>
      <w:proofErr w:type="spellEnd"/>
      <w:r w:rsidRPr="00467DB0">
        <w:t xml:space="preserve"> for </w:t>
      </w:r>
      <w:proofErr w:type="spellStart"/>
      <w:r w:rsidRPr="00467DB0">
        <w:t>sikkerhedsgodkendelse</w:t>
      </w:r>
      <w:proofErr w:type="spellEnd"/>
      <w:r w:rsidRPr="00467DB0">
        <w:t xml:space="preserve"> </w:t>
      </w:r>
      <w:proofErr w:type="spellStart"/>
      <w:r w:rsidRPr="00467DB0">
        <w:t>af</w:t>
      </w:r>
      <w:proofErr w:type="spellEnd"/>
      <w:r w:rsidRPr="00467DB0">
        <w:t xml:space="preserve"> </w:t>
      </w:r>
      <w:proofErr w:type="spellStart"/>
      <w:r w:rsidRPr="00467DB0">
        <w:t>faciliteter</w:t>
      </w:r>
      <w:proofErr w:type="spellEnd"/>
      <w:r w:rsidRPr="00467DB0">
        <w:t xml:space="preserve"> og </w:t>
      </w:r>
      <w:proofErr w:type="spellStart"/>
      <w:r w:rsidRPr="00467DB0">
        <w:t>sikkerhedsgodkendelse</w:t>
      </w:r>
      <w:proofErr w:type="spellEnd"/>
      <w:r w:rsidRPr="00467DB0">
        <w:t xml:space="preserve"> </w:t>
      </w:r>
      <w:proofErr w:type="spellStart"/>
      <w:r w:rsidRPr="00467DB0">
        <w:t>af</w:t>
      </w:r>
      <w:proofErr w:type="spellEnd"/>
      <w:r w:rsidRPr="00467DB0">
        <w:t xml:space="preserve"> </w:t>
      </w:r>
      <w:proofErr w:type="spellStart"/>
      <w:r w:rsidRPr="00467DB0">
        <w:t>personel</w:t>
      </w:r>
      <w:proofErr w:type="spellEnd"/>
      <w:r w:rsidRPr="00467DB0">
        <w:t xml:space="preserve"> i en medlemsstat.</w:t>
      </w:r>
    </w:p>
    <w:p w14:paraId="3C85E432" w14:textId="77777777" w:rsidR="00000000" w:rsidRPr="00467DB0" w:rsidRDefault="00693D67" w:rsidP="00467DB0">
      <w:pPr>
        <w:pStyle w:val="avsnitt-undertittel"/>
      </w:pPr>
      <w:proofErr w:type="spellStart"/>
      <w:r w:rsidRPr="00467DB0">
        <w:t>Artikel</w:t>
      </w:r>
      <w:proofErr w:type="spellEnd"/>
      <w:r w:rsidRPr="00467DB0">
        <w:t> 25</w:t>
      </w:r>
    </w:p>
    <w:p w14:paraId="77902D0D" w14:textId="77777777" w:rsidR="00000000" w:rsidRPr="00467DB0" w:rsidRDefault="00693D67" w:rsidP="00467DB0">
      <w:pPr>
        <w:pStyle w:val="Undertittel"/>
      </w:pPr>
      <w:r w:rsidRPr="00467DB0">
        <w:t xml:space="preserve">Beskyttelse </w:t>
      </w:r>
      <w:proofErr w:type="spellStart"/>
      <w:r w:rsidRPr="00467DB0">
        <w:t>af</w:t>
      </w:r>
      <w:proofErr w:type="spellEnd"/>
      <w:r w:rsidRPr="00467DB0">
        <w:t xml:space="preserve"> Unionens finansielle interesser.</w:t>
      </w:r>
    </w:p>
    <w:p w14:paraId="711D3239" w14:textId="77777777" w:rsidR="00000000" w:rsidRPr="00467DB0" w:rsidRDefault="00693D67" w:rsidP="00467DB0">
      <w:r w:rsidRPr="00467DB0">
        <w:t xml:space="preserve">Hvor et tredjeland deltager i programmet i kraft </w:t>
      </w:r>
      <w:proofErr w:type="spellStart"/>
      <w:r w:rsidRPr="00467DB0">
        <w:t>af</w:t>
      </w:r>
      <w:proofErr w:type="spellEnd"/>
      <w:r w:rsidRPr="00467DB0">
        <w:t xml:space="preserve"> en </w:t>
      </w:r>
      <w:proofErr w:type="spellStart"/>
      <w:r w:rsidRPr="00467DB0">
        <w:t>afgørelse</w:t>
      </w:r>
      <w:proofErr w:type="spellEnd"/>
      <w:r w:rsidRPr="00467DB0">
        <w:t>, der er</w:t>
      </w:r>
      <w:r w:rsidRPr="00467DB0">
        <w:t xml:space="preserve"> </w:t>
      </w:r>
      <w:proofErr w:type="spellStart"/>
      <w:r w:rsidRPr="00467DB0">
        <w:t>vedtaget</w:t>
      </w:r>
      <w:proofErr w:type="spellEnd"/>
      <w:r w:rsidRPr="00467DB0">
        <w:t xml:space="preserve"> i henhold til en </w:t>
      </w:r>
      <w:proofErr w:type="spellStart"/>
      <w:r w:rsidRPr="00467DB0">
        <w:t>international</w:t>
      </w:r>
      <w:proofErr w:type="spellEnd"/>
      <w:r w:rsidRPr="00467DB0">
        <w:t xml:space="preserve"> </w:t>
      </w:r>
      <w:proofErr w:type="spellStart"/>
      <w:r w:rsidRPr="00467DB0">
        <w:t>aftale</w:t>
      </w:r>
      <w:proofErr w:type="spellEnd"/>
      <w:r w:rsidRPr="00467DB0">
        <w:t xml:space="preserve">, eller på </w:t>
      </w:r>
      <w:proofErr w:type="spellStart"/>
      <w:r w:rsidRPr="00467DB0">
        <w:t>grundlag</w:t>
      </w:r>
      <w:proofErr w:type="spellEnd"/>
      <w:r w:rsidRPr="00467DB0">
        <w:t xml:space="preserve"> </w:t>
      </w:r>
      <w:proofErr w:type="spellStart"/>
      <w:r w:rsidRPr="00467DB0">
        <w:t>af</w:t>
      </w:r>
      <w:proofErr w:type="spellEnd"/>
      <w:r w:rsidRPr="00467DB0">
        <w:t xml:space="preserve"> ethvert andet </w:t>
      </w:r>
      <w:proofErr w:type="spellStart"/>
      <w:r w:rsidRPr="00467DB0">
        <w:t>retligt</w:t>
      </w:r>
      <w:proofErr w:type="spellEnd"/>
      <w:r w:rsidRPr="00467DB0">
        <w:t xml:space="preserve"> instrument, skal tredjelandet </w:t>
      </w:r>
      <w:proofErr w:type="spellStart"/>
      <w:r w:rsidRPr="00467DB0">
        <w:t>give</w:t>
      </w:r>
      <w:proofErr w:type="spellEnd"/>
      <w:r w:rsidRPr="00467DB0">
        <w:t xml:space="preserve"> den ansvarlige anvisningsberettigede, OLAF og </w:t>
      </w:r>
      <w:proofErr w:type="spellStart"/>
      <w:r w:rsidRPr="00467DB0">
        <w:t>Revisionsretten</w:t>
      </w:r>
      <w:proofErr w:type="spellEnd"/>
      <w:r w:rsidRPr="00467DB0">
        <w:t xml:space="preserve"> de fornødne </w:t>
      </w:r>
      <w:proofErr w:type="spellStart"/>
      <w:r w:rsidRPr="00467DB0">
        <w:t>rettigheder</w:t>
      </w:r>
      <w:proofErr w:type="spellEnd"/>
      <w:r w:rsidRPr="00467DB0">
        <w:t xml:space="preserve"> og den fornødne adgang, </w:t>
      </w:r>
      <w:proofErr w:type="gramStart"/>
      <w:r w:rsidRPr="00467DB0">
        <w:t>således</w:t>
      </w:r>
      <w:proofErr w:type="gramEnd"/>
      <w:r w:rsidRPr="00467DB0">
        <w:t xml:space="preserve"> at de </w:t>
      </w:r>
      <w:proofErr w:type="spellStart"/>
      <w:r w:rsidRPr="00467DB0">
        <w:t>fuldt</w:t>
      </w:r>
      <w:proofErr w:type="spellEnd"/>
      <w:r w:rsidRPr="00467DB0">
        <w:t xml:space="preserve"> </w:t>
      </w:r>
      <w:proofErr w:type="spellStart"/>
      <w:r w:rsidRPr="00467DB0">
        <w:t>ud</w:t>
      </w:r>
      <w:proofErr w:type="spellEnd"/>
      <w:r w:rsidRPr="00467DB0">
        <w:t xml:space="preserve"> kan udøve deres respektive </w:t>
      </w:r>
      <w:proofErr w:type="spellStart"/>
      <w:r w:rsidRPr="00467DB0">
        <w:t>beføjelser</w:t>
      </w:r>
      <w:proofErr w:type="spellEnd"/>
      <w:r w:rsidRPr="00467DB0">
        <w:t xml:space="preserve">. </w:t>
      </w:r>
      <w:proofErr w:type="spellStart"/>
      <w:r w:rsidRPr="00467DB0">
        <w:t>Hvad</w:t>
      </w:r>
      <w:proofErr w:type="spellEnd"/>
      <w:r w:rsidRPr="00467DB0">
        <w:t xml:space="preserve"> angår OLAF, skal sådanne </w:t>
      </w:r>
      <w:proofErr w:type="spellStart"/>
      <w:r w:rsidRPr="00467DB0">
        <w:t>rettigheder</w:t>
      </w:r>
      <w:proofErr w:type="spellEnd"/>
      <w:r w:rsidRPr="00467DB0">
        <w:t xml:space="preserve"> omfatte retten til at </w:t>
      </w:r>
      <w:proofErr w:type="spellStart"/>
      <w:r w:rsidRPr="00467DB0">
        <w:t>foretage</w:t>
      </w:r>
      <w:proofErr w:type="spellEnd"/>
      <w:r w:rsidRPr="00467DB0">
        <w:t xml:space="preserve"> </w:t>
      </w:r>
      <w:proofErr w:type="spellStart"/>
      <w:r w:rsidRPr="00467DB0">
        <w:t>undersøgelser</w:t>
      </w:r>
      <w:proofErr w:type="spellEnd"/>
      <w:r w:rsidRPr="00467DB0">
        <w:t xml:space="preserve">, herunder </w:t>
      </w:r>
      <w:proofErr w:type="spellStart"/>
      <w:r w:rsidRPr="00467DB0">
        <w:t>kontrol</w:t>
      </w:r>
      <w:proofErr w:type="spellEnd"/>
      <w:r w:rsidRPr="00467DB0">
        <w:t xml:space="preserve"> og </w:t>
      </w:r>
      <w:proofErr w:type="spellStart"/>
      <w:r w:rsidRPr="00467DB0">
        <w:t>inspektion</w:t>
      </w:r>
      <w:proofErr w:type="spellEnd"/>
      <w:r w:rsidRPr="00467DB0">
        <w:t xml:space="preserve"> på stedet, som </w:t>
      </w:r>
      <w:proofErr w:type="spellStart"/>
      <w:r w:rsidRPr="00467DB0">
        <w:t>fastsat</w:t>
      </w:r>
      <w:proofErr w:type="spellEnd"/>
      <w:r w:rsidRPr="00467DB0">
        <w:t xml:space="preserve"> i forordning (EU, Euratom) nr. 883/2013.</w:t>
      </w:r>
    </w:p>
    <w:p w14:paraId="081CA122" w14:textId="77777777" w:rsidR="00000000" w:rsidRPr="00467DB0" w:rsidRDefault="00693D67" w:rsidP="00467DB0">
      <w:pPr>
        <w:pStyle w:val="avsnitt-undertittel"/>
      </w:pPr>
      <w:proofErr w:type="spellStart"/>
      <w:r w:rsidRPr="00467DB0">
        <w:t>Afsnit</w:t>
      </w:r>
      <w:proofErr w:type="spellEnd"/>
      <w:r w:rsidRPr="00467DB0">
        <w:t xml:space="preserve"> IV</w:t>
      </w:r>
    </w:p>
    <w:p w14:paraId="4D5E4288" w14:textId="77777777" w:rsidR="00000000" w:rsidRPr="00467DB0" w:rsidRDefault="00693D67" w:rsidP="00467DB0">
      <w:pPr>
        <w:pStyle w:val="Undertittel"/>
      </w:pPr>
      <w:r w:rsidRPr="00467DB0">
        <w:t xml:space="preserve">Forvaltning </w:t>
      </w:r>
      <w:proofErr w:type="spellStart"/>
      <w:r w:rsidRPr="00467DB0">
        <w:t>af</w:t>
      </w:r>
      <w:proofErr w:type="spellEnd"/>
      <w:r w:rsidRPr="00467DB0">
        <w:t xml:space="preserve"> progr</w:t>
      </w:r>
      <w:r w:rsidRPr="00467DB0">
        <w:t>ammet</w:t>
      </w:r>
    </w:p>
    <w:p w14:paraId="342B498D" w14:textId="77777777" w:rsidR="00000000" w:rsidRPr="00467DB0" w:rsidRDefault="00693D67" w:rsidP="00467DB0">
      <w:pPr>
        <w:pStyle w:val="avsnitt-undertittel"/>
      </w:pPr>
      <w:proofErr w:type="spellStart"/>
      <w:r w:rsidRPr="00467DB0">
        <w:t>Artikel</w:t>
      </w:r>
      <w:proofErr w:type="spellEnd"/>
      <w:r w:rsidRPr="00467DB0">
        <w:t> 26</w:t>
      </w:r>
    </w:p>
    <w:p w14:paraId="7BB18082" w14:textId="77777777" w:rsidR="00000000" w:rsidRPr="00467DB0" w:rsidRDefault="00693D67" w:rsidP="00467DB0">
      <w:pPr>
        <w:pStyle w:val="Undertittel"/>
      </w:pPr>
      <w:proofErr w:type="spellStart"/>
      <w:r w:rsidRPr="00467DB0">
        <w:t>Forvaltningsprincipper</w:t>
      </w:r>
      <w:proofErr w:type="spellEnd"/>
    </w:p>
    <w:p w14:paraId="639BF6B5" w14:textId="77777777" w:rsidR="00000000" w:rsidRPr="00467DB0" w:rsidRDefault="00693D67" w:rsidP="00467DB0">
      <w:r w:rsidRPr="00467DB0">
        <w:t xml:space="preserve">Forvaltningen </w:t>
      </w:r>
      <w:proofErr w:type="spellStart"/>
      <w:r w:rsidRPr="00467DB0">
        <w:t>af</w:t>
      </w:r>
      <w:proofErr w:type="spellEnd"/>
      <w:r w:rsidRPr="00467DB0">
        <w:t xml:space="preserve"> programmet bygger på følgende </w:t>
      </w:r>
      <w:proofErr w:type="spellStart"/>
      <w:r w:rsidRPr="00467DB0">
        <w:t>principper</w:t>
      </w:r>
      <w:proofErr w:type="spellEnd"/>
      <w:r w:rsidRPr="00467DB0">
        <w:t>:</w:t>
      </w:r>
    </w:p>
    <w:p w14:paraId="715464C7" w14:textId="77777777" w:rsidR="00000000" w:rsidRPr="00467DB0" w:rsidRDefault="00693D67" w:rsidP="00467DB0">
      <w:pPr>
        <w:pStyle w:val="friliste"/>
      </w:pPr>
      <w:r w:rsidRPr="00467DB0">
        <w:t>a)</w:t>
      </w:r>
      <w:r w:rsidRPr="00467DB0">
        <w:tab/>
        <w:t xml:space="preserve">en klar fordeling </w:t>
      </w:r>
      <w:proofErr w:type="spellStart"/>
      <w:r w:rsidRPr="00467DB0">
        <w:t>af</w:t>
      </w:r>
      <w:proofErr w:type="spellEnd"/>
      <w:r w:rsidRPr="00467DB0">
        <w:t xml:space="preserve"> </w:t>
      </w:r>
      <w:proofErr w:type="spellStart"/>
      <w:r w:rsidRPr="00467DB0">
        <w:t>opgaver</w:t>
      </w:r>
      <w:proofErr w:type="spellEnd"/>
      <w:r w:rsidRPr="00467DB0">
        <w:t xml:space="preserve"> og ansvar </w:t>
      </w:r>
      <w:proofErr w:type="spellStart"/>
      <w:r w:rsidRPr="00467DB0">
        <w:t>mellem</w:t>
      </w:r>
      <w:proofErr w:type="spellEnd"/>
      <w:r w:rsidRPr="00467DB0">
        <w:t xml:space="preserve"> de </w:t>
      </w:r>
      <w:proofErr w:type="spellStart"/>
      <w:r w:rsidRPr="00467DB0">
        <w:t>enheder</w:t>
      </w:r>
      <w:proofErr w:type="spellEnd"/>
      <w:r w:rsidRPr="00467DB0">
        <w:t xml:space="preserve">, der er </w:t>
      </w:r>
      <w:proofErr w:type="spellStart"/>
      <w:r w:rsidRPr="00467DB0">
        <w:t>involveret</w:t>
      </w:r>
      <w:proofErr w:type="spellEnd"/>
      <w:r w:rsidRPr="00467DB0">
        <w:t xml:space="preserve"> i </w:t>
      </w:r>
      <w:proofErr w:type="spellStart"/>
      <w:r w:rsidRPr="00467DB0">
        <w:t>gennemførelsen</w:t>
      </w:r>
      <w:proofErr w:type="spellEnd"/>
      <w:r w:rsidRPr="00467DB0">
        <w:t xml:space="preserve"> </w:t>
      </w:r>
      <w:proofErr w:type="spellStart"/>
      <w:r w:rsidRPr="00467DB0">
        <w:t>af</w:t>
      </w:r>
      <w:proofErr w:type="spellEnd"/>
      <w:r w:rsidRPr="00467DB0">
        <w:t xml:space="preserve"> hver enkelt </w:t>
      </w:r>
      <w:proofErr w:type="spellStart"/>
      <w:r w:rsidRPr="00467DB0">
        <w:t>af</w:t>
      </w:r>
      <w:proofErr w:type="spellEnd"/>
      <w:r w:rsidRPr="00467DB0">
        <w:t xml:space="preserve"> programmets komponenter og foranstaltninger</w:t>
      </w:r>
      <w:r w:rsidRPr="00467DB0">
        <w:t xml:space="preserve">, navnlig </w:t>
      </w:r>
      <w:proofErr w:type="spellStart"/>
      <w:r w:rsidRPr="00467DB0">
        <w:t>mellem</w:t>
      </w:r>
      <w:proofErr w:type="spellEnd"/>
      <w:r w:rsidRPr="00467DB0">
        <w:t xml:space="preserve"> </w:t>
      </w:r>
      <w:proofErr w:type="spellStart"/>
      <w:r w:rsidRPr="00467DB0">
        <w:t>medlemsstaterne</w:t>
      </w:r>
      <w:proofErr w:type="spellEnd"/>
      <w:r w:rsidRPr="00467DB0">
        <w:t xml:space="preserve">, </w:t>
      </w:r>
      <w:proofErr w:type="spellStart"/>
      <w:r w:rsidRPr="00467DB0">
        <w:t>Kommissionen</w:t>
      </w:r>
      <w:proofErr w:type="spellEnd"/>
      <w:r w:rsidRPr="00467DB0">
        <w:t xml:space="preserve">, agenturet, ESA og EUMETSAT på </w:t>
      </w:r>
      <w:proofErr w:type="spellStart"/>
      <w:r w:rsidRPr="00467DB0">
        <w:t>grundlag</w:t>
      </w:r>
      <w:proofErr w:type="spellEnd"/>
      <w:r w:rsidRPr="00467DB0">
        <w:t xml:space="preserve"> </w:t>
      </w:r>
      <w:proofErr w:type="spellStart"/>
      <w:r w:rsidRPr="00467DB0">
        <w:t>af</w:t>
      </w:r>
      <w:proofErr w:type="spellEnd"/>
      <w:r w:rsidRPr="00467DB0">
        <w:t xml:space="preserve"> deres respektive </w:t>
      </w:r>
      <w:proofErr w:type="spellStart"/>
      <w:r w:rsidRPr="00467DB0">
        <w:t>kompetencer</w:t>
      </w:r>
      <w:proofErr w:type="spellEnd"/>
      <w:r w:rsidRPr="00467DB0">
        <w:t xml:space="preserve">, med </w:t>
      </w:r>
      <w:proofErr w:type="spellStart"/>
      <w:r w:rsidRPr="00467DB0">
        <w:t>henblik</w:t>
      </w:r>
      <w:proofErr w:type="spellEnd"/>
      <w:r w:rsidRPr="00467DB0">
        <w:t xml:space="preserve"> på at </w:t>
      </w:r>
      <w:proofErr w:type="spellStart"/>
      <w:r w:rsidRPr="00467DB0">
        <w:t>undgå</w:t>
      </w:r>
      <w:proofErr w:type="spellEnd"/>
      <w:r w:rsidRPr="00467DB0">
        <w:t xml:space="preserve"> </w:t>
      </w:r>
      <w:proofErr w:type="spellStart"/>
      <w:r w:rsidRPr="00467DB0">
        <w:t>overlap</w:t>
      </w:r>
      <w:proofErr w:type="spellEnd"/>
      <w:r w:rsidRPr="00467DB0">
        <w:t xml:space="preserve"> </w:t>
      </w:r>
      <w:proofErr w:type="spellStart"/>
      <w:r w:rsidRPr="00467DB0">
        <w:t>af</w:t>
      </w:r>
      <w:proofErr w:type="spellEnd"/>
      <w:r w:rsidRPr="00467DB0">
        <w:t xml:space="preserve"> </w:t>
      </w:r>
      <w:proofErr w:type="spellStart"/>
      <w:r w:rsidRPr="00467DB0">
        <w:t>opgaver</w:t>
      </w:r>
      <w:proofErr w:type="spellEnd"/>
      <w:r w:rsidRPr="00467DB0">
        <w:t xml:space="preserve"> og ansvar</w:t>
      </w:r>
    </w:p>
    <w:p w14:paraId="4DAB1D21" w14:textId="77777777" w:rsidR="00000000" w:rsidRPr="00467DB0" w:rsidRDefault="00693D67" w:rsidP="00467DB0">
      <w:pPr>
        <w:pStyle w:val="friliste"/>
      </w:pPr>
      <w:r w:rsidRPr="00467DB0">
        <w:t>b)</w:t>
      </w:r>
      <w:r w:rsidRPr="00467DB0">
        <w:tab/>
      </w:r>
      <w:r w:rsidRPr="00467DB0">
        <w:t xml:space="preserve">relevansen </w:t>
      </w:r>
      <w:proofErr w:type="spellStart"/>
      <w:r w:rsidRPr="00467DB0">
        <w:t>af</w:t>
      </w:r>
      <w:proofErr w:type="spellEnd"/>
      <w:r w:rsidRPr="00467DB0">
        <w:t xml:space="preserve"> forvaltningsstrukturen for de </w:t>
      </w:r>
      <w:proofErr w:type="spellStart"/>
      <w:r w:rsidRPr="00467DB0">
        <w:t>specifikke</w:t>
      </w:r>
      <w:proofErr w:type="spellEnd"/>
      <w:r w:rsidRPr="00467DB0">
        <w:t xml:space="preserve"> behov i forbindelse med hver enkelt </w:t>
      </w:r>
      <w:proofErr w:type="spellStart"/>
      <w:r w:rsidRPr="00467DB0">
        <w:t>af</w:t>
      </w:r>
      <w:proofErr w:type="spellEnd"/>
      <w:r w:rsidRPr="00467DB0">
        <w:t xml:space="preserve"> programmets komponenter og foranstaltninger, alt efter </w:t>
      </w:r>
      <w:proofErr w:type="spellStart"/>
      <w:r w:rsidRPr="00467DB0">
        <w:t>hvad</w:t>
      </w:r>
      <w:proofErr w:type="spellEnd"/>
      <w:r w:rsidRPr="00467DB0">
        <w:t xml:space="preserve"> der er relevant</w:t>
      </w:r>
    </w:p>
    <w:p w14:paraId="38895820" w14:textId="77777777" w:rsidR="00000000" w:rsidRPr="00467DB0" w:rsidRDefault="00693D67" w:rsidP="00467DB0">
      <w:pPr>
        <w:pStyle w:val="friliste"/>
      </w:pPr>
      <w:r w:rsidRPr="00467DB0">
        <w:lastRenderedPageBreak/>
        <w:t>c)</w:t>
      </w:r>
      <w:r w:rsidRPr="00467DB0">
        <w:tab/>
      </w:r>
      <w:proofErr w:type="spellStart"/>
      <w:r w:rsidRPr="00467DB0">
        <w:t>stærk</w:t>
      </w:r>
      <w:proofErr w:type="spellEnd"/>
      <w:r w:rsidRPr="00467DB0">
        <w:t xml:space="preserve"> </w:t>
      </w:r>
      <w:proofErr w:type="spellStart"/>
      <w:r w:rsidRPr="00467DB0">
        <w:t>kontrol</w:t>
      </w:r>
      <w:proofErr w:type="spellEnd"/>
      <w:r w:rsidRPr="00467DB0">
        <w:t xml:space="preserve"> med programmet, herunder at alle </w:t>
      </w:r>
      <w:proofErr w:type="spellStart"/>
      <w:r w:rsidRPr="00467DB0">
        <w:t>enheder</w:t>
      </w:r>
      <w:proofErr w:type="spellEnd"/>
      <w:r w:rsidRPr="00467DB0">
        <w:t xml:space="preserve"> strengt overholder omkostnin</w:t>
      </w:r>
      <w:r w:rsidRPr="00467DB0">
        <w:t xml:space="preserve">ger, tidsplaner og </w:t>
      </w:r>
      <w:proofErr w:type="spellStart"/>
      <w:r w:rsidRPr="00467DB0">
        <w:t>præstation</w:t>
      </w:r>
      <w:proofErr w:type="spellEnd"/>
      <w:r w:rsidRPr="00467DB0">
        <w:t xml:space="preserve"> </w:t>
      </w:r>
      <w:proofErr w:type="spellStart"/>
      <w:r w:rsidRPr="00467DB0">
        <w:t>inden</w:t>
      </w:r>
      <w:proofErr w:type="spellEnd"/>
      <w:r w:rsidRPr="00467DB0">
        <w:t xml:space="preserve"> for deres respektive roller og </w:t>
      </w:r>
      <w:proofErr w:type="spellStart"/>
      <w:r w:rsidRPr="00467DB0">
        <w:t>opgaver</w:t>
      </w:r>
      <w:proofErr w:type="spellEnd"/>
      <w:r w:rsidRPr="00467DB0">
        <w:t xml:space="preserve"> i overensstemmelse med denne forordning</w:t>
      </w:r>
    </w:p>
    <w:p w14:paraId="08069500" w14:textId="77777777" w:rsidR="00000000" w:rsidRPr="00467DB0" w:rsidRDefault="00693D67" w:rsidP="00467DB0">
      <w:pPr>
        <w:pStyle w:val="friliste"/>
      </w:pPr>
      <w:r w:rsidRPr="00467DB0">
        <w:t>d)</w:t>
      </w:r>
      <w:r w:rsidRPr="00467DB0">
        <w:tab/>
      </w:r>
      <w:proofErr w:type="spellStart"/>
      <w:r w:rsidRPr="00467DB0">
        <w:t>gennemsigtig</w:t>
      </w:r>
      <w:proofErr w:type="spellEnd"/>
      <w:r w:rsidRPr="00467DB0">
        <w:t xml:space="preserve"> og omkostningseffektiv forvaltning</w:t>
      </w:r>
    </w:p>
    <w:p w14:paraId="7F8EDE83" w14:textId="77777777" w:rsidR="00000000" w:rsidRPr="00467DB0" w:rsidRDefault="00693D67" w:rsidP="00467DB0">
      <w:pPr>
        <w:pStyle w:val="friliste"/>
      </w:pPr>
      <w:r w:rsidRPr="00467DB0">
        <w:t>e)</w:t>
      </w:r>
      <w:r w:rsidRPr="00467DB0">
        <w:tab/>
        <w:t xml:space="preserve">kontinuitet i </w:t>
      </w:r>
      <w:proofErr w:type="spellStart"/>
      <w:r w:rsidRPr="00467DB0">
        <w:t>tjenesterne</w:t>
      </w:r>
      <w:proofErr w:type="spellEnd"/>
      <w:r w:rsidRPr="00467DB0">
        <w:t xml:space="preserve"> og den nødvendige kontinuitet i infrastrukturen, herunder bes</w:t>
      </w:r>
      <w:r w:rsidRPr="00467DB0">
        <w:t>kyttelse mod relevante trusler</w:t>
      </w:r>
    </w:p>
    <w:p w14:paraId="26FB4CAA" w14:textId="77777777" w:rsidR="00000000" w:rsidRPr="00467DB0" w:rsidRDefault="00693D67" w:rsidP="00467DB0">
      <w:pPr>
        <w:pStyle w:val="friliste"/>
      </w:pPr>
      <w:r w:rsidRPr="00467DB0">
        <w:t>f)</w:t>
      </w:r>
      <w:r w:rsidRPr="00467DB0">
        <w:tab/>
        <w:t xml:space="preserve">systematisk og </w:t>
      </w:r>
      <w:proofErr w:type="spellStart"/>
      <w:r w:rsidRPr="00467DB0">
        <w:t>struktureret</w:t>
      </w:r>
      <w:proofErr w:type="spellEnd"/>
      <w:r w:rsidRPr="00467DB0">
        <w:t xml:space="preserve"> hensyntagen til behovene hos </w:t>
      </w:r>
      <w:proofErr w:type="spellStart"/>
      <w:r w:rsidRPr="00467DB0">
        <w:t>brugerne</w:t>
      </w:r>
      <w:proofErr w:type="spellEnd"/>
      <w:r w:rsidRPr="00467DB0">
        <w:t xml:space="preserve"> </w:t>
      </w:r>
      <w:proofErr w:type="spellStart"/>
      <w:r w:rsidRPr="00467DB0">
        <w:t>af</w:t>
      </w:r>
      <w:proofErr w:type="spellEnd"/>
      <w:r w:rsidRPr="00467DB0">
        <w:t xml:space="preserve"> de data, </w:t>
      </w:r>
      <w:proofErr w:type="spellStart"/>
      <w:r w:rsidRPr="00467DB0">
        <w:t>informationer</w:t>
      </w:r>
      <w:proofErr w:type="spellEnd"/>
      <w:r w:rsidRPr="00467DB0">
        <w:t xml:space="preserve"> og tjenester, der leveres </w:t>
      </w:r>
      <w:proofErr w:type="spellStart"/>
      <w:r w:rsidRPr="00467DB0">
        <w:t>af</w:t>
      </w:r>
      <w:proofErr w:type="spellEnd"/>
      <w:r w:rsidRPr="00467DB0">
        <w:t xml:space="preserve"> programmets komponenter, samt til den dermed forbundne </w:t>
      </w:r>
      <w:proofErr w:type="spellStart"/>
      <w:r w:rsidRPr="00467DB0">
        <w:t>videnskabelige</w:t>
      </w:r>
      <w:proofErr w:type="spellEnd"/>
      <w:r w:rsidRPr="00467DB0">
        <w:t xml:space="preserve"> og tekniske </w:t>
      </w:r>
      <w:proofErr w:type="spellStart"/>
      <w:r w:rsidRPr="00467DB0">
        <w:t>udvikling</w:t>
      </w:r>
      <w:proofErr w:type="spellEnd"/>
    </w:p>
    <w:p w14:paraId="11B8E004" w14:textId="77777777" w:rsidR="00000000" w:rsidRPr="00467DB0" w:rsidRDefault="00693D67" w:rsidP="00467DB0">
      <w:pPr>
        <w:pStyle w:val="friliste"/>
      </w:pPr>
      <w:r w:rsidRPr="00467DB0">
        <w:t>g)</w:t>
      </w:r>
      <w:r w:rsidRPr="00467DB0">
        <w:tab/>
        <w:t>en kon</w:t>
      </w:r>
      <w:r w:rsidRPr="00467DB0">
        <w:t xml:space="preserve">stant </w:t>
      </w:r>
      <w:proofErr w:type="spellStart"/>
      <w:r w:rsidRPr="00467DB0">
        <w:t>indsats</w:t>
      </w:r>
      <w:proofErr w:type="spellEnd"/>
      <w:r w:rsidRPr="00467DB0">
        <w:t xml:space="preserve"> for at styre og </w:t>
      </w:r>
      <w:proofErr w:type="spellStart"/>
      <w:r w:rsidRPr="00467DB0">
        <w:t>mindske</w:t>
      </w:r>
      <w:proofErr w:type="spellEnd"/>
      <w:r w:rsidRPr="00467DB0">
        <w:t xml:space="preserve"> </w:t>
      </w:r>
      <w:proofErr w:type="spellStart"/>
      <w:r w:rsidRPr="00467DB0">
        <w:t>risici</w:t>
      </w:r>
      <w:proofErr w:type="spellEnd"/>
      <w:r w:rsidRPr="00467DB0">
        <w:t>.</w:t>
      </w:r>
    </w:p>
    <w:p w14:paraId="7C76AD26" w14:textId="77777777" w:rsidR="00000000" w:rsidRPr="00467DB0" w:rsidRDefault="00693D67" w:rsidP="00467DB0">
      <w:pPr>
        <w:pStyle w:val="avsnitt-undertittel"/>
      </w:pPr>
      <w:proofErr w:type="spellStart"/>
      <w:r w:rsidRPr="00467DB0">
        <w:t>Artikel</w:t>
      </w:r>
      <w:proofErr w:type="spellEnd"/>
      <w:r w:rsidRPr="00467DB0">
        <w:t> 27</w:t>
      </w:r>
    </w:p>
    <w:p w14:paraId="6FDD97BE" w14:textId="77777777" w:rsidR="00000000" w:rsidRPr="00467DB0" w:rsidRDefault="00693D67" w:rsidP="00467DB0">
      <w:pPr>
        <w:pStyle w:val="Undertittel"/>
      </w:pPr>
      <w:proofErr w:type="spellStart"/>
      <w:r w:rsidRPr="00467DB0">
        <w:t>Medlemsstaternes</w:t>
      </w:r>
      <w:proofErr w:type="spellEnd"/>
      <w:r w:rsidRPr="00467DB0">
        <w:t xml:space="preserve"> rolle</w:t>
      </w:r>
    </w:p>
    <w:p w14:paraId="2313477D" w14:textId="77777777" w:rsidR="00000000" w:rsidRPr="00467DB0" w:rsidRDefault="00693D67" w:rsidP="00467DB0">
      <w:pPr>
        <w:pStyle w:val="friliste"/>
      </w:pPr>
      <w:r w:rsidRPr="00467DB0">
        <w:t>1.</w:t>
      </w:r>
      <w:r w:rsidRPr="00467DB0">
        <w:tab/>
      </w:r>
      <w:proofErr w:type="spellStart"/>
      <w:r w:rsidRPr="00467DB0">
        <w:t>Medlemsstaterne</w:t>
      </w:r>
      <w:proofErr w:type="spellEnd"/>
      <w:r w:rsidRPr="00467DB0">
        <w:t xml:space="preserve"> kan </w:t>
      </w:r>
      <w:proofErr w:type="spellStart"/>
      <w:r w:rsidRPr="00467DB0">
        <w:t>deltage</w:t>
      </w:r>
      <w:proofErr w:type="spellEnd"/>
      <w:r w:rsidRPr="00467DB0">
        <w:t xml:space="preserve"> i programmet. Medlemsstater, der deltager i programmet, </w:t>
      </w:r>
      <w:proofErr w:type="spellStart"/>
      <w:r w:rsidRPr="00467DB0">
        <w:t>bidrager</w:t>
      </w:r>
      <w:proofErr w:type="spellEnd"/>
      <w:r w:rsidRPr="00467DB0">
        <w:t xml:space="preserve"> med deres tekniske </w:t>
      </w:r>
      <w:proofErr w:type="spellStart"/>
      <w:r w:rsidRPr="00467DB0">
        <w:t>kompetence</w:t>
      </w:r>
      <w:proofErr w:type="spellEnd"/>
      <w:r w:rsidRPr="00467DB0">
        <w:t xml:space="preserve">, knowhow og bistand, navnlig </w:t>
      </w:r>
      <w:proofErr w:type="spellStart"/>
      <w:r w:rsidRPr="00467DB0">
        <w:t>inden</w:t>
      </w:r>
      <w:proofErr w:type="spellEnd"/>
      <w:r w:rsidRPr="00467DB0">
        <w:t xml:space="preserve"> for </w:t>
      </w:r>
      <w:proofErr w:type="spellStart"/>
      <w:r w:rsidRPr="00467DB0">
        <w:t>sikkerhed</w:t>
      </w:r>
      <w:proofErr w:type="spellEnd"/>
      <w:r w:rsidRPr="00467DB0">
        <w:t xml:space="preserve">, </w:t>
      </w:r>
      <w:r w:rsidRPr="00467DB0">
        <w:t xml:space="preserve">eller, hvor det er </w:t>
      </w:r>
      <w:proofErr w:type="spellStart"/>
      <w:r w:rsidRPr="00467DB0">
        <w:t>nødvendigt</w:t>
      </w:r>
      <w:proofErr w:type="spellEnd"/>
      <w:r w:rsidRPr="00467DB0">
        <w:t xml:space="preserve"> og </w:t>
      </w:r>
      <w:proofErr w:type="spellStart"/>
      <w:r w:rsidRPr="00467DB0">
        <w:t>muligt</w:t>
      </w:r>
      <w:proofErr w:type="spellEnd"/>
      <w:r w:rsidRPr="00467DB0">
        <w:t xml:space="preserve">, ved at stille data, </w:t>
      </w:r>
      <w:proofErr w:type="spellStart"/>
      <w:r w:rsidRPr="00467DB0">
        <w:t>informationer</w:t>
      </w:r>
      <w:proofErr w:type="spellEnd"/>
      <w:r w:rsidRPr="00467DB0">
        <w:t xml:space="preserve">, tjenester og infrastruktur, som er i deres </w:t>
      </w:r>
      <w:proofErr w:type="spellStart"/>
      <w:r w:rsidRPr="00467DB0">
        <w:t>besiddelse</w:t>
      </w:r>
      <w:proofErr w:type="spellEnd"/>
      <w:r w:rsidRPr="00467DB0">
        <w:t xml:space="preserve"> eller </w:t>
      </w:r>
      <w:proofErr w:type="spellStart"/>
      <w:r w:rsidRPr="00467DB0">
        <w:t>befinder</w:t>
      </w:r>
      <w:proofErr w:type="spellEnd"/>
      <w:r w:rsidRPr="00467DB0">
        <w:t xml:space="preserve"> sig på deres område, til </w:t>
      </w:r>
      <w:proofErr w:type="spellStart"/>
      <w:r w:rsidRPr="00467DB0">
        <w:t>rådighed</w:t>
      </w:r>
      <w:proofErr w:type="spellEnd"/>
      <w:r w:rsidRPr="00467DB0">
        <w:t xml:space="preserve"> for Unionen, bl.a. ved at sikre effektiv og uhindret adgang til og anvendelse</w:t>
      </w:r>
      <w:r w:rsidRPr="00467DB0">
        <w:t xml:space="preserve"> </w:t>
      </w:r>
      <w:proofErr w:type="spellStart"/>
      <w:r w:rsidRPr="00467DB0">
        <w:t>af</w:t>
      </w:r>
      <w:proofErr w:type="spellEnd"/>
      <w:r w:rsidRPr="00467DB0">
        <w:t xml:space="preserve"> Copernicus-in </w:t>
      </w:r>
      <w:proofErr w:type="spellStart"/>
      <w:r w:rsidRPr="00467DB0">
        <w:t>situ</w:t>
      </w:r>
      <w:proofErr w:type="spellEnd"/>
      <w:r w:rsidRPr="00467DB0">
        <w:t xml:space="preserve">-data og </w:t>
      </w:r>
      <w:proofErr w:type="spellStart"/>
      <w:r w:rsidRPr="00467DB0">
        <w:t>samarbejde</w:t>
      </w:r>
      <w:proofErr w:type="spellEnd"/>
      <w:r w:rsidRPr="00467DB0">
        <w:t xml:space="preserve"> med </w:t>
      </w:r>
      <w:proofErr w:type="spellStart"/>
      <w:r w:rsidRPr="00467DB0">
        <w:t>Kommissionen</w:t>
      </w:r>
      <w:proofErr w:type="spellEnd"/>
      <w:r w:rsidRPr="00467DB0">
        <w:t xml:space="preserve"> for at forbedre </w:t>
      </w:r>
      <w:proofErr w:type="spellStart"/>
      <w:r w:rsidRPr="00467DB0">
        <w:t>tilgængeligheden</w:t>
      </w:r>
      <w:proofErr w:type="spellEnd"/>
      <w:r w:rsidRPr="00467DB0">
        <w:t xml:space="preserve"> </w:t>
      </w:r>
      <w:proofErr w:type="spellStart"/>
      <w:r w:rsidRPr="00467DB0">
        <w:t>af</w:t>
      </w:r>
      <w:proofErr w:type="spellEnd"/>
      <w:r w:rsidRPr="00467DB0">
        <w:t xml:space="preserve"> de Copernicus-in </w:t>
      </w:r>
      <w:proofErr w:type="spellStart"/>
      <w:r w:rsidRPr="00467DB0">
        <w:t>situ</w:t>
      </w:r>
      <w:proofErr w:type="spellEnd"/>
      <w:r w:rsidRPr="00467DB0">
        <w:t xml:space="preserve">-data, som programmet har </w:t>
      </w:r>
      <w:proofErr w:type="spellStart"/>
      <w:r w:rsidRPr="00467DB0">
        <w:t>brug</w:t>
      </w:r>
      <w:proofErr w:type="spellEnd"/>
      <w:r w:rsidRPr="00467DB0">
        <w:t xml:space="preserve"> for, under hensyntagen til </w:t>
      </w:r>
      <w:proofErr w:type="spellStart"/>
      <w:r w:rsidRPr="00467DB0">
        <w:t>gældende</w:t>
      </w:r>
      <w:proofErr w:type="spellEnd"/>
      <w:r w:rsidRPr="00467DB0">
        <w:t xml:space="preserve"> </w:t>
      </w:r>
      <w:proofErr w:type="spellStart"/>
      <w:r w:rsidRPr="00467DB0">
        <w:t>licenser</w:t>
      </w:r>
      <w:proofErr w:type="spellEnd"/>
      <w:r w:rsidRPr="00467DB0">
        <w:t xml:space="preserve"> og </w:t>
      </w:r>
      <w:proofErr w:type="spellStart"/>
      <w:r w:rsidRPr="00467DB0">
        <w:t>forpligtelser</w:t>
      </w:r>
      <w:proofErr w:type="spellEnd"/>
      <w:r w:rsidRPr="00467DB0">
        <w:t>.</w:t>
      </w:r>
    </w:p>
    <w:p w14:paraId="35AA5CCE"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kan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bidragsaftale</w:t>
      </w:r>
      <w:r w:rsidRPr="00467DB0">
        <w:t>r</w:t>
      </w:r>
      <w:proofErr w:type="spellEnd"/>
      <w:r w:rsidRPr="00467DB0">
        <w:t xml:space="preserve"> </w:t>
      </w:r>
      <w:proofErr w:type="spellStart"/>
      <w:r w:rsidRPr="00467DB0">
        <w:t>overdrage</w:t>
      </w:r>
      <w:proofErr w:type="spellEnd"/>
      <w:r w:rsidRPr="00467DB0">
        <w:t xml:space="preserve"> </w:t>
      </w:r>
      <w:proofErr w:type="spellStart"/>
      <w:r w:rsidRPr="00467DB0">
        <w:t>specifikke</w:t>
      </w:r>
      <w:proofErr w:type="spellEnd"/>
      <w:r w:rsidRPr="00467DB0">
        <w:t xml:space="preserve"> </w:t>
      </w:r>
      <w:proofErr w:type="spellStart"/>
      <w:r w:rsidRPr="00467DB0">
        <w:t>opgaver</w:t>
      </w:r>
      <w:proofErr w:type="spellEnd"/>
      <w:r w:rsidRPr="00467DB0">
        <w:t xml:space="preserve"> til </w:t>
      </w:r>
      <w:proofErr w:type="spellStart"/>
      <w:r w:rsidRPr="00467DB0">
        <w:t>organisationer</w:t>
      </w:r>
      <w:proofErr w:type="spellEnd"/>
      <w:r w:rsidRPr="00467DB0">
        <w:t xml:space="preserve"> i </w:t>
      </w:r>
      <w:proofErr w:type="spellStart"/>
      <w:r w:rsidRPr="00467DB0">
        <w:t>medlemsstaterne</w:t>
      </w:r>
      <w:proofErr w:type="spellEnd"/>
      <w:r w:rsidRPr="00467DB0">
        <w:t xml:space="preserve">, hvis den </w:t>
      </w:r>
      <w:proofErr w:type="spellStart"/>
      <w:r w:rsidRPr="00467DB0">
        <w:t>pågældende</w:t>
      </w:r>
      <w:proofErr w:type="spellEnd"/>
      <w:r w:rsidRPr="00467DB0">
        <w:t xml:space="preserve"> medlemsstat har </w:t>
      </w:r>
      <w:proofErr w:type="spellStart"/>
      <w:r w:rsidRPr="00467DB0">
        <w:t>udpeget</w:t>
      </w:r>
      <w:proofErr w:type="spellEnd"/>
      <w:r w:rsidRPr="00467DB0">
        <w:t xml:space="preserve"> sådanne </w:t>
      </w:r>
      <w:proofErr w:type="spellStart"/>
      <w:r w:rsidRPr="00467DB0">
        <w:t>organisationer</w:t>
      </w:r>
      <w:proofErr w:type="spellEnd"/>
      <w:r w:rsidRPr="00467DB0">
        <w:t xml:space="preserve">. </w:t>
      </w:r>
      <w:proofErr w:type="spellStart"/>
      <w:r w:rsidRPr="00467DB0">
        <w:t>Kommissionen</w:t>
      </w:r>
      <w:proofErr w:type="spellEnd"/>
      <w:r w:rsidRPr="00467DB0">
        <w:t xml:space="preserve"> </w:t>
      </w:r>
      <w:proofErr w:type="spellStart"/>
      <w:r w:rsidRPr="00467DB0">
        <w:t>vedtager</w:t>
      </w:r>
      <w:proofErr w:type="spellEnd"/>
      <w:r w:rsidRPr="00467DB0">
        <w:t xml:space="preserve"> de </w:t>
      </w:r>
      <w:proofErr w:type="spellStart"/>
      <w:r w:rsidRPr="00467DB0">
        <w:t>bidragsafgørelser</w:t>
      </w:r>
      <w:proofErr w:type="spellEnd"/>
      <w:r w:rsidRPr="00467DB0">
        <w:t xml:space="preserve">, der vedrører </w:t>
      </w:r>
      <w:proofErr w:type="spellStart"/>
      <w:r w:rsidRPr="00467DB0">
        <w:t>bidragsaftalerne</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rådgivningsproceduren</w:t>
      </w:r>
      <w:proofErr w:type="spellEnd"/>
      <w:r w:rsidRPr="00467DB0">
        <w:t xml:space="preserve">, jf. </w:t>
      </w:r>
      <w:proofErr w:type="spellStart"/>
      <w:r w:rsidRPr="00467DB0">
        <w:t>artikel</w:t>
      </w:r>
      <w:proofErr w:type="spellEnd"/>
      <w:r w:rsidRPr="00467DB0">
        <w:t xml:space="preserve"> 107, stk. 2.</w:t>
      </w:r>
    </w:p>
    <w:p w14:paraId="63B70EDE" w14:textId="77777777" w:rsidR="00000000" w:rsidRPr="00467DB0" w:rsidRDefault="00693D67" w:rsidP="00467DB0">
      <w:pPr>
        <w:pStyle w:val="friliste"/>
      </w:pPr>
      <w:r w:rsidRPr="00467DB0">
        <w:t>3.</w:t>
      </w:r>
      <w:r w:rsidRPr="00467DB0">
        <w:tab/>
        <w:t xml:space="preserve">I visse </w:t>
      </w:r>
      <w:proofErr w:type="spellStart"/>
      <w:r w:rsidRPr="00467DB0">
        <w:t>behørigt</w:t>
      </w:r>
      <w:proofErr w:type="spellEnd"/>
      <w:r w:rsidRPr="00467DB0">
        <w:t xml:space="preserve"> begrundede </w:t>
      </w:r>
      <w:proofErr w:type="spellStart"/>
      <w:r w:rsidRPr="00467DB0">
        <w:t>tilfælde</w:t>
      </w:r>
      <w:proofErr w:type="spellEnd"/>
      <w:r w:rsidRPr="00467DB0">
        <w:t xml:space="preserve"> kan </w:t>
      </w:r>
      <w:proofErr w:type="spellStart"/>
      <w:r w:rsidRPr="00467DB0">
        <w:t>Kommissionen</w:t>
      </w:r>
      <w:proofErr w:type="spellEnd"/>
      <w:r w:rsidRPr="00467DB0">
        <w:t xml:space="preserve"> for så vidt angår de i </w:t>
      </w:r>
      <w:proofErr w:type="spellStart"/>
      <w:r w:rsidRPr="00467DB0">
        <w:t>artikel</w:t>
      </w:r>
      <w:proofErr w:type="spellEnd"/>
      <w:r w:rsidRPr="00467DB0">
        <w:t xml:space="preserve"> 29 omhandlede </w:t>
      </w:r>
      <w:proofErr w:type="spellStart"/>
      <w:r w:rsidRPr="00467DB0">
        <w:t>opgaver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bidragsaftaler</w:t>
      </w:r>
      <w:proofErr w:type="spellEnd"/>
      <w:r w:rsidRPr="00467DB0">
        <w:t xml:space="preserve"> </w:t>
      </w:r>
      <w:proofErr w:type="spellStart"/>
      <w:r w:rsidRPr="00467DB0">
        <w:t>overdrage</w:t>
      </w:r>
      <w:proofErr w:type="spellEnd"/>
      <w:r w:rsidRPr="00467DB0">
        <w:t xml:space="preserve"> </w:t>
      </w:r>
      <w:proofErr w:type="spellStart"/>
      <w:r w:rsidRPr="00467DB0">
        <w:t>specifikke</w:t>
      </w:r>
      <w:proofErr w:type="spellEnd"/>
      <w:r w:rsidRPr="00467DB0">
        <w:t xml:space="preserve"> </w:t>
      </w:r>
      <w:proofErr w:type="spellStart"/>
      <w:r w:rsidRPr="00467DB0">
        <w:t>opgaver</w:t>
      </w:r>
      <w:proofErr w:type="spellEnd"/>
      <w:r w:rsidRPr="00467DB0">
        <w:t xml:space="preserve"> ti</w:t>
      </w:r>
      <w:r w:rsidRPr="00467DB0">
        <w:t xml:space="preserve">l </w:t>
      </w:r>
      <w:proofErr w:type="spellStart"/>
      <w:r w:rsidRPr="00467DB0">
        <w:t>organisationer</w:t>
      </w:r>
      <w:proofErr w:type="spellEnd"/>
      <w:r w:rsidRPr="00467DB0">
        <w:t xml:space="preserve"> i </w:t>
      </w:r>
      <w:proofErr w:type="spellStart"/>
      <w:r w:rsidRPr="00467DB0">
        <w:t>medlemsstaterne</w:t>
      </w:r>
      <w:proofErr w:type="spellEnd"/>
      <w:r w:rsidRPr="00467DB0">
        <w:t xml:space="preserve">, hvis den </w:t>
      </w:r>
      <w:proofErr w:type="spellStart"/>
      <w:r w:rsidRPr="00467DB0">
        <w:t>pågældende</w:t>
      </w:r>
      <w:proofErr w:type="spellEnd"/>
      <w:r w:rsidRPr="00467DB0">
        <w:t xml:space="preserve"> medlemsstat har </w:t>
      </w:r>
      <w:proofErr w:type="spellStart"/>
      <w:r w:rsidRPr="00467DB0">
        <w:t>udpeget</w:t>
      </w:r>
      <w:proofErr w:type="spellEnd"/>
      <w:r w:rsidRPr="00467DB0">
        <w:t xml:space="preserve"> sådanne </w:t>
      </w:r>
      <w:proofErr w:type="spellStart"/>
      <w:r w:rsidRPr="00467DB0">
        <w:t>organisationer</w:t>
      </w:r>
      <w:proofErr w:type="spellEnd"/>
      <w:r w:rsidRPr="00467DB0">
        <w:t>.</w:t>
      </w:r>
    </w:p>
    <w:p w14:paraId="00C25828" w14:textId="77777777" w:rsidR="00000000" w:rsidRPr="00467DB0" w:rsidRDefault="00693D67" w:rsidP="00467DB0">
      <w:pPr>
        <w:pStyle w:val="friliste"/>
      </w:pPr>
      <w:r w:rsidRPr="00467DB0">
        <w:t>4.</w:t>
      </w:r>
      <w:r w:rsidRPr="00467DB0">
        <w:tab/>
      </w:r>
      <w:proofErr w:type="spellStart"/>
      <w:r w:rsidRPr="00467DB0">
        <w:t>Medlemsstaterne</w:t>
      </w:r>
      <w:proofErr w:type="spellEnd"/>
      <w:r w:rsidRPr="00467DB0">
        <w:t xml:space="preserve"> </w:t>
      </w:r>
      <w:proofErr w:type="spellStart"/>
      <w:r w:rsidRPr="00467DB0">
        <w:t>træffer</w:t>
      </w:r>
      <w:proofErr w:type="spellEnd"/>
      <w:r w:rsidRPr="00467DB0">
        <w:t xml:space="preserve"> alle nødvendige foranstaltninger til at sikre driften </w:t>
      </w:r>
      <w:proofErr w:type="spellStart"/>
      <w:r w:rsidRPr="00467DB0">
        <w:t>af</w:t>
      </w:r>
      <w:proofErr w:type="spellEnd"/>
      <w:r w:rsidRPr="00467DB0">
        <w:t xml:space="preserve"> programmet, herunder ved på det passende </w:t>
      </w:r>
      <w:proofErr w:type="spellStart"/>
      <w:r w:rsidRPr="00467DB0">
        <w:t>niveau</w:t>
      </w:r>
      <w:proofErr w:type="spellEnd"/>
      <w:r w:rsidRPr="00467DB0">
        <w:t xml:space="preserve"> at bistå med beskytt</w:t>
      </w:r>
      <w:r w:rsidRPr="00467DB0">
        <w:t xml:space="preserve">elsen </w:t>
      </w:r>
      <w:proofErr w:type="spellStart"/>
      <w:r w:rsidRPr="00467DB0">
        <w:t>af</w:t>
      </w:r>
      <w:proofErr w:type="spellEnd"/>
      <w:r w:rsidRPr="00467DB0">
        <w:t xml:space="preserve"> de frekvenser, der er nødvendige for programmet.</w:t>
      </w:r>
    </w:p>
    <w:p w14:paraId="3ABCB386" w14:textId="77777777" w:rsidR="00000000" w:rsidRPr="00467DB0" w:rsidRDefault="00693D67" w:rsidP="00467DB0">
      <w:pPr>
        <w:pStyle w:val="friliste"/>
      </w:pPr>
      <w:r w:rsidRPr="00467DB0">
        <w:t>5.</w:t>
      </w:r>
      <w:r w:rsidRPr="00467DB0">
        <w:tab/>
      </w:r>
      <w:proofErr w:type="spellStart"/>
      <w:r w:rsidRPr="00467DB0">
        <w:t>Medlemsstaterne</w:t>
      </w:r>
      <w:proofErr w:type="spellEnd"/>
      <w:r w:rsidRPr="00467DB0">
        <w:t xml:space="preserve"> og </w:t>
      </w:r>
      <w:proofErr w:type="spellStart"/>
      <w:r w:rsidRPr="00467DB0">
        <w:t>Kommissionen</w:t>
      </w:r>
      <w:proofErr w:type="spellEnd"/>
      <w:r w:rsidRPr="00467DB0">
        <w:t xml:space="preserve"> kan </w:t>
      </w:r>
      <w:proofErr w:type="spellStart"/>
      <w:r w:rsidRPr="00467DB0">
        <w:t>samarbejde</w:t>
      </w:r>
      <w:proofErr w:type="spellEnd"/>
      <w:r w:rsidRPr="00467DB0">
        <w:t xml:space="preserve"> om at </w:t>
      </w:r>
      <w:proofErr w:type="spellStart"/>
      <w:r w:rsidRPr="00467DB0">
        <w:t>øge</w:t>
      </w:r>
      <w:proofErr w:type="spellEnd"/>
      <w:r w:rsidRPr="00467DB0">
        <w:t xml:space="preserve"> </w:t>
      </w:r>
      <w:proofErr w:type="spellStart"/>
      <w:r w:rsidRPr="00467DB0">
        <w:t>udbredelsen</w:t>
      </w:r>
      <w:proofErr w:type="spellEnd"/>
      <w:r w:rsidRPr="00467DB0">
        <w:t xml:space="preserve"> </w:t>
      </w:r>
      <w:proofErr w:type="spellStart"/>
      <w:r w:rsidRPr="00467DB0">
        <w:t>af</w:t>
      </w:r>
      <w:proofErr w:type="spellEnd"/>
      <w:r w:rsidRPr="00467DB0">
        <w:t xml:space="preserve"> de data, </w:t>
      </w:r>
      <w:proofErr w:type="spellStart"/>
      <w:r w:rsidRPr="00467DB0">
        <w:t>informationer</w:t>
      </w:r>
      <w:proofErr w:type="spellEnd"/>
      <w:r w:rsidRPr="00467DB0">
        <w:t xml:space="preserve"> og tjenester, som programmet leverer.</w:t>
      </w:r>
    </w:p>
    <w:p w14:paraId="743FEFF9" w14:textId="77777777" w:rsidR="00000000" w:rsidRPr="00467DB0" w:rsidRDefault="00693D67" w:rsidP="00467DB0">
      <w:pPr>
        <w:pStyle w:val="friliste"/>
      </w:pPr>
      <w:r w:rsidRPr="00467DB0">
        <w:t>6.</w:t>
      </w:r>
      <w:r w:rsidRPr="00467DB0">
        <w:tab/>
      </w:r>
      <w:proofErr w:type="spellStart"/>
      <w:r w:rsidRPr="00467DB0">
        <w:t>Medlemsstaternes</w:t>
      </w:r>
      <w:proofErr w:type="spellEnd"/>
      <w:r w:rsidRPr="00467DB0">
        <w:t xml:space="preserve"> bidrag til det i </w:t>
      </w:r>
      <w:proofErr w:type="spellStart"/>
      <w:r w:rsidRPr="00467DB0">
        <w:t>artikel</w:t>
      </w:r>
      <w:proofErr w:type="spellEnd"/>
      <w:r w:rsidRPr="00467DB0">
        <w:t xml:space="preserve"> 107, stk. 6, omha</w:t>
      </w:r>
      <w:r w:rsidRPr="00467DB0">
        <w:t xml:space="preserve">ndlede </w:t>
      </w:r>
      <w:proofErr w:type="spellStart"/>
      <w:r w:rsidRPr="00467DB0">
        <w:t>brugerforum</w:t>
      </w:r>
      <w:proofErr w:type="spellEnd"/>
      <w:r w:rsidRPr="00467DB0">
        <w:t xml:space="preserve">, skal så vidt </w:t>
      </w:r>
      <w:proofErr w:type="spellStart"/>
      <w:r w:rsidRPr="00467DB0">
        <w:t>muligt</w:t>
      </w:r>
      <w:proofErr w:type="spellEnd"/>
      <w:r w:rsidRPr="00467DB0">
        <w:t xml:space="preserve"> baseres på en systematisk og </w:t>
      </w:r>
      <w:proofErr w:type="spellStart"/>
      <w:r w:rsidRPr="00467DB0">
        <w:t>koordineret</w:t>
      </w:r>
      <w:proofErr w:type="spellEnd"/>
      <w:r w:rsidRPr="00467DB0">
        <w:t xml:space="preserve"> høring </w:t>
      </w:r>
      <w:proofErr w:type="spellStart"/>
      <w:r w:rsidRPr="00467DB0">
        <w:t>af</w:t>
      </w:r>
      <w:proofErr w:type="spellEnd"/>
      <w:r w:rsidRPr="00467DB0">
        <w:t xml:space="preserve"> </w:t>
      </w:r>
      <w:proofErr w:type="spellStart"/>
      <w:r w:rsidRPr="00467DB0">
        <w:t>slutbrugerfællesskaber</w:t>
      </w:r>
      <w:proofErr w:type="spellEnd"/>
      <w:r w:rsidRPr="00467DB0">
        <w:t xml:space="preserve"> på </w:t>
      </w:r>
      <w:proofErr w:type="spellStart"/>
      <w:r w:rsidRPr="00467DB0">
        <w:t>nationalt</w:t>
      </w:r>
      <w:proofErr w:type="spellEnd"/>
      <w:r w:rsidRPr="00467DB0">
        <w:t xml:space="preserve"> plan, navnlig for så vidt angår Galileo, EGNOS og Copernicus.</w:t>
      </w:r>
    </w:p>
    <w:p w14:paraId="53E61606" w14:textId="77777777" w:rsidR="00000000" w:rsidRPr="00467DB0" w:rsidRDefault="00693D67" w:rsidP="00467DB0">
      <w:pPr>
        <w:pStyle w:val="friliste"/>
      </w:pPr>
      <w:r w:rsidRPr="00467DB0">
        <w:t>7.</w:t>
      </w:r>
      <w:r w:rsidRPr="00467DB0">
        <w:tab/>
      </w:r>
      <w:proofErr w:type="spellStart"/>
      <w:r w:rsidRPr="00467DB0">
        <w:t>Medlemsstaterne</w:t>
      </w:r>
      <w:proofErr w:type="spellEnd"/>
      <w:r w:rsidRPr="00467DB0">
        <w:t xml:space="preserve"> og </w:t>
      </w:r>
      <w:proofErr w:type="spellStart"/>
      <w:r w:rsidRPr="00467DB0">
        <w:t>Kommissionen</w:t>
      </w:r>
      <w:proofErr w:type="spellEnd"/>
      <w:r w:rsidRPr="00467DB0">
        <w:t xml:space="preserve"> </w:t>
      </w:r>
      <w:proofErr w:type="spellStart"/>
      <w:r w:rsidRPr="00467DB0">
        <w:t>samarbejder</w:t>
      </w:r>
      <w:proofErr w:type="spellEnd"/>
      <w:r w:rsidRPr="00467DB0">
        <w:t xml:space="preserve"> med </w:t>
      </w:r>
      <w:proofErr w:type="spellStart"/>
      <w:r w:rsidRPr="00467DB0">
        <w:t>henblik</w:t>
      </w:r>
      <w:proofErr w:type="spellEnd"/>
      <w:r w:rsidRPr="00467DB0">
        <w:t xml:space="preserve"> på at </w:t>
      </w:r>
      <w:proofErr w:type="spellStart"/>
      <w:r w:rsidRPr="00467DB0">
        <w:t>ud</w:t>
      </w:r>
      <w:r w:rsidRPr="00467DB0">
        <w:t>vikle</w:t>
      </w:r>
      <w:proofErr w:type="spellEnd"/>
      <w:r w:rsidRPr="00467DB0">
        <w:t xml:space="preserve"> den Copernicus-in </w:t>
      </w:r>
      <w:proofErr w:type="spellStart"/>
      <w:r w:rsidRPr="00467DB0">
        <w:t>situ</w:t>
      </w:r>
      <w:proofErr w:type="spellEnd"/>
      <w:r w:rsidRPr="00467DB0">
        <w:t xml:space="preserve">-komponent og de jordkalibreringstjenester, som er nødvendige for at anvende </w:t>
      </w:r>
      <w:proofErr w:type="spellStart"/>
      <w:r w:rsidRPr="00467DB0">
        <w:t>rumsystemerne</w:t>
      </w:r>
      <w:proofErr w:type="spellEnd"/>
      <w:r w:rsidRPr="00467DB0">
        <w:t xml:space="preserve"> og for at fremme </w:t>
      </w:r>
      <w:proofErr w:type="gramStart"/>
      <w:r w:rsidRPr="00467DB0">
        <w:t>anvendelsen</w:t>
      </w:r>
      <w:proofErr w:type="gramEnd"/>
      <w:r w:rsidRPr="00467DB0">
        <w:t xml:space="preserve"> </w:t>
      </w:r>
      <w:proofErr w:type="spellStart"/>
      <w:r w:rsidRPr="00467DB0">
        <w:t>af</w:t>
      </w:r>
      <w:proofErr w:type="spellEnd"/>
      <w:r w:rsidRPr="00467DB0">
        <w:t xml:space="preserve"> det </w:t>
      </w:r>
      <w:proofErr w:type="spellStart"/>
      <w:r w:rsidRPr="00467DB0">
        <w:t>fulde</w:t>
      </w:r>
      <w:proofErr w:type="spellEnd"/>
      <w:r w:rsidRPr="00467DB0">
        <w:t xml:space="preserve"> </w:t>
      </w:r>
      <w:proofErr w:type="spellStart"/>
      <w:r w:rsidRPr="00467DB0">
        <w:t>potentiale</w:t>
      </w:r>
      <w:proofErr w:type="spellEnd"/>
      <w:r w:rsidRPr="00467DB0">
        <w:t xml:space="preserve"> </w:t>
      </w:r>
      <w:proofErr w:type="spellStart"/>
      <w:r w:rsidRPr="00467DB0">
        <w:t>af</w:t>
      </w:r>
      <w:proofErr w:type="spellEnd"/>
      <w:r w:rsidRPr="00467DB0">
        <w:t xml:space="preserve"> Copernicus-in </w:t>
      </w:r>
      <w:proofErr w:type="spellStart"/>
      <w:r w:rsidRPr="00467DB0">
        <w:t>situ</w:t>
      </w:r>
      <w:proofErr w:type="spellEnd"/>
      <w:r w:rsidRPr="00467DB0">
        <w:t xml:space="preserve">- og </w:t>
      </w:r>
      <w:proofErr w:type="spellStart"/>
      <w:r w:rsidRPr="00467DB0">
        <w:t>referencedatasættene</w:t>
      </w:r>
      <w:proofErr w:type="spellEnd"/>
      <w:r w:rsidRPr="00467DB0">
        <w:t xml:space="preserve"> </w:t>
      </w:r>
      <w:proofErr w:type="spellStart"/>
      <w:r w:rsidRPr="00467DB0">
        <w:t>baseret</w:t>
      </w:r>
      <w:proofErr w:type="spellEnd"/>
      <w:r w:rsidRPr="00467DB0">
        <w:t xml:space="preserve"> på eksisterende </w:t>
      </w:r>
      <w:proofErr w:type="spellStart"/>
      <w:r w:rsidRPr="00467DB0">
        <w:t>kapaciteter</w:t>
      </w:r>
      <w:proofErr w:type="spellEnd"/>
      <w:r w:rsidRPr="00467DB0">
        <w:t>.</w:t>
      </w:r>
    </w:p>
    <w:p w14:paraId="3CE7B3AE" w14:textId="77777777" w:rsidR="00000000" w:rsidRPr="00467DB0" w:rsidRDefault="00693D67" w:rsidP="00467DB0">
      <w:pPr>
        <w:pStyle w:val="friliste"/>
      </w:pPr>
      <w:r w:rsidRPr="00467DB0">
        <w:t>8.</w:t>
      </w:r>
      <w:r w:rsidRPr="00467DB0">
        <w:tab/>
        <w:t xml:space="preserve">På </w:t>
      </w:r>
      <w:proofErr w:type="spellStart"/>
      <w:r w:rsidRPr="00467DB0">
        <w:t>sikkerhedsområdet</w:t>
      </w:r>
      <w:proofErr w:type="spellEnd"/>
      <w:r w:rsidRPr="00467DB0">
        <w:t xml:space="preserve"> </w:t>
      </w:r>
      <w:proofErr w:type="spellStart"/>
      <w:r w:rsidRPr="00467DB0">
        <w:t>udfører</w:t>
      </w:r>
      <w:proofErr w:type="spellEnd"/>
      <w:r w:rsidRPr="00467DB0">
        <w:t xml:space="preserve"> </w:t>
      </w:r>
      <w:proofErr w:type="spellStart"/>
      <w:r w:rsidRPr="00467DB0">
        <w:t>medlemsstaterne</w:t>
      </w:r>
      <w:proofErr w:type="spellEnd"/>
      <w:r w:rsidRPr="00467DB0">
        <w:t xml:space="preserve">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34, stk. 6.</w:t>
      </w:r>
    </w:p>
    <w:p w14:paraId="1FE4E956" w14:textId="77777777" w:rsidR="00000000" w:rsidRPr="00467DB0" w:rsidRDefault="00693D67" w:rsidP="00467DB0">
      <w:pPr>
        <w:pStyle w:val="avsnitt-undertittel"/>
      </w:pPr>
      <w:proofErr w:type="spellStart"/>
      <w:r w:rsidRPr="00467DB0">
        <w:lastRenderedPageBreak/>
        <w:t>Artikel</w:t>
      </w:r>
      <w:proofErr w:type="spellEnd"/>
      <w:r w:rsidRPr="00467DB0">
        <w:t> 28</w:t>
      </w:r>
    </w:p>
    <w:p w14:paraId="2BD85AE4" w14:textId="77777777" w:rsidR="00000000" w:rsidRPr="00467DB0" w:rsidRDefault="00693D67" w:rsidP="00467DB0">
      <w:pPr>
        <w:pStyle w:val="Undertittel"/>
      </w:pPr>
      <w:proofErr w:type="spellStart"/>
      <w:r w:rsidRPr="00467DB0">
        <w:t>Kommissionens</w:t>
      </w:r>
      <w:proofErr w:type="spellEnd"/>
      <w:r w:rsidRPr="00467DB0">
        <w:t xml:space="preserve"> rolle</w:t>
      </w:r>
    </w:p>
    <w:p w14:paraId="26239DB8"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har det overordnede ansvar for </w:t>
      </w:r>
      <w:proofErr w:type="spellStart"/>
      <w:r w:rsidRPr="00467DB0">
        <w:t>gennemførelsen</w:t>
      </w:r>
      <w:proofErr w:type="spellEnd"/>
      <w:r w:rsidRPr="00467DB0">
        <w:t xml:space="preserve"> </w:t>
      </w:r>
      <w:proofErr w:type="spellStart"/>
      <w:r w:rsidRPr="00467DB0">
        <w:t>af</w:t>
      </w:r>
      <w:proofErr w:type="spellEnd"/>
      <w:r w:rsidRPr="00467DB0">
        <w:t xml:space="preserve"> programmet, herunder på </w:t>
      </w:r>
      <w:proofErr w:type="spellStart"/>
      <w:r w:rsidRPr="00467DB0">
        <w:t>sikkerhedsområdet</w:t>
      </w:r>
      <w:proofErr w:type="spellEnd"/>
      <w:r w:rsidRPr="00467DB0">
        <w:t xml:space="preserve">, </w:t>
      </w:r>
      <w:proofErr w:type="spellStart"/>
      <w:r w:rsidRPr="00467DB0">
        <w:t>uden</w:t>
      </w:r>
      <w:proofErr w:type="spellEnd"/>
      <w:r w:rsidRPr="00467DB0">
        <w:t xml:space="preserve"> at det berøre</w:t>
      </w:r>
      <w:r w:rsidRPr="00467DB0">
        <w:t xml:space="preserve">r </w:t>
      </w:r>
      <w:proofErr w:type="spellStart"/>
      <w:r w:rsidRPr="00467DB0">
        <w:t>medlemsstaternes</w:t>
      </w:r>
      <w:proofErr w:type="spellEnd"/>
      <w:r w:rsidRPr="00467DB0">
        <w:t xml:space="preserve"> </w:t>
      </w:r>
      <w:proofErr w:type="spellStart"/>
      <w:r w:rsidRPr="00467DB0">
        <w:t>beføjelser</w:t>
      </w:r>
      <w:proofErr w:type="spellEnd"/>
      <w:r w:rsidRPr="00467DB0">
        <w:t xml:space="preserve"> på området for </w:t>
      </w:r>
      <w:proofErr w:type="spellStart"/>
      <w:r w:rsidRPr="00467DB0">
        <w:t>national</w:t>
      </w:r>
      <w:proofErr w:type="spellEnd"/>
      <w:r w:rsidRPr="00467DB0">
        <w:t xml:space="preserve"> </w:t>
      </w:r>
      <w:proofErr w:type="spellStart"/>
      <w:r w:rsidRPr="00467DB0">
        <w:t>sikkerhed</w:t>
      </w:r>
      <w:proofErr w:type="spellEnd"/>
      <w:r w:rsidRPr="00467DB0">
        <w:t xml:space="preserve">. </w:t>
      </w:r>
      <w:proofErr w:type="spellStart"/>
      <w:r w:rsidRPr="00467DB0">
        <w:t>Kommissionen</w:t>
      </w:r>
      <w:proofErr w:type="spellEnd"/>
      <w:r w:rsidRPr="00467DB0">
        <w:t xml:space="preserve"> skal i overensstemmelse med denne forordning </w:t>
      </w:r>
      <w:proofErr w:type="spellStart"/>
      <w:r w:rsidRPr="00467DB0">
        <w:t>fastsætte</w:t>
      </w:r>
      <w:proofErr w:type="spellEnd"/>
      <w:r w:rsidRPr="00467DB0">
        <w:t xml:space="preserve"> programmets prioriteter og </w:t>
      </w:r>
      <w:proofErr w:type="spellStart"/>
      <w:r w:rsidRPr="00467DB0">
        <w:t>udvikling</w:t>
      </w:r>
      <w:proofErr w:type="spellEnd"/>
      <w:r w:rsidRPr="00467DB0">
        <w:t xml:space="preserve"> på lang </w:t>
      </w:r>
      <w:proofErr w:type="spellStart"/>
      <w:r w:rsidRPr="00467DB0">
        <w:t>sigt</w:t>
      </w:r>
      <w:proofErr w:type="spellEnd"/>
      <w:r w:rsidRPr="00467DB0">
        <w:t xml:space="preserve"> på linje med </w:t>
      </w:r>
      <w:proofErr w:type="spellStart"/>
      <w:r w:rsidRPr="00467DB0">
        <w:t>brugernes</w:t>
      </w:r>
      <w:proofErr w:type="spellEnd"/>
      <w:r w:rsidRPr="00467DB0">
        <w:t xml:space="preserve"> krav og </w:t>
      </w:r>
      <w:proofErr w:type="spellStart"/>
      <w:r w:rsidRPr="00467DB0">
        <w:t>overvåge</w:t>
      </w:r>
      <w:proofErr w:type="spellEnd"/>
      <w:r w:rsidRPr="00467DB0">
        <w:t xml:space="preserve"> </w:t>
      </w:r>
      <w:proofErr w:type="spellStart"/>
      <w:r w:rsidRPr="00467DB0">
        <w:t>gennemførelsen</w:t>
      </w:r>
      <w:proofErr w:type="spellEnd"/>
      <w:r w:rsidRPr="00467DB0">
        <w:t xml:space="preserve"> </w:t>
      </w:r>
      <w:proofErr w:type="spellStart"/>
      <w:r w:rsidRPr="00467DB0">
        <w:t>heraf</w:t>
      </w:r>
      <w:proofErr w:type="spellEnd"/>
      <w:r w:rsidRPr="00467DB0">
        <w:t xml:space="preserve">, </w:t>
      </w:r>
      <w:proofErr w:type="spellStart"/>
      <w:r w:rsidRPr="00467DB0">
        <w:t>uden</w:t>
      </w:r>
      <w:proofErr w:type="spellEnd"/>
      <w:r w:rsidRPr="00467DB0">
        <w:t xml:space="preserve"> at det</w:t>
      </w:r>
      <w:r w:rsidRPr="00467DB0">
        <w:t xml:space="preserve"> berører andre EU-politikker.</w:t>
      </w:r>
    </w:p>
    <w:p w14:paraId="3F665ADC"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forvalter alle programmets komponenter eller delkomponenter, som ikke er overdraget til </w:t>
      </w:r>
      <w:proofErr w:type="gramStart"/>
      <w:r w:rsidRPr="00467DB0">
        <w:t>en anden</w:t>
      </w:r>
      <w:proofErr w:type="gramEnd"/>
      <w:r w:rsidRPr="00467DB0">
        <w:t xml:space="preserve"> </w:t>
      </w:r>
      <w:proofErr w:type="spellStart"/>
      <w:r w:rsidRPr="00467DB0">
        <w:t>enhed</w:t>
      </w:r>
      <w:proofErr w:type="spellEnd"/>
      <w:r w:rsidRPr="00467DB0">
        <w:t xml:space="preserve">, navnlig GOVSATCOM, NEO-delkomponent, SWE-delkomponent og de i </w:t>
      </w:r>
      <w:proofErr w:type="spellStart"/>
      <w:r w:rsidRPr="00467DB0">
        <w:t>artikel</w:t>
      </w:r>
      <w:proofErr w:type="spellEnd"/>
      <w:r w:rsidRPr="00467DB0">
        <w:t xml:space="preserve"> 55, stk. 1, litra d), omhandlede akt</w:t>
      </w:r>
      <w:r w:rsidRPr="00467DB0">
        <w:t>iviteter.</w:t>
      </w:r>
    </w:p>
    <w:p w14:paraId="54B87A8B"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sikrer en klar fordeling </w:t>
      </w:r>
      <w:proofErr w:type="spellStart"/>
      <w:r w:rsidRPr="00467DB0">
        <w:t>af</w:t>
      </w:r>
      <w:proofErr w:type="spellEnd"/>
      <w:r w:rsidRPr="00467DB0">
        <w:t xml:space="preserve"> </w:t>
      </w:r>
      <w:proofErr w:type="spellStart"/>
      <w:r w:rsidRPr="00467DB0">
        <w:t>opgaver</w:t>
      </w:r>
      <w:proofErr w:type="spellEnd"/>
      <w:r w:rsidRPr="00467DB0">
        <w:t xml:space="preserve"> og ansvar </w:t>
      </w:r>
      <w:proofErr w:type="spellStart"/>
      <w:r w:rsidRPr="00467DB0">
        <w:t>mellem</w:t>
      </w:r>
      <w:proofErr w:type="spellEnd"/>
      <w:r w:rsidRPr="00467DB0">
        <w:t xml:space="preserve"> de </w:t>
      </w:r>
      <w:proofErr w:type="spellStart"/>
      <w:r w:rsidRPr="00467DB0">
        <w:t>forskellige</w:t>
      </w:r>
      <w:proofErr w:type="spellEnd"/>
      <w:r w:rsidRPr="00467DB0">
        <w:t xml:space="preserve"> </w:t>
      </w:r>
      <w:proofErr w:type="spellStart"/>
      <w:r w:rsidRPr="00467DB0">
        <w:t>enheder</w:t>
      </w:r>
      <w:proofErr w:type="spellEnd"/>
      <w:r w:rsidRPr="00467DB0">
        <w:t xml:space="preserve">, der er </w:t>
      </w:r>
      <w:proofErr w:type="spellStart"/>
      <w:r w:rsidRPr="00467DB0">
        <w:t>involveret</w:t>
      </w:r>
      <w:proofErr w:type="spellEnd"/>
      <w:r w:rsidRPr="00467DB0">
        <w:t xml:space="preserve"> i programmet, og koordinerer </w:t>
      </w:r>
      <w:proofErr w:type="spellStart"/>
      <w:r w:rsidRPr="00467DB0">
        <w:t>aktiviteterne</w:t>
      </w:r>
      <w:proofErr w:type="spellEnd"/>
      <w:r w:rsidRPr="00467DB0">
        <w:t xml:space="preserve"> i disse </w:t>
      </w:r>
      <w:proofErr w:type="spellStart"/>
      <w:r w:rsidRPr="00467DB0">
        <w:t>enheder</w:t>
      </w:r>
      <w:proofErr w:type="spellEnd"/>
      <w:r w:rsidRPr="00467DB0">
        <w:t xml:space="preserve">. </w:t>
      </w:r>
      <w:proofErr w:type="spellStart"/>
      <w:r w:rsidRPr="00467DB0">
        <w:t>Kommissionen</w:t>
      </w:r>
      <w:proofErr w:type="spellEnd"/>
      <w:r w:rsidRPr="00467DB0">
        <w:t xml:space="preserve"> sikrer også, at alle de bemyndigede </w:t>
      </w:r>
      <w:proofErr w:type="spellStart"/>
      <w:r w:rsidRPr="00467DB0">
        <w:t>enheder</w:t>
      </w:r>
      <w:proofErr w:type="spellEnd"/>
      <w:r w:rsidRPr="00467DB0">
        <w:t xml:space="preserve">, der er </w:t>
      </w:r>
      <w:proofErr w:type="spellStart"/>
      <w:r w:rsidRPr="00467DB0">
        <w:t>involveret</w:t>
      </w:r>
      <w:proofErr w:type="spellEnd"/>
      <w:r w:rsidRPr="00467DB0">
        <w:t xml:space="preserve"> i </w:t>
      </w:r>
      <w:proofErr w:type="spellStart"/>
      <w:r w:rsidRPr="00467DB0">
        <w:t>gennemførelsen</w:t>
      </w:r>
      <w:proofErr w:type="spellEnd"/>
      <w:r w:rsidRPr="00467DB0">
        <w:t xml:space="preserve"> </w:t>
      </w:r>
      <w:proofErr w:type="spellStart"/>
      <w:r w:rsidRPr="00467DB0">
        <w:t>af</w:t>
      </w:r>
      <w:proofErr w:type="spellEnd"/>
      <w:r w:rsidRPr="00467DB0">
        <w:t xml:space="preserve"> programmet, beskytter Unionens interesser, sikrer forsvarlig forvaltning </w:t>
      </w:r>
      <w:proofErr w:type="spellStart"/>
      <w:r w:rsidRPr="00467DB0">
        <w:t>af</w:t>
      </w:r>
      <w:proofErr w:type="spellEnd"/>
      <w:r w:rsidRPr="00467DB0">
        <w:t xml:space="preserve"> Unionens midler og overholder finansforordningen og nærværende forordning.</w:t>
      </w:r>
    </w:p>
    <w:p w14:paraId="4442116B"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w:t>
      </w:r>
      <w:proofErr w:type="spellStart"/>
      <w:r w:rsidRPr="00467DB0">
        <w:t>indgår</w:t>
      </w:r>
      <w:proofErr w:type="spellEnd"/>
      <w:r w:rsidRPr="00467DB0">
        <w:t xml:space="preserve"> </w:t>
      </w:r>
      <w:proofErr w:type="gramStart"/>
      <w:r w:rsidRPr="00467DB0">
        <w:t>under hensyntagen</w:t>
      </w:r>
      <w:proofErr w:type="gramEnd"/>
      <w:r w:rsidRPr="00467DB0">
        <w:t xml:space="preserve"> til 2004-rammeaftalen en </w:t>
      </w:r>
      <w:proofErr w:type="spellStart"/>
      <w:r w:rsidRPr="00467DB0">
        <w:t>finansiel</w:t>
      </w:r>
      <w:proofErr w:type="spellEnd"/>
      <w:r w:rsidRPr="00467DB0">
        <w:t xml:space="preserve"> </w:t>
      </w:r>
      <w:proofErr w:type="spellStart"/>
      <w:r w:rsidRPr="00467DB0">
        <w:t>partners</w:t>
      </w:r>
      <w:r w:rsidRPr="00467DB0">
        <w:t>kabsrammeaftale</w:t>
      </w:r>
      <w:proofErr w:type="spellEnd"/>
      <w:r w:rsidRPr="00467DB0">
        <w:t xml:space="preserve"> med agenturet og ESA, jf. finansforordningens </w:t>
      </w:r>
      <w:proofErr w:type="spellStart"/>
      <w:r w:rsidRPr="00467DB0">
        <w:t>artikel</w:t>
      </w:r>
      <w:proofErr w:type="spellEnd"/>
      <w:r w:rsidRPr="00467DB0">
        <w:t xml:space="preserve"> 130.</w:t>
      </w:r>
    </w:p>
    <w:p w14:paraId="35A3176E" w14:textId="77777777" w:rsidR="00000000" w:rsidRPr="00467DB0" w:rsidRDefault="00693D67" w:rsidP="00467DB0">
      <w:pPr>
        <w:pStyle w:val="friliste"/>
      </w:pPr>
      <w:r w:rsidRPr="00467DB0">
        <w:t>5.</w:t>
      </w:r>
      <w:r w:rsidRPr="00467DB0">
        <w:tab/>
        <w:t xml:space="preserve">Hvis det er </w:t>
      </w:r>
      <w:proofErr w:type="spellStart"/>
      <w:r w:rsidRPr="00467DB0">
        <w:t>nødvendigt</w:t>
      </w:r>
      <w:proofErr w:type="spellEnd"/>
      <w:r w:rsidRPr="00467DB0">
        <w:t xml:space="preserve"> for, at programmet og de tjenester, der leveres </w:t>
      </w:r>
      <w:proofErr w:type="spellStart"/>
      <w:r w:rsidRPr="00467DB0">
        <w:t>af</w:t>
      </w:r>
      <w:proofErr w:type="spellEnd"/>
      <w:r w:rsidRPr="00467DB0">
        <w:t xml:space="preserve"> programmets komponenter, kan fungere gnidningsløst, </w:t>
      </w:r>
      <w:proofErr w:type="spellStart"/>
      <w:r w:rsidRPr="00467DB0">
        <w:t>fastsætter</w:t>
      </w:r>
      <w:proofErr w:type="spellEnd"/>
      <w:r w:rsidRPr="00467DB0">
        <w:t xml:space="preserve"> </w:t>
      </w:r>
      <w:proofErr w:type="spellStart"/>
      <w:r w:rsidRPr="00467DB0">
        <w:t>Kommissionen</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w:t>
      </w:r>
      <w:r w:rsidRPr="00467DB0">
        <w:t>etsakter</w:t>
      </w:r>
      <w:proofErr w:type="spellEnd"/>
      <w:r w:rsidRPr="00467DB0">
        <w:t xml:space="preserve"> de tekniske og </w:t>
      </w:r>
      <w:proofErr w:type="spellStart"/>
      <w:r w:rsidRPr="00467DB0">
        <w:t>operationelle</w:t>
      </w:r>
      <w:proofErr w:type="spellEnd"/>
      <w:r w:rsidRPr="00467DB0">
        <w:t xml:space="preserve"> krav, som er nødvendige for </w:t>
      </w:r>
      <w:proofErr w:type="spellStart"/>
      <w:r w:rsidRPr="00467DB0">
        <w:t>gennemførelsen</w:t>
      </w:r>
      <w:proofErr w:type="spellEnd"/>
      <w:r w:rsidRPr="00467DB0">
        <w:t xml:space="preserve"> og </w:t>
      </w:r>
      <w:proofErr w:type="spellStart"/>
      <w:r w:rsidRPr="00467DB0">
        <w:t>udviklingen</w:t>
      </w:r>
      <w:proofErr w:type="spellEnd"/>
      <w:r w:rsidRPr="00467DB0">
        <w:t xml:space="preserve"> </w:t>
      </w:r>
      <w:proofErr w:type="spellStart"/>
      <w:r w:rsidRPr="00467DB0">
        <w:t>af</w:t>
      </w:r>
      <w:proofErr w:type="spellEnd"/>
      <w:r w:rsidRPr="00467DB0">
        <w:t xml:space="preserve"> disse komponenter og </w:t>
      </w:r>
      <w:proofErr w:type="spellStart"/>
      <w:r w:rsidRPr="00467DB0">
        <w:t>af</w:t>
      </w:r>
      <w:proofErr w:type="spellEnd"/>
      <w:r w:rsidRPr="00467DB0">
        <w:t xml:space="preserve"> de tjenester, de leverer, efter samråd med </w:t>
      </w:r>
      <w:proofErr w:type="spellStart"/>
      <w:r w:rsidRPr="00467DB0">
        <w:t>brugerne</w:t>
      </w:r>
      <w:proofErr w:type="spellEnd"/>
      <w:r w:rsidRPr="00467DB0">
        <w:t xml:space="preserve">, herunder </w:t>
      </w:r>
      <w:proofErr w:type="spellStart"/>
      <w:r w:rsidRPr="00467DB0">
        <w:t>gennem</w:t>
      </w:r>
      <w:proofErr w:type="spellEnd"/>
      <w:r w:rsidRPr="00467DB0">
        <w:t xml:space="preserve"> det </w:t>
      </w:r>
      <w:proofErr w:type="spellStart"/>
      <w:r w:rsidRPr="00467DB0">
        <w:t>brugerforum</w:t>
      </w:r>
      <w:proofErr w:type="spellEnd"/>
      <w:r w:rsidRPr="00467DB0">
        <w:t xml:space="preserve">, der er omhandlet i </w:t>
      </w:r>
      <w:proofErr w:type="spellStart"/>
      <w:r w:rsidRPr="00467DB0">
        <w:t>artikel</w:t>
      </w:r>
      <w:proofErr w:type="spellEnd"/>
      <w:r w:rsidRPr="00467DB0">
        <w:t xml:space="preserve"> 107, stk. 6, og andr</w:t>
      </w:r>
      <w:r w:rsidRPr="00467DB0">
        <w:t xml:space="preserve">e aktører. Ved </w:t>
      </w:r>
      <w:proofErr w:type="spellStart"/>
      <w:r w:rsidRPr="00467DB0">
        <w:t>fastsættelsen</w:t>
      </w:r>
      <w:proofErr w:type="spellEnd"/>
      <w:r w:rsidRPr="00467DB0">
        <w:t xml:space="preserve"> </w:t>
      </w:r>
      <w:proofErr w:type="spellStart"/>
      <w:r w:rsidRPr="00467DB0">
        <w:t>af</w:t>
      </w:r>
      <w:proofErr w:type="spellEnd"/>
      <w:r w:rsidRPr="00467DB0">
        <w:t xml:space="preserve"> disse tekniske og </w:t>
      </w:r>
      <w:proofErr w:type="spellStart"/>
      <w:r w:rsidRPr="00467DB0">
        <w:t>operationelle</w:t>
      </w:r>
      <w:proofErr w:type="spellEnd"/>
      <w:r w:rsidRPr="00467DB0">
        <w:t xml:space="preserve"> krav skal </w:t>
      </w:r>
      <w:proofErr w:type="spellStart"/>
      <w:r w:rsidRPr="00467DB0">
        <w:t>Kommissionen</w:t>
      </w:r>
      <w:proofErr w:type="spellEnd"/>
      <w:r w:rsidRPr="00467DB0">
        <w:t xml:space="preserve"> </w:t>
      </w:r>
      <w:proofErr w:type="spellStart"/>
      <w:r w:rsidRPr="00467DB0">
        <w:t>undgå</w:t>
      </w:r>
      <w:proofErr w:type="spellEnd"/>
      <w:r w:rsidRPr="00467DB0">
        <w:t xml:space="preserve"> at </w:t>
      </w:r>
      <w:proofErr w:type="spellStart"/>
      <w:r w:rsidRPr="00467DB0">
        <w:t>sænke</w:t>
      </w:r>
      <w:proofErr w:type="spellEnd"/>
      <w:r w:rsidRPr="00467DB0">
        <w:t xml:space="preserve"> det generelle </w:t>
      </w:r>
      <w:proofErr w:type="spellStart"/>
      <w:r w:rsidRPr="00467DB0">
        <w:t>sikkerhedsniveau</w:t>
      </w:r>
      <w:proofErr w:type="spellEnd"/>
      <w:r w:rsidRPr="00467DB0">
        <w:t xml:space="preserve"> og støtte behovet for </w:t>
      </w:r>
      <w:proofErr w:type="spellStart"/>
      <w:r w:rsidRPr="00467DB0">
        <w:t>bagudkompatibilitet</w:t>
      </w:r>
      <w:proofErr w:type="spellEnd"/>
      <w:r w:rsidRPr="00467DB0">
        <w:t>.</w:t>
      </w:r>
    </w:p>
    <w:p w14:paraId="4CC69D78" w14:textId="77777777" w:rsidR="00000000" w:rsidRPr="00467DB0" w:rsidRDefault="00693D67" w:rsidP="00467DB0">
      <w:pPr>
        <w:pStyle w:val="Listeavsnitt"/>
      </w:pPr>
      <w:r w:rsidRPr="00467DB0">
        <w:t xml:space="preserve">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7A93DB82" w14:textId="77777777" w:rsidR="00000000" w:rsidRPr="00467DB0" w:rsidRDefault="00693D67" w:rsidP="00467DB0">
      <w:pPr>
        <w:pStyle w:val="friliste"/>
      </w:pPr>
      <w:r w:rsidRPr="00467DB0">
        <w:t>6.</w:t>
      </w:r>
      <w:r w:rsidRPr="00467DB0">
        <w:tab/>
      </w:r>
      <w:proofErr w:type="spellStart"/>
      <w:r w:rsidRPr="00467DB0">
        <w:t>Uden</w:t>
      </w:r>
      <w:proofErr w:type="spellEnd"/>
      <w:r w:rsidRPr="00467DB0">
        <w:t xml:space="preserve"> at det berør</w:t>
      </w:r>
      <w:r w:rsidRPr="00467DB0">
        <w:t xml:space="preserve">er agenturets og andre bemyndigede </w:t>
      </w:r>
      <w:proofErr w:type="spellStart"/>
      <w:r w:rsidRPr="00467DB0">
        <w:t>enheders</w:t>
      </w:r>
      <w:proofErr w:type="spellEnd"/>
      <w:r w:rsidRPr="00467DB0">
        <w:t xml:space="preserve"> </w:t>
      </w:r>
      <w:proofErr w:type="spellStart"/>
      <w:r w:rsidRPr="00467DB0">
        <w:t>opgaver</w:t>
      </w:r>
      <w:proofErr w:type="spellEnd"/>
      <w:r w:rsidRPr="00467DB0">
        <w:t xml:space="preserve">, sikrer </w:t>
      </w:r>
      <w:proofErr w:type="spellStart"/>
      <w:r w:rsidRPr="00467DB0">
        <w:t>Kommissionen</w:t>
      </w:r>
      <w:proofErr w:type="spellEnd"/>
      <w:r w:rsidRPr="00467DB0">
        <w:t xml:space="preserve">, at </w:t>
      </w:r>
      <w:proofErr w:type="spellStart"/>
      <w:r w:rsidRPr="00467DB0">
        <w:t>ibrugtagningen</w:t>
      </w:r>
      <w:proofErr w:type="spellEnd"/>
      <w:r w:rsidRPr="00467DB0">
        <w:t xml:space="preserve"> og </w:t>
      </w:r>
      <w:proofErr w:type="gramStart"/>
      <w:r w:rsidRPr="00467DB0">
        <w:t>anvendelsen</w:t>
      </w:r>
      <w:proofErr w:type="gramEnd"/>
      <w:r w:rsidRPr="00467DB0">
        <w:t xml:space="preserve"> </w:t>
      </w:r>
      <w:proofErr w:type="spellStart"/>
      <w:r w:rsidRPr="00467DB0">
        <w:t>af</w:t>
      </w:r>
      <w:proofErr w:type="spellEnd"/>
      <w:r w:rsidRPr="00467DB0">
        <w:t xml:space="preserve"> de data og tjenester, der leveres </w:t>
      </w:r>
      <w:proofErr w:type="spellStart"/>
      <w:r w:rsidRPr="00467DB0">
        <w:t>af</w:t>
      </w:r>
      <w:proofErr w:type="spellEnd"/>
      <w:r w:rsidRPr="00467DB0">
        <w:t xml:space="preserve"> programmets komponenter, fremmes og maksimeres </w:t>
      </w:r>
      <w:proofErr w:type="spellStart"/>
      <w:r w:rsidRPr="00467DB0">
        <w:t>inden</w:t>
      </w:r>
      <w:proofErr w:type="spellEnd"/>
      <w:r w:rsidRPr="00467DB0">
        <w:t xml:space="preserve"> for offentlige og private sektorer, herunder ved at støt</w:t>
      </w:r>
      <w:r w:rsidRPr="00467DB0">
        <w:t xml:space="preserve">te passende </w:t>
      </w:r>
      <w:proofErr w:type="spellStart"/>
      <w:r w:rsidRPr="00467DB0">
        <w:t>udvikling</w:t>
      </w:r>
      <w:proofErr w:type="spellEnd"/>
      <w:r w:rsidRPr="00467DB0">
        <w:t xml:space="preserve"> </w:t>
      </w:r>
      <w:proofErr w:type="spellStart"/>
      <w:r w:rsidRPr="00467DB0">
        <w:t>af</w:t>
      </w:r>
      <w:proofErr w:type="spellEnd"/>
      <w:r w:rsidRPr="00467DB0">
        <w:t xml:space="preserve"> disse tjenester og </w:t>
      </w:r>
      <w:proofErr w:type="spellStart"/>
      <w:r w:rsidRPr="00467DB0">
        <w:t>brugervenlige</w:t>
      </w:r>
      <w:proofErr w:type="spellEnd"/>
      <w:r w:rsidRPr="00467DB0">
        <w:t xml:space="preserve"> </w:t>
      </w:r>
      <w:proofErr w:type="spellStart"/>
      <w:r w:rsidRPr="00467DB0">
        <w:t>grænseflader</w:t>
      </w:r>
      <w:proofErr w:type="spellEnd"/>
      <w:r w:rsidRPr="00467DB0">
        <w:t xml:space="preserve"> samt ved at fremme et stabilt og </w:t>
      </w:r>
      <w:proofErr w:type="spellStart"/>
      <w:r w:rsidRPr="00467DB0">
        <w:t>langsigtet</w:t>
      </w:r>
      <w:proofErr w:type="spellEnd"/>
      <w:r w:rsidRPr="00467DB0">
        <w:t xml:space="preserve"> miljø. Den </w:t>
      </w:r>
      <w:proofErr w:type="spellStart"/>
      <w:r w:rsidRPr="00467DB0">
        <w:t>udvikler</w:t>
      </w:r>
      <w:proofErr w:type="spellEnd"/>
      <w:r w:rsidRPr="00467DB0">
        <w:t xml:space="preserve"> passende synergier </w:t>
      </w:r>
      <w:proofErr w:type="spellStart"/>
      <w:r w:rsidRPr="00467DB0">
        <w:t>mellem</w:t>
      </w:r>
      <w:proofErr w:type="spellEnd"/>
      <w:r w:rsidRPr="00467DB0">
        <w:t xml:space="preserve"> </w:t>
      </w:r>
      <w:proofErr w:type="spellStart"/>
      <w:r w:rsidRPr="00467DB0">
        <w:t>applikationerne</w:t>
      </w:r>
      <w:proofErr w:type="spellEnd"/>
      <w:r w:rsidRPr="00467DB0">
        <w:t xml:space="preserve"> i programmets </w:t>
      </w:r>
      <w:proofErr w:type="spellStart"/>
      <w:r w:rsidRPr="00467DB0">
        <w:t>forskellige</w:t>
      </w:r>
      <w:proofErr w:type="spellEnd"/>
      <w:r w:rsidRPr="00467DB0">
        <w:t xml:space="preserve"> komponenter. Den sørger for </w:t>
      </w:r>
      <w:proofErr w:type="spellStart"/>
      <w:r w:rsidRPr="00467DB0">
        <w:t>sammenhæng</w:t>
      </w:r>
      <w:proofErr w:type="spellEnd"/>
      <w:r w:rsidRPr="00467DB0">
        <w:t>, konsistens, s</w:t>
      </w:r>
      <w:r w:rsidRPr="00467DB0">
        <w:t xml:space="preserve">ynergier og forbindelser </w:t>
      </w:r>
      <w:proofErr w:type="spellStart"/>
      <w:r w:rsidRPr="00467DB0">
        <w:t>mellem</w:t>
      </w:r>
      <w:proofErr w:type="spellEnd"/>
      <w:r w:rsidRPr="00467DB0">
        <w:t xml:space="preserve"> programmet og andre EU-foranstaltninger og -programmer.</w:t>
      </w:r>
    </w:p>
    <w:p w14:paraId="1558FF0B" w14:textId="77777777" w:rsidR="00000000" w:rsidRPr="00467DB0" w:rsidRDefault="00693D67" w:rsidP="00467DB0">
      <w:pPr>
        <w:pStyle w:val="friliste"/>
      </w:pPr>
      <w:r w:rsidRPr="00467DB0">
        <w:t>7.</w:t>
      </w:r>
      <w:r w:rsidRPr="00467DB0">
        <w:tab/>
      </w:r>
      <w:proofErr w:type="spellStart"/>
      <w:r w:rsidRPr="00467DB0">
        <w:t>Kommissionen</w:t>
      </w:r>
      <w:proofErr w:type="spellEnd"/>
      <w:r w:rsidRPr="00467DB0">
        <w:t xml:space="preserve"> sikrer om </w:t>
      </w:r>
      <w:proofErr w:type="spellStart"/>
      <w:r w:rsidRPr="00467DB0">
        <w:t>nødvendigt</w:t>
      </w:r>
      <w:proofErr w:type="spellEnd"/>
      <w:r w:rsidRPr="00467DB0">
        <w:t xml:space="preserve"> </w:t>
      </w:r>
      <w:proofErr w:type="spellStart"/>
      <w:r w:rsidRPr="00467DB0">
        <w:t>sammenhæng</w:t>
      </w:r>
      <w:proofErr w:type="spellEnd"/>
      <w:r w:rsidRPr="00467DB0">
        <w:t xml:space="preserve"> </w:t>
      </w:r>
      <w:proofErr w:type="spellStart"/>
      <w:r w:rsidRPr="00467DB0">
        <w:t>mellem</w:t>
      </w:r>
      <w:proofErr w:type="spellEnd"/>
      <w:r w:rsidRPr="00467DB0">
        <w:t xml:space="preserve"> de aktiviteter, som </w:t>
      </w:r>
      <w:proofErr w:type="spellStart"/>
      <w:r w:rsidRPr="00467DB0">
        <w:t>gennemføres</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og de aktiviteter, der </w:t>
      </w:r>
      <w:proofErr w:type="spellStart"/>
      <w:r w:rsidRPr="00467DB0">
        <w:t>udføres</w:t>
      </w:r>
      <w:proofErr w:type="spellEnd"/>
      <w:r w:rsidRPr="00467DB0">
        <w:t xml:space="preserve"> på </w:t>
      </w:r>
      <w:proofErr w:type="spellStart"/>
      <w:r w:rsidRPr="00467DB0">
        <w:t>rumområdet</w:t>
      </w:r>
      <w:proofErr w:type="spellEnd"/>
      <w:r w:rsidRPr="00467DB0">
        <w:t xml:space="preserve"> på</w:t>
      </w:r>
      <w:r w:rsidRPr="00467DB0">
        <w:t xml:space="preserve"> EU-plan, </w:t>
      </w:r>
      <w:proofErr w:type="spellStart"/>
      <w:r w:rsidRPr="00467DB0">
        <w:t>nationalt</w:t>
      </w:r>
      <w:proofErr w:type="spellEnd"/>
      <w:r w:rsidRPr="00467DB0">
        <w:t xml:space="preserve"> plan eller </w:t>
      </w:r>
      <w:proofErr w:type="spellStart"/>
      <w:r w:rsidRPr="00467DB0">
        <w:t>internationalt</w:t>
      </w:r>
      <w:proofErr w:type="spellEnd"/>
      <w:r w:rsidRPr="00467DB0">
        <w:t xml:space="preserve"> plan. Den støtter </w:t>
      </w:r>
      <w:proofErr w:type="spellStart"/>
      <w:r w:rsidRPr="00467DB0">
        <w:t>samarbejdet</w:t>
      </w:r>
      <w:proofErr w:type="spellEnd"/>
      <w:r w:rsidRPr="00467DB0">
        <w:t xml:space="preserve"> </w:t>
      </w:r>
      <w:proofErr w:type="spellStart"/>
      <w:r w:rsidRPr="00467DB0">
        <w:t>mellem</w:t>
      </w:r>
      <w:proofErr w:type="spellEnd"/>
      <w:r w:rsidRPr="00467DB0">
        <w:t xml:space="preserve"> </w:t>
      </w:r>
      <w:proofErr w:type="spellStart"/>
      <w:r w:rsidRPr="00467DB0">
        <w:t>medlemsstaterne</w:t>
      </w:r>
      <w:proofErr w:type="spellEnd"/>
      <w:r w:rsidRPr="00467DB0">
        <w:t xml:space="preserve"> og fremmer, når det er relevant i forhold til programmet, konvergens </w:t>
      </w:r>
      <w:proofErr w:type="spellStart"/>
      <w:r w:rsidRPr="00467DB0">
        <w:t>mellem</w:t>
      </w:r>
      <w:proofErr w:type="spellEnd"/>
      <w:r w:rsidRPr="00467DB0">
        <w:t xml:space="preserve"> deres teknologiske </w:t>
      </w:r>
      <w:proofErr w:type="spellStart"/>
      <w:r w:rsidRPr="00467DB0">
        <w:t>kapacitet</w:t>
      </w:r>
      <w:proofErr w:type="spellEnd"/>
      <w:r w:rsidRPr="00467DB0">
        <w:t xml:space="preserve"> og </w:t>
      </w:r>
      <w:proofErr w:type="spellStart"/>
      <w:r w:rsidRPr="00467DB0">
        <w:t>udvikling</w:t>
      </w:r>
      <w:proofErr w:type="spellEnd"/>
      <w:r w:rsidRPr="00467DB0">
        <w:t xml:space="preserve"> på </w:t>
      </w:r>
      <w:proofErr w:type="spellStart"/>
      <w:r w:rsidRPr="00467DB0">
        <w:t>rumområdet</w:t>
      </w:r>
      <w:proofErr w:type="spellEnd"/>
      <w:r w:rsidRPr="00467DB0">
        <w:t xml:space="preserve">. Med </w:t>
      </w:r>
      <w:proofErr w:type="spellStart"/>
      <w:r w:rsidRPr="00467DB0">
        <w:t>henblik</w:t>
      </w:r>
      <w:proofErr w:type="spellEnd"/>
      <w:r w:rsidRPr="00467DB0">
        <w:t xml:space="preserve"> herpå </w:t>
      </w:r>
      <w:proofErr w:type="spellStart"/>
      <w:r w:rsidRPr="00467DB0">
        <w:t>samarb</w:t>
      </w:r>
      <w:r w:rsidRPr="00467DB0">
        <w:t>ejder</w:t>
      </w:r>
      <w:proofErr w:type="spellEnd"/>
      <w:r w:rsidRPr="00467DB0">
        <w:t xml:space="preserve"> </w:t>
      </w:r>
      <w:proofErr w:type="spellStart"/>
      <w:r w:rsidRPr="00467DB0">
        <w:t>Kommissionen</w:t>
      </w:r>
      <w:proofErr w:type="spellEnd"/>
      <w:r w:rsidRPr="00467DB0">
        <w:t xml:space="preserve">, når det er relevant og vedrører deres </w:t>
      </w:r>
      <w:proofErr w:type="spellStart"/>
      <w:r w:rsidRPr="00467DB0">
        <w:t>kompetenceområde</w:t>
      </w:r>
      <w:proofErr w:type="spellEnd"/>
      <w:r w:rsidRPr="00467DB0">
        <w:t>, med agenturet og ESA.</w:t>
      </w:r>
    </w:p>
    <w:p w14:paraId="123D035E" w14:textId="77777777" w:rsidR="00000000" w:rsidRPr="00467DB0" w:rsidRDefault="00693D67" w:rsidP="00467DB0">
      <w:pPr>
        <w:pStyle w:val="friliste"/>
      </w:pPr>
      <w:r w:rsidRPr="00467DB0">
        <w:t>8.</w:t>
      </w:r>
      <w:r w:rsidRPr="00467DB0">
        <w:tab/>
      </w:r>
      <w:proofErr w:type="spellStart"/>
      <w:r w:rsidRPr="00467DB0">
        <w:t>Kommissionen</w:t>
      </w:r>
      <w:proofErr w:type="spellEnd"/>
      <w:r w:rsidRPr="00467DB0">
        <w:t xml:space="preserve"> underretter det i </w:t>
      </w:r>
      <w:proofErr w:type="spellStart"/>
      <w:r w:rsidRPr="00467DB0">
        <w:t>artikel</w:t>
      </w:r>
      <w:proofErr w:type="spellEnd"/>
      <w:r w:rsidRPr="00467DB0">
        <w:t xml:space="preserve"> 107 omhandlede </w:t>
      </w:r>
      <w:proofErr w:type="spellStart"/>
      <w:r w:rsidRPr="00467DB0">
        <w:t>programudvalg</w:t>
      </w:r>
      <w:proofErr w:type="spellEnd"/>
      <w:r w:rsidRPr="00467DB0">
        <w:t xml:space="preserve"> om de </w:t>
      </w:r>
      <w:proofErr w:type="spellStart"/>
      <w:r w:rsidRPr="00467DB0">
        <w:t>foreløbige</w:t>
      </w:r>
      <w:proofErr w:type="spellEnd"/>
      <w:r w:rsidRPr="00467DB0">
        <w:t xml:space="preserve"> og endelige resultater </w:t>
      </w:r>
      <w:proofErr w:type="spellStart"/>
      <w:r w:rsidRPr="00467DB0">
        <w:t>af</w:t>
      </w:r>
      <w:proofErr w:type="spellEnd"/>
      <w:r w:rsidRPr="00467DB0">
        <w:t xml:space="preserve"> evalueringen </w:t>
      </w:r>
      <w:proofErr w:type="spellStart"/>
      <w:r w:rsidRPr="00467DB0">
        <w:t>af</w:t>
      </w:r>
      <w:proofErr w:type="spellEnd"/>
      <w:r w:rsidRPr="00467DB0">
        <w:t xml:space="preserve"> alle </w:t>
      </w:r>
      <w:proofErr w:type="spellStart"/>
      <w:r w:rsidRPr="00467DB0">
        <w:t>udbud</w:t>
      </w:r>
      <w:proofErr w:type="spellEnd"/>
      <w:r w:rsidRPr="00467DB0">
        <w:t xml:space="preserve"> og alle kontrakte</w:t>
      </w:r>
      <w:r w:rsidRPr="00467DB0">
        <w:t xml:space="preserve">r, herunder underentrepriser, med offentlige og private </w:t>
      </w:r>
      <w:proofErr w:type="spellStart"/>
      <w:r w:rsidRPr="00467DB0">
        <w:t>enheder</w:t>
      </w:r>
      <w:proofErr w:type="spellEnd"/>
      <w:r w:rsidRPr="00467DB0">
        <w:t>.</w:t>
      </w:r>
    </w:p>
    <w:p w14:paraId="49B6F3BB" w14:textId="77777777" w:rsidR="00000000" w:rsidRPr="00467DB0" w:rsidRDefault="00693D67" w:rsidP="00467DB0">
      <w:pPr>
        <w:pStyle w:val="avsnitt-undertittel"/>
      </w:pPr>
      <w:proofErr w:type="spellStart"/>
      <w:r w:rsidRPr="00467DB0">
        <w:lastRenderedPageBreak/>
        <w:t>Artikel</w:t>
      </w:r>
      <w:proofErr w:type="spellEnd"/>
      <w:r w:rsidRPr="00467DB0">
        <w:t> 29</w:t>
      </w:r>
    </w:p>
    <w:p w14:paraId="0AB12AD3" w14:textId="77777777" w:rsidR="00000000" w:rsidRPr="00467DB0" w:rsidRDefault="00693D67" w:rsidP="00467DB0">
      <w:pPr>
        <w:pStyle w:val="Undertittel"/>
      </w:pPr>
      <w:r w:rsidRPr="00467DB0">
        <w:t>Agenturets rolle</w:t>
      </w:r>
    </w:p>
    <w:p w14:paraId="49C4849E" w14:textId="77777777" w:rsidR="00000000" w:rsidRPr="00467DB0" w:rsidRDefault="00693D67" w:rsidP="00467DB0">
      <w:pPr>
        <w:pStyle w:val="friliste"/>
      </w:pPr>
      <w:r w:rsidRPr="00467DB0">
        <w:t>1.</w:t>
      </w:r>
      <w:r w:rsidRPr="00467DB0">
        <w:tab/>
        <w:t xml:space="preserve">Agenturet varetager følgende egne </w:t>
      </w:r>
      <w:proofErr w:type="spellStart"/>
      <w:r w:rsidRPr="00467DB0">
        <w:t>opgaver</w:t>
      </w:r>
      <w:proofErr w:type="spellEnd"/>
      <w:r w:rsidRPr="00467DB0">
        <w:t>:</w:t>
      </w:r>
    </w:p>
    <w:p w14:paraId="1320826F" w14:textId="77777777" w:rsidR="00000000" w:rsidRPr="00467DB0" w:rsidRDefault="00693D67" w:rsidP="00467DB0">
      <w:pPr>
        <w:pStyle w:val="friliste2"/>
      </w:pPr>
      <w:r w:rsidRPr="00467DB0">
        <w:t>a)</w:t>
      </w:r>
      <w:r w:rsidRPr="00467DB0">
        <w:tab/>
      </w:r>
      <w:proofErr w:type="spellStart"/>
      <w:r w:rsidRPr="00467DB0">
        <w:t>gennem</w:t>
      </w:r>
      <w:proofErr w:type="spellEnd"/>
      <w:r w:rsidRPr="00467DB0">
        <w:t xml:space="preserve"> Komitéen for </w:t>
      </w:r>
      <w:proofErr w:type="spellStart"/>
      <w:r w:rsidRPr="00467DB0">
        <w:t>Sikkerhedsgodkendelse</w:t>
      </w:r>
      <w:proofErr w:type="spellEnd"/>
      <w:r w:rsidRPr="00467DB0">
        <w:t xml:space="preserve"> garantere </w:t>
      </w:r>
      <w:proofErr w:type="spellStart"/>
      <w:r w:rsidRPr="00467DB0">
        <w:t>sikkerhedsgodkendelse</w:t>
      </w:r>
      <w:proofErr w:type="spellEnd"/>
      <w:r w:rsidRPr="00467DB0">
        <w:t xml:space="preserve"> </w:t>
      </w:r>
      <w:proofErr w:type="spellStart"/>
      <w:r w:rsidRPr="00467DB0">
        <w:t>af</w:t>
      </w:r>
      <w:proofErr w:type="spellEnd"/>
      <w:r w:rsidRPr="00467DB0">
        <w:t xml:space="preserve"> alle programmets komponenter i overen</w:t>
      </w:r>
      <w:r w:rsidRPr="00467DB0">
        <w:t xml:space="preserve">sstemmelse med </w:t>
      </w:r>
      <w:proofErr w:type="spellStart"/>
      <w:r w:rsidRPr="00467DB0">
        <w:t>afsnit</w:t>
      </w:r>
      <w:proofErr w:type="spellEnd"/>
      <w:r w:rsidRPr="00467DB0">
        <w:t xml:space="preserve"> V, kapitel II</w:t>
      </w:r>
    </w:p>
    <w:p w14:paraId="6138986A" w14:textId="77777777" w:rsidR="00000000" w:rsidRPr="00467DB0" w:rsidRDefault="00693D67" w:rsidP="00467DB0">
      <w:pPr>
        <w:pStyle w:val="friliste2"/>
      </w:pPr>
      <w:r w:rsidRPr="00467DB0">
        <w:t>b)</w:t>
      </w:r>
      <w:r w:rsidRPr="00467DB0">
        <w:tab/>
      </w:r>
      <w:proofErr w:type="spellStart"/>
      <w:r w:rsidRPr="00467DB0">
        <w:t>udføre</w:t>
      </w:r>
      <w:proofErr w:type="spellEnd"/>
      <w:r w:rsidRPr="00467DB0">
        <w:t xml:space="preserve">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34, stk. 3 og 5</w:t>
      </w:r>
    </w:p>
    <w:p w14:paraId="533C0E45" w14:textId="77777777" w:rsidR="00000000" w:rsidRPr="00467DB0" w:rsidRDefault="00693D67" w:rsidP="00467DB0">
      <w:pPr>
        <w:pStyle w:val="friliste2"/>
      </w:pPr>
      <w:r w:rsidRPr="00467DB0">
        <w:t>c)</w:t>
      </w:r>
      <w:r w:rsidRPr="00467DB0">
        <w:tab/>
      </w:r>
      <w:proofErr w:type="spellStart"/>
      <w:r w:rsidRPr="00467DB0">
        <w:t>gennemføre</w:t>
      </w:r>
      <w:proofErr w:type="spellEnd"/>
      <w:r w:rsidRPr="00467DB0">
        <w:t xml:space="preserve"> </w:t>
      </w:r>
      <w:proofErr w:type="spellStart"/>
      <w:r w:rsidRPr="00467DB0">
        <w:t>kommunikations</w:t>
      </w:r>
      <w:proofErr w:type="spellEnd"/>
      <w:r w:rsidRPr="00467DB0">
        <w:t xml:space="preserve">-, </w:t>
      </w:r>
      <w:proofErr w:type="spellStart"/>
      <w:r w:rsidRPr="00467DB0">
        <w:t>markedsudviklings</w:t>
      </w:r>
      <w:proofErr w:type="spellEnd"/>
      <w:r w:rsidRPr="00467DB0">
        <w:t xml:space="preserve">- og PR-aktiviteter, der tilbydes </w:t>
      </w:r>
      <w:proofErr w:type="spellStart"/>
      <w:r w:rsidRPr="00467DB0">
        <w:t>af</w:t>
      </w:r>
      <w:proofErr w:type="spellEnd"/>
      <w:r w:rsidRPr="00467DB0">
        <w:t xml:space="preserve"> Galileo og EGNOS, navnlig aktiviteter forbundet med </w:t>
      </w:r>
      <w:proofErr w:type="spellStart"/>
      <w:r w:rsidRPr="00467DB0">
        <w:t>markedsudbredelse</w:t>
      </w:r>
      <w:proofErr w:type="spellEnd"/>
      <w:r w:rsidRPr="00467DB0">
        <w:t xml:space="preserve"> </w:t>
      </w:r>
      <w:r w:rsidRPr="00467DB0">
        <w:t xml:space="preserve">og koordinering </w:t>
      </w:r>
      <w:proofErr w:type="spellStart"/>
      <w:r w:rsidRPr="00467DB0">
        <w:t>af</w:t>
      </w:r>
      <w:proofErr w:type="spellEnd"/>
      <w:r w:rsidRPr="00467DB0">
        <w:t xml:space="preserve"> </w:t>
      </w:r>
      <w:proofErr w:type="spellStart"/>
      <w:r w:rsidRPr="00467DB0">
        <w:t>brugernes</w:t>
      </w:r>
      <w:proofErr w:type="spellEnd"/>
      <w:r w:rsidRPr="00467DB0">
        <w:t xml:space="preserve"> behov</w:t>
      </w:r>
    </w:p>
    <w:p w14:paraId="41FC5F42" w14:textId="77777777" w:rsidR="00000000" w:rsidRPr="00467DB0" w:rsidRDefault="00693D67" w:rsidP="00467DB0">
      <w:pPr>
        <w:pStyle w:val="friliste2"/>
      </w:pPr>
      <w:r w:rsidRPr="00467DB0">
        <w:t>d)</w:t>
      </w:r>
      <w:r w:rsidRPr="00467DB0">
        <w:tab/>
      </w:r>
      <w:proofErr w:type="spellStart"/>
      <w:r w:rsidRPr="00467DB0">
        <w:t>gennemføre</w:t>
      </w:r>
      <w:proofErr w:type="spellEnd"/>
      <w:r w:rsidRPr="00467DB0">
        <w:t xml:space="preserve"> </w:t>
      </w:r>
      <w:proofErr w:type="spellStart"/>
      <w:r w:rsidRPr="00467DB0">
        <w:t>kommunikations</w:t>
      </w:r>
      <w:proofErr w:type="spellEnd"/>
      <w:r w:rsidRPr="00467DB0">
        <w:t xml:space="preserve">-, PR- og </w:t>
      </w:r>
      <w:proofErr w:type="spellStart"/>
      <w:r w:rsidRPr="00467DB0">
        <w:t>markedsudviklingsaktiviteter</w:t>
      </w:r>
      <w:proofErr w:type="spellEnd"/>
      <w:r w:rsidRPr="00467DB0">
        <w:t xml:space="preserve"> i forbindelse med data, </w:t>
      </w:r>
      <w:proofErr w:type="spellStart"/>
      <w:r w:rsidRPr="00467DB0">
        <w:t>informationer</w:t>
      </w:r>
      <w:proofErr w:type="spellEnd"/>
      <w:r w:rsidRPr="00467DB0">
        <w:t xml:space="preserve"> og tjenester, der tilbydes </w:t>
      </w:r>
      <w:proofErr w:type="spellStart"/>
      <w:r w:rsidRPr="00467DB0">
        <w:t>af</w:t>
      </w:r>
      <w:proofErr w:type="spellEnd"/>
      <w:r w:rsidRPr="00467DB0">
        <w:t xml:space="preserve"> Copernicus, </w:t>
      </w:r>
      <w:proofErr w:type="spellStart"/>
      <w:r w:rsidRPr="00467DB0">
        <w:t>uden</w:t>
      </w:r>
      <w:proofErr w:type="spellEnd"/>
      <w:r w:rsidRPr="00467DB0">
        <w:t xml:space="preserve"> at dette berører de aktiviteter, der </w:t>
      </w:r>
      <w:proofErr w:type="spellStart"/>
      <w:r w:rsidRPr="00467DB0">
        <w:t>varetages</w:t>
      </w:r>
      <w:proofErr w:type="spellEnd"/>
      <w:r w:rsidRPr="00467DB0">
        <w:t xml:space="preserve"> </w:t>
      </w:r>
      <w:proofErr w:type="spellStart"/>
      <w:r w:rsidRPr="00467DB0">
        <w:t>af</w:t>
      </w:r>
      <w:proofErr w:type="spellEnd"/>
      <w:r w:rsidRPr="00467DB0">
        <w:t xml:space="preserve"> andre bemyndigede </w:t>
      </w:r>
      <w:proofErr w:type="spellStart"/>
      <w:r w:rsidRPr="00467DB0">
        <w:t>e</w:t>
      </w:r>
      <w:r w:rsidRPr="00467DB0">
        <w:t>nheder</w:t>
      </w:r>
      <w:proofErr w:type="spellEnd"/>
      <w:r w:rsidRPr="00467DB0">
        <w:t xml:space="preserve"> og </w:t>
      </w:r>
      <w:proofErr w:type="spellStart"/>
      <w:r w:rsidRPr="00467DB0">
        <w:t>Kommissionen</w:t>
      </w:r>
      <w:proofErr w:type="spellEnd"/>
    </w:p>
    <w:p w14:paraId="09DF39ED" w14:textId="77777777" w:rsidR="00000000" w:rsidRPr="00467DB0" w:rsidRDefault="00693D67" w:rsidP="00467DB0">
      <w:pPr>
        <w:pStyle w:val="friliste2"/>
      </w:pPr>
      <w:r w:rsidRPr="00467DB0">
        <w:t>e)</w:t>
      </w:r>
      <w:r w:rsidRPr="00467DB0">
        <w:tab/>
        <w:t xml:space="preserve">bistå </w:t>
      </w:r>
      <w:proofErr w:type="spellStart"/>
      <w:r w:rsidRPr="00467DB0">
        <w:t>Kommissionen</w:t>
      </w:r>
      <w:proofErr w:type="spellEnd"/>
      <w:r w:rsidRPr="00467DB0">
        <w:t xml:space="preserve"> med ekspertise, herunder med </w:t>
      </w:r>
      <w:proofErr w:type="spellStart"/>
      <w:r w:rsidRPr="00467DB0">
        <w:t>henblik</w:t>
      </w:r>
      <w:proofErr w:type="spellEnd"/>
      <w:r w:rsidRPr="00467DB0">
        <w:t xml:space="preserve"> på forberedelsen </w:t>
      </w:r>
      <w:proofErr w:type="spellStart"/>
      <w:r w:rsidRPr="00467DB0">
        <w:t>af</w:t>
      </w:r>
      <w:proofErr w:type="spellEnd"/>
      <w:r w:rsidRPr="00467DB0">
        <w:t xml:space="preserve"> </w:t>
      </w:r>
      <w:proofErr w:type="spellStart"/>
      <w:r w:rsidRPr="00467DB0">
        <w:t>rumrelaterede</w:t>
      </w:r>
      <w:proofErr w:type="spellEnd"/>
      <w:r w:rsidRPr="00467DB0">
        <w:t xml:space="preserve"> forskningsprioriteter i </w:t>
      </w:r>
      <w:proofErr w:type="spellStart"/>
      <w:r w:rsidRPr="00467DB0">
        <w:t>aftagerleddet</w:t>
      </w:r>
      <w:proofErr w:type="spellEnd"/>
      <w:r w:rsidRPr="00467DB0">
        <w:t>.</w:t>
      </w:r>
    </w:p>
    <w:p w14:paraId="53BDEF7F"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pålægger</w:t>
      </w:r>
      <w:proofErr w:type="spellEnd"/>
      <w:r w:rsidRPr="00467DB0">
        <w:t xml:space="preserve"> agenturet følgende </w:t>
      </w:r>
      <w:proofErr w:type="spellStart"/>
      <w:r w:rsidRPr="00467DB0">
        <w:t>opgaver</w:t>
      </w:r>
      <w:proofErr w:type="spellEnd"/>
      <w:r w:rsidRPr="00467DB0">
        <w:t>:</w:t>
      </w:r>
    </w:p>
    <w:p w14:paraId="3899B008" w14:textId="77777777" w:rsidR="00000000" w:rsidRPr="00467DB0" w:rsidRDefault="00693D67" w:rsidP="00467DB0">
      <w:pPr>
        <w:pStyle w:val="friliste2"/>
      </w:pPr>
      <w:r w:rsidRPr="00467DB0">
        <w:t>a)</w:t>
      </w:r>
      <w:r w:rsidRPr="00467DB0">
        <w:tab/>
        <w:t xml:space="preserve">forvalte driften </w:t>
      </w:r>
      <w:proofErr w:type="spellStart"/>
      <w:r w:rsidRPr="00467DB0">
        <w:t>af</w:t>
      </w:r>
      <w:proofErr w:type="spellEnd"/>
      <w:r w:rsidRPr="00467DB0">
        <w:t xml:space="preserve"> EGNOS og Galileo, jf. </w:t>
      </w:r>
      <w:proofErr w:type="spellStart"/>
      <w:r w:rsidRPr="00467DB0">
        <w:t>art</w:t>
      </w:r>
      <w:r w:rsidRPr="00467DB0">
        <w:t>ikel</w:t>
      </w:r>
      <w:proofErr w:type="spellEnd"/>
      <w:r w:rsidRPr="00467DB0">
        <w:t> 44</w:t>
      </w:r>
    </w:p>
    <w:p w14:paraId="7B02F506" w14:textId="77777777" w:rsidR="00000000" w:rsidRPr="00467DB0" w:rsidRDefault="00693D67" w:rsidP="00467DB0">
      <w:pPr>
        <w:pStyle w:val="friliste2"/>
      </w:pPr>
      <w:r w:rsidRPr="00467DB0">
        <w:t>b)</w:t>
      </w:r>
      <w:r w:rsidRPr="00467DB0">
        <w:tab/>
        <w:t xml:space="preserve">på et overordnet plan koordinere </w:t>
      </w:r>
      <w:proofErr w:type="spellStart"/>
      <w:r w:rsidRPr="00467DB0">
        <w:t>brugerrelaterede</w:t>
      </w:r>
      <w:proofErr w:type="spellEnd"/>
      <w:r w:rsidRPr="00467DB0">
        <w:t xml:space="preserve"> aspekter </w:t>
      </w:r>
      <w:proofErr w:type="spellStart"/>
      <w:r w:rsidRPr="00467DB0">
        <w:t>af</w:t>
      </w:r>
      <w:proofErr w:type="spellEnd"/>
      <w:r w:rsidRPr="00467DB0">
        <w:t xml:space="preserve"> GOVSATCOM i </w:t>
      </w:r>
      <w:proofErr w:type="spellStart"/>
      <w:r w:rsidRPr="00467DB0">
        <w:t>tæt</w:t>
      </w:r>
      <w:proofErr w:type="spellEnd"/>
      <w:r w:rsidRPr="00467DB0">
        <w:t xml:space="preserve"> </w:t>
      </w:r>
      <w:proofErr w:type="spellStart"/>
      <w:r w:rsidRPr="00467DB0">
        <w:t>samarbejde</w:t>
      </w:r>
      <w:proofErr w:type="spellEnd"/>
      <w:r w:rsidRPr="00467DB0">
        <w:t xml:space="preserve"> med </w:t>
      </w:r>
      <w:proofErr w:type="spellStart"/>
      <w:r w:rsidRPr="00467DB0">
        <w:t>medlemsstaterne</w:t>
      </w:r>
      <w:proofErr w:type="spellEnd"/>
      <w:r w:rsidRPr="00467DB0">
        <w:t>, de relevante EU-agenturer, EU-</w:t>
      </w:r>
      <w:proofErr w:type="spellStart"/>
      <w:r w:rsidRPr="00467DB0">
        <w:t>Udenrigstjenesten</w:t>
      </w:r>
      <w:proofErr w:type="spellEnd"/>
      <w:r w:rsidRPr="00467DB0">
        <w:t xml:space="preserve"> og andre </w:t>
      </w:r>
      <w:proofErr w:type="spellStart"/>
      <w:r w:rsidRPr="00467DB0">
        <w:t>enheder</w:t>
      </w:r>
      <w:proofErr w:type="spellEnd"/>
      <w:r w:rsidRPr="00467DB0">
        <w:t xml:space="preserve">, med </w:t>
      </w:r>
      <w:proofErr w:type="spellStart"/>
      <w:r w:rsidRPr="00467DB0">
        <w:t>henblik</w:t>
      </w:r>
      <w:proofErr w:type="spellEnd"/>
      <w:r w:rsidRPr="00467DB0">
        <w:t xml:space="preserve"> på krisestyringsmissioner og -</w:t>
      </w:r>
      <w:proofErr w:type="spellStart"/>
      <w:r w:rsidRPr="00467DB0">
        <w:t>operationer</w:t>
      </w:r>
      <w:proofErr w:type="spellEnd"/>
    </w:p>
    <w:p w14:paraId="3B7EEA61" w14:textId="77777777" w:rsidR="00000000" w:rsidRPr="00467DB0" w:rsidRDefault="00693D67" w:rsidP="00467DB0">
      <w:pPr>
        <w:pStyle w:val="friliste2"/>
      </w:pPr>
      <w:r w:rsidRPr="00467DB0">
        <w:t>c)</w:t>
      </w:r>
      <w:r w:rsidRPr="00467DB0">
        <w:tab/>
      </w:r>
      <w:proofErr w:type="spellStart"/>
      <w:r w:rsidRPr="00467DB0">
        <w:t>gennemføre</w:t>
      </w:r>
      <w:proofErr w:type="spellEnd"/>
      <w:r w:rsidRPr="00467DB0">
        <w:t xml:space="preserve"> a</w:t>
      </w:r>
      <w:r w:rsidRPr="00467DB0">
        <w:t xml:space="preserve">ktiviteter, der vedrører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downstreamapplikationer</w:t>
      </w:r>
      <w:proofErr w:type="spellEnd"/>
      <w:r w:rsidRPr="00467DB0">
        <w:t xml:space="preserve"> </w:t>
      </w:r>
      <w:proofErr w:type="spellStart"/>
      <w:r w:rsidRPr="00467DB0">
        <w:t>baseret</w:t>
      </w:r>
      <w:proofErr w:type="spellEnd"/>
      <w:r w:rsidRPr="00467DB0">
        <w:t xml:space="preserve"> på programmets komponenter og </w:t>
      </w:r>
      <w:proofErr w:type="spellStart"/>
      <w:r w:rsidRPr="00467DB0">
        <w:t>grundlæggende</w:t>
      </w:r>
      <w:proofErr w:type="spellEnd"/>
      <w:r w:rsidRPr="00467DB0">
        <w:t xml:space="preserve"> elementer og </w:t>
      </w:r>
      <w:proofErr w:type="spellStart"/>
      <w:r w:rsidRPr="00467DB0">
        <w:t>integrerede</w:t>
      </w:r>
      <w:proofErr w:type="spellEnd"/>
      <w:r w:rsidRPr="00467DB0">
        <w:t xml:space="preserve"> </w:t>
      </w:r>
      <w:proofErr w:type="spellStart"/>
      <w:r w:rsidRPr="00467DB0">
        <w:t>applikationer</w:t>
      </w:r>
      <w:proofErr w:type="spellEnd"/>
      <w:r w:rsidRPr="00467DB0">
        <w:t xml:space="preserve"> </w:t>
      </w:r>
      <w:proofErr w:type="spellStart"/>
      <w:r w:rsidRPr="00467DB0">
        <w:t>baseret</w:t>
      </w:r>
      <w:proofErr w:type="spellEnd"/>
      <w:r w:rsidRPr="00467DB0">
        <w:t xml:space="preserve"> på data og tjenester </w:t>
      </w:r>
      <w:proofErr w:type="spellStart"/>
      <w:r w:rsidRPr="00467DB0">
        <w:t>leveret</w:t>
      </w:r>
      <w:proofErr w:type="spellEnd"/>
      <w:r w:rsidRPr="00467DB0">
        <w:t xml:space="preserve"> </w:t>
      </w:r>
      <w:proofErr w:type="spellStart"/>
      <w:r w:rsidRPr="00467DB0">
        <w:t>af</w:t>
      </w:r>
      <w:proofErr w:type="spellEnd"/>
      <w:r w:rsidRPr="00467DB0">
        <w:t xml:space="preserve"> Galileo, EGNOS og Copernicus, herunder hvor der er stillet fi</w:t>
      </w:r>
      <w:r w:rsidRPr="00467DB0">
        <w:t xml:space="preserve">nansiering til </w:t>
      </w:r>
      <w:proofErr w:type="spellStart"/>
      <w:r w:rsidRPr="00467DB0">
        <w:t>rådighed</w:t>
      </w:r>
      <w:proofErr w:type="spellEnd"/>
      <w:r w:rsidRPr="00467DB0">
        <w:t xml:space="preserve"> for sådanne aktiviteter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Horisont Europa, eller hvor det er </w:t>
      </w:r>
      <w:proofErr w:type="spellStart"/>
      <w:r w:rsidRPr="00467DB0">
        <w:t>nødvendigt</w:t>
      </w:r>
      <w:proofErr w:type="spellEnd"/>
      <w:r w:rsidRPr="00467DB0">
        <w:t xml:space="preserve"> for at </w:t>
      </w:r>
      <w:proofErr w:type="spellStart"/>
      <w:r w:rsidRPr="00467DB0">
        <w:t>opfylde</w:t>
      </w:r>
      <w:proofErr w:type="spellEnd"/>
      <w:r w:rsidRPr="00467DB0">
        <w:t xml:space="preserve"> målene i </w:t>
      </w:r>
      <w:proofErr w:type="spellStart"/>
      <w:r w:rsidRPr="00467DB0">
        <w:t>artikel</w:t>
      </w:r>
      <w:proofErr w:type="spellEnd"/>
      <w:r w:rsidRPr="00467DB0">
        <w:t xml:space="preserve"> 4, stk. 1, litra b)</w:t>
      </w:r>
    </w:p>
    <w:p w14:paraId="0EF2672E" w14:textId="77777777" w:rsidR="00000000" w:rsidRPr="00467DB0" w:rsidRDefault="00693D67" w:rsidP="00467DB0">
      <w:pPr>
        <w:pStyle w:val="friliste2"/>
      </w:pPr>
      <w:r w:rsidRPr="00467DB0">
        <w:t>d)</w:t>
      </w:r>
      <w:r w:rsidRPr="00467DB0">
        <w:tab/>
      </w:r>
      <w:proofErr w:type="spellStart"/>
      <w:r w:rsidRPr="00467DB0">
        <w:t>gennemføre</w:t>
      </w:r>
      <w:proofErr w:type="spellEnd"/>
      <w:r w:rsidRPr="00467DB0">
        <w:t xml:space="preserve"> aktiviteter med tilknytning til </w:t>
      </w:r>
      <w:proofErr w:type="spellStart"/>
      <w:r w:rsidRPr="00467DB0">
        <w:t>brugerspredning</w:t>
      </w:r>
      <w:proofErr w:type="spellEnd"/>
      <w:r w:rsidRPr="00467DB0">
        <w:t xml:space="preserve"> </w:t>
      </w:r>
      <w:proofErr w:type="spellStart"/>
      <w:r w:rsidRPr="00467DB0">
        <w:t>af</w:t>
      </w:r>
      <w:proofErr w:type="spellEnd"/>
      <w:r w:rsidRPr="00467DB0">
        <w:t xml:space="preserve"> data, </w:t>
      </w:r>
      <w:proofErr w:type="spellStart"/>
      <w:r w:rsidRPr="00467DB0">
        <w:t>informationer</w:t>
      </w:r>
      <w:proofErr w:type="spellEnd"/>
      <w:r w:rsidRPr="00467DB0">
        <w:t xml:space="preserve"> og </w:t>
      </w:r>
      <w:r w:rsidRPr="00467DB0">
        <w:t xml:space="preserve">tjenester, der leveres </w:t>
      </w:r>
      <w:proofErr w:type="spellStart"/>
      <w:r w:rsidRPr="00467DB0">
        <w:t>af</w:t>
      </w:r>
      <w:proofErr w:type="spellEnd"/>
      <w:r w:rsidRPr="00467DB0">
        <w:t xml:space="preserve"> andre </w:t>
      </w:r>
      <w:proofErr w:type="spellStart"/>
      <w:proofErr w:type="gramStart"/>
      <w:r w:rsidRPr="00467DB0">
        <w:t>af</w:t>
      </w:r>
      <w:proofErr w:type="spellEnd"/>
      <w:r w:rsidRPr="00467DB0">
        <w:t xml:space="preserve"> programmets</w:t>
      </w:r>
      <w:proofErr w:type="gramEnd"/>
      <w:r w:rsidRPr="00467DB0">
        <w:t xml:space="preserve"> komponenter end Galileo og EGNOS, </w:t>
      </w:r>
      <w:proofErr w:type="spellStart"/>
      <w:r w:rsidRPr="00467DB0">
        <w:t>uden</w:t>
      </w:r>
      <w:proofErr w:type="spellEnd"/>
      <w:r w:rsidRPr="00467DB0">
        <w:t xml:space="preserve"> at det berører de </w:t>
      </w:r>
      <w:proofErr w:type="spellStart"/>
      <w:r w:rsidRPr="00467DB0">
        <w:t>Copernicusaktiviteter</w:t>
      </w:r>
      <w:proofErr w:type="spellEnd"/>
      <w:r w:rsidRPr="00467DB0">
        <w:t xml:space="preserve"> og -tjenester, som er overdraget til andre </w:t>
      </w:r>
      <w:proofErr w:type="spellStart"/>
      <w:r w:rsidRPr="00467DB0">
        <w:t>enheder</w:t>
      </w:r>
      <w:proofErr w:type="spellEnd"/>
    </w:p>
    <w:p w14:paraId="046CFE52" w14:textId="77777777" w:rsidR="00000000" w:rsidRPr="00467DB0" w:rsidRDefault="00693D67" w:rsidP="00467DB0">
      <w:pPr>
        <w:pStyle w:val="friliste2"/>
      </w:pPr>
      <w:r w:rsidRPr="00467DB0">
        <w:t>e)</w:t>
      </w:r>
      <w:r w:rsidRPr="00467DB0">
        <w:tab/>
      </w:r>
      <w:proofErr w:type="spellStart"/>
      <w:r w:rsidRPr="00467DB0">
        <w:t>specifikke</w:t>
      </w:r>
      <w:proofErr w:type="spellEnd"/>
      <w:r w:rsidRPr="00467DB0">
        <w:t xml:space="preserve"> foranstaltninger som omhandlet i </w:t>
      </w:r>
      <w:proofErr w:type="spellStart"/>
      <w:r w:rsidRPr="00467DB0">
        <w:t>artikel</w:t>
      </w:r>
      <w:proofErr w:type="spellEnd"/>
      <w:r w:rsidRPr="00467DB0">
        <w:t xml:space="preserve"> 6.</w:t>
      </w:r>
    </w:p>
    <w:p w14:paraId="64654283"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kan p</w:t>
      </w:r>
      <w:r w:rsidRPr="00467DB0">
        <w:t xml:space="preserve">å </w:t>
      </w:r>
      <w:proofErr w:type="spellStart"/>
      <w:r w:rsidRPr="00467DB0">
        <w:t>grundlag</w:t>
      </w:r>
      <w:proofErr w:type="spellEnd"/>
      <w:r w:rsidRPr="00467DB0">
        <w:t xml:space="preserve"> </w:t>
      </w:r>
      <w:proofErr w:type="spellStart"/>
      <w:r w:rsidRPr="00467DB0">
        <w:t>af</w:t>
      </w:r>
      <w:proofErr w:type="spellEnd"/>
      <w:r w:rsidRPr="00467DB0">
        <w:t xml:space="preserve"> de i </w:t>
      </w:r>
      <w:proofErr w:type="spellStart"/>
      <w:r w:rsidRPr="00467DB0">
        <w:t>artikel</w:t>
      </w:r>
      <w:proofErr w:type="spellEnd"/>
      <w:r w:rsidRPr="00467DB0">
        <w:t xml:space="preserve"> 102, stk. 6, omhandlede vurderinger </w:t>
      </w:r>
      <w:proofErr w:type="spellStart"/>
      <w:r w:rsidRPr="00467DB0">
        <w:t>overdrage</w:t>
      </w:r>
      <w:proofErr w:type="spellEnd"/>
      <w:r w:rsidRPr="00467DB0">
        <w:t xml:space="preserve"> andre </w:t>
      </w:r>
      <w:proofErr w:type="spellStart"/>
      <w:r w:rsidRPr="00467DB0">
        <w:t>opgaver</w:t>
      </w:r>
      <w:proofErr w:type="spellEnd"/>
      <w:r w:rsidRPr="00467DB0">
        <w:t xml:space="preserve"> til agenturet, </w:t>
      </w:r>
      <w:proofErr w:type="spellStart"/>
      <w:r w:rsidRPr="00467DB0">
        <w:t>forudsat</w:t>
      </w:r>
      <w:proofErr w:type="spellEnd"/>
      <w:r w:rsidRPr="00467DB0">
        <w:t xml:space="preserve"> at de ikke </w:t>
      </w:r>
      <w:proofErr w:type="spellStart"/>
      <w:r w:rsidRPr="00467DB0">
        <w:t>duplikerer</w:t>
      </w:r>
      <w:proofErr w:type="spellEnd"/>
      <w:r w:rsidRPr="00467DB0">
        <w:t xml:space="preserve"> aktiviteter, der udøves </w:t>
      </w:r>
      <w:proofErr w:type="spellStart"/>
      <w:r w:rsidRPr="00467DB0">
        <w:t>af</w:t>
      </w:r>
      <w:proofErr w:type="spellEnd"/>
      <w:r w:rsidRPr="00467DB0">
        <w:t xml:space="preserve"> andre bemyndigede </w:t>
      </w:r>
      <w:proofErr w:type="spellStart"/>
      <w:r w:rsidRPr="00467DB0">
        <w:t>enheder</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og under </w:t>
      </w:r>
      <w:proofErr w:type="spellStart"/>
      <w:r w:rsidRPr="00467DB0">
        <w:t>forudsætning</w:t>
      </w:r>
      <w:proofErr w:type="spellEnd"/>
      <w:r w:rsidRPr="00467DB0">
        <w:t xml:space="preserve"> </w:t>
      </w:r>
      <w:proofErr w:type="spellStart"/>
      <w:r w:rsidRPr="00467DB0">
        <w:t>af</w:t>
      </w:r>
      <w:proofErr w:type="spellEnd"/>
      <w:r w:rsidRPr="00467DB0">
        <w:t xml:space="preserve"> at de </w:t>
      </w:r>
      <w:proofErr w:type="spellStart"/>
      <w:r w:rsidRPr="00467DB0">
        <w:t>tilsi</w:t>
      </w:r>
      <w:r w:rsidRPr="00467DB0">
        <w:t>gter</w:t>
      </w:r>
      <w:proofErr w:type="spellEnd"/>
      <w:r w:rsidRPr="00467DB0">
        <w:t xml:space="preserve"> at forbedre effektiviteten for så vidt angår </w:t>
      </w:r>
      <w:proofErr w:type="spellStart"/>
      <w:r w:rsidRPr="00467DB0">
        <w:t>gennemførelsen</w:t>
      </w:r>
      <w:proofErr w:type="spellEnd"/>
      <w:r w:rsidRPr="00467DB0">
        <w:t xml:space="preserve"> </w:t>
      </w:r>
      <w:proofErr w:type="spellStart"/>
      <w:r w:rsidRPr="00467DB0">
        <w:t>af</w:t>
      </w:r>
      <w:proofErr w:type="spellEnd"/>
      <w:r w:rsidRPr="00467DB0">
        <w:t xml:space="preserve"> programmets aktiviteter.</w:t>
      </w:r>
    </w:p>
    <w:p w14:paraId="1BB59AAC" w14:textId="77777777" w:rsidR="00000000" w:rsidRPr="00467DB0" w:rsidRDefault="00693D67" w:rsidP="00467DB0">
      <w:pPr>
        <w:pStyle w:val="friliste"/>
      </w:pPr>
      <w:r w:rsidRPr="00467DB0">
        <w:t>4.</w:t>
      </w:r>
      <w:r w:rsidRPr="00467DB0">
        <w:tab/>
        <w:t xml:space="preserve">Når aktiviteter overdrages til agenturet, skal der sikres passende finansielle, menneskelige og administrative </w:t>
      </w:r>
      <w:proofErr w:type="spellStart"/>
      <w:r w:rsidRPr="00467DB0">
        <w:t>ressourcer</w:t>
      </w:r>
      <w:proofErr w:type="spellEnd"/>
      <w:r w:rsidRPr="00467DB0">
        <w:t xml:space="preserve"> til </w:t>
      </w:r>
      <w:proofErr w:type="spellStart"/>
      <w:r w:rsidRPr="00467DB0">
        <w:t>gennemførelsen</w:t>
      </w:r>
      <w:proofErr w:type="spellEnd"/>
      <w:r w:rsidRPr="00467DB0">
        <w:t xml:space="preserve"> </w:t>
      </w:r>
      <w:proofErr w:type="spellStart"/>
      <w:r w:rsidRPr="00467DB0">
        <w:t>heraf</w:t>
      </w:r>
      <w:proofErr w:type="spellEnd"/>
      <w:r w:rsidRPr="00467DB0">
        <w:t>.</w:t>
      </w:r>
    </w:p>
    <w:p w14:paraId="20FB6E5C" w14:textId="77777777" w:rsidR="00000000" w:rsidRPr="00467DB0" w:rsidRDefault="00693D67" w:rsidP="00467DB0">
      <w:pPr>
        <w:pStyle w:val="friliste"/>
      </w:pPr>
      <w:r w:rsidRPr="00467DB0">
        <w:t>5.</w:t>
      </w:r>
      <w:r w:rsidRPr="00467DB0">
        <w:tab/>
      </w:r>
      <w:proofErr w:type="spellStart"/>
      <w:r w:rsidRPr="00467DB0">
        <w:t>Uanset</w:t>
      </w:r>
      <w:proofErr w:type="spellEnd"/>
      <w:r w:rsidRPr="00467DB0">
        <w:t xml:space="preserve"> fi</w:t>
      </w:r>
      <w:r w:rsidRPr="00467DB0">
        <w:t xml:space="preserve">nansforordningens </w:t>
      </w:r>
      <w:proofErr w:type="spellStart"/>
      <w:r w:rsidRPr="00467DB0">
        <w:t>artikel</w:t>
      </w:r>
      <w:proofErr w:type="spellEnd"/>
      <w:r w:rsidRPr="00467DB0">
        <w:t xml:space="preserve"> 62, stk. 1, og med forbehold </w:t>
      </w:r>
      <w:proofErr w:type="spellStart"/>
      <w:proofErr w:type="gramStart"/>
      <w:r w:rsidRPr="00467DB0">
        <w:t>af</w:t>
      </w:r>
      <w:proofErr w:type="spellEnd"/>
      <w:proofErr w:type="gramEnd"/>
      <w:r w:rsidRPr="00467DB0">
        <w:t xml:space="preserve"> </w:t>
      </w:r>
      <w:proofErr w:type="spellStart"/>
      <w:r w:rsidRPr="00467DB0">
        <w:t>Kommissionens</w:t>
      </w:r>
      <w:proofErr w:type="spellEnd"/>
      <w:r w:rsidRPr="00467DB0">
        <w:t xml:space="preserve"> vurdering </w:t>
      </w:r>
      <w:proofErr w:type="spellStart"/>
      <w:r w:rsidRPr="00467DB0">
        <w:t>af</w:t>
      </w:r>
      <w:proofErr w:type="spellEnd"/>
      <w:r w:rsidRPr="00467DB0">
        <w:t xml:space="preserve"> beskyttelsen </w:t>
      </w:r>
      <w:proofErr w:type="spellStart"/>
      <w:r w:rsidRPr="00467DB0">
        <w:t>af</w:t>
      </w:r>
      <w:proofErr w:type="spellEnd"/>
      <w:r w:rsidRPr="00467DB0">
        <w:t xml:space="preserve"> Unionens interesser kan agenturet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bidragsaftaler</w:t>
      </w:r>
      <w:proofErr w:type="spellEnd"/>
      <w:r w:rsidRPr="00467DB0">
        <w:t xml:space="preserve"> </w:t>
      </w:r>
      <w:proofErr w:type="spellStart"/>
      <w:r w:rsidRPr="00467DB0">
        <w:t>overdrage</w:t>
      </w:r>
      <w:proofErr w:type="spellEnd"/>
      <w:r w:rsidRPr="00467DB0">
        <w:t xml:space="preserve"> </w:t>
      </w:r>
      <w:proofErr w:type="spellStart"/>
      <w:r w:rsidRPr="00467DB0">
        <w:t>specifikke</w:t>
      </w:r>
      <w:proofErr w:type="spellEnd"/>
      <w:r w:rsidRPr="00467DB0">
        <w:t xml:space="preserve"> aktiviteter til andre </w:t>
      </w:r>
      <w:proofErr w:type="spellStart"/>
      <w:r w:rsidRPr="00467DB0">
        <w:t>enheder</w:t>
      </w:r>
      <w:proofErr w:type="spellEnd"/>
      <w:r w:rsidRPr="00467DB0">
        <w:t xml:space="preserve"> </w:t>
      </w:r>
      <w:proofErr w:type="spellStart"/>
      <w:r w:rsidRPr="00467DB0">
        <w:t>inden</w:t>
      </w:r>
      <w:proofErr w:type="spellEnd"/>
      <w:r w:rsidRPr="00467DB0">
        <w:t xml:space="preserve"> for deres respektive </w:t>
      </w:r>
      <w:proofErr w:type="spellStart"/>
      <w:r w:rsidRPr="00467DB0">
        <w:t>kompetenceområd</w:t>
      </w:r>
      <w:r w:rsidRPr="00467DB0">
        <w:t>er</w:t>
      </w:r>
      <w:proofErr w:type="spellEnd"/>
      <w:r w:rsidRPr="00467DB0">
        <w:t xml:space="preserve"> på de betingelser for indirekte forvaltning, der </w:t>
      </w:r>
      <w:proofErr w:type="spellStart"/>
      <w:r w:rsidRPr="00467DB0">
        <w:t>gælder</w:t>
      </w:r>
      <w:proofErr w:type="spellEnd"/>
      <w:r w:rsidRPr="00467DB0">
        <w:t xml:space="preserve"> for </w:t>
      </w:r>
      <w:proofErr w:type="spellStart"/>
      <w:r w:rsidRPr="00467DB0">
        <w:t>Kommissionen</w:t>
      </w:r>
      <w:proofErr w:type="spellEnd"/>
      <w:r w:rsidRPr="00467DB0">
        <w:t>.</w:t>
      </w:r>
    </w:p>
    <w:p w14:paraId="68C589E6" w14:textId="77777777" w:rsidR="00000000" w:rsidRPr="00467DB0" w:rsidRDefault="00693D67" w:rsidP="00467DB0">
      <w:pPr>
        <w:pStyle w:val="avsnitt-undertittel"/>
      </w:pPr>
      <w:proofErr w:type="spellStart"/>
      <w:r w:rsidRPr="00467DB0">
        <w:lastRenderedPageBreak/>
        <w:t>Artikel</w:t>
      </w:r>
      <w:proofErr w:type="spellEnd"/>
      <w:r w:rsidRPr="00467DB0">
        <w:t> 30</w:t>
      </w:r>
    </w:p>
    <w:p w14:paraId="7D482B85" w14:textId="77777777" w:rsidR="00000000" w:rsidRPr="00467DB0" w:rsidRDefault="00693D67" w:rsidP="00467DB0">
      <w:pPr>
        <w:pStyle w:val="Undertittel"/>
      </w:pPr>
      <w:proofErr w:type="spellStart"/>
      <w:r w:rsidRPr="00467DB0">
        <w:t>ESA's</w:t>
      </w:r>
      <w:proofErr w:type="spellEnd"/>
      <w:r w:rsidRPr="00467DB0">
        <w:t xml:space="preserve"> rolle</w:t>
      </w:r>
    </w:p>
    <w:p w14:paraId="54BA8DE4" w14:textId="77777777" w:rsidR="00000000" w:rsidRPr="00467DB0" w:rsidRDefault="00693D67" w:rsidP="00467DB0">
      <w:pPr>
        <w:pStyle w:val="friliste"/>
      </w:pPr>
      <w:r w:rsidRPr="00467DB0">
        <w:t>1.</w:t>
      </w:r>
      <w:r w:rsidRPr="00467DB0">
        <w:tab/>
        <w:t xml:space="preserve">ESA </w:t>
      </w:r>
      <w:proofErr w:type="spellStart"/>
      <w:r w:rsidRPr="00467DB0">
        <w:t>pålægges</w:t>
      </w:r>
      <w:proofErr w:type="spellEnd"/>
      <w:r w:rsidRPr="00467DB0">
        <w:t xml:space="preserve">, under </w:t>
      </w:r>
      <w:proofErr w:type="spellStart"/>
      <w:r w:rsidRPr="00467DB0">
        <w:t>forudsætning</w:t>
      </w:r>
      <w:proofErr w:type="spellEnd"/>
      <w:r w:rsidRPr="00467DB0">
        <w:t xml:space="preserve"> </w:t>
      </w:r>
      <w:proofErr w:type="spellStart"/>
      <w:r w:rsidRPr="00467DB0">
        <w:t>af</w:t>
      </w:r>
      <w:proofErr w:type="spellEnd"/>
      <w:r w:rsidRPr="00467DB0">
        <w:t xml:space="preserve"> at Unionens interesser er beskyttede, følgende </w:t>
      </w:r>
      <w:proofErr w:type="spellStart"/>
      <w:r w:rsidRPr="00467DB0">
        <w:t>opgaver</w:t>
      </w:r>
      <w:proofErr w:type="spellEnd"/>
      <w:r w:rsidRPr="00467DB0">
        <w:t>:</w:t>
      </w:r>
    </w:p>
    <w:p w14:paraId="13E25858" w14:textId="77777777" w:rsidR="00000000" w:rsidRPr="00467DB0" w:rsidRDefault="00693D67" w:rsidP="00467DB0">
      <w:pPr>
        <w:pStyle w:val="friliste2"/>
      </w:pPr>
      <w:r w:rsidRPr="00467DB0">
        <w:t>a)</w:t>
      </w:r>
      <w:r w:rsidRPr="00467DB0">
        <w:tab/>
        <w:t xml:space="preserve">for så vidt angår Copernicus: </w:t>
      </w:r>
    </w:p>
    <w:p w14:paraId="6D63ECC0" w14:textId="77777777" w:rsidR="00000000" w:rsidRPr="00467DB0" w:rsidRDefault="00693D67" w:rsidP="00467DB0">
      <w:pPr>
        <w:pStyle w:val="friliste3"/>
      </w:pPr>
      <w:r w:rsidRPr="00467DB0">
        <w:t>i)</w:t>
      </w:r>
      <w:r w:rsidRPr="00467DB0">
        <w:tab/>
      </w:r>
      <w:r w:rsidRPr="00467DB0">
        <w:t xml:space="preserve">koordinering </w:t>
      </w:r>
      <w:proofErr w:type="spellStart"/>
      <w:r w:rsidRPr="00467DB0">
        <w:t>af</w:t>
      </w:r>
      <w:proofErr w:type="spellEnd"/>
      <w:r w:rsidRPr="00467DB0">
        <w:t xml:space="preserve"> </w:t>
      </w:r>
      <w:proofErr w:type="spellStart"/>
      <w:r w:rsidRPr="00467DB0">
        <w:t>rumkomponenten</w:t>
      </w:r>
      <w:proofErr w:type="spellEnd"/>
      <w:r w:rsidRPr="00467DB0">
        <w:t xml:space="preserve"> og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rumkomponenten</w:t>
      </w:r>
      <w:proofErr w:type="spellEnd"/>
      <w:r w:rsidRPr="00467DB0">
        <w:t xml:space="preserve"> samt </w:t>
      </w:r>
      <w:proofErr w:type="spellStart"/>
      <w:r w:rsidRPr="00467DB0">
        <w:t>udvikling</w:t>
      </w:r>
      <w:proofErr w:type="spellEnd"/>
      <w:r w:rsidRPr="00467DB0">
        <w:t xml:space="preserve"> </w:t>
      </w:r>
      <w:proofErr w:type="spellStart"/>
      <w:r w:rsidRPr="00467DB0">
        <w:t>heraf</w:t>
      </w:r>
      <w:proofErr w:type="spellEnd"/>
      <w:r w:rsidRPr="00467DB0">
        <w:t xml:space="preserve">, </w:t>
      </w:r>
    </w:p>
    <w:p w14:paraId="2D7E7837" w14:textId="77777777" w:rsidR="00000000" w:rsidRPr="00467DB0" w:rsidRDefault="00693D67" w:rsidP="00467DB0">
      <w:pPr>
        <w:pStyle w:val="friliste3"/>
      </w:pPr>
      <w:r w:rsidRPr="00467DB0">
        <w:t>ii)</w:t>
      </w:r>
      <w:r w:rsidRPr="00467DB0">
        <w:tab/>
      </w:r>
      <w:proofErr w:type="spellStart"/>
      <w:r w:rsidRPr="00467DB0">
        <w:t>konstruktion</w:t>
      </w:r>
      <w:proofErr w:type="spellEnd"/>
      <w:r w:rsidRPr="00467DB0">
        <w:t xml:space="preserve">, </w:t>
      </w:r>
      <w:proofErr w:type="spellStart"/>
      <w:r w:rsidRPr="00467DB0">
        <w:t>udvikling</w:t>
      </w:r>
      <w:proofErr w:type="spellEnd"/>
      <w:r w:rsidRPr="00467DB0">
        <w:t xml:space="preserve"> og fremstilling </w:t>
      </w:r>
      <w:proofErr w:type="spellStart"/>
      <w:r w:rsidRPr="00467DB0">
        <w:t>af</w:t>
      </w:r>
      <w:proofErr w:type="spellEnd"/>
      <w:r w:rsidRPr="00467DB0">
        <w:t xml:space="preserve"> </w:t>
      </w:r>
      <w:proofErr w:type="spellStart"/>
      <w:r w:rsidRPr="00467DB0">
        <w:t>Copernicusruminfrastrukturen</w:t>
      </w:r>
      <w:proofErr w:type="spellEnd"/>
      <w:r w:rsidRPr="00467DB0">
        <w:t xml:space="preserve">, herunder driften </w:t>
      </w:r>
      <w:proofErr w:type="spellStart"/>
      <w:r w:rsidRPr="00467DB0">
        <w:t>af</w:t>
      </w:r>
      <w:proofErr w:type="spellEnd"/>
      <w:r w:rsidRPr="00467DB0">
        <w:t xml:space="preserve"> denne infrastruktur og hermed forbundne </w:t>
      </w:r>
      <w:proofErr w:type="spellStart"/>
      <w:r w:rsidRPr="00467DB0">
        <w:t>indkøb</w:t>
      </w:r>
      <w:proofErr w:type="spellEnd"/>
      <w:r w:rsidRPr="00467DB0">
        <w:t xml:space="preserve">, </w:t>
      </w:r>
      <w:proofErr w:type="spellStart"/>
      <w:r w:rsidRPr="00467DB0">
        <w:t>bortset</w:t>
      </w:r>
      <w:proofErr w:type="spellEnd"/>
      <w:r w:rsidRPr="00467DB0">
        <w:t xml:space="preserve"> fra når disse</w:t>
      </w:r>
      <w:r w:rsidRPr="00467DB0">
        <w:t xml:space="preserve"> aktiviteter foretages </w:t>
      </w:r>
      <w:proofErr w:type="spellStart"/>
      <w:r w:rsidRPr="00467DB0">
        <w:t>af</w:t>
      </w:r>
      <w:proofErr w:type="spellEnd"/>
      <w:r w:rsidRPr="00467DB0">
        <w:t xml:space="preserve"> andre </w:t>
      </w:r>
      <w:proofErr w:type="spellStart"/>
      <w:r w:rsidRPr="00467DB0">
        <w:t>enheder</w:t>
      </w:r>
      <w:proofErr w:type="spellEnd"/>
      <w:r w:rsidRPr="00467DB0">
        <w:t>, og</w:t>
      </w:r>
    </w:p>
    <w:p w14:paraId="67D69033" w14:textId="77777777" w:rsidR="00000000" w:rsidRPr="00467DB0" w:rsidRDefault="00693D67" w:rsidP="00467DB0">
      <w:pPr>
        <w:pStyle w:val="friliste3"/>
      </w:pPr>
      <w:r w:rsidRPr="00467DB0">
        <w:t>iii)</w:t>
      </w:r>
      <w:r w:rsidRPr="00467DB0">
        <w:tab/>
        <w:t>hvor det er relevant, levere adgang til tredjepartsdata</w:t>
      </w:r>
    </w:p>
    <w:p w14:paraId="2D66D38A" w14:textId="77777777" w:rsidR="00000000" w:rsidRPr="00467DB0" w:rsidRDefault="00693D67" w:rsidP="00467DB0">
      <w:pPr>
        <w:pStyle w:val="friliste2"/>
      </w:pPr>
      <w:r w:rsidRPr="00467DB0">
        <w:t>b)</w:t>
      </w:r>
      <w:r w:rsidRPr="00467DB0">
        <w:tab/>
        <w:t xml:space="preserve">for så vidt angår Galileo og EGNOS: </w:t>
      </w:r>
      <w:proofErr w:type="spellStart"/>
      <w:r w:rsidRPr="00467DB0">
        <w:t>systemudvikling</w:t>
      </w:r>
      <w:proofErr w:type="spellEnd"/>
      <w:r w:rsidRPr="00467DB0">
        <w:t xml:space="preserve"> og </w:t>
      </w:r>
      <w:proofErr w:type="spellStart"/>
      <w:r w:rsidRPr="00467DB0">
        <w:t>konstruktion</w:t>
      </w:r>
      <w:proofErr w:type="spellEnd"/>
      <w:r w:rsidRPr="00467DB0">
        <w:t xml:space="preserve"> og </w:t>
      </w:r>
      <w:proofErr w:type="spellStart"/>
      <w:r w:rsidRPr="00467DB0">
        <w:t>udvikling</w:t>
      </w:r>
      <w:proofErr w:type="spellEnd"/>
      <w:r w:rsidRPr="00467DB0">
        <w:t xml:space="preserve"> </w:t>
      </w:r>
      <w:proofErr w:type="spellStart"/>
      <w:r w:rsidRPr="00467DB0">
        <w:t>af</w:t>
      </w:r>
      <w:proofErr w:type="spellEnd"/>
      <w:r w:rsidRPr="00467DB0">
        <w:t xml:space="preserve"> dele </w:t>
      </w:r>
      <w:proofErr w:type="spellStart"/>
      <w:r w:rsidRPr="00467DB0">
        <w:t>af</w:t>
      </w:r>
      <w:proofErr w:type="spellEnd"/>
      <w:r w:rsidRPr="00467DB0">
        <w:t xml:space="preserve"> jordsegmenter og satellitter, herunder test og validerin</w:t>
      </w:r>
      <w:r w:rsidRPr="00467DB0">
        <w:t>g</w:t>
      </w:r>
    </w:p>
    <w:p w14:paraId="5CCE14E5" w14:textId="77777777" w:rsidR="00000000" w:rsidRPr="00467DB0" w:rsidRDefault="00693D67" w:rsidP="00467DB0">
      <w:pPr>
        <w:pStyle w:val="friliste2"/>
      </w:pPr>
      <w:r w:rsidRPr="00467DB0">
        <w:t>c)</w:t>
      </w:r>
      <w:r w:rsidRPr="00467DB0">
        <w:tab/>
        <w:t xml:space="preserve">for så vidt angår alle de </w:t>
      </w:r>
      <w:proofErr w:type="spellStart"/>
      <w:proofErr w:type="gramStart"/>
      <w:r w:rsidRPr="00467DB0">
        <w:t>af</w:t>
      </w:r>
      <w:proofErr w:type="spellEnd"/>
      <w:r w:rsidRPr="00467DB0">
        <w:t xml:space="preserve"> programmets</w:t>
      </w:r>
      <w:proofErr w:type="gramEnd"/>
      <w:r w:rsidRPr="00467DB0">
        <w:t xml:space="preserve"> komponenter, der </w:t>
      </w:r>
      <w:proofErr w:type="spellStart"/>
      <w:r w:rsidRPr="00467DB0">
        <w:t>indebærer</w:t>
      </w:r>
      <w:proofErr w:type="spellEnd"/>
      <w:r w:rsidRPr="00467DB0">
        <w:t xml:space="preserve"> forsknings- og </w:t>
      </w:r>
      <w:proofErr w:type="spellStart"/>
      <w:r w:rsidRPr="00467DB0">
        <w:t>udviklingsaktiviteter</w:t>
      </w:r>
      <w:proofErr w:type="spellEnd"/>
      <w:r w:rsidRPr="00467DB0">
        <w:t xml:space="preserve"> i leverandørleddet </w:t>
      </w:r>
      <w:proofErr w:type="spellStart"/>
      <w:r w:rsidRPr="00467DB0">
        <w:t>inden</w:t>
      </w:r>
      <w:proofErr w:type="spellEnd"/>
      <w:r w:rsidRPr="00467DB0">
        <w:t xml:space="preserve"> for </w:t>
      </w:r>
      <w:proofErr w:type="spellStart"/>
      <w:r w:rsidRPr="00467DB0">
        <w:t>ESA's</w:t>
      </w:r>
      <w:proofErr w:type="spellEnd"/>
      <w:r w:rsidRPr="00467DB0">
        <w:t xml:space="preserve"> ekspertiseområder.</w:t>
      </w:r>
    </w:p>
    <w:p w14:paraId="69048522" w14:textId="77777777" w:rsidR="00000000" w:rsidRPr="00467DB0" w:rsidRDefault="00693D67" w:rsidP="00467DB0">
      <w:pPr>
        <w:pStyle w:val="friliste"/>
      </w:pPr>
      <w:r w:rsidRPr="00467DB0">
        <w:t>2.</w:t>
      </w:r>
      <w:r w:rsidRPr="00467DB0">
        <w:tab/>
        <w:t xml:space="preserve">ESA kan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af</w:t>
      </w:r>
      <w:proofErr w:type="spellEnd"/>
      <w:r w:rsidRPr="00467DB0">
        <w:t xml:space="preserve"> </w:t>
      </w:r>
      <w:proofErr w:type="spellStart"/>
      <w:r w:rsidRPr="00467DB0">
        <w:t>Kommissionen</w:t>
      </w:r>
      <w:proofErr w:type="spellEnd"/>
      <w:r w:rsidRPr="00467DB0">
        <w:t xml:space="preserve"> </w:t>
      </w:r>
      <w:proofErr w:type="spellStart"/>
      <w:r w:rsidRPr="00467DB0">
        <w:t>foretaget</w:t>
      </w:r>
      <w:proofErr w:type="spellEnd"/>
      <w:r w:rsidRPr="00467DB0">
        <w:t xml:space="preserve"> vurdering få overdraget andre </w:t>
      </w:r>
      <w:proofErr w:type="spellStart"/>
      <w:r w:rsidRPr="00467DB0">
        <w:t>opgaver</w:t>
      </w:r>
      <w:proofErr w:type="spellEnd"/>
      <w:r w:rsidRPr="00467DB0">
        <w:t xml:space="preserve"> </w:t>
      </w:r>
      <w:proofErr w:type="spellStart"/>
      <w:r w:rsidRPr="00467DB0">
        <w:t>baseret</w:t>
      </w:r>
      <w:proofErr w:type="spellEnd"/>
      <w:r w:rsidRPr="00467DB0">
        <w:t xml:space="preserve"> på programmets behov, </w:t>
      </w:r>
      <w:proofErr w:type="spellStart"/>
      <w:r w:rsidRPr="00467DB0">
        <w:t>forudsat</w:t>
      </w:r>
      <w:proofErr w:type="spellEnd"/>
      <w:r w:rsidRPr="00467DB0">
        <w:t xml:space="preserve"> at disse </w:t>
      </w:r>
      <w:proofErr w:type="spellStart"/>
      <w:r w:rsidRPr="00467DB0">
        <w:t>opgaver</w:t>
      </w:r>
      <w:proofErr w:type="spellEnd"/>
      <w:r w:rsidRPr="00467DB0">
        <w:t xml:space="preserve"> ikke </w:t>
      </w:r>
      <w:proofErr w:type="spellStart"/>
      <w:r w:rsidRPr="00467DB0">
        <w:t>duplikerer</w:t>
      </w:r>
      <w:proofErr w:type="spellEnd"/>
      <w:r w:rsidRPr="00467DB0">
        <w:t xml:space="preserve"> aktiviteter, der udøves </w:t>
      </w:r>
      <w:proofErr w:type="spellStart"/>
      <w:r w:rsidRPr="00467DB0">
        <w:t>af</w:t>
      </w:r>
      <w:proofErr w:type="spellEnd"/>
      <w:r w:rsidRPr="00467DB0">
        <w:t xml:space="preserve"> andre bemyndigede </w:t>
      </w:r>
      <w:proofErr w:type="spellStart"/>
      <w:r w:rsidRPr="00467DB0">
        <w:t>enheder</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programmet, </w:t>
      </w:r>
      <w:proofErr w:type="gramStart"/>
      <w:r w:rsidRPr="00467DB0">
        <w:t>og  de</w:t>
      </w:r>
      <w:proofErr w:type="gramEnd"/>
      <w:r w:rsidRPr="00467DB0">
        <w:t xml:space="preserve"> </w:t>
      </w:r>
      <w:proofErr w:type="spellStart"/>
      <w:r w:rsidRPr="00467DB0">
        <w:t>tilsigter</w:t>
      </w:r>
      <w:proofErr w:type="spellEnd"/>
      <w:r w:rsidRPr="00467DB0">
        <w:t xml:space="preserve"> at forbedre effektiviteten for så vidt angår </w:t>
      </w:r>
      <w:proofErr w:type="spellStart"/>
      <w:r w:rsidRPr="00467DB0">
        <w:t>gennemførelsen</w:t>
      </w:r>
      <w:proofErr w:type="spellEnd"/>
      <w:r w:rsidRPr="00467DB0">
        <w:t xml:space="preserve"> </w:t>
      </w:r>
      <w:proofErr w:type="spellStart"/>
      <w:r w:rsidRPr="00467DB0">
        <w:t>af</w:t>
      </w:r>
      <w:proofErr w:type="spellEnd"/>
      <w:r w:rsidRPr="00467DB0">
        <w:t xml:space="preserve"> programmets akti</w:t>
      </w:r>
      <w:r w:rsidRPr="00467DB0">
        <w:t>viteter.</w:t>
      </w:r>
    </w:p>
    <w:p w14:paraId="6D74516D" w14:textId="77777777" w:rsidR="00000000" w:rsidRPr="00467DB0" w:rsidRDefault="00693D67" w:rsidP="00467DB0">
      <w:pPr>
        <w:pStyle w:val="friliste"/>
      </w:pPr>
      <w:r w:rsidRPr="00467DB0">
        <w:t>3.</w:t>
      </w:r>
      <w:r w:rsidRPr="00467DB0">
        <w:tab/>
      </w:r>
      <w:proofErr w:type="spellStart"/>
      <w:r w:rsidRPr="00467DB0">
        <w:t>Uden</w:t>
      </w:r>
      <w:proofErr w:type="spellEnd"/>
      <w:r w:rsidRPr="00467DB0">
        <w:t xml:space="preserve"> at dette berører den finansielle </w:t>
      </w:r>
      <w:proofErr w:type="spellStart"/>
      <w:r w:rsidRPr="00467DB0">
        <w:t>partnerskabsrammeaftale</w:t>
      </w:r>
      <w:proofErr w:type="spellEnd"/>
      <w:r w:rsidRPr="00467DB0">
        <w:t xml:space="preserve">, der er omhandlet i </w:t>
      </w:r>
      <w:proofErr w:type="spellStart"/>
      <w:r w:rsidRPr="00467DB0">
        <w:t>artikel</w:t>
      </w:r>
      <w:proofErr w:type="spellEnd"/>
      <w:r w:rsidRPr="00467DB0">
        <w:t xml:space="preserve"> 31, kan </w:t>
      </w:r>
      <w:proofErr w:type="spellStart"/>
      <w:r w:rsidRPr="00467DB0">
        <w:t>Kommissionen</w:t>
      </w:r>
      <w:proofErr w:type="spellEnd"/>
      <w:r w:rsidRPr="00467DB0">
        <w:t xml:space="preserve"> eller agenturet på </w:t>
      </w:r>
      <w:proofErr w:type="spellStart"/>
      <w:r w:rsidRPr="00467DB0">
        <w:t>gensidigt</w:t>
      </w:r>
      <w:proofErr w:type="spellEnd"/>
      <w:r w:rsidRPr="00467DB0">
        <w:t xml:space="preserve"> fastsatte betingelser anmode ESA om at bistå med teknisk ekspertise og de </w:t>
      </w:r>
      <w:proofErr w:type="spellStart"/>
      <w:r w:rsidRPr="00467DB0">
        <w:t>oplysninger</w:t>
      </w:r>
      <w:proofErr w:type="spellEnd"/>
      <w:r w:rsidRPr="00467DB0">
        <w:t>, der er nødvendige</w:t>
      </w:r>
      <w:r w:rsidRPr="00467DB0">
        <w:t xml:space="preserve"> for at </w:t>
      </w:r>
      <w:proofErr w:type="spellStart"/>
      <w:r w:rsidRPr="00467DB0">
        <w:t>udføre</w:t>
      </w:r>
      <w:proofErr w:type="spellEnd"/>
      <w:r w:rsidRPr="00467DB0">
        <w:t xml:space="preserve"> de </w:t>
      </w:r>
      <w:proofErr w:type="spellStart"/>
      <w:r w:rsidRPr="00467DB0">
        <w:t>opgaver</w:t>
      </w:r>
      <w:proofErr w:type="spellEnd"/>
      <w:r w:rsidRPr="00467DB0">
        <w:t xml:space="preserve">, der </w:t>
      </w:r>
      <w:proofErr w:type="spellStart"/>
      <w:r w:rsidRPr="00467DB0">
        <w:t>pålægges</w:t>
      </w:r>
      <w:proofErr w:type="spellEnd"/>
      <w:r w:rsidRPr="00467DB0">
        <w:t xml:space="preserve"> dem ved denne forordning.</w:t>
      </w:r>
    </w:p>
    <w:p w14:paraId="2264A7E7" w14:textId="77777777" w:rsidR="00000000" w:rsidRPr="00467DB0" w:rsidRDefault="00693D67" w:rsidP="00467DB0">
      <w:pPr>
        <w:pStyle w:val="avsnitt-undertittel"/>
      </w:pPr>
      <w:proofErr w:type="spellStart"/>
      <w:r w:rsidRPr="00467DB0">
        <w:t>Artikel</w:t>
      </w:r>
      <w:proofErr w:type="spellEnd"/>
      <w:r w:rsidRPr="00467DB0">
        <w:t xml:space="preserve"> 31</w:t>
      </w:r>
    </w:p>
    <w:p w14:paraId="0A8A1293" w14:textId="77777777" w:rsidR="00000000" w:rsidRPr="00467DB0" w:rsidRDefault="00693D67" w:rsidP="00467DB0">
      <w:pPr>
        <w:pStyle w:val="Undertittel"/>
      </w:pPr>
      <w:r w:rsidRPr="00467DB0">
        <w:t xml:space="preserve">Den finansielle </w:t>
      </w:r>
      <w:proofErr w:type="spellStart"/>
      <w:r w:rsidRPr="00467DB0">
        <w:t>partnerskabsrammeaftale</w:t>
      </w:r>
      <w:proofErr w:type="spellEnd"/>
    </w:p>
    <w:p w14:paraId="6DF75A15" w14:textId="77777777" w:rsidR="00000000" w:rsidRPr="00467DB0" w:rsidRDefault="00693D67" w:rsidP="00467DB0">
      <w:pPr>
        <w:pStyle w:val="friliste"/>
      </w:pPr>
      <w:r w:rsidRPr="00467DB0">
        <w:t>1.</w:t>
      </w:r>
      <w:r w:rsidRPr="00467DB0">
        <w:tab/>
        <w:t xml:space="preserve">I den finansielle </w:t>
      </w:r>
      <w:proofErr w:type="spellStart"/>
      <w:r w:rsidRPr="00467DB0">
        <w:t>partnerskabsrammeaftale</w:t>
      </w:r>
      <w:proofErr w:type="spellEnd"/>
      <w:r w:rsidRPr="00467DB0">
        <w:t xml:space="preserve">, der er omhandlet i </w:t>
      </w:r>
      <w:proofErr w:type="spellStart"/>
      <w:r w:rsidRPr="00467DB0">
        <w:t>artikel</w:t>
      </w:r>
      <w:proofErr w:type="spellEnd"/>
      <w:r w:rsidRPr="00467DB0">
        <w:t xml:space="preserve"> 28, stk. 4,</w:t>
      </w:r>
    </w:p>
    <w:p w14:paraId="4547B8D0" w14:textId="77777777" w:rsidR="00000000" w:rsidRPr="00467DB0" w:rsidRDefault="00693D67" w:rsidP="00467DB0">
      <w:pPr>
        <w:pStyle w:val="friliste2"/>
      </w:pPr>
      <w:r w:rsidRPr="00467DB0">
        <w:t>a)</w:t>
      </w:r>
      <w:r w:rsidRPr="00467DB0">
        <w:tab/>
        <w:t xml:space="preserve">defineres klart roller, ansvarsområder og </w:t>
      </w:r>
      <w:proofErr w:type="spellStart"/>
      <w:r w:rsidRPr="00467DB0">
        <w:t>forpligte</w:t>
      </w:r>
      <w:r w:rsidRPr="00467DB0">
        <w:t>lser</w:t>
      </w:r>
      <w:proofErr w:type="spellEnd"/>
      <w:r w:rsidRPr="00467DB0">
        <w:t xml:space="preserve"> for </w:t>
      </w:r>
      <w:proofErr w:type="spellStart"/>
      <w:r w:rsidRPr="00467DB0">
        <w:t>Kommissionen</w:t>
      </w:r>
      <w:proofErr w:type="spellEnd"/>
      <w:r w:rsidRPr="00467DB0">
        <w:t xml:space="preserve">, agenturet og ESA i forbindelse med hver enkelt komponent i programmet og de nødvendige koordinerings- og </w:t>
      </w:r>
      <w:proofErr w:type="spellStart"/>
      <w:r w:rsidRPr="00467DB0">
        <w:t>kontrolmekanismer</w:t>
      </w:r>
      <w:proofErr w:type="spellEnd"/>
    </w:p>
    <w:p w14:paraId="6B89CDAA" w14:textId="77777777" w:rsidR="00000000" w:rsidRPr="00467DB0" w:rsidRDefault="00693D67" w:rsidP="00467DB0">
      <w:pPr>
        <w:pStyle w:val="friliste2"/>
      </w:pPr>
      <w:r w:rsidRPr="00467DB0">
        <w:t>b)</w:t>
      </w:r>
      <w:r w:rsidRPr="00467DB0">
        <w:tab/>
      </w:r>
      <w:proofErr w:type="spellStart"/>
      <w:r w:rsidRPr="00467DB0">
        <w:t>kræves</w:t>
      </w:r>
      <w:proofErr w:type="spellEnd"/>
      <w:r w:rsidRPr="00467DB0">
        <w:t xml:space="preserve">, at ESA anvender Unionens </w:t>
      </w:r>
      <w:proofErr w:type="spellStart"/>
      <w:r w:rsidRPr="00467DB0">
        <w:t>sikkerhedsregler</w:t>
      </w:r>
      <w:proofErr w:type="spellEnd"/>
      <w:r w:rsidRPr="00467DB0">
        <w:t xml:space="preserve">, der er </w:t>
      </w:r>
      <w:proofErr w:type="spellStart"/>
      <w:r w:rsidRPr="00467DB0">
        <w:t>defineret</w:t>
      </w:r>
      <w:proofErr w:type="spellEnd"/>
      <w:r w:rsidRPr="00467DB0">
        <w:t xml:space="preserve"> i de </w:t>
      </w:r>
      <w:proofErr w:type="spellStart"/>
      <w:r w:rsidRPr="00467DB0">
        <w:t>sikkerhedsaftaler</w:t>
      </w:r>
      <w:proofErr w:type="spellEnd"/>
      <w:r w:rsidRPr="00467DB0">
        <w:t xml:space="preserve">, som Unionen og </w:t>
      </w:r>
      <w:r w:rsidRPr="00467DB0">
        <w:t xml:space="preserve">dens </w:t>
      </w:r>
      <w:proofErr w:type="spellStart"/>
      <w:r w:rsidRPr="00467DB0">
        <w:t>institutioner</w:t>
      </w:r>
      <w:proofErr w:type="spellEnd"/>
      <w:r w:rsidRPr="00467DB0">
        <w:t xml:space="preserve"> og agenturer har </w:t>
      </w:r>
      <w:proofErr w:type="spellStart"/>
      <w:r w:rsidRPr="00467DB0">
        <w:t>indgået</w:t>
      </w:r>
      <w:proofErr w:type="spellEnd"/>
      <w:r w:rsidRPr="00467DB0">
        <w:t xml:space="preserve"> med ESA, navnlig med hensyn til behandling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p>
    <w:p w14:paraId="20A3E540" w14:textId="77777777" w:rsidR="00000000" w:rsidRPr="00467DB0" w:rsidRDefault="00693D67" w:rsidP="00467DB0">
      <w:pPr>
        <w:pStyle w:val="friliste2"/>
      </w:pPr>
      <w:r w:rsidRPr="00467DB0">
        <w:t>c)</w:t>
      </w:r>
      <w:r w:rsidRPr="00467DB0">
        <w:tab/>
      </w:r>
      <w:proofErr w:type="spellStart"/>
      <w:r w:rsidRPr="00467DB0">
        <w:t>fastsættes</w:t>
      </w:r>
      <w:proofErr w:type="spellEnd"/>
      <w:r w:rsidRPr="00467DB0">
        <w:t xml:space="preserve"> </w:t>
      </w:r>
      <w:proofErr w:type="spellStart"/>
      <w:r w:rsidRPr="00467DB0">
        <w:t>betingelserne</w:t>
      </w:r>
      <w:proofErr w:type="spellEnd"/>
      <w:r w:rsidRPr="00467DB0">
        <w:t xml:space="preserve"> for forvaltningen </w:t>
      </w:r>
      <w:proofErr w:type="spellStart"/>
      <w:r w:rsidRPr="00467DB0">
        <w:t>af</w:t>
      </w:r>
      <w:proofErr w:type="spellEnd"/>
      <w:r w:rsidRPr="00467DB0">
        <w:t xml:space="preserve"> de midler, der tildeles ESA, navnlig med hensyn til offentlige </w:t>
      </w:r>
      <w:proofErr w:type="spellStart"/>
      <w:r w:rsidRPr="00467DB0">
        <w:t>udbud</w:t>
      </w:r>
      <w:proofErr w:type="spellEnd"/>
      <w:r w:rsidRPr="00467DB0">
        <w:t>, herunder anvendels</w:t>
      </w:r>
      <w:r w:rsidRPr="00467DB0">
        <w:t xml:space="preserve">en </w:t>
      </w:r>
      <w:proofErr w:type="spellStart"/>
      <w:r w:rsidRPr="00467DB0">
        <w:t>af</w:t>
      </w:r>
      <w:proofErr w:type="spellEnd"/>
      <w:r w:rsidRPr="00467DB0">
        <w:t xml:space="preserve"> Unionens </w:t>
      </w:r>
      <w:proofErr w:type="spellStart"/>
      <w:r w:rsidRPr="00467DB0">
        <w:t>udbudsregler</w:t>
      </w:r>
      <w:proofErr w:type="spellEnd"/>
      <w:r w:rsidRPr="00467DB0">
        <w:t xml:space="preserve"> i forbindelse med </w:t>
      </w:r>
      <w:proofErr w:type="spellStart"/>
      <w:r w:rsidRPr="00467DB0">
        <w:t>udbud</w:t>
      </w:r>
      <w:proofErr w:type="spellEnd"/>
      <w:r w:rsidRPr="00467DB0">
        <w:t xml:space="preserve"> i Unionens navn og på dennes vegne samt i forbindelse med den bemyndigede </w:t>
      </w:r>
      <w:proofErr w:type="spellStart"/>
      <w:r w:rsidRPr="00467DB0">
        <w:t>enheds</w:t>
      </w:r>
      <w:proofErr w:type="spellEnd"/>
      <w:r w:rsidRPr="00467DB0">
        <w:t xml:space="preserve"> anvendelse </w:t>
      </w:r>
      <w:proofErr w:type="spellStart"/>
      <w:r w:rsidRPr="00467DB0">
        <w:t>af</w:t>
      </w:r>
      <w:proofErr w:type="spellEnd"/>
      <w:r w:rsidRPr="00467DB0">
        <w:t xml:space="preserve"> </w:t>
      </w:r>
      <w:proofErr w:type="spellStart"/>
      <w:r w:rsidRPr="00467DB0">
        <w:t>reglerne</w:t>
      </w:r>
      <w:proofErr w:type="spellEnd"/>
      <w:r w:rsidRPr="00467DB0">
        <w:t xml:space="preserve"> i overensstemmelse med finansforordningens </w:t>
      </w:r>
      <w:proofErr w:type="spellStart"/>
      <w:r w:rsidRPr="00467DB0">
        <w:t>artikel</w:t>
      </w:r>
      <w:proofErr w:type="spellEnd"/>
      <w:r w:rsidRPr="00467DB0">
        <w:t xml:space="preserve"> 154, </w:t>
      </w:r>
      <w:proofErr w:type="spellStart"/>
      <w:r w:rsidRPr="00467DB0">
        <w:t>forvaltningsprocedurer</w:t>
      </w:r>
      <w:proofErr w:type="spellEnd"/>
      <w:r w:rsidRPr="00467DB0">
        <w:t>, de forventede result</w:t>
      </w:r>
      <w:r w:rsidRPr="00467DB0">
        <w:t xml:space="preserve">ater målt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præstationsindikatorer</w:t>
      </w:r>
      <w:proofErr w:type="spellEnd"/>
      <w:r w:rsidRPr="00467DB0">
        <w:t xml:space="preserve">, </w:t>
      </w:r>
      <w:proofErr w:type="spellStart"/>
      <w:r w:rsidRPr="00467DB0">
        <w:t>gældende</w:t>
      </w:r>
      <w:proofErr w:type="spellEnd"/>
      <w:r w:rsidRPr="00467DB0">
        <w:t xml:space="preserve"> foranstaltninger i </w:t>
      </w:r>
      <w:proofErr w:type="spellStart"/>
      <w:r w:rsidRPr="00467DB0">
        <w:t>tilfælde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eller </w:t>
      </w:r>
      <w:proofErr w:type="spellStart"/>
      <w:r w:rsidRPr="00467DB0">
        <w:t>mangelfuld</w:t>
      </w:r>
      <w:proofErr w:type="spellEnd"/>
      <w:r w:rsidRPr="00467DB0">
        <w:t xml:space="preserve"> </w:t>
      </w:r>
      <w:proofErr w:type="spellStart"/>
      <w:r w:rsidRPr="00467DB0">
        <w:t>gennemførelse</w:t>
      </w:r>
      <w:proofErr w:type="spellEnd"/>
      <w:r w:rsidRPr="00467DB0">
        <w:t xml:space="preserve"> </w:t>
      </w:r>
      <w:proofErr w:type="spellStart"/>
      <w:r w:rsidRPr="00467DB0">
        <w:t>af</w:t>
      </w:r>
      <w:proofErr w:type="spellEnd"/>
      <w:r w:rsidRPr="00467DB0">
        <w:t xml:space="preserve"> </w:t>
      </w:r>
      <w:proofErr w:type="spellStart"/>
      <w:r w:rsidRPr="00467DB0">
        <w:t>kontrakterne</w:t>
      </w:r>
      <w:proofErr w:type="spellEnd"/>
      <w:r w:rsidRPr="00467DB0">
        <w:t xml:space="preserve"> for så vidt angår omkostninger, tidsplan og resultater samt </w:t>
      </w:r>
      <w:proofErr w:type="spellStart"/>
      <w:r w:rsidRPr="00467DB0">
        <w:t>kommunikationsstrategien</w:t>
      </w:r>
      <w:proofErr w:type="spellEnd"/>
      <w:r w:rsidRPr="00467DB0">
        <w:t xml:space="preserve"> og </w:t>
      </w:r>
      <w:proofErr w:type="spellStart"/>
      <w:r w:rsidRPr="00467DB0">
        <w:t>bestemmelserne</w:t>
      </w:r>
      <w:proofErr w:type="spellEnd"/>
      <w:r w:rsidRPr="00467DB0">
        <w:t xml:space="preserve"> vedrørende </w:t>
      </w:r>
      <w:proofErr w:type="spellStart"/>
      <w:r w:rsidRPr="00467DB0">
        <w:t>eje</w:t>
      </w:r>
      <w:r w:rsidRPr="00467DB0">
        <w:t>ndomsretten</w:t>
      </w:r>
      <w:proofErr w:type="spellEnd"/>
      <w:r w:rsidRPr="00467DB0">
        <w:t xml:space="preserve"> til alle materielle og immaterielle aktiver; dis</w:t>
      </w:r>
      <w:r w:rsidRPr="00467DB0">
        <w:lastRenderedPageBreak/>
        <w:t xml:space="preserve">se betingelser skal være i overensstemmelse med denne forordnings </w:t>
      </w:r>
      <w:proofErr w:type="spellStart"/>
      <w:r w:rsidRPr="00467DB0">
        <w:t>afsnit</w:t>
      </w:r>
      <w:proofErr w:type="spellEnd"/>
      <w:r w:rsidRPr="00467DB0">
        <w:t> III og V og med finansforordningen</w:t>
      </w:r>
    </w:p>
    <w:p w14:paraId="4A9E90B5" w14:textId="77777777" w:rsidR="00000000" w:rsidRPr="00467DB0" w:rsidRDefault="00693D67" w:rsidP="00467DB0">
      <w:pPr>
        <w:pStyle w:val="friliste2"/>
      </w:pPr>
      <w:r w:rsidRPr="00467DB0">
        <w:t>d)</w:t>
      </w:r>
      <w:r w:rsidRPr="00467DB0">
        <w:tab/>
      </w:r>
      <w:proofErr w:type="spellStart"/>
      <w:r w:rsidRPr="00467DB0">
        <w:t>kræves</w:t>
      </w:r>
      <w:proofErr w:type="spellEnd"/>
      <w:r w:rsidRPr="00467DB0">
        <w:t xml:space="preserve">, at eksperter fra </w:t>
      </w:r>
      <w:proofErr w:type="spellStart"/>
      <w:r w:rsidRPr="00467DB0">
        <w:t>Kommissionen</w:t>
      </w:r>
      <w:proofErr w:type="spellEnd"/>
      <w:r w:rsidRPr="00467DB0">
        <w:t xml:space="preserve"> og, hvor det er relevant, fra den anden bemyndi</w:t>
      </w:r>
      <w:r w:rsidRPr="00467DB0">
        <w:t xml:space="preserve">gede </w:t>
      </w:r>
      <w:proofErr w:type="spellStart"/>
      <w:r w:rsidRPr="00467DB0">
        <w:t>enhed</w:t>
      </w:r>
      <w:proofErr w:type="spellEnd"/>
      <w:r w:rsidRPr="00467DB0">
        <w:t xml:space="preserve">, deltager som medlem i </w:t>
      </w:r>
      <w:proofErr w:type="spellStart"/>
      <w:r w:rsidRPr="00467DB0">
        <w:t>udbudsevalueringsrådets</w:t>
      </w:r>
      <w:proofErr w:type="spellEnd"/>
      <w:r w:rsidRPr="00467DB0">
        <w:t xml:space="preserve"> møder, hver gang agenturet eller ESA </w:t>
      </w:r>
      <w:proofErr w:type="spellStart"/>
      <w:r w:rsidRPr="00467DB0">
        <w:t>opretter</w:t>
      </w:r>
      <w:proofErr w:type="spellEnd"/>
      <w:r w:rsidRPr="00467DB0">
        <w:t xml:space="preserve"> et </w:t>
      </w:r>
      <w:proofErr w:type="spellStart"/>
      <w:r w:rsidRPr="00467DB0">
        <w:t>udbudsevalueringsråd</w:t>
      </w:r>
      <w:proofErr w:type="spellEnd"/>
      <w:r w:rsidRPr="00467DB0">
        <w:t xml:space="preserve"> i forbindelse med en </w:t>
      </w:r>
      <w:proofErr w:type="spellStart"/>
      <w:r w:rsidRPr="00467DB0">
        <w:t>indkøbsforanstaltning</w:t>
      </w:r>
      <w:proofErr w:type="spellEnd"/>
      <w:r w:rsidRPr="00467DB0">
        <w:t xml:space="preserve"> </w:t>
      </w:r>
      <w:proofErr w:type="spellStart"/>
      <w:r w:rsidRPr="00467DB0">
        <w:t>foretaget</w:t>
      </w:r>
      <w:proofErr w:type="spellEnd"/>
      <w:r w:rsidRPr="00467DB0">
        <w:t xml:space="preserve"> i henhold til den finansielle </w:t>
      </w:r>
      <w:proofErr w:type="spellStart"/>
      <w:r w:rsidRPr="00467DB0">
        <w:t>partnerskabsrammeaftale</w:t>
      </w:r>
      <w:proofErr w:type="spellEnd"/>
      <w:r w:rsidRPr="00467DB0">
        <w:t xml:space="preserve">. En sådan deltagelse </w:t>
      </w:r>
      <w:r w:rsidRPr="00467DB0">
        <w:t xml:space="preserve">må ikke berøre </w:t>
      </w:r>
      <w:proofErr w:type="spellStart"/>
      <w:r w:rsidRPr="00467DB0">
        <w:t>udbudsevalueringsrådets</w:t>
      </w:r>
      <w:proofErr w:type="spellEnd"/>
      <w:r w:rsidRPr="00467DB0">
        <w:t xml:space="preserve"> tekniske </w:t>
      </w:r>
      <w:proofErr w:type="spellStart"/>
      <w:r w:rsidRPr="00467DB0">
        <w:t>uafhængighed</w:t>
      </w:r>
      <w:proofErr w:type="spellEnd"/>
    </w:p>
    <w:p w14:paraId="40223C08" w14:textId="77777777" w:rsidR="00000000" w:rsidRPr="00467DB0" w:rsidRDefault="00693D67" w:rsidP="00467DB0">
      <w:pPr>
        <w:pStyle w:val="friliste2"/>
      </w:pPr>
      <w:r w:rsidRPr="00467DB0">
        <w:t>e)</w:t>
      </w:r>
      <w:r w:rsidRPr="00467DB0">
        <w:tab/>
      </w:r>
      <w:proofErr w:type="spellStart"/>
      <w:r w:rsidRPr="00467DB0">
        <w:t>fastlægges</w:t>
      </w:r>
      <w:proofErr w:type="spellEnd"/>
      <w:r w:rsidRPr="00467DB0">
        <w:t xml:space="preserve"> </w:t>
      </w:r>
      <w:proofErr w:type="spellStart"/>
      <w:r w:rsidRPr="00467DB0">
        <w:t>overvågnings</w:t>
      </w:r>
      <w:proofErr w:type="spellEnd"/>
      <w:r w:rsidRPr="00467DB0">
        <w:t xml:space="preserve">- og </w:t>
      </w:r>
      <w:proofErr w:type="spellStart"/>
      <w:r w:rsidRPr="00467DB0">
        <w:t>kontrolforanstaltninger</w:t>
      </w:r>
      <w:proofErr w:type="spellEnd"/>
      <w:r w:rsidRPr="00467DB0">
        <w:t xml:space="preserve">, som navnlig omfatter: </w:t>
      </w:r>
    </w:p>
    <w:p w14:paraId="7C65D54C" w14:textId="77777777" w:rsidR="00000000" w:rsidRPr="00467DB0" w:rsidRDefault="00693D67" w:rsidP="00467DB0">
      <w:pPr>
        <w:pStyle w:val="friliste3"/>
      </w:pPr>
      <w:r w:rsidRPr="00467DB0">
        <w:t>i)</w:t>
      </w:r>
      <w:r w:rsidRPr="00467DB0">
        <w:tab/>
        <w:t xml:space="preserve">en </w:t>
      </w:r>
      <w:proofErr w:type="spellStart"/>
      <w:r w:rsidRPr="00467DB0">
        <w:t>oversigt</w:t>
      </w:r>
      <w:proofErr w:type="spellEnd"/>
      <w:r w:rsidRPr="00467DB0">
        <w:t xml:space="preserve"> over forventede omkostninger,</w:t>
      </w:r>
    </w:p>
    <w:p w14:paraId="69B4AF01" w14:textId="77777777" w:rsidR="00000000" w:rsidRPr="00467DB0" w:rsidRDefault="00693D67" w:rsidP="00467DB0">
      <w:pPr>
        <w:pStyle w:val="friliste3"/>
      </w:pPr>
      <w:r w:rsidRPr="00467DB0">
        <w:t>ii)</w:t>
      </w:r>
      <w:r w:rsidRPr="00467DB0">
        <w:tab/>
        <w:t xml:space="preserve">systematiske </w:t>
      </w:r>
      <w:proofErr w:type="spellStart"/>
      <w:r w:rsidRPr="00467DB0">
        <w:t>oplysninger</w:t>
      </w:r>
      <w:proofErr w:type="spellEnd"/>
      <w:r w:rsidRPr="00467DB0">
        <w:t xml:space="preserve"> til </w:t>
      </w:r>
      <w:proofErr w:type="spellStart"/>
      <w:r w:rsidRPr="00467DB0">
        <w:t>Kommissionen</w:t>
      </w:r>
      <w:proofErr w:type="spellEnd"/>
      <w:r w:rsidRPr="00467DB0">
        <w:t xml:space="preserve"> eller, hvis det er releva</w:t>
      </w:r>
      <w:r w:rsidRPr="00467DB0">
        <w:t xml:space="preserve">nt, til agenturet </w:t>
      </w:r>
      <w:proofErr w:type="gramStart"/>
      <w:r w:rsidRPr="00467DB0">
        <w:t>vedrørende</w:t>
      </w:r>
      <w:proofErr w:type="gramEnd"/>
      <w:r w:rsidRPr="00467DB0">
        <w:t xml:space="preserve"> omkostninger og tidsplaner, og </w:t>
      </w:r>
    </w:p>
    <w:p w14:paraId="53AAB6DE" w14:textId="77777777" w:rsidR="00000000" w:rsidRPr="00467DB0" w:rsidRDefault="00693D67" w:rsidP="00467DB0">
      <w:pPr>
        <w:pStyle w:val="friliste3"/>
      </w:pPr>
      <w:r w:rsidRPr="00467DB0">
        <w:t>iii)</w:t>
      </w:r>
      <w:r w:rsidRPr="00467DB0">
        <w:tab/>
        <w:t xml:space="preserve">i </w:t>
      </w:r>
      <w:proofErr w:type="spellStart"/>
      <w:r w:rsidRPr="00467DB0">
        <w:t>tilfælde</w:t>
      </w:r>
      <w:proofErr w:type="spellEnd"/>
      <w:r w:rsidRPr="00467DB0">
        <w:t xml:space="preserve"> </w:t>
      </w:r>
      <w:proofErr w:type="spellStart"/>
      <w:r w:rsidRPr="00467DB0">
        <w:t>af</w:t>
      </w:r>
      <w:proofErr w:type="spellEnd"/>
      <w:r w:rsidRPr="00467DB0">
        <w:t xml:space="preserve"> uoverensstemmelse </w:t>
      </w:r>
      <w:proofErr w:type="spellStart"/>
      <w:r w:rsidRPr="00467DB0">
        <w:t>mellem</w:t>
      </w:r>
      <w:proofErr w:type="spellEnd"/>
      <w:r w:rsidRPr="00467DB0">
        <w:t xml:space="preserve"> de planlagte </w:t>
      </w:r>
      <w:proofErr w:type="spellStart"/>
      <w:r w:rsidRPr="00467DB0">
        <w:t>budgetter</w:t>
      </w:r>
      <w:proofErr w:type="spellEnd"/>
      <w:r w:rsidRPr="00467DB0">
        <w:t xml:space="preserve">, </w:t>
      </w:r>
      <w:proofErr w:type="spellStart"/>
      <w:r w:rsidRPr="00467DB0">
        <w:t>præstation</w:t>
      </w:r>
      <w:proofErr w:type="spellEnd"/>
      <w:r w:rsidRPr="00467DB0">
        <w:t xml:space="preserve"> og tidsplaner, korrigerende foranstaltninger til at sikre </w:t>
      </w:r>
      <w:proofErr w:type="spellStart"/>
      <w:r w:rsidRPr="00467DB0">
        <w:t>udførelsen</w:t>
      </w:r>
      <w:proofErr w:type="spellEnd"/>
      <w:r w:rsidRPr="00467DB0">
        <w:t xml:space="preserve"> </w:t>
      </w:r>
      <w:proofErr w:type="spellStart"/>
      <w:r w:rsidRPr="00467DB0">
        <w:t>af</w:t>
      </w:r>
      <w:proofErr w:type="spellEnd"/>
      <w:r w:rsidRPr="00467DB0">
        <w:t xml:space="preserve"> </w:t>
      </w:r>
      <w:proofErr w:type="spellStart"/>
      <w:r w:rsidRPr="00467DB0">
        <w:t>opgaverne</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 tildelte </w:t>
      </w:r>
      <w:r w:rsidRPr="00467DB0">
        <w:t>bevillinger</w:t>
      </w:r>
    </w:p>
    <w:p w14:paraId="57364601" w14:textId="77777777" w:rsidR="00000000" w:rsidRPr="00467DB0" w:rsidRDefault="00693D67" w:rsidP="00467DB0">
      <w:pPr>
        <w:pStyle w:val="friliste2"/>
      </w:pPr>
      <w:r w:rsidRPr="00467DB0">
        <w:t>f)</w:t>
      </w:r>
      <w:r w:rsidRPr="00467DB0">
        <w:tab/>
      </w:r>
      <w:proofErr w:type="spellStart"/>
      <w:r w:rsidRPr="00467DB0">
        <w:t>fastlægges</w:t>
      </w:r>
      <w:proofErr w:type="spellEnd"/>
      <w:r w:rsidRPr="00467DB0">
        <w:t xml:space="preserve"> </w:t>
      </w:r>
      <w:proofErr w:type="spellStart"/>
      <w:r w:rsidRPr="00467DB0">
        <w:t>principperne</w:t>
      </w:r>
      <w:proofErr w:type="spellEnd"/>
      <w:r w:rsidRPr="00467DB0">
        <w:t xml:space="preserve"> for vederlag til ESA for hver enkelt komponent i programmet, som skal stå i et </w:t>
      </w:r>
      <w:proofErr w:type="spellStart"/>
      <w:r w:rsidRPr="00467DB0">
        <w:t>rimeligt</w:t>
      </w:r>
      <w:proofErr w:type="spellEnd"/>
      <w:r w:rsidRPr="00467DB0">
        <w:t xml:space="preserve"> forhold til de vilkår, hvorunder </w:t>
      </w:r>
      <w:proofErr w:type="spellStart"/>
      <w:r w:rsidRPr="00467DB0">
        <w:t>foranstaltningerne</w:t>
      </w:r>
      <w:proofErr w:type="spellEnd"/>
      <w:r w:rsidRPr="00467DB0">
        <w:t xml:space="preserve"> </w:t>
      </w:r>
      <w:proofErr w:type="spellStart"/>
      <w:r w:rsidRPr="00467DB0">
        <w:t>gennemføres</w:t>
      </w:r>
      <w:proofErr w:type="spellEnd"/>
      <w:r w:rsidRPr="00467DB0">
        <w:t xml:space="preserve">, under behørig hensyntagen til </w:t>
      </w:r>
      <w:proofErr w:type="spellStart"/>
      <w:r w:rsidRPr="00467DB0">
        <w:t>krisesituationer</w:t>
      </w:r>
      <w:proofErr w:type="spellEnd"/>
      <w:r w:rsidRPr="00467DB0">
        <w:t xml:space="preserve"> og </w:t>
      </w:r>
      <w:proofErr w:type="spellStart"/>
      <w:r w:rsidRPr="00467DB0">
        <w:t>skrøbelige</w:t>
      </w:r>
      <w:proofErr w:type="spellEnd"/>
      <w:r w:rsidRPr="00467DB0">
        <w:t xml:space="preserve"> </w:t>
      </w:r>
      <w:proofErr w:type="spellStart"/>
      <w:r w:rsidRPr="00467DB0">
        <w:t>sit</w:t>
      </w:r>
      <w:r w:rsidRPr="00467DB0">
        <w:t>uationer</w:t>
      </w:r>
      <w:proofErr w:type="spellEnd"/>
      <w:r w:rsidRPr="00467DB0">
        <w:t xml:space="preserve">, og som, hvor det er relevant, skal være </w:t>
      </w:r>
      <w:proofErr w:type="spellStart"/>
      <w:r w:rsidRPr="00467DB0">
        <w:t>præstationsbaseret</w:t>
      </w:r>
      <w:proofErr w:type="spellEnd"/>
      <w:r w:rsidRPr="00467DB0">
        <w:t xml:space="preserve">; vederlaget </w:t>
      </w:r>
      <w:proofErr w:type="spellStart"/>
      <w:r w:rsidRPr="00467DB0">
        <w:t>dækker</w:t>
      </w:r>
      <w:proofErr w:type="spellEnd"/>
      <w:r w:rsidRPr="00467DB0">
        <w:t xml:space="preserve"> kun generalomkostninger, der er forbundet med de aktiviteter, der overdrages til ESA</w:t>
      </w:r>
    </w:p>
    <w:p w14:paraId="582868A8" w14:textId="77777777" w:rsidR="00000000" w:rsidRPr="00467DB0" w:rsidRDefault="00693D67" w:rsidP="00467DB0">
      <w:pPr>
        <w:pStyle w:val="friliste2"/>
      </w:pPr>
      <w:r w:rsidRPr="00467DB0">
        <w:t>g)</w:t>
      </w:r>
      <w:r w:rsidRPr="00467DB0">
        <w:tab/>
      </w:r>
      <w:proofErr w:type="spellStart"/>
      <w:r w:rsidRPr="00467DB0">
        <w:t>fastsættes</w:t>
      </w:r>
      <w:proofErr w:type="spellEnd"/>
      <w:r w:rsidRPr="00467DB0">
        <w:t xml:space="preserve">, at ESA </w:t>
      </w:r>
      <w:proofErr w:type="spellStart"/>
      <w:r w:rsidRPr="00467DB0">
        <w:t>træffer</w:t>
      </w:r>
      <w:proofErr w:type="spellEnd"/>
      <w:r w:rsidRPr="00467DB0">
        <w:t xml:space="preserve"> passende foranstaltninger til at sikre beskyttelsen </w:t>
      </w:r>
      <w:proofErr w:type="spellStart"/>
      <w:r w:rsidRPr="00467DB0">
        <w:t>a</w:t>
      </w:r>
      <w:r w:rsidRPr="00467DB0">
        <w:t>f</w:t>
      </w:r>
      <w:proofErr w:type="spellEnd"/>
      <w:r w:rsidRPr="00467DB0">
        <w:t xml:space="preserve"> Unionens interesser og til at </w:t>
      </w:r>
      <w:proofErr w:type="spellStart"/>
      <w:r w:rsidRPr="00467DB0">
        <w:t>efterleve</w:t>
      </w:r>
      <w:proofErr w:type="spellEnd"/>
      <w:r w:rsidRPr="00467DB0">
        <w:t xml:space="preserve"> de </w:t>
      </w:r>
      <w:proofErr w:type="spellStart"/>
      <w:r w:rsidRPr="00467DB0">
        <w:t>afgørelser</w:t>
      </w:r>
      <w:proofErr w:type="spellEnd"/>
      <w:r w:rsidRPr="00467DB0">
        <w:t xml:space="preserve">, som </w:t>
      </w:r>
      <w:proofErr w:type="spellStart"/>
      <w:r w:rsidRPr="00467DB0">
        <w:t>Kommissionen</w:t>
      </w:r>
      <w:proofErr w:type="spellEnd"/>
      <w:r w:rsidRPr="00467DB0">
        <w:t xml:space="preserve"> har truffet for hver enkelt komponent i programmet i forbindelse med </w:t>
      </w:r>
      <w:proofErr w:type="gramStart"/>
      <w:r w:rsidRPr="00467DB0">
        <w:t>anvendelsen</w:t>
      </w:r>
      <w:proofErr w:type="gramEnd"/>
      <w:r w:rsidRPr="00467DB0">
        <w:t xml:space="preserve"> </w:t>
      </w:r>
      <w:proofErr w:type="spellStart"/>
      <w:r w:rsidRPr="00467DB0">
        <w:t>af</w:t>
      </w:r>
      <w:proofErr w:type="spellEnd"/>
      <w:r w:rsidRPr="00467DB0">
        <w:t xml:space="preserve"> denne forordning.</w:t>
      </w:r>
    </w:p>
    <w:p w14:paraId="2143DC23"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træffer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w:t>
      </w:r>
      <w:proofErr w:type="spellStart"/>
      <w:r w:rsidRPr="00467DB0">
        <w:t>afgørelse</w:t>
      </w:r>
      <w:proofErr w:type="spellEnd"/>
      <w:r w:rsidRPr="00467DB0">
        <w:t xml:space="preserve"> om den fi</w:t>
      </w:r>
      <w:r w:rsidRPr="00467DB0">
        <w:t xml:space="preserve">nansielle </w:t>
      </w:r>
      <w:proofErr w:type="spellStart"/>
      <w:r w:rsidRPr="00467DB0">
        <w:t>partnerskabsrammeaftale</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 Europa-Parlamentet og Rådet underrettes i god tid i </w:t>
      </w:r>
      <w:proofErr w:type="spellStart"/>
      <w:r w:rsidRPr="00467DB0">
        <w:t>forvejen</w:t>
      </w:r>
      <w:proofErr w:type="spellEnd"/>
      <w:r w:rsidRPr="00467DB0">
        <w:t xml:space="preserve"> </w:t>
      </w:r>
      <w:proofErr w:type="spellStart"/>
      <w:r w:rsidRPr="00467DB0">
        <w:t>fuldt</w:t>
      </w:r>
      <w:proofErr w:type="spellEnd"/>
      <w:r w:rsidRPr="00467DB0">
        <w:t xml:space="preserve"> </w:t>
      </w:r>
      <w:proofErr w:type="spellStart"/>
      <w:r w:rsidRPr="00467DB0">
        <w:t>ud</w:t>
      </w:r>
      <w:proofErr w:type="spellEnd"/>
      <w:r w:rsidRPr="00467DB0">
        <w:t xml:space="preserve"> om den finansielle </w:t>
      </w:r>
      <w:proofErr w:type="spellStart"/>
      <w:r w:rsidRPr="00467DB0">
        <w:t>partnerskabsrammeaftale</w:t>
      </w:r>
      <w:proofErr w:type="spellEnd"/>
      <w:r w:rsidRPr="00467DB0">
        <w:t xml:space="preserve">, der skal </w:t>
      </w:r>
      <w:proofErr w:type="spellStart"/>
      <w:r w:rsidRPr="00467DB0">
        <w:t>indgås</w:t>
      </w:r>
      <w:proofErr w:type="spellEnd"/>
      <w:r w:rsidRPr="00467DB0">
        <w:t xml:space="preserve">, og om </w:t>
      </w:r>
      <w:proofErr w:type="spellStart"/>
      <w:r w:rsidRPr="00467DB0">
        <w:t>gennemførelsen</w:t>
      </w:r>
      <w:proofErr w:type="spellEnd"/>
      <w:r w:rsidRPr="00467DB0">
        <w:t xml:space="preserve"> </w:t>
      </w:r>
      <w:proofErr w:type="spellStart"/>
      <w:r w:rsidRPr="00467DB0">
        <w:t>heraf</w:t>
      </w:r>
      <w:proofErr w:type="spellEnd"/>
      <w:r w:rsidRPr="00467DB0">
        <w:t>.</w:t>
      </w:r>
    </w:p>
    <w:p w14:paraId="4360DBCB" w14:textId="77777777" w:rsidR="00000000" w:rsidRPr="00467DB0" w:rsidRDefault="00693D67" w:rsidP="00467DB0">
      <w:pPr>
        <w:pStyle w:val="friliste"/>
      </w:pPr>
      <w:r w:rsidRPr="00467DB0">
        <w:t>3.</w:t>
      </w:r>
      <w:r w:rsidRPr="00467DB0">
        <w:tab/>
        <w:t xml:space="preserve">I henhold til den i denne </w:t>
      </w:r>
      <w:proofErr w:type="spellStart"/>
      <w:r w:rsidRPr="00467DB0">
        <w:t>artikels</w:t>
      </w:r>
      <w:proofErr w:type="spellEnd"/>
      <w:r w:rsidRPr="00467DB0">
        <w:t xml:space="preserve"> stk. 1 omhandlede finansielle </w:t>
      </w:r>
      <w:proofErr w:type="spellStart"/>
      <w:r w:rsidRPr="00467DB0">
        <w:t>partnerskabsrammeaftale</w:t>
      </w:r>
      <w:proofErr w:type="spellEnd"/>
      <w:r w:rsidRPr="00467DB0">
        <w:t xml:space="preserve"> overdrages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29, stk. 2 og 3, til agenturet, og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30, stk. 1</w:t>
      </w:r>
      <w:r w:rsidRPr="00467DB0">
        <w:t xml:space="preserve">, overdrages til ESA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bidragsaftaler</w:t>
      </w:r>
      <w:proofErr w:type="spellEnd"/>
      <w:r w:rsidRPr="00467DB0">
        <w:t xml:space="preserve">. </w:t>
      </w:r>
      <w:proofErr w:type="spellStart"/>
      <w:r w:rsidRPr="00467DB0">
        <w:t>Kommissionen</w:t>
      </w:r>
      <w:proofErr w:type="spellEnd"/>
      <w:r w:rsidRPr="00467DB0">
        <w:t xml:space="preserve"> </w:t>
      </w:r>
      <w:proofErr w:type="spellStart"/>
      <w:r w:rsidRPr="00467DB0">
        <w:t>vedtager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den </w:t>
      </w:r>
      <w:proofErr w:type="spellStart"/>
      <w:r w:rsidRPr="00467DB0">
        <w:t>bidragsafgørelse</w:t>
      </w:r>
      <w:proofErr w:type="spellEnd"/>
      <w:r w:rsidRPr="00467DB0">
        <w:t xml:space="preserve">, der vedrører </w:t>
      </w:r>
      <w:proofErr w:type="spellStart"/>
      <w:r w:rsidRPr="00467DB0">
        <w:t>bidragsaftalerne</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rådgivningsproceduren</w:t>
      </w:r>
      <w:proofErr w:type="spellEnd"/>
      <w:r w:rsidRPr="00467DB0">
        <w:t xml:space="preserve"> i </w:t>
      </w:r>
      <w:proofErr w:type="spellStart"/>
      <w:r w:rsidRPr="00467DB0">
        <w:t>artikel</w:t>
      </w:r>
      <w:proofErr w:type="spellEnd"/>
      <w:r w:rsidRPr="00467DB0">
        <w:t xml:space="preserve"> 107, stk. 2. Euro</w:t>
      </w:r>
      <w:r w:rsidRPr="00467DB0">
        <w:t xml:space="preserve">pa-Parlamentet og Rådet underrettes i god tid i </w:t>
      </w:r>
      <w:proofErr w:type="spellStart"/>
      <w:r w:rsidRPr="00467DB0">
        <w:t>forvejen</w:t>
      </w:r>
      <w:proofErr w:type="spellEnd"/>
      <w:r w:rsidRPr="00467DB0">
        <w:t xml:space="preserve"> </w:t>
      </w:r>
      <w:proofErr w:type="spellStart"/>
      <w:r w:rsidRPr="00467DB0">
        <w:t>fuldt</w:t>
      </w:r>
      <w:proofErr w:type="spellEnd"/>
      <w:r w:rsidRPr="00467DB0">
        <w:t xml:space="preserve"> </w:t>
      </w:r>
      <w:proofErr w:type="spellStart"/>
      <w:r w:rsidRPr="00467DB0">
        <w:t>ud</w:t>
      </w:r>
      <w:proofErr w:type="spellEnd"/>
      <w:r w:rsidRPr="00467DB0">
        <w:t xml:space="preserve"> om de </w:t>
      </w:r>
      <w:proofErr w:type="spellStart"/>
      <w:r w:rsidRPr="00467DB0">
        <w:t>bidragsaftaler</w:t>
      </w:r>
      <w:proofErr w:type="spellEnd"/>
      <w:r w:rsidRPr="00467DB0">
        <w:t xml:space="preserve">, der skal </w:t>
      </w:r>
      <w:proofErr w:type="spellStart"/>
      <w:r w:rsidRPr="00467DB0">
        <w:t>indgås</w:t>
      </w:r>
      <w:proofErr w:type="spellEnd"/>
      <w:r w:rsidRPr="00467DB0">
        <w:t xml:space="preserve">, og om </w:t>
      </w:r>
      <w:proofErr w:type="spellStart"/>
      <w:r w:rsidRPr="00467DB0">
        <w:t>gennemførelsen</w:t>
      </w:r>
      <w:proofErr w:type="spellEnd"/>
      <w:r w:rsidRPr="00467DB0">
        <w:t xml:space="preserve"> </w:t>
      </w:r>
      <w:proofErr w:type="spellStart"/>
      <w:r w:rsidRPr="00467DB0">
        <w:t>heraf</w:t>
      </w:r>
      <w:proofErr w:type="spellEnd"/>
      <w:r w:rsidRPr="00467DB0">
        <w:t>.</w:t>
      </w:r>
    </w:p>
    <w:p w14:paraId="75DCD39C" w14:textId="77777777" w:rsidR="00000000" w:rsidRPr="00467DB0" w:rsidRDefault="00693D67" w:rsidP="00467DB0">
      <w:pPr>
        <w:pStyle w:val="avsnitt-undertittel"/>
      </w:pPr>
      <w:proofErr w:type="spellStart"/>
      <w:r w:rsidRPr="00467DB0">
        <w:t>Artikel</w:t>
      </w:r>
      <w:proofErr w:type="spellEnd"/>
      <w:r w:rsidRPr="00467DB0">
        <w:t> 32</w:t>
      </w:r>
    </w:p>
    <w:p w14:paraId="33AEF1D9" w14:textId="77777777" w:rsidR="00000000" w:rsidRPr="00467DB0" w:rsidRDefault="00693D67" w:rsidP="00467DB0">
      <w:pPr>
        <w:pStyle w:val="Undertittel"/>
      </w:pPr>
      <w:proofErr w:type="spellStart"/>
      <w:r w:rsidRPr="00467DB0">
        <w:t>EUMETSAT's</w:t>
      </w:r>
      <w:proofErr w:type="spellEnd"/>
      <w:r w:rsidRPr="00467DB0">
        <w:t xml:space="preserve"> og andre </w:t>
      </w:r>
      <w:proofErr w:type="spellStart"/>
      <w:r w:rsidRPr="00467DB0">
        <w:t>enheders</w:t>
      </w:r>
      <w:proofErr w:type="spellEnd"/>
      <w:r w:rsidRPr="00467DB0">
        <w:t xml:space="preserve"> rolle</w:t>
      </w:r>
    </w:p>
    <w:p w14:paraId="5980D424"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kan, helt eller delvis,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bidragsaftaler</w:t>
      </w:r>
      <w:proofErr w:type="spellEnd"/>
      <w:r w:rsidRPr="00467DB0">
        <w:t xml:space="preserve"> </w:t>
      </w:r>
      <w:proofErr w:type="spellStart"/>
      <w:r w:rsidRPr="00467DB0">
        <w:t>overdrage</w:t>
      </w:r>
      <w:proofErr w:type="spellEnd"/>
      <w:r w:rsidRPr="00467DB0">
        <w:t xml:space="preserve"> </w:t>
      </w:r>
      <w:proofErr w:type="spellStart"/>
      <w:r w:rsidRPr="00467DB0">
        <w:t>gennemførelsen</w:t>
      </w:r>
      <w:proofErr w:type="spellEnd"/>
      <w:r w:rsidRPr="00467DB0">
        <w:t xml:space="preserve"> </w:t>
      </w:r>
      <w:proofErr w:type="spellStart"/>
      <w:r w:rsidRPr="00467DB0">
        <w:t>af</w:t>
      </w:r>
      <w:proofErr w:type="spellEnd"/>
      <w:r w:rsidRPr="00467DB0">
        <w:t xml:space="preserve"> følgende </w:t>
      </w:r>
      <w:proofErr w:type="spellStart"/>
      <w:r w:rsidRPr="00467DB0">
        <w:t>opgaver</w:t>
      </w:r>
      <w:proofErr w:type="spellEnd"/>
      <w:r w:rsidRPr="00467DB0">
        <w:t xml:space="preserve"> til andre </w:t>
      </w:r>
      <w:proofErr w:type="spellStart"/>
      <w:r w:rsidRPr="00467DB0">
        <w:t>enheder</w:t>
      </w:r>
      <w:proofErr w:type="spellEnd"/>
      <w:r w:rsidRPr="00467DB0">
        <w:t xml:space="preserve"> end dem, der er omhandlet i </w:t>
      </w:r>
      <w:proofErr w:type="spellStart"/>
      <w:r w:rsidRPr="00467DB0">
        <w:t>artikel</w:t>
      </w:r>
      <w:proofErr w:type="spellEnd"/>
      <w:r w:rsidRPr="00467DB0">
        <w:t> 29 og 30, herunder:</w:t>
      </w:r>
    </w:p>
    <w:p w14:paraId="3E575FC4" w14:textId="77777777" w:rsidR="00000000" w:rsidRPr="00467DB0" w:rsidRDefault="00693D67" w:rsidP="00467DB0">
      <w:pPr>
        <w:pStyle w:val="friliste2"/>
      </w:pPr>
      <w:r w:rsidRPr="00467DB0">
        <w:t>a)</w:t>
      </w:r>
      <w:r w:rsidRPr="00467DB0">
        <w:tab/>
      </w:r>
      <w:proofErr w:type="spellStart"/>
      <w:r w:rsidRPr="00467DB0">
        <w:t>opgradering</w:t>
      </w:r>
      <w:proofErr w:type="spellEnd"/>
      <w:r w:rsidRPr="00467DB0">
        <w:t xml:space="preserve">, forberedelse og drift </w:t>
      </w:r>
      <w:proofErr w:type="spellStart"/>
      <w:r w:rsidRPr="00467DB0">
        <w:t>af</w:t>
      </w:r>
      <w:proofErr w:type="spellEnd"/>
      <w:r w:rsidRPr="00467DB0">
        <w:t xml:space="preserve"> </w:t>
      </w:r>
      <w:proofErr w:type="spellStart"/>
      <w:r w:rsidRPr="00467DB0">
        <w:t>Copernicusruminfrastrukturen</w:t>
      </w:r>
      <w:proofErr w:type="spellEnd"/>
      <w:r w:rsidRPr="00467DB0">
        <w:t xml:space="preserve"> eller dele </w:t>
      </w:r>
      <w:proofErr w:type="spellStart"/>
      <w:r w:rsidRPr="00467DB0">
        <w:t>heraf</w:t>
      </w:r>
      <w:proofErr w:type="spellEnd"/>
      <w:r w:rsidRPr="00467DB0">
        <w:t xml:space="preserve"> og, hvor det er relevant, forvaltningen </w:t>
      </w:r>
      <w:proofErr w:type="spellStart"/>
      <w:r w:rsidRPr="00467DB0">
        <w:t>af</w:t>
      </w:r>
      <w:proofErr w:type="spellEnd"/>
      <w:r w:rsidRPr="00467DB0">
        <w:t xml:space="preserve"> adgang til bidra</w:t>
      </w:r>
      <w:r w:rsidRPr="00467DB0">
        <w:t>gende missionsdata, som kan overdrages til EUMETSAT</w:t>
      </w:r>
    </w:p>
    <w:p w14:paraId="3901B141" w14:textId="77777777" w:rsidR="00000000" w:rsidRPr="00467DB0" w:rsidRDefault="00693D67" w:rsidP="00467DB0">
      <w:pPr>
        <w:pStyle w:val="friliste2"/>
      </w:pPr>
      <w:r w:rsidRPr="00467DB0">
        <w:lastRenderedPageBreak/>
        <w:t>b)</w:t>
      </w:r>
      <w:r w:rsidRPr="00467DB0">
        <w:tab/>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Copernicustjenesterne</w:t>
      </w:r>
      <w:proofErr w:type="spellEnd"/>
      <w:r w:rsidRPr="00467DB0">
        <w:t xml:space="preserve"> eller dele </w:t>
      </w:r>
      <w:proofErr w:type="spellStart"/>
      <w:r w:rsidRPr="00467DB0">
        <w:t>heraf</w:t>
      </w:r>
      <w:proofErr w:type="spellEnd"/>
      <w:r w:rsidRPr="00467DB0">
        <w:t xml:space="preserve"> til relevante agenturer, organer eller </w:t>
      </w:r>
      <w:proofErr w:type="spellStart"/>
      <w:r w:rsidRPr="00467DB0">
        <w:t>organisationer</w:t>
      </w:r>
      <w:proofErr w:type="spellEnd"/>
      <w:r w:rsidRPr="00467DB0">
        <w:t xml:space="preserve"> såsom Det </w:t>
      </w:r>
      <w:proofErr w:type="spellStart"/>
      <w:r w:rsidRPr="00467DB0">
        <w:t>Europæiske</w:t>
      </w:r>
      <w:proofErr w:type="spellEnd"/>
      <w:r w:rsidRPr="00467DB0">
        <w:t xml:space="preserve"> Miljøagentur, </w:t>
      </w:r>
      <w:proofErr w:type="spellStart"/>
      <w:r w:rsidRPr="00467DB0">
        <w:t>Frontex</w:t>
      </w:r>
      <w:proofErr w:type="spellEnd"/>
      <w:r w:rsidRPr="00467DB0">
        <w:t xml:space="preserve">, Det </w:t>
      </w:r>
      <w:proofErr w:type="spellStart"/>
      <w:r w:rsidRPr="00467DB0">
        <w:t>Europæiske</w:t>
      </w:r>
      <w:proofErr w:type="spellEnd"/>
      <w:r w:rsidRPr="00467DB0">
        <w:t xml:space="preserve"> Agentur for </w:t>
      </w:r>
      <w:proofErr w:type="spellStart"/>
      <w:r w:rsidRPr="00467DB0">
        <w:t>Søf</w:t>
      </w:r>
      <w:r w:rsidRPr="00467DB0">
        <w:t>artssikkerhed</w:t>
      </w:r>
      <w:proofErr w:type="spellEnd"/>
      <w:r w:rsidRPr="00467DB0">
        <w:t xml:space="preserve">, </w:t>
      </w:r>
      <w:proofErr w:type="spellStart"/>
      <w:r w:rsidRPr="00467DB0">
        <w:t>Satcen</w:t>
      </w:r>
      <w:proofErr w:type="spellEnd"/>
      <w:r w:rsidRPr="00467DB0">
        <w:t xml:space="preserve"> og Det </w:t>
      </w:r>
      <w:proofErr w:type="spellStart"/>
      <w:r w:rsidRPr="00467DB0">
        <w:t>Europæiske</w:t>
      </w:r>
      <w:proofErr w:type="spellEnd"/>
      <w:r w:rsidRPr="00467DB0">
        <w:t xml:space="preserve"> Center for </w:t>
      </w:r>
      <w:proofErr w:type="spellStart"/>
      <w:r w:rsidRPr="00467DB0">
        <w:t>Mellemfristede</w:t>
      </w:r>
      <w:proofErr w:type="spellEnd"/>
      <w:r w:rsidRPr="00467DB0">
        <w:t xml:space="preserve"> </w:t>
      </w:r>
      <w:proofErr w:type="spellStart"/>
      <w:r w:rsidRPr="00467DB0">
        <w:t>Vejrprognoser</w:t>
      </w:r>
      <w:proofErr w:type="spellEnd"/>
      <w:r w:rsidRPr="00467DB0">
        <w:t xml:space="preserve">; de </w:t>
      </w:r>
      <w:proofErr w:type="spellStart"/>
      <w:r w:rsidRPr="00467DB0">
        <w:t>opgaver</w:t>
      </w:r>
      <w:proofErr w:type="spellEnd"/>
      <w:r w:rsidRPr="00467DB0">
        <w:t xml:space="preserve">, der overdrages til disse agenturer, organer eller </w:t>
      </w:r>
      <w:proofErr w:type="spellStart"/>
      <w:r w:rsidRPr="00467DB0">
        <w:t>organisationer</w:t>
      </w:r>
      <w:proofErr w:type="spellEnd"/>
      <w:r w:rsidRPr="00467DB0">
        <w:t xml:space="preserve">, </w:t>
      </w:r>
      <w:proofErr w:type="spellStart"/>
      <w:r w:rsidRPr="00467DB0">
        <w:t>udføres</w:t>
      </w:r>
      <w:proofErr w:type="spellEnd"/>
      <w:r w:rsidRPr="00467DB0">
        <w:t xml:space="preserve"> på </w:t>
      </w:r>
      <w:proofErr w:type="spellStart"/>
      <w:r w:rsidRPr="00467DB0">
        <w:t>anlæg</w:t>
      </w:r>
      <w:proofErr w:type="spellEnd"/>
      <w:r w:rsidRPr="00467DB0">
        <w:t xml:space="preserve"> i Unionen. Et agentur, et organ eller en </w:t>
      </w:r>
      <w:proofErr w:type="spellStart"/>
      <w:r w:rsidRPr="00467DB0">
        <w:t>organisation</w:t>
      </w:r>
      <w:proofErr w:type="spellEnd"/>
      <w:r w:rsidRPr="00467DB0">
        <w:t>, som allerede er i gang me</w:t>
      </w:r>
      <w:r w:rsidRPr="00467DB0">
        <w:t xml:space="preserve">d </w:t>
      </w:r>
      <w:proofErr w:type="spellStart"/>
      <w:r w:rsidRPr="00467DB0">
        <w:t>at</w:t>
      </w:r>
      <w:proofErr w:type="spellEnd"/>
      <w:r w:rsidRPr="00467DB0">
        <w:t xml:space="preserve"> flytte sine </w:t>
      </w:r>
      <w:proofErr w:type="spellStart"/>
      <w:r w:rsidRPr="00467DB0">
        <w:t>overdragne</w:t>
      </w:r>
      <w:proofErr w:type="spellEnd"/>
      <w:r w:rsidRPr="00467DB0">
        <w:t xml:space="preserve"> </w:t>
      </w:r>
      <w:proofErr w:type="spellStart"/>
      <w:r w:rsidRPr="00467DB0">
        <w:t>opgaver</w:t>
      </w:r>
      <w:proofErr w:type="spellEnd"/>
      <w:r w:rsidRPr="00467DB0">
        <w:t xml:space="preserve"> til Unionen, kan </w:t>
      </w:r>
      <w:proofErr w:type="spellStart"/>
      <w:r w:rsidRPr="00467DB0">
        <w:t>fortsat</w:t>
      </w:r>
      <w:proofErr w:type="spellEnd"/>
      <w:r w:rsidRPr="00467DB0">
        <w:t xml:space="preserve"> </w:t>
      </w:r>
      <w:proofErr w:type="spellStart"/>
      <w:r w:rsidRPr="00467DB0">
        <w:t>udføre</w:t>
      </w:r>
      <w:proofErr w:type="spellEnd"/>
      <w:r w:rsidRPr="00467DB0">
        <w:t xml:space="preserve"> disse </w:t>
      </w:r>
      <w:proofErr w:type="spellStart"/>
      <w:r w:rsidRPr="00467DB0">
        <w:t>opgaver</w:t>
      </w:r>
      <w:proofErr w:type="spellEnd"/>
      <w:r w:rsidRPr="00467DB0">
        <w:t xml:space="preserve"> på et sted </w:t>
      </w:r>
      <w:proofErr w:type="spellStart"/>
      <w:r w:rsidRPr="00467DB0">
        <w:t>uden</w:t>
      </w:r>
      <w:proofErr w:type="spellEnd"/>
      <w:r w:rsidRPr="00467DB0">
        <w:t xml:space="preserve"> for Unionen i en </w:t>
      </w:r>
      <w:proofErr w:type="spellStart"/>
      <w:r w:rsidRPr="00467DB0">
        <w:t>begrænset</w:t>
      </w:r>
      <w:proofErr w:type="spellEnd"/>
      <w:r w:rsidRPr="00467DB0">
        <w:t xml:space="preserve"> periode, der </w:t>
      </w:r>
      <w:proofErr w:type="spellStart"/>
      <w:r w:rsidRPr="00467DB0">
        <w:t>udløber</w:t>
      </w:r>
      <w:proofErr w:type="spellEnd"/>
      <w:r w:rsidRPr="00467DB0">
        <w:t xml:space="preserve"> senest den 31. </w:t>
      </w:r>
      <w:proofErr w:type="spellStart"/>
      <w:r w:rsidRPr="00467DB0">
        <w:t>december</w:t>
      </w:r>
      <w:proofErr w:type="spellEnd"/>
      <w:r w:rsidRPr="00467DB0">
        <w:t xml:space="preserve"> 2023.</w:t>
      </w:r>
    </w:p>
    <w:p w14:paraId="10F9D64B" w14:textId="77777777" w:rsidR="00000000" w:rsidRPr="00467DB0" w:rsidRDefault="00693D67" w:rsidP="00467DB0">
      <w:pPr>
        <w:pStyle w:val="friliste"/>
      </w:pPr>
      <w:r w:rsidRPr="00467DB0">
        <w:t>2.</w:t>
      </w:r>
      <w:r w:rsidRPr="00467DB0">
        <w:tab/>
      </w:r>
      <w:proofErr w:type="spellStart"/>
      <w:r w:rsidRPr="00467DB0">
        <w:t>Kriterierne</w:t>
      </w:r>
      <w:proofErr w:type="spellEnd"/>
      <w:r w:rsidRPr="00467DB0">
        <w:t xml:space="preserve"> for </w:t>
      </w:r>
      <w:proofErr w:type="spellStart"/>
      <w:r w:rsidRPr="00467DB0">
        <w:t>udvælgelsen</w:t>
      </w:r>
      <w:proofErr w:type="spellEnd"/>
      <w:r w:rsidRPr="00467DB0">
        <w:t xml:space="preserve"> </w:t>
      </w:r>
      <w:proofErr w:type="spellStart"/>
      <w:r w:rsidRPr="00467DB0">
        <w:t>af</w:t>
      </w:r>
      <w:proofErr w:type="spellEnd"/>
      <w:r w:rsidRPr="00467DB0">
        <w:t xml:space="preserve"> sådanne bemyndigede </w:t>
      </w:r>
      <w:proofErr w:type="spellStart"/>
      <w:r w:rsidRPr="00467DB0">
        <w:t>enheder</w:t>
      </w:r>
      <w:proofErr w:type="spellEnd"/>
      <w:r w:rsidRPr="00467DB0">
        <w:t xml:space="preserve"> skal navnlig </w:t>
      </w:r>
      <w:proofErr w:type="spellStart"/>
      <w:r w:rsidRPr="00467DB0">
        <w:t>afspe</w:t>
      </w:r>
      <w:r w:rsidRPr="00467DB0">
        <w:t>jle</w:t>
      </w:r>
      <w:proofErr w:type="spellEnd"/>
      <w:r w:rsidRPr="00467DB0">
        <w:t xml:space="preserve"> deres evne til at sikre kontinuiteten og, hvor det er relevant, </w:t>
      </w:r>
      <w:proofErr w:type="spellStart"/>
      <w:r w:rsidRPr="00467DB0">
        <w:t>sikkerheden</w:t>
      </w:r>
      <w:proofErr w:type="spellEnd"/>
      <w:r w:rsidRPr="00467DB0">
        <w:t xml:space="preserve"> i forbindelse med </w:t>
      </w:r>
      <w:proofErr w:type="spellStart"/>
      <w:r w:rsidRPr="00467DB0">
        <w:t>operationerne</w:t>
      </w:r>
      <w:proofErr w:type="spellEnd"/>
      <w:r w:rsidRPr="00467DB0">
        <w:t xml:space="preserve">, </w:t>
      </w:r>
      <w:proofErr w:type="spellStart"/>
      <w:r w:rsidRPr="00467DB0">
        <w:t>uden</w:t>
      </w:r>
      <w:proofErr w:type="spellEnd"/>
      <w:r w:rsidRPr="00467DB0">
        <w:t xml:space="preserve"> forstyrrelser </w:t>
      </w:r>
      <w:proofErr w:type="spellStart"/>
      <w:r w:rsidRPr="00467DB0">
        <w:t>af</w:t>
      </w:r>
      <w:proofErr w:type="spellEnd"/>
      <w:r w:rsidRPr="00467DB0">
        <w:t xml:space="preserve"> programmets aktiviteter.</w:t>
      </w:r>
    </w:p>
    <w:p w14:paraId="5B9EC041" w14:textId="77777777" w:rsidR="00000000" w:rsidRPr="00467DB0" w:rsidRDefault="00693D67" w:rsidP="00467DB0">
      <w:pPr>
        <w:pStyle w:val="friliste"/>
      </w:pPr>
      <w:r w:rsidRPr="00467DB0">
        <w:t>3.</w:t>
      </w:r>
      <w:r w:rsidRPr="00467DB0">
        <w:tab/>
        <w:t xml:space="preserve">Når det er </w:t>
      </w:r>
      <w:proofErr w:type="spellStart"/>
      <w:r w:rsidRPr="00467DB0">
        <w:t>muligt</w:t>
      </w:r>
      <w:proofErr w:type="spellEnd"/>
      <w:r w:rsidRPr="00467DB0">
        <w:t xml:space="preserve">, skal </w:t>
      </w:r>
      <w:proofErr w:type="spellStart"/>
      <w:r w:rsidRPr="00467DB0">
        <w:t>betingelserne</w:t>
      </w:r>
      <w:proofErr w:type="spellEnd"/>
      <w:r w:rsidRPr="00467DB0">
        <w:t xml:space="preserve"> i de i denne </w:t>
      </w:r>
      <w:proofErr w:type="spellStart"/>
      <w:r w:rsidRPr="00467DB0">
        <w:t>artikels</w:t>
      </w:r>
      <w:proofErr w:type="spellEnd"/>
      <w:r w:rsidRPr="00467DB0">
        <w:t xml:space="preserve"> stk. 1 omhandlede </w:t>
      </w:r>
      <w:proofErr w:type="spellStart"/>
      <w:r w:rsidRPr="00467DB0">
        <w:t>bidragsaftaler</w:t>
      </w:r>
      <w:proofErr w:type="spellEnd"/>
      <w:r w:rsidRPr="00467DB0">
        <w:t xml:space="preserve"> </w:t>
      </w:r>
      <w:r w:rsidRPr="00467DB0">
        <w:t xml:space="preserve">være i overensstemmelse med </w:t>
      </w:r>
      <w:proofErr w:type="spellStart"/>
      <w:r w:rsidRPr="00467DB0">
        <w:t>betingelserne</w:t>
      </w:r>
      <w:proofErr w:type="spellEnd"/>
      <w:r w:rsidRPr="00467DB0">
        <w:t xml:space="preserve"> i den i </w:t>
      </w:r>
      <w:proofErr w:type="spellStart"/>
      <w:r w:rsidRPr="00467DB0">
        <w:t>artikel</w:t>
      </w:r>
      <w:proofErr w:type="spellEnd"/>
      <w:r w:rsidRPr="00467DB0">
        <w:t xml:space="preserve"> 31, stk. 1, omhandlede finansielle </w:t>
      </w:r>
      <w:proofErr w:type="spellStart"/>
      <w:r w:rsidRPr="00467DB0">
        <w:t>partnerskabsrammeaftale</w:t>
      </w:r>
      <w:proofErr w:type="spellEnd"/>
      <w:r w:rsidRPr="00467DB0">
        <w:t>.</w:t>
      </w:r>
    </w:p>
    <w:p w14:paraId="7442629D" w14:textId="77777777" w:rsidR="00000000" w:rsidRPr="00467DB0" w:rsidRDefault="00693D67" w:rsidP="00467DB0">
      <w:pPr>
        <w:pStyle w:val="friliste"/>
      </w:pPr>
      <w:r w:rsidRPr="00467DB0">
        <w:t>4.</w:t>
      </w:r>
      <w:r w:rsidRPr="00467DB0">
        <w:tab/>
      </w:r>
      <w:proofErr w:type="spellStart"/>
      <w:r w:rsidRPr="00467DB0">
        <w:t>Programudvalget</w:t>
      </w:r>
      <w:proofErr w:type="spellEnd"/>
      <w:r w:rsidRPr="00467DB0">
        <w:t xml:space="preserve"> høres om den </w:t>
      </w:r>
      <w:proofErr w:type="spellStart"/>
      <w:r w:rsidRPr="00467DB0">
        <w:t>bidragsafgørelse</w:t>
      </w:r>
      <w:proofErr w:type="spellEnd"/>
      <w:r w:rsidRPr="00467DB0">
        <w:t xml:space="preserve">, der vedrører den i denne </w:t>
      </w:r>
      <w:proofErr w:type="spellStart"/>
      <w:r w:rsidRPr="00467DB0">
        <w:t>artikels</w:t>
      </w:r>
      <w:proofErr w:type="spellEnd"/>
      <w:r w:rsidRPr="00467DB0">
        <w:t xml:space="preserve"> stk. 1 omhandlede </w:t>
      </w:r>
      <w:proofErr w:type="spellStart"/>
      <w:r w:rsidRPr="00467DB0">
        <w:t>bidragsaftale</w:t>
      </w:r>
      <w:proofErr w:type="spellEnd"/>
      <w:r w:rsidRPr="00467DB0">
        <w:t>, i overensstemmelse me</w:t>
      </w:r>
      <w:r w:rsidRPr="00467DB0">
        <w:t xml:space="preserve">d den i </w:t>
      </w:r>
      <w:proofErr w:type="spellStart"/>
      <w:r w:rsidRPr="00467DB0">
        <w:t>artikel</w:t>
      </w:r>
      <w:proofErr w:type="spellEnd"/>
      <w:r w:rsidRPr="00467DB0">
        <w:t xml:space="preserve"> 107, stk. 2, omhandlede </w:t>
      </w:r>
      <w:proofErr w:type="spellStart"/>
      <w:r w:rsidRPr="00467DB0">
        <w:t>rådgivningsprocedure</w:t>
      </w:r>
      <w:proofErr w:type="spellEnd"/>
      <w:r w:rsidRPr="00467DB0">
        <w:t xml:space="preserve">. </w:t>
      </w:r>
      <w:proofErr w:type="spellStart"/>
      <w:r w:rsidRPr="00467DB0">
        <w:t>Programudvalget</w:t>
      </w:r>
      <w:proofErr w:type="spellEnd"/>
      <w:r w:rsidRPr="00467DB0">
        <w:t xml:space="preserve"> underrettes på forhånd om de </w:t>
      </w:r>
      <w:proofErr w:type="spellStart"/>
      <w:r w:rsidRPr="00467DB0">
        <w:t>bidragsaftaler</w:t>
      </w:r>
      <w:proofErr w:type="spellEnd"/>
      <w:r w:rsidRPr="00467DB0">
        <w:t xml:space="preserve">, der skal </w:t>
      </w:r>
      <w:proofErr w:type="spellStart"/>
      <w:r w:rsidRPr="00467DB0">
        <w:t>indgås</w:t>
      </w:r>
      <w:proofErr w:type="spellEnd"/>
      <w:r w:rsidRPr="00467DB0">
        <w:t xml:space="preserve"> </w:t>
      </w:r>
      <w:proofErr w:type="spellStart"/>
      <w:r w:rsidRPr="00467DB0">
        <w:t>af</w:t>
      </w:r>
      <w:proofErr w:type="spellEnd"/>
      <w:r w:rsidRPr="00467DB0">
        <w:t xml:space="preserve"> Unionen </w:t>
      </w:r>
      <w:proofErr w:type="spellStart"/>
      <w:r w:rsidRPr="00467DB0">
        <w:t>repræsenteret</w:t>
      </w:r>
      <w:proofErr w:type="spellEnd"/>
      <w:r w:rsidRPr="00467DB0">
        <w:t xml:space="preserve"> ved </w:t>
      </w:r>
      <w:proofErr w:type="spellStart"/>
      <w:r w:rsidRPr="00467DB0">
        <w:t>Kommissionen</w:t>
      </w:r>
      <w:proofErr w:type="spellEnd"/>
      <w:r w:rsidRPr="00467DB0">
        <w:t xml:space="preserve">, og om de i nærværende </w:t>
      </w:r>
      <w:proofErr w:type="spellStart"/>
      <w:r w:rsidRPr="00467DB0">
        <w:t>artikels</w:t>
      </w:r>
      <w:proofErr w:type="spellEnd"/>
      <w:r w:rsidRPr="00467DB0">
        <w:t xml:space="preserve"> stk. 1 omhandlede </w:t>
      </w:r>
      <w:proofErr w:type="spellStart"/>
      <w:r w:rsidRPr="00467DB0">
        <w:t>enheder</w:t>
      </w:r>
      <w:proofErr w:type="spellEnd"/>
      <w:r w:rsidRPr="00467DB0">
        <w:t>.</w:t>
      </w:r>
    </w:p>
    <w:p w14:paraId="31CE1B8B" w14:textId="77777777" w:rsidR="00000000" w:rsidRPr="00467DB0" w:rsidRDefault="00693D67" w:rsidP="00467DB0">
      <w:pPr>
        <w:pStyle w:val="avsnitt-undertittel"/>
      </w:pPr>
      <w:proofErr w:type="spellStart"/>
      <w:r w:rsidRPr="00467DB0">
        <w:t>Afsnit</w:t>
      </w:r>
      <w:proofErr w:type="spellEnd"/>
      <w:r w:rsidRPr="00467DB0">
        <w:t xml:space="preserve"> V</w:t>
      </w:r>
    </w:p>
    <w:p w14:paraId="4B037CBC" w14:textId="77777777" w:rsidR="00000000" w:rsidRPr="00467DB0" w:rsidRDefault="00693D67" w:rsidP="00467DB0">
      <w:pPr>
        <w:pStyle w:val="Undertittel"/>
      </w:pPr>
      <w:r w:rsidRPr="00467DB0">
        <w:t>Program</w:t>
      </w:r>
      <w:r w:rsidRPr="00467DB0">
        <w:t xml:space="preserve">mets </w:t>
      </w:r>
      <w:proofErr w:type="spellStart"/>
      <w:r w:rsidRPr="00467DB0">
        <w:t>sikkerhed</w:t>
      </w:r>
      <w:proofErr w:type="spellEnd"/>
    </w:p>
    <w:p w14:paraId="5FD51EF2" w14:textId="77777777" w:rsidR="00000000" w:rsidRPr="00467DB0" w:rsidRDefault="00693D67" w:rsidP="00467DB0">
      <w:pPr>
        <w:pStyle w:val="avsnitt-undertittel"/>
      </w:pPr>
      <w:r w:rsidRPr="00467DB0">
        <w:t>Kapitel I</w:t>
      </w:r>
    </w:p>
    <w:p w14:paraId="0E112446" w14:textId="77777777" w:rsidR="00000000" w:rsidRPr="00467DB0" w:rsidRDefault="00693D67" w:rsidP="00467DB0">
      <w:pPr>
        <w:pStyle w:val="Undertittel"/>
      </w:pPr>
      <w:r w:rsidRPr="00467DB0">
        <w:t xml:space="preserve">Programmets </w:t>
      </w:r>
      <w:proofErr w:type="spellStart"/>
      <w:r w:rsidRPr="00467DB0">
        <w:t>sikkerhed</w:t>
      </w:r>
      <w:proofErr w:type="spellEnd"/>
    </w:p>
    <w:p w14:paraId="42A95CA8" w14:textId="77777777" w:rsidR="00000000" w:rsidRPr="00467DB0" w:rsidRDefault="00693D67" w:rsidP="00467DB0">
      <w:pPr>
        <w:pStyle w:val="avsnitt-undertittel"/>
      </w:pPr>
      <w:proofErr w:type="spellStart"/>
      <w:r w:rsidRPr="00467DB0">
        <w:t>Artikel</w:t>
      </w:r>
      <w:proofErr w:type="spellEnd"/>
      <w:r w:rsidRPr="00467DB0">
        <w:t> 33</w:t>
      </w:r>
    </w:p>
    <w:p w14:paraId="765480F4" w14:textId="77777777" w:rsidR="00000000" w:rsidRPr="00467DB0" w:rsidRDefault="00693D67" w:rsidP="00467DB0">
      <w:pPr>
        <w:pStyle w:val="Undertittel"/>
      </w:pPr>
      <w:proofErr w:type="spellStart"/>
      <w:r w:rsidRPr="00467DB0">
        <w:t>Sikkerhedsprincipper</w:t>
      </w:r>
      <w:proofErr w:type="spellEnd"/>
    </w:p>
    <w:p w14:paraId="22E40E5F" w14:textId="77777777" w:rsidR="00000000" w:rsidRPr="00467DB0" w:rsidRDefault="00693D67" w:rsidP="00467DB0">
      <w:r w:rsidRPr="00467DB0">
        <w:t xml:space="preserve">Programmets </w:t>
      </w:r>
      <w:proofErr w:type="spellStart"/>
      <w:r w:rsidRPr="00467DB0">
        <w:t>sikkerhed</w:t>
      </w:r>
      <w:proofErr w:type="spellEnd"/>
      <w:r w:rsidRPr="00467DB0">
        <w:t xml:space="preserve"> baseres på følgende </w:t>
      </w:r>
      <w:proofErr w:type="spellStart"/>
      <w:r w:rsidRPr="00467DB0">
        <w:t>principper</w:t>
      </w:r>
      <w:proofErr w:type="spellEnd"/>
      <w:r w:rsidRPr="00467DB0">
        <w:t>:</w:t>
      </w:r>
    </w:p>
    <w:p w14:paraId="2208248F" w14:textId="77777777" w:rsidR="00000000" w:rsidRPr="00467DB0" w:rsidRDefault="00693D67" w:rsidP="00467DB0">
      <w:pPr>
        <w:pStyle w:val="friliste"/>
      </w:pPr>
      <w:r w:rsidRPr="00467DB0">
        <w:t>a)</w:t>
      </w:r>
      <w:r w:rsidRPr="00467DB0">
        <w:tab/>
      </w:r>
      <w:proofErr w:type="spellStart"/>
      <w:r w:rsidRPr="00467DB0">
        <w:t>tage</w:t>
      </w:r>
      <w:proofErr w:type="spellEnd"/>
      <w:r w:rsidRPr="00467DB0">
        <w:t xml:space="preserve"> hensyn til </w:t>
      </w:r>
      <w:proofErr w:type="spellStart"/>
      <w:r w:rsidRPr="00467DB0">
        <w:t>medlemsstaternes</w:t>
      </w:r>
      <w:proofErr w:type="spellEnd"/>
      <w:r w:rsidRPr="00467DB0">
        <w:t xml:space="preserve"> erfaringer </w:t>
      </w:r>
      <w:proofErr w:type="spellStart"/>
      <w:r w:rsidRPr="00467DB0">
        <w:t>inden</w:t>
      </w:r>
      <w:proofErr w:type="spellEnd"/>
      <w:r w:rsidRPr="00467DB0">
        <w:t xml:space="preserve"> for </w:t>
      </w:r>
      <w:proofErr w:type="spellStart"/>
      <w:r w:rsidRPr="00467DB0">
        <w:t>sikkerhed</w:t>
      </w:r>
      <w:proofErr w:type="spellEnd"/>
      <w:r w:rsidRPr="00467DB0">
        <w:t xml:space="preserve"> og lade sig inspirere </w:t>
      </w:r>
      <w:proofErr w:type="spellStart"/>
      <w:r w:rsidRPr="00467DB0">
        <w:t>af</w:t>
      </w:r>
      <w:proofErr w:type="spellEnd"/>
      <w:r w:rsidRPr="00467DB0">
        <w:t xml:space="preserve"> </w:t>
      </w:r>
      <w:proofErr w:type="spellStart"/>
      <w:r w:rsidRPr="00467DB0">
        <w:t>bedste</w:t>
      </w:r>
      <w:proofErr w:type="spellEnd"/>
      <w:r w:rsidRPr="00467DB0">
        <w:t xml:space="preserve"> praksis</w:t>
      </w:r>
    </w:p>
    <w:p w14:paraId="2D6F57D2" w14:textId="77777777" w:rsidR="00000000" w:rsidRPr="00467DB0" w:rsidRDefault="00693D67" w:rsidP="00467DB0">
      <w:pPr>
        <w:pStyle w:val="friliste"/>
      </w:pPr>
      <w:r w:rsidRPr="00467DB0">
        <w:t>b)</w:t>
      </w:r>
      <w:r w:rsidRPr="00467DB0">
        <w:tab/>
        <w:t>anvende Rådet</w:t>
      </w:r>
      <w:r w:rsidRPr="00467DB0">
        <w:t xml:space="preserve">s og </w:t>
      </w:r>
      <w:proofErr w:type="spellStart"/>
      <w:r w:rsidRPr="00467DB0">
        <w:t>Kommissionens</w:t>
      </w:r>
      <w:proofErr w:type="spellEnd"/>
      <w:r w:rsidRPr="00467DB0">
        <w:t xml:space="preserve"> </w:t>
      </w:r>
      <w:proofErr w:type="spellStart"/>
      <w:r w:rsidRPr="00467DB0">
        <w:t>sikkerhedsregler</w:t>
      </w:r>
      <w:proofErr w:type="spellEnd"/>
      <w:r w:rsidRPr="00467DB0">
        <w:t xml:space="preserve">, som bl.a. </w:t>
      </w:r>
      <w:proofErr w:type="spellStart"/>
      <w:r w:rsidRPr="00467DB0">
        <w:t>indeholder</w:t>
      </w:r>
      <w:proofErr w:type="spellEnd"/>
      <w:r w:rsidRPr="00467DB0">
        <w:t xml:space="preserve"> en adskillelse </w:t>
      </w:r>
      <w:proofErr w:type="spellStart"/>
      <w:r w:rsidRPr="00467DB0">
        <w:t>mellem</w:t>
      </w:r>
      <w:proofErr w:type="spellEnd"/>
      <w:r w:rsidRPr="00467DB0">
        <w:t xml:space="preserve"> </w:t>
      </w:r>
      <w:proofErr w:type="spellStart"/>
      <w:r w:rsidRPr="00467DB0">
        <w:t>operationelle</w:t>
      </w:r>
      <w:proofErr w:type="spellEnd"/>
      <w:r w:rsidRPr="00467DB0">
        <w:t xml:space="preserve"> </w:t>
      </w:r>
      <w:proofErr w:type="spellStart"/>
      <w:r w:rsidRPr="00467DB0">
        <w:t>funktioner</w:t>
      </w:r>
      <w:proofErr w:type="spellEnd"/>
      <w:r w:rsidRPr="00467DB0">
        <w:t xml:space="preserve"> og </w:t>
      </w:r>
      <w:proofErr w:type="spellStart"/>
      <w:r w:rsidRPr="00467DB0">
        <w:t>funktioner</w:t>
      </w:r>
      <w:proofErr w:type="spellEnd"/>
      <w:r w:rsidRPr="00467DB0">
        <w:t xml:space="preserve"> i forbindelse med </w:t>
      </w:r>
      <w:proofErr w:type="spellStart"/>
      <w:r w:rsidRPr="00467DB0">
        <w:t>godkendelse</w:t>
      </w:r>
      <w:proofErr w:type="spellEnd"/>
      <w:r w:rsidRPr="00467DB0">
        <w:t>.</w:t>
      </w:r>
    </w:p>
    <w:p w14:paraId="2388CCE9" w14:textId="77777777" w:rsidR="00000000" w:rsidRPr="00467DB0" w:rsidRDefault="00693D67" w:rsidP="00467DB0">
      <w:pPr>
        <w:pStyle w:val="avsnitt-undertittel"/>
      </w:pPr>
      <w:proofErr w:type="spellStart"/>
      <w:r w:rsidRPr="00467DB0">
        <w:lastRenderedPageBreak/>
        <w:t>Artikel</w:t>
      </w:r>
      <w:proofErr w:type="spellEnd"/>
      <w:r w:rsidRPr="00467DB0">
        <w:t> 34</w:t>
      </w:r>
    </w:p>
    <w:p w14:paraId="5229D445" w14:textId="77777777" w:rsidR="00000000" w:rsidRPr="00467DB0" w:rsidRDefault="00693D67" w:rsidP="00467DB0">
      <w:pPr>
        <w:pStyle w:val="Undertittel"/>
      </w:pPr>
      <w:r w:rsidRPr="00467DB0">
        <w:t xml:space="preserve">Forvaltning </w:t>
      </w:r>
      <w:proofErr w:type="spellStart"/>
      <w:r w:rsidRPr="00467DB0">
        <w:t>af</w:t>
      </w:r>
      <w:proofErr w:type="spellEnd"/>
      <w:r w:rsidRPr="00467DB0">
        <w:t xml:space="preserve"> </w:t>
      </w:r>
      <w:proofErr w:type="spellStart"/>
      <w:r w:rsidRPr="00467DB0">
        <w:t>sikkerhedsanliggender</w:t>
      </w:r>
      <w:proofErr w:type="spellEnd"/>
    </w:p>
    <w:p w14:paraId="29C13BCD"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garanterer </w:t>
      </w:r>
      <w:proofErr w:type="spellStart"/>
      <w:r w:rsidRPr="00467DB0">
        <w:t>inden</w:t>
      </w:r>
      <w:proofErr w:type="spellEnd"/>
      <w:r w:rsidRPr="00467DB0">
        <w:t xml:space="preserve"> for </w:t>
      </w:r>
      <w:proofErr w:type="spellStart"/>
      <w:r w:rsidRPr="00467DB0">
        <w:t>sit</w:t>
      </w:r>
      <w:proofErr w:type="spellEnd"/>
      <w:r w:rsidRPr="00467DB0">
        <w:t xml:space="preserve"> </w:t>
      </w:r>
      <w:proofErr w:type="spellStart"/>
      <w:r w:rsidRPr="00467DB0">
        <w:t>kompetenceområde</w:t>
      </w:r>
      <w:proofErr w:type="spellEnd"/>
      <w:r w:rsidRPr="00467DB0">
        <w:t xml:space="preserve"> </w:t>
      </w:r>
      <w:r w:rsidRPr="00467DB0">
        <w:t xml:space="preserve">og med støtte fra agenturet et </w:t>
      </w:r>
      <w:proofErr w:type="spellStart"/>
      <w:r w:rsidRPr="00467DB0">
        <w:t>højt</w:t>
      </w:r>
      <w:proofErr w:type="spellEnd"/>
      <w:r w:rsidRPr="00467DB0">
        <w:t xml:space="preserve"> </w:t>
      </w:r>
      <w:proofErr w:type="spellStart"/>
      <w:r w:rsidRPr="00467DB0">
        <w:t>sikkerhedsniveau</w:t>
      </w:r>
      <w:proofErr w:type="spellEnd"/>
      <w:r w:rsidRPr="00467DB0">
        <w:t>, navnlig for så vidt angår:</w:t>
      </w:r>
    </w:p>
    <w:p w14:paraId="751FEE0D" w14:textId="77777777" w:rsidR="00000000" w:rsidRPr="00467DB0" w:rsidRDefault="00693D67" w:rsidP="00467DB0">
      <w:pPr>
        <w:pStyle w:val="friliste2"/>
      </w:pPr>
      <w:r w:rsidRPr="00467DB0">
        <w:t>a)</w:t>
      </w:r>
      <w:r w:rsidRPr="00467DB0">
        <w:tab/>
        <w:t xml:space="preserve">beskyttelse </w:t>
      </w:r>
      <w:proofErr w:type="spellStart"/>
      <w:r w:rsidRPr="00467DB0">
        <w:t>af</w:t>
      </w:r>
      <w:proofErr w:type="spellEnd"/>
      <w:r w:rsidRPr="00467DB0">
        <w:t xml:space="preserve"> infrastruktur, både på jorden og i </w:t>
      </w:r>
      <w:proofErr w:type="spellStart"/>
      <w:r w:rsidRPr="00467DB0">
        <w:t>rummet</w:t>
      </w:r>
      <w:proofErr w:type="spellEnd"/>
      <w:r w:rsidRPr="00467DB0">
        <w:t xml:space="preserve">, levering </w:t>
      </w:r>
      <w:proofErr w:type="spellStart"/>
      <w:r w:rsidRPr="00467DB0">
        <w:t>af</w:t>
      </w:r>
      <w:proofErr w:type="spellEnd"/>
      <w:r w:rsidRPr="00467DB0">
        <w:t xml:space="preserve"> </w:t>
      </w:r>
      <w:proofErr w:type="spellStart"/>
      <w:r w:rsidRPr="00467DB0">
        <w:t>tjenesteydelser</w:t>
      </w:r>
      <w:proofErr w:type="spellEnd"/>
      <w:r w:rsidRPr="00467DB0">
        <w:t xml:space="preserve">, navnlig mod fysiske og </w:t>
      </w:r>
      <w:proofErr w:type="spellStart"/>
      <w:r w:rsidRPr="00467DB0">
        <w:t>cyberrelaterede</w:t>
      </w:r>
      <w:proofErr w:type="spellEnd"/>
      <w:r w:rsidRPr="00467DB0">
        <w:t xml:space="preserve"> </w:t>
      </w:r>
      <w:proofErr w:type="spellStart"/>
      <w:r w:rsidRPr="00467DB0">
        <w:t>angreb</w:t>
      </w:r>
      <w:proofErr w:type="spellEnd"/>
      <w:r w:rsidRPr="00467DB0">
        <w:t xml:space="preserve">, herunder forstyrrelser i </w:t>
      </w:r>
      <w:proofErr w:type="spellStart"/>
      <w:r w:rsidRPr="00467DB0">
        <w:t>datastrømme</w:t>
      </w:r>
      <w:proofErr w:type="spellEnd"/>
    </w:p>
    <w:p w14:paraId="64FC6CF8" w14:textId="77777777" w:rsidR="00000000" w:rsidRPr="00467DB0" w:rsidRDefault="00693D67" w:rsidP="00467DB0">
      <w:pPr>
        <w:pStyle w:val="friliste2"/>
      </w:pPr>
      <w:r w:rsidRPr="00467DB0">
        <w:t>b</w:t>
      </w:r>
      <w:r w:rsidRPr="00467DB0">
        <w:t>)</w:t>
      </w:r>
      <w:r w:rsidRPr="00467DB0">
        <w:tab/>
      </w:r>
      <w:proofErr w:type="spellStart"/>
      <w:r w:rsidRPr="00467DB0">
        <w:t>kontrol</w:t>
      </w:r>
      <w:proofErr w:type="spellEnd"/>
      <w:r w:rsidRPr="00467DB0">
        <w:t xml:space="preserve"> med og forvaltning </w:t>
      </w:r>
      <w:proofErr w:type="spellStart"/>
      <w:r w:rsidRPr="00467DB0">
        <w:t>af</w:t>
      </w:r>
      <w:proofErr w:type="spellEnd"/>
      <w:r w:rsidRPr="00467DB0">
        <w:t xml:space="preserve"> overførsel </w:t>
      </w:r>
      <w:proofErr w:type="spellStart"/>
      <w:r w:rsidRPr="00467DB0">
        <w:t>af</w:t>
      </w:r>
      <w:proofErr w:type="spellEnd"/>
      <w:r w:rsidRPr="00467DB0">
        <w:t xml:space="preserve"> teknologi</w:t>
      </w:r>
    </w:p>
    <w:p w14:paraId="42ED56DC" w14:textId="77777777" w:rsidR="00000000" w:rsidRPr="00467DB0" w:rsidRDefault="00693D67" w:rsidP="00467DB0">
      <w:pPr>
        <w:pStyle w:val="friliste2"/>
      </w:pPr>
      <w:r w:rsidRPr="00467DB0">
        <w:t>c)</w:t>
      </w:r>
      <w:r w:rsidRPr="00467DB0">
        <w:tab/>
      </w:r>
      <w:proofErr w:type="spellStart"/>
      <w:r w:rsidRPr="00467DB0">
        <w:t>udvikling</w:t>
      </w:r>
      <w:proofErr w:type="spellEnd"/>
      <w:r w:rsidRPr="00467DB0">
        <w:t xml:space="preserve"> og bevarelse </w:t>
      </w:r>
      <w:proofErr w:type="spellStart"/>
      <w:r w:rsidRPr="00467DB0">
        <w:t>inden</w:t>
      </w:r>
      <w:proofErr w:type="spellEnd"/>
      <w:r w:rsidRPr="00467DB0">
        <w:t xml:space="preserve"> for Unionen </w:t>
      </w:r>
      <w:proofErr w:type="spellStart"/>
      <w:r w:rsidRPr="00467DB0">
        <w:t>af</w:t>
      </w:r>
      <w:proofErr w:type="spellEnd"/>
      <w:r w:rsidRPr="00467DB0">
        <w:t xml:space="preserve"> den nødvendige </w:t>
      </w:r>
      <w:proofErr w:type="spellStart"/>
      <w:r w:rsidRPr="00467DB0">
        <w:t>kompetence</w:t>
      </w:r>
      <w:proofErr w:type="spellEnd"/>
      <w:r w:rsidRPr="00467DB0">
        <w:t xml:space="preserve"> og knowhow</w:t>
      </w:r>
    </w:p>
    <w:p w14:paraId="262A1DED" w14:textId="77777777" w:rsidR="00000000" w:rsidRPr="00467DB0" w:rsidRDefault="00693D67" w:rsidP="00467DB0">
      <w:pPr>
        <w:pStyle w:val="friliste2"/>
      </w:pPr>
      <w:r w:rsidRPr="00467DB0">
        <w:t>d)</w:t>
      </w:r>
      <w:r w:rsidRPr="00467DB0">
        <w:tab/>
        <w:t xml:space="preserve">beskyttelse </w:t>
      </w:r>
      <w:proofErr w:type="spellStart"/>
      <w:r w:rsidRPr="00467DB0">
        <w:t>af</w:t>
      </w:r>
      <w:proofErr w:type="spellEnd"/>
      <w:r w:rsidRPr="00467DB0">
        <w:t xml:space="preserve"> følsomme </w:t>
      </w:r>
      <w:proofErr w:type="spellStart"/>
      <w:r w:rsidRPr="00467DB0">
        <w:t>ikkeklassificerede</w:t>
      </w:r>
      <w:proofErr w:type="spellEnd"/>
      <w:r w:rsidRPr="00467DB0">
        <w:t xml:space="preserve"> og </w:t>
      </w:r>
      <w:proofErr w:type="spellStart"/>
      <w:r w:rsidRPr="00467DB0">
        <w:t>klassificerede</w:t>
      </w:r>
      <w:proofErr w:type="spellEnd"/>
      <w:r w:rsidRPr="00467DB0">
        <w:t xml:space="preserve"> </w:t>
      </w:r>
      <w:proofErr w:type="spellStart"/>
      <w:r w:rsidRPr="00467DB0">
        <w:t>informationer</w:t>
      </w:r>
      <w:proofErr w:type="spellEnd"/>
      <w:r w:rsidRPr="00467DB0">
        <w:t>.</w:t>
      </w:r>
    </w:p>
    <w:p w14:paraId="38CAC512" w14:textId="77777777" w:rsidR="00000000" w:rsidRPr="00467DB0" w:rsidRDefault="00693D67" w:rsidP="00467DB0">
      <w:pPr>
        <w:pStyle w:val="friliste"/>
      </w:pPr>
      <w:r w:rsidRPr="00467DB0">
        <w:t>2.</w:t>
      </w:r>
      <w:r w:rsidRPr="00467DB0">
        <w:tab/>
        <w:t xml:space="preserve">Med </w:t>
      </w:r>
      <w:proofErr w:type="spellStart"/>
      <w:r w:rsidRPr="00467DB0">
        <w:t>henblik</w:t>
      </w:r>
      <w:proofErr w:type="spellEnd"/>
      <w:r w:rsidRPr="00467DB0">
        <w:t xml:space="preserve"> på stk. 1 sikrer </w:t>
      </w:r>
      <w:proofErr w:type="spellStart"/>
      <w:r w:rsidRPr="00467DB0">
        <w:t>Kommi</w:t>
      </w:r>
      <w:r w:rsidRPr="00467DB0">
        <w:t>ssionen</w:t>
      </w:r>
      <w:proofErr w:type="spellEnd"/>
      <w:r w:rsidRPr="00467DB0">
        <w:t xml:space="preserve">, at der foretages en risiko- og trusselsanalyse for hver </w:t>
      </w:r>
      <w:proofErr w:type="spellStart"/>
      <w:proofErr w:type="gramStart"/>
      <w:r w:rsidRPr="00467DB0">
        <w:t>af</w:t>
      </w:r>
      <w:proofErr w:type="spellEnd"/>
      <w:r w:rsidRPr="00467DB0">
        <w:t xml:space="preserve"> programmets</w:t>
      </w:r>
      <w:proofErr w:type="gramEnd"/>
      <w:r w:rsidRPr="00467DB0">
        <w:t xml:space="preserve"> komponenter. </w:t>
      </w:r>
      <w:proofErr w:type="spellStart"/>
      <w:r w:rsidRPr="00467DB0">
        <w:t>Ud</w:t>
      </w:r>
      <w:proofErr w:type="spellEnd"/>
      <w:r w:rsidRPr="00467DB0">
        <w:t xml:space="preserve"> fra denne analyse </w:t>
      </w:r>
      <w:proofErr w:type="spellStart"/>
      <w:r w:rsidRPr="00467DB0">
        <w:t>fastlægger</w:t>
      </w:r>
      <w:proofErr w:type="spellEnd"/>
      <w:r w:rsidRPr="00467DB0">
        <w:t xml:space="preserve"> den senest ved </w:t>
      </w:r>
      <w:proofErr w:type="spellStart"/>
      <w:r w:rsidRPr="00467DB0">
        <w:t>udgangen</w:t>
      </w:r>
      <w:proofErr w:type="spellEnd"/>
      <w:r w:rsidRPr="00467DB0">
        <w:t xml:space="preserve"> </w:t>
      </w:r>
      <w:proofErr w:type="spellStart"/>
      <w:r w:rsidRPr="00467DB0">
        <w:t>af</w:t>
      </w:r>
      <w:proofErr w:type="spellEnd"/>
      <w:r w:rsidRPr="00467DB0">
        <w:t xml:space="preserve"> 2023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de generelle </w:t>
      </w:r>
      <w:proofErr w:type="spellStart"/>
      <w:r w:rsidRPr="00467DB0">
        <w:t>sikkerhedskrav</w:t>
      </w:r>
      <w:proofErr w:type="spellEnd"/>
      <w:r w:rsidRPr="00467DB0">
        <w:t xml:space="preserve"> for hver </w:t>
      </w:r>
      <w:proofErr w:type="spellStart"/>
      <w:proofErr w:type="gramStart"/>
      <w:r w:rsidRPr="00467DB0">
        <w:t>af</w:t>
      </w:r>
      <w:proofErr w:type="spellEnd"/>
      <w:r w:rsidRPr="00467DB0">
        <w:t xml:space="preserve"> programmets</w:t>
      </w:r>
      <w:proofErr w:type="gramEnd"/>
      <w:r w:rsidRPr="00467DB0">
        <w:t xml:space="preserve"> komponente</w:t>
      </w:r>
      <w:r w:rsidRPr="00467DB0">
        <w:t xml:space="preserve">r. I den forbindelse tager </w:t>
      </w:r>
      <w:proofErr w:type="spellStart"/>
      <w:r w:rsidRPr="00467DB0">
        <w:t>Kommissionen</w:t>
      </w:r>
      <w:proofErr w:type="spellEnd"/>
      <w:r w:rsidRPr="00467DB0">
        <w:t xml:space="preserve"> hensyn til disse kravs betydning for den </w:t>
      </w:r>
      <w:proofErr w:type="spellStart"/>
      <w:r w:rsidRPr="00467DB0">
        <w:t>pågældende</w:t>
      </w:r>
      <w:proofErr w:type="spellEnd"/>
      <w:r w:rsidRPr="00467DB0">
        <w:t xml:space="preserve"> komponents </w:t>
      </w:r>
      <w:proofErr w:type="spellStart"/>
      <w:r w:rsidRPr="00467DB0">
        <w:t>funktion</w:t>
      </w:r>
      <w:proofErr w:type="spellEnd"/>
      <w:r w:rsidRPr="00467DB0">
        <w:t xml:space="preserve">, navnlig for så vidt angår omkostninger, risikostyring og tidsplan, og sikrer, at det generelle </w:t>
      </w:r>
      <w:proofErr w:type="spellStart"/>
      <w:r w:rsidRPr="00467DB0">
        <w:t>sikkerhedsniveau</w:t>
      </w:r>
      <w:proofErr w:type="spellEnd"/>
      <w:r w:rsidRPr="00467DB0">
        <w:t xml:space="preserve"> ikke </w:t>
      </w:r>
      <w:proofErr w:type="spellStart"/>
      <w:r w:rsidRPr="00467DB0">
        <w:t>sænkes</w:t>
      </w:r>
      <w:proofErr w:type="spellEnd"/>
      <w:r w:rsidRPr="00467DB0">
        <w:t xml:space="preserve">, og at </w:t>
      </w:r>
      <w:proofErr w:type="spellStart"/>
      <w:r w:rsidRPr="00467DB0">
        <w:t>funktionen</w:t>
      </w:r>
      <w:proofErr w:type="spellEnd"/>
      <w:r w:rsidRPr="00467DB0">
        <w:t xml:space="preserve"> </w:t>
      </w:r>
      <w:proofErr w:type="spellStart"/>
      <w:r w:rsidRPr="00467DB0">
        <w:t>a</w:t>
      </w:r>
      <w:r w:rsidRPr="00467DB0">
        <w:t>f</w:t>
      </w:r>
      <w:proofErr w:type="spellEnd"/>
      <w:r w:rsidRPr="00467DB0">
        <w:t xml:space="preserve"> det eksisterende </w:t>
      </w:r>
      <w:proofErr w:type="spellStart"/>
      <w:r w:rsidRPr="00467DB0">
        <w:t>udstyr</w:t>
      </w:r>
      <w:proofErr w:type="spellEnd"/>
      <w:r w:rsidRPr="00467DB0">
        <w:t xml:space="preserve"> </w:t>
      </w:r>
      <w:proofErr w:type="spellStart"/>
      <w:r w:rsidRPr="00467DB0">
        <w:t>baseret</w:t>
      </w:r>
      <w:proofErr w:type="spellEnd"/>
      <w:r w:rsidRPr="00467DB0">
        <w:t xml:space="preserve"> på denne komponent ikke undergraves, samt tager hensyn til </w:t>
      </w:r>
      <w:proofErr w:type="spellStart"/>
      <w:r w:rsidRPr="00467DB0">
        <w:t>cybersikkerhedsrisici</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55F71150" w14:textId="77777777" w:rsidR="00000000" w:rsidRPr="00467DB0" w:rsidRDefault="00693D67" w:rsidP="00467DB0">
      <w:pPr>
        <w:pStyle w:val="Listeavsnitt"/>
      </w:pPr>
      <w:r w:rsidRPr="00467DB0">
        <w:t xml:space="preserve">Efter denne forordnings </w:t>
      </w:r>
      <w:proofErr w:type="spellStart"/>
      <w:r w:rsidRPr="00467DB0">
        <w:t>ikrafttræden</w:t>
      </w:r>
      <w:proofErr w:type="spellEnd"/>
      <w:r w:rsidRPr="00467DB0">
        <w:t xml:space="preserve"> fremsende</w:t>
      </w:r>
      <w:r w:rsidRPr="00467DB0">
        <w:t xml:space="preserve">r </w:t>
      </w:r>
      <w:proofErr w:type="spellStart"/>
      <w:r w:rsidRPr="00467DB0">
        <w:t>Kommissionen</w:t>
      </w:r>
      <w:proofErr w:type="spellEnd"/>
      <w:r w:rsidRPr="00467DB0">
        <w:t xml:space="preserve"> en </w:t>
      </w:r>
      <w:proofErr w:type="spellStart"/>
      <w:r w:rsidRPr="00467DB0">
        <w:t>vejledende</w:t>
      </w:r>
      <w:proofErr w:type="spellEnd"/>
      <w:r w:rsidRPr="00467DB0">
        <w:t xml:space="preserve"> liste over de </w:t>
      </w:r>
      <w:proofErr w:type="spellStart"/>
      <w:r w:rsidRPr="00467DB0">
        <w:t>gennemførelsesretsakter</w:t>
      </w:r>
      <w:proofErr w:type="spellEnd"/>
      <w:r w:rsidRPr="00467DB0">
        <w:t xml:space="preserve">, der skal </w:t>
      </w:r>
      <w:proofErr w:type="spellStart"/>
      <w:r w:rsidRPr="00467DB0">
        <w:t>forelægges</w:t>
      </w:r>
      <w:proofErr w:type="spellEnd"/>
      <w:r w:rsidRPr="00467DB0">
        <w:t xml:space="preserve"> for og drøftes </w:t>
      </w:r>
      <w:proofErr w:type="spellStart"/>
      <w:r w:rsidRPr="00467DB0">
        <w:t>af</w:t>
      </w:r>
      <w:proofErr w:type="spellEnd"/>
      <w:r w:rsidRPr="00467DB0">
        <w:t xml:space="preserve"> </w:t>
      </w:r>
      <w:proofErr w:type="spellStart"/>
      <w:r w:rsidRPr="00467DB0">
        <w:t>programudvalget</w:t>
      </w:r>
      <w:proofErr w:type="spellEnd"/>
      <w:r w:rsidRPr="00467DB0">
        <w:t xml:space="preserve"> i en </w:t>
      </w:r>
      <w:proofErr w:type="spellStart"/>
      <w:r w:rsidRPr="00467DB0">
        <w:t>sikkerhedskonfiguration</w:t>
      </w:r>
      <w:proofErr w:type="spellEnd"/>
      <w:r w:rsidRPr="00467DB0">
        <w:t xml:space="preserve">. Denne liste ledsages </w:t>
      </w:r>
      <w:proofErr w:type="spellStart"/>
      <w:r w:rsidRPr="00467DB0">
        <w:t>af</w:t>
      </w:r>
      <w:proofErr w:type="spellEnd"/>
      <w:r w:rsidRPr="00467DB0">
        <w:t xml:space="preserve"> en </w:t>
      </w:r>
      <w:proofErr w:type="spellStart"/>
      <w:r w:rsidRPr="00467DB0">
        <w:t>vejledende</w:t>
      </w:r>
      <w:proofErr w:type="spellEnd"/>
      <w:r w:rsidRPr="00467DB0">
        <w:t xml:space="preserve"> tidsplan for </w:t>
      </w:r>
      <w:proofErr w:type="spellStart"/>
      <w:r w:rsidRPr="00467DB0">
        <w:t>forelæggelse</w:t>
      </w:r>
      <w:proofErr w:type="spellEnd"/>
      <w:r w:rsidRPr="00467DB0">
        <w:t>.</w:t>
      </w:r>
    </w:p>
    <w:p w14:paraId="026018BC" w14:textId="77777777" w:rsidR="00000000" w:rsidRPr="00467DB0" w:rsidRDefault="00693D67" w:rsidP="00467DB0">
      <w:pPr>
        <w:pStyle w:val="friliste"/>
      </w:pPr>
      <w:r w:rsidRPr="00467DB0">
        <w:t>3.</w:t>
      </w:r>
      <w:r w:rsidRPr="00467DB0">
        <w:tab/>
      </w:r>
      <w:r w:rsidRPr="00467DB0">
        <w:t xml:space="preserve">Den </w:t>
      </w:r>
      <w:proofErr w:type="spellStart"/>
      <w:r w:rsidRPr="00467DB0">
        <w:t>enhed</w:t>
      </w:r>
      <w:proofErr w:type="spellEnd"/>
      <w:r w:rsidRPr="00467DB0">
        <w:t xml:space="preserve">, som er ansvarlig for forvaltningen </w:t>
      </w:r>
      <w:proofErr w:type="spellStart"/>
      <w:r w:rsidRPr="00467DB0">
        <w:t>af</w:t>
      </w:r>
      <w:proofErr w:type="spellEnd"/>
      <w:r w:rsidRPr="00467DB0">
        <w:t xml:space="preserve"> en </w:t>
      </w:r>
      <w:proofErr w:type="spellStart"/>
      <w:proofErr w:type="gramStart"/>
      <w:r w:rsidRPr="00467DB0">
        <w:t>af</w:t>
      </w:r>
      <w:proofErr w:type="spellEnd"/>
      <w:r w:rsidRPr="00467DB0">
        <w:t xml:space="preserve"> programmets</w:t>
      </w:r>
      <w:proofErr w:type="gramEnd"/>
      <w:r w:rsidRPr="00467DB0">
        <w:t xml:space="preserve"> komponenter, er ansvarlig for den operative </w:t>
      </w:r>
      <w:proofErr w:type="spellStart"/>
      <w:r w:rsidRPr="00467DB0">
        <w:t>sikkerhed</w:t>
      </w:r>
      <w:proofErr w:type="spellEnd"/>
      <w:r w:rsidRPr="00467DB0">
        <w:t xml:space="preserve"> for denne komponent og skal i den forbindelse </w:t>
      </w:r>
      <w:proofErr w:type="spellStart"/>
      <w:r w:rsidRPr="00467DB0">
        <w:t>udføre</w:t>
      </w:r>
      <w:proofErr w:type="spellEnd"/>
      <w:r w:rsidRPr="00467DB0">
        <w:t xml:space="preserve"> risiko- og trusselsanalyser og alle nødvendige aktiviteter med </w:t>
      </w:r>
      <w:proofErr w:type="spellStart"/>
      <w:r w:rsidRPr="00467DB0">
        <w:t>henblik</w:t>
      </w:r>
      <w:proofErr w:type="spellEnd"/>
      <w:r w:rsidRPr="00467DB0">
        <w:t xml:space="preserve"> på at sikre</w:t>
      </w:r>
      <w:r w:rsidRPr="00467DB0">
        <w:t xml:space="preserve"> og </w:t>
      </w:r>
      <w:proofErr w:type="spellStart"/>
      <w:r w:rsidRPr="00467DB0">
        <w:t>overvåge</w:t>
      </w:r>
      <w:proofErr w:type="spellEnd"/>
      <w:r w:rsidRPr="00467DB0">
        <w:t xml:space="preserve"> </w:t>
      </w:r>
      <w:proofErr w:type="spellStart"/>
      <w:r w:rsidRPr="00467DB0">
        <w:t>sikkerheden</w:t>
      </w:r>
      <w:proofErr w:type="spellEnd"/>
      <w:r w:rsidRPr="00467DB0">
        <w:t xml:space="preserve"> i forbindelse med den </w:t>
      </w:r>
      <w:proofErr w:type="spellStart"/>
      <w:r w:rsidRPr="00467DB0">
        <w:t>pågældende</w:t>
      </w:r>
      <w:proofErr w:type="spellEnd"/>
      <w:r w:rsidRPr="00467DB0">
        <w:t xml:space="preserve"> komponent, navnlig </w:t>
      </w:r>
      <w:proofErr w:type="spellStart"/>
      <w:r w:rsidRPr="00467DB0">
        <w:t>fastlæggelse</w:t>
      </w:r>
      <w:proofErr w:type="spellEnd"/>
      <w:r w:rsidRPr="00467DB0">
        <w:t xml:space="preserve"> </w:t>
      </w:r>
      <w:proofErr w:type="spellStart"/>
      <w:r w:rsidRPr="00467DB0">
        <w:t>af</w:t>
      </w:r>
      <w:proofErr w:type="spellEnd"/>
      <w:r w:rsidRPr="00467DB0">
        <w:t xml:space="preserve"> tekniske </w:t>
      </w:r>
      <w:proofErr w:type="spellStart"/>
      <w:r w:rsidRPr="00467DB0">
        <w:t>specifikationer</w:t>
      </w:r>
      <w:proofErr w:type="spellEnd"/>
      <w:r w:rsidRPr="00467DB0">
        <w:t xml:space="preserve"> og </w:t>
      </w:r>
      <w:proofErr w:type="spellStart"/>
      <w:r w:rsidRPr="00467DB0">
        <w:t>operationelle</w:t>
      </w:r>
      <w:proofErr w:type="spellEnd"/>
      <w:r w:rsidRPr="00467DB0">
        <w:t xml:space="preserve"> </w:t>
      </w:r>
      <w:proofErr w:type="spellStart"/>
      <w:r w:rsidRPr="00467DB0">
        <w:t>procedurer</w:t>
      </w:r>
      <w:proofErr w:type="spellEnd"/>
      <w:r w:rsidRPr="00467DB0">
        <w:t xml:space="preserve">, og </w:t>
      </w:r>
      <w:proofErr w:type="spellStart"/>
      <w:r w:rsidRPr="00467DB0">
        <w:t>overvåge</w:t>
      </w:r>
      <w:proofErr w:type="spellEnd"/>
      <w:r w:rsidRPr="00467DB0">
        <w:t xml:space="preserve"> disses overensstemmelse med de generelle </w:t>
      </w:r>
      <w:proofErr w:type="spellStart"/>
      <w:r w:rsidRPr="00467DB0">
        <w:t>sikkerhedskrav</w:t>
      </w:r>
      <w:proofErr w:type="spellEnd"/>
      <w:r w:rsidRPr="00467DB0">
        <w:t xml:space="preserve"> i stk. 2. For Galileos og EGNOS' vedkomme</w:t>
      </w:r>
      <w:r w:rsidRPr="00467DB0">
        <w:t xml:space="preserve">nde er denne </w:t>
      </w:r>
      <w:proofErr w:type="spellStart"/>
      <w:r w:rsidRPr="00467DB0">
        <w:t>enhed</w:t>
      </w:r>
      <w:proofErr w:type="spellEnd"/>
      <w:r w:rsidRPr="00467DB0">
        <w:t xml:space="preserve"> i medfør </w:t>
      </w:r>
      <w:proofErr w:type="spellStart"/>
      <w:r w:rsidRPr="00467DB0">
        <w:t>af</w:t>
      </w:r>
      <w:proofErr w:type="spellEnd"/>
      <w:r w:rsidRPr="00467DB0">
        <w:t xml:space="preserve"> </w:t>
      </w:r>
      <w:proofErr w:type="spellStart"/>
      <w:r w:rsidRPr="00467DB0">
        <w:t>artikel</w:t>
      </w:r>
      <w:proofErr w:type="spellEnd"/>
      <w:r w:rsidRPr="00467DB0">
        <w:t xml:space="preserve"> 29 agenturet.</w:t>
      </w:r>
    </w:p>
    <w:p w14:paraId="3BA1A2A3" w14:textId="77777777" w:rsidR="00000000" w:rsidRPr="00467DB0" w:rsidRDefault="00693D67" w:rsidP="00467DB0">
      <w:pPr>
        <w:pStyle w:val="friliste"/>
      </w:pPr>
      <w:r w:rsidRPr="00467DB0">
        <w:t>4.</w:t>
      </w:r>
      <w:r w:rsidRPr="00467DB0">
        <w:tab/>
        <w:t xml:space="preserve">På </w:t>
      </w:r>
      <w:proofErr w:type="spellStart"/>
      <w:r w:rsidRPr="00467DB0">
        <w:t>grundlag</w:t>
      </w:r>
      <w:proofErr w:type="spellEnd"/>
      <w:r w:rsidRPr="00467DB0">
        <w:t xml:space="preserve"> </w:t>
      </w:r>
      <w:proofErr w:type="spellStart"/>
      <w:r w:rsidRPr="00467DB0">
        <w:t>af</w:t>
      </w:r>
      <w:proofErr w:type="spellEnd"/>
      <w:r w:rsidRPr="00467DB0">
        <w:t xml:space="preserve"> risiko- og trusselsanalysen </w:t>
      </w:r>
      <w:proofErr w:type="spellStart"/>
      <w:r w:rsidRPr="00467DB0">
        <w:t>fastlægger</w:t>
      </w:r>
      <w:proofErr w:type="spellEnd"/>
      <w:r w:rsidRPr="00467DB0">
        <w:t xml:space="preserve"> </w:t>
      </w:r>
      <w:proofErr w:type="spellStart"/>
      <w:r w:rsidRPr="00467DB0">
        <w:t>Kommissionen</w:t>
      </w:r>
      <w:proofErr w:type="spellEnd"/>
      <w:r w:rsidRPr="00467DB0">
        <w:t xml:space="preserve">, hvor det er relevant, en struktur til at </w:t>
      </w:r>
      <w:proofErr w:type="spellStart"/>
      <w:r w:rsidRPr="00467DB0">
        <w:t>overvåge</w:t>
      </w:r>
      <w:proofErr w:type="spellEnd"/>
      <w:r w:rsidRPr="00467DB0">
        <w:t xml:space="preserve"> </w:t>
      </w:r>
      <w:proofErr w:type="spellStart"/>
      <w:r w:rsidRPr="00467DB0">
        <w:t>sikkerheden</w:t>
      </w:r>
      <w:proofErr w:type="spellEnd"/>
      <w:r w:rsidRPr="00467DB0">
        <w:t xml:space="preserve"> og til at følge de instrukser, der er </w:t>
      </w:r>
      <w:proofErr w:type="spellStart"/>
      <w:r w:rsidRPr="00467DB0">
        <w:t>udarbejdet</w:t>
      </w:r>
      <w:proofErr w:type="spellEnd"/>
      <w:r w:rsidRPr="00467DB0">
        <w:t xml:space="preserve"> i henhold til anvende</w:t>
      </w:r>
      <w:r w:rsidRPr="00467DB0">
        <w:t xml:space="preserve">lsesområdet for </w:t>
      </w:r>
      <w:proofErr w:type="spellStart"/>
      <w:r w:rsidRPr="00467DB0">
        <w:t>afgørelse</w:t>
      </w:r>
      <w:proofErr w:type="spellEnd"/>
      <w:r w:rsidRPr="00467DB0">
        <w:t xml:space="preserve"> 202x/xxx/FUSP</w:t>
      </w:r>
      <w:r w:rsidRPr="00467DB0">
        <w:rPr>
          <w:rStyle w:val="Fotnotereferanse"/>
        </w:rPr>
        <w:footnoteReference w:id="49"/>
      </w:r>
      <w:r w:rsidRPr="00467DB0">
        <w:t xml:space="preserve">. Strukturen skal fungere i overensstemmelse med de i stk. 2 omhandlede </w:t>
      </w:r>
      <w:proofErr w:type="spellStart"/>
      <w:r w:rsidRPr="00467DB0">
        <w:t>sikkerhedskrav</w:t>
      </w:r>
      <w:proofErr w:type="spellEnd"/>
      <w:r w:rsidRPr="00467DB0">
        <w:t xml:space="preserve">. For Galileos vedkommende er denne </w:t>
      </w:r>
      <w:proofErr w:type="spellStart"/>
      <w:r w:rsidRPr="00467DB0">
        <w:t>struktur</w:t>
      </w:r>
      <w:proofErr w:type="spellEnd"/>
      <w:r w:rsidRPr="00467DB0">
        <w:t xml:space="preserve"> </w:t>
      </w:r>
      <w:proofErr w:type="spellStart"/>
      <w:r w:rsidRPr="00467DB0">
        <w:t>Galileosikkerhedsovervågningscentret</w:t>
      </w:r>
      <w:proofErr w:type="spellEnd"/>
      <w:r w:rsidRPr="00467DB0">
        <w:t>.</w:t>
      </w:r>
    </w:p>
    <w:p w14:paraId="42E925DA" w14:textId="77777777" w:rsidR="00000000" w:rsidRPr="00467DB0" w:rsidRDefault="00693D67" w:rsidP="00467DB0">
      <w:pPr>
        <w:pStyle w:val="friliste"/>
      </w:pPr>
      <w:r w:rsidRPr="00467DB0">
        <w:t>5.</w:t>
      </w:r>
      <w:r w:rsidRPr="00467DB0">
        <w:tab/>
        <w:t>Agenturet skal:</w:t>
      </w:r>
    </w:p>
    <w:p w14:paraId="055DF67D" w14:textId="77777777" w:rsidR="00000000" w:rsidRPr="00467DB0" w:rsidRDefault="00693D67" w:rsidP="00467DB0">
      <w:pPr>
        <w:pStyle w:val="friliste2"/>
      </w:pPr>
      <w:r w:rsidRPr="00467DB0">
        <w:t>a)</w:t>
      </w:r>
      <w:r w:rsidRPr="00467DB0">
        <w:tab/>
        <w:t xml:space="preserve">sørge for </w:t>
      </w:r>
      <w:proofErr w:type="spellStart"/>
      <w:r w:rsidRPr="00467DB0">
        <w:t>sikkerhedsgodkendelse</w:t>
      </w:r>
      <w:proofErr w:type="spellEnd"/>
      <w:r w:rsidRPr="00467DB0">
        <w:t xml:space="preserve"> </w:t>
      </w:r>
      <w:proofErr w:type="spellStart"/>
      <w:r w:rsidRPr="00467DB0">
        <w:t>af</w:t>
      </w:r>
      <w:proofErr w:type="spellEnd"/>
      <w:r w:rsidRPr="00467DB0">
        <w:t xml:space="preserve"> alle programmets komponenter i overensstemmelse med dette </w:t>
      </w:r>
      <w:proofErr w:type="spellStart"/>
      <w:r w:rsidRPr="00467DB0">
        <w:t>afsnits</w:t>
      </w:r>
      <w:proofErr w:type="spellEnd"/>
      <w:r w:rsidRPr="00467DB0">
        <w:t xml:space="preserve"> kapitel II, </w:t>
      </w:r>
      <w:proofErr w:type="spellStart"/>
      <w:r w:rsidRPr="00467DB0">
        <w:t>uden</w:t>
      </w:r>
      <w:proofErr w:type="spellEnd"/>
      <w:r w:rsidRPr="00467DB0">
        <w:t xml:space="preserve"> at det berører </w:t>
      </w:r>
      <w:proofErr w:type="spellStart"/>
      <w:r w:rsidRPr="00467DB0">
        <w:t>medlemsstaternes</w:t>
      </w:r>
      <w:proofErr w:type="spellEnd"/>
      <w:r w:rsidRPr="00467DB0">
        <w:t xml:space="preserve"> </w:t>
      </w:r>
      <w:proofErr w:type="spellStart"/>
      <w:r w:rsidRPr="00467DB0">
        <w:t>kompetencer</w:t>
      </w:r>
      <w:proofErr w:type="spellEnd"/>
    </w:p>
    <w:p w14:paraId="00C5C82B" w14:textId="77777777" w:rsidR="00000000" w:rsidRPr="00467DB0" w:rsidRDefault="00693D67" w:rsidP="00467DB0">
      <w:pPr>
        <w:pStyle w:val="friliste2"/>
      </w:pPr>
      <w:r w:rsidRPr="00467DB0">
        <w:lastRenderedPageBreak/>
        <w:t>b)</w:t>
      </w:r>
      <w:r w:rsidRPr="00467DB0">
        <w:tab/>
        <w:t xml:space="preserve">sikre driften </w:t>
      </w:r>
      <w:proofErr w:type="spellStart"/>
      <w:r w:rsidRPr="00467DB0">
        <w:t>af</w:t>
      </w:r>
      <w:proofErr w:type="spellEnd"/>
      <w:r w:rsidRPr="00467DB0">
        <w:t xml:space="preserve"> </w:t>
      </w:r>
      <w:proofErr w:type="spellStart"/>
      <w:r w:rsidRPr="00467DB0">
        <w:t>Galileosikkerhedsovervågningscentret</w:t>
      </w:r>
      <w:proofErr w:type="spellEnd"/>
      <w:r w:rsidRPr="00467DB0">
        <w:t xml:space="preserve"> (GSMC) i overensstemmelse med de krav, der er o</w:t>
      </w:r>
      <w:r w:rsidRPr="00467DB0">
        <w:t xml:space="preserve">mhandlet i denne </w:t>
      </w:r>
      <w:proofErr w:type="spellStart"/>
      <w:r w:rsidRPr="00467DB0">
        <w:t>artikels</w:t>
      </w:r>
      <w:proofErr w:type="spellEnd"/>
      <w:r w:rsidRPr="00467DB0">
        <w:t xml:space="preserve"> stk. 2, og den </w:t>
      </w:r>
      <w:proofErr w:type="spellStart"/>
      <w:r w:rsidRPr="00467DB0">
        <w:t>vejledning</w:t>
      </w:r>
      <w:proofErr w:type="spellEnd"/>
      <w:r w:rsidRPr="00467DB0">
        <w:t xml:space="preserve">, der er </w:t>
      </w:r>
      <w:proofErr w:type="spellStart"/>
      <w:r w:rsidRPr="00467DB0">
        <w:t>udarbejdet</w:t>
      </w:r>
      <w:proofErr w:type="spellEnd"/>
      <w:r w:rsidRPr="00467DB0">
        <w:t xml:space="preserve"> i henhold til </w:t>
      </w:r>
      <w:proofErr w:type="spellStart"/>
      <w:r w:rsidRPr="00467DB0">
        <w:t>afgørelse</w:t>
      </w:r>
      <w:proofErr w:type="spellEnd"/>
      <w:r w:rsidRPr="00467DB0">
        <w:t xml:space="preserve"> 202x/xxx/FUSP</w:t>
      </w:r>
      <w:r w:rsidRPr="00467DB0">
        <w:rPr>
          <w:rStyle w:val="Fotnotereferanse"/>
        </w:rPr>
        <w:footnoteReference w:id="50"/>
      </w:r>
    </w:p>
    <w:p w14:paraId="3E9CDA49" w14:textId="77777777" w:rsidR="00000000" w:rsidRPr="00467DB0" w:rsidRDefault="00693D67" w:rsidP="00467DB0">
      <w:pPr>
        <w:pStyle w:val="friliste2"/>
      </w:pPr>
      <w:r w:rsidRPr="00467DB0">
        <w:t>c)</w:t>
      </w:r>
      <w:r w:rsidRPr="00467DB0">
        <w:tab/>
      </w:r>
      <w:proofErr w:type="spellStart"/>
      <w:r w:rsidRPr="00467DB0">
        <w:t>udføre</w:t>
      </w:r>
      <w:proofErr w:type="spellEnd"/>
      <w:r w:rsidRPr="00467DB0">
        <w:t xml:space="preserve"> de </w:t>
      </w:r>
      <w:proofErr w:type="spellStart"/>
      <w:r w:rsidRPr="00467DB0">
        <w:t>opgaver</w:t>
      </w:r>
      <w:proofErr w:type="spellEnd"/>
      <w:r w:rsidRPr="00467DB0">
        <w:t xml:space="preserve">, som det er tildelt i henhold til </w:t>
      </w:r>
      <w:proofErr w:type="spellStart"/>
      <w:r w:rsidRPr="00467DB0">
        <w:t>afgørelse</w:t>
      </w:r>
      <w:proofErr w:type="spellEnd"/>
      <w:r w:rsidRPr="00467DB0">
        <w:t xml:space="preserve"> nr. 1104/2011/EU</w:t>
      </w:r>
    </w:p>
    <w:p w14:paraId="226EF2FF" w14:textId="77777777" w:rsidR="00000000" w:rsidRPr="00467DB0" w:rsidRDefault="00693D67" w:rsidP="00467DB0">
      <w:pPr>
        <w:pStyle w:val="friliste2"/>
      </w:pPr>
      <w:r w:rsidRPr="00467DB0">
        <w:t>d)</w:t>
      </w:r>
      <w:r w:rsidRPr="00467DB0">
        <w:tab/>
        <w:t xml:space="preserve">bistå </w:t>
      </w:r>
      <w:proofErr w:type="spellStart"/>
      <w:r w:rsidRPr="00467DB0">
        <w:t>Kommissionen</w:t>
      </w:r>
      <w:proofErr w:type="spellEnd"/>
      <w:r w:rsidRPr="00467DB0">
        <w:t xml:space="preserve"> med teknisk ekspertise og f</w:t>
      </w:r>
      <w:r w:rsidRPr="00467DB0">
        <w:t xml:space="preserve">ormidle de </w:t>
      </w:r>
      <w:proofErr w:type="spellStart"/>
      <w:r w:rsidRPr="00467DB0">
        <w:t>oplysninger</w:t>
      </w:r>
      <w:proofErr w:type="spellEnd"/>
      <w:r w:rsidRPr="00467DB0">
        <w:t xml:space="preserve">, som er nødvendige for </w:t>
      </w:r>
      <w:proofErr w:type="spellStart"/>
      <w:r w:rsidRPr="00467DB0">
        <w:t>udførelsen</w:t>
      </w:r>
      <w:proofErr w:type="spellEnd"/>
      <w:r w:rsidRPr="00467DB0">
        <w:t xml:space="preserve"> </w:t>
      </w:r>
      <w:proofErr w:type="spellStart"/>
      <w:r w:rsidRPr="00467DB0">
        <w:t>af</w:t>
      </w:r>
      <w:proofErr w:type="spellEnd"/>
      <w:r w:rsidRPr="00467DB0">
        <w:t xml:space="preserve"> dens </w:t>
      </w:r>
      <w:proofErr w:type="spellStart"/>
      <w:r w:rsidRPr="00467DB0">
        <w:t>opgaver</w:t>
      </w:r>
      <w:proofErr w:type="spellEnd"/>
      <w:r w:rsidRPr="00467DB0">
        <w:t xml:space="preserve"> i henhold til denne forordning.</w:t>
      </w:r>
    </w:p>
    <w:p w14:paraId="156CE2BA" w14:textId="77777777" w:rsidR="00000000" w:rsidRPr="00467DB0" w:rsidRDefault="00693D67" w:rsidP="00467DB0">
      <w:pPr>
        <w:pStyle w:val="friliste"/>
      </w:pPr>
      <w:r w:rsidRPr="00467DB0">
        <w:t>6.</w:t>
      </w:r>
      <w:r w:rsidRPr="00467DB0">
        <w:tab/>
        <w:t xml:space="preserve">For at sikre beskyttelse </w:t>
      </w:r>
      <w:proofErr w:type="spellStart"/>
      <w:r w:rsidRPr="00467DB0">
        <w:t>af</w:t>
      </w:r>
      <w:proofErr w:type="spellEnd"/>
      <w:r w:rsidRPr="00467DB0">
        <w:t xml:space="preserve"> </w:t>
      </w:r>
      <w:proofErr w:type="spellStart"/>
      <w:r w:rsidRPr="00467DB0">
        <w:t>jordbaseret</w:t>
      </w:r>
      <w:proofErr w:type="spellEnd"/>
      <w:r w:rsidRPr="00467DB0">
        <w:t xml:space="preserve"> infrastruktur, der </w:t>
      </w:r>
      <w:proofErr w:type="spellStart"/>
      <w:r w:rsidRPr="00467DB0">
        <w:t>udgør</w:t>
      </w:r>
      <w:proofErr w:type="spellEnd"/>
      <w:r w:rsidRPr="00467DB0">
        <w:t xml:space="preserve"> en </w:t>
      </w:r>
      <w:proofErr w:type="spellStart"/>
      <w:r w:rsidRPr="00467DB0">
        <w:t>integreret</w:t>
      </w:r>
      <w:proofErr w:type="spellEnd"/>
      <w:r w:rsidRPr="00467DB0">
        <w:t xml:space="preserve"> del </w:t>
      </w:r>
      <w:proofErr w:type="spellStart"/>
      <w:r w:rsidRPr="00467DB0">
        <w:t>af</w:t>
      </w:r>
      <w:proofErr w:type="spellEnd"/>
      <w:r w:rsidRPr="00467DB0">
        <w:t xml:space="preserve"> programmet, og som er </w:t>
      </w:r>
      <w:proofErr w:type="spellStart"/>
      <w:r w:rsidRPr="00467DB0">
        <w:t>etableret</w:t>
      </w:r>
      <w:proofErr w:type="spellEnd"/>
      <w:r w:rsidRPr="00467DB0">
        <w:t xml:space="preserve"> på deres område, skal </w:t>
      </w:r>
      <w:proofErr w:type="spellStart"/>
      <w:r w:rsidRPr="00467DB0">
        <w:t>medlemss</w:t>
      </w:r>
      <w:r w:rsidRPr="00467DB0">
        <w:t>taterne</w:t>
      </w:r>
      <w:proofErr w:type="spellEnd"/>
      <w:r w:rsidRPr="00467DB0">
        <w:t>:</w:t>
      </w:r>
    </w:p>
    <w:p w14:paraId="0D42B4FE" w14:textId="77777777" w:rsidR="00000000" w:rsidRPr="00467DB0" w:rsidRDefault="00693D67" w:rsidP="00467DB0">
      <w:pPr>
        <w:pStyle w:val="friliste2"/>
      </w:pPr>
      <w:r w:rsidRPr="00467DB0">
        <w:t>a)</w:t>
      </w:r>
      <w:r w:rsidRPr="00467DB0">
        <w:tab/>
      </w:r>
      <w:proofErr w:type="spellStart"/>
      <w:r w:rsidRPr="00467DB0">
        <w:t>træffe</w:t>
      </w:r>
      <w:proofErr w:type="spellEnd"/>
      <w:r w:rsidRPr="00467DB0">
        <w:t xml:space="preserve"> foranstaltninger, som </w:t>
      </w:r>
      <w:proofErr w:type="spellStart"/>
      <w:r w:rsidRPr="00467DB0">
        <w:t>mindst</w:t>
      </w:r>
      <w:proofErr w:type="spellEnd"/>
      <w:r w:rsidRPr="00467DB0">
        <w:t xml:space="preserve"> svarer til: </w:t>
      </w:r>
    </w:p>
    <w:p w14:paraId="53262952" w14:textId="77777777" w:rsidR="00000000" w:rsidRPr="00467DB0" w:rsidRDefault="00693D67" w:rsidP="00467DB0">
      <w:pPr>
        <w:pStyle w:val="friliste3"/>
      </w:pPr>
      <w:r w:rsidRPr="00467DB0">
        <w:t>i)</w:t>
      </w:r>
      <w:r w:rsidRPr="00467DB0">
        <w:tab/>
        <w:t xml:space="preserve">dem, der </w:t>
      </w:r>
      <w:proofErr w:type="spellStart"/>
      <w:r w:rsidRPr="00467DB0">
        <w:t>kræves</w:t>
      </w:r>
      <w:proofErr w:type="spellEnd"/>
      <w:r w:rsidRPr="00467DB0">
        <w:t xml:space="preserve"> til beskyttelse </w:t>
      </w:r>
      <w:proofErr w:type="spellStart"/>
      <w:r w:rsidRPr="00467DB0">
        <w:t>af</w:t>
      </w:r>
      <w:proofErr w:type="spellEnd"/>
      <w:r w:rsidRPr="00467DB0">
        <w:t xml:space="preserve"> </w:t>
      </w:r>
      <w:proofErr w:type="spellStart"/>
      <w:r w:rsidRPr="00467DB0">
        <w:t>europæiske</w:t>
      </w:r>
      <w:proofErr w:type="spellEnd"/>
      <w:r w:rsidRPr="00467DB0">
        <w:t xml:space="preserve"> kritiske infrastrukturer, som omhandlet i Rådets direktiv 2008/114/EF</w:t>
      </w:r>
      <w:r w:rsidRPr="00467DB0">
        <w:rPr>
          <w:rStyle w:val="Fotnotereferanse"/>
        </w:rPr>
        <w:footnoteReference w:id="51"/>
      </w:r>
      <w:r w:rsidRPr="00467DB0">
        <w:t xml:space="preserve">, og </w:t>
      </w:r>
    </w:p>
    <w:p w14:paraId="7A0C1FB4" w14:textId="77777777" w:rsidR="00000000" w:rsidRPr="00467DB0" w:rsidRDefault="00693D67" w:rsidP="00467DB0">
      <w:pPr>
        <w:pStyle w:val="friliste3"/>
      </w:pPr>
      <w:r w:rsidRPr="00467DB0">
        <w:t>ii)</w:t>
      </w:r>
      <w:r w:rsidRPr="00467DB0">
        <w:tab/>
        <w:t xml:space="preserve">dem, der er nødvendige for beskyttelsen </w:t>
      </w:r>
      <w:proofErr w:type="spellStart"/>
      <w:r w:rsidRPr="00467DB0">
        <w:t>af</w:t>
      </w:r>
      <w:proofErr w:type="spellEnd"/>
      <w:r w:rsidRPr="00467DB0">
        <w:t xml:space="preserve"> deres egne </w:t>
      </w:r>
      <w:proofErr w:type="spellStart"/>
      <w:r w:rsidRPr="00467DB0">
        <w:t>nationale</w:t>
      </w:r>
      <w:proofErr w:type="spellEnd"/>
      <w:r w:rsidRPr="00467DB0">
        <w:t xml:space="preserve"> kritiske infrastrukturer </w:t>
      </w:r>
    </w:p>
    <w:p w14:paraId="3E293254" w14:textId="77777777" w:rsidR="00000000" w:rsidRPr="00467DB0" w:rsidRDefault="00693D67" w:rsidP="00467DB0">
      <w:pPr>
        <w:pStyle w:val="friliste2"/>
      </w:pPr>
      <w:r w:rsidRPr="00467DB0">
        <w:t>b)</w:t>
      </w:r>
      <w:r w:rsidRPr="00467DB0">
        <w:tab/>
      </w:r>
      <w:proofErr w:type="spellStart"/>
      <w:r w:rsidRPr="00467DB0">
        <w:t>udføre</w:t>
      </w:r>
      <w:proofErr w:type="spellEnd"/>
      <w:r w:rsidRPr="00467DB0">
        <w:t xml:space="preserve"> de </w:t>
      </w:r>
      <w:proofErr w:type="spellStart"/>
      <w:r w:rsidRPr="00467DB0">
        <w:t>sikkerhedsgodkendelse</w:t>
      </w:r>
      <w:r w:rsidRPr="00467DB0">
        <w:t>sopgaver</w:t>
      </w:r>
      <w:proofErr w:type="spellEnd"/>
      <w:r w:rsidRPr="00467DB0">
        <w:t xml:space="preserve">, som er omhandlet i denne forordnings </w:t>
      </w:r>
      <w:proofErr w:type="spellStart"/>
      <w:r w:rsidRPr="00467DB0">
        <w:t>artikel</w:t>
      </w:r>
      <w:proofErr w:type="spellEnd"/>
      <w:r w:rsidRPr="00467DB0">
        <w:t xml:space="preserve"> 42.</w:t>
      </w:r>
    </w:p>
    <w:p w14:paraId="4D7C96C2" w14:textId="77777777" w:rsidR="00000000" w:rsidRPr="00467DB0" w:rsidRDefault="00693D67" w:rsidP="00467DB0">
      <w:pPr>
        <w:pStyle w:val="friliste"/>
      </w:pPr>
      <w:r w:rsidRPr="00467DB0">
        <w:t>7.</w:t>
      </w:r>
      <w:r w:rsidRPr="00467DB0">
        <w:tab/>
        <w:t xml:space="preserve">De </w:t>
      </w:r>
      <w:proofErr w:type="spellStart"/>
      <w:r w:rsidRPr="00467DB0">
        <w:t>enheder</w:t>
      </w:r>
      <w:proofErr w:type="spellEnd"/>
      <w:r w:rsidRPr="00467DB0">
        <w:t xml:space="preserve">, der er </w:t>
      </w:r>
      <w:proofErr w:type="spellStart"/>
      <w:r w:rsidRPr="00467DB0">
        <w:t>involveret</w:t>
      </w:r>
      <w:proofErr w:type="spellEnd"/>
      <w:r w:rsidRPr="00467DB0">
        <w:t xml:space="preserve"> i programmet, skal </w:t>
      </w:r>
      <w:proofErr w:type="spellStart"/>
      <w:r w:rsidRPr="00467DB0">
        <w:t>træffe</w:t>
      </w:r>
      <w:proofErr w:type="spellEnd"/>
      <w:r w:rsidRPr="00467DB0">
        <w:t xml:space="preserve"> alle nødvendige foranstaltninger, herunder på </w:t>
      </w:r>
      <w:proofErr w:type="spellStart"/>
      <w:r w:rsidRPr="00467DB0">
        <w:t>grundlag</w:t>
      </w:r>
      <w:proofErr w:type="spellEnd"/>
      <w:r w:rsidRPr="00467DB0">
        <w:t xml:space="preserve"> </w:t>
      </w:r>
      <w:proofErr w:type="spellStart"/>
      <w:r w:rsidRPr="00467DB0">
        <w:t>af</w:t>
      </w:r>
      <w:proofErr w:type="spellEnd"/>
      <w:r w:rsidRPr="00467DB0">
        <w:t xml:space="preserve"> de i risikoanalysen </w:t>
      </w:r>
      <w:proofErr w:type="spellStart"/>
      <w:r w:rsidRPr="00467DB0">
        <w:t>identificerede</w:t>
      </w:r>
      <w:proofErr w:type="spellEnd"/>
      <w:r w:rsidRPr="00467DB0">
        <w:t xml:space="preserve"> </w:t>
      </w:r>
      <w:proofErr w:type="spellStart"/>
      <w:r w:rsidRPr="00467DB0">
        <w:t>spørgsmål</w:t>
      </w:r>
      <w:proofErr w:type="spellEnd"/>
      <w:r w:rsidRPr="00467DB0">
        <w:t xml:space="preserve">, til at garantere programmets </w:t>
      </w:r>
      <w:proofErr w:type="spellStart"/>
      <w:r w:rsidRPr="00467DB0">
        <w:t>sikke</w:t>
      </w:r>
      <w:r w:rsidRPr="00467DB0">
        <w:t>rhed</w:t>
      </w:r>
      <w:proofErr w:type="spellEnd"/>
      <w:r w:rsidRPr="00467DB0">
        <w:t>.</w:t>
      </w:r>
    </w:p>
    <w:p w14:paraId="3FB06CF0" w14:textId="77777777" w:rsidR="00000000" w:rsidRPr="00467DB0" w:rsidRDefault="00693D67" w:rsidP="00467DB0">
      <w:pPr>
        <w:pStyle w:val="avsnitt-undertittel"/>
      </w:pPr>
      <w:proofErr w:type="spellStart"/>
      <w:r w:rsidRPr="00467DB0">
        <w:t>Artikel</w:t>
      </w:r>
      <w:proofErr w:type="spellEnd"/>
      <w:r w:rsidRPr="00467DB0">
        <w:t xml:space="preserve"> 35</w:t>
      </w:r>
    </w:p>
    <w:p w14:paraId="6E501292" w14:textId="77777777" w:rsidR="00000000" w:rsidRPr="00467DB0" w:rsidRDefault="00693D67" w:rsidP="00467DB0">
      <w:pPr>
        <w:pStyle w:val="Undertittel"/>
      </w:pPr>
      <w:proofErr w:type="spellStart"/>
      <w:r w:rsidRPr="00467DB0">
        <w:t>Sikkerheden</w:t>
      </w:r>
      <w:proofErr w:type="spellEnd"/>
      <w:r w:rsidRPr="00467DB0">
        <w:t xml:space="preserve"> ved de anvendte systemer og tjenester</w:t>
      </w:r>
    </w:p>
    <w:p w14:paraId="10E54DA6" w14:textId="77777777" w:rsidR="00000000" w:rsidRPr="00467DB0" w:rsidRDefault="00693D67" w:rsidP="00467DB0">
      <w:r w:rsidRPr="00467DB0">
        <w:t xml:space="preserve">I de </w:t>
      </w:r>
      <w:proofErr w:type="spellStart"/>
      <w:r w:rsidRPr="00467DB0">
        <w:t>tilfælde</w:t>
      </w:r>
      <w:proofErr w:type="spellEnd"/>
      <w:r w:rsidRPr="00467DB0">
        <w:t xml:space="preserve">, hvor </w:t>
      </w:r>
      <w:proofErr w:type="spellStart"/>
      <w:r w:rsidRPr="00467DB0">
        <w:t>systemernes</w:t>
      </w:r>
      <w:proofErr w:type="spellEnd"/>
      <w:r w:rsidRPr="00467DB0">
        <w:t xml:space="preserve"> drift vil kunne berøre Unionens eller </w:t>
      </w:r>
      <w:proofErr w:type="spellStart"/>
      <w:r w:rsidRPr="00467DB0">
        <w:t>medlemsstaternes</w:t>
      </w:r>
      <w:proofErr w:type="spellEnd"/>
      <w:r w:rsidRPr="00467DB0">
        <w:t xml:space="preserve"> </w:t>
      </w:r>
      <w:proofErr w:type="spellStart"/>
      <w:r w:rsidRPr="00467DB0">
        <w:t>sikkerhed</w:t>
      </w:r>
      <w:proofErr w:type="spellEnd"/>
      <w:r w:rsidRPr="00467DB0">
        <w:t xml:space="preserve">, anvendes de i </w:t>
      </w:r>
      <w:proofErr w:type="spellStart"/>
      <w:r w:rsidRPr="00467DB0">
        <w:t>afgørelse</w:t>
      </w:r>
      <w:proofErr w:type="spellEnd"/>
      <w:r w:rsidRPr="00467DB0">
        <w:t xml:space="preserve"> 202x/xxx/FUSP</w:t>
      </w:r>
      <w:r w:rsidRPr="00467DB0">
        <w:rPr>
          <w:rStyle w:val="Fotnotereferanse"/>
        </w:rPr>
        <w:footnoteReference w:id="52"/>
      </w:r>
      <w:r w:rsidRPr="00467DB0">
        <w:t xml:space="preserve"> fastlagte </w:t>
      </w:r>
      <w:proofErr w:type="spellStart"/>
      <w:r w:rsidRPr="00467DB0">
        <w:t>procedurer</w:t>
      </w:r>
      <w:proofErr w:type="spellEnd"/>
      <w:r w:rsidRPr="00467DB0">
        <w:t>.</w:t>
      </w:r>
    </w:p>
    <w:p w14:paraId="47E08E47" w14:textId="77777777" w:rsidR="00000000" w:rsidRPr="00467DB0" w:rsidRDefault="00693D67" w:rsidP="00467DB0">
      <w:pPr>
        <w:pStyle w:val="avsnitt-undertittel"/>
      </w:pPr>
      <w:r w:rsidRPr="00467DB0">
        <w:lastRenderedPageBreak/>
        <w:t>K</w:t>
      </w:r>
      <w:r w:rsidRPr="00467DB0">
        <w:t>apitel II</w:t>
      </w:r>
    </w:p>
    <w:p w14:paraId="0CBF23BF" w14:textId="77777777" w:rsidR="00000000" w:rsidRPr="00467DB0" w:rsidRDefault="00693D67" w:rsidP="00467DB0">
      <w:pPr>
        <w:pStyle w:val="Undertittel"/>
      </w:pPr>
      <w:proofErr w:type="spellStart"/>
      <w:r w:rsidRPr="00467DB0">
        <w:t>Sikkerhedsgodkendelse</w:t>
      </w:r>
      <w:proofErr w:type="spellEnd"/>
    </w:p>
    <w:p w14:paraId="1BCB03B9" w14:textId="77777777" w:rsidR="00000000" w:rsidRPr="00467DB0" w:rsidRDefault="00693D67" w:rsidP="00467DB0">
      <w:pPr>
        <w:pStyle w:val="avsnitt-undertittel"/>
      </w:pPr>
      <w:proofErr w:type="spellStart"/>
      <w:r w:rsidRPr="00467DB0">
        <w:t>Artikel</w:t>
      </w:r>
      <w:proofErr w:type="spellEnd"/>
      <w:r w:rsidRPr="00467DB0">
        <w:t> 36</w:t>
      </w:r>
    </w:p>
    <w:p w14:paraId="565A7F90" w14:textId="77777777" w:rsidR="00000000" w:rsidRPr="00467DB0" w:rsidRDefault="00693D67" w:rsidP="00467DB0">
      <w:pPr>
        <w:pStyle w:val="Undertittel"/>
      </w:pPr>
      <w:proofErr w:type="spellStart"/>
      <w:r w:rsidRPr="00467DB0">
        <w:t>Sikkerhedsgodkendelsesmyndighed</w:t>
      </w:r>
      <w:proofErr w:type="spellEnd"/>
    </w:p>
    <w:p w14:paraId="68DC895B" w14:textId="77777777" w:rsidR="00000000" w:rsidRPr="00467DB0" w:rsidRDefault="00693D67" w:rsidP="00467DB0">
      <w:r w:rsidRPr="00467DB0">
        <w:t xml:space="preserve">Komitéen for </w:t>
      </w:r>
      <w:proofErr w:type="spellStart"/>
      <w:r w:rsidRPr="00467DB0">
        <w:t>Sikkerhedsgodkendelse</w:t>
      </w:r>
      <w:proofErr w:type="spellEnd"/>
      <w:r w:rsidRPr="00467DB0">
        <w:t xml:space="preserve">, der etableres under agenturet, er </w:t>
      </w:r>
      <w:proofErr w:type="spellStart"/>
      <w:r w:rsidRPr="00467DB0">
        <w:t>sikkerhedsgodkendelsesmyndighed</w:t>
      </w:r>
      <w:proofErr w:type="spellEnd"/>
      <w:r w:rsidRPr="00467DB0">
        <w:t xml:space="preserve"> for alle programmets komponenter.</w:t>
      </w:r>
    </w:p>
    <w:p w14:paraId="6F8E644A" w14:textId="77777777" w:rsidR="00000000" w:rsidRPr="00467DB0" w:rsidRDefault="00693D67" w:rsidP="00467DB0">
      <w:pPr>
        <w:pStyle w:val="avsnitt-undertittel"/>
      </w:pPr>
      <w:proofErr w:type="spellStart"/>
      <w:r w:rsidRPr="00467DB0">
        <w:t>Artikel</w:t>
      </w:r>
      <w:proofErr w:type="spellEnd"/>
      <w:r w:rsidRPr="00467DB0">
        <w:t> 37</w:t>
      </w:r>
    </w:p>
    <w:p w14:paraId="44AA4ADE" w14:textId="77777777" w:rsidR="00000000" w:rsidRPr="00467DB0" w:rsidRDefault="00693D67" w:rsidP="00467DB0">
      <w:pPr>
        <w:pStyle w:val="Undertittel"/>
      </w:pPr>
      <w:r w:rsidRPr="00467DB0">
        <w:t xml:space="preserve">Generelle </w:t>
      </w:r>
      <w:proofErr w:type="spellStart"/>
      <w:r w:rsidRPr="00467DB0">
        <w:t>principper</w:t>
      </w:r>
      <w:proofErr w:type="spellEnd"/>
      <w:r w:rsidRPr="00467DB0">
        <w:t xml:space="preserve"> for </w:t>
      </w:r>
      <w:proofErr w:type="spellStart"/>
      <w:r w:rsidRPr="00467DB0">
        <w:t>sikkerhed</w:t>
      </w:r>
      <w:r w:rsidRPr="00467DB0">
        <w:t>sgodkendelse</w:t>
      </w:r>
      <w:proofErr w:type="spellEnd"/>
    </w:p>
    <w:p w14:paraId="5406F459" w14:textId="77777777" w:rsidR="00000000" w:rsidRPr="00467DB0" w:rsidRDefault="00693D67" w:rsidP="00467DB0">
      <w:proofErr w:type="spellStart"/>
      <w:r w:rsidRPr="00467DB0">
        <w:t>Sikkerhedsgodkendelsesaktiviteter</w:t>
      </w:r>
      <w:proofErr w:type="spellEnd"/>
      <w:r w:rsidRPr="00467DB0">
        <w:t xml:space="preserve"> for hver enkelt </w:t>
      </w:r>
      <w:proofErr w:type="spellStart"/>
      <w:r w:rsidRPr="00467DB0">
        <w:t>af</w:t>
      </w:r>
      <w:proofErr w:type="spellEnd"/>
      <w:r w:rsidRPr="00467DB0">
        <w:t xml:space="preserve"> programmets komponenter foretages i overensstemmelse med følgende </w:t>
      </w:r>
      <w:proofErr w:type="spellStart"/>
      <w:r w:rsidRPr="00467DB0">
        <w:t>principper</w:t>
      </w:r>
      <w:proofErr w:type="spellEnd"/>
      <w:r w:rsidRPr="00467DB0">
        <w:t>:</w:t>
      </w:r>
    </w:p>
    <w:p w14:paraId="29D8E209" w14:textId="77777777" w:rsidR="00000000" w:rsidRPr="00467DB0" w:rsidRDefault="00693D67" w:rsidP="00467DB0">
      <w:pPr>
        <w:pStyle w:val="friliste"/>
      </w:pPr>
      <w:r w:rsidRPr="00467DB0">
        <w:t>a)</w:t>
      </w:r>
      <w:r w:rsidRPr="00467DB0">
        <w:tab/>
      </w:r>
      <w:proofErr w:type="spellStart"/>
      <w:r w:rsidRPr="00467DB0">
        <w:t>sikkerhedsgodkendelsesaktiviteter</w:t>
      </w:r>
      <w:proofErr w:type="spellEnd"/>
      <w:r w:rsidRPr="00467DB0">
        <w:t xml:space="preserve"> og -beslutninger </w:t>
      </w:r>
      <w:proofErr w:type="spellStart"/>
      <w:r w:rsidRPr="00467DB0">
        <w:t>udføres</w:t>
      </w:r>
      <w:proofErr w:type="spellEnd"/>
      <w:r w:rsidRPr="00467DB0">
        <w:t xml:space="preserve"> i en kontekst </w:t>
      </w:r>
      <w:proofErr w:type="spellStart"/>
      <w:r w:rsidRPr="00467DB0">
        <w:t>af</w:t>
      </w:r>
      <w:proofErr w:type="spellEnd"/>
      <w:r w:rsidRPr="00467DB0">
        <w:t xml:space="preserve"> kollektivt ansvar for Unionens og</w:t>
      </w:r>
      <w:r w:rsidRPr="00467DB0">
        <w:t xml:space="preserve"> </w:t>
      </w:r>
      <w:proofErr w:type="spellStart"/>
      <w:r w:rsidRPr="00467DB0">
        <w:t>medlemsstaternes</w:t>
      </w:r>
      <w:proofErr w:type="spellEnd"/>
      <w:r w:rsidRPr="00467DB0">
        <w:t xml:space="preserve"> </w:t>
      </w:r>
      <w:proofErr w:type="spellStart"/>
      <w:r w:rsidRPr="00467DB0">
        <w:t>sikkerhed</w:t>
      </w:r>
      <w:proofErr w:type="spellEnd"/>
    </w:p>
    <w:p w14:paraId="006435BC" w14:textId="77777777" w:rsidR="00000000" w:rsidRPr="00467DB0" w:rsidRDefault="00693D67" w:rsidP="00467DB0">
      <w:pPr>
        <w:pStyle w:val="friliste"/>
      </w:pPr>
      <w:r w:rsidRPr="00467DB0">
        <w:t>b)</w:t>
      </w:r>
      <w:r w:rsidRPr="00467DB0">
        <w:tab/>
        <w:t xml:space="preserve">det </w:t>
      </w:r>
      <w:proofErr w:type="spellStart"/>
      <w:r w:rsidRPr="00467DB0">
        <w:t>tilstræbes</w:t>
      </w:r>
      <w:proofErr w:type="spellEnd"/>
      <w:r w:rsidRPr="00467DB0">
        <w:t xml:space="preserve">, at beslutninger i Komitéen for </w:t>
      </w:r>
      <w:proofErr w:type="spellStart"/>
      <w:r w:rsidRPr="00467DB0">
        <w:t>Sikkerhedsgodkendelse</w:t>
      </w:r>
      <w:proofErr w:type="spellEnd"/>
      <w:r w:rsidRPr="00467DB0">
        <w:t xml:space="preserve"> </w:t>
      </w:r>
      <w:proofErr w:type="spellStart"/>
      <w:r w:rsidRPr="00467DB0">
        <w:t>træffes</w:t>
      </w:r>
      <w:proofErr w:type="spellEnd"/>
      <w:r w:rsidRPr="00467DB0">
        <w:t xml:space="preserve"> ved konsensus</w:t>
      </w:r>
    </w:p>
    <w:p w14:paraId="1F6E2532" w14:textId="77777777" w:rsidR="00000000" w:rsidRPr="00467DB0" w:rsidRDefault="00693D67" w:rsidP="00467DB0">
      <w:pPr>
        <w:pStyle w:val="friliste"/>
      </w:pPr>
      <w:r w:rsidRPr="00467DB0">
        <w:t>c)</w:t>
      </w:r>
      <w:r w:rsidRPr="00467DB0">
        <w:tab/>
      </w:r>
      <w:proofErr w:type="spellStart"/>
      <w:r w:rsidRPr="00467DB0">
        <w:t>sikkerhedsgodkendelsesaktiviteter</w:t>
      </w:r>
      <w:proofErr w:type="spellEnd"/>
      <w:r w:rsidRPr="00467DB0">
        <w:t xml:space="preserve"> </w:t>
      </w:r>
      <w:proofErr w:type="spellStart"/>
      <w:r w:rsidRPr="00467DB0">
        <w:t>udføres</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en risikovurderings- og risikoforvaltningstilgang i </w:t>
      </w:r>
      <w:proofErr w:type="spellStart"/>
      <w:r w:rsidRPr="00467DB0">
        <w:t>betragtning</w:t>
      </w:r>
      <w:proofErr w:type="spellEnd"/>
      <w:r w:rsidRPr="00467DB0">
        <w:t xml:space="preserve"> </w:t>
      </w:r>
      <w:proofErr w:type="spellStart"/>
      <w:r w:rsidRPr="00467DB0">
        <w:t>af</w:t>
      </w:r>
      <w:proofErr w:type="spellEnd"/>
      <w:r w:rsidRPr="00467DB0">
        <w:t xml:space="preserve"> både </w:t>
      </w:r>
      <w:proofErr w:type="spellStart"/>
      <w:r w:rsidRPr="00467DB0">
        <w:t>sikk</w:t>
      </w:r>
      <w:r w:rsidRPr="00467DB0">
        <w:t>erhedsrisiciene</w:t>
      </w:r>
      <w:proofErr w:type="spellEnd"/>
      <w:r w:rsidRPr="00467DB0">
        <w:t xml:space="preserve"> ved den </w:t>
      </w:r>
      <w:proofErr w:type="spellStart"/>
      <w:r w:rsidRPr="00467DB0">
        <w:t>pågældende</w:t>
      </w:r>
      <w:proofErr w:type="spellEnd"/>
      <w:r w:rsidRPr="00467DB0">
        <w:t xml:space="preserve"> komponent og </w:t>
      </w:r>
      <w:proofErr w:type="spellStart"/>
      <w:r w:rsidRPr="00467DB0">
        <w:t>konsekvenserne</w:t>
      </w:r>
      <w:proofErr w:type="spellEnd"/>
      <w:r w:rsidRPr="00467DB0">
        <w:t xml:space="preserve"> for så vidt angår omkostninger og tidsplan i forbindelse med enhver foranstaltning til at </w:t>
      </w:r>
      <w:proofErr w:type="spellStart"/>
      <w:r w:rsidRPr="00467DB0">
        <w:t>mindske</w:t>
      </w:r>
      <w:proofErr w:type="spellEnd"/>
      <w:r w:rsidRPr="00467DB0">
        <w:t xml:space="preserve"> </w:t>
      </w:r>
      <w:proofErr w:type="spellStart"/>
      <w:r w:rsidRPr="00467DB0">
        <w:t>risiciene</w:t>
      </w:r>
      <w:proofErr w:type="spellEnd"/>
      <w:r w:rsidRPr="00467DB0">
        <w:t xml:space="preserve"> og </w:t>
      </w:r>
      <w:proofErr w:type="gramStart"/>
      <w:r w:rsidRPr="00467DB0">
        <w:t>under hensyntagen</w:t>
      </w:r>
      <w:proofErr w:type="gramEnd"/>
      <w:r w:rsidRPr="00467DB0">
        <w:t xml:space="preserve"> til </w:t>
      </w:r>
      <w:proofErr w:type="spellStart"/>
      <w:r w:rsidRPr="00467DB0">
        <w:t>målsætningen</w:t>
      </w:r>
      <w:proofErr w:type="spellEnd"/>
      <w:r w:rsidRPr="00467DB0">
        <w:t xml:space="preserve"> om ikke at </w:t>
      </w:r>
      <w:proofErr w:type="spellStart"/>
      <w:r w:rsidRPr="00467DB0">
        <w:t>sænke</w:t>
      </w:r>
      <w:proofErr w:type="spellEnd"/>
      <w:r w:rsidRPr="00467DB0">
        <w:t xml:space="preserve"> det generelle </w:t>
      </w:r>
      <w:proofErr w:type="spellStart"/>
      <w:r w:rsidRPr="00467DB0">
        <w:t>sikkerhedsniveau</w:t>
      </w:r>
      <w:proofErr w:type="spellEnd"/>
      <w:r w:rsidRPr="00467DB0">
        <w:t xml:space="preserve"> for denne komponent</w:t>
      </w:r>
    </w:p>
    <w:p w14:paraId="5F95B5F9" w14:textId="77777777" w:rsidR="00000000" w:rsidRPr="00467DB0" w:rsidRDefault="00693D67" w:rsidP="00467DB0">
      <w:pPr>
        <w:pStyle w:val="friliste"/>
      </w:pPr>
      <w:r w:rsidRPr="00467DB0">
        <w:t>d)</w:t>
      </w:r>
      <w:r w:rsidRPr="00467DB0">
        <w:tab/>
        <w:t xml:space="preserve">Komitéen for </w:t>
      </w:r>
      <w:proofErr w:type="spellStart"/>
      <w:r w:rsidRPr="00467DB0">
        <w:t>Sikkerhedsgodkendelses</w:t>
      </w:r>
      <w:proofErr w:type="spellEnd"/>
      <w:r w:rsidRPr="00467DB0">
        <w:t xml:space="preserve"> beslutninger om </w:t>
      </w:r>
      <w:proofErr w:type="spellStart"/>
      <w:r w:rsidRPr="00467DB0">
        <w:t>sikkerhedsgodkendelse</w:t>
      </w:r>
      <w:proofErr w:type="spellEnd"/>
      <w:r w:rsidRPr="00467DB0">
        <w:t xml:space="preserve"> forberedes og </w:t>
      </w:r>
      <w:proofErr w:type="spellStart"/>
      <w:r w:rsidRPr="00467DB0">
        <w:t>træffes</w:t>
      </w:r>
      <w:proofErr w:type="spellEnd"/>
      <w:r w:rsidRPr="00467DB0">
        <w:t xml:space="preserve"> </w:t>
      </w:r>
      <w:proofErr w:type="spellStart"/>
      <w:r w:rsidRPr="00467DB0">
        <w:t>af</w:t>
      </w:r>
      <w:proofErr w:type="spellEnd"/>
      <w:r w:rsidRPr="00467DB0">
        <w:t xml:space="preserve"> fagfolk, der er </w:t>
      </w:r>
      <w:proofErr w:type="spellStart"/>
      <w:r w:rsidRPr="00467DB0">
        <w:t>behørigt</w:t>
      </w:r>
      <w:proofErr w:type="spellEnd"/>
      <w:r w:rsidRPr="00467DB0">
        <w:t xml:space="preserve"> </w:t>
      </w:r>
      <w:proofErr w:type="spellStart"/>
      <w:r w:rsidRPr="00467DB0">
        <w:t>kvalificerede</w:t>
      </w:r>
      <w:proofErr w:type="spellEnd"/>
      <w:r w:rsidRPr="00467DB0">
        <w:t xml:space="preserve"> med hensyn til </w:t>
      </w:r>
      <w:proofErr w:type="spellStart"/>
      <w:r w:rsidRPr="00467DB0">
        <w:t>godkendelse</w:t>
      </w:r>
      <w:proofErr w:type="spellEnd"/>
      <w:r w:rsidRPr="00467DB0">
        <w:t xml:space="preserve"> </w:t>
      </w:r>
      <w:proofErr w:type="spellStart"/>
      <w:r w:rsidRPr="00467DB0">
        <w:t>af</w:t>
      </w:r>
      <w:proofErr w:type="spellEnd"/>
      <w:r w:rsidRPr="00467DB0">
        <w:t xml:space="preserve"> komplekse systemer, er </w:t>
      </w:r>
      <w:proofErr w:type="spellStart"/>
      <w:r w:rsidRPr="00467DB0">
        <w:t>sikkerhedsgodkendt</w:t>
      </w:r>
      <w:proofErr w:type="spellEnd"/>
      <w:r w:rsidRPr="00467DB0">
        <w:t xml:space="preserve"> på et passende </w:t>
      </w:r>
      <w:proofErr w:type="spellStart"/>
      <w:r w:rsidRPr="00467DB0">
        <w:t>niveau</w:t>
      </w:r>
      <w:proofErr w:type="spellEnd"/>
      <w:r w:rsidRPr="00467DB0">
        <w:t xml:space="preserve"> </w:t>
      </w:r>
      <w:r w:rsidRPr="00467DB0">
        <w:t xml:space="preserve">og handler på en objektiv </w:t>
      </w:r>
      <w:proofErr w:type="spellStart"/>
      <w:r w:rsidRPr="00467DB0">
        <w:t>måde</w:t>
      </w:r>
      <w:proofErr w:type="spellEnd"/>
    </w:p>
    <w:p w14:paraId="0D72EC46" w14:textId="77777777" w:rsidR="00000000" w:rsidRPr="00467DB0" w:rsidRDefault="00693D67" w:rsidP="00467DB0">
      <w:pPr>
        <w:pStyle w:val="friliste"/>
      </w:pPr>
      <w:r w:rsidRPr="00467DB0">
        <w:t>e)</w:t>
      </w:r>
      <w:r w:rsidRPr="00467DB0">
        <w:tab/>
        <w:t xml:space="preserve">det </w:t>
      </w:r>
      <w:proofErr w:type="spellStart"/>
      <w:r w:rsidRPr="00467DB0">
        <w:t>tilstræbes</w:t>
      </w:r>
      <w:proofErr w:type="spellEnd"/>
      <w:r w:rsidRPr="00467DB0">
        <w:t xml:space="preserve"> at høre alle relevante parter, som har interesse i </w:t>
      </w:r>
      <w:proofErr w:type="spellStart"/>
      <w:r w:rsidRPr="00467DB0">
        <w:t>sikkerhedsanliggender</w:t>
      </w:r>
      <w:proofErr w:type="spellEnd"/>
      <w:r w:rsidRPr="00467DB0">
        <w:t xml:space="preserve"> for den </w:t>
      </w:r>
      <w:proofErr w:type="spellStart"/>
      <w:r w:rsidRPr="00467DB0">
        <w:t>pågældende</w:t>
      </w:r>
      <w:proofErr w:type="spellEnd"/>
      <w:r w:rsidRPr="00467DB0">
        <w:t xml:space="preserve"> komponent</w:t>
      </w:r>
    </w:p>
    <w:p w14:paraId="0CDEF29A" w14:textId="77777777" w:rsidR="00000000" w:rsidRPr="00467DB0" w:rsidRDefault="00693D67" w:rsidP="00467DB0">
      <w:pPr>
        <w:pStyle w:val="friliste"/>
      </w:pPr>
      <w:r w:rsidRPr="00467DB0">
        <w:t>f)</w:t>
      </w:r>
      <w:r w:rsidRPr="00467DB0">
        <w:tab/>
      </w:r>
      <w:proofErr w:type="spellStart"/>
      <w:r w:rsidRPr="00467DB0">
        <w:t>sikkerhedsgodkendelsesaktiviteter</w:t>
      </w:r>
      <w:proofErr w:type="spellEnd"/>
      <w:r w:rsidRPr="00467DB0">
        <w:t xml:space="preserve"> </w:t>
      </w:r>
      <w:proofErr w:type="spellStart"/>
      <w:r w:rsidRPr="00467DB0">
        <w:t>udføres</w:t>
      </w:r>
      <w:proofErr w:type="spellEnd"/>
      <w:r w:rsidRPr="00467DB0">
        <w:t xml:space="preserve"> </w:t>
      </w:r>
      <w:proofErr w:type="spellStart"/>
      <w:r w:rsidRPr="00467DB0">
        <w:t>af</w:t>
      </w:r>
      <w:proofErr w:type="spellEnd"/>
      <w:r w:rsidRPr="00467DB0">
        <w:t xml:space="preserve"> alle relevante interessenter i forbindelse med den </w:t>
      </w:r>
      <w:proofErr w:type="spellStart"/>
      <w:r w:rsidRPr="00467DB0">
        <w:t>pågæld</w:t>
      </w:r>
      <w:r w:rsidRPr="00467DB0">
        <w:t>ende</w:t>
      </w:r>
      <w:proofErr w:type="spellEnd"/>
      <w:r w:rsidRPr="00467DB0">
        <w:t xml:space="preserve"> komponent i overensstemmelse med en </w:t>
      </w:r>
      <w:proofErr w:type="spellStart"/>
      <w:r w:rsidRPr="00467DB0">
        <w:t>sikkerhedsgodkendelsesstrategi</w:t>
      </w:r>
      <w:proofErr w:type="spellEnd"/>
      <w:r w:rsidRPr="00467DB0">
        <w:t xml:space="preserve">, </w:t>
      </w:r>
      <w:proofErr w:type="spellStart"/>
      <w:r w:rsidRPr="00467DB0">
        <w:t>uden</w:t>
      </w:r>
      <w:proofErr w:type="spellEnd"/>
      <w:r w:rsidRPr="00467DB0">
        <w:t xml:space="preserve"> at dette berører Europa-</w:t>
      </w:r>
      <w:proofErr w:type="spellStart"/>
      <w:r w:rsidRPr="00467DB0">
        <w:t>Kommissionens</w:t>
      </w:r>
      <w:proofErr w:type="spellEnd"/>
      <w:r w:rsidRPr="00467DB0">
        <w:t xml:space="preserve"> rolle</w:t>
      </w:r>
    </w:p>
    <w:p w14:paraId="600DC81F" w14:textId="77777777" w:rsidR="00000000" w:rsidRPr="00467DB0" w:rsidRDefault="00693D67" w:rsidP="00467DB0">
      <w:pPr>
        <w:pStyle w:val="friliste"/>
      </w:pPr>
      <w:r w:rsidRPr="00467DB0">
        <w:t>g)</w:t>
      </w:r>
      <w:r w:rsidRPr="00467DB0">
        <w:tab/>
        <w:t xml:space="preserve">ifølge den </w:t>
      </w:r>
      <w:proofErr w:type="spellStart"/>
      <w:r w:rsidRPr="00467DB0">
        <w:t>proces</w:t>
      </w:r>
      <w:proofErr w:type="spellEnd"/>
      <w:r w:rsidRPr="00467DB0">
        <w:t xml:space="preserve">, der er fastlagt i den relevante </w:t>
      </w:r>
      <w:proofErr w:type="spellStart"/>
      <w:r w:rsidRPr="00467DB0">
        <w:t>sikkerhedsgodkendelsesstrategi</w:t>
      </w:r>
      <w:proofErr w:type="spellEnd"/>
      <w:r w:rsidRPr="00467DB0">
        <w:t xml:space="preserve"> som </w:t>
      </w:r>
      <w:proofErr w:type="spellStart"/>
      <w:r w:rsidRPr="00467DB0">
        <w:t>defineret</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w:t>
      </w:r>
      <w:r w:rsidRPr="00467DB0">
        <w:t>se</w:t>
      </w:r>
      <w:proofErr w:type="spellEnd"/>
      <w:r w:rsidRPr="00467DB0">
        <w:t xml:space="preserve">, baseres komitéens beslutninger om </w:t>
      </w:r>
      <w:proofErr w:type="spellStart"/>
      <w:r w:rsidRPr="00467DB0">
        <w:t>sikkerhedsgodkendelse</w:t>
      </w:r>
      <w:proofErr w:type="spellEnd"/>
      <w:r w:rsidRPr="00467DB0">
        <w:t xml:space="preserve"> på lokale beslutninger om </w:t>
      </w:r>
      <w:proofErr w:type="spellStart"/>
      <w:r w:rsidRPr="00467DB0">
        <w:t>sikkerhedsgodkendelse</w:t>
      </w:r>
      <w:proofErr w:type="spellEnd"/>
      <w:r w:rsidRPr="00467DB0">
        <w:t xml:space="preserve">, der er truffet </w:t>
      </w:r>
      <w:proofErr w:type="spellStart"/>
      <w:r w:rsidRPr="00467DB0">
        <w:t>af</w:t>
      </w:r>
      <w:proofErr w:type="spellEnd"/>
      <w:r w:rsidRPr="00467DB0">
        <w:t xml:space="preserve"> </w:t>
      </w:r>
      <w:proofErr w:type="spellStart"/>
      <w:r w:rsidRPr="00467DB0">
        <w:t>medlemsstaternes</w:t>
      </w:r>
      <w:proofErr w:type="spellEnd"/>
      <w:r w:rsidRPr="00467DB0">
        <w:t xml:space="preserve"> behørige </w:t>
      </w:r>
      <w:proofErr w:type="spellStart"/>
      <w:r w:rsidRPr="00467DB0">
        <w:t>nationale</w:t>
      </w:r>
      <w:proofErr w:type="spellEnd"/>
      <w:r w:rsidRPr="00467DB0">
        <w:t xml:space="preserve"> </w:t>
      </w:r>
      <w:proofErr w:type="spellStart"/>
      <w:r w:rsidRPr="00467DB0">
        <w:t>myndigheder</w:t>
      </w:r>
      <w:proofErr w:type="spellEnd"/>
      <w:r w:rsidRPr="00467DB0">
        <w:t xml:space="preserve"> for </w:t>
      </w:r>
      <w:proofErr w:type="spellStart"/>
      <w:r w:rsidRPr="00467DB0">
        <w:t>sikkerhedsgodkendelse</w:t>
      </w:r>
      <w:proofErr w:type="spellEnd"/>
    </w:p>
    <w:p w14:paraId="0BC346B9" w14:textId="77777777" w:rsidR="00000000" w:rsidRPr="00467DB0" w:rsidRDefault="00693D67" w:rsidP="00467DB0">
      <w:pPr>
        <w:pStyle w:val="friliste"/>
      </w:pPr>
      <w:r w:rsidRPr="00467DB0">
        <w:t>h)</w:t>
      </w:r>
      <w:r w:rsidRPr="00467DB0">
        <w:tab/>
        <w:t xml:space="preserve">en permanent, </w:t>
      </w:r>
      <w:proofErr w:type="spellStart"/>
      <w:r w:rsidRPr="00467DB0">
        <w:t>gennemsigtig</w:t>
      </w:r>
      <w:proofErr w:type="spellEnd"/>
      <w:r w:rsidRPr="00467DB0">
        <w:t xml:space="preserve"> og </w:t>
      </w:r>
      <w:proofErr w:type="spellStart"/>
      <w:r w:rsidRPr="00467DB0">
        <w:t>fuldt</w:t>
      </w:r>
      <w:proofErr w:type="spellEnd"/>
      <w:r w:rsidRPr="00467DB0">
        <w:t xml:space="preserve"> forståelig </w:t>
      </w:r>
      <w:proofErr w:type="spellStart"/>
      <w:r w:rsidRPr="00467DB0">
        <w:t>overv</w:t>
      </w:r>
      <w:r w:rsidRPr="00467DB0">
        <w:t>ågningsproces</w:t>
      </w:r>
      <w:proofErr w:type="spellEnd"/>
      <w:r w:rsidRPr="00467DB0">
        <w:t xml:space="preserve"> sikrer, at </w:t>
      </w:r>
      <w:proofErr w:type="spellStart"/>
      <w:r w:rsidRPr="00467DB0">
        <w:t>sikkerhedsrisiciene</w:t>
      </w:r>
      <w:proofErr w:type="spellEnd"/>
      <w:r w:rsidRPr="00467DB0">
        <w:t xml:space="preserve"> ved den </w:t>
      </w:r>
      <w:proofErr w:type="spellStart"/>
      <w:r w:rsidRPr="00467DB0">
        <w:t>pågældende</w:t>
      </w:r>
      <w:proofErr w:type="spellEnd"/>
      <w:r w:rsidRPr="00467DB0">
        <w:t xml:space="preserve"> komponent er </w:t>
      </w:r>
      <w:proofErr w:type="spellStart"/>
      <w:r w:rsidRPr="00467DB0">
        <w:t>kendte</w:t>
      </w:r>
      <w:proofErr w:type="spellEnd"/>
      <w:r w:rsidRPr="00467DB0">
        <w:t xml:space="preserve">, at </w:t>
      </w:r>
      <w:proofErr w:type="spellStart"/>
      <w:r w:rsidRPr="00467DB0">
        <w:t>sikkerhedsforanstaltningerne</w:t>
      </w:r>
      <w:proofErr w:type="spellEnd"/>
      <w:r w:rsidRPr="00467DB0">
        <w:t xml:space="preserve"> </w:t>
      </w:r>
      <w:proofErr w:type="spellStart"/>
      <w:r w:rsidRPr="00467DB0">
        <w:t>fastlægges</w:t>
      </w:r>
      <w:proofErr w:type="spellEnd"/>
      <w:r w:rsidRPr="00467DB0">
        <w:t xml:space="preserve"> </w:t>
      </w:r>
      <w:proofErr w:type="gramStart"/>
      <w:r w:rsidRPr="00467DB0">
        <w:t>således</w:t>
      </w:r>
      <w:proofErr w:type="gramEnd"/>
      <w:r w:rsidRPr="00467DB0">
        <w:t xml:space="preserve">, at disse </w:t>
      </w:r>
      <w:proofErr w:type="spellStart"/>
      <w:r w:rsidRPr="00467DB0">
        <w:t>risici</w:t>
      </w:r>
      <w:proofErr w:type="spellEnd"/>
      <w:r w:rsidRPr="00467DB0">
        <w:t xml:space="preserve"> </w:t>
      </w:r>
      <w:proofErr w:type="spellStart"/>
      <w:r w:rsidRPr="00467DB0">
        <w:t>begrænses</w:t>
      </w:r>
      <w:proofErr w:type="spellEnd"/>
      <w:r w:rsidRPr="00467DB0">
        <w:t xml:space="preserve"> til et </w:t>
      </w:r>
      <w:proofErr w:type="spellStart"/>
      <w:r w:rsidRPr="00467DB0">
        <w:t>acceptabelt</w:t>
      </w:r>
      <w:proofErr w:type="spellEnd"/>
      <w:r w:rsidRPr="00467DB0">
        <w:t xml:space="preserve"> </w:t>
      </w:r>
      <w:proofErr w:type="spellStart"/>
      <w:r w:rsidRPr="00467DB0">
        <w:t>niveau</w:t>
      </w:r>
      <w:proofErr w:type="spellEnd"/>
      <w:r w:rsidRPr="00467DB0">
        <w:t xml:space="preserve">, i </w:t>
      </w:r>
      <w:proofErr w:type="spellStart"/>
      <w:r w:rsidRPr="00467DB0">
        <w:t>betragtning</w:t>
      </w:r>
      <w:proofErr w:type="spellEnd"/>
      <w:r w:rsidRPr="00467DB0">
        <w:t xml:space="preserve"> </w:t>
      </w:r>
      <w:proofErr w:type="spellStart"/>
      <w:r w:rsidRPr="00467DB0">
        <w:t>af</w:t>
      </w:r>
      <w:proofErr w:type="spellEnd"/>
      <w:r w:rsidRPr="00467DB0">
        <w:t xml:space="preserve"> </w:t>
      </w:r>
      <w:proofErr w:type="spellStart"/>
      <w:r w:rsidRPr="00467DB0">
        <w:t>sikkerhedsbehovene</w:t>
      </w:r>
      <w:proofErr w:type="spellEnd"/>
      <w:r w:rsidRPr="00467DB0">
        <w:t xml:space="preserve"> i Unionen og dens medlemsstate</w:t>
      </w:r>
      <w:r w:rsidRPr="00467DB0">
        <w:t xml:space="preserve">r og med </w:t>
      </w:r>
      <w:proofErr w:type="spellStart"/>
      <w:r w:rsidRPr="00467DB0">
        <w:t>henblik</w:t>
      </w:r>
      <w:proofErr w:type="spellEnd"/>
      <w:r w:rsidRPr="00467DB0">
        <w:t xml:space="preserve"> på komponentens smidige </w:t>
      </w:r>
      <w:proofErr w:type="spellStart"/>
      <w:r w:rsidRPr="00467DB0">
        <w:t>gennemførelse</w:t>
      </w:r>
      <w:proofErr w:type="spellEnd"/>
      <w:r w:rsidRPr="00467DB0">
        <w:t xml:space="preserve">, og at disse foranstaltninger anvendes i overensstemmelse med </w:t>
      </w:r>
      <w:proofErr w:type="spellStart"/>
      <w:r w:rsidRPr="00467DB0">
        <w:t>begrebet</w:t>
      </w:r>
      <w:proofErr w:type="spellEnd"/>
      <w:r w:rsidRPr="00467DB0">
        <w:t xml:space="preserve"> forsvar i dybden. Sådanne foranstaltningers effektivitet skal </w:t>
      </w:r>
      <w:proofErr w:type="spellStart"/>
      <w:r w:rsidRPr="00467DB0">
        <w:t>løbende</w:t>
      </w:r>
      <w:proofErr w:type="spellEnd"/>
      <w:r w:rsidRPr="00467DB0">
        <w:t xml:space="preserve"> evalueres. </w:t>
      </w:r>
      <w:proofErr w:type="spellStart"/>
      <w:r w:rsidRPr="00467DB0">
        <w:t>Processen</w:t>
      </w:r>
      <w:proofErr w:type="spellEnd"/>
      <w:r w:rsidRPr="00467DB0">
        <w:t xml:space="preserve"> i forbindelse med vurdering og </w:t>
      </w:r>
      <w:r w:rsidRPr="00467DB0">
        <w:lastRenderedPageBreak/>
        <w:t>forvaltn</w:t>
      </w:r>
      <w:r w:rsidRPr="00467DB0">
        <w:t xml:space="preserve">ing </w:t>
      </w:r>
      <w:proofErr w:type="spellStart"/>
      <w:r w:rsidRPr="00467DB0">
        <w:t>af</w:t>
      </w:r>
      <w:proofErr w:type="spellEnd"/>
      <w:r w:rsidRPr="00467DB0">
        <w:t xml:space="preserve"> </w:t>
      </w:r>
      <w:proofErr w:type="spellStart"/>
      <w:r w:rsidRPr="00467DB0">
        <w:t>sikkerhedsrisici</w:t>
      </w:r>
      <w:proofErr w:type="spellEnd"/>
      <w:r w:rsidRPr="00467DB0">
        <w:t xml:space="preserve"> foregår som en </w:t>
      </w:r>
      <w:proofErr w:type="spellStart"/>
      <w:r w:rsidRPr="00467DB0">
        <w:t>gentagelsesproces</w:t>
      </w:r>
      <w:proofErr w:type="spellEnd"/>
      <w:r w:rsidRPr="00467DB0">
        <w:t xml:space="preserve">, der </w:t>
      </w:r>
      <w:proofErr w:type="spellStart"/>
      <w:r w:rsidRPr="00467DB0">
        <w:t>gennemføres</w:t>
      </w:r>
      <w:proofErr w:type="spellEnd"/>
      <w:r w:rsidRPr="00467DB0">
        <w:t xml:space="preserve"> i </w:t>
      </w:r>
      <w:proofErr w:type="spellStart"/>
      <w:r w:rsidRPr="00467DB0">
        <w:t>fællesskab</w:t>
      </w:r>
      <w:proofErr w:type="spellEnd"/>
      <w:r w:rsidRPr="00467DB0">
        <w:t xml:space="preserve"> </w:t>
      </w:r>
      <w:proofErr w:type="spellStart"/>
      <w:r w:rsidRPr="00467DB0">
        <w:t>af</w:t>
      </w:r>
      <w:proofErr w:type="spellEnd"/>
      <w:r w:rsidRPr="00467DB0">
        <w:t xml:space="preserve"> den </w:t>
      </w:r>
      <w:proofErr w:type="spellStart"/>
      <w:r w:rsidRPr="00467DB0">
        <w:t>pågældende</w:t>
      </w:r>
      <w:proofErr w:type="spellEnd"/>
      <w:r w:rsidRPr="00467DB0">
        <w:t xml:space="preserve"> komponents interesserenter</w:t>
      </w:r>
    </w:p>
    <w:p w14:paraId="5D7CEB8A" w14:textId="77777777" w:rsidR="00000000" w:rsidRPr="00467DB0" w:rsidRDefault="00693D67" w:rsidP="00467DB0">
      <w:pPr>
        <w:pStyle w:val="friliste"/>
      </w:pPr>
      <w:r w:rsidRPr="00467DB0">
        <w:t>i)</w:t>
      </w:r>
      <w:r w:rsidRPr="00467DB0">
        <w:tab/>
        <w:t xml:space="preserve">Komitéen for </w:t>
      </w:r>
      <w:proofErr w:type="spellStart"/>
      <w:r w:rsidRPr="00467DB0">
        <w:t>Sikkerhedsgodkendelse</w:t>
      </w:r>
      <w:proofErr w:type="spellEnd"/>
      <w:r w:rsidRPr="00467DB0">
        <w:t xml:space="preserve"> </w:t>
      </w:r>
      <w:proofErr w:type="spellStart"/>
      <w:r w:rsidRPr="00467DB0">
        <w:t>træffer</w:t>
      </w:r>
      <w:proofErr w:type="spellEnd"/>
      <w:r w:rsidRPr="00467DB0">
        <w:t xml:space="preserve"> beslutninger i </w:t>
      </w:r>
      <w:proofErr w:type="spellStart"/>
      <w:r w:rsidRPr="00467DB0">
        <w:t>fuldstændig</w:t>
      </w:r>
      <w:proofErr w:type="spellEnd"/>
      <w:r w:rsidRPr="00467DB0">
        <w:t xml:space="preserve"> </w:t>
      </w:r>
      <w:proofErr w:type="spellStart"/>
      <w:r w:rsidRPr="00467DB0">
        <w:t>uafhængighed</w:t>
      </w:r>
      <w:proofErr w:type="spellEnd"/>
      <w:r w:rsidRPr="00467DB0">
        <w:t xml:space="preserve">, herunder i forhold til </w:t>
      </w:r>
      <w:proofErr w:type="spellStart"/>
      <w:r w:rsidRPr="00467DB0">
        <w:t>Kommissionen</w:t>
      </w:r>
      <w:proofErr w:type="spellEnd"/>
      <w:r w:rsidRPr="00467DB0">
        <w:t xml:space="preserve"> o</w:t>
      </w:r>
      <w:r w:rsidRPr="00467DB0">
        <w:t xml:space="preserve">g de andre organer, der er ansvarlige for </w:t>
      </w:r>
      <w:proofErr w:type="spellStart"/>
      <w:r w:rsidRPr="00467DB0">
        <w:t>gennemførelsen</w:t>
      </w:r>
      <w:proofErr w:type="spellEnd"/>
      <w:r w:rsidRPr="00467DB0">
        <w:t xml:space="preserve"> </w:t>
      </w:r>
      <w:proofErr w:type="spellStart"/>
      <w:r w:rsidRPr="00467DB0">
        <w:t>af</w:t>
      </w:r>
      <w:proofErr w:type="spellEnd"/>
      <w:r w:rsidRPr="00467DB0">
        <w:t xml:space="preserve"> den </w:t>
      </w:r>
      <w:proofErr w:type="spellStart"/>
      <w:r w:rsidRPr="00467DB0">
        <w:t>pågældende</w:t>
      </w:r>
      <w:proofErr w:type="spellEnd"/>
      <w:r w:rsidRPr="00467DB0">
        <w:t xml:space="preserve"> komponent og for leveringen </w:t>
      </w:r>
      <w:proofErr w:type="spellStart"/>
      <w:r w:rsidRPr="00467DB0">
        <w:t>af</w:t>
      </w:r>
      <w:proofErr w:type="spellEnd"/>
      <w:r w:rsidRPr="00467DB0">
        <w:t xml:space="preserve"> </w:t>
      </w:r>
      <w:proofErr w:type="spellStart"/>
      <w:r w:rsidRPr="00467DB0">
        <w:t>relaterede</w:t>
      </w:r>
      <w:proofErr w:type="spellEnd"/>
      <w:r w:rsidRPr="00467DB0">
        <w:t xml:space="preserve"> tjenester, og i forhold til den administrerende direktør og agenturets bestyrelse</w:t>
      </w:r>
    </w:p>
    <w:p w14:paraId="1C650026" w14:textId="77777777" w:rsidR="00000000" w:rsidRPr="00467DB0" w:rsidRDefault="00693D67" w:rsidP="00467DB0">
      <w:pPr>
        <w:pStyle w:val="friliste"/>
      </w:pPr>
      <w:r w:rsidRPr="00467DB0">
        <w:t>j)</w:t>
      </w:r>
      <w:r w:rsidRPr="00467DB0">
        <w:tab/>
      </w:r>
      <w:proofErr w:type="spellStart"/>
      <w:r w:rsidRPr="00467DB0">
        <w:t>sikkerhedsgodkendelsesaktiviteterne</w:t>
      </w:r>
      <w:proofErr w:type="spellEnd"/>
      <w:r w:rsidRPr="00467DB0">
        <w:t xml:space="preserve"> </w:t>
      </w:r>
      <w:proofErr w:type="spellStart"/>
      <w:r w:rsidRPr="00467DB0">
        <w:t>udføres</w:t>
      </w:r>
      <w:proofErr w:type="spellEnd"/>
      <w:r w:rsidRPr="00467DB0">
        <w:t xml:space="preserve"> under behø</w:t>
      </w:r>
      <w:r w:rsidRPr="00467DB0">
        <w:t xml:space="preserve">rig hensyntagen til </w:t>
      </w:r>
      <w:proofErr w:type="spellStart"/>
      <w:r w:rsidRPr="00467DB0">
        <w:t>nødvendigheden</w:t>
      </w:r>
      <w:proofErr w:type="spellEnd"/>
      <w:r w:rsidRPr="00467DB0">
        <w:t xml:space="preserve"> </w:t>
      </w:r>
      <w:proofErr w:type="spellStart"/>
      <w:r w:rsidRPr="00467DB0">
        <w:t>af</w:t>
      </w:r>
      <w:proofErr w:type="spellEnd"/>
      <w:r w:rsidRPr="00467DB0">
        <w:t xml:space="preserve"> en passende koordinering </w:t>
      </w:r>
      <w:proofErr w:type="spellStart"/>
      <w:r w:rsidRPr="00467DB0">
        <w:t>mellem</w:t>
      </w:r>
      <w:proofErr w:type="spellEnd"/>
      <w:r w:rsidRPr="00467DB0">
        <w:t xml:space="preserve"> </w:t>
      </w:r>
      <w:proofErr w:type="spellStart"/>
      <w:r w:rsidRPr="00467DB0">
        <w:t>Kommissionen</w:t>
      </w:r>
      <w:proofErr w:type="spellEnd"/>
      <w:r w:rsidRPr="00467DB0">
        <w:t xml:space="preserve"> og de </w:t>
      </w:r>
      <w:proofErr w:type="spellStart"/>
      <w:r w:rsidRPr="00467DB0">
        <w:t>myndigheder</w:t>
      </w:r>
      <w:proofErr w:type="spellEnd"/>
      <w:r w:rsidRPr="00467DB0">
        <w:t xml:space="preserve">, der er ansvarlige for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sikkerhedsbestemmelserne</w:t>
      </w:r>
      <w:proofErr w:type="spellEnd"/>
    </w:p>
    <w:p w14:paraId="69C384AC" w14:textId="77777777" w:rsidR="00000000" w:rsidRPr="00467DB0" w:rsidRDefault="00693D67" w:rsidP="00467DB0">
      <w:pPr>
        <w:pStyle w:val="friliste"/>
      </w:pPr>
      <w:r w:rsidRPr="00467DB0">
        <w:t>k)</w:t>
      </w:r>
      <w:r w:rsidRPr="00467DB0">
        <w:tab/>
      </w:r>
      <w:proofErr w:type="spellStart"/>
      <w:r w:rsidRPr="00467DB0">
        <w:t>sikkerhedsgodkendelsen</w:t>
      </w:r>
      <w:proofErr w:type="spellEnd"/>
      <w:r w:rsidRPr="00467DB0">
        <w:t xml:space="preserve"> for EGNOS, som foretages </w:t>
      </w:r>
      <w:proofErr w:type="spellStart"/>
      <w:r w:rsidRPr="00467DB0">
        <w:t>af</w:t>
      </w:r>
      <w:proofErr w:type="spellEnd"/>
      <w:r w:rsidRPr="00467DB0">
        <w:t xml:space="preserve"> Komitéen for </w:t>
      </w:r>
      <w:proofErr w:type="spellStart"/>
      <w:r w:rsidRPr="00467DB0">
        <w:t>Sikkerhedsgodkendelse</w:t>
      </w:r>
      <w:proofErr w:type="spellEnd"/>
      <w:r w:rsidRPr="00467DB0">
        <w:t>,</w:t>
      </w:r>
      <w:r w:rsidRPr="00467DB0">
        <w:t xml:space="preserve"> må ikke berøre de </w:t>
      </w:r>
      <w:proofErr w:type="spellStart"/>
      <w:r w:rsidRPr="00467DB0">
        <w:t>godkendelsesaktiviteter</w:t>
      </w:r>
      <w:proofErr w:type="spellEnd"/>
      <w:r w:rsidRPr="00467DB0">
        <w:t xml:space="preserve"> </w:t>
      </w:r>
      <w:proofErr w:type="spellStart"/>
      <w:r w:rsidRPr="00467DB0">
        <w:t>inden</w:t>
      </w:r>
      <w:proofErr w:type="spellEnd"/>
      <w:r w:rsidRPr="00467DB0">
        <w:t xml:space="preserve"> for luftfart, der foretages </w:t>
      </w:r>
      <w:proofErr w:type="spellStart"/>
      <w:r w:rsidRPr="00467DB0">
        <w:t>af</w:t>
      </w:r>
      <w:proofErr w:type="spellEnd"/>
      <w:r w:rsidRPr="00467DB0">
        <w:t xml:space="preserve"> Det </w:t>
      </w:r>
      <w:proofErr w:type="spellStart"/>
      <w:r w:rsidRPr="00467DB0">
        <w:t>Europæiske</w:t>
      </w:r>
      <w:proofErr w:type="spellEnd"/>
      <w:r w:rsidRPr="00467DB0">
        <w:t xml:space="preserve"> </w:t>
      </w:r>
      <w:proofErr w:type="spellStart"/>
      <w:r w:rsidRPr="00467DB0">
        <w:t>Luftfartssikkerhedsagentur</w:t>
      </w:r>
      <w:proofErr w:type="spellEnd"/>
      <w:r w:rsidRPr="00467DB0">
        <w:t>.</w:t>
      </w:r>
    </w:p>
    <w:p w14:paraId="0CC5B6A5" w14:textId="77777777" w:rsidR="00000000" w:rsidRPr="00467DB0" w:rsidRDefault="00693D67" w:rsidP="00467DB0">
      <w:pPr>
        <w:pStyle w:val="avsnitt-undertittel"/>
      </w:pPr>
      <w:proofErr w:type="spellStart"/>
      <w:r w:rsidRPr="00467DB0">
        <w:t>Artikel</w:t>
      </w:r>
      <w:proofErr w:type="spellEnd"/>
      <w:r w:rsidRPr="00467DB0">
        <w:t> 38</w:t>
      </w:r>
    </w:p>
    <w:p w14:paraId="17FC8A99" w14:textId="77777777" w:rsidR="00000000" w:rsidRPr="00467DB0" w:rsidRDefault="00693D67" w:rsidP="00467DB0">
      <w:pPr>
        <w:pStyle w:val="Undertittel"/>
      </w:pPr>
      <w:proofErr w:type="spellStart"/>
      <w:r w:rsidRPr="00467DB0">
        <w:t>Opgaver</w:t>
      </w:r>
      <w:proofErr w:type="spellEnd"/>
      <w:r w:rsidRPr="00467DB0">
        <w:t xml:space="preserve">, der </w:t>
      </w:r>
      <w:proofErr w:type="spellStart"/>
      <w:r w:rsidRPr="00467DB0">
        <w:t>udføres</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p>
    <w:p w14:paraId="4E5DBAF7" w14:textId="77777777" w:rsidR="00000000" w:rsidRPr="00467DB0" w:rsidRDefault="00693D67" w:rsidP="00467DB0">
      <w:pPr>
        <w:pStyle w:val="friliste"/>
      </w:pPr>
      <w:r w:rsidRPr="00467DB0">
        <w:t>1.</w:t>
      </w:r>
      <w:r w:rsidRPr="00467DB0">
        <w:tab/>
        <w:t xml:space="preserve">Komitéen for </w:t>
      </w:r>
      <w:proofErr w:type="spellStart"/>
      <w:r w:rsidRPr="00467DB0">
        <w:t>Sikkerhedsgodkendelse</w:t>
      </w:r>
      <w:proofErr w:type="spellEnd"/>
      <w:r w:rsidRPr="00467DB0">
        <w:t xml:space="preserve"> </w:t>
      </w:r>
      <w:proofErr w:type="spellStart"/>
      <w:r w:rsidRPr="00467DB0">
        <w:t>udfører</w:t>
      </w:r>
      <w:proofErr w:type="spellEnd"/>
      <w:r w:rsidRPr="00467DB0">
        <w:t xml:space="preserve"> sine </w:t>
      </w:r>
      <w:proofErr w:type="spellStart"/>
      <w:r w:rsidRPr="00467DB0">
        <w:t>opgaver</w:t>
      </w:r>
      <w:proofErr w:type="spellEnd"/>
      <w:r w:rsidRPr="00467DB0">
        <w:t xml:space="preserve">, </w:t>
      </w:r>
      <w:proofErr w:type="spellStart"/>
      <w:r w:rsidRPr="00467DB0">
        <w:t>ude</w:t>
      </w:r>
      <w:r w:rsidRPr="00467DB0">
        <w:t>n</w:t>
      </w:r>
      <w:proofErr w:type="spellEnd"/>
      <w:r w:rsidRPr="00467DB0">
        <w:t xml:space="preserve"> at dette </w:t>
      </w:r>
      <w:proofErr w:type="spellStart"/>
      <w:r w:rsidRPr="00467DB0">
        <w:t>griber</w:t>
      </w:r>
      <w:proofErr w:type="spellEnd"/>
      <w:r w:rsidRPr="00467DB0">
        <w:t xml:space="preserve"> </w:t>
      </w:r>
      <w:proofErr w:type="spellStart"/>
      <w:r w:rsidRPr="00467DB0">
        <w:t>ind</w:t>
      </w:r>
      <w:proofErr w:type="spellEnd"/>
      <w:r w:rsidRPr="00467DB0">
        <w:t xml:space="preserve"> i </w:t>
      </w:r>
      <w:proofErr w:type="spellStart"/>
      <w:r w:rsidRPr="00467DB0">
        <w:t>Kommissionens</w:t>
      </w:r>
      <w:proofErr w:type="spellEnd"/>
      <w:r w:rsidRPr="00467DB0">
        <w:t xml:space="preserve"> ansvarsområder eller de ansvarsområder, som agenturets andre organer har </w:t>
      </w:r>
      <w:proofErr w:type="spellStart"/>
      <w:r w:rsidRPr="00467DB0">
        <w:t>fået</w:t>
      </w:r>
      <w:proofErr w:type="spellEnd"/>
      <w:r w:rsidRPr="00467DB0">
        <w:t xml:space="preserve"> overdraget, navnlig på </w:t>
      </w:r>
      <w:proofErr w:type="spellStart"/>
      <w:r w:rsidRPr="00467DB0">
        <w:t>sikkerhedsområdet</w:t>
      </w:r>
      <w:proofErr w:type="spellEnd"/>
      <w:r w:rsidRPr="00467DB0">
        <w:t xml:space="preserve">, og </w:t>
      </w:r>
      <w:proofErr w:type="spellStart"/>
      <w:r w:rsidRPr="00467DB0">
        <w:t>uden</w:t>
      </w:r>
      <w:proofErr w:type="spellEnd"/>
      <w:r w:rsidRPr="00467DB0">
        <w:t xml:space="preserve"> at dette </w:t>
      </w:r>
      <w:proofErr w:type="spellStart"/>
      <w:r w:rsidRPr="00467DB0">
        <w:t>griber</w:t>
      </w:r>
      <w:proofErr w:type="spellEnd"/>
      <w:r w:rsidRPr="00467DB0">
        <w:t xml:space="preserve"> </w:t>
      </w:r>
      <w:proofErr w:type="spellStart"/>
      <w:r w:rsidRPr="00467DB0">
        <w:t>ind</w:t>
      </w:r>
      <w:proofErr w:type="spellEnd"/>
      <w:r w:rsidRPr="00467DB0">
        <w:t xml:space="preserve"> i </w:t>
      </w:r>
      <w:proofErr w:type="spellStart"/>
      <w:r w:rsidRPr="00467DB0">
        <w:t>medlemsstaternes</w:t>
      </w:r>
      <w:proofErr w:type="spellEnd"/>
      <w:r w:rsidRPr="00467DB0">
        <w:t xml:space="preserve"> </w:t>
      </w:r>
      <w:proofErr w:type="spellStart"/>
      <w:r w:rsidRPr="00467DB0">
        <w:t>kompetencer</w:t>
      </w:r>
      <w:proofErr w:type="spellEnd"/>
      <w:r w:rsidRPr="00467DB0">
        <w:t xml:space="preserve"> for så vidt angår </w:t>
      </w:r>
      <w:proofErr w:type="spellStart"/>
      <w:r w:rsidRPr="00467DB0">
        <w:t>sikkerhedsgodkendelse</w:t>
      </w:r>
      <w:proofErr w:type="spellEnd"/>
      <w:r w:rsidRPr="00467DB0">
        <w:t>.</w:t>
      </w:r>
    </w:p>
    <w:p w14:paraId="7CDA7616" w14:textId="77777777" w:rsidR="00000000" w:rsidRPr="00467DB0" w:rsidRDefault="00693D67" w:rsidP="00467DB0">
      <w:pPr>
        <w:pStyle w:val="friliste"/>
      </w:pPr>
      <w:r w:rsidRPr="00467DB0">
        <w:t>2.</w:t>
      </w:r>
      <w:r w:rsidRPr="00467DB0">
        <w:tab/>
        <w:t xml:space="preserve">Komitéen for </w:t>
      </w:r>
      <w:proofErr w:type="spellStart"/>
      <w:r w:rsidRPr="00467DB0">
        <w:t>Sikkerhedsgodkendelse</w:t>
      </w:r>
      <w:proofErr w:type="spellEnd"/>
      <w:r w:rsidRPr="00467DB0">
        <w:t xml:space="preserve"> har følgende </w:t>
      </w:r>
      <w:proofErr w:type="spellStart"/>
      <w:r w:rsidRPr="00467DB0">
        <w:t>opgaver</w:t>
      </w:r>
      <w:proofErr w:type="spellEnd"/>
      <w:r w:rsidRPr="00467DB0">
        <w:t>:</w:t>
      </w:r>
    </w:p>
    <w:p w14:paraId="63F11A75" w14:textId="77777777" w:rsidR="00000000" w:rsidRPr="00467DB0" w:rsidRDefault="00693D67" w:rsidP="00467DB0">
      <w:pPr>
        <w:pStyle w:val="friliste2"/>
      </w:pPr>
      <w:r w:rsidRPr="00467DB0">
        <w:t>a)</w:t>
      </w:r>
      <w:r w:rsidRPr="00467DB0">
        <w:tab/>
        <w:t xml:space="preserve">at </w:t>
      </w:r>
      <w:proofErr w:type="spellStart"/>
      <w:r w:rsidRPr="00467DB0">
        <w:t>fastlægge</w:t>
      </w:r>
      <w:proofErr w:type="spellEnd"/>
      <w:r w:rsidRPr="00467DB0">
        <w:t xml:space="preserve"> og </w:t>
      </w:r>
      <w:proofErr w:type="spellStart"/>
      <w:r w:rsidRPr="00467DB0">
        <w:t>godkende</w:t>
      </w:r>
      <w:proofErr w:type="spellEnd"/>
      <w:r w:rsidRPr="00467DB0">
        <w:t xml:space="preserve"> en </w:t>
      </w:r>
      <w:proofErr w:type="spellStart"/>
      <w:r w:rsidRPr="00467DB0">
        <w:t>sikkerhedsgodkendelsesstrategi</w:t>
      </w:r>
      <w:proofErr w:type="spellEnd"/>
      <w:r w:rsidRPr="00467DB0">
        <w:t>, der angiver:</w:t>
      </w:r>
    </w:p>
    <w:p w14:paraId="3390ED12" w14:textId="77777777" w:rsidR="00000000" w:rsidRPr="00467DB0" w:rsidRDefault="00693D67" w:rsidP="00467DB0">
      <w:pPr>
        <w:pStyle w:val="friliste3"/>
      </w:pPr>
      <w:r w:rsidRPr="00467DB0">
        <w:t>i)</w:t>
      </w:r>
      <w:r w:rsidRPr="00467DB0">
        <w:tab/>
        <w:t xml:space="preserve">omfanget </w:t>
      </w:r>
      <w:proofErr w:type="spellStart"/>
      <w:r w:rsidRPr="00467DB0">
        <w:t>af</w:t>
      </w:r>
      <w:proofErr w:type="spellEnd"/>
      <w:r w:rsidRPr="00467DB0">
        <w:t xml:space="preserve"> de aktiviteter, der er nød</w:t>
      </w:r>
      <w:r w:rsidRPr="00467DB0">
        <w:t xml:space="preserve">vendige for at </w:t>
      </w:r>
      <w:proofErr w:type="spellStart"/>
      <w:r w:rsidRPr="00467DB0">
        <w:t>foretage</w:t>
      </w:r>
      <w:proofErr w:type="spellEnd"/>
      <w:r w:rsidRPr="00467DB0">
        <w:t xml:space="preserve"> og </w:t>
      </w:r>
      <w:proofErr w:type="spellStart"/>
      <w:r w:rsidRPr="00467DB0">
        <w:t>opretholde</w:t>
      </w:r>
      <w:proofErr w:type="spellEnd"/>
      <w:r w:rsidRPr="00467DB0">
        <w:t xml:space="preserve"> </w:t>
      </w:r>
      <w:proofErr w:type="spellStart"/>
      <w:r w:rsidRPr="00467DB0">
        <w:t>godkendelsen</w:t>
      </w:r>
      <w:proofErr w:type="spellEnd"/>
      <w:r w:rsidRPr="00467DB0">
        <w:t xml:space="preserve"> </w:t>
      </w:r>
      <w:proofErr w:type="spellStart"/>
      <w:r w:rsidRPr="00467DB0">
        <w:t>af</w:t>
      </w:r>
      <w:proofErr w:type="spellEnd"/>
      <w:r w:rsidRPr="00467DB0">
        <w:t xml:space="preserve"> programmets komponenter eller dele </w:t>
      </w:r>
      <w:proofErr w:type="spellStart"/>
      <w:r w:rsidRPr="00467DB0">
        <w:t>af</w:t>
      </w:r>
      <w:proofErr w:type="spellEnd"/>
      <w:r w:rsidRPr="00467DB0">
        <w:t xml:space="preserve"> disse komponenter og eventuelle sammenkoblinger </w:t>
      </w:r>
      <w:proofErr w:type="spellStart"/>
      <w:r w:rsidRPr="00467DB0">
        <w:t>mellem</w:t>
      </w:r>
      <w:proofErr w:type="spellEnd"/>
      <w:r w:rsidRPr="00467DB0">
        <w:t xml:space="preserve"> disse og andre systemer eller komponenter</w:t>
      </w:r>
    </w:p>
    <w:p w14:paraId="59E39AF6" w14:textId="77777777" w:rsidR="00000000" w:rsidRPr="00467DB0" w:rsidRDefault="00693D67" w:rsidP="00467DB0">
      <w:pPr>
        <w:pStyle w:val="friliste3"/>
      </w:pPr>
      <w:r w:rsidRPr="00467DB0">
        <w:t>ii)</w:t>
      </w:r>
      <w:r w:rsidRPr="00467DB0">
        <w:tab/>
        <w:t xml:space="preserve">en </w:t>
      </w:r>
      <w:proofErr w:type="spellStart"/>
      <w:r w:rsidRPr="00467DB0">
        <w:t>sikkerhedsgodkendelsesproces</w:t>
      </w:r>
      <w:proofErr w:type="spellEnd"/>
      <w:r w:rsidRPr="00467DB0">
        <w:t xml:space="preserve"> for programmets komponenter ell</w:t>
      </w:r>
      <w:r w:rsidRPr="00467DB0">
        <w:t xml:space="preserve">er dele </w:t>
      </w:r>
      <w:proofErr w:type="spellStart"/>
      <w:r w:rsidRPr="00467DB0">
        <w:t>af</w:t>
      </w:r>
      <w:proofErr w:type="spellEnd"/>
      <w:r w:rsidRPr="00467DB0">
        <w:t xml:space="preserve"> disse komponenter med en detaljeringsgrad, der svarer til det </w:t>
      </w:r>
      <w:proofErr w:type="spellStart"/>
      <w:r w:rsidRPr="00467DB0">
        <w:t>krævede</w:t>
      </w:r>
      <w:proofErr w:type="spellEnd"/>
      <w:r w:rsidRPr="00467DB0">
        <w:t xml:space="preserve"> </w:t>
      </w:r>
      <w:proofErr w:type="spellStart"/>
      <w:r w:rsidRPr="00467DB0">
        <w:t>sikringsniveau</w:t>
      </w:r>
      <w:proofErr w:type="spellEnd"/>
      <w:r w:rsidRPr="00467DB0">
        <w:t xml:space="preserve">, og som klart angiver </w:t>
      </w:r>
      <w:proofErr w:type="spellStart"/>
      <w:r w:rsidRPr="00467DB0">
        <w:t>betingelserne</w:t>
      </w:r>
      <w:proofErr w:type="spellEnd"/>
      <w:r w:rsidRPr="00467DB0">
        <w:t xml:space="preserve"> for </w:t>
      </w:r>
      <w:proofErr w:type="spellStart"/>
      <w:r w:rsidRPr="00467DB0">
        <w:t>godkendelse</w:t>
      </w:r>
      <w:proofErr w:type="spellEnd"/>
    </w:p>
    <w:p w14:paraId="0BBCBDE4" w14:textId="77777777" w:rsidR="00000000" w:rsidRPr="00467DB0" w:rsidRDefault="00693D67" w:rsidP="00467DB0">
      <w:pPr>
        <w:pStyle w:val="friliste3"/>
      </w:pPr>
      <w:r w:rsidRPr="00467DB0">
        <w:t>iii)</w:t>
      </w:r>
      <w:r w:rsidRPr="00467DB0">
        <w:tab/>
        <w:t xml:space="preserve">den rolle, som de relevante interessenter, der er </w:t>
      </w:r>
      <w:proofErr w:type="spellStart"/>
      <w:r w:rsidRPr="00467DB0">
        <w:t>involveret</w:t>
      </w:r>
      <w:proofErr w:type="spellEnd"/>
      <w:r w:rsidRPr="00467DB0">
        <w:t xml:space="preserve"> i </w:t>
      </w:r>
      <w:proofErr w:type="spellStart"/>
      <w:r w:rsidRPr="00467DB0">
        <w:t>godkendelsesprocessen</w:t>
      </w:r>
      <w:proofErr w:type="spellEnd"/>
      <w:r w:rsidRPr="00467DB0">
        <w:t>, skal spille</w:t>
      </w:r>
    </w:p>
    <w:p w14:paraId="62CD843B" w14:textId="77777777" w:rsidR="00000000" w:rsidRPr="00467DB0" w:rsidRDefault="00693D67" w:rsidP="00467DB0">
      <w:pPr>
        <w:pStyle w:val="friliste3"/>
      </w:pPr>
      <w:r w:rsidRPr="00467DB0">
        <w:t>iv)</w:t>
      </w:r>
      <w:r w:rsidRPr="00467DB0">
        <w:tab/>
        <w:t>e</w:t>
      </w:r>
      <w:r w:rsidRPr="00467DB0">
        <w:t xml:space="preserve">n tidsplan for </w:t>
      </w:r>
      <w:proofErr w:type="spellStart"/>
      <w:r w:rsidRPr="00467DB0">
        <w:t>godkendelse</w:t>
      </w:r>
      <w:proofErr w:type="spellEnd"/>
      <w:r w:rsidRPr="00467DB0">
        <w:t xml:space="preserve">, der er i overensstemmelse med </w:t>
      </w:r>
      <w:proofErr w:type="spellStart"/>
      <w:r w:rsidRPr="00467DB0">
        <w:t>faserne</w:t>
      </w:r>
      <w:proofErr w:type="spellEnd"/>
      <w:r w:rsidRPr="00467DB0">
        <w:t xml:space="preserve"> for programmets komponenter, navnlig med hensyn til etablering og </w:t>
      </w:r>
      <w:proofErr w:type="spellStart"/>
      <w:r w:rsidRPr="00467DB0">
        <w:t>ibrugtagning</w:t>
      </w:r>
      <w:proofErr w:type="spellEnd"/>
      <w:r w:rsidRPr="00467DB0">
        <w:t xml:space="preserve"> </w:t>
      </w:r>
      <w:proofErr w:type="spellStart"/>
      <w:r w:rsidRPr="00467DB0">
        <w:t>af</w:t>
      </w:r>
      <w:proofErr w:type="spellEnd"/>
      <w:r w:rsidRPr="00467DB0">
        <w:t xml:space="preserve"> infrastruktur, levering </w:t>
      </w:r>
      <w:proofErr w:type="spellStart"/>
      <w:r w:rsidRPr="00467DB0">
        <w:t>af</w:t>
      </w:r>
      <w:proofErr w:type="spellEnd"/>
      <w:r w:rsidRPr="00467DB0">
        <w:t xml:space="preserve"> tjenester og </w:t>
      </w:r>
      <w:proofErr w:type="spellStart"/>
      <w:r w:rsidRPr="00467DB0">
        <w:t>udvikling</w:t>
      </w:r>
      <w:proofErr w:type="spellEnd"/>
    </w:p>
    <w:p w14:paraId="0156B250" w14:textId="77777777" w:rsidR="00000000" w:rsidRPr="00467DB0" w:rsidRDefault="00693D67" w:rsidP="00467DB0">
      <w:pPr>
        <w:pStyle w:val="friliste3"/>
      </w:pPr>
      <w:r w:rsidRPr="00467DB0">
        <w:t>v)</w:t>
      </w:r>
      <w:r w:rsidRPr="00467DB0">
        <w:tab/>
      </w:r>
      <w:proofErr w:type="spellStart"/>
      <w:r w:rsidRPr="00467DB0">
        <w:t>principperne</w:t>
      </w:r>
      <w:proofErr w:type="spellEnd"/>
      <w:r w:rsidRPr="00467DB0">
        <w:t xml:space="preserve"> for den </w:t>
      </w:r>
      <w:proofErr w:type="spellStart"/>
      <w:r w:rsidRPr="00467DB0">
        <w:t>sikkerhedsgodkendelse</w:t>
      </w:r>
      <w:proofErr w:type="spellEnd"/>
      <w:r w:rsidRPr="00467DB0">
        <w:t xml:space="preserve"> </w:t>
      </w:r>
      <w:proofErr w:type="spellStart"/>
      <w:r w:rsidRPr="00467DB0">
        <w:t>af</w:t>
      </w:r>
      <w:proofErr w:type="spellEnd"/>
      <w:r w:rsidRPr="00467DB0">
        <w:t xml:space="preserve"> </w:t>
      </w:r>
      <w:proofErr w:type="spellStart"/>
      <w:r w:rsidRPr="00467DB0">
        <w:t>net</w:t>
      </w:r>
      <w:proofErr w:type="spellEnd"/>
      <w:r w:rsidRPr="00467DB0">
        <w:t xml:space="preserve"> forbu</w:t>
      </w:r>
      <w:r w:rsidRPr="00467DB0">
        <w:t xml:space="preserve">ndet til </w:t>
      </w:r>
      <w:proofErr w:type="spellStart"/>
      <w:r w:rsidRPr="00467DB0">
        <w:t>systemerne</w:t>
      </w:r>
      <w:proofErr w:type="spellEnd"/>
      <w:r w:rsidRPr="00467DB0">
        <w:t xml:space="preserve">, som er </w:t>
      </w:r>
      <w:proofErr w:type="spellStart"/>
      <w:r w:rsidRPr="00467DB0">
        <w:t>etableret</w:t>
      </w:r>
      <w:proofErr w:type="spellEnd"/>
      <w:r w:rsidRPr="00467DB0">
        <w:t xml:space="preserve"> under programmets komponenter, eller </w:t>
      </w:r>
      <w:proofErr w:type="spellStart"/>
      <w:r w:rsidRPr="00467DB0">
        <w:t>af</w:t>
      </w:r>
      <w:proofErr w:type="spellEnd"/>
      <w:r w:rsidRPr="00467DB0">
        <w:t xml:space="preserve"> dele </w:t>
      </w:r>
      <w:proofErr w:type="spellStart"/>
      <w:r w:rsidRPr="00467DB0">
        <w:t>af</w:t>
      </w:r>
      <w:proofErr w:type="spellEnd"/>
      <w:r w:rsidRPr="00467DB0">
        <w:t xml:space="preserve"> disse komponenter og </w:t>
      </w:r>
      <w:proofErr w:type="spellStart"/>
      <w:r w:rsidRPr="00467DB0">
        <w:t>af</w:t>
      </w:r>
      <w:proofErr w:type="spellEnd"/>
      <w:r w:rsidRPr="00467DB0">
        <w:t xml:space="preserve"> </w:t>
      </w:r>
      <w:proofErr w:type="spellStart"/>
      <w:r w:rsidRPr="00467DB0">
        <w:t>udstyr</w:t>
      </w:r>
      <w:proofErr w:type="spellEnd"/>
      <w:r w:rsidRPr="00467DB0">
        <w:t xml:space="preserve"> forbundet til systemer </w:t>
      </w:r>
      <w:proofErr w:type="spellStart"/>
      <w:r w:rsidRPr="00467DB0">
        <w:t>etableret</w:t>
      </w:r>
      <w:proofErr w:type="spellEnd"/>
      <w:r w:rsidRPr="00467DB0">
        <w:t xml:space="preserve"> </w:t>
      </w:r>
      <w:proofErr w:type="spellStart"/>
      <w:r w:rsidRPr="00467DB0">
        <w:t>af</w:t>
      </w:r>
      <w:proofErr w:type="spellEnd"/>
      <w:r w:rsidRPr="00467DB0">
        <w:t xml:space="preserve"> disse komponenter, og som skal foretages </w:t>
      </w:r>
      <w:proofErr w:type="spellStart"/>
      <w:r w:rsidRPr="00467DB0">
        <w:t>af</w:t>
      </w:r>
      <w:proofErr w:type="spellEnd"/>
      <w:r w:rsidRPr="00467DB0">
        <w:t xml:space="preserve"> de </w:t>
      </w:r>
      <w:proofErr w:type="spellStart"/>
      <w:r w:rsidRPr="00467DB0">
        <w:t>nationale</w:t>
      </w:r>
      <w:proofErr w:type="spellEnd"/>
      <w:r w:rsidRPr="00467DB0">
        <w:t xml:space="preserve"> </w:t>
      </w:r>
      <w:proofErr w:type="spellStart"/>
      <w:r w:rsidRPr="00467DB0">
        <w:t>enheder</w:t>
      </w:r>
      <w:proofErr w:type="spellEnd"/>
      <w:r w:rsidRPr="00467DB0">
        <w:t xml:space="preserve"> i </w:t>
      </w:r>
      <w:proofErr w:type="spellStart"/>
      <w:r w:rsidRPr="00467DB0">
        <w:t>medlemsstaterne</w:t>
      </w:r>
      <w:proofErr w:type="spellEnd"/>
      <w:r w:rsidRPr="00467DB0">
        <w:t xml:space="preserve">, der har </w:t>
      </w:r>
      <w:proofErr w:type="spellStart"/>
      <w:r w:rsidRPr="00467DB0">
        <w:t>kompetence</w:t>
      </w:r>
      <w:proofErr w:type="spellEnd"/>
      <w:r w:rsidRPr="00467DB0">
        <w:t xml:space="preserve"> </w:t>
      </w:r>
      <w:r w:rsidRPr="00467DB0">
        <w:t xml:space="preserve">på </w:t>
      </w:r>
      <w:proofErr w:type="spellStart"/>
      <w:r w:rsidRPr="00467DB0">
        <w:t>sikkerhedsområdet</w:t>
      </w:r>
      <w:proofErr w:type="spellEnd"/>
    </w:p>
    <w:p w14:paraId="76036999" w14:textId="77777777" w:rsidR="00000000" w:rsidRPr="00467DB0" w:rsidRDefault="00693D67" w:rsidP="00467DB0">
      <w:pPr>
        <w:pStyle w:val="friliste2"/>
      </w:pPr>
      <w:r w:rsidRPr="00467DB0">
        <w:t>b)</w:t>
      </w:r>
      <w:r w:rsidRPr="00467DB0">
        <w:tab/>
        <w:t xml:space="preserve">at </w:t>
      </w:r>
      <w:proofErr w:type="spellStart"/>
      <w:r w:rsidRPr="00467DB0">
        <w:t>træffe</w:t>
      </w:r>
      <w:proofErr w:type="spellEnd"/>
      <w:r w:rsidRPr="00467DB0">
        <w:t xml:space="preserve"> beslutninger om </w:t>
      </w:r>
      <w:proofErr w:type="spellStart"/>
      <w:r w:rsidRPr="00467DB0">
        <w:t>sikkerhedsgodkendelse</w:t>
      </w:r>
      <w:proofErr w:type="spellEnd"/>
      <w:r w:rsidRPr="00467DB0">
        <w:t xml:space="preserve">, navnlig om </w:t>
      </w:r>
      <w:proofErr w:type="spellStart"/>
      <w:r w:rsidRPr="00467DB0">
        <w:t>godkendelse</w:t>
      </w:r>
      <w:proofErr w:type="spellEnd"/>
      <w:r w:rsidRPr="00467DB0">
        <w:t xml:space="preserve"> </w:t>
      </w:r>
      <w:proofErr w:type="spellStart"/>
      <w:r w:rsidRPr="00467DB0">
        <w:t>af</w:t>
      </w:r>
      <w:proofErr w:type="spellEnd"/>
      <w:r w:rsidRPr="00467DB0">
        <w:t xml:space="preserve"> </w:t>
      </w:r>
      <w:proofErr w:type="spellStart"/>
      <w:r w:rsidRPr="00467DB0">
        <w:t>opsendelse</w:t>
      </w:r>
      <w:proofErr w:type="spellEnd"/>
      <w:r w:rsidRPr="00467DB0">
        <w:t xml:space="preserve"> </w:t>
      </w:r>
      <w:proofErr w:type="spellStart"/>
      <w:r w:rsidRPr="00467DB0">
        <w:t>af</w:t>
      </w:r>
      <w:proofErr w:type="spellEnd"/>
      <w:r w:rsidRPr="00467DB0">
        <w:t xml:space="preserve"> satellitter, bemyndigelse til at drive de systemer, der er </w:t>
      </w:r>
      <w:proofErr w:type="spellStart"/>
      <w:r w:rsidRPr="00467DB0">
        <w:t>etableret</w:t>
      </w:r>
      <w:proofErr w:type="spellEnd"/>
      <w:r w:rsidRPr="00467DB0">
        <w:t xml:space="preserve"> under programmets komponenter, eller disse komponenters elementer i deres </w:t>
      </w:r>
      <w:proofErr w:type="spellStart"/>
      <w:r w:rsidRPr="00467DB0">
        <w:t>forskellige</w:t>
      </w:r>
      <w:proofErr w:type="spellEnd"/>
      <w:r w:rsidRPr="00467DB0">
        <w:t xml:space="preserve"> </w:t>
      </w:r>
      <w:proofErr w:type="spellStart"/>
      <w:r w:rsidRPr="00467DB0">
        <w:t>konfigurationer</w:t>
      </w:r>
      <w:proofErr w:type="spellEnd"/>
      <w:r w:rsidRPr="00467DB0">
        <w:t xml:space="preserve"> og for de </w:t>
      </w:r>
      <w:proofErr w:type="spellStart"/>
      <w:r w:rsidRPr="00467DB0">
        <w:t>forskellige</w:t>
      </w:r>
      <w:proofErr w:type="spellEnd"/>
      <w:r w:rsidRPr="00467DB0">
        <w:t xml:space="preserve"> tjenester, de leverer, </w:t>
      </w:r>
      <w:proofErr w:type="spellStart"/>
      <w:r w:rsidRPr="00467DB0">
        <w:t>op</w:t>
      </w:r>
      <w:proofErr w:type="spellEnd"/>
      <w:r w:rsidRPr="00467DB0">
        <w:t xml:space="preserve"> til og med signaler i </w:t>
      </w:r>
      <w:proofErr w:type="spellStart"/>
      <w:r w:rsidRPr="00467DB0">
        <w:t>rummet</w:t>
      </w:r>
      <w:proofErr w:type="spellEnd"/>
      <w:r w:rsidRPr="00467DB0">
        <w:t xml:space="preserve"> og bemyndigelse til at drive de jordbaserede </w:t>
      </w:r>
      <w:proofErr w:type="spellStart"/>
      <w:r w:rsidRPr="00467DB0">
        <w:t>anlæg</w:t>
      </w:r>
      <w:proofErr w:type="spellEnd"/>
      <w:r w:rsidRPr="00467DB0">
        <w:t xml:space="preserve">. </w:t>
      </w:r>
    </w:p>
    <w:p w14:paraId="7BF6F7CF" w14:textId="77777777" w:rsidR="00000000" w:rsidRPr="00467DB0" w:rsidRDefault="00693D67" w:rsidP="00467DB0">
      <w:pPr>
        <w:pStyle w:val="friliste2"/>
      </w:pPr>
      <w:r w:rsidRPr="00467DB0">
        <w:lastRenderedPageBreak/>
        <w:t>c)</w:t>
      </w:r>
      <w:r w:rsidRPr="00467DB0">
        <w:tab/>
        <w:t xml:space="preserve">at </w:t>
      </w:r>
      <w:proofErr w:type="spellStart"/>
      <w:r w:rsidRPr="00467DB0">
        <w:t>træffe</w:t>
      </w:r>
      <w:proofErr w:type="spellEnd"/>
      <w:r w:rsidRPr="00467DB0">
        <w:t xml:space="preserve"> beslutninger vedrørende de </w:t>
      </w:r>
      <w:proofErr w:type="spellStart"/>
      <w:r w:rsidRPr="00467DB0">
        <w:t>net</w:t>
      </w:r>
      <w:proofErr w:type="spellEnd"/>
      <w:r w:rsidRPr="00467DB0">
        <w:t xml:space="preserve"> og det </w:t>
      </w:r>
      <w:proofErr w:type="spellStart"/>
      <w:r w:rsidRPr="00467DB0">
        <w:t>udstyr</w:t>
      </w:r>
      <w:proofErr w:type="spellEnd"/>
      <w:r w:rsidRPr="00467DB0">
        <w:t>, der er tilsluttet PRS-tjenesten som omh</w:t>
      </w:r>
      <w:r w:rsidRPr="00467DB0">
        <w:t xml:space="preserve">andlet i </w:t>
      </w:r>
      <w:proofErr w:type="spellStart"/>
      <w:r w:rsidRPr="00467DB0">
        <w:t>artikel</w:t>
      </w:r>
      <w:proofErr w:type="spellEnd"/>
      <w:r w:rsidRPr="00467DB0">
        <w:t xml:space="preserve"> 45, eller tilsluttet enhver anden sikker tjeneste, der stammer fra programmets komponenter, kun om bemyndigelse </w:t>
      </w:r>
      <w:proofErr w:type="spellStart"/>
      <w:r w:rsidRPr="00467DB0">
        <w:t>af</w:t>
      </w:r>
      <w:proofErr w:type="spellEnd"/>
      <w:r w:rsidRPr="00467DB0">
        <w:t xml:space="preserve"> organer til at </w:t>
      </w:r>
      <w:proofErr w:type="spellStart"/>
      <w:r w:rsidRPr="00467DB0">
        <w:t>udvikle</w:t>
      </w:r>
      <w:proofErr w:type="spellEnd"/>
      <w:r w:rsidRPr="00467DB0">
        <w:t xml:space="preserve"> eller fremstille følsomme PRS-teknologier, PRS-</w:t>
      </w:r>
      <w:proofErr w:type="spellStart"/>
      <w:r w:rsidRPr="00467DB0">
        <w:t>modtagere</w:t>
      </w:r>
      <w:proofErr w:type="spellEnd"/>
      <w:r w:rsidRPr="00467DB0">
        <w:t xml:space="preserve"> eller PRS-</w:t>
      </w:r>
      <w:proofErr w:type="spellStart"/>
      <w:r w:rsidRPr="00467DB0">
        <w:t>sikkerhedsmoduler</w:t>
      </w:r>
      <w:proofErr w:type="spellEnd"/>
      <w:r w:rsidRPr="00467DB0">
        <w:t xml:space="preserve"> eller enhver and</w:t>
      </w:r>
      <w:r w:rsidRPr="00467DB0">
        <w:t xml:space="preserve">en teknologi eller </w:t>
      </w:r>
      <w:proofErr w:type="spellStart"/>
      <w:r w:rsidRPr="00467DB0">
        <w:t>udstyr</w:t>
      </w:r>
      <w:proofErr w:type="spellEnd"/>
      <w:r w:rsidRPr="00467DB0">
        <w:t xml:space="preserve">, der skal kontrolleres i henhold til de generelle </w:t>
      </w:r>
      <w:proofErr w:type="spellStart"/>
      <w:r w:rsidRPr="00467DB0">
        <w:t>sikkerhedskrav</w:t>
      </w:r>
      <w:proofErr w:type="spellEnd"/>
      <w:r w:rsidRPr="00467DB0">
        <w:t xml:space="preserve">, der er omhandlet i </w:t>
      </w:r>
      <w:proofErr w:type="spellStart"/>
      <w:r w:rsidRPr="00467DB0">
        <w:t>artikel</w:t>
      </w:r>
      <w:proofErr w:type="spellEnd"/>
      <w:r w:rsidRPr="00467DB0">
        <w:t xml:space="preserve"> 34, stk. 2, idet der </w:t>
      </w:r>
      <w:proofErr w:type="spellStart"/>
      <w:r w:rsidRPr="00467DB0">
        <w:t>tages</w:t>
      </w:r>
      <w:proofErr w:type="spellEnd"/>
      <w:r w:rsidRPr="00467DB0">
        <w:t xml:space="preserve"> hensyn til den rådgivning, der </w:t>
      </w:r>
      <w:proofErr w:type="spellStart"/>
      <w:r w:rsidRPr="00467DB0">
        <w:t>ydes</w:t>
      </w:r>
      <w:proofErr w:type="spellEnd"/>
      <w:r w:rsidRPr="00467DB0">
        <w:t xml:space="preserve"> </w:t>
      </w:r>
      <w:proofErr w:type="spellStart"/>
      <w:r w:rsidRPr="00467DB0">
        <w:t>af</w:t>
      </w:r>
      <w:proofErr w:type="spellEnd"/>
      <w:r w:rsidRPr="00467DB0">
        <w:t xml:space="preserve"> </w:t>
      </w:r>
      <w:proofErr w:type="spellStart"/>
      <w:r w:rsidRPr="00467DB0">
        <w:t>nationale</w:t>
      </w:r>
      <w:proofErr w:type="spellEnd"/>
      <w:r w:rsidRPr="00467DB0">
        <w:t xml:space="preserve"> </w:t>
      </w:r>
      <w:proofErr w:type="spellStart"/>
      <w:r w:rsidRPr="00467DB0">
        <w:t>enheder</w:t>
      </w:r>
      <w:proofErr w:type="spellEnd"/>
      <w:r w:rsidRPr="00467DB0">
        <w:t xml:space="preserve"> med </w:t>
      </w:r>
      <w:proofErr w:type="spellStart"/>
      <w:r w:rsidRPr="00467DB0">
        <w:t>kompetence</w:t>
      </w:r>
      <w:proofErr w:type="spellEnd"/>
      <w:r w:rsidRPr="00467DB0">
        <w:t xml:space="preserve"> på </w:t>
      </w:r>
      <w:proofErr w:type="spellStart"/>
      <w:r w:rsidRPr="00467DB0">
        <w:t>sikkerhedsområdet</w:t>
      </w:r>
      <w:proofErr w:type="spellEnd"/>
      <w:r w:rsidRPr="00467DB0">
        <w:t>, og de overordned</w:t>
      </w:r>
      <w:r w:rsidRPr="00467DB0">
        <w:t xml:space="preserve">e </w:t>
      </w:r>
      <w:proofErr w:type="spellStart"/>
      <w:r w:rsidRPr="00467DB0">
        <w:t>sikkerhedsrisici</w:t>
      </w:r>
      <w:proofErr w:type="spellEnd"/>
    </w:p>
    <w:p w14:paraId="4C8DB4DD" w14:textId="77777777" w:rsidR="00000000" w:rsidRPr="00467DB0" w:rsidRDefault="00693D67" w:rsidP="00467DB0">
      <w:pPr>
        <w:pStyle w:val="friliste2"/>
      </w:pPr>
      <w:r w:rsidRPr="00467DB0">
        <w:t>d)</w:t>
      </w:r>
      <w:r w:rsidRPr="00467DB0">
        <w:tab/>
        <w:t xml:space="preserve">at </w:t>
      </w:r>
      <w:proofErr w:type="spellStart"/>
      <w:r w:rsidRPr="00467DB0">
        <w:t>undersøge</w:t>
      </w:r>
      <w:proofErr w:type="spellEnd"/>
      <w:r w:rsidRPr="00467DB0">
        <w:t xml:space="preserve"> og, med </w:t>
      </w:r>
      <w:proofErr w:type="spellStart"/>
      <w:r w:rsidRPr="00467DB0">
        <w:t>undtagelse</w:t>
      </w:r>
      <w:proofErr w:type="spellEnd"/>
      <w:r w:rsidRPr="00467DB0">
        <w:t xml:space="preserve"> </w:t>
      </w:r>
      <w:proofErr w:type="spellStart"/>
      <w:r w:rsidRPr="00467DB0">
        <w:t>af</w:t>
      </w:r>
      <w:proofErr w:type="spellEnd"/>
      <w:r w:rsidRPr="00467DB0">
        <w:t xml:space="preserve"> de dokumenter, som </w:t>
      </w:r>
      <w:proofErr w:type="spellStart"/>
      <w:r w:rsidRPr="00467DB0">
        <w:t>Kommissionen</w:t>
      </w:r>
      <w:proofErr w:type="spellEnd"/>
      <w:r w:rsidRPr="00467DB0">
        <w:t xml:space="preserve"> skal </w:t>
      </w:r>
      <w:proofErr w:type="spellStart"/>
      <w:r w:rsidRPr="00467DB0">
        <w:t>vedtage</w:t>
      </w:r>
      <w:proofErr w:type="spellEnd"/>
      <w:r w:rsidRPr="00467DB0">
        <w:t xml:space="preserve"> i henhold til nærværende forordnings </w:t>
      </w:r>
      <w:proofErr w:type="spellStart"/>
      <w:r w:rsidRPr="00467DB0">
        <w:t>artikel</w:t>
      </w:r>
      <w:proofErr w:type="spellEnd"/>
      <w:r w:rsidRPr="00467DB0">
        <w:t xml:space="preserve"> 34, stk. 2, og </w:t>
      </w:r>
      <w:proofErr w:type="spellStart"/>
      <w:r w:rsidRPr="00467DB0">
        <w:t>artikel</w:t>
      </w:r>
      <w:proofErr w:type="spellEnd"/>
      <w:r w:rsidRPr="00467DB0">
        <w:t xml:space="preserve"> 8 i </w:t>
      </w:r>
      <w:proofErr w:type="spellStart"/>
      <w:r w:rsidRPr="00467DB0">
        <w:t>afgørelse</w:t>
      </w:r>
      <w:proofErr w:type="spellEnd"/>
      <w:r w:rsidRPr="00467DB0">
        <w:t xml:space="preserve"> nr. 1104/2011/EU, at </w:t>
      </w:r>
      <w:proofErr w:type="spellStart"/>
      <w:r w:rsidRPr="00467DB0">
        <w:t>godkende</w:t>
      </w:r>
      <w:proofErr w:type="spellEnd"/>
      <w:r w:rsidRPr="00467DB0">
        <w:t xml:space="preserve"> al </w:t>
      </w:r>
      <w:proofErr w:type="spellStart"/>
      <w:r w:rsidRPr="00467DB0">
        <w:t>dokumentation</w:t>
      </w:r>
      <w:proofErr w:type="spellEnd"/>
      <w:r w:rsidRPr="00467DB0">
        <w:t xml:space="preserve"> i forbindelse med </w:t>
      </w:r>
      <w:proofErr w:type="spellStart"/>
      <w:r w:rsidRPr="00467DB0">
        <w:t>sikkerh</w:t>
      </w:r>
      <w:r w:rsidRPr="00467DB0">
        <w:t>edsgodkendelse</w:t>
      </w:r>
      <w:proofErr w:type="spellEnd"/>
    </w:p>
    <w:p w14:paraId="73605514" w14:textId="77777777" w:rsidR="00000000" w:rsidRPr="00467DB0" w:rsidRDefault="00693D67" w:rsidP="00467DB0">
      <w:pPr>
        <w:pStyle w:val="friliste2"/>
      </w:pPr>
      <w:r w:rsidRPr="00467DB0">
        <w:t>e)</w:t>
      </w:r>
      <w:r w:rsidRPr="00467DB0">
        <w:tab/>
        <w:t xml:space="preserve">at </w:t>
      </w:r>
      <w:proofErr w:type="spellStart"/>
      <w:r w:rsidRPr="00467DB0">
        <w:t>rådgive</w:t>
      </w:r>
      <w:proofErr w:type="spellEnd"/>
      <w:r w:rsidRPr="00467DB0">
        <w:t xml:space="preserve"> </w:t>
      </w:r>
      <w:proofErr w:type="spellStart"/>
      <w:r w:rsidRPr="00467DB0">
        <w:t>Kommissionen</w:t>
      </w:r>
      <w:proofErr w:type="spellEnd"/>
      <w:r w:rsidRPr="00467DB0">
        <w:t xml:space="preserve"> </w:t>
      </w:r>
      <w:proofErr w:type="spellStart"/>
      <w:r w:rsidRPr="00467DB0">
        <w:t>inden</w:t>
      </w:r>
      <w:proofErr w:type="spellEnd"/>
      <w:r w:rsidRPr="00467DB0">
        <w:t xml:space="preserve"> for </w:t>
      </w:r>
      <w:proofErr w:type="spellStart"/>
      <w:r w:rsidRPr="00467DB0">
        <w:t>sit</w:t>
      </w:r>
      <w:proofErr w:type="spellEnd"/>
      <w:r w:rsidRPr="00467DB0">
        <w:t xml:space="preserve"> </w:t>
      </w:r>
      <w:proofErr w:type="spellStart"/>
      <w:r w:rsidRPr="00467DB0">
        <w:t>kompetenceområde</w:t>
      </w:r>
      <w:proofErr w:type="spellEnd"/>
      <w:r w:rsidRPr="00467DB0">
        <w:t xml:space="preserve"> om </w:t>
      </w:r>
      <w:proofErr w:type="spellStart"/>
      <w:r w:rsidRPr="00467DB0">
        <w:t>udarbejdelsen</w:t>
      </w:r>
      <w:proofErr w:type="spellEnd"/>
      <w:r w:rsidRPr="00467DB0">
        <w:t xml:space="preserve"> </w:t>
      </w:r>
      <w:proofErr w:type="spellStart"/>
      <w:r w:rsidRPr="00467DB0">
        <w:t>af</w:t>
      </w:r>
      <w:proofErr w:type="spellEnd"/>
      <w:r w:rsidRPr="00467DB0">
        <w:t xml:space="preserve"> </w:t>
      </w:r>
      <w:proofErr w:type="spellStart"/>
      <w:r w:rsidRPr="00467DB0">
        <w:t>tekstudkast</w:t>
      </w:r>
      <w:proofErr w:type="spellEnd"/>
      <w:r w:rsidRPr="00467DB0">
        <w:t xml:space="preserve"> til de </w:t>
      </w:r>
      <w:proofErr w:type="spellStart"/>
      <w:r w:rsidRPr="00467DB0">
        <w:t>retsakter</w:t>
      </w:r>
      <w:proofErr w:type="spellEnd"/>
      <w:r w:rsidRPr="00467DB0">
        <w:t xml:space="preserve">, der er omhandlet i nærværende forordnings </w:t>
      </w:r>
      <w:proofErr w:type="spellStart"/>
      <w:r w:rsidRPr="00467DB0">
        <w:t>artikel</w:t>
      </w:r>
      <w:proofErr w:type="spellEnd"/>
      <w:r w:rsidRPr="00467DB0">
        <w:t xml:space="preserve"> 34, stk. 2, og </w:t>
      </w:r>
      <w:proofErr w:type="spellStart"/>
      <w:r w:rsidRPr="00467DB0">
        <w:t>artikel</w:t>
      </w:r>
      <w:proofErr w:type="spellEnd"/>
      <w:r w:rsidRPr="00467DB0">
        <w:t xml:space="preserve"> 8 i </w:t>
      </w:r>
      <w:proofErr w:type="spellStart"/>
      <w:r w:rsidRPr="00467DB0">
        <w:t>afgørelse</w:t>
      </w:r>
      <w:proofErr w:type="spellEnd"/>
      <w:r w:rsidRPr="00467DB0">
        <w:t xml:space="preserve"> nr. 1104/2011/EU, herunder med hensyn til etab</w:t>
      </w:r>
      <w:r w:rsidRPr="00467DB0">
        <w:t xml:space="preserve">leringen </w:t>
      </w:r>
      <w:proofErr w:type="spellStart"/>
      <w:r w:rsidRPr="00467DB0">
        <w:t>af</w:t>
      </w:r>
      <w:proofErr w:type="spellEnd"/>
      <w:r w:rsidRPr="00467DB0">
        <w:t xml:space="preserve"> </w:t>
      </w:r>
      <w:proofErr w:type="spellStart"/>
      <w:r w:rsidRPr="00467DB0">
        <w:t>sikkerhedsdriftsprocedurer</w:t>
      </w:r>
      <w:proofErr w:type="spellEnd"/>
      <w:r w:rsidRPr="00467DB0">
        <w:t xml:space="preserve">, og </w:t>
      </w:r>
      <w:proofErr w:type="spellStart"/>
      <w:r w:rsidRPr="00467DB0">
        <w:t>afgive</w:t>
      </w:r>
      <w:proofErr w:type="spellEnd"/>
      <w:r w:rsidRPr="00467DB0">
        <w:t xml:space="preserve"> en erklæring med sin endelige holdning</w:t>
      </w:r>
    </w:p>
    <w:p w14:paraId="51ACD574" w14:textId="77777777" w:rsidR="00000000" w:rsidRPr="00467DB0" w:rsidRDefault="00693D67" w:rsidP="00467DB0">
      <w:pPr>
        <w:pStyle w:val="friliste2"/>
      </w:pPr>
      <w:r w:rsidRPr="00467DB0">
        <w:t>f)</w:t>
      </w:r>
      <w:r w:rsidRPr="00467DB0">
        <w:tab/>
        <w:t xml:space="preserve">at </w:t>
      </w:r>
      <w:proofErr w:type="spellStart"/>
      <w:r w:rsidRPr="00467DB0">
        <w:t>undersøge</w:t>
      </w:r>
      <w:proofErr w:type="spellEnd"/>
      <w:r w:rsidRPr="00467DB0">
        <w:t xml:space="preserve"> og </w:t>
      </w:r>
      <w:proofErr w:type="spellStart"/>
      <w:r w:rsidRPr="00467DB0">
        <w:t>godkende</w:t>
      </w:r>
      <w:proofErr w:type="spellEnd"/>
      <w:r w:rsidRPr="00467DB0">
        <w:t xml:space="preserve"> den vurdering </w:t>
      </w:r>
      <w:proofErr w:type="spellStart"/>
      <w:r w:rsidRPr="00467DB0">
        <w:t>af</w:t>
      </w:r>
      <w:proofErr w:type="spellEnd"/>
      <w:r w:rsidRPr="00467DB0">
        <w:t xml:space="preserve"> </w:t>
      </w:r>
      <w:proofErr w:type="spellStart"/>
      <w:r w:rsidRPr="00467DB0">
        <w:t>sikkerhedsrisici</w:t>
      </w:r>
      <w:proofErr w:type="spellEnd"/>
      <w:r w:rsidRPr="00467DB0">
        <w:t xml:space="preserve">, der er </w:t>
      </w:r>
      <w:proofErr w:type="spellStart"/>
      <w:r w:rsidRPr="00467DB0">
        <w:t>udarbejdet</w:t>
      </w:r>
      <w:proofErr w:type="spellEnd"/>
      <w:r w:rsidRPr="00467DB0">
        <w:t xml:space="preserve"> i overensstemmelse med den i nærværende forordnings </w:t>
      </w:r>
      <w:proofErr w:type="spellStart"/>
      <w:r w:rsidRPr="00467DB0">
        <w:t>artikel</w:t>
      </w:r>
      <w:proofErr w:type="spellEnd"/>
      <w:r w:rsidRPr="00467DB0">
        <w:t xml:space="preserve"> 37, litra h), omhandlede </w:t>
      </w:r>
      <w:proofErr w:type="spellStart"/>
      <w:r w:rsidRPr="00467DB0">
        <w:t>o</w:t>
      </w:r>
      <w:r w:rsidRPr="00467DB0">
        <w:t>vervågningsproces</w:t>
      </w:r>
      <w:proofErr w:type="spellEnd"/>
      <w:r w:rsidRPr="00467DB0">
        <w:t xml:space="preserve">, idet der </w:t>
      </w:r>
      <w:proofErr w:type="spellStart"/>
      <w:r w:rsidRPr="00467DB0">
        <w:t>tages</w:t>
      </w:r>
      <w:proofErr w:type="spellEnd"/>
      <w:r w:rsidRPr="00467DB0">
        <w:t xml:space="preserve"> hensyn til, om der er overensstemmelse med de nærværende stykkes i litra c) omhandlede dokumenter og de dokumenter, der er </w:t>
      </w:r>
      <w:proofErr w:type="spellStart"/>
      <w:r w:rsidRPr="00467DB0">
        <w:t>udarbejdet</w:t>
      </w:r>
      <w:proofErr w:type="spellEnd"/>
      <w:r w:rsidRPr="00467DB0">
        <w:t xml:space="preserve"> i overensstemmelse med nærværende forordnings </w:t>
      </w:r>
      <w:proofErr w:type="spellStart"/>
      <w:r w:rsidRPr="00467DB0">
        <w:t>artikel</w:t>
      </w:r>
      <w:proofErr w:type="spellEnd"/>
      <w:r w:rsidRPr="00467DB0">
        <w:t xml:space="preserve"> 34, stk. 2, og </w:t>
      </w:r>
      <w:proofErr w:type="spellStart"/>
      <w:r w:rsidRPr="00467DB0">
        <w:t>artikel</w:t>
      </w:r>
      <w:proofErr w:type="spellEnd"/>
      <w:r w:rsidRPr="00467DB0">
        <w:t xml:space="preserve"> 8 i </w:t>
      </w:r>
      <w:proofErr w:type="spellStart"/>
      <w:r w:rsidRPr="00467DB0">
        <w:t>afgørel</w:t>
      </w:r>
      <w:r w:rsidRPr="00467DB0">
        <w:t>se</w:t>
      </w:r>
      <w:proofErr w:type="spellEnd"/>
      <w:r w:rsidRPr="00467DB0">
        <w:t xml:space="preserve"> nr. 1104/2011/EU, og at </w:t>
      </w:r>
      <w:proofErr w:type="spellStart"/>
      <w:r w:rsidRPr="00467DB0">
        <w:t>samarbejde</w:t>
      </w:r>
      <w:proofErr w:type="spellEnd"/>
      <w:r w:rsidRPr="00467DB0">
        <w:t xml:space="preserve"> med </w:t>
      </w:r>
      <w:proofErr w:type="spellStart"/>
      <w:r w:rsidRPr="00467DB0">
        <w:t>Kommissionen</w:t>
      </w:r>
      <w:proofErr w:type="spellEnd"/>
      <w:r w:rsidRPr="00467DB0">
        <w:t xml:space="preserve"> om at definere </w:t>
      </w:r>
      <w:proofErr w:type="spellStart"/>
      <w:r w:rsidRPr="00467DB0">
        <w:t>risikobegrænsende</w:t>
      </w:r>
      <w:proofErr w:type="spellEnd"/>
      <w:r w:rsidRPr="00467DB0">
        <w:t xml:space="preserve"> foranstaltninger</w:t>
      </w:r>
    </w:p>
    <w:p w14:paraId="6E85A046" w14:textId="77777777" w:rsidR="00000000" w:rsidRPr="00467DB0" w:rsidRDefault="00693D67" w:rsidP="00467DB0">
      <w:pPr>
        <w:pStyle w:val="friliste2"/>
      </w:pPr>
      <w:r w:rsidRPr="00467DB0">
        <w:t>g)</w:t>
      </w:r>
      <w:r w:rsidRPr="00467DB0">
        <w:tab/>
        <w:t xml:space="preserve">at kontrollere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sikkerhedsforanstaltninger</w:t>
      </w:r>
      <w:proofErr w:type="spellEnd"/>
      <w:r w:rsidRPr="00467DB0">
        <w:t xml:space="preserve"> i forbindelse med </w:t>
      </w:r>
      <w:proofErr w:type="spellStart"/>
      <w:r w:rsidRPr="00467DB0">
        <w:t>sikkerhedsgodkendelsen</w:t>
      </w:r>
      <w:proofErr w:type="spellEnd"/>
      <w:r w:rsidRPr="00467DB0">
        <w:t xml:space="preserve"> </w:t>
      </w:r>
      <w:proofErr w:type="spellStart"/>
      <w:r w:rsidRPr="00467DB0">
        <w:t>af</w:t>
      </w:r>
      <w:proofErr w:type="spellEnd"/>
      <w:r w:rsidRPr="00467DB0">
        <w:t xml:space="preserve"> programmets komponenter ved at </w:t>
      </w:r>
      <w:proofErr w:type="spellStart"/>
      <w:r w:rsidRPr="00467DB0">
        <w:t>foretage</w:t>
      </w:r>
      <w:proofErr w:type="spellEnd"/>
      <w:r w:rsidRPr="00467DB0">
        <w:t xml:space="preserve"> elle</w:t>
      </w:r>
      <w:r w:rsidRPr="00467DB0">
        <w:t xml:space="preserve">r få </w:t>
      </w:r>
      <w:proofErr w:type="spellStart"/>
      <w:r w:rsidRPr="00467DB0">
        <w:t>foretaget</w:t>
      </w:r>
      <w:proofErr w:type="spellEnd"/>
      <w:r w:rsidRPr="00467DB0">
        <w:t xml:space="preserve"> </w:t>
      </w:r>
      <w:proofErr w:type="spellStart"/>
      <w:r w:rsidRPr="00467DB0">
        <w:t>sikkerhedsvurderinger</w:t>
      </w:r>
      <w:proofErr w:type="spellEnd"/>
      <w:r w:rsidRPr="00467DB0">
        <w:t xml:space="preserve">, </w:t>
      </w:r>
      <w:proofErr w:type="spellStart"/>
      <w:r w:rsidRPr="00467DB0">
        <w:t>inspektioner</w:t>
      </w:r>
      <w:proofErr w:type="spellEnd"/>
      <w:r w:rsidRPr="00467DB0">
        <w:t xml:space="preserve"> eller -</w:t>
      </w:r>
      <w:proofErr w:type="spellStart"/>
      <w:r w:rsidRPr="00467DB0">
        <w:t>revisioner</w:t>
      </w:r>
      <w:proofErr w:type="spellEnd"/>
      <w:r w:rsidRPr="00467DB0">
        <w:t xml:space="preserve"> i henhold til nærværende forordnings </w:t>
      </w:r>
      <w:proofErr w:type="spellStart"/>
      <w:r w:rsidRPr="00467DB0">
        <w:t>artikel</w:t>
      </w:r>
      <w:proofErr w:type="spellEnd"/>
      <w:r w:rsidRPr="00467DB0">
        <w:t xml:space="preserve"> 42, stk. 2</w:t>
      </w:r>
    </w:p>
    <w:p w14:paraId="1762952B" w14:textId="77777777" w:rsidR="00000000" w:rsidRPr="00467DB0" w:rsidRDefault="00693D67" w:rsidP="00467DB0">
      <w:pPr>
        <w:pStyle w:val="friliste2"/>
      </w:pPr>
      <w:r w:rsidRPr="00467DB0">
        <w:t>h)</w:t>
      </w:r>
      <w:r w:rsidRPr="00467DB0">
        <w:tab/>
        <w:t xml:space="preserve">at </w:t>
      </w:r>
      <w:proofErr w:type="spellStart"/>
      <w:r w:rsidRPr="00467DB0">
        <w:t>godkende</w:t>
      </w:r>
      <w:proofErr w:type="spellEnd"/>
      <w:r w:rsidRPr="00467DB0">
        <w:t xml:space="preserve"> </w:t>
      </w:r>
      <w:proofErr w:type="spellStart"/>
      <w:r w:rsidRPr="00467DB0">
        <w:t>udvalget</w:t>
      </w:r>
      <w:proofErr w:type="spellEnd"/>
      <w:r w:rsidRPr="00467DB0">
        <w:t xml:space="preserve"> </w:t>
      </w:r>
      <w:proofErr w:type="spellStart"/>
      <w:r w:rsidRPr="00467DB0">
        <w:t>af</w:t>
      </w:r>
      <w:proofErr w:type="spellEnd"/>
      <w:r w:rsidRPr="00467DB0">
        <w:t xml:space="preserve"> </w:t>
      </w:r>
      <w:proofErr w:type="spellStart"/>
      <w:r w:rsidRPr="00467DB0">
        <w:t>godkendte</w:t>
      </w:r>
      <w:proofErr w:type="spellEnd"/>
      <w:r w:rsidRPr="00467DB0">
        <w:t xml:space="preserve"> produkter og foranstaltninger, som beskytter mod elektronisk </w:t>
      </w:r>
      <w:proofErr w:type="spellStart"/>
      <w:r w:rsidRPr="00467DB0">
        <w:t>aflytning</w:t>
      </w:r>
      <w:proofErr w:type="spellEnd"/>
      <w:r w:rsidRPr="00467DB0">
        <w:t xml:space="preserve"> (Tempest), og </w:t>
      </w:r>
      <w:proofErr w:type="spellStart"/>
      <w:r w:rsidRPr="00467DB0">
        <w:t>af</w:t>
      </w:r>
      <w:proofErr w:type="spellEnd"/>
      <w:r w:rsidRPr="00467DB0">
        <w:t xml:space="preserve"> </w:t>
      </w:r>
      <w:proofErr w:type="spellStart"/>
      <w:r w:rsidRPr="00467DB0">
        <w:t>godken</w:t>
      </w:r>
      <w:r w:rsidRPr="00467DB0">
        <w:t>dte</w:t>
      </w:r>
      <w:proofErr w:type="spellEnd"/>
      <w:r w:rsidRPr="00467DB0">
        <w:t xml:space="preserve"> kryptografiske produkter, der anvendes til sikring </w:t>
      </w:r>
      <w:proofErr w:type="spellStart"/>
      <w:r w:rsidRPr="00467DB0">
        <w:t>af</w:t>
      </w:r>
      <w:proofErr w:type="spellEnd"/>
      <w:r w:rsidRPr="00467DB0">
        <w:t xml:space="preserve"> programmets komponenter</w:t>
      </w:r>
    </w:p>
    <w:p w14:paraId="3C01504A" w14:textId="77777777" w:rsidR="00000000" w:rsidRPr="00467DB0" w:rsidRDefault="00693D67" w:rsidP="00467DB0">
      <w:pPr>
        <w:pStyle w:val="friliste2"/>
      </w:pPr>
      <w:r w:rsidRPr="00467DB0">
        <w:t>i)</w:t>
      </w:r>
      <w:r w:rsidRPr="00467DB0">
        <w:tab/>
        <w:t xml:space="preserve">at </w:t>
      </w:r>
      <w:proofErr w:type="spellStart"/>
      <w:r w:rsidRPr="00467DB0">
        <w:t>godkende</w:t>
      </w:r>
      <w:proofErr w:type="spellEnd"/>
      <w:r w:rsidRPr="00467DB0">
        <w:t xml:space="preserve"> eller, hvor det er relevant, </w:t>
      </w:r>
      <w:proofErr w:type="spellStart"/>
      <w:r w:rsidRPr="00467DB0">
        <w:t>deltage</w:t>
      </w:r>
      <w:proofErr w:type="spellEnd"/>
      <w:r w:rsidRPr="00467DB0">
        <w:t xml:space="preserve"> i den </w:t>
      </w:r>
      <w:proofErr w:type="spellStart"/>
      <w:r w:rsidRPr="00467DB0">
        <w:t>fælles</w:t>
      </w:r>
      <w:proofErr w:type="spellEnd"/>
      <w:r w:rsidRPr="00467DB0">
        <w:t xml:space="preserve"> </w:t>
      </w:r>
      <w:proofErr w:type="spellStart"/>
      <w:r w:rsidRPr="00467DB0">
        <w:t>godkendelse</w:t>
      </w:r>
      <w:proofErr w:type="spellEnd"/>
      <w:r w:rsidRPr="00467DB0">
        <w:t xml:space="preserve">, sammen med den relevante </w:t>
      </w:r>
      <w:proofErr w:type="spellStart"/>
      <w:r w:rsidRPr="00467DB0">
        <w:t>enheder</w:t>
      </w:r>
      <w:proofErr w:type="spellEnd"/>
      <w:r w:rsidRPr="00467DB0">
        <w:t xml:space="preserve"> med </w:t>
      </w:r>
      <w:proofErr w:type="spellStart"/>
      <w:r w:rsidRPr="00467DB0">
        <w:t>kompetence</w:t>
      </w:r>
      <w:proofErr w:type="spellEnd"/>
      <w:r w:rsidRPr="00467DB0">
        <w:t xml:space="preserve"> på </w:t>
      </w:r>
      <w:proofErr w:type="spellStart"/>
      <w:r w:rsidRPr="00467DB0">
        <w:t>sikkerhedsområdet</w:t>
      </w:r>
      <w:proofErr w:type="spellEnd"/>
      <w:r w:rsidRPr="00467DB0">
        <w:t xml:space="preserve">, </w:t>
      </w:r>
      <w:proofErr w:type="spellStart"/>
      <w:r w:rsidRPr="00467DB0">
        <w:t>af</w:t>
      </w:r>
      <w:proofErr w:type="spellEnd"/>
      <w:r w:rsidRPr="00467DB0">
        <w:t xml:space="preserve"> sammenkoblingen </w:t>
      </w:r>
      <w:proofErr w:type="spellStart"/>
      <w:r w:rsidRPr="00467DB0">
        <w:t>mellem</w:t>
      </w:r>
      <w:proofErr w:type="spellEnd"/>
      <w:r w:rsidRPr="00467DB0">
        <w:t xml:space="preserve"> </w:t>
      </w:r>
      <w:r w:rsidRPr="00467DB0">
        <w:t xml:space="preserve">de systemer, der </w:t>
      </w:r>
      <w:proofErr w:type="spellStart"/>
      <w:r w:rsidRPr="00467DB0">
        <w:t>oprettes</w:t>
      </w:r>
      <w:proofErr w:type="spellEnd"/>
      <w:r w:rsidRPr="00467DB0">
        <w:t xml:space="preserve"> under programmets komponenter eller dele </w:t>
      </w:r>
      <w:proofErr w:type="spellStart"/>
      <w:r w:rsidRPr="00467DB0">
        <w:t>af</w:t>
      </w:r>
      <w:proofErr w:type="spellEnd"/>
      <w:r w:rsidRPr="00467DB0">
        <w:t xml:space="preserve"> disse komponenter og andre systemer</w:t>
      </w:r>
    </w:p>
    <w:p w14:paraId="1971ED2B" w14:textId="77777777" w:rsidR="00000000" w:rsidRPr="00467DB0" w:rsidRDefault="00693D67" w:rsidP="00467DB0">
      <w:pPr>
        <w:pStyle w:val="friliste2"/>
      </w:pPr>
      <w:r w:rsidRPr="00467DB0">
        <w:t>j)</w:t>
      </w:r>
      <w:r w:rsidRPr="00467DB0">
        <w:tab/>
        <w:t xml:space="preserve">at blive enige med den relevante medlemsstat om modellen for </w:t>
      </w:r>
      <w:proofErr w:type="spellStart"/>
      <w:r w:rsidRPr="00467DB0">
        <w:t>adgangskontrol</w:t>
      </w:r>
      <w:proofErr w:type="spellEnd"/>
      <w:r w:rsidRPr="00467DB0">
        <w:t xml:space="preserve"> som omhandlet i </w:t>
      </w:r>
      <w:proofErr w:type="spellStart"/>
      <w:r w:rsidRPr="00467DB0">
        <w:t>artikel</w:t>
      </w:r>
      <w:proofErr w:type="spellEnd"/>
      <w:r w:rsidRPr="00467DB0">
        <w:t xml:space="preserve"> 42, stk. 4</w:t>
      </w:r>
    </w:p>
    <w:p w14:paraId="42A44CA2" w14:textId="77777777" w:rsidR="00000000" w:rsidRPr="00467DB0" w:rsidRDefault="00693D67" w:rsidP="00467DB0">
      <w:pPr>
        <w:pStyle w:val="friliste2"/>
      </w:pPr>
      <w:r w:rsidRPr="00467DB0">
        <w:t>k)</w:t>
      </w:r>
      <w:r w:rsidRPr="00467DB0">
        <w:tab/>
        <w:t xml:space="preserve">at </w:t>
      </w:r>
      <w:proofErr w:type="spellStart"/>
      <w:r w:rsidRPr="00467DB0">
        <w:t>udarbejde</w:t>
      </w:r>
      <w:proofErr w:type="spellEnd"/>
      <w:r w:rsidRPr="00467DB0">
        <w:t xml:space="preserve"> rapporter om </w:t>
      </w:r>
      <w:proofErr w:type="spellStart"/>
      <w:r w:rsidRPr="00467DB0">
        <w:t>risici</w:t>
      </w:r>
      <w:proofErr w:type="spellEnd"/>
      <w:r w:rsidRPr="00467DB0">
        <w:t xml:space="preserve"> </w:t>
      </w:r>
      <w:r w:rsidRPr="00467DB0">
        <w:t xml:space="preserve">og informere </w:t>
      </w:r>
      <w:proofErr w:type="spellStart"/>
      <w:r w:rsidRPr="00467DB0">
        <w:t>Kommissionen</w:t>
      </w:r>
      <w:proofErr w:type="spellEnd"/>
      <w:r w:rsidRPr="00467DB0">
        <w:t xml:space="preserve">, bestyrelsen og den administrerende direktør om sin risikovurdering og </w:t>
      </w:r>
      <w:proofErr w:type="spellStart"/>
      <w:r w:rsidRPr="00467DB0">
        <w:t>rådgive</w:t>
      </w:r>
      <w:proofErr w:type="spellEnd"/>
      <w:r w:rsidRPr="00467DB0">
        <w:t xml:space="preserve"> dem om </w:t>
      </w:r>
      <w:proofErr w:type="spellStart"/>
      <w:r w:rsidRPr="00467DB0">
        <w:t>mulighederne</w:t>
      </w:r>
      <w:proofErr w:type="spellEnd"/>
      <w:r w:rsidRPr="00467DB0">
        <w:t xml:space="preserve"> for håndtering </w:t>
      </w:r>
      <w:proofErr w:type="spellStart"/>
      <w:r w:rsidRPr="00467DB0">
        <w:t>af</w:t>
      </w:r>
      <w:proofErr w:type="spellEnd"/>
      <w:r w:rsidRPr="00467DB0">
        <w:t xml:space="preserve"> </w:t>
      </w:r>
      <w:proofErr w:type="spellStart"/>
      <w:r w:rsidRPr="00467DB0">
        <w:t>restrisici</w:t>
      </w:r>
      <w:proofErr w:type="spellEnd"/>
      <w:r w:rsidRPr="00467DB0">
        <w:t xml:space="preserve"> ved </w:t>
      </w:r>
      <w:proofErr w:type="gramStart"/>
      <w:r w:rsidRPr="00467DB0">
        <w:t>en given</w:t>
      </w:r>
      <w:proofErr w:type="gramEnd"/>
      <w:r w:rsidRPr="00467DB0">
        <w:t xml:space="preserve"> beslutning om </w:t>
      </w:r>
      <w:proofErr w:type="spellStart"/>
      <w:r w:rsidRPr="00467DB0">
        <w:t>sikkerhedsgodkendelse</w:t>
      </w:r>
      <w:proofErr w:type="spellEnd"/>
    </w:p>
    <w:p w14:paraId="341CBDAA" w14:textId="77777777" w:rsidR="00000000" w:rsidRPr="00467DB0" w:rsidRDefault="00693D67" w:rsidP="00467DB0">
      <w:pPr>
        <w:pStyle w:val="friliste2"/>
      </w:pPr>
      <w:r w:rsidRPr="00467DB0">
        <w:t>l)</w:t>
      </w:r>
      <w:r w:rsidRPr="00467DB0">
        <w:tab/>
        <w:t xml:space="preserve">at bistå, i </w:t>
      </w:r>
      <w:proofErr w:type="spellStart"/>
      <w:r w:rsidRPr="00467DB0">
        <w:t>tæt</w:t>
      </w:r>
      <w:proofErr w:type="spellEnd"/>
      <w:r w:rsidRPr="00467DB0">
        <w:t xml:space="preserve"> kontakt med </w:t>
      </w:r>
      <w:proofErr w:type="spellStart"/>
      <w:r w:rsidRPr="00467DB0">
        <w:t>Kommissionen</w:t>
      </w:r>
      <w:proofErr w:type="spellEnd"/>
      <w:r w:rsidRPr="00467DB0">
        <w:t>, Rådet og</w:t>
      </w:r>
      <w:r w:rsidRPr="00467DB0">
        <w:t xml:space="preserve"> den </w:t>
      </w:r>
      <w:proofErr w:type="spellStart"/>
      <w:r w:rsidRPr="00467DB0">
        <w:t>højtstående</w:t>
      </w:r>
      <w:proofErr w:type="spellEnd"/>
      <w:r w:rsidRPr="00467DB0">
        <w:t xml:space="preserve"> </w:t>
      </w:r>
      <w:proofErr w:type="spellStart"/>
      <w:r w:rsidRPr="00467DB0">
        <w:t>repræsentant</w:t>
      </w:r>
      <w:proofErr w:type="spellEnd"/>
      <w:r w:rsidRPr="00467DB0">
        <w:t xml:space="preserve">, ved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afgørelse</w:t>
      </w:r>
      <w:proofErr w:type="spellEnd"/>
      <w:r w:rsidRPr="00467DB0">
        <w:t xml:space="preserve"> 202x/xxx/FUSP</w:t>
      </w:r>
      <w:r w:rsidRPr="00467DB0">
        <w:rPr>
          <w:rStyle w:val="Fotnotereferanse"/>
        </w:rPr>
        <w:footnoteReference w:id="53"/>
      </w:r>
      <w:r w:rsidRPr="00467DB0">
        <w:t xml:space="preserve">+ efter </w:t>
      </w:r>
      <w:proofErr w:type="spellStart"/>
      <w:r w:rsidRPr="00467DB0">
        <w:t>specifik</w:t>
      </w:r>
      <w:proofErr w:type="spellEnd"/>
      <w:r w:rsidRPr="00467DB0">
        <w:t xml:space="preserve"> anmodning fra Rådet eller den </w:t>
      </w:r>
      <w:proofErr w:type="spellStart"/>
      <w:r w:rsidRPr="00467DB0">
        <w:t>højtstående</w:t>
      </w:r>
      <w:proofErr w:type="spellEnd"/>
      <w:r w:rsidRPr="00467DB0">
        <w:t xml:space="preserve"> </w:t>
      </w:r>
      <w:proofErr w:type="spellStart"/>
      <w:r w:rsidRPr="00467DB0">
        <w:t>repræsentant</w:t>
      </w:r>
      <w:proofErr w:type="spellEnd"/>
    </w:p>
    <w:p w14:paraId="4DA5024A" w14:textId="77777777" w:rsidR="00000000" w:rsidRPr="00467DB0" w:rsidRDefault="00693D67" w:rsidP="00467DB0">
      <w:pPr>
        <w:pStyle w:val="friliste2"/>
      </w:pPr>
      <w:r w:rsidRPr="00467DB0">
        <w:lastRenderedPageBreak/>
        <w:t>m)</w:t>
      </w:r>
      <w:r w:rsidRPr="00467DB0">
        <w:tab/>
        <w:t xml:space="preserve">at </w:t>
      </w:r>
      <w:proofErr w:type="spellStart"/>
      <w:r w:rsidRPr="00467DB0">
        <w:t>foretage</w:t>
      </w:r>
      <w:proofErr w:type="spellEnd"/>
      <w:r w:rsidRPr="00467DB0">
        <w:t xml:space="preserve"> de høringer, der er nødvendige for at </w:t>
      </w:r>
      <w:proofErr w:type="spellStart"/>
      <w:r w:rsidRPr="00467DB0">
        <w:t>udføre</w:t>
      </w:r>
      <w:proofErr w:type="spellEnd"/>
      <w:r w:rsidRPr="00467DB0">
        <w:t xml:space="preserve"> sine </w:t>
      </w:r>
      <w:proofErr w:type="spellStart"/>
      <w:r w:rsidRPr="00467DB0">
        <w:t>opgaver</w:t>
      </w:r>
      <w:proofErr w:type="spellEnd"/>
    </w:p>
    <w:p w14:paraId="4E55C16D" w14:textId="77777777" w:rsidR="00000000" w:rsidRPr="00467DB0" w:rsidRDefault="00693D67" w:rsidP="00467DB0">
      <w:pPr>
        <w:pStyle w:val="friliste2"/>
      </w:pPr>
      <w:r w:rsidRPr="00467DB0">
        <w:t>n)</w:t>
      </w:r>
      <w:r w:rsidRPr="00467DB0">
        <w:tab/>
        <w:t xml:space="preserve">at </w:t>
      </w:r>
      <w:proofErr w:type="spellStart"/>
      <w:r w:rsidRPr="00467DB0">
        <w:t>vedtage</w:t>
      </w:r>
      <w:proofErr w:type="spellEnd"/>
      <w:r w:rsidRPr="00467DB0">
        <w:t xml:space="preserve"> og </w:t>
      </w:r>
      <w:proofErr w:type="spellStart"/>
      <w:r w:rsidRPr="00467DB0">
        <w:t>offentliggøre</w:t>
      </w:r>
      <w:proofErr w:type="spellEnd"/>
      <w:r w:rsidRPr="00467DB0">
        <w:t xml:space="preserve"> sin forretningsorden.</w:t>
      </w:r>
    </w:p>
    <w:p w14:paraId="4AEA45B1" w14:textId="77777777" w:rsidR="00000000" w:rsidRPr="00467DB0" w:rsidRDefault="00693D67" w:rsidP="00467DB0">
      <w:pPr>
        <w:pStyle w:val="friliste"/>
      </w:pPr>
      <w:r w:rsidRPr="00467DB0">
        <w:t>3.</w:t>
      </w:r>
      <w:r w:rsidRPr="00467DB0">
        <w:tab/>
      </w:r>
      <w:proofErr w:type="spellStart"/>
      <w:r w:rsidRPr="00467DB0">
        <w:t>Uden</w:t>
      </w:r>
      <w:proofErr w:type="spellEnd"/>
      <w:r w:rsidRPr="00467DB0">
        <w:t xml:space="preserve"> at dette berører de </w:t>
      </w:r>
      <w:proofErr w:type="spellStart"/>
      <w:r w:rsidRPr="00467DB0">
        <w:t>beføjelser</w:t>
      </w:r>
      <w:proofErr w:type="spellEnd"/>
      <w:r w:rsidRPr="00467DB0">
        <w:t xml:space="preserve"> og ansvarsområder, der er tillagt </w:t>
      </w:r>
      <w:proofErr w:type="spellStart"/>
      <w:r w:rsidRPr="00467DB0">
        <w:t>medlemsstaterne</w:t>
      </w:r>
      <w:proofErr w:type="spellEnd"/>
      <w:r w:rsidRPr="00467DB0">
        <w:t xml:space="preserve">, bør der under tilsyn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w:t>
      </w:r>
      <w:proofErr w:type="spellStart"/>
      <w:r w:rsidRPr="00467DB0">
        <w:t>nedsættes</w:t>
      </w:r>
      <w:proofErr w:type="spellEnd"/>
      <w:r w:rsidRPr="00467DB0">
        <w:t xml:space="preserve"> et </w:t>
      </w:r>
      <w:proofErr w:type="spellStart"/>
      <w:r w:rsidRPr="00467DB0">
        <w:t>særligt</w:t>
      </w:r>
      <w:proofErr w:type="spellEnd"/>
      <w:r w:rsidRPr="00467DB0">
        <w:t xml:space="preserve"> underordnet organ, som </w:t>
      </w:r>
      <w:proofErr w:type="spellStart"/>
      <w:r w:rsidRPr="00467DB0">
        <w:t>repræsenterer</w:t>
      </w:r>
      <w:proofErr w:type="spellEnd"/>
      <w:r w:rsidRPr="00467DB0">
        <w:t xml:space="preserve"> </w:t>
      </w:r>
      <w:proofErr w:type="spellStart"/>
      <w:r w:rsidRPr="00467DB0">
        <w:t>medlemsstater</w:t>
      </w:r>
      <w:r w:rsidRPr="00467DB0">
        <w:t>ne</w:t>
      </w:r>
      <w:proofErr w:type="spellEnd"/>
      <w:r w:rsidRPr="00467DB0">
        <w:t xml:space="preserve">, navnlig med </w:t>
      </w:r>
      <w:proofErr w:type="spellStart"/>
      <w:r w:rsidRPr="00467DB0">
        <w:t>henblik</w:t>
      </w:r>
      <w:proofErr w:type="spellEnd"/>
      <w:r w:rsidRPr="00467DB0">
        <w:t xml:space="preserve"> på at </w:t>
      </w:r>
      <w:proofErr w:type="spellStart"/>
      <w:r w:rsidRPr="00467DB0">
        <w:t>udføre</w:t>
      </w:r>
      <w:proofErr w:type="spellEnd"/>
      <w:r w:rsidRPr="00467DB0">
        <w:t xml:space="preserve"> følgende </w:t>
      </w:r>
      <w:proofErr w:type="spellStart"/>
      <w:r w:rsidRPr="00467DB0">
        <w:t>opgaver</w:t>
      </w:r>
      <w:proofErr w:type="spellEnd"/>
      <w:r w:rsidRPr="00467DB0">
        <w:t>:</w:t>
      </w:r>
    </w:p>
    <w:p w14:paraId="18808200" w14:textId="77777777" w:rsidR="00000000" w:rsidRPr="00467DB0" w:rsidRDefault="00693D67" w:rsidP="00467DB0">
      <w:pPr>
        <w:pStyle w:val="friliste2"/>
      </w:pPr>
      <w:r w:rsidRPr="00467DB0">
        <w:t>a)</w:t>
      </w:r>
      <w:r w:rsidRPr="00467DB0">
        <w:tab/>
        <w:t xml:space="preserve">forvaltningen </w:t>
      </w:r>
      <w:proofErr w:type="spellStart"/>
      <w:r w:rsidRPr="00467DB0">
        <w:t>af</w:t>
      </w:r>
      <w:proofErr w:type="spellEnd"/>
      <w:r w:rsidRPr="00467DB0">
        <w:t xml:space="preserve"> programmets </w:t>
      </w:r>
      <w:proofErr w:type="spellStart"/>
      <w:r w:rsidRPr="00467DB0">
        <w:t>flynøgler</w:t>
      </w:r>
      <w:proofErr w:type="spellEnd"/>
    </w:p>
    <w:p w14:paraId="150806A8" w14:textId="77777777" w:rsidR="00000000" w:rsidRPr="00467DB0" w:rsidRDefault="00693D67" w:rsidP="00467DB0">
      <w:pPr>
        <w:pStyle w:val="friliste2"/>
      </w:pPr>
      <w:r w:rsidRPr="00467DB0">
        <w:t>b)</w:t>
      </w:r>
      <w:r w:rsidRPr="00467DB0">
        <w:tab/>
        <w:t xml:space="preserve">kontrollen med og </w:t>
      </w:r>
      <w:proofErr w:type="spellStart"/>
      <w:r w:rsidRPr="00467DB0">
        <w:t>overvågningen</w:t>
      </w:r>
      <w:proofErr w:type="spellEnd"/>
      <w:r w:rsidRPr="00467DB0">
        <w:t xml:space="preserve"> og vurderingen </w:t>
      </w:r>
      <w:proofErr w:type="spellStart"/>
      <w:r w:rsidRPr="00467DB0">
        <w:t>af</w:t>
      </w:r>
      <w:proofErr w:type="spellEnd"/>
      <w:r w:rsidRPr="00467DB0">
        <w:t xml:space="preserve"> </w:t>
      </w:r>
      <w:proofErr w:type="spellStart"/>
      <w:r w:rsidRPr="00467DB0">
        <w:t>fastlæggelsen</w:t>
      </w:r>
      <w:proofErr w:type="spellEnd"/>
      <w:r w:rsidRPr="00467DB0">
        <w:t xml:space="preserve"> og </w:t>
      </w:r>
      <w:proofErr w:type="spellStart"/>
      <w:r w:rsidRPr="00467DB0">
        <w:t>håndhævelsen</w:t>
      </w:r>
      <w:proofErr w:type="spellEnd"/>
      <w:r w:rsidRPr="00467DB0">
        <w:t xml:space="preserve"> </w:t>
      </w:r>
      <w:proofErr w:type="spellStart"/>
      <w:r w:rsidRPr="00467DB0">
        <w:t>af</w:t>
      </w:r>
      <w:proofErr w:type="spellEnd"/>
      <w:r w:rsidRPr="00467DB0">
        <w:t xml:space="preserve"> </w:t>
      </w:r>
      <w:proofErr w:type="spellStart"/>
      <w:r w:rsidRPr="00467DB0">
        <w:t>procedurer</w:t>
      </w:r>
      <w:proofErr w:type="spellEnd"/>
      <w:r w:rsidRPr="00467DB0">
        <w:t xml:space="preserve"> med </w:t>
      </w:r>
      <w:proofErr w:type="spellStart"/>
      <w:r w:rsidRPr="00467DB0">
        <w:t>henblik</w:t>
      </w:r>
      <w:proofErr w:type="spellEnd"/>
      <w:r w:rsidRPr="00467DB0">
        <w:t xml:space="preserve"> på at kunne stå til </w:t>
      </w:r>
      <w:proofErr w:type="spellStart"/>
      <w:r w:rsidRPr="00467DB0">
        <w:t>regnskab</w:t>
      </w:r>
      <w:proofErr w:type="spellEnd"/>
      <w:r w:rsidRPr="00467DB0">
        <w:t xml:space="preserve"> for PRS-</w:t>
      </w:r>
      <w:proofErr w:type="spellStart"/>
      <w:r w:rsidRPr="00467DB0">
        <w:t>nøglerne</w:t>
      </w:r>
      <w:proofErr w:type="spellEnd"/>
      <w:r w:rsidRPr="00467DB0">
        <w:t xml:space="preserve"> til </w:t>
      </w:r>
      <w:r w:rsidRPr="00467DB0">
        <w:t xml:space="preserve">Galileo og sikre deres håndtering, </w:t>
      </w:r>
      <w:proofErr w:type="spellStart"/>
      <w:r w:rsidRPr="00467DB0">
        <w:t>opbevaring</w:t>
      </w:r>
      <w:proofErr w:type="spellEnd"/>
      <w:r w:rsidRPr="00467DB0">
        <w:t xml:space="preserve">, </w:t>
      </w:r>
      <w:proofErr w:type="spellStart"/>
      <w:r w:rsidRPr="00467DB0">
        <w:t>distribution</w:t>
      </w:r>
      <w:proofErr w:type="spellEnd"/>
      <w:r w:rsidRPr="00467DB0">
        <w:t xml:space="preserve"> og bortskaffelse.</w:t>
      </w:r>
    </w:p>
    <w:p w14:paraId="6FF40789" w14:textId="77777777" w:rsidR="00000000" w:rsidRPr="00467DB0" w:rsidRDefault="00693D67" w:rsidP="00467DB0">
      <w:pPr>
        <w:pStyle w:val="avsnitt-undertittel"/>
      </w:pPr>
      <w:proofErr w:type="spellStart"/>
      <w:r w:rsidRPr="00467DB0">
        <w:t>Artikel</w:t>
      </w:r>
      <w:proofErr w:type="spellEnd"/>
      <w:r w:rsidRPr="00467DB0">
        <w:t> 39</w:t>
      </w:r>
    </w:p>
    <w:p w14:paraId="7FD20EEC" w14:textId="77777777" w:rsidR="00000000" w:rsidRPr="00467DB0" w:rsidRDefault="00693D67" w:rsidP="00467DB0">
      <w:pPr>
        <w:pStyle w:val="Undertittel"/>
      </w:pPr>
      <w:r w:rsidRPr="00467DB0">
        <w:t xml:space="preserve">Komitéen for </w:t>
      </w:r>
      <w:proofErr w:type="spellStart"/>
      <w:r w:rsidRPr="00467DB0">
        <w:t>Sikkerhedsgodkendelses</w:t>
      </w:r>
      <w:proofErr w:type="spellEnd"/>
      <w:r w:rsidRPr="00467DB0">
        <w:t xml:space="preserve"> </w:t>
      </w:r>
      <w:proofErr w:type="spellStart"/>
      <w:r w:rsidRPr="00467DB0">
        <w:t>sammensætning</w:t>
      </w:r>
      <w:proofErr w:type="spellEnd"/>
    </w:p>
    <w:p w14:paraId="38937330" w14:textId="77777777" w:rsidR="00000000" w:rsidRPr="00467DB0" w:rsidRDefault="00693D67" w:rsidP="00467DB0">
      <w:pPr>
        <w:pStyle w:val="friliste"/>
      </w:pPr>
      <w:r w:rsidRPr="00467DB0">
        <w:t>1.</w:t>
      </w:r>
      <w:r w:rsidRPr="00467DB0">
        <w:tab/>
        <w:t xml:space="preserve">Komitéen for </w:t>
      </w:r>
      <w:proofErr w:type="spellStart"/>
      <w:r w:rsidRPr="00467DB0">
        <w:t>Sikkerhedsgodkendelse</w:t>
      </w:r>
      <w:proofErr w:type="spellEnd"/>
      <w:r w:rsidRPr="00467DB0">
        <w:t xml:space="preserve"> består </w:t>
      </w:r>
      <w:proofErr w:type="spellStart"/>
      <w:r w:rsidRPr="00467DB0">
        <w:t>af</w:t>
      </w:r>
      <w:proofErr w:type="spellEnd"/>
      <w:r w:rsidRPr="00467DB0">
        <w:t xml:space="preserve"> en </w:t>
      </w:r>
      <w:proofErr w:type="spellStart"/>
      <w:r w:rsidRPr="00467DB0">
        <w:t>repræs</w:t>
      </w:r>
      <w:r w:rsidRPr="00467DB0">
        <w:t>entant</w:t>
      </w:r>
      <w:proofErr w:type="spellEnd"/>
      <w:r w:rsidRPr="00467DB0">
        <w:t xml:space="preserve"> fra hver medlemsstat, en </w:t>
      </w:r>
      <w:proofErr w:type="spellStart"/>
      <w:r w:rsidRPr="00467DB0">
        <w:t>repræsentant</w:t>
      </w:r>
      <w:proofErr w:type="spellEnd"/>
      <w:r w:rsidRPr="00467DB0">
        <w:t xml:space="preserve"> for </w:t>
      </w:r>
      <w:proofErr w:type="spellStart"/>
      <w:r w:rsidRPr="00467DB0">
        <w:t>Kommissionen</w:t>
      </w:r>
      <w:proofErr w:type="spellEnd"/>
      <w:r w:rsidRPr="00467DB0">
        <w:t xml:space="preserve"> og en </w:t>
      </w:r>
      <w:proofErr w:type="spellStart"/>
      <w:r w:rsidRPr="00467DB0">
        <w:t>repræsentant</w:t>
      </w:r>
      <w:proofErr w:type="spellEnd"/>
      <w:r w:rsidRPr="00467DB0">
        <w:t xml:space="preserve"> for den </w:t>
      </w:r>
      <w:proofErr w:type="spellStart"/>
      <w:r w:rsidRPr="00467DB0">
        <w:t>højtstående</w:t>
      </w:r>
      <w:proofErr w:type="spellEnd"/>
      <w:r w:rsidRPr="00467DB0">
        <w:t xml:space="preserve"> </w:t>
      </w:r>
      <w:proofErr w:type="spellStart"/>
      <w:r w:rsidRPr="00467DB0">
        <w:t>repræsentant</w:t>
      </w:r>
      <w:proofErr w:type="spellEnd"/>
      <w:r w:rsidRPr="00467DB0">
        <w:t xml:space="preserve">. Mandatperioden for </w:t>
      </w:r>
      <w:proofErr w:type="spellStart"/>
      <w:r w:rsidRPr="00467DB0">
        <w:t>medlemmerne</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er fire år og kan fornyes.</w:t>
      </w:r>
    </w:p>
    <w:p w14:paraId="0BB6D13B" w14:textId="77777777" w:rsidR="00000000" w:rsidRPr="00467DB0" w:rsidRDefault="00693D67" w:rsidP="00467DB0">
      <w:pPr>
        <w:pStyle w:val="friliste"/>
      </w:pPr>
      <w:r w:rsidRPr="00467DB0">
        <w:t>2.</w:t>
      </w:r>
      <w:r w:rsidRPr="00467DB0">
        <w:tab/>
        <w:t xml:space="preserve">Deltagelse i </w:t>
      </w:r>
      <w:proofErr w:type="spellStart"/>
      <w:r w:rsidRPr="00467DB0">
        <w:t>møderne</w:t>
      </w:r>
      <w:proofErr w:type="spellEnd"/>
      <w:r w:rsidRPr="00467DB0">
        <w:t xml:space="preserve"> i Komitéen for </w:t>
      </w:r>
      <w:proofErr w:type="spellStart"/>
      <w:r w:rsidRPr="00467DB0">
        <w:t>Sikker</w:t>
      </w:r>
      <w:r w:rsidRPr="00467DB0">
        <w:t>hedsgodkendelse</w:t>
      </w:r>
      <w:proofErr w:type="spellEnd"/>
      <w:r w:rsidRPr="00467DB0">
        <w:t xml:space="preserve"> </w:t>
      </w:r>
      <w:proofErr w:type="spellStart"/>
      <w:r w:rsidRPr="00467DB0">
        <w:t>finder</w:t>
      </w:r>
      <w:proofErr w:type="spellEnd"/>
      <w:r w:rsidRPr="00467DB0">
        <w:t xml:space="preserve"> sted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need</w:t>
      </w:r>
      <w:proofErr w:type="spellEnd"/>
      <w:r w:rsidRPr="00467DB0">
        <w:t>-to-</w:t>
      </w:r>
      <w:proofErr w:type="spellStart"/>
      <w:r w:rsidRPr="00467DB0">
        <w:t>know</w:t>
      </w:r>
      <w:proofErr w:type="spellEnd"/>
      <w:r w:rsidRPr="00467DB0">
        <w:t>"-</w:t>
      </w:r>
      <w:proofErr w:type="spellStart"/>
      <w:r w:rsidRPr="00467DB0">
        <w:t>princippet</w:t>
      </w:r>
      <w:proofErr w:type="spellEnd"/>
      <w:r w:rsidRPr="00467DB0">
        <w:t xml:space="preserve">. Hvor det er relevant, kan </w:t>
      </w:r>
      <w:proofErr w:type="spellStart"/>
      <w:r w:rsidRPr="00467DB0">
        <w:t>repræsentanter</w:t>
      </w:r>
      <w:proofErr w:type="spellEnd"/>
      <w:r w:rsidRPr="00467DB0">
        <w:t xml:space="preserve"> for ESA og </w:t>
      </w:r>
      <w:proofErr w:type="spellStart"/>
      <w:r w:rsidRPr="00467DB0">
        <w:t>repræsentanter</w:t>
      </w:r>
      <w:proofErr w:type="spellEnd"/>
      <w:r w:rsidRPr="00467DB0">
        <w:t xml:space="preserve"> for agenturet, som ikke er </w:t>
      </w:r>
      <w:proofErr w:type="spellStart"/>
      <w:r w:rsidRPr="00467DB0">
        <w:t>involveret</w:t>
      </w:r>
      <w:proofErr w:type="spellEnd"/>
      <w:r w:rsidRPr="00467DB0">
        <w:t xml:space="preserve"> i </w:t>
      </w:r>
      <w:proofErr w:type="spellStart"/>
      <w:r w:rsidRPr="00467DB0">
        <w:t>sikkerhedsgodkendelse</w:t>
      </w:r>
      <w:proofErr w:type="spellEnd"/>
      <w:r w:rsidRPr="00467DB0">
        <w:t xml:space="preserve">, </w:t>
      </w:r>
      <w:proofErr w:type="spellStart"/>
      <w:r w:rsidRPr="00467DB0">
        <w:t>indbydes</w:t>
      </w:r>
      <w:proofErr w:type="spellEnd"/>
      <w:r w:rsidRPr="00467DB0">
        <w:t xml:space="preserve"> til at </w:t>
      </w:r>
      <w:proofErr w:type="spellStart"/>
      <w:r w:rsidRPr="00467DB0">
        <w:t>deltage</w:t>
      </w:r>
      <w:proofErr w:type="spellEnd"/>
      <w:r w:rsidRPr="00467DB0">
        <w:t xml:space="preserve"> i Komitéen for </w:t>
      </w:r>
      <w:proofErr w:type="spellStart"/>
      <w:r w:rsidRPr="00467DB0">
        <w:t>Sikkerhedsgodkend</w:t>
      </w:r>
      <w:r w:rsidRPr="00467DB0">
        <w:t>elses</w:t>
      </w:r>
      <w:proofErr w:type="spellEnd"/>
      <w:r w:rsidRPr="00467DB0">
        <w:t xml:space="preserve"> møder som observatører. </w:t>
      </w:r>
      <w:proofErr w:type="spellStart"/>
      <w:r w:rsidRPr="00467DB0">
        <w:t>Repræsentanter</w:t>
      </w:r>
      <w:proofErr w:type="spellEnd"/>
      <w:r w:rsidRPr="00467DB0">
        <w:t xml:space="preserve"> for Unionens agenturer,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organisationer</w:t>
      </w:r>
      <w:proofErr w:type="spellEnd"/>
      <w:r w:rsidRPr="00467DB0">
        <w:t xml:space="preserve"> kan </w:t>
      </w:r>
      <w:proofErr w:type="spellStart"/>
      <w:r w:rsidRPr="00467DB0">
        <w:t>undtagelsesvis</w:t>
      </w:r>
      <w:proofErr w:type="spellEnd"/>
      <w:r w:rsidRPr="00467DB0">
        <w:t xml:space="preserve"> også </w:t>
      </w:r>
      <w:proofErr w:type="spellStart"/>
      <w:r w:rsidRPr="00467DB0">
        <w:t>indbydes</w:t>
      </w:r>
      <w:proofErr w:type="spellEnd"/>
      <w:r w:rsidRPr="00467DB0">
        <w:t xml:space="preserve"> til at </w:t>
      </w:r>
      <w:proofErr w:type="spellStart"/>
      <w:r w:rsidRPr="00467DB0">
        <w:t>deltage</w:t>
      </w:r>
      <w:proofErr w:type="spellEnd"/>
      <w:r w:rsidRPr="00467DB0">
        <w:t xml:space="preserve"> i </w:t>
      </w:r>
      <w:proofErr w:type="spellStart"/>
      <w:r w:rsidRPr="00467DB0">
        <w:t>møderne</w:t>
      </w:r>
      <w:proofErr w:type="spellEnd"/>
      <w:r w:rsidRPr="00467DB0">
        <w:t xml:space="preserve"> i Komitéen for </w:t>
      </w:r>
      <w:proofErr w:type="spellStart"/>
      <w:r w:rsidRPr="00467DB0">
        <w:t>Sikkerhedsgodkendelse</w:t>
      </w:r>
      <w:proofErr w:type="spellEnd"/>
      <w:r w:rsidRPr="00467DB0">
        <w:t xml:space="preserve"> som observatører i </w:t>
      </w:r>
      <w:proofErr w:type="spellStart"/>
      <w:r w:rsidRPr="00467DB0">
        <w:t>spørgsmål</w:t>
      </w:r>
      <w:proofErr w:type="spellEnd"/>
      <w:r w:rsidRPr="00467DB0">
        <w:t>, der direkte ve</w:t>
      </w:r>
      <w:r w:rsidRPr="00467DB0">
        <w:t xml:space="preserve">drører disse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organisationer</w:t>
      </w:r>
      <w:proofErr w:type="spellEnd"/>
      <w:r w:rsidRPr="00467DB0">
        <w:t xml:space="preserve">, navnlig </w:t>
      </w:r>
      <w:proofErr w:type="gramStart"/>
      <w:r w:rsidRPr="00467DB0">
        <w:t>vedrørende</w:t>
      </w:r>
      <w:proofErr w:type="gramEnd"/>
      <w:r w:rsidRPr="00467DB0">
        <w:t xml:space="preserve"> den infrastruktur, der tilhører dem, eller som er beliggende på deres territorium. Ordninger for sådan deltagelse </w:t>
      </w:r>
      <w:proofErr w:type="spellStart"/>
      <w:r w:rsidRPr="00467DB0">
        <w:t>af</w:t>
      </w:r>
      <w:proofErr w:type="spellEnd"/>
      <w:r w:rsidRPr="00467DB0">
        <w:t xml:space="preserve"> </w:t>
      </w:r>
      <w:proofErr w:type="spellStart"/>
      <w:r w:rsidRPr="00467DB0">
        <w:t>repræsentanter</w:t>
      </w:r>
      <w:proofErr w:type="spellEnd"/>
      <w:r w:rsidRPr="00467DB0">
        <w:t xml:space="preserve"> for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organi</w:t>
      </w:r>
      <w:r w:rsidRPr="00467DB0">
        <w:t>sationer</w:t>
      </w:r>
      <w:proofErr w:type="spellEnd"/>
      <w:r w:rsidRPr="00467DB0">
        <w:t xml:space="preserve"> og </w:t>
      </w:r>
      <w:proofErr w:type="spellStart"/>
      <w:r w:rsidRPr="00467DB0">
        <w:t>betingelserne</w:t>
      </w:r>
      <w:proofErr w:type="spellEnd"/>
      <w:r w:rsidRPr="00467DB0">
        <w:t xml:space="preserve"> for sådan deltagelse </w:t>
      </w:r>
      <w:proofErr w:type="spellStart"/>
      <w:r w:rsidRPr="00467DB0">
        <w:t>fastsættes</w:t>
      </w:r>
      <w:proofErr w:type="spellEnd"/>
      <w:r w:rsidRPr="00467DB0">
        <w:t xml:space="preserve"> i de relevante </w:t>
      </w:r>
      <w:proofErr w:type="spellStart"/>
      <w:r w:rsidRPr="00467DB0">
        <w:t>aftaler</w:t>
      </w:r>
      <w:proofErr w:type="spellEnd"/>
      <w:r w:rsidRPr="00467DB0">
        <w:t xml:space="preserve"> og skal være i overensstemmelse med Komitéen for </w:t>
      </w:r>
      <w:proofErr w:type="spellStart"/>
      <w:r w:rsidRPr="00467DB0">
        <w:t>Sikkerhedsgodkendelses</w:t>
      </w:r>
      <w:proofErr w:type="spellEnd"/>
      <w:r w:rsidRPr="00467DB0">
        <w:t xml:space="preserve"> forretningsorden.</w:t>
      </w:r>
    </w:p>
    <w:p w14:paraId="7F858146" w14:textId="77777777" w:rsidR="00000000" w:rsidRPr="00467DB0" w:rsidRDefault="00693D67" w:rsidP="00467DB0">
      <w:pPr>
        <w:pStyle w:val="avsnitt-undertittel"/>
      </w:pPr>
      <w:proofErr w:type="spellStart"/>
      <w:r w:rsidRPr="00467DB0">
        <w:t>Artikel</w:t>
      </w:r>
      <w:proofErr w:type="spellEnd"/>
      <w:r w:rsidRPr="00467DB0">
        <w:t> 40</w:t>
      </w:r>
    </w:p>
    <w:p w14:paraId="3FBD4727" w14:textId="77777777" w:rsidR="00000000" w:rsidRPr="00467DB0" w:rsidRDefault="00693D67" w:rsidP="00467DB0">
      <w:pPr>
        <w:pStyle w:val="Undertittel"/>
      </w:pPr>
      <w:proofErr w:type="spellStart"/>
      <w:r w:rsidRPr="00467DB0">
        <w:t>Afstemningsregler</w:t>
      </w:r>
      <w:proofErr w:type="spellEnd"/>
      <w:r w:rsidRPr="00467DB0">
        <w:t xml:space="preserve"> for Komitéen for </w:t>
      </w:r>
      <w:proofErr w:type="spellStart"/>
      <w:r w:rsidRPr="00467DB0">
        <w:t>Sikkerhedsgodkendelse</w:t>
      </w:r>
      <w:proofErr w:type="spellEnd"/>
    </w:p>
    <w:p w14:paraId="5B5F6C39" w14:textId="77777777" w:rsidR="00000000" w:rsidRPr="00467DB0" w:rsidRDefault="00693D67" w:rsidP="00467DB0">
      <w:r w:rsidRPr="00467DB0">
        <w:t xml:space="preserve">Kan der ikke </w:t>
      </w:r>
      <w:proofErr w:type="spellStart"/>
      <w:r w:rsidRPr="00467DB0">
        <w:t>opnå</w:t>
      </w:r>
      <w:r w:rsidRPr="00467DB0">
        <w:t>s</w:t>
      </w:r>
      <w:proofErr w:type="spellEnd"/>
      <w:r w:rsidRPr="00467DB0">
        <w:t xml:space="preserve"> konsensus i overensstemmelse med de </w:t>
      </w:r>
      <w:proofErr w:type="spellStart"/>
      <w:r w:rsidRPr="00467DB0">
        <w:t>almindelige</w:t>
      </w:r>
      <w:proofErr w:type="spellEnd"/>
      <w:r w:rsidRPr="00467DB0">
        <w:t xml:space="preserve"> </w:t>
      </w:r>
      <w:proofErr w:type="spellStart"/>
      <w:r w:rsidRPr="00467DB0">
        <w:t>principper</w:t>
      </w:r>
      <w:proofErr w:type="spellEnd"/>
      <w:r w:rsidRPr="00467DB0">
        <w:t xml:space="preserve">, der er omhandlet i denne forordnings </w:t>
      </w:r>
      <w:proofErr w:type="spellStart"/>
      <w:r w:rsidRPr="00467DB0">
        <w:t>artikel</w:t>
      </w:r>
      <w:proofErr w:type="spellEnd"/>
      <w:r w:rsidRPr="00467DB0">
        <w:t xml:space="preserve"> 37, litra b), </w:t>
      </w:r>
      <w:proofErr w:type="spellStart"/>
      <w:r w:rsidRPr="00467DB0">
        <w:t>træffer</w:t>
      </w:r>
      <w:proofErr w:type="spellEnd"/>
      <w:r w:rsidRPr="00467DB0">
        <w:t xml:space="preserve"> Komitéen for </w:t>
      </w:r>
      <w:proofErr w:type="spellStart"/>
      <w:r w:rsidRPr="00467DB0">
        <w:t>Sikkerhedsgodkendelse</w:t>
      </w:r>
      <w:proofErr w:type="spellEnd"/>
      <w:r w:rsidRPr="00467DB0">
        <w:t xml:space="preserve"> sine beslutninger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kvalificeret</w:t>
      </w:r>
      <w:proofErr w:type="spellEnd"/>
      <w:r w:rsidRPr="00467DB0">
        <w:t xml:space="preserve"> </w:t>
      </w:r>
      <w:proofErr w:type="spellStart"/>
      <w:r w:rsidRPr="00467DB0">
        <w:t>flertal</w:t>
      </w:r>
      <w:proofErr w:type="spellEnd"/>
      <w:r w:rsidRPr="00467DB0">
        <w:t xml:space="preserve"> i overensstemmelse med </w:t>
      </w:r>
      <w:proofErr w:type="spellStart"/>
      <w:r w:rsidRPr="00467DB0">
        <w:t>artikel</w:t>
      </w:r>
      <w:proofErr w:type="spellEnd"/>
      <w:r w:rsidRPr="00467DB0">
        <w:t> 16 i TE</w:t>
      </w:r>
      <w:r w:rsidRPr="00467DB0">
        <w:t xml:space="preserve">U. </w:t>
      </w:r>
      <w:proofErr w:type="spellStart"/>
      <w:r w:rsidRPr="00467DB0">
        <w:t>Repræsentanten</w:t>
      </w:r>
      <w:proofErr w:type="spellEnd"/>
      <w:r w:rsidRPr="00467DB0">
        <w:t xml:space="preserve"> for </w:t>
      </w:r>
      <w:proofErr w:type="spellStart"/>
      <w:r w:rsidRPr="00467DB0">
        <w:t>Kommissionen</w:t>
      </w:r>
      <w:proofErr w:type="spellEnd"/>
      <w:r w:rsidRPr="00467DB0">
        <w:t xml:space="preserve"> og </w:t>
      </w:r>
      <w:proofErr w:type="spellStart"/>
      <w:r w:rsidRPr="00467DB0">
        <w:t>repræsentanten</w:t>
      </w:r>
      <w:proofErr w:type="spellEnd"/>
      <w:r w:rsidRPr="00467DB0">
        <w:t xml:space="preserve"> for den </w:t>
      </w:r>
      <w:proofErr w:type="spellStart"/>
      <w:r w:rsidRPr="00467DB0">
        <w:t>højtstående</w:t>
      </w:r>
      <w:proofErr w:type="spellEnd"/>
      <w:r w:rsidRPr="00467DB0">
        <w:t xml:space="preserve"> </w:t>
      </w:r>
      <w:proofErr w:type="spellStart"/>
      <w:r w:rsidRPr="00467DB0">
        <w:t>repræsentant</w:t>
      </w:r>
      <w:proofErr w:type="spellEnd"/>
      <w:r w:rsidRPr="00467DB0">
        <w:t xml:space="preserve"> stemmer ikke.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undertegner på komitéens vegne de beslutninger, som komitéen har truffet.</w:t>
      </w:r>
    </w:p>
    <w:p w14:paraId="76C7A45D" w14:textId="77777777" w:rsidR="00000000" w:rsidRPr="00467DB0" w:rsidRDefault="00693D67" w:rsidP="00467DB0">
      <w:pPr>
        <w:pStyle w:val="avsnitt-undertittel"/>
      </w:pPr>
      <w:proofErr w:type="spellStart"/>
      <w:r w:rsidRPr="00467DB0">
        <w:lastRenderedPageBreak/>
        <w:t>Artikel</w:t>
      </w:r>
      <w:proofErr w:type="spellEnd"/>
      <w:r w:rsidRPr="00467DB0">
        <w:t> 41</w:t>
      </w:r>
    </w:p>
    <w:p w14:paraId="63F985EF" w14:textId="77777777" w:rsidR="00000000" w:rsidRPr="00467DB0" w:rsidRDefault="00693D67" w:rsidP="00467DB0">
      <w:pPr>
        <w:pStyle w:val="Undertittel"/>
      </w:pPr>
      <w:proofErr w:type="spellStart"/>
      <w:r w:rsidRPr="00467DB0">
        <w:t>Kommunikation</w:t>
      </w:r>
      <w:proofErr w:type="spellEnd"/>
      <w:r w:rsidRPr="00467DB0">
        <w:t xml:space="preserve"> og </w:t>
      </w:r>
      <w:proofErr w:type="spellStart"/>
      <w:r w:rsidRPr="00467DB0">
        <w:t>virkn</w:t>
      </w:r>
      <w:r w:rsidRPr="00467DB0">
        <w:t>ingerne</w:t>
      </w:r>
      <w:proofErr w:type="spellEnd"/>
      <w:r w:rsidRPr="00467DB0">
        <w:t xml:space="preserve"> </w:t>
      </w:r>
      <w:proofErr w:type="spellStart"/>
      <w:r w:rsidRPr="00467DB0">
        <w:t>af</w:t>
      </w:r>
      <w:proofErr w:type="spellEnd"/>
      <w:r w:rsidRPr="00467DB0">
        <w:t xml:space="preserve"> beslutninger truffet </w:t>
      </w:r>
      <w:proofErr w:type="spellStart"/>
      <w:r w:rsidRPr="00467DB0">
        <w:t>af</w:t>
      </w:r>
      <w:proofErr w:type="spellEnd"/>
      <w:r w:rsidRPr="00467DB0">
        <w:t xml:space="preserve"> Komitéen for </w:t>
      </w:r>
      <w:proofErr w:type="spellStart"/>
      <w:r w:rsidRPr="00467DB0">
        <w:t>Sikkerhedsgodkendelse</w:t>
      </w:r>
      <w:proofErr w:type="spellEnd"/>
    </w:p>
    <w:p w14:paraId="76940F4B" w14:textId="77777777" w:rsidR="00000000" w:rsidRPr="00467DB0" w:rsidRDefault="00693D67" w:rsidP="00467DB0">
      <w:pPr>
        <w:pStyle w:val="friliste"/>
      </w:pPr>
      <w:r w:rsidRPr="00467DB0">
        <w:t>1.</w:t>
      </w:r>
      <w:r w:rsidRPr="00467DB0">
        <w:tab/>
        <w:t xml:space="preserve">Komitéen for </w:t>
      </w:r>
      <w:proofErr w:type="spellStart"/>
      <w:r w:rsidRPr="00467DB0">
        <w:t>Sikkerhedsgodkendelses</w:t>
      </w:r>
      <w:proofErr w:type="spellEnd"/>
      <w:r w:rsidRPr="00467DB0">
        <w:t xml:space="preserve"> beslutninger rettes til </w:t>
      </w:r>
      <w:proofErr w:type="spellStart"/>
      <w:r w:rsidRPr="00467DB0">
        <w:t>Kommissionen</w:t>
      </w:r>
      <w:proofErr w:type="spellEnd"/>
      <w:r w:rsidRPr="00467DB0">
        <w:t>.</w:t>
      </w:r>
    </w:p>
    <w:p w14:paraId="291B988C"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holder </w:t>
      </w:r>
      <w:proofErr w:type="spellStart"/>
      <w:r w:rsidRPr="00467DB0">
        <w:t>løbende</w:t>
      </w:r>
      <w:proofErr w:type="spellEnd"/>
      <w:r w:rsidRPr="00467DB0">
        <w:t xml:space="preserve"> Komitéen for </w:t>
      </w:r>
      <w:proofErr w:type="spellStart"/>
      <w:r w:rsidRPr="00467DB0">
        <w:t>Sikkerhedsgodkendelse</w:t>
      </w:r>
      <w:proofErr w:type="spellEnd"/>
      <w:r w:rsidRPr="00467DB0">
        <w:t xml:space="preserve"> underrettet om </w:t>
      </w:r>
      <w:proofErr w:type="spellStart"/>
      <w:r w:rsidRPr="00467DB0">
        <w:t>konsekvenserne</w:t>
      </w:r>
      <w:proofErr w:type="spellEnd"/>
      <w:r w:rsidRPr="00467DB0">
        <w:t xml:space="preserve"> </w:t>
      </w:r>
      <w:proofErr w:type="spellStart"/>
      <w:r w:rsidRPr="00467DB0">
        <w:t>af</w:t>
      </w:r>
      <w:proofErr w:type="spellEnd"/>
      <w:r w:rsidRPr="00467DB0">
        <w:t xml:space="preserve"> komitéens </w:t>
      </w:r>
      <w:proofErr w:type="spellStart"/>
      <w:r w:rsidRPr="00467DB0">
        <w:t>påtænkte</w:t>
      </w:r>
      <w:proofErr w:type="spellEnd"/>
      <w:r w:rsidRPr="00467DB0">
        <w:t xml:space="preserve"> beslutninger for den korrekte </w:t>
      </w:r>
      <w:proofErr w:type="spellStart"/>
      <w:r w:rsidRPr="00467DB0">
        <w:t>gennemførelse</w:t>
      </w:r>
      <w:proofErr w:type="spellEnd"/>
      <w:r w:rsidRPr="00467DB0">
        <w:t xml:space="preserve"> </w:t>
      </w:r>
      <w:proofErr w:type="spellStart"/>
      <w:r w:rsidRPr="00467DB0">
        <w:t>af</w:t>
      </w:r>
      <w:proofErr w:type="spellEnd"/>
      <w:r w:rsidRPr="00467DB0">
        <w:t xml:space="preserve"> programmets komponenter og for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planerne</w:t>
      </w:r>
      <w:proofErr w:type="spellEnd"/>
      <w:r w:rsidRPr="00467DB0">
        <w:t xml:space="preserve"> for håndtering </w:t>
      </w:r>
      <w:proofErr w:type="spellStart"/>
      <w:r w:rsidRPr="00467DB0">
        <w:t>af</w:t>
      </w:r>
      <w:proofErr w:type="spellEnd"/>
      <w:r w:rsidRPr="00467DB0">
        <w:t xml:space="preserve"> </w:t>
      </w:r>
      <w:proofErr w:type="spellStart"/>
      <w:r w:rsidRPr="00467DB0">
        <w:t>restrisici</w:t>
      </w:r>
      <w:proofErr w:type="spellEnd"/>
      <w:r w:rsidRPr="00467DB0">
        <w:t xml:space="preserve">. Komitéen for </w:t>
      </w:r>
      <w:proofErr w:type="spellStart"/>
      <w:r w:rsidRPr="00467DB0">
        <w:t>Sikkerhedsgodkendelse</w:t>
      </w:r>
      <w:proofErr w:type="spellEnd"/>
      <w:r w:rsidRPr="00467DB0">
        <w:t xml:space="preserve"> tager hensyn til sådanne eventuelle </w:t>
      </w:r>
      <w:proofErr w:type="spellStart"/>
      <w:r w:rsidRPr="00467DB0">
        <w:t>oplysninger</w:t>
      </w:r>
      <w:proofErr w:type="spellEnd"/>
      <w:r w:rsidRPr="00467DB0">
        <w:t xml:space="preserve"> </w:t>
      </w:r>
      <w:proofErr w:type="spellStart"/>
      <w:r w:rsidRPr="00467DB0">
        <w:t>modtaget</w:t>
      </w:r>
      <w:proofErr w:type="spellEnd"/>
      <w:r w:rsidRPr="00467DB0">
        <w:t xml:space="preserve"> fra </w:t>
      </w:r>
      <w:proofErr w:type="spellStart"/>
      <w:r w:rsidRPr="00467DB0">
        <w:t>Kommissionen</w:t>
      </w:r>
      <w:proofErr w:type="spellEnd"/>
      <w:r w:rsidRPr="00467DB0">
        <w:t>.</w:t>
      </w:r>
    </w:p>
    <w:p w14:paraId="22B806B5"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informerer </w:t>
      </w:r>
      <w:proofErr w:type="spellStart"/>
      <w:r w:rsidRPr="00467DB0">
        <w:t>uden</w:t>
      </w:r>
      <w:proofErr w:type="spellEnd"/>
      <w:r w:rsidRPr="00467DB0">
        <w:t xml:space="preserve"> </w:t>
      </w:r>
      <w:proofErr w:type="spellStart"/>
      <w:r w:rsidRPr="00467DB0">
        <w:t>unødigt</w:t>
      </w:r>
      <w:proofErr w:type="spellEnd"/>
      <w:r w:rsidRPr="00467DB0">
        <w:t xml:space="preserve"> </w:t>
      </w:r>
      <w:proofErr w:type="spellStart"/>
      <w:r w:rsidRPr="00467DB0">
        <w:t>ophold</w:t>
      </w:r>
      <w:proofErr w:type="spellEnd"/>
      <w:r w:rsidRPr="00467DB0">
        <w:t xml:space="preserve"> Europa-Parlamentet og Rådet om </w:t>
      </w:r>
      <w:proofErr w:type="spellStart"/>
      <w:r w:rsidRPr="00467DB0">
        <w:t>sikkerhedsgodkendelsernes</w:t>
      </w:r>
      <w:proofErr w:type="spellEnd"/>
      <w:r w:rsidRPr="00467DB0">
        <w:t xml:space="preserve"> </w:t>
      </w:r>
      <w:proofErr w:type="spellStart"/>
      <w:r w:rsidRPr="00467DB0">
        <w:t>indvirkning</w:t>
      </w:r>
      <w:proofErr w:type="spellEnd"/>
      <w:r w:rsidRPr="00467DB0">
        <w:t xml:space="preserve"> på den korrekte </w:t>
      </w:r>
      <w:proofErr w:type="spellStart"/>
      <w:r w:rsidRPr="00467DB0">
        <w:t>gennemførelse</w:t>
      </w:r>
      <w:proofErr w:type="spellEnd"/>
      <w:r w:rsidRPr="00467DB0">
        <w:t xml:space="preserve"> </w:t>
      </w:r>
      <w:proofErr w:type="spellStart"/>
      <w:r w:rsidRPr="00467DB0">
        <w:t>af</w:t>
      </w:r>
      <w:proofErr w:type="spellEnd"/>
      <w:r w:rsidRPr="00467DB0">
        <w:t xml:space="preserve"> programmets komponenter. </w:t>
      </w:r>
      <w:proofErr w:type="spellStart"/>
      <w:r w:rsidRPr="00467DB0">
        <w:t>Finder</w:t>
      </w:r>
      <w:proofErr w:type="spellEnd"/>
      <w:r w:rsidRPr="00467DB0">
        <w:t xml:space="preserve"> </w:t>
      </w:r>
      <w:proofErr w:type="spellStart"/>
      <w:r w:rsidRPr="00467DB0">
        <w:t>Kommissionen</w:t>
      </w:r>
      <w:proofErr w:type="spellEnd"/>
      <w:r w:rsidRPr="00467DB0">
        <w:t xml:space="preserve">, at en beslutning truffet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w:t>
      </w:r>
      <w:r w:rsidRPr="00467DB0">
        <w:t xml:space="preserve">kan have en betydelig </w:t>
      </w:r>
      <w:proofErr w:type="spellStart"/>
      <w:r w:rsidRPr="00467DB0">
        <w:t>indvirkning</w:t>
      </w:r>
      <w:proofErr w:type="spellEnd"/>
      <w:r w:rsidRPr="00467DB0">
        <w:t xml:space="preserve"> på den korrekte </w:t>
      </w:r>
      <w:proofErr w:type="spellStart"/>
      <w:r w:rsidRPr="00467DB0">
        <w:t>gennemførelse</w:t>
      </w:r>
      <w:proofErr w:type="spellEnd"/>
      <w:r w:rsidRPr="00467DB0">
        <w:t xml:space="preserve"> </w:t>
      </w:r>
      <w:proofErr w:type="spellStart"/>
      <w:r w:rsidRPr="00467DB0">
        <w:t>af</w:t>
      </w:r>
      <w:proofErr w:type="spellEnd"/>
      <w:r w:rsidRPr="00467DB0">
        <w:t xml:space="preserve"> disse komponenter, for eksempel med hensyn til omkostninger, tidsplan og </w:t>
      </w:r>
      <w:proofErr w:type="spellStart"/>
      <w:r w:rsidRPr="00467DB0">
        <w:t>udførelse</w:t>
      </w:r>
      <w:proofErr w:type="spellEnd"/>
      <w:r w:rsidRPr="00467DB0">
        <w:t xml:space="preserve">, underretter </w:t>
      </w:r>
      <w:proofErr w:type="gramStart"/>
      <w:r w:rsidRPr="00467DB0">
        <w:t>den omgående Europa-Parlamentet</w:t>
      </w:r>
      <w:proofErr w:type="gramEnd"/>
      <w:r w:rsidRPr="00467DB0">
        <w:t xml:space="preserve"> og Rådet herom.</w:t>
      </w:r>
    </w:p>
    <w:p w14:paraId="08E60B0D" w14:textId="77777777" w:rsidR="00000000" w:rsidRPr="00467DB0" w:rsidRDefault="00693D67" w:rsidP="00467DB0">
      <w:pPr>
        <w:pStyle w:val="friliste"/>
      </w:pPr>
      <w:r w:rsidRPr="00467DB0">
        <w:t>4.</w:t>
      </w:r>
      <w:r w:rsidRPr="00467DB0">
        <w:tab/>
        <w:t xml:space="preserve">Bestyrelsen holdes </w:t>
      </w:r>
      <w:proofErr w:type="spellStart"/>
      <w:r w:rsidRPr="00467DB0">
        <w:t>løbende</w:t>
      </w:r>
      <w:proofErr w:type="spellEnd"/>
      <w:r w:rsidRPr="00467DB0">
        <w:t xml:space="preserve"> </w:t>
      </w:r>
      <w:proofErr w:type="spellStart"/>
      <w:r w:rsidRPr="00467DB0">
        <w:t>orienteret</w:t>
      </w:r>
      <w:proofErr w:type="spellEnd"/>
      <w:r w:rsidRPr="00467DB0">
        <w:t xml:space="preserve"> om </w:t>
      </w:r>
      <w:proofErr w:type="spellStart"/>
      <w:r w:rsidRPr="00467DB0">
        <w:t>u</w:t>
      </w:r>
      <w:r w:rsidRPr="00467DB0">
        <w:t>dviklingen</w:t>
      </w:r>
      <w:proofErr w:type="spellEnd"/>
      <w:r w:rsidRPr="00467DB0">
        <w:t xml:space="preserve"> i Komitéen for </w:t>
      </w:r>
      <w:proofErr w:type="spellStart"/>
      <w:r w:rsidRPr="00467DB0">
        <w:t>Sikkerhedsgodkendelses</w:t>
      </w:r>
      <w:proofErr w:type="spellEnd"/>
      <w:r w:rsidRPr="00467DB0">
        <w:t xml:space="preserve"> </w:t>
      </w:r>
      <w:proofErr w:type="spellStart"/>
      <w:r w:rsidRPr="00467DB0">
        <w:t>arbejde</w:t>
      </w:r>
      <w:proofErr w:type="spellEnd"/>
      <w:r w:rsidRPr="00467DB0">
        <w:t>.</w:t>
      </w:r>
    </w:p>
    <w:p w14:paraId="7C429529" w14:textId="77777777" w:rsidR="00000000" w:rsidRPr="00467DB0" w:rsidRDefault="00693D67" w:rsidP="00467DB0">
      <w:pPr>
        <w:pStyle w:val="friliste"/>
      </w:pPr>
      <w:r w:rsidRPr="00467DB0">
        <w:t>5.</w:t>
      </w:r>
      <w:r w:rsidRPr="00467DB0">
        <w:tab/>
        <w:t xml:space="preserve">Tidsplanen for Komitéen for </w:t>
      </w:r>
      <w:proofErr w:type="spellStart"/>
      <w:r w:rsidRPr="00467DB0">
        <w:t>Sikkerhedsgodkendelses</w:t>
      </w:r>
      <w:proofErr w:type="spellEnd"/>
      <w:r w:rsidRPr="00467DB0">
        <w:t xml:space="preserve"> </w:t>
      </w:r>
      <w:proofErr w:type="spellStart"/>
      <w:r w:rsidRPr="00467DB0">
        <w:t>arbejde</w:t>
      </w:r>
      <w:proofErr w:type="spellEnd"/>
      <w:r w:rsidRPr="00467DB0">
        <w:t xml:space="preserve"> må ikke påvirke tidsplanen for </w:t>
      </w:r>
      <w:proofErr w:type="spellStart"/>
      <w:r w:rsidRPr="00467DB0">
        <w:t>aktiviteterne</w:t>
      </w:r>
      <w:proofErr w:type="spellEnd"/>
      <w:r w:rsidRPr="00467DB0">
        <w:t xml:space="preserve"> i </w:t>
      </w:r>
      <w:proofErr w:type="spellStart"/>
      <w:r w:rsidRPr="00467DB0">
        <w:t>arbejdsprogrammet</w:t>
      </w:r>
      <w:proofErr w:type="spellEnd"/>
      <w:r w:rsidRPr="00467DB0">
        <w:t xml:space="preserve">, jf. </w:t>
      </w:r>
      <w:proofErr w:type="spellStart"/>
      <w:r w:rsidRPr="00467DB0">
        <w:t>artikel</w:t>
      </w:r>
      <w:proofErr w:type="spellEnd"/>
      <w:r w:rsidRPr="00467DB0">
        <w:t> 100.</w:t>
      </w:r>
    </w:p>
    <w:p w14:paraId="216142E1" w14:textId="77777777" w:rsidR="00000000" w:rsidRPr="00467DB0" w:rsidRDefault="00693D67" w:rsidP="00467DB0">
      <w:pPr>
        <w:pStyle w:val="avsnitt-undertittel"/>
      </w:pPr>
      <w:proofErr w:type="spellStart"/>
      <w:r w:rsidRPr="00467DB0">
        <w:t>Artikel</w:t>
      </w:r>
      <w:proofErr w:type="spellEnd"/>
      <w:r w:rsidRPr="00467DB0">
        <w:t> 42</w:t>
      </w:r>
    </w:p>
    <w:p w14:paraId="2B4F6451" w14:textId="77777777" w:rsidR="00000000" w:rsidRPr="00467DB0" w:rsidRDefault="00693D67" w:rsidP="00467DB0">
      <w:pPr>
        <w:pStyle w:val="Undertittel"/>
      </w:pPr>
      <w:proofErr w:type="spellStart"/>
      <w:r w:rsidRPr="00467DB0">
        <w:t>Medlemsstaternes</w:t>
      </w:r>
      <w:proofErr w:type="spellEnd"/>
      <w:r w:rsidRPr="00467DB0">
        <w:t xml:space="preserve"> rolle i forbindelse med </w:t>
      </w:r>
      <w:proofErr w:type="spellStart"/>
      <w:r w:rsidRPr="00467DB0">
        <w:t>s</w:t>
      </w:r>
      <w:r w:rsidRPr="00467DB0">
        <w:t>ikkerhedsgodkendelse</w:t>
      </w:r>
      <w:proofErr w:type="spellEnd"/>
    </w:p>
    <w:p w14:paraId="1FC84235" w14:textId="77777777" w:rsidR="00000000" w:rsidRPr="00467DB0" w:rsidRDefault="00693D67" w:rsidP="00467DB0">
      <w:pPr>
        <w:pStyle w:val="friliste"/>
      </w:pPr>
      <w:r w:rsidRPr="00467DB0">
        <w:t xml:space="preserve">1 </w:t>
      </w:r>
      <w:r w:rsidRPr="00467DB0">
        <w:tab/>
      </w:r>
      <w:proofErr w:type="spellStart"/>
      <w:r w:rsidRPr="00467DB0">
        <w:t>Medlemsstaterne</w:t>
      </w:r>
      <w:proofErr w:type="spellEnd"/>
      <w:r w:rsidRPr="00467DB0">
        <w:t xml:space="preserve"> sender Komitéen for </w:t>
      </w:r>
      <w:proofErr w:type="spellStart"/>
      <w:r w:rsidRPr="00467DB0">
        <w:t>Sikkerhedsgodkendelse</w:t>
      </w:r>
      <w:proofErr w:type="spellEnd"/>
      <w:r w:rsidRPr="00467DB0">
        <w:t xml:space="preserve"> alle </w:t>
      </w:r>
      <w:proofErr w:type="spellStart"/>
      <w:r w:rsidRPr="00467DB0">
        <w:t>oplysninger</w:t>
      </w:r>
      <w:proofErr w:type="spellEnd"/>
      <w:r w:rsidRPr="00467DB0">
        <w:t xml:space="preserve">, som de </w:t>
      </w:r>
      <w:proofErr w:type="spellStart"/>
      <w:r w:rsidRPr="00467DB0">
        <w:t>finder</w:t>
      </w:r>
      <w:proofErr w:type="spellEnd"/>
      <w:r w:rsidRPr="00467DB0">
        <w:t xml:space="preserve"> relevante med </w:t>
      </w:r>
      <w:proofErr w:type="spellStart"/>
      <w:r w:rsidRPr="00467DB0">
        <w:t>henblik</w:t>
      </w:r>
      <w:proofErr w:type="spellEnd"/>
      <w:r w:rsidRPr="00467DB0">
        <w:t xml:space="preserve"> på </w:t>
      </w:r>
      <w:proofErr w:type="spellStart"/>
      <w:r w:rsidRPr="00467DB0">
        <w:t>sikkerhedsgodkendelse</w:t>
      </w:r>
      <w:proofErr w:type="spellEnd"/>
      <w:r w:rsidRPr="00467DB0">
        <w:t>.</w:t>
      </w:r>
    </w:p>
    <w:p w14:paraId="60A0A95E" w14:textId="77777777" w:rsidR="00000000" w:rsidRPr="00467DB0" w:rsidRDefault="00693D67" w:rsidP="00467DB0">
      <w:pPr>
        <w:pStyle w:val="friliste"/>
      </w:pPr>
      <w:r w:rsidRPr="00467DB0">
        <w:t>2.</w:t>
      </w:r>
      <w:r w:rsidRPr="00467DB0">
        <w:tab/>
        <w:t xml:space="preserve">Efter </w:t>
      </w:r>
      <w:proofErr w:type="spellStart"/>
      <w:r w:rsidRPr="00467DB0">
        <w:t>aftale</w:t>
      </w:r>
      <w:proofErr w:type="spellEnd"/>
      <w:r w:rsidRPr="00467DB0">
        <w:t xml:space="preserve"> med og under tilsyn </w:t>
      </w:r>
      <w:proofErr w:type="spellStart"/>
      <w:r w:rsidRPr="00467DB0">
        <w:t>af</w:t>
      </w:r>
      <w:proofErr w:type="spellEnd"/>
      <w:r w:rsidRPr="00467DB0">
        <w:t xml:space="preserve"> de </w:t>
      </w:r>
      <w:proofErr w:type="spellStart"/>
      <w:r w:rsidRPr="00467DB0">
        <w:t>nationale</w:t>
      </w:r>
      <w:proofErr w:type="spellEnd"/>
      <w:r w:rsidRPr="00467DB0">
        <w:t xml:space="preserve"> </w:t>
      </w:r>
      <w:proofErr w:type="spellStart"/>
      <w:r w:rsidRPr="00467DB0">
        <w:t>enheder</w:t>
      </w:r>
      <w:proofErr w:type="spellEnd"/>
      <w:r w:rsidRPr="00467DB0">
        <w:t xml:space="preserve">, der har </w:t>
      </w:r>
      <w:proofErr w:type="spellStart"/>
      <w:r w:rsidRPr="00467DB0">
        <w:t>kompetence</w:t>
      </w:r>
      <w:proofErr w:type="spellEnd"/>
      <w:r w:rsidRPr="00467DB0">
        <w:t xml:space="preserve"> på </w:t>
      </w:r>
      <w:proofErr w:type="spellStart"/>
      <w:r w:rsidRPr="00467DB0">
        <w:t>sikkerhedso</w:t>
      </w:r>
      <w:r w:rsidRPr="00467DB0">
        <w:t>mrådet</w:t>
      </w:r>
      <w:proofErr w:type="spellEnd"/>
      <w:r w:rsidRPr="00467DB0">
        <w:t xml:space="preserve">, </w:t>
      </w:r>
      <w:proofErr w:type="spellStart"/>
      <w:r w:rsidRPr="00467DB0">
        <w:t>tillader</w:t>
      </w:r>
      <w:proofErr w:type="spellEnd"/>
      <w:r w:rsidRPr="00467DB0">
        <w:t xml:space="preserve"> </w:t>
      </w:r>
      <w:proofErr w:type="spellStart"/>
      <w:r w:rsidRPr="00467DB0">
        <w:t>medlemsstaterne</w:t>
      </w:r>
      <w:proofErr w:type="spellEnd"/>
      <w:r w:rsidRPr="00467DB0">
        <w:t xml:space="preserve">, at </w:t>
      </w:r>
      <w:proofErr w:type="spellStart"/>
      <w:r w:rsidRPr="00467DB0">
        <w:t>behørigt</w:t>
      </w:r>
      <w:proofErr w:type="spellEnd"/>
      <w:r w:rsidRPr="00467DB0">
        <w:t xml:space="preserve"> bemyndigede personer </w:t>
      </w:r>
      <w:proofErr w:type="spellStart"/>
      <w:r w:rsidRPr="00467DB0">
        <w:t>udpeget</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får adgang til </w:t>
      </w:r>
      <w:proofErr w:type="spellStart"/>
      <w:r w:rsidRPr="00467DB0">
        <w:t>oplysninger</w:t>
      </w:r>
      <w:proofErr w:type="spellEnd"/>
      <w:r w:rsidRPr="00467DB0">
        <w:t xml:space="preserve"> og til alle områder og </w:t>
      </w:r>
      <w:proofErr w:type="spellStart"/>
      <w:r w:rsidRPr="00467DB0">
        <w:t>anlæg</w:t>
      </w:r>
      <w:proofErr w:type="spellEnd"/>
      <w:r w:rsidRPr="00467DB0">
        <w:t xml:space="preserve"> </w:t>
      </w:r>
      <w:proofErr w:type="spellStart"/>
      <w:r w:rsidRPr="00467DB0">
        <w:t>af</w:t>
      </w:r>
      <w:proofErr w:type="spellEnd"/>
      <w:r w:rsidRPr="00467DB0">
        <w:t xml:space="preserve"> relevans for systemers </w:t>
      </w:r>
      <w:proofErr w:type="spellStart"/>
      <w:r w:rsidRPr="00467DB0">
        <w:t>sikkerhed</w:t>
      </w:r>
      <w:proofErr w:type="spellEnd"/>
      <w:r w:rsidRPr="00467DB0">
        <w:t xml:space="preserve">, der hører under deres </w:t>
      </w:r>
      <w:proofErr w:type="spellStart"/>
      <w:r w:rsidRPr="00467DB0">
        <w:t>jurisdiktion</w:t>
      </w:r>
      <w:proofErr w:type="spellEnd"/>
      <w:r w:rsidRPr="00467DB0">
        <w:t>, i overensstemm</w:t>
      </w:r>
      <w:r w:rsidRPr="00467DB0">
        <w:t xml:space="preserve">else med </w:t>
      </w:r>
      <w:proofErr w:type="spellStart"/>
      <w:r w:rsidRPr="00467DB0">
        <w:t>nationale</w:t>
      </w:r>
      <w:proofErr w:type="spellEnd"/>
      <w:r w:rsidRPr="00467DB0">
        <w:t xml:space="preserve"> love og bestemmelser, herunder med </w:t>
      </w:r>
      <w:proofErr w:type="spellStart"/>
      <w:r w:rsidRPr="00467DB0">
        <w:t>henblik</w:t>
      </w:r>
      <w:proofErr w:type="spellEnd"/>
      <w:r w:rsidRPr="00467DB0">
        <w:t xml:space="preserve"> på </w:t>
      </w:r>
      <w:proofErr w:type="spellStart"/>
      <w:r w:rsidRPr="00467DB0">
        <w:t>sikkerhedskontroller</w:t>
      </w:r>
      <w:proofErr w:type="spellEnd"/>
      <w:r w:rsidRPr="00467DB0">
        <w:t xml:space="preserve"> og -test på Komitéen for </w:t>
      </w:r>
      <w:proofErr w:type="spellStart"/>
      <w:r w:rsidRPr="00467DB0">
        <w:t>Sikkerhedsgodkendelses</w:t>
      </w:r>
      <w:proofErr w:type="spellEnd"/>
      <w:r w:rsidRPr="00467DB0">
        <w:t xml:space="preserve"> foranledning og på den i </w:t>
      </w:r>
      <w:proofErr w:type="spellStart"/>
      <w:r w:rsidRPr="00467DB0">
        <w:t>artikel</w:t>
      </w:r>
      <w:proofErr w:type="spellEnd"/>
      <w:r w:rsidRPr="00467DB0">
        <w:t xml:space="preserve"> 37, litra h), omhandlede </w:t>
      </w:r>
      <w:proofErr w:type="spellStart"/>
      <w:r w:rsidRPr="00467DB0">
        <w:t>proces</w:t>
      </w:r>
      <w:proofErr w:type="spellEnd"/>
      <w:r w:rsidRPr="00467DB0">
        <w:t xml:space="preserve"> til </w:t>
      </w:r>
      <w:proofErr w:type="spellStart"/>
      <w:r w:rsidRPr="00467DB0">
        <w:t>overvågning</w:t>
      </w:r>
      <w:proofErr w:type="spellEnd"/>
      <w:r w:rsidRPr="00467DB0">
        <w:t xml:space="preserve"> </w:t>
      </w:r>
      <w:proofErr w:type="spellStart"/>
      <w:r w:rsidRPr="00467DB0">
        <w:t>af</w:t>
      </w:r>
      <w:proofErr w:type="spellEnd"/>
      <w:r w:rsidRPr="00467DB0">
        <w:t xml:space="preserve"> </w:t>
      </w:r>
      <w:proofErr w:type="spellStart"/>
      <w:r w:rsidRPr="00467DB0">
        <w:t>sikkerhedsrisici</w:t>
      </w:r>
      <w:proofErr w:type="spellEnd"/>
      <w:r w:rsidRPr="00467DB0">
        <w:t>. Denne adgang skal væ</w:t>
      </w:r>
      <w:r w:rsidRPr="00467DB0">
        <w:t xml:space="preserve">re </w:t>
      </w:r>
      <w:proofErr w:type="spellStart"/>
      <w:r w:rsidRPr="00467DB0">
        <w:t>uden</w:t>
      </w:r>
      <w:proofErr w:type="spellEnd"/>
      <w:r w:rsidRPr="00467DB0">
        <w:t xml:space="preserve"> </w:t>
      </w:r>
      <w:proofErr w:type="spellStart"/>
      <w:r w:rsidRPr="00467DB0">
        <w:t>diskrimination</w:t>
      </w:r>
      <w:proofErr w:type="spellEnd"/>
      <w:r w:rsidRPr="00467DB0">
        <w:t xml:space="preserve"> </w:t>
      </w:r>
      <w:proofErr w:type="spellStart"/>
      <w:r w:rsidRPr="00467DB0">
        <w:t>af</w:t>
      </w:r>
      <w:proofErr w:type="spellEnd"/>
      <w:r w:rsidRPr="00467DB0">
        <w:t xml:space="preserve"> </w:t>
      </w:r>
      <w:proofErr w:type="spellStart"/>
      <w:r w:rsidRPr="00467DB0">
        <w:t>medlemsstaternes</w:t>
      </w:r>
      <w:proofErr w:type="spellEnd"/>
      <w:r w:rsidRPr="00467DB0">
        <w:t xml:space="preserve"> statsborgere på grund </w:t>
      </w:r>
      <w:proofErr w:type="spellStart"/>
      <w:r w:rsidRPr="00467DB0">
        <w:t>af</w:t>
      </w:r>
      <w:proofErr w:type="spellEnd"/>
      <w:r w:rsidRPr="00467DB0">
        <w:t xml:space="preserve"> </w:t>
      </w:r>
      <w:proofErr w:type="spellStart"/>
      <w:r w:rsidRPr="00467DB0">
        <w:t>nationalitet</w:t>
      </w:r>
      <w:proofErr w:type="spellEnd"/>
      <w:r w:rsidRPr="00467DB0">
        <w:t>.</w:t>
      </w:r>
    </w:p>
    <w:p w14:paraId="0E8E6B3F" w14:textId="77777777" w:rsidR="00000000" w:rsidRPr="00467DB0" w:rsidRDefault="00693D67" w:rsidP="00467DB0">
      <w:pPr>
        <w:pStyle w:val="friliste"/>
      </w:pPr>
      <w:r w:rsidRPr="00467DB0">
        <w:t>3.</w:t>
      </w:r>
      <w:r w:rsidRPr="00467DB0">
        <w:tab/>
        <w:t xml:space="preserve">Kontroller og test som omhandlet i stk. 2 foretages i overensstemmelse med følgende </w:t>
      </w:r>
      <w:proofErr w:type="spellStart"/>
      <w:r w:rsidRPr="00467DB0">
        <w:t>principper</w:t>
      </w:r>
      <w:proofErr w:type="spellEnd"/>
      <w:r w:rsidRPr="00467DB0">
        <w:t>:</w:t>
      </w:r>
    </w:p>
    <w:p w14:paraId="08B4F92D" w14:textId="77777777" w:rsidR="00000000" w:rsidRPr="00467DB0" w:rsidRDefault="00693D67" w:rsidP="00467DB0">
      <w:pPr>
        <w:pStyle w:val="friliste2"/>
      </w:pPr>
      <w:r w:rsidRPr="00467DB0">
        <w:t>a)</w:t>
      </w:r>
      <w:r w:rsidRPr="00467DB0">
        <w:tab/>
        <w:t xml:space="preserve">betydningen </w:t>
      </w:r>
      <w:proofErr w:type="spellStart"/>
      <w:r w:rsidRPr="00467DB0">
        <w:t>af</w:t>
      </w:r>
      <w:proofErr w:type="spellEnd"/>
      <w:r w:rsidRPr="00467DB0">
        <w:t xml:space="preserve"> </w:t>
      </w:r>
      <w:proofErr w:type="spellStart"/>
      <w:r w:rsidRPr="00467DB0">
        <w:t>sikkerhed</w:t>
      </w:r>
      <w:proofErr w:type="spellEnd"/>
      <w:r w:rsidRPr="00467DB0">
        <w:t xml:space="preserve"> og effektiv risikostyring i de </w:t>
      </w:r>
      <w:proofErr w:type="spellStart"/>
      <w:r w:rsidRPr="00467DB0">
        <w:t>inspicerede</w:t>
      </w:r>
      <w:proofErr w:type="spellEnd"/>
      <w:r w:rsidRPr="00467DB0">
        <w:t xml:space="preserve"> </w:t>
      </w:r>
      <w:proofErr w:type="spellStart"/>
      <w:r w:rsidRPr="00467DB0">
        <w:t>enhe</w:t>
      </w:r>
      <w:r w:rsidRPr="00467DB0">
        <w:t>der</w:t>
      </w:r>
      <w:proofErr w:type="spellEnd"/>
      <w:r w:rsidRPr="00467DB0">
        <w:t xml:space="preserve"> </w:t>
      </w:r>
      <w:proofErr w:type="spellStart"/>
      <w:r w:rsidRPr="00467DB0">
        <w:t>understreges</w:t>
      </w:r>
      <w:proofErr w:type="spellEnd"/>
    </w:p>
    <w:p w14:paraId="21C7EA0C" w14:textId="77777777" w:rsidR="00000000" w:rsidRPr="00467DB0" w:rsidRDefault="00693D67" w:rsidP="00467DB0">
      <w:pPr>
        <w:pStyle w:val="friliste2"/>
      </w:pPr>
      <w:r w:rsidRPr="00467DB0">
        <w:t>b)</w:t>
      </w:r>
      <w:r w:rsidRPr="00467DB0">
        <w:tab/>
      </w:r>
      <w:proofErr w:type="spellStart"/>
      <w:r w:rsidRPr="00467DB0">
        <w:t>modforanstaltninger</w:t>
      </w:r>
      <w:proofErr w:type="spellEnd"/>
      <w:r w:rsidRPr="00467DB0">
        <w:t xml:space="preserve"> til </w:t>
      </w:r>
      <w:proofErr w:type="spellStart"/>
      <w:r w:rsidRPr="00467DB0">
        <w:t>afbødning</w:t>
      </w:r>
      <w:proofErr w:type="spellEnd"/>
      <w:r w:rsidRPr="00467DB0">
        <w:t xml:space="preserve"> </w:t>
      </w:r>
      <w:proofErr w:type="spellStart"/>
      <w:r w:rsidRPr="00467DB0">
        <w:t>af</w:t>
      </w:r>
      <w:proofErr w:type="spellEnd"/>
      <w:r w:rsidRPr="00467DB0">
        <w:t xml:space="preserve"> de </w:t>
      </w:r>
      <w:proofErr w:type="spellStart"/>
      <w:r w:rsidRPr="00467DB0">
        <w:t>specifikke</w:t>
      </w:r>
      <w:proofErr w:type="spellEnd"/>
      <w:r w:rsidRPr="00467DB0">
        <w:t xml:space="preserve"> virkninger i </w:t>
      </w:r>
      <w:proofErr w:type="spellStart"/>
      <w:r w:rsidRPr="00467DB0">
        <w:t>tilfælde</w:t>
      </w:r>
      <w:proofErr w:type="spellEnd"/>
      <w:r w:rsidRPr="00467DB0">
        <w:t xml:space="preserve"> </w:t>
      </w:r>
      <w:proofErr w:type="spellStart"/>
      <w:r w:rsidRPr="00467DB0">
        <w:t>af</w:t>
      </w:r>
      <w:proofErr w:type="spellEnd"/>
      <w:r w:rsidRPr="00467DB0">
        <w:t xml:space="preserve"> </w:t>
      </w:r>
      <w:proofErr w:type="spellStart"/>
      <w:r w:rsidRPr="00467DB0">
        <w:t>tab</w:t>
      </w:r>
      <w:proofErr w:type="spellEnd"/>
      <w:r w:rsidRPr="00467DB0">
        <w:t xml:space="preserv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informationers</w:t>
      </w:r>
      <w:proofErr w:type="spellEnd"/>
      <w:r w:rsidRPr="00467DB0">
        <w:t xml:space="preserve"> </w:t>
      </w:r>
      <w:proofErr w:type="spellStart"/>
      <w:r w:rsidRPr="00467DB0">
        <w:t>fortrolighed</w:t>
      </w:r>
      <w:proofErr w:type="spellEnd"/>
      <w:r w:rsidRPr="00467DB0">
        <w:t xml:space="preserve">, integritet eller </w:t>
      </w:r>
      <w:proofErr w:type="spellStart"/>
      <w:r w:rsidRPr="00467DB0">
        <w:t>tilgængelighed</w:t>
      </w:r>
      <w:proofErr w:type="spellEnd"/>
      <w:r w:rsidRPr="00467DB0">
        <w:t xml:space="preserve"> anbefales.</w:t>
      </w:r>
    </w:p>
    <w:p w14:paraId="0D6A98C4" w14:textId="77777777" w:rsidR="00000000" w:rsidRPr="00467DB0" w:rsidRDefault="00693D67" w:rsidP="00467DB0">
      <w:pPr>
        <w:pStyle w:val="friliste"/>
      </w:pPr>
      <w:r w:rsidRPr="00467DB0">
        <w:t>4.</w:t>
      </w:r>
      <w:r w:rsidRPr="00467DB0">
        <w:tab/>
      </w:r>
      <w:proofErr w:type="spellStart"/>
      <w:r w:rsidRPr="00467DB0">
        <w:t>Medlemsstaterne</w:t>
      </w:r>
      <w:proofErr w:type="spellEnd"/>
      <w:r w:rsidRPr="00467DB0">
        <w:t xml:space="preserve"> er </w:t>
      </w:r>
      <w:proofErr w:type="gramStart"/>
      <w:r w:rsidRPr="00467DB0">
        <w:t>hver især ansvarlige</w:t>
      </w:r>
      <w:proofErr w:type="gramEnd"/>
      <w:r w:rsidRPr="00467DB0">
        <w:t xml:space="preserve"> for </w:t>
      </w:r>
      <w:proofErr w:type="spellStart"/>
      <w:r w:rsidRPr="00467DB0">
        <w:t>udarbejdelse</w:t>
      </w:r>
      <w:proofErr w:type="spellEnd"/>
      <w:r w:rsidRPr="00467DB0">
        <w:t xml:space="preserve"> </w:t>
      </w:r>
      <w:proofErr w:type="spellStart"/>
      <w:r w:rsidRPr="00467DB0">
        <w:t>af</w:t>
      </w:r>
      <w:proofErr w:type="spellEnd"/>
      <w:r w:rsidRPr="00467DB0">
        <w:t xml:space="preserve"> en </w:t>
      </w:r>
      <w:proofErr w:type="spellStart"/>
      <w:r w:rsidRPr="00467DB0">
        <w:t>model</w:t>
      </w:r>
      <w:proofErr w:type="spellEnd"/>
      <w:r w:rsidRPr="00467DB0">
        <w:t xml:space="preserve"> for </w:t>
      </w:r>
      <w:proofErr w:type="spellStart"/>
      <w:r w:rsidRPr="00467DB0">
        <w:t>adgangskontrol</w:t>
      </w:r>
      <w:proofErr w:type="spellEnd"/>
      <w:r w:rsidRPr="00467DB0">
        <w:t xml:space="preserve">, dvs. en </w:t>
      </w:r>
      <w:proofErr w:type="spellStart"/>
      <w:r w:rsidRPr="00467DB0">
        <w:t>skitse</w:t>
      </w:r>
      <w:proofErr w:type="spellEnd"/>
      <w:r w:rsidRPr="00467DB0">
        <w:t xml:space="preserve"> eller liste over de områder eller </w:t>
      </w:r>
      <w:proofErr w:type="spellStart"/>
      <w:r w:rsidRPr="00467DB0">
        <w:t>anlæg</w:t>
      </w:r>
      <w:proofErr w:type="spellEnd"/>
      <w:r w:rsidRPr="00467DB0">
        <w:t xml:space="preserve">, som skal </w:t>
      </w:r>
      <w:proofErr w:type="spellStart"/>
      <w:r w:rsidRPr="00467DB0">
        <w:t>godkendes</w:t>
      </w:r>
      <w:proofErr w:type="spellEnd"/>
      <w:r w:rsidRPr="00467DB0">
        <w:t xml:space="preserve">; </w:t>
      </w:r>
      <w:proofErr w:type="spellStart"/>
      <w:r w:rsidRPr="00467DB0">
        <w:t>medlemsstaterne</w:t>
      </w:r>
      <w:proofErr w:type="spellEnd"/>
      <w:r w:rsidRPr="00467DB0">
        <w:t xml:space="preserve"> og Ko</w:t>
      </w:r>
      <w:r w:rsidRPr="00467DB0">
        <w:lastRenderedPageBreak/>
        <w:t xml:space="preserve">mitéen for </w:t>
      </w:r>
      <w:proofErr w:type="spellStart"/>
      <w:r w:rsidRPr="00467DB0">
        <w:t>Sikkerhedsgodkendelse</w:t>
      </w:r>
      <w:proofErr w:type="spellEnd"/>
      <w:r w:rsidRPr="00467DB0">
        <w:t xml:space="preserve"> skal på forhånd nå til </w:t>
      </w:r>
      <w:proofErr w:type="spellStart"/>
      <w:r w:rsidRPr="00467DB0">
        <w:t>enighed</w:t>
      </w:r>
      <w:proofErr w:type="spellEnd"/>
      <w:r w:rsidRPr="00467DB0">
        <w:t xml:space="preserve"> om denne </w:t>
      </w:r>
      <w:proofErr w:type="spellStart"/>
      <w:r w:rsidRPr="00467DB0">
        <w:t>model</w:t>
      </w:r>
      <w:proofErr w:type="spellEnd"/>
      <w:r w:rsidRPr="00467DB0">
        <w:t>, hvormed det sikres, at alle medlemsstater leverer sam</w:t>
      </w:r>
      <w:r w:rsidRPr="00467DB0">
        <w:t xml:space="preserve">me grad </w:t>
      </w:r>
      <w:proofErr w:type="spellStart"/>
      <w:r w:rsidRPr="00467DB0">
        <w:t>af</w:t>
      </w:r>
      <w:proofErr w:type="spellEnd"/>
      <w:r w:rsidRPr="00467DB0">
        <w:t xml:space="preserve"> </w:t>
      </w:r>
      <w:proofErr w:type="spellStart"/>
      <w:r w:rsidRPr="00467DB0">
        <w:t>adgangskontrol</w:t>
      </w:r>
      <w:proofErr w:type="spellEnd"/>
      <w:r w:rsidRPr="00467DB0">
        <w:t>.</w:t>
      </w:r>
    </w:p>
    <w:p w14:paraId="4D7358D7" w14:textId="77777777" w:rsidR="00000000" w:rsidRPr="00467DB0" w:rsidRDefault="00693D67" w:rsidP="00467DB0">
      <w:pPr>
        <w:pStyle w:val="friliste"/>
      </w:pPr>
      <w:r w:rsidRPr="00467DB0">
        <w:t>5.</w:t>
      </w:r>
      <w:r w:rsidRPr="00467DB0">
        <w:tab/>
      </w:r>
      <w:proofErr w:type="spellStart"/>
      <w:r w:rsidRPr="00467DB0">
        <w:t>Medlemsstaterne</w:t>
      </w:r>
      <w:proofErr w:type="spellEnd"/>
      <w:r w:rsidRPr="00467DB0">
        <w:t xml:space="preserve"> er ansvarlige på lokalt plan for </w:t>
      </w:r>
      <w:proofErr w:type="spellStart"/>
      <w:r w:rsidRPr="00467DB0">
        <w:t>sikkerhedsgodkendelse</w:t>
      </w:r>
      <w:proofErr w:type="spellEnd"/>
      <w:r w:rsidRPr="00467DB0">
        <w:t xml:space="preserve"> </w:t>
      </w:r>
      <w:proofErr w:type="spellStart"/>
      <w:r w:rsidRPr="00467DB0">
        <w:t>af</w:t>
      </w:r>
      <w:proofErr w:type="spellEnd"/>
      <w:r w:rsidRPr="00467DB0">
        <w:t xml:space="preserve"> de områder, der </w:t>
      </w:r>
      <w:proofErr w:type="spellStart"/>
      <w:r w:rsidRPr="00467DB0">
        <w:t>befinder</w:t>
      </w:r>
      <w:proofErr w:type="spellEnd"/>
      <w:r w:rsidRPr="00467DB0">
        <w:t xml:space="preserve"> sig på deres territorium, og som er en del </w:t>
      </w:r>
      <w:proofErr w:type="spellStart"/>
      <w:r w:rsidRPr="00467DB0">
        <w:t>af</w:t>
      </w:r>
      <w:proofErr w:type="spellEnd"/>
      <w:r w:rsidRPr="00467DB0">
        <w:t xml:space="preserve"> </w:t>
      </w:r>
      <w:proofErr w:type="spellStart"/>
      <w:r w:rsidRPr="00467DB0">
        <w:t>sikkerhedsgodkendelsesarealet</w:t>
      </w:r>
      <w:proofErr w:type="spellEnd"/>
      <w:r w:rsidRPr="00467DB0">
        <w:t xml:space="preserve"> for programmets komponenter; </w:t>
      </w:r>
      <w:proofErr w:type="spellStart"/>
      <w:r w:rsidRPr="00467DB0">
        <w:t>medlemsstaterne</w:t>
      </w:r>
      <w:proofErr w:type="spellEnd"/>
      <w:r w:rsidRPr="00467DB0">
        <w:t xml:space="preserve"> </w:t>
      </w:r>
      <w:proofErr w:type="spellStart"/>
      <w:r w:rsidRPr="00467DB0">
        <w:t>aflægg</w:t>
      </w:r>
      <w:r w:rsidRPr="00467DB0">
        <w:t>er</w:t>
      </w:r>
      <w:proofErr w:type="spellEnd"/>
      <w:r w:rsidRPr="00467DB0">
        <w:t xml:space="preserve"> med </w:t>
      </w:r>
      <w:proofErr w:type="spellStart"/>
      <w:r w:rsidRPr="00467DB0">
        <w:t>henblik</w:t>
      </w:r>
      <w:proofErr w:type="spellEnd"/>
      <w:r w:rsidRPr="00467DB0">
        <w:t xml:space="preserve"> herpå rapport til Komitéen for </w:t>
      </w:r>
      <w:proofErr w:type="spellStart"/>
      <w:r w:rsidRPr="00467DB0">
        <w:t>Sikkerhedsgodkendelse</w:t>
      </w:r>
      <w:proofErr w:type="spellEnd"/>
      <w:r w:rsidRPr="00467DB0">
        <w:t>.</w:t>
      </w:r>
    </w:p>
    <w:p w14:paraId="5D240E70" w14:textId="77777777" w:rsidR="00000000" w:rsidRPr="00467DB0" w:rsidRDefault="00693D67" w:rsidP="00467DB0">
      <w:pPr>
        <w:pStyle w:val="avsnitt-undertittel"/>
      </w:pPr>
      <w:r w:rsidRPr="00467DB0">
        <w:t>Kapitel III</w:t>
      </w:r>
    </w:p>
    <w:p w14:paraId="4B4AD2D3" w14:textId="77777777" w:rsidR="00000000" w:rsidRPr="00467DB0" w:rsidRDefault="00693D67" w:rsidP="00467DB0">
      <w:pPr>
        <w:pStyle w:val="Undertittel"/>
      </w:pPr>
      <w:r w:rsidRPr="00467DB0">
        <w:t xml:space="preserve">Beskyttelse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p>
    <w:p w14:paraId="1086D753" w14:textId="77777777" w:rsidR="00000000" w:rsidRPr="00467DB0" w:rsidRDefault="00693D67" w:rsidP="00467DB0">
      <w:pPr>
        <w:pStyle w:val="avsnitt-undertittel"/>
      </w:pPr>
      <w:proofErr w:type="spellStart"/>
      <w:r w:rsidRPr="00467DB0">
        <w:t>Artikel</w:t>
      </w:r>
      <w:proofErr w:type="spellEnd"/>
      <w:r w:rsidRPr="00467DB0">
        <w:t> 43</w:t>
      </w:r>
    </w:p>
    <w:p w14:paraId="1FFF497F" w14:textId="77777777" w:rsidR="00000000" w:rsidRPr="00467DB0" w:rsidRDefault="00693D67" w:rsidP="00467DB0">
      <w:pPr>
        <w:pStyle w:val="Undertittel"/>
      </w:pPr>
      <w:r w:rsidRPr="00467DB0">
        <w:t xml:space="preserve">Beskyttelse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p>
    <w:p w14:paraId="1FB34569" w14:textId="77777777" w:rsidR="00000000" w:rsidRPr="00467DB0" w:rsidRDefault="00693D67" w:rsidP="00467DB0">
      <w:pPr>
        <w:pStyle w:val="friliste"/>
      </w:pPr>
      <w:r w:rsidRPr="00467DB0">
        <w:t>1.</w:t>
      </w:r>
      <w:r w:rsidRPr="00467DB0">
        <w:tab/>
      </w:r>
      <w:proofErr w:type="spellStart"/>
      <w:r w:rsidRPr="00467DB0">
        <w:t>Udvekslingen</w:t>
      </w:r>
      <w:proofErr w:type="spellEnd"/>
      <w:r w:rsidRPr="00467DB0">
        <w:t xml:space="preserv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vedrørende programmet er bet</w:t>
      </w:r>
      <w:r w:rsidRPr="00467DB0">
        <w:t xml:space="preserve">inget </w:t>
      </w:r>
      <w:proofErr w:type="spellStart"/>
      <w:r w:rsidRPr="00467DB0">
        <w:t>af</w:t>
      </w:r>
      <w:proofErr w:type="spellEnd"/>
      <w:r w:rsidRPr="00467DB0">
        <w:t xml:space="preserve">, at der er </w:t>
      </w:r>
      <w:proofErr w:type="spellStart"/>
      <w:r w:rsidRPr="00467DB0">
        <w:t>indgået</w:t>
      </w:r>
      <w:proofErr w:type="spellEnd"/>
      <w:r w:rsidRPr="00467DB0">
        <w:t xml:space="preserve"> en </w:t>
      </w:r>
      <w:proofErr w:type="spellStart"/>
      <w:r w:rsidRPr="00467DB0">
        <w:t>international</w:t>
      </w:r>
      <w:proofErr w:type="spellEnd"/>
      <w:r w:rsidRPr="00467DB0">
        <w:t xml:space="preserve"> </w:t>
      </w:r>
      <w:proofErr w:type="spellStart"/>
      <w:r w:rsidRPr="00467DB0">
        <w:t>aftale</w:t>
      </w:r>
      <w:proofErr w:type="spellEnd"/>
      <w:r w:rsidRPr="00467DB0">
        <w:t xml:space="preserve"> </w:t>
      </w:r>
      <w:proofErr w:type="spellStart"/>
      <w:r w:rsidRPr="00467DB0">
        <w:t>mellem</w:t>
      </w:r>
      <w:proofErr w:type="spellEnd"/>
      <w:r w:rsidRPr="00467DB0">
        <w:t xml:space="preserve"> Unionen og et tredjeland eller en </w:t>
      </w:r>
      <w:proofErr w:type="spellStart"/>
      <w:r w:rsidRPr="00467DB0">
        <w:t>international</w:t>
      </w:r>
      <w:proofErr w:type="spellEnd"/>
      <w:r w:rsidRPr="00467DB0">
        <w:t xml:space="preserve"> </w:t>
      </w:r>
      <w:proofErr w:type="spellStart"/>
      <w:r w:rsidRPr="00467DB0">
        <w:t>organisation</w:t>
      </w:r>
      <w:proofErr w:type="spellEnd"/>
      <w:r w:rsidRPr="00467DB0">
        <w:t xml:space="preserve"> om </w:t>
      </w:r>
      <w:proofErr w:type="spellStart"/>
      <w:r w:rsidRPr="00467DB0">
        <w:t>udvekslingen</w:t>
      </w:r>
      <w:proofErr w:type="spellEnd"/>
      <w:r w:rsidRPr="00467DB0">
        <w:t xml:space="preserv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eller, hvor det er relevant, en ordning </w:t>
      </w:r>
      <w:proofErr w:type="spellStart"/>
      <w:r w:rsidRPr="00467DB0">
        <w:t>mellem</w:t>
      </w:r>
      <w:proofErr w:type="spellEnd"/>
      <w:r w:rsidRPr="00467DB0">
        <w:t xml:space="preserve"> den kompetente EU-</w:t>
      </w:r>
      <w:proofErr w:type="spellStart"/>
      <w:r w:rsidRPr="00467DB0">
        <w:t>institution</w:t>
      </w:r>
      <w:proofErr w:type="spellEnd"/>
      <w:r w:rsidRPr="00467DB0">
        <w:t xml:space="preserve"> eller det k</w:t>
      </w:r>
      <w:r w:rsidRPr="00467DB0">
        <w:t xml:space="preserve">ompetente EU-organ og de relevante </w:t>
      </w:r>
      <w:proofErr w:type="spellStart"/>
      <w:r w:rsidRPr="00467DB0">
        <w:t>myndigheder</w:t>
      </w:r>
      <w:proofErr w:type="spellEnd"/>
      <w:r w:rsidRPr="00467DB0">
        <w:t xml:space="preserve"> i et tredjeland eller en </w:t>
      </w:r>
      <w:proofErr w:type="spellStart"/>
      <w:r w:rsidRPr="00467DB0">
        <w:t>international</w:t>
      </w:r>
      <w:proofErr w:type="spellEnd"/>
      <w:r w:rsidRPr="00467DB0">
        <w:t xml:space="preserve"> </w:t>
      </w:r>
      <w:proofErr w:type="spellStart"/>
      <w:r w:rsidRPr="00467DB0">
        <w:t>organisation</w:t>
      </w:r>
      <w:proofErr w:type="spellEnd"/>
      <w:r w:rsidRPr="00467DB0">
        <w:t xml:space="preserve"> om </w:t>
      </w:r>
      <w:proofErr w:type="spellStart"/>
      <w:r w:rsidRPr="00467DB0">
        <w:t>udvekslingen</w:t>
      </w:r>
      <w:proofErr w:type="spellEnd"/>
      <w:r w:rsidRPr="00467DB0">
        <w:t xml:space="preserv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og de deri fastsatte betingelser.</w:t>
      </w:r>
    </w:p>
    <w:p w14:paraId="3B7A906E" w14:textId="77777777" w:rsidR="00000000" w:rsidRPr="00467DB0" w:rsidRDefault="00693D67" w:rsidP="00467DB0">
      <w:pPr>
        <w:pStyle w:val="friliste"/>
      </w:pPr>
      <w:r w:rsidRPr="00467DB0">
        <w:t>2.</w:t>
      </w:r>
      <w:r w:rsidRPr="00467DB0">
        <w:tab/>
        <w:t xml:space="preserve">Fysiske personer, der har </w:t>
      </w:r>
      <w:proofErr w:type="spellStart"/>
      <w:r w:rsidRPr="00467DB0">
        <w:t>bopæl</w:t>
      </w:r>
      <w:proofErr w:type="spellEnd"/>
      <w:r w:rsidRPr="00467DB0">
        <w:t xml:space="preserve"> i </w:t>
      </w:r>
      <w:proofErr w:type="spellStart"/>
      <w:r w:rsidRPr="00467DB0">
        <w:t>tredjelande</w:t>
      </w:r>
      <w:proofErr w:type="spellEnd"/>
      <w:r w:rsidRPr="00467DB0">
        <w:t>, og juridiske personer, d</w:t>
      </w:r>
      <w:r w:rsidRPr="00467DB0">
        <w:t xml:space="preserve">er er </w:t>
      </w:r>
      <w:proofErr w:type="spellStart"/>
      <w:r w:rsidRPr="00467DB0">
        <w:t>etableret</w:t>
      </w:r>
      <w:proofErr w:type="spellEnd"/>
      <w:r w:rsidRPr="00467DB0">
        <w:t xml:space="preserve"> i </w:t>
      </w:r>
      <w:proofErr w:type="spellStart"/>
      <w:r w:rsidRPr="00467DB0">
        <w:t>tredjelande</w:t>
      </w:r>
      <w:proofErr w:type="spellEnd"/>
      <w:r w:rsidRPr="00467DB0">
        <w:t xml:space="preserve">, må kun behandle EUCI </w:t>
      </w:r>
      <w:proofErr w:type="gramStart"/>
      <w:r w:rsidRPr="00467DB0">
        <w:t>vedrørende</w:t>
      </w:r>
      <w:proofErr w:type="gramEnd"/>
      <w:r w:rsidRPr="00467DB0">
        <w:t xml:space="preserve"> programmet, såfremt de i disse </w:t>
      </w:r>
      <w:proofErr w:type="spellStart"/>
      <w:r w:rsidRPr="00467DB0">
        <w:t>tredjelande</w:t>
      </w:r>
      <w:proofErr w:type="spellEnd"/>
      <w:r w:rsidRPr="00467DB0">
        <w:t xml:space="preserve"> er omfattet </w:t>
      </w:r>
      <w:proofErr w:type="spellStart"/>
      <w:r w:rsidRPr="00467DB0">
        <w:t>af</w:t>
      </w:r>
      <w:proofErr w:type="spellEnd"/>
      <w:r w:rsidRPr="00467DB0">
        <w:t xml:space="preserve"> </w:t>
      </w:r>
      <w:proofErr w:type="spellStart"/>
      <w:r w:rsidRPr="00467DB0">
        <w:t>sikkerhedsforskrifter</w:t>
      </w:r>
      <w:proofErr w:type="spellEnd"/>
      <w:r w:rsidRPr="00467DB0">
        <w:t xml:space="preserve">, der sikrer en grad </w:t>
      </w:r>
      <w:proofErr w:type="spellStart"/>
      <w:r w:rsidRPr="00467DB0">
        <w:t>af</w:t>
      </w:r>
      <w:proofErr w:type="spellEnd"/>
      <w:r w:rsidRPr="00467DB0">
        <w:t xml:space="preserve"> beskyttelse, der </w:t>
      </w:r>
      <w:proofErr w:type="spellStart"/>
      <w:r w:rsidRPr="00467DB0">
        <w:t>mindst</w:t>
      </w:r>
      <w:proofErr w:type="spellEnd"/>
      <w:r w:rsidRPr="00467DB0">
        <w:t xml:space="preserve"> svarer til den, der er </w:t>
      </w:r>
      <w:proofErr w:type="spellStart"/>
      <w:r w:rsidRPr="00467DB0">
        <w:t>garanteret</w:t>
      </w:r>
      <w:proofErr w:type="spellEnd"/>
      <w:r w:rsidRPr="00467DB0">
        <w:t xml:space="preserve"> ved </w:t>
      </w:r>
      <w:proofErr w:type="spellStart"/>
      <w:r w:rsidRPr="00467DB0">
        <w:t>Kommissionens</w:t>
      </w:r>
      <w:proofErr w:type="spellEnd"/>
      <w:r w:rsidRPr="00467DB0">
        <w:t xml:space="preserve"> </w:t>
      </w:r>
      <w:proofErr w:type="spellStart"/>
      <w:r w:rsidRPr="00467DB0">
        <w:t>sikkerhedsfors</w:t>
      </w:r>
      <w:r w:rsidRPr="00467DB0">
        <w:t>krifter</w:t>
      </w:r>
      <w:proofErr w:type="spellEnd"/>
      <w:r w:rsidRPr="00467DB0">
        <w:t xml:space="preserve"> som </w:t>
      </w:r>
      <w:proofErr w:type="spellStart"/>
      <w:r w:rsidRPr="00467DB0">
        <w:t>fastsat</w:t>
      </w:r>
      <w:proofErr w:type="spellEnd"/>
      <w:r w:rsidRPr="00467DB0">
        <w:t xml:space="preserve"> i </w:t>
      </w:r>
      <w:proofErr w:type="spellStart"/>
      <w:r w:rsidRPr="00467DB0">
        <w:t>afgørelse</w:t>
      </w:r>
      <w:proofErr w:type="spellEnd"/>
      <w:r w:rsidRPr="00467DB0">
        <w:t xml:space="preserve"> (EU, Euratom) 2015/444 og ved Rådets </w:t>
      </w:r>
      <w:proofErr w:type="spellStart"/>
      <w:r w:rsidRPr="00467DB0">
        <w:t>sikkerhedsforskrifter</w:t>
      </w:r>
      <w:proofErr w:type="spellEnd"/>
      <w:r w:rsidRPr="00467DB0">
        <w:t xml:space="preserve"> som </w:t>
      </w:r>
      <w:proofErr w:type="spellStart"/>
      <w:r w:rsidRPr="00467DB0">
        <w:t>fastsat</w:t>
      </w:r>
      <w:proofErr w:type="spellEnd"/>
      <w:r w:rsidRPr="00467DB0">
        <w:t xml:space="preserve"> i bilagene til Rådets </w:t>
      </w:r>
      <w:proofErr w:type="spellStart"/>
      <w:r w:rsidRPr="00467DB0">
        <w:t>afgørelse</w:t>
      </w:r>
      <w:proofErr w:type="spellEnd"/>
      <w:r w:rsidRPr="00467DB0">
        <w:t xml:space="preserve"> 2013/488/EU. </w:t>
      </w:r>
      <w:proofErr w:type="spellStart"/>
      <w:r w:rsidRPr="00467DB0">
        <w:t>Ækvivalensen</w:t>
      </w:r>
      <w:proofErr w:type="spellEnd"/>
      <w:r w:rsidRPr="00467DB0">
        <w:t xml:space="preserve"> </w:t>
      </w:r>
      <w:proofErr w:type="spellStart"/>
      <w:r w:rsidRPr="00467DB0">
        <w:t>af</w:t>
      </w:r>
      <w:proofErr w:type="spellEnd"/>
      <w:r w:rsidRPr="00467DB0">
        <w:t xml:space="preserve"> </w:t>
      </w:r>
      <w:proofErr w:type="spellStart"/>
      <w:r w:rsidRPr="00467DB0">
        <w:t>sikkerhedsforskrifter</w:t>
      </w:r>
      <w:proofErr w:type="spellEnd"/>
      <w:r w:rsidRPr="00467DB0">
        <w:t xml:space="preserve">, der anvendes i et tredjeland eller en </w:t>
      </w:r>
      <w:proofErr w:type="spellStart"/>
      <w:r w:rsidRPr="00467DB0">
        <w:t>international</w:t>
      </w:r>
      <w:proofErr w:type="spellEnd"/>
      <w:r w:rsidRPr="00467DB0">
        <w:t xml:space="preserve"> </w:t>
      </w:r>
      <w:proofErr w:type="spellStart"/>
      <w:r w:rsidRPr="00467DB0">
        <w:t>organisation</w:t>
      </w:r>
      <w:proofErr w:type="spellEnd"/>
      <w:r w:rsidRPr="00467DB0">
        <w:t>, fas</w:t>
      </w:r>
      <w:r w:rsidRPr="00467DB0">
        <w:t xml:space="preserve">tslås i en </w:t>
      </w:r>
      <w:proofErr w:type="spellStart"/>
      <w:r w:rsidRPr="00467DB0">
        <w:t>informationssikkerhedsaftale</w:t>
      </w:r>
      <w:proofErr w:type="spellEnd"/>
      <w:r w:rsidRPr="00467DB0">
        <w:t xml:space="preserve">, herunder </w:t>
      </w:r>
      <w:proofErr w:type="spellStart"/>
      <w:r w:rsidRPr="00467DB0">
        <w:t>spørgsmål</w:t>
      </w:r>
      <w:proofErr w:type="spellEnd"/>
      <w:r w:rsidRPr="00467DB0">
        <w:t xml:space="preserve"> </w:t>
      </w:r>
      <w:proofErr w:type="gramStart"/>
      <w:r w:rsidRPr="00467DB0">
        <w:t>vedrørende</w:t>
      </w:r>
      <w:proofErr w:type="gramEnd"/>
      <w:r w:rsidRPr="00467DB0">
        <w:t xml:space="preserve"> </w:t>
      </w:r>
      <w:proofErr w:type="spellStart"/>
      <w:r w:rsidRPr="00467DB0">
        <w:t>industrisikkerhed</w:t>
      </w:r>
      <w:proofErr w:type="spellEnd"/>
      <w:r w:rsidRPr="00467DB0">
        <w:t xml:space="preserve">, der </w:t>
      </w:r>
      <w:proofErr w:type="spellStart"/>
      <w:r w:rsidRPr="00467DB0">
        <w:t>indgås</w:t>
      </w:r>
      <w:proofErr w:type="spellEnd"/>
      <w:r w:rsidRPr="00467DB0">
        <w:t xml:space="preserve"> </w:t>
      </w:r>
      <w:proofErr w:type="spellStart"/>
      <w:r w:rsidRPr="00467DB0">
        <w:t>mellem</w:t>
      </w:r>
      <w:proofErr w:type="spellEnd"/>
      <w:r w:rsidRPr="00467DB0">
        <w:t xml:space="preserve"> Unionen og det </w:t>
      </w:r>
      <w:proofErr w:type="spellStart"/>
      <w:r w:rsidRPr="00467DB0">
        <w:t>pågældende</w:t>
      </w:r>
      <w:proofErr w:type="spellEnd"/>
      <w:r w:rsidRPr="00467DB0">
        <w:t xml:space="preserve"> tredjeland eller den </w:t>
      </w:r>
      <w:proofErr w:type="spellStart"/>
      <w:r w:rsidRPr="00467DB0">
        <w:t>pågældende</w:t>
      </w:r>
      <w:proofErr w:type="spellEnd"/>
      <w:r w:rsidRPr="00467DB0">
        <w:t xml:space="preserve"> </w:t>
      </w:r>
      <w:proofErr w:type="spellStart"/>
      <w:r w:rsidRPr="00467DB0">
        <w:t>internationale</w:t>
      </w:r>
      <w:proofErr w:type="spellEnd"/>
      <w:r w:rsidRPr="00467DB0">
        <w:t xml:space="preserve"> </w:t>
      </w:r>
      <w:proofErr w:type="spellStart"/>
      <w:r w:rsidRPr="00467DB0">
        <w:t>organisation</w:t>
      </w:r>
      <w:proofErr w:type="spellEnd"/>
      <w:r w:rsidRPr="00467DB0">
        <w:t xml:space="preserve"> i overensstemmelse med den i </w:t>
      </w:r>
      <w:proofErr w:type="spellStart"/>
      <w:r w:rsidRPr="00467DB0">
        <w:t>artikel</w:t>
      </w:r>
      <w:proofErr w:type="spellEnd"/>
      <w:r w:rsidRPr="00467DB0">
        <w:t xml:space="preserve"> 218 i TEUF fastsatte </w:t>
      </w:r>
      <w:proofErr w:type="spellStart"/>
      <w:r w:rsidRPr="00467DB0">
        <w:t>proc</w:t>
      </w:r>
      <w:r w:rsidRPr="00467DB0">
        <w:t>edure</w:t>
      </w:r>
      <w:proofErr w:type="spellEnd"/>
      <w:r w:rsidRPr="00467DB0">
        <w:t xml:space="preserve"> og under hensyn til </w:t>
      </w:r>
      <w:proofErr w:type="spellStart"/>
      <w:r w:rsidRPr="00467DB0">
        <w:t>artikel</w:t>
      </w:r>
      <w:proofErr w:type="spellEnd"/>
      <w:r w:rsidRPr="00467DB0">
        <w:t xml:space="preserve"> 13 i </w:t>
      </w:r>
      <w:proofErr w:type="spellStart"/>
      <w:r w:rsidRPr="00467DB0">
        <w:t>afgørelse</w:t>
      </w:r>
      <w:proofErr w:type="spellEnd"/>
      <w:r w:rsidRPr="00467DB0">
        <w:t xml:space="preserve"> 2013/488/EU</w:t>
      </w:r>
    </w:p>
    <w:p w14:paraId="6803AA25" w14:textId="77777777" w:rsidR="00000000" w:rsidRPr="00467DB0" w:rsidRDefault="00693D67" w:rsidP="00467DB0">
      <w:pPr>
        <w:pStyle w:val="friliste"/>
      </w:pPr>
      <w:r w:rsidRPr="00467DB0">
        <w:t>3.</w:t>
      </w:r>
      <w:r w:rsidRPr="00467DB0">
        <w:tab/>
      </w:r>
      <w:r w:rsidRPr="00467DB0">
        <w:t xml:space="preserve">En fysisk person eller en juridisk person, et tredjeland eller en </w:t>
      </w:r>
      <w:proofErr w:type="spellStart"/>
      <w:r w:rsidRPr="00467DB0">
        <w:t>international</w:t>
      </w:r>
      <w:proofErr w:type="spellEnd"/>
      <w:r w:rsidRPr="00467DB0">
        <w:t xml:space="preserve"> </w:t>
      </w:r>
      <w:proofErr w:type="spellStart"/>
      <w:r w:rsidRPr="00467DB0">
        <w:t>organisation</w:t>
      </w:r>
      <w:proofErr w:type="spellEnd"/>
      <w:r w:rsidRPr="00467DB0">
        <w:t xml:space="preserve">, kan, </w:t>
      </w:r>
      <w:proofErr w:type="spellStart"/>
      <w:r w:rsidRPr="00467DB0">
        <w:t>uden</w:t>
      </w:r>
      <w:proofErr w:type="spellEnd"/>
      <w:r w:rsidRPr="00467DB0">
        <w:t xml:space="preserve"> at det berører </w:t>
      </w:r>
      <w:proofErr w:type="spellStart"/>
      <w:r w:rsidRPr="00467DB0">
        <w:t>artikel</w:t>
      </w:r>
      <w:proofErr w:type="spellEnd"/>
      <w:r w:rsidRPr="00467DB0">
        <w:t xml:space="preserve"> 13 i </w:t>
      </w:r>
      <w:proofErr w:type="spellStart"/>
      <w:r w:rsidRPr="00467DB0">
        <w:t>afgørelse</w:t>
      </w:r>
      <w:proofErr w:type="spellEnd"/>
      <w:r w:rsidRPr="00467DB0">
        <w:t xml:space="preserve"> 2013/488/EU og </w:t>
      </w:r>
      <w:proofErr w:type="spellStart"/>
      <w:r w:rsidRPr="00467DB0">
        <w:t>forskrifterne</w:t>
      </w:r>
      <w:proofErr w:type="spellEnd"/>
      <w:r w:rsidRPr="00467DB0">
        <w:t xml:space="preserve"> for </w:t>
      </w:r>
      <w:proofErr w:type="spellStart"/>
      <w:r w:rsidRPr="00467DB0">
        <w:t>industriel</w:t>
      </w:r>
      <w:proofErr w:type="spellEnd"/>
      <w:r w:rsidRPr="00467DB0">
        <w:t xml:space="preserve"> </w:t>
      </w:r>
      <w:proofErr w:type="spellStart"/>
      <w:r w:rsidRPr="00467DB0">
        <w:t>sikkerhed</w:t>
      </w:r>
      <w:proofErr w:type="spellEnd"/>
      <w:r w:rsidRPr="00467DB0">
        <w:t xml:space="preserve"> som anført i </w:t>
      </w:r>
      <w:proofErr w:type="spellStart"/>
      <w:r w:rsidRPr="00467DB0">
        <w:t>afgørelse</w:t>
      </w:r>
      <w:proofErr w:type="spellEnd"/>
      <w:r w:rsidRPr="00467DB0">
        <w:t xml:space="preserve"> (EU, Euratom) 2015/444, få adgang til</w:t>
      </w:r>
      <w:r w:rsidRPr="00467DB0">
        <w:t xml:space="preserve"> EUCI, når det </w:t>
      </w:r>
      <w:proofErr w:type="spellStart"/>
      <w:r w:rsidRPr="00467DB0">
        <w:t>skønnes</w:t>
      </w:r>
      <w:proofErr w:type="spellEnd"/>
      <w:r w:rsidRPr="00467DB0">
        <w:t xml:space="preserve"> </w:t>
      </w:r>
      <w:proofErr w:type="spellStart"/>
      <w:r w:rsidRPr="00467DB0">
        <w:t>nødvendigt</w:t>
      </w:r>
      <w:proofErr w:type="spellEnd"/>
      <w:r w:rsidRPr="00467DB0">
        <w:t xml:space="preserve"> efter en konkret vurdering </w:t>
      </w:r>
      <w:proofErr w:type="spellStart"/>
      <w:r w:rsidRPr="00467DB0">
        <w:t>afhængigt</w:t>
      </w:r>
      <w:proofErr w:type="spellEnd"/>
      <w:r w:rsidRPr="00467DB0">
        <w:t xml:space="preserve"> </w:t>
      </w:r>
      <w:proofErr w:type="spellStart"/>
      <w:r w:rsidRPr="00467DB0">
        <w:t>af</w:t>
      </w:r>
      <w:proofErr w:type="spellEnd"/>
      <w:r w:rsidRPr="00467DB0">
        <w:t xml:space="preserve"> disse </w:t>
      </w:r>
      <w:proofErr w:type="spellStart"/>
      <w:r w:rsidRPr="00467DB0">
        <w:t>oplysningers</w:t>
      </w:r>
      <w:proofErr w:type="spellEnd"/>
      <w:r w:rsidRPr="00467DB0">
        <w:t xml:space="preserve"> art og </w:t>
      </w:r>
      <w:proofErr w:type="spellStart"/>
      <w:r w:rsidRPr="00467DB0">
        <w:t>indhold</w:t>
      </w:r>
      <w:proofErr w:type="spellEnd"/>
      <w:r w:rsidRPr="00467DB0">
        <w:t xml:space="preserve">, </w:t>
      </w:r>
      <w:proofErr w:type="spellStart"/>
      <w:r w:rsidRPr="00467DB0">
        <w:t>modtagerens</w:t>
      </w:r>
      <w:proofErr w:type="spellEnd"/>
      <w:r w:rsidRPr="00467DB0">
        <w:t xml:space="preserve"> </w:t>
      </w:r>
      <w:proofErr w:type="spellStart"/>
      <w:r w:rsidRPr="00467DB0">
        <w:t>need</w:t>
      </w:r>
      <w:proofErr w:type="spellEnd"/>
      <w:r w:rsidRPr="00467DB0">
        <w:t>-to-</w:t>
      </w:r>
      <w:proofErr w:type="spellStart"/>
      <w:r w:rsidRPr="00467DB0">
        <w:t>know</w:t>
      </w:r>
      <w:proofErr w:type="spellEnd"/>
      <w:r w:rsidRPr="00467DB0">
        <w:t xml:space="preserve"> og Unionens interesse i </w:t>
      </w:r>
      <w:proofErr w:type="spellStart"/>
      <w:r w:rsidRPr="00467DB0">
        <w:t>videregivelsen</w:t>
      </w:r>
      <w:proofErr w:type="spellEnd"/>
      <w:r w:rsidRPr="00467DB0">
        <w:t>.</w:t>
      </w:r>
    </w:p>
    <w:p w14:paraId="6FA333A4" w14:textId="77777777" w:rsidR="00000000" w:rsidRPr="00467DB0" w:rsidRDefault="00693D67" w:rsidP="00467DB0">
      <w:pPr>
        <w:pStyle w:val="avsnitt-undertittel"/>
      </w:pPr>
      <w:proofErr w:type="spellStart"/>
      <w:r w:rsidRPr="00467DB0">
        <w:lastRenderedPageBreak/>
        <w:t>Afsnit</w:t>
      </w:r>
      <w:proofErr w:type="spellEnd"/>
      <w:r w:rsidRPr="00467DB0">
        <w:t xml:space="preserve"> VI</w:t>
      </w:r>
    </w:p>
    <w:p w14:paraId="6301117D" w14:textId="77777777" w:rsidR="00000000" w:rsidRPr="00467DB0" w:rsidRDefault="00693D67" w:rsidP="00467DB0">
      <w:pPr>
        <w:pStyle w:val="Undertittel"/>
      </w:pPr>
      <w:r w:rsidRPr="00467DB0">
        <w:t>Galileo og EGNOS</w:t>
      </w:r>
    </w:p>
    <w:p w14:paraId="3B08CC71" w14:textId="77777777" w:rsidR="00000000" w:rsidRPr="00467DB0" w:rsidRDefault="00693D67" w:rsidP="00467DB0">
      <w:pPr>
        <w:pStyle w:val="avsnitt-undertittel"/>
      </w:pPr>
      <w:proofErr w:type="spellStart"/>
      <w:r w:rsidRPr="00467DB0">
        <w:t>Artikel</w:t>
      </w:r>
      <w:proofErr w:type="spellEnd"/>
      <w:r w:rsidRPr="00467DB0">
        <w:t> 44</w:t>
      </w:r>
    </w:p>
    <w:p w14:paraId="5B97D155" w14:textId="77777777" w:rsidR="00000000" w:rsidRPr="00467DB0" w:rsidRDefault="00693D67" w:rsidP="00467DB0">
      <w:pPr>
        <w:pStyle w:val="Undertittel"/>
      </w:pPr>
      <w:r w:rsidRPr="00467DB0">
        <w:t>Støtteberettigede foranstaltninger</w:t>
      </w:r>
    </w:p>
    <w:p w14:paraId="6A469240" w14:textId="77777777" w:rsidR="00000000" w:rsidRPr="00467DB0" w:rsidRDefault="00693D67" w:rsidP="00467DB0">
      <w:proofErr w:type="spellStart"/>
      <w:r w:rsidRPr="00467DB0">
        <w:t>Udnyttels</w:t>
      </w:r>
      <w:r w:rsidRPr="00467DB0">
        <w:t>en</w:t>
      </w:r>
      <w:proofErr w:type="spellEnd"/>
      <w:r w:rsidRPr="00467DB0">
        <w:t xml:space="preserve"> </w:t>
      </w:r>
      <w:proofErr w:type="spellStart"/>
      <w:r w:rsidRPr="00467DB0">
        <w:t>af</w:t>
      </w:r>
      <w:proofErr w:type="spellEnd"/>
      <w:r w:rsidRPr="00467DB0">
        <w:t xml:space="preserve"> Galileo og EGNOS omfatter følgende støtteberettigede foranstaltninger:</w:t>
      </w:r>
    </w:p>
    <w:p w14:paraId="3065A26D" w14:textId="77777777" w:rsidR="00000000" w:rsidRPr="00467DB0" w:rsidRDefault="00693D67" w:rsidP="00467DB0">
      <w:pPr>
        <w:pStyle w:val="friliste"/>
      </w:pPr>
      <w:r w:rsidRPr="00467DB0">
        <w:t>a)</w:t>
      </w:r>
      <w:r w:rsidRPr="00467DB0">
        <w:tab/>
        <w:t xml:space="preserve">forvaltning, drift, </w:t>
      </w:r>
      <w:proofErr w:type="spellStart"/>
      <w:r w:rsidRPr="00467DB0">
        <w:t>vedligeholdelse</w:t>
      </w:r>
      <w:proofErr w:type="spellEnd"/>
      <w:r w:rsidRPr="00467DB0">
        <w:t xml:space="preserve">, </w:t>
      </w:r>
      <w:proofErr w:type="spellStart"/>
      <w:r w:rsidRPr="00467DB0">
        <w:t>løbende</w:t>
      </w:r>
      <w:proofErr w:type="spellEnd"/>
      <w:r w:rsidRPr="00467DB0">
        <w:t xml:space="preserve"> forbedring, </w:t>
      </w:r>
      <w:proofErr w:type="spellStart"/>
      <w:r w:rsidRPr="00467DB0">
        <w:t>udvikling</w:t>
      </w:r>
      <w:proofErr w:type="spellEnd"/>
      <w:r w:rsidRPr="00467DB0">
        <w:t xml:space="preserve"> og beskyttelse </w:t>
      </w:r>
      <w:proofErr w:type="spellStart"/>
      <w:r w:rsidRPr="00467DB0">
        <w:t>af</w:t>
      </w:r>
      <w:proofErr w:type="spellEnd"/>
      <w:r w:rsidRPr="00467DB0">
        <w:t xml:space="preserve"> </w:t>
      </w:r>
      <w:proofErr w:type="spellStart"/>
      <w:r w:rsidRPr="00467DB0">
        <w:t>ruminfrastrukturen</w:t>
      </w:r>
      <w:proofErr w:type="spellEnd"/>
      <w:r w:rsidRPr="00467DB0">
        <w:t xml:space="preserve">, herunder forvaltning </w:t>
      </w:r>
      <w:proofErr w:type="spellStart"/>
      <w:r w:rsidRPr="00467DB0">
        <w:t>af</w:t>
      </w:r>
      <w:proofErr w:type="spellEnd"/>
      <w:r w:rsidRPr="00467DB0">
        <w:t xml:space="preserve"> </w:t>
      </w:r>
      <w:proofErr w:type="spellStart"/>
      <w:r w:rsidRPr="00467DB0">
        <w:t>opgraderings</w:t>
      </w:r>
      <w:proofErr w:type="spellEnd"/>
      <w:r w:rsidRPr="00467DB0">
        <w:t xml:space="preserve">- og </w:t>
      </w:r>
      <w:proofErr w:type="spellStart"/>
      <w:r w:rsidRPr="00467DB0">
        <w:t>forældelsesprocessen</w:t>
      </w:r>
      <w:proofErr w:type="spellEnd"/>
    </w:p>
    <w:p w14:paraId="46150F22" w14:textId="77777777" w:rsidR="00000000" w:rsidRPr="00467DB0" w:rsidRDefault="00693D67" w:rsidP="00467DB0">
      <w:pPr>
        <w:pStyle w:val="friliste"/>
      </w:pPr>
      <w:r w:rsidRPr="00467DB0">
        <w:t>b)</w:t>
      </w:r>
      <w:r w:rsidRPr="00467DB0">
        <w:tab/>
        <w:t>forval</w:t>
      </w:r>
      <w:r w:rsidRPr="00467DB0">
        <w:t xml:space="preserve">tning, drift, </w:t>
      </w:r>
      <w:proofErr w:type="spellStart"/>
      <w:r w:rsidRPr="00467DB0">
        <w:t>vedligeholdelse</w:t>
      </w:r>
      <w:proofErr w:type="spellEnd"/>
      <w:r w:rsidRPr="00467DB0">
        <w:t xml:space="preserve">, </w:t>
      </w:r>
      <w:proofErr w:type="spellStart"/>
      <w:r w:rsidRPr="00467DB0">
        <w:t>løbende</w:t>
      </w:r>
      <w:proofErr w:type="spellEnd"/>
      <w:r w:rsidRPr="00467DB0">
        <w:t xml:space="preserve"> forbedring, </w:t>
      </w:r>
      <w:proofErr w:type="spellStart"/>
      <w:r w:rsidRPr="00467DB0">
        <w:t>udvikling</w:t>
      </w:r>
      <w:proofErr w:type="spellEnd"/>
      <w:r w:rsidRPr="00467DB0">
        <w:t xml:space="preserve"> og beskyttelse </w:t>
      </w:r>
      <w:proofErr w:type="spellStart"/>
      <w:r w:rsidRPr="00467DB0">
        <w:t>af</w:t>
      </w:r>
      <w:proofErr w:type="spellEnd"/>
      <w:r w:rsidRPr="00467DB0">
        <w:t xml:space="preserve"> jordinfrastrukturen, navnlig i jordbaserede </w:t>
      </w:r>
      <w:proofErr w:type="spellStart"/>
      <w:r w:rsidRPr="00467DB0">
        <w:t>centre</w:t>
      </w:r>
      <w:proofErr w:type="spellEnd"/>
      <w:r w:rsidRPr="00467DB0">
        <w:t xml:space="preserve"> og </w:t>
      </w:r>
      <w:proofErr w:type="spellStart"/>
      <w:r w:rsidRPr="00467DB0">
        <w:t>stationer</w:t>
      </w:r>
      <w:proofErr w:type="spellEnd"/>
      <w:r w:rsidRPr="00467DB0">
        <w:t xml:space="preserve">, jf. </w:t>
      </w:r>
      <w:proofErr w:type="spellStart"/>
      <w:r w:rsidRPr="00467DB0">
        <w:t>gennemførelsesafgørelse</w:t>
      </w:r>
      <w:proofErr w:type="spellEnd"/>
      <w:r w:rsidRPr="00467DB0">
        <w:t xml:space="preserve"> (EU) 2016/413 eller </w:t>
      </w:r>
      <w:proofErr w:type="spellStart"/>
      <w:r w:rsidRPr="00467DB0">
        <w:t>Kommissionens</w:t>
      </w:r>
      <w:proofErr w:type="spellEnd"/>
      <w:r w:rsidRPr="00467DB0">
        <w:t xml:space="preserve"> </w:t>
      </w:r>
      <w:proofErr w:type="spellStart"/>
      <w:r w:rsidRPr="00467DB0">
        <w:t>gennemførelsesafgørelse</w:t>
      </w:r>
      <w:proofErr w:type="spellEnd"/>
      <w:r w:rsidRPr="00467DB0">
        <w:t xml:space="preserve"> (EU) 2017/1406</w:t>
      </w:r>
      <w:r w:rsidRPr="00467DB0">
        <w:rPr>
          <w:rStyle w:val="Fotnotereferanse"/>
        </w:rPr>
        <w:footnoteReference w:id="54"/>
      </w:r>
      <w:r w:rsidRPr="00467DB0">
        <w:t xml:space="preserve">, og </w:t>
      </w:r>
      <w:proofErr w:type="spellStart"/>
      <w:r w:rsidRPr="00467DB0">
        <w:t>net</w:t>
      </w:r>
      <w:proofErr w:type="spellEnd"/>
      <w:r w:rsidRPr="00467DB0">
        <w:t xml:space="preserve">, herunder forvaltning </w:t>
      </w:r>
      <w:proofErr w:type="spellStart"/>
      <w:r w:rsidRPr="00467DB0">
        <w:t>af</w:t>
      </w:r>
      <w:proofErr w:type="spellEnd"/>
      <w:r w:rsidRPr="00467DB0">
        <w:t xml:space="preserve"> </w:t>
      </w:r>
      <w:proofErr w:type="spellStart"/>
      <w:r w:rsidRPr="00467DB0">
        <w:t>opgraderings</w:t>
      </w:r>
      <w:proofErr w:type="spellEnd"/>
      <w:r w:rsidRPr="00467DB0">
        <w:t xml:space="preserve">- og </w:t>
      </w:r>
      <w:proofErr w:type="spellStart"/>
      <w:r w:rsidRPr="00467DB0">
        <w:t>forældelsesprocessen</w:t>
      </w:r>
      <w:proofErr w:type="spellEnd"/>
    </w:p>
    <w:p w14:paraId="30F25588" w14:textId="77777777" w:rsidR="00000000" w:rsidRPr="00467DB0" w:rsidRDefault="00693D67" w:rsidP="00467DB0">
      <w:pPr>
        <w:pStyle w:val="friliste"/>
      </w:pPr>
      <w:r w:rsidRPr="00467DB0">
        <w:t>c)</w:t>
      </w:r>
      <w:r w:rsidRPr="00467DB0">
        <w:tab/>
      </w:r>
      <w:proofErr w:type="spellStart"/>
      <w:r w:rsidRPr="00467DB0">
        <w:t>udvikling</w:t>
      </w:r>
      <w:proofErr w:type="spellEnd"/>
      <w:r w:rsidRPr="00467DB0">
        <w:t xml:space="preserve"> </w:t>
      </w:r>
      <w:proofErr w:type="spellStart"/>
      <w:r w:rsidRPr="00467DB0">
        <w:t>af</w:t>
      </w:r>
      <w:proofErr w:type="spellEnd"/>
      <w:r w:rsidRPr="00467DB0">
        <w:t xml:space="preserve"> fremtidige </w:t>
      </w:r>
      <w:proofErr w:type="spellStart"/>
      <w:r w:rsidRPr="00467DB0">
        <w:t>gener</w:t>
      </w:r>
      <w:r w:rsidRPr="00467DB0">
        <w:t>ationer</w:t>
      </w:r>
      <w:proofErr w:type="spellEnd"/>
      <w:r w:rsidRPr="00467DB0">
        <w:t xml:space="preserve"> </w:t>
      </w:r>
      <w:proofErr w:type="spellStart"/>
      <w:r w:rsidRPr="00467DB0">
        <w:t>af</w:t>
      </w:r>
      <w:proofErr w:type="spellEnd"/>
      <w:r w:rsidRPr="00467DB0">
        <w:t xml:space="preserve"> </w:t>
      </w:r>
      <w:proofErr w:type="spellStart"/>
      <w:r w:rsidRPr="00467DB0">
        <w:t>systemerne</w:t>
      </w:r>
      <w:proofErr w:type="spellEnd"/>
      <w:r w:rsidRPr="00467DB0">
        <w:t xml:space="preserve"> og </w:t>
      </w:r>
      <w:proofErr w:type="spellStart"/>
      <w:r w:rsidRPr="00467DB0">
        <w:t>udvikling</w:t>
      </w:r>
      <w:proofErr w:type="spellEnd"/>
      <w:r w:rsidRPr="00467DB0">
        <w:t xml:space="preserve"> </w:t>
      </w:r>
      <w:proofErr w:type="spellStart"/>
      <w:r w:rsidRPr="00467DB0">
        <w:t>af</w:t>
      </w:r>
      <w:proofErr w:type="spellEnd"/>
      <w:r w:rsidRPr="00467DB0">
        <w:t xml:space="preserve"> de tjenester, der leveres </w:t>
      </w:r>
      <w:proofErr w:type="spellStart"/>
      <w:r w:rsidRPr="00467DB0">
        <w:t>af</w:t>
      </w:r>
      <w:proofErr w:type="spellEnd"/>
      <w:r w:rsidRPr="00467DB0">
        <w:t xml:space="preserve"> Galileo og EGNOS, herunder ved at </w:t>
      </w:r>
      <w:proofErr w:type="spellStart"/>
      <w:r w:rsidRPr="00467DB0">
        <w:t>tage</w:t>
      </w:r>
      <w:proofErr w:type="spellEnd"/>
      <w:r w:rsidRPr="00467DB0">
        <w:t xml:space="preserve"> hensyn til relevante interesserenters behov; dette berører ikke fremtidige </w:t>
      </w:r>
      <w:proofErr w:type="spellStart"/>
      <w:r w:rsidRPr="00467DB0">
        <w:t>afgørelser</w:t>
      </w:r>
      <w:proofErr w:type="spellEnd"/>
      <w:r w:rsidRPr="00467DB0">
        <w:t xml:space="preserve"> om Unionens finansielle overslag</w:t>
      </w:r>
    </w:p>
    <w:p w14:paraId="5BC81580" w14:textId="77777777" w:rsidR="00000000" w:rsidRPr="00467DB0" w:rsidRDefault="00693D67" w:rsidP="00467DB0">
      <w:pPr>
        <w:pStyle w:val="friliste"/>
      </w:pPr>
      <w:r w:rsidRPr="00467DB0">
        <w:t>d)</w:t>
      </w:r>
      <w:r w:rsidRPr="00467DB0">
        <w:tab/>
        <w:t xml:space="preserve">støtte til </w:t>
      </w:r>
      <w:proofErr w:type="spellStart"/>
      <w:r w:rsidRPr="00467DB0">
        <w:t>udviklingen</w:t>
      </w:r>
      <w:proofErr w:type="spellEnd"/>
      <w:r w:rsidRPr="00467DB0">
        <w:t xml:space="preserve"> </w:t>
      </w:r>
      <w:proofErr w:type="spellStart"/>
      <w:r w:rsidRPr="00467DB0">
        <w:t>af</w:t>
      </w:r>
      <w:proofErr w:type="spellEnd"/>
      <w:r w:rsidRPr="00467DB0">
        <w:t xml:space="preserve"> Ga</w:t>
      </w:r>
      <w:r w:rsidRPr="00467DB0">
        <w:t>lileo- og EGNOS-</w:t>
      </w:r>
      <w:proofErr w:type="spellStart"/>
      <w:r w:rsidRPr="00467DB0">
        <w:t>downstreamapplikationer</w:t>
      </w:r>
      <w:proofErr w:type="spellEnd"/>
      <w:r w:rsidRPr="00467DB0">
        <w:t xml:space="preserve"> og </w:t>
      </w:r>
      <w:proofErr w:type="spellStart"/>
      <w:r w:rsidRPr="00467DB0">
        <w:t>udviklingen</w:t>
      </w:r>
      <w:proofErr w:type="spellEnd"/>
      <w:r w:rsidRPr="00467DB0">
        <w:t xml:space="preserve"> og </w:t>
      </w:r>
      <w:proofErr w:type="spellStart"/>
      <w:r w:rsidRPr="00467DB0">
        <w:t>videreudviklingen</w:t>
      </w:r>
      <w:proofErr w:type="spellEnd"/>
      <w:r w:rsidRPr="00467DB0">
        <w:t xml:space="preserve"> </w:t>
      </w:r>
      <w:proofErr w:type="spellStart"/>
      <w:r w:rsidRPr="00467DB0">
        <w:t>af</w:t>
      </w:r>
      <w:proofErr w:type="spellEnd"/>
      <w:r w:rsidRPr="00467DB0">
        <w:t xml:space="preserve"> </w:t>
      </w:r>
      <w:proofErr w:type="spellStart"/>
      <w:r w:rsidRPr="00467DB0">
        <w:t>grundlæggende</w:t>
      </w:r>
      <w:proofErr w:type="spellEnd"/>
      <w:r w:rsidRPr="00467DB0">
        <w:t xml:space="preserve"> teknologiske elementer såsom </w:t>
      </w:r>
      <w:proofErr w:type="spellStart"/>
      <w:r w:rsidRPr="00467DB0">
        <w:t>Galileokompatible</w:t>
      </w:r>
      <w:proofErr w:type="spellEnd"/>
      <w:r w:rsidRPr="00467DB0">
        <w:t xml:space="preserve"> </w:t>
      </w:r>
      <w:proofErr w:type="spellStart"/>
      <w:r w:rsidRPr="00467DB0">
        <w:t>chipsæt</w:t>
      </w:r>
      <w:proofErr w:type="spellEnd"/>
      <w:r w:rsidRPr="00467DB0">
        <w:t xml:space="preserve"> og </w:t>
      </w:r>
      <w:proofErr w:type="spellStart"/>
      <w:r w:rsidRPr="00467DB0">
        <w:t>modtagere</w:t>
      </w:r>
      <w:proofErr w:type="spellEnd"/>
    </w:p>
    <w:p w14:paraId="25EDBA33" w14:textId="77777777" w:rsidR="00000000" w:rsidRPr="00467DB0" w:rsidRDefault="00693D67" w:rsidP="00467DB0">
      <w:pPr>
        <w:pStyle w:val="friliste"/>
      </w:pPr>
      <w:r w:rsidRPr="00467DB0">
        <w:t>e)</w:t>
      </w:r>
      <w:r w:rsidRPr="00467DB0">
        <w:tab/>
        <w:t xml:space="preserve">støtte til </w:t>
      </w:r>
      <w:proofErr w:type="spellStart"/>
      <w:r w:rsidRPr="00467DB0">
        <w:t>certificerings</w:t>
      </w:r>
      <w:proofErr w:type="spellEnd"/>
      <w:r w:rsidRPr="00467DB0">
        <w:t xml:space="preserve">- og standardiseringsaktiviteter </w:t>
      </w:r>
      <w:proofErr w:type="gramStart"/>
      <w:r w:rsidRPr="00467DB0">
        <w:t>vedrørende</w:t>
      </w:r>
      <w:proofErr w:type="gramEnd"/>
      <w:r w:rsidRPr="00467DB0">
        <w:t xml:space="preserve"> Galileo og EGNOS, navnl</w:t>
      </w:r>
      <w:r w:rsidRPr="00467DB0">
        <w:t xml:space="preserve">ig </w:t>
      </w:r>
      <w:proofErr w:type="spellStart"/>
      <w:r w:rsidRPr="00467DB0">
        <w:t>inden</w:t>
      </w:r>
      <w:proofErr w:type="spellEnd"/>
      <w:r w:rsidRPr="00467DB0">
        <w:t xml:space="preserve"> for transportsektoren</w:t>
      </w:r>
    </w:p>
    <w:p w14:paraId="2C0D032E" w14:textId="77777777" w:rsidR="00000000" w:rsidRPr="00467DB0" w:rsidRDefault="00693D67" w:rsidP="00467DB0">
      <w:pPr>
        <w:pStyle w:val="friliste"/>
      </w:pPr>
      <w:r w:rsidRPr="00467DB0">
        <w:t>f)</w:t>
      </w:r>
      <w:r w:rsidRPr="00467DB0">
        <w:tab/>
      </w:r>
      <w:proofErr w:type="spellStart"/>
      <w:r w:rsidRPr="00467DB0">
        <w:t>fortsat</w:t>
      </w:r>
      <w:proofErr w:type="spellEnd"/>
      <w:r w:rsidRPr="00467DB0">
        <w:t xml:space="preserve"> formidling </w:t>
      </w:r>
      <w:proofErr w:type="spellStart"/>
      <w:r w:rsidRPr="00467DB0">
        <w:t>af</w:t>
      </w:r>
      <w:proofErr w:type="spellEnd"/>
      <w:r w:rsidRPr="00467DB0">
        <w:t xml:space="preserve"> de tjenester, der leveres </w:t>
      </w:r>
      <w:proofErr w:type="spellStart"/>
      <w:r w:rsidRPr="00467DB0">
        <w:t>af</w:t>
      </w:r>
      <w:proofErr w:type="spellEnd"/>
      <w:r w:rsidRPr="00467DB0">
        <w:t xml:space="preserve"> Galileo og EGNOS, og i komplementaritet med </w:t>
      </w:r>
      <w:proofErr w:type="spellStart"/>
      <w:r w:rsidRPr="00467DB0">
        <w:t>medlemsstaterne</w:t>
      </w:r>
      <w:proofErr w:type="spellEnd"/>
      <w:r w:rsidRPr="00467DB0">
        <w:t xml:space="preserve"> og privatsektorinitiativer, </w:t>
      </w:r>
      <w:proofErr w:type="spellStart"/>
      <w:r w:rsidRPr="00467DB0">
        <w:t>markedsudvikling</w:t>
      </w:r>
      <w:proofErr w:type="spellEnd"/>
      <w:r w:rsidRPr="00467DB0">
        <w:t xml:space="preserve"> </w:t>
      </w:r>
      <w:proofErr w:type="spellStart"/>
      <w:r w:rsidRPr="00467DB0">
        <w:t>af</w:t>
      </w:r>
      <w:proofErr w:type="spellEnd"/>
      <w:r w:rsidRPr="00467DB0">
        <w:t xml:space="preserve"> disse tjenester, navnlig med </w:t>
      </w:r>
      <w:proofErr w:type="spellStart"/>
      <w:r w:rsidRPr="00467DB0">
        <w:t>henblik</w:t>
      </w:r>
      <w:proofErr w:type="spellEnd"/>
      <w:r w:rsidRPr="00467DB0">
        <w:t xml:space="preserve"> på at maksimere de i </w:t>
      </w:r>
      <w:proofErr w:type="spellStart"/>
      <w:r w:rsidRPr="00467DB0">
        <w:t>artik</w:t>
      </w:r>
      <w:r w:rsidRPr="00467DB0">
        <w:t>el</w:t>
      </w:r>
      <w:proofErr w:type="spellEnd"/>
      <w:r w:rsidRPr="00467DB0">
        <w:t xml:space="preserve"> 4, stk. 1, litra b), omhandlede </w:t>
      </w:r>
      <w:proofErr w:type="spellStart"/>
      <w:r w:rsidRPr="00467DB0">
        <w:t>socioøkonomiske</w:t>
      </w:r>
      <w:proofErr w:type="spellEnd"/>
      <w:r w:rsidRPr="00467DB0">
        <w:t xml:space="preserve"> fordele</w:t>
      </w:r>
    </w:p>
    <w:p w14:paraId="0A3FCE96" w14:textId="77777777" w:rsidR="00000000" w:rsidRPr="00467DB0" w:rsidRDefault="00693D67" w:rsidP="00467DB0">
      <w:pPr>
        <w:pStyle w:val="friliste"/>
      </w:pPr>
      <w:r w:rsidRPr="00467DB0">
        <w:t>g)</w:t>
      </w:r>
      <w:r w:rsidRPr="00467DB0">
        <w:tab/>
      </w:r>
      <w:proofErr w:type="spellStart"/>
      <w:r w:rsidRPr="00467DB0">
        <w:t>samarbejde</w:t>
      </w:r>
      <w:proofErr w:type="spellEnd"/>
      <w:r w:rsidRPr="00467DB0">
        <w:t xml:space="preserve"> med andre regionale eller globale </w:t>
      </w:r>
      <w:proofErr w:type="spellStart"/>
      <w:r w:rsidRPr="00467DB0">
        <w:t>satellitnavigationssystemer</w:t>
      </w:r>
      <w:proofErr w:type="spellEnd"/>
      <w:r w:rsidRPr="00467DB0">
        <w:t xml:space="preserve">, herunder for at lette </w:t>
      </w:r>
      <w:proofErr w:type="spellStart"/>
      <w:r w:rsidRPr="00467DB0">
        <w:t>forenelighed</w:t>
      </w:r>
      <w:proofErr w:type="spellEnd"/>
      <w:r w:rsidRPr="00467DB0">
        <w:t xml:space="preserve"> og interoperabilitet</w:t>
      </w:r>
    </w:p>
    <w:p w14:paraId="4CE4FFEC" w14:textId="77777777" w:rsidR="00000000" w:rsidRPr="00467DB0" w:rsidRDefault="00693D67" w:rsidP="00467DB0">
      <w:pPr>
        <w:pStyle w:val="friliste"/>
      </w:pPr>
      <w:r w:rsidRPr="00467DB0">
        <w:t>h)</w:t>
      </w:r>
      <w:r w:rsidRPr="00467DB0">
        <w:tab/>
        <w:t xml:space="preserve">elementer til </w:t>
      </w:r>
      <w:proofErr w:type="spellStart"/>
      <w:r w:rsidRPr="00467DB0">
        <w:t>overvågning</w:t>
      </w:r>
      <w:proofErr w:type="spellEnd"/>
      <w:r w:rsidRPr="00467DB0">
        <w:t xml:space="preserve"> </w:t>
      </w:r>
      <w:proofErr w:type="spellStart"/>
      <w:r w:rsidRPr="00467DB0">
        <w:t>af</w:t>
      </w:r>
      <w:proofErr w:type="spellEnd"/>
      <w:r w:rsidRPr="00467DB0">
        <w:t xml:space="preserve"> </w:t>
      </w:r>
      <w:proofErr w:type="spellStart"/>
      <w:r w:rsidRPr="00467DB0">
        <w:t>systemernes</w:t>
      </w:r>
      <w:proofErr w:type="spellEnd"/>
      <w:r w:rsidRPr="00467DB0">
        <w:t xml:space="preserve"> </w:t>
      </w:r>
      <w:proofErr w:type="spellStart"/>
      <w:r w:rsidRPr="00467DB0">
        <w:t>pålidelighed</w:t>
      </w:r>
      <w:proofErr w:type="spellEnd"/>
      <w:r w:rsidRPr="00467DB0">
        <w:t xml:space="preserve"> og drif</w:t>
      </w:r>
      <w:r w:rsidRPr="00467DB0">
        <w:t xml:space="preserve">t samt </w:t>
      </w:r>
      <w:proofErr w:type="spellStart"/>
      <w:r w:rsidRPr="00467DB0">
        <w:t>tjenesternes</w:t>
      </w:r>
      <w:proofErr w:type="spellEnd"/>
      <w:r w:rsidRPr="00467DB0">
        <w:t xml:space="preserve"> </w:t>
      </w:r>
      <w:proofErr w:type="spellStart"/>
      <w:r w:rsidRPr="00467DB0">
        <w:t>præstationer</w:t>
      </w:r>
      <w:proofErr w:type="spellEnd"/>
    </w:p>
    <w:p w14:paraId="083AD9C1" w14:textId="77777777" w:rsidR="00000000" w:rsidRPr="00467DB0" w:rsidRDefault="00693D67" w:rsidP="00467DB0">
      <w:pPr>
        <w:pStyle w:val="friliste"/>
      </w:pPr>
      <w:r w:rsidRPr="00467DB0">
        <w:t>i)</w:t>
      </w:r>
      <w:r w:rsidRPr="00467DB0">
        <w:tab/>
        <w:t xml:space="preserve">aktiviteter </w:t>
      </w:r>
      <w:proofErr w:type="gramStart"/>
      <w:r w:rsidRPr="00467DB0">
        <w:t>vedrørende</w:t>
      </w:r>
      <w:proofErr w:type="gramEnd"/>
      <w:r w:rsidRPr="00467DB0">
        <w:t xml:space="preserve"> levering </w:t>
      </w:r>
      <w:proofErr w:type="spellStart"/>
      <w:r w:rsidRPr="00467DB0">
        <w:t>af</w:t>
      </w:r>
      <w:proofErr w:type="spellEnd"/>
      <w:r w:rsidRPr="00467DB0">
        <w:t xml:space="preserve"> tjenester og samordning i forbindelse med </w:t>
      </w:r>
      <w:proofErr w:type="spellStart"/>
      <w:r w:rsidRPr="00467DB0">
        <w:t>udvidelsen</w:t>
      </w:r>
      <w:proofErr w:type="spellEnd"/>
      <w:r w:rsidRPr="00467DB0">
        <w:t xml:space="preserve"> </w:t>
      </w:r>
      <w:proofErr w:type="spellStart"/>
      <w:r w:rsidRPr="00467DB0">
        <w:t>af</w:t>
      </w:r>
      <w:proofErr w:type="spellEnd"/>
      <w:r w:rsidRPr="00467DB0">
        <w:t xml:space="preserve"> deres </w:t>
      </w:r>
      <w:proofErr w:type="spellStart"/>
      <w:r w:rsidRPr="00467DB0">
        <w:t>dækning</w:t>
      </w:r>
      <w:proofErr w:type="spellEnd"/>
      <w:r w:rsidRPr="00467DB0">
        <w:t>.</w:t>
      </w:r>
    </w:p>
    <w:p w14:paraId="54C06C7F" w14:textId="77777777" w:rsidR="00000000" w:rsidRPr="00467DB0" w:rsidRDefault="00693D67" w:rsidP="00467DB0">
      <w:pPr>
        <w:pStyle w:val="avsnitt-undertittel"/>
      </w:pPr>
      <w:proofErr w:type="spellStart"/>
      <w:r w:rsidRPr="00467DB0">
        <w:t>Artikel</w:t>
      </w:r>
      <w:proofErr w:type="spellEnd"/>
      <w:r w:rsidRPr="00467DB0">
        <w:t> 45</w:t>
      </w:r>
    </w:p>
    <w:p w14:paraId="750F247E" w14:textId="77777777" w:rsidR="00000000" w:rsidRPr="00467DB0" w:rsidRDefault="00693D67" w:rsidP="00467DB0">
      <w:pPr>
        <w:pStyle w:val="Undertittel"/>
      </w:pPr>
      <w:r w:rsidRPr="00467DB0">
        <w:t xml:space="preserve">Tjenester </w:t>
      </w:r>
      <w:proofErr w:type="spellStart"/>
      <w:r w:rsidRPr="00467DB0">
        <w:t>leveret</w:t>
      </w:r>
      <w:proofErr w:type="spellEnd"/>
      <w:r w:rsidRPr="00467DB0">
        <w:t xml:space="preserve"> </w:t>
      </w:r>
      <w:proofErr w:type="spellStart"/>
      <w:r w:rsidRPr="00467DB0">
        <w:t>af</w:t>
      </w:r>
      <w:proofErr w:type="spellEnd"/>
      <w:r w:rsidRPr="00467DB0">
        <w:t xml:space="preserve"> Galileo</w:t>
      </w:r>
    </w:p>
    <w:p w14:paraId="60F7E63D" w14:textId="77777777" w:rsidR="00000000" w:rsidRPr="00467DB0" w:rsidRDefault="00693D67" w:rsidP="00467DB0">
      <w:pPr>
        <w:pStyle w:val="friliste"/>
      </w:pPr>
      <w:r w:rsidRPr="00467DB0">
        <w:t>1.</w:t>
      </w:r>
      <w:r w:rsidRPr="00467DB0">
        <w:tab/>
        <w:t xml:space="preserve">De tjenester, der leveres </w:t>
      </w:r>
      <w:proofErr w:type="spellStart"/>
      <w:r w:rsidRPr="00467DB0">
        <w:t>af</w:t>
      </w:r>
      <w:proofErr w:type="spellEnd"/>
      <w:r w:rsidRPr="00467DB0">
        <w:t xml:space="preserve"> Galileo, omfatter:</w:t>
      </w:r>
    </w:p>
    <w:p w14:paraId="2148A4BA" w14:textId="77777777" w:rsidR="00000000" w:rsidRPr="00467DB0" w:rsidRDefault="00693D67" w:rsidP="00467DB0">
      <w:pPr>
        <w:pStyle w:val="friliste2"/>
      </w:pPr>
      <w:r w:rsidRPr="00467DB0">
        <w:t>a)</w:t>
      </w:r>
      <w:r w:rsidRPr="00467DB0">
        <w:tab/>
        <w:t xml:space="preserve">en </w:t>
      </w:r>
      <w:proofErr w:type="spellStart"/>
      <w:r w:rsidRPr="00467DB0">
        <w:t>åben</w:t>
      </w:r>
      <w:proofErr w:type="spellEnd"/>
      <w:r w:rsidRPr="00467DB0">
        <w:t xml:space="preserve"> Galileo-tjen</w:t>
      </w:r>
      <w:r w:rsidRPr="00467DB0">
        <w:t xml:space="preserve">este (GOS), der er vederlagsfri for </w:t>
      </w:r>
      <w:proofErr w:type="spellStart"/>
      <w:r w:rsidRPr="00467DB0">
        <w:t>brugerne</w:t>
      </w:r>
      <w:proofErr w:type="spellEnd"/>
      <w:r w:rsidRPr="00467DB0">
        <w:t xml:space="preserve">, og som leverer </w:t>
      </w:r>
      <w:proofErr w:type="spellStart"/>
      <w:r w:rsidRPr="00467DB0">
        <w:t>positions</w:t>
      </w:r>
      <w:proofErr w:type="spellEnd"/>
      <w:r w:rsidRPr="00467DB0">
        <w:t xml:space="preserve">- og synkroniseringsdata, der </w:t>
      </w:r>
      <w:proofErr w:type="spellStart"/>
      <w:r w:rsidRPr="00467DB0">
        <w:t>hovedsagelig</w:t>
      </w:r>
      <w:proofErr w:type="spellEnd"/>
      <w:r w:rsidRPr="00467DB0">
        <w:t xml:space="preserve"> er bestemt til </w:t>
      </w:r>
      <w:proofErr w:type="spellStart"/>
      <w:r w:rsidRPr="00467DB0">
        <w:t>satellitnavigationsapplikationer</w:t>
      </w:r>
      <w:proofErr w:type="spellEnd"/>
      <w:r w:rsidRPr="00467DB0">
        <w:t xml:space="preserve"> til massemarkedet for </w:t>
      </w:r>
      <w:proofErr w:type="spellStart"/>
      <w:r w:rsidRPr="00467DB0">
        <w:t>forbrugerne</w:t>
      </w:r>
      <w:proofErr w:type="spellEnd"/>
    </w:p>
    <w:p w14:paraId="7AE442FE" w14:textId="77777777" w:rsidR="00000000" w:rsidRPr="00467DB0" w:rsidRDefault="00693D67" w:rsidP="00467DB0">
      <w:pPr>
        <w:pStyle w:val="friliste2"/>
      </w:pPr>
      <w:r w:rsidRPr="00467DB0">
        <w:lastRenderedPageBreak/>
        <w:t>b)</w:t>
      </w:r>
      <w:r w:rsidRPr="00467DB0">
        <w:tab/>
        <w:t xml:space="preserve">en </w:t>
      </w:r>
      <w:proofErr w:type="spellStart"/>
      <w:r w:rsidRPr="00467DB0">
        <w:t>højpræcisionstjeneste</w:t>
      </w:r>
      <w:proofErr w:type="spellEnd"/>
      <w:r w:rsidRPr="00467DB0">
        <w:t xml:space="preserve"> (High </w:t>
      </w:r>
      <w:proofErr w:type="spellStart"/>
      <w:r w:rsidRPr="00467DB0">
        <w:t>Accuracy</w:t>
      </w:r>
      <w:proofErr w:type="spellEnd"/>
      <w:r w:rsidRPr="00467DB0">
        <w:t xml:space="preserve"> Service, HAS), som</w:t>
      </w:r>
      <w:r w:rsidRPr="00467DB0">
        <w:t xml:space="preserve"> er vederlagsfri for </w:t>
      </w:r>
      <w:proofErr w:type="spellStart"/>
      <w:r w:rsidRPr="00467DB0">
        <w:t>brugerne</w:t>
      </w:r>
      <w:proofErr w:type="spellEnd"/>
      <w:r w:rsidRPr="00467DB0">
        <w:t xml:space="preserve">, og som </w:t>
      </w:r>
      <w:proofErr w:type="spellStart"/>
      <w:r w:rsidRPr="00467DB0">
        <w:t>gennem</w:t>
      </w:r>
      <w:proofErr w:type="spellEnd"/>
      <w:r w:rsidRPr="00467DB0">
        <w:t xml:space="preserve"> supplerende data sendt via et </w:t>
      </w:r>
      <w:proofErr w:type="spellStart"/>
      <w:r w:rsidRPr="00467DB0">
        <w:t>yderligere</w:t>
      </w:r>
      <w:proofErr w:type="spellEnd"/>
      <w:r w:rsidRPr="00467DB0">
        <w:t xml:space="preserve"> frekvensbånd leverer </w:t>
      </w:r>
      <w:proofErr w:type="spellStart"/>
      <w:r w:rsidRPr="00467DB0">
        <w:t>positions</w:t>
      </w:r>
      <w:proofErr w:type="spellEnd"/>
      <w:r w:rsidRPr="00467DB0">
        <w:t xml:space="preserve">- og synkroniseringsdata med </w:t>
      </w:r>
      <w:proofErr w:type="spellStart"/>
      <w:r w:rsidRPr="00467DB0">
        <w:t>høj</w:t>
      </w:r>
      <w:proofErr w:type="spellEnd"/>
      <w:r w:rsidRPr="00467DB0">
        <w:t xml:space="preserve"> </w:t>
      </w:r>
      <w:proofErr w:type="spellStart"/>
      <w:r w:rsidRPr="00467DB0">
        <w:t>præcision</w:t>
      </w:r>
      <w:proofErr w:type="spellEnd"/>
      <w:r w:rsidRPr="00467DB0">
        <w:t xml:space="preserve">, og som </w:t>
      </w:r>
      <w:proofErr w:type="spellStart"/>
      <w:r w:rsidRPr="00467DB0">
        <w:t>hovedsagelig</w:t>
      </w:r>
      <w:proofErr w:type="spellEnd"/>
      <w:r w:rsidRPr="00467DB0">
        <w:t xml:space="preserve"> er bestemt til </w:t>
      </w:r>
      <w:proofErr w:type="spellStart"/>
      <w:r w:rsidRPr="00467DB0">
        <w:t>satellitnavigationsapplikationer</w:t>
      </w:r>
      <w:proofErr w:type="spellEnd"/>
      <w:r w:rsidRPr="00467DB0">
        <w:t xml:space="preserve"> til </w:t>
      </w:r>
      <w:proofErr w:type="spellStart"/>
      <w:r w:rsidRPr="00467DB0">
        <w:t>erhvervs</w:t>
      </w:r>
      <w:proofErr w:type="spellEnd"/>
      <w:r w:rsidRPr="00467DB0">
        <w:t xml:space="preserve">- eller </w:t>
      </w:r>
      <w:proofErr w:type="spellStart"/>
      <w:r w:rsidRPr="00467DB0">
        <w:t>forretni</w:t>
      </w:r>
      <w:r w:rsidRPr="00467DB0">
        <w:t>ngsmæssige</w:t>
      </w:r>
      <w:proofErr w:type="spellEnd"/>
      <w:r w:rsidRPr="00467DB0">
        <w:t xml:space="preserve"> formål</w:t>
      </w:r>
    </w:p>
    <w:p w14:paraId="21EAF8CB" w14:textId="77777777" w:rsidR="00000000" w:rsidRPr="00467DB0" w:rsidRDefault="00693D67" w:rsidP="00467DB0">
      <w:pPr>
        <w:pStyle w:val="friliste2"/>
      </w:pPr>
      <w:r w:rsidRPr="00467DB0">
        <w:t>c)</w:t>
      </w:r>
      <w:r w:rsidRPr="00467DB0">
        <w:tab/>
        <w:t xml:space="preserve">en </w:t>
      </w:r>
      <w:proofErr w:type="spellStart"/>
      <w:r w:rsidRPr="00467DB0">
        <w:t>signalautentificeringstjeneste</w:t>
      </w:r>
      <w:proofErr w:type="spellEnd"/>
      <w:r w:rsidRPr="00467DB0">
        <w:t xml:space="preserve"> (Signal </w:t>
      </w:r>
      <w:proofErr w:type="spellStart"/>
      <w:r w:rsidRPr="00467DB0">
        <w:t>Authentication</w:t>
      </w:r>
      <w:proofErr w:type="spellEnd"/>
      <w:r w:rsidRPr="00467DB0">
        <w:t xml:space="preserve"> Service, SAS), </w:t>
      </w:r>
      <w:proofErr w:type="spellStart"/>
      <w:r w:rsidRPr="00467DB0">
        <w:t>baseret</w:t>
      </w:r>
      <w:proofErr w:type="spellEnd"/>
      <w:r w:rsidRPr="00467DB0">
        <w:t xml:space="preserve"> på </w:t>
      </w:r>
      <w:proofErr w:type="spellStart"/>
      <w:r w:rsidRPr="00467DB0">
        <w:t>krypterede</w:t>
      </w:r>
      <w:proofErr w:type="spellEnd"/>
      <w:r w:rsidRPr="00467DB0">
        <w:t xml:space="preserve"> koder i </w:t>
      </w:r>
      <w:proofErr w:type="spellStart"/>
      <w:r w:rsidRPr="00467DB0">
        <w:t>signalerne</w:t>
      </w:r>
      <w:proofErr w:type="spellEnd"/>
      <w:r w:rsidRPr="00467DB0">
        <w:t xml:space="preserve">, som </w:t>
      </w:r>
      <w:proofErr w:type="spellStart"/>
      <w:r w:rsidRPr="00467DB0">
        <w:t>hovedsagelig</w:t>
      </w:r>
      <w:proofErr w:type="spellEnd"/>
      <w:r w:rsidRPr="00467DB0">
        <w:t xml:space="preserve"> er bestemt til </w:t>
      </w:r>
      <w:proofErr w:type="spellStart"/>
      <w:r w:rsidRPr="00467DB0">
        <w:t>satellitnavigationsapplikationer</w:t>
      </w:r>
      <w:proofErr w:type="spellEnd"/>
      <w:r w:rsidRPr="00467DB0">
        <w:t xml:space="preserve"> til </w:t>
      </w:r>
      <w:proofErr w:type="spellStart"/>
      <w:r w:rsidRPr="00467DB0">
        <w:t>erhvervs</w:t>
      </w:r>
      <w:proofErr w:type="spellEnd"/>
      <w:r w:rsidRPr="00467DB0">
        <w:t xml:space="preserve">- eller </w:t>
      </w:r>
      <w:proofErr w:type="spellStart"/>
      <w:r w:rsidRPr="00467DB0">
        <w:t>forretningsmæssige</w:t>
      </w:r>
      <w:proofErr w:type="spellEnd"/>
      <w:r w:rsidRPr="00467DB0">
        <w:t xml:space="preserve"> formål</w:t>
      </w:r>
    </w:p>
    <w:p w14:paraId="4E575A96" w14:textId="77777777" w:rsidR="00000000" w:rsidRPr="00467DB0" w:rsidRDefault="00693D67" w:rsidP="00467DB0">
      <w:pPr>
        <w:pStyle w:val="friliste2"/>
      </w:pPr>
      <w:r w:rsidRPr="00467DB0">
        <w:t>d)</w:t>
      </w:r>
      <w:r w:rsidRPr="00467DB0">
        <w:tab/>
        <w:t xml:space="preserve">en </w:t>
      </w:r>
      <w:proofErr w:type="spellStart"/>
      <w:r w:rsidRPr="00467DB0">
        <w:t>stat</w:t>
      </w:r>
      <w:r w:rsidRPr="00467DB0">
        <w:t>sreguleret</w:t>
      </w:r>
      <w:proofErr w:type="spellEnd"/>
      <w:r w:rsidRPr="00467DB0">
        <w:t xml:space="preserve"> tjeneste (Public </w:t>
      </w:r>
      <w:proofErr w:type="spellStart"/>
      <w:r w:rsidRPr="00467DB0">
        <w:t>Regulated</w:t>
      </w:r>
      <w:proofErr w:type="spellEnd"/>
      <w:r w:rsidRPr="00467DB0">
        <w:t xml:space="preserve"> Service, PRS), som er forbeholdt </w:t>
      </w:r>
      <w:proofErr w:type="spellStart"/>
      <w:r w:rsidRPr="00467DB0">
        <w:t>statsligt</w:t>
      </w:r>
      <w:proofErr w:type="spellEnd"/>
      <w:r w:rsidRPr="00467DB0">
        <w:t xml:space="preserve"> </w:t>
      </w:r>
      <w:proofErr w:type="spellStart"/>
      <w:r w:rsidRPr="00467DB0">
        <w:t>autoriserede</w:t>
      </w:r>
      <w:proofErr w:type="spellEnd"/>
      <w:r w:rsidRPr="00467DB0">
        <w:t xml:space="preserve"> </w:t>
      </w:r>
      <w:proofErr w:type="spellStart"/>
      <w:r w:rsidRPr="00467DB0">
        <w:t>brugere</w:t>
      </w:r>
      <w:proofErr w:type="spellEnd"/>
      <w:r w:rsidRPr="00467DB0">
        <w:t xml:space="preserve">, til følsomme </w:t>
      </w:r>
      <w:proofErr w:type="spellStart"/>
      <w:r w:rsidRPr="00467DB0">
        <w:t>applikationer</w:t>
      </w:r>
      <w:proofErr w:type="spellEnd"/>
      <w:r w:rsidRPr="00467DB0">
        <w:t xml:space="preserve">, som </w:t>
      </w:r>
      <w:proofErr w:type="spellStart"/>
      <w:r w:rsidRPr="00467DB0">
        <w:t>kræver</w:t>
      </w:r>
      <w:proofErr w:type="spellEnd"/>
      <w:r w:rsidRPr="00467DB0">
        <w:t xml:space="preserve"> en </w:t>
      </w:r>
      <w:proofErr w:type="spellStart"/>
      <w:r w:rsidRPr="00467DB0">
        <w:t>høj</w:t>
      </w:r>
      <w:proofErr w:type="spellEnd"/>
      <w:r w:rsidRPr="00467DB0">
        <w:t xml:space="preserve"> grad </w:t>
      </w:r>
      <w:proofErr w:type="spellStart"/>
      <w:r w:rsidRPr="00467DB0">
        <w:t>af</w:t>
      </w:r>
      <w:proofErr w:type="spellEnd"/>
      <w:r w:rsidRPr="00467DB0">
        <w:t xml:space="preserve"> tjenestekontinuitet, herunder på </w:t>
      </w:r>
      <w:proofErr w:type="spellStart"/>
      <w:r w:rsidRPr="00467DB0">
        <w:t>sikkerheds</w:t>
      </w:r>
      <w:proofErr w:type="spellEnd"/>
      <w:r w:rsidRPr="00467DB0">
        <w:t xml:space="preserve">- og forsvarsområdet, og som anvender robuste, </w:t>
      </w:r>
      <w:proofErr w:type="spellStart"/>
      <w:r w:rsidRPr="00467DB0">
        <w:t>kryptered</w:t>
      </w:r>
      <w:r w:rsidRPr="00467DB0">
        <w:t>e</w:t>
      </w:r>
      <w:proofErr w:type="spellEnd"/>
      <w:r w:rsidRPr="00467DB0">
        <w:t xml:space="preserve"> signaler; den skal være vederlagsfri for </w:t>
      </w:r>
      <w:proofErr w:type="spellStart"/>
      <w:r w:rsidRPr="00467DB0">
        <w:t>medlemsstaterne</w:t>
      </w:r>
      <w:proofErr w:type="spellEnd"/>
      <w:r w:rsidRPr="00467DB0">
        <w:t xml:space="preserve">, Rådet, </w:t>
      </w:r>
      <w:proofErr w:type="spellStart"/>
      <w:r w:rsidRPr="00467DB0">
        <w:t>Kommissionen</w:t>
      </w:r>
      <w:proofErr w:type="spellEnd"/>
      <w:r w:rsidRPr="00467DB0">
        <w:t>, EU-</w:t>
      </w:r>
      <w:proofErr w:type="spellStart"/>
      <w:r w:rsidRPr="00467DB0">
        <w:t>Udenrigstjenesten</w:t>
      </w:r>
      <w:proofErr w:type="spellEnd"/>
      <w:r w:rsidRPr="00467DB0">
        <w:t xml:space="preserve"> og, hvor det er relevant, </w:t>
      </w:r>
      <w:proofErr w:type="spellStart"/>
      <w:r w:rsidRPr="00467DB0">
        <w:t>behørigt</w:t>
      </w:r>
      <w:proofErr w:type="spellEnd"/>
      <w:r w:rsidRPr="00467DB0">
        <w:t xml:space="preserve"> </w:t>
      </w:r>
      <w:proofErr w:type="spellStart"/>
      <w:r w:rsidRPr="00467DB0">
        <w:t>autoriserede</w:t>
      </w:r>
      <w:proofErr w:type="spellEnd"/>
      <w:r w:rsidRPr="00467DB0">
        <w:t xml:space="preserve"> EU-agenturer; </w:t>
      </w:r>
      <w:proofErr w:type="spellStart"/>
      <w:r w:rsidRPr="00467DB0">
        <w:t>spørgsmålet</w:t>
      </w:r>
      <w:proofErr w:type="spellEnd"/>
      <w:r w:rsidRPr="00467DB0">
        <w:t xml:space="preserve"> om, hvorvidt der skal </w:t>
      </w:r>
      <w:proofErr w:type="spellStart"/>
      <w:r w:rsidRPr="00467DB0">
        <w:t>opkræves</w:t>
      </w:r>
      <w:proofErr w:type="spellEnd"/>
      <w:r w:rsidRPr="00467DB0">
        <w:t xml:space="preserve"> betaling fra andre PRS-deltagere, der er omhandle</w:t>
      </w:r>
      <w:r w:rsidRPr="00467DB0">
        <w:t xml:space="preserve">t i </w:t>
      </w:r>
      <w:proofErr w:type="spellStart"/>
      <w:r w:rsidRPr="00467DB0">
        <w:t>artikel</w:t>
      </w:r>
      <w:proofErr w:type="spellEnd"/>
      <w:r w:rsidRPr="00467DB0">
        <w:t xml:space="preserve"> 2 i </w:t>
      </w:r>
      <w:proofErr w:type="spellStart"/>
      <w:r w:rsidRPr="00467DB0">
        <w:t>afgørelse</w:t>
      </w:r>
      <w:proofErr w:type="spellEnd"/>
      <w:r w:rsidRPr="00467DB0">
        <w:t xml:space="preserve"> nr. 1104/2011/EU, vurderes i hvert enkelt </w:t>
      </w:r>
      <w:proofErr w:type="spellStart"/>
      <w:r w:rsidRPr="00467DB0">
        <w:t>tilfælde</w:t>
      </w:r>
      <w:proofErr w:type="spellEnd"/>
      <w:r w:rsidRPr="00467DB0">
        <w:t xml:space="preserve">, og der </w:t>
      </w:r>
      <w:proofErr w:type="spellStart"/>
      <w:r w:rsidRPr="00467DB0">
        <w:t>fastsættes</w:t>
      </w:r>
      <w:proofErr w:type="spellEnd"/>
      <w:r w:rsidRPr="00467DB0">
        <w:t xml:space="preserve"> relevante bestemmelser i de </w:t>
      </w:r>
      <w:proofErr w:type="spellStart"/>
      <w:r w:rsidRPr="00467DB0">
        <w:t>aftaler</w:t>
      </w:r>
      <w:proofErr w:type="spellEnd"/>
      <w:r w:rsidRPr="00467DB0">
        <w:t xml:space="preserve">, som </w:t>
      </w:r>
      <w:proofErr w:type="spellStart"/>
      <w:r w:rsidRPr="00467DB0">
        <w:t>indgås</w:t>
      </w:r>
      <w:proofErr w:type="spellEnd"/>
      <w:r w:rsidRPr="00467DB0">
        <w:t xml:space="preserve"> i henhold til </w:t>
      </w:r>
      <w:proofErr w:type="spellStart"/>
      <w:r w:rsidRPr="00467DB0">
        <w:t>nævnte</w:t>
      </w:r>
      <w:proofErr w:type="spellEnd"/>
      <w:r w:rsidRPr="00467DB0">
        <w:t xml:space="preserve"> </w:t>
      </w:r>
      <w:proofErr w:type="spellStart"/>
      <w:r w:rsidRPr="00467DB0">
        <w:t>afgørelses</w:t>
      </w:r>
      <w:proofErr w:type="spellEnd"/>
      <w:r w:rsidRPr="00467DB0">
        <w:t xml:space="preserve"> </w:t>
      </w:r>
      <w:proofErr w:type="spellStart"/>
      <w:r w:rsidRPr="00467DB0">
        <w:t>artikel</w:t>
      </w:r>
      <w:proofErr w:type="spellEnd"/>
      <w:r w:rsidRPr="00467DB0">
        <w:t xml:space="preserve"> 3, stk. 5; adgang til PRS reguleres i overensstemmelse med </w:t>
      </w:r>
      <w:proofErr w:type="spellStart"/>
      <w:r w:rsidRPr="00467DB0">
        <w:t>afgørelse</w:t>
      </w:r>
      <w:proofErr w:type="spellEnd"/>
      <w:r w:rsidRPr="00467DB0">
        <w:t xml:space="preserve"> nr.</w:t>
      </w:r>
      <w:r w:rsidRPr="00467DB0">
        <w:t xml:space="preserve"> 1104/2011/EU, som </w:t>
      </w:r>
      <w:proofErr w:type="spellStart"/>
      <w:r w:rsidRPr="00467DB0">
        <w:t>finder</w:t>
      </w:r>
      <w:proofErr w:type="spellEnd"/>
      <w:r w:rsidRPr="00467DB0">
        <w:t xml:space="preserve"> anvendelse på </w:t>
      </w:r>
      <w:proofErr w:type="spellStart"/>
      <w:r w:rsidRPr="00467DB0">
        <w:t>medlemsstaterne</w:t>
      </w:r>
      <w:proofErr w:type="spellEnd"/>
      <w:r w:rsidRPr="00467DB0">
        <w:t xml:space="preserve">, Rådet, </w:t>
      </w:r>
      <w:proofErr w:type="spellStart"/>
      <w:r w:rsidRPr="00467DB0">
        <w:t>Kommissionen</w:t>
      </w:r>
      <w:proofErr w:type="spellEnd"/>
      <w:r w:rsidRPr="00467DB0">
        <w:t>, EU-</w:t>
      </w:r>
      <w:proofErr w:type="spellStart"/>
      <w:r w:rsidRPr="00467DB0">
        <w:t>Udenrigstjenesten</w:t>
      </w:r>
      <w:proofErr w:type="spellEnd"/>
      <w:r w:rsidRPr="00467DB0">
        <w:t xml:space="preserve"> og EU-</w:t>
      </w:r>
      <w:proofErr w:type="spellStart"/>
      <w:r w:rsidRPr="00467DB0">
        <w:t>agenturerne</w:t>
      </w:r>
      <w:proofErr w:type="spellEnd"/>
    </w:p>
    <w:p w14:paraId="083B1A57" w14:textId="77777777" w:rsidR="00000000" w:rsidRPr="00467DB0" w:rsidRDefault="00693D67" w:rsidP="00467DB0">
      <w:pPr>
        <w:pStyle w:val="friliste2"/>
      </w:pPr>
      <w:r w:rsidRPr="00467DB0">
        <w:t>e)</w:t>
      </w:r>
      <w:r w:rsidRPr="00467DB0">
        <w:tab/>
        <w:t xml:space="preserve">en </w:t>
      </w:r>
      <w:proofErr w:type="spellStart"/>
      <w:r w:rsidRPr="00467DB0">
        <w:t>beredskabstjeneste</w:t>
      </w:r>
      <w:proofErr w:type="spellEnd"/>
      <w:r w:rsidRPr="00467DB0">
        <w:t xml:space="preserve"> (</w:t>
      </w:r>
      <w:proofErr w:type="spellStart"/>
      <w:r w:rsidRPr="00467DB0">
        <w:t>Emergency</w:t>
      </w:r>
      <w:proofErr w:type="spellEnd"/>
      <w:r w:rsidRPr="00467DB0">
        <w:t xml:space="preserve"> Service, ES), som skal være vederlagsfri for </w:t>
      </w:r>
      <w:proofErr w:type="spellStart"/>
      <w:r w:rsidRPr="00467DB0">
        <w:t>brugerne</w:t>
      </w:r>
      <w:proofErr w:type="spellEnd"/>
      <w:r w:rsidRPr="00467DB0">
        <w:t xml:space="preserve">, og som via radiofoni </w:t>
      </w:r>
      <w:proofErr w:type="spellStart"/>
      <w:r w:rsidRPr="00467DB0">
        <w:t>udsender</w:t>
      </w:r>
      <w:proofErr w:type="spellEnd"/>
      <w:r w:rsidRPr="00467DB0">
        <w:t xml:space="preserve"> signaler med advar</w:t>
      </w:r>
      <w:r w:rsidRPr="00467DB0">
        <w:t xml:space="preserve">sler om naturkatastrofer eller andre </w:t>
      </w:r>
      <w:proofErr w:type="spellStart"/>
      <w:r w:rsidRPr="00467DB0">
        <w:t>nødsituationer</w:t>
      </w:r>
      <w:proofErr w:type="spellEnd"/>
      <w:r w:rsidRPr="00467DB0">
        <w:t xml:space="preserve"> </w:t>
      </w:r>
      <w:proofErr w:type="spellStart"/>
      <w:r w:rsidRPr="00467DB0">
        <w:t>inden</w:t>
      </w:r>
      <w:proofErr w:type="spellEnd"/>
      <w:r w:rsidRPr="00467DB0">
        <w:t xml:space="preserve"> for særlige områder; den leveres, hvor det er relevant, i </w:t>
      </w:r>
      <w:proofErr w:type="spellStart"/>
      <w:r w:rsidRPr="00467DB0">
        <w:t>samarbejde</w:t>
      </w:r>
      <w:proofErr w:type="spellEnd"/>
      <w:r w:rsidRPr="00467DB0">
        <w:t xml:space="preserve"> med </w:t>
      </w:r>
      <w:proofErr w:type="spellStart"/>
      <w:r w:rsidRPr="00467DB0">
        <w:t>medlemsstaternes</w:t>
      </w:r>
      <w:proofErr w:type="spellEnd"/>
      <w:r w:rsidRPr="00467DB0">
        <w:t xml:space="preserve"> </w:t>
      </w:r>
      <w:proofErr w:type="spellStart"/>
      <w:r w:rsidRPr="00467DB0">
        <w:t>nationale</w:t>
      </w:r>
      <w:proofErr w:type="spellEnd"/>
      <w:r w:rsidRPr="00467DB0">
        <w:t xml:space="preserve"> </w:t>
      </w:r>
      <w:proofErr w:type="spellStart"/>
      <w:r w:rsidRPr="00467DB0">
        <w:t>civilbeskyttelsesmyndigheder</w:t>
      </w:r>
      <w:proofErr w:type="spellEnd"/>
      <w:r w:rsidRPr="00467DB0">
        <w:t>;</w:t>
      </w:r>
    </w:p>
    <w:p w14:paraId="5E6E3A05" w14:textId="77777777" w:rsidR="00000000" w:rsidRPr="00467DB0" w:rsidRDefault="00693D67" w:rsidP="00467DB0">
      <w:pPr>
        <w:pStyle w:val="friliste2"/>
      </w:pPr>
      <w:r w:rsidRPr="00467DB0">
        <w:t>f)</w:t>
      </w:r>
      <w:r w:rsidRPr="00467DB0">
        <w:tab/>
        <w:t>en tidsbestemmelsestjeneste (Timing Service, TS), som skal være v</w:t>
      </w:r>
      <w:r w:rsidRPr="00467DB0">
        <w:t xml:space="preserve">ederlagsfri for </w:t>
      </w:r>
      <w:proofErr w:type="spellStart"/>
      <w:r w:rsidRPr="00467DB0">
        <w:t>brugerne</w:t>
      </w:r>
      <w:proofErr w:type="spellEnd"/>
      <w:r w:rsidRPr="00467DB0">
        <w:t xml:space="preserve">, og som leverer en </w:t>
      </w:r>
      <w:proofErr w:type="spellStart"/>
      <w:r w:rsidRPr="00467DB0">
        <w:t>præcis</w:t>
      </w:r>
      <w:proofErr w:type="spellEnd"/>
      <w:r w:rsidRPr="00467DB0">
        <w:t xml:space="preserve"> og </w:t>
      </w:r>
      <w:proofErr w:type="spellStart"/>
      <w:r w:rsidRPr="00467DB0">
        <w:t>pålidelig</w:t>
      </w:r>
      <w:proofErr w:type="spellEnd"/>
      <w:r w:rsidRPr="00467DB0">
        <w:t xml:space="preserve"> </w:t>
      </w:r>
      <w:proofErr w:type="spellStart"/>
      <w:r w:rsidRPr="00467DB0">
        <w:t>referencetid</w:t>
      </w:r>
      <w:proofErr w:type="spellEnd"/>
      <w:r w:rsidRPr="00467DB0">
        <w:t xml:space="preserve"> samt </w:t>
      </w:r>
      <w:proofErr w:type="spellStart"/>
      <w:r w:rsidRPr="00467DB0">
        <w:t>gennemfører</w:t>
      </w:r>
      <w:proofErr w:type="spellEnd"/>
      <w:r w:rsidRPr="00467DB0">
        <w:t xml:space="preserve"> </w:t>
      </w:r>
      <w:proofErr w:type="spellStart"/>
      <w:r w:rsidRPr="00467DB0">
        <w:t>koordineret</w:t>
      </w:r>
      <w:proofErr w:type="spellEnd"/>
      <w:r w:rsidRPr="00467DB0">
        <w:t xml:space="preserve"> universaltid for at fremme </w:t>
      </w:r>
      <w:proofErr w:type="spellStart"/>
      <w:r w:rsidRPr="00467DB0">
        <w:t>udviklingen</w:t>
      </w:r>
      <w:proofErr w:type="spellEnd"/>
      <w:r w:rsidRPr="00467DB0">
        <w:t xml:space="preserve"> </w:t>
      </w:r>
      <w:proofErr w:type="spellStart"/>
      <w:r w:rsidRPr="00467DB0">
        <w:t>af</w:t>
      </w:r>
      <w:proofErr w:type="spellEnd"/>
      <w:r w:rsidRPr="00467DB0">
        <w:t xml:space="preserve"> </w:t>
      </w:r>
      <w:proofErr w:type="spellStart"/>
      <w:r w:rsidRPr="00467DB0">
        <w:t>tidsbestemmelsesapplikationer</w:t>
      </w:r>
      <w:proofErr w:type="spellEnd"/>
      <w:r w:rsidRPr="00467DB0">
        <w:t xml:space="preserve">, som bygger på Galileo, og </w:t>
      </w:r>
      <w:proofErr w:type="gramStart"/>
      <w:r w:rsidRPr="00467DB0">
        <w:t>anvendelse</w:t>
      </w:r>
      <w:proofErr w:type="gramEnd"/>
      <w:r w:rsidRPr="00467DB0">
        <w:t xml:space="preserve"> i kritiske </w:t>
      </w:r>
      <w:proofErr w:type="spellStart"/>
      <w:r w:rsidRPr="00467DB0">
        <w:t>applikationer</w:t>
      </w:r>
      <w:proofErr w:type="spellEnd"/>
      <w:r w:rsidRPr="00467DB0">
        <w:t>.</w:t>
      </w:r>
    </w:p>
    <w:p w14:paraId="45B4B76B" w14:textId="77777777" w:rsidR="00000000" w:rsidRPr="00467DB0" w:rsidRDefault="00693D67" w:rsidP="00467DB0">
      <w:pPr>
        <w:pStyle w:val="friliste"/>
      </w:pPr>
      <w:r w:rsidRPr="00467DB0">
        <w:t>2.</w:t>
      </w:r>
      <w:r w:rsidRPr="00467DB0">
        <w:tab/>
        <w:t xml:space="preserve">Galileo </w:t>
      </w:r>
      <w:proofErr w:type="spellStart"/>
      <w:r w:rsidRPr="00467DB0">
        <w:t>bid</w:t>
      </w:r>
      <w:r w:rsidRPr="00467DB0">
        <w:t>rager</w:t>
      </w:r>
      <w:proofErr w:type="spellEnd"/>
      <w:r w:rsidRPr="00467DB0">
        <w:t xml:space="preserve"> også til:</w:t>
      </w:r>
    </w:p>
    <w:p w14:paraId="40ED6966" w14:textId="77777777" w:rsidR="00000000" w:rsidRPr="00467DB0" w:rsidRDefault="00693D67" w:rsidP="00467DB0">
      <w:pPr>
        <w:pStyle w:val="friliste2"/>
      </w:pPr>
      <w:r w:rsidRPr="00467DB0">
        <w:t>a)</w:t>
      </w:r>
      <w:r w:rsidRPr="00467DB0">
        <w:tab/>
      </w:r>
      <w:proofErr w:type="spellStart"/>
      <w:r w:rsidRPr="00467DB0">
        <w:t>eftersøgnings</w:t>
      </w:r>
      <w:proofErr w:type="spellEnd"/>
      <w:r w:rsidRPr="00467DB0">
        <w:t>- og redningstjenesten (</w:t>
      </w:r>
      <w:proofErr w:type="spellStart"/>
      <w:r w:rsidRPr="00467DB0">
        <w:t>Search</w:t>
      </w:r>
      <w:proofErr w:type="spellEnd"/>
      <w:r w:rsidRPr="00467DB0">
        <w:t xml:space="preserve"> and </w:t>
      </w:r>
      <w:proofErr w:type="spellStart"/>
      <w:r w:rsidRPr="00467DB0">
        <w:t>Rescue</w:t>
      </w:r>
      <w:proofErr w:type="spellEnd"/>
      <w:r w:rsidRPr="00467DB0">
        <w:t xml:space="preserve"> Support Service, SAR) i COSPAS-SARSAT-systemet ved at </w:t>
      </w:r>
      <w:proofErr w:type="spellStart"/>
      <w:r w:rsidRPr="00467DB0">
        <w:t>opfange</w:t>
      </w:r>
      <w:proofErr w:type="spellEnd"/>
      <w:r w:rsidRPr="00467DB0">
        <w:t xml:space="preserve"> nød</w:t>
      </w:r>
      <w:r w:rsidRPr="00467DB0">
        <w:t xml:space="preserve">signaler fra radiosendere og formidle meddelelser til dem via </w:t>
      </w:r>
      <w:proofErr w:type="gramStart"/>
      <w:r w:rsidRPr="00467DB0">
        <w:t>et returlink</w:t>
      </w:r>
      <w:proofErr w:type="gramEnd"/>
    </w:p>
    <w:p w14:paraId="6EF14C9D" w14:textId="77777777" w:rsidR="00000000" w:rsidRPr="00467DB0" w:rsidRDefault="00693D67" w:rsidP="00467DB0">
      <w:pPr>
        <w:pStyle w:val="friliste2"/>
      </w:pPr>
      <w:r w:rsidRPr="00467DB0">
        <w:t>b)</w:t>
      </w:r>
      <w:r w:rsidRPr="00467DB0">
        <w:tab/>
      </w:r>
      <w:proofErr w:type="spellStart"/>
      <w:r w:rsidRPr="00467DB0">
        <w:t>integritetsovervågningstjenester</w:t>
      </w:r>
      <w:proofErr w:type="spellEnd"/>
      <w:r w:rsidRPr="00467DB0">
        <w:t xml:space="preserve">, som er </w:t>
      </w:r>
      <w:proofErr w:type="spellStart"/>
      <w:r w:rsidRPr="00467DB0">
        <w:t>standardiserede</w:t>
      </w:r>
      <w:proofErr w:type="spellEnd"/>
      <w:r w:rsidRPr="00467DB0">
        <w:t xml:space="preserve"> på EU-</w:t>
      </w:r>
      <w:proofErr w:type="spellStart"/>
      <w:r w:rsidRPr="00467DB0">
        <w:t>niveau</w:t>
      </w:r>
      <w:proofErr w:type="spellEnd"/>
      <w:r w:rsidRPr="00467DB0">
        <w:t xml:space="preserve"> eller </w:t>
      </w:r>
      <w:proofErr w:type="spellStart"/>
      <w:r w:rsidRPr="00467DB0">
        <w:t>internationalt</w:t>
      </w:r>
      <w:proofErr w:type="spellEnd"/>
      <w:r w:rsidRPr="00467DB0">
        <w:t xml:space="preserve"> </w:t>
      </w:r>
      <w:proofErr w:type="spellStart"/>
      <w:r w:rsidRPr="00467DB0">
        <w:t>niveau</w:t>
      </w:r>
      <w:proofErr w:type="spellEnd"/>
      <w:r w:rsidRPr="00467DB0">
        <w:t xml:space="preserve"> til </w:t>
      </w:r>
      <w:proofErr w:type="gramStart"/>
      <w:r w:rsidRPr="00467DB0">
        <w:t>anvendelse</w:t>
      </w:r>
      <w:proofErr w:type="gramEnd"/>
      <w:r w:rsidRPr="00467DB0">
        <w:t xml:space="preserve"> </w:t>
      </w:r>
      <w:proofErr w:type="spellStart"/>
      <w:r w:rsidRPr="00467DB0">
        <w:t>inden</w:t>
      </w:r>
      <w:proofErr w:type="spellEnd"/>
      <w:r w:rsidRPr="00467DB0">
        <w:t xml:space="preserve"> for livskritiske tjenester på basis </w:t>
      </w:r>
      <w:proofErr w:type="spellStart"/>
      <w:r w:rsidRPr="00467DB0">
        <w:t>af</w:t>
      </w:r>
      <w:proofErr w:type="spellEnd"/>
      <w:r w:rsidRPr="00467DB0">
        <w:t xml:space="preserve"> signaler fra den </w:t>
      </w:r>
      <w:proofErr w:type="spellStart"/>
      <w:r w:rsidRPr="00467DB0">
        <w:t>åbn</w:t>
      </w:r>
      <w:r w:rsidRPr="00467DB0">
        <w:t>e</w:t>
      </w:r>
      <w:proofErr w:type="spellEnd"/>
      <w:r w:rsidRPr="00467DB0">
        <w:t xml:space="preserve"> Galileo-tjeneste og i </w:t>
      </w:r>
      <w:proofErr w:type="spellStart"/>
      <w:r w:rsidRPr="00467DB0">
        <w:t>kombination</w:t>
      </w:r>
      <w:proofErr w:type="spellEnd"/>
      <w:r w:rsidRPr="00467DB0">
        <w:t xml:space="preserve"> med EGNOS og andre </w:t>
      </w:r>
      <w:proofErr w:type="spellStart"/>
      <w:r w:rsidRPr="00467DB0">
        <w:t>satellitnavigationssystemer</w:t>
      </w:r>
      <w:proofErr w:type="spellEnd"/>
    </w:p>
    <w:p w14:paraId="3A1505B7" w14:textId="77777777" w:rsidR="00000000" w:rsidRPr="00467DB0" w:rsidRDefault="00693D67" w:rsidP="00467DB0">
      <w:pPr>
        <w:pStyle w:val="friliste2"/>
      </w:pPr>
      <w:r w:rsidRPr="00467DB0">
        <w:t>c)</w:t>
      </w:r>
      <w:r w:rsidRPr="00467DB0">
        <w:tab/>
      </w:r>
      <w:proofErr w:type="spellStart"/>
      <w:r w:rsidRPr="00467DB0">
        <w:t>rumvejrsinformationstjenester</w:t>
      </w:r>
      <w:proofErr w:type="spellEnd"/>
      <w:r w:rsidRPr="00467DB0">
        <w:t xml:space="preserve"> via GNSS-</w:t>
      </w:r>
      <w:proofErr w:type="spellStart"/>
      <w:r w:rsidRPr="00467DB0">
        <w:t>tjenestecentret</w:t>
      </w:r>
      <w:proofErr w:type="spellEnd"/>
      <w:r w:rsidRPr="00467DB0">
        <w:t xml:space="preserve">, jf. </w:t>
      </w:r>
      <w:proofErr w:type="spellStart"/>
      <w:r w:rsidRPr="00467DB0">
        <w:t>gennemførelsesafgørelse</w:t>
      </w:r>
      <w:proofErr w:type="spellEnd"/>
      <w:r w:rsidRPr="00467DB0">
        <w:t xml:space="preserve"> (EU) 2016/413, og varslingstjenester via Galileos jordbaserede infrastruktur, som </w:t>
      </w:r>
      <w:proofErr w:type="spellStart"/>
      <w:r w:rsidRPr="00467DB0">
        <w:t>hove</w:t>
      </w:r>
      <w:r w:rsidRPr="00467DB0">
        <w:t>dsagelig</w:t>
      </w:r>
      <w:proofErr w:type="spellEnd"/>
      <w:r w:rsidRPr="00467DB0">
        <w:t xml:space="preserve"> er bestemt til at </w:t>
      </w:r>
      <w:proofErr w:type="spellStart"/>
      <w:r w:rsidRPr="00467DB0">
        <w:t>mindske</w:t>
      </w:r>
      <w:proofErr w:type="spellEnd"/>
      <w:r w:rsidRPr="00467DB0">
        <w:t xml:space="preserve"> de </w:t>
      </w:r>
      <w:proofErr w:type="spellStart"/>
      <w:r w:rsidRPr="00467DB0">
        <w:t>potentielle</w:t>
      </w:r>
      <w:proofErr w:type="spellEnd"/>
      <w:r w:rsidRPr="00467DB0">
        <w:t xml:space="preserve"> </w:t>
      </w:r>
      <w:proofErr w:type="spellStart"/>
      <w:r w:rsidRPr="00467DB0">
        <w:t>risici</w:t>
      </w:r>
      <w:proofErr w:type="spellEnd"/>
      <w:r w:rsidRPr="00467DB0">
        <w:t xml:space="preserve"> for </w:t>
      </w:r>
      <w:proofErr w:type="spellStart"/>
      <w:r w:rsidRPr="00467DB0">
        <w:t>brugerne</w:t>
      </w:r>
      <w:proofErr w:type="spellEnd"/>
      <w:r w:rsidRPr="00467DB0">
        <w:t xml:space="preserve"> </w:t>
      </w:r>
      <w:proofErr w:type="spellStart"/>
      <w:r w:rsidRPr="00467DB0">
        <w:t>af</w:t>
      </w:r>
      <w:proofErr w:type="spellEnd"/>
      <w:r w:rsidRPr="00467DB0">
        <w:t xml:space="preserve"> de tjenester, der leveres </w:t>
      </w:r>
      <w:proofErr w:type="spellStart"/>
      <w:r w:rsidRPr="00467DB0">
        <w:t>af</w:t>
      </w:r>
      <w:proofErr w:type="spellEnd"/>
      <w:r w:rsidRPr="00467DB0">
        <w:t xml:space="preserve"> Galileo og andre globale </w:t>
      </w:r>
      <w:proofErr w:type="spellStart"/>
      <w:r w:rsidRPr="00467DB0">
        <w:t>satellitnavigationssystemer</w:t>
      </w:r>
      <w:proofErr w:type="spellEnd"/>
      <w:r w:rsidRPr="00467DB0">
        <w:t xml:space="preserve">, i forbindelse med </w:t>
      </w:r>
      <w:proofErr w:type="spellStart"/>
      <w:r w:rsidRPr="00467DB0">
        <w:t>rummet</w:t>
      </w:r>
      <w:proofErr w:type="spellEnd"/>
      <w:r w:rsidRPr="00467DB0">
        <w:t>.</w:t>
      </w:r>
    </w:p>
    <w:p w14:paraId="53891FDC" w14:textId="77777777" w:rsidR="00000000" w:rsidRPr="00467DB0" w:rsidRDefault="00693D67" w:rsidP="00467DB0">
      <w:pPr>
        <w:pStyle w:val="avsnitt-undertittel"/>
      </w:pPr>
      <w:proofErr w:type="spellStart"/>
      <w:r w:rsidRPr="00467DB0">
        <w:t>Artikel</w:t>
      </w:r>
      <w:proofErr w:type="spellEnd"/>
      <w:r w:rsidRPr="00467DB0">
        <w:t> 46</w:t>
      </w:r>
    </w:p>
    <w:p w14:paraId="4E9827B8" w14:textId="77777777" w:rsidR="00000000" w:rsidRPr="00467DB0" w:rsidRDefault="00693D67" w:rsidP="00467DB0">
      <w:pPr>
        <w:pStyle w:val="Undertittel"/>
      </w:pPr>
      <w:r w:rsidRPr="00467DB0">
        <w:t xml:space="preserve">Tjenester </w:t>
      </w:r>
      <w:proofErr w:type="spellStart"/>
      <w:r w:rsidRPr="00467DB0">
        <w:t>leveret</w:t>
      </w:r>
      <w:proofErr w:type="spellEnd"/>
      <w:r w:rsidRPr="00467DB0">
        <w:t xml:space="preserve"> </w:t>
      </w:r>
      <w:proofErr w:type="spellStart"/>
      <w:r w:rsidRPr="00467DB0">
        <w:t>af</w:t>
      </w:r>
      <w:proofErr w:type="spellEnd"/>
      <w:r w:rsidRPr="00467DB0">
        <w:t xml:space="preserve"> EGNOS</w:t>
      </w:r>
    </w:p>
    <w:p w14:paraId="3E388DCB" w14:textId="77777777" w:rsidR="00000000" w:rsidRPr="00467DB0" w:rsidRDefault="00693D67" w:rsidP="00467DB0">
      <w:pPr>
        <w:pStyle w:val="friliste"/>
      </w:pPr>
      <w:r w:rsidRPr="00467DB0">
        <w:t>1.</w:t>
      </w:r>
      <w:r w:rsidRPr="00467DB0">
        <w:tab/>
        <w:t xml:space="preserve">De tjenester, der leveres </w:t>
      </w:r>
      <w:proofErr w:type="spellStart"/>
      <w:r w:rsidRPr="00467DB0">
        <w:t>af</w:t>
      </w:r>
      <w:proofErr w:type="spellEnd"/>
      <w:r w:rsidRPr="00467DB0">
        <w:t xml:space="preserve"> EGNO</w:t>
      </w:r>
      <w:r w:rsidRPr="00467DB0">
        <w:t>S, omfatter:</w:t>
      </w:r>
    </w:p>
    <w:p w14:paraId="1AA47752" w14:textId="77777777" w:rsidR="00000000" w:rsidRPr="00467DB0" w:rsidRDefault="00693D67" w:rsidP="00467DB0">
      <w:pPr>
        <w:pStyle w:val="friliste2"/>
      </w:pPr>
      <w:r w:rsidRPr="00467DB0">
        <w:lastRenderedPageBreak/>
        <w:t>a)</w:t>
      </w:r>
      <w:r w:rsidRPr="00467DB0">
        <w:tab/>
        <w:t xml:space="preserve">en </w:t>
      </w:r>
      <w:proofErr w:type="spellStart"/>
      <w:r w:rsidRPr="00467DB0">
        <w:t>åben</w:t>
      </w:r>
      <w:proofErr w:type="spellEnd"/>
      <w:r w:rsidRPr="00467DB0">
        <w:t xml:space="preserve"> EGNOS-tjeneste (EGNOS Open Service, EOS), som er </w:t>
      </w:r>
      <w:proofErr w:type="spellStart"/>
      <w:r w:rsidRPr="00467DB0">
        <w:t>uden</w:t>
      </w:r>
      <w:proofErr w:type="spellEnd"/>
      <w:r w:rsidRPr="00467DB0">
        <w:t xml:space="preserve"> direkte </w:t>
      </w:r>
      <w:proofErr w:type="spellStart"/>
      <w:r w:rsidRPr="00467DB0">
        <w:t>brugerafgifter</w:t>
      </w:r>
      <w:proofErr w:type="spellEnd"/>
      <w:r w:rsidRPr="00467DB0">
        <w:t xml:space="preserve">, og som leverer </w:t>
      </w:r>
      <w:proofErr w:type="spellStart"/>
      <w:r w:rsidRPr="00467DB0">
        <w:t>positions</w:t>
      </w:r>
      <w:proofErr w:type="spellEnd"/>
      <w:r w:rsidRPr="00467DB0">
        <w:t xml:space="preserve">- og synkroniseringsdata, der </w:t>
      </w:r>
      <w:proofErr w:type="spellStart"/>
      <w:r w:rsidRPr="00467DB0">
        <w:t>hovedsagelig</w:t>
      </w:r>
      <w:proofErr w:type="spellEnd"/>
      <w:r w:rsidRPr="00467DB0">
        <w:t xml:space="preserve"> er bestemt til </w:t>
      </w:r>
      <w:proofErr w:type="spellStart"/>
      <w:r w:rsidRPr="00467DB0">
        <w:t>satellitnavigationsapplikationer</w:t>
      </w:r>
      <w:proofErr w:type="spellEnd"/>
      <w:r w:rsidRPr="00467DB0">
        <w:t xml:space="preserve"> til massemarkedet for </w:t>
      </w:r>
      <w:proofErr w:type="spellStart"/>
      <w:r w:rsidRPr="00467DB0">
        <w:t>forbrugerne</w:t>
      </w:r>
      <w:proofErr w:type="spellEnd"/>
    </w:p>
    <w:p w14:paraId="32823EB6" w14:textId="77777777" w:rsidR="00000000" w:rsidRPr="00467DB0" w:rsidRDefault="00693D67" w:rsidP="00467DB0">
      <w:pPr>
        <w:pStyle w:val="friliste2"/>
      </w:pPr>
      <w:r w:rsidRPr="00467DB0">
        <w:t>b)</w:t>
      </w:r>
      <w:r w:rsidRPr="00467DB0">
        <w:tab/>
        <w:t>en</w:t>
      </w:r>
      <w:r w:rsidRPr="00467DB0">
        <w:t xml:space="preserve"> EGNOS-dataadgangstjeneste (EGNOS Data Access Service, EDAS), som er </w:t>
      </w:r>
      <w:proofErr w:type="spellStart"/>
      <w:r w:rsidRPr="00467DB0">
        <w:t>uden</w:t>
      </w:r>
      <w:proofErr w:type="spellEnd"/>
      <w:r w:rsidRPr="00467DB0">
        <w:t xml:space="preserve"> direkte </w:t>
      </w:r>
      <w:proofErr w:type="spellStart"/>
      <w:r w:rsidRPr="00467DB0">
        <w:t>brugerafgifter</w:t>
      </w:r>
      <w:proofErr w:type="spellEnd"/>
      <w:r w:rsidRPr="00467DB0">
        <w:t xml:space="preserve">, og som leverer </w:t>
      </w:r>
      <w:proofErr w:type="spellStart"/>
      <w:r w:rsidRPr="00467DB0">
        <w:t>positions</w:t>
      </w:r>
      <w:proofErr w:type="spellEnd"/>
      <w:r w:rsidRPr="00467DB0">
        <w:t xml:space="preserve">- og synkroniseringsdata, der </w:t>
      </w:r>
      <w:proofErr w:type="spellStart"/>
      <w:r w:rsidRPr="00467DB0">
        <w:t>hovedsagelig</w:t>
      </w:r>
      <w:proofErr w:type="spellEnd"/>
      <w:r w:rsidRPr="00467DB0">
        <w:t xml:space="preserve"> er bestemt til </w:t>
      </w:r>
      <w:proofErr w:type="spellStart"/>
      <w:r w:rsidRPr="00467DB0">
        <w:t>satellitnavigationsapplikationer</w:t>
      </w:r>
      <w:proofErr w:type="spellEnd"/>
      <w:r w:rsidRPr="00467DB0">
        <w:t xml:space="preserve"> til </w:t>
      </w:r>
      <w:proofErr w:type="spellStart"/>
      <w:r w:rsidRPr="00467DB0">
        <w:t>erhvervs</w:t>
      </w:r>
      <w:proofErr w:type="spellEnd"/>
      <w:r w:rsidRPr="00467DB0">
        <w:t xml:space="preserve">- eller </w:t>
      </w:r>
      <w:proofErr w:type="spellStart"/>
      <w:r w:rsidRPr="00467DB0">
        <w:t>forretningsmæssige</w:t>
      </w:r>
      <w:proofErr w:type="spellEnd"/>
      <w:r w:rsidRPr="00467DB0">
        <w:t xml:space="preserve"> form</w:t>
      </w:r>
      <w:r w:rsidRPr="00467DB0">
        <w:t xml:space="preserve">ål, og som tilbyder forbedret </w:t>
      </w:r>
      <w:proofErr w:type="spellStart"/>
      <w:r w:rsidRPr="00467DB0">
        <w:t>ydeevne</w:t>
      </w:r>
      <w:proofErr w:type="spellEnd"/>
      <w:r w:rsidRPr="00467DB0">
        <w:t xml:space="preserve"> og data med større </w:t>
      </w:r>
      <w:proofErr w:type="spellStart"/>
      <w:r w:rsidRPr="00467DB0">
        <w:t>merværdi</w:t>
      </w:r>
      <w:proofErr w:type="spellEnd"/>
      <w:r w:rsidRPr="00467DB0">
        <w:t xml:space="preserve"> end dem, der fås </w:t>
      </w:r>
      <w:proofErr w:type="spellStart"/>
      <w:r w:rsidRPr="00467DB0">
        <w:t>gennem</w:t>
      </w:r>
      <w:proofErr w:type="spellEnd"/>
      <w:r w:rsidRPr="00467DB0">
        <w:t xml:space="preserve"> EOS</w:t>
      </w:r>
    </w:p>
    <w:p w14:paraId="49AC8F41" w14:textId="77777777" w:rsidR="00000000" w:rsidRPr="00467DB0" w:rsidRDefault="00693D67" w:rsidP="00467DB0">
      <w:pPr>
        <w:pStyle w:val="friliste2"/>
      </w:pPr>
      <w:r w:rsidRPr="00467DB0">
        <w:t>c)</w:t>
      </w:r>
      <w:r w:rsidRPr="00467DB0">
        <w:tab/>
        <w:t>en livskritisk tjeneste (</w:t>
      </w:r>
      <w:proofErr w:type="spellStart"/>
      <w:r w:rsidRPr="00467DB0">
        <w:t>Safety</w:t>
      </w:r>
      <w:proofErr w:type="spellEnd"/>
      <w:r w:rsidRPr="00467DB0">
        <w:t xml:space="preserve"> </w:t>
      </w:r>
      <w:proofErr w:type="spellStart"/>
      <w:r w:rsidRPr="00467DB0">
        <w:t>of</w:t>
      </w:r>
      <w:proofErr w:type="spellEnd"/>
      <w:r w:rsidRPr="00467DB0">
        <w:t xml:space="preserve"> Life Service, </w:t>
      </w:r>
      <w:proofErr w:type="spellStart"/>
      <w:r w:rsidRPr="00467DB0">
        <w:t>SoL</w:t>
      </w:r>
      <w:proofErr w:type="spellEnd"/>
      <w:r w:rsidRPr="00467DB0">
        <w:t xml:space="preserve">), som er </w:t>
      </w:r>
      <w:proofErr w:type="spellStart"/>
      <w:r w:rsidRPr="00467DB0">
        <w:t>uden</w:t>
      </w:r>
      <w:proofErr w:type="spellEnd"/>
      <w:r w:rsidRPr="00467DB0">
        <w:t xml:space="preserve"> direkte </w:t>
      </w:r>
      <w:proofErr w:type="spellStart"/>
      <w:r w:rsidRPr="00467DB0">
        <w:t>brugerafgifter</w:t>
      </w:r>
      <w:proofErr w:type="spellEnd"/>
      <w:r w:rsidRPr="00467DB0">
        <w:t xml:space="preserve">, og som leverer </w:t>
      </w:r>
      <w:proofErr w:type="spellStart"/>
      <w:r w:rsidRPr="00467DB0">
        <w:t>positions</w:t>
      </w:r>
      <w:proofErr w:type="spellEnd"/>
      <w:r w:rsidRPr="00467DB0">
        <w:t xml:space="preserve">- og tidssynkroniseringsdata med en </w:t>
      </w:r>
      <w:proofErr w:type="spellStart"/>
      <w:r w:rsidRPr="00467DB0">
        <w:t>høj</w:t>
      </w:r>
      <w:proofErr w:type="spellEnd"/>
      <w:r w:rsidRPr="00467DB0">
        <w:t xml:space="preserve"> grad</w:t>
      </w:r>
      <w:r w:rsidRPr="00467DB0">
        <w:t xml:space="preserve"> </w:t>
      </w:r>
      <w:proofErr w:type="spellStart"/>
      <w:r w:rsidRPr="00467DB0">
        <w:t>af</w:t>
      </w:r>
      <w:proofErr w:type="spellEnd"/>
      <w:r w:rsidRPr="00467DB0">
        <w:t xml:space="preserve"> kontinuitet, </w:t>
      </w:r>
      <w:proofErr w:type="spellStart"/>
      <w:r w:rsidRPr="00467DB0">
        <w:t>tilgængelighed</w:t>
      </w:r>
      <w:proofErr w:type="spellEnd"/>
      <w:r w:rsidRPr="00467DB0">
        <w:t xml:space="preserve"> og </w:t>
      </w:r>
      <w:proofErr w:type="spellStart"/>
      <w:r w:rsidRPr="00467DB0">
        <w:t>nøjagtighed</w:t>
      </w:r>
      <w:proofErr w:type="spellEnd"/>
      <w:r w:rsidRPr="00467DB0">
        <w:t xml:space="preserve">, herunder en </w:t>
      </w:r>
      <w:proofErr w:type="spellStart"/>
      <w:r w:rsidRPr="00467DB0">
        <w:t>integritetsfunktion</w:t>
      </w:r>
      <w:proofErr w:type="spellEnd"/>
      <w:r w:rsidRPr="00467DB0">
        <w:t xml:space="preserve">, der </w:t>
      </w:r>
      <w:proofErr w:type="spellStart"/>
      <w:r w:rsidRPr="00467DB0">
        <w:t>gør</w:t>
      </w:r>
      <w:proofErr w:type="spellEnd"/>
      <w:r w:rsidRPr="00467DB0">
        <w:t xml:space="preserve"> det </w:t>
      </w:r>
      <w:proofErr w:type="spellStart"/>
      <w:r w:rsidRPr="00467DB0">
        <w:t>muligt</w:t>
      </w:r>
      <w:proofErr w:type="spellEnd"/>
      <w:r w:rsidRPr="00467DB0">
        <w:t xml:space="preserve"> at advare </w:t>
      </w:r>
      <w:proofErr w:type="spellStart"/>
      <w:r w:rsidRPr="00467DB0">
        <w:t>brugeren</w:t>
      </w:r>
      <w:proofErr w:type="spellEnd"/>
      <w:r w:rsidRPr="00467DB0">
        <w:t xml:space="preserve"> i </w:t>
      </w:r>
      <w:proofErr w:type="spellStart"/>
      <w:r w:rsidRPr="00467DB0">
        <w:t>tilfælde</w:t>
      </w:r>
      <w:proofErr w:type="spellEnd"/>
      <w:r w:rsidRPr="00467DB0">
        <w:t xml:space="preserve"> </w:t>
      </w:r>
      <w:proofErr w:type="spellStart"/>
      <w:r w:rsidRPr="00467DB0">
        <w:t>af</w:t>
      </w:r>
      <w:proofErr w:type="spellEnd"/>
      <w:r w:rsidRPr="00467DB0">
        <w:t xml:space="preserve"> </w:t>
      </w:r>
      <w:proofErr w:type="spellStart"/>
      <w:r w:rsidRPr="00467DB0">
        <w:t>fejl</w:t>
      </w:r>
      <w:proofErr w:type="spellEnd"/>
      <w:r w:rsidRPr="00467DB0">
        <w:t xml:space="preserve"> eller advarselssignaler </w:t>
      </w:r>
      <w:proofErr w:type="spellStart"/>
      <w:r w:rsidRPr="00467DB0">
        <w:t>udsendt</w:t>
      </w:r>
      <w:proofErr w:type="spellEnd"/>
      <w:r w:rsidRPr="00467DB0">
        <w:t xml:space="preserve"> Galileo og andre globale </w:t>
      </w:r>
      <w:proofErr w:type="spellStart"/>
      <w:r w:rsidRPr="00467DB0">
        <w:t>satellitnavigationssystemer</w:t>
      </w:r>
      <w:proofErr w:type="spellEnd"/>
      <w:r w:rsidRPr="00467DB0">
        <w:t xml:space="preserve">, som den </w:t>
      </w:r>
      <w:proofErr w:type="spellStart"/>
      <w:r w:rsidRPr="00467DB0">
        <w:t>forstærker</w:t>
      </w:r>
      <w:proofErr w:type="spellEnd"/>
      <w:r w:rsidRPr="00467DB0">
        <w:t xml:space="preserve"> på det </w:t>
      </w:r>
      <w:proofErr w:type="spellStart"/>
      <w:r w:rsidRPr="00467DB0">
        <w:t>dækked</w:t>
      </w:r>
      <w:r w:rsidRPr="00467DB0">
        <w:t>e</w:t>
      </w:r>
      <w:proofErr w:type="spellEnd"/>
      <w:r w:rsidRPr="00467DB0">
        <w:t xml:space="preserve"> område, først og </w:t>
      </w:r>
      <w:proofErr w:type="spellStart"/>
      <w:r w:rsidRPr="00467DB0">
        <w:t>fremmest</w:t>
      </w:r>
      <w:proofErr w:type="spellEnd"/>
      <w:r w:rsidRPr="00467DB0">
        <w:t xml:space="preserve"> rettet mod </w:t>
      </w:r>
      <w:proofErr w:type="spellStart"/>
      <w:r w:rsidRPr="00467DB0">
        <w:t>brugere</w:t>
      </w:r>
      <w:proofErr w:type="spellEnd"/>
      <w:r w:rsidRPr="00467DB0">
        <w:t xml:space="preserve">, for hvem </w:t>
      </w:r>
      <w:proofErr w:type="spellStart"/>
      <w:r w:rsidRPr="00467DB0">
        <w:t>sikkerhed</w:t>
      </w:r>
      <w:proofErr w:type="spellEnd"/>
      <w:r w:rsidRPr="00467DB0">
        <w:t xml:space="preserve"> er </w:t>
      </w:r>
      <w:proofErr w:type="spellStart"/>
      <w:r w:rsidRPr="00467DB0">
        <w:t>afgørende</w:t>
      </w:r>
      <w:proofErr w:type="spellEnd"/>
      <w:r w:rsidRPr="00467DB0">
        <w:t xml:space="preserve">, navnlig </w:t>
      </w:r>
      <w:proofErr w:type="spellStart"/>
      <w:r w:rsidRPr="00467DB0">
        <w:t>inden</w:t>
      </w:r>
      <w:proofErr w:type="spellEnd"/>
      <w:r w:rsidRPr="00467DB0">
        <w:t xml:space="preserve"> for den </w:t>
      </w:r>
      <w:proofErr w:type="spellStart"/>
      <w:r w:rsidRPr="00467DB0">
        <w:t>civile</w:t>
      </w:r>
      <w:proofErr w:type="spellEnd"/>
      <w:r w:rsidRPr="00467DB0">
        <w:t xml:space="preserve"> luftfartssektor med </w:t>
      </w:r>
      <w:proofErr w:type="spellStart"/>
      <w:r w:rsidRPr="00467DB0">
        <w:t>henblik</w:t>
      </w:r>
      <w:proofErr w:type="spellEnd"/>
      <w:r w:rsidRPr="00467DB0">
        <w:t xml:space="preserve"> på luftfartstjenester, i overensstemmelse med ICAO-standarder, eller andre transportsektorer.</w:t>
      </w:r>
    </w:p>
    <w:p w14:paraId="7C0080DC" w14:textId="77777777" w:rsidR="00000000" w:rsidRPr="00467DB0" w:rsidRDefault="00693D67" w:rsidP="00467DB0">
      <w:pPr>
        <w:pStyle w:val="friliste"/>
      </w:pPr>
      <w:r w:rsidRPr="00467DB0">
        <w:t>2.</w:t>
      </w:r>
      <w:r w:rsidRPr="00467DB0">
        <w:tab/>
        <w:t>De i stk. 1 omhandled</w:t>
      </w:r>
      <w:r w:rsidRPr="00467DB0">
        <w:t xml:space="preserve">e tjenester tilbydes som en prioritet i de dele </w:t>
      </w:r>
      <w:proofErr w:type="spellStart"/>
      <w:r w:rsidRPr="00467DB0">
        <w:t>af</w:t>
      </w:r>
      <w:proofErr w:type="spellEnd"/>
      <w:r w:rsidRPr="00467DB0">
        <w:t xml:space="preserve"> alle </w:t>
      </w:r>
      <w:proofErr w:type="spellStart"/>
      <w:r w:rsidRPr="00467DB0">
        <w:t>medlemsstaternes</w:t>
      </w:r>
      <w:proofErr w:type="spellEnd"/>
      <w:r w:rsidRPr="00467DB0">
        <w:t xml:space="preserve"> områder, der geografisk </w:t>
      </w:r>
      <w:proofErr w:type="gramStart"/>
      <w:r w:rsidRPr="00467DB0">
        <w:t>er beliggende</w:t>
      </w:r>
      <w:proofErr w:type="gramEnd"/>
      <w:r w:rsidRPr="00467DB0">
        <w:t xml:space="preserve"> i Europa, herunder i denne forbindelse </w:t>
      </w:r>
      <w:proofErr w:type="spellStart"/>
      <w:r w:rsidRPr="00467DB0">
        <w:t>Cypern</w:t>
      </w:r>
      <w:proofErr w:type="spellEnd"/>
      <w:r w:rsidRPr="00467DB0">
        <w:t xml:space="preserve">, Azorerne, De Kanariske </w:t>
      </w:r>
      <w:proofErr w:type="spellStart"/>
      <w:r w:rsidRPr="00467DB0">
        <w:t>Øer</w:t>
      </w:r>
      <w:proofErr w:type="spellEnd"/>
      <w:r w:rsidRPr="00467DB0">
        <w:t xml:space="preserve"> og Madeira, </w:t>
      </w:r>
      <w:proofErr w:type="spellStart"/>
      <w:r w:rsidRPr="00467DB0">
        <w:t>indtil</w:t>
      </w:r>
      <w:proofErr w:type="spellEnd"/>
      <w:r w:rsidRPr="00467DB0">
        <w:t xml:space="preserve"> </w:t>
      </w:r>
      <w:proofErr w:type="spellStart"/>
      <w:r w:rsidRPr="00467DB0">
        <w:t>udgangen</w:t>
      </w:r>
      <w:proofErr w:type="spellEnd"/>
      <w:r w:rsidRPr="00467DB0">
        <w:t xml:space="preserve"> </w:t>
      </w:r>
      <w:proofErr w:type="spellStart"/>
      <w:r w:rsidRPr="00467DB0">
        <w:t>af</w:t>
      </w:r>
      <w:proofErr w:type="spellEnd"/>
      <w:r w:rsidRPr="00467DB0">
        <w:t xml:space="preserve"> 2026.</w:t>
      </w:r>
    </w:p>
    <w:p w14:paraId="3A5C665E" w14:textId="77777777" w:rsidR="00000000" w:rsidRPr="00467DB0" w:rsidRDefault="00693D67" w:rsidP="00467DB0">
      <w:pPr>
        <w:pStyle w:val="friliste"/>
      </w:pPr>
      <w:r w:rsidRPr="00467DB0">
        <w:t>3.</w:t>
      </w:r>
      <w:r w:rsidRPr="00467DB0">
        <w:tab/>
        <w:t xml:space="preserve">EGNOS-systemets geografiske </w:t>
      </w:r>
      <w:proofErr w:type="spellStart"/>
      <w:r w:rsidRPr="00467DB0">
        <w:t>dæk</w:t>
      </w:r>
      <w:r w:rsidRPr="00467DB0">
        <w:t>ning</w:t>
      </w:r>
      <w:proofErr w:type="spellEnd"/>
      <w:r w:rsidRPr="00467DB0">
        <w:t xml:space="preserve"> kan </w:t>
      </w:r>
      <w:proofErr w:type="spellStart"/>
      <w:r w:rsidRPr="00467DB0">
        <w:t>udvides</w:t>
      </w:r>
      <w:proofErr w:type="spellEnd"/>
      <w:r w:rsidRPr="00467DB0">
        <w:t xml:space="preserve"> til andre dele </w:t>
      </w:r>
      <w:proofErr w:type="spellStart"/>
      <w:r w:rsidRPr="00467DB0">
        <w:t>af</w:t>
      </w:r>
      <w:proofErr w:type="spellEnd"/>
      <w:r w:rsidRPr="00467DB0">
        <w:t xml:space="preserve"> verden, navnlig områder i </w:t>
      </w:r>
      <w:proofErr w:type="spellStart"/>
      <w:r w:rsidRPr="00467DB0">
        <w:t>kandidatlande</w:t>
      </w:r>
      <w:proofErr w:type="spellEnd"/>
      <w:r w:rsidRPr="00467DB0">
        <w:t xml:space="preserve">, </w:t>
      </w:r>
      <w:proofErr w:type="spellStart"/>
      <w:r w:rsidRPr="00467DB0">
        <w:t>tredjelande</w:t>
      </w:r>
      <w:proofErr w:type="spellEnd"/>
      <w:r w:rsidRPr="00467DB0">
        <w:t xml:space="preserve">, som er tilknyttet det </w:t>
      </w:r>
      <w:proofErr w:type="spellStart"/>
      <w:r w:rsidRPr="00467DB0">
        <w:t>fælles</w:t>
      </w:r>
      <w:proofErr w:type="spellEnd"/>
      <w:r w:rsidRPr="00467DB0">
        <w:t xml:space="preserve"> </w:t>
      </w:r>
      <w:proofErr w:type="spellStart"/>
      <w:r w:rsidRPr="00467DB0">
        <w:t>europæiske</w:t>
      </w:r>
      <w:proofErr w:type="spellEnd"/>
      <w:r w:rsidRPr="00467DB0">
        <w:t xml:space="preserve"> </w:t>
      </w:r>
      <w:proofErr w:type="spellStart"/>
      <w:r w:rsidRPr="00467DB0">
        <w:t>luftrum</w:t>
      </w:r>
      <w:proofErr w:type="spellEnd"/>
      <w:r w:rsidRPr="00467DB0">
        <w:t xml:space="preserve">, og </w:t>
      </w:r>
      <w:proofErr w:type="spellStart"/>
      <w:r w:rsidRPr="00467DB0">
        <w:t>tredjelande</w:t>
      </w:r>
      <w:proofErr w:type="spellEnd"/>
      <w:r w:rsidRPr="00467DB0">
        <w:t xml:space="preserve">, der er omfattet </w:t>
      </w:r>
      <w:proofErr w:type="spellStart"/>
      <w:r w:rsidRPr="00467DB0">
        <w:t>af</w:t>
      </w:r>
      <w:proofErr w:type="spellEnd"/>
      <w:r w:rsidRPr="00467DB0">
        <w:t xml:space="preserve"> den </w:t>
      </w:r>
      <w:proofErr w:type="spellStart"/>
      <w:r w:rsidRPr="00467DB0">
        <w:t>europæiske</w:t>
      </w:r>
      <w:proofErr w:type="spellEnd"/>
      <w:r w:rsidRPr="00467DB0">
        <w:t xml:space="preserve"> </w:t>
      </w:r>
      <w:proofErr w:type="spellStart"/>
      <w:r w:rsidRPr="00467DB0">
        <w:t>naboskabspolitik</w:t>
      </w:r>
      <w:proofErr w:type="spellEnd"/>
      <w:r w:rsidRPr="00467DB0">
        <w:t xml:space="preserve">, hvis det er teknisk </w:t>
      </w:r>
      <w:proofErr w:type="spellStart"/>
      <w:r w:rsidRPr="00467DB0">
        <w:t>gennemførligt</w:t>
      </w:r>
      <w:proofErr w:type="spellEnd"/>
      <w:r w:rsidRPr="00467DB0">
        <w:t xml:space="preserve"> og i overensstem</w:t>
      </w:r>
      <w:r w:rsidRPr="00467DB0">
        <w:t xml:space="preserve">melse med de i </w:t>
      </w:r>
      <w:proofErr w:type="spellStart"/>
      <w:r w:rsidRPr="00467DB0">
        <w:t>artikel</w:t>
      </w:r>
      <w:proofErr w:type="spellEnd"/>
      <w:r w:rsidRPr="00467DB0">
        <w:t xml:space="preserve"> 34, stk. 2, omhandlede </w:t>
      </w:r>
      <w:proofErr w:type="spellStart"/>
      <w:r w:rsidRPr="00467DB0">
        <w:t>sikkerhedskrav</w:t>
      </w:r>
      <w:proofErr w:type="spellEnd"/>
      <w:r w:rsidRPr="00467DB0">
        <w:t xml:space="preserve"> og, for så vidt angår </w:t>
      </w:r>
      <w:proofErr w:type="spellStart"/>
      <w:r w:rsidRPr="00467DB0">
        <w:t>SoL</w:t>
      </w:r>
      <w:proofErr w:type="spellEnd"/>
      <w:r w:rsidRPr="00467DB0">
        <w:t xml:space="preserve">-tjenesten,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internationale</w:t>
      </w:r>
      <w:proofErr w:type="spellEnd"/>
      <w:r w:rsidRPr="00467DB0">
        <w:t xml:space="preserve"> </w:t>
      </w:r>
      <w:proofErr w:type="spellStart"/>
      <w:r w:rsidRPr="00467DB0">
        <w:t>aftaler</w:t>
      </w:r>
      <w:proofErr w:type="spellEnd"/>
      <w:r w:rsidRPr="00467DB0">
        <w:t>.</w:t>
      </w:r>
    </w:p>
    <w:p w14:paraId="05CFF41A" w14:textId="77777777" w:rsidR="00000000" w:rsidRPr="00467DB0" w:rsidRDefault="00693D67" w:rsidP="00467DB0">
      <w:pPr>
        <w:pStyle w:val="friliste"/>
      </w:pPr>
      <w:r w:rsidRPr="00467DB0">
        <w:t>4.</w:t>
      </w:r>
      <w:r w:rsidRPr="00467DB0">
        <w:tab/>
      </w:r>
      <w:proofErr w:type="spellStart"/>
      <w:r w:rsidRPr="00467DB0">
        <w:t>Omkostningerne</w:t>
      </w:r>
      <w:proofErr w:type="spellEnd"/>
      <w:r w:rsidRPr="00467DB0">
        <w:t xml:space="preserve"> til </w:t>
      </w:r>
      <w:proofErr w:type="spellStart"/>
      <w:r w:rsidRPr="00467DB0">
        <w:t>udvidelse</w:t>
      </w:r>
      <w:proofErr w:type="spellEnd"/>
      <w:r w:rsidRPr="00467DB0">
        <w:t xml:space="preserve"> </w:t>
      </w:r>
      <w:proofErr w:type="spellStart"/>
      <w:r w:rsidRPr="00467DB0">
        <w:t>af</w:t>
      </w:r>
      <w:proofErr w:type="spellEnd"/>
      <w:r w:rsidRPr="00467DB0">
        <w:t xml:space="preserve"> EGNOS-systemets geografiske </w:t>
      </w:r>
      <w:proofErr w:type="spellStart"/>
      <w:r w:rsidRPr="00467DB0">
        <w:t>dækning</w:t>
      </w:r>
      <w:proofErr w:type="spellEnd"/>
      <w:r w:rsidRPr="00467DB0">
        <w:t xml:space="preserve">, herunder de </w:t>
      </w:r>
      <w:proofErr w:type="spellStart"/>
      <w:r w:rsidRPr="00467DB0">
        <w:t>relaterede</w:t>
      </w:r>
      <w:proofErr w:type="spellEnd"/>
      <w:r w:rsidRPr="00467DB0">
        <w:t xml:space="preserve"> driftsomkostninger, der </w:t>
      </w:r>
      <w:r w:rsidRPr="00467DB0">
        <w:t xml:space="preserve">hører sammen med disse regioner, </w:t>
      </w:r>
      <w:proofErr w:type="spellStart"/>
      <w:r w:rsidRPr="00467DB0">
        <w:t>dækkes</w:t>
      </w:r>
      <w:proofErr w:type="spellEnd"/>
      <w:r w:rsidRPr="00467DB0">
        <w:t xml:space="preserve"> ikke over </w:t>
      </w:r>
      <w:proofErr w:type="spellStart"/>
      <w:r w:rsidRPr="00467DB0">
        <w:t>budgettet</w:t>
      </w:r>
      <w:proofErr w:type="spellEnd"/>
      <w:r w:rsidRPr="00467DB0">
        <w:t xml:space="preserve"> som omhandlet i </w:t>
      </w:r>
      <w:proofErr w:type="spellStart"/>
      <w:r w:rsidRPr="00467DB0">
        <w:t>artikel</w:t>
      </w:r>
      <w:proofErr w:type="spellEnd"/>
      <w:r w:rsidRPr="00467DB0">
        <w:t xml:space="preserve"> 11. </w:t>
      </w:r>
      <w:proofErr w:type="spellStart"/>
      <w:r w:rsidRPr="00467DB0">
        <w:t>Kommissionen</w:t>
      </w:r>
      <w:proofErr w:type="spellEnd"/>
      <w:r w:rsidRPr="00467DB0">
        <w:t xml:space="preserve"> </w:t>
      </w:r>
      <w:proofErr w:type="spellStart"/>
      <w:r w:rsidRPr="00467DB0">
        <w:t>overvejer</w:t>
      </w:r>
      <w:proofErr w:type="spellEnd"/>
      <w:r w:rsidRPr="00467DB0">
        <w:t xml:space="preserve"> andre programmer eller instrumenter til at finansiere sådanne aktiviteter. En sådan </w:t>
      </w:r>
      <w:proofErr w:type="spellStart"/>
      <w:r w:rsidRPr="00467DB0">
        <w:t>udvidelse</w:t>
      </w:r>
      <w:proofErr w:type="spellEnd"/>
      <w:r w:rsidRPr="00467DB0">
        <w:t xml:space="preserve"> må ikke forsinke leveringen </w:t>
      </w:r>
      <w:proofErr w:type="spellStart"/>
      <w:r w:rsidRPr="00467DB0">
        <w:t>af</w:t>
      </w:r>
      <w:proofErr w:type="spellEnd"/>
      <w:r w:rsidRPr="00467DB0">
        <w:t xml:space="preserve"> de tjenester, der er</w:t>
      </w:r>
      <w:r w:rsidRPr="00467DB0">
        <w:t xml:space="preserve"> omhandlet i nærværende </w:t>
      </w:r>
      <w:proofErr w:type="spellStart"/>
      <w:r w:rsidRPr="00467DB0">
        <w:t>artikels</w:t>
      </w:r>
      <w:proofErr w:type="spellEnd"/>
      <w:r w:rsidRPr="00467DB0">
        <w:t xml:space="preserve"> stk. 1, i alle de dele </w:t>
      </w:r>
      <w:proofErr w:type="spellStart"/>
      <w:r w:rsidRPr="00467DB0">
        <w:t>af</w:t>
      </w:r>
      <w:proofErr w:type="spellEnd"/>
      <w:r w:rsidRPr="00467DB0">
        <w:t xml:space="preserve"> </w:t>
      </w:r>
      <w:proofErr w:type="spellStart"/>
      <w:r w:rsidRPr="00467DB0">
        <w:t>medlemsstaternes</w:t>
      </w:r>
      <w:proofErr w:type="spellEnd"/>
      <w:r w:rsidRPr="00467DB0">
        <w:t xml:space="preserve"> områder, der geografisk </w:t>
      </w:r>
      <w:proofErr w:type="gramStart"/>
      <w:r w:rsidRPr="00467DB0">
        <w:t>er beliggende</w:t>
      </w:r>
      <w:proofErr w:type="gramEnd"/>
      <w:r w:rsidRPr="00467DB0">
        <w:t xml:space="preserve"> i Europa.</w:t>
      </w:r>
    </w:p>
    <w:p w14:paraId="15D435A8" w14:textId="77777777" w:rsidR="00000000" w:rsidRPr="00467DB0" w:rsidRDefault="00693D67" w:rsidP="00467DB0">
      <w:pPr>
        <w:pStyle w:val="avsnitt-undertittel"/>
      </w:pPr>
      <w:proofErr w:type="spellStart"/>
      <w:r w:rsidRPr="00467DB0">
        <w:t>Artikel</w:t>
      </w:r>
      <w:proofErr w:type="spellEnd"/>
      <w:r w:rsidRPr="00467DB0">
        <w:t> 47</w:t>
      </w:r>
    </w:p>
    <w:p w14:paraId="091B27F4" w14:textId="77777777" w:rsidR="00000000" w:rsidRPr="00467DB0" w:rsidRDefault="00693D67" w:rsidP="00467DB0">
      <w:pPr>
        <w:pStyle w:val="Undertittel"/>
      </w:pPr>
      <w:proofErr w:type="spellStart"/>
      <w:r w:rsidRPr="00467DB0">
        <w:t>Gennemførelsesforanstaltninger</w:t>
      </w:r>
      <w:proofErr w:type="spellEnd"/>
      <w:r w:rsidRPr="00467DB0">
        <w:t xml:space="preserve"> for Galileo og EGNOS</w:t>
      </w:r>
    </w:p>
    <w:p w14:paraId="71D87EC6" w14:textId="77777777" w:rsidR="00000000" w:rsidRPr="00467DB0" w:rsidRDefault="00693D67" w:rsidP="00467DB0">
      <w:r w:rsidRPr="00467DB0">
        <w:t xml:space="preserve">Hvis det er </w:t>
      </w:r>
      <w:proofErr w:type="spellStart"/>
      <w:r w:rsidRPr="00467DB0">
        <w:t>nødvendigt</w:t>
      </w:r>
      <w:proofErr w:type="spellEnd"/>
      <w:r w:rsidRPr="00467DB0">
        <w:t xml:space="preserve"> for et velfungerende Galileo og EGNOS og med </w:t>
      </w:r>
      <w:proofErr w:type="spellStart"/>
      <w:r w:rsidRPr="00467DB0">
        <w:t>h</w:t>
      </w:r>
      <w:r w:rsidRPr="00467DB0">
        <w:t>enblik</w:t>
      </w:r>
      <w:proofErr w:type="spellEnd"/>
      <w:r w:rsidRPr="00467DB0">
        <w:t xml:space="preserve"> på deres </w:t>
      </w:r>
      <w:proofErr w:type="spellStart"/>
      <w:r w:rsidRPr="00467DB0">
        <w:t>udbredelse</w:t>
      </w:r>
      <w:proofErr w:type="spellEnd"/>
      <w:r w:rsidRPr="00467DB0">
        <w:t xml:space="preserve"> på markedet, </w:t>
      </w:r>
      <w:proofErr w:type="spellStart"/>
      <w:r w:rsidRPr="00467DB0">
        <w:t>fastsætter</w:t>
      </w:r>
      <w:proofErr w:type="spellEnd"/>
      <w:r w:rsidRPr="00467DB0">
        <w:t xml:space="preserve"> </w:t>
      </w:r>
      <w:proofErr w:type="spellStart"/>
      <w:r w:rsidRPr="00467DB0">
        <w:t>Kommissionen</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om </w:t>
      </w:r>
      <w:proofErr w:type="spellStart"/>
      <w:r w:rsidRPr="00467DB0">
        <w:t>nødvendigt</w:t>
      </w:r>
      <w:proofErr w:type="spellEnd"/>
      <w:r w:rsidRPr="00467DB0">
        <w:t xml:space="preserve"> foranstaltninger til:</w:t>
      </w:r>
    </w:p>
    <w:p w14:paraId="1984688B" w14:textId="77777777" w:rsidR="00000000" w:rsidRPr="00467DB0" w:rsidRDefault="00693D67" w:rsidP="00467DB0">
      <w:pPr>
        <w:pStyle w:val="friliste"/>
      </w:pPr>
      <w:r w:rsidRPr="00467DB0">
        <w:t>a)</w:t>
      </w:r>
      <w:r w:rsidRPr="00467DB0">
        <w:tab/>
        <w:t xml:space="preserve">at styre og </w:t>
      </w:r>
      <w:proofErr w:type="spellStart"/>
      <w:r w:rsidRPr="00467DB0">
        <w:t>nedsætte</w:t>
      </w:r>
      <w:proofErr w:type="spellEnd"/>
      <w:r w:rsidRPr="00467DB0">
        <w:t xml:space="preserve"> </w:t>
      </w:r>
      <w:proofErr w:type="spellStart"/>
      <w:r w:rsidRPr="00467DB0">
        <w:t>risiciene</w:t>
      </w:r>
      <w:proofErr w:type="spellEnd"/>
      <w:r w:rsidRPr="00467DB0">
        <w:t xml:space="preserve"> i forbindelse med driften </w:t>
      </w:r>
      <w:proofErr w:type="spellStart"/>
      <w:r w:rsidRPr="00467DB0">
        <w:t>af</w:t>
      </w:r>
      <w:proofErr w:type="spellEnd"/>
      <w:r w:rsidRPr="00467DB0">
        <w:t xml:space="preserve"> Galileo og EGNOS, navnlig for at sikre tjenestekontinuit</w:t>
      </w:r>
      <w:r w:rsidRPr="00467DB0">
        <w:t>et</w:t>
      </w:r>
    </w:p>
    <w:p w14:paraId="07AB64A8" w14:textId="77777777" w:rsidR="00000000" w:rsidRPr="00467DB0" w:rsidRDefault="00693D67" w:rsidP="00467DB0">
      <w:pPr>
        <w:pStyle w:val="friliste"/>
      </w:pPr>
      <w:r w:rsidRPr="00467DB0">
        <w:t>b)</w:t>
      </w:r>
      <w:r w:rsidRPr="00467DB0">
        <w:tab/>
        <w:t xml:space="preserve">at </w:t>
      </w:r>
      <w:proofErr w:type="spellStart"/>
      <w:r w:rsidRPr="00467DB0">
        <w:t>fastsætte</w:t>
      </w:r>
      <w:proofErr w:type="spellEnd"/>
      <w:r w:rsidRPr="00467DB0">
        <w:t xml:space="preserve"> tidspunktet for </w:t>
      </w:r>
      <w:proofErr w:type="spellStart"/>
      <w:r w:rsidRPr="00467DB0">
        <w:t>væsentlige</w:t>
      </w:r>
      <w:proofErr w:type="spellEnd"/>
      <w:r w:rsidRPr="00467DB0">
        <w:t xml:space="preserve"> </w:t>
      </w:r>
      <w:proofErr w:type="spellStart"/>
      <w:r w:rsidRPr="00467DB0">
        <w:t>afgørelser</w:t>
      </w:r>
      <w:proofErr w:type="spellEnd"/>
      <w:r w:rsidRPr="00467DB0">
        <w:t xml:space="preserve"> med </w:t>
      </w:r>
      <w:proofErr w:type="spellStart"/>
      <w:r w:rsidRPr="00467DB0">
        <w:t>henblik</w:t>
      </w:r>
      <w:proofErr w:type="spellEnd"/>
      <w:r w:rsidRPr="00467DB0">
        <w:t xml:space="preserve"> på </w:t>
      </w:r>
      <w:proofErr w:type="spellStart"/>
      <w:r w:rsidRPr="00467DB0">
        <w:t>overvågning</w:t>
      </w:r>
      <w:proofErr w:type="spellEnd"/>
      <w:r w:rsidRPr="00467DB0">
        <w:t xml:space="preserve"> og evaluering </w:t>
      </w:r>
      <w:proofErr w:type="spellStart"/>
      <w:r w:rsidRPr="00467DB0">
        <w:t>af</w:t>
      </w:r>
      <w:proofErr w:type="spellEnd"/>
      <w:r w:rsidRPr="00467DB0">
        <w:t xml:space="preserve"> </w:t>
      </w:r>
      <w:proofErr w:type="spellStart"/>
      <w:r w:rsidRPr="00467DB0">
        <w:t>gennemførelsen</w:t>
      </w:r>
      <w:proofErr w:type="spellEnd"/>
      <w:r w:rsidRPr="00467DB0">
        <w:t xml:space="preserve"> </w:t>
      </w:r>
      <w:proofErr w:type="spellStart"/>
      <w:r w:rsidRPr="00467DB0">
        <w:t>af</w:t>
      </w:r>
      <w:proofErr w:type="spellEnd"/>
      <w:r w:rsidRPr="00467DB0">
        <w:t xml:space="preserve"> Galileo og EGNOS</w:t>
      </w:r>
    </w:p>
    <w:p w14:paraId="5541316F" w14:textId="77777777" w:rsidR="00000000" w:rsidRPr="00467DB0" w:rsidRDefault="00693D67" w:rsidP="00467DB0">
      <w:pPr>
        <w:pStyle w:val="friliste"/>
      </w:pPr>
      <w:r w:rsidRPr="00467DB0">
        <w:lastRenderedPageBreak/>
        <w:t>c)</w:t>
      </w:r>
      <w:r w:rsidRPr="00467DB0">
        <w:tab/>
        <w:t xml:space="preserve">at </w:t>
      </w:r>
      <w:proofErr w:type="spellStart"/>
      <w:r w:rsidRPr="00467DB0">
        <w:t>fastlægge</w:t>
      </w:r>
      <w:proofErr w:type="spellEnd"/>
      <w:r w:rsidRPr="00467DB0">
        <w:t xml:space="preserve"> </w:t>
      </w:r>
      <w:proofErr w:type="spellStart"/>
      <w:r w:rsidRPr="00467DB0">
        <w:t>placeringen</w:t>
      </w:r>
      <w:proofErr w:type="spellEnd"/>
      <w:r w:rsidRPr="00467DB0">
        <w:t xml:space="preserve"> </w:t>
      </w:r>
      <w:proofErr w:type="spellStart"/>
      <w:r w:rsidRPr="00467DB0">
        <w:t>af</w:t>
      </w:r>
      <w:proofErr w:type="spellEnd"/>
      <w:r w:rsidRPr="00467DB0">
        <w:t xml:space="preserve"> de </w:t>
      </w:r>
      <w:proofErr w:type="spellStart"/>
      <w:r w:rsidRPr="00467DB0">
        <w:t>centre</w:t>
      </w:r>
      <w:proofErr w:type="spellEnd"/>
      <w:r w:rsidRPr="00467DB0">
        <w:t>, der tilhører Galileos og EGNOS' jordbaserede infrastruktur, i overensstemmelse</w:t>
      </w:r>
      <w:r w:rsidRPr="00467DB0">
        <w:t xml:space="preserve"> med </w:t>
      </w:r>
      <w:proofErr w:type="spellStart"/>
      <w:r w:rsidRPr="00467DB0">
        <w:t>sikkerhedskrav</w:t>
      </w:r>
      <w:proofErr w:type="spellEnd"/>
      <w:r w:rsidRPr="00467DB0">
        <w:t xml:space="preserve"> efter en </w:t>
      </w:r>
      <w:proofErr w:type="spellStart"/>
      <w:r w:rsidRPr="00467DB0">
        <w:t>åben</w:t>
      </w:r>
      <w:proofErr w:type="spellEnd"/>
      <w:r w:rsidRPr="00467DB0">
        <w:t xml:space="preserve"> og </w:t>
      </w:r>
      <w:proofErr w:type="spellStart"/>
      <w:r w:rsidRPr="00467DB0">
        <w:t>gennemsigtig</w:t>
      </w:r>
      <w:proofErr w:type="spellEnd"/>
      <w:r w:rsidRPr="00467DB0">
        <w:t xml:space="preserve"> </w:t>
      </w:r>
      <w:proofErr w:type="spellStart"/>
      <w:r w:rsidRPr="00467DB0">
        <w:t>proces</w:t>
      </w:r>
      <w:proofErr w:type="spellEnd"/>
      <w:r w:rsidRPr="00467DB0">
        <w:t xml:space="preserve">, og sikre driften </w:t>
      </w:r>
      <w:proofErr w:type="spellStart"/>
      <w:r w:rsidRPr="00467DB0">
        <w:t>heraf</w:t>
      </w:r>
      <w:proofErr w:type="spellEnd"/>
    </w:p>
    <w:p w14:paraId="41125633" w14:textId="77777777" w:rsidR="00000000" w:rsidRPr="00467DB0" w:rsidRDefault="00693D67" w:rsidP="00467DB0">
      <w:pPr>
        <w:pStyle w:val="friliste"/>
      </w:pPr>
      <w:r w:rsidRPr="00467DB0">
        <w:t>d)</w:t>
      </w:r>
      <w:r w:rsidRPr="00467DB0">
        <w:tab/>
        <w:t xml:space="preserve">at </w:t>
      </w:r>
      <w:proofErr w:type="spellStart"/>
      <w:r w:rsidRPr="00467DB0">
        <w:t>fastsætte</w:t>
      </w:r>
      <w:proofErr w:type="spellEnd"/>
      <w:r w:rsidRPr="00467DB0">
        <w:t xml:space="preserve"> de tekniske og </w:t>
      </w:r>
      <w:proofErr w:type="spellStart"/>
      <w:r w:rsidRPr="00467DB0">
        <w:t>operationelle</w:t>
      </w:r>
      <w:proofErr w:type="spellEnd"/>
      <w:r w:rsidRPr="00467DB0">
        <w:t xml:space="preserve"> </w:t>
      </w:r>
      <w:proofErr w:type="spellStart"/>
      <w:r w:rsidRPr="00467DB0">
        <w:t>specifikationer</w:t>
      </w:r>
      <w:proofErr w:type="spellEnd"/>
      <w:r w:rsidRPr="00467DB0">
        <w:t xml:space="preserve"> </w:t>
      </w:r>
      <w:proofErr w:type="gramStart"/>
      <w:r w:rsidRPr="00467DB0">
        <w:t>vedrørende</w:t>
      </w:r>
      <w:proofErr w:type="gramEnd"/>
      <w:r w:rsidRPr="00467DB0">
        <w:t xml:space="preserve"> de tjenester, der er omhandlet i </w:t>
      </w:r>
      <w:proofErr w:type="spellStart"/>
      <w:r w:rsidRPr="00467DB0">
        <w:t>artikel</w:t>
      </w:r>
      <w:proofErr w:type="spellEnd"/>
      <w:r w:rsidRPr="00467DB0">
        <w:t xml:space="preserve"> 45, stk. 1, litra c), e) og f), og </w:t>
      </w:r>
      <w:proofErr w:type="spellStart"/>
      <w:r w:rsidRPr="00467DB0">
        <w:t>artikel</w:t>
      </w:r>
      <w:proofErr w:type="spellEnd"/>
      <w:r w:rsidRPr="00467DB0">
        <w:t xml:space="preserve"> 45, stk. 2, litra c</w:t>
      </w:r>
      <w:r w:rsidRPr="00467DB0">
        <w:t>).</w:t>
      </w:r>
    </w:p>
    <w:p w14:paraId="7781CB6D" w14:textId="77777777" w:rsidR="00000000" w:rsidRPr="00467DB0" w:rsidRDefault="00693D67" w:rsidP="00467DB0">
      <w:r w:rsidRPr="00467DB0">
        <w:t xml:space="preserve">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4965F9D3" w14:textId="77777777" w:rsidR="00000000" w:rsidRPr="00467DB0" w:rsidRDefault="00693D67" w:rsidP="00467DB0">
      <w:pPr>
        <w:pStyle w:val="avsnitt-undertittel"/>
      </w:pPr>
      <w:proofErr w:type="spellStart"/>
      <w:r w:rsidRPr="00467DB0">
        <w:t>Artikel</w:t>
      </w:r>
      <w:proofErr w:type="spellEnd"/>
      <w:r w:rsidRPr="00467DB0">
        <w:t> 48</w:t>
      </w:r>
    </w:p>
    <w:p w14:paraId="682DFCC6" w14:textId="77777777" w:rsidR="00000000" w:rsidRPr="00467DB0" w:rsidRDefault="00693D67" w:rsidP="00467DB0">
      <w:pPr>
        <w:pStyle w:val="Undertittel"/>
      </w:pPr>
      <w:proofErr w:type="spellStart"/>
      <w:r w:rsidRPr="00467DB0">
        <w:t>Forenelighed</w:t>
      </w:r>
      <w:proofErr w:type="spellEnd"/>
      <w:r w:rsidRPr="00467DB0">
        <w:t>, interoperabilitet og standardisering</w:t>
      </w:r>
    </w:p>
    <w:p w14:paraId="47473210" w14:textId="77777777" w:rsidR="00000000" w:rsidRPr="00467DB0" w:rsidRDefault="00693D67" w:rsidP="00467DB0">
      <w:pPr>
        <w:pStyle w:val="friliste"/>
      </w:pPr>
      <w:r w:rsidRPr="00467DB0">
        <w:t>1.</w:t>
      </w:r>
      <w:r w:rsidRPr="00467DB0">
        <w:tab/>
        <w:t>Galileo og EGNOS og de tjenester, de leverer, skal være kompatible og interoperable fra et tekni</w:t>
      </w:r>
      <w:r w:rsidRPr="00467DB0">
        <w:t xml:space="preserve">sk synspunkt, herunder på </w:t>
      </w:r>
      <w:proofErr w:type="spellStart"/>
      <w:r w:rsidRPr="00467DB0">
        <w:t>brugerniveau</w:t>
      </w:r>
      <w:proofErr w:type="spellEnd"/>
      <w:r w:rsidRPr="00467DB0">
        <w:t>.</w:t>
      </w:r>
    </w:p>
    <w:p w14:paraId="11586C81" w14:textId="77777777" w:rsidR="00000000" w:rsidRPr="00467DB0" w:rsidRDefault="00693D67" w:rsidP="00467DB0">
      <w:pPr>
        <w:pStyle w:val="friliste"/>
      </w:pPr>
      <w:r w:rsidRPr="00467DB0">
        <w:t>2.</w:t>
      </w:r>
      <w:r w:rsidRPr="00467DB0">
        <w:tab/>
        <w:t xml:space="preserve">Galileo og EGNOS og de tjenester, de leverer, skal være kompatible og interoperable med andre </w:t>
      </w:r>
      <w:proofErr w:type="spellStart"/>
      <w:r w:rsidRPr="00467DB0">
        <w:t>satellitnavigationssystemer</w:t>
      </w:r>
      <w:proofErr w:type="spellEnd"/>
      <w:r w:rsidRPr="00467DB0">
        <w:t xml:space="preserve"> og med </w:t>
      </w:r>
      <w:proofErr w:type="spellStart"/>
      <w:r w:rsidRPr="00467DB0">
        <w:t>traditionelle</w:t>
      </w:r>
      <w:proofErr w:type="spellEnd"/>
      <w:r w:rsidRPr="00467DB0">
        <w:t xml:space="preserve"> </w:t>
      </w:r>
      <w:proofErr w:type="spellStart"/>
      <w:r w:rsidRPr="00467DB0">
        <w:t>radionavigationsmetoder</w:t>
      </w:r>
      <w:proofErr w:type="spellEnd"/>
      <w:r w:rsidRPr="00467DB0">
        <w:t>, hvis sådanne kompatibilitets- og interoperabi</w:t>
      </w:r>
      <w:r w:rsidRPr="00467DB0">
        <w:t xml:space="preserve">litetskrav samt </w:t>
      </w:r>
      <w:proofErr w:type="spellStart"/>
      <w:r w:rsidRPr="00467DB0">
        <w:t>betingelserne</w:t>
      </w:r>
      <w:proofErr w:type="spellEnd"/>
      <w:r w:rsidRPr="00467DB0">
        <w:t xml:space="preserve"> </w:t>
      </w:r>
      <w:proofErr w:type="spellStart"/>
      <w:r w:rsidRPr="00467DB0">
        <w:t>herfor</w:t>
      </w:r>
      <w:proofErr w:type="spellEnd"/>
      <w:r w:rsidRPr="00467DB0">
        <w:t xml:space="preserve"> er </w:t>
      </w:r>
      <w:proofErr w:type="spellStart"/>
      <w:r w:rsidRPr="00467DB0">
        <w:t>fastsat</w:t>
      </w:r>
      <w:proofErr w:type="spellEnd"/>
      <w:r w:rsidRPr="00467DB0">
        <w:t xml:space="preserve"> i </w:t>
      </w:r>
      <w:proofErr w:type="spellStart"/>
      <w:r w:rsidRPr="00467DB0">
        <w:t>internationale</w:t>
      </w:r>
      <w:proofErr w:type="spellEnd"/>
      <w:r w:rsidRPr="00467DB0">
        <w:t xml:space="preserve"> </w:t>
      </w:r>
      <w:proofErr w:type="spellStart"/>
      <w:r w:rsidRPr="00467DB0">
        <w:t>aftaler</w:t>
      </w:r>
      <w:proofErr w:type="spellEnd"/>
      <w:r w:rsidRPr="00467DB0">
        <w:t>.</w:t>
      </w:r>
    </w:p>
    <w:p w14:paraId="0847386E" w14:textId="77777777" w:rsidR="00000000" w:rsidRPr="00467DB0" w:rsidRDefault="00693D67" w:rsidP="00467DB0">
      <w:pPr>
        <w:pStyle w:val="avsnitt-undertittel"/>
      </w:pPr>
      <w:proofErr w:type="spellStart"/>
      <w:r w:rsidRPr="00467DB0">
        <w:t>Afsnit</w:t>
      </w:r>
      <w:proofErr w:type="spellEnd"/>
      <w:r w:rsidRPr="00467DB0">
        <w:t xml:space="preserve"> VII</w:t>
      </w:r>
    </w:p>
    <w:p w14:paraId="2F4C83D7" w14:textId="77777777" w:rsidR="00000000" w:rsidRPr="00467DB0" w:rsidRDefault="00693D67" w:rsidP="00467DB0">
      <w:pPr>
        <w:pStyle w:val="Undertittel"/>
      </w:pPr>
      <w:r w:rsidRPr="00467DB0">
        <w:t>Copernicus</w:t>
      </w:r>
    </w:p>
    <w:p w14:paraId="256AAB92" w14:textId="77777777" w:rsidR="00000000" w:rsidRPr="00467DB0" w:rsidRDefault="00693D67" w:rsidP="00467DB0">
      <w:pPr>
        <w:pStyle w:val="avsnitt-undertittel"/>
      </w:pPr>
      <w:r w:rsidRPr="00467DB0">
        <w:t>Kapitel I</w:t>
      </w:r>
    </w:p>
    <w:p w14:paraId="0844B910" w14:textId="77777777" w:rsidR="00000000" w:rsidRPr="00467DB0" w:rsidRDefault="00693D67" w:rsidP="00467DB0">
      <w:pPr>
        <w:pStyle w:val="Undertittel"/>
      </w:pPr>
      <w:proofErr w:type="spellStart"/>
      <w:r w:rsidRPr="00467DB0">
        <w:t>Almindelige</w:t>
      </w:r>
      <w:proofErr w:type="spellEnd"/>
      <w:r w:rsidRPr="00467DB0">
        <w:t xml:space="preserve"> bestemmelser</w:t>
      </w:r>
    </w:p>
    <w:p w14:paraId="4F7C570E" w14:textId="77777777" w:rsidR="00000000" w:rsidRPr="00467DB0" w:rsidRDefault="00693D67" w:rsidP="00467DB0">
      <w:pPr>
        <w:pStyle w:val="avsnitt-undertittel"/>
      </w:pPr>
      <w:proofErr w:type="spellStart"/>
      <w:r w:rsidRPr="00467DB0">
        <w:t>Artikel</w:t>
      </w:r>
      <w:proofErr w:type="spellEnd"/>
      <w:r w:rsidRPr="00467DB0">
        <w:t> 49</w:t>
      </w:r>
    </w:p>
    <w:p w14:paraId="70248F6C" w14:textId="77777777" w:rsidR="00000000" w:rsidRPr="00467DB0" w:rsidRDefault="00693D67" w:rsidP="00467DB0">
      <w:pPr>
        <w:pStyle w:val="Undertittel"/>
      </w:pPr>
      <w:r w:rsidRPr="00467DB0">
        <w:t>Copernicus' anvendelsesområde</w:t>
      </w:r>
    </w:p>
    <w:p w14:paraId="459F0C2F" w14:textId="77777777" w:rsidR="00000000" w:rsidRPr="00467DB0" w:rsidRDefault="00693D67" w:rsidP="00467DB0">
      <w:pPr>
        <w:pStyle w:val="friliste"/>
      </w:pPr>
      <w:r w:rsidRPr="00467DB0">
        <w:t>1.</w:t>
      </w:r>
      <w:r w:rsidRPr="00467DB0">
        <w:tab/>
        <w:t xml:space="preserve">Copernicus </w:t>
      </w:r>
      <w:proofErr w:type="spellStart"/>
      <w:r w:rsidRPr="00467DB0">
        <w:t>gennemfør</w:t>
      </w:r>
      <w:r w:rsidRPr="00467DB0">
        <w:t>es</w:t>
      </w:r>
      <w:proofErr w:type="spellEnd"/>
      <w:r w:rsidRPr="00467DB0">
        <w:t xml:space="preserve"> med </w:t>
      </w:r>
      <w:proofErr w:type="spellStart"/>
      <w:r w:rsidRPr="00467DB0">
        <w:t>udgangspunkt</w:t>
      </w:r>
      <w:proofErr w:type="spellEnd"/>
      <w:r w:rsidRPr="00467DB0">
        <w:t xml:space="preserve"> i tidligere investeringer, herunder fra interessenter som ESA og EUMETSAT, og, hvor det er </w:t>
      </w:r>
      <w:proofErr w:type="spellStart"/>
      <w:r w:rsidRPr="00467DB0">
        <w:t>nødvendigt</w:t>
      </w:r>
      <w:proofErr w:type="spellEnd"/>
      <w:r w:rsidRPr="00467DB0">
        <w:t xml:space="preserve"> og omkostningseffektivt, i </w:t>
      </w:r>
      <w:proofErr w:type="spellStart"/>
      <w:r w:rsidRPr="00467DB0">
        <w:t>nationale</w:t>
      </w:r>
      <w:proofErr w:type="spellEnd"/>
      <w:r w:rsidRPr="00467DB0">
        <w:t xml:space="preserve"> eller regionale </w:t>
      </w:r>
      <w:proofErr w:type="spellStart"/>
      <w:r w:rsidRPr="00467DB0">
        <w:t>kapaciteter</w:t>
      </w:r>
      <w:proofErr w:type="spellEnd"/>
      <w:r w:rsidRPr="00467DB0">
        <w:t xml:space="preserve"> i </w:t>
      </w:r>
      <w:proofErr w:type="spellStart"/>
      <w:r w:rsidRPr="00467DB0">
        <w:t>medlemsstaterne</w:t>
      </w:r>
      <w:proofErr w:type="spellEnd"/>
      <w:r w:rsidRPr="00467DB0">
        <w:t xml:space="preserve">, </w:t>
      </w:r>
      <w:proofErr w:type="gramStart"/>
      <w:r w:rsidRPr="00467DB0">
        <w:t>under hensyntagen</w:t>
      </w:r>
      <w:proofErr w:type="gramEnd"/>
      <w:r w:rsidRPr="00467DB0">
        <w:t xml:space="preserve"> til </w:t>
      </w:r>
      <w:proofErr w:type="spellStart"/>
      <w:r w:rsidRPr="00467DB0">
        <w:t>kapaciteten</w:t>
      </w:r>
      <w:proofErr w:type="spellEnd"/>
      <w:r w:rsidRPr="00467DB0">
        <w:t xml:space="preserve"> hos </w:t>
      </w:r>
      <w:proofErr w:type="spellStart"/>
      <w:r w:rsidRPr="00467DB0">
        <w:t>kommercielle</w:t>
      </w:r>
      <w:proofErr w:type="spellEnd"/>
      <w:r w:rsidRPr="00467DB0">
        <w:t xml:space="preserve"> leverandører </w:t>
      </w:r>
      <w:proofErr w:type="spellStart"/>
      <w:r w:rsidRPr="00467DB0">
        <w:t>af</w:t>
      </w:r>
      <w:proofErr w:type="spellEnd"/>
      <w:r w:rsidRPr="00467DB0">
        <w:t xml:space="preserve"> </w:t>
      </w:r>
      <w:proofErr w:type="spellStart"/>
      <w:r w:rsidRPr="00467DB0">
        <w:t>sammenlignelige</w:t>
      </w:r>
      <w:proofErr w:type="spellEnd"/>
      <w:r w:rsidRPr="00467DB0">
        <w:t xml:space="preserve"> data og </w:t>
      </w:r>
      <w:proofErr w:type="spellStart"/>
      <w:r w:rsidRPr="00467DB0">
        <w:t>informationer</w:t>
      </w:r>
      <w:proofErr w:type="spellEnd"/>
      <w:r w:rsidRPr="00467DB0">
        <w:t xml:space="preserve"> og behovet for at fremme </w:t>
      </w:r>
      <w:proofErr w:type="spellStart"/>
      <w:r w:rsidRPr="00467DB0">
        <w:t>konkurrencen</w:t>
      </w:r>
      <w:proofErr w:type="spellEnd"/>
      <w:r w:rsidRPr="00467DB0">
        <w:t xml:space="preserve"> og </w:t>
      </w:r>
      <w:proofErr w:type="spellStart"/>
      <w:r w:rsidRPr="00467DB0">
        <w:t>markedsudviklingen</w:t>
      </w:r>
      <w:proofErr w:type="spellEnd"/>
      <w:r w:rsidRPr="00467DB0">
        <w:t xml:space="preserve">, samtidig med at </w:t>
      </w:r>
      <w:proofErr w:type="spellStart"/>
      <w:r w:rsidRPr="00467DB0">
        <w:t>mulighederne</w:t>
      </w:r>
      <w:proofErr w:type="spellEnd"/>
      <w:r w:rsidRPr="00467DB0">
        <w:t xml:space="preserve"> for de </w:t>
      </w:r>
      <w:proofErr w:type="spellStart"/>
      <w:r w:rsidRPr="00467DB0">
        <w:t>europæiske</w:t>
      </w:r>
      <w:proofErr w:type="spellEnd"/>
      <w:r w:rsidRPr="00467DB0">
        <w:t xml:space="preserve"> </w:t>
      </w:r>
      <w:proofErr w:type="spellStart"/>
      <w:r w:rsidRPr="00467DB0">
        <w:t>brugere</w:t>
      </w:r>
      <w:proofErr w:type="spellEnd"/>
      <w:r w:rsidRPr="00467DB0">
        <w:t xml:space="preserve"> maksimeres.</w:t>
      </w:r>
    </w:p>
    <w:p w14:paraId="01A33AEC" w14:textId="77777777" w:rsidR="00000000" w:rsidRPr="00467DB0" w:rsidRDefault="00693D67" w:rsidP="00467DB0">
      <w:pPr>
        <w:pStyle w:val="friliste"/>
      </w:pPr>
      <w:r w:rsidRPr="00467DB0">
        <w:t>2.</w:t>
      </w:r>
      <w:r w:rsidRPr="00467DB0">
        <w:tab/>
        <w:t xml:space="preserve">Copernicus leverer data og </w:t>
      </w:r>
      <w:proofErr w:type="spellStart"/>
      <w:r w:rsidRPr="00467DB0">
        <w:t>informationer</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Copernicusbrug</w:t>
      </w:r>
      <w:r w:rsidRPr="00467DB0">
        <w:t>ernes</w:t>
      </w:r>
      <w:proofErr w:type="spellEnd"/>
      <w:r w:rsidRPr="00467DB0">
        <w:t xml:space="preserve"> behov og </w:t>
      </w:r>
      <w:proofErr w:type="spellStart"/>
      <w:r w:rsidRPr="00467DB0">
        <w:t>baseret</w:t>
      </w:r>
      <w:proofErr w:type="spellEnd"/>
      <w:r w:rsidRPr="00467DB0">
        <w:t xml:space="preserve"> på en </w:t>
      </w:r>
      <w:proofErr w:type="spellStart"/>
      <w:r w:rsidRPr="00467DB0">
        <w:t>fuldstændig</w:t>
      </w:r>
      <w:proofErr w:type="spellEnd"/>
      <w:r w:rsidRPr="00467DB0">
        <w:t xml:space="preserve">, gratis og </w:t>
      </w:r>
      <w:proofErr w:type="spellStart"/>
      <w:r w:rsidRPr="00467DB0">
        <w:t>åben</w:t>
      </w:r>
      <w:proofErr w:type="spellEnd"/>
      <w:r w:rsidRPr="00467DB0">
        <w:t xml:space="preserve"> </w:t>
      </w:r>
      <w:proofErr w:type="spellStart"/>
      <w:r w:rsidRPr="00467DB0">
        <w:t>datapolitik</w:t>
      </w:r>
      <w:proofErr w:type="spellEnd"/>
      <w:r w:rsidRPr="00467DB0">
        <w:t>.</w:t>
      </w:r>
    </w:p>
    <w:p w14:paraId="6E182D06" w14:textId="77777777" w:rsidR="00000000" w:rsidRPr="00467DB0" w:rsidRDefault="00693D67" w:rsidP="00467DB0">
      <w:pPr>
        <w:pStyle w:val="friliste"/>
      </w:pPr>
      <w:r w:rsidRPr="00467DB0">
        <w:t>3.</w:t>
      </w:r>
      <w:r w:rsidRPr="00467DB0">
        <w:tab/>
        <w:t xml:space="preserve">Copernicus understøtter </w:t>
      </w:r>
      <w:proofErr w:type="spellStart"/>
      <w:r w:rsidRPr="00467DB0">
        <w:t>udformningen</w:t>
      </w:r>
      <w:proofErr w:type="spellEnd"/>
      <w:r w:rsidRPr="00467DB0">
        <w:t xml:space="preserve">, </w:t>
      </w:r>
      <w:proofErr w:type="spellStart"/>
      <w:r w:rsidRPr="00467DB0">
        <w:t>gennemførelsen</w:t>
      </w:r>
      <w:proofErr w:type="spellEnd"/>
      <w:r w:rsidRPr="00467DB0">
        <w:t xml:space="preserve"> og </w:t>
      </w:r>
      <w:proofErr w:type="spellStart"/>
      <w:r w:rsidRPr="00467DB0">
        <w:t>overvågningen</w:t>
      </w:r>
      <w:proofErr w:type="spellEnd"/>
      <w:r w:rsidRPr="00467DB0">
        <w:t xml:space="preserve"> </w:t>
      </w:r>
      <w:proofErr w:type="spellStart"/>
      <w:r w:rsidRPr="00467DB0">
        <w:t>af</w:t>
      </w:r>
      <w:proofErr w:type="spellEnd"/>
      <w:r w:rsidRPr="00467DB0">
        <w:t xml:space="preserve"> Unionens og </w:t>
      </w:r>
      <w:proofErr w:type="spellStart"/>
      <w:r w:rsidRPr="00467DB0">
        <w:t>medlemsstaternes</w:t>
      </w:r>
      <w:proofErr w:type="spellEnd"/>
      <w:r w:rsidRPr="00467DB0">
        <w:t xml:space="preserve"> politikker, navnlig på </w:t>
      </w:r>
      <w:proofErr w:type="spellStart"/>
      <w:r w:rsidRPr="00467DB0">
        <w:t>områderne</w:t>
      </w:r>
      <w:proofErr w:type="spellEnd"/>
      <w:r w:rsidRPr="00467DB0">
        <w:t xml:space="preserve"> miljø, </w:t>
      </w:r>
      <w:proofErr w:type="spellStart"/>
      <w:r w:rsidRPr="00467DB0">
        <w:t>klimaændringer</w:t>
      </w:r>
      <w:proofErr w:type="spellEnd"/>
      <w:r w:rsidRPr="00467DB0">
        <w:t xml:space="preserve">, </w:t>
      </w:r>
      <w:proofErr w:type="spellStart"/>
      <w:r w:rsidRPr="00467DB0">
        <w:t>skibsfart</w:t>
      </w:r>
      <w:proofErr w:type="spellEnd"/>
      <w:r w:rsidRPr="00467DB0">
        <w:t xml:space="preserve">, </w:t>
      </w:r>
      <w:proofErr w:type="spellStart"/>
      <w:r w:rsidRPr="00467DB0">
        <w:t>søtransport</w:t>
      </w:r>
      <w:proofErr w:type="spellEnd"/>
      <w:r w:rsidRPr="00467DB0">
        <w:t>, a</w:t>
      </w:r>
      <w:r w:rsidRPr="00467DB0">
        <w:t xml:space="preserve">tmosfære, </w:t>
      </w:r>
      <w:proofErr w:type="spellStart"/>
      <w:r w:rsidRPr="00467DB0">
        <w:t>landbrug</w:t>
      </w:r>
      <w:proofErr w:type="spellEnd"/>
      <w:r w:rsidRPr="00467DB0">
        <w:t xml:space="preserve"> og </w:t>
      </w:r>
      <w:proofErr w:type="spellStart"/>
      <w:r w:rsidRPr="00467DB0">
        <w:t>udvikling</w:t>
      </w:r>
      <w:proofErr w:type="spellEnd"/>
      <w:r w:rsidRPr="00467DB0">
        <w:t xml:space="preserve"> </w:t>
      </w:r>
      <w:proofErr w:type="spellStart"/>
      <w:r w:rsidRPr="00467DB0">
        <w:t>af</w:t>
      </w:r>
      <w:proofErr w:type="spellEnd"/>
      <w:r w:rsidRPr="00467DB0">
        <w:t xml:space="preserve"> landdistrikter, bevarelse </w:t>
      </w:r>
      <w:proofErr w:type="spellStart"/>
      <w:r w:rsidRPr="00467DB0">
        <w:t>af</w:t>
      </w:r>
      <w:proofErr w:type="spellEnd"/>
      <w:r w:rsidRPr="00467DB0">
        <w:t xml:space="preserve"> kulturarven, </w:t>
      </w:r>
      <w:proofErr w:type="spellStart"/>
      <w:r w:rsidRPr="00467DB0">
        <w:t>civilbe</w:t>
      </w:r>
      <w:r w:rsidRPr="00467DB0">
        <w:lastRenderedPageBreak/>
        <w:t>skyttelse</w:t>
      </w:r>
      <w:proofErr w:type="spellEnd"/>
      <w:r w:rsidRPr="00467DB0">
        <w:t xml:space="preserve">, </w:t>
      </w:r>
      <w:proofErr w:type="spellStart"/>
      <w:r w:rsidRPr="00467DB0">
        <w:t>infrastrukturovervågning</w:t>
      </w:r>
      <w:proofErr w:type="spellEnd"/>
      <w:r w:rsidRPr="00467DB0">
        <w:t xml:space="preserve">, </w:t>
      </w:r>
      <w:proofErr w:type="spellStart"/>
      <w:r w:rsidRPr="00467DB0">
        <w:t>sikkerhed</w:t>
      </w:r>
      <w:proofErr w:type="spellEnd"/>
      <w:r w:rsidRPr="00467DB0">
        <w:t xml:space="preserve"> og sikring samt den digitale økonomi med det formål </w:t>
      </w:r>
      <w:proofErr w:type="spellStart"/>
      <w:r w:rsidRPr="00467DB0">
        <w:t>yderligere</w:t>
      </w:r>
      <w:proofErr w:type="spellEnd"/>
      <w:r w:rsidRPr="00467DB0">
        <w:t xml:space="preserve"> at </w:t>
      </w:r>
      <w:proofErr w:type="spellStart"/>
      <w:r w:rsidRPr="00467DB0">
        <w:t>mindske</w:t>
      </w:r>
      <w:proofErr w:type="spellEnd"/>
      <w:r w:rsidRPr="00467DB0">
        <w:t xml:space="preserve"> den administrative byrde.</w:t>
      </w:r>
    </w:p>
    <w:p w14:paraId="30842F5A" w14:textId="77777777" w:rsidR="00000000" w:rsidRPr="00467DB0" w:rsidRDefault="00693D67" w:rsidP="00467DB0">
      <w:pPr>
        <w:pStyle w:val="friliste"/>
      </w:pPr>
      <w:r w:rsidRPr="00467DB0">
        <w:t>4.</w:t>
      </w:r>
      <w:r w:rsidRPr="00467DB0">
        <w:tab/>
        <w:t xml:space="preserve">Copernicus skal bestå </w:t>
      </w:r>
      <w:proofErr w:type="spellStart"/>
      <w:r w:rsidRPr="00467DB0">
        <w:t>af</w:t>
      </w:r>
      <w:proofErr w:type="spellEnd"/>
      <w:r w:rsidRPr="00467DB0">
        <w:t xml:space="preserve"> følgende elementer:</w:t>
      </w:r>
    </w:p>
    <w:p w14:paraId="5A194B90" w14:textId="77777777" w:rsidR="00000000" w:rsidRPr="00467DB0" w:rsidRDefault="00693D67" w:rsidP="00467DB0">
      <w:pPr>
        <w:pStyle w:val="friliste2"/>
      </w:pPr>
      <w:r w:rsidRPr="00467DB0">
        <w:t>a)</w:t>
      </w:r>
      <w:r w:rsidRPr="00467DB0">
        <w:tab/>
      </w:r>
      <w:proofErr w:type="spellStart"/>
      <w:r w:rsidRPr="00467DB0">
        <w:t>dataindsamling</w:t>
      </w:r>
      <w:proofErr w:type="spellEnd"/>
      <w:r w:rsidRPr="00467DB0">
        <w:t>, der omfatter:</w:t>
      </w:r>
    </w:p>
    <w:p w14:paraId="1774B22D" w14:textId="77777777" w:rsidR="00000000" w:rsidRPr="00467DB0" w:rsidRDefault="00693D67" w:rsidP="00467DB0">
      <w:pPr>
        <w:pStyle w:val="friliste3"/>
      </w:pPr>
      <w:r w:rsidRPr="00467DB0">
        <w:t>i)</w:t>
      </w:r>
      <w:r w:rsidRPr="00467DB0">
        <w:tab/>
      </w:r>
      <w:proofErr w:type="spellStart"/>
      <w:r w:rsidRPr="00467DB0">
        <w:t>udvikling</w:t>
      </w:r>
      <w:proofErr w:type="spellEnd"/>
      <w:r w:rsidRPr="00467DB0">
        <w:t xml:space="preserve"> og drift </w:t>
      </w:r>
      <w:proofErr w:type="spellStart"/>
      <w:r w:rsidRPr="00467DB0">
        <w:t>af</w:t>
      </w:r>
      <w:proofErr w:type="spellEnd"/>
      <w:r w:rsidRPr="00467DB0">
        <w:t xml:space="preserve"> </w:t>
      </w:r>
      <w:proofErr w:type="spellStart"/>
      <w:r w:rsidRPr="00467DB0">
        <w:t>Copernicussentineller</w:t>
      </w:r>
      <w:proofErr w:type="spellEnd"/>
    </w:p>
    <w:p w14:paraId="72E41A2C" w14:textId="77777777" w:rsidR="00000000" w:rsidRPr="00467DB0" w:rsidRDefault="00693D67" w:rsidP="00467DB0">
      <w:pPr>
        <w:pStyle w:val="friliste3"/>
      </w:pPr>
      <w:r w:rsidRPr="00467DB0">
        <w:t>ii)</w:t>
      </w:r>
      <w:r w:rsidRPr="00467DB0">
        <w:tab/>
        <w:t xml:space="preserve">adgang til </w:t>
      </w:r>
      <w:proofErr w:type="spellStart"/>
      <w:r w:rsidRPr="00467DB0">
        <w:t>rumbaserede</w:t>
      </w:r>
      <w:proofErr w:type="spellEnd"/>
      <w:r w:rsidRPr="00467DB0">
        <w:t xml:space="preserve"> </w:t>
      </w:r>
      <w:proofErr w:type="spellStart"/>
      <w:r w:rsidRPr="00467DB0">
        <w:t>jordobservationsdata</w:t>
      </w:r>
      <w:proofErr w:type="spellEnd"/>
      <w:r w:rsidRPr="00467DB0">
        <w:t xml:space="preserve"> fra tredjeparter</w:t>
      </w:r>
    </w:p>
    <w:p w14:paraId="33CD022C" w14:textId="77777777" w:rsidR="00000000" w:rsidRPr="00467DB0" w:rsidRDefault="00693D67" w:rsidP="00467DB0">
      <w:pPr>
        <w:pStyle w:val="friliste3"/>
      </w:pPr>
      <w:r w:rsidRPr="00467DB0">
        <w:t>iii)</w:t>
      </w:r>
      <w:r w:rsidRPr="00467DB0">
        <w:tab/>
        <w:t xml:space="preserve">adgang til in </w:t>
      </w:r>
      <w:proofErr w:type="spellStart"/>
      <w:r w:rsidRPr="00467DB0">
        <w:t>situ</w:t>
      </w:r>
      <w:proofErr w:type="spellEnd"/>
      <w:r w:rsidRPr="00467DB0">
        <w:t xml:space="preserve">- og </w:t>
      </w:r>
      <w:proofErr w:type="spellStart"/>
      <w:r w:rsidRPr="00467DB0">
        <w:t>hjælpedata</w:t>
      </w:r>
      <w:proofErr w:type="spellEnd"/>
    </w:p>
    <w:p w14:paraId="5AD912F2" w14:textId="77777777" w:rsidR="00000000" w:rsidRPr="00467DB0" w:rsidRDefault="00693D67" w:rsidP="00467DB0">
      <w:pPr>
        <w:pStyle w:val="friliste2"/>
      </w:pPr>
      <w:r w:rsidRPr="00467DB0">
        <w:t>b)</w:t>
      </w:r>
      <w:r w:rsidRPr="00467DB0">
        <w:tab/>
        <w:t xml:space="preserve">data- og </w:t>
      </w:r>
      <w:proofErr w:type="spellStart"/>
      <w:r w:rsidRPr="00467DB0">
        <w:t>informationsbehandling</w:t>
      </w:r>
      <w:proofErr w:type="spellEnd"/>
      <w:r w:rsidRPr="00467DB0">
        <w:t xml:space="preserve"> </w:t>
      </w:r>
      <w:proofErr w:type="spellStart"/>
      <w:r w:rsidRPr="00467DB0">
        <w:t>gennem</w:t>
      </w:r>
      <w:proofErr w:type="spellEnd"/>
      <w:r w:rsidRPr="00467DB0">
        <w:t xml:space="preserve"> </w:t>
      </w:r>
      <w:proofErr w:type="spellStart"/>
      <w:r w:rsidRPr="00467DB0">
        <w:t>Coperni</w:t>
      </w:r>
      <w:r w:rsidRPr="00467DB0">
        <w:t>custjenester</w:t>
      </w:r>
      <w:proofErr w:type="spellEnd"/>
      <w:r w:rsidRPr="00467DB0">
        <w:t xml:space="preserve">, som omfatter aktiviteter til generering </w:t>
      </w:r>
      <w:proofErr w:type="spellStart"/>
      <w:r w:rsidRPr="00467DB0">
        <w:t>af</w:t>
      </w:r>
      <w:proofErr w:type="spellEnd"/>
      <w:r w:rsidRPr="00467DB0">
        <w:t xml:space="preserve"> </w:t>
      </w:r>
      <w:proofErr w:type="spellStart"/>
      <w:r w:rsidRPr="00467DB0">
        <w:t>informationer</w:t>
      </w:r>
      <w:proofErr w:type="spellEnd"/>
      <w:r w:rsidRPr="00467DB0">
        <w:t xml:space="preserve"> med </w:t>
      </w:r>
      <w:proofErr w:type="spellStart"/>
      <w:r w:rsidRPr="00467DB0">
        <w:t>merværdi</w:t>
      </w:r>
      <w:proofErr w:type="spellEnd"/>
      <w:r w:rsidRPr="00467DB0">
        <w:t xml:space="preserve"> til støtte for </w:t>
      </w:r>
      <w:proofErr w:type="spellStart"/>
      <w:r w:rsidRPr="00467DB0">
        <w:t>miljøovervågning</w:t>
      </w:r>
      <w:proofErr w:type="spellEnd"/>
      <w:r w:rsidRPr="00467DB0">
        <w:t xml:space="preserve">, </w:t>
      </w:r>
      <w:proofErr w:type="spellStart"/>
      <w:r w:rsidRPr="00467DB0">
        <w:t>indberetning</w:t>
      </w:r>
      <w:proofErr w:type="spellEnd"/>
      <w:r w:rsidRPr="00467DB0">
        <w:t xml:space="preserve"> og sikring </w:t>
      </w:r>
      <w:proofErr w:type="spellStart"/>
      <w:r w:rsidRPr="00467DB0">
        <w:t>af</w:t>
      </w:r>
      <w:proofErr w:type="spellEnd"/>
      <w:r w:rsidRPr="00467DB0">
        <w:t xml:space="preserve"> </w:t>
      </w:r>
      <w:proofErr w:type="spellStart"/>
      <w:r w:rsidRPr="00467DB0">
        <w:t>efterlevelse</w:t>
      </w:r>
      <w:proofErr w:type="spellEnd"/>
      <w:r w:rsidRPr="00467DB0">
        <w:t xml:space="preserve">, </w:t>
      </w:r>
      <w:proofErr w:type="spellStart"/>
      <w:r w:rsidRPr="00467DB0">
        <w:t>civilbeskyttelse</w:t>
      </w:r>
      <w:proofErr w:type="spellEnd"/>
      <w:r w:rsidRPr="00467DB0">
        <w:t xml:space="preserve"> og </w:t>
      </w:r>
      <w:proofErr w:type="spellStart"/>
      <w:r w:rsidRPr="00467DB0">
        <w:t>sikkerhedstjenester</w:t>
      </w:r>
      <w:proofErr w:type="spellEnd"/>
    </w:p>
    <w:p w14:paraId="54B8BA42" w14:textId="77777777" w:rsidR="00000000" w:rsidRPr="00467DB0" w:rsidRDefault="00693D67" w:rsidP="00467DB0">
      <w:pPr>
        <w:pStyle w:val="friliste2"/>
      </w:pPr>
      <w:r w:rsidRPr="00467DB0">
        <w:t>c)</w:t>
      </w:r>
      <w:r w:rsidRPr="00467DB0">
        <w:tab/>
      </w:r>
      <w:proofErr w:type="spellStart"/>
      <w:r w:rsidRPr="00467DB0">
        <w:t>dataadgang</w:t>
      </w:r>
      <w:proofErr w:type="spellEnd"/>
      <w:r w:rsidRPr="00467DB0">
        <w:t xml:space="preserve"> og -formidling, som omfatter infrastruktur o</w:t>
      </w:r>
      <w:r w:rsidRPr="00467DB0">
        <w:t xml:space="preserve">g tjenester for at sikre </w:t>
      </w:r>
      <w:proofErr w:type="spellStart"/>
      <w:r w:rsidRPr="00467DB0">
        <w:t>søgning</w:t>
      </w:r>
      <w:proofErr w:type="spellEnd"/>
      <w:r w:rsidRPr="00467DB0">
        <w:t xml:space="preserve">, </w:t>
      </w:r>
      <w:proofErr w:type="spellStart"/>
      <w:r w:rsidRPr="00467DB0">
        <w:t>gennemsyn</w:t>
      </w:r>
      <w:proofErr w:type="spellEnd"/>
      <w:r w:rsidRPr="00467DB0">
        <w:t xml:space="preserve">, adgang til, formidling, </w:t>
      </w:r>
      <w:proofErr w:type="spellStart"/>
      <w:r w:rsidRPr="00467DB0">
        <w:t>udnyttelse</w:t>
      </w:r>
      <w:proofErr w:type="spellEnd"/>
      <w:r w:rsidRPr="00467DB0">
        <w:t xml:space="preserve"> og langtidsarkivering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på en </w:t>
      </w:r>
      <w:proofErr w:type="spellStart"/>
      <w:r w:rsidRPr="00467DB0">
        <w:t>brugervenlig</w:t>
      </w:r>
      <w:proofErr w:type="spellEnd"/>
      <w:r w:rsidRPr="00467DB0">
        <w:t xml:space="preserve"> </w:t>
      </w:r>
      <w:proofErr w:type="spellStart"/>
      <w:r w:rsidRPr="00467DB0">
        <w:t>måde</w:t>
      </w:r>
      <w:proofErr w:type="spellEnd"/>
    </w:p>
    <w:p w14:paraId="4DCE68D7" w14:textId="77777777" w:rsidR="00000000" w:rsidRPr="00467DB0" w:rsidRDefault="00693D67" w:rsidP="00467DB0">
      <w:pPr>
        <w:pStyle w:val="friliste2"/>
      </w:pPr>
      <w:r w:rsidRPr="00467DB0">
        <w:t>d)</w:t>
      </w:r>
      <w:r w:rsidRPr="00467DB0">
        <w:tab/>
      </w:r>
      <w:proofErr w:type="spellStart"/>
      <w:r w:rsidRPr="00467DB0">
        <w:t>brugerspredning</w:t>
      </w:r>
      <w:proofErr w:type="spellEnd"/>
      <w:r w:rsidRPr="00467DB0">
        <w:t xml:space="preserve">, </w:t>
      </w:r>
      <w:proofErr w:type="spellStart"/>
      <w:r w:rsidRPr="00467DB0">
        <w:t>markedsudvikling</w:t>
      </w:r>
      <w:proofErr w:type="spellEnd"/>
      <w:r w:rsidRPr="00467DB0">
        <w:t xml:space="preserve"> og </w:t>
      </w:r>
      <w:proofErr w:type="spellStart"/>
      <w:r w:rsidRPr="00467DB0">
        <w:t>kapacitetsopbygning</w:t>
      </w:r>
      <w:proofErr w:type="spellEnd"/>
      <w:r w:rsidRPr="00467DB0">
        <w:t xml:space="preserve"> i overensstemmelse med </w:t>
      </w:r>
      <w:proofErr w:type="spellStart"/>
      <w:r w:rsidRPr="00467DB0">
        <w:t>ar</w:t>
      </w:r>
      <w:r w:rsidRPr="00467DB0">
        <w:t>tikel</w:t>
      </w:r>
      <w:proofErr w:type="spellEnd"/>
      <w:r w:rsidRPr="00467DB0">
        <w:t xml:space="preserve"> 28, stk. 6, som omfatter relevante aktiviteter, </w:t>
      </w:r>
      <w:proofErr w:type="spellStart"/>
      <w:r w:rsidRPr="00467DB0">
        <w:t>ressourcer</w:t>
      </w:r>
      <w:proofErr w:type="spellEnd"/>
      <w:r w:rsidRPr="00467DB0">
        <w:t xml:space="preserve"> og tjenester med </w:t>
      </w:r>
      <w:proofErr w:type="spellStart"/>
      <w:r w:rsidRPr="00467DB0">
        <w:t>henblik</w:t>
      </w:r>
      <w:proofErr w:type="spellEnd"/>
      <w:r w:rsidRPr="00467DB0">
        <w:t xml:space="preserve"> på at fremme Copernicus, </w:t>
      </w:r>
      <w:proofErr w:type="spellStart"/>
      <w:r w:rsidRPr="00467DB0">
        <w:t>Copernicusdata</w:t>
      </w:r>
      <w:proofErr w:type="spellEnd"/>
      <w:r w:rsidRPr="00467DB0">
        <w:t xml:space="preserve"> og </w:t>
      </w:r>
      <w:proofErr w:type="spellStart"/>
      <w:r w:rsidRPr="00467DB0">
        <w:t>Copernicustjenester</w:t>
      </w:r>
      <w:proofErr w:type="spellEnd"/>
      <w:r w:rsidRPr="00467DB0">
        <w:t xml:space="preserve"> og </w:t>
      </w:r>
      <w:proofErr w:type="spellStart"/>
      <w:r w:rsidRPr="00467DB0">
        <w:t>relaterede</w:t>
      </w:r>
      <w:proofErr w:type="spellEnd"/>
      <w:r w:rsidRPr="00467DB0">
        <w:t xml:space="preserve"> </w:t>
      </w:r>
      <w:proofErr w:type="spellStart"/>
      <w:r w:rsidRPr="00467DB0">
        <w:t>downstreamapplikationer</w:t>
      </w:r>
      <w:proofErr w:type="spellEnd"/>
      <w:r w:rsidRPr="00467DB0">
        <w:t xml:space="preserve"> og </w:t>
      </w:r>
      <w:proofErr w:type="spellStart"/>
      <w:r w:rsidRPr="00467DB0">
        <w:t>udviklingen</w:t>
      </w:r>
      <w:proofErr w:type="spellEnd"/>
      <w:r w:rsidRPr="00467DB0">
        <w:t xml:space="preserve"> </w:t>
      </w:r>
      <w:proofErr w:type="spellStart"/>
      <w:r w:rsidRPr="00467DB0">
        <w:t>heraf</w:t>
      </w:r>
      <w:proofErr w:type="spellEnd"/>
      <w:r w:rsidRPr="00467DB0">
        <w:t xml:space="preserve"> på alle </w:t>
      </w:r>
      <w:proofErr w:type="spellStart"/>
      <w:r w:rsidRPr="00467DB0">
        <w:t>niveauer</w:t>
      </w:r>
      <w:proofErr w:type="spellEnd"/>
      <w:r w:rsidRPr="00467DB0">
        <w:t xml:space="preserve"> for at maksimere de </w:t>
      </w:r>
      <w:proofErr w:type="spellStart"/>
      <w:r w:rsidRPr="00467DB0">
        <w:t>socioøk</w:t>
      </w:r>
      <w:r w:rsidRPr="00467DB0">
        <w:t>onomiske</w:t>
      </w:r>
      <w:proofErr w:type="spellEnd"/>
      <w:r w:rsidRPr="00467DB0">
        <w:t xml:space="preserve"> fordele som omhandlet i </w:t>
      </w:r>
      <w:proofErr w:type="spellStart"/>
      <w:r w:rsidRPr="00467DB0">
        <w:t>artikel</w:t>
      </w:r>
      <w:proofErr w:type="spellEnd"/>
      <w:r w:rsidRPr="00467DB0">
        <w:t xml:space="preserve"> 4, stk. 1, samt </w:t>
      </w:r>
      <w:proofErr w:type="spellStart"/>
      <w:r w:rsidRPr="00467DB0">
        <w:t>indsamling</w:t>
      </w:r>
      <w:proofErr w:type="spellEnd"/>
      <w:r w:rsidRPr="00467DB0">
        <w:t xml:space="preserve"> og analyse </w:t>
      </w:r>
      <w:proofErr w:type="spellStart"/>
      <w:r w:rsidRPr="00467DB0">
        <w:t>af</w:t>
      </w:r>
      <w:proofErr w:type="spellEnd"/>
      <w:r w:rsidRPr="00467DB0">
        <w:t xml:space="preserve"> Copernicus' </w:t>
      </w:r>
      <w:proofErr w:type="spellStart"/>
      <w:r w:rsidRPr="00467DB0">
        <w:t>brugeres</w:t>
      </w:r>
      <w:proofErr w:type="spellEnd"/>
      <w:r w:rsidRPr="00467DB0">
        <w:t xml:space="preserve"> behov.</w:t>
      </w:r>
    </w:p>
    <w:p w14:paraId="0298EB68" w14:textId="77777777" w:rsidR="00000000" w:rsidRPr="00467DB0" w:rsidRDefault="00693D67" w:rsidP="00467DB0">
      <w:pPr>
        <w:pStyle w:val="friliste"/>
      </w:pPr>
      <w:r w:rsidRPr="00467DB0">
        <w:t>5.</w:t>
      </w:r>
      <w:r w:rsidRPr="00467DB0">
        <w:tab/>
        <w:t xml:space="preserve">Copernicus skal fremme den </w:t>
      </w:r>
      <w:proofErr w:type="spellStart"/>
      <w:r w:rsidRPr="00467DB0">
        <w:t>internationale</w:t>
      </w:r>
      <w:proofErr w:type="spellEnd"/>
      <w:r w:rsidRPr="00467DB0">
        <w:t xml:space="preserve"> koordinering </w:t>
      </w:r>
      <w:proofErr w:type="spellStart"/>
      <w:r w:rsidRPr="00467DB0">
        <w:t>af</w:t>
      </w:r>
      <w:proofErr w:type="spellEnd"/>
      <w:r w:rsidRPr="00467DB0">
        <w:t xml:space="preserve"> </w:t>
      </w:r>
      <w:proofErr w:type="spellStart"/>
      <w:r w:rsidRPr="00467DB0">
        <w:t>observationssystemer</w:t>
      </w:r>
      <w:proofErr w:type="spellEnd"/>
      <w:r w:rsidRPr="00467DB0">
        <w:t xml:space="preserve"> og dermed forbundne </w:t>
      </w:r>
      <w:proofErr w:type="spellStart"/>
      <w:r w:rsidRPr="00467DB0">
        <w:t>dataudvekslinger</w:t>
      </w:r>
      <w:proofErr w:type="spellEnd"/>
      <w:r w:rsidRPr="00467DB0">
        <w:t xml:space="preserve"> for at styrke sin globale </w:t>
      </w:r>
      <w:proofErr w:type="spellStart"/>
      <w:r w:rsidRPr="00467DB0">
        <w:t>d</w:t>
      </w:r>
      <w:r w:rsidRPr="00467DB0">
        <w:t>imension</w:t>
      </w:r>
      <w:proofErr w:type="spellEnd"/>
      <w:r w:rsidRPr="00467DB0">
        <w:t xml:space="preserve"> og komplementaritet, under hensyn til </w:t>
      </w:r>
      <w:proofErr w:type="spellStart"/>
      <w:r w:rsidRPr="00467DB0">
        <w:t>internationale</w:t>
      </w:r>
      <w:proofErr w:type="spellEnd"/>
      <w:r w:rsidRPr="00467DB0">
        <w:t xml:space="preserve"> </w:t>
      </w:r>
      <w:proofErr w:type="spellStart"/>
      <w:r w:rsidRPr="00467DB0">
        <w:t>aftaler</w:t>
      </w:r>
      <w:proofErr w:type="spellEnd"/>
      <w:r w:rsidRPr="00467DB0">
        <w:t xml:space="preserve"> og </w:t>
      </w:r>
      <w:proofErr w:type="spellStart"/>
      <w:r w:rsidRPr="00467DB0">
        <w:t>koordineringsprocesser</w:t>
      </w:r>
      <w:proofErr w:type="spellEnd"/>
      <w:r w:rsidRPr="00467DB0">
        <w:t>.</w:t>
      </w:r>
    </w:p>
    <w:p w14:paraId="3F8BAC74" w14:textId="77777777" w:rsidR="00000000" w:rsidRPr="00467DB0" w:rsidRDefault="00693D67" w:rsidP="00467DB0">
      <w:pPr>
        <w:pStyle w:val="avsnitt-undertittel"/>
      </w:pPr>
      <w:r w:rsidRPr="00467DB0">
        <w:t>Kapitel II</w:t>
      </w:r>
    </w:p>
    <w:p w14:paraId="6C63B668" w14:textId="77777777" w:rsidR="00000000" w:rsidRPr="00467DB0" w:rsidRDefault="00693D67" w:rsidP="00467DB0">
      <w:pPr>
        <w:pStyle w:val="Undertittel"/>
      </w:pPr>
      <w:r w:rsidRPr="00467DB0">
        <w:t>Støtteberettigede foranstaltninger</w:t>
      </w:r>
    </w:p>
    <w:p w14:paraId="4859A393" w14:textId="77777777" w:rsidR="00000000" w:rsidRPr="00467DB0" w:rsidRDefault="00693D67" w:rsidP="00467DB0">
      <w:pPr>
        <w:pStyle w:val="avsnitt-undertittel"/>
      </w:pPr>
      <w:proofErr w:type="spellStart"/>
      <w:r w:rsidRPr="00467DB0">
        <w:t>Artikel</w:t>
      </w:r>
      <w:proofErr w:type="spellEnd"/>
      <w:r w:rsidRPr="00467DB0">
        <w:t> 50</w:t>
      </w:r>
    </w:p>
    <w:p w14:paraId="31E5188B" w14:textId="77777777" w:rsidR="00000000" w:rsidRPr="00467DB0" w:rsidRDefault="00693D67" w:rsidP="00467DB0">
      <w:pPr>
        <w:pStyle w:val="Undertittel"/>
      </w:pPr>
      <w:r w:rsidRPr="00467DB0">
        <w:t xml:space="preserve">Støtteberettigede foranstaltninger i forbindelse med </w:t>
      </w:r>
      <w:proofErr w:type="spellStart"/>
      <w:r w:rsidRPr="00467DB0">
        <w:t>dataindsamling</w:t>
      </w:r>
      <w:proofErr w:type="spellEnd"/>
    </w:p>
    <w:p w14:paraId="3CEB53AE" w14:textId="77777777" w:rsidR="00000000" w:rsidRPr="00467DB0" w:rsidRDefault="00693D67" w:rsidP="00467DB0">
      <w:r w:rsidRPr="00467DB0">
        <w:t>Støtteberettigede foranstaltninger</w:t>
      </w:r>
      <w:r w:rsidRPr="00467DB0">
        <w:t xml:space="preserve"> under Copernicus omfatter:</w:t>
      </w:r>
    </w:p>
    <w:p w14:paraId="2AF6031E" w14:textId="77777777" w:rsidR="00000000" w:rsidRPr="00467DB0" w:rsidRDefault="00693D67" w:rsidP="00467DB0">
      <w:pPr>
        <w:pStyle w:val="friliste"/>
      </w:pPr>
      <w:r w:rsidRPr="00467DB0">
        <w:t>a)</w:t>
      </w:r>
      <w:r w:rsidRPr="00467DB0">
        <w:tab/>
        <w:t xml:space="preserve">foranstaltninger med </w:t>
      </w:r>
      <w:proofErr w:type="spellStart"/>
      <w:r w:rsidRPr="00467DB0">
        <w:t>henblik</w:t>
      </w:r>
      <w:proofErr w:type="spellEnd"/>
      <w:r w:rsidRPr="00467DB0">
        <w:t xml:space="preserve"> på at forbedre kontinuiteten i de eksisterende </w:t>
      </w:r>
      <w:proofErr w:type="spellStart"/>
      <w:r w:rsidRPr="00467DB0">
        <w:t>Copernicussentinelmissioner</w:t>
      </w:r>
      <w:proofErr w:type="spellEnd"/>
      <w:r w:rsidRPr="00467DB0">
        <w:t xml:space="preserve"> og </w:t>
      </w:r>
      <w:proofErr w:type="spellStart"/>
      <w:r w:rsidRPr="00467DB0">
        <w:t>udvikle</w:t>
      </w:r>
      <w:proofErr w:type="spellEnd"/>
      <w:r w:rsidRPr="00467DB0">
        <w:t xml:space="preserve">, </w:t>
      </w:r>
      <w:proofErr w:type="spellStart"/>
      <w:r w:rsidRPr="00467DB0">
        <w:t>opsende</w:t>
      </w:r>
      <w:proofErr w:type="spellEnd"/>
      <w:r w:rsidRPr="00467DB0">
        <w:t xml:space="preserve">, </w:t>
      </w:r>
      <w:proofErr w:type="spellStart"/>
      <w:r w:rsidRPr="00467DB0">
        <w:t>opretholde</w:t>
      </w:r>
      <w:proofErr w:type="spellEnd"/>
      <w:r w:rsidRPr="00467DB0">
        <w:t xml:space="preserve"> og drive flere </w:t>
      </w:r>
      <w:proofErr w:type="spellStart"/>
      <w:r w:rsidRPr="00467DB0">
        <w:t>Copernicussentineller</w:t>
      </w:r>
      <w:proofErr w:type="spellEnd"/>
      <w:r w:rsidRPr="00467DB0">
        <w:t xml:space="preserve"> for at </w:t>
      </w:r>
      <w:proofErr w:type="spellStart"/>
      <w:r w:rsidRPr="00467DB0">
        <w:t>udvide</w:t>
      </w:r>
      <w:proofErr w:type="spellEnd"/>
      <w:r w:rsidRPr="00467DB0">
        <w:t xml:space="preserve"> </w:t>
      </w:r>
      <w:proofErr w:type="spellStart"/>
      <w:r w:rsidRPr="00467DB0">
        <w:t>observationsområdet</w:t>
      </w:r>
      <w:proofErr w:type="spellEnd"/>
      <w:r w:rsidRPr="00467DB0">
        <w:t xml:space="preserve">, idet der navnlig </w:t>
      </w:r>
      <w:proofErr w:type="spellStart"/>
      <w:r w:rsidRPr="00467DB0">
        <w:t>gives</w:t>
      </w:r>
      <w:proofErr w:type="spellEnd"/>
      <w:r w:rsidRPr="00467DB0">
        <w:t xml:space="preserve"> prioritet til </w:t>
      </w:r>
      <w:proofErr w:type="spellStart"/>
      <w:r w:rsidRPr="00467DB0">
        <w:t>observationskapacitet</w:t>
      </w:r>
      <w:proofErr w:type="spellEnd"/>
      <w:r w:rsidRPr="00467DB0">
        <w:t xml:space="preserve"> til </w:t>
      </w:r>
      <w:proofErr w:type="spellStart"/>
      <w:r w:rsidRPr="00467DB0">
        <w:t>overvågning</w:t>
      </w:r>
      <w:proofErr w:type="spellEnd"/>
      <w:r w:rsidRPr="00467DB0">
        <w:t xml:space="preserve"> </w:t>
      </w:r>
      <w:proofErr w:type="spellStart"/>
      <w:r w:rsidRPr="00467DB0">
        <w:t>af</w:t>
      </w:r>
      <w:proofErr w:type="spellEnd"/>
      <w:r w:rsidRPr="00467DB0">
        <w:t xml:space="preserve"> antropogene CO2-emissioner og andre </w:t>
      </w:r>
      <w:proofErr w:type="spellStart"/>
      <w:r w:rsidRPr="00467DB0">
        <w:t>drivhusgasemissioner</w:t>
      </w:r>
      <w:proofErr w:type="spellEnd"/>
      <w:r w:rsidRPr="00467DB0">
        <w:t xml:space="preserve">, </w:t>
      </w:r>
      <w:proofErr w:type="spellStart"/>
      <w:r w:rsidRPr="00467DB0">
        <w:t>muliggøre</w:t>
      </w:r>
      <w:proofErr w:type="spellEnd"/>
      <w:r w:rsidRPr="00467DB0">
        <w:t xml:space="preserve"> </w:t>
      </w:r>
      <w:proofErr w:type="spellStart"/>
      <w:r w:rsidRPr="00467DB0">
        <w:t>overvågning</w:t>
      </w:r>
      <w:proofErr w:type="spellEnd"/>
      <w:r w:rsidRPr="00467DB0">
        <w:t xml:space="preserve"> </w:t>
      </w:r>
      <w:proofErr w:type="spellStart"/>
      <w:r w:rsidRPr="00467DB0">
        <w:t>af</w:t>
      </w:r>
      <w:proofErr w:type="spellEnd"/>
      <w:r w:rsidRPr="00467DB0">
        <w:t xml:space="preserve"> polarområder og aktivere innovative </w:t>
      </w:r>
      <w:proofErr w:type="spellStart"/>
      <w:r w:rsidRPr="00467DB0">
        <w:t>miljøapplikationer</w:t>
      </w:r>
      <w:proofErr w:type="spellEnd"/>
      <w:r w:rsidRPr="00467DB0">
        <w:t xml:space="preserve"> </w:t>
      </w:r>
      <w:proofErr w:type="spellStart"/>
      <w:r w:rsidRPr="00467DB0">
        <w:t>inden</w:t>
      </w:r>
      <w:proofErr w:type="spellEnd"/>
      <w:r w:rsidRPr="00467DB0">
        <w:t xml:space="preserve"> for </w:t>
      </w:r>
      <w:proofErr w:type="spellStart"/>
      <w:r w:rsidRPr="00467DB0">
        <w:t>landbrug</w:t>
      </w:r>
      <w:proofErr w:type="spellEnd"/>
      <w:r w:rsidRPr="00467DB0">
        <w:t xml:space="preserve"> og </w:t>
      </w:r>
      <w:proofErr w:type="spellStart"/>
      <w:r w:rsidRPr="00467DB0">
        <w:t>skovbrug</w:t>
      </w:r>
      <w:proofErr w:type="spellEnd"/>
      <w:r w:rsidRPr="00467DB0">
        <w:t xml:space="preserve"> og i forbindelse med forva</w:t>
      </w:r>
      <w:r w:rsidRPr="00467DB0">
        <w:t xml:space="preserve">ltning </w:t>
      </w:r>
      <w:proofErr w:type="spellStart"/>
      <w:r w:rsidRPr="00467DB0">
        <w:t>af</w:t>
      </w:r>
      <w:proofErr w:type="spellEnd"/>
      <w:r w:rsidRPr="00467DB0">
        <w:t xml:space="preserve"> </w:t>
      </w:r>
      <w:proofErr w:type="spellStart"/>
      <w:r w:rsidRPr="00467DB0">
        <w:t>vandressourcer</w:t>
      </w:r>
      <w:proofErr w:type="spellEnd"/>
      <w:r w:rsidRPr="00467DB0">
        <w:t xml:space="preserve">, marine </w:t>
      </w:r>
      <w:proofErr w:type="spellStart"/>
      <w:r w:rsidRPr="00467DB0">
        <w:t>ressourcer</w:t>
      </w:r>
      <w:proofErr w:type="spellEnd"/>
      <w:r w:rsidRPr="00467DB0">
        <w:t xml:space="preserve"> og kulturarv</w:t>
      </w:r>
    </w:p>
    <w:p w14:paraId="3AE2659F" w14:textId="77777777" w:rsidR="00000000" w:rsidRPr="00467DB0" w:rsidRDefault="00693D67" w:rsidP="00467DB0">
      <w:pPr>
        <w:pStyle w:val="friliste"/>
      </w:pPr>
      <w:r w:rsidRPr="00467DB0">
        <w:t>b)</w:t>
      </w:r>
      <w:r w:rsidRPr="00467DB0">
        <w:tab/>
        <w:t xml:space="preserve">foranstaltninger med </w:t>
      </w:r>
      <w:proofErr w:type="spellStart"/>
      <w:r w:rsidRPr="00467DB0">
        <w:t>henblik</w:t>
      </w:r>
      <w:proofErr w:type="spellEnd"/>
      <w:r w:rsidRPr="00467DB0">
        <w:t xml:space="preserve"> på at </w:t>
      </w:r>
      <w:proofErr w:type="spellStart"/>
      <w:r w:rsidRPr="00467DB0">
        <w:t>give</w:t>
      </w:r>
      <w:proofErr w:type="spellEnd"/>
      <w:r w:rsidRPr="00467DB0">
        <w:t xml:space="preserve"> adgang til tredjepartsdata, som er nødvendige for </w:t>
      </w:r>
      <w:proofErr w:type="spellStart"/>
      <w:r w:rsidRPr="00467DB0">
        <w:t>Copernicustjenester</w:t>
      </w:r>
      <w:proofErr w:type="spellEnd"/>
      <w:r w:rsidRPr="00467DB0">
        <w:t xml:space="preserve"> eller for </w:t>
      </w:r>
      <w:proofErr w:type="spellStart"/>
      <w:r w:rsidRPr="00467DB0">
        <w:t>EU's</w:t>
      </w:r>
      <w:proofErr w:type="spellEnd"/>
      <w:r w:rsidRPr="00467DB0">
        <w:t xml:space="preserve"> </w:t>
      </w:r>
      <w:proofErr w:type="spellStart"/>
      <w:r w:rsidRPr="00467DB0">
        <w:t>institutioner</w:t>
      </w:r>
      <w:proofErr w:type="spellEnd"/>
      <w:r w:rsidRPr="00467DB0">
        <w:t xml:space="preserve">, agenturer, </w:t>
      </w:r>
      <w:proofErr w:type="spellStart"/>
      <w:r w:rsidRPr="00467DB0">
        <w:t>decentraliserede</w:t>
      </w:r>
      <w:proofErr w:type="spellEnd"/>
      <w:r w:rsidRPr="00467DB0">
        <w:t xml:space="preserve"> tjenester og, hvor det er re</w:t>
      </w:r>
      <w:r w:rsidRPr="00467DB0">
        <w:t xml:space="preserve">levant og omkostningseffektivt, </w:t>
      </w:r>
      <w:proofErr w:type="spellStart"/>
      <w:r w:rsidRPr="00467DB0">
        <w:t>nationale</w:t>
      </w:r>
      <w:proofErr w:type="spellEnd"/>
      <w:r w:rsidRPr="00467DB0">
        <w:t xml:space="preserve"> eller regionale offentlige organer</w:t>
      </w:r>
    </w:p>
    <w:p w14:paraId="1A6168CB" w14:textId="77777777" w:rsidR="00000000" w:rsidRPr="00467DB0" w:rsidRDefault="00693D67" w:rsidP="00467DB0">
      <w:pPr>
        <w:pStyle w:val="friliste"/>
      </w:pPr>
      <w:r w:rsidRPr="00467DB0">
        <w:t>c)</w:t>
      </w:r>
      <w:r w:rsidRPr="00467DB0">
        <w:tab/>
        <w:t xml:space="preserve">foranstaltninger med </w:t>
      </w:r>
      <w:proofErr w:type="spellStart"/>
      <w:r w:rsidRPr="00467DB0">
        <w:t>henblik</w:t>
      </w:r>
      <w:proofErr w:type="spellEnd"/>
      <w:r w:rsidRPr="00467DB0">
        <w:t xml:space="preserve"> på at levere og koordinere adgang til Copernicus-in </w:t>
      </w:r>
      <w:proofErr w:type="spellStart"/>
      <w:r w:rsidRPr="00467DB0">
        <w:t>situ</w:t>
      </w:r>
      <w:proofErr w:type="spellEnd"/>
      <w:r w:rsidRPr="00467DB0">
        <w:t xml:space="preserve">-data og andre </w:t>
      </w:r>
      <w:proofErr w:type="spellStart"/>
      <w:r w:rsidRPr="00467DB0">
        <w:t>hjælpedata</w:t>
      </w:r>
      <w:proofErr w:type="spellEnd"/>
      <w:r w:rsidRPr="00467DB0">
        <w:t>, som er nødvendige for frembringelsen, kalibreringen og validerin</w:t>
      </w:r>
      <w:r w:rsidRPr="00467DB0">
        <w:t xml:space="preserve">gen </w:t>
      </w:r>
      <w:proofErr w:type="spellStart"/>
      <w:r w:rsidRPr="00467DB0">
        <w:t>af</w:t>
      </w:r>
      <w:proofErr w:type="spellEnd"/>
      <w:r w:rsidRPr="00467DB0">
        <w:t xml:space="preserve"> </w:t>
      </w:r>
      <w:proofErr w:type="spellStart"/>
      <w:r w:rsidRPr="00467DB0">
        <w:lastRenderedPageBreak/>
        <w:t>Copernicusdata</w:t>
      </w:r>
      <w:proofErr w:type="spellEnd"/>
      <w:r w:rsidRPr="00467DB0">
        <w:t xml:space="preserve"> og </w:t>
      </w:r>
      <w:proofErr w:type="spellStart"/>
      <w:r w:rsidRPr="00467DB0">
        <w:t>Copernicusinformationer</w:t>
      </w:r>
      <w:proofErr w:type="spellEnd"/>
      <w:r w:rsidRPr="00467DB0">
        <w:t xml:space="preserve">, herunder, hvor det er relevant og omkostningseffektivt, </w:t>
      </w:r>
      <w:proofErr w:type="spellStart"/>
      <w:r w:rsidRPr="00467DB0">
        <w:t>brugen</w:t>
      </w:r>
      <w:proofErr w:type="spellEnd"/>
      <w:r w:rsidRPr="00467DB0">
        <w:t xml:space="preserve"> </w:t>
      </w:r>
      <w:proofErr w:type="spellStart"/>
      <w:r w:rsidRPr="00467DB0">
        <w:t>af</w:t>
      </w:r>
      <w:proofErr w:type="spellEnd"/>
      <w:r w:rsidRPr="00467DB0">
        <w:t xml:space="preserve"> eksisterende </w:t>
      </w:r>
      <w:proofErr w:type="spellStart"/>
      <w:r w:rsidRPr="00467DB0">
        <w:t>nationale</w:t>
      </w:r>
      <w:proofErr w:type="spellEnd"/>
      <w:r w:rsidRPr="00467DB0">
        <w:t xml:space="preserve"> </w:t>
      </w:r>
      <w:proofErr w:type="spellStart"/>
      <w:r w:rsidRPr="00467DB0">
        <w:t>kapaciteter</w:t>
      </w:r>
      <w:proofErr w:type="spellEnd"/>
      <w:r w:rsidRPr="00467DB0">
        <w:t xml:space="preserve">, samtidig med at </w:t>
      </w:r>
      <w:proofErr w:type="spellStart"/>
      <w:r w:rsidRPr="00467DB0">
        <w:t>dobbeltarbejde</w:t>
      </w:r>
      <w:proofErr w:type="spellEnd"/>
      <w:r w:rsidRPr="00467DB0">
        <w:t xml:space="preserve"> </w:t>
      </w:r>
      <w:proofErr w:type="spellStart"/>
      <w:r w:rsidRPr="00467DB0">
        <w:t>undgås</w:t>
      </w:r>
      <w:proofErr w:type="spellEnd"/>
      <w:r w:rsidRPr="00467DB0">
        <w:t>.</w:t>
      </w:r>
    </w:p>
    <w:p w14:paraId="25FDFA08" w14:textId="77777777" w:rsidR="00000000" w:rsidRPr="00467DB0" w:rsidRDefault="00693D67" w:rsidP="00467DB0">
      <w:pPr>
        <w:pStyle w:val="avsnitt-undertittel"/>
      </w:pPr>
      <w:proofErr w:type="spellStart"/>
      <w:r w:rsidRPr="00467DB0">
        <w:t>Artikel</w:t>
      </w:r>
      <w:proofErr w:type="spellEnd"/>
      <w:r w:rsidRPr="00467DB0">
        <w:t> 51</w:t>
      </w:r>
    </w:p>
    <w:p w14:paraId="1B6DC6EC" w14:textId="77777777" w:rsidR="00000000" w:rsidRPr="00467DB0" w:rsidRDefault="00693D67" w:rsidP="00467DB0">
      <w:pPr>
        <w:pStyle w:val="Undertittel"/>
      </w:pPr>
      <w:r w:rsidRPr="00467DB0">
        <w:t xml:space="preserve">Støtteberettigede foranstaltninger i forbindelse med </w:t>
      </w:r>
      <w:proofErr w:type="spellStart"/>
      <w:r w:rsidRPr="00467DB0">
        <w:t>C</w:t>
      </w:r>
      <w:r w:rsidRPr="00467DB0">
        <w:t>opernicustjenester</w:t>
      </w:r>
      <w:proofErr w:type="spellEnd"/>
    </w:p>
    <w:p w14:paraId="5D75002F" w14:textId="77777777" w:rsidR="00000000" w:rsidRPr="00467DB0" w:rsidRDefault="00693D67" w:rsidP="00467DB0">
      <w:pPr>
        <w:pStyle w:val="friliste"/>
      </w:pPr>
      <w:r w:rsidRPr="00467DB0">
        <w:t>Copernicus skal omfatte foranstaltninger til støtte for følgende tjenester:</w:t>
      </w:r>
    </w:p>
    <w:p w14:paraId="6C94EA9B" w14:textId="77777777" w:rsidR="00000000" w:rsidRPr="00467DB0" w:rsidRDefault="00693D67" w:rsidP="00467DB0">
      <w:pPr>
        <w:pStyle w:val="friliste2"/>
      </w:pPr>
      <w:r w:rsidRPr="00467DB0">
        <w:t>a)</w:t>
      </w:r>
      <w:r w:rsidRPr="00467DB0">
        <w:tab/>
      </w:r>
      <w:proofErr w:type="spellStart"/>
      <w:r w:rsidRPr="00467DB0">
        <w:t>miljøovervågning</w:t>
      </w:r>
      <w:proofErr w:type="spellEnd"/>
      <w:r w:rsidRPr="00467DB0">
        <w:t xml:space="preserve">, </w:t>
      </w:r>
      <w:proofErr w:type="spellStart"/>
      <w:r w:rsidRPr="00467DB0">
        <w:t>indberetning</w:t>
      </w:r>
      <w:proofErr w:type="spellEnd"/>
      <w:r w:rsidRPr="00467DB0">
        <w:t xml:space="preserve"> og sikring </w:t>
      </w:r>
      <w:proofErr w:type="spellStart"/>
      <w:r w:rsidRPr="00467DB0">
        <w:t>af</w:t>
      </w:r>
      <w:proofErr w:type="spellEnd"/>
      <w:r w:rsidRPr="00467DB0">
        <w:t xml:space="preserve"> </w:t>
      </w:r>
      <w:proofErr w:type="spellStart"/>
      <w:r w:rsidRPr="00467DB0">
        <w:t>efterlevelse</w:t>
      </w:r>
      <w:proofErr w:type="spellEnd"/>
      <w:r w:rsidRPr="00467DB0">
        <w:t xml:space="preserve"> </w:t>
      </w:r>
      <w:proofErr w:type="spellStart"/>
      <w:r w:rsidRPr="00467DB0">
        <w:t>inden</w:t>
      </w:r>
      <w:proofErr w:type="spellEnd"/>
      <w:r w:rsidRPr="00467DB0">
        <w:t xml:space="preserve"> for:</w:t>
      </w:r>
    </w:p>
    <w:p w14:paraId="27F92CDA" w14:textId="77777777" w:rsidR="00000000" w:rsidRPr="00467DB0" w:rsidRDefault="00693D67" w:rsidP="00467DB0">
      <w:pPr>
        <w:pStyle w:val="friliste3"/>
      </w:pPr>
      <w:r w:rsidRPr="00467DB0">
        <w:t>i)</w:t>
      </w:r>
      <w:r w:rsidRPr="00467DB0">
        <w:tab/>
      </w:r>
      <w:proofErr w:type="spellStart"/>
      <w:r w:rsidRPr="00467DB0">
        <w:t>atmosfæreovervågning</w:t>
      </w:r>
      <w:proofErr w:type="spellEnd"/>
      <w:r w:rsidRPr="00467DB0">
        <w:t xml:space="preserve"> med global </w:t>
      </w:r>
      <w:proofErr w:type="spellStart"/>
      <w:r w:rsidRPr="00467DB0">
        <w:t>dækning</w:t>
      </w:r>
      <w:proofErr w:type="spellEnd"/>
      <w:r w:rsidRPr="00467DB0">
        <w:t xml:space="preserve"> med </w:t>
      </w:r>
      <w:proofErr w:type="spellStart"/>
      <w:r w:rsidRPr="00467DB0">
        <w:t>henblik</w:t>
      </w:r>
      <w:proofErr w:type="spellEnd"/>
      <w:r w:rsidRPr="00467DB0">
        <w:t xml:space="preserve"> på</w:t>
      </w:r>
      <w:r w:rsidRPr="00467DB0">
        <w:t xml:space="preserve"> at </w:t>
      </w:r>
      <w:proofErr w:type="spellStart"/>
      <w:r w:rsidRPr="00467DB0">
        <w:t>tilvejebringe</w:t>
      </w:r>
      <w:proofErr w:type="spellEnd"/>
      <w:r w:rsidRPr="00467DB0">
        <w:t xml:space="preserve"> </w:t>
      </w:r>
      <w:proofErr w:type="spellStart"/>
      <w:r w:rsidRPr="00467DB0">
        <w:t>informationer</w:t>
      </w:r>
      <w:proofErr w:type="spellEnd"/>
      <w:r w:rsidRPr="00467DB0">
        <w:t xml:space="preserve"> om luftkvaliteten, med særlig </w:t>
      </w:r>
      <w:proofErr w:type="gramStart"/>
      <w:r w:rsidRPr="00467DB0">
        <w:t>fokus</w:t>
      </w:r>
      <w:proofErr w:type="gramEnd"/>
      <w:r w:rsidRPr="00467DB0">
        <w:t xml:space="preserve"> på </w:t>
      </w:r>
      <w:proofErr w:type="spellStart"/>
      <w:r w:rsidRPr="00467DB0">
        <w:t>europæisk</w:t>
      </w:r>
      <w:proofErr w:type="spellEnd"/>
      <w:r w:rsidRPr="00467DB0">
        <w:t xml:space="preserve"> plan, samt om </w:t>
      </w:r>
      <w:proofErr w:type="spellStart"/>
      <w:r w:rsidRPr="00467DB0">
        <w:t>sammensætningen</w:t>
      </w:r>
      <w:proofErr w:type="spellEnd"/>
      <w:r w:rsidRPr="00467DB0">
        <w:t xml:space="preserve"> </w:t>
      </w:r>
      <w:proofErr w:type="spellStart"/>
      <w:r w:rsidRPr="00467DB0">
        <w:t>af</w:t>
      </w:r>
      <w:proofErr w:type="spellEnd"/>
      <w:r w:rsidRPr="00467DB0">
        <w:t xml:space="preserve"> atmosfæren</w:t>
      </w:r>
    </w:p>
    <w:p w14:paraId="1D3A7A71" w14:textId="77777777" w:rsidR="00000000" w:rsidRPr="00467DB0" w:rsidRDefault="00693D67" w:rsidP="00467DB0">
      <w:pPr>
        <w:pStyle w:val="friliste3"/>
      </w:pPr>
      <w:r w:rsidRPr="00467DB0">
        <w:t>ii)</w:t>
      </w:r>
      <w:r w:rsidRPr="00467DB0">
        <w:tab/>
      </w:r>
      <w:proofErr w:type="spellStart"/>
      <w:r w:rsidRPr="00467DB0">
        <w:t>havmiljøovervågning</w:t>
      </w:r>
      <w:proofErr w:type="spellEnd"/>
      <w:r w:rsidRPr="00467DB0">
        <w:t xml:space="preserve"> med </w:t>
      </w:r>
      <w:proofErr w:type="spellStart"/>
      <w:r w:rsidRPr="00467DB0">
        <w:t>henblik</w:t>
      </w:r>
      <w:proofErr w:type="spellEnd"/>
      <w:r w:rsidRPr="00467DB0">
        <w:t xml:space="preserve"> på at </w:t>
      </w:r>
      <w:proofErr w:type="spellStart"/>
      <w:r w:rsidRPr="00467DB0">
        <w:t>tilvejebringe</w:t>
      </w:r>
      <w:proofErr w:type="spellEnd"/>
      <w:r w:rsidRPr="00467DB0">
        <w:t xml:space="preserve"> </w:t>
      </w:r>
      <w:proofErr w:type="spellStart"/>
      <w:r w:rsidRPr="00467DB0">
        <w:t>informationer</w:t>
      </w:r>
      <w:proofErr w:type="spellEnd"/>
      <w:r w:rsidRPr="00467DB0">
        <w:t xml:space="preserve"> om </w:t>
      </w:r>
      <w:proofErr w:type="spellStart"/>
      <w:r w:rsidRPr="00467DB0">
        <w:t>tilstande</w:t>
      </w:r>
      <w:proofErr w:type="spellEnd"/>
      <w:r w:rsidRPr="00467DB0">
        <w:t xml:space="preserve"> og dynamikker i </w:t>
      </w:r>
      <w:proofErr w:type="spellStart"/>
      <w:r w:rsidRPr="00467DB0">
        <w:t>ocean</w:t>
      </w:r>
      <w:proofErr w:type="spellEnd"/>
      <w:r w:rsidRPr="00467DB0">
        <w:t>- og havøkosystemer samt ky</w:t>
      </w:r>
      <w:r w:rsidRPr="00467DB0">
        <w:t xml:space="preserve">stnære økosystemer, deres </w:t>
      </w:r>
      <w:proofErr w:type="spellStart"/>
      <w:r w:rsidRPr="00467DB0">
        <w:t>ressourcer</w:t>
      </w:r>
      <w:proofErr w:type="spellEnd"/>
      <w:r w:rsidRPr="00467DB0">
        <w:t xml:space="preserve"> og </w:t>
      </w:r>
      <w:proofErr w:type="gramStart"/>
      <w:r w:rsidRPr="00467DB0">
        <w:t>anvendelse</w:t>
      </w:r>
      <w:proofErr w:type="gramEnd"/>
    </w:p>
    <w:p w14:paraId="67781352" w14:textId="77777777" w:rsidR="00000000" w:rsidRPr="00467DB0" w:rsidRDefault="00693D67" w:rsidP="00467DB0">
      <w:pPr>
        <w:pStyle w:val="friliste3"/>
      </w:pPr>
      <w:r w:rsidRPr="00467DB0">
        <w:t>iii)</w:t>
      </w:r>
      <w:r w:rsidRPr="00467DB0">
        <w:tab/>
      </w:r>
      <w:proofErr w:type="spellStart"/>
      <w:r w:rsidRPr="00467DB0">
        <w:t>landovervågning</w:t>
      </w:r>
      <w:proofErr w:type="spellEnd"/>
      <w:r w:rsidRPr="00467DB0">
        <w:t xml:space="preserve"> og </w:t>
      </w:r>
      <w:proofErr w:type="spellStart"/>
      <w:r w:rsidRPr="00467DB0">
        <w:t>landbrug</w:t>
      </w:r>
      <w:proofErr w:type="spellEnd"/>
      <w:r w:rsidRPr="00467DB0">
        <w:t xml:space="preserve"> med </w:t>
      </w:r>
      <w:proofErr w:type="spellStart"/>
      <w:r w:rsidRPr="00467DB0">
        <w:t>henblik</w:t>
      </w:r>
      <w:proofErr w:type="spellEnd"/>
      <w:r w:rsidRPr="00467DB0">
        <w:t xml:space="preserve"> på at </w:t>
      </w:r>
      <w:proofErr w:type="spellStart"/>
      <w:r w:rsidRPr="00467DB0">
        <w:t>tilvejebringe</w:t>
      </w:r>
      <w:proofErr w:type="spellEnd"/>
      <w:r w:rsidRPr="00467DB0">
        <w:t xml:space="preserve"> </w:t>
      </w:r>
      <w:proofErr w:type="spellStart"/>
      <w:r w:rsidRPr="00467DB0">
        <w:t>informationer</w:t>
      </w:r>
      <w:proofErr w:type="spellEnd"/>
      <w:r w:rsidRPr="00467DB0">
        <w:t xml:space="preserve"> om </w:t>
      </w:r>
      <w:proofErr w:type="spellStart"/>
      <w:r w:rsidRPr="00467DB0">
        <w:t>arealdækning</w:t>
      </w:r>
      <w:proofErr w:type="spellEnd"/>
      <w:r w:rsidRPr="00467DB0">
        <w:t xml:space="preserve">, arealanvendelse og </w:t>
      </w:r>
      <w:proofErr w:type="spellStart"/>
      <w:r w:rsidRPr="00467DB0">
        <w:t>ændringer</w:t>
      </w:r>
      <w:proofErr w:type="spellEnd"/>
      <w:r w:rsidRPr="00467DB0">
        <w:t xml:space="preserve"> i arealanvendelse, kulturarvssteder, </w:t>
      </w:r>
      <w:proofErr w:type="spellStart"/>
      <w:r w:rsidRPr="00467DB0">
        <w:t>bevægelser</w:t>
      </w:r>
      <w:proofErr w:type="spellEnd"/>
      <w:r w:rsidRPr="00467DB0">
        <w:t xml:space="preserve"> i </w:t>
      </w:r>
      <w:proofErr w:type="spellStart"/>
      <w:r w:rsidRPr="00467DB0">
        <w:t>jordoverfladen</w:t>
      </w:r>
      <w:proofErr w:type="spellEnd"/>
      <w:r w:rsidRPr="00467DB0">
        <w:t>, byområder, van</w:t>
      </w:r>
      <w:r w:rsidRPr="00467DB0">
        <w:t xml:space="preserve">dkvantitet og -kvalitet i indre </w:t>
      </w:r>
      <w:proofErr w:type="spellStart"/>
      <w:r w:rsidRPr="00467DB0">
        <w:t>farvande</w:t>
      </w:r>
      <w:proofErr w:type="spellEnd"/>
      <w:r w:rsidRPr="00467DB0">
        <w:t xml:space="preserve">, skove, </w:t>
      </w:r>
      <w:proofErr w:type="spellStart"/>
      <w:r w:rsidRPr="00467DB0">
        <w:t>landbrug</w:t>
      </w:r>
      <w:proofErr w:type="spellEnd"/>
      <w:r w:rsidRPr="00467DB0">
        <w:t xml:space="preserve"> og andre </w:t>
      </w:r>
      <w:proofErr w:type="spellStart"/>
      <w:r w:rsidRPr="00467DB0">
        <w:t>naturressourcer</w:t>
      </w:r>
      <w:proofErr w:type="spellEnd"/>
      <w:r w:rsidRPr="00467DB0">
        <w:t xml:space="preserve">, biodiversitet og </w:t>
      </w:r>
      <w:proofErr w:type="spellStart"/>
      <w:r w:rsidRPr="00467DB0">
        <w:t>kryosfære</w:t>
      </w:r>
      <w:proofErr w:type="spellEnd"/>
    </w:p>
    <w:p w14:paraId="048A1B91" w14:textId="77777777" w:rsidR="00000000" w:rsidRPr="00467DB0" w:rsidRDefault="00693D67" w:rsidP="00467DB0">
      <w:pPr>
        <w:pStyle w:val="friliste3"/>
      </w:pPr>
      <w:r w:rsidRPr="00467DB0">
        <w:t>iv)</w:t>
      </w:r>
      <w:r w:rsidRPr="00467DB0">
        <w:tab/>
      </w:r>
      <w:proofErr w:type="spellStart"/>
      <w:r w:rsidRPr="00467DB0">
        <w:t>klimaændringsovervågning</w:t>
      </w:r>
      <w:proofErr w:type="spellEnd"/>
      <w:r w:rsidRPr="00467DB0">
        <w:t xml:space="preserve"> med </w:t>
      </w:r>
      <w:proofErr w:type="spellStart"/>
      <w:r w:rsidRPr="00467DB0">
        <w:t>henblik</w:t>
      </w:r>
      <w:proofErr w:type="spellEnd"/>
      <w:r w:rsidRPr="00467DB0">
        <w:t xml:space="preserve"> på at </w:t>
      </w:r>
      <w:proofErr w:type="spellStart"/>
      <w:r w:rsidRPr="00467DB0">
        <w:t>tilvejebringe</w:t>
      </w:r>
      <w:proofErr w:type="spellEnd"/>
      <w:r w:rsidRPr="00467DB0">
        <w:t xml:space="preserve"> </w:t>
      </w:r>
      <w:proofErr w:type="spellStart"/>
      <w:r w:rsidRPr="00467DB0">
        <w:t>informationer</w:t>
      </w:r>
      <w:proofErr w:type="spellEnd"/>
      <w:r w:rsidRPr="00467DB0">
        <w:t xml:space="preserve"> om antropogene CO2-emissioner og andre </w:t>
      </w:r>
      <w:proofErr w:type="spellStart"/>
      <w:r w:rsidRPr="00467DB0">
        <w:t>drivhusgasemissioner</w:t>
      </w:r>
      <w:proofErr w:type="spellEnd"/>
      <w:r w:rsidRPr="00467DB0">
        <w:t xml:space="preserve"> og -</w:t>
      </w:r>
      <w:proofErr w:type="spellStart"/>
      <w:r w:rsidRPr="00467DB0">
        <w:t>absorp</w:t>
      </w:r>
      <w:r w:rsidRPr="00467DB0">
        <w:t>tioner</w:t>
      </w:r>
      <w:proofErr w:type="spellEnd"/>
      <w:r w:rsidRPr="00467DB0">
        <w:t xml:space="preserve">, </w:t>
      </w:r>
      <w:proofErr w:type="spellStart"/>
      <w:r w:rsidRPr="00467DB0">
        <w:t>væsentlige</w:t>
      </w:r>
      <w:proofErr w:type="spellEnd"/>
      <w:r w:rsidRPr="00467DB0">
        <w:t xml:space="preserve"> klimavariabler, nye klimaanalyser, </w:t>
      </w:r>
      <w:proofErr w:type="spellStart"/>
      <w:r w:rsidRPr="00467DB0">
        <w:t>sæsonmæssige</w:t>
      </w:r>
      <w:proofErr w:type="spellEnd"/>
      <w:r w:rsidRPr="00467DB0">
        <w:t xml:space="preserve"> prognoser, klimaprognoser og </w:t>
      </w:r>
      <w:proofErr w:type="spellStart"/>
      <w:r w:rsidRPr="00467DB0">
        <w:t>årsager</w:t>
      </w:r>
      <w:proofErr w:type="spellEnd"/>
      <w:r w:rsidRPr="00467DB0">
        <w:t xml:space="preserve">, </w:t>
      </w:r>
      <w:proofErr w:type="spellStart"/>
      <w:r w:rsidRPr="00467DB0">
        <w:t>informationer</w:t>
      </w:r>
      <w:proofErr w:type="spellEnd"/>
      <w:r w:rsidRPr="00467DB0">
        <w:t xml:space="preserve"> om </w:t>
      </w:r>
      <w:proofErr w:type="spellStart"/>
      <w:r w:rsidRPr="00467DB0">
        <w:t>forandringerne</w:t>
      </w:r>
      <w:proofErr w:type="spellEnd"/>
      <w:r w:rsidRPr="00467DB0">
        <w:t xml:space="preserve"> </w:t>
      </w:r>
      <w:proofErr w:type="gramStart"/>
      <w:r w:rsidRPr="00467DB0">
        <w:t>vedrørende</w:t>
      </w:r>
      <w:proofErr w:type="gramEnd"/>
      <w:r w:rsidRPr="00467DB0">
        <w:t xml:space="preserve"> </w:t>
      </w:r>
      <w:proofErr w:type="spellStart"/>
      <w:r w:rsidRPr="00467DB0">
        <w:t>polarområderne</w:t>
      </w:r>
      <w:proofErr w:type="spellEnd"/>
      <w:r w:rsidRPr="00467DB0">
        <w:t xml:space="preserve"> og Arktis samt indikatorer i relevante </w:t>
      </w:r>
      <w:proofErr w:type="spellStart"/>
      <w:r w:rsidRPr="00467DB0">
        <w:t>tidsmæssige</w:t>
      </w:r>
      <w:proofErr w:type="spellEnd"/>
      <w:r w:rsidRPr="00467DB0">
        <w:t xml:space="preserve"> og </w:t>
      </w:r>
      <w:proofErr w:type="spellStart"/>
      <w:r w:rsidRPr="00467DB0">
        <w:t>rumlige</w:t>
      </w:r>
      <w:proofErr w:type="spellEnd"/>
      <w:r w:rsidRPr="00467DB0">
        <w:t xml:space="preserve"> skalaer</w:t>
      </w:r>
    </w:p>
    <w:p w14:paraId="415036EF" w14:textId="77777777" w:rsidR="00000000" w:rsidRPr="00467DB0" w:rsidRDefault="00693D67" w:rsidP="00467DB0">
      <w:pPr>
        <w:pStyle w:val="friliste2"/>
      </w:pPr>
      <w:r w:rsidRPr="00467DB0">
        <w:t>b)</w:t>
      </w:r>
      <w:r w:rsidRPr="00467DB0">
        <w:tab/>
      </w:r>
      <w:proofErr w:type="spellStart"/>
      <w:r w:rsidRPr="00467DB0">
        <w:t>beredskabsstyringstj</w:t>
      </w:r>
      <w:r w:rsidRPr="00467DB0">
        <w:t>enester</w:t>
      </w:r>
      <w:proofErr w:type="spellEnd"/>
      <w:r w:rsidRPr="00467DB0">
        <w:t xml:space="preserve"> med </w:t>
      </w:r>
      <w:proofErr w:type="spellStart"/>
      <w:r w:rsidRPr="00467DB0">
        <w:t>henblik</w:t>
      </w:r>
      <w:proofErr w:type="spellEnd"/>
      <w:r w:rsidRPr="00467DB0">
        <w:t xml:space="preserve"> på at </w:t>
      </w:r>
      <w:proofErr w:type="spellStart"/>
      <w:r w:rsidRPr="00467DB0">
        <w:t>tilvejebringe</w:t>
      </w:r>
      <w:proofErr w:type="spellEnd"/>
      <w:r w:rsidRPr="00467DB0">
        <w:t xml:space="preserve"> </w:t>
      </w:r>
      <w:proofErr w:type="spellStart"/>
      <w:r w:rsidRPr="00467DB0">
        <w:t>informationer</w:t>
      </w:r>
      <w:proofErr w:type="spellEnd"/>
      <w:r w:rsidRPr="00467DB0">
        <w:t xml:space="preserve"> til støtte for og i samordning med offentlige </w:t>
      </w:r>
      <w:proofErr w:type="spellStart"/>
      <w:r w:rsidRPr="00467DB0">
        <w:t>myndigheder</w:t>
      </w:r>
      <w:proofErr w:type="spellEnd"/>
      <w:r w:rsidRPr="00467DB0">
        <w:t xml:space="preserve"> med ansvar for </w:t>
      </w:r>
      <w:proofErr w:type="spellStart"/>
      <w:r w:rsidRPr="00467DB0">
        <w:t>civilbeskyttelse</w:t>
      </w:r>
      <w:proofErr w:type="spellEnd"/>
      <w:r w:rsidRPr="00467DB0">
        <w:t xml:space="preserve">, for at støtte </w:t>
      </w:r>
      <w:proofErr w:type="spellStart"/>
      <w:r w:rsidRPr="00467DB0">
        <w:t>civilbeskyttelse</w:t>
      </w:r>
      <w:proofErr w:type="spellEnd"/>
      <w:r w:rsidRPr="00467DB0">
        <w:t xml:space="preserve"> og </w:t>
      </w:r>
      <w:proofErr w:type="spellStart"/>
      <w:r w:rsidRPr="00467DB0">
        <w:t>katastrofeindsatsforanstaltninger</w:t>
      </w:r>
      <w:proofErr w:type="spellEnd"/>
      <w:r w:rsidRPr="00467DB0">
        <w:t xml:space="preserve"> (forbedrede systemer til tidlig varsling og</w:t>
      </w:r>
      <w:r w:rsidRPr="00467DB0">
        <w:t xml:space="preserve"> krisehåndtering) samt forebyggende foranstaltninger og </w:t>
      </w:r>
      <w:proofErr w:type="spellStart"/>
      <w:r w:rsidRPr="00467DB0">
        <w:t>beredskabsforanstaltninger</w:t>
      </w:r>
      <w:proofErr w:type="spellEnd"/>
      <w:r w:rsidRPr="00467DB0">
        <w:t xml:space="preserve"> (risiko- og </w:t>
      </w:r>
      <w:proofErr w:type="spellStart"/>
      <w:r w:rsidRPr="00467DB0">
        <w:t>genopretningsanalyser</w:t>
      </w:r>
      <w:proofErr w:type="spellEnd"/>
      <w:r w:rsidRPr="00467DB0">
        <w:t xml:space="preserve">) i forbindelse med </w:t>
      </w:r>
      <w:proofErr w:type="spellStart"/>
      <w:r w:rsidRPr="00467DB0">
        <w:t>forskellige</w:t>
      </w:r>
      <w:proofErr w:type="spellEnd"/>
      <w:r w:rsidRPr="00467DB0">
        <w:t xml:space="preserve"> typer katastrofer</w:t>
      </w:r>
    </w:p>
    <w:p w14:paraId="3D583D93" w14:textId="77777777" w:rsidR="00000000" w:rsidRPr="00467DB0" w:rsidRDefault="00693D67" w:rsidP="00467DB0">
      <w:pPr>
        <w:pStyle w:val="friliste2"/>
      </w:pPr>
      <w:r w:rsidRPr="00467DB0">
        <w:t>c)</w:t>
      </w:r>
      <w:r w:rsidRPr="00467DB0">
        <w:tab/>
      </w:r>
      <w:proofErr w:type="spellStart"/>
      <w:r w:rsidRPr="00467DB0">
        <w:t>sikkerhedstjeneste</w:t>
      </w:r>
      <w:proofErr w:type="spellEnd"/>
      <w:r w:rsidRPr="00467DB0">
        <w:t xml:space="preserve"> til støtte for </w:t>
      </w:r>
      <w:proofErr w:type="spellStart"/>
      <w:r w:rsidRPr="00467DB0">
        <w:t>overvågningen</w:t>
      </w:r>
      <w:proofErr w:type="spellEnd"/>
      <w:r w:rsidRPr="00467DB0">
        <w:t xml:space="preserve"> i Unionen og ved dens </w:t>
      </w:r>
      <w:proofErr w:type="spellStart"/>
      <w:r w:rsidRPr="00467DB0">
        <w:t>ydre</w:t>
      </w:r>
      <w:proofErr w:type="spellEnd"/>
      <w:r w:rsidRPr="00467DB0">
        <w:t xml:space="preserve"> </w:t>
      </w:r>
      <w:proofErr w:type="spellStart"/>
      <w:r w:rsidRPr="00467DB0">
        <w:t>grænser</w:t>
      </w:r>
      <w:proofErr w:type="spellEnd"/>
      <w:r w:rsidRPr="00467DB0">
        <w:t xml:space="preserve">, </w:t>
      </w:r>
      <w:proofErr w:type="spellStart"/>
      <w:r w:rsidRPr="00467DB0">
        <w:t>hav</w:t>
      </w:r>
      <w:r w:rsidRPr="00467DB0">
        <w:t>overvågning</w:t>
      </w:r>
      <w:proofErr w:type="spellEnd"/>
      <w:r w:rsidRPr="00467DB0">
        <w:t xml:space="preserve"> samt Unionens </w:t>
      </w:r>
      <w:proofErr w:type="spellStart"/>
      <w:r w:rsidRPr="00467DB0">
        <w:t>optræden</w:t>
      </w:r>
      <w:proofErr w:type="spellEnd"/>
      <w:r w:rsidRPr="00467DB0">
        <w:t xml:space="preserve"> </w:t>
      </w:r>
      <w:proofErr w:type="spellStart"/>
      <w:r w:rsidRPr="00467DB0">
        <w:t>udadtil</w:t>
      </w:r>
      <w:proofErr w:type="spellEnd"/>
      <w:r w:rsidRPr="00467DB0">
        <w:t xml:space="preserve"> som svar på de </w:t>
      </w:r>
      <w:proofErr w:type="spellStart"/>
      <w:r w:rsidRPr="00467DB0">
        <w:t>sikkerhedsudfordringer</w:t>
      </w:r>
      <w:proofErr w:type="spellEnd"/>
      <w:r w:rsidRPr="00467DB0">
        <w:t xml:space="preserve">, som Unionen står over for, og de </w:t>
      </w:r>
      <w:proofErr w:type="spellStart"/>
      <w:r w:rsidRPr="00467DB0">
        <w:t>fælles</w:t>
      </w:r>
      <w:proofErr w:type="spellEnd"/>
      <w:r w:rsidRPr="00467DB0">
        <w:t xml:space="preserve"> </w:t>
      </w:r>
      <w:proofErr w:type="spellStart"/>
      <w:r w:rsidRPr="00467DB0">
        <w:t>udenrigs</w:t>
      </w:r>
      <w:proofErr w:type="spellEnd"/>
      <w:r w:rsidRPr="00467DB0">
        <w:t xml:space="preserve">- og </w:t>
      </w:r>
      <w:proofErr w:type="spellStart"/>
      <w:r w:rsidRPr="00467DB0">
        <w:t>sikkerhedspolitiske</w:t>
      </w:r>
      <w:proofErr w:type="spellEnd"/>
      <w:r w:rsidRPr="00467DB0">
        <w:t xml:space="preserve"> </w:t>
      </w:r>
      <w:proofErr w:type="spellStart"/>
      <w:r w:rsidRPr="00467DB0">
        <w:t>målsætninger</w:t>
      </w:r>
      <w:proofErr w:type="spellEnd"/>
      <w:r w:rsidRPr="00467DB0">
        <w:t xml:space="preserve"> og foranstaltninger.</w:t>
      </w:r>
    </w:p>
    <w:p w14:paraId="7D3F0691"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som, hvor det er relevant, understøttes </w:t>
      </w:r>
      <w:proofErr w:type="spellStart"/>
      <w:r w:rsidRPr="00467DB0">
        <w:t>af</w:t>
      </w:r>
      <w:proofErr w:type="spellEnd"/>
      <w:r w:rsidRPr="00467DB0">
        <w:t xml:space="preserve"> ekstern</w:t>
      </w:r>
      <w:r w:rsidRPr="00467DB0">
        <w:t xml:space="preserve"> </w:t>
      </w:r>
      <w:proofErr w:type="spellStart"/>
      <w:r w:rsidRPr="00467DB0">
        <w:t>uafhængig</w:t>
      </w:r>
      <w:proofErr w:type="spellEnd"/>
      <w:r w:rsidRPr="00467DB0">
        <w:t xml:space="preserve"> ekspertise, sikrer, at </w:t>
      </w:r>
      <w:proofErr w:type="spellStart"/>
      <w:r w:rsidRPr="00467DB0">
        <w:t>Copernicustjenesterne</w:t>
      </w:r>
      <w:proofErr w:type="spellEnd"/>
      <w:r w:rsidRPr="00467DB0">
        <w:t xml:space="preserve"> er relevante </w:t>
      </w:r>
      <w:proofErr w:type="spellStart"/>
      <w:r w:rsidRPr="00467DB0">
        <w:t>gennem</w:t>
      </w:r>
      <w:proofErr w:type="spellEnd"/>
      <w:r w:rsidRPr="00467DB0">
        <w:t>:</w:t>
      </w:r>
    </w:p>
    <w:p w14:paraId="75EBE487" w14:textId="77777777" w:rsidR="00000000" w:rsidRPr="00467DB0" w:rsidRDefault="00693D67" w:rsidP="00467DB0">
      <w:pPr>
        <w:pStyle w:val="friliste2"/>
      </w:pPr>
      <w:r w:rsidRPr="00467DB0">
        <w:t>a)</w:t>
      </w:r>
      <w:r w:rsidRPr="00467DB0">
        <w:tab/>
        <w:t xml:space="preserve">validering </w:t>
      </w:r>
      <w:proofErr w:type="spellStart"/>
      <w:r w:rsidRPr="00467DB0">
        <w:t>af</w:t>
      </w:r>
      <w:proofErr w:type="spellEnd"/>
      <w:r w:rsidRPr="00467DB0">
        <w:t xml:space="preserve"> den tekniske </w:t>
      </w:r>
      <w:proofErr w:type="spellStart"/>
      <w:r w:rsidRPr="00467DB0">
        <w:t>gennemførlighed</w:t>
      </w:r>
      <w:proofErr w:type="spellEnd"/>
      <w:r w:rsidRPr="00467DB0">
        <w:t xml:space="preserve"> og </w:t>
      </w:r>
      <w:proofErr w:type="spellStart"/>
      <w:r w:rsidRPr="00467DB0">
        <w:t>egnethed</w:t>
      </w:r>
      <w:proofErr w:type="spellEnd"/>
      <w:r w:rsidRPr="00467DB0">
        <w:t xml:space="preserve"> med </w:t>
      </w:r>
      <w:proofErr w:type="spellStart"/>
      <w:r w:rsidRPr="00467DB0">
        <w:t>henblik</w:t>
      </w:r>
      <w:proofErr w:type="spellEnd"/>
      <w:r w:rsidRPr="00467DB0">
        <w:t xml:space="preserve"> på de behov, som </w:t>
      </w:r>
      <w:proofErr w:type="spellStart"/>
      <w:r w:rsidRPr="00467DB0">
        <w:t>brugersamfundene</w:t>
      </w:r>
      <w:proofErr w:type="spellEnd"/>
      <w:r w:rsidRPr="00467DB0">
        <w:t xml:space="preserve"> giver </w:t>
      </w:r>
      <w:proofErr w:type="spellStart"/>
      <w:r w:rsidRPr="00467DB0">
        <w:t>udtryk</w:t>
      </w:r>
      <w:proofErr w:type="spellEnd"/>
      <w:r w:rsidRPr="00467DB0">
        <w:t xml:space="preserve"> for</w:t>
      </w:r>
    </w:p>
    <w:p w14:paraId="75AB18FC" w14:textId="77777777" w:rsidR="00000000" w:rsidRPr="00467DB0" w:rsidRDefault="00693D67" w:rsidP="00467DB0">
      <w:pPr>
        <w:pStyle w:val="friliste2"/>
      </w:pPr>
      <w:r w:rsidRPr="00467DB0">
        <w:t>b)</w:t>
      </w:r>
      <w:r w:rsidRPr="00467DB0">
        <w:tab/>
        <w:t xml:space="preserve">vurdering </w:t>
      </w:r>
      <w:proofErr w:type="spellStart"/>
      <w:r w:rsidRPr="00467DB0">
        <w:t>af</w:t>
      </w:r>
      <w:proofErr w:type="spellEnd"/>
      <w:r w:rsidRPr="00467DB0">
        <w:t xml:space="preserve"> de midler og løsninger, som foreslås eller</w:t>
      </w:r>
      <w:r w:rsidRPr="00467DB0">
        <w:t xml:space="preserve"> </w:t>
      </w:r>
      <w:proofErr w:type="spellStart"/>
      <w:r w:rsidRPr="00467DB0">
        <w:t>gennemføres</w:t>
      </w:r>
      <w:proofErr w:type="spellEnd"/>
      <w:r w:rsidRPr="00467DB0">
        <w:t xml:space="preserve">, for at </w:t>
      </w:r>
      <w:proofErr w:type="spellStart"/>
      <w:r w:rsidRPr="00467DB0">
        <w:t>opfylde</w:t>
      </w:r>
      <w:proofErr w:type="spellEnd"/>
      <w:r w:rsidRPr="00467DB0">
        <w:t xml:space="preserve"> </w:t>
      </w:r>
      <w:proofErr w:type="spellStart"/>
      <w:r w:rsidRPr="00467DB0">
        <w:t>brugersamfundenes</w:t>
      </w:r>
      <w:proofErr w:type="spellEnd"/>
      <w:r w:rsidRPr="00467DB0">
        <w:t xml:space="preserve"> behov og programmets </w:t>
      </w:r>
      <w:proofErr w:type="spellStart"/>
      <w:r w:rsidRPr="00467DB0">
        <w:t>målsætninger</w:t>
      </w:r>
      <w:proofErr w:type="spellEnd"/>
      <w:r w:rsidRPr="00467DB0">
        <w:t>.</w:t>
      </w:r>
    </w:p>
    <w:p w14:paraId="3FEA64D2" w14:textId="77777777" w:rsidR="00000000" w:rsidRPr="00467DB0" w:rsidRDefault="00693D67" w:rsidP="00467DB0">
      <w:pPr>
        <w:pStyle w:val="avsnitt-undertittel"/>
      </w:pPr>
      <w:proofErr w:type="spellStart"/>
      <w:r w:rsidRPr="00467DB0">
        <w:lastRenderedPageBreak/>
        <w:t>Artikel</w:t>
      </w:r>
      <w:proofErr w:type="spellEnd"/>
      <w:r w:rsidRPr="00467DB0">
        <w:t> 52</w:t>
      </w:r>
    </w:p>
    <w:p w14:paraId="1E2AAE13" w14:textId="77777777" w:rsidR="00000000" w:rsidRPr="00467DB0" w:rsidRDefault="00693D67" w:rsidP="00467DB0">
      <w:pPr>
        <w:pStyle w:val="Undertittel"/>
      </w:pPr>
      <w:r w:rsidRPr="00467DB0">
        <w:t xml:space="preserve">Støtteberettigede foranstaltninger i forbindelse med adgang til og </w:t>
      </w:r>
      <w:proofErr w:type="spellStart"/>
      <w:r w:rsidRPr="00467DB0">
        <w:t>distribution</w:t>
      </w:r>
      <w:proofErr w:type="spellEnd"/>
      <w:r w:rsidRPr="00467DB0">
        <w:t xml:space="preserve"> </w:t>
      </w:r>
      <w:proofErr w:type="spellStart"/>
      <w:r w:rsidRPr="00467DB0">
        <w:t>af</w:t>
      </w:r>
      <w:proofErr w:type="spellEnd"/>
      <w:r w:rsidRPr="00467DB0">
        <w:t xml:space="preserve"> data og </w:t>
      </w:r>
      <w:proofErr w:type="spellStart"/>
      <w:r w:rsidRPr="00467DB0">
        <w:t>informationer</w:t>
      </w:r>
      <w:proofErr w:type="spellEnd"/>
    </w:p>
    <w:p w14:paraId="6664C3F3" w14:textId="77777777" w:rsidR="00000000" w:rsidRPr="00467DB0" w:rsidRDefault="00693D67" w:rsidP="00467DB0">
      <w:pPr>
        <w:pStyle w:val="friliste"/>
      </w:pPr>
      <w:r w:rsidRPr="00467DB0">
        <w:t>1.</w:t>
      </w:r>
      <w:r w:rsidRPr="00467DB0">
        <w:tab/>
        <w:t xml:space="preserve">Copernicus omfatter foranstaltninger med </w:t>
      </w:r>
      <w:proofErr w:type="spellStart"/>
      <w:r w:rsidRPr="00467DB0">
        <w:t>henblik</w:t>
      </w:r>
      <w:proofErr w:type="spellEnd"/>
      <w:r w:rsidRPr="00467DB0">
        <w:t xml:space="preserve"> på at </w:t>
      </w:r>
      <w:proofErr w:type="spellStart"/>
      <w:r w:rsidRPr="00467DB0">
        <w:t>give</w:t>
      </w:r>
      <w:proofErr w:type="spellEnd"/>
      <w:r w:rsidRPr="00467DB0">
        <w:t xml:space="preserve"> forbedret adgang til alle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og, hvor det er relevant, formidle </w:t>
      </w:r>
      <w:proofErr w:type="spellStart"/>
      <w:r w:rsidRPr="00467DB0">
        <w:t>yderligere</w:t>
      </w:r>
      <w:proofErr w:type="spellEnd"/>
      <w:r w:rsidRPr="00467DB0">
        <w:t xml:space="preserve"> infrastrukturer og tjenester for at fremme </w:t>
      </w:r>
      <w:proofErr w:type="spellStart"/>
      <w:r w:rsidRPr="00467DB0">
        <w:t>distribution</w:t>
      </w:r>
      <w:proofErr w:type="spellEnd"/>
      <w:r w:rsidRPr="00467DB0">
        <w:t xml:space="preserve"> </w:t>
      </w:r>
      <w:proofErr w:type="spellStart"/>
      <w:r w:rsidRPr="00467DB0">
        <w:t>af</w:t>
      </w:r>
      <w:proofErr w:type="spellEnd"/>
      <w:r w:rsidRPr="00467DB0">
        <w:t xml:space="preserve">, adgang til og </w:t>
      </w:r>
      <w:proofErr w:type="gramStart"/>
      <w:r w:rsidRPr="00467DB0">
        <w:t>anvendelse</w:t>
      </w:r>
      <w:proofErr w:type="gramEnd"/>
      <w:r w:rsidRPr="00467DB0">
        <w:t xml:space="preserve"> </w:t>
      </w:r>
      <w:proofErr w:type="spellStart"/>
      <w:r w:rsidRPr="00467DB0">
        <w:t>af</w:t>
      </w:r>
      <w:proofErr w:type="spellEnd"/>
      <w:r w:rsidRPr="00467DB0">
        <w:t xml:space="preserve"> disse data og </w:t>
      </w:r>
      <w:proofErr w:type="spellStart"/>
      <w:r w:rsidRPr="00467DB0">
        <w:t>informationer</w:t>
      </w:r>
      <w:proofErr w:type="spellEnd"/>
      <w:r w:rsidRPr="00467DB0">
        <w:t>.</w:t>
      </w:r>
    </w:p>
    <w:p w14:paraId="42BE3232" w14:textId="77777777" w:rsidR="00000000" w:rsidRPr="00467DB0" w:rsidRDefault="00693D67" w:rsidP="00467DB0">
      <w:pPr>
        <w:pStyle w:val="friliste"/>
      </w:pPr>
      <w:r w:rsidRPr="00467DB0">
        <w:t>2.</w:t>
      </w:r>
      <w:r w:rsidRPr="00467DB0">
        <w:tab/>
        <w:t xml:space="preserve">Hvis </w:t>
      </w:r>
      <w:proofErr w:type="spellStart"/>
      <w:r w:rsidRPr="00467DB0">
        <w:t>Copernicusda</w:t>
      </w:r>
      <w:r w:rsidRPr="00467DB0">
        <w:t>ta</w:t>
      </w:r>
      <w:proofErr w:type="spellEnd"/>
      <w:r w:rsidRPr="00467DB0">
        <w:t xml:space="preserve"> eller </w:t>
      </w:r>
      <w:proofErr w:type="spellStart"/>
      <w:r w:rsidRPr="00467DB0">
        <w:t>Copernicusinformationer</w:t>
      </w:r>
      <w:proofErr w:type="spellEnd"/>
      <w:r w:rsidRPr="00467DB0">
        <w:t xml:space="preserve"> </w:t>
      </w:r>
      <w:proofErr w:type="spellStart"/>
      <w:r w:rsidRPr="00467DB0">
        <w:t>betragtes</w:t>
      </w:r>
      <w:proofErr w:type="spellEnd"/>
      <w:r w:rsidRPr="00467DB0">
        <w:t xml:space="preserve"> som </w:t>
      </w:r>
      <w:proofErr w:type="spellStart"/>
      <w:r w:rsidRPr="00467DB0">
        <w:t>sikkerhedsfølsomme</w:t>
      </w:r>
      <w:proofErr w:type="spellEnd"/>
      <w:r w:rsidRPr="00467DB0">
        <w:t xml:space="preserve">, jf. </w:t>
      </w:r>
      <w:proofErr w:type="spellStart"/>
      <w:r w:rsidRPr="00467DB0">
        <w:t>artikel</w:t>
      </w:r>
      <w:proofErr w:type="spellEnd"/>
      <w:r w:rsidRPr="00467DB0">
        <w:t xml:space="preserve"> 12-16 i </w:t>
      </w:r>
      <w:proofErr w:type="spellStart"/>
      <w:r w:rsidRPr="00467DB0">
        <w:t>delegeret</w:t>
      </w:r>
      <w:proofErr w:type="spellEnd"/>
      <w:r w:rsidRPr="00467DB0">
        <w:t xml:space="preserve"> forordning (EU) nr. 1159/2013, kan </w:t>
      </w:r>
      <w:proofErr w:type="spellStart"/>
      <w:r w:rsidRPr="00467DB0">
        <w:t>Kommissionen</w:t>
      </w:r>
      <w:proofErr w:type="spellEnd"/>
      <w:r w:rsidRPr="00467DB0">
        <w:t xml:space="preserve"> </w:t>
      </w:r>
      <w:proofErr w:type="spellStart"/>
      <w:r w:rsidRPr="00467DB0">
        <w:t>overdrage</w:t>
      </w:r>
      <w:proofErr w:type="spellEnd"/>
      <w:r w:rsidRPr="00467DB0">
        <w:t xml:space="preserve"> offentlige </w:t>
      </w:r>
      <w:proofErr w:type="spellStart"/>
      <w:r w:rsidRPr="00467DB0">
        <w:t>udbud</w:t>
      </w:r>
      <w:proofErr w:type="spellEnd"/>
      <w:r w:rsidRPr="00467DB0">
        <w:t xml:space="preserve"> </w:t>
      </w:r>
      <w:proofErr w:type="gramStart"/>
      <w:r w:rsidRPr="00467DB0">
        <w:t>vedrørende</w:t>
      </w:r>
      <w:proofErr w:type="gramEnd"/>
      <w:r w:rsidRPr="00467DB0">
        <w:t xml:space="preserve">, tilsyn med </w:t>
      </w:r>
      <w:proofErr w:type="spellStart"/>
      <w:r w:rsidRPr="00467DB0">
        <w:t>erhvervelsen</w:t>
      </w:r>
      <w:proofErr w:type="spellEnd"/>
      <w:r w:rsidRPr="00467DB0">
        <w:t xml:space="preserve"> </w:t>
      </w:r>
      <w:proofErr w:type="spellStart"/>
      <w:r w:rsidRPr="00467DB0">
        <w:t>af</w:t>
      </w:r>
      <w:proofErr w:type="spellEnd"/>
      <w:r w:rsidRPr="00467DB0">
        <w:t xml:space="preserve">, adgangen til og </w:t>
      </w:r>
      <w:proofErr w:type="spellStart"/>
      <w:r w:rsidRPr="00467DB0">
        <w:t>distributionen</w:t>
      </w:r>
      <w:proofErr w:type="spellEnd"/>
      <w:r w:rsidRPr="00467DB0">
        <w:t xml:space="preserve"> </w:t>
      </w:r>
      <w:proofErr w:type="spellStart"/>
      <w:r w:rsidRPr="00467DB0">
        <w:t>af</w:t>
      </w:r>
      <w:proofErr w:type="spellEnd"/>
      <w:r w:rsidRPr="00467DB0">
        <w:t xml:space="preserve"> disse data</w:t>
      </w:r>
      <w:r w:rsidRPr="00467DB0">
        <w:t xml:space="preserve"> og </w:t>
      </w:r>
      <w:proofErr w:type="spellStart"/>
      <w:r w:rsidRPr="00467DB0">
        <w:t>informationer</w:t>
      </w:r>
      <w:proofErr w:type="spellEnd"/>
      <w:r w:rsidRPr="00467DB0">
        <w:t xml:space="preserve"> til en eller flere </w:t>
      </w:r>
      <w:proofErr w:type="spellStart"/>
      <w:r w:rsidRPr="00467DB0">
        <w:t>betroede</w:t>
      </w:r>
      <w:proofErr w:type="spellEnd"/>
      <w:r w:rsidRPr="00467DB0">
        <w:t xml:space="preserve"> </w:t>
      </w:r>
      <w:proofErr w:type="spellStart"/>
      <w:r w:rsidRPr="00467DB0">
        <w:t>enheder</w:t>
      </w:r>
      <w:proofErr w:type="spellEnd"/>
      <w:r w:rsidRPr="00467DB0">
        <w:t xml:space="preserve">. Sådanne </w:t>
      </w:r>
      <w:proofErr w:type="spellStart"/>
      <w:r w:rsidRPr="00467DB0">
        <w:t>enheder</w:t>
      </w:r>
      <w:proofErr w:type="spellEnd"/>
      <w:r w:rsidRPr="00467DB0">
        <w:t xml:space="preserve"> </w:t>
      </w:r>
      <w:proofErr w:type="spellStart"/>
      <w:r w:rsidRPr="00467DB0">
        <w:t>opretter</w:t>
      </w:r>
      <w:proofErr w:type="spellEnd"/>
      <w:r w:rsidRPr="00467DB0">
        <w:t xml:space="preserve"> og fører et register over </w:t>
      </w:r>
      <w:proofErr w:type="spellStart"/>
      <w:r w:rsidRPr="00467DB0">
        <w:t>godkendte</w:t>
      </w:r>
      <w:proofErr w:type="spellEnd"/>
      <w:r w:rsidRPr="00467DB0">
        <w:t xml:space="preserve"> </w:t>
      </w:r>
      <w:proofErr w:type="spellStart"/>
      <w:r w:rsidRPr="00467DB0">
        <w:t>brugere</w:t>
      </w:r>
      <w:proofErr w:type="spellEnd"/>
      <w:r w:rsidRPr="00467DB0">
        <w:t xml:space="preserve"> og bevilger adgang til fortrolige data ved </w:t>
      </w:r>
      <w:proofErr w:type="spellStart"/>
      <w:r w:rsidRPr="00467DB0">
        <w:t>hjælp</w:t>
      </w:r>
      <w:proofErr w:type="spellEnd"/>
      <w:r w:rsidRPr="00467DB0">
        <w:t xml:space="preserve"> </w:t>
      </w:r>
      <w:proofErr w:type="spellStart"/>
      <w:r w:rsidRPr="00467DB0">
        <w:t>af</w:t>
      </w:r>
      <w:proofErr w:type="spellEnd"/>
      <w:r w:rsidRPr="00467DB0">
        <w:t xml:space="preserve"> et separat </w:t>
      </w:r>
      <w:proofErr w:type="spellStart"/>
      <w:r w:rsidRPr="00467DB0">
        <w:t>workflow</w:t>
      </w:r>
      <w:proofErr w:type="spellEnd"/>
      <w:r w:rsidRPr="00467DB0">
        <w:t>.</w:t>
      </w:r>
    </w:p>
    <w:p w14:paraId="159877BE" w14:textId="77777777" w:rsidR="00000000" w:rsidRPr="00467DB0" w:rsidRDefault="00693D67" w:rsidP="00467DB0">
      <w:pPr>
        <w:pStyle w:val="avsnitt-undertittel"/>
      </w:pPr>
      <w:r w:rsidRPr="00467DB0">
        <w:t>Kapitel III</w:t>
      </w:r>
    </w:p>
    <w:p w14:paraId="153663C1" w14:textId="77777777" w:rsidR="00000000" w:rsidRPr="00467DB0" w:rsidRDefault="00693D67" w:rsidP="00467DB0">
      <w:pPr>
        <w:pStyle w:val="Undertittel"/>
      </w:pPr>
      <w:proofErr w:type="spellStart"/>
      <w:r w:rsidRPr="00467DB0">
        <w:t>Copernicusdatapolitik</w:t>
      </w:r>
      <w:proofErr w:type="spellEnd"/>
    </w:p>
    <w:p w14:paraId="629DB1A3" w14:textId="77777777" w:rsidR="00000000" w:rsidRPr="00467DB0" w:rsidRDefault="00693D67" w:rsidP="00467DB0">
      <w:pPr>
        <w:pStyle w:val="avsnitt-undertittel"/>
      </w:pPr>
      <w:proofErr w:type="spellStart"/>
      <w:r w:rsidRPr="00467DB0">
        <w:t>Artikel</w:t>
      </w:r>
      <w:proofErr w:type="spellEnd"/>
      <w:r w:rsidRPr="00467DB0">
        <w:t> 53</w:t>
      </w:r>
    </w:p>
    <w:p w14:paraId="56B4A1D7" w14:textId="77777777" w:rsidR="00000000" w:rsidRPr="00467DB0" w:rsidRDefault="00693D67" w:rsidP="00467DB0">
      <w:pPr>
        <w:pStyle w:val="Undertittel"/>
      </w:pPr>
      <w:proofErr w:type="spellStart"/>
      <w:r w:rsidRPr="00467DB0">
        <w:t>Copernicusdata</w:t>
      </w:r>
      <w:proofErr w:type="spellEnd"/>
      <w:r w:rsidRPr="00467DB0">
        <w:t xml:space="preserve">- og </w:t>
      </w:r>
      <w:proofErr w:type="spellStart"/>
      <w:r w:rsidRPr="00467DB0">
        <w:t>Copernicusinformationspolitik</w:t>
      </w:r>
      <w:proofErr w:type="spellEnd"/>
    </w:p>
    <w:p w14:paraId="6AB196F6" w14:textId="77777777" w:rsidR="00000000" w:rsidRPr="00467DB0" w:rsidRDefault="00693D67" w:rsidP="00467DB0">
      <w:pPr>
        <w:pStyle w:val="friliste"/>
      </w:pPr>
      <w:r w:rsidRPr="00467DB0">
        <w:t>1.</w:t>
      </w:r>
      <w:r w:rsidRPr="00467DB0">
        <w:tab/>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leveres til </w:t>
      </w:r>
      <w:proofErr w:type="spellStart"/>
      <w:r w:rsidRPr="00467DB0">
        <w:t>Copernicusbrugerne</w:t>
      </w:r>
      <w:proofErr w:type="spellEnd"/>
      <w:r w:rsidRPr="00467DB0">
        <w:t xml:space="preserve"> efter en gratis, </w:t>
      </w:r>
      <w:proofErr w:type="spellStart"/>
      <w:r w:rsidRPr="00467DB0">
        <w:t>fuldstændig</w:t>
      </w:r>
      <w:proofErr w:type="spellEnd"/>
      <w:r w:rsidRPr="00467DB0">
        <w:t xml:space="preserve"> og </w:t>
      </w:r>
      <w:proofErr w:type="spellStart"/>
      <w:r w:rsidRPr="00467DB0">
        <w:t>åben</w:t>
      </w:r>
      <w:proofErr w:type="spellEnd"/>
      <w:r w:rsidRPr="00467DB0">
        <w:t xml:space="preserve"> </w:t>
      </w:r>
      <w:proofErr w:type="spellStart"/>
      <w:r w:rsidRPr="00467DB0">
        <w:t>datapolitik</w:t>
      </w:r>
      <w:proofErr w:type="spellEnd"/>
      <w:r w:rsidRPr="00467DB0">
        <w:t>:</w:t>
      </w:r>
    </w:p>
    <w:p w14:paraId="39F93DC0" w14:textId="77777777" w:rsidR="00000000" w:rsidRPr="00467DB0" w:rsidRDefault="00693D67" w:rsidP="00467DB0">
      <w:pPr>
        <w:pStyle w:val="friliste2"/>
      </w:pPr>
      <w:r w:rsidRPr="00467DB0">
        <w:t>a)</w:t>
      </w:r>
      <w:r w:rsidRPr="00467DB0">
        <w:tab/>
      </w:r>
      <w:proofErr w:type="spellStart"/>
      <w:r w:rsidRPr="00467DB0">
        <w:t>Copernicusbrugere</w:t>
      </w:r>
      <w:proofErr w:type="spellEnd"/>
      <w:r w:rsidRPr="00467DB0">
        <w:t xml:space="preserve"> kan på et </w:t>
      </w:r>
      <w:proofErr w:type="spellStart"/>
      <w:r w:rsidRPr="00467DB0">
        <w:t>frit</w:t>
      </w:r>
      <w:proofErr w:type="spellEnd"/>
      <w:r w:rsidRPr="00467DB0">
        <w:t xml:space="preserve"> og globalt </w:t>
      </w:r>
      <w:proofErr w:type="spellStart"/>
      <w:r w:rsidRPr="00467DB0">
        <w:t>grundlag</w:t>
      </w:r>
      <w:proofErr w:type="spellEnd"/>
      <w:r w:rsidRPr="00467DB0">
        <w:t xml:space="preserve"> </w:t>
      </w:r>
      <w:proofErr w:type="spellStart"/>
      <w:r w:rsidRPr="00467DB0">
        <w:t>gengive</w:t>
      </w:r>
      <w:proofErr w:type="spellEnd"/>
      <w:r w:rsidRPr="00467DB0">
        <w:t xml:space="preserve">, distribuere, formidle til </w:t>
      </w:r>
      <w:proofErr w:type="spellStart"/>
      <w:r w:rsidRPr="00467DB0">
        <w:t>offe</w:t>
      </w:r>
      <w:r w:rsidRPr="00467DB0">
        <w:t>ntligheden</w:t>
      </w:r>
      <w:proofErr w:type="spellEnd"/>
      <w:r w:rsidRPr="00467DB0">
        <w:t xml:space="preserve">, tilpasse og </w:t>
      </w:r>
      <w:proofErr w:type="spellStart"/>
      <w:r w:rsidRPr="00467DB0">
        <w:t>ændre</w:t>
      </w:r>
      <w:proofErr w:type="spellEnd"/>
      <w:r w:rsidRPr="00467DB0">
        <w:t xml:space="preserve"> alle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og kombinere dem med andre data og </w:t>
      </w:r>
      <w:proofErr w:type="spellStart"/>
      <w:r w:rsidRPr="00467DB0">
        <w:t>informationer</w:t>
      </w:r>
      <w:proofErr w:type="spellEnd"/>
    </w:p>
    <w:p w14:paraId="29C2B52F" w14:textId="77777777" w:rsidR="00000000" w:rsidRPr="00467DB0" w:rsidRDefault="00693D67" w:rsidP="00467DB0">
      <w:pPr>
        <w:pStyle w:val="friliste2"/>
      </w:pPr>
      <w:r w:rsidRPr="00467DB0">
        <w:t>b)</w:t>
      </w:r>
      <w:r w:rsidRPr="00467DB0">
        <w:tab/>
        <w:t xml:space="preserve">gratis, </w:t>
      </w:r>
      <w:proofErr w:type="spellStart"/>
      <w:r w:rsidRPr="00467DB0">
        <w:t>fuldstændig</w:t>
      </w:r>
      <w:proofErr w:type="spellEnd"/>
      <w:r w:rsidRPr="00467DB0">
        <w:t xml:space="preserve"> og </w:t>
      </w:r>
      <w:proofErr w:type="spellStart"/>
      <w:r w:rsidRPr="00467DB0">
        <w:t>åben</w:t>
      </w:r>
      <w:proofErr w:type="spellEnd"/>
      <w:r w:rsidRPr="00467DB0">
        <w:t xml:space="preserve"> </w:t>
      </w:r>
      <w:proofErr w:type="spellStart"/>
      <w:r w:rsidRPr="00467DB0">
        <w:t>datapolitik</w:t>
      </w:r>
      <w:proofErr w:type="spellEnd"/>
      <w:r w:rsidRPr="00467DB0">
        <w:t xml:space="preserve"> omfatter følgende </w:t>
      </w:r>
      <w:proofErr w:type="spellStart"/>
      <w:r w:rsidRPr="00467DB0">
        <w:t>begrænsninger</w:t>
      </w:r>
      <w:proofErr w:type="spellEnd"/>
      <w:r w:rsidRPr="00467DB0">
        <w:t>:</w:t>
      </w:r>
    </w:p>
    <w:p w14:paraId="2DAD9C06" w14:textId="77777777" w:rsidR="00000000" w:rsidRPr="00467DB0" w:rsidRDefault="00693D67" w:rsidP="00467DB0">
      <w:pPr>
        <w:pStyle w:val="friliste3"/>
      </w:pPr>
      <w:r w:rsidRPr="00467DB0">
        <w:t>i)</w:t>
      </w:r>
      <w:r w:rsidRPr="00467DB0">
        <w:tab/>
        <w:t xml:space="preserve">formater, tidsfrister og </w:t>
      </w:r>
      <w:proofErr w:type="spellStart"/>
      <w:r w:rsidRPr="00467DB0">
        <w:t>spredningsegenskaber</w:t>
      </w:r>
      <w:proofErr w:type="spellEnd"/>
      <w:r w:rsidRPr="00467DB0">
        <w:t xml:space="preserve"> for </w:t>
      </w:r>
      <w:proofErr w:type="spellStart"/>
      <w:r w:rsidRPr="00467DB0">
        <w:t>C</w:t>
      </w:r>
      <w:r w:rsidRPr="00467DB0">
        <w:t>opernicusdata</w:t>
      </w:r>
      <w:proofErr w:type="spellEnd"/>
      <w:r w:rsidRPr="00467DB0">
        <w:t xml:space="preserve"> og </w:t>
      </w:r>
      <w:proofErr w:type="spellStart"/>
      <w:r w:rsidRPr="00467DB0">
        <w:t>Copernicusinformationer</w:t>
      </w:r>
      <w:proofErr w:type="spellEnd"/>
      <w:r w:rsidRPr="00467DB0">
        <w:t xml:space="preserve"> skal være </w:t>
      </w:r>
      <w:proofErr w:type="spellStart"/>
      <w:r w:rsidRPr="00467DB0">
        <w:t>foruddefinerede</w:t>
      </w:r>
      <w:proofErr w:type="spellEnd"/>
    </w:p>
    <w:p w14:paraId="784764BF" w14:textId="77777777" w:rsidR="00000000" w:rsidRPr="00467DB0" w:rsidRDefault="00693D67" w:rsidP="00467DB0">
      <w:pPr>
        <w:pStyle w:val="friliste3"/>
      </w:pPr>
      <w:r w:rsidRPr="00467DB0">
        <w:t>ii)</w:t>
      </w:r>
      <w:r w:rsidRPr="00467DB0">
        <w:tab/>
      </w:r>
      <w:proofErr w:type="spellStart"/>
      <w:r w:rsidRPr="00467DB0">
        <w:t>licensbetingelserne</w:t>
      </w:r>
      <w:proofErr w:type="spellEnd"/>
      <w:r w:rsidRPr="00467DB0">
        <w:t xml:space="preserve"> for tredjepartsdata og -</w:t>
      </w:r>
      <w:proofErr w:type="spellStart"/>
      <w:r w:rsidRPr="00467DB0">
        <w:t>informationer</w:t>
      </w:r>
      <w:proofErr w:type="spellEnd"/>
      <w:r w:rsidRPr="00467DB0">
        <w:t xml:space="preserve">, der </w:t>
      </w:r>
      <w:proofErr w:type="spellStart"/>
      <w:r w:rsidRPr="00467DB0">
        <w:t>bruges</w:t>
      </w:r>
      <w:proofErr w:type="spellEnd"/>
      <w:r w:rsidRPr="00467DB0">
        <w:t xml:space="preserve"> i </w:t>
      </w:r>
      <w:proofErr w:type="spellStart"/>
      <w:r w:rsidRPr="00467DB0">
        <w:t>produktionen</w:t>
      </w:r>
      <w:proofErr w:type="spellEnd"/>
      <w:r w:rsidRPr="00467DB0">
        <w:t xml:space="preserve"> </w:t>
      </w:r>
      <w:proofErr w:type="spellStart"/>
      <w:r w:rsidRPr="00467DB0">
        <w:t>af</w:t>
      </w:r>
      <w:proofErr w:type="spellEnd"/>
      <w:r w:rsidRPr="00467DB0">
        <w:t xml:space="preserve"> </w:t>
      </w:r>
      <w:proofErr w:type="spellStart"/>
      <w:r w:rsidRPr="00467DB0">
        <w:t>informationer</w:t>
      </w:r>
      <w:proofErr w:type="spellEnd"/>
      <w:r w:rsidRPr="00467DB0">
        <w:t xml:space="preserve"> fra </w:t>
      </w:r>
      <w:proofErr w:type="spellStart"/>
      <w:r w:rsidRPr="00467DB0">
        <w:t>Copernicustjenesterne</w:t>
      </w:r>
      <w:proofErr w:type="spellEnd"/>
      <w:r w:rsidRPr="00467DB0">
        <w:t>, skal, hvor det er relevant, være overholdt</w:t>
      </w:r>
    </w:p>
    <w:p w14:paraId="65F0FA08" w14:textId="77777777" w:rsidR="00000000" w:rsidRPr="00467DB0" w:rsidRDefault="00693D67" w:rsidP="00467DB0">
      <w:pPr>
        <w:pStyle w:val="friliste3"/>
      </w:pPr>
      <w:r w:rsidRPr="00467DB0">
        <w:t>iii)</w:t>
      </w:r>
      <w:r w:rsidRPr="00467DB0">
        <w:tab/>
      </w:r>
      <w:proofErr w:type="spellStart"/>
      <w:r w:rsidRPr="00467DB0">
        <w:t>sikkerhe</w:t>
      </w:r>
      <w:r w:rsidRPr="00467DB0">
        <w:t>dsbegrænsningerne</w:t>
      </w:r>
      <w:proofErr w:type="spellEnd"/>
      <w:r w:rsidRPr="00467DB0">
        <w:t xml:space="preserve"> er </w:t>
      </w:r>
      <w:proofErr w:type="spellStart"/>
      <w:r w:rsidRPr="00467DB0">
        <w:t>gældende</w:t>
      </w:r>
      <w:proofErr w:type="spellEnd"/>
      <w:r w:rsidRPr="00467DB0">
        <w:t xml:space="preserve"> i overensstemmelse med de generelle </w:t>
      </w:r>
      <w:proofErr w:type="spellStart"/>
      <w:r w:rsidRPr="00467DB0">
        <w:t>sikkerhedskrav</w:t>
      </w:r>
      <w:proofErr w:type="spellEnd"/>
      <w:r w:rsidRPr="00467DB0">
        <w:t xml:space="preserve"> i </w:t>
      </w:r>
      <w:proofErr w:type="spellStart"/>
      <w:r w:rsidRPr="00467DB0">
        <w:t>artikel</w:t>
      </w:r>
      <w:proofErr w:type="spellEnd"/>
      <w:r w:rsidRPr="00467DB0">
        <w:t xml:space="preserve"> 34, stk. 2</w:t>
      </w:r>
    </w:p>
    <w:p w14:paraId="68B4EE7A" w14:textId="77777777" w:rsidR="00000000" w:rsidRPr="00467DB0" w:rsidRDefault="00693D67" w:rsidP="00467DB0">
      <w:pPr>
        <w:pStyle w:val="friliste3"/>
      </w:pPr>
      <w:r w:rsidRPr="00467DB0">
        <w:t>iv)</w:t>
      </w:r>
      <w:r w:rsidRPr="00467DB0">
        <w:tab/>
        <w:t xml:space="preserve">der sikres beskyttelse mod risikoen for </w:t>
      </w:r>
      <w:proofErr w:type="spellStart"/>
      <w:r w:rsidRPr="00467DB0">
        <w:t>afbrydelse</w:t>
      </w:r>
      <w:proofErr w:type="spellEnd"/>
      <w:r w:rsidRPr="00467DB0">
        <w:t xml:space="preserve"> </w:t>
      </w:r>
      <w:proofErr w:type="spellStart"/>
      <w:r w:rsidRPr="00467DB0">
        <w:t>af</w:t>
      </w:r>
      <w:proofErr w:type="spellEnd"/>
      <w:r w:rsidRPr="00467DB0">
        <w:t xml:space="preserve"> det system, der </w:t>
      </w:r>
      <w:proofErr w:type="spellStart"/>
      <w:r w:rsidRPr="00467DB0">
        <w:t>producerer</w:t>
      </w:r>
      <w:proofErr w:type="spellEnd"/>
      <w:r w:rsidRPr="00467DB0">
        <w:t xml:space="preserve"> eller stiller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til </w:t>
      </w:r>
      <w:proofErr w:type="spellStart"/>
      <w:r w:rsidRPr="00467DB0">
        <w:t>rådighed</w:t>
      </w:r>
      <w:proofErr w:type="spellEnd"/>
      <w:r w:rsidRPr="00467DB0">
        <w:t>,</w:t>
      </w:r>
      <w:r w:rsidRPr="00467DB0">
        <w:t xml:space="preserve"> og beskyttelse </w:t>
      </w:r>
      <w:proofErr w:type="spellStart"/>
      <w:r w:rsidRPr="00467DB0">
        <w:t>af</w:t>
      </w:r>
      <w:proofErr w:type="spellEnd"/>
      <w:r w:rsidRPr="00467DB0">
        <w:t xml:space="preserve"> selve dataene</w:t>
      </w:r>
    </w:p>
    <w:p w14:paraId="002DBBE8" w14:textId="77777777" w:rsidR="00000000" w:rsidRPr="00467DB0" w:rsidRDefault="00693D67" w:rsidP="00467DB0">
      <w:pPr>
        <w:pStyle w:val="friliste3"/>
      </w:pPr>
      <w:r w:rsidRPr="00467DB0">
        <w:t>v)</w:t>
      </w:r>
      <w:r w:rsidRPr="00467DB0">
        <w:tab/>
        <w:t xml:space="preserve">der sikres beskyttelse </w:t>
      </w:r>
      <w:proofErr w:type="spellStart"/>
      <w:r w:rsidRPr="00467DB0">
        <w:t>af</w:t>
      </w:r>
      <w:proofErr w:type="spellEnd"/>
      <w:r w:rsidRPr="00467DB0">
        <w:t xml:space="preserve"> </w:t>
      </w:r>
      <w:proofErr w:type="spellStart"/>
      <w:r w:rsidRPr="00467DB0">
        <w:t>pålidelig</w:t>
      </w:r>
      <w:proofErr w:type="spellEnd"/>
      <w:r w:rsidRPr="00467DB0">
        <w:t xml:space="preserve"> adgang til </w:t>
      </w:r>
      <w:proofErr w:type="spellStart"/>
      <w:r w:rsidRPr="00467DB0">
        <w:t>Copernicusdata</w:t>
      </w:r>
      <w:proofErr w:type="spellEnd"/>
      <w:r w:rsidRPr="00467DB0">
        <w:t xml:space="preserve"> og </w:t>
      </w:r>
      <w:proofErr w:type="spellStart"/>
      <w:r w:rsidRPr="00467DB0">
        <w:t>Copernicusinformationer</w:t>
      </w:r>
      <w:proofErr w:type="spellEnd"/>
      <w:r w:rsidRPr="00467DB0">
        <w:t xml:space="preserve"> for </w:t>
      </w:r>
      <w:proofErr w:type="spellStart"/>
      <w:r w:rsidRPr="00467DB0">
        <w:t>europæiske</w:t>
      </w:r>
      <w:proofErr w:type="spellEnd"/>
      <w:r w:rsidRPr="00467DB0">
        <w:t xml:space="preserve"> </w:t>
      </w:r>
      <w:proofErr w:type="spellStart"/>
      <w:r w:rsidRPr="00467DB0">
        <w:t>brugere</w:t>
      </w:r>
      <w:proofErr w:type="spellEnd"/>
      <w:r w:rsidRPr="00467DB0">
        <w:t>.</w:t>
      </w:r>
    </w:p>
    <w:p w14:paraId="758E50E0"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vedtager</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i overensstemmelse med </w:t>
      </w:r>
      <w:proofErr w:type="spellStart"/>
      <w:r w:rsidRPr="00467DB0">
        <w:t>artikel</w:t>
      </w:r>
      <w:proofErr w:type="spellEnd"/>
      <w:r w:rsidRPr="00467DB0">
        <w:t xml:space="preserve"> 105 </w:t>
      </w:r>
      <w:proofErr w:type="gramStart"/>
      <w:r w:rsidRPr="00467DB0">
        <w:t>vedrørende</w:t>
      </w:r>
      <w:proofErr w:type="gramEnd"/>
      <w:r w:rsidRPr="00467DB0">
        <w:t xml:space="preserve"> de </w:t>
      </w:r>
      <w:proofErr w:type="spellStart"/>
      <w:r w:rsidRPr="00467DB0">
        <w:t>specifikke</w:t>
      </w:r>
      <w:proofErr w:type="spellEnd"/>
      <w:r w:rsidRPr="00467DB0">
        <w:t xml:space="preserve"> b</w:t>
      </w:r>
      <w:r w:rsidRPr="00467DB0">
        <w:t xml:space="preserve">estemmelser, der supplerer nærværende </w:t>
      </w:r>
      <w:proofErr w:type="spellStart"/>
      <w:r w:rsidRPr="00467DB0">
        <w:t>artikels</w:t>
      </w:r>
      <w:proofErr w:type="spellEnd"/>
      <w:r w:rsidRPr="00467DB0">
        <w:t xml:space="preserve"> stk. 1, for så vidt angår </w:t>
      </w:r>
      <w:proofErr w:type="spellStart"/>
      <w:r w:rsidRPr="00467DB0">
        <w:t>specifi</w:t>
      </w:r>
      <w:r w:rsidRPr="00467DB0">
        <w:lastRenderedPageBreak/>
        <w:t>kationer</w:t>
      </w:r>
      <w:proofErr w:type="spellEnd"/>
      <w:r w:rsidRPr="00467DB0">
        <w:t xml:space="preserve">, betingelser og </w:t>
      </w:r>
      <w:proofErr w:type="spellStart"/>
      <w:r w:rsidRPr="00467DB0">
        <w:t>procedurer</w:t>
      </w:r>
      <w:proofErr w:type="spellEnd"/>
      <w:r w:rsidRPr="00467DB0">
        <w:t xml:space="preserve"> for adgang til og anvendelse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Copernicusinformationer</w:t>
      </w:r>
      <w:proofErr w:type="spellEnd"/>
      <w:r w:rsidRPr="00467DB0">
        <w:t>.</w:t>
      </w:r>
    </w:p>
    <w:p w14:paraId="6FC197E9" w14:textId="77777777" w:rsidR="00000000" w:rsidRPr="00467DB0" w:rsidRDefault="00693D67" w:rsidP="00467DB0">
      <w:pPr>
        <w:pStyle w:val="friliste"/>
      </w:pPr>
      <w:r w:rsidRPr="00467DB0">
        <w:t>3.</w:t>
      </w:r>
      <w:r w:rsidRPr="00467DB0">
        <w:tab/>
        <w:t xml:space="preserve">Hvis det er </w:t>
      </w:r>
      <w:proofErr w:type="spellStart"/>
      <w:r w:rsidRPr="00467DB0">
        <w:t>påkrævet</w:t>
      </w:r>
      <w:proofErr w:type="spellEnd"/>
      <w:r w:rsidRPr="00467DB0">
        <w:t xml:space="preserve"> i </w:t>
      </w:r>
      <w:proofErr w:type="spellStart"/>
      <w:r w:rsidRPr="00467DB0">
        <w:t>særligt</w:t>
      </w:r>
      <w:proofErr w:type="spellEnd"/>
      <w:r w:rsidRPr="00467DB0">
        <w:t xml:space="preserve"> hastende </w:t>
      </w:r>
      <w:proofErr w:type="spellStart"/>
      <w:r w:rsidRPr="00467DB0">
        <w:t>tilfælde</w:t>
      </w:r>
      <w:proofErr w:type="spellEnd"/>
      <w:r w:rsidRPr="00467DB0">
        <w:t xml:space="preserve">, anvendes </w:t>
      </w:r>
      <w:proofErr w:type="spellStart"/>
      <w:r w:rsidRPr="00467DB0">
        <w:t>pro</w:t>
      </w:r>
      <w:r w:rsidRPr="00467DB0">
        <w:t>ceduren</w:t>
      </w:r>
      <w:proofErr w:type="spellEnd"/>
      <w:r w:rsidRPr="00467DB0">
        <w:t xml:space="preserve"> i </w:t>
      </w:r>
      <w:proofErr w:type="spellStart"/>
      <w:r w:rsidRPr="00467DB0">
        <w:t>artikel</w:t>
      </w:r>
      <w:proofErr w:type="spellEnd"/>
      <w:r w:rsidRPr="00467DB0">
        <w:t xml:space="preserve"> 106 på </w:t>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vedtaget</w:t>
      </w:r>
      <w:proofErr w:type="spellEnd"/>
      <w:r w:rsidRPr="00467DB0">
        <w:t xml:space="preserve"> i henhold til nærværende </w:t>
      </w:r>
      <w:proofErr w:type="spellStart"/>
      <w:r w:rsidRPr="00467DB0">
        <w:t>artikel</w:t>
      </w:r>
      <w:proofErr w:type="spellEnd"/>
      <w:r w:rsidRPr="00467DB0">
        <w:t>.</w:t>
      </w:r>
    </w:p>
    <w:p w14:paraId="70EDBB81"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w:t>
      </w:r>
      <w:proofErr w:type="spellStart"/>
      <w:r w:rsidRPr="00467DB0">
        <w:t>udsteder</w:t>
      </w:r>
      <w:proofErr w:type="spellEnd"/>
      <w:r w:rsidRPr="00467DB0">
        <w:t xml:space="preserve"> </w:t>
      </w:r>
      <w:proofErr w:type="spellStart"/>
      <w:r w:rsidRPr="00467DB0">
        <w:t>licenser</w:t>
      </w:r>
      <w:proofErr w:type="spellEnd"/>
      <w:r w:rsidRPr="00467DB0">
        <w:t xml:space="preserve"> og meddelelser </w:t>
      </w:r>
      <w:proofErr w:type="gramStart"/>
      <w:r w:rsidRPr="00467DB0">
        <w:t>vedrørende</w:t>
      </w:r>
      <w:proofErr w:type="gramEnd"/>
      <w:r w:rsidRPr="00467DB0">
        <w:t xml:space="preserve"> adgang til og anvendelse </w:t>
      </w:r>
      <w:proofErr w:type="spellStart"/>
      <w:r w:rsidRPr="00467DB0">
        <w:t>af</w:t>
      </w:r>
      <w:proofErr w:type="spellEnd"/>
      <w:r w:rsidRPr="00467DB0">
        <w:t xml:space="preserve"> </w:t>
      </w:r>
      <w:proofErr w:type="spellStart"/>
      <w:r w:rsidRPr="00467DB0">
        <w:t>Copernicusdata</w:t>
      </w:r>
      <w:proofErr w:type="spellEnd"/>
      <w:r w:rsidRPr="00467DB0">
        <w:t xml:space="preserve"> og </w:t>
      </w:r>
      <w:proofErr w:type="spellStart"/>
      <w:r w:rsidRPr="00467DB0">
        <w:t>Copernicusinformationer</w:t>
      </w:r>
      <w:proofErr w:type="spellEnd"/>
      <w:r w:rsidRPr="00467DB0">
        <w:t>, herunder klausuler om kildeangivelse</w:t>
      </w:r>
      <w:r w:rsidRPr="00467DB0">
        <w:t xml:space="preserve">, i overensstemmelse med </w:t>
      </w:r>
      <w:proofErr w:type="spellStart"/>
      <w:r w:rsidRPr="00467DB0">
        <w:t>Copernicusdatapolitikken</w:t>
      </w:r>
      <w:proofErr w:type="spellEnd"/>
      <w:r w:rsidRPr="00467DB0">
        <w:t xml:space="preserve"> som omhandlet i denne forordning og </w:t>
      </w:r>
      <w:proofErr w:type="spellStart"/>
      <w:r w:rsidRPr="00467DB0">
        <w:t>gældende</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vedtaget</w:t>
      </w:r>
      <w:proofErr w:type="spellEnd"/>
      <w:r w:rsidRPr="00467DB0">
        <w:t xml:space="preserve"> i henhold til stk. 2.</w:t>
      </w:r>
    </w:p>
    <w:p w14:paraId="6B3F396C" w14:textId="77777777" w:rsidR="00000000" w:rsidRPr="00467DB0" w:rsidRDefault="00693D67" w:rsidP="00467DB0">
      <w:pPr>
        <w:pStyle w:val="avsnitt-undertittel"/>
      </w:pPr>
      <w:proofErr w:type="spellStart"/>
      <w:r w:rsidRPr="00467DB0">
        <w:t>Afsnit</w:t>
      </w:r>
      <w:proofErr w:type="spellEnd"/>
      <w:r w:rsidRPr="00467DB0">
        <w:t xml:space="preserve"> VIII</w:t>
      </w:r>
    </w:p>
    <w:p w14:paraId="738AE449" w14:textId="77777777" w:rsidR="00000000" w:rsidRPr="00467DB0" w:rsidRDefault="00693D67" w:rsidP="00467DB0">
      <w:pPr>
        <w:pStyle w:val="Undertittel"/>
      </w:pPr>
      <w:r w:rsidRPr="00467DB0">
        <w:t>Programmets øvrige komponenter</w:t>
      </w:r>
    </w:p>
    <w:p w14:paraId="3264AEB2" w14:textId="77777777" w:rsidR="00000000" w:rsidRPr="00467DB0" w:rsidRDefault="00693D67" w:rsidP="00467DB0">
      <w:pPr>
        <w:pStyle w:val="avsnitt-undertittel"/>
      </w:pPr>
      <w:r w:rsidRPr="00467DB0">
        <w:t>Kapitel I</w:t>
      </w:r>
    </w:p>
    <w:p w14:paraId="5B8EA4F9" w14:textId="77777777" w:rsidR="00000000" w:rsidRPr="00467DB0" w:rsidRDefault="00693D67" w:rsidP="00467DB0">
      <w:pPr>
        <w:pStyle w:val="Undertittel"/>
      </w:pPr>
      <w:r w:rsidRPr="00467DB0">
        <w:t>SSA</w:t>
      </w:r>
    </w:p>
    <w:p w14:paraId="0A5BDB26" w14:textId="77777777" w:rsidR="00000000" w:rsidRPr="00467DB0" w:rsidRDefault="00693D67" w:rsidP="00467DB0">
      <w:pPr>
        <w:pStyle w:val="avsnitt-undertittel"/>
      </w:pPr>
      <w:r w:rsidRPr="00467DB0">
        <w:t>Del 1</w:t>
      </w:r>
    </w:p>
    <w:p w14:paraId="00F2E97F" w14:textId="77777777" w:rsidR="00000000" w:rsidRPr="00467DB0" w:rsidRDefault="00693D67" w:rsidP="00467DB0">
      <w:pPr>
        <w:pStyle w:val="Undertittel"/>
      </w:pPr>
      <w:r w:rsidRPr="00467DB0">
        <w:t>SST-delkomponent</w:t>
      </w:r>
    </w:p>
    <w:p w14:paraId="01F45275" w14:textId="77777777" w:rsidR="00000000" w:rsidRPr="00467DB0" w:rsidRDefault="00693D67" w:rsidP="00467DB0">
      <w:pPr>
        <w:pStyle w:val="avsnitt-undertittel"/>
      </w:pPr>
      <w:proofErr w:type="spellStart"/>
      <w:r w:rsidRPr="00467DB0">
        <w:t>Artikel</w:t>
      </w:r>
      <w:proofErr w:type="spellEnd"/>
      <w:r w:rsidRPr="00467DB0">
        <w:t> 54</w:t>
      </w:r>
    </w:p>
    <w:p w14:paraId="150BF127" w14:textId="77777777" w:rsidR="00000000" w:rsidRPr="00467DB0" w:rsidRDefault="00693D67" w:rsidP="00467DB0">
      <w:pPr>
        <w:pStyle w:val="Undertittel"/>
      </w:pPr>
      <w:r w:rsidRPr="00467DB0">
        <w:t>Anvendelsesområdet for SST-delkomponent</w:t>
      </w:r>
    </w:p>
    <w:p w14:paraId="062F2F50" w14:textId="77777777" w:rsidR="00000000" w:rsidRPr="00467DB0" w:rsidRDefault="00693D67" w:rsidP="00467DB0">
      <w:pPr>
        <w:pStyle w:val="friliste"/>
      </w:pPr>
      <w:r w:rsidRPr="00467DB0">
        <w:t>SST-delkomponenten støtter følgende aktiviteter:</w:t>
      </w:r>
    </w:p>
    <w:p w14:paraId="5B36B57D" w14:textId="77777777" w:rsidR="00000000" w:rsidRPr="00467DB0" w:rsidRDefault="00693D67" w:rsidP="00467DB0">
      <w:pPr>
        <w:pStyle w:val="friliste2"/>
      </w:pPr>
      <w:r w:rsidRPr="00467DB0">
        <w:t>a)</w:t>
      </w:r>
      <w:r w:rsidRPr="00467DB0">
        <w:tab/>
      </w:r>
      <w:proofErr w:type="spellStart"/>
      <w:r w:rsidRPr="00467DB0">
        <w:t>oprettelse</w:t>
      </w:r>
      <w:proofErr w:type="spellEnd"/>
      <w:r w:rsidRPr="00467DB0">
        <w:t xml:space="preserve">, </w:t>
      </w:r>
      <w:proofErr w:type="spellStart"/>
      <w:r w:rsidRPr="00467DB0">
        <w:t>udvikling</w:t>
      </w:r>
      <w:proofErr w:type="spellEnd"/>
      <w:r w:rsidRPr="00467DB0">
        <w:t xml:space="preserve"> og drift </w:t>
      </w:r>
      <w:proofErr w:type="spellStart"/>
      <w:r w:rsidRPr="00467DB0">
        <w:t>af</w:t>
      </w:r>
      <w:proofErr w:type="spellEnd"/>
      <w:r w:rsidRPr="00467DB0">
        <w:t xml:space="preserve"> et </w:t>
      </w:r>
      <w:proofErr w:type="spellStart"/>
      <w:r w:rsidRPr="00467DB0">
        <w:t>net</w:t>
      </w:r>
      <w:proofErr w:type="spellEnd"/>
      <w:r w:rsidRPr="00467DB0">
        <w:t xml:space="preserve"> </w:t>
      </w:r>
      <w:proofErr w:type="spellStart"/>
      <w:r w:rsidRPr="00467DB0">
        <w:t>af</w:t>
      </w:r>
      <w:proofErr w:type="spellEnd"/>
      <w:r w:rsidRPr="00467DB0">
        <w:t xml:space="preserve"> </w:t>
      </w:r>
      <w:proofErr w:type="spellStart"/>
      <w:r w:rsidRPr="00467DB0">
        <w:t>medlemsstaternes</w:t>
      </w:r>
      <w:proofErr w:type="spellEnd"/>
      <w:r w:rsidRPr="00467DB0">
        <w:t xml:space="preserve"> jord- og </w:t>
      </w:r>
      <w:proofErr w:type="spellStart"/>
      <w:r w:rsidRPr="00467DB0">
        <w:t>rumbaserede</w:t>
      </w:r>
      <w:proofErr w:type="spellEnd"/>
      <w:r w:rsidRPr="00467DB0">
        <w:t xml:space="preserve"> SST-sensorer, herunder sensorer </w:t>
      </w:r>
      <w:proofErr w:type="spellStart"/>
      <w:r w:rsidRPr="00467DB0">
        <w:t>udviklet</w:t>
      </w:r>
      <w:proofErr w:type="spellEnd"/>
      <w:r w:rsidRPr="00467DB0">
        <w:t xml:space="preserve"> </w:t>
      </w:r>
      <w:proofErr w:type="spellStart"/>
      <w:r w:rsidRPr="00467DB0">
        <w:t>gennem</w:t>
      </w:r>
      <w:proofErr w:type="spellEnd"/>
      <w:r w:rsidRPr="00467DB0">
        <w:t xml:space="preserve"> ESA eller den private sektor i Uni</w:t>
      </w:r>
      <w:r w:rsidRPr="00467DB0">
        <w:t xml:space="preserve">onen og </w:t>
      </w:r>
      <w:proofErr w:type="spellStart"/>
      <w:r w:rsidRPr="00467DB0">
        <w:t>nationalt</w:t>
      </w:r>
      <w:proofErr w:type="spellEnd"/>
      <w:r w:rsidRPr="00467DB0">
        <w:t xml:space="preserve"> drevne EU-sensorer, til </w:t>
      </w:r>
      <w:proofErr w:type="spellStart"/>
      <w:r w:rsidRPr="00467DB0">
        <w:t>overvågning</w:t>
      </w:r>
      <w:proofErr w:type="spellEnd"/>
      <w:r w:rsidRPr="00467DB0">
        <w:t xml:space="preserve"> og sporing </w:t>
      </w:r>
      <w:proofErr w:type="spellStart"/>
      <w:r w:rsidRPr="00467DB0">
        <w:t>af</w:t>
      </w:r>
      <w:proofErr w:type="spellEnd"/>
      <w:r w:rsidRPr="00467DB0">
        <w:t xml:space="preserve"> objekter og </w:t>
      </w:r>
      <w:proofErr w:type="spellStart"/>
      <w:r w:rsidRPr="00467DB0">
        <w:t>udarbejdelse</w:t>
      </w:r>
      <w:proofErr w:type="spellEnd"/>
      <w:r w:rsidRPr="00467DB0">
        <w:t xml:space="preserve"> </w:t>
      </w:r>
      <w:proofErr w:type="spellStart"/>
      <w:r w:rsidRPr="00467DB0">
        <w:t>af</w:t>
      </w:r>
      <w:proofErr w:type="spellEnd"/>
      <w:r w:rsidRPr="00467DB0">
        <w:t xml:space="preserve"> et </w:t>
      </w:r>
      <w:proofErr w:type="spellStart"/>
      <w:r w:rsidRPr="00467DB0">
        <w:t>europæisk</w:t>
      </w:r>
      <w:proofErr w:type="spellEnd"/>
      <w:r w:rsidRPr="00467DB0">
        <w:t xml:space="preserve"> katalog over </w:t>
      </w:r>
      <w:proofErr w:type="spellStart"/>
      <w:r w:rsidRPr="00467DB0">
        <w:t>rumobjekter</w:t>
      </w:r>
      <w:proofErr w:type="spellEnd"/>
    </w:p>
    <w:p w14:paraId="5CDD5F0D" w14:textId="77777777" w:rsidR="00000000" w:rsidRPr="00467DB0" w:rsidRDefault="00693D67" w:rsidP="00467DB0">
      <w:pPr>
        <w:pStyle w:val="friliste2"/>
      </w:pPr>
      <w:r w:rsidRPr="00467DB0">
        <w:t>b)</w:t>
      </w:r>
      <w:r w:rsidRPr="00467DB0">
        <w:tab/>
        <w:t xml:space="preserve">behandling og analyse </w:t>
      </w:r>
      <w:proofErr w:type="spellStart"/>
      <w:r w:rsidRPr="00467DB0">
        <w:t>af</w:t>
      </w:r>
      <w:proofErr w:type="spellEnd"/>
      <w:r w:rsidRPr="00467DB0">
        <w:t xml:space="preserve"> SST-data på </w:t>
      </w:r>
      <w:proofErr w:type="spellStart"/>
      <w:r w:rsidRPr="00467DB0">
        <w:t>nationalt</w:t>
      </w:r>
      <w:proofErr w:type="spellEnd"/>
      <w:r w:rsidRPr="00467DB0">
        <w:t xml:space="preserve"> </w:t>
      </w:r>
      <w:proofErr w:type="spellStart"/>
      <w:r w:rsidRPr="00467DB0">
        <w:t>niveau</w:t>
      </w:r>
      <w:proofErr w:type="spellEnd"/>
      <w:r w:rsidRPr="00467DB0">
        <w:t xml:space="preserve"> med </w:t>
      </w:r>
      <w:proofErr w:type="spellStart"/>
      <w:r w:rsidRPr="00467DB0">
        <w:t>henblik</w:t>
      </w:r>
      <w:proofErr w:type="spellEnd"/>
      <w:r w:rsidRPr="00467DB0">
        <w:t xml:space="preserve"> på at </w:t>
      </w:r>
      <w:proofErr w:type="spellStart"/>
      <w:r w:rsidRPr="00467DB0">
        <w:t>udarbejde</w:t>
      </w:r>
      <w:proofErr w:type="spellEnd"/>
      <w:r w:rsidRPr="00467DB0">
        <w:t xml:space="preserve"> SST-</w:t>
      </w:r>
      <w:proofErr w:type="spellStart"/>
      <w:r w:rsidRPr="00467DB0">
        <w:t>informationer</w:t>
      </w:r>
      <w:proofErr w:type="spellEnd"/>
      <w:r w:rsidRPr="00467DB0">
        <w:t xml:space="preserve"> og -tjenester som o</w:t>
      </w:r>
      <w:r w:rsidRPr="00467DB0">
        <w:t xml:space="preserve">mhandlet i </w:t>
      </w:r>
      <w:proofErr w:type="spellStart"/>
      <w:r w:rsidRPr="00467DB0">
        <w:t>artikel</w:t>
      </w:r>
      <w:proofErr w:type="spellEnd"/>
      <w:r w:rsidRPr="00467DB0">
        <w:t> 55, stk.1</w:t>
      </w:r>
    </w:p>
    <w:p w14:paraId="339467C4" w14:textId="77777777" w:rsidR="00000000" w:rsidRPr="00467DB0" w:rsidRDefault="00693D67" w:rsidP="00467DB0">
      <w:pPr>
        <w:pStyle w:val="friliste2"/>
      </w:pPr>
      <w:r w:rsidRPr="00467DB0">
        <w:t>c)</w:t>
      </w:r>
      <w:r w:rsidRPr="00467DB0">
        <w:tab/>
        <w:t xml:space="preserve">levering </w:t>
      </w:r>
      <w:proofErr w:type="spellStart"/>
      <w:r w:rsidRPr="00467DB0">
        <w:t>af</w:t>
      </w:r>
      <w:proofErr w:type="spellEnd"/>
      <w:r w:rsidRPr="00467DB0">
        <w:t xml:space="preserve"> de i </w:t>
      </w:r>
      <w:proofErr w:type="spellStart"/>
      <w:r w:rsidRPr="00467DB0">
        <w:t>artikel</w:t>
      </w:r>
      <w:proofErr w:type="spellEnd"/>
      <w:r w:rsidRPr="00467DB0">
        <w:t> 55, stk. 1, omhandlede SST-tjenester til de SST-</w:t>
      </w:r>
      <w:proofErr w:type="spellStart"/>
      <w:r w:rsidRPr="00467DB0">
        <w:t>brugere</w:t>
      </w:r>
      <w:proofErr w:type="spellEnd"/>
      <w:r w:rsidRPr="00467DB0">
        <w:t xml:space="preserve">, der er omhandlet i </w:t>
      </w:r>
      <w:proofErr w:type="spellStart"/>
      <w:r w:rsidRPr="00467DB0">
        <w:t>artikel</w:t>
      </w:r>
      <w:proofErr w:type="spellEnd"/>
      <w:r w:rsidRPr="00467DB0">
        <w:t xml:space="preserve"> 56</w:t>
      </w:r>
    </w:p>
    <w:p w14:paraId="5F5D8F36" w14:textId="77777777" w:rsidR="00000000" w:rsidRPr="00467DB0" w:rsidRDefault="00693D67" w:rsidP="00467DB0">
      <w:pPr>
        <w:pStyle w:val="friliste2"/>
      </w:pPr>
      <w:r w:rsidRPr="00467DB0">
        <w:t>d)</w:t>
      </w:r>
      <w:r w:rsidRPr="00467DB0">
        <w:tab/>
      </w:r>
      <w:proofErr w:type="spellStart"/>
      <w:r w:rsidRPr="00467DB0">
        <w:t>overvågning</w:t>
      </w:r>
      <w:proofErr w:type="spellEnd"/>
      <w:r w:rsidRPr="00467DB0">
        <w:t xml:space="preserve"> </w:t>
      </w:r>
      <w:proofErr w:type="spellStart"/>
      <w:r w:rsidRPr="00467DB0">
        <w:t>af</w:t>
      </w:r>
      <w:proofErr w:type="spellEnd"/>
      <w:r w:rsidRPr="00467DB0">
        <w:t xml:space="preserve"> og </w:t>
      </w:r>
      <w:proofErr w:type="spellStart"/>
      <w:r w:rsidRPr="00467DB0">
        <w:t>søgen</w:t>
      </w:r>
      <w:proofErr w:type="spellEnd"/>
      <w:r w:rsidRPr="00467DB0">
        <w:t xml:space="preserve"> efter synergier med initiativer, der fremmer </w:t>
      </w:r>
      <w:proofErr w:type="spellStart"/>
      <w:r w:rsidRPr="00467DB0">
        <w:t>udvikling</w:t>
      </w:r>
      <w:proofErr w:type="spellEnd"/>
      <w:r w:rsidRPr="00467DB0">
        <w:t xml:space="preserve"> og </w:t>
      </w:r>
      <w:proofErr w:type="gramStart"/>
      <w:r w:rsidRPr="00467DB0">
        <w:t>anvendelse</w:t>
      </w:r>
      <w:proofErr w:type="gramEnd"/>
      <w:r w:rsidRPr="00467DB0">
        <w:t xml:space="preserve"> </w:t>
      </w:r>
      <w:proofErr w:type="spellStart"/>
      <w:r w:rsidRPr="00467DB0">
        <w:t>af</w:t>
      </w:r>
      <w:proofErr w:type="spellEnd"/>
      <w:r w:rsidRPr="00467DB0">
        <w:t xml:space="preserve"> teknologier t</w:t>
      </w:r>
      <w:r w:rsidRPr="00467DB0">
        <w:t xml:space="preserve">il bortskaffelse </w:t>
      </w:r>
      <w:proofErr w:type="spellStart"/>
      <w:r w:rsidRPr="00467DB0">
        <w:t>af</w:t>
      </w:r>
      <w:proofErr w:type="spellEnd"/>
      <w:r w:rsidRPr="00467DB0">
        <w:t xml:space="preserve"> </w:t>
      </w:r>
      <w:proofErr w:type="spellStart"/>
      <w:r w:rsidRPr="00467DB0">
        <w:t>rumfartøjer</w:t>
      </w:r>
      <w:proofErr w:type="spellEnd"/>
      <w:r w:rsidRPr="00467DB0">
        <w:t xml:space="preserve"> ved </w:t>
      </w:r>
      <w:proofErr w:type="spellStart"/>
      <w:r w:rsidRPr="00467DB0">
        <w:t>afslutningen</w:t>
      </w:r>
      <w:proofErr w:type="spellEnd"/>
      <w:r w:rsidRPr="00467DB0">
        <w:t xml:space="preserve"> </w:t>
      </w:r>
      <w:proofErr w:type="spellStart"/>
      <w:r w:rsidRPr="00467DB0">
        <w:t>af</w:t>
      </w:r>
      <w:proofErr w:type="spellEnd"/>
      <w:r w:rsidRPr="00467DB0">
        <w:t xml:space="preserve"> driftslevetiden, teknologiske systemer til forebyggelse og fjernelse </w:t>
      </w:r>
      <w:proofErr w:type="spellStart"/>
      <w:r w:rsidRPr="00467DB0">
        <w:t>af</w:t>
      </w:r>
      <w:proofErr w:type="spellEnd"/>
      <w:r w:rsidRPr="00467DB0">
        <w:t xml:space="preserve"> </w:t>
      </w:r>
      <w:proofErr w:type="spellStart"/>
      <w:r w:rsidRPr="00467DB0">
        <w:t>rumaffald</w:t>
      </w:r>
      <w:proofErr w:type="spellEnd"/>
      <w:r w:rsidRPr="00467DB0">
        <w:t xml:space="preserve">, samt med </w:t>
      </w:r>
      <w:proofErr w:type="spellStart"/>
      <w:r w:rsidRPr="00467DB0">
        <w:t>internationale</w:t>
      </w:r>
      <w:proofErr w:type="spellEnd"/>
      <w:r w:rsidRPr="00467DB0">
        <w:t xml:space="preserve"> initiativer </w:t>
      </w:r>
      <w:proofErr w:type="spellStart"/>
      <w:r w:rsidRPr="00467DB0">
        <w:t>inden</w:t>
      </w:r>
      <w:proofErr w:type="spellEnd"/>
      <w:r w:rsidRPr="00467DB0">
        <w:t xml:space="preserve"> for </w:t>
      </w:r>
      <w:proofErr w:type="spellStart"/>
      <w:r w:rsidRPr="00467DB0">
        <w:t>rumtrafikstyring</w:t>
      </w:r>
      <w:proofErr w:type="spellEnd"/>
      <w:r w:rsidRPr="00467DB0">
        <w:t>.</w:t>
      </w:r>
    </w:p>
    <w:p w14:paraId="234BEF9F" w14:textId="77777777" w:rsidR="00000000" w:rsidRPr="00467DB0" w:rsidRDefault="00693D67" w:rsidP="00467DB0">
      <w:pPr>
        <w:pStyle w:val="friliste"/>
      </w:pPr>
      <w:r w:rsidRPr="00467DB0">
        <w:t>2.</w:t>
      </w:r>
      <w:r w:rsidRPr="00467DB0">
        <w:tab/>
        <w:t xml:space="preserve">SST-delkomponenten skal </w:t>
      </w:r>
      <w:proofErr w:type="spellStart"/>
      <w:r w:rsidRPr="00467DB0">
        <w:t>ligeledes</w:t>
      </w:r>
      <w:proofErr w:type="spellEnd"/>
      <w:r w:rsidRPr="00467DB0">
        <w:t xml:space="preserve"> </w:t>
      </w:r>
      <w:proofErr w:type="spellStart"/>
      <w:r w:rsidRPr="00467DB0">
        <w:t>yde</w:t>
      </w:r>
      <w:proofErr w:type="spellEnd"/>
      <w:r w:rsidRPr="00467DB0">
        <w:t xml:space="preserve"> teknisk og admin</w:t>
      </w:r>
      <w:r w:rsidRPr="00467DB0">
        <w:t xml:space="preserve">istrativ bistand for at sikre overgangen </w:t>
      </w:r>
      <w:proofErr w:type="spellStart"/>
      <w:r w:rsidRPr="00467DB0">
        <w:t>mellem</w:t>
      </w:r>
      <w:proofErr w:type="spellEnd"/>
      <w:r w:rsidRPr="00467DB0">
        <w:t xml:space="preserve"> programmet og SST-støtterammen, der er </w:t>
      </w:r>
      <w:proofErr w:type="spellStart"/>
      <w:r w:rsidRPr="00467DB0">
        <w:t>oprettet</w:t>
      </w:r>
      <w:proofErr w:type="spellEnd"/>
      <w:r w:rsidRPr="00467DB0">
        <w:t xml:space="preserve"> ved </w:t>
      </w:r>
      <w:proofErr w:type="spellStart"/>
      <w:r w:rsidRPr="00467DB0">
        <w:t>afgørelse</w:t>
      </w:r>
      <w:proofErr w:type="spellEnd"/>
      <w:r w:rsidRPr="00467DB0">
        <w:t xml:space="preserve"> nr. 541/2014/EU.</w:t>
      </w:r>
    </w:p>
    <w:p w14:paraId="33347AE8" w14:textId="77777777" w:rsidR="00000000" w:rsidRPr="00467DB0" w:rsidRDefault="00693D67" w:rsidP="00467DB0">
      <w:pPr>
        <w:pStyle w:val="avsnitt-undertittel"/>
      </w:pPr>
      <w:proofErr w:type="spellStart"/>
      <w:r w:rsidRPr="00467DB0">
        <w:lastRenderedPageBreak/>
        <w:t>Artikel</w:t>
      </w:r>
      <w:proofErr w:type="spellEnd"/>
      <w:r w:rsidRPr="00467DB0">
        <w:t> 55</w:t>
      </w:r>
    </w:p>
    <w:p w14:paraId="7F5BEF71" w14:textId="77777777" w:rsidR="00000000" w:rsidRPr="00467DB0" w:rsidRDefault="00693D67" w:rsidP="00467DB0">
      <w:pPr>
        <w:pStyle w:val="Undertittel"/>
      </w:pPr>
      <w:r w:rsidRPr="00467DB0">
        <w:t>SST-tjenester</w:t>
      </w:r>
    </w:p>
    <w:p w14:paraId="04FDC81A" w14:textId="77777777" w:rsidR="00000000" w:rsidRPr="00467DB0" w:rsidRDefault="00693D67" w:rsidP="00467DB0">
      <w:pPr>
        <w:pStyle w:val="friliste"/>
      </w:pPr>
      <w:r w:rsidRPr="00467DB0">
        <w:t>1.</w:t>
      </w:r>
      <w:r w:rsidRPr="00467DB0">
        <w:tab/>
        <w:t>SST-tjenester omfatter:</w:t>
      </w:r>
    </w:p>
    <w:p w14:paraId="16F23F47" w14:textId="77777777" w:rsidR="00000000" w:rsidRPr="00467DB0" w:rsidRDefault="00693D67" w:rsidP="00467DB0">
      <w:pPr>
        <w:pStyle w:val="friliste2"/>
      </w:pPr>
      <w:r w:rsidRPr="00467DB0">
        <w:t>a)</w:t>
      </w:r>
      <w:r w:rsidRPr="00467DB0">
        <w:tab/>
        <w:t xml:space="preserve">vurdering </w:t>
      </w:r>
      <w:proofErr w:type="spellStart"/>
      <w:r w:rsidRPr="00467DB0">
        <w:t>af</w:t>
      </w:r>
      <w:proofErr w:type="spellEnd"/>
      <w:r w:rsidRPr="00467DB0">
        <w:t xml:space="preserve"> risikoen for </w:t>
      </w:r>
      <w:proofErr w:type="spellStart"/>
      <w:r w:rsidRPr="00467DB0">
        <w:t>kollision</w:t>
      </w:r>
      <w:proofErr w:type="spellEnd"/>
      <w:r w:rsidRPr="00467DB0">
        <w:t xml:space="preserve"> </w:t>
      </w:r>
      <w:proofErr w:type="spellStart"/>
      <w:r w:rsidRPr="00467DB0">
        <w:t>mellem</w:t>
      </w:r>
      <w:proofErr w:type="spellEnd"/>
      <w:r w:rsidRPr="00467DB0">
        <w:t xml:space="preserve"> </w:t>
      </w:r>
      <w:proofErr w:type="spellStart"/>
      <w:r w:rsidRPr="00467DB0">
        <w:t>rumfartøjer</w:t>
      </w:r>
      <w:proofErr w:type="spellEnd"/>
      <w:r w:rsidRPr="00467DB0">
        <w:t xml:space="preserve"> eller </w:t>
      </w:r>
      <w:proofErr w:type="spellStart"/>
      <w:r w:rsidRPr="00467DB0">
        <w:t>mellem</w:t>
      </w:r>
      <w:proofErr w:type="spellEnd"/>
      <w:r w:rsidRPr="00467DB0">
        <w:t xml:space="preserve"> </w:t>
      </w:r>
      <w:proofErr w:type="spellStart"/>
      <w:r w:rsidRPr="00467DB0">
        <w:t>rumfar</w:t>
      </w:r>
      <w:r w:rsidRPr="00467DB0">
        <w:t>tøjer</w:t>
      </w:r>
      <w:proofErr w:type="spellEnd"/>
      <w:r w:rsidRPr="00467DB0">
        <w:t xml:space="preserve"> og </w:t>
      </w:r>
      <w:proofErr w:type="spellStart"/>
      <w:r w:rsidRPr="00467DB0">
        <w:t>rumaffald</w:t>
      </w:r>
      <w:proofErr w:type="spellEnd"/>
      <w:r w:rsidRPr="00467DB0">
        <w:t xml:space="preserve"> og potentiel generering </w:t>
      </w:r>
      <w:proofErr w:type="spellStart"/>
      <w:r w:rsidRPr="00467DB0">
        <w:t>af</w:t>
      </w:r>
      <w:proofErr w:type="spellEnd"/>
      <w:r w:rsidRPr="00467DB0">
        <w:t xml:space="preserve"> kollisionsforebyggende varsler i </w:t>
      </w:r>
      <w:proofErr w:type="spellStart"/>
      <w:r w:rsidRPr="00467DB0">
        <w:t>opsendelsesfaserne</w:t>
      </w:r>
      <w:proofErr w:type="spellEnd"/>
      <w:r w:rsidRPr="00467DB0">
        <w:t xml:space="preserve">, den tidlige </w:t>
      </w:r>
      <w:proofErr w:type="spellStart"/>
      <w:r w:rsidRPr="00467DB0">
        <w:t>kredsløbsfase</w:t>
      </w:r>
      <w:proofErr w:type="spellEnd"/>
      <w:r w:rsidRPr="00467DB0">
        <w:t xml:space="preserve">, </w:t>
      </w:r>
      <w:proofErr w:type="spellStart"/>
      <w:r w:rsidRPr="00467DB0">
        <w:t>forøgelse</w:t>
      </w:r>
      <w:proofErr w:type="spellEnd"/>
      <w:r w:rsidRPr="00467DB0">
        <w:t xml:space="preserve"> </w:t>
      </w:r>
      <w:proofErr w:type="spellStart"/>
      <w:r w:rsidRPr="00467DB0">
        <w:t>af</w:t>
      </w:r>
      <w:proofErr w:type="spellEnd"/>
      <w:r w:rsidRPr="00467DB0">
        <w:t xml:space="preserve"> </w:t>
      </w:r>
      <w:proofErr w:type="spellStart"/>
      <w:r w:rsidRPr="00467DB0">
        <w:t>kredsløbsbane</w:t>
      </w:r>
      <w:proofErr w:type="spellEnd"/>
      <w:r w:rsidRPr="00467DB0">
        <w:t xml:space="preserve">, </w:t>
      </w:r>
      <w:proofErr w:type="spellStart"/>
      <w:r w:rsidRPr="00467DB0">
        <w:t>kredsløbsoperationer</w:t>
      </w:r>
      <w:proofErr w:type="spellEnd"/>
      <w:r w:rsidRPr="00467DB0">
        <w:t xml:space="preserve"> og bortskaffelsesfasen i forbindelse med </w:t>
      </w:r>
      <w:proofErr w:type="spellStart"/>
      <w:r w:rsidRPr="00467DB0">
        <w:t>rumfartøjers</w:t>
      </w:r>
      <w:proofErr w:type="spellEnd"/>
      <w:r w:rsidRPr="00467DB0">
        <w:t xml:space="preserve"> missioner</w:t>
      </w:r>
    </w:p>
    <w:p w14:paraId="66723240" w14:textId="77777777" w:rsidR="00000000" w:rsidRPr="00467DB0" w:rsidRDefault="00693D67" w:rsidP="00467DB0">
      <w:pPr>
        <w:pStyle w:val="friliste2"/>
      </w:pPr>
      <w:r w:rsidRPr="00467DB0">
        <w:t>b)</w:t>
      </w:r>
      <w:r w:rsidRPr="00467DB0">
        <w:tab/>
        <w:t>detektering og</w:t>
      </w:r>
      <w:r w:rsidRPr="00467DB0">
        <w:t xml:space="preserve"> karakterisering </w:t>
      </w:r>
      <w:proofErr w:type="spellStart"/>
      <w:r w:rsidRPr="00467DB0">
        <w:t>af</w:t>
      </w:r>
      <w:proofErr w:type="spellEnd"/>
      <w:r w:rsidRPr="00467DB0">
        <w:t xml:space="preserve"> fragmenteringer, desintegreringer eller </w:t>
      </w:r>
      <w:proofErr w:type="spellStart"/>
      <w:r w:rsidRPr="00467DB0">
        <w:t>kollisioner</w:t>
      </w:r>
      <w:proofErr w:type="spellEnd"/>
      <w:r w:rsidRPr="00467DB0">
        <w:t xml:space="preserve"> i </w:t>
      </w:r>
      <w:proofErr w:type="spellStart"/>
      <w:r w:rsidRPr="00467DB0">
        <w:t>kredsløb</w:t>
      </w:r>
      <w:proofErr w:type="spellEnd"/>
    </w:p>
    <w:p w14:paraId="45FEA893" w14:textId="77777777" w:rsidR="00000000" w:rsidRPr="00467DB0" w:rsidRDefault="00693D67" w:rsidP="00467DB0">
      <w:pPr>
        <w:pStyle w:val="friliste2"/>
      </w:pPr>
      <w:r w:rsidRPr="00467DB0">
        <w:t>c)</w:t>
      </w:r>
      <w:r w:rsidRPr="00467DB0">
        <w:tab/>
        <w:t xml:space="preserve">risikovurdering </w:t>
      </w:r>
      <w:proofErr w:type="spellStart"/>
      <w:r w:rsidRPr="00467DB0">
        <w:t>af</w:t>
      </w:r>
      <w:proofErr w:type="spellEnd"/>
      <w:r w:rsidRPr="00467DB0">
        <w:t xml:space="preserve"> </w:t>
      </w:r>
      <w:proofErr w:type="spellStart"/>
      <w:r w:rsidRPr="00467DB0">
        <w:t>rumobjekters</w:t>
      </w:r>
      <w:proofErr w:type="spellEnd"/>
      <w:r w:rsidRPr="00467DB0">
        <w:t xml:space="preserve"> og </w:t>
      </w:r>
      <w:proofErr w:type="spellStart"/>
      <w:r w:rsidRPr="00467DB0">
        <w:t>rumaffalds</w:t>
      </w:r>
      <w:proofErr w:type="spellEnd"/>
      <w:r w:rsidRPr="00467DB0">
        <w:t xml:space="preserve"> </w:t>
      </w:r>
      <w:proofErr w:type="spellStart"/>
      <w:r w:rsidRPr="00467DB0">
        <w:t>ukontrollerede</w:t>
      </w:r>
      <w:proofErr w:type="spellEnd"/>
      <w:r w:rsidRPr="00467DB0">
        <w:t xml:space="preserve"> </w:t>
      </w:r>
      <w:proofErr w:type="spellStart"/>
      <w:r w:rsidRPr="00467DB0">
        <w:t>genindtrængen</w:t>
      </w:r>
      <w:proofErr w:type="spellEnd"/>
      <w:r w:rsidRPr="00467DB0">
        <w:t xml:space="preserve"> i jordens atmosfære og generering </w:t>
      </w:r>
      <w:proofErr w:type="spellStart"/>
      <w:r w:rsidRPr="00467DB0">
        <w:t>af</w:t>
      </w:r>
      <w:proofErr w:type="spellEnd"/>
      <w:r w:rsidRPr="00467DB0">
        <w:t xml:space="preserve"> </w:t>
      </w:r>
      <w:proofErr w:type="spellStart"/>
      <w:r w:rsidRPr="00467DB0">
        <w:t>beslægtede</w:t>
      </w:r>
      <w:proofErr w:type="spellEnd"/>
      <w:r w:rsidRPr="00467DB0">
        <w:t xml:space="preserve"> </w:t>
      </w:r>
      <w:proofErr w:type="spellStart"/>
      <w:r w:rsidRPr="00467DB0">
        <w:t>oplysninger</w:t>
      </w:r>
      <w:proofErr w:type="spellEnd"/>
      <w:r w:rsidRPr="00467DB0">
        <w:t xml:space="preserve">, herunder et </w:t>
      </w:r>
      <w:proofErr w:type="spellStart"/>
      <w:r w:rsidRPr="00467DB0">
        <w:t>skøn</w:t>
      </w:r>
      <w:proofErr w:type="spellEnd"/>
      <w:r w:rsidRPr="00467DB0">
        <w:t xml:space="preserve"> over tidsrammen o</w:t>
      </w:r>
      <w:r w:rsidRPr="00467DB0">
        <w:t xml:space="preserve">g sandsynlig </w:t>
      </w:r>
      <w:proofErr w:type="spellStart"/>
      <w:r w:rsidRPr="00467DB0">
        <w:t>position</w:t>
      </w:r>
      <w:proofErr w:type="spellEnd"/>
      <w:r w:rsidRPr="00467DB0">
        <w:t xml:space="preserve"> for et eventuelt nedslag</w:t>
      </w:r>
    </w:p>
    <w:p w14:paraId="5595FBBF" w14:textId="77777777" w:rsidR="00000000" w:rsidRPr="00467DB0" w:rsidRDefault="00693D67" w:rsidP="00467DB0">
      <w:pPr>
        <w:pStyle w:val="friliste2"/>
      </w:pPr>
      <w:r w:rsidRPr="00467DB0">
        <w:t>d)</w:t>
      </w:r>
      <w:r w:rsidRPr="00467DB0">
        <w:tab/>
      </w:r>
      <w:proofErr w:type="spellStart"/>
      <w:r w:rsidRPr="00467DB0">
        <w:t>udvikling</w:t>
      </w:r>
      <w:proofErr w:type="spellEnd"/>
      <w:r w:rsidRPr="00467DB0">
        <w:t xml:space="preserve"> </w:t>
      </w:r>
      <w:proofErr w:type="spellStart"/>
      <w:r w:rsidRPr="00467DB0">
        <w:t>af</w:t>
      </w:r>
      <w:proofErr w:type="spellEnd"/>
      <w:r w:rsidRPr="00467DB0">
        <w:t xml:space="preserve"> aktiviteter i forbindelse med forberedelse </w:t>
      </w:r>
      <w:proofErr w:type="spellStart"/>
      <w:r w:rsidRPr="00467DB0">
        <w:t>af</w:t>
      </w:r>
      <w:proofErr w:type="spellEnd"/>
      <w:r w:rsidRPr="00467DB0">
        <w:t>:</w:t>
      </w:r>
    </w:p>
    <w:p w14:paraId="75E7C140" w14:textId="77777777" w:rsidR="00000000" w:rsidRPr="00467DB0" w:rsidRDefault="00693D67" w:rsidP="00467DB0">
      <w:pPr>
        <w:pStyle w:val="friliste3"/>
      </w:pPr>
      <w:r w:rsidRPr="00467DB0">
        <w:t>i)</w:t>
      </w:r>
      <w:r w:rsidRPr="00467DB0">
        <w:tab/>
      </w:r>
      <w:proofErr w:type="spellStart"/>
      <w:r w:rsidRPr="00467DB0">
        <w:t>afbødning</w:t>
      </w:r>
      <w:proofErr w:type="spellEnd"/>
      <w:r w:rsidRPr="00467DB0">
        <w:t xml:space="preserve"> </w:t>
      </w:r>
      <w:proofErr w:type="spellStart"/>
      <w:r w:rsidRPr="00467DB0">
        <w:t>af</w:t>
      </w:r>
      <w:proofErr w:type="spellEnd"/>
      <w:r w:rsidRPr="00467DB0">
        <w:t xml:space="preserve"> </w:t>
      </w:r>
      <w:proofErr w:type="spellStart"/>
      <w:r w:rsidRPr="00467DB0">
        <w:t>rumaffald</w:t>
      </w:r>
      <w:proofErr w:type="spellEnd"/>
      <w:r w:rsidRPr="00467DB0">
        <w:t xml:space="preserve"> med </w:t>
      </w:r>
      <w:proofErr w:type="spellStart"/>
      <w:r w:rsidRPr="00467DB0">
        <w:t>henblik</w:t>
      </w:r>
      <w:proofErr w:type="spellEnd"/>
      <w:r w:rsidRPr="00467DB0">
        <w:t xml:space="preserve"> på at </w:t>
      </w:r>
      <w:proofErr w:type="spellStart"/>
      <w:r w:rsidRPr="00467DB0">
        <w:t>reducere</w:t>
      </w:r>
      <w:proofErr w:type="spellEnd"/>
      <w:r w:rsidRPr="00467DB0">
        <w:t xml:space="preserve"> </w:t>
      </w:r>
      <w:proofErr w:type="gramStart"/>
      <w:r w:rsidRPr="00467DB0">
        <w:t>generering</w:t>
      </w:r>
      <w:proofErr w:type="gramEnd"/>
      <w:r w:rsidRPr="00467DB0">
        <w:t xml:space="preserve"> </w:t>
      </w:r>
      <w:proofErr w:type="spellStart"/>
      <w:r w:rsidRPr="00467DB0">
        <w:t>heraf</w:t>
      </w:r>
      <w:proofErr w:type="spellEnd"/>
      <w:r w:rsidRPr="00467DB0">
        <w:t>, og</w:t>
      </w:r>
    </w:p>
    <w:p w14:paraId="56ED9F8C" w14:textId="77777777" w:rsidR="00000000" w:rsidRPr="00467DB0" w:rsidRDefault="00693D67" w:rsidP="00467DB0">
      <w:pPr>
        <w:pStyle w:val="friliste3"/>
      </w:pPr>
      <w:r w:rsidRPr="00467DB0">
        <w:t>ii)</w:t>
      </w:r>
      <w:r w:rsidRPr="00467DB0">
        <w:tab/>
        <w:t xml:space="preserve">nedbringelse </w:t>
      </w:r>
      <w:proofErr w:type="spellStart"/>
      <w:r w:rsidRPr="00467DB0">
        <w:t>af</w:t>
      </w:r>
      <w:proofErr w:type="spellEnd"/>
      <w:r w:rsidRPr="00467DB0">
        <w:t xml:space="preserve"> </w:t>
      </w:r>
      <w:proofErr w:type="spellStart"/>
      <w:r w:rsidRPr="00467DB0">
        <w:t>rumaffald</w:t>
      </w:r>
      <w:proofErr w:type="spellEnd"/>
      <w:r w:rsidRPr="00467DB0">
        <w:t xml:space="preserve"> </w:t>
      </w:r>
      <w:proofErr w:type="spellStart"/>
      <w:r w:rsidRPr="00467DB0">
        <w:t>gennem</w:t>
      </w:r>
      <w:proofErr w:type="spellEnd"/>
      <w:r w:rsidRPr="00467DB0">
        <w:t xml:space="preserve"> forvaltning </w:t>
      </w:r>
      <w:proofErr w:type="spellStart"/>
      <w:r w:rsidRPr="00467DB0">
        <w:t>af</w:t>
      </w:r>
      <w:proofErr w:type="spellEnd"/>
      <w:r w:rsidRPr="00467DB0">
        <w:t xml:space="preserve"> det eksisterende </w:t>
      </w:r>
      <w:proofErr w:type="spellStart"/>
      <w:r w:rsidRPr="00467DB0">
        <w:t>rum</w:t>
      </w:r>
      <w:r w:rsidRPr="00467DB0">
        <w:t>affald</w:t>
      </w:r>
      <w:proofErr w:type="spellEnd"/>
      <w:r w:rsidRPr="00467DB0">
        <w:t>.</w:t>
      </w:r>
    </w:p>
    <w:p w14:paraId="750E9BE4" w14:textId="77777777" w:rsidR="00000000" w:rsidRPr="00467DB0" w:rsidRDefault="00693D67" w:rsidP="00467DB0">
      <w:pPr>
        <w:pStyle w:val="friliste"/>
      </w:pPr>
      <w:r w:rsidRPr="00467DB0">
        <w:t>2.</w:t>
      </w:r>
      <w:r w:rsidRPr="00467DB0">
        <w:tab/>
        <w:t xml:space="preserve">SST-tjenester skal være gratis og til enhver tid være til </w:t>
      </w:r>
      <w:proofErr w:type="spellStart"/>
      <w:r w:rsidRPr="00467DB0">
        <w:t>rådighed</w:t>
      </w:r>
      <w:proofErr w:type="spellEnd"/>
      <w:r w:rsidRPr="00467DB0">
        <w:t xml:space="preserve"> </w:t>
      </w:r>
      <w:proofErr w:type="spellStart"/>
      <w:r w:rsidRPr="00467DB0">
        <w:t>uden</w:t>
      </w:r>
      <w:proofErr w:type="spellEnd"/>
      <w:r w:rsidRPr="00467DB0">
        <w:t xml:space="preserve"> </w:t>
      </w:r>
      <w:proofErr w:type="spellStart"/>
      <w:r w:rsidRPr="00467DB0">
        <w:t>afbrydelser</w:t>
      </w:r>
      <w:proofErr w:type="spellEnd"/>
      <w:r w:rsidRPr="00467DB0">
        <w:t xml:space="preserve"> samt være tilpasset behovene hos SST-</w:t>
      </w:r>
      <w:proofErr w:type="spellStart"/>
      <w:r w:rsidRPr="00467DB0">
        <w:t>brugerne</w:t>
      </w:r>
      <w:proofErr w:type="spellEnd"/>
      <w:r w:rsidRPr="00467DB0">
        <w:t xml:space="preserve"> som omhandlet i </w:t>
      </w:r>
      <w:proofErr w:type="spellStart"/>
      <w:r w:rsidRPr="00467DB0">
        <w:t>artikel</w:t>
      </w:r>
      <w:proofErr w:type="spellEnd"/>
      <w:r w:rsidRPr="00467DB0">
        <w:t xml:space="preserve"> 56.</w:t>
      </w:r>
    </w:p>
    <w:p w14:paraId="4C7F7875" w14:textId="77777777" w:rsidR="00000000" w:rsidRPr="00467DB0" w:rsidRDefault="00693D67" w:rsidP="00467DB0">
      <w:pPr>
        <w:pStyle w:val="friliste"/>
      </w:pPr>
      <w:r w:rsidRPr="00467DB0">
        <w:t>3.</w:t>
      </w:r>
      <w:r w:rsidRPr="00467DB0">
        <w:tab/>
        <w:t xml:space="preserve">Medlemsstater, der deltager i SST-komponenten, </w:t>
      </w:r>
      <w:proofErr w:type="spellStart"/>
      <w:r w:rsidRPr="00467DB0">
        <w:t>Kommissionen</w:t>
      </w:r>
      <w:proofErr w:type="spellEnd"/>
      <w:r w:rsidRPr="00467DB0">
        <w:t xml:space="preserve"> og, hvor det er relevant</w:t>
      </w:r>
      <w:r w:rsidRPr="00467DB0">
        <w:t xml:space="preserve">, SST-kontaktpunktet omhandlet i </w:t>
      </w:r>
      <w:proofErr w:type="spellStart"/>
      <w:r w:rsidRPr="00467DB0">
        <w:t>artikel</w:t>
      </w:r>
      <w:proofErr w:type="spellEnd"/>
      <w:r w:rsidRPr="00467DB0">
        <w:t xml:space="preserve"> 58, stk. 1, holdes ikke ansvarlige for:</w:t>
      </w:r>
    </w:p>
    <w:p w14:paraId="513CF971" w14:textId="77777777" w:rsidR="00000000" w:rsidRPr="00467DB0" w:rsidRDefault="00693D67" w:rsidP="00467DB0">
      <w:pPr>
        <w:pStyle w:val="friliste2"/>
      </w:pPr>
      <w:r w:rsidRPr="00467DB0">
        <w:t>a)</w:t>
      </w:r>
      <w:r w:rsidRPr="00467DB0">
        <w:tab/>
        <w:t xml:space="preserve">skader, der skyldes mangel på eller </w:t>
      </w:r>
      <w:proofErr w:type="spellStart"/>
      <w:r w:rsidRPr="00467DB0">
        <w:t>afbrydelse</w:t>
      </w:r>
      <w:proofErr w:type="spellEnd"/>
      <w:r w:rsidRPr="00467DB0">
        <w:t xml:space="preserve"> </w:t>
      </w:r>
      <w:proofErr w:type="spellStart"/>
      <w:r w:rsidRPr="00467DB0">
        <w:t>af</w:t>
      </w:r>
      <w:proofErr w:type="spellEnd"/>
      <w:r w:rsidRPr="00467DB0">
        <w:t xml:space="preserve"> SST-tjenester</w:t>
      </w:r>
    </w:p>
    <w:p w14:paraId="2B3A5532" w14:textId="77777777" w:rsidR="00000000" w:rsidRPr="00467DB0" w:rsidRDefault="00693D67" w:rsidP="00467DB0">
      <w:pPr>
        <w:pStyle w:val="friliste2"/>
      </w:pPr>
      <w:r w:rsidRPr="00467DB0">
        <w:t>b)</w:t>
      </w:r>
      <w:r w:rsidRPr="00467DB0">
        <w:tab/>
        <w:t xml:space="preserve">forsinkelse i leveringen </w:t>
      </w:r>
      <w:proofErr w:type="spellStart"/>
      <w:r w:rsidRPr="00467DB0">
        <w:t>af</w:t>
      </w:r>
      <w:proofErr w:type="spellEnd"/>
      <w:r w:rsidRPr="00467DB0">
        <w:t xml:space="preserve"> SST-tjenester</w:t>
      </w:r>
    </w:p>
    <w:p w14:paraId="77E31D47" w14:textId="77777777" w:rsidR="00000000" w:rsidRPr="00467DB0" w:rsidRDefault="00693D67" w:rsidP="00467DB0">
      <w:pPr>
        <w:pStyle w:val="friliste2"/>
      </w:pPr>
      <w:r w:rsidRPr="00467DB0">
        <w:t>c)</w:t>
      </w:r>
      <w:r w:rsidRPr="00467DB0">
        <w:tab/>
      </w:r>
      <w:proofErr w:type="spellStart"/>
      <w:r w:rsidRPr="00467DB0">
        <w:t>unøj</w:t>
      </w:r>
      <w:r w:rsidRPr="00467DB0">
        <w:t>agtige</w:t>
      </w:r>
      <w:proofErr w:type="spellEnd"/>
      <w:r w:rsidRPr="00467DB0">
        <w:t xml:space="preserve"> </w:t>
      </w:r>
      <w:proofErr w:type="spellStart"/>
      <w:r w:rsidRPr="00467DB0">
        <w:t>oplysninger</w:t>
      </w:r>
      <w:proofErr w:type="spellEnd"/>
      <w:r w:rsidRPr="00467DB0">
        <w:t xml:space="preserve"> </w:t>
      </w:r>
      <w:proofErr w:type="spellStart"/>
      <w:r w:rsidRPr="00467DB0">
        <w:t>leveret</w:t>
      </w:r>
      <w:proofErr w:type="spellEnd"/>
      <w:r w:rsidRPr="00467DB0">
        <w:t xml:space="preserve"> </w:t>
      </w:r>
      <w:proofErr w:type="spellStart"/>
      <w:r w:rsidRPr="00467DB0">
        <w:t>gennem</w:t>
      </w:r>
      <w:proofErr w:type="spellEnd"/>
      <w:r w:rsidRPr="00467DB0">
        <w:t xml:space="preserve"> SST-</w:t>
      </w:r>
      <w:proofErr w:type="spellStart"/>
      <w:r w:rsidRPr="00467DB0">
        <w:t>tjenesterne</w:t>
      </w:r>
      <w:proofErr w:type="spellEnd"/>
      <w:r w:rsidRPr="00467DB0">
        <w:t xml:space="preserve"> </w:t>
      </w:r>
    </w:p>
    <w:p w14:paraId="5EE71CE2" w14:textId="77777777" w:rsidR="00000000" w:rsidRPr="00467DB0" w:rsidRDefault="00693D67" w:rsidP="00467DB0">
      <w:pPr>
        <w:pStyle w:val="friliste2"/>
      </w:pPr>
      <w:r w:rsidRPr="00467DB0">
        <w:t>d)</w:t>
      </w:r>
      <w:r w:rsidRPr="00467DB0">
        <w:tab/>
        <w:t xml:space="preserve">eventuelle foranstaltninger, der </w:t>
      </w:r>
      <w:proofErr w:type="spellStart"/>
      <w:r w:rsidRPr="00467DB0">
        <w:t>iværksættes</w:t>
      </w:r>
      <w:proofErr w:type="spellEnd"/>
      <w:r w:rsidRPr="00467DB0">
        <w:t xml:space="preserve"> som </w:t>
      </w:r>
      <w:proofErr w:type="spellStart"/>
      <w:r w:rsidRPr="00467DB0">
        <w:t>reaktion</w:t>
      </w:r>
      <w:proofErr w:type="spellEnd"/>
      <w:r w:rsidRPr="00467DB0">
        <w:t xml:space="preserve"> på leveringen </w:t>
      </w:r>
      <w:proofErr w:type="spellStart"/>
      <w:r w:rsidRPr="00467DB0">
        <w:t>af</w:t>
      </w:r>
      <w:proofErr w:type="spellEnd"/>
      <w:r w:rsidRPr="00467DB0">
        <w:t xml:space="preserve"> SST-tjenester.</w:t>
      </w:r>
    </w:p>
    <w:p w14:paraId="634C001D" w14:textId="77777777" w:rsidR="00000000" w:rsidRPr="00467DB0" w:rsidRDefault="00693D67" w:rsidP="00467DB0">
      <w:pPr>
        <w:pStyle w:val="avsnitt-undertittel"/>
      </w:pPr>
      <w:proofErr w:type="spellStart"/>
      <w:r w:rsidRPr="00467DB0">
        <w:t>Artikel</w:t>
      </w:r>
      <w:proofErr w:type="spellEnd"/>
      <w:r w:rsidRPr="00467DB0">
        <w:t> 56</w:t>
      </w:r>
    </w:p>
    <w:p w14:paraId="75AD3598" w14:textId="77777777" w:rsidR="00000000" w:rsidRPr="00467DB0" w:rsidRDefault="00693D67" w:rsidP="00467DB0">
      <w:pPr>
        <w:pStyle w:val="Undertittel"/>
      </w:pPr>
      <w:r w:rsidRPr="00467DB0">
        <w:t>SST-</w:t>
      </w:r>
      <w:proofErr w:type="spellStart"/>
      <w:r w:rsidRPr="00467DB0">
        <w:t>brugere</w:t>
      </w:r>
      <w:proofErr w:type="spellEnd"/>
    </w:p>
    <w:p w14:paraId="10EDF8FD" w14:textId="77777777" w:rsidR="00000000" w:rsidRPr="00467DB0" w:rsidRDefault="00693D67" w:rsidP="00467DB0">
      <w:pPr>
        <w:pStyle w:val="friliste"/>
      </w:pPr>
      <w:r w:rsidRPr="00467DB0">
        <w:t>1.</w:t>
      </w:r>
      <w:r w:rsidRPr="00467DB0">
        <w:tab/>
        <w:t>Unionens SST-</w:t>
      </w:r>
      <w:proofErr w:type="spellStart"/>
      <w:r w:rsidRPr="00467DB0">
        <w:t>brugerne</w:t>
      </w:r>
      <w:proofErr w:type="spellEnd"/>
      <w:r w:rsidRPr="00467DB0">
        <w:t xml:space="preserve"> omfatter:</w:t>
      </w:r>
    </w:p>
    <w:p w14:paraId="1475C3A0" w14:textId="77777777" w:rsidR="00000000" w:rsidRPr="00467DB0" w:rsidRDefault="00693D67" w:rsidP="00467DB0">
      <w:pPr>
        <w:pStyle w:val="friliste2"/>
      </w:pPr>
      <w:r w:rsidRPr="00467DB0">
        <w:t>a)</w:t>
      </w:r>
      <w:r w:rsidRPr="00467DB0">
        <w:tab/>
        <w:t>SST-</w:t>
      </w:r>
      <w:proofErr w:type="spellStart"/>
      <w:r w:rsidRPr="00467DB0">
        <w:t>kernebrugere</w:t>
      </w:r>
      <w:proofErr w:type="spellEnd"/>
      <w:r w:rsidRPr="00467DB0">
        <w:t xml:space="preserve">: </w:t>
      </w:r>
      <w:proofErr w:type="spellStart"/>
      <w:r w:rsidRPr="00467DB0">
        <w:t>medlemsstaterne</w:t>
      </w:r>
      <w:proofErr w:type="spellEnd"/>
      <w:r w:rsidRPr="00467DB0">
        <w:t>, EU-</w:t>
      </w:r>
      <w:proofErr w:type="spellStart"/>
      <w:r w:rsidRPr="00467DB0">
        <w:t>Udenrigstjene</w:t>
      </w:r>
      <w:r w:rsidRPr="00467DB0">
        <w:t>sten</w:t>
      </w:r>
      <w:proofErr w:type="spellEnd"/>
      <w:r w:rsidRPr="00467DB0">
        <w:t xml:space="preserve">, </w:t>
      </w:r>
      <w:proofErr w:type="spellStart"/>
      <w:r w:rsidRPr="00467DB0">
        <w:t>Kommissionen</w:t>
      </w:r>
      <w:proofErr w:type="spellEnd"/>
      <w:r w:rsidRPr="00467DB0">
        <w:t xml:space="preserve">, Rådet, agenturet samt offentlige og private </w:t>
      </w:r>
      <w:proofErr w:type="spellStart"/>
      <w:r w:rsidRPr="00467DB0">
        <w:t>ejere</w:t>
      </w:r>
      <w:proofErr w:type="spellEnd"/>
      <w:r w:rsidRPr="00467DB0">
        <w:t xml:space="preserve"> og operatører </w:t>
      </w:r>
      <w:proofErr w:type="spellStart"/>
      <w:r w:rsidRPr="00467DB0">
        <w:t>af</w:t>
      </w:r>
      <w:proofErr w:type="spellEnd"/>
      <w:r w:rsidRPr="00467DB0">
        <w:t xml:space="preserve"> </w:t>
      </w:r>
      <w:proofErr w:type="spellStart"/>
      <w:r w:rsidRPr="00467DB0">
        <w:t>rumfartøjer</w:t>
      </w:r>
      <w:proofErr w:type="spellEnd"/>
      <w:r w:rsidRPr="00467DB0">
        <w:t xml:space="preserve">, der er </w:t>
      </w:r>
      <w:proofErr w:type="spellStart"/>
      <w:r w:rsidRPr="00467DB0">
        <w:t>etableret</w:t>
      </w:r>
      <w:proofErr w:type="spellEnd"/>
      <w:r w:rsidRPr="00467DB0">
        <w:t xml:space="preserve"> i Unionen</w:t>
      </w:r>
    </w:p>
    <w:p w14:paraId="04DE9012" w14:textId="77777777" w:rsidR="00000000" w:rsidRPr="00467DB0" w:rsidRDefault="00693D67" w:rsidP="00467DB0">
      <w:pPr>
        <w:pStyle w:val="friliste2"/>
      </w:pPr>
      <w:r w:rsidRPr="00467DB0">
        <w:t>b)</w:t>
      </w:r>
      <w:r w:rsidRPr="00467DB0">
        <w:tab/>
        <w:t>SST-</w:t>
      </w:r>
      <w:proofErr w:type="spellStart"/>
      <w:r w:rsidRPr="00467DB0">
        <w:t>brugere</w:t>
      </w:r>
      <w:proofErr w:type="spellEnd"/>
      <w:r w:rsidRPr="00467DB0">
        <w:t xml:space="preserve">, der ikke er </w:t>
      </w:r>
      <w:proofErr w:type="spellStart"/>
      <w:r w:rsidRPr="00467DB0">
        <w:t>kernebrugere</w:t>
      </w:r>
      <w:proofErr w:type="spellEnd"/>
      <w:r w:rsidRPr="00467DB0">
        <w:t xml:space="preserve">: andre offentlige og private </w:t>
      </w:r>
      <w:proofErr w:type="spellStart"/>
      <w:r w:rsidRPr="00467DB0">
        <w:t>enheder</w:t>
      </w:r>
      <w:proofErr w:type="spellEnd"/>
      <w:r w:rsidRPr="00467DB0">
        <w:t xml:space="preserve">, der er </w:t>
      </w:r>
      <w:proofErr w:type="spellStart"/>
      <w:r w:rsidRPr="00467DB0">
        <w:t>etableret</w:t>
      </w:r>
      <w:proofErr w:type="spellEnd"/>
      <w:r w:rsidRPr="00467DB0">
        <w:t xml:space="preserve"> i Unionen.</w:t>
      </w:r>
    </w:p>
    <w:p w14:paraId="6949A5D4" w14:textId="77777777" w:rsidR="00000000" w:rsidRPr="00467DB0" w:rsidRDefault="00693D67" w:rsidP="00467DB0">
      <w:pPr>
        <w:pStyle w:val="Listeavsnitt2"/>
      </w:pPr>
      <w:r w:rsidRPr="00467DB0">
        <w:t>SST-</w:t>
      </w:r>
      <w:proofErr w:type="spellStart"/>
      <w:r w:rsidRPr="00467DB0">
        <w:t>kernebrugere</w:t>
      </w:r>
      <w:proofErr w:type="spellEnd"/>
      <w:r w:rsidRPr="00467DB0">
        <w:t xml:space="preserve"> har adgang til alle de i </w:t>
      </w:r>
      <w:proofErr w:type="spellStart"/>
      <w:r w:rsidRPr="00467DB0">
        <w:t>artikel</w:t>
      </w:r>
      <w:proofErr w:type="spellEnd"/>
      <w:r w:rsidRPr="00467DB0">
        <w:t xml:space="preserve"> 55, stk. 1, omhandlede SST-tjenester.</w:t>
      </w:r>
    </w:p>
    <w:p w14:paraId="496BA50F" w14:textId="77777777" w:rsidR="00000000" w:rsidRPr="00467DB0" w:rsidRDefault="00693D67" w:rsidP="00467DB0">
      <w:pPr>
        <w:pStyle w:val="Listeavsnitt2"/>
      </w:pPr>
      <w:r w:rsidRPr="00467DB0">
        <w:t>SST-</w:t>
      </w:r>
      <w:proofErr w:type="spellStart"/>
      <w:r w:rsidRPr="00467DB0">
        <w:t>brugere</w:t>
      </w:r>
      <w:proofErr w:type="spellEnd"/>
      <w:r w:rsidRPr="00467DB0">
        <w:t xml:space="preserve">, der ikke er </w:t>
      </w:r>
      <w:proofErr w:type="spellStart"/>
      <w:r w:rsidRPr="00467DB0">
        <w:t>kernebrugere</w:t>
      </w:r>
      <w:proofErr w:type="spellEnd"/>
      <w:r w:rsidRPr="00467DB0">
        <w:t xml:space="preserve">, kan få adgang til alle de i </w:t>
      </w:r>
      <w:proofErr w:type="spellStart"/>
      <w:r w:rsidRPr="00467DB0">
        <w:t>artikel</w:t>
      </w:r>
      <w:proofErr w:type="spellEnd"/>
      <w:r w:rsidRPr="00467DB0">
        <w:t xml:space="preserve"> 55, stk. 1, litra b)-d), omhandlede SST-tjenester.</w:t>
      </w:r>
    </w:p>
    <w:p w14:paraId="41A811A2" w14:textId="77777777" w:rsidR="00000000" w:rsidRPr="00467DB0" w:rsidRDefault="00693D67" w:rsidP="00467DB0">
      <w:pPr>
        <w:pStyle w:val="friliste"/>
      </w:pPr>
      <w:r w:rsidRPr="00467DB0">
        <w:t>2.</w:t>
      </w:r>
      <w:r w:rsidRPr="00467DB0">
        <w:tab/>
      </w:r>
      <w:proofErr w:type="spellStart"/>
      <w:r w:rsidRPr="00467DB0">
        <w:t>Internationale</w:t>
      </w:r>
      <w:proofErr w:type="spellEnd"/>
      <w:r w:rsidRPr="00467DB0">
        <w:t xml:space="preserve"> SST-</w:t>
      </w:r>
      <w:proofErr w:type="spellStart"/>
      <w:r w:rsidRPr="00467DB0">
        <w:t>brugere</w:t>
      </w:r>
      <w:proofErr w:type="spellEnd"/>
      <w:r w:rsidRPr="00467DB0">
        <w:t xml:space="preserve"> omfatter </w:t>
      </w:r>
      <w:proofErr w:type="spellStart"/>
      <w:r w:rsidRPr="00467DB0">
        <w:t>t</w:t>
      </w:r>
      <w:r w:rsidRPr="00467DB0">
        <w:t>redjelande</w:t>
      </w:r>
      <w:proofErr w:type="spellEnd"/>
      <w:r w:rsidRPr="00467DB0">
        <w:t xml:space="preserve">, </w:t>
      </w:r>
      <w:proofErr w:type="spellStart"/>
      <w:r w:rsidRPr="00467DB0">
        <w:t>internationale</w:t>
      </w:r>
      <w:proofErr w:type="spellEnd"/>
      <w:r w:rsidRPr="00467DB0">
        <w:t xml:space="preserve"> </w:t>
      </w:r>
      <w:proofErr w:type="spellStart"/>
      <w:r w:rsidRPr="00467DB0">
        <w:t>organisationer</w:t>
      </w:r>
      <w:proofErr w:type="spellEnd"/>
      <w:r w:rsidRPr="00467DB0">
        <w:t xml:space="preserve">, der ikke har deres hjemsted i Unionen, og private </w:t>
      </w:r>
      <w:proofErr w:type="spellStart"/>
      <w:r w:rsidRPr="00467DB0">
        <w:t>enheder</w:t>
      </w:r>
      <w:proofErr w:type="spellEnd"/>
      <w:r w:rsidRPr="00467DB0">
        <w:t xml:space="preserve">, der ikke er </w:t>
      </w:r>
      <w:proofErr w:type="spellStart"/>
      <w:r w:rsidRPr="00467DB0">
        <w:t>etableret</w:t>
      </w:r>
      <w:proofErr w:type="spellEnd"/>
      <w:r w:rsidRPr="00467DB0">
        <w:t xml:space="preserve"> i Unionen. De har adgang til SST-tjenester på følgende betingelser:</w:t>
      </w:r>
    </w:p>
    <w:p w14:paraId="67B93DE1" w14:textId="77777777" w:rsidR="00000000" w:rsidRPr="00467DB0" w:rsidRDefault="00693D67" w:rsidP="00467DB0">
      <w:pPr>
        <w:pStyle w:val="friliste2"/>
      </w:pPr>
      <w:r w:rsidRPr="00467DB0">
        <w:t>a)</w:t>
      </w:r>
      <w:r w:rsidRPr="00467DB0">
        <w:tab/>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der ikke har de</w:t>
      </w:r>
      <w:r w:rsidRPr="00467DB0">
        <w:t xml:space="preserve">res hjemsted i Unionen, kan få adgang til SST-tjenester i henhold til </w:t>
      </w:r>
      <w:proofErr w:type="spellStart"/>
      <w:r w:rsidRPr="00467DB0">
        <w:t>artikel</w:t>
      </w:r>
      <w:proofErr w:type="spellEnd"/>
      <w:r w:rsidRPr="00467DB0">
        <w:t xml:space="preserve"> 8, stk. 2</w:t>
      </w:r>
    </w:p>
    <w:p w14:paraId="4887CC43" w14:textId="77777777" w:rsidR="00000000" w:rsidRPr="00467DB0" w:rsidRDefault="00693D67" w:rsidP="00467DB0">
      <w:pPr>
        <w:pStyle w:val="friliste2"/>
      </w:pPr>
      <w:r w:rsidRPr="00467DB0">
        <w:lastRenderedPageBreak/>
        <w:t>b)</w:t>
      </w:r>
      <w:r w:rsidRPr="00467DB0">
        <w:tab/>
        <w:t xml:space="preserve">private </w:t>
      </w:r>
      <w:proofErr w:type="spellStart"/>
      <w:r w:rsidRPr="00467DB0">
        <w:t>enheder</w:t>
      </w:r>
      <w:proofErr w:type="spellEnd"/>
      <w:r w:rsidRPr="00467DB0">
        <w:t xml:space="preserve">, der ikke er </w:t>
      </w:r>
      <w:proofErr w:type="spellStart"/>
      <w:r w:rsidRPr="00467DB0">
        <w:t>etableret</w:t>
      </w:r>
      <w:proofErr w:type="spellEnd"/>
      <w:r w:rsidRPr="00467DB0">
        <w:t xml:space="preserve"> i Unionen, kan få adgang til SST-tjenester, der er omfattet </w:t>
      </w:r>
      <w:proofErr w:type="spellStart"/>
      <w:r w:rsidRPr="00467DB0">
        <w:t>af</w:t>
      </w:r>
      <w:proofErr w:type="spellEnd"/>
      <w:r w:rsidRPr="00467DB0">
        <w:t xml:space="preserve"> en </w:t>
      </w:r>
      <w:proofErr w:type="spellStart"/>
      <w:r w:rsidRPr="00467DB0">
        <w:t>international</w:t>
      </w:r>
      <w:proofErr w:type="spellEnd"/>
      <w:r w:rsidRPr="00467DB0">
        <w:t xml:space="preserve"> </w:t>
      </w:r>
      <w:proofErr w:type="spellStart"/>
      <w:r w:rsidRPr="00467DB0">
        <w:t>aftale</w:t>
      </w:r>
      <w:proofErr w:type="spellEnd"/>
      <w:r w:rsidRPr="00467DB0">
        <w:t xml:space="preserve">, som Unionen har </w:t>
      </w:r>
      <w:proofErr w:type="spellStart"/>
      <w:r w:rsidRPr="00467DB0">
        <w:t>indgået</w:t>
      </w:r>
      <w:proofErr w:type="spellEnd"/>
      <w:r w:rsidRPr="00467DB0">
        <w:t xml:space="preserve"> i overensstemm</w:t>
      </w:r>
      <w:r w:rsidRPr="00467DB0">
        <w:t xml:space="preserve">else med </w:t>
      </w:r>
      <w:proofErr w:type="spellStart"/>
      <w:r w:rsidRPr="00467DB0">
        <w:t>artikel</w:t>
      </w:r>
      <w:proofErr w:type="spellEnd"/>
      <w:r w:rsidRPr="00467DB0">
        <w:t xml:space="preserve"> 8, stk. 2, sammen med det tredjeland, hvor de er </w:t>
      </w:r>
      <w:proofErr w:type="spellStart"/>
      <w:r w:rsidRPr="00467DB0">
        <w:t>etableret</w:t>
      </w:r>
      <w:proofErr w:type="spellEnd"/>
      <w:r w:rsidRPr="00467DB0">
        <w:t xml:space="preserve">, og som </w:t>
      </w:r>
      <w:proofErr w:type="spellStart"/>
      <w:r w:rsidRPr="00467DB0">
        <w:t>giver</w:t>
      </w:r>
      <w:proofErr w:type="spellEnd"/>
      <w:r w:rsidRPr="00467DB0">
        <w:t xml:space="preserve"> dem denne adgang.</w:t>
      </w:r>
    </w:p>
    <w:p w14:paraId="1CB3F2EB" w14:textId="77777777" w:rsidR="00000000" w:rsidRPr="00467DB0" w:rsidRDefault="00693D67" w:rsidP="00467DB0">
      <w:pPr>
        <w:pStyle w:val="friliste"/>
      </w:pPr>
      <w:r w:rsidRPr="00467DB0">
        <w:t>3.</w:t>
      </w:r>
      <w:r w:rsidRPr="00467DB0">
        <w:tab/>
      </w:r>
      <w:proofErr w:type="spellStart"/>
      <w:r w:rsidRPr="00467DB0">
        <w:t>Uanset</w:t>
      </w:r>
      <w:proofErr w:type="spellEnd"/>
      <w:r w:rsidRPr="00467DB0">
        <w:t xml:space="preserve"> denne </w:t>
      </w:r>
      <w:proofErr w:type="spellStart"/>
      <w:r w:rsidRPr="00467DB0">
        <w:t>artikels</w:t>
      </w:r>
      <w:proofErr w:type="spellEnd"/>
      <w:r w:rsidRPr="00467DB0">
        <w:t xml:space="preserve"> stk. 2 </w:t>
      </w:r>
      <w:proofErr w:type="spellStart"/>
      <w:r w:rsidRPr="00467DB0">
        <w:t>kræves</w:t>
      </w:r>
      <w:proofErr w:type="spellEnd"/>
      <w:r w:rsidRPr="00467DB0">
        <w:t xml:space="preserve"> der ingen </w:t>
      </w:r>
      <w:proofErr w:type="spellStart"/>
      <w:r w:rsidRPr="00467DB0">
        <w:t>international</w:t>
      </w:r>
      <w:proofErr w:type="spellEnd"/>
      <w:r w:rsidRPr="00467DB0">
        <w:t xml:space="preserve"> </w:t>
      </w:r>
      <w:proofErr w:type="spellStart"/>
      <w:r w:rsidRPr="00467DB0">
        <w:t>aftale</w:t>
      </w:r>
      <w:proofErr w:type="spellEnd"/>
      <w:r w:rsidRPr="00467DB0">
        <w:t xml:space="preserve">, når en SST-tjeneste som omhandlet i </w:t>
      </w:r>
      <w:proofErr w:type="spellStart"/>
      <w:r w:rsidRPr="00467DB0">
        <w:t>artikel</w:t>
      </w:r>
      <w:proofErr w:type="spellEnd"/>
      <w:r w:rsidRPr="00467DB0">
        <w:t xml:space="preserve"> 55, stk. 1, er </w:t>
      </w:r>
      <w:proofErr w:type="spellStart"/>
      <w:r w:rsidRPr="00467DB0">
        <w:t>offentligt</w:t>
      </w:r>
      <w:proofErr w:type="spellEnd"/>
      <w:r w:rsidRPr="00467DB0">
        <w:t xml:space="preserve"> </w:t>
      </w:r>
      <w:proofErr w:type="spellStart"/>
      <w:r w:rsidRPr="00467DB0">
        <w:t>tilgæng</w:t>
      </w:r>
      <w:r w:rsidRPr="00467DB0">
        <w:t>elig</w:t>
      </w:r>
      <w:proofErr w:type="spellEnd"/>
      <w:r w:rsidRPr="00467DB0">
        <w:t>.</w:t>
      </w:r>
    </w:p>
    <w:p w14:paraId="3E7AED46"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kan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w:t>
      </w:r>
      <w:proofErr w:type="spellStart"/>
      <w:r w:rsidRPr="00467DB0">
        <w:t>vedtage</w:t>
      </w:r>
      <w:proofErr w:type="spellEnd"/>
      <w:r w:rsidRPr="00467DB0">
        <w:t xml:space="preserve"> nærmere bestemmelser </w:t>
      </w:r>
      <w:proofErr w:type="gramStart"/>
      <w:r w:rsidRPr="00467DB0">
        <w:t>vedrørende</w:t>
      </w:r>
      <w:proofErr w:type="gramEnd"/>
      <w:r w:rsidRPr="00467DB0">
        <w:t xml:space="preserve"> adgangen til SST-tjenester og relevante </w:t>
      </w:r>
      <w:proofErr w:type="spellStart"/>
      <w:r w:rsidRPr="00467DB0">
        <w:t>procedurer</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0CED7059" w14:textId="77777777" w:rsidR="00000000" w:rsidRPr="00467DB0" w:rsidRDefault="00693D67" w:rsidP="00467DB0">
      <w:pPr>
        <w:pStyle w:val="avsnitt-undertittel"/>
      </w:pPr>
      <w:proofErr w:type="spellStart"/>
      <w:r w:rsidRPr="00467DB0">
        <w:t>Artikel</w:t>
      </w:r>
      <w:proofErr w:type="spellEnd"/>
      <w:r w:rsidRPr="00467DB0">
        <w:t> 5</w:t>
      </w:r>
      <w:r w:rsidRPr="00467DB0">
        <w:t>7</w:t>
      </w:r>
    </w:p>
    <w:p w14:paraId="0BFBB89D" w14:textId="77777777" w:rsidR="00000000" w:rsidRPr="00467DB0" w:rsidRDefault="00693D67" w:rsidP="00467DB0">
      <w:pPr>
        <w:pStyle w:val="Undertittel"/>
      </w:pPr>
      <w:proofErr w:type="spellStart"/>
      <w:r w:rsidRPr="00467DB0">
        <w:t>Medlemsstaternes</w:t>
      </w:r>
      <w:proofErr w:type="spellEnd"/>
      <w:r w:rsidRPr="00467DB0">
        <w:t xml:space="preserve"> deltagelse i SST-delkomponenten</w:t>
      </w:r>
    </w:p>
    <w:p w14:paraId="52E60DF0" w14:textId="77777777" w:rsidR="00000000" w:rsidRPr="00467DB0" w:rsidRDefault="00693D67" w:rsidP="00467DB0">
      <w:pPr>
        <w:pStyle w:val="friliste"/>
      </w:pPr>
      <w:r w:rsidRPr="00467DB0">
        <w:t>1.</w:t>
      </w:r>
      <w:r w:rsidRPr="00467DB0">
        <w:tab/>
        <w:t xml:space="preserve">Medlemsstater, der ønsker at </w:t>
      </w:r>
      <w:proofErr w:type="spellStart"/>
      <w:r w:rsidRPr="00467DB0">
        <w:t>deltage</w:t>
      </w:r>
      <w:proofErr w:type="spellEnd"/>
      <w:r w:rsidRPr="00467DB0">
        <w:t xml:space="preserve"> i leveringen </w:t>
      </w:r>
      <w:proofErr w:type="spellStart"/>
      <w:r w:rsidRPr="00467DB0">
        <w:t>af</w:t>
      </w:r>
      <w:proofErr w:type="spellEnd"/>
      <w:r w:rsidRPr="00467DB0">
        <w:t xml:space="preserve"> SST-tjenester som omhandlet i </w:t>
      </w:r>
      <w:proofErr w:type="spellStart"/>
      <w:r w:rsidRPr="00467DB0">
        <w:t>artikel</w:t>
      </w:r>
      <w:proofErr w:type="spellEnd"/>
      <w:r w:rsidRPr="00467DB0">
        <w:t xml:space="preserve"> 55, stk. 1, som </w:t>
      </w:r>
      <w:proofErr w:type="spellStart"/>
      <w:r w:rsidRPr="00467DB0">
        <w:t>dækker</w:t>
      </w:r>
      <w:proofErr w:type="spellEnd"/>
      <w:r w:rsidRPr="00467DB0">
        <w:t xml:space="preserve"> alle </w:t>
      </w:r>
      <w:proofErr w:type="spellStart"/>
      <w:r w:rsidRPr="00467DB0">
        <w:t>kredsløb</w:t>
      </w:r>
      <w:proofErr w:type="spellEnd"/>
      <w:r w:rsidRPr="00467DB0">
        <w:t xml:space="preserve">, </w:t>
      </w:r>
      <w:proofErr w:type="spellStart"/>
      <w:r w:rsidRPr="00467DB0">
        <w:t>indsender</w:t>
      </w:r>
      <w:proofErr w:type="spellEnd"/>
      <w:r w:rsidRPr="00467DB0">
        <w:t xml:space="preserve"> til </w:t>
      </w:r>
      <w:proofErr w:type="spellStart"/>
      <w:r w:rsidRPr="00467DB0">
        <w:t>Kommissionen</w:t>
      </w:r>
      <w:proofErr w:type="spellEnd"/>
      <w:r w:rsidRPr="00467DB0">
        <w:t xml:space="preserve"> et enkelt </w:t>
      </w:r>
      <w:proofErr w:type="spellStart"/>
      <w:r w:rsidRPr="00467DB0">
        <w:t>fælles</w:t>
      </w:r>
      <w:proofErr w:type="spellEnd"/>
      <w:r w:rsidRPr="00467DB0">
        <w:t xml:space="preserve"> forslag, der påviser overhold</w:t>
      </w:r>
      <w:r w:rsidRPr="00467DB0">
        <w:t xml:space="preserve">else </w:t>
      </w:r>
      <w:proofErr w:type="spellStart"/>
      <w:r w:rsidRPr="00467DB0">
        <w:t>af</w:t>
      </w:r>
      <w:proofErr w:type="spellEnd"/>
      <w:r w:rsidRPr="00467DB0">
        <w:t xml:space="preserve"> følgende kriterier:</w:t>
      </w:r>
    </w:p>
    <w:p w14:paraId="5EB1A526" w14:textId="77777777" w:rsidR="00000000" w:rsidRPr="00467DB0" w:rsidRDefault="00693D67" w:rsidP="00467DB0">
      <w:pPr>
        <w:pStyle w:val="friliste2"/>
      </w:pPr>
      <w:r w:rsidRPr="00467DB0">
        <w:t>a)</w:t>
      </w:r>
      <w:r w:rsidRPr="00467DB0">
        <w:tab/>
      </w:r>
      <w:proofErr w:type="spellStart"/>
      <w:r w:rsidRPr="00467DB0">
        <w:t>ejerskab</w:t>
      </w:r>
      <w:proofErr w:type="spellEnd"/>
      <w:r w:rsidRPr="00467DB0">
        <w:t xml:space="preserve"> </w:t>
      </w:r>
      <w:proofErr w:type="spellStart"/>
      <w:r w:rsidRPr="00467DB0">
        <w:t>af</w:t>
      </w:r>
      <w:proofErr w:type="spellEnd"/>
      <w:r w:rsidRPr="00467DB0">
        <w:t xml:space="preserve"> eller adgang til passende SST-sensorer, som er til </w:t>
      </w:r>
      <w:proofErr w:type="spellStart"/>
      <w:r w:rsidRPr="00467DB0">
        <w:t>rådighed</w:t>
      </w:r>
      <w:proofErr w:type="spellEnd"/>
      <w:r w:rsidRPr="00467DB0">
        <w:t xml:space="preserve"> for SST-delkomponenten, og menneskelige </w:t>
      </w:r>
      <w:proofErr w:type="spellStart"/>
      <w:r w:rsidRPr="00467DB0">
        <w:t>ressourcer</w:t>
      </w:r>
      <w:proofErr w:type="spellEnd"/>
      <w:r w:rsidRPr="00467DB0">
        <w:t xml:space="preserve"> til at drive disse eller </w:t>
      </w:r>
      <w:proofErr w:type="spellStart"/>
      <w:r w:rsidRPr="00467DB0">
        <w:t>tilstrækkelige</w:t>
      </w:r>
      <w:proofErr w:type="spellEnd"/>
      <w:r w:rsidRPr="00467DB0">
        <w:t xml:space="preserve"> </w:t>
      </w:r>
      <w:proofErr w:type="spellStart"/>
      <w:r w:rsidRPr="00467DB0">
        <w:t>operationelle</w:t>
      </w:r>
      <w:proofErr w:type="spellEnd"/>
      <w:r w:rsidRPr="00467DB0">
        <w:t xml:space="preserve"> </w:t>
      </w:r>
      <w:proofErr w:type="spellStart"/>
      <w:r w:rsidRPr="00467DB0">
        <w:t>kapaciteter</w:t>
      </w:r>
      <w:proofErr w:type="spellEnd"/>
      <w:r w:rsidRPr="00467DB0">
        <w:t xml:space="preserve"> til analyse og databehandling, som e</w:t>
      </w:r>
      <w:r w:rsidRPr="00467DB0">
        <w:t xml:space="preserve">r </w:t>
      </w:r>
      <w:proofErr w:type="spellStart"/>
      <w:r w:rsidRPr="00467DB0">
        <w:t>specielt</w:t>
      </w:r>
      <w:proofErr w:type="spellEnd"/>
      <w:r w:rsidRPr="00467DB0">
        <w:t xml:space="preserve"> </w:t>
      </w:r>
      <w:proofErr w:type="spellStart"/>
      <w:r w:rsidRPr="00467DB0">
        <w:t>udformet</w:t>
      </w:r>
      <w:proofErr w:type="spellEnd"/>
      <w:r w:rsidRPr="00467DB0">
        <w:t xml:space="preserve"> til SST og </w:t>
      </w:r>
      <w:proofErr w:type="spellStart"/>
      <w:r w:rsidRPr="00467DB0">
        <w:t>tilgængelige</w:t>
      </w:r>
      <w:proofErr w:type="spellEnd"/>
      <w:r w:rsidRPr="00467DB0">
        <w:t xml:space="preserve"> for SST-delkomponenten</w:t>
      </w:r>
    </w:p>
    <w:p w14:paraId="60199166" w14:textId="77777777" w:rsidR="00000000" w:rsidRPr="00467DB0" w:rsidRDefault="00693D67" w:rsidP="00467DB0">
      <w:pPr>
        <w:pStyle w:val="friliste2"/>
      </w:pPr>
      <w:r w:rsidRPr="00467DB0">
        <w:t>b)</w:t>
      </w:r>
      <w:r w:rsidRPr="00467DB0">
        <w:tab/>
        <w:t xml:space="preserve">en </w:t>
      </w:r>
      <w:proofErr w:type="spellStart"/>
      <w:r w:rsidRPr="00467DB0">
        <w:t>indledende</w:t>
      </w:r>
      <w:proofErr w:type="spellEnd"/>
      <w:r w:rsidRPr="00467DB0">
        <w:t xml:space="preserve"> </w:t>
      </w:r>
      <w:proofErr w:type="spellStart"/>
      <w:r w:rsidRPr="00467DB0">
        <w:t>sikkerhedsrisikovurdering</w:t>
      </w:r>
      <w:proofErr w:type="spellEnd"/>
      <w:r w:rsidRPr="00467DB0">
        <w:t xml:space="preserve"> </w:t>
      </w:r>
      <w:proofErr w:type="spellStart"/>
      <w:r w:rsidRPr="00467DB0">
        <w:t>af</w:t>
      </w:r>
      <w:proofErr w:type="spellEnd"/>
      <w:r w:rsidRPr="00467DB0">
        <w:t xml:space="preserve"> alle SST-aktiver er </w:t>
      </w:r>
      <w:proofErr w:type="spellStart"/>
      <w:r w:rsidRPr="00467DB0">
        <w:t>udført</w:t>
      </w:r>
      <w:proofErr w:type="spellEnd"/>
      <w:r w:rsidRPr="00467DB0">
        <w:t xml:space="preserve"> og </w:t>
      </w:r>
      <w:proofErr w:type="spellStart"/>
      <w:r w:rsidRPr="00467DB0">
        <w:t>valideret</w:t>
      </w:r>
      <w:proofErr w:type="spellEnd"/>
      <w:r w:rsidRPr="00467DB0">
        <w:t xml:space="preserve"> </w:t>
      </w:r>
      <w:proofErr w:type="spellStart"/>
      <w:r w:rsidRPr="00467DB0">
        <w:t>af</w:t>
      </w:r>
      <w:proofErr w:type="spellEnd"/>
      <w:r w:rsidRPr="00467DB0">
        <w:t xml:space="preserve"> den </w:t>
      </w:r>
      <w:proofErr w:type="spellStart"/>
      <w:r w:rsidRPr="00467DB0">
        <w:t>pågældende</w:t>
      </w:r>
      <w:proofErr w:type="spellEnd"/>
      <w:r w:rsidRPr="00467DB0">
        <w:t xml:space="preserve"> medlemsstat</w:t>
      </w:r>
    </w:p>
    <w:p w14:paraId="4FEBD3CA" w14:textId="77777777" w:rsidR="00000000" w:rsidRPr="00467DB0" w:rsidRDefault="00693D67" w:rsidP="00467DB0">
      <w:pPr>
        <w:pStyle w:val="friliste2"/>
      </w:pPr>
      <w:r w:rsidRPr="00467DB0">
        <w:t>c)</w:t>
      </w:r>
      <w:r w:rsidRPr="00467DB0">
        <w:tab/>
        <w:t xml:space="preserve">en handlingsplan, der tager hensyn til koordineringsplanen </w:t>
      </w:r>
      <w:proofErr w:type="spellStart"/>
      <w:r w:rsidRPr="00467DB0">
        <w:t>vedtaget</w:t>
      </w:r>
      <w:proofErr w:type="spellEnd"/>
      <w:r w:rsidRPr="00467DB0">
        <w:t xml:space="preserve"> i </w:t>
      </w:r>
      <w:r w:rsidRPr="00467DB0">
        <w:t xml:space="preserve">henhold til </w:t>
      </w:r>
      <w:proofErr w:type="spellStart"/>
      <w:r w:rsidRPr="00467DB0">
        <w:t>artikel</w:t>
      </w:r>
      <w:proofErr w:type="spellEnd"/>
      <w:r w:rsidRPr="00467DB0">
        <w:t xml:space="preserve"> 6 i </w:t>
      </w:r>
      <w:proofErr w:type="spellStart"/>
      <w:r w:rsidRPr="00467DB0">
        <w:t>afgørelse</w:t>
      </w:r>
      <w:proofErr w:type="spellEnd"/>
      <w:r w:rsidRPr="00467DB0">
        <w:t xml:space="preserve"> nr. 541/2014/EU, med </w:t>
      </w:r>
      <w:proofErr w:type="spellStart"/>
      <w:r w:rsidRPr="00467DB0">
        <w:t>henblik</w:t>
      </w:r>
      <w:proofErr w:type="spellEnd"/>
      <w:r w:rsidRPr="00467DB0">
        <w:t xml:space="preserve"> på </w:t>
      </w:r>
      <w:proofErr w:type="spellStart"/>
      <w:r w:rsidRPr="00467DB0">
        <w:t>gennemførelse</w:t>
      </w:r>
      <w:proofErr w:type="spellEnd"/>
      <w:r w:rsidRPr="00467DB0">
        <w:t xml:space="preserve"> </w:t>
      </w:r>
      <w:proofErr w:type="spellStart"/>
      <w:r w:rsidRPr="00467DB0">
        <w:t>af</w:t>
      </w:r>
      <w:proofErr w:type="spellEnd"/>
      <w:r w:rsidRPr="00467DB0">
        <w:t xml:space="preserve"> de aktiviteter, der er anført i denne forordnings </w:t>
      </w:r>
      <w:proofErr w:type="spellStart"/>
      <w:r w:rsidRPr="00467DB0">
        <w:t>artikel</w:t>
      </w:r>
      <w:proofErr w:type="spellEnd"/>
      <w:r w:rsidRPr="00467DB0">
        <w:t xml:space="preserve"> 54</w:t>
      </w:r>
    </w:p>
    <w:p w14:paraId="2528CF24" w14:textId="77777777" w:rsidR="00000000" w:rsidRPr="00467DB0" w:rsidRDefault="00693D67" w:rsidP="00467DB0">
      <w:pPr>
        <w:pStyle w:val="friliste2"/>
      </w:pPr>
      <w:r w:rsidRPr="00467DB0">
        <w:t>d)</w:t>
      </w:r>
      <w:r w:rsidRPr="00467DB0">
        <w:tab/>
        <w:t xml:space="preserve">fordeling </w:t>
      </w:r>
      <w:proofErr w:type="spellStart"/>
      <w:r w:rsidRPr="00467DB0">
        <w:t>af</w:t>
      </w:r>
      <w:proofErr w:type="spellEnd"/>
      <w:r w:rsidRPr="00467DB0">
        <w:t xml:space="preserve"> de </w:t>
      </w:r>
      <w:proofErr w:type="spellStart"/>
      <w:r w:rsidRPr="00467DB0">
        <w:t>forskellige</w:t>
      </w:r>
      <w:proofErr w:type="spellEnd"/>
      <w:r w:rsidRPr="00467DB0">
        <w:t xml:space="preserve"> aktiviteter </w:t>
      </w:r>
      <w:proofErr w:type="spellStart"/>
      <w:r w:rsidRPr="00467DB0">
        <w:t>blandt</w:t>
      </w:r>
      <w:proofErr w:type="spellEnd"/>
      <w:r w:rsidRPr="00467DB0">
        <w:t xml:space="preserve"> de i henhold til denne forordnings </w:t>
      </w:r>
      <w:proofErr w:type="spellStart"/>
      <w:r w:rsidRPr="00467DB0">
        <w:t>artikel</w:t>
      </w:r>
      <w:proofErr w:type="spellEnd"/>
      <w:r w:rsidRPr="00467DB0">
        <w:t xml:space="preserve"> 58 </w:t>
      </w:r>
      <w:proofErr w:type="spellStart"/>
      <w:r w:rsidRPr="00467DB0">
        <w:t>udpegede</w:t>
      </w:r>
      <w:proofErr w:type="spellEnd"/>
      <w:r w:rsidRPr="00467DB0">
        <w:t xml:space="preserve"> ekspert</w:t>
      </w:r>
      <w:r w:rsidRPr="00467DB0">
        <w:t>grupper</w:t>
      </w:r>
    </w:p>
    <w:p w14:paraId="299F5AFE" w14:textId="77777777" w:rsidR="00000000" w:rsidRPr="00467DB0" w:rsidRDefault="00693D67" w:rsidP="00467DB0">
      <w:pPr>
        <w:pStyle w:val="friliste2"/>
      </w:pPr>
      <w:r w:rsidRPr="00467DB0">
        <w:t>e)</w:t>
      </w:r>
      <w:r w:rsidRPr="00467DB0">
        <w:tab/>
        <w:t xml:space="preserve">bestemmelser om den deling </w:t>
      </w:r>
      <w:proofErr w:type="spellStart"/>
      <w:r w:rsidRPr="00467DB0">
        <w:t>af</w:t>
      </w:r>
      <w:proofErr w:type="spellEnd"/>
      <w:r w:rsidRPr="00467DB0">
        <w:t xml:space="preserve"> data, som er nødvendig for at nå </w:t>
      </w:r>
      <w:proofErr w:type="spellStart"/>
      <w:r w:rsidRPr="00467DB0">
        <w:t>målsætningerne</w:t>
      </w:r>
      <w:proofErr w:type="spellEnd"/>
      <w:r w:rsidRPr="00467DB0">
        <w:t xml:space="preserve"> i denne forordnings </w:t>
      </w:r>
      <w:proofErr w:type="spellStart"/>
      <w:r w:rsidRPr="00467DB0">
        <w:t>artikel</w:t>
      </w:r>
      <w:proofErr w:type="spellEnd"/>
      <w:r w:rsidRPr="00467DB0">
        <w:t> 4.</w:t>
      </w:r>
    </w:p>
    <w:p w14:paraId="61727D9D" w14:textId="77777777" w:rsidR="00000000" w:rsidRPr="00467DB0" w:rsidRDefault="00693D67" w:rsidP="00467DB0">
      <w:pPr>
        <w:pStyle w:val="Listeavsnitt"/>
      </w:pPr>
      <w:r w:rsidRPr="00467DB0">
        <w:t xml:space="preserve">For så vidt angår </w:t>
      </w:r>
      <w:proofErr w:type="spellStart"/>
      <w:r w:rsidRPr="00467DB0">
        <w:t>kriterierne</w:t>
      </w:r>
      <w:proofErr w:type="spellEnd"/>
      <w:r w:rsidRPr="00467DB0">
        <w:t xml:space="preserve"> i før</w:t>
      </w:r>
      <w:r w:rsidRPr="00467DB0">
        <w:t xml:space="preserve">ste </w:t>
      </w:r>
      <w:proofErr w:type="spellStart"/>
      <w:r w:rsidRPr="00467DB0">
        <w:t>afsnit</w:t>
      </w:r>
      <w:proofErr w:type="spellEnd"/>
      <w:r w:rsidRPr="00467DB0">
        <w:t xml:space="preserve">, litra a) og b), skal de medlemsstater, som ønsker at </w:t>
      </w:r>
      <w:proofErr w:type="spellStart"/>
      <w:r w:rsidRPr="00467DB0">
        <w:t>deltage</w:t>
      </w:r>
      <w:proofErr w:type="spellEnd"/>
      <w:r w:rsidRPr="00467DB0">
        <w:t xml:space="preserve"> i leveringen </w:t>
      </w:r>
      <w:proofErr w:type="spellStart"/>
      <w:r w:rsidRPr="00467DB0">
        <w:t>af</w:t>
      </w:r>
      <w:proofErr w:type="spellEnd"/>
      <w:r w:rsidRPr="00467DB0">
        <w:t xml:space="preserve"> SST-tjenester, dokumentere, at de overholder disse kriterier separat.</w:t>
      </w:r>
    </w:p>
    <w:p w14:paraId="0049EAD9" w14:textId="77777777" w:rsidR="00000000" w:rsidRPr="00467DB0" w:rsidRDefault="00693D67" w:rsidP="00467DB0">
      <w:pPr>
        <w:pStyle w:val="Listeavsnitt"/>
      </w:pPr>
      <w:r w:rsidRPr="00467DB0">
        <w:t xml:space="preserve">For så vidt angår </w:t>
      </w:r>
      <w:proofErr w:type="spellStart"/>
      <w:r w:rsidRPr="00467DB0">
        <w:t>kriterierne</w:t>
      </w:r>
      <w:proofErr w:type="spellEnd"/>
      <w:r w:rsidRPr="00467DB0">
        <w:t xml:space="preserve"> i første </w:t>
      </w:r>
      <w:proofErr w:type="spellStart"/>
      <w:r w:rsidRPr="00467DB0">
        <w:t>afsnit</w:t>
      </w:r>
      <w:proofErr w:type="spellEnd"/>
      <w:r w:rsidRPr="00467DB0">
        <w:t>, litra c)-e), skal de medlemsstater, som ønsker a</w:t>
      </w:r>
      <w:r w:rsidRPr="00467DB0">
        <w:t xml:space="preserve">t </w:t>
      </w:r>
      <w:proofErr w:type="spellStart"/>
      <w:r w:rsidRPr="00467DB0">
        <w:t>deltage</w:t>
      </w:r>
      <w:proofErr w:type="spellEnd"/>
      <w:r w:rsidRPr="00467DB0">
        <w:t xml:space="preserve"> i leveringen </w:t>
      </w:r>
      <w:proofErr w:type="spellStart"/>
      <w:r w:rsidRPr="00467DB0">
        <w:t>af</w:t>
      </w:r>
      <w:proofErr w:type="spellEnd"/>
      <w:r w:rsidRPr="00467DB0">
        <w:t xml:space="preserve"> SST-tjenester, påvise overensstemmelse med disse kriterier i </w:t>
      </w:r>
      <w:proofErr w:type="spellStart"/>
      <w:r w:rsidRPr="00467DB0">
        <w:t>fællesskab</w:t>
      </w:r>
      <w:proofErr w:type="spellEnd"/>
      <w:r w:rsidRPr="00467DB0">
        <w:t>.</w:t>
      </w:r>
    </w:p>
    <w:p w14:paraId="2EC32F25" w14:textId="77777777" w:rsidR="00000000" w:rsidRPr="00467DB0" w:rsidRDefault="00693D67" w:rsidP="00467DB0">
      <w:pPr>
        <w:pStyle w:val="friliste"/>
      </w:pPr>
      <w:r w:rsidRPr="00467DB0">
        <w:t>2.</w:t>
      </w:r>
      <w:r w:rsidRPr="00467DB0">
        <w:tab/>
      </w:r>
      <w:proofErr w:type="spellStart"/>
      <w:r w:rsidRPr="00467DB0">
        <w:t>Kriterierne</w:t>
      </w:r>
      <w:proofErr w:type="spellEnd"/>
      <w:r w:rsidRPr="00467DB0">
        <w:t xml:space="preserve"> i denne </w:t>
      </w:r>
      <w:proofErr w:type="spellStart"/>
      <w:r w:rsidRPr="00467DB0">
        <w:t>artikels</w:t>
      </w:r>
      <w:proofErr w:type="spellEnd"/>
      <w:r w:rsidRPr="00467DB0">
        <w:t xml:space="preserve"> stk. 1, første </w:t>
      </w:r>
      <w:proofErr w:type="spellStart"/>
      <w:r w:rsidRPr="00467DB0">
        <w:t>afsnit</w:t>
      </w:r>
      <w:proofErr w:type="spellEnd"/>
      <w:r w:rsidRPr="00467DB0">
        <w:t xml:space="preserve">, litra a) og b), anses for </w:t>
      </w:r>
      <w:proofErr w:type="spellStart"/>
      <w:r w:rsidRPr="00467DB0">
        <w:t>opfyldt</w:t>
      </w:r>
      <w:proofErr w:type="spellEnd"/>
      <w:r w:rsidRPr="00467DB0">
        <w:t xml:space="preserve"> </w:t>
      </w:r>
      <w:proofErr w:type="spellStart"/>
      <w:r w:rsidRPr="00467DB0">
        <w:t>af</w:t>
      </w:r>
      <w:proofErr w:type="spellEnd"/>
      <w:r w:rsidRPr="00467DB0">
        <w:t xml:space="preserve"> de medlemsstater, der deltager i SST-delkomponenten, hvis de </w:t>
      </w:r>
      <w:proofErr w:type="spellStart"/>
      <w:r w:rsidRPr="00467DB0">
        <w:t>udpe</w:t>
      </w:r>
      <w:r w:rsidRPr="00467DB0">
        <w:t>gede</w:t>
      </w:r>
      <w:proofErr w:type="spellEnd"/>
      <w:r w:rsidRPr="00467DB0">
        <w:t xml:space="preserve"> </w:t>
      </w:r>
      <w:proofErr w:type="spellStart"/>
      <w:r w:rsidRPr="00467DB0">
        <w:t>nationale</w:t>
      </w:r>
      <w:proofErr w:type="spellEnd"/>
      <w:r w:rsidRPr="00467DB0">
        <w:t xml:space="preserve"> </w:t>
      </w:r>
      <w:proofErr w:type="spellStart"/>
      <w:r w:rsidRPr="00467DB0">
        <w:t>enheder</w:t>
      </w:r>
      <w:proofErr w:type="spellEnd"/>
      <w:r w:rsidRPr="00467DB0">
        <w:t xml:space="preserve"> er medlemmer </w:t>
      </w:r>
      <w:proofErr w:type="spellStart"/>
      <w:r w:rsidRPr="00467DB0">
        <w:t>af</w:t>
      </w:r>
      <w:proofErr w:type="spellEnd"/>
      <w:r w:rsidRPr="00467DB0">
        <w:t xml:space="preserve"> det konsortium, der er </w:t>
      </w:r>
      <w:proofErr w:type="spellStart"/>
      <w:r w:rsidRPr="00467DB0">
        <w:t>oprettet</w:t>
      </w:r>
      <w:proofErr w:type="spellEnd"/>
      <w:r w:rsidRPr="00467DB0">
        <w:t xml:space="preserve"> i henhold til </w:t>
      </w:r>
      <w:proofErr w:type="spellStart"/>
      <w:r w:rsidRPr="00467DB0">
        <w:t>artikel</w:t>
      </w:r>
      <w:proofErr w:type="spellEnd"/>
      <w:r w:rsidRPr="00467DB0">
        <w:t xml:space="preserve"> 7, stk. 3, i </w:t>
      </w:r>
      <w:proofErr w:type="spellStart"/>
      <w:r w:rsidRPr="00467DB0">
        <w:t>afgørelse</w:t>
      </w:r>
      <w:proofErr w:type="spellEnd"/>
      <w:r w:rsidRPr="00467DB0">
        <w:t xml:space="preserve"> nr. 541/2014/EU, på datoen for denne forordnings </w:t>
      </w:r>
      <w:proofErr w:type="spellStart"/>
      <w:r w:rsidRPr="00467DB0">
        <w:t>ikrafttræden</w:t>
      </w:r>
      <w:proofErr w:type="spellEnd"/>
      <w:r w:rsidRPr="00467DB0">
        <w:t xml:space="preserve">. </w:t>
      </w:r>
    </w:p>
    <w:p w14:paraId="10F46DA5" w14:textId="77777777" w:rsidR="00000000" w:rsidRPr="00467DB0" w:rsidRDefault="00693D67" w:rsidP="00467DB0">
      <w:pPr>
        <w:pStyle w:val="friliste"/>
      </w:pPr>
      <w:r w:rsidRPr="00467DB0">
        <w:t>3.</w:t>
      </w:r>
      <w:r w:rsidRPr="00467DB0">
        <w:tab/>
        <w:t xml:space="preserve">Hvis der ikke er </w:t>
      </w:r>
      <w:proofErr w:type="spellStart"/>
      <w:r w:rsidRPr="00467DB0">
        <w:t>indsendt</w:t>
      </w:r>
      <w:proofErr w:type="spellEnd"/>
      <w:r w:rsidRPr="00467DB0">
        <w:t xml:space="preserve"> et </w:t>
      </w:r>
      <w:proofErr w:type="spellStart"/>
      <w:r w:rsidRPr="00467DB0">
        <w:t>fælles</w:t>
      </w:r>
      <w:proofErr w:type="spellEnd"/>
      <w:r w:rsidRPr="00467DB0">
        <w:t xml:space="preserve"> forslag i overensstemmelse med stk. 1</w:t>
      </w:r>
      <w:r w:rsidRPr="00467DB0">
        <w:t xml:space="preserve">, eller hvis </w:t>
      </w:r>
      <w:proofErr w:type="spellStart"/>
      <w:r w:rsidRPr="00467DB0">
        <w:t>Kommissionen</w:t>
      </w:r>
      <w:proofErr w:type="spellEnd"/>
      <w:r w:rsidRPr="00467DB0">
        <w:t xml:space="preserve"> </w:t>
      </w:r>
      <w:proofErr w:type="spellStart"/>
      <w:r w:rsidRPr="00467DB0">
        <w:t>finder</w:t>
      </w:r>
      <w:proofErr w:type="spellEnd"/>
      <w:r w:rsidRPr="00467DB0">
        <w:t xml:space="preserve">, at det </w:t>
      </w:r>
      <w:proofErr w:type="spellStart"/>
      <w:r w:rsidRPr="00467DB0">
        <w:t>indsendte</w:t>
      </w:r>
      <w:proofErr w:type="spellEnd"/>
      <w:r w:rsidRPr="00467DB0">
        <w:t xml:space="preserve"> forslag ikke </w:t>
      </w:r>
      <w:proofErr w:type="spellStart"/>
      <w:r w:rsidRPr="00467DB0">
        <w:t>opfylder</w:t>
      </w:r>
      <w:proofErr w:type="spellEnd"/>
      <w:r w:rsidRPr="00467DB0">
        <w:t xml:space="preserve"> </w:t>
      </w:r>
      <w:proofErr w:type="spellStart"/>
      <w:r w:rsidRPr="00467DB0">
        <w:t>kriterierne</w:t>
      </w:r>
      <w:proofErr w:type="spellEnd"/>
      <w:r w:rsidRPr="00467DB0">
        <w:t xml:space="preserve"> i stk. 1, kan </w:t>
      </w:r>
      <w:proofErr w:type="spellStart"/>
      <w:r w:rsidRPr="00467DB0">
        <w:t>mindst</w:t>
      </w:r>
      <w:proofErr w:type="spellEnd"/>
      <w:r w:rsidRPr="00467DB0">
        <w:t xml:space="preserve"> fem medlemsstater </w:t>
      </w:r>
      <w:proofErr w:type="spellStart"/>
      <w:r w:rsidRPr="00467DB0">
        <w:t>indsende</w:t>
      </w:r>
      <w:proofErr w:type="spellEnd"/>
      <w:r w:rsidRPr="00467DB0">
        <w:t xml:space="preserve"> et nyt </w:t>
      </w:r>
      <w:proofErr w:type="spellStart"/>
      <w:r w:rsidRPr="00467DB0">
        <w:t>fælles</w:t>
      </w:r>
      <w:proofErr w:type="spellEnd"/>
      <w:r w:rsidRPr="00467DB0">
        <w:t xml:space="preserve"> forslag til </w:t>
      </w:r>
      <w:proofErr w:type="spellStart"/>
      <w:r w:rsidRPr="00467DB0">
        <w:t>Kommissionen</w:t>
      </w:r>
      <w:proofErr w:type="spellEnd"/>
      <w:r w:rsidRPr="00467DB0">
        <w:t xml:space="preserve"> med </w:t>
      </w:r>
      <w:proofErr w:type="spellStart"/>
      <w:r w:rsidRPr="00467DB0">
        <w:t>henblik</w:t>
      </w:r>
      <w:proofErr w:type="spellEnd"/>
      <w:r w:rsidRPr="00467DB0">
        <w:t xml:space="preserve"> på at dokumentere, at de i stk. 1 omhandlede kriterier er overholdt.</w:t>
      </w:r>
    </w:p>
    <w:p w14:paraId="0C1F1495" w14:textId="77777777" w:rsidR="00000000" w:rsidRPr="00467DB0" w:rsidRDefault="00693D67" w:rsidP="00467DB0">
      <w:pPr>
        <w:pStyle w:val="friliste"/>
      </w:pPr>
      <w:r w:rsidRPr="00467DB0">
        <w:lastRenderedPageBreak/>
        <w:t>4.</w:t>
      </w:r>
      <w:r w:rsidRPr="00467DB0">
        <w:tab/>
      </w:r>
      <w:proofErr w:type="spellStart"/>
      <w:r w:rsidRPr="00467DB0">
        <w:t>Kommissionen</w:t>
      </w:r>
      <w:proofErr w:type="spellEnd"/>
      <w:r w:rsidRPr="00467DB0">
        <w:t xml:space="preserve"> kan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w:t>
      </w:r>
      <w:proofErr w:type="spellStart"/>
      <w:r w:rsidRPr="00467DB0">
        <w:t>vedtage</w:t>
      </w:r>
      <w:proofErr w:type="spellEnd"/>
      <w:r w:rsidRPr="00467DB0">
        <w:t xml:space="preserve"> de nærmere bestemmelser for de </w:t>
      </w:r>
      <w:proofErr w:type="spellStart"/>
      <w:r w:rsidRPr="00467DB0">
        <w:t>procedurer</w:t>
      </w:r>
      <w:proofErr w:type="spellEnd"/>
      <w:r w:rsidRPr="00467DB0">
        <w:t xml:space="preserve"> og elementer, der er omhandlet i denne </w:t>
      </w:r>
      <w:proofErr w:type="spellStart"/>
      <w:r w:rsidRPr="00467DB0">
        <w:t>artikels</w:t>
      </w:r>
      <w:proofErr w:type="spellEnd"/>
      <w:r w:rsidRPr="00467DB0">
        <w:t xml:space="preserve"> stk. 1-3.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1F65501A" w14:textId="77777777" w:rsidR="00000000" w:rsidRPr="00467DB0" w:rsidRDefault="00693D67" w:rsidP="00467DB0">
      <w:pPr>
        <w:pStyle w:val="avsnitt-undertittel"/>
      </w:pPr>
      <w:proofErr w:type="spellStart"/>
      <w:r w:rsidRPr="00467DB0">
        <w:t>Ar</w:t>
      </w:r>
      <w:r w:rsidRPr="00467DB0">
        <w:t>tikel</w:t>
      </w:r>
      <w:proofErr w:type="spellEnd"/>
      <w:r w:rsidRPr="00467DB0">
        <w:t xml:space="preserve"> 58</w:t>
      </w:r>
    </w:p>
    <w:p w14:paraId="0CBEC339" w14:textId="77777777" w:rsidR="00000000" w:rsidRPr="00467DB0" w:rsidRDefault="00693D67" w:rsidP="00467DB0">
      <w:pPr>
        <w:pStyle w:val="Undertittel"/>
      </w:pPr>
      <w:r w:rsidRPr="00467DB0">
        <w:t xml:space="preserve">Organisatorisk ramme for </w:t>
      </w:r>
      <w:proofErr w:type="spellStart"/>
      <w:r w:rsidRPr="00467DB0">
        <w:t>medlemsstaternes</w:t>
      </w:r>
      <w:proofErr w:type="spellEnd"/>
      <w:r w:rsidRPr="00467DB0">
        <w:t xml:space="preserve"> deltagelse i SST-delkomponenten</w:t>
      </w:r>
    </w:p>
    <w:p w14:paraId="0D542A04" w14:textId="77777777" w:rsidR="00000000" w:rsidRPr="00467DB0" w:rsidRDefault="00693D67" w:rsidP="00467DB0">
      <w:pPr>
        <w:pStyle w:val="friliste"/>
      </w:pPr>
      <w:r w:rsidRPr="00467DB0">
        <w:t>1.</w:t>
      </w:r>
      <w:r w:rsidRPr="00467DB0">
        <w:tab/>
        <w:t xml:space="preserve">Enhver medlemsstat, som har </w:t>
      </w:r>
      <w:proofErr w:type="spellStart"/>
      <w:r w:rsidRPr="00467DB0">
        <w:t>indsendt</w:t>
      </w:r>
      <w:proofErr w:type="spellEnd"/>
      <w:r w:rsidRPr="00467DB0">
        <w:t xml:space="preserve"> et forslag, der </w:t>
      </w:r>
      <w:proofErr w:type="spellStart"/>
      <w:r w:rsidRPr="00467DB0">
        <w:t>af</w:t>
      </w:r>
      <w:proofErr w:type="spellEnd"/>
      <w:r w:rsidRPr="00467DB0">
        <w:t xml:space="preserve"> </w:t>
      </w:r>
      <w:proofErr w:type="spellStart"/>
      <w:r w:rsidRPr="00467DB0">
        <w:t>Kommissionen</w:t>
      </w:r>
      <w:proofErr w:type="spellEnd"/>
      <w:r w:rsidRPr="00467DB0">
        <w:t xml:space="preserve"> er </w:t>
      </w:r>
      <w:proofErr w:type="spellStart"/>
      <w:r w:rsidRPr="00467DB0">
        <w:t>fundet</w:t>
      </w:r>
      <w:proofErr w:type="spellEnd"/>
      <w:r w:rsidRPr="00467DB0">
        <w:t xml:space="preserve"> at være i overensstemmelse med </w:t>
      </w:r>
      <w:proofErr w:type="spellStart"/>
      <w:r w:rsidRPr="00467DB0">
        <w:t>artikel</w:t>
      </w:r>
      <w:proofErr w:type="spellEnd"/>
      <w:r w:rsidRPr="00467DB0">
        <w:t xml:space="preserve"> 57, stk. 1, eller som er </w:t>
      </w:r>
      <w:proofErr w:type="spellStart"/>
      <w:r w:rsidRPr="00467DB0">
        <w:t>blevet</w:t>
      </w:r>
      <w:proofErr w:type="spellEnd"/>
      <w:r w:rsidRPr="00467DB0">
        <w:t xml:space="preserve"> </w:t>
      </w:r>
      <w:proofErr w:type="spellStart"/>
      <w:r w:rsidRPr="00467DB0">
        <w:t>udvalgt</w:t>
      </w:r>
      <w:proofErr w:type="spellEnd"/>
      <w:r w:rsidRPr="00467DB0">
        <w:t xml:space="preserve"> </w:t>
      </w:r>
      <w:proofErr w:type="spellStart"/>
      <w:r w:rsidRPr="00467DB0">
        <w:t>af</w:t>
      </w:r>
      <w:proofErr w:type="spellEnd"/>
      <w:r w:rsidRPr="00467DB0">
        <w:t xml:space="preserve"> </w:t>
      </w:r>
      <w:proofErr w:type="spellStart"/>
      <w:r w:rsidRPr="00467DB0">
        <w:t>Kommissio</w:t>
      </w:r>
      <w:r w:rsidRPr="00467DB0">
        <w:t>nen</w:t>
      </w:r>
      <w:proofErr w:type="spellEnd"/>
      <w:r w:rsidRPr="00467DB0">
        <w:t xml:space="preserve"> i henhold til den i </w:t>
      </w:r>
      <w:proofErr w:type="spellStart"/>
      <w:r w:rsidRPr="00467DB0">
        <w:t>artikel</w:t>
      </w:r>
      <w:proofErr w:type="spellEnd"/>
      <w:r w:rsidRPr="00467DB0">
        <w:t xml:space="preserve"> 57, stk. 3, </w:t>
      </w:r>
      <w:proofErr w:type="spellStart"/>
      <w:r w:rsidRPr="00467DB0">
        <w:t>nævnte</w:t>
      </w:r>
      <w:proofErr w:type="spellEnd"/>
      <w:r w:rsidRPr="00467DB0">
        <w:t xml:space="preserve"> </w:t>
      </w:r>
      <w:proofErr w:type="spellStart"/>
      <w:r w:rsidRPr="00467DB0">
        <w:t>procedure</w:t>
      </w:r>
      <w:proofErr w:type="spellEnd"/>
      <w:r w:rsidRPr="00467DB0">
        <w:t xml:space="preserve">, </w:t>
      </w:r>
      <w:proofErr w:type="spellStart"/>
      <w:r w:rsidRPr="00467DB0">
        <w:t>udpeger</w:t>
      </w:r>
      <w:proofErr w:type="spellEnd"/>
      <w:r w:rsidRPr="00467DB0">
        <w:t xml:space="preserve"> en ansvarlig </w:t>
      </w:r>
      <w:proofErr w:type="spellStart"/>
      <w:r w:rsidRPr="00467DB0">
        <w:t>national</w:t>
      </w:r>
      <w:proofErr w:type="spellEnd"/>
      <w:r w:rsidRPr="00467DB0">
        <w:t xml:space="preserve"> </w:t>
      </w:r>
      <w:proofErr w:type="spellStart"/>
      <w:r w:rsidRPr="00467DB0">
        <w:t>enhed</w:t>
      </w:r>
      <w:proofErr w:type="spellEnd"/>
      <w:r w:rsidRPr="00467DB0">
        <w:t xml:space="preserve">, som er </w:t>
      </w:r>
      <w:proofErr w:type="spellStart"/>
      <w:r w:rsidRPr="00467DB0">
        <w:t>etableret</w:t>
      </w:r>
      <w:proofErr w:type="spellEnd"/>
      <w:r w:rsidRPr="00467DB0">
        <w:t xml:space="preserve"> på dens område, til at </w:t>
      </w:r>
      <w:proofErr w:type="spellStart"/>
      <w:r w:rsidRPr="00467DB0">
        <w:t>repræsentere</w:t>
      </w:r>
      <w:proofErr w:type="spellEnd"/>
      <w:r w:rsidRPr="00467DB0">
        <w:t xml:space="preserve"> den. Den ansvarlige </w:t>
      </w:r>
      <w:proofErr w:type="spellStart"/>
      <w:r w:rsidRPr="00467DB0">
        <w:t>nationale</w:t>
      </w:r>
      <w:proofErr w:type="spellEnd"/>
      <w:r w:rsidRPr="00467DB0">
        <w:t xml:space="preserve"> </w:t>
      </w:r>
      <w:proofErr w:type="spellStart"/>
      <w:r w:rsidRPr="00467DB0">
        <w:t>enhed</w:t>
      </w:r>
      <w:proofErr w:type="spellEnd"/>
      <w:r w:rsidRPr="00467DB0">
        <w:t xml:space="preserve"> skal være en offentlig </w:t>
      </w:r>
      <w:proofErr w:type="spellStart"/>
      <w:r w:rsidRPr="00467DB0">
        <w:t>myndighed</w:t>
      </w:r>
      <w:proofErr w:type="spellEnd"/>
      <w:r w:rsidRPr="00467DB0">
        <w:t xml:space="preserve"> i en medlemsstat eller et organ, so</w:t>
      </w:r>
      <w:r w:rsidRPr="00467DB0">
        <w:t xml:space="preserve">m har </w:t>
      </w:r>
      <w:proofErr w:type="spellStart"/>
      <w:r w:rsidRPr="00467DB0">
        <w:t>fået</w:t>
      </w:r>
      <w:proofErr w:type="spellEnd"/>
      <w:r w:rsidRPr="00467DB0">
        <w:t xml:space="preserve"> overdraget </w:t>
      </w:r>
      <w:proofErr w:type="spellStart"/>
      <w:r w:rsidRPr="00467DB0">
        <w:t>udøvelsen</w:t>
      </w:r>
      <w:proofErr w:type="spellEnd"/>
      <w:r w:rsidRPr="00467DB0">
        <w:t xml:space="preserve"> </w:t>
      </w:r>
      <w:proofErr w:type="spellStart"/>
      <w:r w:rsidRPr="00467DB0">
        <w:t>af</w:t>
      </w:r>
      <w:proofErr w:type="spellEnd"/>
      <w:r w:rsidRPr="00467DB0">
        <w:t xml:space="preserve"> sådan offentlig </w:t>
      </w:r>
      <w:proofErr w:type="spellStart"/>
      <w:r w:rsidRPr="00467DB0">
        <w:t>myndighed</w:t>
      </w:r>
      <w:proofErr w:type="spellEnd"/>
      <w:r w:rsidRPr="00467DB0">
        <w:t>.</w:t>
      </w:r>
    </w:p>
    <w:p w14:paraId="70DC99CA" w14:textId="77777777" w:rsidR="00000000" w:rsidRPr="00467DB0" w:rsidRDefault="00693D67" w:rsidP="00467DB0">
      <w:pPr>
        <w:pStyle w:val="friliste"/>
      </w:pPr>
      <w:r w:rsidRPr="00467DB0">
        <w:t>2.</w:t>
      </w:r>
      <w:r w:rsidRPr="00467DB0">
        <w:tab/>
        <w:t xml:space="preserve">De ansvarlige </w:t>
      </w:r>
      <w:proofErr w:type="spellStart"/>
      <w:r w:rsidRPr="00467DB0">
        <w:t>nationale</w:t>
      </w:r>
      <w:proofErr w:type="spellEnd"/>
      <w:r w:rsidRPr="00467DB0">
        <w:t xml:space="preserve"> </w:t>
      </w:r>
      <w:proofErr w:type="spellStart"/>
      <w:r w:rsidRPr="00467DB0">
        <w:t>enheder</w:t>
      </w:r>
      <w:proofErr w:type="spellEnd"/>
      <w:r w:rsidRPr="00467DB0">
        <w:t xml:space="preserve">, der er </w:t>
      </w:r>
      <w:proofErr w:type="spellStart"/>
      <w:r w:rsidRPr="00467DB0">
        <w:t>udpeget</w:t>
      </w:r>
      <w:proofErr w:type="spellEnd"/>
      <w:r w:rsidRPr="00467DB0">
        <w:t xml:space="preserve"> i henhold til denne </w:t>
      </w:r>
      <w:proofErr w:type="spellStart"/>
      <w:r w:rsidRPr="00467DB0">
        <w:t>artikels</w:t>
      </w:r>
      <w:proofErr w:type="spellEnd"/>
      <w:r w:rsidRPr="00467DB0">
        <w:t xml:space="preserve"> stk. 1, </w:t>
      </w:r>
      <w:proofErr w:type="spellStart"/>
      <w:r w:rsidRPr="00467DB0">
        <w:t>indgår</w:t>
      </w:r>
      <w:proofErr w:type="spellEnd"/>
      <w:r w:rsidRPr="00467DB0">
        <w:t xml:space="preserve"> en </w:t>
      </w:r>
      <w:proofErr w:type="spellStart"/>
      <w:r w:rsidRPr="00467DB0">
        <w:t>aftale</w:t>
      </w:r>
      <w:proofErr w:type="spellEnd"/>
      <w:r w:rsidRPr="00467DB0">
        <w:t xml:space="preserve"> om </w:t>
      </w:r>
      <w:proofErr w:type="spellStart"/>
      <w:r w:rsidRPr="00467DB0">
        <w:t>oprettelse</w:t>
      </w:r>
      <w:proofErr w:type="spellEnd"/>
      <w:r w:rsidRPr="00467DB0">
        <w:t xml:space="preserve"> </w:t>
      </w:r>
      <w:proofErr w:type="spellStart"/>
      <w:r w:rsidRPr="00467DB0">
        <w:t>af</w:t>
      </w:r>
      <w:proofErr w:type="spellEnd"/>
      <w:r w:rsidRPr="00467DB0">
        <w:t xml:space="preserve"> et SST-</w:t>
      </w:r>
      <w:proofErr w:type="spellStart"/>
      <w:r w:rsidRPr="00467DB0">
        <w:t>partnerskab</w:t>
      </w:r>
      <w:proofErr w:type="spellEnd"/>
      <w:r w:rsidRPr="00467DB0">
        <w:t>, ("SST-</w:t>
      </w:r>
      <w:proofErr w:type="spellStart"/>
      <w:r w:rsidRPr="00467DB0">
        <w:t>partnerskabsaftalen</w:t>
      </w:r>
      <w:proofErr w:type="spellEnd"/>
      <w:r w:rsidRPr="00467DB0">
        <w:t xml:space="preserve">") hvori der </w:t>
      </w:r>
      <w:proofErr w:type="spellStart"/>
      <w:r w:rsidRPr="00467DB0">
        <w:t>fastsættes</w:t>
      </w:r>
      <w:proofErr w:type="spellEnd"/>
      <w:r w:rsidRPr="00467DB0">
        <w:t xml:space="preserve"> reg</w:t>
      </w:r>
      <w:r w:rsidRPr="00467DB0">
        <w:t xml:space="preserve">ler og mekanismer for deres </w:t>
      </w:r>
      <w:proofErr w:type="spellStart"/>
      <w:r w:rsidRPr="00467DB0">
        <w:t>samarbejde</w:t>
      </w:r>
      <w:proofErr w:type="spellEnd"/>
      <w:r w:rsidRPr="00467DB0">
        <w:t xml:space="preserve"> om </w:t>
      </w:r>
      <w:proofErr w:type="spellStart"/>
      <w:r w:rsidRPr="00467DB0">
        <w:t>gennemførelsen</w:t>
      </w:r>
      <w:proofErr w:type="spellEnd"/>
      <w:r w:rsidRPr="00467DB0">
        <w:t xml:space="preserve"> </w:t>
      </w:r>
      <w:proofErr w:type="spellStart"/>
      <w:r w:rsidRPr="00467DB0">
        <w:t>af</w:t>
      </w:r>
      <w:proofErr w:type="spellEnd"/>
      <w:r w:rsidRPr="00467DB0">
        <w:t xml:space="preserve"> de aktiviteter, der er omhandlet i </w:t>
      </w:r>
      <w:proofErr w:type="spellStart"/>
      <w:r w:rsidRPr="00467DB0">
        <w:t>artikel</w:t>
      </w:r>
      <w:proofErr w:type="spellEnd"/>
      <w:r w:rsidRPr="00467DB0">
        <w:t xml:space="preserve"> 54. </w:t>
      </w:r>
      <w:proofErr w:type="spellStart"/>
      <w:r w:rsidRPr="00467DB0">
        <w:t>Partnerskabsaftalen</w:t>
      </w:r>
      <w:proofErr w:type="spellEnd"/>
      <w:r w:rsidRPr="00467DB0">
        <w:t xml:space="preserve"> skal navnlig </w:t>
      </w:r>
      <w:proofErr w:type="spellStart"/>
      <w:r w:rsidRPr="00467DB0">
        <w:t>indeholde</w:t>
      </w:r>
      <w:proofErr w:type="spellEnd"/>
      <w:r w:rsidRPr="00467DB0">
        <w:t xml:space="preserve"> de elementer, der er omhandlet i </w:t>
      </w:r>
      <w:proofErr w:type="spellStart"/>
      <w:r w:rsidRPr="00467DB0">
        <w:t>artikel</w:t>
      </w:r>
      <w:proofErr w:type="spellEnd"/>
      <w:r w:rsidRPr="00467DB0">
        <w:t xml:space="preserve"> 57, stk. 1, litra c)-e), og </w:t>
      </w:r>
      <w:proofErr w:type="spellStart"/>
      <w:r w:rsidRPr="00467DB0">
        <w:t>oprettelse</w:t>
      </w:r>
      <w:proofErr w:type="spellEnd"/>
      <w:r w:rsidRPr="00467DB0">
        <w:t xml:space="preserve"> </w:t>
      </w:r>
      <w:proofErr w:type="spellStart"/>
      <w:r w:rsidRPr="00467DB0">
        <w:t>af</w:t>
      </w:r>
      <w:proofErr w:type="spellEnd"/>
      <w:r w:rsidRPr="00467DB0">
        <w:t xml:space="preserve"> en risikoforvaltningsst</w:t>
      </w:r>
      <w:r w:rsidRPr="00467DB0">
        <w:t xml:space="preserve">ruktur til sikring </w:t>
      </w:r>
      <w:proofErr w:type="spellStart"/>
      <w:r w:rsidRPr="00467DB0">
        <w:t>af</w:t>
      </w:r>
      <w:proofErr w:type="spellEnd"/>
      <w:r w:rsidRPr="00467DB0">
        <w:t xml:space="preserve">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bestemmelserne</w:t>
      </w:r>
      <w:proofErr w:type="spellEnd"/>
      <w:r w:rsidRPr="00467DB0">
        <w:t xml:space="preserve"> om anvendelse og sikker </w:t>
      </w:r>
      <w:proofErr w:type="spellStart"/>
      <w:r w:rsidRPr="00467DB0">
        <w:t>udveksling</w:t>
      </w:r>
      <w:proofErr w:type="spellEnd"/>
      <w:r w:rsidRPr="00467DB0">
        <w:t xml:space="preserve"> </w:t>
      </w:r>
      <w:proofErr w:type="spellStart"/>
      <w:r w:rsidRPr="00467DB0">
        <w:t>af</w:t>
      </w:r>
      <w:proofErr w:type="spellEnd"/>
      <w:r w:rsidRPr="00467DB0">
        <w:t xml:space="preserve"> SST-data og SST-</w:t>
      </w:r>
      <w:proofErr w:type="spellStart"/>
      <w:r w:rsidRPr="00467DB0">
        <w:t>informationer</w:t>
      </w:r>
      <w:proofErr w:type="spellEnd"/>
      <w:r w:rsidRPr="00467DB0">
        <w:t>.</w:t>
      </w:r>
    </w:p>
    <w:p w14:paraId="5A04DF61" w14:textId="77777777" w:rsidR="00000000" w:rsidRPr="00467DB0" w:rsidRDefault="00693D67" w:rsidP="00467DB0">
      <w:pPr>
        <w:pStyle w:val="friliste"/>
      </w:pPr>
      <w:r w:rsidRPr="00467DB0">
        <w:t>3.</w:t>
      </w:r>
      <w:r w:rsidRPr="00467DB0">
        <w:tab/>
        <w:t xml:space="preserve">De ansvarlige </w:t>
      </w:r>
      <w:proofErr w:type="spellStart"/>
      <w:r w:rsidRPr="00467DB0">
        <w:t>nationale</w:t>
      </w:r>
      <w:proofErr w:type="spellEnd"/>
      <w:r w:rsidRPr="00467DB0">
        <w:t xml:space="preserve"> </w:t>
      </w:r>
      <w:proofErr w:type="spellStart"/>
      <w:r w:rsidRPr="00467DB0">
        <w:t>enheder</w:t>
      </w:r>
      <w:proofErr w:type="spellEnd"/>
      <w:r w:rsidRPr="00467DB0">
        <w:t xml:space="preserve"> </w:t>
      </w:r>
      <w:proofErr w:type="spellStart"/>
      <w:r w:rsidRPr="00467DB0">
        <w:t>udvikler</w:t>
      </w:r>
      <w:proofErr w:type="spellEnd"/>
      <w:r w:rsidRPr="00467DB0">
        <w:t xml:space="preserve"> EU-SST-tjenester </w:t>
      </w:r>
      <w:proofErr w:type="spellStart"/>
      <w:r w:rsidRPr="00467DB0">
        <w:t>af</w:t>
      </w:r>
      <w:proofErr w:type="spellEnd"/>
      <w:r w:rsidRPr="00467DB0">
        <w:t xml:space="preserve"> </w:t>
      </w:r>
      <w:proofErr w:type="spellStart"/>
      <w:r w:rsidRPr="00467DB0">
        <w:t>høj</w:t>
      </w:r>
      <w:proofErr w:type="spellEnd"/>
      <w:r w:rsidRPr="00467DB0">
        <w:t xml:space="preserve"> kvalitet efter en flerårig plan, relevante </w:t>
      </w:r>
      <w:proofErr w:type="spellStart"/>
      <w:r w:rsidRPr="00467DB0">
        <w:t>nøglepræstationsindik</w:t>
      </w:r>
      <w:r w:rsidRPr="00467DB0">
        <w:t>atorer</w:t>
      </w:r>
      <w:proofErr w:type="spellEnd"/>
      <w:r w:rsidRPr="00467DB0">
        <w:t xml:space="preserve"> og </w:t>
      </w:r>
      <w:proofErr w:type="spellStart"/>
      <w:r w:rsidRPr="00467DB0">
        <w:t>brugerkrav</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ekspertgruppernes</w:t>
      </w:r>
      <w:proofErr w:type="spellEnd"/>
      <w:r w:rsidRPr="00467DB0">
        <w:t xml:space="preserve"> aktiviteter som omhandlet i denne </w:t>
      </w:r>
      <w:proofErr w:type="spellStart"/>
      <w:r w:rsidRPr="00467DB0">
        <w:t>artikels</w:t>
      </w:r>
      <w:proofErr w:type="spellEnd"/>
      <w:r w:rsidRPr="00467DB0">
        <w:t xml:space="preserve"> stk. 6. </w:t>
      </w:r>
      <w:proofErr w:type="spellStart"/>
      <w:r w:rsidRPr="00467DB0">
        <w:t>Kommissionen</w:t>
      </w:r>
      <w:proofErr w:type="spellEnd"/>
      <w:r w:rsidRPr="00467DB0">
        <w:t xml:space="preserve"> kan ved </w:t>
      </w:r>
      <w:proofErr w:type="spellStart"/>
      <w:r w:rsidRPr="00467DB0">
        <w:t>gennemførelsesretsakter</w:t>
      </w:r>
      <w:proofErr w:type="spellEnd"/>
      <w:r w:rsidRPr="00467DB0">
        <w:t xml:space="preserve"> </w:t>
      </w:r>
      <w:proofErr w:type="spellStart"/>
      <w:r w:rsidRPr="00467DB0">
        <w:t>vedtage</w:t>
      </w:r>
      <w:proofErr w:type="spellEnd"/>
      <w:r w:rsidRPr="00467DB0">
        <w:t xml:space="preserve"> den flerårige plan og </w:t>
      </w:r>
      <w:proofErr w:type="spellStart"/>
      <w:r w:rsidRPr="00467DB0">
        <w:t>nøglepræstationsindikatorerne</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107, stk. 3.</w:t>
      </w:r>
    </w:p>
    <w:p w14:paraId="07FA75F7" w14:textId="77777777" w:rsidR="00000000" w:rsidRPr="00467DB0" w:rsidRDefault="00693D67" w:rsidP="00467DB0">
      <w:pPr>
        <w:pStyle w:val="friliste"/>
      </w:pPr>
      <w:r w:rsidRPr="00467DB0">
        <w:t>4.</w:t>
      </w:r>
      <w:r w:rsidRPr="00467DB0">
        <w:tab/>
        <w:t xml:space="preserve">De ansvarlige </w:t>
      </w:r>
      <w:proofErr w:type="spellStart"/>
      <w:r w:rsidRPr="00467DB0">
        <w:t>nationale</w:t>
      </w:r>
      <w:proofErr w:type="spellEnd"/>
      <w:r w:rsidRPr="00467DB0">
        <w:t xml:space="preserve"> </w:t>
      </w:r>
      <w:proofErr w:type="spellStart"/>
      <w:r w:rsidRPr="00467DB0">
        <w:t>enheder</w:t>
      </w:r>
      <w:proofErr w:type="spellEnd"/>
      <w:r w:rsidRPr="00467DB0">
        <w:t xml:space="preserve"> </w:t>
      </w:r>
      <w:proofErr w:type="spellStart"/>
      <w:r w:rsidRPr="00467DB0">
        <w:t>opbygger</w:t>
      </w:r>
      <w:proofErr w:type="spellEnd"/>
      <w:r w:rsidRPr="00467DB0">
        <w:t xml:space="preserve"> et </w:t>
      </w:r>
      <w:proofErr w:type="spellStart"/>
      <w:r w:rsidRPr="00467DB0">
        <w:t>net</w:t>
      </w:r>
      <w:proofErr w:type="spellEnd"/>
      <w:r w:rsidRPr="00467DB0">
        <w:t xml:space="preserve"> </w:t>
      </w:r>
      <w:proofErr w:type="spellStart"/>
      <w:r w:rsidRPr="00467DB0">
        <w:t>af</w:t>
      </w:r>
      <w:proofErr w:type="spellEnd"/>
      <w:r w:rsidRPr="00467DB0">
        <w:t xml:space="preserve"> eksisterende og eventuelle fremtidige sensorer, så de kan drives på </w:t>
      </w:r>
      <w:proofErr w:type="spellStart"/>
      <w:r w:rsidRPr="00467DB0">
        <w:t>koordineret</w:t>
      </w:r>
      <w:proofErr w:type="spellEnd"/>
      <w:r w:rsidRPr="00467DB0">
        <w:t xml:space="preserve"> og </w:t>
      </w:r>
      <w:proofErr w:type="spellStart"/>
      <w:r w:rsidRPr="00467DB0">
        <w:t>optimeret</w:t>
      </w:r>
      <w:proofErr w:type="spellEnd"/>
      <w:r w:rsidRPr="00467DB0">
        <w:t xml:space="preserve"> vis, med </w:t>
      </w:r>
      <w:proofErr w:type="spellStart"/>
      <w:r w:rsidRPr="00467DB0">
        <w:t>henblik</w:t>
      </w:r>
      <w:proofErr w:type="spellEnd"/>
      <w:r w:rsidRPr="00467DB0">
        <w:t xml:space="preserve"> på at </w:t>
      </w:r>
      <w:proofErr w:type="spellStart"/>
      <w:r w:rsidRPr="00467DB0">
        <w:t>udarbejde</w:t>
      </w:r>
      <w:proofErr w:type="spellEnd"/>
      <w:r w:rsidRPr="00467DB0">
        <w:t xml:space="preserve"> og føre et ajourført </w:t>
      </w:r>
      <w:proofErr w:type="spellStart"/>
      <w:r w:rsidRPr="00467DB0">
        <w:t>fælles</w:t>
      </w:r>
      <w:proofErr w:type="spellEnd"/>
      <w:r w:rsidRPr="00467DB0">
        <w:t xml:space="preserve"> </w:t>
      </w:r>
      <w:proofErr w:type="spellStart"/>
      <w:r w:rsidRPr="00467DB0">
        <w:t>e</w:t>
      </w:r>
      <w:r w:rsidRPr="00467DB0">
        <w:t>uropæisk</w:t>
      </w:r>
      <w:proofErr w:type="spellEnd"/>
      <w:r w:rsidRPr="00467DB0">
        <w:t xml:space="preserve"> katalog, </w:t>
      </w:r>
      <w:proofErr w:type="spellStart"/>
      <w:r w:rsidRPr="00467DB0">
        <w:t>uden</w:t>
      </w:r>
      <w:proofErr w:type="spellEnd"/>
      <w:r w:rsidRPr="00467DB0">
        <w:t xml:space="preserve"> at det dog berører </w:t>
      </w:r>
      <w:proofErr w:type="spellStart"/>
      <w:r w:rsidRPr="00467DB0">
        <w:t>medlemsstaternes</w:t>
      </w:r>
      <w:proofErr w:type="spellEnd"/>
      <w:r w:rsidRPr="00467DB0">
        <w:t xml:space="preserve"> </w:t>
      </w:r>
      <w:proofErr w:type="spellStart"/>
      <w:r w:rsidRPr="00467DB0">
        <w:t>beføjelser</w:t>
      </w:r>
      <w:proofErr w:type="spellEnd"/>
      <w:r w:rsidRPr="00467DB0">
        <w:t xml:space="preserve"> på området </w:t>
      </w:r>
      <w:proofErr w:type="spellStart"/>
      <w:r w:rsidRPr="00467DB0">
        <w:t>national</w:t>
      </w:r>
      <w:proofErr w:type="spellEnd"/>
      <w:r w:rsidRPr="00467DB0">
        <w:t xml:space="preserve"> </w:t>
      </w:r>
      <w:proofErr w:type="spellStart"/>
      <w:r w:rsidRPr="00467DB0">
        <w:t>sikkerhed</w:t>
      </w:r>
      <w:proofErr w:type="spellEnd"/>
      <w:r w:rsidRPr="00467DB0">
        <w:t>.</w:t>
      </w:r>
    </w:p>
    <w:p w14:paraId="2E8C4386" w14:textId="77777777" w:rsidR="00000000" w:rsidRPr="00467DB0" w:rsidRDefault="00693D67" w:rsidP="00467DB0">
      <w:pPr>
        <w:pStyle w:val="friliste"/>
      </w:pPr>
      <w:r w:rsidRPr="00467DB0">
        <w:t>5.</w:t>
      </w:r>
      <w:r w:rsidRPr="00467DB0">
        <w:tab/>
        <w:t xml:space="preserve">De medlemsstater, der deltager i SST-delkomponenten, varetager </w:t>
      </w:r>
      <w:proofErr w:type="spellStart"/>
      <w:r w:rsidRPr="00467DB0">
        <w:t>sikkerhedsgodkendelsen</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de generelle </w:t>
      </w:r>
      <w:proofErr w:type="spellStart"/>
      <w:r w:rsidRPr="00467DB0">
        <w:t>sikkerhedskrav</w:t>
      </w:r>
      <w:proofErr w:type="spellEnd"/>
      <w:r w:rsidRPr="00467DB0">
        <w:t xml:space="preserve">, der er omhandlet i </w:t>
      </w:r>
      <w:proofErr w:type="spellStart"/>
      <w:r w:rsidRPr="00467DB0">
        <w:t>art</w:t>
      </w:r>
      <w:r w:rsidRPr="00467DB0">
        <w:t>ikel</w:t>
      </w:r>
      <w:proofErr w:type="spellEnd"/>
      <w:r w:rsidRPr="00467DB0">
        <w:t xml:space="preserve"> 34, stk. 2.</w:t>
      </w:r>
    </w:p>
    <w:p w14:paraId="56072766" w14:textId="77777777" w:rsidR="00000000" w:rsidRPr="00467DB0" w:rsidRDefault="00693D67" w:rsidP="00467DB0">
      <w:pPr>
        <w:pStyle w:val="friliste"/>
      </w:pPr>
      <w:r w:rsidRPr="00467DB0">
        <w:t>6.</w:t>
      </w:r>
      <w:r w:rsidRPr="00467DB0">
        <w:tab/>
        <w:t xml:space="preserve">De medlemsstater, der deltager i SST-delkomponenten, </w:t>
      </w:r>
      <w:proofErr w:type="spellStart"/>
      <w:r w:rsidRPr="00467DB0">
        <w:t>udpeger</w:t>
      </w:r>
      <w:proofErr w:type="spellEnd"/>
      <w:r w:rsidRPr="00467DB0">
        <w:t xml:space="preserve"> ekspertgrupper, som skal være ansvarlige for </w:t>
      </w:r>
      <w:proofErr w:type="spellStart"/>
      <w:r w:rsidRPr="00467DB0">
        <w:t>specifikke</w:t>
      </w:r>
      <w:proofErr w:type="spellEnd"/>
      <w:r w:rsidRPr="00467DB0">
        <w:t xml:space="preserve"> </w:t>
      </w:r>
      <w:proofErr w:type="spellStart"/>
      <w:r w:rsidRPr="00467DB0">
        <w:t>spørgsmål</w:t>
      </w:r>
      <w:proofErr w:type="spellEnd"/>
      <w:r w:rsidRPr="00467DB0">
        <w:t xml:space="preserve"> </w:t>
      </w:r>
      <w:proofErr w:type="gramStart"/>
      <w:r w:rsidRPr="00467DB0">
        <w:t>vedrørende</w:t>
      </w:r>
      <w:proofErr w:type="gramEnd"/>
      <w:r w:rsidRPr="00467DB0">
        <w:t xml:space="preserve"> de </w:t>
      </w:r>
      <w:proofErr w:type="spellStart"/>
      <w:r w:rsidRPr="00467DB0">
        <w:t>forskellige</w:t>
      </w:r>
      <w:proofErr w:type="spellEnd"/>
      <w:r w:rsidRPr="00467DB0">
        <w:t xml:space="preserve"> SST-aktiviteter. </w:t>
      </w:r>
      <w:proofErr w:type="spellStart"/>
      <w:r w:rsidRPr="00467DB0">
        <w:t>Ekspertgrupperne</w:t>
      </w:r>
      <w:proofErr w:type="spellEnd"/>
      <w:r w:rsidRPr="00467DB0">
        <w:t xml:space="preserve"> er permanente og ledes og </w:t>
      </w:r>
      <w:proofErr w:type="spellStart"/>
      <w:r w:rsidRPr="00467DB0">
        <w:t>bemandes</w:t>
      </w:r>
      <w:proofErr w:type="spellEnd"/>
      <w:r w:rsidRPr="00467DB0">
        <w:t xml:space="preserve"> </w:t>
      </w:r>
      <w:proofErr w:type="spellStart"/>
      <w:r w:rsidRPr="00467DB0">
        <w:t>af</w:t>
      </w:r>
      <w:proofErr w:type="spellEnd"/>
      <w:r w:rsidRPr="00467DB0">
        <w:t xml:space="preserve"> de ansvarli</w:t>
      </w:r>
      <w:r w:rsidRPr="00467DB0">
        <w:t xml:space="preserve">ge </w:t>
      </w:r>
      <w:proofErr w:type="spellStart"/>
      <w:r w:rsidRPr="00467DB0">
        <w:t>nationale</w:t>
      </w:r>
      <w:proofErr w:type="spellEnd"/>
      <w:r w:rsidRPr="00467DB0">
        <w:t xml:space="preserve"> </w:t>
      </w:r>
      <w:proofErr w:type="spellStart"/>
      <w:r w:rsidRPr="00467DB0">
        <w:t>enheder</w:t>
      </w:r>
      <w:proofErr w:type="spellEnd"/>
      <w:r w:rsidRPr="00467DB0">
        <w:t xml:space="preserve"> i de medlemsstater, som har </w:t>
      </w:r>
      <w:proofErr w:type="spellStart"/>
      <w:r w:rsidRPr="00467DB0">
        <w:t>udpeget</w:t>
      </w:r>
      <w:proofErr w:type="spellEnd"/>
      <w:r w:rsidRPr="00467DB0">
        <w:t xml:space="preserve"> dem, og kan </w:t>
      </w:r>
      <w:proofErr w:type="spellStart"/>
      <w:r w:rsidRPr="00467DB0">
        <w:t>inddrage</w:t>
      </w:r>
      <w:proofErr w:type="spellEnd"/>
      <w:r w:rsidRPr="00467DB0">
        <w:t xml:space="preserve"> eksperter fra alle ansvarlige </w:t>
      </w:r>
      <w:proofErr w:type="spellStart"/>
      <w:r w:rsidRPr="00467DB0">
        <w:t>nationale</w:t>
      </w:r>
      <w:proofErr w:type="spellEnd"/>
      <w:r w:rsidRPr="00467DB0">
        <w:t xml:space="preserve"> </w:t>
      </w:r>
      <w:proofErr w:type="spellStart"/>
      <w:r w:rsidRPr="00467DB0">
        <w:t>enheder</w:t>
      </w:r>
      <w:proofErr w:type="spellEnd"/>
      <w:r w:rsidRPr="00467DB0">
        <w:t>.</w:t>
      </w:r>
    </w:p>
    <w:p w14:paraId="6B7F44FA" w14:textId="77777777" w:rsidR="00000000" w:rsidRPr="00467DB0" w:rsidRDefault="00693D67" w:rsidP="00467DB0">
      <w:pPr>
        <w:pStyle w:val="friliste"/>
      </w:pPr>
      <w:r w:rsidRPr="00467DB0">
        <w:t>7.</w:t>
      </w:r>
      <w:r w:rsidRPr="00467DB0">
        <w:tab/>
        <w:t xml:space="preserve">De ansvarlige </w:t>
      </w:r>
      <w:proofErr w:type="spellStart"/>
      <w:r w:rsidRPr="00467DB0">
        <w:t>nationale</w:t>
      </w:r>
      <w:proofErr w:type="spellEnd"/>
      <w:r w:rsidRPr="00467DB0">
        <w:t xml:space="preserve"> </w:t>
      </w:r>
      <w:proofErr w:type="spellStart"/>
      <w:r w:rsidRPr="00467DB0">
        <w:t>enheder</w:t>
      </w:r>
      <w:proofErr w:type="spellEnd"/>
      <w:r w:rsidRPr="00467DB0">
        <w:t xml:space="preserve"> og </w:t>
      </w:r>
      <w:proofErr w:type="spellStart"/>
      <w:r w:rsidRPr="00467DB0">
        <w:t>ekspertgrupperne</w:t>
      </w:r>
      <w:proofErr w:type="spellEnd"/>
      <w:r w:rsidRPr="00467DB0">
        <w:t xml:space="preserve"> sikrer beskyttelsen </w:t>
      </w:r>
      <w:proofErr w:type="spellStart"/>
      <w:r w:rsidRPr="00467DB0">
        <w:t>af</w:t>
      </w:r>
      <w:proofErr w:type="spellEnd"/>
      <w:r w:rsidRPr="00467DB0">
        <w:t xml:space="preserve"> SST-data, SST-</w:t>
      </w:r>
      <w:proofErr w:type="spellStart"/>
      <w:r w:rsidRPr="00467DB0">
        <w:t>informationer</w:t>
      </w:r>
      <w:proofErr w:type="spellEnd"/>
      <w:r w:rsidRPr="00467DB0">
        <w:t xml:space="preserve"> og SST-tjenester.</w:t>
      </w:r>
    </w:p>
    <w:p w14:paraId="0C860B42" w14:textId="77777777" w:rsidR="00000000" w:rsidRPr="00467DB0" w:rsidRDefault="00693D67" w:rsidP="00467DB0">
      <w:pPr>
        <w:pStyle w:val="friliste"/>
      </w:pPr>
      <w:r w:rsidRPr="00467DB0">
        <w:t>8.</w:t>
      </w:r>
      <w:r w:rsidRPr="00467DB0">
        <w:tab/>
      </w:r>
      <w:proofErr w:type="spellStart"/>
      <w:r w:rsidRPr="00467DB0">
        <w:t>Ko</w:t>
      </w:r>
      <w:r w:rsidRPr="00467DB0">
        <w:t>mmissionen</w:t>
      </w:r>
      <w:proofErr w:type="spellEnd"/>
      <w:r w:rsidRPr="00467DB0">
        <w:t xml:space="preserve"> </w:t>
      </w:r>
      <w:proofErr w:type="spellStart"/>
      <w:r w:rsidRPr="00467DB0">
        <w:t>vedtager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de nærmere bestemmelser </w:t>
      </w:r>
      <w:proofErr w:type="gramStart"/>
      <w:r w:rsidRPr="00467DB0">
        <w:t>vedrørende</w:t>
      </w:r>
      <w:proofErr w:type="gramEnd"/>
      <w:r w:rsidRPr="00467DB0">
        <w:t xml:space="preserve"> den organisatoriske ramme for </w:t>
      </w:r>
      <w:proofErr w:type="spellStart"/>
      <w:r w:rsidRPr="00467DB0">
        <w:t>medlemsstaternes</w:t>
      </w:r>
      <w:proofErr w:type="spellEnd"/>
      <w:r w:rsidRPr="00467DB0">
        <w:t xml:space="preserve"> deltagelse i SST-delkomponenten. Disse bestemmelser skal også omfatte en medlemsstats medtagelse i SST-</w:t>
      </w:r>
      <w:proofErr w:type="spellStart"/>
      <w:r w:rsidRPr="00467DB0">
        <w:t>partnerskabet</w:t>
      </w:r>
      <w:proofErr w:type="spellEnd"/>
      <w:r w:rsidRPr="00467DB0">
        <w:t xml:space="preserve"> </w:t>
      </w:r>
      <w:r w:rsidRPr="00467DB0">
        <w:t xml:space="preserve">på et senere tidspunkt ved at blive part i den i denne </w:t>
      </w:r>
      <w:proofErr w:type="spellStart"/>
      <w:r w:rsidRPr="00467DB0">
        <w:t>artikels</w:t>
      </w:r>
      <w:proofErr w:type="spellEnd"/>
      <w:r w:rsidRPr="00467DB0">
        <w:t xml:space="preserve"> stk. 2 omhandlede </w:t>
      </w:r>
      <w:r w:rsidRPr="00467DB0">
        <w:lastRenderedPageBreak/>
        <w:t>SST-</w:t>
      </w:r>
      <w:proofErr w:type="spellStart"/>
      <w:r w:rsidRPr="00467DB0">
        <w:t>partnerskabsaftale</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0D6A8DC4" w14:textId="77777777" w:rsidR="00000000" w:rsidRPr="00467DB0" w:rsidRDefault="00693D67" w:rsidP="00467DB0">
      <w:pPr>
        <w:pStyle w:val="avsnitt-undertittel"/>
      </w:pPr>
      <w:proofErr w:type="spellStart"/>
      <w:r w:rsidRPr="00467DB0">
        <w:t>Artikel</w:t>
      </w:r>
      <w:proofErr w:type="spellEnd"/>
      <w:r w:rsidRPr="00467DB0">
        <w:t xml:space="preserve"> 59</w:t>
      </w:r>
    </w:p>
    <w:p w14:paraId="4BCD40D0" w14:textId="77777777" w:rsidR="00000000" w:rsidRPr="00467DB0" w:rsidRDefault="00693D67" w:rsidP="00467DB0">
      <w:pPr>
        <w:pStyle w:val="Undertittel"/>
      </w:pPr>
      <w:r w:rsidRPr="00467DB0">
        <w:t>SST-kontaktpunkt</w:t>
      </w:r>
    </w:p>
    <w:p w14:paraId="1C3C56A3"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w:t>
      </w:r>
      <w:proofErr w:type="spellStart"/>
      <w:r w:rsidRPr="00467DB0">
        <w:t>udvælger</w:t>
      </w:r>
      <w:proofErr w:type="spellEnd"/>
      <w:r w:rsidRPr="00467DB0">
        <w:t xml:space="preserve"> </w:t>
      </w:r>
      <w:proofErr w:type="gramStart"/>
      <w:r w:rsidRPr="00467DB0">
        <w:t>under</w:t>
      </w:r>
      <w:r w:rsidRPr="00467DB0">
        <w:t xml:space="preserve"> hensyntagen</w:t>
      </w:r>
      <w:proofErr w:type="gramEnd"/>
      <w:r w:rsidRPr="00467DB0">
        <w:t xml:space="preserve"> til henstillingen fra de ansvarlige </w:t>
      </w:r>
      <w:proofErr w:type="spellStart"/>
      <w:r w:rsidRPr="00467DB0">
        <w:t>nationale</w:t>
      </w:r>
      <w:proofErr w:type="spellEnd"/>
      <w:r w:rsidRPr="00467DB0">
        <w:t xml:space="preserve"> </w:t>
      </w:r>
      <w:proofErr w:type="spellStart"/>
      <w:r w:rsidRPr="00467DB0">
        <w:t>enheder</w:t>
      </w:r>
      <w:proofErr w:type="spellEnd"/>
      <w:r w:rsidRPr="00467DB0">
        <w:t xml:space="preserve"> SST-kontaktpunktet på </w:t>
      </w:r>
      <w:proofErr w:type="spellStart"/>
      <w:r w:rsidRPr="00467DB0">
        <w:t>grundlag</w:t>
      </w:r>
      <w:proofErr w:type="spellEnd"/>
      <w:r w:rsidRPr="00467DB0">
        <w:t xml:space="preserve"> </w:t>
      </w:r>
      <w:proofErr w:type="spellStart"/>
      <w:r w:rsidRPr="00467DB0">
        <w:t>af</w:t>
      </w:r>
      <w:proofErr w:type="spellEnd"/>
      <w:r w:rsidRPr="00467DB0">
        <w:t xml:space="preserve"> den </w:t>
      </w:r>
      <w:proofErr w:type="spellStart"/>
      <w:r w:rsidRPr="00467DB0">
        <w:t>bedste</w:t>
      </w:r>
      <w:proofErr w:type="spellEnd"/>
      <w:r w:rsidRPr="00467DB0">
        <w:t xml:space="preserve"> ekspertise </w:t>
      </w:r>
      <w:proofErr w:type="spellStart"/>
      <w:r w:rsidRPr="00467DB0">
        <w:t>inden</w:t>
      </w:r>
      <w:proofErr w:type="spellEnd"/>
      <w:r w:rsidRPr="00467DB0">
        <w:t xml:space="preserve"> for </w:t>
      </w:r>
      <w:proofErr w:type="spellStart"/>
      <w:r w:rsidRPr="00467DB0">
        <w:t>sikkerhedsspørgsmål</w:t>
      </w:r>
      <w:proofErr w:type="spellEnd"/>
      <w:r w:rsidRPr="00467DB0">
        <w:t xml:space="preserve"> og levering </w:t>
      </w:r>
      <w:proofErr w:type="spellStart"/>
      <w:r w:rsidRPr="00467DB0">
        <w:t>af</w:t>
      </w:r>
      <w:proofErr w:type="spellEnd"/>
      <w:r w:rsidRPr="00467DB0">
        <w:t xml:space="preserve"> tjenester. SST-kontaktpunktet skal:</w:t>
      </w:r>
    </w:p>
    <w:p w14:paraId="51D47458" w14:textId="77777777" w:rsidR="00000000" w:rsidRPr="00467DB0" w:rsidRDefault="00693D67" w:rsidP="00467DB0">
      <w:pPr>
        <w:pStyle w:val="friliste2"/>
      </w:pPr>
      <w:r w:rsidRPr="00467DB0">
        <w:t>a)</w:t>
      </w:r>
      <w:r w:rsidRPr="00467DB0">
        <w:tab/>
        <w:t xml:space="preserve">levere de nødvendige sikre </w:t>
      </w:r>
      <w:proofErr w:type="spellStart"/>
      <w:r w:rsidRPr="00467DB0">
        <w:t>grænseflader</w:t>
      </w:r>
      <w:proofErr w:type="spellEnd"/>
      <w:r w:rsidRPr="00467DB0">
        <w:t xml:space="preserve"> for at </w:t>
      </w:r>
      <w:proofErr w:type="spellStart"/>
      <w:r w:rsidRPr="00467DB0">
        <w:t>ce</w:t>
      </w:r>
      <w:r w:rsidRPr="00467DB0">
        <w:t>ntralisere</w:t>
      </w:r>
      <w:proofErr w:type="spellEnd"/>
      <w:r w:rsidRPr="00467DB0">
        <w:t xml:space="preserve">, lagre og </w:t>
      </w:r>
      <w:proofErr w:type="spellStart"/>
      <w:r w:rsidRPr="00467DB0">
        <w:t>tilgængeliggøre</w:t>
      </w:r>
      <w:proofErr w:type="spellEnd"/>
      <w:r w:rsidRPr="00467DB0">
        <w:t xml:space="preserve"> SST-</w:t>
      </w:r>
      <w:proofErr w:type="spellStart"/>
      <w:r w:rsidRPr="00467DB0">
        <w:t>informationer</w:t>
      </w:r>
      <w:proofErr w:type="spellEnd"/>
      <w:r w:rsidRPr="00467DB0">
        <w:t xml:space="preserve"> for SST-</w:t>
      </w:r>
      <w:proofErr w:type="spellStart"/>
      <w:r w:rsidRPr="00467DB0">
        <w:t>brugerne</w:t>
      </w:r>
      <w:proofErr w:type="spellEnd"/>
      <w:r w:rsidRPr="00467DB0">
        <w:t xml:space="preserve"> omhandlet i </w:t>
      </w:r>
      <w:proofErr w:type="spellStart"/>
      <w:r w:rsidRPr="00467DB0">
        <w:t>artikel</w:t>
      </w:r>
      <w:proofErr w:type="spellEnd"/>
      <w:r w:rsidRPr="00467DB0">
        <w:t xml:space="preserve"> 56 og sikre korrekt håndtering og </w:t>
      </w:r>
      <w:proofErr w:type="spellStart"/>
      <w:r w:rsidRPr="00467DB0">
        <w:t>sporbarhed</w:t>
      </w:r>
      <w:proofErr w:type="spellEnd"/>
      <w:r w:rsidRPr="00467DB0">
        <w:t xml:space="preserve"> </w:t>
      </w:r>
      <w:proofErr w:type="spellStart"/>
      <w:r w:rsidRPr="00467DB0">
        <w:t>heraf</w:t>
      </w:r>
      <w:proofErr w:type="spellEnd"/>
    </w:p>
    <w:p w14:paraId="5E803899" w14:textId="77777777" w:rsidR="00000000" w:rsidRPr="00467DB0" w:rsidRDefault="00693D67" w:rsidP="00467DB0">
      <w:pPr>
        <w:pStyle w:val="friliste2"/>
      </w:pPr>
      <w:r w:rsidRPr="00467DB0">
        <w:t>b)</w:t>
      </w:r>
      <w:r w:rsidRPr="00467DB0">
        <w:tab/>
        <w:t>rapportere om SST-</w:t>
      </w:r>
      <w:proofErr w:type="spellStart"/>
      <w:r w:rsidRPr="00467DB0">
        <w:t>tjenesternes</w:t>
      </w:r>
      <w:proofErr w:type="spellEnd"/>
      <w:r w:rsidRPr="00467DB0">
        <w:t xml:space="preserve"> </w:t>
      </w:r>
      <w:proofErr w:type="spellStart"/>
      <w:r w:rsidRPr="00467DB0">
        <w:t>præstation</w:t>
      </w:r>
      <w:proofErr w:type="spellEnd"/>
      <w:r w:rsidRPr="00467DB0">
        <w:t xml:space="preserve"> til SST-</w:t>
      </w:r>
      <w:proofErr w:type="spellStart"/>
      <w:r w:rsidRPr="00467DB0">
        <w:t>partnerskabet</w:t>
      </w:r>
      <w:proofErr w:type="spellEnd"/>
      <w:r w:rsidRPr="00467DB0">
        <w:t xml:space="preserve"> omhandlet i </w:t>
      </w:r>
      <w:proofErr w:type="spellStart"/>
      <w:r w:rsidRPr="00467DB0">
        <w:t>artikel</w:t>
      </w:r>
      <w:proofErr w:type="spellEnd"/>
      <w:r w:rsidRPr="00467DB0">
        <w:t xml:space="preserve"> 58, stk. 2, og </w:t>
      </w:r>
      <w:proofErr w:type="spellStart"/>
      <w:r w:rsidRPr="00467DB0">
        <w:t>Kommissione</w:t>
      </w:r>
      <w:r w:rsidRPr="00467DB0">
        <w:t>n</w:t>
      </w:r>
      <w:proofErr w:type="spellEnd"/>
    </w:p>
    <w:p w14:paraId="78081D3F" w14:textId="77777777" w:rsidR="00000000" w:rsidRPr="00467DB0" w:rsidRDefault="00693D67" w:rsidP="00467DB0">
      <w:pPr>
        <w:pStyle w:val="friliste2"/>
      </w:pPr>
      <w:r w:rsidRPr="00467DB0">
        <w:t>c)</w:t>
      </w:r>
      <w:r w:rsidRPr="00467DB0">
        <w:tab/>
      </w:r>
      <w:proofErr w:type="spellStart"/>
      <w:r w:rsidRPr="00467DB0">
        <w:t>indsamle</w:t>
      </w:r>
      <w:proofErr w:type="spellEnd"/>
      <w:r w:rsidRPr="00467DB0">
        <w:t xml:space="preserve"> den nødvendige feedback til SST-</w:t>
      </w:r>
      <w:proofErr w:type="spellStart"/>
      <w:r w:rsidRPr="00467DB0">
        <w:t>partnerskabet</w:t>
      </w:r>
      <w:proofErr w:type="spellEnd"/>
      <w:r w:rsidRPr="00467DB0">
        <w:t xml:space="preserve"> omhandlet i </w:t>
      </w:r>
      <w:proofErr w:type="spellStart"/>
      <w:r w:rsidRPr="00467DB0">
        <w:t>artikel</w:t>
      </w:r>
      <w:proofErr w:type="spellEnd"/>
      <w:r w:rsidRPr="00467DB0">
        <w:t xml:space="preserve"> 58, stk. 2, for at sikre den </w:t>
      </w:r>
      <w:proofErr w:type="spellStart"/>
      <w:r w:rsidRPr="00467DB0">
        <w:t>krævede</w:t>
      </w:r>
      <w:proofErr w:type="spellEnd"/>
      <w:r w:rsidRPr="00467DB0">
        <w:t xml:space="preserve"> tilpasning </w:t>
      </w:r>
      <w:proofErr w:type="spellStart"/>
      <w:r w:rsidRPr="00467DB0">
        <w:t>af</w:t>
      </w:r>
      <w:proofErr w:type="spellEnd"/>
      <w:r w:rsidRPr="00467DB0">
        <w:t xml:space="preserve"> </w:t>
      </w:r>
      <w:proofErr w:type="spellStart"/>
      <w:r w:rsidRPr="00467DB0">
        <w:t>tjenesterne</w:t>
      </w:r>
      <w:proofErr w:type="spellEnd"/>
      <w:r w:rsidRPr="00467DB0">
        <w:t xml:space="preserve"> i forhold til SST-</w:t>
      </w:r>
      <w:proofErr w:type="spellStart"/>
      <w:r w:rsidRPr="00467DB0">
        <w:t>brugernes</w:t>
      </w:r>
      <w:proofErr w:type="spellEnd"/>
      <w:r w:rsidRPr="00467DB0">
        <w:t xml:space="preserve"> forventninger</w:t>
      </w:r>
    </w:p>
    <w:p w14:paraId="6A56E7A8" w14:textId="77777777" w:rsidR="00000000" w:rsidRPr="00467DB0" w:rsidRDefault="00693D67" w:rsidP="00467DB0">
      <w:pPr>
        <w:pStyle w:val="friliste2"/>
      </w:pPr>
      <w:r w:rsidRPr="00467DB0">
        <w:t>d)</w:t>
      </w:r>
      <w:r w:rsidRPr="00467DB0">
        <w:tab/>
        <w:t xml:space="preserve">støtte, fremme og tilskynde til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tjenesterne</w:t>
      </w:r>
      <w:proofErr w:type="spellEnd"/>
      <w:r w:rsidRPr="00467DB0">
        <w:t>.</w:t>
      </w:r>
    </w:p>
    <w:p w14:paraId="2301F5EB" w14:textId="77777777" w:rsidR="00000000" w:rsidRPr="00467DB0" w:rsidRDefault="00693D67" w:rsidP="00467DB0">
      <w:pPr>
        <w:pStyle w:val="friliste"/>
      </w:pPr>
      <w:r w:rsidRPr="00467DB0">
        <w:t>2.</w:t>
      </w:r>
      <w:r w:rsidRPr="00467DB0">
        <w:tab/>
      </w:r>
      <w:r w:rsidRPr="00467DB0">
        <w:t xml:space="preserve">De ansvarlige </w:t>
      </w:r>
      <w:proofErr w:type="spellStart"/>
      <w:r w:rsidRPr="00467DB0">
        <w:t>nationale</w:t>
      </w:r>
      <w:proofErr w:type="spellEnd"/>
      <w:r w:rsidRPr="00467DB0">
        <w:t xml:space="preserve"> </w:t>
      </w:r>
      <w:proofErr w:type="spellStart"/>
      <w:r w:rsidRPr="00467DB0">
        <w:t>enheder</w:t>
      </w:r>
      <w:proofErr w:type="spellEnd"/>
      <w:r w:rsidRPr="00467DB0">
        <w:t xml:space="preserve"> </w:t>
      </w:r>
      <w:proofErr w:type="spellStart"/>
      <w:r w:rsidRPr="00467DB0">
        <w:t>indgår</w:t>
      </w:r>
      <w:proofErr w:type="spellEnd"/>
      <w:r w:rsidRPr="00467DB0">
        <w:t xml:space="preserve"> de nødvendige </w:t>
      </w:r>
      <w:proofErr w:type="spellStart"/>
      <w:r w:rsidRPr="00467DB0">
        <w:t>gennemførelsesaftaler</w:t>
      </w:r>
      <w:proofErr w:type="spellEnd"/>
      <w:r w:rsidRPr="00467DB0">
        <w:t xml:space="preserve"> med SST-kontaktpunktet.</w:t>
      </w:r>
    </w:p>
    <w:p w14:paraId="1D4402B4" w14:textId="77777777" w:rsidR="00000000" w:rsidRPr="00467DB0" w:rsidRDefault="00693D67" w:rsidP="00467DB0">
      <w:pPr>
        <w:pStyle w:val="avsnitt-undertittel"/>
      </w:pPr>
      <w:r w:rsidRPr="00467DB0">
        <w:t>Del II</w:t>
      </w:r>
    </w:p>
    <w:p w14:paraId="55286E0F" w14:textId="77777777" w:rsidR="00000000" w:rsidRPr="00467DB0" w:rsidRDefault="00693D67" w:rsidP="00467DB0">
      <w:pPr>
        <w:pStyle w:val="Undertittel"/>
      </w:pPr>
      <w:r w:rsidRPr="00467DB0">
        <w:t>SWE- og NEO-delkomponenter</w:t>
      </w:r>
    </w:p>
    <w:p w14:paraId="0B1317E9" w14:textId="77777777" w:rsidR="00000000" w:rsidRPr="00467DB0" w:rsidRDefault="00693D67" w:rsidP="00467DB0">
      <w:pPr>
        <w:pStyle w:val="avsnitt-undertittel"/>
      </w:pPr>
      <w:proofErr w:type="spellStart"/>
      <w:r w:rsidRPr="00467DB0">
        <w:t>Artikel</w:t>
      </w:r>
      <w:proofErr w:type="spellEnd"/>
      <w:r w:rsidRPr="00467DB0">
        <w:t xml:space="preserve"> 60</w:t>
      </w:r>
    </w:p>
    <w:p w14:paraId="7688ECAE" w14:textId="77777777" w:rsidR="00000000" w:rsidRPr="00467DB0" w:rsidRDefault="00693D67" w:rsidP="00467DB0">
      <w:pPr>
        <w:pStyle w:val="Undertittel"/>
      </w:pPr>
      <w:r w:rsidRPr="00467DB0">
        <w:t>SWE-aktiviteter</w:t>
      </w:r>
    </w:p>
    <w:p w14:paraId="7DECC166" w14:textId="77777777" w:rsidR="00000000" w:rsidRPr="00467DB0" w:rsidRDefault="00693D67" w:rsidP="00467DB0">
      <w:pPr>
        <w:pStyle w:val="friliste"/>
      </w:pPr>
      <w:r w:rsidRPr="00467DB0">
        <w:t>1.</w:t>
      </w:r>
      <w:r w:rsidRPr="00467DB0">
        <w:tab/>
        <w:t>SWE-</w:t>
      </w:r>
      <w:proofErr w:type="spellStart"/>
      <w:r w:rsidRPr="00467DB0">
        <w:t>delkomponenterne</w:t>
      </w:r>
      <w:proofErr w:type="spellEnd"/>
      <w:r w:rsidRPr="00467DB0">
        <w:t xml:space="preserve"> kan støtte følgende aktiviteter:</w:t>
      </w:r>
    </w:p>
    <w:p w14:paraId="7EC45F5C" w14:textId="77777777" w:rsidR="00000000" w:rsidRPr="00467DB0" w:rsidRDefault="00693D67" w:rsidP="00467DB0">
      <w:pPr>
        <w:pStyle w:val="friliste2"/>
      </w:pPr>
      <w:r w:rsidRPr="00467DB0">
        <w:t>a)</w:t>
      </w:r>
      <w:r w:rsidRPr="00467DB0">
        <w:tab/>
        <w:t xml:space="preserve">vurdering og </w:t>
      </w:r>
      <w:proofErr w:type="spellStart"/>
      <w:r w:rsidRPr="00467DB0">
        <w:t>identificering</w:t>
      </w:r>
      <w:proofErr w:type="spellEnd"/>
      <w:r w:rsidRPr="00467DB0">
        <w:t xml:space="preserve"> </w:t>
      </w:r>
      <w:proofErr w:type="spellStart"/>
      <w:r w:rsidRPr="00467DB0">
        <w:t>af</w:t>
      </w:r>
      <w:proofErr w:type="spellEnd"/>
      <w:r w:rsidRPr="00467DB0">
        <w:t xml:space="preserve"> behov</w:t>
      </w:r>
      <w:r w:rsidRPr="00467DB0">
        <w:t xml:space="preserve">ene hos </w:t>
      </w:r>
      <w:proofErr w:type="spellStart"/>
      <w:r w:rsidRPr="00467DB0">
        <w:t>brugerne</w:t>
      </w:r>
      <w:proofErr w:type="spellEnd"/>
      <w:r w:rsidRPr="00467DB0">
        <w:t xml:space="preserve"> i de sektorer, der er </w:t>
      </w:r>
      <w:proofErr w:type="spellStart"/>
      <w:r w:rsidRPr="00467DB0">
        <w:t>nævnt</w:t>
      </w:r>
      <w:proofErr w:type="spellEnd"/>
      <w:r w:rsidRPr="00467DB0">
        <w:t xml:space="preserve"> i stk. 2, litra b), med </w:t>
      </w:r>
      <w:proofErr w:type="spellStart"/>
      <w:r w:rsidRPr="00467DB0">
        <w:t>henblik</w:t>
      </w:r>
      <w:proofErr w:type="spellEnd"/>
      <w:r w:rsidRPr="00467DB0">
        <w:t xml:space="preserve"> på at </w:t>
      </w:r>
      <w:proofErr w:type="spellStart"/>
      <w:r w:rsidRPr="00467DB0">
        <w:t>fastlægge</w:t>
      </w:r>
      <w:proofErr w:type="spellEnd"/>
      <w:r w:rsidRPr="00467DB0">
        <w:t xml:space="preserve"> de SWE-tjenester, der skal leveres</w:t>
      </w:r>
    </w:p>
    <w:p w14:paraId="4E8B4F9F" w14:textId="77777777" w:rsidR="00000000" w:rsidRPr="00467DB0" w:rsidRDefault="00693D67" w:rsidP="00467DB0">
      <w:pPr>
        <w:pStyle w:val="friliste2"/>
      </w:pPr>
      <w:r w:rsidRPr="00467DB0">
        <w:t>b)</w:t>
      </w:r>
      <w:r w:rsidRPr="00467DB0">
        <w:tab/>
        <w:t xml:space="preserve">levering </w:t>
      </w:r>
      <w:proofErr w:type="spellStart"/>
      <w:r w:rsidRPr="00467DB0">
        <w:t>af</w:t>
      </w:r>
      <w:proofErr w:type="spellEnd"/>
      <w:r w:rsidRPr="00467DB0">
        <w:t xml:space="preserve"> SWE-tjenester til SWE-</w:t>
      </w:r>
      <w:proofErr w:type="spellStart"/>
      <w:r w:rsidRPr="00467DB0">
        <w:t>tjenesternes</w:t>
      </w:r>
      <w:proofErr w:type="spellEnd"/>
      <w:r w:rsidRPr="00467DB0">
        <w:t xml:space="preserve"> </w:t>
      </w:r>
      <w:proofErr w:type="spellStart"/>
      <w:r w:rsidRPr="00467DB0">
        <w:t>brugere</w:t>
      </w:r>
      <w:proofErr w:type="spellEnd"/>
      <w:r w:rsidRPr="00467DB0">
        <w:t xml:space="preserve"> i overensstemmelse med de </w:t>
      </w:r>
      <w:proofErr w:type="spellStart"/>
      <w:r w:rsidRPr="00467DB0">
        <w:t>identificerede</w:t>
      </w:r>
      <w:proofErr w:type="spellEnd"/>
      <w:r w:rsidRPr="00467DB0">
        <w:t xml:space="preserve"> </w:t>
      </w:r>
      <w:proofErr w:type="spellStart"/>
      <w:r w:rsidRPr="00467DB0">
        <w:t>brugerbehov</w:t>
      </w:r>
      <w:proofErr w:type="spellEnd"/>
      <w:r w:rsidRPr="00467DB0">
        <w:t xml:space="preserve"> og tekniske krav.</w:t>
      </w:r>
    </w:p>
    <w:p w14:paraId="517A62B3" w14:textId="77777777" w:rsidR="00000000" w:rsidRPr="00467DB0" w:rsidRDefault="00693D67" w:rsidP="00467DB0">
      <w:pPr>
        <w:pStyle w:val="friliste"/>
      </w:pPr>
      <w:r w:rsidRPr="00467DB0">
        <w:t>2.</w:t>
      </w:r>
      <w:r w:rsidRPr="00467DB0">
        <w:tab/>
        <w:t>SWE-</w:t>
      </w:r>
      <w:proofErr w:type="spellStart"/>
      <w:r w:rsidRPr="00467DB0">
        <w:t>tjenesterne</w:t>
      </w:r>
      <w:proofErr w:type="spellEnd"/>
      <w:r w:rsidRPr="00467DB0">
        <w:t xml:space="preserve"> skal være </w:t>
      </w:r>
      <w:proofErr w:type="spellStart"/>
      <w:r w:rsidRPr="00467DB0">
        <w:t>tilgængelige</w:t>
      </w:r>
      <w:proofErr w:type="spellEnd"/>
      <w:r w:rsidRPr="00467DB0">
        <w:t xml:space="preserve"> til enhver tid og </w:t>
      </w:r>
      <w:proofErr w:type="spellStart"/>
      <w:r w:rsidRPr="00467DB0">
        <w:t>uden</w:t>
      </w:r>
      <w:proofErr w:type="spellEnd"/>
      <w:r w:rsidRPr="00467DB0">
        <w:t xml:space="preserve"> </w:t>
      </w:r>
      <w:proofErr w:type="spellStart"/>
      <w:r w:rsidRPr="00467DB0">
        <w:t>afbrydelse</w:t>
      </w:r>
      <w:proofErr w:type="spellEnd"/>
      <w:r w:rsidRPr="00467DB0">
        <w:t xml:space="preserve">. </w:t>
      </w:r>
      <w:proofErr w:type="spellStart"/>
      <w:r w:rsidRPr="00467DB0">
        <w:t>Kommissionen</w:t>
      </w:r>
      <w:proofErr w:type="spellEnd"/>
      <w:r w:rsidRPr="00467DB0">
        <w:t xml:space="preserve"> </w:t>
      </w:r>
      <w:proofErr w:type="spellStart"/>
      <w:r w:rsidRPr="00467DB0">
        <w:t>udvælger</w:t>
      </w:r>
      <w:proofErr w:type="spellEnd"/>
      <w:r w:rsidRPr="00467DB0">
        <w:t xml:space="preserve"> disse tjenester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i overensstemmelse med følgende regler:</w:t>
      </w:r>
    </w:p>
    <w:p w14:paraId="5F2941FF" w14:textId="77777777" w:rsidR="00000000" w:rsidRPr="00467DB0" w:rsidRDefault="00693D67" w:rsidP="00467DB0">
      <w:pPr>
        <w:pStyle w:val="friliste2"/>
      </w:pPr>
      <w:r w:rsidRPr="00467DB0">
        <w:t>a)</w:t>
      </w:r>
      <w:r w:rsidRPr="00467DB0">
        <w:tab/>
      </w:r>
      <w:proofErr w:type="spellStart"/>
      <w:r w:rsidRPr="00467DB0">
        <w:t>Kommissionen</w:t>
      </w:r>
      <w:proofErr w:type="spellEnd"/>
      <w:r w:rsidRPr="00467DB0">
        <w:t xml:space="preserve"> prioriterer de SWE-tjenester, der skal leveres </w:t>
      </w:r>
      <w:r w:rsidRPr="00467DB0">
        <w:t>på EU-plan i henhold til SWE-</w:t>
      </w:r>
      <w:proofErr w:type="spellStart"/>
      <w:r w:rsidRPr="00467DB0">
        <w:t>brugernes</w:t>
      </w:r>
      <w:proofErr w:type="spellEnd"/>
      <w:r w:rsidRPr="00467DB0">
        <w:t xml:space="preserve"> behov, </w:t>
      </w:r>
      <w:proofErr w:type="spellStart"/>
      <w:r w:rsidRPr="00467DB0">
        <w:t>tjenesternes</w:t>
      </w:r>
      <w:proofErr w:type="spellEnd"/>
      <w:r w:rsidRPr="00467DB0">
        <w:t xml:space="preserve"> teknologiske </w:t>
      </w:r>
      <w:proofErr w:type="spellStart"/>
      <w:r w:rsidRPr="00467DB0">
        <w:t>parathed</w:t>
      </w:r>
      <w:proofErr w:type="spellEnd"/>
      <w:r w:rsidRPr="00467DB0">
        <w:t xml:space="preserve"> og resultatet </w:t>
      </w:r>
      <w:proofErr w:type="spellStart"/>
      <w:r w:rsidRPr="00467DB0">
        <w:t>af</w:t>
      </w:r>
      <w:proofErr w:type="spellEnd"/>
      <w:r w:rsidRPr="00467DB0">
        <w:t xml:space="preserve"> en risikovurdering</w:t>
      </w:r>
    </w:p>
    <w:p w14:paraId="4CD5ACBA" w14:textId="77777777" w:rsidR="00000000" w:rsidRPr="00467DB0" w:rsidRDefault="00693D67" w:rsidP="00467DB0">
      <w:pPr>
        <w:pStyle w:val="friliste2"/>
      </w:pPr>
      <w:r w:rsidRPr="00467DB0">
        <w:t>b)</w:t>
      </w:r>
      <w:r w:rsidRPr="00467DB0">
        <w:tab/>
        <w:t>SWE-</w:t>
      </w:r>
      <w:proofErr w:type="spellStart"/>
      <w:r w:rsidRPr="00467DB0">
        <w:t>tjenesterne</w:t>
      </w:r>
      <w:proofErr w:type="spellEnd"/>
      <w:r w:rsidRPr="00467DB0">
        <w:t xml:space="preserve"> kan </w:t>
      </w:r>
      <w:proofErr w:type="spellStart"/>
      <w:r w:rsidRPr="00467DB0">
        <w:t>bidrage</w:t>
      </w:r>
      <w:proofErr w:type="spellEnd"/>
      <w:r w:rsidRPr="00467DB0">
        <w:t xml:space="preserve"> til </w:t>
      </w:r>
      <w:proofErr w:type="spellStart"/>
      <w:r w:rsidRPr="00467DB0">
        <w:t>civilbeskyttelsesaktiviteter</w:t>
      </w:r>
      <w:proofErr w:type="spellEnd"/>
      <w:r w:rsidRPr="00467DB0">
        <w:t xml:space="preserve"> og til beskyttelse </w:t>
      </w:r>
      <w:proofErr w:type="spellStart"/>
      <w:r w:rsidRPr="00467DB0">
        <w:t>af</w:t>
      </w:r>
      <w:proofErr w:type="spellEnd"/>
      <w:r w:rsidRPr="00467DB0">
        <w:t xml:space="preserve"> en lang </w:t>
      </w:r>
      <w:proofErr w:type="spellStart"/>
      <w:r w:rsidRPr="00467DB0">
        <w:t>række</w:t>
      </w:r>
      <w:proofErr w:type="spellEnd"/>
      <w:r w:rsidRPr="00467DB0">
        <w:t xml:space="preserve"> sektorer såsom </w:t>
      </w:r>
      <w:proofErr w:type="spellStart"/>
      <w:r w:rsidRPr="00467DB0">
        <w:t>rummet</w:t>
      </w:r>
      <w:proofErr w:type="spellEnd"/>
      <w:r w:rsidRPr="00467DB0">
        <w:t>, transport, GNSS-</w:t>
      </w:r>
      <w:r w:rsidRPr="00467DB0">
        <w:t xml:space="preserve">systemer, </w:t>
      </w:r>
      <w:proofErr w:type="spellStart"/>
      <w:r w:rsidRPr="00467DB0">
        <w:t>elnet</w:t>
      </w:r>
      <w:proofErr w:type="spellEnd"/>
      <w:r w:rsidRPr="00467DB0">
        <w:t xml:space="preserve"> og </w:t>
      </w:r>
      <w:proofErr w:type="spellStart"/>
      <w:r w:rsidRPr="00467DB0">
        <w:t>kommunikation</w:t>
      </w:r>
      <w:proofErr w:type="spellEnd"/>
      <w:r w:rsidRPr="00467DB0">
        <w:t>.</w:t>
      </w:r>
    </w:p>
    <w:p w14:paraId="3C503449" w14:textId="77777777" w:rsidR="00000000" w:rsidRPr="00467DB0" w:rsidRDefault="00693D67" w:rsidP="00467DB0">
      <w:pPr>
        <w:pStyle w:val="Listeavsnitt"/>
      </w:pPr>
      <w:r w:rsidRPr="00467DB0">
        <w:t xml:space="preserve">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rådgivningsproceduren</w:t>
      </w:r>
      <w:proofErr w:type="spellEnd"/>
      <w:r w:rsidRPr="00467DB0">
        <w:t xml:space="preserve"> i </w:t>
      </w:r>
      <w:proofErr w:type="spellStart"/>
      <w:r w:rsidRPr="00467DB0">
        <w:t>artikel</w:t>
      </w:r>
      <w:proofErr w:type="spellEnd"/>
      <w:r w:rsidRPr="00467DB0">
        <w:t xml:space="preserve"> 107, stk. 2.</w:t>
      </w:r>
    </w:p>
    <w:p w14:paraId="6BF2B0C1" w14:textId="77777777" w:rsidR="00000000" w:rsidRPr="00467DB0" w:rsidRDefault="00693D67" w:rsidP="00467DB0">
      <w:pPr>
        <w:pStyle w:val="friliste"/>
      </w:pPr>
      <w:r w:rsidRPr="00467DB0">
        <w:lastRenderedPageBreak/>
        <w:t>3.</w:t>
      </w:r>
      <w:r w:rsidRPr="00467DB0">
        <w:tab/>
        <w:t xml:space="preserve">De offentlige eller private </w:t>
      </w:r>
      <w:proofErr w:type="spellStart"/>
      <w:r w:rsidRPr="00467DB0">
        <w:t>enheder</w:t>
      </w:r>
      <w:proofErr w:type="spellEnd"/>
      <w:r w:rsidRPr="00467DB0">
        <w:t>, der skal levere SWE-</w:t>
      </w:r>
      <w:proofErr w:type="spellStart"/>
      <w:r w:rsidRPr="00467DB0">
        <w:t>tjenesterne</w:t>
      </w:r>
      <w:proofErr w:type="spellEnd"/>
      <w:r w:rsidRPr="00467DB0">
        <w:t xml:space="preserve">, </w:t>
      </w:r>
      <w:proofErr w:type="spellStart"/>
      <w:r w:rsidRPr="00467DB0">
        <w:t>udvælges</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en </w:t>
      </w:r>
      <w:proofErr w:type="spellStart"/>
      <w:r w:rsidRPr="00467DB0">
        <w:t>udbudsprocedure</w:t>
      </w:r>
      <w:proofErr w:type="spellEnd"/>
      <w:r w:rsidRPr="00467DB0">
        <w:t>.</w:t>
      </w:r>
    </w:p>
    <w:p w14:paraId="5873CCF4" w14:textId="77777777" w:rsidR="00000000" w:rsidRPr="00467DB0" w:rsidRDefault="00693D67" w:rsidP="00467DB0">
      <w:pPr>
        <w:pStyle w:val="avsnitt-undertittel"/>
      </w:pPr>
      <w:proofErr w:type="spellStart"/>
      <w:r w:rsidRPr="00467DB0">
        <w:t>Artikel</w:t>
      </w:r>
      <w:proofErr w:type="spellEnd"/>
      <w:r w:rsidRPr="00467DB0">
        <w:t xml:space="preserve"> 61</w:t>
      </w:r>
    </w:p>
    <w:p w14:paraId="6D8A9BC2" w14:textId="77777777" w:rsidR="00000000" w:rsidRPr="00467DB0" w:rsidRDefault="00693D67" w:rsidP="00467DB0">
      <w:pPr>
        <w:pStyle w:val="Undertittel"/>
      </w:pPr>
      <w:r w:rsidRPr="00467DB0">
        <w:t>NEO-</w:t>
      </w:r>
      <w:r w:rsidRPr="00467DB0">
        <w:t>aktiviteter</w:t>
      </w:r>
    </w:p>
    <w:p w14:paraId="798649A0" w14:textId="77777777" w:rsidR="00000000" w:rsidRPr="00467DB0" w:rsidRDefault="00693D67" w:rsidP="00467DB0">
      <w:pPr>
        <w:pStyle w:val="friliste"/>
      </w:pPr>
      <w:r w:rsidRPr="00467DB0">
        <w:t>1.</w:t>
      </w:r>
      <w:r w:rsidRPr="00467DB0">
        <w:tab/>
        <w:t>NEO-delkomponenten kan støtte følgende aktiviteter:</w:t>
      </w:r>
    </w:p>
    <w:p w14:paraId="2FC36B8C" w14:textId="77777777" w:rsidR="00000000" w:rsidRPr="00467DB0" w:rsidRDefault="00693D67" w:rsidP="00467DB0">
      <w:pPr>
        <w:pStyle w:val="friliste2"/>
      </w:pPr>
      <w:r w:rsidRPr="00467DB0">
        <w:t>a)</w:t>
      </w:r>
      <w:r w:rsidRPr="00467DB0">
        <w:tab/>
      </w:r>
      <w:proofErr w:type="spellStart"/>
      <w:r w:rsidRPr="00467DB0">
        <w:t>kortlægning</w:t>
      </w:r>
      <w:proofErr w:type="spellEnd"/>
      <w:r w:rsidRPr="00467DB0">
        <w:t xml:space="preserve"> </w:t>
      </w:r>
      <w:proofErr w:type="spellStart"/>
      <w:r w:rsidRPr="00467DB0">
        <w:t>af</w:t>
      </w:r>
      <w:proofErr w:type="spellEnd"/>
      <w:r w:rsidRPr="00467DB0">
        <w:t xml:space="preserve"> </w:t>
      </w:r>
      <w:proofErr w:type="spellStart"/>
      <w:r w:rsidRPr="00467DB0">
        <w:t>medlemsstaternes</w:t>
      </w:r>
      <w:proofErr w:type="spellEnd"/>
      <w:r w:rsidRPr="00467DB0">
        <w:t xml:space="preserve"> </w:t>
      </w:r>
      <w:proofErr w:type="spellStart"/>
      <w:r w:rsidRPr="00467DB0">
        <w:t>kapacitet</w:t>
      </w:r>
      <w:proofErr w:type="spellEnd"/>
      <w:r w:rsidRPr="00467DB0">
        <w:t xml:space="preserve"> til påvisning og </w:t>
      </w:r>
      <w:proofErr w:type="spellStart"/>
      <w:r w:rsidRPr="00467DB0">
        <w:t>overvågning</w:t>
      </w:r>
      <w:proofErr w:type="spellEnd"/>
      <w:r w:rsidRPr="00467DB0">
        <w:t xml:space="preserve"> </w:t>
      </w:r>
      <w:proofErr w:type="spellStart"/>
      <w:r w:rsidRPr="00467DB0">
        <w:t>af</w:t>
      </w:r>
      <w:proofErr w:type="spellEnd"/>
      <w:r w:rsidRPr="00467DB0">
        <w:t xml:space="preserve"> jordnære objekter</w:t>
      </w:r>
    </w:p>
    <w:p w14:paraId="7701AD67" w14:textId="77777777" w:rsidR="00000000" w:rsidRPr="00467DB0" w:rsidRDefault="00693D67" w:rsidP="00467DB0">
      <w:pPr>
        <w:pStyle w:val="friliste2"/>
      </w:pPr>
      <w:r w:rsidRPr="00467DB0">
        <w:t>b)</w:t>
      </w:r>
      <w:r w:rsidRPr="00467DB0">
        <w:tab/>
        <w:t xml:space="preserve">fremme </w:t>
      </w:r>
      <w:proofErr w:type="spellStart"/>
      <w:r w:rsidRPr="00467DB0">
        <w:t>af</w:t>
      </w:r>
      <w:proofErr w:type="spellEnd"/>
      <w:r w:rsidRPr="00467DB0">
        <w:t xml:space="preserve"> </w:t>
      </w:r>
      <w:proofErr w:type="spellStart"/>
      <w:r w:rsidRPr="00467DB0">
        <w:t>netværkssamarbejde</w:t>
      </w:r>
      <w:proofErr w:type="spellEnd"/>
      <w:r w:rsidRPr="00467DB0">
        <w:t xml:space="preserve"> </w:t>
      </w:r>
      <w:proofErr w:type="spellStart"/>
      <w:r w:rsidRPr="00467DB0">
        <w:t>mellem</w:t>
      </w:r>
      <w:proofErr w:type="spellEnd"/>
      <w:r w:rsidRPr="00467DB0">
        <w:t xml:space="preserve"> </w:t>
      </w:r>
      <w:proofErr w:type="spellStart"/>
      <w:r w:rsidRPr="00467DB0">
        <w:t>medlemsstaternes</w:t>
      </w:r>
      <w:proofErr w:type="spellEnd"/>
      <w:r w:rsidRPr="00467DB0">
        <w:t xml:space="preserve"> </w:t>
      </w:r>
      <w:proofErr w:type="spellStart"/>
      <w:r w:rsidRPr="00467DB0">
        <w:t>faciliteter</w:t>
      </w:r>
      <w:proofErr w:type="spellEnd"/>
      <w:r w:rsidRPr="00467DB0">
        <w:t xml:space="preserve"> og </w:t>
      </w:r>
      <w:proofErr w:type="spellStart"/>
      <w:r w:rsidRPr="00467DB0">
        <w:t>forskningscentre</w:t>
      </w:r>
      <w:proofErr w:type="spellEnd"/>
    </w:p>
    <w:p w14:paraId="16663691" w14:textId="77777777" w:rsidR="00000000" w:rsidRPr="00467DB0" w:rsidRDefault="00693D67" w:rsidP="00467DB0">
      <w:pPr>
        <w:pStyle w:val="friliste2"/>
      </w:pPr>
      <w:r w:rsidRPr="00467DB0">
        <w:t>c)</w:t>
      </w:r>
      <w:r w:rsidRPr="00467DB0">
        <w:tab/>
      </w:r>
      <w:proofErr w:type="spellStart"/>
      <w:r w:rsidRPr="00467DB0">
        <w:t>udv</w:t>
      </w:r>
      <w:r w:rsidRPr="00467DB0">
        <w:t>ikling</w:t>
      </w:r>
      <w:proofErr w:type="spellEnd"/>
      <w:r w:rsidRPr="00467DB0">
        <w:t xml:space="preserve"> </w:t>
      </w:r>
      <w:proofErr w:type="spellStart"/>
      <w:r w:rsidRPr="00467DB0">
        <w:t>af</w:t>
      </w:r>
      <w:proofErr w:type="spellEnd"/>
      <w:r w:rsidRPr="00467DB0">
        <w:t xml:space="preserve"> den tjeneste, der er omhandlet i stk. 2</w:t>
      </w:r>
    </w:p>
    <w:p w14:paraId="6A480CC0" w14:textId="77777777" w:rsidR="00000000" w:rsidRPr="00467DB0" w:rsidRDefault="00693D67" w:rsidP="00467DB0">
      <w:pPr>
        <w:pStyle w:val="friliste2"/>
      </w:pPr>
      <w:r w:rsidRPr="00467DB0">
        <w:t>d)</w:t>
      </w:r>
      <w:r w:rsidRPr="00467DB0">
        <w:tab/>
      </w:r>
      <w:proofErr w:type="spellStart"/>
      <w:r w:rsidRPr="00467DB0">
        <w:t>udvikling</w:t>
      </w:r>
      <w:proofErr w:type="spellEnd"/>
      <w:r w:rsidRPr="00467DB0">
        <w:t xml:space="preserve"> </w:t>
      </w:r>
      <w:proofErr w:type="spellStart"/>
      <w:r w:rsidRPr="00467DB0">
        <w:t>af</w:t>
      </w:r>
      <w:proofErr w:type="spellEnd"/>
      <w:r w:rsidRPr="00467DB0">
        <w:t xml:space="preserve"> en </w:t>
      </w:r>
      <w:proofErr w:type="spellStart"/>
      <w:r w:rsidRPr="00467DB0">
        <w:t>rutinemæssig</w:t>
      </w:r>
      <w:proofErr w:type="spellEnd"/>
      <w:r w:rsidRPr="00467DB0">
        <w:t xml:space="preserve"> "hurtig </w:t>
      </w:r>
      <w:proofErr w:type="spellStart"/>
      <w:r w:rsidRPr="00467DB0">
        <w:t>indsats</w:t>
      </w:r>
      <w:proofErr w:type="spellEnd"/>
      <w:r w:rsidRPr="00467DB0">
        <w:t>"-</w:t>
      </w:r>
      <w:proofErr w:type="spellStart"/>
      <w:r w:rsidRPr="00467DB0">
        <w:t>funktion</w:t>
      </w:r>
      <w:proofErr w:type="spellEnd"/>
      <w:r w:rsidRPr="00467DB0">
        <w:t xml:space="preserve">, som er i stand til at karakterisere </w:t>
      </w:r>
      <w:proofErr w:type="spellStart"/>
      <w:r w:rsidRPr="00467DB0">
        <w:t>nyligt</w:t>
      </w:r>
      <w:proofErr w:type="spellEnd"/>
      <w:r w:rsidRPr="00467DB0">
        <w:t xml:space="preserve"> </w:t>
      </w:r>
      <w:proofErr w:type="spellStart"/>
      <w:r w:rsidRPr="00467DB0">
        <w:t>opdagede</w:t>
      </w:r>
      <w:proofErr w:type="spellEnd"/>
      <w:r w:rsidRPr="00467DB0">
        <w:t xml:space="preserve"> jordnære objekter</w:t>
      </w:r>
    </w:p>
    <w:p w14:paraId="691E04CE" w14:textId="77777777" w:rsidR="00000000" w:rsidRPr="00467DB0" w:rsidRDefault="00693D67" w:rsidP="00467DB0">
      <w:pPr>
        <w:pStyle w:val="friliste2"/>
      </w:pPr>
      <w:r w:rsidRPr="00467DB0">
        <w:t>e)</w:t>
      </w:r>
      <w:r w:rsidRPr="00467DB0">
        <w:tab/>
      </w:r>
      <w:proofErr w:type="spellStart"/>
      <w:r w:rsidRPr="00467DB0">
        <w:t>oprettelse</w:t>
      </w:r>
      <w:proofErr w:type="spellEnd"/>
      <w:r w:rsidRPr="00467DB0">
        <w:t xml:space="preserve"> </w:t>
      </w:r>
      <w:proofErr w:type="spellStart"/>
      <w:r w:rsidRPr="00467DB0">
        <w:t>af</w:t>
      </w:r>
      <w:proofErr w:type="spellEnd"/>
      <w:r w:rsidRPr="00467DB0">
        <w:t xml:space="preserve"> et </w:t>
      </w:r>
      <w:proofErr w:type="spellStart"/>
      <w:r w:rsidRPr="00467DB0">
        <w:t>europæisk</w:t>
      </w:r>
      <w:proofErr w:type="spellEnd"/>
      <w:r w:rsidRPr="00467DB0">
        <w:t xml:space="preserve"> katalog over jordnære objekter.</w:t>
      </w:r>
    </w:p>
    <w:p w14:paraId="3FAB319F"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kan </w:t>
      </w:r>
      <w:proofErr w:type="spellStart"/>
      <w:r w:rsidRPr="00467DB0">
        <w:t>inden</w:t>
      </w:r>
      <w:proofErr w:type="spellEnd"/>
      <w:r w:rsidRPr="00467DB0">
        <w:t xml:space="preserve"> for </w:t>
      </w:r>
      <w:proofErr w:type="spellStart"/>
      <w:r w:rsidRPr="00467DB0">
        <w:t>sit</w:t>
      </w:r>
      <w:proofErr w:type="spellEnd"/>
      <w:r w:rsidRPr="00467DB0">
        <w:t xml:space="preserve"> </w:t>
      </w:r>
      <w:proofErr w:type="spellStart"/>
      <w:r w:rsidRPr="00467DB0">
        <w:t>kompetenceområde</w:t>
      </w:r>
      <w:proofErr w:type="spellEnd"/>
      <w:r w:rsidRPr="00467DB0">
        <w:t xml:space="preserve"> under </w:t>
      </w:r>
      <w:proofErr w:type="spellStart"/>
      <w:r w:rsidRPr="00467DB0">
        <w:t>inddragelse</w:t>
      </w:r>
      <w:proofErr w:type="spellEnd"/>
      <w:r w:rsidRPr="00467DB0">
        <w:t xml:space="preserve"> </w:t>
      </w:r>
      <w:proofErr w:type="spellStart"/>
      <w:r w:rsidRPr="00467DB0">
        <w:t>af</w:t>
      </w:r>
      <w:proofErr w:type="spellEnd"/>
      <w:r w:rsidRPr="00467DB0">
        <w:t xml:space="preserve"> de relevante FN-organer </w:t>
      </w:r>
      <w:proofErr w:type="spellStart"/>
      <w:r w:rsidRPr="00467DB0">
        <w:t>indføre</w:t>
      </w:r>
      <w:proofErr w:type="spellEnd"/>
      <w:r w:rsidRPr="00467DB0">
        <w:t xml:space="preserve"> </w:t>
      </w:r>
      <w:proofErr w:type="spellStart"/>
      <w:r w:rsidRPr="00467DB0">
        <w:t>procedurer</w:t>
      </w:r>
      <w:proofErr w:type="spellEnd"/>
      <w:r w:rsidRPr="00467DB0">
        <w:t xml:space="preserve"> til at koordinere foranstaltninger truffet </w:t>
      </w:r>
      <w:proofErr w:type="spellStart"/>
      <w:r w:rsidRPr="00467DB0">
        <w:t>af</w:t>
      </w:r>
      <w:proofErr w:type="spellEnd"/>
      <w:r w:rsidRPr="00467DB0">
        <w:t xml:space="preserve"> Unionen og de </w:t>
      </w:r>
      <w:proofErr w:type="spellStart"/>
      <w:r w:rsidRPr="00467DB0">
        <w:t>nationale</w:t>
      </w:r>
      <w:proofErr w:type="spellEnd"/>
      <w:r w:rsidRPr="00467DB0">
        <w:t xml:space="preserve"> offentlige </w:t>
      </w:r>
      <w:proofErr w:type="spellStart"/>
      <w:r w:rsidRPr="00467DB0">
        <w:t>myndigheder</w:t>
      </w:r>
      <w:proofErr w:type="spellEnd"/>
      <w:r w:rsidRPr="00467DB0">
        <w:t xml:space="preserve"> med ansvar for </w:t>
      </w:r>
      <w:proofErr w:type="spellStart"/>
      <w:r w:rsidRPr="00467DB0">
        <w:t>civilbeskyttelse</w:t>
      </w:r>
      <w:proofErr w:type="spellEnd"/>
      <w:r w:rsidRPr="00467DB0">
        <w:t xml:space="preserve">, i </w:t>
      </w:r>
      <w:proofErr w:type="spellStart"/>
      <w:r w:rsidRPr="00467DB0">
        <w:t>tilfælde</w:t>
      </w:r>
      <w:proofErr w:type="spellEnd"/>
      <w:r w:rsidRPr="00467DB0">
        <w:t xml:space="preserve"> </w:t>
      </w:r>
      <w:proofErr w:type="spellStart"/>
      <w:r w:rsidRPr="00467DB0">
        <w:t>af</w:t>
      </w:r>
      <w:proofErr w:type="spellEnd"/>
      <w:r w:rsidRPr="00467DB0">
        <w:t xml:space="preserve"> at </w:t>
      </w:r>
      <w:proofErr w:type="gramStart"/>
      <w:r w:rsidRPr="00467DB0">
        <w:t>et jordnær ob</w:t>
      </w:r>
      <w:r w:rsidRPr="00467DB0">
        <w:t>jekt</w:t>
      </w:r>
      <w:proofErr w:type="gramEnd"/>
      <w:r w:rsidRPr="00467DB0">
        <w:t xml:space="preserve"> nærmer </w:t>
      </w:r>
      <w:proofErr w:type="spellStart"/>
      <w:r w:rsidRPr="00467DB0">
        <w:t>sig</w:t>
      </w:r>
      <w:proofErr w:type="spellEnd"/>
      <w:r w:rsidRPr="00467DB0">
        <w:t xml:space="preserve"> jorden.</w:t>
      </w:r>
    </w:p>
    <w:p w14:paraId="259B71FC" w14:textId="77777777" w:rsidR="00000000" w:rsidRPr="00467DB0" w:rsidRDefault="00693D67" w:rsidP="00467DB0">
      <w:pPr>
        <w:pStyle w:val="avsnitt-undertittel"/>
      </w:pPr>
      <w:r w:rsidRPr="00467DB0">
        <w:t>Kapitel II</w:t>
      </w:r>
    </w:p>
    <w:p w14:paraId="5770A67D" w14:textId="77777777" w:rsidR="00000000" w:rsidRPr="00467DB0" w:rsidRDefault="00693D67" w:rsidP="00467DB0">
      <w:pPr>
        <w:pStyle w:val="Undertittel"/>
      </w:pPr>
      <w:r w:rsidRPr="00467DB0">
        <w:t>GOVSATCOM</w:t>
      </w:r>
    </w:p>
    <w:p w14:paraId="17AFF05D" w14:textId="77777777" w:rsidR="00000000" w:rsidRPr="00467DB0" w:rsidRDefault="00693D67" w:rsidP="00467DB0">
      <w:pPr>
        <w:pStyle w:val="avsnitt-undertittel"/>
      </w:pPr>
      <w:proofErr w:type="spellStart"/>
      <w:r w:rsidRPr="00467DB0">
        <w:t>Artikel</w:t>
      </w:r>
      <w:proofErr w:type="spellEnd"/>
      <w:r w:rsidRPr="00467DB0">
        <w:t xml:space="preserve"> 62</w:t>
      </w:r>
    </w:p>
    <w:p w14:paraId="53A4E94A" w14:textId="77777777" w:rsidR="00000000" w:rsidRPr="00467DB0" w:rsidRDefault="00693D67" w:rsidP="00467DB0">
      <w:pPr>
        <w:pStyle w:val="Undertittel"/>
      </w:pPr>
      <w:r w:rsidRPr="00467DB0">
        <w:t>Anvendelsesområde for GOVSATCOM</w:t>
      </w:r>
    </w:p>
    <w:p w14:paraId="78969CFD" w14:textId="77777777" w:rsidR="00000000" w:rsidRPr="00467DB0" w:rsidRDefault="00693D67" w:rsidP="00467DB0">
      <w:r w:rsidRPr="00467DB0">
        <w:t xml:space="preserve">I GOVSATCOM-komponenten samles </w:t>
      </w:r>
      <w:proofErr w:type="spellStart"/>
      <w:r w:rsidRPr="00467DB0">
        <w:t>satellitkommunikationskapaciteter</w:t>
      </w:r>
      <w:proofErr w:type="spellEnd"/>
      <w:r w:rsidRPr="00467DB0">
        <w:t xml:space="preserve"> og -tjenester i en </w:t>
      </w:r>
      <w:proofErr w:type="spellStart"/>
      <w:r w:rsidRPr="00467DB0">
        <w:t>fæl</w:t>
      </w:r>
      <w:r w:rsidRPr="00467DB0">
        <w:t>les</w:t>
      </w:r>
      <w:proofErr w:type="spellEnd"/>
      <w:r w:rsidRPr="00467DB0">
        <w:t xml:space="preserve"> EU-pulje </w:t>
      </w:r>
      <w:proofErr w:type="spellStart"/>
      <w:r w:rsidRPr="00467DB0">
        <w:t>af</w:t>
      </w:r>
      <w:proofErr w:type="spellEnd"/>
      <w:r w:rsidRPr="00467DB0">
        <w:t xml:space="preserve"> </w:t>
      </w:r>
      <w:proofErr w:type="spellStart"/>
      <w:r w:rsidRPr="00467DB0">
        <w:t>satellitkommunikationskapaciteter</w:t>
      </w:r>
      <w:proofErr w:type="spellEnd"/>
      <w:r w:rsidRPr="00467DB0">
        <w:t xml:space="preserve"> og -tjenester med passende </w:t>
      </w:r>
      <w:proofErr w:type="spellStart"/>
      <w:r w:rsidRPr="00467DB0">
        <w:t>sikkerhedskrav</w:t>
      </w:r>
      <w:proofErr w:type="spellEnd"/>
      <w:r w:rsidRPr="00467DB0">
        <w:t>. Denne komponent omfatter:</w:t>
      </w:r>
    </w:p>
    <w:p w14:paraId="45117F56" w14:textId="77777777" w:rsidR="00000000" w:rsidRPr="00467DB0" w:rsidRDefault="00693D67" w:rsidP="00467DB0">
      <w:pPr>
        <w:pStyle w:val="friliste"/>
      </w:pPr>
      <w:r w:rsidRPr="00467DB0">
        <w:t>a)</w:t>
      </w:r>
      <w:r w:rsidRPr="00467DB0">
        <w:tab/>
      </w:r>
      <w:proofErr w:type="spellStart"/>
      <w:r w:rsidRPr="00467DB0">
        <w:t>udvikling</w:t>
      </w:r>
      <w:proofErr w:type="spellEnd"/>
      <w:r w:rsidRPr="00467DB0">
        <w:t xml:space="preserve">, </w:t>
      </w:r>
      <w:proofErr w:type="spellStart"/>
      <w:r w:rsidRPr="00467DB0">
        <w:t>konstruktion</w:t>
      </w:r>
      <w:proofErr w:type="spellEnd"/>
      <w:r w:rsidRPr="00467DB0">
        <w:t xml:space="preserve"> og drift </w:t>
      </w:r>
      <w:proofErr w:type="spellStart"/>
      <w:r w:rsidRPr="00467DB0">
        <w:t>af</w:t>
      </w:r>
      <w:proofErr w:type="spellEnd"/>
      <w:r w:rsidRPr="00467DB0">
        <w:t xml:space="preserve"> den jordbaserede infrastruktur, jf. </w:t>
      </w:r>
      <w:proofErr w:type="spellStart"/>
      <w:r w:rsidRPr="00467DB0">
        <w:t>artikel</w:t>
      </w:r>
      <w:proofErr w:type="spellEnd"/>
      <w:r w:rsidRPr="00467DB0">
        <w:t xml:space="preserve"> 67, og </w:t>
      </w:r>
      <w:proofErr w:type="spellStart"/>
      <w:r w:rsidRPr="00467DB0">
        <w:t>eventuel</w:t>
      </w:r>
      <w:proofErr w:type="spellEnd"/>
      <w:r w:rsidRPr="00467DB0">
        <w:t xml:space="preserve"> </w:t>
      </w:r>
      <w:proofErr w:type="spellStart"/>
      <w:r w:rsidRPr="00467DB0">
        <w:t>ruminfrastruktur</w:t>
      </w:r>
      <w:proofErr w:type="spellEnd"/>
      <w:r w:rsidRPr="00467DB0">
        <w:t xml:space="preserve"> som omhandlet i </w:t>
      </w:r>
      <w:proofErr w:type="spellStart"/>
      <w:r w:rsidRPr="00467DB0">
        <w:t>artik</w:t>
      </w:r>
      <w:r w:rsidRPr="00467DB0">
        <w:t>el</w:t>
      </w:r>
      <w:proofErr w:type="spellEnd"/>
      <w:r w:rsidRPr="00467DB0">
        <w:t xml:space="preserve"> 102, stk. 2</w:t>
      </w:r>
    </w:p>
    <w:p w14:paraId="4B4ECF99" w14:textId="77777777" w:rsidR="00000000" w:rsidRPr="00467DB0" w:rsidRDefault="00693D67" w:rsidP="00467DB0">
      <w:pPr>
        <w:pStyle w:val="friliste"/>
      </w:pPr>
      <w:r w:rsidRPr="00467DB0">
        <w:t>b)</w:t>
      </w:r>
      <w:r w:rsidRPr="00467DB0">
        <w:tab/>
      </w:r>
      <w:proofErr w:type="spellStart"/>
      <w:r w:rsidRPr="00467DB0">
        <w:t>indkøb</w:t>
      </w:r>
      <w:proofErr w:type="spellEnd"/>
      <w:r w:rsidRPr="00467DB0">
        <w:t xml:space="preserve"> </w:t>
      </w:r>
      <w:proofErr w:type="spellStart"/>
      <w:r w:rsidRPr="00467DB0">
        <w:t>af</w:t>
      </w:r>
      <w:proofErr w:type="spellEnd"/>
      <w:r w:rsidRPr="00467DB0">
        <w:t xml:space="preserve"> den </w:t>
      </w:r>
      <w:proofErr w:type="spellStart"/>
      <w:r w:rsidRPr="00467DB0">
        <w:t>statslige</w:t>
      </w:r>
      <w:proofErr w:type="spellEnd"/>
      <w:r w:rsidRPr="00467DB0">
        <w:t xml:space="preserve"> og </w:t>
      </w:r>
      <w:proofErr w:type="spellStart"/>
      <w:r w:rsidRPr="00467DB0">
        <w:t>kommercielle</w:t>
      </w:r>
      <w:proofErr w:type="spellEnd"/>
      <w:r w:rsidRPr="00467DB0">
        <w:t xml:space="preserve"> </w:t>
      </w:r>
      <w:proofErr w:type="spellStart"/>
      <w:r w:rsidRPr="00467DB0">
        <w:t>satellitkommunikationskapacitet</w:t>
      </w:r>
      <w:proofErr w:type="spellEnd"/>
      <w:r w:rsidRPr="00467DB0">
        <w:t>, -tjeneste og -</w:t>
      </w:r>
      <w:proofErr w:type="spellStart"/>
      <w:r w:rsidRPr="00467DB0">
        <w:t>brugerudstyr</w:t>
      </w:r>
      <w:proofErr w:type="spellEnd"/>
      <w:r w:rsidRPr="00467DB0">
        <w:t xml:space="preserve">, som </w:t>
      </w:r>
      <w:proofErr w:type="spellStart"/>
      <w:r w:rsidRPr="00467DB0">
        <w:t>kræves</w:t>
      </w:r>
      <w:proofErr w:type="spellEnd"/>
      <w:r w:rsidRPr="00467DB0">
        <w:t xml:space="preserve"> til levering </w:t>
      </w:r>
      <w:proofErr w:type="spellStart"/>
      <w:r w:rsidRPr="00467DB0">
        <w:t>af</w:t>
      </w:r>
      <w:proofErr w:type="spellEnd"/>
      <w:r w:rsidRPr="00467DB0">
        <w:t xml:space="preserve"> GOVSATCOM-tjenester</w:t>
      </w:r>
    </w:p>
    <w:p w14:paraId="297EF3C1" w14:textId="77777777" w:rsidR="00000000" w:rsidRPr="00467DB0" w:rsidRDefault="00693D67" w:rsidP="00467DB0">
      <w:pPr>
        <w:pStyle w:val="friliste"/>
      </w:pPr>
      <w:r w:rsidRPr="00467DB0">
        <w:t>c)</w:t>
      </w:r>
      <w:r w:rsidRPr="00467DB0">
        <w:tab/>
        <w:t xml:space="preserve">nødvendige foranstaltninger for at fremme interoperabilitet og standardisering </w:t>
      </w:r>
      <w:proofErr w:type="spellStart"/>
      <w:r w:rsidRPr="00467DB0">
        <w:t>af</w:t>
      </w:r>
      <w:proofErr w:type="spellEnd"/>
      <w:r w:rsidRPr="00467DB0">
        <w:t xml:space="preserve"> GOVSA</w:t>
      </w:r>
      <w:r w:rsidRPr="00467DB0">
        <w:t>TCOM-</w:t>
      </w:r>
      <w:proofErr w:type="spellStart"/>
      <w:r w:rsidRPr="00467DB0">
        <w:t>brugerudstyr</w:t>
      </w:r>
      <w:proofErr w:type="spellEnd"/>
      <w:r w:rsidRPr="00467DB0">
        <w:t>.</w:t>
      </w:r>
    </w:p>
    <w:p w14:paraId="0659FE6C" w14:textId="77777777" w:rsidR="00000000" w:rsidRPr="00467DB0" w:rsidRDefault="00693D67" w:rsidP="00467DB0">
      <w:pPr>
        <w:pStyle w:val="avsnitt-undertittel"/>
      </w:pPr>
      <w:proofErr w:type="spellStart"/>
      <w:r w:rsidRPr="00467DB0">
        <w:lastRenderedPageBreak/>
        <w:t>Artikel</w:t>
      </w:r>
      <w:proofErr w:type="spellEnd"/>
      <w:r w:rsidRPr="00467DB0">
        <w:t xml:space="preserve"> 63</w:t>
      </w:r>
    </w:p>
    <w:p w14:paraId="45821767" w14:textId="77777777" w:rsidR="00000000" w:rsidRPr="00467DB0" w:rsidRDefault="00693D67" w:rsidP="00467DB0">
      <w:pPr>
        <w:pStyle w:val="Undertittel"/>
      </w:pPr>
      <w:r w:rsidRPr="00467DB0">
        <w:t>GOVSATCOM-</w:t>
      </w:r>
      <w:proofErr w:type="spellStart"/>
      <w:r w:rsidRPr="00467DB0">
        <w:t>kapaciteter</w:t>
      </w:r>
      <w:proofErr w:type="spellEnd"/>
      <w:r w:rsidRPr="00467DB0">
        <w:t xml:space="preserve"> og -tjenester</w:t>
      </w:r>
    </w:p>
    <w:p w14:paraId="2AC89DAA" w14:textId="77777777" w:rsidR="00000000" w:rsidRPr="00467DB0" w:rsidRDefault="00693D67" w:rsidP="00467DB0">
      <w:pPr>
        <w:pStyle w:val="friliste"/>
      </w:pPr>
      <w:r w:rsidRPr="00467DB0">
        <w:t>1.</w:t>
      </w:r>
      <w:r w:rsidRPr="00467DB0">
        <w:tab/>
        <w:t xml:space="preserve">Leveringen </w:t>
      </w:r>
      <w:proofErr w:type="spellStart"/>
      <w:r w:rsidRPr="00467DB0">
        <w:t>af</w:t>
      </w:r>
      <w:proofErr w:type="spellEnd"/>
      <w:r w:rsidRPr="00467DB0">
        <w:t xml:space="preserve"> GOVSATCOM-</w:t>
      </w:r>
      <w:proofErr w:type="spellStart"/>
      <w:r w:rsidRPr="00467DB0">
        <w:t>kapaciteter</w:t>
      </w:r>
      <w:proofErr w:type="spellEnd"/>
      <w:r w:rsidRPr="00467DB0">
        <w:t xml:space="preserve"> og -tjenester sikres som fastlagt i tjenesteporteføljen, jf. nærværende </w:t>
      </w:r>
      <w:proofErr w:type="spellStart"/>
      <w:r w:rsidRPr="00467DB0">
        <w:t>artikels</w:t>
      </w:r>
      <w:proofErr w:type="spellEnd"/>
      <w:r w:rsidRPr="00467DB0">
        <w:t xml:space="preserve"> stk. 3 og i overensstemmelse med de </w:t>
      </w:r>
      <w:proofErr w:type="spellStart"/>
      <w:r w:rsidRPr="00467DB0">
        <w:t>operationelle</w:t>
      </w:r>
      <w:proofErr w:type="spellEnd"/>
      <w:r w:rsidRPr="00467DB0">
        <w:t xml:space="preserve"> krav som omhandlet i</w:t>
      </w:r>
      <w:r w:rsidRPr="00467DB0">
        <w:t xml:space="preserve"> nærværende </w:t>
      </w:r>
      <w:proofErr w:type="spellStart"/>
      <w:r w:rsidRPr="00467DB0">
        <w:t>artikels</w:t>
      </w:r>
      <w:proofErr w:type="spellEnd"/>
      <w:r w:rsidRPr="00467DB0">
        <w:t xml:space="preserve"> stk. 2, de særlige </w:t>
      </w:r>
      <w:proofErr w:type="spellStart"/>
      <w:r w:rsidRPr="00467DB0">
        <w:t>sikkerhedskrav</w:t>
      </w:r>
      <w:proofErr w:type="spellEnd"/>
      <w:r w:rsidRPr="00467DB0">
        <w:t xml:space="preserve"> for GOVSATCOM, jf. </w:t>
      </w:r>
      <w:proofErr w:type="spellStart"/>
      <w:r w:rsidRPr="00467DB0">
        <w:t>artikel</w:t>
      </w:r>
      <w:proofErr w:type="spellEnd"/>
      <w:r w:rsidRPr="00467DB0">
        <w:t xml:space="preserve"> 34, stk. 2, og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 delings- og prioriteringsbestemmelser, der er omhandlet i </w:t>
      </w:r>
      <w:proofErr w:type="spellStart"/>
      <w:r w:rsidRPr="00467DB0">
        <w:t>artikel</w:t>
      </w:r>
      <w:proofErr w:type="spellEnd"/>
      <w:r w:rsidRPr="00467DB0">
        <w:t xml:space="preserve"> 66. </w:t>
      </w:r>
    </w:p>
    <w:p w14:paraId="6D555507" w14:textId="77777777" w:rsidR="00000000" w:rsidRPr="00467DB0" w:rsidRDefault="00693D67" w:rsidP="00467DB0">
      <w:pPr>
        <w:pStyle w:val="Listeavsnitt"/>
      </w:pPr>
      <w:r w:rsidRPr="00467DB0">
        <w:t>Adgang til GOVSATCOM-</w:t>
      </w:r>
      <w:proofErr w:type="spellStart"/>
      <w:r w:rsidRPr="00467DB0">
        <w:t>kapaciteter</w:t>
      </w:r>
      <w:proofErr w:type="spellEnd"/>
      <w:r w:rsidRPr="00467DB0">
        <w:t xml:space="preserve"> og -tjenester skal være grat</w:t>
      </w:r>
      <w:r w:rsidRPr="00467DB0">
        <w:t xml:space="preserve">is for </w:t>
      </w:r>
      <w:proofErr w:type="spellStart"/>
      <w:r w:rsidRPr="00467DB0">
        <w:t>institutionelle</w:t>
      </w:r>
      <w:proofErr w:type="spellEnd"/>
      <w:r w:rsidRPr="00467DB0">
        <w:t xml:space="preserve"> og </w:t>
      </w:r>
      <w:proofErr w:type="spellStart"/>
      <w:r w:rsidRPr="00467DB0">
        <w:t>statslige</w:t>
      </w:r>
      <w:proofErr w:type="spellEnd"/>
      <w:r w:rsidRPr="00467DB0">
        <w:t xml:space="preserve"> GOVSATCOM-</w:t>
      </w:r>
      <w:proofErr w:type="spellStart"/>
      <w:r w:rsidRPr="00467DB0">
        <w:t>brugere</w:t>
      </w:r>
      <w:proofErr w:type="spellEnd"/>
      <w:r w:rsidRPr="00467DB0">
        <w:t xml:space="preserve">, </w:t>
      </w:r>
      <w:proofErr w:type="gramStart"/>
      <w:r w:rsidRPr="00467DB0">
        <w:t>medmindre</w:t>
      </w:r>
      <w:proofErr w:type="gramEnd"/>
      <w:r w:rsidRPr="00467DB0">
        <w:t xml:space="preserve"> </w:t>
      </w:r>
      <w:proofErr w:type="spellStart"/>
      <w:r w:rsidRPr="00467DB0">
        <w:t>Kommissionen</w:t>
      </w:r>
      <w:proofErr w:type="spellEnd"/>
      <w:r w:rsidRPr="00467DB0">
        <w:t xml:space="preserve"> </w:t>
      </w:r>
      <w:proofErr w:type="spellStart"/>
      <w:r w:rsidRPr="00467DB0">
        <w:t>træffer</w:t>
      </w:r>
      <w:proofErr w:type="spellEnd"/>
      <w:r w:rsidRPr="00467DB0">
        <w:t xml:space="preserve"> </w:t>
      </w:r>
      <w:proofErr w:type="spellStart"/>
      <w:r w:rsidRPr="00467DB0">
        <w:t>afgørelse</w:t>
      </w:r>
      <w:proofErr w:type="spellEnd"/>
      <w:r w:rsidRPr="00467DB0">
        <w:t xml:space="preserve"> om en </w:t>
      </w:r>
      <w:proofErr w:type="spellStart"/>
      <w:r w:rsidRPr="00467DB0">
        <w:t>prispolitik</w:t>
      </w:r>
      <w:proofErr w:type="spellEnd"/>
      <w:r w:rsidRPr="00467DB0">
        <w:t xml:space="preserve"> i overensstemmelse med </w:t>
      </w:r>
      <w:proofErr w:type="spellStart"/>
      <w:r w:rsidRPr="00467DB0">
        <w:t>artikel</w:t>
      </w:r>
      <w:proofErr w:type="spellEnd"/>
      <w:r w:rsidRPr="00467DB0">
        <w:t xml:space="preserve"> 66, stk. 2.</w:t>
      </w:r>
    </w:p>
    <w:p w14:paraId="7DABD850"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vedtager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de </w:t>
      </w:r>
      <w:proofErr w:type="spellStart"/>
      <w:r w:rsidRPr="00467DB0">
        <w:t>operationelle</w:t>
      </w:r>
      <w:proofErr w:type="spellEnd"/>
      <w:r w:rsidRPr="00467DB0">
        <w:t xml:space="preserve"> krav til GOVSATCOM-t</w:t>
      </w:r>
      <w:r w:rsidRPr="00467DB0">
        <w:t xml:space="preserve">jenester i form </w:t>
      </w:r>
      <w:proofErr w:type="spellStart"/>
      <w:r w:rsidRPr="00467DB0">
        <w:t>af</w:t>
      </w:r>
      <w:proofErr w:type="spellEnd"/>
      <w:r w:rsidRPr="00467DB0">
        <w:t xml:space="preserve"> tekniske </w:t>
      </w:r>
      <w:proofErr w:type="spellStart"/>
      <w:r w:rsidRPr="00467DB0">
        <w:t>specifikationer</w:t>
      </w:r>
      <w:proofErr w:type="spellEnd"/>
      <w:r w:rsidRPr="00467DB0">
        <w:t xml:space="preserve"> for GOVSATCOM-</w:t>
      </w:r>
      <w:proofErr w:type="spellStart"/>
      <w:r w:rsidRPr="00467DB0">
        <w:t>brugsscenarier</w:t>
      </w:r>
      <w:proofErr w:type="spellEnd"/>
      <w:r w:rsidRPr="00467DB0">
        <w:t xml:space="preserve">, der navnlig vedrører krisestyring, </w:t>
      </w:r>
      <w:proofErr w:type="spellStart"/>
      <w:r w:rsidRPr="00467DB0">
        <w:t>overvågning</w:t>
      </w:r>
      <w:proofErr w:type="spellEnd"/>
      <w:r w:rsidRPr="00467DB0">
        <w:t xml:space="preserve"> og forvaltning </w:t>
      </w:r>
      <w:proofErr w:type="spellStart"/>
      <w:r w:rsidRPr="00467DB0">
        <w:t>af</w:t>
      </w:r>
      <w:proofErr w:type="spellEnd"/>
      <w:r w:rsidRPr="00467DB0">
        <w:t xml:space="preserve"> </w:t>
      </w:r>
      <w:proofErr w:type="spellStart"/>
      <w:r w:rsidRPr="00467DB0">
        <w:t>centrale</w:t>
      </w:r>
      <w:proofErr w:type="spellEnd"/>
      <w:r w:rsidRPr="00467DB0">
        <w:t xml:space="preserve"> infrastrukturer, herunder diplomatiske </w:t>
      </w:r>
      <w:proofErr w:type="spellStart"/>
      <w:r w:rsidRPr="00467DB0">
        <w:t>kommunikationsnet</w:t>
      </w:r>
      <w:proofErr w:type="spellEnd"/>
      <w:r w:rsidRPr="00467DB0">
        <w:t xml:space="preserve">. Disse </w:t>
      </w:r>
      <w:proofErr w:type="spellStart"/>
      <w:r w:rsidRPr="00467DB0">
        <w:t>operationelle</w:t>
      </w:r>
      <w:proofErr w:type="spellEnd"/>
      <w:r w:rsidRPr="00467DB0">
        <w:t xml:space="preserve"> krav skal bygge på en </w:t>
      </w:r>
      <w:proofErr w:type="spellStart"/>
      <w:r w:rsidRPr="00467DB0">
        <w:t>detaljer</w:t>
      </w:r>
      <w:r w:rsidRPr="00467DB0">
        <w:t>et</w:t>
      </w:r>
      <w:proofErr w:type="spellEnd"/>
      <w:r w:rsidRPr="00467DB0">
        <w:t xml:space="preserve"> analyse </w:t>
      </w:r>
      <w:proofErr w:type="spellStart"/>
      <w:r w:rsidRPr="00467DB0">
        <w:t>af</w:t>
      </w:r>
      <w:proofErr w:type="spellEnd"/>
      <w:r w:rsidRPr="00467DB0">
        <w:t xml:space="preserve"> GOVSATCOM-</w:t>
      </w:r>
      <w:proofErr w:type="spellStart"/>
      <w:r w:rsidRPr="00467DB0">
        <w:t>brugernes</w:t>
      </w:r>
      <w:proofErr w:type="spellEnd"/>
      <w:r w:rsidRPr="00467DB0">
        <w:t xml:space="preserve"> krav og </w:t>
      </w:r>
      <w:proofErr w:type="spellStart"/>
      <w:r w:rsidRPr="00467DB0">
        <w:t>tage</w:t>
      </w:r>
      <w:proofErr w:type="spellEnd"/>
      <w:r w:rsidRPr="00467DB0">
        <w:t xml:space="preserve"> hensyn til krav, som er </w:t>
      </w:r>
      <w:proofErr w:type="spellStart"/>
      <w:r w:rsidRPr="00467DB0">
        <w:t>baseret</w:t>
      </w:r>
      <w:proofErr w:type="spellEnd"/>
      <w:r w:rsidRPr="00467DB0">
        <w:t xml:space="preserve"> på eksisterende </w:t>
      </w:r>
      <w:proofErr w:type="spellStart"/>
      <w:r w:rsidRPr="00467DB0">
        <w:t>brugerudstyr</w:t>
      </w:r>
      <w:proofErr w:type="spellEnd"/>
      <w:r w:rsidRPr="00467DB0">
        <w:t xml:space="preserve"> og -</w:t>
      </w:r>
      <w:proofErr w:type="spellStart"/>
      <w:r w:rsidRPr="00467DB0">
        <w:t>net</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44966F1F" w14:textId="77777777" w:rsidR="00000000" w:rsidRPr="00467DB0" w:rsidRDefault="00693D67" w:rsidP="00467DB0">
      <w:pPr>
        <w:pStyle w:val="friliste"/>
      </w:pPr>
      <w:r w:rsidRPr="00467DB0">
        <w:t>3.</w:t>
      </w:r>
      <w:r w:rsidRPr="00467DB0">
        <w:tab/>
      </w:r>
      <w:proofErr w:type="spellStart"/>
      <w:r w:rsidRPr="00467DB0">
        <w:t>Kommissionen</w:t>
      </w:r>
      <w:proofErr w:type="spellEnd"/>
      <w:r w:rsidRPr="00467DB0">
        <w:t xml:space="preserve"> </w:t>
      </w:r>
      <w:proofErr w:type="spellStart"/>
      <w:r w:rsidRPr="00467DB0">
        <w:t>vedtager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w:t>
      </w:r>
      <w:r w:rsidRPr="00467DB0">
        <w:t>elsesretsakter</w:t>
      </w:r>
      <w:proofErr w:type="spellEnd"/>
      <w:r w:rsidRPr="00467DB0">
        <w:t xml:space="preserve"> porteføljen </w:t>
      </w:r>
      <w:proofErr w:type="spellStart"/>
      <w:r w:rsidRPr="00467DB0">
        <w:t>af</w:t>
      </w:r>
      <w:proofErr w:type="spellEnd"/>
      <w:r w:rsidRPr="00467DB0">
        <w:t xml:space="preserve"> GOVSATCOM-tjenester i form </w:t>
      </w:r>
      <w:proofErr w:type="spellStart"/>
      <w:r w:rsidRPr="00467DB0">
        <w:t>af</w:t>
      </w:r>
      <w:proofErr w:type="spellEnd"/>
      <w:r w:rsidRPr="00467DB0">
        <w:t xml:space="preserve"> en fortegnelse over kategorier </w:t>
      </w:r>
      <w:proofErr w:type="spellStart"/>
      <w:r w:rsidRPr="00467DB0">
        <w:t>af</w:t>
      </w:r>
      <w:proofErr w:type="spellEnd"/>
      <w:r w:rsidRPr="00467DB0">
        <w:t xml:space="preserve"> </w:t>
      </w:r>
      <w:proofErr w:type="spellStart"/>
      <w:r w:rsidRPr="00467DB0">
        <w:t>satellitkommunikationskapaciteter</w:t>
      </w:r>
      <w:proofErr w:type="spellEnd"/>
      <w:r w:rsidRPr="00467DB0">
        <w:t xml:space="preserve"> og -tjenester og deres </w:t>
      </w:r>
      <w:proofErr w:type="spellStart"/>
      <w:r w:rsidRPr="00467DB0">
        <w:t>egenskaber</w:t>
      </w:r>
      <w:proofErr w:type="spellEnd"/>
      <w:r w:rsidRPr="00467DB0">
        <w:t xml:space="preserve">, herunder geografisk </w:t>
      </w:r>
      <w:proofErr w:type="spellStart"/>
      <w:r w:rsidRPr="00467DB0">
        <w:t>dækning</w:t>
      </w:r>
      <w:proofErr w:type="spellEnd"/>
      <w:r w:rsidRPr="00467DB0">
        <w:t xml:space="preserve">, frekvens, båndvidde, </w:t>
      </w:r>
      <w:proofErr w:type="spellStart"/>
      <w:r w:rsidRPr="00467DB0">
        <w:t>brugerudstyr</w:t>
      </w:r>
      <w:proofErr w:type="spellEnd"/>
      <w:r w:rsidRPr="00467DB0">
        <w:t xml:space="preserve"> og </w:t>
      </w:r>
      <w:proofErr w:type="spellStart"/>
      <w:r w:rsidRPr="00467DB0">
        <w:t>sikkerhedsfeatures</w:t>
      </w:r>
      <w:proofErr w:type="spellEnd"/>
      <w:r w:rsidRPr="00467DB0">
        <w:t>. Tjenest</w:t>
      </w:r>
      <w:r w:rsidRPr="00467DB0">
        <w:t xml:space="preserve">eporteføljen skal </w:t>
      </w:r>
      <w:proofErr w:type="spellStart"/>
      <w:r w:rsidRPr="00467DB0">
        <w:t>tage</w:t>
      </w:r>
      <w:proofErr w:type="spellEnd"/>
      <w:r w:rsidRPr="00467DB0">
        <w:t xml:space="preserve"> hensyn til eksisterende </w:t>
      </w:r>
      <w:proofErr w:type="spellStart"/>
      <w:r w:rsidRPr="00467DB0">
        <w:t>kommercielt</w:t>
      </w:r>
      <w:proofErr w:type="spellEnd"/>
      <w:r w:rsidRPr="00467DB0">
        <w:t xml:space="preserve"> </w:t>
      </w:r>
      <w:proofErr w:type="spellStart"/>
      <w:r w:rsidRPr="00467DB0">
        <w:t>tilgængelige</w:t>
      </w:r>
      <w:proofErr w:type="spellEnd"/>
      <w:r w:rsidRPr="00467DB0">
        <w:t xml:space="preserve"> tjenester for ikke at virke </w:t>
      </w:r>
      <w:proofErr w:type="spellStart"/>
      <w:r w:rsidRPr="00467DB0">
        <w:t>konkurrenceforvridende</w:t>
      </w:r>
      <w:proofErr w:type="spellEnd"/>
      <w:r w:rsidRPr="00467DB0">
        <w:t xml:space="preserve"> på det indre marked. Disse </w:t>
      </w:r>
      <w:proofErr w:type="spellStart"/>
      <w:r w:rsidRPr="00467DB0">
        <w:t>gennemførelsesretsakter</w:t>
      </w:r>
      <w:proofErr w:type="spellEnd"/>
      <w:r w:rsidRPr="00467DB0">
        <w:t xml:space="preserve"> ajourføres </w:t>
      </w:r>
      <w:proofErr w:type="spellStart"/>
      <w:r w:rsidRPr="00467DB0">
        <w:t>regelmæssigt</w:t>
      </w:r>
      <w:proofErr w:type="spellEnd"/>
      <w:r w:rsidRPr="00467DB0">
        <w:t xml:space="preserve">, baseres på de </w:t>
      </w:r>
      <w:proofErr w:type="spellStart"/>
      <w:r w:rsidRPr="00467DB0">
        <w:t>operationelle</w:t>
      </w:r>
      <w:proofErr w:type="spellEnd"/>
      <w:r w:rsidRPr="00467DB0">
        <w:t xml:space="preserve"> og </w:t>
      </w:r>
      <w:proofErr w:type="spellStart"/>
      <w:r w:rsidRPr="00467DB0">
        <w:t>sikkerhedsmæssige</w:t>
      </w:r>
      <w:proofErr w:type="spellEnd"/>
      <w:r w:rsidRPr="00467DB0">
        <w:t xml:space="preserve"> krav, so</w:t>
      </w:r>
      <w:r w:rsidRPr="00467DB0">
        <w:t xml:space="preserve">m er omhandlet i denne </w:t>
      </w:r>
      <w:proofErr w:type="spellStart"/>
      <w:r w:rsidRPr="00467DB0">
        <w:t>artikels</w:t>
      </w:r>
      <w:proofErr w:type="spellEnd"/>
      <w:r w:rsidRPr="00467DB0">
        <w:t xml:space="preserve"> stk. 1, og skal prioritere tjenester, der leveres til </w:t>
      </w:r>
      <w:proofErr w:type="spellStart"/>
      <w:r w:rsidRPr="00467DB0">
        <w:t>brugere</w:t>
      </w:r>
      <w:proofErr w:type="spellEnd"/>
      <w:r w:rsidRPr="00467DB0">
        <w:t xml:space="preserve"> i henhold til deres relevans og kritiske </w:t>
      </w:r>
      <w:proofErr w:type="spellStart"/>
      <w:r w:rsidRPr="00467DB0">
        <w:t>værdi</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5A31CE0E" w14:textId="77777777" w:rsidR="00000000" w:rsidRPr="00467DB0" w:rsidRDefault="00693D67" w:rsidP="00467DB0">
      <w:pPr>
        <w:pStyle w:val="friliste"/>
      </w:pPr>
      <w:r w:rsidRPr="00467DB0">
        <w:t>4.</w:t>
      </w:r>
      <w:r w:rsidRPr="00467DB0">
        <w:tab/>
        <w:t>GOVSATCOM-</w:t>
      </w:r>
      <w:proofErr w:type="spellStart"/>
      <w:r w:rsidRPr="00467DB0">
        <w:t>brugere</w:t>
      </w:r>
      <w:proofErr w:type="spellEnd"/>
      <w:r w:rsidRPr="00467DB0">
        <w:t xml:space="preserve"> h</w:t>
      </w:r>
      <w:r w:rsidRPr="00467DB0">
        <w:t>ar adgang til de GOVSATCOM-</w:t>
      </w:r>
      <w:proofErr w:type="spellStart"/>
      <w:r w:rsidRPr="00467DB0">
        <w:t>kapaciteter</w:t>
      </w:r>
      <w:proofErr w:type="spellEnd"/>
      <w:r w:rsidRPr="00467DB0">
        <w:t xml:space="preserve"> og -tjenester, der er </w:t>
      </w:r>
      <w:proofErr w:type="spellStart"/>
      <w:r w:rsidRPr="00467DB0">
        <w:t>opført</w:t>
      </w:r>
      <w:proofErr w:type="spellEnd"/>
      <w:r w:rsidRPr="00467DB0">
        <w:t xml:space="preserve"> i tjenesteporteføljen omhandlet i denne </w:t>
      </w:r>
      <w:proofErr w:type="spellStart"/>
      <w:r w:rsidRPr="00467DB0">
        <w:t>artikels</w:t>
      </w:r>
      <w:proofErr w:type="spellEnd"/>
      <w:r w:rsidRPr="00467DB0">
        <w:t xml:space="preserve"> stk. 3. Denne adgang stilles til </w:t>
      </w:r>
      <w:proofErr w:type="spellStart"/>
      <w:r w:rsidRPr="00467DB0">
        <w:t>rådighed</w:t>
      </w:r>
      <w:proofErr w:type="spellEnd"/>
      <w:r w:rsidRPr="00467DB0">
        <w:t xml:space="preserve"> </w:t>
      </w:r>
      <w:proofErr w:type="spellStart"/>
      <w:r w:rsidRPr="00467DB0">
        <w:t>gennem</w:t>
      </w:r>
      <w:proofErr w:type="spellEnd"/>
      <w:r w:rsidRPr="00467DB0">
        <w:t xml:space="preserve"> GOVSATCOM-</w:t>
      </w:r>
      <w:proofErr w:type="spellStart"/>
      <w:r w:rsidRPr="00467DB0">
        <w:t>centre</w:t>
      </w:r>
      <w:proofErr w:type="spellEnd"/>
      <w:r w:rsidRPr="00467DB0">
        <w:t xml:space="preserve"> som omhandlet i </w:t>
      </w:r>
      <w:proofErr w:type="spellStart"/>
      <w:r w:rsidRPr="00467DB0">
        <w:t>artikel</w:t>
      </w:r>
      <w:proofErr w:type="spellEnd"/>
      <w:r w:rsidRPr="00467DB0">
        <w:t> 67, stk. 1.</w:t>
      </w:r>
    </w:p>
    <w:p w14:paraId="43BAC81A" w14:textId="77777777" w:rsidR="00000000" w:rsidRPr="00467DB0" w:rsidRDefault="00693D67" w:rsidP="00467DB0">
      <w:pPr>
        <w:pStyle w:val="avsnitt-undertittel"/>
      </w:pPr>
      <w:proofErr w:type="spellStart"/>
      <w:r w:rsidRPr="00467DB0">
        <w:t>Artikel</w:t>
      </w:r>
      <w:proofErr w:type="spellEnd"/>
      <w:r w:rsidRPr="00467DB0">
        <w:t xml:space="preserve"> 64</w:t>
      </w:r>
    </w:p>
    <w:p w14:paraId="6F9B5F31" w14:textId="77777777" w:rsidR="00000000" w:rsidRPr="00467DB0" w:rsidRDefault="00693D67" w:rsidP="00467DB0">
      <w:pPr>
        <w:pStyle w:val="Undertittel"/>
      </w:pPr>
      <w:r w:rsidRPr="00467DB0">
        <w:t xml:space="preserve">Leverandører </w:t>
      </w:r>
      <w:proofErr w:type="spellStart"/>
      <w:r w:rsidRPr="00467DB0">
        <w:t>af</w:t>
      </w:r>
      <w:proofErr w:type="spellEnd"/>
      <w:r w:rsidRPr="00467DB0">
        <w:t xml:space="preserve"> </w:t>
      </w:r>
      <w:proofErr w:type="spellStart"/>
      <w:r w:rsidRPr="00467DB0">
        <w:t>satellitko</w:t>
      </w:r>
      <w:r w:rsidRPr="00467DB0">
        <w:t>mmunikationskapaciteter</w:t>
      </w:r>
      <w:proofErr w:type="spellEnd"/>
      <w:r w:rsidRPr="00467DB0">
        <w:t xml:space="preserve"> og -tjenester</w:t>
      </w:r>
    </w:p>
    <w:p w14:paraId="369FBB29" w14:textId="77777777" w:rsidR="00000000" w:rsidRPr="00467DB0" w:rsidRDefault="00693D67" w:rsidP="00467DB0">
      <w:proofErr w:type="spellStart"/>
      <w:r w:rsidRPr="00467DB0">
        <w:t>Satellitkommunikationskapaciteter</w:t>
      </w:r>
      <w:proofErr w:type="spellEnd"/>
      <w:r w:rsidRPr="00467DB0">
        <w:t xml:space="preserve"> og -tjenester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GOVSATCOM kan leveres </w:t>
      </w:r>
      <w:proofErr w:type="spellStart"/>
      <w:r w:rsidRPr="00467DB0">
        <w:t>af</w:t>
      </w:r>
      <w:proofErr w:type="spellEnd"/>
      <w:r w:rsidRPr="00467DB0">
        <w:t xml:space="preserve"> følgende </w:t>
      </w:r>
      <w:proofErr w:type="spellStart"/>
      <w:r w:rsidRPr="00467DB0">
        <w:t>enheder</w:t>
      </w:r>
      <w:proofErr w:type="spellEnd"/>
      <w:r w:rsidRPr="00467DB0">
        <w:t>:</w:t>
      </w:r>
    </w:p>
    <w:p w14:paraId="28DBDE26" w14:textId="77777777" w:rsidR="00000000" w:rsidRPr="00467DB0" w:rsidRDefault="00693D67" w:rsidP="00467DB0">
      <w:pPr>
        <w:pStyle w:val="friliste"/>
      </w:pPr>
      <w:r w:rsidRPr="00467DB0">
        <w:t>a)</w:t>
      </w:r>
      <w:r w:rsidRPr="00467DB0">
        <w:tab/>
        <w:t xml:space="preserve">GOVSATCOM-deltagere som omhandlet i </w:t>
      </w:r>
      <w:proofErr w:type="spellStart"/>
      <w:r w:rsidRPr="00467DB0">
        <w:t>artikel</w:t>
      </w:r>
      <w:proofErr w:type="spellEnd"/>
      <w:r w:rsidRPr="00467DB0">
        <w:t xml:space="preserve"> 68 og</w:t>
      </w:r>
    </w:p>
    <w:p w14:paraId="15E631DF" w14:textId="77777777" w:rsidR="00000000" w:rsidRPr="00467DB0" w:rsidRDefault="00693D67" w:rsidP="00467DB0">
      <w:pPr>
        <w:pStyle w:val="friliste"/>
      </w:pPr>
      <w:r w:rsidRPr="00467DB0">
        <w:t>b)</w:t>
      </w:r>
      <w:r w:rsidRPr="00467DB0">
        <w:tab/>
        <w:t xml:space="preserve">juridiske personer, der er </w:t>
      </w:r>
      <w:proofErr w:type="spellStart"/>
      <w:r w:rsidRPr="00467DB0">
        <w:t>behørigt</w:t>
      </w:r>
      <w:proofErr w:type="spellEnd"/>
      <w:r w:rsidRPr="00467DB0">
        <w:t xml:space="preserve"> bemyndiget ti</w:t>
      </w:r>
      <w:r w:rsidRPr="00467DB0">
        <w:t xml:space="preserve">l at levere </w:t>
      </w:r>
      <w:proofErr w:type="spellStart"/>
      <w:r w:rsidRPr="00467DB0">
        <w:t>satellitbaserede</w:t>
      </w:r>
      <w:proofErr w:type="spellEnd"/>
      <w:r w:rsidRPr="00467DB0">
        <w:t xml:space="preserve"> </w:t>
      </w:r>
      <w:proofErr w:type="spellStart"/>
      <w:r w:rsidRPr="00467DB0">
        <w:t>kapaciteter</w:t>
      </w:r>
      <w:proofErr w:type="spellEnd"/>
      <w:r w:rsidRPr="00467DB0">
        <w:t xml:space="preserve"> eller tjenester efter </w:t>
      </w:r>
      <w:proofErr w:type="spellStart"/>
      <w:r w:rsidRPr="00467DB0">
        <w:t>proceduren</w:t>
      </w:r>
      <w:proofErr w:type="spellEnd"/>
      <w:r w:rsidRPr="00467DB0">
        <w:t xml:space="preserve"> for </w:t>
      </w:r>
      <w:proofErr w:type="spellStart"/>
      <w:r w:rsidRPr="00467DB0">
        <w:t>sikkerhedsgodkendelse</w:t>
      </w:r>
      <w:proofErr w:type="spellEnd"/>
      <w:r w:rsidRPr="00467DB0">
        <w:t xml:space="preserve">, jf. </w:t>
      </w:r>
      <w:proofErr w:type="spellStart"/>
      <w:r w:rsidRPr="00467DB0">
        <w:t>artikel</w:t>
      </w:r>
      <w:proofErr w:type="spellEnd"/>
      <w:r w:rsidRPr="00467DB0">
        <w:t xml:space="preserve"> 37, som skal </w:t>
      </w:r>
      <w:proofErr w:type="spellStart"/>
      <w:r w:rsidRPr="00467DB0">
        <w:t>ske</w:t>
      </w:r>
      <w:proofErr w:type="spellEnd"/>
      <w:r w:rsidRPr="00467DB0">
        <w:t xml:space="preserve"> i overensstemmelse med de i </w:t>
      </w:r>
      <w:proofErr w:type="spellStart"/>
      <w:r w:rsidRPr="00467DB0">
        <w:t>artikel</w:t>
      </w:r>
      <w:proofErr w:type="spellEnd"/>
      <w:r w:rsidRPr="00467DB0">
        <w:t xml:space="preserve"> 34, stk. 2, omhandlede generelle </w:t>
      </w:r>
      <w:proofErr w:type="spellStart"/>
      <w:r w:rsidRPr="00467DB0">
        <w:t>sikkerhedskrav</w:t>
      </w:r>
      <w:proofErr w:type="spellEnd"/>
      <w:r w:rsidRPr="00467DB0">
        <w:t xml:space="preserve"> for GOVSATCOM-komponenten.</w:t>
      </w:r>
    </w:p>
    <w:p w14:paraId="3B13F83A" w14:textId="77777777" w:rsidR="00000000" w:rsidRPr="00467DB0" w:rsidRDefault="00693D67" w:rsidP="00467DB0">
      <w:pPr>
        <w:pStyle w:val="avsnitt-undertittel"/>
      </w:pPr>
      <w:proofErr w:type="spellStart"/>
      <w:r w:rsidRPr="00467DB0">
        <w:lastRenderedPageBreak/>
        <w:t>Artikel</w:t>
      </w:r>
      <w:proofErr w:type="spellEnd"/>
      <w:r w:rsidRPr="00467DB0">
        <w:t xml:space="preserve"> 65</w:t>
      </w:r>
    </w:p>
    <w:p w14:paraId="0826961A" w14:textId="77777777" w:rsidR="00000000" w:rsidRPr="00467DB0" w:rsidRDefault="00693D67" w:rsidP="00467DB0">
      <w:pPr>
        <w:pStyle w:val="Undertittel"/>
      </w:pPr>
      <w:r w:rsidRPr="00467DB0">
        <w:t>GOVS</w:t>
      </w:r>
      <w:r w:rsidRPr="00467DB0">
        <w:t>ATCOM-</w:t>
      </w:r>
      <w:proofErr w:type="spellStart"/>
      <w:r w:rsidRPr="00467DB0">
        <w:t>brugere</w:t>
      </w:r>
      <w:proofErr w:type="spellEnd"/>
    </w:p>
    <w:p w14:paraId="4B590C6E" w14:textId="77777777" w:rsidR="00000000" w:rsidRPr="00467DB0" w:rsidRDefault="00693D67" w:rsidP="00467DB0">
      <w:pPr>
        <w:pStyle w:val="friliste"/>
      </w:pPr>
      <w:r w:rsidRPr="00467DB0">
        <w:t>1.</w:t>
      </w:r>
      <w:r w:rsidRPr="00467DB0">
        <w:tab/>
        <w:t xml:space="preserve">Følgende </w:t>
      </w:r>
      <w:proofErr w:type="spellStart"/>
      <w:r w:rsidRPr="00467DB0">
        <w:t>enheder</w:t>
      </w:r>
      <w:proofErr w:type="spellEnd"/>
      <w:r w:rsidRPr="00467DB0">
        <w:t xml:space="preserve"> kan blive GOVSATCOM-</w:t>
      </w:r>
      <w:proofErr w:type="spellStart"/>
      <w:r w:rsidRPr="00467DB0">
        <w:t>brugere</w:t>
      </w:r>
      <w:proofErr w:type="spellEnd"/>
      <w:r w:rsidRPr="00467DB0">
        <w:t xml:space="preserve">, </w:t>
      </w:r>
      <w:proofErr w:type="spellStart"/>
      <w:r w:rsidRPr="00467DB0">
        <w:t>forudsat</w:t>
      </w:r>
      <w:proofErr w:type="spellEnd"/>
      <w:r w:rsidRPr="00467DB0">
        <w:t xml:space="preserve"> at de har </w:t>
      </w:r>
      <w:proofErr w:type="spellStart"/>
      <w:r w:rsidRPr="00467DB0">
        <w:t>fået</w:t>
      </w:r>
      <w:proofErr w:type="spellEnd"/>
      <w:r w:rsidRPr="00467DB0">
        <w:t xml:space="preserve"> tildelt </w:t>
      </w:r>
      <w:proofErr w:type="spellStart"/>
      <w:r w:rsidRPr="00467DB0">
        <w:t>opgaver</w:t>
      </w:r>
      <w:proofErr w:type="spellEnd"/>
      <w:r w:rsidRPr="00467DB0">
        <w:t xml:space="preserve"> </w:t>
      </w:r>
      <w:proofErr w:type="gramStart"/>
      <w:r w:rsidRPr="00467DB0">
        <w:t>vedrørende</w:t>
      </w:r>
      <w:proofErr w:type="gramEnd"/>
      <w:r w:rsidRPr="00467DB0">
        <w:t xml:space="preserve"> </w:t>
      </w:r>
      <w:proofErr w:type="spellStart"/>
      <w:r w:rsidRPr="00467DB0">
        <w:t>kontrol</w:t>
      </w:r>
      <w:proofErr w:type="spellEnd"/>
      <w:r w:rsidRPr="00467DB0">
        <w:t xml:space="preserve"> og forvaltning </w:t>
      </w:r>
      <w:proofErr w:type="spellStart"/>
      <w:r w:rsidRPr="00467DB0">
        <w:t>af</w:t>
      </w:r>
      <w:proofErr w:type="spellEnd"/>
      <w:r w:rsidRPr="00467DB0">
        <w:t xml:space="preserve"> nød</w:t>
      </w:r>
      <w:r w:rsidRPr="00467DB0">
        <w:t xml:space="preserve">- og </w:t>
      </w:r>
      <w:proofErr w:type="spellStart"/>
      <w:r w:rsidRPr="00467DB0">
        <w:t>sikkerhedskritiske</w:t>
      </w:r>
      <w:proofErr w:type="spellEnd"/>
      <w:r w:rsidRPr="00467DB0">
        <w:t xml:space="preserve"> missioner, </w:t>
      </w:r>
      <w:proofErr w:type="spellStart"/>
      <w:r w:rsidRPr="00467DB0">
        <w:t>operationer</w:t>
      </w:r>
      <w:proofErr w:type="spellEnd"/>
      <w:r w:rsidRPr="00467DB0">
        <w:t xml:space="preserve"> og infrastrukturer:</w:t>
      </w:r>
    </w:p>
    <w:p w14:paraId="323EBF83" w14:textId="77777777" w:rsidR="00000000" w:rsidRPr="00467DB0" w:rsidRDefault="00693D67" w:rsidP="00467DB0">
      <w:pPr>
        <w:pStyle w:val="friliste2"/>
      </w:pPr>
      <w:r w:rsidRPr="00467DB0">
        <w:t>a)</w:t>
      </w:r>
      <w:r w:rsidRPr="00467DB0">
        <w:tab/>
        <w:t>En EU-</w:t>
      </w:r>
      <w:proofErr w:type="spellStart"/>
      <w:r w:rsidRPr="00467DB0">
        <w:t>myndighed</w:t>
      </w:r>
      <w:proofErr w:type="spellEnd"/>
      <w:r w:rsidRPr="00467DB0">
        <w:t xml:space="preserve"> eller en medlemsstats </w:t>
      </w:r>
      <w:proofErr w:type="spellStart"/>
      <w:r w:rsidRPr="00467DB0">
        <w:t>myndighed</w:t>
      </w:r>
      <w:proofErr w:type="spellEnd"/>
      <w:r w:rsidRPr="00467DB0">
        <w:t xml:space="preserve"> eller et organ, der udøver en sådan offentlig </w:t>
      </w:r>
      <w:proofErr w:type="spellStart"/>
      <w:r w:rsidRPr="00467DB0">
        <w:t>myndighed</w:t>
      </w:r>
      <w:proofErr w:type="spellEnd"/>
      <w:r w:rsidRPr="00467DB0">
        <w:t>:</w:t>
      </w:r>
    </w:p>
    <w:p w14:paraId="2C45DF7B" w14:textId="77777777" w:rsidR="00000000" w:rsidRPr="00467DB0" w:rsidRDefault="00693D67" w:rsidP="00467DB0">
      <w:pPr>
        <w:pStyle w:val="friliste2"/>
      </w:pPr>
      <w:r w:rsidRPr="00467DB0">
        <w:t>b)</w:t>
      </w:r>
      <w:r w:rsidRPr="00467DB0">
        <w:tab/>
        <w:t xml:space="preserve">en fysisk eller juridisk person, der handler på vegne </w:t>
      </w:r>
      <w:proofErr w:type="spellStart"/>
      <w:r w:rsidRPr="00467DB0">
        <w:t>af</w:t>
      </w:r>
      <w:proofErr w:type="spellEnd"/>
      <w:r w:rsidRPr="00467DB0">
        <w:t xml:space="preserve"> og under </w:t>
      </w:r>
      <w:proofErr w:type="spellStart"/>
      <w:r w:rsidRPr="00467DB0">
        <w:t>kontrol</w:t>
      </w:r>
      <w:proofErr w:type="spellEnd"/>
      <w:r w:rsidRPr="00467DB0">
        <w:t xml:space="preserve"> </w:t>
      </w:r>
      <w:proofErr w:type="spellStart"/>
      <w:r w:rsidRPr="00467DB0">
        <w:t>af</w:t>
      </w:r>
      <w:proofErr w:type="spellEnd"/>
      <w:r w:rsidRPr="00467DB0">
        <w:t xml:space="preserve"> e</w:t>
      </w:r>
      <w:r w:rsidRPr="00467DB0">
        <w:t xml:space="preserve">n </w:t>
      </w:r>
      <w:proofErr w:type="spellStart"/>
      <w:r w:rsidRPr="00467DB0">
        <w:t>enhed</w:t>
      </w:r>
      <w:proofErr w:type="spellEnd"/>
      <w:r w:rsidRPr="00467DB0">
        <w:t xml:space="preserve"> som omhandlet i litra a).</w:t>
      </w:r>
    </w:p>
    <w:p w14:paraId="0F9B31D3" w14:textId="77777777" w:rsidR="00000000" w:rsidRPr="00467DB0" w:rsidRDefault="00693D67" w:rsidP="00467DB0">
      <w:pPr>
        <w:pStyle w:val="friliste"/>
      </w:pPr>
      <w:r w:rsidRPr="00467DB0">
        <w:t>2.</w:t>
      </w:r>
      <w:r w:rsidRPr="00467DB0">
        <w:tab/>
        <w:t>GOVSATCOM-</w:t>
      </w:r>
      <w:proofErr w:type="spellStart"/>
      <w:r w:rsidRPr="00467DB0">
        <w:t>brugere</w:t>
      </w:r>
      <w:proofErr w:type="spellEnd"/>
      <w:r w:rsidRPr="00467DB0">
        <w:t xml:space="preserve"> som omhandlet i denne </w:t>
      </w:r>
      <w:proofErr w:type="spellStart"/>
      <w:r w:rsidRPr="00467DB0">
        <w:t>artikels</w:t>
      </w:r>
      <w:proofErr w:type="spellEnd"/>
      <w:r w:rsidRPr="00467DB0">
        <w:t xml:space="preserve"> stk. 1 skal </w:t>
      </w:r>
      <w:proofErr w:type="spellStart"/>
      <w:r w:rsidRPr="00467DB0">
        <w:t>af</w:t>
      </w:r>
      <w:proofErr w:type="spellEnd"/>
      <w:r w:rsidRPr="00467DB0">
        <w:t xml:space="preserve"> en GOVSATCOM-deltager, jf. </w:t>
      </w:r>
      <w:proofErr w:type="spellStart"/>
      <w:r w:rsidRPr="00467DB0">
        <w:t>artikel</w:t>
      </w:r>
      <w:proofErr w:type="spellEnd"/>
      <w:r w:rsidRPr="00467DB0">
        <w:t xml:space="preserve"> 68, være </w:t>
      </w:r>
      <w:proofErr w:type="spellStart"/>
      <w:r w:rsidRPr="00467DB0">
        <w:t>behørigt</w:t>
      </w:r>
      <w:proofErr w:type="spellEnd"/>
      <w:r w:rsidRPr="00467DB0">
        <w:t xml:space="preserve"> bemyndiget til at anvende </w:t>
      </w:r>
      <w:proofErr w:type="spellStart"/>
      <w:r w:rsidRPr="00467DB0">
        <w:t>GOVSATCOM's</w:t>
      </w:r>
      <w:proofErr w:type="spellEnd"/>
      <w:r w:rsidRPr="00467DB0">
        <w:t xml:space="preserve"> </w:t>
      </w:r>
      <w:proofErr w:type="spellStart"/>
      <w:r w:rsidRPr="00467DB0">
        <w:t>kapacitet</w:t>
      </w:r>
      <w:proofErr w:type="spellEnd"/>
      <w:r w:rsidRPr="00467DB0">
        <w:t xml:space="preserve"> og tjenester og skal </w:t>
      </w:r>
      <w:proofErr w:type="spellStart"/>
      <w:r w:rsidRPr="00467DB0">
        <w:t>opfylde</w:t>
      </w:r>
      <w:proofErr w:type="spellEnd"/>
      <w:r w:rsidRPr="00467DB0">
        <w:t xml:space="preserve"> de i </w:t>
      </w:r>
      <w:proofErr w:type="spellStart"/>
      <w:r w:rsidRPr="00467DB0">
        <w:t>artikel</w:t>
      </w:r>
      <w:proofErr w:type="spellEnd"/>
      <w:r w:rsidRPr="00467DB0">
        <w:t xml:space="preserve"> 34, stk. 2, </w:t>
      </w:r>
      <w:r w:rsidRPr="00467DB0">
        <w:t xml:space="preserve">omhandlede generelle </w:t>
      </w:r>
      <w:proofErr w:type="spellStart"/>
      <w:r w:rsidRPr="00467DB0">
        <w:t>sikkerhedskrav</w:t>
      </w:r>
      <w:proofErr w:type="spellEnd"/>
      <w:r w:rsidRPr="00467DB0">
        <w:t xml:space="preserve">, som er </w:t>
      </w:r>
      <w:proofErr w:type="spellStart"/>
      <w:r w:rsidRPr="00467DB0">
        <w:t>defineret</w:t>
      </w:r>
      <w:proofErr w:type="spellEnd"/>
      <w:r w:rsidRPr="00467DB0">
        <w:t xml:space="preserve"> for GOVSATCOM.</w:t>
      </w:r>
    </w:p>
    <w:p w14:paraId="4FD331B6" w14:textId="77777777" w:rsidR="00000000" w:rsidRPr="00467DB0" w:rsidRDefault="00693D67" w:rsidP="00467DB0">
      <w:pPr>
        <w:pStyle w:val="avsnitt-undertittel"/>
      </w:pPr>
      <w:proofErr w:type="spellStart"/>
      <w:r w:rsidRPr="00467DB0">
        <w:t>Artikel</w:t>
      </w:r>
      <w:proofErr w:type="spellEnd"/>
      <w:r w:rsidRPr="00467DB0">
        <w:t xml:space="preserve"> 66</w:t>
      </w:r>
    </w:p>
    <w:p w14:paraId="7426E696" w14:textId="77777777" w:rsidR="00000000" w:rsidRPr="00467DB0" w:rsidRDefault="00693D67" w:rsidP="00467DB0">
      <w:pPr>
        <w:pStyle w:val="Undertittel"/>
      </w:pPr>
      <w:r w:rsidRPr="00467DB0">
        <w:t>Deling og prioritering</w:t>
      </w:r>
    </w:p>
    <w:p w14:paraId="1368EFAC" w14:textId="77777777" w:rsidR="00000000" w:rsidRPr="00467DB0" w:rsidRDefault="00693D67" w:rsidP="00467DB0">
      <w:pPr>
        <w:pStyle w:val="friliste"/>
      </w:pPr>
      <w:r w:rsidRPr="00467DB0">
        <w:t>1.</w:t>
      </w:r>
      <w:r w:rsidRPr="00467DB0">
        <w:tab/>
        <w:t xml:space="preserve">Puljen </w:t>
      </w:r>
      <w:proofErr w:type="spellStart"/>
      <w:r w:rsidRPr="00467DB0">
        <w:t>af</w:t>
      </w:r>
      <w:proofErr w:type="spellEnd"/>
      <w:r w:rsidRPr="00467DB0">
        <w:t xml:space="preserve"> </w:t>
      </w:r>
      <w:proofErr w:type="spellStart"/>
      <w:r w:rsidRPr="00467DB0">
        <w:t>satellitkommunikationskapaciteter</w:t>
      </w:r>
      <w:proofErr w:type="spellEnd"/>
      <w:r w:rsidRPr="00467DB0">
        <w:t>, -tjenester og -</w:t>
      </w:r>
      <w:proofErr w:type="spellStart"/>
      <w:r w:rsidRPr="00467DB0">
        <w:t>brugerudstyr</w:t>
      </w:r>
      <w:proofErr w:type="spellEnd"/>
      <w:r w:rsidRPr="00467DB0">
        <w:t xml:space="preserve"> deles og prioriteres </w:t>
      </w:r>
      <w:proofErr w:type="spellStart"/>
      <w:r w:rsidRPr="00467DB0">
        <w:t>blandt</w:t>
      </w:r>
      <w:proofErr w:type="spellEnd"/>
      <w:r w:rsidRPr="00467DB0">
        <w:t xml:space="preserve"> GOVSATCOM-deltagerne omhandlet i </w:t>
      </w:r>
      <w:proofErr w:type="spellStart"/>
      <w:r w:rsidRPr="00467DB0">
        <w:t>artikel</w:t>
      </w:r>
      <w:proofErr w:type="spellEnd"/>
      <w:r w:rsidRPr="00467DB0">
        <w:t xml:space="preserve"> 68 på </w:t>
      </w:r>
      <w:proofErr w:type="spellStart"/>
      <w:r w:rsidRPr="00467DB0">
        <w:t>gr</w:t>
      </w:r>
      <w:r w:rsidRPr="00467DB0">
        <w:t>undlag</w:t>
      </w:r>
      <w:proofErr w:type="spellEnd"/>
      <w:r w:rsidRPr="00467DB0">
        <w:t xml:space="preserve"> </w:t>
      </w:r>
      <w:proofErr w:type="spellStart"/>
      <w:r w:rsidRPr="00467DB0">
        <w:t>af</w:t>
      </w:r>
      <w:proofErr w:type="spellEnd"/>
      <w:r w:rsidRPr="00467DB0">
        <w:t xml:space="preserve"> en analyse </w:t>
      </w:r>
      <w:proofErr w:type="spellStart"/>
      <w:r w:rsidRPr="00467DB0">
        <w:t>af</w:t>
      </w:r>
      <w:proofErr w:type="spellEnd"/>
      <w:r w:rsidRPr="00467DB0">
        <w:t xml:space="preserve"> de </w:t>
      </w:r>
      <w:proofErr w:type="spellStart"/>
      <w:r w:rsidRPr="00467DB0">
        <w:t>sikkerheds</w:t>
      </w:r>
      <w:proofErr w:type="spellEnd"/>
      <w:r w:rsidRPr="00467DB0">
        <w:t xml:space="preserve">- og </w:t>
      </w:r>
      <w:proofErr w:type="spellStart"/>
      <w:r w:rsidRPr="00467DB0">
        <w:t>sikringsrelaterede</w:t>
      </w:r>
      <w:proofErr w:type="spellEnd"/>
      <w:r w:rsidRPr="00467DB0">
        <w:t xml:space="preserve"> </w:t>
      </w:r>
      <w:proofErr w:type="spellStart"/>
      <w:r w:rsidRPr="00467DB0">
        <w:t>risici</w:t>
      </w:r>
      <w:proofErr w:type="spellEnd"/>
      <w:r w:rsidRPr="00467DB0">
        <w:t xml:space="preserve"> for </w:t>
      </w:r>
      <w:proofErr w:type="spellStart"/>
      <w:r w:rsidRPr="00467DB0">
        <w:t>brugerne</w:t>
      </w:r>
      <w:proofErr w:type="spellEnd"/>
      <w:r w:rsidRPr="00467DB0">
        <w:t xml:space="preserve">. En sådan analyse skal </w:t>
      </w:r>
      <w:proofErr w:type="spellStart"/>
      <w:r w:rsidRPr="00467DB0">
        <w:t>tage</w:t>
      </w:r>
      <w:proofErr w:type="spellEnd"/>
      <w:r w:rsidRPr="00467DB0">
        <w:t xml:space="preserve"> hensyn til eksisterende </w:t>
      </w:r>
      <w:proofErr w:type="spellStart"/>
      <w:r w:rsidRPr="00467DB0">
        <w:t>kommunikationsinfrastruktur</w:t>
      </w:r>
      <w:proofErr w:type="spellEnd"/>
      <w:r w:rsidRPr="00467DB0">
        <w:t xml:space="preserve"> og </w:t>
      </w:r>
      <w:proofErr w:type="spellStart"/>
      <w:r w:rsidRPr="00467DB0">
        <w:t>tilgængeligheden</w:t>
      </w:r>
      <w:proofErr w:type="spellEnd"/>
      <w:r w:rsidRPr="00467DB0">
        <w:t xml:space="preserve"> </w:t>
      </w:r>
      <w:proofErr w:type="spellStart"/>
      <w:r w:rsidRPr="00467DB0">
        <w:t>af</w:t>
      </w:r>
      <w:proofErr w:type="spellEnd"/>
      <w:r w:rsidRPr="00467DB0">
        <w:t xml:space="preserve"> eksisterende </w:t>
      </w:r>
      <w:proofErr w:type="spellStart"/>
      <w:r w:rsidRPr="00467DB0">
        <w:t>kapaciteter</w:t>
      </w:r>
      <w:proofErr w:type="spellEnd"/>
      <w:r w:rsidRPr="00467DB0">
        <w:t xml:space="preserve"> samt til deres geografiske </w:t>
      </w:r>
      <w:proofErr w:type="spellStart"/>
      <w:r w:rsidRPr="00467DB0">
        <w:t>dækning</w:t>
      </w:r>
      <w:proofErr w:type="spellEnd"/>
      <w:r w:rsidRPr="00467DB0">
        <w:t xml:space="preserve"> på EU-plan o</w:t>
      </w:r>
      <w:r w:rsidRPr="00467DB0">
        <w:t xml:space="preserve">g </w:t>
      </w:r>
      <w:proofErr w:type="spellStart"/>
      <w:r w:rsidRPr="00467DB0">
        <w:t>nationalt</w:t>
      </w:r>
      <w:proofErr w:type="spellEnd"/>
      <w:r w:rsidRPr="00467DB0">
        <w:t xml:space="preserve"> plan. Ved denne deling og prioritering </w:t>
      </w:r>
      <w:proofErr w:type="spellStart"/>
      <w:r w:rsidRPr="00467DB0">
        <w:t>gives</w:t>
      </w:r>
      <w:proofErr w:type="spellEnd"/>
      <w:r w:rsidRPr="00467DB0">
        <w:t xml:space="preserve"> forrang til GOVSATCOM-</w:t>
      </w:r>
      <w:proofErr w:type="spellStart"/>
      <w:r w:rsidRPr="00467DB0">
        <w:t>brugere</w:t>
      </w:r>
      <w:proofErr w:type="spellEnd"/>
      <w:r w:rsidRPr="00467DB0">
        <w:t xml:space="preserve"> i henhold til deres relevans og kritiske </w:t>
      </w:r>
      <w:proofErr w:type="spellStart"/>
      <w:r w:rsidRPr="00467DB0">
        <w:t>værdi</w:t>
      </w:r>
      <w:proofErr w:type="spellEnd"/>
      <w:r w:rsidRPr="00467DB0">
        <w:t>.</w:t>
      </w:r>
    </w:p>
    <w:p w14:paraId="3BBF519B"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vedtager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de nærmere bestemmelser </w:t>
      </w:r>
      <w:proofErr w:type="gramStart"/>
      <w:r w:rsidRPr="00467DB0">
        <w:t>vedrørende</w:t>
      </w:r>
      <w:proofErr w:type="gramEnd"/>
      <w:r w:rsidRPr="00467DB0">
        <w:t xml:space="preserve"> deling og prioritering </w:t>
      </w:r>
      <w:proofErr w:type="spellStart"/>
      <w:r w:rsidRPr="00467DB0">
        <w:t>a</w:t>
      </w:r>
      <w:r w:rsidRPr="00467DB0">
        <w:t>f</w:t>
      </w:r>
      <w:proofErr w:type="spellEnd"/>
      <w:r w:rsidRPr="00467DB0">
        <w:t xml:space="preserve"> </w:t>
      </w:r>
      <w:proofErr w:type="spellStart"/>
      <w:r w:rsidRPr="00467DB0">
        <w:t>kapaciteter</w:t>
      </w:r>
      <w:proofErr w:type="spellEnd"/>
      <w:r w:rsidRPr="00467DB0">
        <w:t xml:space="preserve">, tjenester og </w:t>
      </w:r>
      <w:proofErr w:type="spellStart"/>
      <w:r w:rsidRPr="00467DB0">
        <w:t>brugerudstyr</w:t>
      </w:r>
      <w:proofErr w:type="spellEnd"/>
      <w:r w:rsidRPr="00467DB0">
        <w:t xml:space="preserve">, idet der </w:t>
      </w:r>
      <w:proofErr w:type="spellStart"/>
      <w:r w:rsidRPr="00467DB0">
        <w:t>tages</w:t>
      </w:r>
      <w:proofErr w:type="spellEnd"/>
      <w:r w:rsidRPr="00467DB0">
        <w:t xml:space="preserve"> hensyn til forventet </w:t>
      </w:r>
      <w:proofErr w:type="spellStart"/>
      <w:r w:rsidRPr="00467DB0">
        <w:t>efterspørgsel</w:t>
      </w:r>
      <w:proofErr w:type="spellEnd"/>
      <w:r w:rsidRPr="00467DB0">
        <w:t xml:space="preserve"> efter de </w:t>
      </w:r>
      <w:proofErr w:type="spellStart"/>
      <w:r w:rsidRPr="00467DB0">
        <w:t>forskellige</w:t>
      </w:r>
      <w:proofErr w:type="spellEnd"/>
      <w:r w:rsidRPr="00467DB0">
        <w:t xml:space="preserve"> </w:t>
      </w:r>
      <w:proofErr w:type="spellStart"/>
      <w:r w:rsidRPr="00467DB0">
        <w:t>brugsscenarier</w:t>
      </w:r>
      <w:proofErr w:type="spellEnd"/>
      <w:r w:rsidRPr="00467DB0">
        <w:t xml:space="preserve">, analysen </w:t>
      </w:r>
      <w:proofErr w:type="spellStart"/>
      <w:r w:rsidRPr="00467DB0">
        <w:t>af</w:t>
      </w:r>
      <w:proofErr w:type="spellEnd"/>
      <w:r w:rsidRPr="00467DB0">
        <w:t xml:space="preserve"> </w:t>
      </w:r>
      <w:proofErr w:type="spellStart"/>
      <w:r w:rsidRPr="00467DB0">
        <w:t>sikkerhedsrisici</w:t>
      </w:r>
      <w:proofErr w:type="spellEnd"/>
      <w:r w:rsidRPr="00467DB0">
        <w:t xml:space="preserve"> for disse </w:t>
      </w:r>
      <w:proofErr w:type="spellStart"/>
      <w:r w:rsidRPr="00467DB0">
        <w:t>brugsscenarier</w:t>
      </w:r>
      <w:proofErr w:type="spellEnd"/>
      <w:r w:rsidRPr="00467DB0">
        <w:t xml:space="preserve"> og, hvor det er relevant, omkostningseffektivitet.</w:t>
      </w:r>
    </w:p>
    <w:p w14:paraId="35AA8306" w14:textId="77777777" w:rsidR="00000000" w:rsidRPr="00467DB0" w:rsidRDefault="00693D67" w:rsidP="00467DB0">
      <w:pPr>
        <w:pStyle w:val="Listeavsnitt"/>
      </w:pPr>
      <w:r w:rsidRPr="00467DB0">
        <w:t xml:space="preserve">Ved at </w:t>
      </w:r>
      <w:proofErr w:type="spellStart"/>
      <w:r w:rsidRPr="00467DB0">
        <w:t>fastlægge</w:t>
      </w:r>
      <w:proofErr w:type="spellEnd"/>
      <w:r w:rsidRPr="00467DB0">
        <w:t xml:space="preserve"> en </w:t>
      </w:r>
      <w:proofErr w:type="spellStart"/>
      <w:r w:rsidRPr="00467DB0">
        <w:t>prispolitik</w:t>
      </w:r>
      <w:proofErr w:type="spellEnd"/>
      <w:r w:rsidRPr="00467DB0">
        <w:t xml:space="preserve"> i disse regler sikrer </w:t>
      </w:r>
      <w:proofErr w:type="spellStart"/>
      <w:r w:rsidRPr="00467DB0">
        <w:t>Kommissionen</w:t>
      </w:r>
      <w:proofErr w:type="spellEnd"/>
      <w:r w:rsidRPr="00467DB0">
        <w:t xml:space="preserve">, at </w:t>
      </w:r>
      <w:proofErr w:type="spellStart"/>
      <w:r w:rsidRPr="00467DB0">
        <w:t>udbuddet</w:t>
      </w:r>
      <w:proofErr w:type="spellEnd"/>
      <w:r w:rsidRPr="00467DB0">
        <w:t xml:space="preserve"> </w:t>
      </w:r>
      <w:proofErr w:type="spellStart"/>
      <w:r w:rsidRPr="00467DB0">
        <w:t>af</w:t>
      </w:r>
      <w:proofErr w:type="spellEnd"/>
      <w:r w:rsidRPr="00467DB0">
        <w:t xml:space="preserve"> GOVSATCOM-</w:t>
      </w:r>
      <w:proofErr w:type="spellStart"/>
      <w:r w:rsidRPr="00467DB0">
        <w:t>kapaciteter</w:t>
      </w:r>
      <w:proofErr w:type="spellEnd"/>
      <w:r w:rsidRPr="00467DB0">
        <w:t xml:space="preserve"> og -tjenester ikke forvrider markedet, og at der ikke bliver mangel på GOVSATCOM-</w:t>
      </w:r>
      <w:proofErr w:type="spellStart"/>
      <w:r w:rsidRPr="00467DB0">
        <w:t>kapaciteter</w:t>
      </w:r>
      <w:proofErr w:type="spellEnd"/>
      <w:r w:rsidRPr="00467DB0">
        <w:t>.</w:t>
      </w:r>
    </w:p>
    <w:p w14:paraId="69713D3E" w14:textId="77777777" w:rsidR="00000000" w:rsidRPr="00467DB0" w:rsidRDefault="00693D67" w:rsidP="00467DB0">
      <w:pPr>
        <w:pStyle w:val="Listeavsnitt"/>
      </w:pPr>
      <w:r w:rsidRPr="00467DB0">
        <w:t xml:space="preserve">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w:t>
      </w:r>
      <w:r w:rsidRPr="00467DB0">
        <w:t>kel</w:t>
      </w:r>
      <w:proofErr w:type="spellEnd"/>
      <w:r w:rsidRPr="00467DB0">
        <w:t xml:space="preserve"> 107, stk. 3.</w:t>
      </w:r>
    </w:p>
    <w:p w14:paraId="384758FA" w14:textId="77777777" w:rsidR="00000000" w:rsidRPr="00467DB0" w:rsidRDefault="00693D67" w:rsidP="00467DB0">
      <w:pPr>
        <w:pStyle w:val="friliste"/>
      </w:pPr>
      <w:r w:rsidRPr="00467DB0">
        <w:t>3.</w:t>
      </w:r>
      <w:r w:rsidRPr="00467DB0">
        <w:tab/>
        <w:t xml:space="preserve">Delingen og prioriteringen </w:t>
      </w:r>
      <w:proofErr w:type="spellStart"/>
      <w:r w:rsidRPr="00467DB0">
        <w:t>af</w:t>
      </w:r>
      <w:proofErr w:type="spellEnd"/>
      <w:r w:rsidRPr="00467DB0">
        <w:t xml:space="preserve"> </w:t>
      </w:r>
      <w:proofErr w:type="spellStart"/>
      <w:r w:rsidRPr="00467DB0">
        <w:t>satellitkommunikationskapaciteter</w:t>
      </w:r>
      <w:proofErr w:type="spellEnd"/>
      <w:r w:rsidRPr="00467DB0">
        <w:t xml:space="preserve"> og -tjenester </w:t>
      </w:r>
      <w:proofErr w:type="spellStart"/>
      <w:r w:rsidRPr="00467DB0">
        <w:t>blandt</w:t>
      </w:r>
      <w:proofErr w:type="spellEnd"/>
      <w:r w:rsidRPr="00467DB0">
        <w:t xml:space="preserve"> GOVSATCOM-</w:t>
      </w:r>
      <w:proofErr w:type="spellStart"/>
      <w:r w:rsidRPr="00467DB0">
        <w:t>brugere</w:t>
      </w:r>
      <w:proofErr w:type="spellEnd"/>
      <w:r w:rsidRPr="00467DB0">
        <w:t xml:space="preserve">, som er </w:t>
      </w:r>
      <w:proofErr w:type="spellStart"/>
      <w:r w:rsidRPr="00467DB0">
        <w:t>godkendt</w:t>
      </w:r>
      <w:proofErr w:type="spellEnd"/>
      <w:r w:rsidRPr="00467DB0">
        <w:t xml:space="preserve"> </w:t>
      </w:r>
      <w:proofErr w:type="spellStart"/>
      <w:r w:rsidRPr="00467DB0">
        <w:t>af</w:t>
      </w:r>
      <w:proofErr w:type="spellEnd"/>
      <w:r w:rsidRPr="00467DB0">
        <w:t xml:space="preserve"> den samme GOVSATCOM-deltager, bestemmes og </w:t>
      </w:r>
      <w:proofErr w:type="spellStart"/>
      <w:r w:rsidRPr="00467DB0">
        <w:t>gennemføres</w:t>
      </w:r>
      <w:proofErr w:type="spellEnd"/>
      <w:r w:rsidRPr="00467DB0">
        <w:t xml:space="preserve"> </w:t>
      </w:r>
      <w:proofErr w:type="spellStart"/>
      <w:r w:rsidRPr="00467DB0">
        <w:t>af</w:t>
      </w:r>
      <w:proofErr w:type="spellEnd"/>
      <w:r w:rsidRPr="00467DB0">
        <w:t xml:space="preserve"> </w:t>
      </w:r>
      <w:proofErr w:type="spellStart"/>
      <w:r w:rsidRPr="00467DB0">
        <w:t>nævnte</w:t>
      </w:r>
      <w:proofErr w:type="spellEnd"/>
      <w:r w:rsidRPr="00467DB0">
        <w:t xml:space="preserve"> GOVSATCOM-deltager.</w:t>
      </w:r>
    </w:p>
    <w:p w14:paraId="242D466A" w14:textId="77777777" w:rsidR="00000000" w:rsidRPr="00467DB0" w:rsidRDefault="00693D67" w:rsidP="00467DB0">
      <w:pPr>
        <w:pStyle w:val="avsnitt-undertittel"/>
      </w:pPr>
      <w:proofErr w:type="spellStart"/>
      <w:r w:rsidRPr="00467DB0">
        <w:t>Artikel</w:t>
      </w:r>
      <w:proofErr w:type="spellEnd"/>
      <w:r w:rsidRPr="00467DB0">
        <w:t xml:space="preserve"> 67</w:t>
      </w:r>
    </w:p>
    <w:p w14:paraId="77F310F1" w14:textId="77777777" w:rsidR="00000000" w:rsidRPr="00467DB0" w:rsidRDefault="00693D67" w:rsidP="00467DB0">
      <w:pPr>
        <w:pStyle w:val="Undertittel"/>
      </w:pPr>
      <w:proofErr w:type="spellStart"/>
      <w:r w:rsidRPr="00467DB0">
        <w:t>Jordbaseret</w:t>
      </w:r>
      <w:proofErr w:type="spellEnd"/>
      <w:r w:rsidRPr="00467DB0">
        <w:t xml:space="preserve"> infra</w:t>
      </w:r>
      <w:r w:rsidRPr="00467DB0">
        <w:t>struktur og drift</w:t>
      </w:r>
    </w:p>
    <w:p w14:paraId="42DDF5D8" w14:textId="77777777" w:rsidR="00000000" w:rsidRPr="00467DB0" w:rsidRDefault="00693D67" w:rsidP="00467DB0">
      <w:pPr>
        <w:pStyle w:val="friliste"/>
      </w:pPr>
      <w:r w:rsidRPr="00467DB0">
        <w:t>1.</w:t>
      </w:r>
      <w:r w:rsidRPr="00467DB0">
        <w:tab/>
        <w:t xml:space="preserve">Jordsegmentet skal omfatte den nødvendige infrastruktur til levering </w:t>
      </w:r>
      <w:proofErr w:type="spellStart"/>
      <w:r w:rsidRPr="00467DB0">
        <w:t>af</w:t>
      </w:r>
      <w:proofErr w:type="spellEnd"/>
      <w:r w:rsidRPr="00467DB0">
        <w:t xml:space="preserve"> tjenester til GOVSATCOM-</w:t>
      </w:r>
      <w:proofErr w:type="spellStart"/>
      <w:r w:rsidRPr="00467DB0">
        <w:t>brugerne</w:t>
      </w:r>
      <w:proofErr w:type="spellEnd"/>
      <w:r w:rsidRPr="00467DB0">
        <w:t xml:space="preserve"> i overensstemmelse med </w:t>
      </w:r>
      <w:proofErr w:type="spellStart"/>
      <w:r w:rsidRPr="00467DB0">
        <w:t>artikel</w:t>
      </w:r>
      <w:proofErr w:type="spellEnd"/>
      <w:r w:rsidRPr="00467DB0">
        <w:t xml:space="preserve"> 66, navnlig GOVSATCOM-</w:t>
      </w:r>
      <w:proofErr w:type="spellStart"/>
      <w:r w:rsidRPr="00467DB0">
        <w:t>centre</w:t>
      </w:r>
      <w:proofErr w:type="spellEnd"/>
      <w:r w:rsidRPr="00467DB0">
        <w:t xml:space="preserve">, </w:t>
      </w:r>
      <w:r w:rsidRPr="00467DB0">
        <w:lastRenderedPageBreak/>
        <w:t xml:space="preserve">som anskaffes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denne komponent med </w:t>
      </w:r>
      <w:proofErr w:type="spellStart"/>
      <w:r w:rsidRPr="00467DB0">
        <w:t>henblik</w:t>
      </w:r>
      <w:proofErr w:type="spellEnd"/>
      <w:r w:rsidRPr="00467DB0">
        <w:t xml:space="preserve"> på fo</w:t>
      </w:r>
      <w:r w:rsidRPr="00467DB0">
        <w:t xml:space="preserve">rbindelsen </w:t>
      </w:r>
      <w:proofErr w:type="spellStart"/>
      <w:r w:rsidRPr="00467DB0">
        <w:t>mellem</w:t>
      </w:r>
      <w:proofErr w:type="spellEnd"/>
      <w:r w:rsidRPr="00467DB0">
        <w:t xml:space="preserve"> GOVSATCOM-</w:t>
      </w:r>
      <w:proofErr w:type="spellStart"/>
      <w:r w:rsidRPr="00467DB0">
        <w:t>brugerne</w:t>
      </w:r>
      <w:proofErr w:type="spellEnd"/>
      <w:r w:rsidRPr="00467DB0">
        <w:t xml:space="preserve"> og </w:t>
      </w:r>
      <w:proofErr w:type="spellStart"/>
      <w:r w:rsidRPr="00467DB0">
        <w:t>leverandørerne</w:t>
      </w:r>
      <w:proofErr w:type="spellEnd"/>
      <w:r w:rsidRPr="00467DB0">
        <w:t xml:space="preserve"> </w:t>
      </w:r>
      <w:proofErr w:type="spellStart"/>
      <w:r w:rsidRPr="00467DB0">
        <w:t>af</w:t>
      </w:r>
      <w:proofErr w:type="spellEnd"/>
      <w:r w:rsidRPr="00467DB0">
        <w:t xml:space="preserve"> </w:t>
      </w:r>
      <w:proofErr w:type="spellStart"/>
      <w:r w:rsidRPr="00467DB0">
        <w:t>satellitkommunikationskapaciteter</w:t>
      </w:r>
      <w:proofErr w:type="spellEnd"/>
      <w:r w:rsidRPr="00467DB0">
        <w:t xml:space="preserve"> og -tjenester. Jordsegmentet og driften </w:t>
      </w:r>
      <w:proofErr w:type="spellStart"/>
      <w:r w:rsidRPr="00467DB0">
        <w:t>heraf</w:t>
      </w:r>
      <w:proofErr w:type="spellEnd"/>
      <w:r w:rsidRPr="00467DB0">
        <w:t xml:space="preserve"> skal være i overensstemmelse med det i </w:t>
      </w:r>
      <w:proofErr w:type="spellStart"/>
      <w:r w:rsidRPr="00467DB0">
        <w:t>artikel</w:t>
      </w:r>
      <w:proofErr w:type="spellEnd"/>
      <w:r w:rsidRPr="00467DB0">
        <w:t xml:space="preserve"> 34, stk. 2, omhandlede generelle </w:t>
      </w:r>
      <w:proofErr w:type="spellStart"/>
      <w:r w:rsidRPr="00467DB0">
        <w:t>sikkerhedskrav</w:t>
      </w:r>
      <w:proofErr w:type="spellEnd"/>
      <w:r w:rsidRPr="00467DB0">
        <w:t xml:space="preserve">, som er </w:t>
      </w:r>
      <w:proofErr w:type="spellStart"/>
      <w:r w:rsidRPr="00467DB0">
        <w:t>defineret</w:t>
      </w:r>
      <w:proofErr w:type="spellEnd"/>
      <w:r w:rsidRPr="00467DB0">
        <w:t xml:space="preserve"> for G</w:t>
      </w:r>
      <w:r w:rsidRPr="00467DB0">
        <w:t>OVSATCOM.</w:t>
      </w:r>
    </w:p>
    <w:p w14:paraId="582D48E4"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fastsætter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hvor den jordbaserede infrastruktur skal </w:t>
      </w:r>
      <w:proofErr w:type="gramStart"/>
      <w:r w:rsidRPr="00467DB0">
        <w:t>være beliggende</w:t>
      </w:r>
      <w:proofErr w:type="gram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 og berører ikke en medlemsstats</w:t>
      </w:r>
      <w:r w:rsidRPr="00467DB0">
        <w:t xml:space="preserve"> </w:t>
      </w:r>
      <w:proofErr w:type="spellStart"/>
      <w:r w:rsidRPr="00467DB0">
        <w:t>ret</w:t>
      </w:r>
      <w:proofErr w:type="spellEnd"/>
      <w:r w:rsidRPr="00467DB0">
        <w:t xml:space="preserve"> til at beslutte ikke at ville være vært for en sådan infrastruktur.</w:t>
      </w:r>
    </w:p>
    <w:p w14:paraId="5C524278" w14:textId="77777777" w:rsidR="00000000" w:rsidRPr="00467DB0" w:rsidRDefault="00693D67" w:rsidP="00467DB0">
      <w:pPr>
        <w:pStyle w:val="avsnitt-undertittel"/>
      </w:pPr>
      <w:proofErr w:type="spellStart"/>
      <w:r w:rsidRPr="00467DB0">
        <w:t>Artikel</w:t>
      </w:r>
      <w:proofErr w:type="spellEnd"/>
      <w:r w:rsidRPr="00467DB0">
        <w:t xml:space="preserve"> 68</w:t>
      </w:r>
    </w:p>
    <w:p w14:paraId="5ACCE828" w14:textId="77777777" w:rsidR="00000000" w:rsidRPr="00467DB0" w:rsidRDefault="00693D67" w:rsidP="00467DB0">
      <w:pPr>
        <w:pStyle w:val="Undertittel"/>
      </w:pPr>
      <w:r w:rsidRPr="00467DB0">
        <w:t xml:space="preserve">GOVSATCOM-deltagere og kompetente </w:t>
      </w:r>
      <w:proofErr w:type="spellStart"/>
      <w:r w:rsidRPr="00467DB0">
        <w:t>myndigheder</w:t>
      </w:r>
      <w:proofErr w:type="spellEnd"/>
    </w:p>
    <w:p w14:paraId="01F33C53" w14:textId="77777777" w:rsidR="00000000" w:rsidRPr="00467DB0" w:rsidRDefault="00693D67" w:rsidP="00467DB0">
      <w:pPr>
        <w:pStyle w:val="friliste"/>
      </w:pPr>
      <w:r w:rsidRPr="00467DB0">
        <w:t>1.</w:t>
      </w:r>
      <w:r w:rsidRPr="00467DB0">
        <w:tab/>
      </w:r>
      <w:proofErr w:type="spellStart"/>
      <w:r w:rsidRPr="00467DB0">
        <w:t>Medlemsstaterne</w:t>
      </w:r>
      <w:proofErr w:type="spellEnd"/>
      <w:r w:rsidRPr="00467DB0">
        <w:t xml:space="preserve">, Rådet, </w:t>
      </w:r>
      <w:proofErr w:type="spellStart"/>
      <w:r w:rsidRPr="00467DB0">
        <w:t>Kommissionen</w:t>
      </w:r>
      <w:proofErr w:type="spellEnd"/>
      <w:r w:rsidRPr="00467DB0">
        <w:t xml:space="preserve"> og EU-</w:t>
      </w:r>
      <w:proofErr w:type="spellStart"/>
      <w:r w:rsidRPr="00467DB0">
        <w:t>Udenrigstjenesten</w:t>
      </w:r>
      <w:proofErr w:type="spellEnd"/>
      <w:r w:rsidRPr="00467DB0">
        <w:t xml:space="preserve"> deltager i GOVSATCOM, for så vidt som de </w:t>
      </w:r>
      <w:proofErr w:type="spellStart"/>
      <w:r w:rsidRPr="00467DB0">
        <w:t>godkender</w:t>
      </w:r>
      <w:proofErr w:type="spellEnd"/>
      <w:r w:rsidRPr="00467DB0">
        <w:t xml:space="preserve"> GOVSATCOM-</w:t>
      </w:r>
      <w:proofErr w:type="spellStart"/>
      <w:r w:rsidRPr="00467DB0">
        <w:t>b</w:t>
      </w:r>
      <w:r w:rsidRPr="00467DB0">
        <w:t>rugere</w:t>
      </w:r>
      <w:proofErr w:type="spellEnd"/>
      <w:r w:rsidRPr="00467DB0">
        <w:t xml:space="preserve"> eller leverer </w:t>
      </w:r>
      <w:proofErr w:type="spellStart"/>
      <w:r w:rsidRPr="00467DB0">
        <w:t>satellitkommunikationskapaciteter</w:t>
      </w:r>
      <w:proofErr w:type="spellEnd"/>
      <w:r w:rsidRPr="00467DB0">
        <w:t xml:space="preserve">, jordbaserede segmenter eller dele </w:t>
      </w:r>
      <w:proofErr w:type="spellStart"/>
      <w:r w:rsidRPr="00467DB0">
        <w:t>af</w:t>
      </w:r>
      <w:proofErr w:type="spellEnd"/>
      <w:r w:rsidRPr="00467DB0">
        <w:t xml:space="preserve"> jordbaserede segmenter.</w:t>
      </w:r>
    </w:p>
    <w:p w14:paraId="6B5DDDF1" w14:textId="77777777" w:rsidR="00000000" w:rsidRPr="00467DB0" w:rsidRDefault="00693D67" w:rsidP="00467DB0">
      <w:pPr>
        <w:pStyle w:val="Listeavsnitt"/>
      </w:pPr>
      <w:r w:rsidRPr="00467DB0">
        <w:t xml:space="preserve">Hvis Rådet, </w:t>
      </w:r>
      <w:proofErr w:type="spellStart"/>
      <w:r w:rsidRPr="00467DB0">
        <w:t>Kommissionen</w:t>
      </w:r>
      <w:proofErr w:type="spellEnd"/>
      <w:r w:rsidRPr="00467DB0">
        <w:t xml:space="preserve"> eller EU-</w:t>
      </w:r>
      <w:proofErr w:type="spellStart"/>
      <w:r w:rsidRPr="00467DB0">
        <w:t>Udenrigstjenesten</w:t>
      </w:r>
      <w:proofErr w:type="spellEnd"/>
      <w:r w:rsidRPr="00467DB0">
        <w:t xml:space="preserve"> </w:t>
      </w:r>
      <w:proofErr w:type="spellStart"/>
      <w:r w:rsidRPr="00467DB0">
        <w:t>godkender</w:t>
      </w:r>
      <w:proofErr w:type="spellEnd"/>
      <w:r w:rsidRPr="00467DB0">
        <w:t xml:space="preserve"> GOVSATCOM-</w:t>
      </w:r>
      <w:proofErr w:type="spellStart"/>
      <w:r w:rsidRPr="00467DB0">
        <w:t>brugere</w:t>
      </w:r>
      <w:proofErr w:type="spellEnd"/>
      <w:r w:rsidRPr="00467DB0">
        <w:t xml:space="preserve"> eller leverer </w:t>
      </w:r>
      <w:proofErr w:type="spellStart"/>
      <w:r w:rsidRPr="00467DB0">
        <w:t>satellitkommunikationskapaciteter</w:t>
      </w:r>
      <w:proofErr w:type="spellEnd"/>
      <w:r w:rsidRPr="00467DB0">
        <w:t>, jordbase</w:t>
      </w:r>
      <w:r w:rsidRPr="00467DB0">
        <w:t xml:space="preserve">rede segmenter eller dele </w:t>
      </w:r>
      <w:proofErr w:type="spellStart"/>
      <w:r w:rsidRPr="00467DB0">
        <w:t>af</w:t>
      </w:r>
      <w:proofErr w:type="spellEnd"/>
      <w:r w:rsidRPr="00467DB0">
        <w:t xml:space="preserve"> jordbaserede segmenter på en medlemsstats område, må en sådan </w:t>
      </w:r>
      <w:proofErr w:type="spellStart"/>
      <w:r w:rsidRPr="00467DB0">
        <w:t>godkendelse</w:t>
      </w:r>
      <w:proofErr w:type="spellEnd"/>
      <w:r w:rsidRPr="00467DB0">
        <w:t xml:space="preserve"> eller bestemmelse ikke være i strid med bestemmelser om </w:t>
      </w:r>
      <w:proofErr w:type="spellStart"/>
      <w:r w:rsidRPr="00467DB0">
        <w:t>neutralitet</w:t>
      </w:r>
      <w:proofErr w:type="spellEnd"/>
      <w:r w:rsidRPr="00467DB0">
        <w:t xml:space="preserve"> og </w:t>
      </w:r>
      <w:proofErr w:type="spellStart"/>
      <w:r w:rsidRPr="00467DB0">
        <w:t>alliancefrihed</w:t>
      </w:r>
      <w:proofErr w:type="spellEnd"/>
      <w:r w:rsidRPr="00467DB0">
        <w:t xml:space="preserve">, der er </w:t>
      </w:r>
      <w:proofErr w:type="spellStart"/>
      <w:r w:rsidRPr="00467DB0">
        <w:t>fastsat</w:t>
      </w:r>
      <w:proofErr w:type="spellEnd"/>
      <w:r w:rsidRPr="00467DB0">
        <w:t xml:space="preserve"> i den </w:t>
      </w:r>
      <w:proofErr w:type="spellStart"/>
      <w:r w:rsidRPr="00467DB0">
        <w:t>pågældende</w:t>
      </w:r>
      <w:proofErr w:type="spellEnd"/>
      <w:r w:rsidRPr="00467DB0">
        <w:t xml:space="preserve"> medlemsstats </w:t>
      </w:r>
      <w:proofErr w:type="spellStart"/>
      <w:r w:rsidRPr="00467DB0">
        <w:t>forfatningsret</w:t>
      </w:r>
      <w:proofErr w:type="spellEnd"/>
      <w:r w:rsidRPr="00467DB0">
        <w:t>.</w:t>
      </w:r>
    </w:p>
    <w:p w14:paraId="0B1863B0" w14:textId="77777777" w:rsidR="00000000" w:rsidRPr="00467DB0" w:rsidRDefault="00693D67" w:rsidP="00467DB0">
      <w:pPr>
        <w:pStyle w:val="friliste"/>
      </w:pPr>
      <w:r w:rsidRPr="00467DB0">
        <w:t>2.</w:t>
      </w:r>
      <w:r w:rsidRPr="00467DB0">
        <w:tab/>
        <w:t>EU</w:t>
      </w:r>
      <w:r w:rsidRPr="00467DB0">
        <w:t xml:space="preserve">-agenturer kan kun blive GOVSATCOM-deltagere, i det omfang det er </w:t>
      </w:r>
      <w:proofErr w:type="spellStart"/>
      <w:r w:rsidRPr="00467DB0">
        <w:t>nødvendigt</w:t>
      </w:r>
      <w:proofErr w:type="spellEnd"/>
      <w:r w:rsidRPr="00467DB0">
        <w:t xml:space="preserve">, for at de kan </w:t>
      </w:r>
      <w:proofErr w:type="spellStart"/>
      <w:r w:rsidRPr="00467DB0">
        <w:t>udføre</w:t>
      </w:r>
      <w:proofErr w:type="spellEnd"/>
      <w:r w:rsidRPr="00467DB0">
        <w:t xml:space="preserve"> deres </w:t>
      </w:r>
      <w:proofErr w:type="spellStart"/>
      <w:r w:rsidRPr="00467DB0">
        <w:t>opgaver</w:t>
      </w:r>
      <w:proofErr w:type="spellEnd"/>
      <w:r w:rsidRPr="00467DB0">
        <w:t xml:space="preserve">, og i overensstemmelse med nærmere bestemmelser, som er fastlagt i en administrativ </w:t>
      </w:r>
      <w:proofErr w:type="spellStart"/>
      <w:r w:rsidRPr="00467DB0">
        <w:t>aftale</w:t>
      </w:r>
      <w:proofErr w:type="spellEnd"/>
      <w:r w:rsidRPr="00467DB0">
        <w:t xml:space="preserve"> </w:t>
      </w:r>
      <w:proofErr w:type="spellStart"/>
      <w:r w:rsidRPr="00467DB0">
        <w:t>indgået</w:t>
      </w:r>
      <w:proofErr w:type="spellEnd"/>
      <w:r w:rsidRPr="00467DB0">
        <w:t xml:space="preserve"> </w:t>
      </w:r>
      <w:proofErr w:type="spellStart"/>
      <w:r w:rsidRPr="00467DB0">
        <w:t>mellem</w:t>
      </w:r>
      <w:proofErr w:type="spellEnd"/>
      <w:r w:rsidRPr="00467DB0">
        <w:t xml:space="preserve"> det berørte agentur og den EU-</w:t>
      </w:r>
      <w:proofErr w:type="spellStart"/>
      <w:r w:rsidRPr="00467DB0">
        <w:t>institu</w:t>
      </w:r>
      <w:r w:rsidRPr="00467DB0">
        <w:t>tion</w:t>
      </w:r>
      <w:proofErr w:type="spellEnd"/>
      <w:r w:rsidRPr="00467DB0">
        <w:t xml:space="preserve">, der </w:t>
      </w:r>
      <w:proofErr w:type="gramStart"/>
      <w:r w:rsidRPr="00467DB0">
        <w:t>forestår</w:t>
      </w:r>
      <w:proofErr w:type="gramEnd"/>
      <w:r w:rsidRPr="00467DB0">
        <w:t xml:space="preserve"> tilsynet hermed.</w:t>
      </w:r>
    </w:p>
    <w:p w14:paraId="41B5082A" w14:textId="77777777" w:rsidR="00000000" w:rsidRPr="00467DB0" w:rsidRDefault="00693D67" w:rsidP="00467DB0">
      <w:pPr>
        <w:pStyle w:val="friliste"/>
      </w:pPr>
      <w:r w:rsidRPr="00467DB0">
        <w:t>3.</w:t>
      </w:r>
      <w:r w:rsidRPr="00467DB0">
        <w:tab/>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kan blive GOVSATCOM-deltagere i overensstemmelse med </w:t>
      </w:r>
      <w:proofErr w:type="spellStart"/>
      <w:r w:rsidRPr="00467DB0">
        <w:t>artikel</w:t>
      </w:r>
      <w:proofErr w:type="spellEnd"/>
      <w:r w:rsidRPr="00467DB0">
        <w:t xml:space="preserve"> 7.</w:t>
      </w:r>
    </w:p>
    <w:p w14:paraId="59071A0F" w14:textId="77777777" w:rsidR="00000000" w:rsidRPr="00467DB0" w:rsidRDefault="00693D67" w:rsidP="00467DB0">
      <w:pPr>
        <w:pStyle w:val="friliste"/>
      </w:pPr>
      <w:r w:rsidRPr="00467DB0">
        <w:t>4.</w:t>
      </w:r>
      <w:r w:rsidRPr="00467DB0">
        <w:tab/>
        <w:t xml:space="preserve">Hver GOVSATCOM-deltager </w:t>
      </w:r>
      <w:proofErr w:type="spellStart"/>
      <w:r w:rsidRPr="00467DB0">
        <w:t>udpeger</w:t>
      </w:r>
      <w:proofErr w:type="spellEnd"/>
      <w:r w:rsidRPr="00467DB0">
        <w:t xml:space="preserve"> én kompetent GOVSATCOM-</w:t>
      </w:r>
      <w:proofErr w:type="spellStart"/>
      <w:r w:rsidRPr="00467DB0">
        <w:t>myndighed</w:t>
      </w:r>
      <w:proofErr w:type="spellEnd"/>
      <w:r w:rsidRPr="00467DB0">
        <w:t>.</w:t>
      </w:r>
    </w:p>
    <w:p w14:paraId="007F9362" w14:textId="77777777" w:rsidR="00000000" w:rsidRPr="00467DB0" w:rsidRDefault="00693D67" w:rsidP="00467DB0">
      <w:pPr>
        <w:pStyle w:val="friliste"/>
      </w:pPr>
      <w:r w:rsidRPr="00467DB0">
        <w:t>5.</w:t>
      </w:r>
      <w:r w:rsidRPr="00467DB0">
        <w:tab/>
      </w:r>
      <w:r w:rsidRPr="00467DB0">
        <w:t>En kompetent GOVSATCOM-</w:t>
      </w:r>
      <w:proofErr w:type="spellStart"/>
      <w:r w:rsidRPr="00467DB0">
        <w:t>myndighed</w:t>
      </w:r>
      <w:proofErr w:type="spellEnd"/>
      <w:r w:rsidRPr="00467DB0">
        <w:t xml:space="preserve"> sikrer, at:</w:t>
      </w:r>
    </w:p>
    <w:p w14:paraId="3945D997" w14:textId="77777777" w:rsidR="00000000" w:rsidRPr="00467DB0" w:rsidRDefault="00693D67" w:rsidP="00467DB0">
      <w:pPr>
        <w:pStyle w:val="friliste2"/>
      </w:pPr>
      <w:r w:rsidRPr="00467DB0">
        <w:t>a)</w:t>
      </w:r>
      <w:r w:rsidRPr="00467DB0">
        <w:tab/>
      </w:r>
      <w:proofErr w:type="gramStart"/>
      <w:r w:rsidRPr="00467DB0">
        <w:t>anvendelsen</w:t>
      </w:r>
      <w:proofErr w:type="gramEnd"/>
      <w:r w:rsidRPr="00467DB0">
        <w:t xml:space="preserve"> </w:t>
      </w:r>
      <w:proofErr w:type="spellStart"/>
      <w:r w:rsidRPr="00467DB0">
        <w:t>af</w:t>
      </w:r>
      <w:proofErr w:type="spellEnd"/>
      <w:r w:rsidRPr="00467DB0">
        <w:t xml:space="preserve"> tjenester er i overensstemmelse med </w:t>
      </w:r>
      <w:proofErr w:type="spellStart"/>
      <w:r w:rsidRPr="00467DB0">
        <w:t>gældende</w:t>
      </w:r>
      <w:proofErr w:type="spellEnd"/>
      <w:r w:rsidRPr="00467DB0">
        <w:t xml:space="preserve"> </w:t>
      </w:r>
      <w:proofErr w:type="spellStart"/>
      <w:r w:rsidRPr="00467DB0">
        <w:t>sikkerhedskrav</w:t>
      </w:r>
      <w:proofErr w:type="spellEnd"/>
    </w:p>
    <w:p w14:paraId="47B9382B" w14:textId="77777777" w:rsidR="00000000" w:rsidRPr="00467DB0" w:rsidRDefault="00693D67" w:rsidP="00467DB0">
      <w:pPr>
        <w:pStyle w:val="friliste2"/>
      </w:pPr>
      <w:r w:rsidRPr="00467DB0">
        <w:t>b)</w:t>
      </w:r>
      <w:r w:rsidRPr="00467DB0">
        <w:tab/>
      </w:r>
      <w:proofErr w:type="spellStart"/>
      <w:r w:rsidRPr="00467DB0">
        <w:t>adgangsrettighederne</w:t>
      </w:r>
      <w:proofErr w:type="spellEnd"/>
      <w:r w:rsidRPr="00467DB0">
        <w:t xml:space="preserve"> for GOVSATCOM-</w:t>
      </w:r>
      <w:proofErr w:type="spellStart"/>
      <w:r w:rsidRPr="00467DB0">
        <w:t>brugere</w:t>
      </w:r>
      <w:proofErr w:type="spellEnd"/>
      <w:r w:rsidRPr="00467DB0">
        <w:t xml:space="preserve"> </w:t>
      </w:r>
      <w:proofErr w:type="spellStart"/>
      <w:r w:rsidRPr="00467DB0">
        <w:t>fastlægges</w:t>
      </w:r>
      <w:proofErr w:type="spellEnd"/>
      <w:r w:rsidRPr="00467DB0">
        <w:t xml:space="preserve"> og forvaltes</w:t>
      </w:r>
    </w:p>
    <w:p w14:paraId="27ACA569" w14:textId="77777777" w:rsidR="00000000" w:rsidRPr="00467DB0" w:rsidRDefault="00693D67" w:rsidP="00467DB0">
      <w:pPr>
        <w:pStyle w:val="friliste2"/>
      </w:pPr>
      <w:r w:rsidRPr="00467DB0">
        <w:t>c)</w:t>
      </w:r>
      <w:r w:rsidRPr="00467DB0">
        <w:tab/>
      </w:r>
      <w:proofErr w:type="spellStart"/>
      <w:r w:rsidRPr="00467DB0">
        <w:t>brugerudstyr</w:t>
      </w:r>
      <w:proofErr w:type="spellEnd"/>
      <w:r w:rsidRPr="00467DB0">
        <w:t xml:space="preserve"> og tilhørende elektroniske kommunikationsforbin</w:t>
      </w:r>
      <w:r w:rsidRPr="00467DB0">
        <w:t xml:space="preserve">delser og </w:t>
      </w:r>
      <w:proofErr w:type="spellStart"/>
      <w:r w:rsidRPr="00467DB0">
        <w:t>informationer</w:t>
      </w:r>
      <w:proofErr w:type="spellEnd"/>
      <w:r w:rsidRPr="00467DB0">
        <w:t xml:space="preserve"> anvendes og forvaltes i overensstemmelse med </w:t>
      </w:r>
      <w:proofErr w:type="spellStart"/>
      <w:r w:rsidRPr="00467DB0">
        <w:t>gældende</w:t>
      </w:r>
      <w:proofErr w:type="spellEnd"/>
      <w:r w:rsidRPr="00467DB0">
        <w:t xml:space="preserve"> </w:t>
      </w:r>
      <w:proofErr w:type="spellStart"/>
      <w:r w:rsidRPr="00467DB0">
        <w:t>sikkerhedskrav</w:t>
      </w:r>
      <w:proofErr w:type="spellEnd"/>
    </w:p>
    <w:p w14:paraId="2552742E" w14:textId="77777777" w:rsidR="00000000" w:rsidRPr="00467DB0" w:rsidRDefault="00693D67" w:rsidP="00467DB0">
      <w:pPr>
        <w:pStyle w:val="friliste2"/>
      </w:pPr>
      <w:r w:rsidRPr="00467DB0">
        <w:t>d)</w:t>
      </w:r>
      <w:r w:rsidRPr="00467DB0">
        <w:tab/>
        <w:t xml:space="preserve">der </w:t>
      </w:r>
      <w:proofErr w:type="spellStart"/>
      <w:r w:rsidRPr="00467DB0">
        <w:t>oprettes</w:t>
      </w:r>
      <w:proofErr w:type="spellEnd"/>
      <w:r w:rsidRPr="00467DB0">
        <w:t xml:space="preserve"> et </w:t>
      </w:r>
      <w:proofErr w:type="spellStart"/>
      <w:r w:rsidRPr="00467DB0">
        <w:t>centralt</w:t>
      </w:r>
      <w:proofErr w:type="spellEnd"/>
      <w:r w:rsidRPr="00467DB0">
        <w:t xml:space="preserve"> kontaktpunkt til, hvis det er </w:t>
      </w:r>
      <w:proofErr w:type="spellStart"/>
      <w:r w:rsidRPr="00467DB0">
        <w:t>nødvendigt</w:t>
      </w:r>
      <w:proofErr w:type="spellEnd"/>
      <w:r w:rsidRPr="00467DB0">
        <w:t xml:space="preserve">, at bistå med </w:t>
      </w:r>
      <w:proofErr w:type="spellStart"/>
      <w:r w:rsidRPr="00467DB0">
        <w:t>indberetningen</w:t>
      </w:r>
      <w:proofErr w:type="spellEnd"/>
      <w:r w:rsidRPr="00467DB0">
        <w:t xml:space="preserve"> </w:t>
      </w:r>
      <w:proofErr w:type="spellStart"/>
      <w:r w:rsidRPr="00467DB0">
        <w:t>af</w:t>
      </w:r>
      <w:proofErr w:type="spellEnd"/>
      <w:r w:rsidRPr="00467DB0">
        <w:t xml:space="preserve"> </w:t>
      </w:r>
      <w:proofErr w:type="spellStart"/>
      <w:r w:rsidRPr="00467DB0">
        <w:t>sikkerhedsmæssige</w:t>
      </w:r>
      <w:proofErr w:type="spellEnd"/>
      <w:r w:rsidRPr="00467DB0">
        <w:t xml:space="preserve"> </w:t>
      </w:r>
      <w:proofErr w:type="spellStart"/>
      <w:r w:rsidRPr="00467DB0">
        <w:t>risici</w:t>
      </w:r>
      <w:proofErr w:type="spellEnd"/>
      <w:r w:rsidRPr="00467DB0">
        <w:t xml:space="preserve"> og trusler, navnlig påvisning </w:t>
      </w:r>
      <w:proofErr w:type="spellStart"/>
      <w:r w:rsidRPr="00467DB0">
        <w:t>af</w:t>
      </w:r>
      <w:proofErr w:type="spellEnd"/>
      <w:r w:rsidRPr="00467DB0">
        <w:t xml:space="preserve"> pote</w:t>
      </w:r>
      <w:r w:rsidRPr="00467DB0">
        <w:t xml:space="preserve">ntielt skadelig elektromagnetisk interferens, der påvirker tjenester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denne komponent.</w:t>
      </w:r>
    </w:p>
    <w:p w14:paraId="673FC3AD" w14:textId="77777777" w:rsidR="00000000" w:rsidRPr="00467DB0" w:rsidRDefault="00693D67" w:rsidP="00467DB0">
      <w:pPr>
        <w:pStyle w:val="avsnitt-undertittel"/>
      </w:pPr>
      <w:proofErr w:type="spellStart"/>
      <w:r w:rsidRPr="00467DB0">
        <w:t>Artikel</w:t>
      </w:r>
      <w:proofErr w:type="spellEnd"/>
      <w:r w:rsidRPr="00467DB0">
        <w:t xml:space="preserve"> 69</w:t>
      </w:r>
    </w:p>
    <w:p w14:paraId="1442C22E" w14:textId="77777777" w:rsidR="00000000" w:rsidRPr="00467DB0" w:rsidRDefault="00693D67" w:rsidP="00467DB0">
      <w:pPr>
        <w:pStyle w:val="Undertittel"/>
      </w:pPr>
      <w:proofErr w:type="spellStart"/>
      <w:r w:rsidRPr="00467DB0">
        <w:t>Overvågning</w:t>
      </w:r>
      <w:proofErr w:type="spellEnd"/>
      <w:r w:rsidRPr="00467DB0">
        <w:t xml:space="preserve"> </w:t>
      </w:r>
      <w:proofErr w:type="spellStart"/>
      <w:r w:rsidRPr="00467DB0">
        <w:t>af</w:t>
      </w:r>
      <w:proofErr w:type="spellEnd"/>
      <w:r w:rsidRPr="00467DB0">
        <w:t xml:space="preserve"> </w:t>
      </w:r>
      <w:proofErr w:type="spellStart"/>
      <w:r w:rsidRPr="00467DB0">
        <w:t>udbud</w:t>
      </w:r>
      <w:proofErr w:type="spellEnd"/>
      <w:r w:rsidRPr="00467DB0">
        <w:t xml:space="preserve"> og </w:t>
      </w:r>
      <w:proofErr w:type="spellStart"/>
      <w:r w:rsidRPr="00467DB0">
        <w:t>efterspørgsel</w:t>
      </w:r>
      <w:proofErr w:type="spellEnd"/>
      <w:r w:rsidRPr="00467DB0">
        <w:t xml:space="preserve"> i forbindelse med GOVSATCOM</w:t>
      </w:r>
    </w:p>
    <w:p w14:paraId="60201BA0" w14:textId="77777777" w:rsidR="00000000" w:rsidRPr="00467DB0" w:rsidRDefault="00693D67" w:rsidP="00467DB0">
      <w:r w:rsidRPr="00467DB0">
        <w:t xml:space="preserve">Med </w:t>
      </w:r>
      <w:proofErr w:type="spellStart"/>
      <w:r w:rsidRPr="00467DB0">
        <w:t>henblik</w:t>
      </w:r>
      <w:proofErr w:type="spellEnd"/>
      <w:r w:rsidRPr="00467DB0">
        <w:t xml:space="preserve"> på at optimere </w:t>
      </w:r>
      <w:proofErr w:type="spellStart"/>
      <w:r w:rsidRPr="00467DB0">
        <w:t>balancen</w:t>
      </w:r>
      <w:proofErr w:type="spellEnd"/>
      <w:r w:rsidRPr="00467DB0">
        <w:t xml:space="preserve"> </w:t>
      </w:r>
      <w:proofErr w:type="spellStart"/>
      <w:r w:rsidRPr="00467DB0">
        <w:t>mellem</w:t>
      </w:r>
      <w:proofErr w:type="spellEnd"/>
      <w:r w:rsidRPr="00467DB0">
        <w:t xml:space="preserve"> </w:t>
      </w:r>
      <w:proofErr w:type="spellStart"/>
      <w:r w:rsidRPr="00467DB0">
        <w:t>udbud</w:t>
      </w:r>
      <w:proofErr w:type="spellEnd"/>
      <w:r w:rsidRPr="00467DB0">
        <w:t xml:space="preserve"> </w:t>
      </w:r>
      <w:proofErr w:type="spellStart"/>
      <w:r w:rsidRPr="00467DB0">
        <w:t>af</w:t>
      </w:r>
      <w:proofErr w:type="spellEnd"/>
      <w:r w:rsidRPr="00467DB0">
        <w:t xml:space="preserve"> og </w:t>
      </w:r>
      <w:proofErr w:type="spellStart"/>
      <w:r w:rsidRPr="00467DB0">
        <w:t>efterspørgsel</w:t>
      </w:r>
      <w:proofErr w:type="spellEnd"/>
      <w:r w:rsidRPr="00467DB0">
        <w:t xml:space="preserve"> på</w:t>
      </w:r>
      <w:r w:rsidRPr="00467DB0">
        <w:t xml:space="preserve"> GOVSATCOM-tjenester overvåger </w:t>
      </w:r>
      <w:proofErr w:type="spellStart"/>
      <w:r w:rsidRPr="00467DB0">
        <w:t>Kommissionen</w:t>
      </w:r>
      <w:proofErr w:type="spellEnd"/>
      <w:r w:rsidRPr="00467DB0">
        <w:t xml:space="preserve"> </w:t>
      </w:r>
      <w:proofErr w:type="spellStart"/>
      <w:r w:rsidRPr="00467DB0">
        <w:t>løbende</w:t>
      </w:r>
      <w:proofErr w:type="spellEnd"/>
      <w:r w:rsidRPr="00467DB0">
        <w:t xml:space="preserve"> </w:t>
      </w:r>
      <w:proofErr w:type="spellStart"/>
      <w:r w:rsidRPr="00467DB0">
        <w:t>udviklingen</w:t>
      </w:r>
      <w:proofErr w:type="spellEnd"/>
      <w:r w:rsidRPr="00467DB0">
        <w:t xml:space="preserve"> i </w:t>
      </w:r>
      <w:proofErr w:type="spellStart"/>
      <w:r w:rsidRPr="00467DB0">
        <w:t>udbud</w:t>
      </w:r>
      <w:proofErr w:type="spellEnd"/>
      <w:r w:rsidRPr="00467DB0">
        <w:t xml:space="preserve">, herunder eksisterende </w:t>
      </w:r>
      <w:r w:rsidRPr="00467DB0">
        <w:lastRenderedPageBreak/>
        <w:t>GOVSATCOM-</w:t>
      </w:r>
      <w:proofErr w:type="spellStart"/>
      <w:r w:rsidRPr="00467DB0">
        <w:t>kapaciteter</w:t>
      </w:r>
      <w:proofErr w:type="spellEnd"/>
      <w:r w:rsidRPr="00467DB0">
        <w:t xml:space="preserve"> i </w:t>
      </w:r>
      <w:proofErr w:type="spellStart"/>
      <w:r w:rsidRPr="00467DB0">
        <w:t>kredsløb</w:t>
      </w:r>
      <w:proofErr w:type="spellEnd"/>
      <w:r w:rsidRPr="00467DB0">
        <w:t xml:space="preserve"> med </w:t>
      </w:r>
      <w:proofErr w:type="spellStart"/>
      <w:r w:rsidRPr="00467DB0">
        <w:t>henblik</w:t>
      </w:r>
      <w:proofErr w:type="spellEnd"/>
      <w:r w:rsidRPr="00467DB0">
        <w:t xml:space="preserve"> på </w:t>
      </w:r>
      <w:proofErr w:type="spellStart"/>
      <w:r w:rsidRPr="00467DB0">
        <w:t>sammenlægning</w:t>
      </w:r>
      <w:proofErr w:type="spellEnd"/>
      <w:r w:rsidRPr="00467DB0">
        <w:t xml:space="preserve"> og deling, og </w:t>
      </w:r>
      <w:proofErr w:type="spellStart"/>
      <w:r w:rsidRPr="00467DB0">
        <w:t>efterspørgsel</w:t>
      </w:r>
      <w:proofErr w:type="spellEnd"/>
      <w:r w:rsidRPr="00467DB0">
        <w:t xml:space="preserve"> for så vidt angår GOVSATCOM-</w:t>
      </w:r>
      <w:proofErr w:type="spellStart"/>
      <w:r w:rsidRPr="00467DB0">
        <w:t>kapaciteter</w:t>
      </w:r>
      <w:proofErr w:type="spellEnd"/>
      <w:r w:rsidRPr="00467DB0">
        <w:t xml:space="preserve"> og -tjenester, </w:t>
      </w:r>
      <w:proofErr w:type="gramStart"/>
      <w:r w:rsidRPr="00467DB0">
        <w:t>under hensyntage</w:t>
      </w:r>
      <w:r w:rsidRPr="00467DB0">
        <w:t>n</w:t>
      </w:r>
      <w:proofErr w:type="gramEnd"/>
      <w:r w:rsidRPr="00467DB0">
        <w:t xml:space="preserve"> til nye </w:t>
      </w:r>
      <w:proofErr w:type="spellStart"/>
      <w:r w:rsidRPr="00467DB0">
        <w:t>risici</w:t>
      </w:r>
      <w:proofErr w:type="spellEnd"/>
      <w:r w:rsidRPr="00467DB0">
        <w:t xml:space="preserve"> og trusler samt ny teknologisk </w:t>
      </w:r>
      <w:proofErr w:type="spellStart"/>
      <w:r w:rsidRPr="00467DB0">
        <w:t>udvikling</w:t>
      </w:r>
      <w:proofErr w:type="spellEnd"/>
      <w:r w:rsidRPr="00467DB0">
        <w:t>.</w:t>
      </w:r>
    </w:p>
    <w:p w14:paraId="4AD0BCD0" w14:textId="77777777" w:rsidR="00000000" w:rsidRPr="00467DB0" w:rsidRDefault="00693D67" w:rsidP="00467DB0">
      <w:pPr>
        <w:pStyle w:val="avsnitt-undertittel"/>
      </w:pPr>
      <w:proofErr w:type="spellStart"/>
      <w:r w:rsidRPr="00467DB0">
        <w:t>Afsnit</w:t>
      </w:r>
      <w:proofErr w:type="spellEnd"/>
      <w:r w:rsidRPr="00467DB0">
        <w:t xml:space="preserve"> IX</w:t>
      </w:r>
    </w:p>
    <w:p w14:paraId="44E862C9" w14:textId="77777777" w:rsidR="00000000" w:rsidRPr="00467DB0" w:rsidRDefault="00693D67" w:rsidP="00467DB0">
      <w:pPr>
        <w:pStyle w:val="Undertittel"/>
      </w:pPr>
      <w:r w:rsidRPr="00467DB0">
        <w:t xml:space="preserve">Den </w:t>
      </w:r>
      <w:proofErr w:type="spellStart"/>
      <w:r w:rsidRPr="00467DB0">
        <w:t>europæiske</w:t>
      </w:r>
      <w:proofErr w:type="spellEnd"/>
      <w:r w:rsidRPr="00467DB0">
        <w:t xml:space="preserve"> unions agentur for </w:t>
      </w:r>
      <w:proofErr w:type="spellStart"/>
      <w:r w:rsidRPr="00467DB0">
        <w:t>rumprogrammet</w:t>
      </w:r>
      <w:proofErr w:type="spellEnd"/>
    </w:p>
    <w:p w14:paraId="22229017" w14:textId="77777777" w:rsidR="00000000" w:rsidRPr="00467DB0" w:rsidRDefault="00693D67" w:rsidP="00467DB0">
      <w:pPr>
        <w:pStyle w:val="avsnitt-undertittel"/>
      </w:pPr>
      <w:r w:rsidRPr="00467DB0">
        <w:t>Kapitel I</w:t>
      </w:r>
    </w:p>
    <w:p w14:paraId="22FE7862" w14:textId="77777777" w:rsidR="00000000" w:rsidRPr="00467DB0" w:rsidRDefault="00693D67" w:rsidP="00467DB0">
      <w:pPr>
        <w:pStyle w:val="Undertittel"/>
      </w:pPr>
      <w:proofErr w:type="spellStart"/>
      <w:r w:rsidRPr="00467DB0">
        <w:t>Almindelige</w:t>
      </w:r>
      <w:proofErr w:type="spellEnd"/>
      <w:r w:rsidRPr="00467DB0">
        <w:t xml:space="preserve"> bestemmelser om agenturet</w:t>
      </w:r>
    </w:p>
    <w:p w14:paraId="175CF9A8" w14:textId="77777777" w:rsidR="00000000" w:rsidRPr="00467DB0" w:rsidRDefault="00693D67" w:rsidP="00467DB0">
      <w:pPr>
        <w:pStyle w:val="avsnitt-undertittel"/>
      </w:pPr>
      <w:proofErr w:type="spellStart"/>
      <w:r w:rsidRPr="00467DB0">
        <w:t>Artikel</w:t>
      </w:r>
      <w:proofErr w:type="spellEnd"/>
      <w:r w:rsidRPr="00467DB0">
        <w:t xml:space="preserve"> 70</w:t>
      </w:r>
    </w:p>
    <w:p w14:paraId="64E26265" w14:textId="77777777" w:rsidR="00000000" w:rsidRPr="00467DB0" w:rsidRDefault="00693D67" w:rsidP="00467DB0">
      <w:pPr>
        <w:pStyle w:val="Undertittel"/>
      </w:pPr>
      <w:r w:rsidRPr="00467DB0">
        <w:t xml:space="preserve">Agenturets </w:t>
      </w:r>
      <w:proofErr w:type="spellStart"/>
      <w:r w:rsidRPr="00467DB0">
        <w:t>retlige</w:t>
      </w:r>
      <w:proofErr w:type="spellEnd"/>
      <w:r w:rsidRPr="00467DB0">
        <w:t xml:space="preserve"> status</w:t>
      </w:r>
    </w:p>
    <w:p w14:paraId="5BE597A7" w14:textId="77777777" w:rsidR="00000000" w:rsidRPr="00467DB0" w:rsidRDefault="00693D67" w:rsidP="00467DB0">
      <w:pPr>
        <w:pStyle w:val="friliste"/>
      </w:pPr>
      <w:r w:rsidRPr="00467DB0">
        <w:t>1.</w:t>
      </w:r>
      <w:r w:rsidRPr="00467DB0">
        <w:tab/>
        <w:t>Agenturet er et EU-organ. Det har status som juridi</w:t>
      </w:r>
      <w:r w:rsidRPr="00467DB0">
        <w:t>sk person.</w:t>
      </w:r>
    </w:p>
    <w:p w14:paraId="11F7CF24" w14:textId="77777777" w:rsidR="00000000" w:rsidRPr="00467DB0" w:rsidRDefault="00693D67" w:rsidP="00467DB0">
      <w:pPr>
        <w:pStyle w:val="friliste"/>
      </w:pPr>
      <w:r w:rsidRPr="00467DB0">
        <w:t>2.</w:t>
      </w:r>
      <w:r w:rsidRPr="00467DB0">
        <w:tab/>
        <w:t xml:space="preserve">Agenturet har i hver medlemsstat den mest vidtgående </w:t>
      </w:r>
      <w:proofErr w:type="spellStart"/>
      <w:r w:rsidRPr="00467DB0">
        <w:t>rets</w:t>
      </w:r>
      <w:proofErr w:type="spellEnd"/>
      <w:r w:rsidRPr="00467DB0">
        <w:t xml:space="preserve">- og handleevne, som den </w:t>
      </w:r>
      <w:proofErr w:type="spellStart"/>
      <w:r w:rsidRPr="00467DB0">
        <w:t>pågældende</w:t>
      </w:r>
      <w:proofErr w:type="spellEnd"/>
      <w:r w:rsidRPr="00467DB0">
        <w:t xml:space="preserve"> stats lovgivning </w:t>
      </w:r>
      <w:proofErr w:type="spellStart"/>
      <w:r w:rsidRPr="00467DB0">
        <w:t>tillægger</w:t>
      </w:r>
      <w:proofErr w:type="spellEnd"/>
      <w:r w:rsidRPr="00467DB0">
        <w:t xml:space="preserve"> juridiske personer. Det kan navnlig </w:t>
      </w:r>
      <w:proofErr w:type="spellStart"/>
      <w:r w:rsidRPr="00467DB0">
        <w:t>erhverve</w:t>
      </w:r>
      <w:proofErr w:type="spellEnd"/>
      <w:r w:rsidRPr="00467DB0">
        <w:t xml:space="preserve"> og </w:t>
      </w:r>
      <w:proofErr w:type="spellStart"/>
      <w:r w:rsidRPr="00467DB0">
        <w:t>afhænde</w:t>
      </w:r>
      <w:proofErr w:type="spellEnd"/>
      <w:r w:rsidRPr="00467DB0">
        <w:t xml:space="preserve"> løsøre og fast </w:t>
      </w:r>
      <w:proofErr w:type="spellStart"/>
      <w:r w:rsidRPr="00467DB0">
        <w:t>ejendom</w:t>
      </w:r>
      <w:proofErr w:type="spellEnd"/>
      <w:r w:rsidRPr="00467DB0">
        <w:t xml:space="preserve"> og </w:t>
      </w:r>
      <w:proofErr w:type="spellStart"/>
      <w:r w:rsidRPr="00467DB0">
        <w:t>optræde</w:t>
      </w:r>
      <w:proofErr w:type="spellEnd"/>
      <w:r w:rsidRPr="00467DB0">
        <w:t xml:space="preserve"> som part i </w:t>
      </w:r>
      <w:proofErr w:type="spellStart"/>
      <w:r w:rsidRPr="00467DB0">
        <w:t>retssager</w:t>
      </w:r>
      <w:proofErr w:type="spellEnd"/>
      <w:r w:rsidRPr="00467DB0">
        <w:t>.</w:t>
      </w:r>
    </w:p>
    <w:p w14:paraId="6AD25A03" w14:textId="77777777" w:rsidR="00000000" w:rsidRPr="00467DB0" w:rsidRDefault="00693D67" w:rsidP="00467DB0">
      <w:pPr>
        <w:pStyle w:val="friliste"/>
      </w:pPr>
      <w:r w:rsidRPr="00467DB0">
        <w:t>3.</w:t>
      </w:r>
      <w:r w:rsidRPr="00467DB0">
        <w:tab/>
        <w:t>Agentur</w:t>
      </w:r>
      <w:r w:rsidRPr="00467DB0">
        <w:t xml:space="preserve">et </w:t>
      </w:r>
      <w:proofErr w:type="spellStart"/>
      <w:r w:rsidRPr="00467DB0">
        <w:t>repræsenteres</w:t>
      </w:r>
      <w:proofErr w:type="spellEnd"/>
      <w:r w:rsidRPr="00467DB0">
        <w:t xml:space="preserve"> </w:t>
      </w:r>
      <w:proofErr w:type="spellStart"/>
      <w:r w:rsidRPr="00467DB0">
        <w:t>af</w:t>
      </w:r>
      <w:proofErr w:type="spellEnd"/>
      <w:r w:rsidRPr="00467DB0">
        <w:t xml:space="preserve"> sin administrerende direktør.</w:t>
      </w:r>
    </w:p>
    <w:p w14:paraId="22D41F4D" w14:textId="77777777" w:rsidR="00000000" w:rsidRPr="00467DB0" w:rsidRDefault="00693D67" w:rsidP="00467DB0">
      <w:pPr>
        <w:pStyle w:val="avsnitt-undertittel"/>
      </w:pPr>
      <w:proofErr w:type="spellStart"/>
      <w:r w:rsidRPr="00467DB0">
        <w:t>Artikel</w:t>
      </w:r>
      <w:proofErr w:type="spellEnd"/>
      <w:r w:rsidRPr="00467DB0">
        <w:t xml:space="preserve"> 71</w:t>
      </w:r>
    </w:p>
    <w:p w14:paraId="3EC18A57" w14:textId="77777777" w:rsidR="00000000" w:rsidRPr="00467DB0" w:rsidRDefault="00693D67" w:rsidP="00467DB0">
      <w:pPr>
        <w:pStyle w:val="Undertittel"/>
      </w:pPr>
      <w:r w:rsidRPr="00467DB0">
        <w:t>Agenturets hjemsted og lokale kontorer</w:t>
      </w:r>
    </w:p>
    <w:p w14:paraId="21E4FC61" w14:textId="77777777" w:rsidR="00000000" w:rsidRPr="00467DB0" w:rsidRDefault="00693D67" w:rsidP="00467DB0">
      <w:pPr>
        <w:pStyle w:val="friliste"/>
      </w:pPr>
      <w:r w:rsidRPr="00467DB0">
        <w:t>1.</w:t>
      </w:r>
      <w:r w:rsidRPr="00467DB0">
        <w:tab/>
        <w:t xml:space="preserve">Agenturet har hjemsted i Prag, </w:t>
      </w:r>
      <w:proofErr w:type="spellStart"/>
      <w:r w:rsidRPr="00467DB0">
        <w:t>Tjekkiet</w:t>
      </w:r>
      <w:proofErr w:type="spellEnd"/>
      <w:r w:rsidRPr="00467DB0">
        <w:t>.</w:t>
      </w:r>
    </w:p>
    <w:p w14:paraId="68B2E7BB" w14:textId="77777777" w:rsidR="00000000" w:rsidRPr="00467DB0" w:rsidRDefault="00693D67" w:rsidP="00467DB0">
      <w:pPr>
        <w:pStyle w:val="friliste"/>
      </w:pPr>
      <w:r w:rsidRPr="00467DB0">
        <w:t>2.</w:t>
      </w:r>
      <w:r w:rsidRPr="00467DB0">
        <w:tab/>
        <w:t xml:space="preserve">Agenturets personale kan </w:t>
      </w:r>
      <w:proofErr w:type="spellStart"/>
      <w:r w:rsidRPr="00467DB0">
        <w:t>placeres</w:t>
      </w:r>
      <w:proofErr w:type="spellEnd"/>
      <w:r w:rsidRPr="00467DB0">
        <w:t xml:space="preserve"> i et </w:t>
      </w:r>
      <w:proofErr w:type="spellStart"/>
      <w:r w:rsidRPr="00467DB0">
        <w:t>af</w:t>
      </w:r>
      <w:proofErr w:type="spellEnd"/>
      <w:r w:rsidRPr="00467DB0">
        <w:t xml:space="preserve"> de i </w:t>
      </w:r>
      <w:proofErr w:type="spellStart"/>
      <w:r w:rsidRPr="00467DB0">
        <w:t>gennemførelsesafgørelse</w:t>
      </w:r>
      <w:proofErr w:type="spellEnd"/>
      <w:r w:rsidRPr="00467DB0">
        <w:t xml:space="preserve"> (EU) 2016/413 eller i (EU) 2017/1406 o</w:t>
      </w:r>
      <w:r w:rsidRPr="00467DB0">
        <w:t xml:space="preserve">mhandlede Galileo- eller EGNOS-jordbaserede </w:t>
      </w:r>
      <w:proofErr w:type="spellStart"/>
      <w:r w:rsidRPr="00467DB0">
        <w:t>centre</w:t>
      </w:r>
      <w:proofErr w:type="spellEnd"/>
      <w:r w:rsidRPr="00467DB0">
        <w:t xml:space="preserve"> med </w:t>
      </w:r>
      <w:proofErr w:type="spellStart"/>
      <w:r w:rsidRPr="00467DB0">
        <w:t>henblik</w:t>
      </w:r>
      <w:proofErr w:type="spellEnd"/>
      <w:r w:rsidRPr="00467DB0">
        <w:t xml:space="preserve"> på at </w:t>
      </w:r>
      <w:proofErr w:type="spellStart"/>
      <w:r w:rsidRPr="00467DB0">
        <w:t>gennemføre</w:t>
      </w:r>
      <w:proofErr w:type="spellEnd"/>
      <w:r w:rsidRPr="00467DB0">
        <w:t xml:space="preserve"> de programaktiviteter, der er </w:t>
      </w:r>
      <w:proofErr w:type="spellStart"/>
      <w:r w:rsidRPr="00467DB0">
        <w:t>fastsat</w:t>
      </w:r>
      <w:proofErr w:type="spellEnd"/>
      <w:r w:rsidRPr="00467DB0">
        <w:t xml:space="preserve"> i den relevante </w:t>
      </w:r>
      <w:proofErr w:type="spellStart"/>
      <w:r w:rsidRPr="00467DB0">
        <w:t>aftale</w:t>
      </w:r>
      <w:proofErr w:type="spellEnd"/>
      <w:r w:rsidRPr="00467DB0">
        <w:t>.</w:t>
      </w:r>
    </w:p>
    <w:p w14:paraId="3270F09D" w14:textId="77777777" w:rsidR="00000000" w:rsidRPr="00467DB0" w:rsidRDefault="00693D67" w:rsidP="00467DB0">
      <w:pPr>
        <w:pStyle w:val="friliste"/>
      </w:pPr>
      <w:r w:rsidRPr="00467DB0">
        <w:t>3.</w:t>
      </w:r>
      <w:r w:rsidRPr="00467DB0">
        <w:tab/>
      </w:r>
      <w:proofErr w:type="spellStart"/>
      <w:r w:rsidRPr="00467DB0">
        <w:t>Afhængig</w:t>
      </w:r>
      <w:proofErr w:type="spellEnd"/>
      <w:r w:rsidRPr="00467DB0">
        <w:t xml:space="preserve"> </w:t>
      </w:r>
      <w:proofErr w:type="spellStart"/>
      <w:r w:rsidRPr="00467DB0">
        <w:t>af</w:t>
      </w:r>
      <w:proofErr w:type="spellEnd"/>
      <w:r w:rsidRPr="00467DB0">
        <w:t xml:space="preserve"> programmets behov kan der </w:t>
      </w:r>
      <w:proofErr w:type="spellStart"/>
      <w:r w:rsidRPr="00467DB0">
        <w:t>oprettes</w:t>
      </w:r>
      <w:proofErr w:type="spellEnd"/>
      <w:r w:rsidRPr="00467DB0">
        <w:t xml:space="preserve"> lokale kontorer i </w:t>
      </w:r>
      <w:proofErr w:type="spellStart"/>
      <w:r w:rsidRPr="00467DB0">
        <w:t>medlemsstaterne</w:t>
      </w:r>
      <w:proofErr w:type="spellEnd"/>
      <w:r w:rsidRPr="00467DB0">
        <w:t xml:space="preserve"> i overensstemmelse med den i </w:t>
      </w:r>
      <w:proofErr w:type="spellStart"/>
      <w:r w:rsidRPr="00467DB0">
        <w:t>a</w:t>
      </w:r>
      <w:r w:rsidRPr="00467DB0">
        <w:t>rtikel</w:t>
      </w:r>
      <w:proofErr w:type="spellEnd"/>
      <w:r w:rsidRPr="00467DB0">
        <w:t xml:space="preserve"> 79, stk. 2, omhandlede </w:t>
      </w:r>
      <w:proofErr w:type="spellStart"/>
      <w:r w:rsidRPr="00467DB0">
        <w:t>procedure</w:t>
      </w:r>
      <w:proofErr w:type="spellEnd"/>
      <w:r w:rsidRPr="00467DB0">
        <w:t>.</w:t>
      </w:r>
    </w:p>
    <w:p w14:paraId="31CB7E4B" w14:textId="77777777" w:rsidR="00000000" w:rsidRPr="00467DB0" w:rsidRDefault="00693D67" w:rsidP="00467DB0">
      <w:pPr>
        <w:pStyle w:val="avsnitt-undertittel"/>
      </w:pPr>
      <w:r w:rsidRPr="00467DB0">
        <w:lastRenderedPageBreak/>
        <w:t>Kapitel II</w:t>
      </w:r>
    </w:p>
    <w:p w14:paraId="66B8D31E" w14:textId="77777777" w:rsidR="00000000" w:rsidRPr="00467DB0" w:rsidRDefault="00693D67" w:rsidP="00467DB0">
      <w:pPr>
        <w:pStyle w:val="Undertittel"/>
      </w:pPr>
      <w:r w:rsidRPr="00467DB0">
        <w:t xml:space="preserve">Agenturets </w:t>
      </w:r>
      <w:proofErr w:type="spellStart"/>
      <w:r w:rsidRPr="00467DB0">
        <w:t>organisation</w:t>
      </w:r>
      <w:proofErr w:type="spellEnd"/>
    </w:p>
    <w:p w14:paraId="5B8817DD" w14:textId="77777777" w:rsidR="00000000" w:rsidRPr="00467DB0" w:rsidRDefault="00693D67" w:rsidP="00467DB0">
      <w:pPr>
        <w:pStyle w:val="avsnitt-undertittel"/>
      </w:pPr>
      <w:proofErr w:type="spellStart"/>
      <w:r w:rsidRPr="00467DB0">
        <w:t>Artikel</w:t>
      </w:r>
      <w:proofErr w:type="spellEnd"/>
      <w:r w:rsidRPr="00467DB0">
        <w:t xml:space="preserve"> 72</w:t>
      </w:r>
    </w:p>
    <w:p w14:paraId="0F085DB1" w14:textId="77777777" w:rsidR="00000000" w:rsidRPr="00467DB0" w:rsidRDefault="00693D67" w:rsidP="00467DB0">
      <w:pPr>
        <w:pStyle w:val="Undertittel"/>
      </w:pPr>
      <w:r w:rsidRPr="00467DB0">
        <w:t>Forvaltnings- og ledelsesstruktur</w:t>
      </w:r>
    </w:p>
    <w:p w14:paraId="4EFF1210" w14:textId="77777777" w:rsidR="00000000" w:rsidRPr="00467DB0" w:rsidRDefault="00693D67" w:rsidP="00467DB0">
      <w:pPr>
        <w:pStyle w:val="friliste"/>
      </w:pPr>
      <w:r w:rsidRPr="00467DB0">
        <w:t>1.</w:t>
      </w:r>
      <w:r w:rsidRPr="00467DB0">
        <w:tab/>
        <w:t xml:space="preserve">Agenturets forvaltnings- og ledelsesstruktur består </w:t>
      </w:r>
      <w:proofErr w:type="spellStart"/>
      <w:r w:rsidRPr="00467DB0">
        <w:t>af</w:t>
      </w:r>
      <w:proofErr w:type="spellEnd"/>
      <w:r w:rsidRPr="00467DB0">
        <w:t>:</w:t>
      </w:r>
    </w:p>
    <w:p w14:paraId="2A64C395" w14:textId="77777777" w:rsidR="00000000" w:rsidRPr="00467DB0" w:rsidRDefault="00693D67" w:rsidP="00467DB0">
      <w:pPr>
        <w:pStyle w:val="friliste2"/>
      </w:pPr>
      <w:r w:rsidRPr="00467DB0">
        <w:t>a)</w:t>
      </w:r>
      <w:r w:rsidRPr="00467DB0">
        <w:tab/>
        <w:t>bestyrelsen</w:t>
      </w:r>
    </w:p>
    <w:p w14:paraId="76B007D0" w14:textId="77777777" w:rsidR="00000000" w:rsidRPr="00467DB0" w:rsidRDefault="00693D67" w:rsidP="00467DB0">
      <w:pPr>
        <w:pStyle w:val="friliste2"/>
      </w:pPr>
      <w:r w:rsidRPr="00467DB0">
        <w:t>b)</w:t>
      </w:r>
      <w:r w:rsidRPr="00467DB0">
        <w:tab/>
        <w:t>den administrerende direktør</w:t>
      </w:r>
    </w:p>
    <w:p w14:paraId="5A28AADA" w14:textId="77777777" w:rsidR="00000000" w:rsidRPr="00467DB0" w:rsidRDefault="00693D67" w:rsidP="00467DB0">
      <w:pPr>
        <w:pStyle w:val="friliste2"/>
      </w:pPr>
      <w:r w:rsidRPr="00467DB0">
        <w:t>c)</w:t>
      </w:r>
      <w:r w:rsidRPr="00467DB0">
        <w:tab/>
        <w:t>Komitée</w:t>
      </w:r>
      <w:r w:rsidRPr="00467DB0">
        <w:t xml:space="preserve">n for </w:t>
      </w:r>
      <w:proofErr w:type="spellStart"/>
      <w:r w:rsidRPr="00467DB0">
        <w:t>Sikkerhedsgodkendelse</w:t>
      </w:r>
      <w:proofErr w:type="spellEnd"/>
      <w:r w:rsidRPr="00467DB0">
        <w:t>.</w:t>
      </w:r>
    </w:p>
    <w:p w14:paraId="652F4370" w14:textId="77777777" w:rsidR="00000000" w:rsidRPr="00467DB0" w:rsidRDefault="00693D67" w:rsidP="00467DB0">
      <w:pPr>
        <w:pStyle w:val="friliste"/>
      </w:pPr>
      <w:r w:rsidRPr="00467DB0">
        <w:t>2.</w:t>
      </w:r>
      <w:r w:rsidRPr="00467DB0">
        <w:tab/>
        <w:t xml:space="preserve">Bestyrelsen, den administrerende direktør og Komitéen for </w:t>
      </w:r>
      <w:proofErr w:type="spellStart"/>
      <w:r w:rsidRPr="00467DB0">
        <w:t>Sikkerhedsgodkendelse</w:t>
      </w:r>
      <w:proofErr w:type="spellEnd"/>
      <w:r w:rsidRPr="00467DB0">
        <w:t xml:space="preserve"> </w:t>
      </w:r>
      <w:proofErr w:type="spellStart"/>
      <w:r w:rsidRPr="00467DB0">
        <w:t>samarbejder</w:t>
      </w:r>
      <w:proofErr w:type="spellEnd"/>
      <w:r w:rsidRPr="00467DB0">
        <w:t xml:space="preserve"> med </w:t>
      </w:r>
      <w:proofErr w:type="spellStart"/>
      <w:r w:rsidRPr="00467DB0">
        <w:t>henblik</w:t>
      </w:r>
      <w:proofErr w:type="spellEnd"/>
      <w:r w:rsidRPr="00467DB0">
        <w:t xml:space="preserve"> på agenturets drift og koordinering i henhold til </w:t>
      </w:r>
      <w:proofErr w:type="spellStart"/>
      <w:r w:rsidRPr="00467DB0">
        <w:t>procedurerne</w:t>
      </w:r>
      <w:proofErr w:type="spellEnd"/>
      <w:r w:rsidRPr="00467DB0">
        <w:t xml:space="preserve"> </w:t>
      </w:r>
      <w:proofErr w:type="spellStart"/>
      <w:r w:rsidRPr="00467DB0">
        <w:t>fastsat</w:t>
      </w:r>
      <w:proofErr w:type="spellEnd"/>
      <w:r w:rsidRPr="00467DB0">
        <w:t xml:space="preserve"> i agenturets interne regler, såsom bestyrelsens f</w:t>
      </w:r>
      <w:r w:rsidRPr="00467DB0">
        <w:t xml:space="preserve">orretningsorden, Komitéen for </w:t>
      </w:r>
      <w:proofErr w:type="spellStart"/>
      <w:r w:rsidRPr="00467DB0">
        <w:t>Sikkerhedsgodkendelses</w:t>
      </w:r>
      <w:proofErr w:type="spellEnd"/>
      <w:r w:rsidRPr="00467DB0">
        <w:t xml:space="preserve"> forretningsorden, de finansielle bestemmelser for agenturet, </w:t>
      </w:r>
      <w:proofErr w:type="spellStart"/>
      <w:r w:rsidRPr="00467DB0">
        <w:t>gennemførelsesbestemmelserne</w:t>
      </w:r>
      <w:proofErr w:type="spellEnd"/>
      <w:r w:rsidRPr="00467DB0">
        <w:t xml:space="preserve"> til </w:t>
      </w:r>
      <w:proofErr w:type="spellStart"/>
      <w:r w:rsidRPr="00467DB0">
        <w:t>personalevedtægten</w:t>
      </w:r>
      <w:proofErr w:type="spellEnd"/>
      <w:r w:rsidRPr="00467DB0">
        <w:t xml:space="preserve"> og </w:t>
      </w:r>
      <w:proofErr w:type="spellStart"/>
      <w:r w:rsidRPr="00467DB0">
        <w:t>reglerne</w:t>
      </w:r>
      <w:proofErr w:type="spellEnd"/>
      <w:r w:rsidRPr="00467DB0">
        <w:t xml:space="preserve"> om </w:t>
      </w:r>
      <w:proofErr w:type="spellStart"/>
      <w:r w:rsidRPr="00467DB0">
        <w:t>aktindsigt</w:t>
      </w:r>
      <w:proofErr w:type="spellEnd"/>
      <w:r w:rsidRPr="00467DB0">
        <w:t>.</w:t>
      </w:r>
    </w:p>
    <w:p w14:paraId="613AFC26" w14:textId="77777777" w:rsidR="00000000" w:rsidRPr="00467DB0" w:rsidRDefault="00693D67" w:rsidP="00467DB0">
      <w:pPr>
        <w:pStyle w:val="avsnitt-undertittel"/>
      </w:pPr>
      <w:proofErr w:type="spellStart"/>
      <w:r w:rsidRPr="00467DB0">
        <w:t>Artikel</w:t>
      </w:r>
      <w:proofErr w:type="spellEnd"/>
      <w:r w:rsidRPr="00467DB0">
        <w:t xml:space="preserve"> 73</w:t>
      </w:r>
    </w:p>
    <w:p w14:paraId="2EE81D31" w14:textId="77777777" w:rsidR="00000000" w:rsidRPr="00467DB0" w:rsidRDefault="00693D67" w:rsidP="00467DB0">
      <w:pPr>
        <w:pStyle w:val="Undertittel"/>
      </w:pPr>
      <w:r w:rsidRPr="00467DB0">
        <w:t>Bestyrelsen</w:t>
      </w:r>
    </w:p>
    <w:p w14:paraId="19B49D0C" w14:textId="77777777" w:rsidR="00000000" w:rsidRPr="00467DB0" w:rsidRDefault="00693D67" w:rsidP="00467DB0">
      <w:pPr>
        <w:pStyle w:val="friliste"/>
      </w:pPr>
      <w:r w:rsidRPr="00467DB0">
        <w:t>1.</w:t>
      </w:r>
      <w:r w:rsidRPr="00467DB0">
        <w:tab/>
        <w:t xml:space="preserve">Bestyrelsen består </w:t>
      </w:r>
      <w:proofErr w:type="spellStart"/>
      <w:r w:rsidRPr="00467DB0">
        <w:t>af</w:t>
      </w:r>
      <w:proofErr w:type="spellEnd"/>
      <w:r w:rsidRPr="00467DB0">
        <w:t xml:space="preserve"> en </w:t>
      </w:r>
      <w:proofErr w:type="spellStart"/>
      <w:r w:rsidRPr="00467DB0">
        <w:t>repræsentant</w:t>
      </w:r>
      <w:proofErr w:type="spellEnd"/>
      <w:r w:rsidRPr="00467DB0">
        <w:t xml:space="preserve"> for hver medlemsstat og tre </w:t>
      </w:r>
      <w:proofErr w:type="spellStart"/>
      <w:r w:rsidRPr="00467DB0">
        <w:t>repræsentanter</w:t>
      </w:r>
      <w:proofErr w:type="spellEnd"/>
      <w:r w:rsidRPr="00467DB0">
        <w:t xml:space="preserve"> for </w:t>
      </w:r>
      <w:proofErr w:type="spellStart"/>
      <w:r w:rsidRPr="00467DB0">
        <w:t>Kommissionen</w:t>
      </w:r>
      <w:proofErr w:type="spellEnd"/>
      <w:r w:rsidRPr="00467DB0">
        <w:t xml:space="preserve">, der alle har </w:t>
      </w:r>
      <w:proofErr w:type="spellStart"/>
      <w:r w:rsidRPr="00467DB0">
        <w:t>stemmeret</w:t>
      </w:r>
      <w:proofErr w:type="spellEnd"/>
      <w:r w:rsidRPr="00467DB0">
        <w:t xml:space="preserve">. Bestyrelsen omfatter også et medlem, som </w:t>
      </w:r>
      <w:proofErr w:type="spellStart"/>
      <w:r w:rsidRPr="00467DB0">
        <w:t>udpeges</w:t>
      </w:r>
      <w:proofErr w:type="spellEnd"/>
      <w:r w:rsidRPr="00467DB0">
        <w:t xml:space="preserve"> </w:t>
      </w:r>
      <w:proofErr w:type="spellStart"/>
      <w:r w:rsidRPr="00467DB0">
        <w:t>af</w:t>
      </w:r>
      <w:proofErr w:type="spellEnd"/>
      <w:r w:rsidRPr="00467DB0">
        <w:t xml:space="preserve"> Europa-Parlamentet, men </w:t>
      </w:r>
      <w:proofErr w:type="spellStart"/>
      <w:r w:rsidRPr="00467DB0">
        <w:t>uden</w:t>
      </w:r>
      <w:proofErr w:type="spellEnd"/>
      <w:r w:rsidRPr="00467DB0">
        <w:t xml:space="preserve"> </w:t>
      </w:r>
      <w:proofErr w:type="spellStart"/>
      <w:r w:rsidRPr="00467DB0">
        <w:t>stemmeret</w:t>
      </w:r>
      <w:proofErr w:type="spellEnd"/>
      <w:r w:rsidRPr="00467DB0">
        <w:t>.</w:t>
      </w:r>
    </w:p>
    <w:p w14:paraId="40F98A55" w14:textId="77777777" w:rsidR="00000000" w:rsidRPr="00467DB0" w:rsidRDefault="00693D67" w:rsidP="00467DB0">
      <w:pPr>
        <w:pStyle w:val="friliste"/>
      </w:pPr>
      <w:r w:rsidRPr="00467DB0">
        <w:t>2.</w:t>
      </w:r>
      <w:r w:rsidRPr="00467DB0">
        <w:tab/>
      </w:r>
      <w:proofErr w:type="spellStart"/>
      <w:r w:rsidRPr="00467DB0">
        <w:t>Formanden</w:t>
      </w:r>
      <w:proofErr w:type="spellEnd"/>
      <w:r w:rsidRPr="00467DB0">
        <w:t xml:space="preserve"> eller </w:t>
      </w:r>
      <w:proofErr w:type="spellStart"/>
      <w:r w:rsidRPr="00467DB0">
        <w:t>næstformanden</w:t>
      </w:r>
      <w:proofErr w:type="spellEnd"/>
      <w:r w:rsidRPr="00467DB0">
        <w:t xml:space="preserve"> for Komitéen for </w:t>
      </w:r>
      <w:proofErr w:type="spellStart"/>
      <w:r w:rsidRPr="00467DB0">
        <w:t>Sikkerhedsgodkendelse</w:t>
      </w:r>
      <w:proofErr w:type="spellEnd"/>
      <w:r w:rsidRPr="00467DB0">
        <w:t xml:space="preserve">, en </w:t>
      </w:r>
      <w:proofErr w:type="spellStart"/>
      <w:r w:rsidRPr="00467DB0">
        <w:t>re</w:t>
      </w:r>
      <w:r w:rsidRPr="00467DB0">
        <w:t>præsentant</w:t>
      </w:r>
      <w:proofErr w:type="spellEnd"/>
      <w:r w:rsidRPr="00467DB0">
        <w:t xml:space="preserve"> for Rådet, en </w:t>
      </w:r>
      <w:proofErr w:type="spellStart"/>
      <w:r w:rsidRPr="00467DB0">
        <w:t>repræsentant</w:t>
      </w:r>
      <w:proofErr w:type="spellEnd"/>
      <w:r w:rsidRPr="00467DB0">
        <w:t xml:space="preserve"> for den </w:t>
      </w:r>
      <w:proofErr w:type="spellStart"/>
      <w:r w:rsidRPr="00467DB0">
        <w:t>højtstående</w:t>
      </w:r>
      <w:proofErr w:type="spellEnd"/>
      <w:r w:rsidRPr="00467DB0">
        <w:t xml:space="preserve"> </w:t>
      </w:r>
      <w:proofErr w:type="spellStart"/>
      <w:r w:rsidRPr="00467DB0">
        <w:t>repræsentant</w:t>
      </w:r>
      <w:proofErr w:type="spellEnd"/>
      <w:r w:rsidRPr="00467DB0">
        <w:t xml:space="preserve"> og en </w:t>
      </w:r>
      <w:proofErr w:type="spellStart"/>
      <w:r w:rsidRPr="00467DB0">
        <w:t>repræsentant</w:t>
      </w:r>
      <w:proofErr w:type="spellEnd"/>
      <w:r w:rsidRPr="00467DB0">
        <w:t xml:space="preserve"> for ESA </w:t>
      </w:r>
      <w:proofErr w:type="spellStart"/>
      <w:r w:rsidRPr="00467DB0">
        <w:t>indbydes</w:t>
      </w:r>
      <w:proofErr w:type="spellEnd"/>
      <w:r w:rsidRPr="00467DB0">
        <w:t xml:space="preserve"> til at </w:t>
      </w:r>
      <w:proofErr w:type="spellStart"/>
      <w:r w:rsidRPr="00467DB0">
        <w:t>deltage</w:t>
      </w:r>
      <w:proofErr w:type="spellEnd"/>
      <w:r w:rsidRPr="00467DB0">
        <w:t xml:space="preserve"> i </w:t>
      </w:r>
      <w:proofErr w:type="spellStart"/>
      <w:r w:rsidRPr="00467DB0">
        <w:t>bestyrelsesmøderne</w:t>
      </w:r>
      <w:proofErr w:type="spellEnd"/>
      <w:r w:rsidRPr="00467DB0">
        <w:t xml:space="preserve"> som observatører i forbindelse med </w:t>
      </w:r>
      <w:proofErr w:type="spellStart"/>
      <w:r w:rsidRPr="00467DB0">
        <w:t>spørgsmål</w:t>
      </w:r>
      <w:proofErr w:type="spellEnd"/>
      <w:r w:rsidRPr="00467DB0">
        <w:t xml:space="preserve">, som vedrører dem direkte, på de betingelser, der er </w:t>
      </w:r>
      <w:proofErr w:type="spellStart"/>
      <w:r w:rsidRPr="00467DB0">
        <w:t>fastsat</w:t>
      </w:r>
      <w:proofErr w:type="spellEnd"/>
      <w:r w:rsidRPr="00467DB0">
        <w:t xml:space="preserve"> i besty</w:t>
      </w:r>
      <w:r w:rsidRPr="00467DB0">
        <w:t>relsens forretningsorden.</w:t>
      </w:r>
    </w:p>
    <w:p w14:paraId="403CC8D4" w14:textId="77777777" w:rsidR="00000000" w:rsidRPr="00467DB0" w:rsidRDefault="00693D67" w:rsidP="00467DB0">
      <w:pPr>
        <w:pStyle w:val="friliste"/>
      </w:pPr>
      <w:r w:rsidRPr="00467DB0">
        <w:t>3.</w:t>
      </w:r>
      <w:r w:rsidRPr="00467DB0">
        <w:tab/>
        <w:t xml:space="preserve">Hvert medlem </w:t>
      </w:r>
      <w:proofErr w:type="spellStart"/>
      <w:r w:rsidRPr="00467DB0">
        <w:t>af</w:t>
      </w:r>
      <w:proofErr w:type="spellEnd"/>
      <w:r w:rsidRPr="00467DB0">
        <w:t xml:space="preserve"> bestyrelsen har en suppleant. Suppleanten er medlemmets </w:t>
      </w:r>
      <w:proofErr w:type="spellStart"/>
      <w:r w:rsidRPr="00467DB0">
        <w:t>stedfortræder</w:t>
      </w:r>
      <w:proofErr w:type="spellEnd"/>
      <w:r w:rsidRPr="00467DB0">
        <w:t xml:space="preserve"> i </w:t>
      </w:r>
      <w:proofErr w:type="spellStart"/>
      <w:r w:rsidRPr="00467DB0">
        <w:t>vedkommendes</w:t>
      </w:r>
      <w:proofErr w:type="spellEnd"/>
      <w:r w:rsidRPr="00467DB0">
        <w:t xml:space="preserve"> fravær.</w:t>
      </w:r>
    </w:p>
    <w:p w14:paraId="76F140B5" w14:textId="77777777" w:rsidR="00000000" w:rsidRPr="00467DB0" w:rsidRDefault="00693D67" w:rsidP="00467DB0">
      <w:pPr>
        <w:pStyle w:val="friliste"/>
      </w:pPr>
      <w:r w:rsidRPr="00467DB0">
        <w:t>4.</w:t>
      </w:r>
      <w:r w:rsidRPr="00467DB0">
        <w:tab/>
        <w:t xml:space="preserve">Hver medlemsstat </w:t>
      </w:r>
      <w:proofErr w:type="spellStart"/>
      <w:r w:rsidRPr="00467DB0">
        <w:t>udpeger</w:t>
      </w:r>
      <w:proofErr w:type="spellEnd"/>
      <w:r w:rsidRPr="00467DB0">
        <w:t xml:space="preserve"> et medlem og en suppleant til bestyrelsen </w:t>
      </w:r>
      <w:proofErr w:type="gramStart"/>
      <w:r w:rsidRPr="00467DB0">
        <w:t>under hensyntagen</w:t>
      </w:r>
      <w:proofErr w:type="gramEnd"/>
      <w:r w:rsidRPr="00467DB0">
        <w:t xml:space="preserve"> til deres viden om agenturets </w:t>
      </w:r>
      <w:proofErr w:type="spellStart"/>
      <w:r w:rsidRPr="00467DB0">
        <w:t>opgaver</w:t>
      </w:r>
      <w:proofErr w:type="spellEnd"/>
      <w:r w:rsidRPr="00467DB0">
        <w:t xml:space="preserve"> og relevante </w:t>
      </w:r>
      <w:proofErr w:type="spellStart"/>
      <w:r w:rsidRPr="00467DB0">
        <w:t>ledelsesmæssige</w:t>
      </w:r>
      <w:proofErr w:type="spellEnd"/>
      <w:r w:rsidRPr="00467DB0">
        <w:t xml:space="preserve">, administrative og </w:t>
      </w:r>
      <w:proofErr w:type="spellStart"/>
      <w:r w:rsidRPr="00467DB0">
        <w:t>budgetmæssige</w:t>
      </w:r>
      <w:proofErr w:type="spellEnd"/>
      <w:r w:rsidRPr="00467DB0">
        <w:t xml:space="preserve"> </w:t>
      </w:r>
      <w:proofErr w:type="spellStart"/>
      <w:r w:rsidRPr="00467DB0">
        <w:t>kompetencer</w:t>
      </w:r>
      <w:proofErr w:type="spellEnd"/>
      <w:r w:rsidRPr="00467DB0">
        <w:t xml:space="preserve">. For at sikre kontinuiteten i bestyrelsens aktiviteter </w:t>
      </w:r>
      <w:proofErr w:type="spellStart"/>
      <w:r w:rsidRPr="00467DB0">
        <w:t>tilstræber</w:t>
      </w:r>
      <w:proofErr w:type="spellEnd"/>
      <w:r w:rsidRPr="00467DB0">
        <w:t xml:space="preserve"> Europa-Parlamentet, </w:t>
      </w:r>
      <w:proofErr w:type="spellStart"/>
      <w:r w:rsidRPr="00467DB0">
        <w:t>Kommissionen</w:t>
      </w:r>
      <w:proofErr w:type="spellEnd"/>
      <w:r w:rsidRPr="00467DB0">
        <w:t xml:space="preserve"> og </w:t>
      </w:r>
      <w:proofErr w:type="spellStart"/>
      <w:r w:rsidRPr="00467DB0">
        <w:t>medlemsstaterne</w:t>
      </w:r>
      <w:proofErr w:type="spellEnd"/>
      <w:r w:rsidRPr="00467DB0">
        <w:t xml:space="preserve"> at </w:t>
      </w:r>
      <w:proofErr w:type="spellStart"/>
      <w:r w:rsidRPr="00467DB0">
        <w:t>begrænse</w:t>
      </w:r>
      <w:proofErr w:type="spellEnd"/>
      <w:r w:rsidRPr="00467DB0">
        <w:t xml:space="preserve"> </w:t>
      </w:r>
      <w:proofErr w:type="spellStart"/>
      <w:r w:rsidRPr="00467DB0">
        <w:t>udskiftningen</w:t>
      </w:r>
      <w:proofErr w:type="spellEnd"/>
      <w:r w:rsidRPr="00467DB0">
        <w:t xml:space="preserve"> </w:t>
      </w:r>
      <w:proofErr w:type="spellStart"/>
      <w:r w:rsidRPr="00467DB0">
        <w:t>af</w:t>
      </w:r>
      <w:proofErr w:type="spellEnd"/>
      <w:r w:rsidRPr="00467DB0">
        <w:t xml:space="preserve"> deres </w:t>
      </w:r>
      <w:proofErr w:type="spellStart"/>
      <w:r w:rsidRPr="00467DB0">
        <w:t>repræsentanter</w:t>
      </w:r>
      <w:proofErr w:type="spellEnd"/>
      <w:r w:rsidRPr="00467DB0">
        <w:t xml:space="preserve"> i best</w:t>
      </w:r>
      <w:r w:rsidRPr="00467DB0">
        <w:t xml:space="preserve">yrelsen. Alle parter </w:t>
      </w:r>
      <w:proofErr w:type="spellStart"/>
      <w:r w:rsidRPr="00467DB0">
        <w:t>tilstræber</w:t>
      </w:r>
      <w:proofErr w:type="spellEnd"/>
      <w:r w:rsidRPr="00467DB0">
        <w:t xml:space="preserve"> at </w:t>
      </w:r>
      <w:proofErr w:type="spellStart"/>
      <w:r w:rsidRPr="00467DB0">
        <w:t>opnå</w:t>
      </w:r>
      <w:proofErr w:type="spellEnd"/>
      <w:r w:rsidRPr="00467DB0">
        <w:t xml:space="preserve"> en </w:t>
      </w:r>
      <w:proofErr w:type="spellStart"/>
      <w:r w:rsidRPr="00467DB0">
        <w:t>ligelig</w:t>
      </w:r>
      <w:proofErr w:type="spellEnd"/>
      <w:r w:rsidRPr="00467DB0">
        <w:t xml:space="preserve"> </w:t>
      </w:r>
      <w:proofErr w:type="spellStart"/>
      <w:r w:rsidRPr="00467DB0">
        <w:t>repræsentation</w:t>
      </w:r>
      <w:proofErr w:type="spellEnd"/>
      <w:r w:rsidRPr="00467DB0">
        <w:t xml:space="preserve"> </w:t>
      </w:r>
      <w:proofErr w:type="spellStart"/>
      <w:r w:rsidRPr="00467DB0">
        <w:t>af</w:t>
      </w:r>
      <w:proofErr w:type="spellEnd"/>
      <w:r w:rsidRPr="00467DB0">
        <w:t xml:space="preserve"> </w:t>
      </w:r>
      <w:proofErr w:type="spellStart"/>
      <w:r w:rsidRPr="00467DB0">
        <w:t>mænd</w:t>
      </w:r>
      <w:proofErr w:type="spellEnd"/>
      <w:r w:rsidRPr="00467DB0">
        <w:t xml:space="preserve"> og </w:t>
      </w:r>
      <w:proofErr w:type="spellStart"/>
      <w:r w:rsidRPr="00467DB0">
        <w:t>kvinder</w:t>
      </w:r>
      <w:proofErr w:type="spellEnd"/>
      <w:r w:rsidRPr="00467DB0">
        <w:t xml:space="preserve"> i bestyrelsen.</w:t>
      </w:r>
    </w:p>
    <w:p w14:paraId="204C5BD6" w14:textId="77777777" w:rsidR="00000000" w:rsidRPr="00467DB0" w:rsidRDefault="00693D67" w:rsidP="00467DB0">
      <w:pPr>
        <w:pStyle w:val="friliste"/>
      </w:pPr>
      <w:r w:rsidRPr="00467DB0">
        <w:t>5.</w:t>
      </w:r>
      <w:r w:rsidRPr="00467DB0">
        <w:tab/>
      </w:r>
      <w:proofErr w:type="spellStart"/>
      <w:r w:rsidRPr="00467DB0">
        <w:t>Bestyrelsesmedlemmernes</w:t>
      </w:r>
      <w:proofErr w:type="spellEnd"/>
      <w:r w:rsidRPr="00467DB0">
        <w:t xml:space="preserve"> og deres suppleanters mandatperiode er fire år og kan fornyes.</w:t>
      </w:r>
    </w:p>
    <w:p w14:paraId="2C6BF2CA" w14:textId="77777777" w:rsidR="00000000" w:rsidRPr="00467DB0" w:rsidRDefault="00693D67" w:rsidP="00467DB0">
      <w:pPr>
        <w:pStyle w:val="friliste"/>
      </w:pPr>
      <w:r w:rsidRPr="00467DB0">
        <w:t>6.</w:t>
      </w:r>
      <w:r w:rsidRPr="00467DB0">
        <w:tab/>
        <w:t xml:space="preserve">Deltagelse </w:t>
      </w:r>
      <w:proofErr w:type="spellStart"/>
      <w:r w:rsidRPr="00467DB0">
        <w:t>af</w:t>
      </w:r>
      <w:proofErr w:type="spellEnd"/>
      <w:r w:rsidRPr="00467DB0">
        <w:t xml:space="preserve"> </w:t>
      </w:r>
      <w:proofErr w:type="spellStart"/>
      <w:r w:rsidRPr="00467DB0">
        <w:t>repræsentanter</w:t>
      </w:r>
      <w:proofErr w:type="spellEnd"/>
      <w:r w:rsidRPr="00467DB0">
        <w:t xml:space="preserve"> for </w:t>
      </w:r>
      <w:proofErr w:type="spellStart"/>
      <w:r w:rsidRPr="00467DB0">
        <w:t>tredjelande</w:t>
      </w:r>
      <w:proofErr w:type="spellEnd"/>
      <w:r w:rsidRPr="00467DB0">
        <w:t xml:space="preserve"> eller </w:t>
      </w:r>
      <w:proofErr w:type="spellStart"/>
      <w:r w:rsidRPr="00467DB0">
        <w:t>internationa</w:t>
      </w:r>
      <w:r w:rsidRPr="00467DB0">
        <w:t>le</w:t>
      </w:r>
      <w:proofErr w:type="spellEnd"/>
      <w:r w:rsidRPr="00467DB0">
        <w:t xml:space="preserve"> </w:t>
      </w:r>
      <w:proofErr w:type="spellStart"/>
      <w:r w:rsidRPr="00467DB0">
        <w:t>organisationer</w:t>
      </w:r>
      <w:proofErr w:type="spellEnd"/>
      <w:r w:rsidRPr="00467DB0">
        <w:t xml:space="preserve"> og </w:t>
      </w:r>
      <w:proofErr w:type="spellStart"/>
      <w:r w:rsidRPr="00467DB0">
        <w:t>betingelserne</w:t>
      </w:r>
      <w:proofErr w:type="spellEnd"/>
      <w:r w:rsidRPr="00467DB0">
        <w:t xml:space="preserve"> for sådan deltagelse </w:t>
      </w:r>
      <w:proofErr w:type="spellStart"/>
      <w:r w:rsidRPr="00467DB0">
        <w:t>fastsættes</w:t>
      </w:r>
      <w:proofErr w:type="spellEnd"/>
      <w:r w:rsidRPr="00467DB0">
        <w:t xml:space="preserve">, hvor det er relevant, i forbindelse med de i </w:t>
      </w:r>
      <w:proofErr w:type="spellStart"/>
      <w:r w:rsidRPr="00467DB0">
        <w:t>artikel</w:t>
      </w:r>
      <w:proofErr w:type="spellEnd"/>
      <w:r w:rsidRPr="00467DB0">
        <w:t xml:space="preserve"> 98 omhandlede </w:t>
      </w:r>
      <w:proofErr w:type="spellStart"/>
      <w:r w:rsidRPr="00467DB0">
        <w:t>aftaler</w:t>
      </w:r>
      <w:proofErr w:type="spellEnd"/>
      <w:r w:rsidRPr="00467DB0">
        <w:t xml:space="preserve"> og skal være i overensstemmelse med bestyrelsens forretningsorden. Sådanne </w:t>
      </w:r>
      <w:proofErr w:type="spellStart"/>
      <w:r w:rsidRPr="00467DB0">
        <w:t>repræsentanter</w:t>
      </w:r>
      <w:proofErr w:type="spellEnd"/>
      <w:r w:rsidRPr="00467DB0">
        <w:t xml:space="preserve"> har ikke </w:t>
      </w:r>
      <w:proofErr w:type="spellStart"/>
      <w:r w:rsidRPr="00467DB0">
        <w:t>stemmeret</w:t>
      </w:r>
      <w:proofErr w:type="spellEnd"/>
      <w:r w:rsidRPr="00467DB0">
        <w:t>.</w:t>
      </w:r>
    </w:p>
    <w:p w14:paraId="444E0540" w14:textId="77777777" w:rsidR="00000000" w:rsidRPr="00467DB0" w:rsidRDefault="00693D67" w:rsidP="00467DB0">
      <w:pPr>
        <w:pStyle w:val="avsnitt-undertittel"/>
      </w:pPr>
      <w:proofErr w:type="spellStart"/>
      <w:r w:rsidRPr="00467DB0">
        <w:lastRenderedPageBreak/>
        <w:t>Art</w:t>
      </w:r>
      <w:r w:rsidRPr="00467DB0">
        <w:t>ikel</w:t>
      </w:r>
      <w:proofErr w:type="spellEnd"/>
      <w:r w:rsidRPr="00467DB0">
        <w:t xml:space="preserve"> 74</w:t>
      </w:r>
    </w:p>
    <w:p w14:paraId="002C483D" w14:textId="77777777" w:rsidR="00000000" w:rsidRPr="00467DB0" w:rsidRDefault="00693D67" w:rsidP="00467DB0">
      <w:pPr>
        <w:pStyle w:val="Undertittel"/>
      </w:pPr>
      <w:r w:rsidRPr="00467DB0">
        <w:t xml:space="preserve">Bestyrelsens </w:t>
      </w:r>
      <w:proofErr w:type="spellStart"/>
      <w:r w:rsidRPr="00467DB0">
        <w:t>formandskab</w:t>
      </w:r>
      <w:proofErr w:type="spellEnd"/>
    </w:p>
    <w:p w14:paraId="3DDBF36C" w14:textId="77777777" w:rsidR="00000000" w:rsidRPr="00467DB0" w:rsidRDefault="00693D67" w:rsidP="00467DB0">
      <w:pPr>
        <w:pStyle w:val="friliste"/>
      </w:pPr>
      <w:r w:rsidRPr="00467DB0">
        <w:t>1.</w:t>
      </w:r>
      <w:r w:rsidRPr="00467DB0">
        <w:tab/>
        <w:t xml:space="preserve">Bestyrelsen </w:t>
      </w:r>
      <w:proofErr w:type="spellStart"/>
      <w:r w:rsidRPr="00467DB0">
        <w:t>vælger</w:t>
      </w:r>
      <w:proofErr w:type="spellEnd"/>
      <w:r w:rsidRPr="00467DB0">
        <w:t xml:space="preserve"> </w:t>
      </w:r>
      <w:proofErr w:type="spellStart"/>
      <w:r w:rsidRPr="00467DB0">
        <w:t>blandt</w:t>
      </w:r>
      <w:proofErr w:type="spellEnd"/>
      <w:r w:rsidRPr="00467DB0">
        <w:t xml:space="preserve"> sine stemmeberettigede medlemmer en </w:t>
      </w:r>
      <w:proofErr w:type="spellStart"/>
      <w:r w:rsidRPr="00467DB0">
        <w:t>formand</w:t>
      </w:r>
      <w:proofErr w:type="spellEnd"/>
      <w:r w:rsidRPr="00467DB0">
        <w:t xml:space="preserve"> og en </w:t>
      </w:r>
      <w:proofErr w:type="spellStart"/>
      <w:r w:rsidRPr="00467DB0">
        <w:t>næstformand</w:t>
      </w:r>
      <w:proofErr w:type="spellEnd"/>
      <w:r w:rsidRPr="00467DB0">
        <w:t xml:space="preserve">. </w:t>
      </w:r>
      <w:proofErr w:type="spellStart"/>
      <w:r w:rsidRPr="00467DB0">
        <w:t>Næstformanden</w:t>
      </w:r>
      <w:proofErr w:type="spellEnd"/>
      <w:r w:rsidRPr="00467DB0">
        <w:t xml:space="preserve"> </w:t>
      </w:r>
      <w:proofErr w:type="spellStart"/>
      <w:r w:rsidRPr="00467DB0">
        <w:t>afløser</w:t>
      </w:r>
      <w:proofErr w:type="spellEnd"/>
      <w:r w:rsidRPr="00467DB0">
        <w:t xml:space="preserve"> automatisk </w:t>
      </w:r>
      <w:proofErr w:type="spellStart"/>
      <w:r w:rsidRPr="00467DB0">
        <w:t>formanden</w:t>
      </w:r>
      <w:proofErr w:type="spellEnd"/>
      <w:r w:rsidRPr="00467DB0">
        <w:t xml:space="preserve">, når denne er forhindret i at </w:t>
      </w:r>
      <w:proofErr w:type="spellStart"/>
      <w:r w:rsidRPr="00467DB0">
        <w:t>udføre</w:t>
      </w:r>
      <w:proofErr w:type="spellEnd"/>
      <w:r w:rsidRPr="00467DB0">
        <w:t xml:space="preserve"> </w:t>
      </w:r>
      <w:proofErr w:type="spellStart"/>
      <w:r w:rsidRPr="00467DB0">
        <w:t>sit</w:t>
      </w:r>
      <w:proofErr w:type="spellEnd"/>
      <w:r w:rsidRPr="00467DB0">
        <w:t xml:space="preserve"> </w:t>
      </w:r>
      <w:proofErr w:type="spellStart"/>
      <w:r w:rsidRPr="00467DB0">
        <w:t>hverv</w:t>
      </w:r>
      <w:proofErr w:type="spellEnd"/>
      <w:r w:rsidRPr="00467DB0">
        <w:t>.</w:t>
      </w:r>
    </w:p>
    <w:p w14:paraId="3A1656F8" w14:textId="77777777" w:rsidR="00000000" w:rsidRPr="00467DB0" w:rsidRDefault="00693D67" w:rsidP="00467DB0">
      <w:pPr>
        <w:pStyle w:val="friliste"/>
      </w:pPr>
      <w:r w:rsidRPr="00467DB0">
        <w:t>2.</w:t>
      </w:r>
      <w:r w:rsidRPr="00467DB0">
        <w:tab/>
        <w:t xml:space="preserve">Mandatperioden for </w:t>
      </w:r>
      <w:proofErr w:type="spellStart"/>
      <w:r w:rsidRPr="00467DB0">
        <w:t>formanden</w:t>
      </w:r>
      <w:proofErr w:type="spellEnd"/>
      <w:r w:rsidRPr="00467DB0">
        <w:t xml:space="preserve"> og </w:t>
      </w:r>
      <w:proofErr w:type="spellStart"/>
      <w:r w:rsidRPr="00467DB0">
        <w:t>næstf</w:t>
      </w:r>
      <w:r w:rsidRPr="00467DB0">
        <w:t>ormanden</w:t>
      </w:r>
      <w:proofErr w:type="spellEnd"/>
      <w:r w:rsidRPr="00467DB0">
        <w:t xml:space="preserve"> er to år, og mandatet kan fornyes én gang. </w:t>
      </w:r>
      <w:proofErr w:type="gramStart"/>
      <w:r w:rsidRPr="00467DB0">
        <w:t>Hver mandatperioden</w:t>
      </w:r>
      <w:proofErr w:type="gramEnd"/>
      <w:r w:rsidRPr="00467DB0">
        <w:t xml:space="preserve"> </w:t>
      </w:r>
      <w:proofErr w:type="spellStart"/>
      <w:r w:rsidRPr="00467DB0">
        <w:t>ophører</w:t>
      </w:r>
      <w:proofErr w:type="spellEnd"/>
      <w:r w:rsidRPr="00467DB0">
        <w:t xml:space="preserve">, hvis den </w:t>
      </w:r>
      <w:proofErr w:type="spellStart"/>
      <w:r w:rsidRPr="00467DB0">
        <w:t>pågældende</w:t>
      </w:r>
      <w:proofErr w:type="spellEnd"/>
      <w:r w:rsidRPr="00467DB0">
        <w:t xml:space="preserve"> person ikke </w:t>
      </w:r>
      <w:proofErr w:type="spellStart"/>
      <w:r w:rsidRPr="00467DB0">
        <w:t>længere</w:t>
      </w:r>
      <w:proofErr w:type="spellEnd"/>
      <w:r w:rsidRPr="00467DB0">
        <w:t xml:space="preserve"> er medlem </w:t>
      </w:r>
      <w:proofErr w:type="spellStart"/>
      <w:r w:rsidRPr="00467DB0">
        <w:t>af</w:t>
      </w:r>
      <w:proofErr w:type="spellEnd"/>
      <w:r w:rsidRPr="00467DB0">
        <w:t xml:space="preserve"> bestyrelsen.</w:t>
      </w:r>
    </w:p>
    <w:p w14:paraId="06133D11" w14:textId="77777777" w:rsidR="00000000" w:rsidRPr="00467DB0" w:rsidRDefault="00693D67" w:rsidP="00467DB0">
      <w:pPr>
        <w:pStyle w:val="friliste"/>
      </w:pPr>
      <w:r w:rsidRPr="00467DB0">
        <w:t>3.</w:t>
      </w:r>
      <w:r w:rsidRPr="00467DB0">
        <w:tab/>
        <w:t xml:space="preserve">Bestyrelsen har </w:t>
      </w:r>
      <w:proofErr w:type="spellStart"/>
      <w:r w:rsidRPr="00467DB0">
        <w:t>beføjelse</w:t>
      </w:r>
      <w:proofErr w:type="spellEnd"/>
      <w:r w:rsidRPr="00467DB0">
        <w:t xml:space="preserve"> til at </w:t>
      </w:r>
      <w:proofErr w:type="spellStart"/>
      <w:r w:rsidRPr="00467DB0">
        <w:t>afsætte</w:t>
      </w:r>
      <w:proofErr w:type="spellEnd"/>
      <w:r w:rsidRPr="00467DB0">
        <w:t xml:space="preserve"> </w:t>
      </w:r>
      <w:proofErr w:type="spellStart"/>
      <w:r w:rsidRPr="00467DB0">
        <w:t>formanden</w:t>
      </w:r>
      <w:proofErr w:type="spellEnd"/>
      <w:r w:rsidRPr="00467DB0">
        <w:t xml:space="preserve">, </w:t>
      </w:r>
      <w:proofErr w:type="spellStart"/>
      <w:r w:rsidRPr="00467DB0">
        <w:t>næstformanden</w:t>
      </w:r>
      <w:proofErr w:type="spellEnd"/>
      <w:r w:rsidRPr="00467DB0">
        <w:t xml:space="preserve"> eller dem begge.</w:t>
      </w:r>
    </w:p>
    <w:p w14:paraId="2B1A67E7" w14:textId="77777777" w:rsidR="00000000" w:rsidRPr="00467DB0" w:rsidRDefault="00693D67" w:rsidP="00467DB0">
      <w:pPr>
        <w:pStyle w:val="avsnitt-undertittel"/>
      </w:pPr>
      <w:proofErr w:type="spellStart"/>
      <w:r w:rsidRPr="00467DB0">
        <w:t>Artikel</w:t>
      </w:r>
      <w:proofErr w:type="spellEnd"/>
      <w:r w:rsidRPr="00467DB0">
        <w:t xml:space="preserve"> 75</w:t>
      </w:r>
    </w:p>
    <w:p w14:paraId="2F10E1A2" w14:textId="77777777" w:rsidR="00000000" w:rsidRPr="00467DB0" w:rsidRDefault="00693D67" w:rsidP="00467DB0">
      <w:pPr>
        <w:pStyle w:val="Undertittel"/>
      </w:pPr>
      <w:r w:rsidRPr="00467DB0">
        <w:t>Bestyrelsens</w:t>
      </w:r>
      <w:r w:rsidRPr="00467DB0">
        <w:t xml:space="preserve"> møder</w:t>
      </w:r>
    </w:p>
    <w:p w14:paraId="35ACE017" w14:textId="77777777" w:rsidR="00000000" w:rsidRPr="00467DB0" w:rsidRDefault="00693D67" w:rsidP="00467DB0">
      <w:pPr>
        <w:pStyle w:val="friliste"/>
      </w:pPr>
      <w:r w:rsidRPr="00467DB0">
        <w:t>1.</w:t>
      </w:r>
      <w:r w:rsidRPr="00467DB0">
        <w:tab/>
        <w:t xml:space="preserve">Det påhviler bestyrelsens </w:t>
      </w:r>
      <w:proofErr w:type="spellStart"/>
      <w:r w:rsidRPr="00467DB0">
        <w:t>formand</w:t>
      </w:r>
      <w:proofErr w:type="spellEnd"/>
      <w:r w:rsidRPr="00467DB0">
        <w:t xml:space="preserve"> at </w:t>
      </w:r>
      <w:proofErr w:type="spellStart"/>
      <w:r w:rsidRPr="00467DB0">
        <w:t>indkalde</w:t>
      </w:r>
      <w:proofErr w:type="spellEnd"/>
      <w:r w:rsidRPr="00467DB0">
        <w:t xml:space="preserve"> til bestyrelsesmøder.</w:t>
      </w:r>
    </w:p>
    <w:p w14:paraId="441D9CD6" w14:textId="77777777" w:rsidR="00000000" w:rsidRPr="00467DB0" w:rsidRDefault="00693D67" w:rsidP="00467DB0">
      <w:pPr>
        <w:pStyle w:val="friliste"/>
      </w:pPr>
      <w:r w:rsidRPr="00467DB0">
        <w:t>2.</w:t>
      </w:r>
      <w:r w:rsidRPr="00467DB0">
        <w:tab/>
        <w:t xml:space="preserve">Den administrerende direktør deltager i </w:t>
      </w:r>
      <w:proofErr w:type="spellStart"/>
      <w:r w:rsidRPr="00467DB0">
        <w:t>drøftelserne</w:t>
      </w:r>
      <w:proofErr w:type="spellEnd"/>
      <w:r w:rsidRPr="00467DB0">
        <w:t xml:space="preserve">, </w:t>
      </w:r>
      <w:proofErr w:type="gramStart"/>
      <w:r w:rsidRPr="00467DB0">
        <w:t>medmindre</w:t>
      </w:r>
      <w:proofErr w:type="gramEnd"/>
      <w:r w:rsidRPr="00467DB0">
        <w:t xml:space="preserve"> </w:t>
      </w:r>
      <w:proofErr w:type="spellStart"/>
      <w:r w:rsidRPr="00467DB0">
        <w:t>formanden</w:t>
      </w:r>
      <w:proofErr w:type="spellEnd"/>
      <w:r w:rsidRPr="00467DB0">
        <w:t xml:space="preserve"> bestemmer andet. Den administrerende direktør har ikke </w:t>
      </w:r>
      <w:proofErr w:type="spellStart"/>
      <w:r w:rsidRPr="00467DB0">
        <w:t>stemmeret</w:t>
      </w:r>
      <w:proofErr w:type="spellEnd"/>
      <w:r w:rsidRPr="00467DB0">
        <w:t>.</w:t>
      </w:r>
    </w:p>
    <w:p w14:paraId="3F168659" w14:textId="77777777" w:rsidR="00000000" w:rsidRPr="00467DB0" w:rsidRDefault="00693D67" w:rsidP="00467DB0">
      <w:pPr>
        <w:pStyle w:val="friliste"/>
      </w:pPr>
      <w:r w:rsidRPr="00467DB0">
        <w:t>3.</w:t>
      </w:r>
      <w:r w:rsidRPr="00467DB0">
        <w:tab/>
        <w:t xml:space="preserve">Bestyrelsen </w:t>
      </w:r>
      <w:proofErr w:type="spellStart"/>
      <w:r w:rsidRPr="00467DB0">
        <w:t>afholder</w:t>
      </w:r>
      <w:proofErr w:type="spellEnd"/>
      <w:r w:rsidRPr="00467DB0">
        <w:t xml:space="preserve"> </w:t>
      </w:r>
      <w:proofErr w:type="spellStart"/>
      <w:r w:rsidRPr="00467DB0">
        <w:t>regelmæssig</w:t>
      </w:r>
      <w:r w:rsidRPr="00467DB0">
        <w:t>t</w:t>
      </w:r>
      <w:proofErr w:type="spellEnd"/>
      <w:r w:rsidRPr="00467DB0">
        <w:t xml:space="preserve"> ordinære bestyrelsesmøder, dog </w:t>
      </w:r>
      <w:proofErr w:type="spellStart"/>
      <w:r w:rsidRPr="00467DB0">
        <w:t>mindst</w:t>
      </w:r>
      <w:proofErr w:type="spellEnd"/>
      <w:r w:rsidRPr="00467DB0">
        <w:t xml:space="preserve"> to gange om året. Bestyrelsen mødes </w:t>
      </w:r>
      <w:proofErr w:type="spellStart"/>
      <w:r w:rsidRPr="00467DB0">
        <w:t>desuden</w:t>
      </w:r>
      <w:proofErr w:type="spellEnd"/>
      <w:r w:rsidRPr="00467DB0">
        <w:t xml:space="preserve"> på initiativ </w:t>
      </w:r>
      <w:proofErr w:type="spellStart"/>
      <w:r w:rsidRPr="00467DB0">
        <w:t>af</w:t>
      </w:r>
      <w:proofErr w:type="spellEnd"/>
      <w:r w:rsidRPr="00467DB0">
        <w:t xml:space="preserve"> bestyrelsesformanden eller på anmodning </w:t>
      </w:r>
      <w:proofErr w:type="spellStart"/>
      <w:r w:rsidRPr="00467DB0">
        <w:t>af</w:t>
      </w:r>
      <w:proofErr w:type="spellEnd"/>
      <w:r w:rsidRPr="00467DB0">
        <w:t xml:space="preserve"> </w:t>
      </w:r>
      <w:proofErr w:type="spellStart"/>
      <w:r w:rsidRPr="00467DB0">
        <w:t>mindst</w:t>
      </w:r>
      <w:proofErr w:type="spellEnd"/>
      <w:r w:rsidRPr="00467DB0">
        <w:t xml:space="preserve"> en tredjedel </w:t>
      </w:r>
      <w:proofErr w:type="spellStart"/>
      <w:r w:rsidRPr="00467DB0">
        <w:t>af</w:t>
      </w:r>
      <w:proofErr w:type="spellEnd"/>
      <w:r w:rsidRPr="00467DB0">
        <w:t xml:space="preserve"> </w:t>
      </w:r>
      <w:proofErr w:type="spellStart"/>
      <w:r w:rsidRPr="00467DB0">
        <w:t>bestyrelsesmedlemmerne</w:t>
      </w:r>
      <w:proofErr w:type="spellEnd"/>
      <w:r w:rsidRPr="00467DB0">
        <w:t>.</w:t>
      </w:r>
    </w:p>
    <w:p w14:paraId="5E2CDE8B" w14:textId="77777777" w:rsidR="00000000" w:rsidRPr="00467DB0" w:rsidRDefault="00693D67" w:rsidP="00467DB0">
      <w:pPr>
        <w:pStyle w:val="friliste"/>
      </w:pPr>
      <w:r w:rsidRPr="00467DB0">
        <w:t>4.</w:t>
      </w:r>
      <w:r w:rsidRPr="00467DB0">
        <w:tab/>
        <w:t xml:space="preserve">Bestyrelsen kan </w:t>
      </w:r>
      <w:proofErr w:type="spellStart"/>
      <w:r w:rsidRPr="00467DB0">
        <w:t>indbyde</w:t>
      </w:r>
      <w:proofErr w:type="spellEnd"/>
      <w:r w:rsidRPr="00467DB0">
        <w:t xml:space="preserve"> enhver, hvis synspunkt kan være </w:t>
      </w:r>
      <w:proofErr w:type="spellStart"/>
      <w:r w:rsidRPr="00467DB0">
        <w:t>af</w:t>
      </w:r>
      <w:proofErr w:type="spellEnd"/>
      <w:r w:rsidRPr="00467DB0">
        <w:t xml:space="preserve"> inte</w:t>
      </w:r>
      <w:r w:rsidRPr="00467DB0">
        <w:t xml:space="preserve">resse, til at </w:t>
      </w:r>
      <w:proofErr w:type="spellStart"/>
      <w:r w:rsidRPr="00467DB0">
        <w:t>deltage</w:t>
      </w:r>
      <w:proofErr w:type="spellEnd"/>
      <w:r w:rsidRPr="00467DB0">
        <w:t xml:space="preserve"> i dens møder som observatør. </w:t>
      </w:r>
      <w:proofErr w:type="spellStart"/>
      <w:r w:rsidRPr="00467DB0">
        <w:t>Bestyrelsesmedlemmerne</w:t>
      </w:r>
      <w:proofErr w:type="spellEnd"/>
      <w:r w:rsidRPr="00467DB0">
        <w:t xml:space="preserve"> kan, </w:t>
      </w:r>
      <w:proofErr w:type="gramStart"/>
      <w:r w:rsidRPr="00467DB0">
        <w:t>såfremt</w:t>
      </w:r>
      <w:proofErr w:type="gramEnd"/>
      <w:r w:rsidRPr="00467DB0">
        <w:t xml:space="preserve"> forretningsordenen </w:t>
      </w:r>
      <w:proofErr w:type="spellStart"/>
      <w:r w:rsidRPr="00467DB0">
        <w:t>tillader</w:t>
      </w:r>
      <w:proofErr w:type="spellEnd"/>
      <w:r w:rsidRPr="00467DB0">
        <w:t xml:space="preserve"> det, bistås </w:t>
      </w:r>
      <w:proofErr w:type="spellStart"/>
      <w:r w:rsidRPr="00467DB0">
        <w:t>af</w:t>
      </w:r>
      <w:proofErr w:type="spellEnd"/>
      <w:r w:rsidRPr="00467DB0">
        <w:t xml:space="preserve"> rådgivere og eksperter.</w:t>
      </w:r>
    </w:p>
    <w:p w14:paraId="7A626F02" w14:textId="77777777" w:rsidR="00000000" w:rsidRPr="00467DB0" w:rsidRDefault="00693D67" w:rsidP="00467DB0">
      <w:pPr>
        <w:pStyle w:val="friliste"/>
      </w:pPr>
      <w:r w:rsidRPr="00467DB0">
        <w:t>5.</w:t>
      </w:r>
      <w:r w:rsidRPr="00467DB0">
        <w:tab/>
        <w:t xml:space="preserve">Når drøftelser vedrører </w:t>
      </w:r>
      <w:proofErr w:type="gramStart"/>
      <w:r w:rsidRPr="00467DB0">
        <w:t>anvendelse</w:t>
      </w:r>
      <w:proofErr w:type="gramEnd"/>
      <w:r w:rsidRPr="00467DB0">
        <w:t xml:space="preserve"> </w:t>
      </w:r>
      <w:proofErr w:type="spellStart"/>
      <w:r w:rsidRPr="00467DB0">
        <w:t>af</w:t>
      </w:r>
      <w:proofErr w:type="spellEnd"/>
      <w:r w:rsidRPr="00467DB0">
        <w:t xml:space="preserve"> følsom </w:t>
      </w:r>
      <w:proofErr w:type="spellStart"/>
      <w:r w:rsidRPr="00467DB0">
        <w:t>national</w:t>
      </w:r>
      <w:proofErr w:type="spellEnd"/>
      <w:r w:rsidRPr="00467DB0">
        <w:t xml:space="preserve"> infrastruktur, kan </w:t>
      </w:r>
      <w:proofErr w:type="spellStart"/>
      <w:r w:rsidRPr="00467DB0">
        <w:t>medlemsstaternes</w:t>
      </w:r>
      <w:proofErr w:type="spellEnd"/>
      <w:r w:rsidRPr="00467DB0">
        <w:t xml:space="preserve"> </w:t>
      </w:r>
      <w:proofErr w:type="spellStart"/>
      <w:r w:rsidRPr="00467DB0">
        <w:t>repræsent</w:t>
      </w:r>
      <w:r w:rsidRPr="00467DB0">
        <w:t>anter</w:t>
      </w:r>
      <w:proofErr w:type="spellEnd"/>
      <w:r w:rsidRPr="00467DB0">
        <w:t xml:space="preserve"> og </w:t>
      </w:r>
      <w:proofErr w:type="spellStart"/>
      <w:r w:rsidRPr="00467DB0">
        <w:t>Kommissionens</w:t>
      </w:r>
      <w:proofErr w:type="spellEnd"/>
      <w:r w:rsidRPr="00467DB0">
        <w:t xml:space="preserve"> </w:t>
      </w:r>
      <w:proofErr w:type="spellStart"/>
      <w:r w:rsidRPr="00467DB0">
        <w:t>repræsentanter</w:t>
      </w:r>
      <w:proofErr w:type="spellEnd"/>
      <w:r w:rsidRPr="00467DB0">
        <w:t xml:space="preserve"> </w:t>
      </w:r>
      <w:proofErr w:type="spellStart"/>
      <w:r w:rsidRPr="00467DB0">
        <w:t>deltage</w:t>
      </w:r>
      <w:proofErr w:type="spellEnd"/>
      <w:r w:rsidRPr="00467DB0">
        <w:t xml:space="preserve"> i møder og drøftelser i bestyrelsen på "</w:t>
      </w:r>
      <w:proofErr w:type="spellStart"/>
      <w:r w:rsidRPr="00467DB0">
        <w:t>need</w:t>
      </w:r>
      <w:proofErr w:type="spellEnd"/>
      <w:r w:rsidRPr="00467DB0">
        <w:t xml:space="preserve"> to </w:t>
      </w:r>
      <w:proofErr w:type="spellStart"/>
      <w:r w:rsidRPr="00467DB0">
        <w:t>know</w:t>
      </w:r>
      <w:proofErr w:type="spellEnd"/>
      <w:r w:rsidRPr="00467DB0">
        <w:t xml:space="preserve">"-basis. Kun </w:t>
      </w:r>
      <w:proofErr w:type="spellStart"/>
      <w:r w:rsidRPr="00467DB0">
        <w:t>repræsentanterne</w:t>
      </w:r>
      <w:proofErr w:type="spellEnd"/>
      <w:r w:rsidRPr="00467DB0">
        <w:t xml:space="preserve"> for de medlemsstater, der råder over sådan infrastruktur, og en </w:t>
      </w:r>
      <w:proofErr w:type="spellStart"/>
      <w:r w:rsidRPr="00467DB0">
        <w:t>repræsentant</w:t>
      </w:r>
      <w:proofErr w:type="spellEnd"/>
      <w:r w:rsidRPr="00467DB0">
        <w:t xml:space="preserve"> for </w:t>
      </w:r>
      <w:proofErr w:type="spellStart"/>
      <w:r w:rsidRPr="00467DB0">
        <w:t>Kommissionen</w:t>
      </w:r>
      <w:proofErr w:type="spellEnd"/>
      <w:r w:rsidRPr="00467DB0">
        <w:t xml:space="preserve"> deltager dog i </w:t>
      </w:r>
      <w:proofErr w:type="spellStart"/>
      <w:r w:rsidRPr="00467DB0">
        <w:t>afstemningen</w:t>
      </w:r>
      <w:proofErr w:type="spellEnd"/>
      <w:r w:rsidRPr="00467DB0">
        <w:t xml:space="preserve">. Hvis </w:t>
      </w:r>
      <w:proofErr w:type="spellStart"/>
      <w:r w:rsidRPr="00467DB0">
        <w:t>formanden</w:t>
      </w:r>
      <w:proofErr w:type="spellEnd"/>
      <w:r w:rsidRPr="00467DB0">
        <w:t xml:space="preserve"> for bestyrelsen ikke </w:t>
      </w:r>
      <w:proofErr w:type="spellStart"/>
      <w:r w:rsidRPr="00467DB0">
        <w:t>repræsenterer</w:t>
      </w:r>
      <w:proofErr w:type="spellEnd"/>
      <w:r w:rsidRPr="00467DB0">
        <w:t xml:space="preserve"> en </w:t>
      </w:r>
      <w:proofErr w:type="spellStart"/>
      <w:r w:rsidRPr="00467DB0">
        <w:t>af</w:t>
      </w:r>
      <w:proofErr w:type="spellEnd"/>
      <w:r w:rsidRPr="00467DB0">
        <w:t xml:space="preserve"> de medlemsstater, der råder over en sådan infrastruktur, skal vedkommende erstattes </w:t>
      </w:r>
      <w:proofErr w:type="spellStart"/>
      <w:r w:rsidRPr="00467DB0">
        <w:t>af</w:t>
      </w:r>
      <w:proofErr w:type="spellEnd"/>
      <w:r w:rsidRPr="00467DB0">
        <w:t xml:space="preserve"> </w:t>
      </w:r>
      <w:proofErr w:type="spellStart"/>
      <w:r w:rsidRPr="00467DB0">
        <w:t>repræsentanterne</w:t>
      </w:r>
      <w:proofErr w:type="spellEnd"/>
      <w:r w:rsidRPr="00467DB0">
        <w:t xml:space="preserve"> for de medlemsstater, der råder over en sådan infrastruktur. Bestyrelsens forretningsorden skal </w:t>
      </w:r>
      <w:proofErr w:type="spellStart"/>
      <w:r w:rsidRPr="00467DB0">
        <w:t>angiv</w:t>
      </w:r>
      <w:r w:rsidRPr="00467DB0">
        <w:t>e</w:t>
      </w:r>
      <w:proofErr w:type="spellEnd"/>
      <w:r w:rsidRPr="00467DB0">
        <w:t xml:space="preserve"> de </w:t>
      </w:r>
      <w:proofErr w:type="spellStart"/>
      <w:r w:rsidRPr="00467DB0">
        <w:t>situationer</w:t>
      </w:r>
      <w:proofErr w:type="spellEnd"/>
      <w:r w:rsidRPr="00467DB0">
        <w:t xml:space="preserve">, hvor denne </w:t>
      </w:r>
      <w:proofErr w:type="spellStart"/>
      <w:r w:rsidRPr="00467DB0">
        <w:t>procedure</w:t>
      </w:r>
      <w:proofErr w:type="spellEnd"/>
      <w:r w:rsidRPr="00467DB0">
        <w:t xml:space="preserve"> kan </w:t>
      </w:r>
      <w:proofErr w:type="spellStart"/>
      <w:r w:rsidRPr="00467DB0">
        <w:t>finde</w:t>
      </w:r>
      <w:proofErr w:type="spellEnd"/>
      <w:r w:rsidRPr="00467DB0">
        <w:t xml:space="preserve"> </w:t>
      </w:r>
      <w:proofErr w:type="gramStart"/>
      <w:r w:rsidRPr="00467DB0">
        <w:t>anvendelse</w:t>
      </w:r>
      <w:proofErr w:type="gramEnd"/>
      <w:r w:rsidRPr="00467DB0">
        <w:t>.</w:t>
      </w:r>
    </w:p>
    <w:p w14:paraId="2D498AE0" w14:textId="77777777" w:rsidR="00000000" w:rsidRPr="00467DB0" w:rsidRDefault="00693D67" w:rsidP="00467DB0">
      <w:pPr>
        <w:pStyle w:val="friliste"/>
      </w:pPr>
      <w:r w:rsidRPr="00467DB0">
        <w:t>6.</w:t>
      </w:r>
      <w:r w:rsidRPr="00467DB0">
        <w:tab/>
        <w:t xml:space="preserve">Agenturet varetager </w:t>
      </w:r>
      <w:proofErr w:type="spellStart"/>
      <w:r w:rsidRPr="00467DB0">
        <w:t>sekretariatsopgaverne</w:t>
      </w:r>
      <w:proofErr w:type="spellEnd"/>
      <w:r w:rsidRPr="00467DB0">
        <w:t xml:space="preserve"> for bestyrelsen.</w:t>
      </w:r>
    </w:p>
    <w:p w14:paraId="7961839F" w14:textId="77777777" w:rsidR="00000000" w:rsidRPr="00467DB0" w:rsidRDefault="00693D67" w:rsidP="00467DB0">
      <w:pPr>
        <w:pStyle w:val="avsnitt-undertittel"/>
      </w:pPr>
      <w:proofErr w:type="spellStart"/>
      <w:r w:rsidRPr="00467DB0">
        <w:t>Artikel</w:t>
      </w:r>
      <w:proofErr w:type="spellEnd"/>
      <w:r w:rsidRPr="00467DB0">
        <w:t xml:space="preserve"> 76</w:t>
      </w:r>
    </w:p>
    <w:p w14:paraId="2D035935" w14:textId="77777777" w:rsidR="00000000" w:rsidRPr="00467DB0" w:rsidRDefault="00693D67" w:rsidP="00467DB0">
      <w:pPr>
        <w:pStyle w:val="Undertittel"/>
      </w:pPr>
      <w:r w:rsidRPr="00467DB0">
        <w:t xml:space="preserve">Bestyrelsens </w:t>
      </w:r>
      <w:proofErr w:type="spellStart"/>
      <w:r w:rsidRPr="00467DB0">
        <w:t>afstemningsregler</w:t>
      </w:r>
      <w:proofErr w:type="spellEnd"/>
    </w:p>
    <w:p w14:paraId="74821633" w14:textId="77777777" w:rsidR="00000000" w:rsidRPr="00467DB0" w:rsidRDefault="00693D67" w:rsidP="00467DB0">
      <w:pPr>
        <w:pStyle w:val="friliste"/>
      </w:pPr>
      <w:r w:rsidRPr="00467DB0">
        <w:t>1.</w:t>
      </w:r>
      <w:r w:rsidRPr="00467DB0">
        <w:tab/>
      </w:r>
      <w:proofErr w:type="gramStart"/>
      <w:r w:rsidRPr="00467DB0">
        <w:t>Medmindre</w:t>
      </w:r>
      <w:proofErr w:type="gramEnd"/>
      <w:r w:rsidRPr="00467DB0">
        <w:t xml:space="preserve"> andet følger </w:t>
      </w:r>
      <w:proofErr w:type="spellStart"/>
      <w:r w:rsidRPr="00467DB0">
        <w:t>af</w:t>
      </w:r>
      <w:proofErr w:type="spellEnd"/>
      <w:r w:rsidRPr="00467DB0">
        <w:t xml:space="preserve"> denne forordning, </w:t>
      </w:r>
      <w:proofErr w:type="spellStart"/>
      <w:r w:rsidRPr="00467DB0">
        <w:t>træffer</w:t>
      </w:r>
      <w:proofErr w:type="spellEnd"/>
      <w:r w:rsidRPr="00467DB0">
        <w:t xml:space="preserve"> bestyrelsen beslutninger med et </w:t>
      </w:r>
      <w:proofErr w:type="spellStart"/>
      <w:r w:rsidRPr="00467DB0">
        <w:t>abso</w:t>
      </w:r>
      <w:r w:rsidRPr="00467DB0">
        <w:t>lut</w:t>
      </w:r>
      <w:proofErr w:type="spellEnd"/>
      <w:r w:rsidRPr="00467DB0">
        <w:t xml:space="preserve"> </w:t>
      </w:r>
      <w:proofErr w:type="spellStart"/>
      <w:r w:rsidRPr="00467DB0">
        <w:t>flertal</w:t>
      </w:r>
      <w:proofErr w:type="spellEnd"/>
      <w:r w:rsidRPr="00467DB0">
        <w:t xml:space="preserve"> </w:t>
      </w:r>
      <w:proofErr w:type="spellStart"/>
      <w:r w:rsidRPr="00467DB0">
        <w:t>blandt</w:t>
      </w:r>
      <w:proofErr w:type="spellEnd"/>
      <w:r w:rsidRPr="00467DB0">
        <w:t xml:space="preserve"> sine stemmeberettigede medlemmer.</w:t>
      </w:r>
    </w:p>
    <w:p w14:paraId="3D9A9B76" w14:textId="77777777" w:rsidR="00000000" w:rsidRPr="00467DB0" w:rsidRDefault="00693D67" w:rsidP="00467DB0">
      <w:pPr>
        <w:pStyle w:val="Listeavsnitt"/>
      </w:pPr>
      <w:r w:rsidRPr="00467DB0">
        <w:t xml:space="preserve">Der </w:t>
      </w:r>
      <w:proofErr w:type="spellStart"/>
      <w:r w:rsidRPr="00467DB0">
        <w:t>kræves</w:t>
      </w:r>
      <w:proofErr w:type="spellEnd"/>
      <w:r w:rsidRPr="00467DB0">
        <w:t xml:space="preserve"> et </w:t>
      </w:r>
      <w:proofErr w:type="spellStart"/>
      <w:r w:rsidRPr="00467DB0">
        <w:t>flertal</w:t>
      </w:r>
      <w:proofErr w:type="spellEnd"/>
      <w:r w:rsidRPr="00467DB0">
        <w:t xml:space="preserve"> på to </w:t>
      </w:r>
      <w:proofErr w:type="spellStart"/>
      <w:r w:rsidRPr="00467DB0">
        <w:t>tredjedele</w:t>
      </w:r>
      <w:proofErr w:type="spellEnd"/>
      <w:r w:rsidRPr="00467DB0">
        <w:t xml:space="preserve"> </w:t>
      </w:r>
      <w:proofErr w:type="spellStart"/>
      <w:r w:rsidRPr="00467DB0">
        <w:t>af</w:t>
      </w:r>
      <w:proofErr w:type="spellEnd"/>
      <w:r w:rsidRPr="00467DB0">
        <w:t xml:space="preserve"> alle stemmeberettigede medlemmer til valg og </w:t>
      </w:r>
      <w:proofErr w:type="spellStart"/>
      <w:r w:rsidRPr="00467DB0">
        <w:t>afsættelse</w:t>
      </w:r>
      <w:proofErr w:type="spellEnd"/>
      <w:r w:rsidRPr="00467DB0">
        <w:t xml:space="preserve"> </w:t>
      </w:r>
      <w:proofErr w:type="spellStart"/>
      <w:r w:rsidRPr="00467DB0">
        <w:t>af</w:t>
      </w:r>
      <w:proofErr w:type="spellEnd"/>
      <w:r w:rsidRPr="00467DB0">
        <w:t xml:space="preserve"> </w:t>
      </w:r>
      <w:proofErr w:type="spellStart"/>
      <w:r w:rsidRPr="00467DB0">
        <w:t>formanden</w:t>
      </w:r>
      <w:proofErr w:type="spellEnd"/>
      <w:r w:rsidRPr="00467DB0">
        <w:t xml:space="preserve"> og </w:t>
      </w:r>
      <w:proofErr w:type="spellStart"/>
      <w:r w:rsidRPr="00467DB0">
        <w:t>næstformanden</w:t>
      </w:r>
      <w:proofErr w:type="spellEnd"/>
      <w:r w:rsidRPr="00467DB0">
        <w:t xml:space="preserve"> for bestyrelsen og til ved</w:t>
      </w:r>
      <w:r w:rsidRPr="00467DB0">
        <w:t xml:space="preserve">tagelse </w:t>
      </w:r>
      <w:proofErr w:type="spellStart"/>
      <w:r w:rsidRPr="00467DB0">
        <w:t>af</w:t>
      </w:r>
      <w:proofErr w:type="spellEnd"/>
      <w:r w:rsidRPr="00467DB0">
        <w:t xml:space="preserve"> </w:t>
      </w:r>
      <w:proofErr w:type="spellStart"/>
      <w:r w:rsidRPr="00467DB0">
        <w:t>budgettet</w:t>
      </w:r>
      <w:proofErr w:type="spellEnd"/>
      <w:r w:rsidRPr="00467DB0">
        <w:t xml:space="preserve"> og </w:t>
      </w:r>
      <w:proofErr w:type="spellStart"/>
      <w:r w:rsidRPr="00467DB0">
        <w:t>arbejdsprogrammer</w:t>
      </w:r>
      <w:proofErr w:type="spellEnd"/>
      <w:r w:rsidRPr="00467DB0">
        <w:t xml:space="preserve">, </w:t>
      </w:r>
      <w:proofErr w:type="spellStart"/>
      <w:r w:rsidRPr="00467DB0">
        <w:t>godkendelse</w:t>
      </w:r>
      <w:proofErr w:type="spellEnd"/>
      <w:r w:rsidRPr="00467DB0">
        <w:t xml:space="preserve"> </w:t>
      </w:r>
      <w:proofErr w:type="spellStart"/>
      <w:r w:rsidRPr="00467DB0">
        <w:t>af</w:t>
      </w:r>
      <w:proofErr w:type="spellEnd"/>
      <w:r w:rsidRPr="00467DB0">
        <w:t xml:space="preserve"> de i </w:t>
      </w:r>
      <w:proofErr w:type="spellStart"/>
      <w:r w:rsidRPr="00467DB0">
        <w:t>artikel</w:t>
      </w:r>
      <w:proofErr w:type="spellEnd"/>
      <w:r w:rsidRPr="00467DB0">
        <w:t xml:space="preserve"> 98, stk. 2, omhandlede ordninger, </w:t>
      </w:r>
      <w:proofErr w:type="spellStart"/>
      <w:r w:rsidRPr="00467DB0">
        <w:t>godkendelse</w:t>
      </w:r>
      <w:proofErr w:type="spellEnd"/>
      <w:r w:rsidRPr="00467DB0">
        <w:t xml:space="preserve"> </w:t>
      </w:r>
      <w:proofErr w:type="spellStart"/>
      <w:r w:rsidRPr="00467DB0">
        <w:t>af</w:t>
      </w:r>
      <w:proofErr w:type="spellEnd"/>
      <w:r w:rsidRPr="00467DB0">
        <w:t xml:space="preserve"> </w:t>
      </w:r>
      <w:r w:rsidRPr="00467DB0">
        <w:lastRenderedPageBreak/>
        <w:t xml:space="preserve">agenturets </w:t>
      </w:r>
      <w:proofErr w:type="spellStart"/>
      <w:r w:rsidRPr="00467DB0">
        <w:t>sikkerhedsregler</w:t>
      </w:r>
      <w:proofErr w:type="spellEnd"/>
      <w:r w:rsidRPr="00467DB0">
        <w:t xml:space="preserve">, vedtagelse </w:t>
      </w:r>
      <w:proofErr w:type="spellStart"/>
      <w:r w:rsidRPr="00467DB0">
        <w:t>af</w:t>
      </w:r>
      <w:proofErr w:type="spellEnd"/>
      <w:r w:rsidRPr="00467DB0">
        <w:t xml:space="preserve"> forretningsordenen, </w:t>
      </w:r>
      <w:proofErr w:type="spellStart"/>
      <w:r w:rsidRPr="00467DB0">
        <w:t>oprettelse</w:t>
      </w:r>
      <w:proofErr w:type="spellEnd"/>
      <w:r w:rsidRPr="00467DB0">
        <w:t xml:space="preserve"> </w:t>
      </w:r>
      <w:proofErr w:type="spellStart"/>
      <w:r w:rsidRPr="00467DB0">
        <w:t>af</w:t>
      </w:r>
      <w:proofErr w:type="spellEnd"/>
      <w:r w:rsidRPr="00467DB0">
        <w:t xml:space="preserve"> lokale kontorer samt til </w:t>
      </w:r>
      <w:proofErr w:type="spellStart"/>
      <w:r w:rsidRPr="00467DB0">
        <w:t>godkendelse</w:t>
      </w:r>
      <w:proofErr w:type="spellEnd"/>
      <w:r w:rsidRPr="00467DB0">
        <w:t xml:space="preserve"> </w:t>
      </w:r>
      <w:proofErr w:type="spellStart"/>
      <w:r w:rsidRPr="00467DB0">
        <w:t>af</w:t>
      </w:r>
      <w:proofErr w:type="spellEnd"/>
      <w:r w:rsidRPr="00467DB0">
        <w:t xml:space="preserve"> de i </w:t>
      </w:r>
      <w:proofErr w:type="spellStart"/>
      <w:r w:rsidRPr="00467DB0">
        <w:t>artikel</w:t>
      </w:r>
      <w:proofErr w:type="spellEnd"/>
      <w:r w:rsidRPr="00467DB0">
        <w:t xml:space="preserve"> 92 omh</w:t>
      </w:r>
      <w:r w:rsidRPr="00467DB0">
        <w:t xml:space="preserve">andlede </w:t>
      </w:r>
      <w:proofErr w:type="spellStart"/>
      <w:r w:rsidRPr="00467DB0">
        <w:t>værtsaftaler</w:t>
      </w:r>
      <w:proofErr w:type="spellEnd"/>
      <w:r w:rsidRPr="00467DB0">
        <w:t>.</w:t>
      </w:r>
    </w:p>
    <w:p w14:paraId="6F4ADE4C" w14:textId="77777777" w:rsidR="00000000" w:rsidRPr="00467DB0" w:rsidRDefault="00693D67" w:rsidP="00467DB0">
      <w:pPr>
        <w:pStyle w:val="friliste"/>
      </w:pPr>
      <w:r w:rsidRPr="00467DB0">
        <w:t>2.</w:t>
      </w:r>
      <w:r w:rsidRPr="00467DB0">
        <w:tab/>
        <w:t xml:space="preserve">Medlemmer, der </w:t>
      </w:r>
      <w:proofErr w:type="spellStart"/>
      <w:r w:rsidRPr="00467DB0">
        <w:t>repræsenterer</w:t>
      </w:r>
      <w:proofErr w:type="spellEnd"/>
      <w:r w:rsidRPr="00467DB0">
        <w:t xml:space="preserve"> </w:t>
      </w:r>
      <w:proofErr w:type="spellStart"/>
      <w:r w:rsidRPr="00467DB0">
        <w:t>medlemsstaterne</w:t>
      </w:r>
      <w:proofErr w:type="spellEnd"/>
      <w:r w:rsidRPr="00467DB0">
        <w:t xml:space="preserve"> og </w:t>
      </w:r>
      <w:proofErr w:type="spellStart"/>
      <w:r w:rsidRPr="00467DB0">
        <w:t>Kommissionen</w:t>
      </w:r>
      <w:proofErr w:type="spellEnd"/>
      <w:r w:rsidRPr="00467DB0">
        <w:t xml:space="preserve">, har hver én stemme. Hvis et stemmeberettiget medlem ikke er til stede, har suppleanten </w:t>
      </w:r>
      <w:proofErr w:type="spellStart"/>
      <w:r w:rsidRPr="00467DB0">
        <w:t>stemmeret</w:t>
      </w:r>
      <w:proofErr w:type="spellEnd"/>
      <w:r w:rsidRPr="00467DB0">
        <w:t xml:space="preserve">. Beslutninger </w:t>
      </w:r>
      <w:proofErr w:type="spellStart"/>
      <w:r w:rsidRPr="00467DB0">
        <w:t>baseret</w:t>
      </w:r>
      <w:proofErr w:type="spellEnd"/>
      <w:r w:rsidRPr="00467DB0">
        <w:t xml:space="preserve"> på </w:t>
      </w:r>
      <w:proofErr w:type="spellStart"/>
      <w:r w:rsidRPr="00467DB0">
        <w:t>artikel</w:t>
      </w:r>
      <w:proofErr w:type="spellEnd"/>
      <w:r w:rsidRPr="00467DB0">
        <w:t xml:space="preserve"> 77, stk. 2, litra a), </w:t>
      </w:r>
      <w:proofErr w:type="spellStart"/>
      <w:r w:rsidRPr="00467DB0">
        <w:t>bortset</w:t>
      </w:r>
      <w:proofErr w:type="spellEnd"/>
      <w:r w:rsidRPr="00467DB0">
        <w:t xml:space="preserve"> fra </w:t>
      </w:r>
      <w:proofErr w:type="spellStart"/>
      <w:r w:rsidRPr="00467DB0">
        <w:t>spørg</w:t>
      </w:r>
      <w:r w:rsidRPr="00467DB0">
        <w:t>smål</w:t>
      </w:r>
      <w:proofErr w:type="spellEnd"/>
      <w:r w:rsidRPr="00467DB0">
        <w:t xml:space="preserve">,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eller på </w:t>
      </w:r>
      <w:proofErr w:type="spellStart"/>
      <w:r w:rsidRPr="00467DB0">
        <w:t>artikel</w:t>
      </w:r>
      <w:proofErr w:type="spellEnd"/>
      <w:r w:rsidRPr="00467DB0">
        <w:t xml:space="preserve"> 77, stk. 5, kan kun </w:t>
      </w:r>
      <w:proofErr w:type="spellStart"/>
      <w:r w:rsidRPr="00467DB0">
        <w:t>vedtages</w:t>
      </w:r>
      <w:proofErr w:type="spellEnd"/>
      <w:r w:rsidRPr="00467DB0">
        <w:t xml:space="preserve"> med tilslutning fra </w:t>
      </w:r>
      <w:proofErr w:type="spellStart"/>
      <w:r w:rsidRPr="00467DB0">
        <w:t>Kommissionens</w:t>
      </w:r>
      <w:proofErr w:type="spellEnd"/>
      <w:r w:rsidRPr="00467DB0">
        <w:t xml:space="preserve"> </w:t>
      </w:r>
      <w:proofErr w:type="spellStart"/>
      <w:r w:rsidRPr="00467DB0">
        <w:t>repræsentanter</w:t>
      </w:r>
      <w:proofErr w:type="spellEnd"/>
      <w:r w:rsidRPr="00467DB0">
        <w:t>.</w:t>
      </w:r>
    </w:p>
    <w:p w14:paraId="263F010C" w14:textId="77777777" w:rsidR="00000000" w:rsidRPr="00467DB0" w:rsidRDefault="00693D67" w:rsidP="00467DB0">
      <w:pPr>
        <w:pStyle w:val="friliste"/>
      </w:pPr>
      <w:r w:rsidRPr="00467DB0">
        <w:t>3.</w:t>
      </w:r>
      <w:r w:rsidRPr="00467DB0">
        <w:tab/>
        <w:t xml:space="preserve">De nærmere </w:t>
      </w:r>
      <w:proofErr w:type="spellStart"/>
      <w:r w:rsidRPr="00467DB0">
        <w:t>afstemningsregler</w:t>
      </w:r>
      <w:proofErr w:type="spellEnd"/>
      <w:r w:rsidRPr="00467DB0">
        <w:t xml:space="preserve">, navnlig </w:t>
      </w:r>
      <w:proofErr w:type="spellStart"/>
      <w:r w:rsidRPr="00467DB0">
        <w:t>betingelserne</w:t>
      </w:r>
      <w:proofErr w:type="spellEnd"/>
      <w:r w:rsidRPr="00467DB0">
        <w:t xml:space="preserve"> for, at et medlem kan handle ved </w:t>
      </w:r>
      <w:proofErr w:type="spellStart"/>
      <w:r w:rsidRPr="00467DB0">
        <w:t>fuldmagt</w:t>
      </w:r>
      <w:proofErr w:type="spellEnd"/>
      <w:r w:rsidRPr="00467DB0">
        <w:t xml:space="preserve"> fra et andet med</w:t>
      </w:r>
      <w:r w:rsidRPr="00467DB0">
        <w:t xml:space="preserve">lem, og eventuelle krav om </w:t>
      </w:r>
      <w:proofErr w:type="spellStart"/>
      <w:r w:rsidRPr="00467DB0">
        <w:t>beslutningsdygtighed</w:t>
      </w:r>
      <w:proofErr w:type="spellEnd"/>
      <w:r w:rsidRPr="00467DB0">
        <w:t xml:space="preserve">, hvor dette er relevant, </w:t>
      </w:r>
      <w:proofErr w:type="spellStart"/>
      <w:r w:rsidRPr="00467DB0">
        <w:t>fastlægges</w:t>
      </w:r>
      <w:proofErr w:type="spellEnd"/>
      <w:r w:rsidRPr="00467DB0">
        <w:t xml:space="preserve"> i bestyrelsens forretningsorden.</w:t>
      </w:r>
    </w:p>
    <w:p w14:paraId="5A17F184" w14:textId="77777777" w:rsidR="00000000" w:rsidRPr="00467DB0" w:rsidRDefault="00693D67" w:rsidP="00467DB0">
      <w:pPr>
        <w:pStyle w:val="avsnitt-undertittel"/>
      </w:pPr>
      <w:proofErr w:type="spellStart"/>
      <w:r w:rsidRPr="00467DB0">
        <w:t>Artikel</w:t>
      </w:r>
      <w:proofErr w:type="spellEnd"/>
      <w:r w:rsidRPr="00467DB0">
        <w:t xml:space="preserve"> 77</w:t>
      </w:r>
    </w:p>
    <w:p w14:paraId="63992BB8" w14:textId="77777777" w:rsidR="00000000" w:rsidRPr="00467DB0" w:rsidRDefault="00693D67" w:rsidP="00467DB0">
      <w:pPr>
        <w:pStyle w:val="Undertittel"/>
      </w:pPr>
      <w:r w:rsidRPr="00467DB0">
        <w:t xml:space="preserve">Bestyrelsens </w:t>
      </w:r>
      <w:proofErr w:type="spellStart"/>
      <w:r w:rsidRPr="00467DB0">
        <w:t>opgaver</w:t>
      </w:r>
      <w:proofErr w:type="spellEnd"/>
    </w:p>
    <w:p w14:paraId="062F18B9" w14:textId="77777777" w:rsidR="00000000" w:rsidRPr="00467DB0" w:rsidRDefault="00693D67" w:rsidP="00467DB0">
      <w:pPr>
        <w:pStyle w:val="friliste"/>
      </w:pPr>
      <w:r w:rsidRPr="00467DB0">
        <w:t>1.</w:t>
      </w:r>
      <w:r w:rsidRPr="00467DB0">
        <w:tab/>
        <w:t xml:space="preserve">Bestyrelsen sørger for, at agenturet varetager de </w:t>
      </w:r>
      <w:proofErr w:type="spellStart"/>
      <w:r w:rsidRPr="00467DB0">
        <w:t>opgaver</w:t>
      </w:r>
      <w:proofErr w:type="spellEnd"/>
      <w:r w:rsidRPr="00467DB0">
        <w:t xml:space="preserve">, det har </w:t>
      </w:r>
      <w:proofErr w:type="spellStart"/>
      <w:r w:rsidRPr="00467DB0">
        <w:t>fået</w:t>
      </w:r>
      <w:proofErr w:type="spellEnd"/>
      <w:r w:rsidRPr="00467DB0">
        <w:t xml:space="preserve"> overdraget, på de i denne forord</w:t>
      </w:r>
      <w:r w:rsidRPr="00467DB0">
        <w:t xml:space="preserve">ning fastsatte betingelser og </w:t>
      </w:r>
      <w:proofErr w:type="spellStart"/>
      <w:r w:rsidRPr="00467DB0">
        <w:t>træffer</w:t>
      </w:r>
      <w:proofErr w:type="spellEnd"/>
      <w:r w:rsidRPr="00467DB0">
        <w:t xml:space="preserve"> de nødvendige beslutninger med </w:t>
      </w:r>
      <w:proofErr w:type="spellStart"/>
      <w:r w:rsidRPr="00467DB0">
        <w:t>henblik</w:t>
      </w:r>
      <w:proofErr w:type="spellEnd"/>
      <w:r w:rsidRPr="00467DB0">
        <w:t xml:space="preserve"> herpå. Dette berører ikke de </w:t>
      </w:r>
      <w:proofErr w:type="spellStart"/>
      <w:r w:rsidRPr="00467DB0">
        <w:t>kompetencer</w:t>
      </w:r>
      <w:proofErr w:type="spellEnd"/>
      <w:r w:rsidRPr="00467DB0">
        <w:t xml:space="preserve">, der er tildelt Komitéen for </w:t>
      </w:r>
      <w:proofErr w:type="spellStart"/>
      <w:r w:rsidRPr="00467DB0">
        <w:t>Sikkerhedsgodkendelse</w:t>
      </w:r>
      <w:proofErr w:type="spellEnd"/>
      <w:r w:rsidRPr="00467DB0">
        <w:t xml:space="preserve"> for så vidt angår de aktiviteter, der </w:t>
      </w:r>
      <w:proofErr w:type="gramStart"/>
      <w:r w:rsidRPr="00467DB0">
        <w:t>henhører</w:t>
      </w:r>
      <w:proofErr w:type="gramEnd"/>
      <w:r w:rsidRPr="00467DB0">
        <w:t xml:space="preserve"> under </w:t>
      </w:r>
      <w:proofErr w:type="spellStart"/>
      <w:r w:rsidRPr="00467DB0">
        <w:t>afsnit</w:t>
      </w:r>
      <w:proofErr w:type="spellEnd"/>
      <w:r w:rsidRPr="00467DB0">
        <w:t xml:space="preserve"> V, kapitel II.</w:t>
      </w:r>
    </w:p>
    <w:p w14:paraId="57D433BE" w14:textId="77777777" w:rsidR="00000000" w:rsidRPr="00467DB0" w:rsidRDefault="00693D67" w:rsidP="00467DB0">
      <w:pPr>
        <w:pStyle w:val="friliste"/>
      </w:pPr>
      <w:r w:rsidRPr="00467DB0">
        <w:t>2.</w:t>
      </w:r>
      <w:r w:rsidRPr="00467DB0">
        <w:tab/>
      </w:r>
      <w:proofErr w:type="spellStart"/>
      <w:r w:rsidRPr="00467DB0">
        <w:t>Endvidere</w:t>
      </w:r>
      <w:proofErr w:type="spellEnd"/>
      <w:r w:rsidRPr="00467DB0">
        <w:t xml:space="preserve"> skal bestyrelsen:</w:t>
      </w:r>
    </w:p>
    <w:p w14:paraId="02D1E541" w14:textId="77777777" w:rsidR="00000000" w:rsidRPr="00467DB0" w:rsidRDefault="00693D67" w:rsidP="00467DB0">
      <w:pPr>
        <w:pStyle w:val="friliste2"/>
      </w:pPr>
      <w:r w:rsidRPr="00467DB0">
        <w:t>a)</w:t>
      </w:r>
      <w:r w:rsidRPr="00467DB0">
        <w:tab/>
        <w:t xml:space="preserve">senest den 15. november hvert år </w:t>
      </w:r>
      <w:proofErr w:type="spellStart"/>
      <w:r w:rsidRPr="00467DB0">
        <w:t>vedtage</w:t>
      </w:r>
      <w:proofErr w:type="spellEnd"/>
      <w:r w:rsidRPr="00467DB0">
        <w:t xml:space="preserve"> agenturets </w:t>
      </w:r>
      <w:proofErr w:type="spellStart"/>
      <w:r w:rsidRPr="00467DB0">
        <w:t>arbejdsprogram</w:t>
      </w:r>
      <w:proofErr w:type="spellEnd"/>
      <w:r w:rsidRPr="00467DB0">
        <w:t xml:space="preserve"> for det følgende år efter </w:t>
      </w:r>
      <w:proofErr w:type="spellStart"/>
      <w:r w:rsidRPr="00467DB0">
        <w:t>uden</w:t>
      </w:r>
      <w:proofErr w:type="spellEnd"/>
      <w:r w:rsidRPr="00467DB0">
        <w:t xml:space="preserve"> </w:t>
      </w:r>
      <w:proofErr w:type="spellStart"/>
      <w:r w:rsidRPr="00467DB0">
        <w:t>ændringer</w:t>
      </w:r>
      <w:proofErr w:type="spellEnd"/>
      <w:r w:rsidRPr="00467DB0">
        <w:t xml:space="preserve"> at have </w:t>
      </w:r>
      <w:proofErr w:type="spellStart"/>
      <w:r w:rsidRPr="00467DB0">
        <w:t>integreret</w:t>
      </w:r>
      <w:proofErr w:type="spellEnd"/>
      <w:r w:rsidRPr="00467DB0">
        <w:t xml:space="preserve"> den del, der er </w:t>
      </w:r>
      <w:proofErr w:type="spellStart"/>
      <w:r w:rsidRPr="00467DB0">
        <w:t>udarbejdet</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i overensstemmelse med </w:t>
      </w:r>
      <w:proofErr w:type="spellStart"/>
      <w:r w:rsidRPr="00467DB0">
        <w:t>artikel</w:t>
      </w:r>
      <w:proofErr w:type="spellEnd"/>
      <w:r w:rsidRPr="00467DB0">
        <w:t xml:space="preserve"> 80, litra b</w:t>
      </w:r>
      <w:r w:rsidRPr="00467DB0">
        <w:t xml:space="preserve">), og efter at have </w:t>
      </w:r>
      <w:proofErr w:type="spellStart"/>
      <w:r w:rsidRPr="00467DB0">
        <w:t>indhentet</w:t>
      </w:r>
      <w:proofErr w:type="spellEnd"/>
      <w:r w:rsidRPr="00467DB0">
        <w:t xml:space="preserve"> </w:t>
      </w:r>
      <w:proofErr w:type="spellStart"/>
      <w:r w:rsidRPr="00467DB0">
        <w:t>udtalelse</w:t>
      </w:r>
      <w:proofErr w:type="spellEnd"/>
      <w:r w:rsidRPr="00467DB0">
        <w:t xml:space="preserve"> fra </w:t>
      </w:r>
      <w:proofErr w:type="spellStart"/>
      <w:r w:rsidRPr="00467DB0">
        <w:t>Kommissionen</w:t>
      </w:r>
      <w:proofErr w:type="spellEnd"/>
    </w:p>
    <w:p w14:paraId="4954B14D" w14:textId="77777777" w:rsidR="00000000" w:rsidRPr="00467DB0" w:rsidRDefault="00693D67" w:rsidP="00467DB0">
      <w:pPr>
        <w:pStyle w:val="friliste2"/>
      </w:pPr>
      <w:r w:rsidRPr="00467DB0">
        <w:t>b)</w:t>
      </w:r>
      <w:r w:rsidRPr="00467DB0">
        <w:tab/>
        <w:t xml:space="preserve">senest den 30. juni i det første år i den flerårige finansielle ramme i henhold til </w:t>
      </w:r>
      <w:proofErr w:type="spellStart"/>
      <w:r w:rsidRPr="00467DB0">
        <w:t>artikel</w:t>
      </w:r>
      <w:proofErr w:type="spellEnd"/>
      <w:r w:rsidRPr="00467DB0">
        <w:t xml:space="preserve"> 312 i TEUF </w:t>
      </w:r>
      <w:proofErr w:type="spellStart"/>
      <w:r w:rsidRPr="00467DB0">
        <w:t>vedtage</w:t>
      </w:r>
      <w:proofErr w:type="spellEnd"/>
      <w:r w:rsidRPr="00467DB0">
        <w:t xml:space="preserve"> agenturets flerårige </w:t>
      </w:r>
      <w:proofErr w:type="spellStart"/>
      <w:r w:rsidRPr="00467DB0">
        <w:t>arbejdsprogram</w:t>
      </w:r>
      <w:proofErr w:type="spellEnd"/>
      <w:r w:rsidRPr="00467DB0">
        <w:t xml:space="preserve"> for den periode, der er omfattet </w:t>
      </w:r>
      <w:proofErr w:type="spellStart"/>
      <w:r w:rsidRPr="00467DB0">
        <w:t>af</w:t>
      </w:r>
      <w:proofErr w:type="spellEnd"/>
      <w:r w:rsidRPr="00467DB0">
        <w:t xml:space="preserve"> denne fleråri</w:t>
      </w:r>
      <w:r w:rsidRPr="00467DB0">
        <w:t xml:space="preserve">ge finansielle ramme, efter </w:t>
      </w:r>
      <w:proofErr w:type="spellStart"/>
      <w:r w:rsidRPr="00467DB0">
        <w:t>uden</w:t>
      </w:r>
      <w:proofErr w:type="spellEnd"/>
      <w:r w:rsidRPr="00467DB0">
        <w:t xml:space="preserve"> </w:t>
      </w:r>
      <w:proofErr w:type="spellStart"/>
      <w:r w:rsidRPr="00467DB0">
        <w:t>ændringer</w:t>
      </w:r>
      <w:proofErr w:type="spellEnd"/>
      <w:r w:rsidRPr="00467DB0">
        <w:t xml:space="preserve"> at have </w:t>
      </w:r>
      <w:proofErr w:type="spellStart"/>
      <w:r w:rsidRPr="00467DB0">
        <w:t>integreret</w:t>
      </w:r>
      <w:proofErr w:type="spellEnd"/>
      <w:r w:rsidRPr="00467DB0">
        <w:t xml:space="preserve"> den del, der er </w:t>
      </w:r>
      <w:proofErr w:type="spellStart"/>
      <w:r w:rsidRPr="00467DB0">
        <w:t>udarbejdet</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i overensstemmelse med denne forordnings </w:t>
      </w:r>
      <w:proofErr w:type="spellStart"/>
      <w:r w:rsidRPr="00467DB0">
        <w:t>artikel</w:t>
      </w:r>
      <w:proofErr w:type="spellEnd"/>
      <w:r w:rsidRPr="00467DB0">
        <w:t xml:space="preserve"> 80, litra a), og efter at have </w:t>
      </w:r>
      <w:proofErr w:type="spellStart"/>
      <w:r w:rsidRPr="00467DB0">
        <w:t>indhentet</w:t>
      </w:r>
      <w:proofErr w:type="spellEnd"/>
      <w:r w:rsidRPr="00467DB0">
        <w:t xml:space="preserve"> </w:t>
      </w:r>
      <w:proofErr w:type="spellStart"/>
      <w:r w:rsidRPr="00467DB0">
        <w:t>udtalelse</w:t>
      </w:r>
      <w:proofErr w:type="spellEnd"/>
      <w:r w:rsidRPr="00467DB0">
        <w:t xml:space="preserve"> fra </w:t>
      </w:r>
      <w:proofErr w:type="spellStart"/>
      <w:r w:rsidRPr="00467DB0">
        <w:t>Kommissionen</w:t>
      </w:r>
      <w:proofErr w:type="spellEnd"/>
      <w:r w:rsidRPr="00467DB0">
        <w:t>. Europa-Parl</w:t>
      </w:r>
      <w:r w:rsidRPr="00467DB0">
        <w:t xml:space="preserve">amentet høres om det flerårige </w:t>
      </w:r>
      <w:proofErr w:type="spellStart"/>
      <w:r w:rsidRPr="00467DB0">
        <w:t>arbejdsprogram</w:t>
      </w:r>
      <w:proofErr w:type="spellEnd"/>
      <w:r w:rsidRPr="00467DB0">
        <w:t xml:space="preserve">, </w:t>
      </w:r>
      <w:proofErr w:type="spellStart"/>
      <w:r w:rsidRPr="00467DB0">
        <w:t>forudsat</w:t>
      </w:r>
      <w:proofErr w:type="spellEnd"/>
      <w:r w:rsidRPr="00467DB0">
        <w:t xml:space="preserve"> at formålet med høringen er at </w:t>
      </w:r>
      <w:proofErr w:type="spellStart"/>
      <w:r w:rsidRPr="00467DB0">
        <w:t>udveksle</w:t>
      </w:r>
      <w:proofErr w:type="spellEnd"/>
      <w:r w:rsidRPr="00467DB0">
        <w:t xml:space="preserve"> synspunkter, og at resultatet er ikke bindende for agenturet</w:t>
      </w:r>
    </w:p>
    <w:p w14:paraId="5122A3C7" w14:textId="77777777" w:rsidR="00000000" w:rsidRPr="00467DB0" w:rsidRDefault="00693D67" w:rsidP="00467DB0">
      <w:pPr>
        <w:pStyle w:val="friliste2"/>
      </w:pPr>
      <w:r w:rsidRPr="00467DB0">
        <w:t>c)</w:t>
      </w:r>
      <w:r w:rsidRPr="00467DB0">
        <w:tab/>
      </w:r>
      <w:proofErr w:type="spellStart"/>
      <w:r w:rsidRPr="00467DB0">
        <w:t>varetage</w:t>
      </w:r>
      <w:proofErr w:type="spellEnd"/>
      <w:r w:rsidRPr="00467DB0">
        <w:t xml:space="preserve"> sine </w:t>
      </w:r>
      <w:proofErr w:type="spellStart"/>
      <w:r w:rsidRPr="00467DB0">
        <w:t>budgetmæssige</w:t>
      </w:r>
      <w:proofErr w:type="spellEnd"/>
      <w:r w:rsidRPr="00467DB0">
        <w:t xml:space="preserve"> </w:t>
      </w:r>
      <w:proofErr w:type="spellStart"/>
      <w:r w:rsidRPr="00467DB0">
        <w:t>opgaver</w:t>
      </w:r>
      <w:proofErr w:type="spellEnd"/>
      <w:r w:rsidRPr="00467DB0">
        <w:t xml:space="preserve"> i henhold til </w:t>
      </w:r>
      <w:proofErr w:type="spellStart"/>
      <w:r w:rsidRPr="00467DB0">
        <w:t>artikel</w:t>
      </w:r>
      <w:proofErr w:type="spellEnd"/>
      <w:r w:rsidRPr="00467DB0">
        <w:t xml:space="preserve"> 84, stk. 5, 6, 10 og 11</w:t>
      </w:r>
    </w:p>
    <w:p w14:paraId="38F1DABE" w14:textId="77777777" w:rsidR="00000000" w:rsidRPr="00467DB0" w:rsidRDefault="00693D67" w:rsidP="00467DB0">
      <w:pPr>
        <w:pStyle w:val="friliste2"/>
      </w:pPr>
      <w:r w:rsidRPr="00467DB0">
        <w:t>d)</w:t>
      </w:r>
      <w:r w:rsidRPr="00467DB0">
        <w:tab/>
        <w:t>føre tilsyn</w:t>
      </w:r>
      <w:r w:rsidRPr="00467DB0">
        <w:t xml:space="preserve"> med driften </w:t>
      </w:r>
      <w:proofErr w:type="spellStart"/>
      <w:r w:rsidRPr="00467DB0">
        <w:t>af</w:t>
      </w:r>
      <w:proofErr w:type="spellEnd"/>
      <w:r w:rsidRPr="00467DB0">
        <w:t xml:space="preserve"> </w:t>
      </w:r>
      <w:proofErr w:type="spellStart"/>
      <w:r w:rsidRPr="00467DB0">
        <w:t>Galileosikkerhedsovervågningscentret</w:t>
      </w:r>
      <w:proofErr w:type="spellEnd"/>
      <w:r w:rsidRPr="00467DB0">
        <w:t xml:space="preserve">, der er omhandlet i </w:t>
      </w:r>
      <w:proofErr w:type="spellStart"/>
      <w:r w:rsidRPr="00467DB0">
        <w:t>artikel</w:t>
      </w:r>
      <w:proofErr w:type="spellEnd"/>
      <w:r w:rsidRPr="00467DB0">
        <w:t> 34, stk. 5, litra b)</w:t>
      </w:r>
    </w:p>
    <w:p w14:paraId="31616F82" w14:textId="77777777" w:rsidR="00000000" w:rsidRPr="00467DB0" w:rsidRDefault="00693D67" w:rsidP="00467DB0">
      <w:pPr>
        <w:pStyle w:val="friliste2"/>
      </w:pPr>
      <w:r w:rsidRPr="00467DB0">
        <w:t>e)</w:t>
      </w:r>
      <w:r w:rsidRPr="00467DB0">
        <w:tab/>
      </w:r>
      <w:proofErr w:type="spellStart"/>
      <w:r w:rsidRPr="00467DB0">
        <w:t>vedtage</w:t>
      </w:r>
      <w:proofErr w:type="spellEnd"/>
      <w:r w:rsidRPr="00467DB0">
        <w:t xml:space="preserve"> retningslinjer for </w:t>
      </w:r>
      <w:proofErr w:type="gramStart"/>
      <w:r w:rsidRPr="00467DB0">
        <w:t>anvendelsen</w:t>
      </w:r>
      <w:proofErr w:type="gramEnd"/>
      <w:r w:rsidRPr="00467DB0">
        <w:t xml:space="preserve"> </w:t>
      </w:r>
      <w:proofErr w:type="spellStart"/>
      <w:r w:rsidRPr="00467DB0">
        <w:t>af</w:t>
      </w:r>
      <w:proofErr w:type="spellEnd"/>
      <w:r w:rsidRPr="00467DB0">
        <w:t xml:space="preserve"> Europa-Parlamentets og Rådets forordning (EF) nr. 1049/2001</w:t>
      </w:r>
      <w:r w:rsidRPr="00467DB0">
        <w:rPr>
          <w:rStyle w:val="Fotnotereferanse"/>
        </w:rPr>
        <w:footnoteReference w:id="55"/>
      </w:r>
      <w:r w:rsidRPr="00467DB0">
        <w:t xml:space="preserve"> i overensstemmelse med nærværende forordnings </w:t>
      </w:r>
      <w:proofErr w:type="spellStart"/>
      <w:r w:rsidRPr="00467DB0">
        <w:t>artikel</w:t>
      </w:r>
      <w:proofErr w:type="spellEnd"/>
      <w:r w:rsidRPr="00467DB0">
        <w:t xml:space="preserve"> 94</w:t>
      </w:r>
    </w:p>
    <w:p w14:paraId="01FFA8D2" w14:textId="77777777" w:rsidR="00000000" w:rsidRPr="00467DB0" w:rsidRDefault="00693D67" w:rsidP="00467DB0">
      <w:pPr>
        <w:pStyle w:val="friliste2"/>
      </w:pPr>
      <w:r w:rsidRPr="00467DB0">
        <w:t>f)</w:t>
      </w:r>
      <w:r w:rsidRPr="00467DB0">
        <w:tab/>
      </w:r>
      <w:proofErr w:type="spellStart"/>
      <w:r w:rsidRPr="00467DB0">
        <w:t>godkende</w:t>
      </w:r>
      <w:proofErr w:type="spellEnd"/>
      <w:r w:rsidRPr="00467DB0">
        <w:t xml:space="preserve"> de ordninger, der er omhandlet i </w:t>
      </w:r>
      <w:proofErr w:type="spellStart"/>
      <w:r w:rsidRPr="00467DB0">
        <w:t>artikel</w:t>
      </w:r>
      <w:proofErr w:type="spellEnd"/>
      <w:r w:rsidRPr="00467DB0">
        <w:t xml:space="preserve"> 98, efter h</w:t>
      </w:r>
      <w:r w:rsidRPr="00467DB0">
        <w:t xml:space="preserve">øring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om de bestemmelser i disse ordninger, der vedrører </w:t>
      </w:r>
      <w:proofErr w:type="spellStart"/>
      <w:r w:rsidRPr="00467DB0">
        <w:t>sikkerhedsgodkendelse</w:t>
      </w:r>
      <w:proofErr w:type="spellEnd"/>
    </w:p>
    <w:p w14:paraId="47FC248E" w14:textId="77777777" w:rsidR="00000000" w:rsidRPr="00467DB0" w:rsidRDefault="00693D67" w:rsidP="00467DB0">
      <w:pPr>
        <w:pStyle w:val="friliste2"/>
      </w:pPr>
      <w:r w:rsidRPr="00467DB0">
        <w:t>g)</w:t>
      </w:r>
      <w:r w:rsidRPr="00467DB0">
        <w:tab/>
      </w:r>
      <w:proofErr w:type="spellStart"/>
      <w:r w:rsidRPr="00467DB0">
        <w:t>vedtage</w:t>
      </w:r>
      <w:proofErr w:type="spellEnd"/>
      <w:r w:rsidRPr="00467DB0">
        <w:t xml:space="preserve"> de nødvendige tekniske </w:t>
      </w:r>
      <w:proofErr w:type="spellStart"/>
      <w:r w:rsidRPr="00467DB0">
        <w:t>procedurer</w:t>
      </w:r>
      <w:proofErr w:type="spellEnd"/>
      <w:r w:rsidRPr="00467DB0">
        <w:t xml:space="preserve"> for </w:t>
      </w:r>
      <w:proofErr w:type="spellStart"/>
      <w:r w:rsidRPr="00467DB0">
        <w:t>udførelsen</w:t>
      </w:r>
      <w:proofErr w:type="spellEnd"/>
      <w:r w:rsidRPr="00467DB0">
        <w:t xml:space="preserve"> </w:t>
      </w:r>
      <w:proofErr w:type="spellStart"/>
      <w:r w:rsidRPr="00467DB0">
        <w:t>af</w:t>
      </w:r>
      <w:proofErr w:type="spellEnd"/>
      <w:r w:rsidRPr="00467DB0">
        <w:t xml:space="preserve"> sine </w:t>
      </w:r>
      <w:proofErr w:type="spellStart"/>
      <w:r w:rsidRPr="00467DB0">
        <w:t>opgaver</w:t>
      </w:r>
      <w:proofErr w:type="spellEnd"/>
    </w:p>
    <w:p w14:paraId="2F133222" w14:textId="77777777" w:rsidR="00000000" w:rsidRPr="00467DB0" w:rsidRDefault="00693D67" w:rsidP="00467DB0">
      <w:pPr>
        <w:pStyle w:val="friliste2"/>
      </w:pPr>
      <w:r w:rsidRPr="00467DB0">
        <w:t>h)</w:t>
      </w:r>
      <w:r w:rsidRPr="00467DB0">
        <w:tab/>
      </w:r>
      <w:proofErr w:type="spellStart"/>
      <w:r w:rsidRPr="00467DB0">
        <w:t>vedtage</w:t>
      </w:r>
      <w:proofErr w:type="spellEnd"/>
      <w:r w:rsidRPr="00467DB0">
        <w:t xml:space="preserve"> årsrapporten om agenturets aktiviteter og fremtidspl</w:t>
      </w:r>
      <w:r w:rsidRPr="00467DB0">
        <w:t xml:space="preserve">aner og senest den 1. juli hvert år fremsende den til Europa-Parlamentet, Rådet, </w:t>
      </w:r>
      <w:proofErr w:type="spellStart"/>
      <w:r w:rsidRPr="00467DB0">
        <w:t>Kommissionen</w:t>
      </w:r>
      <w:proofErr w:type="spellEnd"/>
      <w:r w:rsidRPr="00467DB0">
        <w:t xml:space="preserve"> og </w:t>
      </w:r>
      <w:proofErr w:type="spellStart"/>
      <w:r w:rsidRPr="00467DB0">
        <w:t>Revisionsretten</w:t>
      </w:r>
      <w:proofErr w:type="spellEnd"/>
      <w:r w:rsidRPr="00467DB0">
        <w:t xml:space="preserve"> efter </w:t>
      </w:r>
      <w:proofErr w:type="spellStart"/>
      <w:r w:rsidRPr="00467DB0">
        <w:lastRenderedPageBreak/>
        <w:t>uden</w:t>
      </w:r>
      <w:proofErr w:type="spellEnd"/>
      <w:r w:rsidRPr="00467DB0">
        <w:t xml:space="preserve"> </w:t>
      </w:r>
      <w:proofErr w:type="spellStart"/>
      <w:r w:rsidRPr="00467DB0">
        <w:t>ændringer</w:t>
      </w:r>
      <w:proofErr w:type="spellEnd"/>
      <w:r w:rsidRPr="00467DB0">
        <w:t xml:space="preserve"> at have </w:t>
      </w:r>
      <w:proofErr w:type="spellStart"/>
      <w:r w:rsidRPr="00467DB0">
        <w:t>integreret</w:t>
      </w:r>
      <w:proofErr w:type="spellEnd"/>
      <w:r w:rsidRPr="00467DB0">
        <w:t xml:space="preserve"> den del, der er </w:t>
      </w:r>
      <w:proofErr w:type="spellStart"/>
      <w:r w:rsidRPr="00467DB0">
        <w:t>udarbejdet</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i overensstemmelse med </w:t>
      </w:r>
      <w:proofErr w:type="spellStart"/>
      <w:r w:rsidRPr="00467DB0">
        <w:t>artikel</w:t>
      </w:r>
      <w:proofErr w:type="spellEnd"/>
      <w:r w:rsidRPr="00467DB0">
        <w:t xml:space="preserve"> 80, lit</w:t>
      </w:r>
      <w:r w:rsidRPr="00467DB0">
        <w:t>ra c)</w:t>
      </w:r>
    </w:p>
    <w:p w14:paraId="0E7704F7" w14:textId="77777777" w:rsidR="00000000" w:rsidRPr="00467DB0" w:rsidRDefault="00693D67" w:rsidP="00467DB0">
      <w:pPr>
        <w:pStyle w:val="friliste2"/>
      </w:pPr>
      <w:r w:rsidRPr="00467DB0">
        <w:t>i)</w:t>
      </w:r>
      <w:r w:rsidRPr="00467DB0">
        <w:tab/>
        <w:t xml:space="preserve">sikre en </w:t>
      </w:r>
      <w:proofErr w:type="spellStart"/>
      <w:r w:rsidRPr="00467DB0">
        <w:t>fyldestgørende</w:t>
      </w:r>
      <w:proofErr w:type="spellEnd"/>
      <w:r w:rsidRPr="00467DB0">
        <w:t xml:space="preserve"> </w:t>
      </w:r>
      <w:proofErr w:type="spellStart"/>
      <w:r w:rsidRPr="00467DB0">
        <w:t>opfølgning</w:t>
      </w:r>
      <w:proofErr w:type="spellEnd"/>
      <w:r w:rsidRPr="00467DB0">
        <w:t xml:space="preserve"> </w:t>
      </w:r>
      <w:proofErr w:type="spellStart"/>
      <w:r w:rsidRPr="00467DB0">
        <w:t>af</w:t>
      </w:r>
      <w:proofErr w:type="spellEnd"/>
      <w:r w:rsidRPr="00467DB0">
        <w:t xml:space="preserve"> </w:t>
      </w:r>
      <w:proofErr w:type="spellStart"/>
      <w:r w:rsidRPr="00467DB0">
        <w:t>resultaterne</w:t>
      </w:r>
      <w:proofErr w:type="spellEnd"/>
      <w:r w:rsidRPr="00467DB0">
        <w:t xml:space="preserve"> og </w:t>
      </w:r>
      <w:proofErr w:type="spellStart"/>
      <w:r w:rsidRPr="00467DB0">
        <w:t>anbefalingerne</w:t>
      </w:r>
      <w:proofErr w:type="spellEnd"/>
      <w:r w:rsidRPr="00467DB0">
        <w:t xml:space="preserve">, der følger </w:t>
      </w:r>
      <w:proofErr w:type="spellStart"/>
      <w:r w:rsidRPr="00467DB0">
        <w:t>af</w:t>
      </w:r>
      <w:proofErr w:type="spellEnd"/>
      <w:r w:rsidRPr="00467DB0">
        <w:t xml:space="preserve"> de i </w:t>
      </w:r>
      <w:proofErr w:type="spellStart"/>
      <w:r w:rsidRPr="00467DB0">
        <w:t>artikel</w:t>
      </w:r>
      <w:proofErr w:type="spellEnd"/>
      <w:r w:rsidRPr="00467DB0">
        <w:t xml:space="preserve"> 102 omhandlede evalueringer og </w:t>
      </w:r>
      <w:proofErr w:type="spellStart"/>
      <w:r w:rsidRPr="00467DB0">
        <w:t>revisioner</w:t>
      </w:r>
      <w:proofErr w:type="spellEnd"/>
      <w:r w:rsidRPr="00467DB0">
        <w:t xml:space="preserve">, </w:t>
      </w:r>
      <w:proofErr w:type="spellStart"/>
      <w:r w:rsidRPr="00467DB0">
        <w:t>såvel</w:t>
      </w:r>
      <w:proofErr w:type="spellEnd"/>
      <w:r w:rsidRPr="00467DB0">
        <w:t xml:space="preserve"> som </w:t>
      </w:r>
      <w:proofErr w:type="spellStart"/>
      <w:r w:rsidRPr="00467DB0">
        <w:t>af</w:t>
      </w:r>
      <w:proofErr w:type="spellEnd"/>
      <w:r w:rsidRPr="00467DB0">
        <w:t xml:space="preserve"> dem, der følger </w:t>
      </w:r>
      <w:proofErr w:type="spellStart"/>
      <w:r w:rsidRPr="00467DB0">
        <w:t>af</w:t>
      </w:r>
      <w:proofErr w:type="spellEnd"/>
      <w:r w:rsidRPr="00467DB0">
        <w:t xml:space="preserve"> </w:t>
      </w:r>
      <w:proofErr w:type="spellStart"/>
      <w:r w:rsidRPr="00467DB0">
        <w:t>undersøgelser</w:t>
      </w:r>
      <w:proofErr w:type="spellEnd"/>
      <w:r w:rsidRPr="00467DB0">
        <w:t xml:space="preserve"> </w:t>
      </w:r>
      <w:proofErr w:type="spellStart"/>
      <w:r w:rsidRPr="00467DB0">
        <w:t>foretaget</w:t>
      </w:r>
      <w:proofErr w:type="spellEnd"/>
      <w:r w:rsidRPr="00467DB0">
        <w:t xml:space="preserve"> </w:t>
      </w:r>
      <w:proofErr w:type="spellStart"/>
      <w:r w:rsidRPr="00467DB0">
        <w:t>af</w:t>
      </w:r>
      <w:proofErr w:type="spellEnd"/>
      <w:r w:rsidRPr="00467DB0">
        <w:t xml:space="preserve"> OLAF, og alle interne eller eksterne </w:t>
      </w:r>
      <w:proofErr w:type="spellStart"/>
      <w:r w:rsidRPr="00467DB0">
        <w:t>revisionsbe</w:t>
      </w:r>
      <w:r w:rsidRPr="00467DB0">
        <w:t>retninger</w:t>
      </w:r>
      <w:proofErr w:type="spellEnd"/>
      <w:r w:rsidRPr="00467DB0">
        <w:t xml:space="preserve">, og fremsende alle relevante </w:t>
      </w:r>
      <w:proofErr w:type="spellStart"/>
      <w:r w:rsidRPr="00467DB0">
        <w:t>oplysninger</w:t>
      </w:r>
      <w:proofErr w:type="spellEnd"/>
      <w:r w:rsidRPr="00467DB0">
        <w:t xml:space="preserve"> om resultatet </w:t>
      </w:r>
      <w:proofErr w:type="spellStart"/>
      <w:r w:rsidRPr="00467DB0">
        <w:t>af</w:t>
      </w:r>
      <w:proofErr w:type="spellEnd"/>
      <w:r w:rsidRPr="00467DB0">
        <w:t xml:space="preserve"> </w:t>
      </w:r>
      <w:proofErr w:type="spellStart"/>
      <w:r w:rsidRPr="00467DB0">
        <w:t>evalueringsprocedurerne</w:t>
      </w:r>
      <w:proofErr w:type="spellEnd"/>
      <w:r w:rsidRPr="00467DB0">
        <w:t xml:space="preserve"> til </w:t>
      </w:r>
      <w:proofErr w:type="spellStart"/>
      <w:r w:rsidRPr="00467DB0">
        <w:t>budgetmyndigheden</w:t>
      </w:r>
      <w:proofErr w:type="spellEnd"/>
    </w:p>
    <w:p w14:paraId="07063D91" w14:textId="77777777" w:rsidR="00000000" w:rsidRPr="00467DB0" w:rsidRDefault="00693D67" w:rsidP="00467DB0">
      <w:pPr>
        <w:pStyle w:val="friliste2"/>
      </w:pPr>
      <w:r w:rsidRPr="00467DB0">
        <w:t>j)</w:t>
      </w:r>
      <w:r w:rsidRPr="00467DB0">
        <w:tab/>
        <w:t xml:space="preserve">høres </w:t>
      </w:r>
      <w:proofErr w:type="spellStart"/>
      <w:r w:rsidRPr="00467DB0">
        <w:t>af</w:t>
      </w:r>
      <w:proofErr w:type="spellEnd"/>
      <w:r w:rsidRPr="00467DB0">
        <w:t xml:space="preserve"> den administrerende direktør om den finansielle </w:t>
      </w:r>
      <w:proofErr w:type="spellStart"/>
      <w:r w:rsidRPr="00467DB0">
        <w:t>partnerskabsrammeaftale</w:t>
      </w:r>
      <w:proofErr w:type="spellEnd"/>
      <w:r w:rsidRPr="00467DB0">
        <w:t xml:space="preserve">, der er omhandlet i </w:t>
      </w:r>
      <w:proofErr w:type="spellStart"/>
      <w:r w:rsidRPr="00467DB0">
        <w:t>artikel</w:t>
      </w:r>
      <w:proofErr w:type="spellEnd"/>
      <w:r w:rsidRPr="00467DB0">
        <w:t xml:space="preserve"> 31, og om de i </w:t>
      </w:r>
      <w:proofErr w:type="spellStart"/>
      <w:r w:rsidRPr="00467DB0">
        <w:t>artikel</w:t>
      </w:r>
      <w:proofErr w:type="spellEnd"/>
      <w:r w:rsidRPr="00467DB0">
        <w:t xml:space="preserve"> 27, stk</w:t>
      </w:r>
      <w:r w:rsidRPr="00467DB0">
        <w:t xml:space="preserve">. 3, og </w:t>
      </w:r>
      <w:proofErr w:type="spellStart"/>
      <w:r w:rsidRPr="00467DB0">
        <w:t>artikel</w:t>
      </w:r>
      <w:proofErr w:type="spellEnd"/>
      <w:r w:rsidRPr="00467DB0">
        <w:t xml:space="preserve"> 29, stk. 5, omhandlede </w:t>
      </w:r>
      <w:proofErr w:type="spellStart"/>
      <w:r w:rsidRPr="00467DB0">
        <w:t>bidragsaftaler</w:t>
      </w:r>
      <w:proofErr w:type="spellEnd"/>
      <w:r w:rsidRPr="00467DB0">
        <w:t xml:space="preserve">, </w:t>
      </w:r>
      <w:proofErr w:type="spellStart"/>
      <w:r w:rsidRPr="00467DB0">
        <w:t>inden</w:t>
      </w:r>
      <w:proofErr w:type="spellEnd"/>
      <w:r w:rsidRPr="00467DB0">
        <w:t xml:space="preserve"> disse undertegnes</w:t>
      </w:r>
    </w:p>
    <w:p w14:paraId="1574A23E" w14:textId="77777777" w:rsidR="00000000" w:rsidRPr="00467DB0" w:rsidRDefault="00693D67" w:rsidP="00467DB0">
      <w:pPr>
        <w:pStyle w:val="friliste2"/>
      </w:pPr>
      <w:r w:rsidRPr="00467DB0">
        <w:t>k)</w:t>
      </w:r>
      <w:r w:rsidRPr="00467DB0">
        <w:tab/>
      </w:r>
      <w:proofErr w:type="spellStart"/>
      <w:r w:rsidRPr="00467DB0">
        <w:t>vedtage</w:t>
      </w:r>
      <w:proofErr w:type="spellEnd"/>
      <w:r w:rsidRPr="00467DB0">
        <w:t xml:space="preserve"> agenturets </w:t>
      </w:r>
      <w:proofErr w:type="spellStart"/>
      <w:r w:rsidRPr="00467DB0">
        <w:t>sikkerhedsregler</w:t>
      </w:r>
      <w:proofErr w:type="spellEnd"/>
      <w:r w:rsidRPr="00467DB0">
        <w:t xml:space="preserve"> som omhandlet i </w:t>
      </w:r>
      <w:proofErr w:type="spellStart"/>
      <w:r w:rsidRPr="00467DB0">
        <w:t>artikel</w:t>
      </w:r>
      <w:proofErr w:type="spellEnd"/>
      <w:r w:rsidRPr="00467DB0">
        <w:t xml:space="preserve"> 96</w:t>
      </w:r>
    </w:p>
    <w:p w14:paraId="3680F1B3" w14:textId="77777777" w:rsidR="00000000" w:rsidRPr="00467DB0" w:rsidRDefault="00693D67" w:rsidP="00467DB0">
      <w:pPr>
        <w:pStyle w:val="friliste2"/>
      </w:pPr>
      <w:r w:rsidRPr="00467DB0">
        <w:t>l)</w:t>
      </w:r>
      <w:r w:rsidRPr="00467DB0">
        <w:tab/>
      </w:r>
      <w:proofErr w:type="spellStart"/>
      <w:r w:rsidRPr="00467DB0">
        <w:t>godkende</w:t>
      </w:r>
      <w:proofErr w:type="spellEnd"/>
      <w:r w:rsidRPr="00467DB0">
        <w:t xml:space="preserve"> en strategi for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på baggrund </w:t>
      </w:r>
      <w:proofErr w:type="spellStart"/>
      <w:r w:rsidRPr="00467DB0">
        <w:t>af</w:t>
      </w:r>
      <w:proofErr w:type="spellEnd"/>
      <w:r w:rsidRPr="00467DB0">
        <w:t xml:space="preserve"> et forslag fra den administrerende direktør </w:t>
      </w:r>
    </w:p>
    <w:p w14:paraId="0BC53D51" w14:textId="77777777" w:rsidR="00000000" w:rsidRPr="00467DB0" w:rsidRDefault="00693D67" w:rsidP="00467DB0">
      <w:pPr>
        <w:pStyle w:val="friliste2"/>
      </w:pPr>
      <w:r w:rsidRPr="00467DB0">
        <w:t>m)</w:t>
      </w:r>
      <w:r w:rsidRPr="00467DB0">
        <w:tab/>
        <w:t>o</w:t>
      </w:r>
      <w:r w:rsidRPr="00467DB0">
        <w:t xml:space="preserve">m </w:t>
      </w:r>
      <w:proofErr w:type="spellStart"/>
      <w:r w:rsidRPr="00467DB0">
        <w:t>nødvendigt</w:t>
      </w:r>
      <w:proofErr w:type="spellEnd"/>
      <w:r w:rsidRPr="00467DB0">
        <w:t xml:space="preserve"> og på </w:t>
      </w:r>
      <w:proofErr w:type="spellStart"/>
      <w:r w:rsidRPr="00467DB0">
        <w:t>grundlag</w:t>
      </w:r>
      <w:proofErr w:type="spellEnd"/>
      <w:r w:rsidRPr="00467DB0">
        <w:t xml:space="preserve"> </w:t>
      </w:r>
      <w:proofErr w:type="spellStart"/>
      <w:r w:rsidRPr="00467DB0">
        <w:t>af</w:t>
      </w:r>
      <w:proofErr w:type="spellEnd"/>
      <w:r w:rsidRPr="00467DB0">
        <w:t xml:space="preserve"> forslag fra den administrerende direktør </w:t>
      </w:r>
      <w:proofErr w:type="spellStart"/>
      <w:r w:rsidRPr="00467DB0">
        <w:t>godkende</w:t>
      </w:r>
      <w:proofErr w:type="spellEnd"/>
      <w:r w:rsidRPr="00467DB0">
        <w:t xml:space="preserve"> de organisatoriske strukturer som omhandlet i </w:t>
      </w:r>
      <w:proofErr w:type="spellStart"/>
      <w:r w:rsidRPr="00467DB0">
        <w:t>artikel</w:t>
      </w:r>
      <w:proofErr w:type="spellEnd"/>
      <w:r w:rsidRPr="00467DB0">
        <w:t xml:space="preserve"> 77, stk. 1, litra n)</w:t>
      </w:r>
    </w:p>
    <w:p w14:paraId="28CE055F" w14:textId="77777777" w:rsidR="00000000" w:rsidRPr="00467DB0" w:rsidRDefault="00693D67" w:rsidP="00467DB0">
      <w:pPr>
        <w:pStyle w:val="friliste2"/>
      </w:pPr>
      <w:r w:rsidRPr="00467DB0">
        <w:t>n)</w:t>
      </w:r>
      <w:r w:rsidRPr="00467DB0">
        <w:tab/>
      </w:r>
      <w:proofErr w:type="spellStart"/>
      <w:r w:rsidRPr="00467DB0">
        <w:t>udnævne</w:t>
      </w:r>
      <w:proofErr w:type="spellEnd"/>
      <w:r w:rsidRPr="00467DB0">
        <w:t xml:space="preserve"> en </w:t>
      </w:r>
      <w:proofErr w:type="spellStart"/>
      <w:r w:rsidRPr="00467DB0">
        <w:t>regnskabsfører</w:t>
      </w:r>
      <w:proofErr w:type="spellEnd"/>
      <w:r w:rsidRPr="00467DB0">
        <w:t xml:space="preserve">, der kan være </w:t>
      </w:r>
      <w:proofErr w:type="spellStart"/>
      <w:r w:rsidRPr="00467DB0">
        <w:t>Kommissionens</w:t>
      </w:r>
      <w:proofErr w:type="spellEnd"/>
      <w:r w:rsidRPr="00467DB0">
        <w:t xml:space="preserve"> </w:t>
      </w:r>
      <w:proofErr w:type="spellStart"/>
      <w:r w:rsidRPr="00467DB0">
        <w:t>regnskabsfører</w:t>
      </w:r>
      <w:proofErr w:type="spellEnd"/>
      <w:r w:rsidRPr="00467DB0">
        <w:t>, som skal være:</w:t>
      </w:r>
    </w:p>
    <w:p w14:paraId="02B0E927" w14:textId="77777777" w:rsidR="00000000" w:rsidRPr="00467DB0" w:rsidRDefault="00693D67" w:rsidP="00467DB0">
      <w:pPr>
        <w:pStyle w:val="friliste3"/>
      </w:pPr>
      <w:r w:rsidRPr="00467DB0">
        <w:t xml:space="preserve">i) omfattet </w:t>
      </w:r>
      <w:proofErr w:type="spellStart"/>
      <w:r w:rsidRPr="00467DB0">
        <w:t>af</w:t>
      </w:r>
      <w:proofErr w:type="spellEnd"/>
      <w:r w:rsidRPr="00467DB0">
        <w:t xml:space="preserve"> </w:t>
      </w:r>
      <w:proofErr w:type="spellStart"/>
      <w:r w:rsidRPr="00467DB0">
        <w:t>vedtægten</w:t>
      </w:r>
      <w:proofErr w:type="spellEnd"/>
      <w:r w:rsidRPr="00467DB0">
        <w:t xml:space="preserve"> for </w:t>
      </w:r>
      <w:proofErr w:type="spellStart"/>
      <w:r w:rsidRPr="00467DB0">
        <w:t>tjenestemænd</w:t>
      </w:r>
      <w:proofErr w:type="spellEnd"/>
      <w:r w:rsidRPr="00467DB0">
        <w:t xml:space="preserve"> i Den </w:t>
      </w:r>
      <w:proofErr w:type="spellStart"/>
      <w:r w:rsidRPr="00467DB0">
        <w:t>Europæiske</w:t>
      </w:r>
      <w:proofErr w:type="spellEnd"/>
      <w:r w:rsidRPr="00467DB0">
        <w:t xml:space="preserve"> Union ("</w:t>
      </w:r>
      <w:proofErr w:type="spellStart"/>
      <w:r w:rsidRPr="00467DB0">
        <w:t>personalevedtægten</w:t>
      </w:r>
      <w:proofErr w:type="spellEnd"/>
      <w:r w:rsidRPr="00467DB0">
        <w:t xml:space="preserve">") og </w:t>
      </w:r>
      <w:proofErr w:type="spellStart"/>
      <w:r w:rsidRPr="00467DB0">
        <w:t>ansættelsesvilkårene</w:t>
      </w:r>
      <w:proofErr w:type="spellEnd"/>
      <w:r w:rsidRPr="00467DB0">
        <w:t xml:space="preserve"> for Unionens øvrige ansatte ("</w:t>
      </w:r>
      <w:proofErr w:type="spellStart"/>
      <w:r w:rsidRPr="00467DB0">
        <w:t>ansættelsesvilkårene</w:t>
      </w:r>
      <w:proofErr w:type="spellEnd"/>
      <w:r w:rsidRPr="00467DB0">
        <w:t>"), jf. Rådets forordning (EØF, Euratom, EKSF) nr. 259/68</w:t>
      </w:r>
      <w:r w:rsidRPr="00467DB0">
        <w:rPr>
          <w:rStyle w:val="Fotnotereferanse"/>
        </w:rPr>
        <w:footnoteReference w:id="56"/>
      </w:r>
      <w:r w:rsidRPr="00467DB0">
        <w:t>, og</w:t>
      </w:r>
    </w:p>
    <w:p w14:paraId="57ED3643" w14:textId="77777777" w:rsidR="00000000" w:rsidRPr="00467DB0" w:rsidRDefault="00693D67" w:rsidP="00467DB0">
      <w:pPr>
        <w:pStyle w:val="friliste3"/>
      </w:pPr>
      <w:r w:rsidRPr="00467DB0">
        <w:t>i</w:t>
      </w:r>
      <w:r w:rsidRPr="00467DB0">
        <w:t xml:space="preserve">i) </w:t>
      </w:r>
      <w:proofErr w:type="spellStart"/>
      <w:r w:rsidRPr="00467DB0">
        <w:t>fuldstændig</w:t>
      </w:r>
      <w:proofErr w:type="spellEnd"/>
      <w:r w:rsidRPr="00467DB0">
        <w:t xml:space="preserve"> </w:t>
      </w:r>
      <w:proofErr w:type="spellStart"/>
      <w:r w:rsidRPr="00467DB0">
        <w:t>uafhængig</w:t>
      </w:r>
      <w:proofErr w:type="spellEnd"/>
      <w:r w:rsidRPr="00467DB0">
        <w:t xml:space="preserve"> i </w:t>
      </w:r>
      <w:proofErr w:type="spellStart"/>
      <w:r w:rsidRPr="00467DB0">
        <w:t>udøvelsen</w:t>
      </w:r>
      <w:proofErr w:type="spellEnd"/>
      <w:r w:rsidRPr="00467DB0">
        <w:t xml:space="preserve"> </w:t>
      </w:r>
      <w:proofErr w:type="spellStart"/>
      <w:r w:rsidRPr="00467DB0">
        <w:t>af</w:t>
      </w:r>
      <w:proofErr w:type="spellEnd"/>
      <w:r w:rsidRPr="00467DB0">
        <w:t xml:space="preserve"> </w:t>
      </w:r>
      <w:proofErr w:type="spellStart"/>
      <w:r w:rsidRPr="00467DB0">
        <w:t>sit</w:t>
      </w:r>
      <w:proofErr w:type="spellEnd"/>
      <w:r w:rsidRPr="00467DB0">
        <w:t xml:space="preserve"> </w:t>
      </w:r>
      <w:proofErr w:type="spellStart"/>
      <w:r w:rsidRPr="00467DB0">
        <w:t>hverv</w:t>
      </w:r>
      <w:proofErr w:type="spellEnd"/>
    </w:p>
    <w:p w14:paraId="424791EB" w14:textId="77777777" w:rsidR="00000000" w:rsidRPr="00467DB0" w:rsidRDefault="00693D67" w:rsidP="00467DB0">
      <w:pPr>
        <w:pStyle w:val="friliste2"/>
      </w:pPr>
      <w:r w:rsidRPr="00467DB0">
        <w:t>o)</w:t>
      </w:r>
      <w:r w:rsidRPr="00467DB0">
        <w:tab/>
      </w:r>
      <w:proofErr w:type="spellStart"/>
      <w:r w:rsidRPr="00467DB0">
        <w:t>vedtage</w:t>
      </w:r>
      <w:proofErr w:type="spellEnd"/>
      <w:r w:rsidRPr="00467DB0">
        <w:t xml:space="preserve"> og </w:t>
      </w:r>
      <w:proofErr w:type="spellStart"/>
      <w:r w:rsidRPr="00467DB0">
        <w:t>offentliggøre</w:t>
      </w:r>
      <w:proofErr w:type="spellEnd"/>
      <w:r w:rsidRPr="00467DB0">
        <w:t xml:space="preserve"> sin forretningsorden.</w:t>
      </w:r>
    </w:p>
    <w:p w14:paraId="4EB5AC3A" w14:textId="77777777" w:rsidR="00000000" w:rsidRPr="00467DB0" w:rsidRDefault="00693D67" w:rsidP="00467DB0">
      <w:pPr>
        <w:pStyle w:val="friliste"/>
      </w:pPr>
      <w:r w:rsidRPr="00467DB0">
        <w:t>3.</w:t>
      </w:r>
      <w:r w:rsidRPr="00467DB0">
        <w:tab/>
        <w:t xml:space="preserve">Med hensyn til agenturets personale udøver bestyrelsen de </w:t>
      </w:r>
      <w:proofErr w:type="spellStart"/>
      <w:r w:rsidRPr="00467DB0">
        <w:t>beføjelser</w:t>
      </w:r>
      <w:proofErr w:type="spellEnd"/>
      <w:r w:rsidRPr="00467DB0">
        <w:t xml:space="preserve">, der i henhold til </w:t>
      </w:r>
      <w:proofErr w:type="spellStart"/>
      <w:r w:rsidRPr="00467DB0">
        <w:t>personalevedtægten</w:t>
      </w:r>
      <w:proofErr w:type="spellEnd"/>
      <w:r w:rsidRPr="00467DB0">
        <w:t xml:space="preserve"> </w:t>
      </w:r>
      <w:proofErr w:type="spellStart"/>
      <w:r w:rsidRPr="00467DB0">
        <w:t>gælder</w:t>
      </w:r>
      <w:proofErr w:type="spellEnd"/>
      <w:r w:rsidRPr="00467DB0">
        <w:t xml:space="preserve"> for </w:t>
      </w:r>
      <w:proofErr w:type="spellStart"/>
      <w:r w:rsidRPr="00467DB0">
        <w:t>ansættelsesmyndigheden</w:t>
      </w:r>
      <w:proofErr w:type="spellEnd"/>
      <w:r w:rsidRPr="00467DB0">
        <w:t xml:space="preserve"> og i henhold</w:t>
      </w:r>
      <w:r w:rsidRPr="00467DB0">
        <w:t xml:space="preserve"> til </w:t>
      </w:r>
      <w:proofErr w:type="spellStart"/>
      <w:r w:rsidRPr="00467DB0">
        <w:t>ansættelsesvilkårene</w:t>
      </w:r>
      <w:proofErr w:type="spellEnd"/>
      <w:r w:rsidRPr="00467DB0">
        <w:t xml:space="preserve"> </w:t>
      </w:r>
      <w:proofErr w:type="spellStart"/>
      <w:r w:rsidRPr="00467DB0">
        <w:t>gælder</w:t>
      </w:r>
      <w:proofErr w:type="spellEnd"/>
      <w:r w:rsidRPr="00467DB0">
        <w:t xml:space="preserve"> for den </w:t>
      </w:r>
      <w:proofErr w:type="spellStart"/>
      <w:r w:rsidRPr="00467DB0">
        <w:t>myndighed</w:t>
      </w:r>
      <w:proofErr w:type="spellEnd"/>
      <w:r w:rsidRPr="00467DB0">
        <w:t xml:space="preserve">, der har </w:t>
      </w:r>
      <w:proofErr w:type="spellStart"/>
      <w:r w:rsidRPr="00467DB0">
        <w:t>kompetence</w:t>
      </w:r>
      <w:proofErr w:type="spellEnd"/>
      <w:r w:rsidRPr="00467DB0">
        <w:t xml:space="preserve"> til at </w:t>
      </w:r>
      <w:proofErr w:type="spellStart"/>
      <w:r w:rsidRPr="00467DB0">
        <w:t>indgå</w:t>
      </w:r>
      <w:proofErr w:type="spellEnd"/>
      <w:r w:rsidRPr="00467DB0">
        <w:t xml:space="preserve"> </w:t>
      </w:r>
      <w:proofErr w:type="spellStart"/>
      <w:r w:rsidRPr="00467DB0">
        <w:t>ansættelseskontrakter</w:t>
      </w:r>
      <w:proofErr w:type="spellEnd"/>
      <w:r w:rsidRPr="00467DB0">
        <w:t xml:space="preserve"> ("</w:t>
      </w:r>
      <w:proofErr w:type="spellStart"/>
      <w:r w:rsidRPr="00467DB0">
        <w:t>ansættelsesmyndighedens</w:t>
      </w:r>
      <w:proofErr w:type="spellEnd"/>
      <w:r w:rsidRPr="00467DB0">
        <w:t xml:space="preserve"> </w:t>
      </w:r>
      <w:proofErr w:type="spellStart"/>
      <w:r w:rsidRPr="00467DB0">
        <w:t>beføjelser</w:t>
      </w:r>
      <w:proofErr w:type="spellEnd"/>
      <w:r w:rsidRPr="00467DB0">
        <w:t>").</w:t>
      </w:r>
    </w:p>
    <w:p w14:paraId="2A9D0E54" w14:textId="77777777" w:rsidR="00000000" w:rsidRPr="00467DB0" w:rsidRDefault="00693D67" w:rsidP="00467DB0">
      <w:pPr>
        <w:pStyle w:val="Listeavsnitt"/>
      </w:pPr>
      <w:r w:rsidRPr="00467DB0">
        <w:t xml:space="preserve">Efter </w:t>
      </w:r>
      <w:proofErr w:type="spellStart"/>
      <w:r w:rsidRPr="00467DB0">
        <w:t>proceduren</w:t>
      </w:r>
      <w:proofErr w:type="spellEnd"/>
      <w:r w:rsidRPr="00467DB0">
        <w:t xml:space="preserve"> i </w:t>
      </w:r>
      <w:proofErr w:type="spellStart"/>
      <w:r w:rsidRPr="00467DB0">
        <w:t>personalevedtægtens</w:t>
      </w:r>
      <w:proofErr w:type="spellEnd"/>
      <w:r w:rsidRPr="00467DB0">
        <w:t xml:space="preserve"> </w:t>
      </w:r>
      <w:proofErr w:type="spellStart"/>
      <w:r w:rsidRPr="00467DB0">
        <w:t>artikel</w:t>
      </w:r>
      <w:proofErr w:type="spellEnd"/>
      <w:r w:rsidRPr="00467DB0">
        <w:t xml:space="preserve"> 110 </w:t>
      </w:r>
      <w:proofErr w:type="spellStart"/>
      <w:r w:rsidRPr="00467DB0">
        <w:t>vedtager</w:t>
      </w:r>
      <w:proofErr w:type="spellEnd"/>
      <w:r w:rsidRPr="00467DB0">
        <w:t xml:space="preserve"> bestyrelsen en </w:t>
      </w:r>
      <w:proofErr w:type="spellStart"/>
      <w:r w:rsidRPr="00467DB0">
        <w:t>afgørelse</w:t>
      </w:r>
      <w:proofErr w:type="spellEnd"/>
      <w:r w:rsidRPr="00467DB0">
        <w:t xml:space="preserve"> i henhold til </w:t>
      </w:r>
      <w:proofErr w:type="spellStart"/>
      <w:r w:rsidRPr="00467DB0">
        <w:t>artikel</w:t>
      </w:r>
      <w:proofErr w:type="spellEnd"/>
      <w:r w:rsidRPr="00467DB0">
        <w:t xml:space="preserve"> 2</w:t>
      </w:r>
      <w:r w:rsidRPr="00467DB0">
        <w:t xml:space="preserve">, stk. 1, i </w:t>
      </w:r>
      <w:proofErr w:type="spellStart"/>
      <w:r w:rsidRPr="00467DB0">
        <w:t>personalevedtægten</w:t>
      </w:r>
      <w:proofErr w:type="spellEnd"/>
      <w:r w:rsidRPr="00467DB0">
        <w:t xml:space="preserve"> og </w:t>
      </w:r>
      <w:proofErr w:type="spellStart"/>
      <w:r w:rsidRPr="00467DB0">
        <w:t>artikel</w:t>
      </w:r>
      <w:proofErr w:type="spellEnd"/>
      <w:r w:rsidRPr="00467DB0">
        <w:t xml:space="preserve"> 6 i </w:t>
      </w:r>
      <w:proofErr w:type="spellStart"/>
      <w:r w:rsidRPr="00467DB0">
        <w:t>ansættelsesvilkårene</w:t>
      </w:r>
      <w:proofErr w:type="spellEnd"/>
      <w:r w:rsidRPr="00467DB0">
        <w:t xml:space="preserve"> om delegering </w:t>
      </w:r>
      <w:proofErr w:type="spellStart"/>
      <w:r w:rsidRPr="00467DB0">
        <w:t>af</w:t>
      </w:r>
      <w:proofErr w:type="spellEnd"/>
      <w:r w:rsidRPr="00467DB0">
        <w:t xml:space="preserve"> de relevante </w:t>
      </w:r>
      <w:proofErr w:type="spellStart"/>
      <w:r w:rsidRPr="00467DB0">
        <w:t>ansættelsesmyndighedsbeføjelser</w:t>
      </w:r>
      <w:proofErr w:type="spellEnd"/>
      <w:r w:rsidRPr="00467DB0">
        <w:t xml:space="preserve"> til den administrerende direktør og </w:t>
      </w:r>
      <w:proofErr w:type="spellStart"/>
      <w:r w:rsidRPr="00467DB0">
        <w:t>fastsættelse</w:t>
      </w:r>
      <w:proofErr w:type="spellEnd"/>
      <w:r w:rsidRPr="00467DB0">
        <w:t xml:space="preserve"> </w:t>
      </w:r>
      <w:proofErr w:type="spellStart"/>
      <w:r w:rsidRPr="00467DB0">
        <w:t>af</w:t>
      </w:r>
      <w:proofErr w:type="spellEnd"/>
      <w:r w:rsidRPr="00467DB0">
        <w:t xml:space="preserve"> </w:t>
      </w:r>
      <w:proofErr w:type="spellStart"/>
      <w:r w:rsidRPr="00467DB0">
        <w:t>betingelserne</w:t>
      </w:r>
      <w:proofErr w:type="spellEnd"/>
      <w:r w:rsidRPr="00467DB0">
        <w:t xml:space="preserve"> for at suspendere denne </w:t>
      </w:r>
      <w:proofErr w:type="spellStart"/>
      <w:r w:rsidRPr="00467DB0">
        <w:t>delegation</w:t>
      </w:r>
      <w:proofErr w:type="spellEnd"/>
      <w:r w:rsidRPr="00467DB0">
        <w:t xml:space="preserve"> </w:t>
      </w:r>
      <w:proofErr w:type="spellStart"/>
      <w:r w:rsidRPr="00467DB0">
        <w:t>af</w:t>
      </w:r>
      <w:proofErr w:type="spellEnd"/>
      <w:r w:rsidRPr="00467DB0">
        <w:t xml:space="preserve"> </w:t>
      </w:r>
      <w:proofErr w:type="spellStart"/>
      <w:r w:rsidRPr="00467DB0">
        <w:t>beføjelser</w:t>
      </w:r>
      <w:proofErr w:type="spellEnd"/>
      <w:r w:rsidRPr="00467DB0">
        <w:t>. Den adminis</w:t>
      </w:r>
      <w:r w:rsidRPr="00467DB0">
        <w:t xml:space="preserve">trerende direktør </w:t>
      </w:r>
      <w:proofErr w:type="spellStart"/>
      <w:r w:rsidRPr="00467DB0">
        <w:t>aflægger</w:t>
      </w:r>
      <w:proofErr w:type="spellEnd"/>
      <w:r w:rsidRPr="00467DB0">
        <w:t xml:space="preserve"> rapport til bestyrelsen om </w:t>
      </w:r>
      <w:proofErr w:type="spellStart"/>
      <w:r w:rsidRPr="00467DB0">
        <w:t>udøvelsen</w:t>
      </w:r>
      <w:proofErr w:type="spellEnd"/>
      <w:r w:rsidRPr="00467DB0">
        <w:t xml:space="preserve"> </w:t>
      </w:r>
      <w:proofErr w:type="spellStart"/>
      <w:r w:rsidRPr="00467DB0">
        <w:t>af</w:t>
      </w:r>
      <w:proofErr w:type="spellEnd"/>
      <w:r w:rsidRPr="00467DB0">
        <w:t xml:space="preserve"> disse </w:t>
      </w:r>
      <w:proofErr w:type="spellStart"/>
      <w:r w:rsidRPr="00467DB0">
        <w:t>delegerede</w:t>
      </w:r>
      <w:proofErr w:type="spellEnd"/>
      <w:r w:rsidRPr="00467DB0">
        <w:t xml:space="preserve"> </w:t>
      </w:r>
      <w:proofErr w:type="spellStart"/>
      <w:r w:rsidRPr="00467DB0">
        <w:t>beføjelser</w:t>
      </w:r>
      <w:proofErr w:type="spellEnd"/>
      <w:r w:rsidRPr="00467DB0">
        <w:t xml:space="preserve">. Den administrerende direktør er bemyndiget til at </w:t>
      </w:r>
      <w:proofErr w:type="spellStart"/>
      <w:r w:rsidRPr="00467DB0">
        <w:t>videredelegere</w:t>
      </w:r>
      <w:proofErr w:type="spellEnd"/>
      <w:r w:rsidRPr="00467DB0">
        <w:t xml:space="preserve"> disse </w:t>
      </w:r>
      <w:proofErr w:type="spellStart"/>
      <w:r w:rsidRPr="00467DB0">
        <w:t>beføjelser</w:t>
      </w:r>
      <w:proofErr w:type="spellEnd"/>
      <w:r w:rsidRPr="00467DB0">
        <w:t>.</w:t>
      </w:r>
    </w:p>
    <w:p w14:paraId="663B7D83" w14:textId="77777777" w:rsidR="00000000" w:rsidRPr="00467DB0" w:rsidRDefault="00693D67" w:rsidP="00467DB0">
      <w:pPr>
        <w:pStyle w:val="Listeavsnitt"/>
      </w:pPr>
      <w:r w:rsidRPr="00467DB0">
        <w:t xml:space="preserve">I medfør </w:t>
      </w:r>
      <w:proofErr w:type="spellStart"/>
      <w:r w:rsidRPr="00467DB0">
        <w:t>af</w:t>
      </w:r>
      <w:proofErr w:type="spellEnd"/>
      <w:r w:rsidRPr="00467DB0">
        <w:t xml:space="preserve"> dette stykkes andet </w:t>
      </w:r>
      <w:proofErr w:type="spellStart"/>
      <w:r w:rsidRPr="00467DB0">
        <w:t>afsnit</w:t>
      </w:r>
      <w:proofErr w:type="spellEnd"/>
      <w:r w:rsidRPr="00467DB0">
        <w:t xml:space="preserve">, og når ekstraordinære hensyn </w:t>
      </w:r>
      <w:proofErr w:type="spellStart"/>
      <w:r w:rsidRPr="00467DB0">
        <w:t>kræver</w:t>
      </w:r>
      <w:proofErr w:type="spellEnd"/>
      <w:r w:rsidRPr="00467DB0">
        <w:t xml:space="preserve"> dette, kan bestyrelsen ved en </w:t>
      </w:r>
      <w:proofErr w:type="spellStart"/>
      <w:r w:rsidRPr="00467DB0">
        <w:t>afgørelse</w:t>
      </w:r>
      <w:proofErr w:type="spellEnd"/>
      <w:r w:rsidRPr="00467DB0">
        <w:t xml:space="preserve"> </w:t>
      </w:r>
      <w:proofErr w:type="spellStart"/>
      <w:r w:rsidRPr="00467DB0">
        <w:t>midlertidigt</w:t>
      </w:r>
      <w:proofErr w:type="spellEnd"/>
      <w:r w:rsidRPr="00467DB0">
        <w:t xml:space="preserve"> </w:t>
      </w:r>
      <w:proofErr w:type="spellStart"/>
      <w:r w:rsidRPr="00467DB0">
        <w:t>ophæve</w:t>
      </w:r>
      <w:proofErr w:type="spellEnd"/>
      <w:r w:rsidRPr="00467DB0">
        <w:t xml:space="preserve"> delegeringen </w:t>
      </w:r>
      <w:proofErr w:type="spellStart"/>
      <w:r w:rsidRPr="00467DB0">
        <w:t>af</w:t>
      </w:r>
      <w:proofErr w:type="spellEnd"/>
      <w:r w:rsidRPr="00467DB0">
        <w:t xml:space="preserve"> </w:t>
      </w:r>
      <w:proofErr w:type="spellStart"/>
      <w:r w:rsidRPr="00467DB0">
        <w:t>ansættelsesmyndighedens</w:t>
      </w:r>
      <w:proofErr w:type="spellEnd"/>
      <w:r w:rsidRPr="00467DB0">
        <w:t xml:space="preserve"> </w:t>
      </w:r>
      <w:proofErr w:type="spellStart"/>
      <w:r w:rsidRPr="00467DB0">
        <w:t>beføjelser</w:t>
      </w:r>
      <w:proofErr w:type="spellEnd"/>
      <w:r w:rsidRPr="00467DB0">
        <w:t xml:space="preserve"> til den administrerende direktør og de </w:t>
      </w:r>
      <w:proofErr w:type="spellStart"/>
      <w:r w:rsidRPr="00467DB0">
        <w:t>af</w:t>
      </w:r>
      <w:proofErr w:type="spellEnd"/>
      <w:r w:rsidRPr="00467DB0">
        <w:t xml:space="preserve"> denne videredelegerede </w:t>
      </w:r>
      <w:proofErr w:type="spellStart"/>
      <w:r w:rsidRPr="00467DB0">
        <w:t>beføjelser</w:t>
      </w:r>
      <w:proofErr w:type="spellEnd"/>
      <w:r w:rsidRPr="00467DB0">
        <w:t xml:space="preserve"> og selv udøve disse eller </w:t>
      </w:r>
      <w:proofErr w:type="spellStart"/>
      <w:r w:rsidRPr="00467DB0">
        <w:t>uddelegere</w:t>
      </w:r>
      <w:proofErr w:type="spellEnd"/>
      <w:r w:rsidRPr="00467DB0">
        <w:t xml:space="preserve"> dem til sine medlemmer eller ti</w:t>
      </w:r>
      <w:r w:rsidRPr="00467DB0">
        <w:t xml:space="preserve">l </w:t>
      </w:r>
      <w:proofErr w:type="gramStart"/>
      <w:r w:rsidRPr="00467DB0">
        <w:t>en anden</w:t>
      </w:r>
      <w:proofErr w:type="gramEnd"/>
      <w:r w:rsidRPr="00467DB0">
        <w:t xml:space="preserve"> </w:t>
      </w:r>
      <w:proofErr w:type="spellStart"/>
      <w:r w:rsidRPr="00467DB0">
        <w:t>medarbejder</w:t>
      </w:r>
      <w:proofErr w:type="spellEnd"/>
      <w:r w:rsidRPr="00467DB0">
        <w:t xml:space="preserve"> end den administrerende direktør.</w:t>
      </w:r>
    </w:p>
    <w:p w14:paraId="134AF1FE" w14:textId="77777777" w:rsidR="00000000" w:rsidRPr="00467DB0" w:rsidRDefault="00693D67" w:rsidP="00467DB0">
      <w:pPr>
        <w:pStyle w:val="Listeavsnitt"/>
      </w:pPr>
      <w:proofErr w:type="spellStart"/>
      <w:r w:rsidRPr="00467DB0">
        <w:t>Uanset</w:t>
      </w:r>
      <w:proofErr w:type="spellEnd"/>
      <w:r w:rsidRPr="00467DB0">
        <w:t xml:space="preserve"> dette stykkes andet </w:t>
      </w:r>
      <w:proofErr w:type="spellStart"/>
      <w:r w:rsidRPr="00467DB0">
        <w:t>afsnit</w:t>
      </w:r>
      <w:proofErr w:type="spellEnd"/>
      <w:r w:rsidRPr="00467DB0">
        <w:t xml:space="preserve"> </w:t>
      </w:r>
      <w:proofErr w:type="spellStart"/>
      <w:r w:rsidRPr="00467DB0">
        <w:t>uddelegerer</w:t>
      </w:r>
      <w:proofErr w:type="spellEnd"/>
      <w:r w:rsidRPr="00467DB0">
        <w:t xml:space="preserve"> bestyrelsen til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de i første </w:t>
      </w:r>
      <w:proofErr w:type="spellStart"/>
      <w:r w:rsidRPr="00467DB0">
        <w:t>afsnit</w:t>
      </w:r>
      <w:proofErr w:type="spellEnd"/>
      <w:r w:rsidRPr="00467DB0">
        <w:t xml:space="preserve"> omhandlede </w:t>
      </w:r>
      <w:proofErr w:type="spellStart"/>
      <w:r w:rsidRPr="00467DB0">
        <w:t>beføjelser</w:t>
      </w:r>
      <w:proofErr w:type="spellEnd"/>
      <w:r w:rsidRPr="00467DB0">
        <w:t xml:space="preserve"> </w:t>
      </w:r>
      <w:proofErr w:type="gramStart"/>
      <w:r w:rsidRPr="00467DB0">
        <w:t>vedrørende</w:t>
      </w:r>
      <w:proofErr w:type="gramEnd"/>
      <w:r w:rsidRPr="00467DB0">
        <w:t xml:space="preserve"> rekrutteringen, evalueringen og </w:t>
      </w:r>
      <w:proofErr w:type="spellStart"/>
      <w:r w:rsidRPr="00467DB0">
        <w:t>om</w:t>
      </w:r>
      <w:r w:rsidRPr="00467DB0">
        <w:t>klassificeringen</w:t>
      </w:r>
      <w:proofErr w:type="spellEnd"/>
      <w:r w:rsidRPr="00467DB0">
        <w:t xml:space="preserve"> </w:t>
      </w:r>
      <w:proofErr w:type="spellStart"/>
      <w:r w:rsidRPr="00467DB0">
        <w:t>af</w:t>
      </w:r>
      <w:proofErr w:type="spellEnd"/>
      <w:r w:rsidRPr="00467DB0">
        <w:t xml:space="preserve"> det personale, der er </w:t>
      </w:r>
      <w:proofErr w:type="spellStart"/>
      <w:r w:rsidRPr="00467DB0">
        <w:t>beskæftiget</w:t>
      </w:r>
      <w:proofErr w:type="spellEnd"/>
      <w:r w:rsidRPr="00467DB0">
        <w:t xml:space="preserve"> med de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samt de </w:t>
      </w:r>
      <w:proofErr w:type="spellStart"/>
      <w:r w:rsidRPr="00467DB0">
        <w:t>disciplinære</w:t>
      </w:r>
      <w:proofErr w:type="spellEnd"/>
      <w:r w:rsidRPr="00467DB0">
        <w:t xml:space="preserve"> foranstaltninger, der </w:t>
      </w:r>
      <w:proofErr w:type="spellStart"/>
      <w:r w:rsidRPr="00467DB0">
        <w:t>træffes</w:t>
      </w:r>
      <w:proofErr w:type="spellEnd"/>
      <w:r w:rsidRPr="00467DB0">
        <w:t xml:space="preserve"> over for sådant personale.</w:t>
      </w:r>
    </w:p>
    <w:p w14:paraId="3D326A3A" w14:textId="77777777" w:rsidR="00000000" w:rsidRPr="00467DB0" w:rsidRDefault="00693D67" w:rsidP="00467DB0">
      <w:pPr>
        <w:pStyle w:val="Listeavsnitt"/>
      </w:pPr>
      <w:r w:rsidRPr="00467DB0">
        <w:lastRenderedPageBreak/>
        <w:t xml:space="preserve">Bestyrelsen </w:t>
      </w:r>
      <w:proofErr w:type="spellStart"/>
      <w:r w:rsidRPr="00467DB0">
        <w:t>vedtager</w:t>
      </w:r>
      <w:proofErr w:type="spellEnd"/>
      <w:r w:rsidRPr="00467DB0">
        <w:t xml:space="preserve"> </w:t>
      </w:r>
      <w:proofErr w:type="spellStart"/>
      <w:r w:rsidRPr="00467DB0">
        <w:t>gennemførelsesbestemmelserne</w:t>
      </w:r>
      <w:proofErr w:type="spellEnd"/>
      <w:r w:rsidRPr="00467DB0">
        <w:t xml:space="preserve"> til </w:t>
      </w:r>
      <w:proofErr w:type="spellStart"/>
      <w:r w:rsidRPr="00467DB0">
        <w:t>persona</w:t>
      </w:r>
      <w:r w:rsidRPr="00467DB0">
        <w:t>levedtægten</w:t>
      </w:r>
      <w:proofErr w:type="spellEnd"/>
      <w:r w:rsidRPr="00467DB0">
        <w:t xml:space="preserve"> og </w:t>
      </w:r>
      <w:proofErr w:type="spellStart"/>
      <w:r w:rsidRPr="00467DB0">
        <w:t>ansættelsesvilkårene</w:t>
      </w:r>
      <w:proofErr w:type="spellEnd"/>
      <w:r w:rsidRPr="00467DB0">
        <w:t xml:space="preserve"> efter </w:t>
      </w:r>
      <w:proofErr w:type="spellStart"/>
      <w:r w:rsidRPr="00467DB0">
        <w:t>proceduren</w:t>
      </w:r>
      <w:proofErr w:type="spellEnd"/>
      <w:r w:rsidRPr="00467DB0">
        <w:t xml:space="preserve"> i </w:t>
      </w:r>
      <w:proofErr w:type="spellStart"/>
      <w:r w:rsidRPr="00467DB0">
        <w:t>artikel</w:t>
      </w:r>
      <w:proofErr w:type="spellEnd"/>
      <w:r w:rsidRPr="00467DB0">
        <w:t xml:space="preserve"> 110 i </w:t>
      </w:r>
      <w:proofErr w:type="spellStart"/>
      <w:r w:rsidRPr="00467DB0">
        <w:t>personalevedtægten</w:t>
      </w:r>
      <w:proofErr w:type="spellEnd"/>
      <w:r w:rsidRPr="00467DB0">
        <w:t xml:space="preserve">. I forbindelse med rekruttering, evaluering og </w:t>
      </w:r>
      <w:proofErr w:type="spellStart"/>
      <w:r w:rsidRPr="00467DB0">
        <w:t>omklassificering</w:t>
      </w:r>
      <w:proofErr w:type="spellEnd"/>
      <w:r w:rsidRPr="00467DB0">
        <w:t xml:space="preserve"> </w:t>
      </w:r>
      <w:proofErr w:type="spellStart"/>
      <w:r w:rsidRPr="00467DB0">
        <w:t>af</w:t>
      </w:r>
      <w:proofErr w:type="spellEnd"/>
      <w:r w:rsidRPr="00467DB0">
        <w:t xml:space="preserve"> det personale, der er </w:t>
      </w:r>
      <w:proofErr w:type="spellStart"/>
      <w:r w:rsidRPr="00467DB0">
        <w:t>beskæftiget</w:t>
      </w:r>
      <w:proofErr w:type="spellEnd"/>
      <w:r w:rsidRPr="00467DB0">
        <w:t xml:space="preserve"> med </w:t>
      </w:r>
      <w:proofErr w:type="spellStart"/>
      <w:r w:rsidRPr="00467DB0">
        <w:t>aktiviteterne</w:t>
      </w:r>
      <w:proofErr w:type="spellEnd"/>
      <w:r w:rsidRPr="00467DB0">
        <w:t xml:space="preserve"> i nærværende forordnings </w:t>
      </w:r>
      <w:proofErr w:type="spellStart"/>
      <w:r w:rsidRPr="00467DB0">
        <w:t>afsnit</w:t>
      </w:r>
      <w:proofErr w:type="spellEnd"/>
      <w:r w:rsidRPr="00467DB0">
        <w:t xml:space="preserve"> V, kapitel II, og</w:t>
      </w:r>
      <w:r w:rsidRPr="00467DB0">
        <w:t xml:space="preserve"> de </w:t>
      </w:r>
      <w:proofErr w:type="spellStart"/>
      <w:r w:rsidRPr="00467DB0">
        <w:t>disciplinære</w:t>
      </w:r>
      <w:proofErr w:type="spellEnd"/>
      <w:r w:rsidRPr="00467DB0">
        <w:t xml:space="preserve"> foranstaltninger, der </w:t>
      </w:r>
      <w:proofErr w:type="spellStart"/>
      <w:r w:rsidRPr="00467DB0">
        <w:t>træffes</w:t>
      </w:r>
      <w:proofErr w:type="spellEnd"/>
      <w:r w:rsidRPr="00467DB0">
        <w:t xml:space="preserve"> over for dette, hører bestyrelsen </w:t>
      </w:r>
      <w:proofErr w:type="spellStart"/>
      <w:r w:rsidRPr="00467DB0">
        <w:t>forinden</w:t>
      </w:r>
      <w:proofErr w:type="spellEnd"/>
      <w:r w:rsidRPr="00467DB0">
        <w:t xml:space="preserve"> Komitéen for </w:t>
      </w:r>
      <w:proofErr w:type="spellStart"/>
      <w:r w:rsidRPr="00467DB0">
        <w:t>Sikkerhedsgodkendelse</w:t>
      </w:r>
      <w:proofErr w:type="spellEnd"/>
      <w:r w:rsidRPr="00467DB0">
        <w:t xml:space="preserve"> og tager </w:t>
      </w:r>
      <w:proofErr w:type="spellStart"/>
      <w:r w:rsidRPr="00467DB0">
        <w:t>behørigt</w:t>
      </w:r>
      <w:proofErr w:type="spellEnd"/>
      <w:r w:rsidRPr="00467DB0">
        <w:t xml:space="preserve"> hensyn til dennes </w:t>
      </w:r>
      <w:proofErr w:type="spellStart"/>
      <w:r w:rsidRPr="00467DB0">
        <w:t>bemærkninger</w:t>
      </w:r>
      <w:proofErr w:type="spellEnd"/>
      <w:r w:rsidRPr="00467DB0">
        <w:t>.</w:t>
      </w:r>
    </w:p>
    <w:p w14:paraId="5221FB73" w14:textId="77777777" w:rsidR="00000000" w:rsidRPr="00467DB0" w:rsidRDefault="00693D67" w:rsidP="00467DB0">
      <w:pPr>
        <w:pStyle w:val="Listeavsnitt"/>
      </w:pPr>
      <w:r w:rsidRPr="00467DB0">
        <w:t xml:space="preserve">Bestyrelsen </w:t>
      </w:r>
      <w:proofErr w:type="spellStart"/>
      <w:r w:rsidRPr="00467DB0">
        <w:t>vedtager</w:t>
      </w:r>
      <w:proofErr w:type="spellEnd"/>
      <w:r w:rsidRPr="00467DB0">
        <w:t xml:space="preserve"> også en </w:t>
      </w:r>
      <w:proofErr w:type="spellStart"/>
      <w:r w:rsidRPr="00467DB0">
        <w:t>afgørelse</w:t>
      </w:r>
      <w:proofErr w:type="spellEnd"/>
      <w:r w:rsidRPr="00467DB0">
        <w:t xml:space="preserve"> om </w:t>
      </w:r>
      <w:proofErr w:type="spellStart"/>
      <w:r w:rsidRPr="00467DB0">
        <w:t>fastsættelse</w:t>
      </w:r>
      <w:proofErr w:type="spellEnd"/>
      <w:r w:rsidRPr="00467DB0">
        <w:t xml:space="preserve"> </w:t>
      </w:r>
      <w:proofErr w:type="spellStart"/>
      <w:r w:rsidRPr="00467DB0">
        <w:t>af</w:t>
      </w:r>
      <w:proofErr w:type="spellEnd"/>
      <w:r w:rsidRPr="00467DB0">
        <w:t xml:space="preserve"> bestemmelser for </w:t>
      </w:r>
      <w:proofErr w:type="spellStart"/>
      <w:r w:rsidRPr="00467DB0">
        <w:t>udst</w:t>
      </w:r>
      <w:r w:rsidRPr="00467DB0">
        <w:t>ationering</w:t>
      </w:r>
      <w:proofErr w:type="spellEnd"/>
      <w:r w:rsidRPr="00467DB0">
        <w:t xml:space="preserve"> </w:t>
      </w:r>
      <w:proofErr w:type="spellStart"/>
      <w:r w:rsidRPr="00467DB0">
        <w:t>af</w:t>
      </w:r>
      <w:proofErr w:type="spellEnd"/>
      <w:r w:rsidRPr="00467DB0">
        <w:t xml:space="preserve"> </w:t>
      </w:r>
      <w:proofErr w:type="spellStart"/>
      <w:r w:rsidRPr="00467DB0">
        <w:t>nationale</w:t>
      </w:r>
      <w:proofErr w:type="spellEnd"/>
      <w:r w:rsidRPr="00467DB0">
        <w:t xml:space="preserve"> eksperter til agenturet. </w:t>
      </w:r>
      <w:proofErr w:type="spellStart"/>
      <w:r w:rsidRPr="00467DB0">
        <w:t>Inden</w:t>
      </w:r>
      <w:proofErr w:type="spellEnd"/>
      <w:r w:rsidRPr="00467DB0">
        <w:t xml:space="preserve"> </w:t>
      </w:r>
      <w:proofErr w:type="spellStart"/>
      <w:r w:rsidRPr="00467DB0">
        <w:t>afgørelsen</w:t>
      </w:r>
      <w:proofErr w:type="spellEnd"/>
      <w:r w:rsidRPr="00467DB0">
        <w:t xml:space="preserve"> </w:t>
      </w:r>
      <w:proofErr w:type="spellStart"/>
      <w:r w:rsidRPr="00467DB0">
        <w:t>vedtages</w:t>
      </w:r>
      <w:proofErr w:type="spellEnd"/>
      <w:r w:rsidRPr="00467DB0">
        <w:t xml:space="preserve">, hører bestyrelsen Komitéen for </w:t>
      </w:r>
      <w:proofErr w:type="spellStart"/>
      <w:r w:rsidRPr="00467DB0">
        <w:t>Sikkerhedsgodkendelse</w:t>
      </w:r>
      <w:proofErr w:type="spellEnd"/>
      <w:r w:rsidRPr="00467DB0">
        <w:t xml:space="preserve"> med hensyn til </w:t>
      </w:r>
      <w:proofErr w:type="spellStart"/>
      <w:r w:rsidRPr="00467DB0">
        <w:t>udstationeringen</w:t>
      </w:r>
      <w:proofErr w:type="spellEnd"/>
      <w:r w:rsidRPr="00467DB0">
        <w:t xml:space="preserve"> </w:t>
      </w:r>
      <w:proofErr w:type="spellStart"/>
      <w:r w:rsidRPr="00467DB0">
        <w:t>af</w:t>
      </w:r>
      <w:proofErr w:type="spellEnd"/>
      <w:r w:rsidRPr="00467DB0">
        <w:t xml:space="preserve"> </w:t>
      </w:r>
      <w:proofErr w:type="spellStart"/>
      <w:r w:rsidRPr="00467DB0">
        <w:t>nationale</w:t>
      </w:r>
      <w:proofErr w:type="spellEnd"/>
      <w:r w:rsidRPr="00467DB0">
        <w:t xml:space="preserve"> eksperter i forbindelse med de </w:t>
      </w:r>
      <w:proofErr w:type="spellStart"/>
      <w:r w:rsidRPr="00467DB0">
        <w:t>sikkerhedsgodkendelsesaktiviteter</w:t>
      </w:r>
      <w:proofErr w:type="spellEnd"/>
      <w:r w:rsidRPr="00467DB0">
        <w:t>, der er omhandlet</w:t>
      </w:r>
      <w:r w:rsidRPr="00467DB0">
        <w:t xml:space="preserve"> i </w:t>
      </w:r>
      <w:proofErr w:type="spellStart"/>
      <w:r w:rsidRPr="00467DB0">
        <w:t>afsnit</w:t>
      </w:r>
      <w:proofErr w:type="spellEnd"/>
      <w:r w:rsidRPr="00467DB0">
        <w:t xml:space="preserve"> V, kapitel II, og tager </w:t>
      </w:r>
      <w:proofErr w:type="spellStart"/>
      <w:r w:rsidRPr="00467DB0">
        <w:t>behørigt</w:t>
      </w:r>
      <w:proofErr w:type="spellEnd"/>
      <w:r w:rsidRPr="00467DB0">
        <w:t xml:space="preserve"> hensyn til dennes </w:t>
      </w:r>
      <w:proofErr w:type="spellStart"/>
      <w:r w:rsidRPr="00467DB0">
        <w:t>bemærkninger</w:t>
      </w:r>
      <w:proofErr w:type="spellEnd"/>
      <w:r w:rsidRPr="00467DB0">
        <w:t>.</w:t>
      </w:r>
    </w:p>
    <w:p w14:paraId="7CB85672" w14:textId="77777777" w:rsidR="00000000" w:rsidRPr="00467DB0" w:rsidRDefault="00693D67" w:rsidP="00467DB0">
      <w:pPr>
        <w:pStyle w:val="friliste"/>
      </w:pPr>
      <w:r w:rsidRPr="00467DB0">
        <w:t>4.</w:t>
      </w:r>
      <w:r w:rsidRPr="00467DB0">
        <w:tab/>
        <w:t xml:space="preserve">Bestyrelsen </w:t>
      </w:r>
      <w:proofErr w:type="spellStart"/>
      <w:r w:rsidRPr="00467DB0">
        <w:t>udnævner</w:t>
      </w:r>
      <w:proofErr w:type="spellEnd"/>
      <w:r w:rsidRPr="00467DB0">
        <w:t xml:space="preserve"> den administrerende direktør og kan </w:t>
      </w:r>
      <w:proofErr w:type="spellStart"/>
      <w:r w:rsidRPr="00467DB0">
        <w:t>forlænge</w:t>
      </w:r>
      <w:proofErr w:type="spellEnd"/>
      <w:r w:rsidRPr="00467DB0">
        <w:t xml:space="preserve"> eller </w:t>
      </w:r>
      <w:proofErr w:type="spellStart"/>
      <w:r w:rsidRPr="00467DB0">
        <w:t>afslutte</w:t>
      </w:r>
      <w:proofErr w:type="spellEnd"/>
      <w:r w:rsidRPr="00467DB0">
        <w:t xml:space="preserve"> dennes mandat i henhold til </w:t>
      </w:r>
      <w:proofErr w:type="spellStart"/>
      <w:r w:rsidRPr="00467DB0">
        <w:t>artikel</w:t>
      </w:r>
      <w:proofErr w:type="spellEnd"/>
      <w:r w:rsidRPr="00467DB0">
        <w:t xml:space="preserve"> 89.</w:t>
      </w:r>
    </w:p>
    <w:p w14:paraId="46D9544A" w14:textId="77777777" w:rsidR="00000000" w:rsidRPr="00467DB0" w:rsidRDefault="00693D67" w:rsidP="00467DB0">
      <w:pPr>
        <w:pStyle w:val="friliste"/>
      </w:pPr>
      <w:r w:rsidRPr="00467DB0">
        <w:t>5.</w:t>
      </w:r>
      <w:r w:rsidRPr="00467DB0">
        <w:tab/>
        <w:t xml:space="preserve">Bestyrelsen udøver </w:t>
      </w:r>
      <w:proofErr w:type="spellStart"/>
      <w:r w:rsidRPr="00467DB0">
        <w:t>disciplinærmyndighed</w:t>
      </w:r>
      <w:proofErr w:type="spellEnd"/>
      <w:r w:rsidRPr="00467DB0">
        <w:t xml:space="preserve"> over den admin</w:t>
      </w:r>
      <w:r w:rsidRPr="00467DB0">
        <w:t xml:space="preserve">istrerende direktør for så vidt angår dennes </w:t>
      </w:r>
      <w:proofErr w:type="spellStart"/>
      <w:r w:rsidRPr="00467DB0">
        <w:t>embedsførelse</w:t>
      </w:r>
      <w:proofErr w:type="spellEnd"/>
      <w:r w:rsidRPr="00467DB0">
        <w:t xml:space="preserve">, navnlig </w:t>
      </w:r>
      <w:proofErr w:type="gramStart"/>
      <w:r w:rsidRPr="00467DB0">
        <w:t>vedrørende</w:t>
      </w:r>
      <w:proofErr w:type="gramEnd"/>
      <w:r w:rsidRPr="00467DB0">
        <w:t xml:space="preserve"> </w:t>
      </w:r>
      <w:proofErr w:type="spellStart"/>
      <w:r w:rsidRPr="00467DB0">
        <w:t>sikkerhedsanliggender</w:t>
      </w:r>
      <w:proofErr w:type="spellEnd"/>
      <w:r w:rsidRPr="00467DB0">
        <w:t xml:space="preserve">, der henhører under agenturets </w:t>
      </w:r>
      <w:proofErr w:type="spellStart"/>
      <w:r w:rsidRPr="00467DB0">
        <w:t>kompetence</w:t>
      </w:r>
      <w:proofErr w:type="spellEnd"/>
      <w:r w:rsidRPr="00467DB0">
        <w:t xml:space="preserve">, </w:t>
      </w:r>
      <w:proofErr w:type="spellStart"/>
      <w:r w:rsidRPr="00467DB0">
        <w:t>undtagen</w:t>
      </w:r>
      <w:proofErr w:type="spellEnd"/>
      <w:r w:rsidRPr="00467DB0">
        <w:t xml:space="preserve"> i forbindelse med aktiviteter, der </w:t>
      </w:r>
      <w:proofErr w:type="spellStart"/>
      <w:r w:rsidRPr="00467DB0">
        <w:t>iværksættes</w:t>
      </w:r>
      <w:proofErr w:type="spellEnd"/>
      <w:r w:rsidRPr="00467DB0">
        <w:t xml:space="preserve"> i overensstemmelse med </w:t>
      </w:r>
      <w:proofErr w:type="spellStart"/>
      <w:r w:rsidRPr="00467DB0">
        <w:t>afsnit</w:t>
      </w:r>
      <w:proofErr w:type="spellEnd"/>
      <w:r w:rsidRPr="00467DB0">
        <w:t xml:space="preserve"> V, kapitel II.</w:t>
      </w:r>
    </w:p>
    <w:p w14:paraId="1A8384E9" w14:textId="77777777" w:rsidR="00000000" w:rsidRPr="00467DB0" w:rsidRDefault="00693D67" w:rsidP="00467DB0">
      <w:pPr>
        <w:pStyle w:val="avsnitt-undertittel"/>
      </w:pPr>
      <w:proofErr w:type="spellStart"/>
      <w:r w:rsidRPr="00467DB0">
        <w:t>Artikel</w:t>
      </w:r>
      <w:proofErr w:type="spellEnd"/>
      <w:r w:rsidRPr="00467DB0">
        <w:t xml:space="preserve"> 78</w:t>
      </w:r>
    </w:p>
    <w:p w14:paraId="428E92F2" w14:textId="77777777" w:rsidR="00000000" w:rsidRPr="00467DB0" w:rsidRDefault="00693D67" w:rsidP="00467DB0">
      <w:pPr>
        <w:pStyle w:val="Undertittel"/>
      </w:pPr>
      <w:r w:rsidRPr="00467DB0">
        <w:t>Den administrerende direktør</w:t>
      </w:r>
    </w:p>
    <w:p w14:paraId="72A81F82" w14:textId="77777777" w:rsidR="00000000" w:rsidRPr="00467DB0" w:rsidRDefault="00693D67" w:rsidP="00467DB0">
      <w:pPr>
        <w:pStyle w:val="friliste"/>
      </w:pPr>
      <w:r w:rsidRPr="00467DB0">
        <w:t>1.</w:t>
      </w:r>
      <w:r w:rsidRPr="00467DB0">
        <w:tab/>
        <w:t xml:space="preserve">Ledelsen </w:t>
      </w:r>
      <w:proofErr w:type="spellStart"/>
      <w:r w:rsidRPr="00467DB0">
        <w:t>af</w:t>
      </w:r>
      <w:proofErr w:type="spellEnd"/>
      <w:r w:rsidRPr="00467DB0">
        <w:t xml:space="preserve"> agenturet </w:t>
      </w:r>
      <w:proofErr w:type="spellStart"/>
      <w:r w:rsidRPr="00467DB0">
        <w:t>varetages</w:t>
      </w:r>
      <w:proofErr w:type="spellEnd"/>
      <w:r w:rsidRPr="00467DB0">
        <w:t xml:space="preserve"> </w:t>
      </w:r>
      <w:proofErr w:type="spellStart"/>
      <w:r w:rsidRPr="00467DB0">
        <w:t>af</w:t>
      </w:r>
      <w:proofErr w:type="spellEnd"/>
      <w:r w:rsidRPr="00467DB0">
        <w:t xml:space="preserve"> dets administrerende direktør. Den administrerende direktør står til ansvar over for bestyrelsen.</w:t>
      </w:r>
    </w:p>
    <w:p w14:paraId="36CDB703" w14:textId="77777777" w:rsidR="00000000" w:rsidRPr="00467DB0" w:rsidRDefault="00693D67" w:rsidP="00467DB0">
      <w:pPr>
        <w:pStyle w:val="Listeavsnitt"/>
      </w:pPr>
      <w:r w:rsidRPr="00467DB0">
        <w:t xml:space="preserve">Dette stykke berører ikke Komitéen for </w:t>
      </w:r>
      <w:proofErr w:type="spellStart"/>
      <w:r w:rsidRPr="00467DB0">
        <w:t>Sikkerhedsgodkendelses</w:t>
      </w:r>
      <w:proofErr w:type="spellEnd"/>
      <w:r w:rsidRPr="00467DB0">
        <w:t xml:space="preserve"> autonomi eller </w:t>
      </w:r>
      <w:proofErr w:type="spellStart"/>
      <w:r w:rsidRPr="00467DB0">
        <w:t>uafhængighed</w:t>
      </w:r>
      <w:proofErr w:type="spellEnd"/>
      <w:r w:rsidRPr="00467DB0">
        <w:t xml:space="preserve"> eller </w:t>
      </w:r>
      <w:proofErr w:type="spellStart"/>
      <w:r w:rsidRPr="00467DB0">
        <w:t>selvstændigheden</w:t>
      </w:r>
      <w:proofErr w:type="spellEnd"/>
      <w:r w:rsidRPr="00467DB0">
        <w:t xml:space="preserve"> og </w:t>
      </w:r>
      <w:proofErr w:type="spellStart"/>
      <w:r w:rsidRPr="00467DB0">
        <w:t>uafhængigheden</w:t>
      </w:r>
      <w:proofErr w:type="spellEnd"/>
      <w:r w:rsidRPr="00467DB0">
        <w:t xml:space="preserve"> for så vidt angår personalet i det agentur, som komitéen fører tilsyn med i overensstemmelse med </w:t>
      </w:r>
      <w:proofErr w:type="spellStart"/>
      <w:r w:rsidRPr="00467DB0">
        <w:t>artikel</w:t>
      </w:r>
      <w:proofErr w:type="spellEnd"/>
      <w:r w:rsidRPr="00467DB0">
        <w:t xml:space="preserve"> 82, og det berører heller ikke de </w:t>
      </w:r>
      <w:proofErr w:type="spellStart"/>
      <w:r w:rsidRPr="00467DB0">
        <w:t>beføjelser</w:t>
      </w:r>
      <w:proofErr w:type="spellEnd"/>
      <w:r w:rsidRPr="00467DB0">
        <w:t xml:space="preserve">, der er tillagt Komitéen for </w:t>
      </w:r>
      <w:proofErr w:type="spellStart"/>
      <w:r w:rsidRPr="00467DB0">
        <w:t>Sikkerhedsgodkendelse</w:t>
      </w:r>
      <w:proofErr w:type="spellEnd"/>
      <w:r w:rsidRPr="00467DB0">
        <w:t xml:space="preserve"> og </w:t>
      </w:r>
      <w:proofErr w:type="spellStart"/>
      <w:r w:rsidRPr="00467DB0">
        <w:t>formanden</w:t>
      </w:r>
      <w:proofErr w:type="spellEnd"/>
      <w:r w:rsidRPr="00467DB0">
        <w:t xml:space="preserve"> </w:t>
      </w:r>
      <w:r w:rsidRPr="00467DB0">
        <w:t xml:space="preserve">for Komitéen for </w:t>
      </w:r>
      <w:proofErr w:type="spellStart"/>
      <w:r w:rsidRPr="00467DB0">
        <w:t>Sikkerhedsgodkendelse</w:t>
      </w:r>
      <w:proofErr w:type="spellEnd"/>
      <w:r w:rsidRPr="00467DB0">
        <w:t xml:space="preserve"> i henhold til henholdsvis </w:t>
      </w:r>
      <w:proofErr w:type="spellStart"/>
      <w:r w:rsidRPr="00467DB0">
        <w:t>artikel</w:t>
      </w:r>
      <w:proofErr w:type="spellEnd"/>
      <w:r w:rsidRPr="00467DB0">
        <w:t xml:space="preserve"> 38 og 81.</w:t>
      </w:r>
    </w:p>
    <w:p w14:paraId="0CF2C071" w14:textId="77777777" w:rsidR="00000000" w:rsidRPr="00467DB0" w:rsidRDefault="00693D67" w:rsidP="00467DB0">
      <w:pPr>
        <w:pStyle w:val="friliste"/>
      </w:pPr>
      <w:r w:rsidRPr="00467DB0">
        <w:t>2.</w:t>
      </w:r>
      <w:r w:rsidRPr="00467DB0">
        <w:tab/>
        <w:t xml:space="preserve">Med forbehold </w:t>
      </w:r>
      <w:proofErr w:type="spellStart"/>
      <w:proofErr w:type="gramStart"/>
      <w:r w:rsidRPr="00467DB0">
        <w:t>af</w:t>
      </w:r>
      <w:proofErr w:type="spellEnd"/>
      <w:proofErr w:type="gramEnd"/>
      <w:r w:rsidRPr="00467DB0">
        <w:t xml:space="preserve"> </w:t>
      </w:r>
      <w:proofErr w:type="spellStart"/>
      <w:r w:rsidRPr="00467DB0">
        <w:t>Kommissionens</w:t>
      </w:r>
      <w:proofErr w:type="spellEnd"/>
      <w:r w:rsidRPr="00467DB0">
        <w:t xml:space="preserve"> og bestyrelsens </w:t>
      </w:r>
      <w:proofErr w:type="spellStart"/>
      <w:r w:rsidRPr="00467DB0">
        <w:t>beføjelser</w:t>
      </w:r>
      <w:proofErr w:type="spellEnd"/>
      <w:r w:rsidRPr="00467DB0">
        <w:t xml:space="preserve"> skal den administrerende direktør være </w:t>
      </w:r>
      <w:proofErr w:type="spellStart"/>
      <w:r w:rsidRPr="00467DB0">
        <w:t>uafhængig</w:t>
      </w:r>
      <w:proofErr w:type="spellEnd"/>
      <w:r w:rsidRPr="00467DB0">
        <w:t xml:space="preserve"> i </w:t>
      </w:r>
      <w:proofErr w:type="spellStart"/>
      <w:r w:rsidRPr="00467DB0">
        <w:t>udførelsen</w:t>
      </w:r>
      <w:proofErr w:type="spellEnd"/>
      <w:r w:rsidRPr="00467DB0">
        <w:t xml:space="preserve"> </w:t>
      </w:r>
      <w:proofErr w:type="spellStart"/>
      <w:r w:rsidRPr="00467DB0">
        <w:t>af</w:t>
      </w:r>
      <w:proofErr w:type="spellEnd"/>
      <w:r w:rsidRPr="00467DB0">
        <w:t xml:space="preserve"> </w:t>
      </w:r>
      <w:proofErr w:type="spellStart"/>
      <w:r w:rsidRPr="00467DB0">
        <w:t>sit</w:t>
      </w:r>
      <w:proofErr w:type="spellEnd"/>
      <w:r w:rsidRPr="00467DB0">
        <w:t xml:space="preserve"> </w:t>
      </w:r>
      <w:proofErr w:type="spellStart"/>
      <w:r w:rsidRPr="00467DB0">
        <w:t>hverv</w:t>
      </w:r>
      <w:proofErr w:type="spellEnd"/>
      <w:r w:rsidRPr="00467DB0">
        <w:t xml:space="preserve"> og må hverken </w:t>
      </w:r>
      <w:proofErr w:type="spellStart"/>
      <w:r w:rsidRPr="00467DB0">
        <w:t>søge</w:t>
      </w:r>
      <w:proofErr w:type="spellEnd"/>
      <w:r w:rsidRPr="00467DB0">
        <w:t xml:space="preserve"> eller </w:t>
      </w:r>
      <w:proofErr w:type="spellStart"/>
      <w:r w:rsidRPr="00467DB0">
        <w:t>modtage</w:t>
      </w:r>
      <w:proofErr w:type="spellEnd"/>
      <w:r w:rsidRPr="00467DB0">
        <w:t xml:space="preserve"> </w:t>
      </w:r>
      <w:proofErr w:type="spellStart"/>
      <w:r w:rsidRPr="00467DB0">
        <w:t>inst</w:t>
      </w:r>
      <w:r w:rsidRPr="00467DB0">
        <w:t>ruktioner</w:t>
      </w:r>
      <w:proofErr w:type="spellEnd"/>
      <w:r w:rsidRPr="00467DB0">
        <w:t xml:space="preserve"> fra nogen </w:t>
      </w:r>
      <w:proofErr w:type="spellStart"/>
      <w:r w:rsidRPr="00467DB0">
        <w:t>regering</w:t>
      </w:r>
      <w:proofErr w:type="spellEnd"/>
      <w:r w:rsidRPr="00467DB0">
        <w:t xml:space="preserve"> eller </w:t>
      </w:r>
      <w:proofErr w:type="spellStart"/>
      <w:r w:rsidRPr="00467DB0">
        <w:t>noget</w:t>
      </w:r>
      <w:proofErr w:type="spellEnd"/>
      <w:r w:rsidRPr="00467DB0">
        <w:t xml:space="preserve"> andet organ.</w:t>
      </w:r>
    </w:p>
    <w:p w14:paraId="57CD5410" w14:textId="77777777" w:rsidR="00000000" w:rsidRPr="00467DB0" w:rsidRDefault="00693D67" w:rsidP="00467DB0">
      <w:pPr>
        <w:pStyle w:val="avsnitt-undertittel"/>
      </w:pPr>
      <w:proofErr w:type="spellStart"/>
      <w:r w:rsidRPr="00467DB0">
        <w:t>Artikel</w:t>
      </w:r>
      <w:proofErr w:type="spellEnd"/>
      <w:r w:rsidRPr="00467DB0">
        <w:t xml:space="preserve"> 79</w:t>
      </w:r>
    </w:p>
    <w:p w14:paraId="7B1EDFAC" w14:textId="77777777" w:rsidR="00000000" w:rsidRPr="00467DB0" w:rsidRDefault="00693D67" w:rsidP="00467DB0">
      <w:pPr>
        <w:pStyle w:val="Undertittel"/>
      </w:pPr>
      <w:r w:rsidRPr="00467DB0">
        <w:t xml:space="preserve">Den administrerende direktørs </w:t>
      </w:r>
      <w:proofErr w:type="spellStart"/>
      <w:r w:rsidRPr="00467DB0">
        <w:t>opgaver</w:t>
      </w:r>
      <w:proofErr w:type="spellEnd"/>
    </w:p>
    <w:p w14:paraId="6A77BEF8" w14:textId="77777777" w:rsidR="00000000" w:rsidRPr="00467DB0" w:rsidRDefault="00693D67" w:rsidP="00467DB0">
      <w:pPr>
        <w:pStyle w:val="friliste"/>
      </w:pPr>
      <w:r w:rsidRPr="00467DB0">
        <w:t>1.</w:t>
      </w:r>
      <w:r w:rsidRPr="00467DB0">
        <w:tab/>
        <w:t xml:space="preserve">Den administrerende direktør </w:t>
      </w:r>
      <w:proofErr w:type="spellStart"/>
      <w:r w:rsidRPr="00467DB0">
        <w:t>udfører</w:t>
      </w:r>
      <w:proofErr w:type="spellEnd"/>
      <w:r w:rsidRPr="00467DB0">
        <w:t xml:space="preserve"> følgende </w:t>
      </w:r>
      <w:proofErr w:type="spellStart"/>
      <w:r w:rsidRPr="00467DB0">
        <w:t>opgaver</w:t>
      </w:r>
      <w:proofErr w:type="spellEnd"/>
      <w:r w:rsidRPr="00467DB0">
        <w:t>:</w:t>
      </w:r>
    </w:p>
    <w:p w14:paraId="0EE6291B" w14:textId="77777777" w:rsidR="00000000" w:rsidRPr="00467DB0" w:rsidRDefault="00693D67" w:rsidP="00467DB0">
      <w:pPr>
        <w:pStyle w:val="friliste2"/>
      </w:pPr>
      <w:r w:rsidRPr="00467DB0">
        <w:t>a)</w:t>
      </w:r>
      <w:r w:rsidRPr="00467DB0">
        <w:tab/>
      </w:r>
      <w:proofErr w:type="spellStart"/>
      <w:r w:rsidRPr="00467DB0">
        <w:t>repræs</w:t>
      </w:r>
      <w:r w:rsidRPr="00467DB0">
        <w:t>entere</w:t>
      </w:r>
      <w:proofErr w:type="spellEnd"/>
      <w:r w:rsidRPr="00467DB0">
        <w:t xml:space="preserve"> agenturet og undertegne den i </w:t>
      </w:r>
      <w:proofErr w:type="spellStart"/>
      <w:r w:rsidRPr="00467DB0">
        <w:t>artikel</w:t>
      </w:r>
      <w:proofErr w:type="spellEnd"/>
      <w:r w:rsidRPr="00467DB0">
        <w:t xml:space="preserve"> 27, stk. 3, </w:t>
      </w:r>
      <w:proofErr w:type="spellStart"/>
      <w:r w:rsidRPr="00467DB0">
        <w:t>artikel</w:t>
      </w:r>
      <w:proofErr w:type="spellEnd"/>
      <w:r w:rsidRPr="00467DB0">
        <w:t xml:space="preserve"> 29, stk. 5, og </w:t>
      </w:r>
      <w:proofErr w:type="spellStart"/>
      <w:r w:rsidRPr="00467DB0">
        <w:t>artikel</w:t>
      </w:r>
      <w:proofErr w:type="spellEnd"/>
      <w:r w:rsidRPr="00467DB0">
        <w:t xml:space="preserve"> 31, omhandlede </w:t>
      </w:r>
      <w:proofErr w:type="spellStart"/>
      <w:r w:rsidRPr="00467DB0">
        <w:t>aftale</w:t>
      </w:r>
      <w:proofErr w:type="spellEnd"/>
    </w:p>
    <w:p w14:paraId="2EC3B1B3" w14:textId="77777777" w:rsidR="00000000" w:rsidRPr="00467DB0" w:rsidRDefault="00693D67" w:rsidP="00467DB0">
      <w:pPr>
        <w:pStyle w:val="friliste2"/>
      </w:pPr>
      <w:r w:rsidRPr="00467DB0">
        <w:t>b)</w:t>
      </w:r>
      <w:r w:rsidRPr="00467DB0">
        <w:tab/>
        <w:t xml:space="preserve">forberede bestyrelsens </w:t>
      </w:r>
      <w:proofErr w:type="spellStart"/>
      <w:r w:rsidRPr="00467DB0">
        <w:t>arbejde</w:t>
      </w:r>
      <w:proofErr w:type="spellEnd"/>
      <w:r w:rsidRPr="00467DB0">
        <w:t xml:space="preserve"> og </w:t>
      </w:r>
      <w:proofErr w:type="spellStart"/>
      <w:r w:rsidRPr="00467DB0">
        <w:t>deltage</w:t>
      </w:r>
      <w:proofErr w:type="spellEnd"/>
      <w:r w:rsidRPr="00467DB0">
        <w:t xml:space="preserve"> </w:t>
      </w:r>
      <w:proofErr w:type="spellStart"/>
      <w:r w:rsidRPr="00467DB0">
        <w:t>uden</w:t>
      </w:r>
      <w:proofErr w:type="spellEnd"/>
      <w:r w:rsidRPr="00467DB0">
        <w:t xml:space="preserve"> </w:t>
      </w:r>
      <w:proofErr w:type="spellStart"/>
      <w:r w:rsidRPr="00467DB0">
        <w:t>stemmeret</w:t>
      </w:r>
      <w:proofErr w:type="spellEnd"/>
      <w:r w:rsidRPr="00467DB0">
        <w:t xml:space="preserve"> i bestyrelsens </w:t>
      </w:r>
      <w:proofErr w:type="spellStart"/>
      <w:r w:rsidRPr="00467DB0">
        <w:t>arbejde</w:t>
      </w:r>
      <w:proofErr w:type="spellEnd"/>
      <w:r w:rsidRPr="00467DB0">
        <w:t xml:space="preserve"> med forbehold </w:t>
      </w:r>
      <w:proofErr w:type="spellStart"/>
      <w:proofErr w:type="gramStart"/>
      <w:r w:rsidRPr="00467DB0">
        <w:t>af</w:t>
      </w:r>
      <w:proofErr w:type="spellEnd"/>
      <w:proofErr w:type="gramEnd"/>
      <w:r w:rsidRPr="00467DB0">
        <w:t xml:space="preserve"> </w:t>
      </w:r>
      <w:proofErr w:type="spellStart"/>
      <w:r w:rsidRPr="00467DB0">
        <w:t>artikel</w:t>
      </w:r>
      <w:proofErr w:type="spellEnd"/>
      <w:r w:rsidRPr="00467DB0">
        <w:t xml:space="preserve"> 75, stk. 2, andet </w:t>
      </w:r>
      <w:proofErr w:type="spellStart"/>
      <w:r w:rsidRPr="00467DB0">
        <w:t>afsnit</w:t>
      </w:r>
      <w:proofErr w:type="spellEnd"/>
    </w:p>
    <w:p w14:paraId="2484DF0B" w14:textId="77777777" w:rsidR="00000000" w:rsidRPr="00467DB0" w:rsidRDefault="00693D67" w:rsidP="00467DB0">
      <w:pPr>
        <w:pStyle w:val="friliste2"/>
      </w:pPr>
      <w:r w:rsidRPr="00467DB0">
        <w:t>c)</w:t>
      </w:r>
      <w:r w:rsidRPr="00467DB0">
        <w:tab/>
      </w:r>
      <w:proofErr w:type="spellStart"/>
      <w:r w:rsidRPr="00467DB0">
        <w:t>gennemføre</w:t>
      </w:r>
      <w:proofErr w:type="spellEnd"/>
      <w:r w:rsidRPr="00467DB0">
        <w:t xml:space="preserve"> de </w:t>
      </w:r>
      <w:proofErr w:type="spellStart"/>
      <w:r w:rsidRPr="00467DB0">
        <w:t>afgørelser</w:t>
      </w:r>
      <w:proofErr w:type="spellEnd"/>
      <w:r w:rsidRPr="00467DB0">
        <w:t xml:space="preserve">, der </w:t>
      </w:r>
      <w:proofErr w:type="spellStart"/>
      <w:r w:rsidRPr="00467DB0">
        <w:t>træffes</w:t>
      </w:r>
      <w:proofErr w:type="spellEnd"/>
      <w:r w:rsidRPr="00467DB0">
        <w:t xml:space="preserve"> </w:t>
      </w:r>
      <w:proofErr w:type="spellStart"/>
      <w:r w:rsidRPr="00467DB0">
        <w:t>af</w:t>
      </w:r>
      <w:proofErr w:type="spellEnd"/>
      <w:r w:rsidRPr="00467DB0">
        <w:t xml:space="preserve"> bestyrelsen</w:t>
      </w:r>
    </w:p>
    <w:p w14:paraId="186D799F" w14:textId="77777777" w:rsidR="00000000" w:rsidRPr="00467DB0" w:rsidRDefault="00693D67" w:rsidP="00467DB0">
      <w:pPr>
        <w:pStyle w:val="friliste2"/>
      </w:pPr>
      <w:r w:rsidRPr="00467DB0">
        <w:lastRenderedPageBreak/>
        <w:t>d)</w:t>
      </w:r>
      <w:r w:rsidRPr="00467DB0">
        <w:tab/>
      </w:r>
      <w:proofErr w:type="spellStart"/>
      <w:r w:rsidRPr="00467DB0">
        <w:t>udarbejde</w:t>
      </w:r>
      <w:proofErr w:type="spellEnd"/>
      <w:r w:rsidRPr="00467DB0">
        <w:t xml:space="preserve"> agenturets flerårige og årlige </w:t>
      </w:r>
      <w:proofErr w:type="spellStart"/>
      <w:r w:rsidRPr="00467DB0">
        <w:t>arbejdsprogrammer</w:t>
      </w:r>
      <w:proofErr w:type="spellEnd"/>
      <w:r w:rsidRPr="00467DB0">
        <w:t xml:space="preserve"> og </w:t>
      </w:r>
      <w:proofErr w:type="spellStart"/>
      <w:r w:rsidRPr="00467DB0">
        <w:t>forelægge</w:t>
      </w:r>
      <w:proofErr w:type="spellEnd"/>
      <w:r w:rsidRPr="00467DB0">
        <w:t xml:space="preserve"> dem for bestyrelsen til </w:t>
      </w:r>
      <w:proofErr w:type="spellStart"/>
      <w:r w:rsidRPr="00467DB0">
        <w:t>godkendelse</w:t>
      </w:r>
      <w:proofErr w:type="spellEnd"/>
      <w:r w:rsidRPr="00467DB0">
        <w:t xml:space="preserve"> med </w:t>
      </w:r>
      <w:proofErr w:type="spellStart"/>
      <w:r w:rsidRPr="00467DB0">
        <w:t>undtagelse</w:t>
      </w:r>
      <w:proofErr w:type="spellEnd"/>
      <w:r w:rsidRPr="00467DB0">
        <w:t xml:space="preserve"> </w:t>
      </w:r>
      <w:proofErr w:type="spellStart"/>
      <w:r w:rsidRPr="00467DB0">
        <w:t>af</w:t>
      </w:r>
      <w:proofErr w:type="spellEnd"/>
      <w:r w:rsidRPr="00467DB0">
        <w:t xml:space="preserve"> de dele, der </w:t>
      </w:r>
      <w:proofErr w:type="spellStart"/>
      <w:r w:rsidRPr="00467DB0">
        <w:t>udarbejdes</w:t>
      </w:r>
      <w:proofErr w:type="spellEnd"/>
      <w:r w:rsidRPr="00467DB0">
        <w:t xml:space="preserve"> og </w:t>
      </w:r>
      <w:proofErr w:type="spellStart"/>
      <w:r w:rsidRPr="00467DB0">
        <w:t>vedtages</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i overenss</w:t>
      </w:r>
      <w:r w:rsidRPr="00467DB0">
        <w:t xml:space="preserve">temmelse med </w:t>
      </w:r>
      <w:proofErr w:type="spellStart"/>
      <w:r w:rsidRPr="00467DB0">
        <w:t>artikel</w:t>
      </w:r>
      <w:proofErr w:type="spellEnd"/>
      <w:r w:rsidRPr="00467DB0">
        <w:t xml:space="preserve"> 80, litra a) og b)</w:t>
      </w:r>
    </w:p>
    <w:p w14:paraId="3ADF8D52" w14:textId="77777777" w:rsidR="00000000" w:rsidRPr="00467DB0" w:rsidRDefault="00693D67" w:rsidP="00467DB0">
      <w:pPr>
        <w:pStyle w:val="friliste2"/>
      </w:pPr>
      <w:r w:rsidRPr="00467DB0">
        <w:t>e)</w:t>
      </w:r>
      <w:r w:rsidRPr="00467DB0">
        <w:tab/>
      </w:r>
      <w:proofErr w:type="spellStart"/>
      <w:r w:rsidRPr="00467DB0">
        <w:t>gennemføre</w:t>
      </w:r>
      <w:proofErr w:type="spellEnd"/>
      <w:r w:rsidRPr="00467DB0">
        <w:t xml:space="preserve"> de flerårige og årlige </w:t>
      </w:r>
      <w:proofErr w:type="spellStart"/>
      <w:r w:rsidRPr="00467DB0">
        <w:t>arbejdsprogrammer</w:t>
      </w:r>
      <w:proofErr w:type="spellEnd"/>
      <w:r w:rsidRPr="00467DB0">
        <w:t xml:space="preserve"> med </w:t>
      </w:r>
      <w:proofErr w:type="spellStart"/>
      <w:r w:rsidRPr="00467DB0">
        <w:t>undtagelse</w:t>
      </w:r>
      <w:proofErr w:type="spellEnd"/>
      <w:r w:rsidRPr="00467DB0">
        <w:t xml:space="preserve"> </w:t>
      </w:r>
      <w:proofErr w:type="spellStart"/>
      <w:r w:rsidRPr="00467DB0">
        <w:t>af</w:t>
      </w:r>
      <w:proofErr w:type="spellEnd"/>
      <w:r w:rsidRPr="00467DB0">
        <w:t xml:space="preserve"> de dele, der </w:t>
      </w:r>
      <w:proofErr w:type="spellStart"/>
      <w:r w:rsidRPr="00467DB0">
        <w:t>gennemføres</w:t>
      </w:r>
      <w:proofErr w:type="spellEnd"/>
      <w:r w:rsidRPr="00467DB0">
        <w:t xml:space="preserve"> </w:t>
      </w:r>
      <w:proofErr w:type="spellStart"/>
      <w:r w:rsidRPr="00467DB0">
        <w:t>af</w:t>
      </w:r>
      <w:proofErr w:type="spellEnd"/>
      <w:r w:rsidRPr="00467DB0">
        <w:t xml:space="preserve"> </w:t>
      </w:r>
      <w:proofErr w:type="spellStart"/>
      <w:r w:rsidRPr="00467DB0">
        <w:t>formanden</w:t>
      </w:r>
      <w:proofErr w:type="spellEnd"/>
      <w:r w:rsidRPr="00467DB0">
        <w:t xml:space="preserve"> for Komitéen for </w:t>
      </w:r>
      <w:proofErr w:type="spellStart"/>
      <w:r w:rsidRPr="00467DB0">
        <w:t>Sikkerhedsgodkendelse</w:t>
      </w:r>
      <w:proofErr w:type="spellEnd"/>
    </w:p>
    <w:p w14:paraId="2D3D6459" w14:textId="77777777" w:rsidR="00000000" w:rsidRPr="00467DB0" w:rsidRDefault="00693D67" w:rsidP="00467DB0">
      <w:pPr>
        <w:pStyle w:val="friliste2"/>
      </w:pPr>
      <w:r w:rsidRPr="00467DB0">
        <w:t>f)</w:t>
      </w:r>
      <w:r w:rsidRPr="00467DB0">
        <w:tab/>
      </w:r>
      <w:proofErr w:type="spellStart"/>
      <w:r w:rsidRPr="00467DB0">
        <w:t>udarbejde</w:t>
      </w:r>
      <w:proofErr w:type="spellEnd"/>
      <w:r w:rsidRPr="00467DB0">
        <w:t xml:space="preserve"> en statusrapport om </w:t>
      </w:r>
      <w:proofErr w:type="spellStart"/>
      <w:r w:rsidRPr="00467DB0">
        <w:t>gennemførelsen</w:t>
      </w:r>
      <w:proofErr w:type="spellEnd"/>
      <w:r w:rsidRPr="00467DB0">
        <w:t xml:space="preserve"> </w:t>
      </w:r>
      <w:proofErr w:type="spellStart"/>
      <w:r w:rsidRPr="00467DB0">
        <w:t>af</w:t>
      </w:r>
      <w:proofErr w:type="spellEnd"/>
      <w:r w:rsidRPr="00467DB0">
        <w:t xml:space="preserve"> det årlige </w:t>
      </w:r>
      <w:proofErr w:type="spellStart"/>
      <w:r w:rsidRPr="00467DB0">
        <w:t>arbe</w:t>
      </w:r>
      <w:r w:rsidRPr="00467DB0">
        <w:t>jdsprogram</w:t>
      </w:r>
      <w:proofErr w:type="spellEnd"/>
      <w:r w:rsidRPr="00467DB0">
        <w:t xml:space="preserve"> og eventuelt det flerårige </w:t>
      </w:r>
      <w:proofErr w:type="spellStart"/>
      <w:r w:rsidRPr="00467DB0">
        <w:t>arbejdsprogram</w:t>
      </w:r>
      <w:proofErr w:type="spellEnd"/>
      <w:r w:rsidRPr="00467DB0">
        <w:t xml:space="preserve"> til </w:t>
      </w:r>
      <w:proofErr w:type="gramStart"/>
      <w:r w:rsidRPr="00467DB0">
        <w:t>hvert bestyrelsesmøde</w:t>
      </w:r>
      <w:proofErr w:type="gramEnd"/>
      <w:r w:rsidRPr="00467DB0">
        <w:t xml:space="preserve"> og </w:t>
      </w:r>
      <w:proofErr w:type="spellStart"/>
      <w:r w:rsidRPr="00467DB0">
        <w:t>uden</w:t>
      </w:r>
      <w:proofErr w:type="spellEnd"/>
      <w:r w:rsidRPr="00467DB0">
        <w:t xml:space="preserve"> </w:t>
      </w:r>
      <w:proofErr w:type="spellStart"/>
      <w:r w:rsidRPr="00467DB0">
        <w:t>ændringer</w:t>
      </w:r>
      <w:proofErr w:type="spellEnd"/>
      <w:r w:rsidRPr="00467DB0">
        <w:t xml:space="preserve"> integrere den del, som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har </w:t>
      </w:r>
      <w:proofErr w:type="spellStart"/>
      <w:r w:rsidRPr="00467DB0">
        <w:t>udarbejdet</w:t>
      </w:r>
      <w:proofErr w:type="spellEnd"/>
    </w:p>
    <w:p w14:paraId="273F70D7" w14:textId="77777777" w:rsidR="00000000" w:rsidRPr="00467DB0" w:rsidRDefault="00693D67" w:rsidP="00467DB0">
      <w:pPr>
        <w:pStyle w:val="friliste2"/>
      </w:pPr>
      <w:r w:rsidRPr="00467DB0">
        <w:t>g)</w:t>
      </w:r>
      <w:r w:rsidRPr="00467DB0">
        <w:tab/>
      </w:r>
      <w:proofErr w:type="spellStart"/>
      <w:r w:rsidRPr="00467DB0">
        <w:t>udarbejde</w:t>
      </w:r>
      <w:proofErr w:type="spellEnd"/>
      <w:r w:rsidRPr="00467DB0">
        <w:t xml:space="preserve"> årsrapporten om agenturets aktiviteter og fremtidsplaner me</w:t>
      </w:r>
      <w:r w:rsidRPr="00467DB0">
        <w:t xml:space="preserve">d </w:t>
      </w:r>
      <w:proofErr w:type="spellStart"/>
      <w:r w:rsidRPr="00467DB0">
        <w:t>undtagelse</w:t>
      </w:r>
      <w:proofErr w:type="spellEnd"/>
      <w:r w:rsidRPr="00467DB0">
        <w:t xml:space="preserve"> </w:t>
      </w:r>
      <w:proofErr w:type="spellStart"/>
      <w:r w:rsidRPr="00467DB0">
        <w:t>af</w:t>
      </w:r>
      <w:proofErr w:type="spellEnd"/>
      <w:r w:rsidRPr="00467DB0">
        <w:t xml:space="preserve"> den del, der </w:t>
      </w:r>
      <w:proofErr w:type="spellStart"/>
      <w:r w:rsidRPr="00467DB0">
        <w:t>udarbejdes</w:t>
      </w:r>
      <w:proofErr w:type="spellEnd"/>
      <w:r w:rsidRPr="00467DB0">
        <w:t xml:space="preserve"> og </w:t>
      </w:r>
      <w:proofErr w:type="spellStart"/>
      <w:r w:rsidRPr="00467DB0">
        <w:t>godkendes</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i overensstemmelse med </w:t>
      </w:r>
      <w:proofErr w:type="spellStart"/>
      <w:r w:rsidRPr="00467DB0">
        <w:t>artikel</w:t>
      </w:r>
      <w:proofErr w:type="spellEnd"/>
      <w:r w:rsidRPr="00467DB0">
        <w:t xml:space="preserve"> 80, litra c), </w:t>
      </w:r>
      <w:proofErr w:type="gramStart"/>
      <w:r w:rsidRPr="00467DB0">
        <w:t>vedrørende</w:t>
      </w:r>
      <w:proofErr w:type="gramEnd"/>
      <w:r w:rsidRPr="00467DB0">
        <w:t xml:space="preserv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og </w:t>
      </w:r>
      <w:proofErr w:type="spellStart"/>
      <w:r w:rsidRPr="00467DB0">
        <w:t>forelægge</w:t>
      </w:r>
      <w:proofErr w:type="spellEnd"/>
      <w:r w:rsidRPr="00467DB0">
        <w:t xml:space="preserve"> denne for bestyrelsen til </w:t>
      </w:r>
      <w:proofErr w:type="spellStart"/>
      <w:r w:rsidRPr="00467DB0">
        <w:t>godkendelse</w:t>
      </w:r>
      <w:proofErr w:type="spellEnd"/>
    </w:p>
    <w:p w14:paraId="47D8BF06" w14:textId="77777777" w:rsidR="00000000" w:rsidRPr="00467DB0" w:rsidRDefault="00693D67" w:rsidP="00467DB0">
      <w:pPr>
        <w:pStyle w:val="friliste2"/>
      </w:pPr>
      <w:r w:rsidRPr="00467DB0">
        <w:t>h)</w:t>
      </w:r>
      <w:r w:rsidRPr="00467DB0">
        <w:tab/>
      </w:r>
      <w:proofErr w:type="spellStart"/>
      <w:r w:rsidRPr="00467DB0">
        <w:t>varetage</w:t>
      </w:r>
      <w:proofErr w:type="spellEnd"/>
      <w:r w:rsidRPr="00467DB0">
        <w:t xml:space="preserve"> agen</w:t>
      </w:r>
      <w:r w:rsidRPr="00467DB0">
        <w:t xml:space="preserve">turets daglige </w:t>
      </w:r>
      <w:proofErr w:type="spellStart"/>
      <w:r w:rsidRPr="00467DB0">
        <w:t>administration</w:t>
      </w:r>
      <w:proofErr w:type="spellEnd"/>
      <w:r w:rsidRPr="00467DB0">
        <w:t xml:space="preserve"> og </w:t>
      </w:r>
      <w:proofErr w:type="spellStart"/>
      <w:r w:rsidRPr="00467DB0">
        <w:t>træffe</w:t>
      </w:r>
      <w:proofErr w:type="spellEnd"/>
      <w:r w:rsidRPr="00467DB0">
        <w:t xml:space="preserve"> alle nødvendige foranstaltninger for at sikre, at agenturet fungerer i overensstemmelse med denne forordning, herunder vedtagelse </w:t>
      </w:r>
      <w:proofErr w:type="spellStart"/>
      <w:r w:rsidRPr="00467DB0">
        <w:t>af</w:t>
      </w:r>
      <w:proofErr w:type="spellEnd"/>
      <w:r w:rsidRPr="00467DB0">
        <w:t xml:space="preserve"> interne administrative instrukser og </w:t>
      </w:r>
      <w:proofErr w:type="spellStart"/>
      <w:r w:rsidRPr="00467DB0">
        <w:t>offentliggørelse</w:t>
      </w:r>
      <w:proofErr w:type="spellEnd"/>
      <w:r w:rsidRPr="00467DB0">
        <w:t xml:space="preserve"> </w:t>
      </w:r>
      <w:proofErr w:type="spellStart"/>
      <w:r w:rsidRPr="00467DB0">
        <w:t>af</w:t>
      </w:r>
      <w:proofErr w:type="spellEnd"/>
      <w:r w:rsidRPr="00467DB0">
        <w:t xml:space="preserve"> meddelelser</w:t>
      </w:r>
    </w:p>
    <w:p w14:paraId="612517A1" w14:textId="77777777" w:rsidR="00000000" w:rsidRPr="00467DB0" w:rsidRDefault="00693D67" w:rsidP="00467DB0">
      <w:pPr>
        <w:pStyle w:val="friliste2"/>
      </w:pPr>
      <w:r w:rsidRPr="00467DB0">
        <w:t>i)</w:t>
      </w:r>
      <w:r w:rsidRPr="00467DB0">
        <w:tab/>
      </w:r>
      <w:proofErr w:type="spellStart"/>
      <w:r w:rsidRPr="00467DB0">
        <w:t>udarbejde</w:t>
      </w:r>
      <w:proofErr w:type="spellEnd"/>
      <w:r w:rsidRPr="00467DB0">
        <w:t xml:space="preserve"> o</w:t>
      </w:r>
      <w:r w:rsidRPr="00467DB0">
        <w:t xml:space="preserve">verslag over agenturets </w:t>
      </w:r>
      <w:proofErr w:type="spellStart"/>
      <w:r w:rsidRPr="00467DB0">
        <w:t>indtægter</w:t>
      </w:r>
      <w:proofErr w:type="spellEnd"/>
      <w:r w:rsidRPr="00467DB0">
        <w:t xml:space="preserve"> og </w:t>
      </w:r>
      <w:proofErr w:type="spellStart"/>
      <w:r w:rsidRPr="00467DB0">
        <w:t>udgifter</w:t>
      </w:r>
      <w:proofErr w:type="spellEnd"/>
      <w:r w:rsidRPr="00467DB0">
        <w:t xml:space="preserve"> i overensstemmelse med </w:t>
      </w:r>
      <w:proofErr w:type="spellStart"/>
      <w:r w:rsidRPr="00467DB0">
        <w:t>artikel</w:t>
      </w:r>
      <w:proofErr w:type="spellEnd"/>
      <w:r w:rsidRPr="00467DB0">
        <w:t xml:space="preserve"> 84 og </w:t>
      </w:r>
      <w:proofErr w:type="spellStart"/>
      <w:r w:rsidRPr="00467DB0">
        <w:t>gennemføre</w:t>
      </w:r>
      <w:proofErr w:type="spellEnd"/>
      <w:r w:rsidRPr="00467DB0">
        <w:t xml:space="preserve"> </w:t>
      </w:r>
      <w:proofErr w:type="spellStart"/>
      <w:r w:rsidRPr="00467DB0">
        <w:t>budgettet</w:t>
      </w:r>
      <w:proofErr w:type="spellEnd"/>
      <w:r w:rsidRPr="00467DB0">
        <w:t xml:space="preserve"> i overensstemmelse med </w:t>
      </w:r>
      <w:proofErr w:type="spellStart"/>
      <w:r w:rsidRPr="00467DB0">
        <w:t>artikel</w:t>
      </w:r>
      <w:proofErr w:type="spellEnd"/>
      <w:r w:rsidRPr="00467DB0">
        <w:t xml:space="preserve"> 85</w:t>
      </w:r>
    </w:p>
    <w:p w14:paraId="67085C25" w14:textId="77777777" w:rsidR="00000000" w:rsidRPr="00467DB0" w:rsidRDefault="00693D67" w:rsidP="00467DB0">
      <w:pPr>
        <w:pStyle w:val="friliste2"/>
      </w:pPr>
      <w:r w:rsidRPr="00467DB0">
        <w:t>j)</w:t>
      </w:r>
      <w:r w:rsidRPr="00467DB0">
        <w:tab/>
        <w:t xml:space="preserve">sikre, at agenturet som ansvarlig for driften </w:t>
      </w:r>
      <w:proofErr w:type="spellStart"/>
      <w:r w:rsidRPr="00467DB0">
        <w:t>af</w:t>
      </w:r>
      <w:proofErr w:type="spellEnd"/>
      <w:r w:rsidRPr="00467DB0">
        <w:t xml:space="preserve"> </w:t>
      </w:r>
      <w:proofErr w:type="spellStart"/>
      <w:r w:rsidRPr="00467DB0">
        <w:t>Galileosikkerhedsovervågningscentret</w:t>
      </w:r>
      <w:proofErr w:type="spellEnd"/>
      <w:r w:rsidRPr="00467DB0">
        <w:t xml:space="preserve"> er i stand til at </w:t>
      </w:r>
      <w:proofErr w:type="spellStart"/>
      <w:r w:rsidRPr="00467DB0">
        <w:t>efterkomme</w:t>
      </w:r>
      <w:proofErr w:type="spellEnd"/>
      <w:r w:rsidRPr="00467DB0">
        <w:t xml:space="preserve"> </w:t>
      </w:r>
      <w:r w:rsidRPr="00467DB0">
        <w:t xml:space="preserve">instrukser i henhold til </w:t>
      </w:r>
      <w:proofErr w:type="spellStart"/>
      <w:r w:rsidRPr="00467DB0">
        <w:t>afgørelse</w:t>
      </w:r>
      <w:proofErr w:type="spellEnd"/>
      <w:r w:rsidRPr="00467DB0">
        <w:t xml:space="preserve"> 202x/xxx/FUSP</w:t>
      </w:r>
      <w:r w:rsidRPr="00467DB0">
        <w:rPr>
          <w:rStyle w:val="Fotnotereferanse"/>
        </w:rPr>
        <w:footnoteReference w:id="57"/>
      </w:r>
      <w:r w:rsidRPr="00467DB0">
        <w:t xml:space="preserve">+ og </w:t>
      </w:r>
      <w:proofErr w:type="spellStart"/>
      <w:r w:rsidRPr="00467DB0">
        <w:t>udfylde</w:t>
      </w:r>
      <w:proofErr w:type="spellEnd"/>
      <w:r w:rsidRPr="00467DB0">
        <w:t xml:space="preserve"> sin rolle som omhandlet i </w:t>
      </w:r>
      <w:proofErr w:type="spellStart"/>
      <w:r w:rsidRPr="00467DB0">
        <w:t>artikel</w:t>
      </w:r>
      <w:proofErr w:type="spellEnd"/>
      <w:r w:rsidRPr="00467DB0">
        <w:t xml:space="preserve"> 6 i </w:t>
      </w:r>
      <w:proofErr w:type="spellStart"/>
      <w:r w:rsidRPr="00467DB0">
        <w:t>afgørelse</w:t>
      </w:r>
      <w:proofErr w:type="spellEnd"/>
      <w:r w:rsidRPr="00467DB0">
        <w:t xml:space="preserve"> nr. 1104/2011/EU</w:t>
      </w:r>
    </w:p>
    <w:p w14:paraId="46C3DD6B" w14:textId="77777777" w:rsidR="00000000" w:rsidRPr="00467DB0" w:rsidRDefault="00693D67" w:rsidP="00467DB0">
      <w:pPr>
        <w:pStyle w:val="friliste2"/>
      </w:pPr>
      <w:r w:rsidRPr="00467DB0">
        <w:t>k)</w:t>
      </w:r>
      <w:r w:rsidRPr="00467DB0">
        <w:tab/>
        <w:t xml:space="preserve">sikre </w:t>
      </w:r>
      <w:proofErr w:type="spellStart"/>
      <w:r w:rsidRPr="00467DB0">
        <w:t>videregivelsen</w:t>
      </w:r>
      <w:proofErr w:type="spellEnd"/>
      <w:r w:rsidRPr="00467DB0">
        <w:t xml:space="preserve"> </w:t>
      </w:r>
      <w:proofErr w:type="spellStart"/>
      <w:r w:rsidRPr="00467DB0">
        <w:t>af</w:t>
      </w:r>
      <w:proofErr w:type="spellEnd"/>
      <w:r w:rsidRPr="00467DB0">
        <w:t xml:space="preserve"> alle relevante </w:t>
      </w:r>
      <w:proofErr w:type="spellStart"/>
      <w:r w:rsidRPr="00467DB0">
        <w:t>oplysninger</w:t>
      </w:r>
      <w:proofErr w:type="spellEnd"/>
      <w:r w:rsidRPr="00467DB0">
        <w:t xml:space="preserve">, navnlig </w:t>
      </w:r>
      <w:proofErr w:type="spellStart"/>
      <w:r w:rsidRPr="00467DB0">
        <w:t>hvad</w:t>
      </w:r>
      <w:proofErr w:type="spellEnd"/>
      <w:r w:rsidRPr="00467DB0">
        <w:t xml:space="preserve"> angår </w:t>
      </w:r>
      <w:proofErr w:type="spellStart"/>
      <w:r w:rsidRPr="00467DB0">
        <w:t>sikkerhed</w:t>
      </w:r>
      <w:proofErr w:type="spellEnd"/>
      <w:r w:rsidRPr="00467DB0">
        <w:t xml:space="preserve">, </w:t>
      </w:r>
      <w:proofErr w:type="spellStart"/>
      <w:r w:rsidRPr="00467DB0">
        <w:t>inden</w:t>
      </w:r>
      <w:proofErr w:type="spellEnd"/>
      <w:r w:rsidRPr="00467DB0">
        <w:t xml:space="preserve"> for agenturets strukt</w:t>
      </w:r>
      <w:r w:rsidRPr="00467DB0">
        <w:t xml:space="preserve">ur som omhandlet i </w:t>
      </w:r>
      <w:proofErr w:type="spellStart"/>
      <w:r w:rsidRPr="00467DB0">
        <w:t>artikel</w:t>
      </w:r>
      <w:proofErr w:type="spellEnd"/>
      <w:r w:rsidRPr="00467DB0">
        <w:t xml:space="preserve"> 72, stk. 1</w:t>
      </w:r>
    </w:p>
    <w:p w14:paraId="631233E0" w14:textId="77777777" w:rsidR="00000000" w:rsidRPr="00467DB0" w:rsidRDefault="00693D67" w:rsidP="00467DB0">
      <w:pPr>
        <w:pStyle w:val="friliste2"/>
      </w:pPr>
      <w:r w:rsidRPr="00467DB0">
        <w:t>l)</w:t>
      </w:r>
      <w:r w:rsidRPr="00467DB0">
        <w:tab/>
        <w:t xml:space="preserve">i </w:t>
      </w:r>
      <w:proofErr w:type="spellStart"/>
      <w:r w:rsidRPr="00467DB0">
        <w:t>tæt</w:t>
      </w:r>
      <w:proofErr w:type="spellEnd"/>
      <w:r w:rsidRPr="00467DB0">
        <w:t xml:space="preserve"> </w:t>
      </w:r>
      <w:proofErr w:type="spellStart"/>
      <w:r w:rsidRPr="00467DB0">
        <w:t>samarbejde</w:t>
      </w:r>
      <w:proofErr w:type="spellEnd"/>
      <w:r w:rsidRPr="00467DB0">
        <w:t xml:space="preserve"> med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med hensyn til </w:t>
      </w:r>
      <w:proofErr w:type="spellStart"/>
      <w:r w:rsidRPr="00467DB0">
        <w:t>spørgsmål</w:t>
      </w:r>
      <w:proofErr w:type="spellEnd"/>
      <w:r w:rsidRPr="00467DB0">
        <w:t xml:space="preserve"> </w:t>
      </w:r>
      <w:proofErr w:type="gramStart"/>
      <w:r w:rsidRPr="00467DB0">
        <w:t>vedrørende</w:t>
      </w:r>
      <w:proofErr w:type="gramEnd"/>
      <w:r w:rsidRPr="00467DB0">
        <w:t xml:space="preserve"> </w:t>
      </w:r>
      <w:proofErr w:type="spellStart"/>
      <w:r w:rsidRPr="00467DB0">
        <w:t>sikkerhedsgodkendelsesaktiviteter</w:t>
      </w:r>
      <w:proofErr w:type="spellEnd"/>
      <w:r w:rsidRPr="00467DB0">
        <w:t xml:space="preserve">,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w:t>
      </w:r>
      <w:proofErr w:type="spellStart"/>
      <w:r w:rsidRPr="00467DB0">
        <w:t>udarbejde</w:t>
      </w:r>
      <w:proofErr w:type="spellEnd"/>
      <w:r w:rsidRPr="00467DB0">
        <w:t xml:space="preserve"> agenturets </w:t>
      </w:r>
      <w:proofErr w:type="spellStart"/>
      <w:r w:rsidRPr="00467DB0">
        <w:t>organisation</w:t>
      </w:r>
      <w:r w:rsidRPr="00467DB0">
        <w:t>sstrukturer</w:t>
      </w:r>
      <w:proofErr w:type="spellEnd"/>
      <w:r w:rsidRPr="00467DB0">
        <w:t xml:space="preserve"> og </w:t>
      </w:r>
      <w:proofErr w:type="spellStart"/>
      <w:r w:rsidRPr="00467DB0">
        <w:t>forelægge</w:t>
      </w:r>
      <w:proofErr w:type="spellEnd"/>
      <w:r w:rsidRPr="00467DB0">
        <w:t xml:space="preserve"> dem for bestyrelsen til </w:t>
      </w:r>
      <w:proofErr w:type="spellStart"/>
      <w:r w:rsidRPr="00467DB0">
        <w:t>godkendelse</w:t>
      </w:r>
      <w:proofErr w:type="spellEnd"/>
      <w:r w:rsidRPr="00467DB0">
        <w:t xml:space="preserve">. Disse strukturer skal </w:t>
      </w:r>
      <w:proofErr w:type="spellStart"/>
      <w:r w:rsidRPr="00467DB0">
        <w:t>afspejle</w:t>
      </w:r>
      <w:proofErr w:type="spellEnd"/>
      <w:r w:rsidRPr="00467DB0">
        <w:t xml:space="preserve"> de særlige karakteristika, der </w:t>
      </w:r>
      <w:proofErr w:type="spellStart"/>
      <w:r w:rsidRPr="00467DB0">
        <w:t>kendetegner</w:t>
      </w:r>
      <w:proofErr w:type="spellEnd"/>
      <w:r w:rsidRPr="00467DB0">
        <w:t xml:space="preserve"> programmets </w:t>
      </w:r>
      <w:proofErr w:type="spellStart"/>
      <w:r w:rsidRPr="00467DB0">
        <w:t>forskellige</w:t>
      </w:r>
      <w:proofErr w:type="spellEnd"/>
      <w:r w:rsidRPr="00467DB0">
        <w:t xml:space="preserve"> komponenter</w:t>
      </w:r>
    </w:p>
    <w:p w14:paraId="4C5D08B1" w14:textId="77777777" w:rsidR="00000000" w:rsidRPr="00467DB0" w:rsidRDefault="00693D67" w:rsidP="00467DB0">
      <w:pPr>
        <w:pStyle w:val="friliste2"/>
      </w:pPr>
      <w:r w:rsidRPr="00467DB0">
        <w:t>m)</w:t>
      </w:r>
      <w:r w:rsidRPr="00467DB0">
        <w:tab/>
        <w:t xml:space="preserve">udøve de i </w:t>
      </w:r>
      <w:proofErr w:type="spellStart"/>
      <w:r w:rsidRPr="00467DB0">
        <w:t>artikel</w:t>
      </w:r>
      <w:proofErr w:type="spellEnd"/>
      <w:r w:rsidRPr="00467DB0">
        <w:t xml:space="preserve"> 77, stk. 3, første </w:t>
      </w:r>
      <w:proofErr w:type="spellStart"/>
      <w:r w:rsidRPr="00467DB0">
        <w:t>afsnit</w:t>
      </w:r>
      <w:proofErr w:type="spellEnd"/>
      <w:r w:rsidRPr="00467DB0">
        <w:t xml:space="preserve">, omhandlede </w:t>
      </w:r>
      <w:proofErr w:type="spellStart"/>
      <w:r w:rsidRPr="00467DB0">
        <w:t>beføjelser</w:t>
      </w:r>
      <w:proofErr w:type="spellEnd"/>
      <w:r w:rsidRPr="00467DB0">
        <w:t xml:space="preserve"> over for agen</w:t>
      </w:r>
      <w:r w:rsidRPr="00467DB0">
        <w:t xml:space="preserve">turets personale, i det omfang disse </w:t>
      </w:r>
      <w:proofErr w:type="spellStart"/>
      <w:r w:rsidRPr="00467DB0">
        <w:t>beføjelser</w:t>
      </w:r>
      <w:proofErr w:type="spellEnd"/>
      <w:r w:rsidRPr="00467DB0">
        <w:t xml:space="preserve"> er tillagt den administrerende direktør i overensstemmelse med </w:t>
      </w:r>
      <w:proofErr w:type="spellStart"/>
      <w:r w:rsidRPr="00467DB0">
        <w:t>artikel</w:t>
      </w:r>
      <w:proofErr w:type="spellEnd"/>
      <w:r w:rsidRPr="00467DB0">
        <w:t xml:space="preserve"> 77, stk. 3, andet </w:t>
      </w:r>
      <w:proofErr w:type="spellStart"/>
      <w:r w:rsidRPr="00467DB0">
        <w:t>afsnit</w:t>
      </w:r>
      <w:proofErr w:type="spellEnd"/>
    </w:p>
    <w:p w14:paraId="282352DB" w14:textId="77777777" w:rsidR="00000000" w:rsidRPr="00467DB0" w:rsidRDefault="00693D67" w:rsidP="00467DB0">
      <w:pPr>
        <w:pStyle w:val="friliste2"/>
      </w:pPr>
      <w:r w:rsidRPr="00467DB0">
        <w:t>n)</w:t>
      </w:r>
      <w:r w:rsidRPr="00467DB0">
        <w:tab/>
        <w:t xml:space="preserve">sørge for, at Komitéen for </w:t>
      </w:r>
      <w:proofErr w:type="spellStart"/>
      <w:r w:rsidRPr="00467DB0">
        <w:t>Sikkerhedsgodkendelse</w:t>
      </w:r>
      <w:proofErr w:type="spellEnd"/>
      <w:r w:rsidRPr="00467DB0">
        <w:t xml:space="preserve">, de organer, som er omhandlet i </w:t>
      </w:r>
      <w:proofErr w:type="spellStart"/>
      <w:r w:rsidRPr="00467DB0">
        <w:t>artikel</w:t>
      </w:r>
      <w:proofErr w:type="spellEnd"/>
      <w:r w:rsidRPr="00467DB0">
        <w:t xml:space="preserve"> 38, stk. 3, og </w:t>
      </w:r>
      <w:proofErr w:type="spellStart"/>
      <w:r w:rsidRPr="00467DB0">
        <w:t>artik</w:t>
      </w:r>
      <w:r w:rsidRPr="00467DB0">
        <w:t>el</w:t>
      </w:r>
      <w:proofErr w:type="spellEnd"/>
      <w:r w:rsidRPr="00467DB0">
        <w:t xml:space="preserve"> 82, stk. 3, og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råder over sekretariatsbistand og alle nødvendige </w:t>
      </w:r>
      <w:proofErr w:type="spellStart"/>
      <w:r w:rsidRPr="00467DB0">
        <w:t>ressourcer</w:t>
      </w:r>
      <w:proofErr w:type="spellEnd"/>
      <w:r w:rsidRPr="00467DB0">
        <w:t xml:space="preserve">, så de kan fungere efter </w:t>
      </w:r>
      <w:proofErr w:type="spellStart"/>
      <w:r w:rsidRPr="00467DB0">
        <w:t>hensigten</w:t>
      </w:r>
      <w:proofErr w:type="spellEnd"/>
    </w:p>
    <w:p w14:paraId="6E2E6C41" w14:textId="77777777" w:rsidR="00000000" w:rsidRPr="00467DB0" w:rsidRDefault="00693D67" w:rsidP="00467DB0">
      <w:pPr>
        <w:pStyle w:val="friliste2"/>
      </w:pPr>
      <w:r w:rsidRPr="00467DB0">
        <w:t>o)</w:t>
      </w:r>
      <w:r w:rsidRPr="00467DB0">
        <w:tab/>
        <w:t xml:space="preserve">med </w:t>
      </w:r>
      <w:proofErr w:type="spellStart"/>
      <w:r w:rsidRPr="00467DB0">
        <w:t>undtagelse</w:t>
      </w:r>
      <w:proofErr w:type="spellEnd"/>
      <w:r w:rsidRPr="00467DB0">
        <w:t xml:space="preserve"> </w:t>
      </w:r>
      <w:proofErr w:type="spellStart"/>
      <w:r w:rsidRPr="00467DB0">
        <w:t>af</w:t>
      </w:r>
      <w:proofErr w:type="spellEnd"/>
      <w:r w:rsidRPr="00467DB0">
        <w:t xml:space="preserve"> den del </w:t>
      </w:r>
      <w:proofErr w:type="spellStart"/>
      <w:r w:rsidRPr="00467DB0">
        <w:t>af</w:t>
      </w:r>
      <w:proofErr w:type="spellEnd"/>
      <w:r w:rsidRPr="00467DB0">
        <w:t xml:space="preserve"> handlingsplanen, som vedrører de aktiviteter, der er omfattet</w:t>
      </w:r>
      <w:r w:rsidRPr="00467DB0">
        <w:t xml:space="preserve"> </w:t>
      </w:r>
      <w:proofErr w:type="spellStart"/>
      <w:r w:rsidRPr="00467DB0">
        <w:t>af</w:t>
      </w:r>
      <w:proofErr w:type="spellEnd"/>
      <w:r w:rsidRPr="00467DB0">
        <w:t xml:space="preserve"> </w:t>
      </w:r>
      <w:proofErr w:type="spellStart"/>
      <w:r w:rsidRPr="00467DB0">
        <w:t>afsnit</w:t>
      </w:r>
      <w:proofErr w:type="spellEnd"/>
      <w:r w:rsidRPr="00467DB0">
        <w:t xml:space="preserve"> V, kapitel II, </w:t>
      </w:r>
      <w:proofErr w:type="spellStart"/>
      <w:r w:rsidRPr="00467DB0">
        <w:t>udarbejde</w:t>
      </w:r>
      <w:proofErr w:type="spellEnd"/>
      <w:r w:rsidRPr="00467DB0">
        <w:t xml:space="preserve"> en handlingsplan med </w:t>
      </w:r>
      <w:proofErr w:type="spellStart"/>
      <w:r w:rsidRPr="00467DB0">
        <w:t>henblik</w:t>
      </w:r>
      <w:proofErr w:type="spellEnd"/>
      <w:r w:rsidRPr="00467DB0">
        <w:t xml:space="preserve"> på at sikre </w:t>
      </w:r>
      <w:proofErr w:type="spellStart"/>
      <w:r w:rsidRPr="00467DB0">
        <w:t>opfølgningen</w:t>
      </w:r>
      <w:proofErr w:type="spellEnd"/>
      <w:r w:rsidRPr="00467DB0">
        <w:t xml:space="preserve"> </w:t>
      </w:r>
      <w:proofErr w:type="spellStart"/>
      <w:r w:rsidRPr="00467DB0">
        <w:t>af</w:t>
      </w:r>
      <w:proofErr w:type="spellEnd"/>
      <w:r w:rsidRPr="00467DB0">
        <w:t xml:space="preserve"> </w:t>
      </w:r>
      <w:proofErr w:type="spellStart"/>
      <w:r w:rsidRPr="00467DB0">
        <w:t>resultaterne</w:t>
      </w:r>
      <w:proofErr w:type="spellEnd"/>
      <w:r w:rsidRPr="00467DB0">
        <w:t xml:space="preserve"> og </w:t>
      </w:r>
      <w:proofErr w:type="spellStart"/>
      <w:r w:rsidRPr="00467DB0">
        <w:t>anbefalingerne</w:t>
      </w:r>
      <w:proofErr w:type="spellEnd"/>
      <w:r w:rsidRPr="00467DB0">
        <w:t xml:space="preserve"> i de evalueringer, der er omhandlet i </w:t>
      </w:r>
      <w:proofErr w:type="spellStart"/>
      <w:r w:rsidRPr="00467DB0">
        <w:t>artikel</w:t>
      </w:r>
      <w:proofErr w:type="spellEnd"/>
      <w:r w:rsidRPr="00467DB0">
        <w:t xml:space="preserve"> 102, og </w:t>
      </w:r>
      <w:proofErr w:type="spellStart"/>
      <w:r w:rsidRPr="00467DB0">
        <w:t>forelægge</w:t>
      </w:r>
      <w:proofErr w:type="spellEnd"/>
      <w:r w:rsidRPr="00467DB0">
        <w:t xml:space="preserve"> en halvårlig statusrapport efter </w:t>
      </w:r>
      <w:proofErr w:type="spellStart"/>
      <w:r w:rsidRPr="00467DB0">
        <w:t>uden</w:t>
      </w:r>
      <w:proofErr w:type="spellEnd"/>
      <w:r w:rsidRPr="00467DB0">
        <w:t xml:space="preserve"> </w:t>
      </w:r>
      <w:proofErr w:type="spellStart"/>
      <w:r w:rsidRPr="00467DB0">
        <w:t>ændringer</w:t>
      </w:r>
      <w:proofErr w:type="spellEnd"/>
      <w:r w:rsidRPr="00467DB0">
        <w:t xml:space="preserve"> at have </w:t>
      </w:r>
      <w:proofErr w:type="spellStart"/>
      <w:r w:rsidRPr="00467DB0">
        <w:t>integreret</w:t>
      </w:r>
      <w:proofErr w:type="spellEnd"/>
      <w:r w:rsidRPr="00467DB0">
        <w:t xml:space="preserve"> d</w:t>
      </w:r>
      <w:r w:rsidRPr="00467DB0">
        <w:t xml:space="preserve">en del, som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har </w:t>
      </w:r>
      <w:proofErr w:type="spellStart"/>
      <w:r w:rsidRPr="00467DB0">
        <w:t>udarbejdet</w:t>
      </w:r>
      <w:proofErr w:type="spellEnd"/>
      <w:r w:rsidRPr="00467DB0">
        <w:t xml:space="preserve">, for </w:t>
      </w:r>
      <w:proofErr w:type="spellStart"/>
      <w:r w:rsidRPr="00467DB0">
        <w:t>Kommissionen</w:t>
      </w:r>
      <w:proofErr w:type="spellEnd"/>
      <w:r w:rsidRPr="00467DB0">
        <w:t xml:space="preserve">, og den </w:t>
      </w:r>
      <w:proofErr w:type="spellStart"/>
      <w:r w:rsidRPr="00467DB0">
        <w:t>forelægges</w:t>
      </w:r>
      <w:proofErr w:type="spellEnd"/>
      <w:r w:rsidRPr="00467DB0">
        <w:t xml:space="preserve"> også for bestyrelsen til orientering</w:t>
      </w:r>
    </w:p>
    <w:p w14:paraId="05FBEB82" w14:textId="77777777" w:rsidR="00000000" w:rsidRPr="00467DB0" w:rsidRDefault="00693D67" w:rsidP="00467DB0">
      <w:pPr>
        <w:pStyle w:val="friliste2"/>
      </w:pPr>
      <w:r w:rsidRPr="00467DB0">
        <w:lastRenderedPageBreak/>
        <w:t>p)</w:t>
      </w:r>
      <w:r w:rsidRPr="00467DB0">
        <w:tab/>
      </w:r>
      <w:proofErr w:type="spellStart"/>
      <w:r w:rsidRPr="00467DB0">
        <w:t>træffe</w:t>
      </w:r>
      <w:proofErr w:type="spellEnd"/>
      <w:r w:rsidRPr="00467DB0">
        <w:t xml:space="preserve"> følgende foranstaltninger til beskyttelse </w:t>
      </w:r>
      <w:proofErr w:type="spellStart"/>
      <w:r w:rsidRPr="00467DB0">
        <w:t>af</w:t>
      </w:r>
      <w:proofErr w:type="spellEnd"/>
      <w:r w:rsidRPr="00467DB0">
        <w:t xml:space="preserve"> Unionens finansielle interesser:</w:t>
      </w:r>
    </w:p>
    <w:p w14:paraId="2C86914D" w14:textId="77777777" w:rsidR="00000000" w:rsidRPr="00467DB0" w:rsidRDefault="00693D67" w:rsidP="00467DB0">
      <w:pPr>
        <w:pStyle w:val="friliste3"/>
      </w:pPr>
      <w:r w:rsidRPr="00467DB0">
        <w:t>i)</w:t>
      </w:r>
      <w:r w:rsidRPr="00467DB0">
        <w:tab/>
        <w:t>forebyggende fo</w:t>
      </w:r>
      <w:r w:rsidRPr="00467DB0">
        <w:t xml:space="preserve">ranstaltninger over for </w:t>
      </w:r>
      <w:proofErr w:type="spellStart"/>
      <w:r w:rsidRPr="00467DB0">
        <w:t>svig</w:t>
      </w:r>
      <w:proofErr w:type="spellEnd"/>
      <w:r w:rsidRPr="00467DB0">
        <w:t xml:space="preserve">, bestikkelse og alle andre ulovlige aktiviteter og samtidig </w:t>
      </w:r>
      <w:proofErr w:type="spellStart"/>
      <w:r w:rsidRPr="00467DB0">
        <w:t>brug</w:t>
      </w:r>
      <w:proofErr w:type="spellEnd"/>
      <w:r w:rsidRPr="00467DB0">
        <w:t xml:space="preserve"> </w:t>
      </w:r>
      <w:proofErr w:type="spellStart"/>
      <w:r w:rsidRPr="00467DB0">
        <w:t>af</w:t>
      </w:r>
      <w:proofErr w:type="spellEnd"/>
      <w:r w:rsidRPr="00467DB0">
        <w:t xml:space="preserve"> effektive </w:t>
      </w:r>
      <w:proofErr w:type="spellStart"/>
      <w:r w:rsidRPr="00467DB0">
        <w:t>kontrolforanstaltninger</w:t>
      </w:r>
      <w:proofErr w:type="spellEnd"/>
    </w:p>
    <w:p w14:paraId="4180FDDB" w14:textId="77777777" w:rsidR="00000000" w:rsidRPr="00467DB0" w:rsidRDefault="00693D67" w:rsidP="00467DB0">
      <w:pPr>
        <w:pStyle w:val="friliste3"/>
      </w:pPr>
      <w:r w:rsidRPr="00467DB0">
        <w:t>ii)</w:t>
      </w:r>
      <w:r w:rsidRPr="00467DB0">
        <w:tab/>
      </w:r>
      <w:proofErr w:type="spellStart"/>
      <w:r w:rsidRPr="00467DB0">
        <w:t>inddrive</w:t>
      </w:r>
      <w:proofErr w:type="spellEnd"/>
      <w:r w:rsidRPr="00467DB0">
        <w:t xml:space="preserve"> uberettiget </w:t>
      </w:r>
      <w:proofErr w:type="spellStart"/>
      <w:r w:rsidRPr="00467DB0">
        <w:t>udbetalte</w:t>
      </w:r>
      <w:proofErr w:type="spellEnd"/>
      <w:r w:rsidRPr="00467DB0">
        <w:t xml:space="preserve"> </w:t>
      </w:r>
      <w:proofErr w:type="spellStart"/>
      <w:r w:rsidRPr="00467DB0">
        <w:t>beløb</w:t>
      </w:r>
      <w:proofErr w:type="spellEnd"/>
      <w:r w:rsidRPr="00467DB0">
        <w:t xml:space="preserve"> og i </w:t>
      </w:r>
      <w:proofErr w:type="spellStart"/>
      <w:r w:rsidRPr="00467DB0">
        <w:t>givet</w:t>
      </w:r>
      <w:proofErr w:type="spellEnd"/>
      <w:r w:rsidRPr="00467DB0">
        <w:t xml:space="preserve"> fald </w:t>
      </w:r>
      <w:proofErr w:type="spellStart"/>
      <w:r w:rsidRPr="00467DB0">
        <w:t>gennemføre</w:t>
      </w:r>
      <w:proofErr w:type="spellEnd"/>
      <w:r w:rsidRPr="00467DB0">
        <w:t xml:space="preserve"> effektive og </w:t>
      </w:r>
      <w:proofErr w:type="spellStart"/>
      <w:r w:rsidRPr="00467DB0">
        <w:t>afskrækkende</w:t>
      </w:r>
      <w:proofErr w:type="spellEnd"/>
      <w:r w:rsidRPr="00467DB0">
        <w:t xml:space="preserve"> administrative og finansielle </w:t>
      </w:r>
      <w:proofErr w:type="spellStart"/>
      <w:r w:rsidRPr="00467DB0">
        <w:t>s</w:t>
      </w:r>
      <w:r w:rsidRPr="00467DB0">
        <w:t>anktioner</w:t>
      </w:r>
      <w:proofErr w:type="spellEnd"/>
      <w:r w:rsidRPr="00467DB0">
        <w:t xml:space="preserve">, der står i </w:t>
      </w:r>
      <w:proofErr w:type="spellStart"/>
      <w:r w:rsidRPr="00467DB0">
        <w:t>rimeligt</w:t>
      </w:r>
      <w:proofErr w:type="spellEnd"/>
      <w:r w:rsidRPr="00467DB0">
        <w:t xml:space="preserve"> forhold til </w:t>
      </w:r>
      <w:proofErr w:type="spellStart"/>
      <w:r w:rsidRPr="00467DB0">
        <w:t>overtrædelsen</w:t>
      </w:r>
      <w:proofErr w:type="spellEnd"/>
    </w:p>
    <w:p w14:paraId="0C978DF5" w14:textId="77777777" w:rsidR="00000000" w:rsidRPr="00467DB0" w:rsidRDefault="00693D67" w:rsidP="00467DB0">
      <w:pPr>
        <w:pStyle w:val="friliste2"/>
      </w:pPr>
      <w:r w:rsidRPr="00467DB0">
        <w:t>q)</w:t>
      </w:r>
      <w:r w:rsidRPr="00467DB0">
        <w:tab/>
      </w:r>
      <w:proofErr w:type="spellStart"/>
      <w:r w:rsidRPr="00467DB0">
        <w:t>udarbejde</w:t>
      </w:r>
      <w:proofErr w:type="spellEnd"/>
      <w:r w:rsidRPr="00467DB0">
        <w:t xml:space="preserve"> en strategi for agenturet til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som står i forhold til risikoen for </w:t>
      </w:r>
      <w:proofErr w:type="spellStart"/>
      <w:r w:rsidRPr="00467DB0">
        <w:t>svig</w:t>
      </w:r>
      <w:proofErr w:type="spellEnd"/>
      <w:r w:rsidRPr="00467DB0">
        <w:t xml:space="preserve">, under henvisning til en </w:t>
      </w:r>
      <w:proofErr w:type="spellStart"/>
      <w:r w:rsidRPr="00467DB0">
        <w:t>cost</w:t>
      </w:r>
      <w:proofErr w:type="spellEnd"/>
      <w:r w:rsidRPr="00467DB0">
        <w:t>-</w:t>
      </w:r>
      <w:proofErr w:type="spellStart"/>
      <w:r w:rsidRPr="00467DB0">
        <w:t>benefit</w:t>
      </w:r>
      <w:proofErr w:type="spellEnd"/>
      <w:r w:rsidRPr="00467DB0">
        <w:t xml:space="preserve">-analyse </w:t>
      </w:r>
      <w:proofErr w:type="spellStart"/>
      <w:r w:rsidRPr="00467DB0">
        <w:t>af</w:t>
      </w:r>
      <w:proofErr w:type="spellEnd"/>
      <w:r w:rsidRPr="00467DB0">
        <w:t xml:space="preserve"> de foranstaltninger, der skal </w:t>
      </w:r>
      <w:proofErr w:type="spellStart"/>
      <w:r w:rsidRPr="00467DB0">
        <w:t>gennemføres</w:t>
      </w:r>
      <w:proofErr w:type="spellEnd"/>
      <w:r w:rsidRPr="00467DB0">
        <w:t xml:space="preserve">, og </w:t>
      </w:r>
      <w:proofErr w:type="spellStart"/>
      <w:r w:rsidRPr="00467DB0">
        <w:t>tage</w:t>
      </w:r>
      <w:proofErr w:type="spellEnd"/>
      <w:r w:rsidRPr="00467DB0">
        <w:t xml:space="preserve"> hensyn til </w:t>
      </w:r>
      <w:proofErr w:type="spellStart"/>
      <w:r w:rsidRPr="00467DB0">
        <w:t>resultaterne</w:t>
      </w:r>
      <w:proofErr w:type="spellEnd"/>
      <w:r w:rsidRPr="00467DB0">
        <w:t xml:space="preserve"> og </w:t>
      </w:r>
      <w:proofErr w:type="spellStart"/>
      <w:r w:rsidRPr="00467DB0">
        <w:t>anbefalingerne</w:t>
      </w:r>
      <w:proofErr w:type="spellEnd"/>
      <w:r w:rsidRPr="00467DB0">
        <w:t xml:space="preserve"> fra de </w:t>
      </w:r>
      <w:proofErr w:type="spellStart"/>
      <w:r w:rsidRPr="00467DB0">
        <w:t>undersøgelser</w:t>
      </w:r>
      <w:proofErr w:type="spellEnd"/>
      <w:r w:rsidRPr="00467DB0">
        <w:t xml:space="preserve">, der er </w:t>
      </w:r>
      <w:proofErr w:type="spellStart"/>
      <w:r w:rsidRPr="00467DB0">
        <w:t>foretaget</w:t>
      </w:r>
      <w:proofErr w:type="spellEnd"/>
      <w:r w:rsidRPr="00467DB0">
        <w:t xml:space="preserve"> </w:t>
      </w:r>
      <w:proofErr w:type="spellStart"/>
      <w:r w:rsidRPr="00467DB0">
        <w:t>af</w:t>
      </w:r>
      <w:proofErr w:type="spellEnd"/>
      <w:r w:rsidRPr="00467DB0">
        <w:t xml:space="preserve"> OLAF, og </w:t>
      </w:r>
      <w:proofErr w:type="spellStart"/>
      <w:r w:rsidRPr="00467DB0">
        <w:t>forelægge</w:t>
      </w:r>
      <w:proofErr w:type="spellEnd"/>
      <w:r w:rsidRPr="00467DB0">
        <w:t xml:space="preserve"> denne for bestyrelsen med </w:t>
      </w:r>
      <w:proofErr w:type="spellStart"/>
      <w:r w:rsidRPr="00467DB0">
        <w:t>henblik</w:t>
      </w:r>
      <w:proofErr w:type="spellEnd"/>
      <w:r w:rsidRPr="00467DB0">
        <w:t xml:space="preserve"> på </w:t>
      </w:r>
      <w:proofErr w:type="spellStart"/>
      <w:r w:rsidRPr="00467DB0">
        <w:t>godkendelse</w:t>
      </w:r>
      <w:proofErr w:type="spellEnd"/>
    </w:p>
    <w:p w14:paraId="2D2DA9DA" w14:textId="77777777" w:rsidR="00000000" w:rsidRPr="00467DB0" w:rsidRDefault="00693D67" w:rsidP="00467DB0">
      <w:pPr>
        <w:pStyle w:val="friliste2"/>
      </w:pPr>
      <w:r w:rsidRPr="00467DB0">
        <w:t>r)</w:t>
      </w:r>
      <w:r w:rsidRPr="00467DB0">
        <w:tab/>
      </w:r>
      <w:proofErr w:type="spellStart"/>
      <w:r w:rsidRPr="00467DB0">
        <w:t>aflægge</w:t>
      </w:r>
      <w:proofErr w:type="spellEnd"/>
      <w:r w:rsidRPr="00467DB0">
        <w:t xml:space="preserve"> rapport til Europa-Parlamentet om </w:t>
      </w:r>
      <w:proofErr w:type="spellStart"/>
      <w:r w:rsidRPr="00467DB0">
        <w:t>udførelsen</w:t>
      </w:r>
      <w:proofErr w:type="spellEnd"/>
      <w:r w:rsidRPr="00467DB0">
        <w:t xml:space="preserve"> </w:t>
      </w:r>
      <w:proofErr w:type="spellStart"/>
      <w:r w:rsidRPr="00467DB0">
        <w:t>af</w:t>
      </w:r>
      <w:proofErr w:type="spellEnd"/>
      <w:r w:rsidRPr="00467DB0">
        <w:t xml:space="preserve"> </w:t>
      </w:r>
      <w:proofErr w:type="spellStart"/>
      <w:r w:rsidRPr="00467DB0">
        <w:t>sit</w:t>
      </w:r>
      <w:proofErr w:type="spellEnd"/>
      <w:r w:rsidRPr="00467DB0">
        <w:t xml:space="preserve"> </w:t>
      </w:r>
      <w:proofErr w:type="spellStart"/>
      <w:r w:rsidRPr="00467DB0">
        <w:t>hverv</w:t>
      </w:r>
      <w:proofErr w:type="spellEnd"/>
      <w:r w:rsidRPr="00467DB0">
        <w:t>, når vedkommende anmodes herom</w:t>
      </w:r>
      <w:r w:rsidRPr="00467DB0">
        <w:t xml:space="preserve">; Rådet kan anmode den administrerende direktør om at </w:t>
      </w:r>
      <w:proofErr w:type="spellStart"/>
      <w:r w:rsidRPr="00467DB0">
        <w:t>aflægge</w:t>
      </w:r>
      <w:proofErr w:type="spellEnd"/>
      <w:r w:rsidRPr="00467DB0">
        <w:t xml:space="preserve"> rapport om </w:t>
      </w:r>
      <w:proofErr w:type="spellStart"/>
      <w:r w:rsidRPr="00467DB0">
        <w:t>udførelsen</w:t>
      </w:r>
      <w:proofErr w:type="spellEnd"/>
      <w:r w:rsidRPr="00467DB0">
        <w:t xml:space="preserve"> </w:t>
      </w:r>
      <w:proofErr w:type="spellStart"/>
      <w:r w:rsidRPr="00467DB0">
        <w:t>af</w:t>
      </w:r>
      <w:proofErr w:type="spellEnd"/>
      <w:r w:rsidRPr="00467DB0">
        <w:t xml:space="preserve"> dennes </w:t>
      </w:r>
      <w:proofErr w:type="spellStart"/>
      <w:r w:rsidRPr="00467DB0">
        <w:t>hverv</w:t>
      </w:r>
      <w:proofErr w:type="spellEnd"/>
      <w:r w:rsidRPr="00467DB0">
        <w:t>.</w:t>
      </w:r>
    </w:p>
    <w:p w14:paraId="4BD9CC5D" w14:textId="77777777" w:rsidR="00000000" w:rsidRPr="00467DB0" w:rsidRDefault="00693D67" w:rsidP="00467DB0">
      <w:pPr>
        <w:pStyle w:val="friliste"/>
      </w:pPr>
      <w:r w:rsidRPr="00467DB0">
        <w:t>2.</w:t>
      </w:r>
      <w:r w:rsidRPr="00467DB0">
        <w:tab/>
        <w:t xml:space="preserve">Den administrerende direktør beslutter, om det er </w:t>
      </w:r>
      <w:proofErr w:type="spellStart"/>
      <w:r w:rsidRPr="00467DB0">
        <w:t>nødvendigt</w:t>
      </w:r>
      <w:proofErr w:type="spellEnd"/>
      <w:r w:rsidRPr="00467DB0">
        <w:t xml:space="preserve"> at </w:t>
      </w:r>
      <w:proofErr w:type="spellStart"/>
      <w:r w:rsidRPr="00467DB0">
        <w:t>placere</w:t>
      </w:r>
      <w:proofErr w:type="spellEnd"/>
      <w:r w:rsidRPr="00467DB0">
        <w:t xml:space="preserve"> en eller flere </w:t>
      </w:r>
      <w:proofErr w:type="spellStart"/>
      <w:r w:rsidRPr="00467DB0">
        <w:t>medarbejdere</w:t>
      </w:r>
      <w:proofErr w:type="spellEnd"/>
      <w:r w:rsidRPr="00467DB0">
        <w:t xml:space="preserve"> i en eller flere medlemsstater med </w:t>
      </w:r>
      <w:proofErr w:type="spellStart"/>
      <w:r w:rsidRPr="00467DB0">
        <w:t>henblik</w:t>
      </w:r>
      <w:proofErr w:type="spellEnd"/>
      <w:r w:rsidRPr="00467DB0">
        <w:t xml:space="preserve"> på at </w:t>
      </w:r>
      <w:proofErr w:type="spellStart"/>
      <w:r w:rsidRPr="00467DB0">
        <w:t>udf</w:t>
      </w:r>
      <w:r w:rsidRPr="00467DB0">
        <w:t>øre</w:t>
      </w:r>
      <w:proofErr w:type="spellEnd"/>
      <w:r w:rsidRPr="00467DB0">
        <w:t xml:space="preserve"> agenturets </w:t>
      </w:r>
      <w:proofErr w:type="spellStart"/>
      <w:r w:rsidRPr="00467DB0">
        <w:t>opgaver</w:t>
      </w:r>
      <w:proofErr w:type="spellEnd"/>
      <w:r w:rsidRPr="00467DB0">
        <w:t xml:space="preserve"> på effektiv og </w:t>
      </w:r>
      <w:proofErr w:type="spellStart"/>
      <w:r w:rsidRPr="00467DB0">
        <w:t>virkningsfuld</w:t>
      </w:r>
      <w:proofErr w:type="spellEnd"/>
      <w:r w:rsidRPr="00467DB0">
        <w:t xml:space="preserve"> vis. </w:t>
      </w:r>
      <w:proofErr w:type="spellStart"/>
      <w:r w:rsidRPr="00467DB0">
        <w:t>Inden</w:t>
      </w:r>
      <w:proofErr w:type="spellEnd"/>
      <w:r w:rsidRPr="00467DB0">
        <w:t xml:space="preserve"> den administrerende direktør beslutter at </w:t>
      </w:r>
      <w:proofErr w:type="spellStart"/>
      <w:r w:rsidRPr="00467DB0">
        <w:t>oprette</w:t>
      </w:r>
      <w:proofErr w:type="spellEnd"/>
      <w:r w:rsidRPr="00467DB0">
        <w:t xml:space="preserve"> et lokalt kontor, </w:t>
      </w:r>
      <w:proofErr w:type="spellStart"/>
      <w:r w:rsidRPr="00467DB0">
        <w:t>indhenter</w:t>
      </w:r>
      <w:proofErr w:type="spellEnd"/>
      <w:r w:rsidRPr="00467DB0">
        <w:t xml:space="preserve"> vedkommende </w:t>
      </w:r>
      <w:proofErr w:type="spellStart"/>
      <w:r w:rsidRPr="00467DB0">
        <w:t>forudgående</w:t>
      </w:r>
      <w:proofErr w:type="spellEnd"/>
      <w:r w:rsidRPr="00467DB0">
        <w:t xml:space="preserve"> samtykke fra </w:t>
      </w:r>
      <w:proofErr w:type="spellStart"/>
      <w:r w:rsidRPr="00467DB0">
        <w:t>Kommissionen</w:t>
      </w:r>
      <w:proofErr w:type="spellEnd"/>
      <w:r w:rsidRPr="00467DB0">
        <w:t>, bestyrelsen og den eller de berørte medlemsstater. I beslutninge</w:t>
      </w:r>
      <w:r w:rsidRPr="00467DB0">
        <w:t xml:space="preserve">n </w:t>
      </w:r>
      <w:proofErr w:type="spellStart"/>
      <w:r w:rsidRPr="00467DB0">
        <w:t>fastsættes</w:t>
      </w:r>
      <w:proofErr w:type="spellEnd"/>
      <w:r w:rsidRPr="00467DB0">
        <w:t xml:space="preserve"> omfanget </w:t>
      </w:r>
      <w:proofErr w:type="spellStart"/>
      <w:r w:rsidRPr="00467DB0">
        <w:t>af</w:t>
      </w:r>
      <w:proofErr w:type="spellEnd"/>
      <w:r w:rsidRPr="00467DB0">
        <w:t xml:space="preserve"> de aktiviteter, der skal </w:t>
      </w:r>
      <w:proofErr w:type="spellStart"/>
      <w:r w:rsidRPr="00467DB0">
        <w:t>udføres</w:t>
      </w:r>
      <w:proofErr w:type="spellEnd"/>
      <w:r w:rsidRPr="00467DB0">
        <w:t xml:space="preserve"> </w:t>
      </w:r>
      <w:proofErr w:type="spellStart"/>
      <w:r w:rsidRPr="00467DB0">
        <w:t>af</w:t>
      </w:r>
      <w:proofErr w:type="spellEnd"/>
      <w:r w:rsidRPr="00467DB0">
        <w:t xml:space="preserve"> det lokale kontor, </w:t>
      </w:r>
      <w:proofErr w:type="gramStart"/>
      <w:r w:rsidRPr="00467DB0">
        <w:t>således</w:t>
      </w:r>
      <w:proofErr w:type="gramEnd"/>
      <w:r w:rsidRPr="00467DB0">
        <w:t xml:space="preserve"> at der </w:t>
      </w:r>
      <w:proofErr w:type="spellStart"/>
      <w:r w:rsidRPr="00467DB0">
        <w:t>undgås</w:t>
      </w:r>
      <w:proofErr w:type="spellEnd"/>
      <w:r w:rsidRPr="00467DB0">
        <w:t xml:space="preserve"> unødige omkostninger og </w:t>
      </w:r>
      <w:proofErr w:type="spellStart"/>
      <w:r w:rsidRPr="00467DB0">
        <w:t>overlap</w:t>
      </w:r>
      <w:proofErr w:type="spellEnd"/>
      <w:r w:rsidRPr="00467DB0">
        <w:t xml:space="preserve"> </w:t>
      </w:r>
      <w:proofErr w:type="spellStart"/>
      <w:r w:rsidRPr="00467DB0">
        <w:t>af</w:t>
      </w:r>
      <w:proofErr w:type="spellEnd"/>
      <w:r w:rsidRPr="00467DB0">
        <w:t xml:space="preserve"> agenturets administrative </w:t>
      </w:r>
      <w:proofErr w:type="spellStart"/>
      <w:r w:rsidRPr="00467DB0">
        <w:t>funktioner</w:t>
      </w:r>
      <w:proofErr w:type="spellEnd"/>
      <w:r w:rsidRPr="00467DB0">
        <w:t xml:space="preserve">. Hvor det er </w:t>
      </w:r>
      <w:proofErr w:type="spellStart"/>
      <w:r w:rsidRPr="00467DB0">
        <w:t>muligt</w:t>
      </w:r>
      <w:proofErr w:type="spellEnd"/>
      <w:r w:rsidRPr="00467DB0">
        <w:t xml:space="preserve">, </w:t>
      </w:r>
      <w:proofErr w:type="spellStart"/>
      <w:r w:rsidRPr="00467DB0">
        <w:t>indarbejdes</w:t>
      </w:r>
      <w:proofErr w:type="spellEnd"/>
      <w:r w:rsidRPr="00467DB0">
        <w:t xml:space="preserve"> konsekvenser i form </w:t>
      </w:r>
      <w:proofErr w:type="spellStart"/>
      <w:r w:rsidRPr="00467DB0">
        <w:t>af</w:t>
      </w:r>
      <w:proofErr w:type="spellEnd"/>
      <w:r w:rsidRPr="00467DB0">
        <w:t xml:space="preserve"> personaletildeling og </w:t>
      </w:r>
      <w:proofErr w:type="spellStart"/>
      <w:r w:rsidRPr="00467DB0">
        <w:t>budg</w:t>
      </w:r>
      <w:r w:rsidRPr="00467DB0">
        <w:t>et</w:t>
      </w:r>
      <w:proofErr w:type="spellEnd"/>
      <w:r w:rsidRPr="00467DB0">
        <w:t xml:space="preserve"> i </w:t>
      </w:r>
      <w:proofErr w:type="spellStart"/>
      <w:r w:rsidRPr="00467DB0">
        <w:t>udkastet</w:t>
      </w:r>
      <w:proofErr w:type="spellEnd"/>
      <w:r w:rsidRPr="00467DB0">
        <w:t xml:space="preserve"> til </w:t>
      </w:r>
      <w:proofErr w:type="spellStart"/>
      <w:r w:rsidRPr="00467DB0">
        <w:t>enhedsprogrammeringsdokument</w:t>
      </w:r>
      <w:proofErr w:type="spellEnd"/>
      <w:r w:rsidRPr="00467DB0">
        <w:t xml:space="preserve">, der er omhandlet i </w:t>
      </w:r>
      <w:proofErr w:type="spellStart"/>
      <w:r w:rsidRPr="00467DB0">
        <w:t>artikel</w:t>
      </w:r>
      <w:proofErr w:type="spellEnd"/>
      <w:r w:rsidRPr="00467DB0">
        <w:t xml:space="preserve"> 84, stk. 6.</w:t>
      </w:r>
    </w:p>
    <w:p w14:paraId="7D81E027" w14:textId="77777777" w:rsidR="00000000" w:rsidRPr="00467DB0" w:rsidRDefault="00693D67" w:rsidP="00467DB0">
      <w:pPr>
        <w:pStyle w:val="avsnitt-undertittel"/>
      </w:pPr>
      <w:proofErr w:type="spellStart"/>
      <w:r w:rsidRPr="00467DB0">
        <w:t>Artikel</w:t>
      </w:r>
      <w:proofErr w:type="spellEnd"/>
      <w:r w:rsidRPr="00467DB0">
        <w:t xml:space="preserve"> 80</w:t>
      </w:r>
    </w:p>
    <w:p w14:paraId="7A81263C" w14:textId="77777777" w:rsidR="00000000" w:rsidRPr="00467DB0" w:rsidRDefault="00693D67" w:rsidP="00467DB0">
      <w:pPr>
        <w:pStyle w:val="Undertittel"/>
      </w:pPr>
      <w:proofErr w:type="spellStart"/>
      <w:r w:rsidRPr="00467DB0">
        <w:t>Ledelsesopgaver</w:t>
      </w:r>
      <w:proofErr w:type="spellEnd"/>
      <w:r w:rsidRPr="00467DB0">
        <w:t xml:space="preserve">, der </w:t>
      </w:r>
      <w:proofErr w:type="spellStart"/>
      <w:r w:rsidRPr="00467DB0">
        <w:t>udføres</w:t>
      </w:r>
      <w:proofErr w:type="spellEnd"/>
      <w:r w:rsidRPr="00467DB0">
        <w:t xml:space="preserve"> </w:t>
      </w:r>
      <w:proofErr w:type="spellStart"/>
      <w:r w:rsidRPr="00467DB0">
        <w:t>af</w:t>
      </w:r>
      <w:proofErr w:type="spellEnd"/>
      <w:r w:rsidRPr="00467DB0">
        <w:t xml:space="preserve"> Komitéen for </w:t>
      </w:r>
      <w:proofErr w:type="spellStart"/>
      <w:r w:rsidRPr="00467DB0">
        <w:t>Sikkerhedsgodkendelse</w:t>
      </w:r>
      <w:proofErr w:type="spellEnd"/>
    </w:p>
    <w:p w14:paraId="47A4C58E" w14:textId="77777777" w:rsidR="00000000" w:rsidRPr="00467DB0" w:rsidRDefault="00693D67" w:rsidP="00467DB0">
      <w:proofErr w:type="spellStart"/>
      <w:r w:rsidRPr="00467DB0">
        <w:t>Ud</w:t>
      </w:r>
      <w:proofErr w:type="spellEnd"/>
      <w:r w:rsidRPr="00467DB0">
        <w:t xml:space="preserve"> over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38, skal Komitéen for </w:t>
      </w:r>
      <w:proofErr w:type="spellStart"/>
      <w:r w:rsidRPr="00467DB0">
        <w:t>Sikkerhedsgodkendelse</w:t>
      </w:r>
      <w:proofErr w:type="spellEnd"/>
      <w:r w:rsidRPr="00467DB0">
        <w:t xml:space="preserve"> </w:t>
      </w:r>
      <w:r w:rsidRPr="00467DB0">
        <w:t xml:space="preserve">som led i ledelsen </w:t>
      </w:r>
      <w:proofErr w:type="spellStart"/>
      <w:r w:rsidRPr="00467DB0">
        <w:t>af</w:t>
      </w:r>
      <w:proofErr w:type="spellEnd"/>
      <w:r w:rsidRPr="00467DB0">
        <w:t xml:space="preserve"> agenturet:</w:t>
      </w:r>
    </w:p>
    <w:p w14:paraId="173BB8DF" w14:textId="77777777" w:rsidR="00000000" w:rsidRPr="00467DB0" w:rsidRDefault="00693D67" w:rsidP="00467DB0">
      <w:pPr>
        <w:pStyle w:val="friliste"/>
      </w:pPr>
      <w:r w:rsidRPr="00467DB0">
        <w:t>a)</w:t>
      </w:r>
      <w:r w:rsidRPr="00467DB0">
        <w:tab/>
      </w:r>
      <w:proofErr w:type="spellStart"/>
      <w:r w:rsidRPr="00467DB0">
        <w:t>udarbejde</w:t>
      </w:r>
      <w:proofErr w:type="spellEnd"/>
      <w:r w:rsidRPr="00467DB0">
        <w:t xml:space="preserve"> og </w:t>
      </w:r>
      <w:proofErr w:type="spellStart"/>
      <w:r w:rsidRPr="00467DB0">
        <w:t>godkende</w:t>
      </w:r>
      <w:proofErr w:type="spellEnd"/>
      <w:r w:rsidRPr="00467DB0">
        <w:t xml:space="preserve"> den del </w:t>
      </w:r>
      <w:proofErr w:type="spellStart"/>
      <w:r w:rsidRPr="00467DB0">
        <w:t>af</w:t>
      </w:r>
      <w:proofErr w:type="spellEnd"/>
      <w:r w:rsidRPr="00467DB0">
        <w:t xml:space="preserve"> det flerårige </w:t>
      </w:r>
      <w:proofErr w:type="spellStart"/>
      <w:r w:rsidRPr="00467DB0">
        <w:t>arbejdsprogram</w:t>
      </w:r>
      <w:proofErr w:type="spellEnd"/>
      <w:r w:rsidRPr="00467DB0">
        <w:t>, der vedrør</w:t>
      </w:r>
      <w:r w:rsidRPr="00467DB0">
        <w:t xml:space="preserve">er </w:t>
      </w:r>
      <w:proofErr w:type="spellStart"/>
      <w:r w:rsidRPr="00467DB0">
        <w:t>operationelle</w:t>
      </w:r>
      <w:proofErr w:type="spellEnd"/>
      <w:r w:rsidRPr="00467DB0">
        <w:t xml:space="preserv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og de finansielle og menneskelige </w:t>
      </w:r>
      <w:proofErr w:type="spellStart"/>
      <w:r w:rsidRPr="00467DB0">
        <w:t>ressourcer</w:t>
      </w:r>
      <w:proofErr w:type="spellEnd"/>
      <w:r w:rsidRPr="00467DB0">
        <w:t xml:space="preserve">, der er nødvendige for disse aktiviteters </w:t>
      </w:r>
      <w:proofErr w:type="spellStart"/>
      <w:r w:rsidRPr="00467DB0">
        <w:t>gennemførelse</w:t>
      </w:r>
      <w:proofErr w:type="spellEnd"/>
      <w:r w:rsidRPr="00467DB0">
        <w:t xml:space="preserve">, og fremsende denne til bestyrelsen i god tid, </w:t>
      </w:r>
      <w:proofErr w:type="gramStart"/>
      <w:r w:rsidRPr="00467DB0">
        <w:t>således</w:t>
      </w:r>
      <w:proofErr w:type="gramEnd"/>
      <w:r w:rsidRPr="00467DB0">
        <w:t xml:space="preserve"> at den kan blive </w:t>
      </w:r>
      <w:proofErr w:type="spellStart"/>
      <w:r w:rsidRPr="00467DB0">
        <w:t>integreret</w:t>
      </w:r>
      <w:proofErr w:type="spellEnd"/>
      <w:r w:rsidRPr="00467DB0">
        <w:t xml:space="preserve"> i</w:t>
      </w:r>
      <w:r w:rsidRPr="00467DB0">
        <w:t xml:space="preserve"> det flerårige </w:t>
      </w:r>
      <w:proofErr w:type="spellStart"/>
      <w:r w:rsidRPr="00467DB0">
        <w:t>arbejdsprogram</w:t>
      </w:r>
      <w:proofErr w:type="spellEnd"/>
    </w:p>
    <w:p w14:paraId="69300625" w14:textId="77777777" w:rsidR="00000000" w:rsidRPr="00467DB0" w:rsidRDefault="00693D67" w:rsidP="00467DB0">
      <w:pPr>
        <w:pStyle w:val="friliste"/>
      </w:pPr>
      <w:r w:rsidRPr="00467DB0">
        <w:t>b)</w:t>
      </w:r>
      <w:r w:rsidRPr="00467DB0">
        <w:tab/>
      </w:r>
      <w:proofErr w:type="spellStart"/>
      <w:r w:rsidRPr="00467DB0">
        <w:t>udarbejde</w:t>
      </w:r>
      <w:proofErr w:type="spellEnd"/>
      <w:r w:rsidRPr="00467DB0">
        <w:t xml:space="preserve"> og </w:t>
      </w:r>
      <w:proofErr w:type="spellStart"/>
      <w:r w:rsidRPr="00467DB0">
        <w:t>godkende</w:t>
      </w:r>
      <w:proofErr w:type="spellEnd"/>
      <w:r w:rsidRPr="00467DB0">
        <w:t xml:space="preserve"> den del </w:t>
      </w:r>
      <w:proofErr w:type="spellStart"/>
      <w:r w:rsidRPr="00467DB0">
        <w:t>af</w:t>
      </w:r>
      <w:proofErr w:type="spellEnd"/>
      <w:r w:rsidRPr="00467DB0">
        <w:t xml:space="preserve"> det årlige </w:t>
      </w:r>
      <w:proofErr w:type="spellStart"/>
      <w:r w:rsidRPr="00467DB0">
        <w:t>arbejdsprogram</w:t>
      </w:r>
      <w:proofErr w:type="spellEnd"/>
      <w:r w:rsidRPr="00467DB0">
        <w:t xml:space="preserve">, der vedrører </w:t>
      </w:r>
      <w:proofErr w:type="spellStart"/>
      <w:r w:rsidRPr="00467DB0">
        <w:t>operationelle</w:t>
      </w:r>
      <w:proofErr w:type="spellEnd"/>
      <w:r w:rsidRPr="00467DB0">
        <w:t xml:space="preserv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og de finansielle og menneskelige </w:t>
      </w:r>
      <w:proofErr w:type="spellStart"/>
      <w:r w:rsidRPr="00467DB0">
        <w:t>ressourcer</w:t>
      </w:r>
      <w:proofErr w:type="spellEnd"/>
      <w:r w:rsidRPr="00467DB0">
        <w:t>, der er nødvendige for disse aktivite</w:t>
      </w:r>
      <w:r w:rsidRPr="00467DB0">
        <w:t xml:space="preserve">ters </w:t>
      </w:r>
      <w:proofErr w:type="spellStart"/>
      <w:r w:rsidRPr="00467DB0">
        <w:t>gennemførelse</w:t>
      </w:r>
      <w:proofErr w:type="spellEnd"/>
      <w:r w:rsidRPr="00467DB0">
        <w:t xml:space="preserve">, og fremsende denne til bestyrelsen i god tid, </w:t>
      </w:r>
      <w:proofErr w:type="gramStart"/>
      <w:r w:rsidRPr="00467DB0">
        <w:t>således</w:t>
      </w:r>
      <w:proofErr w:type="gramEnd"/>
      <w:r w:rsidRPr="00467DB0">
        <w:t xml:space="preserve"> at den kan blive </w:t>
      </w:r>
      <w:proofErr w:type="spellStart"/>
      <w:r w:rsidRPr="00467DB0">
        <w:t>integreret</w:t>
      </w:r>
      <w:proofErr w:type="spellEnd"/>
      <w:r w:rsidRPr="00467DB0">
        <w:t xml:space="preserve"> i det årlige </w:t>
      </w:r>
      <w:proofErr w:type="spellStart"/>
      <w:r w:rsidRPr="00467DB0">
        <w:t>arbejdsprogram</w:t>
      </w:r>
      <w:proofErr w:type="spellEnd"/>
    </w:p>
    <w:p w14:paraId="7268B00D" w14:textId="77777777" w:rsidR="00000000" w:rsidRPr="00467DB0" w:rsidRDefault="00693D67" w:rsidP="00467DB0">
      <w:pPr>
        <w:pStyle w:val="friliste"/>
      </w:pPr>
      <w:r w:rsidRPr="00467DB0">
        <w:t>c)</w:t>
      </w:r>
      <w:r w:rsidRPr="00467DB0">
        <w:tab/>
      </w:r>
      <w:proofErr w:type="spellStart"/>
      <w:r w:rsidRPr="00467DB0">
        <w:t>udarbejde</w:t>
      </w:r>
      <w:proofErr w:type="spellEnd"/>
      <w:r w:rsidRPr="00467DB0">
        <w:t xml:space="preserve"> og </w:t>
      </w:r>
      <w:proofErr w:type="spellStart"/>
      <w:r w:rsidRPr="00467DB0">
        <w:t>godkende</w:t>
      </w:r>
      <w:proofErr w:type="spellEnd"/>
      <w:r w:rsidRPr="00467DB0">
        <w:t xml:space="preserve"> den del </w:t>
      </w:r>
      <w:proofErr w:type="spellStart"/>
      <w:r w:rsidRPr="00467DB0">
        <w:t>af</w:t>
      </w:r>
      <w:proofErr w:type="spellEnd"/>
      <w:r w:rsidRPr="00467DB0">
        <w:t xml:space="preserve"> årsrapporten, der vedrører agenturets aktiviteter og fremtidsperspektiver, der er omfattet</w:t>
      </w:r>
      <w:r w:rsidRPr="00467DB0">
        <w:t xml:space="preserve"> </w:t>
      </w:r>
      <w:proofErr w:type="spellStart"/>
      <w:r w:rsidRPr="00467DB0">
        <w:t>af</w:t>
      </w:r>
      <w:proofErr w:type="spellEnd"/>
      <w:r w:rsidRPr="00467DB0">
        <w:t xml:space="preserve"> </w:t>
      </w:r>
      <w:proofErr w:type="spellStart"/>
      <w:r w:rsidRPr="00467DB0">
        <w:t>afsnit</w:t>
      </w:r>
      <w:proofErr w:type="spellEnd"/>
      <w:r w:rsidRPr="00467DB0">
        <w:t xml:space="preserve"> V, kapitel II, og de finansielle og menneskelige </w:t>
      </w:r>
      <w:proofErr w:type="spellStart"/>
      <w:r w:rsidRPr="00467DB0">
        <w:t>ressourcer</w:t>
      </w:r>
      <w:proofErr w:type="spellEnd"/>
      <w:r w:rsidRPr="00467DB0">
        <w:t xml:space="preserve">, der er nødvendige for disse aktiviteters og fremtidsperspektivers </w:t>
      </w:r>
      <w:proofErr w:type="spellStart"/>
      <w:r w:rsidRPr="00467DB0">
        <w:t>gennemførelse</w:t>
      </w:r>
      <w:proofErr w:type="spellEnd"/>
      <w:r w:rsidRPr="00467DB0">
        <w:t xml:space="preserve">, og fremsende denne til bestyrelsen i god tid, </w:t>
      </w:r>
      <w:proofErr w:type="gramStart"/>
      <w:r w:rsidRPr="00467DB0">
        <w:t>således</w:t>
      </w:r>
      <w:proofErr w:type="gramEnd"/>
      <w:r w:rsidRPr="00467DB0">
        <w:t xml:space="preserve"> at den kan blive </w:t>
      </w:r>
      <w:proofErr w:type="spellStart"/>
      <w:r w:rsidRPr="00467DB0">
        <w:t>integreret</w:t>
      </w:r>
      <w:proofErr w:type="spellEnd"/>
      <w:r w:rsidRPr="00467DB0">
        <w:t xml:space="preserve"> i årsrapporten.</w:t>
      </w:r>
    </w:p>
    <w:p w14:paraId="3536D12B" w14:textId="77777777" w:rsidR="00000000" w:rsidRPr="00467DB0" w:rsidRDefault="00693D67" w:rsidP="00467DB0">
      <w:pPr>
        <w:pStyle w:val="avsnitt-undertittel"/>
      </w:pPr>
      <w:proofErr w:type="spellStart"/>
      <w:r w:rsidRPr="00467DB0">
        <w:lastRenderedPageBreak/>
        <w:t>Artik</w:t>
      </w:r>
      <w:r w:rsidRPr="00467DB0">
        <w:t>el</w:t>
      </w:r>
      <w:proofErr w:type="spellEnd"/>
      <w:r w:rsidRPr="00467DB0">
        <w:t xml:space="preserve"> 81</w:t>
      </w:r>
    </w:p>
    <w:p w14:paraId="13032E93" w14:textId="77777777" w:rsidR="00000000" w:rsidRPr="00467DB0" w:rsidRDefault="00693D67" w:rsidP="00467DB0">
      <w:pPr>
        <w:pStyle w:val="Undertittel"/>
      </w:pPr>
      <w:proofErr w:type="spellStart"/>
      <w:r w:rsidRPr="00467DB0">
        <w:t>Formanden</w:t>
      </w:r>
      <w:proofErr w:type="spellEnd"/>
      <w:r w:rsidRPr="00467DB0">
        <w:t xml:space="preserve"> for Komitéen for </w:t>
      </w:r>
      <w:proofErr w:type="spellStart"/>
      <w:r w:rsidRPr="00467DB0">
        <w:t>Sikkerhedsgodkendelse</w:t>
      </w:r>
      <w:proofErr w:type="spellEnd"/>
    </w:p>
    <w:p w14:paraId="7C1E699B" w14:textId="77777777" w:rsidR="00000000" w:rsidRPr="00467DB0" w:rsidRDefault="00693D67" w:rsidP="00467DB0">
      <w:pPr>
        <w:pStyle w:val="friliste"/>
      </w:pPr>
      <w:r w:rsidRPr="00467DB0">
        <w:t>1.</w:t>
      </w:r>
      <w:r w:rsidRPr="00467DB0">
        <w:tab/>
        <w:t xml:space="preserve">Komitéen for </w:t>
      </w:r>
      <w:proofErr w:type="spellStart"/>
      <w:r w:rsidRPr="00467DB0">
        <w:t>Sikkerhedsgodkendelse</w:t>
      </w:r>
      <w:proofErr w:type="spellEnd"/>
      <w:r w:rsidRPr="00467DB0">
        <w:t xml:space="preserve"> </w:t>
      </w:r>
      <w:proofErr w:type="spellStart"/>
      <w:r w:rsidRPr="00467DB0">
        <w:t>vælger</w:t>
      </w:r>
      <w:proofErr w:type="spellEnd"/>
      <w:r w:rsidRPr="00467DB0">
        <w:t xml:space="preserve"> en </w:t>
      </w:r>
      <w:proofErr w:type="spellStart"/>
      <w:r w:rsidRPr="00467DB0">
        <w:t>formand</w:t>
      </w:r>
      <w:proofErr w:type="spellEnd"/>
      <w:r w:rsidRPr="00467DB0">
        <w:t xml:space="preserve"> og en </w:t>
      </w:r>
      <w:proofErr w:type="spellStart"/>
      <w:r w:rsidRPr="00467DB0">
        <w:t>næstformand</w:t>
      </w:r>
      <w:proofErr w:type="spellEnd"/>
      <w:r w:rsidRPr="00467DB0">
        <w:t xml:space="preserve"> </w:t>
      </w:r>
      <w:proofErr w:type="spellStart"/>
      <w:r w:rsidRPr="00467DB0">
        <w:t>blandt</w:t>
      </w:r>
      <w:proofErr w:type="spellEnd"/>
      <w:r w:rsidRPr="00467DB0">
        <w:t xml:space="preserve"> sine medlemmer med et </w:t>
      </w:r>
      <w:proofErr w:type="spellStart"/>
      <w:r w:rsidRPr="00467DB0">
        <w:t>flertal</w:t>
      </w:r>
      <w:proofErr w:type="spellEnd"/>
      <w:r w:rsidRPr="00467DB0">
        <w:t xml:space="preserve"> på to </w:t>
      </w:r>
      <w:proofErr w:type="spellStart"/>
      <w:r w:rsidRPr="00467DB0">
        <w:t>tredjedele</w:t>
      </w:r>
      <w:proofErr w:type="spellEnd"/>
      <w:r w:rsidRPr="00467DB0">
        <w:t xml:space="preserve"> </w:t>
      </w:r>
      <w:proofErr w:type="spellStart"/>
      <w:r w:rsidRPr="00467DB0">
        <w:t>af</w:t>
      </w:r>
      <w:proofErr w:type="spellEnd"/>
      <w:r w:rsidRPr="00467DB0">
        <w:t xml:space="preserve"> alle stemmeberettigede medlemmer. Hvis der ikke er </w:t>
      </w:r>
      <w:proofErr w:type="spellStart"/>
      <w:r w:rsidRPr="00467DB0">
        <w:t>opnået</w:t>
      </w:r>
      <w:proofErr w:type="spellEnd"/>
      <w:r w:rsidRPr="00467DB0">
        <w:t xml:space="preserve"> et </w:t>
      </w:r>
      <w:proofErr w:type="spellStart"/>
      <w:r w:rsidRPr="00467DB0">
        <w:t>flertal</w:t>
      </w:r>
      <w:proofErr w:type="spellEnd"/>
      <w:r w:rsidRPr="00467DB0">
        <w:t xml:space="preserve"> p</w:t>
      </w:r>
      <w:r w:rsidRPr="00467DB0">
        <w:t xml:space="preserve">å to </w:t>
      </w:r>
      <w:proofErr w:type="spellStart"/>
      <w:r w:rsidRPr="00467DB0">
        <w:t>tredjedele</w:t>
      </w:r>
      <w:proofErr w:type="spellEnd"/>
      <w:r w:rsidRPr="00467DB0">
        <w:t xml:space="preserve"> efter to møder i Komitéen for </w:t>
      </w:r>
      <w:proofErr w:type="spellStart"/>
      <w:r w:rsidRPr="00467DB0">
        <w:t>Sikkerhedsgodkendelse</w:t>
      </w:r>
      <w:proofErr w:type="spellEnd"/>
      <w:r w:rsidRPr="00467DB0">
        <w:t xml:space="preserve">, </w:t>
      </w:r>
      <w:proofErr w:type="spellStart"/>
      <w:r w:rsidRPr="00467DB0">
        <w:t>kræves</w:t>
      </w:r>
      <w:proofErr w:type="spellEnd"/>
      <w:r w:rsidRPr="00467DB0">
        <w:t xml:space="preserve"> der simpelt </w:t>
      </w:r>
      <w:proofErr w:type="spellStart"/>
      <w:r w:rsidRPr="00467DB0">
        <w:t>flertal</w:t>
      </w:r>
      <w:proofErr w:type="spellEnd"/>
      <w:r w:rsidRPr="00467DB0">
        <w:t>.</w:t>
      </w:r>
    </w:p>
    <w:p w14:paraId="35C665F5" w14:textId="77777777" w:rsidR="00000000" w:rsidRPr="00467DB0" w:rsidRDefault="00693D67" w:rsidP="00467DB0">
      <w:pPr>
        <w:pStyle w:val="friliste"/>
      </w:pPr>
      <w:r w:rsidRPr="00467DB0">
        <w:t>2.</w:t>
      </w:r>
      <w:r w:rsidRPr="00467DB0">
        <w:tab/>
      </w:r>
      <w:proofErr w:type="spellStart"/>
      <w:r w:rsidRPr="00467DB0">
        <w:t>Næstformanden</w:t>
      </w:r>
      <w:proofErr w:type="spellEnd"/>
      <w:r w:rsidRPr="00467DB0">
        <w:t xml:space="preserve"> </w:t>
      </w:r>
      <w:proofErr w:type="spellStart"/>
      <w:r w:rsidRPr="00467DB0">
        <w:t>træder</w:t>
      </w:r>
      <w:proofErr w:type="spellEnd"/>
      <w:r w:rsidRPr="00467DB0">
        <w:t xml:space="preserve"> automatisk i stedet for </w:t>
      </w:r>
      <w:proofErr w:type="spellStart"/>
      <w:r w:rsidRPr="00467DB0">
        <w:t>formanden</w:t>
      </w:r>
      <w:proofErr w:type="spellEnd"/>
      <w:r w:rsidRPr="00467DB0">
        <w:t xml:space="preserve">, hvis </w:t>
      </w:r>
      <w:proofErr w:type="spellStart"/>
      <w:r w:rsidRPr="00467DB0">
        <w:t>formanden</w:t>
      </w:r>
      <w:proofErr w:type="spellEnd"/>
      <w:r w:rsidRPr="00467DB0">
        <w:t xml:space="preserve"> er forhindret i at udøve </w:t>
      </w:r>
      <w:proofErr w:type="spellStart"/>
      <w:r w:rsidRPr="00467DB0">
        <w:t>sit</w:t>
      </w:r>
      <w:proofErr w:type="spellEnd"/>
      <w:r w:rsidRPr="00467DB0">
        <w:t xml:space="preserve"> </w:t>
      </w:r>
      <w:proofErr w:type="spellStart"/>
      <w:r w:rsidRPr="00467DB0">
        <w:t>hverv</w:t>
      </w:r>
      <w:proofErr w:type="spellEnd"/>
      <w:r w:rsidRPr="00467DB0">
        <w:t>.</w:t>
      </w:r>
    </w:p>
    <w:p w14:paraId="17422B38" w14:textId="77777777" w:rsidR="00000000" w:rsidRPr="00467DB0" w:rsidRDefault="00693D67" w:rsidP="00467DB0">
      <w:pPr>
        <w:pStyle w:val="friliste"/>
      </w:pPr>
      <w:r w:rsidRPr="00467DB0">
        <w:t>3.</w:t>
      </w:r>
      <w:r w:rsidRPr="00467DB0">
        <w:tab/>
        <w:t xml:space="preserve">Komitéen for </w:t>
      </w:r>
      <w:proofErr w:type="spellStart"/>
      <w:r w:rsidRPr="00467DB0">
        <w:t>Sikkerhedsgodkendelse</w:t>
      </w:r>
      <w:proofErr w:type="spellEnd"/>
      <w:r w:rsidRPr="00467DB0">
        <w:t xml:space="preserve"> har </w:t>
      </w:r>
      <w:proofErr w:type="spellStart"/>
      <w:r w:rsidRPr="00467DB0">
        <w:t>beføjel</w:t>
      </w:r>
      <w:r w:rsidRPr="00467DB0">
        <w:t>se</w:t>
      </w:r>
      <w:proofErr w:type="spellEnd"/>
      <w:r w:rsidRPr="00467DB0">
        <w:t xml:space="preserve"> til at </w:t>
      </w:r>
      <w:proofErr w:type="spellStart"/>
      <w:r w:rsidRPr="00467DB0">
        <w:t>afsætte</w:t>
      </w:r>
      <w:proofErr w:type="spellEnd"/>
      <w:r w:rsidRPr="00467DB0">
        <w:t xml:space="preserve"> </w:t>
      </w:r>
      <w:proofErr w:type="spellStart"/>
      <w:r w:rsidRPr="00467DB0">
        <w:t>formanden</w:t>
      </w:r>
      <w:proofErr w:type="spellEnd"/>
      <w:r w:rsidRPr="00467DB0">
        <w:t xml:space="preserve">, </w:t>
      </w:r>
      <w:proofErr w:type="spellStart"/>
      <w:r w:rsidRPr="00467DB0">
        <w:t>næstformanden</w:t>
      </w:r>
      <w:proofErr w:type="spellEnd"/>
      <w:r w:rsidRPr="00467DB0">
        <w:t xml:space="preserve"> eller dem begge. Den </w:t>
      </w:r>
      <w:proofErr w:type="spellStart"/>
      <w:r w:rsidRPr="00467DB0">
        <w:t>træffer</w:t>
      </w:r>
      <w:proofErr w:type="spellEnd"/>
      <w:r w:rsidRPr="00467DB0">
        <w:t xml:space="preserve"> beslutningen om </w:t>
      </w:r>
      <w:proofErr w:type="spellStart"/>
      <w:r w:rsidRPr="00467DB0">
        <w:t>afsættelse</w:t>
      </w:r>
      <w:proofErr w:type="spellEnd"/>
      <w:r w:rsidRPr="00467DB0">
        <w:t xml:space="preserve"> med to </w:t>
      </w:r>
      <w:proofErr w:type="spellStart"/>
      <w:r w:rsidRPr="00467DB0">
        <w:t>tredjedeles</w:t>
      </w:r>
      <w:proofErr w:type="spellEnd"/>
      <w:r w:rsidRPr="00467DB0">
        <w:t xml:space="preserve"> </w:t>
      </w:r>
      <w:proofErr w:type="spellStart"/>
      <w:r w:rsidRPr="00467DB0">
        <w:t>flertal</w:t>
      </w:r>
      <w:proofErr w:type="spellEnd"/>
      <w:r w:rsidRPr="00467DB0">
        <w:t>.</w:t>
      </w:r>
    </w:p>
    <w:p w14:paraId="6080B432" w14:textId="77777777" w:rsidR="00000000" w:rsidRPr="00467DB0" w:rsidRDefault="00693D67" w:rsidP="00467DB0">
      <w:pPr>
        <w:pStyle w:val="friliste"/>
      </w:pPr>
      <w:r w:rsidRPr="00467DB0">
        <w:t>4.</w:t>
      </w:r>
      <w:r w:rsidRPr="00467DB0">
        <w:tab/>
        <w:t xml:space="preserve">Mandatperioden for </w:t>
      </w:r>
      <w:proofErr w:type="spellStart"/>
      <w:r w:rsidRPr="00467DB0">
        <w:t>formanden</w:t>
      </w:r>
      <w:proofErr w:type="spellEnd"/>
      <w:r w:rsidRPr="00467DB0">
        <w:t xml:space="preserve"> og </w:t>
      </w:r>
      <w:proofErr w:type="spellStart"/>
      <w:r w:rsidRPr="00467DB0">
        <w:t>næstformanden</w:t>
      </w:r>
      <w:proofErr w:type="spellEnd"/>
      <w:r w:rsidRPr="00467DB0">
        <w:t xml:space="preserve"> for Komitéen for </w:t>
      </w:r>
      <w:proofErr w:type="spellStart"/>
      <w:r w:rsidRPr="00467DB0">
        <w:t>Sikkerhedsgodkendelse</w:t>
      </w:r>
      <w:proofErr w:type="spellEnd"/>
      <w:r w:rsidRPr="00467DB0">
        <w:t xml:space="preserve"> er to år og kan fornyes én gang. </w:t>
      </w:r>
      <w:proofErr w:type="spellStart"/>
      <w:r w:rsidRPr="00467DB0">
        <w:t>Formande</w:t>
      </w:r>
      <w:r w:rsidRPr="00467DB0">
        <w:t>ns</w:t>
      </w:r>
      <w:proofErr w:type="spellEnd"/>
      <w:r w:rsidRPr="00467DB0">
        <w:t xml:space="preserve"> og </w:t>
      </w:r>
      <w:proofErr w:type="spellStart"/>
      <w:r w:rsidRPr="00467DB0">
        <w:t>næstformandens</w:t>
      </w:r>
      <w:proofErr w:type="spellEnd"/>
      <w:r w:rsidRPr="00467DB0">
        <w:t xml:space="preserve"> mandatperioder </w:t>
      </w:r>
      <w:proofErr w:type="spellStart"/>
      <w:r w:rsidRPr="00467DB0">
        <w:t>udløber</w:t>
      </w:r>
      <w:proofErr w:type="spellEnd"/>
      <w:r w:rsidRPr="00467DB0">
        <w:t xml:space="preserve">, når den </w:t>
      </w:r>
      <w:proofErr w:type="spellStart"/>
      <w:r w:rsidRPr="00467DB0">
        <w:t>pågældende</w:t>
      </w:r>
      <w:proofErr w:type="spellEnd"/>
      <w:r w:rsidRPr="00467DB0">
        <w:t xml:space="preserve"> person </w:t>
      </w:r>
      <w:proofErr w:type="spellStart"/>
      <w:r w:rsidRPr="00467DB0">
        <w:t>ophører</w:t>
      </w:r>
      <w:proofErr w:type="spellEnd"/>
      <w:r w:rsidRPr="00467DB0">
        <w:t xml:space="preserve"> med at være medlem </w:t>
      </w:r>
      <w:proofErr w:type="spellStart"/>
      <w:r w:rsidRPr="00467DB0">
        <w:t>af</w:t>
      </w:r>
      <w:proofErr w:type="spellEnd"/>
      <w:r w:rsidRPr="00467DB0">
        <w:t xml:space="preserve"> Komitéen for </w:t>
      </w:r>
      <w:proofErr w:type="spellStart"/>
      <w:r w:rsidRPr="00467DB0">
        <w:t>Sikkerhedsgodkendelse</w:t>
      </w:r>
      <w:proofErr w:type="spellEnd"/>
      <w:r w:rsidRPr="00467DB0">
        <w:t>.</w:t>
      </w:r>
    </w:p>
    <w:p w14:paraId="448DCC7D" w14:textId="77777777" w:rsidR="00000000" w:rsidRPr="00467DB0" w:rsidRDefault="00693D67" w:rsidP="00467DB0">
      <w:pPr>
        <w:pStyle w:val="avsnitt-undertittel"/>
      </w:pPr>
      <w:proofErr w:type="spellStart"/>
      <w:r w:rsidRPr="00467DB0">
        <w:t>Artikel</w:t>
      </w:r>
      <w:proofErr w:type="spellEnd"/>
      <w:r w:rsidRPr="00467DB0">
        <w:t xml:space="preserve"> 82</w:t>
      </w:r>
    </w:p>
    <w:p w14:paraId="0EEAA796" w14:textId="77777777" w:rsidR="00000000" w:rsidRPr="00467DB0" w:rsidRDefault="00693D67" w:rsidP="00467DB0">
      <w:pPr>
        <w:pStyle w:val="Undertittel"/>
      </w:pPr>
      <w:r w:rsidRPr="00467DB0">
        <w:t xml:space="preserve">Organisatoriske aspekter </w:t>
      </w:r>
      <w:proofErr w:type="spellStart"/>
      <w:r w:rsidRPr="00467DB0">
        <w:t>af</w:t>
      </w:r>
      <w:proofErr w:type="spellEnd"/>
      <w:r w:rsidRPr="00467DB0">
        <w:t xml:space="preserve"> Komitéen for </w:t>
      </w:r>
      <w:proofErr w:type="spellStart"/>
      <w:r w:rsidRPr="00467DB0">
        <w:t>Sikkerhedsgodkendelse</w:t>
      </w:r>
      <w:proofErr w:type="spellEnd"/>
    </w:p>
    <w:p w14:paraId="5B2BE69B" w14:textId="77777777" w:rsidR="00000000" w:rsidRPr="00467DB0" w:rsidRDefault="00693D67" w:rsidP="00467DB0">
      <w:pPr>
        <w:pStyle w:val="friliste"/>
      </w:pPr>
      <w:r w:rsidRPr="00467DB0">
        <w:t>1.</w:t>
      </w:r>
      <w:r w:rsidRPr="00467DB0">
        <w:tab/>
        <w:t xml:space="preserve">Komitéen for </w:t>
      </w:r>
      <w:proofErr w:type="spellStart"/>
      <w:r w:rsidRPr="00467DB0">
        <w:t>Sikkerhedsgodkendelse</w:t>
      </w:r>
      <w:proofErr w:type="spellEnd"/>
      <w:r w:rsidRPr="00467DB0">
        <w:t xml:space="preserve"> skal ha</w:t>
      </w:r>
      <w:r w:rsidRPr="00467DB0">
        <w:t xml:space="preserve">ve adgang til alle de nødvendige menneskelige og materielle </w:t>
      </w:r>
      <w:proofErr w:type="spellStart"/>
      <w:r w:rsidRPr="00467DB0">
        <w:t>ressourcer</w:t>
      </w:r>
      <w:proofErr w:type="spellEnd"/>
      <w:r w:rsidRPr="00467DB0">
        <w:t xml:space="preserve"> med </w:t>
      </w:r>
      <w:proofErr w:type="spellStart"/>
      <w:r w:rsidRPr="00467DB0">
        <w:t>henblik</w:t>
      </w:r>
      <w:proofErr w:type="spellEnd"/>
      <w:r w:rsidRPr="00467DB0">
        <w:t xml:space="preserve"> på at </w:t>
      </w:r>
      <w:proofErr w:type="spellStart"/>
      <w:r w:rsidRPr="00467DB0">
        <w:t>udføre</w:t>
      </w:r>
      <w:proofErr w:type="spellEnd"/>
      <w:r w:rsidRPr="00467DB0">
        <w:t xml:space="preserve"> sine </w:t>
      </w:r>
      <w:proofErr w:type="spellStart"/>
      <w:r w:rsidRPr="00467DB0">
        <w:t>opgaver</w:t>
      </w:r>
      <w:proofErr w:type="spellEnd"/>
      <w:r w:rsidRPr="00467DB0">
        <w:t xml:space="preserve"> </w:t>
      </w:r>
      <w:proofErr w:type="spellStart"/>
      <w:r w:rsidRPr="00467DB0">
        <w:t>uafhængigt</w:t>
      </w:r>
      <w:proofErr w:type="spellEnd"/>
      <w:r w:rsidRPr="00467DB0">
        <w:t xml:space="preserve">. Den skal have adgang til alle </w:t>
      </w:r>
      <w:proofErr w:type="spellStart"/>
      <w:r w:rsidRPr="00467DB0">
        <w:t>oplysninger</w:t>
      </w:r>
      <w:proofErr w:type="spellEnd"/>
      <w:r w:rsidRPr="00467DB0">
        <w:t xml:space="preserve">, der har betydning for </w:t>
      </w:r>
      <w:proofErr w:type="spellStart"/>
      <w:r w:rsidRPr="00467DB0">
        <w:t>gennemførelsen</w:t>
      </w:r>
      <w:proofErr w:type="spellEnd"/>
      <w:r w:rsidRPr="00467DB0">
        <w:t xml:space="preserve"> </w:t>
      </w:r>
      <w:proofErr w:type="spellStart"/>
      <w:r w:rsidRPr="00467DB0">
        <w:t>af</w:t>
      </w:r>
      <w:proofErr w:type="spellEnd"/>
      <w:r w:rsidRPr="00467DB0">
        <w:t xml:space="preserve"> dens </w:t>
      </w:r>
      <w:proofErr w:type="spellStart"/>
      <w:r w:rsidRPr="00467DB0">
        <w:t>arbejdsopgaver</w:t>
      </w:r>
      <w:proofErr w:type="spellEnd"/>
      <w:r w:rsidRPr="00467DB0">
        <w:t>, og som agenturets andre organer</w:t>
      </w:r>
      <w:r w:rsidRPr="00467DB0">
        <w:t xml:space="preserve"> råder over, idet dette dog ikke berører </w:t>
      </w:r>
      <w:proofErr w:type="spellStart"/>
      <w:r w:rsidRPr="00467DB0">
        <w:t>principperne</w:t>
      </w:r>
      <w:proofErr w:type="spellEnd"/>
      <w:r w:rsidRPr="00467DB0">
        <w:t xml:space="preserve"> </w:t>
      </w:r>
      <w:proofErr w:type="gramStart"/>
      <w:r w:rsidRPr="00467DB0">
        <w:t>vedrørende</w:t>
      </w:r>
      <w:proofErr w:type="gramEnd"/>
      <w:r w:rsidRPr="00467DB0">
        <w:t xml:space="preserve"> komitéens autonomi og </w:t>
      </w:r>
      <w:proofErr w:type="spellStart"/>
      <w:r w:rsidRPr="00467DB0">
        <w:t>uafhængighed</w:t>
      </w:r>
      <w:proofErr w:type="spellEnd"/>
      <w:r w:rsidRPr="00467DB0">
        <w:t xml:space="preserve">, jf. </w:t>
      </w:r>
      <w:proofErr w:type="spellStart"/>
      <w:r w:rsidRPr="00467DB0">
        <w:t>artikel</w:t>
      </w:r>
      <w:proofErr w:type="spellEnd"/>
      <w:r w:rsidRPr="00467DB0">
        <w:t xml:space="preserve"> 37, litra i).</w:t>
      </w:r>
    </w:p>
    <w:p w14:paraId="3E3A9C3B" w14:textId="77777777" w:rsidR="00000000" w:rsidRPr="00467DB0" w:rsidRDefault="00693D67" w:rsidP="00467DB0">
      <w:pPr>
        <w:pStyle w:val="friliste"/>
      </w:pPr>
      <w:r w:rsidRPr="00467DB0">
        <w:t>2.</w:t>
      </w:r>
      <w:r w:rsidRPr="00467DB0">
        <w:tab/>
        <w:t xml:space="preserve">Komitéen for </w:t>
      </w:r>
      <w:proofErr w:type="spellStart"/>
      <w:r w:rsidRPr="00467DB0">
        <w:t>Sikkerhedsgodkendelse</w:t>
      </w:r>
      <w:proofErr w:type="spellEnd"/>
      <w:r w:rsidRPr="00467DB0">
        <w:t xml:space="preserve"> og de </w:t>
      </w:r>
      <w:proofErr w:type="spellStart"/>
      <w:proofErr w:type="gramStart"/>
      <w:r w:rsidRPr="00467DB0">
        <w:t>af</w:t>
      </w:r>
      <w:proofErr w:type="spellEnd"/>
      <w:r w:rsidRPr="00467DB0">
        <w:t xml:space="preserve"> agenturets</w:t>
      </w:r>
      <w:proofErr w:type="gramEnd"/>
      <w:r w:rsidRPr="00467DB0">
        <w:t xml:space="preserve"> </w:t>
      </w:r>
      <w:proofErr w:type="spellStart"/>
      <w:r w:rsidRPr="00467DB0">
        <w:t>medarbejdere</w:t>
      </w:r>
      <w:proofErr w:type="spellEnd"/>
      <w:r w:rsidRPr="00467DB0">
        <w:t xml:space="preserve">, der er under dennes </w:t>
      </w:r>
      <w:proofErr w:type="spellStart"/>
      <w:r w:rsidRPr="00467DB0">
        <w:t>kontrol</w:t>
      </w:r>
      <w:proofErr w:type="spellEnd"/>
      <w:r w:rsidRPr="00467DB0">
        <w:t xml:space="preserve">, </w:t>
      </w:r>
      <w:proofErr w:type="spellStart"/>
      <w:r w:rsidRPr="00467DB0">
        <w:t>arbejder</w:t>
      </w:r>
      <w:proofErr w:type="spellEnd"/>
      <w:r w:rsidRPr="00467DB0">
        <w:t xml:space="preserve"> på en </w:t>
      </w:r>
      <w:proofErr w:type="spellStart"/>
      <w:r w:rsidRPr="00467DB0">
        <w:t>måde</w:t>
      </w:r>
      <w:proofErr w:type="spellEnd"/>
      <w:r w:rsidRPr="00467DB0">
        <w:t>, der sik</w:t>
      </w:r>
      <w:r w:rsidRPr="00467DB0">
        <w:t xml:space="preserve">rer dens autonomi og </w:t>
      </w:r>
      <w:proofErr w:type="spellStart"/>
      <w:r w:rsidRPr="00467DB0">
        <w:t>uafhængighed</w:t>
      </w:r>
      <w:proofErr w:type="spellEnd"/>
      <w:r w:rsidRPr="00467DB0">
        <w:t xml:space="preserve"> i forhold til agenturets andre aktiviteter, navnlig de </w:t>
      </w:r>
      <w:proofErr w:type="spellStart"/>
      <w:r w:rsidRPr="00467DB0">
        <w:t>operationelle</w:t>
      </w:r>
      <w:proofErr w:type="spellEnd"/>
      <w:r w:rsidRPr="00467DB0">
        <w:t xml:space="preserve"> aktiviteter, der er forbundet med driften </w:t>
      </w:r>
      <w:proofErr w:type="spellStart"/>
      <w:r w:rsidRPr="00467DB0">
        <w:t>af</w:t>
      </w:r>
      <w:proofErr w:type="spellEnd"/>
      <w:r w:rsidRPr="00467DB0">
        <w:t xml:space="preserve"> </w:t>
      </w:r>
      <w:proofErr w:type="spellStart"/>
      <w:r w:rsidRPr="00467DB0">
        <w:t>systemerne</w:t>
      </w:r>
      <w:proofErr w:type="spellEnd"/>
      <w:r w:rsidRPr="00467DB0">
        <w:t xml:space="preserve">, i overensstemmelse med </w:t>
      </w:r>
      <w:proofErr w:type="spellStart"/>
      <w:r w:rsidRPr="00467DB0">
        <w:t>målsætningerne</w:t>
      </w:r>
      <w:proofErr w:type="spellEnd"/>
      <w:r w:rsidRPr="00467DB0">
        <w:t xml:space="preserve"> for programmets </w:t>
      </w:r>
      <w:proofErr w:type="spellStart"/>
      <w:r w:rsidRPr="00467DB0">
        <w:t>forskellige</w:t>
      </w:r>
      <w:proofErr w:type="spellEnd"/>
      <w:r w:rsidRPr="00467DB0">
        <w:t xml:space="preserve"> komponenter. En </w:t>
      </w:r>
      <w:proofErr w:type="spellStart"/>
      <w:r w:rsidRPr="00467DB0">
        <w:t>medarbejder</w:t>
      </w:r>
      <w:proofErr w:type="spellEnd"/>
      <w:r w:rsidRPr="00467DB0">
        <w:t xml:space="preserve"> i </w:t>
      </w:r>
      <w:r w:rsidRPr="00467DB0">
        <w:t xml:space="preserve">agenturet, der er under tilsyn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må ikke på samme tid være </w:t>
      </w:r>
      <w:proofErr w:type="spellStart"/>
      <w:r w:rsidRPr="00467DB0">
        <w:t>afsat</w:t>
      </w:r>
      <w:proofErr w:type="spellEnd"/>
      <w:r w:rsidRPr="00467DB0">
        <w:t xml:space="preserve"> til andre </w:t>
      </w:r>
      <w:proofErr w:type="spellStart"/>
      <w:r w:rsidRPr="00467DB0">
        <w:t>opgaver</w:t>
      </w:r>
      <w:proofErr w:type="spellEnd"/>
      <w:r w:rsidRPr="00467DB0">
        <w:t xml:space="preserve"> i agenturet.</w:t>
      </w:r>
    </w:p>
    <w:p w14:paraId="698847B1" w14:textId="77777777" w:rsidR="00000000" w:rsidRPr="00467DB0" w:rsidRDefault="00693D67" w:rsidP="00467DB0">
      <w:pPr>
        <w:pStyle w:val="Listeavsnitt"/>
      </w:pPr>
      <w:r w:rsidRPr="00467DB0">
        <w:t xml:space="preserve">Der </w:t>
      </w:r>
      <w:proofErr w:type="spellStart"/>
      <w:r w:rsidRPr="00467DB0">
        <w:t>fastlægges</w:t>
      </w:r>
      <w:proofErr w:type="spellEnd"/>
      <w:r w:rsidRPr="00467DB0">
        <w:t xml:space="preserve"> med </w:t>
      </w:r>
      <w:proofErr w:type="spellStart"/>
      <w:r w:rsidRPr="00467DB0">
        <w:t>henblik</w:t>
      </w:r>
      <w:proofErr w:type="spellEnd"/>
      <w:r w:rsidRPr="00467DB0">
        <w:t xml:space="preserve"> herpå en effektiv organisatorisk </w:t>
      </w:r>
      <w:proofErr w:type="spellStart"/>
      <w:r w:rsidRPr="00467DB0">
        <w:t>opdeling</w:t>
      </w:r>
      <w:proofErr w:type="spellEnd"/>
      <w:r w:rsidRPr="00467DB0">
        <w:t xml:space="preserve"> i agenturet </w:t>
      </w:r>
      <w:proofErr w:type="spellStart"/>
      <w:r w:rsidRPr="00467DB0">
        <w:t>af</w:t>
      </w:r>
      <w:proofErr w:type="spellEnd"/>
      <w:r w:rsidRPr="00467DB0">
        <w:t xml:space="preserve"> personale </w:t>
      </w:r>
      <w:proofErr w:type="spellStart"/>
      <w:r w:rsidRPr="00467DB0">
        <w:t>involveret</w:t>
      </w:r>
      <w:proofErr w:type="spellEnd"/>
      <w:r w:rsidRPr="00467DB0">
        <w:t xml:space="preserve"> i de aktiviteter</w:t>
      </w:r>
      <w:r w:rsidRPr="00467DB0">
        <w:t xml:space="preserve">,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og andet personale i agenturet. Komitéen for </w:t>
      </w:r>
      <w:proofErr w:type="spellStart"/>
      <w:r w:rsidRPr="00467DB0">
        <w:t>Sikkerhedsgodkendelse</w:t>
      </w:r>
      <w:proofErr w:type="spellEnd"/>
      <w:r w:rsidRPr="00467DB0">
        <w:t xml:space="preserve"> underretter omgående den administrerende direktør, bestyrelsen og </w:t>
      </w:r>
      <w:proofErr w:type="spellStart"/>
      <w:r w:rsidRPr="00467DB0">
        <w:t>Kommissionen</w:t>
      </w:r>
      <w:proofErr w:type="spellEnd"/>
      <w:r w:rsidRPr="00467DB0">
        <w:t xml:space="preserve"> om eventuelle forhold, der kan hindre dens autonomi eller </w:t>
      </w:r>
      <w:proofErr w:type="spellStart"/>
      <w:r w:rsidRPr="00467DB0">
        <w:t>uafhængig</w:t>
      </w:r>
      <w:r w:rsidRPr="00467DB0">
        <w:t>hed</w:t>
      </w:r>
      <w:proofErr w:type="spellEnd"/>
      <w:r w:rsidRPr="00467DB0">
        <w:t xml:space="preserve">. </w:t>
      </w:r>
      <w:proofErr w:type="spellStart"/>
      <w:r w:rsidRPr="00467DB0">
        <w:t>Findes</w:t>
      </w:r>
      <w:proofErr w:type="spellEnd"/>
      <w:r w:rsidRPr="00467DB0">
        <w:t xml:space="preserve"> der i agenturet ikke en </w:t>
      </w:r>
      <w:proofErr w:type="spellStart"/>
      <w:r w:rsidRPr="00467DB0">
        <w:t>måde</w:t>
      </w:r>
      <w:proofErr w:type="spellEnd"/>
      <w:r w:rsidRPr="00467DB0">
        <w:t xml:space="preserve"> at </w:t>
      </w:r>
      <w:proofErr w:type="spellStart"/>
      <w:r w:rsidRPr="00467DB0">
        <w:t>afhjælpe</w:t>
      </w:r>
      <w:proofErr w:type="spellEnd"/>
      <w:r w:rsidRPr="00467DB0">
        <w:t xml:space="preserve"> </w:t>
      </w:r>
      <w:proofErr w:type="spellStart"/>
      <w:r w:rsidRPr="00467DB0">
        <w:t>situationen</w:t>
      </w:r>
      <w:proofErr w:type="spellEnd"/>
      <w:r w:rsidRPr="00467DB0">
        <w:t xml:space="preserve"> på, </w:t>
      </w:r>
      <w:proofErr w:type="spellStart"/>
      <w:r w:rsidRPr="00467DB0">
        <w:t>undersøger</w:t>
      </w:r>
      <w:proofErr w:type="spellEnd"/>
      <w:r w:rsidRPr="00467DB0">
        <w:t xml:space="preserve"> </w:t>
      </w:r>
      <w:proofErr w:type="spellStart"/>
      <w:r w:rsidRPr="00467DB0">
        <w:t>Kommissionen</w:t>
      </w:r>
      <w:proofErr w:type="spellEnd"/>
      <w:r w:rsidRPr="00467DB0">
        <w:t xml:space="preserve"> </w:t>
      </w:r>
      <w:proofErr w:type="spellStart"/>
      <w:r w:rsidRPr="00467DB0">
        <w:t>situationen</w:t>
      </w:r>
      <w:proofErr w:type="spellEnd"/>
      <w:r w:rsidRPr="00467DB0">
        <w:t xml:space="preserve"> i samråd med de relevante parter. På baggrund </w:t>
      </w:r>
      <w:proofErr w:type="spellStart"/>
      <w:r w:rsidRPr="00467DB0">
        <w:t>af</w:t>
      </w:r>
      <w:proofErr w:type="spellEnd"/>
      <w:r w:rsidRPr="00467DB0">
        <w:t xml:space="preserve"> resultatet </w:t>
      </w:r>
      <w:proofErr w:type="spellStart"/>
      <w:r w:rsidRPr="00467DB0">
        <w:t>af</w:t>
      </w:r>
      <w:proofErr w:type="spellEnd"/>
      <w:r w:rsidRPr="00467DB0">
        <w:t xml:space="preserve"> denne </w:t>
      </w:r>
      <w:proofErr w:type="spellStart"/>
      <w:r w:rsidRPr="00467DB0">
        <w:t>undersøgelse</w:t>
      </w:r>
      <w:proofErr w:type="spellEnd"/>
      <w:r w:rsidRPr="00467DB0">
        <w:t xml:space="preserve"> </w:t>
      </w:r>
      <w:proofErr w:type="spellStart"/>
      <w:r w:rsidRPr="00467DB0">
        <w:t>træffer</w:t>
      </w:r>
      <w:proofErr w:type="spellEnd"/>
      <w:r w:rsidRPr="00467DB0">
        <w:t xml:space="preserve"> </w:t>
      </w:r>
      <w:proofErr w:type="spellStart"/>
      <w:r w:rsidRPr="00467DB0">
        <w:t>Kommissionen</w:t>
      </w:r>
      <w:proofErr w:type="spellEnd"/>
      <w:r w:rsidRPr="00467DB0">
        <w:t xml:space="preserve"> de passende </w:t>
      </w:r>
      <w:proofErr w:type="spellStart"/>
      <w:r w:rsidRPr="00467DB0">
        <w:t>afbødende</w:t>
      </w:r>
      <w:proofErr w:type="spellEnd"/>
      <w:r w:rsidRPr="00467DB0">
        <w:t xml:space="preserve"> foranstaltninger, som agen</w:t>
      </w:r>
      <w:r w:rsidRPr="00467DB0">
        <w:t xml:space="preserve">turet skal </w:t>
      </w:r>
      <w:proofErr w:type="spellStart"/>
      <w:r w:rsidRPr="00467DB0">
        <w:t>gennemføre</w:t>
      </w:r>
      <w:proofErr w:type="spellEnd"/>
      <w:r w:rsidRPr="00467DB0">
        <w:t>, og underretter Europa-Parlamentet og Rådet herom.</w:t>
      </w:r>
    </w:p>
    <w:p w14:paraId="2C333D59" w14:textId="77777777" w:rsidR="00000000" w:rsidRPr="00467DB0" w:rsidRDefault="00693D67" w:rsidP="00467DB0">
      <w:pPr>
        <w:pStyle w:val="friliste"/>
      </w:pPr>
      <w:r w:rsidRPr="00467DB0">
        <w:t>3.</w:t>
      </w:r>
      <w:r w:rsidRPr="00467DB0">
        <w:tab/>
        <w:t xml:space="preserve">Komitéen for </w:t>
      </w:r>
      <w:proofErr w:type="spellStart"/>
      <w:r w:rsidRPr="00467DB0">
        <w:t>Sikkerhedsgodkendelse</w:t>
      </w:r>
      <w:proofErr w:type="spellEnd"/>
      <w:r w:rsidRPr="00467DB0">
        <w:t xml:space="preserve"> </w:t>
      </w:r>
      <w:proofErr w:type="spellStart"/>
      <w:r w:rsidRPr="00467DB0">
        <w:t>opretter</w:t>
      </w:r>
      <w:proofErr w:type="spellEnd"/>
      <w:r w:rsidRPr="00467DB0">
        <w:t xml:space="preserve"> under sin </w:t>
      </w:r>
      <w:proofErr w:type="spellStart"/>
      <w:r w:rsidRPr="00467DB0">
        <w:t>myndighed</w:t>
      </w:r>
      <w:proofErr w:type="spellEnd"/>
      <w:r w:rsidRPr="00467DB0">
        <w:t xml:space="preserve"> særlige underorganer, som handler i overensstemmelse med dens instrukser, til varetagelse </w:t>
      </w:r>
      <w:proofErr w:type="spellStart"/>
      <w:r w:rsidRPr="00467DB0">
        <w:t>af</w:t>
      </w:r>
      <w:proofErr w:type="spellEnd"/>
      <w:r w:rsidRPr="00467DB0">
        <w:t xml:space="preserve"> </w:t>
      </w:r>
      <w:proofErr w:type="spellStart"/>
      <w:r w:rsidRPr="00467DB0">
        <w:t>specifikke</w:t>
      </w:r>
      <w:proofErr w:type="spellEnd"/>
      <w:r w:rsidRPr="00467DB0">
        <w:t xml:space="preserve"> </w:t>
      </w:r>
      <w:proofErr w:type="spellStart"/>
      <w:r w:rsidRPr="00467DB0">
        <w:t>opgaver</w:t>
      </w:r>
      <w:proofErr w:type="spellEnd"/>
      <w:r w:rsidRPr="00467DB0">
        <w:t xml:space="preserve">. </w:t>
      </w:r>
      <w:proofErr w:type="gramStart"/>
      <w:r w:rsidRPr="00467DB0">
        <w:t>Und</w:t>
      </w:r>
      <w:r w:rsidRPr="00467DB0">
        <w:t>er hensyntagen</w:t>
      </w:r>
      <w:proofErr w:type="gramEnd"/>
      <w:r w:rsidRPr="00467DB0">
        <w:t xml:space="preserve"> til den nødvendige kontinuitet i </w:t>
      </w:r>
      <w:proofErr w:type="spellStart"/>
      <w:r w:rsidRPr="00467DB0">
        <w:t>arbejdet</w:t>
      </w:r>
      <w:proofErr w:type="spellEnd"/>
      <w:r w:rsidRPr="00467DB0">
        <w:t xml:space="preserve"> </w:t>
      </w:r>
      <w:proofErr w:type="spellStart"/>
      <w:r w:rsidRPr="00467DB0">
        <w:t>opretter</w:t>
      </w:r>
      <w:proofErr w:type="spellEnd"/>
      <w:r w:rsidRPr="00467DB0">
        <w:t xml:space="preserve"> den navnlig et panel til at </w:t>
      </w:r>
      <w:proofErr w:type="spellStart"/>
      <w:r w:rsidRPr="00467DB0">
        <w:t>foretage</w:t>
      </w:r>
      <w:proofErr w:type="spellEnd"/>
      <w:r w:rsidRPr="00467DB0">
        <w:t xml:space="preserve"> </w:t>
      </w:r>
      <w:proofErr w:type="spellStart"/>
      <w:r w:rsidRPr="00467DB0">
        <w:t>sikkerhedsanalysevurderinger</w:t>
      </w:r>
      <w:proofErr w:type="spellEnd"/>
      <w:r w:rsidRPr="00467DB0">
        <w:t xml:space="preserve"> og -test med </w:t>
      </w:r>
      <w:proofErr w:type="spellStart"/>
      <w:r w:rsidRPr="00467DB0">
        <w:t>henblik</w:t>
      </w:r>
      <w:proofErr w:type="spellEnd"/>
      <w:r w:rsidRPr="00467DB0">
        <w:t xml:space="preserve"> på </w:t>
      </w:r>
      <w:proofErr w:type="spellStart"/>
      <w:r w:rsidRPr="00467DB0">
        <w:t>udarbejdelse</w:t>
      </w:r>
      <w:proofErr w:type="spellEnd"/>
      <w:r w:rsidRPr="00467DB0">
        <w:t xml:space="preserve"> </w:t>
      </w:r>
      <w:proofErr w:type="spellStart"/>
      <w:r w:rsidRPr="00467DB0">
        <w:t>af</w:t>
      </w:r>
      <w:proofErr w:type="spellEnd"/>
      <w:r w:rsidRPr="00467DB0">
        <w:t xml:space="preserve"> de risikorapporter, </w:t>
      </w:r>
      <w:r w:rsidRPr="00467DB0">
        <w:lastRenderedPageBreak/>
        <w:t xml:space="preserve">der er relevante for, at komitéen kan </w:t>
      </w:r>
      <w:proofErr w:type="spellStart"/>
      <w:r w:rsidRPr="00467DB0">
        <w:t>træffe</w:t>
      </w:r>
      <w:proofErr w:type="spellEnd"/>
      <w:r w:rsidRPr="00467DB0">
        <w:t xml:space="preserve"> sine beslutninger. </w:t>
      </w:r>
      <w:r w:rsidRPr="00467DB0">
        <w:t xml:space="preserve">Komitéen for </w:t>
      </w:r>
      <w:proofErr w:type="spellStart"/>
      <w:r w:rsidRPr="00467DB0">
        <w:t>Sikkerhedsgodkendelse</w:t>
      </w:r>
      <w:proofErr w:type="spellEnd"/>
      <w:r w:rsidRPr="00467DB0">
        <w:t xml:space="preserve"> kan </w:t>
      </w:r>
      <w:proofErr w:type="spellStart"/>
      <w:r w:rsidRPr="00467DB0">
        <w:t>nedsætte</w:t>
      </w:r>
      <w:proofErr w:type="spellEnd"/>
      <w:r w:rsidRPr="00467DB0">
        <w:t xml:space="preserve"> og </w:t>
      </w:r>
      <w:proofErr w:type="spellStart"/>
      <w:r w:rsidRPr="00467DB0">
        <w:t>nedlægge</w:t>
      </w:r>
      <w:proofErr w:type="spellEnd"/>
      <w:r w:rsidRPr="00467DB0">
        <w:t xml:space="preserve"> ekspertgrupper, som kan </w:t>
      </w:r>
      <w:proofErr w:type="spellStart"/>
      <w:r w:rsidRPr="00467DB0">
        <w:t>bidrage</w:t>
      </w:r>
      <w:proofErr w:type="spellEnd"/>
      <w:r w:rsidRPr="00467DB0">
        <w:t xml:space="preserve"> til </w:t>
      </w:r>
      <w:proofErr w:type="spellStart"/>
      <w:r w:rsidRPr="00467DB0">
        <w:t>arbejdet</w:t>
      </w:r>
      <w:proofErr w:type="spellEnd"/>
      <w:r w:rsidRPr="00467DB0">
        <w:t xml:space="preserve"> i dette panel.</w:t>
      </w:r>
    </w:p>
    <w:p w14:paraId="44C55653" w14:textId="77777777" w:rsidR="00000000" w:rsidRPr="00467DB0" w:rsidRDefault="00693D67" w:rsidP="00467DB0">
      <w:pPr>
        <w:pStyle w:val="avsnitt-undertittel"/>
      </w:pPr>
      <w:proofErr w:type="spellStart"/>
      <w:r w:rsidRPr="00467DB0">
        <w:t>Artikel</w:t>
      </w:r>
      <w:proofErr w:type="spellEnd"/>
      <w:r w:rsidRPr="00467DB0">
        <w:t xml:space="preserve"> 83</w:t>
      </w:r>
    </w:p>
    <w:p w14:paraId="618D8392" w14:textId="77777777" w:rsidR="00000000" w:rsidRPr="00467DB0" w:rsidRDefault="00693D67" w:rsidP="00467DB0">
      <w:pPr>
        <w:pStyle w:val="Undertittel"/>
      </w:pPr>
      <w:proofErr w:type="spellStart"/>
      <w:r w:rsidRPr="00467DB0">
        <w:t>Opgaver</w:t>
      </w:r>
      <w:proofErr w:type="spellEnd"/>
      <w:r w:rsidRPr="00467DB0">
        <w:t xml:space="preserve">, der </w:t>
      </w:r>
      <w:proofErr w:type="spellStart"/>
      <w:r w:rsidRPr="00467DB0">
        <w:t>udføres</w:t>
      </w:r>
      <w:proofErr w:type="spellEnd"/>
      <w:r w:rsidRPr="00467DB0">
        <w:t xml:space="preserve"> </w:t>
      </w:r>
      <w:proofErr w:type="spellStart"/>
      <w:r w:rsidRPr="00467DB0">
        <w:t>af</w:t>
      </w:r>
      <w:proofErr w:type="spellEnd"/>
      <w:r w:rsidRPr="00467DB0">
        <w:t xml:space="preserve"> </w:t>
      </w:r>
      <w:proofErr w:type="spellStart"/>
      <w:r w:rsidRPr="00467DB0">
        <w:t>formanden</w:t>
      </w:r>
      <w:proofErr w:type="spellEnd"/>
      <w:r w:rsidRPr="00467DB0">
        <w:t xml:space="preserve"> for Komitéen for </w:t>
      </w:r>
      <w:proofErr w:type="spellStart"/>
      <w:r w:rsidRPr="00467DB0">
        <w:t>Sikkerhedsgodkendelse</w:t>
      </w:r>
      <w:proofErr w:type="spellEnd"/>
    </w:p>
    <w:p w14:paraId="0CFD5494" w14:textId="77777777" w:rsidR="00000000" w:rsidRPr="00467DB0" w:rsidRDefault="00693D67" w:rsidP="00467DB0">
      <w:pPr>
        <w:pStyle w:val="friliste"/>
      </w:pPr>
      <w:r w:rsidRPr="00467DB0">
        <w:t>1.</w:t>
      </w:r>
      <w:r w:rsidRPr="00467DB0">
        <w:tab/>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w:t>
      </w:r>
      <w:r w:rsidRPr="00467DB0">
        <w:t xml:space="preserve">sikrer, at komitéen </w:t>
      </w:r>
      <w:proofErr w:type="spellStart"/>
      <w:r w:rsidRPr="00467DB0">
        <w:t>udfører</w:t>
      </w:r>
      <w:proofErr w:type="spellEnd"/>
      <w:r w:rsidRPr="00467DB0">
        <w:t xml:space="preserve"> sine </w:t>
      </w:r>
      <w:proofErr w:type="spellStart"/>
      <w:r w:rsidRPr="00467DB0">
        <w:t>sikkerhedsgodkendelsesaktiviteter</w:t>
      </w:r>
      <w:proofErr w:type="spellEnd"/>
      <w:r w:rsidRPr="00467DB0">
        <w:t xml:space="preserve"> </w:t>
      </w:r>
      <w:proofErr w:type="spellStart"/>
      <w:r w:rsidRPr="00467DB0">
        <w:t>uafhængigt</w:t>
      </w:r>
      <w:proofErr w:type="spellEnd"/>
      <w:r w:rsidRPr="00467DB0">
        <w:t xml:space="preserve">, og skal </w:t>
      </w:r>
      <w:proofErr w:type="spellStart"/>
      <w:r w:rsidRPr="00467DB0">
        <w:t>udføre</w:t>
      </w:r>
      <w:proofErr w:type="spellEnd"/>
      <w:r w:rsidRPr="00467DB0">
        <w:t xml:space="preserve"> følgende </w:t>
      </w:r>
      <w:proofErr w:type="spellStart"/>
      <w:r w:rsidRPr="00467DB0">
        <w:t>opgaver</w:t>
      </w:r>
      <w:proofErr w:type="spellEnd"/>
      <w:r w:rsidRPr="00467DB0">
        <w:t>:</w:t>
      </w:r>
    </w:p>
    <w:p w14:paraId="6DA271C0" w14:textId="77777777" w:rsidR="00000000" w:rsidRPr="00467DB0" w:rsidRDefault="00693D67" w:rsidP="00467DB0">
      <w:pPr>
        <w:pStyle w:val="friliste2"/>
      </w:pPr>
      <w:r w:rsidRPr="00467DB0">
        <w:t>a)</w:t>
      </w:r>
      <w:r w:rsidRPr="00467DB0">
        <w:tab/>
        <w:t xml:space="preserve">forvalte </w:t>
      </w:r>
      <w:proofErr w:type="spellStart"/>
      <w:r w:rsidRPr="00467DB0">
        <w:t>sikkerhedsgodkendelsesaktiviteter</w:t>
      </w:r>
      <w:proofErr w:type="spellEnd"/>
      <w:r w:rsidRPr="00467DB0">
        <w:t xml:space="preserve"> under tilsyn </w:t>
      </w:r>
      <w:proofErr w:type="spellStart"/>
      <w:r w:rsidRPr="00467DB0">
        <w:t>af</w:t>
      </w:r>
      <w:proofErr w:type="spellEnd"/>
      <w:r w:rsidRPr="00467DB0">
        <w:t xml:space="preserve"> Komitéen for </w:t>
      </w:r>
      <w:proofErr w:type="spellStart"/>
      <w:r w:rsidRPr="00467DB0">
        <w:t>Sikkerhedsgodkendelse</w:t>
      </w:r>
      <w:proofErr w:type="spellEnd"/>
    </w:p>
    <w:p w14:paraId="0BF2D79A" w14:textId="77777777" w:rsidR="00000000" w:rsidRPr="00467DB0" w:rsidRDefault="00693D67" w:rsidP="00467DB0">
      <w:pPr>
        <w:pStyle w:val="friliste2"/>
      </w:pPr>
      <w:r w:rsidRPr="00467DB0">
        <w:t>b)</w:t>
      </w:r>
      <w:r w:rsidRPr="00467DB0">
        <w:tab/>
      </w:r>
      <w:proofErr w:type="spellStart"/>
      <w:r w:rsidRPr="00467DB0">
        <w:t>gennemføre</w:t>
      </w:r>
      <w:proofErr w:type="spellEnd"/>
      <w:r w:rsidRPr="00467DB0">
        <w:t xml:space="preserve"> den del </w:t>
      </w:r>
      <w:proofErr w:type="spellStart"/>
      <w:r w:rsidRPr="00467DB0">
        <w:t>af</w:t>
      </w:r>
      <w:proofErr w:type="spellEnd"/>
      <w:r w:rsidRPr="00467DB0">
        <w:t xml:space="preserve"> agenturets flerårige o</w:t>
      </w:r>
      <w:r w:rsidRPr="00467DB0">
        <w:t xml:space="preserve">g årlige </w:t>
      </w:r>
      <w:proofErr w:type="spellStart"/>
      <w:r w:rsidRPr="00467DB0">
        <w:t>arbejdsprogrammer</w:t>
      </w:r>
      <w:proofErr w:type="spellEnd"/>
      <w:r w:rsidRPr="00467DB0">
        <w:t xml:space="preserve">,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under tilsyn </w:t>
      </w:r>
      <w:proofErr w:type="spellStart"/>
      <w:r w:rsidRPr="00467DB0">
        <w:t>af</w:t>
      </w:r>
      <w:proofErr w:type="spellEnd"/>
      <w:r w:rsidRPr="00467DB0">
        <w:t xml:space="preserve"> Komitéen for </w:t>
      </w:r>
      <w:proofErr w:type="spellStart"/>
      <w:r w:rsidRPr="00467DB0">
        <w:t>Sikkerhedsgodkendelse</w:t>
      </w:r>
      <w:proofErr w:type="spellEnd"/>
    </w:p>
    <w:p w14:paraId="7E45E45E" w14:textId="77777777" w:rsidR="00000000" w:rsidRPr="00467DB0" w:rsidRDefault="00693D67" w:rsidP="00467DB0">
      <w:pPr>
        <w:pStyle w:val="friliste2"/>
      </w:pPr>
      <w:r w:rsidRPr="00467DB0">
        <w:t>c)</w:t>
      </w:r>
      <w:r w:rsidRPr="00467DB0">
        <w:tab/>
      </w:r>
      <w:proofErr w:type="spellStart"/>
      <w:r w:rsidRPr="00467DB0">
        <w:t>samarbejde</w:t>
      </w:r>
      <w:proofErr w:type="spellEnd"/>
      <w:r w:rsidRPr="00467DB0">
        <w:t xml:space="preserve"> med den administrerende direktør med </w:t>
      </w:r>
      <w:proofErr w:type="spellStart"/>
      <w:r w:rsidRPr="00467DB0">
        <w:t>henblik</w:t>
      </w:r>
      <w:proofErr w:type="spellEnd"/>
      <w:r w:rsidRPr="00467DB0">
        <w:t xml:space="preserve"> på at </w:t>
      </w:r>
      <w:proofErr w:type="spellStart"/>
      <w:r w:rsidRPr="00467DB0">
        <w:t>hjælpe</w:t>
      </w:r>
      <w:proofErr w:type="spellEnd"/>
      <w:r w:rsidRPr="00467DB0">
        <w:t xml:space="preserve"> denne med at </w:t>
      </w:r>
      <w:proofErr w:type="spellStart"/>
      <w:r w:rsidRPr="00467DB0">
        <w:t>udarbejde</w:t>
      </w:r>
      <w:proofErr w:type="spellEnd"/>
      <w:r w:rsidRPr="00467DB0">
        <w:t xml:space="preserve"> det i </w:t>
      </w:r>
      <w:proofErr w:type="spellStart"/>
      <w:r w:rsidRPr="00467DB0">
        <w:t>artikel</w:t>
      </w:r>
      <w:proofErr w:type="spellEnd"/>
      <w:r w:rsidRPr="00467DB0">
        <w:t xml:space="preserve"> 84, stk. 4, omhandlede </w:t>
      </w:r>
      <w:proofErr w:type="spellStart"/>
      <w:r w:rsidRPr="00467DB0">
        <w:t>udka</w:t>
      </w:r>
      <w:r w:rsidRPr="00467DB0">
        <w:t>st</w:t>
      </w:r>
      <w:proofErr w:type="spellEnd"/>
      <w:r w:rsidRPr="00467DB0">
        <w:t xml:space="preserve"> til stillingsfortegnelse samt agenturets </w:t>
      </w:r>
      <w:proofErr w:type="spellStart"/>
      <w:r w:rsidRPr="00467DB0">
        <w:t>organisationsstrukturer</w:t>
      </w:r>
      <w:proofErr w:type="spellEnd"/>
    </w:p>
    <w:p w14:paraId="5A56D78B" w14:textId="77777777" w:rsidR="00000000" w:rsidRPr="00467DB0" w:rsidRDefault="00693D67" w:rsidP="00467DB0">
      <w:pPr>
        <w:pStyle w:val="friliste2"/>
      </w:pPr>
      <w:r w:rsidRPr="00467DB0">
        <w:t>d)</w:t>
      </w:r>
      <w:r w:rsidRPr="00467DB0">
        <w:tab/>
      </w:r>
      <w:proofErr w:type="spellStart"/>
      <w:r w:rsidRPr="00467DB0">
        <w:t>udarbejde</w:t>
      </w:r>
      <w:proofErr w:type="spellEnd"/>
      <w:r w:rsidRPr="00467DB0">
        <w:t xml:space="preserve"> den del </w:t>
      </w:r>
      <w:proofErr w:type="spellStart"/>
      <w:r w:rsidRPr="00467DB0">
        <w:t>af</w:t>
      </w:r>
      <w:proofErr w:type="spellEnd"/>
      <w:r w:rsidRPr="00467DB0">
        <w:t xml:space="preserve"> statusrapporten, der vedrører de </w:t>
      </w:r>
      <w:proofErr w:type="spellStart"/>
      <w:r w:rsidRPr="00467DB0">
        <w:t>operationelle</w:t>
      </w:r>
      <w:proofErr w:type="spellEnd"/>
      <w:r w:rsidRPr="00467DB0">
        <w:t xml:space="preserv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og fremsende denne til Komitéen for </w:t>
      </w:r>
      <w:proofErr w:type="spellStart"/>
      <w:r w:rsidRPr="00467DB0">
        <w:t>Sikkerhedsgodkendelse</w:t>
      </w:r>
      <w:proofErr w:type="spellEnd"/>
      <w:r w:rsidRPr="00467DB0">
        <w:t xml:space="preserve"> og de</w:t>
      </w:r>
      <w:r w:rsidRPr="00467DB0">
        <w:t xml:space="preserve">n administrerende direktør i god tid, </w:t>
      </w:r>
      <w:proofErr w:type="gramStart"/>
      <w:r w:rsidRPr="00467DB0">
        <w:t>således</w:t>
      </w:r>
      <w:proofErr w:type="gramEnd"/>
      <w:r w:rsidRPr="00467DB0">
        <w:t xml:space="preserve"> at den kan blive </w:t>
      </w:r>
      <w:proofErr w:type="spellStart"/>
      <w:r w:rsidRPr="00467DB0">
        <w:t>integreret</w:t>
      </w:r>
      <w:proofErr w:type="spellEnd"/>
      <w:r w:rsidRPr="00467DB0">
        <w:t xml:space="preserve"> i statusrapporten</w:t>
      </w:r>
    </w:p>
    <w:p w14:paraId="5097D0D4" w14:textId="77777777" w:rsidR="00000000" w:rsidRPr="00467DB0" w:rsidRDefault="00693D67" w:rsidP="00467DB0">
      <w:pPr>
        <w:pStyle w:val="friliste2"/>
      </w:pPr>
      <w:r w:rsidRPr="00467DB0">
        <w:t>e)</w:t>
      </w:r>
      <w:r w:rsidRPr="00467DB0">
        <w:tab/>
      </w:r>
      <w:proofErr w:type="spellStart"/>
      <w:r w:rsidRPr="00467DB0">
        <w:t>udarbejde</w:t>
      </w:r>
      <w:proofErr w:type="spellEnd"/>
      <w:r w:rsidRPr="00467DB0">
        <w:t xml:space="preserve"> den del </w:t>
      </w:r>
      <w:proofErr w:type="spellStart"/>
      <w:r w:rsidRPr="00467DB0">
        <w:t>af</w:t>
      </w:r>
      <w:proofErr w:type="spellEnd"/>
      <w:r w:rsidRPr="00467DB0">
        <w:t xml:space="preserve"> årsrapporten og handlingsplanen, der vedrør</w:t>
      </w:r>
      <w:r w:rsidRPr="00467DB0">
        <w:t xml:space="preserve">er de </w:t>
      </w:r>
      <w:proofErr w:type="spellStart"/>
      <w:r w:rsidRPr="00467DB0">
        <w:t>operationelle</w:t>
      </w:r>
      <w:proofErr w:type="spellEnd"/>
      <w:r w:rsidRPr="00467DB0">
        <w:t xml:space="preserv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og fremsende denne til den administrerende direktør i god tid</w:t>
      </w:r>
    </w:p>
    <w:p w14:paraId="6B332CFB" w14:textId="77777777" w:rsidR="00000000" w:rsidRPr="00467DB0" w:rsidRDefault="00693D67" w:rsidP="00467DB0">
      <w:pPr>
        <w:pStyle w:val="friliste2"/>
      </w:pPr>
      <w:r w:rsidRPr="00467DB0">
        <w:t>f)</w:t>
      </w:r>
      <w:r w:rsidRPr="00467DB0">
        <w:tab/>
      </w:r>
      <w:proofErr w:type="spellStart"/>
      <w:r w:rsidRPr="00467DB0">
        <w:t>repræsentere</w:t>
      </w:r>
      <w:proofErr w:type="spellEnd"/>
      <w:r w:rsidRPr="00467DB0">
        <w:t xml:space="preserve"> agenturet for så vidt angår de aktiviteter og beslutninger,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w:t>
      </w:r>
    </w:p>
    <w:p w14:paraId="25517C77" w14:textId="77777777" w:rsidR="00000000" w:rsidRPr="00467DB0" w:rsidRDefault="00693D67" w:rsidP="00467DB0">
      <w:pPr>
        <w:pStyle w:val="friliste2"/>
      </w:pPr>
      <w:r w:rsidRPr="00467DB0">
        <w:t>g)</w:t>
      </w:r>
      <w:r w:rsidRPr="00467DB0">
        <w:tab/>
        <w:t>u</w:t>
      </w:r>
      <w:r w:rsidRPr="00467DB0">
        <w:t xml:space="preserve">døve de i </w:t>
      </w:r>
      <w:proofErr w:type="spellStart"/>
      <w:r w:rsidRPr="00467DB0">
        <w:t>artikel</w:t>
      </w:r>
      <w:proofErr w:type="spellEnd"/>
      <w:r w:rsidRPr="00467DB0">
        <w:t xml:space="preserve"> 77, stk. 3, første </w:t>
      </w:r>
      <w:proofErr w:type="spellStart"/>
      <w:r w:rsidRPr="00467DB0">
        <w:t>afsnit</w:t>
      </w:r>
      <w:proofErr w:type="spellEnd"/>
      <w:r w:rsidRPr="00467DB0">
        <w:t xml:space="preserve">, omhandlede </w:t>
      </w:r>
      <w:proofErr w:type="spellStart"/>
      <w:r w:rsidRPr="00467DB0">
        <w:t>beføjelser</w:t>
      </w:r>
      <w:proofErr w:type="spellEnd"/>
      <w:r w:rsidRPr="00467DB0">
        <w:t xml:space="preserve"> over for det personale ved agenturet, der er </w:t>
      </w:r>
      <w:proofErr w:type="spellStart"/>
      <w:r w:rsidRPr="00467DB0">
        <w:t>beskæftiget</w:t>
      </w:r>
      <w:proofErr w:type="spellEnd"/>
      <w:r w:rsidRPr="00467DB0">
        <w:t xml:space="preserve"> med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i det omfang disse </w:t>
      </w:r>
      <w:proofErr w:type="spellStart"/>
      <w:r w:rsidRPr="00467DB0">
        <w:t>beføjelser</w:t>
      </w:r>
      <w:proofErr w:type="spellEnd"/>
      <w:r w:rsidRPr="00467DB0">
        <w:t xml:space="preserve"> </w:t>
      </w:r>
      <w:proofErr w:type="spellStart"/>
      <w:r w:rsidRPr="00467DB0">
        <w:t>tillægges</w:t>
      </w:r>
      <w:proofErr w:type="spellEnd"/>
      <w:r w:rsidRPr="00467DB0">
        <w:t xml:space="preserve"> </w:t>
      </w:r>
      <w:proofErr w:type="spellStart"/>
      <w:r w:rsidRPr="00467DB0">
        <w:t>formanden</w:t>
      </w:r>
      <w:proofErr w:type="spellEnd"/>
      <w:r w:rsidRPr="00467DB0">
        <w:t xml:space="preserve"> i henhold til 77, stk. 3</w:t>
      </w:r>
      <w:r w:rsidRPr="00467DB0">
        <w:t xml:space="preserve">, fjerde </w:t>
      </w:r>
      <w:proofErr w:type="spellStart"/>
      <w:r w:rsidRPr="00467DB0">
        <w:t>afsnit</w:t>
      </w:r>
      <w:proofErr w:type="spellEnd"/>
      <w:r w:rsidRPr="00467DB0">
        <w:t>.</w:t>
      </w:r>
    </w:p>
    <w:p w14:paraId="4220AEA2" w14:textId="77777777" w:rsidR="00000000" w:rsidRPr="00467DB0" w:rsidRDefault="00693D67" w:rsidP="00467DB0">
      <w:pPr>
        <w:pStyle w:val="friliste"/>
      </w:pPr>
      <w:r w:rsidRPr="00467DB0">
        <w:t>2.</w:t>
      </w:r>
      <w:r w:rsidRPr="00467DB0">
        <w:tab/>
        <w:t xml:space="preserve">For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kan Europa-Parlamentet og Rådet anmode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om en </w:t>
      </w:r>
      <w:proofErr w:type="spellStart"/>
      <w:r w:rsidRPr="00467DB0">
        <w:t>udveksling</w:t>
      </w:r>
      <w:proofErr w:type="spellEnd"/>
      <w:r w:rsidRPr="00467DB0">
        <w:t xml:space="preserve"> </w:t>
      </w:r>
      <w:proofErr w:type="spellStart"/>
      <w:r w:rsidRPr="00467DB0">
        <w:t>af</w:t>
      </w:r>
      <w:proofErr w:type="spellEnd"/>
      <w:r w:rsidRPr="00467DB0">
        <w:t xml:space="preserve"> synspunkter over for disse </w:t>
      </w:r>
      <w:proofErr w:type="spellStart"/>
      <w:r w:rsidRPr="00467DB0">
        <w:t>institutioner</w:t>
      </w:r>
      <w:proofErr w:type="spellEnd"/>
      <w:r w:rsidRPr="00467DB0">
        <w:t xml:space="preserve"> om agenturets </w:t>
      </w:r>
      <w:proofErr w:type="spellStart"/>
      <w:r w:rsidRPr="00467DB0">
        <w:t>arbejde</w:t>
      </w:r>
      <w:proofErr w:type="spellEnd"/>
      <w:r w:rsidRPr="00467DB0">
        <w:t xml:space="preserve"> og </w:t>
      </w:r>
      <w:proofErr w:type="spellStart"/>
      <w:r w:rsidRPr="00467DB0">
        <w:t>frem</w:t>
      </w:r>
      <w:r w:rsidRPr="00467DB0">
        <w:t>tidsudsigter</w:t>
      </w:r>
      <w:proofErr w:type="spellEnd"/>
      <w:r w:rsidRPr="00467DB0">
        <w:t xml:space="preserve">, herunder med hensyn til det flerårige og det årlige </w:t>
      </w:r>
      <w:proofErr w:type="spellStart"/>
      <w:r w:rsidRPr="00467DB0">
        <w:t>arbejdsprogram</w:t>
      </w:r>
      <w:proofErr w:type="spellEnd"/>
      <w:r w:rsidRPr="00467DB0">
        <w:t>.</w:t>
      </w:r>
    </w:p>
    <w:p w14:paraId="7AD848AD" w14:textId="77777777" w:rsidR="00000000" w:rsidRPr="00467DB0" w:rsidRDefault="00693D67" w:rsidP="00467DB0">
      <w:pPr>
        <w:pStyle w:val="avsnitt-undertittel"/>
      </w:pPr>
      <w:r w:rsidRPr="00467DB0">
        <w:lastRenderedPageBreak/>
        <w:t>Kapitel III</w:t>
      </w:r>
    </w:p>
    <w:p w14:paraId="56690E28" w14:textId="77777777" w:rsidR="00000000" w:rsidRPr="00467DB0" w:rsidRDefault="00693D67" w:rsidP="00467DB0">
      <w:pPr>
        <w:pStyle w:val="Undertittel"/>
      </w:pPr>
      <w:r w:rsidRPr="00467DB0">
        <w:t xml:space="preserve">Finansielle bestemmelser </w:t>
      </w:r>
      <w:proofErr w:type="gramStart"/>
      <w:r w:rsidRPr="00467DB0">
        <w:t>vedrørende</w:t>
      </w:r>
      <w:proofErr w:type="gramEnd"/>
      <w:r w:rsidRPr="00467DB0">
        <w:t xml:space="preserve"> agenturet</w:t>
      </w:r>
    </w:p>
    <w:p w14:paraId="1750F15F" w14:textId="77777777" w:rsidR="00000000" w:rsidRPr="00467DB0" w:rsidRDefault="00693D67" w:rsidP="00467DB0">
      <w:pPr>
        <w:pStyle w:val="avsnitt-undertittel"/>
      </w:pPr>
      <w:proofErr w:type="spellStart"/>
      <w:r w:rsidRPr="00467DB0">
        <w:t>Artikel</w:t>
      </w:r>
      <w:proofErr w:type="spellEnd"/>
      <w:r w:rsidRPr="00467DB0">
        <w:t xml:space="preserve"> 84</w:t>
      </w:r>
    </w:p>
    <w:p w14:paraId="17487F03" w14:textId="77777777" w:rsidR="00000000" w:rsidRPr="00467DB0" w:rsidRDefault="00693D67" w:rsidP="00467DB0">
      <w:pPr>
        <w:pStyle w:val="Undertittel"/>
      </w:pPr>
      <w:r w:rsidRPr="00467DB0">
        <w:t xml:space="preserve">Agenturets </w:t>
      </w:r>
      <w:proofErr w:type="spellStart"/>
      <w:r w:rsidRPr="00467DB0">
        <w:t>budget</w:t>
      </w:r>
      <w:proofErr w:type="spellEnd"/>
    </w:p>
    <w:p w14:paraId="533D6417" w14:textId="77777777" w:rsidR="00000000" w:rsidRPr="00467DB0" w:rsidRDefault="00693D67" w:rsidP="00467DB0">
      <w:pPr>
        <w:pStyle w:val="friliste"/>
      </w:pPr>
      <w:r w:rsidRPr="00467DB0">
        <w:t>1.</w:t>
      </w:r>
      <w:r w:rsidRPr="00467DB0">
        <w:tab/>
      </w:r>
      <w:proofErr w:type="spellStart"/>
      <w:r w:rsidRPr="00467DB0">
        <w:t>Uden</w:t>
      </w:r>
      <w:proofErr w:type="spellEnd"/>
      <w:r w:rsidRPr="00467DB0">
        <w:t xml:space="preserve"> at det berører andre </w:t>
      </w:r>
      <w:proofErr w:type="spellStart"/>
      <w:r w:rsidRPr="00467DB0">
        <w:t>ressourcer</w:t>
      </w:r>
      <w:proofErr w:type="spellEnd"/>
      <w:r w:rsidRPr="00467DB0">
        <w:t xml:space="preserve"> og gebyrer, omfatter agenturets </w:t>
      </w:r>
      <w:proofErr w:type="spellStart"/>
      <w:r w:rsidRPr="00467DB0">
        <w:t>indtægter</w:t>
      </w:r>
      <w:proofErr w:type="spellEnd"/>
      <w:r w:rsidRPr="00467DB0">
        <w:t xml:space="preserve"> et EU</w:t>
      </w:r>
      <w:r w:rsidRPr="00467DB0">
        <w:t xml:space="preserve">-bidrag </w:t>
      </w:r>
      <w:proofErr w:type="spellStart"/>
      <w:r w:rsidRPr="00467DB0">
        <w:t>opført</w:t>
      </w:r>
      <w:proofErr w:type="spellEnd"/>
      <w:r w:rsidRPr="00467DB0">
        <w:t xml:space="preserve"> på Den </w:t>
      </w:r>
      <w:proofErr w:type="spellStart"/>
      <w:r w:rsidRPr="00467DB0">
        <w:t>Europæiske</w:t>
      </w:r>
      <w:proofErr w:type="spellEnd"/>
      <w:r w:rsidRPr="00467DB0">
        <w:t xml:space="preserve"> Unions </w:t>
      </w:r>
      <w:proofErr w:type="spellStart"/>
      <w:r w:rsidRPr="00467DB0">
        <w:t>almindelige</w:t>
      </w:r>
      <w:proofErr w:type="spellEnd"/>
      <w:r w:rsidRPr="00467DB0">
        <w:t xml:space="preserve"> </w:t>
      </w:r>
      <w:proofErr w:type="spellStart"/>
      <w:r w:rsidRPr="00467DB0">
        <w:t>budget</w:t>
      </w:r>
      <w:proofErr w:type="spellEnd"/>
      <w:r w:rsidRPr="00467DB0">
        <w:t xml:space="preserve"> til sikring </w:t>
      </w:r>
      <w:proofErr w:type="spellStart"/>
      <w:r w:rsidRPr="00467DB0">
        <w:t>af</w:t>
      </w:r>
      <w:proofErr w:type="spellEnd"/>
      <w:r w:rsidRPr="00467DB0">
        <w:t xml:space="preserve">, at der er </w:t>
      </w:r>
      <w:proofErr w:type="spellStart"/>
      <w:r w:rsidRPr="00467DB0">
        <w:t>balance</w:t>
      </w:r>
      <w:proofErr w:type="spellEnd"/>
      <w:r w:rsidRPr="00467DB0">
        <w:t xml:space="preserve"> </w:t>
      </w:r>
      <w:proofErr w:type="spellStart"/>
      <w:r w:rsidRPr="00467DB0">
        <w:t>mellem</w:t>
      </w:r>
      <w:proofErr w:type="spellEnd"/>
      <w:r w:rsidRPr="00467DB0">
        <w:t xml:space="preserve"> </w:t>
      </w:r>
      <w:proofErr w:type="spellStart"/>
      <w:r w:rsidRPr="00467DB0">
        <w:t>indtægter</w:t>
      </w:r>
      <w:proofErr w:type="spellEnd"/>
      <w:r w:rsidRPr="00467DB0">
        <w:t xml:space="preserve"> og </w:t>
      </w:r>
      <w:proofErr w:type="spellStart"/>
      <w:r w:rsidRPr="00467DB0">
        <w:t>udgifter</w:t>
      </w:r>
      <w:proofErr w:type="spellEnd"/>
      <w:r w:rsidRPr="00467DB0">
        <w:t xml:space="preserve">. Agenturet kan </w:t>
      </w:r>
      <w:proofErr w:type="spellStart"/>
      <w:r w:rsidRPr="00467DB0">
        <w:t>modtage</w:t>
      </w:r>
      <w:proofErr w:type="spellEnd"/>
      <w:r w:rsidRPr="00467DB0">
        <w:t xml:space="preserve"> ad hoc-</w:t>
      </w:r>
      <w:proofErr w:type="spellStart"/>
      <w:r w:rsidRPr="00467DB0">
        <w:t>tilskud</w:t>
      </w:r>
      <w:proofErr w:type="spellEnd"/>
      <w:r w:rsidRPr="00467DB0">
        <w:t xml:space="preserve"> fra Unionens </w:t>
      </w:r>
      <w:proofErr w:type="spellStart"/>
      <w:r w:rsidRPr="00467DB0">
        <w:t>budget</w:t>
      </w:r>
      <w:proofErr w:type="spellEnd"/>
      <w:r w:rsidRPr="00467DB0">
        <w:t>.</w:t>
      </w:r>
    </w:p>
    <w:p w14:paraId="7535A390" w14:textId="77777777" w:rsidR="00000000" w:rsidRPr="00467DB0" w:rsidRDefault="00693D67" w:rsidP="00467DB0">
      <w:pPr>
        <w:pStyle w:val="friliste"/>
      </w:pPr>
      <w:r w:rsidRPr="00467DB0">
        <w:t>2.</w:t>
      </w:r>
      <w:r w:rsidRPr="00467DB0">
        <w:tab/>
        <w:t xml:space="preserve">Agenturets </w:t>
      </w:r>
      <w:proofErr w:type="spellStart"/>
      <w:r w:rsidRPr="00467DB0">
        <w:t>udgifter</w:t>
      </w:r>
      <w:proofErr w:type="spellEnd"/>
      <w:r w:rsidRPr="00467DB0">
        <w:t xml:space="preserve"> omfatter bl.a. </w:t>
      </w:r>
      <w:proofErr w:type="spellStart"/>
      <w:r w:rsidRPr="00467DB0">
        <w:t>udgifter</w:t>
      </w:r>
      <w:proofErr w:type="spellEnd"/>
      <w:r w:rsidRPr="00467DB0">
        <w:t xml:space="preserve"> til personale, </w:t>
      </w:r>
      <w:proofErr w:type="spellStart"/>
      <w:r w:rsidRPr="00467DB0">
        <w:t>administratio</w:t>
      </w:r>
      <w:r w:rsidRPr="00467DB0">
        <w:t>n</w:t>
      </w:r>
      <w:proofErr w:type="spellEnd"/>
      <w:r w:rsidRPr="00467DB0">
        <w:t xml:space="preserve"> og infrastruktur samt driftsomkostninger og </w:t>
      </w:r>
      <w:proofErr w:type="spellStart"/>
      <w:r w:rsidRPr="00467DB0">
        <w:t>udgifter</w:t>
      </w:r>
      <w:proofErr w:type="spellEnd"/>
      <w:r w:rsidRPr="00467DB0">
        <w:t xml:space="preserve"> i forbindelse med Komitéen for </w:t>
      </w:r>
      <w:proofErr w:type="spellStart"/>
      <w:r w:rsidRPr="00467DB0">
        <w:t>Sikkerhedsgodkendelses</w:t>
      </w:r>
      <w:proofErr w:type="spellEnd"/>
      <w:r w:rsidRPr="00467DB0">
        <w:t xml:space="preserve"> </w:t>
      </w:r>
      <w:proofErr w:type="spellStart"/>
      <w:r w:rsidRPr="00467DB0">
        <w:t>virksomhed</w:t>
      </w:r>
      <w:proofErr w:type="spellEnd"/>
      <w:r w:rsidRPr="00467DB0">
        <w:t xml:space="preserve">, herunder de i </w:t>
      </w:r>
      <w:proofErr w:type="spellStart"/>
      <w:r w:rsidRPr="00467DB0">
        <w:t>artikel</w:t>
      </w:r>
      <w:proofErr w:type="spellEnd"/>
      <w:r w:rsidRPr="00467DB0">
        <w:t xml:space="preserve"> 38, stk. 3, og </w:t>
      </w:r>
      <w:proofErr w:type="spellStart"/>
      <w:r w:rsidRPr="00467DB0">
        <w:t>artikel</w:t>
      </w:r>
      <w:proofErr w:type="spellEnd"/>
      <w:r w:rsidRPr="00467DB0">
        <w:t xml:space="preserve"> 82, stk. 3, omhandlede organer, samt kontrakter og </w:t>
      </w:r>
      <w:proofErr w:type="spellStart"/>
      <w:r w:rsidRPr="00467DB0">
        <w:t>aftaler</w:t>
      </w:r>
      <w:proofErr w:type="spellEnd"/>
      <w:r w:rsidRPr="00467DB0">
        <w:t xml:space="preserve">, der </w:t>
      </w:r>
      <w:proofErr w:type="spellStart"/>
      <w:r w:rsidRPr="00467DB0">
        <w:t>indgås</w:t>
      </w:r>
      <w:proofErr w:type="spellEnd"/>
      <w:r w:rsidRPr="00467DB0">
        <w:t xml:space="preserve"> </w:t>
      </w:r>
      <w:proofErr w:type="spellStart"/>
      <w:r w:rsidRPr="00467DB0">
        <w:t>af</w:t>
      </w:r>
      <w:proofErr w:type="spellEnd"/>
      <w:r w:rsidRPr="00467DB0">
        <w:t xml:space="preserve"> agenturet med </w:t>
      </w:r>
      <w:proofErr w:type="spellStart"/>
      <w:r w:rsidRPr="00467DB0">
        <w:t>he</w:t>
      </w:r>
      <w:r w:rsidRPr="00467DB0">
        <w:t>nblik</w:t>
      </w:r>
      <w:proofErr w:type="spellEnd"/>
      <w:r w:rsidRPr="00467DB0">
        <w:t xml:space="preserve"> på </w:t>
      </w:r>
      <w:proofErr w:type="spellStart"/>
      <w:r w:rsidRPr="00467DB0">
        <w:t>udførelse</w:t>
      </w:r>
      <w:proofErr w:type="spellEnd"/>
      <w:r w:rsidRPr="00467DB0">
        <w:t xml:space="preserve"> </w:t>
      </w:r>
      <w:proofErr w:type="spellStart"/>
      <w:r w:rsidRPr="00467DB0">
        <w:t>af</w:t>
      </w:r>
      <w:proofErr w:type="spellEnd"/>
      <w:r w:rsidRPr="00467DB0">
        <w:t xml:space="preserve"> de </w:t>
      </w:r>
      <w:proofErr w:type="spellStart"/>
      <w:r w:rsidRPr="00467DB0">
        <w:t>opgaver</w:t>
      </w:r>
      <w:proofErr w:type="spellEnd"/>
      <w:r w:rsidRPr="00467DB0">
        <w:t xml:space="preserve">, det har </w:t>
      </w:r>
      <w:proofErr w:type="spellStart"/>
      <w:r w:rsidRPr="00467DB0">
        <w:t>fået</w:t>
      </w:r>
      <w:proofErr w:type="spellEnd"/>
      <w:r w:rsidRPr="00467DB0">
        <w:t xml:space="preserve"> overdraget.</w:t>
      </w:r>
    </w:p>
    <w:p w14:paraId="25D0CA05" w14:textId="77777777" w:rsidR="00000000" w:rsidRPr="00467DB0" w:rsidRDefault="00693D67" w:rsidP="00467DB0">
      <w:pPr>
        <w:pStyle w:val="friliste"/>
      </w:pPr>
      <w:r w:rsidRPr="00467DB0">
        <w:t>3.</w:t>
      </w:r>
      <w:r w:rsidRPr="00467DB0">
        <w:tab/>
      </w:r>
      <w:proofErr w:type="spellStart"/>
      <w:r w:rsidRPr="00467DB0">
        <w:t>Indtægter</w:t>
      </w:r>
      <w:proofErr w:type="spellEnd"/>
      <w:r w:rsidRPr="00467DB0">
        <w:t xml:space="preserve"> og </w:t>
      </w:r>
      <w:proofErr w:type="spellStart"/>
      <w:r w:rsidRPr="00467DB0">
        <w:t>udgifter</w:t>
      </w:r>
      <w:proofErr w:type="spellEnd"/>
      <w:r w:rsidRPr="00467DB0">
        <w:t xml:space="preserve"> skal </w:t>
      </w:r>
      <w:proofErr w:type="spellStart"/>
      <w:r w:rsidRPr="00467DB0">
        <w:t>balancere</w:t>
      </w:r>
      <w:proofErr w:type="spellEnd"/>
      <w:r w:rsidRPr="00467DB0">
        <w:t>.</w:t>
      </w:r>
    </w:p>
    <w:p w14:paraId="55E2DB49" w14:textId="77777777" w:rsidR="00000000" w:rsidRPr="00467DB0" w:rsidRDefault="00693D67" w:rsidP="00467DB0">
      <w:pPr>
        <w:pStyle w:val="friliste"/>
      </w:pPr>
      <w:r w:rsidRPr="00467DB0">
        <w:t>4.</w:t>
      </w:r>
      <w:r w:rsidRPr="00467DB0">
        <w:tab/>
        <w:t xml:space="preserve">Den administrerende direktør </w:t>
      </w:r>
      <w:proofErr w:type="spellStart"/>
      <w:r w:rsidRPr="00467DB0">
        <w:t>udarbejder</w:t>
      </w:r>
      <w:proofErr w:type="spellEnd"/>
      <w:r w:rsidRPr="00467DB0">
        <w:t xml:space="preserve"> i </w:t>
      </w:r>
      <w:proofErr w:type="spellStart"/>
      <w:r w:rsidRPr="00467DB0">
        <w:t>tæt</w:t>
      </w:r>
      <w:proofErr w:type="spellEnd"/>
      <w:r w:rsidRPr="00467DB0">
        <w:t xml:space="preserve"> </w:t>
      </w:r>
      <w:proofErr w:type="spellStart"/>
      <w:r w:rsidRPr="00467DB0">
        <w:t>samarbejde</w:t>
      </w:r>
      <w:proofErr w:type="spellEnd"/>
      <w:r w:rsidRPr="00467DB0">
        <w:t xml:space="preserve"> med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et </w:t>
      </w:r>
      <w:proofErr w:type="spellStart"/>
      <w:r w:rsidRPr="00467DB0">
        <w:t>udkast</w:t>
      </w:r>
      <w:proofErr w:type="spellEnd"/>
      <w:r w:rsidRPr="00467DB0">
        <w:t xml:space="preserve"> til overslag over agenturets </w:t>
      </w:r>
      <w:proofErr w:type="spellStart"/>
      <w:r w:rsidRPr="00467DB0">
        <w:t>indt</w:t>
      </w:r>
      <w:r w:rsidRPr="00467DB0">
        <w:t>ægter</w:t>
      </w:r>
      <w:proofErr w:type="spellEnd"/>
      <w:r w:rsidRPr="00467DB0">
        <w:t xml:space="preserve"> og </w:t>
      </w:r>
      <w:proofErr w:type="spellStart"/>
      <w:r w:rsidRPr="00467DB0">
        <w:t>udgifter</w:t>
      </w:r>
      <w:proofErr w:type="spellEnd"/>
      <w:r w:rsidRPr="00467DB0">
        <w:t xml:space="preserve"> for det følgende </w:t>
      </w:r>
      <w:proofErr w:type="spellStart"/>
      <w:r w:rsidRPr="00467DB0">
        <w:t>regnskabsår</w:t>
      </w:r>
      <w:proofErr w:type="spellEnd"/>
      <w:r w:rsidRPr="00467DB0">
        <w:t xml:space="preserve"> i forbindelse med de aktiviteter,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som klart </w:t>
      </w:r>
      <w:proofErr w:type="spellStart"/>
      <w:r w:rsidRPr="00467DB0">
        <w:t>skelner</w:t>
      </w:r>
      <w:proofErr w:type="spellEnd"/>
      <w:r w:rsidRPr="00467DB0">
        <w:t xml:space="preserve"> </w:t>
      </w:r>
      <w:proofErr w:type="spellStart"/>
      <w:r w:rsidRPr="00467DB0">
        <w:t>mellem</w:t>
      </w:r>
      <w:proofErr w:type="spellEnd"/>
      <w:r w:rsidRPr="00467DB0">
        <w:t xml:space="preserve"> de elementer i </w:t>
      </w:r>
      <w:proofErr w:type="spellStart"/>
      <w:r w:rsidRPr="00467DB0">
        <w:t>udkastet</w:t>
      </w:r>
      <w:proofErr w:type="spellEnd"/>
      <w:r w:rsidRPr="00467DB0">
        <w:t xml:space="preserve"> til overslag, som vedrører </w:t>
      </w:r>
      <w:proofErr w:type="spellStart"/>
      <w:r w:rsidRPr="00467DB0">
        <w:t>sikkerhedsgodkendelsesaktiviteter</w:t>
      </w:r>
      <w:proofErr w:type="spellEnd"/>
      <w:r w:rsidRPr="00467DB0">
        <w:t>, og dem, der vedrører ag</w:t>
      </w:r>
      <w:r w:rsidRPr="00467DB0">
        <w:t xml:space="preserve">enturets andre aktiviteter. </w:t>
      </w:r>
      <w:proofErr w:type="spellStart"/>
      <w:r w:rsidRPr="00467DB0">
        <w:t>Formanden</w:t>
      </w:r>
      <w:proofErr w:type="spellEnd"/>
      <w:r w:rsidRPr="00467DB0">
        <w:t xml:space="preserve"> for Komitéen for </w:t>
      </w:r>
      <w:proofErr w:type="spellStart"/>
      <w:r w:rsidRPr="00467DB0">
        <w:t>Sikkerhedsgodkendelse</w:t>
      </w:r>
      <w:proofErr w:type="spellEnd"/>
      <w:r w:rsidRPr="00467DB0">
        <w:t xml:space="preserve"> kan </w:t>
      </w:r>
      <w:proofErr w:type="spellStart"/>
      <w:r w:rsidRPr="00467DB0">
        <w:t>udarbejde</w:t>
      </w:r>
      <w:proofErr w:type="spellEnd"/>
      <w:r w:rsidRPr="00467DB0">
        <w:t xml:space="preserve"> en forklaring til dette </w:t>
      </w:r>
      <w:proofErr w:type="spellStart"/>
      <w:r w:rsidRPr="00467DB0">
        <w:t>udkast</w:t>
      </w:r>
      <w:proofErr w:type="spellEnd"/>
      <w:r w:rsidRPr="00467DB0">
        <w:t xml:space="preserve">, og den administrerende direktør fremsender både </w:t>
      </w:r>
      <w:proofErr w:type="spellStart"/>
      <w:r w:rsidRPr="00467DB0">
        <w:t>udkastet</w:t>
      </w:r>
      <w:proofErr w:type="spellEnd"/>
      <w:r w:rsidRPr="00467DB0">
        <w:t xml:space="preserve"> til overslag og forklaringen til bestyrelsen og til Komitéen for </w:t>
      </w:r>
      <w:proofErr w:type="spellStart"/>
      <w:r w:rsidRPr="00467DB0">
        <w:t>Sikkerhedsg</w:t>
      </w:r>
      <w:r w:rsidRPr="00467DB0">
        <w:t>odkendelse</w:t>
      </w:r>
      <w:proofErr w:type="spellEnd"/>
      <w:r w:rsidRPr="00467DB0">
        <w:t xml:space="preserve"> sammen med et </w:t>
      </w:r>
      <w:proofErr w:type="spellStart"/>
      <w:r w:rsidRPr="00467DB0">
        <w:t>udkast</w:t>
      </w:r>
      <w:proofErr w:type="spellEnd"/>
      <w:r w:rsidRPr="00467DB0">
        <w:t xml:space="preserve"> til stillingsfortegnelse.</w:t>
      </w:r>
    </w:p>
    <w:p w14:paraId="7B036592" w14:textId="77777777" w:rsidR="00000000" w:rsidRPr="00467DB0" w:rsidRDefault="00693D67" w:rsidP="00467DB0">
      <w:pPr>
        <w:pStyle w:val="friliste"/>
      </w:pPr>
      <w:r w:rsidRPr="00467DB0">
        <w:t>5.</w:t>
      </w:r>
      <w:r w:rsidRPr="00467DB0">
        <w:tab/>
        <w:t xml:space="preserve">Bestyrelsen </w:t>
      </w:r>
      <w:proofErr w:type="spellStart"/>
      <w:r w:rsidRPr="00467DB0">
        <w:t>udarbejder</w:t>
      </w:r>
      <w:proofErr w:type="spellEnd"/>
      <w:r w:rsidRPr="00467DB0">
        <w:t xml:space="preserve"> hvert år i </w:t>
      </w:r>
      <w:proofErr w:type="spellStart"/>
      <w:r w:rsidRPr="00467DB0">
        <w:t>tæt</w:t>
      </w:r>
      <w:proofErr w:type="spellEnd"/>
      <w:r w:rsidRPr="00467DB0">
        <w:t xml:space="preserve"> </w:t>
      </w:r>
      <w:proofErr w:type="spellStart"/>
      <w:r w:rsidRPr="00467DB0">
        <w:t>samarbejde</w:t>
      </w:r>
      <w:proofErr w:type="spellEnd"/>
      <w:r w:rsidRPr="00467DB0">
        <w:t xml:space="preserve"> med Komitéen for </w:t>
      </w:r>
      <w:proofErr w:type="spellStart"/>
      <w:r w:rsidRPr="00467DB0">
        <w:t>Sikkerhedsgodkendelse</w:t>
      </w:r>
      <w:proofErr w:type="spellEnd"/>
      <w:r w:rsidRPr="00467DB0">
        <w:t xml:space="preserve"> et overslag over agenturets </w:t>
      </w:r>
      <w:proofErr w:type="spellStart"/>
      <w:r w:rsidRPr="00467DB0">
        <w:t>indtægter</w:t>
      </w:r>
      <w:proofErr w:type="spellEnd"/>
      <w:r w:rsidRPr="00467DB0">
        <w:t xml:space="preserve"> og </w:t>
      </w:r>
      <w:proofErr w:type="spellStart"/>
      <w:r w:rsidRPr="00467DB0">
        <w:t>udgifter</w:t>
      </w:r>
      <w:proofErr w:type="spellEnd"/>
      <w:r w:rsidRPr="00467DB0">
        <w:t xml:space="preserve"> for det følgende </w:t>
      </w:r>
      <w:proofErr w:type="spellStart"/>
      <w:r w:rsidRPr="00467DB0">
        <w:t>regnskabsår</w:t>
      </w:r>
      <w:proofErr w:type="spellEnd"/>
      <w:r w:rsidRPr="00467DB0">
        <w:t xml:space="preserve"> i forbindelse med de aktivit</w:t>
      </w:r>
      <w:r w:rsidRPr="00467DB0">
        <w:t xml:space="preserve">eter,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udkastet</w:t>
      </w:r>
      <w:proofErr w:type="spellEnd"/>
      <w:r w:rsidRPr="00467DB0">
        <w:t xml:space="preserve"> til overslag over </w:t>
      </w:r>
      <w:proofErr w:type="spellStart"/>
      <w:r w:rsidRPr="00467DB0">
        <w:t>indtægter</w:t>
      </w:r>
      <w:proofErr w:type="spellEnd"/>
      <w:r w:rsidRPr="00467DB0">
        <w:t xml:space="preserve"> og </w:t>
      </w:r>
      <w:proofErr w:type="spellStart"/>
      <w:r w:rsidRPr="00467DB0">
        <w:t>udgifter</w:t>
      </w:r>
      <w:proofErr w:type="spellEnd"/>
      <w:r w:rsidRPr="00467DB0">
        <w:t>.</w:t>
      </w:r>
    </w:p>
    <w:p w14:paraId="4C5C7B03" w14:textId="77777777" w:rsidR="00000000" w:rsidRPr="00467DB0" w:rsidRDefault="00693D67" w:rsidP="00467DB0">
      <w:pPr>
        <w:pStyle w:val="friliste"/>
      </w:pPr>
      <w:r w:rsidRPr="00467DB0">
        <w:t>6.</w:t>
      </w:r>
      <w:r w:rsidRPr="00467DB0">
        <w:tab/>
        <w:t xml:space="preserve">Bestyrelsen fremsender senest den 31. januar hvert år et </w:t>
      </w:r>
      <w:proofErr w:type="spellStart"/>
      <w:r w:rsidRPr="00467DB0">
        <w:t>udkast</w:t>
      </w:r>
      <w:proofErr w:type="spellEnd"/>
      <w:r w:rsidRPr="00467DB0">
        <w:t xml:space="preserve"> til </w:t>
      </w:r>
      <w:proofErr w:type="spellStart"/>
      <w:r w:rsidRPr="00467DB0">
        <w:t>enhedsprogrammeringsdokument</w:t>
      </w:r>
      <w:proofErr w:type="spellEnd"/>
      <w:r w:rsidRPr="00467DB0">
        <w:t xml:space="preserve">, herunder et </w:t>
      </w:r>
      <w:proofErr w:type="spellStart"/>
      <w:r w:rsidRPr="00467DB0">
        <w:t>udkast</w:t>
      </w:r>
      <w:proofErr w:type="spellEnd"/>
      <w:r w:rsidRPr="00467DB0">
        <w:t xml:space="preserve"> til overslag, et </w:t>
      </w:r>
      <w:proofErr w:type="spellStart"/>
      <w:r w:rsidRPr="00467DB0">
        <w:t>udkast</w:t>
      </w:r>
      <w:proofErr w:type="spellEnd"/>
      <w:r w:rsidRPr="00467DB0">
        <w:t xml:space="preserve"> </w:t>
      </w:r>
      <w:r w:rsidRPr="00467DB0">
        <w:t xml:space="preserve">til stillingsfortegnelse og et </w:t>
      </w:r>
      <w:proofErr w:type="spellStart"/>
      <w:r w:rsidRPr="00467DB0">
        <w:t>foreløbigt</w:t>
      </w:r>
      <w:proofErr w:type="spellEnd"/>
      <w:r w:rsidRPr="00467DB0">
        <w:t xml:space="preserve"> </w:t>
      </w:r>
      <w:proofErr w:type="spellStart"/>
      <w:r w:rsidRPr="00467DB0">
        <w:t>årligt</w:t>
      </w:r>
      <w:proofErr w:type="spellEnd"/>
      <w:r w:rsidRPr="00467DB0">
        <w:t xml:space="preserve"> </w:t>
      </w:r>
      <w:proofErr w:type="spellStart"/>
      <w:r w:rsidRPr="00467DB0">
        <w:t>arbejdsprogram</w:t>
      </w:r>
      <w:proofErr w:type="spellEnd"/>
      <w:r w:rsidRPr="00467DB0">
        <w:t xml:space="preserve"> til </w:t>
      </w:r>
      <w:proofErr w:type="spellStart"/>
      <w:r w:rsidRPr="00467DB0">
        <w:t>Kommissionen</w:t>
      </w:r>
      <w:proofErr w:type="spellEnd"/>
      <w:r w:rsidRPr="00467DB0">
        <w:t xml:space="preserve"> og til de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organisationer</w:t>
      </w:r>
      <w:proofErr w:type="spellEnd"/>
      <w:r w:rsidRPr="00467DB0">
        <w:t xml:space="preserve">, med hvilke agenturet har </w:t>
      </w:r>
      <w:proofErr w:type="spellStart"/>
      <w:r w:rsidRPr="00467DB0">
        <w:t>indgået</w:t>
      </w:r>
      <w:proofErr w:type="spellEnd"/>
      <w:r w:rsidRPr="00467DB0">
        <w:t xml:space="preserve"> </w:t>
      </w:r>
      <w:proofErr w:type="spellStart"/>
      <w:r w:rsidRPr="00467DB0">
        <w:t>aftaler</w:t>
      </w:r>
      <w:proofErr w:type="spellEnd"/>
      <w:r w:rsidRPr="00467DB0">
        <w:t xml:space="preserve"> i overensstemmelse med </w:t>
      </w:r>
      <w:proofErr w:type="spellStart"/>
      <w:r w:rsidRPr="00467DB0">
        <w:t>artikel</w:t>
      </w:r>
      <w:proofErr w:type="spellEnd"/>
      <w:r w:rsidRPr="00467DB0">
        <w:t xml:space="preserve"> 98.</w:t>
      </w:r>
    </w:p>
    <w:p w14:paraId="12E80E5D" w14:textId="77777777" w:rsidR="00000000" w:rsidRPr="00467DB0" w:rsidRDefault="00693D67" w:rsidP="00467DB0">
      <w:pPr>
        <w:pStyle w:val="friliste"/>
      </w:pPr>
      <w:r w:rsidRPr="00467DB0">
        <w:t>7.</w:t>
      </w:r>
      <w:r w:rsidRPr="00467DB0">
        <w:tab/>
      </w:r>
      <w:proofErr w:type="spellStart"/>
      <w:r w:rsidRPr="00467DB0">
        <w:t>Kommissionen</w:t>
      </w:r>
      <w:proofErr w:type="spellEnd"/>
      <w:r w:rsidRPr="00467DB0">
        <w:t xml:space="preserve"> fremsender overslaget ov</w:t>
      </w:r>
      <w:r w:rsidRPr="00467DB0">
        <w:t xml:space="preserve">er </w:t>
      </w:r>
      <w:proofErr w:type="spellStart"/>
      <w:r w:rsidRPr="00467DB0">
        <w:t>indtægter</w:t>
      </w:r>
      <w:proofErr w:type="spellEnd"/>
      <w:r w:rsidRPr="00467DB0">
        <w:t xml:space="preserve"> og </w:t>
      </w:r>
      <w:proofErr w:type="spellStart"/>
      <w:r w:rsidRPr="00467DB0">
        <w:t>udgifter</w:t>
      </w:r>
      <w:proofErr w:type="spellEnd"/>
      <w:r w:rsidRPr="00467DB0">
        <w:t xml:space="preserve"> til Europa-Parlamentet og Rådet ("</w:t>
      </w:r>
      <w:proofErr w:type="spellStart"/>
      <w:r w:rsidRPr="00467DB0">
        <w:t>budgetmyndigheden</w:t>
      </w:r>
      <w:proofErr w:type="spellEnd"/>
      <w:r w:rsidRPr="00467DB0">
        <w:t xml:space="preserve">") sammen med forslaget til Den </w:t>
      </w:r>
      <w:proofErr w:type="spellStart"/>
      <w:r w:rsidRPr="00467DB0">
        <w:t>Europæiske</w:t>
      </w:r>
      <w:proofErr w:type="spellEnd"/>
      <w:r w:rsidRPr="00467DB0">
        <w:t xml:space="preserve"> Unions </w:t>
      </w:r>
      <w:proofErr w:type="spellStart"/>
      <w:r w:rsidRPr="00467DB0">
        <w:t>almindelige</w:t>
      </w:r>
      <w:proofErr w:type="spellEnd"/>
      <w:r w:rsidRPr="00467DB0">
        <w:t xml:space="preserve"> </w:t>
      </w:r>
      <w:proofErr w:type="spellStart"/>
      <w:r w:rsidRPr="00467DB0">
        <w:t>budget</w:t>
      </w:r>
      <w:proofErr w:type="spellEnd"/>
      <w:r w:rsidRPr="00467DB0">
        <w:t>.</w:t>
      </w:r>
    </w:p>
    <w:p w14:paraId="6B7BCB51" w14:textId="77777777" w:rsidR="00000000" w:rsidRPr="00467DB0" w:rsidRDefault="00693D67" w:rsidP="00467DB0">
      <w:pPr>
        <w:pStyle w:val="friliste"/>
      </w:pPr>
      <w:r w:rsidRPr="00467DB0">
        <w:t>8.</w:t>
      </w:r>
      <w:r w:rsidRPr="00467DB0">
        <w:tab/>
        <w:t xml:space="preserve">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udkastet</w:t>
      </w:r>
      <w:proofErr w:type="spellEnd"/>
      <w:r w:rsidRPr="00467DB0">
        <w:t xml:space="preserve"> til overslag </w:t>
      </w:r>
      <w:proofErr w:type="spellStart"/>
      <w:r w:rsidRPr="00467DB0">
        <w:t>opfører</w:t>
      </w:r>
      <w:proofErr w:type="spellEnd"/>
      <w:r w:rsidRPr="00467DB0">
        <w:t xml:space="preserve"> </w:t>
      </w:r>
      <w:proofErr w:type="spellStart"/>
      <w:r w:rsidRPr="00467DB0">
        <w:t>Kommissionen</w:t>
      </w:r>
      <w:proofErr w:type="spellEnd"/>
      <w:r w:rsidRPr="00467DB0">
        <w:t xml:space="preserve"> de overslag, som den </w:t>
      </w:r>
      <w:proofErr w:type="spellStart"/>
      <w:r w:rsidRPr="00467DB0">
        <w:t>finder</w:t>
      </w:r>
      <w:proofErr w:type="spellEnd"/>
      <w:r w:rsidRPr="00467DB0">
        <w:t xml:space="preserve"> nødvendige for stilli</w:t>
      </w:r>
      <w:r w:rsidRPr="00467DB0">
        <w:t xml:space="preserve">ngsfortegnelsen, og det </w:t>
      </w:r>
      <w:proofErr w:type="spellStart"/>
      <w:r w:rsidRPr="00467DB0">
        <w:t>tilskud</w:t>
      </w:r>
      <w:proofErr w:type="spellEnd"/>
      <w:r w:rsidRPr="00467DB0">
        <w:t xml:space="preserve">, der skal </w:t>
      </w:r>
      <w:proofErr w:type="spellStart"/>
      <w:r w:rsidRPr="00467DB0">
        <w:t>ydes</w:t>
      </w:r>
      <w:proofErr w:type="spellEnd"/>
      <w:r w:rsidRPr="00467DB0">
        <w:t xml:space="preserve"> over det </w:t>
      </w:r>
      <w:proofErr w:type="spellStart"/>
      <w:r w:rsidRPr="00467DB0">
        <w:t>almindelige</w:t>
      </w:r>
      <w:proofErr w:type="spellEnd"/>
      <w:r w:rsidRPr="00467DB0">
        <w:t xml:space="preserve"> </w:t>
      </w:r>
      <w:proofErr w:type="spellStart"/>
      <w:r w:rsidRPr="00467DB0">
        <w:t>budget</w:t>
      </w:r>
      <w:proofErr w:type="spellEnd"/>
      <w:r w:rsidRPr="00467DB0">
        <w:t xml:space="preserve">, i forslaget til Den </w:t>
      </w:r>
      <w:proofErr w:type="spellStart"/>
      <w:r w:rsidRPr="00467DB0">
        <w:t>Europæiske</w:t>
      </w:r>
      <w:proofErr w:type="spellEnd"/>
      <w:r w:rsidRPr="00467DB0">
        <w:t xml:space="preserve"> Unions </w:t>
      </w:r>
      <w:proofErr w:type="spellStart"/>
      <w:r w:rsidRPr="00467DB0">
        <w:t>almindelige</w:t>
      </w:r>
      <w:proofErr w:type="spellEnd"/>
      <w:r w:rsidRPr="00467DB0">
        <w:t xml:space="preserve"> </w:t>
      </w:r>
      <w:proofErr w:type="spellStart"/>
      <w:r w:rsidRPr="00467DB0">
        <w:t>budget</w:t>
      </w:r>
      <w:proofErr w:type="spellEnd"/>
      <w:r w:rsidRPr="00467DB0">
        <w:t xml:space="preserve">. </w:t>
      </w:r>
      <w:proofErr w:type="spellStart"/>
      <w:r w:rsidRPr="00467DB0">
        <w:t>Kommissionen</w:t>
      </w:r>
      <w:proofErr w:type="spellEnd"/>
      <w:r w:rsidRPr="00467DB0">
        <w:t xml:space="preserve"> </w:t>
      </w:r>
      <w:proofErr w:type="spellStart"/>
      <w:r w:rsidRPr="00467DB0">
        <w:t>forelægger</w:t>
      </w:r>
      <w:proofErr w:type="spellEnd"/>
      <w:r w:rsidRPr="00467DB0">
        <w:t xml:space="preserve"> forslaget til Den </w:t>
      </w:r>
      <w:proofErr w:type="spellStart"/>
      <w:r w:rsidRPr="00467DB0">
        <w:t>Europæiske</w:t>
      </w:r>
      <w:proofErr w:type="spellEnd"/>
      <w:r w:rsidRPr="00467DB0">
        <w:t xml:space="preserve"> Unions </w:t>
      </w:r>
      <w:proofErr w:type="spellStart"/>
      <w:r w:rsidRPr="00467DB0">
        <w:t>almindelige</w:t>
      </w:r>
      <w:proofErr w:type="spellEnd"/>
      <w:r w:rsidRPr="00467DB0">
        <w:t xml:space="preserve"> </w:t>
      </w:r>
      <w:proofErr w:type="spellStart"/>
      <w:r w:rsidRPr="00467DB0">
        <w:t>budget</w:t>
      </w:r>
      <w:proofErr w:type="spellEnd"/>
      <w:r w:rsidRPr="00467DB0">
        <w:t xml:space="preserve"> for </w:t>
      </w:r>
      <w:proofErr w:type="spellStart"/>
      <w:r w:rsidRPr="00467DB0">
        <w:t>budgetmyndigheden</w:t>
      </w:r>
      <w:proofErr w:type="spellEnd"/>
      <w:r w:rsidRPr="00467DB0">
        <w:t xml:space="preserve"> i overensstemmelse me</w:t>
      </w:r>
      <w:r w:rsidRPr="00467DB0">
        <w:t xml:space="preserve">d </w:t>
      </w:r>
      <w:proofErr w:type="spellStart"/>
      <w:r w:rsidRPr="00467DB0">
        <w:t>artikel</w:t>
      </w:r>
      <w:proofErr w:type="spellEnd"/>
      <w:r w:rsidRPr="00467DB0">
        <w:t> 314 i TEUF.</w:t>
      </w:r>
    </w:p>
    <w:p w14:paraId="0733D1D9" w14:textId="77777777" w:rsidR="00000000" w:rsidRPr="00467DB0" w:rsidRDefault="00693D67" w:rsidP="00467DB0">
      <w:pPr>
        <w:pStyle w:val="friliste"/>
      </w:pPr>
      <w:r w:rsidRPr="00467DB0">
        <w:t>9.</w:t>
      </w:r>
      <w:r w:rsidRPr="00467DB0">
        <w:tab/>
      </w:r>
      <w:proofErr w:type="spellStart"/>
      <w:r w:rsidRPr="00467DB0">
        <w:t>Budgetmyndigheden</w:t>
      </w:r>
      <w:proofErr w:type="spellEnd"/>
      <w:r w:rsidRPr="00467DB0">
        <w:t xml:space="preserve"> </w:t>
      </w:r>
      <w:proofErr w:type="spellStart"/>
      <w:r w:rsidRPr="00467DB0">
        <w:t>godkender</w:t>
      </w:r>
      <w:proofErr w:type="spellEnd"/>
      <w:r w:rsidRPr="00467DB0">
        <w:t xml:space="preserve"> </w:t>
      </w:r>
      <w:proofErr w:type="spellStart"/>
      <w:r w:rsidRPr="00467DB0">
        <w:t>bevillingerne</w:t>
      </w:r>
      <w:proofErr w:type="spellEnd"/>
      <w:r w:rsidRPr="00467DB0">
        <w:t xml:space="preserve"> til bidrag til agenturet og </w:t>
      </w:r>
      <w:proofErr w:type="spellStart"/>
      <w:r w:rsidRPr="00467DB0">
        <w:t>vedtager</w:t>
      </w:r>
      <w:proofErr w:type="spellEnd"/>
      <w:r w:rsidRPr="00467DB0">
        <w:t xml:space="preserve"> agenturets stillingsfortegnelse.</w:t>
      </w:r>
    </w:p>
    <w:p w14:paraId="6A062934" w14:textId="77777777" w:rsidR="00000000" w:rsidRPr="00467DB0" w:rsidRDefault="00693D67" w:rsidP="00467DB0">
      <w:pPr>
        <w:pStyle w:val="friliste"/>
      </w:pPr>
      <w:r w:rsidRPr="00467DB0">
        <w:lastRenderedPageBreak/>
        <w:t>10.</w:t>
      </w:r>
      <w:r w:rsidRPr="00467DB0">
        <w:tab/>
      </w:r>
      <w:proofErr w:type="spellStart"/>
      <w:r w:rsidRPr="00467DB0">
        <w:t>Budgettet</w:t>
      </w:r>
      <w:proofErr w:type="spellEnd"/>
      <w:r w:rsidRPr="00467DB0">
        <w:t xml:space="preserve"> </w:t>
      </w:r>
      <w:proofErr w:type="spellStart"/>
      <w:r w:rsidRPr="00467DB0">
        <w:t>vedtages</w:t>
      </w:r>
      <w:proofErr w:type="spellEnd"/>
      <w:r w:rsidRPr="00467DB0">
        <w:t xml:space="preserve"> </w:t>
      </w:r>
      <w:proofErr w:type="spellStart"/>
      <w:r w:rsidRPr="00467DB0">
        <w:t>af</w:t>
      </w:r>
      <w:proofErr w:type="spellEnd"/>
      <w:r w:rsidRPr="00467DB0">
        <w:t xml:space="preserve"> bestyrelsen. </w:t>
      </w:r>
      <w:proofErr w:type="spellStart"/>
      <w:r w:rsidRPr="00467DB0">
        <w:t>Budgettet</w:t>
      </w:r>
      <w:proofErr w:type="spellEnd"/>
      <w:r w:rsidRPr="00467DB0">
        <w:t xml:space="preserve"> bliver </w:t>
      </w:r>
      <w:proofErr w:type="spellStart"/>
      <w:r w:rsidRPr="00467DB0">
        <w:t>endeligt</w:t>
      </w:r>
      <w:proofErr w:type="spellEnd"/>
      <w:r w:rsidRPr="00467DB0">
        <w:t xml:space="preserve"> efter den endelige vedtagelse </w:t>
      </w:r>
      <w:proofErr w:type="spellStart"/>
      <w:r w:rsidRPr="00467DB0">
        <w:t>af</w:t>
      </w:r>
      <w:proofErr w:type="spellEnd"/>
      <w:r w:rsidRPr="00467DB0">
        <w:t xml:space="preserve"> Den </w:t>
      </w:r>
      <w:proofErr w:type="spellStart"/>
      <w:r w:rsidRPr="00467DB0">
        <w:t>Europæiske</w:t>
      </w:r>
      <w:proofErr w:type="spellEnd"/>
      <w:r w:rsidRPr="00467DB0">
        <w:t xml:space="preserve"> Unions</w:t>
      </w:r>
      <w:r w:rsidRPr="00467DB0">
        <w:t xml:space="preserve"> </w:t>
      </w:r>
      <w:proofErr w:type="spellStart"/>
      <w:r w:rsidRPr="00467DB0">
        <w:t>almindelige</w:t>
      </w:r>
      <w:proofErr w:type="spellEnd"/>
      <w:r w:rsidRPr="00467DB0">
        <w:t xml:space="preserve"> </w:t>
      </w:r>
      <w:proofErr w:type="spellStart"/>
      <w:r w:rsidRPr="00467DB0">
        <w:t>budget</w:t>
      </w:r>
      <w:proofErr w:type="spellEnd"/>
      <w:r w:rsidRPr="00467DB0">
        <w:t xml:space="preserve">. </w:t>
      </w:r>
      <w:proofErr w:type="spellStart"/>
      <w:r w:rsidRPr="00467DB0">
        <w:t>Budgettet</w:t>
      </w:r>
      <w:proofErr w:type="spellEnd"/>
      <w:r w:rsidRPr="00467DB0">
        <w:t xml:space="preserve"> justeres om </w:t>
      </w:r>
      <w:proofErr w:type="spellStart"/>
      <w:r w:rsidRPr="00467DB0">
        <w:t>nødvendigt</w:t>
      </w:r>
      <w:proofErr w:type="spellEnd"/>
      <w:r w:rsidRPr="00467DB0">
        <w:t xml:space="preserve"> i overensstemmelse hermed.</w:t>
      </w:r>
    </w:p>
    <w:p w14:paraId="096792A6" w14:textId="77777777" w:rsidR="00000000" w:rsidRPr="00467DB0" w:rsidRDefault="00693D67" w:rsidP="00467DB0">
      <w:pPr>
        <w:pStyle w:val="friliste"/>
      </w:pPr>
      <w:r w:rsidRPr="00467DB0">
        <w:t>11.</w:t>
      </w:r>
      <w:r w:rsidRPr="00467DB0">
        <w:tab/>
        <w:t xml:space="preserve">Bestyrelsen meddeler hurtigst </w:t>
      </w:r>
      <w:proofErr w:type="spellStart"/>
      <w:r w:rsidRPr="00467DB0">
        <w:t>muligt</w:t>
      </w:r>
      <w:proofErr w:type="spellEnd"/>
      <w:r w:rsidRPr="00467DB0">
        <w:t xml:space="preserve"> </w:t>
      </w:r>
      <w:proofErr w:type="spellStart"/>
      <w:r w:rsidRPr="00467DB0">
        <w:t>budgetmyndigheden</w:t>
      </w:r>
      <w:proofErr w:type="spellEnd"/>
      <w:r w:rsidRPr="00467DB0">
        <w:t xml:space="preserve"> alle </w:t>
      </w:r>
      <w:proofErr w:type="spellStart"/>
      <w:r w:rsidRPr="00467DB0">
        <w:t>påtænkte</w:t>
      </w:r>
      <w:proofErr w:type="spellEnd"/>
      <w:r w:rsidRPr="00467DB0">
        <w:t xml:space="preserve"> </w:t>
      </w:r>
      <w:proofErr w:type="spellStart"/>
      <w:r w:rsidRPr="00467DB0">
        <w:t>projekter</w:t>
      </w:r>
      <w:proofErr w:type="spellEnd"/>
      <w:r w:rsidRPr="00467DB0">
        <w:t xml:space="preserve">, som får betydelige økonomiske følger for finansieringen </w:t>
      </w:r>
      <w:proofErr w:type="spellStart"/>
      <w:r w:rsidRPr="00467DB0">
        <w:t>af</w:t>
      </w:r>
      <w:proofErr w:type="spellEnd"/>
      <w:r w:rsidRPr="00467DB0">
        <w:t xml:space="preserve"> </w:t>
      </w:r>
      <w:proofErr w:type="spellStart"/>
      <w:r w:rsidRPr="00467DB0">
        <w:t>budgettet</w:t>
      </w:r>
      <w:proofErr w:type="spellEnd"/>
      <w:r w:rsidRPr="00467DB0">
        <w:t xml:space="preserve">, navnlig </w:t>
      </w:r>
      <w:proofErr w:type="spellStart"/>
      <w:r w:rsidRPr="00467DB0">
        <w:t>projekter</w:t>
      </w:r>
      <w:proofErr w:type="spellEnd"/>
      <w:r w:rsidRPr="00467DB0">
        <w:t xml:space="preserve"> </w:t>
      </w:r>
      <w:proofErr w:type="gramStart"/>
      <w:r w:rsidRPr="00467DB0">
        <w:t>ved</w:t>
      </w:r>
      <w:r w:rsidRPr="00467DB0">
        <w:t>rørende</w:t>
      </w:r>
      <w:proofErr w:type="gramEnd"/>
      <w:r w:rsidRPr="00467DB0">
        <w:t xml:space="preserve"> fast </w:t>
      </w:r>
      <w:proofErr w:type="spellStart"/>
      <w:r w:rsidRPr="00467DB0">
        <w:t>ejendom</w:t>
      </w:r>
      <w:proofErr w:type="spellEnd"/>
      <w:r w:rsidRPr="00467DB0">
        <w:t xml:space="preserve">, såsom </w:t>
      </w:r>
      <w:proofErr w:type="spellStart"/>
      <w:r w:rsidRPr="00467DB0">
        <w:t>leje</w:t>
      </w:r>
      <w:proofErr w:type="spellEnd"/>
      <w:r w:rsidRPr="00467DB0">
        <w:t xml:space="preserve"> eller </w:t>
      </w:r>
      <w:proofErr w:type="spellStart"/>
      <w:r w:rsidRPr="00467DB0">
        <w:t>erhvervelse</w:t>
      </w:r>
      <w:proofErr w:type="spellEnd"/>
      <w:r w:rsidRPr="00467DB0">
        <w:t xml:space="preserve"> </w:t>
      </w:r>
      <w:proofErr w:type="spellStart"/>
      <w:r w:rsidRPr="00467DB0">
        <w:t>af</w:t>
      </w:r>
      <w:proofErr w:type="spellEnd"/>
      <w:r w:rsidRPr="00467DB0">
        <w:t xml:space="preserve"> </w:t>
      </w:r>
      <w:proofErr w:type="spellStart"/>
      <w:r w:rsidRPr="00467DB0">
        <w:t>ejendomme</w:t>
      </w:r>
      <w:proofErr w:type="spellEnd"/>
      <w:r w:rsidRPr="00467DB0">
        <w:t xml:space="preserve">. Den underretter </w:t>
      </w:r>
      <w:proofErr w:type="spellStart"/>
      <w:r w:rsidRPr="00467DB0">
        <w:t>Kommissionen</w:t>
      </w:r>
      <w:proofErr w:type="spellEnd"/>
      <w:r w:rsidRPr="00467DB0">
        <w:t xml:space="preserve"> herom.</w:t>
      </w:r>
    </w:p>
    <w:p w14:paraId="6571AD37" w14:textId="77777777" w:rsidR="00000000" w:rsidRPr="00467DB0" w:rsidRDefault="00693D67" w:rsidP="00467DB0">
      <w:pPr>
        <w:pStyle w:val="friliste"/>
      </w:pPr>
      <w:r w:rsidRPr="00467DB0">
        <w:t>12.</w:t>
      </w:r>
      <w:r w:rsidRPr="00467DB0">
        <w:tab/>
        <w:t xml:space="preserve">Når en </w:t>
      </w:r>
      <w:proofErr w:type="spellStart"/>
      <w:r w:rsidRPr="00467DB0">
        <w:t>af</w:t>
      </w:r>
      <w:proofErr w:type="spellEnd"/>
      <w:r w:rsidRPr="00467DB0">
        <w:t xml:space="preserve"> </w:t>
      </w:r>
      <w:proofErr w:type="spellStart"/>
      <w:r w:rsidRPr="00467DB0">
        <w:t>budgetmyndighedens</w:t>
      </w:r>
      <w:proofErr w:type="spellEnd"/>
      <w:r w:rsidRPr="00467DB0">
        <w:t xml:space="preserve"> parter har meddelt, at den </w:t>
      </w:r>
      <w:proofErr w:type="spellStart"/>
      <w:r w:rsidRPr="00467DB0">
        <w:t>agter</w:t>
      </w:r>
      <w:proofErr w:type="spellEnd"/>
      <w:r w:rsidRPr="00467DB0">
        <w:t xml:space="preserve"> at </w:t>
      </w:r>
      <w:proofErr w:type="spellStart"/>
      <w:r w:rsidRPr="00467DB0">
        <w:t>fremsætte</w:t>
      </w:r>
      <w:proofErr w:type="spellEnd"/>
      <w:r w:rsidRPr="00467DB0">
        <w:t xml:space="preserve"> en </w:t>
      </w:r>
      <w:proofErr w:type="spellStart"/>
      <w:r w:rsidRPr="00467DB0">
        <w:t>udtalelse</w:t>
      </w:r>
      <w:proofErr w:type="spellEnd"/>
      <w:r w:rsidRPr="00467DB0">
        <w:t xml:space="preserve">, sender den </w:t>
      </w:r>
      <w:proofErr w:type="spellStart"/>
      <w:r w:rsidRPr="00467DB0">
        <w:t>udtalelsen</w:t>
      </w:r>
      <w:proofErr w:type="spellEnd"/>
      <w:r w:rsidRPr="00467DB0">
        <w:t xml:space="preserve"> til bestyrelsen </w:t>
      </w:r>
      <w:proofErr w:type="spellStart"/>
      <w:r w:rsidRPr="00467DB0">
        <w:t>inden</w:t>
      </w:r>
      <w:proofErr w:type="spellEnd"/>
      <w:r w:rsidRPr="00467DB0">
        <w:t xml:space="preserve"> for en frist på se</w:t>
      </w:r>
      <w:r w:rsidRPr="00467DB0">
        <w:t xml:space="preserve">ks </w:t>
      </w:r>
      <w:proofErr w:type="spellStart"/>
      <w:r w:rsidRPr="00467DB0">
        <w:t>uger</w:t>
      </w:r>
      <w:proofErr w:type="spellEnd"/>
      <w:r w:rsidRPr="00467DB0">
        <w:t xml:space="preserve"> regnet fra underretningen om </w:t>
      </w:r>
      <w:proofErr w:type="spellStart"/>
      <w:r w:rsidRPr="00467DB0">
        <w:t>projektet</w:t>
      </w:r>
      <w:proofErr w:type="spellEnd"/>
      <w:r w:rsidRPr="00467DB0">
        <w:t>.</w:t>
      </w:r>
    </w:p>
    <w:p w14:paraId="550EF8B0" w14:textId="77777777" w:rsidR="00000000" w:rsidRPr="00467DB0" w:rsidRDefault="00693D67" w:rsidP="00467DB0">
      <w:pPr>
        <w:pStyle w:val="avsnitt-undertittel"/>
      </w:pPr>
      <w:proofErr w:type="spellStart"/>
      <w:r w:rsidRPr="00467DB0">
        <w:t>Artikel</w:t>
      </w:r>
      <w:proofErr w:type="spellEnd"/>
      <w:r w:rsidRPr="00467DB0">
        <w:t xml:space="preserve"> 85</w:t>
      </w:r>
    </w:p>
    <w:p w14:paraId="3A674C62" w14:textId="77777777" w:rsidR="00000000" w:rsidRPr="00467DB0" w:rsidRDefault="00693D67" w:rsidP="00467DB0">
      <w:pPr>
        <w:pStyle w:val="Undertittel"/>
      </w:pPr>
      <w:proofErr w:type="spellStart"/>
      <w:r w:rsidRPr="00467DB0">
        <w:t>Gennemførelse</w:t>
      </w:r>
      <w:proofErr w:type="spellEnd"/>
      <w:r w:rsidRPr="00467DB0">
        <w:t xml:space="preserve"> </w:t>
      </w:r>
      <w:proofErr w:type="spellStart"/>
      <w:r w:rsidRPr="00467DB0">
        <w:t>af</w:t>
      </w:r>
      <w:proofErr w:type="spellEnd"/>
      <w:r w:rsidRPr="00467DB0">
        <w:t xml:space="preserve"> agenturets </w:t>
      </w:r>
      <w:proofErr w:type="spellStart"/>
      <w:r w:rsidRPr="00467DB0">
        <w:t>budget</w:t>
      </w:r>
      <w:proofErr w:type="spellEnd"/>
    </w:p>
    <w:p w14:paraId="27EA1A47" w14:textId="77777777" w:rsidR="00000000" w:rsidRPr="00467DB0" w:rsidRDefault="00693D67" w:rsidP="00467DB0">
      <w:pPr>
        <w:pStyle w:val="friliste"/>
      </w:pPr>
      <w:r w:rsidRPr="00467DB0">
        <w:t>1.</w:t>
      </w:r>
      <w:r w:rsidRPr="00467DB0">
        <w:tab/>
        <w:t xml:space="preserve">Den administrerende direktør </w:t>
      </w:r>
      <w:proofErr w:type="spellStart"/>
      <w:r w:rsidRPr="00467DB0">
        <w:t>gennemfører</w:t>
      </w:r>
      <w:proofErr w:type="spellEnd"/>
      <w:r w:rsidRPr="00467DB0">
        <w:t xml:space="preserve"> agenturets </w:t>
      </w:r>
      <w:proofErr w:type="spellStart"/>
      <w:r w:rsidRPr="00467DB0">
        <w:t>budget</w:t>
      </w:r>
      <w:proofErr w:type="spellEnd"/>
      <w:r w:rsidRPr="00467DB0">
        <w:t>.</w:t>
      </w:r>
    </w:p>
    <w:p w14:paraId="5AFEE4FE" w14:textId="77777777" w:rsidR="00000000" w:rsidRPr="00467DB0" w:rsidRDefault="00693D67" w:rsidP="00467DB0">
      <w:pPr>
        <w:pStyle w:val="friliste"/>
      </w:pPr>
      <w:r w:rsidRPr="00467DB0">
        <w:t>2.</w:t>
      </w:r>
      <w:r w:rsidRPr="00467DB0">
        <w:tab/>
        <w:t xml:space="preserve">Hvert år meddeler den administrerende direktør </w:t>
      </w:r>
      <w:proofErr w:type="spellStart"/>
      <w:r w:rsidRPr="00467DB0">
        <w:t>budgetmyndigheden</w:t>
      </w:r>
      <w:proofErr w:type="spellEnd"/>
      <w:r w:rsidRPr="00467DB0">
        <w:t xml:space="preserve"> alle de </w:t>
      </w:r>
      <w:proofErr w:type="spellStart"/>
      <w:r w:rsidRPr="00467DB0">
        <w:t>oplysninger</w:t>
      </w:r>
      <w:proofErr w:type="spellEnd"/>
      <w:r w:rsidRPr="00467DB0">
        <w:t>, som er nød</w:t>
      </w:r>
      <w:r w:rsidRPr="00467DB0">
        <w:t xml:space="preserve">vendige for </w:t>
      </w:r>
      <w:proofErr w:type="spellStart"/>
      <w:r w:rsidRPr="00467DB0">
        <w:t>udførelsen</w:t>
      </w:r>
      <w:proofErr w:type="spellEnd"/>
      <w:r w:rsidRPr="00467DB0">
        <w:t xml:space="preserve"> </w:t>
      </w:r>
      <w:proofErr w:type="spellStart"/>
      <w:r w:rsidRPr="00467DB0">
        <w:t>af</w:t>
      </w:r>
      <w:proofErr w:type="spellEnd"/>
      <w:r w:rsidRPr="00467DB0">
        <w:t xml:space="preserve"> deres </w:t>
      </w:r>
      <w:proofErr w:type="spellStart"/>
      <w:r w:rsidRPr="00467DB0">
        <w:t>evalueringsopgaver</w:t>
      </w:r>
      <w:proofErr w:type="spellEnd"/>
      <w:r w:rsidRPr="00467DB0">
        <w:t>.</w:t>
      </w:r>
    </w:p>
    <w:p w14:paraId="7FA3BDE2" w14:textId="77777777" w:rsidR="00000000" w:rsidRPr="00467DB0" w:rsidRDefault="00693D67" w:rsidP="00467DB0">
      <w:pPr>
        <w:pStyle w:val="avsnitt-undertittel"/>
      </w:pPr>
      <w:proofErr w:type="spellStart"/>
      <w:r w:rsidRPr="00467DB0">
        <w:t>Artikel</w:t>
      </w:r>
      <w:proofErr w:type="spellEnd"/>
      <w:r w:rsidRPr="00467DB0">
        <w:t xml:space="preserve"> 86</w:t>
      </w:r>
    </w:p>
    <w:p w14:paraId="47B89098" w14:textId="77777777" w:rsidR="00000000" w:rsidRPr="00467DB0" w:rsidRDefault="00693D67" w:rsidP="00467DB0">
      <w:pPr>
        <w:pStyle w:val="Undertittel"/>
      </w:pPr>
      <w:proofErr w:type="spellStart"/>
      <w:r w:rsidRPr="00467DB0">
        <w:t>Regnskabsaflæggelse</w:t>
      </w:r>
      <w:proofErr w:type="spellEnd"/>
      <w:r w:rsidRPr="00467DB0">
        <w:t xml:space="preserve"> og decharge for agenturet</w:t>
      </w:r>
    </w:p>
    <w:p w14:paraId="0E8FFD0D" w14:textId="77777777" w:rsidR="00000000" w:rsidRPr="00467DB0" w:rsidRDefault="00693D67" w:rsidP="00467DB0">
      <w:proofErr w:type="spellStart"/>
      <w:r w:rsidRPr="00467DB0">
        <w:t>Aflæggelsen</w:t>
      </w:r>
      <w:proofErr w:type="spellEnd"/>
      <w:r w:rsidRPr="00467DB0">
        <w:t xml:space="preserve"> </w:t>
      </w:r>
      <w:proofErr w:type="spellStart"/>
      <w:r w:rsidRPr="00467DB0">
        <w:t>af</w:t>
      </w:r>
      <w:proofErr w:type="spellEnd"/>
      <w:r w:rsidRPr="00467DB0">
        <w:t xml:space="preserve"> agenturets </w:t>
      </w:r>
      <w:proofErr w:type="spellStart"/>
      <w:r w:rsidRPr="00467DB0">
        <w:t>foreløbige</w:t>
      </w:r>
      <w:proofErr w:type="spellEnd"/>
      <w:r w:rsidRPr="00467DB0">
        <w:t xml:space="preserve"> og endelige </w:t>
      </w:r>
      <w:proofErr w:type="spellStart"/>
      <w:r w:rsidRPr="00467DB0">
        <w:t>regnskab</w:t>
      </w:r>
      <w:proofErr w:type="spellEnd"/>
      <w:r w:rsidRPr="00467DB0">
        <w:t xml:space="preserve"> og decharge foregår i overensstemmelse med </w:t>
      </w:r>
      <w:proofErr w:type="spellStart"/>
      <w:r w:rsidRPr="00467DB0">
        <w:t>bestemmelserne</w:t>
      </w:r>
      <w:proofErr w:type="spellEnd"/>
      <w:r w:rsidRPr="00467DB0">
        <w:t xml:space="preserve"> og tidsplanen i finansforordnin</w:t>
      </w:r>
      <w:r w:rsidRPr="00467DB0">
        <w:t xml:space="preserve">gen og rammefinansforordningen for de organer, der er omhandlet i finansforordningens </w:t>
      </w:r>
      <w:proofErr w:type="spellStart"/>
      <w:r w:rsidRPr="00467DB0">
        <w:t>artikel</w:t>
      </w:r>
      <w:proofErr w:type="spellEnd"/>
      <w:r w:rsidRPr="00467DB0">
        <w:t xml:space="preserve"> 70.</w:t>
      </w:r>
    </w:p>
    <w:p w14:paraId="44EB896E" w14:textId="77777777" w:rsidR="00000000" w:rsidRPr="00467DB0" w:rsidRDefault="00693D67" w:rsidP="00467DB0">
      <w:pPr>
        <w:pStyle w:val="avsnitt-undertittel"/>
      </w:pPr>
      <w:proofErr w:type="spellStart"/>
      <w:r w:rsidRPr="00467DB0">
        <w:t>Artikel</w:t>
      </w:r>
      <w:proofErr w:type="spellEnd"/>
      <w:r w:rsidRPr="00467DB0">
        <w:t xml:space="preserve"> 87</w:t>
      </w:r>
    </w:p>
    <w:p w14:paraId="1B041329" w14:textId="77777777" w:rsidR="00000000" w:rsidRPr="00467DB0" w:rsidRDefault="00693D67" w:rsidP="00467DB0">
      <w:pPr>
        <w:pStyle w:val="Undertittel"/>
      </w:pPr>
      <w:r w:rsidRPr="00467DB0">
        <w:t xml:space="preserve">Finansielle bestemmelser </w:t>
      </w:r>
      <w:proofErr w:type="gramStart"/>
      <w:r w:rsidRPr="00467DB0">
        <w:t>vedrørende</w:t>
      </w:r>
      <w:proofErr w:type="gramEnd"/>
      <w:r w:rsidRPr="00467DB0">
        <w:t xml:space="preserve"> agenturet</w:t>
      </w:r>
    </w:p>
    <w:p w14:paraId="065FC957" w14:textId="77777777" w:rsidR="00000000" w:rsidRPr="00467DB0" w:rsidRDefault="00693D67" w:rsidP="00467DB0">
      <w:r w:rsidRPr="00467DB0">
        <w:t xml:space="preserve">De for agenturet </w:t>
      </w:r>
      <w:proofErr w:type="spellStart"/>
      <w:r w:rsidRPr="00467DB0">
        <w:t>gæl</w:t>
      </w:r>
      <w:r w:rsidRPr="00467DB0">
        <w:t>dende</w:t>
      </w:r>
      <w:proofErr w:type="spellEnd"/>
      <w:r w:rsidRPr="00467DB0">
        <w:t xml:space="preserve"> finansielle bestemmelser </w:t>
      </w:r>
      <w:proofErr w:type="spellStart"/>
      <w:r w:rsidRPr="00467DB0">
        <w:t>vedtages</w:t>
      </w:r>
      <w:proofErr w:type="spellEnd"/>
      <w:r w:rsidRPr="00467DB0">
        <w:t xml:space="preserve"> </w:t>
      </w:r>
      <w:proofErr w:type="spellStart"/>
      <w:r w:rsidRPr="00467DB0">
        <w:t>af</w:t>
      </w:r>
      <w:proofErr w:type="spellEnd"/>
      <w:r w:rsidRPr="00467DB0">
        <w:t xml:space="preserve"> bestyrelsen efter høring </w:t>
      </w:r>
      <w:proofErr w:type="spellStart"/>
      <w:r w:rsidRPr="00467DB0">
        <w:t>af</w:t>
      </w:r>
      <w:proofErr w:type="spellEnd"/>
      <w:r w:rsidRPr="00467DB0">
        <w:t xml:space="preserve"> </w:t>
      </w:r>
      <w:proofErr w:type="spellStart"/>
      <w:r w:rsidRPr="00467DB0">
        <w:t>Kommissionen</w:t>
      </w:r>
      <w:proofErr w:type="spellEnd"/>
      <w:r w:rsidRPr="00467DB0">
        <w:t xml:space="preserve">. </w:t>
      </w:r>
      <w:proofErr w:type="spellStart"/>
      <w:r w:rsidRPr="00467DB0">
        <w:t>Nævnte</w:t>
      </w:r>
      <w:proofErr w:type="spellEnd"/>
      <w:r w:rsidRPr="00467DB0">
        <w:t xml:space="preserve"> bestemmelser må ikke </w:t>
      </w:r>
      <w:proofErr w:type="spellStart"/>
      <w:r w:rsidRPr="00467DB0">
        <w:t>afvige</w:t>
      </w:r>
      <w:proofErr w:type="spellEnd"/>
      <w:r w:rsidRPr="00467DB0">
        <w:t xml:space="preserve"> fra rammefinansforordningen for de organer, der er omhandlet i finansforordningens </w:t>
      </w:r>
      <w:proofErr w:type="spellStart"/>
      <w:r w:rsidRPr="00467DB0">
        <w:t>artikel</w:t>
      </w:r>
      <w:proofErr w:type="spellEnd"/>
      <w:r w:rsidRPr="00467DB0">
        <w:t xml:space="preserve"> 70, </w:t>
      </w:r>
      <w:proofErr w:type="gramStart"/>
      <w:r w:rsidRPr="00467DB0">
        <w:t>medmindre</w:t>
      </w:r>
      <w:proofErr w:type="gramEnd"/>
      <w:r w:rsidRPr="00467DB0">
        <w:t xml:space="preserve"> en sådan </w:t>
      </w:r>
      <w:proofErr w:type="spellStart"/>
      <w:r w:rsidRPr="00467DB0">
        <w:t>afvigelse</w:t>
      </w:r>
      <w:proofErr w:type="spellEnd"/>
      <w:r w:rsidRPr="00467DB0">
        <w:t xml:space="preserve"> er strengt </w:t>
      </w:r>
      <w:proofErr w:type="spellStart"/>
      <w:r w:rsidRPr="00467DB0">
        <w:t>n</w:t>
      </w:r>
      <w:r w:rsidRPr="00467DB0">
        <w:t>ødvendigt</w:t>
      </w:r>
      <w:proofErr w:type="spellEnd"/>
      <w:r w:rsidRPr="00467DB0">
        <w:t xml:space="preserve"> for agenturets drift, og </w:t>
      </w:r>
      <w:proofErr w:type="spellStart"/>
      <w:r w:rsidRPr="00467DB0">
        <w:t>Kommissionen</w:t>
      </w:r>
      <w:proofErr w:type="spellEnd"/>
      <w:r w:rsidRPr="00467DB0">
        <w:t xml:space="preserve"> på forhånd har </w:t>
      </w:r>
      <w:proofErr w:type="spellStart"/>
      <w:r w:rsidRPr="00467DB0">
        <w:t>givet</w:t>
      </w:r>
      <w:proofErr w:type="spellEnd"/>
      <w:r w:rsidRPr="00467DB0">
        <w:t xml:space="preserve"> </w:t>
      </w:r>
      <w:proofErr w:type="spellStart"/>
      <w:r w:rsidRPr="00467DB0">
        <w:t>sit</w:t>
      </w:r>
      <w:proofErr w:type="spellEnd"/>
      <w:r w:rsidRPr="00467DB0">
        <w:t xml:space="preserve"> samtykke.</w:t>
      </w:r>
    </w:p>
    <w:p w14:paraId="23BBBFFC" w14:textId="77777777" w:rsidR="00000000" w:rsidRPr="00467DB0" w:rsidRDefault="00693D67" w:rsidP="00467DB0">
      <w:pPr>
        <w:pStyle w:val="avsnitt-undertittel"/>
      </w:pPr>
      <w:r w:rsidRPr="00467DB0">
        <w:lastRenderedPageBreak/>
        <w:t>Kapitel V</w:t>
      </w:r>
    </w:p>
    <w:p w14:paraId="74C0F4EB" w14:textId="77777777" w:rsidR="00000000" w:rsidRPr="00467DB0" w:rsidRDefault="00693D67" w:rsidP="00467DB0">
      <w:pPr>
        <w:pStyle w:val="Undertittel"/>
      </w:pPr>
      <w:r w:rsidRPr="00467DB0">
        <w:t xml:space="preserve">Agenturets menneskelige </w:t>
      </w:r>
      <w:proofErr w:type="spellStart"/>
      <w:r w:rsidRPr="00467DB0">
        <w:t>ressourcer</w:t>
      </w:r>
      <w:proofErr w:type="spellEnd"/>
    </w:p>
    <w:p w14:paraId="2980DB6D" w14:textId="77777777" w:rsidR="00000000" w:rsidRPr="00467DB0" w:rsidRDefault="00693D67" w:rsidP="00467DB0">
      <w:pPr>
        <w:pStyle w:val="avsnitt-undertittel"/>
      </w:pPr>
      <w:proofErr w:type="spellStart"/>
      <w:r w:rsidRPr="00467DB0">
        <w:t>Artikel</w:t>
      </w:r>
      <w:proofErr w:type="spellEnd"/>
      <w:r w:rsidRPr="00467DB0">
        <w:t xml:space="preserve"> 88</w:t>
      </w:r>
    </w:p>
    <w:p w14:paraId="4F6EA868" w14:textId="77777777" w:rsidR="00000000" w:rsidRPr="00467DB0" w:rsidRDefault="00693D67" w:rsidP="00467DB0">
      <w:pPr>
        <w:pStyle w:val="Undertittel"/>
      </w:pPr>
      <w:r w:rsidRPr="00467DB0">
        <w:t>Agenturets personale</w:t>
      </w:r>
    </w:p>
    <w:p w14:paraId="633F8661" w14:textId="77777777" w:rsidR="00000000" w:rsidRPr="00467DB0" w:rsidRDefault="00693D67" w:rsidP="00467DB0">
      <w:pPr>
        <w:pStyle w:val="friliste"/>
      </w:pPr>
      <w:r w:rsidRPr="00467DB0">
        <w:t>1.</w:t>
      </w:r>
      <w:r w:rsidRPr="00467DB0">
        <w:tab/>
        <w:t xml:space="preserve">Agenturets personale er omfattet </w:t>
      </w:r>
      <w:proofErr w:type="spellStart"/>
      <w:r w:rsidRPr="00467DB0">
        <w:t>af</w:t>
      </w:r>
      <w:proofErr w:type="spellEnd"/>
      <w:r w:rsidRPr="00467DB0">
        <w:t xml:space="preserve"> </w:t>
      </w:r>
      <w:proofErr w:type="spellStart"/>
      <w:r w:rsidRPr="00467DB0">
        <w:t>personalevedtægten</w:t>
      </w:r>
      <w:proofErr w:type="spellEnd"/>
      <w:r w:rsidRPr="00467DB0">
        <w:t xml:space="preserve">, </w:t>
      </w:r>
      <w:proofErr w:type="spellStart"/>
      <w:r w:rsidRPr="00467DB0">
        <w:t>ansættelsesvilkårene</w:t>
      </w:r>
      <w:proofErr w:type="spellEnd"/>
      <w:r w:rsidRPr="00467DB0">
        <w:t xml:space="preserve"> og de </w:t>
      </w:r>
      <w:proofErr w:type="spellStart"/>
      <w:r w:rsidRPr="00467DB0">
        <w:t>gennemføre</w:t>
      </w:r>
      <w:r w:rsidRPr="00467DB0">
        <w:t>lsesbestemmelser</w:t>
      </w:r>
      <w:proofErr w:type="spellEnd"/>
      <w:r w:rsidRPr="00467DB0">
        <w:t xml:space="preserve">, som Den </w:t>
      </w:r>
      <w:proofErr w:type="spellStart"/>
      <w:r w:rsidRPr="00467DB0">
        <w:t>Europæiske</w:t>
      </w:r>
      <w:proofErr w:type="spellEnd"/>
      <w:r w:rsidRPr="00467DB0">
        <w:t xml:space="preserve"> Unions </w:t>
      </w:r>
      <w:proofErr w:type="spellStart"/>
      <w:r w:rsidRPr="00467DB0">
        <w:t>institutioner</w:t>
      </w:r>
      <w:proofErr w:type="spellEnd"/>
      <w:r w:rsidRPr="00467DB0">
        <w:t xml:space="preserve"> i </w:t>
      </w:r>
      <w:proofErr w:type="spellStart"/>
      <w:r w:rsidRPr="00467DB0">
        <w:t>fællesskab</w:t>
      </w:r>
      <w:proofErr w:type="spellEnd"/>
      <w:r w:rsidRPr="00467DB0">
        <w:t xml:space="preserve"> har </w:t>
      </w:r>
      <w:proofErr w:type="spellStart"/>
      <w:r w:rsidRPr="00467DB0">
        <w:t>vedtaget</w:t>
      </w:r>
      <w:proofErr w:type="spellEnd"/>
      <w:r w:rsidRPr="00467DB0">
        <w:t xml:space="preserve"> med </w:t>
      </w:r>
      <w:proofErr w:type="spellStart"/>
      <w:r w:rsidRPr="00467DB0">
        <w:t>henblik</w:t>
      </w:r>
      <w:proofErr w:type="spellEnd"/>
      <w:r w:rsidRPr="00467DB0">
        <w:t xml:space="preserve"> på </w:t>
      </w:r>
      <w:proofErr w:type="gramStart"/>
      <w:r w:rsidRPr="00467DB0">
        <w:t>anvendelse</w:t>
      </w:r>
      <w:proofErr w:type="gramEnd"/>
      <w:r w:rsidRPr="00467DB0">
        <w:t xml:space="preserve"> </w:t>
      </w:r>
      <w:proofErr w:type="spellStart"/>
      <w:r w:rsidRPr="00467DB0">
        <w:t>af</w:t>
      </w:r>
      <w:proofErr w:type="spellEnd"/>
      <w:r w:rsidRPr="00467DB0">
        <w:t xml:space="preserve"> denne </w:t>
      </w:r>
      <w:proofErr w:type="spellStart"/>
      <w:r w:rsidRPr="00467DB0">
        <w:t>personalevedtægt</w:t>
      </w:r>
      <w:proofErr w:type="spellEnd"/>
      <w:r w:rsidRPr="00467DB0">
        <w:t xml:space="preserve"> og disse </w:t>
      </w:r>
      <w:proofErr w:type="spellStart"/>
      <w:r w:rsidRPr="00467DB0">
        <w:t>ansættelsesvilkår</w:t>
      </w:r>
      <w:proofErr w:type="spellEnd"/>
      <w:r w:rsidRPr="00467DB0">
        <w:t xml:space="preserve"> på agenturets personale.</w:t>
      </w:r>
    </w:p>
    <w:p w14:paraId="171326F6" w14:textId="77777777" w:rsidR="00000000" w:rsidRPr="00467DB0" w:rsidRDefault="00693D67" w:rsidP="00467DB0">
      <w:pPr>
        <w:pStyle w:val="friliste"/>
      </w:pPr>
      <w:r w:rsidRPr="00467DB0">
        <w:t>2.</w:t>
      </w:r>
      <w:r w:rsidRPr="00467DB0">
        <w:tab/>
        <w:t xml:space="preserve">Agenturets personale består </w:t>
      </w:r>
      <w:proofErr w:type="spellStart"/>
      <w:r w:rsidRPr="00467DB0">
        <w:t>af</w:t>
      </w:r>
      <w:proofErr w:type="spellEnd"/>
      <w:r w:rsidRPr="00467DB0">
        <w:t xml:space="preserve"> de </w:t>
      </w:r>
      <w:proofErr w:type="spellStart"/>
      <w:r w:rsidRPr="00467DB0">
        <w:t>medarbejdere</w:t>
      </w:r>
      <w:proofErr w:type="spellEnd"/>
      <w:r w:rsidRPr="00467DB0">
        <w:t>, som agenturet har</w:t>
      </w:r>
      <w:r w:rsidRPr="00467DB0">
        <w:t xml:space="preserve"> </w:t>
      </w:r>
      <w:proofErr w:type="spellStart"/>
      <w:r w:rsidRPr="00467DB0">
        <w:t>ansat</w:t>
      </w:r>
      <w:proofErr w:type="spellEnd"/>
      <w:r w:rsidRPr="00467DB0">
        <w:t xml:space="preserve"> for at kunne </w:t>
      </w:r>
      <w:proofErr w:type="spellStart"/>
      <w:r w:rsidRPr="00467DB0">
        <w:t>udføre</w:t>
      </w:r>
      <w:proofErr w:type="spellEnd"/>
      <w:r w:rsidRPr="00467DB0">
        <w:t xml:space="preserve"> sine </w:t>
      </w:r>
      <w:proofErr w:type="spellStart"/>
      <w:r w:rsidRPr="00467DB0">
        <w:t>opgaver</w:t>
      </w:r>
      <w:proofErr w:type="spellEnd"/>
      <w:r w:rsidRPr="00467DB0">
        <w:t xml:space="preserve">. De skal have den fornødne </w:t>
      </w:r>
      <w:proofErr w:type="spellStart"/>
      <w:r w:rsidRPr="00467DB0">
        <w:t>sikkerhedsgodkendelse</w:t>
      </w:r>
      <w:proofErr w:type="spellEnd"/>
      <w:r w:rsidRPr="00467DB0">
        <w:t xml:space="preserve"> til </w:t>
      </w:r>
      <w:proofErr w:type="spellStart"/>
      <w:r w:rsidRPr="00467DB0">
        <w:t>klassifikationen</w:t>
      </w:r>
      <w:proofErr w:type="spellEnd"/>
      <w:r w:rsidRPr="00467DB0">
        <w:t xml:space="preserve"> </w:t>
      </w:r>
      <w:proofErr w:type="spellStart"/>
      <w:r w:rsidRPr="00467DB0">
        <w:t>af</w:t>
      </w:r>
      <w:proofErr w:type="spellEnd"/>
      <w:r w:rsidRPr="00467DB0">
        <w:t xml:space="preserve"> de </w:t>
      </w:r>
      <w:proofErr w:type="spellStart"/>
      <w:r w:rsidRPr="00467DB0">
        <w:t>informationer</w:t>
      </w:r>
      <w:proofErr w:type="spellEnd"/>
      <w:r w:rsidRPr="00467DB0">
        <w:t>, som de håndterer.</w:t>
      </w:r>
    </w:p>
    <w:p w14:paraId="54CA582C" w14:textId="77777777" w:rsidR="00000000" w:rsidRPr="00467DB0" w:rsidRDefault="00693D67" w:rsidP="00467DB0">
      <w:pPr>
        <w:pStyle w:val="friliste"/>
      </w:pPr>
      <w:r w:rsidRPr="00467DB0">
        <w:t>3.</w:t>
      </w:r>
      <w:r w:rsidRPr="00467DB0">
        <w:tab/>
        <w:t xml:space="preserve">Agenturets interne regler, såsom bestyrelsens forretningsorden, forretningsordenen for Komitéen for </w:t>
      </w:r>
      <w:proofErr w:type="spellStart"/>
      <w:r w:rsidRPr="00467DB0">
        <w:t>Sikk</w:t>
      </w:r>
      <w:r w:rsidRPr="00467DB0">
        <w:t>erhedsgodkendelse</w:t>
      </w:r>
      <w:proofErr w:type="spellEnd"/>
      <w:r w:rsidRPr="00467DB0">
        <w:t xml:space="preserve">, de finansielle bestemmelser for agenturet, </w:t>
      </w:r>
      <w:proofErr w:type="spellStart"/>
      <w:r w:rsidRPr="00467DB0">
        <w:t>gennemførelsesbestemmelserne</w:t>
      </w:r>
      <w:proofErr w:type="spellEnd"/>
      <w:r w:rsidRPr="00467DB0">
        <w:t xml:space="preserve"> til </w:t>
      </w:r>
      <w:proofErr w:type="spellStart"/>
      <w:r w:rsidRPr="00467DB0">
        <w:t>personalevedtægten</w:t>
      </w:r>
      <w:proofErr w:type="spellEnd"/>
      <w:r w:rsidRPr="00467DB0">
        <w:t xml:space="preserve"> og </w:t>
      </w:r>
      <w:proofErr w:type="spellStart"/>
      <w:r w:rsidRPr="00467DB0">
        <w:t>reglerne</w:t>
      </w:r>
      <w:proofErr w:type="spellEnd"/>
      <w:r w:rsidRPr="00467DB0">
        <w:t xml:space="preserve"> om </w:t>
      </w:r>
      <w:proofErr w:type="spellStart"/>
      <w:r w:rsidRPr="00467DB0">
        <w:t>aktindsigt</w:t>
      </w:r>
      <w:proofErr w:type="spellEnd"/>
      <w:r w:rsidRPr="00467DB0">
        <w:t xml:space="preserve">, sikrer autonomien og </w:t>
      </w:r>
      <w:proofErr w:type="spellStart"/>
      <w:r w:rsidRPr="00467DB0">
        <w:t>uafhængigheden</w:t>
      </w:r>
      <w:proofErr w:type="spellEnd"/>
      <w:r w:rsidRPr="00467DB0">
        <w:t xml:space="preserve"> for det personale, der </w:t>
      </w:r>
      <w:proofErr w:type="spellStart"/>
      <w:r w:rsidRPr="00467DB0">
        <w:t>udfører</w:t>
      </w:r>
      <w:proofErr w:type="spellEnd"/>
      <w:r w:rsidRPr="00467DB0">
        <w:t xml:space="preserve"> </w:t>
      </w:r>
      <w:proofErr w:type="spellStart"/>
      <w:r w:rsidRPr="00467DB0">
        <w:t>sikkerhedsgodkendelsesaktiviteter</w:t>
      </w:r>
      <w:proofErr w:type="spellEnd"/>
      <w:r w:rsidRPr="00467DB0">
        <w:t xml:space="preserve">, over for det </w:t>
      </w:r>
      <w:r w:rsidRPr="00467DB0">
        <w:t xml:space="preserve">personale, der varetager agenturets andre aktiviteter, i overensstemmelse med </w:t>
      </w:r>
      <w:proofErr w:type="spellStart"/>
      <w:r w:rsidRPr="00467DB0">
        <w:t>artikel</w:t>
      </w:r>
      <w:proofErr w:type="spellEnd"/>
      <w:r w:rsidRPr="00467DB0">
        <w:t xml:space="preserve"> 37, litra i).</w:t>
      </w:r>
    </w:p>
    <w:p w14:paraId="71A581A6" w14:textId="77777777" w:rsidR="00000000" w:rsidRPr="00467DB0" w:rsidRDefault="00693D67" w:rsidP="00467DB0">
      <w:pPr>
        <w:pStyle w:val="avsnitt-undertittel"/>
      </w:pPr>
      <w:proofErr w:type="spellStart"/>
      <w:r w:rsidRPr="00467DB0">
        <w:t>Artikel</w:t>
      </w:r>
      <w:proofErr w:type="spellEnd"/>
      <w:r w:rsidRPr="00467DB0">
        <w:t xml:space="preserve"> 89</w:t>
      </w:r>
    </w:p>
    <w:p w14:paraId="756BAC32" w14:textId="77777777" w:rsidR="00000000" w:rsidRPr="00467DB0" w:rsidRDefault="00693D67" w:rsidP="00467DB0">
      <w:pPr>
        <w:pStyle w:val="Undertittel"/>
      </w:pPr>
      <w:proofErr w:type="spellStart"/>
      <w:r w:rsidRPr="00467DB0">
        <w:t>Udnævnelse</w:t>
      </w:r>
      <w:proofErr w:type="spellEnd"/>
      <w:r w:rsidRPr="00467DB0">
        <w:t xml:space="preserve"> </w:t>
      </w:r>
      <w:proofErr w:type="spellStart"/>
      <w:r w:rsidRPr="00467DB0">
        <w:t>af</w:t>
      </w:r>
      <w:proofErr w:type="spellEnd"/>
      <w:r w:rsidRPr="00467DB0">
        <w:t xml:space="preserve"> den administrerende direktør og dennes mandatperiode</w:t>
      </w:r>
    </w:p>
    <w:p w14:paraId="3EB9F3C6" w14:textId="77777777" w:rsidR="00000000" w:rsidRPr="00467DB0" w:rsidRDefault="00693D67" w:rsidP="00467DB0">
      <w:pPr>
        <w:pStyle w:val="friliste"/>
      </w:pPr>
      <w:r w:rsidRPr="00467DB0">
        <w:t>1.</w:t>
      </w:r>
      <w:r w:rsidRPr="00467DB0">
        <w:tab/>
        <w:t xml:space="preserve">Den administrerende direktør </w:t>
      </w:r>
      <w:proofErr w:type="spellStart"/>
      <w:r w:rsidRPr="00467DB0">
        <w:t>ansættes</w:t>
      </w:r>
      <w:proofErr w:type="spellEnd"/>
      <w:r w:rsidRPr="00467DB0">
        <w:t xml:space="preserve"> som </w:t>
      </w:r>
      <w:proofErr w:type="spellStart"/>
      <w:r w:rsidRPr="00467DB0">
        <w:t>midlertidigt</w:t>
      </w:r>
      <w:proofErr w:type="spellEnd"/>
      <w:r w:rsidRPr="00467DB0">
        <w:t xml:space="preserve"> </w:t>
      </w:r>
      <w:proofErr w:type="spellStart"/>
      <w:r w:rsidRPr="00467DB0">
        <w:t>ansat</w:t>
      </w:r>
      <w:proofErr w:type="spellEnd"/>
      <w:r w:rsidRPr="00467DB0">
        <w:t xml:space="preserve"> ved agenturet </w:t>
      </w:r>
      <w:r w:rsidRPr="00467DB0">
        <w:t xml:space="preserve">i overensstemmelse med </w:t>
      </w:r>
      <w:proofErr w:type="spellStart"/>
      <w:r w:rsidRPr="00467DB0">
        <w:t>ansættelsesvilkårenes</w:t>
      </w:r>
      <w:proofErr w:type="spellEnd"/>
      <w:r w:rsidRPr="00467DB0">
        <w:t xml:space="preserve"> </w:t>
      </w:r>
      <w:proofErr w:type="spellStart"/>
      <w:r w:rsidRPr="00467DB0">
        <w:t>artikel</w:t>
      </w:r>
      <w:proofErr w:type="spellEnd"/>
      <w:r w:rsidRPr="00467DB0">
        <w:t xml:space="preserve"> 2, litra a).</w:t>
      </w:r>
    </w:p>
    <w:p w14:paraId="7EC9C546" w14:textId="77777777" w:rsidR="00000000" w:rsidRPr="00467DB0" w:rsidRDefault="00693D67" w:rsidP="00467DB0">
      <w:pPr>
        <w:pStyle w:val="Listeavsnitt"/>
      </w:pPr>
      <w:r w:rsidRPr="00467DB0">
        <w:t xml:space="preserve">Den administrerende direktør </w:t>
      </w:r>
      <w:proofErr w:type="spellStart"/>
      <w:r w:rsidRPr="00467DB0">
        <w:t>udnævnes</w:t>
      </w:r>
      <w:proofErr w:type="spellEnd"/>
      <w:r w:rsidRPr="00467DB0">
        <w:t xml:space="preserve"> </w:t>
      </w:r>
      <w:proofErr w:type="spellStart"/>
      <w:r w:rsidRPr="00467DB0">
        <w:t>af</w:t>
      </w:r>
      <w:proofErr w:type="spellEnd"/>
      <w:r w:rsidRPr="00467DB0">
        <w:t xml:space="preserve"> bestyrelsen på </w:t>
      </w:r>
      <w:proofErr w:type="spellStart"/>
      <w:r w:rsidRPr="00467DB0">
        <w:t>grundlag</w:t>
      </w:r>
      <w:proofErr w:type="spellEnd"/>
      <w:r w:rsidRPr="00467DB0">
        <w:t xml:space="preserve"> </w:t>
      </w:r>
      <w:proofErr w:type="spellStart"/>
      <w:r w:rsidRPr="00467DB0">
        <w:t>af</w:t>
      </w:r>
      <w:proofErr w:type="spellEnd"/>
      <w:r w:rsidRPr="00467DB0">
        <w:t xml:space="preserve"> </w:t>
      </w:r>
      <w:proofErr w:type="spellStart"/>
      <w:r w:rsidRPr="00467DB0">
        <w:t>kvalifikationer</w:t>
      </w:r>
      <w:proofErr w:type="spellEnd"/>
      <w:r w:rsidRPr="00467DB0">
        <w:t xml:space="preserve"> og </w:t>
      </w:r>
      <w:proofErr w:type="spellStart"/>
      <w:r w:rsidRPr="00467DB0">
        <w:t>dokumenterede</w:t>
      </w:r>
      <w:proofErr w:type="spellEnd"/>
      <w:r w:rsidRPr="00467DB0">
        <w:t xml:space="preserve"> administrative og </w:t>
      </w:r>
      <w:proofErr w:type="spellStart"/>
      <w:r w:rsidRPr="00467DB0">
        <w:t>ledelsesmæssige</w:t>
      </w:r>
      <w:proofErr w:type="spellEnd"/>
      <w:r w:rsidRPr="00467DB0">
        <w:t xml:space="preserve"> </w:t>
      </w:r>
      <w:proofErr w:type="spellStart"/>
      <w:r w:rsidRPr="00467DB0">
        <w:t>kompetencer</w:t>
      </w:r>
      <w:proofErr w:type="spellEnd"/>
      <w:r w:rsidRPr="00467DB0">
        <w:t xml:space="preserve"> samt relevante </w:t>
      </w:r>
      <w:proofErr w:type="spellStart"/>
      <w:r w:rsidRPr="00467DB0">
        <w:t>kvalifikationer</w:t>
      </w:r>
      <w:proofErr w:type="spellEnd"/>
      <w:r w:rsidRPr="00467DB0">
        <w:t xml:space="preserve"> og erfarin</w:t>
      </w:r>
      <w:r w:rsidRPr="00467DB0">
        <w:t xml:space="preserve">g fra en liste med minimum tre kandidater, som </w:t>
      </w:r>
      <w:proofErr w:type="spellStart"/>
      <w:r w:rsidRPr="00467DB0">
        <w:t>Kommissionen</w:t>
      </w:r>
      <w:proofErr w:type="spellEnd"/>
      <w:r w:rsidRPr="00467DB0">
        <w:t xml:space="preserve"> </w:t>
      </w:r>
      <w:proofErr w:type="spellStart"/>
      <w:r w:rsidRPr="00467DB0">
        <w:t>opstiller</w:t>
      </w:r>
      <w:proofErr w:type="spellEnd"/>
      <w:r w:rsidRPr="00467DB0">
        <w:t xml:space="preserve">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almindelig</w:t>
      </w:r>
      <w:proofErr w:type="spellEnd"/>
      <w:r w:rsidRPr="00467DB0">
        <w:t xml:space="preserve">, </w:t>
      </w:r>
      <w:proofErr w:type="spellStart"/>
      <w:r w:rsidRPr="00467DB0">
        <w:t>åben</w:t>
      </w:r>
      <w:proofErr w:type="spellEnd"/>
      <w:r w:rsidRPr="00467DB0">
        <w:t xml:space="preserve"> </w:t>
      </w:r>
      <w:proofErr w:type="spellStart"/>
      <w:r w:rsidRPr="00467DB0">
        <w:t>udvælgelsesprøve</w:t>
      </w:r>
      <w:proofErr w:type="spellEnd"/>
      <w:r w:rsidRPr="00467DB0">
        <w:t xml:space="preserve"> efter </w:t>
      </w:r>
      <w:proofErr w:type="spellStart"/>
      <w:r w:rsidRPr="00467DB0">
        <w:t>offentliggørelse</w:t>
      </w:r>
      <w:proofErr w:type="spellEnd"/>
      <w:r w:rsidRPr="00467DB0">
        <w:t xml:space="preserve"> </w:t>
      </w:r>
      <w:proofErr w:type="spellStart"/>
      <w:r w:rsidRPr="00467DB0">
        <w:t>af</w:t>
      </w:r>
      <w:proofErr w:type="spellEnd"/>
      <w:r w:rsidRPr="00467DB0">
        <w:t xml:space="preserve"> en </w:t>
      </w:r>
      <w:proofErr w:type="spellStart"/>
      <w:r w:rsidRPr="00467DB0">
        <w:t>indkaldelse</w:t>
      </w:r>
      <w:proofErr w:type="spellEnd"/>
      <w:r w:rsidRPr="00467DB0">
        <w:t xml:space="preserve"> </w:t>
      </w:r>
      <w:proofErr w:type="spellStart"/>
      <w:r w:rsidRPr="00467DB0">
        <w:t>af</w:t>
      </w:r>
      <w:proofErr w:type="spellEnd"/>
      <w:r w:rsidRPr="00467DB0">
        <w:t xml:space="preserve"> </w:t>
      </w:r>
      <w:proofErr w:type="spellStart"/>
      <w:r w:rsidRPr="00467DB0">
        <w:t>interessetilkendegivelser</w:t>
      </w:r>
      <w:proofErr w:type="spellEnd"/>
      <w:r w:rsidRPr="00467DB0">
        <w:t xml:space="preserve"> i </w:t>
      </w:r>
      <w:r w:rsidRPr="00467DB0">
        <w:rPr>
          <w:rStyle w:val="kursiv"/>
        </w:rPr>
        <w:t xml:space="preserve">Den </w:t>
      </w:r>
      <w:proofErr w:type="spellStart"/>
      <w:r w:rsidRPr="00467DB0">
        <w:rPr>
          <w:rStyle w:val="kursiv"/>
        </w:rPr>
        <w:t>Europæiske</w:t>
      </w:r>
      <w:proofErr w:type="spellEnd"/>
      <w:r w:rsidRPr="00467DB0">
        <w:rPr>
          <w:rStyle w:val="kursiv"/>
        </w:rPr>
        <w:t xml:space="preserve"> Unions Tidende</w:t>
      </w:r>
      <w:r w:rsidRPr="00467DB0">
        <w:t xml:space="preserve"> eller </w:t>
      </w:r>
      <w:proofErr w:type="spellStart"/>
      <w:r w:rsidRPr="00467DB0">
        <w:t>andetsteds</w:t>
      </w:r>
      <w:proofErr w:type="spellEnd"/>
      <w:r w:rsidRPr="00467DB0">
        <w:t>.</w:t>
      </w:r>
    </w:p>
    <w:p w14:paraId="1DA2002C" w14:textId="77777777" w:rsidR="00000000" w:rsidRPr="00467DB0" w:rsidRDefault="00693D67" w:rsidP="00467DB0">
      <w:pPr>
        <w:pStyle w:val="Listeavsnitt"/>
      </w:pPr>
      <w:r w:rsidRPr="00467DB0">
        <w:t>Den kandidat</w:t>
      </w:r>
      <w:r w:rsidRPr="00467DB0">
        <w:t xml:space="preserve">, som bestyrelsen </w:t>
      </w:r>
      <w:proofErr w:type="spellStart"/>
      <w:r w:rsidRPr="00467DB0">
        <w:t>vælger</w:t>
      </w:r>
      <w:proofErr w:type="spellEnd"/>
      <w:r w:rsidRPr="00467DB0">
        <w:t xml:space="preserve"> til stillingen som administrerende direktør, kan </w:t>
      </w:r>
      <w:proofErr w:type="spellStart"/>
      <w:r w:rsidRPr="00467DB0">
        <w:t>opfordres</w:t>
      </w:r>
      <w:proofErr w:type="spellEnd"/>
      <w:r w:rsidRPr="00467DB0">
        <w:t xml:space="preserve"> til ved førstkommende </w:t>
      </w:r>
      <w:proofErr w:type="spellStart"/>
      <w:r w:rsidRPr="00467DB0">
        <w:t>lejlighed</w:t>
      </w:r>
      <w:proofErr w:type="spellEnd"/>
      <w:r w:rsidRPr="00467DB0">
        <w:t xml:space="preserve"> at </w:t>
      </w:r>
      <w:proofErr w:type="spellStart"/>
      <w:r w:rsidRPr="00467DB0">
        <w:t>afgive</w:t>
      </w:r>
      <w:proofErr w:type="spellEnd"/>
      <w:r w:rsidRPr="00467DB0">
        <w:t xml:space="preserve"> en </w:t>
      </w:r>
      <w:proofErr w:type="spellStart"/>
      <w:r w:rsidRPr="00467DB0">
        <w:t>redegørelse</w:t>
      </w:r>
      <w:proofErr w:type="spellEnd"/>
      <w:r w:rsidRPr="00467DB0">
        <w:t xml:space="preserve"> over for Europa-Parlamentet og besvare </w:t>
      </w:r>
      <w:proofErr w:type="spellStart"/>
      <w:r w:rsidRPr="00467DB0">
        <w:t>spørgsmål</w:t>
      </w:r>
      <w:proofErr w:type="spellEnd"/>
      <w:r w:rsidRPr="00467DB0">
        <w:t xml:space="preserve"> fra dets medlemmer.</w:t>
      </w:r>
    </w:p>
    <w:p w14:paraId="6AED67A1" w14:textId="77777777" w:rsidR="00000000" w:rsidRPr="00467DB0" w:rsidRDefault="00693D67" w:rsidP="00467DB0">
      <w:pPr>
        <w:pStyle w:val="Listeavsnitt"/>
      </w:pPr>
      <w:r w:rsidRPr="00467DB0">
        <w:t xml:space="preserve">Ved </w:t>
      </w:r>
      <w:proofErr w:type="spellStart"/>
      <w:r w:rsidRPr="00467DB0">
        <w:t>indgåe</w:t>
      </w:r>
      <w:r w:rsidRPr="00467DB0">
        <w:t>lsen</w:t>
      </w:r>
      <w:proofErr w:type="spellEnd"/>
      <w:r w:rsidRPr="00467DB0">
        <w:t xml:space="preserve"> </w:t>
      </w:r>
      <w:proofErr w:type="spellStart"/>
      <w:r w:rsidRPr="00467DB0">
        <w:t>af</w:t>
      </w:r>
      <w:proofErr w:type="spellEnd"/>
      <w:r w:rsidRPr="00467DB0">
        <w:t xml:space="preserve"> kontrakten med den administrerende direktør </w:t>
      </w:r>
      <w:proofErr w:type="spellStart"/>
      <w:r w:rsidRPr="00467DB0">
        <w:t>repræsenterer</w:t>
      </w:r>
      <w:proofErr w:type="spellEnd"/>
      <w:r w:rsidRPr="00467DB0">
        <w:t xml:space="preserve"> bestyrelsesformanden agenturet.</w:t>
      </w:r>
    </w:p>
    <w:p w14:paraId="30AD8EEA" w14:textId="77777777" w:rsidR="00000000" w:rsidRPr="00467DB0" w:rsidRDefault="00693D67" w:rsidP="00467DB0">
      <w:pPr>
        <w:pStyle w:val="Listeavsnitt"/>
      </w:pPr>
      <w:r w:rsidRPr="00467DB0">
        <w:t xml:space="preserve">Bestyrelsen </w:t>
      </w:r>
      <w:proofErr w:type="spellStart"/>
      <w:r w:rsidRPr="00467DB0">
        <w:t>træffer</w:t>
      </w:r>
      <w:proofErr w:type="spellEnd"/>
      <w:r w:rsidRPr="00467DB0">
        <w:t xml:space="preserve"> </w:t>
      </w:r>
      <w:proofErr w:type="spellStart"/>
      <w:r w:rsidRPr="00467DB0">
        <w:t>afgørelse</w:t>
      </w:r>
      <w:proofErr w:type="spellEnd"/>
      <w:r w:rsidRPr="00467DB0">
        <w:t xml:space="preserve"> om at </w:t>
      </w:r>
      <w:proofErr w:type="spellStart"/>
      <w:r w:rsidRPr="00467DB0">
        <w:t>udnævne</w:t>
      </w:r>
      <w:proofErr w:type="spellEnd"/>
      <w:r w:rsidRPr="00467DB0">
        <w:t xml:space="preserve"> den administrerende direktør med et </w:t>
      </w:r>
      <w:proofErr w:type="spellStart"/>
      <w:r w:rsidRPr="00467DB0">
        <w:t>flertal</w:t>
      </w:r>
      <w:proofErr w:type="spellEnd"/>
      <w:r w:rsidRPr="00467DB0">
        <w:t xml:space="preserve"> på to </w:t>
      </w:r>
      <w:proofErr w:type="spellStart"/>
      <w:r w:rsidRPr="00467DB0">
        <w:t>tredjedele</w:t>
      </w:r>
      <w:proofErr w:type="spellEnd"/>
      <w:r w:rsidRPr="00467DB0">
        <w:t xml:space="preserve"> </w:t>
      </w:r>
      <w:proofErr w:type="spellStart"/>
      <w:r w:rsidRPr="00467DB0">
        <w:t>af</w:t>
      </w:r>
      <w:proofErr w:type="spellEnd"/>
      <w:r w:rsidRPr="00467DB0">
        <w:t xml:space="preserve"> sine medlemmer.</w:t>
      </w:r>
    </w:p>
    <w:p w14:paraId="0D507191" w14:textId="77777777" w:rsidR="00000000" w:rsidRPr="00467DB0" w:rsidRDefault="00693D67" w:rsidP="00467DB0">
      <w:pPr>
        <w:pStyle w:val="friliste"/>
      </w:pPr>
      <w:r w:rsidRPr="00467DB0">
        <w:lastRenderedPageBreak/>
        <w:t>2.</w:t>
      </w:r>
      <w:r w:rsidRPr="00467DB0">
        <w:tab/>
        <w:t>Den administrerende direktørs</w:t>
      </w:r>
      <w:r w:rsidRPr="00467DB0">
        <w:t xml:space="preserve"> mandatperiode er fem år. Ved </w:t>
      </w:r>
      <w:proofErr w:type="spellStart"/>
      <w:r w:rsidRPr="00467DB0">
        <w:t>udløbet</w:t>
      </w:r>
      <w:proofErr w:type="spellEnd"/>
      <w:r w:rsidRPr="00467DB0">
        <w:t xml:space="preserve"> </w:t>
      </w:r>
      <w:proofErr w:type="spellStart"/>
      <w:r w:rsidRPr="00467DB0">
        <w:t>af</w:t>
      </w:r>
      <w:proofErr w:type="spellEnd"/>
      <w:r w:rsidRPr="00467DB0">
        <w:t xml:space="preserve"> denne mandatperiode foretager </w:t>
      </w:r>
      <w:proofErr w:type="spellStart"/>
      <w:r w:rsidRPr="00467DB0">
        <w:t>Kommissionen</w:t>
      </w:r>
      <w:proofErr w:type="spellEnd"/>
      <w:r w:rsidRPr="00467DB0">
        <w:t xml:space="preserve"> en evaluering </w:t>
      </w:r>
      <w:proofErr w:type="spellStart"/>
      <w:r w:rsidRPr="00467DB0">
        <w:t>af</w:t>
      </w:r>
      <w:proofErr w:type="spellEnd"/>
      <w:r w:rsidRPr="00467DB0">
        <w:t xml:space="preserve"> den administrerende direktørs resultater, idet den tager agenturets fremtidige </w:t>
      </w:r>
      <w:proofErr w:type="spellStart"/>
      <w:r w:rsidRPr="00467DB0">
        <w:t>opgaver</w:t>
      </w:r>
      <w:proofErr w:type="spellEnd"/>
      <w:r w:rsidRPr="00467DB0">
        <w:t xml:space="preserve"> og </w:t>
      </w:r>
      <w:proofErr w:type="spellStart"/>
      <w:r w:rsidRPr="00467DB0">
        <w:t>udfordringer</w:t>
      </w:r>
      <w:proofErr w:type="spellEnd"/>
      <w:r w:rsidRPr="00467DB0">
        <w:t xml:space="preserve"> i </w:t>
      </w:r>
      <w:proofErr w:type="spellStart"/>
      <w:r w:rsidRPr="00467DB0">
        <w:t>betragtning</w:t>
      </w:r>
      <w:proofErr w:type="spellEnd"/>
      <w:r w:rsidRPr="00467DB0">
        <w:t>.</w:t>
      </w:r>
    </w:p>
    <w:p w14:paraId="622170E2" w14:textId="77777777" w:rsidR="00000000" w:rsidRPr="00467DB0" w:rsidRDefault="00693D67" w:rsidP="00467DB0">
      <w:pPr>
        <w:pStyle w:val="Listeavsnitt"/>
      </w:pPr>
      <w:r w:rsidRPr="00467DB0">
        <w:t xml:space="preserve">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indstilling</w:t>
      </w:r>
      <w:proofErr w:type="spellEnd"/>
      <w:r w:rsidRPr="00467DB0">
        <w:t xml:space="preserve"> fra </w:t>
      </w:r>
      <w:proofErr w:type="spellStart"/>
      <w:r w:rsidRPr="00467DB0">
        <w:t>K</w:t>
      </w:r>
      <w:r w:rsidRPr="00467DB0">
        <w:t>ommissionen</w:t>
      </w:r>
      <w:proofErr w:type="spellEnd"/>
      <w:r w:rsidRPr="00467DB0">
        <w:t xml:space="preserve"> og </w:t>
      </w:r>
      <w:proofErr w:type="gramStart"/>
      <w:r w:rsidRPr="00467DB0">
        <w:t>under hensyntagen</w:t>
      </w:r>
      <w:proofErr w:type="gramEnd"/>
      <w:r w:rsidRPr="00467DB0">
        <w:t xml:space="preserve"> til evalueringen, jf. første </w:t>
      </w:r>
      <w:proofErr w:type="spellStart"/>
      <w:r w:rsidRPr="00467DB0">
        <w:t>afsnit</w:t>
      </w:r>
      <w:proofErr w:type="spellEnd"/>
      <w:r w:rsidRPr="00467DB0">
        <w:t xml:space="preserve">, kan bestyrelsen </w:t>
      </w:r>
      <w:proofErr w:type="spellStart"/>
      <w:r w:rsidRPr="00467DB0">
        <w:t>forlænge</w:t>
      </w:r>
      <w:proofErr w:type="spellEnd"/>
      <w:r w:rsidRPr="00467DB0">
        <w:t xml:space="preserve"> den administrerende direktørs mandatperiode én gang med </w:t>
      </w:r>
      <w:proofErr w:type="spellStart"/>
      <w:r w:rsidRPr="00467DB0">
        <w:t>op</w:t>
      </w:r>
      <w:proofErr w:type="spellEnd"/>
      <w:r w:rsidRPr="00467DB0">
        <w:t xml:space="preserve"> til fem år.</w:t>
      </w:r>
    </w:p>
    <w:p w14:paraId="37F48A8F" w14:textId="77777777" w:rsidR="00000000" w:rsidRPr="00467DB0" w:rsidRDefault="00693D67" w:rsidP="00467DB0">
      <w:pPr>
        <w:pStyle w:val="Listeavsnitt"/>
      </w:pPr>
      <w:r w:rsidRPr="00467DB0">
        <w:t xml:space="preserve">En beslutning om </w:t>
      </w:r>
      <w:proofErr w:type="spellStart"/>
      <w:r w:rsidRPr="00467DB0">
        <w:t>forlængelse</w:t>
      </w:r>
      <w:proofErr w:type="spellEnd"/>
      <w:r w:rsidRPr="00467DB0">
        <w:t xml:space="preserve"> </w:t>
      </w:r>
      <w:proofErr w:type="spellStart"/>
      <w:r w:rsidRPr="00467DB0">
        <w:t>af</w:t>
      </w:r>
      <w:proofErr w:type="spellEnd"/>
      <w:r w:rsidRPr="00467DB0">
        <w:t xml:space="preserve"> den administrerende direktørs mandatperiode </w:t>
      </w:r>
      <w:proofErr w:type="spellStart"/>
      <w:r w:rsidRPr="00467DB0">
        <w:t>træffes</w:t>
      </w:r>
      <w:proofErr w:type="spellEnd"/>
      <w:r w:rsidRPr="00467DB0">
        <w:t xml:space="preserve"> med </w:t>
      </w:r>
      <w:r w:rsidRPr="00467DB0">
        <w:t xml:space="preserve">et </w:t>
      </w:r>
      <w:proofErr w:type="spellStart"/>
      <w:r w:rsidRPr="00467DB0">
        <w:t>flertal</w:t>
      </w:r>
      <w:proofErr w:type="spellEnd"/>
      <w:r w:rsidRPr="00467DB0">
        <w:t xml:space="preserve"> på to </w:t>
      </w:r>
      <w:proofErr w:type="spellStart"/>
      <w:r w:rsidRPr="00467DB0">
        <w:t>tredjedele</w:t>
      </w:r>
      <w:proofErr w:type="spellEnd"/>
      <w:r w:rsidRPr="00467DB0">
        <w:t xml:space="preserve"> </w:t>
      </w:r>
      <w:proofErr w:type="spellStart"/>
      <w:r w:rsidRPr="00467DB0">
        <w:t>af</w:t>
      </w:r>
      <w:proofErr w:type="spellEnd"/>
      <w:r w:rsidRPr="00467DB0">
        <w:t xml:space="preserve"> bestyrelsens medlemmer.</w:t>
      </w:r>
    </w:p>
    <w:p w14:paraId="3B745E7A" w14:textId="77777777" w:rsidR="00000000" w:rsidRPr="00467DB0" w:rsidRDefault="00693D67" w:rsidP="00467DB0">
      <w:pPr>
        <w:pStyle w:val="Listeavsnitt"/>
      </w:pPr>
      <w:r w:rsidRPr="00467DB0">
        <w:t xml:space="preserve">En administrerende direktør, hvis mandatperiode er </w:t>
      </w:r>
      <w:proofErr w:type="spellStart"/>
      <w:r w:rsidRPr="00467DB0">
        <w:t>blevet</w:t>
      </w:r>
      <w:proofErr w:type="spellEnd"/>
      <w:r w:rsidRPr="00467DB0">
        <w:t xml:space="preserve"> </w:t>
      </w:r>
      <w:proofErr w:type="spellStart"/>
      <w:r w:rsidRPr="00467DB0">
        <w:t>forlænget</w:t>
      </w:r>
      <w:proofErr w:type="spellEnd"/>
      <w:r w:rsidRPr="00467DB0">
        <w:t xml:space="preserve">, kan ikke </w:t>
      </w:r>
      <w:proofErr w:type="spellStart"/>
      <w:r w:rsidRPr="00467DB0">
        <w:t>derefter</w:t>
      </w:r>
      <w:proofErr w:type="spellEnd"/>
      <w:r w:rsidRPr="00467DB0">
        <w:t xml:space="preserve"> </w:t>
      </w:r>
      <w:proofErr w:type="spellStart"/>
      <w:r w:rsidRPr="00467DB0">
        <w:t>deltage</w:t>
      </w:r>
      <w:proofErr w:type="spellEnd"/>
      <w:r w:rsidRPr="00467DB0">
        <w:t xml:space="preserve"> i en </w:t>
      </w:r>
      <w:proofErr w:type="spellStart"/>
      <w:r w:rsidRPr="00467DB0">
        <w:t>udvælgelsesprocedure</w:t>
      </w:r>
      <w:proofErr w:type="spellEnd"/>
      <w:r w:rsidRPr="00467DB0">
        <w:t xml:space="preserve"> til samme stilling.</w:t>
      </w:r>
    </w:p>
    <w:p w14:paraId="7A592F94" w14:textId="77777777" w:rsidR="00000000" w:rsidRPr="00467DB0" w:rsidRDefault="00693D67" w:rsidP="00467DB0">
      <w:pPr>
        <w:pStyle w:val="Listeavsnitt"/>
      </w:pPr>
      <w:r w:rsidRPr="00467DB0">
        <w:t>Bestyrelsen underretter Europa-Parlamentet, hvis den har</w:t>
      </w:r>
      <w:r w:rsidRPr="00467DB0">
        <w:t xml:space="preserve"> til </w:t>
      </w:r>
      <w:proofErr w:type="spellStart"/>
      <w:r w:rsidRPr="00467DB0">
        <w:t>hensigt</w:t>
      </w:r>
      <w:proofErr w:type="spellEnd"/>
      <w:r w:rsidRPr="00467DB0">
        <w:t xml:space="preserve"> at </w:t>
      </w:r>
      <w:proofErr w:type="spellStart"/>
      <w:r w:rsidRPr="00467DB0">
        <w:t>forlænge</w:t>
      </w:r>
      <w:proofErr w:type="spellEnd"/>
      <w:r w:rsidRPr="00467DB0">
        <w:t xml:space="preserve"> den administrerende direktørs mandatperiode. </w:t>
      </w:r>
      <w:proofErr w:type="spellStart"/>
      <w:r w:rsidRPr="00467DB0">
        <w:t>Inden</w:t>
      </w:r>
      <w:proofErr w:type="spellEnd"/>
      <w:r w:rsidRPr="00467DB0">
        <w:t xml:space="preserve"> </w:t>
      </w:r>
      <w:proofErr w:type="spellStart"/>
      <w:r w:rsidRPr="00467DB0">
        <w:t>forlængelsen</w:t>
      </w:r>
      <w:proofErr w:type="spellEnd"/>
      <w:r w:rsidRPr="00467DB0">
        <w:t xml:space="preserve"> kan den administrerende direktør </w:t>
      </w:r>
      <w:proofErr w:type="spellStart"/>
      <w:r w:rsidRPr="00467DB0">
        <w:t>opfordres</w:t>
      </w:r>
      <w:proofErr w:type="spellEnd"/>
      <w:r w:rsidRPr="00467DB0">
        <w:t xml:space="preserve"> til at </w:t>
      </w:r>
      <w:proofErr w:type="spellStart"/>
      <w:r w:rsidRPr="00467DB0">
        <w:t>afgive</w:t>
      </w:r>
      <w:proofErr w:type="spellEnd"/>
      <w:r w:rsidRPr="00467DB0">
        <w:t xml:space="preserve"> en </w:t>
      </w:r>
      <w:proofErr w:type="spellStart"/>
      <w:r w:rsidRPr="00467DB0">
        <w:t>redegørelse</w:t>
      </w:r>
      <w:proofErr w:type="spellEnd"/>
      <w:r w:rsidRPr="00467DB0">
        <w:t xml:space="preserve"> over for Europa-Parlamentets relevante </w:t>
      </w:r>
      <w:proofErr w:type="spellStart"/>
      <w:r w:rsidRPr="00467DB0">
        <w:t>udvalg</w:t>
      </w:r>
      <w:proofErr w:type="spellEnd"/>
      <w:r w:rsidRPr="00467DB0">
        <w:t xml:space="preserve"> og besvare </w:t>
      </w:r>
      <w:proofErr w:type="spellStart"/>
      <w:r w:rsidRPr="00467DB0">
        <w:t>spørgsmål</w:t>
      </w:r>
      <w:proofErr w:type="spellEnd"/>
      <w:r w:rsidRPr="00467DB0">
        <w:t xml:space="preserve"> fra </w:t>
      </w:r>
      <w:proofErr w:type="spellStart"/>
      <w:r w:rsidRPr="00467DB0">
        <w:t>medlemmerne</w:t>
      </w:r>
      <w:proofErr w:type="spellEnd"/>
      <w:r w:rsidRPr="00467DB0">
        <w:t>.</w:t>
      </w:r>
    </w:p>
    <w:p w14:paraId="4A8348FC" w14:textId="77777777" w:rsidR="00000000" w:rsidRPr="00467DB0" w:rsidRDefault="00693D67" w:rsidP="00467DB0">
      <w:pPr>
        <w:pStyle w:val="friliste"/>
      </w:pPr>
      <w:r w:rsidRPr="00467DB0">
        <w:t>3.</w:t>
      </w:r>
      <w:r w:rsidRPr="00467DB0">
        <w:tab/>
        <w:t>Bestyrel</w:t>
      </w:r>
      <w:r w:rsidRPr="00467DB0">
        <w:t xml:space="preserve">sen kan efter forslag fra </w:t>
      </w:r>
      <w:proofErr w:type="spellStart"/>
      <w:r w:rsidRPr="00467DB0">
        <w:t>Kommissionen</w:t>
      </w:r>
      <w:proofErr w:type="spellEnd"/>
      <w:r w:rsidRPr="00467DB0">
        <w:t xml:space="preserve"> eller fra en tredjedel </w:t>
      </w:r>
      <w:proofErr w:type="spellStart"/>
      <w:r w:rsidRPr="00467DB0">
        <w:t>af</w:t>
      </w:r>
      <w:proofErr w:type="spellEnd"/>
      <w:r w:rsidRPr="00467DB0">
        <w:t xml:space="preserve"> sine medlemmer </w:t>
      </w:r>
      <w:proofErr w:type="spellStart"/>
      <w:r w:rsidRPr="00467DB0">
        <w:t>afskedige</w:t>
      </w:r>
      <w:proofErr w:type="spellEnd"/>
      <w:r w:rsidRPr="00467DB0">
        <w:t xml:space="preserve"> den administrerende direktør ved </w:t>
      </w:r>
      <w:proofErr w:type="spellStart"/>
      <w:r w:rsidRPr="00467DB0">
        <w:t>afgørelse</w:t>
      </w:r>
      <w:proofErr w:type="spellEnd"/>
      <w:r w:rsidRPr="00467DB0">
        <w:t xml:space="preserve"> </w:t>
      </w:r>
      <w:proofErr w:type="spellStart"/>
      <w:r w:rsidRPr="00467DB0">
        <w:t>vedtaget</w:t>
      </w:r>
      <w:proofErr w:type="spellEnd"/>
      <w:r w:rsidRPr="00467DB0">
        <w:t xml:space="preserve"> med et </w:t>
      </w:r>
      <w:proofErr w:type="spellStart"/>
      <w:r w:rsidRPr="00467DB0">
        <w:t>flertal</w:t>
      </w:r>
      <w:proofErr w:type="spellEnd"/>
      <w:r w:rsidRPr="00467DB0">
        <w:t xml:space="preserve"> på to </w:t>
      </w:r>
      <w:proofErr w:type="spellStart"/>
      <w:r w:rsidRPr="00467DB0">
        <w:t>tredjedele</w:t>
      </w:r>
      <w:proofErr w:type="spellEnd"/>
      <w:r w:rsidRPr="00467DB0">
        <w:t xml:space="preserve"> </w:t>
      </w:r>
      <w:proofErr w:type="spellStart"/>
      <w:r w:rsidRPr="00467DB0">
        <w:t>af</w:t>
      </w:r>
      <w:proofErr w:type="spellEnd"/>
      <w:r w:rsidRPr="00467DB0">
        <w:t xml:space="preserve"> sine medlemmer.</w:t>
      </w:r>
    </w:p>
    <w:p w14:paraId="2993CE14" w14:textId="77777777" w:rsidR="00000000" w:rsidRPr="00467DB0" w:rsidRDefault="00693D67" w:rsidP="00467DB0">
      <w:pPr>
        <w:pStyle w:val="friliste"/>
      </w:pPr>
      <w:r w:rsidRPr="00467DB0">
        <w:t>4.</w:t>
      </w:r>
      <w:r w:rsidRPr="00467DB0">
        <w:tab/>
        <w:t>Europa-Parlamentet og Råd</w:t>
      </w:r>
      <w:r w:rsidRPr="00467DB0">
        <w:t xml:space="preserve">et kan anmode den administrerende direktør om en </w:t>
      </w:r>
      <w:proofErr w:type="spellStart"/>
      <w:r w:rsidRPr="00467DB0">
        <w:t>udveksling</w:t>
      </w:r>
      <w:proofErr w:type="spellEnd"/>
      <w:r w:rsidRPr="00467DB0">
        <w:t xml:space="preserve"> </w:t>
      </w:r>
      <w:proofErr w:type="spellStart"/>
      <w:r w:rsidRPr="00467DB0">
        <w:t>af</w:t>
      </w:r>
      <w:proofErr w:type="spellEnd"/>
      <w:r w:rsidRPr="00467DB0">
        <w:t xml:space="preserve"> synspunkter over for disse </w:t>
      </w:r>
      <w:proofErr w:type="spellStart"/>
      <w:r w:rsidRPr="00467DB0">
        <w:t>institutioner</w:t>
      </w:r>
      <w:proofErr w:type="spellEnd"/>
      <w:r w:rsidRPr="00467DB0">
        <w:t xml:space="preserve"> om agenturets </w:t>
      </w:r>
      <w:proofErr w:type="spellStart"/>
      <w:r w:rsidRPr="00467DB0">
        <w:t>arbejde</w:t>
      </w:r>
      <w:proofErr w:type="spellEnd"/>
      <w:r w:rsidRPr="00467DB0">
        <w:t xml:space="preserve"> og </w:t>
      </w:r>
      <w:proofErr w:type="spellStart"/>
      <w:r w:rsidRPr="00467DB0">
        <w:t>fremtidsudsigter</w:t>
      </w:r>
      <w:proofErr w:type="spellEnd"/>
      <w:r w:rsidRPr="00467DB0">
        <w:t xml:space="preserve">, herunder med hensyn til det flerårige og det årlige </w:t>
      </w:r>
      <w:proofErr w:type="spellStart"/>
      <w:r w:rsidRPr="00467DB0">
        <w:t>arbejdsprogram</w:t>
      </w:r>
      <w:proofErr w:type="spellEnd"/>
      <w:r w:rsidRPr="00467DB0">
        <w:t xml:space="preserve">. Denne </w:t>
      </w:r>
      <w:proofErr w:type="spellStart"/>
      <w:r w:rsidRPr="00467DB0">
        <w:t>udveksling</w:t>
      </w:r>
      <w:proofErr w:type="spellEnd"/>
      <w:r w:rsidRPr="00467DB0">
        <w:t xml:space="preserve"> </w:t>
      </w:r>
      <w:proofErr w:type="spellStart"/>
      <w:r w:rsidRPr="00467DB0">
        <w:t>af</w:t>
      </w:r>
      <w:proofErr w:type="spellEnd"/>
      <w:r w:rsidRPr="00467DB0">
        <w:t xml:space="preserve"> synspunkter må ikke b</w:t>
      </w:r>
      <w:r w:rsidRPr="00467DB0">
        <w:t xml:space="preserve">erøre </w:t>
      </w:r>
      <w:proofErr w:type="spellStart"/>
      <w:r w:rsidRPr="00467DB0">
        <w:t>spørgsmål</w:t>
      </w:r>
      <w:proofErr w:type="spellEnd"/>
      <w:r w:rsidRPr="00467DB0">
        <w:t xml:space="preserve"> </w:t>
      </w:r>
      <w:proofErr w:type="gramStart"/>
      <w:r w:rsidRPr="00467DB0">
        <w:t>vedrørende</w:t>
      </w:r>
      <w:proofErr w:type="gramEnd"/>
      <w:r w:rsidRPr="00467DB0">
        <w:t xml:space="preserve"> de </w:t>
      </w:r>
      <w:proofErr w:type="spellStart"/>
      <w:r w:rsidRPr="00467DB0">
        <w:t>sikkerhedsgodkendelsesaktiviteter</w:t>
      </w:r>
      <w:proofErr w:type="spellEnd"/>
      <w:r w:rsidRPr="00467DB0">
        <w:t xml:space="preserve">, der er omfattet </w:t>
      </w:r>
      <w:proofErr w:type="spellStart"/>
      <w:r w:rsidRPr="00467DB0">
        <w:t>af</w:t>
      </w:r>
      <w:proofErr w:type="spellEnd"/>
      <w:r w:rsidRPr="00467DB0">
        <w:t xml:space="preserve"> </w:t>
      </w:r>
      <w:proofErr w:type="spellStart"/>
      <w:r w:rsidRPr="00467DB0">
        <w:t>afsnit</w:t>
      </w:r>
      <w:proofErr w:type="spellEnd"/>
      <w:r w:rsidRPr="00467DB0">
        <w:t xml:space="preserve"> V, kapitel II.</w:t>
      </w:r>
    </w:p>
    <w:p w14:paraId="2655A9A3" w14:textId="77777777" w:rsidR="00000000" w:rsidRPr="00467DB0" w:rsidRDefault="00693D67" w:rsidP="00467DB0">
      <w:pPr>
        <w:pStyle w:val="avsnitt-undertittel"/>
      </w:pPr>
      <w:proofErr w:type="spellStart"/>
      <w:r w:rsidRPr="00467DB0">
        <w:t>Artikel</w:t>
      </w:r>
      <w:proofErr w:type="spellEnd"/>
      <w:r w:rsidRPr="00467DB0">
        <w:t xml:space="preserve"> 90</w:t>
      </w:r>
    </w:p>
    <w:p w14:paraId="3F5999EC" w14:textId="77777777" w:rsidR="00000000" w:rsidRPr="00467DB0" w:rsidRDefault="00693D67" w:rsidP="00467DB0">
      <w:pPr>
        <w:pStyle w:val="Undertittel"/>
      </w:pPr>
      <w:proofErr w:type="spellStart"/>
      <w:r w:rsidRPr="00467DB0">
        <w:t>Udstationering</w:t>
      </w:r>
      <w:proofErr w:type="spellEnd"/>
      <w:r w:rsidRPr="00467DB0">
        <w:t xml:space="preserve"> </w:t>
      </w:r>
      <w:proofErr w:type="spellStart"/>
      <w:r w:rsidRPr="00467DB0">
        <w:t>af</w:t>
      </w:r>
      <w:proofErr w:type="spellEnd"/>
      <w:r w:rsidRPr="00467DB0">
        <w:t xml:space="preserve"> </w:t>
      </w:r>
      <w:proofErr w:type="spellStart"/>
      <w:r w:rsidRPr="00467DB0">
        <w:t>nationale</w:t>
      </w:r>
      <w:proofErr w:type="spellEnd"/>
      <w:r w:rsidRPr="00467DB0">
        <w:t xml:space="preserve"> eksperter til agenturet</w:t>
      </w:r>
    </w:p>
    <w:p w14:paraId="6B72C60D" w14:textId="77777777" w:rsidR="00000000" w:rsidRPr="00467DB0" w:rsidRDefault="00693D67" w:rsidP="00467DB0">
      <w:r w:rsidRPr="00467DB0">
        <w:t xml:space="preserve">Agenturet kan </w:t>
      </w:r>
      <w:proofErr w:type="spellStart"/>
      <w:r w:rsidRPr="00467DB0">
        <w:t>ansætte</w:t>
      </w:r>
      <w:proofErr w:type="spellEnd"/>
      <w:r w:rsidRPr="00467DB0">
        <w:t xml:space="preserve"> </w:t>
      </w:r>
      <w:proofErr w:type="spellStart"/>
      <w:r w:rsidRPr="00467DB0">
        <w:t>nationale</w:t>
      </w:r>
      <w:proofErr w:type="spellEnd"/>
      <w:r w:rsidRPr="00467DB0">
        <w:t xml:space="preserve"> eksperter fra </w:t>
      </w:r>
      <w:proofErr w:type="spellStart"/>
      <w:r w:rsidRPr="00467DB0">
        <w:t>medlemsstaterne</w:t>
      </w:r>
      <w:proofErr w:type="spellEnd"/>
      <w:r w:rsidRPr="00467DB0">
        <w:t xml:space="preserve"> samt i medfør </w:t>
      </w:r>
      <w:proofErr w:type="spellStart"/>
      <w:r w:rsidRPr="00467DB0">
        <w:t>af</w:t>
      </w:r>
      <w:proofErr w:type="spellEnd"/>
      <w:r w:rsidRPr="00467DB0">
        <w:t xml:space="preserve"> </w:t>
      </w:r>
      <w:proofErr w:type="spellStart"/>
      <w:r w:rsidRPr="00467DB0">
        <w:t>artikel</w:t>
      </w:r>
      <w:proofErr w:type="spellEnd"/>
      <w:r w:rsidRPr="00467DB0">
        <w:t xml:space="preserve"> </w:t>
      </w:r>
      <w:r w:rsidRPr="00467DB0">
        <w:t xml:space="preserve">98, stk. 2, </w:t>
      </w:r>
      <w:proofErr w:type="spellStart"/>
      <w:r w:rsidRPr="00467DB0">
        <w:t>nationale</w:t>
      </w:r>
      <w:proofErr w:type="spellEnd"/>
      <w:r w:rsidRPr="00467DB0">
        <w:t xml:space="preserve"> eksperter fra deltagende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Disse eksperter skal have den fornødne </w:t>
      </w:r>
      <w:proofErr w:type="spellStart"/>
      <w:r w:rsidRPr="00467DB0">
        <w:t>sikkerhedsgodkendelse</w:t>
      </w:r>
      <w:proofErr w:type="spellEnd"/>
      <w:r w:rsidRPr="00467DB0">
        <w:t xml:space="preserve"> til </w:t>
      </w:r>
      <w:proofErr w:type="spellStart"/>
      <w:r w:rsidRPr="00467DB0">
        <w:t>klassifikationen</w:t>
      </w:r>
      <w:proofErr w:type="spellEnd"/>
      <w:r w:rsidRPr="00467DB0">
        <w:t xml:space="preserve"> </w:t>
      </w:r>
      <w:proofErr w:type="spellStart"/>
      <w:r w:rsidRPr="00467DB0">
        <w:t>af</w:t>
      </w:r>
      <w:proofErr w:type="spellEnd"/>
      <w:r w:rsidRPr="00467DB0">
        <w:t xml:space="preserve"> de </w:t>
      </w:r>
      <w:proofErr w:type="spellStart"/>
      <w:r w:rsidRPr="00467DB0">
        <w:t>informationer</w:t>
      </w:r>
      <w:proofErr w:type="spellEnd"/>
      <w:r w:rsidRPr="00467DB0">
        <w:t xml:space="preserve">, som de håndterer i henhold til </w:t>
      </w:r>
      <w:proofErr w:type="spellStart"/>
      <w:r w:rsidRPr="00467DB0">
        <w:t>artikel</w:t>
      </w:r>
      <w:proofErr w:type="spellEnd"/>
      <w:r w:rsidRPr="00467DB0">
        <w:t xml:space="preserve"> 43, stk. 2. </w:t>
      </w:r>
      <w:proofErr w:type="spellStart"/>
      <w:r w:rsidRPr="00467DB0">
        <w:t>Personale</w:t>
      </w:r>
      <w:r w:rsidRPr="00467DB0">
        <w:t>vedtægten</w:t>
      </w:r>
      <w:proofErr w:type="spellEnd"/>
      <w:r w:rsidRPr="00467DB0">
        <w:t xml:space="preserve"> og </w:t>
      </w:r>
      <w:proofErr w:type="spellStart"/>
      <w:r w:rsidRPr="00467DB0">
        <w:t>ansættelsesvilkårene</w:t>
      </w:r>
      <w:proofErr w:type="spellEnd"/>
      <w:r w:rsidRPr="00467DB0">
        <w:t xml:space="preserve"> </w:t>
      </w:r>
      <w:proofErr w:type="spellStart"/>
      <w:r w:rsidRPr="00467DB0">
        <w:t>gælder</w:t>
      </w:r>
      <w:proofErr w:type="spellEnd"/>
      <w:r w:rsidRPr="00467DB0">
        <w:t xml:space="preserve"> ikke for dette personale.</w:t>
      </w:r>
    </w:p>
    <w:p w14:paraId="2D24E054" w14:textId="77777777" w:rsidR="00000000" w:rsidRPr="00467DB0" w:rsidRDefault="00693D67" w:rsidP="00467DB0">
      <w:pPr>
        <w:pStyle w:val="avsnitt-undertittel"/>
      </w:pPr>
      <w:r w:rsidRPr="00467DB0">
        <w:lastRenderedPageBreak/>
        <w:t>Kapitel VI</w:t>
      </w:r>
    </w:p>
    <w:p w14:paraId="7ABEB6E0" w14:textId="77777777" w:rsidR="00000000" w:rsidRPr="00467DB0" w:rsidRDefault="00693D67" w:rsidP="00467DB0">
      <w:pPr>
        <w:pStyle w:val="Undertittel"/>
      </w:pPr>
      <w:r w:rsidRPr="00467DB0">
        <w:t>Andre bestemmelser</w:t>
      </w:r>
    </w:p>
    <w:p w14:paraId="017AB0B5" w14:textId="77777777" w:rsidR="00000000" w:rsidRPr="00467DB0" w:rsidRDefault="00693D67" w:rsidP="00467DB0">
      <w:pPr>
        <w:pStyle w:val="avsnitt-undertittel"/>
      </w:pPr>
      <w:proofErr w:type="spellStart"/>
      <w:r w:rsidRPr="00467DB0">
        <w:t>Artikel</w:t>
      </w:r>
      <w:proofErr w:type="spellEnd"/>
      <w:r w:rsidRPr="00467DB0">
        <w:t xml:space="preserve"> 91</w:t>
      </w:r>
    </w:p>
    <w:p w14:paraId="5AD9B0A5" w14:textId="77777777" w:rsidR="00000000" w:rsidRPr="00467DB0" w:rsidRDefault="00693D67" w:rsidP="00467DB0">
      <w:pPr>
        <w:pStyle w:val="Undertittel"/>
      </w:pPr>
      <w:r w:rsidRPr="00467DB0">
        <w:t>Privilegier og immuniteter</w:t>
      </w:r>
    </w:p>
    <w:p w14:paraId="6C5AA02D" w14:textId="77777777" w:rsidR="00000000" w:rsidRPr="00467DB0" w:rsidRDefault="00693D67" w:rsidP="00467DB0">
      <w:proofErr w:type="spellStart"/>
      <w:r w:rsidRPr="00467DB0">
        <w:t>Protokol</w:t>
      </w:r>
      <w:proofErr w:type="spellEnd"/>
      <w:r w:rsidRPr="00467DB0">
        <w:t xml:space="preserve"> nr. 7 </w:t>
      </w:r>
      <w:proofErr w:type="gramStart"/>
      <w:r w:rsidRPr="00467DB0">
        <w:t>vedrørende</w:t>
      </w:r>
      <w:proofErr w:type="gramEnd"/>
      <w:r w:rsidRPr="00467DB0">
        <w:t xml:space="preserve"> Den </w:t>
      </w:r>
      <w:proofErr w:type="spellStart"/>
      <w:r w:rsidRPr="00467DB0">
        <w:t>Europæiske</w:t>
      </w:r>
      <w:proofErr w:type="spellEnd"/>
      <w:r w:rsidRPr="00467DB0">
        <w:t xml:space="preserve"> Unions privilegier og immuniteter, der er knyttet som bilag til TEU og til TEUF,</w:t>
      </w:r>
      <w:r w:rsidRPr="00467DB0">
        <w:t xml:space="preserve"> </w:t>
      </w:r>
      <w:proofErr w:type="spellStart"/>
      <w:r w:rsidRPr="00467DB0">
        <w:t>finder</w:t>
      </w:r>
      <w:proofErr w:type="spellEnd"/>
      <w:r w:rsidRPr="00467DB0">
        <w:t xml:space="preserve"> anvendelse på agenturet og dets personale.</w:t>
      </w:r>
    </w:p>
    <w:p w14:paraId="6BBFDBC6" w14:textId="77777777" w:rsidR="00000000" w:rsidRPr="00467DB0" w:rsidRDefault="00693D67" w:rsidP="00467DB0">
      <w:pPr>
        <w:pStyle w:val="avsnitt-undertittel"/>
      </w:pPr>
      <w:proofErr w:type="spellStart"/>
      <w:r w:rsidRPr="00467DB0">
        <w:t>Artikel</w:t>
      </w:r>
      <w:proofErr w:type="spellEnd"/>
      <w:r w:rsidRPr="00467DB0">
        <w:t xml:space="preserve"> 92</w:t>
      </w:r>
    </w:p>
    <w:p w14:paraId="3A5F3DD5" w14:textId="77777777" w:rsidR="00000000" w:rsidRPr="00467DB0" w:rsidRDefault="00693D67" w:rsidP="00467DB0">
      <w:pPr>
        <w:pStyle w:val="Undertittel"/>
      </w:pPr>
      <w:proofErr w:type="spellStart"/>
      <w:r w:rsidRPr="00467DB0">
        <w:t>Hjemstedsaftale</w:t>
      </w:r>
      <w:proofErr w:type="spellEnd"/>
      <w:r w:rsidRPr="00467DB0">
        <w:t xml:space="preserve"> og </w:t>
      </w:r>
      <w:proofErr w:type="spellStart"/>
      <w:r w:rsidRPr="00467DB0">
        <w:t>værtsaftaler</w:t>
      </w:r>
      <w:proofErr w:type="spellEnd"/>
      <w:r w:rsidRPr="00467DB0">
        <w:t xml:space="preserve"> om lokale kontorer</w:t>
      </w:r>
    </w:p>
    <w:p w14:paraId="72D3D471" w14:textId="77777777" w:rsidR="00000000" w:rsidRPr="00467DB0" w:rsidRDefault="00693D67" w:rsidP="00467DB0">
      <w:pPr>
        <w:pStyle w:val="friliste"/>
      </w:pPr>
      <w:r w:rsidRPr="00467DB0">
        <w:t>1.</w:t>
      </w:r>
      <w:r w:rsidRPr="00467DB0">
        <w:tab/>
        <w:t xml:space="preserve">De nødvendige ordninger vedrørende de lokaler og </w:t>
      </w:r>
      <w:proofErr w:type="spellStart"/>
      <w:r w:rsidRPr="00467DB0">
        <w:t>faciliteter</w:t>
      </w:r>
      <w:proofErr w:type="spellEnd"/>
      <w:r w:rsidRPr="00467DB0">
        <w:t xml:space="preserve">, der skal stilles til </w:t>
      </w:r>
      <w:proofErr w:type="spellStart"/>
      <w:r w:rsidRPr="00467DB0">
        <w:t>rådighed</w:t>
      </w:r>
      <w:proofErr w:type="spellEnd"/>
      <w:r w:rsidRPr="00467DB0">
        <w:t xml:space="preserve"> for agenturet i den </w:t>
      </w:r>
      <w:proofErr w:type="spellStart"/>
      <w:r w:rsidRPr="00467DB0">
        <w:t>værtsmedlemsstat</w:t>
      </w:r>
      <w:proofErr w:type="spellEnd"/>
      <w:r w:rsidRPr="00467DB0">
        <w:t>, hvor agent</w:t>
      </w:r>
      <w:r w:rsidRPr="00467DB0">
        <w:t xml:space="preserve">urets hjemsted er beliggende, samt de særlige regler i </w:t>
      </w:r>
      <w:proofErr w:type="spellStart"/>
      <w:r w:rsidRPr="00467DB0">
        <w:t>værtsmedlemsstaten</w:t>
      </w:r>
      <w:proofErr w:type="spellEnd"/>
      <w:r w:rsidRPr="00467DB0">
        <w:t xml:space="preserve">, der </w:t>
      </w:r>
      <w:proofErr w:type="spellStart"/>
      <w:r w:rsidRPr="00467DB0">
        <w:t>finder</w:t>
      </w:r>
      <w:proofErr w:type="spellEnd"/>
      <w:r w:rsidRPr="00467DB0">
        <w:t xml:space="preserve"> anvendelse på agenturets administrerende direktør, </w:t>
      </w:r>
      <w:proofErr w:type="spellStart"/>
      <w:r w:rsidRPr="00467DB0">
        <w:t>bestyrelsesmedlemmerne</w:t>
      </w:r>
      <w:proofErr w:type="spellEnd"/>
      <w:r w:rsidRPr="00467DB0">
        <w:t xml:space="preserve">, agenturets personale og deres familiemedlemmer </w:t>
      </w:r>
      <w:proofErr w:type="spellStart"/>
      <w:r w:rsidRPr="00467DB0">
        <w:t>fastsættes</w:t>
      </w:r>
      <w:proofErr w:type="spellEnd"/>
      <w:r w:rsidRPr="00467DB0">
        <w:t xml:space="preserve"> i en </w:t>
      </w:r>
      <w:proofErr w:type="spellStart"/>
      <w:r w:rsidRPr="00467DB0">
        <w:t>hjemstedsaftale</w:t>
      </w:r>
      <w:proofErr w:type="spellEnd"/>
      <w:r w:rsidRPr="00467DB0">
        <w:t xml:space="preserve"> Hjemstedsaftalen</w:t>
      </w:r>
      <w:r w:rsidRPr="00467DB0">
        <w:t xml:space="preserve"> </w:t>
      </w:r>
      <w:proofErr w:type="spellStart"/>
      <w:r w:rsidRPr="00467DB0">
        <w:t>indgås</w:t>
      </w:r>
      <w:proofErr w:type="spellEnd"/>
      <w:r w:rsidRPr="00467DB0">
        <w:t xml:space="preserve"> </w:t>
      </w:r>
      <w:proofErr w:type="spellStart"/>
      <w:r w:rsidRPr="00467DB0">
        <w:t>mellem</w:t>
      </w:r>
      <w:proofErr w:type="spellEnd"/>
      <w:r w:rsidRPr="00467DB0">
        <w:t xml:space="preserve"> agenturet og den </w:t>
      </w:r>
      <w:proofErr w:type="spellStart"/>
      <w:r w:rsidRPr="00467DB0">
        <w:t>pågældende</w:t>
      </w:r>
      <w:proofErr w:type="spellEnd"/>
      <w:r w:rsidRPr="00467DB0">
        <w:t xml:space="preserve"> medlemsstat, hvor hjemstedet er beliggende, efter at bestyrelsen har </w:t>
      </w:r>
      <w:proofErr w:type="spellStart"/>
      <w:r w:rsidRPr="00467DB0">
        <w:t>godkendt</w:t>
      </w:r>
      <w:proofErr w:type="spellEnd"/>
      <w:r w:rsidRPr="00467DB0">
        <w:t xml:space="preserve"> den. </w:t>
      </w:r>
    </w:p>
    <w:p w14:paraId="4389D881" w14:textId="77777777" w:rsidR="00000000" w:rsidRPr="00467DB0" w:rsidRDefault="00693D67" w:rsidP="00467DB0">
      <w:pPr>
        <w:pStyle w:val="friliste"/>
      </w:pPr>
      <w:r w:rsidRPr="00467DB0">
        <w:t>2.</w:t>
      </w:r>
      <w:r w:rsidRPr="00467DB0">
        <w:tab/>
      </w:r>
      <w:proofErr w:type="gramStart"/>
      <w:r w:rsidRPr="00467DB0">
        <w:t>Såfremt</w:t>
      </w:r>
      <w:proofErr w:type="gramEnd"/>
      <w:r w:rsidRPr="00467DB0">
        <w:t xml:space="preserve"> det er </w:t>
      </w:r>
      <w:proofErr w:type="spellStart"/>
      <w:r w:rsidRPr="00467DB0">
        <w:t>nødvendigt</w:t>
      </w:r>
      <w:proofErr w:type="spellEnd"/>
      <w:r w:rsidRPr="00467DB0">
        <w:t xml:space="preserve"> for driften </w:t>
      </w:r>
      <w:proofErr w:type="spellStart"/>
      <w:r w:rsidRPr="00467DB0">
        <w:t>af</w:t>
      </w:r>
      <w:proofErr w:type="spellEnd"/>
      <w:r w:rsidRPr="00467DB0">
        <w:t xml:space="preserve"> agenturets lokale kontor </w:t>
      </w:r>
      <w:proofErr w:type="spellStart"/>
      <w:r w:rsidRPr="00467DB0">
        <w:t>oprettet</w:t>
      </w:r>
      <w:proofErr w:type="spellEnd"/>
      <w:r w:rsidRPr="00467DB0">
        <w:t xml:space="preserve"> i overensstemmelse med </w:t>
      </w:r>
      <w:proofErr w:type="spellStart"/>
      <w:r w:rsidRPr="00467DB0">
        <w:t>artikel</w:t>
      </w:r>
      <w:proofErr w:type="spellEnd"/>
      <w:r w:rsidRPr="00467DB0">
        <w:t xml:space="preserve"> 79, stk. 2, </w:t>
      </w:r>
      <w:proofErr w:type="spellStart"/>
      <w:r w:rsidRPr="00467DB0">
        <w:t>indgås</w:t>
      </w:r>
      <w:proofErr w:type="spellEnd"/>
      <w:r w:rsidRPr="00467DB0">
        <w:t xml:space="preserve"> d</w:t>
      </w:r>
      <w:r w:rsidRPr="00467DB0">
        <w:t xml:space="preserve">er en </w:t>
      </w:r>
      <w:proofErr w:type="spellStart"/>
      <w:r w:rsidRPr="00467DB0">
        <w:t>værtsaftale</w:t>
      </w:r>
      <w:proofErr w:type="spellEnd"/>
      <w:r w:rsidRPr="00467DB0">
        <w:t xml:space="preserve"> </w:t>
      </w:r>
      <w:proofErr w:type="spellStart"/>
      <w:r w:rsidRPr="00467DB0">
        <w:t>mellem</w:t>
      </w:r>
      <w:proofErr w:type="spellEnd"/>
      <w:r w:rsidRPr="00467DB0">
        <w:t xml:space="preserve"> agenturet og den </w:t>
      </w:r>
      <w:proofErr w:type="spellStart"/>
      <w:r w:rsidRPr="00467DB0">
        <w:t>pågældende</w:t>
      </w:r>
      <w:proofErr w:type="spellEnd"/>
      <w:r w:rsidRPr="00467DB0">
        <w:t xml:space="preserve"> medlemsstat, hvor det lokale kontor er beliggende, efter at bestyrelsen har </w:t>
      </w:r>
      <w:proofErr w:type="spellStart"/>
      <w:r w:rsidRPr="00467DB0">
        <w:t>godkendt</w:t>
      </w:r>
      <w:proofErr w:type="spellEnd"/>
      <w:r w:rsidRPr="00467DB0">
        <w:t xml:space="preserve"> den.</w:t>
      </w:r>
    </w:p>
    <w:p w14:paraId="1A43A49B" w14:textId="77777777" w:rsidR="00000000" w:rsidRPr="00467DB0" w:rsidRDefault="00693D67" w:rsidP="00467DB0">
      <w:pPr>
        <w:pStyle w:val="friliste"/>
      </w:pPr>
      <w:r w:rsidRPr="00467DB0">
        <w:t>3.</w:t>
      </w:r>
      <w:r w:rsidRPr="00467DB0">
        <w:tab/>
        <w:t xml:space="preserve">Agenturets </w:t>
      </w:r>
      <w:proofErr w:type="spellStart"/>
      <w:r w:rsidRPr="00467DB0">
        <w:t>værtsmedlemsstater</w:t>
      </w:r>
      <w:proofErr w:type="spellEnd"/>
      <w:r w:rsidRPr="00467DB0">
        <w:t xml:space="preserve"> sikrer de </w:t>
      </w:r>
      <w:proofErr w:type="spellStart"/>
      <w:r w:rsidRPr="00467DB0">
        <w:t>bedst</w:t>
      </w:r>
      <w:proofErr w:type="spellEnd"/>
      <w:r w:rsidRPr="00467DB0">
        <w:t xml:space="preserve"> mulige vilkår for, at agenturet kan fungere </w:t>
      </w:r>
      <w:proofErr w:type="spellStart"/>
      <w:r w:rsidRPr="00467DB0">
        <w:t>smidigt</w:t>
      </w:r>
      <w:proofErr w:type="spellEnd"/>
      <w:r w:rsidRPr="00467DB0">
        <w:t xml:space="preserve"> og effektivt</w:t>
      </w:r>
      <w:r w:rsidRPr="00467DB0">
        <w:t xml:space="preserve">, herunder tilbud om skoleundervisning på flere </w:t>
      </w:r>
      <w:proofErr w:type="spellStart"/>
      <w:r w:rsidRPr="00467DB0">
        <w:t>sprog</w:t>
      </w:r>
      <w:proofErr w:type="spellEnd"/>
      <w:r w:rsidRPr="00467DB0">
        <w:t xml:space="preserve"> med et </w:t>
      </w:r>
      <w:proofErr w:type="spellStart"/>
      <w:r w:rsidRPr="00467DB0">
        <w:t>europæisk</w:t>
      </w:r>
      <w:proofErr w:type="spellEnd"/>
      <w:r w:rsidRPr="00467DB0">
        <w:t xml:space="preserve"> </w:t>
      </w:r>
      <w:proofErr w:type="spellStart"/>
      <w:r w:rsidRPr="00467DB0">
        <w:t>indhold</w:t>
      </w:r>
      <w:proofErr w:type="spellEnd"/>
      <w:r w:rsidRPr="00467DB0">
        <w:t xml:space="preserve"> og </w:t>
      </w:r>
      <w:proofErr w:type="spellStart"/>
      <w:r w:rsidRPr="00467DB0">
        <w:t>hensigtsmæssige</w:t>
      </w:r>
      <w:proofErr w:type="spellEnd"/>
      <w:r w:rsidRPr="00467DB0">
        <w:t xml:space="preserve"> transportforbindelser.</w:t>
      </w:r>
    </w:p>
    <w:p w14:paraId="300E9CAF" w14:textId="77777777" w:rsidR="00000000" w:rsidRPr="00467DB0" w:rsidRDefault="00693D67" w:rsidP="00467DB0">
      <w:pPr>
        <w:pStyle w:val="avsnitt-undertittel"/>
      </w:pPr>
      <w:proofErr w:type="spellStart"/>
      <w:r w:rsidRPr="00467DB0">
        <w:t>Artikel</w:t>
      </w:r>
      <w:proofErr w:type="spellEnd"/>
      <w:r w:rsidRPr="00467DB0">
        <w:t xml:space="preserve"> 93</w:t>
      </w:r>
    </w:p>
    <w:p w14:paraId="3B9DBF44" w14:textId="77777777" w:rsidR="00000000" w:rsidRPr="00467DB0" w:rsidRDefault="00693D67" w:rsidP="00467DB0">
      <w:pPr>
        <w:pStyle w:val="Undertittel"/>
      </w:pPr>
      <w:r w:rsidRPr="00467DB0">
        <w:t xml:space="preserve">Agenturets </w:t>
      </w:r>
      <w:proofErr w:type="spellStart"/>
      <w:r w:rsidRPr="00467DB0">
        <w:t>sprogordning</w:t>
      </w:r>
      <w:proofErr w:type="spellEnd"/>
    </w:p>
    <w:p w14:paraId="2DBF5771" w14:textId="77777777" w:rsidR="00000000" w:rsidRPr="00467DB0" w:rsidRDefault="00693D67" w:rsidP="00467DB0">
      <w:pPr>
        <w:pStyle w:val="friliste"/>
      </w:pPr>
      <w:r w:rsidRPr="00467DB0">
        <w:t>1.</w:t>
      </w:r>
      <w:r w:rsidRPr="00467DB0">
        <w:tab/>
        <w:t>Rådets forordning nr. 1</w:t>
      </w:r>
      <w:r w:rsidRPr="00467DB0">
        <w:rPr>
          <w:rStyle w:val="Fotnotereferanse"/>
        </w:rPr>
        <w:footnoteReference w:id="58"/>
      </w:r>
      <w:r w:rsidRPr="00467DB0">
        <w:t xml:space="preserve"> </w:t>
      </w:r>
      <w:proofErr w:type="spellStart"/>
      <w:r w:rsidRPr="00467DB0">
        <w:t>finder</w:t>
      </w:r>
      <w:proofErr w:type="spellEnd"/>
      <w:r w:rsidRPr="00467DB0">
        <w:t xml:space="preserve"> </w:t>
      </w:r>
      <w:proofErr w:type="gramStart"/>
      <w:r w:rsidRPr="00467DB0">
        <w:t>anvendelse</w:t>
      </w:r>
      <w:proofErr w:type="gramEnd"/>
      <w:r w:rsidRPr="00467DB0">
        <w:t xml:space="preserve"> på agenturet.</w:t>
      </w:r>
    </w:p>
    <w:p w14:paraId="208A4552" w14:textId="77777777" w:rsidR="00000000" w:rsidRPr="00467DB0" w:rsidRDefault="00693D67" w:rsidP="00467DB0">
      <w:pPr>
        <w:pStyle w:val="friliste"/>
      </w:pPr>
      <w:r w:rsidRPr="00467DB0">
        <w:t>2.</w:t>
      </w:r>
      <w:r w:rsidRPr="00467DB0">
        <w:tab/>
        <w:t xml:space="preserve">De </w:t>
      </w:r>
      <w:proofErr w:type="spellStart"/>
      <w:r w:rsidRPr="00467DB0">
        <w:t>oversættelsesopgaver</w:t>
      </w:r>
      <w:proofErr w:type="spellEnd"/>
      <w:r w:rsidRPr="00467DB0">
        <w:t xml:space="preserve">, der er </w:t>
      </w:r>
      <w:proofErr w:type="spellStart"/>
      <w:r w:rsidRPr="00467DB0">
        <w:t>påkrævet</w:t>
      </w:r>
      <w:proofErr w:type="spellEnd"/>
      <w:r w:rsidRPr="00467DB0">
        <w:t xml:space="preserve"> i forbindelse med agenturets </w:t>
      </w:r>
      <w:proofErr w:type="spellStart"/>
      <w:r w:rsidRPr="00467DB0">
        <w:t>virksomhed</w:t>
      </w:r>
      <w:proofErr w:type="spellEnd"/>
      <w:r w:rsidRPr="00467DB0">
        <w:t xml:space="preserve">, </w:t>
      </w:r>
      <w:proofErr w:type="spellStart"/>
      <w:r w:rsidRPr="00467DB0">
        <w:t>udføres</w:t>
      </w:r>
      <w:proofErr w:type="spellEnd"/>
      <w:r w:rsidRPr="00467DB0">
        <w:t xml:space="preserve"> </w:t>
      </w:r>
      <w:proofErr w:type="spellStart"/>
      <w:r w:rsidRPr="00467DB0">
        <w:t>af</w:t>
      </w:r>
      <w:proofErr w:type="spellEnd"/>
      <w:r w:rsidRPr="00467DB0">
        <w:t xml:space="preserve"> </w:t>
      </w:r>
      <w:proofErr w:type="spellStart"/>
      <w:r w:rsidRPr="00467DB0">
        <w:t>Oversættelsescentret</w:t>
      </w:r>
      <w:proofErr w:type="spellEnd"/>
      <w:r w:rsidRPr="00467DB0">
        <w:t xml:space="preserve"> for Den </w:t>
      </w:r>
      <w:proofErr w:type="spellStart"/>
      <w:r w:rsidRPr="00467DB0">
        <w:t>Euro</w:t>
      </w:r>
      <w:r w:rsidRPr="00467DB0">
        <w:t>pæiske</w:t>
      </w:r>
      <w:proofErr w:type="spellEnd"/>
      <w:r w:rsidRPr="00467DB0">
        <w:t xml:space="preserve"> Unions Organer.</w:t>
      </w:r>
    </w:p>
    <w:p w14:paraId="73922843" w14:textId="77777777" w:rsidR="00000000" w:rsidRPr="00467DB0" w:rsidRDefault="00693D67" w:rsidP="00467DB0">
      <w:pPr>
        <w:pStyle w:val="avsnitt-undertittel"/>
      </w:pPr>
      <w:proofErr w:type="spellStart"/>
      <w:r w:rsidRPr="00467DB0">
        <w:t>Artikel</w:t>
      </w:r>
      <w:proofErr w:type="spellEnd"/>
      <w:r w:rsidRPr="00467DB0">
        <w:t xml:space="preserve"> 94</w:t>
      </w:r>
    </w:p>
    <w:p w14:paraId="491F8B80" w14:textId="77777777" w:rsidR="00000000" w:rsidRPr="00467DB0" w:rsidRDefault="00693D67" w:rsidP="00467DB0">
      <w:pPr>
        <w:pStyle w:val="Undertittel"/>
      </w:pPr>
      <w:proofErr w:type="spellStart"/>
      <w:r w:rsidRPr="00467DB0">
        <w:t>Politik</w:t>
      </w:r>
      <w:proofErr w:type="spellEnd"/>
      <w:r w:rsidRPr="00467DB0">
        <w:t xml:space="preserve"> </w:t>
      </w:r>
      <w:proofErr w:type="gramStart"/>
      <w:r w:rsidRPr="00467DB0">
        <w:t>vedrørende</w:t>
      </w:r>
      <w:proofErr w:type="gramEnd"/>
      <w:r w:rsidRPr="00467DB0">
        <w:t xml:space="preserve"> adgang til agenturets dokumenter</w:t>
      </w:r>
    </w:p>
    <w:p w14:paraId="5A377C66" w14:textId="77777777" w:rsidR="00000000" w:rsidRPr="00467DB0" w:rsidRDefault="00693D67" w:rsidP="00467DB0">
      <w:pPr>
        <w:pStyle w:val="friliste"/>
      </w:pPr>
      <w:r w:rsidRPr="00467DB0">
        <w:t>1.</w:t>
      </w:r>
      <w:r w:rsidRPr="00467DB0">
        <w:tab/>
        <w:t xml:space="preserve">Forordning (EF) nr. 1049/2001 </w:t>
      </w:r>
      <w:proofErr w:type="spellStart"/>
      <w:r w:rsidRPr="00467DB0">
        <w:t>finder</w:t>
      </w:r>
      <w:proofErr w:type="spellEnd"/>
      <w:r w:rsidRPr="00467DB0">
        <w:t xml:space="preserve"> </w:t>
      </w:r>
      <w:proofErr w:type="gramStart"/>
      <w:r w:rsidRPr="00467DB0">
        <w:t>anvendelse</w:t>
      </w:r>
      <w:proofErr w:type="gramEnd"/>
      <w:r w:rsidRPr="00467DB0">
        <w:t xml:space="preserve"> på agenturets dokumenter.</w:t>
      </w:r>
    </w:p>
    <w:p w14:paraId="1DAC3929" w14:textId="77777777" w:rsidR="00000000" w:rsidRPr="00467DB0" w:rsidRDefault="00693D67" w:rsidP="00467DB0">
      <w:pPr>
        <w:pStyle w:val="friliste"/>
      </w:pPr>
      <w:r w:rsidRPr="00467DB0">
        <w:lastRenderedPageBreak/>
        <w:t>2.</w:t>
      </w:r>
      <w:r w:rsidRPr="00467DB0">
        <w:tab/>
        <w:t xml:space="preserve">Bestyrelsen </w:t>
      </w:r>
      <w:proofErr w:type="spellStart"/>
      <w:r w:rsidRPr="00467DB0">
        <w:t>vedtager</w:t>
      </w:r>
      <w:proofErr w:type="spellEnd"/>
      <w:r w:rsidRPr="00467DB0">
        <w:t xml:space="preserve"> de praktiske bestemmelser til </w:t>
      </w:r>
      <w:proofErr w:type="spellStart"/>
      <w:r w:rsidRPr="00467DB0">
        <w:t>gennemførelse</w:t>
      </w:r>
      <w:proofErr w:type="spellEnd"/>
      <w:r w:rsidRPr="00467DB0">
        <w:t xml:space="preserve"> </w:t>
      </w:r>
      <w:proofErr w:type="spellStart"/>
      <w:r w:rsidRPr="00467DB0">
        <w:t>af</w:t>
      </w:r>
      <w:proofErr w:type="spellEnd"/>
      <w:r w:rsidRPr="00467DB0">
        <w:t xml:space="preserve"> forordning (EF) nr. 10</w:t>
      </w:r>
      <w:r w:rsidRPr="00467DB0">
        <w:t>49/2001.</w:t>
      </w:r>
    </w:p>
    <w:p w14:paraId="7319A725" w14:textId="77777777" w:rsidR="00000000" w:rsidRPr="00467DB0" w:rsidRDefault="00693D67" w:rsidP="00467DB0">
      <w:pPr>
        <w:pStyle w:val="friliste"/>
      </w:pPr>
      <w:r w:rsidRPr="00467DB0">
        <w:t>3.</w:t>
      </w:r>
      <w:r w:rsidRPr="00467DB0">
        <w:tab/>
        <w:t xml:space="preserve">De </w:t>
      </w:r>
      <w:proofErr w:type="spellStart"/>
      <w:r w:rsidRPr="00467DB0">
        <w:t>afgørelser</w:t>
      </w:r>
      <w:proofErr w:type="spellEnd"/>
      <w:r w:rsidRPr="00467DB0">
        <w:t xml:space="preserve">, som agenturet </w:t>
      </w:r>
      <w:proofErr w:type="spellStart"/>
      <w:r w:rsidRPr="00467DB0">
        <w:t>træffer</w:t>
      </w:r>
      <w:proofErr w:type="spellEnd"/>
      <w:r w:rsidRPr="00467DB0">
        <w:t xml:space="preserve"> i henhold til </w:t>
      </w:r>
      <w:proofErr w:type="spellStart"/>
      <w:r w:rsidRPr="00467DB0">
        <w:t>artikel</w:t>
      </w:r>
      <w:proofErr w:type="spellEnd"/>
      <w:r w:rsidRPr="00467DB0">
        <w:t xml:space="preserve"> 8 i forordning (EF) nr. 1049/2001, kan i henhold til </w:t>
      </w:r>
      <w:proofErr w:type="spellStart"/>
      <w:r w:rsidRPr="00467DB0">
        <w:t>artikel</w:t>
      </w:r>
      <w:proofErr w:type="spellEnd"/>
      <w:r w:rsidRPr="00467DB0">
        <w:t xml:space="preserve"> 228 eller </w:t>
      </w:r>
      <w:proofErr w:type="spellStart"/>
      <w:r w:rsidRPr="00467DB0">
        <w:t>artikel</w:t>
      </w:r>
      <w:proofErr w:type="spellEnd"/>
      <w:r w:rsidRPr="00467DB0">
        <w:t xml:space="preserve"> 263 i TEUF </w:t>
      </w:r>
      <w:proofErr w:type="spellStart"/>
      <w:r w:rsidRPr="00467DB0">
        <w:t>indklages</w:t>
      </w:r>
      <w:proofErr w:type="spellEnd"/>
      <w:r w:rsidRPr="00467DB0">
        <w:t xml:space="preserve"> for </w:t>
      </w:r>
      <w:proofErr w:type="spellStart"/>
      <w:r w:rsidRPr="00467DB0">
        <w:t>Ombudsmanden</w:t>
      </w:r>
      <w:proofErr w:type="spellEnd"/>
      <w:r w:rsidRPr="00467DB0">
        <w:t xml:space="preserve"> henholdsvis Den </w:t>
      </w:r>
      <w:proofErr w:type="spellStart"/>
      <w:r w:rsidRPr="00467DB0">
        <w:t>Europæiske</w:t>
      </w:r>
      <w:proofErr w:type="spellEnd"/>
      <w:r w:rsidRPr="00467DB0">
        <w:t xml:space="preserve"> Unions Domstol.</w:t>
      </w:r>
    </w:p>
    <w:p w14:paraId="3A2E1AB2" w14:textId="77777777" w:rsidR="00000000" w:rsidRPr="00467DB0" w:rsidRDefault="00693D67" w:rsidP="00467DB0">
      <w:pPr>
        <w:pStyle w:val="avsnitt-undertittel"/>
      </w:pPr>
      <w:proofErr w:type="spellStart"/>
      <w:r w:rsidRPr="00467DB0">
        <w:t>Artikel</w:t>
      </w:r>
      <w:proofErr w:type="spellEnd"/>
      <w:r w:rsidRPr="00467DB0">
        <w:t xml:space="preserve"> 95</w:t>
      </w:r>
    </w:p>
    <w:p w14:paraId="15C2FA01" w14:textId="77777777" w:rsidR="00000000" w:rsidRPr="00467DB0" w:rsidRDefault="00693D67" w:rsidP="00467DB0">
      <w:pPr>
        <w:pStyle w:val="Undertittel"/>
      </w:pPr>
      <w:r w:rsidRPr="00467DB0">
        <w:t>Agenturets for</w:t>
      </w:r>
      <w:r w:rsidRPr="00467DB0">
        <w:t xml:space="preserve">anstaltninger til forebyggelse </w:t>
      </w:r>
      <w:proofErr w:type="spellStart"/>
      <w:r w:rsidRPr="00467DB0">
        <w:t>af</w:t>
      </w:r>
      <w:proofErr w:type="spellEnd"/>
      <w:r w:rsidRPr="00467DB0">
        <w:t xml:space="preserve"> </w:t>
      </w:r>
      <w:proofErr w:type="spellStart"/>
      <w:r w:rsidRPr="00467DB0">
        <w:t>svig</w:t>
      </w:r>
      <w:proofErr w:type="spellEnd"/>
    </w:p>
    <w:p w14:paraId="73FDBBF2" w14:textId="77777777" w:rsidR="00000000" w:rsidRPr="00467DB0" w:rsidRDefault="00693D67" w:rsidP="00467DB0">
      <w:pPr>
        <w:pStyle w:val="friliste"/>
      </w:pPr>
      <w:r w:rsidRPr="00467DB0">
        <w:t>1.</w:t>
      </w:r>
      <w:r w:rsidRPr="00467DB0">
        <w:tab/>
        <w:t xml:space="preserve">For at fremme </w:t>
      </w:r>
      <w:proofErr w:type="spellStart"/>
      <w:r w:rsidRPr="00467DB0">
        <w:t>bekæmpelsen</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w:t>
      </w:r>
      <w:proofErr w:type="spellStart"/>
      <w:r w:rsidRPr="00467DB0">
        <w:t>korruption</w:t>
      </w:r>
      <w:proofErr w:type="spellEnd"/>
      <w:r w:rsidRPr="00467DB0">
        <w:t xml:space="preserve"> og andre </w:t>
      </w:r>
      <w:proofErr w:type="spellStart"/>
      <w:r w:rsidRPr="00467DB0">
        <w:t>retsstridige</w:t>
      </w:r>
      <w:proofErr w:type="spellEnd"/>
      <w:r w:rsidRPr="00467DB0">
        <w:t xml:space="preserve"> handlinger i henhold til forordning (EU, Euratom) nr. 883/2013 </w:t>
      </w:r>
      <w:proofErr w:type="spellStart"/>
      <w:r w:rsidRPr="00467DB0">
        <w:t>tiltræder</w:t>
      </w:r>
      <w:proofErr w:type="spellEnd"/>
      <w:r w:rsidRPr="00467DB0">
        <w:t xml:space="preserve"> agenturet, senest seks måneder fra den dag, det bliver </w:t>
      </w:r>
      <w:proofErr w:type="spellStart"/>
      <w:r w:rsidRPr="00467DB0">
        <w:t>operationelt</w:t>
      </w:r>
      <w:proofErr w:type="spellEnd"/>
      <w:r w:rsidRPr="00467DB0">
        <w:t xml:space="preserve">, den </w:t>
      </w:r>
      <w:proofErr w:type="spellStart"/>
      <w:r w:rsidRPr="00467DB0">
        <w:t>interinstitutionelle</w:t>
      </w:r>
      <w:proofErr w:type="spellEnd"/>
      <w:r w:rsidRPr="00467DB0">
        <w:t xml:space="preserve"> </w:t>
      </w:r>
      <w:proofErr w:type="spellStart"/>
      <w:r w:rsidRPr="00467DB0">
        <w:t>aftale</w:t>
      </w:r>
      <w:proofErr w:type="spellEnd"/>
      <w:r w:rsidRPr="00467DB0">
        <w:t xml:space="preserve"> </w:t>
      </w:r>
      <w:proofErr w:type="spellStart"/>
      <w:r w:rsidRPr="00467DB0">
        <w:t>af</w:t>
      </w:r>
      <w:proofErr w:type="spellEnd"/>
      <w:r w:rsidRPr="00467DB0">
        <w:t xml:space="preserve"> 25. </w:t>
      </w:r>
      <w:proofErr w:type="spellStart"/>
      <w:r w:rsidRPr="00467DB0">
        <w:t>maj</w:t>
      </w:r>
      <w:proofErr w:type="spellEnd"/>
      <w:r w:rsidRPr="00467DB0">
        <w:t xml:space="preserve"> 1999 om de interne </w:t>
      </w:r>
      <w:proofErr w:type="spellStart"/>
      <w:r w:rsidRPr="00467DB0">
        <w:t>undersøgelser</w:t>
      </w:r>
      <w:proofErr w:type="spellEnd"/>
      <w:r w:rsidRPr="00467DB0">
        <w:t xml:space="preserve">, der foretages </w:t>
      </w:r>
      <w:proofErr w:type="spellStart"/>
      <w:r w:rsidRPr="00467DB0">
        <w:t>af</w:t>
      </w:r>
      <w:proofErr w:type="spellEnd"/>
      <w:r w:rsidRPr="00467DB0">
        <w:t xml:space="preserve"> Det </w:t>
      </w:r>
      <w:proofErr w:type="spellStart"/>
      <w:r w:rsidRPr="00467DB0">
        <w:t>Europæiske</w:t>
      </w:r>
      <w:proofErr w:type="spellEnd"/>
      <w:r w:rsidRPr="00467DB0">
        <w:t xml:space="preserve"> Kontor for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(OLAF)</w:t>
      </w:r>
      <w:r w:rsidRPr="00467DB0">
        <w:rPr>
          <w:rStyle w:val="Fotnotereferanse"/>
        </w:rPr>
        <w:footnoteReference w:id="59"/>
      </w:r>
      <w:r w:rsidRPr="00467DB0">
        <w:t xml:space="preserve">, og </w:t>
      </w:r>
      <w:proofErr w:type="spellStart"/>
      <w:r w:rsidRPr="00467DB0">
        <w:t>vedtager</w:t>
      </w:r>
      <w:proofErr w:type="spellEnd"/>
      <w:r w:rsidRPr="00467DB0">
        <w:t xml:space="preserve"> de nød</w:t>
      </w:r>
      <w:r w:rsidRPr="00467DB0">
        <w:t xml:space="preserve">vendige bestemmelser, som skal </w:t>
      </w:r>
      <w:proofErr w:type="spellStart"/>
      <w:r w:rsidRPr="00467DB0">
        <w:t>finde</w:t>
      </w:r>
      <w:proofErr w:type="spellEnd"/>
      <w:r w:rsidRPr="00467DB0">
        <w:t xml:space="preserve"> anvendelse på agenturets </w:t>
      </w:r>
      <w:proofErr w:type="spellStart"/>
      <w:r w:rsidRPr="00467DB0">
        <w:t>medarbejdere</w:t>
      </w:r>
      <w:proofErr w:type="spellEnd"/>
      <w:r w:rsidRPr="00467DB0">
        <w:t xml:space="preserve">, ved anvendelse </w:t>
      </w:r>
      <w:proofErr w:type="spellStart"/>
      <w:r w:rsidRPr="00467DB0">
        <w:t>af</w:t>
      </w:r>
      <w:proofErr w:type="spellEnd"/>
      <w:r w:rsidRPr="00467DB0">
        <w:t xml:space="preserve"> den </w:t>
      </w:r>
      <w:proofErr w:type="spellStart"/>
      <w:r w:rsidRPr="00467DB0">
        <w:t>model</w:t>
      </w:r>
      <w:proofErr w:type="spellEnd"/>
      <w:r w:rsidRPr="00467DB0">
        <w:t xml:space="preserve">, der </w:t>
      </w:r>
      <w:proofErr w:type="spellStart"/>
      <w:r w:rsidRPr="00467DB0">
        <w:t>findes</w:t>
      </w:r>
      <w:proofErr w:type="spellEnd"/>
      <w:r w:rsidRPr="00467DB0">
        <w:t xml:space="preserve"> i bilaget til </w:t>
      </w:r>
      <w:proofErr w:type="spellStart"/>
      <w:r w:rsidRPr="00467DB0">
        <w:t>nævnte</w:t>
      </w:r>
      <w:proofErr w:type="spellEnd"/>
      <w:r w:rsidRPr="00467DB0">
        <w:t xml:space="preserve"> </w:t>
      </w:r>
      <w:proofErr w:type="spellStart"/>
      <w:r w:rsidRPr="00467DB0">
        <w:t>aftale</w:t>
      </w:r>
      <w:proofErr w:type="spellEnd"/>
      <w:r w:rsidRPr="00467DB0">
        <w:t>.</w:t>
      </w:r>
    </w:p>
    <w:p w14:paraId="68202CF8" w14:textId="77777777" w:rsidR="00000000" w:rsidRPr="00467DB0" w:rsidRDefault="00693D67" w:rsidP="00467DB0">
      <w:pPr>
        <w:pStyle w:val="friliste"/>
      </w:pPr>
      <w:r w:rsidRPr="00467DB0">
        <w:t>2.</w:t>
      </w:r>
      <w:r w:rsidRPr="00467DB0">
        <w:tab/>
        <w:t xml:space="preserve">Den </w:t>
      </w:r>
      <w:proofErr w:type="spellStart"/>
      <w:r w:rsidRPr="00467DB0">
        <w:t>Europæiske</w:t>
      </w:r>
      <w:proofErr w:type="spellEnd"/>
      <w:r w:rsidRPr="00467DB0">
        <w:t xml:space="preserve"> </w:t>
      </w:r>
      <w:proofErr w:type="spellStart"/>
      <w:r w:rsidRPr="00467DB0">
        <w:t>Revisionsret</w:t>
      </w:r>
      <w:proofErr w:type="spellEnd"/>
      <w:r w:rsidRPr="00467DB0">
        <w:t xml:space="preserve"> har </w:t>
      </w:r>
      <w:proofErr w:type="spellStart"/>
      <w:r w:rsidRPr="00467DB0">
        <w:t>beføjelse</w:t>
      </w:r>
      <w:proofErr w:type="spellEnd"/>
      <w:r w:rsidRPr="00467DB0">
        <w:t xml:space="preserve"> til </w:t>
      </w:r>
      <w:proofErr w:type="spellStart"/>
      <w:r w:rsidRPr="00467DB0">
        <w:t>gennem</w:t>
      </w:r>
      <w:proofErr w:type="spellEnd"/>
      <w:r w:rsidRPr="00467DB0">
        <w:t xml:space="preserve"> </w:t>
      </w:r>
      <w:proofErr w:type="spellStart"/>
      <w:r w:rsidRPr="00467DB0">
        <w:t>bilagskontrol</w:t>
      </w:r>
      <w:proofErr w:type="spellEnd"/>
      <w:r w:rsidRPr="00467DB0">
        <w:t xml:space="preserve"> og </w:t>
      </w:r>
      <w:proofErr w:type="spellStart"/>
      <w:r w:rsidRPr="00467DB0">
        <w:t>kontrol</w:t>
      </w:r>
      <w:proofErr w:type="spellEnd"/>
      <w:r w:rsidRPr="00467DB0">
        <w:t xml:space="preserve"> på stedet at kontrollere alle </w:t>
      </w:r>
      <w:proofErr w:type="spellStart"/>
      <w:r w:rsidRPr="00467DB0">
        <w:t>tilskudsmodtagere</w:t>
      </w:r>
      <w:proofErr w:type="spellEnd"/>
      <w:r w:rsidRPr="00467DB0">
        <w:t xml:space="preserve">, kontrahenter og underkontrahenter, der har </w:t>
      </w:r>
      <w:proofErr w:type="spellStart"/>
      <w:r w:rsidRPr="00467DB0">
        <w:t>modtaget</w:t>
      </w:r>
      <w:proofErr w:type="spellEnd"/>
      <w:r w:rsidRPr="00467DB0">
        <w:t xml:space="preserve"> EU-midler </w:t>
      </w:r>
      <w:proofErr w:type="spellStart"/>
      <w:r w:rsidRPr="00467DB0">
        <w:t>gennem</w:t>
      </w:r>
      <w:proofErr w:type="spellEnd"/>
      <w:r w:rsidRPr="00467DB0">
        <w:t xml:space="preserve"> agenturet.</w:t>
      </w:r>
    </w:p>
    <w:p w14:paraId="356A2240" w14:textId="77777777" w:rsidR="00000000" w:rsidRPr="00467DB0" w:rsidRDefault="00693D67" w:rsidP="00467DB0">
      <w:pPr>
        <w:pStyle w:val="friliste"/>
      </w:pPr>
      <w:r w:rsidRPr="00467DB0">
        <w:t>3.</w:t>
      </w:r>
      <w:r w:rsidRPr="00467DB0">
        <w:tab/>
        <w:t xml:space="preserve">OLAF kan efter </w:t>
      </w:r>
      <w:proofErr w:type="spellStart"/>
      <w:r w:rsidRPr="00467DB0">
        <w:t>bestemmelserne</w:t>
      </w:r>
      <w:proofErr w:type="spellEnd"/>
      <w:r w:rsidRPr="00467DB0">
        <w:t xml:space="preserve"> og </w:t>
      </w:r>
      <w:proofErr w:type="spellStart"/>
      <w:r w:rsidRPr="00467DB0">
        <w:t>procedurerne</w:t>
      </w:r>
      <w:proofErr w:type="spellEnd"/>
      <w:r w:rsidRPr="00467DB0">
        <w:t xml:space="preserve"> i forordning (Euratom, EF) nr. 2185/96 og (EU, Euratom) nr. 883/2013 </w:t>
      </w:r>
      <w:proofErr w:type="spellStart"/>
      <w:r w:rsidRPr="00467DB0">
        <w:t>foretage</w:t>
      </w:r>
      <w:proofErr w:type="spellEnd"/>
      <w:r w:rsidRPr="00467DB0">
        <w:t xml:space="preserve"> </w:t>
      </w:r>
      <w:proofErr w:type="spellStart"/>
      <w:r w:rsidRPr="00467DB0">
        <w:t>undersøgelser</w:t>
      </w:r>
      <w:proofErr w:type="spellEnd"/>
      <w:r w:rsidRPr="00467DB0">
        <w:t xml:space="preserve">, herunder </w:t>
      </w:r>
      <w:proofErr w:type="spellStart"/>
      <w:r w:rsidRPr="00467DB0">
        <w:t>kontro</w:t>
      </w:r>
      <w:r w:rsidRPr="00467DB0">
        <w:t>l</w:t>
      </w:r>
      <w:proofErr w:type="spellEnd"/>
      <w:r w:rsidRPr="00467DB0">
        <w:t xml:space="preserve"> og </w:t>
      </w:r>
      <w:proofErr w:type="spellStart"/>
      <w:r w:rsidRPr="00467DB0">
        <w:t>inspektion</w:t>
      </w:r>
      <w:proofErr w:type="spellEnd"/>
      <w:r w:rsidRPr="00467DB0">
        <w:t xml:space="preserve"> på stedet, for at fastslå, om der har </w:t>
      </w:r>
      <w:proofErr w:type="spellStart"/>
      <w:r w:rsidRPr="00467DB0">
        <w:t>været</w:t>
      </w:r>
      <w:proofErr w:type="spellEnd"/>
      <w:r w:rsidRPr="00467DB0">
        <w:t xml:space="preserve"> tale om </w:t>
      </w:r>
      <w:proofErr w:type="spellStart"/>
      <w:r w:rsidRPr="00467DB0">
        <w:t>svig</w:t>
      </w:r>
      <w:proofErr w:type="spellEnd"/>
      <w:r w:rsidRPr="00467DB0">
        <w:t xml:space="preserve">, </w:t>
      </w:r>
      <w:proofErr w:type="spellStart"/>
      <w:r w:rsidRPr="00467DB0">
        <w:t>korruption</w:t>
      </w:r>
      <w:proofErr w:type="spellEnd"/>
      <w:r w:rsidRPr="00467DB0">
        <w:t xml:space="preserve"> eller andre ulovlige aktiviteter, der berører Unionens finansielle interesser, i forbindelse med </w:t>
      </w:r>
      <w:proofErr w:type="spellStart"/>
      <w:r w:rsidRPr="00467DB0">
        <w:t>tilskud</w:t>
      </w:r>
      <w:proofErr w:type="spellEnd"/>
      <w:r w:rsidRPr="00467DB0">
        <w:t xml:space="preserve"> eller kontrakter, der finansieres </w:t>
      </w:r>
      <w:proofErr w:type="spellStart"/>
      <w:r w:rsidRPr="00467DB0">
        <w:t>af</w:t>
      </w:r>
      <w:proofErr w:type="spellEnd"/>
      <w:r w:rsidRPr="00467DB0">
        <w:t xml:space="preserve"> agenturet.</w:t>
      </w:r>
    </w:p>
    <w:p w14:paraId="43B0CA44" w14:textId="77777777" w:rsidR="00000000" w:rsidRPr="00467DB0" w:rsidRDefault="00693D67" w:rsidP="00467DB0">
      <w:pPr>
        <w:pStyle w:val="friliste"/>
      </w:pPr>
      <w:r w:rsidRPr="00467DB0">
        <w:t>4.</w:t>
      </w:r>
      <w:r w:rsidRPr="00467DB0">
        <w:tab/>
        <w:t xml:space="preserve">Agenturets </w:t>
      </w:r>
      <w:proofErr w:type="spellStart"/>
      <w:r w:rsidRPr="00467DB0">
        <w:t>sama</w:t>
      </w:r>
      <w:r w:rsidRPr="00467DB0">
        <w:t>rbejdsaftaler</w:t>
      </w:r>
      <w:proofErr w:type="spellEnd"/>
      <w:r w:rsidRPr="00467DB0">
        <w:t xml:space="preserve"> med </w:t>
      </w:r>
      <w:proofErr w:type="spellStart"/>
      <w:r w:rsidRPr="00467DB0">
        <w:t>tredjelande</w:t>
      </w:r>
      <w:proofErr w:type="spellEnd"/>
      <w:r w:rsidRPr="00467DB0">
        <w:t xml:space="preserve"> og med </w:t>
      </w:r>
      <w:proofErr w:type="spellStart"/>
      <w:r w:rsidRPr="00467DB0">
        <w:t>internationale</w:t>
      </w:r>
      <w:proofErr w:type="spellEnd"/>
      <w:r w:rsidRPr="00467DB0">
        <w:t xml:space="preserve"> </w:t>
      </w:r>
      <w:proofErr w:type="spellStart"/>
      <w:r w:rsidRPr="00467DB0">
        <w:t>organisationer</w:t>
      </w:r>
      <w:proofErr w:type="spellEnd"/>
      <w:r w:rsidRPr="00467DB0">
        <w:t xml:space="preserve">, kontrakter, </w:t>
      </w:r>
      <w:proofErr w:type="spellStart"/>
      <w:r w:rsidRPr="00467DB0">
        <w:t>aftaler</w:t>
      </w:r>
      <w:proofErr w:type="spellEnd"/>
      <w:r w:rsidRPr="00467DB0">
        <w:t xml:space="preserve"> om </w:t>
      </w:r>
      <w:proofErr w:type="spellStart"/>
      <w:r w:rsidRPr="00467DB0">
        <w:t>tilskud</w:t>
      </w:r>
      <w:proofErr w:type="spellEnd"/>
      <w:r w:rsidRPr="00467DB0">
        <w:t xml:space="preserve"> og </w:t>
      </w:r>
      <w:proofErr w:type="spellStart"/>
      <w:r w:rsidRPr="00467DB0">
        <w:t>afgørelser</w:t>
      </w:r>
      <w:proofErr w:type="spellEnd"/>
      <w:r w:rsidRPr="00467DB0">
        <w:t xml:space="preserve"> om </w:t>
      </w:r>
      <w:proofErr w:type="spellStart"/>
      <w:r w:rsidRPr="00467DB0">
        <w:t>ydelse</w:t>
      </w:r>
      <w:proofErr w:type="spellEnd"/>
      <w:r w:rsidRPr="00467DB0">
        <w:t xml:space="preserve"> </w:t>
      </w:r>
      <w:proofErr w:type="spellStart"/>
      <w:r w:rsidRPr="00467DB0">
        <w:t>af</w:t>
      </w:r>
      <w:proofErr w:type="spellEnd"/>
      <w:r w:rsidRPr="00467DB0">
        <w:t xml:space="preserve"> </w:t>
      </w:r>
      <w:proofErr w:type="spellStart"/>
      <w:r w:rsidRPr="00467DB0">
        <w:t>tilskud</w:t>
      </w:r>
      <w:proofErr w:type="spellEnd"/>
      <w:r w:rsidRPr="00467DB0">
        <w:t xml:space="preserve"> skal </w:t>
      </w:r>
      <w:proofErr w:type="spellStart"/>
      <w:r w:rsidRPr="00467DB0">
        <w:t>indeholde</w:t>
      </w:r>
      <w:proofErr w:type="spellEnd"/>
      <w:r w:rsidRPr="00467DB0">
        <w:t xml:space="preserve"> bestemmelser, som </w:t>
      </w:r>
      <w:proofErr w:type="spellStart"/>
      <w:r w:rsidRPr="00467DB0">
        <w:t>udtrykkeligt</w:t>
      </w:r>
      <w:proofErr w:type="spellEnd"/>
      <w:r w:rsidRPr="00467DB0">
        <w:t xml:space="preserve"> giver Den </w:t>
      </w:r>
      <w:proofErr w:type="spellStart"/>
      <w:r w:rsidRPr="00467DB0">
        <w:t>Europæiske</w:t>
      </w:r>
      <w:proofErr w:type="spellEnd"/>
      <w:r w:rsidRPr="00467DB0">
        <w:t xml:space="preserve"> </w:t>
      </w:r>
      <w:proofErr w:type="spellStart"/>
      <w:r w:rsidRPr="00467DB0">
        <w:t>Revisionsret</w:t>
      </w:r>
      <w:proofErr w:type="spellEnd"/>
      <w:r w:rsidRPr="00467DB0">
        <w:t xml:space="preserve"> og OLAF </w:t>
      </w:r>
      <w:proofErr w:type="spellStart"/>
      <w:r w:rsidRPr="00467DB0">
        <w:t>beføjelse</w:t>
      </w:r>
      <w:proofErr w:type="spellEnd"/>
      <w:r w:rsidRPr="00467DB0">
        <w:t xml:space="preserve"> til at </w:t>
      </w:r>
      <w:proofErr w:type="spellStart"/>
      <w:r w:rsidRPr="00467DB0">
        <w:t>gennemføre</w:t>
      </w:r>
      <w:proofErr w:type="spellEnd"/>
      <w:r w:rsidRPr="00467DB0">
        <w:t xml:space="preserve"> sådann</w:t>
      </w:r>
      <w:r w:rsidRPr="00467DB0">
        <w:t xml:space="preserve">e </w:t>
      </w:r>
      <w:proofErr w:type="spellStart"/>
      <w:r w:rsidRPr="00467DB0">
        <w:t>revisioner</w:t>
      </w:r>
      <w:proofErr w:type="spellEnd"/>
      <w:r w:rsidRPr="00467DB0">
        <w:t xml:space="preserve"> og </w:t>
      </w:r>
      <w:proofErr w:type="spellStart"/>
      <w:r w:rsidRPr="00467DB0">
        <w:t>undersøgelser</w:t>
      </w:r>
      <w:proofErr w:type="spellEnd"/>
      <w:r w:rsidRPr="00467DB0">
        <w:t xml:space="preserve"> i overensstemmelse med deres respektive </w:t>
      </w:r>
      <w:proofErr w:type="spellStart"/>
      <w:r w:rsidRPr="00467DB0">
        <w:t>beføjelser</w:t>
      </w:r>
      <w:proofErr w:type="spellEnd"/>
      <w:r w:rsidRPr="00467DB0">
        <w:t>. Dette berører ikke stk. 1, 2 og 3.</w:t>
      </w:r>
    </w:p>
    <w:p w14:paraId="704C6473" w14:textId="77777777" w:rsidR="00000000" w:rsidRPr="00467DB0" w:rsidRDefault="00693D67" w:rsidP="00467DB0">
      <w:pPr>
        <w:pStyle w:val="avsnitt-undertittel"/>
      </w:pPr>
      <w:proofErr w:type="spellStart"/>
      <w:r w:rsidRPr="00467DB0">
        <w:t>Artikel</w:t>
      </w:r>
      <w:proofErr w:type="spellEnd"/>
      <w:r w:rsidRPr="00467DB0">
        <w:t xml:space="preserve"> 96</w:t>
      </w:r>
    </w:p>
    <w:p w14:paraId="3DB67023" w14:textId="77777777" w:rsidR="00000000" w:rsidRPr="00467DB0" w:rsidRDefault="00693D67" w:rsidP="00467DB0">
      <w:pPr>
        <w:pStyle w:val="Undertittel"/>
      </w:pPr>
      <w:r w:rsidRPr="00467DB0">
        <w:t xml:space="preserve">Agenturets beskyttelse </w:t>
      </w:r>
      <w:proofErr w:type="spellStart"/>
      <w:r w:rsidRPr="00467DB0">
        <w:t>af</w:t>
      </w:r>
      <w:proofErr w:type="spellEnd"/>
      <w:r w:rsidRPr="00467DB0">
        <w:t xml:space="preserve"> EUCI eller følsomme </w:t>
      </w:r>
      <w:proofErr w:type="spellStart"/>
      <w:r w:rsidRPr="00467DB0">
        <w:t>ikkeklassificerede</w:t>
      </w:r>
      <w:proofErr w:type="spellEnd"/>
      <w:r w:rsidRPr="00467DB0">
        <w:t xml:space="preserve"> </w:t>
      </w:r>
      <w:proofErr w:type="spellStart"/>
      <w:r w:rsidRPr="00467DB0">
        <w:t>informationer</w:t>
      </w:r>
      <w:proofErr w:type="spellEnd"/>
    </w:p>
    <w:p w14:paraId="1AF8B8F9" w14:textId="77777777" w:rsidR="00000000" w:rsidRPr="00467DB0" w:rsidRDefault="00693D67" w:rsidP="00467DB0">
      <w:r w:rsidRPr="00467DB0">
        <w:t xml:space="preserve">Agenturet </w:t>
      </w:r>
      <w:proofErr w:type="spellStart"/>
      <w:r w:rsidRPr="00467DB0">
        <w:t>vedtager</w:t>
      </w:r>
      <w:proofErr w:type="spellEnd"/>
      <w:r w:rsidRPr="00467DB0">
        <w:t xml:space="preserve"> efter </w:t>
      </w:r>
      <w:proofErr w:type="spellStart"/>
      <w:r w:rsidRPr="00467DB0">
        <w:t>forudgående</w:t>
      </w:r>
      <w:proofErr w:type="spellEnd"/>
      <w:r w:rsidRPr="00467DB0">
        <w:t xml:space="preserve"> høring </w:t>
      </w:r>
      <w:proofErr w:type="spellStart"/>
      <w:r w:rsidRPr="00467DB0">
        <w:t>af</w:t>
      </w:r>
      <w:proofErr w:type="spellEnd"/>
      <w:r w:rsidRPr="00467DB0">
        <w:t xml:space="preserve"> </w:t>
      </w:r>
      <w:proofErr w:type="spellStart"/>
      <w:r w:rsidRPr="00467DB0">
        <w:t>Ko</w:t>
      </w:r>
      <w:r w:rsidRPr="00467DB0">
        <w:t>mmissionen</w:t>
      </w:r>
      <w:proofErr w:type="spellEnd"/>
      <w:r w:rsidRPr="00467DB0">
        <w:t xml:space="preserve"> sine egne </w:t>
      </w:r>
      <w:proofErr w:type="spellStart"/>
      <w:r w:rsidRPr="00467DB0">
        <w:t>sikkerhedsregler</w:t>
      </w:r>
      <w:proofErr w:type="spellEnd"/>
      <w:r w:rsidRPr="00467DB0">
        <w:t xml:space="preserve">, der svarer til </w:t>
      </w:r>
      <w:proofErr w:type="spellStart"/>
      <w:r w:rsidRPr="00467DB0">
        <w:t>Kommissionens</w:t>
      </w:r>
      <w:proofErr w:type="spellEnd"/>
      <w:r w:rsidRPr="00467DB0">
        <w:t xml:space="preserve"> </w:t>
      </w:r>
      <w:proofErr w:type="spellStart"/>
      <w:r w:rsidRPr="00467DB0">
        <w:t>sikkerhedsforskrifter</w:t>
      </w:r>
      <w:proofErr w:type="spellEnd"/>
      <w:r w:rsidRPr="00467DB0">
        <w:t xml:space="preserve"> til beskyttelse </w:t>
      </w:r>
      <w:proofErr w:type="spellStart"/>
      <w:r w:rsidRPr="00467DB0">
        <w:t>af</w:t>
      </w:r>
      <w:proofErr w:type="spellEnd"/>
      <w:r w:rsidRPr="00467DB0">
        <w:t xml:space="preserve"> EUCI og følsomme </w:t>
      </w:r>
      <w:proofErr w:type="spellStart"/>
      <w:r w:rsidRPr="00467DB0">
        <w:t>ikkeklassificerede</w:t>
      </w:r>
      <w:proofErr w:type="spellEnd"/>
      <w:r w:rsidRPr="00467DB0">
        <w:t xml:space="preserve"> </w:t>
      </w:r>
      <w:proofErr w:type="spellStart"/>
      <w:r w:rsidRPr="00467DB0">
        <w:t>informationer</w:t>
      </w:r>
      <w:proofErr w:type="spellEnd"/>
      <w:r w:rsidRPr="00467DB0">
        <w:t xml:space="preserve">, bl.a. bestemmelser om </w:t>
      </w:r>
      <w:proofErr w:type="spellStart"/>
      <w:r w:rsidRPr="00467DB0">
        <w:t>udveksling</w:t>
      </w:r>
      <w:proofErr w:type="spellEnd"/>
      <w:r w:rsidRPr="00467DB0">
        <w:t xml:space="preserve">, behandling og lagring </w:t>
      </w:r>
      <w:proofErr w:type="spellStart"/>
      <w:r w:rsidRPr="00467DB0">
        <w:t>af</w:t>
      </w:r>
      <w:proofErr w:type="spellEnd"/>
      <w:r w:rsidRPr="00467DB0">
        <w:t xml:space="preserve"> sådanne </w:t>
      </w:r>
      <w:proofErr w:type="spellStart"/>
      <w:r w:rsidRPr="00467DB0">
        <w:t>informationer</w:t>
      </w:r>
      <w:proofErr w:type="spellEnd"/>
      <w:r w:rsidRPr="00467DB0">
        <w:t xml:space="preserve">, jf. </w:t>
      </w:r>
      <w:proofErr w:type="spellStart"/>
      <w:r w:rsidRPr="00467DB0">
        <w:t>afgørelse</w:t>
      </w:r>
      <w:proofErr w:type="spellEnd"/>
      <w:r w:rsidRPr="00467DB0">
        <w:t xml:space="preserve"> </w:t>
      </w:r>
      <w:r w:rsidRPr="00467DB0">
        <w:t>(EU, Euratom) 2015/443og 2015/444.</w:t>
      </w:r>
    </w:p>
    <w:p w14:paraId="52DCDC28" w14:textId="77777777" w:rsidR="00000000" w:rsidRPr="00467DB0" w:rsidRDefault="00693D67" w:rsidP="00467DB0">
      <w:pPr>
        <w:pStyle w:val="avsnitt-undertittel"/>
      </w:pPr>
      <w:proofErr w:type="spellStart"/>
      <w:r w:rsidRPr="00467DB0">
        <w:lastRenderedPageBreak/>
        <w:t>Artikel</w:t>
      </w:r>
      <w:proofErr w:type="spellEnd"/>
      <w:r w:rsidRPr="00467DB0">
        <w:t xml:space="preserve"> 97</w:t>
      </w:r>
    </w:p>
    <w:p w14:paraId="7DF6D11B" w14:textId="77777777" w:rsidR="00000000" w:rsidRPr="00467DB0" w:rsidRDefault="00693D67" w:rsidP="00467DB0">
      <w:pPr>
        <w:pStyle w:val="Undertittel"/>
      </w:pPr>
      <w:r w:rsidRPr="00467DB0">
        <w:t>Agenturets ansvar</w:t>
      </w:r>
    </w:p>
    <w:p w14:paraId="00C0EC34" w14:textId="77777777" w:rsidR="00000000" w:rsidRPr="00467DB0" w:rsidRDefault="00693D67" w:rsidP="00467DB0">
      <w:pPr>
        <w:pStyle w:val="friliste"/>
      </w:pPr>
      <w:r w:rsidRPr="00467DB0">
        <w:t>1.</w:t>
      </w:r>
      <w:r w:rsidRPr="00467DB0">
        <w:tab/>
        <w:t xml:space="preserve">Agenturets ansvar i </w:t>
      </w:r>
      <w:proofErr w:type="spellStart"/>
      <w:r w:rsidRPr="00467DB0">
        <w:t>kontraktforhold</w:t>
      </w:r>
      <w:proofErr w:type="spellEnd"/>
      <w:r w:rsidRPr="00467DB0">
        <w:t xml:space="preserve"> bestemmes efter den lovgivning, der </w:t>
      </w:r>
      <w:proofErr w:type="spellStart"/>
      <w:r w:rsidRPr="00467DB0">
        <w:t>finder</w:t>
      </w:r>
      <w:proofErr w:type="spellEnd"/>
      <w:r w:rsidRPr="00467DB0">
        <w:t xml:space="preserve"> </w:t>
      </w:r>
      <w:proofErr w:type="gramStart"/>
      <w:r w:rsidRPr="00467DB0">
        <w:t>anvendelse</w:t>
      </w:r>
      <w:proofErr w:type="gramEnd"/>
      <w:r w:rsidRPr="00467DB0">
        <w:t xml:space="preserve"> på den </w:t>
      </w:r>
      <w:proofErr w:type="spellStart"/>
      <w:r w:rsidRPr="00467DB0">
        <w:t>pågældende</w:t>
      </w:r>
      <w:proofErr w:type="spellEnd"/>
      <w:r w:rsidRPr="00467DB0">
        <w:t xml:space="preserve"> kontrakt.</w:t>
      </w:r>
    </w:p>
    <w:p w14:paraId="04322FE1" w14:textId="77777777" w:rsidR="00000000" w:rsidRPr="00467DB0" w:rsidRDefault="00693D67" w:rsidP="00467DB0">
      <w:pPr>
        <w:pStyle w:val="friliste"/>
      </w:pPr>
      <w:r w:rsidRPr="00467DB0">
        <w:t>2.</w:t>
      </w:r>
      <w:r w:rsidRPr="00467DB0">
        <w:tab/>
        <w:t xml:space="preserve">Den </w:t>
      </w:r>
      <w:proofErr w:type="spellStart"/>
      <w:r w:rsidRPr="00467DB0">
        <w:t>Europæiske</w:t>
      </w:r>
      <w:proofErr w:type="spellEnd"/>
      <w:r w:rsidRPr="00467DB0">
        <w:t xml:space="preserve"> Unions Domstol har </w:t>
      </w:r>
      <w:proofErr w:type="spellStart"/>
      <w:r w:rsidRPr="00467DB0">
        <w:t>kompetence</w:t>
      </w:r>
      <w:proofErr w:type="spellEnd"/>
      <w:r w:rsidRPr="00467DB0">
        <w:t xml:space="preserve"> til at </w:t>
      </w:r>
      <w:proofErr w:type="spellStart"/>
      <w:r w:rsidRPr="00467DB0">
        <w:t>træffe</w:t>
      </w:r>
      <w:proofErr w:type="spellEnd"/>
      <w:r w:rsidRPr="00467DB0">
        <w:t xml:space="preserve"> </w:t>
      </w:r>
      <w:proofErr w:type="spellStart"/>
      <w:r w:rsidRPr="00467DB0">
        <w:t>afgørelse</w:t>
      </w:r>
      <w:proofErr w:type="spellEnd"/>
      <w:r w:rsidRPr="00467DB0">
        <w:t xml:space="preserve"> i henhold til en voldgiftsbestemmelse i en kontrakt, som agenturet har </w:t>
      </w:r>
      <w:proofErr w:type="spellStart"/>
      <w:r w:rsidRPr="00467DB0">
        <w:t>indgået</w:t>
      </w:r>
      <w:proofErr w:type="spellEnd"/>
      <w:r w:rsidRPr="00467DB0">
        <w:t>.</w:t>
      </w:r>
    </w:p>
    <w:p w14:paraId="14638BEE" w14:textId="77777777" w:rsidR="00000000" w:rsidRPr="00467DB0" w:rsidRDefault="00693D67" w:rsidP="00467DB0">
      <w:pPr>
        <w:pStyle w:val="friliste"/>
      </w:pPr>
      <w:r w:rsidRPr="00467DB0">
        <w:t>3.</w:t>
      </w:r>
      <w:r w:rsidRPr="00467DB0">
        <w:tab/>
        <w:t xml:space="preserve">For så vidt angår ansvar </w:t>
      </w:r>
      <w:proofErr w:type="spellStart"/>
      <w:r w:rsidRPr="00467DB0">
        <w:t>uden</w:t>
      </w:r>
      <w:proofErr w:type="spellEnd"/>
      <w:r w:rsidRPr="00467DB0">
        <w:t xml:space="preserve"> for </w:t>
      </w:r>
      <w:proofErr w:type="spellStart"/>
      <w:r w:rsidRPr="00467DB0">
        <w:t>kontraktforhold</w:t>
      </w:r>
      <w:proofErr w:type="spellEnd"/>
      <w:r w:rsidRPr="00467DB0">
        <w:t xml:space="preserve"> erstatter agenturet i overensstemmelse med de </w:t>
      </w:r>
      <w:proofErr w:type="spellStart"/>
      <w:r w:rsidRPr="00467DB0">
        <w:t>almindelige</w:t>
      </w:r>
      <w:proofErr w:type="spellEnd"/>
      <w:r w:rsidRPr="00467DB0">
        <w:t xml:space="preserve"> </w:t>
      </w:r>
      <w:proofErr w:type="spellStart"/>
      <w:r w:rsidRPr="00467DB0">
        <w:t>retsgrundsætninger</w:t>
      </w:r>
      <w:proofErr w:type="spellEnd"/>
      <w:r w:rsidRPr="00467DB0">
        <w:t xml:space="preserve">, der er </w:t>
      </w:r>
      <w:proofErr w:type="spellStart"/>
      <w:r w:rsidRPr="00467DB0">
        <w:t>fælles</w:t>
      </w:r>
      <w:proofErr w:type="spellEnd"/>
      <w:r w:rsidRPr="00467DB0">
        <w:t xml:space="preserve"> for </w:t>
      </w:r>
      <w:proofErr w:type="spellStart"/>
      <w:r w:rsidRPr="00467DB0">
        <w:t>medlemsstaternes</w:t>
      </w:r>
      <w:proofErr w:type="spellEnd"/>
      <w:r w:rsidRPr="00467DB0">
        <w:t xml:space="preserve"> </w:t>
      </w:r>
      <w:proofErr w:type="spellStart"/>
      <w:r w:rsidRPr="00467DB0">
        <w:t>retssyste</w:t>
      </w:r>
      <w:r w:rsidRPr="00467DB0">
        <w:t>mer</w:t>
      </w:r>
      <w:proofErr w:type="spellEnd"/>
      <w:r w:rsidRPr="00467DB0">
        <w:t xml:space="preserve">, samtlige skader, der forvoldes </w:t>
      </w:r>
      <w:proofErr w:type="spellStart"/>
      <w:r w:rsidRPr="00467DB0">
        <w:t>af</w:t>
      </w:r>
      <w:proofErr w:type="spellEnd"/>
      <w:r w:rsidRPr="00467DB0">
        <w:t xml:space="preserve"> dets </w:t>
      </w:r>
      <w:proofErr w:type="spellStart"/>
      <w:r w:rsidRPr="00467DB0">
        <w:t>afdelinger</w:t>
      </w:r>
      <w:proofErr w:type="spellEnd"/>
      <w:r w:rsidRPr="00467DB0">
        <w:t xml:space="preserve"> eller </w:t>
      </w:r>
      <w:proofErr w:type="spellStart"/>
      <w:r w:rsidRPr="00467DB0">
        <w:t>af</w:t>
      </w:r>
      <w:proofErr w:type="spellEnd"/>
      <w:r w:rsidRPr="00467DB0">
        <w:t xml:space="preserve"> dets ansatte under </w:t>
      </w:r>
      <w:proofErr w:type="spellStart"/>
      <w:r w:rsidRPr="00467DB0">
        <w:t>udøvelsen</w:t>
      </w:r>
      <w:proofErr w:type="spellEnd"/>
      <w:r w:rsidRPr="00467DB0">
        <w:t xml:space="preserve"> </w:t>
      </w:r>
      <w:proofErr w:type="spellStart"/>
      <w:r w:rsidRPr="00467DB0">
        <w:t>af</w:t>
      </w:r>
      <w:proofErr w:type="spellEnd"/>
      <w:r w:rsidRPr="00467DB0">
        <w:t xml:space="preserve"> deres </w:t>
      </w:r>
      <w:proofErr w:type="spellStart"/>
      <w:r w:rsidRPr="00467DB0">
        <w:t>hverv</w:t>
      </w:r>
      <w:proofErr w:type="spellEnd"/>
      <w:r w:rsidRPr="00467DB0">
        <w:t>.</w:t>
      </w:r>
    </w:p>
    <w:p w14:paraId="49FBE97B" w14:textId="77777777" w:rsidR="00000000" w:rsidRPr="00467DB0" w:rsidRDefault="00693D67" w:rsidP="00467DB0">
      <w:pPr>
        <w:pStyle w:val="friliste"/>
      </w:pPr>
      <w:r w:rsidRPr="00467DB0">
        <w:t>4.</w:t>
      </w:r>
      <w:r w:rsidRPr="00467DB0">
        <w:tab/>
        <w:t xml:space="preserve">Den </w:t>
      </w:r>
      <w:proofErr w:type="spellStart"/>
      <w:r w:rsidRPr="00467DB0">
        <w:t>Europæiske</w:t>
      </w:r>
      <w:proofErr w:type="spellEnd"/>
      <w:r w:rsidRPr="00467DB0">
        <w:t xml:space="preserve"> Unions Domstol har </w:t>
      </w:r>
      <w:proofErr w:type="spellStart"/>
      <w:r w:rsidRPr="00467DB0">
        <w:t>kompetence</w:t>
      </w:r>
      <w:proofErr w:type="spellEnd"/>
      <w:r w:rsidRPr="00467DB0">
        <w:t xml:space="preserve"> til at </w:t>
      </w:r>
      <w:proofErr w:type="spellStart"/>
      <w:r w:rsidRPr="00467DB0">
        <w:t>afgøre</w:t>
      </w:r>
      <w:proofErr w:type="spellEnd"/>
      <w:r w:rsidRPr="00467DB0">
        <w:t xml:space="preserve"> tvister </w:t>
      </w:r>
      <w:proofErr w:type="gramStart"/>
      <w:r w:rsidRPr="00467DB0">
        <w:t>vedrørende</w:t>
      </w:r>
      <w:proofErr w:type="gramEnd"/>
      <w:r w:rsidRPr="00467DB0">
        <w:t xml:space="preserve"> erstatning for de i stk. 3 omhandlede skader.</w:t>
      </w:r>
    </w:p>
    <w:p w14:paraId="60390135" w14:textId="77777777" w:rsidR="00000000" w:rsidRPr="00467DB0" w:rsidRDefault="00693D67" w:rsidP="00467DB0">
      <w:pPr>
        <w:pStyle w:val="friliste"/>
      </w:pPr>
      <w:r w:rsidRPr="00467DB0">
        <w:t>5.</w:t>
      </w:r>
      <w:r w:rsidRPr="00467DB0">
        <w:tab/>
        <w:t>De ansattes perso</w:t>
      </w:r>
      <w:r w:rsidRPr="00467DB0">
        <w:t xml:space="preserve">nlige ansvar over for agenturet bestemmes efter den </w:t>
      </w:r>
      <w:proofErr w:type="spellStart"/>
      <w:r w:rsidRPr="00467DB0">
        <w:t>personalevedtægt</w:t>
      </w:r>
      <w:proofErr w:type="spellEnd"/>
      <w:r w:rsidRPr="00467DB0">
        <w:t xml:space="preserve"> eller de </w:t>
      </w:r>
      <w:proofErr w:type="spellStart"/>
      <w:r w:rsidRPr="00467DB0">
        <w:t>ansættelsesvilkår</w:t>
      </w:r>
      <w:proofErr w:type="spellEnd"/>
      <w:r w:rsidRPr="00467DB0">
        <w:t xml:space="preserve">, der </w:t>
      </w:r>
      <w:proofErr w:type="spellStart"/>
      <w:r w:rsidRPr="00467DB0">
        <w:t>gælder</w:t>
      </w:r>
      <w:proofErr w:type="spellEnd"/>
      <w:r w:rsidRPr="00467DB0">
        <w:t xml:space="preserve"> for dem.</w:t>
      </w:r>
    </w:p>
    <w:p w14:paraId="05F04565" w14:textId="77777777" w:rsidR="00000000" w:rsidRPr="00467DB0" w:rsidRDefault="00693D67" w:rsidP="00467DB0">
      <w:pPr>
        <w:pStyle w:val="avsnitt-undertittel"/>
      </w:pPr>
      <w:proofErr w:type="spellStart"/>
      <w:r w:rsidRPr="00467DB0">
        <w:t>Artikel</w:t>
      </w:r>
      <w:proofErr w:type="spellEnd"/>
      <w:r w:rsidRPr="00467DB0">
        <w:t xml:space="preserve"> 98</w:t>
      </w:r>
    </w:p>
    <w:p w14:paraId="6DA2DFD2" w14:textId="77777777" w:rsidR="00000000" w:rsidRPr="00467DB0" w:rsidRDefault="00693D67" w:rsidP="00467DB0">
      <w:pPr>
        <w:pStyle w:val="Undertittel"/>
      </w:pPr>
      <w:proofErr w:type="spellStart"/>
      <w:r w:rsidRPr="00467DB0">
        <w:t>Samarbejde</w:t>
      </w:r>
      <w:proofErr w:type="spellEnd"/>
      <w:r w:rsidRPr="00467DB0">
        <w:t xml:space="preserve"> med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p>
    <w:p w14:paraId="1C717AF8" w14:textId="77777777" w:rsidR="00000000" w:rsidRPr="00467DB0" w:rsidRDefault="00693D67" w:rsidP="00467DB0">
      <w:pPr>
        <w:pStyle w:val="friliste"/>
      </w:pPr>
      <w:r w:rsidRPr="00467DB0">
        <w:t>1.</w:t>
      </w:r>
      <w:r w:rsidRPr="00467DB0">
        <w:tab/>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som har </w:t>
      </w:r>
      <w:proofErr w:type="spellStart"/>
      <w:r w:rsidRPr="00467DB0">
        <w:t>indgået</w:t>
      </w:r>
      <w:proofErr w:type="spellEnd"/>
      <w:r w:rsidRPr="00467DB0">
        <w:t xml:space="preserve"> </w:t>
      </w:r>
      <w:proofErr w:type="spellStart"/>
      <w:r w:rsidRPr="00467DB0">
        <w:t>int</w:t>
      </w:r>
      <w:r w:rsidRPr="00467DB0">
        <w:t>ernationale</w:t>
      </w:r>
      <w:proofErr w:type="spellEnd"/>
      <w:r w:rsidRPr="00467DB0">
        <w:t xml:space="preserve"> </w:t>
      </w:r>
      <w:proofErr w:type="spellStart"/>
      <w:r w:rsidRPr="00467DB0">
        <w:t>aftaler</w:t>
      </w:r>
      <w:proofErr w:type="spellEnd"/>
      <w:r w:rsidRPr="00467DB0">
        <w:t xml:space="preserve"> med Unionen herom, kan </w:t>
      </w:r>
      <w:proofErr w:type="spellStart"/>
      <w:r w:rsidRPr="00467DB0">
        <w:t>deltage</w:t>
      </w:r>
      <w:proofErr w:type="spellEnd"/>
      <w:r w:rsidRPr="00467DB0">
        <w:t xml:space="preserve"> i agenturets </w:t>
      </w:r>
      <w:proofErr w:type="spellStart"/>
      <w:r w:rsidRPr="00467DB0">
        <w:t>arbejde</w:t>
      </w:r>
      <w:proofErr w:type="spellEnd"/>
      <w:r w:rsidRPr="00467DB0">
        <w:t>.</w:t>
      </w:r>
    </w:p>
    <w:p w14:paraId="4887435A" w14:textId="77777777" w:rsidR="00000000" w:rsidRPr="00467DB0" w:rsidRDefault="00693D67" w:rsidP="00467DB0">
      <w:pPr>
        <w:pStyle w:val="friliste"/>
      </w:pPr>
      <w:r w:rsidRPr="00467DB0">
        <w:t>2.</w:t>
      </w:r>
      <w:r w:rsidRPr="00467DB0">
        <w:tab/>
        <w:t xml:space="preserve">I henhold til de relevante bestemmelser i </w:t>
      </w:r>
      <w:proofErr w:type="spellStart"/>
      <w:r w:rsidRPr="00467DB0">
        <w:t>aftalerne</w:t>
      </w:r>
      <w:proofErr w:type="spellEnd"/>
      <w:r w:rsidRPr="00467DB0">
        <w:t xml:space="preserve"> som omhandlet i denne </w:t>
      </w:r>
      <w:proofErr w:type="spellStart"/>
      <w:r w:rsidRPr="00467DB0">
        <w:t>artikels</w:t>
      </w:r>
      <w:proofErr w:type="spellEnd"/>
      <w:r w:rsidRPr="00467DB0">
        <w:t xml:space="preserve"> stk. 1 og i </w:t>
      </w:r>
      <w:proofErr w:type="spellStart"/>
      <w:r w:rsidRPr="00467DB0">
        <w:t>artikel</w:t>
      </w:r>
      <w:proofErr w:type="spellEnd"/>
      <w:r w:rsidRPr="00467DB0">
        <w:t xml:space="preserve"> 43 </w:t>
      </w:r>
      <w:proofErr w:type="spellStart"/>
      <w:r w:rsidRPr="00467DB0">
        <w:t>udarbejdes</w:t>
      </w:r>
      <w:proofErr w:type="spellEnd"/>
      <w:r w:rsidRPr="00467DB0">
        <w:t xml:space="preserve"> der ordninger, hvori det navnlig </w:t>
      </w:r>
      <w:proofErr w:type="spellStart"/>
      <w:r w:rsidRPr="00467DB0">
        <w:t>fastsættes</w:t>
      </w:r>
      <w:proofErr w:type="spellEnd"/>
      <w:r w:rsidRPr="00467DB0">
        <w:t>, hvilken art og hvi</w:t>
      </w:r>
      <w:r w:rsidRPr="00467DB0">
        <w:t xml:space="preserve">lket omfang de </w:t>
      </w:r>
      <w:proofErr w:type="spellStart"/>
      <w:r w:rsidRPr="00467DB0">
        <w:t>pågældende</w:t>
      </w:r>
      <w:proofErr w:type="spellEnd"/>
      <w:r w:rsidRPr="00467DB0">
        <w:t xml:space="preserve"> </w:t>
      </w:r>
      <w:proofErr w:type="spellStart"/>
      <w:r w:rsidRPr="00467DB0">
        <w:t>tredjelandes</w:t>
      </w:r>
      <w:proofErr w:type="spellEnd"/>
      <w:r w:rsidRPr="00467DB0">
        <w:t xml:space="preserve"> deltagelse i agenturets </w:t>
      </w:r>
      <w:proofErr w:type="spellStart"/>
      <w:r w:rsidRPr="00467DB0">
        <w:t>arbejde</w:t>
      </w:r>
      <w:proofErr w:type="spellEnd"/>
      <w:r w:rsidRPr="00467DB0">
        <w:t xml:space="preserve"> skal have, samt på hvilken </w:t>
      </w:r>
      <w:proofErr w:type="spellStart"/>
      <w:r w:rsidRPr="00467DB0">
        <w:t>måde</w:t>
      </w:r>
      <w:proofErr w:type="spellEnd"/>
      <w:r w:rsidRPr="00467DB0">
        <w:t xml:space="preserve"> deltagelsen skal </w:t>
      </w:r>
      <w:proofErr w:type="spellStart"/>
      <w:r w:rsidRPr="00467DB0">
        <w:t>ske</w:t>
      </w:r>
      <w:proofErr w:type="spellEnd"/>
      <w:r w:rsidRPr="00467DB0">
        <w:t xml:space="preserve">, herunder bestemmelser om deltagelse i initiativer </w:t>
      </w:r>
      <w:proofErr w:type="spellStart"/>
      <w:r w:rsidRPr="00467DB0">
        <w:t>taget</w:t>
      </w:r>
      <w:proofErr w:type="spellEnd"/>
      <w:r w:rsidRPr="00467DB0">
        <w:t xml:space="preserve"> </w:t>
      </w:r>
      <w:proofErr w:type="spellStart"/>
      <w:r w:rsidRPr="00467DB0">
        <w:t>af</w:t>
      </w:r>
      <w:proofErr w:type="spellEnd"/>
      <w:r w:rsidRPr="00467DB0">
        <w:t xml:space="preserve"> agenturet, økonomiske bidrag og personale. For så vidt angår personalean</w:t>
      </w:r>
      <w:r w:rsidRPr="00467DB0">
        <w:t xml:space="preserve">liggender skal disse ordninger under alle </w:t>
      </w:r>
      <w:proofErr w:type="spellStart"/>
      <w:r w:rsidRPr="00467DB0">
        <w:t>omstændigheder</w:t>
      </w:r>
      <w:proofErr w:type="spellEnd"/>
      <w:r w:rsidRPr="00467DB0">
        <w:t xml:space="preserve"> være i overensstemmelse med </w:t>
      </w:r>
      <w:proofErr w:type="spellStart"/>
      <w:r w:rsidRPr="00467DB0">
        <w:t>personalevedtægten</w:t>
      </w:r>
      <w:proofErr w:type="spellEnd"/>
      <w:r w:rsidRPr="00467DB0">
        <w:t xml:space="preserve">. Hvor det er relevant, skal de også </w:t>
      </w:r>
      <w:proofErr w:type="spellStart"/>
      <w:r w:rsidRPr="00467DB0">
        <w:t>indeholde</w:t>
      </w:r>
      <w:proofErr w:type="spellEnd"/>
      <w:r w:rsidRPr="00467DB0">
        <w:t xml:space="preserve"> bestemmelser om </w:t>
      </w:r>
      <w:proofErr w:type="spellStart"/>
      <w:r w:rsidRPr="00467DB0">
        <w:t>udveksling</w:t>
      </w:r>
      <w:proofErr w:type="spellEnd"/>
      <w:r w:rsidRPr="00467DB0">
        <w:t xml:space="preserve"> og beskyttelse </w:t>
      </w:r>
      <w:proofErr w:type="spellStart"/>
      <w:r w:rsidRPr="00467DB0">
        <w:t>af</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med </w:t>
      </w:r>
      <w:proofErr w:type="spellStart"/>
      <w:r w:rsidRPr="00467DB0">
        <w:t>tredjelande</w:t>
      </w:r>
      <w:proofErr w:type="spellEnd"/>
      <w:r w:rsidRPr="00467DB0">
        <w:t xml:space="preserve"> og </w:t>
      </w:r>
      <w:proofErr w:type="spellStart"/>
      <w:r w:rsidRPr="00467DB0">
        <w:t>international</w:t>
      </w:r>
      <w:r w:rsidRPr="00467DB0">
        <w:t>e</w:t>
      </w:r>
      <w:proofErr w:type="spellEnd"/>
      <w:r w:rsidRPr="00467DB0">
        <w:t xml:space="preserve"> </w:t>
      </w:r>
      <w:proofErr w:type="spellStart"/>
      <w:r w:rsidRPr="00467DB0">
        <w:t>organisationer</w:t>
      </w:r>
      <w:proofErr w:type="spellEnd"/>
      <w:r w:rsidRPr="00467DB0">
        <w:t xml:space="preserve">. Disse bestemmelser skal </w:t>
      </w:r>
      <w:proofErr w:type="spellStart"/>
      <w:r w:rsidRPr="00467DB0">
        <w:t>forhåndsgodkendes</w:t>
      </w:r>
      <w:proofErr w:type="spellEnd"/>
      <w:r w:rsidRPr="00467DB0">
        <w:t xml:space="preserve"> </w:t>
      </w:r>
      <w:proofErr w:type="spellStart"/>
      <w:r w:rsidRPr="00467DB0">
        <w:t>af</w:t>
      </w:r>
      <w:proofErr w:type="spellEnd"/>
      <w:r w:rsidRPr="00467DB0">
        <w:t xml:space="preserve"> </w:t>
      </w:r>
      <w:proofErr w:type="spellStart"/>
      <w:r w:rsidRPr="00467DB0">
        <w:t>Kommissionen</w:t>
      </w:r>
      <w:proofErr w:type="spellEnd"/>
      <w:r w:rsidRPr="00467DB0">
        <w:t>.</w:t>
      </w:r>
    </w:p>
    <w:p w14:paraId="082FA393" w14:textId="77777777" w:rsidR="00000000" w:rsidRPr="00467DB0" w:rsidRDefault="00693D67" w:rsidP="00467DB0">
      <w:pPr>
        <w:pStyle w:val="friliste"/>
      </w:pPr>
      <w:r w:rsidRPr="00467DB0">
        <w:t>3.</w:t>
      </w:r>
      <w:r w:rsidRPr="00467DB0">
        <w:tab/>
        <w:t xml:space="preserve">Bestyrelsen </w:t>
      </w:r>
      <w:proofErr w:type="spellStart"/>
      <w:r w:rsidRPr="00467DB0">
        <w:t>vedtager</w:t>
      </w:r>
      <w:proofErr w:type="spellEnd"/>
      <w:r w:rsidRPr="00467DB0">
        <w:t xml:space="preserve"> en strategi for forbindelser med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de i stk. 1 omhandlede </w:t>
      </w:r>
      <w:proofErr w:type="spellStart"/>
      <w:r w:rsidRPr="00467DB0">
        <w:t>internationale</w:t>
      </w:r>
      <w:proofErr w:type="spellEnd"/>
      <w:r w:rsidRPr="00467DB0">
        <w:t xml:space="preserve"> </w:t>
      </w:r>
      <w:proofErr w:type="spellStart"/>
      <w:r w:rsidRPr="00467DB0">
        <w:t>aftaler</w:t>
      </w:r>
      <w:proofErr w:type="spellEnd"/>
      <w:r w:rsidRPr="00467DB0">
        <w:t xml:space="preserve"> for så vi</w:t>
      </w:r>
      <w:r w:rsidRPr="00467DB0">
        <w:t xml:space="preserve">dt angår </w:t>
      </w:r>
      <w:proofErr w:type="spellStart"/>
      <w:r w:rsidRPr="00467DB0">
        <w:t>spørgsmål</w:t>
      </w:r>
      <w:proofErr w:type="spellEnd"/>
      <w:r w:rsidRPr="00467DB0">
        <w:t xml:space="preserve">, der hører under agenturets </w:t>
      </w:r>
      <w:proofErr w:type="spellStart"/>
      <w:r w:rsidRPr="00467DB0">
        <w:t>kompetenceområde</w:t>
      </w:r>
      <w:proofErr w:type="spellEnd"/>
      <w:r w:rsidRPr="00467DB0">
        <w:t>.</w:t>
      </w:r>
    </w:p>
    <w:p w14:paraId="26A2E3A5" w14:textId="77777777" w:rsidR="00000000" w:rsidRPr="00467DB0" w:rsidRDefault="00693D67" w:rsidP="00467DB0">
      <w:pPr>
        <w:pStyle w:val="friliste"/>
      </w:pPr>
      <w:r w:rsidRPr="00467DB0">
        <w:t>4.</w:t>
      </w:r>
      <w:r w:rsidRPr="00467DB0">
        <w:tab/>
        <w:t xml:space="preserve">Ved </w:t>
      </w:r>
      <w:proofErr w:type="spellStart"/>
      <w:r w:rsidRPr="00467DB0">
        <w:t>indgåelse</w:t>
      </w:r>
      <w:proofErr w:type="spellEnd"/>
      <w:r w:rsidRPr="00467DB0">
        <w:t xml:space="preserve"> </w:t>
      </w:r>
      <w:proofErr w:type="spellStart"/>
      <w:r w:rsidRPr="00467DB0">
        <w:t>af</w:t>
      </w:r>
      <w:proofErr w:type="spellEnd"/>
      <w:r w:rsidRPr="00467DB0">
        <w:t xml:space="preserve"> en passende </w:t>
      </w:r>
      <w:proofErr w:type="spellStart"/>
      <w:r w:rsidRPr="00467DB0">
        <w:t>samarbejdsaftale</w:t>
      </w:r>
      <w:proofErr w:type="spellEnd"/>
      <w:r w:rsidRPr="00467DB0">
        <w:t xml:space="preserve"> med den administrerende direktør sikrer </w:t>
      </w:r>
      <w:proofErr w:type="spellStart"/>
      <w:r w:rsidRPr="00467DB0">
        <w:t>Kommissionen</w:t>
      </w:r>
      <w:proofErr w:type="spellEnd"/>
      <w:r w:rsidRPr="00467DB0">
        <w:t xml:space="preserve">, at agenturet i sine forbindelser med </w:t>
      </w:r>
      <w:proofErr w:type="spellStart"/>
      <w:r w:rsidRPr="00467DB0">
        <w:t>tredjelande</w:t>
      </w:r>
      <w:proofErr w:type="spellEnd"/>
      <w:r w:rsidRPr="00467DB0">
        <w:t xml:space="preserve"> og </w:t>
      </w:r>
      <w:proofErr w:type="spellStart"/>
      <w:r w:rsidRPr="00467DB0">
        <w:t>internationale</w:t>
      </w:r>
      <w:proofErr w:type="spellEnd"/>
      <w:r w:rsidRPr="00467DB0">
        <w:t xml:space="preserve"> </w:t>
      </w:r>
      <w:proofErr w:type="spellStart"/>
      <w:r w:rsidRPr="00467DB0">
        <w:t>organisationer</w:t>
      </w:r>
      <w:proofErr w:type="spellEnd"/>
      <w:r w:rsidRPr="00467DB0">
        <w:t xml:space="preserve"> handle</w:t>
      </w:r>
      <w:r w:rsidRPr="00467DB0">
        <w:t xml:space="preserve">r i overensstemmelse med </w:t>
      </w:r>
      <w:proofErr w:type="spellStart"/>
      <w:r w:rsidRPr="00467DB0">
        <w:t>sit</w:t>
      </w:r>
      <w:proofErr w:type="spellEnd"/>
      <w:r w:rsidRPr="00467DB0">
        <w:t xml:space="preserve"> mandat og den </w:t>
      </w:r>
      <w:proofErr w:type="spellStart"/>
      <w:r w:rsidRPr="00467DB0">
        <w:t>gældende</w:t>
      </w:r>
      <w:proofErr w:type="spellEnd"/>
      <w:r w:rsidRPr="00467DB0">
        <w:t xml:space="preserve"> </w:t>
      </w:r>
      <w:proofErr w:type="spellStart"/>
      <w:r w:rsidRPr="00467DB0">
        <w:t>institutionelle</w:t>
      </w:r>
      <w:proofErr w:type="spellEnd"/>
      <w:r w:rsidRPr="00467DB0">
        <w:t xml:space="preserve"> ramme.</w:t>
      </w:r>
    </w:p>
    <w:p w14:paraId="5203EEFB" w14:textId="77777777" w:rsidR="00000000" w:rsidRPr="00467DB0" w:rsidRDefault="00693D67" w:rsidP="00467DB0">
      <w:pPr>
        <w:pStyle w:val="avsnitt-undertittel"/>
      </w:pPr>
      <w:proofErr w:type="spellStart"/>
      <w:r w:rsidRPr="00467DB0">
        <w:t>Artikel</w:t>
      </w:r>
      <w:proofErr w:type="spellEnd"/>
      <w:r w:rsidRPr="00467DB0">
        <w:t xml:space="preserve"> 99</w:t>
      </w:r>
    </w:p>
    <w:p w14:paraId="7BF3FC4E" w14:textId="77777777" w:rsidR="00000000" w:rsidRPr="00467DB0" w:rsidRDefault="00693D67" w:rsidP="00467DB0">
      <w:pPr>
        <w:pStyle w:val="Undertittel"/>
      </w:pPr>
      <w:r w:rsidRPr="00467DB0">
        <w:t>Interessekonflikter</w:t>
      </w:r>
    </w:p>
    <w:p w14:paraId="5A233678" w14:textId="77777777" w:rsidR="00000000" w:rsidRPr="00467DB0" w:rsidRDefault="00693D67" w:rsidP="00467DB0">
      <w:pPr>
        <w:pStyle w:val="friliste"/>
      </w:pPr>
      <w:r w:rsidRPr="00467DB0">
        <w:t>1.</w:t>
      </w:r>
      <w:r w:rsidRPr="00467DB0">
        <w:tab/>
        <w:t xml:space="preserve">Medlemmer </w:t>
      </w:r>
      <w:proofErr w:type="spellStart"/>
      <w:r w:rsidRPr="00467DB0">
        <w:t>af</w:t>
      </w:r>
      <w:proofErr w:type="spellEnd"/>
      <w:r w:rsidRPr="00467DB0">
        <w:t xml:space="preserve"> bestyrelsen og </w:t>
      </w:r>
      <w:proofErr w:type="spellStart"/>
      <w:r w:rsidRPr="00467DB0">
        <w:t>af</w:t>
      </w:r>
      <w:proofErr w:type="spellEnd"/>
      <w:r w:rsidRPr="00467DB0">
        <w:t xml:space="preserve"> Komitéen for </w:t>
      </w:r>
      <w:proofErr w:type="spellStart"/>
      <w:r w:rsidRPr="00467DB0">
        <w:t>Sikkerhedsgodkendelse</w:t>
      </w:r>
      <w:proofErr w:type="spellEnd"/>
      <w:r w:rsidRPr="00467DB0">
        <w:t xml:space="preserve">, den administrerende direktør, </w:t>
      </w:r>
      <w:proofErr w:type="spellStart"/>
      <w:r w:rsidRPr="00467DB0">
        <w:t>udstationerede</w:t>
      </w:r>
      <w:proofErr w:type="spellEnd"/>
      <w:r w:rsidRPr="00467DB0">
        <w:t xml:space="preserve"> </w:t>
      </w:r>
      <w:proofErr w:type="spellStart"/>
      <w:r w:rsidRPr="00467DB0">
        <w:t>nationale</w:t>
      </w:r>
      <w:proofErr w:type="spellEnd"/>
      <w:r w:rsidRPr="00467DB0">
        <w:t xml:space="preserve"> eksperter og observatører</w:t>
      </w:r>
      <w:r w:rsidRPr="00467DB0">
        <w:t xml:space="preserve"> </w:t>
      </w:r>
      <w:proofErr w:type="spellStart"/>
      <w:r w:rsidRPr="00467DB0">
        <w:t>afgiver</w:t>
      </w:r>
      <w:proofErr w:type="spellEnd"/>
      <w:r w:rsidRPr="00467DB0">
        <w:t xml:space="preserve"> en </w:t>
      </w:r>
      <w:proofErr w:type="spellStart"/>
      <w:r w:rsidRPr="00467DB0">
        <w:t>loyalitetserklæring</w:t>
      </w:r>
      <w:proofErr w:type="spellEnd"/>
      <w:r w:rsidRPr="00467DB0">
        <w:t xml:space="preserve"> og </w:t>
      </w:r>
      <w:r w:rsidRPr="00467DB0">
        <w:lastRenderedPageBreak/>
        <w:t xml:space="preserve">en interesseerklæring, hvori de anfører, om de har nogen direkte eller indirekte interesser, der kan anses for at påvirke deres </w:t>
      </w:r>
      <w:proofErr w:type="spellStart"/>
      <w:r w:rsidRPr="00467DB0">
        <w:t>uafhængighed</w:t>
      </w:r>
      <w:proofErr w:type="spellEnd"/>
      <w:r w:rsidRPr="00467DB0">
        <w:t xml:space="preserve">. Disse erklæringer skal: </w:t>
      </w:r>
    </w:p>
    <w:p w14:paraId="13ED766F" w14:textId="77777777" w:rsidR="00000000" w:rsidRPr="00467DB0" w:rsidRDefault="00693D67" w:rsidP="00467DB0">
      <w:pPr>
        <w:pStyle w:val="friliste2"/>
      </w:pPr>
      <w:r w:rsidRPr="00467DB0">
        <w:t>a)</w:t>
      </w:r>
      <w:r w:rsidRPr="00467DB0">
        <w:tab/>
        <w:t xml:space="preserve">være </w:t>
      </w:r>
      <w:proofErr w:type="spellStart"/>
      <w:r w:rsidRPr="00467DB0">
        <w:t>præcise</w:t>
      </w:r>
      <w:proofErr w:type="spellEnd"/>
      <w:r w:rsidRPr="00467DB0">
        <w:t xml:space="preserve"> og </w:t>
      </w:r>
      <w:proofErr w:type="spellStart"/>
      <w:r w:rsidRPr="00467DB0">
        <w:t>fuldstændige</w:t>
      </w:r>
      <w:proofErr w:type="spellEnd"/>
      <w:r w:rsidRPr="00467DB0">
        <w:t xml:space="preserve"> </w:t>
      </w:r>
    </w:p>
    <w:p w14:paraId="17E535D3" w14:textId="77777777" w:rsidR="00000000" w:rsidRPr="00467DB0" w:rsidRDefault="00693D67" w:rsidP="00467DB0">
      <w:pPr>
        <w:pStyle w:val="friliste2"/>
      </w:pPr>
      <w:r w:rsidRPr="00467DB0">
        <w:t>b)</w:t>
      </w:r>
      <w:r w:rsidRPr="00467DB0">
        <w:tab/>
      </w:r>
      <w:proofErr w:type="spellStart"/>
      <w:r w:rsidRPr="00467DB0">
        <w:t>afgives</w:t>
      </w:r>
      <w:proofErr w:type="spellEnd"/>
      <w:r w:rsidRPr="00467DB0">
        <w:t xml:space="preserve"> </w:t>
      </w:r>
      <w:proofErr w:type="spellStart"/>
      <w:r w:rsidRPr="00467DB0">
        <w:t>skriftligt</w:t>
      </w:r>
      <w:proofErr w:type="spellEnd"/>
      <w:r w:rsidRPr="00467DB0">
        <w:t xml:space="preserve"> ved de </w:t>
      </w:r>
      <w:proofErr w:type="spellStart"/>
      <w:r w:rsidRPr="00467DB0">
        <w:t>pågældende</w:t>
      </w:r>
      <w:proofErr w:type="spellEnd"/>
      <w:r w:rsidRPr="00467DB0">
        <w:t xml:space="preserve"> personers </w:t>
      </w:r>
      <w:proofErr w:type="spellStart"/>
      <w:r w:rsidRPr="00467DB0">
        <w:t>tiltræden</w:t>
      </w:r>
      <w:proofErr w:type="spellEnd"/>
      <w:r w:rsidRPr="00467DB0">
        <w:t xml:space="preserve"> </w:t>
      </w:r>
    </w:p>
    <w:p w14:paraId="4F4EADA7" w14:textId="77777777" w:rsidR="00000000" w:rsidRPr="00467DB0" w:rsidRDefault="00693D67" w:rsidP="00467DB0">
      <w:pPr>
        <w:pStyle w:val="friliste2"/>
      </w:pPr>
      <w:r w:rsidRPr="00467DB0">
        <w:t>c)</w:t>
      </w:r>
      <w:r w:rsidRPr="00467DB0">
        <w:tab/>
        <w:t xml:space="preserve">fornyes </w:t>
      </w:r>
      <w:proofErr w:type="spellStart"/>
      <w:r w:rsidRPr="00467DB0">
        <w:t>årligt</w:t>
      </w:r>
      <w:proofErr w:type="spellEnd"/>
      <w:r w:rsidRPr="00467DB0">
        <w:t xml:space="preserve"> og </w:t>
      </w:r>
    </w:p>
    <w:p w14:paraId="1868BCE2" w14:textId="77777777" w:rsidR="00000000" w:rsidRPr="00467DB0" w:rsidRDefault="00693D67" w:rsidP="00467DB0">
      <w:pPr>
        <w:pStyle w:val="friliste2"/>
      </w:pPr>
      <w:r w:rsidRPr="00467DB0">
        <w:t>d)</w:t>
      </w:r>
      <w:r w:rsidRPr="00467DB0">
        <w:tab/>
        <w:t xml:space="preserve">ajourføres, når det er </w:t>
      </w:r>
      <w:proofErr w:type="spellStart"/>
      <w:r w:rsidRPr="00467DB0">
        <w:t>nødvendigt</w:t>
      </w:r>
      <w:proofErr w:type="spellEnd"/>
      <w:r w:rsidRPr="00467DB0">
        <w:t xml:space="preserve">, navnlig ved relevante </w:t>
      </w:r>
      <w:proofErr w:type="spellStart"/>
      <w:r w:rsidRPr="00467DB0">
        <w:t>ændringer</w:t>
      </w:r>
      <w:proofErr w:type="spellEnd"/>
      <w:r w:rsidRPr="00467DB0">
        <w:t xml:space="preserve"> </w:t>
      </w:r>
      <w:proofErr w:type="spellStart"/>
      <w:r w:rsidRPr="00467DB0">
        <w:t>af</w:t>
      </w:r>
      <w:proofErr w:type="spellEnd"/>
      <w:r w:rsidRPr="00467DB0">
        <w:t xml:space="preserve"> de omhandlede personers personlige forhold.</w:t>
      </w:r>
    </w:p>
    <w:p w14:paraId="0522DC15" w14:textId="77777777" w:rsidR="00000000" w:rsidRPr="00467DB0" w:rsidRDefault="00693D67" w:rsidP="00467DB0">
      <w:pPr>
        <w:pStyle w:val="friliste"/>
      </w:pPr>
      <w:r w:rsidRPr="00467DB0">
        <w:t>2.</w:t>
      </w:r>
      <w:r w:rsidRPr="00467DB0">
        <w:tab/>
        <w:t xml:space="preserve">Medlemmer </w:t>
      </w:r>
      <w:proofErr w:type="spellStart"/>
      <w:r w:rsidRPr="00467DB0">
        <w:t>af</w:t>
      </w:r>
      <w:proofErr w:type="spellEnd"/>
      <w:r w:rsidRPr="00467DB0">
        <w:t xml:space="preserve"> bestyrelsen og </w:t>
      </w:r>
      <w:proofErr w:type="spellStart"/>
      <w:r w:rsidRPr="00467DB0">
        <w:t>af</w:t>
      </w:r>
      <w:proofErr w:type="spellEnd"/>
      <w:r w:rsidRPr="00467DB0">
        <w:t xml:space="preserve"> Komitée</w:t>
      </w:r>
      <w:r w:rsidRPr="00467DB0">
        <w:t xml:space="preserve">n for </w:t>
      </w:r>
      <w:proofErr w:type="spellStart"/>
      <w:r w:rsidRPr="00467DB0">
        <w:t>Sikkerhedsgodkendelse</w:t>
      </w:r>
      <w:proofErr w:type="spellEnd"/>
      <w:r w:rsidRPr="00467DB0">
        <w:t xml:space="preserve">, den administrerende direktør, </w:t>
      </w:r>
      <w:proofErr w:type="spellStart"/>
      <w:r w:rsidRPr="00467DB0">
        <w:t>udstationerede</w:t>
      </w:r>
      <w:proofErr w:type="spellEnd"/>
      <w:r w:rsidRPr="00467DB0">
        <w:t xml:space="preserve"> </w:t>
      </w:r>
      <w:proofErr w:type="spellStart"/>
      <w:r w:rsidRPr="00467DB0">
        <w:t>nationale</w:t>
      </w:r>
      <w:proofErr w:type="spellEnd"/>
      <w:r w:rsidRPr="00467DB0">
        <w:t xml:space="preserve"> eksperter, observatører og eksterne eksperter, der deltager i ad hoc-</w:t>
      </w:r>
      <w:proofErr w:type="spellStart"/>
      <w:r w:rsidRPr="00467DB0">
        <w:t>arbejdsgrupper</w:t>
      </w:r>
      <w:proofErr w:type="spellEnd"/>
      <w:r w:rsidRPr="00467DB0">
        <w:t xml:space="preserve">, erklærer </w:t>
      </w:r>
      <w:proofErr w:type="spellStart"/>
      <w:r w:rsidRPr="00467DB0">
        <w:t>forud</w:t>
      </w:r>
      <w:proofErr w:type="spellEnd"/>
      <w:r w:rsidRPr="00467DB0">
        <w:t xml:space="preserve"> for </w:t>
      </w:r>
      <w:proofErr w:type="gramStart"/>
      <w:r w:rsidRPr="00467DB0">
        <w:t>hvert møde</w:t>
      </w:r>
      <w:proofErr w:type="gramEnd"/>
      <w:r w:rsidRPr="00467DB0">
        <w:t xml:space="preserve">, som de deltager i, </w:t>
      </w:r>
      <w:proofErr w:type="spellStart"/>
      <w:r w:rsidRPr="00467DB0">
        <w:t>præcist</w:t>
      </w:r>
      <w:proofErr w:type="spellEnd"/>
      <w:r w:rsidRPr="00467DB0">
        <w:t xml:space="preserve"> og </w:t>
      </w:r>
      <w:proofErr w:type="spellStart"/>
      <w:r w:rsidRPr="00467DB0">
        <w:t>fuldstændigt</w:t>
      </w:r>
      <w:proofErr w:type="spellEnd"/>
      <w:r w:rsidRPr="00467DB0">
        <w:t>, om de har in</w:t>
      </w:r>
      <w:r w:rsidRPr="00467DB0">
        <w:t xml:space="preserve">teresser, som kan anses for at berøre deres </w:t>
      </w:r>
      <w:proofErr w:type="spellStart"/>
      <w:r w:rsidRPr="00467DB0">
        <w:t>uafhængighed</w:t>
      </w:r>
      <w:proofErr w:type="spellEnd"/>
      <w:r w:rsidRPr="00467DB0">
        <w:t xml:space="preserve"> med hensyn til et hvilket som helst punkt på dagsordenen. Et medlem, der har nogen sådan interesse, </w:t>
      </w:r>
      <w:proofErr w:type="spellStart"/>
      <w:r w:rsidRPr="00467DB0">
        <w:t>undlader</w:t>
      </w:r>
      <w:proofErr w:type="spellEnd"/>
      <w:r w:rsidRPr="00467DB0">
        <w:t xml:space="preserve"> at </w:t>
      </w:r>
      <w:proofErr w:type="spellStart"/>
      <w:r w:rsidRPr="00467DB0">
        <w:t>deltage</w:t>
      </w:r>
      <w:proofErr w:type="spellEnd"/>
      <w:r w:rsidRPr="00467DB0">
        <w:t xml:space="preserve"> i </w:t>
      </w:r>
      <w:proofErr w:type="spellStart"/>
      <w:r w:rsidRPr="00467DB0">
        <w:t>drøftelserne</w:t>
      </w:r>
      <w:proofErr w:type="spellEnd"/>
      <w:r w:rsidRPr="00467DB0">
        <w:t xml:space="preserve"> </w:t>
      </w:r>
      <w:proofErr w:type="spellStart"/>
      <w:r w:rsidRPr="00467DB0">
        <w:t>af</w:t>
      </w:r>
      <w:proofErr w:type="spellEnd"/>
      <w:r w:rsidRPr="00467DB0">
        <w:t xml:space="preserve"> og </w:t>
      </w:r>
      <w:proofErr w:type="spellStart"/>
      <w:r w:rsidRPr="00467DB0">
        <w:t>afstemningen</w:t>
      </w:r>
      <w:proofErr w:type="spellEnd"/>
      <w:r w:rsidRPr="00467DB0">
        <w:t xml:space="preserve"> om sådanne punkter.</w:t>
      </w:r>
    </w:p>
    <w:p w14:paraId="2561CB07" w14:textId="77777777" w:rsidR="00000000" w:rsidRPr="00467DB0" w:rsidRDefault="00693D67" w:rsidP="00467DB0">
      <w:pPr>
        <w:pStyle w:val="friliste"/>
      </w:pPr>
      <w:r w:rsidRPr="00467DB0">
        <w:t>3.</w:t>
      </w:r>
      <w:r w:rsidRPr="00467DB0">
        <w:tab/>
        <w:t>Bestyrelsen og Komitée</w:t>
      </w:r>
      <w:r w:rsidRPr="00467DB0">
        <w:t xml:space="preserve">n for </w:t>
      </w:r>
      <w:proofErr w:type="spellStart"/>
      <w:r w:rsidRPr="00467DB0">
        <w:t>Sikkerhedsgodkendelse</w:t>
      </w:r>
      <w:proofErr w:type="spellEnd"/>
      <w:r w:rsidRPr="00467DB0">
        <w:t xml:space="preserve"> </w:t>
      </w:r>
      <w:proofErr w:type="spellStart"/>
      <w:r w:rsidRPr="00467DB0">
        <w:t>fastlægger</w:t>
      </w:r>
      <w:proofErr w:type="spellEnd"/>
      <w:r w:rsidRPr="00467DB0">
        <w:t xml:space="preserve"> i deres forretningsorden praktiske bestemmelser om den i stk. 1 og 2 omhandlede regel om erklæring om interesser og om forebyggelse og håndtering </w:t>
      </w:r>
      <w:proofErr w:type="spellStart"/>
      <w:r w:rsidRPr="00467DB0">
        <w:t>af</w:t>
      </w:r>
      <w:proofErr w:type="spellEnd"/>
      <w:r w:rsidRPr="00467DB0">
        <w:t xml:space="preserve"> interessekonflikter.</w:t>
      </w:r>
    </w:p>
    <w:p w14:paraId="33B68444" w14:textId="77777777" w:rsidR="00000000" w:rsidRPr="00467DB0" w:rsidRDefault="00693D67" w:rsidP="00467DB0">
      <w:pPr>
        <w:pStyle w:val="avsnitt-undertittel"/>
      </w:pPr>
      <w:proofErr w:type="spellStart"/>
      <w:r w:rsidRPr="00467DB0">
        <w:t>Afsnit</w:t>
      </w:r>
      <w:proofErr w:type="spellEnd"/>
      <w:r w:rsidRPr="00467DB0">
        <w:t xml:space="preserve"> </w:t>
      </w:r>
      <w:proofErr w:type="spellStart"/>
      <w:r w:rsidRPr="00467DB0">
        <w:t>X</w:t>
      </w:r>
      <w:proofErr w:type="spellEnd"/>
    </w:p>
    <w:p w14:paraId="7BFCEB6F" w14:textId="77777777" w:rsidR="00000000" w:rsidRPr="00467DB0" w:rsidRDefault="00693D67" w:rsidP="00467DB0">
      <w:pPr>
        <w:pStyle w:val="Undertittel"/>
      </w:pPr>
      <w:r w:rsidRPr="00467DB0">
        <w:t xml:space="preserve">Programmering, </w:t>
      </w:r>
      <w:proofErr w:type="spellStart"/>
      <w:r w:rsidRPr="00467DB0">
        <w:t>overvågning</w:t>
      </w:r>
      <w:proofErr w:type="spellEnd"/>
      <w:r w:rsidRPr="00467DB0">
        <w:t>, evaluering</w:t>
      </w:r>
      <w:r w:rsidRPr="00467DB0">
        <w:t xml:space="preserve"> og </w:t>
      </w:r>
      <w:proofErr w:type="spellStart"/>
      <w:r w:rsidRPr="00467DB0">
        <w:t>kontrol</w:t>
      </w:r>
      <w:proofErr w:type="spellEnd"/>
    </w:p>
    <w:p w14:paraId="30E0ED26" w14:textId="77777777" w:rsidR="00000000" w:rsidRPr="00467DB0" w:rsidRDefault="00693D67" w:rsidP="00467DB0">
      <w:pPr>
        <w:pStyle w:val="avsnitt-undertittel"/>
      </w:pPr>
      <w:proofErr w:type="spellStart"/>
      <w:r w:rsidRPr="00467DB0">
        <w:t>Artikel</w:t>
      </w:r>
      <w:proofErr w:type="spellEnd"/>
      <w:r w:rsidRPr="00467DB0">
        <w:t xml:space="preserve"> 100</w:t>
      </w:r>
    </w:p>
    <w:p w14:paraId="3FF68CF7" w14:textId="77777777" w:rsidR="00000000" w:rsidRPr="00467DB0" w:rsidRDefault="00693D67" w:rsidP="00467DB0">
      <w:pPr>
        <w:pStyle w:val="Undertittel"/>
      </w:pPr>
      <w:proofErr w:type="spellStart"/>
      <w:r w:rsidRPr="00467DB0">
        <w:t>Arbejdsprogram</w:t>
      </w:r>
      <w:proofErr w:type="spellEnd"/>
    </w:p>
    <w:p w14:paraId="708AC87A" w14:textId="77777777" w:rsidR="00000000" w:rsidRPr="00467DB0" w:rsidRDefault="00693D67" w:rsidP="00467DB0">
      <w:r w:rsidRPr="00467DB0">
        <w:t xml:space="preserve">Programmet </w:t>
      </w:r>
      <w:proofErr w:type="spellStart"/>
      <w:r w:rsidRPr="00467DB0">
        <w:t>gennemføres</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de </w:t>
      </w:r>
      <w:proofErr w:type="spellStart"/>
      <w:r w:rsidRPr="00467DB0">
        <w:t>arbejdsprogrammer</w:t>
      </w:r>
      <w:proofErr w:type="spellEnd"/>
      <w:r w:rsidRPr="00467DB0">
        <w:t xml:space="preserve">, der er omhandlet i finansforordningens </w:t>
      </w:r>
      <w:proofErr w:type="spellStart"/>
      <w:r w:rsidRPr="00467DB0">
        <w:t>artikel</w:t>
      </w:r>
      <w:proofErr w:type="spellEnd"/>
      <w:r w:rsidRPr="00467DB0">
        <w:t xml:space="preserve"> 110, som skal være </w:t>
      </w:r>
      <w:proofErr w:type="spellStart"/>
      <w:r w:rsidRPr="00467DB0">
        <w:t>specifikke</w:t>
      </w:r>
      <w:proofErr w:type="spellEnd"/>
      <w:r w:rsidRPr="00467DB0">
        <w:t xml:space="preserve"> og helt særskilte </w:t>
      </w:r>
      <w:proofErr w:type="spellStart"/>
      <w:r w:rsidRPr="00467DB0">
        <w:t>arbejdsprogrammer</w:t>
      </w:r>
      <w:proofErr w:type="spellEnd"/>
      <w:r w:rsidRPr="00467DB0">
        <w:t xml:space="preserve"> for hver </w:t>
      </w:r>
      <w:proofErr w:type="spellStart"/>
      <w:proofErr w:type="gramStart"/>
      <w:r w:rsidRPr="00467DB0">
        <w:t>af</w:t>
      </w:r>
      <w:proofErr w:type="spellEnd"/>
      <w:r w:rsidRPr="00467DB0">
        <w:t xml:space="preserve"> programmets</w:t>
      </w:r>
      <w:proofErr w:type="gramEnd"/>
      <w:r w:rsidRPr="00467DB0">
        <w:t xml:space="preserve"> komponenter. </w:t>
      </w:r>
      <w:proofErr w:type="spellStart"/>
      <w:r w:rsidRPr="00467DB0">
        <w:t>Arbejdspr</w:t>
      </w:r>
      <w:r w:rsidRPr="00467DB0">
        <w:t>ogrammerne</w:t>
      </w:r>
      <w:proofErr w:type="spellEnd"/>
      <w:r w:rsidRPr="00467DB0">
        <w:t xml:space="preserve"> skal </w:t>
      </w:r>
      <w:proofErr w:type="spellStart"/>
      <w:r w:rsidRPr="00467DB0">
        <w:t>fastsætte</w:t>
      </w:r>
      <w:proofErr w:type="spellEnd"/>
      <w:r w:rsidRPr="00467DB0">
        <w:t xml:space="preserve"> de foranstaltninger og det tilhørende </w:t>
      </w:r>
      <w:proofErr w:type="spellStart"/>
      <w:r w:rsidRPr="00467DB0">
        <w:t>budget</w:t>
      </w:r>
      <w:proofErr w:type="spellEnd"/>
      <w:r w:rsidRPr="00467DB0">
        <w:t xml:space="preserve">, som </w:t>
      </w:r>
      <w:proofErr w:type="spellStart"/>
      <w:r w:rsidRPr="00467DB0">
        <w:t>kræves</w:t>
      </w:r>
      <w:proofErr w:type="spellEnd"/>
      <w:r w:rsidRPr="00467DB0">
        <w:t xml:space="preserve"> for at </w:t>
      </w:r>
      <w:proofErr w:type="spellStart"/>
      <w:r w:rsidRPr="00467DB0">
        <w:t>opfylde</w:t>
      </w:r>
      <w:proofErr w:type="spellEnd"/>
      <w:r w:rsidRPr="00467DB0">
        <w:t xml:space="preserve"> programmets </w:t>
      </w:r>
      <w:proofErr w:type="spellStart"/>
      <w:r w:rsidRPr="00467DB0">
        <w:t>målsætninger</w:t>
      </w:r>
      <w:proofErr w:type="spellEnd"/>
      <w:r w:rsidRPr="00467DB0">
        <w:t xml:space="preserve"> og, hvor det er relevant, </w:t>
      </w:r>
      <w:proofErr w:type="spellStart"/>
      <w:r w:rsidRPr="00467DB0">
        <w:t>fastsætte</w:t>
      </w:r>
      <w:proofErr w:type="spellEnd"/>
      <w:r w:rsidRPr="00467DB0">
        <w:t xml:space="preserve"> det samlede </w:t>
      </w:r>
      <w:proofErr w:type="spellStart"/>
      <w:r w:rsidRPr="00467DB0">
        <w:t>beløb</w:t>
      </w:r>
      <w:proofErr w:type="spellEnd"/>
      <w:r w:rsidRPr="00467DB0">
        <w:t xml:space="preserve">, der er </w:t>
      </w:r>
      <w:proofErr w:type="spellStart"/>
      <w:r w:rsidRPr="00467DB0">
        <w:t>afsat</w:t>
      </w:r>
      <w:proofErr w:type="spellEnd"/>
      <w:r w:rsidRPr="00467DB0">
        <w:t xml:space="preserve"> til </w:t>
      </w:r>
      <w:proofErr w:type="spellStart"/>
      <w:r w:rsidRPr="00467DB0">
        <w:t>blandingsoperationer</w:t>
      </w:r>
      <w:proofErr w:type="spellEnd"/>
      <w:r w:rsidRPr="00467DB0">
        <w:t>.</w:t>
      </w:r>
    </w:p>
    <w:p w14:paraId="1739EDFA" w14:textId="77777777" w:rsidR="00000000" w:rsidRPr="00467DB0" w:rsidRDefault="00693D67" w:rsidP="00467DB0">
      <w:proofErr w:type="spellStart"/>
      <w:r w:rsidRPr="00467DB0">
        <w:t>Kommissionen</w:t>
      </w:r>
      <w:proofErr w:type="spellEnd"/>
      <w:r w:rsidRPr="00467DB0">
        <w:t xml:space="preserve"> </w:t>
      </w:r>
      <w:proofErr w:type="spellStart"/>
      <w:r w:rsidRPr="00467DB0">
        <w:t>vedtager</w:t>
      </w:r>
      <w:proofErr w:type="spellEnd"/>
      <w:r w:rsidRPr="00467DB0">
        <w:t xml:space="preserve"> </w:t>
      </w:r>
      <w:proofErr w:type="spellStart"/>
      <w:r w:rsidRPr="00467DB0">
        <w:t>arbejdsprogrammer</w:t>
      </w:r>
      <w:proofErr w:type="spellEnd"/>
      <w:r w:rsidRPr="00467DB0">
        <w:t xml:space="preserve">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gennemførelsesretsakter</w:t>
      </w:r>
      <w:proofErr w:type="spellEnd"/>
      <w:r w:rsidRPr="00467DB0">
        <w:t xml:space="preserve">. Disse </w:t>
      </w:r>
      <w:proofErr w:type="spellStart"/>
      <w:r w:rsidRPr="00467DB0">
        <w:t>gennemførelsesretsakter</w:t>
      </w:r>
      <w:proofErr w:type="spellEnd"/>
      <w:r w:rsidRPr="00467DB0">
        <w:t xml:space="preserve"> </w:t>
      </w:r>
      <w:proofErr w:type="spellStart"/>
      <w:r w:rsidRPr="00467DB0">
        <w:t>vedtages</w:t>
      </w:r>
      <w:proofErr w:type="spellEnd"/>
      <w:r w:rsidRPr="00467DB0">
        <w:t xml:space="preserve"> efter </w:t>
      </w:r>
      <w:proofErr w:type="spellStart"/>
      <w:r w:rsidRPr="00467DB0">
        <w:t>undersøgelsesproceduren</w:t>
      </w:r>
      <w:proofErr w:type="spellEnd"/>
      <w:r w:rsidRPr="00467DB0">
        <w:t xml:space="preserve"> i </w:t>
      </w:r>
      <w:proofErr w:type="spellStart"/>
      <w:r w:rsidRPr="00467DB0">
        <w:t>artikel</w:t>
      </w:r>
      <w:proofErr w:type="spellEnd"/>
      <w:r w:rsidRPr="00467DB0">
        <w:t xml:space="preserve"> 107, stk. 3.</w:t>
      </w:r>
    </w:p>
    <w:p w14:paraId="246B5AD3" w14:textId="77777777" w:rsidR="00000000" w:rsidRPr="00467DB0" w:rsidRDefault="00693D67" w:rsidP="00467DB0">
      <w:pPr>
        <w:pStyle w:val="avsnitt-undertittel"/>
      </w:pPr>
      <w:proofErr w:type="spellStart"/>
      <w:r w:rsidRPr="00467DB0">
        <w:t>Artikel</w:t>
      </w:r>
      <w:proofErr w:type="spellEnd"/>
      <w:r w:rsidRPr="00467DB0">
        <w:t xml:space="preserve"> 101</w:t>
      </w:r>
    </w:p>
    <w:p w14:paraId="458823AC" w14:textId="77777777" w:rsidR="00000000" w:rsidRPr="00467DB0" w:rsidRDefault="00693D67" w:rsidP="00467DB0">
      <w:pPr>
        <w:pStyle w:val="Undertittel"/>
      </w:pPr>
      <w:proofErr w:type="spellStart"/>
      <w:r w:rsidRPr="00467DB0">
        <w:t>Overvågning</w:t>
      </w:r>
      <w:proofErr w:type="spellEnd"/>
      <w:r w:rsidRPr="00467DB0">
        <w:t xml:space="preserve"> og rapportering</w:t>
      </w:r>
    </w:p>
    <w:p w14:paraId="12CD6138" w14:textId="77777777" w:rsidR="00000000" w:rsidRPr="00467DB0" w:rsidRDefault="00693D67" w:rsidP="00467DB0">
      <w:pPr>
        <w:pStyle w:val="friliste"/>
      </w:pPr>
      <w:r w:rsidRPr="00467DB0">
        <w:t>1.</w:t>
      </w:r>
      <w:r w:rsidRPr="00467DB0">
        <w:tab/>
        <w:t xml:space="preserve">Indikatorer til rapportering om programmets </w:t>
      </w:r>
      <w:proofErr w:type="spellStart"/>
      <w:r w:rsidRPr="00467DB0">
        <w:t>fremskridt</w:t>
      </w:r>
      <w:proofErr w:type="spellEnd"/>
      <w:r w:rsidRPr="00467DB0">
        <w:t xml:space="preserve"> hen </w:t>
      </w:r>
      <w:proofErr w:type="spellStart"/>
      <w:r w:rsidRPr="00467DB0">
        <w:t>imod</w:t>
      </w:r>
      <w:proofErr w:type="spellEnd"/>
      <w:r w:rsidRPr="00467DB0">
        <w:t xml:space="preserve"> </w:t>
      </w:r>
      <w:proofErr w:type="spellStart"/>
      <w:r w:rsidRPr="00467DB0">
        <w:t>opnåelsen</w:t>
      </w:r>
      <w:proofErr w:type="spellEnd"/>
      <w:r w:rsidRPr="00467DB0">
        <w:t xml:space="preserve"> </w:t>
      </w:r>
      <w:proofErr w:type="spellStart"/>
      <w:r w:rsidRPr="00467DB0">
        <w:t>af</w:t>
      </w:r>
      <w:proofErr w:type="spellEnd"/>
      <w:r w:rsidRPr="00467DB0">
        <w:t xml:space="preserve"> de i </w:t>
      </w:r>
      <w:proofErr w:type="spellStart"/>
      <w:r w:rsidRPr="00467DB0">
        <w:t>artikel</w:t>
      </w:r>
      <w:proofErr w:type="spellEnd"/>
      <w:r w:rsidRPr="00467DB0">
        <w:t xml:space="preserve"> 4 fastlagte generelle og </w:t>
      </w:r>
      <w:proofErr w:type="spellStart"/>
      <w:r w:rsidRPr="00467DB0">
        <w:t>specifikke</w:t>
      </w:r>
      <w:proofErr w:type="spellEnd"/>
      <w:r w:rsidRPr="00467DB0">
        <w:t xml:space="preserve"> måler </w:t>
      </w:r>
      <w:proofErr w:type="spellStart"/>
      <w:r w:rsidRPr="00467DB0">
        <w:t>fastsat</w:t>
      </w:r>
      <w:proofErr w:type="spellEnd"/>
      <w:r w:rsidRPr="00467DB0">
        <w:t xml:space="preserve"> i bilaget.</w:t>
      </w:r>
    </w:p>
    <w:p w14:paraId="6C174BC0" w14:textId="77777777" w:rsidR="00000000" w:rsidRPr="00467DB0" w:rsidRDefault="00693D67" w:rsidP="00467DB0">
      <w:pPr>
        <w:pStyle w:val="friliste"/>
      </w:pPr>
      <w:r w:rsidRPr="00467DB0">
        <w:t>2.</w:t>
      </w:r>
      <w:r w:rsidRPr="00467DB0">
        <w:tab/>
        <w:t xml:space="preserve">For at sikre en effektiv vurdering </w:t>
      </w:r>
      <w:proofErr w:type="spellStart"/>
      <w:r w:rsidRPr="00467DB0">
        <w:t>af</w:t>
      </w:r>
      <w:proofErr w:type="spellEnd"/>
      <w:r w:rsidRPr="00467DB0">
        <w:t xml:space="preserve"> programmets </w:t>
      </w:r>
      <w:proofErr w:type="spellStart"/>
      <w:r w:rsidRPr="00467DB0">
        <w:t>fremskridt</w:t>
      </w:r>
      <w:proofErr w:type="spellEnd"/>
      <w:r w:rsidRPr="00467DB0">
        <w:t xml:space="preserve"> hen </w:t>
      </w:r>
      <w:proofErr w:type="spellStart"/>
      <w:r w:rsidRPr="00467DB0">
        <w:t>imod</w:t>
      </w:r>
      <w:proofErr w:type="spellEnd"/>
      <w:r w:rsidRPr="00467DB0">
        <w:t xml:space="preserve"> </w:t>
      </w:r>
      <w:proofErr w:type="spellStart"/>
      <w:r w:rsidRPr="00467DB0">
        <w:t>opnåelsen</w:t>
      </w:r>
      <w:proofErr w:type="spellEnd"/>
      <w:r w:rsidRPr="00467DB0">
        <w:t xml:space="preserve"> </w:t>
      </w:r>
      <w:proofErr w:type="spellStart"/>
      <w:r w:rsidRPr="00467DB0">
        <w:t>af</w:t>
      </w:r>
      <w:proofErr w:type="spellEnd"/>
      <w:r w:rsidRPr="00467DB0">
        <w:t xml:space="preserve"> dets mål </w:t>
      </w:r>
      <w:proofErr w:type="spellStart"/>
      <w:r w:rsidRPr="00467DB0">
        <w:t>tillægges</w:t>
      </w:r>
      <w:proofErr w:type="spellEnd"/>
      <w:r w:rsidRPr="00467DB0">
        <w:t xml:space="preserve"> </w:t>
      </w:r>
      <w:proofErr w:type="spellStart"/>
      <w:r w:rsidRPr="00467DB0">
        <w:t>Kommissionen</w:t>
      </w:r>
      <w:proofErr w:type="spellEnd"/>
      <w:r w:rsidRPr="00467DB0">
        <w:t xml:space="preserve"> </w:t>
      </w:r>
      <w:proofErr w:type="spellStart"/>
      <w:r w:rsidRPr="00467DB0">
        <w:t>beføjelse</w:t>
      </w:r>
      <w:proofErr w:type="spellEnd"/>
      <w:r w:rsidRPr="00467DB0">
        <w:t xml:space="preserve"> til at </w:t>
      </w:r>
      <w:proofErr w:type="spellStart"/>
      <w:r w:rsidRPr="00467DB0">
        <w:t>vedtage</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i overensstemmelse med </w:t>
      </w:r>
      <w:proofErr w:type="spellStart"/>
      <w:r w:rsidRPr="00467DB0">
        <w:t>artikel</w:t>
      </w:r>
      <w:proofErr w:type="spellEnd"/>
      <w:r w:rsidRPr="00467DB0">
        <w:t xml:space="preserve"> 105 for om </w:t>
      </w:r>
      <w:proofErr w:type="spellStart"/>
      <w:r w:rsidRPr="00467DB0">
        <w:t>nødvendigt</w:t>
      </w:r>
      <w:proofErr w:type="spellEnd"/>
      <w:r w:rsidRPr="00467DB0">
        <w:t xml:space="preserve"> at </w:t>
      </w:r>
      <w:proofErr w:type="spellStart"/>
      <w:r w:rsidRPr="00467DB0">
        <w:t>ændre</w:t>
      </w:r>
      <w:proofErr w:type="spellEnd"/>
      <w:r w:rsidRPr="00467DB0">
        <w:t xml:space="preserve"> bilaget for så vidt angår </w:t>
      </w:r>
      <w:proofErr w:type="spellStart"/>
      <w:r w:rsidRPr="00467DB0">
        <w:t>indikatorerne</w:t>
      </w:r>
      <w:proofErr w:type="spellEnd"/>
      <w:r w:rsidRPr="00467DB0">
        <w:t xml:space="preserve"> og for at supplere denne forordning med bestemmelser om </w:t>
      </w:r>
      <w:proofErr w:type="spellStart"/>
      <w:r w:rsidRPr="00467DB0">
        <w:t>oprettelse</w:t>
      </w:r>
      <w:proofErr w:type="spellEnd"/>
      <w:r w:rsidRPr="00467DB0">
        <w:t xml:space="preserve"> </w:t>
      </w:r>
      <w:proofErr w:type="spellStart"/>
      <w:r w:rsidRPr="00467DB0">
        <w:t>af</w:t>
      </w:r>
      <w:proofErr w:type="spellEnd"/>
      <w:r w:rsidRPr="00467DB0">
        <w:t xml:space="preserve"> en </w:t>
      </w:r>
      <w:proofErr w:type="spellStart"/>
      <w:r w:rsidRPr="00467DB0">
        <w:t>overvågnings</w:t>
      </w:r>
      <w:proofErr w:type="spellEnd"/>
      <w:r w:rsidRPr="00467DB0">
        <w:t>- og evalueringsramme.</w:t>
      </w:r>
    </w:p>
    <w:p w14:paraId="54C1FD9C" w14:textId="77777777" w:rsidR="00000000" w:rsidRPr="00467DB0" w:rsidRDefault="00693D67" w:rsidP="00467DB0">
      <w:pPr>
        <w:pStyle w:val="friliste"/>
      </w:pPr>
      <w:r w:rsidRPr="00467DB0">
        <w:lastRenderedPageBreak/>
        <w:t>3.</w:t>
      </w:r>
      <w:r w:rsidRPr="00467DB0">
        <w:tab/>
        <w:t xml:space="preserve">Hvis det er </w:t>
      </w:r>
      <w:proofErr w:type="spellStart"/>
      <w:r w:rsidRPr="00467DB0">
        <w:t>påkrævet</w:t>
      </w:r>
      <w:proofErr w:type="spellEnd"/>
      <w:r w:rsidRPr="00467DB0">
        <w:t xml:space="preserve"> i </w:t>
      </w:r>
      <w:proofErr w:type="spellStart"/>
      <w:r w:rsidRPr="00467DB0">
        <w:t>særligt</w:t>
      </w:r>
      <w:proofErr w:type="spellEnd"/>
      <w:r w:rsidRPr="00467DB0">
        <w:t xml:space="preserve"> hastende </w:t>
      </w:r>
      <w:proofErr w:type="spellStart"/>
      <w:r w:rsidRPr="00467DB0">
        <w:t>tilfælde</w:t>
      </w:r>
      <w:proofErr w:type="spellEnd"/>
      <w:r w:rsidRPr="00467DB0">
        <w:t xml:space="preserve">, anvendes </w:t>
      </w:r>
      <w:proofErr w:type="spellStart"/>
      <w:r w:rsidRPr="00467DB0">
        <w:t>procedu</w:t>
      </w:r>
      <w:r w:rsidRPr="00467DB0">
        <w:t>ren</w:t>
      </w:r>
      <w:proofErr w:type="spellEnd"/>
      <w:r w:rsidRPr="00467DB0">
        <w:t xml:space="preserve"> i </w:t>
      </w:r>
      <w:proofErr w:type="spellStart"/>
      <w:r w:rsidRPr="00467DB0">
        <w:t>artikel</w:t>
      </w:r>
      <w:proofErr w:type="spellEnd"/>
      <w:r w:rsidRPr="00467DB0">
        <w:t xml:space="preserve"> 106 på </w:t>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vedtaget</w:t>
      </w:r>
      <w:proofErr w:type="spellEnd"/>
      <w:r w:rsidRPr="00467DB0">
        <w:t xml:space="preserve"> i henhold til nærværende </w:t>
      </w:r>
      <w:proofErr w:type="spellStart"/>
      <w:r w:rsidRPr="00467DB0">
        <w:t>artikel</w:t>
      </w:r>
      <w:proofErr w:type="spellEnd"/>
      <w:r w:rsidRPr="00467DB0">
        <w:t>.</w:t>
      </w:r>
    </w:p>
    <w:p w14:paraId="312B2310" w14:textId="77777777" w:rsidR="00000000" w:rsidRPr="00467DB0" w:rsidRDefault="00693D67" w:rsidP="00467DB0">
      <w:pPr>
        <w:pStyle w:val="friliste"/>
      </w:pPr>
      <w:r w:rsidRPr="00467DB0">
        <w:t>4.</w:t>
      </w:r>
      <w:r w:rsidRPr="00467DB0">
        <w:tab/>
      </w:r>
      <w:proofErr w:type="spellStart"/>
      <w:r w:rsidRPr="00467DB0">
        <w:t>Præstationsrapporteringssystemet</w:t>
      </w:r>
      <w:proofErr w:type="spellEnd"/>
      <w:r w:rsidRPr="00467DB0">
        <w:t xml:space="preserve"> skal sikre, at data til </w:t>
      </w:r>
      <w:proofErr w:type="spellStart"/>
      <w:r w:rsidRPr="00467DB0">
        <w:t>overvågning</w:t>
      </w:r>
      <w:proofErr w:type="spellEnd"/>
      <w:r w:rsidRPr="00467DB0">
        <w:t xml:space="preserve"> </w:t>
      </w:r>
      <w:proofErr w:type="spellStart"/>
      <w:r w:rsidRPr="00467DB0">
        <w:t>af</w:t>
      </w:r>
      <w:proofErr w:type="spellEnd"/>
      <w:r w:rsidRPr="00467DB0">
        <w:t xml:space="preserve"> programmets </w:t>
      </w:r>
      <w:proofErr w:type="spellStart"/>
      <w:r w:rsidRPr="00467DB0">
        <w:t>gennemførelse</w:t>
      </w:r>
      <w:proofErr w:type="spellEnd"/>
      <w:r w:rsidRPr="00467DB0">
        <w:t xml:space="preserve"> og resultater </w:t>
      </w:r>
      <w:proofErr w:type="spellStart"/>
      <w:r w:rsidRPr="00467DB0">
        <w:t>indsamles</w:t>
      </w:r>
      <w:proofErr w:type="spellEnd"/>
      <w:r w:rsidRPr="00467DB0">
        <w:t xml:space="preserve"> effektivt, </w:t>
      </w:r>
      <w:proofErr w:type="spellStart"/>
      <w:r w:rsidRPr="00467DB0">
        <w:t>virkningsfuldt</w:t>
      </w:r>
      <w:proofErr w:type="spellEnd"/>
      <w:r w:rsidRPr="00467DB0">
        <w:t xml:space="preserve"> og </w:t>
      </w:r>
      <w:proofErr w:type="spellStart"/>
      <w:r w:rsidRPr="00467DB0">
        <w:t>rettidigt</w:t>
      </w:r>
      <w:proofErr w:type="spellEnd"/>
      <w:r w:rsidRPr="00467DB0">
        <w:t xml:space="preserve">. </w:t>
      </w:r>
    </w:p>
    <w:p w14:paraId="5EECEB09" w14:textId="77777777" w:rsidR="00000000" w:rsidRPr="00467DB0" w:rsidRDefault="00693D67" w:rsidP="00467DB0">
      <w:pPr>
        <w:pStyle w:val="Listeavsnitt"/>
      </w:pPr>
      <w:r w:rsidRPr="00467DB0">
        <w:t>Til</w:t>
      </w:r>
      <w:r w:rsidRPr="00467DB0">
        <w:t xml:space="preserve"> dette formål </w:t>
      </w:r>
      <w:proofErr w:type="spellStart"/>
      <w:r w:rsidRPr="00467DB0">
        <w:t>pålægges</w:t>
      </w:r>
      <w:proofErr w:type="spellEnd"/>
      <w:r w:rsidRPr="00467DB0">
        <w:t xml:space="preserve"> </w:t>
      </w:r>
      <w:proofErr w:type="spellStart"/>
      <w:r w:rsidRPr="00467DB0">
        <w:t>modtagere</w:t>
      </w:r>
      <w:proofErr w:type="spellEnd"/>
      <w:r w:rsidRPr="00467DB0">
        <w:t xml:space="preserve"> </w:t>
      </w:r>
      <w:proofErr w:type="spellStart"/>
      <w:r w:rsidRPr="00467DB0">
        <w:t>af</w:t>
      </w:r>
      <w:proofErr w:type="spellEnd"/>
      <w:r w:rsidRPr="00467DB0">
        <w:t xml:space="preserve"> EU-finansiering og, hvor det er </w:t>
      </w:r>
      <w:proofErr w:type="spellStart"/>
      <w:r w:rsidRPr="00467DB0">
        <w:t>hensigtsmæssigt</w:t>
      </w:r>
      <w:proofErr w:type="spellEnd"/>
      <w:r w:rsidRPr="00467DB0">
        <w:t xml:space="preserve">, </w:t>
      </w:r>
      <w:proofErr w:type="spellStart"/>
      <w:r w:rsidRPr="00467DB0">
        <w:t>medlemsstaterne</w:t>
      </w:r>
      <w:proofErr w:type="spellEnd"/>
      <w:r w:rsidRPr="00467DB0">
        <w:t xml:space="preserve"> </w:t>
      </w:r>
      <w:proofErr w:type="spellStart"/>
      <w:r w:rsidRPr="00467DB0">
        <w:t>forholdsmæssige</w:t>
      </w:r>
      <w:proofErr w:type="spellEnd"/>
      <w:r w:rsidRPr="00467DB0">
        <w:t xml:space="preserve"> rapporteringskrav.</w:t>
      </w:r>
    </w:p>
    <w:p w14:paraId="4201AA63" w14:textId="77777777" w:rsidR="00000000" w:rsidRPr="00467DB0" w:rsidRDefault="00693D67" w:rsidP="00467DB0">
      <w:pPr>
        <w:pStyle w:val="friliste"/>
      </w:pPr>
      <w:r w:rsidRPr="00467DB0">
        <w:t>5.</w:t>
      </w:r>
      <w:r w:rsidRPr="00467DB0">
        <w:tab/>
        <w:t xml:space="preserve">Med </w:t>
      </w:r>
      <w:proofErr w:type="spellStart"/>
      <w:r w:rsidRPr="00467DB0">
        <w:t>henblik</w:t>
      </w:r>
      <w:proofErr w:type="spellEnd"/>
      <w:r w:rsidRPr="00467DB0">
        <w:t xml:space="preserve"> på stk. 1 er </w:t>
      </w:r>
      <w:proofErr w:type="spellStart"/>
      <w:r w:rsidRPr="00467DB0">
        <w:t>modtagere</w:t>
      </w:r>
      <w:proofErr w:type="spellEnd"/>
      <w:r w:rsidRPr="00467DB0">
        <w:t xml:space="preserve"> </w:t>
      </w:r>
      <w:proofErr w:type="spellStart"/>
      <w:r w:rsidRPr="00467DB0">
        <w:t>af</w:t>
      </w:r>
      <w:proofErr w:type="spellEnd"/>
      <w:r w:rsidRPr="00467DB0">
        <w:t xml:space="preserve"> EU-finansiering </w:t>
      </w:r>
      <w:proofErr w:type="spellStart"/>
      <w:r w:rsidRPr="00467DB0">
        <w:t>forpligtet</w:t>
      </w:r>
      <w:proofErr w:type="spellEnd"/>
      <w:r w:rsidRPr="00467DB0">
        <w:t xml:space="preserve"> til at </w:t>
      </w:r>
      <w:proofErr w:type="spellStart"/>
      <w:r w:rsidRPr="00467DB0">
        <w:t>fremlægge</w:t>
      </w:r>
      <w:proofErr w:type="spellEnd"/>
      <w:r w:rsidRPr="00467DB0">
        <w:t xml:space="preserve"> relevante </w:t>
      </w:r>
      <w:proofErr w:type="spellStart"/>
      <w:r w:rsidRPr="00467DB0">
        <w:t>oplysninger</w:t>
      </w:r>
      <w:proofErr w:type="spellEnd"/>
      <w:r w:rsidRPr="00467DB0">
        <w:t xml:space="preserve">. De </w:t>
      </w:r>
      <w:proofErr w:type="spellStart"/>
      <w:r w:rsidRPr="00467DB0">
        <w:t>oplysning</w:t>
      </w:r>
      <w:r w:rsidRPr="00467DB0">
        <w:t>er</w:t>
      </w:r>
      <w:proofErr w:type="spellEnd"/>
      <w:r w:rsidRPr="00467DB0">
        <w:t xml:space="preserve">, der er nødvendige med </w:t>
      </w:r>
      <w:proofErr w:type="spellStart"/>
      <w:r w:rsidRPr="00467DB0">
        <w:t>henblik</w:t>
      </w:r>
      <w:proofErr w:type="spellEnd"/>
      <w:r w:rsidRPr="00467DB0">
        <w:t xml:space="preserve"> på </w:t>
      </w:r>
      <w:proofErr w:type="spellStart"/>
      <w:r w:rsidRPr="00467DB0">
        <w:t>verifikation</w:t>
      </w:r>
      <w:proofErr w:type="spellEnd"/>
      <w:r w:rsidRPr="00467DB0">
        <w:t xml:space="preserve"> </w:t>
      </w:r>
      <w:proofErr w:type="spellStart"/>
      <w:r w:rsidRPr="00467DB0">
        <w:t>af</w:t>
      </w:r>
      <w:proofErr w:type="spellEnd"/>
      <w:r w:rsidRPr="00467DB0">
        <w:t xml:space="preserve"> </w:t>
      </w:r>
      <w:proofErr w:type="spellStart"/>
      <w:r w:rsidRPr="00467DB0">
        <w:t>præstation</w:t>
      </w:r>
      <w:proofErr w:type="spellEnd"/>
      <w:r w:rsidRPr="00467DB0">
        <w:t xml:space="preserve">, </w:t>
      </w:r>
      <w:proofErr w:type="spellStart"/>
      <w:r w:rsidRPr="00467DB0">
        <w:t>indsamles</w:t>
      </w:r>
      <w:proofErr w:type="spellEnd"/>
      <w:r w:rsidRPr="00467DB0">
        <w:t xml:space="preserve"> effektivt og </w:t>
      </w:r>
      <w:proofErr w:type="spellStart"/>
      <w:r w:rsidRPr="00467DB0">
        <w:t>rettidigt</w:t>
      </w:r>
      <w:proofErr w:type="spellEnd"/>
      <w:r w:rsidRPr="00467DB0">
        <w:t>.</w:t>
      </w:r>
    </w:p>
    <w:p w14:paraId="54F263F1" w14:textId="77777777" w:rsidR="00000000" w:rsidRPr="00467DB0" w:rsidRDefault="00693D67" w:rsidP="00467DB0">
      <w:pPr>
        <w:pStyle w:val="avsnitt-undertittel"/>
      </w:pPr>
      <w:proofErr w:type="spellStart"/>
      <w:r w:rsidRPr="00467DB0">
        <w:t>Artikel</w:t>
      </w:r>
      <w:proofErr w:type="spellEnd"/>
      <w:r w:rsidRPr="00467DB0">
        <w:t xml:space="preserve"> 102</w:t>
      </w:r>
    </w:p>
    <w:p w14:paraId="71F0F56E" w14:textId="77777777" w:rsidR="00000000" w:rsidRPr="00467DB0" w:rsidRDefault="00693D67" w:rsidP="00467DB0">
      <w:pPr>
        <w:pStyle w:val="Undertittel"/>
      </w:pPr>
      <w:r w:rsidRPr="00467DB0">
        <w:t>Evaluering</w:t>
      </w:r>
    </w:p>
    <w:p w14:paraId="440477D8"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foretager evalueringer </w:t>
      </w:r>
      <w:proofErr w:type="spellStart"/>
      <w:r w:rsidRPr="00467DB0">
        <w:t>af</w:t>
      </w:r>
      <w:proofErr w:type="spellEnd"/>
      <w:r w:rsidRPr="00467DB0">
        <w:t xml:space="preserve"> programmet så </w:t>
      </w:r>
      <w:proofErr w:type="spellStart"/>
      <w:r w:rsidRPr="00467DB0">
        <w:t>betids</w:t>
      </w:r>
      <w:proofErr w:type="spellEnd"/>
      <w:r w:rsidRPr="00467DB0">
        <w:t xml:space="preserve">, at </w:t>
      </w:r>
      <w:proofErr w:type="spellStart"/>
      <w:r w:rsidRPr="00467DB0">
        <w:t>resultaterne</w:t>
      </w:r>
      <w:proofErr w:type="spellEnd"/>
      <w:r w:rsidRPr="00467DB0">
        <w:t xml:space="preserve"> kan </w:t>
      </w:r>
      <w:proofErr w:type="spellStart"/>
      <w:r w:rsidRPr="00467DB0">
        <w:t>indgå</w:t>
      </w:r>
      <w:proofErr w:type="spellEnd"/>
      <w:r w:rsidRPr="00467DB0">
        <w:t xml:space="preserve"> i </w:t>
      </w:r>
      <w:proofErr w:type="spellStart"/>
      <w:r w:rsidRPr="00467DB0">
        <w:t>beslutningsprocessen</w:t>
      </w:r>
      <w:proofErr w:type="spellEnd"/>
      <w:r w:rsidRPr="00467DB0">
        <w:t>.</w:t>
      </w:r>
    </w:p>
    <w:p w14:paraId="7A766F1C" w14:textId="77777777" w:rsidR="00000000" w:rsidRPr="00467DB0" w:rsidRDefault="00693D67" w:rsidP="00467DB0">
      <w:pPr>
        <w:pStyle w:val="friliste"/>
      </w:pPr>
      <w:r w:rsidRPr="00467DB0">
        <w:t>2.</w:t>
      </w:r>
      <w:r w:rsidRPr="00467DB0">
        <w:tab/>
        <w:t>Senest den 30. ju</w:t>
      </w:r>
      <w:r w:rsidRPr="00467DB0">
        <w:t xml:space="preserve">ni 2024 og </w:t>
      </w:r>
      <w:proofErr w:type="spellStart"/>
      <w:r w:rsidRPr="00467DB0">
        <w:t>derefter</w:t>
      </w:r>
      <w:proofErr w:type="spellEnd"/>
      <w:r w:rsidRPr="00467DB0">
        <w:t xml:space="preserve"> hvert fjerde år evaluerer </w:t>
      </w:r>
      <w:proofErr w:type="spellStart"/>
      <w:r w:rsidRPr="00467DB0">
        <w:t>Kommissionen</w:t>
      </w:r>
      <w:proofErr w:type="spellEnd"/>
      <w:r w:rsidRPr="00467DB0">
        <w:t xml:space="preserve"> </w:t>
      </w:r>
      <w:proofErr w:type="spellStart"/>
      <w:r w:rsidRPr="00467DB0">
        <w:t>gennemførelsen</w:t>
      </w:r>
      <w:proofErr w:type="spellEnd"/>
      <w:r w:rsidRPr="00467DB0">
        <w:t xml:space="preserve"> </w:t>
      </w:r>
      <w:proofErr w:type="spellStart"/>
      <w:r w:rsidRPr="00467DB0">
        <w:t>af</w:t>
      </w:r>
      <w:proofErr w:type="spellEnd"/>
      <w:r w:rsidRPr="00467DB0">
        <w:t xml:space="preserve"> programmet.</w:t>
      </w:r>
    </w:p>
    <w:p w14:paraId="2C91769D" w14:textId="77777777" w:rsidR="00000000" w:rsidRPr="00467DB0" w:rsidRDefault="00693D67" w:rsidP="00467DB0">
      <w:pPr>
        <w:pStyle w:val="Listeavsnitt"/>
      </w:pPr>
      <w:r w:rsidRPr="00467DB0">
        <w:t xml:space="preserve">Evalueringen skal omfatte alle programmets komponenter og foranstaltninger. Den skal vurdere: </w:t>
      </w:r>
    </w:p>
    <w:p w14:paraId="63803F2C" w14:textId="77777777" w:rsidR="00000000" w:rsidRPr="00467DB0" w:rsidRDefault="00693D67" w:rsidP="00467DB0">
      <w:pPr>
        <w:pStyle w:val="friliste2"/>
      </w:pPr>
      <w:r w:rsidRPr="00467DB0">
        <w:t>a)</w:t>
      </w:r>
      <w:r w:rsidRPr="00467DB0">
        <w:tab/>
      </w:r>
      <w:proofErr w:type="spellStart"/>
      <w:r w:rsidRPr="00467DB0">
        <w:t>udfør</w:t>
      </w:r>
      <w:r w:rsidRPr="00467DB0">
        <w:t>elsen</w:t>
      </w:r>
      <w:proofErr w:type="spellEnd"/>
      <w:r w:rsidRPr="00467DB0">
        <w:t xml:space="preserve"> </w:t>
      </w:r>
      <w:proofErr w:type="spellStart"/>
      <w:r w:rsidRPr="00467DB0">
        <w:t>af</w:t>
      </w:r>
      <w:proofErr w:type="spellEnd"/>
      <w:r w:rsidRPr="00467DB0">
        <w:t xml:space="preserve"> de tjenester, der er </w:t>
      </w:r>
      <w:proofErr w:type="spellStart"/>
      <w:r w:rsidRPr="00467DB0">
        <w:t>leveret</w:t>
      </w:r>
      <w:proofErr w:type="spellEnd"/>
      <w:r w:rsidRPr="00467DB0">
        <w:t xml:space="preserve"> under programmet</w:t>
      </w:r>
    </w:p>
    <w:p w14:paraId="4A046887" w14:textId="77777777" w:rsidR="00000000" w:rsidRPr="00467DB0" w:rsidRDefault="00693D67" w:rsidP="00467DB0">
      <w:pPr>
        <w:pStyle w:val="friliste2"/>
      </w:pPr>
      <w:r w:rsidRPr="00467DB0">
        <w:t>b)</w:t>
      </w:r>
      <w:r w:rsidRPr="00467DB0">
        <w:tab/>
      </w:r>
      <w:proofErr w:type="spellStart"/>
      <w:r w:rsidRPr="00467DB0">
        <w:t>udviklingen</w:t>
      </w:r>
      <w:proofErr w:type="spellEnd"/>
      <w:r w:rsidRPr="00467DB0">
        <w:t xml:space="preserve"> i behovene hos </w:t>
      </w:r>
      <w:proofErr w:type="spellStart"/>
      <w:r w:rsidRPr="00467DB0">
        <w:t>brugerne</w:t>
      </w:r>
      <w:proofErr w:type="spellEnd"/>
      <w:r w:rsidRPr="00467DB0">
        <w:t xml:space="preserve"> </w:t>
      </w:r>
      <w:proofErr w:type="spellStart"/>
      <w:r w:rsidRPr="00467DB0">
        <w:t>af</w:t>
      </w:r>
      <w:proofErr w:type="spellEnd"/>
      <w:r w:rsidRPr="00467DB0">
        <w:t xml:space="preserve"> programmet og </w:t>
      </w:r>
    </w:p>
    <w:p w14:paraId="262AF250" w14:textId="77777777" w:rsidR="00000000" w:rsidRPr="00467DB0" w:rsidRDefault="00693D67" w:rsidP="00467DB0">
      <w:pPr>
        <w:pStyle w:val="friliste2"/>
      </w:pPr>
      <w:r w:rsidRPr="00467DB0">
        <w:t>c)</w:t>
      </w:r>
      <w:r w:rsidRPr="00467DB0">
        <w:tab/>
      </w:r>
      <w:proofErr w:type="spellStart"/>
      <w:r w:rsidRPr="00467DB0">
        <w:t>udviklingen</w:t>
      </w:r>
      <w:proofErr w:type="spellEnd"/>
      <w:r w:rsidRPr="00467DB0">
        <w:t xml:space="preserve"> i den </w:t>
      </w:r>
      <w:proofErr w:type="spellStart"/>
      <w:r w:rsidRPr="00467DB0">
        <w:t>tilgængelige</w:t>
      </w:r>
      <w:proofErr w:type="spellEnd"/>
      <w:r w:rsidRPr="00467DB0">
        <w:t xml:space="preserve"> </w:t>
      </w:r>
      <w:proofErr w:type="spellStart"/>
      <w:r w:rsidRPr="00467DB0">
        <w:t>kapacitet</w:t>
      </w:r>
      <w:proofErr w:type="spellEnd"/>
      <w:r w:rsidRPr="00467DB0">
        <w:t xml:space="preserve"> med hensyn til deling og </w:t>
      </w:r>
      <w:proofErr w:type="spellStart"/>
      <w:r w:rsidRPr="00467DB0">
        <w:t>sammenlægning</w:t>
      </w:r>
      <w:proofErr w:type="spellEnd"/>
      <w:r w:rsidRPr="00467DB0">
        <w:t xml:space="preserve">, når den evaluerer </w:t>
      </w:r>
      <w:proofErr w:type="spellStart"/>
      <w:r w:rsidRPr="00467DB0">
        <w:t>gennemførelsen</w:t>
      </w:r>
      <w:proofErr w:type="spellEnd"/>
      <w:r w:rsidRPr="00467DB0">
        <w:t xml:space="preserve"> </w:t>
      </w:r>
      <w:proofErr w:type="spellStart"/>
      <w:r w:rsidRPr="00467DB0">
        <w:t>af</w:t>
      </w:r>
      <w:proofErr w:type="spellEnd"/>
      <w:r w:rsidRPr="00467DB0">
        <w:t xml:space="preserve"> SSA og GOVSATCOM, eller </w:t>
      </w:r>
      <w:proofErr w:type="spellStart"/>
      <w:r w:rsidRPr="00467DB0">
        <w:t>af</w:t>
      </w:r>
      <w:proofErr w:type="spellEnd"/>
      <w:r w:rsidRPr="00467DB0">
        <w:t xml:space="preserve"> data og tjenester, som tilbydes </w:t>
      </w:r>
      <w:proofErr w:type="spellStart"/>
      <w:r w:rsidRPr="00467DB0">
        <w:t>af</w:t>
      </w:r>
      <w:proofErr w:type="spellEnd"/>
      <w:r w:rsidRPr="00467DB0">
        <w:t xml:space="preserve"> konkurrenter, når den evaluerer </w:t>
      </w:r>
      <w:proofErr w:type="spellStart"/>
      <w:r w:rsidRPr="00467DB0">
        <w:t>gennemførelsen</w:t>
      </w:r>
      <w:proofErr w:type="spellEnd"/>
      <w:r w:rsidRPr="00467DB0">
        <w:t xml:space="preserve"> </w:t>
      </w:r>
      <w:proofErr w:type="spellStart"/>
      <w:r w:rsidRPr="00467DB0">
        <w:t>af</w:t>
      </w:r>
      <w:proofErr w:type="spellEnd"/>
      <w:r w:rsidRPr="00467DB0">
        <w:t xml:space="preserve"> Galileo, Copernicus og EGNOS. </w:t>
      </w:r>
    </w:p>
    <w:p w14:paraId="589EB6C9" w14:textId="77777777" w:rsidR="00000000" w:rsidRPr="00467DB0" w:rsidRDefault="00693D67" w:rsidP="00467DB0">
      <w:pPr>
        <w:pStyle w:val="Listeavsnitt"/>
      </w:pPr>
      <w:r w:rsidRPr="00467DB0">
        <w:t xml:space="preserve">For hver komponent i programmet skal evalueringen på </w:t>
      </w:r>
      <w:proofErr w:type="spellStart"/>
      <w:r w:rsidRPr="00467DB0">
        <w:t>grundlag</w:t>
      </w:r>
      <w:proofErr w:type="spellEnd"/>
      <w:r w:rsidRPr="00467DB0">
        <w:t xml:space="preserve"> </w:t>
      </w:r>
      <w:proofErr w:type="spellStart"/>
      <w:r w:rsidRPr="00467DB0">
        <w:t>af</w:t>
      </w:r>
      <w:proofErr w:type="spellEnd"/>
      <w:r w:rsidRPr="00467DB0">
        <w:t xml:space="preserve"> en </w:t>
      </w:r>
      <w:proofErr w:type="spellStart"/>
      <w:r w:rsidRPr="00467DB0">
        <w:t>cost</w:t>
      </w:r>
      <w:proofErr w:type="spellEnd"/>
      <w:r w:rsidRPr="00467DB0">
        <w:t>-</w:t>
      </w:r>
      <w:proofErr w:type="spellStart"/>
      <w:r w:rsidRPr="00467DB0">
        <w:t>benefit</w:t>
      </w:r>
      <w:proofErr w:type="spellEnd"/>
      <w:r w:rsidRPr="00467DB0">
        <w:t xml:space="preserve">-analyse også vurdere virkningen </w:t>
      </w:r>
      <w:proofErr w:type="spellStart"/>
      <w:r w:rsidRPr="00467DB0">
        <w:t>af</w:t>
      </w:r>
      <w:proofErr w:type="spellEnd"/>
      <w:r w:rsidRPr="00467DB0">
        <w:t xml:space="preserve"> </w:t>
      </w:r>
      <w:proofErr w:type="spellStart"/>
      <w:r w:rsidRPr="00467DB0">
        <w:t>udviklingerne</w:t>
      </w:r>
      <w:proofErr w:type="spellEnd"/>
      <w:r w:rsidRPr="00467DB0">
        <w:t xml:space="preserve"> omhan</w:t>
      </w:r>
      <w:r w:rsidRPr="00467DB0">
        <w:t xml:space="preserve">dlet i første </w:t>
      </w:r>
      <w:proofErr w:type="spellStart"/>
      <w:r w:rsidRPr="00467DB0">
        <w:t>afsnit</w:t>
      </w:r>
      <w:proofErr w:type="spellEnd"/>
      <w:r w:rsidRPr="00467DB0">
        <w:t xml:space="preserve">, litra c), herunder behovet for </w:t>
      </w:r>
      <w:proofErr w:type="spellStart"/>
      <w:r w:rsidRPr="00467DB0">
        <w:t>ændring</w:t>
      </w:r>
      <w:proofErr w:type="spellEnd"/>
      <w:r w:rsidRPr="00467DB0">
        <w:t xml:space="preserve"> </w:t>
      </w:r>
      <w:proofErr w:type="spellStart"/>
      <w:r w:rsidRPr="00467DB0">
        <w:t>af</w:t>
      </w:r>
      <w:proofErr w:type="spellEnd"/>
      <w:r w:rsidRPr="00467DB0">
        <w:t xml:space="preserve"> </w:t>
      </w:r>
      <w:proofErr w:type="spellStart"/>
      <w:r w:rsidRPr="00467DB0">
        <w:t>prisfastsættelsespolitikken</w:t>
      </w:r>
      <w:proofErr w:type="spellEnd"/>
      <w:r w:rsidRPr="00467DB0">
        <w:t xml:space="preserve"> eller for </w:t>
      </w:r>
      <w:proofErr w:type="spellStart"/>
      <w:r w:rsidRPr="00467DB0">
        <w:t>yderligere</w:t>
      </w:r>
      <w:proofErr w:type="spellEnd"/>
      <w:r w:rsidRPr="00467DB0">
        <w:t xml:space="preserve"> </w:t>
      </w:r>
      <w:proofErr w:type="spellStart"/>
      <w:r w:rsidRPr="00467DB0">
        <w:t>rum</w:t>
      </w:r>
      <w:proofErr w:type="spellEnd"/>
      <w:r w:rsidRPr="00467DB0">
        <w:t xml:space="preserve">- eller </w:t>
      </w:r>
      <w:proofErr w:type="spellStart"/>
      <w:r w:rsidRPr="00467DB0">
        <w:t>jordbaseret</w:t>
      </w:r>
      <w:proofErr w:type="spellEnd"/>
      <w:r w:rsidRPr="00467DB0">
        <w:t xml:space="preserve"> infrastruktur.</w:t>
      </w:r>
    </w:p>
    <w:p w14:paraId="5BD7210C" w14:textId="77777777" w:rsidR="00000000" w:rsidRPr="00467DB0" w:rsidRDefault="00693D67" w:rsidP="00467DB0">
      <w:pPr>
        <w:pStyle w:val="Listeavsnitt"/>
      </w:pPr>
      <w:r w:rsidRPr="00467DB0">
        <w:t xml:space="preserve">Om </w:t>
      </w:r>
      <w:proofErr w:type="spellStart"/>
      <w:r w:rsidRPr="00467DB0">
        <w:t>nødvendigt</w:t>
      </w:r>
      <w:proofErr w:type="spellEnd"/>
      <w:r w:rsidRPr="00467DB0">
        <w:t xml:space="preserve"> ledsages evalueringen </w:t>
      </w:r>
      <w:proofErr w:type="spellStart"/>
      <w:r w:rsidRPr="00467DB0">
        <w:t>af</w:t>
      </w:r>
      <w:proofErr w:type="spellEnd"/>
      <w:r w:rsidRPr="00467DB0">
        <w:t xml:space="preserve"> et passende forslag.</w:t>
      </w:r>
    </w:p>
    <w:p w14:paraId="671BB601" w14:textId="77777777" w:rsidR="00000000" w:rsidRPr="00467DB0" w:rsidRDefault="00693D67" w:rsidP="00467DB0">
      <w:pPr>
        <w:pStyle w:val="friliste"/>
      </w:pPr>
      <w:r w:rsidRPr="00467DB0">
        <w:t>4.</w:t>
      </w:r>
      <w:r w:rsidRPr="00467DB0">
        <w:tab/>
      </w:r>
      <w:proofErr w:type="spellStart"/>
      <w:r w:rsidRPr="00467DB0">
        <w:t>Kommissionen</w:t>
      </w:r>
      <w:proofErr w:type="spellEnd"/>
      <w:r w:rsidRPr="00467DB0">
        <w:t xml:space="preserve"> meddeler Europa-Parlamentet</w:t>
      </w:r>
      <w:r w:rsidRPr="00467DB0">
        <w:t xml:space="preserve">, Rådet, Det </w:t>
      </w:r>
      <w:proofErr w:type="spellStart"/>
      <w:r w:rsidRPr="00467DB0">
        <w:t>Europæiske</w:t>
      </w:r>
      <w:proofErr w:type="spellEnd"/>
      <w:r w:rsidRPr="00467DB0">
        <w:t xml:space="preserve"> Økonomiske og </w:t>
      </w:r>
      <w:proofErr w:type="spellStart"/>
      <w:r w:rsidRPr="00467DB0">
        <w:t>Sociale</w:t>
      </w:r>
      <w:proofErr w:type="spellEnd"/>
      <w:r w:rsidRPr="00467DB0">
        <w:t xml:space="preserve"> </w:t>
      </w:r>
      <w:proofErr w:type="spellStart"/>
      <w:r w:rsidRPr="00467DB0">
        <w:t>Udvalg</w:t>
      </w:r>
      <w:proofErr w:type="spellEnd"/>
      <w:r w:rsidRPr="00467DB0">
        <w:t xml:space="preserve"> og </w:t>
      </w:r>
      <w:proofErr w:type="spellStart"/>
      <w:r w:rsidRPr="00467DB0">
        <w:t>Regionsudvalget</w:t>
      </w:r>
      <w:proofErr w:type="spellEnd"/>
      <w:r w:rsidRPr="00467DB0">
        <w:t xml:space="preserve"> </w:t>
      </w:r>
      <w:proofErr w:type="spellStart"/>
      <w:r w:rsidRPr="00467DB0">
        <w:t>resultaterne</w:t>
      </w:r>
      <w:proofErr w:type="spellEnd"/>
      <w:r w:rsidRPr="00467DB0">
        <w:t xml:space="preserve"> </w:t>
      </w:r>
      <w:proofErr w:type="spellStart"/>
      <w:r w:rsidRPr="00467DB0">
        <w:t>af</w:t>
      </w:r>
      <w:proofErr w:type="spellEnd"/>
      <w:r w:rsidRPr="00467DB0">
        <w:t xml:space="preserve"> </w:t>
      </w:r>
      <w:proofErr w:type="spellStart"/>
      <w:r w:rsidRPr="00467DB0">
        <w:t>evalueringerne</w:t>
      </w:r>
      <w:proofErr w:type="spellEnd"/>
      <w:r w:rsidRPr="00467DB0">
        <w:t xml:space="preserve"> og sine </w:t>
      </w:r>
      <w:proofErr w:type="spellStart"/>
      <w:r w:rsidRPr="00467DB0">
        <w:t>bemærkninger</w:t>
      </w:r>
      <w:proofErr w:type="spellEnd"/>
      <w:r w:rsidRPr="00467DB0">
        <w:t xml:space="preserve"> hertil.</w:t>
      </w:r>
    </w:p>
    <w:p w14:paraId="2D222CBD" w14:textId="77777777" w:rsidR="00000000" w:rsidRPr="00467DB0" w:rsidRDefault="00693D67" w:rsidP="00467DB0">
      <w:pPr>
        <w:pStyle w:val="friliste"/>
      </w:pPr>
      <w:r w:rsidRPr="00467DB0">
        <w:t>5.</w:t>
      </w:r>
      <w:r w:rsidRPr="00467DB0">
        <w:tab/>
        <w:t xml:space="preserve">De </w:t>
      </w:r>
      <w:proofErr w:type="spellStart"/>
      <w:r w:rsidRPr="00467DB0">
        <w:t>enheder</w:t>
      </w:r>
      <w:proofErr w:type="spellEnd"/>
      <w:r w:rsidRPr="00467DB0">
        <w:t xml:space="preserve">, der deltager i </w:t>
      </w:r>
      <w:proofErr w:type="spellStart"/>
      <w:r w:rsidRPr="00467DB0">
        <w:t>gennemførelsen</w:t>
      </w:r>
      <w:proofErr w:type="spellEnd"/>
      <w:r w:rsidRPr="00467DB0">
        <w:t xml:space="preserve"> </w:t>
      </w:r>
      <w:proofErr w:type="spellStart"/>
      <w:r w:rsidRPr="00467DB0">
        <w:t>af</w:t>
      </w:r>
      <w:proofErr w:type="spellEnd"/>
      <w:r w:rsidRPr="00467DB0">
        <w:t xml:space="preserve"> denne forordning, meddeler </w:t>
      </w:r>
      <w:proofErr w:type="spellStart"/>
      <w:r w:rsidRPr="00467DB0">
        <w:t>Kommissionen</w:t>
      </w:r>
      <w:proofErr w:type="spellEnd"/>
      <w:r w:rsidRPr="00467DB0">
        <w:t xml:space="preserve"> de data og </w:t>
      </w:r>
      <w:proofErr w:type="spellStart"/>
      <w:r w:rsidRPr="00467DB0">
        <w:t>informationer</w:t>
      </w:r>
      <w:proofErr w:type="spellEnd"/>
      <w:r w:rsidRPr="00467DB0">
        <w:t>, der er nød</w:t>
      </w:r>
      <w:r w:rsidRPr="00467DB0">
        <w:t>vendige for evalueringen omhandlet i stk. 1.</w:t>
      </w:r>
    </w:p>
    <w:p w14:paraId="131B297A" w14:textId="77777777" w:rsidR="00000000" w:rsidRPr="00467DB0" w:rsidRDefault="00693D67" w:rsidP="00467DB0">
      <w:pPr>
        <w:pStyle w:val="friliste"/>
      </w:pPr>
      <w:r w:rsidRPr="00467DB0">
        <w:t>6.</w:t>
      </w:r>
      <w:r w:rsidRPr="00467DB0">
        <w:tab/>
        <w:t xml:space="preserve">Senest den 30. juni 2024, og </w:t>
      </w:r>
      <w:proofErr w:type="spellStart"/>
      <w:r w:rsidRPr="00467DB0">
        <w:t>herefter</w:t>
      </w:r>
      <w:proofErr w:type="spellEnd"/>
      <w:r w:rsidRPr="00467DB0">
        <w:t xml:space="preserve"> hvert fjerde år, vurderer </w:t>
      </w:r>
      <w:proofErr w:type="spellStart"/>
      <w:r w:rsidRPr="00467DB0">
        <w:t>Kommissionen</w:t>
      </w:r>
      <w:proofErr w:type="spellEnd"/>
      <w:r w:rsidRPr="00467DB0">
        <w:t xml:space="preserve"> agenturets </w:t>
      </w:r>
      <w:proofErr w:type="spellStart"/>
      <w:r w:rsidRPr="00467DB0">
        <w:t>præstation</w:t>
      </w:r>
      <w:proofErr w:type="spellEnd"/>
      <w:r w:rsidRPr="00467DB0">
        <w:t xml:space="preserve"> i forhold til dets </w:t>
      </w:r>
      <w:proofErr w:type="spellStart"/>
      <w:r w:rsidRPr="00467DB0">
        <w:t>målsætninger</w:t>
      </w:r>
      <w:proofErr w:type="spellEnd"/>
      <w:r w:rsidRPr="00467DB0">
        <w:t xml:space="preserve">, mandat og </w:t>
      </w:r>
      <w:proofErr w:type="spellStart"/>
      <w:r w:rsidRPr="00467DB0">
        <w:t>opgaver</w:t>
      </w:r>
      <w:proofErr w:type="spellEnd"/>
      <w:r w:rsidRPr="00467DB0">
        <w:t xml:space="preserve"> i overensstemmelse med </w:t>
      </w:r>
      <w:proofErr w:type="spellStart"/>
      <w:r w:rsidRPr="00467DB0">
        <w:t>Kommissionens</w:t>
      </w:r>
      <w:proofErr w:type="spellEnd"/>
      <w:r w:rsidRPr="00467DB0">
        <w:t xml:space="preserve"> retningslinjer. Evalu</w:t>
      </w:r>
      <w:r w:rsidRPr="00467DB0">
        <w:t xml:space="preserve">eringen skal baseres på en </w:t>
      </w:r>
      <w:proofErr w:type="spellStart"/>
      <w:r w:rsidRPr="00467DB0">
        <w:t>cost</w:t>
      </w:r>
      <w:proofErr w:type="spellEnd"/>
      <w:r w:rsidRPr="00467DB0">
        <w:t>-</w:t>
      </w:r>
      <w:proofErr w:type="spellStart"/>
      <w:r w:rsidRPr="00467DB0">
        <w:t>benefit</w:t>
      </w:r>
      <w:proofErr w:type="spellEnd"/>
      <w:r w:rsidRPr="00467DB0">
        <w:t xml:space="preserve">-analyse. Der skal ved evalueringen navnlig ses på et eventuelt behov for at </w:t>
      </w:r>
      <w:proofErr w:type="spellStart"/>
      <w:r w:rsidRPr="00467DB0">
        <w:t>ændre</w:t>
      </w:r>
      <w:proofErr w:type="spellEnd"/>
      <w:r w:rsidRPr="00467DB0">
        <w:t xml:space="preserve"> agenturets mandat og de finansielle konsekvenser </w:t>
      </w:r>
      <w:proofErr w:type="spellStart"/>
      <w:r w:rsidRPr="00467DB0">
        <w:t>af</w:t>
      </w:r>
      <w:proofErr w:type="spellEnd"/>
      <w:r w:rsidRPr="00467DB0">
        <w:t xml:space="preserve"> en sådan </w:t>
      </w:r>
      <w:proofErr w:type="spellStart"/>
      <w:r w:rsidRPr="00467DB0">
        <w:t>ændring</w:t>
      </w:r>
      <w:proofErr w:type="spellEnd"/>
      <w:r w:rsidRPr="00467DB0">
        <w:t xml:space="preserve">. Der ses også på agenturets </w:t>
      </w:r>
      <w:proofErr w:type="spellStart"/>
      <w:r w:rsidRPr="00467DB0">
        <w:t>politik</w:t>
      </w:r>
      <w:proofErr w:type="spellEnd"/>
      <w:r w:rsidRPr="00467DB0">
        <w:t xml:space="preserve"> </w:t>
      </w:r>
      <w:proofErr w:type="gramStart"/>
      <w:r w:rsidRPr="00467DB0">
        <w:t>vedrørende</w:t>
      </w:r>
      <w:proofErr w:type="gramEnd"/>
      <w:r w:rsidRPr="00467DB0">
        <w:t xml:space="preserve"> interessekonflikte</w:t>
      </w:r>
      <w:r w:rsidRPr="00467DB0">
        <w:t xml:space="preserve">r og Komitéen for </w:t>
      </w:r>
      <w:proofErr w:type="spellStart"/>
      <w:r w:rsidRPr="00467DB0">
        <w:t>Sikkerhedsgodkendelses</w:t>
      </w:r>
      <w:proofErr w:type="spellEnd"/>
      <w:r w:rsidRPr="00467DB0">
        <w:t xml:space="preserve"> </w:t>
      </w:r>
      <w:proofErr w:type="spellStart"/>
      <w:r w:rsidRPr="00467DB0">
        <w:t>uafhængighed</w:t>
      </w:r>
      <w:proofErr w:type="spellEnd"/>
      <w:r w:rsidRPr="00467DB0">
        <w:t xml:space="preserve"> og autonomi. </w:t>
      </w:r>
      <w:proofErr w:type="spellStart"/>
      <w:r w:rsidRPr="00467DB0">
        <w:t>Kommissionen</w:t>
      </w:r>
      <w:proofErr w:type="spellEnd"/>
      <w:r w:rsidRPr="00467DB0">
        <w:t xml:space="preserve"> kan </w:t>
      </w:r>
      <w:proofErr w:type="spellStart"/>
      <w:r w:rsidRPr="00467DB0">
        <w:t>desuden</w:t>
      </w:r>
      <w:proofErr w:type="spellEnd"/>
      <w:r w:rsidRPr="00467DB0">
        <w:t xml:space="preserve"> evaluere agenturets </w:t>
      </w:r>
      <w:proofErr w:type="spellStart"/>
      <w:r w:rsidRPr="00467DB0">
        <w:t>præstation</w:t>
      </w:r>
      <w:proofErr w:type="spellEnd"/>
      <w:r w:rsidRPr="00467DB0">
        <w:t xml:space="preserve"> med </w:t>
      </w:r>
      <w:proofErr w:type="spellStart"/>
      <w:r w:rsidRPr="00467DB0">
        <w:t>henblik</w:t>
      </w:r>
      <w:proofErr w:type="spellEnd"/>
      <w:r w:rsidRPr="00467DB0">
        <w:t xml:space="preserve"> på at vurdere </w:t>
      </w:r>
      <w:proofErr w:type="spellStart"/>
      <w:r w:rsidRPr="00467DB0">
        <w:t>muligheden</w:t>
      </w:r>
      <w:proofErr w:type="spellEnd"/>
      <w:r w:rsidRPr="00467DB0">
        <w:t xml:space="preserve"> for at </w:t>
      </w:r>
      <w:proofErr w:type="spellStart"/>
      <w:r w:rsidRPr="00467DB0">
        <w:t>overdrage</w:t>
      </w:r>
      <w:proofErr w:type="spellEnd"/>
      <w:r w:rsidRPr="00467DB0">
        <w:t xml:space="preserve"> </w:t>
      </w:r>
      <w:proofErr w:type="spellStart"/>
      <w:r w:rsidRPr="00467DB0">
        <w:t>yderligere</w:t>
      </w:r>
      <w:proofErr w:type="spellEnd"/>
      <w:r w:rsidRPr="00467DB0">
        <w:t xml:space="preserve"> </w:t>
      </w:r>
      <w:proofErr w:type="spellStart"/>
      <w:r w:rsidRPr="00467DB0">
        <w:t>opgaver</w:t>
      </w:r>
      <w:proofErr w:type="spellEnd"/>
      <w:r w:rsidRPr="00467DB0">
        <w:t xml:space="preserve"> til det i overensstemmelse med </w:t>
      </w:r>
      <w:proofErr w:type="spellStart"/>
      <w:r w:rsidRPr="00467DB0">
        <w:t>artikel</w:t>
      </w:r>
      <w:proofErr w:type="spellEnd"/>
      <w:r w:rsidRPr="00467DB0">
        <w:t xml:space="preserve"> 29, stk. 3. Om </w:t>
      </w:r>
      <w:proofErr w:type="spellStart"/>
      <w:r w:rsidRPr="00467DB0">
        <w:t>nødven</w:t>
      </w:r>
      <w:r w:rsidRPr="00467DB0">
        <w:t>digt</w:t>
      </w:r>
      <w:proofErr w:type="spellEnd"/>
      <w:r w:rsidRPr="00467DB0">
        <w:t xml:space="preserve"> ledsages evalueringen </w:t>
      </w:r>
      <w:proofErr w:type="spellStart"/>
      <w:r w:rsidRPr="00467DB0">
        <w:t>af</w:t>
      </w:r>
      <w:proofErr w:type="spellEnd"/>
      <w:r w:rsidRPr="00467DB0">
        <w:t xml:space="preserve"> et passende forslag.</w:t>
      </w:r>
    </w:p>
    <w:p w14:paraId="1412E67E" w14:textId="77777777" w:rsidR="00000000" w:rsidRPr="00467DB0" w:rsidRDefault="00693D67" w:rsidP="00467DB0">
      <w:pPr>
        <w:pStyle w:val="Listeavsnitt"/>
      </w:pPr>
      <w:r w:rsidRPr="00467DB0">
        <w:lastRenderedPageBreak/>
        <w:t xml:space="preserve">Hvis </w:t>
      </w:r>
      <w:proofErr w:type="spellStart"/>
      <w:r w:rsidRPr="00467DB0">
        <w:t>Kommissionen</w:t>
      </w:r>
      <w:proofErr w:type="spellEnd"/>
      <w:r w:rsidRPr="00467DB0">
        <w:t xml:space="preserve"> </w:t>
      </w:r>
      <w:proofErr w:type="spellStart"/>
      <w:r w:rsidRPr="00467DB0">
        <w:t>finder</w:t>
      </w:r>
      <w:proofErr w:type="spellEnd"/>
      <w:r w:rsidRPr="00467DB0">
        <w:t xml:space="preserve">, at der ikke </w:t>
      </w:r>
      <w:proofErr w:type="spellStart"/>
      <w:r w:rsidRPr="00467DB0">
        <w:t>længere</w:t>
      </w:r>
      <w:proofErr w:type="spellEnd"/>
      <w:r w:rsidRPr="00467DB0">
        <w:t xml:space="preserve"> er grund til, agenturet </w:t>
      </w:r>
      <w:proofErr w:type="spellStart"/>
      <w:r w:rsidRPr="00467DB0">
        <w:t>fortsætter</w:t>
      </w:r>
      <w:proofErr w:type="spellEnd"/>
      <w:r w:rsidRPr="00467DB0">
        <w:t xml:space="preserve"> sine aktiviteter i </w:t>
      </w:r>
      <w:proofErr w:type="spellStart"/>
      <w:r w:rsidRPr="00467DB0">
        <w:t>betragtning</w:t>
      </w:r>
      <w:proofErr w:type="spellEnd"/>
      <w:r w:rsidRPr="00467DB0">
        <w:t xml:space="preserve"> </w:t>
      </w:r>
      <w:proofErr w:type="spellStart"/>
      <w:r w:rsidRPr="00467DB0">
        <w:t>af</w:t>
      </w:r>
      <w:proofErr w:type="spellEnd"/>
      <w:r w:rsidRPr="00467DB0">
        <w:t xml:space="preserve"> dets </w:t>
      </w:r>
      <w:proofErr w:type="spellStart"/>
      <w:r w:rsidRPr="00467DB0">
        <w:t>målsætninger</w:t>
      </w:r>
      <w:proofErr w:type="spellEnd"/>
      <w:r w:rsidRPr="00467DB0">
        <w:t xml:space="preserve">, mandat og </w:t>
      </w:r>
      <w:proofErr w:type="spellStart"/>
      <w:r w:rsidRPr="00467DB0">
        <w:t>opgaver</w:t>
      </w:r>
      <w:proofErr w:type="spellEnd"/>
      <w:r w:rsidRPr="00467DB0">
        <w:t xml:space="preserve">, kan den foreslå, at denne forordning </w:t>
      </w:r>
      <w:proofErr w:type="spellStart"/>
      <w:r w:rsidRPr="00467DB0">
        <w:t>ændres</w:t>
      </w:r>
      <w:proofErr w:type="spellEnd"/>
      <w:r w:rsidRPr="00467DB0">
        <w:t xml:space="preserve"> i over</w:t>
      </w:r>
      <w:r w:rsidRPr="00467DB0">
        <w:t>ensstemmelse hermed.</w:t>
      </w:r>
    </w:p>
    <w:p w14:paraId="342139F4" w14:textId="77777777" w:rsidR="00000000" w:rsidRPr="00467DB0" w:rsidRDefault="00693D67" w:rsidP="00467DB0">
      <w:pPr>
        <w:pStyle w:val="Listeavsnitt"/>
      </w:pPr>
      <w:proofErr w:type="spellStart"/>
      <w:r w:rsidRPr="00467DB0">
        <w:t>Kommissionen</w:t>
      </w:r>
      <w:proofErr w:type="spellEnd"/>
      <w:r w:rsidRPr="00467DB0">
        <w:t xml:space="preserve"> </w:t>
      </w:r>
      <w:proofErr w:type="spellStart"/>
      <w:r w:rsidRPr="00467DB0">
        <w:t>forelægger</w:t>
      </w:r>
      <w:proofErr w:type="spellEnd"/>
      <w:r w:rsidRPr="00467DB0">
        <w:t xml:space="preserve"> Europa-Parlamentet, Rådet, agenturets bestyrelse og Komitéen for </w:t>
      </w:r>
      <w:proofErr w:type="spellStart"/>
      <w:r w:rsidRPr="00467DB0">
        <w:t>Sikkerhedsgodkendelse</w:t>
      </w:r>
      <w:proofErr w:type="spellEnd"/>
      <w:r w:rsidRPr="00467DB0">
        <w:t xml:space="preserve"> en rapport om evalueringen </w:t>
      </w:r>
      <w:proofErr w:type="spellStart"/>
      <w:r w:rsidRPr="00467DB0">
        <w:t>af</w:t>
      </w:r>
      <w:proofErr w:type="spellEnd"/>
      <w:r w:rsidRPr="00467DB0">
        <w:t xml:space="preserve"> agenturet og sine </w:t>
      </w:r>
      <w:proofErr w:type="spellStart"/>
      <w:r w:rsidRPr="00467DB0">
        <w:t>konklusioner</w:t>
      </w:r>
      <w:proofErr w:type="spellEnd"/>
      <w:r w:rsidRPr="00467DB0">
        <w:t xml:space="preserve">. </w:t>
      </w:r>
      <w:proofErr w:type="spellStart"/>
      <w:r w:rsidRPr="00467DB0">
        <w:t>Resultaterne</w:t>
      </w:r>
      <w:proofErr w:type="spellEnd"/>
      <w:r w:rsidRPr="00467DB0">
        <w:t xml:space="preserve"> </w:t>
      </w:r>
      <w:proofErr w:type="spellStart"/>
      <w:r w:rsidRPr="00467DB0">
        <w:t>af</w:t>
      </w:r>
      <w:proofErr w:type="spellEnd"/>
      <w:r w:rsidRPr="00467DB0">
        <w:t xml:space="preserve"> evalueringen </w:t>
      </w:r>
      <w:proofErr w:type="spellStart"/>
      <w:r w:rsidRPr="00467DB0">
        <w:t>offentliggøres</w:t>
      </w:r>
      <w:proofErr w:type="spellEnd"/>
      <w:r w:rsidRPr="00467DB0">
        <w:t>.</w:t>
      </w:r>
    </w:p>
    <w:p w14:paraId="79B918BC" w14:textId="77777777" w:rsidR="00000000" w:rsidRPr="00467DB0" w:rsidRDefault="00693D67" w:rsidP="00467DB0">
      <w:pPr>
        <w:pStyle w:val="avsnitt-undertittel"/>
      </w:pPr>
      <w:proofErr w:type="spellStart"/>
      <w:r w:rsidRPr="00467DB0">
        <w:t>Artikel</w:t>
      </w:r>
      <w:proofErr w:type="spellEnd"/>
      <w:r w:rsidRPr="00467DB0">
        <w:t xml:space="preserve"> 103</w:t>
      </w:r>
    </w:p>
    <w:p w14:paraId="4CF6CEFF" w14:textId="77777777" w:rsidR="00000000" w:rsidRPr="00467DB0" w:rsidRDefault="00693D67" w:rsidP="00467DB0">
      <w:pPr>
        <w:pStyle w:val="Undertittel"/>
      </w:pPr>
      <w:proofErr w:type="spellStart"/>
      <w:r w:rsidRPr="00467DB0">
        <w:t>Rev</w:t>
      </w:r>
      <w:r w:rsidRPr="00467DB0">
        <w:t>ision</w:t>
      </w:r>
      <w:proofErr w:type="spellEnd"/>
    </w:p>
    <w:p w14:paraId="336FD94A" w14:textId="77777777" w:rsidR="00000000" w:rsidRPr="00467DB0" w:rsidRDefault="00693D67" w:rsidP="00467DB0">
      <w:proofErr w:type="spellStart"/>
      <w:r w:rsidRPr="00467DB0">
        <w:t>Revision</w:t>
      </w:r>
      <w:proofErr w:type="spellEnd"/>
      <w:r w:rsidRPr="00467DB0">
        <w:t xml:space="preserve"> </w:t>
      </w:r>
      <w:proofErr w:type="spellStart"/>
      <w:r w:rsidRPr="00467DB0">
        <w:t>af</w:t>
      </w:r>
      <w:proofErr w:type="spellEnd"/>
      <w:r w:rsidRPr="00467DB0">
        <w:t xml:space="preserve"> </w:t>
      </w:r>
      <w:proofErr w:type="gramStart"/>
      <w:r w:rsidRPr="00467DB0">
        <w:t>anvendelsen</w:t>
      </w:r>
      <w:proofErr w:type="gramEnd"/>
      <w:r w:rsidRPr="00467DB0">
        <w:t xml:space="preserve"> </w:t>
      </w:r>
      <w:proofErr w:type="spellStart"/>
      <w:r w:rsidRPr="00467DB0">
        <w:t>af</w:t>
      </w:r>
      <w:proofErr w:type="spellEnd"/>
      <w:r w:rsidRPr="00467DB0">
        <w:t xml:space="preserve"> EU-bidrag. </w:t>
      </w:r>
      <w:proofErr w:type="gramStart"/>
      <w:r w:rsidRPr="00467DB0">
        <w:t>ved  personer</w:t>
      </w:r>
      <w:proofErr w:type="gramEnd"/>
      <w:r w:rsidRPr="00467DB0">
        <w:t xml:space="preserve"> eller </w:t>
      </w:r>
      <w:proofErr w:type="spellStart"/>
      <w:r w:rsidRPr="00467DB0">
        <w:t>enheder</w:t>
      </w:r>
      <w:proofErr w:type="spellEnd"/>
      <w:r w:rsidRPr="00467DB0">
        <w:t xml:space="preserve">, herunder anden </w:t>
      </w:r>
      <w:proofErr w:type="spellStart"/>
      <w:r w:rsidRPr="00467DB0">
        <w:t>revision</w:t>
      </w:r>
      <w:proofErr w:type="spellEnd"/>
      <w:r w:rsidRPr="00467DB0">
        <w:t xml:space="preserve"> end den, som er </w:t>
      </w:r>
      <w:proofErr w:type="spellStart"/>
      <w:r w:rsidRPr="00467DB0">
        <w:t>blevet</w:t>
      </w:r>
      <w:proofErr w:type="spellEnd"/>
      <w:r w:rsidRPr="00467DB0">
        <w:t xml:space="preserve"> pålagt </w:t>
      </w:r>
      <w:proofErr w:type="spellStart"/>
      <w:r w:rsidRPr="00467DB0">
        <w:t>af</w:t>
      </w:r>
      <w:proofErr w:type="spellEnd"/>
      <w:r w:rsidRPr="00467DB0">
        <w:t xml:space="preserve"> </w:t>
      </w:r>
      <w:proofErr w:type="spellStart"/>
      <w:r w:rsidRPr="00467DB0">
        <w:t>EU's</w:t>
      </w:r>
      <w:proofErr w:type="spellEnd"/>
      <w:r w:rsidRPr="00467DB0">
        <w:t xml:space="preserve"> </w:t>
      </w:r>
      <w:proofErr w:type="spellStart"/>
      <w:r w:rsidRPr="00467DB0">
        <w:t>institutioner</w:t>
      </w:r>
      <w:proofErr w:type="spellEnd"/>
      <w:r w:rsidRPr="00467DB0">
        <w:t xml:space="preserve"> eller organer, </w:t>
      </w:r>
      <w:proofErr w:type="spellStart"/>
      <w:r w:rsidRPr="00467DB0">
        <w:t>udgør</w:t>
      </w:r>
      <w:proofErr w:type="spellEnd"/>
      <w:r w:rsidRPr="00467DB0">
        <w:t xml:space="preserve"> </w:t>
      </w:r>
      <w:proofErr w:type="spellStart"/>
      <w:r w:rsidRPr="00467DB0">
        <w:t>grundlaget</w:t>
      </w:r>
      <w:proofErr w:type="spellEnd"/>
      <w:r w:rsidRPr="00467DB0">
        <w:t xml:space="preserve"> for den generelle </w:t>
      </w:r>
      <w:proofErr w:type="spellStart"/>
      <w:r w:rsidRPr="00467DB0">
        <w:t>sikkerhed</w:t>
      </w:r>
      <w:proofErr w:type="spellEnd"/>
      <w:r w:rsidRPr="00467DB0">
        <w:t xml:space="preserve">, jf. finansforordningens </w:t>
      </w:r>
      <w:proofErr w:type="spellStart"/>
      <w:r w:rsidRPr="00467DB0">
        <w:t>artikel</w:t>
      </w:r>
      <w:proofErr w:type="spellEnd"/>
      <w:r w:rsidRPr="00467DB0">
        <w:t xml:space="preserve"> 127.</w:t>
      </w:r>
    </w:p>
    <w:p w14:paraId="64EFBEC0" w14:textId="77777777" w:rsidR="00000000" w:rsidRPr="00467DB0" w:rsidRDefault="00693D67" w:rsidP="00467DB0">
      <w:pPr>
        <w:pStyle w:val="avsnitt-undertittel"/>
      </w:pPr>
      <w:proofErr w:type="spellStart"/>
      <w:r w:rsidRPr="00467DB0">
        <w:t>Artikel</w:t>
      </w:r>
      <w:proofErr w:type="spellEnd"/>
      <w:r w:rsidRPr="00467DB0">
        <w:t xml:space="preserve"> 1</w:t>
      </w:r>
      <w:r w:rsidRPr="00467DB0">
        <w:t>04</w:t>
      </w:r>
    </w:p>
    <w:p w14:paraId="5C75C7E8" w14:textId="77777777" w:rsidR="00000000" w:rsidRPr="00467DB0" w:rsidRDefault="00693D67" w:rsidP="00467DB0">
      <w:pPr>
        <w:pStyle w:val="Undertittel"/>
      </w:pPr>
      <w:r w:rsidRPr="00467DB0">
        <w:t xml:space="preserve">Beskyttelse </w:t>
      </w:r>
      <w:proofErr w:type="spellStart"/>
      <w:r w:rsidRPr="00467DB0">
        <w:t>af</w:t>
      </w:r>
      <w:proofErr w:type="spellEnd"/>
      <w:r w:rsidRPr="00467DB0">
        <w:t xml:space="preserve"> </w:t>
      </w:r>
      <w:proofErr w:type="spellStart"/>
      <w:r w:rsidRPr="00467DB0">
        <w:t>personoplysninger</w:t>
      </w:r>
      <w:proofErr w:type="spellEnd"/>
      <w:r w:rsidRPr="00467DB0">
        <w:t xml:space="preserve"> og privatlivets fred</w:t>
      </w:r>
    </w:p>
    <w:p w14:paraId="2D82E84C" w14:textId="77777777" w:rsidR="00000000" w:rsidRPr="00467DB0" w:rsidRDefault="00693D67" w:rsidP="00467DB0">
      <w:pPr>
        <w:pStyle w:val="friliste"/>
      </w:pPr>
      <w:r w:rsidRPr="00467DB0">
        <w:t>1.</w:t>
      </w:r>
      <w:r w:rsidRPr="00467DB0">
        <w:tab/>
        <w:t xml:space="preserve">Enhver behandling </w:t>
      </w:r>
      <w:proofErr w:type="spellStart"/>
      <w:r w:rsidRPr="00467DB0">
        <w:t>af</w:t>
      </w:r>
      <w:proofErr w:type="spellEnd"/>
      <w:r w:rsidRPr="00467DB0">
        <w:t xml:space="preserve"> </w:t>
      </w:r>
      <w:proofErr w:type="spellStart"/>
      <w:r w:rsidRPr="00467DB0">
        <w:t>personoplysninger</w:t>
      </w:r>
      <w:proofErr w:type="spellEnd"/>
      <w:r w:rsidRPr="00467DB0">
        <w:t xml:space="preserve"> </w:t>
      </w:r>
      <w:proofErr w:type="spellStart"/>
      <w:r w:rsidRPr="00467DB0">
        <w:t>inden</w:t>
      </w:r>
      <w:proofErr w:type="spellEnd"/>
      <w:r w:rsidRPr="00467DB0">
        <w:t xml:space="preserve"> for </w:t>
      </w:r>
      <w:proofErr w:type="spellStart"/>
      <w:r w:rsidRPr="00467DB0">
        <w:t>rammerne</w:t>
      </w:r>
      <w:proofErr w:type="spellEnd"/>
      <w:r w:rsidRPr="00467DB0">
        <w:t xml:space="preserve"> </w:t>
      </w:r>
      <w:proofErr w:type="spellStart"/>
      <w:r w:rsidRPr="00467DB0">
        <w:t>af</w:t>
      </w:r>
      <w:proofErr w:type="spellEnd"/>
      <w:r w:rsidRPr="00467DB0">
        <w:t xml:space="preserve"> </w:t>
      </w:r>
      <w:proofErr w:type="spellStart"/>
      <w:r w:rsidRPr="00467DB0">
        <w:t>udførelsen</w:t>
      </w:r>
      <w:proofErr w:type="spellEnd"/>
      <w:r w:rsidRPr="00467DB0">
        <w:t xml:space="preserve"> </w:t>
      </w:r>
      <w:proofErr w:type="spellStart"/>
      <w:r w:rsidRPr="00467DB0">
        <w:t>af</w:t>
      </w:r>
      <w:proofErr w:type="spellEnd"/>
      <w:r w:rsidRPr="00467DB0">
        <w:t xml:space="preserve"> de </w:t>
      </w:r>
      <w:proofErr w:type="spellStart"/>
      <w:r w:rsidRPr="00467DB0">
        <w:t>opgaver</w:t>
      </w:r>
      <w:proofErr w:type="spellEnd"/>
      <w:r w:rsidRPr="00467DB0">
        <w:t xml:space="preserve"> og aktiviteter, der er omfattet </w:t>
      </w:r>
      <w:proofErr w:type="spellStart"/>
      <w:r w:rsidRPr="00467DB0">
        <w:t>af</w:t>
      </w:r>
      <w:proofErr w:type="spellEnd"/>
      <w:r w:rsidRPr="00467DB0">
        <w:t xml:space="preserve"> nærværende forordning, herunder </w:t>
      </w:r>
      <w:proofErr w:type="spellStart"/>
      <w:r w:rsidRPr="00467DB0">
        <w:t>af</w:t>
      </w:r>
      <w:proofErr w:type="spellEnd"/>
      <w:r w:rsidRPr="00467DB0">
        <w:t xml:space="preserve"> agenturet, skal foregå i overensstemmels</w:t>
      </w:r>
      <w:r w:rsidRPr="00467DB0">
        <w:t xml:space="preserve">e med den relevante lovgivning om beskyttelse </w:t>
      </w:r>
      <w:proofErr w:type="spellStart"/>
      <w:r w:rsidRPr="00467DB0">
        <w:t>af</w:t>
      </w:r>
      <w:proofErr w:type="spellEnd"/>
      <w:r w:rsidRPr="00467DB0">
        <w:t xml:space="preserve"> </w:t>
      </w:r>
      <w:proofErr w:type="spellStart"/>
      <w:r w:rsidRPr="00467DB0">
        <w:t>personoplysninger</w:t>
      </w:r>
      <w:proofErr w:type="spellEnd"/>
      <w:r w:rsidRPr="00467DB0">
        <w:t>, navnlig Europa-Parlamentets og Rådets forordning (EU) 2016/679</w:t>
      </w:r>
      <w:r w:rsidRPr="00467DB0">
        <w:rPr>
          <w:rStyle w:val="Fotnotereferanse"/>
        </w:rPr>
        <w:footnoteReference w:id="60"/>
      </w:r>
      <w:r w:rsidRPr="00467DB0">
        <w:t xml:space="preserve"> og forordning (EU) nr. 2018/1725</w:t>
      </w:r>
      <w:r w:rsidRPr="00467DB0">
        <w:rPr>
          <w:rStyle w:val="Fotnotereferanse"/>
        </w:rPr>
        <w:footnoteReference w:id="61"/>
      </w:r>
      <w:r w:rsidRPr="00467DB0">
        <w:t xml:space="preserve">. </w:t>
      </w:r>
    </w:p>
    <w:p w14:paraId="12167D5C" w14:textId="77777777" w:rsidR="00000000" w:rsidRPr="00467DB0" w:rsidRDefault="00693D67" w:rsidP="00467DB0">
      <w:pPr>
        <w:pStyle w:val="friliste"/>
      </w:pPr>
      <w:r w:rsidRPr="00467DB0">
        <w:t>2.</w:t>
      </w:r>
      <w:r w:rsidRPr="00467DB0">
        <w:tab/>
        <w:t xml:space="preserve">Bestyrelsen </w:t>
      </w:r>
      <w:proofErr w:type="spellStart"/>
      <w:r w:rsidRPr="00467DB0">
        <w:t>fastlægger</w:t>
      </w:r>
      <w:proofErr w:type="spellEnd"/>
      <w:r w:rsidRPr="00467DB0">
        <w:t xml:space="preserve"> foranstaltninger med </w:t>
      </w:r>
      <w:proofErr w:type="spellStart"/>
      <w:r w:rsidRPr="00467DB0">
        <w:t>henblik</w:t>
      </w:r>
      <w:proofErr w:type="spellEnd"/>
      <w:r w:rsidRPr="00467DB0">
        <w:t xml:space="preserve"> på agenturets </w:t>
      </w:r>
      <w:proofErr w:type="gramStart"/>
      <w:r w:rsidRPr="00467DB0">
        <w:t>anvendelse</w:t>
      </w:r>
      <w:proofErr w:type="gramEnd"/>
      <w:r w:rsidRPr="00467DB0">
        <w:t xml:space="preserve"> </w:t>
      </w:r>
      <w:proofErr w:type="spellStart"/>
      <w:r w:rsidRPr="00467DB0">
        <w:t>af</w:t>
      </w:r>
      <w:proofErr w:type="spellEnd"/>
      <w:r w:rsidRPr="00467DB0">
        <w:t xml:space="preserve"> forordning (EU) 2018/1725, herunder foranstaltninger vedrørende </w:t>
      </w:r>
      <w:proofErr w:type="spellStart"/>
      <w:r w:rsidRPr="00467DB0">
        <w:t>udpegelse</w:t>
      </w:r>
      <w:proofErr w:type="spellEnd"/>
      <w:r w:rsidRPr="00467DB0">
        <w:t xml:space="preserve"> </w:t>
      </w:r>
      <w:proofErr w:type="spellStart"/>
      <w:r w:rsidRPr="00467DB0">
        <w:t>af</w:t>
      </w:r>
      <w:proofErr w:type="spellEnd"/>
      <w:r w:rsidRPr="00467DB0">
        <w:t xml:space="preserve"> en databe</w:t>
      </w:r>
      <w:r w:rsidRPr="00467DB0">
        <w:t xml:space="preserve">skyttelsesansvarlig for agenturet. Disse foranstaltninger </w:t>
      </w:r>
      <w:proofErr w:type="spellStart"/>
      <w:r w:rsidRPr="00467DB0">
        <w:t>fastsættes</w:t>
      </w:r>
      <w:proofErr w:type="spellEnd"/>
      <w:r w:rsidRPr="00467DB0">
        <w:t xml:space="preserve"> efter høring </w:t>
      </w:r>
      <w:proofErr w:type="spellStart"/>
      <w:r w:rsidRPr="00467DB0">
        <w:t>af</w:t>
      </w:r>
      <w:proofErr w:type="spellEnd"/>
      <w:r w:rsidRPr="00467DB0">
        <w:t xml:space="preserve"> Den </w:t>
      </w:r>
      <w:proofErr w:type="spellStart"/>
      <w:r w:rsidRPr="00467DB0">
        <w:t>Europæiske</w:t>
      </w:r>
      <w:proofErr w:type="spellEnd"/>
      <w:r w:rsidRPr="00467DB0">
        <w:t xml:space="preserve"> Tilsynsførende for Databeskyttelse.</w:t>
      </w:r>
    </w:p>
    <w:p w14:paraId="03D3EC6C" w14:textId="77777777" w:rsidR="00000000" w:rsidRPr="00467DB0" w:rsidRDefault="00693D67" w:rsidP="00467DB0">
      <w:pPr>
        <w:pStyle w:val="avsnitt-undertittel"/>
      </w:pPr>
      <w:proofErr w:type="spellStart"/>
      <w:r w:rsidRPr="00467DB0">
        <w:lastRenderedPageBreak/>
        <w:t>Afsnit</w:t>
      </w:r>
      <w:proofErr w:type="spellEnd"/>
      <w:r w:rsidRPr="00467DB0">
        <w:t xml:space="preserve"> XI</w:t>
      </w:r>
    </w:p>
    <w:p w14:paraId="74218EF9" w14:textId="77777777" w:rsidR="00000000" w:rsidRPr="00467DB0" w:rsidRDefault="00693D67" w:rsidP="00467DB0">
      <w:pPr>
        <w:pStyle w:val="Undertittel"/>
      </w:pPr>
      <w:proofErr w:type="spellStart"/>
      <w:r w:rsidRPr="00467DB0">
        <w:t>Delegation</w:t>
      </w:r>
      <w:proofErr w:type="spellEnd"/>
      <w:r w:rsidRPr="00467DB0">
        <w:t xml:space="preserve"> </w:t>
      </w:r>
      <w:proofErr w:type="spellStart"/>
      <w:r w:rsidRPr="00467DB0">
        <w:t>af</w:t>
      </w:r>
      <w:proofErr w:type="spellEnd"/>
      <w:r w:rsidRPr="00467DB0">
        <w:t xml:space="preserve"> </w:t>
      </w:r>
      <w:proofErr w:type="spellStart"/>
      <w:r w:rsidRPr="00467DB0">
        <w:t>beføjelser</w:t>
      </w:r>
      <w:proofErr w:type="spellEnd"/>
      <w:r w:rsidRPr="00467DB0">
        <w:t xml:space="preserve"> og </w:t>
      </w:r>
      <w:proofErr w:type="spellStart"/>
      <w:r w:rsidRPr="00467DB0">
        <w:t>gennemførelsesforanstaltninger</w:t>
      </w:r>
      <w:proofErr w:type="spellEnd"/>
    </w:p>
    <w:p w14:paraId="4676D8F3" w14:textId="77777777" w:rsidR="00000000" w:rsidRPr="00467DB0" w:rsidRDefault="00693D67" w:rsidP="00467DB0">
      <w:pPr>
        <w:pStyle w:val="avsnitt-undertittel"/>
      </w:pPr>
      <w:proofErr w:type="spellStart"/>
      <w:r w:rsidRPr="00467DB0">
        <w:t>Artikel</w:t>
      </w:r>
      <w:proofErr w:type="spellEnd"/>
      <w:r w:rsidRPr="00467DB0">
        <w:t xml:space="preserve"> 105</w:t>
      </w:r>
    </w:p>
    <w:p w14:paraId="586DAABB" w14:textId="77777777" w:rsidR="00000000" w:rsidRPr="00467DB0" w:rsidRDefault="00693D67" w:rsidP="00467DB0">
      <w:pPr>
        <w:pStyle w:val="Undertittel"/>
      </w:pPr>
      <w:proofErr w:type="spellStart"/>
      <w:r w:rsidRPr="00467DB0">
        <w:t>Udøv</w:t>
      </w:r>
      <w:r w:rsidRPr="00467DB0">
        <w:t>else</w:t>
      </w:r>
      <w:proofErr w:type="spellEnd"/>
      <w:r w:rsidRPr="00467DB0">
        <w:t xml:space="preserve"> </w:t>
      </w:r>
      <w:proofErr w:type="spellStart"/>
      <w:r w:rsidRPr="00467DB0">
        <w:t>af</w:t>
      </w:r>
      <w:proofErr w:type="spellEnd"/>
      <w:r w:rsidRPr="00467DB0">
        <w:t xml:space="preserve"> de </w:t>
      </w:r>
      <w:proofErr w:type="spellStart"/>
      <w:r w:rsidRPr="00467DB0">
        <w:t>delegerede</w:t>
      </w:r>
      <w:proofErr w:type="spellEnd"/>
      <w:r w:rsidRPr="00467DB0">
        <w:t xml:space="preserve"> </w:t>
      </w:r>
      <w:proofErr w:type="spellStart"/>
      <w:r w:rsidRPr="00467DB0">
        <w:t>beføjelser</w:t>
      </w:r>
      <w:proofErr w:type="spellEnd"/>
    </w:p>
    <w:p w14:paraId="023BBA94" w14:textId="77777777" w:rsidR="00000000" w:rsidRPr="00467DB0" w:rsidRDefault="00693D67" w:rsidP="00467DB0">
      <w:pPr>
        <w:pStyle w:val="friliste"/>
      </w:pPr>
      <w:r w:rsidRPr="00467DB0">
        <w:t>1.</w:t>
      </w:r>
      <w:r w:rsidRPr="00467DB0">
        <w:tab/>
      </w:r>
      <w:proofErr w:type="spellStart"/>
      <w:r w:rsidRPr="00467DB0">
        <w:t>Beføjelsen</w:t>
      </w:r>
      <w:proofErr w:type="spellEnd"/>
      <w:r w:rsidRPr="00467DB0">
        <w:t xml:space="preserve"> til at </w:t>
      </w:r>
      <w:proofErr w:type="spellStart"/>
      <w:r w:rsidRPr="00467DB0">
        <w:t>vedtage</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tillægges</w:t>
      </w:r>
      <w:proofErr w:type="spellEnd"/>
      <w:r w:rsidRPr="00467DB0">
        <w:t xml:space="preserve"> </w:t>
      </w:r>
      <w:proofErr w:type="spellStart"/>
      <w:r w:rsidRPr="00467DB0">
        <w:t>Kommissionen</w:t>
      </w:r>
      <w:proofErr w:type="spellEnd"/>
      <w:r w:rsidRPr="00467DB0">
        <w:t xml:space="preserve"> på de i denne </w:t>
      </w:r>
      <w:proofErr w:type="spellStart"/>
      <w:r w:rsidRPr="00467DB0">
        <w:t>artikel</w:t>
      </w:r>
      <w:proofErr w:type="spellEnd"/>
      <w:r w:rsidRPr="00467DB0">
        <w:t xml:space="preserve"> fastlagte betingelser.</w:t>
      </w:r>
    </w:p>
    <w:p w14:paraId="48716FCB" w14:textId="77777777" w:rsidR="00000000" w:rsidRPr="00467DB0" w:rsidRDefault="00693D67" w:rsidP="00467DB0">
      <w:pPr>
        <w:pStyle w:val="friliste"/>
      </w:pPr>
      <w:r w:rsidRPr="00467DB0">
        <w:t>2.</w:t>
      </w:r>
      <w:r w:rsidRPr="00467DB0">
        <w:tab/>
      </w:r>
      <w:proofErr w:type="spellStart"/>
      <w:r w:rsidRPr="00467DB0">
        <w:t>Beføjelsen</w:t>
      </w:r>
      <w:proofErr w:type="spellEnd"/>
      <w:r w:rsidRPr="00467DB0">
        <w:t xml:space="preserve"> til at </w:t>
      </w:r>
      <w:proofErr w:type="spellStart"/>
      <w:r w:rsidRPr="00467DB0">
        <w:t>vedtage</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xml:space="preserve">, jf. </w:t>
      </w:r>
      <w:proofErr w:type="spellStart"/>
      <w:r w:rsidRPr="00467DB0">
        <w:t>artikel</w:t>
      </w:r>
      <w:proofErr w:type="spellEnd"/>
      <w:r w:rsidRPr="00467DB0">
        <w:t xml:space="preserve"> 53 og 101, </w:t>
      </w:r>
      <w:proofErr w:type="spellStart"/>
      <w:r w:rsidRPr="00467DB0">
        <w:t>tillægges</w:t>
      </w:r>
      <w:proofErr w:type="spellEnd"/>
      <w:r w:rsidRPr="00467DB0">
        <w:t xml:space="preserve"> </w:t>
      </w:r>
      <w:proofErr w:type="spellStart"/>
      <w:r w:rsidRPr="00467DB0">
        <w:t>Kommissionen</w:t>
      </w:r>
      <w:proofErr w:type="spellEnd"/>
      <w:r w:rsidRPr="00467DB0">
        <w:t xml:space="preserve"> </w:t>
      </w:r>
      <w:proofErr w:type="spellStart"/>
      <w:r w:rsidRPr="00467DB0">
        <w:t>indtil</w:t>
      </w:r>
      <w:proofErr w:type="spellEnd"/>
      <w:r w:rsidRPr="00467DB0">
        <w:t xml:space="preserve"> d</w:t>
      </w:r>
      <w:r w:rsidRPr="00467DB0">
        <w:t xml:space="preserve">en 31. </w:t>
      </w:r>
      <w:proofErr w:type="spellStart"/>
      <w:r w:rsidRPr="00467DB0">
        <w:t>december</w:t>
      </w:r>
      <w:proofErr w:type="spellEnd"/>
      <w:r w:rsidRPr="00467DB0">
        <w:t xml:space="preserve"> 2028.</w:t>
      </w:r>
    </w:p>
    <w:p w14:paraId="42DAA926" w14:textId="77777777" w:rsidR="00000000" w:rsidRPr="00467DB0" w:rsidRDefault="00693D67" w:rsidP="00467DB0">
      <w:pPr>
        <w:pStyle w:val="friliste"/>
      </w:pPr>
      <w:r w:rsidRPr="00467DB0">
        <w:t>3.</w:t>
      </w:r>
      <w:r w:rsidRPr="00467DB0">
        <w:tab/>
        <w:t xml:space="preserve">Den i </w:t>
      </w:r>
      <w:proofErr w:type="spellStart"/>
      <w:r w:rsidRPr="00467DB0">
        <w:t>artikel</w:t>
      </w:r>
      <w:proofErr w:type="spellEnd"/>
      <w:r w:rsidRPr="00467DB0">
        <w:t xml:space="preserve"> 53 og 101 omhandlede </w:t>
      </w:r>
      <w:proofErr w:type="spellStart"/>
      <w:r w:rsidRPr="00467DB0">
        <w:t>delegation</w:t>
      </w:r>
      <w:proofErr w:type="spellEnd"/>
      <w:r w:rsidRPr="00467DB0">
        <w:t xml:space="preserve"> </w:t>
      </w:r>
      <w:proofErr w:type="spellStart"/>
      <w:r w:rsidRPr="00467DB0">
        <w:t>af</w:t>
      </w:r>
      <w:proofErr w:type="spellEnd"/>
      <w:r w:rsidRPr="00467DB0">
        <w:t xml:space="preserve"> </w:t>
      </w:r>
      <w:proofErr w:type="spellStart"/>
      <w:r w:rsidRPr="00467DB0">
        <w:t>beføjelser</w:t>
      </w:r>
      <w:proofErr w:type="spellEnd"/>
      <w:r w:rsidRPr="00467DB0">
        <w:t xml:space="preserve"> kan til enhver tid </w:t>
      </w:r>
      <w:proofErr w:type="spellStart"/>
      <w:r w:rsidRPr="00467DB0">
        <w:t>tilbagekaldes</w:t>
      </w:r>
      <w:proofErr w:type="spellEnd"/>
      <w:r w:rsidRPr="00467DB0">
        <w:t xml:space="preserve"> </w:t>
      </w:r>
      <w:proofErr w:type="spellStart"/>
      <w:r w:rsidRPr="00467DB0">
        <w:t>af</w:t>
      </w:r>
      <w:proofErr w:type="spellEnd"/>
      <w:r w:rsidRPr="00467DB0">
        <w:t xml:space="preserve"> Europa-Parlamentet eller Rådet. En </w:t>
      </w:r>
      <w:proofErr w:type="spellStart"/>
      <w:r w:rsidRPr="00467DB0">
        <w:t>afgørelse</w:t>
      </w:r>
      <w:proofErr w:type="spellEnd"/>
      <w:r w:rsidRPr="00467DB0">
        <w:t xml:space="preserve"> om </w:t>
      </w:r>
      <w:proofErr w:type="spellStart"/>
      <w:r w:rsidRPr="00467DB0">
        <w:t>tilbagekaldelse</w:t>
      </w:r>
      <w:proofErr w:type="spellEnd"/>
      <w:r w:rsidRPr="00467DB0">
        <w:t xml:space="preserve"> bringer </w:t>
      </w:r>
      <w:proofErr w:type="spellStart"/>
      <w:r w:rsidRPr="00467DB0">
        <w:t>delegationen</w:t>
      </w:r>
      <w:proofErr w:type="spellEnd"/>
      <w:r w:rsidRPr="00467DB0">
        <w:t xml:space="preserve"> </w:t>
      </w:r>
      <w:proofErr w:type="spellStart"/>
      <w:r w:rsidRPr="00467DB0">
        <w:t>af</w:t>
      </w:r>
      <w:proofErr w:type="spellEnd"/>
      <w:r w:rsidRPr="00467DB0">
        <w:t xml:space="preserve"> de </w:t>
      </w:r>
      <w:proofErr w:type="spellStart"/>
      <w:r w:rsidRPr="00467DB0">
        <w:t>beføjelser</w:t>
      </w:r>
      <w:proofErr w:type="spellEnd"/>
      <w:r w:rsidRPr="00467DB0">
        <w:t xml:space="preserve">, der er </w:t>
      </w:r>
      <w:proofErr w:type="spellStart"/>
      <w:r w:rsidRPr="00467DB0">
        <w:t>angivet</w:t>
      </w:r>
      <w:proofErr w:type="spellEnd"/>
      <w:r w:rsidRPr="00467DB0">
        <w:t xml:space="preserve"> i den </w:t>
      </w:r>
      <w:proofErr w:type="spellStart"/>
      <w:r w:rsidRPr="00467DB0">
        <w:t>pågældende</w:t>
      </w:r>
      <w:proofErr w:type="spellEnd"/>
      <w:r w:rsidRPr="00467DB0">
        <w:t xml:space="preserve"> </w:t>
      </w:r>
      <w:proofErr w:type="spellStart"/>
      <w:r w:rsidRPr="00467DB0">
        <w:t>afgørelse</w:t>
      </w:r>
      <w:proofErr w:type="spellEnd"/>
      <w:r w:rsidRPr="00467DB0">
        <w:t xml:space="preserve">, til </w:t>
      </w:r>
      <w:proofErr w:type="spellStart"/>
      <w:r w:rsidRPr="00467DB0">
        <w:t>ophør</w:t>
      </w:r>
      <w:proofErr w:type="spellEnd"/>
      <w:r w:rsidRPr="00467DB0">
        <w:t xml:space="preserve">. Den får virkning dagen efter </w:t>
      </w:r>
      <w:proofErr w:type="spellStart"/>
      <w:r w:rsidRPr="00467DB0">
        <w:t>offentliggørelsen</w:t>
      </w:r>
      <w:proofErr w:type="spellEnd"/>
      <w:r w:rsidRPr="00467DB0">
        <w:t xml:space="preserve"> </w:t>
      </w:r>
      <w:proofErr w:type="spellStart"/>
      <w:r w:rsidRPr="00467DB0">
        <w:t>af</w:t>
      </w:r>
      <w:proofErr w:type="spellEnd"/>
      <w:r w:rsidRPr="00467DB0">
        <w:t xml:space="preserve"> </w:t>
      </w:r>
      <w:proofErr w:type="spellStart"/>
      <w:r w:rsidRPr="00467DB0">
        <w:t>afgørelsen</w:t>
      </w:r>
      <w:proofErr w:type="spellEnd"/>
      <w:r w:rsidRPr="00467DB0">
        <w:t xml:space="preserve"> i </w:t>
      </w:r>
      <w:r w:rsidRPr="00467DB0">
        <w:rPr>
          <w:rStyle w:val="kursiv"/>
        </w:rPr>
        <w:t xml:space="preserve">Den </w:t>
      </w:r>
      <w:proofErr w:type="spellStart"/>
      <w:r w:rsidRPr="00467DB0">
        <w:rPr>
          <w:rStyle w:val="kursiv"/>
        </w:rPr>
        <w:t>Europæiske</w:t>
      </w:r>
      <w:proofErr w:type="spellEnd"/>
      <w:r w:rsidRPr="00467DB0">
        <w:rPr>
          <w:rStyle w:val="kursiv"/>
        </w:rPr>
        <w:t xml:space="preserve"> Unions Tidende</w:t>
      </w:r>
      <w:r w:rsidRPr="00467DB0">
        <w:t xml:space="preserve"> eller på et senere tidspunkt, der </w:t>
      </w:r>
      <w:proofErr w:type="spellStart"/>
      <w:r w:rsidRPr="00467DB0">
        <w:t>angives</w:t>
      </w:r>
      <w:proofErr w:type="spellEnd"/>
      <w:r w:rsidRPr="00467DB0">
        <w:t xml:space="preserve"> i </w:t>
      </w:r>
      <w:proofErr w:type="spellStart"/>
      <w:r w:rsidRPr="00467DB0">
        <w:t>afgørelsen</w:t>
      </w:r>
      <w:proofErr w:type="spellEnd"/>
      <w:r w:rsidRPr="00467DB0">
        <w:t xml:space="preserve">. Den berører ikke </w:t>
      </w:r>
      <w:proofErr w:type="spellStart"/>
      <w:r w:rsidRPr="00467DB0">
        <w:t>gyldigheden</w:t>
      </w:r>
      <w:proofErr w:type="spellEnd"/>
      <w:r w:rsidRPr="00467DB0">
        <w:t xml:space="preserve"> </w:t>
      </w:r>
      <w:proofErr w:type="spellStart"/>
      <w:r w:rsidRPr="00467DB0">
        <w:t>af</w:t>
      </w:r>
      <w:proofErr w:type="spellEnd"/>
      <w:r w:rsidRPr="00467DB0">
        <w:t xml:space="preserve"> </w:t>
      </w:r>
      <w:proofErr w:type="spellStart"/>
      <w:r w:rsidRPr="00467DB0">
        <w:t>delegerede</w:t>
      </w:r>
      <w:proofErr w:type="spellEnd"/>
      <w:r w:rsidRPr="00467DB0">
        <w:t xml:space="preserve"> </w:t>
      </w:r>
      <w:proofErr w:type="spellStart"/>
      <w:r w:rsidRPr="00467DB0">
        <w:t>retsakter</w:t>
      </w:r>
      <w:proofErr w:type="spellEnd"/>
      <w:r w:rsidRPr="00467DB0">
        <w:t>, der allerede er i kraft.</w:t>
      </w:r>
    </w:p>
    <w:p w14:paraId="5997DE96" w14:textId="77777777" w:rsidR="00000000" w:rsidRPr="00467DB0" w:rsidRDefault="00693D67" w:rsidP="00467DB0">
      <w:pPr>
        <w:pStyle w:val="friliste"/>
      </w:pPr>
      <w:r w:rsidRPr="00467DB0">
        <w:t>4.</w:t>
      </w:r>
      <w:r w:rsidRPr="00467DB0">
        <w:tab/>
      </w:r>
      <w:proofErr w:type="spellStart"/>
      <w:r w:rsidRPr="00467DB0">
        <w:t>Ind</w:t>
      </w:r>
      <w:r w:rsidRPr="00467DB0">
        <w:t>en</w:t>
      </w:r>
      <w:proofErr w:type="spellEnd"/>
      <w:r w:rsidRPr="00467DB0">
        <w:t xml:space="preserve"> vedtagelsen </w:t>
      </w:r>
      <w:proofErr w:type="spellStart"/>
      <w:r w:rsidRPr="00467DB0">
        <w:t>af</w:t>
      </w:r>
      <w:proofErr w:type="spellEnd"/>
      <w:r w:rsidRPr="00467DB0">
        <w:t xml:space="preserve"> en </w:t>
      </w:r>
      <w:proofErr w:type="spellStart"/>
      <w:r w:rsidRPr="00467DB0">
        <w:t>delegeret</w:t>
      </w:r>
      <w:proofErr w:type="spellEnd"/>
      <w:r w:rsidRPr="00467DB0">
        <w:t xml:space="preserve"> </w:t>
      </w:r>
      <w:proofErr w:type="spellStart"/>
      <w:r w:rsidRPr="00467DB0">
        <w:t>retsakt</w:t>
      </w:r>
      <w:proofErr w:type="spellEnd"/>
      <w:r w:rsidRPr="00467DB0">
        <w:t xml:space="preserve"> hører </w:t>
      </w:r>
      <w:proofErr w:type="spellStart"/>
      <w:r w:rsidRPr="00467DB0">
        <w:t>Kommissionen</w:t>
      </w:r>
      <w:proofErr w:type="spellEnd"/>
      <w:r w:rsidRPr="00467DB0">
        <w:t xml:space="preserve"> eksperter, som er </w:t>
      </w:r>
      <w:proofErr w:type="spellStart"/>
      <w:r w:rsidRPr="00467DB0">
        <w:t>udpeget</w:t>
      </w:r>
      <w:proofErr w:type="spellEnd"/>
      <w:r w:rsidRPr="00467DB0">
        <w:t xml:space="preserve"> </w:t>
      </w:r>
      <w:proofErr w:type="spellStart"/>
      <w:r w:rsidRPr="00467DB0">
        <w:t>af</w:t>
      </w:r>
      <w:proofErr w:type="spellEnd"/>
      <w:r w:rsidRPr="00467DB0">
        <w:t xml:space="preserve"> hver enkelt medlemsstat, i overensstemmelse med </w:t>
      </w:r>
      <w:proofErr w:type="spellStart"/>
      <w:r w:rsidRPr="00467DB0">
        <w:t>principperne</w:t>
      </w:r>
      <w:proofErr w:type="spellEnd"/>
      <w:r w:rsidRPr="00467DB0">
        <w:t xml:space="preserve"> i den </w:t>
      </w:r>
      <w:proofErr w:type="spellStart"/>
      <w:r w:rsidRPr="00467DB0">
        <w:t>interinstitutionelle</w:t>
      </w:r>
      <w:proofErr w:type="spellEnd"/>
      <w:r w:rsidRPr="00467DB0">
        <w:t xml:space="preserve"> </w:t>
      </w:r>
      <w:proofErr w:type="spellStart"/>
      <w:r w:rsidRPr="00467DB0">
        <w:t>aftale</w:t>
      </w:r>
      <w:proofErr w:type="spellEnd"/>
      <w:r w:rsidRPr="00467DB0">
        <w:t xml:space="preserve"> </w:t>
      </w:r>
      <w:proofErr w:type="spellStart"/>
      <w:r w:rsidRPr="00467DB0">
        <w:t>af</w:t>
      </w:r>
      <w:proofErr w:type="spellEnd"/>
      <w:r w:rsidRPr="00467DB0">
        <w:t xml:space="preserve"> 13. april 2016 om bedre lovgivning.</w:t>
      </w:r>
    </w:p>
    <w:p w14:paraId="3242FAC8" w14:textId="77777777" w:rsidR="00000000" w:rsidRPr="00467DB0" w:rsidRDefault="00693D67" w:rsidP="00467DB0">
      <w:pPr>
        <w:pStyle w:val="friliste"/>
      </w:pPr>
      <w:r w:rsidRPr="00467DB0">
        <w:t>5.</w:t>
      </w:r>
      <w:r w:rsidRPr="00467DB0">
        <w:tab/>
        <w:t xml:space="preserve">Så snart </w:t>
      </w:r>
      <w:proofErr w:type="spellStart"/>
      <w:r w:rsidRPr="00467DB0">
        <w:t>Kommissionen</w:t>
      </w:r>
      <w:proofErr w:type="spellEnd"/>
      <w:r w:rsidRPr="00467DB0">
        <w:t xml:space="preserve"> </w:t>
      </w:r>
      <w:proofErr w:type="spellStart"/>
      <w:r w:rsidRPr="00467DB0">
        <w:t>vedtager</w:t>
      </w:r>
      <w:proofErr w:type="spellEnd"/>
      <w:r w:rsidRPr="00467DB0">
        <w:t xml:space="preserve"> e</w:t>
      </w:r>
      <w:r w:rsidRPr="00467DB0">
        <w:t xml:space="preserve">n </w:t>
      </w:r>
      <w:proofErr w:type="spellStart"/>
      <w:r w:rsidRPr="00467DB0">
        <w:t>delegeret</w:t>
      </w:r>
      <w:proofErr w:type="spellEnd"/>
      <w:r w:rsidRPr="00467DB0">
        <w:t xml:space="preserve"> </w:t>
      </w:r>
      <w:proofErr w:type="spellStart"/>
      <w:r w:rsidRPr="00467DB0">
        <w:t>retsakt</w:t>
      </w:r>
      <w:proofErr w:type="spellEnd"/>
      <w:r w:rsidRPr="00467DB0">
        <w:t xml:space="preserve">, giver den </w:t>
      </w:r>
      <w:proofErr w:type="spellStart"/>
      <w:r w:rsidRPr="00467DB0">
        <w:t>samtidigt</w:t>
      </w:r>
      <w:proofErr w:type="spellEnd"/>
      <w:r w:rsidRPr="00467DB0">
        <w:t xml:space="preserve"> Europa-Parlamentet og Rådet meddelelse herom.</w:t>
      </w:r>
    </w:p>
    <w:p w14:paraId="4E9B9FC6" w14:textId="77777777" w:rsidR="00000000" w:rsidRPr="00467DB0" w:rsidRDefault="00693D67" w:rsidP="00467DB0">
      <w:pPr>
        <w:pStyle w:val="friliste"/>
      </w:pPr>
      <w:r w:rsidRPr="00467DB0">
        <w:t>6.</w:t>
      </w:r>
      <w:r w:rsidRPr="00467DB0">
        <w:tab/>
        <w:t xml:space="preserve">En </w:t>
      </w:r>
      <w:proofErr w:type="spellStart"/>
      <w:r w:rsidRPr="00467DB0">
        <w:t>delegeret</w:t>
      </w:r>
      <w:proofErr w:type="spellEnd"/>
      <w:r w:rsidRPr="00467DB0">
        <w:t xml:space="preserve"> </w:t>
      </w:r>
      <w:proofErr w:type="spellStart"/>
      <w:r w:rsidRPr="00467DB0">
        <w:t>retsakt</w:t>
      </w:r>
      <w:proofErr w:type="spellEnd"/>
      <w:r w:rsidRPr="00467DB0">
        <w:t xml:space="preserve"> </w:t>
      </w:r>
      <w:proofErr w:type="spellStart"/>
      <w:r w:rsidRPr="00467DB0">
        <w:t>vedtaget</w:t>
      </w:r>
      <w:proofErr w:type="spellEnd"/>
      <w:r w:rsidRPr="00467DB0">
        <w:t xml:space="preserve"> i henhold til </w:t>
      </w:r>
      <w:proofErr w:type="spellStart"/>
      <w:r w:rsidRPr="00467DB0">
        <w:t>artikel</w:t>
      </w:r>
      <w:proofErr w:type="spellEnd"/>
      <w:r w:rsidRPr="00467DB0">
        <w:t xml:space="preserve"> 53 og 101 </w:t>
      </w:r>
      <w:proofErr w:type="spellStart"/>
      <w:r w:rsidRPr="00467DB0">
        <w:t>træder</w:t>
      </w:r>
      <w:proofErr w:type="spellEnd"/>
      <w:r w:rsidRPr="00467DB0">
        <w:t xml:space="preserve"> kun i kraft, hvis hverken Europa-Parlamentet eller Rådet har gjort </w:t>
      </w:r>
      <w:proofErr w:type="spellStart"/>
      <w:r w:rsidRPr="00467DB0">
        <w:t>indsigelse</w:t>
      </w:r>
      <w:proofErr w:type="spellEnd"/>
      <w:r w:rsidRPr="00467DB0">
        <w:t xml:space="preserve"> </w:t>
      </w:r>
      <w:proofErr w:type="spellStart"/>
      <w:r w:rsidRPr="00467DB0">
        <w:t>inden</w:t>
      </w:r>
      <w:proofErr w:type="spellEnd"/>
      <w:r w:rsidRPr="00467DB0">
        <w:t xml:space="preserve"> for en frist </w:t>
      </w:r>
      <w:r w:rsidRPr="00467DB0">
        <w:t xml:space="preserve">på to måneder fra meddelelsen </w:t>
      </w:r>
      <w:proofErr w:type="spellStart"/>
      <w:r w:rsidRPr="00467DB0">
        <w:t>af</w:t>
      </w:r>
      <w:proofErr w:type="spellEnd"/>
      <w:r w:rsidRPr="00467DB0">
        <w:t xml:space="preserve"> den </w:t>
      </w:r>
      <w:proofErr w:type="spellStart"/>
      <w:r w:rsidRPr="00467DB0">
        <w:t>pågældende</w:t>
      </w:r>
      <w:proofErr w:type="spellEnd"/>
      <w:r w:rsidRPr="00467DB0">
        <w:t xml:space="preserve"> </w:t>
      </w:r>
      <w:proofErr w:type="spellStart"/>
      <w:r w:rsidRPr="00467DB0">
        <w:t>retsakt</w:t>
      </w:r>
      <w:proofErr w:type="spellEnd"/>
      <w:r w:rsidRPr="00467DB0">
        <w:t xml:space="preserve"> til Europa-Parlamentet og Rådet, eller hvis Europa-Parlamentet og Rådet </w:t>
      </w:r>
      <w:proofErr w:type="spellStart"/>
      <w:r w:rsidRPr="00467DB0">
        <w:t>inden</w:t>
      </w:r>
      <w:proofErr w:type="spellEnd"/>
      <w:r w:rsidRPr="00467DB0">
        <w:t xml:space="preserve"> </w:t>
      </w:r>
      <w:proofErr w:type="spellStart"/>
      <w:r w:rsidRPr="00467DB0">
        <w:t>udløbet</w:t>
      </w:r>
      <w:proofErr w:type="spellEnd"/>
      <w:r w:rsidRPr="00467DB0">
        <w:t xml:space="preserve"> </w:t>
      </w:r>
      <w:proofErr w:type="spellStart"/>
      <w:r w:rsidRPr="00467DB0">
        <w:t>af</w:t>
      </w:r>
      <w:proofErr w:type="spellEnd"/>
      <w:r w:rsidRPr="00467DB0">
        <w:t xml:space="preserve"> denne frist begge har underrettet </w:t>
      </w:r>
      <w:proofErr w:type="spellStart"/>
      <w:r w:rsidRPr="00467DB0">
        <w:t>Kommissionen</w:t>
      </w:r>
      <w:proofErr w:type="spellEnd"/>
      <w:r w:rsidRPr="00467DB0">
        <w:t xml:space="preserve"> om, at de ikke </w:t>
      </w:r>
      <w:proofErr w:type="spellStart"/>
      <w:r w:rsidRPr="00467DB0">
        <w:t>agter</w:t>
      </w:r>
      <w:proofErr w:type="spellEnd"/>
      <w:r w:rsidRPr="00467DB0">
        <w:t xml:space="preserve"> at </w:t>
      </w:r>
      <w:proofErr w:type="spellStart"/>
      <w:r w:rsidRPr="00467DB0">
        <w:t>gøre</w:t>
      </w:r>
      <w:proofErr w:type="spellEnd"/>
      <w:r w:rsidRPr="00467DB0">
        <w:t xml:space="preserve"> </w:t>
      </w:r>
      <w:proofErr w:type="spellStart"/>
      <w:r w:rsidRPr="00467DB0">
        <w:t>indsigelse</w:t>
      </w:r>
      <w:proofErr w:type="spellEnd"/>
      <w:r w:rsidRPr="00467DB0">
        <w:t xml:space="preserve">. Fristen </w:t>
      </w:r>
      <w:proofErr w:type="spellStart"/>
      <w:r w:rsidRPr="00467DB0">
        <w:t>forlænges</w:t>
      </w:r>
      <w:proofErr w:type="spellEnd"/>
      <w:r w:rsidRPr="00467DB0">
        <w:t xml:space="preserve"> med t</w:t>
      </w:r>
      <w:r w:rsidRPr="00467DB0">
        <w:t>o måneder på Europa-Parlamentets eller Rådets initiativ.</w:t>
      </w:r>
    </w:p>
    <w:p w14:paraId="434D55F5" w14:textId="77777777" w:rsidR="00000000" w:rsidRPr="00467DB0" w:rsidRDefault="00693D67" w:rsidP="00467DB0">
      <w:pPr>
        <w:pStyle w:val="avsnitt-undertittel"/>
      </w:pPr>
      <w:proofErr w:type="spellStart"/>
      <w:r w:rsidRPr="00467DB0">
        <w:t>Artikel</w:t>
      </w:r>
      <w:proofErr w:type="spellEnd"/>
      <w:r w:rsidRPr="00467DB0">
        <w:t xml:space="preserve"> 106</w:t>
      </w:r>
    </w:p>
    <w:p w14:paraId="08E7687B" w14:textId="77777777" w:rsidR="00000000" w:rsidRPr="00467DB0" w:rsidRDefault="00693D67" w:rsidP="00467DB0">
      <w:pPr>
        <w:pStyle w:val="Undertittel"/>
      </w:pPr>
      <w:proofErr w:type="spellStart"/>
      <w:r w:rsidRPr="00467DB0">
        <w:t>Hasteprocedure</w:t>
      </w:r>
      <w:proofErr w:type="spellEnd"/>
    </w:p>
    <w:p w14:paraId="309FED4F" w14:textId="77777777" w:rsidR="00000000" w:rsidRPr="00467DB0" w:rsidRDefault="00693D67" w:rsidP="00467DB0">
      <w:pPr>
        <w:pStyle w:val="friliste"/>
      </w:pPr>
      <w:r w:rsidRPr="00467DB0">
        <w:t>1.</w:t>
      </w:r>
      <w:r w:rsidRPr="00467DB0">
        <w:tab/>
      </w:r>
      <w:proofErr w:type="spellStart"/>
      <w:r w:rsidRPr="00467DB0">
        <w:t>Delegerede</w:t>
      </w:r>
      <w:proofErr w:type="spellEnd"/>
      <w:r w:rsidRPr="00467DB0">
        <w:t xml:space="preserve"> </w:t>
      </w:r>
      <w:proofErr w:type="spellStart"/>
      <w:r w:rsidRPr="00467DB0">
        <w:t>retsakter</w:t>
      </w:r>
      <w:proofErr w:type="spellEnd"/>
      <w:r w:rsidRPr="00467DB0">
        <w:t xml:space="preserve"> </w:t>
      </w:r>
      <w:proofErr w:type="spellStart"/>
      <w:r w:rsidRPr="00467DB0">
        <w:t>vedtaget</w:t>
      </w:r>
      <w:proofErr w:type="spellEnd"/>
      <w:r w:rsidRPr="00467DB0">
        <w:t xml:space="preserve"> i henhold til denne </w:t>
      </w:r>
      <w:proofErr w:type="spellStart"/>
      <w:r w:rsidRPr="00467DB0">
        <w:t>artikel</w:t>
      </w:r>
      <w:proofErr w:type="spellEnd"/>
      <w:r w:rsidRPr="00467DB0">
        <w:t xml:space="preserve"> </w:t>
      </w:r>
      <w:proofErr w:type="spellStart"/>
      <w:r w:rsidRPr="00467DB0">
        <w:t>træder</w:t>
      </w:r>
      <w:proofErr w:type="spellEnd"/>
      <w:r w:rsidRPr="00467DB0">
        <w:t xml:space="preserve"> i kraft straks og </w:t>
      </w:r>
      <w:proofErr w:type="spellStart"/>
      <w:r w:rsidRPr="00467DB0">
        <w:t>finder</w:t>
      </w:r>
      <w:proofErr w:type="spellEnd"/>
      <w:r w:rsidRPr="00467DB0">
        <w:t xml:space="preserve"> </w:t>
      </w:r>
      <w:proofErr w:type="gramStart"/>
      <w:r w:rsidRPr="00467DB0">
        <w:t>anvendelse</w:t>
      </w:r>
      <w:proofErr w:type="gramEnd"/>
      <w:r w:rsidRPr="00467DB0">
        <w:t xml:space="preserve">, så </w:t>
      </w:r>
      <w:proofErr w:type="spellStart"/>
      <w:r w:rsidRPr="00467DB0">
        <w:t>længe</w:t>
      </w:r>
      <w:proofErr w:type="spellEnd"/>
      <w:r w:rsidRPr="00467DB0">
        <w:t xml:space="preserve"> der ikke er gjort </w:t>
      </w:r>
      <w:proofErr w:type="spellStart"/>
      <w:r w:rsidRPr="00467DB0">
        <w:t>indsigelse</w:t>
      </w:r>
      <w:proofErr w:type="spellEnd"/>
      <w:r w:rsidRPr="00467DB0">
        <w:t xml:space="preserve"> i henhold til stk. 2. I medde</w:t>
      </w:r>
      <w:r w:rsidRPr="00467DB0">
        <w:t xml:space="preserve">lelsen til Europa-Parlamentet og Rådet </w:t>
      </w:r>
      <w:proofErr w:type="spellStart"/>
      <w:r w:rsidRPr="00467DB0">
        <w:t>af</w:t>
      </w:r>
      <w:proofErr w:type="spellEnd"/>
      <w:r w:rsidRPr="00467DB0">
        <w:t xml:space="preserve"> en </w:t>
      </w:r>
      <w:proofErr w:type="spellStart"/>
      <w:r w:rsidRPr="00467DB0">
        <w:t>delegeret</w:t>
      </w:r>
      <w:proofErr w:type="spellEnd"/>
      <w:r w:rsidRPr="00467DB0">
        <w:t xml:space="preserve"> </w:t>
      </w:r>
      <w:proofErr w:type="spellStart"/>
      <w:r w:rsidRPr="00467DB0">
        <w:t>retsakt</w:t>
      </w:r>
      <w:proofErr w:type="spellEnd"/>
      <w:r w:rsidRPr="00467DB0">
        <w:t xml:space="preserve"> anføres </w:t>
      </w:r>
      <w:proofErr w:type="spellStart"/>
      <w:r w:rsidRPr="00467DB0">
        <w:t>begrundelsen</w:t>
      </w:r>
      <w:proofErr w:type="spellEnd"/>
      <w:r w:rsidRPr="00467DB0">
        <w:t xml:space="preserve"> for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hasteproceduren</w:t>
      </w:r>
      <w:proofErr w:type="spellEnd"/>
      <w:r w:rsidRPr="00467DB0">
        <w:t>.</w:t>
      </w:r>
    </w:p>
    <w:p w14:paraId="025FB324" w14:textId="77777777" w:rsidR="00000000" w:rsidRPr="00467DB0" w:rsidRDefault="00693D67" w:rsidP="00467DB0">
      <w:pPr>
        <w:pStyle w:val="friliste"/>
      </w:pPr>
      <w:r w:rsidRPr="00467DB0">
        <w:t>2.</w:t>
      </w:r>
      <w:r w:rsidRPr="00467DB0">
        <w:tab/>
        <w:t xml:space="preserve">Europa-Parlamentet eller Rådet kan efter </w:t>
      </w:r>
      <w:proofErr w:type="spellStart"/>
      <w:r w:rsidRPr="00467DB0">
        <w:t>proceduren</w:t>
      </w:r>
      <w:proofErr w:type="spellEnd"/>
      <w:r w:rsidRPr="00467DB0">
        <w:t xml:space="preserve"> i </w:t>
      </w:r>
      <w:proofErr w:type="spellStart"/>
      <w:r w:rsidRPr="00467DB0">
        <w:t>artikel</w:t>
      </w:r>
      <w:proofErr w:type="spellEnd"/>
      <w:r w:rsidRPr="00467DB0">
        <w:t xml:space="preserve"> 105, stk. 6, </w:t>
      </w:r>
      <w:proofErr w:type="spellStart"/>
      <w:r w:rsidRPr="00467DB0">
        <w:t>gøre</w:t>
      </w:r>
      <w:proofErr w:type="spellEnd"/>
      <w:r w:rsidRPr="00467DB0">
        <w:t xml:space="preserve"> </w:t>
      </w:r>
      <w:proofErr w:type="spellStart"/>
      <w:r w:rsidRPr="00467DB0">
        <w:t>indsigelse</w:t>
      </w:r>
      <w:proofErr w:type="spellEnd"/>
      <w:r w:rsidRPr="00467DB0">
        <w:t xml:space="preserve"> mod en </w:t>
      </w:r>
      <w:proofErr w:type="spellStart"/>
      <w:r w:rsidRPr="00467DB0">
        <w:t>delegeret</w:t>
      </w:r>
      <w:proofErr w:type="spellEnd"/>
      <w:r w:rsidRPr="00467DB0">
        <w:t xml:space="preserve"> </w:t>
      </w:r>
      <w:proofErr w:type="spellStart"/>
      <w:r w:rsidRPr="00467DB0">
        <w:t>retsakt</w:t>
      </w:r>
      <w:proofErr w:type="spellEnd"/>
      <w:r w:rsidRPr="00467DB0">
        <w:t xml:space="preserve">. I så fald skal </w:t>
      </w:r>
      <w:proofErr w:type="spellStart"/>
      <w:r w:rsidRPr="00467DB0">
        <w:t>Ko</w:t>
      </w:r>
      <w:r w:rsidRPr="00467DB0">
        <w:t>mmissionen</w:t>
      </w:r>
      <w:proofErr w:type="spellEnd"/>
      <w:r w:rsidRPr="00467DB0">
        <w:t xml:space="preserve"> </w:t>
      </w:r>
      <w:proofErr w:type="spellStart"/>
      <w:r w:rsidRPr="00467DB0">
        <w:t>ophæve</w:t>
      </w:r>
      <w:proofErr w:type="spellEnd"/>
      <w:r w:rsidRPr="00467DB0">
        <w:t xml:space="preserve"> </w:t>
      </w:r>
      <w:proofErr w:type="spellStart"/>
      <w:r w:rsidRPr="00467DB0">
        <w:t>retsakten</w:t>
      </w:r>
      <w:proofErr w:type="spellEnd"/>
      <w:r w:rsidRPr="00467DB0">
        <w:t xml:space="preserve"> straks efter Europa-Parlamentets eller Rådets meddelelse </w:t>
      </w:r>
      <w:proofErr w:type="spellStart"/>
      <w:r w:rsidRPr="00467DB0">
        <w:t>af</w:t>
      </w:r>
      <w:proofErr w:type="spellEnd"/>
      <w:r w:rsidRPr="00467DB0">
        <w:t xml:space="preserve"> </w:t>
      </w:r>
      <w:proofErr w:type="spellStart"/>
      <w:r w:rsidRPr="00467DB0">
        <w:t>afgørelsen</w:t>
      </w:r>
      <w:proofErr w:type="spellEnd"/>
      <w:r w:rsidRPr="00467DB0">
        <w:t xml:space="preserve"> om at </w:t>
      </w:r>
      <w:proofErr w:type="spellStart"/>
      <w:r w:rsidRPr="00467DB0">
        <w:t>gøre</w:t>
      </w:r>
      <w:proofErr w:type="spellEnd"/>
      <w:r w:rsidRPr="00467DB0">
        <w:t xml:space="preserve"> </w:t>
      </w:r>
      <w:proofErr w:type="spellStart"/>
      <w:r w:rsidRPr="00467DB0">
        <w:t>indsigelse</w:t>
      </w:r>
      <w:proofErr w:type="spellEnd"/>
      <w:r w:rsidRPr="00467DB0">
        <w:t>.</w:t>
      </w:r>
    </w:p>
    <w:p w14:paraId="2C680B79" w14:textId="77777777" w:rsidR="00000000" w:rsidRPr="00467DB0" w:rsidRDefault="00693D67" w:rsidP="00467DB0">
      <w:pPr>
        <w:pStyle w:val="avsnitt-undertittel"/>
      </w:pPr>
      <w:proofErr w:type="spellStart"/>
      <w:r w:rsidRPr="00467DB0">
        <w:lastRenderedPageBreak/>
        <w:t>Artikel</w:t>
      </w:r>
      <w:proofErr w:type="spellEnd"/>
      <w:r w:rsidRPr="00467DB0">
        <w:t xml:space="preserve"> 107</w:t>
      </w:r>
    </w:p>
    <w:p w14:paraId="2E8CFEEC" w14:textId="77777777" w:rsidR="00000000" w:rsidRPr="00467DB0" w:rsidRDefault="00693D67" w:rsidP="00467DB0">
      <w:pPr>
        <w:pStyle w:val="Undertittel"/>
      </w:pPr>
      <w:proofErr w:type="spellStart"/>
      <w:r w:rsidRPr="00467DB0">
        <w:t>Udvalgsprocedure</w:t>
      </w:r>
      <w:proofErr w:type="spellEnd"/>
    </w:p>
    <w:p w14:paraId="721C65AB" w14:textId="77777777" w:rsidR="00000000" w:rsidRPr="00467DB0" w:rsidRDefault="00693D67" w:rsidP="00467DB0">
      <w:pPr>
        <w:pStyle w:val="friliste"/>
      </w:pPr>
      <w:r w:rsidRPr="00467DB0">
        <w:t>1.</w:t>
      </w:r>
      <w:r w:rsidRPr="00467DB0">
        <w:tab/>
      </w:r>
      <w:proofErr w:type="spellStart"/>
      <w:r w:rsidRPr="00467DB0">
        <w:t>Kommissionen</w:t>
      </w:r>
      <w:proofErr w:type="spellEnd"/>
      <w:r w:rsidRPr="00467DB0">
        <w:t xml:space="preserve"> bistås </w:t>
      </w:r>
      <w:proofErr w:type="spellStart"/>
      <w:r w:rsidRPr="00467DB0">
        <w:t>af</w:t>
      </w:r>
      <w:proofErr w:type="spellEnd"/>
      <w:r w:rsidRPr="00467DB0">
        <w:t xml:space="preserve"> </w:t>
      </w:r>
      <w:proofErr w:type="spellStart"/>
      <w:r w:rsidRPr="00467DB0">
        <w:t>programudvalget</w:t>
      </w:r>
      <w:proofErr w:type="spellEnd"/>
      <w:r w:rsidRPr="00467DB0">
        <w:t xml:space="preserve">. Dette </w:t>
      </w:r>
      <w:proofErr w:type="spellStart"/>
      <w:r w:rsidRPr="00467DB0">
        <w:t>udvalg</w:t>
      </w:r>
      <w:proofErr w:type="spellEnd"/>
      <w:r w:rsidRPr="00467DB0">
        <w:t xml:space="preserve"> er et </w:t>
      </w:r>
      <w:proofErr w:type="spellStart"/>
      <w:r w:rsidRPr="00467DB0">
        <w:t>udvalg</w:t>
      </w:r>
      <w:proofErr w:type="spellEnd"/>
      <w:r w:rsidRPr="00467DB0">
        <w:t xml:space="preserve"> som omhandlet i forordning (EU) nr. </w:t>
      </w:r>
      <w:r w:rsidRPr="00467DB0">
        <w:t>182/2011.</w:t>
      </w:r>
    </w:p>
    <w:p w14:paraId="46754B54" w14:textId="77777777" w:rsidR="00000000" w:rsidRPr="00467DB0" w:rsidRDefault="00693D67" w:rsidP="00467DB0">
      <w:pPr>
        <w:pStyle w:val="Listeavsnitt"/>
      </w:pPr>
      <w:proofErr w:type="spellStart"/>
      <w:r w:rsidRPr="00467DB0">
        <w:t>Programudvalget</w:t>
      </w:r>
      <w:proofErr w:type="spellEnd"/>
      <w:r w:rsidRPr="00467DB0">
        <w:t xml:space="preserve"> mødes i </w:t>
      </w:r>
      <w:proofErr w:type="spellStart"/>
      <w:r w:rsidRPr="00467DB0">
        <w:t>specifikke</w:t>
      </w:r>
      <w:proofErr w:type="spellEnd"/>
      <w:r w:rsidRPr="00467DB0">
        <w:t xml:space="preserve"> </w:t>
      </w:r>
      <w:proofErr w:type="spellStart"/>
      <w:r w:rsidRPr="00467DB0">
        <w:t>forskellige</w:t>
      </w:r>
      <w:proofErr w:type="spellEnd"/>
      <w:r w:rsidRPr="00467DB0">
        <w:t xml:space="preserve"> </w:t>
      </w:r>
      <w:proofErr w:type="spellStart"/>
      <w:r w:rsidRPr="00467DB0">
        <w:t>konfigurationer</w:t>
      </w:r>
      <w:proofErr w:type="spellEnd"/>
      <w:r w:rsidRPr="00467DB0">
        <w:t xml:space="preserve"> som følger:</w:t>
      </w:r>
    </w:p>
    <w:p w14:paraId="1CD7B93F" w14:textId="77777777" w:rsidR="00000000" w:rsidRPr="00467DB0" w:rsidRDefault="00693D67" w:rsidP="00467DB0">
      <w:pPr>
        <w:pStyle w:val="friliste2"/>
      </w:pPr>
      <w:r w:rsidRPr="00467DB0">
        <w:t>a)</w:t>
      </w:r>
      <w:r w:rsidRPr="00467DB0">
        <w:tab/>
        <w:t>Galileo og EGNOS</w:t>
      </w:r>
    </w:p>
    <w:p w14:paraId="1AEA76A9" w14:textId="77777777" w:rsidR="00000000" w:rsidRPr="00467DB0" w:rsidRDefault="00693D67" w:rsidP="00467DB0">
      <w:pPr>
        <w:pStyle w:val="friliste2"/>
      </w:pPr>
      <w:r w:rsidRPr="00467DB0">
        <w:t>b)</w:t>
      </w:r>
      <w:r w:rsidRPr="00467DB0">
        <w:tab/>
        <w:t>Copernicus</w:t>
      </w:r>
    </w:p>
    <w:p w14:paraId="2FD703E4" w14:textId="77777777" w:rsidR="00000000" w:rsidRPr="00467DB0" w:rsidRDefault="00693D67" w:rsidP="00467DB0">
      <w:pPr>
        <w:pStyle w:val="friliste2"/>
      </w:pPr>
      <w:r w:rsidRPr="00467DB0">
        <w:t>c)</w:t>
      </w:r>
      <w:r w:rsidRPr="00467DB0">
        <w:tab/>
        <w:t>SSA</w:t>
      </w:r>
    </w:p>
    <w:p w14:paraId="66BD1B24" w14:textId="77777777" w:rsidR="00000000" w:rsidRPr="00467DB0" w:rsidRDefault="00693D67" w:rsidP="00467DB0">
      <w:pPr>
        <w:pStyle w:val="friliste2"/>
      </w:pPr>
      <w:r w:rsidRPr="00467DB0">
        <w:t>d)</w:t>
      </w:r>
      <w:r w:rsidRPr="00467DB0">
        <w:tab/>
        <w:t>GOVSATCOM</w:t>
      </w:r>
    </w:p>
    <w:p w14:paraId="7FC721B2" w14:textId="77777777" w:rsidR="00000000" w:rsidRPr="00467DB0" w:rsidRDefault="00693D67" w:rsidP="00467DB0">
      <w:pPr>
        <w:pStyle w:val="friliste2"/>
      </w:pPr>
      <w:r w:rsidRPr="00467DB0">
        <w:t>e)</w:t>
      </w:r>
      <w:r w:rsidRPr="00467DB0">
        <w:tab/>
      </w:r>
      <w:proofErr w:type="spellStart"/>
      <w:r w:rsidRPr="00467DB0">
        <w:t>Sikkerhedskonfiguration</w:t>
      </w:r>
      <w:proofErr w:type="spellEnd"/>
      <w:r w:rsidRPr="00467DB0">
        <w:t xml:space="preserve">: alle de </w:t>
      </w:r>
      <w:proofErr w:type="spellStart"/>
      <w:r w:rsidRPr="00467DB0">
        <w:t>sikkerhedsmæssige</w:t>
      </w:r>
      <w:proofErr w:type="spellEnd"/>
      <w:r w:rsidRPr="00467DB0">
        <w:t xml:space="preserve"> aspekter </w:t>
      </w:r>
      <w:proofErr w:type="spellStart"/>
      <w:r w:rsidRPr="00467DB0">
        <w:t>af</w:t>
      </w:r>
      <w:proofErr w:type="spellEnd"/>
      <w:r w:rsidRPr="00467DB0">
        <w:t xml:space="preserve"> programmet, </w:t>
      </w:r>
      <w:proofErr w:type="spellStart"/>
      <w:r w:rsidRPr="00467DB0">
        <w:t>uden</w:t>
      </w:r>
      <w:proofErr w:type="spellEnd"/>
      <w:r w:rsidRPr="00467DB0">
        <w:t xml:space="preserve"> at dette berører Komitéen for </w:t>
      </w:r>
      <w:proofErr w:type="spellStart"/>
      <w:r w:rsidRPr="00467DB0">
        <w:t>Si</w:t>
      </w:r>
      <w:r w:rsidRPr="00467DB0">
        <w:t>kkerhedsgodkendelses</w:t>
      </w:r>
      <w:proofErr w:type="spellEnd"/>
      <w:r w:rsidRPr="00467DB0">
        <w:t xml:space="preserve"> rolle. </w:t>
      </w:r>
      <w:proofErr w:type="spellStart"/>
      <w:r w:rsidRPr="00467DB0">
        <w:t>Repræsentanter</w:t>
      </w:r>
      <w:proofErr w:type="spellEnd"/>
      <w:r w:rsidRPr="00467DB0">
        <w:t xml:space="preserve"> for ESA og agenturet kan </w:t>
      </w:r>
      <w:proofErr w:type="spellStart"/>
      <w:r w:rsidRPr="00467DB0">
        <w:t>indbydes</w:t>
      </w:r>
      <w:proofErr w:type="spellEnd"/>
      <w:r w:rsidRPr="00467DB0">
        <w:t xml:space="preserve"> til at </w:t>
      </w:r>
      <w:proofErr w:type="spellStart"/>
      <w:r w:rsidRPr="00467DB0">
        <w:t>deltage</w:t>
      </w:r>
      <w:proofErr w:type="spellEnd"/>
      <w:r w:rsidRPr="00467DB0">
        <w:t xml:space="preserve"> som observatører. EU-</w:t>
      </w:r>
      <w:proofErr w:type="spellStart"/>
      <w:r w:rsidRPr="00467DB0">
        <w:t>Udenrigstjenesten</w:t>
      </w:r>
      <w:proofErr w:type="spellEnd"/>
      <w:r w:rsidRPr="00467DB0">
        <w:t xml:space="preserve"> </w:t>
      </w:r>
      <w:proofErr w:type="spellStart"/>
      <w:r w:rsidRPr="00467DB0">
        <w:t>indbydes</w:t>
      </w:r>
      <w:proofErr w:type="spellEnd"/>
      <w:r w:rsidRPr="00467DB0">
        <w:t xml:space="preserve"> </w:t>
      </w:r>
      <w:proofErr w:type="spellStart"/>
      <w:r w:rsidRPr="00467DB0">
        <w:t>ligeledes</w:t>
      </w:r>
      <w:proofErr w:type="spellEnd"/>
      <w:r w:rsidRPr="00467DB0">
        <w:t xml:space="preserve"> til at bistå</w:t>
      </w:r>
      <w:r w:rsidRPr="00467DB0">
        <w:rPr>
          <w:rStyle w:val="Fotnotereferanse"/>
        </w:rPr>
        <w:footnoteReference w:id="62"/>
      </w:r>
      <w:r w:rsidRPr="00467DB0">
        <w:t>.</w:t>
      </w:r>
    </w:p>
    <w:p w14:paraId="15649FE7" w14:textId="77777777" w:rsidR="00000000" w:rsidRPr="00467DB0" w:rsidRDefault="00693D67" w:rsidP="00467DB0">
      <w:pPr>
        <w:pStyle w:val="friliste2"/>
      </w:pPr>
      <w:r w:rsidRPr="00467DB0">
        <w:t>f)</w:t>
      </w:r>
      <w:r w:rsidRPr="00467DB0">
        <w:tab/>
        <w:t xml:space="preserve">Horisontal </w:t>
      </w:r>
      <w:proofErr w:type="spellStart"/>
      <w:r w:rsidRPr="00467DB0">
        <w:t>konfiguration</w:t>
      </w:r>
      <w:proofErr w:type="spellEnd"/>
      <w:r w:rsidRPr="00467DB0">
        <w:t xml:space="preserve">: Strategisk </w:t>
      </w:r>
      <w:proofErr w:type="spellStart"/>
      <w:r w:rsidRPr="00467DB0">
        <w:t>oversigt</w:t>
      </w:r>
      <w:proofErr w:type="spellEnd"/>
      <w:r w:rsidRPr="00467DB0">
        <w:t xml:space="preserve"> over programmets </w:t>
      </w:r>
      <w:proofErr w:type="spellStart"/>
      <w:r w:rsidRPr="00467DB0">
        <w:t>gennemførelse</w:t>
      </w:r>
      <w:proofErr w:type="spellEnd"/>
      <w:r w:rsidRPr="00467DB0">
        <w:t xml:space="preserve">, </w:t>
      </w:r>
      <w:proofErr w:type="spellStart"/>
      <w:r w:rsidRPr="00467DB0">
        <w:t>sammenhæn</w:t>
      </w:r>
      <w:r w:rsidRPr="00467DB0">
        <w:t>g</w:t>
      </w:r>
      <w:proofErr w:type="spellEnd"/>
      <w:r w:rsidRPr="00467DB0">
        <w:t xml:space="preserve"> </w:t>
      </w:r>
      <w:proofErr w:type="spellStart"/>
      <w:r w:rsidRPr="00467DB0">
        <w:t>mellem</w:t>
      </w:r>
      <w:proofErr w:type="spellEnd"/>
      <w:r w:rsidRPr="00467DB0">
        <w:t xml:space="preserve"> programmets </w:t>
      </w:r>
      <w:proofErr w:type="spellStart"/>
      <w:r w:rsidRPr="00467DB0">
        <w:t>forskellige</w:t>
      </w:r>
      <w:proofErr w:type="spellEnd"/>
      <w:r w:rsidRPr="00467DB0">
        <w:t xml:space="preserve"> komponenter, </w:t>
      </w:r>
      <w:proofErr w:type="spellStart"/>
      <w:r w:rsidRPr="00467DB0">
        <w:t>tværgående</w:t>
      </w:r>
      <w:proofErr w:type="spellEnd"/>
      <w:r w:rsidRPr="00467DB0">
        <w:t xml:space="preserve"> foranstaltninger og </w:t>
      </w:r>
      <w:proofErr w:type="spellStart"/>
      <w:r w:rsidRPr="00467DB0">
        <w:t>budgetomfordeling</w:t>
      </w:r>
      <w:proofErr w:type="spellEnd"/>
      <w:r w:rsidRPr="00467DB0">
        <w:t xml:space="preserve"> som omhandlet i </w:t>
      </w:r>
      <w:proofErr w:type="spellStart"/>
      <w:r w:rsidRPr="00467DB0">
        <w:t>artikel</w:t>
      </w:r>
      <w:proofErr w:type="spellEnd"/>
      <w:r w:rsidRPr="00467DB0">
        <w:t xml:space="preserve"> 11.</w:t>
      </w:r>
    </w:p>
    <w:p w14:paraId="50572CAB" w14:textId="77777777" w:rsidR="00000000" w:rsidRPr="00467DB0" w:rsidRDefault="00693D67" w:rsidP="00467DB0">
      <w:pPr>
        <w:pStyle w:val="friliste"/>
      </w:pPr>
      <w:r w:rsidRPr="00467DB0">
        <w:t>2.</w:t>
      </w:r>
      <w:r w:rsidRPr="00467DB0">
        <w:tab/>
        <w:t xml:space="preserve">Når der henvises til dette stykke, </w:t>
      </w:r>
      <w:proofErr w:type="spellStart"/>
      <w:r w:rsidRPr="00467DB0">
        <w:t>finder</w:t>
      </w:r>
      <w:proofErr w:type="spellEnd"/>
      <w:r w:rsidRPr="00467DB0">
        <w:t xml:space="preserve"> </w:t>
      </w:r>
      <w:proofErr w:type="spellStart"/>
      <w:r w:rsidRPr="00467DB0">
        <w:t>artikel</w:t>
      </w:r>
      <w:proofErr w:type="spellEnd"/>
      <w:r w:rsidRPr="00467DB0">
        <w:t xml:space="preserve"> 4 i forordning (EU) nr. 182/2011 </w:t>
      </w:r>
      <w:proofErr w:type="gramStart"/>
      <w:r w:rsidRPr="00467DB0">
        <w:t>anvendelse</w:t>
      </w:r>
      <w:proofErr w:type="gramEnd"/>
      <w:r w:rsidRPr="00467DB0">
        <w:t>.</w:t>
      </w:r>
    </w:p>
    <w:p w14:paraId="3B598E76" w14:textId="77777777" w:rsidR="00000000" w:rsidRPr="00467DB0" w:rsidRDefault="00693D67" w:rsidP="00467DB0">
      <w:pPr>
        <w:pStyle w:val="friliste"/>
      </w:pPr>
      <w:r w:rsidRPr="00467DB0">
        <w:t>3.</w:t>
      </w:r>
      <w:r w:rsidRPr="00467DB0">
        <w:tab/>
        <w:t>Når der henvises til dette stykk</w:t>
      </w:r>
      <w:r w:rsidRPr="00467DB0">
        <w:t xml:space="preserve">e, </w:t>
      </w:r>
      <w:proofErr w:type="spellStart"/>
      <w:r w:rsidRPr="00467DB0">
        <w:t>finder</w:t>
      </w:r>
      <w:proofErr w:type="spellEnd"/>
      <w:r w:rsidRPr="00467DB0">
        <w:t xml:space="preserve"> </w:t>
      </w:r>
      <w:proofErr w:type="spellStart"/>
      <w:r w:rsidRPr="00467DB0">
        <w:t>artikel</w:t>
      </w:r>
      <w:proofErr w:type="spellEnd"/>
      <w:r w:rsidRPr="00467DB0">
        <w:t xml:space="preserve"> 5 i forordning (EU) nr. 182/2011 </w:t>
      </w:r>
      <w:proofErr w:type="gramStart"/>
      <w:r w:rsidRPr="00467DB0">
        <w:t>anvendelse</w:t>
      </w:r>
      <w:proofErr w:type="gramEnd"/>
      <w:r w:rsidRPr="00467DB0">
        <w:t>.</w:t>
      </w:r>
    </w:p>
    <w:p w14:paraId="75BB25BF" w14:textId="77777777" w:rsidR="00000000" w:rsidRPr="00467DB0" w:rsidRDefault="00693D67" w:rsidP="00467DB0">
      <w:pPr>
        <w:pStyle w:val="friliste"/>
      </w:pPr>
      <w:r w:rsidRPr="00467DB0">
        <w:t>4.</w:t>
      </w:r>
      <w:r w:rsidRPr="00467DB0">
        <w:tab/>
      </w:r>
      <w:proofErr w:type="spellStart"/>
      <w:r w:rsidRPr="00467DB0">
        <w:t>Afgiver</w:t>
      </w:r>
      <w:proofErr w:type="spellEnd"/>
      <w:r w:rsidRPr="00467DB0">
        <w:t xml:space="preserve"> </w:t>
      </w:r>
      <w:proofErr w:type="spellStart"/>
      <w:r w:rsidRPr="00467DB0">
        <w:t>programudvalget</w:t>
      </w:r>
      <w:proofErr w:type="spellEnd"/>
      <w:r w:rsidRPr="00467DB0">
        <w:t xml:space="preserve"> ikke nogen </w:t>
      </w:r>
      <w:proofErr w:type="spellStart"/>
      <w:r w:rsidRPr="00467DB0">
        <w:t>udtalelse</w:t>
      </w:r>
      <w:proofErr w:type="spellEnd"/>
      <w:r w:rsidRPr="00467DB0">
        <w:t xml:space="preserve"> om </w:t>
      </w:r>
      <w:proofErr w:type="spellStart"/>
      <w:r w:rsidRPr="00467DB0">
        <w:t>udkastet</w:t>
      </w:r>
      <w:proofErr w:type="spellEnd"/>
      <w:r w:rsidRPr="00467DB0">
        <w:t xml:space="preserve"> til </w:t>
      </w:r>
      <w:proofErr w:type="spellStart"/>
      <w:r w:rsidRPr="00467DB0">
        <w:t>gennemførelsesretsakt</w:t>
      </w:r>
      <w:proofErr w:type="spellEnd"/>
      <w:r w:rsidRPr="00467DB0">
        <w:t xml:space="preserve"> som omhandlet i denne forordnings </w:t>
      </w:r>
      <w:proofErr w:type="spellStart"/>
      <w:r w:rsidRPr="00467DB0">
        <w:t>artikel</w:t>
      </w:r>
      <w:proofErr w:type="spellEnd"/>
      <w:r w:rsidRPr="00467DB0">
        <w:t xml:space="preserve"> 34, stk. 2, </w:t>
      </w:r>
      <w:proofErr w:type="spellStart"/>
      <w:r w:rsidRPr="00467DB0">
        <w:t>vedtager</w:t>
      </w:r>
      <w:proofErr w:type="spellEnd"/>
      <w:r w:rsidRPr="00467DB0">
        <w:t xml:space="preserve"> </w:t>
      </w:r>
      <w:proofErr w:type="spellStart"/>
      <w:r w:rsidRPr="00467DB0">
        <w:t>Kommissionen</w:t>
      </w:r>
      <w:proofErr w:type="spellEnd"/>
      <w:r w:rsidRPr="00467DB0">
        <w:t xml:space="preserve"> ikke </w:t>
      </w:r>
      <w:proofErr w:type="spellStart"/>
      <w:r w:rsidRPr="00467DB0">
        <w:t>udkastet</w:t>
      </w:r>
      <w:proofErr w:type="spellEnd"/>
      <w:r w:rsidRPr="00467DB0">
        <w:t xml:space="preserve"> til </w:t>
      </w:r>
      <w:proofErr w:type="spellStart"/>
      <w:r w:rsidRPr="00467DB0">
        <w:t>gennemførelse</w:t>
      </w:r>
      <w:r w:rsidRPr="00467DB0">
        <w:t>sretsakt</w:t>
      </w:r>
      <w:proofErr w:type="spellEnd"/>
      <w:r w:rsidRPr="00467DB0">
        <w:t xml:space="preserve">, og </w:t>
      </w:r>
      <w:proofErr w:type="spellStart"/>
      <w:r w:rsidRPr="00467DB0">
        <w:t>artikel</w:t>
      </w:r>
      <w:proofErr w:type="spellEnd"/>
      <w:r w:rsidRPr="00467DB0">
        <w:t xml:space="preserve"> 5, stk. 4, tredje </w:t>
      </w:r>
      <w:proofErr w:type="spellStart"/>
      <w:r w:rsidRPr="00467DB0">
        <w:t>afsnit</w:t>
      </w:r>
      <w:proofErr w:type="spellEnd"/>
      <w:r w:rsidRPr="00467DB0">
        <w:t xml:space="preserve">, i forordning (EU) nr. 182/2011 </w:t>
      </w:r>
      <w:proofErr w:type="spellStart"/>
      <w:r w:rsidRPr="00467DB0">
        <w:t>finder</w:t>
      </w:r>
      <w:proofErr w:type="spellEnd"/>
      <w:r w:rsidRPr="00467DB0">
        <w:t xml:space="preserve"> </w:t>
      </w:r>
      <w:proofErr w:type="gramStart"/>
      <w:r w:rsidRPr="00467DB0">
        <w:t>anvendelse</w:t>
      </w:r>
      <w:proofErr w:type="gramEnd"/>
      <w:r w:rsidRPr="00467DB0">
        <w:t>.</w:t>
      </w:r>
    </w:p>
    <w:p w14:paraId="27A40B45" w14:textId="77777777" w:rsidR="00000000" w:rsidRPr="00467DB0" w:rsidRDefault="00693D67" w:rsidP="00467DB0">
      <w:pPr>
        <w:pStyle w:val="friliste"/>
      </w:pPr>
      <w:r w:rsidRPr="00467DB0">
        <w:t>5.</w:t>
      </w:r>
      <w:r w:rsidRPr="00467DB0">
        <w:tab/>
        <w:t xml:space="preserve">I overensstemmelse med </w:t>
      </w:r>
      <w:proofErr w:type="spellStart"/>
      <w:r w:rsidRPr="00467DB0">
        <w:t>internationale</w:t>
      </w:r>
      <w:proofErr w:type="spellEnd"/>
      <w:r w:rsidRPr="00467DB0">
        <w:t xml:space="preserve"> </w:t>
      </w:r>
      <w:proofErr w:type="spellStart"/>
      <w:r w:rsidRPr="00467DB0">
        <w:t>aftaler</w:t>
      </w:r>
      <w:proofErr w:type="spellEnd"/>
      <w:r w:rsidRPr="00467DB0">
        <w:t xml:space="preserve">, der er </w:t>
      </w:r>
      <w:proofErr w:type="spellStart"/>
      <w:r w:rsidRPr="00467DB0">
        <w:t>indgået</w:t>
      </w:r>
      <w:proofErr w:type="spellEnd"/>
      <w:r w:rsidRPr="00467DB0">
        <w:t xml:space="preserve"> </w:t>
      </w:r>
      <w:proofErr w:type="spellStart"/>
      <w:r w:rsidRPr="00467DB0">
        <w:t>af</w:t>
      </w:r>
      <w:proofErr w:type="spellEnd"/>
      <w:r w:rsidRPr="00467DB0">
        <w:t xml:space="preserve"> Unionen, kan </w:t>
      </w:r>
      <w:proofErr w:type="spellStart"/>
      <w:r w:rsidRPr="00467DB0">
        <w:t>repræsentanter</w:t>
      </w:r>
      <w:proofErr w:type="spellEnd"/>
      <w:r w:rsidRPr="00467DB0">
        <w:t xml:space="preserve"> for </w:t>
      </w:r>
      <w:proofErr w:type="spellStart"/>
      <w:r w:rsidRPr="00467DB0">
        <w:t>tredjelande</w:t>
      </w:r>
      <w:proofErr w:type="spellEnd"/>
      <w:r w:rsidRPr="00467DB0">
        <w:t xml:space="preserve"> eller </w:t>
      </w:r>
      <w:proofErr w:type="spellStart"/>
      <w:r w:rsidRPr="00467DB0">
        <w:t>internationale</w:t>
      </w:r>
      <w:proofErr w:type="spellEnd"/>
      <w:r w:rsidRPr="00467DB0">
        <w:t xml:space="preserve"> </w:t>
      </w:r>
      <w:proofErr w:type="spellStart"/>
      <w:r w:rsidRPr="00467DB0">
        <w:t>organisationer</w:t>
      </w:r>
      <w:proofErr w:type="spellEnd"/>
      <w:r w:rsidRPr="00467DB0">
        <w:t xml:space="preserve"> </w:t>
      </w:r>
      <w:proofErr w:type="spellStart"/>
      <w:r w:rsidRPr="00467DB0">
        <w:t>indbydes</w:t>
      </w:r>
      <w:proofErr w:type="spellEnd"/>
      <w:r w:rsidRPr="00467DB0">
        <w:t xml:space="preserve"> so</w:t>
      </w:r>
      <w:r w:rsidRPr="00467DB0">
        <w:t xml:space="preserve">m observatører på </w:t>
      </w:r>
      <w:proofErr w:type="spellStart"/>
      <w:r w:rsidRPr="00467DB0">
        <w:t>programudvalgets</w:t>
      </w:r>
      <w:proofErr w:type="spellEnd"/>
      <w:r w:rsidRPr="00467DB0">
        <w:t xml:space="preserve"> møder på de betingelser, der er </w:t>
      </w:r>
      <w:proofErr w:type="spellStart"/>
      <w:r w:rsidRPr="00467DB0">
        <w:t>fastsat</w:t>
      </w:r>
      <w:proofErr w:type="spellEnd"/>
      <w:r w:rsidRPr="00467DB0">
        <w:t xml:space="preserve"> i dets forretningsorden, </w:t>
      </w:r>
      <w:proofErr w:type="gramStart"/>
      <w:r w:rsidRPr="00467DB0">
        <w:t>under hensyntagen</w:t>
      </w:r>
      <w:proofErr w:type="gramEnd"/>
      <w:r w:rsidRPr="00467DB0">
        <w:t xml:space="preserve"> til Unionens </w:t>
      </w:r>
      <w:proofErr w:type="spellStart"/>
      <w:r w:rsidRPr="00467DB0">
        <w:t>sikkerhed</w:t>
      </w:r>
      <w:proofErr w:type="spellEnd"/>
      <w:r w:rsidRPr="00467DB0">
        <w:t>.</w:t>
      </w:r>
    </w:p>
    <w:p w14:paraId="5B512BB5" w14:textId="77777777" w:rsidR="00000000" w:rsidRPr="00467DB0" w:rsidRDefault="00693D67" w:rsidP="00467DB0">
      <w:pPr>
        <w:pStyle w:val="friliste"/>
      </w:pPr>
      <w:r w:rsidRPr="00467DB0">
        <w:t>6.</w:t>
      </w:r>
      <w:r w:rsidRPr="00467DB0">
        <w:tab/>
      </w:r>
      <w:proofErr w:type="spellStart"/>
      <w:r w:rsidRPr="00467DB0">
        <w:t>Programudvalget</w:t>
      </w:r>
      <w:proofErr w:type="spellEnd"/>
      <w:r w:rsidRPr="00467DB0">
        <w:t xml:space="preserve"> </w:t>
      </w:r>
      <w:proofErr w:type="spellStart"/>
      <w:r w:rsidRPr="00467DB0">
        <w:t>opretter</w:t>
      </w:r>
      <w:proofErr w:type="spellEnd"/>
      <w:r w:rsidRPr="00467DB0">
        <w:t xml:space="preserve"> i overensstemmelse med sin forretningsorden "</w:t>
      </w:r>
      <w:proofErr w:type="spellStart"/>
      <w:r w:rsidRPr="00467DB0">
        <w:t>brugerforummet</w:t>
      </w:r>
      <w:proofErr w:type="spellEnd"/>
      <w:r w:rsidRPr="00467DB0">
        <w:t xml:space="preserve">" som en </w:t>
      </w:r>
      <w:proofErr w:type="spellStart"/>
      <w:r w:rsidRPr="00467DB0">
        <w:t>arbejdsgruppe</w:t>
      </w:r>
      <w:proofErr w:type="spellEnd"/>
      <w:r w:rsidRPr="00467DB0">
        <w:t>, der</w:t>
      </w:r>
      <w:r w:rsidRPr="00467DB0">
        <w:t xml:space="preserve"> skal </w:t>
      </w:r>
      <w:proofErr w:type="spellStart"/>
      <w:r w:rsidRPr="00467DB0">
        <w:t>rådgive</w:t>
      </w:r>
      <w:proofErr w:type="spellEnd"/>
      <w:r w:rsidRPr="00467DB0">
        <w:t xml:space="preserve"> </w:t>
      </w:r>
      <w:proofErr w:type="spellStart"/>
      <w:r w:rsidRPr="00467DB0">
        <w:t>programudvalget</w:t>
      </w:r>
      <w:proofErr w:type="spellEnd"/>
      <w:r w:rsidRPr="00467DB0">
        <w:t xml:space="preserve"> om aspekter </w:t>
      </w:r>
      <w:proofErr w:type="gramStart"/>
      <w:r w:rsidRPr="00467DB0">
        <w:t>vedrørende</w:t>
      </w:r>
      <w:proofErr w:type="gramEnd"/>
      <w:r w:rsidRPr="00467DB0">
        <w:t xml:space="preserve"> </w:t>
      </w:r>
      <w:proofErr w:type="spellStart"/>
      <w:r w:rsidRPr="00467DB0">
        <w:t>brugerbehov</w:t>
      </w:r>
      <w:proofErr w:type="spellEnd"/>
      <w:r w:rsidRPr="00467DB0">
        <w:t xml:space="preserve">, </w:t>
      </w:r>
      <w:proofErr w:type="spellStart"/>
      <w:r w:rsidRPr="00467DB0">
        <w:t>udvikling</w:t>
      </w:r>
      <w:proofErr w:type="spellEnd"/>
      <w:r w:rsidRPr="00467DB0">
        <w:t xml:space="preserve"> </w:t>
      </w:r>
      <w:proofErr w:type="spellStart"/>
      <w:r w:rsidRPr="00467DB0">
        <w:t>af</w:t>
      </w:r>
      <w:proofErr w:type="spellEnd"/>
      <w:r w:rsidRPr="00467DB0">
        <w:t xml:space="preserve"> </w:t>
      </w:r>
      <w:proofErr w:type="spellStart"/>
      <w:r w:rsidRPr="00467DB0">
        <w:t>tjenesterne</w:t>
      </w:r>
      <w:proofErr w:type="spellEnd"/>
      <w:r w:rsidRPr="00467DB0">
        <w:t xml:space="preserve"> og </w:t>
      </w:r>
      <w:proofErr w:type="spellStart"/>
      <w:r w:rsidRPr="00467DB0">
        <w:t>brugerspredning</w:t>
      </w:r>
      <w:proofErr w:type="spellEnd"/>
      <w:r w:rsidRPr="00467DB0">
        <w:t xml:space="preserve">. </w:t>
      </w:r>
      <w:proofErr w:type="spellStart"/>
      <w:r w:rsidRPr="00467DB0">
        <w:t>Brugerforummet</w:t>
      </w:r>
      <w:proofErr w:type="spellEnd"/>
      <w:r w:rsidRPr="00467DB0">
        <w:t xml:space="preserve"> skal </w:t>
      </w:r>
      <w:proofErr w:type="spellStart"/>
      <w:r w:rsidRPr="00467DB0">
        <w:t>tilsigte</w:t>
      </w:r>
      <w:proofErr w:type="spellEnd"/>
      <w:r w:rsidRPr="00467DB0">
        <w:t xml:space="preserve"> at sikre en kontinuerlig og effektiv </w:t>
      </w:r>
      <w:proofErr w:type="spellStart"/>
      <w:r w:rsidRPr="00467DB0">
        <w:t>inddragelse</w:t>
      </w:r>
      <w:proofErr w:type="spellEnd"/>
      <w:r w:rsidRPr="00467DB0">
        <w:t xml:space="preserve"> </w:t>
      </w:r>
      <w:proofErr w:type="spellStart"/>
      <w:r w:rsidRPr="00467DB0">
        <w:t>af</w:t>
      </w:r>
      <w:proofErr w:type="spellEnd"/>
      <w:r w:rsidRPr="00467DB0">
        <w:t xml:space="preserve"> </w:t>
      </w:r>
      <w:proofErr w:type="spellStart"/>
      <w:r w:rsidRPr="00467DB0">
        <w:t>brugere</w:t>
      </w:r>
      <w:proofErr w:type="spellEnd"/>
      <w:r w:rsidRPr="00467DB0">
        <w:t xml:space="preserve"> og mødes i </w:t>
      </w:r>
      <w:proofErr w:type="spellStart"/>
      <w:r w:rsidRPr="00467DB0">
        <w:t>specifikke</w:t>
      </w:r>
      <w:proofErr w:type="spellEnd"/>
      <w:r w:rsidRPr="00467DB0">
        <w:t xml:space="preserve"> </w:t>
      </w:r>
      <w:proofErr w:type="spellStart"/>
      <w:r w:rsidRPr="00467DB0">
        <w:t>konfigurationer</w:t>
      </w:r>
      <w:proofErr w:type="spellEnd"/>
      <w:r w:rsidRPr="00467DB0">
        <w:t xml:space="preserve"> for hver komponent</w:t>
      </w:r>
      <w:r w:rsidRPr="00467DB0">
        <w:t xml:space="preserve"> i programmet.</w:t>
      </w:r>
    </w:p>
    <w:p w14:paraId="5406B032" w14:textId="77777777" w:rsidR="00000000" w:rsidRPr="00467DB0" w:rsidRDefault="00693D67" w:rsidP="00467DB0">
      <w:pPr>
        <w:pStyle w:val="avsnitt-undertittel"/>
      </w:pPr>
      <w:proofErr w:type="spellStart"/>
      <w:r w:rsidRPr="00467DB0">
        <w:lastRenderedPageBreak/>
        <w:t>Afsnit</w:t>
      </w:r>
      <w:proofErr w:type="spellEnd"/>
      <w:r w:rsidRPr="00467DB0">
        <w:t xml:space="preserve"> XII</w:t>
      </w:r>
    </w:p>
    <w:p w14:paraId="1FA24828" w14:textId="77777777" w:rsidR="00000000" w:rsidRPr="00467DB0" w:rsidRDefault="00693D67" w:rsidP="00467DB0">
      <w:pPr>
        <w:pStyle w:val="Undertittel"/>
      </w:pPr>
      <w:r w:rsidRPr="00467DB0">
        <w:t xml:space="preserve">Overgangsbestemmelser og </w:t>
      </w:r>
      <w:proofErr w:type="spellStart"/>
      <w:r w:rsidRPr="00467DB0">
        <w:t>afsluttende</w:t>
      </w:r>
      <w:proofErr w:type="spellEnd"/>
      <w:r w:rsidRPr="00467DB0">
        <w:t xml:space="preserve"> bestemmelser</w:t>
      </w:r>
    </w:p>
    <w:p w14:paraId="2FB6DFC7" w14:textId="77777777" w:rsidR="00000000" w:rsidRPr="00467DB0" w:rsidRDefault="00693D67" w:rsidP="00467DB0">
      <w:pPr>
        <w:pStyle w:val="avsnitt-undertittel"/>
      </w:pPr>
      <w:proofErr w:type="spellStart"/>
      <w:r w:rsidRPr="00467DB0">
        <w:t>Artikel</w:t>
      </w:r>
      <w:proofErr w:type="spellEnd"/>
      <w:r w:rsidRPr="00467DB0">
        <w:t xml:space="preserve"> 108</w:t>
      </w:r>
    </w:p>
    <w:p w14:paraId="15B3A671" w14:textId="77777777" w:rsidR="00000000" w:rsidRPr="00467DB0" w:rsidRDefault="00693D67" w:rsidP="00467DB0">
      <w:pPr>
        <w:pStyle w:val="Undertittel"/>
      </w:pPr>
      <w:r w:rsidRPr="00467DB0">
        <w:t xml:space="preserve">Information, </w:t>
      </w:r>
      <w:proofErr w:type="spellStart"/>
      <w:r w:rsidRPr="00467DB0">
        <w:t>kommunikation</w:t>
      </w:r>
      <w:proofErr w:type="spellEnd"/>
      <w:r w:rsidRPr="00467DB0">
        <w:t xml:space="preserve"> og offentlig omtale</w:t>
      </w:r>
    </w:p>
    <w:p w14:paraId="28050C07" w14:textId="77777777" w:rsidR="00000000" w:rsidRPr="00467DB0" w:rsidRDefault="00693D67" w:rsidP="00467DB0">
      <w:pPr>
        <w:pStyle w:val="friliste"/>
      </w:pPr>
      <w:r w:rsidRPr="00467DB0">
        <w:t>1.</w:t>
      </w:r>
      <w:r w:rsidRPr="00467DB0">
        <w:tab/>
      </w:r>
      <w:proofErr w:type="spellStart"/>
      <w:r w:rsidRPr="00467DB0">
        <w:t>Modtagere</w:t>
      </w:r>
      <w:proofErr w:type="spellEnd"/>
      <w:r w:rsidRPr="00467DB0">
        <w:t xml:space="preserve"> </w:t>
      </w:r>
      <w:proofErr w:type="spellStart"/>
      <w:r w:rsidRPr="00467DB0">
        <w:t>af</w:t>
      </w:r>
      <w:proofErr w:type="spellEnd"/>
      <w:r w:rsidRPr="00467DB0">
        <w:t xml:space="preserve"> EU-finansiering skal </w:t>
      </w:r>
      <w:proofErr w:type="spellStart"/>
      <w:r w:rsidRPr="00467DB0">
        <w:t>anerkende</w:t>
      </w:r>
      <w:proofErr w:type="spellEnd"/>
      <w:r w:rsidRPr="00467DB0">
        <w:t xml:space="preserve"> denne finansierings </w:t>
      </w:r>
      <w:proofErr w:type="spellStart"/>
      <w:r w:rsidRPr="00467DB0">
        <w:t>oprindelse</w:t>
      </w:r>
      <w:proofErr w:type="spellEnd"/>
      <w:r w:rsidRPr="00467DB0">
        <w:t xml:space="preserve"> og sikre </w:t>
      </w:r>
      <w:proofErr w:type="spellStart"/>
      <w:r w:rsidRPr="00467DB0">
        <w:t>synlighed</w:t>
      </w:r>
      <w:proofErr w:type="spellEnd"/>
      <w:r w:rsidRPr="00467DB0">
        <w:t xml:space="preserve"> </w:t>
      </w:r>
      <w:proofErr w:type="spellStart"/>
      <w:r w:rsidRPr="00467DB0">
        <w:t>af</w:t>
      </w:r>
      <w:proofErr w:type="spellEnd"/>
      <w:r w:rsidRPr="00467DB0">
        <w:t xml:space="preserve"> EU-finansieringen, na</w:t>
      </w:r>
      <w:r w:rsidRPr="00467DB0">
        <w:t xml:space="preserve">vnlig når de promoverer </w:t>
      </w:r>
      <w:proofErr w:type="spellStart"/>
      <w:r w:rsidRPr="00467DB0">
        <w:t>tiltagene</w:t>
      </w:r>
      <w:proofErr w:type="spellEnd"/>
      <w:r w:rsidRPr="00467DB0">
        <w:t xml:space="preserve"> og deres resultater ved at </w:t>
      </w:r>
      <w:proofErr w:type="spellStart"/>
      <w:r w:rsidRPr="00467DB0">
        <w:t>give</w:t>
      </w:r>
      <w:proofErr w:type="spellEnd"/>
      <w:r w:rsidRPr="00467DB0">
        <w:t xml:space="preserve"> </w:t>
      </w:r>
      <w:proofErr w:type="spellStart"/>
      <w:r w:rsidRPr="00467DB0">
        <w:t>sammenhængende</w:t>
      </w:r>
      <w:proofErr w:type="spellEnd"/>
      <w:r w:rsidRPr="00467DB0">
        <w:t xml:space="preserve">, effektive og </w:t>
      </w:r>
      <w:proofErr w:type="spellStart"/>
      <w:r w:rsidRPr="00467DB0">
        <w:t>forholdsmæssige</w:t>
      </w:r>
      <w:proofErr w:type="spellEnd"/>
      <w:r w:rsidRPr="00467DB0">
        <w:t xml:space="preserve"> målrettede </w:t>
      </w:r>
      <w:proofErr w:type="spellStart"/>
      <w:r w:rsidRPr="00467DB0">
        <w:t>oplysninger</w:t>
      </w:r>
      <w:proofErr w:type="spellEnd"/>
      <w:r w:rsidRPr="00467DB0">
        <w:t xml:space="preserve"> til </w:t>
      </w:r>
      <w:proofErr w:type="spellStart"/>
      <w:r w:rsidRPr="00467DB0">
        <w:t>forskellige</w:t>
      </w:r>
      <w:proofErr w:type="spellEnd"/>
      <w:r w:rsidRPr="00467DB0">
        <w:t xml:space="preserve"> </w:t>
      </w:r>
      <w:proofErr w:type="spellStart"/>
      <w:r w:rsidRPr="00467DB0">
        <w:t>modtagergrupper</w:t>
      </w:r>
      <w:proofErr w:type="spellEnd"/>
      <w:r w:rsidRPr="00467DB0">
        <w:t xml:space="preserve">, herunder </w:t>
      </w:r>
      <w:proofErr w:type="spellStart"/>
      <w:r w:rsidRPr="00467DB0">
        <w:t>medierne</w:t>
      </w:r>
      <w:proofErr w:type="spellEnd"/>
      <w:r w:rsidRPr="00467DB0">
        <w:t xml:space="preserve"> og </w:t>
      </w:r>
      <w:proofErr w:type="spellStart"/>
      <w:r w:rsidRPr="00467DB0">
        <w:t>offentligheden</w:t>
      </w:r>
      <w:proofErr w:type="spellEnd"/>
      <w:r w:rsidRPr="00467DB0">
        <w:t>.</w:t>
      </w:r>
    </w:p>
    <w:p w14:paraId="64AB2D40" w14:textId="77777777" w:rsidR="00000000" w:rsidRPr="00467DB0" w:rsidRDefault="00693D67" w:rsidP="00467DB0">
      <w:pPr>
        <w:pStyle w:val="friliste"/>
      </w:pPr>
      <w:r w:rsidRPr="00467DB0">
        <w:t>2.</w:t>
      </w:r>
      <w:r w:rsidRPr="00467DB0">
        <w:tab/>
      </w:r>
      <w:proofErr w:type="spellStart"/>
      <w:r w:rsidRPr="00467DB0">
        <w:t>Kommissionen</w:t>
      </w:r>
      <w:proofErr w:type="spellEnd"/>
      <w:r w:rsidRPr="00467DB0">
        <w:t xml:space="preserve"> </w:t>
      </w:r>
      <w:proofErr w:type="spellStart"/>
      <w:r w:rsidRPr="00467DB0">
        <w:t>gennemfører</w:t>
      </w:r>
      <w:proofErr w:type="spellEnd"/>
      <w:r w:rsidRPr="00467DB0">
        <w:t xml:space="preserve"> </w:t>
      </w:r>
      <w:proofErr w:type="spellStart"/>
      <w:r w:rsidRPr="00467DB0">
        <w:t>informations</w:t>
      </w:r>
      <w:proofErr w:type="spellEnd"/>
      <w:r w:rsidRPr="00467DB0">
        <w:t xml:space="preserve">- og </w:t>
      </w:r>
      <w:proofErr w:type="spellStart"/>
      <w:r w:rsidRPr="00467DB0">
        <w:t>kommuni</w:t>
      </w:r>
      <w:r w:rsidRPr="00467DB0">
        <w:t>kationstiltag</w:t>
      </w:r>
      <w:proofErr w:type="spellEnd"/>
      <w:r w:rsidRPr="00467DB0">
        <w:t xml:space="preserve"> </w:t>
      </w:r>
      <w:proofErr w:type="gramStart"/>
      <w:r w:rsidRPr="00467DB0">
        <w:t>vedrørende</w:t>
      </w:r>
      <w:proofErr w:type="gramEnd"/>
      <w:r w:rsidRPr="00467DB0">
        <w:t xml:space="preserve"> programmet og vedrørende de </w:t>
      </w:r>
      <w:proofErr w:type="spellStart"/>
      <w:r w:rsidRPr="00467DB0">
        <w:t>opnåede</w:t>
      </w:r>
      <w:proofErr w:type="spellEnd"/>
      <w:r w:rsidRPr="00467DB0">
        <w:t xml:space="preserve"> resultater. De finansielle midler, der er tildelt programmet, skal også </w:t>
      </w:r>
      <w:proofErr w:type="spellStart"/>
      <w:r w:rsidRPr="00467DB0">
        <w:t>bidrage</w:t>
      </w:r>
      <w:proofErr w:type="spellEnd"/>
      <w:r w:rsidRPr="00467DB0">
        <w:t xml:space="preserve"> til formidling </w:t>
      </w:r>
      <w:proofErr w:type="spellStart"/>
      <w:r w:rsidRPr="00467DB0">
        <w:t>af</w:t>
      </w:r>
      <w:proofErr w:type="spellEnd"/>
      <w:r w:rsidRPr="00467DB0">
        <w:t xml:space="preserve"> Unionens politiske prioriteter, for så vidt som disse prioriteter vedrører målene omhandlet i </w:t>
      </w:r>
      <w:proofErr w:type="spellStart"/>
      <w:r w:rsidRPr="00467DB0">
        <w:t>art</w:t>
      </w:r>
      <w:r w:rsidRPr="00467DB0">
        <w:t>ikel</w:t>
      </w:r>
      <w:proofErr w:type="spellEnd"/>
      <w:r w:rsidRPr="00467DB0">
        <w:t xml:space="preserve"> 4.</w:t>
      </w:r>
    </w:p>
    <w:p w14:paraId="15F3DFBF" w14:textId="77777777" w:rsidR="00000000" w:rsidRPr="00467DB0" w:rsidRDefault="00693D67" w:rsidP="00467DB0">
      <w:pPr>
        <w:pStyle w:val="friliste"/>
      </w:pPr>
      <w:r w:rsidRPr="00467DB0">
        <w:t>3.</w:t>
      </w:r>
      <w:r w:rsidRPr="00467DB0">
        <w:tab/>
        <w:t xml:space="preserve">Agenturet kan selv </w:t>
      </w:r>
      <w:proofErr w:type="spellStart"/>
      <w:r w:rsidRPr="00467DB0">
        <w:t>tage</w:t>
      </w:r>
      <w:proofErr w:type="spellEnd"/>
      <w:r w:rsidRPr="00467DB0">
        <w:t xml:space="preserve"> initiativ til kommunikationsaktiviteter </w:t>
      </w:r>
      <w:proofErr w:type="spellStart"/>
      <w:r w:rsidRPr="00467DB0">
        <w:t>inden</w:t>
      </w:r>
      <w:proofErr w:type="spellEnd"/>
      <w:r w:rsidRPr="00467DB0">
        <w:t xml:space="preserve"> for </w:t>
      </w:r>
      <w:proofErr w:type="spellStart"/>
      <w:r w:rsidRPr="00467DB0">
        <w:t>sit</w:t>
      </w:r>
      <w:proofErr w:type="spellEnd"/>
      <w:r w:rsidRPr="00467DB0">
        <w:t xml:space="preserve"> </w:t>
      </w:r>
      <w:proofErr w:type="spellStart"/>
      <w:r w:rsidRPr="00467DB0">
        <w:t>kompetenceområde</w:t>
      </w:r>
      <w:proofErr w:type="spellEnd"/>
      <w:r w:rsidRPr="00467DB0">
        <w:t xml:space="preserve">. Tildelingen </w:t>
      </w:r>
      <w:proofErr w:type="spellStart"/>
      <w:r w:rsidRPr="00467DB0">
        <w:t>af</w:t>
      </w:r>
      <w:proofErr w:type="spellEnd"/>
      <w:r w:rsidRPr="00467DB0">
        <w:t xml:space="preserve"> </w:t>
      </w:r>
      <w:proofErr w:type="spellStart"/>
      <w:r w:rsidRPr="00467DB0">
        <w:t>ressourcer</w:t>
      </w:r>
      <w:proofErr w:type="spellEnd"/>
      <w:r w:rsidRPr="00467DB0">
        <w:t xml:space="preserve"> til kommunikationsaktiviteter må ikke skade den effektive </w:t>
      </w:r>
      <w:proofErr w:type="spellStart"/>
      <w:r w:rsidRPr="00467DB0">
        <w:t>udførelse</w:t>
      </w:r>
      <w:proofErr w:type="spellEnd"/>
      <w:r w:rsidRPr="00467DB0">
        <w:t xml:space="preserve"> </w:t>
      </w:r>
      <w:proofErr w:type="spellStart"/>
      <w:r w:rsidRPr="00467DB0">
        <w:t>af</w:t>
      </w:r>
      <w:proofErr w:type="spellEnd"/>
      <w:r w:rsidRPr="00467DB0">
        <w:t xml:space="preserve"> de </w:t>
      </w:r>
      <w:proofErr w:type="spellStart"/>
      <w:r w:rsidRPr="00467DB0">
        <w:t>opgaver</w:t>
      </w:r>
      <w:proofErr w:type="spellEnd"/>
      <w:r w:rsidRPr="00467DB0">
        <w:t xml:space="preserve">, der er omhandlet i </w:t>
      </w:r>
      <w:proofErr w:type="spellStart"/>
      <w:r w:rsidRPr="00467DB0">
        <w:t>artikel</w:t>
      </w:r>
      <w:proofErr w:type="spellEnd"/>
      <w:r w:rsidRPr="00467DB0">
        <w:t xml:space="preserve"> 29. Sådanne k</w:t>
      </w:r>
      <w:r w:rsidRPr="00467DB0">
        <w:t xml:space="preserve">ommunikationsaktiviteter skal </w:t>
      </w:r>
      <w:proofErr w:type="spellStart"/>
      <w:r w:rsidRPr="00467DB0">
        <w:t>udføres</w:t>
      </w:r>
      <w:proofErr w:type="spellEnd"/>
      <w:r w:rsidRPr="00467DB0">
        <w:t xml:space="preserve"> i overensstemmelse med de relevante </w:t>
      </w:r>
      <w:proofErr w:type="spellStart"/>
      <w:r w:rsidRPr="00467DB0">
        <w:t>kommunikations</w:t>
      </w:r>
      <w:proofErr w:type="spellEnd"/>
      <w:r w:rsidRPr="00467DB0">
        <w:t xml:space="preserve">- og formidlingsplaner, som bestyrelsen har </w:t>
      </w:r>
      <w:proofErr w:type="spellStart"/>
      <w:r w:rsidRPr="00467DB0">
        <w:t>vedtaget</w:t>
      </w:r>
      <w:proofErr w:type="spellEnd"/>
      <w:r w:rsidRPr="00467DB0">
        <w:t>.</w:t>
      </w:r>
    </w:p>
    <w:p w14:paraId="47DB60A7" w14:textId="77777777" w:rsidR="00000000" w:rsidRPr="00467DB0" w:rsidRDefault="00693D67" w:rsidP="00467DB0">
      <w:pPr>
        <w:pStyle w:val="avsnitt-undertittel"/>
      </w:pPr>
      <w:proofErr w:type="spellStart"/>
      <w:r w:rsidRPr="00467DB0">
        <w:t>Artikel</w:t>
      </w:r>
      <w:proofErr w:type="spellEnd"/>
      <w:r w:rsidRPr="00467DB0">
        <w:t xml:space="preserve"> 109</w:t>
      </w:r>
    </w:p>
    <w:p w14:paraId="4617BE56" w14:textId="77777777" w:rsidR="00000000" w:rsidRPr="00467DB0" w:rsidRDefault="00693D67" w:rsidP="00467DB0">
      <w:pPr>
        <w:pStyle w:val="Undertittel"/>
      </w:pPr>
      <w:proofErr w:type="spellStart"/>
      <w:r w:rsidRPr="00467DB0">
        <w:t>Ophævelse</w:t>
      </w:r>
      <w:proofErr w:type="spellEnd"/>
    </w:p>
    <w:p w14:paraId="17EDB0A7" w14:textId="77777777" w:rsidR="00000000" w:rsidRPr="00467DB0" w:rsidRDefault="00693D67" w:rsidP="00467DB0">
      <w:pPr>
        <w:pStyle w:val="friliste"/>
      </w:pPr>
      <w:r w:rsidRPr="00467DB0">
        <w:t>1.</w:t>
      </w:r>
      <w:r w:rsidRPr="00467DB0">
        <w:tab/>
        <w:t xml:space="preserve">Forordning (EU) nr. 912/2010, (EU) nr. 1285/2013 og (EU) nr. 377/2014 og </w:t>
      </w:r>
      <w:proofErr w:type="spellStart"/>
      <w:r w:rsidRPr="00467DB0">
        <w:t>afgørelse</w:t>
      </w:r>
      <w:proofErr w:type="spellEnd"/>
      <w:r w:rsidRPr="00467DB0">
        <w:t xml:space="preserve"> nr. 54</w:t>
      </w:r>
      <w:r w:rsidRPr="00467DB0">
        <w:t xml:space="preserve">1/2014/EU </w:t>
      </w:r>
      <w:proofErr w:type="spellStart"/>
      <w:r w:rsidRPr="00467DB0">
        <w:t>ophæves</w:t>
      </w:r>
      <w:proofErr w:type="spellEnd"/>
      <w:r w:rsidRPr="00467DB0">
        <w:t xml:space="preserve"> med virkning fra den 1. januar 2021.</w:t>
      </w:r>
    </w:p>
    <w:p w14:paraId="149EAE1E" w14:textId="77777777" w:rsidR="00000000" w:rsidRPr="00467DB0" w:rsidRDefault="00693D67" w:rsidP="00467DB0">
      <w:pPr>
        <w:pStyle w:val="friliste"/>
      </w:pPr>
      <w:r w:rsidRPr="00467DB0">
        <w:t>2.</w:t>
      </w:r>
      <w:r w:rsidRPr="00467DB0">
        <w:tab/>
        <w:t xml:space="preserve">Henvisninger til de </w:t>
      </w:r>
      <w:proofErr w:type="spellStart"/>
      <w:r w:rsidRPr="00467DB0">
        <w:t>ophævede</w:t>
      </w:r>
      <w:proofErr w:type="spellEnd"/>
      <w:r w:rsidRPr="00467DB0">
        <w:t xml:space="preserve"> </w:t>
      </w:r>
      <w:proofErr w:type="spellStart"/>
      <w:r w:rsidRPr="00467DB0">
        <w:t>retsakter</w:t>
      </w:r>
      <w:proofErr w:type="spellEnd"/>
      <w:r w:rsidRPr="00467DB0">
        <w:t xml:space="preserve"> </w:t>
      </w:r>
      <w:proofErr w:type="spellStart"/>
      <w:r w:rsidRPr="00467DB0">
        <w:t>gælder</w:t>
      </w:r>
      <w:proofErr w:type="spellEnd"/>
      <w:r w:rsidRPr="00467DB0">
        <w:t xml:space="preserve"> som henvisninger til denne forordning.</w:t>
      </w:r>
    </w:p>
    <w:p w14:paraId="268A7843" w14:textId="77777777" w:rsidR="00000000" w:rsidRPr="00467DB0" w:rsidRDefault="00693D67" w:rsidP="00467DB0">
      <w:pPr>
        <w:pStyle w:val="avsnitt-undertittel"/>
      </w:pPr>
      <w:proofErr w:type="spellStart"/>
      <w:r w:rsidRPr="00467DB0">
        <w:t>Artikel</w:t>
      </w:r>
      <w:proofErr w:type="spellEnd"/>
      <w:r w:rsidRPr="00467DB0">
        <w:t xml:space="preserve"> 110</w:t>
      </w:r>
    </w:p>
    <w:p w14:paraId="29346122" w14:textId="77777777" w:rsidR="00000000" w:rsidRPr="00467DB0" w:rsidRDefault="00693D67" w:rsidP="00467DB0">
      <w:pPr>
        <w:pStyle w:val="Undertittel"/>
      </w:pPr>
      <w:r w:rsidRPr="00467DB0">
        <w:t xml:space="preserve">Overgangsbestemmelser og kontinuitet i </w:t>
      </w:r>
      <w:proofErr w:type="spellStart"/>
      <w:r w:rsidRPr="00467DB0">
        <w:t>tjenesterne</w:t>
      </w:r>
      <w:proofErr w:type="spellEnd"/>
      <w:r w:rsidRPr="00467DB0">
        <w:t xml:space="preserve"> efter 2027</w:t>
      </w:r>
    </w:p>
    <w:p w14:paraId="597F1111" w14:textId="77777777" w:rsidR="00000000" w:rsidRPr="00467DB0" w:rsidRDefault="00693D67" w:rsidP="00467DB0">
      <w:pPr>
        <w:pStyle w:val="friliste"/>
      </w:pPr>
      <w:r w:rsidRPr="00467DB0">
        <w:t>1.</w:t>
      </w:r>
      <w:r w:rsidRPr="00467DB0">
        <w:tab/>
        <w:t>Denne forordning påvirker ikke vider</w:t>
      </w:r>
      <w:r w:rsidRPr="00467DB0">
        <w:t xml:space="preserve">eførelsen eller eventuelle </w:t>
      </w:r>
      <w:proofErr w:type="spellStart"/>
      <w:r w:rsidRPr="00467DB0">
        <w:t>ændringer</w:t>
      </w:r>
      <w:proofErr w:type="spellEnd"/>
      <w:r w:rsidRPr="00467DB0">
        <w:t xml:space="preserve"> </w:t>
      </w:r>
      <w:proofErr w:type="spellStart"/>
      <w:r w:rsidRPr="00467DB0">
        <w:t>af</w:t>
      </w:r>
      <w:proofErr w:type="spellEnd"/>
      <w:r w:rsidRPr="00467DB0">
        <w:t xml:space="preserve"> foranstaltninger </w:t>
      </w:r>
      <w:proofErr w:type="spellStart"/>
      <w:r w:rsidRPr="00467DB0">
        <w:t>iværksat</w:t>
      </w:r>
      <w:proofErr w:type="spellEnd"/>
      <w:r w:rsidRPr="00467DB0">
        <w:t xml:space="preserve"> i henhold til forordning (EU) nr. 912/2010, (EU) nr. 1285/2013 og (EU) nr. 377/2014 og </w:t>
      </w:r>
      <w:proofErr w:type="spellStart"/>
      <w:r w:rsidRPr="00467DB0">
        <w:t>afgørelse</w:t>
      </w:r>
      <w:proofErr w:type="spellEnd"/>
      <w:r w:rsidRPr="00467DB0">
        <w:t xml:space="preserve"> nr. 541/2014/EU, som </w:t>
      </w:r>
      <w:proofErr w:type="spellStart"/>
      <w:r w:rsidRPr="00467DB0">
        <w:t>fortsat</w:t>
      </w:r>
      <w:proofErr w:type="spellEnd"/>
      <w:r w:rsidRPr="00467DB0">
        <w:t xml:space="preserve"> </w:t>
      </w:r>
      <w:proofErr w:type="spellStart"/>
      <w:r w:rsidRPr="00467DB0">
        <w:t>finder</w:t>
      </w:r>
      <w:proofErr w:type="spellEnd"/>
      <w:r w:rsidRPr="00467DB0">
        <w:t xml:space="preserve"> </w:t>
      </w:r>
      <w:proofErr w:type="gramStart"/>
      <w:r w:rsidRPr="00467DB0">
        <w:t>anvendelse</w:t>
      </w:r>
      <w:proofErr w:type="gramEnd"/>
      <w:r w:rsidRPr="00467DB0">
        <w:t xml:space="preserve"> på de </w:t>
      </w:r>
      <w:proofErr w:type="spellStart"/>
      <w:r w:rsidRPr="00467DB0">
        <w:t>pågældende</w:t>
      </w:r>
      <w:proofErr w:type="spellEnd"/>
      <w:r w:rsidRPr="00467DB0">
        <w:t xml:space="preserve"> foranstaltninger, </w:t>
      </w:r>
      <w:proofErr w:type="spellStart"/>
      <w:r w:rsidRPr="00467DB0">
        <w:t>indtil</w:t>
      </w:r>
      <w:proofErr w:type="spellEnd"/>
      <w:r w:rsidRPr="00467DB0">
        <w:t xml:space="preserve"> de </w:t>
      </w:r>
      <w:proofErr w:type="spellStart"/>
      <w:r w:rsidRPr="00467DB0">
        <w:t>a</w:t>
      </w:r>
      <w:r w:rsidRPr="00467DB0">
        <w:t>fsluttes</w:t>
      </w:r>
      <w:proofErr w:type="spellEnd"/>
      <w:r w:rsidRPr="00467DB0">
        <w:t xml:space="preserve">. Navnlig skal det konsortium, der er </w:t>
      </w:r>
      <w:proofErr w:type="spellStart"/>
      <w:r w:rsidRPr="00467DB0">
        <w:t>nedsat</w:t>
      </w:r>
      <w:proofErr w:type="spellEnd"/>
      <w:r w:rsidRPr="00467DB0">
        <w:t xml:space="preserve"> i henhold til </w:t>
      </w:r>
      <w:proofErr w:type="spellStart"/>
      <w:r w:rsidRPr="00467DB0">
        <w:t>artikel</w:t>
      </w:r>
      <w:proofErr w:type="spellEnd"/>
      <w:r w:rsidRPr="00467DB0">
        <w:t xml:space="preserve"> 7, stk. 3, i </w:t>
      </w:r>
      <w:proofErr w:type="spellStart"/>
      <w:r w:rsidRPr="00467DB0">
        <w:t>afgørelse</w:t>
      </w:r>
      <w:proofErr w:type="spellEnd"/>
      <w:r w:rsidRPr="00467DB0">
        <w:t xml:space="preserve"> nr. 541/2014/EU, levere SST-tjenester </w:t>
      </w:r>
      <w:proofErr w:type="spellStart"/>
      <w:r w:rsidRPr="00467DB0">
        <w:t>indtil</w:t>
      </w:r>
      <w:proofErr w:type="spellEnd"/>
      <w:r w:rsidRPr="00467DB0">
        <w:t xml:space="preserve"> tre måneder efter, at de ansvarlige </w:t>
      </w:r>
      <w:proofErr w:type="spellStart"/>
      <w:r w:rsidRPr="00467DB0">
        <w:t>nationale</w:t>
      </w:r>
      <w:proofErr w:type="spellEnd"/>
      <w:r w:rsidRPr="00467DB0">
        <w:t xml:space="preserve"> </w:t>
      </w:r>
      <w:proofErr w:type="spellStart"/>
      <w:r w:rsidRPr="00467DB0">
        <w:t>enheder</w:t>
      </w:r>
      <w:proofErr w:type="spellEnd"/>
      <w:r w:rsidRPr="00467DB0">
        <w:t xml:space="preserve"> har undertegnet SST-</w:t>
      </w:r>
      <w:proofErr w:type="spellStart"/>
      <w:r w:rsidRPr="00467DB0">
        <w:t>partnerskabsaftalen</w:t>
      </w:r>
      <w:proofErr w:type="spellEnd"/>
      <w:r w:rsidRPr="00467DB0">
        <w:t xml:space="preserve"> omhandlet i nærvære</w:t>
      </w:r>
      <w:r w:rsidRPr="00467DB0">
        <w:t xml:space="preserve">nde forordnings </w:t>
      </w:r>
      <w:proofErr w:type="spellStart"/>
      <w:r w:rsidRPr="00467DB0">
        <w:t>artikel</w:t>
      </w:r>
      <w:proofErr w:type="spellEnd"/>
      <w:r w:rsidRPr="00467DB0">
        <w:t xml:space="preserve"> 58</w:t>
      </w:r>
    </w:p>
    <w:p w14:paraId="7ABEB075" w14:textId="77777777" w:rsidR="00000000" w:rsidRPr="00467DB0" w:rsidRDefault="00693D67" w:rsidP="00467DB0">
      <w:pPr>
        <w:pStyle w:val="friliste"/>
      </w:pPr>
      <w:r w:rsidRPr="00467DB0">
        <w:t>2.</w:t>
      </w:r>
      <w:r w:rsidRPr="00467DB0">
        <w:tab/>
        <w:t xml:space="preserve">Finansieringsrammen for programmet kan også </w:t>
      </w:r>
      <w:proofErr w:type="spellStart"/>
      <w:r w:rsidRPr="00467DB0">
        <w:t>dække</w:t>
      </w:r>
      <w:proofErr w:type="spellEnd"/>
      <w:r w:rsidRPr="00467DB0">
        <w:t xml:space="preserve"> de tekniske og administrative </w:t>
      </w:r>
      <w:proofErr w:type="spellStart"/>
      <w:r w:rsidRPr="00467DB0">
        <w:t>bistandsudgifter</w:t>
      </w:r>
      <w:proofErr w:type="spellEnd"/>
      <w:r w:rsidRPr="00467DB0">
        <w:t xml:space="preserve">, der er nødvendige for at sikre overgangen </w:t>
      </w:r>
      <w:proofErr w:type="spellStart"/>
      <w:r w:rsidRPr="00467DB0">
        <w:t>mellem</w:t>
      </w:r>
      <w:proofErr w:type="spellEnd"/>
      <w:r w:rsidRPr="00467DB0">
        <w:t xml:space="preserve"> programmet og de foran</w:t>
      </w:r>
      <w:r w:rsidRPr="00467DB0">
        <w:lastRenderedPageBreak/>
        <w:t xml:space="preserve">staltninger, der er </w:t>
      </w:r>
      <w:proofErr w:type="spellStart"/>
      <w:r w:rsidRPr="00467DB0">
        <w:t>vedtaget</w:t>
      </w:r>
      <w:proofErr w:type="spellEnd"/>
      <w:r w:rsidRPr="00467DB0">
        <w:t xml:space="preserve"> i henhold til forordning (EU</w:t>
      </w:r>
      <w:r w:rsidRPr="00467DB0">
        <w:t xml:space="preserve">) nr. 1285/2013 og (EU) nr. 377/2014 og </w:t>
      </w:r>
      <w:proofErr w:type="spellStart"/>
      <w:r w:rsidRPr="00467DB0">
        <w:t>afgørelse</w:t>
      </w:r>
      <w:proofErr w:type="spellEnd"/>
      <w:r w:rsidRPr="00467DB0">
        <w:t xml:space="preserve"> nr. 541/2014/EU.</w:t>
      </w:r>
    </w:p>
    <w:p w14:paraId="00847F4E" w14:textId="77777777" w:rsidR="00000000" w:rsidRPr="00467DB0" w:rsidRDefault="00693D67" w:rsidP="00467DB0">
      <w:pPr>
        <w:pStyle w:val="friliste"/>
      </w:pPr>
      <w:r w:rsidRPr="00467DB0">
        <w:t>3.</w:t>
      </w:r>
      <w:r w:rsidRPr="00467DB0">
        <w:tab/>
        <w:t xml:space="preserve">Om </w:t>
      </w:r>
      <w:proofErr w:type="spellStart"/>
      <w:r w:rsidRPr="00467DB0">
        <w:t>nødvendigt</w:t>
      </w:r>
      <w:proofErr w:type="spellEnd"/>
      <w:r w:rsidRPr="00467DB0">
        <w:t xml:space="preserve"> kan der </w:t>
      </w:r>
      <w:proofErr w:type="spellStart"/>
      <w:r w:rsidRPr="00467DB0">
        <w:t>opføres</w:t>
      </w:r>
      <w:proofErr w:type="spellEnd"/>
      <w:r w:rsidRPr="00467DB0">
        <w:t xml:space="preserve"> bevillinger på Unionens </w:t>
      </w:r>
      <w:proofErr w:type="spellStart"/>
      <w:r w:rsidRPr="00467DB0">
        <w:t>budget</w:t>
      </w:r>
      <w:proofErr w:type="spellEnd"/>
      <w:r w:rsidRPr="00467DB0">
        <w:t xml:space="preserve"> </w:t>
      </w:r>
      <w:proofErr w:type="spellStart"/>
      <w:r w:rsidRPr="00467DB0">
        <w:t>ud</w:t>
      </w:r>
      <w:proofErr w:type="spellEnd"/>
      <w:r w:rsidRPr="00467DB0">
        <w:t xml:space="preserve"> over 2027 til </w:t>
      </w:r>
      <w:proofErr w:type="spellStart"/>
      <w:r w:rsidRPr="00467DB0">
        <w:t>dækning</w:t>
      </w:r>
      <w:proofErr w:type="spellEnd"/>
      <w:r w:rsidRPr="00467DB0">
        <w:t xml:space="preserve"> </w:t>
      </w:r>
      <w:proofErr w:type="spellStart"/>
      <w:r w:rsidRPr="00467DB0">
        <w:t>af</w:t>
      </w:r>
      <w:proofErr w:type="spellEnd"/>
      <w:r w:rsidRPr="00467DB0">
        <w:t xml:space="preserve"> de </w:t>
      </w:r>
      <w:proofErr w:type="spellStart"/>
      <w:r w:rsidRPr="00467DB0">
        <w:t>udgifter</w:t>
      </w:r>
      <w:proofErr w:type="spellEnd"/>
      <w:r w:rsidRPr="00467DB0">
        <w:t xml:space="preserve">, som er nødvendige for at </w:t>
      </w:r>
      <w:proofErr w:type="spellStart"/>
      <w:r w:rsidRPr="00467DB0">
        <w:t>opfylde</w:t>
      </w:r>
      <w:proofErr w:type="spellEnd"/>
      <w:r w:rsidRPr="00467DB0">
        <w:t xml:space="preserve"> de i </w:t>
      </w:r>
      <w:proofErr w:type="spellStart"/>
      <w:r w:rsidRPr="00467DB0">
        <w:t>artikel</w:t>
      </w:r>
      <w:proofErr w:type="spellEnd"/>
      <w:r w:rsidRPr="00467DB0">
        <w:t xml:space="preserve"> 4 omhandlede </w:t>
      </w:r>
      <w:proofErr w:type="spellStart"/>
      <w:r w:rsidRPr="00467DB0">
        <w:t>målsætninger</w:t>
      </w:r>
      <w:proofErr w:type="spellEnd"/>
      <w:r w:rsidRPr="00467DB0">
        <w:t>, til forvalt</w:t>
      </w:r>
      <w:r w:rsidRPr="00467DB0">
        <w:t xml:space="preserve">ning </w:t>
      </w:r>
      <w:proofErr w:type="spellStart"/>
      <w:r w:rsidRPr="00467DB0">
        <w:t>af</w:t>
      </w:r>
      <w:proofErr w:type="spellEnd"/>
      <w:r w:rsidRPr="00467DB0">
        <w:t xml:space="preserve"> foranstaltninger, som ikke er </w:t>
      </w:r>
      <w:proofErr w:type="spellStart"/>
      <w:r w:rsidRPr="00467DB0">
        <w:t>afsluttet</w:t>
      </w:r>
      <w:proofErr w:type="spellEnd"/>
      <w:r w:rsidRPr="00467DB0">
        <w:t xml:space="preserve"> senest ved programmets </w:t>
      </w:r>
      <w:proofErr w:type="spellStart"/>
      <w:r w:rsidRPr="00467DB0">
        <w:t>afslutning</w:t>
      </w:r>
      <w:proofErr w:type="spellEnd"/>
      <w:r w:rsidRPr="00467DB0">
        <w:t xml:space="preserve">, samt </w:t>
      </w:r>
      <w:proofErr w:type="spellStart"/>
      <w:r w:rsidRPr="00467DB0">
        <w:t>udgifter</w:t>
      </w:r>
      <w:proofErr w:type="spellEnd"/>
      <w:r w:rsidRPr="00467DB0">
        <w:t xml:space="preserve"> til </w:t>
      </w:r>
      <w:proofErr w:type="spellStart"/>
      <w:r w:rsidRPr="00467DB0">
        <w:t>dækning</w:t>
      </w:r>
      <w:proofErr w:type="spellEnd"/>
      <w:r w:rsidRPr="00467DB0">
        <w:t xml:space="preserve"> </w:t>
      </w:r>
      <w:proofErr w:type="spellStart"/>
      <w:r w:rsidRPr="00467DB0">
        <w:t>af</w:t>
      </w:r>
      <w:proofErr w:type="spellEnd"/>
      <w:r w:rsidRPr="00467DB0">
        <w:t xml:space="preserve"> kritiske </w:t>
      </w:r>
      <w:proofErr w:type="spellStart"/>
      <w:r w:rsidRPr="00467DB0">
        <w:t>operationelle</w:t>
      </w:r>
      <w:proofErr w:type="spellEnd"/>
      <w:r w:rsidRPr="00467DB0">
        <w:t xml:space="preserve"> aktiviteter og levering </w:t>
      </w:r>
      <w:proofErr w:type="spellStart"/>
      <w:r w:rsidRPr="00467DB0">
        <w:t>af</w:t>
      </w:r>
      <w:proofErr w:type="spellEnd"/>
      <w:r w:rsidRPr="00467DB0">
        <w:t xml:space="preserve"> </w:t>
      </w:r>
      <w:proofErr w:type="spellStart"/>
      <w:r w:rsidRPr="00467DB0">
        <w:t>tjenesteydelser</w:t>
      </w:r>
      <w:proofErr w:type="spellEnd"/>
      <w:r w:rsidRPr="00467DB0">
        <w:t xml:space="preserve">, herunder </w:t>
      </w:r>
      <w:proofErr w:type="spellStart"/>
      <w:r w:rsidRPr="00467DB0">
        <w:t>gennem</w:t>
      </w:r>
      <w:proofErr w:type="spellEnd"/>
      <w:r w:rsidRPr="00467DB0">
        <w:t xml:space="preserve"> den finansielle </w:t>
      </w:r>
      <w:proofErr w:type="spellStart"/>
      <w:r w:rsidRPr="00467DB0">
        <w:t>partnerskabsrammeaftale</w:t>
      </w:r>
      <w:proofErr w:type="spellEnd"/>
      <w:r w:rsidRPr="00467DB0">
        <w:t xml:space="preserve"> og </w:t>
      </w:r>
      <w:proofErr w:type="spellStart"/>
      <w:r w:rsidRPr="00467DB0">
        <w:t>bidragsaftaler</w:t>
      </w:r>
      <w:proofErr w:type="spellEnd"/>
      <w:r w:rsidRPr="00467DB0">
        <w:t>.</w:t>
      </w:r>
    </w:p>
    <w:p w14:paraId="76147E1E" w14:textId="77777777" w:rsidR="00000000" w:rsidRPr="00467DB0" w:rsidRDefault="00693D67" w:rsidP="00467DB0">
      <w:pPr>
        <w:pStyle w:val="avsnitt-undertittel"/>
      </w:pPr>
      <w:proofErr w:type="spellStart"/>
      <w:r w:rsidRPr="00467DB0">
        <w:t>Ar</w:t>
      </w:r>
      <w:r w:rsidRPr="00467DB0">
        <w:t>tikel</w:t>
      </w:r>
      <w:proofErr w:type="spellEnd"/>
      <w:r w:rsidRPr="00467DB0">
        <w:t xml:space="preserve"> 111</w:t>
      </w:r>
    </w:p>
    <w:p w14:paraId="0B373A3E" w14:textId="77777777" w:rsidR="00000000" w:rsidRPr="00467DB0" w:rsidRDefault="00693D67" w:rsidP="00467DB0">
      <w:pPr>
        <w:pStyle w:val="Undertittel"/>
      </w:pPr>
      <w:proofErr w:type="spellStart"/>
      <w:r w:rsidRPr="00467DB0">
        <w:t>Ikrafttræden</w:t>
      </w:r>
      <w:proofErr w:type="spellEnd"/>
      <w:r w:rsidRPr="00467DB0">
        <w:t xml:space="preserve"> og </w:t>
      </w:r>
      <w:proofErr w:type="gramStart"/>
      <w:r w:rsidRPr="00467DB0">
        <w:t>anvendelse</w:t>
      </w:r>
      <w:proofErr w:type="gramEnd"/>
    </w:p>
    <w:p w14:paraId="60C20668" w14:textId="77777777" w:rsidR="00000000" w:rsidRPr="00467DB0" w:rsidRDefault="00693D67" w:rsidP="00467DB0">
      <w:r w:rsidRPr="00467DB0">
        <w:t xml:space="preserve">Denne forordning </w:t>
      </w:r>
      <w:proofErr w:type="spellStart"/>
      <w:r w:rsidRPr="00467DB0">
        <w:t>træder</w:t>
      </w:r>
      <w:proofErr w:type="spellEnd"/>
      <w:r w:rsidRPr="00467DB0">
        <w:t xml:space="preserve"> i kraft på dagen for </w:t>
      </w:r>
      <w:proofErr w:type="spellStart"/>
      <w:r w:rsidRPr="00467DB0">
        <w:t>offentliggørelsen</w:t>
      </w:r>
      <w:proofErr w:type="spellEnd"/>
      <w:r w:rsidRPr="00467DB0">
        <w:t xml:space="preserve"> i </w:t>
      </w:r>
      <w:r w:rsidRPr="00467DB0">
        <w:rPr>
          <w:rStyle w:val="kursiv"/>
        </w:rPr>
        <w:t xml:space="preserve">Den </w:t>
      </w:r>
      <w:proofErr w:type="spellStart"/>
      <w:r w:rsidRPr="00467DB0">
        <w:rPr>
          <w:rStyle w:val="kursiv"/>
        </w:rPr>
        <w:t>Europæiske</w:t>
      </w:r>
      <w:proofErr w:type="spellEnd"/>
      <w:r w:rsidRPr="00467DB0">
        <w:rPr>
          <w:rStyle w:val="kursiv"/>
        </w:rPr>
        <w:t xml:space="preserve"> Unions Tidende</w:t>
      </w:r>
      <w:r w:rsidRPr="00467DB0">
        <w:t>.</w:t>
      </w:r>
    </w:p>
    <w:p w14:paraId="0E7CB23B" w14:textId="77777777" w:rsidR="00000000" w:rsidRPr="00467DB0" w:rsidRDefault="00693D67" w:rsidP="00467DB0">
      <w:r w:rsidRPr="00467DB0">
        <w:t xml:space="preserve">Den </w:t>
      </w:r>
      <w:proofErr w:type="spellStart"/>
      <w:r w:rsidRPr="00467DB0">
        <w:t>finder</w:t>
      </w:r>
      <w:proofErr w:type="spellEnd"/>
      <w:r w:rsidRPr="00467DB0">
        <w:t xml:space="preserve"> </w:t>
      </w:r>
      <w:proofErr w:type="gramStart"/>
      <w:r w:rsidRPr="00467DB0">
        <w:t>anvendelse</w:t>
      </w:r>
      <w:proofErr w:type="gramEnd"/>
      <w:r w:rsidRPr="00467DB0">
        <w:t xml:space="preserve"> fra den 1. januar 2021.</w:t>
      </w:r>
    </w:p>
    <w:p w14:paraId="60CE2ADE" w14:textId="77777777" w:rsidR="00000000" w:rsidRPr="00467DB0" w:rsidRDefault="00693D67" w:rsidP="00467DB0">
      <w:r w:rsidRPr="00467DB0">
        <w:t xml:space="preserve">Denne forordning er bindende i alle </w:t>
      </w:r>
      <w:proofErr w:type="spellStart"/>
      <w:r w:rsidRPr="00467DB0">
        <w:t>enkeltheder</w:t>
      </w:r>
      <w:proofErr w:type="spellEnd"/>
      <w:r w:rsidRPr="00467DB0">
        <w:t xml:space="preserve"> og </w:t>
      </w:r>
      <w:proofErr w:type="spellStart"/>
      <w:r w:rsidRPr="00467DB0">
        <w:t>gælder</w:t>
      </w:r>
      <w:proofErr w:type="spellEnd"/>
      <w:r w:rsidRPr="00467DB0">
        <w:t xml:space="preserve"> umiddelbart i hver medlemsstat.</w:t>
      </w:r>
    </w:p>
    <w:p w14:paraId="604F71A5" w14:textId="77777777" w:rsidR="00000000" w:rsidRPr="00467DB0" w:rsidRDefault="00693D67" w:rsidP="00467DB0">
      <w:proofErr w:type="spellStart"/>
      <w:r w:rsidRPr="00467DB0">
        <w:t>Udfærdiget</w:t>
      </w:r>
      <w:proofErr w:type="spellEnd"/>
      <w:r w:rsidRPr="00467DB0">
        <w:t xml:space="preserve"> i …, den …</w:t>
      </w:r>
    </w:p>
    <w:p w14:paraId="62C7AF77" w14:textId="77777777" w:rsidR="00000000" w:rsidRPr="00467DB0" w:rsidRDefault="00693D67" w:rsidP="00467DB0">
      <w:pPr>
        <w:pStyle w:val="Tabellnavn"/>
      </w:pPr>
      <w:r w:rsidRPr="00467DB0">
        <w:t>02N0xx1</w:t>
      </w:r>
    </w:p>
    <w:tbl>
      <w:tblPr>
        <w:tblStyle w:val="StandardTabell"/>
        <w:tblW w:w="0" w:type="auto"/>
        <w:tblLayout w:type="fixed"/>
        <w:tblLook w:val="04A0" w:firstRow="1" w:lastRow="0" w:firstColumn="1" w:lastColumn="0" w:noHBand="0" w:noVBand="1"/>
      </w:tblPr>
      <w:tblGrid>
        <w:gridCol w:w="4600"/>
        <w:gridCol w:w="4600"/>
      </w:tblGrid>
      <w:tr w:rsidR="00000000" w:rsidRPr="00467DB0" w14:paraId="24F50740" w14:textId="77777777" w:rsidTr="00467DB0">
        <w:trPr>
          <w:trHeight w:val="380"/>
        </w:trPr>
        <w:tc>
          <w:tcPr>
            <w:tcW w:w="4600" w:type="dxa"/>
            <w:shd w:val="clear" w:color="auto" w:fill="FFFFFF"/>
          </w:tcPr>
          <w:p w14:paraId="21A350FB" w14:textId="77777777" w:rsidR="00000000" w:rsidRPr="00467DB0" w:rsidRDefault="00693D67" w:rsidP="00467DB0">
            <w:r w:rsidRPr="00467DB0">
              <w:t>På Europa-Parlamentets vegne</w:t>
            </w:r>
          </w:p>
        </w:tc>
        <w:tc>
          <w:tcPr>
            <w:tcW w:w="4600" w:type="dxa"/>
          </w:tcPr>
          <w:p w14:paraId="1166847A" w14:textId="77777777" w:rsidR="00000000" w:rsidRPr="00467DB0" w:rsidRDefault="00693D67" w:rsidP="00467DB0">
            <w:r w:rsidRPr="00467DB0">
              <w:t>På Rådets vegne</w:t>
            </w:r>
          </w:p>
        </w:tc>
      </w:tr>
      <w:tr w:rsidR="00000000" w:rsidRPr="00467DB0" w14:paraId="27BF5A0D" w14:textId="77777777" w:rsidTr="00467DB0">
        <w:trPr>
          <w:trHeight w:val="380"/>
        </w:trPr>
        <w:tc>
          <w:tcPr>
            <w:tcW w:w="4600" w:type="dxa"/>
          </w:tcPr>
          <w:p w14:paraId="6723EE4D" w14:textId="77777777" w:rsidR="00000000" w:rsidRPr="00467DB0" w:rsidRDefault="00693D67" w:rsidP="00467DB0">
            <w:proofErr w:type="spellStart"/>
            <w:r w:rsidRPr="00467DB0">
              <w:rPr>
                <w:rStyle w:val="kursiv"/>
              </w:rPr>
              <w:t>Formand</w:t>
            </w:r>
            <w:proofErr w:type="spellEnd"/>
          </w:p>
        </w:tc>
        <w:tc>
          <w:tcPr>
            <w:tcW w:w="4600" w:type="dxa"/>
          </w:tcPr>
          <w:p w14:paraId="6879E7D2" w14:textId="77777777" w:rsidR="00000000" w:rsidRPr="00467DB0" w:rsidRDefault="00693D67" w:rsidP="00467DB0">
            <w:proofErr w:type="spellStart"/>
            <w:r w:rsidRPr="00467DB0">
              <w:rPr>
                <w:rStyle w:val="kursiv"/>
              </w:rPr>
              <w:t>Formand</w:t>
            </w:r>
            <w:proofErr w:type="spellEnd"/>
          </w:p>
        </w:tc>
      </w:tr>
      <w:tr w:rsidR="00000000" w:rsidRPr="00467DB0" w14:paraId="6BEF2396" w14:textId="77777777" w:rsidTr="00467DB0">
        <w:trPr>
          <w:trHeight w:val="380"/>
        </w:trPr>
        <w:tc>
          <w:tcPr>
            <w:tcW w:w="4600" w:type="dxa"/>
          </w:tcPr>
          <w:p w14:paraId="72EE7ABD" w14:textId="77777777" w:rsidR="00000000" w:rsidRPr="00467DB0" w:rsidRDefault="00693D67" w:rsidP="00467DB0">
            <w:r w:rsidRPr="00467DB0">
              <w:t>[…]</w:t>
            </w:r>
          </w:p>
        </w:tc>
        <w:tc>
          <w:tcPr>
            <w:tcW w:w="4600" w:type="dxa"/>
          </w:tcPr>
          <w:p w14:paraId="41E79295" w14:textId="77777777" w:rsidR="00000000" w:rsidRPr="00467DB0" w:rsidRDefault="00693D67" w:rsidP="00467DB0">
            <w:r w:rsidRPr="00467DB0">
              <w:t>[…]</w:t>
            </w:r>
          </w:p>
        </w:tc>
      </w:tr>
    </w:tbl>
    <w:p w14:paraId="503519F1" w14:textId="77777777" w:rsidR="00000000" w:rsidRPr="00467DB0" w:rsidRDefault="00693D67" w:rsidP="00467DB0"/>
    <w:p w14:paraId="2031147C" w14:textId="77777777" w:rsidR="00000000" w:rsidRPr="00467DB0" w:rsidRDefault="00693D67" w:rsidP="00467DB0">
      <w:pPr>
        <w:pStyle w:val="avsnitt-undertittel"/>
      </w:pPr>
      <w:r w:rsidRPr="00467DB0">
        <w:t>Bilag</w:t>
      </w:r>
    </w:p>
    <w:p w14:paraId="15EB9C09" w14:textId="77777777" w:rsidR="00000000" w:rsidRPr="00467DB0" w:rsidRDefault="00693D67" w:rsidP="00467DB0">
      <w:pPr>
        <w:pStyle w:val="Undertittel"/>
      </w:pPr>
      <w:proofErr w:type="spellStart"/>
      <w:r w:rsidRPr="00467DB0">
        <w:t>Nøgleindikatorer</w:t>
      </w:r>
      <w:proofErr w:type="spellEnd"/>
    </w:p>
    <w:p w14:paraId="0ACDC796" w14:textId="77777777" w:rsidR="00000000" w:rsidRPr="00467DB0" w:rsidRDefault="00693D67" w:rsidP="00467DB0">
      <w:proofErr w:type="spellStart"/>
      <w:r w:rsidRPr="00467DB0">
        <w:t>Nøg</w:t>
      </w:r>
      <w:r w:rsidRPr="00467DB0">
        <w:t>leindikatorer</w:t>
      </w:r>
      <w:proofErr w:type="spellEnd"/>
      <w:r w:rsidRPr="00467DB0">
        <w:t xml:space="preserve"> skal strukturere </w:t>
      </w:r>
      <w:proofErr w:type="spellStart"/>
      <w:r w:rsidRPr="00467DB0">
        <w:t>overvågningen</w:t>
      </w:r>
      <w:proofErr w:type="spellEnd"/>
      <w:r w:rsidRPr="00467DB0">
        <w:t xml:space="preserve"> </w:t>
      </w:r>
      <w:proofErr w:type="spellStart"/>
      <w:r w:rsidRPr="00467DB0">
        <w:t>af</w:t>
      </w:r>
      <w:proofErr w:type="spellEnd"/>
      <w:r w:rsidRPr="00467DB0">
        <w:t xml:space="preserve"> programmets </w:t>
      </w:r>
      <w:proofErr w:type="spellStart"/>
      <w:r w:rsidRPr="00467DB0">
        <w:t>præstation</w:t>
      </w:r>
      <w:proofErr w:type="spellEnd"/>
      <w:r w:rsidRPr="00467DB0">
        <w:t xml:space="preserve"> i forhold til de </w:t>
      </w:r>
      <w:proofErr w:type="spellStart"/>
      <w:r w:rsidRPr="00467DB0">
        <w:t>målsætninger</w:t>
      </w:r>
      <w:proofErr w:type="spellEnd"/>
      <w:r w:rsidRPr="00467DB0">
        <w:t xml:space="preserve">, der er omhandlet i </w:t>
      </w:r>
      <w:proofErr w:type="spellStart"/>
      <w:r w:rsidRPr="00467DB0">
        <w:t>artikel</w:t>
      </w:r>
      <w:proofErr w:type="spellEnd"/>
      <w:r w:rsidRPr="00467DB0">
        <w:t xml:space="preserve"> 4, med </w:t>
      </w:r>
      <w:proofErr w:type="spellStart"/>
      <w:r w:rsidRPr="00467DB0">
        <w:t>henblik</w:t>
      </w:r>
      <w:proofErr w:type="spellEnd"/>
      <w:r w:rsidRPr="00467DB0">
        <w:t xml:space="preserve"> på at minimere de administrative byrder og omkostninger.</w:t>
      </w:r>
    </w:p>
    <w:p w14:paraId="136E6F75" w14:textId="77777777" w:rsidR="00000000" w:rsidRPr="00467DB0" w:rsidRDefault="00693D67" w:rsidP="00467DB0">
      <w:pPr>
        <w:pStyle w:val="friliste"/>
      </w:pPr>
      <w:r w:rsidRPr="00467DB0">
        <w:t>1.</w:t>
      </w:r>
      <w:r w:rsidRPr="00467DB0">
        <w:tab/>
        <w:t xml:space="preserve">Med dette for </w:t>
      </w:r>
      <w:proofErr w:type="spellStart"/>
      <w:r w:rsidRPr="00467DB0">
        <w:t>øje</w:t>
      </w:r>
      <w:proofErr w:type="spellEnd"/>
      <w:r w:rsidRPr="00467DB0">
        <w:t xml:space="preserve"> og med </w:t>
      </w:r>
      <w:proofErr w:type="spellStart"/>
      <w:r w:rsidRPr="00467DB0">
        <w:t>henblik</w:t>
      </w:r>
      <w:proofErr w:type="spellEnd"/>
      <w:r w:rsidRPr="00467DB0">
        <w:t xml:space="preserve"> på den årlige rappo</w:t>
      </w:r>
      <w:r w:rsidRPr="00467DB0">
        <w:t xml:space="preserve">rtering vil der blive </w:t>
      </w:r>
      <w:proofErr w:type="spellStart"/>
      <w:r w:rsidRPr="00467DB0">
        <w:t>indsamlet</w:t>
      </w:r>
      <w:proofErr w:type="spellEnd"/>
      <w:r w:rsidRPr="00467DB0">
        <w:t xml:space="preserve"> data for så vidt angår følgende sæt </w:t>
      </w:r>
      <w:proofErr w:type="spellStart"/>
      <w:r w:rsidRPr="00467DB0">
        <w:t>af</w:t>
      </w:r>
      <w:proofErr w:type="spellEnd"/>
      <w:r w:rsidRPr="00467DB0">
        <w:t xml:space="preserve"> </w:t>
      </w:r>
      <w:proofErr w:type="spellStart"/>
      <w:r w:rsidRPr="00467DB0">
        <w:t>nøgleindikatorer</w:t>
      </w:r>
      <w:proofErr w:type="spellEnd"/>
      <w:r w:rsidRPr="00467DB0">
        <w:t xml:space="preserve">, for hvilke der i de </w:t>
      </w:r>
      <w:proofErr w:type="spellStart"/>
      <w:r w:rsidRPr="00467DB0">
        <w:t>aftaler</w:t>
      </w:r>
      <w:proofErr w:type="spellEnd"/>
      <w:r w:rsidRPr="00467DB0">
        <w:t xml:space="preserve">, der </w:t>
      </w:r>
      <w:proofErr w:type="spellStart"/>
      <w:r w:rsidRPr="00467DB0">
        <w:t>indgås</w:t>
      </w:r>
      <w:proofErr w:type="spellEnd"/>
      <w:r w:rsidRPr="00467DB0">
        <w:t xml:space="preserve"> med de bemyndigede </w:t>
      </w:r>
      <w:proofErr w:type="spellStart"/>
      <w:r w:rsidRPr="00467DB0">
        <w:t>enheder</w:t>
      </w:r>
      <w:proofErr w:type="spellEnd"/>
      <w:r w:rsidRPr="00467DB0">
        <w:t xml:space="preserve">, skal </w:t>
      </w:r>
      <w:proofErr w:type="spellStart"/>
      <w:r w:rsidRPr="00467DB0">
        <w:t>fastsættes</w:t>
      </w:r>
      <w:proofErr w:type="spellEnd"/>
      <w:r w:rsidRPr="00467DB0">
        <w:t xml:space="preserve"> </w:t>
      </w:r>
      <w:proofErr w:type="spellStart"/>
      <w:r w:rsidRPr="00467DB0">
        <w:t>gennemførelsesdetaljer</w:t>
      </w:r>
      <w:proofErr w:type="spellEnd"/>
      <w:r w:rsidRPr="00467DB0">
        <w:t xml:space="preserve">, såsom </w:t>
      </w:r>
      <w:proofErr w:type="spellStart"/>
      <w:r w:rsidRPr="00467DB0">
        <w:t>parametre</w:t>
      </w:r>
      <w:proofErr w:type="spellEnd"/>
      <w:r w:rsidRPr="00467DB0">
        <w:t xml:space="preserve">, tal og tilknyttede nominelle </w:t>
      </w:r>
      <w:proofErr w:type="spellStart"/>
      <w:r w:rsidRPr="00467DB0">
        <w:t>værdier</w:t>
      </w:r>
      <w:proofErr w:type="spellEnd"/>
      <w:r w:rsidRPr="00467DB0">
        <w:t xml:space="preserve"> og </w:t>
      </w:r>
      <w:proofErr w:type="spellStart"/>
      <w:r w:rsidRPr="00467DB0">
        <w:t>tæ</w:t>
      </w:r>
      <w:r w:rsidRPr="00467DB0">
        <w:t>rskelværdier</w:t>
      </w:r>
      <w:proofErr w:type="spellEnd"/>
      <w:r w:rsidRPr="00467DB0">
        <w:t xml:space="preserve">, herunder kvantitative og kvalitative </w:t>
      </w:r>
      <w:proofErr w:type="spellStart"/>
      <w:r w:rsidRPr="00467DB0">
        <w:t>tilfælde</w:t>
      </w:r>
      <w:proofErr w:type="spellEnd"/>
      <w:r w:rsidRPr="00467DB0">
        <w:t xml:space="preserve">, i henhold til de </w:t>
      </w:r>
      <w:proofErr w:type="spellStart"/>
      <w:r w:rsidRPr="00467DB0">
        <w:t>gældende</w:t>
      </w:r>
      <w:proofErr w:type="spellEnd"/>
      <w:r w:rsidRPr="00467DB0">
        <w:t xml:space="preserve"> missionskrav og de forventet </w:t>
      </w:r>
      <w:proofErr w:type="spellStart"/>
      <w:r w:rsidRPr="00467DB0">
        <w:t>præstation</w:t>
      </w:r>
      <w:proofErr w:type="spellEnd"/>
      <w:r w:rsidRPr="00467DB0">
        <w:t>:</w:t>
      </w:r>
    </w:p>
    <w:p w14:paraId="0EB68431"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målsætning</w:t>
      </w:r>
      <w:proofErr w:type="spellEnd"/>
      <w:r w:rsidRPr="00467DB0">
        <w:t xml:space="preserve"> som omhandlet i </w:t>
      </w:r>
      <w:proofErr w:type="spellStart"/>
      <w:r w:rsidRPr="00467DB0">
        <w:t>artikel</w:t>
      </w:r>
      <w:proofErr w:type="spellEnd"/>
      <w:r w:rsidRPr="00467DB0">
        <w:t> 4, stk. 2, litra a)</w:t>
      </w:r>
    </w:p>
    <w:p w14:paraId="0AFA177B" w14:textId="77777777" w:rsidR="00000000" w:rsidRPr="00467DB0" w:rsidRDefault="00693D67" w:rsidP="00467DB0">
      <w:pPr>
        <w:pStyle w:val="Listeavsnitt"/>
      </w:pPr>
      <w:r w:rsidRPr="00467DB0">
        <w:t xml:space="preserve">Indikator 1: </w:t>
      </w:r>
      <w:proofErr w:type="spellStart"/>
      <w:r w:rsidRPr="00467DB0">
        <w:t>Nøj</w:t>
      </w:r>
      <w:r w:rsidRPr="00467DB0">
        <w:t>agtighed</w:t>
      </w:r>
      <w:proofErr w:type="spellEnd"/>
      <w:r w:rsidRPr="00467DB0">
        <w:t xml:space="preserve"> </w:t>
      </w:r>
      <w:proofErr w:type="spellStart"/>
      <w:r w:rsidRPr="00467DB0">
        <w:t>af</w:t>
      </w:r>
      <w:proofErr w:type="spellEnd"/>
      <w:r w:rsidRPr="00467DB0">
        <w:t xml:space="preserve"> </w:t>
      </w:r>
      <w:proofErr w:type="spellStart"/>
      <w:r w:rsidRPr="00467DB0">
        <w:t>navigations</w:t>
      </w:r>
      <w:proofErr w:type="spellEnd"/>
      <w:r w:rsidRPr="00467DB0">
        <w:t xml:space="preserve">- og tidsbestemmelsestjenester </w:t>
      </w:r>
      <w:proofErr w:type="spellStart"/>
      <w:r w:rsidRPr="00467DB0">
        <w:t>leveret</w:t>
      </w:r>
      <w:proofErr w:type="spellEnd"/>
      <w:r w:rsidRPr="00467DB0">
        <w:t xml:space="preserve"> </w:t>
      </w:r>
      <w:proofErr w:type="spellStart"/>
      <w:r w:rsidRPr="00467DB0">
        <w:t>af</w:t>
      </w:r>
      <w:proofErr w:type="spellEnd"/>
      <w:r w:rsidRPr="00467DB0">
        <w:t xml:space="preserve"> Galileo og EGNOS separat</w:t>
      </w:r>
    </w:p>
    <w:p w14:paraId="37638EB2" w14:textId="77777777" w:rsidR="00000000" w:rsidRPr="00467DB0" w:rsidRDefault="00693D67" w:rsidP="00467DB0">
      <w:pPr>
        <w:pStyle w:val="Listeavsnitt"/>
      </w:pPr>
      <w:r w:rsidRPr="00467DB0">
        <w:t xml:space="preserve">Indikator 2: </w:t>
      </w:r>
      <w:proofErr w:type="spellStart"/>
      <w:r w:rsidRPr="00467DB0">
        <w:t>Tilgængelighed</w:t>
      </w:r>
      <w:proofErr w:type="spellEnd"/>
      <w:r w:rsidRPr="00467DB0">
        <w:t xml:space="preserve"> og kontinuitet </w:t>
      </w:r>
      <w:proofErr w:type="spellStart"/>
      <w:r w:rsidRPr="00467DB0">
        <w:t>af</w:t>
      </w:r>
      <w:proofErr w:type="spellEnd"/>
      <w:r w:rsidRPr="00467DB0">
        <w:t xml:space="preserve"> tjenester </w:t>
      </w:r>
      <w:proofErr w:type="spellStart"/>
      <w:r w:rsidRPr="00467DB0">
        <w:t>leveret</w:t>
      </w:r>
      <w:proofErr w:type="spellEnd"/>
      <w:r w:rsidRPr="00467DB0">
        <w:t xml:space="preserve"> </w:t>
      </w:r>
      <w:proofErr w:type="spellStart"/>
      <w:r w:rsidRPr="00467DB0">
        <w:t>af</w:t>
      </w:r>
      <w:proofErr w:type="spellEnd"/>
      <w:r w:rsidRPr="00467DB0">
        <w:t xml:space="preserve"> Galileo og EGNOS separat</w:t>
      </w:r>
    </w:p>
    <w:p w14:paraId="0166014F" w14:textId="77777777" w:rsidR="00000000" w:rsidRPr="00467DB0" w:rsidRDefault="00693D67" w:rsidP="00467DB0">
      <w:pPr>
        <w:pStyle w:val="Listeavsnitt"/>
      </w:pPr>
      <w:r w:rsidRPr="00467DB0">
        <w:lastRenderedPageBreak/>
        <w:t xml:space="preserve">Indikator 3: Den geografiske </w:t>
      </w:r>
      <w:proofErr w:type="spellStart"/>
      <w:r w:rsidRPr="00467DB0">
        <w:t>dækning</w:t>
      </w:r>
      <w:proofErr w:type="spellEnd"/>
      <w:r w:rsidRPr="00467DB0">
        <w:t xml:space="preserve"> </w:t>
      </w:r>
      <w:proofErr w:type="spellStart"/>
      <w:r w:rsidRPr="00467DB0">
        <w:t>af</w:t>
      </w:r>
      <w:proofErr w:type="spellEnd"/>
      <w:r w:rsidRPr="00467DB0">
        <w:t xml:space="preserve"> EGNOS-tjenester og antallet </w:t>
      </w:r>
      <w:proofErr w:type="spellStart"/>
      <w:r w:rsidRPr="00467DB0">
        <w:t>af</w:t>
      </w:r>
      <w:proofErr w:type="spellEnd"/>
      <w:r w:rsidRPr="00467DB0">
        <w:t xml:space="preserve"> offentliggjorte EGNOS-</w:t>
      </w:r>
      <w:proofErr w:type="spellStart"/>
      <w:r w:rsidRPr="00467DB0">
        <w:t>procedurer</w:t>
      </w:r>
      <w:proofErr w:type="spellEnd"/>
      <w:r w:rsidRPr="00467DB0">
        <w:t xml:space="preserve"> (både APV-I og LPV-200)</w:t>
      </w:r>
    </w:p>
    <w:p w14:paraId="414CE17B" w14:textId="77777777" w:rsidR="00000000" w:rsidRPr="00467DB0" w:rsidRDefault="00693D67" w:rsidP="00467DB0">
      <w:pPr>
        <w:pStyle w:val="Listeavsnitt"/>
      </w:pPr>
      <w:r w:rsidRPr="00467DB0">
        <w:t>Indikator 4: EU-</w:t>
      </w:r>
      <w:proofErr w:type="spellStart"/>
      <w:r w:rsidRPr="00467DB0">
        <w:t>brugertilfredshed</w:t>
      </w:r>
      <w:proofErr w:type="spellEnd"/>
      <w:r w:rsidRPr="00467DB0">
        <w:t xml:space="preserve"> med hensyn til Galileo- og EGNOS-tjenester</w:t>
      </w:r>
    </w:p>
    <w:p w14:paraId="3D7304DA" w14:textId="77777777" w:rsidR="00000000" w:rsidRPr="00467DB0" w:rsidRDefault="00693D67" w:rsidP="00467DB0">
      <w:pPr>
        <w:pStyle w:val="Listeavsnitt"/>
      </w:pPr>
      <w:r w:rsidRPr="00467DB0">
        <w:t xml:space="preserve">Indikator 5: Andel </w:t>
      </w:r>
      <w:proofErr w:type="spellStart"/>
      <w:r w:rsidRPr="00467DB0">
        <w:t>af</w:t>
      </w:r>
      <w:proofErr w:type="spellEnd"/>
      <w:r w:rsidRPr="00467DB0">
        <w:t xml:space="preserve"> Galileo- og EGNOS-kompatible </w:t>
      </w:r>
      <w:proofErr w:type="spellStart"/>
      <w:r w:rsidRPr="00467DB0">
        <w:t>modtagere</w:t>
      </w:r>
      <w:proofErr w:type="spellEnd"/>
      <w:r w:rsidRPr="00467DB0">
        <w:t xml:space="preserve"> på markedet for GNSS/SBAS-</w:t>
      </w:r>
      <w:proofErr w:type="spellStart"/>
      <w:r w:rsidRPr="00467DB0">
        <w:t>modtagere</w:t>
      </w:r>
      <w:proofErr w:type="spellEnd"/>
      <w:r w:rsidRPr="00467DB0">
        <w:t xml:space="preserve"> (globalt </w:t>
      </w:r>
      <w:proofErr w:type="spellStart"/>
      <w:r w:rsidRPr="00467DB0">
        <w:t>satellitnav</w:t>
      </w:r>
      <w:r w:rsidRPr="00467DB0">
        <w:t>igationssystem</w:t>
      </w:r>
      <w:proofErr w:type="spellEnd"/>
      <w:r w:rsidRPr="00467DB0">
        <w:t>/</w:t>
      </w:r>
      <w:proofErr w:type="spellStart"/>
      <w:r w:rsidRPr="00467DB0">
        <w:t>satellitbaserede</w:t>
      </w:r>
      <w:proofErr w:type="spellEnd"/>
      <w:r w:rsidRPr="00467DB0">
        <w:t xml:space="preserve"> </w:t>
      </w:r>
      <w:proofErr w:type="spellStart"/>
      <w:r w:rsidRPr="00467DB0">
        <w:t>forstærkningssystemer</w:t>
      </w:r>
      <w:proofErr w:type="spellEnd"/>
      <w:r w:rsidRPr="00467DB0">
        <w:t>) på verdensplan og i EU</w:t>
      </w:r>
    </w:p>
    <w:p w14:paraId="008DE3FC"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målsætning</w:t>
      </w:r>
      <w:proofErr w:type="spellEnd"/>
      <w:r w:rsidRPr="00467DB0">
        <w:t xml:space="preserve"> som omhandlet i </w:t>
      </w:r>
      <w:proofErr w:type="spellStart"/>
      <w:r w:rsidRPr="00467DB0">
        <w:t>artikel</w:t>
      </w:r>
      <w:proofErr w:type="spellEnd"/>
      <w:r w:rsidRPr="00467DB0">
        <w:t> 4, stk. 2, litra b)</w:t>
      </w:r>
    </w:p>
    <w:p w14:paraId="5E6FE448" w14:textId="77777777" w:rsidR="00000000" w:rsidRPr="00467DB0" w:rsidRDefault="00693D67" w:rsidP="00467DB0">
      <w:pPr>
        <w:pStyle w:val="Listeavsnitt"/>
      </w:pPr>
      <w:r w:rsidRPr="00467DB0">
        <w:t xml:space="preserve">Indikator 1: </w:t>
      </w:r>
      <w:proofErr w:type="spellStart"/>
      <w:r w:rsidRPr="00467DB0">
        <w:t>Antal</w:t>
      </w:r>
      <w:proofErr w:type="spellEnd"/>
      <w:r w:rsidRPr="00467DB0">
        <w:t xml:space="preserve"> EU-</w:t>
      </w:r>
      <w:proofErr w:type="spellStart"/>
      <w:r w:rsidRPr="00467DB0">
        <w:t>brugere</w:t>
      </w:r>
      <w:proofErr w:type="spellEnd"/>
      <w:r w:rsidRPr="00467DB0">
        <w:t xml:space="preserve"> </w:t>
      </w:r>
      <w:proofErr w:type="spellStart"/>
      <w:r w:rsidRPr="00467DB0">
        <w:t>af</w:t>
      </w:r>
      <w:proofErr w:type="spellEnd"/>
      <w:r w:rsidRPr="00467DB0">
        <w:t xml:space="preserve"> </w:t>
      </w:r>
      <w:proofErr w:type="spellStart"/>
      <w:r w:rsidRPr="00467DB0">
        <w:t>Copernicustjenester</w:t>
      </w:r>
      <w:proofErr w:type="spellEnd"/>
      <w:r w:rsidRPr="00467DB0">
        <w:t xml:space="preserve">, </w:t>
      </w:r>
      <w:proofErr w:type="spellStart"/>
      <w:r w:rsidRPr="00467DB0">
        <w:t>Copernicusdata</w:t>
      </w:r>
      <w:proofErr w:type="spellEnd"/>
      <w:r w:rsidRPr="00467DB0">
        <w:t xml:space="preserve"> og data- og </w:t>
      </w:r>
      <w:proofErr w:type="spellStart"/>
      <w:r w:rsidRPr="00467DB0">
        <w:t>informationsadgangstjenester</w:t>
      </w:r>
      <w:proofErr w:type="spellEnd"/>
      <w:r w:rsidRPr="00467DB0">
        <w:t xml:space="preserve"> </w:t>
      </w:r>
      <w:r w:rsidRPr="00467DB0">
        <w:t xml:space="preserve">(DIAS), der, hvor det er </w:t>
      </w:r>
      <w:proofErr w:type="spellStart"/>
      <w:r w:rsidRPr="00467DB0">
        <w:t>muligt</w:t>
      </w:r>
      <w:proofErr w:type="spellEnd"/>
      <w:r w:rsidRPr="00467DB0">
        <w:t xml:space="preserve">, </w:t>
      </w:r>
      <w:proofErr w:type="spellStart"/>
      <w:r w:rsidRPr="00467DB0">
        <w:t>indeholder</w:t>
      </w:r>
      <w:proofErr w:type="spellEnd"/>
      <w:r w:rsidRPr="00467DB0">
        <w:t xml:space="preserve"> </w:t>
      </w:r>
      <w:proofErr w:type="spellStart"/>
      <w:r w:rsidRPr="00467DB0">
        <w:t>oplysninger</w:t>
      </w:r>
      <w:proofErr w:type="spellEnd"/>
      <w:r w:rsidRPr="00467DB0">
        <w:t xml:space="preserve"> såsom </w:t>
      </w:r>
      <w:proofErr w:type="spellStart"/>
      <w:r w:rsidRPr="00467DB0">
        <w:t>brugertype</w:t>
      </w:r>
      <w:proofErr w:type="spellEnd"/>
      <w:r w:rsidRPr="00467DB0">
        <w:t>, geografisk fordeling og aktivitetssektor</w:t>
      </w:r>
    </w:p>
    <w:p w14:paraId="05957EAB" w14:textId="77777777" w:rsidR="00000000" w:rsidRPr="00467DB0" w:rsidRDefault="00693D67" w:rsidP="00467DB0">
      <w:pPr>
        <w:pStyle w:val="Listeavsnitt"/>
      </w:pPr>
      <w:r w:rsidRPr="00467DB0">
        <w:t xml:space="preserve">Indikator 1a: Hvor det er relevant, antallet </w:t>
      </w:r>
      <w:proofErr w:type="spellStart"/>
      <w:r w:rsidRPr="00467DB0">
        <w:t>af</w:t>
      </w:r>
      <w:proofErr w:type="spellEnd"/>
      <w:r w:rsidRPr="00467DB0">
        <w:t xml:space="preserve"> aktiveringer </w:t>
      </w:r>
      <w:proofErr w:type="spellStart"/>
      <w:r w:rsidRPr="00467DB0">
        <w:t>af</w:t>
      </w:r>
      <w:proofErr w:type="spellEnd"/>
      <w:r w:rsidRPr="00467DB0">
        <w:t xml:space="preserve"> </w:t>
      </w:r>
      <w:proofErr w:type="spellStart"/>
      <w:r w:rsidRPr="00467DB0">
        <w:t>Copernicustjenester</w:t>
      </w:r>
      <w:proofErr w:type="spellEnd"/>
      <w:r w:rsidRPr="00467DB0">
        <w:t xml:space="preserve">, der er </w:t>
      </w:r>
      <w:proofErr w:type="spellStart"/>
      <w:r w:rsidRPr="00467DB0">
        <w:t>ansøgt</w:t>
      </w:r>
      <w:proofErr w:type="spellEnd"/>
      <w:r w:rsidRPr="00467DB0">
        <w:t xml:space="preserve"> om eller </w:t>
      </w:r>
      <w:proofErr w:type="spellStart"/>
      <w:r w:rsidRPr="00467DB0">
        <w:t>leveret</w:t>
      </w:r>
      <w:proofErr w:type="spellEnd"/>
    </w:p>
    <w:p w14:paraId="53292343" w14:textId="77777777" w:rsidR="00000000" w:rsidRPr="00467DB0" w:rsidRDefault="00693D67" w:rsidP="00467DB0">
      <w:pPr>
        <w:pStyle w:val="Listeavsnitt"/>
      </w:pPr>
      <w:r w:rsidRPr="00467DB0">
        <w:t>Indikator 1b: EU-</w:t>
      </w:r>
      <w:proofErr w:type="spellStart"/>
      <w:r w:rsidRPr="00467DB0">
        <w:t>brug</w:t>
      </w:r>
      <w:r w:rsidRPr="00467DB0">
        <w:t>ertilfredshed</w:t>
      </w:r>
      <w:proofErr w:type="spellEnd"/>
      <w:r w:rsidRPr="00467DB0">
        <w:t xml:space="preserve"> med hensyn til </w:t>
      </w:r>
      <w:proofErr w:type="spellStart"/>
      <w:r w:rsidRPr="00467DB0">
        <w:t>Copernicustjenester</w:t>
      </w:r>
      <w:proofErr w:type="spellEnd"/>
      <w:r w:rsidRPr="00467DB0">
        <w:t xml:space="preserve"> og DIAS</w:t>
      </w:r>
    </w:p>
    <w:p w14:paraId="6C3AA392" w14:textId="77777777" w:rsidR="00000000" w:rsidRPr="00467DB0" w:rsidRDefault="00693D67" w:rsidP="00467DB0">
      <w:pPr>
        <w:pStyle w:val="Listeavsnitt"/>
      </w:pPr>
      <w:r w:rsidRPr="00467DB0">
        <w:t xml:space="preserve">Indikator 1c: </w:t>
      </w:r>
      <w:proofErr w:type="spellStart"/>
      <w:r w:rsidRPr="00467DB0">
        <w:t>Pålidelighed</w:t>
      </w:r>
      <w:proofErr w:type="spellEnd"/>
      <w:r w:rsidRPr="00467DB0">
        <w:t xml:space="preserve">, </w:t>
      </w:r>
      <w:proofErr w:type="spellStart"/>
      <w:r w:rsidRPr="00467DB0">
        <w:t>tilgængelighed</w:t>
      </w:r>
      <w:proofErr w:type="spellEnd"/>
      <w:r w:rsidRPr="00467DB0">
        <w:t xml:space="preserve"> og kontinuitet </w:t>
      </w:r>
      <w:proofErr w:type="spellStart"/>
      <w:r w:rsidRPr="00467DB0">
        <w:t>af</w:t>
      </w:r>
      <w:proofErr w:type="spellEnd"/>
      <w:r w:rsidRPr="00467DB0">
        <w:t xml:space="preserve"> </w:t>
      </w:r>
      <w:proofErr w:type="spellStart"/>
      <w:r w:rsidRPr="00467DB0">
        <w:t>Copernicustjenesterne</w:t>
      </w:r>
      <w:proofErr w:type="spellEnd"/>
      <w:r w:rsidRPr="00467DB0">
        <w:t xml:space="preserve"> og </w:t>
      </w:r>
      <w:proofErr w:type="spellStart"/>
      <w:r w:rsidRPr="00467DB0">
        <w:t>Copernicusdatastrømmen</w:t>
      </w:r>
      <w:proofErr w:type="spellEnd"/>
    </w:p>
    <w:p w14:paraId="20A1F6E7" w14:textId="77777777" w:rsidR="00000000" w:rsidRPr="00467DB0" w:rsidRDefault="00693D67" w:rsidP="00467DB0">
      <w:pPr>
        <w:pStyle w:val="Listeavsnitt"/>
      </w:pPr>
      <w:r w:rsidRPr="00467DB0">
        <w:t xml:space="preserve">Indikator 2: </w:t>
      </w:r>
      <w:proofErr w:type="spellStart"/>
      <w:r w:rsidRPr="00467DB0">
        <w:t>Antal</w:t>
      </w:r>
      <w:proofErr w:type="spellEnd"/>
      <w:r w:rsidRPr="00467DB0">
        <w:t xml:space="preserve"> nye </w:t>
      </w:r>
      <w:proofErr w:type="spellStart"/>
      <w:r w:rsidRPr="00467DB0">
        <w:t>informationsprodukter</w:t>
      </w:r>
      <w:proofErr w:type="spellEnd"/>
      <w:r w:rsidRPr="00467DB0">
        <w:t xml:space="preserve"> i hver </w:t>
      </w:r>
      <w:proofErr w:type="spellStart"/>
      <w:r w:rsidRPr="00467DB0">
        <w:t>Copernicustjenestes</w:t>
      </w:r>
      <w:proofErr w:type="spellEnd"/>
      <w:r w:rsidRPr="00467DB0">
        <w:t xml:space="preserve"> portefølje</w:t>
      </w:r>
    </w:p>
    <w:p w14:paraId="0089ADE6" w14:textId="77777777" w:rsidR="00000000" w:rsidRPr="00467DB0" w:rsidRDefault="00693D67" w:rsidP="00467DB0">
      <w:pPr>
        <w:pStyle w:val="Listeavsnitt"/>
      </w:pPr>
      <w:r w:rsidRPr="00467DB0">
        <w:t>I</w:t>
      </w:r>
      <w:r w:rsidRPr="00467DB0">
        <w:t xml:space="preserve">ndikator 3: </w:t>
      </w:r>
      <w:proofErr w:type="spellStart"/>
      <w:r w:rsidRPr="00467DB0">
        <w:t>Mængden</w:t>
      </w:r>
      <w:proofErr w:type="spellEnd"/>
      <w:r w:rsidRPr="00467DB0">
        <w:t xml:space="preserve"> </w:t>
      </w:r>
      <w:proofErr w:type="spellStart"/>
      <w:r w:rsidRPr="00467DB0">
        <w:t>af</w:t>
      </w:r>
      <w:proofErr w:type="spellEnd"/>
      <w:r w:rsidRPr="00467DB0">
        <w:t xml:space="preserve"> data </w:t>
      </w:r>
      <w:proofErr w:type="spellStart"/>
      <w:r w:rsidRPr="00467DB0">
        <w:t>genereret</w:t>
      </w:r>
      <w:proofErr w:type="spellEnd"/>
      <w:r w:rsidRPr="00467DB0">
        <w:t xml:space="preserve"> </w:t>
      </w:r>
      <w:proofErr w:type="spellStart"/>
      <w:r w:rsidRPr="00467DB0">
        <w:t>af</w:t>
      </w:r>
      <w:proofErr w:type="spellEnd"/>
      <w:r w:rsidRPr="00467DB0">
        <w:t xml:space="preserve"> </w:t>
      </w:r>
      <w:proofErr w:type="spellStart"/>
      <w:r w:rsidRPr="00467DB0">
        <w:t>Copernicussentineller</w:t>
      </w:r>
      <w:proofErr w:type="spellEnd"/>
    </w:p>
    <w:p w14:paraId="3CE109F3"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målsætning</w:t>
      </w:r>
      <w:proofErr w:type="spellEnd"/>
      <w:r w:rsidRPr="00467DB0">
        <w:t xml:space="preserve"> som omhandlet i </w:t>
      </w:r>
      <w:proofErr w:type="spellStart"/>
      <w:r w:rsidRPr="00467DB0">
        <w:t>artikel</w:t>
      </w:r>
      <w:proofErr w:type="spellEnd"/>
      <w:r w:rsidRPr="00467DB0">
        <w:t> 4, stk. 2, litra c)</w:t>
      </w:r>
    </w:p>
    <w:p w14:paraId="20478E5D" w14:textId="77777777" w:rsidR="00000000" w:rsidRPr="00467DB0" w:rsidRDefault="00693D67" w:rsidP="00467DB0">
      <w:pPr>
        <w:pStyle w:val="Listeavsnitt"/>
      </w:pPr>
      <w:r w:rsidRPr="00467DB0">
        <w:t xml:space="preserve">Indikator 1: </w:t>
      </w:r>
      <w:proofErr w:type="spellStart"/>
      <w:r w:rsidRPr="00467DB0">
        <w:t>Antal</w:t>
      </w:r>
      <w:proofErr w:type="spellEnd"/>
      <w:r w:rsidRPr="00467DB0">
        <w:t xml:space="preserve"> </w:t>
      </w:r>
      <w:proofErr w:type="spellStart"/>
      <w:r w:rsidRPr="00467DB0">
        <w:t>brugere</w:t>
      </w:r>
      <w:proofErr w:type="spellEnd"/>
      <w:r w:rsidRPr="00467DB0">
        <w:t xml:space="preserve"> </w:t>
      </w:r>
      <w:proofErr w:type="spellStart"/>
      <w:r w:rsidRPr="00467DB0">
        <w:t>af</w:t>
      </w:r>
      <w:proofErr w:type="spellEnd"/>
      <w:r w:rsidRPr="00467DB0">
        <w:t xml:space="preserve"> SSA-komponenter, der, hvor det er </w:t>
      </w:r>
      <w:proofErr w:type="spellStart"/>
      <w:r w:rsidRPr="00467DB0">
        <w:t>muligt</w:t>
      </w:r>
      <w:proofErr w:type="spellEnd"/>
      <w:r w:rsidRPr="00467DB0">
        <w:t xml:space="preserve">, </w:t>
      </w:r>
      <w:proofErr w:type="spellStart"/>
      <w:r w:rsidRPr="00467DB0">
        <w:t>indeholder</w:t>
      </w:r>
      <w:proofErr w:type="spellEnd"/>
      <w:r w:rsidRPr="00467DB0">
        <w:t xml:space="preserve"> </w:t>
      </w:r>
      <w:proofErr w:type="spellStart"/>
      <w:r w:rsidRPr="00467DB0">
        <w:t>oplysninger</w:t>
      </w:r>
      <w:proofErr w:type="spellEnd"/>
      <w:r w:rsidRPr="00467DB0">
        <w:t xml:space="preserve"> såsom </w:t>
      </w:r>
      <w:proofErr w:type="spellStart"/>
      <w:r w:rsidRPr="00467DB0">
        <w:t>brugertype</w:t>
      </w:r>
      <w:proofErr w:type="spellEnd"/>
      <w:r w:rsidRPr="00467DB0">
        <w:t>, geografisk f</w:t>
      </w:r>
      <w:r w:rsidRPr="00467DB0">
        <w:t>ordeling og aktivitetssektor</w:t>
      </w:r>
    </w:p>
    <w:p w14:paraId="742D57FB" w14:textId="77777777" w:rsidR="00000000" w:rsidRPr="00467DB0" w:rsidRDefault="00693D67" w:rsidP="00467DB0">
      <w:pPr>
        <w:pStyle w:val="Listeavsnitt"/>
      </w:pPr>
      <w:r w:rsidRPr="00467DB0">
        <w:t xml:space="preserve">Indikator 2: </w:t>
      </w:r>
      <w:proofErr w:type="spellStart"/>
      <w:r w:rsidRPr="00467DB0">
        <w:t>Tjenesternes</w:t>
      </w:r>
      <w:proofErr w:type="spellEnd"/>
      <w:r w:rsidRPr="00467DB0">
        <w:t xml:space="preserve"> </w:t>
      </w:r>
      <w:proofErr w:type="spellStart"/>
      <w:r w:rsidRPr="00467DB0">
        <w:t>tilgængelighed</w:t>
      </w:r>
      <w:proofErr w:type="spellEnd"/>
    </w:p>
    <w:p w14:paraId="0A951BFE"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målsætning</w:t>
      </w:r>
      <w:proofErr w:type="spellEnd"/>
      <w:r w:rsidRPr="00467DB0">
        <w:t xml:space="preserve"> som omhandlet i </w:t>
      </w:r>
      <w:proofErr w:type="spellStart"/>
      <w:r w:rsidRPr="00467DB0">
        <w:t>artikel</w:t>
      </w:r>
      <w:proofErr w:type="spellEnd"/>
      <w:r w:rsidRPr="00467DB0">
        <w:t> 4, stk. 2, litra d)</w:t>
      </w:r>
    </w:p>
    <w:p w14:paraId="155F90A7" w14:textId="77777777" w:rsidR="00000000" w:rsidRPr="00467DB0" w:rsidRDefault="00693D67" w:rsidP="00467DB0">
      <w:pPr>
        <w:pStyle w:val="Listeavsnitt"/>
      </w:pPr>
      <w:r w:rsidRPr="00467DB0">
        <w:t xml:space="preserve">Indikator 1: </w:t>
      </w:r>
      <w:proofErr w:type="spellStart"/>
      <w:r w:rsidRPr="00467DB0">
        <w:t>Antal</w:t>
      </w:r>
      <w:proofErr w:type="spellEnd"/>
      <w:r w:rsidRPr="00467DB0">
        <w:t xml:space="preserve"> GOVSATCOM-</w:t>
      </w:r>
      <w:proofErr w:type="spellStart"/>
      <w:r w:rsidRPr="00467DB0">
        <w:t>brugere</w:t>
      </w:r>
      <w:proofErr w:type="spellEnd"/>
      <w:r w:rsidRPr="00467DB0">
        <w:t xml:space="preserve">, der, hvor det er </w:t>
      </w:r>
      <w:proofErr w:type="spellStart"/>
      <w:r w:rsidRPr="00467DB0">
        <w:t>muligt</w:t>
      </w:r>
      <w:proofErr w:type="spellEnd"/>
      <w:r w:rsidRPr="00467DB0">
        <w:t xml:space="preserve">, </w:t>
      </w:r>
      <w:proofErr w:type="spellStart"/>
      <w:r w:rsidRPr="00467DB0">
        <w:t>indeholder</w:t>
      </w:r>
      <w:proofErr w:type="spellEnd"/>
      <w:r w:rsidRPr="00467DB0">
        <w:t xml:space="preserve"> </w:t>
      </w:r>
      <w:proofErr w:type="spellStart"/>
      <w:r w:rsidRPr="00467DB0">
        <w:t>oplysninger</w:t>
      </w:r>
      <w:proofErr w:type="spellEnd"/>
      <w:r w:rsidRPr="00467DB0">
        <w:t xml:space="preserve"> såsom </w:t>
      </w:r>
      <w:proofErr w:type="spellStart"/>
      <w:r w:rsidRPr="00467DB0">
        <w:t>brugertype</w:t>
      </w:r>
      <w:proofErr w:type="spellEnd"/>
      <w:r w:rsidRPr="00467DB0">
        <w:t>, geografisk f</w:t>
      </w:r>
      <w:r w:rsidRPr="00467DB0">
        <w:t>ordeling og aktivitetssektor</w:t>
      </w:r>
    </w:p>
    <w:p w14:paraId="0E3D250C" w14:textId="77777777" w:rsidR="00000000" w:rsidRPr="00467DB0" w:rsidRDefault="00693D67" w:rsidP="00467DB0">
      <w:pPr>
        <w:pStyle w:val="Listeavsnitt"/>
      </w:pPr>
      <w:r w:rsidRPr="00467DB0">
        <w:t xml:space="preserve">Indikator 2: </w:t>
      </w:r>
      <w:proofErr w:type="spellStart"/>
      <w:r w:rsidRPr="00467DB0">
        <w:t>Tjenesternes</w:t>
      </w:r>
      <w:proofErr w:type="spellEnd"/>
      <w:r w:rsidRPr="00467DB0">
        <w:t xml:space="preserve"> </w:t>
      </w:r>
      <w:proofErr w:type="spellStart"/>
      <w:r w:rsidRPr="00467DB0">
        <w:t>tilgængelighed</w:t>
      </w:r>
      <w:proofErr w:type="spellEnd"/>
    </w:p>
    <w:p w14:paraId="5AC2F0AF"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målsætning</w:t>
      </w:r>
      <w:proofErr w:type="spellEnd"/>
      <w:r w:rsidRPr="00467DB0">
        <w:t xml:space="preserve"> som omhandlet i </w:t>
      </w:r>
      <w:proofErr w:type="spellStart"/>
      <w:r w:rsidRPr="00467DB0">
        <w:t>artikel</w:t>
      </w:r>
      <w:proofErr w:type="spellEnd"/>
      <w:r w:rsidRPr="00467DB0">
        <w:t> 4, stk. 2, litra e)</w:t>
      </w:r>
    </w:p>
    <w:p w14:paraId="039853AD" w14:textId="77777777" w:rsidR="00000000" w:rsidRPr="00467DB0" w:rsidRDefault="00693D67" w:rsidP="00467DB0">
      <w:pPr>
        <w:pStyle w:val="Listeavsnitt"/>
      </w:pPr>
      <w:r w:rsidRPr="00467DB0">
        <w:t xml:space="preserve">Indikator 1: </w:t>
      </w:r>
      <w:proofErr w:type="spellStart"/>
      <w:r w:rsidRPr="00467DB0">
        <w:t>Antal</w:t>
      </w:r>
      <w:proofErr w:type="spellEnd"/>
      <w:r w:rsidRPr="00467DB0">
        <w:t xml:space="preserve"> </w:t>
      </w:r>
      <w:proofErr w:type="spellStart"/>
      <w:r w:rsidRPr="00467DB0">
        <w:t>opsendelser</w:t>
      </w:r>
      <w:proofErr w:type="spellEnd"/>
      <w:r w:rsidRPr="00467DB0">
        <w:t xml:space="preserve"> i forbindelse med programmet (inklusive </w:t>
      </w:r>
      <w:proofErr w:type="spellStart"/>
      <w:r w:rsidRPr="00467DB0">
        <w:t>antal</w:t>
      </w:r>
      <w:proofErr w:type="spellEnd"/>
      <w:r w:rsidRPr="00467DB0">
        <w:t xml:space="preserve"> pr. type </w:t>
      </w:r>
      <w:proofErr w:type="spellStart"/>
      <w:r w:rsidRPr="00467DB0">
        <w:t>affyringsrampe</w:t>
      </w:r>
      <w:proofErr w:type="spellEnd"/>
      <w:r w:rsidRPr="00467DB0">
        <w:t>)</w:t>
      </w:r>
    </w:p>
    <w:p w14:paraId="05CECF1F" w14:textId="77777777" w:rsidR="00000000" w:rsidRPr="00467DB0" w:rsidRDefault="00693D67" w:rsidP="00467DB0">
      <w:pPr>
        <w:pStyle w:val="Listeavsnitt"/>
      </w:pPr>
      <w:proofErr w:type="spellStart"/>
      <w:r w:rsidRPr="00467DB0">
        <w:t>Specifik</w:t>
      </w:r>
      <w:proofErr w:type="spellEnd"/>
      <w:r w:rsidRPr="00467DB0">
        <w:t xml:space="preserve"> </w:t>
      </w:r>
      <w:proofErr w:type="spellStart"/>
      <w:r w:rsidRPr="00467DB0">
        <w:t>mål</w:t>
      </w:r>
      <w:r w:rsidRPr="00467DB0">
        <w:t>sætning</w:t>
      </w:r>
      <w:proofErr w:type="spellEnd"/>
      <w:r w:rsidRPr="00467DB0">
        <w:t xml:space="preserve"> som omhandlet i </w:t>
      </w:r>
      <w:proofErr w:type="spellStart"/>
      <w:r w:rsidRPr="00467DB0">
        <w:t>artikel</w:t>
      </w:r>
      <w:proofErr w:type="spellEnd"/>
      <w:r w:rsidRPr="00467DB0">
        <w:t> 4, stk. 2, litra f)</w:t>
      </w:r>
    </w:p>
    <w:p w14:paraId="69EC7F5F" w14:textId="77777777" w:rsidR="00000000" w:rsidRPr="00467DB0" w:rsidRDefault="00693D67" w:rsidP="00467DB0">
      <w:pPr>
        <w:pStyle w:val="Listeavsnitt"/>
      </w:pPr>
      <w:r w:rsidRPr="00467DB0">
        <w:t xml:space="preserve">Indikator 1: </w:t>
      </w:r>
      <w:proofErr w:type="spellStart"/>
      <w:r w:rsidRPr="00467DB0">
        <w:t>Antal</w:t>
      </w:r>
      <w:proofErr w:type="spellEnd"/>
      <w:r w:rsidRPr="00467DB0">
        <w:t xml:space="preserve"> og </w:t>
      </w:r>
      <w:proofErr w:type="spellStart"/>
      <w:r w:rsidRPr="00467DB0">
        <w:t>placering</w:t>
      </w:r>
      <w:proofErr w:type="spellEnd"/>
      <w:r w:rsidRPr="00467DB0">
        <w:t xml:space="preserve"> </w:t>
      </w:r>
      <w:proofErr w:type="spellStart"/>
      <w:r w:rsidRPr="00467DB0">
        <w:t>af</w:t>
      </w:r>
      <w:proofErr w:type="spellEnd"/>
      <w:r w:rsidRPr="00467DB0">
        <w:t xml:space="preserve"> </w:t>
      </w:r>
      <w:proofErr w:type="spellStart"/>
      <w:r w:rsidRPr="00467DB0">
        <w:t>rumcentre</w:t>
      </w:r>
      <w:proofErr w:type="spellEnd"/>
      <w:r w:rsidRPr="00467DB0">
        <w:t xml:space="preserve"> i Unionen</w:t>
      </w:r>
    </w:p>
    <w:p w14:paraId="30DF58AC" w14:textId="77777777" w:rsidR="00000000" w:rsidRPr="00467DB0" w:rsidRDefault="00693D67" w:rsidP="00467DB0">
      <w:pPr>
        <w:pStyle w:val="Listeavsnitt"/>
      </w:pPr>
      <w:r w:rsidRPr="00467DB0">
        <w:t xml:space="preserve">Indikator 2: Andel </w:t>
      </w:r>
      <w:proofErr w:type="spellStart"/>
      <w:r w:rsidRPr="00467DB0">
        <w:t>af</w:t>
      </w:r>
      <w:proofErr w:type="spellEnd"/>
      <w:r w:rsidRPr="00467DB0">
        <w:t xml:space="preserve"> </w:t>
      </w:r>
      <w:proofErr w:type="spellStart"/>
      <w:r w:rsidRPr="00467DB0">
        <w:t>SMV'er</w:t>
      </w:r>
      <w:proofErr w:type="spellEnd"/>
      <w:r w:rsidRPr="00467DB0">
        <w:t xml:space="preserve">, der er </w:t>
      </w:r>
      <w:proofErr w:type="spellStart"/>
      <w:r w:rsidRPr="00467DB0">
        <w:t>etableret</w:t>
      </w:r>
      <w:proofErr w:type="spellEnd"/>
      <w:r w:rsidRPr="00467DB0">
        <w:t xml:space="preserve"> i Unionen, som en andel </w:t>
      </w:r>
      <w:proofErr w:type="spellStart"/>
      <w:r w:rsidRPr="00467DB0">
        <w:t>af</w:t>
      </w:r>
      <w:proofErr w:type="spellEnd"/>
      <w:r w:rsidRPr="00467DB0">
        <w:t xml:space="preserve"> den samlede </w:t>
      </w:r>
      <w:proofErr w:type="spellStart"/>
      <w:r w:rsidRPr="00467DB0">
        <w:t>vær</w:t>
      </w:r>
      <w:r w:rsidRPr="00467DB0">
        <w:t>di</w:t>
      </w:r>
      <w:proofErr w:type="spellEnd"/>
      <w:r w:rsidRPr="00467DB0">
        <w:t xml:space="preserve"> </w:t>
      </w:r>
      <w:proofErr w:type="spellStart"/>
      <w:r w:rsidRPr="00467DB0">
        <w:t>af</w:t>
      </w:r>
      <w:proofErr w:type="spellEnd"/>
      <w:r w:rsidRPr="00467DB0">
        <w:t xml:space="preserve"> de kontrakter, der vedrører programmet</w:t>
      </w:r>
    </w:p>
    <w:p w14:paraId="03598D50" w14:textId="77777777" w:rsidR="00000000" w:rsidRPr="00467DB0" w:rsidRDefault="00693D67" w:rsidP="00467DB0">
      <w:pPr>
        <w:pStyle w:val="friliste"/>
      </w:pPr>
      <w:r w:rsidRPr="00467DB0">
        <w:t>2.</w:t>
      </w:r>
      <w:r w:rsidRPr="00467DB0">
        <w:tab/>
        <w:t xml:space="preserve">Den i </w:t>
      </w:r>
      <w:proofErr w:type="spellStart"/>
      <w:r w:rsidRPr="00467DB0">
        <w:t>artikel</w:t>
      </w:r>
      <w:proofErr w:type="spellEnd"/>
      <w:r w:rsidRPr="00467DB0">
        <w:t xml:space="preserve"> 102 omhandlede evaluering skal </w:t>
      </w:r>
      <w:proofErr w:type="spellStart"/>
      <w:r w:rsidRPr="00467DB0">
        <w:t>tage</w:t>
      </w:r>
      <w:proofErr w:type="spellEnd"/>
      <w:r w:rsidRPr="00467DB0">
        <w:t xml:space="preserve"> hensyn til </w:t>
      </w:r>
      <w:proofErr w:type="spellStart"/>
      <w:r w:rsidRPr="00467DB0">
        <w:t>yderligere</w:t>
      </w:r>
      <w:proofErr w:type="spellEnd"/>
      <w:r w:rsidRPr="00467DB0">
        <w:t xml:space="preserve"> elementer som:</w:t>
      </w:r>
    </w:p>
    <w:p w14:paraId="1D8EECD6" w14:textId="77777777" w:rsidR="00000000" w:rsidRPr="00467DB0" w:rsidRDefault="00693D67" w:rsidP="00467DB0">
      <w:pPr>
        <w:pStyle w:val="friliste2"/>
      </w:pPr>
      <w:r w:rsidRPr="00467DB0">
        <w:t>a)</w:t>
      </w:r>
      <w:r w:rsidRPr="00467DB0">
        <w:tab/>
        <w:t xml:space="preserve">konkurrenters </w:t>
      </w:r>
      <w:proofErr w:type="spellStart"/>
      <w:r w:rsidRPr="00467DB0">
        <w:t>præstationer</w:t>
      </w:r>
      <w:proofErr w:type="spellEnd"/>
      <w:r w:rsidRPr="00467DB0">
        <w:t xml:space="preserve"> på </w:t>
      </w:r>
      <w:proofErr w:type="spellStart"/>
      <w:r w:rsidRPr="00467DB0">
        <w:t>områderne</w:t>
      </w:r>
      <w:proofErr w:type="spellEnd"/>
      <w:r w:rsidRPr="00467DB0">
        <w:t xml:space="preserve"> </w:t>
      </w:r>
      <w:proofErr w:type="spellStart"/>
      <w:r w:rsidRPr="00467DB0">
        <w:t>navigation</w:t>
      </w:r>
      <w:proofErr w:type="spellEnd"/>
      <w:r w:rsidRPr="00467DB0">
        <w:t xml:space="preserve"> og </w:t>
      </w:r>
      <w:proofErr w:type="spellStart"/>
      <w:r w:rsidRPr="00467DB0">
        <w:t>jordobservation</w:t>
      </w:r>
      <w:proofErr w:type="spellEnd"/>
    </w:p>
    <w:p w14:paraId="0F209F1E" w14:textId="77777777" w:rsidR="00000000" w:rsidRPr="00467DB0" w:rsidRDefault="00693D67" w:rsidP="00467DB0">
      <w:pPr>
        <w:pStyle w:val="friliste2"/>
      </w:pPr>
      <w:r w:rsidRPr="00467DB0">
        <w:t>b)</w:t>
      </w:r>
      <w:r w:rsidRPr="00467DB0">
        <w:tab/>
      </w:r>
      <w:proofErr w:type="spellStart"/>
      <w:r w:rsidRPr="00467DB0">
        <w:t>brugerspredning</w:t>
      </w:r>
      <w:proofErr w:type="spellEnd"/>
      <w:r w:rsidRPr="00467DB0">
        <w:t xml:space="preserve"> </w:t>
      </w:r>
      <w:proofErr w:type="spellStart"/>
      <w:r w:rsidRPr="00467DB0">
        <w:t>af</w:t>
      </w:r>
      <w:proofErr w:type="spellEnd"/>
      <w:r w:rsidRPr="00467DB0">
        <w:t xml:space="preserve"> Galileo- og EGNOS-tjenester</w:t>
      </w:r>
    </w:p>
    <w:p w14:paraId="7184FF69" w14:textId="77777777" w:rsidR="00000000" w:rsidRPr="00467DB0" w:rsidRDefault="00693D67" w:rsidP="00467DB0">
      <w:pPr>
        <w:pStyle w:val="friliste2"/>
      </w:pPr>
      <w:r w:rsidRPr="00467DB0">
        <w:t>c)</w:t>
      </w:r>
      <w:r w:rsidRPr="00467DB0">
        <w:tab/>
        <w:t>EGNOS-</w:t>
      </w:r>
      <w:proofErr w:type="spellStart"/>
      <w:r w:rsidRPr="00467DB0">
        <w:t>tjenesternes</w:t>
      </w:r>
      <w:proofErr w:type="spellEnd"/>
      <w:r w:rsidRPr="00467DB0">
        <w:t xml:space="preserve"> integritet</w:t>
      </w:r>
    </w:p>
    <w:p w14:paraId="16476438" w14:textId="77777777" w:rsidR="00000000" w:rsidRPr="00467DB0" w:rsidRDefault="00693D67" w:rsidP="00467DB0">
      <w:pPr>
        <w:pStyle w:val="friliste2"/>
      </w:pPr>
      <w:r w:rsidRPr="00467DB0">
        <w:t>d)</w:t>
      </w:r>
      <w:r w:rsidRPr="00467DB0">
        <w:tab/>
      </w:r>
      <w:proofErr w:type="spellStart"/>
      <w:r w:rsidRPr="00467DB0">
        <w:t>Copernicuskernebrugeres</w:t>
      </w:r>
      <w:proofErr w:type="spellEnd"/>
      <w:r w:rsidRPr="00467DB0">
        <w:t xml:space="preserve"> </w:t>
      </w:r>
      <w:proofErr w:type="gramStart"/>
      <w:r w:rsidRPr="00467DB0">
        <w:t>anvendelse</w:t>
      </w:r>
      <w:proofErr w:type="gramEnd"/>
      <w:r w:rsidRPr="00467DB0">
        <w:t xml:space="preserve"> </w:t>
      </w:r>
      <w:proofErr w:type="spellStart"/>
      <w:r w:rsidRPr="00467DB0">
        <w:t>af</w:t>
      </w:r>
      <w:proofErr w:type="spellEnd"/>
      <w:r w:rsidRPr="00467DB0">
        <w:t xml:space="preserve"> </w:t>
      </w:r>
      <w:proofErr w:type="spellStart"/>
      <w:r w:rsidRPr="00467DB0">
        <w:t>Copernicustjenester</w:t>
      </w:r>
      <w:proofErr w:type="spellEnd"/>
    </w:p>
    <w:p w14:paraId="4BDC8299" w14:textId="77777777" w:rsidR="00000000" w:rsidRPr="00467DB0" w:rsidRDefault="00693D67" w:rsidP="00467DB0">
      <w:pPr>
        <w:pStyle w:val="friliste2"/>
      </w:pPr>
      <w:r w:rsidRPr="00467DB0">
        <w:t>e)</w:t>
      </w:r>
      <w:r w:rsidRPr="00467DB0">
        <w:tab/>
      </w:r>
      <w:proofErr w:type="spellStart"/>
      <w:r w:rsidRPr="00467DB0">
        <w:t>antal</w:t>
      </w:r>
      <w:proofErr w:type="spellEnd"/>
      <w:r w:rsidRPr="00467DB0">
        <w:t xml:space="preserve"> EU- eller medlemsstatspolitikker, der </w:t>
      </w:r>
      <w:proofErr w:type="spellStart"/>
      <w:r w:rsidRPr="00467DB0">
        <w:t>udnytter</w:t>
      </w:r>
      <w:proofErr w:type="spellEnd"/>
      <w:r w:rsidRPr="00467DB0">
        <w:t xml:space="preserve"> eller drager fordel </w:t>
      </w:r>
      <w:proofErr w:type="spellStart"/>
      <w:r w:rsidRPr="00467DB0">
        <w:t>af</w:t>
      </w:r>
      <w:proofErr w:type="spellEnd"/>
      <w:r w:rsidRPr="00467DB0">
        <w:t xml:space="preserve"> Copernicus</w:t>
      </w:r>
    </w:p>
    <w:p w14:paraId="658B01A5" w14:textId="77777777" w:rsidR="00000000" w:rsidRPr="00467DB0" w:rsidRDefault="00693D67" w:rsidP="00467DB0">
      <w:pPr>
        <w:pStyle w:val="friliste2"/>
      </w:pPr>
      <w:r w:rsidRPr="00467DB0">
        <w:t>f)</w:t>
      </w:r>
      <w:r w:rsidRPr="00467DB0">
        <w:tab/>
        <w:t xml:space="preserve">analyse </w:t>
      </w:r>
      <w:proofErr w:type="spellStart"/>
      <w:r w:rsidRPr="00467DB0">
        <w:t>af</w:t>
      </w:r>
      <w:proofErr w:type="spellEnd"/>
      <w:r w:rsidRPr="00467DB0">
        <w:t xml:space="preserve"> SST-delkomp</w:t>
      </w:r>
      <w:r w:rsidRPr="00467DB0">
        <w:t xml:space="preserve">onentens autonomi og Unionens grad </w:t>
      </w:r>
      <w:proofErr w:type="spellStart"/>
      <w:r w:rsidRPr="00467DB0">
        <w:t>af</w:t>
      </w:r>
      <w:proofErr w:type="spellEnd"/>
      <w:r w:rsidRPr="00467DB0">
        <w:t xml:space="preserve"> </w:t>
      </w:r>
      <w:proofErr w:type="spellStart"/>
      <w:r w:rsidRPr="00467DB0">
        <w:t>uafhængighed</w:t>
      </w:r>
      <w:proofErr w:type="spellEnd"/>
      <w:r w:rsidRPr="00467DB0">
        <w:t xml:space="preserve"> på dette område</w:t>
      </w:r>
    </w:p>
    <w:p w14:paraId="20CAFD85" w14:textId="77777777" w:rsidR="00000000" w:rsidRPr="00467DB0" w:rsidRDefault="00693D67" w:rsidP="00467DB0">
      <w:pPr>
        <w:pStyle w:val="friliste2"/>
      </w:pPr>
      <w:r w:rsidRPr="00467DB0">
        <w:lastRenderedPageBreak/>
        <w:t>g)</w:t>
      </w:r>
      <w:r w:rsidRPr="00467DB0">
        <w:tab/>
        <w:t xml:space="preserve">den aktuelle </w:t>
      </w:r>
      <w:proofErr w:type="spellStart"/>
      <w:r w:rsidRPr="00467DB0">
        <w:t>situation</w:t>
      </w:r>
      <w:proofErr w:type="spellEnd"/>
      <w:r w:rsidRPr="00467DB0">
        <w:t xml:space="preserve"> for så vidt angår </w:t>
      </w:r>
      <w:proofErr w:type="spellStart"/>
      <w:r w:rsidRPr="00467DB0">
        <w:t>netværkssamarbejde</w:t>
      </w:r>
      <w:proofErr w:type="spellEnd"/>
      <w:r w:rsidRPr="00467DB0">
        <w:t xml:space="preserve"> </w:t>
      </w:r>
      <w:proofErr w:type="gramStart"/>
      <w:r w:rsidRPr="00467DB0">
        <w:t>vedrørende</w:t>
      </w:r>
      <w:proofErr w:type="gramEnd"/>
      <w:r w:rsidRPr="00467DB0">
        <w:t xml:space="preserve"> NEO-aktiviteter</w:t>
      </w:r>
    </w:p>
    <w:p w14:paraId="266CA458" w14:textId="77777777" w:rsidR="00000000" w:rsidRPr="00467DB0" w:rsidRDefault="00693D67" w:rsidP="00467DB0">
      <w:pPr>
        <w:pStyle w:val="friliste2"/>
      </w:pPr>
      <w:r w:rsidRPr="00467DB0">
        <w:t>h)</w:t>
      </w:r>
      <w:r w:rsidRPr="00467DB0">
        <w:tab/>
        <w:t xml:space="preserve">vurdering </w:t>
      </w:r>
      <w:proofErr w:type="spellStart"/>
      <w:r w:rsidRPr="00467DB0">
        <w:t>af</w:t>
      </w:r>
      <w:proofErr w:type="spellEnd"/>
      <w:r w:rsidRPr="00467DB0">
        <w:t xml:space="preserve"> GOVSATCOM-</w:t>
      </w:r>
      <w:proofErr w:type="spellStart"/>
      <w:r w:rsidRPr="00467DB0">
        <w:t>kapaciteter</w:t>
      </w:r>
      <w:proofErr w:type="spellEnd"/>
      <w:r w:rsidRPr="00467DB0">
        <w:t xml:space="preserve"> for så vidt angår de i </w:t>
      </w:r>
      <w:proofErr w:type="spellStart"/>
      <w:r w:rsidRPr="00467DB0">
        <w:t>artikel</w:t>
      </w:r>
      <w:proofErr w:type="spellEnd"/>
      <w:r w:rsidRPr="00467DB0">
        <w:t xml:space="preserve"> 69 og 102 omhandlede </w:t>
      </w:r>
      <w:proofErr w:type="spellStart"/>
      <w:r w:rsidRPr="00467DB0">
        <w:t>brugerbeh</w:t>
      </w:r>
      <w:r w:rsidRPr="00467DB0">
        <w:t>ov</w:t>
      </w:r>
      <w:proofErr w:type="spellEnd"/>
    </w:p>
    <w:p w14:paraId="30E99352" w14:textId="77777777" w:rsidR="00000000" w:rsidRPr="00467DB0" w:rsidRDefault="00693D67" w:rsidP="00467DB0">
      <w:pPr>
        <w:pStyle w:val="friliste2"/>
      </w:pPr>
      <w:r w:rsidRPr="00467DB0">
        <w:t>i)</w:t>
      </w:r>
      <w:r w:rsidRPr="00467DB0">
        <w:tab/>
      </w:r>
      <w:proofErr w:type="spellStart"/>
      <w:r w:rsidRPr="00467DB0">
        <w:t>brugertilfredshed</w:t>
      </w:r>
      <w:proofErr w:type="spellEnd"/>
      <w:r w:rsidRPr="00467DB0">
        <w:t xml:space="preserve"> for så vidt angår SSA-tjenester og GOVSATCOM-tjenester</w:t>
      </w:r>
    </w:p>
    <w:p w14:paraId="0BC571FB" w14:textId="77777777" w:rsidR="00000000" w:rsidRPr="00467DB0" w:rsidRDefault="00693D67" w:rsidP="00467DB0">
      <w:pPr>
        <w:pStyle w:val="friliste2"/>
      </w:pPr>
      <w:r w:rsidRPr="00467DB0">
        <w:t>j)</w:t>
      </w:r>
      <w:r w:rsidRPr="00467DB0">
        <w:tab/>
        <w:t xml:space="preserve">andel </w:t>
      </w:r>
      <w:proofErr w:type="spellStart"/>
      <w:r w:rsidRPr="00467DB0">
        <w:t>af</w:t>
      </w:r>
      <w:proofErr w:type="spellEnd"/>
      <w:r w:rsidRPr="00467DB0">
        <w:t xml:space="preserve"> Ariane- og </w:t>
      </w:r>
      <w:proofErr w:type="spellStart"/>
      <w:r w:rsidRPr="00467DB0">
        <w:t>Vegaopsendelser</w:t>
      </w:r>
      <w:proofErr w:type="spellEnd"/>
      <w:r w:rsidRPr="00467DB0">
        <w:t xml:space="preserve"> på det samlede marked </w:t>
      </w:r>
      <w:proofErr w:type="spellStart"/>
      <w:r w:rsidRPr="00467DB0">
        <w:t>baseret</w:t>
      </w:r>
      <w:proofErr w:type="spellEnd"/>
      <w:r w:rsidRPr="00467DB0">
        <w:t xml:space="preserve"> på </w:t>
      </w:r>
      <w:proofErr w:type="spellStart"/>
      <w:r w:rsidRPr="00467DB0">
        <w:t>offentligt</w:t>
      </w:r>
      <w:proofErr w:type="spellEnd"/>
      <w:r w:rsidRPr="00467DB0">
        <w:t xml:space="preserve"> </w:t>
      </w:r>
      <w:proofErr w:type="spellStart"/>
      <w:r w:rsidRPr="00467DB0">
        <w:t>tilgængelige</w:t>
      </w:r>
      <w:proofErr w:type="spellEnd"/>
      <w:r w:rsidRPr="00467DB0">
        <w:t xml:space="preserve"> data</w:t>
      </w:r>
    </w:p>
    <w:p w14:paraId="30B25EB6" w14:textId="77777777" w:rsidR="00000000" w:rsidRPr="00467DB0" w:rsidRDefault="00693D67" w:rsidP="00467DB0">
      <w:pPr>
        <w:pStyle w:val="friliste2"/>
      </w:pPr>
      <w:r w:rsidRPr="00467DB0">
        <w:t>k)</w:t>
      </w:r>
      <w:r w:rsidRPr="00467DB0">
        <w:tab/>
      </w:r>
      <w:proofErr w:type="spellStart"/>
      <w:r w:rsidRPr="00467DB0">
        <w:t>udvikling</w:t>
      </w:r>
      <w:proofErr w:type="spellEnd"/>
      <w:r w:rsidRPr="00467DB0">
        <w:t xml:space="preserve"> i </w:t>
      </w:r>
      <w:proofErr w:type="spellStart"/>
      <w:r w:rsidRPr="00467DB0">
        <w:t>aftagerleddet</w:t>
      </w:r>
      <w:proofErr w:type="spellEnd"/>
      <w:r w:rsidRPr="00467DB0">
        <w:t xml:space="preserve"> målt, når </w:t>
      </w:r>
      <w:proofErr w:type="spellStart"/>
      <w:r w:rsidRPr="00467DB0">
        <w:t>oplysningerne</w:t>
      </w:r>
      <w:proofErr w:type="spellEnd"/>
      <w:r w:rsidRPr="00467DB0">
        <w:t xml:space="preserve"> foreligger, i antallet </w:t>
      </w:r>
      <w:proofErr w:type="spellStart"/>
      <w:r w:rsidRPr="00467DB0">
        <w:t>af</w:t>
      </w:r>
      <w:proofErr w:type="spellEnd"/>
      <w:r w:rsidRPr="00467DB0">
        <w:t xml:space="preserve"> nye </w:t>
      </w:r>
      <w:proofErr w:type="spellStart"/>
      <w:r w:rsidRPr="00467DB0">
        <w:t>virksomheder</w:t>
      </w:r>
      <w:proofErr w:type="spellEnd"/>
      <w:r w:rsidRPr="00467DB0">
        <w:t xml:space="preserve">, der anvender Unionens </w:t>
      </w:r>
      <w:proofErr w:type="spellStart"/>
      <w:r w:rsidRPr="00467DB0">
        <w:t>rumdata</w:t>
      </w:r>
      <w:proofErr w:type="spellEnd"/>
      <w:r w:rsidRPr="00467DB0">
        <w:t xml:space="preserve">, </w:t>
      </w:r>
      <w:proofErr w:type="spellStart"/>
      <w:r w:rsidRPr="00467DB0">
        <w:t>informationer</w:t>
      </w:r>
      <w:proofErr w:type="spellEnd"/>
      <w:r w:rsidRPr="00467DB0">
        <w:t xml:space="preserve"> og tjenester, </w:t>
      </w:r>
      <w:proofErr w:type="spellStart"/>
      <w:r w:rsidRPr="00467DB0">
        <w:t>antal</w:t>
      </w:r>
      <w:proofErr w:type="spellEnd"/>
      <w:r w:rsidRPr="00467DB0">
        <w:t xml:space="preserve"> </w:t>
      </w:r>
      <w:proofErr w:type="spellStart"/>
      <w:r w:rsidRPr="00467DB0">
        <w:t>skabte</w:t>
      </w:r>
      <w:proofErr w:type="spellEnd"/>
      <w:r w:rsidRPr="00467DB0">
        <w:t xml:space="preserve"> </w:t>
      </w:r>
      <w:proofErr w:type="spellStart"/>
      <w:r w:rsidRPr="00467DB0">
        <w:t>arbejdspladser</w:t>
      </w:r>
      <w:proofErr w:type="spellEnd"/>
      <w:r w:rsidRPr="00467DB0">
        <w:t xml:space="preserve"> samt </w:t>
      </w:r>
      <w:proofErr w:type="spellStart"/>
      <w:r w:rsidRPr="00467DB0">
        <w:t>omsætning</w:t>
      </w:r>
      <w:proofErr w:type="spellEnd"/>
      <w:r w:rsidRPr="00467DB0">
        <w:t xml:space="preserve"> pr. medlemsstat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Kommissionens</w:t>
      </w:r>
      <w:proofErr w:type="spellEnd"/>
      <w:r w:rsidRPr="00467DB0">
        <w:t xml:space="preserve"> (Eurostats) </w:t>
      </w:r>
      <w:proofErr w:type="spellStart"/>
      <w:r w:rsidRPr="00467DB0">
        <w:t>undersøgelser</w:t>
      </w:r>
      <w:proofErr w:type="spellEnd"/>
      <w:r w:rsidRPr="00467DB0">
        <w:t>, når de foreligger</w:t>
      </w:r>
    </w:p>
    <w:p w14:paraId="45E82C41" w14:textId="77777777" w:rsidR="00000000" w:rsidRPr="00467DB0" w:rsidRDefault="00693D67" w:rsidP="00467DB0">
      <w:pPr>
        <w:pStyle w:val="friliste2"/>
      </w:pPr>
      <w:r w:rsidRPr="00467DB0">
        <w:t>l)</w:t>
      </w:r>
      <w:r w:rsidRPr="00467DB0">
        <w:tab/>
      </w:r>
      <w:proofErr w:type="spellStart"/>
      <w:r w:rsidRPr="00467DB0">
        <w:t>udvikling</w:t>
      </w:r>
      <w:proofErr w:type="spellEnd"/>
      <w:r w:rsidRPr="00467DB0">
        <w:t xml:space="preserve"> </w:t>
      </w:r>
      <w:proofErr w:type="spellStart"/>
      <w:r w:rsidRPr="00467DB0">
        <w:t>af</w:t>
      </w:r>
      <w:proofErr w:type="spellEnd"/>
      <w:r w:rsidRPr="00467DB0">
        <w:t xml:space="preserve"> Unionens </w:t>
      </w:r>
      <w:proofErr w:type="spellStart"/>
      <w:r w:rsidRPr="00467DB0">
        <w:t>rumsektor</w:t>
      </w:r>
      <w:proofErr w:type="spellEnd"/>
      <w:r w:rsidRPr="00467DB0">
        <w:t xml:space="preserve"> i leverand</w:t>
      </w:r>
      <w:r w:rsidRPr="00467DB0">
        <w:t xml:space="preserve">ørleddet målt, når </w:t>
      </w:r>
      <w:proofErr w:type="spellStart"/>
      <w:r w:rsidRPr="00467DB0">
        <w:t>oplysningerne</w:t>
      </w:r>
      <w:proofErr w:type="spellEnd"/>
      <w:r w:rsidRPr="00467DB0">
        <w:t xml:space="preserve"> foreligger, i antallet </w:t>
      </w:r>
      <w:proofErr w:type="spellStart"/>
      <w:r w:rsidRPr="00467DB0">
        <w:t>af</w:t>
      </w:r>
      <w:proofErr w:type="spellEnd"/>
      <w:r w:rsidRPr="00467DB0">
        <w:t xml:space="preserve"> </w:t>
      </w:r>
      <w:proofErr w:type="spellStart"/>
      <w:r w:rsidRPr="00467DB0">
        <w:t>skabte</w:t>
      </w:r>
      <w:proofErr w:type="spellEnd"/>
      <w:r w:rsidRPr="00467DB0">
        <w:t xml:space="preserve"> </w:t>
      </w:r>
      <w:proofErr w:type="spellStart"/>
      <w:r w:rsidRPr="00467DB0">
        <w:t>arbejdspladser</w:t>
      </w:r>
      <w:proofErr w:type="spellEnd"/>
      <w:r w:rsidRPr="00467DB0">
        <w:t xml:space="preserve"> og </w:t>
      </w:r>
      <w:proofErr w:type="spellStart"/>
      <w:r w:rsidRPr="00467DB0">
        <w:t>omsætning</w:t>
      </w:r>
      <w:proofErr w:type="spellEnd"/>
      <w:r w:rsidRPr="00467DB0">
        <w:t xml:space="preserve"> pr. medlemsstat samt den </w:t>
      </w:r>
      <w:proofErr w:type="spellStart"/>
      <w:r w:rsidRPr="00467DB0">
        <w:t>europæiske</w:t>
      </w:r>
      <w:proofErr w:type="spellEnd"/>
      <w:r w:rsidRPr="00467DB0">
        <w:t xml:space="preserve"> </w:t>
      </w:r>
      <w:proofErr w:type="spellStart"/>
      <w:r w:rsidRPr="00467DB0">
        <w:t>rumindustris</w:t>
      </w:r>
      <w:proofErr w:type="spellEnd"/>
      <w:r w:rsidRPr="00467DB0">
        <w:t xml:space="preserve"> globale markedsandel ved </w:t>
      </w:r>
      <w:proofErr w:type="spellStart"/>
      <w:r w:rsidRPr="00467DB0">
        <w:t>hjælp</w:t>
      </w:r>
      <w:proofErr w:type="spellEnd"/>
      <w:r w:rsidRPr="00467DB0">
        <w:t xml:space="preserve"> </w:t>
      </w:r>
      <w:proofErr w:type="spellStart"/>
      <w:r w:rsidRPr="00467DB0">
        <w:t>af</w:t>
      </w:r>
      <w:proofErr w:type="spellEnd"/>
      <w:r w:rsidRPr="00467DB0">
        <w:t xml:space="preserve"> </w:t>
      </w:r>
      <w:proofErr w:type="spellStart"/>
      <w:r w:rsidRPr="00467DB0">
        <w:t>Kommissionens</w:t>
      </w:r>
      <w:proofErr w:type="spellEnd"/>
      <w:r w:rsidRPr="00467DB0">
        <w:t xml:space="preserve"> (Eurostats) </w:t>
      </w:r>
      <w:proofErr w:type="spellStart"/>
      <w:r w:rsidRPr="00467DB0">
        <w:t>undersøgelser</w:t>
      </w:r>
      <w:proofErr w:type="spellEnd"/>
      <w:r w:rsidRPr="00467DB0">
        <w:t>, når de foreligger.</w:t>
      </w:r>
    </w:p>
    <w:p w14:paraId="76F6A608" w14:textId="77777777" w:rsidR="00000000" w:rsidRPr="00467DB0" w:rsidRDefault="00693D67" w:rsidP="00467DB0"/>
    <w:sectPr w:rsidR="00000000" w:rsidRPr="00467DB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C7D1" w14:textId="77777777" w:rsidR="00000000" w:rsidRDefault="00693D67">
      <w:pPr>
        <w:spacing w:after="0" w:line="240" w:lineRule="auto"/>
      </w:pPr>
      <w:r>
        <w:separator/>
      </w:r>
    </w:p>
  </w:endnote>
  <w:endnote w:type="continuationSeparator" w:id="0">
    <w:p w14:paraId="4873F2D4" w14:textId="77777777" w:rsidR="00000000" w:rsidRDefault="0069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101C" w14:textId="77777777" w:rsidR="00000000" w:rsidRPr="00467DB0" w:rsidRDefault="00693D67" w:rsidP="00467DB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52DA" w14:textId="77777777" w:rsidR="00000000" w:rsidRPr="00467DB0" w:rsidRDefault="00693D67" w:rsidP="00467DB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2A76" w14:textId="7193937F" w:rsidR="00000000" w:rsidRPr="00467DB0" w:rsidRDefault="00693D67" w:rsidP="00467D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2EF7" w14:textId="77777777" w:rsidR="00000000" w:rsidRDefault="00693D67">
      <w:pPr>
        <w:spacing w:after="0" w:line="240" w:lineRule="auto"/>
      </w:pPr>
      <w:r>
        <w:separator/>
      </w:r>
    </w:p>
  </w:footnote>
  <w:footnote w:type="continuationSeparator" w:id="0">
    <w:p w14:paraId="58B382A3" w14:textId="77777777" w:rsidR="00000000" w:rsidRDefault="00693D67">
      <w:pPr>
        <w:spacing w:after="0" w:line="240" w:lineRule="auto"/>
      </w:pPr>
      <w:r>
        <w:continuationSeparator/>
      </w:r>
    </w:p>
  </w:footnote>
  <w:footnote w:id="1">
    <w:p w14:paraId="43D4A61D" w14:textId="2E6423DD" w:rsidR="00000000" w:rsidRDefault="00693D67">
      <w:pPr>
        <w:pStyle w:val="Fotnotetekst"/>
      </w:pPr>
      <w:r>
        <w:rPr>
          <w:vertAlign w:val="superscript"/>
        </w:rPr>
        <w:footnoteRef/>
      </w:r>
      <w:r w:rsidRPr="00467DB0">
        <w:t>EUT L […] (</w:t>
      </w:r>
      <w:proofErr w:type="gramStart"/>
      <w:r w:rsidRPr="00467DB0">
        <w:t>COM(</w:t>
      </w:r>
      <w:proofErr w:type="gramEnd"/>
      <w:r w:rsidRPr="00467DB0">
        <w:t>2018) 447).</w:t>
      </w:r>
    </w:p>
  </w:footnote>
  <w:footnote w:id="2">
    <w:p w14:paraId="16E64496" w14:textId="52C09BA4" w:rsidR="00000000" w:rsidRDefault="00693D67">
      <w:pPr>
        <w:pStyle w:val="Fotnotetekst"/>
      </w:pPr>
      <w:r>
        <w:rPr>
          <w:vertAlign w:val="superscript"/>
        </w:rPr>
        <w:footnoteRef/>
      </w:r>
      <w:r w:rsidRPr="00467DB0">
        <w:t>EUT L 283 av 29.10.2010, s. 12.</w:t>
      </w:r>
    </w:p>
  </w:footnote>
  <w:footnote w:id="3">
    <w:p w14:paraId="686CE454" w14:textId="421FD1EC" w:rsidR="00000000" w:rsidRDefault="00693D67">
      <w:pPr>
        <w:pStyle w:val="Fotnotetekst"/>
      </w:pPr>
      <w:r>
        <w:rPr>
          <w:vertAlign w:val="superscript"/>
        </w:rPr>
        <w:footnoteRef/>
      </w:r>
      <w:r w:rsidRPr="00467DB0">
        <w:t>[Ingen forfatningsrettslige krav angitt.] [Forfatningsrettslige krav angitt.]</w:t>
      </w:r>
    </w:p>
  </w:footnote>
  <w:footnote w:id="4">
    <w:p w14:paraId="3DA1E57B" w14:textId="59C5216D" w:rsidR="00000000" w:rsidRDefault="00693D67">
      <w:pPr>
        <w:pStyle w:val="Fotnotetekst"/>
      </w:pPr>
      <w:r>
        <w:rPr>
          <w:vertAlign w:val="superscript"/>
        </w:rPr>
        <w:footnoteRef/>
      </w:r>
      <w:r w:rsidRPr="00467DB0">
        <w:t xml:space="preserve">Europa-Parlamentets holdning </w:t>
      </w:r>
      <w:proofErr w:type="spellStart"/>
      <w:r w:rsidRPr="00467DB0">
        <w:t>af</w:t>
      </w:r>
      <w:proofErr w:type="spellEnd"/>
      <w:r w:rsidRPr="00467DB0">
        <w:t xml:space="preserve"> 17.4.2019 (</w:t>
      </w:r>
      <w:proofErr w:type="spellStart"/>
      <w:r w:rsidRPr="00467DB0">
        <w:t>endnu</w:t>
      </w:r>
      <w:proofErr w:type="spellEnd"/>
      <w:r w:rsidRPr="00467DB0">
        <w:t xml:space="preserve"> ikke offentliggjort i EUT) og Rådets førstebehandlingsholdning </w:t>
      </w:r>
      <w:proofErr w:type="spellStart"/>
      <w:r w:rsidRPr="00467DB0">
        <w:t>af</w:t>
      </w:r>
      <w:proofErr w:type="spellEnd"/>
      <w:r w:rsidRPr="00467DB0">
        <w:t xml:space="preserve"> … (</w:t>
      </w:r>
      <w:proofErr w:type="spellStart"/>
      <w:r w:rsidRPr="00467DB0">
        <w:t>endnu</w:t>
      </w:r>
      <w:proofErr w:type="spellEnd"/>
      <w:r w:rsidRPr="00467DB0">
        <w:t xml:space="preserve"> ikke offentliggjort i EUT). Europa-Parlamente</w:t>
      </w:r>
      <w:r w:rsidRPr="00467DB0">
        <w:t xml:space="preserve">ts holdning </w:t>
      </w:r>
      <w:proofErr w:type="spellStart"/>
      <w:r w:rsidRPr="00467DB0">
        <w:t>af</w:t>
      </w:r>
      <w:proofErr w:type="spellEnd"/>
      <w:r w:rsidRPr="00467DB0">
        <w:t xml:space="preserve"> … (</w:t>
      </w:r>
      <w:proofErr w:type="spellStart"/>
      <w:r w:rsidRPr="00467DB0">
        <w:t>endnu</w:t>
      </w:r>
      <w:proofErr w:type="spellEnd"/>
      <w:r w:rsidRPr="00467DB0">
        <w:t xml:space="preserve"> ikke offentliggjort i EUT).</w:t>
      </w:r>
    </w:p>
  </w:footnote>
  <w:footnote w:id="5">
    <w:p w14:paraId="601992D0" w14:textId="7AA03281" w:rsidR="00000000" w:rsidRDefault="00693D67">
      <w:pPr>
        <w:pStyle w:val="Fotnotetekst"/>
      </w:pPr>
      <w:r>
        <w:rPr>
          <w:vertAlign w:val="superscript"/>
        </w:rPr>
        <w:footnoteRef/>
      </w:r>
      <w:r w:rsidRPr="00467DB0">
        <w:t xml:space="preserve">Europa-Parlamentets og Rådets forordning (EU, Euratom) 2018/1046 </w:t>
      </w:r>
      <w:proofErr w:type="spellStart"/>
      <w:r w:rsidRPr="00467DB0">
        <w:t>af</w:t>
      </w:r>
      <w:proofErr w:type="spellEnd"/>
      <w:r w:rsidRPr="00467DB0">
        <w:t xml:space="preserve"> 18. juli 2018 om de finansielle regler </w:t>
      </w:r>
      <w:proofErr w:type="gramStart"/>
      <w:r w:rsidRPr="00467DB0">
        <w:t>vedrørende</w:t>
      </w:r>
      <w:proofErr w:type="gramEnd"/>
      <w:r w:rsidRPr="00467DB0">
        <w:t xml:space="preserve"> Unionens </w:t>
      </w:r>
      <w:proofErr w:type="spellStart"/>
      <w:r w:rsidRPr="00467DB0">
        <w:t>almindelige</w:t>
      </w:r>
      <w:proofErr w:type="spellEnd"/>
      <w:r w:rsidRPr="00467DB0">
        <w:t xml:space="preserve"> </w:t>
      </w:r>
      <w:proofErr w:type="spellStart"/>
      <w:r w:rsidRPr="00467DB0">
        <w:t>budget</w:t>
      </w:r>
      <w:proofErr w:type="spellEnd"/>
      <w:r w:rsidRPr="00467DB0">
        <w:t xml:space="preserve">, om </w:t>
      </w:r>
      <w:proofErr w:type="spellStart"/>
      <w:r w:rsidRPr="00467DB0">
        <w:t>ændring</w:t>
      </w:r>
      <w:proofErr w:type="spellEnd"/>
      <w:r w:rsidRPr="00467DB0">
        <w:t xml:space="preserve"> </w:t>
      </w:r>
      <w:proofErr w:type="spellStart"/>
      <w:r w:rsidRPr="00467DB0">
        <w:t>af</w:t>
      </w:r>
      <w:proofErr w:type="spellEnd"/>
      <w:r w:rsidRPr="00467DB0">
        <w:t xml:space="preserve"> forordning (EU) nr. 1296/2013, (EU) nr. 1301/2013, (EU) nr. </w:t>
      </w:r>
      <w:r w:rsidRPr="00467DB0">
        <w:t xml:space="preserve">1303/2013, (EU) nr. 1304/2013, (EU) nr. 1309/2013, (EU) nr. 1316/2013, (EU) nr. 223/2014, (EU) nr. 283/2014 og </w:t>
      </w:r>
      <w:proofErr w:type="spellStart"/>
      <w:r w:rsidRPr="00467DB0">
        <w:t>afgørelse</w:t>
      </w:r>
      <w:proofErr w:type="spellEnd"/>
      <w:r w:rsidRPr="00467DB0">
        <w:t xml:space="preserve"> nr. 541/2014/EU og om </w:t>
      </w:r>
      <w:proofErr w:type="spellStart"/>
      <w:r w:rsidRPr="00467DB0">
        <w:t>ophævelse</w:t>
      </w:r>
      <w:proofErr w:type="spellEnd"/>
      <w:r w:rsidRPr="00467DB0">
        <w:t xml:space="preserve"> </w:t>
      </w:r>
      <w:proofErr w:type="spellStart"/>
      <w:r w:rsidRPr="00467DB0">
        <w:t>af</w:t>
      </w:r>
      <w:proofErr w:type="spellEnd"/>
      <w:r w:rsidRPr="00467DB0">
        <w:t xml:space="preserve"> forordning (EU, Euratom) nr. 966/2012 (EUT L 193 </w:t>
      </w:r>
      <w:proofErr w:type="spellStart"/>
      <w:r w:rsidRPr="00467DB0">
        <w:t>af</w:t>
      </w:r>
      <w:proofErr w:type="spellEnd"/>
      <w:r w:rsidRPr="00467DB0">
        <w:t xml:space="preserve"> 30.7.2018, s. 1).</w:t>
      </w:r>
    </w:p>
  </w:footnote>
  <w:footnote w:id="6">
    <w:p w14:paraId="4ADFF899" w14:textId="6EBE6BE2" w:rsidR="00000000" w:rsidRDefault="00693D67">
      <w:pPr>
        <w:pStyle w:val="Fotnotetekst"/>
      </w:pPr>
      <w:r>
        <w:rPr>
          <w:vertAlign w:val="superscript"/>
        </w:rPr>
        <w:footnoteRef/>
      </w:r>
      <w:proofErr w:type="spellStart"/>
      <w:r w:rsidRPr="00467DB0">
        <w:t>Procedure</w:t>
      </w:r>
      <w:proofErr w:type="spellEnd"/>
      <w:r w:rsidRPr="00467DB0">
        <w:t xml:space="preserve"> 2018/0224/COD</w:t>
      </w:r>
    </w:p>
  </w:footnote>
  <w:footnote w:id="7">
    <w:p w14:paraId="75E51DE2" w14:textId="1A3DA208" w:rsidR="00000000" w:rsidRDefault="00693D67">
      <w:pPr>
        <w:pStyle w:val="Fotnotetekst"/>
      </w:pPr>
      <w:r>
        <w:rPr>
          <w:vertAlign w:val="superscript"/>
        </w:rPr>
        <w:footnoteRef/>
      </w:r>
      <w:r w:rsidRPr="00467DB0">
        <w:t>Europa-Parlaments og Rådets forordning (EU) 2021/52</w:t>
      </w:r>
      <w:r w:rsidRPr="00467DB0">
        <w:t xml:space="preserve">3 </w:t>
      </w:r>
      <w:proofErr w:type="spellStart"/>
      <w:r w:rsidRPr="00467DB0">
        <w:t>af</w:t>
      </w:r>
      <w:proofErr w:type="spellEnd"/>
      <w:r w:rsidRPr="00467DB0">
        <w:t xml:space="preserve"> 24. </w:t>
      </w:r>
      <w:proofErr w:type="spellStart"/>
      <w:r w:rsidRPr="00467DB0">
        <w:t>marts</w:t>
      </w:r>
      <w:proofErr w:type="spellEnd"/>
      <w:r w:rsidRPr="00467DB0">
        <w:t xml:space="preserve"> 2021 om </w:t>
      </w:r>
      <w:proofErr w:type="spellStart"/>
      <w:r w:rsidRPr="00467DB0">
        <w:t>oprettelse</w:t>
      </w:r>
      <w:proofErr w:type="spellEnd"/>
      <w:r w:rsidRPr="00467DB0">
        <w:t xml:space="preserve"> </w:t>
      </w:r>
      <w:proofErr w:type="spellStart"/>
      <w:r w:rsidRPr="00467DB0">
        <w:t>af</w:t>
      </w:r>
      <w:proofErr w:type="spellEnd"/>
      <w:r w:rsidRPr="00467DB0">
        <w:t xml:space="preserve"> </w:t>
      </w:r>
      <w:proofErr w:type="spellStart"/>
      <w:r w:rsidRPr="00467DB0">
        <w:t>InvestEU</w:t>
      </w:r>
      <w:proofErr w:type="spellEnd"/>
      <w:r w:rsidRPr="00467DB0">
        <w:t xml:space="preserve">-programmet og om </w:t>
      </w:r>
      <w:proofErr w:type="spellStart"/>
      <w:r w:rsidRPr="00467DB0">
        <w:t>ændring</w:t>
      </w:r>
      <w:proofErr w:type="spellEnd"/>
      <w:r w:rsidRPr="00467DB0">
        <w:t xml:space="preserve"> </w:t>
      </w:r>
      <w:proofErr w:type="spellStart"/>
      <w:r w:rsidRPr="00467DB0">
        <w:t>af</w:t>
      </w:r>
      <w:proofErr w:type="spellEnd"/>
      <w:r w:rsidRPr="00467DB0">
        <w:t xml:space="preserve"> forordning (EU) 2015/1017</w:t>
      </w:r>
    </w:p>
  </w:footnote>
  <w:footnote w:id="8">
    <w:p w14:paraId="46F61466" w14:textId="497DDA28" w:rsidR="00000000" w:rsidRDefault="00693D67">
      <w:pPr>
        <w:pStyle w:val="Fotnotetekst"/>
      </w:pPr>
      <w:r>
        <w:rPr>
          <w:vertAlign w:val="superscript"/>
        </w:rPr>
        <w:footnoteRef/>
      </w:r>
      <w:proofErr w:type="spellStart"/>
      <w:r w:rsidRPr="00467DB0">
        <w:t>Procedure</w:t>
      </w:r>
      <w:proofErr w:type="spellEnd"/>
      <w:r w:rsidRPr="00467DB0">
        <w:t xml:space="preserve"> 2018/0254/COD</w:t>
      </w:r>
    </w:p>
  </w:footnote>
  <w:footnote w:id="9">
    <w:p w14:paraId="70703C3E" w14:textId="7C2714C8" w:rsidR="00000000" w:rsidRDefault="00693D67">
      <w:pPr>
        <w:pStyle w:val="Fotnotetekst"/>
      </w:pPr>
      <w:r>
        <w:rPr>
          <w:vertAlign w:val="superscript"/>
        </w:rPr>
        <w:footnoteRef/>
      </w:r>
      <w:r w:rsidRPr="00467DB0">
        <w:t xml:space="preserve">EUT L 433 I </w:t>
      </w:r>
      <w:proofErr w:type="spellStart"/>
      <w:r w:rsidRPr="00467DB0">
        <w:t>af</w:t>
      </w:r>
      <w:proofErr w:type="spellEnd"/>
      <w:r w:rsidRPr="00467DB0">
        <w:t xml:space="preserve"> 22.12.2020, s. 28.</w:t>
      </w:r>
    </w:p>
  </w:footnote>
  <w:footnote w:id="10">
    <w:p w14:paraId="2672944E" w14:textId="02553E36" w:rsidR="00000000" w:rsidRDefault="00693D67">
      <w:pPr>
        <w:pStyle w:val="Fotnotetekst"/>
      </w:pPr>
      <w:r>
        <w:rPr>
          <w:vertAlign w:val="superscript"/>
        </w:rPr>
        <w:footnoteRef/>
      </w:r>
      <w:r w:rsidRPr="00467DB0">
        <w:t xml:space="preserve">EUT L 282 </w:t>
      </w:r>
      <w:proofErr w:type="spellStart"/>
      <w:r w:rsidRPr="00467DB0">
        <w:t>af</w:t>
      </w:r>
      <w:proofErr w:type="spellEnd"/>
      <w:r w:rsidRPr="00467DB0">
        <w:t xml:space="preserve"> 19.10.2016, s.</w:t>
      </w:r>
      <w:r w:rsidRPr="00467DB0">
        <w:t xml:space="preserve"> 4.</w:t>
      </w:r>
    </w:p>
  </w:footnote>
  <w:footnote w:id="11">
    <w:p w14:paraId="4A15CD22" w14:textId="1B405358" w:rsidR="00000000" w:rsidRDefault="00693D67">
      <w:pPr>
        <w:pStyle w:val="Fotnotetekst"/>
      </w:pPr>
      <w:r>
        <w:rPr>
          <w:vertAlign w:val="superscript"/>
        </w:rPr>
        <w:footnoteRef/>
      </w:r>
      <w:r w:rsidRPr="00467DB0">
        <w:t xml:space="preserve">Europa-Parlamentets og Rådets forordning (EU, Euratom) nr. 883/2013 </w:t>
      </w:r>
      <w:proofErr w:type="spellStart"/>
      <w:r w:rsidRPr="00467DB0">
        <w:t>af</w:t>
      </w:r>
      <w:proofErr w:type="spellEnd"/>
      <w:r w:rsidRPr="00467DB0">
        <w:t xml:space="preserve"> 11. september 2013 om </w:t>
      </w:r>
      <w:proofErr w:type="spellStart"/>
      <w:r w:rsidRPr="00467DB0">
        <w:t>undersøgelser</w:t>
      </w:r>
      <w:proofErr w:type="spellEnd"/>
      <w:r w:rsidRPr="00467DB0">
        <w:t xml:space="preserve">, der foretages </w:t>
      </w:r>
      <w:proofErr w:type="spellStart"/>
      <w:r w:rsidRPr="00467DB0">
        <w:t>af</w:t>
      </w:r>
      <w:proofErr w:type="spellEnd"/>
      <w:r w:rsidRPr="00467DB0">
        <w:t xml:space="preserve"> Det </w:t>
      </w:r>
      <w:proofErr w:type="spellStart"/>
      <w:r w:rsidRPr="00467DB0">
        <w:t>Europæiske</w:t>
      </w:r>
      <w:proofErr w:type="spellEnd"/>
      <w:r w:rsidRPr="00467DB0">
        <w:t xml:space="preserve"> Kontor for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(OLAF), og</w:t>
      </w:r>
      <w:r w:rsidRPr="00467DB0">
        <w:t xml:space="preserve"> om </w:t>
      </w:r>
      <w:proofErr w:type="spellStart"/>
      <w:r w:rsidRPr="00467DB0">
        <w:t>ophævelse</w:t>
      </w:r>
      <w:proofErr w:type="spellEnd"/>
      <w:r w:rsidRPr="00467DB0">
        <w:t xml:space="preserve"> </w:t>
      </w:r>
      <w:proofErr w:type="spellStart"/>
      <w:r w:rsidRPr="00467DB0">
        <w:t>af</w:t>
      </w:r>
      <w:proofErr w:type="spellEnd"/>
      <w:r w:rsidRPr="00467DB0">
        <w:t xml:space="preserve"> Europa-Parlamentets og Rådets forordning (EF) nr. 1073/1999 og Rådets forordning (Euratom) nr. 1074/1999 (EUT L 248 </w:t>
      </w:r>
      <w:proofErr w:type="spellStart"/>
      <w:r w:rsidRPr="00467DB0">
        <w:t>af</w:t>
      </w:r>
      <w:proofErr w:type="spellEnd"/>
      <w:r w:rsidRPr="00467DB0">
        <w:t xml:space="preserve"> 18.9.2013, s. 1).</w:t>
      </w:r>
    </w:p>
  </w:footnote>
  <w:footnote w:id="12">
    <w:p w14:paraId="5063AF54" w14:textId="0DCA1384" w:rsidR="00000000" w:rsidRDefault="00693D67">
      <w:pPr>
        <w:pStyle w:val="Fotnotetekst"/>
      </w:pPr>
      <w:r>
        <w:rPr>
          <w:vertAlign w:val="superscript"/>
        </w:rPr>
        <w:footnoteRef/>
      </w:r>
      <w:r w:rsidRPr="00467DB0">
        <w:t xml:space="preserve">Rådets forordning (EF, Euratom) nr. 2988/95 </w:t>
      </w:r>
      <w:proofErr w:type="spellStart"/>
      <w:r w:rsidRPr="00467DB0">
        <w:t>af</w:t>
      </w:r>
      <w:proofErr w:type="spellEnd"/>
      <w:r w:rsidRPr="00467DB0">
        <w:t xml:space="preserve"> 18. </w:t>
      </w:r>
      <w:proofErr w:type="spellStart"/>
      <w:r w:rsidRPr="00467DB0">
        <w:t>d</w:t>
      </w:r>
      <w:r w:rsidRPr="00467DB0">
        <w:t>ecember</w:t>
      </w:r>
      <w:proofErr w:type="spellEnd"/>
      <w:r w:rsidRPr="00467DB0">
        <w:t xml:space="preserve"> 1995 om beskyttelse </w:t>
      </w:r>
      <w:proofErr w:type="spellStart"/>
      <w:r w:rsidRPr="00467DB0">
        <w:t>af</w:t>
      </w:r>
      <w:proofErr w:type="spellEnd"/>
      <w:r w:rsidRPr="00467DB0">
        <w:t xml:space="preserve"> De </w:t>
      </w:r>
      <w:proofErr w:type="spellStart"/>
      <w:r w:rsidRPr="00467DB0">
        <w:t>Europæiske</w:t>
      </w:r>
      <w:proofErr w:type="spellEnd"/>
      <w:r w:rsidRPr="00467DB0">
        <w:t xml:space="preserve"> </w:t>
      </w:r>
      <w:proofErr w:type="spellStart"/>
      <w:r w:rsidRPr="00467DB0">
        <w:t>Fællesskabers</w:t>
      </w:r>
      <w:proofErr w:type="spellEnd"/>
      <w:r w:rsidRPr="00467DB0">
        <w:t xml:space="preserve"> finansielle interesser (EFT L 312 </w:t>
      </w:r>
      <w:proofErr w:type="spellStart"/>
      <w:r w:rsidRPr="00467DB0">
        <w:t>af</w:t>
      </w:r>
      <w:proofErr w:type="spellEnd"/>
      <w:r w:rsidRPr="00467DB0">
        <w:t xml:space="preserve"> 23.12.1995, s. 1).</w:t>
      </w:r>
    </w:p>
  </w:footnote>
  <w:footnote w:id="13">
    <w:p w14:paraId="7F9B00CF" w14:textId="1C5B7071" w:rsidR="00000000" w:rsidRDefault="00693D67">
      <w:pPr>
        <w:pStyle w:val="Fotnotetekst"/>
      </w:pPr>
      <w:r>
        <w:rPr>
          <w:vertAlign w:val="superscript"/>
        </w:rPr>
        <w:footnoteRef/>
      </w:r>
      <w:r w:rsidRPr="00467DB0">
        <w:t xml:space="preserve">Rådets forordning (Euratom, EF) nr. 2185/96 </w:t>
      </w:r>
      <w:proofErr w:type="spellStart"/>
      <w:r w:rsidRPr="00467DB0">
        <w:t>af</w:t>
      </w:r>
      <w:proofErr w:type="spellEnd"/>
      <w:r w:rsidRPr="00467DB0">
        <w:t xml:space="preserve"> 11. november 1996 om </w:t>
      </w:r>
      <w:proofErr w:type="spellStart"/>
      <w:r w:rsidRPr="00467DB0">
        <w:t>Kommissionens</w:t>
      </w:r>
      <w:proofErr w:type="spellEnd"/>
      <w:r w:rsidRPr="00467DB0">
        <w:t xml:space="preserve"> </w:t>
      </w:r>
      <w:proofErr w:type="spellStart"/>
      <w:r w:rsidRPr="00467DB0">
        <w:t>kontrol</w:t>
      </w:r>
      <w:proofErr w:type="spellEnd"/>
      <w:r w:rsidRPr="00467DB0">
        <w:t xml:space="preserve"> og </w:t>
      </w:r>
      <w:proofErr w:type="spellStart"/>
      <w:r w:rsidRPr="00467DB0">
        <w:t>inspektion</w:t>
      </w:r>
      <w:proofErr w:type="spellEnd"/>
      <w:r w:rsidRPr="00467DB0">
        <w:t xml:space="preserve"> på sted</w:t>
      </w:r>
      <w:r w:rsidRPr="00467DB0">
        <w:t xml:space="preserve">et med </w:t>
      </w:r>
      <w:proofErr w:type="spellStart"/>
      <w:r w:rsidRPr="00467DB0">
        <w:t>henblik</w:t>
      </w:r>
      <w:proofErr w:type="spellEnd"/>
      <w:r w:rsidRPr="00467DB0">
        <w:t xml:space="preserve"> på beskyttelse </w:t>
      </w:r>
      <w:proofErr w:type="spellStart"/>
      <w:r w:rsidRPr="00467DB0">
        <w:t>af</w:t>
      </w:r>
      <w:proofErr w:type="spellEnd"/>
      <w:r w:rsidRPr="00467DB0">
        <w:t xml:space="preserve"> De </w:t>
      </w:r>
      <w:proofErr w:type="spellStart"/>
      <w:r w:rsidRPr="00467DB0">
        <w:t>Europæiske</w:t>
      </w:r>
      <w:proofErr w:type="spellEnd"/>
      <w:r w:rsidRPr="00467DB0">
        <w:t xml:space="preserve"> </w:t>
      </w:r>
      <w:proofErr w:type="spellStart"/>
      <w:r w:rsidRPr="00467DB0">
        <w:t>Fællesskabers</w:t>
      </w:r>
      <w:proofErr w:type="spellEnd"/>
      <w:r w:rsidRPr="00467DB0">
        <w:t xml:space="preserve"> finansielle interesser mod </w:t>
      </w:r>
      <w:proofErr w:type="spellStart"/>
      <w:r w:rsidRPr="00467DB0">
        <w:t>svig</w:t>
      </w:r>
      <w:proofErr w:type="spellEnd"/>
      <w:r w:rsidRPr="00467DB0">
        <w:t xml:space="preserve"> og andre </w:t>
      </w:r>
      <w:proofErr w:type="spellStart"/>
      <w:r w:rsidRPr="00467DB0">
        <w:t>uregelmæssigheder</w:t>
      </w:r>
      <w:proofErr w:type="spellEnd"/>
      <w:r w:rsidRPr="00467DB0">
        <w:t xml:space="preserve"> (EFT L 292 </w:t>
      </w:r>
      <w:proofErr w:type="spellStart"/>
      <w:r w:rsidRPr="00467DB0">
        <w:t>af</w:t>
      </w:r>
      <w:proofErr w:type="spellEnd"/>
      <w:r w:rsidRPr="00467DB0">
        <w:t xml:space="preserve"> 15.11.1996, s. 2).</w:t>
      </w:r>
    </w:p>
  </w:footnote>
  <w:footnote w:id="14">
    <w:p w14:paraId="1FA8537B" w14:textId="7AF56F72" w:rsidR="00000000" w:rsidRDefault="00693D67">
      <w:pPr>
        <w:pStyle w:val="Fotnotetekst"/>
      </w:pPr>
      <w:r>
        <w:rPr>
          <w:vertAlign w:val="superscript"/>
        </w:rPr>
        <w:footnoteRef/>
      </w:r>
      <w:r w:rsidRPr="00467DB0">
        <w:t xml:space="preserve">Rådets forordning (EU) 2017/1939 </w:t>
      </w:r>
      <w:proofErr w:type="spellStart"/>
      <w:r w:rsidRPr="00467DB0">
        <w:t>af</w:t>
      </w:r>
      <w:proofErr w:type="spellEnd"/>
      <w:r w:rsidRPr="00467DB0">
        <w:t xml:space="preserve"> 12. oktober 2017 om </w:t>
      </w:r>
      <w:proofErr w:type="spellStart"/>
      <w:r w:rsidRPr="00467DB0">
        <w:t>gennemførelse</w:t>
      </w:r>
      <w:proofErr w:type="spellEnd"/>
      <w:r w:rsidRPr="00467DB0">
        <w:t xml:space="preserve"> </w:t>
      </w:r>
      <w:proofErr w:type="spellStart"/>
      <w:r w:rsidRPr="00467DB0">
        <w:t>af</w:t>
      </w:r>
      <w:proofErr w:type="spellEnd"/>
      <w:r w:rsidRPr="00467DB0">
        <w:t xml:space="preserve"> et </w:t>
      </w:r>
      <w:proofErr w:type="spellStart"/>
      <w:r w:rsidRPr="00467DB0">
        <w:t>forstæ</w:t>
      </w:r>
      <w:r w:rsidRPr="00467DB0">
        <w:t>rket</w:t>
      </w:r>
      <w:proofErr w:type="spellEnd"/>
      <w:r w:rsidRPr="00467DB0">
        <w:t xml:space="preserve"> </w:t>
      </w:r>
      <w:proofErr w:type="spellStart"/>
      <w:r w:rsidRPr="00467DB0">
        <w:t>samarbejde</w:t>
      </w:r>
      <w:proofErr w:type="spellEnd"/>
      <w:r w:rsidRPr="00467DB0">
        <w:t xml:space="preserve"> om </w:t>
      </w:r>
      <w:proofErr w:type="spellStart"/>
      <w:r w:rsidRPr="00467DB0">
        <w:t>oprettelse</w:t>
      </w:r>
      <w:proofErr w:type="spellEnd"/>
      <w:r w:rsidRPr="00467DB0">
        <w:t xml:space="preserve"> </w:t>
      </w:r>
      <w:proofErr w:type="spellStart"/>
      <w:r w:rsidRPr="00467DB0">
        <w:t>af</w:t>
      </w:r>
      <w:proofErr w:type="spellEnd"/>
      <w:r w:rsidRPr="00467DB0">
        <w:t xml:space="preserve"> Den </w:t>
      </w:r>
      <w:proofErr w:type="spellStart"/>
      <w:r w:rsidRPr="00467DB0">
        <w:t>Europæiske</w:t>
      </w:r>
      <w:proofErr w:type="spellEnd"/>
      <w:r w:rsidRPr="00467DB0">
        <w:t xml:space="preserve"> </w:t>
      </w:r>
      <w:proofErr w:type="spellStart"/>
      <w:r w:rsidRPr="00467DB0">
        <w:t>Anklagemyndighed</w:t>
      </w:r>
      <w:proofErr w:type="spellEnd"/>
      <w:r w:rsidRPr="00467DB0">
        <w:t xml:space="preserve"> ("EPPO") (EUT L 283 </w:t>
      </w:r>
      <w:proofErr w:type="spellStart"/>
      <w:r w:rsidRPr="00467DB0">
        <w:t>af</w:t>
      </w:r>
      <w:proofErr w:type="spellEnd"/>
      <w:r w:rsidRPr="00467DB0">
        <w:t xml:space="preserve"> 31.10.2017, s. 1).</w:t>
      </w:r>
    </w:p>
  </w:footnote>
  <w:footnote w:id="15">
    <w:p w14:paraId="21A4FE28" w14:textId="34C164CC" w:rsidR="00000000" w:rsidRDefault="00693D67">
      <w:pPr>
        <w:pStyle w:val="Fotnotetekst"/>
      </w:pPr>
      <w:r>
        <w:rPr>
          <w:vertAlign w:val="superscript"/>
        </w:rPr>
        <w:footnoteRef/>
      </w:r>
      <w:r w:rsidRPr="00467DB0">
        <w:t xml:space="preserve">Europa-Parlamentets og Rådets direktiv (EU) </w:t>
      </w:r>
      <w:r w:rsidRPr="00467DB0">
        <w:t xml:space="preserve">2017/1371 </w:t>
      </w:r>
      <w:proofErr w:type="spellStart"/>
      <w:r w:rsidRPr="00467DB0">
        <w:t>af</w:t>
      </w:r>
      <w:proofErr w:type="spellEnd"/>
      <w:r w:rsidRPr="00467DB0">
        <w:t xml:space="preserve"> 5. juli 2017 om </w:t>
      </w:r>
      <w:proofErr w:type="spellStart"/>
      <w:r w:rsidRPr="00467DB0">
        <w:t>strafferetlig</w:t>
      </w:r>
      <w:proofErr w:type="spellEnd"/>
      <w:r w:rsidRPr="00467DB0">
        <w:t xml:space="preserve"> </w:t>
      </w:r>
      <w:proofErr w:type="spellStart"/>
      <w:r w:rsidRPr="00467DB0">
        <w:t>bekæmpelse</w:t>
      </w:r>
      <w:proofErr w:type="spellEnd"/>
      <w:r w:rsidRPr="00467DB0">
        <w:t xml:space="preserve"> </w:t>
      </w:r>
      <w:proofErr w:type="spellStart"/>
      <w:r w:rsidRPr="00467DB0">
        <w:t>af</w:t>
      </w:r>
      <w:proofErr w:type="spellEnd"/>
      <w:r w:rsidRPr="00467DB0">
        <w:t xml:space="preserve"> </w:t>
      </w:r>
      <w:proofErr w:type="spellStart"/>
      <w:r w:rsidRPr="00467DB0">
        <w:t>svig</w:t>
      </w:r>
      <w:proofErr w:type="spellEnd"/>
      <w:r w:rsidRPr="00467DB0">
        <w:t xml:space="preserve"> rettet mod Den </w:t>
      </w:r>
      <w:proofErr w:type="spellStart"/>
      <w:r w:rsidRPr="00467DB0">
        <w:t>Europæiske</w:t>
      </w:r>
      <w:proofErr w:type="spellEnd"/>
      <w:r w:rsidRPr="00467DB0">
        <w:t xml:space="preserve"> Unions finansielle interesser (EUT L 198 </w:t>
      </w:r>
      <w:proofErr w:type="spellStart"/>
      <w:r w:rsidRPr="00467DB0">
        <w:t>af</w:t>
      </w:r>
      <w:proofErr w:type="spellEnd"/>
      <w:r w:rsidRPr="00467DB0">
        <w:t xml:space="preserve"> 28.7.2017, s. 29).</w:t>
      </w:r>
    </w:p>
  </w:footnote>
  <w:footnote w:id="16">
    <w:p w14:paraId="741E6D58" w14:textId="7A44ADAA" w:rsidR="00000000" w:rsidRDefault="00693D67">
      <w:pPr>
        <w:pStyle w:val="Fotnotetekst"/>
      </w:pPr>
      <w:r>
        <w:rPr>
          <w:vertAlign w:val="superscript"/>
        </w:rPr>
        <w:footnoteRef/>
      </w:r>
      <w:r w:rsidRPr="00467DB0">
        <w:t xml:space="preserve">EFT L 1 </w:t>
      </w:r>
      <w:proofErr w:type="spellStart"/>
      <w:r w:rsidRPr="00467DB0">
        <w:t>af</w:t>
      </w:r>
      <w:proofErr w:type="spellEnd"/>
      <w:r w:rsidRPr="00467DB0">
        <w:t xml:space="preserve"> 3.1.1994, s. 3.</w:t>
      </w:r>
    </w:p>
  </w:footnote>
  <w:footnote w:id="17">
    <w:p w14:paraId="490591E8" w14:textId="37C73E81" w:rsidR="00000000" w:rsidRDefault="00693D67">
      <w:pPr>
        <w:pStyle w:val="Fotnotetekst"/>
      </w:pPr>
      <w:r>
        <w:rPr>
          <w:vertAlign w:val="superscript"/>
        </w:rPr>
        <w:footnoteRef/>
      </w:r>
      <w:r w:rsidRPr="00467DB0">
        <w:t xml:space="preserve">Europa-Parlamentets og Rådets </w:t>
      </w:r>
      <w:proofErr w:type="spellStart"/>
      <w:r w:rsidRPr="00467DB0">
        <w:t>afgørelse</w:t>
      </w:r>
      <w:proofErr w:type="spellEnd"/>
      <w:r w:rsidRPr="00467DB0">
        <w:t xml:space="preserve"> nr. 243/2012/EU </w:t>
      </w:r>
      <w:proofErr w:type="spellStart"/>
      <w:r w:rsidRPr="00467DB0">
        <w:t>af</w:t>
      </w:r>
      <w:proofErr w:type="spellEnd"/>
      <w:r w:rsidRPr="00467DB0">
        <w:t xml:space="preserve"> 14. </w:t>
      </w:r>
      <w:proofErr w:type="spellStart"/>
      <w:r w:rsidRPr="00467DB0">
        <w:t>marts</w:t>
      </w:r>
      <w:proofErr w:type="spellEnd"/>
      <w:r w:rsidRPr="00467DB0">
        <w:t xml:space="preserve"> 2012 om </w:t>
      </w:r>
      <w:proofErr w:type="spellStart"/>
      <w:r w:rsidRPr="00467DB0">
        <w:t>indførelse</w:t>
      </w:r>
      <w:proofErr w:type="spellEnd"/>
      <w:r w:rsidRPr="00467DB0">
        <w:t xml:space="preserve"> </w:t>
      </w:r>
      <w:proofErr w:type="spellStart"/>
      <w:r w:rsidRPr="00467DB0">
        <w:t>af</w:t>
      </w:r>
      <w:proofErr w:type="spellEnd"/>
      <w:r w:rsidRPr="00467DB0">
        <w:t xml:space="preserve"> et </w:t>
      </w:r>
      <w:proofErr w:type="spellStart"/>
      <w:r w:rsidRPr="00467DB0">
        <w:t>flerårigt</w:t>
      </w:r>
      <w:proofErr w:type="spellEnd"/>
      <w:r w:rsidRPr="00467DB0">
        <w:t xml:space="preserve"> </w:t>
      </w:r>
      <w:proofErr w:type="spellStart"/>
      <w:r w:rsidRPr="00467DB0">
        <w:t>radiofrekvenspolitikprogram</w:t>
      </w:r>
      <w:proofErr w:type="spellEnd"/>
      <w:r w:rsidRPr="00467DB0">
        <w:t xml:space="preserve"> (EUT L 81 </w:t>
      </w:r>
      <w:proofErr w:type="spellStart"/>
      <w:r w:rsidRPr="00467DB0">
        <w:t>af</w:t>
      </w:r>
      <w:proofErr w:type="spellEnd"/>
      <w:r w:rsidRPr="00467DB0">
        <w:t xml:space="preserve"> 21.3.2012, s. 7).</w:t>
      </w:r>
    </w:p>
  </w:footnote>
  <w:footnote w:id="18">
    <w:p w14:paraId="2F79BC33" w14:textId="71B5BC7E" w:rsidR="00000000" w:rsidRDefault="00693D67">
      <w:pPr>
        <w:pStyle w:val="Fotnotetekst"/>
      </w:pPr>
      <w:r>
        <w:rPr>
          <w:vertAlign w:val="superscript"/>
        </w:rPr>
        <w:footnoteRef/>
      </w:r>
      <w:r w:rsidRPr="00467DB0">
        <w:t>Europa-Parlamentets</w:t>
      </w:r>
      <w:r w:rsidRPr="00467DB0">
        <w:t xml:space="preserve"> og Rådets forordning (EU) nr. 912/2010 </w:t>
      </w:r>
      <w:proofErr w:type="spellStart"/>
      <w:r w:rsidRPr="00467DB0">
        <w:t>af</w:t>
      </w:r>
      <w:proofErr w:type="spellEnd"/>
      <w:r w:rsidRPr="00467DB0">
        <w:t xml:space="preserve"> 22. september 2010 om </w:t>
      </w:r>
      <w:proofErr w:type="spellStart"/>
      <w:r w:rsidRPr="00467DB0">
        <w:t>oprettelse</w:t>
      </w:r>
      <w:proofErr w:type="spellEnd"/>
      <w:r w:rsidRPr="00467DB0">
        <w:t xml:space="preserve"> </w:t>
      </w:r>
      <w:proofErr w:type="spellStart"/>
      <w:r w:rsidRPr="00467DB0">
        <w:t>af</w:t>
      </w:r>
      <w:proofErr w:type="spellEnd"/>
      <w:r w:rsidRPr="00467DB0">
        <w:t xml:space="preserve"> Det </w:t>
      </w:r>
      <w:proofErr w:type="spellStart"/>
      <w:r w:rsidRPr="00467DB0">
        <w:t>Europæiske</w:t>
      </w:r>
      <w:proofErr w:type="spellEnd"/>
      <w:r w:rsidRPr="00467DB0">
        <w:t xml:space="preserve"> GNSS-agentur, om </w:t>
      </w:r>
      <w:proofErr w:type="spellStart"/>
      <w:r w:rsidRPr="00467DB0">
        <w:t>ophævelse</w:t>
      </w:r>
      <w:proofErr w:type="spellEnd"/>
      <w:r w:rsidRPr="00467DB0">
        <w:t xml:space="preserve"> </w:t>
      </w:r>
      <w:proofErr w:type="spellStart"/>
      <w:r w:rsidRPr="00467DB0">
        <w:t>af</w:t>
      </w:r>
      <w:proofErr w:type="spellEnd"/>
      <w:r w:rsidRPr="00467DB0">
        <w:t xml:space="preserve"> Rådets forordning (EF) nr. 1321/2004 om </w:t>
      </w:r>
      <w:proofErr w:type="spellStart"/>
      <w:r w:rsidRPr="00467DB0">
        <w:t>forvaltningsstrukturerne</w:t>
      </w:r>
      <w:proofErr w:type="spellEnd"/>
      <w:r w:rsidRPr="00467DB0">
        <w:t xml:space="preserve"> for de </w:t>
      </w:r>
      <w:proofErr w:type="spellStart"/>
      <w:r w:rsidRPr="00467DB0">
        <w:t>europæiske</w:t>
      </w:r>
      <w:proofErr w:type="spellEnd"/>
      <w:r w:rsidRPr="00467DB0">
        <w:t xml:space="preserve"> programmer for </w:t>
      </w:r>
      <w:proofErr w:type="spellStart"/>
      <w:r w:rsidRPr="00467DB0">
        <w:t>satellitbaseret</w:t>
      </w:r>
      <w:proofErr w:type="spellEnd"/>
      <w:r w:rsidRPr="00467DB0">
        <w:t xml:space="preserve"> </w:t>
      </w:r>
      <w:proofErr w:type="spellStart"/>
      <w:r w:rsidRPr="00467DB0">
        <w:t>radionavigation</w:t>
      </w:r>
      <w:proofErr w:type="spellEnd"/>
      <w:r w:rsidRPr="00467DB0">
        <w:t xml:space="preserve"> og</w:t>
      </w:r>
      <w:r w:rsidRPr="00467DB0">
        <w:t xml:space="preserve"> om </w:t>
      </w:r>
      <w:proofErr w:type="spellStart"/>
      <w:r w:rsidRPr="00467DB0">
        <w:t>ændring</w:t>
      </w:r>
      <w:proofErr w:type="spellEnd"/>
      <w:r w:rsidRPr="00467DB0">
        <w:t xml:space="preserve"> </w:t>
      </w:r>
      <w:proofErr w:type="spellStart"/>
      <w:r w:rsidRPr="00467DB0">
        <w:t>af</w:t>
      </w:r>
      <w:proofErr w:type="spellEnd"/>
      <w:r w:rsidRPr="00467DB0">
        <w:t xml:space="preserve"> Europa-Parlamentets og Rådets forordning (EF) nr. 683/2008 (EUT L 276 </w:t>
      </w:r>
      <w:proofErr w:type="spellStart"/>
      <w:r w:rsidRPr="00467DB0">
        <w:t>af</w:t>
      </w:r>
      <w:proofErr w:type="spellEnd"/>
      <w:r w:rsidRPr="00467DB0">
        <w:t xml:space="preserve"> 20.10.2010, s. 11).</w:t>
      </w:r>
    </w:p>
  </w:footnote>
  <w:footnote w:id="19">
    <w:p w14:paraId="6468236D" w14:textId="640D219C" w:rsidR="00000000" w:rsidRDefault="00693D67">
      <w:pPr>
        <w:pStyle w:val="Fotnotetekst"/>
      </w:pPr>
      <w:r>
        <w:rPr>
          <w:vertAlign w:val="superscript"/>
        </w:rPr>
        <w:footnoteRef/>
      </w:r>
      <w:r w:rsidRPr="00467DB0">
        <w:t xml:space="preserve">EUT L 261 </w:t>
      </w:r>
      <w:proofErr w:type="spellStart"/>
      <w:r w:rsidRPr="00467DB0">
        <w:t>af</w:t>
      </w:r>
      <w:proofErr w:type="spellEnd"/>
      <w:r w:rsidRPr="00467DB0">
        <w:t xml:space="preserve"> 6.8.2004, s. 64.</w:t>
      </w:r>
    </w:p>
  </w:footnote>
  <w:footnote w:id="20">
    <w:p w14:paraId="1FC7974A" w14:textId="66CF56FB" w:rsidR="00000000" w:rsidRDefault="00693D67">
      <w:pPr>
        <w:pStyle w:val="Fotnotetekst"/>
      </w:pPr>
      <w:r>
        <w:rPr>
          <w:vertAlign w:val="superscript"/>
        </w:rPr>
        <w:footnoteRef/>
      </w:r>
      <w:r w:rsidRPr="00467DB0">
        <w:t xml:space="preserve">Europa-Parlamentets og Rådets </w:t>
      </w:r>
      <w:proofErr w:type="spellStart"/>
      <w:r w:rsidRPr="00467DB0">
        <w:t>afgørelse</w:t>
      </w:r>
      <w:proofErr w:type="spellEnd"/>
      <w:r w:rsidRPr="00467DB0">
        <w:t xml:space="preserve"> nr. 541/20</w:t>
      </w:r>
      <w:r w:rsidRPr="00467DB0">
        <w:t xml:space="preserve">14/EU </w:t>
      </w:r>
      <w:proofErr w:type="spellStart"/>
      <w:r w:rsidRPr="00467DB0">
        <w:t>af</w:t>
      </w:r>
      <w:proofErr w:type="spellEnd"/>
      <w:r w:rsidRPr="00467DB0">
        <w:t xml:space="preserve"> 16. april 2014 om </w:t>
      </w:r>
      <w:proofErr w:type="spellStart"/>
      <w:r w:rsidRPr="00467DB0">
        <w:t>oprettelse</w:t>
      </w:r>
      <w:proofErr w:type="spellEnd"/>
      <w:r w:rsidRPr="00467DB0">
        <w:t xml:space="preserve"> </w:t>
      </w:r>
      <w:proofErr w:type="spellStart"/>
      <w:r w:rsidRPr="00467DB0">
        <w:t>af</w:t>
      </w:r>
      <w:proofErr w:type="spellEnd"/>
      <w:r w:rsidRPr="00467DB0">
        <w:t xml:space="preserve"> en støtteramme for </w:t>
      </w:r>
      <w:proofErr w:type="spellStart"/>
      <w:r w:rsidRPr="00467DB0">
        <w:t>overvågning</w:t>
      </w:r>
      <w:proofErr w:type="spellEnd"/>
      <w:r w:rsidRPr="00467DB0">
        <w:t xml:space="preserve"> og sporing i </w:t>
      </w:r>
      <w:proofErr w:type="spellStart"/>
      <w:r w:rsidRPr="00467DB0">
        <w:t>rummet</w:t>
      </w:r>
      <w:proofErr w:type="spellEnd"/>
      <w:r w:rsidRPr="00467DB0">
        <w:t xml:space="preserve"> (EUT L 158 </w:t>
      </w:r>
      <w:proofErr w:type="spellStart"/>
      <w:r w:rsidRPr="00467DB0">
        <w:t>af</w:t>
      </w:r>
      <w:proofErr w:type="spellEnd"/>
      <w:r w:rsidRPr="00467DB0">
        <w:t xml:space="preserve"> 27.5.2014, s. 227).</w:t>
      </w:r>
    </w:p>
  </w:footnote>
  <w:footnote w:id="21">
    <w:p w14:paraId="4703C461" w14:textId="77777777" w:rsidR="00000000" w:rsidRPr="00467DB0" w:rsidRDefault="00693D67" w:rsidP="00467DB0">
      <w:pPr>
        <w:pStyle w:val="Fotnotetekst"/>
      </w:pPr>
      <w:r>
        <w:rPr>
          <w:vertAlign w:val="superscript"/>
        </w:rPr>
        <w:footnoteRef/>
      </w:r>
      <w:r w:rsidRPr="00467DB0">
        <w:t xml:space="preserve">Rådets </w:t>
      </w:r>
      <w:proofErr w:type="spellStart"/>
      <w:r w:rsidRPr="00467DB0">
        <w:t>afgørelse</w:t>
      </w:r>
      <w:proofErr w:type="spellEnd"/>
      <w:r w:rsidRPr="00467DB0">
        <w:t xml:space="preserve"> 202x</w:t>
      </w:r>
      <w:proofErr w:type="gramStart"/>
      <w:r w:rsidRPr="00467DB0">
        <w:t>/…/</w:t>
      </w:r>
      <w:proofErr w:type="gramEnd"/>
      <w:r w:rsidRPr="00467DB0">
        <w:t xml:space="preserve">FUSP </w:t>
      </w:r>
      <w:proofErr w:type="spellStart"/>
      <w:r w:rsidRPr="00467DB0">
        <w:t>af</w:t>
      </w:r>
      <w:proofErr w:type="spellEnd"/>
      <w:r w:rsidRPr="00467DB0">
        <w:t xml:space="preserve"> … om … (EUT L … </w:t>
      </w:r>
      <w:proofErr w:type="spellStart"/>
      <w:r w:rsidRPr="00467DB0">
        <w:t>af</w:t>
      </w:r>
      <w:proofErr w:type="spellEnd"/>
      <w:r w:rsidRPr="00467DB0">
        <w:t xml:space="preserve"> …, s. …).</w:t>
      </w:r>
    </w:p>
    <w:p w14:paraId="4A498CD8" w14:textId="3B48B7F2" w:rsidR="00000000" w:rsidRDefault="00693D67">
      <w:pPr>
        <w:pStyle w:val="Fotnotetekst"/>
      </w:pPr>
      <w:r w:rsidRPr="00467DB0">
        <w:t xml:space="preserve">Denne </w:t>
      </w:r>
      <w:proofErr w:type="spellStart"/>
      <w:r w:rsidRPr="00467DB0">
        <w:t>rådsafgørelse</w:t>
      </w:r>
      <w:proofErr w:type="spellEnd"/>
      <w:r w:rsidRPr="00467DB0">
        <w:t xml:space="preserve"> vil være et resultat </w:t>
      </w:r>
      <w:proofErr w:type="spellStart"/>
      <w:r w:rsidRPr="00467DB0">
        <w:t>af</w:t>
      </w:r>
      <w:proofErr w:type="spellEnd"/>
      <w:r w:rsidRPr="00467DB0">
        <w:t xml:space="preserve"> det </w:t>
      </w:r>
      <w:proofErr w:type="spellStart"/>
      <w:r w:rsidRPr="00467DB0">
        <w:t>højtstående</w:t>
      </w:r>
      <w:proofErr w:type="spellEnd"/>
      <w:r w:rsidRPr="00467DB0">
        <w:t xml:space="preserve"> </w:t>
      </w:r>
      <w:proofErr w:type="spellStart"/>
      <w:r w:rsidRPr="00467DB0">
        <w:t>repræsentants</w:t>
      </w:r>
      <w:proofErr w:type="spellEnd"/>
      <w:r w:rsidRPr="00467DB0">
        <w:t xml:space="preserve"> forslag om at </w:t>
      </w:r>
      <w:proofErr w:type="spellStart"/>
      <w:r w:rsidRPr="00467DB0">
        <w:t>udvide</w:t>
      </w:r>
      <w:proofErr w:type="spellEnd"/>
      <w:r w:rsidRPr="00467DB0">
        <w:t xml:space="preserve"> anvendelsesområdet for Rådets </w:t>
      </w:r>
      <w:proofErr w:type="spellStart"/>
      <w:r w:rsidRPr="00467DB0">
        <w:t>afgørelse</w:t>
      </w:r>
      <w:proofErr w:type="spellEnd"/>
      <w:r w:rsidRPr="00467DB0">
        <w:t xml:space="preserve"> 2014/496/FUSP </w:t>
      </w:r>
      <w:proofErr w:type="spellStart"/>
      <w:r w:rsidRPr="00467DB0">
        <w:t>af</w:t>
      </w:r>
      <w:proofErr w:type="spellEnd"/>
      <w:r w:rsidRPr="00467DB0">
        <w:t xml:space="preserve"> 22. juli 2014, der for </w:t>
      </w:r>
      <w:proofErr w:type="spellStart"/>
      <w:r w:rsidRPr="00467DB0">
        <w:t>ø</w:t>
      </w:r>
      <w:r w:rsidRPr="00467DB0">
        <w:t>jeblikket</w:t>
      </w:r>
      <w:proofErr w:type="spellEnd"/>
      <w:r w:rsidRPr="00467DB0">
        <w:t xml:space="preserve"> er under forhandling.</w:t>
      </w:r>
    </w:p>
  </w:footnote>
  <w:footnote w:id="22">
    <w:p w14:paraId="43757D71" w14:textId="6FC593CE" w:rsidR="00000000" w:rsidRDefault="00693D67">
      <w:pPr>
        <w:pStyle w:val="Fotnotetekst"/>
      </w:pPr>
      <w:r>
        <w:rPr>
          <w:vertAlign w:val="superscript"/>
        </w:rPr>
        <w:footnoteRef/>
      </w:r>
      <w:r w:rsidRPr="00467DB0">
        <w:t xml:space="preserve">2010/427/EU: Rådets </w:t>
      </w:r>
      <w:proofErr w:type="spellStart"/>
      <w:r w:rsidRPr="00467DB0">
        <w:t>afgørelse</w:t>
      </w:r>
      <w:proofErr w:type="spellEnd"/>
      <w:r w:rsidRPr="00467DB0">
        <w:t xml:space="preserve"> </w:t>
      </w:r>
      <w:proofErr w:type="spellStart"/>
      <w:r w:rsidRPr="00467DB0">
        <w:t>af</w:t>
      </w:r>
      <w:proofErr w:type="spellEnd"/>
      <w:r w:rsidRPr="00467DB0">
        <w:t xml:space="preserve"> 26. juli 2010 om, hvordan Tjenesten for </w:t>
      </w:r>
      <w:proofErr w:type="spellStart"/>
      <w:r w:rsidRPr="00467DB0">
        <w:t>EU's</w:t>
      </w:r>
      <w:proofErr w:type="spellEnd"/>
      <w:r w:rsidRPr="00467DB0">
        <w:t xml:space="preserve"> </w:t>
      </w:r>
      <w:proofErr w:type="spellStart"/>
      <w:r w:rsidRPr="00467DB0">
        <w:t>Optræden</w:t>
      </w:r>
      <w:proofErr w:type="spellEnd"/>
      <w:r w:rsidRPr="00467DB0">
        <w:t xml:space="preserve"> </w:t>
      </w:r>
      <w:proofErr w:type="spellStart"/>
      <w:r w:rsidRPr="00467DB0">
        <w:t>Udadtil</w:t>
      </w:r>
      <w:proofErr w:type="spellEnd"/>
      <w:r w:rsidRPr="00467DB0">
        <w:t xml:space="preserve"> s</w:t>
      </w:r>
      <w:r w:rsidRPr="00467DB0">
        <w:t xml:space="preserve">kal </w:t>
      </w:r>
      <w:proofErr w:type="spellStart"/>
      <w:r w:rsidRPr="00467DB0">
        <w:t>tilrettelægges</w:t>
      </w:r>
      <w:proofErr w:type="spellEnd"/>
      <w:r w:rsidRPr="00467DB0">
        <w:t xml:space="preserve"> og fungere (EUT L 201 </w:t>
      </w:r>
      <w:proofErr w:type="spellStart"/>
      <w:r w:rsidRPr="00467DB0">
        <w:t>af</w:t>
      </w:r>
      <w:proofErr w:type="spellEnd"/>
      <w:r w:rsidRPr="00467DB0">
        <w:t xml:space="preserve"> 3.8.2010, s. 30).</w:t>
      </w:r>
    </w:p>
  </w:footnote>
  <w:footnote w:id="23">
    <w:p w14:paraId="0D5A3857" w14:textId="77777777" w:rsidR="00000000" w:rsidRPr="00467DB0" w:rsidRDefault="00693D67" w:rsidP="00467DB0">
      <w:pPr>
        <w:pStyle w:val="Fotnotetekst"/>
      </w:pPr>
      <w:r>
        <w:rPr>
          <w:vertAlign w:val="superscript"/>
        </w:rPr>
        <w:footnoteRef/>
      </w:r>
      <w:r>
        <w:rPr>
          <w:sz w:val="17"/>
          <w:szCs w:val="17"/>
        </w:rPr>
        <w:t xml:space="preserve"> </w:t>
      </w:r>
      <w:r w:rsidRPr="00467DB0">
        <w:t xml:space="preserve">Rådets </w:t>
      </w:r>
      <w:proofErr w:type="spellStart"/>
      <w:r w:rsidRPr="00467DB0">
        <w:t>afgørelse</w:t>
      </w:r>
      <w:proofErr w:type="spellEnd"/>
      <w:r w:rsidRPr="00467DB0">
        <w:t xml:space="preserve"> 202x</w:t>
      </w:r>
      <w:proofErr w:type="gramStart"/>
      <w:r w:rsidRPr="00467DB0">
        <w:t>/…/</w:t>
      </w:r>
      <w:proofErr w:type="gramEnd"/>
      <w:r w:rsidRPr="00467DB0">
        <w:t xml:space="preserve">FUSP </w:t>
      </w:r>
      <w:proofErr w:type="spellStart"/>
      <w:r w:rsidRPr="00467DB0">
        <w:t>af</w:t>
      </w:r>
      <w:proofErr w:type="spellEnd"/>
      <w:r w:rsidRPr="00467DB0">
        <w:t xml:space="preserve"> … om … (EUT L … </w:t>
      </w:r>
      <w:proofErr w:type="spellStart"/>
      <w:r w:rsidRPr="00467DB0">
        <w:t>af</w:t>
      </w:r>
      <w:proofErr w:type="spellEnd"/>
      <w:r w:rsidRPr="00467DB0">
        <w:t xml:space="preserve"> …, s. …).</w:t>
      </w:r>
    </w:p>
    <w:p w14:paraId="24B117C9" w14:textId="09C43E53" w:rsidR="00000000" w:rsidRDefault="00693D67">
      <w:pPr>
        <w:pStyle w:val="Fotnotetekst"/>
      </w:pPr>
      <w:r w:rsidRPr="00467DB0">
        <w:t xml:space="preserve">Denne </w:t>
      </w:r>
      <w:proofErr w:type="spellStart"/>
      <w:r w:rsidRPr="00467DB0">
        <w:t>rådsafgørelse</w:t>
      </w:r>
      <w:proofErr w:type="spellEnd"/>
      <w:r w:rsidRPr="00467DB0">
        <w:t xml:space="preserve"> vil være et resultat </w:t>
      </w:r>
      <w:proofErr w:type="spellStart"/>
      <w:r w:rsidRPr="00467DB0">
        <w:t>af</w:t>
      </w:r>
      <w:proofErr w:type="spellEnd"/>
      <w:r w:rsidRPr="00467DB0">
        <w:t xml:space="preserve"> det </w:t>
      </w:r>
      <w:proofErr w:type="spellStart"/>
      <w:r w:rsidRPr="00467DB0">
        <w:t>højtstående</w:t>
      </w:r>
      <w:proofErr w:type="spellEnd"/>
      <w:r w:rsidRPr="00467DB0">
        <w:t xml:space="preserve"> </w:t>
      </w:r>
      <w:proofErr w:type="spellStart"/>
      <w:r w:rsidRPr="00467DB0">
        <w:t>repræsentants</w:t>
      </w:r>
      <w:proofErr w:type="spellEnd"/>
      <w:r w:rsidRPr="00467DB0">
        <w:t xml:space="preserve"> forslag om at </w:t>
      </w:r>
      <w:proofErr w:type="spellStart"/>
      <w:r w:rsidRPr="00467DB0">
        <w:t>udvide</w:t>
      </w:r>
      <w:proofErr w:type="spellEnd"/>
      <w:r w:rsidRPr="00467DB0">
        <w:t xml:space="preserve"> anvendelsesområdet for Rådets </w:t>
      </w:r>
      <w:proofErr w:type="spellStart"/>
      <w:r w:rsidRPr="00467DB0">
        <w:t>afgørelse</w:t>
      </w:r>
      <w:proofErr w:type="spellEnd"/>
      <w:r w:rsidRPr="00467DB0">
        <w:t xml:space="preserve"> 2014/496/FUSP </w:t>
      </w:r>
      <w:proofErr w:type="spellStart"/>
      <w:r w:rsidRPr="00467DB0">
        <w:t>af</w:t>
      </w:r>
      <w:proofErr w:type="spellEnd"/>
      <w:r w:rsidRPr="00467DB0">
        <w:t xml:space="preserve"> 22. juli </w:t>
      </w:r>
      <w:r w:rsidRPr="00467DB0">
        <w:t xml:space="preserve">2014, der for </w:t>
      </w:r>
      <w:proofErr w:type="spellStart"/>
      <w:r w:rsidRPr="00467DB0">
        <w:t>øjeblikket</w:t>
      </w:r>
      <w:proofErr w:type="spellEnd"/>
      <w:r w:rsidRPr="00467DB0">
        <w:t xml:space="preserve"> er under forhandling.</w:t>
      </w:r>
    </w:p>
  </w:footnote>
  <w:footnote w:id="24">
    <w:p w14:paraId="0E164DD3" w14:textId="4897ACA0" w:rsidR="00000000" w:rsidRDefault="00693D67">
      <w:pPr>
        <w:pStyle w:val="Fotnotetekst"/>
      </w:pPr>
      <w:r>
        <w:rPr>
          <w:vertAlign w:val="superscript"/>
        </w:rPr>
        <w:footnoteRef/>
      </w:r>
      <w:r w:rsidRPr="00467DB0">
        <w:t xml:space="preserve">Rådets </w:t>
      </w:r>
      <w:proofErr w:type="spellStart"/>
      <w:r w:rsidRPr="00467DB0">
        <w:t>afgørelse</w:t>
      </w:r>
      <w:proofErr w:type="spellEnd"/>
      <w:r w:rsidRPr="00467DB0">
        <w:t xml:space="preserve"> </w:t>
      </w:r>
      <w:proofErr w:type="spellStart"/>
      <w:r w:rsidRPr="00467DB0">
        <w:t>af</w:t>
      </w:r>
      <w:proofErr w:type="spellEnd"/>
      <w:r w:rsidRPr="00467DB0">
        <w:t xml:space="preserve"> 23. s</w:t>
      </w:r>
      <w:r w:rsidRPr="00467DB0">
        <w:t xml:space="preserve">eptember 2013 om </w:t>
      </w:r>
      <w:proofErr w:type="spellStart"/>
      <w:r w:rsidRPr="00467DB0">
        <w:t>reglerne</w:t>
      </w:r>
      <w:proofErr w:type="spellEnd"/>
      <w:r w:rsidRPr="00467DB0">
        <w:t xml:space="preserve"> for </w:t>
      </w:r>
      <w:proofErr w:type="spellStart"/>
      <w:r w:rsidRPr="00467DB0">
        <w:t>sikkerhedsbeskyttelse</w:t>
      </w:r>
      <w:proofErr w:type="spellEnd"/>
      <w:r w:rsidRPr="00467DB0">
        <w:t xml:space="preserve"> </w:t>
      </w:r>
      <w:proofErr w:type="spellStart"/>
      <w:r w:rsidRPr="00467DB0">
        <w:t>af</w:t>
      </w:r>
      <w:proofErr w:type="spellEnd"/>
      <w:r w:rsidRPr="00467DB0">
        <w:t xml:space="preserve"> </w:t>
      </w:r>
      <w:proofErr w:type="spellStart"/>
      <w:r w:rsidRPr="00467DB0">
        <w:t>EU's</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(2013/488/EU) (EUT L 274 </w:t>
      </w:r>
      <w:proofErr w:type="spellStart"/>
      <w:r w:rsidRPr="00467DB0">
        <w:t>af</w:t>
      </w:r>
      <w:proofErr w:type="spellEnd"/>
      <w:r w:rsidRPr="00467DB0">
        <w:t xml:space="preserve"> 15.10.2013, s. 1).</w:t>
      </w:r>
    </w:p>
  </w:footnote>
  <w:footnote w:id="25">
    <w:p w14:paraId="0939F113" w14:textId="7DC651FC" w:rsidR="00000000" w:rsidRDefault="00693D67">
      <w:pPr>
        <w:pStyle w:val="Fotnotetekst"/>
      </w:pPr>
      <w:r>
        <w:rPr>
          <w:vertAlign w:val="superscript"/>
        </w:rPr>
        <w:footnoteRef/>
      </w:r>
      <w:proofErr w:type="spellStart"/>
      <w:r w:rsidRPr="00467DB0">
        <w:t>Kommissionens</w:t>
      </w:r>
      <w:proofErr w:type="spellEnd"/>
      <w:r w:rsidRPr="00467DB0">
        <w:t xml:space="preserve"> </w:t>
      </w:r>
      <w:proofErr w:type="spellStart"/>
      <w:r w:rsidRPr="00467DB0">
        <w:t>afgørelse</w:t>
      </w:r>
      <w:proofErr w:type="spellEnd"/>
      <w:r w:rsidRPr="00467DB0">
        <w:t xml:space="preserve"> (EU, Euratom) 2015/444 </w:t>
      </w:r>
      <w:proofErr w:type="spellStart"/>
      <w:r w:rsidRPr="00467DB0">
        <w:t>af</w:t>
      </w:r>
      <w:proofErr w:type="spellEnd"/>
      <w:r w:rsidRPr="00467DB0">
        <w:t xml:space="preserve"> 13. </w:t>
      </w:r>
      <w:proofErr w:type="spellStart"/>
      <w:r w:rsidRPr="00467DB0">
        <w:t>marts</w:t>
      </w:r>
      <w:proofErr w:type="spellEnd"/>
      <w:r w:rsidRPr="00467DB0">
        <w:t xml:space="preserve"> 2015 om</w:t>
      </w:r>
      <w:r w:rsidRPr="00467DB0">
        <w:t xml:space="preserve"> </w:t>
      </w:r>
      <w:proofErr w:type="spellStart"/>
      <w:r w:rsidRPr="00467DB0">
        <w:t>reglerne</w:t>
      </w:r>
      <w:proofErr w:type="spellEnd"/>
      <w:r w:rsidRPr="00467DB0">
        <w:t xml:space="preserve"> for </w:t>
      </w:r>
      <w:proofErr w:type="spellStart"/>
      <w:r w:rsidRPr="00467DB0">
        <w:t>sikkerhedsbeskyttelse</w:t>
      </w:r>
      <w:proofErr w:type="spellEnd"/>
      <w:r w:rsidRPr="00467DB0">
        <w:t xml:space="preserve"> </w:t>
      </w:r>
      <w:proofErr w:type="spellStart"/>
      <w:r w:rsidRPr="00467DB0">
        <w:t>af</w:t>
      </w:r>
      <w:proofErr w:type="spellEnd"/>
      <w:r w:rsidRPr="00467DB0">
        <w:t xml:space="preserve"> </w:t>
      </w:r>
      <w:proofErr w:type="spellStart"/>
      <w:r w:rsidRPr="00467DB0">
        <w:t>EU's</w:t>
      </w:r>
      <w:proofErr w:type="spellEnd"/>
      <w:r w:rsidRPr="00467DB0">
        <w:t xml:space="preserve"> </w:t>
      </w:r>
      <w:proofErr w:type="spellStart"/>
      <w:r w:rsidRPr="00467DB0">
        <w:t>klassificerede</w:t>
      </w:r>
      <w:proofErr w:type="spellEnd"/>
      <w:r w:rsidRPr="00467DB0">
        <w:t xml:space="preserve"> </w:t>
      </w:r>
      <w:proofErr w:type="spellStart"/>
      <w:r w:rsidRPr="00467DB0">
        <w:t>informationer</w:t>
      </w:r>
      <w:proofErr w:type="spellEnd"/>
      <w:r w:rsidRPr="00467DB0">
        <w:t xml:space="preserve"> (EUT L 72 </w:t>
      </w:r>
      <w:proofErr w:type="spellStart"/>
      <w:r w:rsidRPr="00467DB0">
        <w:t>af</w:t>
      </w:r>
      <w:proofErr w:type="spellEnd"/>
      <w:r w:rsidRPr="00467DB0">
        <w:t xml:space="preserve"> 17.3.2015, s. 53).</w:t>
      </w:r>
    </w:p>
  </w:footnote>
  <w:footnote w:id="26">
    <w:p w14:paraId="152216D3" w14:textId="3C4424E9" w:rsidR="00000000" w:rsidRDefault="00693D67">
      <w:pPr>
        <w:pStyle w:val="Fotnotetekst"/>
      </w:pPr>
      <w:r>
        <w:rPr>
          <w:vertAlign w:val="superscript"/>
        </w:rPr>
        <w:footnoteRef/>
      </w:r>
      <w:r w:rsidRPr="00467DB0">
        <w:t>Europa-Parlamentets og Rådets foror</w:t>
      </w:r>
      <w:r w:rsidRPr="00467DB0">
        <w:t xml:space="preserve">dning (EU) 2019/452 </w:t>
      </w:r>
      <w:proofErr w:type="spellStart"/>
      <w:r w:rsidRPr="00467DB0">
        <w:t>af</w:t>
      </w:r>
      <w:proofErr w:type="spellEnd"/>
      <w:r w:rsidRPr="00467DB0">
        <w:t xml:space="preserve"> 19. </w:t>
      </w:r>
      <w:proofErr w:type="spellStart"/>
      <w:r w:rsidRPr="00467DB0">
        <w:t>marts</w:t>
      </w:r>
      <w:proofErr w:type="spellEnd"/>
      <w:r w:rsidRPr="00467DB0">
        <w:t xml:space="preserve"> 2019 om et </w:t>
      </w:r>
      <w:proofErr w:type="spellStart"/>
      <w:r w:rsidRPr="00467DB0">
        <w:t>regelsæt</w:t>
      </w:r>
      <w:proofErr w:type="spellEnd"/>
      <w:r w:rsidRPr="00467DB0">
        <w:t xml:space="preserve"> for screening </w:t>
      </w:r>
      <w:proofErr w:type="spellStart"/>
      <w:r w:rsidRPr="00467DB0">
        <w:t>af</w:t>
      </w:r>
      <w:proofErr w:type="spellEnd"/>
      <w:r w:rsidRPr="00467DB0">
        <w:t xml:space="preserve"> </w:t>
      </w:r>
      <w:proofErr w:type="spellStart"/>
      <w:r w:rsidRPr="00467DB0">
        <w:t>udenlandske</w:t>
      </w:r>
      <w:proofErr w:type="spellEnd"/>
      <w:r w:rsidRPr="00467DB0">
        <w:t xml:space="preserve"> direkte investeringer i Unionen (EUT L 79I </w:t>
      </w:r>
      <w:proofErr w:type="spellStart"/>
      <w:r w:rsidRPr="00467DB0">
        <w:t>af</w:t>
      </w:r>
      <w:proofErr w:type="spellEnd"/>
      <w:r w:rsidRPr="00467DB0">
        <w:t xml:space="preserve"> 21.3.2019, s. 1).</w:t>
      </w:r>
    </w:p>
  </w:footnote>
  <w:footnote w:id="27">
    <w:p w14:paraId="3B3349D5" w14:textId="1D48DBEF" w:rsidR="00000000" w:rsidRDefault="00693D67">
      <w:pPr>
        <w:pStyle w:val="Fotnotetekst"/>
      </w:pPr>
      <w:r>
        <w:rPr>
          <w:vertAlign w:val="superscript"/>
        </w:rPr>
        <w:footnoteRef/>
      </w:r>
      <w:r w:rsidRPr="00467DB0">
        <w:t xml:space="preserve">Europa-Parlamentets og Rådets forordning (EU) 2018/1139 </w:t>
      </w:r>
      <w:proofErr w:type="spellStart"/>
      <w:r w:rsidRPr="00467DB0">
        <w:t>af</w:t>
      </w:r>
      <w:proofErr w:type="spellEnd"/>
      <w:r w:rsidRPr="00467DB0">
        <w:t xml:space="preserve"> 4. juli 2018 om </w:t>
      </w:r>
      <w:proofErr w:type="spellStart"/>
      <w:r w:rsidRPr="00467DB0">
        <w:t>fælles</w:t>
      </w:r>
      <w:proofErr w:type="spellEnd"/>
      <w:r w:rsidRPr="00467DB0">
        <w:t xml:space="preserve"> regler for </w:t>
      </w:r>
      <w:proofErr w:type="spellStart"/>
      <w:r w:rsidRPr="00467DB0">
        <w:t>civil</w:t>
      </w:r>
      <w:proofErr w:type="spellEnd"/>
      <w:r w:rsidRPr="00467DB0">
        <w:t xml:space="preserve"> luftfart og </w:t>
      </w:r>
      <w:proofErr w:type="spellStart"/>
      <w:r w:rsidRPr="00467DB0">
        <w:t>oprettelse</w:t>
      </w:r>
      <w:proofErr w:type="spellEnd"/>
      <w:r w:rsidRPr="00467DB0">
        <w:t xml:space="preserve"> </w:t>
      </w:r>
      <w:proofErr w:type="spellStart"/>
      <w:r w:rsidRPr="00467DB0">
        <w:t>af</w:t>
      </w:r>
      <w:proofErr w:type="spellEnd"/>
      <w:r w:rsidRPr="00467DB0">
        <w:t xml:space="preserve"> Den </w:t>
      </w:r>
      <w:proofErr w:type="spellStart"/>
      <w:r w:rsidRPr="00467DB0">
        <w:t>Europæiske</w:t>
      </w:r>
      <w:proofErr w:type="spellEnd"/>
      <w:r w:rsidRPr="00467DB0">
        <w:t xml:space="preserve"> Unions </w:t>
      </w:r>
      <w:proofErr w:type="spellStart"/>
      <w:r w:rsidRPr="00467DB0">
        <w:t>Luftfartssikkerhedsagentur</w:t>
      </w:r>
      <w:proofErr w:type="spellEnd"/>
      <w:r w:rsidRPr="00467DB0">
        <w:t xml:space="preserve"> og om </w:t>
      </w:r>
      <w:proofErr w:type="spellStart"/>
      <w:r w:rsidRPr="00467DB0">
        <w:t>ændring</w:t>
      </w:r>
      <w:proofErr w:type="spellEnd"/>
      <w:r w:rsidRPr="00467DB0">
        <w:t xml:space="preserve"> </w:t>
      </w:r>
      <w:proofErr w:type="spellStart"/>
      <w:r w:rsidRPr="00467DB0">
        <w:t>af</w:t>
      </w:r>
      <w:proofErr w:type="spellEnd"/>
      <w:r w:rsidRPr="00467DB0">
        <w:t xml:space="preserve"> forordning (EF) nr. 2111/2005, (EF) nr. 100</w:t>
      </w:r>
      <w:r w:rsidRPr="00467DB0">
        <w:t xml:space="preserve">8/2008, (EU) nr. 996/2010, (EU) nr. 376/2014 og direktiv 2014/30/EU og 2014/53/EU og om </w:t>
      </w:r>
      <w:proofErr w:type="spellStart"/>
      <w:r w:rsidRPr="00467DB0">
        <w:t>ophævelse</w:t>
      </w:r>
      <w:proofErr w:type="spellEnd"/>
      <w:r w:rsidRPr="00467DB0">
        <w:t xml:space="preserve"> </w:t>
      </w:r>
      <w:proofErr w:type="spellStart"/>
      <w:r w:rsidRPr="00467DB0">
        <w:t>af</w:t>
      </w:r>
      <w:proofErr w:type="spellEnd"/>
      <w:r w:rsidRPr="00467DB0">
        <w:t xml:space="preserve"> (EF) nr. 552/2004 og (EF) nr. 216/2008 og Rådets forordning (EØF) nr. 3922/91 (EUT L 212 </w:t>
      </w:r>
      <w:proofErr w:type="spellStart"/>
      <w:r w:rsidRPr="00467DB0">
        <w:t>af</w:t>
      </w:r>
      <w:proofErr w:type="spellEnd"/>
      <w:r w:rsidRPr="00467DB0">
        <w:t xml:space="preserve"> 22.8.2018, s. 1).</w:t>
      </w:r>
    </w:p>
  </w:footnote>
  <w:footnote w:id="28">
    <w:p w14:paraId="6DBD63A7" w14:textId="0F2A18C6" w:rsidR="00000000" w:rsidRDefault="00693D67">
      <w:pPr>
        <w:pStyle w:val="Fotnotetekst"/>
      </w:pPr>
      <w:r>
        <w:rPr>
          <w:vertAlign w:val="superscript"/>
        </w:rPr>
        <w:footnoteRef/>
      </w:r>
      <w:r w:rsidRPr="00467DB0">
        <w:t xml:space="preserve">Europa-Parlamentets og Rådets forordning (EU) nr. 1285/2013 </w:t>
      </w:r>
      <w:proofErr w:type="spellStart"/>
      <w:r w:rsidRPr="00467DB0">
        <w:t>af</w:t>
      </w:r>
      <w:proofErr w:type="spellEnd"/>
      <w:r w:rsidRPr="00467DB0">
        <w:t xml:space="preserve"> 11. </w:t>
      </w:r>
      <w:proofErr w:type="spellStart"/>
      <w:r w:rsidRPr="00467DB0">
        <w:t>december</w:t>
      </w:r>
      <w:proofErr w:type="spellEnd"/>
      <w:r w:rsidRPr="00467DB0">
        <w:t xml:space="preserve"> 2013 om etablering og drift </w:t>
      </w:r>
      <w:proofErr w:type="spellStart"/>
      <w:r w:rsidRPr="00467DB0">
        <w:t>af</w:t>
      </w:r>
      <w:proofErr w:type="spellEnd"/>
      <w:r w:rsidRPr="00467DB0">
        <w:t xml:space="preserve"> de </w:t>
      </w:r>
      <w:proofErr w:type="spellStart"/>
      <w:r w:rsidRPr="00467DB0">
        <w:t>europæiske</w:t>
      </w:r>
      <w:proofErr w:type="spellEnd"/>
      <w:r w:rsidRPr="00467DB0">
        <w:t xml:space="preserve"> </w:t>
      </w:r>
      <w:proofErr w:type="spellStart"/>
      <w:r w:rsidRPr="00467DB0">
        <w:t>satellitbaserede</w:t>
      </w:r>
      <w:proofErr w:type="spellEnd"/>
      <w:r w:rsidRPr="00467DB0">
        <w:t xml:space="preserve"> </w:t>
      </w:r>
      <w:proofErr w:type="spellStart"/>
      <w:r w:rsidRPr="00467DB0">
        <w:t>navigationssystemer</w:t>
      </w:r>
      <w:proofErr w:type="spellEnd"/>
      <w:r w:rsidRPr="00467DB0">
        <w:t xml:space="preserve"> og om </w:t>
      </w:r>
      <w:proofErr w:type="spellStart"/>
      <w:r w:rsidRPr="00467DB0">
        <w:t>ophævelse</w:t>
      </w:r>
      <w:proofErr w:type="spellEnd"/>
      <w:r w:rsidRPr="00467DB0">
        <w:t xml:space="preserve"> </w:t>
      </w:r>
      <w:proofErr w:type="spellStart"/>
      <w:r w:rsidRPr="00467DB0">
        <w:t>af</w:t>
      </w:r>
      <w:proofErr w:type="spellEnd"/>
      <w:r w:rsidRPr="00467DB0">
        <w:t xml:space="preserve"> Rådets forordning (EF) nr. 876/2002 og Europa-Parlamentets og Rådets forordning (EF) nr. 683/2008 (EUT L 347 </w:t>
      </w:r>
      <w:proofErr w:type="spellStart"/>
      <w:r w:rsidRPr="00467DB0">
        <w:t>af</w:t>
      </w:r>
      <w:proofErr w:type="spellEnd"/>
      <w:r w:rsidRPr="00467DB0">
        <w:t xml:space="preserve"> 20.12.2013, s. 1).</w:t>
      </w:r>
    </w:p>
  </w:footnote>
  <w:footnote w:id="29">
    <w:p w14:paraId="73B23C84" w14:textId="5D051934" w:rsidR="00000000" w:rsidRDefault="00693D67">
      <w:pPr>
        <w:pStyle w:val="Fotnotetekst"/>
      </w:pPr>
      <w:r>
        <w:rPr>
          <w:vertAlign w:val="superscript"/>
        </w:rPr>
        <w:footnoteRef/>
      </w:r>
      <w:proofErr w:type="spellStart"/>
      <w:r w:rsidRPr="00467DB0">
        <w:t>Kommissionens</w:t>
      </w:r>
      <w:proofErr w:type="spellEnd"/>
      <w:r w:rsidRPr="00467DB0">
        <w:t xml:space="preserve"> </w:t>
      </w:r>
      <w:proofErr w:type="spellStart"/>
      <w:r w:rsidRPr="00467DB0">
        <w:t>gennemførelsesafgørelse</w:t>
      </w:r>
      <w:proofErr w:type="spellEnd"/>
      <w:r w:rsidRPr="00467DB0">
        <w:t xml:space="preserve"> (EU) 2017/224 </w:t>
      </w:r>
      <w:proofErr w:type="spellStart"/>
      <w:r w:rsidRPr="00467DB0">
        <w:t>af</w:t>
      </w:r>
      <w:proofErr w:type="spellEnd"/>
      <w:r w:rsidRPr="00467DB0">
        <w:t xml:space="preserve"> 8. februar 2017 om </w:t>
      </w:r>
      <w:proofErr w:type="spellStart"/>
      <w:r w:rsidRPr="00467DB0">
        <w:t>fastsættelse</w:t>
      </w:r>
      <w:proofErr w:type="spellEnd"/>
      <w:r w:rsidRPr="00467DB0">
        <w:t xml:space="preserve"> </w:t>
      </w:r>
      <w:proofErr w:type="spellStart"/>
      <w:r w:rsidRPr="00467DB0">
        <w:t>af</w:t>
      </w:r>
      <w:proofErr w:type="spellEnd"/>
      <w:r w:rsidRPr="00467DB0">
        <w:t xml:space="preserve"> tekniske og </w:t>
      </w:r>
      <w:proofErr w:type="spellStart"/>
      <w:r w:rsidRPr="00467DB0">
        <w:t>operationelle</w:t>
      </w:r>
      <w:proofErr w:type="spellEnd"/>
      <w:r w:rsidRPr="00467DB0">
        <w:t xml:space="preserve"> </w:t>
      </w:r>
      <w:proofErr w:type="spellStart"/>
      <w:r w:rsidRPr="00467DB0">
        <w:t>specifikati</w:t>
      </w:r>
      <w:r w:rsidRPr="00467DB0">
        <w:t>oner</w:t>
      </w:r>
      <w:proofErr w:type="spellEnd"/>
      <w:r w:rsidRPr="00467DB0">
        <w:t xml:space="preserve">, som </w:t>
      </w:r>
      <w:proofErr w:type="spellStart"/>
      <w:r w:rsidRPr="00467DB0">
        <w:t>gør</w:t>
      </w:r>
      <w:proofErr w:type="spellEnd"/>
      <w:r w:rsidRPr="00467DB0">
        <w:t xml:space="preserve"> det </w:t>
      </w:r>
      <w:proofErr w:type="spellStart"/>
      <w:r w:rsidRPr="00467DB0">
        <w:t>muligt</w:t>
      </w:r>
      <w:proofErr w:type="spellEnd"/>
      <w:r w:rsidRPr="00467DB0">
        <w:t xml:space="preserve"> for den </w:t>
      </w:r>
      <w:proofErr w:type="spellStart"/>
      <w:r w:rsidRPr="00467DB0">
        <w:t>forretningsmæssige</w:t>
      </w:r>
      <w:proofErr w:type="spellEnd"/>
      <w:r w:rsidRPr="00467DB0">
        <w:t xml:space="preserve"> tjeneste, der leveres </w:t>
      </w:r>
      <w:proofErr w:type="spellStart"/>
      <w:r w:rsidRPr="00467DB0">
        <w:t>af</w:t>
      </w:r>
      <w:proofErr w:type="spellEnd"/>
      <w:r w:rsidRPr="00467DB0">
        <w:t xml:space="preserve"> systemet </w:t>
      </w:r>
      <w:proofErr w:type="spellStart"/>
      <w:r w:rsidRPr="00467DB0">
        <w:t>etableret</w:t>
      </w:r>
      <w:proofErr w:type="spellEnd"/>
      <w:r w:rsidRPr="00467DB0">
        <w:t xml:space="preserve"> under </w:t>
      </w:r>
      <w:proofErr w:type="spellStart"/>
      <w:r w:rsidRPr="00467DB0">
        <w:t>Galileoprogrammet</w:t>
      </w:r>
      <w:proofErr w:type="spellEnd"/>
      <w:r w:rsidRPr="00467DB0">
        <w:t xml:space="preserve">, at </w:t>
      </w:r>
      <w:proofErr w:type="spellStart"/>
      <w:r w:rsidRPr="00467DB0">
        <w:t>opfylde</w:t>
      </w:r>
      <w:proofErr w:type="spellEnd"/>
      <w:r w:rsidRPr="00467DB0">
        <w:t xml:space="preserve"> </w:t>
      </w:r>
      <w:proofErr w:type="spellStart"/>
      <w:r w:rsidRPr="00467DB0">
        <w:t>funktionen</w:t>
      </w:r>
      <w:proofErr w:type="spellEnd"/>
      <w:r w:rsidRPr="00467DB0">
        <w:t xml:space="preserve"> som omhandlet i </w:t>
      </w:r>
      <w:proofErr w:type="spellStart"/>
      <w:r w:rsidRPr="00467DB0">
        <w:t>artikel</w:t>
      </w:r>
      <w:proofErr w:type="spellEnd"/>
      <w:r w:rsidRPr="00467DB0">
        <w:t xml:space="preserve"> 2, stk. 4, litra c), i Europa-Parlamentets og Rådets forordning (EU) nr. 1285/2013 (EUT L</w:t>
      </w:r>
      <w:r w:rsidRPr="00467DB0">
        <w:t xml:space="preserve"> 34 </w:t>
      </w:r>
      <w:proofErr w:type="spellStart"/>
      <w:r w:rsidRPr="00467DB0">
        <w:t>af</w:t>
      </w:r>
      <w:proofErr w:type="spellEnd"/>
      <w:r w:rsidRPr="00467DB0">
        <w:t xml:space="preserve"> 9.2.2017, s. 36).</w:t>
      </w:r>
    </w:p>
  </w:footnote>
  <w:footnote w:id="30">
    <w:p w14:paraId="0558AF50" w14:textId="27A4BF5A" w:rsidR="00000000" w:rsidRDefault="00693D67">
      <w:pPr>
        <w:pStyle w:val="Fotnotetekst"/>
      </w:pPr>
      <w:r>
        <w:rPr>
          <w:vertAlign w:val="superscript"/>
        </w:rPr>
        <w:footnoteRef/>
      </w:r>
      <w:r w:rsidRPr="00467DB0">
        <w:t xml:space="preserve">Europa-Parlamentets og Rådets forordning (EU) nr. 377/2014 </w:t>
      </w:r>
      <w:proofErr w:type="spellStart"/>
      <w:r w:rsidRPr="00467DB0">
        <w:t>af</w:t>
      </w:r>
      <w:proofErr w:type="spellEnd"/>
      <w:r w:rsidRPr="00467DB0">
        <w:t xml:space="preserve"> 3. april 2014 om </w:t>
      </w:r>
      <w:proofErr w:type="spellStart"/>
      <w:r w:rsidRPr="00467DB0">
        <w:t>oprettelse</w:t>
      </w:r>
      <w:proofErr w:type="spellEnd"/>
      <w:r w:rsidRPr="00467DB0">
        <w:t xml:space="preserve"> </w:t>
      </w:r>
      <w:proofErr w:type="spellStart"/>
      <w:r w:rsidRPr="00467DB0">
        <w:t>af</w:t>
      </w:r>
      <w:proofErr w:type="spellEnd"/>
      <w:r w:rsidRPr="00467DB0">
        <w:t xml:space="preserve"> </w:t>
      </w:r>
      <w:proofErr w:type="spellStart"/>
      <w:r w:rsidRPr="00467DB0">
        <w:t>Copernicusprogrammet</w:t>
      </w:r>
      <w:proofErr w:type="spellEnd"/>
      <w:r w:rsidRPr="00467DB0">
        <w:t xml:space="preserve"> og om </w:t>
      </w:r>
      <w:proofErr w:type="spellStart"/>
      <w:r w:rsidRPr="00467DB0">
        <w:t>op</w:t>
      </w:r>
      <w:r w:rsidRPr="00467DB0">
        <w:t>hævelse</w:t>
      </w:r>
      <w:proofErr w:type="spellEnd"/>
      <w:r w:rsidRPr="00467DB0">
        <w:t xml:space="preserve"> </w:t>
      </w:r>
      <w:proofErr w:type="spellStart"/>
      <w:r w:rsidRPr="00467DB0">
        <w:t>af</w:t>
      </w:r>
      <w:proofErr w:type="spellEnd"/>
      <w:r w:rsidRPr="00467DB0">
        <w:t xml:space="preserve"> forordning (EU) nr. 911/2010 (EUT L 122 </w:t>
      </w:r>
      <w:proofErr w:type="spellStart"/>
      <w:r w:rsidRPr="00467DB0">
        <w:t>af</w:t>
      </w:r>
      <w:proofErr w:type="spellEnd"/>
      <w:r w:rsidRPr="00467DB0">
        <w:t xml:space="preserve"> 24.4.2014, s. 44).</w:t>
      </w:r>
    </w:p>
  </w:footnote>
  <w:footnote w:id="31">
    <w:p w14:paraId="5AFC6C12" w14:textId="764DA2E7" w:rsidR="00000000" w:rsidRDefault="00693D67">
      <w:pPr>
        <w:pStyle w:val="Fotnotetekst"/>
      </w:pPr>
      <w:r>
        <w:rPr>
          <w:vertAlign w:val="superscript"/>
        </w:rPr>
        <w:footnoteRef/>
      </w:r>
      <w:r w:rsidRPr="00467DB0">
        <w:t>Europa-Parlamentets og Rådets forord</w:t>
      </w:r>
      <w:r w:rsidRPr="00467DB0">
        <w:t xml:space="preserve">ning (EU) nr. 911/2010 </w:t>
      </w:r>
      <w:proofErr w:type="spellStart"/>
      <w:r w:rsidRPr="00467DB0">
        <w:t>af</w:t>
      </w:r>
      <w:proofErr w:type="spellEnd"/>
      <w:r w:rsidRPr="00467DB0">
        <w:t xml:space="preserve"> 22. september 2010 om det </w:t>
      </w:r>
      <w:proofErr w:type="spellStart"/>
      <w:r w:rsidRPr="00467DB0">
        <w:t>europæiske</w:t>
      </w:r>
      <w:proofErr w:type="spellEnd"/>
      <w:r w:rsidRPr="00467DB0">
        <w:t xml:space="preserve"> </w:t>
      </w:r>
      <w:proofErr w:type="spellStart"/>
      <w:r w:rsidRPr="00467DB0">
        <w:t>jordovervågningsprogram</w:t>
      </w:r>
      <w:proofErr w:type="spellEnd"/>
      <w:r w:rsidRPr="00467DB0">
        <w:t xml:space="preserve"> (GMES) og dets første </w:t>
      </w:r>
      <w:proofErr w:type="spellStart"/>
      <w:r w:rsidRPr="00467DB0">
        <w:t>operationelle</w:t>
      </w:r>
      <w:proofErr w:type="spellEnd"/>
      <w:r w:rsidRPr="00467DB0">
        <w:t xml:space="preserve"> aktiviteter (2011-2013) (EUT L 276 </w:t>
      </w:r>
      <w:proofErr w:type="spellStart"/>
      <w:r w:rsidRPr="00467DB0">
        <w:t>af</w:t>
      </w:r>
      <w:proofErr w:type="spellEnd"/>
      <w:r w:rsidRPr="00467DB0">
        <w:t xml:space="preserve"> 20.10.2010, s. 1).</w:t>
      </w:r>
    </w:p>
  </w:footnote>
  <w:footnote w:id="32">
    <w:p w14:paraId="1EE05E21" w14:textId="1B6F7580" w:rsidR="00000000" w:rsidRDefault="00693D67">
      <w:pPr>
        <w:pStyle w:val="Fotnotetekst"/>
      </w:pPr>
      <w:r>
        <w:rPr>
          <w:vertAlign w:val="superscript"/>
        </w:rPr>
        <w:footnoteRef/>
      </w:r>
      <w:r w:rsidRPr="00467DB0">
        <w:t xml:space="preserve">Europa-Parlamentets og Rådets direktiv 2007/2/EF </w:t>
      </w:r>
      <w:proofErr w:type="spellStart"/>
      <w:r w:rsidRPr="00467DB0">
        <w:t>af</w:t>
      </w:r>
      <w:proofErr w:type="spellEnd"/>
      <w:r w:rsidRPr="00467DB0">
        <w:t xml:space="preserve"> 14. </w:t>
      </w:r>
      <w:proofErr w:type="spellStart"/>
      <w:r w:rsidRPr="00467DB0">
        <w:t>marts</w:t>
      </w:r>
      <w:proofErr w:type="spellEnd"/>
      <w:r w:rsidRPr="00467DB0">
        <w:t xml:space="preserve"> 2007 om </w:t>
      </w:r>
      <w:proofErr w:type="spellStart"/>
      <w:r w:rsidRPr="00467DB0">
        <w:t>opbygning</w:t>
      </w:r>
      <w:proofErr w:type="spellEnd"/>
      <w:r w:rsidRPr="00467DB0">
        <w:t xml:space="preserve"> </w:t>
      </w:r>
      <w:proofErr w:type="spellStart"/>
      <w:r w:rsidRPr="00467DB0">
        <w:t>af</w:t>
      </w:r>
      <w:proofErr w:type="spellEnd"/>
      <w:r w:rsidRPr="00467DB0">
        <w:t xml:space="preserve"> en infrastruktur for geografisk </w:t>
      </w:r>
      <w:proofErr w:type="spellStart"/>
      <w:r w:rsidRPr="00467DB0">
        <w:t>information</w:t>
      </w:r>
      <w:proofErr w:type="spellEnd"/>
      <w:r w:rsidRPr="00467DB0">
        <w:t xml:space="preserve"> i Det </w:t>
      </w:r>
      <w:proofErr w:type="spellStart"/>
      <w:r w:rsidRPr="00467DB0">
        <w:t>Europæiske</w:t>
      </w:r>
      <w:proofErr w:type="spellEnd"/>
      <w:r w:rsidRPr="00467DB0">
        <w:t xml:space="preserve"> </w:t>
      </w:r>
      <w:proofErr w:type="spellStart"/>
      <w:r w:rsidRPr="00467DB0">
        <w:t>Fællesskab</w:t>
      </w:r>
      <w:proofErr w:type="spellEnd"/>
      <w:r w:rsidRPr="00467DB0">
        <w:t xml:space="preserve"> (</w:t>
      </w:r>
      <w:proofErr w:type="spellStart"/>
      <w:r w:rsidRPr="00467DB0">
        <w:t>Inspire</w:t>
      </w:r>
      <w:proofErr w:type="spellEnd"/>
      <w:r w:rsidRPr="00467DB0">
        <w:t xml:space="preserve">) (EUT L 108 </w:t>
      </w:r>
      <w:proofErr w:type="spellStart"/>
      <w:r w:rsidRPr="00467DB0">
        <w:t>af</w:t>
      </w:r>
      <w:proofErr w:type="spellEnd"/>
      <w:r w:rsidRPr="00467DB0">
        <w:t xml:space="preserve"> 25.4.2</w:t>
      </w:r>
      <w:r w:rsidRPr="00467DB0">
        <w:t>007, s. 1).</w:t>
      </w:r>
    </w:p>
  </w:footnote>
  <w:footnote w:id="33">
    <w:p w14:paraId="14A98500" w14:textId="1DFB7376" w:rsidR="00000000" w:rsidRDefault="00693D67">
      <w:pPr>
        <w:pStyle w:val="Fotnotetekst"/>
      </w:pPr>
      <w:r>
        <w:rPr>
          <w:vertAlign w:val="superscript"/>
        </w:rPr>
        <w:footnoteRef/>
      </w:r>
      <w:r w:rsidRPr="00467DB0">
        <w:t xml:space="preserve">Europa-Parlamentets og Rådets direktiv 2003/98/EF </w:t>
      </w:r>
      <w:proofErr w:type="spellStart"/>
      <w:r w:rsidRPr="00467DB0">
        <w:t>af</w:t>
      </w:r>
      <w:proofErr w:type="spellEnd"/>
      <w:r w:rsidRPr="00467DB0">
        <w:t xml:space="preserve"> 17. november 2003 om videreanvendelse </w:t>
      </w:r>
      <w:proofErr w:type="spellStart"/>
      <w:r w:rsidRPr="00467DB0">
        <w:t>af</w:t>
      </w:r>
      <w:proofErr w:type="spellEnd"/>
      <w:r w:rsidRPr="00467DB0">
        <w:t xml:space="preserve"> den offentlige sektors </w:t>
      </w:r>
      <w:proofErr w:type="spellStart"/>
      <w:r w:rsidRPr="00467DB0">
        <w:t>informationer</w:t>
      </w:r>
      <w:proofErr w:type="spellEnd"/>
      <w:r w:rsidRPr="00467DB0">
        <w:t xml:space="preserve"> (EUT L 345 </w:t>
      </w:r>
      <w:proofErr w:type="spellStart"/>
      <w:r w:rsidRPr="00467DB0">
        <w:t>af</w:t>
      </w:r>
      <w:proofErr w:type="spellEnd"/>
      <w:r w:rsidRPr="00467DB0">
        <w:t xml:space="preserve"> 31.12.2003, s. 90), </w:t>
      </w:r>
      <w:proofErr w:type="spellStart"/>
      <w:r w:rsidRPr="00467DB0">
        <w:t>ændret</w:t>
      </w:r>
      <w:proofErr w:type="spellEnd"/>
      <w:r w:rsidRPr="00467DB0">
        <w:t xml:space="preserve"> ved Europa-Parlamentets og Rådets dir</w:t>
      </w:r>
      <w:r w:rsidRPr="00467DB0">
        <w:t xml:space="preserve">ektiv 2013/37/EU </w:t>
      </w:r>
      <w:proofErr w:type="spellStart"/>
      <w:r w:rsidRPr="00467DB0">
        <w:t>af</w:t>
      </w:r>
      <w:proofErr w:type="spellEnd"/>
      <w:r w:rsidRPr="00467DB0">
        <w:t xml:space="preserve"> 26. juni 2013 om </w:t>
      </w:r>
      <w:proofErr w:type="spellStart"/>
      <w:r w:rsidRPr="00467DB0">
        <w:t>ændring</w:t>
      </w:r>
      <w:proofErr w:type="spellEnd"/>
      <w:r w:rsidRPr="00467DB0">
        <w:t xml:space="preserve"> </w:t>
      </w:r>
      <w:proofErr w:type="spellStart"/>
      <w:r w:rsidRPr="00467DB0">
        <w:t>af</w:t>
      </w:r>
      <w:proofErr w:type="spellEnd"/>
      <w:r w:rsidRPr="00467DB0">
        <w:t xml:space="preserve"> direktiv 2003/98/EF om videreanvendelse </w:t>
      </w:r>
      <w:proofErr w:type="spellStart"/>
      <w:r w:rsidRPr="00467DB0">
        <w:t>af</w:t>
      </w:r>
      <w:proofErr w:type="spellEnd"/>
      <w:r w:rsidRPr="00467DB0">
        <w:t xml:space="preserve"> den offentlige sektors </w:t>
      </w:r>
      <w:proofErr w:type="spellStart"/>
      <w:r w:rsidRPr="00467DB0">
        <w:t>informationer</w:t>
      </w:r>
      <w:proofErr w:type="spellEnd"/>
      <w:r w:rsidRPr="00467DB0">
        <w:t>.</w:t>
      </w:r>
    </w:p>
  </w:footnote>
  <w:footnote w:id="34">
    <w:p w14:paraId="6DF45E57" w14:textId="5289460A" w:rsidR="00000000" w:rsidRDefault="00693D67">
      <w:pPr>
        <w:pStyle w:val="Fotnotetekst"/>
      </w:pPr>
      <w:r>
        <w:rPr>
          <w:vertAlign w:val="superscript"/>
        </w:rPr>
        <w:footnoteRef/>
      </w:r>
      <w:proofErr w:type="spellStart"/>
      <w:r w:rsidRPr="00467DB0">
        <w:t>Kommissionens</w:t>
      </w:r>
      <w:proofErr w:type="spellEnd"/>
      <w:r w:rsidRPr="00467DB0">
        <w:t xml:space="preserve"> </w:t>
      </w:r>
      <w:proofErr w:type="spellStart"/>
      <w:r w:rsidRPr="00467DB0">
        <w:t>delegerede</w:t>
      </w:r>
      <w:proofErr w:type="spellEnd"/>
      <w:r w:rsidRPr="00467DB0">
        <w:t xml:space="preserve"> forordning (EU) nr. 1159/2013 </w:t>
      </w:r>
      <w:proofErr w:type="spellStart"/>
      <w:r w:rsidRPr="00467DB0">
        <w:t>af</w:t>
      </w:r>
      <w:proofErr w:type="spellEnd"/>
      <w:r w:rsidRPr="00467DB0">
        <w:t xml:space="preserve"> 12. juli 2013 om </w:t>
      </w:r>
      <w:proofErr w:type="spellStart"/>
      <w:r w:rsidRPr="00467DB0">
        <w:t>indføjelse</w:t>
      </w:r>
      <w:proofErr w:type="spellEnd"/>
      <w:r w:rsidRPr="00467DB0">
        <w:t xml:space="preserve"> </w:t>
      </w:r>
      <w:proofErr w:type="spellStart"/>
      <w:r w:rsidRPr="00467DB0">
        <w:t>af</w:t>
      </w:r>
      <w:proofErr w:type="spellEnd"/>
      <w:r w:rsidRPr="00467DB0">
        <w:t xml:space="preserve"> bestemmelser i Europa-Parlamentets og Rådets</w:t>
      </w:r>
      <w:r w:rsidRPr="00467DB0">
        <w:t xml:space="preserve"> forordning (EU) nr. 911/2010 om det </w:t>
      </w:r>
      <w:proofErr w:type="spellStart"/>
      <w:r w:rsidRPr="00467DB0">
        <w:t>europæiske</w:t>
      </w:r>
      <w:proofErr w:type="spellEnd"/>
      <w:r w:rsidRPr="00467DB0">
        <w:t xml:space="preserve"> </w:t>
      </w:r>
      <w:proofErr w:type="spellStart"/>
      <w:r w:rsidRPr="00467DB0">
        <w:t>jordovervågningsprogram</w:t>
      </w:r>
      <w:proofErr w:type="spellEnd"/>
      <w:r w:rsidRPr="00467DB0">
        <w:t xml:space="preserve"> (GMES) </w:t>
      </w:r>
      <w:proofErr w:type="gramStart"/>
      <w:r w:rsidRPr="00467DB0">
        <w:t>vedrørende</w:t>
      </w:r>
      <w:proofErr w:type="gramEnd"/>
      <w:r w:rsidRPr="00467DB0">
        <w:t xml:space="preserve"> etablering </w:t>
      </w:r>
      <w:proofErr w:type="spellStart"/>
      <w:r w:rsidRPr="00467DB0">
        <w:t>af</w:t>
      </w:r>
      <w:proofErr w:type="spellEnd"/>
      <w:r w:rsidRPr="00467DB0">
        <w:t xml:space="preserve"> registrerings- og </w:t>
      </w:r>
      <w:proofErr w:type="spellStart"/>
      <w:r w:rsidRPr="00467DB0">
        <w:t>licensbetingelser</w:t>
      </w:r>
      <w:proofErr w:type="spellEnd"/>
      <w:r w:rsidRPr="00467DB0">
        <w:t xml:space="preserve"> for GMES-</w:t>
      </w:r>
      <w:proofErr w:type="spellStart"/>
      <w:r w:rsidRPr="00467DB0">
        <w:t>brugere</w:t>
      </w:r>
      <w:proofErr w:type="spellEnd"/>
      <w:r w:rsidRPr="00467DB0">
        <w:t xml:space="preserve"> og </w:t>
      </w:r>
      <w:proofErr w:type="spellStart"/>
      <w:r w:rsidRPr="00467DB0">
        <w:t>fastsættelse</w:t>
      </w:r>
      <w:proofErr w:type="spellEnd"/>
      <w:r w:rsidRPr="00467DB0">
        <w:t xml:space="preserve"> </w:t>
      </w:r>
      <w:proofErr w:type="spellStart"/>
      <w:r w:rsidRPr="00467DB0">
        <w:t>af</w:t>
      </w:r>
      <w:proofErr w:type="spellEnd"/>
      <w:r w:rsidRPr="00467DB0">
        <w:t xml:space="preserve"> kriterier for </w:t>
      </w:r>
      <w:proofErr w:type="spellStart"/>
      <w:r w:rsidRPr="00467DB0">
        <w:t>begrænsning</w:t>
      </w:r>
      <w:proofErr w:type="spellEnd"/>
      <w:r w:rsidRPr="00467DB0">
        <w:t xml:space="preserve"> </w:t>
      </w:r>
      <w:proofErr w:type="spellStart"/>
      <w:r w:rsidRPr="00467DB0">
        <w:t>af</w:t>
      </w:r>
      <w:proofErr w:type="spellEnd"/>
      <w:r w:rsidRPr="00467DB0">
        <w:t xml:space="preserve"> adgang til </w:t>
      </w:r>
      <w:proofErr w:type="spellStart"/>
      <w:r w:rsidRPr="00467DB0">
        <w:t>specialiserede</w:t>
      </w:r>
      <w:proofErr w:type="spellEnd"/>
      <w:r w:rsidRPr="00467DB0">
        <w:t xml:space="preserve"> GMES-data og </w:t>
      </w:r>
      <w:proofErr w:type="spellStart"/>
      <w:r w:rsidRPr="00467DB0">
        <w:t>informatione</w:t>
      </w:r>
      <w:r w:rsidRPr="00467DB0">
        <w:t>r</w:t>
      </w:r>
      <w:proofErr w:type="spellEnd"/>
      <w:r w:rsidRPr="00467DB0">
        <w:t xml:space="preserve"> fra GMES-</w:t>
      </w:r>
      <w:proofErr w:type="spellStart"/>
      <w:r w:rsidRPr="00467DB0">
        <w:t>tjenesterne</w:t>
      </w:r>
      <w:proofErr w:type="spellEnd"/>
      <w:r w:rsidRPr="00467DB0">
        <w:t xml:space="preserve"> (EUT L 309 </w:t>
      </w:r>
      <w:proofErr w:type="spellStart"/>
      <w:r w:rsidRPr="00467DB0">
        <w:t>af</w:t>
      </w:r>
      <w:proofErr w:type="spellEnd"/>
      <w:r w:rsidRPr="00467DB0">
        <w:t xml:space="preserve"> 19.11.2013, s. 1).</w:t>
      </w:r>
    </w:p>
  </w:footnote>
  <w:footnote w:id="35">
    <w:p w14:paraId="312C8AAB" w14:textId="7750D51B" w:rsidR="00000000" w:rsidRDefault="00693D67">
      <w:pPr>
        <w:pStyle w:val="Fotnotetekst"/>
      </w:pPr>
      <w:r>
        <w:rPr>
          <w:vertAlign w:val="superscript"/>
        </w:rPr>
        <w:footnoteRef/>
      </w:r>
      <w:r w:rsidRPr="00467DB0">
        <w:t xml:space="preserve">Europa-Parlamentets og Rådets forordning (EU) nr. 182/2011 </w:t>
      </w:r>
      <w:proofErr w:type="spellStart"/>
      <w:r w:rsidRPr="00467DB0">
        <w:t>af</w:t>
      </w:r>
      <w:proofErr w:type="spellEnd"/>
      <w:r w:rsidRPr="00467DB0">
        <w:t xml:space="preserve"> 16. februar 2011 om de generelle regler og </w:t>
      </w:r>
      <w:proofErr w:type="spellStart"/>
      <w:r w:rsidRPr="00467DB0">
        <w:t>principper</w:t>
      </w:r>
      <w:proofErr w:type="spellEnd"/>
      <w:r w:rsidRPr="00467DB0">
        <w:t xml:space="preserve"> for, hvordan </w:t>
      </w:r>
      <w:proofErr w:type="spellStart"/>
      <w:r w:rsidRPr="00467DB0">
        <w:t>medlemsstaterne</w:t>
      </w:r>
      <w:proofErr w:type="spellEnd"/>
      <w:r w:rsidRPr="00467DB0">
        <w:t xml:space="preserve"> skal kontrollere </w:t>
      </w:r>
      <w:proofErr w:type="spellStart"/>
      <w:r w:rsidRPr="00467DB0">
        <w:t>Kommissionens</w:t>
      </w:r>
      <w:proofErr w:type="spellEnd"/>
      <w:r w:rsidRPr="00467DB0">
        <w:t xml:space="preserve"> </w:t>
      </w:r>
      <w:proofErr w:type="spellStart"/>
      <w:r w:rsidRPr="00467DB0">
        <w:t>udøvelse</w:t>
      </w:r>
      <w:proofErr w:type="spellEnd"/>
      <w:r w:rsidRPr="00467DB0">
        <w:t xml:space="preserve"> </w:t>
      </w:r>
      <w:proofErr w:type="spellStart"/>
      <w:r w:rsidRPr="00467DB0">
        <w:t>af</w:t>
      </w:r>
      <w:proofErr w:type="spellEnd"/>
      <w:r w:rsidRPr="00467DB0">
        <w:t xml:space="preserve"> </w:t>
      </w:r>
      <w:proofErr w:type="spellStart"/>
      <w:r w:rsidRPr="00467DB0">
        <w:t>gennemførelsesbeføjelser</w:t>
      </w:r>
      <w:proofErr w:type="spellEnd"/>
      <w:r w:rsidRPr="00467DB0">
        <w:t xml:space="preserve"> (EUT L 55 </w:t>
      </w:r>
      <w:proofErr w:type="spellStart"/>
      <w:r w:rsidRPr="00467DB0">
        <w:t>af</w:t>
      </w:r>
      <w:proofErr w:type="spellEnd"/>
      <w:r w:rsidRPr="00467DB0">
        <w:t xml:space="preserve"> 28.2.2011, s. 13).</w:t>
      </w:r>
    </w:p>
  </w:footnote>
  <w:footnote w:id="36">
    <w:p w14:paraId="2158256A" w14:textId="730C6717" w:rsidR="00000000" w:rsidRDefault="00693D67">
      <w:pPr>
        <w:pStyle w:val="Fotnotetekst"/>
      </w:pPr>
      <w:r>
        <w:rPr>
          <w:vertAlign w:val="superscript"/>
        </w:rPr>
        <w:footnoteRef/>
      </w:r>
      <w:proofErr w:type="spellStart"/>
      <w:r w:rsidRPr="00467DB0">
        <w:t>Afgørelse</w:t>
      </w:r>
      <w:proofErr w:type="spellEnd"/>
      <w:r w:rsidRPr="00467DB0">
        <w:t xml:space="preserve"> </w:t>
      </w:r>
      <w:proofErr w:type="spellStart"/>
      <w:r w:rsidRPr="00467DB0">
        <w:t>vedtaget</w:t>
      </w:r>
      <w:proofErr w:type="spellEnd"/>
      <w:r w:rsidRPr="00467DB0">
        <w:t xml:space="preserve"> ved </w:t>
      </w:r>
      <w:proofErr w:type="spellStart"/>
      <w:r w:rsidRPr="00467DB0">
        <w:t>fælles</w:t>
      </w:r>
      <w:proofErr w:type="spellEnd"/>
      <w:r w:rsidRPr="00467DB0">
        <w:t xml:space="preserve"> overenskomst </w:t>
      </w:r>
      <w:proofErr w:type="spellStart"/>
      <w:r w:rsidRPr="00467DB0">
        <w:t>mellem</w:t>
      </w:r>
      <w:proofErr w:type="spellEnd"/>
      <w:r w:rsidRPr="00467DB0">
        <w:t xml:space="preserve"> </w:t>
      </w:r>
      <w:proofErr w:type="spellStart"/>
      <w:r w:rsidRPr="00467DB0">
        <w:t>repræs</w:t>
      </w:r>
      <w:r w:rsidRPr="00467DB0">
        <w:t>entanterne</w:t>
      </w:r>
      <w:proofErr w:type="spellEnd"/>
      <w:r w:rsidRPr="00467DB0">
        <w:t xml:space="preserve"> for </w:t>
      </w:r>
      <w:proofErr w:type="spellStart"/>
      <w:r w:rsidRPr="00467DB0">
        <w:t>medlemsstaternes</w:t>
      </w:r>
      <w:proofErr w:type="spellEnd"/>
      <w:r w:rsidRPr="00467DB0">
        <w:t xml:space="preserve"> </w:t>
      </w:r>
      <w:proofErr w:type="spellStart"/>
      <w:r w:rsidRPr="00467DB0">
        <w:t>regeringer</w:t>
      </w:r>
      <w:proofErr w:type="spellEnd"/>
      <w:r w:rsidRPr="00467DB0">
        <w:t xml:space="preserve"> </w:t>
      </w:r>
      <w:proofErr w:type="spellStart"/>
      <w:r w:rsidRPr="00467DB0">
        <w:t>af</w:t>
      </w:r>
      <w:proofErr w:type="spellEnd"/>
      <w:r w:rsidRPr="00467DB0">
        <w:t xml:space="preserve"> 10. </w:t>
      </w:r>
      <w:proofErr w:type="spellStart"/>
      <w:r w:rsidRPr="00467DB0">
        <w:t>december</w:t>
      </w:r>
      <w:proofErr w:type="spellEnd"/>
      <w:r w:rsidRPr="00467DB0">
        <w:t xml:space="preserve"> 2010 om </w:t>
      </w:r>
      <w:proofErr w:type="spellStart"/>
      <w:r w:rsidRPr="00467DB0">
        <w:t>fastlæggelse</w:t>
      </w:r>
      <w:proofErr w:type="spellEnd"/>
      <w:r w:rsidRPr="00467DB0">
        <w:t xml:space="preserve"> </w:t>
      </w:r>
      <w:proofErr w:type="spellStart"/>
      <w:r w:rsidRPr="00467DB0">
        <w:t>af</w:t>
      </w:r>
      <w:proofErr w:type="spellEnd"/>
      <w:r w:rsidRPr="00467DB0">
        <w:t xml:space="preserve"> Det </w:t>
      </w:r>
      <w:proofErr w:type="spellStart"/>
      <w:r w:rsidRPr="00467DB0">
        <w:t>Europæiske</w:t>
      </w:r>
      <w:proofErr w:type="spellEnd"/>
      <w:r w:rsidRPr="00467DB0">
        <w:t xml:space="preserve"> GNSS-agenturs hjemsted (2010/803/EU) (EUT L 342 </w:t>
      </w:r>
      <w:proofErr w:type="spellStart"/>
      <w:r w:rsidRPr="00467DB0">
        <w:t>af</w:t>
      </w:r>
      <w:proofErr w:type="spellEnd"/>
      <w:r w:rsidRPr="00467DB0">
        <w:t xml:space="preserve"> 28.12.2010, s. 15).</w:t>
      </w:r>
    </w:p>
  </w:footnote>
  <w:footnote w:id="37">
    <w:p w14:paraId="0FDC9BDA" w14:textId="3DDBC7FB" w:rsidR="00000000" w:rsidRDefault="00693D67">
      <w:pPr>
        <w:pStyle w:val="Fotnotetekst"/>
      </w:pPr>
      <w:r>
        <w:rPr>
          <w:vertAlign w:val="superscript"/>
        </w:rPr>
        <w:footnoteRef/>
      </w:r>
      <w:proofErr w:type="spellStart"/>
      <w:r w:rsidRPr="00467DB0">
        <w:t>Kommissionens</w:t>
      </w:r>
      <w:proofErr w:type="spellEnd"/>
      <w:r w:rsidRPr="00467DB0">
        <w:t xml:space="preserve"> </w:t>
      </w:r>
      <w:proofErr w:type="spellStart"/>
      <w:r w:rsidRPr="00467DB0">
        <w:t>gennemførelsesafgørelse</w:t>
      </w:r>
      <w:proofErr w:type="spellEnd"/>
      <w:r w:rsidRPr="00467DB0">
        <w:t xml:space="preserve"> (EU) 2016/413 </w:t>
      </w:r>
      <w:proofErr w:type="spellStart"/>
      <w:r w:rsidRPr="00467DB0">
        <w:t>af</w:t>
      </w:r>
      <w:proofErr w:type="spellEnd"/>
      <w:r w:rsidRPr="00467DB0">
        <w:t xml:space="preserve"> 18. </w:t>
      </w:r>
      <w:proofErr w:type="spellStart"/>
      <w:r w:rsidRPr="00467DB0">
        <w:t>marts</w:t>
      </w:r>
      <w:proofErr w:type="spellEnd"/>
      <w:r w:rsidRPr="00467DB0">
        <w:t xml:space="preserve"> 2016 om </w:t>
      </w:r>
      <w:proofErr w:type="spellStart"/>
      <w:r w:rsidRPr="00467DB0">
        <w:t>placeringen</w:t>
      </w:r>
      <w:proofErr w:type="spellEnd"/>
      <w:r w:rsidRPr="00467DB0">
        <w:t xml:space="preserve"> </w:t>
      </w:r>
      <w:proofErr w:type="spellStart"/>
      <w:r w:rsidRPr="00467DB0">
        <w:t>af</w:t>
      </w:r>
      <w:proofErr w:type="spellEnd"/>
      <w:r w:rsidRPr="00467DB0">
        <w:t xml:space="preserve"> den jordbaserede infrastruktur for det system, der er </w:t>
      </w:r>
      <w:proofErr w:type="spellStart"/>
      <w:r w:rsidRPr="00467DB0">
        <w:t>etableret</w:t>
      </w:r>
      <w:proofErr w:type="spellEnd"/>
      <w:r w:rsidRPr="00467DB0">
        <w:t xml:space="preserve"> u</w:t>
      </w:r>
      <w:r w:rsidRPr="00467DB0">
        <w:t xml:space="preserve">nder </w:t>
      </w:r>
      <w:proofErr w:type="spellStart"/>
      <w:r w:rsidRPr="00467DB0">
        <w:t>Galileoprogrammet</w:t>
      </w:r>
      <w:proofErr w:type="spellEnd"/>
      <w:r w:rsidRPr="00467DB0">
        <w:t>, og de foranstaltninger, der er nødvendige for dens drift, og om ophævelse af gennemførelsesafgørelse 2012/117/EU (EUT L 74 af 19.3.2016, s. 45).</w:t>
      </w:r>
    </w:p>
  </w:footnote>
  <w:footnote w:id="38">
    <w:p w14:paraId="2D741A15" w14:textId="3393ADF1" w:rsidR="00000000" w:rsidRDefault="00693D67">
      <w:pPr>
        <w:pStyle w:val="Fotnotetekst"/>
      </w:pPr>
      <w:r>
        <w:rPr>
          <w:vertAlign w:val="superscript"/>
        </w:rPr>
        <w:footnoteRef/>
      </w:r>
      <w:r w:rsidRPr="00467DB0">
        <w:t>EUT L 123 af 12.5.2016, s. 1.</w:t>
      </w:r>
    </w:p>
  </w:footnote>
  <w:footnote w:id="39">
    <w:p w14:paraId="19B061F9" w14:textId="4384D483" w:rsidR="00000000" w:rsidRDefault="00693D67">
      <w:pPr>
        <w:pStyle w:val="Fotnotetekst"/>
      </w:pPr>
      <w:r>
        <w:rPr>
          <w:vertAlign w:val="superscript"/>
        </w:rPr>
        <w:footnoteRef/>
      </w:r>
      <w:r w:rsidRPr="00467DB0">
        <w:t>Rådets forordning (EU, Euratom) 2020/2093 af 17. december 2020 om fastlæggelse af den flerårige finansie</w:t>
      </w:r>
      <w:r w:rsidRPr="00467DB0">
        <w:t>lle ramme for årene 2021-2027 (EUT L 433 I af 22.12.2020, s. 11).</w:t>
      </w:r>
    </w:p>
  </w:footnote>
  <w:footnote w:id="40">
    <w:p w14:paraId="2AB604B2" w14:textId="59D976E3" w:rsidR="00000000" w:rsidRDefault="00693D67">
      <w:pPr>
        <w:pStyle w:val="Fotnotetekst"/>
      </w:pPr>
      <w:r>
        <w:rPr>
          <w:vertAlign w:val="superscript"/>
        </w:rPr>
        <w:footnoteRef/>
      </w:r>
      <w:r w:rsidRPr="00467DB0">
        <w:t>Kommissionens afgørelse (EU, Euratom) 2015/443 af 13. marts 2015 om sikkerhedsbeskyttelse i Kommissionen (EUT L 72 af 17.3.2015, s. 41).</w:t>
      </w:r>
    </w:p>
  </w:footnote>
  <w:footnote w:id="41">
    <w:p w14:paraId="3B2BE4D2" w14:textId="06B2BF61" w:rsidR="00000000" w:rsidRDefault="00693D67">
      <w:pPr>
        <w:pStyle w:val="Fotnotetekst"/>
      </w:pPr>
      <w:r>
        <w:rPr>
          <w:vertAlign w:val="superscript"/>
        </w:rPr>
        <w:footnoteRef/>
      </w:r>
      <w:r w:rsidRPr="00467DB0">
        <w:t>Procedure 2018/0224/COD</w:t>
      </w:r>
    </w:p>
  </w:footnote>
  <w:footnote w:id="42">
    <w:p w14:paraId="083E24DC" w14:textId="1264A8B5" w:rsidR="00000000" w:rsidRDefault="00693D67">
      <w:pPr>
        <w:pStyle w:val="Fotnotetekst"/>
      </w:pPr>
      <w:r>
        <w:rPr>
          <w:vertAlign w:val="superscript"/>
        </w:rPr>
        <w:footnoteRef/>
      </w:r>
      <w:r w:rsidRPr="00467DB0">
        <w:tab/>
        <w:t>Procedure 2018/0227(COD)</w:t>
      </w:r>
    </w:p>
  </w:footnote>
  <w:footnote w:id="43">
    <w:p w14:paraId="797BC651" w14:textId="3AA8F1A2" w:rsidR="00000000" w:rsidRDefault="00693D67">
      <w:pPr>
        <w:pStyle w:val="Fotnotetekst"/>
      </w:pPr>
      <w:r>
        <w:rPr>
          <w:vertAlign w:val="superscript"/>
        </w:rPr>
        <w:footnoteRef/>
      </w:r>
      <w:r w:rsidRPr="00467DB0">
        <w:t>Europa-Parlamentets og Rådets afgørelse nr</w:t>
      </w:r>
      <w:r w:rsidRPr="00467DB0">
        <w:t>. 1104/2011/EU af 25. oktober 2011 om reglerne for adgang til den statsregulerede tjeneste, der leveres af det globale satellitbaserede navigationssystem etableret under Galileo-programmet (EUT L 287 af 4.11.2011, s. 1).</w:t>
      </w:r>
    </w:p>
  </w:footnote>
  <w:footnote w:id="44">
    <w:p w14:paraId="29375D72" w14:textId="7E4AB16F" w:rsidR="00000000" w:rsidRDefault="00693D67">
      <w:pPr>
        <w:pStyle w:val="Fotnotetekst"/>
      </w:pPr>
      <w:r>
        <w:rPr>
          <w:vertAlign w:val="superscript"/>
        </w:rPr>
        <w:footnoteRef/>
      </w:r>
      <w:r w:rsidRPr="00467DB0">
        <w:t>Europa-Parlamentets og Rådets direktiv 2014/24/EU af 26. februar 2014 om offentlige udbud og om ophævelse af direktiv 2004/18/EF (EUT L 94 af 28.3.2014, s. 65).</w:t>
      </w:r>
    </w:p>
  </w:footnote>
  <w:footnote w:id="45">
    <w:p w14:paraId="02023049" w14:textId="1285EA82" w:rsidR="00000000" w:rsidRDefault="00693D67">
      <w:pPr>
        <w:pStyle w:val="Fotnotetekst"/>
      </w:pPr>
      <w:r>
        <w:rPr>
          <w:vertAlign w:val="superscript"/>
        </w:rPr>
        <w:footnoteRef/>
      </w:r>
      <w:r w:rsidRPr="00467DB0">
        <w:t>Europa-Parlamentets og Rådets direktiv 2014/25/EU af 26. februar 2014 om fremgangsmåderne ved indgåelse af kontrakter inden for vand- og energiforsyning, transport samt posttjenester og om ophævelse af direktiv 2004/17/EF (EUT L 94 af 28.3.2014, s. 243).</w:t>
      </w:r>
    </w:p>
  </w:footnote>
  <w:footnote w:id="46">
    <w:p w14:paraId="765F4C98" w14:textId="36824861" w:rsidR="00000000" w:rsidRDefault="00693D67">
      <w:pPr>
        <w:pStyle w:val="Fotnotetekst"/>
      </w:pPr>
      <w:r>
        <w:rPr>
          <w:vertAlign w:val="superscript"/>
        </w:rPr>
        <w:footnoteRef/>
      </w:r>
      <w:r w:rsidRPr="00467DB0">
        <w:t>Europa-Parlamentets og Rådets direktiv 2009/81/EF af 13. juli 2009 om samordning af fremgangsmåderne ved ordregivende myndigheders eller ordregiveres indgåelse af visse bygge- og anlægs-, vareindkøbs- og tjenesteydelseskontrakter på forsvar</w:t>
      </w:r>
      <w:r w:rsidRPr="00467DB0">
        <w:t>s- og sikkerhedsområdet og om ændring af direktiv 2004/17/EF og 2004/18/EF (EUT L 216 af 20.8.2009, s. 76).</w:t>
      </w:r>
    </w:p>
  </w:footnote>
  <w:footnote w:id="47">
    <w:p w14:paraId="42BDE436" w14:textId="3F1F9232" w:rsidR="00000000" w:rsidRDefault="00693D67">
      <w:pPr>
        <w:pStyle w:val="Fotnotetekst"/>
      </w:pPr>
      <w:r>
        <w:rPr>
          <w:vertAlign w:val="superscript"/>
        </w:rPr>
        <w:footnoteRef/>
      </w:r>
      <w:r w:rsidRPr="00467DB0">
        <w:t>+</w:t>
      </w:r>
      <w:r w:rsidRPr="00467DB0">
        <w:tab/>
        <w:t>Europa-Parlaments og Råd</w:t>
      </w:r>
      <w:r w:rsidRPr="00467DB0">
        <w:t>ets forordning (EU) 2021/523 af 24. marts 2021 om oprettelse af InvestEU-programmet og om ændring af forordning (EU) 2015/1017</w:t>
      </w:r>
    </w:p>
  </w:footnote>
  <w:footnote w:id="48">
    <w:p w14:paraId="4164D141" w14:textId="393863A7" w:rsidR="00000000" w:rsidRDefault="00693D67">
      <w:pPr>
        <w:pStyle w:val="Fotnotetekst"/>
      </w:pPr>
      <w:r>
        <w:rPr>
          <w:vertAlign w:val="superscript"/>
        </w:rPr>
        <w:footnoteRef/>
      </w:r>
      <w:r w:rsidRPr="00467DB0">
        <w:t>Kommissionens delegerede afgørelse af 15.9.2015 om supplerende regler til Europa-Parlamentets og Rådets afgørelse nr. 1104/2011/EU for så v</w:t>
      </w:r>
      <w:r w:rsidRPr="00467DB0">
        <w:t>idt angår de fælles minimumsstandarder, der skal overholdes af de kompetente PRS-myndigheder (</w:t>
      </w:r>
      <w:proofErr w:type="gramStart"/>
      <w:r w:rsidRPr="00467DB0">
        <w:t>C(</w:t>
      </w:r>
      <w:proofErr w:type="gramEnd"/>
      <w:r w:rsidRPr="00467DB0">
        <w:t>2015)06123 - 2015/2888(DEA))</w:t>
      </w:r>
    </w:p>
  </w:footnote>
  <w:footnote w:id="49">
    <w:p w14:paraId="53BC85E0" w14:textId="77777777" w:rsidR="00000000" w:rsidRPr="00467DB0" w:rsidRDefault="00693D67" w:rsidP="00467DB0">
      <w:pPr>
        <w:pStyle w:val="Fotnotetekst"/>
      </w:pPr>
      <w:r>
        <w:rPr>
          <w:vertAlign w:val="superscript"/>
        </w:rPr>
        <w:footnoteRef/>
      </w:r>
      <w:r w:rsidRPr="00467DB0">
        <w:t>Rådets afgørelse 202x</w:t>
      </w:r>
      <w:proofErr w:type="gramStart"/>
      <w:r w:rsidRPr="00467DB0">
        <w:t>/…/</w:t>
      </w:r>
      <w:proofErr w:type="gramEnd"/>
      <w:r w:rsidRPr="00467DB0">
        <w:t>FUSP af … om … (EUT L … af …, s. …).</w:t>
      </w:r>
    </w:p>
    <w:p w14:paraId="08680BE1" w14:textId="4353CF31" w:rsidR="00000000" w:rsidRDefault="00693D67">
      <w:pPr>
        <w:pStyle w:val="Fotnotetekst"/>
      </w:pPr>
      <w:r w:rsidRPr="00467DB0">
        <w:t>Denne rådsafgørelse vil være et resultat af det højtstående repræsentants forslag om at udvide anvendelsesområdet for Rådets afgørelse 2014/496/FUSP af 22</w:t>
      </w:r>
      <w:r w:rsidRPr="00467DB0">
        <w:t>. juli 2014, der for øjeblikket er under forhandling.</w:t>
      </w:r>
    </w:p>
  </w:footnote>
  <w:footnote w:id="50">
    <w:p w14:paraId="1A9C65B9" w14:textId="77777777" w:rsidR="00000000" w:rsidRPr="00467DB0" w:rsidRDefault="00693D67" w:rsidP="00467DB0">
      <w:pPr>
        <w:pStyle w:val="Fotnotetekst"/>
      </w:pPr>
      <w:r>
        <w:rPr>
          <w:vertAlign w:val="superscript"/>
        </w:rPr>
        <w:footnoteRef/>
      </w:r>
      <w:r w:rsidRPr="00467DB0">
        <w:t>Rådets afgørelse 202x</w:t>
      </w:r>
      <w:proofErr w:type="gramStart"/>
      <w:r w:rsidRPr="00467DB0">
        <w:t>/…/</w:t>
      </w:r>
      <w:proofErr w:type="gramEnd"/>
      <w:r w:rsidRPr="00467DB0">
        <w:t>FUSP af … om … (EUT L … af …, s. …).</w:t>
      </w:r>
    </w:p>
    <w:p w14:paraId="3208D7F1" w14:textId="01405642" w:rsidR="00000000" w:rsidRDefault="00693D67">
      <w:pPr>
        <w:pStyle w:val="Fotnotetekst"/>
      </w:pPr>
      <w:r w:rsidRPr="00467DB0">
        <w:t xml:space="preserve">Denne rådsafgørelse vil være et resultat af det højtstående repræsentants forslag om </w:t>
      </w:r>
      <w:r w:rsidRPr="00467DB0">
        <w:t>at udvide anvendelsesområdet for Rådets afgørelse 2014/496/FUSP af 22. juli 2014, der for øjeblikket er under forhandling.</w:t>
      </w:r>
    </w:p>
  </w:footnote>
  <w:footnote w:id="51">
    <w:p w14:paraId="77586DB9" w14:textId="1C39D215" w:rsidR="00000000" w:rsidRDefault="00693D67">
      <w:pPr>
        <w:pStyle w:val="Fotnotetekst"/>
      </w:pPr>
      <w:r>
        <w:rPr>
          <w:vertAlign w:val="superscript"/>
        </w:rPr>
        <w:footnoteRef/>
      </w:r>
      <w:r w:rsidRPr="00467DB0">
        <w:t>Rådets direktiv 2008/114/EF af 8. december 2008 om indkredsning og udpegnin</w:t>
      </w:r>
      <w:r w:rsidRPr="00467DB0">
        <w:t>g af europæisk kritisk infrastruktur og vurdering af behovet for at beskytte den bedre (EUT L 345 af 23.12.2008, s. 75).</w:t>
      </w:r>
    </w:p>
  </w:footnote>
  <w:footnote w:id="52">
    <w:p w14:paraId="167653C3" w14:textId="77777777" w:rsidR="00000000" w:rsidRPr="00467DB0" w:rsidRDefault="00693D67" w:rsidP="00467DB0">
      <w:pPr>
        <w:pStyle w:val="Fotnotetekst"/>
      </w:pPr>
      <w:r>
        <w:rPr>
          <w:vertAlign w:val="superscript"/>
        </w:rPr>
        <w:footnoteRef/>
      </w:r>
      <w:r w:rsidRPr="00467DB0">
        <w:t>Rådets afgørelse 202x</w:t>
      </w:r>
      <w:proofErr w:type="gramStart"/>
      <w:r w:rsidRPr="00467DB0">
        <w:t>/…/</w:t>
      </w:r>
      <w:proofErr w:type="gramEnd"/>
      <w:r w:rsidRPr="00467DB0">
        <w:t>FUSP af … om …</w:t>
      </w:r>
      <w:r w:rsidRPr="00467DB0">
        <w:t xml:space="preserve"> (EUT L … af …, s. …).</w:t>
      </w:r>
    </w:p>
    <w:p w14:paraId="1DE01838" w14:textId="713D3AA1" w:rsidR="00000000" w:rsidRDefault="00693D67">
      <w:pPr>
        <w:pStyle w:val="Fotnotetekst"/>
      </w:pPr>
      <w:r w:rsidRPr="00467DB0">
        <w:t>Denne rådsafgørelse vil være et resultat af det højtstående repræsentants forslag om at udvide anvendelsesområdet for Rådets afgørelse 2014/496/FUSP af 22. juli 2014, der for øjeblikket er under forhandling.</w:t>
      </w:r>
    </w:p>
  </w:footnote>
  <w:footnote w:id="53">
    <w:p w14:paraId="390DED31" w14:textId="77777777" w:rsidR="00000000" w:rsidRPr="00467DB0" w:rsidRDefault="00693D67" w:rsidP="00467DB0">
      <w:pPr>
        <w:pStyle w:val="Fotnotetekst"/>
      </w:pPr>
      <w:r>
        <w:rPr>
          <w:vertAlign w:val="superscript"/>
        </w:rPr>
        <w:footnoteRef/>
      </w:r>
      <w:r w:rsidRPr="00467DB0">
        <w:t>+</w:t>
      </w:r>
      <w:r w:rsidRPr="00467DB0">
        <w:tab/>
        <w:t>Rådets afgørelse 202x</w:t>
      </w:r>
      <w:proofErr w:type="gramStart"/>
      <w:r w:rsidRPr="00467DB0">
        <w:t>/…/</w:t>
      </w:r>
      <w:proofErr w:type="gramEnd"/>
      <w:r w:rsidRPr="00467DB0">
        <w:t>FUSP af … om … (EUT L … af …, s. …).</w:t>
      </w:r>
    </w:p>
    <w:p w14:paraId="579AE7E5" w14:textId="54FF375F" w:rsidR="00000000" w:rsidRDefault="00693D67">
      <w:pPr>
        <w:pStyle w:val="Fotnotetekst"/>
      </w:pPr>
      <w:r w:rsidRPr="00467DB0">
        <w:t>Denne rådsafgørelse vil være et resultat af det højtstående repræsentants forslag om at udvide anvendelsesområdet f</w:t>
      </w:r>
      <w:r w:rsidRPr="00467DB0">
        <w:t>or Rådets afgørelse 2014/496/FUSP af 22. juli 2014, der for øjeblikket er under forhandling.</w:t>
      </w:r>
    </w:p>
  </w:footnote>
  <w:footnote w:id="54">
    <w:p w14:paraId="7CC23FC9" w14:textId="5DFC29ED" w:rsidR="00000000" w:rsidRDefault="00693D67">
      <w:pPr>
        <w:pStyle w:val="Fotnotetekst"/>
      </w:pPr>
      <w:r>
        <w:rPr>
          <w:vertAlign w:val="superscript"/>
        </w:rPr>
        <w:footnoteRef/>
      </w:r>
      <w:r w:rsidRPr="00467DB0">
        <w:t>Kommission</w:t>
      </w:r>
      <w:r w:rsidRPr="00467DB0">
        <w:t>ens gennemførelsesafgørelse (EU) 2017/1406 af 31. juli 2017 om placeringen af Egnossystemets jordbaserede infrastruktur (EUT L 200 af 1.8.2017, s. 4).</w:t>
      </w:r>
    </w:p>
  </w:footnote>
  <w:footnote w:id="55">
    <w:p w14:paraId="3EEA103F" w14:textId="2DE150F3" w:rsidR="00000000" w:rsidRDefault="00693D67">
      <w:pPr>
        <w:pStyle w:val="Fotnotetekst"/>
      </w:pPr>
      <w:r>
        <w:rPr>
          <w:vertAlign w:val="superscript"/>
        </w:rPr>
        <w:footnoteRef/>
      </w:r>
      <w:r w:rsidRPr="00467DB0">
        <w:t>Europa-Parlamentets og Rådets forordning (EF) nr</w:t>
      </w:r>
      <w:r w:rsidRPr="00467DB0">
        <w:t>. 1049/2001 af 30. maj 2001 om aktindsigt i Europa-Parlamentets, Rådets og Kommissionens dokumenter (EFT L 145 af 31.5.2001, s. 43).</w:t>
      </w:r>
    </w:p>
  </w:footnote>
  <w:footnote w:id="56">
    <w:p w14:paraId="64E84256" w14:textId="37EB4AAD" w:rsidR="00000000" w:rsidRDefault="00693D67">
      <w:pPr>
        <w:pStyle w:val="Fotnotetekst"/>
      </w:pPr>
      <w:r>
        <w:rPr>
          <w:vertAlign w:val="superscript"/>
        </w:rPr>
        <w:footnoteRef/>
      </w:r>
      <w:r w:rsidRPr="00467DB0">
        <w:t>EFT L 56 af 4.3.1968, s. 1.</w:t>
      </w:r>
    </w:p>
  </w:footnote>
  <w:footnote w:id="57">
    <w:p w14:paraId="3D45C026" w14:textId="77777777" w:rsidR="00000000" w:rsidRPr="00467DB0" w:rsidRDefault="00693D67" w:rsidP="00467DB0">
      <w:pPr>
        <w:pStyle w:val="Fotnotetekst"/>
      </w:pPr>
      <w:r>
        <w:rPr>
          <w:vertAlign w:val="superscript"/>
        </w:rPr>
        <w:footnoteRef/>
      </w:r>
      <w:r w:rsidRPr="00467DB0">
        <w:t>+</w:t>
      </w:r>
      <w:r w:rsidRPr="00467DB0">
        <w:tab/>
        <w:t>Rådets afgørelse 202x</w:t>
      </w:r>
      <w:proofErr w:type="gramStart"/>
      <w:r w:rsidRPr="00467DB0">
        <w:t>/…/</w:t>
      </w:r>
      <w:proofErr w:type="gramEnd"/>
      <w:r w:rsidRPr="00467DB0">
        <w:t>FUSP af … om … (EUT L … af …, s. …).</w:t>
      </w:r>
    </w:p>
    <w:p w14:paraId="0AAEDA23" w14:textId="589CA4DD" w:rsidR="00000000" w:rsidRDefault="00693D67">
      <w:pPr>
        <w:pStyle w:val="Fotnotetekst"/>
      </w:pPr>
      <w:r w:rsidRPr="00467DB0">
        <w:t>Denne rådsafgørelse vil være et resultat af det højtstående repræsentants forslag om at udvide anvendelsesområdet for Rådets afgørelse 2014/496</w:t>
      </w:r>
      <w:r w:rsidRPr="00467DB0">
        <w:t>/FUSP af 22. juli 2014, der for øjeblikket er under forhandling.</w:t>
      </w:r>
    </w:p>
  </w:footnote>
  <w:footnote w:id="58">
    <w:p w14:paraId="3A0E057E" w14:textId="0C6DA035" w:rsidR="00000000" w:rsidRDefault="00693D67">
      <w:pPr>
        <w:pStyle w:val="Fotnotetekst"/>
      </w:pPr>
      <w:r>
        <w:rPr>
          <w:vertAlign w:val="superscript"/>
        </w:rPr>
        <w:footnoteRef/>
      </w:r>
      <w:r w:rsidRPr="00467DB0">
        <w:t>Rådets forordning nr. 1 af 15. april 1958 om den ordning, der gælder for</w:t>
      </w:r>
      <w:r w:rsidRPr="00467DB0">
        <w:t xml:space="preserve"> Det Europæiske Økonomiske Fællesskab på det sproglige område (EFT 17 af 6.10.1958, s. 385).</w:t>
      </w:r>
    </w:p>
  </w:footnote>
  <w:footnote w:id="59">
    <w:p w14:paraId="531ACBFC" w14:textId="64A7D6A3" w:rsidR="00000000" w:rsidRDefault="00693D67">
      <w:pPr>
        <w:pStyle w:val="Fotnotetekst"/>
      </w:pPr>
      <w:r>
        <w:rPr>
          <w:vertAlign w:val="superscript"/>
        </w:rPr>
        <w:footnoteRef/>
      </w:r>
      <w:r w:rsidRPr="00467DB0">
        <w:t>EFT L 136 af 31.5.1999, s. 15.</w:t>
      </w:r>
    </w:p>
  </w:footnote>
  <w:footnote w:id="60">
    <w:p w14:paraId="7E923E2A" w14:textId="15E20CB3" w:rsidR="00000000" w:rsidRDefault="00693D67">
      <w:pPr>
        <w:pStyle w:val="Fotnotetekst"/>
      </w:pPr>
      <w:r>
        <w:rPr>
          <w:vertAlign w:val="superscript"/>
        </w:rPr>
        <w:footnoteRef/>
      </w:r>
      <w:r w:rsidRPr="00467DB0">
        <w:t xml:space="preserve">Europa-Parlamentets og Rådets forordning (EU) 2016/679 </w:t>
      </w:r>
      <w:proofErr w:type="spellStart"/>
      <w:r w:rsidRPr="00467DB0">
        <w:t>af</w:t>
      </w:r>
      <w:proofErr w:type="spellEnd"/>
      <w:r w:rsidRPr="00467DB0">
        <w:t xml:space="preserve"> 27. april 2016 om beskyttelse </w:t>
      </w:r>
      <w:proofErr w:type="spellStart"/>
      <w:r w:rsidRPr="00467DB0">
        <w:t>af</w:t>
      </w:r>
      <w:proofErr w:type="spellEnd"/>
      <w:r w:rsidRPr="00467DB0">
        <w:t xml:space="preserve"> fysiske personer i forbindelse me</w:t>
      </w:r>
      <w:r w:rsidRPr="00467DB0">
        <w:t xml:space="preserve">d behandling </w:t>
      </w:r>
      <w:proofErr w:type="spellStart"/>
      <w:r w:rsidRPr="00467DB0">
        <w:t>af</w:t>
      </w:r>
      <w:proofErr w:type="spellEnd"/>
      <w:r w:rsidRPr="00467DB0">
        <w:t xml:space="preserve"> </w:t>
      </w:r>
      <w:proofErr w:type="spellStart"/>
      <w:r w:rsidRPr="00467DB0">
        <w:t>personoplysninger</w:t>
      </w:r>
      <w:proofErr w:type="spellEnd"/>
      <w:r w:rsidRPr="00467DB0">
        <w:t xml:space="preserve"> og om fri </w:t>
      </w:r>
      <w:proofErr w:type="spellStart"/>
      <w:r w:rsidRPr="00467DB0">
        <w:t>udveksling</w:t>
      </w:r>
      <w:proofErr w:type="spellEnd"/>
      <w:r w:rsidRPr="00467DB0">
        <w:t xml:space="preserve"> </w:t>
      </w:r>
      <w:proofErr w:type="spellStart"/>
      <w:r w:rsidRPr="00467DB0">
        <w:t>af</w:t>
      </w:r>
      <w:proofErr w:type="spellEnd"/>
      <w:r w:rsidRPr="00467DB0">
        <w:t xml:space="preserve"> sådanne </w:t>
      </w:r>
      <w:proofErr w:type="spellStart"/>
      <w:r w:rsidRPr="00467DB0">
        <w:t>oplysninger</w:t>
      </w:r>
      <w:proofErr w:type="spellEnd"/>
      <w:r w:rsidRPr="00467DB0">
        <w:t xml:space="preserve"> og om </w:t>
      </w:r>
      <w:proofErr w:type="spellStart"/>
      <w:r w:rsidRPr="00467DB0">
        <w:t>ophævelse</w:t>
      </w:r>
      <w:proofErr w:type="spellEnd"/>
      <w:r w:rsidRPr="00467DB0">
        <w:t xml:space="preserve"> </w:t>
      </w:r>
      <w:proofErr w:type="spellStart"/>
      <w:r w:rsidRPr="00467DB0">
        <w:t>af</w:t>
      </w:r>
      <w:proofErr w:type="spellEnd"/>
      <w:r w:rsidRPr="00467DB0">
        <w:t xml:space="preserve"> direktiv 95/46/EF (</w:t>
      </w:r>
      <w:proofErr w:type="spellStart"/>
      <w:r w:rsidRPr="00467DB0">
        <w:t>generel</w:t>
      </w:r>
      <w:proofErr w:type="spellEnd"/>
      <w:r w:rsidRPr="00467DB0">
        <w:t xml:space="preserve"> forordning om databeskyttelse) (EUT L 119 </w:t>
      </w:r>
      <w:proofErr w:type="spellStart"/>
      <w:r w:rsidRPr="00467DB0">
        <w:t>af</w:t>
      </w:r>
      <w:proofErr w:type="spellEnd"/>
      <w:r w:rsidRPr="00467DB0">
        <w:t xml:space="preserve"> 4.5.2016, s. 1).</w:t>
      </w:r>
    </w:p>
  </w:footnote>
  <w:footnote w:id="61">
    <w:p w14:paraId="69C16344" w14:textId="1C0DEE92" w:rsidR="00000000" w:rsidRDefault="00693D67">
      <w:pPr>
        <w:pStyle w:val="Fotnotetekst"/>
      </w:pPr>
      <w:r>
        <w:rPr>
          <w:vertAlign w:val="superscript"/>
        </w:rPr>
        <w:footnoteRef/>
      </w:r>
      <w:r w:rsidRPr="00467DB0">
        <w:t>Europa-Parlamentets og Rådets foro</w:t>
      </w:r>
      <w:r w:rsidRPr="00467DB0">
        <w:t xml:space="preserve">rdning (EU) 2018/1725 </w:t>
      </w:r>
      <w:proofErr w:type="spellStart"/>
      <w:r w:rsidRPr="00467DB0">
        <w:t>af</w:t>
      </w:r>
      <w:proofErr w:type="spellEnd"/>
      <w:r w:rsidRPr="00467DB0">
        <w:t xml:space="preserve"> 23. oktober 2018 om beskyttelse </w:t>
      </w:r>
      <w:proofErr w:type="spellStart"/>
      <w:r w:rsidRPr="00467DB0">
        <w:t>af</w:t>
      </w:r>
      <w:proofErr w:type="spellEnd"/>
      <w:r w:rsidRPr="00467DB0">
        <w:t xml:space="preserve"> fysiske personer i forbindelse med behandling </w:t>
      </w:r>
      <w:proofErr w:type="spellStart"/>
      <w:r w:rsidRPr="00467DB0">
        <w:t>af</w:t>
      </w:r>
      <w:proofErr w:type="spellEnd"/>
      <w:r w:rsidRPr="00467DB0">
        <w:t xml:space="preserve"> </w:t>
      </w:r>
      <w:proofErr w:type="spellStart"/>
      <w:r w:rsidRPr="00467DB0">
        <w:t>personoplysninger</w:t>
      </w:r>
      <w:proofErr w:type="spellEnd"/>
      <w:r w:rsidRPr="00467DB0">
        <w:t xml:space="preserve"> i Unionens </w:t>
      </w:r>
      <w:proofErr w:type="spellStart"/>
      <w:r w:rsidRPr="00467DB0">
        <w:t>institutioner</w:t>
      </w:r>
      <w:proofErr w:type="spellEnd"/>
      <w:r w:rsidRPr="00467DB0">
        <w:t xml:space="preserve">, organer, kontorer og agenturer og om fri </w:t>
      </w:r>
      <w:proofErr w:type="spellStart"/>
      <w:r w:rsidRPr="00467DB0">
        <w:t>udveksling</w:t>
      </w:r>
      <w:proofErr w:type="spellEnd"/>
      <w:r w:rsidRPr="00467DB0">
        <w:t xml:space="preserve"> </w:t>
      </w:r>
      <w:proofErr w:type="spellStart"/>
      <w:r w:rsidRPr="00467DB0">
        <w:t>af</w:t>
      </w:r>
      <w:proofErr w:type="spellEnd"/>
      <w:r w:rsidRPr="00467DB0">
        <w:t xml:space="preserve"> sådanne </w:t>
      </w:r>
      <w:proofErr w:type="spellStart"/>
      <w:r w:rsidRPr="00467DB0">
        <w:t>oplysninger</w:t>
      </w:r>
      <w:proofErr w:type="spellEnd"/>
      <w:r w:rsidRPr="00467DB0">
        <w:t xml:space="preserve"> og om </w:t>
      </w:r>
      <w:proofErr w:type="spellStart"/>
      <w:r w:rsidRPr="00467DB0">
        <w:t>ophævelse</w:t>
      </w:r>
      <w:proofErr w:type="spellEnd"/>
      <w:r w:rsidRPr="00467DB0">
        <w:t xml:space="preserve"> </w:t>
      </w:r>
      <w:proofErr w:type="spellStart"/>
      <w:r w:rsidRPr="00467DB0">
        <w:t>af</w:t>
      </w:r>
      <w:proofErr w:type="spellEnd"/>
      <w:r w:rsidRPr="00467DB0">
        <w:t xml:space="preserve"> forordnin</w:t>
      </w:r>
      <w:r w:rsidRPr="00467DB0">
        <w:t xml:space="preserve">g (EF) nr. 45/2001 og </w:t>
      </w:r>
      <w:proofErr w:type="spellStart"/>
      <w:r w:rsidRPr="00467DB0">
        <w:t>afgørelse</w:t>
      </w:r>
      <w:proofErr w:type="spellEnd"/>
      <w:r w:rsidRPr="00467DB0">
        <w:t xml:space="preserve"> nr. 1247/2002/EF (EUT L 295 </w:t>
      </w:r>
      <w:proofErr w:type="spellStart"/>
      <w:r w:rsidRPr="00467DB0">
        <w:t>af</w:t>
      </w:r>
      <w:proofErr w:type="spellEnd"/>
      <w:r w:rsidRPr="00467DB0">
        <w:t xml:space="preserve"> 21.11.2018, s. 39).</w:t>
      </w:r>
    </w:p>
  </w:footnote>
  <w:footnote w:id="62">
    <w:p w14:paraId="0D39FD05" w14:textId="5D860BB6" w:rsidR="00000000" w:rsidRDefault="00693D67">
      <w:pPr>
        <w:pStyle w:val="Fotnotetekst"/>
      </w:pPr>
      <w:r>
        <w:rPr>
          <w:vertAlign w:val="superscript"/>
        </w:rPr>
        <w:footnoteRef/>
      </w:r>
      <w:r w:rsidRPr="00467DB0">
        <w:t xml:space="preserve">En erklæring fra Rådet og </w:t>
      </w:r>
      <w:proofErr w:type="spellStart"/>
      <w:r w:rsidRPr="00467DB0">
        <w:t>Kommissionen</w:t>
      </w:r>
      <w:proofErr w:type="spellEnd"/>
      <w:r w:rsidRPr="00467DB0">
        <w:t xml:space="preserve"> om </w:t>
      </w:r>
      <w:proofErr w:type="spellStart"/>
      <w:r w:rsidRPr="00467DB0">
        <w:t>gennemførelsen</w:t>
      </w:r>
      <w:proofErr w:type="spellEnd"/>
      <w:r w:rsidRPr="00467DB0">
        <w:t xml:space="preserve"> </w:t>
      </w:r>
      <w:proofErr w:type="spellStart"/>
      <w:r w:rsidRPr="00467DB0">
        <w:t>af</w:t>
      </w:r>
      <w:proofErr w:type="spellEnd"/>
      <w:r w:rsidRPr="00467DB0">
        <w:t xml:space="preserve"> </w:t>
      </w:r>
      <w:proofErr w:type="spellStart"/>
      <w:r w:rsidRPr="00467DB0">
        <w:t>artikel</w:t>
      </w:r>
      <w:proofErr w:type="spellEnd"/>
      <w:r w:rsidRPr="00467DB0">
        <w:t xml:space="preserve"> 107 med hensyn til progr</w:t>
      </w:r>
      <w:r w:rsidRPr="00467DB0">
        <w:t xml:space="preserve">ammets </w:t>
      </w:r>
      <w:proofErr w:type="spellStart"/>
      <w:r w:rsidRPr="00467DB0">
        <w:t>sikkerhedsaspekter</w:t>
      </w:r>
      <w:proofErr w:type="spellEnd"/>
      <w:r w:rsidRPr="00467DB0">
        <w:t xml:space="preserve"> bør </w:t>
      </w:r>
      <w:proofErr w:type="spellStart"/>
      <w:r w:rsidRPr="00467DB0">
        <w:t>føjes</w:t>
      </w:r>
      <w:proofErr w:type="spellEnd"/>
      <w:r w:rsidRPr="00467DB0">
        <w:t xml:space="preserve"> til forordningen og kunne </w:t>
      </w:r>
      <w:proofErr w:type="spellStart"/>
      <w:r w:rsidRPr="00467DB0">
        <w:t>udarbejdes</w:t>
      </w:r>
      <w:proofErr w:type="spellEnd"/>
      <w:r w:rsidRPr="00467DB0">
        <w:t xml:space="preserve"> som følger: "Rådet og </w:t>
      </w:r>
      <w:proofErr w:type="spellStart"/>
      <w:r w:rsidRPr="00467DB0">
        <w:t>Kommissionen</w:t>
      </w:r>
      <w:proofErr w:type="spellEnd"/>
      <w:r w:rsidRPr="00467DB0">
        <w:t xml:space="preserve"> </w:t>
      </w:r>
      <w:proofErr w:type="spellStart"/>
      <w:r w:rsidRPr="00467DB0">
        <w:t>understreger</w:t>
      </w:r>
      <w:proofErr w:type="spellEnd"/>
      <w:r w:rsidRPr="00467DB0">
        <w:t xml:space="preserve">, at på grund </w:t>
      </w:r>
      <w:proofErr w:type="spellStart"/>
      <w:r w:rsidRPr="00467DB0">
        <w:t>af</w:t>
      </w:r>
      <w:proofErr w:type="spellEnd"/>
      <w:r w:rsidRPr="00467DB0">
        <w:t xml:space="preserve"> </w:t>
      </w:r>
      <w:proofErr w:type="spellStart"/>
      <w:r w:rsidRPr="00467DB0">
        <w:t>følsomheden</w:t>
      </w:r>
      <w:proofErr w:type="spellEnd"/>
      <w:r w:rsidRPr="00467DB0">
        <w:t xml:space="preserve"> i programmets </w:t>
      </w:r>
      <w:proofErr w:type="spellStart"/>
      <w:r w:rsidRPr="00467DB0">
        <w:t>sikkerhedsaspekter</w:t>
      </w:r>
      <w:proofErr w:type="spellEnd"/>
      <w:r w:rsidRPr="00467DB0">
        <w:t xml:space="preserve"> og i overensstemmelse med </w:t>
      </w:r>
      <w:proofErr w:type="spellStart"/>
      <w:r w:rsidRPr="00467DB0">
        <w:t>artikel</w:t>
      </w:r>
      <w:proofErr w:type="spellEnd"/>
      <w:r w:rsidRPr="00467DB0">
        <w:t xml:space="preserve"> 3, stk. 4, og </w:t>
      </w:r>
      <w:proofErr w:type="spellStart"/>
      <w:r w:rsidRPr="00467DB0">
        <w:t>artikel</w:t>
      </w:r>
      <w:proofErr w:type="spellEnd"/>
      <w:r w:rsidRPr="00467DB0">
        <w:t xml:space="preserve"> 6, stk. 2, i foror</w:t>
      </w:r>
      <w:r w:rsidRPr="00467DB0">
        <w:t xml:space="preserve">dning (EU) nr. 182/2011, er det især </w:t>
      </w:r>
      <w:proofErr w:type="spellStart"/>
      <w:r w:rsidRPr="00467DB0">
        <w:t>vigtigt</w:t>
      </w:r>
      <w:proofErr w:type="spellEnd"/>
      <w:r w:rsidRPr="00467DB0">
        <w:t xml:space="preserve">, at </w:t>
      </w:r>
      <w:proofErr w:type="spellStart"/>
      <w:r w:rsidRPr="00467DB0">
        <w:t>formanden</w:t>
      </w:r>
      <w:proofErr w:type="spellEnd"/>
      <w:r w:rsidRPr="00467DB0">
        <w:t xml:space="preserve"> for </w:t>
      </w:r>
      <w:proofErr w:type="spellStart"/>
      <w:r w:rsidRPr="00467DB0">
        <w:t>programudvalget</w:t>
      </w:r>
      <w:proofErr w:type="spellEnd"/>
      <w:r w:rsidRPr="00467DB0">
        <w:t xml:space="preserve">, der mødes i </w:t>
      </w:r>
      <w:proofErr w:type="spellStart"/>
      <w:r w:rsidRPr="00467DB0">
        <w:t>sikkerhedskonfigurationen</w:t>
      </w:r>
      <w:proofErr w:type="spellEnd"/>
      <w:r w:rsidRPr="00467DB0">
        <w:t xml:space="preserve">, </w:t>
      </w:r>
      <w:proofErr w:type="spellStart"/>
      <w:r w:rsidRPr="00467DB0">
        <w:t>gør</w:t>
      </w:r>
      <w:proofErr w:type="spellEnd"/>
      <w:r w:rsidRPr="00467DB0">
        <w:t xml:space="preserve"> alt for at </w:t>
      </w:r>
      <w:proofErr w:type="spellStart"/>
      <w:r w:rsidRPr="00467DB0">
        <w:t>finde</w:t>
      </w:r>
      <w:proofErr w:type="spellEnd"/>
      <w:r w:rsidRPr="00467DB0">
        <w:t xml:space="preserve"> løsninger, der har størst mulig støtte </w:t>
      </w:r>
      <w:proofErr w:type="spellStart"/>
      <w:r w:rsidRPr="00467DB0">
        <w:t>inden</w:t>
      </w:r>
      <w:proofErr w:type="spellEnd"/>
      <w:r w:rsidRPr="00467DB0">
        <w:t xml:space="preserve"> for komitéen eller </w:t>
      </w:r>
      <w:proofErr w:type="spellStart"/>
      <w:r w:rsidRPr="00467DB0">
        <w:t>appelkomitéen</w:t>
      </w:r>
      <w:proofErr w:type="spellEnd"/>
      <w:r w:rsidRPr="00467DB0">
        <w:t xml:space="preserve">, når man </w:t>
      </w:r>
      <w:proofErr w:type="spellStart"/>
      <w:r w:rsidRPr="00467DB0">
        <w:t>overvejer</w:t>
      </w:r>
      <w:proofErr w:type="spellEnd"/>
      <w:r w:rsidRPr="00467DB0">
        <w:t xml:space="preserve"> vedtagelsen </w:t>
      </w:r>
      <w:proofErr w:type="spellStart"/>
      <w:r w:rsidRPr="00467DB0">
        <w:t>af</w:t>
      </w:r>
      <w:proofErr w:type="spellEnd"/>
      <w:r w:rsidRPr="00467DB0">
        <w:t xml:space="preserve"> </w:t>
      </w:r>
      <w:proofErr w:type="spellStart"/>
      <w:r w:rsidRPr="00467DB0">
        <w:t>udka</w:t>
      </w:r>
      <w:r w:rsidRPr="00467DB0">
        <w:t>st</w:t>
      </w:r>
      <w:proofErr w:type="spellEnd"/>
      <w:r w:rsidRPr="00467DB0">
        <w:t xml:space="preserve"> til </w:t>
      </w:r>
      <w:proofErr w:type="spellStart"/>
      <w:r w:rsidRPr="00467DB0">
        <w:t>gennemførelsesretsakter</w:t>
      </w:r>
      <w:proofErr w:type="spellEnd"/>
      <w:r w:rsidRPr="00467DB0">
        <w:t xml:space="preserve"> vedrørende programmets </w:t>
      </w:r>
      <w:proofErr w:type="spellStart"/>
      <w:r w:rsidRPr="00467DB0">
        <w:t>sikkerhedsaspekter</w:t>
      </w:r>
      <w:proofErr w:type="spellEnd"/>
      <w:r w:rsidRPr="00467DB0">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4023" w14:textId="0AB8E0C5" w:rsidR="00000000" w:rsidRPr="00467DB0" w:rsidRDefault="00693D67" w:rsidP="00467D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9EEF" w14:textId="7A7C398D" w:rsidR="00000000" w:rsidRPr="00467DB0" w:rsidRDefault="00693D67" w:rsidP="00467D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C80C" w14:textId="77777777" w:rsidR="00000000" w:rsidRPr="00467DB0" w:rsidRDefault="00693D67" w:rsidP="00467D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F2743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FF4EA8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EDCD60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284533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4FC253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8A85DA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 "/>
        <w:legacy w:legacy="1" w:legacySpace="0" w:legacyIndent="0"/>
        <w:lvlJc w:val="left"/>
        <w:pPr>
          <w:ind w:left="820" w:firstLine="0"/>
        </w:pPr>
        <w:rPr>
          <w:rFonts w:ascii="UniCentury Old Style" w:hAnsi="UniCentury Old Style" w:hint="default"/>
          <w:b w:val="0"/>
          <w:i w:val="0"/>
          <w:strike w:val="0"/>
          <w:color w:val="000000"/>
          <w:sz w:val="20"/>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67DB0"/>
    <w:rsid w:val="00467DB0"/>
    <w:rsid w:val="00693D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6AC07"/>
  <w14:defaultImageDpi w14:val="0"/>
  <w15:docId w15:val="{FB60274C-9E6B-400F-9AAF-1469836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B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67DB0"/>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67DB0"/>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467DB0"/>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467DB0"/>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467DB0"/>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467DB0"/>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467DB0"/>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467DB0"/>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467DB0"/>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467DB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7DB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7DB0"/>
    <w:pPr>
      <w:keepNext/>
      <w:keepLines/>
      <w:spacing w:before="240" w:after="240"/>
    </w:pPr>
  </w:style>
  <w:style w:type="paragraph" w:customStyle="1" w:styleId="a-konge-tit">
    <w:name w:val="a-konge-tit"/>
    <w:basedOn w:val="Normal"/>
    <w:next w:val="Normal"/>
    <w:rsid w:val="00467DB0"/>
    <w:pPr>
      <w:keepNext/>
      <w:keepLines/>
      <w:spacing w:before="240"/>
      <w:jc w:val="center"/>
    </w:pPr>
    <w:rPr>
      <w:spacing w:val="30"/>
    </w:rPr>
  </w:style>
  <w:style w:type="paragraph" w:customStyle="1" w:styleId="a-tilraar-dep">
    <w:name w:val="a-tilraar-dep"/>
    <w:basedOn w:val="Normal"/>
    <w:next w:val="Normal"/>
    <w:rsid w:val="00467DB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7DB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7DB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67DB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INNH1">
    <w:name w:val="toc 1"/>
    <w:basedOn w:val="Normal"/>
    <w:next w:val="Normal"/>
    <w:rsid w:val="00467DB0"/>
    <w:pPr>
      <w:tabs>
        <w:tab w:val="right" w:leader="dot" w:pos="8306"/>
      </w:tabs>
    </w:pPr>
    <w:rPr>
      <w:spacing w:val="0"/>
    </w:rPr>
  </w:style>
  <w:style w:type="paragraph" w:styleId="INNH2">
    <w:name w:val="toc 2"/>
    <w:basedOn w:val="Normal"/>
    <w:next w:val="Normal"/>
    <w:rsid w:val="00467DB0"/>
    <w:pPr>
      <w:tabs>
        <w:tab w:val="right" w:leader="dot" w:pos="8306"/>
      </w:tabs>
      <w:ind w:left="200"/>
    </w:pPr>
    <w:rPr>
      <w:spacing w:val="0"/>
    </w:rPr>
  </w:style>
  <w:style w:type="paragraph" w:styleId="INNH3">
    <w:name w:val="toc 3"/>
    <w:basedOn w:val="Normal"/>
    <w:next w:val="Normal"/>
    <w:rsid w:val="00467DB0"/>
    <w:pPr>
      <w:tabs>
        <w:tab w:val="right" w:leader="dot" w:pos="8306"/>
      </w:tabs>
      <w:ind w:left="400"/>
    </w:pPr>
    <w:rPr>
      <w:spacing w:val="0"/>
    </w:rPr>
  </w:style>
  <w:style w:type="paragraph" w:styleId="INNH4">
    <w:name w:val="toc 4"/>
    <w:basedOn w:val="Normal"/>
    <w:next w:val="Normal"/>
    <w:rsid w:val="00467DB0"/>
    <w:pPr>
      <w:tabs>
        <w:tab w:val="right" w:leader="dot" w:pos="8306"/>
      </w:tabs>
      <w:ind w:left="600"/>
    </w:pPr>
    <w:rPr>
      <w:spacing w:val="0"/>
    </w:rPr>
  </w:style>
  <w:style w:type="paragraph" w:styleId="INNH5">
    <w:name w:val="toc 5"/>
    <w:basedOn w:val="Normal"/>
    <w:next w:val="Normal"/>
    <w:rsid w:val="00467DB0"/>
    <w:pPr>
      <w:tabs>
        <w:tab w:val="right" w:leader="dot" w:pos="8306"/>
      </w:tabs>
      <w:ind w:left="800"/>
    </w:pPr>
    <w:rPr>
      <w:spacing w:val="0"/>
    </w:rPr>
  </w:style>
  <w:style w:type="paragraph" w:customStyle="1" w:styleId="a-vedtak-tit">
    <w:name w:val="a-vedtak-tit"/>
    <w:basedOn w:val="Normal"/>
    <w:next w:val="Normal"/>
    <w:rsid w:val="00467DB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67DB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67DB0"/>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67DB0"/>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67DB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467DB0"/>
    <w:pPr>
      <w:keepNext/>
      <w:keepLines/>
      <w:spacing w:before="360"/>
    </w:pPr>
    <w:rPr>
      <w:rFonts w:ascii="Arial" w:hAnsi="Arial"/>
      <w:b/>
      <w:sz w:val="28"/>
    </w:rPr>
  </w:style>
  <w:style w:type="character" w:customStyle="1" w:styleId="UndertittelTegn">
    <w:name w:val="Undertittel Tegn"/>
    <w:link w:val="Undertittel"/>
    <w:rsid w:val="00467DB0"/>
    <w:rPr>
      <w:rFonts w:ascii="Arial" w:eastAsia="Times New Roman" w:hAnsi="Arial"/>
      <w:b/>
      <w:spacing w:val="4"/>
      <w:sz w:val="28"/>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67DB0"/>
    <w:pPr>
      <w:keepNext/>
      <w:keepLines/>
      <w:spacing w:before="360"/>
      <w:ind w:left="1021" w:hanging="1021"/>
    </w:pPr>
    <w:rPr>
      <w:i/>
      <w:spacing w:val="0"/>
    </w:rPr>
  </w:style>
  <w:style w:type="paragraph" w:styleId="INNH6">
    <w:name w:val="toc 6"/>
    <w:basedOn w:val="Normal"/>
    <w:next w:val="Normal"/>
    <w:autoRedefine/>
    <w:uiPriority w:val="39"/>
    <w:unhideWhenUsed/>
    <w:rsid w:val="00467DB0"/>
    <w:pPr>
      <w:spacing w:after="100"/>
      <w:ind w:left="1200"/>
    </w:pPr>
  </w:style>
  <w:style w:type="paragraph" w:styleId="INNH7">
    <w:name w:val="toc 7"/>
    <w:basedOn w:val="Normal"/>
    <w:next w:val="Normal"/>
    <w:autoRedefine/>
    <w:uiPriority w:val="39"/>
    <w:unhideWhenUsed/>
    <w:rsid w:val="00467DB0"/>
    <w:pPr>
      <w:spacing w:after="100"/>
      <w:ind w:left="1440"/>
    </w:pPr>
  </w:style>
  <w:style w:type="paragraph" w:styleId="INNH8">
    <w:name w:val="toc 8"/>
    <w:basedOn w:val="Normal"/>
    <w:next w:val="Normal"/>
    <w:autoRedefine/>
    <w:uiPriority w:val="39"/>
    <w:unhideWhenUsed/>
    <w:rsid w:val="00467DB0"/>
    <w:pPr>
      <w:spacing w:after="100"/>
      <w:ind w:left="1680"/>
    </w:pPr>
  </w:style>
  <w:style w:type="paragraph" w:styleId="INNH9">
    <w:name w:val="toc 9"/>
    <w:basedOn w:val="Normal"/>
    <w:next w:val="Normal"/>
    <w:autoRedefine/>
    <w:uiPriority w:val="39"/>
    <w:unhideWhenUsed/>
    <w:rsid w:val="00467DB0"/>
    <w:pPr>
      <w:spacing w:after="100"/>
      <w:ind w:left="1920"/>
    </w:pPr>
  </w:style>
  <w:style w:type="paragraph" w:styleId="Vanliginnrykk">
    <w:name w:val="Normal Indent"/>
    <w:basedOn w:val="Normal"/>
    <w:uiPriority w:val="99"/>
    <w:unhideWhenUsed/>
    <w:rsid w:val="00467DB0"/>
    <w:pPr>
      <w:ind w:left="708"/>
    </w:p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styleId="Figurliste">
    <w:name w:val="table of figures"/>
    <w:basedOn w:val="Normal"/>
    <w:next w:val="Normal"/>
    <w:uiPriority w:val="99"/>
    <w:unhideWhenUsed/>
    <w:rsid w:val="00467DB0"/>
    <w:pPr>
      <w:spacing w:after="0"/>
    </w:p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styleId="Kildeliste">
    <w:name w:val="table of authorities"/>
    <w:basedOn w:val="Normal"/>
    <w:next w:val="Normal"/>
    <w:uiPriority w:val="99"/>
    <w:unhideWhenUsed/>
    <w:rsid w:val="00467DB0"/>
    <w:pPr>
      <w:spacing w:after="0"/>
      <w:ind w:left="240" w:hanging="240"/>
    </w:pPr>
  </w:style>
  <w:style w:type="paragraph" w:styleId="Makrotekst">
    <w:name w:val="macro"/>
    <w:link w:val="MakrotekstTegn"/>
    <w:uiPriority w:val="99"/>
    <w:unhideWhenUsed/>
    <w:rsid w:val="00467DB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467DB0"/>
    <w:rPr>
      <w:rFonts w:ascii="Consolas" w:eastAsia="Times New Roman" w:hAnsi="Consolas"/>
      <w:spacing w:val="4"/>
    </w:rPr>
  </w:style>
  <w:style w:type="paragraph" w:styleId="Kildelisteoverskrift">
    <w:name w:val="toa heading"/>
    <w:basedOn w:val="Normal"/>
    <w:next w:val="Normal"/>
    <w:uiPriority w:val="99"/>
    <w:unhideWhenUsed/>
    <w:rsid w:val="00467DB0"/>
    <w:pPr>
      <w:spacing w:before="120"/>
    </w:pPr>
    <w:rPr>
      <w:rFonts w:ascii="Cambria" w:hAnsi="Cambria" w:cs="Times New Roman"/>
      <w:b/>
      <w:bCs/>
      <w:szCs w:val="24"/>
    </w:rPr>
  </w:style>
  <w:style w:type="paragraph" w:styleId="Tittel">
    <w:name w:val="Title"/>
    <w:basedOn w:val="Normal"/>
    <w:next w:val="Normal"/>
    <w:link w:val="TittelTegn"/>
    <w:uiPriority w:val="10"/>
    <w:qFormat/>
    <w:rsid w:val="00467DB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67DB0"/>
    <w:rPr>
      <w:rFonts w:ascii="Cambria" w:eastAsia="Times New Roman" w:hAnsi="Cambria" w:cs="Times New Roman"/>
      <w:color w:val="17365D"/>
      <w:spacing w:val="5"/>
      <w:kern w:val="28"/>
      <w:sz w:val="52"/>
      <w:szCs w:val="5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styleId="Underskrift">
    <w:name w:val="Signature"/>
    <w:basedOn w:val="Normal"/>
    <w:link w:val="UnderskriftTegn"/>
    <w:uiPriority w:val="99"/>
    <w:unhideWhenUsed/>
    <w:rsid w:val="00467DB0"/>
    <w:pPr>
      <w:spacing w:after="0" w:line="240" w:lineRule="auto"/>
      <w:ind w:left="4252"/>
    </w:pPr>
  </w:style>
  <w:style w:type="character" w:customStyle="1" w:styleId="UnderskriftTegn">
    <w:name w:val="Underskrift Tegn"/>
    <w:link w:val="Underskrift"/>
    <w:uiPriority w:val="99"/>
    <w:rsid w:val="00467DB0"/>
    <w:rPr>
      <w:rFonts w:ascii="Times New Roman" w:eastAsia="Times New Roman" w:hAnsi="Times New Roman"/>
      <w:spacing w:val="4"/>
      <w:sz w:val="24"/>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67DB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styleId="Meldingshode">
    <w:name w:val="Message Header"/>
    <w:basedOn w:val="Normal"/>
    <w:link w:val="MeldingshodeTegn"/>
    <w:uiPriority w:val="99"/>
    <w:unhideWhenUsed/>
    <w:rsid w:val="00467D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467DB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467DB0"/>
  </w:style>
  <w:style w:type="character" w:customStyle="1" w:styleId="InnledendehilsenTegn">
    <w:name w:val="Innledende hilsen Tegn"/>
    <w:link w:val="Innledendehilsen"/>
    <w:uiPriority w:val="99"/>
    <w:rsid w:val="00467DB0"/>
    <w:rPr>
      <w:rFonts w:ascii="Times New Roman" w:eastAsia="Times New Roman" w:hAnsi="Times New Roman"/>
      <w:spacing w:val="4"/>
      <w:sz w:val="24"/>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styleId="Notatoverskrift">
    <w:name w:val="Note Heading"/>
    <w:basedOn w:val="Normal"/>
    <w:next w:val="Normal"/>
    <w:link w:val="NotatoverskriftTegn"/>
    <w:uiPriority w:val="99"/>
    <w:unhideWhenUsed/>
    <w:rsid w:val="00467DB0"/>
    <w:pPr>
      <w:spacing w:after="0" w:line="240" w:lineRule="auto"/>
    </w:pPr>
  </w:style>
  <w:style w:type="character" w:customStyle="1" w:styleId="NotatoverskriftTegn">
    <w:name w:val="Notatoverskrift Tegn"/>
    <w:link w:val="Notatoverskrift"/>
    <w:uiPriority w:val="99"/>
    <w:rsid w:val="00467DB0"/>
    <w:rPr>
      <w:rFonts w:ascii="Times New Roman" w:eastAsia="Times New Roman" w:hAnsi="Times New Roman"/>
      <w:spacing w:val="4"/>
      <w:sz w:val="24"/>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styleId="Rentekst">
    <w:name w:val="Plain Text"/>
    <w:basedOn w:val="Normal"/>
    <w:link w:val="RentekstTegn"/>
    <w:uiPriority w:val="99"/>
    <w:unhideWhenUsed/>
    <w:rsid w:val="00467DB0"/>
    <w:rPr>
      <w:rFonts w:ascii="Courier New" w:hAnsi="Courier New" w:cs="Courier New"/>
      <w:sz w:val="20"/>
    </w:rPr>
  </w:style>
  <w:style w:type="character" w:customStyle="1" w:styleId="RentekstTegn">
    <w:name w:val="Ren tekst Tegn"/>
    <w:link w:val="Rentekst"/>
    <w:uiPriority w:val="99"/>
    <w:rsid w:val="00467DB0"/>
    <w:rPr>
      <w:rFonts w:ascii="Courier New" w:eastAsia="Times New Roman" w:hAnsi="Courier New" w:cs="Courier New"/>
      <w:spacing w:val="4"/>
      <w:sz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styleId="NormalWeb">
    <w:name w:val="Normal (Web)"/>
    <w:basedOn w:val="Normal"/>
    <w:uiPriority w:val="99"/>
    <w:unhideWhenUsed/>
    <w:rsid w:val="00467DB0"/>
    <w:rPr>
      <w:szCs w:val="24"/>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67DB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styleId="Ingenmellomrom">
    <w:name w:val="No Spacing"/>
    <w:uiPriority w:val="1"/>
    <w:qFormat/>
    <w:rsid w:val="00467DB0"/>
    <w:pPr>
      <w:spacing w:after="200" w:line="276" w:lineRule="auto"/>
    </w:pPr>
    <w:rPr>
      <w:rFonts w:ascii="Times New Roman" w:eastAsia="Times New Roman" w:hAnsi="Times New Roman"/>
      <w:spacing w:val="4"/>
      <w:sz w:val="24"/>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character" w:customStyle="1" w:styleId="Overskrift1Tegn">
    <w:name w:val="Overskrift 1 Tegn"/>
    <w:link w:val="Overskrift1"/>
    <w:rsid w:val="00467DB0"/>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467DB0"/>
    <w:pPr>
      <w:numPr>
        <w:numId w:val="0"/>
      </w:numPr>
      <w:spacing w:before="480" w:after="0"/>
      <w:outlineLvl w:val="9"/>
    </w:pPr>
    <w:rPr>
      <w:rFonts w:ascii="Cambria" w:hAnsi="Cambria" w:cs="Times New Roman"/>
      <w:bCs/>
      <w:color w:val="365F91"/>
      <w:spacing w:val="4"/>
      <w:kern w:val="0"/>
      <w:szCs w:val="28"/>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Sammendrag">
    <w:name w:val="Sammendrag"/>
    <w:basedOn w:val="Overskrift1"/>
    <w:qFormat/>
    <w:rsid w:val="00467DB0"/>
    <w:pPr>
      <w:numPr>
        <w:numId w:val="0"/>
      </w:numPr>
    </w:pPr>
  </w:style>
  <w:style w:type="paragraph" w:customStyle="1" w:styleId="TrykkeriMerknad">
    <w:name w:val="TrykkeriMerknad"/>
    <w:basedOn w:val="Normal"/>
    <w:qFormat/>
    <w:rsid w:val="00467DB0"/>
    <w:pPr>
      <w:spacing w:before="60"/>
    </w:pPr>
    <w:rPr>
      <w:rFonts w:ascii="Arial" w:hAnsi="Arial"/>
      <w:color w:val="943634"/>
      <w:sz w:val="26"/>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tblRad">
    <w:name w:val="tblRad"/>
    <w:rsid w:val="00467DB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7DB0"/>
  </w:style>
  <w:style w:type="paragraph" w:customStyle="1" w:styleId="tbl2LinjeSumBold">
    <w:name w:val="tbl2LinjeSumBold"/>
    <w:basedOn w:val="tblRad"/>
    <w:rsid w:val="00467DB0"/>
    <w:rPr>
      <w:b/>
    </w:rPr>
  </w:style>
  <w:style w:type="paragraph" w:customStyle="1" w:styleId="tblDelsum1">
    <w:name w:val="tblDelsum1"/>
    <w:basedOn w:val="tblRad"/>
    <w:rsid w:val="00467DB0"/>
    <w:rPr>
      <w:i/>
    </w:rPr>
  </w:style>
  <w:style w:type="paragraph" w:customStyle="1" w:styleId="tblDelsum1-Kapittel">
    <w:name w:val="tblDelsum1 - Kapittel"/>
    <w:basedOn w:val="tblDelsum1"/>
    <w:rsid w:val="00467DB0"/>
    <w:pPr>
      <w:keepNext w:val="0"/>
    </w:pPr>
  </w:style>
  <w:style w:type="paragraph" w:customStyle="1" w:styleId="tblDelsum2">
    <w:name w:val="tblDelsum2"/>
    <w:basedOn w:val="tblRad"/>
    <w:rsid w:val="00467DB0"/>
    <w:rPr>
      <w:b/>
      <w:i/>
    </w:rPr>
  </w:style>
  <w:style w:type="paragraph" w:customStyle="1" w:styleId="tblDelsum2-Kapittel">
    <w:name w:val="tblDelsum2 - Kapittel"/>
    <w:basedOn w:val="tblDelsum2"/>
    <w:rsid w:val="00467DB0"/>
    <w:pPr>
      <w:keepNext w:val="0"/>
    </w:pPr>
  </w:style>
  <w:style w:type="paragraph" w:customStyle="1" w:styleId="tblTabelloverskrift">
    <w:name w:val="tblTabelloverskrift"/>
    <w:rsid w:val="00467DB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7DB0"/>
    <w:pPr>
      <w:spacing w:after="0"/>
      <w:jc w:val="right"/>
    </w:pPr>
    <w:rPr>
      <w:b w:val="0"/>
      <w:caps w:val="0"/>
      <w:sz w:val="16"/>
    </w:rPr>
  </w:style>
  <w:style w:type="paragraph" w:customStyle="1" w:styleId="tblKategoriOverskrift">
    <w:name w:val="tblKategoriOverskrift"/>
    <w:basedOn w:val="tblRad"/>
    <w:rsid w:val="00467DB0"/>
    <w:pPr>
      <w:spacing w:before="120"/>
    </w:pPr>
    <w:rPr>
      <w:b/>
    </w:rPr>
  </w:style>
  <w:style w:type="paragraph" w:customStyle="1" w:styleId="tblKolonneoverskrift">
    <w:name w:val="tblKolonneoverskrift"/>
    <w:basedOn w:val="Normal"/>
    <w:rsid w:val="00467DB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7DB0"/>
    <w:pPr>
      <w:spacing w:after="360"/>
      <w:jc w:val="center"/>
    </w:pPr>
    <w:rPr>
      <w:b w:val="0"/>
      <w:caps w:val="0"/>
    </w:rPr>
  </w:style>
  <w:style w:type="paragraph" w:customStyle="1" w:styleId="tblKolonneoverskrift-Vedtak">
    <w:name w:val="tblKolonneoverskrift - Vedtak"/>
    <w:basedOn w:val="tblTabelloverskrift-Vedtak"/>
    <w:rsid w:val="00467DB0"/>
    <w:pPr>
      <w:spacing w:after="0"/>
    </w:pPr>
  </w:style>
  <w:style w:type="paragraph" w:customStyle="1" w:styleId="tblOverskrift-Vedtak">
    <w:name w:val="tblOverskrift - Vedtak"/>
    <w:basedOn w:val="tblRad"/>
    <w:rsid w:val="00467DB0"/>
    <w:pPr>
      <w:spacing w:before="360"/>
      <w:jc w:val="center"/>
    </w:pPr>
  </w:style>
  <w:style w:type="paragraph" w:customStyle="1" w:styleId="tblRadBold">
    <w:name w:val="tblRadBold"/>
    <w:basedOn w:val="tblRad"/>
    <w:rsid w:val="00467DB0"/>
    <w:rPr>
      <w:b/>
    </w:rPr>
  </w:style>
  <w:style w:type="paragraph" w:customStyle="1" w:styleId="tblRadItalic">
    <w:name w:val="tblRadItalic"/>
    <w:basedOn w:val="tblRad"/>
    <w:rsid w:val="00467DB0"/>
    <w:rPr>
      <w:i/>
    </w:rPr>
  </w:style>
  <w:style w:type="paragraph" w:customStyle="1" w:styleId="tblRadItalicSiste">
    <w:name w:val="tblRadItalicSiste"/>
    <w:basedOn w:val="tblRadItalic"/>
    <w:rsid w:val="00467DB0"/>
  </w:style>
  <w:style w:type="paragraph" w:customStyle="1" w:styleId="tblRadMedLuft">
    <w:name w:val="tblRadMedLuft"/>
    <w:basedOn w:val="tblRad"/>
    <w:rsid w:val="00467DB0"/>
    <w:pPr>
      <w:spacing w:before="120"/>
    </w:pPr>
  </w:style>
  <w:style w:type="paragraph" w:customStyle="1" w:styleId="tblRadMedLuftSiste">
    <w:name w:val="tblRadMedLuftSiste"/>
    <w:basedOn w:val="tblRadMedLuft"/>
    <w:rsid w:val="00467DB0"/>
    <w:pPr>
      <w:spacing w:after="120"/>
    </w:pPr>
  </w:style>
  <w:style w:type="paragraph" w:customStyle="1" w:styleId="tblRadMedLuftSiste-Vedtak">
    <w:name w:val="tblRadMedLuftSiste - Vedtak"/>
    <w:basedOn w:val="tblRadMedLuftSiste"/>
    <w:rsid w:val="00467DB0"/>
    <w:pPr>
      <w:keepNext w:val="0"/>
    </w:pPr>
  </w:style>
  <w:style w:type="paragraph" w:customStyle="1" w:styleId="tblRadSiste">
    <w:name w:val="tblRadSiste"/>
    <w:basedOn w:val="tblRad"/>
    <w:rsid w:val="00467DB0"/>
  </w:style>
  <w:style w:type="paragraph" w:customStyle="1" w:styleId="tblSluttsum">
    <w:name w:val="tblSluttsum"/>
    <w:basedOn w:val="tblRad"/>
    <w:rsid w:val="00467DB0"/>
    <w:pPr>
      <w:spacing w:before="120"/>
    </w:pPr>
    <w:rPr>
      <w:b/>
      <w:i/>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Point1">
    <w:name w:val="Point 1"/>
    <w:uiPriority w:val="99"/>
    <w:pPr>
      <w:keepNext/>
      <w:widowControl w:val="0"/>
      <w:tabs>
        <w:tab w:val="left" w:pos="4240"/>
      </w:tab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Point0">
    <w:name w:val="Point 0"/>
    <w:uiPriority w:val="99"/>
    <w:pPr>
      <w:keepNext/>
      <w:widowControl w:val="0"/>
      <w:tabs>
        <w:tab w:val="left" w:pos="840"/>
      </w:tab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2">
    <w:name w:val="Point 2"/>
    <w:uiPriority w:val="99"/>
    <w:pPr>
      <w:keepNext/>
      <w:widowControl w:val="0"/>
      <w:tabs>
        <w:tab w:val="left" w:pos="700"/>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NormalCentered">
    <w:name w:val="Normal Centered"/>
    <w:uiPriority w:val="99"/>
    <w:pPr>
      <w:widowControl w:val="0"/>
      <w:autoSpaceDE w:val="0"/>
      <w:autoSpaceDN w:val="0"/>
      <w:adjustRightInd w:val="0"/>
      <w:spacing w:before="200" w:after="120" w:line="240" w:lineRule="auto"/>
      <w:jc w:val="center"/>
    </w:pPr>
    <w:rPr>
      <w:rFonts w:ascii="Times New Roman" w:hAnsi="Times New Roman" w:cs="Times New Roman"/>
      <w:color w:val="000000"/>
      <w:w w:val="0"/>
      <w:sz w:val="24"/>
      <w:szCs w:val="24"/>
      <w:lang w:val="en-US"/>
    </w:rPr>
  </w:style>
  <w:style w:type="paragraph" w:customStyle="1" w:styleId="NormalRight">
    <w:name w:val="Normal Right"/>
    <w:uiPriority w:val="99"/>
    <w:pPr>
      <w:widowControl w:val="0"/>
      <w:autoSpaceDE w:val="0"/>
      <w:autoSpaceDN w:val="0"/>
      <w:adjustRightInd w:val="0"/>
      <w:spacing w:before="200" w:after="120" w:line="240" w:lineRule="auto"/>
      <w:jc w:val="right"/>
    </w:pPr>
    <w:rPr>
      <w:rFonts w:ascii="Times New Roman" w:hAnsi="Times New Roman" w:cs="Times New Roman"/>
      <w:color w:val="000000"/>
      <w:w w:val="0"/>
      <w:sz w:val="24"/>
      <w:szCs w:val="24"/>
      <w:lang w:val="en-US"/>
    </w:rPr>
  </w:style>
  <w:style w:type="paragraph" w:customStyle="1" w:styleId="NormalJustified">
    <w:name w:val="Normal Justified"/>
    <w:uiPriority w:val="99"/>
    <w:pPr>
      <w:widowControl w:val="0"/>
      <w:autoSpaceDE w:val="0"/>
      <w:autoSpaceDN w:val="0"/>
      <w:adjustRightInd w:val="0"/>
      <w:spacing w:before="200" w:after="120" w:line="240" w:lineRule="auto"/>
      <w:jc w:val="both"/>
    </w:pPr>
    <w:rPr>
      <w:rFonts w:ascii="Times New Roman" w:hAnsi="Times New Roman" w:cs="Times New Roman"/>
      <w:color w:val="000000"/>
      <w:w w:val="0"/>
      <w:sz w:val="24"/>
      <w:szCs w:val="24"/>
      <w:lang w:val="en-US"/>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67DB0"/>
  </w:style>
  <w:style w:type="paragraph" w:customStyle="1" w:styleId="TechnicalBlock">
    <w:name w:val="Technical Block"/>
    <w:next w:val="Normal"/>
    <w:uiPriority w:val="99"/>
    <w:pPr>
      <w:widowControl w:val="0"/>
      <w:autoSpaceDE w:val="0"/>
      <w:autoSpaceDN w:val="0"/>
      <w:adjustRightInd w:val="0"/>
      <w:spacing w:after="240" w:line="240" w:lineRule="auto"/>
      <w:jc w:val="center"/>
    </w:pPr>
    <w:rPr>
      <w:rFonts w:ascii="Times New Roman" w:hAnsi="Times New Roman" w:cs="Times New Roman"/>
      <w:color w:val="000000"/>
      <w:w w:val="0"/>
      <w:sz w:val="24"/>
      <w:szCs w:val="24"/>
      <w:lang w:val="en-US"/>
    </w:rPr>
  </w:style>
  <w:style w:type="paragraph" w:customStyle="1" w:styleId="Def">
    <w:name w:val="Def"/>
    <w:basedOn w:val="hengende-innrykk"/>
    <w:rsid w:val="00467DB0"/>
    <w:pPr>
      <w:spacing w:line="240" w:lineRule="auto"/>
      <w:ind w:left="0" w:firstLine="0"/>
    </w:pPr>
    <w:rPr>
      <w:rFonts w:ascii="Times" w:eastAsia="Batang" w:hAnsi="Times"/>
      <w:spacing w:val="0"/>
      <w:szCs w:val="20"/>
    </w:rPr>
  </w:style>
  <w:style w:type="paragraph" w:customStyle="1" w:styleId="del-nr">
    <w:name w:val="del-nr"/>
    <w:basedOn w:val="Normal"/>
    <w:qFormat/>
    <w:rsid w:val="00467DB0"/>
    <w:pPr>
      <w:keepNext/>
      <w:keepLines/>
      <w:spacing w:before="360" w:after="0" w:line="240" w:lineRule="auto"/>
      <w:jc w:val="center"/>
    </w:pPr>
    <w:rPr>
      <w:rFonts w:eastAsia="Batang"/>
      <w:i/>
      <w:spacing w:val="0"/>
      <w:sz w:val="48"/>
      <w:szCs w:val="20"/>
    </w:rPr>
  </w:style>
  <w:style w:type="paragraph" w:customStyle="1" w:styleId="Text1">
    <w:name w:val="Text 1"/>
    <w:uiPriority w:val="99"/>
    <w:pPr>
      <w:widowControl w:val="0"/>
      <w:tabs>
        <w:tab w:val="left" w:pos="560"/>
      </w:tabs>
      <w:autoSpaceDE w:val="0"/>
      <w:autoSpaceDN w:val="0"/>
      <w:adjustRightInd w:val="0"/>
      <w:spacing w:before="120" w:after="120" w:line="240" w:lineRule="auto"/>
      <w:ind w:left="560"/>
    </w:pPr>
    <w:rPr>
      <w:rFonts w:ascii="Times New Roman" w:hAnsi="Times New Roman" w:cs="Times New Roman"/>
      <w:color w:val="000000"/>
      <w:w w:val="0"/>
      <w:sz w:val="24"/>
      <w:szCs w:val="24"/>
      <w:lang w:val="en-US"/>
    </w:rPr>
  </w:style>
  <w:style w:type="paragraph" w:customStyle="1" w:styleId="Text2">
    <w:name w:val="Text 2"/>
    <w:uiPriority w:val="99"/>
    <w:pPr>
      <w:widowControl w:val="0"/>
      <w:tabs>
        <w:tab w:val="left" w:pos="1120"/>
      </w:tabs>
      <w:autoSpaceDE w:val="0"/>
      <w:autoSpaceDN w:val="0"/>
      <w:adjustRightInd w:val="0"/>
      <w:spacing w:before="120" w:after="120" w:line="240" w:lineRule="auto"/>
      <w:ind w:left="1120"/>
    </w:pPr>
    <w:rPr>
      <w:rFonts w:ascii="Times New Roman" w:hAnsi="Times New Roman" w:cs="Times New Roman"/>
      <w:color w:val="000000"/>
      <w:w w:val="0"/>
      <w:sz w:val="24"/>
      <w:szCs w:val="24"/>
      <w:lang w:val="en-US"/>
    </w:rPr>
  </w:style>
  <w:style w:type="paragraph" w:customStyle="1" w:styleId="Text3">
    <w:name w:val="Text 3"/>
    <w:uiPriority w:val="99"/>
    <w:pPr>
      <w:widowControl w:val="0"/>
      <w:tabs>
        <w:tab w:val="left" w:pos="1700"/>
      </w:tabs>
      <w:autoSpaceDE w:val="0"/>
      <w:autoSpaceDN w:val="0"/>
      <w:adjustRightInd w:val="0"/>
      <w:spacing w:before="120" w:after="120" w:line="240" w:lineRule="auto"/>
      <w:ind w:left="1700"/>
    </w:pPr>
    <w:rPr>
      <w:rFonts w:ascii="Times New Roman" w:hAnsi="Times New Roman" w:cs="Times New Roman"/>
      <w:color w:val="000000"/>
      <w:w w:val="0"/>
      <w:sz w:val="24"/>
      <w:szCs w:val="24"/>
      <w:lang w:val="en-US"/>
    </w:rPr>
  </w:style>
  <w:style w:type="paragraph" w:customStyle="1" w:styleId="Text4">
    <w:name w:val="Text 4"/>
    <w:uiPriority w:val="99"/>
    <w:pPr>
      <w:widowControl w:val="0"/>
      <w:tabs>
        <w:tab w:val="left" w:pos="2260"/>
      </w:tabs>
      <w:autoSpaceDE w:val="0"/>
      <w:autoSpaceDN w:val="0"/>
      <w:adjustRightInd w:val="0"/>
      <w:spacing w:before="120" w:after="120" w:line="240" w:lineRule="auto"/>
      <w:ind w:left="2260"/>
    </w:pPr>
    <w:rPr>
      <w:rFonts w:ascii="Times New Roman" w:hAnsi="Times New Roman" w:cs="Times New Roman"/>
      <w:color w:val="000000"/>
      <w:w w:val="0"/>
      <w:sz w:val="24"/>
      <w:szCs w:val="24"/>
      <w:lang w:val="en-US"/>
    </w:rPr>
  </w:style>
  <w:style w:type="paragraph" w:customStyle="1" w:styleId="Text5">
    <w:name w:val="Text 5"/>
    <w:uiPriority w:val="99"/>
    <w:pPr>
      <w:widowControl w:val="0"/>
      <w:tabs>
        <w:tab w:val="left" w:pos="2820"/>
      </w:tabs>
      <w:autoSpaceDE w:val="0"/>
      <w:autoSpaceDN w:val="0"/>
      <w:adjustRightInd w:val="0"/>
      <w:spacing w:before="120" w:after="120" w:line="240" w:lineRule="auto"/>
      <w:ind w:left="2820"/>
    </w:pPr>
    <w:rPr>
      <w:rFonts w:ascii="Times New Roman" w:hAnsi="Times New Roman" w:cs="Times New Roman"/>
      <w:color w:val="000000"/>
      <w:w w:val="0"/>
      <w:sz w:val="24"/>
      <w:szCs w:val="24"/>
      <w:lang w:val="en-US"/>
    </w:rPr>
  </w:style>
  <w:style w:type="paragraph" w:customStyle="1" w:styleId="Text6">
    <w:name w:val="Text 6"/>
    <w:uiPriority w:val="99"/>
    <w:pPr>
      <w:widowControl w:val="0"/>
      <w:tabs>
        <w:tab w:val="left" w:pos="3400"/>
      </w:tabs>
      <w:autoSpaceDE w:val="0"/>
      <w:autoSpaceDN w:val="0"/>
      <w:adjustRightInd w:val="0"/>
      <w:spacing w:before="120" w:after="120" w:line="240" w:lineRule="auto"/>
      <w:ind w:left="3400"/>
    </w:pPr>
    <w:rPr>
      <w:rFonts w:ascii="Times New Roman" w:hAnsi="Times New Roman" w:cs="Times New Roman"/>
      <w:color w:val="000000"/>
      <w:w w:val="0"/>
      <w:sz w:val="24"/>
      <w:szCs w:val="24"/>
      <w:lang w:val="en-US"/>
    </w:rPr>
  </w:style>
  <w:style w:type="paragraph" w:customStyle="1" w:styleId="PointManual">
    <w:name w:val="Point Manual"/>
    <w:uiPriority w:val="99"/>
    <w:pPr>
      <w:widowControl w:val="0"/>
      <w:tabs>
        <w:tab w:val="left" w:pos="560"/>
      </w:tabs>
      <w:autoSpaceDE w:val="0"/>
      <w:autoSpaceDN w:val="0"/>
      <w:adjustRightInd w:val="0"/>
      <w:spacing w:before="120" w:after="120" w:line="240" w:lineRule="auto"/>
      <w:ind w:left="560" w:hanging="560"/>
    </w:pPr>
    <w:rPr>
      <w:rFonts w:ascii="Times New Roman" w:hAnsi="Times New Roman" w:cs="Times New Roman"/>
      <w:color w:val="000000"/>
      <w:w w:val="0"/>
      <w:sz w:val="24"/>
      <w:szCs w:val="24"/>
      <w:lang w:val="en-US"/>
    </w:rPr>
  </w:style>
  <w:style w:type="paragraph" w:customStyle="1" w:styleId="PointManual1">
    <w:name w:val="Point Manual (1)"/>
    <w:uiPriority w:val="99"/>
    <w:pPr>
      <w:widowControl w:val="0"/>
      <w:tabs>
        <w:tab w:val="left" w:pos="1120"/>
      </w:tabs>
      <w:autoSpaceDE w:val="0"/>
      <w:autoSpaceDN w:val="0"/>
      <w:adjustRightInd w:val="0"/>
      <w:spacing w:before="120" w:after="120" w:line="240" w:lineRule="auto"/>
      <w:ind w:left="1120" w:hanging="560"/>
    </w:pPr>
    <w:rPr>
      <w:rFonts w:ascii="Times New Roman" w:hAnsi="Times New Roman" w:cs="Times New Roman"/>
      <w:color w:val="000000"/>
      <w:w w:val="0"/>
      <w:sz w:val="24"/>
      <w:szCs w:val="24"/>
      <w:lang w:val="en-US"/>
    </w:rPr>
  </w:style>
  <w:style w:type="paragraph" w:customStyle="1" w:styleId="PointManual2">
    <w:name w:val="Point Manual (2)"/>
    <w:uiPriority w:val="99"/>
    <w:pPr>
      <w:widowControl w:val="0"/>
      <w:tabs>
        <w:tab w:val="left" w:pos="1700"/>
      </w:tabs>
      <w:autoSpaceDE w:val="0"/>
      <w:autoSpaceDN w:val="0"/>
      <w:adjustRightInd w:val="0"/>
      <w:spacing w:before="120" w:after="120" w:line="240" w:lineRule="auto"/>
      <w:ind w:left="1700" w:hanging="580"/>
    </w:pPr>
    <w:rPr>
      <w:rFonts w:ascii="Times New Roman" w:hAnsi="Times New Roman" w:cs="Times New Roman"/>
      <w:color w:val="000000"/>
      <w:w w:val="0"/>
      <w:sz w:val="24"/>
      <w:szCs w:val="24"/>
      <w:lang w:val="en-US"/>
    </w:rPr>
  </w:style>
  <w:style w:type="paragraph" w:customStyle="1" w:styleId="PointManual3">
    <w:name w:val="Point Manual (3)"/>
    <w:uiPriority w:val="99"/>
    <w:pPr>
      <w:widowControl w:val="0"/>
      <w:tabs>
        <w:tab w:val="left" w:pos="2260"/>
      </w:tabs>
      <w:autoSpaceDE w:val="0"/>
      <w:autoSpaceDN w:val="0"/>
      <w:adjustRightInd w:val="0"/>
      <w:spacing w:before="120" w:after="120" w:line="240" w:lineRule="auto"/>
      <w:ind w:left="2260" w:hanging="560"/>
    </w:pPr>
    <w:rPr>
      <w:rFonts w:ascii="Times New Roman" w:hAnsi="Times New Roman" w:cs="Times New Roman"/>
      <w:color w:val="000000"/>
      <w:w w:val="0"/>
      <w:sz w:val="24"/>
      <w:szCs w:val="24"/>
      <w:lang w:val="en-US"/>
    </w:rPr>
  </w:style>
  <w:style w:type="paragraph" w:customStyle="1" w:styleId="PointManual4">
    <w:name w:val="Point Manual (4)"/>
    <w:uiPriority w:val="99"/>
    <w:pPr>
      <w:widowControl w:val="0"/>
      <w:tabs>
        <w:tab w:val="left" w:pos="2820"/>
      </w:tabs>
      <w:autoSpaceDE w:val="0"/>
      <w:autoSpaceDN w:val="0"/>
      <w:adjustRightInd w:val="0"/>
      <w:spacing w:before="120" w:after="120" w:line="240" w:lineRule="auto"/>
      <w:ind w:left="2820" w:hanging="560"/>
    </w:pPr>
    <w:rPr>
      <w:rFonts w:ascii="Times New Roman" w:hAnsi="Times New Roman" w:cs="Times New Roman"/>
      <w:color w:val="000000"/>
      <w:w w:val="0"/>
      <w:sz w:val="24"/>
      <w:szCs w:val="24"/>
      <w:lang w:val="en-US"/>
    </w:rPr>
  </w:style>
  <w:style w:type="paragraph" w:customStyle="1" w:styleId="PointDoubleManual">
    <w:name w:val="Point Double Manual"/>
    <w:uiPriority w:val="99"/>
    <w:pPr>
      <w:widowControl w:val="0"/>
      <w:tabs>
        <w:tab w:val="left" w:pos="560"/>
        <w:tab w:val="left" w:pos="1120"/>
      </w:tabs>
      <w:autoSpaceDE w:val="0"/>
      <w:autoSpaceDN w:val="0"/>
      <w:adjustRightInd w:val="0"/>
      <w:spacing w:before="120" w:after="120" w:line="240" w:lineRule="auto"/>
      <w:ind w:left="1120" w:hanging="1120"/>
    </w:pPr>
    <w:rPr>
      <w:rFonts w:ascii="Times New Roman" w:hAnsi="Times New Roman" w:cs="Times New Roman"/>
      <w:color w:val="000000"/>
      <w:w w:val="0"/>
      <w:sz w:val="24"/>
      <w:szCs w:val="24"/>
      <w:lang w:val="en-US"/>
    </w:rPr>
  </w:style>
  <w:style w:type="paragraph" w:customStyle="1" w:styleId="PointDoubleManual1">
    <w:name w:val="Point Double Manual (1)"/>
    <w:uiPriority w:val="99"/>
    <w:pPr>
      <w:widowControl w:val="0"/>
      <w:tabs>
        <w:tab w:val="left" w:pos="1120"/>
        <w:tab w:val="left" w:pos="1700"/>
      </w:tabs>
      <w:autoSpaceDE w:val="0"/>
      <w:autoSpaceDN w:val="0"/>
      <w:adjustRightInd w:val="0"/>
      <w:spacing w:before="120" w:after="120" w:line="240" w:lineRule="auto"/>
      <w:ind w:left="1700" w:hanging="1140"/>
    </w:pPr>
    <w:rPr>
      <w:rFonts w:ascii="Times New Roman" w:hAnsi="Times New Roman" w:cs="Times New Roman"/>
      <w:color w:val="000000"/>
      <w:w w:val="0"/>
      <w:sz w:val="24"/>
      <w:szCs w:val="24"/>
      <w:lang w:val="en-US"/>
    </w:rPr>
  </w:style>
  <w:style w:type="paragraph" w:customStyle="1" w:styleId="PointDoubleManual2">
    <w:name w:val="Point Double Manual (2)"/>
    <w:uiPriority w:val="99"/>
    <w:pPr>
      <w:widowControl w:val="0"/>
      <w:tabs>
        <w:tab w:val="left" w:pos="1700"/>
        <w:tab w:val="left" w:pos="2260"/>
      </w:tabs>
      <w:autoSpaceDE w:val="0"/>
      <w:autoSpaceDN w:val="0"/>
      <w:adjustRightInd w:val="0"/>
      <w:spacing w:before="120" w:after="120" w:line="240" w:lineRule="auto"/>
      <w:ind w:left="2260" w:hanging="1140"/>
    </w:pPr>
    <w:rPr>
      <w:rFonts w:ascii="Times New Roman" w:hAnsi="Times New Roman" w:cs="Times New Roman"/>
      <w:color w:val="000000"/>
      <w:w w:val="0"/>
      <w:sz w:val="24"/>
      <w:szCs w:val="24"/>
      <w:lang w:val="en-US"/>
    </w:rPr>
  </w:style>
  <w:style w:type="paragraph" w:customStyle="1" w:styleId="PointDoubleManual3">
    <w:name w:val="Point Double Manual (3)"/>
    <w:uiPriority w:val="99"/>
    <w:pPr>
      <w:widowControl w:val="0"/>
      <w:tabs>
        <w:tab w:val="left" w:pos="2260"/>
        <w:tab w:val="left" w:pos="2820"/>
      </w:tabs>
      <w:autoSpaceDE w:val="0"/>
      <w:autoSpaceDN w:val="0"/>
      <w:adjustRightInd w:val="0"/>
      <w:spacing w:before="120" w:after="120" w:line="240" w:lineRule="auto"/>
      <w:ind w:left="2820" w:hanging="1120"/>
    </w:pPr>
    <w:rPr>
      <w:rFonts w:ascii="Times New Roman" w:hAnsi="Times New Roman" w:cs="Times New Roman"/>
      <w:color w:val="000000"/>
      <w:w w:val="0"/>
      <w:sz w:val="24"/>
      <w:szCs w:val="24"/>
      <w:lang w:val="en-US"/>
    </w:rPr>
  </w:style>
  <w:style w:type="paragraph" w:customStyle="1" w:styleId="PointDoubleManual4">
    <w:name w:val="Point Double Manual (4)"/>
    <w:uiPriority w:val="99"/>
    <w:pPr>
      <w:widowControl w:val="0"/>
      <w:tabs>
        <w:tab w:val="left" w:pos="2820"/>
        <w:tab w:val="left" w:pos="3400"/>
      </w:tabs>
      <w:autoSpaceDE w:val="0"/>
      <w:autoSpaceDN w:val="0"/>
      <w:adjustRightInd w:val="0"/>
      <w:spacing w:before="120" w:after="120" w:line="240" w:lineRule="auto"/>
      <w:ind w:left="3400" w:hanging="1140"/>
    </w:pPr>
    <w:rPr>
      <w:rFonts w:ascii="Times New Roman" w:hAnsi="Times New Roman" w:cs="Times New Roman"/>
      <w:color w:val="000000"/>
      <w:w w:val="0"/>
      <w:sz w:val="24"/>
      <w:szCs w:val="24"/>
      <w:lang w:val="en-US"/>
    </w:rPr>
  </w:style>
  <w:style w:type="paragraph" w:customStyle="1" w:styleId="Pointabc">
    <w:name w:val="Point abc"/>
    <w:uiPriority w:val="99"/>
    <w:pPr>
      <w:widowControl w:val="0"/>
      <w:tabs>
        <w:tab w:val="left" w:pos="560"/>
      </w:tabs>
      <w:autoSpaceDE w:val="0"/>
      <w:autoSpaceDN w:val="0"/>
      <w:adjustRightInd w:val="0"/>
      <w:spacing w:before="120" w:after="120" w:line="240" w:lineRule="auto"/>
      <w:ind w:left="560" w:hanging="560"/>
    </w:pPr>
    <w:rPr>
      <w:rFonts w:ascii="Times New Roman" w:hAnsi="Times New Roman" w:cs="Times New Roman"/>
      <w:color w:val="000000"/>
      <w:w w:val="0"/>
      <w:sz w:val="24"/>
      <w:szCs w:val="24"/>
      <w:lang w:val="en-US"/>
    </w:rPr>
  </w:style>
  <w:style w:type="paragraph" w:customStyle="1" w:styleId="Pointabc1">
    <w:name w:val="Point abc (1)"/>
    <w:uiPriority w:val="99"/>
    <w:pPr>
      <w:widowControl w:val="0"/>
      <w:tabs>
        <w:tab w:val="left" w:pos="1120"/>
      </w:tabs>
      <w:autoSpaceDE w:val="0"/>
      <w:autoSpaceDN w:val="0"/>
      <w:adjustRightInd w:val="0"/>
      <w:spacing w:before="120" w:after="120" w:line="240" w:lineRule="auto"/>
      <w:ind w:left="1120" w:hanging="560"/>
    </w:pPr>
    <w:rPr>
      <w:rFonts w:ascii="Times New Roman" w:hAnsi="Times New Roman" w:cs="Times New Roman"/>
      <w:color w:val="000000"/>
      <w:w w:val="0"/>
      <w:sz w:val="24"/>
      <w:szCs w:val="24"/>
      <w:lang w:val="en-US"/>
    </w:rPr>
  </w:style>
  <w:style w:type="paragraph" w:customStyle="1" w:styleId="Pointabc2">
    <w:name w:val="Point abc (2)"/>
    <w:uiPriority w:val="99"/>
    <w:pPr>
      <w:widowControl w:val="0"/>
      <w:tabs>
        <w:tab w:val="left" w:pos="1700"/>
      </w:tabs>
      <w:autoSpaceDE w:val="0"/>
      <w:autoSpaceDN w:val="0"/>
      <w:adjustRightInd w:val="0"/>
      <w:spacing w:before="120" w:after="120" w:line="240" w:lineRule="auto"/>
      <w:ind w:left="1700" w:hanging="580"/>
    </w:pPr>
    <w:rPr>
      <w:rFonts w:ascii="Times New Roman" w:hAnsi="Times New Roman" w:cs="Times New Roman"/>
      <w:color w:val="000000"/>
      <w:w w:val="0"/>
      <w:sz w:val="24"/>
      <w:szCs w:val="24"/>
      <w:lang w:val="en-US"/>
    </w:rPr>
  </w:style>
  <w:style w:type="paragraph" w:customStyle="1" w:styleId="Pointabc3">
    <w:name w:val="Point abc (3)"/>
    <w:uiPriority w:val="99"/>
    <w:pPr>
      <w:widowControl w:val="0"/>
      <w:tabs>
        <w:tab w:val="left" w:pos="2260"/>
      </w:tabs>
      <w:autoSpaceDE w:val="0"/>
      <w:autoSpaceDN w:val="0"/>
      <w:adjustRightInd w:val="0"/>
      <w:spacing w:before="120" w:after="120" w:line="240" w:lineRule="auto"/>
      <w:ind w:left="2260" w:hanging="560"/>
    </w:pPr>
    <w:rPr>
      <w:rFonts w:ascii="Times New Roman" w:hAnsi="Times New Roman" w:cs="Times New Roman"/>
      <w:color w:val="000000"/>
      <w:w w:val="0"/>
      <w:sz w:val="24"/>
      <w:szCs w:val="24"/>
      <w:lang w:val="en-US"/>
    </w:rPr>
  </w:style>
  <w:style w:type="paragraph" w:customStyle="1" w:styleId="Pointabc4">
    <w:name w:val="Point abc (4)"/>
    <w:uiPriority w:val="99"/>
    <w:pPr>
      <w:widowControl w:val="0"/>
      <w:tabs>
        <w:tab w:val="left" w:pos="2820"/>
      </w:tabs>
      <w:autoSpaceDE w:val="0"/>
      <w:autoSpaceDN w:val="0"/>
      <w:adjustRightInd w:val="0"/>
      <w:spacing w:before="120" w:after="120" w:line="240" w:lineRule="auto"/>
      <w:ind w:left="2820" w:hanging="560"/>
    </w:pPr>
    <w:rPr>
      <w:rFonts w:ascii="Times New Roman" w:hAnsi="Times New Roman" w:cs="Times New Roman"/>
      <w:color w:val="000000"/>
      <w:w w:val="0"/>
      <w:sz w:val="24"/>
      <w:szCs w:val="24"/>
      <w:lang w:val="en-US"/>
    </w:rPr>
  </w:style>
  <w:style w:type="paragraph" w:customStyle="1" w:styleId="Point123">
    <w:name w:val="Point 123"/>
    <w:uiPriority w:val="99"/>
    <w:pPr>
      <w:widowControl w:val="0"/>
      <w:tabs>
        <w:tab w:val="left" w:pos="560"/>
      </w:tabs>
      <w:autoSpaceDE w:val="0"/>
      <w:autoSpaceDN w:val="0"/>
      <w:adjustRightInd w:val="0"/>
      <w:spacing w:before="120" w:after="120" w:line="240" w:lineRule="auto"/>
      <w:ind w:left="560" w:hanging="560"/>
    </w:pPr>
    <w:rPr>
      <w:rFonts w:ascii="Times New Roman" w:hAnsi="Times New Roman" w:cs="Times New Roman"/>
      <w:color w:val="000000"/>
      <w:w w:val="0"/>
      <w:sz w:val="24"/>
      <w:szCs w:val="24"/>
      <w:lang w:val="en-US"/>
    </w:rPr>
  </w:style>
  <w:style w:type="paragraph" w:customStyle="1" w:styleId="Point1231">
    <w:name w:val="Point 123 (1)"/>
    <w:uiPriority w:val="99"/>
    <w:pPr>
      <w:widowControl w:val="0"/>
      <w:tabs>
        <w:tab w:val="left" w:pos="1120"/>
      </w:tabs>
      <w:autoSpaceDE w:val="0"/>
      <w:autoSpaceDN w:val="0"/>
      <w:adjustRightInd w:val="0"/>
      <w:spacing w:before="120" w:after="120" w:line="240" w:lineRule="auto"/>
      <w:ind w:left="1120" w:hanging="560"/>
    </w:pPr>
    <w:rPr>
      <w:rFonts w:ascii="Times New Roman" w:hAnsi="Times New Roman" w:cs="Times New Roman"/>
      <w:color w:val="000000"/>
      <w:w w:val="0"/>
      <w:sz w:val="24"/>
      <w:szCs w:val="24"/>
      <w:lang w:val="en-US"/>
    </w:rPr>
  </w:style>
  <w:style w:type="paragraph" w:customStyle="1" w:styleId="Point1232">
    <w:name w:val="Point 123 (2)"/>
    <w:uiPriority w:val="99"/>
    <w:pPr>
      <w:widowControl w:val="0"/>
      <w:tabs>
        <w:tab w:val="left" w:pos="1700"/>
      </w:tabs>
      <w:autoSpaceDE w:val="0"/>
      <w:autoSpaceDN w:val="0"/>
      <w:adjustRightInd w:val="0"/>
      <w:spacing w:before="120" w:after="120" w:line="240" w:lineRule="auto"/>
      <w:ind w:left="1700" w:hanging="580"/>
    </w:pPr>
    <w:rPr>
      <w:rFonts w:ascii="Times New Roman" w:hAnsi="Times New Roman" w:cs="Times New Roman"/>
      <w:color w:val="000000"/>
      <w:w w:val="0"/>
      <w:sz w:val="24"/>
      <w:szCs w:val="24"/>
      <w:lang w:val="en-US"/>
    </w:rPr>
  </w:style>
  <w:style w:type="paragraph" w:customStyle="1" w:styleId="Point1233">
    <w:name w:val="Point 123 (3)"/>
    <w:uiPriority w:val="99"/>
    <w:pPr>
      <w:widowControl w:val="0"/>
      <w:tabs>
        <w:tab w:val="left" w:pos="2260"/>
      </w:tabs>
      <w:autoSpaceDE w:val="0"/>
      <w:autoSpaceDN w:val="0"/>
      <w:adjustRightInd w:val="0"/>
      <w:spacing w:before="120" w:after="120" w:line="240" w:lineRule="auto"/>
      <w:ind w:left="2260" w:hanging="560"/>
    </w:pPr>
    <w:rPr>
      <w:rFonts w:ascii="Times New Roman" w:hAnsi="Times New Roman" w:cs="Times New Roman"/>
      <w:color w:val="000000"/>
      <w:w w:val="0"/>
      <w:sz w:val="24"/>
      <w:szCs w:val="24"/>
      <w:lang w:val="en-US"/>
    </w:rPr>
  </w:style>
  <w:style w:type="paragraph" w:customStyle="1" w:styleId="Pointivx">
    <w:name w:val="Point ivx"/>
    <w:uiPriority w:val="99"/>
    <w:pPr>
      <w:widowControl w:val="0"/>
      <w:tabs>
        <w:tab w:val="left" w:pos="560"/>
      </w:tabs>
      <w:autoSpaceDE w:val="0"/>
      <w:autoSpaceDN w:val="0"/>
      <w:adjustRightInd w:val="0"/>
      <w:spacing w:before="120" w:after="120" w:line="240" w:lineRule="auto"/>
      <w:ind w:left="560" w:hanging="560"/>
    </w:pPr>
    <w:rPr>
      <w:rFonts w:ascii="Times New Roman" w:hAnsi="Times New Roman" w:cs="Times New Roman"/>
      <w:color w:val="000000"/>
      <w:w w:val="0"/>
      <w:sz w:val="24"/>
      <w:szCs w:val="24"/>
      <w:lang w:val="en-US"/>
    </w:rPr>
  </w:style>
  <w:style w:type="paragraph" w:customStyle="1" w:styleId="Pointivx1">
    <w:name w:val="Point ivx (1)"/>
    <w:uiPriority w:val="99"/>
    <w:pPr>
      <w:widowControl w:val="0"/>
      <w:tabs>
        <w:tab w:val="left" w:pos="1120"/>
      </w:tabs>
      <w:autoSpaceDE w:val="0"/>
      <w:autoSpaceDN w:val="0"/>
      <w:adjustRightInd w:val="0"/>
      <w:spacing w:before="120" w:after="120" w:line="240" w:lineRule="auto"/>
      <w:ind w:left="1120" w:hanging="560"/>
    </w:pPr>
    <w:rPr>
      <w:rFonts w:ascii="Times New Roman" w:hAnsi="Times New Roman" w:cs="Times New Roman"/>
      <w:color w:val="000000"/>
      <w:w w:val="0"/>
      <w:sz w:val="24"/>
      <w:szCs w:val="24"/>
      <w:lang w:val="en-US"/>
    </w:rPr>
  </w:style>
  <w:style w:type="paragraph" w:customStyle="1" w:styleId="Pointivx2">
    <w:name w:val="Point ivx (2)"/>
    <w:uiPriority w:val="99"/>
    <w:pPr>
      <w:widowControl w:val="0"/>
      <w:tabs>
        <w:tab w:val="left" w:pos="1700"/>
      </w:tabs>
      <w:autoSpaceDE w:val="0"/>
      <w:autoSpaceDN w:val="0"/>
      <w:adjustRightInd w:val="0"/>
      <w:spacing w:before="120" w:after="120" w:line="240" w:lineRule="auto"/>
      <w:ind w:left="1700" w:hanging="580"/>
    </w:pPr>
    <w:rPr>
      <w:rFonts w:ascii="Times New Roman" w:hAnsi="Times New Roman" w:cs="Times New Roman"/>
      <w:color w:val="000000"/>
      <w:w w:val="0"/>
      <w:sz w:val="24"/>
      <w:szCs w:val="24"/>
      <w:lang w:val="en-US"/>
    </w:rPr>
  </w:style>
  <w:style w:type="paragraph" w:customStyle="1" w:styleId="Pointivx3">
    <w:name w:val="Point ivx (3)"/>
    <w:uiPriority w:val="99"/>
    <w:pPr>
      <w:widowControl w:val="0"/>
      <w:tabs>
        <w:tab w:val="left" w:pos="2260"/>
      </w:tabs>
      <w:autoSpaceDE w:val="0"/>
      <w:autoSpaceDN w:val="0"/>
      <w:adjustRightInd w:val="0"/>
      <w:spacing w:before="120" w:after="120" w:line="240" w:lineRule="auto"/>
      <w:ind w:left="2260" w:hanging="560"/>
    </w:pPr>
    <w:rPr>
      <w:rFonts w:ascii="Times New Roman" w:hAnsi="Times New Roman" w:cs="Times New Roman"/>
      <w:color w:val="000000"/>
      <w:w w:val="0"/>
      <w:sz w:val="24"/>
      <w:szCs w:val="24"/>
      <w:lang w:val="en-US"/>
    </w:rPr>
  </w:style>
  <w:style w:type="paragraph" w:customStyle="1" w:styleId="Pointivx4">
    <w:name w:val="Point ivx (4)"/>
    <w:uiPriority w:val="99"/>
    <w:pPr>
      <w:widowControl w:val="0"/>
      <w:tabs>
        <w:tab w:val="left" w:pos="2820"/>
      </w:tabs>
      <w:autoSpaceDE w:val="0"/>
      <w:autoSpaceDN w:val="0"/>
      <w:adjustRightInd w:val="0"/>
      <w:spacing w:before="120" w:after="120" w:line="240" w:lineRule="auto"/>
      <w:ind w:left="2820" w:hanging="560"/>
    </w:pPr>
    <w:rPr>
      <w:rFonts w:ascii="Times New Roman" w:hAnsi="Times New Roman" w:cs="Times New Roman"/>
      <w:color w:val="000000"/>
      <w:w w:val="0"/>
      <w:sz w:val="24"/>
      <w:szCs w:val="24"/>
      <w:lang w:val="en-US"/>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67DB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67DB0"/>
  </w:style>
  <w:style w:type="paragraph" w:customStyle="1" w:styleId="figur-noter">
    <w:name w:val="figur-noter"/>
    <w:basedOn w:val="Normal"/>
    <w:next w:val="Normal"/>
    <w:rsid w:val="00467DB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7DB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67DB0"/>
    <w:rPr>
      <w:sz w:val="20"/>
    </w:rPr>
  </w:style>
  <w:style w:type="character" w:customStyle="1" w:styleId="FotnotetekstTegn">
    <w:name w:val="Fotnotetekst Tegn"/>
    <w:link w:val="Fotnotetekst"/>
    <w:rsid w:val="00467DB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7DB0"/>
    <w:pPr>
      <w:ind w:left="1418" w:hanging="1418"/>
    </w:pPr>
  </w:style>
  <w:style w:type="paragraph" w:customStyle="1" w:styleId="i-budkap-over">
    <w:name w:val="i-budkap-over"/>
    <w:basedOn w:val="Normal"/>
    <w:next w:val="Normal"/>
    <w:rsid w:val="00467DB0"/>
    <w:pPr>
      <w:jc w:val="right"/>
    </w:pPr>
    <w:rPr>
      <w:rFonts w:ascii="Times" w:hAnsi="Times"/>
      <w:b/>
      <w:noProof/>
    </w:rPr>
  </w:style>
  <w:style w:type="paragraph" w:customStyle="1" w:styleId="i-dep">
    <w:name w:val="i-dep"/>
    <w:basedOn w:val="Normal"/>
    <w:next w:val="Normal"/>
    <w:rsid w:val="00467DB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ReplyRE">
    <w:name w:val="Reply RE"/>
    <w:next w:val="Normal"/>
    <w:uiPriority w:val="99"/>
    <w:pPr>
      <w:widowControl w:val="0"/>
      <w:autoSpaceDE w:val="0"/>
      <w:autoSpaceDN w:val="0"/>
      <w:adjustRightInd w:val="0"/>
      <w:spacing w:before="120" w:after="480" w:line="240" w:lineRule="auto"/>
    </w:pPr>
    <w:rPr>
      <w:rFonts w:ascii="Times New Roman" w:hAnsi="Times New Roman" w:cs="Times New Roman"/>
      <w:color w:val="000000"/>
      <w:w w:val="0"/>
      <w:sz w:val="24"/>
      <w:szCs w:val="24"/>
      <w:lang w:val="en-US"/>
    </w:rPr>
  </w:style>
  <w:style w:type="paragraph" w:customStyle="1" w:styleId="ReplyBold">
    <w:name w:val="Reply Bold"/>
    <w:next w:val="Normal"/>
    <w:uiPriority w:val="99"/>
    <w:pPr>
      <w:widowControl w:val="0"/>
      <w:autoSpaceDE w:val="0"/>
      <w:autoSpaceDN w:val="0"/>
      <w:adjustRightInd w:val="0"/>
      <w:spacing w:before="120" w:after="480" w:line="240" w:lineRule="auto"/>
    </w:pPr>
    <w:rPr>
      <w:rFonts w:ascii="Times New Roman" w:hAnsi="Times New Roman" w:cs="Times New Roman"/>
      <w:b/>
      <w:bCs/>
      <w:color w:val="000000"/>
      <w:w w:val="0"/>
      <w:sz w:val="24"/>
      <w:szCs w:val="24"/>
      <w:lang w:val="en-US"/>
    </w:rPr>
  </w:style>
  <w:style w:type="paragraph" w:customStyle="1" w:styleId="i-undertit">
    <w:name w:val="i-undertit"/>
    <w:basedOn w:val="Normal"/>
    <w:next w:val="Normal"/>
    <w:rsid w:val="00467DB0"/>
    <w:pPr>
      <w:keepNext/>
      <w:keepLines/>
      <w:spacing w:before="360"/>
      <w:jc w:val="center"/>
    </w:pPr>
    <w:rPr>
      <w:rFonts w:ascii="Times" w:hAnsi="Times"/>
      <w:b/>
      <w:noProof/>
      <w:sz w:val="28"/>
    </w:rPr>
  </w:style>
  <w:style w:type="paragraph" w:customStyle="1" w:styleId="Sign">
    <w:name w:val="Sign"/>
    <w:uiPriority w:val="99"/>
    <w:pPr>
      <w:widowControl w:val="0"/>
      <w:tabs>
        <w:tab w:val="center" w:pos="7080"/>
      </w:tabs>
      <w:autoSpaceDE w:val="0"/>
      <w:autoSpaceDN w:val="0"/>
      <w:adjustRightInd w:val="0"/>
      <w:spacing w:before="120" w:after="120" w:line="240" w:lineRule="auto"/>
    </w:pPr>
    <w:rPr>
      <w:rFonts w:ascii="Times New Roman" w:hAnsi="Times New Roman" w:cs="Times New Roman"/>
      <w:color w:val="000000"/>
      <w:w w:val="0"/>
      <w:sz w:val="24"/>
      <w:szCs w:val="24"/>
      <w:lang w:val="en-US"/>
    </w:rPr>
  </w:style>
  <w:style w:type="paragraph" w:customStyle="1" w:styleId="NotDeclassified">
    <w:name w:val="Not Declassified"/>
    <w:next w:val="Normal"/>
    <w:uiPriority w:val="99"/>
    <w:pPr>
      <w:widowControl w:val="0"/>
      <w:autoSpaceDE w:val="0"/>
      <w:autoSpaceDN w:val="0"/>
      <w:adjustRightInd w:val="0"/>
      <w:spacing w:before="120" w:after="120" w:line="240" w:lineRule="auto"/>
    </w:pPr>
    <w:rPr>
      <w:rFonts w:ascii="Times New Roman" w:hAnsi="Times New Roman" w:cs="Times New Roman"/>
      <w:b/>
      <w:bCs/>
      <w:color w:val="000000"/>
      <w:w w:val="0"/>
      <w:sz w:val="24"/>
      <w:szCs w:val="24"/>
      <w:lang w:val="en-US"/>
    </w:rPr>
  </w:style>
  <w:style w:type="paragraph" w:customStyle="1" w:styleId="NormalCompact">
    <w:name w:val="Normal Compact"/>
    <w:next w:val="Normal"/>
    <w:uiPriority w:val="99"/>
    <w:pPr>
      <w:widowControl w:val="0"/>
      <w:autoSpaceDE w:val="0"/>
      <w:autoSpaceDN w:val="0"/>
      <w:adjustRightInd w:val="0"/>
      <w:spacing w:before="120" w:after="120" w:line="240" w:lineRule="auto"/>
    </w:pPr>
    <w:rPr>
      <w:rFonts w:ascii="Times New Roman" w:hAnsi="Times New Roman" w:cs="Times New Roman"/>
      <w:color w:val="000000"/>
      <w:w w:val="0"/>
      <w:sz w:val="24"/>
      <w:szCs w:val="24"/>
      <w:lang w:val="en-US"/>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67DB0"/>
    <w:pPr>
      <w:ind w:left="1985" w:hanging="1985"/>
    </w:pPr>
    <w:rPr>
      <w:spacing w:val="0"/>
    </w:rPr>
  </w:style>
  <w:style w:type="paragraph" w:customStyle="1" w:styleId="i-statsrdato">
    <w:name w:val="i-statsr.dato"/>
    <w:basedOn w:val="Normal"/>
    <w:next w:val="Normal"/>
    <w:rsid w:val="00467DB0"/>
    <w:pPr>
      <w:spacing w:after="0"/>
      <w:jc w:val="center"/>
    </w:pPr>
    <w:rPr>
      <w:rFonts w:ascii="Times" w:hAnsi="Times"/>
      <w:i/>
      <w:noProof/>
    </w:rPr>
  </w:style>
  <w:style w:type="paragraph" w:customStyle="1" w:styleId="i-termin">
    <w:name w:val="i-termin"/>
    <w:basedOn w:val="Normal"/>
    <w:next w:val="Normal"/>
    <w:rsid w:val="00467DB0"/>
    <w:pPr>
      <w:spacing w:before="360"/>
      <w:jc w:val="center"/>
    </w:pPr>
    <w:rPr>
      <w:b/>
      <w:noProof/>
      <w:sz w:val="28"/>
    </w:rPr>
  </w:style>
  <w:style w:type="paragraph" w:customStyle="1" w:styleId="i-tit">
    <w:name w:val="i-tit"/>
    <w:basedOn w:val="Normal"/>
    <w:next w:val="i-statsrdato"/>
    <w:rsid w:val="00467DB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67DB0"/>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da-DK"/>
    </w:rPr>
  </w:style>
  <w:style w:type="paragraph" w:customStyle="1" w:styleId="Sous-titreobjet">
    <w:name w:val="Sous-titre objet"/>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Kilde">
    <w:name w:val="Kilde"/>
    <w:basedOn w:val="Normal"/>
    <w:next w:val="Normal"/>
    <w:rsid w:val="00467DB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67DB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7DB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7DB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7DB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67DB0"/>
    <w:pPr>
      <w:spacing w:after="0"/>
    </w:pPr>
  </w:style>
  <w:style w:type="paragraph" w:customStyle="1" w:styleId="l-tit-endr-avsnitt">
    <w:name w:val="l-tit-endr-avsnitt"/>
    <w:basedOn w:val="l-tit-endr-lovkap"/>
    <w:qFormat/>
    <w:rsid w:val="00467DB0"/>
  </w:style>
  <w:style w:type="paragraph" w:customStyle="1" w:styleId="l-tit-endr-ledd">
    <w:name w:val="l-tit-endr-ledd"/>
    <w:basedOn w:val="Normal"/>
    <w:qFormat/>
    <w:rsid w:val="00467DB0"/>
    <w:pPr>
      <w:keepNext/>
      <w:spacing w:before="240" w:after="0" w:line="240" w:lineRule="auto"/>
    </w:pPr>
    <w:rPr>
      <w:rFonts w:ascii="Times" w:hAnsi="Times"/>
      <w:noProof/>
      <w:lang w:val="nn-NO"/>
    </w:rPr>
  </w:style>
  <w:style w:type="paragraph" w:customStyle="1" w:styleId="l-tit-endr-lov">
    <w:name w:val="l-tit-endr-lov"/>
    <w:basedOn w:val="Normal"/>
    <w:qFormat/>
    <w:rsid w:val="00467DB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7DB0"/>
    <w:pPr>
      <w:keepNext/>
      <w:spacing w:before="240" w:after="0" w:line="240" w:lineRule="auto"/>
    </w:pPr>
    <w:rPr>
      <w:rFonts w:ascii="Times" w:hAnsi="Times"/>
      <w:noProof/>
      <w:lang w:val="nn-NO"/>
    </w:rPr>
  </w:style>
  <w:style w:type="paragraph" w:customStyle="1" w:styleId="l-tit-endr-lovkap">
    <w:name w:val="l-tit-endr-lovkap"/>
    <w:basedOn w:val="Normal"/>
    <w:qFormat/>
    <w:rsid w:val="00467DB0"/>
    <w:pPr>
      <w:keepNext/>
      <w:spacing w:before="240" w:after="0" w:line="240" w:lineRule="auto"/>
    </w:pPr>
    <w:rPr>
      <w:rFonts w:ascii="Times" w:hAnsi="Times"/>
      <w:noProof/>
      <w:lang w:val="nn-NO"/>
    </w:rPr>
  </w:style>
  <w:style w:type="paragraph" w:customStyle="1" w:styleId="l-tit-endr-punktum">
    <w:name w:val="l-tit-endr-punktum"/>
    <w:basedOn w:val="l-tit-endr-ledd"/>
    <w:qFormat/>
    <w:rsid w:val="00467DB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NormalLeft">
    <w:name w:val="Normal Left"/>
    <w:uiPriority w:val="99"/>
    <w:pPr>
      <w:widowControl w:val="0"/>
      <w:autoSpaceDE w:val="0"/>
      <w:autoSpaceDN w:val="0"/>
      <w:adjustRightInd w:val="0"/>
      <w:spacing w:before="120" w:after="120" w:line="240" w:lineRule="auto"/>
    </w:pPr>
    <w:rPr>
      <w:rFonts w:ascii="Times New Roman" w:hAnsi="Times New Roman" w:cs="Times New Roman"/>
      <w:color w:val="000000"/>
      <w:w w:val="0"/>
      <w:sz w:val="24"/>
      <w:szCs w:val="24"/>
      <w:lang w:val="en-US"/>
    </w:rPr>
  </w:style>
  <w:style w:type="paragraph" w:customStyle="1" w:styleId="QuotedText">
    <w:name w:val="Quoted Text"/>
    <w:uiPriority w:val="99"/>
    <w:pPr>
      <w:widowControl w:val="0"/>
      <w:tabs>
        <w:tab w:val="left" w:pos="1400"/>
      </w:tabs>
      <w:autoSpaceDE w:val="0"/>
      <w:autoSpaceDN w:val="0"/>
      <w:adjustRightInd w:val="0"/>
      <w:spacing w:before="120" w:after="120" w:line="240" w:lineRule="auto"/>
      <w:ind w:left="1400"/>
    </w:pPr>
    <w:rPr>
      <w:rFonts w:ascii="Times New Roman" w:hAnsi="Times New Roman" w:cs="Times New Roman"/>
      <w:color w:val="000000"/>
      <w:w w:val="0"/>
      <w:sz w:val="24"/>
      <w:szCs w:val="24"/>
      <w:lang w:val="en-US"/>
    </w:rPr>
  </w:style>
  <w:style w:type="paragraph" w:customStyle="1" w:styleId="Point3">
    <w:name w:val="Point 3"/>
    <w:uiPriority w:val="99"/>
    <w:pPr>
      <w:widowControl w:val="0"/>
      <w:tabs>
        <w:tab w:val="left" w:pos="2540"/>
      </w:tabs>
      <w:autoSpaceDE w:val="0"/>
      <w:autoSpaceDN w:val="0"/>
      <w:adjustRightInd w:val="0"/>
      <w:spacing w:before="120" w:after="120" w:line="240" w:lineRule="auto"/>
      <w:ind w:left="2540" w:hanging="560"/>
    </w:pPr>
    <w:rPr>
      <w:rFonts w:ascii="Times New Roman" w:hAnsi="Times New Roman" w:cs="Times New Roman"/>
      <w:color w:val="000000"/>
      <w:w w:val="0"/>
      <w:sz w:val="24"/>
      <w:szCs w:val="24"/>
      <w:lang w:val="en-US"/>
    </w:rPr>
  </w:style>
  <w:style w:type="paragraph" w:customStyle="1" w:styleId="Point4">
    <w:name w:val="Point 4"/>
    <w:uiPriority w:val="99"/>
    <w:pPr>
      <w:widowControl w:val="0"/>
      <w:tabs>
        <w:tab w:val="left" w:pos="3100"/>
      </w:tabs>
      <w:autoSpaceDE w:val="0"/>
      <w:autoSpaceDN w:val="0"/>
      <w:adjustRightInd w:val="0"/>
      <w:spacing w:before="120" w:after="120" w:line="240" w:lineRule="auto"/>
      <w:ind w:left="3100" w:hanging="560"/>
    </w:pPr>
    <w:rPr>
      <w:rFonts w:ascii="Times New Roman" w:hAnsi="Times New Roman" w:cs="Times New Roman"/>
      <w:color w:val="000000"/>
      <w:w w:val="0"/>
      <w:sz w:val="24"/>
      <w:szCs w:val="24"/>
      <w:lang w:val="en-US"/>
    </w:rPr>
  </w:style>
  <w:style w:type="paragraph" w:customStyle="1" w:styleId="Tiret0">
    <w:name w:val="Tiret 0"/>
    <w:uiPriority w:val="99"/>
    <w:pPr>
      <w:keepNext/>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Tiret1">
    <w:name w:val="Tiret 1"/>
    <w:uiPriority w:val="99"/>
    <w:pPr>
      <w:keepNext/>
      <w:widowControl w:val="0"/>
      <w:tabs>
        <w:tab w:val="left" w:pos="1400"/>
      </w:tabs>
      <w:autoSpaceDE w:val="0"/>
      <w:autoSpaceDN w:val="0"/>
      <w:adjustRightInd w:val="0"/>
      <w:spacing w:before="120" w:after="120" w:line="240" w:lineRule="auto"/>
      <w:ind w:left="1400" w:hanging="560"/>
    </w:pPr>
    <w:rPr>
      <w:rFonts w:ascii="Times New Roman" w:hAnsi="Times New Roman" w:cs="Times New Roman"/>
      <w:color w:val="000000"/>
      <w:w w:val="0"/>
      <w:sz w:val="24"/>
      <w:szCs w:val="24"/>
      <w:lang w:val="en-US"/>
    </w:rPr>
  </w:style>
  <w:style w:type="paragraph" w:customStyle="1" w:styleId="Tiret2">
    <w:name w:val="Tiret 2"/>
    <w:uiPriority w:val="99"/>
    <w:pPr>
      <w:keepNext/>
      <w:widowControl w:val="0"/>
      <w:tabs>
        <w:tab w:val="left" w:pos="1980"/>
      </w:tabs>
      <w:autoSpaceDE w:val="0"/>
      <w:autoSpaceDN w:val="0"/>
      <w:adjustRightInd w:val="0"/>
      <w:spacing w:before="120" w:after="120" w:line="240" w:lineRule="auto"/>
      <w:ind w:left="1980" w:hanging="580"/>
    </w:pPr>
    <w:rPr>
      <w:rFonts w:ascii="Times New Roman" w:hAnsi="Times New Roman" w:cs="Times New Roman"/>
      <w:color w:val="000000"/>
      <w:w w:val="0"/>
      <w:sz w:val="24"/>
      <w:szCs w:val="24"/>
      <w:lang w:val="en-US"/>
    </w:rPr>
  </w:style>
  <w:style w:type="paragraph" w:customStyle="1" w:styleId="Tiret3">
    <w:name w:val="Tiret 3"/>
    <w:uiPriority w:val="99"/>
    <w:pPr>
      <w:widowControl w:val="0"/>
      <w:tabs>
        <w:tab w:val="left" w:pos="2540"/>
      </w:tabs>
      <w:autoSpaceDE w:val="0"/>
      <w:autoSpaceDN w:val="0"/>
      <w:adjustRightInd w:val="0"/>
      <w:spacing w:before="120" w:after="120" w:line="240" w:lineRule="auto"/>
      <w:ind w:left="2540" w:hanging="560"/>
    </w:pPr>
    <w:rPr>
      <w:rFonts w:ascii="Times New Roman" w:hAnsi="Times New Roman" w:cs="Times New Roman"/>
      <w:color w:val="000000"/>
      <w:w w:val="0"/>
      <w:sz w:val="24"/>
      <w:szCs w:val="24"/>
      <w:lang w:val="en-US"/>
    </w:rPr>
  </w:style>
  <w:style w:type="paragraph" w:customStyle="1" w:styleId="Tiret4">
    <w:name w:val="Tiret 4"/>
    <w:uiPriority w:val="99"/>
    <w:pPr>
      <w:widowControl w:val="0"/>
      <w:tabs>
        <w:tab w:val="left" w:pos="3100"/>
      </w:tabs>
      <w:autoSpaceDE w:val="0"/>
      <w:autoSpaceDN w:val="0"/>
      <w:adjustRightInd w:val="0"/>
      <w:spacing w:before="120" w:after="120" w:line="240" w:lineRule="auto"/>
      <w:ind w:left="3100" w:hanging="560"/>
    </w:pPr>
    <w:rPr>
      <w:rFonts w:ascii="Times New Roman" w:hAnsi="Times New Roman" w:cs="Times New Roman"/>
      <w:color w:val="000000"/>
      <w:w w:val="0"/>
      <w:sz w:val="24"/>
      <w:szCs w:val="24"/>
      <w:lang w:val="en-US"/>
    </w:rPr>
  </w:style>
  <w:style w:type="paragraph" w:customStyle="1" w:styleId="PointDouble0">
    <w:name w:val="PointDouble 0"/>
    <w:uiPriority w:val="99"/>
    <w:pPr>
      <w:widowControl w:val="0"/>
      <w:tabs>
        <w:tab w:val="left" w:pos="840"/>
        <w:tab w:val="left" w:pos="1400"/>
      </w:tabs>
      <w:autoSpaceDE w:val="0"/>
      <w:autoSpaceDN w:val="0"/>
      <w:adjustRightInd w:val="0"/>
      <w:spacing w:before="120" w:after="120" w:line="240" w:lineRule="auto"/>
      <w:ind w:left="1400" w:hanging="1400"/>
    </w:pPr>
    <w:rPr>
      <w:rFonts w:ascii="Times New Roman" w:hAnsi="Times New Roman" w:cs="Times New Roman"/>
      <w:color w:val="000000"/>
      <w:w w:val="0"/>
      <w:sz w:val="24"/>
      <w:szCs w:val="24"/>
      <w:lang w:val="en-US"/>
    </w:rPr>
  </w:style>
  <w:style w:type="paragraph" w:customStyle="1" w:styleId="PointDouble1">
    <w:name w:val="PointDouble 1"/>
    <w:uiPriority w:val="99"/>
    <w:pPr>
      <w:widowControl w:val="0"/>
      <w:tabs>
        <w:tab w:val="left" w:pos="1400"/>
        <w:tab w:val="left" w:pos="1980"/>
      </w:tabs>
      <w:autoSpaceDE w:val="0"/>
      <w:autoSpaceDN w:val="0"/>
      <w:adjustRightInd w:val="0"/>
      <w:spacing w:before="120" w:after="120" w:line="240" w:lineRule="auto"/>
      <w:ind w:left="1980" w:hanging="1140"/>
    </w:pPr>
    <w:rPr>
      <w:rFonts w:ascii="Times New Roman" w:hAnsi="Times New Roman" w:cs="Times New Roman"/>
      <w:color w:val="000000"/>
      <w:w w:val="0"/>
      <w:sz w:val="24"/>
      <w:szCs w:val="24"/>
      <w:lang w:val="en-US"/>
    </w:rPr>
  </w:style>
  <w:style w:type="paragraph" w:customStyle="1" w:styleId="PointDouble2">
    <w:name w:val="PointDouble 2"/>
    <w:uiPriority w:val="99"/>
    <w:pPr>
      <w:widowControl w:val="0"/>
      <w:tabs>
        <w:tab w:val="left" w:pos="1980"/>
        <w:tab w:val="left" w:pos="2540"/>
      </w:tabs>
      <w:autoSpaceDE w:val="0"/>
      <w:autoSpaceDN w:val="0"/>
      <w:adjustRightInd w:val="0"/>
      <w:spacing w:before="120" w:after="120" w:line="240" w:lineRule="auto"/>
      <w:ind w:left="2540" w:hanging="1140"/>
    </w:pPr>
    <w:rPr>
      <w:rFonts w:ascii="Times New Roman" w:hAnsi="Times New Roman" w:cs="Times New Roman"/>
      <w:color w:val="000000"/>
      <w:w w:val="0"/>
      <w:sz w:val="24"/>
      <w:szCs w:val="24"/>
      <w:lang w:val="en-US"/>
    </w:rPr>
  </w:style>
  <w:style w:type="paragraph" w:customStyle="1" w:styleId="PointDouble3">
    <w:name w:val="PointDouble 3"/>
    <w:uiPriority w:val="99"/>
    <w:pPr>
      <w:widowControl w:val="0"/>
      <w:tabs>
        <w:tab w:val="left" w:pos="2540"/>
        <w:tab w:val="left" w:pos="3100"/>
      </w:tabs>
      <w:autoSpaceDE w:val="0"/>
      <w:autoSpaceDN w:val="0"/>
      <w:adjustRightInd w:val="0"/>
      <w:spacing w:before="120" w:after="120" w:line="240" w:lineRule="auto"/>
      <w:ind w:left="3100" w:hanging="1120"/>
    </w:pPr>
    <w:rPr>
      <w:rFonts w:ascii="Times New Roman" w:hAnsi="Times New Roman" w:cs="Times New Roman"/>
      <w:color w:val="000000"/>
      <w:w w:val="0"/>
      <w:sz w:val="24"/>
      <w:szCs w:val="24"/>
      <w:lang w:val="en-US"/>
    </w:rPr>
  </w:style>
  <w:style w:type="paragraph" w:customStyle="1" w:styleId="PointDouble4">
    <w:name w:val="PointDouble 4"/>
    <w:uiPriority w:val="99"/>
    <w:pPr>
      <w:widowControl w:val="0"/>
      <w:tabs>
        <w:tab w:val="left" w:pos="3100"/>
        <w:tab w:val="left" w:pos="3680"/>
      </w:tabs>
      <w:autoSpaceDE w:val="0"/>
      <w:autoSpaceDN w:val="0"/>
      <w:adjustRightInd w:val="0"/>
      <w:spacing w:before="120" w:after="120" w:line="240" w:lineRule="auto"/>
      <w:ind w:left="3680" w:hanging="1140"/>
    </w:pPr>
    <w:rPr>
      <w:rFonts w:ascii="Times New Roman" w:hAnsi="Times New Roman" w:cs="Times New Roman"/>
      <w:color w:val="000000"/>
      <w:w w:val="0"/>
      <w:sz w:val="24"/>
      <w:szCs w:val="24"/>
      <w:lang w:val="en-US"/>
    </w:rPr>
  </w:style>
  <w:style w:type="paragraph" w:customStyle="1" w:styleId="PointTriple0">
    <w:name w:val="PointTriple 0"/>
    <w:uiPriority w:val="99"/>
    <w:pPr>
      <w:widowControl w:val="0"/>
      <w:tabs>
        <w:tab w:val="left" w:pos="840"/>
        <w:tab w:val="left" w:pos="1400"/>
        <w:tab w:val="left" w:pos="1980"/>
      </w:tabs>
      <w:autoSpaceDE w:val="0"/>
      <w:autoSpaceDN w:val="0"/>
      <w:adjustRightInd w:val="0"/>
      <w:spacing w:before="120" w:after="120" w:line="240" w:lineRule="auto"/>
      <w:ind w:left="1980" w:hanging="1980"/>
    </w:pPr>
    <w:rPr>
      <w:rFonts w:ascii="Times New Roman" w:hAnsi="Times New Roman" w:cs="Times New Roman"/>
      <w:color w:val="000000"/>
      <w:w w:val="0"/>
      <w:sz w:val="24"/>
      <w:szCs w:val="24"/>
      <w:lang w:val="en-US"/>
    </w:rPr>
  </w:style>
  <w:style w:type="paragraph" w:customStyle="1" w:styleId="PointTriple1">
    <w:name w:val="PointTriple 1"/>
    <w:uiPriority w:val="99"/>
    <w:pPr>
      <w:widowControl w:val="0"/>
      <w:tabs>
        <w:tab w:val="left" w:pos="1400"/>
        <w:tab w:val="left" w:pos="1980"/>
        <w:tab w:val="left" w:pos="2540"/>
      </w:tabs>
      <w:autoSpaceDE w:val="0"/>
      <w:autoSpaceDN w:val="0"/>
      <w:adjustRightInd w:val="0"/>
      <w:spacing w:before="120" w:after="120" w:line="240" w:lineRule="auto"/>
      <w:ind w:left="2540" w:hanging="1700"/>
    </w:pPr>
    <w:rPr>
      <w:rFonts w:ascii="Times New Roman" w:hAnsi="Times New Roman" w:cs="Times New Roman"/>
      <w:color w:val="000000"/>
      <w:w w:val="0"/>
      <w:sz w:val="24"/>
      <w:szCs w:val="24"/>
      <w:lang w:val="en-US"/>
    </w:rPr>
  </w:style>
  <w:style w:type="paragraph" w:customStyle="1" w:styleId="PointTriple2">
    <w:name w:val="PointTriple 2"/>
    <w:uiPriority w:val="99"/>
    <w:pPr>
      <w:widowControl w:val="0"/>
      <w:tabs>
        <w:tab w:val="left" w:pos="1980"/>
        <w:tab w:val="left" w:pos="2540"/>
        <w:tab w:val="left" w:pos="3100"/>
      </w:tabs>
      <w:autoSpaceDE w:val="0"/>
      <w:autoSpaceDN w:val="0"/>
      <w:adjustRightInd w:val="0"/>
      <w:spacing w:before="120" w:after="120" w:line="240" w:lineRule="auto"/>
      <w:ind w:left="3100" w:hanging="1700"/>
    </w:pPr>
    <w:rPr>
      <w:rFonts w:ascii="Times New Roman" w:hAnsi="Times New Roman" w:cs="Times New Roman"/>
      <w:color w:val="000000"/>
      <w:w w:val="0"/>
      <w:sz w:val="24"/>
      <w:szCs w:val="24"/>
      <w:lang w:val="en-US"/>
    </w:rPr>
  </w:style>
  <w:style w:type="paragraph" w:customStyle="1" w:styleId="PointTriple3">
    <w:name w:val="PointTriple 3"/>
    <w:uiPriority w:val="99"/>
    <w:pPr>
      <w:widowControl w:val="0"/>
      <w:tabs>
        <w:tab w:val="left" w:pos="2540"/>
        <w:tab w:val="left" w:pos="3100"/>
        <w:tab w:val="left" w:pos="3680"/>
      </w:tabs>
      <w:autoSpaceDE w:val="0"/>
      <w:autoSpaceDN w:val="0"/>
      <w:adjustRightInd w:val="0"/>
      <w:spacing w:before="120" w:after="120" w:line="240" w:lineRule="auto"/>
      <w:ind w:left="3680" w:hanging="1700"/>
    </w:pPr>
    <w:rPr>
      <w:rFonts w:ascii="Times New Roman" w:hAnsi="Times New Roman" w:cs="Times New Roman"/>
      <w:color w:val="000000"/>
      <w:w w:val="0"/>
      <w:sz w:val="24"/>
      <w:szCs w:val="24"/>
      <w:lang w:val="en-US"/>
    </w:rPr>
  </w:style>
  <w:style w:type="paragraph" w:customStyle="1" w:styleId="PointTriple4">
    <w:name w:val="PointTriple 4"/>
    <w:uiPriority w:val="99"/>
    <w:pPr>
      <w:widowControl w:val="0"/>
      <w:tabs>
        <w:tab w:val="left" w:pos="3100"/>
        <w:tab w:val="left" w:pos="3680"/>
        <w:tab w:val="left" w:pos="4240"/>
      </w:tabs>
      <w:autoSpaceDE w:val="0"/>
      <w:autoSpaceDN w:val="0"/>
      <w:adjustRightInd w:val="0"/>
      <w:spacing w:before="120" w:after="120" w:line="240" w:lineRule="auto"/>
      <w:ind w:left="4240" w:hanging="1700"/>
    </w:pPr>
    <w:rPr>
      <w:rFonts w:ascii="Times New Roman" w:hAnsi="Times New Roman" w:cs="Times New Roman"/>
      <w:color w:val="000000"/>
      <w:w w:val="0"/>
      <w:sz w:val="24"/>
      <w:szCs w:val="24"/>
      <w:lang w:val="en-US"/>
    </w:rPr>
  </w:style>
  <w:style w:type="paragraph" w:customStyle="1" w:styleId="NumPar1">
    <w:name w:val="NumPar 1"/>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NumPar2">
    <w:name w:val="NumPar 2"/>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NumPar3">
    <w:name w:val="NumPar 3"/>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NumPar4">
    <w:name w:val="NumPar 4"/>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ManualNumPar1">
    <w:name w:val="Manual NumPar 1"/>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ManualNumPar2">
    <w:name w:val="Manual NumPar 2"/>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ManualNumPar3">
    <w:name w:val="Manual NumPar 3"/>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ManualNumPar4">
    <w:name w:val="Manual NumPar 4"/>
    <w:next w:val="Text1"/>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QuotedNumPar">
    <w:name w:val="Quoted NumPar"/>
    <w:uiPriority w:val="99"/>
    <w:pPr>
      <w:widowControl w:val="0"/>
      <w:tabs>
        <w:tab w:val="left" w:pos="1400"/>
      </w:tabs>
      <w:autoSpaceDE w:val="0"/>
      <w:autoSpaceDN w:val="0"/>
      <w:adjustRightInd w:val="0"/>
      <w:spacing w:before="120" w:after="120" w:line="240" w:lineRule="auto"/>
      <w:ind w:left="1400" w:hanging="560"/>
    </w:pPr>
    <w:rPr>
      <w:rFonts w:ascii="Times New Roman" w:hAnsi="Times New Roman" w:cs="Times New Roman"/>
      <w:color w:val="000000"/>
      <w:w w:val="0"/>
      <w:sz w:val="24"/>
      <w:szCs w:val="24"/>
      <w:lang w:val="en-US"/>
    </w:rPr>
  </w:style>
  <w:style w:type="paragraph" w:customStyle="1" w:styleId="ManualHeading1">
    <w:name w:val="Manual Heading 1"/>
    <w:next w:val="Text1"/>
    <w:uiPriority w:val="99"/>
    <w:pPr>
      <w:keepNext/>
      <w:widowControl w:val="0"/>
      <w:tabs>
        <w:tab w:val="left" w:pos="840"/>
      </w:tabs>
      <w:autoSpaceDE w:val="0"/>
      <w:autoSpaceDN w:val="0"/>
      <w:adjustRightInd w:val="0"/>
      <w:spacing w:before="360" w:after="120" w:line="240" w:lineRule="auto"/>
      <w:ind w:left="840" w:hanging="840"/>
    </w:pPr>
    <w:rPr>
      <w:rFonts w:ascii="Times New Roman" w:hAnsi="Times New Roman" w:cs="Times New Roman"/>
      <w:b/>
      <w:bCs/>
      <w:smallCaps/>
      <w:color w:val="000000"/>
      <w:w w:val="0"/>
      <w:sz w:val="24"/>
      <w:szCs w:val="24"/>
      <w:lang w:val="en-US"/>
    </w:rPr>
  </w:style>
  <w:style w:type="paragraph" w:customStyle="1" w:styleId="ManualHeading2">
    <w:name w:val="Manual Heading 2"/>
    <w:next w:val="Text1"/>
    <w:uiPriority w:val="99"/>
    <w:pPr>
      <w:keepNext/>
      <w:widowControl w:val="0"/>
      <w:tabs>
        <w:tab w:val="left" w:pos="840"/>
      </w:tabs>
      <w:autoSpaceDE w:val="0"/>
      <w:autoSpaceDN w:val="0"/>
      <w:adjustRightInd w:val="0"/>
      <w:spacing w:before="120" w:after="120" w:line="240" w:lineRule="auto"/>
      <w:ind w:left="840" w:hanging="840"/>
    </w:pPr>
    <w:rPr>
      <w:rFonts w:ascii="Times New Roman" w:hAnsi="Times New Roman" w:cs="Times New Roman"/>
      <w:b/>
      <w:bCs/>
      <w:color w:val="000000"/>
      <w:w w:val="0"/>
      <w:sz w:val="24"/>
      <w:szCs w:val="24"/>
      <w:lang w:val="en-US"/>
    </w:rPr>
  </w:style>
  <w:style w:type="paragraph" w:customStyle="1" w:styleId="ManualHeading3">
    <w:name w:val="Manual Heading 3"/>
    <w:next w:val="Text1"/>
    <w:uiPriority w:val="99"/>
    <w:pPr>
      <w:keepNext/>
      <w:widowControl w:val="0"/>
      <w:tabs>
        <w:tab w:val="left" w:pos="840"/>
      </w:tabs>
      <w:autoSpaceDE w:val="0"/>
      <w:autoSpaceDN w:val="0"/>
      <w:adjustRightInd w:val="0"/>
      <w:spacing w:before="120" w:after="120" w:line="240" w:lineRule="auto"/>
      <w:ind w:left="840" w:hanging="840"/>
    </w:pPr>
    <w:rPr>
      <w:rFonts w:ascii="Times New Roman" w:hAnsi="Times New Roman" w:cs="Times New Roman"/>
      <w:i/>
      <w:iCs/>
      <w:color w:val="000000"/>
      <w:w w:val="0"/>
      <w:sz w:val="24"/>
      <w:szCs w:val="24"/>
      <w:lang w:val="en-US"/>
    </w:rPr>
  </w:style>
  <w:style w:type="paragraph" w:customStyle="1" w:styleId="ManualHeading4">
    <w:name w:val="Manual Heading 4"/>
    <w:next w:val="Text1"/>
    <w:uiPriority w:val="99"/>
    <w:pPr>
      <w:keepNext/>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PartTitle">
    <w:name w:val="PartTitle"/>
    <w:uiPriority w:val="99"/>
    <w:pPr>
      <w:keepNext/>
      <w:pageBreakBefore/>
      <w:widowControl w:val="0"/>
      <w:autoSpaceDE w:val="0"/>
      <w:autoSpaceDN w:val="0"/>
      <w:adjustRightInd w:val="0"/>
      <w:spacing w:before="120" w:after="360" w:line="240" w:lineRule="auto"/>
      <w:jc w:val="center"/>
    </w:pPr>
    <w:rPr>
      <w:rFonts w:ascii="Times New Roman" w:hAnsi="Times New Roman" w:cs="Times New Roman"/>
      <w:b/>
      <w:bCs/>
      <w:color w:val="000000"/>
      <w:w w:val="0"/>
      <w:sz w:val="36"/>
      <w:szCs w:val="36"/>
      <w:lang w:val="en-US"/>
    </w:rPr>
  </w:style>
  <w:style w:type="paragraph" w:customStyle="1" w:styleId="SectionTitle">
    <w:name w:val="SectionTitle"/>
    <w:uiPriority w:val="99"/>
    <w:pPr>
      <w:keepNext/>
      <w:widowControl w:val="0"/>
      <w:autoSpaceDE w:val="0"/>
      <w:autoSpaceDN w:val="0"/>
      <w:adjustRightInd w:val="0"/>
      <w:spacing w:before="120" w:after="360" w:line="240" w:lineRule="auto"/>
      <w:jc w:val="center"/>
    </w:pPr>
    <w:rPr>
      <w:rFonts w:ascii="Times New Roman" w:hAnsi="Times New Roman" w:cs="Times New Roman"/>
      <w:b/>
      <w:bCs/>
      <w:smallCaps/>
      <w:color w:val="000000"/>
      <w:w w:val="0"/>
      <w:sz w:val="28"/>
      <w:szCs w:val="28"/>
      <w:lang w:val="en-US"/>
    </w:rPr>
  </w:style>
  <w:style w:type="paragraph" w:customStyle="1" w:styleId="TableTitle">
    <w:name w:val="Table Title"/>
    <w:next w:val="Normal"/>
    <w:uiPriority w:val="99"/>
    <w:pPr>
      <w:widowControl w:val="0"/>
      <w:autoSpaceDE w:val="0"/>
      <w:autoSpaceDN w:val="0"/>
      <w:adjustRightInd w:val="0"/>
      <w:spacing w:before="120" w:after="120" w:line="240" w:lineRule="auto"/>
      <w:jc w:val="center"/>
    </w:pPr>
    <w:rPr>
      <w:rFonts w:ascii="Times New Roman" w:hAnsi="Times New Roman" w:cs="Times New Roman"/>
      <w:b/>
      <w:bCs/>
      <w:color w:val="000000"/>
      <w:w w:val="0"/>
      <w:sz w:val="24"/>
      <w:szCs w:val="24"/>
      <w:lang w:val="en-US"/>
    </w:rPr>
  </w:style>
  <w:style w:type="paragraph" w:customStyle="1" w:styleId="Point0number">
    <w:name w:val="Point 0 (number)"/>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Point1number">
    <w:name w:val="Point 1 (number)"/>
    <w:uiPriority w:val="99"/>
    <w:pPr>
      <w:widowControl w:val="0"/>
      <w:tabs>
        <w:tab w:val="left" w:pos="1400"/>
      </w:tabs>
      <w:autoSpaceDE w:val="0"/>
      <w:autoSpaceDN w:val="0"/>
      <w:adjustRightInd w:val="0"/>
      <w:spacing w:before="120" w:after="120" w:line="240" w:lineRule="auto"/>
      <w:ind w:left="1400" w:hanging="560"/>
    </w:pPr>
    <w:rPr>
      <w:rFonts w:ascii="Times New Roman" w:hAnsi="Times New Roman" w:cs="Times New Roman"/>
      <w:color w:val="000000"/>
      <w:w w:val="0"/>
      <w:sz w:val="24"/>
      <w:szCs w:val="24"/>
      <w:lang w:val="en-US"/>
    </w:rPr>
  </w:style>
  <w:style w:type="paragraph" w:customStyle="1" w:styleId="Point2number">
    <w:name w:val="Point 2 (number)"/>
    <w:uiPriority w:val="99"/>
    <w:pPr>
      <w:widowControl w:val="0"/>
      <w:tabs>
        <w:tab w:val="left" w:pos="1980"/>
      </w:tabs>
      <w:autoSpaceDE w:val="0"/>
      <w:autoSpaceDN w:val="0"/>
      <w:adjustRightInd w:val="0"/>
      <w:spacing w:before="120" w:after="120" w:line="240" w:lineRule="auto"/>
      <w:ind w:left="1980" w:hanging="580"/>
    </w:pPr>
    <w:rPr>
      <w:rFonts w:ascii="Times New Roman" w:hAnsi="Times New Roman" w:cs="Times New Roman"/>
      <w:color w:val="000000"/>
      <w:w w:val="0"/>
      <w:sz w:val="24"/>
      <w:szCs w:val="24"/>
      <w:lang w:val="en-US"/>
    </w:rPr>
  </w:style>
  <w:style w:type="paragraph" w:customStyle="1" w:styleId="Point3number">
    <w:name w:val="Point 3 (number)"/>
    <w:uiPriority w:val="99"/>
    <w:pPr>
      <w:widowControl w:val="0"/>
      <w:tabs>
        <w:tab w:val="left" w:pos="2540"/>
      </w:tabs>
      <w:autoSpaceDE w:val="0"/>
      <w:autoSpaceDN w:val="0"/>
      <w:adjustRightInd w:val="0"/>
      <w:spacing w:before="120" w:after="120" w:line="240" w:lineRule="auto"/>
      <w:ind w:left="2540" w:hanging="560"/>
    </w:pPr>
    <w:rPr>
      <w:rFonts w:ascii="Times New Roman" w:hAnsi="Times New Roman" w:cs="Times New Roman"/>
      <w:color w:val="000000"/>
      <w:w w:val="0"/>
      <w:sz w:val="24"/>
      <w:szCs w:val="24"/>
      <w:lang w:val="en-US"/>
    </w:rPr>
  </w:style>
  <w:style w:type="paragraph" w:customStyle="1" w:styleId="Point0letter">
    <w:name w:val="Point 0 (letter)"/>
    <w:uiPriority w:val="99"/>
    <w:pPr>
      <w:widowControl w:val="0"/>
      <w:tabs>
        <w:tab w:val="left" w:pos="840"/>
      </w:tabs>
      <w:autoSpaceDE w:val="0"/>
      <w:autoSpaceDN w:val="0"/>
      <w:adjustRightInd w:val="0"/>
      <w:spacing w:before="120" w:after="120" w:line="240" w:lineRule="auto"/>
      <w:ind w:left="840" w:hanging="840"/>
    </w:pPr>
    <w:rPr>
      <w:rFonts w:ascii="Times New Roman" w:hAnsi="Times New Roman" w:cs="Times New Roman"/>
      <w:color w:val="000000"/>
      <w:w w:val="0"/>
      <w:sz w:val="24"/>
      <w:szCs w:val="24"/>
      <w:lang w:val="en-US"/>
    </w:rPr>
  </w:style>
  <w:style w:type="paragraph" w:customStyle="1" w:styleId="Point1letter">
    <w:name w:val="Point 1 (letter)"/>
    <w:uiPriority w:val="99"/>
    <w:pPr>
      <w:widowControl w:val="0"/>
      <w:tabs>
        <w:tab w:val="left" w:pos="1400"/>
      </w:tabs>
      <w:autoSpaceDE w:val="0"/>
      <w:autoSpaceDN w:val="0"/>
      <w:adjustRightInd w:val="0"/>
      <w:spacing w:before="120" w:after="120" w:line="240" w:lineRule="auto"/>
      <w:ind w:left="1400" w:hanging="560"/>
    </w:pPr>
    <w:rPr>
      <w:rFonts w:ascii="Times New Roman" w:hAnsi="Times New Roman" w:cs="Times New Roman"/>
      <w:color w:val="000000"/>
      <w:w w:val="0"/>
      <w:sz w:val="24"/>
      <w:szCs w:val="24"/>
      <w:lang w:val="en-US"/>
    </w:rPr>
  </w:style>
  <w:style w:type="paragraph" w:customStyle="1" w:styleId="Point2letter">
    <w:name w:val="Point 2 (letter)"/>
    <w:uiPriority w:val="99"/>
    <w:pPr>
      <w:widowControl w:val="0"/>
      <w:tabs>
        <w:tab w:val="left" w:pos="1980"/>
      </w:tabs>
      <w:autoSpaceDE w:val="0"/>
      <w:autoSpaceDN w:val="0"/>
      <w:adjustRightInd w:val="0"/>
      <w:spacing w:before="120" w:after="120" w:line="240" w:lineRule="auto"/>
      <w:ind w:left="1980" w:hanging="580"/>
    </w:pPr>
    <w:rPr>
      <w:rFonts w:ascii="Times New Roman" w:hAnsi="Times New Roman" w:cs="Times New Roman"/>
      <w:color w:val="000000"/>
      <w:w w:val="0"/>
      <w:sz w:val="24"/>
      <w:szCs w:val="24"/>
      <w:lang w:val="en-US"/>
    </w:rPr>
  </w:style>
  <w:style w:type="paragraph" w:customStyle="1" w:styleId="Point3letter">
    <w:name w:val="Point 3 (letter)"/>
    <w:uiPriority w:val="99"/>
    <w:pPr>
      <w:widowControl w:val="0"/>
      <w:tabs>
        <w:tab w:val="left" w:pos="2540"/>
      </w:tabs>
      <w:autoSpaceDE w:val="0"/>
      <w:autoSpaceDN w:val="0"/>
      <w:adjustRightInd w:val="0"/>
      <w:spacing w:before="120" w:after="120" w:line="240" w:lineRule="auto"/>
      <w:ind w:left="2540" w:hanging="560"/>
    </w:pPr>
    <w:rPr>
      <w:rFonts w:ascii="Times New Roman" w:hAnsi="Times New Roman" w:cs="Times New Roman"/>
      <w:color w:val="000000"/>
      <w:w w:val="0"/>
      <w:sz w:val="24"/>
      <w:szCs w:val="24"/>
      <w:lang w:val="en-US"/>
    </w:rPr>
  </w:style>
  <w:style w:type="paragraph" w:customStyle="1" w:styleId="Point4letter">
    <w:name w:val="Point 4 (letter)"/>
    <w:uiPriority w:val="99"/>
    <w:pPr>
      <w:widowControl w:val="0"/>
      <w:tabs>
        <w:tab w:val="left" w:pos="3100"/>
      </w:tabs>
      <w:autoSpaceDE w:val="0"/>
      <w:autoSpaceDN w:val="0"/>
      <w:adjustRightInd w:val="0"/>
      <w:spacing w:before="120" w:after="120" w:line="240" w:lineRule="auto"/>
      <w:ind w:left="3100" w:hanging="560"/>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Nomdelinstitution">
    <w:name w:val="Nom de l'institution"/>
    <w:uiPriority w:val="99"/>
    <w:pPr>
      <w:widowControl w:val="0"/>
      <w:autoSpaceDE w:val="0"/>
      <w:autoSpaceDN w:val="0"/>
      <w:adjustRightInd w:val="0"/>
      <w:spacing w:after="120" w:line="240" w:lineRule="auto"/>
    </w:pPr>
    <w:rPr>
      <w:rFonts w:ascii="Arial" w:hAnsi="Arial" w:cs="Arial"/>
      <w:color w:val="000000"/>
      <w:w w:val="0"/>
      <w:sz w:val="24"/>
      <w:szCs w:val="24"/>
      <w:lang w:val="da-DK"/>
    </w:rPr>
  </w:style>
  <w:style w:type="paragraph" w:styleId="Listeavsnitt">
    <w:name w:val="List Paragraph"/>
    <w:basedOn w:val="Normal"/>
    <w:uiPriority w:val="34"/>
    <w:qFormat/>
    <w:rsid w:val="00467DB0"/>
    <w:pPr>
      <w:spacing w:before="60" w:after="0"/>
      <w:ind w:left="397"/>
    </w:pPr>
    <w:rPr>
      <w:spacing w:val="0"/>
    </w:rPr>
  </w:style>
  <w:style w:type="paragraph" w:customStyle="1" w:styleId="Rfrenceinstitutionnelle">
    <w:name w:val="Référence institutionnelle"/>
    <w:uiPriority w:val="99"/>
    <w:pPr>
      <w:widowControl w:val="0"/>
      <w:tabs>
        <w:tab w:val="left" w:pos="5100"/>
      </w:tabs>
      <w:autoSpaceDE w:val="0"/>
      <w:autoSpaceDN w:val="0"/>
      <w:adjustRightInd w:val="0"/>
      <w:spacing w:after="240" w:line="240" w:lineRule="auto"/>
      <w:ind w:left="5100"/>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467DB0"/>
    <w:pPr>
      <w:spacing w:before="60" w:after="0"/>
      <w:ind w:left="794"/>
    </w:pPr>
    <w:rPr>
      <w:spacing w:val="0"/>
    </w:rPr>
  </w:style>
  <w:style w:type="paragraph" w:customStyle="1" w:styleId="Listeavsnitt3">
    <w:name w:val="Listeavsnitt 3"/>
    <w:basedOn w:val="Normal"/>
    <w:qFormat/>
    <w:rsid w:val="00467DB0"/>
    <w:pPr>
      <w:spacing w:before="60" w:after="0"/>
      <w:ind w:left="1191"/>
    </w:pPr>
    <w:rPr>
      <w:spacing w:val="0"/>
    </w:rPr>
  </w:style>
  <w:style w:type="paragraph" w:customStyle="1" w:styleId="Listeavsnitt4">
    <w:name w:val="Listeavsnitt 4"/>
    <w:basedOn w:val="Normal"/>
    <w:qFormat/>
    <w:rsid w:val="00467DB0"/>
    <w:pPr>
      <w:spacing w:before="60" w:after="0"/>
      <w:ind w:left="1588"/>
    </w:pPr>
    <w:rPr>
      <w:spacing w:val="0"/>
    </w:rPr>
  </w:style>
  <w:style w:type="paragraph" w:customStyle="1" w:styleId="Listeavsnitt5">
    <w:name w:val="Listeavsnitt 5"/>
    <w:basedOn w:val="Normal"/>
    <w:qFormat/>
    <w:rsid w:val="00467DB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anualConsidrant">
    <w:name w:val="Manual Considérant"/>
    <w:uiPriority w:val="99"/>
    <w:pPr>
      <w:widowControl w:val="0"/>
      <w:tabs>
        <w:tab w:val="left" w:pos="700"/>
      </w:tabs>
      <w:autoSpaceDE w:val="0"/>
      <w:autoSpaceDN w:val="0"/>
      <w:adjustRightInd w:val="0"/>
      <w:spacing w:before="120" w:after="120" w:line="240" w:lineRule="auto"/>
      <w:ind w:left="700" w:hanging="700"/>
    </w:pPr>
    <w:rPr>
      <w:rFonts w:ascii="Times New Roman" w:hAnsi="Times New Roman" w:cs="Times New Roman"/>
      <w:color w:val="000000"/>
      <w:w w:val="0"/>
      <w:sz w:val="24"/>
      <w:szCs w:val="24"/>
      <w:lang w:val="en-US"/>
    </w:rPr>
  </w:style>
  <w:style w:type="paragraph" w:customStyle="1" w:styleId="Personnequisigne">
    <w:name w:val="Personne qui signe"/>
    <w:uiPriority w:val="99"/>
    <w:pPr>
      <w:widowControl w:val="0"/>
      <w:tabs>
        <w:tab w:val="left" w:pos="4240"/>
      </w:tabs>
      <w:autoSpaceDE w:val="0"/>
      <w:autoSpaceDN w:val="0"/>
      <w:adjustRightInd w:val="0"/>
      <w:spacing w:after="120" w:line="240" w:lineRule="auto"/>
    </w:pPr>
    <w:rPr>
      <w:rFonts w:ascii="Times New Roman" w:hAnsi="Times New Roman" w:cs="Times New Roman"/>
      <w:i/>
      <w:iCs/>
      <w:color w:val="000000"/>
      <w:w w:val="0"/>
      <w:sz w:val="24"/>
      <w:szCs w:val="24"/>
      <w:lang w:val="en-US"/>
    </w:rPr>
  </w:style>
  <w:style w:type="paragraph" w:customStyle="1" w:styleId="Rfrenceinterinstitutionnelle">
    <w:name w:val="Référence interinstitutionnelle"/>
    <w:next w:val="Statut"/>
    <w:uiPriority w:val="99"/>
    <w:pPr>
      <w:widowControl w:val="0"/>
      <w:tabs>
        <w:tab w:val="left" w:pos="5100"/>
      </w:tabs>
      <w:autoSpaceDE w:val="0"/>
      <w:autoSpaceDN w:val="0"/>
      <w:adjustRightInd w:val="0"/>
      <w:spacing w:after="120" w:line="240" w:lineRule="auto"/>
      <w:ind w:left="5100"/>
    </w:pPr>
    <w:rPr>
      <w:rFonts w:ascii="Times New Roman" w:hAnsi="Times New Roman" w:cs="Times New Roman"/>
      <w:color w:val="000000"/>
      <w:w w:val="0"/>
      <w:sz w:val="24"/>
      <w:szCs w:val="24"/>
      <w:lang w:val="en-US"/>
    </w:rPr>
  </w:style>
  <w:style w:type="paragraph" w:customStyle="1" w:styleId="Statut">
    <w:name w:val="Statut"/>
    <w:next w:val="Typedudocument"/>
    <w:uiPriority w:val="99"/>
    <w:pPr>
      <w:widowControl w:val="0"/>
      <w:autoSpaceDE w:val="0"/>
      <w:autoSpaceDN w:val="0"/>
      <w:adjustRightInd w:val="0"/>
      <w:spacing w:before="360" w:after="120" w:line="240" w:lineRule="auto"/>
      <w:jc w:val="center"/>
    </w:pPr>
    <w:rPr>
      <w:rFonts w:ascii="Times New Roman" w:hAnsi="Times New Roman" w:cs="Times New Roman"/>
      <w:color w:val="000000"/>
      <w:w w:val="0"/>
      <w:sz w:val="24"/>
      <w:szCs w:val="24"/>
      <w:lang w:val="en-US"/>
    </w:rPr>
  </w:style>
  <w:style w:type="paragraph" w:customStyle="1" w:styleId="Titrearticle">
    <w:name w:val="Titre article"/>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Titreobjet">
    <w:name w:val="Titre objet"/>
    <w:uiPriority w:val="99"/>
    <w:pPr>
      <w:widowControl w:val="0"/>
      <w:autoSpaceDE w:val="0"/>
      <w:autoSpaceDN w:val="0"/>
      <w:adjustRightInd w:val="0"/>
      <w:spacing w:before="360" w:after="360" w:line="240" w:lineRule="auto"/>
      <w:jc w:val="center"/>
    </w:pPr>
    <w:rPr>
      <w:rFonts w:ascii="Times New Roman" w:hAnsi="Times New Roman" w:cs="Times New Roman"/>
      <w:b/>
      <w:bCs/>
      <w:color w:val="000000"/>
      <w:w w:val="0"/>
      <w:sz w:val="24"/>
      <w:szCs w:val="24"/>
      <w:lang w:val="en-US"/>
    </w:rPr>
  </w:style>
  <w:style w:type="paragraph" w:customStyle="1" w:styleId="Typedudocument">
    <w:name w:val="Type du document"/>
    <w:next w:val="Titreobjet"/>
    <w:uiPriority w:val="99"/>
    <w:pPr>
      <w:widowControl w:val="0"/>
      <w:autoSpaceDE w:val="0"/>
      <w:autoSpaceDN w:val="0"/>
      <w:adjustRightInd w:val="0"/>
      <w:spacing w:before="360" w:after="120" w:line="240" w:lineRule="auto"/>
      <w:jc w:val="center"/>
    </w:pPr>
    <w:rPr>
      <w:rFonts w:ascii="Times New Roman" w:hAnsi="Times New Roman" w:cs="Times New Roman"/>
      <w:b/>
      <w:bCs/>
      <w:color w:val="000000"/>
      <w:w w:val="0"/>
      <w:sz w:val="24"/>
      <w:szCs w:val="24"/>
      <w:lang w:val="en-US"/>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Objetexterne">
    <w:name w:val="Objet externe"/>
    <w:next w:val="Normal"/>
    <w:uiPriority w:val="99"/>
    <w:pPr>
      <w:widowControl w:val="0"/>
      <w:autoSpaceDE w:val="0"/>
      <w:autoSpaceDN w:val="0"/>
      <w:adjustRightInd w:val="0"/>
      <w:spacing w:before="120" w:after="120" w:line="240" w:lineRule="auto"/>
    </w:pPr>
    <w:rPr>
      <w:rFonts w:ascii="Times New Roman" w:hAnsi="Times New Roman" w:cs="Times New Roman"/>
      <w:i/>
      <w:iCs/>
      <w:caps/>
      <w:color w:val="000000"/>
      <w:w w:val="0"/>
      <w:sz w:val="24"/>
      <w:szCs w:val="24"/>
      <w:lang w:val="en-US"/>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pj">
    <w:name w:val="p.j."/>
    <w:uiPriority w:val="99"/>
    <w:pPr>
      <w:widowControl w:val="0"/>
      <w:tabs>
        <w:tab w:val="left" w:pos="1440"/>
      </w:tabs>
      <w:autoSpaceDE w:val="0"/>
      <w:autoSpaceDN w:val="0"/>
      <w:adjustRightInd w:val="0"/>
      <w:spacing w:before="1200" w:after="120" w:line="240" w:lineRule="auto"/>
      <w:ind w:left="1440" w:hanging="1440"/>
    </w:pPr>
    <w:rPr>
      <w:rFonts w:ascii="Times New Roman" w:hAnsi="Times New Roman" w:cs="Times New Roman"/>
      <w:color w:val="000000"/>
      <w:w w:val="0"/>
      <w:sz w:val="24"/>
      <w:szCs w:val="24"/>
      <w:lang w:val="en-US"/>
    </w:rPr>
  </w:style>
  <w:style w:type="paragraph" w:customStyle="1" w:styleId="nbbordered">
    <w:name w:val="nb bordered"/>
    <w:uiPriority w:val="99"/>
    <w:pPr>
      <w:widowControl w:val="0"/>
      <w:pBdr>
        <w:top w:val="single" w:sz="8" w:space="0" w:color="auto"/>
        <w:bottom w:val="single" w:sz="8" w:space="0" w:color="auto"/>
      </w:pBdr>
      <w:tabs>
        <w:tab w:val="left" w:pos="480"/>
      </w:tabs>
      <w:autoSpaceDE w:val="0"/>
      <w:autoSpaceDN w:val="0"/>
      <w:adjustRightInd w:val="0"/>
      <w:spacing w:before="120" w:line="240" w:lineRule="auto"/>
      <w:ind w:left="480" w:hanging="480"/>
    </w:pPr>
    <w:rPr>
      <w:rFonts w:ascii="Times New Roman" w:hAnsi="Times New Roman" w:cs="Times New Roman"/>
      <w:b/>
      <w:bCs/>
      <w:color w:val="000000"/>
      <w:w w:val="0"/>
      <w:sz w:val="24"/>
      <w:szCs w:val="24"/>
      <w:lang w:val="en-US"/>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anunal">
    <w:name w:val="Manunal"/>
    <w:uiPriority w:val="99"/>
    <w:pPr>
      <w:widowControl w:val="0"/>
      <w:tabs>
        <w:tab w:val="left" w:pos="560"/>
      </w:tabs>
      <w:autoSpaceDE w:val="0"/>
      <w:autoSpaceDN w:val="0"/>
      <w:adjustRightInd w:val="0"/>
      <w:spacing w:before="120" w:after="120" w:line="240" w:lineRule="auto"/>
      <w:ind w:left="560" w:hanging="560"/>
    </w:pPr>
    <w:rPr>
      <w:rFonts w:ascii="Times New Roman" w:hAnsi="Times New Roman" w:cs="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Normal6">
    <w:name w:val="Normal6"/>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Par-numberI">
    <w:name w:val="Par-number I."/>
    <w:next w:val="Normal"/>
    <w:uiPriority w:val="99"/>
    <w:pPr>
      <w:widowControl w:val="0"/>
      <w:tabs>
        <w:tab w:val="left" w:pos="1700"/>
      </w:tabs>
      <w:suppressAutoHyphens/>
      <w:autoSpaceDE w:val="0"/>
      <w:autoSpaceDN w:val="0"/>
      <w:adjustRightInd w:val="0"/>
      <w:spacing w:after="120" w:line="240" w:lineRule="auto"/>
      <w:ind w:left="1700" w:hanging="580"/>
    </w:pPr>
    <w:rPr>
      <w:rFonts w:ascii="Times New Roman" w:hAnsi="Times New Roman" w:cs="Times New Roman"/>
      <w:color w:val="000000"/>
      <w:w w:val="0"/>
      <w:sz w:val="24"/>
      <w:szCs w:val="24"/>
      <w:lang w:val="en-US"/>
    </w:rPr>
  </w:style>
  <w:style w:type="paragraph" w:customStyle="1" w:styleId="msonormal0">
    <w:name w:val="msonormal"/>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Rfrenceinterinstitutionelle">
    <w:name w:val="Référence interinstitutionelle"/>
    <w:next w:val="Statut"/>
    <w:uiPriority w:val="99"/>
    <w:pPr>
      <w:widowControl w:val="0"/>
      <w:tabs>
        <w:tab w:val="left" w:pos="5100"/>
      </w:tabs>
      <w:autoSpaceDE w:val="0"/>
      <w:autoSpaceDN w:val="0"/>
      <w:adjustRightInd w:val="0"/>
      <w:spacing w:after="120" w:line="240" w:lineRule="auto"/>
      <w:ind w:left="5100"/>
    </w:pPr>
    <w:rPr>
      <w:rFonts w:ascii="Times New Roman" w:hAnsi="Times New Roman" w:cs="Times New Roman"/>
      <w:color w:val="000000"/>
      <w:w w:val="0"/>
      <w:sz w:val="24"/>
      <w:szCs w:val="24"/>
      <w:lang w:val="en-US"/>
    </w:rPr>
  </w:style>
  <w:style w:type="paragraph" w:customStyle="1" w:styleId="Normalref">
    <w:name w:val="Normalref"/>
    <w:basedOn w:val="Normal"/>
    <w:qFormat/>
    <w:rsid w:val="00467DB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67DB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rearticleAccord">
    <w:name w:val="Titre article Accord"/>
    <w:next w:val="Normal"/>
    <w:uiPriority w:val="99"/>
    <w:pPr>
      <w:keepNext/>
      <w:widowControl w:val="0"/>
      <w:autoSpaceDE w:val="0"/>
      <w:autoSpaceDN w:val="0"/>
      <w:adjustRightInd w:val="0"/>
      <w:spacing w:before="600" w:after="120" w:line="240" w:lineRule="auto"/>
      <w:jc w:val="center"/>
    </w:pPr>
    <w:rPr>
      <w:rFonts w:ascii="Times New Roman" w:hAnsi="Times New Roman" w:cs="Times New Roman"/>
      <w:i/>
      <w:iCs/>
      <w:color w:val="000000"/>
      <w:w w:val="0"/>
      <w:sz w:val="24"/>
      <w:szCs w:val="24"/>
      <w:lang w:val="en-US"/>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67DB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7DB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67DB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7DB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7DB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67DB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67DB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7DB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67DB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67DB0"/>
    <w:pPr>
      <w:numPr>
        <w:numId w:val="0"/>
      </w:numPr>
    </w:pPr>
    <w:rPr>
      <w:b w:val="0"/>
      <w:i/>
    </w:rPr>
  </w:style>
  <w:style w:type="paragraph" w:customStyle="1" w:styleId="Undervedl-tittel">
    <w:name w:val="Undervedl-tittel"/>
    <w:basedOn w:val="Normal"/>
    <w:next w:val="Normal"/>
    <w:rsid w:val="00467DB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7DB0"/>
    <w:pPr>
      <w:numPr>
        <w:numId w:val="0"/>
      </w:numPr>
      <w:outlineLvl w:val="9"/>
    </w:pPr>
  </w:style>
  <w:style w:type="paragraph" w:customStyle="1" w:styleId="v-Overskrift2">
    <w:name w:val="v-Overskrift 2"/>
    <w:basedOn w:val="Overskrift2"/>
    <w:next w:val="Normal"/>
    <w:rsid w:val="00467DB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67DB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67DB0"/>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7DB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67DB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67DB0"/>
    <w:pPr>
      <w:keepNext/>
      <w:keepLines/>
      <w:spacing w:before="720"/>
      <w:jc w:val="center"/>
    </w:pPr>
    <w:rPr>
      <w:rFonts w:ascii="Times" w:hAnsi="Times"/>
      <w:b/>
      <w:noProof/>
      <w:sz w:val="56"/>
    </w:rPr>
  </w:style>
  <w:style w:type="paragraph" w:customStyle="1" w:styleId="i-sesjon">
    <w:name w:val="i-sesjon"/>
    <w:basedOn w:val="Normal"/>
    <w:next w:val="Normal"/>
    <w:rsid w:val="00467DB0"/>
    <w:pPr>
      <w:jc w:val="center"/>
    </w:pPr>
    <w:rPr>
      <w:rFonts w:ascii="Times" w:hAnsi="Times"/>
      <w:b/>
      <w:noProof/>
      <w:sz w:val="28"/>
    </w:rPr>
  </w:style>
  <w:style w:type="paragraph" w:customStyle="1" w:styleId="i-mtit">
    <w:name w:val="i-mtit"/>
    <w:basedOn w:val="Normal"/>
    <w:next w:val="Normal"/>
    <w:rsid w:val="00467DB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67DB0"/>
    <w:rPr>
      <w:rFonts w:ascii="Arial" w:eastAsia="Times New Roman" w:hAnsi="Arial"/>
      <w:b/>
      <w:spacing w:val="4"/>
      <w:sz w:val="28"/>
    </w:rPr>
  </w:style>
  <w:style w:type="character" w:customStyle="1" w:styleId="Overskrift3Tegn">
    <w:name w:val="Overskrift 3 Tegn"/>
    <w:link w:val="Overskrift3"/>
    <w:rsid w:val="00467DB0"/>
    <w:rPr>
      <w:rFonts w:ascii="Arial" w:eastAsia="Times New Roman" w:hAnsi="Arial"/>
      <w:b/>
      <w:sz w:val="24"/>
    </w:rPr>
  </w:style>
  <w:style w:type="character" w:customStyle="1" w:styleId="Overskrift4Tegn">
    <w:name w:val="Overskrift 4 Tegn"/>
    <w:link w:val="Overskrift4"/>
    <w:rsid w:val="00467DB0"/>
    <w:rPr>
      <w:rFonts w:ascii="Arial" w:eastAsia="Times New Roman" w:hAnsi="Arial"/>
      <w:i/>
      <w:spacing w:val="4"/>
      <w:sz w:val="24"/>
    </w:rPr>
  </w:style>
  <w:style w:type="character" w:customStyle="1" w:styleId="Overskrift5Tegn">
    <w:name w:val="Overskrift 5 Tegn"/>
    <w:link w:val="Overskrift5"/>
    <w:rsid w:val="00467DB0"/>
    <w:rPr>
      <w:rFonts w:ascii="Arial" w:eastAsia="Times New Roman" w:hAnsi="Arial"/>
      <w:i/>
      <w:sz w:val="24"/>
    </w:rPr>
  </w:style>
  <w:style w:type="paragraph" w:styleId="Liste">
    <w:name w:val="List"/>
    <w:basedOn w:val="Normal"/>
    <w:rsid w:val="00467DB0"/>
    <w:pPr>
      <w:numPr>
        <w:numId w:val="22"/>
      </w:numPr>
      <w:spacing w:line="240" w:lineRule="auto"/>
      <w:contextualSpacing/>
    </w:pPr>
  </w:style>
  <w:style w:type="paragraph" w:styleId="Liste2">
    <w:name w:val="List 2"/>
    <w:basedOn w:val="Normal"/>
    <w:rsid w:val="00467DB0"/>
    <w:pPr>
      <w:numPr>
        <w:ilvl w:val="1"/>
        <w:numId w:val="22"/>
      </w:numPr>
      <w:spacing w:after="0"/>
    </w:pPr>
  </w:style>
  <w:style w:type="paragraph" w:styleId="Liste3">
    <w:name w:val="List 3"/>
    <w:basedOn w:val="Normal"/>
    <w:rsid w:val="00467DB0"/>
    <w:pPr>
      <w:numPr>
        <w:ilvl w:val="2"/>
        <w:numId w:val="22"/>
      </w:numPr>
      <w:spacing w:after="0"/>
    </w:pPr>
    <w:rPr>
      <w:spacing w:val="0"/>
    </w:rPr>
  </w:style>
  <w:style w:type="paragraph" w:styleId="Liste4">
    <w:name w:val="List 4"/>
    <w:basedOn w:val="Normal"/>
    <w:rsid w:val="00467DB0"/>
    <w:pPr>
      <w:numPr>
        <w:ilvl w:val="3"/>
        <w:numId w:val="22"/>
      </w:numPr>
      <w:spacing w:after="0"/>
    </w:pPr>
    <w:rPr>
      <w:spacing w:val="0"/>
    </w:rPr>
  </w:style>
  <w:style w:type="paragraph" w:styleId="Liste5">
    <w:name w:val="List 5"/>
    <w:basedOn w:val="Normal"/>
    <w:rsid w:val="00467DB0"/>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67DB0"/>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67DB0"/>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7DB0"/>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7DB0"/>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67DB0"/>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467DB0"/>
    <w:pPr>
      <w:numPr>
        <w:numId w:val="30"/>
      </w:numPr>
      <w:tabs>
        <w:tab w:val="left" w:pos="397"/>
      </w:tabs>
      <w:ind w:left="397" w:hanging="397"/>
    </w:pPr>
  </w:style>
  <w:style w:type="paragraph" w:customStyle="1" w:styleId="Listebombe2">
    <w:name w:val="Liste bombe 2"/>
    <w:basedOn w:val="Liste2"/>
    <w:qFormat/>
    <w:rsid w:val="00467DB0"/>
    <w:pPr>
      <w:numPr>
        <w:ilvl w:val="0"/>
        <w:numId w:val="31"/>
      </w:numPr>
      <w:ind w:left="794" w:hanging="397"/>
    </w:pPr>
  </w:style>
  <w:style w:type="paragraph" w:customStyle="1" w:styleId="Listebombe3">
    <w:name w:val="Liste bombe 3"/>
    <w:basedOn w:val="Liste3"/>
    <w:qFormat/>
    <w:rsid w:val="00467DB0"/>
    <w:pPr>
      <w:numPr>
        <w:ilvl w:val="0"/>
        <w:numId w:val="32"/>
      </w:numPr>
      <w:ind w:left="1191" w:hanging="397"/>
    </w:pPr>
  </w:style>
  <w:style w:type="paragraph" w:customStyle="1" w:styleId="Listebombe4">
    <w:name w:val="Liste bombe 4"/>
    <w:basedOn w:val="Liste4"/>
    <w:qFormat/>
    <w:rsid w:val="00467DB0"/>
    <w:pPr>
      <w:numPr>
        <w:ilvl w:val="0"/>
        <w:numId w:val="33"/>
      </w:numPr>
      <w:ind w:left="1588" w:hanging="397"/>
    </w:pPr>
  </w:style>
  <w:style w:type="paragraph" w:customStyle="1" w:styleId="Listebombe5">
    <w:name w:val="Liste bombe 5"/>
    <w:basedOn w:val="Liste5"/>
    <w:qFormat/>
    <w:rsid w:val="00467DB0"/>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7DB0"/>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67DB0"/>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7DB0"/>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7DB0"/>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7DB0"/>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67DB0"/>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67DB0"/>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7DB0"/>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7DB0"/>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7DB0"/>
    <w:pPr>
      <w:numPr>
        <w:ilvl w:val="4"/>
        <w:numId w:val="29"/>
      </w:numPr>
      <w:spacing w:after="0"/>
    </w:pPr>
  </w:style>
  <w:style w:type="paragraph" w:customStyle="1" w:styleId="opplisting">
    <w:name w:val="opplisting"/>
    <w:basedOn w:val="Normal"/>
    <w:rsid w:val="00467DB0"/>
    <w:pPr>
      <w:spacing w:after="0"/>
    </w:pPr>
    <w:rPr>
      <w:rFonts w:ascii="Times" w:hAnsi="Times" w:cs="Times New Roman"/>
      <w:spacing w:val="0"/>
    </w:rPr>
  </w:style>
  <w:style w:type="paragraph" w:customStyle="1" w:styleId="opplisting2">
    <w:name w:val="opplisting 2"/>
    <w:basedOn w:val="Normal"/>
    <w:qFormat/>
    <w:rsid w:val="00467DB0"/>
    <w:pPr>
      <w:spacing w:after="0"/>
      <w:ind w:left="397"/>
    </w:pPr>
    <w:rPr>
      <w:spacing w:val="0"/>
      <w:lang w:val="en-US"/>
    </w:rPr>
  </w:style>
  <w:style w:type="paragraph" w:customStyle="1" w:styleId="opplisting3">
    <w:name w:val="opplisting 3"/>
    <w:basedOn w:val="Normal"/>
    <w:qFormat/>
    <w:rsid w:val="00467DB0"/>
    <w:pPr>
      <w:spacing w:after="0"/>
      <w:ind w:left="794"/>
    </w:pPr>
    <w:rPr>
      <w:spacing w:val="0"/>
    </w:rPr>
  </w:style>
  <w:style w:type="paragraph" w:customStyle="1" w:styleId="opplisting4">
    <w:name w:val="opplisting 4"/>
    <w:basedOn w:val="Normal"/>
    <w:qFormat/>
    <w:rsid w:val="00467DB0"/>
    <w:pPr>
      <w:spacing w:after="0"/>
      <w:ind w:left="1191"/>
    </w:pPr>
    <w:rPr>
      <w:spacing w:val="0"/>
    </w:rPr>
  </w:style>
  <w:style w:type="paragraph" w:customStyle="1" w:styleId="opplisting5">
    <w:name w:val="opplisting 5"/>
    <w:basedOn w:val="Normal"/>
    <w:qFormat/>
    <w:rsid w:val="00467DB0"/>
    <w:pPr>
      <w:spacing w:after="0"/>
      <w:ind w:left="1588"/>
    </w:pPr>
    <w:rPr>
      <w:spacing w:val="0"/>
    </w:rPr>
  </w:style>
  <w:style w:type="paragraph" w:customStyle="1" w:styleId="friliste">
    <w:name w:val="friliste"/>
    <w:basedOn w:val="Normal"/>
    <w:qFormat/>
    <w:rsid w:val="00467DB0"/>
    <w:pPr>
      <w:tabs>
        <w:tab w:val="left" w:pos="397"/>
      </w:tabs>
      <w:spacing w:after="0"/>
      <w:ind w:left="397" w:hanging="397"/>
    </w:pPr>
    <w:rPr>
      <w:spacing w:val="0"/>
    </w:rPr>
  </w:style>
  <w:style w:type="paragraph" w:customStyle="1" w:styleId="friliste2">
    <w:name w:val="friliste 2"/>
    <w:basedOn w:val="Normal"/>
    <w:qFormat/>
    <w:rsid w:val="00467DB0"/>
    <w:pPr>
      <w:tabs>
        <w:tab w:val="left" w:pos="794"/>
      </w:tabs>
      <w:spacing w:after="0"/>
      <w:ind w:left="794" w:hanging="397"/>
    </w:pPr>
    <w:rPr>
      <w:spacing w:val="0"/>
    </w:rPr>
  </w:style>
  <w:style w:type="paragraph" w:customStyle="1" w:styleId="friliste3">
    <w:name w:val="friliste 3"/>
    <w:basedOn w:val="Normal"/>
    <w:qFormat/>
    <w:rsid w:val="00467DB0"/>
    <w:pPr>
      <w:tabs>
        <w:tab w:val="left" w:pos="1191"/>
      </w:tabs>
      <w:spacing w:after="0"/>
      <w:ind w:left="1191" w:hanging="397"/>
    </w:pPr>
    <w:rPr>
      <w:spacing w:val="0"/>
    </w:rPr>
  </w:style>
  <w:style w:type="paragraph" w:customStyle="1" w:styleId="friliste4">
    <w:name w:val="friliste 4"/>
    <w:basedOn w:val="Normal"/>
    <w:qFormat/>
    <w:rsid w:val="00467DB0"/>
    <w:pPr>
      <w:tabs>
        <w:tab w:val="left" w:pos="1588"/>
      </w:tabs>
      <w:spacing w:after="0"/>
      <w:ind w:left="1588" w:hanging="397"/>
    </w:pPr>
    <w:rPr>
      <w:spacing w:val="0"/>
    </w:rPr>
  </w:style>
  <w:style w:type="paragraph" w:customStyle="1" w:styleId="friliste5">
    <w:name w:val="friliste 5"/>
    <w:basedOn w:val="Normal"/>
    <w:qFormat/>
    <w:rsid w:val="00467DB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67DB0"/>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67DB0"/>
    <w:pPr>
      <w:numPr>
        <w:numId w:val="28"/>
      </w:numPr>
    </w:pPr>
  </w:style>
  <w:style w:type="paragraph" w:customStyle="1" w:styleId="avsnitt-undertittel">
    <w:name w:val="avsnitt-undertittel"/>
    <w:basedOn w:val="Normal"/>
    <w:next w:val="Normal"/>
    <w:rsid w:val="00467DB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7DB0"/>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7DB0"/>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7DB0"/>
    <w:pPr>
      <w:numPr>
        <w:numId w:val="28"/>
      </w:numPr>
    </w:pPr>
  </w:style>
  <w:style w:type="paragraph" w:customStyle="1" w:styleId="avsnitt-under-undertittel">
    <w:name w:val="avsnitt-under-undertittel"/>
    <w:basedOn w:val="Normal"/>
    <w:next w:val="Normal"/>
    <w:rsid w:val="00467DB0"/>
    <w:pPr>
      <w:keepNext/>
      <w:keepLines/>
      <w:spacing w:before="360" w:line="240" w:lineRule="auto"/>
    </w:pPr>
    <w:rPr>
      <w:rFonts w:eastAsia="Batang"/>
      <w:i/>
      <w:spacing w:val="0"/>
      <w:szCs w:val="20"/>
    </w:rPr>
  </w:style>
  <w:style w:type="paragraph" w:customStyle="1" w:styleId="blokksit">
    <w:name w:val="blokksit"/>
    <w:basedOn w:val="Normal"/>
    <w:qFormat/>
    <w:rsid w:val="00467DB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67DB0"/>
    <w:pPr>
      <w:spacing w:before="180" w:after="0"/>
    </w:pPr>
    <w:rPr>
      <w:rFonts w:ascii="Times" w:hAnsi="Times"/>
      <w:i/>
    </w:rPr>
  </w:style>
  <w:style w:type="paragraph" w:customStyle="1" w:styleId="l-ledd">
    <w:name w:val="l-ledd"/>
    <w:basedOn w:val="Normal"/>
    <w:qFormat/>
    <w:rsid w:val="00467DB0"/>
    <w:pPr>
      <w:spacing w:after="0"/>
      <w:ind w:firstLine="397"/>
    </w:pPr>
    <w:rPr>
      <w:rFonts w:ascii="Times" w:hAnsi="Times"/>
    </w:rPr>
  </w:style>
  <w:style w:type="paragraph" w:customStyle="1" w:styleId="l-tit-endr-paragraf">
    <w:name w:val="l-tit-endr-paragraf"/>
    <w:basedOn w:val="Normal"/>
    <w:qFormat/>
    <w:rsid w:val="00467DB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67DB0"/>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67DB0"/>
    <w:rPr>
      <w:rFonts w:ascii="Times New Roman" w:eastAsia="Times New Roman" w:hAnsi="Times New Roman"/>
      <w:spacing w:val="4"/>
      <w:sz w:val="20"/>
    </w:rPr>
  </w:style>
  <w:style w:type="character" w:customStyle="1" w:styleId="DatoTegn">
    <w:name w:val="Dato Tegn"/>
    <w:link w:val="Dato0"/>
    <w:rsid w:val="00467DB0"/>
    <w:rPr>
      <w:rFonts w:ascii="Times New Roman" w:eastAsia="Times New Roman" w:hAnsi="Times New Roman"/>
      <w:spacing w:val="4"/>
      <w:sz w:val="24"/>
    </w:rPr>
  </w:style>
  <w:style w:type="character" w:styleId="Fotnotereferanse">
    <w:name w:val="footnote reference"/>
    <w:rsid w:val="00467DB0"/>
    <w:rPr>
      <w:vertAlign w:val="superscript"/>
    </w:rPr>
  </w:style>
  <w:style w:type="character" w:customStyle="1" w:styleId="gjennomstreket">
    <w:name w:val="gjennomstreket"/>
    <w:uiPriority w:val="1"/>
    <w:rsid w:val="00467DB0"/>
    <w:rPr>
      <w:strike/>
      <w:dstrike w:val="0"/>
    </w:rPr>
  </w:style>
  <w:style w:type="character" w:customStyle="1" w:styleId="halvfet0">
    <w:name w:val="halvfet"/>
    <w:rsid w:val="00467DB0"/>
    <w:rPr>
      <w:b/>
    </w:rPr>
  </w:style>
  <w:style w:type="character" w:styleId="Hyperkobling">
    <w:name w:val="Hyperlink"/>
    <w:uiPriority w:val="99"/>
    <w:unhideWhenUsed/>
    <w:rsid w:val="00467DB0"/>
    <w:rPr>
      <w:color w:val="0000FF"/>
      <w:u w:val="single"/>
    </w:rPr>
  </w:style>
  <w:style w:type="character" w:customStyle="1" w:styleId="kursiv">
    <w:name w:val="kursiv"/>
    <w:rsid w:val="00467DB0"/>
    <w:rPr>
      <w:i/>
    </w:rPr>
  </w:style>
  <w:style w:type="character" w:customStyle="1" w:styleId="l-endring">
    <w:name w:val="l-endring"/>
    <w:rsid w:val="00467DB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67DB0"/>
  </w:style>
  <w:style w:type="character" w:styleId="Plassholdertekst">
    <w:name w:val="Placeholder Text"/>
    <w:uiPriority w:val="99"/>
    <w:rsid w:val="00467DB0"/>
    <w:rPr>
      <w:color w:val="808080"/>
    </w:rPr>
  </w:style>
  <w:style w:type="character" w:customStyle="1" w:styleId="regular">
    <w:name w:val="regular"/>
    <w:uiPriority w:val="1"/>
    <w:qFormat/>
    <w:rsid w:val="00467DB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467DB0"/>
    <w:rPr>
      <w:vertAlign w:val="superscript"/>
    </w:rPr>
  </w:style>
  <w:style w:type="character" w:customStyle="1" w:styleId="skrift-senket">
    <w:name w:val="skrift-senket"/>
    <w:rsid w:val="00467DB0"/>
    <w:rPr>
      <w:vertAlign w:val="subscript"/>
    </w:rPr>
  </w:style>
  <w:style w:type="character" w:customStyle="1" w:styleId="SluttnotetekstTegn">
    <w:name w:val="Sluttnotetekst Tegn"/>
    <w:link w:val="Sluttnotetekst"/>
    <w:uiPriority w:val="99"/>
    <w:semiHidden/>
    <w:rsid w:val="00467DB0"/>
    <w:rPr>
      <w:rFonts w:ascii="Times New Roman" w:eastAsia="Times New Roman" w:hAnsi="Times New Roman"/>
      <w:spacing w:val="4"/>
      <w:sz w:val="20"/>
      <w:szCs w:val="20"/>
    </w:rPr>
  </w:style>
  <w:style w:type="character" w:customStyle="1" w:styleId="sperret0">
    <w:name w:val="sperret"/>
    <w:rsid w:val="00467DB0"/>
    <w:rPr>
      <w:spacing w:val="30"/>
    </w:rPr>
  </w:style>
  <w:style w:type="character" w:customStyle="1" w:styleId="SterktsitatTegn">
    <w:name w:val="Sterkt sitat Tegn"/>
    <w:link w:val="Sterktsitat"/>
    <w:uiPriority w:val="30"/>
    <w:rsid w:val="00467DB0"/>
    <w:rPr>
      <w:rFonts w:ascii="Times New Roman" w:eastAsia="Times New Roman" w:hAnsi="Times New Roman"/>
      <w:b/>
      <w:bCs/>
      <w:i/>
      <w:iCs/>
      <w:color w:val="4F81BD"/>
      <w:spacing w:val="4"/>
      <w:sz w:val="24"/>
    </w:rPr>
  </w:style>
  <w:style w:type="character" w:customStyle="1" w:styleId="Stikkord">
    <w:name w:val="Stikkord"/>
    <w:rsid w:val="00467DB0"/>
    <w:rPr>
      <w:color w:val="0000FF"/>
    </w:rPr>
  </w:style>
  <w:style w:type="character" w:customStyle="1" w:styleId="stikkord0">
    <w:name w:val="stikkord"/>
    <w:uiPriority w:val="99"/>
  </w:style>
  <w:style w:type="character" w:styleId="Sterk">
    <w:name w:val="Strong"/>
    <w:uiPriority w:val="22"/>
    <w:qFormat/>
    <w:rsid w:val="00467DB0"/>
    <w:rPr>
      <w:b/>
      <w:bCs/>
    </w:rPr>
  </w:style>
  <w:style w:type="character" w:customStyle="1" w:styleId="TopptekstTegn">
    <w:name w:val="Topptekst Tegn"/>
    <w:link w:val="Topptekst"/>
    <w:rsid w:val="00467DB0"/>
    <w:rPr>
      <w:rFonts w:ascii="Times New Roman" w:eastAsia="Times New Roman" w:hAnsi="Times New Roman"/>
      <w:sz w:val="20"/>
    </w:rPr>
  </w:style>
  <w:style w:type="character" w:customStyle="1" w:styleId="Overskrift6Tegn">
    <w:name w:val="Overskrift 6 Tegn"/>
    <w:link w:val="Overskrift6"/>
    <w:rsid w:val="00467DB0"/>
    <w:rPr>
      <w:rFonts w:ascii="Arial" w:eastAsia="Times New Roman" w:hAnsi="Arial"/>
      <w:i/>
      <w:spacing w:val="4"/>
    </w:rPr>
  </w:style>
  <w:style w:type="character" w:customStyle="1" w:styleId="Overskrift7Tegn">
    <w:name w:val="Overskrift 7 Tegn"/>
    <w:link w:val="Overskrift7"/>
    <w:rsid w:val="00467DB0"/>
    <w:rPr>
      <w:rFonts w:ascii="Arial" w:eastAsia="Times New Roman" w:hAnsi="Arial"/>
      <w:spacing w:val="4"/>
      <w:sz w:val="24"/>
    </w:rPr>
  </w:style>
  <w:style w:type="character" w:customStyle="1" w:styleId="Overskrift8Tegn">
    <w:name w:val="Overskrift 8 Tegn"/>
    <w:link w:val="Overskrift8"/>
    <w:rsid w:val="00467DB0"/>
    <w:rPr>
      <w:rFonts w:ascii="Arial" w:eastAsia="Times New Roman" w:hAnsi="Arial"/>
      <w:i/>
      <w:spacing w:val="4"/>
      <w:sz w:val="24"/>
    </w:rPr>
  </w:style>
  <w:style w:type="character" w:customStyle="1" w:styleId="Overskrift9Tegn">
    <w:name w:val="Overskrift 9 Tegn"/>
    <w:link w:val="Overskrift9"/>
    <w:rsid w:val="00467DB0"/>
    <w:rPr>
      <w:rFonts w:ascii="Arial" w:eastAsia="Times New Roman" w:hAnsi="Arial"/>
      <w:i/>
      <w:spacing w:val="4"/>
      <w:sz w:val="18"/>
    </w:rPr>
  </w:style>
  <w:style w:type="table" w:customStyle="1" w:styleId="Tabell-VM">
    <w:name w:val="Tabell-VM"/>
    <w:basedOn w:val="Tabelltemaer"/>
    <w:uiPriority w:val="99"/>
    <w:qFormat/>
    <w:rsid w:val="00467DB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67DB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7DB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67DB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7DB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67DB0"/>
    <w:pPr>
      <w:tabs>
        <w:tab w:val="center" w:pos="4153"/>
        <w:tab w:val="right" w:pos="8306"/>
      </w:tabs>
    </w:pPr>
    <w:rPr>
      <w:sz w:val="20"/>
    </w:rPr>
  </w:style>
  <w:style w:type="character" w:customStyle="1" w:styleId="BunntekstTegn1">
    <w:name w:val="Bunntekst Tegn1"/>
    <w:basedOn w:val="Standardskriftforavsnitt"/>
    <w:uiPriority w:val="99"/>
    <w:semiHidden/>
    <w:rsid w:val="00467DB0"/>
    <w:rPr>
      <w:rFonts w:ascii="Times New Roman" w:eastAsia="Times New Roman" w:hAnsi="Times New Roman"/>
      <w:spacing w:val="4"/>
      <w:sz w:val="24"/>
    </w:rPr>
  </w:style>
  <w:style w:type="character" w:styleId="Merknadsreferanse">
    <w:name w:val="annotation reference"/>
    <w:rsid w:val="00467DB0"/>
    <w:rPr>
      <w:sz w:val="16"/>
    </w:rPr>
  </w:style>
  <w:style w:type="paragraph" w:styleId="Merknadstekst">
    <w:name w:val="annotation text"/>
    <w:basedOn w:val="Normal"/>
    <w:link w:val="MerknadstekstTegn"/>
    <w:rsid w:val="00467DB0"/>
    <w:rPr>
      <w:spacing w:val="0"/>
      <w:sz w:val="20"/>
    </w:rPr>
  </w:style>
  <w:style w:type="character" w:customStyle="1" w:styleId="MerknadstekstTegn">
    <w:name w:val="Merknadstekst Tegn"/>
    <w:link w:val="Merknadstekst"/>
    <w:rsid w:val="00467DB0"/>
    <w:rPr>
      <w:rFonts w:ascii="Times New Roman" w:eastAsia="Times New Roman" w:hAnsi="Times New Roman"/>
      <w:sz w:val="20"/>
    </w:rPr>
  </w:style>
  <w:style w:type="paragraph" w:styleId="Punktliste">
    <w:name w:val="List Bullet"/>
    <w:basedOn w:val="Normal"/>
    <w:rsid w:val="00467DB0"/>
    <w:pPr>
      <w:spacing w:after="0"/>
      <w:ind w:left="284" w:hanging="284"/>
    </w:pPr>
  </w:style>
  <w:style w:type="paragraph" w:styleId="Punktliste2">
    <w:name w:val="List Bullet 2"/>
    <w:basedOn w:val="Normal"/>
    <w:rsid w:val="00467DB0"/>
    <w:pPr>
      <w:spacing w:after="0"/>
      <w:ind w:left="568" w:hanging="284"/>
    </w:pPr>
  </w:style>
  <w:style w:type="paragraph" w:styleId="Punktliste3">
    <w:name w:val="List Bullet 3"/>
    <w:basedOn w:val="Normal"/>
    <w:rsid w:val="00467DB0"/>
    <w:pPr>
      <w:spacing w:after="0"/>
      <w:ind w:left="851" w:hanging="284"/>
    </w:pPr>
  </w:style>
  <w:style w:type="paragraph" w:styleId="Punktliste4">
    <w:name w:val="List Bullet 4"/>
    <w:basedOn w:val="Normal"/>
    <w:rsid w:val="00467DB0"/>
    <w:pPr>
      <w:spacing w:after="0"/>
      <w:ind w:left="1135" w:hanging="284"/>
    </w:pPr>
    <w:rPr>
      <w:spacing w:val="0"/>
    </w:rPr>
  </w:style>
  <w:style w:type="paragraph" w:styleId="Punktliste5">
    <w:name w:val="List Bullet 5"/>
    <w:basedOn w:val="Normal"/>
    <w:rsid w:val="00467DB0"/>
    <w:pPr>
      <w:spacing w:after="0"/>
      <w:ind w:left="1418" w:hanging="284"/>
    </w:pPr>
    <w:rPr>
      <w:spacing w:val="0"/>
    </w:rPr>
  </w:style>
  <w:style w:type="paragraph" w:styleId="Topptekst">
    <w:name w:val="header"/>
    <w:basedOn w:val="Normal"/>
    <w:link w:val="TopptekstTegn"/>
    <w:rsid w:val="00467DB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67DB0"/>
    <w:rPr>
      <w:rFonts w:ascii="Times New Roman" w:eastAsia="Times New Roman" w:hAnsi="Times New Roman"/>
      <w:spacing w:val="4"/>
      <w:sz w:val="24"/>
    </w:rPr>
  </w:style>
  <w:style w:type="table" w:customStyle="1" w:styleId="StandardTabell">
    <w:name w:val="StandardTabell"/>
    <w:basedOn w:val="Vanligtabell"/>
    <w:uiPriority w:val="99"/>
    <w:qFormat/>
    <w:rsid w:val="00467DB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67DB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7DB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67DB0"/>
    <w:pPr>
      <w:spacing w:after="0" w:line="240" w:lineRule="auto"/>
      <w:ind w:left="240" w:hanging="240"/>
    </w:pPr>
  </w:style>
  <w:style w:type="paragraph" w:styleId="Indeks2">
    <w:name w:val="index 2"/>
    <w:basedOn w:val="Normal"/>
    <w:next w:val="Normal"/>
    <w:autoRedefine/>
    <w:uiPriority w:val="99"/>
    <w:semiHidden/>
    <w:unhideWhenUsed/>
    <w:rsid w:val="00467DB0"/>
    <w:pPr>
      <w:spacing w:after="0" w:line="240" w:lineRule="auto"/>
      <w:ind w:left="480" w:hanging="240"/>
    </w:pPr>
  </w:style>
  <w:style w:type="paragraph" w:styleId="Indeks3">
    <w:name w:val="index 3"/>
    <w:basedOn w:val="Normal"/>
    <w:next w:val="Normal"/>
    <w:autoRedefine/>
    <w:uiPriority w:val="99"/>
    <w:semiHidden/>
    <w:unhideWhenUsed/>
    <w:rsid w:val="00467DB0"/>
    <w:pPr>
      <w:spacing w:after="0" w:line="240" w:lineRule="auto"/>
      <w:ind w:left="720" w:hanging="240"/>
    </w:pPr>
  </w:style>
  <w:style w:type="paragraph" w:styleId="Indeks4">
    <w:name w:val="index 4"/>
    <w:basedOn w:val="Normal"/>
    <w:next w:val="Normal"/>
    <w:autoRedefine/>
    <w:uiPriority w:val="99"/>
    <w:semiHidden/>
    <w:unhideWhenUsed/>
    <w:rsid w:val="00467DB0"/>
    <w:pPr>
      <w:spacing w:after="0" w:line="240" w:lineRule="auto"/>
      <w:ind w:left="960" w:hanging="240"/>
    </w:pPr>
  </w:style>
  <w:style w:type="paragraph" w:styleId="Indeks5">
    <w:name w:val="index 5"/>
    <w:basedOn w:val="Normal"/>
    <w:next w:val="Normal"/>
    <w:autoRedefine/>
    <w:uiPriority w:val="99"/>
    <w:semiHidden/>
    <w:unhideWhenUsed/>
    <w:rsid w:val="00467DB0"/>
    <w:pPr>
      <w:spacing w:after="0" w:line="240" w:lineRule="auto"/>
      <w:ind w:left="1200" w:hanging="240"/>
    </w:pPr>
  </w:style>
  <w:style w:type="paragraph" w:styleId="Indeks6">
    <w:name w:val="index 6"/>
    <w:basedOn w:val="Normal"/>
    <w:next w:val="Normal"/>
    <w:autoRedefine/>
    <w:uiPriority w:val="99"/>
    <w:semiHidden/>
    <w:unhideWhenUsed/>
    <w:rsid w:val="00467DB0"/>
    <w:pPr>
      <w:spacing w:after="0" w:line="240" w:lineRule="auto"/>
      <w:ind w:left="1440" w:hanging="240"/>
    </w:pPr>
  </w:style>
  <w:style w:type="paragraph" w:styleId="Indeks7">
    <w:name w:val="index 7"/>
    <w:basedOn w:val="Normal"/>
    <w:next w:val="Normal"/>
    <w:autoRedefine/>
    <w:uiPriority w:val="99"/>
    <w:semiHidden/>
    <w:unhideWhenUsed/>
    <w:rsid w:val="00467DB0"/>
    <w:pPr>
      <w:spacing w:after="0" w:line="240" w:lineRule="auto"/>
      <w:ind w:left="1680" w:hanging="240"/>
    </w:pPr>
  </w:style>
  <w:style w:type="paragraph" w:styleId="Indeks8">
    <w:name w:val="index 8"/>
    <w:basedOn w:val="Normal"/>
    <w:next w:val="Normal"/>
    <w:autoRedefine/>
    <w:uiPriority w:val="99"/>
    <w:semiHidden/>
    <w:unhideWhenUsed/>
    <w:rsid w:val="00467DB0"/>
    <w:pPr>
      <w:spacing w:after="0" w:line="240" w:lineRule="auto"/>
      <w:ind w:left="1920" w:hanging="240"/>
    </w:pPr>
  </w:style>
  <w:style w:type="paragraph" w:styleId="Indeks9">
    <w:name w:val="index 9"/>
    <w:basedOn w:val="Normal"/>
    <w:next w:val="Normal"/>
    <w:autoRedefine/>
    <w:uiPriority w:val="99"/>
    <w:semiHidden/>
    <w:unhideWhenUsed/>
    <w:rsid w:val="00467DB0"/>
    <w:pPr>
      <w:spacing w:after="0" w:line="240" w:lineRule="auto"/>
      <w:ind w:left="2160" w:hanging="240"/>
    </w:pPr>
  </w:style>
  <w:style w:type="paragraph" w:styleId="Stikkordregisteroverskrift">
    <w:name w:val="index heading"/>
    <w:basedOn w:val="Normal"/>
    <w:next w:val="Indeks1"/>
    <w:uiPriority w:val="99"/>
    <w:semiHidden/>
    <w:unhideWhenUsed/>
    <w:rsid w:val="00467DB0"/>
    <w:rPr>
      <w:rFonts w:ascii="Cambria" w:hAnsi="Cambria" w:cs="Times New Roman"/>
      <w:b/>
      <w:bCs/>
    </w:rPr>
  </w:style>
  <w:style w:type="paragraph" w:styleId="Bildetekst">
    <w:name w:val="caption"/>
    <w:basedOn w:val="Normal"/>
    <w:next w:val="Normal"/>
    <w:uiPriority w:val="35"/>
    <w:semiHidden/>
    <w:unhideWhenUsed/>
    <w:qFormat/>
    <w:rsid w:val="00467DB0"/>
    <w:pPr>
      <w:spacing w:after="200" w:line="240" w:lineRule="auto"/>
    </w:pPr>
    <w:rPr>
      <w:b/>
      <w:bCs/>
      <w:color w:val="4F81BD"/>
      <w:sz w:val="18"/>
      <w:szCs w:val="18"/>
    </w:rPr>
  </w:style>
  <w:style w:type="paragraph" w:styleId="Konvoluttadresse">
    <w:name w:val="envelope address"/>
    <w:basedOn w:val="Normal"/>
    <w:uiPriority w:val="99"/>
    <w:semiHidden/>
    <w:unhideWhenUsed/>
    <w:rsid w:val="00467DB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67DB0"/>
  </w:style>
  <w:style w:type="character" w:styleId="Sluttnotereferanse">
    <w:name w:val="endnote reference"/>
    <w:uiPriority w:val="99"/>
    <w:semiHidden/>
    <w:unhideWhenUsed/>
    <w:rsid w:val="00467DB0"/>
    <w:rPr>
      <w:vertAlign w:val="superscript"/>
    </w:rPr>
  </w:style>
  <w:style w:type="paragraph" w:styleId="Sluttnotetekst">
    <w:name w:val="endnote text"/>
    <w:basedOn w:val="Normal"/>
    <w:link w:val="SluttnotetekstTegn"/>
    <w:uiPriority w:val="99"/>
    <w:semiHidden/>
    <w:unhideWhenUsed/>
    <w:rsid w:val="00467DB0"/>
    <w:pPr>
      <w:spacing w:after="0" w:line="240" w:lineRule="auto"/>
    </w:pPr>
    <w:rPr>
      <w:sz w:val="20"/>
      <w:szCs w:val="20"/>
    </w:rPr>
  </w:style>
  <w:style w:type="character" w:customStyle="1" w:styleId="SluttnotetekstTegn1">
    <w:name w:val="Sluttnotetekst Tegn1"/>
    <w:basedOn w:val="Standardskriftforavsnitt"/>
    <w:uiPriority w:val="99"/>
    <w:semiHidden/>
    <w:rsid w:val="00467DB0"/>
    <w:rPr>
      <w:rFonts w:ascii="Times New Roman" w:eastAsia="Times New Roman" w:hAnsi="Times New Roman"/>
      <w:spacing w:val="4"/>
      <w:sz w:val="20"/>
      <w:szCs w:val="20"/>
    </w:rPr>
  </w:style>
  <w:style w:type="paragraph" w:styleId="Hilsen">
    <w:name w:val="Closing"/>
    <w:basedOn w:val="Normal"/>
    <w:link w:val="HilsenTegn"/>
    <w:uiPriority w:val="99"/>
    <w:semiHidden/>
    <w:unhideWhenUsed/>
    <w:rsid w:val="00467DB0"/>
    <w:pPr>
      <w:spacing w:after="0" w:line="240" w:lineRule="auto"/>
      <w:ind w:left="4252"/>
    </w:pPr>
  </w:style>
  <w:style w:type="character" w:customStyle="1" w:styleId="HilsenTegn">
    <w:name w:val="Hilsen Tegn"/>
    <w:link w:val="Hilsen"/>
    <w:uiPriority w:val="99"/>
    <w:semiHidden/>
    <w:rsid w:val="00467DB0"/>
    <w:rPr>
      <w:rFonts w:ascii="Times New Roman" w:eastAsia="Times New Roman" w:hAnsi="Times New Roman"/>
      <w:spacing w:val="4"/>
      <w:sz w:val="24"/>
    </w:rPr>
  </w:style>
  <w:style w:type="paragraph" w:styleId="Liste-forts">
    <w:name w:val="List Continue"/>
    <w:basedOn w:val="Normal"/>
    <w:uiPriority w:val="99"/>
    <w:semiHidden/>
    <w:unhideWhenUsed/>
    <w:rsid w:val="00467DB0"/>
    <w:pPr>
      <w:ind w:left="283"/>
      <w:contextualSpacing/>
    </w:pPr>
  </w:style>
  <w:style w:type="paragraph" w:styleId="Liste-forts2">
    <w:name w:val="List Continue 2"/>
    <w:basedOn w:val="Normal"/>
    <w:uiPriority w:val="99"/>
    <w:semiHidden/>
    <w:unhideWhenUsed/>
    <w:rsid w:val="00467DB0"/>
    <w:pPr>
      <w:ind w:left="566"/>
      <w:contextualSpacing/>
    </w:pPr>
  </w:style>
  <w:style w:type="paragraph" w:styleId="Liste-forts3">
    <w:name w:val="List Continue 3"/>
    <w:basedOn w:val="Normal"/>
    <w:uiPriority w:val="99"/>
    <w:semiHidden/>
    <w:unhideWhenUsed/>
    <w:rsid w:val="00467DB0"/>
    <w:pPr>
      <w:ind w:left="849"/>
      <w:contextualSpacing/>
    </w:pPr>
  </w:style>
  <w:style w:type="paragraph" w:styleId="Liste-forts4">
    <w:name w:val="List Continue 4"/>
    <w:basedOn w:val="Normal"/>
    <w:uiPriority w:val="99"/>
    <w:semiHidden/>
    <w:unhideWhenUsed/>
    <w:rsid w:val="00467DB0"/>
    <w:pPr>
      <w:ind w:left="1132"/>
      <w:contextualSpacing/>
    </w:pPr>
  </w:style>
  <w:style w:type="paragraph" w:styleId="Liste-forts5">
    <w:name w:val="List Continue 5"/>
    <w:basedOn w:val="Normal"/>
    <w:uiPriority w:val="99"/>
    <w:semiHidden/>
    <w:unhideWhenUsed/>
    <w:rsid w:val="00467DB0"/>
    <w:pPr>
      <w:ind w:left="1415"/>
      <w:contextualSpacing/>
    </w:pPr>
  </w:style>
  <w:style w:type="paragraph" w:styleId="Dato0">
    <w:name w:val="Date"/>
    <w:basedOn w:val="Normal"/>
    <w:next w:val="Normal"/>
    <w:link w:val="DatoTegn"/>
    <w:rsid w:val="00467DB0"/>
  </w:style>
  <w:style w:type="character" w:customStyle="1" w:styleId="DatoTegn1">
    <w:name w:val="Dato Tegn1"/>
    <w:basedOn w:val="Standardskriftforavsnitt"/>
    <w:uiPriority w:val="99"/>
    <w:semiHidden/>
    <w:rsid w:val="00467DB0"/>
    <w:rPr>
      <w:rFonts w:ascii="Times New Roman" w:eastAsia="Times New Roman" w:hAnsi="Times New Roman"/>
      <w:spacing w:val="4"/>
      <w:sz w:val="24"/>
    </w:rPr>
  </w:style>
  <w:style w:type="paragraph" w:styleId="Blokktekst">
    <w:name w:val="Block Text"/>
    <w:basedOn w:val="Normal"/>
    <w:uiPriority w:val="99"/>
    <w:semiHidden/>
    <w:unhideWhenUsed/>
    <w:rsid w:val="00467DB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67DB0"/>
    <w:rPr>
      <w:color w:val="800080"/>
      <w:u w:val="single"/>
    </w:rPr>
  </w:style>
  <w:style w:type="character" w:styleId="Utheving">
    <w:name w:val="Emphasis"/>
    <w:uiPriority w:val="20"/>
    <w:qFormat/>
    <w:rsid w:val="00467DB0"/>
    <w:rPr>
      <w:i/>
      <w:iCs/>
    </w:rPr>
  </w:style>
  <w:style w:type="paragraph" w:styleId="Dokumentkart">
    <w:name w:val="Document Map"/>
    <w:basedOn w:val="Normal"/>
    <w:link w:val="DokumentkartTegn"/>
    <w:uiPriority w:val="99"/>
    <w:semiHidden/>
    <w:rsid w:val="00467DB0"/>
    <w:pPr>
      <w:shd w:val="clear" w:color="auto" w:fill="000080"/>
    </w:pPr>
    <w:rPr>
      <w:rFonts w:ascii="Tahoma" w:hAnsi="Tahoma" w:cs="Tahoma"/>
    </w:rPr>
  </w:style>
  <w:style w:type="character" w:customStyle="1" w:styleId="DokumentkartTegn">
    <w:name w:val="Dokumentkart Tegn"/>
    <w:link w:val="Dokumentkart"/>
    <w:uiPriority w:val="99"/>
    <w:semiHidden/>
    <w:rsid w:val="00467DB0"/>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semiHidden/>
    <w:unhideWhenUsed/>
    <w:rsid w:val="00467DB0"/>
    <w:pPr>
      <w:spacing w:after="0" w:line="240" w:lineRule="auto"/>
    </w:pPr>
  </w:style>
  <w:style w:type="character" w:customStyle="1" w:styleId="E-postsignaturTegn">
    <w:name w:val="E-postsignatur Tegn"/>
    <w:link w:val="E-postsignatur"/>
    <w:uiPriority w:val="99"/>
    <w:semiHidden/>
    <w:rsid w:val="00467DB0"/>
    <w:rPr>
      <w:rFonts w:ascii="Times New Roman" w:eastAsia="Times New Roman" w:hAnsi="Times New Roman"/>
      <w:spacing w:val="4"/>
      <w:sz w:val="24"/>
    </w:rPr>
  </w:style>
  <w:style w:type="character" w:styleId="HTML-akronym">
    <w:name w:val="HTML Acronym"/>
    <w:basedOn w:val="Standardskriftforavsnitt"/>
    <w:uiPriority w:val="99"/>
    <w:semiHidden/>
    <w:unhideWhenUsed/>
    <w:rsid w:val="00467DB0"/>
  </w:style>
  <w:style w:type="paragraph" w:styleId="HTML-adresse">
    <w:name w:val="HTML Address"/>
    <w:basedOn w:val="Normal"/>
    <w:link w:val="HTML-adresseTegn"/>
    <w:uiPriority w:val="99"/>
    <w:semiHidden/>
    <w:unhideWhenUsed/>
    <w:rsid w:val="00467DB0"/>
    <w:pPr>
      <w:spacing w:after="0" w:line="240" w:lineRule="auto"/>
    </w:pPr>
    <w:rPr>
      <w:i/>
      <w:iCs/>
    </w:rPr>
  </w:style>
  <w:style w:type="character" w:customStyle="1" w:styleId="HTML-adresseTegn">
    <w:name w:val="HTML-adresse Tegn"/>
    <w:link w:val="HTML-adresse"/>
    <w:uiPriority w:val="99"/>
    <w:semiHidden/>
    <w:rsid w:val="00467DB0"/>
    <w:rPr>
      <w:rFonts w:ascii="Times New Roman" w:eastAsia="Times New Roman" w:hAnsi="Times New Roman"/>
      <w:i/>
      <w:iCs/>
      <w:spacing w:val="4"/>
      <w:sz w:val="24"/>
    </w:rPr>
  </w:style>
  <w:style w:type="character" w:styleId="HTML-sitat">
    <w:name w:val="HTML Cite"/>
    <w:uiPriority w:val="99"/>
    <w:semiHidden/>
    <w:unhideWhenUsed/>
    <w:rsid w:val="00467DB0"/>
    <w:rPr>
      <w:i/>
      <w:iCs/>
    </w:rPr>
  </w:style>
  <w:style w:type="character" w:styleId="HTML-kode">
    <w:name w:val="HTML Code"/>
    <w:uiPriority w:val="99"/>
    <w:semiHidden/>
    <w:unhideWhenUsed/>
    <w:rsid w:val="00467DB0"/>
    <w:rPr>
      <w:rFonts w:ascii="Consolas" w:hAnsi="Consolas"/>
      <w:sz w:val="20"/>
      <w:szCs w:val="20"/>
    </w:rPr>
  </w:style>
  <w:style w:type="character" w:styleId="HTML-definisjon">
    <w:name w:val="HTML Definition"/>
    <w:uiPriority w:val="99"/>
    <w:semiHidden/>
    <w:unhideWhenUsed/>
    <w:rsid w:val="00467DB0"/>
    <w:rPr>
      <w:i/>
      <w:iCs/>
    </w:rPr>
  </w:style>
  <w:style w:type="character" w:styleId="HTML-tastatur">
    <w:name w:val="HTML Keyboard"/>
    <w:uiPriority w:val="99"/>
    <w:semiHidden/>
    <w:unhideWhenUsed/>
    <w:rsid w:val="00467DB0"/>
    <w:rPr>
      <w:rFonts w:ascii="Consolas" w:hAnsi="Consolas"/>
      <w:sz w:val="20"/>
      <w:szCs w:val="20"/>
    </w:rPr>
  </w:style>
  <w:style w:type="paragraph" w:styleId="HTML-forhndsformatert">
    <w:name w:val="HTML Preformatted"/>
    <w:basedOn w:val="Normal"/>
    <w:link w:val="HTML-forhndsformatertTegn"/>
    <w:uiPriority w:val="99"/>
    <w:semiHidden/>
    <w:unhideWhenUsed/>
    <w:rsid w:val="00467DB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67DB0"/>
    <w:rPr>
      <w:rFonts w:ascii="Consolas" w:eastAsia="Times New Roman" w:hAnsi="Consolas"/>
      <w:spacing w:val="4"/>
      <w:sz w:val="20"/>
      <w:szCs w:val="20"/>
    </w:rPr>
  </w:style>
  <w:style w:type="character" w:styleId="HTML-eksempel">
    <w:name w:val="HTML Sample"/>
    <w:uiPriority w:val="99"/>
    <w:semiHidden/>
    <w:unhideWhenUsed/>
    <w:rsid w:val="00467DB0"/>
    <w:rPr>
      <w:rFonts w:ascii="Consolas" w:hAnsi="Consolas"/>
      <w:sz w:val="24"/>
      <w:szCs w:val="24"/>
    </w:rPr>
  </w:style>
  <w:style w:type="character" w:styleId="HTML-skrivemaskin">
    <w:name w:val="HTML Typewriter"/>
    <w:uiPriority w:val="99"/>
    <w:semiHidden/>
    <w:unhideWhenUsed/>
    <w:rsid w:val="00467DB0"/>
    <w:rPr>
      <w:rFonts w:ascii="Consolas" w:hAnsi="Consolas"/>
      <w:sz w:val="20"/>
      <w:szCs w:val="20"/>
    </w:rPr>
  </w:style>
  <w:style w:type="character" w:styleId="HTML-variabel">
    <w:name w:val="HTML Variable"/>
    <w:uiPriority w:val="99"/>
    <w:semiHidden/>
    <w:unhideWhenUsed/>
    <w:rsid w:val="00467DB0"/>
    <w:rPr>
      <w:i/>
      <w:iCs/>
    </w:rPr>
  </w:style>
  <w:style w:type="paragraph" w:styleId="Kommentaremne">
    <w:name w:val="annotation subject"/>
    <w:basedOn w:val="Merknadstekst"/>
    <w:next w:val="Merknadstekst"/>
    <w:link w:val="KommentaremneTegn"/>
    <w:uiPriority w:val="99"/>
    <w:semiHidden/>
    <w:unhideWhenUsed/>
    <w:rsid w:val="00467DB0"/>
    <w:pPr>
      <w:spacing w:line="240" w:lineRule="auto"/>
    </w:pPr>
    <w:rPr>
      <w:b/>
      <w:bCs/>
      <w:spacing w:val="4"/>
      <w:szCs w:val="20"/>
    </w:rPr>
  </w:style>
  <w:style w:type="character" w:customStyle="1" w:styleId="KommentaremneTegn">
    <w:name w:val="Kommentaremne Tegn"/>
    <w:link w:val="Kommentaremne"/>
    <w:uiPriority w:val="99"/>
    <w:semiHidden/>
    <w:rsid w:val="00467DB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67DB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67DB0"/>
    <w:rPr>
      <w:rFonts w:ascii="Tahoma" w:eastAsia="Times New Roman" w:hAnsi="Tahoma" w:cs="Tahoma"/>
      <w:spacing w:val="4"/>
      <w:sz w:val="16"/>
      <w:szCs w:val="16"/>
    </w:rPr>
  </w:style>
  <w:style w:type="table" w:styleId="Tabellrutenett">
    <w:name w:val="Table Grid"/>
    <w:basedOn w:val="Vanligtabell"/>
    <w:uiPriority w:val="59"/>
    <w:rsid w:val="00467DB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erktsitat">
    <w:name w:val="Intense Quote"/>
    <w:basedOn w:val="Normal"/>
    <w:next w:val="Normal"/>
    <w:link w:val="SterktsitatTegn"/>
    <w:uiPriority w:val="30"/>
    <w:qFormat/>
    <w:rsid w:val="00467DB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67DB0"/>
    <w:rPr>
      <w:rFonts w:ascii="Times New Roman" w:eastAsia="Times New Roman" w:hAnsi="Times New Roman"/>
      <w:i/>
      <w:iCs/>
      <w:color w:val="4472C4" w:themeColor="accent1"/>
      <w:spacing w:val="4"/>
      <w:sz w:val="24"/>
    </w:rPr>
  </w:style>
  <w:style w:type="character" w:styleId="Svakutheving">
    <w:name w:val="Subtle Emphasis"/>
    <w:uiPriority w:val="19"/>
    <w:qFormat/>
    <w:rsid w:val="00467DB0"/>
    <w:rPr>
      <w:i/>
      <w:iCs/>
      <w:color w:val="808080"/>
    </w:rPr>
  </w:style>
  <w:style w:type="character" w:styleId="Sterkutheving">
    <w:name w:val="Intense Emphasis"/>
    <w:uiPriority w:val="21"/>
    <w:qFormat/>
    <w:rsid w:val="00467DB0"/>
    <w:rPr>
      <w:b/>
      <w:bCs/>
      <w:i/>
      <w:iCs/>
      <w:color w:val="4F81BD"/>
    </w:rPr>
  </w:style>
  <w:style w:type="character" w:styleId="Svakreferanse">
    <w:name w:val="Subtle Reference"/>
    <w:uiPriority w:val="31"/>
    <w:qFormat/>
    <w:rsid w:val="00467DB0"/>
    <w:rPr>
      <w:smallCaps/>
      <w:color w:val="C0504D"/>
      <w:u w:val="single"/>
    </w:rPr>
  </w:style>
  <w:style w:type="character" w:styleId="Sterkreferanse">
    <w:name w:val="Intense Reference"/>
    <w:uiPriority w:val="32"/>
    <w:qFormat/>
    <w:rsid w:val="00467DB0"/>
    <w:rPr>
      <w:b/>
      <w:bCs/>
      <w:smallCaps/>
      <w:color w:val="C0504D"/>
      <w:spacing w:val="5"/>
      <w:u w:val="single"/>
    </w:rPr>
  </w:style>
  <w:style w:type="character" w:styleId="Boktittel">
    <w:name w:val="Book Title"/>
    <w:uiPriority w:val="33"/>
    <w:qFormat/>
    <w:rsid w:val="00467DB0"/>
    <w:rPr>
      <w:b/>
      <w:bCs/>
      <w:smallCaps/>
      <w:spacing w:val="5"/>
    </w:rPr>
  </w:style>
  <w:style w:type="paragraph" w:styleId="Bibliografi">
    <w:name w:val="Bibliography"/>
    <w:basedOn w:val="Normal"/>
    <w:next w:val="Normal"/>
    <w:uiPriority w:val="37"/>
    <w:semiHidden/>
    <w:unhideWhenUsed/>
    <w:rsid w:val="00467DB0"/>
  </w:style>
  <w:style w:type="numbering" w:customStyle="1" w:styleId="AlfaListeStil">
    <w:name w:val="AlfaListeStil"/>
    <w:uiPriority w:val="99"/>
    <w:rsid w:val="00467DB0"/>
    <w:pPr>
      <w:numPr>
        <w:numId w:val="19"/>
      </w:numPr>
    </w:pPr>
  </w:style>
  <w:style w:type="numbering" w:customStyle="1" w:styleId="NrListeStil">
    <w:name w:val="NrListeStil"/>
    <w:uiPriority w:val="99"/>
    <w:rsid w:val="00467DB0"/>
    <w:pPr>
      <w:numPr>
        <w:numId w:val="20"/>
      </w:numPr>
    </w:pPr>
  </w:style>
  <w:style w:type="numbering" w:customStyle="1" w:styleId="RomListeStil">
    <w:name w:val="RomListeStil"/>
    <w:uiPriority w:val="99"/>
    <w:rsid w:val="00467DB0"/>
    <w:pPr>
      <w:numPr>
        <w:numId w:val="21"/>
      </w:numPr>
    </w:pPr>
  </w:style>
  <w:style w:type="numbering" w:customStyle="1" w:styleId="StrekListeStil">
    <w:name w:val="StrekListeStil"/>
    <w:uiPriority w:val="99"/>
    <w:rsid w:val="00467DB0"/>
    <w:pPr>
      <w:numPr>
        <w:numId w:val="22"/>
      </w:numPr>
    </w:pPr>
  </w:style>
  <w:style w:type="numbering" w:customStyle="1" w:styleId="OpplistingListeStil">
    <w:name w:val="OpplistingListeStil"/>
    <w:uiPriority w:val="99"/>
    <w:rsid w:val="00467DB0"/>
    <w:pPr>
      <w:numPr>
        <w:numId w:val="23"/>
      </w:numPr>
    </w:pPr>
  </w:style>
  <w:style w:type="numbering" w:customStyle="1" w:styleId="l-NummerertListeStil">
    <w:name w:val="l-NummerertListeStil"/>
    <w:uiPriority w:val="99"/>
    <w:rsid w:val="00467DB0"/>
    <w:pPr>
      <w:numPr>
        <w:numId w:val="24"/>
      </w:numPr>
    </w:pPr>
  </w:style>
  <w:style w:type="numbering" w:customStyle="1" w:styleId="l-AlfaListeStil">
    <w:name w:val="l-AlfaListeStil"/>
    <w:uiPriority w:val="99"/>
    <w:rsid w:val="00467DB0"/>
    <w:pPr>
      <w:numPr>
        <w:numId w:val="25"/>
      </w:numPr>
    </w:pPr>
  </w:style>
  <w:style w:type="numbering" w:customStyle="1" w:styleId="OverskrifterListeStil">
    <w:name w:val="OverskrifterListeStil"/>
    <w:uiPriority w:val="99"/>
    <w:rsid w:val="00467DB0"/>
    <w:pPr>
      <w:numPr>
        <w:numId w:val="26"/>
      </w:numPr>
    </w:pPr>
  </w:style>
  <w:style w:type="numbering" w:customStyle="1" w:styleId="l-ListeStilMal">
    <w:name w:val="l-ListeStilMal"/>
    <w:uiPriority w:val="99"/>
    <w:rsid w:val="00467DB0"/>
    <w:pPr>
      <w:numPr>
        <w:numId w:val="27"/>
      </w:numPr>
    </w:pPr>
  </w:style>
  <w:style w:type="paragraph" w:styleId="Avsenderadresse">
    <w:name w:val="envelope return"/>
    <w:basedOn w:val="Normal"/>
    <w:uiPriority w:val="99"/>
    <w:semiHidden/>
    <w:unhideWhenUsed/>
    <w:rsid w:val="00467DB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67DB0"/>
  </w:style>
  <w:style w:type="character" w:customStyle="1" w:styleId="BrdtekstTegn">
    <w:name w:val="Brødtekst Tegn"/>
    <w:link w:val="Brdtekst"/>
    <w:semiHidden/>
    <w:rsid w:val="00467DB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67DB0"/>
    <w:pPr>
      <w:ind w:firstLine="360"/>
    </w:pPr>
  </w:style>
  <w:style w:type="character" w:customStyle="1" w:styleId="Brdtekst-frsteinnrykkTegn">
    <w:name w:val="Brødtekst - første innrykk Tegn"/>
    <w:link w:val="Brdtekst-frsteinnrykk"/>
    <w:uiPriority w:val="99"/>
    <w:semiHidden/>
    <w:rsid w:val="00467DB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67DB0"/>
    <w:pPr>
      <w:ind w:left="283"/>
    </w:pPr>
  </w:style>
  <w:style w:type="character" w:customStyle="1" w:styleId="BrdtekstinnrykkTegn">
    <w:name w:val="Brødtekstinnrykk Tegn"/>
    <w:link w:val="Brdtekstinnrykk"/>
    <w:uiPriority w:val="99"/>
    <w:semiHidden/>
    <w:rsid w:val="00467DB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67DB0"/>
    <w:pPr>
      <w:ind w:left="360" w:firstLine="360"/>
    </w:pPr>
  </w:style>
  <w:style w:type="character" w:customStyle="1" w:styleId="Brdtekst-frsteinnrykk2Tegn">
    <w:name w:val="Brødtekst - første innrykk 2 Tegn"/>
    <w:link w:val="Brdtekst-frsteinnrykk2"/>
    <w:uiPriority w:val="99"/>
    <w:semiHidden/>
    <w:rsid w:val="00467DB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67DB0"/>
    <w:pPr>
      <w:spacing w:line="480" w:lineRule="auto"/>
    </w:pPr>
  </w:style>
  <w:style w:type="character" w:customStyle="1" w:styleId="Brdtekst2Tegn">
    <w:name w:val="Brødtekst 2 Tegn"/>
    <w:link w:val="Brdtekst2"/>
    <w:uiPriority w:val="99"/>
    <w:semiHidden/>
    <w:rsid w:val="00467DB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67DB0"/>
    <w:rPr>
      <w:sz w:val="16"/>
      <w:szCs w:val="16"/>
    </w:rPr>
  </w:style>
  <w:style w:type="character" w:customStyle="1" w:styleId="Brdtekst3Tegn">
    <w:name w:val="Brødtekst 3 Tegn"/>
    <w:link w:val="Brdtekst3"/>
    <w:uiPriority w:val="99"/>
    <w:semiHidden/>
    <w:rsid w:val="00467DB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67DB0"/>
    <w:pPr>
      <w:spacing w:line="480" w:lineRule="auto"/>
      <w:ind w:left="283"/>
    </w:pPr>
  </w:style>
  <w:style w:type="character" w:customStyle="1" w:styleId="Brdtekstinnrykk2Tegn">
    <w:name w:val="Brødtekstinnrykk 2 Tegn"/>
    <w:link w:val="Brdtekstinnrykk2"/>
    <w:uiPriority w:val="99"/>
    <w:semiHidden/>
    <w:rsid w:val="00467DB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67DB0"/>
    <w:pPr>
      <w:ind w:left="283"/>
    </w:pPr>
    <w:rPr>
      <w:sz w:val="16"/>
      <w:szCs w:val="16"/>
    </w:rPr>
  </w:style>
  <w:style w:type="character" w:customStyle="1" w:styleId="Brdtekstinnrykk3Tegn">
    <w:name w:val="Brødtekstinnrykk 3 Tegn"/>
    <w:link w:val="Brdtekstinnrykk3"/>
    <w:uiPriority w:val="99"/>
    <w:semiHidden/>
    <w:rsid w:val="00467DB0"/>
    <w:rPr>
      <w:rFonts w:ascii="Times New Roman" w:eastAsia="Times New Roman" w:hAnsi="Times New Roman"/>
      <w:spacing w:val="4"/>
      <w:sz w:val="16"/>
      <w:szCs w:val="16"/>
    </w:rPr>
  </w:style>
  <w:style w:type="paragraph" w:customStyle="1" w:styleId="ForfatterMerknad">
    <w:name w:val="ForfatterMerknad"/>
    <w:basedOn w:val="TrykkeriMerknad"/>
    <w:qFormat/>
    <w:rsid w:val="00467DB0"/>
    <w:pPr>
      <w:shd w:val="clear" w:color="auto" w:fill="FFFF99"/>
      <w:spacing w:line="240" w:lineRule="auto"/>
    </w:pPr>
    <w:rPr>
      <w:color w:val="632423"/>
    </w:rPr>
  </w:style>
  <w:style w:type="character" w:styleId="Emneknagg">
    <w:name w:val="Hashtag"/>
    <w:basedOn w:val="Standardskriftforavsnitt"/>
    <w:uiPriority w:val="99"/>
    <w:semiHidden/>
    <w:unhideWhenUsed/>
    <w:rsid w:val="00467DB0"/>
    <w:rPr>
      <w:color w:val="2B579A"/>
      <w:shd w:val="clear" w:color="auto" w:fill="E1DFDD"/>
    </w:rPr>
  </w:style>
  <w:style w:type="character" w:styleId="Omtale">
    <w:name w:val="Mention"/>
    <w:basedOn w:val="Standardskriftforavsnitt"/>
    <w:uiPriority w:val="99"/>
    <w:semiHidden/>
    <w:unhideWhenUsed/>
    <w:rsid w:val="00467DB0"/>
    <w:rPr>
      <w:color w:val="2B579A"/>
      <w:shd w:val="clear" w:color="auto" w:fill="E1DFDD"/>
    </w:rPr>
  </w:style>
  <w:style w:type="character" w:styleId="Smarthyperkobling">
    <w:name w:val="Smart Hyperlink"/>
    <w:basedOn w:val="Standardskriftforavsnitt"/>
    <w:uiPriority w:val="99"/>
    <w:semiHidden/>
    <w:unhideWhenUsed/>
    <w:rsid w:val="00467DB0"/>
    <w:rPr>
      <w:u w:val="dotted"/>
    </w:rPr>
  </w:style>
  <w:style w:type="character" w:styleId="Smartkobling">
    <w:name w:val="Smart Link"/>
    <w:basedOn w:val="Standardskriftforavsnitt"/>
    <w:uiPriority w:val="99"/>
    <w:semiHidden/>
    <w:unhideWhenUsed/>
    <w:rsid w:val="00467DB0"/>
    <w:rPr>
      <w:color w:val="0000FF"/>
      <w:u w:val="single"/>
      <w:shd w:val="clear" w:color="auto" w:fill="F3F2F1"/>
    </w:rPr>
  </w:style>
  <w:style w:type="character" w:styleId="Ulstomtale">
    <w:name w:val="Unresolved Mention"/>
    <w:basedOn w:val="Standardskriftforavsnitt"/>
    <w:uiPriority w:val="99"/>
    <w:semiHidden/>
    <w:unhideWhenUsed/>
    <w:rsid w:val="0046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119</Pages>
  <Words>51305</Words>
  <Characters>271920</Characters>
  <Application>Microsoft Office Word</Application>
  <DocSecurity>0</DocSecurity>
  <Lines>2266</Lines>
  <Paragraphs>645</Paragraphs>
  <ScaleCrop>false</ScaleCrop>
  <Company/>
  <LinksUpToDate>false</LinksUpToDate>
  <CharactersWithSpaces>322580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2021-05-19T05:33:00Z</dcterms:created>
  <dcterms:modified xsi:type="dcterms:W3CDTF">2021-05-19T05:33:00Z</dcterms:modified>
</cp:coreProperties>
</file>